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69DC7E">
      <w:pPr>
        <w:pStyle w:val="119"/>
        <w:spacing w:line="240" w:lineRule="auto"/>
        <w:ind w:firstLine="0" w:firstLineChars="0"/>
        <w:jc w:val="center"/>
        <w:rPr>
          <w:sz w:val="22"/>
          <w:szCs w:val="22"/>
        </w:rPr>
      </w:pPr>
      <w:bookmarkStart w:id="0" w:name="_Toc524717122"/>
      <w:bookmarkStart w:id="1" w:name="_Toc453042530"/>
      <w:bookmarkStart w:id="2" w:name="_Toc324839519"/>
      <w:bookmarkStart w:id="3" w:name="_Toc311812618"/>
      <w:bookmarkStart w:id="4" w:name="_Toc324839222"/>
      <w:bookmarkStart w:id="5" w:name="_Toc456001754"/>
      <w:bookmarkStart w:id="6" w:name="_Toc33416048"/>
      <w:bookmarkStart w:id="7" w:name="_Toc457301396"/>
      <w:r>
        <w:rPr>
          <w:sz w:val="22"/>
          <w:szCs w:val="22"/>
        </w:rPr>
        <w:drawing>
          <wp:inline distT="0" distB="0" distL="0" distR="0">
            <wp:extent cx="5278755" cy="7258685"/>
            <wp:effectExtent l="0" t="0" r="17145" b="18415"/>
            <wp:docPr id="701320455" name="图片 19"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20455" name="图片 19" descr="文本&#10;&#10;中度可信度描述已自动生成"/>
                    <pic:cNvPicPr>
                      <a:picLocks noChangeAspect="1" noChangeArrowheads="1"/>
                    </pic:cNvPicPr>
                  </pic:nvPicPr>
                  <pic:blipFill>
                    <a:blip r:embed="rId32"/>
                    <a:srcRect/>
                    <a:stretch>
                      <a:fillRect/>
                    </a:stretch>
                  </pic:blipFill>
                  <pic:spPr>
                    <a:xfrm>
                      <a:off x="0" y="0"/>
                      <a:ext cx="5278755" cy="7258685"/>
                    </a:xfrm>
                    <a:prstGeom prst="rect">
                      <a:avLst/>
                    </a:prstGeom>
                    <a:noFill/>
                    <a:ln>
                      <a:noFill/>
                    </a:ln>
                  </pic:spPr>
                </pic:pic>
              </a:graphicData>
            </a:graphic>
          </wp:inline>
        </w:drawing>
      </w:r>
    </w:p>
    <w:p w14:paraId="0EE3F686">
      <w:pPr>
        <w:pStyle w:val="119"/>
        <w:spacing w:line="240" w:lineRule="auto"/>
        <w:ind w:firstLine="0" w:firstLineChars="0"/>
        <w:jc w:val="center"/>
        <w:rPr>
          <w:sz w:val="22"/>
          <w:szCs w:val="22"/>
        </w:rPr>
        <w:sectPr>
          <w:headerReference r:id="rId7" w:type="first"/>
          <w:footerReference r:id="rId10" w:type="first"/>
          <w:headerReference r:id="rId5" w:type="default"/>
          <w:footerReference r:id="rId8" w:type="default"/>
          <w:headerReference r:id="rId6" w:type="even"/>
          <w:footerReference r:id="rId9" w:type="even"/>
          <w:pgSz w:w="11907" w:h="16840"/>
          <w:pgMar w:top="1440" w:right="1797" w:bottom="1440" w:left="1797" w:header="907" w:footer="907" w:gutter="0"/>
          <w:pgNumType w:fmt="upperRoman" w:start="1"/>
          <w:cols w:space="425" w:num="1"/>
          <w:docGrid w:linePitch="380" w:charSpace="0"/>
        </w:sectPr>
      </w:pPr>
      <w:bookmarkStart w:id="434" w:name="_GoBack"/>
      <w:bookmarkEnd w:id="434"/>
    </w:p>
    <w:p w14:paraId="66C13FB6">
      <w:pPr>
        <w:pStyle w:val="119"/>
        <w:spacing w:line="240" w:lineRule="auto"/>
        <w:ind w:firstLine="0" w:firstLineChars="0"/>
        <w:jc w:val="center"/>
        <w:rPr>
          <w:sz w:val="22"/>
          <w:szCs w:val="22"/>
        </w:rPr>
      </w:pPr>
      <w:r>
        <w:drawing>
          <wp:inline distT="0" distB="0" distL="0" distR="0">
            <wp:extent cx="5278755" cy="7465060"/>
            <wp:effectExtent l="0" t="0" r="17145" b="2540"/>
            <wp:docPr id="1676368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68089" name="图片 1"/>
                    <pic:cNvPicPr>
                      <a:picLocks noChangeAspect="1"/>
                    </pic:cNvPicPr>
                  </pic:nvPicPr>
                  <pic:blipFill>
                    <a:blip r:embed="rId33"/>
                    <a:stretch>
                      <a:fillRect/>
                    </a:stretch>
                  </pic:blipFill>
                  <pic:spPr>
                    <a:xfrm>
                      <a:off x="0" y="0"/>
                      <a:ext cx="5278755" cy="7465060"/>
                    </a:xfrm>
                    <a:prstGeom prst="rect">
                      <a:avLst/>
                    </a:prstGeom>
                  </pic:spPr>
                </pic:pic>
              </a:graphicData>
            </a:graphic>
          </wp:inline>
        </w:drawing>
      </w:r>
    </w:p>
    <w:p w14:paraId="183759D8">
      <w:pPr>
        <w:pStyle w:val="119"/>
        <w:spacing w:line="240" w:lineRule="auto"/>
        <w:ind w:firstLine="0" w:firstLineChars="0"/>
        <w:jc w:val="center"/>
        <w:rPr>
          <w:sz w:val="22"/>
          <w:szCs w:val="22"/>
        </w:rPr>
      </w:pPr>
    </w:p>
    <w:p w14:paraId="76CC4F35">
      <w:pPr>
        <w:pStyle w:val="119"/>
        <w:spacing w:line="240" w:lineRule="auto"/>
        <w:ind w:firstLine="0" w:firstLineChars="0"/>
        <w:jc w:val="center"/>
        <w:rPr>
          <w:sz w:val="22"/>
          <w:szCs w:val="22"/>
        </w:rPr>
      </w:pPr>
    </w:p>
    <w:p w14:paraId="1843309A">
      <w:pPr>
        <w:pStyle w:val="119"/>
        <w:spacing w:line="240" w:lineRule="auto"/>
        <w:ind w:firstLine="0" w:firstLineChars="0"/>
        <w:jc w:val="center"/>
        <w:rPr>
          <w:sz w:val="22"/>
          <w:szCs w:val="22"/>
        </w:rPr>
      </w:pPr>
    </w:p>
    <w:p w14:paraId="3CCBA7EF">
      <w:pPr>
        <w:pStyle w:val="119"/>
        <w:spacing w:line="240" w:lineRule="auto"/>
        <w:ind w:firstLine="0" w:firstLineChars="0"/>
        <w:jc w:val="center"/>
        <w:rPr>
          <w:sz w:val="22"/>
          <w:szCs w:val="22"/>
        </w:rPr>
      </w:pPr>
    </w:p>
    <w:p w14:paraId="64218DDA">
      <w:pPr>
        <w:pStyle w:val="119"/>
        <w:spacing w:line="240" w:lineRule="auto"/>
        <w:ind w:firstLine="0" w:firstLineChars="0"/>
        <w:jc w:val="center"/>
        <w:rPr>
          <w:sz w:val="22"/>
          <w:szCs w:val="22"/>
        </w:rPr>
      </w:pPr>
    </w:p>
    <w:p w14:paraId="53C3258F">
      <w:pPr>
        <w:pStyle w:val="119"/>
        <w:spacing w:line="240" w:lineRule="auto"/>
        <w:ind w:firstLine="0" w:firstLineChars="0"/>
        <w:jc w:val="center"/>
        <w:rPr>
          <w:sz w:val="22"/>
          <w:szCs w:val="22"/>
        </w:rPr>
      </w:pPr>
    </w:p>
    <w:p w14:paraId="01CB4B5D">
      <w:pPr>
        <w:pStyle w:val="119"/>
        <w:spacing w:line="240" w:lineRule="auto"/>
        <w:ind w:firstLine="0" w:firstLineChars="0"/>
        <w:jc w:val="center"/>
        <w:rPr>
          <w:sz w:val="22"/>
          <w:szCs w:val="22"/>
        </w:rPr>
      </w:pPr>
    </w:p>
    <w:p w14:paraId="5DE72B02">
      <w:pPr>
        <w:pStyle w:val="119"/>
        <w:spacing w:line="240" w:lineRule="auto"/>
        <w:ind w:firstLine="0" w:firstLineChars="0"/>
        <w:jc w:val="center"/>
        <w:rPr>
          <w:sz w:val="22"/>
          <w:szCs w:val="22"/>
        </w:rPr>
      </w:pPr>
      <w:r>
        <w:drawing>
          <wp:inline distT="0" distB="0" distL="0" distR="0">
            <wp:extent cx="5278755" cy="3026410"/>
            <wp:effectExtent l="0" t="0" r="17145" b="2540"/>
            <wp:docPr id="762209434"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09434" name="图片 1" descr="手机屏幕截图&#10;&#10;描述已自动生成"/>
                    <pic:cNvPicPr>
                      <a:picLocks noChangeAspect="1"/>
                    </pic:cNvPicPr>
                  </pic:nvPicPr>
                  <pic:blipFill>
                    <a:blip r:embed="rId34"/>
                    <a:stretch>
                      <a:fillRect/>
                    </a:stretch>
                  </pic:blipFill>
                  <pic:spPr>
                    <a:xfrm>
                      <a:off x="0" y="0"/>
                      <a:ext cx="5278755" cy="3026410"/>
                    </a:xfrm>
                    <a:prstGeom prst="rect">
                      <a:avLst/>
                    </a:prstGeom>
                  </pic:spPr>
                </pic:pic>
              </a:graphicData>
            </a:graphic>
          </wp:inline>
        </w:drawing>
      </w:r>
    </w:p>
    <w:p w14:paraId="5D45D7EA">
      <w:pPr>
        <w:pStyle w:val="119"/>
        <w:spacing w:line="240" w:lineRule="auto"/>
        <w:ind w:firstLine="0" w:firstLineChars="0"/>
        <w:jc w:val="center"/>
        <w:rPr>
          <w:rFonts w:hint="eastAsia"/>
          <w:sz w:val="22"/>
          <w:szCs w:val="22"/>
        </w:rPr>
      </w:pPr>
    </w:p>
    <w:p w14:paraId="7F4A6050">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37C9866F">
      <w:pPr>
        <w:pStyle w:val="119"/>
        <w:spacing w:line="240" w:lineRule="auto"/>
        <w:ind w:firstLine="0" w:firstLineChars="0"/>
        <w:jc w:val="center"/>
        <w:rPr>
          <w:sz w:val="22"/>
          <w:szCs w:val="22"/>
        </w:rPr>
      </w:pPr>
      <w:r>
        <w:drawing>
          <wp:inline distT="0" distB="0" distL="0" distR="0">
            <wp:extent cx="5278755" cy="6640195"/>
            <wp:effectExtent l="0" t="0" r="17145" b="8255"/>
            <wp:docPr id="18512494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4945" name="图片 1" descr="文本, 信件&#10;&#10;描述已自动生成"/>
                    <pic:cNvPicPr>
                      <a:picLocks noChangeAspect="1"/>
                    </pic:cNvPicPr>
                  </pic:nvPicPr>
                  <pic:blipFill>
                    <a:blip r:embed="rId35"/>
                    <a:stretch>
                      <a:fillRect/>
                    </a:stretch>
                  </pic:blipFill>
                  <pic:spPr>
                    <a:xfrm>
                      <a:off x="0" y="0"/>
                      <a:ext cx="5278755" cy="6640195"/>
                    </a:xfrm>
                    <a:prstGeom prst="rect">
                      <a:avLst/>
                    </a:prstGeom>
                  </pic:spPr>
                </pic:pic>
              </a:graphicData>
            </a:graphic>
          </wp:inline>
        </w:drawing>
      </w:r>
    </w:p>
    <w:p w14:paraId="3ED0CB85">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65B52F47">
      <w:pPr>
        <w:pStyle w:val="119"/>
        <w:spacing w:line="240" w:lineRule="auto"/>
        <w:ind w:firstLine="0" w:firstLineChars="0"/>
        <w:jc w:val="center"/>
        <w:rPr>
          <w:sz w:val="22"/>
          <w:szCs w:val="22"/>
        </w:rPr>
      </w:pPr>
      <w:r>
        <w:drawing>
          <wp:inline distT="0" distB="0" distL="0" distR="0">
            <wp:extent cx="5274310" cy="7531735"/>
            <wp:effectExtent l="0" t="0" r="2540" b="12065"/>
            <wp:docPr id="989131662"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31662" name="图片 1" descr="文本, 信件&#10;&#10;描述已自动生成"/>
                    <pic:cNvPicPr>
                      <a:picLocks noChangeAspect="1"/>
                    </pic:cNvPicPr>
                  </pic:nvPicPr>
                  <pic:blipFill>
                    <a:blip r:embed="rId36"/>
                    <a:stretch>
                      <a:fillRect/>
                    </a:stretch>
                  </pic:blipFill>
                  <pic:spPr>
                    <a:xfrm>
                      <a:off x="0" y="0"/>
                      <a:ext cx="5274310" cy="7531735"/>
                    </a:xfrm>
                    <a:prstGeom prst="rect">
                      <a:avLst/>
                    </a:prstGeom>
                  </pic:spPr>
                </pic:pic>
              </a:graphicData>
            </a:graphic>
          </wp:inline>
        </w:drawing>
      </w:r>
    </w:p>
    <w:p w14:paraId="24E1C6F5">
      <w:pPr>
        <w:pStyle w:val="119"/>
        <w:spacing w:line="240" w:lineRule="auto"/>
        <w:ind w:firstLine="0" w:firstLineChars="0"/>
        <w:jc w:val="center"/>
        <w:rPr>
          <w:sz w:val="22"/>
          <w:szCs w:val="22"/>
        </w:rPr>
      </w:pPr>
    </w:p>
    <w:p w14:paraId="66C042A4">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33495570">
      <w:pPr>
        <w:pStyle w:val="119"/>
        <w:spacing w:line="240" w:lineRule="auto"/>
        <w:ind w:firstLine="0" w:firstLineChars="0"/>
        <w:jc w:val="center"/>
        <w:rPr>
          <w:sz w:val="22"/>
          <w:szCs w:val="22"/>
        </w:rPr>
      </w:pPr>
    </w:p>
    <w:p w14:paraId="2E2EA4C0">
      <w:pPr>
        <w:pStyle w:val="119"/>
        <w:spacing w:line="240" w:lineRule="auto"/>
        <w:ind w:firstLine="0" w:firstLineChars="0"/>
        <w:jc w:val="center"/>
        <w:rPr>
          <w:sz w:val="22"/>
          <w:szCs w:val="22"/>
        </w:rPr>
      </w:pPr>
      <w:r>
        <w:drawing>
          <wp:inline distT="0" distB="0" distL="0" distR="0">
            <wp:extent cx="5278755" cy="7073900"/>
            <wp:effectExtent l="0" t="0" r="17145" b="12700"/>
            <wp:docPr id="2003082949"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82949" name="图片 1" descr="文本, 信件&#10;&#10;描述已自动生成"/>
                    <pic:cNvPicPr>
                      <a:picLocks noChangeAspect="1"/>
                    </pic:cNvPicPr>
                  </pic:nvPicPr>
                  <pic:blipFill>
                    <a:blip r:embed="rId37"/>
                    <a:stretch>
                      <a:fillRect/>
                    </a:stretch>
                  </pic:blipFill>
                  <pic:spPr>
                    <a:xfrm>
                      <a:off x="0" y="0"/>
                      <a:ext cx="5278755" cy="7073900"/>
                    </a:xfrm>
                    <a:prstGeom prst="rect">
                      <a:avLst/>
                    </a:prstGeom>
                  </pic:spPr>
                </pic:pic>
              </a:graphicData>
            </a:graphic>
          </wp:inline>
        </w:drawing>
      </w:r>
    </w:p>
    <w:p w14:paraId="33AEC39E">
      <w:pPr>
        <w:pStyle w:val="119"/>
        <w:spacing w:line="240" w:lineRule="auto"/>
        <w:ind w:firstLine="0" w:firstLineChars="0"/>
        <w:jc w:val="center"/>
        <w:rPr>
          <w:sz w:val="22"/>
          <w:szCs w:val="22"/>
        </w:rPr>
      </w:pPr>
    </w:p>
    <w:p w14:paraId="70E04440">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671D0834">
      <w:pPr>
        <w:pStyle w:val="119"/>
        <w:spacing w:line="240" w:lineRule="auto"/>
        <w:ind w:firstLine="0" w:firstLineChars="0"/>
        <w:jc w:val="center"/>
        <w:rPr>
          <w:sz w:val="22"/>
          <w:szCs w:val="22"/>
        </w:rPr>
      </w:pPr>
    </w:p>
    <w:p w14:paraId="608B1E65">
      <w:pPr>
        <w:pStyle w:val="119"/>
        <w:spacing w:line="240" w:lineRule="auto"/>
        <w:ind w:firstLine="0" w:firstLineChars="0"/>
        <w:jc w:val="center"/>
        <w:rPr>
          <w:sz w:val="22"/>
          <w:szCs w:val="22"/>
        </w:rPr>
      </w:pPr>
    </w:p>
    <w:p w14:paraId="02367483">
      <w:pPr>
        <w:pStyle w:val="119"/>
        <w:spacing w:line="240" w:lineRule="auto"/>
        <w:ind w:firstLine="0" w:firstLineChars="0"/>
        <w:jc w:val="center"/>
        <w:rPr>
          <w:sz w:val="22"/>
          <w:szCs w:val="22"/>
        </w:rPr>
      </w:pPr>
    </w:p>
    <w:p w14:paraId="3C646EC9">
      <w:pPr>
        <w:pStyle w:val="119"/>
        <w:spacing w:line="240" w:lineRule="auto"/>
        <w:ind w:firstLine="0" w:firstLineChars="0"/>
        <w:jc w:val="center"/>
        <w:rPr>
          <w:sz w:val="22"/>
          <w:szCs w:val="22"/>
        </w:rPr>
      </w:pPr>
    </w:p>
    <w:p w14:paraId="7B798D4D">
      <w:pPr>
        <w:pStyle w:val="119"/>
        <w:spacing w:line="240" w:lineRule="auto"/>
        <w:ind w:firstLine="0" w:firstLineChars="0"/>
        <w:jc w:val="center"/>
        <w:rPr>
          <w:sz w:val="22"/>
          <w:szCs w:val="22"/>
        </w:rPr>
      </w:pPr>
    </w:p>
    <w:p w14:paraId="766A907A">
      <w:pPr>
        <w:pStyle w:val="119"/>
        <w:spacing w:line="240" w:lineRule="auto"/>
        <w:ind w:firstLine="0" w:firstLineChars="0"/>
        <w:jc w:val="center"/>
        <w:rPr>
          <w:sz w:val="22"/>
          <w:szCs w:val="22"/>
        </w:rPr>
      </w:pPr>
    </w:p>
    <w:p w14:paraId="76EFC5BB">
      <w:pPr>
        <w:pStyle w:val="119"/>
        <w:spacing w:line="240" w:lineRule="auto"/>
        <w:ind w:firstLine="0" w:firstLineChars="0"/>
        <w:jc w:val="center"/>
        <w:rPr>
          <w:sz w:val="22"/>
          <w:szCs w:val="22"/>
        </w:rPr>
      </w:pPr>
      <w:r>
        <w:drawing>
          <wp:inline distT="0" distB="0" distL="0" distR="0">
            <wp:extent cx="5278755" cy="6755765"/>
            <wp:effectExtent l="0" t="0" r="17145" b="6985"/>
            <wp:docPr id="1354307886"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07886" name="图片 1" descr="文本, 信件&#10;&#10;描述已自动生成"/>
                    <pic:cNvPicPr>
                      <a:picLocks noChangeAspect="1"/>
                    </pic:cNvPicPr>
                  </pic:nvPicPr>
                  <pic:blipFill>
                    <a:blip r:embed="rId38"/>
                    <a:stretch>
                      <a:fillRect/>
                    </a:stretch>
                  </pic:blipFill>
                  <pic:spPr>
                    <a:xfrm>
                      <a:off x="0" y="0"/>
                      <a:ext cx="5278755" cy="6755765"/>
                    </a:xfrm>
                    <a:prstGeom prst="rect">
                      <a:avLst/>
                    </a:prstGeom>
                  </pic:spPr>
                </pic:pic>
              </a:graphicData>
            </a:graphic>
          </wp:inline>
        </w:drawing>
      </w:r>
    </w:p>
    <w:p w14:paraId="09706521">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705F392B">
      <w:pPr>
        <w:pStyle w:val="119"/>
        <w:spacing w:line="240" w:lineRule="auto"/>
        <w:ind w:firstLine="0" w:firstLineChars="0"/>
        <w:jc w:val="center"/>
        <w:rPr>
          <w:sz w:val="22"/>
          <w:szCs w:val="22"/>
        </w:rPr>
      </w:pPr>
      <w:r>
        <w:rPr>
          <w:rFonts w:ascii="等线" w:hAnsi="等线" w:eastAsia="等线"/>
          <w:kern w:val="2"/>
          <w:sz w:val="22"/>
          <w:szCs w:val="24"/>
          <w14:ligatures w14:val="standardContextual"/>
        </w:rPr>
        <w:drawing>
          <wp:inline distT="0" distB="0" distL="0" distR="0">
            <wp:extent cx="5273675" cy="7286625"/>
            <wp:effectExtent l="0" t="0" r="3175" b="9525"/>
            <wp:docPr id="1396958674" name="图片 1" descr="图示,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58674" name="图片 1" descr="图示, 表格&#10;&#10;描述已自动生成"/>
                    <pic:cNvPicPr>
                      <a:picLocks noChangeAspect="1"/>
                    </pic:cNvPicPr>
                  </pic:nvPicPr>
                  <pic:blipFill>
                    <a:blip r:embed="rId39"/>
                    <a:stretch>
                      <a:fillRect/>
                    </a:stretch>
                  </pic:blipFill>
                  <pic:spPr>
                    <a:xfrm>
                      <a:off x="0" y="0"/>
                      <a:ext cx="5273675" cy="7286625"/>
                    </a:xfrm>
                    <a:prstGeom prst="rect">
                      <a:avLst/>
                    </a:prstGeom>
                  </pic:spPr>
                </pic:pic>
              </a:graphicData>
            </a:graphic>
          </wp:inline>
        </w:drawing>
      </w:r>
    </w:p>
    <w:p w14:paraId="7A25A1B1">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604EBBAE">
      <w:pPr>
        <w:pStyle w:val="119"/>
        <w:spacing w:line="240" w:lineRule="auto"/>
        <w:ind w:firstLine="0" w:firstLineChars="0"/>
        <w:jc w:val="center"/>
        <w:rPr>
          <w:sz w:val="22"/>
          <w:szCs w:val="22"/>
        </w:rPr>
      </w:pPr>
      <w:r>
        <w:rPr>
          <w:rFonts w:ascii="等线" w:hAnsi="等线" w:eastAsia="等线"/>
        </w:rPr>
        <w:drawing>
          <wp:inline distT="0" distB="0" distL="0" distR="0">
            <wp:extent cx="5274310" cy="6993890"/>
            <wp:effectExtent l="0" t="0" r="2540" b="16510"/>
            <wp:docPr id="648022858" name="图片 1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22858" name="图片 17" descr="文本, 信件&#10;&#10;描述已自动生成"/>
                    <pic:cNvPicPr>
                      <a:picLocks noChangeAspect="1" noChangeArrowheads="1"/>
                    </pic:cNvPicPr>
                  </pic:nvPicPr>
                  <pic:blipFill>
                    <a:blip r:embed="rId40"/>
                    <a:srcRect/>
                    <a:stretch>
                      <a:fillRect/>
                    </a:stretch>
                  </pic:blipFill>
                  <pic:spPr>
                    <a:xfrm>
                      <a:off x="0" y="0"/>
                      <a:ext cx="5274310" cy="6993890"/>
                    </a:xfrm>
                    <a:prstGeom prst="rect">
                      <a:avLst/>
                    </a:prstGeom>
                    <a:noFill/>
                    <a:ln>
                      <a:noFill/>
                    </a:ln>
                  </pic:spPr>
                </pic:pic>
              </a:graphicData>
            </a:graphic>
          </wp:inline>
        </w:drawing>
      </w:r>
    </w:p>
    <w:p w14:paraId="0465B7B2">
      <w:pPr>
        <w:pStyle w:val="119"/>
        <w:spacing w:line="240" w:lineRule="auto"/>
        <w:ind w:firstLine="0" w:firstLineChars="0"/>
        <w:jc w:val="center"/>
        <w:rPr>
          <w:sz w:val="22"/>
          <w:szCs w:val="22"/>
        </w:rPr>
      </w:pPr>
    </w:p>
    <w:p w14:paraId="54BF72F1">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76F470B1">
      <w:pPr>
        <w:pStyle w:val="119"/>
        <w:spacing w:line="240" w:lineRule="auto"/>
        <w:ind w:firstLine="0" w:firstLineChars="0"/>
        <w:jc w:val="center"/>
        <w:rPr>
          <w:sz w:val="22"/>
          <w:szCs w:val="22"/>
        </w:rPr>
      </w:pPr>
    </w:p>
    <w:p w14:paraId="419D1463">
      <w:pPr>
        <w:pStyle w:val="119"/>
        <w:spacing w:line="240" w:lineRule="auto"/>
        <w:ind w:firstLine="0" w:firstLineChars="0"/>
        <w:jc w:val="center"/>
        <w:rPr>
          <w:sz w:val="22"/>
          <w:szCs w:val="22"/>
        </w:rPr>
      </w:pPr>
      <w:r>
        <w:rPr>
          <w:rFonts w:ascii="仿宋_GB2312" w:eastAsia="仿宋_GB2312"/>
          <w:sz w:val="52"/>
          <w:szCs w:val="52"/>
        </w:rPr>
        <w:drawing>
          <wp:inline distT="0" distB="0" distL="0" distR="0">
            <wp:extent cx="4994910" cy="6868795"/>
            <wp:effectExtent l="0" t="0" r="15240" b="8255"/>
            <wp:docPr id="644175661" name="图片 1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75661" name="图片 18" descr="文本, 信件&#10;&#10;描述已自动生成"/>
                    <pic:cNvPicPr>
                      <a:picLocks noChangeAspect="1" noChangeArrowheads="1"/>
                    </pic:cNvPicPr>
                  </pic:nvPicPr>
                  <pic:blipFill>
                    <a:blip r:embed="rId41"/>
                    <a:srcRect/>
                    <a:stretch>
                      <a:fillRect/>
                    </a:stretch>
                  </pic:blipFill>
                  <pic:spPr>
                    <a:xfrm>
                      <a:off x="0" y="0"/>
                      <a:ext cx="4994910" cy="6868795"/>
                    </a:xfrm>
                    <a:prstGeom prst="rect">
                      <a:avLst/>
                    </a:prstGeom>
                    <a:noFill/>
                    <a:ln>
                      <a:noFill/>
                    </a:ln>
                  </pic:spPr>
                </pic:pic>
              </a:graphicData>
            </a:graphic>
          </wp:inline>
        </w:drawing>
      </w:r>
    </w:p>
    <w:p w14:paraId="79E24545">
      <w:pPr>
        <w:pStyle w:val="119"/>
        <w:spacing w:line="240" w:lineRule="auto"/>
        <w:ind w:firstLine="0" w:firstLineChars="0"/>
        <w:jc w:val="center"/>
        <w:rPr>
          <w:sz w:val="22"/>
          <w:szCs w:val="22"/>
        </w:rPr>
      </w:pPr>
    </w:p>
    <w:p w14:paraId="2A776D3A">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25E16D3D">
      <w:pPr>
        <w:pStyle w:val="119"/>
        <w:spacing w:line="240" w:lineRule="auto"/>
        <w:ind w:firstLine="0" w:firstLineChars="0"/>
        <w:jc w:val="center"/>
        <w:rPr>
          <w:sz w:val="22"/>
          <w:szCs w:val="22"/>
        </w:rPr>
      </w:pPr>
      <w:r>
        <w:drawing>
          <wp:inline distT="0" distB="0" distL="0" distR="0">
            <wp:extent cx="5278755" cy="7780020"/>
            <wp:effectExtent l="0" t="0" r="17145" b="11430"/>
            <wp:docPr id="407826487"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6487" name="图片 1" descr="文本, 信件&#10;&#10;描述已自动生成"/>
                    <pic:cNvPicPr>
                      <a:picLocks noChangeAspect="1"/>
                    </pic:cNvPicPr>
                  </pic:nvPicPr>
                  <pic:blipFill>
                    <a:blip r:embed="rId42"/>
                    <a:stretch>
                      <a:fillRect/>
                    </a:stretch>
                  </pic:blipFill>
                  <pic:spPr>
                    <a:xfrm>
                      <a:off x="0" y="0"/>
                      <a:ext cx="5278755" cy="7780020"/>
                    </a:xfrm>
                    <a:prstGeom prst="rect">
                      <a:avLst/>
                    </a:prstGeom>
                  </pic:spPr>
                </pic:pic>
              </a:graphicData>
            </a:graphic>
          </wp:inline>
        </w:drawing>
      </w:r>
    </w:p>
    <w:p w14:paraId="31DA07D5">
      <w:pPr>
        <w:pStyle w:val="119"/>
        <w:spacing w:line="240" w:lineRule="auto"/>
        <w:ind w:firstLine="0" w:firstLineChars="0"/>
        <w:jc w:val="center"/>
        <w:rPr>
          <w:sz w:val="22"/>
          <w:szCs w:val="22"/>
        </w:rPr>
      </w:pPr>
    </w:p>
    <w:p w14:paraId="64B31822">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71566404">
      <w:pPr>
        <w:pStyle w:val="119"/>
        <w:spacing w:line="240" w:lineRule="auto"/>
        <w:ind w:firstLine="0" w:firstLineChars="0"/>
        <w:jc w:val="center"/>
        <w:rPr>
          <w:sz w:val="22"/>
          <w:szCs w:val="22"/>
        </w:rPr>
      </w:pPr>
      <w:r>
        <w:rPr>
          <w:rFonts w:ascii="等线" w:hAnsi="等线" w:eastAsia="等线"/>
          <w:kern w:val="2"/>
          <w:sz w:val="22"/>
          <w:szCs w:val="24"/>
          <w14:ligatures w14:val="standardContextual"/>
        </w:rPr>
        <w:drawing>
          <wp:inline distT="0" distB="0" distL="0" distR="0">
            <wp:extent cx="6496685" cy="4704715"/>
            <wp:effectExtent l="0" t="0" r="18415" b="635"/>
            <wp:docPr id="733214625" name="图片 4"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14625" name="图片 4" descr="一些文字和图片的手机截图&#10;&#10;描述已自动生成"/>
                    <pic:cNvPicPr>
                      <a:picLocks noChangeAspect="1"/>
                    </pic:cNvPicPr>
                  </pic:nvPicPr>
                  <pic:blipFill>
                    <a:blip r:embed="rId43"/>
                    <a:stretch>
                      <a:fillRect/>
                    </a:stretch>
                  </pic:blipFill>
                  <pic:spPr>
                    <a:xfrm>
                      <a:off x="0" y="0"/>
                      <a:ext cx="6496685" cy="4704715"/>
                    </a:xfrm>
                    <a:prstGeom prst="rect">
                      <a:avLst/>
                    </a:prstGeom>
                  </pic:spPr>
                </pic:pic>
              </a:graphicData>
            </a:graphic>
          </wp:inline>
        </w:drawing>
      </w:r>
    </w:p>
    <w:p w14:paraId="6A91774A">
      <w:pPr>
        <w:pStyle w:val="119"/>
        <w:spacing w:line="240" w:lineRule="auto"/>
        <w:ind w:firstLine="0" w:firstLineChars="0"/>
        <w:jc w:val="center"/>
        <w:rPr>
          <w:sz w:val="22"/>
          <w:szCs w:val="22"/>
        </w:rPr>
        <w:sectPr>
          <w:pgSz w:w="16840" w:h="11907" w:orient="landscape"/>
          <w:pgMar w:top="1797" w:right="1440" w:bottom="1797" w:left="1440" w:header="907" w:footer="907" w:gutter="0"/>
          <w:pgNumType w:fmt="upperRoman" w:start="1"/>
          <w:cols w:space="425" w:num="1"/>
          <w:docGrid w:linePitch="380" w:charSpace="0"/>
        </w:sectPr>
      </w:pPr>
    </w:p>
    <w:p w14:paraId="53F0DDBA">
      <w:pPr>
        <w:pStyle w:val="119"/>
        <w:spacing w:line="240" w:lineRule="auto"/>
        <w:ind w:firstLine="0" w:firstLineChars="0"/>
        <w:jc w:val="center"/>
        <w:rPr>
          <w:sz w:val="22"/>
          <w:szCs w:val="22"/>
        </w:rPr>
      </w:pPr>
      <w:r>
        <w:rPr>
          <w:rFonts w:ascii="等线" w:hAnsi="等线" w:eastAsia="等线"/>
          <w:kern w:val="2"/>
          <w:sz w:val="22"/>
          <w:szCs w:val="24"/>
          <w14:ligatures w14:val="standardContextual"/>
        </w:rPr>
        <w:drawing>
          <wp:inline distT="0" distB="0" distL="0" distR="0">
            <wp:extent cx="5266690" cy="8315325"/>
            <wp:effectExtent l="0" t="0" r="10160" b="9525"/>
            <wp:docPr id="48919328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93284" name="图片 1" descr="表格&#10;&#10;描述已自动生成"/>
                    <pic:cNvPicPr>
                      <a:picLocks noChangeAspect="1"/>
                    </pic:cNvPicPr>
                  </pic:nvPicPr>
                  <pic:blipFill>
                    <a:blip r:embed="rId44"/>
                    <a:stretch>
                      <a:fillRect/>
                    </a:stretch>
                  </pic:blipFill>
                  <pic:spPr>
                    <a:xfrm>
                      <a:off x="0" y="0"/>
                      <a:ext cx="5266690" cy="8315325"/>
                    </a:xfrm>
                    <a:prstGeom prst="rect">
                      <a:avLst/>
                    </a:prstGeom>
                  </pic:spPr>
                </pic:pic>
              </a:graphicData>
            </a:graphic>
          </wp:inline>
        </w:drawing>
      </w:r>
    </w:p>
    <w:p w14:paraId="7DFA5860">
      <w:pPr>
        <w:pStyle w:val="119"/>
        <w:spacing w:line="240" w:lineRule="auto"/>
        <w:ind w:firstLine="0" w:firstLineChars="0"/>
        <w:jc w:val="center"/>
        <w:rPr>
          <w:sz w:val="22"/>
          <w:szCs w:val="22"/>
        </w:rPr>
      </w:pPr>
    </w:p>
    <w:p w14:paraId="670524E0">
      <w:pPr>
        <w:pStyle w:val="119"/>
        <w:spacing w:line="240" w:lineRule="auto"/>
        <w:ind w:firstLine="0" w:firstLineChars="0"/>
        <w:jc w:val="center"/>
        <w:rPr>
          <w:sz w:val="22"/>
          <w:szCs w:val="22"/>
        </w:rPr>
        <w:sectPr>
          <w:pgSz w:w="11907" w:h="16840"/>
          <w:pgMar w:top="1440" w:right="1797" w:bottom="1440" w:left="1797" w:header="907" w:footer="907" w:gutter="0"/>
          <w:pgNumType w:fmt="upperRoman" w:start="1"/>
          <w:cols w:space="425" w:num="1"/>
          <w:docGrid w:linePitch="380" w:charSpace="0"/>
        </w:sectPr>
      </w:pPr>
    </w:p>
    <w:p w14:paraId="543162FF">
      <w:pPr>
        <w:pStyle w:val="119"/>
        <w:spacing w:line="240" w:lineRule="auto"/>
        <w:ind w:firstLine="0" w:firstLineChars="0"/>
        <w:jc w:val="center"/>
        <w:rPr>
          <w:sz w:val="22"/>
          <w:szCs w:val="22"/>
        </w:rPr>
        <w:sectPr>
          <w:pgSz w:w="16840" w:h="11907" w:orient="landscape"/>
          <w:pgMar w:top="1797" w:right="1440" w:bottom="1797" w:left="1440" w:header="907" w:footer="907" w:gutter="0"/>
          <w:pgNumType w:fmt="upperRoman" w:start="1"/>
          <w:cols w:space="425" w:num="1"/>
          <w:docGrid w:linePitch="380" w:charSpace="0"/>
        </w:sectPr>
      </w:pPr>
      <w:r>
        <w:rPr>
          <w:rFonts w:ascii="等线" w:hAnsi="等线" w:eastAsia="等线"/>
          <w:kern w:val="2"/>
          <w:sz w:val="22"/>
          <w:szCs w:val="24"/>
          <w14:ligatures w14:val="standardContextual"/>
        </w:rPr>
        <w:drawing>
          <wp:inline distT="0" distB="0" distL="0" distR="0">
            <wp:extent cx="7463155" cy="5173980"/>
            <wp:effectExtent l="0" t="0" r="4445" b="7620"/>
            <wp:docPr id="663658552" name="图片 3"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58552" name="图片 3" descr="图片包含 文本&#10;&#10;描述已自动生成"/>
                    <pic:cNvPicPr>
                      <a:picLocks noChangeAspect="1"/>
                    </pic:cNvPicPr>
                  </pic:nvPicPr>
                  <pic:blipFill>
                    <a:blip r:embed="rId45"/>
                    <a:stretch>
                      <a:fillRect/>
                    </a:stretch>
                  </pic:blipFill>
                  <pic:spPr>
                    <a:xfrm>
                      <a:off x="0" y="0"/>
                      <a:ext cx="7463155" cy="5173980"/>
                    </a:xfrm>
                    <a:prstGeom prst="rect">
                      <a:avLst/>
                    </a:prstGeom>
                  </pic:spPr>
                </pic:pic>
              </a:graphicData>
            </a:graphic>
          </wp:inline>
        </w:drawing>
      </w:r>
    </w:p>
    <w:p w14:paraId="1D3E9045">
      <w:pPr>
        <w:pStyle w:val="32"/>
        <w:rPr>
          <w:rFonts w:ascii="Times New Roman" w:hAnsi="Times New Roman" w:cs="Times New Roman"/>
        </w:rPr>
      </w:pPr>
      <w:r>
        <w:rPr>
          <w:rFonts w:ascii="Times New Roman" w:hAnsi="Times New Roman" w:cs="Times New Roman"/>
        </w:rPr>
        <w:t>目  录</w:t>
      </w:r>
      <w:bookmarkEnd w:id="0"/>
    </w:p>
    <w:p w14:paraId="185E385F">
      <w:pPr>
        <w:pStyle w:val="30"/>
        <w:rPr>
          <w:rFonts w:asciiTheme="minorHAnsi" w:hAnsiTheme="minorHAnsi" w:eastAsiaTheme="minorEastAsia" w:cstheme="minorBidi"/>
          <w:b w:val="0"/>
          <w:bCs w:val="0"/>
          <w:caps w:val="0"/>
          <w:kern w:val="2"/>
          <w:sz w:val="22"/>
          <w:szCs w:val="24"/>
          <w14:ligatures w14:val="standardContextual"/>
        </w:rPr>
      </w:pPr>
      <w:r>
        <w:rPr>
          <w:smallCaps/>
          <w:sz w:val="24"/>
          <w:szCs w:val="20"/>
        </w:rPr>
        <w:fldChar w:fldCharType="begin"/>
      </w:r>
      <w:r>
        <w:instrText xml:space="preserve"> TOC \o "1-2" \f \u </w:instrText>
      </w:r>
      <w:r>
        <w:rPr>
          <w:smallCaps/>
          <w:sz w:val="24"/>
          <w:szCs w:val="20"/>
        </w:rPr>
        <w:fldChar w:fldCharType="separate"/>
      </w:r>
      <w:r>
        <w:rPr>
          <w:rFonts w:hint="eastAsia"/>
        </w:rPr>
        <w:t>第 1 章 概 述</w:t>
      </w:r>
      <w:r>
        <w:rPr>
          <w:rFonts w:hint="eastAsia"/>
        </w:rPr>
        <w:tab/>
      </w:r>
      <w:r>
        <w:rPr>
          <w:rFonts w:hint="eastAsia"/>
        </w:rPr>
        <w:fldChar w:fldCharType="begin"/>
      </w:r>
      <w:r>
        <w:rPr>
          <w:rFonts w:hint="eastAsia"/>
        </w:rPr>
        <w:instrText xml:space="preserve"> </w:instrText>
      </w:r>
      <w:r>
        <w:instrText xml:space="preserve">PAGEREF _Toc176105837 \h</w:instrText>
      </w:r>
      <w:r>
        <w:rPr>
          <w:rFonts w:hint="eastAsia"/>
        </w:rPr>
        <w:instrText xml:space="preserve"> </w:instrText>
      </w:r>
      <w:r>
        <w:rPr>
          <w:rFonts w:hint="eastAsia"/>
        </w:rPr>
        <w:fldChar w:fldCharType="separate"/>
      </w:r>
      <w:r>
        <w:t>1</w:t>
      </w:r>
      <w:r>
        <w:rPr>
          <w:rFonts w:hint="eastAsia"/>
        </w:rPr>
        <w:fldChar w:fldCharType="end"/>
      </w:r>
    </w:p>
    <w:p w14:paraId="71A550E7">
      <w:pPr>
        <w:pStyle w:val="33"/>
        <w:rPr>
          <w:rFonts w:asciiTheme="minorHAnsi" w:hAnsiTheme="minorHAnsi" w:eastAsiaTheme="minorEastAsia" w:cstheme="minorBidi"/>
          <w:smallCaps w:val="0"/>
          <w:kern w:val="2"/>
          <w:sz w:val="22"/>
          <w:szCs w:val="24"/>
          <w14:ligatures w14:val="standardContextual"/>
        </w:rPr>
      </w:pPr>
      <w:r>
        <w:rPr>
          <w:rFonts w:hint="eastAsia"/>
        </w:rPr>
        <w:t>1.1 项目由来</w:t>
      </w:r>
      <w:r>
        <w:rPr>
          <w:rFonts w:hint="eastAsia"/>
        </w:rPr>
        <w:tab/>
      </w:r>
      <w:r>
        <w:rPr>
          <w:rFonts w:hint="eastAsia"/>
        </w:rPr>
        <w:fldChar w:fldCharType="begin"/>
      </w:r>
      <w:r>
        <w:rPr>
          <w:rFonts w:hint="eastAsia"/>
        </w:rPr>
        <w:instrText xml:space="preserve"> </w:instrText>
      </w:r>
      <w:r>
        <w:instrText xml:space="preserve">PAGEREF _Toc176105838 \h</w:instrText>
      </w:r>
      <w:r>
        <w:rPr>
          <w:rFonts w:hint="eastAsia"/>
        </w:rPr>
        <w:instrText xml:space="preserve"> </w:instrText>
      </w:r>
      <w:r>
        <w:rPr>
          <w:rFonts w:hint="eastAsia"/>
        </w:rPr>
        <w:fldChar w:fldCharType="separate"/>
      </w:r>
      <w:r>
        <w:t>1</w:t>
      </w:r>
      <w:r>
        <w:rPr>
          <w:rFonts w:hint="eastAsia"/>
        </w:rPr>
        <w:fldChar w:fldCharType="end"/>
      </w:r>
    </w:p>
    <w:p w14:paraId="6E1D9731">
      <w:pPr>
        <w:pStyle w:val="33"/>
        <w:rPr>
          <w:rFonts w:asciiTheme="minorHAnsi" w:hAnsiTheme="minorHAnsi" w:eastAsiaTheme="minorEastAsia" w:cstheme="minorBidi"/>
          <w:smallCaps w:val="0"/>
          <w:kern w:val="2"/>
          <w:sz w:val="22"/>
          <w:szCs w:val="24"/>
          <w14:ligatures w14:val="standardContextual"/>
        </w:rPr>
      </w:pPr>
      <w:r>
        <w:rPr>
          <w:rFonts w:hint="eastAsia"/>
        </w:rPr>
        <w:t>1.2 工程和环境特点</w:t>
      </w:r>
      <w:r>
        <w:rPr>
          <w:rFonts w:hint="eastAsia"/>
        </w:rPr>
        <w:tab/>
      </w:r>
      <w:r>
        <w:rPr>
          <w:rFonts w:hint="eastAsia"/>
        </w:rPr>
        <w:fldChar w:fldCharType="begin"/>
      </w:r>
      <w:r>
        <w:rPr>
          <w:rFonts w:hint="eastAsia"/>
        </w:rPr>
        <w:instrText xml:space="preserve"> </w:instrText>
      </w:r>
      <w:r>
        <w:instrText xml:space="preserve">PAGEREF _Toc176105839 \h</w:instrText>
      </w:r>
      <w:r>
        <w:rPr>
          <w:rFonts w:hint="eastAsia"/>
        </w:rPr>
        <w:instrText xml:space="preserve"> </w:instrText>
      </w:r>
      <w:r>
        <w:rPr>
          <w:rFonts w:hint="eastAsia"/>
        </w:rPr>
        <w:fldChar w:fldCharType="separate"/>
      </w:r>
      <w:r>
        <w:t>3</w:t>
      </w:r>
      <w:r>
        <w:rPr>
          <w:rFonts w:hint="eastAsia"/>
        </w:rPr>
        <w:fldChar w:fldCharType="end"/>
      </w:r>
    </w:p>
    <w:p w14:paraId="003E1496">
      <w:pPr>
        <w:pStyle w:val="33"/>
        <w:rPr>
          <w:rFonts w:asciiTheme="minorHAnsi" w:hAnsiTheme="minorHAnsi" w:eastAsiaTheme="minorEastAsia" w:cstheme="minorBidi"/>
          <w:smallCaps w:val="0"/>
          <w:kern w:val="2"/>
          <w:sz w:val="22"/>
          <w:szCs w:val="24"/>
          <w14:ligatures w14:val="standardContextual"/>
        </w:rPr>
      </w:pPr>
      <w:r>
        <w:rPr>
          <w:rFonts w:hint="eastAsia"/>
        </w:rPr>
        <w:t>1.3 环境影响评价的工作过程</w:t>
      </w:r>
      <w:r>
        <w:rPr>
          <w:rFonts w:hint="eastAsia"/>
        </w:rPr>
        <w:tab/>
      </w:r>
      <w:r>
        <w:rPr>
          <w:rFonts w:hint="eastAsia"/>
        </w:rPr>
        <w:fldChar w:fldCharType="begin"/>
      </w:r>
      <w:r>
        <w:rPr>
          <w:rFonts w:hint="eastAsia"/>
        </w:rPr>
        <w:instrText xml:space="preserve"> </w:instrText>
      </w:r>
      <w:r>
        <w:instrText xml:space="preserve">PAGEREF _Toc176105840 \h</w:instrText>
      </w:r>
      <w:r>
        <w:rPr>
          <w:rFonts w:hint="eastAsia"/>
        </w:rPr>
        <w:instrText xml:space="preserve"> </w:instrText>
      </w:r>
      <w:r>
        <w:rPr>
          <w:rFonts w:hint="eastAsia"/>
        </w:rPr>
        <w:fldChar w:fldCharType="separate"/>
      </w:r>
      <w:r>
        <w:t>6</w:t>
      </w:r>
      <w:r>
        <w:rPr>
          <w:rFonts w:hint="eastAsia"/>
        </w:rPr>
        <w:fldChar w:fldCharType="end"/>
      </w:r>
    </w:p>
    <w:p w14:paraId="68A8739D">
      <w:pPr>
        <w:pStyle w:val="33"/>
        <w:rPr>
          <w:rFonts w:asciiTheme="minorHAnsi" w:hAnsiTheme="minorHAnsi" w:eastAsiaTheme="minorEastAsia" w:cstheme="minorBidi"/>
          <w:smallCaps w:val="0"/>
          <w:kern w:val="2"/>
          <w:sz w:val="22"/>
          <w:szCs w:val="24"/>
          <w14:ligatures w14:val="standardContextual"/>
        </w:rPr>
      </w:pPr>
      <w:r>
        <w:rPr>
          <w:rFonts w:hint="eastAsia"/>
        </w:rPr>
        <w:t>1.4 关注的主要环境问题及环境影响</w:t>
      </w:r>
      <w:r>
        <w:rPr>
          <w:rFonts w:hint="eastAsia"/>
        </w:rPr>
        <w:tab/>
      </w:r>
      <w:r>
        <w:rPr>
          <w:rFonts w:hint="eastAsia"/>
        </w:rPr>
        <w:fldChar w:fldCharType="begin"/>
      </w:r>
      <w:r>
        <w:rPr>
          <w:rFonts w:hint="eastAsia"/>
        </w:rPr>
        <w:instrText xml:space="preserve"> </w:instrText>
      </w:r>
      <w:r>
        <w:instrText xml:space="preserve">PAGEREF _Toc176105841 \h</w:instrText>
      </w:r>
      <w:r>
        <w:rPr>
          <w:rFonts w:hint="eastAsia"/>
        </w:rPr>
        <w:instrText xml:space="preserve"> </w:instrText>
      </w:r>
      <w:r>
        <w:rPr>
          <w:rFonts w:hint="eastAsia"/>
        </w:rPr>
        <w:fldChar w:fldCharType="separate"/>
      </w:r>
      <w:r>
        <w:t>6</w:t>
      </w:r>
      <w:r>
        <w:rPr>
          <w:rFonts w:hint="eastAsia"/>
        </w:rPr>
        <w:fldChar w:fldCharType="end"/>
      </w:r>
    </w:p>
    <w:p w14:paraId="216845ED">
      <w:pPr>
        <w:pStyle w:val="33"/>
        <w:rPr>
          <w:rFonts w:asciiTheme="minorHAnsi" w:hAnsiTheme="minorHAnsi" w:eastAsiaTheme="minorEastAsia" w:cstheme="minorBidi"/>
          <w:smallCaps w:val="0"/>
          <w:kern w:val="2"/>
          <w:sz w:val="22"/>
          <w:szCs w:val="24"/>
          <w14:ligatures w14:val="standardContextual"/>
        </w:rPr>
      </w:pPr>
      <w:r>
        <w:rPr>
          <w:rFonts w:hint="eastAsia"/>
        </w:rPr>
        <w:t>1.5 与产业政策、区域规划的相符性</w:t>
      </w:r>
      <w:r>
        <w:rPr>
          <w:rFonts w:hint="eastAsia"/>
        </w:rPr>
        <w:tab/>
      </w:r>
      <w:r>
        <w:rPr>
          <w:rFonts w:hint="eastAsia"/>
        </w:rPr>
        <w:fldChar w:fldCharType="begin"/>
      </w:r>
      <w:r>
        <w:rPr>
          <w:rFonts w:hint="eastAsia"/>
        </w:rPr>
        <w:instrText xml:space="preserve"> </w:instrText>
      </w:r>
      <w:r>
        <w:instrText xml:space="preserve">PAGEREF _Toc176105842 \h</w:instrText>
      </w:r>
      <w:r>
        <w:rPr>
          <w:rFonts w:hint="eastAsia"/>
        </w:rPr>
        <w:instrText xml:space="preserve"> </w:instrText>
      </w:r>
      <w:r>
        <w:rPr>
          <w:rFonts w:hint="eastAsia"/>
        </w:rPr>
        <w:fldChar w:fldCharType="separate"/>
      </w:r>
      <w:r>
        <w:t>7</w:t>
      </w:r>
      <w:r>
        <w:rPr>
          <w:rFonts w:hint="eastAsia"/>
        </w:rPr>
        <w:fldChar w:fldCharType="end"/>
      </w:r>
    </w:p>
    <w:p w14:paraId="384F4893">
      <w:pPr>
        <w:pStyle w:val="33"/>
        <w:rPr>
          <w:rFonts w:asciiTheme="minorHAnsi" w:hAnsiTheme="minorHAnsi" w:eastAsiaTheme="minorEastAsia" w:cstheme="minorBidi"/>
          <w:smallCaps w:val="0"/>
          <w:kern w:val="2"/>
          <w:sz w:val="22"/>
          <w:szCs w:val="24"/>
          <w14:ligatures w14:val="standardContextual"/>
        </w:rPr>
      </w:pPr>
      <w:r>
        <w:rPr>
          <w:rFonts w:hint="eastAsia"/>
        </w:rPr>
        <w:t>1.6 评价思路及重点</w:t>
      </w:r>
      <w:r>
        <w:rPr>
          <w:rFonts w:hint="eastAsia"/>
        </w:rPr>
        <w:tab/>
      </w:r>
      <w:r>
        <w:rPr>
          <w:rFonts w:hint="eastAsia"/>
        </w:rPr>
        <w:fldChar w:fldCharType="begin"/>
      </w:r>
      <w:r>
        <w:rPr>
          <w:rFonts w:hint="eastAsia"/>
        </w:rPr>
        <w:instrText xml:space="preserve"> </w:instrText>
      </w:r>
      <w:r>
        <w:instrText xml:space="preserve">PAGEREF _Toc176105843 \h</w:instrText>
      </w:r>
      <w:r>
        <w:rPr>
          <w:rFonts w:hint="eastAsia"/>
        </w:rPr>
        <w:instrText xml:space="preserve"> </w:instrText>
      </w:r>
      <w:r>
        <w:rPr>
          <w:rFonts w:hint="eastAsia"/>
        </w:rPr>
        <w:fldChar w:fldCharType="separate"/>
      </w:r>
      <w:r>
        <w:t>7</w:t>
      </w:r>
      <w:r>
        <w:rPr>
          <w:rFonts w:hint="eastAsia"/>
        </w:rPr>
        <w:fldChar w:fldCharType="end"/>
      </w:r>
    </w:p>
    <w:p w14:paraId="54A00113">
      <w:pPr>
        <w:pStyle w:val="33"/>
        <w:rPr>
          <w:rFonts w:asciiTheme="minorHAnsi" w:hAnsiTheme="minorHAnsi" w:eastAsiaTheme="minorEastAsia" w:cstheme="minorBidi"/>
          <w:smallCaps w:val="0"/>
          <w:kern w:val="2"/>
          <w:sz w:val="22"/>
          <w:szCs w:val="24"/>
          <w14:ligatures w14:val="standardContextual"/>
        </w:rPr>
      </w:pPr>
      <w:r>
        <w:rPr>
          <w:rFonts w:hint="eastAsia"/>
        </w:rPr>
        <w:t>1.7 评价工作程序</w:t>
      </w:r>
      <w:r>
        <w:rPr>
          <w:rFonts w:hint="eastAsia"/>
        </w:rPr>
        <w:tab/>
      </w:r>
      <w:r>
        <w:rPr>
          <w:rFonts w:hint="eastAsia"/>
        </w:rPr>
        <w:fldChar w:fldCharType="begin"/>
      </w:r>
      <w:r>
        <w:rPr>
          <w:rFonts w:hint="eastAsia"/>
        </w:rPr>
        <w:instrText xml:space="preserve"> </w:instrText>
      </w:r>
      <w:r>
        <w:instrText xml:space="preserve">PAGEREF _Toc176105844 \h</w:instrText>
      </w:r>
      <w:r>
        <w:rPr>
          <w:rFonts w:hint="eastAsia"/>
        </w:rPr>
        <w:instrText xml:space="preserve"> </w:instrText>
      </w:r>
      <w:r>
        <w:rPr>
          <w:rFonts w:hint="eastAsia"/>
        </w:rPr>
        <w:fldChar w:fldCharType="separate"/>
      </w:r>
      <w:r>
        <w:t>9</w:t>
      </w:r>
      <w:r>
        <w:rPr>
          <w:rFonts w:hint="eastAsia"/>
        </w:rPr>
        <w:fldChar w:fldCharType="end"/>
      </w:r>
    </w:p>
    <w:p w14:paraId="19560F4B">
      <w:pPr>
        <w:pStyle w:val="33"/>
        <w:rPr>
          <w:rFonts w:asciiTheme="minorHAnsi" w:hAnsiTheme="minorHAnsi" w:eastAsiaTheme="minorEastAsia" w:cstheme="minorBidi"/>
          <w:smallCaps w:val="0"/>
          <w:kern w:val="2"/>
          <w:sz w:val="22"/>
          <w:szCs w:val="24"/>
          <w14:ligatures w14:val="standardContextual"/>
        </w:rPr>
      </w:pPr>
      <w:r>
        <w:rPr>
          <w:rFonts w:hint="eastAsia"/>
        </w:rPr>
        <w:t>1.8 环境影响评价的主要结论</w:t>
      </w:r>
      <w:r>
        <w:rPr>
          <w:rFonts w:hint="eastAsia"/>
        </w:rPr>
        <w:tab/>
      </w:r>
      <w:r>
        <w:rPr>
          <w:rFonts w:hint="eastAsia"/>
        </w:rPr>
        <w:fldChar w:fldCharType="begin"/>
      </w:r>
      <w:r>
        <w:rPr>
          <w:rFonts w:hint="eastAsia"/>
        </w:rPr>
        <w:instrText xml:space="preserve"> </w:instrText>
      </w:r>
      <w:r>
        <w:instrText xml:space="preserve">PAGEREF _Toc176105845 \h</w:instrText>
      </w:r>
      <w:r>
        <w:rPr>
          <w:rFonts w:hint="eastAsia"/>
        </w:rPr>
        <w:instrText xml:space="preserve"> </w:instrText>
      </w:r>
      <w:r>
        <w:rPr>
          <w:rFonts w:hint="eastAsia"/>
        </w:rPr>
        <w:fldChar w:fldCharType="separate"/>
      </w:r>
      <w:r>
        <w:t>10</w:t>
      </w:r>
      <w:r>
        <w:rPr>
          <w:rFonts w:hint="eastAsia"/>
        </w:rPr>
        <w:fldChar w:fldCharType="end"/>
      </w:r>
    </w:p>
    <w:p w14:paraId="15957E79">
      <w:pPr>
        <w:pStyle w:val="30"/>
        <w:rPr>
          <w:rFonts w:asciiTheme="minorHAnsi" w:hAnsiTheme="minorHAnsi" w:eastAsiaTheme="minorEastAsia" w:cstheme="minorBidi"/>
          <w:b w:val="0"/>
          <w:bCs w:val="0"/>
          <w:caps w:val="0"/>
          <w:kern w:val="2"/>
          <w:sz w:val="22"/>
          <w:szCs w:val="24"/>
          <w14:ligatures w14:val="standardContextual"/>
        </w:rPr>
      </w:pPr>
      <w:r>
        <w:rPr>
          <w:rFonts w:hint="eastAsia"/>
        </w:rPr>
        <w:t>第 2 章 总 则</w:t>
      </w:r>
      <w:r>
        <w:rPr>
          <w:rFonts w:hint="eastAsia"/>
        </w:rPr>
        <w:tab/>
      </w:r>
      <w:r>
        <w:rPr>
          <w:rFonts w:hint="eastAsia"/>
        </w:rPr>
        <w:fldChar w:fldCharType="begin"/>
      </w:r>
      <w:r>
        <w:rPr>
          <w:rFonts w:hint="eastAsia"/>
        </w:rPr>
        <w:instrText xml:space="preserve"> </w:instrText>
      </w:r>
      <w:r>
        <w:instrText xml:space="preserve">PAGEREF _Toc176105846 \h</w:instrText>
      </w:r>
      <w:r>
        <w:rPr>
          <w:rFonts w:hint="eastAsia"/>
        </w:rPr>
        <w:instrText xml:space="preserve"> </w:instrText>
      </w:r>
      <w:r>
        <w:rPr>
          <w:rFonts w:hint="eastAsia"/>
        </w:rPr>
        <w:fldChar w:fldCharType="separate"/>
      </w:r>
      <w:r>
        <w:t>11</w:t>
      </w:r>
      <w:r>
        <w:rPr>
          <w:rFonts w:hint="eastAsia"/>
        </w:rPr>
        <w:fldChar w:fldCharType="end"/>
      </w:r>
    </w:p>
    <w:p w14:paraId="2321B3B6">
      <w:pPr>
        <w:pStyle w:val="33"/>
        <w:rPr>
          <w:rFonts w:asciiTheme="minorHAnsi" w:hAnsiTheme="minorHAnsi" w:eastAsiaTheme="minorEastAsia" w:cstheme="minorBidi"/>
          <w:smallCaps w:val="0"/>
          <w:kern w:val="2"/>
          <w:sz w:val="22"/>
          <w:szCs w:val="24"/>
          <w14:ligatures w14:val="standardContextual"/>
        </w:rPr>
      </w:pPr>
      <w:r>
        <w:rPr>
          <w:rFonts w:hint="eastAsia"/>
        </w:rPr>
        <w:t>2.1 编制依据</w:t>
      </w:r>
      <w:r>
        <w:rPr>
          <w:rFonts w:hint="eastAsia"/>
        </w:rPr>
        <w:tab/>
      </w:r>
      <w:r>
        <w:rPr>
          <w:rFonts w:hint="eastAsia"/>
        </w:rPr>
        <w:fldChar w:fldCharType="begin"/>
      </w:r>
      <w:r>
        <w:rPr>
          <w:rFonts w:hint="eastAsia"/>
        </w:rPr>
        <w:instrText xml:space="preserve"> </w:instrText>
      </w:r>
      <w:r>
        <w:instrText xml:space="preserve">PAGEREF _Toc176105847 \h</w:instrText>
      </w:r>
      <w:r>
        <w:rPr>
          <w:rFonts w:hint="eastAsia"/>
        </w:rPr>
        <w:instrText xml:space="preserve"> </w:instrText>
      </w:r>
      <w:r>
        <w:rPr>
          <w:rFonts w:hint="eastAsia"/>
        </w:rPr>
        <w:fldChar w:fldCharType="separate"/>
      </w:r>
      <w:r>
        <w:t>11</w:t>
      </w:r>
      <w:r>
        <w:rPr>
          <w:rFonts w:hint="eastAsia"/>
        </w:rPr>
        <w:fldChar w:fldCharType="end"/>
      </w:r>
    </w:p>
    <w:p w14:paraId="5EF81918">
      <w:pPr>
        <w:pStyle w:val="33"/>
        <w:rPr>
          <w:rFonts w:asciiTheme="minorHAnsi" w:hAnsiTheme="minorHAnsi" w:eastAsiaTheme="minorEastAsia" w:cstheme="minorBidi"/>
          <w:smallCaps w:val="0"/>
          <w:kern w:val="2"/>
          <w:sz w:val="22"/>
          <w:szCs w:val="24"/>
          <w14:ligatures w14:val="standardContextual"/>
        </w:rPr>
      </w:pPr>
      <w:r>
        <w:rPr>
          <w:rFonts w:hint="eastAsia"/>
        </w:rPr>
        <w:t>2.2 评价对象、评价目的、评价原则</w:t>
      </w:r>
      <w:r>
        <w:rPr>
          <w:rFonts w:hint="eastAsia"/>
        </w:rPr>
        <w:tab/>
      </w:r>
      <w:r>
        <w:rPr>
          <w:rFonts w:hint="eastAsia"/>
        </w:rPr>
        <w:fldChar w:fldCharType="begin"/>
      </w:r>
      <w:r>
        <w:rPr>
          <w:rFonts w:hint="eastAsia"/>
        </w:rPr>
        <w:instrText xml:space="preserve"> </w:instrText>
      </w:r>
      <w:r>
        <w:instrText xml:space="preserve">PAGEREF _Toc176105848 \h</w:instrText>
      </w:r>
      <w:r>
        <w:rPr>
          <w:rFonts w:hint="eastAsia"/>
        </w:rPr>
        <w:instrText xml:space="preserve"> </w:instrText>
      </w:r>
      <w:r>
        <w:rPr>
          <w:rFonts w:hint="eastAsia"/>
        </w:rPr>
        <w:fldChar w:fldCharType="separate"/>
      </w:r>
      <w:r>
        <w:t>14</w:t>
      </w:r>
      <w:r>
        <w:rPr>
          <w:rFonts w:hint="eastAsia"/>
        </w:rPr>
        <w:fldChar w:fldCharType="end"/>
      </w:r>
    </w:p>
    <w:p w14:paraId="6EE78E99">
      <w:pPr>
        <w:pStyle w:val="33"/>
        <w:rPr>
          <w:rFonts w:asciiTheme="minorHAnsi" w:hAnsiTheme="minorHAnsi" w:eastAsiaTheme="minorEastAsia" w:cstheme="minorBidi"/>
          <w:smallCaps w:val="0"/>
          <w:kern w:val="2"/>
          <w:sz w:val="22"/>
          <w:szCs w:val="24"/>
          <w14:ligatures w14:val="standardContextual"/>
        </w:rPr>
      </w:pPr>
      <w:r>
        <w:rPr>
          <w:rFonts w:hint="eastAsia"/>
        </w:rPr>
        <w:t>2.3 环境影响因子识别与筛选</w:t>
      </w:r>
      <w:r>
        <w:rPr>
          <w:rFonts w:hint="eastAsia"/>
        </w:rPr>
        <w:tab/>
      </w:r>
      <w:r>
        <w:rPr>
          <w:rFonts w:hint="eastAsia"/>
        </w:rPr>
        <w:fldChar w:fldCharType="begin"/>
      </w:r>
      <w:r>
        <w:rPr>
          <w:rFonts w:hint="eastAsia"/>
        </w:rPr>
        <w:instrText xml:space="preserve"> </w:instrText>
      </w:r>
      <w:r>
        <w:instrText xml:space="preserve">PAGEREF _Toc176105849 \h</w:instrText>
      </w:r>
      <w:r>
        <w:rPr>
          <w:rFonts w:hint="eastAsia"/>
        </w:rPr>
        <w:instrText xml:space="preserve"> </w:instrText>
      </w:r>
      <w:r>
        <w:rPr>
          <w:rFonts w:hint="eastAsia"/>
        </w:rPr>
        <w:fldChar w:fldCharType="separate"/>
      </w:r>
      <w:r>
        <w:t>16</w:t>
      </w:r>
      <w:r>
        <w:rPr>
          <w:rFonts w:hint="eastAsia"/>
        </w:rPr>
        <w:fldChar w:fldCharType="end"/>
      </w:r>
    </w:p>
    <w:p w14:paraId="44567E77">
      <w:pPr>
        <w:pStyle w:val="33"/>
        <w:rPr>
          <w:rFonts w:asciiTheme="minorHAnsi" w:hAnsiTheme="minorHAnsi" w:eastAsiaTheme="minorEastAsia" w:cstheme="minorBidi"/>
          <w:smallCaps w:val="0"/>
          <w:kern w:val="2"/>
          <w:sz w:val="22"/>
          <w:szCs w:val="24"/>
          <w14:ligatures w14:val="standardContextual"/>
        </w:rPr>
      </w:pPr>
      <w:r>
        <w:rPr>
          <w:rFonts w:hint="eastAsia"/>
        </w:rPr>
        <w:t>2.4 评价等级</w:t>
      </w:r>
      <w:r>
        <w:rPr>
          <w:rFonts w:hint="eastAsia"/>
        </w:rPr>
        <w:tab/>
      </w:r>
      <w:r>
        <w:rPr>
          <w:rFonts w:hint="eastAsia"/>
        </w:rPr>
        <w:fldChar w:fldCharType="begin"/>
      </w:r>
      <w:r>
        <w:rPr>
          <w:rFonts w:hint="eastAsia"/>
        </w:rPr>
        <w:instrText xml:space="preserve"> </w:instrText>
      </w:r>
      <w:r>
        <w:instrText xml:space="preserve">PAGEREF _Toc176105850 \h</w:instrText>
      </w:r>
      <w:r>
        <w:rPr>
          <w:rFonts w:hint="eastAsia"/>
        </w:rPr>
        <w:instrText xml:space="preserve"> </w:instrText>
      </w:r>
      <w:r>
        <w:rPr>
          <w:rFonts w:hint="eastAsia"/>
        </w:rPr>
        <w:fldChar w:fldCharType="separate"/>
      </w:r>
      <w:r>
        <w:t>18</w:t>
      </w:r>
      <w:r>
        <w:rPr>
          <w:rFonts w:hint="eastAsia"/>
        </w:rPr>
        <w:fldChar w:fldCharType="end"/>
      </w:r>
    </w:p>
    <w:p w14:paraId="453E70E0">
      <w:pPr>
        <w:pStyle w:val="33"/>
        <w:rPr>
          <w:rFonts w:asciiTheme="minorHAnsi" w:hAnsiTheme="minorHAnsi" w:eastAsiaTheme="minorEastAsia" w:cstheme="minorBidi"/>
          <w:smallCaps w:val="0"/>
          <w:kern w:val="2"/>
          <w:sz w:val="22"/>
          <w:szCs w:val="24"/>
          <w14:ligatures w14:val="standardContextual"/>
        </w:rPr>
      </w:pPr>
      <w:r>
        <w:rPr>
          <w:rFonts w:hint="eastAsia"/>
        </w:rPr>
        <w:t>2.5 评价范围</w:t>
      </w:r>
      <w:r>
        <w:rPr>
          <w:rFonts w:hint="eastAsia"/>
        </w:rPr>
        <w:tab/>
      </w:r>
      <w:r>
        <w:rPr>
          <w:rFonts w:hint="eastAsia"/>
        </w:rPr>
        <w:fldChar w:fldCharType="begin"/>
      </w:r>
      <w:r>
        <w:rPr>
          <w:rFonts w:hint="eastAsia"/>
        </w:rPr>
        <w:instrText xml:space="preserve"> </w:instrText>
      </w:r>
      <w:r>
        <w:instrText xml:space="preserve">PAGEREF _Toc176105851 \h</w:instrText>
      </w:r>
      <w:r>
        <w:rPr>
          <w:rFonts w:hint="eastAsia"/>
        </w:rPr>
        <w:instrText xml:space="preserve"> </w:instrText>
      </w:r>
      <w:r>
        <w:rPr>
          <w:rFonts w:hint="eastAsia"/>
        </w:rPr>
        <w:fldChar w:fldCharType="separate"/>
      </w:r>
      <w:r>
        <w:t>30</w:t>
      </w:r>
      <w:r>
        <w:rPr>
          <w:rFonts w:hint="eastAsia"/>
        </w:rPr>
        <w:fldChar w:fldCharType="end"/>
      </w:r>
    </w:p>
    <w:p w14:paraId="077D0C75">
      <w:pPr>
        <w:pStyle w:val="33"/>
        <w:rPr>
          <w:rFonts w:asciiTheme="minorHAnsi" w:hAnsiTheme="minorHAnsi" w:eastAsiaTheme="minorEastAsia" w:cstheme="minorBidi"/>
          <w:smallCaps w:val="0"/>
          <w:kern w:val="2"/>
          <w:sz w:val="22"/>
          <w:szCs w:val="24"/>
          <w14:ligatures w14:val="standardContextual"/>
        </w:rPr>
      </w:pPr>
      <w:r>
        <w:rPr>
          <w:rFonts w:hint="eastAsia"/>
        </w:rPr>
        <w:t>2.6 环境敏感点概述</w:t>
      </w:r>
      <w:r>
        <w:rPr>
          <w:rFonts w:hint="eastAsia"/>
        </w:rPr>
        <w:tab/>
      </w:r>
      <w:r>
        <w:rPr>
          <w:rFonts w:hint="eastAsia"/>
        </w:rPr>
        <w:fldChar w:fldCharType="begin"/>
      </w:r>
      <w:r>
        <w:rPr>
          <w:rFonts w:hint="eastAsia"/>
        </w:rPr>
        <w:instrText xml:space="preserve"> </w:instrText>
      </w:r>
      <w:r>
        <w:instrText xml:space="preserve">PAGEREF _Toc176105852 \h</w:instrText>
      </w:r>
      <w:r>
        <w:rPr>
          <w:rFonts w:hint="eastAsia"/>
        </w:rPr>
        <w:instrText xml:space="preserve"> </w:instrText>
      </w:r>
      <w:r>
        <w:rPr>
          <w:rFonts w:hint="eastAsia"/>
        </w:rPr>
        <w:fldChar w:fldCharType="separate"/>
      </w:r>
      <w:r>
        <w:t>30</w:t>
      </w:r>
      <w:r>
        <w:rPr>
          <w:rFonts w:hint="eastAsia"/>
        </w:rPr>
        <w:fldChar w:fldCharType="end"/>
      </w:r>
    </w:p>
    <w:p w14:paraId="63539821">
      <w:pPr>
        <w:pStyle w:val="33"/>
        <w:rPr>
          <w:rFonts w:asciiTheme="minorHAnsi" w:hAnsiTheme="minorHAnsi" w:eastAsiaTheme="minorEastAsia" w:cstheme="minorBidi"/>
          <w:smallCaps w:val="0"/>
          <w:kern w:val="2"/>
          <w:sz w:val="22"/>
          <w:szCs w:val="24"/>
          <w14:ligatures w14:val="standardContextual"/>
        </w:rPr>
      </w:pPr>
      <w:r>
        <w:rPr>
          <w:rFonts w:hint="eastAsia"/>
        </w:rPr>
        <w:t>2.7 评价标准</w:t>
      </w:r>
      <w:r>
        <w:rPr>
          <w:rFonts w:hint="eastAsia"/>
        </w:rPr>
        <w:tab/>
      </w:r>
      <w:r>
        <w:rPr>
          <w:rFonts w:hint="eastAsia"/>
        </w:rPr>
        <w:fldChar w:fldCharType="begin"/>
      </w:r>
      <w:r>
        <w:rPr>
          <w:rFonts w:hint="eastAsia"/>
        </w:rPr>
        <w:instrText xml:space="preserve"> </w:instrText>
      </w:r>
      <w:r>
        <w:instrText xml:space="preserve">PAGEREF _Toc176105853 \h</w:instrText>
      </w:r>
      <w:r>
        <w:rPr>
          <w:rFonts w:hint="eastAsia"/>
        </w:rPr>
        <w:instrText xml:space="preserve"> </w:instrText>
      </w:r>
      <w:r>
        <w:rPr>
          <w:rFonts w:hint="eastAsia"/>
        </w:rPr>
        <w:fldChar w:fldCharType="separate"/>
      </w:r>
      <w:r>
        <w:t>36</w:t>
      </w:r>
      <w:r>
        <w:rPr>
          <w:rFonts w:hint="eastAsia"/>
        </w:rPr>
        <w:fldChar w:fldCharType="end"/>
      </w:r>
    </w:p>
    <w:p w14:paraId="19000999">
      <w:pPr>
        <w:pStyle w:val="33"/>
        <w:rPr>
          <w:rFonts w:asciiTheme="minorHAnsi" w:hAnsiTheme="minorHAnsi" w:eastAsiaTheme="minorEastAsia" w:cstheme="minorBidi"/>
          <w:smallCaps w:val="0"/>
          <w:kern w:val="2"/>
          <w:sz w:val="22"/>
          <w:szCs w:val="24"/>
          <w14:ligatures w14:val="standardContextual"/>
        </w:rPr>
      </w:pPr>
      <w:r>
        <w:rPr>
          <w:rFonts w:hint="eastAsia"/>
        </w:rPr>
        <w:t>2.8 环境功能区划</w:t>
      </w:r>
      <w:r>
        <w:rPr>
          <w:rFonts w:hint="eastAsia"/>
        </w:rPr>
        <w:tab/>
      </w:r>
      <w:r>
        <w:rPr>
          <w:rFonts w:hint="eastAsia"/>
        </w:rPr>
        <w:fldChar w:fldCharType="begin"/>
      </w:r>
      <w:r>
        <w:rPr>
          <w:rFonts w:hint="eastAsia"/>
        </w:rPr>
        <w:instrText xml:space="preserve"> </w:instrText>
      </w:r>
      <w:r>
        <w:instrText xml:space="preserve">PAGEREF _Toc176105854 \h</w:instrText>
      </w:r>
      <w:r>
        <w:rPr>
          <w:rFonts w:hint="eastAsia"/>
        </w:rPr>
        <w:instrText xml:space="preserve"> </w:instrText>
      </w:r>
      <w:r>
        <w:rPr>
          <w:rFonts w:hint="eastAsia"/>
        </w:rPr>
        <w:fldChar w:fldCharType="separate"/>
      </w:r>
      <w:r>
        <w:t>42</w:t>
      </w:r>
      <w:r>
        <w:rPr>
          <w:rFonts w:hint="eastAsia"/>
        </w:rPr>
        <w:fldChar w:fldCharType="end"/>
      </w:r>
    </w:p>
    <w:p w14:paraId="317D03BB">
      <w:pPr>
        <w:pStyle w:val="33"/>
        <w:rPr>
          <w:rFonts w:asciiTheme="minorHAnsi" w:hAnsiTheme="minorHAnsi" w:eastAsiaTheme="minorEastAsia" w:cstheme="minorBidi"/>
          <w:smallCaps w:val="0"/>
          <w:kern w:val="2"/>
          <w:sz w:val="22"/>
          <w:szCs w:val="24"/>
          <w14:ligatures w14:val="standardContextual"/>
        </w:rPr>
      </w:pPr>
      <w:r>
        <w:rPr>
          <w:rFonts w:hint="eastAsia"/>
        </w:rPr>
        <w:t>2.9 规划相符性分析</w:t>
      </w:r>
      <w:r>
        <w:rPr>
          <w:rFonts w:hint="eastAsia"/>
        </w:rPr>
        <w:tab/>
      </w:r>
      <w:r>
        <w:rPr>
          <w:rFonts w:hint="eastAsia"/>
        </w:rPr>
        <w:fldChar w:fldCharType="begin"/>
      </w:r>
      <w:r>
        <w:rPr>
          <w:rFonts w:hint="eastAsia"/>
        </w:rPr>
        <w:instrText xml:space="preserve"> </w:instrText>
      </w:r>
      <w:r>
        <w:instrText xml:space="preserve">PAGEREF _Toc176105855 \h</w:instrText>
      </w:r>
      <w:r>
        <w:rPr>
          <w:rFonts w:hint="eastAsia"/>
        </w:rPr>
        <w:instrText xml:space="preserve"> </w:instrText>
      </w:r>
      <w:r>
        <w:rPr>
          <w:rFonts w:hint="eastAsia"/>
        </w:rPr>
        <w:fldChar w:fldCharType="separate"/>
      </w:r>
      <w:r>
        <w:t>43</w:t>
      </w:r>
      <w:r>
        <w:rPr>
          <w:rFonts w:hint="eastAsia"/>
        </w:rPr>
        <w:fldChar w:fldCharType="end"/>
      </w:r>
    </w:p>
    <w:p w14:paraId="2404EBE9">
      <w:pPr>
        <w:pStyle w:val="33"/>
        <w:rPr>
          <w:rFonts w:asciiTheme="minorHAnsi" w:hAnsiTheme="minorHAnsi" w:eastAsiaTheme="minorEastAsia" w:cstheme="minorBidi"/>
          <w:smallCaps w:val="0"/>
          <w:kern w:val="2"/>
          <w:sz w:val="22"/>
          <w:szCs w:val="24"/>
          <w14:ligatures w14:val="standardContextual"/>
        </w:rPr>
      </w:pPr>
      <w:r>
        <w:rPr>
          <w:rFonts w:hint="eastAsia"/>
        </w:rPr>
        <w:t>2.10 政策相符性分析</w:t>
      </w:r>
      <w:r>
        <w:rPr>
          <w:rFonts w:hint="eastAsia"/>
        </w:rPr>
        <w:tab/>
      </w:r>
      <w:r>
        <w:rPr>
          <w:rFonts w:hint="eastAsia"/>
        </w:rPr>
        <w:fldChar w:fldCharType="begin"/>
      </w:r>
      <w:r>
        <w:rPr>
          <w:rFonts w:hint="eastAsia"/>
        </w:rPr>
        <w:instrText xml:space="preserve"> </w:instrText>
      </w:r>
      <w:r>
        <w:instrText xml:space="preserve">PAGEREF _Toc176105856 \h</w:instrText>
      </w:r>
      <w:r>
        <w:rPr>
          <w:rFonts w:hint="eastAsia"/>
        </w:rPr>
        <w:instrText xml:space="preserve"> </w:instrText>
      </w:r>
      <w:r>
        <w:rPr>
          <w:rFonts w:hint="eastAsia"/>
        </w:rPr>
        <w:fldChar w:fldCharType="separate"/>
      </w:r>
      <w:r>
        <w:t>64</w:t>
      </w:r>
      <w:r>
        <w:rPr>
          <w:rFonts w:hint="eastAsia"/>
        </w:rPr>
        <w:fldChar w:fldCharType="end"/>
      </w:r>
    </w:p>
    <w:p w14:paraId="6BDB0E5A">
      <w:pPr>
        <w:pStyle w:val="30"/>
        <w:rPr>
          <w:rFonts w:asciiTheme="minorHAnsi" w:hAnsiTheme="minorHAnsi" w:eastAsiaTheme="minorEastAsia" w:cstheme="minorBidi"/>
          <w:b w:val="0"/>
          <w:bCs w:val="0"/>
          <w:caps w:val="0"/>
          <w:kern w:val="2"/>
          <w:sz w:val="22"/>
          <w:szCs w:val="24"/>
          <w14:ligatures w14:val="standardContextual"/>
        </w:rPr>
      </w:pPr>
      <w:r>
        <w:rPr>
          <w:rFonts w:hint="eastAsia"/>
        </w:rPr>
        <w:t>第 3 章 工程分析</w:t>
      </w:r>
      <w:r>
        <w:rPr>
          <w:rFonts w:hint="eastAsia"/>
        </w:rPr>
        <w:tab/>
      </w:r>
      <w:r>
        <w:rPr>
          <w:rFonts w:hint="eastAsia"/>
        </w:rPr>
        <w:fldChar w:fldCharType="begin"/>
      </w:r>
      <w:r>
        <w:rPr>
          <w:rFonts w:hint="eastAsia"/>
        </w:rPr>
        <w:instrText xml:space="preserve"> </w:instrText>
      </w:r>
      <w:r>
        <w:instrText xml:space="preserve">PAGEREF _Toc176105857 \h</w:instrText>
      </w:r>
      <w:r>
        <w:rPr>
          <w:rFonts w:hint="eastAsia"/>
        </w:rPr>
        <w:instrText xml:space="preserve"> </w:instrText>
      </w:r>
      <w:r>
        <w:rPr>
          <w:rFonts w:hint="eastAsia"/>
        </w:rPr>
        <w:fldChar w:fldCharType="separate"/>
      </w:r>
      <w:r>
        <w:t>86</w:t>
      </w:r>
      <w:r>
        <w:rPr>
          <w:rFonts w:hint="eastAsia"/>
        </w:rPr>
        <w:fldChar w:fldCharType="end"/>
      </w:r>
    </w:p>
    <w:p w14:paraId="4DC28230">
      <w:pPr>
        <w:pStyle w:val="33"/>
        <w:rPr>
          <w:rFonts w:asciiTheme="minorHAnsi" w:hAnsiTheme="minorHAnsi" w:eastAsiaTheme="minorEastAsia" w:cstheme="minorBidi"/>
          <w:smallCaps w:val="0"/>
          <w:kern w:val="2"/>
          <w:sz w:val="22"/>
          <w:szCs w:val="24"/>
          <w14:ligatures w14:val="standardContextual"/>
        </w:rPr>
      </w:pPr>
      <w:r>
        <w:rPr>
          <w:rFonts w:hint="eastAsia"/>
        </w:rPr>
        <w:t>3.1 工程分析</w:t>
      </w:r>
      <w:r>
        <w:rPr>
          <w:rFonts w:hint="eastAsia"/>
        </w:rPr>
        <w:tab/>
      </w:r>
      <w:r>
        <w:rPr>
          <w:rFonts w:hint="eastAsia"/>
        </w:rPr>
        <w:fldChar w:fldCharType="begin"/>
      </w:r>
      <w:r>
        <w:rPr>
          <w:rFonts w:hint="eastAsia"/>
        </w:rPr>
        <w:instrText xml:space="preserve"> </w:instrText>
      </w:r>
      <w:r>
        <w:instrText xml:space="preserve">PAGEREF _Toc176105858 \h</w:instrText>
      </w:r>
      <w:r>
        <w:rPr>
          <w:rFonts w:hint="eastAsia"/>
        </w:rPr>
        <w:instrText xml:space="preserve"> </w:instrText>
      </w:r>
      <w:r>
        <w:rPr>
          <w:rFonts w:hint="eastAsia"/>
        </w:rPr>
        <w:fldChar w:fldCharType="separate"/>
      </w:r>
      <w:r>
        <w:t>86</w:t>
      </w:r>
      <w:r>
        <w:rPr>
          <w:rFonts w:hint="eastAsia"/>
        </w:rPr>
        <w:fldChar w:fldCharType="end"/>
      </w:r>
    </w:p>
    <w:p w14:paraId="3A095011">
      <w:pPr>
        <w:pStyle w:val="33"/>
        <w:rPr>
          <w:rFonts w:asciiTheme="minorHAnsi" w:hAnsiTheme="minorHAnsi" w:eastAsiaTheme="minorEastAsia" w:cstheme="minorBidi"/>
          <w:smallCaps w:val="0"/>
          <w:kern w:val="2"/>
          <w:sz w:val="22"/>
          <w:szCs w:val="24"/>
          <w14:ligatures w14:val="standardContextual"/>
        </w:rPr>
      </w:pPr>
      <w:r>
        <w:rPr>
          <w:rFonts w:hint="eastAsia"/>
        </w:rPr>
        <w:t>3.2 污染物产排情况</w:t>
      </w:r>
      <w:r>
        <w:rPr>
          <w:rFonts w:hint="eastAsia"/>
        </w:rPr>
        <w:tab/>
      </w:r>
      <w:r>
        <w:rPr>
          <w:rFonts w:hint="eastAsia"/>
        </w:rPr>
        <w:fldChar w:fldCharType="begin"/>
      </w:r>
      <w:r>
        <w:rPr>
          <w:rFonts w:hint="eastAsia"/>
        </w:rPr>
        <w:instrText xml:space="preserve"> </w:instrText>
      </w:r>
      <w:r>
        <w:instrText xml:space="preserve">PAGEREF _Toc176105859 \h</w:instrText>
      </w:r>
      <w:r>
        <w:rPr>
          <w:rFonts w:hint="eastAsia"/>
        </w:rPr>
        <w:instrText xml:space="preserve"> </w:instrText>
      </w:r>
      <w:r>
        <w:rPr>
          <w:rFonts w:hint="eastAsia"/>
        </w:rPr>
        <w:fldChar w:fldCharType="separate"/>
      </w:r>
      <w:r>
        <w:t>108</w:t>
      </w:r>
      <w:r>
        <w:rPr>
          <w:rFonts w:hint="eastAsia"/>
        </w:rPr>
        <w:fldChar w:fldCharType="end"/>
      </w:r>
    </w:p>
    <w:p w14:paraId="125173D8">
      <w:pPr>
        <w:pStyle w:val="33"/>
        <w:rPr>
          <w:rFonts w:asciiTheme="minorHAnsi" w:hAnsiTheme="minorHAnsi" w:eastAsiaTheme="minorEastAsia" w:cstheme="minorBidi"/>
          <w:smallCaps w:val="0"/>
          <w:kern w:val="2"/>
          <w:sz w:val="22"/>
          <w:szCs w:val="24"/>
          <w14:ligatures w14:val="standardContextual"/>
        </w:rPr>
      </w:pPr>
      <w:r>
        <w:rPr>
          <w:rFonts w:hint="eastAsia"/>
        </w:rPr>
        <w:t>3.3 污染物排放情况汇总</w:t>
      </w:r>
      <w:r>
        <w:rPr>
          <w:rFonts w:hint="eastAsia"/>
        </w:rPr>
        <w:tab/>
      </w:r>
      <w:r>
        <w:rPr>
          <w:rFonts w:hint="eastAsia"/>
        </w:rPr>
        <w:fldChar w:fldCharType="begin"/>
      </w:r>
      <w:r>
        <w:rPr>
          <w:rFonts w:hint="eastAsia"/>
        </w:rPr>
        <w:instrText xml:space="preserve"> </w:instrText>
      </w:r>
      <w:r>
        <w:instrText xml:space="preserve">PAGEREF _Toc176105860 \h</w:instrText>
      </w:r>
      <w:r>
        <w:rPr>
          <w:rFonts w:hint="eastAsia"/>
        </w:rPr>
        <w:instrText xml:space="preserve"> </w:instrText>
      </w:r>
      <w:r>
        <w:rPr>
          <w:rFonts w:hint="eastAsia"/>
        </w:rPr>
        <w:fldChar w:fldCharType="separate"/>
      </w:r>
      <w:r>
        <w:t>132</w:t>
      </w:r>
      <w:r>
        <w:rPr>
          <w:rFonts w:hint="eastAsia"/>
        </w:rPr>
        <w:fldChar w:fldCharType="end"/>
      </w:r>
    </w:p>
    <w:p w14:paraId="59D5ECE0">
      <w:pPr>
        <w:pStyle w:val="33"/>
        <w:rPr>
          <w:rFonts w:asciiTheme="minorHAnsi" w:hAnsiTheme="minorHAnsi" w:eastAsiaTheme="minorEastAsia" w:cstheme="minorBidi"/>
          <w:smallCaps w:val="0"/>
          <w:kern w:val="2"/>
          <w:sz w:val="22"/>
          <w:szCs w:val="24"/>
          <w14:ligatures w14:val="standardContextual"/>
        </w:rPr>
      </w:pPr>
      <w:r>
        <w:rPr>
          <w:rFonts w:hint="eastAsia"/>
        </w:rPr>
        <w:t>3.4 非正常工况污染因素分析</w:t>
      </w:r>
      <w:r>
        <w:rPr>
          <w:rFonts w:hint="eastAsia"/>
        </w:rPr>
        <w:tab/>
      </w:r>
      <w:r>
        <w:rPr>
          <w:rFonts w:hint="eastAsia"/>
        </w:rPr>
        <w:fldChar w:fldCharType="begin"/>
      </w:r>
      <w:r>
        <w:rPr>
          <w:rFonts w:hint="eastAsia"/>
        </w:rPr>
        <w:instrText xml:space="preserve"> </w:instrText>
      </w:r>
      <w:r>
        <w:instrText xml:space="preserve">PAGEREF _Toc176105861 \h</w:instrText>
      </w:r>
      <w:r>
        <w:rPr>
          <w:rFonts w:hint="eastAsia"/>
        </w:rPr>
        <w:instrText xml:space="preserve"> </w:instrText>
      </w:r>
      <w:r>
        <w:rPr>
          <w:rFonts w:hint="eastAsia"/>
        </w:rPr>
        <w:fldChar w:fldCharType="separate"/>
      </w:r>
      <w:r>
        <w:t>134</w:t>
      </w:r>
      <w:r>
        <w:rPr>
          <w:rFonts w:hint="eastAsia"/>
        </w:rPr>
        <w:fldChar w:fldCharType="end"/>
      </w:r>
    </w:p>
    <w:p w14:paraId="7EED2B2F">
      <w:pPr>
        <w:pStyle w:val="33"/>
        <w:rPr>
          <w:rFonts w:asciiTheme="minorHAnsi" w:hAnsiTheme="minorHAnsi" w:eastAsiaTheme="minorEastAsia" w:cstheme="minorBidi"/>
          <w:smallCaps w:val="0"/>
          <w:kern w:val="2"/>
          <w:sz w:val="22"/>
          <w:szCs w:val="24"/>
          <w14:ligatures w14:val="standardContextual"/>
        </w:rPr>
      </w:pPr>
      <w:r>
        <w:rPr>
          <w:rFonts w:hint="eastAsia"/>
        </w:rPr>
        <w:t>3.5 清洁生产</w:t>
      </w:r>
      <w:r>
        <w:rPr>
          <w:rFonts w:hint="eastAsia"/>
        </w:rPr>
        <w:tab/>
      </w:r>
      <w:r>
        <w:rPr>
          <w:rFonts w:hint="eastAsia"/>
        </w:rPr>
        <w:fldChar w:fldCharType="begin"/>
      </w:r>
      <w:r>
        <w:rPr>
          <w:rFonts w:hint="eastAsia"/>
        </w:rPr>
        <w:instrText xml:space="preserve"> </w:instrText>
      </w:r>
      <w:r>
        <w:instrText xml:space="preserve">PAGEREF _Toc176105862 \h</w:instrText>
      </w:r>
      <w:r>
        <w:rPr>
          <w:rFonts w:hint="eastAsia"/>
        </w:rPr>
        <w:instrText xml:space="preserve"> </w:instrText>
      </w:r>
      <w:r>
        <w:rPr>
          <w:rFonts w:hint="eastAsia"/>
        </w:rPr>
        <w:fldChar w:fldCharType="separate"/>
      </w:r>
      <w:r>
        <w:t>135</w:t>
      </w:r>
      <w:r>
        <w:rPr>
          <w:rFonts w:hint="eastAsia"/>
        </w:rPr>
        <w:fldChar w:fldCharType="end"/>
      </w:r>
    </w:p>
    <w:p w14:paraId="6B9E93CC">
      <w:pPr>
        <w:pStyle w:val="30"/>
        <w:rPr>
          <w:rFonts w:asciiTheme="minorHAnsi" w:hAnsiTheme="minorHAnsi" w:eastAsiaTheme="minorEastAsia" w:cstheme="minorBidi"/>
          <w:b w:val="0"/>
          <w:bCs w:val="0"/>
          <w:caps w:val="0"/>
          <w:kern w:val="2"/>
          <w:sz w:val="22"/>
          <w:szCs w:val="24"/>
          <w14:ligatures w14:val="standardContextual"/>
        </w:rPr>
      </w:pPr>
      <w:r>
        <w:rPr>
          <w:rFonts w:hint="eastAsia"/>
        </w:rPr>
        <w:t>第 4 章 环境现状调查与评价</w:t>
      </w:r>
      <w:r>
        <w:rPr>
          <w:rFonts w:hint="eastAsia"/>
        </w:rPr>
        <w:tab/>
      </w:r>
      <w:r>
        <w:rPr>
          <w:rFonts w:hint="eastAsia"/>
        </w:rPr>
        <w:fldChar w:fldCharType="begin"/>
      </w:r>
      <w:r>
        <w:rPr>
          <w:rFonts w:hint="eastAsia"/>
        </w:rPr>
        <w:instrText xml:space="preserve"> </w:instrText>
      </w:r>
      <w:r>
        <w:instrText xml:space="preserve">PAGEREF _Toc176105863 \h</w:instrText>
      </w:r>
      <w:r>
        <w:rPr>
          <w:rFonts w:hint="eastAsia"/>
        </w:rPr>
        <w:instrText xml:space="preserve"> </w:instrText>
      </w:r>
      <w:r>
        <w:rPr>
          <w:rFonts w:hint="eastAsia"/>
        </w:rPr>
        <w:fldChar w:fldCharType="separate"/>
      </w:r>
      <w:r>
        <w:t>149</w:t>
      </w:r>
      <w:r>
        <w:rPr>
          <w:rFonts w:hint="eastAsia"/>
        </w:rPr>
        <w:fldChar w:fldCharType="end"/>
      </w:r>
    </w:p>
    <w:p w14:paraId="3D98DE57">
      <w:pPr>
        <w:pStyle w:val="33"/>
        <w:rPr>
          <w:rFonts w:asciiTheme="minorHAnsi" w:hAnsiTheme="minorHAnsi" w:eastAsiaTheme="minorEastAsia" w:cstheme="minorBidi"/>
          <w:smallCaps w:val="0"/>
          <w:kern w:val="2"/>
          <w:sz w:val="22"/>
          <w:szCs w:val="24"/>
          <w14:ligatures w14:val="standardContextual"/>
        </w:rPr>
      </w:pPr>
      <w:r>
        <w:rPr>
          <w:rFonts w:hint="eastAsia"/>
        </w:rPr>
        <w:t>4.1 区域环境概况</w:t>
      </w:r>
      <w:r>
        <w:rPr>
          <w:rFonts w:hint="eastAsia"/>
        </w:rPr>
        <w:tab/>
      </w:r>
      <w:r>
        <w:rPr>
          <w:rFonts w:hint="eastAsia"/>
        </w:rPr>
        <w:fldChar w:fldCharType="begin"/>
      </w:r>
      <w:r>
        <w:rPr>
          <w:rFonts w:hint="eastAsia"/>
        </w:rPr>
        <w:instrText xml:space="preserve"> </w:instrText>
      </w:r>
      <w:r>
        <w:instrText xml:space="preserve">PAGEREF _Toc176105864 \h</w:instrText>
      </w:r>
      <w:r>
        <w:rPr>
          <w:rFonts w:hint="eastAsia"/>
        </w:rPr>
        <w:instrText xml:space="preserve"> </w:instrText>
      </w:r>
      <w:r>
        <w:rPr>
          <w:rFonts w:hint="eastAsia"/>
        </w:rPr>
        <w:fldChar w:fldCharType="separate"/>
      </w:r>
      <w:r>
        <w:t>149</w:t>
      </w:r>
      <w:r>
        <w:rPr>
          <w:rFonts w:hint="eastAsia"/>
        </w:rPr>
        <w:fldChar w:fldCharType="end"/>
      </w:r>
    </w:p>
    <w:p w14:paraId="2C96725E">
      <w:pPr>
        <w:pStyle w:val="33"/>
        <w:rPr>
          <w:rFonts w:asciiTheme="minorHAnsi" w:hAnsiTheme="minorHAnsi" w:eastAsiaTheme="minorEastAsia" w:cstheme="minorBidi"/>
          <w:smallCaps w:val="0"/>
          <w:kern w:val="2"/>
          <w:sz w:val="22"/>
          <w:szCs w:val="24"/>
          <w14:ligatures w14:val="standardContextual"/>
        </w:rPr>
      </w:pPr>
      <w:r>
        <w:rPr>
          <w:rFonts w:hint="eastAsia"/>
        </w:rPr>
        <w:t>4.2 项目所在地环境功能区划</w:t>
      </w:r>
      <w:r>
        <w:rPr>
          <w:rFonts w:hint="eastAsia"/>
        </w:rPr>
        <w:tab/>
      </w:r>
      <w:r>
        <w:rPr>
          <w:rFonts w:hint="eastAsia"/>
        </w:rPr>
        <w:fldChar w:fldCharType="begin"/>
      </w:r>
      <w:r>
        <w:rPr>
          <w:rFonts w:hint="eastAsia"/>
        </w:rPr>
        <w:instrText xml:space="preserve"> </w:instrText>
      </w:r>
      <w:r>
        <w:instrText xml:space="preserve">PAGEREF _Toc176105865 \h</w:instrText>
      </w:r>
      <w:r>
        <w:rPr>
          <w:rFonts w:hint="eastAsia"/>
        </w:rPr>
        <w:instrText xml:space="preserve"> </w:instrText>
      </w:r>
      <w:r>
        <w:rPr>
          <w:rFonts w:hint="eastAsia"/>
        </w:rPr>
        <w:fldChar w:fldCharType="separate"/>
      </w:r>
      <w:r>
        <w:t>158</w:t>
      </w:r>
      <w:r>
        <w:rPr>
          <w:rFonts w:hint="eastAsia"/>
        </w:rPr>
        <w:fldChar w:fldCharType="end"/>
      </w:r>
    </w:p>
    <w:p w14:paraId="22AE53EC">
      <w:pPr>
        <w:pStyle w:val="33"/>
        <w:rPr>
          <w:rFonts w:asciiTheme="minorHAnsi" w:hAnsiTheme="minorHAnsi" w:eastAsiaTheme="minorEastAsia" w:cstheme="minorBidi"/>
          <w:smallCaps w:val="0"/>
          <w:kern w:val="2"/>
          <w:sz w:val="22"/>
          <w:szCs w:val="24"/>
          <w14:ligatures w14:val="standardContextual"/>
        </w:rPr>
      </w:pPr>
      <w:r>
        <w:rPr>
          <w:rFonts w:hint="eastAsia"/>
        </w:rPr>
        <w:t>4.3 环境质量现状监测与评价</w:t>
      </w:r>
      <w:r>
        <w:rPr>
          <w:rFonts w:hint="eastAsia"/>
        </w:rPr>
        <w:tab/>
      </w:r>
      <w:r>
        <w:rPr>
          <w:rFonts w:hint="eastAsia"/>
        </w:rPr>
        <w:fldChar w:fldCharType="begin"/>
      </w:r>
      <w:r>
        <w:rPr>
          <w:rFonts w:hint="eastAsia"/>
        </w:rPr>
        <w:instrText xml:space="preserve"> </w:instrText>
      </w:r>
      <w:r>
        <w:instrText xml:space="preserve">PAGEREF _Toc176105866 \h</w:instrText>
      </w:r>
      <w:r>
        <w:rPr>
          <w:rFonts w:hint="eastAsia"/>
        </w:rPr>
        <w:instrText xml:space="preserve"> </w:instrText>
      </w:r>
      <w:r>
        <w:rPr>
          <w:rFonts w:hint="eastAsia"/>
        </w:rPr>
        <w:fldChar w:fldCharType="separate"/>
      </w:r>
      <w:r>
        <w:t>159</w:t>
      </w:r>
      <w:r>
        <w:rPr>
          <w:rFonts w:hint="eastAsia"/>
        </w:rPr>
        <w:fldChar w:fldCharType="end"/>
      </w:r>
    </w:p>
    <w:p w14:paraId="14D63B0F">
      <w:pPr>
        <w:pStyle w:val="33"/>
        <w:rPr>
          <w:rFonts w:asciiTheme="minorHAnsi" w:hAnsiTheme="minorHAnsi" w:eastAsiaTheme="minorEastAsia" w:cstheme="minorBidi"/>
          <w:smallCaps w:val="0"/>
          <w:kern w:val="2"/>
          <w:sz w:val="22"/>
          <w:szCs w:val="24"/>
          <w14:ligatures w14:val="standardContextual"/>
        </w:rPr>
      </w:pPr>
      <w:r>
        <w:rPr>
          <w:rFonts w:hint="eastAsia"/>
        </w:rPr>
        <w:t>4.4 区域污染源调查</w:t>
      </w:r>
      <w:r>
        <w:rPr>
          <w:rFonts w:hint="eastAsia"/>
        </w:rPr>
        <w:tab/>
      </w:r>
      <w:r>
        <w:rPr>
          <w:rFonts w:hint="eastAsia"/>
        </w:rPr>
        <w:fldChar w:fldCharType="begin"/>
      </w:r>
      <w:r>
        <w:rPr>
          <w:rFonts w:hint="eastAsia"/>
        </w:rPr>
        <w:instrText xml:space="preserve"> </w:instrText>
      </w:r>
      <w:r>
        <w:instrText xml:space="preserve">PAGEREF _Toc176105867 \h</w:instrText>
      </w:r>
      <w:r>
        <w:rPr>
          <w:rFonts w:hint="eastAsia"/>
        </w:rPr>
        <w:instrText xml:space="preserve"> </w:instrText>
      </w:r>
      <w:r>
        <w:rPr>
          <w:rFonts w:hint="eastAsia"/>
        </w:rPr>
        <w:fldChar w:fldCharType="separate"/>
      </w:r>
      <w:r>
        <w:t>187</w:t>
      </w:r>
      <w:r>
        <w:rPr>
          <w:rFonts w:hint="eastAsia"/>
        </w:rPr>
        <w:fldChar w:fldCharType="end"/>
      </w:r>
    </w:p>
    <w:p w14:paraId="79A47C5F">
      <w:pPr>
        <w:pStyle w:val="30"/>
        <w:rPr>
          <w:rFonts w:asciiTheme="minorHAnsi" w:hAnsiTheme="minorHAnsi" w:eastAsiaTheme="minorEastAsia" w:cstheme="minorBidi"/>
          <w:b w:val="0"/>
          <w:bCs w:val="0"/>
          <w:caps w:val="0"/>
          <w:kern w:val="2"/>
          <w:sz w:val="22"/>
          <w:szCs w:val="24"/>
          <w14:ligatures w14:val="standardContextual"/>
        </w:rPr>
      </w:pPr>
      <w:r>
        <w:rPr>
          <w:rFonts w:hint="eastAsia"/>
        </w:rPr>
        <w:t>第 5 章 环境影响预测与评价</w:t>
      </w:r>
      <w:r>
        <w:rPr>
          <w:rFonts w:hint="eastAsia"/>
        </w:rPr>
        <w:tab/>
      </w:r>
      <w:r>
        <w:rPr>
          <w:rFonts w:hint="eastAsia"/>
        </w:rPr>
        <w:fldChar w:fldCharType="begin"/>
      </w:r>
      <w:r>
        <w:rPr>
          <w:rFonts w:hint="eastAsia"/>
        </w:rPr>
        <w:instrText xml:space="preserve"> </w:instrText>
      </w:r>
      <w:r>
        <w:instrText xml:space="preserve">PAGEREF _Toc176105868 \h</w:instrText>
      </w:r>
      <w:r>
        <w:rPr>
          <w:rFonts w:hint="eastAsia"/>
        </w:rPr>
        <w:instrText xml:space="preserve"> </w:instrText>
      </w:r>
      <w:r>
        <w:rPr>
          <w:rFonts w:hint="eastAsia"/>
        </w:rPr>
        <w:fldChar w:fldCharType="separate"/>
      </w:r>
      <w:r>
        <w:t>188</w:t>
      </w:r>
      <w:r>
        <w:rPr>
          <w:rFonts w:hint="eastAsia"/>
        </w:rPr>
        <w:fldChar w:fldCharType="end"/>
      </w:r>
    </w:p>
    <w:p w14:paraId="3644451E">
      <w:pPr>
        <w:pStyle w:val="33"/>
        <w:rPr>
          <w:rFonts w:asciiTheme="minorHAnsi" w:hAnsiTheme="minorHAnsi" w:eastAsiaTheme="minorEastAsia" w:cstheme="minorBidi"/>
          <w:smallCaps w:val="0"/>
          <w:kern w:val="2"/>
          <w:sz w:val="22"/>
          <w:szCs w:val="24"/>
          <w14:ligatures w14:val="standardContextual"/>
        </w:rPr>
      </w:pPr>
      <w:r>
        <w:rPr>
          <w:rFonts w:hint="eastAsia"/>
        </w:rPr>
        <w:t>5.1 环境空气质量影响预测</w:t>
      </w:r>
      <w:r>
        <w:rPr>
          <w:rFonts w:hint="eastAsia"/>
        </w:rPr>
        <w:tab/>
      </w:r>
      <w:r>
        <w:rPr>
          <w:rFonts w:hint="eastAsia"/>
        </w:rPr>
        <w:fldChar w:fldCharType="begin"/>
      </w:r>
      <w:r>
        <w:rPr>
          <w:rFonts w:hint="eastAsia"/>
        </w:rPr>
        <w:instrText xml:space="preserve"> </w:instrText>
      </w:r>
      <w:r>
        <w:instrText xml:space="preserve">PAGEREF _Toc176105869 \h</w:instrText>
      </w:r>
      <w:r>
        <w:rPr>
          <w:rFonts w:hint="eastAsia"/>
        </w:rPr>
        <w:instrText xml:space="preserve"> </w:instrText>
      </w:r>
      <w:r>
        <w:rPr>
          <w:rFonts w:hint="eastAsia"/>
        </w:rPr>
        <w:fldChar w:fldCharType="separate"/>
      </w:r>
      <w:r>
        <w:t>188</w:t>
      </w:r>
      <w:r>
        <w:rPr>
          <w:rFonts w:hint="eastAsia"/>
        </w:rPr>
        <w:fldChar w:fldCharType="end"/>
      </w:r>
    </w:p>
    <w:p w14:paraId="741C6C6F">
      <w:pPr>
        <w:pStyle w:val="33"/>
        <w:rPr>
          <w:rFonts w:asciiTheme="minorHAnsi" w:hAnsiTheme="minorHAnsi" w:eastAsiaTheme="minorEastAsia" w:cstheme="minorBidi"/>
          <w:smallCaps w:val="0"/>
          <w:kern w:val="2"/>
          <w:sz w:val="22"/>
          <w:szCs w:val="24"/>
          <w14:ligatures w14:val="standardContextual"/>
        </w:rPr>
      </w:pPr>
      <w:r>
        <w:rPr>
          <w:rFonts w:hint="eastAsia"/>
        </w:rPr>
        <w:t>5.2 地表水环境影响评价</w:t>
      </w:r>
      <w:r>
        <w:rPr>
          <w:rFonts w:hint="eastAsia"/>
        </w:rPr>
        <w:tab/>
      </w:r>
      <w:r>
        <w:rPr>
          <w:rFonts w:hint="eastAsia"/>
        </w:rPr>
        <w:fldChar w:fldCharType="begin"/>
      </w:r>
      <w:r>
        <w:rPr>
          <w:rFonts w:hint="eastAsia"/>
        </w:rPr>
        <w:instrText xml:space="preserve"> </w:instrText>
      </w:r>
      <w:r>
        <w:instrText xml:space="preserve">PAGEREF _Toc176105870 \h</w:instrText>
      </w:r>
      <w:r>
        <w:rPr>
          <w:rFonts w:hint="eastAsia"/>
        </w:rPr>
        <w:instrText xml:space="preserve"> </w:instrText>
      </w:r>
      <w:r>
        <w:rPr>
          <w:rFonts w:hint="eastAsia"/>
        </w:rPr>
        <w:fldChar w:fldCharType="separate"/>
      </w:r>
      <w:r>
        <w:t>207</w:t>
      </w:r>
      <w:r>
        <w:rPr>
          <w:rFonts w:hint="eastAsia"/>
        </w:rPr>
        <w:fldChar w:fldCharType="end"/>
      </w:r>
    </w:p>
    <w:p w14:paraId="0178C4AE">
      <w:pPr>
        <w:pStyle w:val="33"/>
        <w:rPr>
          <w:rFonts w:asciiTheme="minorHAnsi" w:hAnsiTheme="minorHAnsi" w:eastAsiaTheme="minorEastAsia" w:cstheme="minorBidi"/>
          <w:smallCaps w:val="0"/>
          <w:kern w:val="2"/>
          <w:sz w:val="22"/>
          <w:szCs w:val="24"/>
          <w14:ligatures w14:val="standardContextual"/>
        </w:rPr>
      </w:pPr>
      <w:r>
        <w:rPr>
          <w:rFonts w:hint="eastAsia"/>
        </w:rPr>
        <w:t>5.3 地下水环境影响评价</w:t>
      </w:r>
      <w:r>
        <w:rPr>
          <w:rFonts w:hint="eastAsia"/>
        </w:rPr>
        <w:tab/>
      </w:r>
      <w:r>
        <w:rPr>
          <w:rFonts w:hint="eastAsia"/>
        </w:rPr>
        <w:fldChar w:fldCharType="begin"/>
      </w:r>
      <w:r>
        <w:rPr>
          <w:rFonts w:hint="eastAsia"/>
        </w:rPr>
        <w:instrText xml:space="preserve"> </w:instrText>
      </w:r>
      <w:r>
        <w:instrText xml:space="preserve">PAGEREF _Toc176105871 \h</w:instrText>
      </w:r>
      <w:r>
        <w:rPr>
          <w:rFonts w:hint="eastAsia"/>
        </w:rPr>
        <w:instrText xml:space="preserve"> </w:instrText>
      </w:r>
      <w:r>
        <w:rPr>
          <w:rFonts w:hint="eastAsia"/>
        </w:rPr>
        <w:fldChar w:fldCharType="separate"/>
      </w:r>
      <w:r>
        <w:t>212</w:t>
      </w:r>
      <w:r>
        <w:rPr>
          <w:rFonts w:hint="eastAsia"/>
        </w:rPr>
        <w:fldChar w:fldCharType="end"/>
      </w:r>
    </w:p>
    <w:p w14:paraId="111DFF7C">
      <w:pPr>
        <w:pStyle w:val="33"/>
        <w:rPr>
          <w:rFonts w:asciiTheme="minorHAnsi" w:hAnsiTheme="minorHAnsi" w:eastAsiaTheme="minorEastAsia" w:cstheme="minorBidi"/>
          <w:smallCaps w:val="0"/>
          <w:kern w:val="2"/>
          <w:sz w:val="22"/>
          <w:szCs w:val="24"/>
          <w14:ligatures w14:val="standardContextual"/>
        </w:rPr>
      </w:pPr>
      <w:r>
        <w:rPr>
          <w:rFonts w:hint="eastAsia"/>
        </w:rPr>
        <w:t>5.4 声环境影响评价</w:t>
      </w:r>
      <w:r>
        <w:rPr>
          <w:rFonts w:hint="eastAsia"/>
        </w:rPr>
        <w:tab/>
      </w:r>
      <w:r>
        <w:rPr>
          <w:rFonts w:hint="eastAsia"/>
        </w:rPr>
        <w:fldChar w:fldCharType="begin"/>
      </w:r>
      <w:r>
        <w:rPr>
          <w:rFonts w:hint="eastAsia"/>
        </w:rPr>
        <w:instrText xml:space="preserve"> </w:instrText>
      </w:r>
      <w:r>
        <w:instrText xml:space="preserve">PAGEREF _Toc176105872 \h</w:instrText>
      </w:r>
      <w:r>
        <w:rPr>
          <w:rFonts w:hint="eastAsia"/>
        </w:rPr>
        <w:instrText xml:space="preserve"> </w:instrText>
      </w:r>
      <w:r>
        <w:rPr>
          <w:rFonts w:hint="eastAsia"/>
        </w:rPr>
        <w:fldChar w:fldCharType="separate"/>
      </w:r>
      <w:r>
        <w:t>267</w:t>
      </w:r>
      <w:r>
        <w:rPr>
          <w:rFonts w:hint="eastAsia"/>
        </w:rPr>
        <w:fldChar w:fldCharType="end"/>
      </w:r>
    </w:p>
    <w:p w14:paraId="46DEFB55">
      <w:pPr>
        <w:pStyle w:val="33"/>
        <w:rPr>
          <w:rFonts w:asciiTheme="minorHAnsi" w:hAnsiTheme="minorHAnsi" w:eastAsiaTheme="minorEastAsia" w:cstheme="minorBidi"/>
          <w:smallCaps w:val="0"/>
          <w:kern w:val="2"/>
          <w:sz w:val="22"/>
          <w:szCs w:val="24"/>
          <w14:ligatures w14:val="standardContextual"/>
        </w:rPr>
      </w:pPr>
      <w:r>
        <w:rPr>
          <w:rFonts w:hint="eastAsia"/>
        </w:rPr>
        <w:t>5.5 固体废物环境影响分析</w:t>
      </w:r>
      <w:r>
        <w:rPr>
          <w:rFonts w:hint="eastAsia"/>
        </w:rPr>
        <w:tab/>
      </w:r>
      <w:r>
        <w:rPr>
          <w:rFonts w:hint="eastAsia"/>
        </w:rPr>
        <w:fldChar w:fldCharType="begin"/>
      </w:r>
      <w:r>
        <w:rPr>
          <w:rFonts w:hint="eastAsia"/>
        </w:rPr>
        <w:instrText xml:space="preserve"> </w:instrText>
      </w:r>
      <w:r>
        <w:instrText xml:space="preserve">PAGEREF _Toc176105873 \h</w:instrText>
      </w:r>
      <w:r>
        <w:rPr>
          <w:rFonts w:hint="eastAsia"/>
        </w:rPr>
        <w:instrText xml:space="preserve"> </w:instrText>
      </w:r>
      <w:r>
        <w:rPr>
          <w:rFonts w:hint="eastAsia"/>
        </w:rPr>
        <w:fldChar w:fldCharType="separate"/>
      </w:r>
      <w:r>
        <w:t>273</w:t>
      </w:r>
      <w:r>
        <w:rPr>
          <w:rFonts w:hint="eastAsia"/>
        </w:rPr>
        <w:fldChar w:fldCharType="end"/>
      </w:r>
    </w:p>
    <w:p w14:paraId="735CD590">
      <w:pPr>
        <w:pStyle w:val="33"/>
        <w:rPr>
          <w:rFonts w:asciiTheme="minorHAnsi" w:hAnsiTheme="minorHAnsi" w:eastAsiaTheme="minorEastAsia" w:cstheme="minorBidi"/>
          <w:smallCaps w:val="0"/>
          <w:kern w:val="2"/>
          <w:sz w:val="22"/>
          <w:szCs w:val="24"/>
          <w14:ligatures w14:val="standardContextual"/>
        </w:rPr>
      </w:pPr>
      <w:r>
        <w:rPr>
          <w:rFonts w:hint="eastAsia"/>
        </w:rPr>
        <w:t>5.6 土壤环境影响预测</w:t>
      </w:r>
      <w:r>
        <w:rPr>
          <w:rFonts w:hint="eastAsia"/>
        </w:rPr>
        <w:tab/>
      </w:r>
      <w:r>
        <w:rPr>
          <w:rFonts w:hint="eastAsia"/>
        </w:rPr>
        <w:fldChar w:fldCharType="begin"/>
      </w:r>
      <w:r>
        <w:rPr>
          <w:rFonts w:hint="eastAsia"/>
        </w:rPr>
        <w:instrText xml:space="preserve"> </w:instrText>
      </w:r>
      <w:r>
        <w:instrText xml:space="preserve">PAGEREF _Toc176105874 \h</w:instrText>
      </w:r>
      <w:r>
        <w:rPr>
          <w:rFonts w:hint="eastAsia"/>
        </w:rPr>
        <w:instrText xml:space="preserve"> </w:instrText>
      </w:r>
      <w:r>
        <w:rPr>
          <w:rFonts w:hint="eastAsia"/>
        </w:rPr>
        <w:fldChar w:fldCharType="separate"/>
      </w:r>
      <w:r>
        <w:t>277</w:t>
      </w:r>
      <w:r>
        <w:rPr>
          <w:rFonts w:hint="eastAsia"/>
        </w:rPr>
        <w:fldChar w:fldCharType="end"/>
      </w:r>
    </w:p>
    <w:p w14:paraId="4B79EA33">
      <w:pPr>
        <w:pStyle w:val="30"/>
        <w:rPr>
          <w:rFonts w:asciiTheme="minorHAnsi" w:hAnsiTheme="minorHAnsi" w:eastAsiaTheme="minorEastAsia" w:cstheme="minorBidi"/>
          <w:b w:val="0"/>
          <w:bCs w:val="0"/>
          <w:caps w:val="0"/>
          <w:kern w:val="2"/>
          <w:sz w:val="22"/>
          <w:szCs w:val="24"/>
          <w14:ligatures w14:val="standardContextual"/>
        </w:rPr>
      </w:pPr>
      <w:r>
        <w:rPr>
          <w:rFonts w:hint="eastAsia"/>
        </w:rPr>
        <w:t>第 6 章 环境风险分析</w:t>
      </w:r>
      <w:r>
        <w:rPr>
          <w:rFonts w:hint="eastAsia"/>
        </w:rPr>
        <w:tab/>
      </w:r>
      <w:r>
        <w:rPr>
          <w:rFonts w:hint="eastAsia"/>
        </w:rPr>
        <w:fldChar w:fldCharType="begin"/>
      </w:r>
      <w:r>
        <w:rPr>
          <w:rFonts w:hint="eastAsia"/>
        </w:rPr>
        <w:instrText xml:space="preserve"> </w:instrText>
      </w:r>
      <w:r>
        <w:instrText xml:space="preserve">PAGEREF _Toc176105875 \h</w:instrText>
      </w:r>
      <w:r>
        <w:rPr>
          <w:rFonts w:hint="eastAsia"/>
        </w:rPr>
        <w:instrText xml:space="preserve"> </w:instrText>
      </w:r>
      <w:r>
        <w:rPr>
          <w:rFonts w:hint="eastAsia"/>
        </w:rPr>
        <w:fldChar w:fldCharType="separate"/>
      </w:r>
      <w:r>
        <w:t>287</w:t>
      </w:r>
      <w:r>
        <w:rPr>
          <w:rFonts w:hint="eastAsia"/>
        </w:rPr>
        <w:fldChar w:fldCharType="end"/>
      </w:r>
    </w:p>
    <w:p w14:paraId="1F1A8E28">
      <w:pPr>
        <w:pStyle w:val="33"/>
        <w:rPr>
          <w:smallCaps w:val="0"/>
          <w:kern w:val="2"/>
          <w:sz w:val="22"/>
          <w:szCs w:val="24"/>
          <w14:ligatures w14:val="standardContextual"/>
        </w:rPr>
      </w:pPr>
      <w:r>
        <w:rPr>
          <w:bCs/>
        </w:rPr>
        <w:t>6.1 环境风险评价思路</w:t>
      </w:r>
      <w:r>
        <w:tab/>
      </w:r>
      <w:r>
        <w:fldChar w:fldCharType="begin"/>
      </w:r>
      <w:r>
        <w:instrText xml:space="preserve"> PAGEREF _Toc176105876 \h </w:instrText>
      </w:r>
      <w:r>
        <w:fldChar w:fldCharType="separate"/>
      </w:r>
      <w:r>
        <w:t>287</w:t>
      </w:r>
      <w:r>
        <w:fldChar w:fldCharType="end"/>
      </w:r>
    </w:p>
    <w:p w14:paraId="58CC5006">
      <w:pPr>
        <w:pStyle w:val="33"/>
        <w:rPr>
          <w:smallCaps w:val="0"/>
          <w:kern w:val="2"/>
          <w:sz w:val="22"/>
          <w:szCs w:val="24"/>
          <w14:ligatures w14:val="standardContextual"/>
        </w:rPr>
      </w:pPr>
      <w:r>
        <w:rPr>
          <w:bCs/>
        </w:rPr>
        <w:t>6.2 风险调查</w:t>
      </w:r>
      <w:r>
        <w:tab/>
      </w:r>
      <w:r>
        <w:fldChar w:fldCharType="begin"/>
      </w:r>
      <w:r>
        <w:instrText xml:space="preserve"> PAGEREF _Toc176105877 \h </w:instrText>
      </w:r>
      <w:r>
        <w:fldChar w:fldCharType="separate"/>
      </w:r>
      <w:r>
        <w:t>288</w:t>
      </w:r>
      <w:r>
        <w:fldChar w:fldCharType="end"/>
      </w:r>
    </w:p>
    <w:p w14:paraId="3126D890">
      <w:pPr>
        <w:pStyle w:val="33"/>
        <w:rPr>
          <w:smallCaps w:val="0"/>
          <w:kern w:val="2"/>
          <w:sz w:val="22"/>
          <w:szCs w:val="24"/>
          <w14:ligatures w14:val="standardContextual"/>
        </w:rPr>
      </w:pPr>
      <w:r>
        <w:rPr>
          <w:bCs/>
        </w:rPr>
        <w:t>6.3 环境风险潜势初判</w:t>
      </w:r>
      <w:r>
        <w:tab/>
      </w:r>
      <w:r>
        <w:fldChar w:fldCharType="begin"/>
      </w:r>
      <w:r>
        <w:instrText xml:space="preserve"> PAGEREF _Toc176105878 \h </w:instrText>
      </w:r>
      <w:r>
        <w:fldChar w:fldCharType="separate"/>
      </w:r>
      <w:r>
        <w:t>292</w:t>
      </w:r>
      <w:r>
        <w:fldChar w:fldCharType="end"/>
      </w:r>
    </w:p>
    <w:p w14:paraId="3A4ED2BF">
      <w:pPr>
        <w:pStyle w:val="33"/>
        <w:rPr>
          <w:smallCaps w:val="0"/>
          <w:kern w:val="2"/>
          <w:sz w:val="22"/>
          <w:szCs w:val="24"/>
          <w14:ligatures w14:val="standardContextual"/>
        </w:rPr>
      </w:pPr>
      <w:r>
        <w:rPr>
          <w:bCs/>
        </w:rPr>
        <w:t>6.4 风险等级确定</w:t>
      </w:r>
      <w:r>
        <w:tab/>
      </w:r>
      <w:r>
        <w:fldChar w:fldCharType="begin"/>
      </w:r>
      <w:r>
        <w:instrText xml:space="preserve"> PAGEREF _Toc176105879 \h </w:instrText>
      </w:r>
      <w:r>
        <w:fldChar w:fldCharType="separate"/>
      </w:r>
      <w:r>
        <w:t>299</w:t>
      </w:r>
      <w:r>
        <w:fldChar w:fldCharType="end"/>
      </w:r>
    </w:p>
    <w:p w14:paraId="7CF7B955">
      <w:pPr>
        <w:pStyle w:val="33"/>
        <w:rPr>
          <w:smallCaps w:val="0"/>
          <w:kern w:val="2"/>
          <w:sz w:val="22"/>
          <w:szCs w:val="24"/>
          <w14:ligatures w14:val="standardContextual"/>
        </w:rPr>
      </w:pPr>
      <w:r>
        <w:rPr>
          <w:bCs/>
        </w:rPr>
        <w:t>6.5 评价范围</w:t>
      </w:r>
      <w:r>
        <w:tab/>
      </w:r>
      <w:r>
        <w:fldChar w:fldCharType="begin"/>
      </w:r>
      <w:r>
        <w:instrText xml:space="preserve"> PAGEREF _Toc176105880 \h </w:instrText>
      </w:r>
      <w:r>
        <w:fldChar w:fldCharType="separate"/>
      </w:r>
      <w:r>
        <w:t>299</w:t>
      </w:r>
      <w:r>
        <w:fldChar w:fldCharType="end"/>
      </w:r>
    </w:p>
    <w:p w14:paraId="468DEAD0">
      <w:pPr>
        <w:pStyle w:val="33"/>
        <w:rPr>
          <w:rFonts w:asciiTheme="minorHAnsi" w:hAnsiTheme="minorHAnsi" w:eastAsiaTheme="minorEastAsia" w:cstheme="minorBidi"/>
          <w:smallCaps w:val="0"/>
          <w:kern w:val="2"/>
          <w:sz w:val="22"/>
          <w:szCs w:val="24"/>
          <w14:ligatures w14:val="standardContextual"/>
        </w:rPr>
      </w:pPr>
      <w:r>
        <w:rPr>
          <w:bCs/>
        </w:rPr>
        <w:t>6.6 风险识别</w:t>
      </w:r>
      <w:r>
        <w:rPr>
          <w:rFonts w:hint="eastAsia"/>
        </w:rPr>
        <w:tab/>
      </w:r>
      <w:r>
        <w:rPr>
          <w:rFonts w:hint="eastAsia"/>
        </w:rPr>
        <w:fldChar w:fldCharType="begin"/>
      </w:r>
      <w:r>
        <w:rPr>
          <w:rFonts w:hint="eastAsia"/>
        </w:rPr>
        <w:instrText xml:space="preserve"> </w:instrText>
      </w:r>
      <w:r>
        <w:instrText xml:space="preserve">PAGEREF _Toc176105881 \h</w:instrText>
      </w:r>
      <w:r>
        <w:rPr>
          <w:rFonts w:hint="eastAsia"/>
        </w:rPr>
        <w:instrText xml:space="preserve"> </w:instrText>
      </w:r>
      <w:r>
        <w:rPr>
          <w:rFonts w:hint="eastAsia"/>
        </w:rPr>
        <w:fldChar w:fldCharType="separate"/>
      </w:r>
      <w:r>
        <w:t>300</w:t>
      </w:r>
      <w:r>
        <w:rPr>
          <w:rFonts w:hint="eastAsia"/>
        </w:rPr>
        <w:fldChar w:fldCharType="end"/>
      </w:r>
    </w:p>
    <w:p w14:paraId="4D760DFF">
      <w:pPr>
        <w:pStyle w:val="33"/>
        <w:rPr>
          <w:rFonts w:asciiTheme="minorHAnsi" w:hAnsiTheme="minorHAnsi" w:eastAsiaTheme="minorEastAsia" w:cstheme="minorBidi"/>
          <w:smallCaps w:val="0"/>
          <w:kern w:val="2"/>
          <w:sz w:val="22"/>
          <w:szCs w:val="24"/>
          <w14:ligatures w14:val="standardContextual"/>
        </w:rPr>
      </w:pPr>
      <w:r>
        <w:rPr>
          <w:rFonts w:hint="eastAsia"/>
        </w:rPr>
        <w:t>6.7 风险事故情形分析</w:t>
      </w:r>
      <w:r>
        <w:rPr>
          <w:rFonts w:hint="eastAsia"/>
        </w:rPr>
        <w:tab/>
      </w:r>
      <w:r>
        <w:rPr>
          <w:rFonts w:hint="eastAsia"/>
        </w:rPr>
        <w:fldChar w:fldCharType="begin"/>
      </w:r>
      <w:r>
        <w:rPr>
          <w:rFonts w:hint="eastAsia"/>
        </w:rPr>
        <w:instrText xml:space="preserve"> </w:instrText>
      </w:r>
      <w:r>
        <w:instrText xml:space="preserve">PAGEREF _Toc176105882 \h</w:instrText>
      </w:r>
      <w:r>
        <w:rPr>
          <w:rFonts w:hint="eastAsia"/>
        </w:rPr>
        <w:instrText xml:space="preserve"> </w:instrText>
      </w:r>
      <w:r>
        <w:rPr>
          <w:rFonts w:hint="eastAsia"/>
        </w:rPr>
        <w:fldChar w:fldCharType="separate"/>
      </w:r>
      <w:r>
        <w:t>313</w:t>
      </w:r>
      <w:r>
        <w:rPr>
          <w:rFonts w:hint="eastAsia"/>
        </w:rPr>
        <w:fldChar w:fldCharType="end"/>
      </w:r>
    </w:p>
    <w:p w14:paraId="4503C0B6">
      <w:pPr>
        <w:pStyle w:val="33"/>
        <w:rPr>
          <w:rFonts w:asciiTheme="minorHAnsi" w:hAnsiTheme="minorHAnsi" w:eastAsiaTheme="minorEastAsia" w:cstheme="minorBidi"/>
          <w:smallCaps w:val="0"/>
          <w:kern w:val="2"/>
          <w:sz w:val="22"/>
          <w:szCs w:val="24"/>
          <w14:ligatures w14:val="standardContextual"/>
        </w:rPr>
      </w:pPr>
      <w:r>
        <w:rPr>
          <w:rFonts w:hint="eastAsia"/>
        </w:rPr>
        <w:t>6.8 风险预测与评价</w:t>
      </w:r>
      <w:r>
        <w:rPr>
          <w:rFonts w:hint="eastAsia"/>
        </w:rPr>
        <w:tab/>
      </w:r>
      <w:r>
        <w:rPr>
          <w:rFonts w:hint="eastAsia"/>
        </w:rPr>
        <w:fldChar w:fldCharType="begin"/>
      </w:r>
      <w:r>
        <w:rPr>
          <w:rFonts w:hint="eastAsia"/>
        </w:rPr>
        <w:instrText xml:space="preserve"> </w:instrText>
      </w:r>
      <w:r>
        <w:instrText xml:space="preserve">PAGEREF _Toc176105883 \h</w:instrText>
      </w:r>
      <w:r>
        <w:rPr>
          <w:rFonts w:hint="eastAsia"/>
        </w:rPr>
        <w:instrText xml:space="preserve"> </w:instrText>
      </w:r>
      <w:r>
        <w:rPr>
          <w:rFonts w:hint="eastAsia"/>
        </w:rPr>
        <w:fldChar w:fldCharType="separate"/>
      </w:r>
      <w:r>
        <w:t>321</w:t>
      </w:r>
      <w:r>
        <w:rPr>
          <w:rFonts w:hint="eastAsia"/>
        </w:rPr>
        <w:fldChar w:fldCharType="end"/>
      </w:r>
    </w:p>
    <w:p w14:paraId="3C04CE20">
      <w:pPr>
        <w:pStyle w:val="33"/>
        <w:rPr>
          <w:rFonts w:asciiTheme="minorHAnsi" w:hAnsiTheme="minorHAnsi" w:eastAsiaTheme="minorEastAsia" w:cstheme="minorBidi"/>
          <w:smallCaps w:val="0"/>
          <w:kern w:val="2"/>
          <w:sz w:val="22"/>
          <w:szCs w:val="24"/>
          <w14:ligatures w14:val="standardContextual"/>
        </w:rPr>
      </w:pPr>
      <w:r>
        <w:rPr>
          <w:rFonts w:hint="eastAsia"/>
        </w:rPr>
        <w:t>6.9 本次项目环境风险评价结论</w:t>
      </w:r>
      <w:r>
        <w:rPr>
          <w:rFonts w:hint="eastAsia"/>
        </w:rPr>
        <w:tab/>
      </w:r>
      <w:r>
        <w:rPr>
          <w:rFonts w:hint="eastAsia"/>
        </w:rPr>
        <w:fldChar w:fldCharType="begin"/>
      </w:r>
      <w:r>
        <w:rPr>
          <w:rFonts w:hint="eastAsia"/>
        </w:rPr>
        <w:instrText xml:space="preserve"> </w:instrText>
      </w:r>
      <w:r>
        <w:instrText xml:space="preserve">PAGEREF _Toc176105884 \h</w:instrText>
      </w:r>
      <w:r>
        <w:rPr>
          <w:rFonts w:hint="eastAsia"/>
        </w:rPr>
        <w:instrText xml:space="preserve"> </w:instrText>
      </w:r>
      <w:r>
        <w:rPr>
          <w:rFonts w:hint="eastAsia"/>
        </w:rPr>
        <w:fldChar w:fldCharType="separate"/>
      </w:r>
      <w:r>
        <w:t>357</w:t>
      </w:r>
      <w:r>
        <w:rPr>
          <w:rFonts w:hint="eastAsia"/>
        </w:rPr>
        <w:fldChar w:fldCharType="end"/>
      </w:r>
    </w:p>
    <w:p w14:paraId="1F646A75">
      <w:pPr>
        <w:pStyle w:val="30"/>
        <w:rPr>
          <w:rFonts w:asciiTheme="minorHAnsi" w:hAnsiTheme="minorHAnsi" w:eastAsiaTheme="minorEastAsia" w:cstheme="minorBidi"/>
          <w:b w:val="0"/>
          <w:bCs w:val="0"/>
          <w:caps w:val="0"/>
          <w:kern w:val="2"/>
          <w:sz w:val="22"/>
          <w:szCs w:val="24"/>
          <w14:ligatures w14:val="standardContextual"/>
        </w:rPr>
      </w:pPr>
      <w:r>
        <w:rPr>
          <w:rFonts w:hint="eastAsia"/>
        </w:rPr>
        <w:t>第 7 章 环境保护措施及其可行性分析</w:t>
      </w:r>
      <w:r>
        <w:rPr>
          <w:rFonts w:hint="eastAsia"/>
        </w:rPr>
        <w:tab/>
      </w:r>
      <w:r>
        <w:rPr>
          <w:rFonts w:hint="eastAsia"/>
        </w:rPr>
        <w:fldChar w:fldCharType="begin"/>
      </w:r>
      <w:r>
        <w:rPr>
          <w:rFonts w:hint="eastAsia"/>
        </w:rPr>
        <w:instrText xml:space="preserve"> </w:instrText>
      </w:r>
      <w:r>
        <w:instrText xml:space="preserve">PAGEREF _Toc176105885 \h</w:instrText>
      </w:r>
      <w:r>
        <w:rPr>
          <w:rFonts w:hint="eastAsia"/>
        </w:rPr>
        <w:instrText xml:space="preserve"> </w:instrText>
      </w:r>
      <w:r>
        <w:rPr>
          <w:rFonts w:hint="eastAsia"/>
        </w:rPr>
        <w:fldChar w:fldCharType="separate"/>
      </w:r>
      <w:r>
        <w:t>358</w:t>
      </w:r>
      <w:r>
        <w:rPr>
          <w:rFonts w:hint="eastAsia"/>
        </w:rPr>
        <w:fldChar w:fldCharType="end"/>
      </w:r>
    </w:p>
    <w:p w14:paraId="6A54D342">
      <w:pPr>
        <w:pStyle w:val="33"/>
        <w:rPr>
          <w:rFonts w:asciiTheme="minorHAnsi" w:hAnsiTheme="minorHAnsi" w:eastAsiaTheme="minorEastAsia" w:cstheme="minorBidi"/>
          <w:smallCaps w:val="0"/>
          <w:kern w:val="2"/>
          <w:sz w:val="22"/>
          <w:szCs w:val="24"/>
          <w14:ligatures w14:val="standardContextual"/>
        </w:rPr>
      </w:pPr>
      <w:r>
        <w:rPr>
          <w:rFonts w:hint="eastAsia"/>
        </w:rPr>
        <w:t>7.1 施工期污染防治措施分析</w:t>
      </w:r>
      <w:r>
        <w:rPr>
          <w:rFonts w:hint="eastAsia"/>
        </w:rPr>
        <w:tab/>
      </w:r>
      <w:r>
        <w:rPr>
          <w:rFonts w:hint="eastAsia"/>
        </w:rPr>
        <w:fldChar w:fldCharType="begin"/>
      </w:r>
      <w:r>
        <w:rPr>
          <w:rFonts w:hint="eastAsia"/>
        </w:rPr>
        <w:instrText xml:space="preserve"> </w:instrText>
      </w:r>
      <w:r>
        <w:instrText xml:space="preserve">PAGEREF _Toc176105886 \h</w:instrText>
      </w:r>
      <w:r>
        <w:rPr>
          <w:rFonts w:hint="eastAsia"/>
        </w:rPr>
        <w:instrText xml:space="preserve"> </w:instrText>
      </w:r>
      <w:r>
        <w:rPr>
          <w:rFonts w:hint="eastAsia"/>
        </w:rPr>
        <w:fldChar w:fldCharType="separate"/>
      </w:r>
      <w:r>
        <w:t>358</w:t>
      </w:r>
      <w:r>
        <w:rPr>
          <w:rFonts w:hint="eastAsia"/>
        </w:rPr>
        <w:fldChar w:fldCharType="end"/>
      </w:r>
    </w:p>
    <w:p w14:paraId="53397320">
      <w:pPr>
        <w:pStyle w:val="33"/>
        <w:rPr>
          <w:rFonts w:asciiTheme="minorHAnsi" w:hAnsiTheme="minorHAnsi" w:eastAsiaTheme="minorEastAsia" w:cstheme="minorBidi"/>
          <w:smallCaps w:val="0"/>
          <w:kern w:val="2"/>
          <w:sz w:val="22"/>
          <w:szCs w:val="24"/>
          <w14:ligatures w14:val="standardContextual"/>
        </w:rPr>
      </w:pPr>
      <w:r>
        <w:rPr>
          <w:rFonts w:hint="eastAsia"/>
        </w:rPr>
        <w:t>7.2 营运期污染防治措施分析</w:t>
      </w:r>
      <w:r>
        <w:rPr>
          <w:rFonts w:hint="eastAsia"/>
        </w:rPr>
        <w:tab/>
      </w:r>
      <w:r>
        <w:rPr>
          <w:rFonts w:hint="eastAsia"/>
        </w:rPr>
        <w:fldChar w:fldCharType="begin"/>
      </w:r>
      <w:r>
        <w:rPr>
          <w:rFonts w:hint="eastAsia"/>
        </w:rPr>
        <w:instrText xml:space="preserve"> </w:instrText>
      </w:r>
      <w:r>
        <w:instrText xml:space="preserve">PAGEREF _Toc176105887 \h</w:instrText>
      </w:r>
      <w:r>
        <w:rPr>
          <w:rFonts w:hint="eastAsia"/>
        </w:rPr>
        <w:instrText xml:space="preserve"> </w:instrText>
      </w:r>
      <w:r>
        <w:rPr>
          <w:rFonts w:hint="eastAsia"/>
        </w:rPr>
        <w:fldChar w:fldCharType="separate"/>
      </w:r>
      <w:r>
        <w:t>358</w:t>
      </w:r>
      <w:r>
        <w:rPr>
          <w:rFonts w:hint="eastAsia"/>
        </w:rPr>
        <w:fldChar w:fldCharType="end"/>
      </w:r>
    </w:p>
    <w:p w14:paraId="5E027EE5">
      <w:pPr>
        <w:pStyle w:val="33"/>
        <w:rPr>
          <w:rFonts w:asciiTheme="minorHAnsi" w:hAnsiTheme="minorHAnsi" w:eastAsiaTheme="minorEastAsia" w:cstheme="minorBidi"/>
          <w:smallCaps w:val="0"/>
          <w:kern w:val="2"/>
          <w:sz w:val="22"/>
          <w:szCs w:val="24"/>
          <w14:ligatures w14:val="standardContextual"/>
        </w:rPr>
      </w:pPr>
      <w:r>
        <w:rPr>
          <w:rFonts w:hint="eastAsia"/>
        </w:rPr>
        <w:t>7.3 工程污染防治措施汇总</w:t>
      </w:r>
      <w:r>
        <w:rPr>
          <w:rFonts w:hint="eastAsia"/>
        </w:rPr>
        <w:tab/>
      </w:r>
      <w:r>
        <w:rPr>
          <w:rFonts w:hint="eastAsia"/>
        </w:rPr>
        <w:fldChar w:fldCharType="begin"/>
      </w:r>
      <w:r>
        <w:rPr>
          <w:rFonts w:hint="eastAsia"/>
        </w:rPr>
        <w:instrText xml:space="preserve"> </w:instrText>
      </w:r>
      <w:r>
        <w:instrText xml:space="preserve">PAGEREF _Toc176105888 \h</w:instrText>
      </w:r>
      <w:r>
        <w:rPr>
          <w:rFonts w:hint="eastAsia"/>
        </w:rPr>
        <w:instrText xml:space="preserve"> </w:instrText>
      </w:r>
      <w:r>
        <w:rPr>
          <w:rFonts w:hint="eastAsia"/>
        </w:rPr>
        <w:fldChar w:fldCharType="separate"/>
      </w:r>
      <w:r>
        <w:t>384</w:t>
      </w:r>
      <w:r>
        <w:rPr>
          <w:rFonts w:hint="eastAsia"/>
        </w:rPr>
        <w:fldChar w:fldCharType="end"/>
      </w:r>
    </w:p>
    <w:p w14:paraId="20CB0317">
      <w:pPr>
        <w:pStyle w:val="33"/>
        <w:rPr>
          <w:rFonts w:asciiTheme="minorHAnsi" w:hAnsiTheme="minorHAnsi" w:eastAsiaTheme="minorEastAsia" w:cstheme="minorBidi"/>
          <w:smallCaps w:val="0"/>
          <w:kern w:val="2"/>
          <w:sz w:val="22"/>
          <w:szCs w:val="24"/>
          <w14:ligatures w14:val="standardContextual"/>
        </w:rPr>
      </w:pPr>
      <w:r>
        <w:rPr>
          <w:rFonts w:hint="eastAsia"/>
        </w:rPr>
        <w:t>7.4 厂址合理性分析</w:t>
      </w:r>
      <w:r>
        <w:rPr>
          <w:rFonts w:hint="eastAsia"/>
        </w:rPr>
        <w:tab/>
      </w:r>
      <w:r>
        <w:rPr>
          <w:rFonts w:hint="eastAsia"/>
        </w:rPr>
        <w:fldChar w:fldCharType="begin"/>
      </w:r>
      <w:r>
        <w:rPr>
          <w:rFonts w:hint="eastAsia"/>
        </w:rPr>
        <w:instrText xml:space="preserve"> </w:instrText>
      </w:r>
      <w:r>
        <w:instrText xml:space="preserve">PAGEREF _Toc176105889 \h</w:instrText>
      </w:r>
      <w:r>
        <w:rPr>
          <w:rFonts w:hint="eastAsia"/>
        </w:rPr>
        <w:instrText xml:space="preserve"> </w:instrText>
      </w:r>
      <w:r>
        <w:rPr>
          <w:rFonts w:hint="eastAsia"/>
        </w:rPr>
        <w:fldChar w:fldCharType="separate"/>
      </w:r>
      <w:r>
        <w:t>386</w:t>
      </w:r>
      <w:r>
        <w:rPr>
          <w:rFonts w:hint="eastAsia"/>
        </w:rPr>
        <w:fldChar w:fldCharType="end"/>
      </w:r>
    </w:p>
    <w:p w14:paraId="2742526A">
      <w:pPr>
        <w:pStyle w:val="30"/>
        <w:rPr>
          <w:rFonts w:asciiTheme="minorHAnsi" w:hAnsiTheme="minorHAnsi" w:eastAsiaTheme="minorEastAsia" w:cstheme="minorBidi"/>
          <w:b w:val="0"/>
          <w:bCs w:val="0"/>
          <w:caps w:val="0"/>
          <w:kern w:val="2"/>
          <w:sz w:val="22"/>
          <w:szCs w:val="24"/>
          <w14:ligatures w14:val="standardContextual"/>
        </w:rPr>
      </w:pPr>
      <w:r>
        <w:rPr>
          <w:rFonts w:hint="eastAsia"/>
        </w:rPr>
        <w:t>第 8 章 环境影响经济损益分析</w:t>
      </w:r>
      <w:r>
        <w:rPr>
          <w:rFonts w:hint="eastAsia"/>
        </w:rPr>
        <w:tab/>
      </w:r>
      <w:r>
        <w:rPr>
          <w:rFonts w:hint="eastAsia"/>
        </w:rPr>
        <w:fldChar w:fldCharType="begin"/>
      </w:r>
      <w:r>
        <w:rPr>
          <w:rFonts w:hint="eastAsia"/>
        </w:rPr>
        <w:instrText xml:space="preserve"> </w:instrText>
      </w:r>
      <w:r>
        <w:instrText xml:space="preserve">PAGEREF _Toc176105890 \h</w:instrText>
      </w:r>
      <w:r>
        <w:rPr>
          <w:rFonts w:hint="eastAsia"/>
        </w:rPr>
        <w:instrText xml:space="preserve"> </w:instrText>
      </w:r>
      <w:r>
        <w:rPr>
          <w:rFonts w:hint="eastAsia"/>
        </w:rPr>
        <w:fldChar w:fldCharType="separate"/>
      </w:r>
      <w:r>
        <w:t>391</w:t>
      </w:r>
      <w:r>
        <w:rPr>
          <w:rFonts w:hint="eastAsia"/>
        </w:rPr>
        <w:fldChar w:fldCharType="end"/>
      </w:r>
    </w:p>
    <w:p w14:paraId="366063CE">
      <w:pPr>
        <w:pStyle w:val="33"/>
        <w:rPr>
          <w:rFonts w:asciiTheme="minorHAnsi" w:hAnsiTheme="minorHAnsi" w:eastAsiaTheme="minorEastAsia" w:cstheme="minorBidi"/>
          <w:smallCaps w:val="0"/>
          <w:kern w:val="2"/>
          <w:sz w:val="22"/>
          <w:szCs w:val="24"/>
          <w14:ligatures w14:val="standardContextual"/>
        </w:rPr>
      </w:pPr>
      <w:r>
        <w:rPr>
          <w:rFonts w:hint="eastAsia"/>
        </w:rPr>
        <w:t>8.1 社会效益分析</w:t>
      </w:r>
      <w:r>
        <w:rPr>
          <w:rFonts w:hint="eastAsia"/>
        </w:rPr>
        <w:tab/>
      </w:r>
      <w:r>
        <w:rPr>
          <w:rFonts w:hint="eastAsia"/>
        </w:rPr>
        <w:fldChar w:fldCharType="begin"/>
      </w:r>
      <w:r>
        <w:rPr>
          <w:rFonts w:hint="eastAsia"/>
        </w:rPr>
        <w:instrText xml:space="preserve"> </w:instrText>
      </w:r>
      <w:r>
        <w:instrText xml:space="preserve">PAGEREF _Toc176105891 \h</w:instrText>
      </w:r>
      <w:r>
        <w:rPr>
          <w:rFonts w:hint="eastAsia"/>
        </w:rPr>
        <w:instrText xml:space="preserve"> </w:instrText>
      </w:r>
      <w:r>
        <w:rPr>
          <w:rFonts w:hint="eastAsia"/>
        </w:rPr>
        <w:fldChar w:fldCharType="separate"/>
      </w:r>
      <w:r>
        <w:t>391</w:t>
      </w:r>
      <w:r>
        <w:rPr>
          <w:rFonts w:hint="eastAsia"/>
        </w:rPr>
        <w:fldChar w:fldCharType="end"/>
      </w:r>
    </w:p>
    <w:p w14:paraId="2AE1B1A0">
      <w:pPr>
        <w:pStyle w:val="33"/>
        <w:rPr>
          <w:rFonts w:asciiTheme="minorHAnsi" w:hAnsiTheme="minorHAnsi" w:eastAsiaTheme="minorEastAsia" w:cstheme="minorBidi"/>
          <w:smallCaps w:val="0"/>
          <w:kern w:val="2"/>
          <w:sz w:val="22"/>
          <w:szCs w:val="24"/>
          <w14:ligatures w14:val="standardContextual"/>
        </w:rPr>
      </w:pPr>
      <w:r>
        <w:rPr>
          <w:rFonts w:hint="eastAsia"/>
        </w:rPr>
        <w:t>8.2 经济效益分析</w:t>
      </w:r>
      <w:r>
        <w:rPr>
          <w:rFonts w:hint="eastAsia"/>
        </w:rPr>
        <w:tab/>
      </w:r>
      <w:r>
        <w:rPr>
          <w:rFonts w:hint="eastAsia"/>
        </w:rPr>
        <w:fldChar w:fldCharType="begin"/>
      </w:r>
      <w:r>
        <w:rPr>
          <w:rFonts w:hint="eastAsia"/>
        </w:rPr>
        <w:instrText xml:space="preserve"> </w:instrText>
      </w:r>
      <w:r>
        <w:instrText xml:space="preserve">PAGEREF _Toc176105892 \h</w:instrText>
      </w:r>
      <w:r>
        <w:rPr>
          <w:rFonts w:hint="eastAsia"/>
        </w:rPr>
        <w:instrText xml:space="preserve"> </w:instrText>
      </w:r>
      <w:r>
        <w:rPr>
          <w:rFonts w:hint="eastAsia"/>
        </w:rPr>
        <w:fldChar w:fldCharType="separate"/>
      </w:r>
      <w:r>
        <w:t>391</w:t>
      </w:r>
      <w:r>
        <w:rPr>
          <w:rFonts w:hint="eastAsia"/>
        </w:rPr>
        <w:fldChar w:fldCharType="end"/>
      </w:r>
    </w:p>
    <w:p w14:paraId="2F680E29">
      <w:pPr>
        <w:pStyle w:val="33"/>
        <w:rPr>
          <w:rFonts w:asciiTheme="minorHAnsi" w:hAnsiTheme="minorHAnsi" w:eastAsiaTheme="minorEastAsia" w:cstheme="minorBidi"/>
          <w:smallCaps w:val="0"/>
          <w:kern w:val="2"/>
          <w:sz w:val="22"/>
          <w:szCs w:val="24"/>
          <w14:ligatures w14:val="standardContextual"/>
        </w:rPr>
      </w:pPr>
      <w:r>
        <w:rPr>
          <w:rFonts w:hint="eastAsia"/>
        </w:rPr>
        <w:t>8.3 环境损益分析</w:t>
      </w:r>
      <w:r>
        <w:rPr>
          <w:rFonts w:hint="eastAsia"/>
        </w:rPr>
        <w:tab/>
      </w:r>
      <w:r>
        <w:rPr>
          <w:rFonts w:hint="eastAsia"/>
        </w:rPr>
        <w:fldChar w:fldCharType="begin"/>
      </w:r>
      <w:r>
        <w:rPr>
          <w:rFonts w:hint="eastAsia"/>
        </w:rPr>
        <w:instrText xml:space="preserve"> </w:instrText>
      </w:r>
      <w:r>
        <w:instrText xml:space="preserve">PAGEREF _Toc176105893 \h</w:instrText>
      </w:r>
      <w:r>
        <w:rPr>
          <w:rFonts w:hint="eastAsia"/>
        </w:rPr>
        <w:instrText xml:space="preserve"> </w:instrText>
      </w:r>
      <w:r>
        <w:rPr>
          <w:rFonts w:hint="eastAsia"/>
        </w:rPr>
        <w:fldChar w:fldCharType="separate"/>
      </w:r>
      <w:r>
        <w:t>392</w:t>
      </w:r>
      <w:r>
        <w:rPr>
          <w:rFonts w:hint="eastAsia"/>
        </w:rPr>
        <w:fldChar w:fldCharType="end"/>
      </w:r>
    </w:p>
    <w:p w14:paraId="45F3F5DD">
      <w:pPr>
        <w:pStyle w:val="30"/>
        <w:rPr>
          <w:rFonts w:asciiTheme="minorHAnsi" w:hAnsiTheme="minorHAnsi" w:eastAsiaTheme="minorEastAsia" w:cstheme="minorBidi"/>
          <w:b w:val="0"/>
          <w:bCs w:val="0"/>
          <w:caps w:val="0"/>
          <w:kern w:val="2"/>
          <w:sz w:val="22"/>
          <w:szCs w:val="24"/>
          <w14:ligatures w14:val="standardContextual"/>
        </w:rPr>
      </w:pPr>
      <w:r>
        <w:rPr>
          <w:rFonts w:hint="eastAsia"/>
        </w:rPr>
        <w:t>第 9 章 环境管理与监测计划</w:t>
      </w:r>
      <w:r>
        <w:rPr>
          <w:rFonts w:hint="eastAsia"/>
        </w:rPr>
        <w:tab/>
      </w:r>
      <w:r>
        <w:rPr>
          <w:rFonts w:hint="eastAsia"/>
        </w:rPr>
        <w:fldChar w:fldCharType="begin"/>
      </w:r>
      <w:r>
        <w:rPr>
          <w:rFonts w:hint="eastAsia"/>
        </w:rPr>
        <w:instrText xml:space="preserve"> </w:instrText>
      </w:r>
      <w:r>
        <w:instrText xml:space="preserve">PAGEREF _Toc176105894 \h</w:instrText>
      </w:r>
      <w:r>
        <w:rPr>
          <w:rFonts w:hint="eastAsia"/>
        </w:rPr>
        <w:instrText xml:space="preserve"> </w:instrText>
      </w:r>
      <w:r>
        <w:rPr>
          <w:rFonts w:hint="eastAsia"/>
        </w:rPr>
        <w:fldChar w:fldCharType="separate"/>
      </w:r>
      <w:r>
        <w:t>398</w:t>
      </w:r>
      <w:r>
        <w:rPr>
          <w:rFonts w:hint="eastAsia"/>
        </w:rPr>
        <w:fldChar w:fldCharType="end"/>
      </w:r>
    </w:p>
    <w:p w14:paraId="3B2BF740">
      <w:pPr>
        <w:pStyle w:val="33"/>
        <w:rPr>
          <w:rFonts w:asciiTheme="minorHAnsi" w:hAnsiTheme="minorHAnsi" w:eastAsiaTheme="minorEastAsia" w:cstheme="minorBidi"/>
          <w:smallCaps w:val="0"/>
          <w:kern w:val="2"/>
          <w:sz w:val="22"/>
          <w:szCs w:val="24"/>
          <w14:ligatures w14:val="standardContextual"/>
        </w:rPr>
      </w:pPr>
      <w:r>
        <w:rPr>
          <w:rFonts w:hint="eastAsia"/>
        </w:rPr>
        <w:t>9.1 环境管理</w:t>
      </w:r>
      <w:r>
        <w:rPr>
          <w:rFonts w:hint="eastAsia"/>
        </w:rPr>
        <w:tab/>
      </w:r>
      <w:r>
        <w:rPr>
          <w:rFonts w:hint="eastAsia"/>
        </w:rPr>
        <w:fldChar w:fldCharType="begin"/>
      </w:r>
      <w:r>
        <w:rPr>
          <w:rFonts w:hint="eastAsia"/>
        </w:rPr>
        <w:instrText xml:space="preserve"> </w:instrText>
      </w:r>
      <w:r>
        <w:instrText xml:space="preserve">PAGEREF _Toc176105895 \h</w:instrText>
      </w:r>
      <w:r>
        <w:rPr>
          <w:rFonts w:hint="eastAsia"/>
        </w:rPr>
        <w:instrText xml:space="preserve"> </w:instrText>
      </w:r>
      <w:r>
        <w:rPr>
          <w:rFonts w:hint="eastAsia"/>
        </w:rPr>
        <w:fldChar w:fldCharType="separate"/>
      </w:r>
      <w:r>
        <w:t>398</w:t>
      </w:r>
      <w:r>
        <w:rPr>
          <w:rFonts w:hint="eastAsia"/>
        </w:rPr>
        <w:fldChar w:fldCharType="end"/>
      </w:r>
    </w:p>
    <w:p w14:paraId="20B93588">
      <w:pPr>
        <w:pStyle w:val="33"/>
        <w:rPr>
          <w:rFonts w:asciiTheme="minorHAnsi" w:hAnsiTheme="minorHAnsi" w:eastAsiaTheme="minorEastAsia" w:cstheme="minorBidi"/>
          <w:smallCaps w:val="0"/>
          <w:kern w:val="2"/>
          <w:sz w:val="22"/>
          <w:szCs w:val="24"/>
          <w14:ligatures w14:val="standardContextual"/>
        </w:rPr>
      </w:pPr>
      <w:r>
        <w:rPr>
          <w:rFonts w:hint="eastAsia"/>
        </w:rPr>
        <w:t>9.2 环境监测计划</w:t>
      </w:r>
      <w:r>
        <w:rPr>
          <w:rFonts w:hint="eastAsia"/>
        </w:rPr>
        <w:tab/>
      </w:r>
      <w:r>
        <w:rPr>
          <w:rFonts w:hint="eastAsia"/>
        </w:rPr>
        <w:fldChar w:fldCharType="begin"/>
      </w:r>
      <w:r>
        <w:rPr>
          <w:rFonts w:hint="eastAsia"/>
        </w:rPr>
        <w:instrText xml:space="preserve"> </w:instrText>
      </w:r>
      <w:r>
        <w:instrText xml:space="preserve">PAGEREF _Toc176105896 \h</w:instrText>
      </w:r>
      <w:r>
        <w:rPr>
          <w:rFonts w:hint="eastAsia"/>
        </w:rPr>
        <w:instrText xml:space="preserve"> </w:instrText>
      </w:r>
      <w:r>
        <w:rPr>
          <w:rFonts w:hint="eastAsia"/>
        </w:rPr>
        <w:fldChar w:fldCharType="separate"/>
      </w:r>
      <w:r>
        <w:t>401</w:t>
      </w:r>
      <w:r>
        <w:rPr>
          <w:rFonts w:hint="eastAsia"/>
        </w:rPr>
        <w:fldChar w:fldCharType="end"/>
      </w:r>
    </w:p>
    <w:p w14:paraId="7C476FBB">
      <w:pPr>
        <w:pStyle w:val="33"/>
        <w:rPr>
          <w:rFonts w:asciiTheme="minorHAnsi" w:hAnsiTheme="minorHAnsi" w:eastAsiaTheme="minorEastAsia" w:cstheme="minorBidi"/>
          <w:smallCaps w:val="0"/>
          <w:kern w:val="2"/>
          <w:sz w:val="22"/>
          <w:szCs w:val="24"/>
          <w14:ligatures w14:val="standardContextual"/>
        </w:rPr>
      </w:pPr>
      <w:r>
        <w:rPr>
          <w:rFonts w:hint="eastAsia"/>
        </w:rPr>
        <w:t>9.3 信息公开内容</w:t>
      </w:r>
      <w:r>
        <w:rPr>
          <w:rFonts w:hint="eastAsia"/>
        </w:rPr>
        <w:tab/>
      </w:r>
      <w:r>
        <w:rPr>
          <w:rFonts w:hint="eastAsia"/>
        </w:rPr>
        <w:fldChar w:fldCharType="begin"/>
      </w:r>
      <w:r>
        <w:rPr>
          <w:rFonts w:hint="eastAsia"/>
        </w:rPr>
        <w:instrText xml:space="preserve"> </w:instrText>
      </w:r>
      <w:r>
        <w:instrText xml:space="preserve">PAGEREF _Toc176105897 \h</w:instrText>
      </w:r>
      <w:r>
        <w:rPr>
          <w:rFonts w:hint="eastAsia"/>
        </w:rPr>
        <w:instrText xml:space="preserve"> </w:instrText>
      </w:r>
      <w:r>
        <w:rPr>
          <w:rFonts w:hint="eastAsia"/>
        </w:rPr>
        <w:fldChar w:fldCharType="separate"/>
      </w:r>
      <w:r>
        <w:t>404</w:t>
      </w:r>
      <w:r>
        <w:rPr>
          <w:rFonts w:hint="eastAsia"/>
        </w:rPr>
        <w:fldChar w:fldCharType="end"/>
      </w:r>
    </w:p>
    <w:p w14:paraId="5B964428">
      <w:pPr>
        <w:pStyle w:val="33"/>
        <w:rPr>
          <w:rFonts w:asciiTheme="minorHAnsi" w:hAnsiTheme="minorHAnsi" w:eastAsiaTheme="minorEastAsia" w:cstheme="minorBidi"/>
          <w:smallCaps w:val="0"/>
          <w:kern w:val="2"/>
          <w:sz w:val="22"/>
          <w:szCs w:val="24"/>
          <w14:ligatures w14:val="standardContextual"/>
        </w:rPr>
      </w:pPr>
      <w:r>
        <w:rPr>
          <w:rFonts w:hint="eastAsia"/>
        </w:rPr>
        <w:t>9.4 工程污染物总量控制分析</w:t>
      </w:r>
      <w:r>
        <w:rPr>
          <w:rFonts w:hint="eastAsia"/>
        </w:rPr>
        <w:tab/>
      </w:r>
      <w:r>
        <w:rPr>
          <w:rFonts w:hint="eastAsia"/>
        </w:rPr>
        <w:fldChar w:fldCharType="begin"/>
      </w:r>
      <w:r>
        <w:rPr>
          <w:rFonts w:hint="eastAsia"/>
        </w:rPr>
        <w:instrText xml:space="preserve"> </w:instrText>
      </w:r>
      <w:r>
        <w:instrText xml:space="preserve">PAGEREF _Toc176105898 \h</w:instrText>
      </w:r>
      <w:r>
        <w:rPr>
          <w:rFonts w:hint="eastAsia"/>
        </w:rPr>
        <w:instrText xml:space="preserve"> </w:instrText>
      </w:r>
      <w:r>
        <w:rPr>
          <w:rFonts w:hint="eastAsia"/>
        </w:rPr>
        <w:fldChar w:fldCharType="separate"/>
      </w:r>
      <w:r>
        <w:t>409</w:t>
      </w:r>
      <w:r>
        <w:rPr>
          <w:rFonts w:hint="eastAsia"/>
        </w:rPr>
        <w:fldChar w:fldCharType="end"/>
      </w:r>
    </w:p>
    <w:p w14:paraId="2EC189AD">
      <w:pPr>
        <w:pStyle w:val="33"/>
        <w:rPr>
          <w:rFonts w:asciiTheme="minorHAnsi" w:hAnsiTheme="minorHAnsi" w:eastAsiaTheme="minorEastAsia" w:cstheme="minorBidi"/>
          <w:smallCaps w:val="0"/>
          <w:kern w:val="2"/>
          <w:sz w:val="22"/>
          <w:szCs w:val="24"/>
          <w14:ligatures w14:val="standardContextual"/>
        </w:rPr>
      </w:pPr>
      <w:r>
        <w:rPr>
          <w:rFonts w:hint="eastAsia"/>
        </w:rPr>
        <w:t>9.5 排污口规范化设置</w:t>
      </w:r>
      <w:r>
        <w:rPr>
          <w:rFonts w:hint="eastAsia"/>
        </w:rPr>
        <w:tab/>
      </w:r>
      <w:r>
        <w:rPr>
          <w:rFonts w:hint="eastAsia"/>
        </w:rPr>
        <w:fldChar w:fldCharType="begin"/>
      </w:r>
      <w:r>
        <w:rPr>
          <w:rFonts w:hint="eastAsia"/>
        </w:rPr>
        <w:instrText xml:space="preserve"> </w:instrText>
      </w:r>
      <w:r>
        <w:instrText xml:space="preserve">PAGEREF _Toc176105899 \h</w:instrText>
      </w:r>
      <w:r>
        <w:rPr>
          <w:rFonts w:hint="eastAsia"/>
        </w:rPr>
        <w:instrText xml:space="preserve"> </w:instrText>
      </w:r>
      <w:r>
        <w:rPr>
          <w:rFonts w:hint="eastAsia"/>
        </w:rPr>
        <w:fldChar w:fldCharType="separate"/>
      </w:r>
      <w:r>
        <w:t>411</w:t>
      </w:r>
      <w:r>
        <w:rPr>
          <w:rFonts w:hint="eastAsia"/>
        </w:rPr>
        <w:fldChar w:fldCharType="end"/>
      </w:r>
    </w:p>
    <w:p w14:paraId="51CB6ED7">
      <w:pPr>
        <w:pStyle w:val="30"/>
        <w:rPr>
          <w:rFonts w:asciiTheme="minorHAnsi" w:hAnsiTheme="minorHAnsi" w:eastAsiaTheme="minorEastAsia" w:cstheme="minorBidi"/>
          <w:b w:val="0"/>
          <w:bCs w:val="0"/>
          <w:caps w:val="0"/>
          <w:kern w:val="2"/>
          <w:sz w:val="22"/>
          <w:szCs w:val="24"/>
          <w14:ligatures w14:val="standardContextual"/>
        </w:rPr>
      </w:pPr>
      <w:r>
        <w:rPr>
          <w:rFonts w:hint="eastAsia"/>
        </w:rPr>
        <w:t>第 10 章 评价结论与建议</w:t>
      </w:r>
      <w:r>
        <w:rPr>
          <w:rFonts w:hint="eastAsia"/>
        </w:rPr>
        <w:tab/>
      </w:r>
      <w:r>
        <w:rPr>
          <w:rFonts w:hint="eastAsia"/>
        </w:rPr>
        <w:fldChar w:fldCharType="begin"/>
      </w:r>
      <w:r>
        <w:rPr>
          <w:rFonts w:hint="eastAsia"/>
        </w:rPr>
        <w:instrText xml:space="preserve"> </w:instrText>
      </w:r>
      <w:r>
        <w:instrText xml:space="preserve">PAGEREF _Toc176105900 \h</w:instrText>
      </w:r>
      <w:r>
        <w:rPr>
          <w:rFonts w:hint="eastAsia"/>
        </w:rPr>
        <w:instrText xml:space="preserve"> </w:instrText>
      </w:r>
      <w:r>
        <w:rPr>
          <w:rFonts w:hint="eastAsia"/>
        </w:rPr>
        <w:fldChar w:fldCharType="separate"/>
      </w:r>
      <w:r>
        <w:t>414</w:t>
      </w:r>
      <w:r>
        <w:rPr>
          <w:rFonts w:hint="eastAsia"/>
        </w:rPr>
        <w:fldChar w:fldCharType="end"/>
      </w:r>
    </w:p>
    <w:p w14:paraId="04680267">
      <w:pPr>
        <w:pStyle w:val="33"/>
        <w:rPr>
          <w:rFonts w:asciiTheme="minorHAnsi" w:hAnsiTheme="minorHAnsi" w:eastAsiaTheme="minorEastAsia" w:cstheme="minorBidi"/>
          <w:smallCaps w:val="0"/>
          <w:kern w:val="2"/>
          <w:sz w:val="22"/>
          <w:szCs w:val="24"/>
          <w14:ligatures w14:val="standardContextual"/>
        </w:rPr>
      </w:pPr>
      <w:r>
        <w:rPr>
          <w:rFonts w:hint="eastAsia"/>
        </w:rPr>
        <w:t>10.1 评价结论</w:t>
      </w:r>
      <w:r>
        <w:rPr>
          <w:rFonts w:hint="eastAsia"/>
        </w:rPr>
        <w:tab/>
      </w:r>
      <w:r>
        <w:rPr>
          <w:rFonts w:hint="eastAsia"/>
        </w:rPr>
        <w:fldChar w:fldCharType="begin"/>
      </w:r>
      <w:r>
        <w:rPr>
          <w:rFonts w:hint="eastAsia"/>
        </w:rPr>
        <w:instrText xml:space="preserve"> </w:instrText>
      </w:r>
      <w:r>
        <w:instrText xml:space="preserve">PAGEREF _Toc176105901 \h</w:instrText>
      </w:r>
      <w:r>
        <w:rPr>
          <w:rFonts w:hint="eastAsia"/>
        </w:rPr>
        <w:instrText xml:space="preserve"> </w:instrText>
      </w:r>
      <w:r>
        <w:rPr>
          <w:rFonts w:hint="eastAsia"/>
        </w:rPr>
        <w:fldChar w:fldCharType="separate"/>
      </w:r>
      <w:r>
        <w:t>414</w:t>
      </w:r>
      <w:r>
        <w:rPr>
          <w:rFonts w:hint="eastAsia"/>
        </w:rPr>
        <w:fldChar w:fldCharType="end"/>
      </w:r>
    </w:p>
    <w:p w14:paraId="2530EA28">
      <w:pPr>
        <w:pStyle w:val="33"/>
        <w:rPr>
          <w:rFonts w:asciiTheme="minorHAnsi" w:hAnsiTheme="minorHAnsi" w:eastAsiaTheme="minorEastAsia" w:cstheme="minorBidi"/>
          <w:smallCaps w:val="0"/>
          <w:kern w:val="2"/>
          <w:sz w:val="22"/>
          <w:szCs w:val="24"/>
          <w14:ligatures w14:val="standardContextual"/>
        </w:rPr>
      </w:pPr>
      <w:r>
        <w:rPr>
          <w:rFonts w:hint="eastAsia"/>
        </w:rPr>
        <w:t>10.2 建议</w:t>
      </w:r>
      <w:r>
        <w:rPr>
          <w:rFonts w:hint="eastAsia"/>
        </w:rPr>
        <w:tab/>
      </w:r>
      <w:r>
        <w:rPr>
          <w:rFonts w:hint="eastAsia"/>
        </w:rPr>
        <w:fldChar w:fldCharType="begin"/>
      </w:r>
      <w:r>
        <w:rPr>
          <w:rFonts w:hint="eastAsia"/>
        </w:rPr>
        <w:instrText xml:space="preserve"> </w:instrText>
      </w:r>
      <w:r>
        <w:instrText xml:space="preserve">PAGEREF _Toc176105902 \h</w:instrText>
      </w:r>
      <w:r>
        <w:rPr>
          <w:rFonts w:hint="eastAsia"/>
        </w:rPr>
        <w:instrText xml:space="preserve"> </w:instrText>
      </w:r>
      <w:r>
        <w:rPr>
          <w:rFonts w:hint="eastAsia"/>
        </w:rPr>
        <w:fldChar w:fldCharType="separate"/>
      </w:r>
      <w:r>
        <w:t>421</w:t>
      </w:r>
      <w:r>
        <w:rPr>
          <w:rFonts w:hint="eastAsia"/>
        </w:rPr>
        <w:fldChar w:fldCharType="end"/>
      </w:r>
    </w:p>
    <w:p w14:paraId="6093D7F9">
      <w:pPr>
        <w:pStyle w:val="33"/>
        <w:rPr>
          <w:rFonts w:asciiTheme="minorHAnsi" w:hAnsiTheme="minorHAnsi" w:eastAsiaTheme="minorEastAsia" w:cstheme="minorBidi"/>
          <w:smallCaps w:val="0"/>
          <w:kern w:val="2"/>
          <w:sz w:val="22"/>
          <w:szCs w:val="24"/>
          <w14:ligatures w14:val="standardContextual"/>
        </w:rPr>
      </w:pPr>
      <w:r>
        <w:rPr>
          <w:rFonts w:hint="eastAsia"/>
        </w:rPr>
        <w:t>10.3 总结论</w:t>
      </w:r>
      <w:r>
        <w:rPr>
          <w:rFonts w:hint="eastAsia"/>
        </w:rPr>
        <w:tab/>
      </w:r>
      <w:r>
        <w:rPr>
          <w:rFonts w:hint="eastAsia"/>
        </w:rPr>
        <w:fldChar w:fldCharType="begin"/>
      </w:r>
      <w:r>
        <w:rPr>
          <w:rFonts w:hint="eastAsia"/>
        </w:rPr>
        <w:instrText xml:space="preserve"> </w:instrText>
      </w:r>
      <w:r>
        <w:instrText xml:space="preserve">PAGEREF _Toc176105903 \h</w:instrText>
      </w:r>
      <w:r>
        <w:rPr>
          <w:rFonts w:hint="eastAsia"/>
        </w:rPr>
        <w:instrText xml:space="preserve"> </w:instrText>
      </w:r>
      <w:r>
        <w:rPr>
          <w:rFonts w:hint="eastAsia"/>
        </w:rPr>
        <w:fldChar w:fldCharType="separate"/>
      </w:r>
      <w:r>
        <w:t>421</w:t>
      </w:r>
      <w:r>
        <w:rPr>
          <w:rFonts w:hint="eastAsia"/>
        </w:rPr>
        <w:fldChar w:fldCharType="end"/>
      </w:r>
    </w:p>
    <w:p w14:paraId="1D3E9084">
      <w:pPr>
        <w:ind w:firstLine="560"/>
        <w:rPr>
          <w:sz w:val="28"/>
          <w:szCs w:val="28"/>
          <w:highlight w:val="yellow"/>
        </w:rPr>
      </w:pPr>
      <w:r>
        <w:rPr>
          <w:sz w:val="28"/>
          <w:szCs w:val="28"/>
        </w:rPr>
        <w:fldChar w:fldCharType="end"/>
      </w:r>
    </w:p>
    <w:p w14:paraId="1D3E9085">
      <w:pPr>
        <w:ind w:firstLine="560"/>
        <w:rPr>
          <w:sz w:val="28"/>
          <w:szCs w:val="28"/>
          <w:highlight w:val="yellow"/>
        </w:rPr>
      </w:pPr>
    </w:p>
    <w:p w14:paraId="377BAEE1">
      <w:pPr>
        <w:ind w:firstLine="560"/>
        <w:rPr>
          <w:sz w:val="28"/>
          <w:szCs w:val="28"/>
          <w:highlight w:val="yellow"/>
        </w:rPr>
        <w:sectPr>
          <w:footerReference r:id="rId11" w:type="default"/>
          <w:pgSz w:w="11907" w:h="16840"/>
          <w:pgMar w:top="1440" w:right="1797" w:bottom="1440" w:left="1797" w:header="907" w:footer="907" w:gutter="0"/>
          <w:pgNumType w:fmt="upperRoman" w:start="1"/>
          <w:cols w:space="425" w:num="1"/>
          <w:docGrid w:linePitch="380" w:charSpace="0"/>
        </w:sectPr>
      </w:pPr>
    </w:p>
    <w:p w14:paraId="1D3E9087">
      <w:pPr>
        <w:ind w:firstLine="482"/>
        <w:rPr>
          <w:b/>
        </w:rPr>
      </w:pPr>
      <w:r>
        <w:rPr>
          <w:b/>
        </w:rPr>
        <w:t>附图：</w:t>
      </w:r>
    </w:p>
    <w:p w14:paraId="1D3E9088">
      <w:pPr>
        <w:ind w:firstLine="480"/>
      </w:pPr>
      <w:r>
        <w:t>附图一、项目地理位置图</w:t>
      </w:r>
    </w:p>
    <w:p w14:paraId="1D3E9089">
      <w:pPr>
        <w:ind w:firstLine="480"/>
      </w:pPr>
      <w:r>
        <w:t>附图二、</w:t>
      </w:r>
      <w:r>
        <w:rPr>
          <w:rFonts w:hint="eastAsia"/>
        </w:rPr>
        <w:t>卫辉市铁西（化工）专业园区总体规划（2022-2035年）及正在调整规划现阶段成果</w:t>
      </w:r>
      <w:r>
        <w:t>规划图</w:t>
      </w:r>
    </w:p>
    <w:p w14:paraId="1C1094A0">
      <w:pPr>
        <w:ind w:firstLine="480"/>
      </w:pPr>
      <w:r>
        <w:t>附图三、</w:t>
      </w:r>
      <w:r>
        <w:rPr>
          <w:rFonts w:hint="eastAsia"/>
        </w:rPr>
        <w:t>卫辉市国土空间规划图</w:t>
      </w:r>
    </w:p>
    <w:p w14:paraId="2B555E1C">
      <w:pPr>
        <w:ind w:firstLine="480"/>
        <w:rPr>
          <w:highlight w:val="yellow"/>
        </w:rPr>
      </w:pPr>
      <w:r>
        <w:rPr>
          <w:rFonts w:hint="eastAsia"/>
        </w:rPr>
        <w:t>附图四、</w:t>
      </w:r>
      <w:r>
        <w:t>项目厂区平面布置图</w:t>
      </w:r>
    </w:p>
    <w:p w14:paraId="1D3E908A">
      <w:pPr>
        <w:ind w:firstLine="480"/>
      </w:pPr>
      <w:r>
        <w:rPr>
          <w:rFonts w:hint="eastAsia"/>
        </w:rPr>
        <w:t>附图五、</w:t>
      </w:r>
      <w:r>
        <w:t>厂区周边环境图</w:t>
      </w:r>
    </w:p>
    <w:p w14:paraId="1D3E908B">
      <w:pPr>
        <w:ind w:firstLine="480"/>
      </w:pPr>
      <w:r>
        <w:t>附图</w:t>
      </w:r>
      <w:r>
        <w:rPr>
          <w:rFonts w:hint="eastAsia"/>
        </w:rPr>
        <w:t>六</w:t>
      </w:r>
      <w:r>
        <w:t>、项目环境现状监测布点图</w:t>
      </w:r>
    </w:p>
    <w:p w14:paraId="1D3E908C">
      <w:pPr>
        <w:ind w:firstLine="480"/>
      </w:pPr>
      <w:r>
        <w:t>附图</w:t>
      </w:r>
      <w:r>
        <w:rPr>
          <w:rFonts w:hint="eastAsia"/>
        </w:rPr>
        <w:t>七</w:t>
      </w:r>
      <w:r>
        <w:t>、项目</w:t>
      </w:r>
      <w:r>
        <w:rPr>
          <w:rFonts w:hint="eastAsia"/>
        </w:rPr>
        <w:t>及其周边环境现状</w:t>
      </w:r>
      <w:r>
        <w:t>图</w:t>
      </w:r>
    </w:p>
    <w:p w14:paraId="3BD9F42B">
      <w:pPr>
        <w:pStyle w:val="2"/>
        <w:ind w:firstLine="480"/>
      </w:pPr>
      <w:r>
        <w:rPr>
          <w:rFonts w:hint="eastAsia"/>
        </w:rPr>
        <w:t>附图八、工程师踏勘现场照片</w:t>
      </w:r>
    </w:p>
    <w:p w14:paraId="1D3E908F">
      <w:pPr>
        <w:ind w:firstLine="480"/>
        <w:rPr>
          <w:highlight w:val="yellow"/>
        </w:rPr>
      </w:pPr>
    </w:p>
    <w:p w14:paraId="2DFBE33B">
      <w:pPr>
        <w:pStyle w:val="2"/>
        <w:ind w:firstLine="480"/>
        <w:rPr>
          <w:highlight w:val="yellow"/>
        </w:rPr>
      </w:pPr>
    </w:p>
    <w:p w14:paraId="1D3E9090">
      <w:pPr>
        <w:ind w:firstLine="482"/>
        <w:rPr>
          <w:b/>
        </w:rPr>
      </w:pPr>
      <w:r>
        <w:rPr>
          <w:b/>
        </w:rPr>
        <w:t>附件：</w:t>
      </w:r>
    </w:p>
    <w:p w14:paraId="1D3E9091">
      <w:pPr>
        <w:ind w:firstLine="480"/>
      </w:pPr>
      <w:r>
        <w:t>附件一、项目开展环评委托书</w:t>
      </w:r>
    </w:p>
    <w:p w14:paraId="1D3E9092">
      <w:pPr>
        <w:ind w:firstLine="480"/>
      </w:pPr>
      <w:r>
        <w:t>附件二、项目备案书</w:t>
      </w:r>
    </w:p>
    <w:p w14:paraId="4B59BE91">
      <w:pPr>
        <w:ind w:firstLine="480"/>
      </w:pPr>
      <w:r>
        <w:t>附件三、</w:t>
      </w:r>
      <w:r>
        <w:rPr>
          <w:rFonts w:hint="eastAsia"/>
        </w:rPr>
        <w:t>关于协助企业办理相关手续的函</w:t>
      </w:r>
    </w:p>
    <w:p w14:paraId="1D3E9096">
      <w:pPr>
        <w:ind w:firstLine="480"/>
      </w:pPr>
      <w:r>
        <w:rPr>
          <w:rFonts w:hint="eastAsia"/>
        </w:rPr>
        <w:t>附件四、</w:t>
      </w:r>
      <w:r>
        <w:t>现状监测数据</w:t>
      </w:r>
    </w:p>
    <w:p w14:paraId="774E5C28">
      <w:pPr>
        <w:pStyle w:val="2"/>
        <w:spacing w:after="0"/>
        <w:ind w:firstLine="480"/>
        <w:rPr>
          <w:u w:val="single"/>
        </w:rPr>
      </w:pPr>
      <w:r>
        <w:rPr>
          <w:rFonts w:hint="eastAsia"/>
          <w:u w:val="single"/>
        </w:rPr>
        <w:t>附件五、专家评审意见</w:t>
      </w:r>
    </w:p>
    <w:p w14:paraId="1331B017">
      <w:pPr>
        <w:ind w:firstLine="480"/>
        <w:rPr>
          <w:u w:val="single"/>
        </w:rPr>
      </w:pPr>
      <w:r>
        <w:rPr>
          <w:rFonts w:hint="eastAsia"/>
          <w:u w:val="single"/>
        </w:rPr>
        <w:t>附件六、租赁协议</w:t>
      </w:r>
    </w:p>
    <w:p w14:paraId="76B1A03B">
      <w:pPr>
        <w:pStyle w:val="2"/>
        <w:spacing w:after="0"/>
        <w:ind w:firstLine="480"/>
        <w:rPr>
          <w:u w:val="single"/>
        </w:rPr>
      </w:pPr>
      <w:r>
        <w:rPr>
          <w:rFonts w:hint="eastAsia"/>
          <w:u w:val="single"/>
        </w:rPr>
        <w:t>附件七、建设单位身份证及营业执照</w:t>
      </w:r>
    </w:p>
    <w:p w14:paraId="1FC677BC">
      <w:pPr>
        <w:ind w:firstLine="480"/>
        <w:rPr>
          <w:u w:val="single"/>
        </w:rPr>
      </w:pPr>
      <w:r>
        <w:rPr>
          <w:rFonts w:hint="eastAsia"/>
          <w:u w:val="single"/>
        </w:rPr>
        <w:t>附件八、资料确认书</w:t>
      </w:r>
    </w:p>
    <w:p w14:paraId="1D3E9097">
      <w:pPr>
        <w:ind w:firstLine="480"/>
        <w:rPr>
          <w:highlight w:val="yellow"/>
        </w:rPr>
      </w:pPr>
    </w:p>
    <w:p w14:paraId="46304003">
      <w:pPr>
        <w:ind w:firstLine="480"/>
        <w:rPr>
          <w:highlight w:val="yellow"/>
        </w:rPr>
        <w:sectPr>
          <w:pgSz w:w="11907" w:h="16840"/>
          <w:pgMar w:top="1440" w:right="1797" w:bottom="1440" w:left="1797" w:header="907" w:footer="907" w:gutter="0"/>
          <w:pgNumType w:fmt="upperRoman"/>
          <w:cols w:space="425" w:num="1"/>
          <w:docGrid w:linePitch="380" w:charSpace="0"/>
        </w:sectPr>
      </w:pPr>
    </w:p>
    <w:p w14:paraId="1D3E9099">
      <w:pPr>
        <w:pStyle w:val="3"/>
        <w:spacing w:before="484" w:after="646"/>
      </w:pPr>
      <w:bookmarkStart w:id="8" w:name="_Toc176105837"/>
      <w:r>
        <w:t>概 述</w:t>
      </w:r>
      <w:bookmarkEnd w:id="8"/>
    </w:p>
    <w:p w14:paraId="1D3E909A">
      <w:pPr>
        <w:pStyle w:val="4"/>
      </w:pPr>
      <w:bookmarkStart w:id="9" w:name="_Toc176105838"/>
      <w:bookmarkStart w:id="10" w:name="_Toc428287148"/>
      <w:bookmarkStart w:id="11" w:name="_Toc174155849"/>
      <w:bookmarkStart w:id="12" w:name="_Toc429318377"/>
      <w:bookmarkStart w:id="13" w:name="_Toc428286754"/>
      <w:r>
        <w:t>项目由来</w:t>
      </w:r>
      <w:bookmarkEnd w:id="9"/>
      <w:bookmarkEnd w:id="10"/>
      <w:bookmarkEnd w:id="11"/>
      <w:bookmarkEnd w:id="12"/>
      <w:bookmarkEnd w:id="13"/>
    </w:p>
    <w:p w14:paraId="3C87553D">
      <w:pPr>
        <w:pStyle w:val="190"/>
        <w:ind w:firstLine="480"/>
        <w:rPr>
          <w:rFonts w:eastAsia="楷体"/>
        </w:rPr>
      </w:pPr>
      <w:r>
        <w:rPr>
          <w:rFonts w:eastAsia="楷体"/>
        </w:rPr>
        <w:t>1.1.1 企业介绍</w:t>
      </w:r>
    </w:p>
    <w:p w14:paraId="2EDDE3F2">
      <w:pPr>
        <w:pStyle w:val="191"/>
        <w:ind w:firstLine="480"/>
        <w:jc w:val="both"/>
      </w:pPr>
      <w:r>
        <w:t>河南欣姣芬化工有限公司成立于202</w:t>
      </w:r>
      <w:r>
        <w:rPr>
          <w:rFonts w:hint="eastAsia"/>
        </w:rPr>
        <w:t>4</w:t>
      </w:r>
      <w:r>
        <w:t>年0</w:t>
      </w:r>
      <w:r>
        <w:rPr>
          <w:rFonts w:hint="eastAsia"/>
        </w:rPr>
        <w:t>4</w:t>
      </w:r>
      <w:r>
        <w:t>月</w:t>
      </w:r>
      <w:r>
        <w:rPr>
          <w:rFonts w:hint="eastAsia"/>
        </w:rPr>
        <w:t>28</w:t>
      </w:r>
      <w:r>
        <w:t>日，厂址位于</w:t>
      </w:r>
      <w:r>
        <w:rPr>
          <w:rFonts w:hint="eastAsia"/>
        </w:rPr>
        <w:t>新乡市卫辉市唐庄镇代庄村99号卫辉市铁西（化工）园区内</w:t>
      </w:r>
      <w:r>
        <w:t>。公司拟投资</w:t>
      </w:r>
      <w:r>
        <w:rPr>
          <w:rFonts w:hint="eastAsia"/>
          <w:szCs w:val="21"/>
        </w:rPr>
        <w:t>3</w:t>
      </w:r>
      <w:r>
        <w:rPr>
          <w:szCs w:val="21"/>
        </w:rPr>
        <w:t>000万元</w:t>
      </w:r>
      <w:r>
        <w:t>建设“年产10000吨聚醚改性硅油、1000吨色浆项目”，该项目建成后</w:t>
      </w:r>
      <w:r>
        <w:rPr>
          <w:rFonts w:hint="eastAsia"/>
        </w:rPr>
        <w:t>产品方案为</w:t>
      </w:r>
      <w:r>
        <w:t>聚醚改性硅油10000吨</w:t>
      </w:r>
      <w:r>
        <w:rPr>
          <w:rFonts w:hint="eastAsia"/>
        </w:rPr>
        <w:t>/年</w:t>
      </w:r>
      <w:r>
        <w:t>、色浆1000吨</w:t>
      </w:r>
      <w:r>
        <w:rPr>
          <w:rFonts w:hint="eastAsia"/>
        </w:rPr>
        <w:t>/年</w:t>
      </w:r>
      <w:r>
        <w:t>。建设内容主要为年产10000吨聚醚改性硅油、1000吨色浆</w:t>
      </w:r>
      <w:r>
        <w:rPr>
          <w:rFonts w:hint="eastAsia"/>
        </w:rPr>
        <w:t>生产线</w:t>
      </w:r>
      <w:r>
        <w:rPr>
          <w:bCs/>
        </w:rPr>
        <w:t>及配套设施。</w:t>
      </w:r>
      <w:r>
        <w:t>根据现场踏勘，本项目现状为</w:t>
      </w:r>
      <w:r>
        <w:rPr>
          <w:rFonts w:hint="eastAsia"/>
        </w:rPr>
        <w:t>空厂房</w:t>
      </w:r>
      <w:r>
        <w:t>。</w:t>
      </w:r>
      <w:r>
        <w:rPr>
          <w:rFonts w:hint="eastAsia"/>
        </w:rPr>
        <w:t>本项目租赁新乡市太行水泥粉磨有限公司现有空厂房进行生产。</w:t>
      </w:r>
    </w:p>
    <w:p w14:paraId="27DD2478">
      <w:pPr>
        <w:pStyle w:val="190"/>
        <w:ind w:firstLine="480"/>
        <w:rPr>
          <w:rFonts w:eastAsia="楷体"/>
        </w:rPr>
      </w:pPr>
      <w:r>
        <w:rPr>
          <w:rFonts w:eastAsia="楷体"/>
        </w:rPr>
        <w:t>1.1.2 本项目建设意义</w:t>
      </w:r>
    </w:p>
    <w:p w14:paraId="354019DD">
      <w:pPr>
        <w:pStyle w:val="191"/>
        <w:ind w:firstLine="480"/>
        <w:jc w:val="both"/>
      </w:pPr>
      <w:r>
        <w:rPr>
          <w:rFonts w:hint="eastAsia"/>
        </w:rPr>
        <w:t>2020年我国硅油及其二次加工品生产企业超过300家，总产能（折合100%硅氧烷）约40万吨，产量约35万吨。“十三五”以来，我国硅油无论在产量产能还是品种方面都取得重大发展，但也存在高端应用欠缺，品质有待改善，品种还需进一步丰富的问题。对于色浆，其作为一种颜料浓缩浆，在近年来被广泛应用于涂料、油墨、造纸、乳胶以及纺织等多个领域，其中涂料和纺织领域对色浆的消费需求量最大。另外，就目前来看，我国色浆市场竞争十分激烈，行业集中度较低，本土企业主要集中在中高端领域，未来仍具备一定的发展空间。</w:t>
      </w:r>
    </w:p>
    <w:p w14:paraId="59DBDB34">
      <w:pPr>
        <w:pStyle w:val="191"/>
        <w:ind w:firstLine="480"/>
        <w:jc w:val="both"/>
        <w:rPr>
          <w:highlight w:val="yellow"/>
        </w:rPr>
      </w:pPr>
      <w:r>
        <w:rPr>
          <w:rFonts w:hint="eastAsia"/>
        </w:rPr>
        <w:t>在目前我国硅油和色浆发展趋势良好的状态下，本项目采用“催化聚合法合成羟基硅油”工艺，该工艺为工业常用方法，技术成熟。生产的产品</w:t>
      </w:r>
      <w:r>
        <w:t>聚醚改性硅油</w:t>
      </w:r>
      <w:r>
        <w:rPr>
          <w:rFonts w:hint="eastAsia"/>
        </w:rPr>
        <w:t>具有良好的润滑性、更低的表面张力、更好的柔软特性及抗静电性能、良好的流平性、较好的破乳性，主要作为稳定剂用于生产海绵；色浆主要为色粉和溶剂经过研磨混合搅拌制成，物料间不发生化学反应，工艺过程简单、设备投资少、成本低，产品色浆主要用于海绵上色。为此，</w:t>
      </w:r>
      <w:r>
        <w:t>河南欣姣芬化工有限公司</w:t>
      </w:r>
      <w:r>
        <w:rPr>
          <w:rFonts w:hint="eastAsia"/>
        </w:rPr>
        <w:t>决定投资</w:t>
      </w:r>
      <w:r>
        <w:rPr>
          <w:rFonts w:hint="eastAsia"/>
          <w:szCs w:val="21"/>
        </w:rPr>
        <w:t>3</w:t>
      </w:r>
      <w:r>
        <w:rPr>
          <w:szCs w:val="21"/>
        </w:rPr>
        <w:t>000万元</w:t>
      </w:r>
      <w:r>
        <w:rPr>
          <w:rFonts w:hint="eastAsia"/>
          <w:szCs w:val="21"/>
        </w:rPr>
        <w:t>，租赁新乡市太行水泥粉磨有限公司现有厂房2832m</w:t>
      </w:r>
      <w:r>
        <w:rPr>
          <w:rFonts w:hint="eastAsia"/>
          <w:szCs w:val="21"/>
          <w:vertAlign w:val="superscript"/>
        </w:rPr>
        <w:t>2</w:t>
      </w:r>
      <w:r>
        <w:rPr>
          <w:rFonts w:hint="eastAsia"/>
          <w:szCs w:val="21"/>
        </w:rPr>
        <w:t>及办公用房200m</w:t>
      </w:r>
      <w:r>
        <w:rPr>
          <w:rFonts w:hint="eastAsia"/>
          <w:szCs w:val="21"/>
          <w:vertAlign w:val="superscript"/>
        </w:rPr>
        <w:t>2</w:t>
      </w:r>
      <w:r>
        <w:t>建设“年产10000吨聚醚改性硅油、1000吨色浆项目”</w:t>
      </w:r>
      <w:r>
        <w:rPr>
          <w:rFonts w:hint="eastAsia"/>
        </w:rPr>
        <w:t>。</w:t>
      </w:r>
      <w:r>
        <w:t>该项目建设规模及内容：聚醚改性硅油10000吨</w:t>
      </w:r>
      <w:r>
        <w:rPr>
          <w:rFonts w:hint="eastAsia"/>
        </w:rPr>
        <w:t>/年</w:t>
      </w:r>
      <w:r>
        <w:t>、色浆1000吨</w:t>
      </w:r>
      <w:r>
        <w:rPr>
          <w:rFonts w:hint="eastAsia"/>
        </w:rPr>
        <w:t>/年</w:t>
      </w:r>
      <w:r>
        <w:t>。</w:t>
      </w:r>
    </w:p>
    <w:p w14:paraId="75736B9D">
      <w:pPr>
        <w:pStyle w:val="191"/>
        <w:ind w:firstLine="480"/>
        <w:jc w:val="both"/>
      </w:pPr>
      <w:r>
        <w:t>202</w:t>
      </w:r>
      <w:r>
        <w:rPr>
          <w:rFonts w:hint="eastAsia"/>
        </w:rPr>
        <w:t>4</w:t>
      </w:r>
      <w:r>
        <w:t>年</w:t>
      </w:r>
      <w:r>
        <w:rPr>
          <w:rFonts w:hint="eastAsia"/>
        </w:rPr>
        <w:t>6</w:t>
      </w:r>
      <w:r>
        <w:t>月，受河南欣姣芬化工有限公司委托，新乡市世青环境技术有限公司承担了“年产10000吨聚醚改性硅油、1000吨色浆项目”环境影响评价工作。根据《中华人民共和国环境影响评价法》，在现场踏勘和收集资料的基础上，依据《环境影响评价技术导则》相关要求，按照“突出环境影响评价的源头预防作用，坚持保护和改善环境质量”的原则，编制完成了《</w:t>
      </w:r>
      <w:r>
        <w:rPr>
          <w:rFonts w:hint="eastAsia"/>
        </w:rPr>
        <w:t>河南欣姣芬化工有限公司年产10000吨聚醚改性硅油、1000吨色浆项目</w:t>
      </w:r>
      <w:r>
        <w:t>环境影响报告书》。</w:t>
      </w:r>
    </w:p>
    <w:p w14:paraId="473FA83B">
      <w:pPr>
        <w:pStyle w:val="190"/>
        <w:ind w:firstLine="480"/>
        <w:rPr>
          <w:rFonts w:eastAsia="楷体"/>
        </w:rPr>
      </w:pPr>
      <w:r>
        <w:rPr>
          <w:rFonts w:eastAsia="楷体"/>
        </w:rPr>
        <w:t>1.1.3 项目环评编制依据</w:t>
      </w:r>
    </w:p>
    <w:p w14:paraId="0C990EE0">
      <w:pPr>
        <w:ind w:firstLine="480"/>
      </w:pPr>
      <w:r>
        <w:t>根据《产业结构调整指导目录（2024年本）》文件，本项目产品、工艺和设备</w:t>
      </w:r>
      <w:r>
        <w:rPr>
          <w:rFonts w:hint="eastAsia"/>
        </w:rPr>
        <w:t>不属于“鼓励类”、“限制类”和“淘汰类”，属于允许类项目，符合当前国家产业政策。本项目已经卫辉市</w:t>
      </w:r>
      <w:r>
        <w:t>发展和改革委员会</w:t>
      </w:r>
      <w:r>
        <w:rPr>
          <w:rFonts w:hint="eastAsia"/>
        </w:rPr>
        <w:t>备案（项目代码：2406-410781-04-05-341608，见附件2）。</w:t>
      </w:r>
    </w:p>
    <w:p w14:paraId="33E62AB2">
      <w:pPr>
        <w:ind w:firstLine="480"/>
      </w:pPr>
      <w:r>
        <w:t>经查阅《建设项目环境影响评价分类管理名录》（2021年版），本项目聚醚改性硅油属于</w:t>
      </w:r>
      <w:r>
        <w:rPr>
          <w:rFonts w:hint="eastAsia"/>
        </w:rPr>
        <w:t>“二十三、化学原料和化学制品制造业”中的44“基础化学原料制造261”，本项目色浆属于“二十三、化学原料和化学制品制造业”中的“涂料、油墨、颜料及类似产品制造264”，其中“全部（含研发中试；不含单纯物理分离、物理提纯、混合、分装的）”</w:t>
      </w:r>
      <w:r>
        <w:t>的项目需要编制环境影响报告书，</w:t>
      </w:r>
      <w:r>
        <w:rPr>
          <w:rFonts w:hint="eastAsia"/>
        </w:rPr>
        <w:t>“单纯物理分离、物理提纯、混合、分装的（不产生废水或挥发性有机物的除外）”</w:t>
      </w:r>
      <w:r>
        <w:t>的项目需要编制环境影响报告表。</w:t>
      </w:r>
    </w:p>
    <w:p w14:paraId="1D3E910A">
      <w:pPr>
        <w:ind w:firstLine="480"/>
      </w:pPr>
      <w:r>
        <w:rPr>
          <w:rFonts w:hint="eastAsia"/>
        </w:rPr>
        <w:t>本项目</w:t>
      </w:r>
      <w:r>
        <w:t>聚醚改性硅油</w:t>
      </w:r>
      <w:r>
        <w:rPr>
          <w:rFonts w:hint="eastAsia"/>
        </w:rPr>
        <w:t>的工艺主要为聚合反应-中和反应-过滤-封端聚醚-硅氢化反应-脱色反应-混合-包装，不属于单纯物理分离、物理提纯、混合、分装的项目，</w:t>
      </w:r>
      <w:r>
        <w:t>应编制环境影响评价报告</w:t>
      </w:r>
      <w:r>
        <w:rPr>
          <w:rFonts w:hint="eastAsia"/>
        </w:rPr>
        <w:t>书。</w:t>
      </w:r>
      <w:r>
        <w:rPr>
          <w:rFonts w:hint="eastAsia"/>
          <w:u w:val="single"/>
        </w:rPr>
        <w:t>色浆的工艺主要为研磨-搅拌-灌装，属于单纯混合、分装项目，且生产过程不会产生废水和挥发性有机物，应编制</w:t>
      </w:r>
      <w:r>
        <w:rPr>
          <w:u w:val="single"/>
        </w:rPr>
        <w:t>环境影响报告表</w:t>
      </w:r>
      <w:r>
        <w:rPr>
          <w:rFonts w:hint="eastAsia"/>
          <w:u w:val="single"/>
        </w:rPr>
        <w:t>。综上，本项目应编制环境影响评价报告书。</w:t>
      </w:r>
    </w:p>
    <w:p w14:paraId="1D3E910B">
      <w:pPr>
        <w:pStyle w:val="4"/>
      </w:pPr>
      <w:bookmarkStart w:id="14" w:name="_Toc428287158"/>
      <w:bookmarkStart w:id="15" w:name="_Toc428286764"/>
      <w:bookmarkStart w:id="16" w:name="_Toc429318380"/>
      <w:bookmarkStart w:id="17" w:name="_Toc176105839"/>
      <w:r>
        <w:t>工程和环境特点</w:t>
      </w:r>
      <w:bookmarkEnd w:id="14"/>
      <w:bookmarkEnd w:id="15"/>
      <w:bookmarkEnd w:id="16"/>
      <w:bookmarkEnd w:id="17"/>
    </w:p>
    <w:p w14:paraId="1D3E910C">
      <w:pPr>
        <w:pStyle w:val="5"/>
        <w:spacing w:before="323" w:after="323"/>
      </w:pPr>
      <w:bookmarkStart w:id="18" w:name="_Toc428287159"/>
      <w:bookmarkStart w:id="19" w:name="_Toc428287511"/>
      <w:bookmarkStart w:id="20" w:name="_Toc428286765"/>
      <w:r>
        <w:t>工程特点</w:t>
      </w:r>
      <w:bookmarkEnd w:id="18"/>
      <w:bookmarkEnd w:id="19"/>
      <w:bookmarkEnd w:id="20"/>
    </w:p>
    <w:p w14:paraId="1D3E910D">
      <w:pPr>
        <w:ind w:firstLine="480"/>
        <w:rPr>
          <w:highlight w:val="yellow"/>
        </w:rPr>
      </w:pPr>
      <w:r>
        <w:rPr>
          <w:rFonts w:hint="eastAsia"/>
        </w:rPr>
        <w:t>（1）本项目性质为新建项目，属于</w:t>
      </w:r>
      <w:r>
        <w:rPr>
          <w:bCs/>
        </w:rPr>
        <w:t>化学原料和化学制品制造业</w:t>
      </w:r>
      <w:r>
        <w:rPr>
          <w:rFonts w:hint="eastAsia"/>
        </w:rPr>
        <w:t>项目。</w:t>
      </w:r>
      <w:r>
        <w:t>根据《产业结构调整指导目录（2024年本）》</w:t>
      </w:r>
      <w:r>
        <w:rPr>
          <w:rFonts w:hint="eastAsia"/>
        </w:rPr>
        <w:t>，本项目</w:t>
      </w:r>
      <w:r>
        <w:t>产品、工艺和设备</w:t>
      </w:r>
      <w:r>
        <w:rPr>
          <w:rFonts w:hint="eastAsia"/>
        </w:rPr>
        <w:t>不属于“鼓励类”、“限制类”和“淘汰类”，属于允许类项目，符合国家产业政策；本项目已经</w:t>
      </w:r>
      <w:r>
        <w:t>卫辉市发展和改革委员会</w:t>
      </w:r>
      <w:r>
        <w:rPr>
          <w:rFonts w:hint="eastAsia"/>
        </w:rPr>
        <w:t>备案（项目代码：2406-410781-04-05-341608，见附件2）</w:t>
      </w:r>
      <w:r>
        <w:t>。</w:t>
      </w:r>
    </w:p>
    <w:p w14:paraId="1D3E910E">
      <w:pPr>
        <w:ind w:firstLine="480"/>
        <w:rPr>
          <w:b/>
          <w:bCs/>
          <w:u w:val="single"/>
        </w:rPr>
      </w:pPr>
      <w:r>
        <w:t>（2）</w:t>
      </w:r>
      <w:bookmarkStart w:id="21" w:name="_Hlk170376972"/>
      <w:r>
        <w:t>本项目厂址位于</w:t>
      </w:r>
      <w:r>
        <w:rPr>
          <w:rFonts w:hint="eastAsia"/>
        </w:rPr>
        <w:t>新乡市卫辉市唐庄镇代庄村99号卫辉市铁西（化工）园区内，租赁新乡市太行水泥粉磨有限公司现有空厂房进行建设。</w:t>
      </w:r>
      <w:r>
        <w:t>根据</w:t>
      </w:r>
      <w:r>
        <w:rPr>
          <w:rFonts w:hint="eastAsia"/>
        </w:rPr>
        <w:t>《</w:t>
      </w:r>
      <w:r>
        <w:t>卫辉市铁西（</w:t>
      </w:r>
      <w:r>
        <w:rPr>
          <w:rFonts w:hint="eastAsia"/>
        </w:rPr>
        <w:t>化工</w:t>
      </w:r>
      <w:r>
        <w:t>）</w:t>
      </w:r>
      <w:r>
        <w:rPr>
          <w:rFonts w:hint="eastAsia"/>
        </w:rPr>
        <w:t>专业园区总体规划（2022-2035）-土地使用规划图》</w:t>
      </w:r>
      <w:r>
        <w:t>（见附图二</w:t>
      </w:r>
      <w:r>
        <w:rPr>
          <w:rFonts w:hint="eastAsia"/>
        </w:rPr>
        <w:t>（1）</w:t>
      </w:r>
      <w:r>
        <w:t>）</w:t>
      </w:r>
      <w:r>
        <w:rPr>
          <w:rFonts w:hint="eastAsia"/>
        </w:rPr>
        <w:t>和《</w:t>
      </w:r>
      <w:r>
        <w:t>卫辉市铁西（</w:t>
      </w:r>
      <w:r>
        <w:rPr>
          <w:rFonts w:hint="eastAsia"/>
        </w:rPr>
        <w:t>化工</w:t>
      </w:r>
      <w:r>
        <w:t>）</w:t>
      </w:r>
      <w:r>
        <w:rPr>
          <w:rFonts w:hint="eastAsia"/>
        </w:rPr>
        <w:t>专业园区总体规划（2022-2035）-产业功能布局图》</w:t>
      </w:r>
      <w:r>
        <w:t>（见附图二</w:t>
      </w:r>
      <w:r>
        <w:rPr>
          <w:rFonts w:hint="eastAsia"/>
        </w:rPr>
        <w:t>（2）</w:t>
      </w:r>
      <w:r>
        <w:t>），项目厂址用地为</w:t>
      </w:r>
      <w:r>
        <w:rPr>
          <w:rFonts w:hint="eastAsia"/>
        </w:rPr>
        <w:t>二类</w:t>
      </w:r>
      <w:r>
        <w:t>工业用地，</w:t>
      </w:r>
      <w:r>
        <w:rPr>
          <w:rFonts w:hint="eastAsia"/>
        </w:rPr>
        <w:t>位于食品添加剂及助剂产业区</w:t>
      </w:r>
      <w:r>
        <w:t>；本项目建设符合卫辉市铁西（</w:t>
      </w:r>
      <w:r>
        <w:rPr>
          <w:rFonts w:hint="eastAsia"/>
        </w:rPr>
        <w:t>化工</w:t>
      </w:r>
      <w:r>
        <w:t>）专业园区规划。</w:t>
      </w:r>
    </w:p>
    <w:bookmarkEnd w:id="21"/>
    <w:p w14:paraId="1D3E910F">
      <w:pPr>
        <w:ind w:firstLine="480"/>
        <w:rPr>
          <w:u w:val="single"/>
        </w:rPr>
      </w:pPr>
      <w:r>
        <w:rPr>
          <w:rFonts w:hint="eastAsia" w:ascii="宋体" w:hAnsi="宋体" w:cs="宋体"/>
        </w:rPr>
        <w:t>③</w:t>
      </w:r>
      <w:r>
        <w:rPr>
          <w:u w:val="single"/>
        </w:rPr>
        <w:t>本项目</w:t>
      </w:r>
      <w:r>
        <w:rPr>
          <w:rFonts w:hint="eastAsia"/>
          <w:u w:val="single"/>
        </w:rPr>
        <w:t>聚合、中和与硅氢化反应、脱色产生废气的经密闭管道负压</w:t>
      </w:r>
      <w:r>
        <w:rPr>
          <w:u w:val="single"/>
        </w:rPr>
        <w:t>收集后</w:t>
      </w:r>
      <w:r>
        <w:rPr>
          <w:rFonts w:hint="eastAsia"/>
          <w:u w:val="single"/>
        </w:rPr>
        <w:t>经“设备自带冷凝”处理，处理后与污水处理站废气一起引入“碱喷淋+水喷淋+除雾器”处理，处理后与危险废物贮存库废气、化验室废气一起引入活性炭吸附装置，最终经1根15m高排气筒DA001排放；色粉投料粉尘经袋式除尘器处理后经1根15m高的排气筒DA002排放。</w:t>
      </w:r>
    </w:p>
    <w:p w14:paraId="1D3E9110">
      <w:pPr>
        <w:ind w:firstLine="480"/>
        <w:rPr>
          <w:highlight w:val="yellow"/>
        </w:rPr>
      </w:pPr>
      <w:r>
        <w:rPr>
          <w:rFonts w:hint="eastAsia" w:ascii="宋体" w:hAnsi="宋体" w:cs="宋体"/>
        </w:rPr>
        <w:t>④</w:t>
      </w:r>
      <w:r>
        <w:t>本项目使用的新鲜水由园区统一供应，营运期产生的</w:t>
      </w:r>
      <w:r>
        <w:rPr>
          <w:rFonts w:hint="eastAsia"/>
        </w:rPr>
        <w:t>喷淋废水、车间地面清洗废水、化验室废水经厂区污水处理站处理后与经化粪池处理后的生活污水、循环冷却系统排水一起由厂区总排口排入园区污水管网，再进入唐庄污水处理厂进行进一步处理，处理后排入共产主义渠。</w:t>
      </w:r>
    </w:p>
    <w:p w14:paraId="1D3E9111">
      <w:pPr>
        <w:ind w:firstLine="480"/>
      </w:pPr>
      <w:r>
        <w:rPr>
          <w:rFonts w:hint="eastAsia" w:ascii="宋体" w:hAnsi="宋体" w:cs="宋体"/>
        </w:rPr>
        <w:t>⑤</w:t>
      </w:r>
      <w:r>
        <w:t>本项目噪声设备较多，噪声源相对较大。为保证噪声稳定达标排放，企业严格落实噪声措施并确保降噪措施达到预计降噪效果，同时加强设备的日常运行管理和维护，控制噪声的排放。</w:t>
      </w:r>
    </w:p>
    <w:p w14:paraId="1D3E9112">
      <w:pPr>
        <w:ind w:firstLine="480"/>
        <w:rPr>
          <w:highlight w:val="yellow"/>
        </w:rPr>
      </w:pPr>
      <w:r>
        <w:rPr>
          <w:rFonts w:hint="eastAsia" w:ascii="宋体" w:hAnsi="宋体" w:cs="宋体"/>
        </w:rPr>
        <w:t>⑥</w:t>
      </w:r>
      <w:r>
        <w:t>本项目主要环境风险源为</w:t>
      </w:r>
      <w:r>
        <w:rPr>
          <w:rFonts w:hint="eastAsia"/>
        </w:rPr>
        <w:t>原料</w:t>
      </w:r>
      <w:r>
        <w:t>区</w:t>
      </w:r>
      <w:r>
        <w:rPr>
          <w:rFonts w:hint="eastAsia"/>
        </w:rPr>
        <w:t>、反应釜区，</w:t>
      </w:r>
      <w:r>
        <w:t>主要存在环境风险为</w:t>
      </w:r>
      <w:r>
        <w:rPr>
          <w:rFonts w:hint="eastAsia"/>
          <w:bCs/>
        </w:rPr>
        <w:t>D4（八甲基环四硅氧烷）</w:t>
      </w:r>
      <w:r>
        <w:rPr>
          <w:bCs/>
        </w:rPr>
        <w:t>、</w:t>
      </w:r>
      <w:r>
        <w:rPr>
          <w:rFonts w:hint="eastAsia"/>
          <w:bCs/>
        </w:rPr>
        <w:t>硫酸</w:t>
      </w:r>
      <w:r>
        <w:rPr>
          <w:bCs/>
        </w:rPr>
        <w:t>等</w:t>
      </w:r>
      <w:r>
        <w:t>危险化学品泄露，应做好环境风险评价工作并提出防范措施。</w:t>
      </w:r>
    </w:p>
    <w:p w14:paraId="1D3E9113">
      <w:pPr>
        <w:pStyle w:val="5"/>
        <w:spacing w:before="323" w:after="323"/>
      </w:pPr>
      <w:bookmarkStart w:id="22" w:name="_Toc428287160"/>
      <w:bookmarkStart w:id="23" w:name="_Toc428286766"/>
      <w:bookmarkStart w:id="24" w:name="_Toc428287512"/>
      <w:r>
        <w:t>环境特点</w:t>
      </w:r>
      <w:bookmarkEnd w:id="22"/>
      <w:bookmarkEnd w:id="23"/>
      <w:bookmarkEnd w:id="24"/>
    </w:p>
    <w:p w14:paraId="1D3E9114">
      <w:pPr>
        <w:ind w:firstLine="480"/>
        <w:rPr>
          <w:highlight w:val="yellow"/>
        </w:rPr>
      </w:pPr>
      <w:r>
        <w:t>项目厂址位于</w:t>
      </w:r>
      <w:r>
        <w:rPr>
          <w:rFonts w:hint="eastAsia"/>
        </w:rPr>
        <w:t>新乡市卫辉市唐庄镇代庄村99号卫辉市铁西（化工）园区新乡市太行水泥粉磨有限公司</w:t>
      </w:r>
      <w:r>
        <w:t>厂区内</w:t>
      </w:r>
      <w:r>
        <w:rPr>
          <w:rFonts w:hint="eastAsia"/>
        </w:rPr>
        <w:t>东南侧</w:t>
      </w:r>
      <w:r>
        <w:t>。</w:t>
      </w:r>
      <w:r>
        <w:rPr>
          <w:rFonts w:hint="eastAsia"/>
        </w:rPr>
        <w:t>新乡市太行水泥粉磨有限公司</w:t>
      </w:r>
      <w:r>
        <w:t>厂区四周环境为：</w:t>
      </w:r>
      <w:r>
        <w:rPr>
          <w:rFonts w:hint="eastAsia"/>
        </w:rPr>
        <w:t>北侧均为卫辉市金光商砼有限公司，南侧为卫辉市天凤水泥有限公司和G</w:t>
      </w:r>
      <w:r>
        <w:t>107</w:t>
      </w:r>
      <w:r>
        <w:rPr>
          <w:rFonts w:hint="eastAsia"/>
        </w:rPr>
        <w:t>，G</w:t>
      </w:r>
      <w:r>
        <w:t>107</w:t>
      </w:r>
      <w:r>
        <w:rPr>
          <w:rFonts w:hint="eastAsia"/>
        </w:rPr>
        <w:t>路南为</w:t>
      </w:r>
      <w:r>
        <w:rPr>
          <w:rFonts w:hint="eastAsia"/>
          <w:bCs/>
        </w:rPr>
        <w:t>卫辉市康迪粉业有限公司</w:t>
      </w:r>
      <w:r>
        <w:rPr>
          <w:rFonts w:hint="eastAsia"/>
        </w:rPr>
        <w:t>，西侧为卫辉市金光商砼有限公司和卫辉市天意水泥有限公司，东侧为卫辉市鹏达机动车检测有限公司。</w:t>
      </w:r>
      <w:r>
        <w:rPr>
          <w:bCs/>
        </w:rPr>
        <w:t>距离项目最近环境保护敏感目标为</w:t>
      </w:r>
      <w:r>
        <w:rPr>
          <w:rFonts w:hint="eastAsia"/>
          <w:bCs/>
        </w:rPr>
        <w:t>厂区东侧约580</w:t>
      </w:r>
      <w:r>
        <w:rPr>
          <w:bCs/>
        </w:rPr>
        <w:t>m</w:t>
      </w:r>
      <w:r>
        <w:rPr>
          <w:rFonts w:hint="eastAsia"/>
          <w:bCs/>
        </w:rPr>
        <w:t>处的下园村</w:t>
      </w:r>
      <w:r>
        <w:rPr>
          <w:bCs/>
        </w:rPr>
        <w:t>。</w:t>
      </w:r>
    </w:p>
    <w:p w14:paraId="1D3E9115">
      <w:pPr>
        <w:ind w:firstLine="480"/>
        <w:rPr>
          <w:highlight w:val="yellow"/>
        </w:rPr>
      </w:pPr>
      <w:r>
        <w:rPr>
          <w:rFonts w:hint="eastAsia" w:ascii="宋体" w:hAnsi="宋体" w:cs="宋体"/>
        </w:rPr>
        <w:t>②</w:t>
      </w:r>
      <w:r>
        <w:t>本项目</w:t>
      </w:r>
      <w:r>
        <w:rPr>
          <w:rFonts w:hint="eastAsia"/>
        </w:rPr>
        <w:t>喷淋废水、车间地面清洗废水、化验室废水经厂区污水处理站处理后与经化粪池处理后的生活污水、循环冷却系统排水一起由厂区总排口排入园区污水管网，再进入唐庄污水处理厂进行进一步处理，处理后排入共产主义渠。</w:t>
      </w:r>
    </w:p>
    <w:p w14:paraId="1D3E9116">
      <w:pPr>
        <w:ind w:firstLine="480"/>
      </w:pPr>
      <w:r>
        <w:rPr>
          <w:rFonts w:hint="eastAsia" w:ascii="宋体" w:hAnsi="宋体" w:cs="宋体"/>
        </w:rPr>
        <w:t>③</w:t>
      </w:r>
      <w:r>
        <w:t>项目厂址不在新乡市饮用水源保护区范围内。</w:t>
      </w:r>
    </w:p>
    <w:p w14:paraId="440F48DB">
      <w:pPr>
        <w:ind w:firstLine="480"/>
        <w:rPr>
          <w:u w:val="single"/>
        </w:rPr>
      </w:pPr>
      <w:r>
        <w:rPr>
          <w:rFonts w:hint="eastAsia" w:ascii="宋体" w:hAnsi="宋体" w:cs="宋体"/>
          <w:u w:val="single"/>
        </w:rPr>
        <w:t>④根据《国民经济行业分类》</w:t>
      </w:r>
      <w:r>
        <w:rPr>
          <w:u w:val="single"/>
        </w:rPr>
        <w:t>（GB</w:t>
      </w:r>
      <w:r>
        <w:rPr>
          <w:rFonts w:hint="eastAsia"/>
          <w:u w:val="single"/>
        </w:rPr>
        <w:t>/</w:t>
      </w:r>
      <w:r>
        <w:rPr>
          <w:u w:val="single"/>
        </w:rPr>
        <w:t>T</w:t>
      </w:r>
      <w:r>
        <w:rPr>
          <w:rFonts w:hint="eastAsia"/>
          <w:u w:val="single"/>
        </w:rPr>
        <w:t xml:space="preserve"> </w:t>
      </w:r>
      <w:r>
        <w:rPr>
          <w:u w:val="single"/>
        </w:rPr>
        <w:t>4754-2017）</w:t>
      </w:r>
      <w:r>
        <w:rPr>
          <w:rFonts w:hint="eastAsia"/>
          <w:u w:val="single"/>
        </w:rPr>
        <w:t>和</w:t>
      </w:r>
      <w:r>
        <w:rPr>
          <w:u w:val="single"/>
        </w:rPr>
        <w:t>《2017年国民经济行业分类注释》</w:t>
      </w:r>
      <w:r>
        <w:rPr>
          <w:rFonts w:hint="eastAsia"/>
          <w:u w:val="single"/>
        </w:rPr>
        <w:t>，C2645染料制造指有机合成、植物性或动物性色料，以及有机颜料的生产活动。包括下列</w:t>
      </w:r>
      <w:r>
        <w:rPr>
          <w:u w:val="single"/>
        </w:rPr>
        <w:t>染料制造</w:t>
      </w:r>
      <w:r>
        <w:rPr>
          <w:rFonts w:hint="eastAsia"/>
          <w:u w:val="single"/>
        </w:rPr>
        <w:t>活动：</w:t>
      </w:r>
    </w:p>
    <w:p w14:paraId="370EE756">
      <w:pPr>
        <w:pStyle w:val="2"/>
        <w:spacing w:after="0"/>
        <w:ind w:firstLine="480"/>
        <w:rPr>
          <w:u w:val="single"/>
        </w:rPr>
      </w:pPr>
      <w:r>
        <w:rPr>
          <w:rFonts w:hint="eastAsia"/>
          <w:u w:val="single"/>
        </w:rPr>
        <w:t>（i）有机颜料：亚硝基类颜料、偶氮类颜料、联苯胺黄G、色淀类颜料、酞菁类颜料（酞菁兰、酞菁绿G、其他有机颜料）；</w:t>
      </w:r>
    </w:p>
    <w:p w14:paraId="29E91EDF">
      <w:pPr>
        <w:ind w:firstLine="480"/>
        <w:rPr>
          <w:u w:val="single"/>
        </w:rPr>
      </w:pPr>
      <w:r>
        <w:rPr>
          <w:rFonts w:hint="eastAsia"/>
          <w:u w:val="single"/>
        </w:rPr>
        <w:t>（ii）染料：硫化染料、分散染料、酸性染料、碱性染料、直接染料、活性染料（反应染料）、冰染染料（显色染料）、还原染料（瓮染料）阳离子染料、中性染料、其他染料；</w:t>
      </w:r>
    </w:p>
    <w:p w14:paraId="050E2EEF">
      <w:pPr>
        <w:pStyle w:val="2"/>
        <w:spacing w:after="0"/>
        <w:ind w:firstLine="480"/>
        <w:rPr>
          <w:u w:val="single"/>
        </w:rPr>
      </w:pPr>
      <w:r>
        <w:rPr>
          <w:rFonts w:hint="eastAsia"/>
          <w:u w:val="single"/>
        </w:rPr>
        <w:t>（iii）用作发光体有机、无机产品：稀土发光材料、荧光增白剂、增感染料、生物染色剂、染料指示剂、其他用作发光体有机、无机产品。</w:t>
      </w:r>
    </w:p>
    <w:p w14:paraId="4BEC0408">
      <w:pPr>
        <w:ind w:firstLine="480"/>
        <w:rPr>
          <w:u w:val="single"/>
        </w:rPr>
      </w:pPr>
      <w:r>
        <w:rPr>
          <w:rFonts w:hint="eastAsia"/>
          <w:u w:val="single"/>
        </w:rPr>
        <w:t>下列产品制造活动列入本分类：</w:t>
      </w:r>
    </w:p>
    <w:p w14:paraId="5A29E9C2">
      <w:pPr>
        <w:pStyle w:val="2"/>
        <w:spacing w:after="0"/>
        <w:ind w:firstLine="480"/>
        <w:rPr>
          <w:u w:val="single"/>
        </w:rPr>
      </w:pPr>
      <w:r>
        <w:rPr>
          <w:rFonts w:hint="eastAsia"/>
          <w:u w:val="single"/>
        </w:rPr>
        <w:t>（i）新型有机染料；</w:t>
      </w:r>
    </w:p>
    <w:p w14:paraId="11F860FF">
      <w:pPr>
        <w:ind w:firstLine="480"/>
        <w:rPr>
          <w:u w:val="single"/>
        </w:rPr>
      </w:pPr>
      <w:r>
        <w:rPr>
          <w:rFonts w:hint="eastAsia"/>
          <w:u w:val="single"/>
        </w:rPr>
        <w:t>（ii）新型活性染料；</w:t>
      </w:r>
    </w:p>
    <w:p w14:paraId="79B95231">
      <w:pPr>
        <w:pStyle w:val="2"/>
        <w:spacing w:after="0"/>
        <w:ind w:firstLine="480"/>
        <w:rPr>
          <w:u w:val="single"/>
        </w:rPr>
      </w:pPr>
      <w:r>
        <w:rPr>
          <w:rFonts w:hint="eastAsia"/>
          <w:u w:val="single"/>
        </w:rPr>
        <w:t>（iii）新型还原染料；</w:t>
      </w:r>
    </w:p>
    <w:p w14:paraId="13A516B9">
      <w:pPr>
        <w:ind w:firstLine="480"/>
        <w:rPr>
          <w:u w:val="single"/>
        </w:rPr>
      </w:pPr>
      <w:r>
        <w:rPr>
          <w:rFonts w:hint="eastAsia"/>
          <w:u w:val="single"/>
        </w:rPr>
        <w:t>（iv）新型分散染料；</w:t>
      </w:r>
    </w:p>
    <w:p w14:paraId="741845E3">
      <w:pPr>
        <w:pStyle w:val="2"/>
        <w:spacing w:after="0"/>
        <w:ind w:firstLine="480"/>
        <w:rPr>
          <w:u w:val="single"/>
        </w:rPr>
      </w:pPr>
      <w:r>
        <w:rPr>
          <w:rFonts w:hint="eastAsia"/>
          <w:u w:val="single"/>
        </w:rPr>
        <w:t>（v）其他新型功能染料。</w:t>
      </w:r>
    </w:p>
    <w:p w14:paraId="6CBEDCB9">
      <w:pPr>
        <w:pStyle w:val="2"/>
        <w:spacing w:after="0"/>
        <w:ind w:firstLine="480"/>
        <w:rPr>
          <w:u w:val="single"/>
        </w:rPr>
      </w:pPr>
      <w:r>
        <w:rPr>
          <w:rFonts w:hint="eastAsia"/>
          <w:u w:val="single"/>
        </w:rPr>
        <w:t>另外，根据《排污许可证申请与核发技术规范 涂料、油墨、颜料及类似产品制造业》（HJ 1116—2020），染料制造指以指有机合成、植物性或动物性色料，以及有机颜料的生产活动。包括染料和有机颜料制造。</w:t>
      </w:r>
    </w:p>
    <w:p w14:paraId="4831209A">
      <w:pPr>
        <w:ind w:firstLine="480"/>
        <w:rPr>
          <w:u w:val="single"/>
        </w:rPr>
      </w:pPr>
      <w:r>
        <w:rPr>
          <w:rFonts w:hint="eastAsia"/>
          <w:u w:val="single"/>
        </w:rPr>
        <w:t>本项目采用的色粉为有机颜料，主要为颜料红184和颜料黄180，和聚醚多元醇（三羟基聚氧化丙烯氧化乙烯醚）混合搅拌后形成色浆，聚醚多元醇在生产色浆过程起到基材和分散剂的作用，起到帮助颜料均匀分散，同时调节色浆的粘度、流动性。本项目色浆主要是作为染色剂用于海绵上色，故本项目色浆生产属于C2645染料制造。</w:t>
      </w:r>
    </w:p>
    <w:p w14:paraId="75A77732">
      <w:pPr>
        <w:ind w:firstLine="480"/>
      </w:pPr>
      <w:r>
        <w:rPr>
          <w:rFonts w:hint="eastAsia" w:ascii="宋体" w:hAnsi="宋体" w:cs="宋体"/>
          <w:u w:val="single"/>
        </w:rPr>
        <w:t>根据《国民经济行业分类》</w:t>
      </w:r>
      <w:r>
        <w:rPr>
          <w:u w:val="single"/>
        </w:rPr>
        <w:t>（GB</w:t>
      </w:r>
      <w:r>
        <w:rPr>
          <w:rFonts w:hint="eastAsia"/>
          <w:u w:val="single"/>
        </w:rPr>
        <w:t>/</w:t>
      </w:r>
      <w:r>
        <w:rPr>
          <w:u w:val="single"/>
        </w:rPr>
        <w:t>T</w:t>
      </w:r>
      <w:r>
        <w:rPr>
          <w:rFonts w:hint="eastAsia"/>
          <w:u w:val="single"/>
        </w:rPr>
        <w:t xml:space="preserve"> </w:t>
      </w:r>
      <w:r>
        <w:rPr>
          <w:u w:val="single"/>
        </w:rPr>
        <w:t>4754-2017）</w:t>
      </w:r>
      <w:r>
        <w:rPr>
          <w:rFonts w:hint="eastAsia"/>
          <w:u w:val="single"/>
        </w:rPr>
        <w:t>和</w:t>
      </w:r>
      <w:r>
        <w:rPr>
          <w:u w:val="single"/>
        </w:rPr>
        <w:t>《2017年国民经济行业分类注释》</w:t>
      </w:r>
      <w:r>
        <w:rPr>
          <w:rFonts w:hint="eastAsia"/>
          <w:u w:val="single"/>
        </w:rPr>
        <w:t>，C2662专项化学用品制造指水处理化学品、造纸化学品、皮革化学品、油脂化学品、油田化学品、生物工程化学品、日化产品专用化学品等产品的生产活动。包括下列专项化学用品</w:t>
      </w:r>
      <w:r>
        <w:rPr>
          <w:u w:val="single"/>
        </w:rPr>
        <w:t>制造</w:t>
      </w:r>
      <w:r>
        <w:rPr>
          <w:rFonts w:hint="eastAsia"/>
          <w:u w:val="single"/>
        </w:rPr>
        <w:t>活动：建工建材用化学助剂、油田用化学制剂、矿物油用配制添加剂、鞣料及鞣料制剂、酶及酶制品、金属表面处理剂、工业用脂肪醇、工业用脂肪酸、工业用脂肪胺、脂肪酸甲酯、表面活性剂、灭火器用装配药、灭火弹及其他专项化学用品。</w:t>
      </w:r>
    </w:p>
    <w:p w14:paraId="73A8868E">
      <w:pPr>
        <w:ind w:firstLine="480"/>
        <w:rPr>
          <w:u w:val="single"/>
        </w:rPr>
      </w:pPr>
      <w:r>
        <w:rPr>
          <w:rFonts w:hint="eastAsia"/>
          <w:u w:val="single"/>
        </w:rPr>
        <w:t>本项目产品聚醚改性硅油主要作为稳定剂用于生产海绵，属于其他专项化学用品，故</w:t>
      </w:r>
      <w:r>
        <w:rPr>
          <w:u w:val="single"/>
        </w:rPr>
        <w:t>项目</w:t>
      </w:r>
      <w:r>
        <w:rPr>
          <w:rFonts w:hint="eastAsia"/>
          <w:u w:val="single"/>
        </w:rPr>
        <w:t>聚醚改性硅油生产</w:t>
      </w:r>
      <w:r>
        <w:rPr>
          <w:u w:val="single"/>
        </w:rPr>
        <w:t>属于</w:t>
      </w:r>
      <w:r>
        <w:rPr>
          <w:rFonts w:hint="eastAsia"/>
          <w:u w:val="single"/>
        </w:rPr>
        <w:t>C2662专项化学用品制造。</w:t>
      </w:r>
    </w:p>
    <w:p w14:paraId="15BD13A8">
      <w:pPr>
        <w:pStyle w:val="2"/>
        <w:spacing w:after="0"/>
        <w:ind w:firstLine="480"/>
      </w:pPr>
      <w:r>
        <w:rPr>
          <w:rFonts w:hint="eastAsia"/>
          <w:u w:val="single"/>
        </w:rPr>
        <w:t>综上，本项目属于C2645染料制造和C2662专项化学用品制造。</w:t>
      </w:r>
    </w:p>
    <w:p w14:paraId="1D3E9117">
      <w:pPr>
        <w:ind w:firstLine="480"/>
      </w:pPr>
      <w:r>
        <w:t>根据项目排污特点，工程具有成熟的治理技术，可以保证废气、废水、噪声达标排放，固废有效处置。工程排污严格执行国家相关排放标准。</w:t>
      </w:r>
    </w:p>
    <w:p w14:paraId="1D3E9118">
      <w:pPr>
        <w:pStyle w:val="4"/>
      </w:pPr>
      <w:bookmarkStart w:id="25" w:name="_Toc176105840"/>
      <w:r>
        <w:t>环境影响评价的工作过程</w:t>
      </w:r>
      <w:bookmarkEnd w:id="25"/>
    </w:p>
    <w:p w14:paraId="1D3E9119">
      <w:pPr>
        <w:ind w:firstLine="480"/>
      </w:pPr>
      <w:r>
        <w:t>202</w:t>
      </w:r>
      <w:r>
        <w:rPr>
          <w:rFonts w:hint="eastAsia"/>
        </w:rPr>
        <w:t>4</w:t>
      </w:r>
      <w:r>
        <w:t>年</w:t>
      </w:r>
      <w:r>
        <w:rPr>
          <w:rFonts w:hint="eastAsia"/>
        </w:rPr>
        <w:t>6</w:t>
      </w:r>
      <w:r>
        <w:t>月，接受建设单位的委托，项目启动；评价单位在多次实地踏勘、调研和收集分析资料的基础上，开展了该项目环境影响评价工作。</w:t>
      </w:r>
    </w:p>
    <w:p w14:paraId="0D596675">
      <w:pPr>
        <w:pStyle w:val="2"/>
        <w:spacing w:after="0"/>
        <w:ind w:firstLine="480"/>
        <w:rPr>
          <w:highlight w:val="yellow"/>
        </w:rPr>
      </w:pPr>
      <w:r>
        <w:t>新乡市世青环境技术有限公司在多次实地踏勘、调研和收集分析资料的基础上，开展了该项目环境影响评价工作。在评价过程中，企业于委托</w:t>
      </w:r>
      <w:r>
        <w:rPr>
          <w:rFonts w:hint="eastAsia"/>
        </w:rPr>
        <w:t>河南平原山水检测有限公司新乡分公司对项目周边环境质量现状进行了检测。</w:t>
      </w:r>
    </w:p>
    <w:p w14:paraId="7739509F">
      <w:pPr>
        <w:ind w:firstLine="480"/>
        <w:rPr>
          <w:highlight w:val="yellow"/>
        </w:rPr>
      </w:pPr>
      <w:r>
        <w:t>根据《中华人民共和国环境影响评价法》、《环境影响评价技术导则》相关要求，新乡市世青环境技术有限公司按照“突出环境影响评价的源头预防作用，坚持保护和改善环境质量”的原则，于202</w:t>
      </w:r>
      <w:r>
        <w:rPr>
          <w:rFonts w:hint="eastAsia"/>
        </w:rPr>
        <w:t>4</w:t>
      </w:r>
      <w:r>
        <w:t>年</w:t>
      </w:r>
      <w:r>
        <w:rPr>
          <w:rFonts w:hint="eastAsia"/>
        </w:rPr>
        <w:t>9</w:t>
      </w:r>
      <w:r>
        <w:t>月</w:t>
      </w:r>
      <w:r>
        <w:rPr>
          <w:rFonts w:hint="eastAsia"/>
        </w:rPr>
        <w:t>初</w:t>
      </w:r>
      <w:r>
        <w:t>编制完成了《</w:t>
      </w:r>
      <w:r>
        <w:rPr>
          <w:rFonts w:hint="eastAsia"/>
        </w:rPr>
        <w:t>河南欣姣芬化工有限公司年产10000吨聚醚改性硅油、1000吨色浆项目</w:t>
      </w:r>
      <w:r>
        <w:t>环境影响报告书》（征求意见稿）。</w:t>
      </w:r>
    </w:p>
    <w:p w14:paraId="1D3E911C">
      <w:pPr>
        <w:ind w:firstLine="480"/>
        <w:rPr>
          <w:bCs/>
          <w:szCs w:val="24"/>
          <w:highlight w:val="yellow"/>
        </w:rPr>
      </w:pPr>
      <w:r>
        <w:rPr>
          <w:bCs/>
        </w:rPr>
        <w:t>202</w:t>
      </w:r>
      <w:r>
        <w:rPr>
          <w:rFonts w:hint="eastAsia"/>
          <w:bCs/>
        </w:rPr>
        <w:t>4</w:t>
      </w:r>
      <w:r>
        <w:rPr>
          <w:bCs/>
        </w:rPr>
        <w:t>年</w:t>
      </w:r>
      <w:r>
        <w:rPr>
          <w:rFonts w:hint="eastAsia"/>
          <w:bCs/>
        </w:rPr>
        <w:t>9</w:t>
      </w:r>
      <w:r>
        <w:rPr>
          <w:bCs/>
        </w:rPr>
        <w:t>月</w:t>
      </w:r>
      <w:r>
        <w:rPr>
          <w:rFonts w:hint="eastAsia"/>
          <w:bCs/>
        </w:rPr>
        <w:t>3</w:t>
      </w:r>
      <w:r>
        <w:rPr>
          <w:bCs/>
        </w:rPr>
        <w:t>日~2024年</w:t>
      </w:r>
      <w:r>
        <w:rPr>
          <w:rFonts w:hint="eastAsia"/>
          <w:bCs/>
        </w:rPr>
        <w:t>9</w:t>
      </w:r>
      <w:r>
        <w:rPr>
          <w:bCs/>
        </w:rPr>
        <w:t>月</w:t>
      </w:r>
      <w:r>
        <w:rPr>
          <w:rFonts w:hint="eastAsia"/>
          <w:bCs/>
        </w:rPr>
        <w:t>10</w:t>
      </w:r>
      <w:r>
        <w:rPr>
          <w:bCs/>
        </w:rPr>
        <w:t>日在蓝天环境网进行了征求意见稿全文公示并征求公众意见，同时分别于2024年</w:t>
      </w:r>
      <w:r>
        <w:rPr>
          <w:rFonts w:hint="eastAsia"/>
          <w:bCs/>
        </w:rPr>
        <w:t>9</w:t>
      </w:r>
      <w:r>
        <w:rPr>
          <w:bCs/>
        </w:rPr>
        <w:t>月</w:t>
      </w:r>
      <w:r>
        <w:rPr>
          <w:rFonts w:hint="eastAsia"/>
          <w:bCs/>
        </w:rPr>
        <w:t>9</w:t>
      </w:r>
      <w:r>
        <w:rPr>
          <w:bCs/>
        </w:rPr>
        <w:t>日和</w:t>
      </w:r>
      <w:r>
        <w:rPr>
          <w:rFonts w:hint="eastAsia"/>
          <w:bCs/>
        </w:rPr>
        <w:t>9</w:t>
      </w:r>
      <w:r>
        <w:rPr>
          <w:bCs/>
        </w:rPr>
        <w:t>月</w:t>
      </w:r>
      <w:r>
        <w:rPr>
          <w:rFonts w:hint="eastAsia"/>
          <w:bCs/>
        </w:rPr>
        <w:t>10</w:t>
      </w:r>
      <w:r>
        <w:rPr>
          <w:bCs/>
        </w:rPr>
        <w:t>日在《</w:t>
      </w:r>
      <w:r>
        <w:rPr>
          <w:rFonts w:hint="eastAsia"/>
          <w:bCs/>
        </w:rPr>
        <w:t>河南</w:t>
      </w:r>
      <w:r>
        <w:rPr>
          <w:bCs/>
        </w:rPr>
        <w:t>日报》上进行了信息公示并征求公众意见</w:t>
      </w:r>
      <w:r>
        <w:rPr>
          <w:rFonts w:hint="eastAsia"/>
          <w:bCs/>
          <w:szCs w:val="24"/>
        </w:rPr>
        <w:t>.</w:t>
      </w:r>
    </w:p>
    <w:p w14:paraId="1D3E911D">
      <w:pPr>
        <w:ind w:firstLine="480"/>
      </w:pPr>
      <w:r>
        <w:t>2024年</w:t>
      </w:r>
      <w:r>
        <w:rPr>
          <w:rFonts w:hint="eastAsia"/>
        </w:rPr>
        <w:t>9</w:t>
      </w:r>
      <w:r>
        <w:t>月，新乡市世青环境技术有限公司完成环境影响报告书初稿</w:t>
      </w:r>
      <w:r>
        <w:rPr>
          <w:rFonts w:hint="eastAsia"/>
        </w:rPr>
        <w:t>。</w:t>
      </w:r>
    </w:p>
    <w:p w14:paraId="1D3E911E">
      <w:pPr>
        <w:pStyle w:val="4"/>
      </w:pPr>
      <w:bookmarkStart w:id="26" w:name="_Toc176105841"/>
      <w:r>
        <w:t>关注的主要环境问题及环境影响</w:t>
      </w:r>
      <w:bookmarkEnd w:id="26"/>
    </w:p>
    <w:p w14:paraId="1D3E911F">
      <w:pPr>
        <w:ind w:firstLine="480"/>
      </w:pPr>
      <w:r>
        <w:t>环境空气：重点关注项目建设对区域环境空气质量及敏感点的影响；</w:t>
      </w:r>
    </w:p>
    <w:p w14:paraId="1D3E9120">
      <w:pPr>
        <w:ind w:firstLine="480"/>
      </w:pPr>
      <w:r>
        <w:t>地表水环境：重点关注项目废水收集、处理措施的可行性、区域污水处理厂的可依托性；</w:t>
      </w:r>
    </w:p>
    <w:p w14:paraId="1D3E9121">
      <w:pPr>
        <w:ind w:firstLine="480"/>
      </w:pPr>
      <w:r>
        <w:t>地下水环境：重点关注项目依托的污水处理设施的防渗措施的可行性；</w:t>
      </w:r>
    </w:p>
    <w:p w14:paraId="1D3E9122">
      <w:pPr>
        <w:ind w:firstLine="480"/>
      </w:pPr>
      <w:r>
        <w:t>声环境：重点关注项目实施后高噪声设备对区域声环境及敏感点的影响；</w:t>
      </w:r>
    </w:p>
    <w:p w14:paraId="1D3E9123">
      <w:pPr>
        <w:ind w:firstLine="480"/>
      </w:pPr>
      <w:r>
        <w:t>土壤环境：重点关注项目污水处理设施的防渗措施的可行性；</w:t>
      </w:r>
    </w:p>
    <w:p w14:paraId="1D3E9124">
      <w:pPr>
        <w:ind w:firstLine="480"/>
      </w:pPr>
      <w:r>
        <w:t>固体废物：重点关注项目产生的固废收集、暂存、处置措施的合理性，防止二次污染。</w:t>
      </w:r>
      <w:bookmarkStart w:id="27" w:name="_Toc428286779"/>
      <w:bookmarkStart w:id="28" w:name="_Toc428287173"/>
      <w:bookmarkStart w:id="29" w:name="_Toc429318387"/>
    </w:p>
    <w:p w14:paraId="1D3E9125">
      <w:pPr>
        <w:pStyle w:val="4"/>
      </w:pPr>
      <w:bookmarkStart w:id="30" w:name="_Toc176105842"/>
      <w:r>
        <w:t>与产业政策、区域规划的相符性</w:t>
      </w:r>
      <w:bookmarkEnd w:id="30"/>
    </w:p>
    <w:p w14:paraId="1D3E9126">
      <w:pPr>
        <w:ind w:firstLine="480"/>
      </w:pPr>
      <w:r>
        <w:t>（1）产业政策相符性</w:t>
      </w:r>
    </w:p>
    <w:p w14:paraId="1D3E9127">
      <w:pPr>
        <w:ind w:firstLine="480"/>
        <w:rPr>
          <w:highlight w:val="yellow"/>
        </w:rPr>
      </w:pPr>
      <w:r>
        <w:t>本项目属于</w:t>
      </w:r>
      <w:r>
        <w:rPr>
          <w:bCs/>
        </w:rPr>
        <w:t>化学原料和化学制品制造业</w:t>
      </w:r>
      <w:r>
        <w:rPr>
          <w:rFonts w:hint="eastAsia"/>
          <w:bCs/>
        </w:rPr>
        <w:t>项目，</w:t>
      </w:r>
      <w:r>
        <w:t>根据《产业结构调整指导目录（2024年本）》</w:t>
      </w:r>
      <w:r>
        <w:rPr>
          <w:rFonts w:hint="eastAsia"/>
        </w:rPr>
        <w:t>，本项目</w:t>
      </w:r>
      <w:r>
        <w:t>产品、工艺和设备</w:t>
      </w:r>
      <w:r>
        <w:rPr>
          <w:rFonts w:hint="eastAsia"/>
        </w:rPr>
        <w:t>不属于“鼓励类”、“限制类”和“淘汰类”，属于允许类项目，符合国家产业政策</w:t>
      </w:r>
      <w:r>
        <w:t>。</w:t>
      </w:r>
    </w:p>
    <w:p w14:paraId="1D3E9128">
      <w:pPr>
        <w:ind w:firstLine="480"/>
      </w:pPr>
      <w:r>
        <w:t>项目建设符合区域“三线一单”政策、</w:t>
      </w:r>
      <w:r>
        <w:rPr>
          <w:bCs/>
        </w:rPr>
        <w:t>《新乡市“十四五”生态环境保护和生态经济发展规划》</w:t>
      </w:r>
      <w:r>
        <w:t>、</w:t>
      </w:r>
      <w:r>
        <w:rPr>
          <w:rFonts w:hint="eastAsia"/>
        </w:rPr>
        <w:t>新乡市生态环境保护委员会办公室关于印发《新乡市2024年蓝天保卫战实施方案》《新乡市2024年碧水保卫战实施方案》《新乡市2024年净土保卫战实施方案》《新乡市2024年柴油货车污染治理攻坚战实施方案》的通知（新环委办〔2024〕49号）及</w:t>
      </w:r>
      <w:r>
        <w:rPr>
          <w:rFonts w:hint="eastAsia"/>
          <w:u w:val="single"/>
        </w:rPr>
        <w:t>《卫辉市生态环境保护委员会办公室关于印发《卫辉市2024年蓝天保卫战实施方案》《卫辉市2024年碧水保卫战实施方案》《卫辉市2024年净土保卫战实施方案》《卫辉市2024年柴油货车污染治理攻坚战实施方案》的通知》（卫环委办〔2024〕53号）</w:t>
      </w:r>
      <w:r>
        <w:t>等政策的相关要求。</w:t>
      </w:r>
    </w:p>
    <w:p w14:paraId="1D3E9129">
      <w:pPr>
        <w:ind w:firstLine="480"/>
      </w:pPr>
      <w:r>
        <w:t>（2）区域规划相符性</w:t>
      </w:r>
    </w:p>
    <w:p w14:paraId="1D3E912A">
      <w:pPr>
        <w:ind w:firstLine="480"/>
        <w:rPr>
          <w:highlight w:val="yellow"/>
        </w:rPr>
      </w:pPr>
      <w:r>
        <w:t>拟建项目位于</w:t>
      </w:r>
      <w:r>
        <w:rPr>
          <w:rFonts w:hint="eastAsia"/>
        </w:rPr>
        <w:t>新乡市卫辉市唐庄镇代庄村99号卫辉市铁西（化工）园区新乡市太行水泥粉磨有限公司</w:t>
      </w:r>
      <w:r>
        <w:t>厂区内</w:t>
      </w:r>
      <w:r>
        <w:rPr>
          <w:rFonts w:hint="eastAsia"/>
        </w:rPr>
        <w:t>东南侧</w:t>
      </w:r>
      <w:r>
        <w:t>，属于</w:t>
      </w:r>
      <w:r>
        <w:rPr>
          <w:bCs/>
        </w:rPr>
        <w:t>化学原料和化学制品制造业</w:t>
      </w:r>
      <w:r>
        <w:rPr>
          <w:rFonts w:hint="eastAsia"/>
          <w:bCs/>
        </w:rPr>
        <w:t>项目</w:t>
      </w:r>
      <w:r>
        <w:t>。本项目所占用地为</w:t>
      </w:r>
      <w:r>
        <w:rPr>
          <w:rFonts w:hint="eastAsia"/>
        </w:rPr>
        <w:t>二类</w:t>
      </w:r>
      <w:r>
        <w:t>工业用地，</w:t>
      </w:r>
      <w:r>
        <w:rPr>
          <w:rFonts w:hint="eastAsia"/>
        </w:rPr>
        <w:t>位于食品添加剂及助剂产业区，</w:t>
      </w:r>
      <w:r>
        <w:t>符合卫辉市铁西（</w:t>
      </w:r>
      <w:r>
        <w:rPr>
          <w:rFonts w:hint="eastAsia"/>
        </w:rPr>
        <w:t>化工</w:t>
      </w:r>
      <w:r>
        <w:t>）专业园区规划。</w:t>
      </w:r>
    </w:p>
    <w:p w14:paraId="1D3E912B">
      <w:pPr>
        <w:pStyle w:val="4"/>
      </w:pPr>
      <w:bookmarkStart w:id="31" w:name="_Toc176105843"/>
      <w:r>
        <w:t>评价思路及重点</w:t>
      </w:r>
      <w:bookmarkEnd w:id="27"/>
      <w:bookmarkEnd w:id="28"/>
      <w:bookmarkEnd w:id="29"/>
      <w:bookmarkEnd w:id="31"/>
    </w:p>
    <w:p w14:paraId="1D3E912C">
      <w:pPr>
        <w:ind w:firstLine="480"/>
      </w:pPr>
      <w:r>
        <w:t>根据项目特点及周围地区环境特征，确定评价专题设置及工作重点如下：</w:t>
      </w:r>
    </w:p>
    <w:p w14:paraId="1D3E912D">
      <w:pPr>
        <w:pStyle w:val="64"/>
        <w:spacing w:before="161"/>
        <w:ind w:firstLine="480" w:firstLineChars="200"/>
      </w:pPr>
      <w:r>
        <w:t xml:space="preserve">表 </w:t>
      </w:r>
      <w:r>
        <w:fldChar w:fldCharType="begin"/>
      </w:r>
      <w:r>
        <w:instrText xml:space="preserve"> STYLEREF 1 \s </w:instrText>
      </w:r>
      <w:r>
        <w:fldChar w:fldCharType="separate"/>
      </w:r>
      <w:r>
        <w:t>1</w:t>
      </w:r>
      <w:r>
        <w:fldChar w:fldCharType="end"/>
      </w:r>
      <w:r>
        <w:t>.6</w:t>
      </w:r>
      <w:r>
        <w:noBreakHyphen/>
      </w:r>
      <w:r>
        <w:t>1             评价专题设置及评价重点</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4671"/>
        <w:gridCol w:w="2178"/>
      </w:tblGrid>
      <w:tr w14:paraId="1D3E9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1D3E912E">
            <w:pPr>
              <w:pStyle w:val="67"/>
              <w:rPr>
                <w:rFonts w:cs="Times New Roman"/>
                <w:color w:val="auto"/>
              </w:rPr>
            </w:pPr>
            <w:r>
              <w:rPr>
                <w:rFonts w:cs="Times New Roman"/>
                <w:color w:val="auto"/>
              </w:rPr>
              <w:t>章节序列</w:t>
            </w:r>
          </w:p>
        </w:tc>
        <w:tc>
          <w:tcPr>
            <w:tcW w:w="2610" w:type="pct"/>
            <w:vAlign w:val="center"/>
          </w:tcPr>
          <w:p w14:paraId="1D3E912F">
            <w:pPr>
              <w:pStyle w:val="67"/>
              <w:rPr>
                <w:rFonts w:cs="Times New Roman"/>
                <w:color w:val="auto"/>
              </w:rPr>
            </w:pPr>
            <w:r>
              <w:rPr>
                <w:rFonts w:cs="Times New Roman"/>
                <w:color w:val="auto"/>
              </w:rPr>
              <w:t>专题设置</w:t>
            </w:r>
          </w:p>
        </w:tc>
        <w:tc>
          <w:tcPr>
            <w:tcW w:w="1217" w:type="pct"/>
            <w:vAlign w:val="center"/>
          </w:tcPr>
          <w:p w14:paraId="1D3E9130">
            <w:pPr>
              <w:pStyle w:val="67"/>
              <w:rPr>
                <w:rFonts w:cs="Times New Roman"/>
                <w:color w:val="auto"/>
              </w:rPr>
            </w:pPr>
            <w:r>
              <w:rPr>
                <w:rFonts w:cs="Times New Roman"/>
                <w:color w:val="auto"/>
              </w:rPr>
              <w:t>评价重点</w:t>
            </w:r>
          </w:p>
        </w:tc>
      </w:tr>
      <w:tr w14:paraId="1D3E9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1D3E9132">
            <w:pPr>
              <w:pStyle w:val="62"/>
            </w:pPr>
            <w:r>
              <w:t>第一章</w:t>
            </w:r>
          </w:p>
        </w:tc>
        <w:tc>
          <w:tcPr>
            <w:tcW w:w="2610" w:type="pct"/>
            <w:vAlign w:val="center"/>
          </w:tcPr>
          <w:p w14:paraId="1D3E9133">
            <w:pPr>
              <w:pStyle w:val="62"/>
            </w:pPr>
            <w:r>
              <w:t>概述</w:t>
            </w:r>
          </w:p>
        </w:tc>
        <w:tc>
          <w:tcPr>
            <w:tcW w:w="1217" w:type="pct"/>
            <w:vAlign w:val="center"/>
          </w:tcPr>
          <w:p w14:paraId="1D3E9134">
            <w:pPr>
              <w:pStyle w:val="62"/>
            </w:pPr>
          </w:p>
        </w:tc>
      </w:tr>
      <w:tr w14:paraId="1D3E9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1D3E9136">
            <w:pPr>
              <w:pStyle w:val="62"/>
            </w:pPr>
            <w:r>
              <w:t>第二章</w:t>
            </w:r>
          </w:p>
        </w:tc>
        <w:tc>
          <w:tcPr>
            <w:tcW w:w="2610" w:type="pct"/>
            <w:vAlign w:val="center"/>
          </w:tcPr>
          <w:p w14:paraId="1D3E9137">
            <w:pPr>
              <w:pStyle w:val="62"/>
            </w:pPr>
            <w:r>
              <w:t>总则</w:t>
            </w:r>
          </w:p>
        </w:tc>
        <w:tc>
          <w:tcPr>
            <w:tcW w:w="1217" w:type="pct"/>
            <w:vAlign w:val="center"/>
          </w:tcPr>
          <w:p w14:paraId="1D3E9138">
            <w:pPr>
              <w:pStyle w:val="62"/>
            </w:pPr>
          </w:p>
        </w:tc>
      </w:tr>
      <w:tr w14:paraId="1D3E9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1D3E913A">
            <w:pPr>
              <w:pStyle w:val="62"/>
            </w:pPr>
            <w:r>
              <w:t>第三章</w:t>
            </w:r>
          </w:p>
        </w:tc>
        <w:tc>
          <w:tcPr>
            <w:tcW w:w="2610" w:type="pct"/>
            <w:vAlign w:val="center"/>
          </w:tcPr>
          <w:p w14:paraId="1D3E913B">
            <w:pPr>
              <w:pStyle w:val="62"/>
            </w:pPr>
            <w:r>
              <w:t>工程分析</w:t>
            </w:r>
          </w:p>
        </w:tc>
        <w:tc>
          <w:tcPr>
            <w:tcW w:w="1217" w:type="pct"/>
            <w:vAlign w:val="center"/>
          </w:tcPr>
          <w:p w14:paraId="1D3E913C">
            <w:pPr>
              <w:pStyle w:val="62"/>
            </w:pPr>
            <w:r>
              <w:rPr>
                <w:rFonts w:ascii="Segoe UI Symbol" w:hAnsi="Segoe UI Symbol" w:cs="Segoe UI Symbol"/>
              </w:rPr>
              <w:t>★</w:t>
            </w:r>
          </w:p>
        </w:tc>
      </w:tr>
      <w:tr w14:paraId="1D3E9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1D3E913E">
            <w:pPr>
              <w:pStyle w:val="62"/>
            </w:pPr>
            <w:r>
              <w:t>第四章</w:t>
            </w:r>
          </w:p>
        </w:tc>
        <w:tc>
          <w:tcPr>
            <w:tcW w:w="2610" w:type="pct"/>
            <w:vAlign w:val="center"/>
          </w:tcPr>
          <w:p w14:paraId="1D3E913F">
            <w:pPr>
              <w:pStyle w:val="62"/>
            </w:pPr>
            <w:r>
              <w:t>环境现状调查与评价</w:t>
            </w:r>
          </w:p>
        </w:tc>
        <w:tc>
          <w:tcPr>
            <w:tcW w:w="1217" w:type="pct"/>
            <w:vAlign w:val="center"/>
          </w:tcPr>
          <w:p w14:paraId="1D3E9140">
            <w:pPr>
              <w:pStyle w:val="62"/>
            </w:pPr>
            <w:r>
              <w:rPr>
                <w:rFonts w:ascii="Segoe UI Symbol" w:hAnsi="Segoe UI Symbol" w:cs="Segoe UI Symbol"/>
              </w:rPr>
              <w:t>★</w:t>
            </w:r>
          </w:p>
        </w:tc>
      </w:tr>
      <w:tr w14:paraId="1D3E9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1D3E9142">
            <w:pPr>
              <w:pStyle w:val="62"/>
            </w:pPr>
            <w:r>
              <w:t>第五章</w:t>
            </w:r>
          </w:p>
        </w:tc>
        <w:tc>
          <w:tcPr>
            <w:tcW w:w="2610" w:type="pct"/>
            <w:vAlign w:val="center"/>
          </w:tcPr>
          <w:p w14:paraId="1D3E9143">
            <w:pPr>
              <w:pStyle w:val="62"/>
            </w:pPr>
            <w:r>
              <w:t>环境影响预测与评价</w:t>
            </w:r>
          </w:p>
        </w:tc>
        <w:tc>
          <w:tcPr>
            <w:tcW w:w="1217" w:type="pct"/>
            <w:vAlign w:val="center"/>
          </w:tcPr>
          <w:p w14:paraId="1D3E9144">
            <w:pPr>
              <w:pStyle w:val="62"/>
            </w:pPr>
            <w:r>
              <w:rPr>
                <w:rFonts w:ascii="Segoe UI Symbol" w:hAnsi="Segoe UI Symbol" w:cs="Segoe UI Symbol"/>
              </w:rPr>
              <w:t>★</w:t>
            </w:r>
          </w:p>
        </w:tc>
      </w:tr>
      <w:tr w14:paraId="3E177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71E95675">
            <w:pPr>
              <w:pStyle w:val="62"/>
            </w:pPr>
            <w:r>
              <w:t>第六章</w:t>
            </w:r>
          </w:p>
        </w:tc>
        <w:tc>
          <w:tcPr>
            <w:tcW w:w="2610" w:type="pct"/>
            <w:vAlign w:val="center"/>
          </w:tcPr>
          <w:p w14:paraId="1FA6C1B0">
            <w:pPr>
              <w:pStyle w:val="62"/>
            </w:pPr>
            <w:r>
              <w:t>环境风险分析</w:t>
            </w:r>
          </w:p>
        </w:tc>
        <w:tc>
          <w:tcPr>
            <w:tcW w:w="1217" w:type="pct"/>
            <w:vAlign w:val="center"/>
          </w:tcPr>
          <w:p w14:paraId="5B614817">
            <w:pPr>
              <w:pStyle w:val="62"/>
              <w:rPr>
                <w:rFonts w:ascii="Segoe UI Symbol" w:hAnsi="Segoe UI Symbol" w:cs="Segoe UI Symbol"/>
              </w:rPr>
            </w:pPr>
            <w:r>
              <w:rPr>
                <w:rFonts w:ascii="Segoe UI Symbol" w:hAnsi="Segoe UI Symbol" w:cs="Segoe UI Symbol"/>
              </w:rPr>
              <w:t>★</w:t>
            </w:r>
          </w:p>
        </w:tc>
      </w:tr>
      <w:tr w14:paraId="1D3E9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1D3E9146">
            <w:pPr>
              <w:pStyle w:val="62"/>
            </w:pPr>
            <w:r>
              <w:t>第七章</w:t>
            </w:r>
          </w:p>
        </w:tc>
        <w:tc>
          <w:tcPr>
            <w:tcW w:w="2610" w:type="pct"/>
            <w:vAlign w:val="center"/>
          </w:tcPr>
          <w:p w14:paraId="1D3E9147">
            <w:pPr>
              <w:pStyle w:val="62"/>
            </w:pPr>
            <w:r>
              <w:t>环境保护措施及其可行性分析</w:t>
            </w:r>
          </w:p>
        </w:tc>
        <w:tc>
          <w:tcPr>
            <w:tcW w:w="1217" w:type="pct"/>
            <w:vAlign w:val="center"/>
          </w:tcPr>
          <w:p w14:paraId="1D3E9148">
            <w:pPr>
              <w:pStyle w:val="62"/>
            </w:pPr>
            <w:r>
              <w:rPr>
                <w:rFonts w:ascii="Segoe UI Symbol" w:hAnsi="Segoe UI Symbol" w:cs="Segoe UI Symbol"/>
              </w:rPr>
              <w:t>★</w:t>
            </w:r>
          </w:p>
        </w:tc>
      </w:tr>
      <w:tr w14:paraId="1D3E9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1D3E914A">
            <w:pPr>
              <w:pStyle w:val="62"/>
            </w:pPr>
            <w:r>
              <w:t>第八章</w:t>
            </w:r>
          </w:p>
        </w:tc>
        <w:tc>
          <w:tcPr>
            <w:tcW w:w="2610" w:type="pct"/>
            <w:vAlign w:val="center"/>
          </w:tcPr>
          <w:p w14:paraId="1D3E914B">
            <w:pPr>
              <w:pStyle w:val="62"/>
            </w:pPr>
            <w:r>
              <w:t>环境影响经济损益分析</w:t>
            </w:r>
          </w:p>
        </w:tc>
        <w:tc>
          <w:tcPr>
            <w:tcW w:w="1217" w:type="pct"/>
            <w:vAlign w:val="center"/>
          </w:tcPr>
          <w:p w14:paraId="1D3E914C">
            <w:pPr>
              <w:pStyle w:val="62"/>
            </w:pPr>
          </w:p>
        </w:tc>
      </w:tr>
      <w:tr w14:paraId="1D3E9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73" w:type="pct"/>
            <w:vAlign w:val="center"/>
          </w:tcPr>
          <w:p w14:paraId="1D3E914E">
            <w:pPr>
              <w:pStyle w:val="62"/>
            </w:pPr>
            <w:r>
              <w:t>第九章</w:t>
            </w:r>
          </w:p>
        </w:tc>
        <w:tc>
          <w:tcPr>
            <w:tcW w:w="2610" w:type="pct"/>
            <w:vAlign w:val="center"/>
          </w:tcPr>
          <w:p w14:paraId="1D3E914F">
            <w:pPr>
              <w:pStyle w:val="62"/>
            </w:pPr>
            <w:r>
              <w:t>环境管理与监测计划</w:t>
            </w:r>
          </w:p>
        </w:tc>
        <w:tc>
          <w:tcPr>
            <w:tcW w:w="1217" w:type="pct"/>
            <w:vAlign w:val="center"/>
          </w:tcPr>
          <w:p w14:paraId="1D3E9150">
            <w:pPr>
              <w:pStyle w:val="62"/>
            </w:pPr>
            <w:r>
              <w:rPr>
                <w:rFonts w:ascii="Segoe UI Symbol" w:hAnsi="Segoe UI Symbol" w:cs="Segoe UI Symbol"/>
              </w:rPr>
              <w:t>★</w:t>
            </w:r>
          </w:p>
        </w:tc>
      </w:tr>
      <w:tr w14:paraId="1D3E9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3" w:type="pct"/>
            <w:vAlign w:val="center"/>
          </w:tcPr>
          <w:p w14:paraId="1D3E9152">
            <w:pPr>
              <w:pStyle w:val="62"/>
            </w:pPr>
            <w:r>
              <w:t>第十章</w:t>
            </w:r>
          </w:p>
        </w:tc>
        <w:tc>
          <w:tcPr>
            <w:tcW w:w="2610" w:type="pct"/>
            <w:vAlign w:val="center"/>
          </w:tcPr>
          <w:p w14:paraId="1D3E9153">
            <w:pPr>
              <w:pStyle w:val="62"/>
            </w:pPr>
            <w:r>
              <w:t>环境影响评价结论</w:t>
            </w:r>
          </w:p>
        </w:tc>
        <w:tc>
          <w:tcPr>
            <w:tcW w:w="1217" w:type="pct"/>
            <w:vAlign w:val="center"/>
          </w:tcPr>
          <w:p w14:paraId="1D3E9154">
            <w:pPr>
              <w:pStyle w:val="62"/>
            </w:pPr>
          </w:p>
        </w:tc>
      </w:tr>
    </w:tbl>
    <w:p w14:paraId="1D3E9156">
      <w:pPr>
        <w:ind w:firstLine="480"/>
      </w:pPr>
      <w:r>
        <w:t>评价遵循“清洁生产、达标排放、总量控制”的原则，进行细致、全面、科学、客观的评价。</w:t>
      </w:r>
    </w:p>
    <w:p w14:paraId="1D3E9157">
      <w:pPr>
        <w:ind w:firstLine="480"/>
      </w:pPr>
      <w:r>
        <w:t>（1）根据工程生产工艺及产污环节分析，在物料衡算的基础上，确定工程排污源强。依据工程拟采取的污染防治措施及处理效果，对工程排放污染物进行达标分析并计算工程污染物排放量。</w:t>
      </w:r>
    </w:p>
    <w:p w14:paraId="1D3E9158">
      <w:pPr>
        <w:ind w:firstLine="480"/>
      </w:pPr>
      <w:r>
        <w:t>（2）对区域环境空气质量现状进行监测分析，确定评价区域环境空气质量现状；根据工程废气污染源强参数，按照环评导则推荐的模式就工程对环境空气质量的影响进行估算分析。</w:t>
      </w:r>
    </w:p>
    <w:p w14:paraId="1D3E9159">
      <w:pPr>
        <w:ind w:firstLine="480"/>
      </w:pPr>
      <w:r>
        <w:t>（3）对地表水环境质量现状进行收集整理分析，根据工程建成后的废水综合利用及排放情况，分析工程废水对水环境的影响。</w:t>
      </w:r>
    </w:p>
    <w:p w14:paraId="1D3E915A">
      <w:pPr>
        <w:ind w:firstLine="480"/>
      </w:pPr>
      <w:r>
        <w:t>（4）对地下水环境质量现状进行监测分析，评价区域内地下水环境质量现状，针对工程建设提出厂区防渗措施，防止地下水污染。</w:t>
      </w:r>
    </w:p>
    <w:p w14:paraId="1D3E915B">
      <w:pPr>
        <w:ind w:firstLine="480"/>
      </w:pPr>
      <w:r>
        <w:t>（5）对工程设备噪声对厂界处的贡献值进行预测计算。</w:t>
      </w:r>
    </w:p>
    <w:p w14:paraId="1D3E915C">
      <w:pPr>
        <w:ind w:firstLine="480"/>
      </w:pPr>
      <w:r>
        <w:t>（6）分析本次工程固废产生及处置情况，并对其综合利用和处置措施进行分析。</w:t>
      </w:r>
    </w:p>
    <w:p w14:paraId="6354CB48">
      <w:pPr>
        <w:ind w:firstLine="480"/>
      </w:pPr>
      <w:r>
        <w:t>（7）对土壤环境质量现状进行监测分析，评价区域土壤环境质量现状，针对工程建设提出源头控制措施和过程防控措施，并进行跟踪监测，防止土壤污染。</w:t>
      </w:r>
    </w:p>
    <w:p w14:paraId="1D3E915D">
      <w:pPr>
        <w:ind w:firstLine="480"/>
      </w:pPr>
      <w:r>
        <w:rPr>
          <w:rFonts w:hint="eastAsia"/>
        </w:rPr>
        <w:t>（8）</w:t>
      </w:r>
      <w:r>
        <w:t>根据清洁生产分析及本工程拟采取的污染防治措施结论，在污染物达标排放的基础上，结合区域规划要求，分析本次工程污染物排放总量是否满足环保管理部门下达的总量控制指标要求。</w:t>
      </w:r>
    </w:p>
    <w:p w14:paraId="57F80416">
      <w:pPr>
        <w:ind w:firstLine="480"/>
      </w:pPr>
      <w:r>
        <w:t>（</w:t>
      </w:r>
      <w:r>
        <w:rPr>
          <w:rFonts w:hint="eastAsia"/>
        </w:rPr>
        <w:t>9</w:t>
      </w:r>
      <w:r>
        <w:t>）根据本次工程原料、产品及生产过程特性，从风险识别、源项分析入手，找出工程原料、产品贮运及生产过程中存在的主要环境风险源，按照风险事故类型，提出风险防范措施、风险管理、应急预案和应急监测等相关内容。</w:t>
      </w:r>
    </w:p>
    <w:p w14:paraId="1D3E915E">
      <w:pPr>
        <w:ind w:firstLine="480"/>
      </w:pPr>
      <w:r>
        <w:rPr>
          <w:rFonts w:hint="eastAsia"/>
        </w:rPr>
        <w:t>（10）</w:t>
      </w:r>
      <w:r>
        <w:t>从环保角度对工程建设及厂址选择的可行性做出明确结论；对工程采取环保措施的可行性、可靠性进行论证，并对存在的问题，提出可行的对策建议。</w:t>
      </w:r>
    </w:p>
    <w:p w14:paraId="1D3E915F">
      <w:pPr>
        <w:pStyle w:val="4"/>
      </w:pPr>
      <w:bookmarkStart w:id="32" w:name="_Toc428286780"/>
      <w:bookmarkStart w:id="33" w:name="_Toc176105844"/>
      <w:bookmarkStart w:id="34" w:name="_Toc429318388"/>
      <w:bookmarkStart w:id="35" w:name="_Toc428287174"/>
      <w:r>
        <w:t>评价工作程序</w:t>
      </w:r>
      <w:bookmarkEnd w:id="32"/>
      <w:bookmarkEnd w:id="33"/>
      <w:bookmarkEnd w:id="34"/>
      <w:bookmarkEnd w:id="35"/>
    </w:p>
    <w:p w14:paraId="1D3E9160">
      <w:pPr>
        <w:ind w:firstLine="480"/>
      </w:pPr>
      <w:r>
        <w:t>评价工作程序见下图。</w:t>
      </w:r>
    </w:p>
    <w:p w14:paraId="1D3E9161">
      <w:pPr>
        <w:pStyle w:val="68"/>
        <w:spacing w:before="120"/>
        <w:ind w:left="-2" w:leftChars="-59" w:hanging="140" w:hangingChars="58"/>
        <w:rPr>
          <w:rFonts w:eastAsia="黑体"/>
        </w:rPr>
      </w:pPr>
      <w:r>
        <w:rPr>
          <w:rFonts w:eastAsia="黑体"/>
        </w:rPr>
        <w:drawing>
          <wp:inline distT="0" distB="0" distL="0" distR="0">
            <wp:extent cx="4423410" cy="4793615"/>
            <wp:effectExtent l="12700" t="12700" r="2159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6"/>
                    <a:srcRect/>
                    <a:stretch>
                      <a:fillRect/>
                    </a:stretch>
                  </pic:blipFill>
                  <pic:spPr>
                    <a:xfrm>
                      <a:off x="0" y="0"/>
                      <a:ext cx="4423410" cy="4797192"/>
                    </a:xfrm>
                    <a:prstGeom prst="rect">
                      <a:avLst/>
                    </a:prstGeom>
                    <a:noFill/>
                    <a:ln w="12700" cmpd="sng">
                      <a:solidFill>
                        <a:srgbClr val="000000"/>
                      </a:solidFill>
                      <a:miter lim="800000"/>
                      <a:headEnd/>
                      <a:tailEnd/>
                    </a:ln>
                    <a:effectLst/>
                  </pic:spPr>
                </pic:pic>
              </a:graphicData>
            </a:graphic>
          </wp:inline>
        </w:drawing>
      </w:r>
    </w:p>
    <w:p w14:paraId="1D3E9162">
      <w:pPr>
        <w:pStyle w:val="68"/>
        <w:numPr>
          <w:ilvl w:val="0"/>
          <w:numId w:val="3"/>
        </w:numPr>
        <w:rPr>
          <w:rFonts w:eastAsia="黑体"/>
        </w:rPr>
      </w:pPr>
      <w:r>
        <w:t xml:space="preserve">  </w:t>
      </w:r>
      <w:r>
        <w:rPr>
          <w:rFonts w:eastAsia="黑体"/>
        </w:rPr>
        <w:t>环境影响评价工作程序</w:t>
      </w:r>
    </w:p>
    <w:p w14:paraId="1D3E9163">
      <w:pPr>
        <w:pStyle w:val="4"/>
      </w:pPr>
      <w:bookmarkStart w:id="36" w:name="_Toc176105845"/>
      <w:r>
        <w:t>环境影响评价的主要结论</w:t>
      </w:r>
      <w:bookmarkEnd w:id="36"/>
    </w:p>
    <w:p w14:paraId="0BBAC123">
      <w:pPr>
        <w:ind w:firstLine="480"/>
        <w:rPr>
          <w:highlight w:val="yellow"/>
        </w:rPr>
        <w:sectPr>
          <w:pgSz w:w="11906" w:h="16838"/>
          <w:pgMar w:top="1701" w:right="1587" w:bottom="1701" w:left="1587" w:header="851" w:footer="1134" w:gutter="0"/>
          <w:pgNumType w:start="1"/>
          <w:cols w:space="720" w:num="1"/>
          <w:docGrid w:type="lines" w:linePitch="323" w:charSpace="0"/>
        </w:sectPr>
      </w:pPr>
      <w:r>
        <w:t>河南欣姣芬化工有限公司</w:t>
      </w:r>
      <w:r>
        <w:rPr>
          <w:rFonts w:hint="eastAsia"/>
        </w:rPr>
        <w:t>年产10000吨聚醚改性硅油、1000吨色浆项目</w:t>
      </w:r>
      <w:r>
        <w:t>属于《产业结构调整指导目录（2024年本）》中的</w:t>
      </w:r>
      <w:r>
        <w:rPr>
          <w:rFonts w:hint="eastAsia"/>
        </w:rPr>
        <w:t>允许</w:t>
      </w:r>
      <w:r>
        <w:t>类，符合国家产业政策；</w:t>
      </w:r>
      <w:r>
        <w:rPr>
          <w:spacing w:val="-2"/>
          <w:szCs w:val="24"/>
        </w:rPr>
        <w:t>项目用地为</w:t>
      </w:r>
      <w:r>
        <w:rPr>
          <w:rFonts w:hint="eastAsia"/>
          <w:spacing w:val="-2"/>
          <w:szCs w:val="24"/>
        </w:rPr>
        <w:t>二类</w:t>
      </w:r>
      <w:r>
        <w:rPr>
          <w:spacing w:val="-2"/>
          <w:szCs w:val="24"/>
        </w:rPr>
        <w:t>工业用地，</w:t>
      </w:r>
      <w:r>
        <w:rPr>
          <w:rFonts w:hint="eastAsia"/>
        </w:rPr>
        <w:t>位于食品添加剂及助剂产业区，</w:t>
      </w:r>
      <w:r>
        <w:t>符合卫辉市铁西（</w:t>
      </w:r>
      <w:r>
        <w:rPr>
          <w:rFonts w:hint="eastAsia"/>
        </w:rPr>
        <w:t>化工</w:t>
      </w:r>
      <w:r>
        <w:t>）专业园区规划</w:t>
      </w:r>
      <w:r>
        <w:rPr>
          <w:spacing w:val="-2"/>
          <w:szCs w:val="24"/>
        </w:rPr>
        <w:t>；</w:t>
      </w:r>
      <w:r>
        <w:t>根据环境影响预测结果：在保证评价要求和工程设计的防治措施正常运行的条件下，本项目对周围大气环境、地表水环境、地下水环境、声环境以及土壤环境的影响可接受；工程环境风险可防控；工程完成后，各项污染防治措施可行，全厂废水、废气、噪声污染物能够做到达标排放，固废采取了有效的处置措施；公众参与调查结果表明，公众对项目的建设无反对意见。从环保角度而言，该项目建设可行。</w:t>
      </w:r>
    </w:p>
    <w:p w14:paraId="1D3E9165">
      <w:pPr>
        <w:pStyle w:val="3"/>
        <w:spacing w:before="484" w:after="646"/>
      </w:pPr>
      <w:bookmarkStart w:id="37" w:name="_Toc176105846"/>
      <w:bookmarkStart w:id="38" w:name="_Toc428286755"/>
      <w:bookmarkStart w:id="39" w:name="_Toc429318378"/>
      <w:bookmarkStart w:id="40" w:name="_Toc174155850"/>
      <w:bookmarkStart w:id="41" w:name="_Toc428287149"/>
      <w:r>
        <w:t>总 则</w:t>
      </w:r>
      <w:bookmarkEnd w:id="37"/>
    </w:p>
    <w:p w14:paraId="1D3E9166">
      <w:pPr>
        <w:pStyle w:val="4"/>
      </w:pPr>
      <w:bookmarkStart w:id="42" w:name="_Toc176105847"/>
      <w:r>
        <w:t>编制依据</w:t>
      </w:r>
      <w:bookmarkEnd w:id="38"/>
      <w:bookmarkEnd w:id="39"/>
      <w:bookmarkEnd w:id="40"/>
      <w:bookmarkEnd w:id="41"/>
      <w:bookmarkEnd w:id="42"/>
    </w:p>
    <w:p w14:paraId="1D3E9167">
      <w:pPr>
        <w:pStyle w:val="5"/>
        <w:spacing w:before="323" w:after="323"/>
      </w:pPr>
      <w:bookmarkStart w:id="43" w:name="_Toc428286756"/>
      <w:bookmarkStart w:id="44" w:name="_Toc428287502"/>
      <w:bookmarkStart w:id="45" w:name="_Toc428287150"/>
      <w:r>
        <w:t>法律法规</w:t>
      </w:r>
      <w:bookmarkEnd w:id="43"/>
      <w:bookmarkEnd w:id="44"/>
      <w:bookmarkEnd w:id="45"/>
    </w:p>
    <w:p w14:paraId="1D3E9168">
      <w:pPr>
        <w:ind w:firstLine="480"/>
      </w:pPr>
      <w:r>
        <w:t>（1）《中华人民共和国环境保护法》（2014年4月24日第9号主席令，2015年1月1日起施行）；</w:t>
      </w:r>
    </w:p>
    <w:p w14:paraId="1D3E9169">
      <w:pPr>
        <w:ind w:firstLine="480"/>
      </w:pPr>
      <w:r>
        <w:t>（2）《中华人民共和国环境影响评价法》（2018年12月29日第24号主席令，2018年12月29日起施行）；</w:t>
      </w:r>
    </w:p>
    <w:p w14:paraId="1D3E916A">
      <w:pPr>
        <w:ind w:firstLine="480"/>
      </w:pPr>
      <w:r>
        <w:t>（3）《中华人民共和国大气污染防治法》（2018年10月26日修订）</w:t>
      </w:r>
    </w:p>
    <w:p w14:paraId="1D3E916B">
      <w:pPr>
        <w:ind w:firstLine="480"/>
      </w:pPr>
      <w:r>
        <w:t>（4）《中华人民共和国水污染防治法》（2017年6月27日第70号主席令，2018年1月1日起施行）；</w:t>
      </w:r>
    </w:p>
    <w:p w14:paraId="1D3E916C">
      <w:pPr>
        <w:ind w:firstLine="480"/>
      </w:pPr>
      <w:r>
        <w:t>（5）《中华人民共和国噪声污染防治法》（2022年6月5日起施行）</w:t>
      </w:r>
    </w:p>
    <w:p w14:paraId="1D3E916D">
      <w:pPr>
        <w:ind w:firstLine="480"/>
      </w:pPr>
      <w:r>
        <w:t>（6）《中华人民共和国固体废物污染环境防治法》（2020年4月29日修订）</w:t>
      </w:r>
    </w:p>
    <w:p w14:paraId="1D3E916E">
      <w:pPr>
        <w:ind w:firstLine="480"/>
      </w:pPr>
      <w:r>
        <w:t>（7）《中华人民共和国土壤污染防治法》（2019年1月1日起施行）；</w:t>
      </w:r>
    </w:p>
    <w:p w14:paraId="1D3E916F">
      <w:pPr>
        <w:ind w:firstLine="480"/>
      </w:pPr>
      <w:r>
        <w:t>（8）《中华人民共和国清洁生产促进法》（2012年7月1日起修订施行）；</w:t>
      </w:r>
    </w:p>
    <w:p w14:paraId="1D3E9170">
      <w:pPr>
        <w:ind w:firstLine="480"/>
      </w:pPr>
      <w:r>
        <w:t>（9）《建设项目环境保护管理条例》（2017年修正，国务院令第682号，2017年10月1日起施行）；</w:t>
      </w:r>
    </w:p>
    <w:p w14:paraId="1D3E9171">
      <w:pPr>
        <w:ind w:firstLine="480"/>
      </w:pPr>
      <w:r>
        <w:t>（10）《环境影响评价公众参与办法》（生态环境部令第4号，2019年1月1日起施行）；</w:t>
      </w:r>
    </w:p>
    <w:p w14:paraId="1D3E9172">
      <w:pPr>
        <w:ind w:firstLine="480"/>
      </w:pPr>
      <w:r>
        <w:t>（12）《河南省建设项目环境保护条例》（2016年修正）；</w:t>
      </w:r>
    </w:p>
    <w:p w14:paraId="1D3E9173">
      <w:pPr>
        <w:ind w:firstLine="480"/>
      </w:pPr>
      <w:r>
        <w:t>（13）《河南省水污染防治条例》（2019.10.1）；</w:t>
      </w:r>
    </w:p>
    <w:p w14:paraId="1D3E9174">
      <w:pPr>
        <w:ind w:firstLine="480"/>
      </w:pPr>
      <w:r>
        <w:t>（14）《河南省大气污染防治条例》（2021年修订）；</w:t>
      </w:r>
    </w:p>
    <w:p w14:paraId="1D3E9175">
      <w:pPr>
        <w:ind w:firstLine="480"/>
      </w:pPr>
      <w:r>
        <w:t>（15）《河南省固体废物污染环境防治条例》（2018年修订）。</w:t>
      </w:r>
    </w:p>
    <w:p w14:paraId="1D3E9176">
      <w:pPr>
        <w:pStyle w:val="5"/>
        <w:spacing w:before="323" w:after="323"/>
      </w:pPr>
      <w:bookmarkStart w:id="46" w:name="_Toc428286757"/>
      <w:bookmarkStart w:id="47" w:name="_Toc428287503"/>
      <w:bookmarkStart w:id="48" w:name="_Toc428287151"/>
      <w:r>
        <w:t>相关政策及规划</w:t>
      </w:r>
      <w:bookmarkEnd w:id="46"/>
      <w:bookmarkEnd w:id="47"/>
      <w:bookmarkEnd w:id="48"/>
    </w:p>
    <w:p w14:paraId="1D3E9177">
      <w:pPr>
        <w:ind w:firstLine="480"/>
      </w:pPr>
      <w:r>
        <w:t>（1）《建设项目环境影响评价分类管理名录》（2021年版）；</w:t>
      </w:r>
    </w:p>
    <w:p w14:paraId="1D3E9178">
      <w:pPr>
        <w:ind w:firstLine="480"/>
      </w:pPr>
      <w:r>
        <w:t>（2）《产业结构调整指导目录（2024年本）》；</w:t>
      </w:r>
    </w:p>
    <w:p w14:paraId="1D3E917A">
      <w:pPr>
        <w:ind w:firstLine="480"/>
      </w:pPr>
      <w:r>
        <w:t>（3）</w:t>
      </w:r>
      <w:r>
        <w:rPr>
          <w:bCs/>
          <w:spacing w:val="-4"/>
          <w:szCs w:val="28"/>
        </w:rPr>
        <w:t>《</w:t>
      </w:r>
      <w:r>
        <w:t>河南省人民政府办公厅</w:t>
      </w:r>
      <w:r>
        <w:rPr>
          <w:bCs/>
          <w:spacing w:val="-4"/>
          <w:szCs w:val="28"/>
        </w:rPr>
        <w:t>关于印发河南省乡镇集中式饮用水源保护区划的通知》</w:t>
      </w:r>
      <w:r>
        <w:rPr>
          <w:spacing w:val="-4"/>
          <w:szCs w:val="28"/>
        </w:rPr>
        <w:t>（豫政办〔2016〕23号）；</w:t>
      </w:r>
    </w:p>
    <w:p w14:paraId="1D3E917B">
      <w:pPr>
        <w:ind w:firstLine="480"/>
      </w:pPr>
      <w:r>
        <w:t>（4）《七里营引黄水源地饮用水水源保护区划分技术报告》（豫政文[2018]102号）</w:t>
      </w:r>
      <w:r>
        <w:rPr>
          <w:rFonts w:hint="eastAsia"/>
        </w:rPr>
        <w:t>；</w:t>
      </w:r>
    </w:p>
    <w:p w14:paraId="1D3E917C">
      <w:pPr>
        <w:ind w:firstLine="480"/>
        <w:rPr>
          <w:spacing w:val="-4"/>
          <w:szCs w:val="28"/>
        </w:rPr>
      </w:pPr>
      <w:r>
        <w:t>（5）《河南省重污染天气通用行业应急减排措施制定技术指南（2021年修订版）》；</w:t>
      </w:r>
    </w:p>
    <w:p w14:paraId="74EF6E9C">
      <w:pPr>
        <w:ind w:firstLine="480"/>
      </w:pPr>
      <w:r>
        <w:t>（6）</w:t>
      </w:r>
      <w:r>
        <w:rPr>
          <w:rFonts w:hint="eastAsia"/>
        </w:rPr>
        <w:t>《河南省空气质量持续改善行动计划》的通知（豫政〔2024〕12号）；</w:t>
      </w:r>
    </w:p>
    <w:p w14:paraId="15FD564F">
      <w:pPr>
        <w:ind w:firstLine="480"/>
        <w:rPr>
          <w:szCs w:val="24"/>
          <w:u w:val="single"/>
        </w:rPr>
      </w:pPr>
      <w:r>
        <w:rPr>
          <w:szCs w:val="24"/>
          <w:u w:val="single"/>
        </w:rPr>
        <w:t>（</w:t>
      </w:r>
      <w:r>
        <w:rPr>
          <w:rFonts w:hint="eastAsia"/>
          <w:szCs w:val="24"/>
          <w:u w:val="single"/>
        </w:rPr>
        <w:t>7</w:t>
      </w:r>
      <w:r>
        <w:rPr>
          <w:szCs w:val="24"/>
          <w:u w:val="single"/>
        </w:rPr>
        <w:t>）</w:t>
      </w:r>
      <w:r>
        <w:rPr>
          <w:rFonts w:hint="eastAsia"/>
          <w:szCs w:val="24"/>
          <w:u w:val="single"/>
        </w:rPr>
        <w:t>《河南省生态环境厅关于印发河南省低效失效大气污染治理设施排查整治实施方案的通知》（豫环文〔2024〕132号）；</w:t>
      </w:r>
    </w:p>
    <w:p w14:paraId="1D3E917E">
      <w:pPr>
        <w:ind w:firstLine="480"/>
      </w:pPr>
      <w:r>
        <w:rPr>
          <w:szCs w:val="24"/>
        </w:rPr>
        <w:t>（</w:t>
      </w:r>
      <w:r>
        <w:rPr>
          <w:rFonts w:hint="eastAsia"/>
          <w:szCs w:val="24"/>
        </w:rPr>
        <w:t>8</w:t>
      </w:r>
      <w:r>
        <w:rPr>
          <w:szCs w:val="24"/>
        </w:rPr>
        <w:t>）</w:t>
      </w:r>
      <w:r>
        <w:rPr>
          <w:rFonts w:hint="eastAsia"/>
        </w:rPr>
        <w:t>新乡市生态环境局关于对《新乡市“三线一单”生态环境准入清单》（试行）更新的函（新环函[2024]5号）</w:t>
      </w:r>
      <w:r>
        <w:t>；</w:t>
      </w:r>
    </w:p>
    <w:p w14:paraId="5E9A61D5">
      <w:pPr>
        <w:ind w:firstLine="480"/>
        <w:rPr>
          <w:szCs w:val="24"/>
        </w:rPr>
      </w:pPr>
      <w:r>
        <w:t>（</w:t>
      </w:r>
      <w:r>
        <w:rPr>
          <w:rFonts w:hint="eastAsia"/>
        </w:rPr>
        <w:t>9</w:t>
      </w:r>
      <w:r>
        <w:t>）《新乡市城市饮用水水源地保护区划分报告》（2007.4）；</w:t>
      </w:r>
    </w:p>
    <w:p w14:paraId="16E8180C">
      <w:pPr>
        <w:ind w:firstLine="480"/>
        <w:rPr>
          <w:szCs w:val="24"/>
        </w:rPr>
      </w:pPr>
      <w:r>
        <w:t>（1</w:t>
      </w:r>
      <w:r>
        <w:rPr>
          <w:rFonts w:hint="eastAsia"/>
        </w:rPr>
        <w:t>0</w:t>
      </w:r>
      <w:r>
        <w:t>）</w:t>
      </w:r>
      <w:r>
        <w:rPr>
          <w:bCs/>
        </w:rPr>
        <w:t>《新乡市“十四五”生态环境保护和生态经济发展规划》；</w:t>
      </w:r>
    </w:p>
    <w:p w14:paraId="1D3E9183">
      <w:pPr>
        <w:ind w:firstLine="480"/>
      </w:pPr>
      <w:r>
        <w:t>（1</w:t>
      </w:r>
      <w:r>
        <w:rPr>
          <w:rFonts w:hint="eastAsia"/>
        </w:rPr>
        <w:t>1</w:t>
      </w:r>
      <w:r>
        <w:t>）</w:t>
      </w:r>
      <w:r>
        <w:rPr>
          <w:rFonts w:hint="eastAsia"/>
        </w:rPr>
        <w:t>新乡市生态环境保护委员会办公室关于印发《新乡市2024年蓝天保卫战实施方案》《新乡市2024年碧水保卫战实施方案》《新乡市2024年净土保卫战实施方案》《新乡市2024年柴油货车污染治理攻坚战实施方案》的通知（新环委办〔2024〕49号）</w:t>
      </w:r>
      <w:r>
        <w:t>；</w:t>
      </w:r>
    </w:p>
    <w:p w14:paraId="1D3E9188">
      <w:pPr>
        <w:ind w:firstLine="480"/>
      </w:pPr>
      <w:r>
        <w:t>（1</w:t>
      </w:r>
      <w:r>
        <w:rPr>
          <w:rFonts w:hint="eastAsia"/>
        </w:rPr>
        <w:t>2</w:t>
      </w:r>
      <w:r>
        <w:t>）《新乡市生态环境局关于下达2023年地表水环境质量目标的函》；</w:t>
      </w:r>
    </w:p>
    <w:p w14:paraId="1D3E9189">
      <w:pPr>
        <w:ind w:firstLine="480"/>
      </w:pPr>
      <w:r>
        <w:rPr>
          <w:rFonts w:hint="eastAsia"/>
        </w:rPr>
        <w:t>（13）</w:t>
      </w:r>
      <w:r>
        <w:t>《新乡市生态环境局关于</w:t>
      </w:r>
      <w:r>
        <w:rPr>
          <w:rFonts w:hint="eastAsia"/>
        </w:rPr>
        <w:t>印发</w:t>
      </w:r>
      <w:r>
        <w:t>202</w:t>
      </w:r>
      <w:r>
        <w:rPr>
          <w:rFonts w:hint="eastAsia"/>
        </w:rPr>
        <w:t>4</w:t>
      </w:r>
      <w:r>
        <w:t>年地表水环境质量目标的函》；</w:t>
      </w:r>
    </w:p>
    <w:p w14:paraId="44338CF1">
      <w:pPr>
        <w:ind w:firstLine="480"/>
      </w:pPr>
      <w:r>
        <w:rPr>
          <w:rFonts w:hint="eastAsia"/>
        </w:rPr>
        <w:t>新乡市环境污染防治攻坚指挥部办公室关于印发《新乡市深入打好秋冬季重污染天气消除、夏季臭氧污染防治和柴油货车污染治理攻坚战实施方案》的通知（新环攻坚办〔2023〕73号）；</w:t>
      </w:r>
    </w:p>
    <w:p w14:paraId="09B01607">
      <w:pPr>
        <w:pStyle w:val="2"/>
        <w:ind w:firstLine="480"/>
      </w:pPr>
      <w:r>
        <w:rPr>
          <w:rFonts w:hint="eastAsia"/>
        </w:rPr>
        <w:t>（14）</w:t>
      </w:r>
      <w:r>
        <w:rPr>
          <w:rFonts w:hint="eastAsia"/>
          <w:u w:val="single"/>
        </w:rPr>
        <w:t>卫辉市生态环境保护委员会办公室关于印发《卫辉市2024年蓝天保卫战实施方案》《卫辉市2024年碧水保卫战实施方案》《卫辉市2024年净土保卫战实施方案》《卫辉市2024年柴油货车污染治理攻坚战实施方案》的通知（卫环委办〔2024〕53号）</w:t>
      </w:r>
      <w:r>
        <w:rPr>
          <w:rFonts w:hint="eastAsia"/>
        </w:rPr>
        <w:t>。</w:t>
      </w:r>
    </w:p>
    <w:p w14:paraId="1D3E918B">
      <w:pPr>
        <w:pStyle w:val="5"/>
        <w:spacing w:before="323" w:after="323"/>
      </w:pPr>
      <w:bookmarkStart w:id="49" w:name="_Toc428286758"/>
      <w:bookmarkStart w:id="50" w:name="_Toc428287504"/>
      <w:bookmarkStart w:id="51" w:name="_Toc428287152"/>
      <w:r>
        <w:t>技术规范</w:t>
      </w:r>
      <w:bookmarkEnd w:id="49"/>
      <w:bookmarkEnd w:id="50"/>
      <w:bookmarkEnd w:id="51"/>
    </w:p>
    <w:p w14:paraId="1D3E918C">
      <w:pPr>
        <w:ind w:firstLine="480"/>
      </w:pPr>
      <w:r>
        <w:t>（1）《环境影响评价技术导则 总纲》(HJ 2.1-2016)；</w:t>
      </w:r>
    </w:p>
    <w:p w14:paraId="1D3E918D">
      <w:pPr>
        <w:ind w:firstLine="480"/>
      </w:pPr>
      <w:r>
        <w:t>（2）《环境影响评价技术导则 大气环境》（HJ 2.2-2018）；</w:t>
      </w:r>
    </w:p>
    <w:p w14:paraId="1D3E918E">
      <w:pPr>
        <w:ind w:firstLine="480"/>
      </w:pPr>
      <w:r>
        <w:t>（3）《环境影响评价技术导则 地表水环境》（HJ 2.3-2018）；</w:t>
      </w:r>
    </w:p>
    <w:p w14:paraId="1D3E918F">
      <w:pPr>
        <w:ind w:firstLine="480"/>
      </w:pPr>
      <w:r>
        <w:t>（4）《环境影响评价技术导则 声环境》(HJ 2.4-2021)；</w:t>
      </w:r>
    </w:p>
    <w:p w14:paraId="1D3E9190">
      <w:pPr>
        <w:ind w:firstLine="480"/>
      </w:pPr>
      <w:r>
        <w:t>（5）《环境影响评价技术导则 地下水环境》（HJ 610-2016）；</w:t>
      </w:r>
    </w:p>
    <w:p w14:paraId="1D3E9191">
      <w:pPr>
        <w:ind w:firstLine="480"/>
      </w:pPr>
      <w:r>
        <w:t>（6）《环境影响评价技术导则土壤环境（试行）》（HJ 964-2018）；</w:t>
      </w:r>
    </w:p>
    <w:p w14:paraId="1D3E9192">
      <w:pPr>
        <w:ind w:firstLine="480"/>
      </w:pPr>
      <w:r>
        <w:t>（7）《建设项目环境风险评价技术导则》（HJ 169-2018）；</w:t>
      </w:r>
    </w:p>
    <w:p w14:paraId="1D3E9193">
      <w:pPr>
        <w:ind w:firstLine="480"/>
      </w:pPr>
      <w:r>
        <w:t>（8）《国家危险废物名录》（2021）；</w:t>
      </w:r>
    </w:p>
    <w:p w14:paraId="1D3E9194">
      <w:pPr>
        <w:ind w:firstLine="480"/>
      </w:pPr>
      <w:r>
        <w:t>（9）《危险化学品重大危险源辨识》（GB 18218-2018）；</w:t>
      </w:r>
    </w:p>
    <w:p w14:paraId="1D3E9195">
      <w:pPr>
        <w:ind w:firstLine="480"/>
      </w:pPr>
      <w:r>
        <w:t>（10）《固体废物鉴别标准通则》（GB 34330-2017）；</w:t>
      </w:r>
    </w:p>
    <w:p w14:paraId="1D3E9196">
      <w:pPr>
        <w:ind w:firstLine="480"/>
      </w:pPr>
      <w:r>
        <w:t>（11）《排污单位自行监测技术指南 总则》（HJ 819-2017）；</w:t>
      </w:r>
    </w:p>
    <w:p w14:paraId="2ADC4DBB">
      <w:pPr>
        <w:ind w:firstLine="480"/>
      </w:pPr>
      <w:r>
        <w:t>（12）</w:t>
      </w:r>
      <w:r>
        <w:rPr>
          <w:rFonts w:hint="eastAsia"/>
        </w:rPr>
        <w:t>《排污单位自行监测技术指南 涂料油墨制造》（HJ 1087—2020）</w:t>
      </w:r>
    </w:p>
    <w:p w14:paraId="18B2F7ED">
      <w:pPr>
        <w:ind w:firstLine="480"/>
      </w:pPr>
      <w:r>
        <w:rPr>
          <w:rFonts w:hint="eastAsia"/>
        </w:rPr>
        <w:t>（13）</w:t>
      </w:r>
      <w:r>
        <w:t>《污染源源强核算技术指南 准则》(HJ 884-2018)；</w:t>
      </w:r>
    </w:p>
    <w:p w14:paraId="1D3E9197">
      <w:pPr>
        <w:ind w:firstLine="480"/>
      </w:pPr>
      <w:r>
        <w:rPr>
          <w:rFonts w:hint="eastAsia"/>
        </w:rPr>
        <w:t>（14）</w:t>
      </w:r>
      <w:r>
        <w:t>《工业企业土壤和地下水自行监测 技术指南》（HJ164-2020）；</w:t>
      </w:r>
    </w:p>
    <w:p w14:paraId="32CD3534">
      <w:pPr>
        <w:ind w:left="480" w:firstLine="0" w:firstLineChars="0"/>
      </w:pPr>
      <w:r>
        <w:t>（</w:t>
      </w:r>
      <w:r>
        <w:rPr>
          <w:rFonts w:hint="eastAsia"/>
        </w:rPr>
        <w:t>15</w:t>
      </w:r>
      <w:r>
        <w:t>）《排污许可证申请与核发技术规范 总则》（HJ942-2018）；</w:t>
      </w:r>
    </w:p>
    <w:p w14:paraId="688EE910">
      <w:pPr>
        <w:ind w:left="480" w:firstLine="0" w:firstLineChars="0"/>
      </w:pPr>
      <w:r>
        <w:rPr>
          <w:rFonts w:hint="eastAsia"/>
        </w:rPr>
        <w:t>（16）</w:t>
      </w:r>
      <w:r>
        <w:t xml:space="preserve">《排污许可证申请与核发技术规范 </w:t>
      </w:r>
      <w:r>
        <w:rPr>
          <w:rFonts w:hint="eastAsia"/>
        </w:rPr>
        <w:t>专用化学产品制造</w:t>
      </w:r>
      <w:r>
        <w:t>工业》（HJ</w:t>
      </w:r>
      <w:r>
        <w:rPr>
          <w:rFonts w:hint="eastAsia"/>
        </w:rPr>
        <w:t xml:space="preserve"> 1</w:t>
      </w:r>
      <w:r>
        <w:t>103-2020）</w:t>
      </w:r>
      <w:r>
        <w:rPr>
          <w:rFonts w:hint="eastAsia"/>
        </w:rPr>
        <w:t>；</w:t>
      </w:r>
    </w:p>
    <w:p w14:paraId="1D3E9199">
      <w:pPr>
        <w:ind w:firstLine="480"/>
      </w:pPr>
      <w:r>
        <w:t>（1</w:t>
      </w:r>
      <w:r>
        <w:rPr>
          <w:rFonts w:hint="eastAsia"/>
        </w:rPr>
        <w:t>7</w:t>
      </w:r>
      <w:r>
        <w:t>）《</w:t>
      </w:r>
      <w:r>
        <w:rPr>
          <w:rFonts w:hint="eastAsia"/>
        </w:rPr>
        <w:t>排污许可证申请与核发技术规范 工业噪声</w:t>
      </w:r>
      <w:r>
        <w:t>》</w:t>
      </w:r>
      <w:r>
        <w:rPr>
          <w:rFonts w:hint="eastAsia"/>
        </w:rPr>
        <w:t>（HJ 1301-2023）</w:t>
      </w:r>
      <w:r>
        <w:t>；</w:t>
      </w:r>
    </w:p>
    <w:p w14:paraId="1D3E919A">
      <w:pPr>
        <w:ind w:firstLine="480"/>
        <w:rPr>
          <w:bCs/>
        </w:rPr>
      </w:pPr>
      <w:r>
        <w:t>（1</w:t>
      </w:r>
      <w:r>
        <w:rPr>
          <w:rFonts w:hint="eastAsia"/>
        </w:rPr>
        <w:t>8</w:t>
      </w:r>
      <w:r>
        <w:t>）</w:t>
      </w:r>
      <w:r>
        <w:rPr>
          <w:bCs/>
        </w:rPr>
        <w:t>《突发环境事件应急监测技术规范》（HJ589-2021）</w:t>
      </w:r>
      <w:r>
        <w:rPr>
          <w:rFonts w:hint="eastAsia"/>
          <w:bCs/>
        </w:rPr>
        <w:t>；</w:t>
      </w:r>
    </w:p>
    <w:p w14:paraId="0EE0E1E9">
      <w:pPr>
        <w:pStyle w:val="2"/>
        <w:ind w:firstLine="480"/>
      </w:pPr>
      <w:r>
        <w:rPr>
          <w:rFonts w:hint="eastAsia"/>
        </w:rPr>
        <w:t>（19）《排污许可证申请与核发技术规范 涂料、油墨、颜料及类似产品制造业》（HJ 1116—2020）；</w:t>
      </w:r>
    </w:p>
    <w:p w14:paraId="17D00A02">
      <w:pPr>
        <w:ind w:firstLine="480"/>
      </w:pPr>
      <w:r>
        <w:rPr>
          <w:rFonts w:hint="eastAsia"/>
        </w:rPr>
        <w:t>（20）《建设项目危险废物环境影响评价指南》（环境保护部公告 2017年 第43号）。</w:t>
      </w:r>
    </w:p>
    <w:p w14:paraId="1D3E919C">
      <w:pPr>
        <w:pStyle w:val="5"/>
        <w:spacing w:before="323" w:after="323"/>
      </w:pPr>
      <w:bookmarkStart w:id="52" w:name="_Toc428286759"/>
      <w:bookmarkStart w:id="53" w:name="_Toc428287153"/>
      <w:bookmarkStart w:id="54" w:name="_Toc428287505"/>
      <w:r>
        <w:t>项目依据</w:t>
      </w:r>
      <w:bookmarkEnd w:id="52"/>
      <w:bookmarkEnd w:id="53"/>
      <w:bookmarkEnd w:id="54"/>
    </w:p>
    <w:p w14:paraId="1D3E919D">
      <w:pPr>
        <w:ind w:firstLine="480"/>
      </w:pPr>
      <w:r>
        <w:t>（1）河南欣姣芬化工有限公司关于《</w:t>
      </w:r>
      <w:r>
        <w:rPr>
          <w:rFonts w:hint="eastAsia"/>
        </w:rPr>
        <w:t>年产10000吨聚醚改性硅油、1000吨色浆项目</w:t>
      </w:r>
      <w:r>
        <w:t>》的环境影响评价委托书；</w:t>
      </w:r>
    </w:p>
    <w:p w14:paraId="1D3E919E">
      <w:pPr>
        <w:ind w:firstLine="480"/>
      </w:pPr>
      <w:r>
        <w:t>（2）《河南欣姣芬化工有限公司</w:t>
      </w:r>
      <w:r>
        <w:rPr>
          <w:rFonts w:hint="eastAsia"/>
        </w:rPr>
        <w:t>年产10000吨聚醚改性硅油、1000吨色浆项目</w:t>
      </w:r>
      <w:r>
        <w:t>》备案确认书（2406-410781-04-05-341608）；</w:t>
      </w:r>
    </w:p>
    <w:p w14:paraId="1D3E91A1">
      <w:pPr>
        <w:ind w:firstLine="480"/>
      </w:pPr>
      <w:r>
        <w:t>（3）建设单位提供的其他技术资料。</w:t>
      </w:r>
    </w:p>
    <w:p w14:paraId="1D3E91A2">
      <w:pPr>
        <w:pStyle w:val="5"/>
        <w:spacing w:before="323" w:after="323"/>
      </w:pPr>
      <w:bookmarkStart w:id="55" w:name="_Toc428286760"/>
      <w:bookmarkStart w:id="56" w:name="_Toc428287154"/>
      <w:bookmarkStart w:id="57" w:name="_Toc428287506"/>
      <w:r>
        <w:t>其他参考技术文件</w:t>
      </w:r>
      <w:bookmarkEnd w:id="55"/>
      <w:bookmarkEnd w:id="56"/>
      <w:bookmarkEnd w:id="57"/>
    </w:p>
    <w:p w14:paraId="1D3E91A3">
      <w:pPr>
        <w:ind w:firstLine="480"/>
      </w:pPr>
      <w:r>
        <w:t>（1）《</w:t>
      </w:r>
      <w:r>
        <w:rPr>
          <w:rFonts w:hint="eastAsia"/>
        </w:rPr>
        <w:t>卫辉市国土空间总体规划（2021-2035）</w:t>
      </w:r>
      <w:r>
        <w:t>》；</w:t>
      </w:r>
    </w:p>
    <w:p w14:paraId="1D3E91A4">
      <w:pPr>
        <w:ind w:firstLine="480"/>
        <w:rPr>
          <w:highlight w:val="yellow"/>
        </w:rPr>
      </w:pPr>
      <w:r>
        <w:t>（2）《</w:t>
      </w:r>
      <w:r>
        <w:rPr>
          <w:rFonts w:hint="eastAsia"/>
        </w:rPr>
        <w:t>卫辉市铁西（化工）专业园区总体规划（2022-2035）</w:t>
      </w:r>
      <w:r>
        <w:t>》</w:t>
      </w:r>
      <w:r>
        <w:rPr>
          <w:rFonts w:hint="eastAsia"/>
        </w:rPr>
        <w:t>；</w:t>
      </w:r>
    </w:p>
    <w:p w14:paraId="0672ADC9">
      <w:pPr>
        <w:ind w:firstLine="480"/>
      </w:pPr>
      <w:r>
        <w:t>（3）《河南欣姣芬化工有限公司</w:t>
      </w:r>
      <w:r>
        <w:rPr>
          <w:rFonts w:hint="eastAsia"/>
        </w:rPr>
        <w:t>年产10000吨聚醚改性硅油、1000吨色浆项目</w:t>
      </w:r>
      <w:r>
        <w:t>现状检测报告》（</w:t>
      </w:r>
      <w:r>
        <w:rPr>
          <w:rFonts w:hint="eastAsia"/>
        </w:rPr>
        <w:t>河南平原山水检测有限公司新乡分公司</w:t>
      </w:r>
      <w:r>
        <w:t>，202</w:t>
      </w:r>
      <w:r>
        <w:rPr>
          <w:rFonts w:hint="eastAsia"/>
        </w:rPr>
        <w:t>4</w:t>
      </w:r>
      <w:r>
        <w:t>年</w:t>
      </w:r>
      <w:r>
        <w:rPr>
          <w:rFonts w:hint="eastAsia"/>
        </w:rPr>
        <w:t>8</w:t>
      </w:r>
      <w:r>
        <w:t>月）</w:t>
      </w:r>
      <w:r>
        <w:rPr>
          <w:rFonts w:hint="eastAsia"/>
        </w:rPr>
        <w:t>。</w:t>
      </w:r>
    </w:p>
    <w:p w14:paraId="1D3E91A8">
      <w:pPr>
        <w:pStyle w:val="4"/>
      </w:pPr>
      <w:bookmarkStart w:id="58" w:name="_Toc428287155"/>
      <w:bookmarkStart w:id="59" w:name="_Toc428286761"/>
      <w:bookmarkStart w:id="60" w:name="_Toc429318379"/>
      <w:bookmarkStart w:id="61" w:name="_Toc176105848"/>
      <w:bookmarkStart w:id="62" w:name="_Toc174155851"/>
      <w:r>
        <w:t>评价对象、评价目的</w:t>
      </w:r>
      <w:bookmarkEnd w:id="58"/>
      <w:bookmarkEnd w:id="59"/>
      <w:bookmarkEnd w:id="60"/>
      <w:r>
        <w:t>、评价原则</w:t>
      </w:r>
      <w:bookmarkEnd w:id="61"/>
    </w:p>
    <w:p w14:paraId="1D3E91A9">
      <w:pPr>
        <w:pStyle w:val="5"/>
        <w:spacing w:before="323" w:after="323"/>
      </w:pPr>
      <w:bookmarkStart w:id="63" w:name="_Toc428287156"/>
      <w:bookmarkStart w:id="64" w:name="_Toc428286762"/>
      <w:bookmarkStart w:id="65" w:name="_Toc428287508"/>
      <w:r>
        <w:t>评价对象</w:t>
      </w:r>
      <w:bookmarkEnd w:id="63"/>
      <w:bookmarkEnd w:id="64"/>
      <w:bookmarkEnd w:id="65"/>
    </w:p>
    <w:p w14:paraId="1D3E91AA">
      <w:pPr>
        <w:ind w:firstLine="480"/>
        <w:rPr>
          <w:b/>
        </w:rPr>
      </w:pPr>
      <w:r>
        <w:t>本次评价对象为</w:t>
      </w:r>
      <w:r>
        <w:rPr>
          <w:rFonts w:hint="eastAsia"/>
        </w:rPr>
        <w:t>“年产10000吨聚醚改性硅油、1000吨色浆项目”</w:t>
      </w:r>
      <w:r>
        <w:t>，工程建设性质为新建。</w:t>
      </w:r>
    </w:p>
    <w:p w14:paraId="1D3E91AB">
      <w:pPr>
        <w:pStyle w:val="5"/>
        <w:spacing w:before="323" w:after="323"/>
      </w:pPr>
      <w:bookmarkStart w:id="66" w:name="_Toc428287509"/>
      <w:bookmarkStart w:id="67" w:name="_Toc428287157"/>
      <w:bookmarkStart w:id="68" w:name="_Toc428286763"/>
      <w:r>
        <w:t>评价目的</w:t>
      </w:r>
      <w:bookmarkEnd w:id="66"/>
      <w:bookmarkEnd w:id="67"/>
      <w:bookmarkEnd w:id="68"/>
    </w:p>
    <w:p w14:paraId="1D3E91AC">
      <w:pPr>
        <w:ind w:firstLine="480"/>
      </w:pPr>
      <w:r>
        <w:t>本次评价目的是通过对评价区地表水、地下水、环境空气、声环境的调查，查清环境质量现状，结合工程实际，分析工程对环境影响的程度和范围，从环保角度出发，对项目的可行性给出结论，在项目实施过程中做到事前预防污染，为主管部门审批决策、监督管理，为工程设计、工程建设及日后的生产管理提供科学依据和基础资料。</w:t>
      </w:r>
    </w:p>
    <w:p w14:paraId="1D3E91AD">
      <w:pPr>
        <w:ind w:firstLine="480"/>
      </w:pPr>
      <w:r>
        <w:t>根据项目的具体情况，结合项目厂址周围的环境状况，评价工作拟达到以下目的：</w:t>
      </w:r>
    </w:p>
    <w:p w14:paraId="1D3E91AE">
      <w:pPr>
        <w:ind w:firstLine="480"/>
      </w:pPr>
      <w:r>
        <w:t>（1）从国家产业政策的角度出发，结合当地总体规划要求，确定项目的建设是否符合产业政策及规划要求。</w:t>
      </w:r>
    </w:p>
    <w:p w14:paraId="1D3E91AF">
      <w:pPr>
        <w:ind w:firstLine="480"/>
      </w:pPr>
      <w:r>
        <w:t>（2）在对拟建工程厂址周边自然环境状况进行调查分析的基础上，掌握评价区域内主要环境敏感目标；充分利用现有资料并进行现场踏勘和环境现状监测，查清评价区域环境现状（环境空气、地表水环境、地下水质量、声环境、土壤环境），并做出现状评价；调查并明确区域内的主要污染源及环境特征。</w:t>
      </w:r>
    </w:p>
    <w:p w14:paraId="1D3E91B0">
      <w:pPr>
        <w:ind w:firstLine="480"/>
      </w:pPr>
      <w:r>
        <w:t>（3）全面分析拟建工程建设内容，掌握生产设备及设施主要污染物的产生特征，根据物料衡算</w:t>
      </w:r>
      <w:r>
        <w:rPr>
          <w:rFonts w:hint="eastAsia"/>
        </w:rPr>
        <w:t>、实测</w:t>
      </w:r>
      <w:r>
        <w:t>计算污染物产生量和排放量，根据区域环境特征和工程污染物排放特点，预测工程建成投产后对周围环境影响的程度和范围，采用</w:t>
      </w:r>
      <w:r>
        <w:rPr>
          <w:szCs w:val="24"/>
        </w:rPr>
        <w:t>模型</w:t>
      </w:r>
      <w:r>
        <w:t>计算、分析项目投产后排放污染物的影响范围以及引起的周围环境质量变化情况，从环境保护角度分析论证建设工程的可行性。</w:t>
      </w:r>
    </w:p>
    <w:p w14:paraId="1D3E91B1">
      <w:pPr>
        <w:ind w:firstLine="480"/>
      </w:pPr>
      <w:r>
        <w:t>（4）根据国家对企业在“清洁生产、达标排放、节能减排、总量控制”等方面的要求，多方面论述建设项目产品、生产工艺与设备的先进性。通过对工程环保设施的技术经济合理性、达标水平的可靠性分析，进一步提出减缓污染的对策建议，为优化环境工程设计、合理施工和工程投产后的环境管理提供科学依据和措施建议，更好地达到社会经济与环境保护协调发展的目的。</w:t>
      </w:r>
    </w:p>
    <w:bookmarkEnd w:id="62"/>
    <w:p w14:paraId="1D3E91B2">
      <w:pPr>
        <w:pStyle w:val="5"/>
        <w:spacing w:before="323" w:after="323"/>
      </w:pPr>
      <w:bookmarkStart w:id="69" w:name="_Toc508269673"/>
      <w:bookmarkStart w:id="70" w:name="_Toc174155855"/>
      <w:bookmarkStart w:id="71" w:name="_Toc428287161"/>
      <w:bookmarkStart w:id="72" w:name="_Toc429318381"/>
      <w:bookmarkStart w:id="73" w:name="_Toc428286767"/>
      <w:r>
        <w:t>评价原则</w:t>
      </w:r>
      <w:bookmarkEnd w:id="69"/>
    </w:p>
    <w:p w14:paraId="1D3E91B3">
      <w:pPr>
        <w:ind w:firstLine="480"/>
      </w:pPr>
      <w:r>
        <w:t>贯彻“清洁生产”和“节约与合理利用资源、能源”的原则，分析建设项目采用生产工艺的“清洁生产”水平。对拟建工程实施全过程的污染控制，实现资源及中间产品的合理使用、实现废料的综合利用，有效地控制污染物的产生量和削减污染物的排放量。</w:t>
      </w:r>
    </w:p>
    <w:p w14:paraId="1D3E91B4">
      <w:pPr>
        <w:ind w:firstLine="480"/>
      </w:pPr>
      <w:r>
        <w:t>贯彻“达标排放”和“总量控制”原则，采取有效治理措施，使污染物排放达到国家和地方相应的排放标准；并根据当地总量控制要求，确定拟建工程总量控制方案和控制措施，提出总量控制指标建议。</w:t>
      </w:r>
    </w:p>
    <w:p w14:paraId="1D3E91B5">
      <w:pPr>
        <w:ind w:firstLine="480"/>
      </w:pPr>
      <w:r>
        <w:t>在评价工作中，全面收集评价区域已有资料，认真研究和分析自然环境、社会环境和环境质量现状资料的可靠性和时效性，充分利用其合理部分，避免不必要的重复工作，做到真实、客观、公正，结论明确。</w:t>
      </w:r>
    </w:p>
    <w:p w14:paraId="1D3E91B6">
      <w:pPr>
        <w:ind w:firstLine="480"/>
      </w:pPr>
      <w:r>
        <w:t>从发展经济和保护环境的角度出发，提出可行的污染防治对策、措施和建议，做到环境效益、经济效益和社会效益的协调统一。</w:t>
      </w:r>
    </w:p>
    <w:p w14:paraId="1D3E91B7">
      <w:pPr>
        <w:pStyle w:val="4"/>
      </w:pPr>
      <w:bookmarkStart w:id="74" w:name="_Toc176105849"/>
      <w:r>
        <w:t>环境影响因子识别与筛选</w:t>
      </w:r>
      <w:bookmarkEnd w:id="70"/>
      <w:bookmarkEnd w:id="71"/>
      <w:bookmarkEnd w:id="72"/>
      <w:bookmarkEnd w:id="73"/>
      <w:bookmarkEnd w:id="74"/>
    </w:p>
    <w:p w14:paraId="1D3E91B8">
      <w:pPr>
        <w:pStyle w:val="5"/>
        <w:spacing w:before="323" w:after="323"/>
      </w:pPr>
      <w:bookmarkStart w:id="75" w:name="_Toc428286768"/>
      <w:bookmarkStart w:id="76" w:name="_Toc428287514"/>
      <w:bookmarkStart w:id="77" w:name="_Toc428287162"/>
      <w:r>
        <w:t>环境影响识别</w:t>
      </w:r>
      <w:bookmarkEnd w:id="75"/>
      <w:bookmarkEnd w:id="76"/>
      <w:bookmarkEnd w:id="77"/>
    </w:p>
    <w:p w14:paraId="1D3E91B9">
      <w:pPr>
        <w:ind w:firstLine="480"/>
      </w:pPr>
      <w:r>
        <w:t>根据工程施工期及营运期产污情况分析以及评价区域环境质量现状，对工程环境影响因子进行识别，结果见下表。</w:t>
      </w:r>
    </w:p>
    <w:p w14:paraId="1D3E91BC">
      <w:pPr>
        <w:pStyle w:val="64"/>
        <w:numPr>
          <w:ilvl w:val="0"/>
          <w:numId w:val="4"/>
        </w:numPr>
        <w:spacing w:before="0" w:beforeLines="0"/>
        <w:ind w:firstLineChars="0"/>
      </w:pPr>
      <w:r>
        <w:t xml:space="preserve">               环境影响因子识别表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67"/>
        <w:gridCol w:w="968"/>
        <w:gridCol w:w="968"/>
        <w:gridCol w:w="968"/>
        <w:gridCol w:w="968"/>
        <w:gridCol w:w="968"/>
        <w:gridCol w:w="1129"/>
        <w:gridCol w:w="807"/>
        <w:gridCol w:w="969"/>
      </w:tblGrid>
      <w:tr w14:paraId="1D3E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35" w:type="dxa"/>
            <w:gridSpan w:val="2"/>
            <w:vMerge w:val="restart"/>
            <w:tcBorders>
              <w:top w:val="single" w:color="auto" w:sz="8" w:space="0"/>
              <w:left w:val="single" w:color="auto" w:sz="8" w:space="0"/>
              <w:tl2br w:val="single" w:color="auto" w:sz="4" w:space="0"/>
            </w:tcBorders>
            <w:vAlign w:val="center"/>
          </w:tcPr>
          <w:p w14:paraId="1D3E91BD">
            <w:pPr>
              <w:pStyle w:val="64"/>
              <w:spacing w:before="0" w:beforeLines="0"/>
              <w:ind w:firstLine="0" w:firstLineChars="0"/>
              <w:jc w:val="right"/>
              <w:rPr>
                <w:rFonts w:eastAsiaTheme="minorEastAsia"/>
                <w:b/>
                <w:bCs/>
                <w:sz w:val="21"/>
                <w:szCs w:val="21"/>
              </w:rPr>
            </w:pPr>
            <w:r>
              <w:rPr>
                <w:rFonts w:eastAsiaTheme="minorEastAsia"/>
                <w:b/>
                <w:bCs/>
                <w:sz w:val="21"/>
                <w:szCs w:val="21"/>
              </w:rPr>
              <w:t>影响因素</w:t>
            </w:r>
          </w:p>
          <w:p w14:paraId="1D3E91BF">
            <w:pPr>
              <w:pStyle w:val="64"/>
              <w:spacing w:before="0" w:beforeLines="0"/>
              <w:ind w:firstLine="0" w:firstLineChars="0"/>
              <w:jc w:val="left"/>
              <w:rPr>
                <w:rFonts w:eastAsiaTheme="minorEastAsia"/>
                <w:b/>
                <w:bCs/>
                <w:sz w:val="21"/>
                <w:szCs w:val="21"/>
              </w:rPr>
            </w:pPr>
            <w:r>
              <w:rPr>
                <w:rFonts w:eastAsiaTheme="minorEastAsia"/>
                <w:b/>
                <w:bCs/>
                <w:sz w:val="21"/>
                <w:szCs w:val="21"/>
              </w:rPr>
              <w:t>类别</w:t>
            </w:r>
          </w:p>
        </w:tc>
        <w:tc>
          <w:tcPr>
            <w:tcW w:w="968" w:type="dxa"/>
            <w:vMerge w:val="restart"/>
            <w:tcBorders>
              <w:top w:val="single" w:color="auto" w:sz="8" w:space="0"/>
            </w:tcBorders>
            <w:vAlign w:val="center"/>
          </w:tcPr>
          <w:p w14:paraId="1D3E91C0">
            <w:pPr>
              <w:pStyle w:val="64"/>
              <w:spacing w:before="0" w:beforeLines="0"/>
              <w:ind w:firstLine="0" w:firstLineChars="0"/>
              <w:jc w:val="center"/>
              <w:rPr>
                <w:rFonts w:eastAsiaTheme="minorEastAsia"/>
                <w:b/>
                <w:bCs/>
                <w:sz w:val="21"/>
                <w:szCs w:val="21"/>
              </w:rPr>
            </w:pPr>
            <w:r>
              <w:rPr>
                <w:rFonts w:eastAsiaTheme="minorEastAsia"/>
                <w:b/>
                <w:bCs/>
                <w:sz w:val="21"/>
                <w:szCs w:val="21"/>
              </w:rPr>
              <w:t>施工期</w:t>
            </w:r>
          </w:p>
        </w:tc>
        <w:tc>
          <w:tcPr>
            <w:tcW w:w="5809" w:type="dxa"/>
            <w:gridSpan w:val="6"/>
            <w:tcBorders>
              <w:top w:val="single" w:color="auto" w:sz="8" w:space="0"/>
              <w:right w:val="single" w:color="auto" w:sz="8" w:space="0"/>
            </w:tcBorders>
            <w:vAlign w:val="center"/>
          </w:tcPr>
          <w:p w14:paraId="1D3E91C1">
            <w:pPr>
              <w:pStyle w:val="64"/>
              <w:spacing w:before="0" w:beforeLines="0"/>
              <w:ind w:firstLine="0" w:firstLineChars="0"/>
              <w:jc w:val="center"/>
              <w:rPr>
                <w:rFonts w:eastAsiaTheme="minorEastAsia"/>
                <w:b/>
                <w:bCs/>
                <w:sz w:val="21"/>
                <w:szCs w:val="21"/>
              </w:rPr>
            </w:pPr>
            <w:r>
              <w:rPr>
                <w:rFonts w:eastAsiaTheme="minorEastAsia"/>
                <w:b/>
                <w:bCs/>
                <w:sz w:val="21"/>
                <w:szCs w:val="21"/>
              </w:rPr>
              <w:t>运行期</w:t>
            </w:r>
          </w:p>
        </w:tc>
      </w:tr>
      <w:tr w14:paraId="1D3E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35" w:type="dxa"/>
            <w:gridSpan w:val="2"/>
            <w:vMerge w:val="continue"/>
            <w:tcBorders>
              <w:left w:val="single" w:color="auto" w:sz="8" w:space="0"/>
              <w:tl2br w:val="single" w:color="auto" w:sz="4" w:space="0"/>
            </w:tcBorders>
            <w:vAlign w:val="center"/>
          </w:tcPr>
          <w:p w14:paraId="1D3E91C3">
            <w:pPr>
              <w:pStyle w:val="64"/>
              <w:spacing w:before="0" w:beforeLines="0"/>
              <w:ind w:firstLine="0" w:firstLineChars="0"/>
              <w:jc w:val="center"/>
              <w:rPr>
                <w:rFonts w:eastAsiaTheme="minorEastAsia"/>
                <w:b/>
                <w:bCs/>
                <w:sz w:val="21"/>
                <w:szCs w:val="21"/>
              </w:rPr>
            </w:pPr>
          </w:p>
        </w:tc>
        <w:tc>
          <w:tcPr>
            <w:tcW w:w="968" w:type="dxa"/>
            <w:vMerge w:val="continue"/>
            <w:vAlign w:val="center"/>
          </w:tcPr>
          <w:p w14:paraId="1D3E91C4">
            <w:pPr>
              <w:pStyle w:val="64"/>
              <w:spacing w:before="0" w:beforeLines="0"/>
              <w:ind w:firstLine="0" w:firstLineChars="0"/>
              <w:jc w:val="center"/>
              <w:rPr>
                <w:rFonts w:eastAsiaTheme="minorEastAsia"/>
                <w:b/>
                <w:bCs/>
                <w:sz w:val="21"/>
                <w:szCs w:val="21"/>
              </w:rPr>
            </w:pPr>
          </w:p>
        </w:tc>
        <w:tc>
          <w:tcPr>
            <w:tcW w:w="968" w:type="dxa"/>
            <w:vAlign w:val="center"/>
          </w:tcPr>
          <w:p w14:paraId="1D3E91C5">
            <w:pPr>
              <w:pStyle w:val="64"/>
              <w:spacing w:before="0" w:beforeLines="0"/>
              <w:ind w:firstLine="0" w:firstLineChars="0"/>
              <w:jc w:val="center"/>
              <w:rPr>
                <w:rFonts w:eastAsia="宋体"/>
                <w:b/>
                <w:bCs/>
                <w:sz w:val="21"/>
                <w:szCs w:val="21"/>
              </w:rPr>
            </w:pPr>
            <w:r>
              <w:rPr>
                <w:rFonts w:eastAsia="宋体"/>
                <w:b/>
                <w:bCs/>
                <w:sz w:val="21"/>
                <w:szCs w:val="21"/>
              </w:rPr>
              <w:t>工程排水</w:t>
            </w:r>
          </w:p>
        </w:tc>
        <w:tc>
          <w:tcPr>
            <w:tcW w:w="968" w:type="dxa"/>
            <w:vAlign w:val="center"/>
          </w:tcPr>
          <w:p w14:paraId="1D3E91C6">
            <w:pPr>
              <w:pStyle w:val="64"/>
              <w:spacing w:before="0" w:beforeLines="0"/>
              <w:ind w:firstLine="0" w:firstLineChars="0"/>
              <w:jc w:val="center"/>
              <w:rPr>
                <w:rFonts w:eastAsia="宋体"/>
                <w:b/>
                <w:bCs/>
                <w:sz w:val="21"/>
                <w:szCs w:val="21"/>
              </w:rPr>
            </w:pPr>
            <w:r>
              <w:rPr>
                <w:rFonts w:eastAsia="宋体"/>
                <w:b/>
                <w:bCs/>
                <w:sz w:val="21"/>
                <w:szCs w:val="21"/>
              </w:rPr>
              <w:t>工程排气</w:t>
            </w:r>
          </w:p>
        </w:tc>
        <w:tc>
          <w:tcPr>
            <w:tcW w:w="968" w:type="dxa"/>
            <w:vAlign w:val="center"/>
          </w:tcPr>
          <w:p w14:paraId="1D3E91C7">
            <w:pPr>
              <w:pStyle w:val="64"/>
              <w:spacing w:before="0" w:beforeLines="0"/>
              <w:ind w:firstLine="0" w:firstLineChars="0"/>
              <w:jc w:val="center"/>
              <w:rPr>
                <w:rFonts w:eastAsia="宋体"/>
                <w:b/>
                <w:bCs/>
                <w:sz w:val="21"/>
                <w:szCs w:val="21"/>
              </w:rPr>
            </w:pPr>
            <w:r>
              <w:rPr>
                <w:rFonts w:eastAsia="宋体"/>
                <w:b/>
                <w:bCs/>
                <w:sz w:val="21"/>
                <w:szCs w:val="21"/>
              </w:rPr>
              <w:t>固废</w:t>
            </w:r>
          </w:p>
        </w:tc>
        <w:tc>
          <w:tcPr>
            <w:tcW w:w="1129" w:type="dxa"/>
            <w:vAlign w:val="center"/>
          </w:tcPr>
          <w:p w14:paraId="1D3E91C8">
            <w:pPr>
              <w:pStyle w:val="64"/>
              <w:spacing w:before="0" w:beforeLines="0"/>
              <w:ind w:firstLine="0" w:firstLineChars="0"/>
              <w:jc w:val="center"/>
              <w:rPr>
                <w:rFonts w:eastAsia="宋体"/>
                <w:b/>
                <w:bCs/>
                <w:sz w:val="21"/>
                <w:szCs w:val="21"/>
              </w:rPr>
            </w:pPr>
            <w:r>
              <w:rPr>
                <w:rFonts w:eastAsia="宋体"/>
                <w:b/>
                <w:bCs/>
                <w:sz w:val="21"/>
                <w:szCs w:val="21"/>
              </w:rPr>
              <w:t>噪声及振动</w:t>
            </w:r>
          </w:p>
        </w:tc>
        <w:tc>
          <w:tcPr>
            <w:tcW w:w="807" w:type="dxa"/>
            <w:vAlign w:val="center"/>
          </w:tcPr>
          <w:p w14:paraId="1D3E91C9">
            <w:pPr>
              <w:pStyle w:val="64"/>
              <w:spacing w:before="0" w:beforeLines="0"/>
              <w:ind w:firstLine="0" w:firstLineChars="0"/>
              <w:jc w:val="center"/>
              <w:rPr>
                <w:rFonts w:eastAsia="宋体"/>
                <w:b/>
                <w:bCs/>
                <w:sz w:val="21"/>
                <w:szCs w:val="21"/>
              </w:rPr>
            </w:pPr>
            <w:r>
              <w:rPr>
                <w:rFonts w:eastAsia="宋体"/>
                <w:b/>
                <w:bCs/>
                <w:sz w:val="21"/>
                <w:szCs w:val="21"/>
              </w:rPr>
              <w:t>运输</w:t>
            </w:r>
          </w:p>
        </w:tc>
        <w:tc>
          <w:tcPr>
            <w:tcW w:w="969" w:type="dxa"/>
            <w:tcBorders>
              <w:right w:val="single" w:color="auto" w:sz="8" w:space="0"/>
            </w:tcBorders>
            <w:vAlign w:val="center"/>
          </w:tcPr>
          <w:p w14:paraId="1D3E91CA">
            <w:pPr>
              <w:pStyle w:val="64"/>
              <w:spacing w:before="0" w:beforeLines="0"/>
              <w:ind w:firstLine="0" w:firstLineChars="0"/>
              <w:jc w:val="center"/>
              <w:rPr>
                <w:rFonts w:eastAsia="宋体"/>
                <w:b/>
                <w:bCs/>
                <w:sz w:val="21"/>
                <w:szCs w:val="21"/>
              </w:rPr>
            </w:pPr>
            <w:r>
              <w:rPr>
                <w:rFonts w:eastAsia="宋体"/>
                <w:b/>
                <w:bCs/>
                <w:sz w:val="21"/>
                <w:szCs w:val="21"/>
              </w:rPr>
              <w:t>效益</w:t>
            </w:r>
          </w:p>
        </w:tc>
      </w:tr>
      <w:tr w14:paraId="1D3E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67" w:type="dxa"/>
            <w:vMerge w:val="restart"/>
            <w:tcBorders>
              <w:left w:val="single" w:color="auto" w:sz="8" w:space="0"/>
            </w:tcBorders>
            <w:vAlign w:val="center"/>
          </w:tcPr>
          <w:p w14:paraId="1D3E91CC">
            <w:pPr>
              <w:pStyle w:val="64"/>
              <w:spacing w:before="0" w:beforeLines="0"/>
              <w:ind w:firstLine="0" w:firstLineChars="0"/>
              <w:jc w:val="center"/>
              <w:rPr>
                <w:rFonts w:eastAsiaTheme="minorEastAsia"/>
                <w:b/>
                <w:bCs/>
                <w:sz w:val="21"/>
                <w:szCs w:val="21"/>
              </w:rPr>
            </w:pPr>
            <w:r>
              <w:rPr>
                <w:rFonts w:eastAsiaTheme="minorEastAsia"/>
                <w:b/>
                <w:bCs/>
                <w:sz w:val="21"/>
                <w:szCs w:val="21"/>
              </w:rPr>
              <w:t>自然生态环境</w:t>
            </w:r>
          </w:p>
        </w:tc>
        <w:tc>
          <w:tcPr>
            <w:tcW w:w="968" w:type="dxa"/>
            <w:vAlign w:val="center"/>
          </w:tcPr>
          <w:p w14:paraId="1D3E91CD">
            <w:pPr>
              <w:pStyle w:val="64"/>
              <w:spacing w:before="0" w:beforeLines="0"/>
              <w:ind w:firstLine="0" w:firstLineChars="0"/>
              <w:jc w:val="center"/>
              <w:rPr>
                <w:rFonts w:eastAsiaTheme="minorEastAsia"/>
                <w:b/>
                <w:bCs/>
                <w:sz w:val="21"/>
                <w:szCs w:val="21"/>
              </w:rPr>
            </w:pPr>
            <w:r>
              <w:rPr>
                <w:rFonts w:eastAsiaTheme="minorEastAsia"/>
                <w:sz w:val="21"/>
                <w:szCs w:val="21"/>
              </w:rPr>
              <w:t>地表水</w:t>
            </w:r>
          </w:p>
        </w:tc>
        <w:tc>
          <w:tcPr>
            <w:tcW w:w="968" w:type="dxa"/>
            <w:vAlign w:val="center"/>
          </w:tcPr>
          <w:p w14:paraId="1D3E91CE">
            <w:pPr>
              <w:pStyle w:val="64"/>
              <w:spacing w:before="0" w:beforeLines="0"/>
              <w:ind w:firstLine="0" w:firstLineChars="0"/>
              <w:jc w:val="center"/>
              <w:rPr>
                <w:rFonts w:eastAsiaTheme="minorEastAsia"/>
                <w:b/>
                <w:bCs/>
                <w:sz w:val="21"/>
                <w:szCs w:val="21"/>
              </w:rPr>
            </w:pPr>
          </w:p>
        </w:tc>
        <w:tc>
          <w:tcPr>
            <w:tcW w:w="968" w:type="dxa"/>
            <w:vAlign w:val="center"/>
          </w:tcPr>
          <w:p w14:paraId="1D3E91CF">
            <w:pPr>
              <w:pStyle w:val="64"/>
              <w:spacing w:before="0" w:beforeLines="0"/>
              <w:ind w:firstLine="0" w:firstLineChars="0"/>
              <w:jc w:val="center"/>
              <w:rPr>
                <w:rFonts w:eastAsiaTheme="minorEastAsia"/>
                <w:b/>
                <w:bCs/>
                <w:sz w:val="21"/>
                <w:szCs w:val="21"/>
              </w:rPr>
            </w:pPr>
            <w:r>
              <w:rPr>
                <w:rFonts w:eastAsiaTheme="minorEastAsia"/>
                <w:sz w:val="21"/>
                <w:szCs w:val="21"/>
              </w:rPr>
              <w:t>-1LP</w:t>
            </w:r>
          </w:p>
        </w:tc>
        <w:tc>
          <w:tcPr>
            <w:tcW w:w="968" w:type="dxa"/>
            <w:vAlign w:val="center"/>
          </w:tcPr>
          <w:p w14:paraId="1D3E91D0">
            <w:pPr>
              <w:pStyle w:val="64"/>
              <w:spacing w:before="0" w:beforeLines="0"/>
              <w:ind w:firstLine="0" w:firstLineChars="0"/>
              <w:jc w:val="center"/>
              <w:rPr>
                <w:rFonts w:eastAsiaTheme="minorEastAsia"/>
                <w:b/>
                <w:bCs/>
                <w:sz w:val="21"/>
                <w:szCs w:val="21"/>
              </w:rPr>
            </w:pPr>
          </w:p>
        </w:tc>
        <w:tc>
          <w:tcPr>
            <w:tcW w:w="968" w:type="dxa"/>
            <w:vAlign w:val="center"/>
          </w:tcPr>
          <w:p w14:paraId="1D3E91D1">
            <w:pPr>
              <w:pStyle w:val="64"/>
              <w:spacing w:before="0" w:beforeLines="0"/>
              <w:ind w:firstLine="0" w:firstLineChars="0"/>
              <w:jc w:val="center"/>
              <w:rPr>
                <w:rFonts w:eastAsiaTheme="minorEastAsia"/>
                <w:b/>
                <w:bCs/>
                <w:sz w:val="21"/>
                <w:szCs w:val="21"/>
              </w:rPr>
            </w:pPr>
          </w:p>
        </w:tc>
        <w:tc>
          <w:tcPr>
            <w:tcW w:w="1129" w:type="dxa"/>
            <w:vAlign w:val="center"/>
          </w:tcPr>
          <w:p w14:paraId="1D3E91D2">
            <w:pPr>
              <w:pStyle w:val="64"/>
              <w:spacing w:before="0" w:beforeLines="0"/>
              <w:ind w:firstLine="0" w:firstLineChars="0"/>
              <w:jc w:val="center"/>
              <w:rPr>
                <w:rFonts w:eastAsiaTheme="minorEastAsia"/>
                <w:b/>
                <w:bCs/>
                <w:sz w:val="21"/>
                <w:szCs w:val="21"/>
              </w:rPr>
            </w:pPr>
          </w:p>
        </w:tc>
        <w:tc>
          <w:tcPr>
            <w:tcW w:w="807" w:type="dxa"/>
            <w:vAlign w:val="center"/>
          </w:tcPr>
          <w:p w14:paraId="1D3E91D3">
            <w:pPr>
              <w:pStyle w:val="64"/>
              <w:spacing w:before="0" w:beforeLines="0"/>
              <w:ind w:firstLine="0" w:firstLineChars="0"/>
              <w:jc w:val="center"/>
              <w:rPr>
                <w:rFonts w:eastAsiaTheme="minorEastAsia"/>
                <w:b/>
                <w:bCs/>
                <w:sz w:val="21"/>
                <w:szCs w:val="21"/>
              </w:rPr>
            </w:pPr>
          </w:p>
        </w:tc>
        <w:tc>
          <w:tcPr>
            <w:tcW w:w="969" w:type="dxa"/>
            <w:tcBorders>
              <w:right w:val="single" w:color="auto" w:sz="8" w:space="0"/>
            </w:tcBorders>
            <w:vAlign w:val="center"/>
          </w:tcPr>
          <w:p w14:paraId="1D3E91D4">
            <w:pPr>
              <w:pStyle w:val="64"/>
              <w:spacing w:before="0" w:beforeLines="0"/>
              <w:ind w:firstLine="0" w:firstLineChars="0"/>
              <w:jc w:val="center"/>
              <w:rPr>
                <w:rFonts w:eastAsiaTheme="minorEastAsia"/>
                <w:b/>
                <w:bCs/>
                <w:sz w:val="21"/>
                <w:szCs w:val="21"/>
              </w:rPr>
            </w:pPr>
          </w:p>
        </w:tc>
      </w:tr>
      <w:tr w14:paraId="1D3E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67" w:type="dxa"/>
            <w:vMerge w:val="continue"/>
            <w:tcBorders>
              <w:left w:val="single" w:color="auto" w:sz="8" w:space="0"/>
            </w:tcBorders>
            <w:vAlign w:val="center"/>
          </w:tcPr>
          <w:p w14:paraId="1D3E91D6">
            <w:pPr>
              <w:pStyle w:val="64"/>
              <w:spacing w:before="0" w:beforeLines="0"/>
              <w:ind w:firstLine="0" w:firstLineChars="0"/>
              <w:jc w:val="center"/>
              <w:rPr>
                <w:rFonts w:eastAsiaTheme="minorEastAsia"/>
                <w:b/>
                <w:bCs/>
                <w:sz w:val="21"/>
                <w:szCs w:val="21"/>
              </w:rPr>
            </w:pPr>
          </w:p>
        </w:tc>
        <w:tc>
          <w:tcPr>
            <w:tcW w:w="968" w:type="dxa"/>
            <w:vAlign w:val="center"/>
          </w:tcPr>
          <w:p w14:paraId="1D3E91D7">
            <w:pPr>
              <w:pStyle w:val="64"/>
              <w:spacing w:before="0" w:beforeLines="0"/>
              <w:ind w:firstLine="0" w:firstLineChars="0"/>
              <w:jc w:val="center"/>
              <w:rPr>
                <w:rFonts w:eastAsiaTheme="minorEastAsia"/>
                <w:b/>
                <w:bCs/>
                <w:sz w:val="21"/>
                <w:szCs w:val="21"/>
              </w:rPr>
            </w:pPr>
            <w:r>
              <w:rPr>
                <w:rFonts w:eastAsiaTheme="minorEastAsia"/>
                <w:sz w:val="21"/>
                <w:szCs w:val="21"/>
              </w:rPr>
              <w:t>地下水</w:t>
            </w:r>
          </w:p>
        </w:tc>
        <w:tc>
          <w:tcPr>
            <w:tcW w:w="968" w:type="dxa"/>
            <w:vAlign w:val="center"/>
          </w:tcPr>
          <w:p w14:paraId="1D3E91D8">
            <w:pPr>
              <w:pStyle w:val="64"/>
              <w:spacing w:before="0" w:beforeLines="0"/>
              <w:ind w:firstLine="0" w:firstLineChars="0"/>
              <w:jc w:val="center"/>
              <w:rPr>
                <w:rFonts w:eastAsiaTheme="minorEastAsia"/>
                <w:b/>
                <w:bCs/>
                <w:sz w:val="21"/>
                <w:szCs w:val="21"/>
              </w:rPr>
            </w:pPr>
          </w:p>
        </w:tc>
        <w:tc>
          <w:tcPr>
            <w:tcW w:w="968" w:type="dxa"/>
            <w:vAlign w:val="center"/>
          </w:tcPr>
          <w:p w14:paraId="1D3E91D9">
            <w:pPr>
              <w:pStyle w:val="64"/>
              <w:spacing w:before="0" w:beforeLines="0"/>
              <w:ind w:firstLine="0" w:firstLineChars="0"/>
              <w:jc w:val="center"/>
              <w:rPr>
                <w:rFonts w:eastAsiaTheme="minorEastAsia"/>
                <w:b/>
                <w:bCs/>
                <w:sz w:val="21"/>
                <w:szCs w:val="21"/>
              </w:rPr>
            </w:pPr>
            <w:r>
              <w:rPr>
                <w:rFonts w:eastAsiaTheme="minorEastAsia"/>
                <w:sz w:val="21"/>
                <w:szCs w:val="21"/>
              </w:rPr>
              <w:t>-1LP</w:t>
            </w:r>
          </w:p>
        </w:tc>
        <w:tc>
          <w:tcPr>
            <w:tcW w:w="968" w:type="dxa"/>
            <w:vAlign w:val="center"/>
          </w:tcPr>
          <w:p w14:paraId="1D3E91DA">
            <w:pPr>
              <w:pStyle w:val="64"/>
              <w:spacing w:before="0" w:beforeLines="0"/>
              <w:ind w:firstLine="0" w:firstLineChars="0"/>
              <w:jc w:val="center"/>
              <w:rPr>
                <w:rFonts w:eastAsiaTheme="minorEastAsia"/>
                <w:b/>
                <w:bCs/>
                <w:sz w:val="21"/>
                <w:szCs w:val="21"/>
              </w:rPr>
            </w:pPr>
          </w:p>
        </w:tc>
        <w:tc>
          <w:tcPr>
            <w:tcW w:w="968" w:type="dxa"/>
            <w:vAlign w:val="center"/>
          </w:tcPr>
          <w:p w14:paraId="1D3E91DB">
            <w:pPr>
              <w:pStyle w:val="64"/>
              <w:spacing w:before="0" w:beforeLines="0"/>
              <w:ind w:firstLine="0" w:firstLineChars="0"/>
              <w:jc w:val="center"/>
              <w:rPr>
                <w:rFonts w:eastAsiaTheme="minorEastAsia"/>
                <w:b/>
                <w:bCs/>
                <w:sz w:val="21"/>
                <w:szCs w:val="21"/>
              </w:rPr>
            </w:pPr>
          </w:p>
        </w:tc>
        <w:tc>
          <w:tcPr>
            <w:tcW w:w="1129" w:type="dxa"/>
            <w:vAlign w:val="center"/>
          </w:tcPr>
          <w:p w14:paraId="1D3E91DC">
            <w:pPr>
              <w:pStyle w:val="64"/>
              <w:spacing w:before="0" w:beforeLines="0"/>
              <w:ind w:firstLine="0" w:firstLineChars="0"/>
              <w:jc w:val="center"/>
              <w:rPr>
                <w:rFonts w:eastAsiaTheme="minorEastAsia"/>
                <w:b/>
                <w:bCs/>
                <w:sz w:val="21"/>
                <w:szCs w:val="21"/>
              </w:rPr>
            </w:pPr>
          </w:p>
        </w:tc>
        <w:tc>
          <w:tcPr>
            <w:tcW w:w="807" w:type="dxa"/>
            <w:vAlign w:val="center"/>
          </w:tcPr>
          <w:p w14:paraId="1D3E91DD">
            <w:pPr>
              <w:pStyle w:val="64"/>
              <w:spacing w:before="0" w:beforeLines="0"/>
              <w:ind w:firstLine="0" w:firstLineChars="0"/>
              <w:jc w:val="center"/>
              <w:rPr>
                <w:rFonts w:eastAsiaTheme="minorEastAsia"/>
                <w:b/>
                <w:bCs/>
                <w:sz w:val="21"/>
                <w:szCs w:val="21"/>
              </w:rPr>
            </w:pPr>
          </w:p>
        </w:tc>
        <w:tc>
          <w:tcPr>
            <w:tcW w:w="969" w:type="dxa"/>
            <w:tcBorders>
              <w:right w:val="single" w:color="auto" w:sz="8" w:space="0"/>
            </w:tcBorders>
            <w:vAlign w:val="center"/>
          </w:tcPr>
          <w:p w14:paraId="1D3E91DE">
            <w:pPr>
              <w:pStyle w:val="64"/>
              <w:spacing w:before="0" w:beforeLines="0"/>
              <w:ind w:firstLine="0" w:firstLineChars="0"/>
              <w:jc w:val="center"/>
              <w:rPr>
                <w:rFonts w:eastAsiaTheme="minorEastAsia"/>
                <w:b/>
                <w:bCs/>
                <w:sz w:val="21"/>
                <w:szCs w:val="21"/>
              </w:rPr>
            </w:pPr>
          </w:p>
        </w:tc>
      </w:tr>
      <w:tr w14:paraId="1D3E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67" w:type="dxa"/>
            <w:vMerge w:val="continue"/>
            <w:tcBorders>
              <w:left w:val="single" w:color="auto" w:sz="8" w:space="0"/>
            </w:tcBorders>
            <w:vAlign w:val="center"/>
          </w:tcPr>
          <w:p w14:paraId="1D3E91E0">
            <w:pPr>
              <w:pStyle w:val="64"/>
              <w:spacing w:before="0" w:beforeLines="0"/>
              <w:ind w:firstLine="0" w:firstLineChars="0"/>
              <w:jc w:val="center"/>
              <w:rPr>
                <w:rFonts w:eastAsiaTheme="minorEastAsia"/>
                <w:b/>
                <w:bCs/>
                <w:sz w:val="21"/>
                <w:szCs w:val="21"/>
              </w:rPr>
            </w:pPr>
          </w:p>
        </w:tc>
        <w:tc>
          <w:tcPr>
            <w:tcW w:w="968" w:type="dxa"/>
            <w:vAlign w:val="center"/>
          </w:tcPr>
          <w:p w14:paraId="1D3E91E1">
            <w:pPr>
              <w:pStyle w:val="64"/>
              <w:spacing w:before="0" w:beforeLines="0"/>
              <w:ind w:firstLine="0" w:firstLineChars="0"/>
              <w:jc w:val="center"/>
              <w:rPr>
                <w:rFonts w:eastAsiaTheme="minorEastAsia"/>
                <w:b/>
                <w:bCs/>
                <w:sz w:val="21"/>
                <w:szCs w:val="21"/>
              </w:rPr>
            </w:pPr>
            <w:r>
              <w:rPr>
                <w:rFonts w:eastAsiaTheme="minorEastAsia"/>
                <w:sz w:val="21"/>
                <w:szCs w:val="21"/>
              </w:rPr>
              <w:t>大气环境</w:t>
            </w:r>
          </w:p>
        </w:tc>
        <w:tc>
          <w:tcPr>
            <w:tcW w:w="968" w:type="dxa"/>
            <w:vAlign w:val="center"/>
          </w:tcPr>
          <w:p w14:paraId="1D3E91E2">
            <w:pPr>
              <w:pStyle w:val="64"/>
              <w:spacing w:before="0" w:beforeLines="0"/>
              <w:ind w:firstLine="0" w:firstLineChars="0"/>
              <w:jc w:val="center"/>
              <w:rPr>
                <w:rFonts w:eastAsiaTheme="minorEastAsia"/>
                <w:b/>
                <w:bCs/>
                <w:sz w:val="21"/>
                <w:szCs w:val="21"/>
              </w:rPr>
            </w:pPr>
            <w:r>
              <w:rPr>
                <w:rFonts w:eastAsiaTheme="minorEastAsia"/>
                <w:sz w:val="21"/>
                <w:szCs w:val="21"/>
              </w:rPr>
              <w:t>-1SP</w:t>
            </w:r>
          </w:p>
        </w:tc>
        <w:tc>
          <w:tcPr>
            <w:tcW w:w="968" w:type="dxa"/>
            <w:vAlign w:val="center"/>
          </w:tcPr>
          <w:p w14:paraId="1D3E91E3">
            <w:pPr>
              <w:pStyle w:val="64"/>
              <w:spacing w:before="0" w:beforeLines="0"/>
              <w:ind w:firstLine="0" w:firstLineChars="0"/>
              <w:jc w:val="center"/>
              <w:rPr>
                <w:rFonts w:eastAsiaTheme="minorEastAsia"/>
                <w:b/>
                <w:bCs/>
                <w:sz w:val="21"/>
                <w:szCs w:val="21"/>
              </w:rPr>
            </w:pPr>
          </w:p>
        </w:tc>
        <w:tc>
          <w:tcPr>
            <w:tcW w:w="968" w:type="dxa"/>
            <w:vAlign w:val="center"/>
          </w:tcPr>
          <w:p w14:paraId="1D3E91E4">
            <w:pPr>
              <w:pStyle w:val="64"/>
              <w:spacing w:before="0" w:beforeLines="0"/>
              <w:ind w:firstLine="0" w:firstLineChars="0"/>
              <w:jc w:val="center"/>
              <w:rPr>
                <w:rFonts w:eastAsiaTheme="minorEastAsia"/>
                <w:b/>
                <w:bCs/>
                <w:sz w:val="21"/>
                <w:szCs w:val="21"/>
              </w:rPr>
            </w:pPr>
            <w:r>
              <w:rPr>
                <w:rFonts w:eastAsiaTheme="minorEastAsia"/>
                <w:sz w:val="21"/>
                <w:szCs w:val="21"/>
              </w:rPr>
              <w:t>-1LP</w:t>
            </w:r>
          </w:p>
        </w:tc>
        <w:tc>
          <w:tcPr>
            <w:tcW w:w="968" w:type="dxa"/>
            <w:vAlign w:val="center"/>
          </w:tcPr>
          <w:p w14:paraId="1D3E91E5">
            <w:pPr>
              <w:pStyle w:val="64"/>
              <w:spacing w:before="0" w:beforeLines="0"/>
              <w:ind w:firstLine="0" w:firstLineChars="0"/>
              <w:jc w:val="center"/>
              <w:rPr>
                <w:rFonts w:eastAsiaTheme="minorEastAsia"/>
                <w:b/>
                <w:bCs/>
                <w:sz w:val="21"/>
                <w:szCs w:val="21"/>
              </w:rPr>
            </w:pPr>
          </w:p>
        </w:tc>
        <w:tc>
          <w:tcPr>
            <w:tcW w:w="1129" w:type="dxa"/>
            <w:vAlign w:val="center"/>
          </w:tcPr>
          <w:p w14:paraId="1D3E91E6">
            <w:pPr>
              <w:pStyle w:val="64"/>
              <w:spacing w:before="0" w:beforeLines="0"/>
              <w:ind w:firstLine="0" w:firstLineChars="0"/>
              <w:jc w:val="center"/>
              <w:rPr>
                <w:rFonts w:eastAsiaTheme="minorEastAsia"/>
                <w:b/>
                <w:bCs/>
                <w:sz w:val="21"/>
                <w:szCs w:val="21"/>
              </w:rPr>
            </w:pPr>
          </w:p>
        </w:tc>
        <w:tc>
          <w:tcPr>
            <w:tcW w:w="807" w:type="dxa"/>
            <w:vAlign w:val="center"/>
          </w:tcPr>
          <w:p w14:paraId="1D3E91E7">
            <w:pPr>
              <w:pStyle w:val="64"/>
              <w:spacing w:before="0" w:beforeLines="0"/>
              <w:ind w:firstLine="0" w:firstLineChars="0"/>
              <w:jc w:val="center"/>
              <w:rPr>
                <w:rFonts w:eastAsiaTheme="minorEastAsia"/>
                <w:b/>
                <w:bCs/>
                <w:sz w:val="21"/>
                <w:szCs w:val="21"/>
              </w:rPr>
            </w:pPr>
            <w:r>
              <w:rPr>
                <w:rFonts w:eastAsiaTheme="minorEastAsia"/>
                <w:sz w:val="21"/>
                <w:szCs w:val="21"/>
              </w:rPr>
              <w:t>-1LP</w:t>
            </w:r>
          </w:p>
        </w:tc>
        <w:tc>
          <w:tcPr>
            <w:tcW w:w="969" w:type="dxa"/>
            <w:tcBorders>
              <w:right w:val="single" w:color="auto" w:sz="8" w:space="0"/>
            </w:tcBorders>
            <w:vAlign w:val="center"/>
          </w:tcPr>
          <w:p w14:paraId="1D3E91E8">
            <w:pPr>
              <w:pStyle w:val="64"/>
              <w:spacing w:before="0" w:beforeLines="0"/>
              <w:ind w:firstLine="0" w:firstLineChars="0"/>
              <w:jc w:val="center"/>
              <w:rPr>
                <w:rFonts w:eastAsiaTheme="minorEastAsia"/>
                <w:b/>
                <w:bCs/>
                <w:sz w:val="21"/>
                <w:szCs w:val="21"/>
              </w:rPr>
            </w:pPr>
          </w:p>
        </w:tc>
      </w:tr>
      <w:tr w14:paraId="1D3E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67" w:type="dxa"/>
            <w:vMerge w:val="continue"/>
            <w:tcBorders>
              <w:left w:val="single" w:color="auto" w:sz="8" w:space="0"/>
            </w:tcBorders>
            <w:vAlign w:val="center"/>
          </w:tcPr>
          <w:p w14:paraId="1D3E91EA">
            <w:pPr>
              <w:pStyle w:val="64"/>
              <w:spacing w:before="0" w:beforeLines="0"/>
              <w:ind w:firstLine="0" w:firstLineChars="0"/>
              <w:jc w:val="center"/>
              <w:rPr>
                <w:rFonts w:eastAsiaTheme="minorEastAsia"/>
                <w:b/>
                <w:bCs/>
                <w:sz w:val="21"/>
                <w:szCs w:val="21"/>
              </w:rPr>
            </w:pPr>
          </w:p>
        </w:tc>
        <w:tc>
          <w:tcPr>
            <w:tcW w:w="968" w:type="dxa"/>
            <w:vAlign w:val="center"/>
          </w:tcPr>
          <w:p w14:paraId="1D3E91EB">
            <w:pPr>
              <w:pStyle w:val="64"/>
              <w:spacing w:before="0" w:beforeLines="0"/>
              <w:ind w:firstLine="0" w:firstLineChars="0"/>
              <w:jc w:val="center"/>
              <w:rPr>
                <w:rFonts w:eastAsiaTheme="minorEastAsia"/>
                <w:b/>
                <w:bCs/>
                <w:sz w:val="21"/>
                <w:szCs w:val="21"/>
              </w:rPr>
            </w:pPr>
            <w:r>
              <w:rPr>
                <w:rFonts w:eastAsiaTheme="minorEastAsia"/>
                <w:sz w:val="21"/>
                <w:szCs w:val="21"/>
              </w:rPr>
              <w:t>声环境</w:t>
            </w:r>
          </w:p>
        </w:tc>
        <w:tc>
          <w:tcPr>
            <w:tcW w:w="968" w:type="dxa"/>
            <w:vAlign w:val="center"/>
          </w:tcPr>
          <w:p w14:paraId="1D3E91EC">
            <w:pPr>
              <w:pStyle w:val="64"/>
              <w:spacing w:before="0" w:beforeLines="0"/>
              <w:ind w:firstLine="0" w:firstLineChars="0"/>
              <w:jc w:val="center"/>
              <w:rPr>
                <w:rFonts w:eastAsiaTheme="minorEastAsia"/>
                <w:b/>
                <w:bCs/>
                <w:sz w:val="21"/>
                <w:szCs w:val="21"/>
              </w:rPr>
            </w:pPr>
            <w:r>
              <w:rPr>
                <w:rFonts w:eastAsiaTheme="minorEastAsia"/>
                <w:sz w:val="21"/>
                <w:szCs w:val="21"/>
              </w:rPr>
              <w:t>-1SP</w:t>
            </w:r>
          </w:p>
        </w:tc>
        <w:tc>
          <w:tcPr>
            <w:tcW w:w="968" w:type="dxa"/>
            <w:vAlign w:val="center"/>
          </w:tcPr>
          <w:p w14:paraId="1D3E91ED">
            <w:pPr>
              <w:pStyle w:val="64"/>
              <w:spacing w:before="0" w:beforeLines="0"/>
              <w:ind w:firstLine="0" w:firstLineChars="0"/>
              <w:jc w:val="center"/>
              <w:rPr>
                <w:rFonts w:eastAsiaTheme="minorEastAsia"/>
                <w:b/>
                <w:bCs/>
                <w:sz w:val="21"/>
                <w:szCs w:val="21"/>
              </w:rPr>
            </w:pPr>
          </w:p>
        </w:tc>
        <w:tc>
          <w:tcPr>
            <w:tcW w:w="968" w:type="dxa"/>
            <w:vAlign w:val="center"/>
          </w:tcPr>
          <w:p w14:paraId="1D3E91EE">
            <w:pPr>
              <w:pStyle w:val="64"/>
              <w:spacing w:before="0" w:beforeLines="0"/>
              <w:ind w:firstLine="0" w:firstLineChars="0"/>
              <w:jc w:val="center"/>
              <w:rPr>
                <w:rFonts w:eastAsiaTheme="minorEastAsia"/>
                <w:b/>
                <w:bCs/>
                <w:sz w:val="21"/>
                <w:szCs w:val="21"/>
              </w:rPr>
            </w:pPr>
          </w:p>
        </w:tc>
        <w:tc>
          <w:tcPr>
            <w:tcW w:w="968" w:type="dxa"/>
            <w:vAlign w:val="center"/>
          </w:tcPr>
          <w:p w14:paraId="1D3E91EF">
            <w:pPr>
              <w:pStyle w:val="64"/>
              <w:spacing w:before="0" w:beforeLines="0"/>
              <w:ind w:firstLine="0" w:firstLineChars="0"/>
              <w:jc w:val="center"/>
              <w:rPr>
                <w:rFonts w:eastAsiaTheme="minorEastAsia"/>
                <w:b/>
                <w:bCs/>
                <w:sz w:val="21"/>
                <w:szCs w:val="21"/>
              </w:rPr>
            </w:pPr>
          </w:p>
        </w:tc>
        <w:tc>
          <w:tcPr>
            <w:tcW w:w="1129" w:type="dxa"/>
            <w:vAlign w:val="center"/>
          </w:tcPr>
          <w:p w14:paraId="1D3E91F0">
            <w:pPr>
              <w:pStyle w:val="64"/>
              <w:spacing w:before="0" w:beforeLines="0"/>
              <w:ind w:firstLine="0" w:firstLineChars="0"/>
              <w:jc w:val="center"/>
              <w:rPr>
                <w:rFonts w:eastAsiaTheme="minorEastAsia"/>
                <w:b/>
                <w:bCs/>
                <w:sz w:val="21"/>
                <w:szCs w:val="21"/>
              </w:rPr>
            </w:pPr>
            <w:r>
              <w:rPr>
                <w:rFonts w:eastAsiaTheme="minorEastAsia"/>
                <w:sz w:val="21"/>
                <w:szCs w:val="21"/>
              </w:rPr>
              <w:t>-1LP</w:t>
            </w:r>
          </w:p>
        </w:tc>
        <w:tc>
          <w:tcPr>
            <w:tcW w:w="807" w:type="dxa"/>
            <w:vAlign w:val="center"/>
          </w:tcPr>
          <w:p w14:paraId="1D3E91F1">
            <w:pPr>
              <w:pStyle w:val="64"/>
              <w:spacing w:before="0" w:beforeLines="0"/>
              <w:ind w:firstLine="0" w:firstLineChars="0"/>
              <w:jc w:val="center"/>
              <w:rPr>
                <w:rFonts w:eastAsiaTheme="minorEastAsia"/>
                <w:b/>
                <w:bCs/>
                <w:sz w:val="21"/>
                <w:szCs w:val="21"/>
              </w:rPr>
            </w:pPr>
            <w:r>
              <w:rPr>
                <w:rFonts w:eastAsiaTheme="minorEastAsia"/>
                <w:sz w:val="21"/>
                <w:szCs w:val="21"/>
              </w:rPr>
              <w:t>-1LP</w:t>
            </w:r>
          </w:p>
        </w:tc>
        <w:tc>
          <w:tcPr>
            <w:tcW w:w="969" w:type="dxa"/>
            <w:tcBorders>
              <w:right w:val="single" w:color="auto" w:sz="8" w:space="0"/>
            </w:tcBorders>
            <w:vAlign w:val="center"/>
          </w:tcPr>
          <w:p w14:paraId="1D3E91F2">
            <w:pPr>
              <w:pStyle w:val="64"/>
              <w:spacing w:before="0" w:beforeLines="0"/>
              <w:ind w:firstLine="0" w:firstLineChars="0"/>
              <w:jc w:val="center"/>
              <w:rPr>
                <w:rFonts w:eastAsiaTheme="minorEastAsia"/>
                <w:b/>
                <w:bCs/>
                <w:sz w:val="21"/>
                <w:szCs w:val="21"/>
              </w:rPr>
            </w:pPr>
          </w:p>
        </w:tc>
      </w:tr>
      <w:tr w14:paraId="1D3E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67" w:type="dxa"/>
            <w:vMerge w:val="continue"/>
            <w:tcBorders>
              <w:left w:val="single" w:color="auto" w:sz="8" w:space="0"/>
            </w:tcBorders>
            <w:vAlign w:val="center"/>
          </w:tcPr>
          <w:p w14:paraId="1D3E91F4">
            <w:pPr>
              <w:pStyle w:val="64"/>
              <w:spacing w:before="0" w:beforeLines="0"/>
              <w:ind w:firstLine="0" w:firstLineChars="0"/>
              <w:jc w:val="center"/>
              <w:rPr>
                <w:rFonts w:eastAsiaTheme="minorEastAsia"/>
                <w:b/>
                <w:bCs/>
                <w:sz w:val="21"/>
                <w:szCs w:val="21"/>
              </w:rPr>
            </w:pPr>
          </w:p>
        </w:tc>
        <w:tc>
          <w:tcPr>
            <w:tcW w:w="968" w:type="dxa"/>
            <w:vAlign w:val="center"/>
          </w:tcPr>
          <w:p w14:paraId="1D3E91F5">
            <w:pPr>
              <w:pStyle w:val="64"/>
              <w:spacing w:before="0" w:beforeLines="0"/>
              <w:ind w:firstLine="0" w:firstLineChars="0"/>
              <w:jc w:val="center"/>
              <w:rPr>
                <w:rFonts w:eastAsiaTheme="minorEastAsia"/>
                <w:b/>
                <w:bCs/>
                <w:sz w:val="21"/>
                <w:szCs w:val="21"/>
              </w:rPr>
            </w:pPr>
            <w:r>
              <w:rPr>
                <w:rFonts w:eastAsiaTheme="minorEastAsia"/>
                <w:sz w:val="21"/>
                <w:szCs w:val="21"/>
              </w:rPr>
              <w:t>地表</w:t>
            </w:r>
          </w:p>
        </w:tc>
        <w:tc>
          <w:tcPr>
            <w:tcW w:w="968" w:type="dxa"/>
            <w:vAlign w:val="center"/>
          </w:tcPr>
          <w:p w14:paraId="1D3E91F6">
            <w:pPr>
              <w:pStyle w:val="64"/>
              <w:spacing w:before="0" w:beforeLines="0"/>
              <w:ind w:firstLine="0" w:firstLineChars="0"/>
              <w:jc w:val="center"/>
              <w:rPr>
                <w:rFonts w:eastAsiaTheme="minorEastAsia"/>
                <w:b/>
                <w:bCs/>
                <w:sz w:val="21"/>
                <w:szCs w:val="21"/>
              </w:rPr>
            </w:pPr>
            <w:r>
              <w:rPr>
                <w:rFonts w:eastAsiaTheme="minorEastAsia"/>
                <w:sz w:val="21"/>
                <w:szCs w:val="21"/>
              </w:rPr>
              <w:t>-1SP</w:t>
            </w:r>
          </w:p>
        </w:tc>
        <w:tc>
          <w:tcPr>
            <w:tcW w:w="968" w:type="dxa"/>
            <w:vAlign w:val="center"/>
          </w:tcPr>
          <w:p w14:paraId="1D3E91F7">
            <w:pPr>
              <w:pStyle w:val="64"/>
              <w:spacing w:before="0" w:beforeLines="0"/>
              <w:ind w:firstLine="0" w:firstLineChars="0"/>
              <w:jc w:val="center"/>
              <w:rPr>
                <w:rFonts w:eastAsiaTheme="minorEastAsia"/>
                <w:b/>
                <w:bCs/>
                <w:sz w:val="21"/>
                <w:szCs w:val="21"/>
              </w:rPr>
            </w:pPr>
          </w:p>
        </w:tc>
        <w:tc>
          <w:tcPr>
            <w:tcW w:w="968" w:type="dxa"/>
            <w:vAlign w:val="center"/>
          </w:tcPr>
          <w:p w14:paraId="1D3E91F8">
            <w:pPr>
              <w:pStyle w:val="64"/>
              <w:spacing w:before="0" w:beforeLines="0"/>
              <w:ind w:firstLine="0" w:firstLineChars="0"/>
              <w:jc w:val="center"/>
              <w:rPr>
                <w:rFonts w:eastAsiaTheme="minorEastAsia"/>
                <w:b/>
                <w:bCs/>
                <w:sz w:val="21"/>
                <w:szCs w:val="21"/>
              </w:rPr>
            </w:pPr>
          </w:p>
        </w:tc>
        <w:tc>
          <w:tcPr>
            <w:tcW w:w="968" w:type="dxa"/>
            <w:vAlign w:val="center"/>
          </w:tcPr>
          <w:p w14:paraId="1D3E91F9">
            <w:pPr>
              <w:pStyle w:val="64"/>
              <w:spacing w:before="0" w:beforeLines="0"/>
              <w:ind w:firstLine="0" w:firstLineChars="0"/>
              <w:jc w:val="center"/>
              <w:rPr>
                <w:rFonts w:eastAsiaTheme="minorEastAsia"/>
                <w:b/>
                <w:bCs/>
                <w:sz w:val="21"/>
                <w:szCs w:val="21"/>
              </w:rPr>
            </w:pPr>
            <w:r>
              <w:rPr>
                <w:rFonts w:eastAsiaTheme="minorEastAsia"/>
                <w:sz w:val="21"/>
                <w:szCs w:val="21"/>
              </w:rPr>
              <w:t>-1LP</w:t>
            </w:r>
          </w:p>
        </w:tc>
        <w:tc>
          <w:tcPr>
            <w:tcW w:w="1129" w:type="dxa"/>
            <w:vAlign w:val="center"/>
          </w:tcPr>
          <w:p w14:paraId="1D3E91FA">
            <w:pPr>
              <w:pStyle w:val="64"/>
              <w:spacing w:before="0" w:beforeLines="0"/>
              <w:ind w:firstLine="0" w:firstLineChars="0"/>
              <w:jc w:val="center"/>
              <w:rPr>
                <w:rFonts w:eastAsiaTheme="minorEastAsia"/>
                <w:b/>
                <w:bCs/>
                <w:sz w:val="21"/>
                <w:szCs w:val="21"/>
              </w:rPr>
            </w:pPr>
          </w:p>
        </w:tc>
        <w:tc>
          <w:tcPr>
            <w:tcW w:w="807" w:type="dxa"/>
            <w:vAlign w:val="center"/>
          </w:tcPr>
          <w:p w14:paraId="1D3E91FB">
            <w:pPr>
              <w:pStyle w:val="64"/>
              <w:spacing w:before="0" w:beforeLines="0"/>
              <w:ind w:firstLine="0" w:firstLineChars="0"/>
              <w:jc w:val="center"/>
              <w:rPr>
                <w:rFonts w:eastAsiaTheme="minorEastAsia"/>
                <w:b/>
                <w:bCs/>
                <w:sz w:val="21"/>
                <w:szCs w:val="21"/>
              </w:rPr>
            </w:pPr>
          </w:p>
        </w:tc>
        <w:tc>
          <w:tcPr>
            <w:tcW w:w="969" w:type="dxa"/>
            <w:tcBorders>
              <w:right w:val="single" w:color="auto" w:sz="8" w:space="0"/>
            </w:tcBorders>
            <w:vAlign w:val="center"/>
          </w:tcPr>
          <w:p w14:paraId="1D3E91FC">
            <w:pPr>
              <w:pStyle w:val="64"/>
              <w:spacing w:before="0" w:beforeLines="0"/>
              <w:ind w:firstLine="0" w:firstLineChars="0"/>
              <w:jc w:val="center"/>
              <w:rPr>
                <w:rFonts w:eastAsiaTheme="minorEastAsia"/>
                <w:b/>
                <w:bCs/>
                <w:sz w:val="21"/>
                <w:szCs w:val="21"/>
              </w:rPr>
            </w:pPr>
          </w:p>
        </w:tc>
      </w:tr>
      <w:tr w14:paraId="1D3E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67" w:type="dxa"/>
            <w:vMerge w:val="continue"/>
            <w:tcBorders>
              <w:left w:val="single" w:color="auto" w:sz="8" w:space="0"/>
            </w:tcBorders>
            <w:vAlign w:val="center"/>
          </w:tcPr>
          <w:p w14:paraId="1D3E91FE">
            <w:pPr>
              <w:pStyle w:val="64"/>
              <w:spacing w:before="0" w:beforeLines="0"/>
              <w:ind w:firstLine="0" w:firstLineChars="0"/>
              <w:jc w:val="center"/>
              <w:rPr>
                <w:rFonts w:eastAsiaTheme="minorEastAsia"/>
                <w:b/>
                <w:bCs/>
                <w:sz w:val="21"/>
                <w:szCs w:val="21"/>
              </w:rPr>
            </w:pPr>
          </w:p>
        </w:tc>
        <w:tc>
          <w:tcPr>
            <w:tcW w:w="968" w:type="dxa"/>
            <w:vAlign w:val="center"/>
          </w:tcPr>
          <w:p w14:paraId="1D3E91FF">
            <w:pPr>
              <w:pStyle w:val="64"/>
              <w:spacing w:before="0" w:beforeLines="0"/>
              <w:ind w:firstLine="0" w:firstLineChars="0"/>
              <w:jc w:val="center"/>
              <w:rPr>
                <w:rFonts w:eastAsiaTheme="minorEastAsia"/>
                <w:b/>
                <w:bCs/>
                <w:sz w:val="21"/>
                <w:szCs w:val="21"/>
              </w:rPr>
            </w:pPr>
            <w:r>
              <w:rPr>
                <w:rFonts w:eastAsiaTheme="minorEastAsia"/>
                <w:sz w:val="21"/>
                <w:szCs w:val="21"/>
              </w:rPr>
              <w:t>土壤</w:t>
            </w:r>
          </w:p>
        </w:tc>
        <w:tc>
          <w:tcPr>
            <w:tcW w:w="968" w:type="dxa"/>
            <w:vAlign w:val="center"/>
          </w:tcPr>
          <w:p w14:paraId="1D3E9200">
            <w:pPr>
              <w:pStyle w:val="64"/>
              <w:spacing w:before="0" w:beforeLines="0"/>
              <w:ind w:firstLine="0" w:firstLineChars="0"/>
              <w:jc w:val="center"/>
              <w:rPr>
                <w:rFonts w:eastAsiaTheme="minorEastAsia"/>
                <w:b/>
                <w:bCs/>
                <w:sz w:val="21"/>
                <w:szCs w:val="21"/>
              </w:rPr>
            </w:pPr>
            <w:r>
              <w:rPr>
                <w:rFonts w:eastAsiaTheme="minorEastAsia"/>
                <w:sz w:val="21"/>
                <w:szCs w:val="21"/>
              </w:rPr>
              <w:t>-1SP</w:t>
            </w:r>
          </w:p>
        </w:tc>
        <w:tc>
          <w:tcPr>
            <w:tcW w:w="968" w:type="dxa"/>
            <w:vAlign w:val="center"/>
          </w:tcPr>
          <w:p w14:paraId="1D3E9201">
            <w:pPr>
              <w:pStyle w:val="64"/>
              <w:spacing w:before="0" w:beforeLines="0"/>
              <w:ind w:firstLine="0" w:firstLineChars="0"/>
              <w:jc w:val="center"/>
              <w:rPr>
                <w:rFonts w:eastAsiaTheme="minorEastAsia"/>
                <w:b/>
                <w:bCs/>
                <w:sz w:val="21"/>
                <w:szCs w:val="21"/>
              </w:rPr>
            </w:pPr>
          </w:p>
        </w:tc>
        <w:tc>
          <w:tcPr>
            <w:tcW w:w="968" w:type="dxa"/>
            <w:vAlign w:val="center"/>
          </w:tcPr>
          <w:p w14:paraId="1D3E9202">
            <w:pPr>
              <w:pStyle w:val="64"/>
              <w:spacing w:before="0" w:beforeLines="0"/>
              <w:ind w:firstLine="0" w:firstLineChars="0"/>
              <w:jc w:val="center"/>
              <w:rPr>
                <w:rFonts w:eastAsiaTheme="minorEastAsia"/>
                <w:b/>
                <w:bCs/>
                <w:sz w:val="21"/>
                <w:szCs w:val="21"/>
              </w:rPr>
            </w:pPr>
            <w:r>
              <w:rPr>
                <w:rFonts w:eastAsiaTheme="minorEastAsia"/>
                <w:sz w:val="21"/>
                <w:szCs w:val="21"/>
              </w:rPr>
              <w:t>-1LP</w:t>
            </w:r>
          </w:p>
        </w:tc>
        <w:tc>
          <w:tcPr>
            <w:tcW w:w="968" w:type="dxa"/>
            <w:vAlign w:val="center"/>
          </w:tcPr>
          <w:p w14:paraId="1D3E9203">
            <w:pPr>
              <w:pStyle w:val="64"/>
              <w:spacing w:before="0" w:beforeLines="0"/>
              <w:ind w:firstLine="0" w:firstLineChars="0"/>
              <w:jc w:val="center"/>
              <w:rPr>
                <w:rFonts w:eastAsiaTheme="minorEastAsia"/>
                <w:b/>
                <w:bCs/>
                <w:sz w:val="21"/>
                <w:szCs w:val="21"/>
              </w:rPr>
            </w:pPr>
          </w:p>
        </w:tc>
        <w:tc>
          <w:tcPr>
            <w:tcW w:w="1129" w:type="dxa"/>
            <w:vAlign w:val="center"/>
          </w:tcPr>
          <w:p w14:paraId="1D3E9204">
            <w:pPr>
              <w:pStyle w:val="64"/>
              <w:spacing w:before="0" w:beforeLines="0"/>
              <w:ind w:firstLine="0" w:firstLineChars="0"/>
              <w:jc w:val="center"/>
              <w:rPr>
                <w:rFonts w:eastAsiaTheme="minorEastAsia"/>
                <w:b/>
                <w:bCs/>
                <w:sz w:val="21"/>
                <w:szCs w:val="21"/>
              </w:rPr>
            </w:pPr>
          </w:p>
        </w:tc>
        <w:tc>
          <w:tcPr>
            <w:tcW w:w="807" w:type="dxa"/>
            <w:vAlign w:val="center"/>
          </w:tcPr>
          <w:p w14:paraId="1D3E9205">
            <w:pPr>
              <w:pStyle w:val="64"/>
              <w:spacing w:before="0" w:beforeLines="0"/>
              <w:ind w:firstLine="0" w:firstLineChars="0"/>
              <w:jc w:val="center"/>
              <w:rPr>
                <w:rFonts w:eastAsiaTheme="minorEastAsia"/>
                <w:b/>
                <w:bCs/>
                <w:sz w:val="21"/>
                <w:szCs w:val="21"/>
              </w:rPr>
            </w:pPr>
          </w:p>
        </w:tc>
        <w:tc>
          <w:tcPr>
            <w:tcW w:w="969" w:type="dxa"/>
            <w:tcBorders>
              <w:right w:val="single" w:color="auto" w:sz="8" w:space="0"/>
            </w:tcBorders>
            <w:vAlign w:val="center"/>
          </w:tcPr>
          <w:p w14:paraId="1D3E9206">
            <w:pPr>
              <w:pStyle w:val="64"/>
              <w:spacing w:before="0" w:beforeLines="0"/>
              <w:ind w:firstLine="0" w:firstLineChars="0"/>
              <w:jc w:val="center"/>
              <w:rPr>
                <w:rFonts w:eastAsiaTheme="minorEastAsia"/>
                <w:b/>
                <w:bCs/>
                <w:sz w:val="21"/>
                <w:szCs w:val="21"/>
              </w:rPr>
            </w:pPr>
          </w:p>
        </w:tc>
      </w:tr>
      <w:tr w14:paraId="1D3E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67" w:type="dxa"/>
            <w:vMerge w:val="continue"/>
            <w:tcBorders>
              <w:left w:val="single" w:color="auto" w:sz="8" w:space="0"/>
              <w:bottom w:val="single" w:color="auto" w:sz="8" w:space="0"/>
            </w:tcBorders>
            <w:vAlign w:val="center"/>
          </w:tcPr>
          <w:p w14:paraId="1D3E9208">
            <w:pPr>
              <w:pStyle w:val="64"/>
              <w:spacing w:before="0" w:beforeLines="0"/>
              <w:ind w:firstLine="0" w:firstLineChars="0"/>
              <w:jc w:val="center"/>
              <w:rPr>
                <w:rFonts w:eastAsiaTheme="minorEastAsia"/>
                <w:b/>
                <w:bCs/>
                <w:sz w:val="21"/>
                <w:szCs w:val="21"/>
              </w:rPr>
            </w:pPr>
          </w:p>
        </w:tc>
        <w:tc>
          <w:tcPr>
            <w:tcW w:w="968" w:type="dxa"/>
            <w:tcBorders>
              <w:bottom w:val="single" w:color="auto" w:sz="8" w:space="0"/>
            </w:tcBorders>
            <w:vAlign w:val="center"/>
          </w:tcPr>
          <w:p w14:paraId="1D3E9209">
            <w:pPr>
              <w:pStyle w:val="64"/>
              <w:spacing w:before="0" w:beforeLines="0"/>
              <w:ind w:firstLine="0" w:firstLineChars="0"/>
              <w:jc w:val="center"/>
              <w:rPr>
                <w:rFonts w:eastAsiaTheme="minorEastAsia"/>
                <w:b/>
                <w:bCs/>
                <w:sz w:val="21"/>
                <w:szCs w:val="21"/>
              </w:rPr>
            </w:pPr>
            <w:r>
              <w:rPr>
                <w:rFonts w:eastAsiaTheme="minorEastAsia"/>
                <w:sz w:val="21"/>
                <w:szCs w:val="21"/>
              </w:rPr>
              <w:t>植被</w:t>
            </w:r>
          </w:p>
        </w:tc>
        <w:tc>
          <w:tcPr>
            <w:tcW w:w="968" w:type="dxa"/>
            <w:tcBorders>
              <w:bottom w:val="single" w:color="auto" w:sz="8" w:space="0"/>
            </w:tcBorders>
            <w:vAlign w:val="center"/>
          </w:tcPr>
          <w:p w14:paraId="1D3E920A">
            <w:pPr>
              <w:pStyle w:val="64"/>
              <w:spacing w:before="0" w:beforeLines="0"/>
              <w:ind w:firstLine="0" w:firstLineChars="0"/>
              <w:jc w:val="center"/>
              <w:rPr>
                <w:rFonts w:eastAsiaTheme="minorEastAsia"/>
                <w:b/>
                <w:bCs/>
                <w:sz w:val="21"/>
                <w:szCs w:val="21"/>
              </w:rPr>
            </w:pPr>
          </w:p>
        </w:tc>
        <w:tc>
          <w:tcPr>
            <w:tcW w:w="968" w:type="dxa"/>
            <w:tcBorders>
              <w:bottom w:val="single" w:color="auto" w:sz="8" w:space="0"/>
            </w:tcBorders>
            <w:vAlign w:val="center"/>
          </w:tcPr>
          <w:p w14:paraId="1D3E920B">
            <w:pPr>
              <w:pStyle w:val="64"/>
              <w:spacing w:before="0" w:beforeLines="0"/>
              <w:ind w:firstLine="0" w:firstLineChars="0"/>
              <w:jc w:val="center"/>
              <w:rPr>
                <w:rFonts w:eastAsiaTheme="minorEastAsia"/>
                <w:b/>
                <w:bCs/>
                <w:sz w:val="21"/>
                <w:szCs w:val="21"/>
              </w:rPr>
            </w:pPr>
          </w:p>
        </w:tc>
        <w:tc>
          <w:tcPr>
            <w:tcW w:w="968" w:type="dxa"/>
            <w:tcBorders>
              <w:bottom w:val="single" w:color="auto" w:sz="8" w:space="0"/>
            </w:tcBorders>
            <w:vAlign w:val="center"/>
          </w:tcPr>
          <w:p w14:paraId="1D3E920C">
            <w:pPr>
              <w:pStyle w:val="64"/>
              <w:spacing w:before="0" w:beforeLines="0"/>
              <w:ind w:firstLine="0" w:firstLineChars="0"/>
              <w:jc w:val="center"/>
              <w:rPr>
                <w:rFonts w:eastAsiaTheme="minorEastAsia"/>
                <w:b/>
                <w:bCs/>
                <w:sz w:val="21"/>
                <w:szCs w:val="21"/>
              </w:rPr>
            </w:pPr>
            <w:r>
              <w:rPr>
                <w:rFonts w:eastAsiaTheme="minorEastAsia"/>
                <w:sz w:val="21"/>
                <w:szCs w:val="21"/>
              </w:rPr>
              <w:t>-1LP</w:t>
            </w:r>
          </w:p>
        </w:tc>
        <w:tc>
          <w:tcPr>
            <w:tcW w:w="968" w:type="dxa"/>
            <w:tcBorders>
              <w:bottom w:val="single" w:color="auto" w:sz="8" w:space="0"/>
            </w:tcBorders>
            <w:vAlign w:val="center"/>
          </w:tcPr>
          <w:p w14:paraId="1D3E920D">
            <w:pPr>
              <w:pStyle w:val="64"/>
              <w:spacing w:before="0" w:beforeLines="0"/>
              <w:ind w:firstLine="0" w:firstLineChars="0"/>
              <w:jc w:val="center"/>
              <w:rPr>
                <w:rFonts w:eastAsiaTheme="minorEastAsia"/>
                <w:b/>
                <w:bCs/>
                <w:sz w:val="21"/>
                <w:szCs w:val="21"/>
              </w:rPr>
            </w:pPr>
          </w:p>
        </w:tc>
        <w:tc>
          <w:tcPr>
            <w:tcW w:w="1129" w:type="dxa"/>
            <w:tcBorders>
              <w:bottom w:val="single" w:color="auto" w:sz="8" w:space="0"/>
            </w:tcBorders>
            <w:vAlign w:val="center"/>
          </w:tcPr>
          <w:p w14:paraId="1D3E920E">
            <w:pPr>
              <w:pStyle w:val="64"/>
              <w:spacing w:before="0" w:beforeLines="0"/>
              <w:ind w:firstLine="0" w:firstLineChars="0"/>
              <w:jc w:val="center"/>
              <w:rPr>
                <w:rFonts w:eastAsiaTheme="minorEastAsia"/>
                <w:b/>
                <w:bCs/>
                <w:sz w:val="21"/>
                <w:szCs w:val="21"/>
              </w:rPr>
            </w:pPr>
          </w:p>
        </w:tc>
        <w:tc>
          <w:tcPr>
            <w:tcW w:w="807" w:type="dxa"/>
            <w:tcBorders>
              <w:bottom w:val="single" w:color="auto" w:sz="8" w:space="0"/>
            </w:tcBorders>
            <w:vAlign w:val="center"/>
          </w:tcPr>
          <w:p w14:paraId="1D3E920F">
            <w:pPr>
              <w:pStyle w:val="64"/>
              <w:spacing w:before="0" w:beforeLines="0"/>
              <w:ind w:firstLine="0" w:firstLineChars="0"/>
              <w:jc w:val="center"/>
              <w:rPr>
                <w:rFonts w:eastAsiaTheme="minorEastAsia"/>
                <w:b/>
                <w:bCs/>
                <w:sz w:val="21"/>
                <w:szCs w:val="21"/>
              </w:rPr>
            </w:pPr>
          </w:p>
        </w:tc>
        <w:tc>
          <w:tcPr>
            <w:tcW w:w="969" w:type="dxa"/>
            <w:tcBorders>
              <w:bottom w:val="single" w:color="auto" w:sz="8" w:space="0"/>
              <w:right w:val="single" w:color="auto" w:sz="8" w:space="0"/>
            </w:tcBorders>
            <w:vAlign w:val="center"/>
          </w:tcPr>
          <w:p w14:paraId="1D3E9210">
            <w:pPr>
              <w:pStyle w:val="64"/>
              <w:spacing w:before="0" w:beforeLines="0"/>
              <w:ind w:firstLine="0" w:firstLineChars="0"/>
              <w:jc w:val="center"/>
              <w:rPr>
                <w:rFonts w:eastAsiaTheme="minorEastAsia"/>
                <w:b/>
                <w:bCs/>
                <w:sz w:val="21"/>
                <w:szCs w:val="21"/>
              </w:rPr>
            </w:pPr>
          </w:p>
        </w:tc>
      </w:tr>
    </w:tbl>
    <w:p w14:paraId="1D3E9212">
      <w:pPr>
        <w:pStyle w:val="96"/>
        <w:ind w:firstLine="422"/>
      </w:pPr>
      <w:r>
        <w:t>备注：影响程度：1-轻微；2-一般；3-显著影响时段：S-短期；L-长期</w:t>
      </w:r>
    </w:p>
    <w:p w14:paraId="1D3E9213">
      <w:pPr>
        <w:pStyle w:val="96"/>
        <w:ind w:firstLine="422"/>
      </w:pPr>
      <w:r>
        <w:t>影响范围：P-局部；W-大范围影响性质：+-有利；--不利</w:t>
      </w:r>
    </w:p>
    <w:p w14:paraId="1D3E9214">
      <w:pPr>
        <w:ind w:firstLine="480"/>
      </w:pPr>
      <w:r>
        <w:t>由上表可以看出，本工程在施工期对周围自然环境的影响是短期、局部的，工程运行期主要是工程废气、废水对区域环境空气、地表水和地下水的不利影响。评价把废水污染控制可行性及可靠性作为重点内容。</w:t>
      </w:r>
    </w:p>
    <w:p w14:paraId="1D3E9215">
      <w:pPr>
        <w:pStyle w:val="5"/>
        <w:spacing w:before="323" w:after="323"/>
      </w:pPr>
      <w:bookmarkStart w:id="78" w:name="_Toc428287163"/>
      <w:bookmarkStart w:id="79" w:name="_Toc428287515"/>
      <w:bookmarkStart w:id="80" w:name="_Toc428286769"/>
      <w:r>
        <w:t>环境影响因子筛选</w:t>
      </w:r>
      <w:bookmarkEnd w:id="78"/>
      <w:bookmarkEnd w:id="79"/>
      <w:bookmarkEnd w:id="80"/>
    </w:p>
    <w:p w14:paraId="1D3E9216">
      <w:pPr>
        <w:ind w:firstLine="480"/>
      </w:pPr>
      <w:r>
        <w:t>根据本项目污染源分析及环境影响因子识别，依据国家有关环保标准、规定所列控制指标，并结合项目所处区域环境特征，筛选出本项目评价因子见下表。</w:t>
      </w:r>
    </w:p>
    <w:p w14:paraId="252C282B">
      <w:pPr>
        <w:pStyle w:val="64"/>
        <w:numPr>
          <w:ilvl w:val="0"/>
          <w:numId w:val="4"/>
        </w:numPr>
        <w:spacing w:before="0" w:beforeLines="0"/>
        <w:ind w:firstLineChars="0"/>
      </w:pPr>
      <w:r>
        <w:t xml:space="preserve">                  评价因子一览表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5661"/>
        <w:gridCol w:w="1922"/>
      </w:tblGrid>
      <w:tr w14:paraId="5D748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vAlign w:val="center"/>
          </w:tcPr>
          <w:p w14:paraId="2A0DAE26">
            <w:pPr>
              <w:pStyle w:val="67"/>
              <w:rPr>
                <w:rFonts w:cs="Times New Roman"/>
                <w:color w:val="auto"/>
              </w:rPr>
            </w:pPr>
            <w:r>
              <w:rPr>
                <w:rFonts w:cs="Times New Roman"/>
                <w:color w:val="auto"/>
              </w:rPr>
              <w:t>评价要素</w:t>
            </w:r>
          </w:p>
        </w:tc>
        <w:tc>
          <w:tcPr>
            <w:tcW w:w="3163" w:type="pct"/>
            <w:vAlign w:val="center"/>
          </w:tcPr>
          <w:p w14:paraId="69DEA7F1">
            <w:pPr>
              <w:pStyle w:val="67"/>
              <w:rPr>
                <w:rFonts w:cs="Times New Roman"/>
                <w:color w:val="auto"/>
              </w:rPr>
            </w:pPr>
            <w:r>
              <w:rPr>
                <w:rFonts w:cs="Times New Roman"/>
                <w:color w:val="auto"/>
              </w:rPr>
              <w:t>评价因子</w:t>
            </w:r>
          </w:p>
        </w:tc>
        <w:tc>
          <w:tcPr>
            <w:tcW w:w="1074" w:type="pct"/>
            <w:vAlign w:val="center"/>
          </w:tcPr>
          <w:p w14:paraId="1DDDB4F9">
            <w:pPr>
              <w:pStyle w:val="67"/>
              <w:rPr>
                <w:rFonts w:cs="Times New Roman"/>
                <w:color w:val="auto"/>
              </w:rPr>
            </w:pPr>
            <w:r>
              <w:rPr>
                <w:rFonts w:cs="Times New Roman"/>
                <w:color w:val="auto"/>
              </w:rPr>
              <w:t>预测因子</w:t>
            </w:r>
          </w:p>
        </w:tc>
      </w:tr>
      <w:tr w14:paraId="2DD58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vAlign w:val="center"/>
          </w:tcPr>
          <w:p w14:paraId="5A8F7646">
            <w:pPr>
              <w:pStyle w:val="62"/>
            </w:pPr>
            <w:r>
              <w:t>环境空气</w:t>
            </w:r>
          </w:p>
        </w:tc>
        <w:tc>
          <w:tcPr>
            <w:tcW w:w="3163" w:type="pct"/>
            <w:vAlign w:val="center"/>
          </w:tcPr>
          <w:p w14:paraId="4CB939D7">
            <w:pPr>
              <w:pStyle w:val="62"/>
            </w:pPr>
            <w:r>
              <w:t>PM</w:t>
            </w:r>
            <w:r>
              <w:rPr>
                <w:vertAlign w:val="subscript"/>
              </w:rPr>
              <w:t>10</w:t>
            </w:r>
            <w:r>
              <w:t>、PM</w:t>
            </w:r>
            <w:r>
              <w:rPr>
                <w:vertAlign w:val="subscript"/>
              </w:rPr>
              <w:t>2.5</w:t>
            </w:r>
            <w:r>
              <w:t>、SO</w:t>
            </w:r>
            <w:r>
              <w:rPr>
                <w:vertAlign w:val="subscript"/>
              </w:rPr>
              <w:t>2</w:t>
            </w:r>
            <w:r>
              <w:t>、NO</w:t>
            </w:r>
            <w:r>
              <w:rPr>
                <w:vertAlign w:val="subscript"/>
              </w:rPr>
              <w:t>2</w:t>
            </w:r>
            <w:r>
              <w:t>、CO、O</w:t>
            </w:r>
            <w:r>
              <w:rPr>
                <w:vertAlign w:val="subscript"/>
              </w:rPr>
              <w:t>3</w:t>
            </w:r>
            <w:r>
              <w:t>、</w:t>
            </w:r>
            <w:r>
              <w:rPr>
                <w:rFonts w:hint="eastAsia"/>
              </w:rPr>
              <w:t>硫酸</w:t>
            </w:r>
            <w:r>
              <w:t>、</w:t>
            </w:r>
            <w:r>
              <w:rPr>
                <w:rFonts w:hint="eastAsia"/>
              </w:rPr>
              <w:t>氨、硫化氢、臭气浓度、非甲烷总烃</w:t>
            </w:r>
          </w:p>
        </w:tc>
        <w:tc>
          <w:tcPr>
            <w:tcW w:w="1074" w:type="pct"/>
            <w:vAlign w:val="center"/>
          </w:tcPr>
          <w:p w14:paraId="78ECC1D9">
            <w:pPr>
              <w:pStyle w:val="62"/>
            </w:pPr>
            <w:r>
              <w:t>PM</w:t>
            </w:r>
            <w:r>
              <w:rPr>
                <w:vertAlign w:val="subscript"/>
              </w:rPr>
              <w:t>10</w:t>
            </w:r>
            <w:r>
              <w:t>、</w:t>
            </w:r>
            <w:r>
              <w:rPr>
                <w:rFonts w:hint="eastAsia"/>
              </w:rPr>
              <w:t>硫酸、非甲烷总烃</w:t>
            </w:r>
          </w:p>
        </w:tc>
      </w:tr>
      <w:tr w14:paraId="289A7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vAlign w:val="center"/>
          </w:tcPr>
          <w:p w14:paraId="74774A77">
            <w:pPr>
              <w:pStyle w:val="62"/>
            </w:pPr>
            <w:r>
              <w:t>声环境</w:t>
            </w:r>
          </w:p>
        </w:tc>
        <w:tc>
          <w:tcPr>
            <w:tcW w:w="3163" w:type="pct"/>
            <w:vAlign w:val="center"/>
          </w:tcPr>
          <w:p w14:paraId="1F70A048">
            <w:pPr>
              <w:pStyle w:val="62"/>
            </w:pPr>
            <w:r>
              <w:t>等效连续A声级</w:t>
            </w:r>
          </w:p>
        </w:tc>
        <w:tc>
          <w:tcPr>
            <w:tcW w:w="1074" w:type="pct"/>
            <w:vAlign w:val="center"/>
          </w:tcPr>
          <w:p w14:paraId="3EC1B71C">
            <w:pPr>
              <w:pStyle w:val="62"/>
            </w:pPr>
            <w:r>
              <w:t>等效连续A声级</w:t>
            </w:r>
          </w:p>
        </w:tc>
      </w:tr>
      <w:tr w14:paraId="144AB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vAlign w:val="center"/>
          </w:tcPr>
          <w:p w14:paraId="489C8DE5">
            <w:pPr>
              <w:pStyle w:val="62"/>
            </w:pPr>
            <w:r>
              <w:t>地表水</w:t>
            </w:r>
          </w:p>
        </w:tc>
        <w:tc>
          <w:tcPr>
            <w:tcW w:w="3163" w:type="pct"/>
            <w:vAlign w:val="center"/>
          </w:tcPr>
          <w:p w14:paraId="38FC64B5">
            <w:pPr>
              <w:pStyle w:val="62"/>
            </w:pPr>
            <w:r>
              <w:t>COD、氨氮、总磷、总氮</w:t>
            </w:r>
          </w:p>
        </w:tc>
        <w:tc>
          <w:tcPr>
            <w:tcW w:w="1074" w:type="pct"/>
            <w:vAlign w:val="center"/>
          </w:tcPr>
          <w:p w14:paraId="45B0376A">
            <w:pPr>
              <w:pStyle w:val="62"/>
            </w:pPr>
            <w:r>
              <w:t>/</w:t>
            </w:r>
          </w:p>
        </w:tc>
      </w:tr>
      <w:tr w14:paraId="79A20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vAlign w:val="center"/>
          </w:tcPr>
          <w:p w14:paraId="11884196">
            <w:pPr>
              <w:pStyle w:val="62"/>
            </w:pPr>
            <w:r>
              <w:t>地下水</w:t>
            </w:r>
          </w:p>
        </w:tc>
        <w:tc>
          <w:tcPr>
            <w:tcW w:w="3163" w:type="pct"/>
            <w:vAlign w:val="center"/>
          </w:tcPr>
          <w:p w14:paraId="3348C38D">
            <w:pPr>
              <w:pStyle w:val="62"/>
              <w:rPr>
                <w:highlight w:val="yellow"/>
              </w:rPr>
            </w:pPr>
            <w:r>
              <w:rPr>
                <w:rFonts w:hint="eastAsia"/>
                <w:kern w:val="2"/>
                <w:szCs w:val="28"/>
              </w:rPr>
              <w:t>K</w:t>
            </w:r>
            <w:r>
              <w:rPr>
                <w:rFonts w:hint="eastAsia"/>
                <w:kern w:val="2"/>
                <w:szCs w:val="28"/>
                <w:vertAlign w:val="superscript"/>
              </w:rPr>
              <w:t>+</w:t>
            </w:r>
            <w:r>
              <w:rPr>
                <w:rFonts w:hint="eastAsia"/>
                <w:kern w:val="2"/>
                <w:szCs w:val="28"/>
              </w:rPr>
              <w:t>、Na</w:t>
            </w:r>
            <w:r>
              <w:rPr>
                <w:rFonts w:hint="eastAsia"/>
                <w:kern w:val="2"/>
                <w:szCs w:val="28"/>
                <w:vertAlign w:val="superscript"/>
              </w:rPr>
              <w:t>+</w:t>
            </w:r>
            <w:r>
              <w:rPr>
                <w:rFonts w:hint="eastAsia"/>
                <w:kern w:val="2"/>
                <w:szCs w:val="28"/>
              </w:rPr>
              <w:t>、Ca</w:t>
            </w:r>
            <w:r>
              <w:rPr>
                <w:rFonts w:hint="eastAsia"/>
                <w:kern w:val="2"/>
                <w:szCs w:val="28"/>
                <w:vertAlign w:val="superscript"/>
              </w:rPr>
              <w:t>2+</w:t>
            </w:r>
            <w:r>
              <w:rPr>
                <w:rFonts w:hint="eastAsia"/>
                <w:kern w:val="2"/>
                <w:szCs w:val="28"/>
              </w:rPr>
              <w:t>、Mg</w:t>
            </w:r>
            <w:r>
              <w:rPr>
                <w:rFonts w:hint="eastAsia"/>
                <w:kern w:val="2"/>
                <w:szCs w:val="28"/>
                <w:vertAlign w:val="superscript"/>
              </w:rPr>
              <w:t>2+</w:t>
            </w:r>
            <w:r>
              <w:rPr>
                <w:rFonts w:hint="eastAsia"/>
                <w:kern w:val="2"/>
                <w:szCs w:val="28"/>
              </w:rPr>
              <w:t>、CO</w:t>
            </w:r>
            <w:r>
              <w:rPr>
                <w:rFonts w:hint="eastAsia"/>
                <w:kern w:val="2"/>
                <w:szCs w:val="28"/>
                <w:vertAlign w:val="subscript"/>
              </w:rPr>
              <w:t>3</w:t>
            </w:r>
            <w:r>
              <w:rPr>
                <w:rFonts w:hint="eastAsia"/>
                <w:kern w:val="2"/>
                <w:szCs w:val="28"/>
                <w:vertAlign w:val="superscript"/>
              </w:rPr>
              <w:t>2-</w:t>
            </w:r>
            <w:r>
              <w:rPr>
                <w:rFonts w:hint="eastAsia"/>
                <w:kern w:val="2"/>
                <w:szCs w:val="28"/>
              </w:rPr>
              <w:t>、HCO</w:t>
            </w:r>
            <w:r>
              <w:rPr>
                <w:rFonts w:hint="eastAsia"/>
                <w:kern w:val="2"/>
                <w:szCs w:val="28"/>
                <w:vertAlign w:val="superscript"/>
              </w:rPr>
              <w:t>3-</w:t>
            </w:r>
            <w:r>
              <w:rPr>
                <w:rFonts w:hint="eastAsia"/>
                <w:kern w:val="2"/>
                <w:szCs w:val="28"/>
              </w:rPr>
              <w:t>、Cl</w:t>
            </w:r>
            <w:r>
              <w:rPr>
                <w:rFonts w:hint="eastAsia"/>
                <w:kern w:val="2"/>
                <w:szCs w:val="28"/>
                <w:vertAlign w:val="superscript"/>
              </w:rPr>
              <w:t>-</w:t>
            </w:r>
            <w:r>
              <w:rPr>
                <w:rFonts w:hint="eastAsia"/>
                <w:kern w:val="2"/>
                <w:szCs w:val="28"/>
              </w:rPr>
              <w:t>、SO</w:t>
            </w:r>
            <w:r>
              <w:rPr>
                <w:rFonts w:hint="eastAsia"/>
                <w:kern w:val="2"/>
                <w:szCs w:val="28"/>
                <w:vertAlign w:val="subscript"/>
              </w:rPr>
              <w:t>4</w:t>
            </w:r>
            <w:r>
              <w:rPr>
                <w:rFonts w:hint="eastAsia"/>
                <w:kern w:val="2"/>
                <w:szCs w:val="28"/>
                <w:vertAlign w:val="superscript"/>
              </w:rPr>
              <w:t>2-</w:t>
            </w:r>
            <w:r>
              <w:rPr>
                <w:rFonts w:hint="eastAsia"/>
                <w:kern w:val="2"/>
                <w:szCs w:val="28"/>
              </w:rPr>
              <w:t>、pH、氨氮、硝酸盐、亚硝酸盐、挥发性酚类、氰化物、砷、汞、铬（六价）、总硬度、铅、氟化物、镉、铁、锰、溶解性总固体、耗氧量、硫酸盐、氯化物、总大肠菌群、菌落总数、色度、石油类</w:t>
            </w:r>
          </w:p>
        </w:tc>
        <w:tc>
          <w:tcPr>
            <w:tcW w:w="1074" w:type="pct"/>
            <w:vAlign w:val="center"/>
          </w:tcPr>
          <w:p w14:paraId="0982CA93">
            <w:pPr>
              <w:pStyle w:val="62"/>
              <w:rPr>
                <w:u w:val="single"/>
              </w:rPr>
            </w:pPr>
            <w:r>
              <w:rPr>
                <w:u w:val="single"/>
              </w:rPr>
              <w:t>耗氧量、</w:t>
            </w:r>
            <w:r>
              <w:rPr>
                <w:rFonts w:hint="eastAsia"/>
                <w:u w:val="single"/>
              </w:rPr>
              <w:t>石油类</w:t>
            </w:r>
          </w:p>
        </w:tc>
      </w:tr>
      <w:tr w14:paraId="3AF07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vAlign w:val="center"/>
          </w:tcPr>
          <w:p w14:paraId="590FEE5E">
            <w:pPr>
              <w:pStyle w:val="62"/>
            </w:pPr>
            <w:r>
              <w:t>土壤</w:t>
            </w:r>
          </w:p>
        </w:tc>
        <w:tc>
          <w:tcPr>
            <w:tcW w:w="3163" w:type="pct"/>
            <w:vAlign w:val="center"/>
          </w:tcPr>
          <w:p w14:paraId="533881B6">
            <w:pPr>
              <w:pStyle w:val="62"/>
              <w:rPr>
                <w:szCs w:val="24"/>
              </w:rPr>
            </w:pPr>
            <w:r>
              <w:t>项目厂区内土壤执行《土壤环境质量 建设用地土壤污染风险管控标准（试行）》（GB36600-2018）建设用地第二类用地风险筛选值中表1的45项因子、</w:t>
            </w:r>
            <w:r>
              <w:rPr>
                <w:rFonts w:hint="eastAsia"/>
              </w:rPr>
              <w:t>pH、石油烃</w:t>
            </w:r>
            <w:r>
              <w:t>；厂区外农田土壤执行《土壤环境质量-农用地土壤污染风险管控标准（试行）》（GB15618-2018）表1基本项目8项因子</w:t>
            </w:r>
            <w:r>
              <w:rPr>
                <w:rFonts w:hint="eastAsia"/>
              </w:rPr>
              <w:t>、pH、石油烃</w:t>
            </w:r>
          </w:p>
        </w:tc>
        <w:tc>
          <w:tcPr>
            <w:tcW w:w="1074" w:type="pct"/>
            <w:vAlign w:val="center"/>
          </w:tcPr>
          <w:p w14:paraId="39D4FCBB">
            <w:pPr>
              <w:pStyle w:val="62"/>
            </w:pPr>
            <w:r>
              <w:rPr>
                <w:rFonts w:hint="eastAsia"/>
              </w:rPr>
              <w:t>石油类*</w:t>
            </w:r>
          </w:p>
        </w:tc>
      </w:tr>
    </w:tbl>
    <w:p w14:paraId="34571F39">
      <w:pPr>
        <w:pStyle w:val="2"/>
        <w:ind w:firstLine="480"/>
      </w:pPr>
      <w:r>
        <w:rPr>
          <w:rFonts w:hint="eastAsia"/>
        </w:rPr>
        <w:t>注：因本项目原料和产品主要为硅油，故生产过程产生的废水中含有硅油。又因本项目产生的污染因子无其他特征因子，故本次评价硅油以石油类计，土壤预测因子确定为石油类。</w:t>
      </w:r>
    </w:p>
    <w:p w14:paraId="1D3E9230">
      <w:pPr>
        <w:pStyle w:val="4"/>
      </w:pPr>
      <w:bookmarkStart w:id="81" w:name="_Toc429318383"/>
      <w:bookmarkStart w:id="82" w:name="_Toc428286771"/>
      <w:bookmarkStart w:id="83" w:name="_Toc428287165"/>
      <w:bookmarkStart w:id="84" w:name="_Toc176105850"/>
      <w:r>
        <w:t>评价等级</w:t>
      </w:r>
      <w:bookmarkEnd w:id="81"/>
      <w:bookmarkEnd w:id="82"/>
      <w:bookmarkEnd w:id="83"/>
      <w:bookmarkEnd w:id="84"/>
    </w:p>
    <w:p w14:paraId="1D3E9231">
      <w:pPr>
        <w:pStyle w:val="5"/>
        <w:spacing w:before="323" w:after="323"/>
      </w:pPr>
      <w:bookmarkStart w:id="85" w:name="_Toc428287518"/>
      <w:bookmarkStart w:id="86" w:name="_Toc428286772"/>
      <w:bookmarkStart w:id="87" w:name="_Toc428287166"/>
      <w:r>
        <w:t>环境空气评价等级</w:t>
      </w:r>
      <w:bookmarkEnd w:id="85"/>
      <w:bookmarkEnd w:id="86"/>
      <w:bookmarkEnd w:id="87"/>
    </w:p>
    <w:p w14:paraId="07BCB207">
      <w:pPr>
        <w:ind w:firstLine="480"/>
        <w:rPr>
          <w:snapToGrid w:val="0"/>
          <w:highlight w:val="yellow"/>
        </w:rPr>
      </w:pPr>
      <w:bookmarkStart w:id="88" w:name="_Toc428286773"/>
      <w:bookmarkStart w:id="89" w:name="_Toc428287519"/>
      <w:bookmarkStart w:id="90" w:name="_Toc428287167"/>
      <w:r>
        <w:rPr>
          <w:rFonts w:hint="eastAsia"/>
          <w:snapToGrid w:val="0"/>
        </w:rPr>
        <w:t>根据《环境影响评价技术导则-大气环境》（HJ2.2-2018）有关要求，大气环境影响评价应首先对评价区域内环境质量状况是否达标进行判断。经查阅新乡市2023年环境质量年报，2023年新乡市PM</w:t>
      </w:r>
      <w:r>
        <w:rPr>
          <w:rFonts w:hint="eastAsia"/>
          <w:snapToGrid w:val="0"/>
          <w:vertAlign w:val="subscript"/>
        </w:rPr>
        <w:t>10</w:t>
      </w:r>
      <w:r>
        <w:rPr>
          <w:rFonts w:hint="eastAsia"/>
          <w:snapToGrid w:val="0"/>
        </w:rPr>
        <w:t>、PM</w:t>
      </w:r>
      <w:r>
        <w:rPr>
          <w:rFonts w:hint="eastAsia"/>
          <w:snapToGrid w:val="0"/>
          <w:vertAlign w:val="subscript"/>
        </w:rPr>
        <w:t>2.5</w:t>
      </w:r>
      <w:r>
        <w:rPr>
          <w:rFonts w:hint="eastAsia"/>
          <w:snapToGrid w:val="0"/>
        </w:rPr>
        <w:t>、O</w:t>
      </w:r>
      <w:r>
        <w:rPr>
          <w:rFonts w:hint="eastAsia"/>
          <w:snapToGrid w:val="0"/>
          <w:vertAlign w:val="subscript"/>
        </w:rPr>
        <w:t>3</w:t>
      </w:r>
      <w:r>
        <w:rPr>
          <w:rFonts w:hint="eastAsia"/>
          <w:snapToGrid w:val="0"/>
        </w:rPr>
        <w:t>超标，拟建项目所在区域属于环境空气质量未达标区。</w:t>
      </w:r>
    </w:p>
    <w:p w14:paraId="22BA6572">
      <w:pPr>
        <w:ind w:firstLine="480"/>
      </w:pPr>
      <w:r>
        <w:t>根据《环境影响评价技术导则-大气环境》（HJ2.2-2018）规定的评价工作级别的划分原则和方法，选择推荐模式中的估算模式及项目的大气环境评价工作进行分级，评判依据见下表。</w:t>
      </w:r>
    </w:p>
    <w:p w14:paraId="24ECE1AE">
      <w:pPr>
        <w:pStyle w:val="64"/>
        <w:numPr>
          <w:ilvl w:val="0"/>
          <w:numId w:val="5"/>
        </w:numPr>
        <w:spacing w:before="161" w:after="161"/>
        <w:ind w:firstLineChars="0"/>
      </w:pPr>
      <w:r>
        <w:t xml:space="preserve">              大气环境评价工作等级判据</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81"/>
        <w:gridCol w:w="5861"/>
      </w:tblGrid>
      <w:tr w14:paraId="2507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14:paraId="7B25F9D5">
            <w:pPr>
              <w:tabs>
                <w:tab w:val="center" w:pos="4153"/>
                <w:tab w:val="right" w:pos="8306"/>
              </w:tabs>
              <w:spacing w:line="360" w:lineRule="exact"/>
              <w:ind w:firstLine="0" w:firstLineChars="0"/>
              <w:jc w:val="center"/>
              <w:rPr>
                <w:b/>
                <w:bCs/>
                <w:sz w:val="21"/>
                <w:szCs w:val="21"/>
              </w:rPr>
            </w:pPr>
            <w:r>
              <w:rPr>
                <w:b/>
                <w:bCs/>
                <w:sz w:val="21"/>
                <w:szCs w:val="21"/>
              </w:rPr>
              <w:t>评价工作等级</w:t>
            </w:r>
          </w:p>
        </w:tc>
        <w:tc>
          <w:tcPr>
            <w:tcW w:w="3352" w:type="pct"/>
            <w:tcBorders>
              <w:top w:val="single" w:color="auto" w:sz="4" w:space="0"/>
              <w:left w:val="single" w:color="auto" w:sz="4" w:space="0"/>
              <w:bottom w:val="single" w:color="auto" w:sz="4" w:space="0"/>
              <w:right w:val="single" w:color="auto" w:sz="4" w:space="0"/>
            </w:tcBorders>
            <w:vAlign w:val="center"/>
          </w:tcPr>
          <w:p w14:paraId="7AEE5A36">
            <w:pPr>
              <w:tabs>
                <w:tab w:val="center" w:pos="4153"/>
                <w:tab w:val="right" w:pos="8306"/>
              </w:tabs>
              <w:spacing w:line="360" w:lineRule="exact"/>
              <w:ind w:firstLine="0" w:firstLineChars="0"/>
              <w:jc w:val="center"/>
              <w:rPr>
                <w:b/>
                <w:bCs/>
                <w:sz w:val="21"/>
                <w:szCs w:val="21"/>
              </w:rPr>
            </w:pPr>
            <w:r>
              <w:rPr>
                <w:b/>
                <w:bCs/>
                <w:sz w:val="21"/>
                <w:szCs w:val="21"/>
              </w:rPr>
              <w:t>评价工作分级判据</w:t>
            </w:r>
          </w:p>
        </w:tc>
      </w:tr>
      <w:tr w14:paraId="7C64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14:paraId="331BF9F9">
            <w:pPr>
              <w:tabs>
                <w:tab w:val="center" w:pos="4153"/>
                <w:tab w:val="right" w:pos="8306"/>
              </w:tabs>
              <w:spacing w:line="360" w:lineRule="exact"/>
              <w:ind w:firstLine="0" w:firstLineChars="0"/>
              <w:jc w:val="center"/>
              <w:rPr>
                <w:sz w:val="21"/>
                <w:szCs w:val="21"/>
              </w:rPr>
            </w:pPr>
            <w:r>
              <w:rPr>
                <w:sz w:val="21"/>
                <w:szCs w:val="21"/>
              </w:rPr>
              <w:t>一级</w:t>
            </w:r>
          </w:p>
        </w:tc>
        <w:tc>
          <w:tcPr>
            <w:tcW w:w="3352" w:type="pct"/>
            <w:tcBorders>
              <w:top w:val="single" w:color="auto" w:sz="4" w:space="0"/>
              <w:left w:val="single" w:color="auto" w:sz="4" w:space="0"/>
              <w:bottom w:val="single" w:color="auto" w:sz="4" w:space="0"/>
              <w:right w:val="single" w:color="auto" w:sz="4" w:space="0"/>
            </w:tcBorders>
            <w:vAlign w:val="center"/>
          </w:tcPr>
          <w:p w14:paraId="535198ED">
            <w:pPr>
              <w:tabs>
                <w:tab w:val="center" w:pos="4153"/>
                <w:tab w:val="right" w:pos="8306"/>
              </w:tabs>
              <w:spacing w:line="360" w:lineRule="exact"/>
              <w:ind w:firstLine="0" w:firstLineChars="0"/>
              <w:jc w:val="center"/>
              <w:rPr>
                <w:sz w:val="21"/>
                <w:szCs w:val="21"/>
              </w:rPr>
            </w:pPr>
            <w:r>
              <w:rPr>
                <w:sz w:val="21"/>
                <w:szCs w:val="21"/>
              </w:rPr>
              <w:t>P</w:t>
            </w:r>
            <w:r>
              <w:rPr>
                <w:sz w:val="21"/>
                <w:szCs w:val="21"/>
                <w:vertAlign w:val="subscript"/>
              </w:rPr>
              <w:t>max</w:t>
            </w:r>
            <w:r>
              <w:rPr>
                <w:sz w:val="21"/>
                <w:szCs w:val="21"/>
              </w:rPr>
              <w:t>≥10%</w:t>
            </w:r>
          </w:p>
        </w:tc>
      </w:tr>
      <w:tr w14:paraId="7927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14:paraId="3BD892D7">
            <w:pPr>
              <w:tabs>
                <w:tab w:val="center" w:pos="4153"/>
                <w:tab w:val="right" w:pos="8306"/>
              </w:tabs>
              <w:spacing w:line="360" w:lineRule="exact"/>
              <w:ind w:firstLine="0" w:firstLineChars="0"/>
              <w:jc w:val="center"/>
              <w:rPr>
                <w:sz w:val="21"/>
                <w:szCs w:val="21"/>
              </w:rPr>
            </w:pPr>
            <w:r>
              <w:rPr>
                <w:sz w:val="21"/>
                <w:szCs w:val="21"/>
              </w:rPr>
              <w:t>二级</w:t>
            </w:r>
          </w:p>
        </w:tc>
        <w:tc>
          <w:tcPr>
            <w:tcW w:w="3352" w:type="pct"/>
            <w:tcBorders>
              <w:top w:val="single" w:color="auto" w:sz="4" w:space="0"/>
              <w:left w:val="single" w:color="auto" w:sz="4" w:space="0"/>
              <w:bottom w:val="single" w:color="auto" w:sz="4" w:space="0"/>
              <w:right w:val="single" w:color="auto" w:sz="4" w:space="0"/>
            </w:tcBorders>
            <w:vAlign w:val="center"/>
          </w:tcPr>
          <w:p w14:paraId="7E8616D9">
            <w:pPr>
              <w:tabs>
                <w:tab w:val="center" w:pos="4153"/>
                <w:tab w:val="right" w:pos="8306"/>
              </w:tabs>
              <w:autoSpaceDE w:val="0"/>
              <w:autoSpaceDN w:val="0"/>
              <w:spacing w:line="360" w:lineRule="exact"/>
              <w:ind w:firstLine="0" w:firstLineChars="0"/>
              <w:jc w:val="center"/>
              <w:rPr>
                <w:sz w:val="21"/>
                <w:szCs w:val="21"/>
              </w:rPr>
            </w:pPr>
            <w:r>
              <w:rPr>
                <w:sz w:val="21"/>
                <w:szCs w:val="21"/>
              </w:rPr>
              <w:t>1%≤P</w:t>
            </w:r>
            <w:r>
              <w:rPr>
                <w:sz w:val="21"/>
                <w:szCs w:val="21"/>
                <w:vertAlign w:val="subscript"/>
              </w:rPr>
              <w:t>max</w:t>
            </w:r>
            <w:r>
              <w:rPr>
                <w:sz w:val="21"/>
                <w:szCs w:val="21"/>
              </w:rPr>
              <w:t>＜10%</w:t>
            </w:r>
          </w:p>
        </w:tc>
      </w:tr>
      <w:tr w14:paraId="2225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14:paraId="789C0777">
            <w:pPr>
              <w:tabs>
                <w:tab w:val="center" w:pos="4153"/>
                <w:tab w:val="right" w:pos="8306"/>
              </w:tabs>
              <w:spacing w:line="360" w:lineRule="exact"/>
              <w:ind w:firstLine="0" w:firstLineChars="0"/>
              <w:jc w:val="center"/>
              <w:rPr>
                <w:sz w:val="21"/>
                <w:szCs w:val="21"/>
              </w:rPr>
            </w:pPr>
            <w:r>
              <w:rPr>
                <w:sz w:val="21"/>
                <w:szCs w:val="21"/>
              </w:rPr>
              <w:t>三级</w:t>
            </w:r>
          </w:p>
        </w:tc>
        <w:tc>
          <w:tcPr>
            <w:tcW w:w="3352" w:type="pct"/>
            <w:tcBorders>
              <w:top w:val="single" w:color="auto" w:sz="4" w:space="0"/>
              <w:left w:val="single" w:color="auto" w:sz="4" w:space="0"/>
              <w:bottom w:val="single" w:color="auto" w:sz="4" w:space="0"/>
              <w:right w:val="single" w:color="auto" w:sz="4" w:space="0"/>
            </w:tcBorders>
            <w:vAlign w:val="center"/>
          </w:tcPr>
          <w:p w14:paraId="14D7495C">
            <w:pPr>
              <w:tabs>
                <w:tab w:val="center" w:pos="4153"/>
                <w:tab w:val="right" w:pos="8306"/>
              </w:tabs>
              <w:spacing w:line="360" w:lineRule="exact"/>
              <w:ind w:firstLine="0" w:firstLineChars="0"/>
              <w:jc w:val="center"/>
              <w:rPr>
                <w:sz w:val="21"/>
                <w:szCs w:val="21"/>
              </w:rPr>
            </w:pPr>
            <w:r>
              <w:rPr>
                <w:sz w:val="21"/>
                <w:szCs w:val="21"/>
              </w:rPr>
              <w:t>P</w:t>
            </w:r>
            <w:r>
              <w:rPr>
                <w:sz w:val="21"/>
                <w:szCs w:val="21"/>
                <w:vertAlign w:val="subscript"/>
              </w:rPr>
              <w:t>max</w:t>
            </w:r>
            <w:r>
              <w:rPr>
                <w:sz w:val="21"/>
                <w:szCs w:val="21"/>
              </w:rPr>
              <w:t>＜1%</w:t>
            </w:r>
          </w:p>
        </w:tc>
      </w:tr>
    </w:tbl>
    <w:p w14:paraId="664A2E13">
      <w:pPr>
        <w:pStyle w:val="2"/>
        <w:ind w:firstLine="480"/>
      </w:pPr>
      <w:r>
        <w:t>根据工程分析结果，选用《环境影响评价技术导则-大气环境》（HJ2.2-2018）中推荐模式中的估算模式，选择正常排放的主要污染物及排放参数，分别计算主要污染物的最大地面空气质量浓度占标率Pi及对应的地面浓度达标准限值10%所对应的最远距离D10%，依据</w:t>
      </w:r>
      <w:r>
        <w:rPr>
          <w:rFonts w:hint="eastAsia"/>
        </w:rPr>
        <w:t>上</w:t>
      </w:r>
      <w:r>
        <w:t>表判据进行大气评价等级判定。计算结果见下表。</w:t>
      </w:r>
    </w:p>
    <w:p w14:paraId="23C0EA3D">
      <w:pPr>
        <w:pStyle w:val="64"/>
        <w:numPr>
          <w:ilvl w:val="0"/>
          <w:numId w:val="5"/>
        </w:numPr>
        <w:spacing w:before="161" w:after="161"/>
        <w:ind w:firstLineChars="0"/>
      </w:pPr>
      <w:r>
        <w:t xml:space="preserve">              环境空气分级判据表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1433"/>
        <w:gridCol w:w="1682"/>
        <w:gridCol w:w="1072"/>
        <w:gridCol w:w="916"/>
        <w:gridCol w:w="1836"/>
        <w:gridCol w:w="853"/>
      </w:tblGrid>
      <w:tr w14:paraId="75FF0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46" w:type="pct"/>
            <w:vAlign w:val="center"/>
          </w:tcPr>
          <w:p w14:paraId="0AF6B489">
            <w:pPr>
              <w:adjustRightInd/>
              <w:snapToGrid/>
              <w:spacing w:line="240" w:lineRule="auto"/>
              <w:ind w:firstLine="0" w:firstLineChars="0"/>
              <w:jc w:val="center"/>
              <w:textAlignment w:val="auto"/>
              <w:rPr>
                <w:b/>
                <w:kern w:val="2"/>
                <w:sz w:val="21"/>
                <w:szCs w:val="21"/>
                <w:u w:val="single"/>
              </w:rPr>
            </w:pPr>
            <w:r>
              <w:rPr>
                <w:b/>
                <w:kern w:val="2"/>
                <w:sz w:val="21"/>
                <w:szCs w:val="21"/>
                <w:u w:val="single"/>
              </w:rPr>
              <w:t>污染源</w:t>
            </w:r>
          </w:p>
        </w:tc>
        <w:tc>
          <w:tcPr>
            <w:tcW w:w="801" w:type="pct"/>
            <w:vAlign w:val="center"/>
          </w:tcPr>
          <w:p w14:paraId="3578950E">
            <w:pPr>
              <w:adjustRightInd/>
              <w:snapToGrid/>
              <w:spacing w:line="240" w:lineRule="auto"/>
              <w:ind w:firstLine="0" w:firstLineChars="0"/>
              <w:jc w:val="center"/>
              <w:textAlignment w:val="auto"/>
              <w:rPr>
                <w:b/>
                <w:kern w:val="2"/>
                <w:sz w:val="21"/>
                <w:szCs w:val="21"/>
                <w:u w:val="single"/>
              </w:rPr>
            </w:pPr>
            <w:r>
              <w:rPr>
                <w:b/>
                <w:kern w:val="2"/>
                <w:sz w:val="21"/>
                <w:szCs w:val="21"/>
                <w:u w:val="single"/>
              </w:rPr>
              <w:t>项目</w:t>
            </w:r>
          </w:p>
        </w:tc>
        <w:tc>
          <w:tcPr>
            <w:tcW w:w="940" w:type="pct"/>
            <w:vAlign w:val="center"/>
          </w:tcPr>
          <w:p w14:paraId="6DFB1725">
            <w:pPr>
              <w:adjustRightInd/>
              <w:snapToGrid/>
              <w:spacing w:line="240" w:lineRule="auto"/>
              <w:ind w:firstLine="0" w:firstLineChars="0"/>
              <w:jc w:val="center"/>
              <w:textAlignment w:val="auto"/>
              <w:rPr>
                <w:b/>
                <w:kern w:val="2"/>
                <w:sz w:val="21"/>
                <w:szCs w:val="21"/>
                <w:u w:val="single"/>
              </w:rPr>
            </w:pPr>
            <w:r>
              <w:rPr>
                <w:b/>
                <w:kern w:val="2"/>
                <w:sz w:val="21"/>
                <w:szCs w:val="21"/>
                <w:u w:val="single"/>
              </w:rPr>
              <w:t>最大落地浓度μg/m</w:t>
            </w:r>
            <w:r>
              <w:rPr>
                <w:b/>
                <w:kern w:val="2"/>
                <w:sz w:val="21"/>
                <w:szCs w:val="21"/>
                <w:u w:val="single"/>
                <w:vertAlign w:val="superscript"/>
              </w:rPr>
              <w:t>3</w:t>
            </w:r>
          </w:p>
        </w:tc>
        <w:tc>
          <w:tcPr>
            <w:tcW w:w="599" w:type="pct"/>
            <w:vAlign w:val="center"/>
          </w:tcPr>
          <w:p w14:paraId="54B3D735">
            <w:pPr>
              <w:adjustRightInd/>
              <w:snapToGrid/>
              <w:spacing w:line="240" w:lineRule="auto"/>
              <w:ind w:firstLine="0" w:firstLineChars="0"/>
              <w:jc w:val="center"/>
              <w:textAlignment w:val="auto"/>
              <w:rPr>
                <w:b/>
                <w:kern w:val="2"/>
                <w:sz w:val="21"/>
                <w:szCs w:val="21"/>
                <w:u w:val="single"/>
              </w:rPr>
            </w:pPr>
            <w:r>
              <w:rPr>
                <w:b/>
                <w:kern w:val="2"/>
                <w:sz w:val="21"/>
                <w:szCs w:val="21"/>
                <w:u w:val="single"/>
              </w:rPr>
              <w:t>P</w:t>
            </w:r>
            <w:r>
              <w:rPr>
                <w:b/>
                <w:kern w:val="2"/>
                <w:sz w:val="21"/>
                <w:szCs w:val="21"/>
                <w:u w:val="single"/>
                <w:vertAlign w:val="subscript"/>
              </w:rPr>
              <w:t>max</w:t>
            </w:r>
            <w:r>
              <w:rPr>
                <w:b/>
                <w:kern w:val="2"/>
                <w:sz w:val="21"/>
                <w:szCs w:val="21"/>
                <w:u w:val="single"/>
              </w:rPr>
              <w:t>占标率%</w:t>
            </w:r>
          </w:p>
        </w:tc>
        <w:tc>
          <w:tcPr>
            <w:tcW w:w="512" w:type="pct"/>
            <w:vAlign w:val="center"/>
          </w:tcPr>
          <w:p w14:paraId="1253F455">
            <w:pPr>
              <w:adjustRightInd/>
              <w:snapToGrid/>
              <w:spacing w:line="240" w:lineRule="auto"/>
              <w:ind w:firstLine="0" w:firstLineChars="0"/>
              <w:jc w:val="center"/>
              <w:textAlignment w:val="auto"/>
              <w:rPr>
                <w:b/>
                <w:kern w:val="2"/>
                <w:sz w:val="21"/>
                <w:szCs w:val="21"/>
                <w:u w:val="single"/>
                <w:vertAlign w:val="subscript"/>
              </w:rPr>
            </w:pPr>
            <w:r>
              <w:rPr>
                <w:b/>
                <w:kern w:val="2"/>
                <w:sz w:val="21"/>
                <w:szCs w:val="21"/>
                <w:u w:val="single"/>
              </w:rPr>
              <w:t>D</w:t>
            </w:r>
            <w:r>
              <w:rPr>
                <w:b/>
                <w:kern w:val="2"/>
                <w:sz w:val="21"/>
                <w:szCs w:val="21"/>
                <w:u w:val="single"/>
                <w:vertAlign w:val="subscript"/>
              </w:rPr>
              <w:t>10%</w:t>
            </w:r>
          </w:p>
        </w:tc>
        <w:tc>
          <w:tcPr>
            <w:tcW w:w="1026" w:type="pct"/>
            <w:vAlign w:val="center"/>
          </w:tcPr>
          <w:p w14:paraId="39D11FD2">
            <w:pPr>
              <w:adjustRightInd/>
              <w:snapToGrid/>
              <w:spacing w:line="240" w:lineRule="auto"/>
              <w:ind w:firstLine="0" w:firstLineChars="0"/>
              <w:jc w:val="center"/>
              <w:textAlignment w:val="auto"/>
              <w:rPr>
                <w:b/>
                <w:kern w:val="2"/>
                <w:sz w:val="21"/>
                <w:szCs w:val="21"/>
                <w:u w:val="single"/>
              </w:rPr>
            </w:pPr>
            <w:r>
              <w:rPr>
                <w:b/>
                <w:kern w:val="2"/>
                <w:sz w:val="21"/>
                <w:szCs w:val="21"/>
                <w:u w:val="single"/>
              </w:rPr>
              <w:t>分级判据</w:t>
            </w:r>
          </w:p>
        </w:tc>
        <w:tc>
          <w:tcPr>
            <w:tcW w:w="476" w:type="pct"/>
            <w:vAlign w:val="center"/>
          </w:tcPr>
          <w:p w14:paraId="26BE84F2">
            <w:pPr>
              <w:adjustRightInd/>
              <w:snapToGrid/>
              <w:spacing w:line="240" w:lineRule="auto"/>
              <w:ind w:firstLine="0" w:firstLineChars="0"/>
              <w:jc w:val="center"/>
              <w:textAlignment w:val="auto"/>
              <w:rPr>
                <w:b/>
                <w:kern w:val="2"/>
                <w:sz w:val="21"/>
                <w:szCs w:val="21"/>
                <w:u w:val="single"/>
              </w:rPr>
            </w:pPr>
            <w:r>
              <w:rPr>
                <w:b/>
                <w:kern w:val="2"/>
                <w:sz w:val="21"/>
                <w:szCs w:val="21"/>
                <w:u w:val="single"/>
              </w:rPr>
              <w:t>评价等级</w:t>
            </w:r>
          </w:p>
        </w:tc>
      </w:tr>
      <w:tr w14:paraId="1583F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pct"/>
            <w:vMerge w:val="restart"/>
            <w:vAlign w:val="center"/>
          </w:tcPr>
          <w:p w14:paraId="52C6A866">
            <w:pPr>
              <w:adjustRightInd/>
              <w:snapToGrid/>
              <w:spacing w:line="240" w:lineRule="auto"/>
              <w:ind w:firstLine="0" w:firstLineChars="0"/>
              <w:contextualSpacing/>
              <w:jc w:val="center"/>
              <w:rPr>
                <w:bCs/>
                <w:sz w:val="21"/>
                <w:szCs w:val="21"/>
                <w:highlight w:val="yellow"/>
                <w:u w:val="single"/>
              </w:rPr>
            </w:pPr>
            <w:r>
              <w:rPr>
                <w:rFonts w:hint="eastAsia"/>
                <w:bCs/>
                <w:sz w:val="21"/>
                <w:szCs w:val="21"/>
                <w:u w:val="single"/>
              </w:rPr>
              <w:t>排气筒</w:t>
            </w:r>
          </w:p>
        </w:tc>
        <w:tc>
          <w:tcPr>
            <w:tcW w:w="801" w:type="pct"/>
            <w:vAlign w:val="center"/>
          </w:tcPr>
          <w:p w14:paraId="2A374186">
            <w:pPr>
              <w:adjustRightInd/>
              <w:snapToGrid/>
              <w:spacing w:line="240" w:lineRule="auto"/>
              <w:ind w:firstLine="0" w:firstLineChars="0"/>
              <w:contextualSpacing/>
              <w:jc w:val="center"/>
              <w:rPr>
                <w:bCs/>
                <w:sz w:val="21"/>
                <w:szCs w:val="21"/>
                <w:highlight w:val="yellow"/>
                <w:u w:val="single"/>
              </w:rPr>
            </w:pPr>
            <w:r>
              <w:rPr>
                <w:rFonts w:hint="eastAsia"/>
                <w:sz w:val="21"/>
                <w:szCs w:val="21"/>
                <w:u w:val="single"/>
              </w:rPr>
              <w:t>非甲烷总烃</w:t>
            </w:r>
          </w:p>
        </w:tc>
        <w:tc>
          <w:tcPr>
            <w:tcW w:w="940" w:type="pct"/>
            <w:vAlign w:val="center"/>
          </w:tcPr>
          <w:p w14:paraId="24D97DCF">
            <w:pPr>
              <w:adjustRightInd/>
              <w:snapToGrid/>
              <w:spacing w:line="240" w:lineRule="auto"/>
              <w:ind w:firstLine="0" w:firstLineChars="0"/>
              <w:contextualSpacing/>
              <w:jc w:val="center"/>
              <w:rPr>
                <w:bCs/>
                <w:sz w:val="21"/>
                <w:szCs w:val="21"/>
                <w:u w:val="single"/>
              </w:rPr>
            </w:pPr>
            <w:r>
              <w:rPr>
                <w:rFonts w:hint="eastAsia"/>
                <w:bCs/>
                <w:sz w:val="21"/>
                <w:szCs w:val="21"/>
                <w:u w:val="single"/>
              </w:rPr>
              <w:t>1.97E-03</w:t>
            </w:r>
          </w:p>
        </w:tc>
        <w:tc>
          <w:tcPr>
            <w:tcW w:w="599" w:type="pct"/>
            <w:vAlign w:val="center"/>
          </w:tcPr>
          <w:p w14:paraId="46BC36A8">
            <w:pPr>
              <w:adjustRightInd/>
              <w:snapToGrid/>
              <w:spacing w:line="240" w:lineRule="auto"/>
              <w:ind w:firstLine="0" w:firstLineChars="0"/>
              <w:contextualSpacing/>
              <w:jc w:val="center"/>
              <w:rPr>
                <w:bCs/>
                <w:sz w:val="21"/>
                <w:szCs w:val="21"/>
                <w:u w:val="single"/>
              </w:rPr>
            </w:pPr>
            <w:r>
              <w:rPr>
                <w:rFonts w:hint="eastAsia"/>
                <w:bCs/>
                <w:sz w:val="21"/>
                <w:szCs w:val="21"/>
                <w:u w:val="single"/>
              </w:rPr>
              <w:t>0.1</w:t>
            </w:r>
          </w:p>
        </w:tc>
        <w:tc>
          <w:tcPr>
            <w:tcW w:w="512" w:type="pct"/>
            <w:vAlign w:val="center"/>
          </w:tcPr>
          <w:p w14:paraId="3D89974F">
            <w:pPr>
              <w:adjustRightInd/>
              <w:snapToGrid/>
              <w:spacing w:line="240" w:lineRule="auto"/>
              <w:ind w:firstLine="0" w:firstLineChars="0"/>
              <w:contextualSpacing/>
              <w:jc w:val="center"/>
              <w:rPr>
                <w:bCs/>
                <w:sz w:val="21"/>
                <w:szCs w:val="21"/>
                <w:u w:val="single"/>
              </w:rPr>
            </w:pPr>
            <w:r>
              <w:rPr>
                <w:rFonts w:hint="eastAsia"/>
                <w:bCs/>
                <w:sz w:val="21"/>
                <w:szCs w:val="21"/>
                <w:u w:val="single"/>
              </w:rPr>
              <w:t>0</w:t>
            </w:r>
          </w:p>
        </w:tc>
        <w:tc>
          <w:tcPr>
            <w:tcW w:w="1026" w:type="pct"/>
            <w:vAlign w:val="center"/>
          </w:tcPr>
          <w:p w14:paraId="627E8817">
            <w:pPr>
              <w:adjustRightInd/>
              <w:snapToGrid/>
              <w:spacing w:line="240" w:lineRule="auto"/>
              <w:ind w:firstLine="0" w:firstLineChars="0"/>
              <w:contextualSpacing/>
              <w:jc w:val="center"/>
              <w:rPr>
                <w:bCs/>
                <w:sz w:val="21"/>
                <w:szCs w:val="21"/>
                <w:u w:val="single"/>
              </w:rPr>
            </w:pPr>
            <w:r>
              <w:rPr>
                <w:bCs/>
                <w:sz w:val="21"/>
                <w:szCs w:val="21"/>
                <w:u w:val="single"/>
              </w:rPr>
              <w:t>P</w:t>
            </w:r>
            <w:r>
              <w:rPr>
                <w:bCs/>
                <w:sz w:val="21"/>
                <w:szCs w:val="21"/>
                <w:u w:val="single"/>
                <w:vertAlign w:val="subscript"/>
              </w:rPr>
              <w:t>max</w:t>
            </w:r>
            <w:r>
              <w:rPr>
                <w:bCs/>
                <w:sz w:val="21"/>
                <w:szCs w:val="21"/>
                <w:u w:val="single"/>
              </w:rPr>
              <w:t>＜1%</w:t>
            </w:r>
          </w:p>
        </w:tc>
        <w:tc>
          <w:tcPr>
            <w:tcW w:w="476" w:type="pct"/>
            <w:vAlign w:val="center"/>
          </w:tcPr>
          <w:p w14:paraId="2B37C4C1">
            <w:pPr>
              <w:adjustRightInd/>
              <w:snapToGrid/>
              <w:spacing w:line="240" w:lineRule="auto"/>
              <w:ind w:firstLine="0" w:firstLineChars="0"/>
              <w:contextualSpacing/>
              <w:jc w:val="center"/>
              <w:rPr>
                <w:bCs/>
                <w:sz w:val="21"/>
                <w:szCs w:val="21"/>
                <w:u w:val="single"/>
              </w:rPr>
            </w:pPr>
            <w:r>
              <w:rPr>
                <w:bCs/>
                <w:sz w:val="21"/>
                <w:szCs w:val="21"/>
                <w:u w:val="single"/>
              </w:rPr>
              <w:t>三级</w:t>
            </w:r>
          </w:p>
        </w:tc>
      </w:tr>
      <w:tr w14:paraId="36DD3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pct"/>
            <w:vMerge w:val="continue"/>
            <w:vAlign w:val="center"/>
          </w:tcPr>
          <w:p w14:paraId="02B15BF9">
            <w:pPr>
              <w:adjustRightInd/>
              <w:snapToGrid/>
              <w:spacing w:line="240" w:lineRule="auto"/>
              <w:ind w:firstLine="0" w:firstLineChars="0"/>
              <w:contextualSpacing/>
              <w:jc w:val="center"/>
              <w:rPr>
                <w:bCs/>
                <w:sz w:val="21"/>
                <w:szCs w:val="21"/>
                <w:highlight w:val="yellow"/>
                <w:u w:val="single"/>
              </w:rPr>
            </w:pPr>
          </w:p>
        </w:tc>
        <w:tc>
          <w:tcPr>
            <w:tcW w:w="801" w:type="pct"/>
            <w:vAlign w:val="center"/>
          </w:tcPr>
          <w:p w14:paraId="69220D63">
            <w:pPr>
              <w:adjustRightInd/>
              <w:snapToGrid/>
              <w:spacing w:line="240" w:lineRule="auto"/>
              <w:ind w:firstLine="0" w:firstLineChars="0"/>
              <w:contextualSpacing/>
              <w:jc w:val="center"/>
              <w:rPr>
                <w:bCs/>
                <w:sz w:val="21"/>
                <w:szCs w:val="21"/>
                <w:highlight w:val="yellow"/>
                <w:u w:val="single"/>
              </w:rPr>
            </w:pPr>
            <w:r>
              <w:rPr>
                <w:rFonts w:hint="eastAsia"/>
                <w:sz w:val="21"/>
                <w:szCs w:val="21"/>
                <w:u w:val="single"/>
              </w:rPr>
              <w:t>硫酸雾</w:t>
            </w:r>
          </w:p>
        </w:tc>
        <w:tc>
          <w:tcPr>
            <w:tcW w:w="940" w:type="pct"/>
            <w:vAlign w:val="center"/>
          </w:tcPr>
          <w:p w14:paraId="5A687611">
            <w:pPr>
              <w:adjustRightInd/>
              <w:snapToGrid/>
              <w:spacing w:line="240" w:lineRule="auto"/>
              <w:ind w:firstLine="0" w:firstLineChars="0"/>
              <w:contextualSpacing/>
              <w:jc w:val="center"/>
              <w:rPr>
                <w:bCs/>
                <w:sz w:val="21"/>
                <w:szCs w:val="21"/>
                <w:u w:val="single"/>
              </w:rPr>
            </w:pPr>
            <w:r>
              <w:rPr>
                <w:rFonts w:hint="eastAsia"/>
                <w:bCs/>
                <w:sz w:val="21"/>
                <w:szCs w:val="21"/>
                <w:u w:val="single"/>
              </w:rPr>
              <w:t>1.3E-04</w:t>
            </w:r>
          </w:p>
        </w:tc>
        <w:tc>
          <w:tcPr>
            <w:tcW w:w="599" w:type="pct"/>
            <w:vAlign w:val="center"/>
          </w:tcPr>
          <w:p w14:paraId="7486589E">
            <w:pPr>
              <w:adjustRightInd/>
              <w:snapToGrid/>
              <w:spacing w:line="240" w:lineRule="auto"/>
              <w:ind w:firstLine="0" w:firstLineChars="0"/>
              <w:contextualSpacing/>
              <w:jc w:val="center"/>
              <w:rPr>
                <w:bCs/>
                <w:sz w:val="21"/>
                <w:szCs w:val="21"/>
                <w:u w:val="single"/>
              </w:rPr>
            </w:pPr>
            <w:r>
              <w:rPr>
                <w:rFonts w:hint="eastAsia"/>
                <w:bCs/>
                <w:sz w:val="21"/>
                <w:szCs w:val="21"/>
                <w:u w:val="single"/>
              </w:rPr>
              <w:t>0.04</w:t>
            </w:r>
          </w:p>
        </w:tc>
        <w:tc>
          <w:tcPr>
            <w:tcW w:w="512" w:type="pct"/>
            <w:vAlign w:val="center"/>
          </w:tcPr>
          <w:p w14:paraId="61029B8F">
            <w:pPr>
              <w:adjustRightInd/>
              <w:snapToGrid/>
              <w:spacing w:line="240" w:lineRule="auto"/>
              <w:ind w:firstLine="0" w:firstLineChars="0"/>
              <w:contextualSpacing/>
              <w:jc w:val="center"/>
              <w:rPr>
                <w:rFonts w:eastAsia="等线"/>
                <w:bCs/>
                <w:sz w:val="21"/>
                <w:szCs w:val="21"/>
                <w:u w:val="single"/>
              </w:rPr>
            </w:pPr>
            <w:r>
              <w:rPr>
                <w:rFonts w:hint="eastAsia" w:eastAsia="等线"/>
                <w:bCs/>
                <w:sz w:val="21"/>
                <w:szCs w:val="21"/>
                <w:u w:val="single"/>
              </w:rPr>
              <w:t>0</w:t>
            </w:r>
          </w:p>
        </w:tc>
        <w:tc>
          <w:tcPr>
            <w:tcW w:w="1026" w:type="pct"/>
            <w:vAlign w:val="center"/>
          </w:tcPr>
          <w:p w14:paraId="3C16A806">
            <w:pPr>
              <w:adjustRightInd/>
              <w:snapToGrid/>
              <w:spacing w:line="240" w:lineRule="auto"/>
              <w:ind w:firstLine="0" w:firstLineChars="0"/>
              <w:contextualSpacing/>
              <w:jc w:val="center"/>
              <w:rPr>
                <w:bCs/>
                <w:sz w:val="21"/>
                <w:szCs w:val="21"/>
                <w:u w:val="single"/>
              </w:rPr>
            </w:pPr>
            <w:r>
              <w:rPr>
                <w:bCs/>
                <w:sz w:val="21"/>
                <w:szCs w:val="21"/>
                <w:u w:val="single"/>
              </w:rPr>
              <w:t>P</w:t>
            </w:r>
            <w:r>
              <w:rPr>
                <w:bCs/>
                <w:sz w:val="21"/>
                <w:szCs w:val="21"/>
                <w:u w:val="single"/>
                <w:vertAlign w:val="subscript"/>
              </w:rPr>
              <w:t>max</w:t>
            </w:r>
            <w:r>
              <w:rPr>
                <w:bCs/>
                <w:sz w:val="21"/>
                <w:szCs w:val="21"/>
                <w:u w:val="single"/>
              </w:rPr>
              <w:t>＜1%</w:t>
            </w:r>
          </w:p>
        </w:tc>
        <w:tc>
          <w:tcPr>
            <w:tcW w:w="476" w:type="pct"/>
            <w:vAlign w:val="center"/>
          </w:tcPr>
          <w:p w14:paraId="4C38B74F">
            <w:pPr>
              <w:adjustRightInd/>
              <w:snapToGrid/>
              <w:spacing w:line="240" w:lineRule="auto"/>
              <w:ind w:firstLine="0" w:firstLineChars="0"/>
              <w:contextualSpacing/>
              <w:jc w:val="center"/>
              <w:rPr>
                <w:bCs/>
                <w:sz w:val="21"/>
                <w:szCs w:val="21"/>
                <w:u w:val="single"/>
              </w:rPr>
            </w:pPr>
            <w:r>
              <w:rPr>
                <w:bCs/>
                <w:sz w:val="21"/>
                <w:szCs w:val="21"/>
                <w:u w:val="single"/>
              </w:rPr>
              <w:t>三级</w:t>
            </w:r>
          </w:p>
        </w:tc>
      </w:tr>
      <w:tr w14:paraId="191DB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pct"/>
            <w:vMerge w:val="continue"/>
            <w:vAlign w:val="center"/>
          </w:tcPr>
          <w:p w14:paraId="5F7A0C2E">
            <w:pPr>
              <w:adjustRightInd/>
              <w:snapToGrid/>
              <w:spacing w:line="240" w:lineRule="auto"/>
              <w:ind w:firstLine="0" w:firstLineChars="0"/>
              <w:contextualSpacing/>
              <w:jc w:val="center"/>
              <w:rPr>
                <w:bCs/>
                <w:sz w:val="21"/>
                <w:szCs w:val="21"/>
                <w:highlight w:val="yellow"/>
                <w:u w:val="single"/>
              </w:rPr>
            </w:pPr>
          </w:p>
        </w:tc>
        <w:tc>
          <w:tcPr>
            <w:tcW w:w="801" w:type="pct"/>
            <w:vAlign w:val="center"/>
          </w:tcPr>
          <w:p w14:paraId="68322E7B">
            <w:pPr>
              <w:adjustRightInd/>
              <w:snapToGrid/>
              <w:spacing w:line="240" w:lineRule="auto"/>
              <w:ind w:firstLine="0" w:firstLineChars="0"/>
              <w:contextualSpacing/>
              <w:jc w:val="center"/>
              <w:rPr>
                <w:bCs/>
                <w:sz w:val="21"/>
                <w:szCs w:val="21"/>
                <w:highlight w:val="yellow"/>
                <w:u w:val="single"/>
              </w:rPr>
            </w:pPr>
            <w:r>
              <w:rPr>
                <w:sz w:val="21"/>
                <w:szCs w:val="21"/>
                <w:u w:val="single"/>
              </w:rPr>
              <w:t>颗粒物</w:t>
            </w:r>
          </w:p>
        </w:tc>
        <w:tc>
          <w:tcPr>
            <w:tcW w:w="940" w:type="pct"/>
            <w:vAlign w:val="center"/>
          </w:tcPr>
          <w:p w14:paraId="682E027E">
            <w:pPr>
              <w:adjustRightInd/>
              <w:snapToGrid/>
              <w:spacing w:line="240" w:lineRule="auto"/>
              <w:ind w:firstLine="0" w:firstLineChars="0"/>
              <w:contextualSpacing/>
              <w:jc w:val="center"/>
              <w:rPr>
                <w:bCs/>
                <w:sz w:val="21"/>
                <w:szCs w:val="21"/>
                <w:u w:val="single"/>
              </w:rPr>
            </w:pPr>
            <w:r>
              <w:rPr>
                <w:rFonts w:hint="eastAsia"/>
                <w:bCs/>
                <w:sz w:val="21"/>
                <w:szCs w:val="21"/>
                <w:u w:val="single"/>
              </w:rPr>
              <w:t>8.68E-04</w:t>
            </w:r>
          </w:p>
        </w:tc>
        <w:tc>
          <w:tcPr>
            <w:tcW w:w="599" w:type="pct"/>
            <w:vAlign w:val="center"/>
          </w:tcPr>
          <w:p w14:paraId="4822857F">
            <w:pPr>
              <w:adjustRightInd/>
              <w:snapToGrid/>
              <w:spacing w:line="240" w:lineRule="auto"/>
              <w:ind w:firstLine="0" w:firstLineChars="0"/>
              <w:contextualSpacing/>
              <w:jc w:val="center"/>
              <w:rPr>
                <w:bCs/>
                <w:sz w:val="21"/>
                <w:szCs w:val="21"/>
                <w:u w:val="single"/>
              </w:rPr>
            </w:pPr>
            <w:r>
              <w:rPr>
                <w:rFonts w:hint="eastAsia"/>
                <w:bCs/>
                <w:sz w:val="21"/>
                <w:szCs w:val="21"/>
                <w:u w:val="single"/>
              </w:rPr>
              <w:t>0.19</w:t>
            </w:r>
          </w:p>
        </w:tc>
        <w:tc>
          <w:tcPr>
            <w:tcW w:w="512" w:type="pct"/>
            <w:vAlign w:val="center"/>
          </w:tcPr>
          <w:p w14:paraId="6F683E4A">
            <w:pPr>
              <w:adjustRightInd/>
              <w:snapToGrid/>
              <w:spacing w:line="240" w:lineRule="auto"/>
              <w:ind w:firstLine="0" w:firstLineChars="0"/>
              <w:contextualSpacing/>
              <w:jc w:val="center"/>
              <w:rPr>
                <w:rFonts w:eastAsia="等线"/>
                <w:bCs/>
                <w:sz w:val="21"/>
                <w:szCs w:val="21"/>
                <w:u w:val="single"/>
              </w:rPr>
            </w:pPr>
            <w:r>
              <w:rPr>
                <w:rFonts w:hint="eastAsia" w:eastAsia="等线"/>
                <w:bCs/>
                <w:sz w:val="21"/>
                <w:szCs w:val="21"/>
                <w:u w:val="single"/>
              </w:rPr>
              <w:t>0</w:t>
            </w:r>
          </w:p>
        </w:tc>
        <w:tc>
          <w:tcPr>
            <w:tcW w:w="1026" w:type="pct"/>
            <w:vAlign w:val="center"/>
          </w:tcPr>
          <w:p w14:paraId="0D2A7EF8">
            <w:pPr>
              <w:adjustRightInd/>
              <w:snapToGrid/>
              <w:spacing w:line="240" w:lineRule="auto"/>
              <w:ind w:firstLine="0" w:firstLineChars="0"/>
              <w:contextualSpacing/>
              <w:jc w:val="center"/>
              <w:rPr>
                <w:bCs/>
                <w:sz w:val="21"/>
                <w:szCs w:val="21"/>
                <w:u w:val="single"/>
              </w:rPr>
            </w:pPr>
            <w:r>
              <w:rPr>
                <w:bCs/>
                <w:sz w:val="21"/>
                <w:szCs w:val="21"/>
                <w:u w:val="single"/>
              </w:rPr>
              <w:t>P</w:t>
            </w:r>
            <w:r>
              <w:rPr>
                <w:bCs/>
                <w:sz w:val="21"/>
                <w:szCs w:val="21"/>
                <w:u w:val="single"/>
                <w:vertAlign w:val="subscript"/>
              </w:rPr>
              <w:t>max</w:t>
            </w:r>
            <w:r>
              <w:rPr>
                <w:bCs/>
                <w:sz w:val="21"/>
                <w:szCs w:val="21"/>
                <w:u w:val="single"/>
              </w:rPr>
              <w:t>＜1%</w:t>
            </w:r>
          </w:p>
        </w:tc>
        <w:tc>
          <w:tcPr>
            <w:tcW w:w="476" w:type="pct"/>
            <w:vAlign w:val="center"/>
          </w:tcPr>
          <w:p w14:paraId="32559ABB">
            <w:pPr>
              <w:adjustRightInd/>
              <w:snapToGrid/>
              <w:spacing w:line="240" w:lineRule="auto"/>
              <w:ind w:firstLine="0" w:firstLineChars="0"/>
              <w:contextualSpacing/>
              <w:jc w:val="center"/>
              <w:rPr>
                <w:bCs/>
                <w:sz w:val="21"/>
                <w:szCs w:val="21"/>
                <w:u w:val="single"/>
              </w:rPr>
            </w:pPr>
            <w:r>
              <w:rPr>
                <w:bCs/>
                <w:sz w:val="21"/>
                <w:szCs w:val="21"/>
                <w:u w:val="single"/>
              </w:rPr>
              <w:t>三级</w:t>
            </w:r>
          </w:p>
        </w:tc>
      </w:tr>
    </w:tbl>
    <w:p w14:paraId="1DBD89CB">
      <w:pPr>
        <w:pStyle w:val="2"/>
        <w:ind w:firstLine="480"/>
      </w:pPr>
      <w:r>
        <w:rPr>
          <w:rFonts w:hint="eastAsia"/>
        </w:rPr>
        <w:t>由上表可知，本项目大气评价等级为三级。根据《环境影响评价技术导则 大气环境》（HJ2.2-2018），对电力、钢铁、水泥、石化、化工、平板玻璃、有色等高耗能行业的多源项目或以使用高污染燃料为主的多源项目，而且编制环境影响报告书的项目评价等级提高一级。</w:t>
      </w:r>
      <w:r>
        <w:rPr>
          <w:rFonts w:hint="eastAsia"/>
          <w:szCs w:val="24"/>
        </w:rPr>
        <w:t>本项目属于化工行业多源项目，故本次大气评价等级提高一级，为二级。</w:t>
      </w:r>
    </w:p>
    <w:p w14:paraId="1D3E9285">
      <w:pPr>
        <w:pStyle w:val="5"/>
        <w:spacing w:before="323" w:after="323"/>
      </w:pPr>
      <w:r>
        <w:t>地表水环境评价等级</w:t>
      </w:r>
      <w:bookmarkEnd w:id="88"/>
      <w:bookmarkEnd w:id="89"/>
      <w:bookmarkEnd w:id="90"/>
    </w:p>
    <w:p w14:paraId="1D3E9286">
      <w:pPr>
        <w:ind w:firstLine="480"/>
        <w:rPr>
          <w:bCs/>
        </w:rPr>
      </w:pPr>
      <w:bookmarkStart w:id="91" w:name="_Toc428286774"/>
      <w:bookmarkStart w:id="92" w:name="_Toc428287520"/>
      <w:bookmarkStart w:id="93" w:name="_Toc428287168"/>
      <w:r>
        <w:rPr>
          <w:bCs/>
        </w:rPr>
        <w:t>根据《环境影响评价技术导则-地</w:t>
      </w:r>
      <w:r>
        <w:rPr>
          <w:rFonts w:hint="eastAsia"/>
          <w:bCs/>
        </w:rPr>
        <w:t>表</w:t>
      </w:r>
      <w:r>
        <w:rPr>
          <w:bCs/>
        </w:rPr>
        <w:t>水环境》（HJ2.3-2018），直接排放的建设项目评价等级分为一级、二级和三级</w:t>
      </w:r>
      <w:r>
        <w:rPr>
          <w:rFonts w:eastAsia="Times New Roman"/>
          <w:bCs/>
        </w:rPr>
        <w:t>A</w:t>
      </w:r>
      <w:r>
        <w:rPr>
          <w:bCs/>
        </w:rPr>
        <w:t>，间接排放的建设项目评价等级为三级</w:t>
      </w:r>
      <w:r>
        <w:rPr>
          <w:rFonts w:eastAsia="Times New Roman"/>
          <w:bCs/>
        </w:rPr>
        <w:t>B</w:t>
      </w:r>
      <w:r>
        <w:rPr>
          <w:rFonts w:eastAsiaTheme="minorEastAsia"/>
          <w:bCs/>
        </w:rPr>
        <w:t>。本项目</w:t>
      </w:r>
      <w:r>
        <w:rPr>
          <w:rFonts w:hint="eastAsia"/>
        </w:rPr>
        <w:t>喷淋废水、车间地面清洗废水、化验室废水经厂区污水处理站处理后与经化粪池处理后的生活污水、循环冷却系统排水一起由厂区总排口排入园区污水管网，再进入唐庄污水处理厂进行进一步处理</w:t>
      </w:r>
      <w:r>
        <w:rPr>
          <w:rFonts w:eastAsiaTheme="minorEastAsia"/>
          <w:bCs/>
        </w:rPr>
        <w:t>，属于间接排放，评价等级为三级B</w:t>
      </w:r>
      <w:r>
        <w:rPr>
          <w:bCs/>
        </w:rPr>
        <w:t>。</w:t>
      </w:r>
    </w:p>
    <w:p w14:paraId="1D3E9287">
      <w:pPr>
        <w:pStyle w:val="64"/>
        <w:numPr>
          <w:ilvl w:val="0"/>
          <w:numId w:val="5"/>
        </w:numPr>
        <w:spacing w:before="161"/>
        <w:ind w:left="924" w:hanging="442" w:firstLineChars="0"/>
      </w:pPr>
      <w:r>
        <w:t xml:space="preserve">          地表水环境影响评价级别判定表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77"/>
        <w:gridCol w:w="2267"/>
        <w:gridCol w:w="4304"/>
      </w:tblGrid>
      <w:tr w14:paraId="1D3E92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vMerge w:val="restart"/>
            <w:vAlign w:val="center"/>
          </w:tcPr>
          <w:p w14:paraId="1D3E9288">
            <w:pPr>
              <w:spacing w:line="240" w:lineRule="auto"/>
              <w:ind w:firstLine="0" w:firstLineChars="0"/>
              <w:jc w:val="center"/>
              <w:rPr>
                <w:b/>
                <w:bCs/>
                <w:sz w:val="21"/>
                <w:szCs w:val="21"/>
              </w:rPr>
            </w:pPr>
            <w:r>
              <w:rPr>
                <w:b/>
                <w:bCs/>
                <w:sz w:val="21"/>
                <w:szCs w:val="21"/>
              </w:rPr>
              <w:t>评价等级</w:t>
            </w:r>
          </w:p>
        </w:tc>
        <w:tc>
          <w:tcPr>
            <w:tcW w:w="3672" w:type="pct"/>
            <w:gridSpan w:val="2"/>
            <w:vAlign w:val="center"/>
          </w:tcPr>
          <w:p w14:paraId="1D3E9289">
            <w:pPr>
              <w:spacing w:line="240" w:lineRule="auto"/>
              <w:ind w:firstLine="0" w:firstLineChars="0"/>
              <w:jc w:val="center"/>
              <w:rPr>
                <w:b/>
                <w:bCs/>
                <w:sz w:val="21"/>
                <w:szCs w:val="21"/>
              </w:rPr>
            </w:pPr>
            <w:r>
              <w:rPr>
                <w:b/>
                <w:bCs/>
                <w:sz w:val="21"/>
                <w:szCs w:val="21"/>
              </w:rPr>
              <w:t>判定依据</w:t>
            </w:r>
          </w:p>
        </w:tc>
      </w:tr>
      <w:tr w14:paraId="1D3E9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vMerge w:val="continue"/>
            <w:vAlign w:val="center"/>
          </w:tcPr>
          <w:p w14:paraId="1D3E928B">
            <w:pPr>
              <w:spacing w:line="240" w:lineRule="auto"/>
              <w:ind w:firstLine="0" w:firstLineChars="0"/>
              <w:jc w:val="center"/>
              <w:rPr>
                <w:b/>
                <w:bCs/>
                <w:sz w:val="21"/>
                <w:szCs w:val="21"/>
              </w:rPr>
            </w:pPr>
          </w:p>
        </w:tc>
        <w:tc>
          <w:tcPr>
            <w:tcW w:w="1267" w:type="pct"/>
            <w:vAlign w:val="center"/>
          </w:tcPr>
          <w:p w14:paraId="1D3E928C">
            <w:pPr>
              <w:spacing w:line="240" w:lineRule="auto"/>
              <w:ind w:firstLine="0" w:firstLineChars="0"/>
              <w:jc w:val="center"/>
              <w:rPr>
                <w:b/>
                <w:bCs/>
                <w:sz w:val="21"/>
                <w:szCs w:val="21"/>
              </w:rPr>
            </w:pPr>
            <w:r>
              <w:rPr>
                <w:b/>
                <w:bCs/>
                <w:sz w:val="21"/>
                <w:szCs w:val="21"/>
              </w:rPr>
              <w:t>排放方式</w:t>
            </w:r>
          </w:p>
        </w:tc>
        <w:tc>
          <w:tcPr>
            <w:tcW w:w="2405" w:type="pct"/>
            <w:vAlign w:val="center"/>
          </w:tcPr>
          <w:p w14:paraId="1D3E928D">
            <w:pPr>
              <w:spacing w:line="240" w:lineRule="auto"/>
              <w:ind w:firstLine="0" w:firstLineChars="0"/>
              <w:jc w:val="center"/>
              <w:rPr>
                <w:b/>
                <w:bCs/>
                <w:sz w:val="21"/>
                <w:szCs w:val="21"/>
              </w:rPr>
            </w:pPr>
            <w:r>
              <w:rPr>
                <w:b/>
                <w:bCs/>
                <w:sz w:val="21"/>
                <w:szCs w:val="21"/>
              </w:rPr>
              <w:t>废水排放量Q/（m</w:t>
            </w:r>
            <w:r>
              <w:rPr>
                <w:b/>
                <w:bCs/>
                <w:sz w:val="21"/>
                <w:szCs w:val="21"/>
                <w:vertAlign w:val="superscript"/>
              </w:rPr>
              <w:t>3</w:t>
            </w:r>
            <w:r>
              <w:rPr>
                <w:b/>
                <w:bCs/>
                <w:sz w:val="21"/>
                <w:szCs w:val="21"/>
              </w:rPr>
              <w:t>/d）；</w:t>
            </w:r>
          </w:p>
          <w:p w14:paraId="1D3E928E">
            <w:pPr>
              <w:spacing w:line="240" w:lineRule="auto"/>
              <w:ind w:firstLine="0" w:firstLineChars="0"/>
              <w:jc w:val="center"/>
              <w:rPr>
                <w:b/>
                <w:bCs/>
                <w:sz w:val="21"/>
                <w:szCs w:val="21"/>
              </w:rPr>
            </w:pPr>
            <w:r>
              <w:rPr>
                <w:b/>
                <w:bCs/>
                <w:sz w:val="21"/>
                <w:szCs w:val="21"/>
              </w:rPr>
              <w:t>水污染物当量数W/（无量纲）</w:t>
            </w:r>
          </w:p>
        </w:tc>
      </w:tr>
      <w:tr w14:paraId="1D3E9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vAlign w:val="center"/>
          </w:tcPr>
          <w:p w14:paraId="1D3E9290">
            <w:pPr>
              <w:spacing w:line="240" w:lineRule="auto"/>
              <w:ind w:firstLine="0" w:firstLineChars="0"/>
              <w:jc w:val="center"/>
              <w:rPr>
                <w:sz w:val="21"/>
                <w:szCs w:val="21"/>
              </w:rPr>
            </w:pPr>
            <w:r>
              <w:rPr>
                <w:sz w:val="21"/>
                <w:szCs w:val="21"/>
              </w:rPr>
              <w:t>一级</w:t>
            </w:r>
          </w:p>
        </w:tc>
        <w:tc>
          <w:tcPr>
            <w:tcW w:w="1267" w:type="pct"/>
            <w:vAlign w:val="center"/>
          </w:tcPr>
          <w:p w14:paraId="1D3E9291">
            <w:pPr>
              <w:spacing w:line="240" w:lineRule="auto"/>
              <w:ind w:firstLine="0" w:firstLineChars="0"/>
              <w:jc w:val="center"/>
              <w:rPr>
                <w:sz w:val="21"/>
                <w:szCs w:val="21"/>
              </w:rPr>
            </w:pPr>
            <w:r>
              <w:rPr>
                <w:sz w:val="21"/>
                <w:szCs w:val="21"/>
              </w:rPr>
              <w:t>直接排放</w:t>
            </w:r>
          </w:p>
        </w:tc>
        <w:tc>
          <w:tcPr>
            <w:tcW w:w="2405" w:type="pct"/>
            <w:vAlign w:val="center"/>
          </w:tcPr>
          <w:p w14:paraId="1D3E9292">
            <w:pPr>
              <w:spacing w:line="240" w:lineRule="auto"/>
              <w:ind w:firstLine="0" w:firstLineChars="0"/>
              <w:jc w:val="center"/>
              <w:rPr>
                <w:sz w:val="21"/>
                <w:szCs w:val="21"/>
              </w:rPr>
            </w:pPr>
            <w:r>
              <w:rPr>
                <w:sz w:val="21"/>
                <w:szCs w:val="21"/>
              </w:rPr>
              <w:t>Q≥20000或W≥600000</w:t>
            </w:r>
          </w:p>
        </w:tc>
      </w:tr>
      <w:tr w14:paraId="1D3E9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vAlign w:val="center"/>
          </w:tcPr>
          <w:p w14:paraId="1D3E9294">
            <w:pPr>
              <w:spacing w:line="240" w:lineRule="auto"/>
              <w:ind w:firstLine="0" w:firstLineChars="0"/>
              <w:jc w:val="center"/>
              <w:rPr>
                <w:sz w:val="21"/>
                <w:szCs w:val="21"/>
              </w:rPr>
            </w:pPr>
            <w:r>
              <w:rPr>
                <w:sz w:val="21"/>
                <w:szCs w:val="21"/>
              </w:rPr>
              <w:t>二级</w:t>
            </w:r>
          </w:p>
        </w:tc>
        <w:tc>
          <w:tcPr>
            <w:tcW w:w="1267" w:type="pct"/>
            <w:vAlign w:val="center"/>
          </w:tcPr>
          <w:p w14:paraId="1D3E9295">
            <w:pPr>
              <w:spacing w:line="240" w:lineRule="auto"/>
              <w:ind w:firstLine="0" w:firstLineChars="0"/>
              <w:jc w:val="center"/>
              <w:rPr>
                <w:sz w:val="21"/>
                <w:szCs w:val="21"/>
              </w:rPr>
            </w:pPr>
            <w:r>
              <w:rPr>
                <w:sz w:val="21"/>
                <w:szCs w:val="21"/>
              </w:rPr>
              <w:t>直接排放</w:t>
            </w:r>
          </w:p>
        </w:tc>
        <w:tc>
          <w:tcPr>
            <w:tcW w:w="2405" w:type="pct"/>
            <w:vAlign w:val="center"/>
          </w:tcPr>
          <w:p w14:paraId="1D3E9296">
            <w:pPr>
              <w:spacing w:line="240" w:lineRule="auto"/>
              <w:ind w:firstLine="0" w:firstLineChars="0"/>
              <w:jc w:val="center"/>
              <w:rPr>
                <w:sz w:val="21"/>
                <w:szCs w:val="21"/>
              </w:rPr>
            </w:pPr>
            <w:r>
              <w:rPr>
                <w:sz w:val="21"/>
                <w:szCs w:val="21"/>
              </w:rPr>
              <w:t>其他</w:t>
            </w:r>
          </w:p>
        </w:tc>
      </w:tr>
      <w:tr w14:paraId="1D3E9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vAlign w:val="center"/>
          </w:tcPr>
          <w:p w14:paraId="1D3E9298">
            <w:pPr>
              <w:spacing w:line="240" w:lineRule="auto"/>
              <w:ind w:firstLine="0" w:firstLineChars="0"/>
              <w:jc w:val="center"/>
              <w:rPr>
                <w:sz w:val="21"/>
                <w:szCs w:val="21"/>
              </w:rPr>
            </w:pPr>
            <w:r>
              <w:rPr>
                <w:sz w:val="21"/>
                <w:szCs w:val="21"/>
              </w:rPr>
              <w:t>三级A</w:t>
            </w:r>
          </w:p>
        </w:tc>
        <w:tc>
          <w:tcPr>
            <w:tcW w:w="1267" w:type="pct"/>
            <w:vAlign w:val="center"/>
          </w:tcPr>
          <w:p w14:paraId="1D3E9299">
            <w:pPr>
              <w:spacing w:line="240" w:lineRule="auto"/>
              <w:ind w:firstLine="0" w:firstLineChars="0"/>
              <w:jc w:val="center"/>
              <w:rPr>
                <w:sz w:val="21"/>
                <w:szCs w:val="21"/>
              </w:rPr>
            </w:pPr>
            <w:r>
              <w:rPr>
                <w:sz w:val="21"/>
                <w:szCs w:val="21"/>
              </w:rPr>
              <w:t>直接排放</w:t>
            </w:r>
          </w:p>
        </w:tc>
        <w:tc>
          <w:tcPr>
            <w:tcW w:w="2405" w:type="pct"/>
            <w:vAlign w:val="center"/>
          </w:tcPr>
          <w:p w14:paraId="1D3E929A">
            <w:pPr>
              <w:spacing w:line="240" w:lineRule="auto"/>
              <w:ind w:firstLine="0" w:firstLineChars="0"/>
              <w:jc w:val="center"/>
              <w:rPr>
                <w:sz w:val="21"/>
                <w:szCs w:val="21"/>
              </w:rPr>
            </w:pPr>
            <w:r>
              <w:rPr>
                <w:sz w:val="21"/>
                <w:szCs w:val="21"/>
              </w:rPr>
              <w:t>Q＜200且W＜6000</w:t>
            </w:r>
          </w:p>
        </w:tc>
      </w:tr>
      <w:tr w14:paraId="1D3E9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vAlign w:val="center"/>
          </w:tcPr>
          <w:p w14:paraId="1D3E929C">
            <w:pPr>
              <w:pStyle w:val="62"/>
            </w:pPr>
            <w:r>
              <w:t>三级B</w:t>
            </w:r>
          </w:p>
        </w:tc>
        <w:tc>
          <w:tcPr>
            <w:tcW w:w="1267" w:type="pct"/>
            <w:vAlign w:val="center"/>
          </w:tcPr>
          <w:p w14:paraId="1D3E929D">
            <w:pPr>
              <w:spacing w:line="240" w:lineRule="auto"/>
              <w:ind w:firstLine="0" w:firstLineChars="0"/>
              <w:jc w:val="center"/>
              <w:rPr>
                <w:sz w:val="21"/>
                <w:szCs w:val="21"/>
              </w:rPr>
            </w:pPr>
            <w:r>
              <w:rPr>
                <w:sz w:val="21"/>
                <w:szCs w:val="21"/>
              </w:rPr>
              <w:t>间接排放</w:t>
            </w:r>
          </w:p>
        </w:tc>
        <w:tc>
          <w:tcPr>
            <w:tcW w:w="2405" w:type="pct"/>
            <w:vAlign w:val="center"/>
          </w:tcPr>
          <w:p w14:paraId="1D3E929E">
            <w:pPr>
              <w:spacing w:line="240" w:lineRule="auto"/>
              <w:ind w:firstLine="0" w:firstLineChars="0"/>
              <w:jc w:val="center"/>
              <w:rPr>
                <w:sz w:val="21"/>
                <w:szCs w:val="21"/>
              </w:rPr>
            </w:pPr>
            <w:r>
              <w:rPr>
                <w:sz w:val="21"/>
                <w:szCs w:val="21"/>
              </w:rPr>
              <w:t>—</w:t>
            </w:r>
          </w:p>
        </w:tc>
      </w:tr>
    </w:tbl>
    <w:p w14:paraId="1D3E92A6">
      <w:pPr>
        <w:pStyle w:val="5"/>
        <w:spacing w:before="323" w:after="323"/>
      </w:pPr>
      <w:r>
        <w:t>地下水环境评价等级</w:t>
      </w:r>
      <w:bookmarkEnd w:id="91"/>
      <w:bookmarkEnd w:id="92"/>
      <w:bookmarkEnd w:id="93"/>
    </w:p>
    <w:p w14:paraId="32884581">
      <w:pPr>
        <w:ind w:firstLine="480"/>
      </w:pPr>
      <w:r>
        <w:rPr>
          <w:rFonts w:hint="eastAsia"/>
        </w:rPr>
        <w:t>根据《环境影响评价技术导则-地下水环境》（HJ610-2016），评价工作等级划分应依据建设项目行业分类和地下水环境敏感程度分级进行判定，确定本项目地下水环境评价等级如下。</w:t>
      </w:r>
    </w:p>
    <w:p w14:paraId="05505294">
      <w:pPr>
        <w:pStyle w:val="2"/>
        <w:spacing w:after="0"/>
        <w:ind w:firstLine="480"/>
      </w:pPr>
      <w:r>
        <w:rPr>
          <w:rFonts w:hint="eastAsia"/>
        </w:rPr>
        <w:t>（1）</w:t>
      </w:r>
      <w:r>
        <w:t>建设项目行业分类</w:t>
      </w:r>
    </w:p>
    <w:p w14:paraId="1D3E92A9">
      <w:pPr>
        <w:ind w:firstLine="480"/>
      </w:pPr>
      <w:r>
        <w:t>根据《环境影响评价技术导则地下水环境》（HJ610-2016）建设项目对地下水环境影响的特征及分类，</w:t>
      </w:r>
      <w:r>
        <w:rPr>
          <w:bCs/>
        </w:rPr>
        <w:t>本项目属于</w:t>
      </w:r>
      <w:r>
        <w:rPr>
          <w:rFonts w:hint="eastAsia"/>
        </w:rPr>
        <w:t>“L石化、化工”中的“85、基础化学原料制造”，</w:t>
      </w:r>
      <w:r>
        <w:rPr>
          <w:bCs/>
        </w:rPr>
        <w:t>应编制环境影响报告书，</w:t>
      </w:r>
      <w:r>
        <w:rPr>
          <w:rFonts w:hint="eastAsia"/>
          <w:bCs/>
        </w:rPr>
        <w:t>属于I类建设项目。</w:t>
      </w:r>
      <w:r>
        <w:rPr>
          <w:bCs/>
        </w:rPr>
        <w:t>本项目地下水环境影响评价行业分类见</w:t>
      </w:r>
      <w:r>
        <w:rPr>
          <w:rFonts w:hint="eastAsia"/>
          <w:bCs/>
        </w:rPr>
        <w:t>下</w:t>
      </w:r>
      <w:r>
        <w:rPr>
          <w:bCs/>
        </w:rPr>
        <w:t>表。</w:t>
      </w:r>
    </w:p>
    <w:p w14:paraId="5771C00D">
      <w:pPr>
        <w:pStyle w:val="64"/>
        <w:numPr>
          <w:ilvl w:val="0"/>
          <w:numId w:val="5"/>
        </w:numPr>
        <w:spacing w:before="161" w:after="161"/>
        <w:ind w:firstLineChars="0"/>
      </w:pPr>
      <w:bookmarkStart w:id="94" w:name="_Toc428287521"/>
      <w:bookmarkStart w:id="95" w:name="_Toc428287169"/>
      <w:bookmarkStart w:id="96" w:name="_Toc428286775"/>
      <w:r>
        <w:rPr>
          <w:rFonts w:hint="eastAsia"/>
        </w:rPr>
        <w:t xml:space="preserve">          地下水环境影响评价行业分类表</w:t>
      </w:r>
    </w:p>
    <w:tbl>
      <w:tblPr>
        <w:tblStyle w:val="41"/>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2220"/>
        <w:gridCol w:w="3482"/>
        <w:gridCol w:w="1114"/>
        <w:gridCol w:w="837"/>
        <w:gridCol w:w="1135"/>
      </w:tblGrid>
      <w:tr w14:paraId="76135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263" w:type="pct"/>
            <w:vMerge w:val="restart"/>
            <w:tcBorders>
              <w:top w:val="single" w:color="auto" w:sz="8" w:space="0"/>
              <w:left w:val="single" w:color="auto" w:sz="8" w:space="0"/>
              <w:bottom w:val="single" w:color="auto" w:sz="4" w:space="0"/>
              <w:right w:val="single" w:color="auto" w:sz="4" w:space="0"/>
              <w:tl2br w:val="single" w:color="auto" w:sz="4" w:space="0"/>
            </w:tcBorders>
            <w:vAlign w:val="center"/>
          </w:tcPr>
          <w:p w14:paraId="1FA15B7E">
            <w:pPr>
              <w:spacing w:line="240" w:lineRule="auto"/>
              <w:ind w:firstLine="0" w:firstLineChars="0"/>
              <w:jc w:val="center"/>
              <w:rPr>
                <w:b/>
                <w:bCs/>
                <w:sz w:val="21"/>
                <w:szCs w:val="21"/>
              </w:rPr>
            </w:pPr>
            <w:r>
              <w:rPr>
                <w:b/>
                <w:bCs/>
                <w:sz w:val="21"/>
                <w:szCs w:val="21"/>
              </w:rPr>
              <w:t xml:space="preserve">           环评类别</w:t>
            </w:r>
          </w:p>
          <w:p w14:paraId="0C3FAE98">
            <w:pPr>
              <w:spacing w:line="240" w:lineRule="auto"/>
              <w:ind w:firstLine="0" w:firstLineChars="0"/>
              <w:rPr>
                <w:b/>
                <w:bCs/>
                <w:sz w:val="21"/>
                <w:szCs w:val="21"/>
              </w:rPr>
            </w:pPr>
            <w:r>
              <w:rPr>
                <w:b/>
                <w:bCs/>
                <w:sz w:val="21"/>
                <w:szCs w:val="21"/>
              </w:rPr>
              <w:t>项目类别</w:t>
            </w:r>
          </w:p>
        </w:tc>
        <w:tc>
          <w:tcPr>
            <w:tcW w:w="1981" w:type="pct"/>
            <w:vMerge w:val="restart"/>
            <w:tcBorders>
              <w:top w:val="single" w:color="auto" w:sz="8" w:space="0"/>
              <w:left w:val="single" w:color="auto" w:sz="4" w:space="0"/>
              <w:bottom w:val="single" w:color="auto" w:sz="4" w:space="0"/>
              <w:right w:val="single" w:color="auto" w:sz="4" w:space="0"/>
            </w:tcBorders>
            <w:vAlign w:val="center"/>
          </w:tcPr>
          <w:p w14:paraId="0219AB14">
            <w:pPr>
              <w:spacing w:line="240" w:lineRule="auto"/>
              <w:ind w:firstLine="0" w:firstLineChars="0"/>
              <w:jc w:val="center"/>
              <w:rPr>
                <w:b/>
                <w:bCs/>
                <w:sz w:val="21"/>
                <w:szCs w:val="21"/>
              </w:rPr>
            </w:pPr>
            <w:r>
              <w:rPr>
                <w:b/>
                <w:bCs/>
                <w:sz w:val="21"/>
                <w:szCs w:val="21"/>
              </w:rPr>
              <w:t>报告书</w:t>
            </w:r>
          </w:p>
        </w:tc>
        <w:tc>
          <w:tcPr>
            <w:tcW w:w="634" w:type="pct"/>
            <w:vMerge w:val="restart"/>
            <w:tcBorders>
              <w:top w:val="single" w:color="auto" w:sz="8" w:space="0"/>
              <w:left w:val="single" w:color="auto" w:sz="4" w:space="0"/>
              <w:bottom w:val="single" w:color="auto" w:sz="4" w:space="0"/>
              <w:right w:val="single" w:color="auto" w:sz="4" w:space="0"/>
            </w:tcBorders>
            <w:vAlign w:val="center"/>
          </w:tcPr>
          <w:p w14:paraId="2DC4D809">
            <w:pPr>
              <w:spacing w:line="240" w:lineRule="auto"/>
              <w:ind w:firstLine="0" w:firstLineChars="0"/>
              <w:jc w:val="center"/>
              <w:rPr>
                <w:b/>
                <w:bCs/>
                <w:sz w:val="21"/>
                <w:szCs w:val="21"/>
              </w:rPr>
            </w:pPr>
            <w:r>
              <w:rPr>
                <w:b/>
                <w:bCs/>
                <w:sz w:val="21"/>
                <w:szCs w:val="21"/>
              </w:rPr>
              <w:t>报告表</w:t>
            </w:r>
          </w:p>
        </w:tc>
        <w:tc>
          <w:tcPr>
            <w:tcW w:w="1122" w:type="pct"/>
            <w:gridSpan w:val="2"/>
            <w:tcBorders>
              <w:top w:val="single" w:color="auto" w:sz="8" w:space="0"/>
              <w:left w:val="single" w:color="auto" w:sz="4" w:space="0"/>
              <w:bottom w:val="single" w:color="auto" w:sz="4" w:space="0"/>
              <w:right w:val="single" w:color="auto" w:sz="8" w:space="0"/>
            </w:tcBorders>
            <w:vAlign w:val="center"/>
          </w:tcPr>
          <w:p w14:paraId="73A0ACD5">
            <w:pPr>
              <w:spacing w:line="240" w:lineRule="auto"/>
              <w:ind w:firstLine="0" w:firstLineChars="0"/>
              <w:jc w:val="center"/>
              <w:rPr>
                <w:b/>
                <w:bCs/>
                <w:sz w:val="21"/>
                <w:szCs w:val="21"/>
              </w:rPr>
            </w:pPr>
            <w:r>
              <w:rPr>
                <w:b/>
                <w:bCs/>
                <w:sz w:val="21"/>
                <w:szCs w:val="21"/>
              </w:rPr>
              <w:t>地下水环境影响评价项目类别</w:t>
            </w:r>
          </w:p>
        </w:tc>
      </w:tr>
      <w:tr w14:paraId="55FF9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263" w:type="pct"/>
            <w:vMerge w:val="continue"/>
            <w:tcBorders>
              <w:top w:val="single" w:color="auto" w:sz="4" w:space="0"/>
              <w:left w:val="single" w:color="auto" w:sz="8" w:space="0"/>
              <w:bottom w:val="single" w:color="auto" w:sz="4" w:space="0"/>
              <w:right w:val="single" w:color="auto" w:sz="4" w:space="0"/>
            </w:tcBorders>
            <w:vAlign w:val="center"/>
          </w:tcPr>
          <w:p w14:paraId="5EF88DA4">
            <w:pPr>
              <w:widowControl/>
              <w:spacing w:line="240" w:lineRule="auto"/>
              <w:ind w:firstLine="0" w:firstLineChars="0"/>
              <w:jc w:val="center"/>
              <w:rPr>
                <w:b/>
                <w:bCs/>
                <w:sz w:val="21"/>
                <w:szCs w:val="21"/>
              </w:rPr>
            </w:pPr>
          </w:p>
        </w:tc>
        <w:tc>
          <w:tcPr>
            <w:tcW w:w="1981" w:type="pct"/>
            <w:vMerge w:val="continue"/>
            <w:tcBorders>
              <w:top w:val="single" w:color="auto" w:sz="4" w:space="0"/>
              <w:left w:val="single" w:color="auto" w:sz="4" w:space="0"/>
              <w:bottom w:val="single" w:color="auto" w:sz="4" w:space="0"/>
              <w:right w:val="single" w:color="auto" w:sz="4" w:space="0"/>
            </w:tcBorders>
            <w:vAlign w:val="center"/>
          </w:tcPr>
          <w:p w14:paraId="005EA453">
            <w:pPr>
              <w:widowControl/>
              <w:spacing w:line="240" w:lineRule="auto"/>
              <w:ind w:firstLine="0" w:firstLineChars="0"/>
              <w:jc w:val="center"/>
              <w:rPr>
                <w:b/>
                <w:bCs/>
                <w:sz w:val="21"/>
                <w:szCs w:val="21"/>
              </w:rPr>
            </w:pPr>
          </w:p>
        </w:tc>
        <w:tc>
          <w:tcPr>
            <w:tcW w:w="634" w:type="pct"/>
            <w:vMerge w:val="continue"/>
            <w:tcBorders>
              <w:top w:val="single" w:color="auto" w:sz="4" w:space="0"/>
              <w:left w:val="single" w:color="auto" w:sz="4" w:space="0"/>
              <w:bottom w:val="single" w:color="auto" w:sz="4" w:space="0"/>
              <w:right w:val="single" w:color="auto" w:sz="4" w:space="0"/>
            </w:tcBorders>
            <w:vAlign w:val="center"/>
          </w:tcPr>
          <w:p w14:paraId="49D2AC2A">
            <w:pPr>
              <w:widowControl/>
              <w:spacing w:line="240" w:lineRule="auto"/>
              <w:ind w:firstLine="0" w:firstLineChars="0"/>
              <w:jc w:val="center"/>
              <w:rPr>
                <w:b/>
                <w:bCs/>
                <w:sz w:val="21"/>
                <w:szCs w:val="21"/>
              </w:rPr>
            </w:pPr>
          </w:p>
        </w:tc>
        <w:tc>
          <w:tcPr>
            <w:tcW w:w="476" w:type="pct"/>
            <w:tcBorders>
              <w:top w:val="single" w:color="auto" w:sz="4" w:space="0"/>
              <w:left w:val="single" w:color="auto" w:sz="4" w:space="0"/>
              <w:bottom w:val="single" w:color="auto" w:sz="4" w:space="0"/>
              <w:right w:val="single" w:color="auto" w:sz="4" w:space="0"/>
            </w:tcBorders>
            <w:vAlign w:val="center"/>
          </w:tcPr>
          <w:p w14:paraId="3223A0F3">
            <w:pPr>
              <w:spacing w:line="240" w:lineRule="auto"/>
              <w:ind w:firstLine="0" w:firstLineChars="0"/>
              <w:jc w:val="center"/>
              <w:rPr>
                <w:b/>
                <w:bCs/>
                <w:sz w:val="21"/>
                <w:szCs w:val="21"/>
              </w:rPr>
            </w:pPr>
            <w:r>
              <w:rPr>
                <w:b/>
                <w:bCs/>
                <w:sz w:val="21"/>
                <w:szCs w:val="21"/>
              </w:rPr>
              <w:t>报告书</w:t>
            </w:r>
          </w:p>
        </w:tc>
        <w:tc>
          <w:tcPr>
            <w:tcW w:w="646" w:type="pct"/>
            <w:tcBorders>
              <w:top w:val="single" w:color="auto" w:sz="4" w:space="0"/>
              <w:left w:val="single" w:color="auto" w:sz="4" w:space="0"/>
              <w:bottom w:val="single" w:color="auto" w:sz="4" w:space="0"/>
              <w:right w:val="single" w:color="auto" w:sz="8" w:space="0"/>
            </w:tcBorders>
            <w:vAlign w:val="center"/>
          </w:tcPr>
          <w:p w14:paraId="1BE25C67">
            <w:pPr>
              <w:spacing w:line="240" w:lineRule="auto"/>
              <w:ind w:firstLine="0" w:firstLineChars="0"/>
              <w:jc w:val="center"/>
              <w:rPr>
                <w:b/>
                <w:bCs/>
                <w:sz w:val="21"/>
                <w:szCs w:val="21"/>
              </w:rPr>
            </w:pPr>
            <w:r>
              <w:rPr>
                <w:b/>
                <w:bCs/>
                <w:sz w:val="21"/>
                <w:szCs w:val="21"/>
              </w:rPr>
              <w:t>报告表</w:t>
            </w:r>
          </w:p>
        </w:tc>
      </w:tr>
      <w:tr w14:paraId="1B8BD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263" w:type="pct"/>
            <w:tcBorders>
              <w:top w:val="single" w:color="auto" w:sz="4" w:space="0"/>
              <w:left w:val="single" w:color="auto" w:sz="8" w:space="0"/>
              <w:bottom w:val="single" w:color="auto" w:sz="8" w:space="0"/>
              <w:right w:val="single" w:color="auto" w:sz="4" w:space="0"/>
            </w:tcBorders>
            <w:vAlign w:val="center"/>
          </w:tcPr>
          <w:p w14:paraId="64701561">
            <w:pPr>
              <w:spacing w:line="240" w:lineRule="auto"/>
              <w:ind w:firstLine="0" w:firstLineChars="0"/>
              <w:jc w:val="center"/>
              <w:rPr>
                <w:sz w:val="21"/>
                <w:szCs w:val="21"/>
              </w:rPr>
            </w:pPr>
            <w:r>
              <w:rPr>
                <w:rFonts w:hint="eastAsia"/>
                <w:sz w:val="21"/>
                <w:szCs w:val="21"/>
              </w:rPr>
              <w:t>85</w:t>
            </w:r>
            <w:r>
              <w:rPr>
                <w:sz w:val="21"/>
                <w:szCs w:val="21"/>
              </w:rPr>
              <w:t>、</w:t>
            </w:r>
            <w:r>
              <w:rPr>
                <w:rFonts w:hint="eastAsia"/>
                <w:sz w:val="21"/>
                <w:szCs w:val="21"/>
              </w:rPr>
              <w:t>基础化学原料制造</w:t>
            </w:r>
          </w:p>
        </w:tc>
        <w:tc>
          <w:tcPr>
            <w:tcW w:w="1981" w:type="pct"/>
            <w:tcBorders>
              <w:top w:val="single" w:color="auto" w:sz="4" w:space="0"/>
              <w:left w:val="single" w:color="auto" w:sz="4" w:space="0"/>
              <w:bottom w:val="single" w:color="auto" w:sz="8" w:space="0"/>
              <w:right w:val="single" w:color="auto" w:sz="4" w:space="0"/>
            </w:tcBorders>
            <w:vAlign w:val="center"/>
          </w:tcPr>
          <w:p w14:paraId="3AF1056D">
            <w:pPr>
              <w:spacing w:line="240" w:lineRule="auto"/>
              <w:ind w:firstLine="0" w:firstLineChars="0"/>
              <w:jc w:val="center"/>
              <w:rPr>
                <w:sz w:val="21"/>
                <w:szCs w:val="21"/>
              </w:rPr>
            </w:pPr>
            <w:r>
              <w:rPr>
                <w:rFonts w:hint="eastAsia"/>
                <w:sz w:val="21"/>
                <w:szCs w:val="21"/>
              </w:rPr>
              <w:t>除单纯混合和分装外</w:t>
            </w:r>
          </w:p>
        </w:tc>
        <w:tc>
          <w:tcPr>
            <w:tcW w:w="634" w:type="pct"/>
            <w:tcBorders>
              <w:top w:val="single" w:color="auto" w:sz="4" w:space="0"/>
              <w:left w:val="single" w:color="auto" w:sz="4" w:space="0"/>
              <w:bottom w:val="single" w:color="auto" w:sz="8" w:space="0"/>
              <w:right w:val="single" w:color="auto" w:sz="4" w:space="0"/>
            </w:tcBorders>
            <w:vAlign w:val="center"/>
          </w:tcPr>
          <w:p w14:paraId="4B6A029C">
            <w:pPr>
              <w:spacing w:line="240" w:lineRule="auto"/>
              <w:ind w:firstLine="0" w:firstLineChars="0"/>
              <w:jc w:val="center"/>
              <w:rPr>
                <w:sz w:val="21"/>
                <w:szCs w:val="21"/>
              </w:rPr>
            </w:pPr>
            <w:r>
              <w:rPr>
                <w:rFonts w:hint="eastAsia"/>
                <w:sz w:val="21"/>
                <w:szCs w:val="21"/>
              </w:rPr>
              <w:t>单纯混合或包装的</w:t>
            </w:r>
          </w:p>
        </w:tc>
        <w:tc>
          <w:tcPr>
            <w:tcW w:w="476" w:type="pct"/>
            <w:tcBorders>
              <w:top w:val="single" w:color="auto" w:sz="4" w:space="0"/>
              <w:left w:val="single" w:color="auto" w:sz="4" w:space="0"/>
              <w:bottom w:val="single" w:color="auto" w:sz="8" w:space="0"/>
              <w:right w:val="single" w:color="auto" w:sz="4" w:space="0"/>
            </w:tcBorders>
            <w:vAlign w:val="center"/>
          </w:tcPr>
          <w:p w14:paraId="3CF2F69C">
            <w:pPr>
              <w:spacing w:line="240" w:lineRule="auto"/>
              <w:ind w:firstLine="0" w:firstLineChars="0"/>
              <w:jc w:val="center"/>
              <w:rPr>
                <w:sz w:val="21"/>
                <w:szCs w:val="21"/>
              </w:rPr>
            </w:pPr>
            <w:r>
              <w:rPr>
                <w:sz w:val="21"/>
                <w:szCs w:val="21"/>
              </w:rPr>
              <w:t>I类</w:t>
            </w:r>
          </w:p>
        </w:tc>
        <w:tc>
          <w:tcPr>
            <w:tcW w:w="646" w:type="pct"/>
            <w:tcBorders>
              <w:top w:val="single" w:color="auto" w:sz="4" w:space="0"/>
              <w:left w:val="single" w:color="auto" w:sz="4" w:space="0"/>
              <w:bottom w:val="single" w:color="auto" w:sz="8" w:space="0"/>
              <w:right w:val="single" w:color="auto" w:sz="8" w:space="0"/>
            </w:tcBorders>
            <w:vAlign w:val="center"/>
          </w:tcPr>
          <w:p w14:paraId="4FEB93A4">
            <w:pPr>
              <w:spacing w:line="240" w:lineRule="auto"/>
              <w:ind w:firstLine="0" w:firstLineChars="0"/>
              <w:jc w:val="center"/>
              <w:rPr>
                <w:sz w:val="21"/>
                <w:szCs w:val="21"/>
              </w:rPr>
            </w:pPr>
            <w:r>
              <w:rPr>
                <w:rFonts w:hint="eastAsia"/>
                <w:sz w:val="21"/>
                <w:szCs w:val="21"/>
              </w:rPr>
              <w:t>III类</w:t>
            </w:r>
          </w:p>
        </w:tc>
      </w:tr>
    </w:tbl>
    <w:p w14:paraId="684CC14D">
      <w:pPr>
        <w:pStyle w:val="2"/>
        <w:spacing w:after="0"/>
        <w:ind w:firstLine="480"/>
      </w:pPr>
      <w:r>
        <w:t>（2）地下水环境敏感程度</w:t>
      </w:r>
    </w:p>
    <w:p w14:paraId="63A09989">
      <w:pPr>
        <w:pStyle w:val="2"/>
        <w:spacing w:after="0"/>
        <w:ind w:firstLine="480"/>
      </w:pPr>
      <w:r>
        <w:t>地下水环境敏感程度分级见下表。</w:t>
      </w:r>
    </w:p>
    <w:p w14:paraId="395BD1B7">
      <w:pPr>
        <w:pStyle w:val="64"/>
        <w:numPr>
          <w:ilvl w:val="0"/>
          <w:numId w:val="5"/>
        </w:numPr>
        <w:spacing w:before="161" w:after="161"/>
        <w:ind w:firstLineChars="0"/>
      </w:pPr>
      <w:r>
        <w:t xml:space="preserve">   </w:t>
      </w:r>
      <w:r>
        <w:rPr>
          <w:rFonts w:hint="eastAsia"/>
        </w:rPr>
        <w:t xml:space="preserve">         地下水环境敏感程度分级表</w:t>
      </w:r>
    </w:p>
    <w:tbl>
      <w:tblPr>
        <w:tblStyle w:val="41"/>
        <w:tblW w:w="500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7760"/>
      </w:tblGrid>
      <w:tr w14:paraId="2A47C03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pct"/>
            <w:vAlign w:val="center"/>
          </w:tcPr>
          <w:p w14:paraId="47583976">
            <w:pPr>
              <w:spacing w:line="240" w:lineRule="auto"/>
              <w:ind w:firstLine="0" w:firstLineChars="0"/>
              <w:jc w:val="center"/>
              <w:rPr>
                <w:b/>
                <w:sz w:val="21"/>
                <w:szCs w:val="21"/>
              </w:rPr>
            </w:pPr>
            <w:r>
              <w:rPr>
                <w:b/>
                <w:sz w:val="21"/>
                <w:szCs w:val="21"/>
              </w:rPr>
              <w:t>敏感程度</w:t>
            </w:r>
          </w:p>
        </w:tc>
        <w:tc>
          <w:tcPr>
            <w:tcW w:w="4336" w:type="pct"/>
            <w:vAlign w:val="center"/>
          </w:tcPr>
          <w:p w14:paraId="1EA13A56">
            <w:pPr>
              <w:spacing w:line="240" w:lineRule="auto"/>
              <w:ind w:firstLine="0" w:firstLineChars="0"/>
              <w:jc w:val="center"/>
              <w:rPr>
                <w:b/>
                <w:sz w:val="21"/>
                <w:szCs w:val="21"/>
              </w:rPr>
            </w:pPr>
            <w:r>
              <w:rPr>
                <w:b/>
                <w:sz w:val="21"/>
                <w:szCs w:val="21"/>
              </w:rPr>
              <w:t>地下水环境敏感特征</w:t>
            </w:r>
          </w:p>
        </w:tc>
      </w:tr>
      <w:tr w14:paraId="60A5A6D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pct"/>
            <w:vAlign w:val="center"/>
          </w:tcPr>
          <w:p w14:paraId="1DA703E9">
            <w:pPr>
              <w:spacing w:line="240" w:lineRule="auto"/>
              <w:ind w:firstLine="0" w:firstLineChars="0"/>
              <w:jc w:val="center"/>
              <w:rPr>
                <w:bCs/>
                <w:sz w:val="21"/>
                <w:szCs w:val="21"/>
              </w:rPr>
            </w:pPr>
            <w:r>
              <w:rPr>
                <w:bCs/>
                <w:sz w:val="21"/>
                <w:szCs w:val="21"/>
              </w:rPr>
              <w:t>敏感</w:t>
            </w:r>
          </w:p>
        </w:tc>
        <w:tc>
          <w:tcPr>
            <w:tcW w:w="4336" w:type="pct"/>
            <w:vAlign w:val="center"/>
          </w:tcPr>
          <w:p w14:paraId="2B4DBF03">
            <w:pPr>
              <w:spacing w:line="240" w:lineRule="auto"/>
              <w:ind w:firstLine="0" w:firstLineChars="0"/>
              <w:rPr>
                <w:bCs/>
                <w:sz w:val="21"/>
                <w:szCs w:val="21"/>
              </w:rPr>
            </w:pPr>
            <w:r>
              <w:rPr>
                <w:bCs/>
                <w:sz w:val="21"/>
                <w:szCs w:val="21"/>
              </w:rPr>
              <w:t>集中式饮用水水源（包括已建成的在用、备用、应急水源，在建和规划的饮用水水源）准保护区；除集中式饮用水水源以外的国家或地方政府设定的与地下水环境相关其它保护区，如热水、矿泉水、温泉等特殊地下水资源保护区。</w:t>
            </w:r>
          </w:p>
        </w:tc>
      </w:tr>
      <w:tr w14:paraId="44F3B2B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pct"/>
            <w:vAlign w:val="center"/>
          </w:tcPr>
          <w:p w14:paraId="4DFF3EC8">
            <w:pPr>
              <w:spacing w:line="240" w:lineRule="auto"/>
              <w:ind w:firstLine="0" w:firstLineChars="0"/>
              <w:jc w:val="center"/>
              <w:rPr>
                <w:bCs/>
                <w:sz w:val="21"/>
                <w:szCs w:val="21"/>
              </w:rPr>
            </w:pPr>
            <w:r>
              <w:rPr>
                <w:bCs/>
                <w:sz w:val="21"/>
                <w:szCs w:val="21"/>
              </w:rPr>
              <w:t>较敏感</w:t>
            </w:r>
          </w:p>
        </w:tc>
        <w:tc>
          <w:tcPr>
            <w:tcW w:w="4336" w:type="pct"/>
            <w:vAlign w:val="center"/>
          </w:tcPr>
          <w:p w14:paraId="541857F8">
            <w:pPr>
              <w:spacing w:line="240" w:lineRule="auto"/>
              <w:ind w:firstLine="0" w:firstLineChars="0"/>
              <w:rPr>
                <w:bCs/>
                <w:sz w:val="21"/>
                <w:szCs w:val="21"/>
              </w:rPr>
            </w:pPr>
            <w:r>
              <w:rPr>
                <w:bCs/>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bCs/>
                <w:sz w:val="21"/>
                <w:szCs w:val="21"/>
                <w:vertAlign w:val="superscript"/>
              </w:rPr>
              <w:t>a</w:t>
            </w:r>
            <w:r>
              <w:rPr>
                <w:bCs/>
                <w:sz w:val="21"/>
                <w:szCs w:val="21"/>
              </w:rPr>
              <w:t>。</w:t>
            </w:r>
          </w:p>
        </w:tc>
      </w:tr>
      <w:tr w14:paraId="1CC9C3C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64" w:type="pct"/>
            <w:vAlign w:val="center"/>
          </w:tcPr>
          <w:p w14:paraId="541BE65A">
            <w:pPr>
              <w:spacing w:line="240" w:lineRule="auto"/>
              <w:ind w:firstLine="0" w:firstLineChars="0"/>
              <w:jc w:val="center"/>
              <w:rPr>
                <w:bCs/>
                <w:sz w:val="21"/>
                <w:szCs w:val="21"/>
              </w:rPr>
            </w:pPr>
            <w:r>
              <w:rPr>
                <w:bCs/>
                <w:sz w:val="21"/>
                <w:szCs w:val="21"/>
              </w:rPr>
              <w:t>不敏感</w:t>
            </w:r>
          </w:p>
        </w:tc>
        <w:tc>
          <w:tcPr>
            <w:tcW w:w="4336" w:type="pct"/>
            <w:vAlign w:val="center"/>
          </w:tcPr>
          <w:p w14:paraId="4D60FCA9">
            <w:pPr>
              <w:spacing w:line="240" w:lineRule="auto"/>
              <w:ind w:firstLine="0" w:firstLineChars="0"/>
              <w:rPr>
                <w:bCs/>
                <w:sz w:val="21"/>
                <w:szCs w:val="21"/>
              </w:rPr>
            </w:pPr>
            <w:r>
              <w:rPr>
                <w:bCs/>
                <w:sz w:val="21"/>
                <w:szCs w:val="21"/>
              </w:rPr>
              <w:t>上述地区之外的其它地区。</w:t>
            </w:r>
          </w:p>
        </w:tc>
      </w:tr>
      <w:tr w14:paraId="7A849B9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000" w:type="pct"/>
            <w:gridSpan w:val="2"/>
            <w:vAlign w:val="center"/>
          </w:tcPr>
          <w:p w14:paraId="0369523D">
            <w:pPr>
              <w:spacing w:line="240" w:lineRule="auto"/>
              <w:ind w:firstLine="0" w:firstLineChars="0"/>
              <w:rPr>
                <w:bCs/>
                <w:sz w:val="21"/>
                <w:szCs w:val="21"/>
              </w:rPr>
            </w:pPr>
            <w:r>
              <w:rPr>
                <w:bCs/>
                <w:sz w:val="21"/>
                <w:szCs w:val="21"/>
              </w:rPr>
              <w:t>注：a“环境敏感区”是指《建设项目环境影响评价分类管理名录》中所界定的涉及地下水的环境敏感区。</w:t>
            </w:r>
          </w:p>
        </w:tc>
      </w:tr>
    </w:tbl>
    <w:p w14:paraId="37837A97">
      <w:pPr>
        <w:pStyle w:val="2"/>
        <w:spacing w:after="0"/>
        <w:ind w:firstLine="480"/>
      </w:pPr>
      <w:r>
        <w:t>经查阅《河南省人民政府办公厅关于印发河南省城市集中式饮用水源保护区划的通知》（豫政办〔2007〕125号）、《河南省人民政府办公厅关于印发河南省县级集中式饮用水水源保护区划的通知》（豫政办 〔2013〕107号）及《河南省人民政府办公厅关于印发河南省乡镇集中式饮用水水源保护区划的通知》（豫政办〔2016〕23号）等文件，本项目所在区域</w:t>
      </w:r>
      <w:r>
        <w:rPr>
          <w:rFonts w:hint="eastAsia"/>
        </w:rPr>
        <w:t>不存在市级、县级、乡镇</w:t>
      </w:r>
      <w:r>
        <w:t>集中式饮用水水源</w:t>
      </w:r>
      <w:r>
        <w:rPr>
          <w:rFonts w:hint="eastAsia"/>
        </w:rPr>
        <w:t>。但</w:t>
      </w:r>
      <w:r>
        <w:t>本项目所在区域存在</w:t>
      </w:r>
      <w:r>
        <w:rPr>
          <w:rFonts w:hint="eastAsia"/>
        </w:rPr>
        <w:t>分散式</w:t>
      </w:r>
      <w:r>
        <w:t>饮用水水源</w:t>
      </w:r>
      <w:r>
        <w:rPr>
          <w:rFonts w:hint="eastAsia"/>
        </w:rPr>
        <w:t>，故</w:t>
      </w:r>
      <w:r>
        <w:t>项目地下水敏感程度为“较敏感”。</w:t>
      </w:r>
    </w:p>
    <w:p w14:paraId="4B7755C1">
      <w:pPr>
        <w:ind w:firstLine="480"/>
      </w:pPr>
      <w:r>
        <w:t>（3）评价等级</w:t>
      </w:r>
    </w:p>
    <w:p w14:paraId="3C21AC33">
      <w:pPr>
        <w:ind w:firstLine="480"/>
      </w:pPr>
      <w:r>
        <w:t>地下水环境影响评价工作等级划分依据见下表。</w:t>
      </w:r>
    </w:p>
    <w:p w14:paraId="07005E4C">
      <w:pPr>
        <w:pStyle w:val="2"/>
        <w:ind w:firstLine="480"/>
      </w:pPr>
    </w:p>
    <w:p w14:paraId="6EA34D0C">
      <w:pPr>
        <w:pStyle w:val="64"/>
        <w:numPr>
          <w:ilvl w:val="0"/>
          <w:numId w:val="5"/>
        </w:numPr>
        <w:spacing w:before="161" w:after="161"/>
        <w:ind w:firstLineChars="0"/>
      </w:pPr>
      <w:r>
        <w:t xml:space="preserve">         地下水环境评价工作等级分级表</w:t>
      </w:r>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264"/>
        <w:gridCol w:w="1868"/>
        <w:gridCol w:w="1740"/>
        <w:gridCol w:w="1824"/>
      </w:tblGrid>
      <w:tr w14:paraId="2830F6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264" w:type="dxa"/>
            <w:tcBorders>
              <w:top w:val="single" w:color="auto" w:sz="8" w:space="0"/>
              <w:bottom w:val="single" w:color="auto" w:sz="4" w:space="0"/>
              <w:right w:val="single" w:color="auto" w:sz="4" w:space="0"/>
              <w:tl2br w:val="single" w:color="auto" w:sz="4" w:space="0"/>
            </w:tcBorders>
            <w:vAlign w:val="center"/>
          </w:tcPr>
          <w:p w14:paraId="09CFBF45">
            <w:pPr>
              <w:pStyle w:val="67"/>
              <w:rPr>
                <w:rFonts w:cs="Times New Roman"/>
                <w:color w:val="auto"/>
              </w:rPr>
            </w:pPr>
            <w:r>
              <w:rPr>
                <w:rFonts w:cs="Times New Roman"/>
                <w:color w:val="auto"/>
              </w:rPr>
              <w:t>项目类别</w:t>
            </w:r>
          </w:p>
          <w:p w14:paraId="01E981ED">
            <w:pPr>
              <w:pStyle w:val="67"/>
              <w:jc w:val="both"/>
              <w:rPr>
                <w:rFonts w:cs="Times New Roman"/>
                <w:color w:val="auto"/>
              </w:rPr>
            </w:pPr>
            <w:r>
              <w:rPr>
                <w:rFonts w:cs="Times New Roman"/>
                <w:color w:val="auto"/>
              </w:rPr>
              <w:t>环境敏感程度</w:t>
            </w:r>
          </w:p>
        </w:tc>
        <w:tc>
          <w:tcPr>
            <w:tcW w:w="1868" w:type="dxa"/>
            <w:tcBorders>
              <w:top w:val="single" w:color="auto" w:sz="8" w:space="0"/>
              <w:left w:val="single" w:color="auto" w:sz="4" w:space="0"/>
              <w:bottom w:val="single" w:color="auto" w:sz="4" w:space="0"/>
              <w:right w:val="single" w:color="auto" w:sz="4" w:space="0"/>
            </w:tcBorders>
            <w:vAlign w:val="center"/>
          </w:tcPr>
          <w:p w14:paraId="762A1BFD">
            <w:pPr>
              <w:pStyle w:val="67"/>
              <w:rPr>
                <w:rFonts w:cs="Times New Roman"/>
                <w:color w:val="auto"/>
              </w:rPr>
            </w:pPr>
            <w:r>
              <w:rPr>
                <w:rFonts w:cs="Times New Roman"/>
                <w:color w:val="auto"/>
              </w:rPr>
              <w:fldChar w:fldCharType="begin"/>
            </w:r>
            <w:r>
              <w:rPr>
                <w:rFonts w:cs="Times New Roman"/>
                <w:color w:val="auto"/>
              </w:rPr>
              <w:instrText xml:space="preserve"> = 1 \* ROMAN \* MERGEFORMAT </w:instrText>
            </w:r>
            <w:r>
              <w:rPr>
                <w:rFonts w:cs="Times New Roman"/>
                <w:color w:val="auto"/>
              </w:rPr>
              <w:fldChar w:fldCharType="separate"/>
            </w:r>
            <w:r>
              <w:rPr>
                <w:rFonts w:cs="Times New Roman"/>
                <w:color w:val="auto"/>
              </w:rPr>
              <w:t>I</w:t>
            </w:r>
            <w:r>
              <w:rPr>
                <w:rFonts w:cs="Times New Roman"/>
                <w:color w:val="auto"/>
              </w:rPr>
              <w:fldChar w:fldCharType="end"/>
            </w:r>
            <w:r>
              <w:rPr>
                <w:rFonts w:cs="Times New Roman"/>
                <w:color w:val="auto"/>
              </w:rPr>
              <w:t>类项目</w:t>
            </w:r>
          </w:p>
        </w:tc>
        <w:tc>
          <w:tcPr>
            <w:tcW w:w="1740" w:type="dxa"/>
            <w:tcBorders>
              <w:top w:val="single" w:color="auto" w:sz="8" w:space="0"/>
              <w:left w:val="single" w:color="auto" w:sz="4" w:space="0"/>
              <w:bottom w:val="single" w:color="auto" w:sz="4" w:space="0"/>
              <w:right w:val="single" w:color="auto" w:sz="4" w:space="0"/>
            </w:tcBorders>
            <w:vAlign w:val="center"/>
          </w:tcPr>
          <w:p w14:paraId="4880B046">
            <w:pPr>
              <w:pStyle w:val="67"/>
              <w:rPr>
                <w:rFonts w:cs="Times New Roman"/>
                <w:color w:val="auto"/>
              </w:rPr>
            </w:pPr>
            <w:r>
              <w:rPr>
                <w:rFonts w:cs="Times New Roman"/>
                <w:color w:val="auto"/>
              </w:rPr>
              <w:fldChar w:fldCharType="begin"/>
            </w:r>
            <w:r>
              <w:rPr>
                <w:rFonts w:cs="Times New Roman"/>
                <w:color w:val="auto"/>
              </w:rPr>
              <w:instrText xml:space="preserve"> = 2 \* ROMAN \* MERGEFORMAT </w:instrText>
            </w:r>
            <w:r>
              <w:rPr>
                <w:rFonts w:cs="Times New Roman"/>
                <w:color w:val="auto"/>
              </w:rPr>
              <w:fldChar w:fldCharType="separate"/>
            </w:r>
            <w:r>
              <w:rPr>
                <w:rFonts w:cs="Times New Roman"/>
                <w:color w:val="auto"/>
              </w:rPr>
              <w:t>II</w:t>
            </w:r>
            <w:r>
              <w:rPr>
                <w:rFonts w:cs="Times New Roman"/>
                <w:color w:val="auto"/>
              </w:rPr>
              <w:fldChar w:fldCharType="end"/>
            </w:r>
            <w:r>
              <w:rPr>
                <w:rFonts w:cs="Times New Roman"/>
                <w:color w:val="auto"/>
              </w:rPr>
              <w:t>类项目</w:t>
            </w:r>
          </w:p>
        </w:tc>
        <w:tc>
          <w:tcPr>
            <w:tcW w:w="1824" w:type="dxa"/>
            <w:tcBorders>
              <w:top w:val="single" w:color="auto" w:sz="8" w:space="0"/>
              <w:left w:val="single" w:color="auto" w:sz="4" w:space="0"/>
              <w:bottom w:val="single" w:color="auto" w:sz="4" w:space="0"/>
            </w:tcBorders>
            <w:vAlign w:val="center"/>
          </w:tcPr>
          <w:p w14:paraId="0BF74579">
            <w:pPr>
              <w:pStyle w:val="67"/>
              <w:rPr>
                <w:rFonts w:cs="Times New Roman"/>
                <w:color w:val="auto"/>
              </w:rPr>
            </w:pPr>
            <w:r>
              <w:rPr>
                <w:rFonts w:cs="Times New Roman"/>
                <w:color w:val="auto"/>
              </w:rPr>
              <w:fldChar w:fldCharType="begin"/>
            </w:r>
            <w:r>
              <w:rPr>
                <w:rFonts w:cs="Times New Roman"/>
                <w:color w:val="auto"/>
              </w:rPr>
              <w:instrText xml:space="preserve"> = 3 \* ROMAN \* MERGEFORMAT </w:instrText>
            </w:r>
            <w:r>
              <w:rPr>
                <w:rFonts w:cs="Times New Roman"/>
                <w:color w:val="auto"/>
              </w:rPr>
              <w:fldChar w:fldCharType="separate"/>
            </w:r>
            <w:r>
              <w:rPr>
                <w:rFonts w:cs="Times New Roman"/>
                <w:color w:val="auto"/>
              </w:rPr>
              <w:t>III</w:t>
            </w:r>
            <w:r>
              <w:rPr>
                <w:rFonts w:cs="Times New Roman"/>
                <w:color w:val="auto"/>
              </w:rPr>
              <w:fldChar w:fldCharType="end"/>
            </w:r>
            <w:r>
              <w:rPr>
                <w:rFonts w:cs="Times New Roman"/>
                <w:color w:val="auto"/>
              </w:rPr>
              <w:t>类项目</w:t>
            </w:r>
          </w:p>
        </w:tc>
      </w:tr>
      <w:tr w14:paraId="39CAEA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264" w:type="dxa"/>
            <w:tcBorders>
              <w:top w:val="single" w:color="auto" w:sz="4" w:space="0"/>
              <w:bottom w:val="single" w:color="auto" w:sz="4" w:space="0"/>
              <w:right w:val="single" w:color="auto" w:sz="4" w:space="0"/>
            </w:tcBorders>
            <w:vAlign w:val="center"/>
          </w:tcPr>
          <w:p w14:paraId="797A85AC">
            <w:pPr>
              <w:pStyle w:val="62"/>
            </w:pPr>
            <w:r>
              <w:t>敏感</w:t>
            </w:r>
          </w:p>
        </w:tc>
        <w:tc>
          <w:tcPr>
            <w:tcW w:w="1868" w:type="dxa"/>
            <w:tcBorders>
              <w:top w:val="single" w:color="auto" w:sz="4" w:space="0"/>
              <w:left w:val="single" w:color="auto" w:sz="4" w:space="0"/>
              <w:bottom w:val="single" w:color="auto" w:sz="4" w:space="0"/>
              <w:right w:val="single" w:color="auto" w:sz="4" w:space="0"/>
            </w:tcBorders>
            <w:vAlign w:val="center"/>
          </w:tcPr>
          <w:p w14:paraId="6C670314">
            <w:pPr>
              <w:pStyle w:val="62"/>
            </w:pPr>
            <w:r>
              <w:t>一</w:t>
            </w:r>
          </w:p>
        </w:tc>
        <w:tc>
          <w:tcPr>
            <w:tcW w:w="1740" w:type="dxa"/>
            <w:tcBorders>
              <w:top w:val="single" w:color="auto" w:sz="4" w:space="0"/>
              <w:left w:val="single" w:color="auto" w:sz="4" w:space="0"/>
              <w:bottom w:val="single" w:color="auto" w:sz="4" w:space="0"/>
              <w:right w:val="single" w:color="auto" w:sz="4" w:space="0"/>
            </w:tcBorders>
            <w:vAlign w:val="center"/>
          </w:tcPr>
          <w:p w14:paraId="46EE102D">
            <w:pPr>
              <w:pStyle w:val="62"/>
            </w:pPr>
            <w:r>
              <w:t>一</w:t>
            </w:r>
          </w:p>
        </w:tc>
        <w:tc>
          <w:tcPr>
            <w:tcW w:w="1824" w:type="dxa"/>
            <w:tcBorders>
              <w:top w:val="single" w:color="auto" w:sz="4" w:space="0"/>
              <w:left w:val="single" w:color="auto" w:sz="4" w:space="0"/>
              <w:bottom w:val="single" w:color="auto" w:sz="4" w:space="0"/>
            </w:tcBorders>
            <w:vAlign w:val="center"/>
          </w:tcPr>
          <w:p w14:paraId="35EF5634">
            <w:pPr>
              <w:pStyle w:val="62"/>
            </w:pPr>
            <w:r>
              <w:t>二</w:t>
            </w:r>
          </w:p>
        </w:tc>
      </w:tr>
      <w:tr w14:paraId="7259EF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264" w:type="dxa"/>
            <w:tcBorders>
              <w:top w:val="single" w:color="auto" w:sz="4" w:space="0"/>
              <w:bottom w:val="single" w:color="auto" w:sz="4" w:space="0"/>
              <w:right w:val="single" w:color="auto" w:sz="4" w:space="0"/>
            </w:tcBorders>
            <w:vAlign w:val="center"/>
          </w:tcPr>
          <w:p w14:paraId="388584CE">
            <w:pPr>
              <w:pStyle w:val="62"/>
            </w:pPr>
            <w:r>
              <w:t>较敏感</w:t>
            </w:r>
          </w:p>
        </w:tc>
        <w:tc>
          <w:tcPr>
            <w:tcW w:w="1868" w:type="dxa"/>
            <w:tcBorders>
              <w:top w:val="single" w:color="auto" w:sz="4" w:space="0"/>
              <w:left w:val="single" w:color="auto" w:sz="4" w:space="0"/>
              <w:bottom w:val="single" w:color="auto" w:sz="4" w:space="0"/>
              <w:right w:val="single" w:color="auto" w:sz="4" w:space="0"/>
            </w:tcBorders>
            <w:shd w:val="clear" w:color="auto" w:fill="F7C890" w:themeFill="accent2" w:themeFillTint="99"/>
            <w:vAlign w:val="center"/>
          </w:tcPr>
          <w:p w14:paraId="754493DF">
            <w:pPr>
              <w:pStyle w:val="62"/>
            </w:pPr>
            <w:r>
              <w:t>一</w:t>
            </w:r>
          </w:p>
        </w:tc>
        <w:tc>
          <w:tcPr>
            <w:tcW w:w="1740" w:type="dxa"/>
            <w:tcBorders>
              <w:top w:val="single" w:color="auto" w:sz="4" w:space="0"/>
              <w:left w:val="single" w:color="auto" w:sz="4" w:space="0"/>
              <w:bottom w:val="single" w:color="auto" w:sz="4" w:space="0"/>
              <w:right w:val="single" w:color="auto" w:sz="4" w:space="0"/>
            </w:tcBorders>
            <w:shd w:val="clear" w:color="auto" w:fill="auto"/>
            <w:vAlign w:val="center"/>
          </w:tcPr>
          <w:p w14:paraId="62E9C553">
            <w:pPr>
              <w:pStyle w:val="62"/>
            </w:pPr>
            <w:r>
              <w:t>二</w:t>
            </w:r>
          </w:p>
        </w:tc>
        <w:tc>
          <w:tcPr>
            <w:tcW w:w="1824" w:type="dxa"/>
            <w:tcBorders>
              <w:top w:val="single" w:color="auto" w:sz="4" w:space="0"/>
              <w:left w:val="single" w:color="auto" w:sz="4" w:space="0"/>
              <w:bottom w:val="single" w:color="auto" w:sz="4" w:space="0"/>
            </w:tcBorders>
            <w:vAlign w:val="center"/>
          </w:tcPr>
          <w:p w14:paraId="3D43EFF9">
            <w:pPr>
              <w:pStyle w:val="62"/>
            </w:pPr>
            <w:r>
              <w:t>三</w:t>
            </w:r>
          </w:p>
        </w:tc>
      </w:tr>
      <w:tr w14:paraId="079CB0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264" w:type="dxa"/>
            <w:tcBorders>
              <w:top w:val="single" w:color="auto" w:sz="4" w:space="0"/>
              <w:bottom w:val="single" w:color="auto" w:sz="8" w:space="0"/>
              <w:right w:val="single" w:color="auto" w:sz="4" w:space="0"/>
            </w:tcBorders>
            <w:vAlign w:val="center"/>
          </w:tcPr>
          <w:p w14:paraId="7F4ED5B0">
            <w:pPr>
              <w:pStyle w:val="62"/>
            </w:pPr>
            <w:r>
              <w:t>不敏感</w:t>
            </w:r>
          </w:p>
        </w:tc>
        <w:tc>
          <w:tcPr>
            <w:tcW w:w="1868" w:type="dxa"/>
            <w:tcBorders>
              <w:top w:val="single" w:color="auto" w:sz="4" w:space="0"/>
              <w:left w:val="single" w:color="auto" w:sz="4" w:space="0"/>
              <w:bottom w:val="single" w:color="auto" w:sz="8" w:space="0"/>
              <w:right w:val="single" w:color="auto" w:sz="4" w:space="0"/>
            </w:tcBorders>
            <w:vAlign w:val="center"/>
          </w:tcPr>
          <w:p w14:paraId="0E68AB6A">
            <w:pPr>
              <w:pStyle w:val="62"/>
            </w:pPr>
            <w:r>
              <w:t>二</w:t>
            </w:r>
          </w:p>
        </w:tc>
        <w:tc>
          <w:tcPr>
            <w:tcW w:w="1740" w:type="dxa"/>
            <w:tcBorders>
              <w:top w:val="single" w:color="auto" w:sz="4" w:space="0"/>
              <w:left w:val="single" w:color="auto" w:sz="4" w:space="0"/>
              <w:bottom w:val="single" w:color="auto" w:sz="8" w:space="0"/>
              <w:right w:val="single" w:color="auto" w:sz="4" w:space="0"/>
            </w:tcBorders>
            <w:vAlign w:val="center"/>
          </w:tcPr>
          <w:p w14:paraId="6084B954">
            <w:pPr>
              <w:pStyle w:val="62"/>
            </w:pPr>
            <w:r>
              <w:t>三</w:t>
            </w:r>
          </w:p>
        </w:tc>
        <w:tc>
          <w:tcPr>
            <w:tcW w:w="1824" w:type="dxa"/>
            <w:tcBorders>
              <w:top w:val="single" w:color="auto" w:sz="4" w:space="0"/>
              <w:left w:val="single" w:color="auto" w:sz="4" w:space="0"/>
              <w:bottom w:val="single" w:color="auto" w:sz="8" w:space="0"/>
            </w:tcBorders>
            <w:vAlign w:val="center"/>
          </w:tcPr>
          <w:p w14:paraId="5EC6B1B7">
            <w:pPr>
              <w:pStyle w:val="62"/>
            </w:pPr>
            <w:r>
              <w:t>三</w:t>
            </w:r>
          </w:p>
        </w:tc>
      </w:tr>
    </w:tbl>
    <w:p w14:paraId="4F78892A">
      <w:pPr>
        <w:pStyle w:val="2"/>
        <w:ind w:firstLine="480"/>
      </w:pPr>
      <w:r>
        <w:t>本项目属于I类建设项目，地下水环境属于“较敏感”，综合判断地下水环境影响评价等级为一级。</w:t>
      </w:r>
    </w:p>
    <w:p w14:paraId="1D3E92C0">
      <w:pPr>
        <w:pStyle w:val="5"/>
        <w:spacing w:before="323" w:after="323"/>
      </w:pPr>
      <w:r>
        <w:t>声环境评价等级</w:t>
      </w:r>
      <w:bookmarkEnd w:id="94"/>
      <w:bookmarkEnd w:id="95"/>
      <w:bookmarkEnd w:id="96"/>
    </w:p>
    <w:p w14:paraId="72DC3687">
      <w:pPr>
        <w:ind w:firstLine="480"/>
      </w:pPr>
      <w:r>
        <w:rPr>
          <w:rFonts w:hint="eastAsia"/>
        </w:rPr>
        <w:t>本次工程位于新乡市卫辉市唐庄镇代庄村99号卫辉市铁西（化工）园区内，该区域属于3类声环境功能区；本项目对设备噪声采取完善的噪声防范措施，项目声环境评价范围内无声环境保护目标，不会对周围环境产生明显影响。</w:t>
      </w:r>
    </w:p>
    <w:p w14:paraId="1D3E92C1">
      <w:pPr>
        <w:ind w:firstLine="480"/>
      </w:pPr>
      <w:r>
        <w:t>根据《环境影响评价技术导则声环境》（HJ2.4-2021）有关评价等级划分原则，确定拟建工程声环境影响评价等级为级，评价依据详见下表。</w:t>
      </w:r>
    </w:p>
    <w:p w14:paraId="1D3E92C2">
      <w:pPr>
        <w:pStyle w:val="64"/>
        <w:numPr>
          <w:ilvl w:val="0"/>
          <w:numId w:val="5"/>
        </w:numPr>
        <w:spacing w:before="161" w:after="120"/>
        <w:ind w:left="924" w:hanging="442" w:firstLineChars="0"/>
      </w:pPr>
      <w:r>
        <w:t xml:space="preserve">               声环境评价等级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31"/>
        <w:gridCol w:w="3717"/>
      </w:tblGrid>
      <w:tr w14:paraId="1D3E9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3" w:type="pct"/>
            <w:shd w:val="clear" w:color="auto" w:fill="auto"/>
            <w:vAlign w:val="center"/>
          </w:tcPr>
          <w:p w14:paraId="1D3E92C3">
            <w:pPr>
              <w:pStyle w:val="67"/>
              <w:rPr>
                <w:rFonts w:cs="Times New Roman"/>
                <w:color w:val="auto"/>
              </w:rPr>
            </w:pPr>
            <w:r>
              <w:rPr>
                <w:rFonts w:cs="Times New Roman"/>
                <w:color w:val="auto"/>
              </w:rPr>
              <w:t>项目</w:t>
            </w:r>
          </w:p>
        </w:tc>
        <w:tc>
          <w:tcPr>
            <w:tcW w:w="2077" w:type="pct"/>
            <w:shd w:val="clear" w:color="auto" w:fill="auto"/>
            <w:vAlign w:val="center"/>
          </w:tcPr>
          <w:p w14:paraId="1D3E92C4">
            <w:pPr>
              <w:pStyle w:val="67"/>
              <w:rPr>
                <w:rFonts w:cs="Times New Roman"/>
                <w:color w:val="auto"/>
              </w:rPr>
            </w:pPr>
            <w:r>
              <w:rPr>
                <w:rFonts w:cs="Times New Roman"/>
                <w:color w:val="auto"/>
              </w:rPr>
              <w:t>指标</w:t>
            </w:r>
          </w:p>
        </w:tc>
      </w:tr>
      <w:tr w14:paraId="1D3E9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3" w:type="pct"/>
            <w:shd w:val="clear" w:color="auto" w:fill="auto"/>
            <w:vAlign w:val="center"/>
          </w:tcPr>
          <w:p w14:paraId="1D3E92C6">
            <w:pPr>
              <w:pStyle w:val="62"/>
            </w:pPr>
            <w:r>
              <w:t>建设项目所在区功能</w:t>
            </w:r>
          </w:p>
        </w:tc>
        <w:tc>
          <w:tcPr>
            <w:tcW w:w="2077" w:type="pct"/>
            <w:shd w:val="clear" w:color="auto" w:fill="auto"/>
            <w:vAlign w:val="center"/>
          </w:tcPr>
          <w:p w14:paraId="1D3E92C7">
            <w:pPr>
              <w:pStyle w:val="62"/>
            </w:pPr>
            <w:r>
              <w:rPr>
                <w:rFonts w:hint="eastAsia"/>
              </w:rPr>
              <w:t>3</w:t>
            </w:r>
            <w:r>
              <w:t>类</w:t>
            </w:r>
          </w:p>
        </w:tc>
      </w:tr>
      <w:tr w14:paraId="1D3E9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3" w:type="pct"/>
            <w:shd w:val="clear" w:color="auto" w:fill="auto"/>
            <w:vAlign w:val="center"/>
          </w:tcPr>
          <w:p w14:paraId="1D3E92C9">
            <w:pPr>
              <w:pStyle w:val="62"/>
            </w:pPr>
            <w:r>
              <w:t>建设前后</w:t>
            </w:r>
            <w:r>
              <w:rPr>
                <w:rFonts w:hint="eastAsia"/>
              </w:rPr>
              <w:t>评价范围内声环境保护目标</w:t>
            </w:r>
            <w:r>
              <w:t>噪声级增量</w:t>
            </w:r>
          </w:p>
        </w:tc>
        <w:tc>
          <w:tcPr>
            <w:tcW w:w="2077" w:type="pct"/>
            <w:shd w:val="clear" w:color="auto" w:fill="auto"/>
            <w:vAlign w:val="center"/>
          </w:tcPr>
          <w:p w14:paraId="1D3E92CA">
            <w:pPr>
              <w:pStyle w:val="62"/>
            </w:pPr>
            <w:r>
              <w:rPr>
                <w:rFonts w:hint="eastAsia"/>
              </w:rPr>
              <w:t>评价范围内无声环境保护目标</w:t>
            </w:r>
          </w:p>
        </w:tc>
      </w:tr>
      <w:tr w14:paraId="1D3E9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3" w:type="pct"/>
            <w:shd w:val="clear" w:color="auto" w:fill="auto"/>
            <w:vAlign w:val="center"/>
          </w:tcPr>
          <w:p w14:paraId="1D3E92CC">
            <w:pPr>
              <w:pStyle w:val="62"/>
            </w:pPr>
            <w:r>
              <w:t>建设前后受影响人口变化情况</w:t>
            </w:r>
          </w:p>
        </w:tc>
        <w:tc>
          <w:tcPr>
            <w:tcW w:w="2077" w:type="pct"/>
            <w:shd w:val="clear" w:color="auto" w:fill="auto"/>
            <w:vAlign w:val="center"/>
          </w:tcPr>
          <w:p w14:paraId="1D3E92CD">
            <w:pPr>
              <w:pStyle w:val="62"/>
            </w:pPr>
            <w:r>
              <w:rPr>
                <w:rFonts w:hint="eastAsia"/>
                <w:bCs/>
              </w:rPr>
              <w:t>变化不大</w:t>
            </w:r>
          </w:p>
        </w:tc>
      </w:tr>
      <w:tr w14:paraId="1D3E9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23" w:type="pct"/>
            <w:shd w:val="clear" w:color="auto" w:fill="auto"/>
            <w:vAlign w:val="center"/>
          </w:tcPr>
          <w:p w14:paraId="1D3E92CF">
            <w:pPr>
              <w:pStyle w:val="62"/>
            </w:pPr>
            <w:r>
              <w:t>评价等级</w:t>
            </w:r>
          </w:p>
        </w:tc>
        <w:tc>
          <w:tcPr>
            <w:tcW w:w="2077" w:type="pct"/>
            <w:shd w:val="clear" w:color="auto" w:fill="auto"/>
            <w:vAlign w:val="center"/>
          </w:tcPr>
          <w:p w14:paraId="1D3E92D0">
            <w:pPr>
              <w:pStyle w:val="62"/>
              <w:rPr>
                <w:highlight w:val="yellow"/>
              </w:rPr>
            </w:pPr>
            <w:r>
              <w:rPr>
                <w:rFonts w:hint="eastAsia"/>
              </w:rPr>
              <w:t>三</w:t>
            </w:r>
            <w:r>
              <w:t>级</w:t>
            </w:r>
          </w:p>
        </w:tc>
      </w:tr>
    </w:tbl>
    <w:p w14:paraId="1D3E92D2">
      <w:pPr>
        <w:pStyle w:val="5"/>
        <w:spacing w:before="323" w:after="323"/>
      </w:pPr>
      <w:bookmarkStart w:id="97" w:name="_Toc428286776"/>
      <w:bookmarkStart w:id="98" w:name="_Toc428287522"/>
      <w:bookmarkStart w:id="99" w:name="_Toc428287170"/>
      <w:r>
        <w:t>土壤环境评价等级</w:t>
      </w:r>
    </w:p>
    <w:p w14:paraId="1D3E92D3">
      <w:pPr>
        <w:ind w:firstLine="480"/>
      </w:pPr>
      <w:r>
        <w:t>根据《环境影响评价技术导则-土壤环境（试行）》（HJ964-2018），污染影响型建设项目根据评价项目类别、占地规模与敏感程度划分评价工作等级。</w:t>
      </w:r>
    </w:p>
    <w:p w14:paraId="1D3E92D4">
      <w:pPr>
        <w:ind w:firstLine="480"/>
      </w:pPr>
      <w:r>
        <w:t>（1）项目类别</w:t>
      </w:r>
    </w:p>
    <w:p w14:paraId="1D3E92D5">
      <w:pPr>
        <w:ind w:firstLine="480"/>
      </w:pPr>
      <w:r>
        <w:t>根据《环境影响评价技术导则 土壤环境（试行）》（HJ 964-2018）附录A土壤环境影响评价项目类别，本项目属于“</w:t>
      </w:r>
      <w:r>
        <w:rPr>
          <w:rFonts w:hint="eastAsia"/>
        </w:rPr>
        <w:t>化学原料和化学制品制造和涂料、染料、颜料、油墨及其类似产品制造</w:t>
      </w:r>
      <w:r>
        <w:t>”，属于I类项目</w:t>
      </w:r>
      <w:r>
        <w:rPr>
          <w:rFonts w:hint="eastAsia"/>
        </w:rPr>
        <w:t>。</w:t>
      </w:r>
    </w:p>
    <w:p w14:paraId="1D3E92D6">
      <w:pPr>
        <w:ind w:firstLine="480"/>
      </w:pPr>
      <w:r>
        <w:t>（2）项目占地规模</w:t>
      </w:r>
    </w:p>
    <w:p w14:paraId="1D3E92D7">
      <w:pPr>
        <w:ind w:firstLine="480"/>
      </w:pPr>
      <w:r>
        <w:t>建设项目占地规模分为大型（≥50hm</w:t>
      </w:r>
      <w:r>
        <w:rPr>
          <w:vertAlign w:val="superscript"/>
        </w:rPr>
        <w:t>2</w:t>
      </w:r>
      <w:r>
        <w:t>）、中型（5-50hm</w:t>
      </w:r>
      <w:r>
        <w:rPr>
          <w:vertAlign w:val="superscript"/>
        </w:rPr>
        <w:t>2</w:t>
      </w:r>
      <w:r>
        <w:t>）、小型（≤5hm</w:t>
      </w:r>
      <w:r>
        <w:rPr>
          <w:vertAlign w:val="superscript"/>
        </w:rPr>
        <w:t>2</w:t>
      </w:r>
      <w:r>
        <w:t>），建设项目占地主要为永久占地。本项目占地面积约</w:t>
      </w:r>
      <w:r>
        <w:rPr>
          <w:rFonts w:hint="eastAsia"/>
        </w:rPr>
        <w:t>0.3</w:t>
      </w:r>
      <w:r>
        <w:t>hm</w:t>
      </w:r>
      <w:r>
        <w:rPr>
          <w:vertAlign w:val="superscript"/>
        </w:rPr>
        <w:t>2</w:t>
      </w:r>
      <w:r>
        <w:t>，属于≤5hm</w:t>
      </w:r>
      <w:r>
        <w:rPr>
          <w:vertAlign w:val="superscript"/>
        </w:rPr>
        <w:t>2</w:t>
      </w:r>
      <w:r>
        <w:t>范围内，属于小型建设项目。</w:t>
      </w:r>
    </w:p>
    <w:p w14:paraId="1D3E92D8">
      <w:pPr>
        <w:ind w:firstLine="480"/>
      </w:pPr>
      <w:r>
        <w:t>（3）土壤环境敏感程度</w:t>
      </w:r>
    </w:p>
    <w:p w14:paraId="1D3E92D9">
      <w:pPr>
        <w:ind w:firstLine="480"/>
      </w:pPr>
      <w:r>
        <w:t>建设项目所在地周边的土壤环境敏感程度分为敏感，较敏感、不敏感，判别依据见</w:t>
      </w:r>
      <w:r>
        <w:rPr>
          <w:rFonts w:hint="eastAsia"/>
        </w:rPr>
        <w:t>下</w:t>
      </w:r>
      <w:r>
        <w:t>表，本项目位于</w:t>
      </w:r>
      <w:r>
        <w:rPr>
          <w:rFonts w:hint="eastAsia"/>
        </w:rPr>
        <w:t>新乡市卫辉市唐庄镇代庄村99号卫辉市铁西（化工）园区内</w:t>
      </w:r>
      <w:r>
        <w:t>，</w:t>
      </w:r>
      <w:r>
        <w:rPr>
          <w:rFonts w:hint="eastAsia"/>
        </w:rPr>
        <w:t>四周均为工厂企业，</w:t>
      </w:r>
      <w:r>
        <w:t>占地为工业用地，故建设项目所在地土壤环境敏感程度为不敏感。</w:t>
      </w:r>
    </w:p>
    <w:p w14:paraId="1D3E92DB">
      <w:pPr>
        <w:pStyle w:val="64"/>
        <w:numPr>
          <w:ilvl w:val="0"/>
          <w:numId w:val="5"/>
        </w:numPr>
        <w:spacing w:before="161"/>
        <w:ind w:left="924" w:hanging="442" w:firstLineChars="0"/>
      </w:pPr>
      <w:r>
        <w:t xml:space="preserve">          污染影响型敏感程度分级表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6750"/>
      </w:tblGrid>
      <w:tr w14:paraId="1D3E9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pct"/>
            <w:vAlign w:val="center"/>
          </w:tcPr>
          <w:p w14:paraId="1D3E92DC">
            <w:pPr>
              <w:spacing w:line="240" w:lineRule="auto"/>
              <w:ind w:firstLine="0" w:firstLineChars="0"/>
              <w:jc w:val="center"/>
              <w:rPr>
                <w:b/>
                <w:bCs/>
                <w:sz w:val="21"/>
                <w:szCs w:val="21"/>
              </w:rPr>
            </w:pPr>
            <w:r>
              <w:rPr>
                <w:b/>
                <w:bCs/>
                <w:sz w:val="21"/>
                <w:szCs w:val="21"/>
              </w:rPr>
              <w:t>敏感程度</w:t>
            </w:r>
          </w:p>
        </w:tc>
        <w:tc>
          <w:tcPr>
            <w:tcW w:w="3772" w:type="pct"/>
            <w:vAlign w:val="center"/>
          </w:tcPr>
          <w:p w14:paraId="1D3E92DD">
            <w:pPr>
              <w:spacing w:line="240" w:lineRule="auto"/>
              <w:ind w:firstLine="0" w:firstLineChars="0"/>
              <w:jc w:val="center"/>
              <w:rPr>
                <w:b/>
                <w:bCs/>
                <w:sz w:val="21"/>
                <w:szCs w:val="21"/>
              </w:rPr>
            </w:pPr>
            <w:r>
              <w:rPr>
                <w:b/>
                <w:bCs/>
                <w:sz w:val="21"/>
                <w:szCs w:val="21"/>
              </w:rPr>
              <w:t>判别依据</w:t>
            </w:r>
          </w:p>
        </w:tc>
      </w:tr>
      <w:tr w14:paraId="1D3E9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pct"/>
            <w:vAlign w:val="center"/>
          </w:tcPr>
          <w:p w14:paraId="1D3E92DF">
            <w:pPr>
              <w:spacing w:line="240" w:lineRule="auto"/>
              <w:ind w:firstLine="0" w:firstLineChars="0"/>
              <w:jc w:val="center"/>
              <w:rPr>
                <w:sz w:val="21"/>
                <w:szCs w:val="21"/>
              </w:rPr>
            </w:pPr>
            <w:r>
              <w:rPr>
                <w:sz w:val="21"/>
                <w:szCs w:val="21"/>
              </w:rPr>
              <w:t>敏感</w:t>
            </w:r>
          </w:p>
        </w:tc>
        <w:tc>
          <w:tcPr>
            <w:tcW w:w="3772" w:type="pct"/>
            <w:vAlign w:val="center"/>
          </w:tcPr>
          <w:p w14:paraId="1D3E92E0">
            <w:pPr>
              <w:spacing w:line="240" w:lineRule="auto"/>
              <w:ind w:firstLine="0" w:firstLineChars="0"/>
              <w:jc w:val="center"/>
              <w:rPr>
                <w:sz w:val="21"/>
                <w:szCs w:val="21"/>
              </w:rPr>
            </w:pPr>
            <w:r>
              <w:rPr>
                <w:sz w:val="21"/>
                <w:szCs w:val="21"/>
              </w:rPr>
              <w:t>建设项目周边存在耕地、园地、牧草地、饮用水水源地及居民区、学校、医院、疗养院、养老院等土壤环境敏感目标的</w:t>
            </w:r>
          </w:p>
        </w:tc>
      </w:tr>
      <w:tr w14:paraId="1D3E9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pct"/>
            <w:vAlign w:val="center"/>
          </w:tcPr>
          <w:p w14:paraId="1D3E92E2">
            <w:pPr>
              <w:spacing w:line="240" w:lineRule="auto"/>
              <w:ind w:firstLine="0" w:firstLineChars="0"/>
              <w:jc w:val="center"/>
              <w:rPr>
                <w:sz w:val="21"/>
                <w:szCs w:val="21"/>
              </w:rPr>
            </w:pPr>
            <w:r>
              <w:rPr>
                <w:sz w:val="21"/>
                <w:szCs w:val="21"/>
              </w:rPr>
              <w:t>较敏感</w:t>
            </w:r>
          </w:p>
        </w:tc>
        <w:tc>
          <w:tcPr>
            <w:tcW w:w="3772" w:type="pct"/>
            <w:vAlign w:val="center"/>
          </w:tcPr>
          <w:p w14:paraId="1D3E92E3">
            <w:pPr>
              <w:spacing w:line="240" w:lineRule="auto"/>
              <w:ind w:firstLine="0" w:firstLineChars="0"/>
              <w:jc w:val="center"/>
              <w:rPr>
                <w:sz w:val="21"/>
                <w:szCs w:val="21"/>
              </w:rPr>
            </w:pPr>
            <w:r>
              <w:rPr>
                <w:sz w:val="21"/>
                <w:szCs w:val="21"/>
              </w:rPr>
              <w:t>建设项目周边存在其他土壤环境敏感目标的</w:t>
            </w:r>
          </w:p>
        </w:tc>
      </w:tr>
      <w:tr w14:paraId="1D3E9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pct"/>
            <w:vAlign w:val="center"/>
          </w:tcPr>
          <w:p w14:paraId="1D3E92E5">
            <w:pPr>
              <w:spacing w:line="240" w:lineRule="auto"/>
              <w:ind w:firstLine="0" w:firstLineChars="0"/>
              <w:jc w:val="center"/>
              <w:rPr>
                <w:sz w:val="21"/>
                <w:szCs w:val="21"/>
              </w:rPr>
            </w:pPr>
            <w:r>
              <w:rPr>
                <w:sz w:val="21"/>
                <w:szCs w:val="21"/>
              </w:rPr>
              <w:t>不敏感</w:t>
            </w:r>
          </w:p>
        </w:tc>
        <w:tc>
          <w:tcPr>
            <w:tcW w:w="3772" w:type="pct"/>
            <w:vAlign w:val="center"/>
          </w:tcPr>
          <w:p w14:paraId="1D3E92E6">
            <w:pPr>
              <w:spacing w:line="240" w:lineRule="auto"/>
              <w:ind w:firstLine="0" w:firstLineChars="0"/>
              <w:jc w:val="center"/>
              <w:rPr>
                <w:sz w:val="21"/>
                <w:szCs w:val="21"/>
              </w:rPr>
            </w:pPr>
            <w:r>
              <w:rPr>
                <w:sz w:val="21"/>
                <w:szCs w:val="21"/>
              </w:rPr>
              <w:t>其他情况</w:t>
            </w:r>
          </w:p>
        </w:tc>
      </w:tr>
    </w:tbl>
    <w:p w14:paraId="1D3E92E8">
      <w:pPr>
        <w:ind w:firstLine="480"/>
      </w:pPr>
      <w:r>
        <w:t>（4）评价等级</w:t>
      </w:r>
    </w:p>
    <w:p w14:paraId="1D3E92E9">
      <w:pPr>
        <w:ind w:firstLine="480"/>
      </w:pPr>
      <w:r>
        <w:t>污染影响型评价工作等级划分见下表。</w:t>
      </w:r>
    </w:p>
    <w:p w14:paraId="1D3E92EA">
      <w:pPr>
        <w:pStyle w:val="64"/>
        <w:numPr>
          <w:ilvl w:val="0"/>
          <w:numId w:val="5"/>
        </w:numPr>
        <w:spacing w:before="161"/>
        <w:ind w:left="924" w:hanging="442" w:firstLineChars="0"/>
      </w:pPr>
      <w:r>
        <w:t xml:space="preserve">           污染影响型评价工作等级划分表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893"/>
        <w:gridCol w:w="739"/>
        <w:gridCol w:w="743"/>
        <w:gridCol w:w="744"/>
        <w:gridCol w:w="744"/>
        <w:gridCol w:w="746"/>
        <w:gridCol w:w="744"/>
        <w:gridCol w:w="741"/>
        <w:gridCol w:w="808"/>
      </w:tblGrid>
      <w:tr w14:paraId="1D3E9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pct"/>
            <w:vMerge w:val="restart"/>
            <w:vAlign w:val="center"/>
          </w:tcPr>
          <w:p w14:paraId="1D3E92EB">
            <w:pPr>
              <w:pStyle w:val="62"/>
              <w:rPr>
                <w:kern w:val="2"/>
                <w:highlight w:val="yellow"/>
              </w:rPr>
            </w:pPr>
            <w:r>
              <w:rPr>
                <w:highlight w:val="yellow"/>
              </w:rPr>
              <mc:AlternateContent>
                <mc:Choice Requires="wps">
                  <w:drawing>
                    <wp:anchor distT="0" distB="0" distL="114300" distR="114300" simplePos="0" relativeHeight="251660288" behindDoc="0" locked="0" layoutInCell="1" allowOverlap="1">
                      <wp:simplePos x="0" y="0"/>
                      <wp:positionH relativeFrom="column">
                        <wp:posOffset>546100</wp:posOffset>
                      </wp:positionH>
                      <wp:positionV relativeFrom="paragraph">
                        <wp:posOffset>-17145</wp:posOffset>
                      </wp:positionV>
                      <wp:extent cx="742950" cy="259715"/>
                      <wp:effectExtent l="0" t="0" r="0" b="0"/>
                      <wp:wrapNone/>
                      <wp:docPr id="11204175" name="文本框 11204175"/>
                      <wp:cNvGraphicFramePr/>
                      <a:graphic xmlns:a="http://schemas.openxmlformats.org/drawingml/2006/main">
                        <a:graphicData uri="http://schemas.microsoft.com/office/word/2010/wordprocessingShape">
                          <wps:wsp>
                            <wps:cNvSpPr txBox="1"/>
                            <wps:spPr>
                              <a:xfrm>
                                <a:off x="0" y="0"/>
                                <a:ext cx="74295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F9C48">
                                  <w:pPr>
                                    <w:spacing w:line="240" w:lineRule="auto"/>
                                    <w:ind w:firstLine="0" w:firstLineChars="0"/>
                                    <w:rPr>
                                      <w:b/>
                                      <w:bCs/>
                                      <w:sz w:val="21"/>
                                      <w:szCs w:val="21"/>
                                    </w:rPr>
                                  </w:pPr>
                                  <w:r>
                                    <w:rPr>
                                      <w:rFonts w:hint="eastAsia"/>
                                      <w:b/>
                                      <w:bCs/>
                                      <w:sz w:val="21"/>
                                      <w:szCs w:val="21"/>
                                    </w:rPr>
                                    <w:t>占地规模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1.35pt;height:20.45pt;width:58.5pt;z-index:251660288;mso-width-relative:page;mso-height-relative:page;" filled="f" stroked="f" coordsize="21600,21600" o:gfxdata="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DDk92QAAAAgBAAAPAAAAAAAAAAEAIAAAACIA&#10;AABkcnMvZG93bnJldi54bWxQSwECFAAUAAAACACHTuJA4EPFvUECAABzBAAADgAAAAAAAAABACAA&#10;AAAoAQAAZHJzL2Uyb0RvYy54bWxQSwUGAAAAAAYABgBZAQAA2wUAAAAA&#10;">
                      <v:fill on="f" focussize="0,0"/>
                      <v:stroke on="f" weight="0.5pt"/>
                      <v:imagedata o:title=""/>
                      <o:lock v:ext="edit" aspectratio="f"/>
                      <v:textbox>
                        <w:txbxContent>
                          <w:p w14:paraId="391F9C48">
                            <w:pPr>
                              <w:spacing w:line="240" w:lineRule="auto"/>
                              <w:ind w:firstLine="0" w:firstLineChars="0"/>
                              <w:rPr>
                                <w:b/>
                                <w:bCs/>
                                <w:sz w:val="21"/>
                                <w:szCs w:val="21"/>
                              </w:rPr>
                            </w:pPr>
                            <w:r>
                              <w:rPr>
                                <w:rFonts w:hint="eastAsia"/>
                                <w:b/>
                                <w:bCs/>
                                <w:sz w:val="21"/>
                                <w:szCs w:val="21"/>
                              </w:rPr>
                              <w:t>占地规模</w:t>
                            </w:r>
                          </w:p>
                        </w:txbxContent>
                      </v:textbox>
                    </v:shape>
                  </w:pict>
                </mc:Fallback>
              </mc:AlternateContent>
            </w:r>
            <w:r>
              <w:rPr>
                <w:highlight w:val="yellow"/>
              </w:rPr>
              <mc:AlternateContent>
                <mc:Choice Requires="wps">
                  <w:drawing>
                    <wp:anchor distT="0" distB="0" distL="114300" distR="114300" simplePos="0" relativeHeight="251661312" behindDoc="0" locked="0" layoutInCell="1" allowOverlap="1">
                      <wp:simplePos x="0" y="0"/>
                      <wp:positionH relativeFrom="column">
                        <wp:posOffset>-169545</wp:posOffset>
                      </wp:positionH>
                      <wp:positionV relativeFrom="paragraph">
                        <wp:posOffset>118110</wp:posOffset>
                      </wp:positionV>
                      <wp:extent cx="1027430" cy="259715"/>
                      <wp:effectExtent l="0" t="0" r="0" b="0"/>
                      <wp:wrapNone/>
                      <wp:docPr id="1321120675" name="文本框 1321120675"/>
                      <wp:cNvGraphicFramePr/>
                      <a:graphic xmlns:a="http://schemas.openxmlformats.org/drawingml/2006/main">
                        <a:graphicData uri="http://schemas.microsoft.com/office/word/2010/wordprocessingShape">
                          <wps:wsp>
                            <wps:cNvSpPr txBox="1"/>
                            <wps:spPr>
                              <a:xfrm>
                                <a:off x="0" y="0"/>
                                <a:ext cx="102743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3E15D">
                                  <w:pPr>
                                    <w:spacing w:line="240" w:lineRule="auto"/>
                                    <w:ind w:firstLine="0" w:firstLineChars="0"/>
                                    <w:rPr>
                                      <w:b/>
                                      <w:bCs/>
                                      <w:sz w:val="21"/>
                                      <w:szCs w:val="21"/>
                                    </w:rPr>
                                  </w:pPr>
                                  <w:r>
                                    <w:rPr>
                                      <w:rFonts w:hint="eastAsia"/>
                                      <w:b/>
                                      <w:bCs/>
                                      <w:sz w:val="21"/>
                                      <w:szCs w:val="21"/>
                                    </w:rPr>
                                    <w:t>评价工作等级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5pt;margin-top:9.3pt;height:20.45pt;width:80.9pt;z-index:251661312;mso-width-relative:page;mso-height-relative:page;" filled="f" stroked="f" coordsize="21600,21600" o:gfxdata="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CUtRtoAAAAJAQAADwAAAAAAAAABACAA&#10;AAAiAAAAZHJzL2Rvd25yZXYueG1sUEsBAhQAFAAAAAgAh07iQBVgTdhEAgAAeAQAAA4AAAAAAAAA&#10;AQAgAAAAKQEAAGRycy9lMm9Eb2MueG1sUEsFBgAAAAAGAAYAWQEAAN8FAAAAAA==&#10;">
                      <v:fill on="f" focussize="0,0"/>
                      <v:stroke on="f" weight="0.5pt"/>
                      <v:imagedata o:title=""/>
                      <o:lock v:ext="edit" aspectratio="f"/>
                      <v:textbox>
                        <w:txbxContent>
                          <w:p w14:paraId="1533E15D">
                            <w:pPr>
                              <w:spacing w:line="240" w:lineRule="auto"/>
                              <w:ind w:firstLine="0" w:firstLineChars="0"/>
                              <w:rPr>
                                <w:b/>
                                <w:bCs/>
                                <w:sz w:val="21"/>
                                <w:szCs w:val="21"/>
                              </w:rPr>
                            </w:pPr>
                            <w:r>
                              <w:rPr>
                                <w:rFonts w:hint="eastAsia"/>
                                <w:b/>
                                <w:bCs/>
                                <w:sz w:val="21"/>
                                <w:szCs w:val="21"/>
                              </w:rPr>
                              <w:t>评价工作等级</w:t>
                            </w:r>
                          </w:p>
                        </w:txbxContent>
                      </v:textbox>
                    </v:shape>
                  </w:pict>
                </mc:Fallback>
              </mc:AlternateContent>
            </w:r>
            <w:r>
              <w:rPr>
                <w:kern w:val="2"/>
                <w:highlight w:val="yellow"/>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294005</wp:posOffset>
                      </wp:positionV>
                      <wp:extent cx="1270635" cy="285750"/>
                      <wp:effectExtent l="0" t="0" r="24765" b="19050"/>
                      <wp:wrapNone/>
                      <wp:docPr id="34" name="AutoShape 8045"/>
                      <wp:cNvGraphicFramePr/>
                      <a:graphic xmlns:a="http://schemas.openxmlformats.org/drawingml/2006/main">
                        <a:graphicData uri="http://schemas.microsoft.com/office/word/2010/wordprocessingShape">
                          <wps:wsp>
                            <wps:cNvCnPr>
                              <a:cxnSpLocks noChangeShapeType="1"/>
                            </wps:cNvCnPr>
                            <wps:spPr bwMode="auto">
                              <a:xfrm flipH="1" flipV="1">
                                <a:off x="0" y="0"/>
                                <a:ext cx="1270635" cy="285750"/>
                              </a:xfrm>
                              <a:prstGeom prst="straightConnector1">
                                <a:avLst/>
                              </a:prstGeom>
                              <a:noFill/>
                              <a:ln w="6350">
                                <a:solidFill>
                                  <a:srgbClr val="000000"/>
                                </a:solidFill>
                                <a:round/>
                              </a:ln>
                            </wps:spPr>
                            <wps:bodyPr/>
                          </wps:wsp>
                        </a:graphicData>
                      </a:graphic>
                    </wp:anchor>
                  </w:drawing>
                </mc:Choice>
                <mc:Fallback>
                  <w:pict>
                    <v:shape id="AutoShape 8045" o:spid="_x0000_s1026" o:spt="32" type="#_x0000_t32" style="position:absolute;left:0pt;flip:x y;margin-left:-5.55pt;margin-top:23.15pt;height:22.5pt;width:100.05pt;z-index:251659264;mso-width-relative:page;mso-height-relative:page;" filled="f" stroked="t" coordsize="21600,21600" o:gfxdata="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1CoKl&#10;2AAAAAkBAAAPAAAAAAAAAAEAIAAAACIAAABkcnMvZG93bnJldi54bWxQSwECFAAUAAAACACHTuJA&#10;ar2vqOgBAADPAwAADgAAAAAAAAABACAAAAAnAQAAZHJzL2Uyb0RvYy54bWxQSwUGAAAAAAYABgBZ&#10;AQAAgQUAAAAA&#10;">
                      <v:fill on="f" focussize="0,0"/>
                      <v:stroke weight="0.5pt" color="#000000" joinstyle="round"/>
                      <v:imagedata o:title=""/>
                      <o:lock v:ext="edit" aspectratio="f"/>
                    </v:shape>
                  </w:pict>
                </mc:Fallback>
              </mc:AlternateContent>
            </w:r>
            <w:r>
              <w:rPr>
                <w:kern w:val="2"/>
                <w:highlight w:val="yellow"/>
              </w:rPr>
              <mc:AlternateContent>
                <mc:Choice Requires="wps">
                  <w:drawing>
                    <wp:anchor distT="0" distB="0" distL="114300" distR="114300" simplePos="0" relativeHeight="251659264" behindDoc="0" locked="0" layoutInCell="1" allowOverlap="1">
                      <wp:simplePos x="0" y="0"/>
                      <wp:positionH relativeFrom="column">
                        <wp:posOffset>381635</wp:posOffset>
                      </wp:positionH>
                      <wp:positionV relativeFrom="paragraph">
                        <wp:posOffset>-2540</wp:posOffset>
                      </wp:positionV>
                      <wp:extent cx="803275" cy="567690"/>
                      <wp:effectExtent l="0" t="0" r="34925" b="22860"/>
                      <wp:wrapNone/>
                      <wp:docPr id="38" name="AutoShape 8044"/>
                      <wp:cNvGraphicFramePr/>
                      <a:graphic xmlns:a="http://schemas.openxmlformats.org/drawingml/2006/main">
                        <a:graphicData uri="http://schemas.microsoft.com/office/word/2010/wordprocessingShape">
                          <wps:wsp>
                            <wps:cNvCnPr>
                              <a:cxnSpLocks noChangeShapeType="1"/>
                            </wps:cNvCnPr>
                            <wps:spPr bwMode="auto">
                              <a:xfrm>
                                <a:off x="0" y="0"/>
                                <a:ext cx="803275" cy="567690"/>
                              </a:xfrm>
                              <a:prstGeom prst="straightConnector1">
                                <a:avLst/>
                              </a:prstGeom>
                              <a:noFill/>
                              <a:ln w="6350">
                                <a:solidFill>
                                  <a:srgbClr val="000000"/>
                                </a:solidFill>
                                <a:round/>
                              </a:ln>
                            </wps:spPr>
                            <wps:bodyPr/>
                          </wps:wsp>
                        </a:graphicData>
                      </a:graphic>
                    </wp:anchor>
                  </w:drawing>
                </mc:Choice>
                <mc:Fallback>
                  <w:pict>
                    <v:shape id="AutoShape 8044" o:spid="_x0000_s1026" o:spt="32" type="#_x0000_t32" style="position:absolute;left:0pt;margin-left:30.05pt;margin-top:-0.2pt;height:44.7pt;width:63.25pt;z-index:251659264;mso-width-relative:page;mso-height-relative:page;" filled="f" stroked="t" coordsize="21600,21600" o:gfxdata="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PoKrw1QAAAAcBAAAPAAAA&#10;AAAAAAEAIAAAACIAAABkcnMvZG93bnJldi54bWxQSwECFAAUAAAACACHTuJA0yx/FN8BAAC6AwAA&#10;DgAAAAAAAAABACAAAAAkAQAAZHJzL2Uyb0RvYy54bWxQSwUGAAAAAAYABgBZAQAAdQUAAAAA&#10;">
                      <v:fill on="f" focussize="0,0"/>
                      <v:stroke weight="0.5pt" color="#000000" joinstyle="round"/>
                      <v:imagedata o:title=""/>
                      <o:lock v:ext="edit" aspectratio="f"/>
                    </v:shape>
                  </w:pict>
                </mc:Fallback>
              </mc:AlternateContent>
            </w:r>
          </w:p>
        </w:tc>
        <w:tc>
          <w:tcPr>
            <w:tcW w:w="1327" w:type="pct"/>
            <w:gridSpan w:val="3"/>
            <w:vAlign w:val="center"/>
          </w:tcPr>
          <w:p w14:paraId="1D3E92EC">
            <w:pPr>
              <w:pStyle w:val="62"/>
              <w:rPr>
                <w:b/>
                <w:kern w:val="2"/>
              </w:rPr>
            </w:pPr>
            <w:r>
              <w:rPr>
                <w:b/>
                <w:kern w:val="2"/>
              </w:rPr>
              <w:t>Ⅰ类</w:t>
            </w:r>
          </w:p>
        </w:tc>
        <w:tc>
          <w:tcPr>
            <w:tcW w:w="1249" w:type="pct"/>
            <w:gridSpan w:val="3"/>
            <w:vAlign w:val="center"/>
          </w:tcPr>
          <w:p w14:paraId="1D3E92ED">
            <w:pPr>
              <w:pStyle w:val="62"/>
              <w:rPr>
                <w:b/>
                <w:kern w:val="2"/>
              </w:rPr>
            </w:pPr>
            <w:r>
              <w:rPr>
                <w:b/>
                <w:kern w:val="2"/>
              </w:rPr>
              <w:t>Ⅱ类</w:t>
            </w:r>
          </w:p>
        </w:tc>
        <w:tc>
          <w:tcPr>
            <w:tcW w:w="1280" w:type="pct"/>
            <w:gridSpan w:val="3"/>
            <w:vAlign w:val="center"/>
          </w:tcPr>
          <w:p w14:paraId="1D3E92EE">
            <w:pPr>
              <w:pStyle w:val="62"/>
              <w:rPr>
                <w:b/>
                <w:kern w:val="2"/>
              </w:rPr>
            </w:pPr>
            <w:r>
              <w:rPr>
                <w:b/>
                <w:kern w:val="2"/>
              </w:rPr>
              <w:t>Ⅲ类</w:t>
            </w:r>
          </w:p>
        </w:tc>
      </w:tr>
      <w:tr w14:paraId="1D3E9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14:paraId="1D3E92F0">
            <w:pPr>
              <w:widowControl/>
              <w:adjustRightInd/>
              <w:snapToGrid/>
              <w:spacing w:line="240" w:lineRule="auto"/>
              <w:ind w:firstLine="0" w:firstLineChars="0"/>
              <w:jc w:val="left"/>
              <w:rPr>
                <w:kern w:val="2"/>
                <w:sz w:val="21"/>
                <w:szCs w:val="21"/>
                <w:highlight w:val="yellow"/>
              </w:rPr>
            </w:pPr>
          </w:p>
        </w:tc>
        <w:tc>
          <w:tcPr>
            <w:tcW w:w="499" w:type="pct"/>
            <w:vAlign w:val="center"/>
          </w:tcPr>
          <w:p w14:paraId="1D3E92F1">
            <w:pPr>
              <w:pStyle w:val="62"/>
              <w:rPr>
                <w:b/>
                <w:kern w:val="2"/>
              </w:rPr>
            </w:pPr>
            <w:r>
              <w:rPr>
                <w:b/>
                <w:kern w:val="2"/>
              </w:rPr>
              <w:t>大</w:t>
            </w:r>
          </w:p>
        </w:tc>
        <w:tc>
          <w:tcPr>
            <w:tcW w:w="413" w:type="pct"/>
            <w:vAlign w:val="center"/>
          </w:tcPr>
          <w:p w14:paraId="1D3E92F2">
            <w:pPr>
              <w:pStyle w:val="62"/>
              <w:rPr>
                <w:b/>
                <w:kern w:val="2"/>
              </w:rPr>
            </w:pPr>
            <w:r>
              <w:rPr>
                <w:b/>
                <w:kern w:val="2"/>
              </w:rPr>
              <w:t>中</w:t>
            </w:r>
          </w:p>
        </w:tc>
        <w:tc>
          <w:tcPr>
            <w:tcW w:w="415" w:type="pct"/>
            <w:vAlign w:val="center"/>
          </w:tcPr>
          <w:p w14:paraId="1D3E92F3">
            <w:pPr>
              <w:pStyle w:val="62"/>
              <w:rPr>
                <w:b/>
                <w:kern w:val="2"/>
              </w:rPr>
            </w:pPr>
            <w:r>
              <w:rPr>
                <w:b/>
                <w:kern w:val="2"/>
              </w:rPr>
              <w:t>小</w:t>
            </w:r>
          </w:p>
        </w:tc>
        <w:tc>
          <w:tcPr>
            <w:tcW w:w="416" w:type="pct"/>
            <w:vAlign w:val="center"/>
          </w:tcPr>
          <w:p w14:paraId="1D3E92F4">
            <w:pPr>
              <w:pStyle w:val="62"/>
              <w:rPr>
                <w:b/>
                <w:kern w:val="2"/>
              </w:rPr>
            </w:pPr>
            <w:r>
              <w:rPr>
                <w:b/>
                <w:kern w:val="2"/>
              </w:rPr>
              <w:t>大</w:t>
            </w:r>
          </w:p>
        </w:tc>
        <w:tc>
          <w:tcPr>
            <w:tcW w:w="416" w:type="pct"/>
            <w:vAlign w:val="center"/>
          </w:tcPr>
          <w:p w14:paraId="1D3E92F5">
            <w:pPr>
              <w:pStyle w:val="62"/>
              <w:rPr>
                <w:b/>
                <w:kern w:val="2"/>
              </w:rPr>
            </w:pPr>
            <w:r>
              <w:rPr>
                <w:b/>
                <w:kern w:val="2"/>
              </w:rPr>
              <w:t>中</w:t>
            </w:r>
          </w:p>
        </w:tc>
        <w:tc>
          <w:tcPr>
            <w:tcW w:w="417" w:type="pct"/>
            <w:vAlign w:val="center"/>
          </w:tcPr>
          <w:p w14:paraId="1D3E92F6">
            <w:pPr>
              <w:pStyle w:val="62"/>
              <w:rPr>
                <w:b/>
                <w:kern w:val="2"/>
              </w:rPr>
            </w:pPr>
            <w:r>
              <w:rPr>
                <w:b/>
                <w:kern w:val="2"/>
              </w:rPr>
              <w:t>小</w:t>
            </w:r>
          </w:p>
        </w:tc>
        <w:tc>
          <w:tcPr>
            <w:tcW w:w="416" w:type="pct"/>
            <w:vAlign w:val="center"/>
          </w:tcPr>
          <w:p w14:paraId="1D3E92F7">
            <w:pPr>
              <w:pStyle w:val="62"/>
              <w:rPr>
                <w:b/>
                <w:kern w:val="2"/>
              </w:rPr>
            </w:pPr>
            <w:r>
              <w:rPr>
                <w:b/>
                <w:kern w:val="2"/>
              </w:rPr>
              <w:t>大</w:t>
            </w:r>
          </w:p>
        </w:tc>
        <w:tc>
          <w:tcPr>
            <w:tcW w:w="414" w:type="pct"/>
            <w:vAlign w:val="center"/>
          </w:tcPr>
          <w:p w14:paraId="1D3E92F8">
            <w:pPr>
              <w:pStyle w:val="62"/>
              <w:rPr>
                <w:b/>
                <w:kern w:val="2"/>
              </w:rPr>
            </w:pPr>
            <w:r>
              <w:rPr>
                <w:b/>
                <w:kern w:val="2"/>
              </w:rPr>
              <w:t>中</w:t>
            </w:r>
          </w:p>
        </w:tc>
        <w:tc>
          <w:tcPr>
            <w:tcW w:w="450" w:type="pct"/>
            <w:vAlign w:val="center"/>
          </w:tcPr>
          <w:p w14:paraId="1D3E92F9">
            <w:pPr>
              <w:pStyle w:val="62"/>
              <w:rPr>
                <w:b/>
                <w:kern w:val="2"/>
              </w:rPr>
            </w:pPr>
            <w:r>
              <w:rPr>
                <w:b/>
                <w:kern w:val="2"/>
              </w:rPr>
              <w:t>小</w:t>
            </w:r>
          </w:p>
        </w:tc>
      </w:tr>
      <w:tr w14:paraId="1D3E9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pct"/>
            <w:vAlign w:val="center"/>
          </w:tcPr>
          <w:p w14:paraId="1D3E92FB">
            <w:pPr>
              <w:pStyle w:val="62"/>
              <w:rPr>
                <w:kern w:val="2"/>
                <w:highlight w:val="yellow"/>
              </w:rPr>
            </w:pPr>
            <w:r>
              <mc:AlternateContent>
                <mc:Choice Requires="wps">
                  <w:drawing>
                    <wp:anchor distT="0" distB="0" distL="114300" distR="114300" simplePos="0" relativeHeight="251662336" behindDoc="0" locked="0" layoutInCell="1" allowOverlap="1">
                      <wp:simplePos x="0" y="0"/>
                      <wp:positionH relativeFrom="column">
                        <wp:posOffset>-144145</wp:posOffset>
                      </wp:positionH>
                      <wp:positionV relativeFrom="paragraph">
                        <wp:posOffset>-269875</wp:posOffset>
                      </wp:positionV>
                      <wp:extent cx="742950" cy="259715"/>
                      <wp:effectExtent l="0" t="0" r="0" b="0"/>
                      <wp:wrapNone/>
                      <wp:docPr id="1474285799" name="文本框 1474285799"/>
                      <wp:cNvGraphicFramePr/>
                      <a:graphic xmlns:a="http://schemas.openxmlformats.org/drawingml/2006/main">
                        <a:graphicData uri="http://schemas.microsoft.com/office/word/2010/wordprocessingShape">
                          <wps:wsp>
                            <wps:cNvSpPr txBox="1"/>
                            <wps:spPr>
                              <a:xfrm>
                                <a:off x="0" y="0"/>
                                <a:ext cx="74295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4BD3F">
                                  <w:pPr>
                                    <w:spacing w:line="240" w:lineRule="auto"/>
                                    <w:ind w:firstLine="0" w:firstLineChars="0"/>
                                    <w:rPr>
                                      <w:b/>
                                      <w:bCs/>
                                      <w:sz w:val="21"/>
                                      <w:szCs w:val="21"/>
                                    </w:rPr>
                                  </w:pPr>
                                  <w:r>
                                    <w:rPr>
                                      <w:rFonts w:hint="eastAsia"/>
                                      <w:b/>
                                      <w:bCs/>
                                      <w:sz w:val="21"/>
                                      <w:szCs w:val="21"/>
                                    </w:rPr>
                                    <w:t>敏感程度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pt;margin-top:-21.25pt;height:20.45pt;width:58.5pt;z-index:251662336;mso-width-relative:page;mso-height-relative:page;" filled="f" stroked="f" coordsize="21600,21600" o:gfxdata="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NQzVnaAAAACQEAAA8AAAAAAAAAAQAgAAAA&#10;IgAAAGRycy9kb3ducmV2LnhtbFBLAQIUABQAAAAIAIdO4kC2I+dhQgIAAHcEAAAOAAAAAAAAAAEA&#10;IAAAACkBAABkcnMvZTJvRG9jLnhtbFBLBQYAAAAABgAGAFkBAADdBQAAAAA=&#10;">
                      <v:fill on="f" focussize="0,0"/>
                      <v:stroke on="f" weight="0.5pt"/>
                      <v:imagedata o:title=""/>
                      <o:lock v:ext="edit" aspectratio="f"/>
                      <v:textbox>
                        <w:txbxContent>
                          <w:p w14:paraId="7144BD3F">
                            <w:pPr>
                              <w:spacing w:line="240" w:lineRule="auto"/>
                              <w:ind w:firstLine="0" w:firstLineChars="0"/>
                              <w:rPr>
                                <w:b/>
                                <w:bCs/>
                                <w:sz w:val="21"/>
                                <w:szCs w:val="21"/>
                              </w:rPr>
                            </w:pPr>
                            <w:r>
                              <w:rPr>
                                <w:rFonts w:hint="eastAsia"/>
                                <w:b/>
                                <w:bCs/>
                                <w:sz w:val="21"/>
                                <w:szCs w:val="21"/>
                              </w:rPr>
                              <w:t>敏感程度</w:t>
                            </w:r>
                          </w:p>
                        </w:txbxContent>
                      </v:textbox>
                    </v:shape>
                  </w:pict>
                </mc:Fallback>
              </mc:AlternateContent>
            </w:r>
            <w:r>
              <w:rPr>
                <w:kern w:val="2"/>
              </w:rPr>
              <w:t>敏感</w:t>
            </w:r>
          </w:p>
        </w:tc>
        <w:tc>
          <w:tcPr>
            <w:tcW w:w="499" w:type="pct"/>
            <w:vAlign w:val="center"/>
          </w:tcPr>
          <w:p w14:paraId="1D3E92FC">
            <w:pPr>
              <w:pStyle w:val="62"/>
              <w:rPr>
                <w:kern w:val="2"/>
              </w:rPr>
            </w:pPr>
            <w:r>
              <w:rPr>
                <w:kern w:val="2"/>
              </w:rPr>
              <w:t>一级</w:t>
            </w:r>
          </w:p>
        </w:tc>
        <w:tc>
          <w:tcPr>
            <w:tcW w:w="413" w:type="pct"/>
            <w:vAlign w:val="center"/>
          </w:tcPr>
          <w:p w14:paraId="1D3E92FD">
            <w:pPr>
              <w:pStyle w:val="62"/>
              <w:rPr>
                <w:kern w:val="2"/>
              </w:rPr>
            </w:pPr>
            <w:r>
              <w:rPr>
                <w:kern w:val="2"/>
              </w:rPr>
              <w:t>一级</w:t>
            </w:r>
          </w:p>
        </w:tc>
        <w:tc>
          <w:tcPr>
            <w:tcW w:w="415" w:type="pct"/>
            <w:vAlign w:val="center"/>
          </w:tcPr>
          <w:p w14:paraId="1D3E92FE">
            <w:pPr>
              <w:pStyle w:val="62"/>
              <w:rPr>
                <w:kern w:val="2"/>
              </w:rPr>
            </w:pPr>
            <w:r>
              <w:rPr>
                <w:kern w:val="2"/>
              </w:rPr>
              <w:t>一级</w:t>
            </w:r>
          </w:p>
        </w:tc>
        <w:tc>
          <w:tcPr>
            <w:tcW w:w="416" w:type="pct"/>
            <w:vAlign w:val="center"/>
          </w:tcPr>
          <w:p w14:paraId="1D3E92FF">
            <w:pPr>
              <w:pStyle w:val="62"/>
              <w:rPr>
                <w:kern w:val="2"/>
              </w:rPr>
            </w:pPr>
            <w:r>
              <w:rPr>
                <w:kern w:val="2"/>
              </w:rPr>
              <w:t>二级</w:t>
            </w:r>
          </w:p>
        </w:tc>
        <w:tc>
          <w:tcPr>
            <w:tcW w:w="416" w:type="pct"/>
            <w:vAlign w:val="center"/>
          </w:tcPr>
          <w:p w14:paraId="1D3E9300">
            <w:pPr>
              <w:pStyle w:val="62"/>
              <w:rPr>
                <w:kern w:val="2"/>
              </w:rPr>
            </w:pPr>
            <w:r>
              <w:rPr>
                <w:kern w:val="2"/>
              </w:rPr>
              <w:t>二级</w:t>
            </w:r>
          </w:p>
        </w:tc>
        <w:tc>
          <w:tcPr>
            <w:tcW w:w="417" w:type="pct"/>
            <w:vAlign w:val="center"/>
          </w:tcPr>
          <w:p w14:paraId="1D3E9301">
            <w:pPr>
              <w:pStyle w:val="62"/>
              <w:rPr>
                <w:kern w:val="2"/>
              </w:rPr>
            </w:pPr>
            <w:r>
              <w:rPr>
                <w:kern w:val="2"/>
              </w:rPr>
              <w:t>二级</w:t>
            </w:r>
          </w:p>
        </w:tc>
        <w:tc>
          <w:tcPr>
            <w:tcW w:w="416" w:type="pct"/>
            <w:vAlign w:val="center"/>
          </w:tcPr>
          <w:p w14:paraId="1D3E9302">
            <w:pPr>
              <w:pStyle w:val="62"/>
              <w:rPr>
                <w:kern w:val="2"/>
              </w:rPr>
            </w:pPr>
            <w:r>
              <w:rPr>
                <w:kern w:val="2"/>
              </w:rPr>
              <w:t>三级</w:t>
            </w:r>
          </w:p>
        </w:tc>
        <w:tc>
          <w:tcPr>
            <w:tcW w:w="414" w:type="pct"/>
            <w:vAlign w:val="center"/>
          </w:tcPr>
          <w:p w14:paraId="1D3E9303">
            <w:pPr>
              <w:pStyle w:val="62"/>
              <w:rPr>
                <w:kern w:val="2"/>
              </w:rPr>
            </w:pPr>
            <w:r>
              <w:rPr>
                <w:kern w:val="2"/>
              </w:rPr>
              <w:t>三级</w:t>
            </w:r>
          </w:p>
        </w:tc>
        <w:tc>
          <w:tcPr>
            <w:tcW w:w="450" w:type="pct"/>
            <w:vAlign w:val="center"/>
          </w:tcPr>
          <w:p w14:paraId="1D3E9304">
            <w:pPr>
              <w:pStyle w:val="62"/>
              <w:rPr>
                <w:kern w:val="2"/>
              </w:rPr>
            </w:pPr>
            <w:r>
              <w:rPr>
                <w:kern w:val="2"/>
              </w:rPr>
              <w:t>三级</w:t>
            </w:r>
          </w:p>
        </w:tc>
      </w:tr>
      <w:tr w14:paraId="1D3E9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pct"/>
            <w:vAlign w:val="center"/>
          </w:tcPr>
          <w:p w14:paraId="1D3E9306">
            <w:pPr>
              <w:pStyle w:val="62"/>
              <w:rPr>
                <w:kern w:val="2"/>
              </w:rPr>
            </w:pPr>
            <w:r>
              <w:rPr>
                <w:kern w:val="2"/>
              </w:rPr>
              <w:t>较敏感</w:t>
            </w:r>
          </w:p>
        </w:tc>
        <w:tc>
          <w:tcPr>
            <w:tcW w:w="499" w:type="pct"/>
            <w:vAlign w:val="center"/>
          </w:tcPr>
          <w:p w14:paraId="1D3E9307">
            <w:pPr>
              <w:pStyle w:val="62"/>
              <w:rPr>
                <w:kern w:val="2"/>
              </w:rPr>
            </w:pPr>
            <w:r>
              <w:rPr>
                <w:kern w:val="2"/>
              </w:rPr>
              <w:t>一级</w:t>
            </w:r>
          </w:p>
        </w:tc>
        <w:tc>
          <w:tcPr>
            <w:tcW w:w="413" w:type="pct"/>
            <w:vAlign w:val="center"/>
          </w:tcPr>
          <w:p w14:paraId="1D3E9308">
            <w:pPr>
              <w:pStyle w:val="62"/>
              <w:rPr>
                <w:kern w:val="2"/>
              </w:rPr>
            </w:pPr>
            <w:r>
              <w:rPr>
                <w:kern w:val="2"/>
              </w:rPr>
              <w:t>一级</w:t>
            </w:r>
          </w:p>
        </w:tc>
        <w:tc>
          <w:tcPr>
            <w:tcW w:w="415" w:type="pct"/>
            <w:vAlign w:val="center"/>
          </w:tcPr>
          <w:p w14:paraId="1D3E9309">
            <w:pPr>
              <w:pStyle w:val="62"/>
              <w:rPr>
                <w:kern w:val="2"/>
              </w:rPr>
            </w:pPr>
            <w:r>
              <w:rPr>
                <w:kern w:val="2"/>
              </w:rPr>
              <w:t>二级</w:t>
            </w:r>
          </w:p>
        </w:tc>
        <w:tc>
          <w:tcPr>
            <w:tcW w:w="416" w:type="pct"/>
            <w:vAlign w:val="center"/>
          </w:tcPr>
          <w:p w14:paraId="1D3E930A">
            <w:pPr>
              <w:pStyle w:val="62"/>
              <w:rPr>
                <w:kern w:val="2"/>
              </w:rPr>
            </w:pPr>
            <w:r>
              <w:rPr>
                <w:kern w:val="2"/>
              </w:rPr>
              <w:t>二级</w:t>
            </w:r>
          </w:p>
        </w:tc>
        <w:tc>
          <w:tcPr>
            <w:tcW w:w="416" w:type="pct"/>
            <w:vAlign w:val="center"/>
          </w:tcPr>
          <w:p w14:paraId="1D3E930B">
            <w:pPr>
              <w:pStyle w:val="62"/>
              <w:rPr>
                <w:kern w:val="2"/>
              </w:rPr>
            </w:pPr>
            <w:r>
              <w:rPr>
                <w:kern w:val="2"/>
              </w:rPr>
              <w:t>二级</w:t>
            </w:r>
          </w:p>
        </w:tc>
        <w:tc>
          <w:tcPr>
            <w:tcW w:w="417" w:type="pct"/>
            <w:vAlign w:val="center"/>
          </w:tcPr>
          <w:p w14:paraId="1D3E930C">
            <w:pPr>
              <w:pStyle w:val="62"/>
              <w:rPr>
                <w:kern w:val="2"/>
              </w:rPr>
            </w:pPr>
            <w:r>
              <w:rPr>
                <w:kern w:val="2"/>
              </w:rPr>
              <w:t>三级</w:t>
            </w:r>
          </w:p>
        </w:tc>
        <w:tc>
          <w:tcPr>
            <w:tcW w:w="416" w:type="pct"/>
            <w:vAlign w:val="center"/>
          </w:tcPr>
          <w:p w14:paraId="1D3E930D">
            <w:pPr>
              <w:pStyle w:val="62"/>
              <w:rPr>
                <w:kern w:val="2"/>
              </w:rPr>
            </w:pPr>
            <w:r>
              <w:rPr>
                <w:kern w:val="2"/>
              </w:rPr>
              <w:t>三级</w:t>
            </w:r>
          </w:p>
        </w:tc>
        <w:tc>
          <w:tcPr>
            <w:tcW w:w="414" w:type="pct"/>
            <w:vAlign w:val="center"/>
          </w:tcPr>
          <w:p w14:paraId="1D3E930E">
            <w:pPr>
              <w:pStyle w:val="62"/>
              <w:rPr>
                <w:kern w:val="2"/>
              </w:rPr>
            </w:pPr>
            <w:r>
              <w:rPr>
                <w:kern w:val="2"/>
              </w:rPr>
              <w:t>三级</w:t>
            </w:r>
          </w:p>
        </w:tc>
        <w:tc>
          <w:tcPr>
            <w:tcW w:w="450" w:type="pct"/>
            <w:vAlign w:val="center"/>
          </w:tcPr>
          <w:p w14:paraId="1D3E930F">
            <w:pPr>
              <w:pStyle w:val="62"/>
              <w:rPr>
                <w:kern w:val="2"/>
              </w:rPr>
            </w:pPr>
            <w:r>
              <w:rPr>
                <w:kern w:val="2"/>
              </w:rPr>
              <w:t>-</w:t>
            </w:r>
          </w:p>
        </w:tc>
      </w:tr>
      <w:tr w14:paraId="1D3E9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pct"/>
            <w:vAlign w:val="center"/>
          </w:tcPr>
          <w:p w14:paraId="1D3E9311">
            <w:pPr>
              <w:pStyle w:val="62"/>
              <w:rPr>
                <w:kern w:val="2"/>
              </w:rPr>
            </w:pPr>
            <w:r>
              <w:rPr>
                <w:kern w:val="2"/>
              </w:rPr>
              <w:t>不敏感</w:t>
            </w:r>
          </w:p>
        </w:tc>
        <w:tc>
          <w:tcPr>
            <w:tcW w:w="499" w:type="pct"/>
            <w:vAlign w:val="center"/>
          </w:tcPr>
          <w:p w14:paraId="1D3E9312">
            <w:pPr>
              <w:pStyle w:val="62"/>
              <w:rPr>
                <w:kern w:val="2"/>
              </w:rPr>
            </w:pPr>
            <w:r>
              <w:rPr>
                <w:kern w:val="2"/>
              </w:rPr>
              <w:t>一级</w:t>
            </w:r>
          </w:p>
        </w:tc>
        <w:tc>
          <w:tcPr>
            <w:tcW w:w="413" w:type="pct"/>
            <w:shd w:val="clear" w:color="auto" w:fill="auto"/>
            <w:vAlign w:val="center"/>
          </w:tcPr>
          <w:p w14:paraId="1D3E9313">
            <w:pPr>
              <w:pStyle w:val="62"/>
              <w:rPr>
                <w:kern w:val="2"/>
              </w:rPr>
            </w:pPr>
            <w:r>
              <w:rPr>
                <w:kern w:val="2"/>
              </w:rPr>
              <w:t>二级</w:t>
            </w:r>
          </w:p>
        </w:tc>
        <w:tc>
          <w:tcPr>
            <w:tcW w:w="415" w:type="pct"/>
            <w:shd w:val="clear" w:color="auto" w:fill="F7C890" w:themeFill="accent2" w:themeFillTint="99"/>
            <w:vAlign w:val="center"/>
          </w:tcPr>
          <w:p w14:paraId="1D3E9314">
            <w:pPr>
              <w:pStyle w:val="62"/>
              <w:rPr>
                <w:kern w:val="2"/>
              </w:rPr>
            </w:pPr>
            <w:r>
              <w:rPr>
                <w:kern w:val="2"/>
              </w:rPr>
              <w:t>二级</w:t>
            </w:r>
          </w:p>
        </w:tc>
        <w:tc>
          <w:tcPr>
            <w:tcW w:w="416" w:type="pct"/>
            <w:vAlign w:val="center"/>
          </w:tcPr>
          <w:p w14:paraId="1D3E9315">
            <w:pPr>
              <w:pStyle w:val="62"/>
              <w:rPr>
                <w:kern w:val="2"/>
              </w:rPr>
            </w:pPr>
            <w:r>
              <w:rPr>
                <w:kern w:val="2"/>
              </w:rPr>
              <w:t>二级</w:t>
            </w:r>
          </w:p>
        </w:tc>
        <w:tc>
          <w:tcPr>
            <w:tcW w:w="416" w:type="pct"/>
            <w:vAlign w:val="center"/>
          </w:tcPr>
          <w:p w14:paraId="1D3E9316">
            <w:pPr>
              <w:pStyle w:val="62"/>
              <w:rPr>
                <w:kern w:val="2"/>
              </w:rPr>
            </w:pPr>
            <w:r>
              <w:rPr>
                <w:kern w:val="2"/>
              </w:rPr>
              <w:t>三级</w:t>
            </w:r>
          </w:p>
        </w:tc>
        <w:tc>
          <w:tcPr>
            <w:tcW w:w="417" w:type="pct"/>
            <w:vAlign w:val="center"/>
          </w:tcPr>
          <w:p w14:paraId="1D3E9317">
            <w:pPr>
              <w:pStyle w:val="62"/>
              <w:rPr>
                <w:kern w:val="2"/>
              </w:rPr>
            </w:pPr>
            <w:r>
              <w:rPr>
                <w:kern w:val="2"/>
              </w:rPr>
              <w:t>三级</w:t>
            </w:r>
          </w:p>
        </w:tc>
        <w:tc>
          <w:tcPr>
            <w:tcW w:w="416" w:type="pct"/>
            <w:vAlign w:val="center"/>
          </w:tcPr>
          <w:p w14:paraId="1D3E9318">
            <w:pPr>
              <w:pStyle w:val="62"/>
              <w:rPr>
                <w:kern w:val="2"/>
              </w:rPr>
            </w:pPr>
            <w:r>
              <w:rPr>
                <w:kern w:val="2"/>
              </w:rPr>
              <w:t>三级</w:t>
            </w:r>
          </w:p>
        </w:tc>
        <w:tc>
          <w:tcPr>
            <w:tcW w:w="414" w:type="pct"/>
            <w:vAlign w:val="center"/>
          </w:tcPr>
          <w:p w14:paraId="1D3E9319">
            <w:pPr>
              <w:pStyle w:val="62"/>
              <w:rPr>
                <w:kern w:val="2"/>
              </w:rPr>
            </w:pPr>
            <w:r>
              <w:rPr>
                <w:kern w:val="2"/>
              </w:rPr>
              <w:t>-</w:t>
            </w:r>
          </w:p>
        </w:tc>
        <w:tc>
          <w:tcPr>
            <w:tcW w:w="450" w:type="pct"/>
            <w:vAlign w:val="center"/>
          </w:tcPr>
          <w:p w14:paraId="1D3E931A">
            <w:pPr>
              <w:pStyle w:val="62"/>
              <w:rPr>
                <w:kern w:val="2"/>
              </w:rPr>
            </w:pPr>
            <w:r>
              <w:rPr>
                <w:kern w:val="2"/>
              </w:rPr>
              <w:t>-</w:t>
            </w:r>
          </w:p>
        </w:tc>
      </w:tr>
      <w:tr w14:paraId="1D3E9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0"/>
            <w:vAlign w:val="center"/>
          </w:tcPr>
          <w:p w14:paraId="1D3E931C">
            <w:pPr>
              <w:pStyle w:val="62"/>
              <w:rPr>
                <w:kern w:val="2"/>
                <w:highlight w:val="yellow"/>
              </w:rPr>
            </w:pPr>
            <w:r>
              <w:rPr>
                <w:kern w:val="2"/>
              </w:rPr>
              <w:t>注：“-”表示可不开展土壤环境影响评价工作。</w:t>
            </w:r>
          </w:p>
        </w:tc>
      </w:tr>
    </w:tbl>
    <w:p w14:paraId="1D3E931E">
      <w:pPr>
        <w:ind w:firstLine="480"/>
      </w:pPr>
      <w:r>
        <w:t>综上所述，通过分析本项目属于土壤环境影响评价I类项目，项目占地规模为小型，土壤环境敏感程度属于“不敏感”，综合判断土壤环境影响评价等级为二级。</w:t>
      </w:r>
    </w:p>
    <w:p w14:paraId="1D3E931F">
      <w:pPr>
        <w:pStyle w:val="5"/>
        <w:spacing w:before="323" w:after="323"/>
      </w:pPr>
      <w:r>
        <w:t>环境风险评价等级</w:t>
      </w:r>
      <w:bookmarkEnd w:id="97"/>
      <w:bookmarkEnd w:id="98"/>
      <w:bookmarkEnd w:id="99"/>
    </w:p>
    <w:p w14:paraId="39B724E2">
      <w:pPr>
        <w:ind w:firstLine="480"/>
        <w:rPr>
          <w:bCs/>
        </w:rPr>
      </w:pPr>
      <w:r>
        <w:rPr>
          <w:rFonts w:hint="eastAsia"/>
          <w:bCs/>
        </w:rPr>
        <w:t>按照《建设项目环境风险评价技术导则》（HJ 169-2018），环境风险评价等级划分为一级、二级、三级及简单分析。</w:t>
      </w:r>
    </w:p>
    <w:p w14:paraId="420EC379">
      <w:pPr>
        <w:ind w:firstLine="480"/>
        <w:rPr>
          <w:bCs/>
        </w:rPr>
      </w:pPr>
      <w:r>
        <w:rPr>
          <w:rFonts w:hint="eastAsia"/>
          <w:bCs/>
        </w:rPr>
        <w:t>根据本工程危险物质及工艺系统危险性（P）以及大气环境、地表水环境、地下水环境敏感程度（E），分别判定各环境要素环境风险潜势等级，项目环境风险潜势综合等级取各要素等级的相对高值。</w:t>
      </w:r>
    </w:p>
    <w:p w14:paraId="51D27C74">
      <w:pPr>
        <w:pStyle w:val="201"/>
        <w:ind w:left="0" w:firstLine="482"/>
      </w:pPr>
      <w:r>
        <w:rPr>
          <w:rFonts w:hint="eastAsia"/>
        </w:rPr>
        <w:t>2.4.6.1危险物质数量与临界量比值Q</w:t>
      </w:r>
    </w:p>
    <w:p w14:paraId="41623D9B">
      <w:pPr>
        <w:ind w:firstLine="480"/>
        <w:rPr>
          <w:bCs/>
        </w:rPr>
      </w:pPr>
      <w:r>
        <w:rPr>
          <w:rFonts w:hint="eastAsia"/>
          <w:bCs/>
        </w:rPr>
        <w:t>本项目各风险物质的最大存在量及临界量见下表。</w:t>
      </w:r>
    </w:p>
    <w:p w14:paraId="32846A26">
      <w:pPr>
        <w:pStyle w:val="64"/>
        <w:numPr>
          <w:ilvl w:val="0"/>
          <w:numId w:val="5"/>
        </w:numPr>
        <w:spacing w:before="161"/>
        <w:ind w:left="924" w:hanging="442" w:firstLineChars="0"/>
      </w:pPr>
      <w:r>
        <w:rPr>
          <w:rFonts w:hint="eastAsia"/>
        </w:rPr>
        <w:t xml:space="preserve">             </w:t>
      </w:r>
      <w:r>
        <w:t xml:space="preserve">风险物质最大存在量 </w:t>
      </w:r>
      <w:r>
        <w:rPr>
          <w:rFonts w:hint="eastAsia"/>
        </w:rPr>
        <w:t xml:space="preserve">    </w:t>
      </w:r>
      <w:r>
        <w:t xml:space="preserve">               单位：t</w:t>
      </w:r>
    </w:p>
    <w:tbl>
      <w:tblPr>
        <w:tblStyle w:val="41"/>
        <w:tblW w:w="506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14"/>
        <w:gridCol w:w="1814"/>
        <w:gridCol w:w="1814"/>
        <w:gridCol w:w="1814"/>
        <w:gridCol w:w="1815"/>
      </w:tblGrid>
      <w:tr w14:paraId="0397C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8" w:space="0"/>
              <w:left w:val="single" w:color="auto" w:sz="8" w:space="0"/>
              <w:bottom w:val="single" w:color="auto" w:sz="4" w:space="0"/>
              <w:right w:val="single" w:color="auto" w:sz="4" w:space="0"/>
            </w:tcBorders>
            <w:vAlign w:val="center"/>
          </w:tcPr>
          <w:p w14:paraId="7B657115">
            <w:pPr>
              <w:spacing w:line="240" w:lineRule="auto"/>
              <w:ind w:firstLine="0" w:firstLineChars="0"/>
              <w:jc w:val="center"/>
              <w:rPr>
                <w:b/>
                <w:bCs/>
                <w:sz w:val="21"/>
                <w:szCs w:val="21"/>
                <w:u w:val="single"/>
              </w:rPr>
            </w:pPr>
            <w:r>
              <w:rPr>
                <w:b/>
                <w:bCs/>
                <w:sz w:val="21"/>
                <w:szCs w:val="21"/>
                <w:u w:val="single"/>
              </w:rPr>
              <w:t>物质</w:t>
            </w:r>
          </w:p>
        </w:tc>
        <w:tc>
          <w:tcPr>
            <w:tcW w:w="1000" w:type="pct"/>
            <w:tcBorders>
              <w:top w:val="single" w:color="auto" w:sz="8" w:space="0"/>
              <w:left w:val="single" w:color="auto" w:sz="4" w:space="0"/>
              <w:bottom w:val="single" w:color="auto" w:sz="4" w:space="0"/>
              <w:right w:val="single" w:color="auto" w:sz="4" w:space="0"/>
            </w:tcBorders>
            <w:vAlign w:val="center"/>
          </w:tcPr>
          <w:p w14:paraId="7DB0220B">
            <w:pPr>
              <w:spacing w:line="240" w:lineRule="auto"/>
              <w:ind w:firstLine="0" w:firstLineChars="0"/>
              <w:jc w:val="center"/>
              <w:rPr>
                <w:b/>
                <w:bCs/>
                <w:sz w:val="21"/>
                <w:szCs w:val="21"/>
                <w:u w:val="single"/>
              </w:rPr>
            </w:pPr>
            <w:r>
              <w:rPr>
                <w:b/>
                <w:bCs/>
                <w:sz w:val="21"/>
                <w:szCs w:val="21"/>
                <w:u w:val="single"/>
              </w:rPr>
              <w:t>CAS号</w:t>
            </w:r>
          </w:p>
        </w:tc>
        <w:tc>
          <w:tcPr>
            <w:tcW w:w="1000" w:type="pct"/>
            <w:tcBorders>
              <w:top w:val="single" w:color="auto" w:sz="8" w:space="0"/>
              <w:left w:val="single" w:color="auto" w:sz="4" w:space="0"/>
              <w:bottom w:val="single" w:color="auto" w:sz="4" w:space="0"/>
              <w:right w:val="single" w:color="auto" w:sz="4" w:space="0"/>
            </w:tcBorders>
            <w:vAlign w:val="center"/>
          </w:tcPr>
          <w:p w14:paraId="69170418">
            <w:pPr>
              <w:spacing w:line="240" w:lineRule="auto"/>
              <w:ind w:firstLine="0" w:firstLineChars="0"/>
              <w:jc w:val="center"/>
              <w:rPr>
                <w:b/>
                <w:bCs/>
                <w:sz w:val="21"/>
                <w:szCs w:val="21"/>
                <w:u w:val="single"/>
              </w:rPr>
            </w:pPr>
            <w:r>
              <w:rPr>
                <w:b/>
                <w:bCs/>
                <w:sz w:val="21"/>
                <w:szCs w:val="21"/>
                <w:u w:val="single"/>
              </w:rPr>
              <w:t>最大存在量</w:t>
            </w:r>
            <w:r>
              <w:rPr>
                <w:b/>
                <w:bCs/>
                <w:i/>
                <w:iCs/>
                <w:sz w:val="21"/>
                <w:szCs w:val="21"/>
                <w:u w:val="single"/>
              </w:rPr>
              <w:t>q</w:t>
            </w:r>
            <w:r>
              <w:rPr>
                <w:b/>
                <w:bCs/>
                <w:i/>
                <w:iCs/>
                <w:sz w:val="21"/>
                <w:szCs w:val="21"/>
                <w:u w:val="single"/>
                <w:vertAlign w:val="subscript"/>
              </w:rPr>
              <w:t>n</w:t>
            </w:r>
          </w:p>
        </w:tc>
        <w:tc>
          <w:tcPr>
            <w:tcW w:w="1000" w:type="pct"/>
            <w:tcBorders>
              <w:top w:val="single" w:color="auto" w:sz="8" w:space="0"/>
              <w:left w:val="single" w:color="auto" w:sz="4" w:space="0"/>
              <w:bottom w:val="single" w:color="auto" w:sz="4" w:space="0"/>
              <w:right w:val="single" w:color="auto" w:sz="4" w:space="0"/>
            </w:tcBorders>
            <w:vAlign w:val="center"/>
          </w:tcPr>
          <w:p w14:paraId="3304EF8D">
            <w:pPr>
              <w:spacing w:line="240" w:lineRule="auto"/>
              <w:ind w:firstLine="0" w:firstLineChars="0"/>
              <w:jc w:val="center"/>
              <w:rPr>
                <w:b/>
                <w:bCs/>
                <w:sz w:val="21"/>
                <w:szCs w:val="21"/>
                <w:u w:val="single"/>
              </w:rPr>
            </w:pPr>
            <w:r>
              <w:rPr>
                <w:b/>
                <w:bCs/>
                <w:sz w:val="21"/>
                <w:szCs w:val="21"/>
                <w:u w:val="single"/>
              </w:rPr>
              <w:t>临界量</w:t>
            </w:r>
            <w:r>
              <w:rPr>
                <w:b/>
                <w:bCs/>
                <w:i/>
                <w:iCs/>
                <w:sz w:val="21"/>
                <w:szCs w:val="21"/>
                <w:u w:val="single"/>
              </w:rPr>
              <w:t>Q</w:t>
            </w:r>
            <w:r>
              <w:rPr>
                <w:b/>
                <w:bCs/>
                <w:i/>
                <w:iCs/>
                <w:sz w:val="21"/>
                <w:szCs w:val="21"/>
                <w:u w:val="single"/>
                <w:vertAlign w:val="subscript"/>
              </w:rPr>
              <w:t>n</w:t>
            </w:r>
          </w:p>
        </w:tc>
        <w:tc>
          <w:tcPr>
            <w:tcW w:w="1000" w:type="pct"/>
            <w:tcBorders>
              <w:top w:val="single" w:color="auto" w:sz="8" w:space="0"/>
              <w:left w:val="single" w:color="auto" w:sz="4" w:space="0"/>
              <w:bottom w:val="single" w:color="auto" w:sz="4" w:space="0"/>
              <w:right w:val="single" w:color="auto" w:sz="8" w:space="0"/>
            </w:tcBorders>
            <w:vAlign w:val="center"/>
          </w:tcPr>
          <w:p w14:paraId="5F66BE1A">
            <w:pPr>
              <w:spacing w:line="240" w:lineRule="auto"/>
              <w:ind w:firstLine="0" w:firstLineChars="0"/>
              <w:jc w:val="center"/>
              <w:rPr>
                <w:b/>
                <w:bCs/>
                <w:sz w:val="21"/>
                <w:szCs w:val="21"/>
                <w:u w:val="single"/>
              </w:rPr>
            </w:pPr>
            <w:r>
              <w:rPr>
                <w:b/>
                <w:bCs/>
                <w:sz w:val="21"/>
                <w:szCs w:val="21"/>
                <w:u w:val="single"/>
              </w:rPr>
              <w:t>比值Q</w:t>
            </w:r>
            <w:r>
              <w:rPr>
                <w:b/>
                <w:bCs/>
                <w:i/>
                <w:iCs/>
                <w:sz w:val="21"/>
                <w:szCs w:val="21"/>
                <w:u w:val="single"/>
              </w:rPr>
              <w:t>（q</w:t>
            </w:r>
            <w:r>
              <w:rPr>
                <w:b/>
                <w:bCs/>
                <w:i/>
                <w:iCs/>
                <w:sz w:val="21"/>
                <w:szCs w:val="21"/>
                <w:u w:val="single"/>
                <w:vertAlign w:val="subscript"/>
              </w:rPr>
              <w:t>n</w:t>
            </w:r>
            <w:r>
              <w:rPr>
                <w:b/>
                <w:bCs/>
                <w:sz w:val="21"/>
                <w:szCs w:val="21"/>
                <w:u w:val="single"/>
              </w:rPr>
              <w:t>/</w:t>
            </w:r>
            <w:r>
              <w:rPr>
                <w:b/>
                <w:bCs/>
                <w:i/>
                <w:iCs/>
                <w:sz w:val="21"/>
                <w:szCs w:val="21"/>
                <w:u w:val="single"/>
              </w:rPr>
              <w:t>Q</w:t>
            </w:r>
            <w:r>
              <w:rPr>
                <w:b/>
                <w:bCs/>
                <w:i/>
                <w:iCs/>
                <w:sz w:val="21"/>
                <w:szCs w:val="21"/>
                <w:u w:val="single"/>
                <w:vertAlign w:val="subscript"/>
              </w:rPr>
              <w:t>n</w:t>
            </w:r>
            <w:r>
              <w:rPr>
                <w:b/>
                <w:bCs/>
                <w:i/>
                <w:iCs/>
                <w:sz w:val="21"/>
                <w:szCs w:val="21"/>
                <w:u w:val="single"/>
              </w:rPr>
              <w:t>）</w:t>
            </w:r>
          </w:p>
        </w:tc>
      </w:tr>
      <w:tr w14:paraId="0E377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71080CB9">
            <w:pPr>
              <w:spacing w:line="240" w:lineRule="auto"/>
              <w:ind w:firstLine="0" w:firstLineChars="0"/>
              <w:jc w:val="center"/>
              <w:rPr>
                <w:sz w:val="21"/>
                <w:szCs w:val="21"/>
                <w:highlight w:val="yellow"/>
                <w:u w:val="single"/>
              </w:rPr>
            </w:pPr>
            <w:r>
              <w:rPr>
                <w:rFonts w:hint="eastAsia" w:eastAsiaTheme="minorEastAsia"/>
                <w:sz w:val="21"/>
                <w:szCs w:val="21"/>
                <w:u w:val="single"/>
              </w:rPr>
              <w:t>D4（八甲基环四硅氧烷）</w:t>
            </w:r>
          </w:p>
        </w:tc>
        <w:tc>
          <w:tcPr>
            <w:tcW w:w="1000" w:type="pct"/>
            <w:tcBorders>
              <w:top w:val="single" w:color="auto" w:sz="4" w:space="0"/>
              <w:left w:val="single" w:color="auto" w:sz="4" w:space="0"/>
              <w:bottom w:val="single" w:color="auto" w:sz="4" w:space="0"/>
              <w:right w:val="single" w:color="auto" w:sz="4" w:space="0"/>
            </w:tcBorders>
            <w:vAlign w:val="center"/>
          </w:tcPr>
          <w:p w14:paraId="5CDD06B9">
            <w:pPr>
              <w:spacing w:line="240" w:lineRule="auto"/>
              <w:ind w:firstLine="0" w:firstLineChars="0"/>
              <w:jc w:val="center"/>
              <w:rPr>
                <w:sz w:val="21"/>
                <w:szCs w:val="21"/>
                <w:u w:val="single"/>
              </w:rPr>
            </w:pPr>
            <w:r>
              <w:rPr>
                <w:rFonts w:hint="eastAsia"/>
                <w:sz w:val="21"/>
                <w:szCs w:val="21"/>
                <w:u w:val="single"/>
              </w:rPr>
              <w:t>556-67-2</w:t>
            </w:r>
          </w:p>
        </w:tc>
        <w:tc>
          <w:tcPr>
            <w:tcW w:w="1000" w:type="pct"/>
            <w:tcBorders>
              <w:top w:val="single" w:color="auto" w:sz="4" w:space="0"/>
              <w:left w:val="single" w:color="auto" w:sz="4" w:space="0"/>
              <w:bottom w:val="single" w:color="auto" w:sz="4" w:space="0"/>
              <w:right w:val="single" w:color="auto" w:sz="4" w:space="0"/>
            </w:tcBorders>
            <w:vAlign w:val="center"/>
          </w:tcPr>
          <w:p w14:paraId="2657C83E">
            <w:pPr>
              <w:spacing w:line="240" w:lineRule="auto"/>
              <w:ind w:firstLine="0" w:firstLineChars="0"/>
              <w:jc w:val="center"/>
              <w:rPr>
                <w:b/>
                <w:bCs/>
                <w:sz w:val="21"/>
                <w:szCs w:val="21"/>
                <w:u w:val="single"/>
                <w:lang w:eastAsia="en-US"/>
              </w:rPr>
            </w:pPr>
            <w:r>
              <w:rPr>
                <w:rFonts w:hint="eastAsia" w:eastAsiaTheme="minorEastAsia"/>
                <w:bCs/>
                <w:sz w:val="21"/>
                <w:szCs w:val="21"/>
                <w:u w:val="single"/>
              </w:rPr>
              <w:t>33.106</w:t>
            </w:r>
          </w:p>
        </w:tc>
        <w:tc>
          <w:tcPr>
            <w:tcW w:w="1000" w:type="pct"/>
            <w:tcBorders>
              <w:top w:val="single" w:color="auto" w:sz="4" w:space="0"/>
              <w:left w:val="single" w:color="auto" w:sz="4" w:space="0"/>
              <w:bottom w:val="single" w:color="auto" w:sz="4" w:space="0"/>
              <w:right w:val="single" w:color="auto" w:sz="4" w:space="0"/>
            </w:tcBorders>
            <w:vAlign w:val="center"/>
          </w:tcPr>
          <w:p w14:paraId="10A9AE9F">
            <w:pPr>
              <w:spacing w:line="240" w:lineRule="auto"/>
              <w:ind w:firstLine="0" w:firstLineChars="0"/>
              <w:jc w:val="center"/>
              <w:rPr>
                <w:sz w:val="21"/>
                <w:szCs w:val="21"/>
                <w:u w:val="single"/>
              </w:rPr>
            </w:pPr>
            <w:r>
              <w:rPr>
                <w:rFonts w:hint="eastAsia"/>
                <w:sz w:val="21"/>
                <w:szCs w:val="21"/>
                <w:u w:val="single"/>
              </w:rPr>
              <w:t>5</w:t>
            </w:r>
          </w:p>
        </w:tc>
        <w:tc>
          <w:tcPr>
            <w:tcW w:w="1000" w:type="pct"/>
            <w:tcBorders>
              <w:top w:val="single" w:color="auto" w:sz="4" w:space="0"/>
              <w:left w:val="single" w:color="auto" w:sz="4" w:space="0"/>
              <w:bottom w:val="single" w:color="auto" w:sz="4" w:space="0"/>
              <w:right w:val="single" w:color="auto" w:sz="8" w:space="0"/>
            </w:tcBorders>
            <w:vAlign w:val="center"/>
          </w:tcPr>
          <w:p w14:paraId="589CB0CC">
            <w:pPr>
              <w:spacing w:line="240" w:lineRule="auto"/>
              <w:ind w:firstLine="0" w:firstLineChars="0"/>
              <w:jc w:val="center"/>
              <w:rPr>
                <w:sz w:val="21"/>
                <w:szCs w:val="21"/>
                <w:u w:val="single"/>
              </w:rPr>
            </w:pPr>
            <w:r>
              <w:rPr>
                <w:rFonts w:hint="eastAsia"/>
                <w:sz w:val="21"/>
                <w:szCs w:val="21"/>
                <w:u w:val="single"/>
              </w:rPr>
              <w:t>6.6212</w:t>
            </w:r>
          </w:p>
        </w:tc>
      </w:tr>
      <w:tr w14:paraId="1C9CA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007580EC">
            <w:pPr>
              <w:spacing w:line="240" w:lineRule="auto"/>
              <w:ind w:firstLine="0" w:firstLineChars="0"/>
              <w:jc w:val="center"/>
              <w:rPr>
                <w:sz w:val="21"/>
                <w:szCs w:val="21"/>
                <w:highlight w:val="yellow"/>
                <w:u w:val="single"/>
              </w:rPr>
            </w:pPr>
            <w:r>
              <w:rPr>
                <w:rFonts w:hint="eastAsia" w:eastAsiaTheme="minorEastAsia"/>
                <w:bCs/>
                <w:sz w:val="21"/>
                <w:szCs w:val="21"/>
                <w:u w:val="single"/>
              </w:rPr>
              <w:t>硫酸</w:t>
            </w:r>
          </w:p>
        </w:tc>
        <w:tc>
          <w:tcPr>
            <w:tcW w:w="1000" w:type="pct"/>
            <w:tcBorders>
              <w:top w:val="single" w:color="auto" w:sz="4" w:space="0"/>
              <w:left w:val="single" w:color="auto" w:sz="4" w:space="0"/>
              <w:bottom w:val="single" w:color="auto" w:sz="4" w:space="0"/>
              <w:right w:val="single" w:color="auto" w:sz="4" w:space="0"/>
            </w:tcBorders>
            <w:vAlign w:val="center"/>
          </w:tcPr>
          <w:p w14:paraId="36DF9422">
            <w:pPr>
              <w:spacing w:line="240" w:lineRule="auto"/>
              <w:ind w:firstLine="0" w:firstLineChars="0"/>
              <w:jc w:val="center"/>
              <w:rPr>
                <w:sz w:val="21"/>
                <w:szCs w:val="21"/>
                <w:u w:val="single"/>
              </w:rPr>
            </w:pPr>
            <w:r>
              <w:rPr>
                <w:rFonts w:hint="eastAsia"/>
                <w:sz w:val="21"/>
                <w:szCs w:val="21"/>
                <w:u w:val="single"/>
              </w:rPr>
              <w:t>7664-93-9</w:t>
            </w:r>
          </w:p>
        </w:tc>
        <w:tc>
          <w:tcPr>
            <w:tcW w:w="1000" w:type="pct"/>
            <w:tcBorders>
              <w:top w:val="single" w:color="auto" w:sz="4" w:space="0"/>
              <w:left w:val="single" w:color="auto" w:sz="4" w:space="0"/>
              <w:bottom w:val="single" w:color="auto" w:sz="4" w:space="0"/>
              <w:right w:val="single" w:color="auto" w:sz="4" w:space="0"/>
            </w:tcBorders>
            <w:vAlign w:val="center"/>
          </w:tcPr>
          <w:p w14:paraId="3A42B13F">
            <w:pPr>
              <w:spacing w:line="240" w:lineRule="auto"/>
              <w:ind w:firstLine="0" w:firstLineChars="0"/>
              <w:jc w:val="center"/>
              <w:rPr>
                <w:sz w:val="21"/>
                <w:szCs w:val="21"/>
                <w:u w:val="single"/>
              </w:rPr>
            </w:pPr>
            <w:r>
              <w:rPr>
                <w:rFonts w:hint="eastAsia"/>
                <w:sz w:val="21"/>
                <w:szCs w:val="21"/>
                <w:u w:val="single"/>
              </w:rPr>
              <w:t>1.04</w:t>
            </w:r>
          </w:p>
        </w:tc>
        <w:tc>
          <w:tcPr>
            <w:tcW w:w="1000" w:type="pct"/>
            <w:tcBorders>
              <w:top w:val="single" w:color="auto" w:sz="4" w:space="0"/>
              <w:left w:val="single" w:color="auto" w:sz="4" w:space="0"/>
              <w:bottom w:val="single" w:color="auto" w:sz="4" w:space="0"/>
              <w:right w:val="single" w:color="auto" w:sz="4" w:space="0"/>
            </w:tcBorders>
            <w:vAlign w:val="center"/>
          </w:tcPr>
          <w:p w14:paraId="2B969B79">
            <w:pPr>
              <w:spacing w:line="240" w:lineRule="auto"/>
              <w:ind w:firstLine="0" w:firstLineChars="0"/>
              <w:jc w:val="center"/>
              <w:rPr>
                <w:sz w:val="21"/>
                <w:szCs w:val="21"/>
                <w:u w:val="single"/>
              </w:rPr>
            </w:pPr>
            <w:r>
              <w:rPr>
                <w:rFonts w:hint="eastAsia"/>
                <w:sz w:val="21"/>
                <w:szCs w:val="21"/>
                <w:u w:val="single"/>
              </w:rPr>
              <w:t>10</w:t>
            </w:r>
          </w:p>
        </w:tc>
        <w:tc>
          <w:tcPr>
            <w:tcW w:w="1000" w:type="pct"/>
            <w:tcBorders>
              <w:top w:val="single" w:color="auto" w:sz="4" w:space="0"/>
              <w:left w:val="single" w:color="auto" w:sz="4" w:space="0"/>
              <w:bottom w:val="single" w:color="auto" w:sz="4" w:space="0"/>
              <w:right w:val="single" w:color="auto" w:sz="8" w:space="0"/>
            </w:tcBorders>
            <w:vAlign w:val="center"/>
          </w:tcPr>
          <w:p w14:paraId="4BD745C7">
            <w:pPr>
              <w:spacing w:line="240" w:lineRule="auto"/>
              <w:ind w:firstLine="0" w:firstLineChars="0"/>
              <w:jc w:val="center"/>
              <w:rPr>
                <w:sz w:val="21"/>
                <w:szCs w:val="21"/>
                <w:u w:val="single"/>
              </w:rPr>
            </w:pPr>
            <w:r>
              <w:rPr>
                <w:rFonts w:hint="eastAsia"/>
                <w:sz w:val="21"/>
                <w:szCs w:val="21"/>
                <w:u w:val="single"/>
              </w:rPr>
              <w:t>0.104</w:t>
            </w:r>
          </w:p>
        </w:tc>
      </w:tr>
      <w:tr w14:paraId="6F940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41DD2C5F">
            <w:pPr>
              <w:spacing w:line="240" w:lineRule="auto"/>
              <w:ind w:firstLine="0" w:firstLineChars="0"/>
              <w:jc w:val="center"/>
              <w:rPr>
                <w:rFonts w:eastAsiaTheme="minorEastAsia"/>
                <w:bCs/>
                <w:sz w:val="21"/>
                <w:szCs w:val="21"/>
                <w:highlight w:val="yellow"/>
                <w:u w:val="single"/>
              </w:rPr>
            </w:pPr>
            <w:r>
              <w:rPr>
                <w:rFonts w:hint="eastAsia" w:eastAsiaTheme="minorEastAsia"/>
                <w:bCs/>
                <w:sz w:val="21"/>
                <w:szCs w:val="21"/>
                <w:u w:val="single"/>
              </w:rPr>
              <w:t>氨</w:t>
            </w:r>
          </w:p>
        </w:tc>
        <w:tc>
          <w:tcPr>
            <w:tcW w:w="1000" w:type="pct"/>
            <w:tcBorders>
              <w:top w:val="single" w:color="auto" w:sz="4" w:space="0"/>
              <w:left w:val="single" w:color="auto" w:sz="4" w:space="0"/>
              <w:bottom w:val="single" w:color="auto" w:sz="4" w:space="0"/>
              <w:right w:val="single" w:color="auto" w:sz="4" w:space="0"/>
            </w:tcBorders>
            <w:vAlign w:val="center"/>
          </w:tcPr>
          <w:p w14:paraId="5CFC13FF">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7664-41-7</w:t>
            </w:r>
          </w:p>
        </w:tc>
        <w:tc>
          <w:tcPr>
            <w:tcW w:w="1000" w:type="pct"/>
            <w:tcBorders>
              <w:top w:val="single" w:color="auto" w:sz="4" w:space="0"/>
              <w:left w:val="single" w:color="auto" w:sz="4" w:space="0"/>
              <w:bottom w:val="single" w:color="auto" w:sz="4" w:space="0"/>
              <w:right w:val="single" w:color="auto" w:sz="4" w:space="0"/>
            </w:tcBorders>
            <w:vAlign w:val="center"/>
          </w:tcPr>
          <w:p w14:paraId="4D981585">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0.0008</w:t>
            </w:r>
          </w:p>
        </w:tc>
        <w:tc>
          <w:tcPr>
            <w:tcW w:w="1000" w:type="pct"/>
            <w:tcBorders>
              <w:top w:val="single" w:color="auto" w:sz="4" w:space="0"/>
              <w:left w:val="single" w:color="auto" w:sz="4" w:space="0"/>
              <w:bottom w:val="single" w:color="auto" w:sz="4" w:space="0"/>
              <w:right w:val="single" w:color="auto" w:sz="4" w:space="0"/>
            </w:tcBorders>
            <w:vAlign w:val="center"/>
          </w:tcPr>
          <w:p w14:paraId="5E7E8122">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5</w:t>
            </w:r>
          </w:p>
        </w:tc>
        <w:tc>
          <w:tcPr>
            <w:tcW w:w="1000" w:type="pct"/>
            <w:tcBorders>
              <w:top w:val="single" w:color="auto" w:sz="4" w:space="0"/>
              <w:left w:val="single" w:color="auto" w:sz="4" w:space="0"/>
              <w:bottom w:val="single" w:color="auto" w:sz="4" w:space="0"/>
              <w:right w:val="single" w:color="auto" w:sz="8" w:space="0"/>
            </w:tcBorders>
            <w:vAlign w:val="center"/>
          </w:tcPr>
          <w:p w14:paraId="362CCBD2">
            <w:pPr>
              <w:spacing w:line="240" w:lineRule="auto"/>
              <w:ind w:firstLine="0" w:firstLineChars="0"/>
              <w:jc w:val="center"/>
              <w:rPr>
                <w:sz w:val="21"/>
                <w:szCs w:val="21"/>
                <w:u w:val="single"/>
              </w:rPr>
            </w:pPr>
            <w:r>
              <w:rPr>
                <w:rFonts w:hint="eastAsia"/>
                <w:sz w:val="21"/>
                <w:szCs w:val="21"/>
                <w:u w:val="single"/>
              </w:rPr>
              <w:t>0.00016</w:t>
            </w:r>
          </w:p>
        </w:tc>
      </w:tr>
      <w:tr w14:paraId="5F4BE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1C28CA45">
            <w:pPr>
              <w:spacing w:line="240" w:lineRule="auto"/>
              <w:ind w:firstLine="0" w:firstLineChars="0"/>
              <w:jc w:val="center"/>
              <w:rPr>
                <w:rFonts w:eastAsiaTheme="minorEastAsia"/>
                <w:bCs/>
                <w:sz w:val="21"/>
                <w:szCs w:val="21"/>
                <w:highlight w:val="yellow"/>
                <w:u w:val="single"/>
              </w:rPr>
            </w:pPr>
            <w:r>
              <w:rPr>
                <w:rFonts w:hint="eastAsia" w:eastAsiaTheme="minorEastAsia"/>
                <w:bCs/>
                <w:sz w:val="21"/>
                <w:szCs w:val="21"/>
                <w:u w:val="single"/>
              </w:rPr>
              <w:t>硫化氢</w:t>
            </w:r>
          </w:p>
        </w:tc>
        <w:tc>
          <w:tcPr>
            <w:tcW w:w="1000" w:type="pct"/>
            <w:tcBorders>
              <w:top w:val="single" w:color="auto" w:sz="4" w:space="0"/>
              <w:left w:val="single" w:color="auto" w:sz="4" w:space="0"/>
              <w:bottom w:val="single" w:color="auto" w:sz="4" w:space="0"/>
              <w:right w:val="single" w:color="auto" w:sz="4" w:space="0"/>
            </w:tcBorders>
            <w:vAlign w:val="center"/>
          </w:tcPr>
          <w:p w14:paraId="63E4766E">
            <w:pPr>
              <w:spacing w:line="240" w:lineRule="auto"/>
              <w:ind w:firstLine="0" w:firstLineChars="0"/>
              <w:jc w:val="center"/>
              <w:rPr>
                <w:rFonts w:eastAsiaTheme="minorEastAsia"/>
                <w:bCs/>
                <w:sz w:val="21"/>
                <w:szCs w:val="21"/>
                <w:highlight w:val="yellow"/>
                <w:u w:val="single"/>
              </w:rPr>
            </w:pPr>
            <w:r>
              <w:rPr>
                <w:rFonts w:hint="eastAsia" w:eastAsiaTheme="minorEastAsia"/>
                <w:bCs/>
                <w:sz w:val="21"/>
                <w:szCs w:val="21"/>
                <w:u w:val="single"/>
              </w:rPr>
              <w:t>7783-06-4</w:t>
            </w:r>
          </w:p>
        </w:tc>
        <w:tc>
          <w:tcPr>
            <w:tcW w:w="1000" w:type="pct"/>
            <w:tcBorders>
              <w:top w:val="single" w:color="auto" w:sz="4" w:space="0"/>
              <w:left w:val="single" w:color="auto" w:sz="4" w:space="0"/>
              <w:bottom w:val="single" w:color="auto" w:sz="4" w:space="0"/>
              <w:right w:val="single" w:color="auto" w:sz="4" w:space="0"/>
            </w:tcBorders>
            <w:vAlign w:val="center"/>
          </w:tcPr>
          <w:p w14:paraId="4EA05119">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0.00003</w:t>
            </w:r>
          </w:p>
        </w:tc>
        <w:tc>
          <w:tcPr>
            <w:tcW w:w="1000" w:type="pct"/>
            <w:tcBorders>
              <w:top w:val="single" w:color="auto" w:sz="4" w:space="0"/>
              <w:left w:val="single" w:color="auto" w:sz="4" w:space="0"/>
              <w:bottom w:val="single" w:color="auto" w:sz="4" w:space="0"/>
              <w:right w:val="single" w:color="auto" w:sz="4" w:space="0"/>
            </w:tcBorders>
            <w:vAlign w:val="center"/>
          </w:tcPr>
          <w:p w14:paraId="7753FE93">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2.5</w:t>
            </w:r>
          </w:p>
        </w:tc>
        <w:tc>
          <w:tcPr>
            <w:tcW w:w="1000" w:type="pct"/>
            <w:tcBorders>
              <w:top w:val="single" w:color="auto" w:sz="4" w:space="0"/>
              <w:left w:val="single" w:color="auto" w:sz="4" w:space="0"/>
              <w:bottom w:val="single" w:color="auto" w:sz="4" w:space="0"/>
              <w:right w:val="single" w:color="auto" w:sz="8" w:space="0"/>
            </w:tcBorders>
            <w:vAlign w:val="center"/>
          </w:tcPr>
          <w:p w14:paraId="6C5A4D14">
            <w:pPr>
              <w:spacing w:line="240" w:lineRule="auto"/>
              <w:ind w:firstLine="0" w:firstLineChars="0"/>
              <w:jc w:val="center"/>
              <w:rPr>
                <w:sz w:val="21"/>
                <w:szCs w:val="21"/>
                <w:u w:val="single"/>
              </w:rPr>
            </w:pPr>
            <w:r>
              <w:rPr>
                <w:rFonts w:hint="eastAsia"/>
                <w:sz w:val="21"/>
                <w:szCs w:val="21"/>
                <w:u w:val="single"/>
              </w:rPr>
              <w:t>0.000012</w:t>
            </w:r>
          </w:p>
        </w:tc>
      </w:tr>
      <w:tr w14:paraId="7D5C88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7DBF0569">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油类物质（导热油）</w:t>
            </w:r>
          </w:p>
        </w:tc>
        <w:tc>
          <w:tcPr>
            <w:tcW w:w="1000" w:type="pct"/>
            <w:tcBorders>
              <w:top w:val="single" w:color="auto" w:sz="4" w:space="0"/>
              <w:left w:val="single" w:color="auto" w:sz="4" w:space="0"/>
              <w:bottom w:val="single" w:color="auto" w:sz="4" w:space="0"/>
              <w:right w:val="single" w:color="auto" w:sz="4" w:space="0"/>
            </w:tcBorders>
            <w:vAlign w:val="center"/>
          </w:tcPr>
          <w:p w14:paraId="243F8615">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w:t>
            </w:r>
          </w:p>
        </w:tc>
        <w:tc>
          <w:tcPr>
            <w:tcW w:w="1000" w:type="pct"/>
            <w:tcBorders>
              <w:top w:val="single" w:color="auto" w:sz="4" w:space="0"/>
              <w:left w:val="single" w:color="auto" w:sz="4" w:space="0"/>
              <w:bottom w:val="single" w:color="auto" w:sz="4" w:space="0"/>
              <w:right w:val="single" w:color="auto" w:sz="4" w:space="0"/>
            </w:tcBorders>
            <w:vAlign w:val="center"/>
          </w:tcPr>
          <w:p w14:paraId="34078DB3">
            <w:pPr>
              <w:spacing w:line="240" w:lineRule="auto"/>
              <w:ind w:firstLine="0" w:firstLineChars="0"/>
              <w:jc w:val="center"/>
              <w:rPr>
                <w:rFonts w:eastAsiaTheme="minorEastAsia"/>
                <w:sz w:val="21"/>
                <w:szCs w:val="21"/>
                <w:u w:val="single"/>
              </w:rPr>
            </w:pPr>
            <w:r>
              <w:rPr>
                <w:rFonts w:hint="eastAsia" w:eastAsiaTheme="minorEastAsia"/>
                <w:sz w:val="21"/>
                <w:szCs w:val="21"/>
                <w:u w:val="single"/>
              </w:rPr>
              <w:t>17</w:t>
            </w:r>
          </w:p>
        </w:tc>
        <w:tc>
          <w:tcPr>
            <w:tcW w:w="1000" w:type="pct"/>
            <w:tcBorders>
              <w:top w:val="single" w:color="auto" w:sz="4" w:space="0"/>
              <w:left w:val="single" w:color="auto" w:sz="4" w:space="0"/>
              <w:bottom w:val="single" w:color="auto" w:sz="4" w:space="0"/>
              <w:right w:val="single" w:color="auto" w:sz="4" w:space="0"/>
            </w:tcBorders>
            <w:vAlign w:val="center"/>
          </w:tcPr>
          <w:p w14:paraId="20D3DD1A">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2500</w:t>
            </w:r>
          </w:p>
        </w:tc>
        <w:tc>
          <w:tcPr>
            <w:tcW w:w="1000" w:type="pct"/>
            <w:tcBorders>
              <w:top w:val="single" w:color="auto" w:sz="4" w:space="0"/>
              <w:left w:val="single" w:color="auto" w:sz="4" w:space="0"/>
              <w:bottom w:val="single" w:color="auto" w:sz="4" w:space="0"/>
              <w:right w:val="single" w:color="auto" w:sz="8" w:space="0"/>
            </w:tcBorders>
            <w:vAlign w:val="center"/>
          </w:tcPr>
          <w:p w14:paraId="7AD5F673">
            <w:pPr>
              <w:spacing w:line="240" w:lineRule="auto"/>
              <w:ind w:firstLine="0" w:firstLineChars="0"/>
              <w:jc w:val="center"/>
              <w:rPr>
                <w:sz w:val="21"/>
                <w:szCs w:val="21"/>
                <w:u w:val="single"/>
              </w:rPr>
            </w:pPr>
            <w:r>
              <w:rPr>
                <w:rFonts w:hint="eastAsia"/>
                <w:sz w:val="21"/>
                <w:szCs w:val="21"/>
                <w:u w:val="single"/>
              </w:rPr>
              <w:t>0.0068</w:t>
            </w:r>
          </w:p>
        </w:tc>
      </w:tr>
      <w:tr w14:paraId="0D9B7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61FF8136">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油类物质（废导热油）</w:t>
            </w:r>
          </w:p>
        </w:tc>
        <w:tc>
          <w:tcPr>
            <w:tcW w:w="1000" w:type="pct"/>
            <w:tcBorders>
              <w:top w:val="single" w:color="auto" w:sz="4" w:space="0"/>
              <w:left w:val="single" w:color="auto" w:sz="4" w:space="0"/>
              <w:bottom w:val="single" w:color="auto" w:sz="4" w:space="0"/>
              <w:right w:val="single" w:color="auto" w:sz="4" w:space="0"/>
            </w:tcBorders>
            <w:vAlign w:val="center"/>
          </w:tcPr>
          <w:p w14:paraId="220CDCD8">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w:t>
            </w:r>
          </w:p>
        </w:tc>
        <w:tc>
          <w:tcPr>
            <w:tcW w:w="1000" w:type="pct"/>
            <w:tcBorders>
              <w:top w:val="single" w:color="auto" w:sz="4" w:space="0"/>
              <w:left w:val="single" w:color="auto" w:sz="4" w:space="0"/>
              <w:bottom w:val="single" w:color="auto" w:sz="4" w:space="0"/>
              <w:right w:val="single" w:color="auto" w:sz="4" w:space="0"/>
            </w:tcBorders>
            <w:vAlign w:val="center"/>
          </w:tcPr>
          <w:p w14:paraId="62811758">
            <w:pPr>
              <w:spacing w:line="240" w:lineRule="auto"/>
              <w:ind w:firstLine="0" w:firstLineChars="0"/>
              <w:jc w:val="center"/>
              <w:rPr>
                <w:rFonts w:eastAsiaTheme="minorEastAsia"/>
                <w:sz w:val="21"/>
                <w:szCs w:val="21"/>
                <w:u w:val="single"/>
              </w:rPr>
            </w:pPr>
            <w:r>
              <w:rPr>
                <w:rFonts w:hint="eastAsia" w:eastAsiaTheme="minorEastAsia"/>
                <w:sz w:val="21"/>
                <w:szCs w:val="21"/>
                <w:u w:val="single"/>
              </w:rPr>
              <w:t>17</w:t>
            </w:r>
          </w:p>
        </w:tc>
        <w:tc>
          <w:tcPr>
            <w:tcW w:w="1000" w:type="pct"/>
            <w:tcBorders>
              <w:top w:val="single" w:color="auto" w:sz="4" w:space="0"/>
              <w:left w:val="single" w:color="auto" w:sz="4" w:space="0"/>
              <w:bottom w:val="single" w:color="auto" w:sz="4" w:space="0"/>
              <w:right w:val="single" w:color="auto" w:sz="4" w:space="0"/>
            </w:tcBorders>
            <w:vAlign w:val="center"/>
          </w:tcPr>
          <w:p w14:paraId="0D6972BF">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2500</w:t>
            </w:r>
          </w:p>
        </w:tc>
        <w:tc>
          <w:tcPr>
            <w:tcW w:w="1000" w:type="pct"/>
            <w:tcBorders>
              <w:top w:val="single" w:color="auto" w:sz="4" w:space="0"/>
              <w:left w:val="single" w:color="auto" w:sz="4" w:space="0"/>
              <w:bottom w:val="single" w:color="auto" w:sz="4" w:space="0"/>
              <w:right w:val="single" w:color="auto" w:sz="8" w:space="0"/>
            </w:tcBorders>
            <w:vAlign w:val="center"/>
          </w:tcPr>
          <w:p w14:paraId="2163D2D2">
            <w:pPr>
              <w:spacing w:line="240" w:lineRule="auto"/>
              <w:ind w:firstLine="0" w:firstLineChars="0"/>
              <w:jc w:val="center"/>
              <w:rPr>
                <w:sz w:val="21"/>
                <w:szCs w:val="21"/>
                <w:u w:val="single"/>
              </w:rPr>
            </w:pPr>
            <w:r>
              <w:rPr>
                <w:rFonts w:hint="eastAsia"/>
                <w:sz w:val="21"/>
                <w:szCs w:val="21"/>
                <w:u w:val="single"/>
              </w:rPr>
              <w:t>0.0068</w:t>
            </w:r>
          </w:p>
        </w:tc>
      </w:tr>
      <w:tr w14:paraId="5BF4E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000" w:type="pct"/>
            <w:gridSpan w:val="4"/>
            <w:tcBorders>
              <w:top w:val="single" w:color="auto" w:sz="4" w:space="0"/>
              <w:left w:val="single" w:color="auto" w:sz="8" w:space="0"/>
              <w:bottom w:val="single" w:color="auto" w:sz="8" w:space="0"/>
              <w:right w:val="single" w:color="auto" w:sz="4" w:space="0"/>
            </w:tcBorders>
            <w:vAlign w:val="center"/>
          </w:tcPr>
          <w:p w14:paraId="200D315C">
            <w:pPr>
              <w:spacing w:line="240" w:lineRule="auto"/>
              <w:ind w:firstLine="0" w:firstLineChars="0"/>
              <w:jc w:val="center"/>
              <w:rPr>
                <w:sz w:val="21"/>
                <w:szCs w:val="21"/>
                <w:u w:val="single"/>
              </w:rPr>
            </w:pPr>
            <w:r>
              <w:rPr>
                <w:sz w:val="21"/>
                <w:szCs w:val="21"/>
                <w:u w:val="single"/>
              </w:rPr>
              <w:t>合计</w:t>
            </w:r>
          </w:p>
        </w:tc>
        <w:tc>
          <w:tcPr>
            <w:tcW w:w="1000" w:type="pct"/>
            <w:tcBorders>
              <w:top w:val="single" w:color="auto" w:sz="4" w:space="0"/>
              <w:left w:val="single" w:color="auto" w:sz="4" w:space="0"/>
              <w:bottom w:val="single" w:color="auto" w:sz="8" w:space="0"/>
              <w:right w:val="single" w:color="auto" w:sz="8" w:space="0"/>
            </w:tcBorders>
            <w:vAlign w:val="center"/>
          </w:tcPr>
          <w:p w14:paraId="352B5F54">
            <w:pPr>
              <w:spacing w:line="240" w:lineRule="auto"/>
              <w:ind w:firstLine="0" w:firstLineChars="0"/>
              <w:jc w:val="center"/>
              <w:rPr>
                <w:sz w:val="21"/>
                <w:szCs w:val="21"/>
                <w:u w:val="single"/>
              </w:rPr>
            </w:pPr>
            <w:r>
              <w:rPr>
                <w:rFonts w:hint="eastAsia"/>
                <w:sz w:val="21"/>
                <w:szCs w:val="21"/>
                <w:u w:val="single"/>
              </w:rPr>
              <w:t>6.738972</w:t>
            </w:r>
          </w:p>
        </w:tc>
      </w:tr>
    </w:tbl>
    <w:p w14:paraId="1D08CDAD">
      <w:pPr>
        <w:pStyle w:val="2"/>
        <w:ind w:firstLine="480"/>
      </w:pPr>
      <w:r>
        <w:rPr>
          <w:bCs/>
          <w:szCs w:val="24"/>
          <w:u w:val="single"/>
        </w:rPr>
        <w:t>根据上表数据及《建设项目环境风险评价技术导则》（HJ/T169-2018）附录C计算得出，本项目物质总量与临界量比值：Q=</w:t>
      </w:r>
      <w:r>
        <w:rPr>
          <w:rFonts w:hint="eastAsia"/>
          <w:bCs/>
          <w:szCs w:val="24"/>
          <w:u w:val="single"/>
        </w:rPr>
        <w:t>6.738972</w:t>
      </w:r>
      <w:r>
        <w:rPr>
          <w:bCs/>
          <w:szCs w:val="24"/>
          <w:u w:val="single"/>
        </w:rPr>
        <w:t>，</w:t>
      </w:r>
      <w:r>
        <w:rPr>
          <w:rFonts w:hint="eastAsia"/>
          <w:bCs/>
          <w:szCs w:val="24"/>
          <w:u w:val="single"/>
        </w:rPr>
        <w:t>在</w:t>
      </w:r>
      <w:r>
        <w:rPr>
          <w:szCs w:val="24"/>
          <w:u w:val="single"/>
        </w:rPr>
        <w:t>1≤Q&lt;10</w:t>
      </w:r>
      <w:r>
        <w:rPr>
          <w:rFonts w:hint="eastAsia"/>
          <w:bCs/>
          <w:szCs w:val="24"/>
          <w:u w:val="single"/>
        </w:rPr>
        <w:t>范围内</w:t>
      </w:r>
      <w:r>
        <w:rPr>
          <w:bCs/>
          <w:szCs w:val="24"/>
        </w:rPr>
        <w:t>。</w:t>
      </w:r>
    </w:p>
    <w:p w14:paraId="172C2C15">
      <w:pPr>
        <w:pStyle w:val="201"/>
        <w:ind w:left="0" w:firstLine="482"/>
      </w:pPr>
      <w:r>
        <w:rPr>
          <w:rFonts w:hint="eastAsia"/>
        </w:rPr>
        <w:t>2.4.6.2行业及生产工艺M</w:t>
      </w:r>
    </w:p>
    <w:p w14:paraId="04023FA2">
      <w:pPr>
        <w:ind w:firstLine="480"/>
      </w:pPr>
      <w:r>
        <w:rPr>
          <w:rFonts w:hint="eastAsia"/>
        </w:rPr>
        <w:t>根据项目采用的生产工艺，对比表下表行业及生产工艺（M），计算M合计分值，其中M划分为①M＞20；②10＜M≤20；③5＜M≤10；④M=5，分别以M1、M2、M3、M4表示，再根据其具体分值进行M划分。根据《建设项目环境风险评价技术导则》（HJ/T169-2018）附录C，行业及生产工艺M评估表如下。</w:t>
      </w:r>
    </w:p>
    <w:p w14:paraId="654FE172">
      <w:pPr>
        <w:pStyle w:val="64"/>
        <w:numPr>
          <w:ilvl w:val="0"/>
          <w:numId w:val="5"/>
        </w:numPr>
        <w:spacing w:before="161"/>
        <w:ind w:left="924" w:hanging="442" w:firstLineChars="0"/>
      </w:pPr>
      <w:r>
        <w:rPr>
          <w:rFonts w:hint="eastAsia"/>
        </w:rPr>
        <w:t xml:space="preserve">               行业及生产工艺（M）</w:t>
      </w:r>
    </w:p>
    <w:tbl>
      <w:tblPr>
        <w:tblStyle w:val="4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93"/>
        <w:gridCol w:w="4934"/>
        <w:gridCol w:w="993"/>
        <w:gridCol w:w="1066"/>
      </w:tblGrid>
      <w:tr w14:paraId="1FE5E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Align w:val="center"/>
          </w:tcPr>
          <w:p w14:paraId="4488CA13">
            <w:pPr>
              <w:spacing w:line="240" w:lineRule="auto"/>
              <w:ind w:firstLine="0" w:firstLineChars="0"/>
              <w:jc w:val="center"/>
              <w:rPr>
                <w:b/>
                <w:bCs/>
                <w:sz w:val="21"/>
                <w:szCs w:val="21"/>
              </w:rPr>
            </w:pPr>
            <w:r>
              <w:rPr>
                <w:rFonts w:hint="eastAsia"/>
                <w:b/>
                <w:bCs/>
                <w:sz w:val="21"/>
                <w:szCs w:val="21"/>
              </w:rPr>
              <w:t>行业</w:t>
            </w:r>
          </w:p>
        </w:tc>
        <w:tc>
          <w:tcPr>
            <w:tcW w:w="4934" w:type="dxa"/>
            <w:vAlign w:val="center"/>
          </w:tcPr>
          <w:p w14:paraId="4EBD17D0">
            <w:pPr>
              <w:spacing w:line="240" w:lineRule="auto"/>
              <w:ind w:firstLine="0" w:firstLineChars="0"/>
              <w:jc w:val="center"/>
              <w:rPr>
                <w:b/>
                <w:bCs/>
                <w:sz w:val="21"/>
                <w:szCs w:val="21"/>
              </w:rPr>
            </w:pPr>
            <w:r>
              <w:rPr>
                <w:rFonts w:hint="eastAsia"/>
                <w:b/>
                <w:bCs/>
                <w:sz w:val="21"/>
                <w:szCs w:val="21"/>
              </w:rPr>
              <w:t>评估依据</w:t>
            </w:r>
          </w:p>
        </w:tc>
        <w:tc>
          <w:tcPr>
            <w:tcW w:w="993" w:type="dxa"/>
            <w:vAlign w:val="center"/>
          </w:tcPr>
          <w:p w14:paraId="47476965">
            <w:pPr>
              <w:spacing w:line="240" w:lineRule="auto"/>
              <w:ind w:firstLine="0" w:firstLineChars="0"/>
              <w:jc w:val="center"/>
              <w:rPr>
                <w:b/>
                <w:bCs/>
                <w:sz w:val="21"/>
                <w:szCs w:val="21"/>
              </w:rPr>
            </w:pPr>
            <w:r>
              <w:rPr>
                <w:rFonts w:hint="eastAsia"/>
                <w:b/>
                <w:bCs/>
                <w:sz w:val="21"/>
                <w:szCs w:val="21"/>
              </w:rPr>
              <w:t>分值</w:t>
            </w:r>
          </w:p>
        </w:tc>
        <w:tc>
          <w:tcPr>
            <w:tcW w:w="1066" w:type="dxa"/>
            <w:vAlign w:val="center"/>
          </w:tcPr>
          <w:p w14:paraId="19A31193">
            <w:pPr>
              <w:spacing w:line="240" w:lineRule="auto"/>
              <w:ind w:firstLine="0" w:firstLineChars="0"/>
              <w:jc w:val="center"/>
              <w:rPr>
                <w:b/>
                <w:bCs/>
                <w:sz w:val="21"/>
                <w:szCs w:val="21"/>
              </w:rPr>
            </w:pPr>
            <w:r>
              <w:rPr>
                <w:rFonts w:hint="eastAsia"/>
                <w:b/>
                <w:bCs/>
                <w:sz w:val="21"/>
                <w:szCs w:val="21"/>
              </w:rPr>
              <w:t>项目得分</w:t>
            </w:r>
          </w:p>
        </w:tc>
      </w:tr>
      <w:tr w14:paraId="1B63E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Merge w:val="restart"/>
            <w:vAlign w:val="center"/>
          </w:tcPr>
          <w:p w14:paraId="528D2DF1">
            <w:pPr>
              <w:spacing w:line="240" w:lineRule="auto"/>
              <w:ind w:firstLine="0" w:firstLineChars="0"/>
              <w:jc w:val="center"/>
              <w:rPr>
                <w:sz w:val="21"/>
                <w:szCs w:val="21"/>
              </w:rPr>
            </w:pPr>
            <w:r>
              <w:rPr>
                <w:rFonts w:hint="eastAsia"/>
                <w:sz w:val="21"/>
                <w:szCs w:val="21"/>
              </w:rPr>
              <w:t>石化、化工、医药、轻工、化纤、有色冶炼等</w:t>
            </w:r>
          </w:p>
        </w:tc>
        <w:tc>
          <w:tcPr>
            <w:tcW w:w="4934" w:type="dxa"/>
            <w:vAlign w:val="center"/>
          </w:tcPr>
          <w:p w14:paraId="0D286812">
            <w:pPr>
              <w:spacing w:line="240" w:lineRule="auto"/>
              <w:ind w:firstLine="0" w:firstLineChars="0"/>
              <w:rPr>
                <w:sz w:val="21"/>
                <w:szCs w:val="21"/>
              </w:rPr>
            </w:pPr>
            <w:r>
              <w:rPr>
                <w:rFonts w:hint="eastAsia"/>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93" w:type="dxa"/>
            <w:vAlign w:val="center"/>
          </w:tcPr>
          <w:p w14:paraId="622D3522">
            <w:pPr>
              <w:spacing w:line="240" w:lineRule="auto"/>
              <w:ind w:firstLine="0" w:firstLineChars="0"/>
              <w:jc w:val="center"/>
              <w:rPr>
                <w:sz w:val="21"/>
                <w:szCs w:val="21"/>
              </w:rPr>
            </w:pPr>
            <w:r>
              <w:rPr>
                <w:rFonts w:hint="eastAsia"/>
                <w:sz w:val="21"/>
                <w:szCs w:val="21"/>
              </w:rPr>
              <w:t>10/套</w:t>
            </w:r>
          </w:p>
        </w:tc>
        <w:tc>
          <w:tcPr>
            <w:tcW w:w="1066" w:type="dxa"/>
            <w:vAlign w:val="center"/>
          </w:tcPr>
          <w:p w14:paraId="7B5C34D6">
            <w:pPr>
              <w:spacing w:line="240" w:lineRule="auto"/>
              <w:ind w:firstLine="0" w:firstLineChars="0"/>
              <w:jc w:val="center"/>
              <w:rPr>
                <w:sz w:val="21"/>
                <w:szCs w:val="21"/>
              </w:rPr>
            </w:pPr>
            <w:r>
              <w:rPr>
                <w:rFonts w:hint="eastAsia"/>
                <w:sz w:val="21"/>
                <w:szCs w:val="21"/>
              </w:rPr>
              <w:t>聚合工艺1套，得分10</w:t>
            </w:r>
          </w:p>
        </w:tc>
      </w:tr>
      <w:tr w14:paraId="59A95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trPr>
        <w:tc>
          <w:tcPr>
            <w:tcW w:w="1293" w:type="dxa"/>
            <w:vMerge w:val="continue"/>
            <w:vAlign w:val="center"/>
          </w:tcPr>
          <w:p w14:paraId="63A004F0">
            <w:pPr>
              <w:spacing w:line="240" w:lineRule="auto"/>
              <w:ind w:firstLine="420"/>
              <w:jc w:val="center"/>
              <w:rPr>
                <w:sz w:val="21"/>
                <w:szCs w:val="21"/>
              </w:rPr>
            </w:pPr>
          </w:p>
        </w:tc>
        <w:tc>
          <w:tcPr>
            <w:tcW w:w="4934" w:type="dxa"/>
            <w:vAlign w:val="center"/>
          </w:tcPr>
          <w:p w14:paraId="0CEA6805">
            <w:pPr>
              <w:spacing w:line="240" w:lineRule="auto"/>
              <w:ind w:firstLine="0" w:firstLineChars="0"/>
              <w:rPr>
                <w:sz w:val="21"/>
                <w:szCs w:val="21"/>
              </w:rPr>
            </w:pPr>
            <w:r>
              <w:rPr>
                <w:rFonts w:hint="eastAsia"/>
                <w:sz w:val="21"/>
                <w:szCs w:val="21"/>
              </w:rPr>
              <w:t>无机酸制酸工艺、焦化工艺</w:t>
            </w:r>
          </w:p>
        </w:tc>
        <w:tc>
          <w:tcPr>
            <w:tcW w:w="993" w:type="dxa"/>
            <w:vAlign w:val="center"/>
          </w:tcPr>
          <w:p w14:paraId="17A552D3">
            <w:pPr>
              <w:spacing w:line="240" w:lineRule="auto"/>
              <w:ind w:firstLine="0" w:firstLineChars="0"/>
              <w:jc w:val="center"/>
              <w:rPr>
                <w:sz w:val="21"/>
                <w:szCs w:val="21"/>
              </w:rPr>
            </w:pPr>
            <w:r>
              <w:rPr>
                <w:rFonts w:hint="eastAsia"/>
                <w:sz w:val="21"/>
                <w:szCs w:val="21"/>
              </w:rPr>
              <w:t>5/套</w:t>
            </w:r>
          </w:p>
        </w:tc>
        <w:tc>
          <w:tcPr>
            <w:tcW w:w="1066" w:type="dxa"/>
            <w:vAlign w:val="center"/>
          </w:tcPr>
          <w:p w14:paraId="3C67154F">
            <w:pPr>
              <w:spacing w:line="240" w:lineRule="auto"/>
              <w:ind w:firstLine="0" w:firstLineChars="0"/>
              <w:jc w:val="center"/>
              <w:rPr>
                <w:sz w:val="21"/>
                <w:szCs w:val="21"/>
              </w:rPr>
            </w:pPr>
            <w:r>
              <w:rPr>
                <w:rFonts w:hint="eastAsia"/>
                <w:sz w:val="21"/>
                <w:szCs w:val="21"/>
              </w:rPr>
              <w:t>0</w:t>
            </w:r>
          </w:p>
        </w:tc>
      </w:tr>
      <w:tr w14:paraId="4B013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Merge w:val="continue"/>
            <w:vAlign w:val="center"/>
          </w:tcPr>
          <w:p w14:paraId="51255BBC">
            <w:pPr>
              <w:spacing w:line="240" w:lineRule="auto"/>
              <w:ind w:firstLine="0" w:firstLineChars="0"/>
              <w:jc w:val="center"/>
              <w:rPr>
                <w:sz w:val="21"/>
                <w:szCs w:val="21"/>
              </w:rPr>
            </w:pPr>
          </w:p>
        </w:tc>
        <w:tc>
          <w:tcPr>
            <w:tcW w:w="4934" w:type="dxa"/>
            <w:vAlign w:val="center"/>
          </w:tcPr>
          <w:p w14:paraId="213D0DCC">
            <w:pPr>
              <w:spacing w:line="240" w:lineRule="auto"/>
              <w:ind w:firstLine="0" w:firstLineChars="0"/>
              <w:rPr>
                <w:sz w:val="21"/>
                <w:szCs w:val="21"/>
              </w:rPr>
            </w:pPr>
            <w:r>
              <w:rPr>
                <w:rFonts w:hint="eastAsia"/>
                <w:sz w:val="21"/>
                <w:szCs w:val="21"/>
              </w:rPr>
              <w:t>其他高温或高压，且涉及危险物质的工艺过程</w:t>
            </w:r>
            <w:r>
              <w:rPr>
                <w:rFonts w:hint="eastAsia"/>
                <w:sz w:val="21"/>
                <w:szCs w:val="21"/>
                <w:vertAlign w:val="superscript"/>
              </w:rPr>
              <w:t>a</w:t>
            </w:r>
            <w:r>
              <w:rPr>
                <w:rFonts w:hint="eastAsia"/>
                <w:sz w:val="21"/>
                <w:szCs w:val="21"/>
              </w:rPr>
              <w:t>、危险物质贮存罐区</w:t>
            </w:r>
          </w:p>
        </w:tc>
        <w:tc>
          <w:tcPr>
            <w:tcW w:w="993" w:type="dxa"/>
            <w:vAlign w:val="center"/>
          </w:tcPr>
          <w:p w14:paraId="3E46FE10">
            <w:pPr>
              <w:spacing w:line="240" w:lineRule="auto"/>
              <w:ind w:firstLine="0" w:firstLineChars="0"/>
              <w:jc w:val="center"/>
              <w:rPr>
                <w:sz w:val="21"/>
                <w:szCs w:val="21"/>
              </w:rPr>
            </w:pPr>
            <w:r>
              <w:rPr>
                <w:rFonts w:hint="eastAsia"/>
                <w:sz w:val="21"/>
                <w:szCs w:val="21"/>
              </w:rPr>
              <w:t>5/套</w:t>
            </w:r>
          </w:p>
          <w:p w14:paraId="448D7312">
            <w:pPr>
              <w:spacing w:line="240" w:lineRule="auto"/>
              <w:ind w:firstLine="0" w:firstLineChars="0"/>
              <w:jc w:val="center"/>
              <w:rPr>
                <w:sz w:val="21"/>
                <w:szCs w:val="21"/>
              </w:rPr>
            </w:pPr>
            <w:r>
              <w:rPr>
                <w:rFonts w:hint="eastAsia"/>
                <w:sz w:val="21"/>
                <w:szCs w:val="21"/>
              </w:rPr>
              <w:t>（罐区）</w:t>
            </w:r>
          </w:p>
        </w:tc>
        <w:tc>
          <w:tcPr>
            <w:tcW w:w="1066" w:type="dxa"/>
            <w:vAlign w:val="center"/>
          </w:tcPr>
          <w:p w14:paraId="0184496B">
            <w:pPr>
              <w:spacing w:line="240" w:lineRule="auto"/>
              <w:ind w:firstLine="0" w:firstLineChars="0"/>
              <w:jc w:val="center"/>
              <w:rPr>
                <w:sz w:val="21"/>
                <w:szCs w:val="21"/>
              </w:rPr>
            </w:pPr>
            <w:r>
              <w:rPr>
                <w:rFonts w:hint="eastAsia"/>
                <w:sz w:val="21"/>
                <w:szCs w:val="21"/>
              </w:rPr>
              <w:t>0</w:t>
            </w:r>
          </w:p>
        </w:tc>
      </w:tr>
      <w:tr w14:paraId="79B71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Align w:val="center"/>
          </w:tcPr>
          <w:p w14:paraId="08129D95">
            <w:pPr>
              <w:spacing w:line="240" w:lineRule="auto"/>
              <w:ind w:firstLine="0" w:firstLineChars="0"/>
              <w:jc w:val="center"/>
              <w:rPr>
                <w:sz w:val="21"/>
                <w:szCs w:val="21"/>
              </w:rPr>
            </w:pPr>
            <w:r>
              <w:rPr>
                <w:rFonts w:hint="eastAsia"/>
                <w:sz w:val="21"/>
                <w:szCs w:val="21"/>
              </w:rPr>
              <w:t>管道、港口/码头</w:t>
            </w:r>
          </w:p>
        </w:tc>
        <w:tc>
          <w:tcPr>
            <w:tcW w:w="4934" w:type="dxa"/>
            <w:vAlign w:val="center"/>
          </w:tcPr>
          <w:p w14:paraId="4D3404FE">
            <w:pPr>
              <w:spacing w:line="240" w:lineRule="auto"/>
              <w:ind w:firstLine="0" w:firstLineChars="0"/>
              <w:rPr>
                <w:sz w:val="21"/>
                <w:szCs w:val="21"/>
              </w:rPr>
            </w:pPr>
            <w:r>
              <w:rPr>
                <w:rFonts w:hint="eastAsia"/>
                <w:sz w:val="21"/>
                <w:szCs w:val="21"/>
              </w:rPr>
              <w:t>涉及危险物质管道运输项目、港口/码头等</w:t>
            </w:r>
          </w:p>
        </w:tc>
        <w:tc>
          <w:tcPr>
            <w:tcW w:w="993" w:type="dxa"/>
            <w:vAlign w:val="center"/>
          </w:tcPr>
          <w:p w14:paraId="5FB05006">
            <w:pPr>
              <w:spacing w:line="240" w:lineRule="auto"/>
              <w:ind w:firstLine="0" w:firstLineChars="0"/>
              <w:jc w:val="center"/>
              <w:rPr>
                <w:sz w:val="21"/>
                <w:szCs w:val="21"/>
              </w:rPr>
            </w:pPr>
            <w:r>
              <w:rPr>
                <w:rFonts w:hint="eastAsia"/>
                <w:sz w:val="21"/>
                <w:szCs w:val="21"/>
              </w:rPr>
              <w:t>10</w:t>
            </w:r>
          </w:p>
        </w:tc>
        <w:tc>
          <w:tcPr>
            <w:tcW w:w="1066" w:type="dxa"/>
            <w:vAlign w:val="center"/>
          </w:tcPr>
          <w:p w14:paraId="09FAE886">
            <w:pPr>
              <w:spacing w:line="240" w:lineRule="auto"/>
              <w:ind w:firstLine="0" w:firstLineChars="0"/>
              <w:jc w:val="center"/>
              <w:rPr>
                <w:sz w:val="21"/>
                <w:szCs w:val="21"/>
              </w:rPr>
            </w:pPr>
            <w:r>
              <w:rPr>
                <w:rFonts w:hint="eastAsia"/>
                <w:sz w:val="21"/>
                <w:szCs w:val="21"/>
              </w:rPr>
              <w:t>0</w:t>
            </w:r>
          </w:p>
        </w:tc>
      </w:tr>
      <w:tr w14:paraId="3683A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Align w:val="center"/>
          </w:tcPr>
          <w:p w14:paraId="0001D40D">
            <w:pPr>
              <w:spacing w:line="240" w:lineRule="auto"/>
              <w:ind w:firstLine="0" w:firstLineChars="0"/>
              <w:jc w:val="center"/>
              <w:rPr>
                <w:sz w:val="21"/>
                <w:szCs w:val="21"/>
              </w:rPr>
            </w:pPr>
            <w:r>
              <w:rPr>
                <w:rFonts w:hint="eastAsia"/>
                <w:sz w:val="21"/>
                <w:szCs w:val="21"/>
              </w:rPr>
              <w:t>石油天然气</w:t>
            </w:r>
          </w:p>
        </w:tc>
        <w:tc>
          <w:tcPr>
            <w:tcW w:w="4934" w:type="dxa"/>
            <w:vAlign w:val="center"/>
          </w:tcPr>
          <w:p w14:paraId="6130A600">
            <w:pPr>
              <w:spacing w:line="240" w:lineRule="auto"/>
              <w:ind w:firstLine="0" w:firstLineChars="0"/>
              <w:rPr>
                <w:sz w:val="21"/>
                <w:szCs w:val="21"/>
              </w:rPr>
            </w:pPr>
            <w:r>
              <w:rPr>
                <w:rFonts w:hint="eastAsia"/>
                <w:sz w:val="21"/>
                <w:szCs w:val="21"/>
              </w:rPr>
              <w:t>石油、天然气、页岩气开采（含净化），气库（不含加气站的气库），油库（不含加气站的油库）、油气管线（不含城镇燃气管线）</w:t>
            </w:r>
          </w:p>
        </w:tc>
        <w:tc>
          <w:tcPr>
            <w:tcW w:w="993" w:type="dxa"/>
            <w:vAlign w:val="center"/>
          </w:tcPr>
          <w:p w14:paraId="225D3F72">
            <w:pPr>
              <w:spacing w:line="240" w:lineRule="auto"/>
              <w:ind w:firstLine="0" w:firstLineChars="0"/>
              <w:jc w:val="center"/>
              <w:rPr>
                <w:sz w:val="21"/>
                <w:szCs w:val="21"/>
              </w:rPr>
            </w:pPr>
            <w:r>
              <w:rPr>
                <w:rFonts w:hint="eastAsia"/>
                <w:sz w:val="21"/>
                <w:szCs w:val="21"/>
              </w:rPr>
              <w:t>10</w:t>
            </w:r>
          </w:p>
        </w:tc>
        <w:tc>
          <w:tcPr>
            <w:tcW w:w="1066" w:type="dxa"/>
            <w:vAlign w:val="center"/>
          </w:tcPr>
          <w:p w14:paraId="6E57B9E6">
            <w:pPr>
              <w:spacing w:line="240" w:lineRule="auto"/>
              <w:ind w:firstLine="0" w:firstLineChars="0"/>
              <w:jc w:val="center"/>
              <w:rPr>
                <w:sz w:val="21"/>
                <w:szCs w:val="21"/>
              </w:rPr>
            </w:pPr>
            <w:r>
              <w:rPr>
                <w:rFonts w:hint="eastAsia"/>
                <w:sz w:val="21"/>
                <w:szCs w:val="21"/>
              </w:rPr>
              <w:t>0</w:t>
            </w:r>
          </w:p>
        </w:tc>
      </w:tr>
      <w:tr w14:paraId="1A494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Align w:val="center"/>
          </w:tcPr>
          <w:p w14:paraId="731D3084">
            <w:pPr>
              <w:spacing w:line="240" w:lineRule="auto"/>
              <w:ind w:firstLine="0" w:firstLineChars="0"/>
              <w:jc w:val="center"/>
              <w:rPr>
                <w:sz w:val="21"/>
                <w:szCs w:val="21"/>
              </w:rPr>
            </w:pPr>
            <w:r>
              <w:rPr>
                <w:rFonts w:hint="eastAsia"/>
                <w:sz w:val="21"/>
                <w:szCs w:val="21"/>
              </w:rPr>
              <w:t>其他</w:t>
            </w:r>
          </w:p>
        </w:tc>
        <w:tc>
          <w:tcPr>
            <w:tcW w:w="4934" w:type="dxa"/>
            <w:vAlign w:val="center"/>
          </w:tcPr>
          <w:p w14:paraId="41DB2CD7">
            <w:pPr>
              <w:spacing w:line="240" w:lineRule="auto"/>
              <w:ind w:firstLine="0" w:firstLineChars="0"/>
              <w:jc w:val="center"/>
              <w:rPr>
                <w:sz w:val="21"/>
                <w:szCs w:val="21"/>
              </w:rPr>
            </w:pPr>
            <w:r>
              <w:rPr>
                <w:rFonts w:hint="eastAsia"/>
                <w:sz w:val="21"/>
                <w:szCs w:val="21"/>
              </w:rPr>
              <w:t>涉及危险物质使用、贮存的项目</w:t>
            </w:r>
          </w:p>
        </w:tc>
        <w:tc>
          <w:tcPr>
            <w:tcW w:w="993" w:type="dxa"/>
            <w:vAlign w:val="center"/>
          </w:tcPr>
          <w:p w14:paraId="10541BBC">
            <w:pPr>
              <w:spacing w:line="240" w:lineRule="auto"/>
              <w:ind w:firstLine="0" w:firstLineChars="0"/>
              <w:jc w:val="center"/>
              <w:rPr>
                <w:sz w:val="21"/>
                <w:szCs w:val="21"/>
              </w:rPr>
            </w:pPr>
            <w:r>
              <w:rPr>
                <w:rFonts w:hint="eastAsia"/>
                <w:sz w:val="21"/>
                <w:szCs w:val="21"/>
              </w:rPr>
              <w:t>5</w:t>
            </w:r>
          </w:p>
        </w:tc>
        <w:tc>
          <w:tcPr>
            <w:tcW w:w="1066" w:type="dxa"/>
            <w:vAlign w:val="center"/>
          </w:tcPr>
          <w:p w14:paraId="05B8B6CB">
            <w:pPr>
              <w:spacing w:line="240" w:lineRule="auto"/>
              <w:ind w:firstLine="0" w:firstLineChars="0"/>
              <w:jc w:val="center"/>
              <w:rPr>
                <w:sz w:val="21"/>
                <w:szCs w:val="21"/>
                <w:u w:val="single"/>
              </w:rPr>
            </w:pPr>
            <w:r>
              <w:rPr>
                <w:rFonts w:hint="eastAsia"/>
                <w:sz w:val="21"/>
                <w:szCs w:val="21"/>
                <w:u w:val="single"/>
              </w:rPr>
              <w:t>5</w:t>
            </w:r>
          </w:p>
        </w:tc>
      </w:tr>
      <w:tr w14:paraId="2B66A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286" w:type="dxa"/>
            <w:gridSpan w:val="4"/>
            <w:vAlign w:val="center"/>
          </w:tcPr>
          <w:p w14:paraId="080636A4">
            <w:pPr>
              <w:spacing w:line="240" w:lineRule="auto"/>
              <w:ind w:firstLine="0" w:firstLineChars="0"/>
              <w:rPr>
                <w:sz w:val="21"/>
                <w:szCs w:val="21"/>
              </w:rPr>
            </w:pPr>
            <w:r>
              <w:rPr>
                <w:rFonts w:hint="eastAsia"/>
                <w:sz w:val="21"/>
                <w:szCs w:val="21"/>
              </w:rPr>
              <w:t>a高温指工艺温度&gt;300℃，高压指压力容器的设计压力（P）&gt;10.0MPa;</w:t>
            </w:r>
          </w:p>
          <w:p w14:paraId="716ADB29">
            <w:pPr>
              <w:spacing w:line="240" w:lineRule="auto"/>
              <w:ind w:firstLine="0" w:firstLineChars="0"/>
              <w:rPr>
                <w:sz w:val="21"/>
                <w:szCs w:val="21"/>
              </w:rPr>
            </w:pPr>
            <w:r>
              <w:rPr>
                <w:rFonts w:hint="eastAsia"/>
                <w:sz w:val="21"/>
                <w:szCs w:val="21"/>
              </w:rPr>
              <w:t>b长输管道运输项目应按站场、管线分段进行评价。</w:t>
            </w:r>
          </w:p>
        </w:tc>
      </w:tr>
    </w:tbl>
    <w:p w14:paraId="5B90FED5">
      <w:pPr>
        <w:ind w:firstLine="480"/>
        <w:rPr>
          <w:bCs/>
        </w:rPr>
      </w:pPr>
      <w:r>
        <w:rPr>
          <w:rFonts w:hint="eastAsia"/>
          <w:u w:val="single"/>
        </w:rPr>
        <w:t>因此对照上表，项目M分值为15，分类为M2类</w:t>
      </w:r>
      <w:r>
        <w:rPr>
          <w:rFonts w:hint="eastAsia"/>
        </w:rPr>
        <w:t>。</w:t>
      </w:r>
    </w:p>
    <w:p w14:paraId="18D55046">
      <w:pPr>
        <w:pStyle w:val="201"/>
        <w:ind w:left="0" w:firstLine="482"/>
        <w:rPr>
          <w:bCs w:val="0"/>
        </w:rPr>
      </w:pPr>
      <w:r>
        <w:rPr>
          <w:rFonts w:hint="eastAsia"/>
        </w:rPr>
        <w:t>2.4.6.3危险物质及工艺系统危险性P</w:t>
      </w:r>
    </w:p>
    <w:p w14:paraId="3561292A">
      <w:pPr>
        <w:ind w:firstLine="480"/>
      </w:pPr>
      <w:r>
        <w:rPr>
          <w:szCs w:val="24"/>
        </w:rPr>
        <w:t>根据计算Q范围和确定M划分，</w:t>
      </w:r>
      <w:r>
        <w:rPr>
          <w:rFonts w:hint="eastAsia"/>
          <w:szCs w:val="24"/>
        </w:rPr>
        <w:t>根据下表</w:t>
      </w:r>
      <w:r>
        <w:rPr>
          <w:szCs w:val="24"/>
        </w:rPr>
        <w:t>对本项目进行等级判断（P）。其中P1为极高危害，P2为高度危害，P3为中度危害，P4为轻度危害。</w:t>
      </w:r>
    </w:p>
    <w:p w14:paraId="6B74F63D">
      <w:pPr>
        <w:pStyle w:val="64"/>
        <w:numPr>
          <w:ilvl w:val="0"/>
          <w:numId w:val="5"/>
        </w:numPr>
        <w:spacing w:before="161"/>
        <w:ind w:left="924" w:hanging="442" w:firstLineChars="0"/>
      </w:pPr>
      <w:r>
        <w:rPr>
          <w:rFonts w:hint="eastAsia"/>
        </w:rPr>
        <w:t xml:space="preserve">   项目危险物质及工艺系统危险性等级判断（</w:t>
      </w:r>
      <w:r>
        <w:t>P</w:t>
      </w:r>
      <w:r>
        <w:rPr>
          <w:rFonts w:hint="eastAsia"/>
        </w:rPr>
        <w:t>）</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83"/>
        <w:gridCol w:w="1612"/>
        <w:gridCol w:w="1698"/>
        <w:gridCol w:w="1555"/>
        <w:gridCol w:w="1395"/>
      </w:tblGrid>
      <w:tr w14:paraId="01A9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477" w:type="dxa"/>
            <w:vMerge w:val="restart"/>
            <w:shd w:val="clear" w:color="auto" w:fill="auto"/>
            <w:vAlign w:val="center"/>
          </w:tcPr>
          <w:p w14:paraId="2B38003E">
            <w:pPr>
              <w:spacing w:line="240" w:lineRule="auto"/>
              <w:ind w:firstLine="0" w:firstLineChars="0"/>
              <w:jc w:val="center"/>
              <w:rPr>
                <w:b/>
                <w:sz w:val="21"/>
                <w:szCs w:val="21"/>
              </w:rPr>
            </w:pPr>
            <w:r>
              <w:rPr>
                <w:b/>
                <w:sz w:val="21"/>
                <w:szCs w:val="21"/>
              </w:rPr>
              <w:t>危险物质数量与临界量比值（Q）</w:t>
            </w:r>
          </w:p>
        </w:tc>
        <w:tc>
          <w:tcPr>
            <w:tcW w:w="6245" w:type="dxa"/>
            <w:gridSpan w:val="4"/>
            <w:shd w:val="clear" w:color="auto" w:fill="auto"/>
            <w:vAlign w:val="center"/>
          </w:tcPr>
          <w:p w14:paraId="1E6E1F0C">
            <w:pPr>
              <w:spacing w:line="240" w:lineRule="auto"/>
              <w:ind w:firstLine="0" w:firstLineChars="0"/>
              <w:jc w:val="center"/>
              <w:rPr>
                <w:b/>
                <w:sz w:val="21"/>
                <w:szCs w:val="21"/>
              </w:rPr>
            </w:pPr>
            <w:r>
              <w:rPr>
                <w:b/>
                <w:sz w:val="21"/>
                <w:szCs w:val="21"/>
              </w:rPr>
              <w:t>行业及生产工艺（M）</w:t>
            </w:r>
          </w:p>
        </w:tc>
      </w:tr>
      <w:tr w14:paraId="10F4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477" w:type="dxa"/>
            <w:vMerge w:val="continue"/>
            <w:shd w:val="clear" w:color="auto" w:fill="auto"/>
            <w:vAlign w:val="center"/>
          </w:tcPr>
          <w:p w14:paraId="680364A7">
            <w:pPr>
              <w:spacing w:line="240" w:lineRule="auto"/>
              <w:ind w:firstLine="0" w:firstLineChars="0"/>
              <w:jc w:val="center"/>
              <w:rPr>
                <w:sz w:val="21"/>
                <w:szCs w:val="21"/>
              </w:rPr>
            </w:pPr>
          </w:p>
        </w:tc>
        <w:tc>
          <w:tcPr>
            <w:tcW w:w="1608" w:type="dxa"/>
            <w:shd w:val="clear" w:color="auto" w:fill="auto"/>
            <w:vAlign w:val="center"/>
          </w:tcPr>
          <w:p w14:paraId="65395B05">
            <w:pPr>
              <w:spacing w:line="240" w:lineRule="auto"/>
              <w:ind w:firstLine="0" w:firstLineChars="0"/>
              <w:jc w:val="center"/>
              <w:rPr>
                <w:b/>
                <w:sz w:val="21"/>
                <w:szCs w:val="21"/>
              </w:rPr>
            </w:pPr>
            <w:r>
              <w:rPr>
                <w:b/>
                <w:sz w:val="21"/>
                <w:szCs w:val="21"/>
              </w:rPr>
              <w:t>M1</w:t>
            </w:r>
          </w:p>
        </w:tc>
        <w:tc>
          <w:tcPr>
            <w:tcW w:w="1694" w:type="dxa"/>
            <w:shd w:val="clear" w:color="auto" w:fill="auto"/>
            <w:vAlign w:val="center"/>
          </w:tcPr>
          <w:p w14:paraId="6465B9E3">
            <w:pPr>
              <w:spacing w:line="240" w:lineRule="auto"/>
              <w:ind w:firstLine="0" w:firstLineChars="0"/>
              <w:jc w:val="center"/>
              <w:rPr>
                <w:b/>
                <w:sz w:val="21"/>
                <w:szCs w:val="21"/>
              </w:rPr>
            </w:pPr>
            <w:r>
              <w:rPr>
                <w:b/>
                <w:sz w:val="21"/>
                <w:szCs w:val="21"/>
              </w:rPr>
              <w:t>M2</w:t>
            </w:r>
          </w:p>
        </w:tc>
        <w:tc>
          <w:tcPr>
            <w:tcW w:w="1551" w:type="dxa"/>
            <w:shd w:val="clear" w:color="auto" w:fill="auto"/>
            <w:vAlign w:val="center"/>
          </w:tcPr>
          <w:p w14:paraId="2D9928F6">
            <w:pPr>
              <w:spacing w:line="240" w:lineRule="auto"/>
              <w:ind w:firstLine="0" w:firstLineChars="0"/>
              <w:jc w:val="center"/>
              <w:rPr>
                <w:b/>
                <w:sz w:val="21"/>
                <w:szCs w:val="21"/>
              </w:rPr>
            </w:pPr>
            <w:r>
              <w:rPr>
                <w:b/>
                <w:sz w:val="21"/>
                <w:szCs w:val="21"/>
              </w:rPr>
              <w:t>M3</w:t>
            </w:r>
          </w:p>
        </w:tc>
        <w:tc>
          <w:tcPr>
            <w:tcW w:w="1392" w:type="dxa"/>
            <w:shd w:val="clear" w:color="auto" w:fill="auto"/>
            <w:vAlign w:val="center"/>
          </w:tcPr>
          <w:p w14:paraId="67C523A1">
            <w:pPr>
              <w:spacing w:line="240" w:lineRule="auto"/>
              <w:ind w:firstLine="0" w:firstLineChars="0"/>
              <w:jc w:val="center"/>
              <w:rPr>
                <w:b/>
                <w:sz w:val="21"/>
                <w:szCs w:val="21"/>
              </w:rPr>
            </w:pPr>
            <w:r>
              <w:rPr>
                <w:b/>
                <w:sz w:val="21"/>
                <w:szCs w:val="21"/>
              </w:rPr>
              <w:t>M4</w:t>
            </w:r>
          </w:p>
        </w:tc>
      </w:tr>
      <w:tr w14:paraId="6C97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7" w:type="dxa"/>
            <w:shd w:val="clear" w:color="auto" w:fill="auto"/>
            <w:vAlign w:val="center"/>
          </w:tcPr>
          <w:p w14:paraId="1BB016BA">
            <w:pPr>
              <w:spacing w:line="240" w:lineRule="auto"/>
              <w:ind w:firstLine="0" w:firstLineChars="0"/>
              <w:jc w:val="center"/>
              <w:rPr>
                <w:sz w:val="21"/>
                <w:szCs w:val="21"/>
              </w:rPr>
            </w:pPr>
            <w:r>
              <w:rPr>
                <w:sz w:val="21"/>
                <w:szCs w:val="21"/>
              </w:rPr>
              <w:t>Q≥100</w:t>
            </w:r>
          </w:p>
        </w:tc>
        <w:tc>
          <w:tcPr>
            <w:tcW w:w="1608" w:type="dxa"/>
            <w:shd w:val="clear" w:color="auto" w:fill="auto"/>
            <w:vAlign w:val="center"/>
          </w:tcPr>
          <w:p w14:paraId="4D649504">
            <w:pPr>
              <w:spacing w:line="240" w:lineRule="auto"/>
              <w:ind w:firstLine="0" w:firstLineChars="0"/>
              <w:jc w:val="center"/>
              <w:rPr>
                <w:sz w:val="21"/>
                <w:szCs w:val="21"/>
              </w:rPr>
            </w:pPr>
            <w:r>
              <w:rPr>
                <w:sz w:val="21"/>
                <w:szCs w:val="21"/>
              </w:rPr>
              <w:t>P1</w:t>
            </w:r>
          </w:p>
        </w:tc>
        <w:tc>
          <w:tcPr>
            <w:tcW w:w="1694" w:type="dxa"/>
            <w:shd w:val="clear" w:color="auto" w:fill="auto"/>
            <w:vAlign w:val="center"/>
          </w:tcPr>
          <w:p w14:paraId="26B5A42E">
            <w:pPr>
              <w:spacing w:line="240" w:lineRule="auto"/>
              <w:ind w:firstLine="0" w:firstLineChars="0"/>
              <w:jc w:val="center"/>
              <w:rPr>
                <w:sz w:val="21"/>
                <w:szCs w:val="21"/>
              </w:rPr>
            </w:pPr>
            <w:r>
              <w:rPr>
                <w:sz w:val="21"/>
                <w:szCs w:val="21"/>
              </w:rPr>
              <w:t>P1</w:t>
            </w:r>
          </w:p>
        </w:tc>
        <w:tc>
          <w:tcPr>
            <w:tcW w:w="1551" w:type="dxa"/>
            <w:shd w:val="clear" w:color="auto" w:fill="auto"/>
            <w:vAlign w:val="center"/>
          </w:tcPr>
          <w:p w14:paraId="21683781">
            <w:pPr>
              <w:spacing w:line="240" w:lineRule="auto"/>
              <w:ind w:firstLine="0" w:firstLineChars="0"/>
              <w:jc w:val="center"/>
              <w:rPr>
                <w:sz w:val="21"/>
                <w:szCs w:val="21"/>
              </w:rPr>
            </w:pPr>
            <w:r>
              <w:rPr>
                <w:sz w:val="21"/>
                <w:szCs w:val="21"/>
              </w:rPr>
              <w:t>P2</w:t>
            </w:r>
          </w:p>
        </w:tc>
        <w:tc>
          <w:tcPr>
            <w:tcW w:w="1392" w:type="dxa"/>
            <w:shd w:val="clear" w:color="auto" w:fill="auto"/>
            <w:vAlign w:val="center"/>
          </w:tcPr>
          <w:p w14:paraId="36260B95">
            <w:pPr>
              <w:spacing w:line="240" w:lineRule="auto"/>
              <w:ind w:firstLine="0" w:firstLineChars="0"/>
              <w:jc w:val="center"/>
              <w:rPr>
                <w:sz w:val="21"/>
                <w:szCs w:val="21"/>
              </w:rPr>
            </w:pPr>
            <w:r>
              <w:rPr>
                <w:sz w:val="21"/>
                <w:szCs w:val="21"/>
              </w:rPr>
              <w:t>P3</w:t>
            </w:r>
          </w:p>
        </w:tc>
      </w:tr>
      <w:tr w14:paraId="6B3F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7" w:type="dxa"/>
            <w:shd w:val="clear" w:color="auto" w:fill="auto"/>
            <w:vAlign w:val="center"/>
          </w:tcPr>
          <w:p w14:paraId="7D4EE727">
            <w:pPr>
              <w:spacing w:line="240" w:lineRule="auto"/>
              <w:ind w:firstLine="0" w:firstLineChars="0"/>
              <w:jc w:val="center"/>
              <w:rPr>
                <w:sz w:val="21"/>
                <w:szCs w:val="21"/>
              </w:rPr>
            </w:pPr>
            <w:r>
              <w:rPr>
                <w:sz w:val="21"/>
                <w:szCs w:val="21"/>
              </w:rPr>
              <w:t>10≤Q＜100</w:t>
            </w:r>
          </w:p>
        </w:tc>
        <w:tc>
          <w:tcPr>
            <w:tcW w:w="1608" w:type="dxa"/>
            <w:shd w:val="clear" w:color="auto" w:fill="auto"/>
            <w:vAlign w:val="center"/>
          </w:tcPr>
          <w:p w14:paraId="5706BAAD">
            <w:pPr>
              <w:spacing w:line="240" w:lineRule="auto"/>
              <w:ind w:firstLine="0" w:firstLineChars="0"/>
              <w:jc w:val="center"/>
              <w:rPr>
                <w:sz w:val="21"/>
                <w:szCs w:val="21"/>
              </w:rPr>
            </w:pPr>
            <w:r>
              <w:rPr>
                <w:sz w:val="21"/>
                <w:szCs w:val="21"/>
              </w:rPr>
              <w:t>P1</w:t>
            </w:r>
          </w:p>
        </w:tc>
        <w:tc>
          <w:tcPr>
            <w:tcW w:w="1694" w:type="dxa"/>
            <w:shd w:val="clear" w:color="auto" w:fill="auto"/>
            <w:vAlign w:val="center"/>
          </w:tcPr>
          <w:p w14:paraId="38347443">
            <w:pPr>
              <w:spacing w:line="240" w:lineRule="auto"/>
              <w:ind w:firstLine="0" w:firstLineChars="0"/>
              <w:jc w:val="center"/>
              <w:rPr>
                <w:sz w:val="21"/>
                <w:szCs w:val="21"/>
              </w:rPr>
            </w:pPr>
            <w:r>
              <w:rPr>
                <w:sz w:val="21"/>
                <w:szCs w:val="21"/>
              </w:rPr>
              <w:t>P2</w:t>
            </w:r>
          </w:p>
        </w:tc>
        <w:tc>
          <w:tcPr>
            <w:tcW w:w="1551" w:type="dxa"/>
            <w:shd w:val="clear" w:color="auto" w:fill="auto"/>
            <w:vAlign w:val="center"/>
          </w:tcPr>
          <w:p w14:paraId="4F5CFA04">
            <w:pPr>
              <w:spacing w:line="240" w:lineRule="auto"/>
              <w:ind w:firstLine="0" w:firstLineChars="0"/>
              <w:jc w:val="center"/>
              <w:rPr>
                <w:sz w:val="21"/>
                <w:szCs w:val="21"/>
              </w:rPr>
            </w:pPr>
            <w:r>
              <w:rPr>
                <w:sz w:val="21"/>
                <w:szCs w:val="21"/>
              </w:rPr>
              <w:t>P3</w:t>
            </w:r>
          </w:p>
        </w:tc>
        <w:tc>
          <w:tcPr>
            <w:tcW w:w="1392" w:type="dxa"/>
            <w:shd w:val="clear" w:color="auto" w:fill="auto"/>
            <w:vAlign w:val="center"/>
          </w:tcPr>
          <w:p w14:paraId="3CF056D3">
            <w:pPr>
              <w:spacing w:line="240" w:lineRule="auto"/>
              <w:ind w:firstLine="0" w:firstLineChars="0"/>
              <w:jc w:val="center"/>
              <w:rPr>
                <w:sz w:val="21"/>
                <w:szCs w:val="21"/>
              </w:rPr>
            </w:pPr>
            <w:r>
              <w:rPr>
                <w:sz w:val="21"/>
                <w:szCs w:val="21"/>
              </w:rPr>
              <w:t>P4</w:t>
            </w:r>
          </w:p>
        </w:tc>
      </w:tr>
      <w:tr w14:paraId="4A7F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7" w:type="dxa"/>
            <w:shd w:val="clear" w:color="auto" w:fill="auto"/>
            <w:vAlign w:val="center"/>
          </w:tcPr>
          <w:p w14:paraId="07F51E2E">
            <w:pPr>
              <w:spacing w:line="240" w:lineRule="auto"/>
              <w:ind w:firstLine="0" w:firstLineChars="0"/>
              <w:jc w:val="center"/>
              <w:rPr>
                <w:sz w:val="21"/>
                <w:szCs w:val="21"/>
              </w:rPr>
            </w:pPr>
            <w:r>
              <w:rPr>
                <w:sz w:val="21"/>
                <w:szCs w:val="21"/>
              </w:rPr>
              <w:t>1≤Q＜10</w:t>
            </w:r>
          </w:p>
        </w:tc>
        <w:tc>
          <w:tcPr>
            <w:tcW w:w="1608" w:type="dxa"/>
            <w:shd w:val="clear" w:color="auto" w:fill="auto"/>
            <w:vAlign w:val="center"/>
          </w:tcPr>
          <w:p w14:paraId="61937D96">
            <w:pPr>
              <w:spacing w:line="240" w:lineRule="auto"/>
              <w:ind w:firstLine="0" w:firstLineChars="0"/>
              <w:jc w:val="center"/>
              <w:rPr>
                <w:sz w:val="21"/>
                <w:szCs w:val="21"/>
              </w:rPr>
            </w:pPr>
            <w:r>
              <w:rPr>
                <w:sz w:val="21"/>
                <w:szCs w:val="21"/>
              </w:rPr>
              <w:t>P2</w:t>
            </w:r>
          </w:p>
        </w:tc>
        <w:tc>
          <w:tcPr>
            <w:tcW w:w="1694" w:type="dxa"/>
            <w:shd w:val="clear" w:color="auto" w:fill="F7C890" w:themeFill="accent2" w:themeFillTint="99"/>
            <w:vAlign w:val="center"/>
          </w:tcPr>
          <w:p w14:paraId="7245CA24">
            <w:pPr>
              <w:spacing w:line="240" w:lineRule="auto"/>
              <w:ind w:firstLine="0" w:firstLineChars="0"/>
              <w:jc w:val="center"/>
              <w:rPr>
                <w:sz w:val="21"/>
                <w:szCs w:val="21"/>
              </w:rPr>
            </w:pPr>
            <w:r>
              <w:rPr>
                <w:sz w:val="21"/>
                <w:szCs w:val="21"/>
              </w:rPr>
              <w:t>P3</w:t>
            </w:r>
          </w:p>
        </w:tc>
        <w:tc>
          <w:tcPr>
            <w:tcW w:w="1551" w:type="dxa"/>
            <w:shd w:val="clear" w:color="auto" w:fill="auto"/>
            <w:vAlign w:val="center"/>
          </w:tcPr>
          <w:p w14:paraId="7A68C16F">
            <w:pPr>
              <w:spacing w:line="240" w:lineRule="auto"/>
              <w:ind w:firstLine="0" w:firstLineChars="0"/>
              <w:jc w:val="center"/>
              <w:rPr>
                <w:sz w:val="21"/>
                <w:szCs w:val="21"/>
              </w:rPr>
            </w:pPr>
            <w:r>
              <w:rPr>
                <w:sz w:val="21"/>
                <w:szCs w:val="21"/>
              </w:rPr>
              <w:t>P4</w:t>
            </w:r>
          </w:p>
        </w:tc>
        <w:tc>
          <w:tcPr>
            <w:tcW w:w="1392" w:type="dxa"/>
            <w:shd w:val="clear" w:color="auto" w:fill="auto"/>
            <w:vAlign w:val="center"/>
          </w:tcPr>
          <w:p w14:paraId="1FD1B0FE">
            <w:pPr>
              <w:spacing w:line="240" w:lineRule="auto"/>
              <w:ind w:firstLine="0" w:firstLineChars="0"/>
              <w:jc w:val="center"/>
              <w:rPr>
                <w:sz w:val="21"/>
                <w:szCs w:val="21"/>
              </w:rPr>
            </w:pPr>
            <w:r>
              <w:rPr>
                <w:sz w:val="21"/>
                <w:szCs w:val="21"/>
              </w:rPr>
              <w:t>P4</w:t>
            </w:r>
          </w:p>
        </w:tc>
      </w:tr>
    </w:tbl>
    <w:p w14:paraId="215E7EFB">
      <w:pPr>
        <w:ind w:firstLine="480"/>
      </w:pPr>
      <w:r>
        <w:rPr>
          <w:rFonts w:hint="eastAsia"/>
        </w:rPr>
        <w:t>本项目危险物质数量与临界量比值</w:t>
      </w:r>
      <w:r>
        <w:rPr>
          <w:bCs/>
          <w:szCs w:val="24"/>
          <w:u w:val="single"/>
        </w:rPr>
        <w:t>Q=</w:t>
      </w:r>
      <w:r>
        <w:rPr>
          <w:rFonts w:hint="eastAsia"/>
          <w:bCs/>
          <w:szCs w:val="24"/>
          <w:u w:val="single"/>
        </w:rPr>
        <w:t>6.738972</w:t>
      </w:r>
      <w:r>
        <w:rPr>
          <w:rFonts w:hint="eastAsia"/>
          <w:u w:val="single"/>
        </w:rPr>
        <w:t>，属于1≤Q&lt;10范围；行业及生产工艺M分值为15分，分类为M2类；故本次项目危险物质及工艺系统危险性P为P3级</w:t>
      </w:r>
      <w:r>
        <w:rPr>
          <w:rFonts w:hint="eastAsia"/>
        </w:rPr>
        <w:t>。</w:t>
      </w:r>
    </w:p>
    <w:p w14:paraId="12CE6D59">
      <w:pPr>
        <w:pStyle w:val="201"/>
        <w:ind w:left="0" w:firstLine="482"/>
      </w:pPr>
      <w:r>
        <w:rPr>
          <w:rFonts w:hint="eastAsia"/>
        </w:rPr>
        <w:t>2.4.6.4 E分级划分</w:t>
      </w:r>
    </w:p>
    <w:p w14:paraId="58661A74">
      <w:pPr>
        <w:ind w:firstLine="480"/>
        <w:rPr>
          <w:bCs/>
        </w:rPr>
      </w:pPr>
      <w:r>
        <w:rPr>
          <w:rFonts w:hint="eastAsia"/>
          <w:bCs/>
        </w:rPr>
        <w:t>（1）大气环境等级E划分</w:t>
      </w:r>
    </w:p>
    <w:p w14:paraId="4B74CCD6">
      <w:pPr>
        <w:pStyle w:val="2"/>
        <w:spacing w:after="0"/>
        <w:ind w:firstLine="480"/>
        <w:rPr>
          <w:szCs w:val="24"/>
        </w:rPr>
      </w:pPr>
      <w:r>
        <w:rPr>
          <w:rFonts w:hint="eastAsia"/>
          <w:szCs w:val="24"/>
        </w:rPr>
        <w:t>根据《建设项目环境风险评价技术导则》（HJ169-2018）附录D，依据环境敏感性及人口密度划分环境风险受体的敏感性，共分为三种类型，E1为环境高度敏感区，E2为环境中度敏感区，E3为环境低度敏感区。具体见下表。</w:t>
      </w:r>
    </w:p>
    <w:p w14:paraId="5AE31C2F">
      <w:pPr>
        <w:pStyle w:val="64"/>
        <w:numPr>
          <w:ilvl w:val="0"/>
          <w:numId w:val="5"/>
        </w:numPr>
        <w:spacing w:before="161"/>
        <w:ind w:left="924" w:hanging="442" w:firstLineChars="0"/>
      </w:pPr>
      <w:r>
        <w:rPr>
          <w:rFonts w:hint="eastAsia"/>
        </w:rPr>
        <w:t xml:space="preserve">          大气环境敏感程度分级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1051"/>
        <w:gridCol w:w="7701"/>
      </w:tblGrid>
      <w:tr w14:paraId="4151F14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996" w:type="dxa"/>
            <w:vAlign w:val="center"/>
          </w:tcPr>
          <w:p w14:paraId="55BD2D3C">
            <w:pPr>
              <w:pStyle w:val="171"/>
              <w:jc w:val="center"/>
              <w:rPr>
                <w:rFonts w:ascii="Times New Roman" w:hAnsi="Times New Roman"/>
                <w:b/>
                <w:sz w:val="21"/>
                <w:szCs w:val="21"/>
              </w:rPr>
            </w:pPr>
            <w:r>
              <w:rPr>
                <w:rFonts w:ascii="Times New Roman" w:hAnsi="Times New Roman"/>
                <w:b/>
                <w:sz w:val="21"/>
                <w:szCs w:val="21"/>
              </w:rPr>
              <w:t>分级</w:t>
            </w:r>
          </w:p>
        </w:tc>
        <w:tc>
          <w:tcPr>
            <w:tcW w:w="7300" w:type="dxa"/>
            <w:vAlign w:val="center"/>
          </w:tcPr>
          <w:p w14:paraId="557D41CB">
            <w:pPr>
              <w:pStyle w:val="171"/>
              <w:jc w:val="center"/>
              <w:rPr>
                <w:rFonts w:ascii="Times New Roman" w:hAnsi="Times New Roman"/>
                <w:b/>
                <w:sz w:val="21"/>
                <w:szCs w:val="21"/>
              </w:rPr>
            </w:pPr>
            <w:r>
              <w:rPr>
                <w:rFonts w:ascii="Times New Roman" w:hAnsi="Times New Roman"/>
                <w:b/>
                <w:sz w:val="21"/>
                <w:szCs w:val="21"/>
              </w:rPr>
              <w:t>大气环境敏感性</w:t>
            </w:r>
          </w:p>
        </w:tc>
      </w:tr>
      <w:tr w14:paraId="65DB405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6" w:type="dxa"/>
            <w:vAlign w:val="center"/>
          </w:tcPr>
          <w:p w14:paraId="7FA1CCD0">
            <w:pPr>
              <w:pStyle w:val="171"/>
              <w:jc w:val="center"/>
              <w:rPr>
                <w:rFonts w:ascii="Times New Roman" w:hAnsi="Times New Roman"/>
                <w:sz w:val="21"/>
                <w:szCs w:val="21"/>
              </w:rPr>
            </w:pPr>
            <w:r>
              <w:rPr>
                <w:rFonts w:ascii="Times New Roman" w:hAnsi="Times New Roman"/>
                <w:sz w:val="21"/>
                <w:szCs w:val="21"/>
              </w:rPr>
              <w:t>E1</w:t>
            </w:r>
          </w:p>
        </w:tc>
        <w:tc>
          <w:tcPr>
            <w:tcW w:w="7300" w:type="dxa"/>
            <w:vAlign w:val="center"/>
          </w:tcPr>
          <w:p w14:paraId="7D3B4537">
            <w:pPr>
              <w:pStyle w:val="171"/>
              <w:rPr>
                <w:rFonts w:ascii="Times New Roman" w:hAnsi="Times New Roman"/>
                <w:sz w:val="21"/>
                <w:szCs w:val="21"/>
              </w:rPr>
            </w:pPr>
            <w:r>
              <w:rPr>
                <w:rFonts w:ascii="Times New Roman" w:hAnsi="Times New Roman"/>
                <w:sz w:val="21"/>
                <w:szCs w:val="21"/>
              </w:rPr>
              <w:t>周边5km范围内居住区、医疗卫生、文化教育、科研单位、行政机关等机构人口总数大于5万人，或其他需要特殊保护区域，或周边500米范围内人口总数大于1000人，油气、化学品输送管线管段周边200m范围内，每千米管段人口数大于200人。</w:t>
            </w:r>
          </w:p>
        </w:tc>
      </w:tr>
      <w:tr w14:paraId="024FE14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6" w:type="dxa"/>
            <w:vAlign w:val="center"/>
          </w:tcPr>
          <w:p w14:paraId="2740696E">
            <w:pPr>
              <w:pStyle w:val="171"/>
              <w:jc w:val="center"/>
              <w:rPr>
                <w:rFonts w:ascii="Times New Roman" w:hAnsi="Times New Roman"/>
                <w:sz w:val="21"/>
                <w:szCs w:val="21"/>
              </w:rPr>
            </w:pPr>
            <w:r>
              <w:rPr>
                <w:rFonts w:ascii="Times New Roman" w:hAnsi="Times New Roman"/>
                <w:sz w:val="21"/>
                <w:szCs w:val="21"/>
              </w:rPr>
              <w:t>E2</w:t>
            </w:r>
          </w:p>
        </w:tc>
        <w:tc>
          <w:tcPr>
            <w:tcW w:w="7300" w:type="dxa"/>
            <w:vAlign w:val="center"/>
          </w:tcPr>
          <w:p w14:paraId="6D19654B">
            <w:pPr>
              <w:pStyle w:val="171"/>
              <w:rPr>
                <w:rFonts w:ascii="Times New Roman" w:hAnsi="Times New Roman"/>
                <w:sz w:val="21"/>
                <w:szCs w:val="21"/>
              </w:rPr>
            </w:pPr>
            <w:r>
              <w:rPr>
                <w:rFonts w:ascii="Times New Roman" w:hAnsi="Times New Roman"/>
                <w:sz w:val="21"/>
                <w:szCs w:val="21"/>
              </w:rPr>
              <w:t>周边5公里范围内居住区、医疗卫生、文化教育、科研、行政办公等机构人口数大于1万人，小于5万人；或周边500m范围内人口总数大于500人，小于1000人；油气、化学品输送管线管段周边200m范围内，每千米管段人口数大于100人，小于200人。</w:t>
            </w:r>
          </w:p>
        </w:tc>
      </w:tr>
      <w:tr w14:paraId="6A9F190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6" w:type="dxa"/>
            <w:vAlign w:val="center"/>
          </w:tcPr>
          <w:p w14:paraId="4D819A49">
            <w:pPr>
              <w:pStyle w:val="171"/>
              <w:jc w:val="center"/>
              <w:rPr>
                <w:rFonts w:ascii="Times New Roman" w:hAnsi="Times New Roman"/>
                <w:sz w:val="21"/>
                <w:szCs w:val="21"/>
              </w:rPr>
            </w:pPr>
            <w:r>
              <w:rPr>
                <w:rFonts w:ascii="Times New Roman" w:hAnsi="Times New Roman"/>
                <w:sz w:val="21"/>
                <w:szCs w:val="21"/>
              </w:rPr>
              <w:t>E3</w:t>
            </w:r>
          </w:p>
        </w:tc>
        <w:tc>
          <w:tcPr>
            <w:tcW w:w="7300" w:type="dxa"/>
            <w:vAlign w:val="center"/>
          </w:tcPr>
          <w:p w14:paraId="0008BF4A">
            <w:pPr>
              <w:pStyle w:val="171"/>
              <w:rPr>
                <w:rFonts w:ascii="Times New Roman" w:hAnsi="Times New Roman"/>
                <w:sz w:val="21"/>
                <w:szCs w:val="21"/>
              </w:rPr>
            </w:pPr>
            <w:r>
              <w:rPr>
                <w:rFonts w:ascii="Times New Roman" w:hAnsi="Times New Roman"/>
                <w:sz w:val="21"/>
                <w:szCs w:val="21"/>
              </w:rPr>
              <w:t>周边5公里范围内居住区、医疗卫生、文化教育、科研、行政办公等机构人口数小于1万人；或周边500m范围内人口总数大于500人，小于1000人；油气、化学品输送管线管段周边200m范围内，每千米管段人口数小于100人。</w:t>
            </w:r>
          </w:p>
        </w:tc>
      </w:tr>
    </w:tbl>
    <w:p w14:paraId="7490F724">
      <w:pPr>
        <w:pStyle w:val="2"/>
        <w:spacing w:after="0"/>
        <w:ind w:firstLine="480"/>
      </w:pPr>
      <w:r>
        <w:rPr>
          <w:rFonts w:hint="eastAsia"/>
        </w:rPr>
        <w:t>本次工程位于卫辉市铁西（化工）园区，周边5km范围内居住区、医疗卫生、文化教育、科研单位、行政机关等机构人口总数约339028人，大于5万人；故大气环境敏感程度为环境高度敏感区E1。</w:t>
      </w:r>
    </w:p>
    <w:p w14:paraId="78660B5F">
      <w:pPr>
        <w:ind w:firstLine="480"/>
        <w:rPr>
          <w:bCs/>
        </w:rPr>
      </w:pPr>
      <w:r>
        <w:rPr>
          <w:rFonts w:hint="eastAsia"/>
          <w:bCs/>
        </w:rPr>
        <w:t>（2）地表水环境等级E划分</w:t>
      </w:r>
    </w:p>
    <w:p w14:paraId="7DCF3FE8">
      <w:pPr>
        <w:pStyle w:val="2"/>
        <w:spacing w:after="0"/>
        <w:ind w:firstLine="480"/>
      </w:pPr>
      <w:r>
        <w:rPr>
          <w:rFonts w:hint="eastAsia"/>
        </w:rPr>
        <w:t>依据事故情况下危险物质泄漏到水体的排放点受纳地表水体功能敏感性，与下游环境敏感目标情况，共分为三种类型，E1为环境高度敏感区，E2为环境中度敏感区，E3为环境低度敏感区，分级原则见表2.4-14。其中地表水功能敏感性分区和环境敏感目标分级分别见表2.4-15和表2.4-16。</w:t>
      </w:r>
    </w:p>
    <w:p w14:paraId="12D3A5FD">
      <w:pPr>
        <w:pStyle w:val="64"/>
        <w:numPr>
          <w:ilvl w:val="0"/>
          <w:numId w:val="5"/>
        </w:numPr>
        <w:spacing w:before="161"/>
        <w:ind w:left="924" w:hanging="442" w:firstLineChars="0"/>
      </w:pPr>
      <w:r>
        <w:rPr>
          <w:rFonts w:hint="eastAsia"/>
        </w:rPr>
        <w:t xml:space="preserve">          地表水环境敏感程度分级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2188"/>
        <w:gridCol w:w="2188"/>
        <w:gridCol w:w="2188"/>
        <w:gridCol w:w="2188"/>
      </w:tblGrid>
      <w:tr w14:paraId="16AC86D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2074" w:type="dxa"/>
            <w:vMerge w:val="restart"/>
            <w:shd w:val="clear" w:color="auto" w:fill="auto"/>
            <w:vAlign w:val="center"/>
          </w:tcPr>
          <w:p w14:paraId="5C939461">
            <w:pPr>
              <w:spacing w:line="360" w:lineRule="exact"/>
              <w:ind w:firstLine="0" w:firstLineChars="0"/>
              <w:jc w:val="center"/>
              <w:rPr>
                <w:b/>
                <w:sz w:val="21"/>
                <w:szCs w:val="21"/>
              </w:rPr>
            </w:pPr>
            <w:r>
              <w:rPr>
                <w:b/>
                <w:sz w:val="21"/>
                <w:szCs w:val="21"/>
              </w:rPr>
              <w:t>环境敏感目标</w:t>
            </w:r>
          </w:p>
        </w:tc>
        <w:tc>
          <w:tcPr>
            <w:tcW w:w="6222" w:type="dxa"/>
            <w:gridSpan w:val="3"/>
            <w:shd w:val="clear" w:color="auto" w:fill="auto"/>
            <w:vAlign w:val="center"/>
          </w:tcPr>
          <w:p w14:paraId="24B0334B">
            <w:pPr>
              <w:spacing w:line="360" w:lineRule="exact"/>
              <w:ind w:firstLine="0" w:firstLineChars="0"/>
              <w:jc w:val="center"/>
              <w:rPr>
                <w:b/>
                <w:sz w:val="21"/>
                <w:szCs w:val="21"/>
              </w:rPr>
            </w:pPr>
            <w:r>
              <w:rPr>
                <w:b/>
                <w:sz w:val="21"/>
                <w:szCs w:val="21"/>
              </w:rPr>
              <w:t>地表水功能敏感性</w:t>
            </w:r>
          </w:p>
        </w:tc>
      </w:tr>
      <w:tr w14:paraId="6AAABC3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2074" w:type="dxa"/>
            <w:vMerge w:val="continue"/>
            <w:shd w:val="clear" w:color="auto" w:fill="auto"/>
            <w:vAlign w:val="center"/>
          </w:tcPr>
          <w:p w14:paraId="73BE6BC1">
            <w:pPr>
              <w:spacing w:line="360" w:lineRule="exact"/>
              <w:ind w:firstLine="0" w:firstLineChars="0"/>
              <w:jc w:val="center"/>
              <w:rPr>
                <w:b/>
                <w:sz w:val="21"/>
                <w:szCs w:val="21"/>
              </w:rPr>
            </w:pPr>
          </w:p>
        </w:tc>
        <w:tc>
          <w:tcPr>
            <w:tcW w:w="2074" w:type="dxa"/>
            <w:shd w:val="clear" w:color="auto" w:fill="auto"/>
            <w:vAlign w:val="center"/>
          </w:tcPr>
          <w:p w14:paraId="6B38B00A">
            <w:pPr>
              <w:spacing w:line="360" w:lineRule="exact"/>
              <w:ind w:firstLine="0" w:firstLineChars="0"/>
              <w:jc w:val="center"/>
              <w:rPr>
                <w:b/>
                <w:sz w:val="21"/>
                <w:szCs w:val="21"/>
              </w:rPr>
            </w:pPr>
            <w:r>
              <w:rPr>
                <w:b/>
                <w:sz w:val="21"/>
                <w:szCs w:val="21"/>
              </w:rPr>
              <w:t>F1</w:t>
            </w:r>
          </w:p>
        </w:tc>
        <w:tc>
          <w:tcPr>
            <w:tcW w:w="2074" w:type="dxa"/>
            <w:shd w:val="clear" w:color="auto" w:fill="auto"/>
            <w:vAlign w:val="center"/>
          </w:tcPr>
          <w:p w14:paraId="78C6633E">
            <w:pPr>
              <w:spacing w:line="360" w:lineRule="exact"/>
              <w:ind w:firstLine="0" w:firstLineChars="0"/>
              <w:jc w:val="center"/>
              <w:rPr>
                <w:b/>
                <w:sz w:val="21"/>
                <w:szCs w:val="21"/>
              </w:rPr>
            </w:pPr>
            <w:r>
              <w:rPr>
                <w:b/>
                <w:sz w:val="21"/>
                <w:szCs w:val="21"/>
              </w:rPr>
              <w:t>F2</w:t>
            </w:r>
          </w:p>
        </w:tc>
        <w:tc>
          <w:tcPr>
            <w:tcW w:w="2074" w:type="dxa"/>
            <w:shd w:val="clear" w:color="auto" w:fill="auto"/>
            <w:vAlign w:val="center"/>
          </w:tcPr>
          <w:p w14:paraId="6DDA4C37">
            <w:pPr>
              <w:spacing w:line="360" w:lineRule="exact"/>
              <w:ind w:firstLine="0" w:firstLineChars="0"/>
              <w:jc w:val="center"/>
              <w:rPr>
                <w:b/>
                <w:sz w:val="21"/>
                <w:szCs w:val="21"/>
              </w:rPr>
            </w:pPr>
            <w:r>
              <w:rPr>
                <w:b/>
                <w:sz w:val="21"/>
                <w:szCs w:val="21"/>
              </w:rPr>
              <w:t>F3</w:t>
            </w:r>
          </w:p>
        </w:tc>
      </w:tr>
      <w:tr w14:paraId="378CC34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74" w:type="dxa"/>
            <w:shd w:val="clear" w:color="auto" w:fill="auto"/>
            <w:vAlign w:val="center"/>
          </w:tcPr>
          <w:p w14:paraId="3303428D">
            <w:pPr>
              <w:spacing w:line="360" w:lineRule="exact"/>
              <w:ind w:firstLine="0" w:firstLineChars="0"/>
              <w:jc w:val="center"/>
              <w:rPr>
                <w:sz w:val="21"/>
                <w:szCs w:val="21"/>
              </w:rPr>
            </w:pPr>
            <w:r>
              <w:rPr>
                <w:sz w:val="21"/>
                <w:szCs w:val="21"/>
              </w:rPr>
              <w:t>S1</w:t>
            </w:r>
          </w:p>
        </w:tc>
        <w:tc>
          <w:tcPr>
            <w:tcW w:w="2074" w:type="dxa"/>
            <w:shd w:val="clear" w:color="auto" w:fill="auto"/>
            <w:vAlign w:val="center"/>
          </w:tcPr>
          <w:p w14:paraId="1F1CFA62">
            <w:pPr>
              <w:spacing w:line="360" w:lineRule="exact"/>
              <w:ind w:firstLine="0" w:firstLineChars="0"/>
              <w:jc w:val="center"/>
              <w:rPr>
                <w:sz w:val="21"/>
                <w:szCs w:val="21"/>
              </w:rPr>
            </w:pPr>
            <w:r>
              <w:rPr>
                <w:sz w:val="21"/>
                <w:szCs w:val="21"/>
              </w:rPr>
              <w:t>E1</w:t>
            </w:r>
          </w:p>
        </w:tc>
        <w:tc>
          <w:tcPr>
            <w:tcW w:w="2074" w:type="dxa"/>
            <w:shd w:val="clear" w:color="auto" w:fill="auto"/>
            <w:vAlign w:val="center"/>
          </w:tcPr>
          <w:p w14:paraId="35BE4F4E">
            <w:pPr>
              <w:spacing w:line="360" w:lineRule="exact"/>
              <w:ind w:firstLine="0" w:firstLineChars="0"/>
              <w:jc w:val="center"/>
              <w:rPr>
                <w:sz w:val="21"/>
                <w:szCs w:val="21"/>
              </w:rPr>
            </w:pPr>
            <w:r>
              <w:rPr>
                <w:sz w:val="21"/>
                <w:szCs w:val="21"/>
              </w:rPr>
              <w:t>E1</w:t>
            </w:r>
          </w:p>
        </w:tc>
        <w:tc>
          <w:tcPr>
            <w:tcW w:w="2074" w:type="dxa"/>
            <w:shd w:val="clear" w:color="auto" w:fill="auto"/>
            <w:vAlign w:val="center"/>
          </w:tcPr>
          <w:p w14:paraId="60F524AC">
            <w:pPr>
              <w:spacing w:line="360" w:lineRule="exact"/>
              <w:ind w:firstLine="0" w:firstLineChars="0"/>
              <w:jc w:val="center"/>
              <w:rPr>
                <w:sz w:val="21"/>
                <w:szCs w:val="21"/>
              </w:rPr>
            </w:pPr>
            <w:r>
              <w:rPr>
                <w:sz w:val="21"/>
                <w:szCs w:val="21"/>
              </w:rPr>
              <w:t>E2</w:t>
            </w:r>
          </w:p>
        </w:tc>
      </w:tr>
      <w:tr w14:paraId="525A1F3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74" w:type="dxa"/>
            <w:shd w:val="clear" w:color="auto" w:fill="auto"/>
            <w:vAlign w:val="center"/>
          </w:tcPr>
          <w:p w14:paraId="2E2D8BF6">
            <w:pPr>
              <w:spacing w:line="360" w:lineRule="exact"/>
              <w:ind w:firstLine="0" w:firstLineChars="0"/>
              <w:jc w:val="center"/>
              <w:rPr>
                <w:sz w:val="21"/>
                <w:szCs w:val="21"/>
              </w:rPr>
            </w:pPr>
            <w:r>
              <w:rPr>
                <w:sz w:val="21"/>
                <w:szCs w:val="21"/>
              </w:rPr>
              <w:t>S2</w:t>
            </w:r>
          </w:p>
        </w:tc>
        <w:tc>
          <w:tcPr>
            <w:tcW w:w="2074" w:type="dxa"/>
            <w:shd w:val="clear" w:color="auto" w:fill="auto"/>
            <w:vAlign w:val="center"/>
          </w:tcPr>
          <w:p w14:paraId="245F232D">
            <w:pPr>
              <w:spacing w:line="360" w:lineRule="exact"/>
              <w:ind w:firstLine="0" w:firstLineChars="0"/>
              <w:jc w:val="center"/>
              <w:rPr>
                <w:sz w:val="21"/>
                <w:szCs w:val="21"/>
              </w:rPr>
            </w:pPr>
            <w:r>
              <w:rPr>
                <w:sz w:val="21"/>
                <w:szCs w:val="21"/>
              </w:rPr>
              <w:t>E1</w:t>
            </w:r>
          </w:p>
        </w:tc>
        <w:tc>
          <w:tcPr>
            <w:tcW w:w="2074" w:type="dxa"/>
            <w:shd w:val="clear" w:color="auto" w:fill="auto"/>
            <w:vAlign w:val="center"/>
          </w:tcPr>
          <w:p w14:paraId="70D541C6">
            <w:pPr>
              <w:spacing w:line="360" w:lineRule="exact"/>
              <w:ind w:firstLine="0" w:firstLineChars="0"/>
              <w:jc w:val="center"/>
              <w:rPr>
                <w:sz w:val="21"/>
                <w:szCs w:val="21"/>
              </w:rPr>
            </w:pPr>
            <w:r>
              <w:rPr>
                <w:sz w:val="21"/>
                <w:szCs w:val="21"/>
              </w:rPr>
              <w:t>E2</w:t>
            </w:r>
          </w:p>
        </w:tc>
        <w:tc>
          <w:tcPr>
            <w:tcW w:w="2074" w:type="dxa"/>
            <w:shd w:val="clear" w:color="auto" w:fill="auto"/>
            <w:vAlign w:val="center"/>
          </w:tcPr>
          <w:p w14:paraId="40492D42">
            <w:pPr>
              <w:spacing w:line="360" w:lineRule="exact"/>
              <w:ind w:firstLine="0" w:firstLineChars="0"/>
              <w:jc w:val="center"/>
              <w:rPr>
                <w:sz w:val="21"/>
                <w:szCs w:val="21"/>
              </w:rPr>
            </w:pPr>
            <w:r>
              <w:rPr>
                <w:sz w:val="21"/>
                <w:szCs w:val="21"/>
              </w:rPr>
              <w:t>E3</w:t>
            </w:r>
          </w:p>
        </w:tc>
      </w:tr>
      <w:tr w14:paraId="034FD60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74" w:type="dxa"/>
            <w:shd w:val="clear" w:color="auto" w:fill="auto"/>
            <w:vAlign w:val="center"/>
          </w:tcPr>
          <w:p w14:paraId="666C131C">
            <w:pPr>
              <w:spacing w:line="360" w:lineRule="exact"/>
              <w:ind w:firstLine="0" w:firstLineChars="0"/>
              <w:jc w:val="center"/>
              <w:rPr>
                <w:sz w:val="21"/>
                <w:szCs w:val="21"/>
              </w:rPr>
            </w:pPr>
            <w:r>
              <w:rPr>
                <w:sz w:val="21"/>
                <w:szCs w:val="21"/>
              </w:rPr>
              <w:t>S3</w:t>
            </w:r>
          </w:p>
        </w:tc>
        <w:tc>
          <w:tcPr>
            <w:tcW w:w="2074" w:type="dxa"/>
            <w:shd w:val="clear" w:color="auto" w:fill="auto"/>
            <w:vAlign w:val="center"/>
          </w:tcPr>
          <w:p w14:paraId="5B2617B9">
            <w:pPr>
              <w:spacing w:line="360" w:lineRule="exact"/>
              <w:ind w:firstLine="0" w:firstLineChars="0"/>
              <w:jc w:val="center"/>
              <w:rPr>
                <w:sz w:val="21"/>
                <w:szCs w:val="21"/>
              </w:rPr>
            </w:pPr>
            <w:r>
              <w:rPr>
                <w:sz w:val="21"/>
                <w:szCs w:val="21"/>
              </w:rPr>
              <w:t>E1</w:t>
            </w:r>
          </w:p>
        </w:tc>
        <w:tc>
          <w:tcPr>
            <w:tcW w:w="2074" w:type="dxa"/>
            <w:shd w:val="clear" w:color="auto" w:fill="auto"/>
            <w:vAlign w:val="center"/>
          </w:tcPr>
          <w:p w14:paraId="5F690C64">
            <w:pPr>
              <w:spacing w:line="360" w:lineRule="exact"/>
              <w:ind w:firstLine="0" w:firstLineChars="0"/>
              <w:jc w:val="center"/>
              <w:rPr>
                <w:sz w:val="21"/>
                <w:szCs w:val="21"/>
              </w:rPr>
            </w:pPr>
            <w:r>
              <w:rPr>
                <w:sz w:val="21"/>
                <w:szCs w:val="21"/>
              </w:rPr>
              <w:t>E2</w:t>
            </w:r>
          </w:p>
        </w:tc>
        <w:tc>
          <w:tcPr>
            <w:tcW w:w="2074" w:type="dxa"/>
            <w:shd w:val="clear" w:color="auto" w:fill="F7C890" w:themeFill="accent2" w:themeFillTint="99"/>
            <w:vAlign w:val="center"/>
          </w:tcPr>
          <w:p w14:paraId="5C0D3FA7">
            <w:pPr>
              <w:spacing w:line="360" w:lineRule="exact"/>
              <w:ind w:firstLine="0" w:firstLineChars="0"/>
              <w:jc w:val="center"/>
              <w:rPr>
                <w:sz w:val="21"/>
                <w:szCs w:val="21"/>
              </w:rPr>
            </w:pPr>
            <w:r>
              <w:rPr>
                <w:sz w:val="21"/>
                <w:szCs w:val="21"/>
              </w:rPr>
              <w:t>E3</w:t>
            </w:r>
          </w:p>
        </w:tc>
      </w:tr>
    </w:tbl>
    <w:p w14:paraId="436A9F11">
      <w:pPr>
        <w:pStyle w:val="2"/>
        <w:spacing w:after="0"/>
        <w:ind w:firstLine="480"/>
      </w:pPr>
      <w:r>
        <w:rPr>
          <w:rFonts w:hint="eastAsia"/>
        </w:rPr>
        <w:t xml:space="preserve"> </w:t>
      </w:r>
    </w:p>
    <w:p w14:paraId="28D223F5">
      <w:pPr>
        <w:pStyle w:val="64"/>
        <w:numPr>
          <w:ilvl w:val="0"/>
          <w:numId w:val="5"/>
        </w:numPr>
        <w:spacing w:before="161"/>
        <w:ind w:left="924" w:hanging="442" w:firstLineChars="0"/>
      </w:pPr>
      <w:r>
        <w:rPr>
          <w:rFonts w:hint="eastAsia"/>
        </w:rPr>
        <w:t xml:space="preserve">            地表水功能敏感性分区</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1505"/>
        <w:gridCol w:w="7247"/>
      </w:tblGrid>
      <w:tr w14:paraId="35FE7E4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1426" w:type="dxa"/>
            <w:vAlign w:val="center"/>
          </w:tcPr>
          <w:p w14:paraId="20BA32F1">
            <w:pPr>
              <w:pStyle w:val="171"/>
              <w:jc w:val="center"/>
              <w:rPr>
                <w:rFonts w:ascii="Times New Roman" w:hAnsi="Times New Roman"/>
                <w:b/>
                <w:sz w:val="21"/>
              </w:rPr>
            </w:pPr>
            <w:r>
              <w:rPr>
                <w:rFonts w:ascii="Times New Roman" w:hAnsi="Times New Roman"/>
                <w:b/>
                <w:sz w:val="21"/>
              </w:rPr>
              <w:t>敏感性</w:t>
            </w:r>
          </w:p>
        </w:tc>
        <w:tc>
          <w:tcPr>
            <w:tcW w:w="6870" w:type="dxa"/>
            <w:vAlign w:val="center"/>
          </w:tcPr>
          <w:p w14:paraId="2241163A">
            <w:pPr>
              <w:pStyle w:val="171"/>
              <w:jc w:val="center"/>
              <w:rPr>
                <w:rFonts w:ascii="Times New Roman" w:hAnsi="Times New Roman"/>
                <w:b/>
                <w:sz w:val="21"/>
              </w:rPr>
            </w:pPr>
            <w:r>
              <w:rPr>
                <w:rFonts w:ascii="Times New Roman" w:hAnsi="Times New Roman"/>
                <w:b/>
                <w:sz w:val="21"/>
              </w:rPr>
              <w:t>地表水环境敏感特征</w:t>
            </w:r>
          </w:p>
        </w:tc>
      </w:tr>
      <w:tr w14:paraId="2ED2736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26" w:type="dxa"/>
            <w:vAlign w:val="center"/>
          </w:tcPr>
          <w:p w14:paraId="7F3EF6AD">
            <w:pPr>
              <w:pStyle w:val="171"/>
              <w:jc w:val="center"/>
              <w:rPr>
                <w:rFonts w:ascii="Times New Roman" w:hAnsi="Times New Roman"/>
                <w:sz w:val="21"/>
              </w:rPr>
            </w:pPr>
            <w:r>
              <w:rPr>
                <w:rFonts w:ascii="Times New Roman" w:hAnsi="Times New Roman"/>
                <w:sz w:val="21"/>
              </w:rPr>
              <w:t>敏感F1</w:t>
            </w:r>
          </w:p>
        </w:tc>
        <w:tc>
          <w:tcPr>
            <w:tcW w:w="6870" w:type="dxa"/>
            <w:vAlign w:val="center"/>
          </w:tcPr>
          <w:p w14:paraId="2D8A5458">
            <w:pPr>
              <w:pStyle w:val="171"/>
              <w:rPr>
                <w:rFonts w:ascii="Times New Roman" w:hAnsi="Times New Roman"/>
                <w:sz w:val="21"/>
              </w:rPr>
            </w:pPr>
            <w:r>
              <w:rPr>
                <w:rFonts w:ascii="Times New Roman" w:hAnsi="Times New Roman"/>
                <w:sz w:val="21"/>
              </w:rPr>
              <w:t>排放点进入地表水水域环境功能为Ⅱ类及以上，或海水水质分类第一类；或以发生事故时，危险物质泄漏到水体的排放点算起，排放进入受纳河流最大流速时，24h流经范围内涉跨国界的。</w:t>
            </w:r>
          </w:p>
        </w:tc>
      </w:tr>
      <w:tr w14:paraId="4BC2714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26" w:type="dxa"/>
            <w:vAlign w:val="center"/>
          </w:tcPr>
          <w:p w14:paraId="5AA33D64">
            <w:pPr>
              <w:pStyle w:val="171"/>
              <w:jc w:val="center"/>
              <w:rPr>
                <w:rFonts w:ascii="Times New Roman" w:hAnsi="Times New Roman"/>
                <w:sz w:val="21"/>
              </w:rPr>
            </w:pPr>
            <w:r>
              <w:rPr>
                <w:rFonts w:ascii="Times New Roman" w:hAnsi="Times New Roman"/>
                <w:sz w:val="21"/>
              </w:rPr>
              <w:t>较敏感F2</w:t>
            </w:r>
          </w:p>
        </w:tc>
        <w:tc>
          <w:tcPr>
            <w:tcW w:w="6870" w:type="dxa"/>
            <w:vAlign w:val="center"/>
          </w:tcPr>
          <w:p w14:paraId="43771DE3">
            <w:pPr>
              <w:pStyle w:val="171"/>
              <w:rPr>
                <w:rFonts w:ascii="Times New Roman" w:hAnsi="Times New Roman"/>
                <w:sz w:val="21"/>
              </w:rPr>
            </w:pPr>
            <w:r>
              <w:rPr>
                <w:rFonts w:ascii="Times New Roman" w:hAnsi="Times New Roman"/>
                <w:sz w:val="21"/>
              </w:rPr>
              <w:t>排放点进入地表水水域环境功能为Ⅲ类，或海水水质分类第二类；或以发生事故时，危险物质泄漏到水体的排放点算起，排放进入受纳河流最大流速时，24h流经范围内涉跨省界的。</w:t>
            </w:r>
          </w:p>
        </w:tc>
      </w:tr>
      <w:tr w14:paraId="359DDB3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26" w:type="dxa"/>
            <w:vAlign w:val="center"/>
          </w:tcPr>
          <w:p w14:paraId="7D803BCE">
            <w:pPr>
              <w:pStyle w:val="171"/>
              <w:jc w:val="center"/>
              <w:rPr>
                <w:rFonts w:ascii="Times New Roman" w:hAnsi="Times New Roman"/>
                <w:sz w:val="21"/>
              </w:rPr>
            </w:pPr>
            <w:r>
              <w:rPr>
                <w:rFonts w:ascii="Times New Roman" w:hAnsi="Times New Roman"/>
                <w:sz w:val="21"/>
              </w:rPr>
              <w:t>低敏感F3</w:t>
            </w:r>
          </w:p>
        </w:tc>
        <w:tc>
          <w:tcPr>
            <w:tcW w:w="6870" w:type="dxa"/>
            <w:vAlign w:val="center"/>
          </w:tcPr>
          <w:p w14:paraId="3B834293">
            <w:pPr>
              <w:pStyle w:val="171"/>
              <w:jc w:val="center"/>
              <w:rPr>
                <w:rFonts w:ascii="Times New Roman" w:hAnsi="Times New Roman"/>
                <w:sz w:val="21"/>
              </w:rPr>
            </w:pPr>
            <w:r>
              <w:rPr>
                <w:rFonts w:ascii="Times New Roman" w:hAnsi="Times New Roman"/>
                <w:sz w:val="21"/>
              </w:rPr>
              <w:t>上述地区之外的其他地区。</w:t>
            </w:r>
          </w:p>
        </w:tc>
      </w:tr>
    </w:tbl>
    <w:p w14:paraId="03F0AB33">
      <w:pPr>
        <w:pStyle w:val="64"/>
        <w:numPr>
          <w:ilvl w:val="0"/>
          <w:numId w:val="5"/>
        </w:numPr>
        <w:spacing w:before="161"/>
        <w:ind w:left="924" w:hanging="442" w:firstLineChars="0"/>
      </w:pPr>
      <w:r>
        <w:rPr>
          <w:rFonts w:hint="eastAsia"/>
        </w:rPr>
        <w:t xml:space="preserve">              </w:t>
      </w:r>
      <w:r>
        <w:t>环境敏感目标分级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900"/>
        <w:gridCol w:w="7852"/>
      </w:tblGrid>
      <w:tr w14:paraId="402A3E5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53" w:type="dxa"/>
            <w:vAlign w:val="center"/>
          </w:tcPr>
          <w:p w14:paraId="42E4768E">
            <w:pPr>
              <w:pStyle w:val="171"/>
              <w:jc w:val="center"/>
              <w:rPr>
                <w:rFonts w:ascii="Times New Roman" w:hAnsi="Times New Roman"/>
                <w:b/>
                <w:sz w:val="21"/>
              </w:rPr>
            </w:pPr>
            <w:r>
              <w:rPr>
                <w:rFonts w:ascii="Times New Roman" w:hAnsi="Times New Roman"/>
                <w:b/>
                <w:sz w:val="21"/>
              </w:rPr>
              <w:t>分级</w:t>
            </w:r>
          </w:p>
        </w:tc>
        <w:tc>
          <w:tcPr>
            <w:tcW w:w="7443" w:type="dxa"/>
            <w:vAlign w:val="center"/>
          </w:tcPr>
          <w:p w14:paraId="51A4F3CF">
            <w:pPr>
              <w:pStyle w:val="171"/>
              <w:jc w:val="center"/>
              <w:rPr>
                <w:rFonts w:ascii="Times New Roman" w:hAnsi="Times New Roman"/>
                <w:b/>
                <w:sz w:val="21"/>
              </w:rPr>
            </w:pPr>
            <w:r>
              <w:rPr>
                <w:rFonts w:ascii="Times New Roman" w:hAnsi="Times New Roman"/>
                <w:b/>
                <w:sz w:val="21"/>
              </w:rPr>
              <w:t>环境敏感目标</w:t>
            </w:r>
          </w:p>
        </w:tc>
      </w:tr>
      <w:tr w14:paraId="038B4B7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3" w:type="dxa"/>
            <w:vAlign w:val="center"/>
          </w:tcPr>
          <w:p w14:paraId="2FA57568">
            <w:pPr>
              <w:pStyle w:val="171"/>
              <w:jc w:val="center"/>
              <w:rPr>
                <w:rFonts w:ascii="Times New Roman" w:hAnsi="Times New Roman"/>
                <w:sz w:val="21"/>
              </w:rPr>
            </w:pPr>
            <w:r>
              <w:rPr>
                <w:rFonts w:ascii="Times New Roman" w:hAnsi="Times New Roman"/>
                <w:sz w:val="21"/>
              </w:rPr>
              <w:t>S1</w:t>
            </w:r>
          </w:p>
        </w:tc>
        <w:tc>
          <w:tcPr>
            <w:tcW w:w="7443" w:type="dxa"/>
            <w:vAlign w:val="center"/>
          </w:tcPr>
          <w:p w14:paraId="7995D14C">
            <w:pPr>
              <w:pStyle w:val="171"/>
              <w:rPr>
                <w:rFonts w:ascii="Times New Roman" w:hAnsi="Times New Roman"/>
                <w:sz w:val="21"/>
              </w:rPr>
            </w:pPr>
            <w:r>
              <w:rPr>
                <w:rFonts w:ascii="Times New Roman" w:hAnsi="Times New Roman"/>
                <w:sz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304E114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3" w:type="dxa"/>
            <w:vAlign w:val="center"/>
          </w:tcPr>
          <w:p w14:paraId="11DBF66B">
            <w:pPr>
              <w:pStyle w:val="171"/>
              <w:jc w:val="center"/>
              <w:rPr>
                <w:rFonts w:ascii="Times New Roman" w:hAnsi="Times New Roman"/>
                <w:sz w:val="21"/>
              </w:rPr>
            </w:pPr>
            <w:r>
              <w:rPr>
                <w:rFonts w:ascii="Times New Roman" w:hAnsi="Times New Roman"/>
                <w:sz w:val="21"/>
              </w:rPr>
              <w:t>S2</w:t>
            </w:r>
          </w:p>
        </w:tc>
        <w:tc>
          <w:tcPr>
            <w:tcW w:w="7443" w:type="dxa"/>
            <w:vAlign w:val="center"/>
          </w:tcPr>
          <w:p w14:paraId="3E8931F3">
            <w:pPr>
              <w:pStyle w:val="171"/>
              <w:rPr>
                <w:rFonts w:ascii="Times New Roman" w:hAnsi="Times New Roman"/>
                <w:sz w:val="21"/>
              </w:rPr>
            </w:pPr>
            <w:r>
              <w:rPr>
                <w:rFonts w:ascii="Times New Roman" w:hAnsi="Times New Roman"/>
                <w:sz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4F65A19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3" w:type="dxa"/>
            <w:vAlign w:val="center"/>
          </w:tcPr>
          <w:p w14:paraId="3DF93D50">
            <w:pPr>
              <w:pStyle w:val="171"/>
              <w:jc w:val="center"/>
              <w:rPr>
                <w:rFonts w:ascii="Times New Roman" w:hAnsi="Times New Roman"/>
                <w:sz w:val="21"/>
              </w:rPr>
            </w:pPr>
            <w:r>
              <w:rPr>
                <w:rFonts w:ascii="Times New Roman" w:hAnsi="Times New Roman"/>
                <w:sz w:val="21"/>
              </w:rPr>
              <w:t>S3</w:t>
            </w:r>
          </w:p>
        </w:tc>
        <w:tc>
          <w:tcPr>
            <w:tcW w:w="7443" w:type="dxa"/>
            <w:vAlign w:val="center"/>
          </w:tcPr>
          <w:p w14:paraId="1DB1F736">
            <w:pPr>
              <w:pStyle w:val="171"/>
              <w:rPr>
                <w:rFonts w:ascii="Times New Roman" w:hAnsi="Times New Roman"/>
                <w:sz w:val="21"/>
              </w:rPr>
            </w:pPr>
            <w:r>
              <w:rPr>
                <w:rFonts w:ascii="Times New Roman" w:hAnsi="Times New Roman"/>
                <w:sz w:val="21"/>
              </w:rPr>
              <w:t>排放点下游（顺水流向）10km范围、近岸海域一个潮周期水质点可能达到的最大水平距离的两倍范围内无上述类型1和类型2包括的敏感保护目标。</w:t>
            </w:r>
          </w:p>
        </w:tc>
      </w:tr>
    </w:tbl>
    <w:p w14:paraId="08F508EF">
      <w:pPr>
        <w:pStyle w:val="2"/>
        <w:spacing w:after="0"/>
        <w:ind w:firstLine="480"/>
      </w:pPr>
      <w:r>
        <w:rPr>
          <w:rFonts w:hint="eastAsia"/>
        </w:rPr>
        <w:t>本项目废水经厂区污水处理站处理达标后排入唐庄污水处理厂，最终排入共产主义渠，不直接进入地表水体；项目厂址不在城市、县级、乡镇集中式地表水饮用水源地保护区、农村及分散式地表水饮用水水源保护区范围内；则项目地表水功能敏感性属于低敏感F3。</w:t>
      </w:r>
    </w:p>
    <w:p w14:paraId="3B645B97">
      <w:pPr>
        <w:pStyle w:val="2"/>
        <w:spacing w:after="0"/>
        <w:ind w:firstLine="480"/>
      </w:pPr>
      <w:r>
        <w:rPr>
          <w:rFonts w:hint="eastAsia"/>
        </w:rPr>
        <w:t>根据分析，本次工程发生事故时，关闭排放口阀门，停止废水处理；打开事故储池阀门，将事故废水经厂内收集后汇聚于事故储池暂存，事故得到控制后，建设单位委托有资质的检测单位对事故废水进行水质检测，然后根据检测结果采取相应的处理措施进行妥善处理，而不是直接外排水体，所以不存在泄漏到内陆水体的排放点下游（顺水流向）10km范围内。根据环境敏感目标分级表，本项目属于环境敏感目标分级表中的S3。</w:t>
      </w:r>
    </w:p>
    <w:p w14:paraId="141A947D">
      <w:pPr>
        <w:pStyle w:val="2"/>
        <w:spacing w:after="0"/>
        <w:ind w:firstLine="480"/>
      </w:pPr>
      <w:r>
        <w:rPr>
          <w:rFonts w:hint="eastAsia"/>
        </w:rPr>
        <w:t>根据表2.4-14地表水环境敏感程度分级，本项目地表水环境属于环境低度敏感区E3。</w:t>
      </w:r>
    </w:p>
    <w:p w14:paraId="5ABF30B6">
      <w:pPr>
        <w:pStyle w:val="2"/>
        <w:spacing w:after="0"/>
        <w:ind w:firstLine="480"/>
      </w:pPr>
      <w:r>
        <w:rPr>
          <w:rFonts w:hint="eastAsia"/>
        </w:rPr>
        <w:t>（3）地下水环境等级E划分</w:t>
      </w:r>
    </w:p>
    <w:p w14:paraId="73BCA3E2">
      <w:pPr>
        <w:pStyle w:val="2"/>
        <w:spacing w:after="0"/>
        <w:ind w:firstLine="480"/>
      </w:pPr>
      <w:r>
        <w:rPr>
          <w:rFonts w:hint="eastAsia"/>
        </w:rPr>
        <w:t>依据地下水功能敏感性与包气带防污性能，共分为三种类型，E1为环境高度敏感区，E2为环境中度敏感区，E3为环境低度敏感区，分级原则见表2.4-17。其中地下水功能敏感性分区和包气带防污性能分级分别见表2.4-18和表2.4-19。当同一建设项目涉及两个G分区或D分级及以上时，取相对高值。</w:t>
      </w:r>
    </w:p>
    <w:p w14:paraId="26E81947">
      <w:pPr>
        <w:pStyle w:val="64"/>
        <w:numPr>
          <w:ilvl w:val="0"/>
          <w:numId w:val="5"/>
        </w:numPr>
        <w:spacing w:before="161"/>
        <w:ind w:left="924" w:hanging="442" w:firstLineChars="0"/>
      </w:pPr>
      <w:r>
        <w:rPr>
          <w:rFonts w:hint="eastAsia"/>
        </w:rPr>
        <w:t xml:space="preserve">          </w:t>
      </w:r>
      <w:r>
        <w:t>地下水环境敏感程度分级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2188"/>
        <w:gridCol w:w="2188"/>
        <w:gridCol w:w="2188"/>
        <w:gridCol w:w="2188"/>
      </w:tblGrid>
      <w:tr w14:paraId="4F7130D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2185" w:type="dxa"/>
            <w:vMerge w:val="restart"/>
            <w:shd w:val="clear" w:color="auto" w:fill="auto"/>
            <w:vAlign w:val="center"/>
          </w:tcPr>
          <w:p w14:paraId="311E7C28">
            <w:pPr>
              <w:spacing w:line="240" w:lineRule="auto"/>
              <w:ind w:firstLine="0" w:firstLineChars="0"/>
              <w:jc w:val="center"/>
              <w:rPr>
                <w:b/>
                <w:sz w:val="21"/>
                <w:szCs w:val="21"/>
              </w:rPr>
            </w:pPr>
            <w:r>
              <w:rPr>
                <w:b/>
                <w:sz w:val="21"/>
                <w:szCs w:val="21"/>
              </w:rPr>
              <w:t>包气带防污性能</w:t>
            </w:r>
          </w:p>
        </w:tc>
        <w:tc>
          <w:tcPr>
            <w:tcW w:w="6555" w:type="dxa"/>
            <w:gridSpan w:val="3"/>
            <w:shd w:val="clear" w:color="auto" w:fill="auto"/>
            <w:vAlign w:val="center"/>
          </w:tcPr>
          <w:p w14:paraId="798DC951">
            <w:pPr>
              <w:spacing w:line="240" w:lineRule="auto"/>
              <w:ind w:firstLine="0" w:firstLineChars="0"/>
              <w:jc w:val="center"/>
              <w:rPr>
                <w:b/>
                <w:sz w:val="21"/>
                <w:szCs w:val="21"/>
              </w:rPr>
            </w:pPr>
            <w:r>
              <w:rPr>
                <w:b/>
                <w:sz w:val="21"/>
                <w:szCs w:val="21"/>
              </w:rPr>
              <w:t>地下水功能敏感性</w:t>
            </w:r>
          </w:p>
        </w:tc>
      </w:tr>
      <w:tr w14:paraId="23F4652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2185" w:type="dxa"/>
            <w:vMerge w:val="continue"/>
            <w:shd w:val="clear" w:color="auto" w:fill="auto"/>
            <w:vAlign w:val="center"/>
          </w:tcPr>
          <w:p w14:paraId="446CAC02">
            <w:pPr>
              <w:spacing w:line="240" w:lineRule="auto"/>
              <w:ind w:firstLine="0" w:firstLineChars="0"/>
              <w:jc w:val="center"/>
              <w:rPr>
                <w:b/>
                <w:sz w:val="21"/>
                <w:szCs w:val="21"/>
              </w:rPr>
            </w:pPr>
          </w:p>
        </w:tc>
        <w:tc>
          <w:tcPr>
            <w:tcW w:w="2185" w:type="dxa"/>
            <w:shd w:val="clear" w:color="auto" w:fill="auto"/>
            <w:vAlign w:val="center"/>
          </w:tcPr>
          <w:p w14:paraId="180FB021">
            <w:pPr>
              <w:spacing w:line="240" w:lineRule="auto"/>
              <w:ind w:firstLine="0" w:firstLineChars="0"/>
              <w:jc w:val="center"/>
              <w:rPr>
                <w:b/>
                <w:sz w:val="21"/>
                <w:szCs w:val="21"/>
              </w:rPr>
            </w:pPr>
            <w:r>
              <w:rPr>
                <w:b/>
                <w:sz w:val="21"/>
                <w:szCs w:val="21"/>
              </w:rPr>
              <w:t>G1</w:t>
            </w:r>
          </w:p>
        </w:tc>
        <w:tc>
          <w:tcPr>
            <w:tcW w:w="2185" w:type="dxa"/>
            <w:shd w:val="clear" w:color="auto" w:fill="auto"/>
            <w:vAlign w:val="center"/>
          </w:tcPr>
          <w:p w14:paraId="2CE4AEF1">
            <w:pPr>
              <w:spacing w:line="240" w:lineRule="auto"/>
              <w:ind w:firstLine="0" w:firstLineChars="0"/>
              <w:jc w:val="center"/>
              <w:rPr>
                <w:b/>
                <w:sz w:val="21"/>
                <w:szCs w:val="21"/>
              </w:rPr>
            </w:pPr>
            <w:r>
              <w:rPr>
                <w:b/>
                <w:sz w:val="21"/>
                <w:szCs w:val="21"/>
              </w:rPr>
              <w:t>G2</w:t>
            </w:r>
          </w:p>
        </w:tc>
        <w:tc>
          <w:tcPr>
            <w:tcW w:w="2185" w:type="dxa"/>
            <w:shd w:val="clear" w:color="auto" w:fill="auto"/>
            <w:vAlign w:val="center"/>
          </w:tcPr>
          <w:p w14:paraId="5C181BEE">
            <w:pPr>
              <w:spacing w:line="240" w:lineRule="auto"/>
              <w:ind w:firstLine="0" w:firstLineChars="0"/>
              <w:jc w:val="center"/>
              <w:rPr>
                <w:b/>
                <w:sz w:val="21"/>
                <w:szCs w:val="21"/>
              </w:rPr>
            </w:pPr>
            <w:r>
              <w:rPr>
                <w:b/>
                <w:sz w:val="21"/>
                <w:szCs w:val="21"/>
              </w:rPr>
              <w:t>G3</w:t>
            </w:r>
          </w:p>
        </w:tc>
      </w:tr>
      <w:tr w14:paraId="7C683CE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185" w:type="dxa"/>
            <w:shd w:val="clear" w:color="auto" w:fill="auto"/>
            <w:vAlign w:val="center"/>
          </w:tcPr>
          <w:p w14:paraId="71D8A3DD">
            <w:pPr>
              <w:spacing w:line="240" w:lineRule="auto"/>
              <w:ind w:firstLine="0" w:firstLineChars="0"/>
              <w:jc w:val="center"/>
              <w:rPr>
                <w:sz w:val="21"/>
                <w:szCs w:val="21"/>
              </w:rPr>
            </w:pPr>
            <w:r>
              <w:rPr>
                <w:sz w:val="21"/>
                <w:szCs w:val="21"/>
              </w:rPr>
              <w:t>D1</w:t>
            </w:r>
          </w:p>
        </w:tc>
        <w:tc>
          <w:tcPr>
            <w:tcW w:w="2185" w:type="dxa"/>
            <w:shd w:val="clear" w:color="auto" w:fill="auto"/>
            <w:vAlign w:val="center"/>
          </w:tcPr>
          <w:p w14:paraId="1F133F50">
            <w:pPr>
              <w:spacing w:line="240" w:lineRule="auto"/>
              <w:ind w:firstLine="0" w:firstLineChars="0"/>
              <w:jc w:val="center"/>
              <w:rPr>
                <w:sz w:val="21"/>
                <w:szCs w:val="21"/>
              </w:rPr>
            </w:pPr>
            <w:r>
              <w:rPr>
                <w:sz w:val="21"/>
                <w:szCs w:val="21"/>
              </w:rPr>
              <w:t>E1</w:t>
            </w:r>
          </w:p>
        </w:tc>
        <w:tc>
          <w:tcPr>
            <w:tcW w:w="2185" w:type="dxa"/>
            <w:shd w:val="clear" w:color="auto" w:fill="auto"/>
            <w:vAlign w:val="center"/>
          </w:tcPr>
          <w:p w14:paraId="40709470">
            <w:pPr>
              <w:spacing w:line="240" w:lineRule="auto"/>
              <w:ind w:firstLine="0" w:firstLineChars="0"/>
              <w:jc w:val="center"/>
              <w:rPr>
                <w:sz w:val="21"/>
                <w:szCs w:val="21"/>
              </w:rPr>
            </w:pPr>
            <w:r>
              <w:rPr>
                <w:sz w:val="21"/>
                <w:szCs w:val="21"/>
              </w:rPr>
              <w:t>E1</w:t>
            </w:r>
          </w:p>
        </w:tc>
        <w:tc>
          <w:tcPr>
            <w:tcW w:w="2185" w:type="dxa"/>
            <w:shd w:val="clear" w:color="auto" w:fill="auto"/>
            <w:vAlign w:val="center"/>
          </w:tcPr>
          <w:p w14:paraId="39FB6541">
            <w:pPr>
              <w:spacing w:line="240" w:lineRule="auto"/>
              <w:ind w:firstLine="0" w:firstLineChars="0"/>
              <w:jc w:val="center"/>
              <w:rPr>
                <w:sz w:val="21"/>
                <w:szCs w:val="21"/>
              </w:rPr>
            </w:pPr>
            <w:r>
              <w:rPr>
                <w:sz w:val="21"/>
                <w:szCs w:val="21"/>
              </w:rPr>
              <w:t>E2</w:t>
            </w:r>
          </w:p>
        </w:tc>
      </w:tr>
      <w:tr w14:paraId="4475B88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185" w:type="dxa"/>
            <w:shd w:val="clear" w:color="auto" w:fill="auto"/>
            <w:vAlign w:val="center"/>
          </w:tcPr>
          <w:p w14:paraId="45F5AFBB">
            <w:pPr>
              <w:spacing w:line="240" w:lineRule="auto"/>
              <w:ind w:firstLine="0" w:firstLineChars="0"/>
              <w:jc w:val="center"/>
              <w:rPr>
                <w:sz w:val="21"/>
                <w:szCs w:val="21"/>
              </w:rPr>
            </w:pPr>
            <w:r>
              <w:rPr>
                <w:sz w:val="21"/>
                <w:szCs w:val="21"/>
              </w:rPr>
              <w:t>D2</w:t>
            </w:r>
          </w:p>
        </w:tc>
        <w:tc>
          <w:tcPr>
            <w:tcW w:w="2185" w:type="dxa"/>
            <w:shd w:val="clear" w:color="auto" w:fill="auto"/>
            <w:vAlign w:val="center"/>
          </w:tcPr>
          <w:p w14:paraId="7D6360C9">
            <w:pPr>
              <w:spacing w:line="240" w:lineRule="auto"/>
              <w:ind w:firstLine="0" w:firstLineChars="0"/>
              <w:jc w:val="center"/>
              <w:rPr>
                <w:sz w:val="21"/>
                <w:szCs w:val="21"/>
              </w:rPr>
            </w:pPr>
            <w:r>
              <w:rPr>
                <w:sz w:val="21"/>
                <w:szCs w:val="21"/>
              </w:rPr>
              <w:t>E1</w:t>
            </w:r>
          </w:p>
        </w:tc>
        <w:tc>
          <w:tcPr>
            <w:tcW w:w="2185" w:type="dxa"/>
            <w:shd w:val="clear" w:color="auto" w:fill="auto"/>
            <w:vAlign w:val="center"/>
          </w:tcPr>
          <w:p w14:paraId="688506A3">
            <w:pPr>
              <w:spacing w:line="240" w:lineRule="auto"/>
              <w:ind w:firstLine="0" w:firstLineChars="0"/>
              <w:jc w:val="center"/>
              <w:rPr>
                <w:sz w:val="21"/>
                <w:szCs w:val="21"/>
              </w:rPr>
            </w:pPr>
            <w:r>
              <w:rPr>
                <w:sz w:val="21"/>
                <w:szCs w:val="21"/>
              </w:rPr>
              <w:t>E2</w:t>
            </w:r>
          </w:p>
        </w:tc>
        <w:tc>
          <w:tcPr>
            <w:tcW w:w="2185" w:type="dxa"/>
            <w:shd w:val="clear" w:color="auto" w:fill="F7C890" w:themeFill="accent2" w:themeFillTint="99"/>
            <w:vAlign w:val="center"/>
          </w:tcPr>
          <w:p w14:paraId="525C92BA">
            <w:pPr>
              <w:spacing w:line="240" w:lineRule="auto"/>
              <w:ind w:firstLine="0" w:firstLineChars="0"/>
              <w:jc w:val="center"/>
              <w:rPr>
                <w:sz w:val="21"/>
                <w:szCs w:val="21"/>
              </w:rPr>
            </w:pPr>
            <w:r>
              <w:rPr>
                <w:sz w:val="21"/>
                <w:szCs w:val="21"/>
              </w:rPr>
              <w:t>E3</w:t>
            </w:r>
          </w:p>
        </w:tc>
      </w:tr>
      <w:tr w14:paraId="325513C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185" w:type="dxa"/>
            <w:shd w:val="clear" w:color="auto" w:fill="auto"/>
            <w:vAlign w:val="center"/>
          </w:tcPr>
          <w:p w14:paraId="73359791">
            <w:pPr>
              <w:spacing w:line="240" w:lineRule="auto"/>
              <w:ind w:firstLine="0" w:firstLineChars="0"/>
              <w:jc w:val="center"/>
              <w:rPr>
                <w:sz w:val="21"/>
                <w:szCs w:val="21"/>
              </w:rPr>
            </w:pPr>
            <w:r>
              <w:rPr>
                <w:sz w:val="21"/>
                <w:szCs w:val="21"/>
              </w:rPr>
              <w:t>D3</w:t>
            </w:r>
          </w:p>
        </w:tc>
        <w:tc>
          <w:tcPr>
            <w:tcW w:w="2185" w:type="dxa"/>
            <w:shd w:val="clear" w:color="auto" w:fill="auto"/>
            <w:vAlign w:val="center"/>
          </w:tcPr>
          <w:p w14:paraId="6A04852B">
            <w:pPr>
              <w:spacing w:line="240" w:lineRule="auto"/>
              <w:ind w:firstLine="0" w:firstLineChars="0"/>
              <w:jc w:val="center"/>
              <w:rPr>
                <w:sz w:val="21"/>
                <w:szCs w:val="21"/>
              </w:rPr>
            </w:pPr>
            <w:r>
              <w:rPr>
                <w:sz w:val="21"/>
                <w:szCs w:val="21"/>
              </w:rPr>
              <w:t>E2</w:t>
            </w:r>
          </w:p>
        </w:tc>
        <w:tc>
          <w:tcPr>
            <w:tcW w:w="2185" w:type="dxa"/>
            <w:shd w:val="clear" w:color="auto" w:fill="auto"/>
            <w:vAlign w:val="center"/>
          </w:tcPr>
          <w:p w14:paraId="4A75A740">
            <w:pPr>
              <w:spacing w:line="240" w:lineRule="auto"/>
              <w:ind w:firstLine="0" w:firstLineChars="0"/>
              <w:jc w:val="center"/>
              <w:rPr>
                <w:sz w:val="21"/>
                <w:szCs w:val="21"/>
              </w:rPr>
            </w:pPr>
            <w:r>
              <w:rPr>
                <w:sz w:val="21"/>
                <w:szCs w:val="21"/>
              </w:rPr>
              <w:t>E2</w:t>
            </w:r>
          </w:p>
        </w:tc>
        <w:tc>
          <w:tcPr>
            <w:tcW w:w="2185" w:type="dxa"/>
            <w:shd w:val="clear" w:color="auto" w:fill="auto"/>
            <w:vAlign w:val="center"/>
          </w:tcPr>
          <w:p w14:paraId="1E9E19EB">
            <w:pPr>
              <w:spacing w:line="240" w:lineRule="auto"/>
              <w:ind w:firstLine="0" w:firstLineChars="0"/>
              <w:jc w:val="center"/>
              <w:rPr>
                <w:sz w:val="21"/>
                <w:szCs w:val="21"/>
              </w:rPr>
            </w:pPr>
            <w:r>
              <w:rPr>
                <w:sz w:val="21"/>
                <w:szCs w:val="21"/>
              </w:rPr>
              <w:t>E3</w:t>
            </w:r>
          </w:p>
        </w:tc>
      </w:tr>
    </w:tbl>
    <w:p w14:paraId="04E4971B">
      <w:pPr>
        <w:pStyle w:val="64"/>
        <w:numPr>
          <w:ilvl w:val="0"/>
          <w:numId w:val="5"/>
        </w:numPr>
        <w:spacing w:before="161"/>
        <w:ind w:left="924" w:hanging="442" w:firstLineChars="0"/>
      </w:pPr>
      <w:r>
        <w:rPr>
          <w:rFonts w:hint="eastAsia"/>
        </w:rPr>
        <w:t xml:space="preserve">            </w:t>
      </w:r>
      <w:r>
        <w:t>地下水功能敏感性分区</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1339"/>
        <w:gridCol w:w="7413"/>
      </w:tblGrid>
      <w:tr w14:paraId="0D69460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1272" w:type="dxa"/>
            <w:vAlign w:val="center"/>
          </w:tcPr>
          <w:p w14:paraId="5085AA2B">
            <w:pPr>
              <w:pStyle w:val="171"/>
              <w:jc w:val="center"/>
              <w:rPr>
                <w:rFonts w:ascii="Times New Roman" w:hAnsi="Times New Roman"/>
                <w:b/>
                <w:sz w:val="21"/>
              </w:rPr>
            </w:pPr>
            <w:r>
              <w:rPr>
                <w:rFonts w:ascii="Times New Roman" w:hAnsi="Times New Roman"/>
                <w:b/>
                <w:sz w:val="21"/>
              </w:rPr>
              <w:t>敏感性</w:t>
            </w:r>
          </w:p>
        </w:tc>
        <w:tc>
          <w:tcPr>
            <w:tcW w:w="7044" w:type="dxa"/>
            <w:vAlign w:val="center"/>
          </w:tcPr>
          <w:p w14:paraId="32DE18C7">
            <w:pPr>
              <w:pStyle w:val="171"/>
              <w:jc w:val="center"/>
              <w:rPr>
                <w:rFonts w:ascii="Times New Roman" w:hAnsi="Times New Roman"/>
                <w:b/>
                <w:sz w:val="21"/>
              </w:rPr>
            </w:pPr>
            <w:r>
              <w:rPr>
                <w:rFonts w:ascii="Times New Roman" w:hAnsi="Times New Roman"/>
                <w:b/>
                <w:sz w:val="21"/>
              </w:rPr>
              <w:t>地下水环境敏感特征</w:t>
            </w:r>
          </w:p>
        </w:tc>
      </w:tr>
      <w:tr w14:paraId="61A6CEC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2" w:type="dxa"/>
            <w:vAlign w:val="center"/>
          </w:tcPr>
          <w:p w14:paraId="1AAFB204">
            <w:pPr>
              <w:pStyle w:val="171"/>
              <w:jc w:val="center"/>
              <w:rPr>
                <w:rFonts w:ascii="Times New Roman" w:hAnsi="Times New Roman"/>
                <w:sz w:val="21"/>
              </w:rPr>
            </w:pPr>
            <w:r>
              <w:rPr>
                <w:rFonts w:ascii="Times New Roman" w:hAnsi="Times New Roman"/>
                <w:sz w:val="21"/>
              </w:rPr>
              <w:t>敏感G1</w:t>
            </w:r>
          </w:p>
        </w:tc>
        <w:tc>
          <w:tcPr>
            <w:tcW w:w="7044" w:type="dxa"/>
            <w:vAlign w:val="center"/>
          </w:tcPr>
          <w:p w14:paraId="614CFD85">
            <w:pPr>
              <w:pStyle w:val="171"/>
              <w:jc w:val="center"/>
              <w:rPr>
                <w:rFonts w:ascii="Times New Roman" w:hAnsi="Times New Roman"/>
                <w:sz w:val="21"/>
              </w:rPr>
            </w:pPr>
            <w:r>
              <w:rPr>
                <w:rFonts w:ascii="Times New Roman" w:hAnsi="Times New Roman"/>
                <w:sz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738DB17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2" w:type="dxa"/>
            <w:vAlign w:val="center"/>
          </w:tcPr>
          <w:p w14:paraId="57568A1E">
            <w:pPr>
              <w:pStyle w:val="171"/>
              <w:jc w:val="center"/>
              <w:rPr>
                <w:rFonts w:ascii="Times New Roman" w:hAnsi="Times New Roman"/>
                <w:sz w:val="21"/>
              </w:rPr>
            </w:pPr>
            <w:r>
              <w:rPr>
                <w:rFonts w:ascii="Times New Roman" w:hAnsi="Times New Roman"/>
                <w:sz w:val="21"/>
              </w:rPr>
              <w:t>较敏感G2</w:t>
            </w:r>
          </w:p>
        </w:tc>
        <w:tc>
          <w:tcPr>
            <w:tcW w:w="7044" w:type="dxa"/>
            <w:vAlign w:val="center"/>
          </w:tcPr>
          <w:p w14:paraId="2DFD9018">
            <w:pPr>
              <w:pStyle w:val="171"/>
              <w:jc w:val="center"/>
              <w:rPr>
                <w:rFonts w:ascii="Times New Roman" w:hAnsi="Times New Roman"/>
                <w:sz w:val="21"/>
              </w:rPr>
            </w:pPr>
            <w:r>
              <w:rPr>
                <w:rFonts w:ascii="Times New Roman" w:hAnsi="Times New Roman"/>
                <w:sz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r>
      <w:tr w14:paraId="77DD11E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2" w:type="dxa"/>
            <w:vAlign w:val="center"/>
          </w:tcPr>
          <w:p w14:paraId="1DDE571C">
            <w:pPr>
              <w:pStyle w:val="171"/>
              <w:jc w:val="center"/>
              <w:rPr>
                <w:rFonts w:ascii="Times New Roman" w:hAnsi="Times New Roman"/>
                <w:sz w:val="21"/>
              </w:rPr>
            </w:pPr>
            <w:r>
              <w:rPr>
                <w:rFonts w:ascii="Times New Roman" w:hAnsi="Times New Roman"/>
                <w:sz w:val="21"/>
              </w:rPr>
              <w:t>不敏感G3</w:t>
            </w:r>
          </w:p>
        </w:tc>
        <w:tc>
          <w:tcPr>
            <w:tcW w:w="7044" w:type="dxa"/>
            <w:vAlign w:val="center"/>
          </w:tcPr>
          <w:p w14:paraId="75C0933A">
            <w:pPr>
              <w:pStyle w:val="171"/>
              <w:jc w:val="center"/>
              <w:rPr>
                <w:rFonts w:ascii="Times New Roman" w:hAnsi="Times New Roman"/>
                <w:sz w:val="21"/>
              </w:rPr>
            </w:pPr>
            <w:r>
              <w:rPr>
                <w:rFonts w:ascii="Times New Roman" w:hAnsi="Times New Roman"/>
                <w:sz w:val="21"/>
              </w:rPr>
              <w:t>上述地区之外的其他地区。</w:t>
            </w:r>
          </w:p>
        </w:tc>
      </w:tr>
      <w:tr w14:paraId="0A36E0F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16" w:type="dxa"/>
            <w:gridSpan w:val="2"/>
            <w:vAlign w:val="center"/>
          </w:tcPr>
          <w:p w14:paraId="7704B23E">
            <w:pPr>
              <w:pStyle w:val="171"/>
              <w:jc w:val="center"/>
              <w:rPr>
                <w:rFonts w:ascii="Times New Roman" w:hAnsi="Times New Roman"/>
                <w:sz w:val="21"/>
              </w:rPr>
            </w:pPr>
            <w:r>
              <w:rPr>
                <w:rFonts w:ascii="Times New Roman" w:hAnsi="Times New Roman"/>
                <w:sz w:val="21"/>
              </w:rPr>
              <w:t>a “环境敏感区”是指《建设项目环境影响评价分类管理名录》中所界定的涉及地下水的环境敏感区</w:t>
            </w:r>
          </w:p>
        </w:tc>
      </w:tr>
    </w:tbl>
    <w:p w14:paraId="76607775">
      <w:pPr>
        <w:pStyle w:val="64"/>
        <w:numPr>
          <w:ilvl w:val="0"/>
          <w:numId w:val="5"/>
        </w:numPr>
        <w:spacing w:before="161"/>
        <w:ind w:left="924" w:hanging="442" w:firstLineChars="0"/>
      </w:pPr>
      <w:r>
        <w:rPr>
          <w:rFonts w:hint="eastAsia"/>
        </w:rPr>
        <w:t xml:space="preserve">             包气带防污性能分级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1324"/>
        <w:gridCol w:w="7428"/>
      </w:tblGrid>
      <w:tr w14:paraId="255CE72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1255" w:type="dxa"/>
            <w:vAlign w:val="center"/>
          </w:tcPr>
          <w:p w14:paraId="6DD3B1A5">
            <w:pPr>
              <w:pStyle w:val="171"/>
              <w:jc w:val="center"/>
              <w:rPr>
                <w:rFonts w:ascii="Times New Roman" w:hAnsi="Times New Roman"/>
                <w:b/>
                <w:bCs/>
                <w:sz w:val="21"/>
              </w:rPr>
            </w:pPr>
            <w:r>
              <w:rPr>
                <w:rFonts w:ascii="Times New Roman" w:hAnsi="Times New Roman"/>
                <w:b/>
                <w:bCs/>
                <w:sz w:val="21"/>
              </w:rPr>
              <w:t>分级</w:t>
            </w:r>
          </w:p>
        </w:tc>
        <w:tc>
          <w:tcPr>
            <w:tcW w:w="7041" w:type="dxa"/>
            <w:vAlign w:val="center"/>
          </w:tcPr>
          <w:p w14:paraId="6D5307BE">
            <w:pPr>
              <w:pStyle w:val="171"/>
              <w:jc w:val="center"/>
              <w:rPr>
                <w:rFonts w:ascii="Times New Roman" w:hAnsi="Times New Roman"/>
                <w:b/>
                <w:bCs/>
                <w:sz w:val="21"/>
              </w:rPr>
            </w:pPr>
            <w:r>
              <w:rPr>
                <w:rFonts w:ascii="Times New Roman" w:hAnsi="Times New Roman"/>
                <w:b/>
                <w:bCs/>
                <w:sz w:val="21"/>
              </w:rPr>
              <w:t>包气带岩土的渗透性能</w:t>
            </w:r>
          </w:p>
        </w:tc>
      </w:tr>
      <w:tr w14:paraId="5EB67C1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5" w:type="dxa"/>
            <w:vAlign w:val="center"/>
          </w:tcPr>
          <w:p w14:paraId="781CA8FE">
            <w:pPr>
              <w:pStyle w:val="171"/>
              <w:jc w:val="center"/>
              <w:rPr>
                <w:rFonts w:ascii="Times New Roman" w:hAnsi="Times New Roman"/>
                <w:sz w:val="21"/>
              </w:rPr>
            </w:pPr>
            <w:r>
              <w:rPr>
                <w:rFonts w:ascii="Times New Roman" w:hAnsi="Times New Roman"/>
                <w:sz w:val="21"/>
              </w:rPr>
              <w:t>D3</w:t>
            </w:r>
          </w:p>
        </w:tc>
        <w:tc>
          <w:tcPr>
            <w:tcW w:w="7041" w:type="dxa"/>
            <w:vAlign w:val="center"/>
          </w:tcPr>
          <w:p w14:paraId="7E8C12B4">
            <w:pPr>
              <w:pStyle w:val="171"/>
              <w:jc w:val="center"/>
              <w:rPr>
                <w:rFonts w:ascii="Times New Roman" w:hAnsi="Times New Roman"/>
                <w:sz w:val="21"/>
              </w:rPr>
            </w:pPr>
            <w:r>
              <w:rPr>
                <w:rFonts w:ascii="Times New Roman" w:hAnsi="Times New Roman"/>
                <w:sz w:val="21"/>
              </w:rPr>
              <w:t>Mb≥1.0m，K≤1.0×10</w:t>
            </w:r>
            <w:r>
              <w:rPr>
                <w:rFonts w:ascii="Times New Roman" w:hAnsi="Times New Roman"/>
                <w:sz w:val="21"/>
                <w:vertAlign w:val="superscript"/>
              </w:rPr>
              <w:t>-6</w:t>
            </w:r>
            <w:r>
              <w:rPr>
                <w:rFonts w:ascii="Times New Roman" w:hAnsi="Times New Roman"/>
                <w:sz w:val="21"/>
              </w:rPr>
              <w:t>cm/s，且分布连续、稳定</w:t>
            </w:r>
          </w:p>
        </w:tc>
      </w:tr>
      <w:tr w14:paraId="4DC0151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5" w:type="dxa"/>
            <w:vAlign w:val="center"/>
          </w:tcPr>
          <w:p w14:paraId="19C3BCE7">
            <w:pPr>
              <w:pStyle w:val="171"/>
              <w:jc w:val="center"/>
              <w:rPr>
                <w:rFonts w:ascii="Times New Roman" w:hAnsi="Times New Roman"/>
                <w:sz w:val="21"/>
              </w:rPr>
            </w:pPr>
            <w:r>
              <w:rPr>
                <w:rFonts w:ascii="Times New Roman" w:hAnsi="Times New Roman"/>
                <w:sz w:val="21"/>
              </w:rPr>
              <w:t>D2</w:t>
            </w:r>
          </w:p>
        </w:tc>
        <w:tc>
          <w:tcPr>
            <w:tcW w:w="7041" w:type="dxa"/>
            <w:vAlign w:val="center"/>
          </w:tcPr>
          <w:p w14:paraId="05329A07">
            <w:pPr>
              <w:pStyle w:val="171"/>
              <w:jc w:val="center"/>
              <w:rPr>
                <w:rFonts w:ascii="Times New Roman" w:hAnsi="Times New Roman"/>
                <w:sz w:val="21"/>
              </w:rPr>
            </w:pPr>
            <w:r>
              <w:rPr>
                <w:rFonts w:ascii="Times New Roman" w:hAnsi="Times New Roman"/>
                <w:sz w:val="21"/>
              </w:rPr>
              <w:t>0.5m≤Mb&lt;1.0m，K≤1.0×10</w:t>
            </w:r>
            <w:r>
              <w:rPr>
                <w:rFonts w:ascii="Times New Roman" w:hAnsi="Times New Roman"/>
                <w:sz w:val="21"/>
                <w:vertAlign w:val="superscript"/>
              </w:rPr>
              <w:t>-6</w:t>
            </w:r>
            <w:r>
              <w:rPr>
                <w:rFonts w:ascii="Times New Roman" w:hAnsi="Times New Roman"/>
                <w:sz w:val="21"/>
              </w:rPr>
              <w:t>cm/s，且分布连续、稳定</w:t>
            </w:r>
          </w:p>
          <w:p w14:paraId="014BA330">
            <w:pPr>
              <w:pStyle w:val="171"/>
              <w:jc w:val="center"/>
              <w:rPr>
                <w:rFonts w:ascii="Times New Roman" w:hAnsi="Times New Roman"/>
                <w:sz w:val="21"/>
              </w:rPr>
            </w:pPr>
            <w:r>
              <w:rPr>
                <w:rFonts w:ascii="Times New Roman" w:hAnsi="Times New Roman"/>
                <w:sz w:val="21"/>
              </w:rPr>
              <w:t>Mb≥1.0m，1.0×10</w:t>
            </w:r>
            <w:r>
              <w:rPr>
                <w:rFonts w:ascii="Times New Roman" w:hAnsi="Times New Roman"/>
                <w:sz w:val="21"/>
                <w:vertAlign w:val="superscript"/>
              </w:rPr>
              <w:t>-6</w:t>
            </w:r>
            <w:r>
              <w:rPr>
                <w:rFonts w:ascii="Times New Roman" w:hAnsi="Times New Roman"/>
                <w:sz w:val="21"/>
              </w:rPr>
              <w:t>cm/s＜K≤1.0×10</w:t>
            </w:r>
            <w:r>
              <w:rPr>
                <w:rFonts w:ascii="Times New Roman" w:hAnsi="Times New Roman"/>
                <w:sz w:val="21"/>
                <w:vertAlign w:val="superscript"/>
              </w:rPr>
              <w:t>-4</w:t>
            </w:r>
            <w:r>
              <w:rPr>
                <w:rFonts w:ascii="Times New Roman" w:hAnsi="Times New Roman"/>
                <w:sz w:val="21"/>
              </w:rPr>
              <w:t>cm/s，且分布连续、稳定</w:t>
            </w:r>
          </w:p>
        </w:tc>
      </w:tr>
      <w:tr w14:paraId="4031E0E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5" w:type="dxa"/>
            <w:vAlign w:val="center"/>
          </w:tcPr>
          <w:p w14:paraId="5CF61D73">
            <w:pPr>
              <w:pStyle w:val="171"/>
              <w:jc w:val="center"/>
              <w:rPr>
                <w:rFonts w:ascii="Times New Roman" w:hAnsi="Times New Roman"/>
                <w:sz w:val="21"/>
              </w:rPr>
            </w:pPr>
            <w:r>
              <w:rPr>
                <w:rFonts w:ascii="Times New Roman" w:hAnsi="Times New Roman"/>
                <w:sz w:val="21"/>
              </w:rPr>
              <w:t>D1</w:t>
            </w:r>
          </w:p>
        </w:tc>
        <w:tc>
          <w:tcPr>
            <w:tcW w:w="7041" w:type="dxa"/>
            <w:vAlign w:val="center"/>
          </w:tcPr>
          <w:p w14:paraId="68D4A103">
            <w:pPr>
              <w:pStyle w:val="171"/>
              <w:jc w:val="center"/>
              <w:rPr>
                <w:rFonts w:ascii="Times New Roman" w:hAnsi="Times New Roman"/>
                <w:sz w:val="21"/>
              </w:rPr>
            </w:pPr>
            <w:r>
              <w:rPr>
                <w:rFonts w:ascii="Times New Roman" w:hAnsi="Times New Roman"/>
                <w:sz w:val="21"/>
              </w:rPr>
              <w:t>岩（土）层不满足上述“D2”和“D3”条件</w:t>
            </w:r>
          </w:p>
        </w:tc>
      </w:tr>
      <w:tr w14:paraId="0C03CB2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96" w:type="dxa"/>
            <w:gridSpan w:val="2"/>
            <w:vAlign w:val="center"/>
          </w:tcPr>
          <w:p w14:paraId="548EF96E">
            <w:pPr>
              <w:pStyle w:val="171"/>
              <w:jc w:val="center"/>
              <w:rPr>
                <w:rFonts w:ascii="Times New Roman" w:hAnsi="Times New Roman"/>
                <w:sz w:val="21"/>
                <w:szCs w:val="21"/>
              </w:rPr>
            </w:pPr>
            <w:r>
              <w:rPr>
                <w:rFonts w:ascii="Times New Roman" w:hAnsi="Times New Roman"/>
                <w:sz w:val="21"/>
                <w:szCs w:val="21"/>
              </w:rPr>
              <w:t>Mb：岩土层单层厚度。K：渗透系数。</w:t>
            </w:r>
          </w:p>
        </w:tc>
      </w:tr>
    </w:tbl>
    <w:p w14:paraId="08964B80">
      <w:pPr>
        <w:pStyle w:val="2"/>
        <w:spacing w:after="0"/>
        <w:ind w:firstLine="480"/>
      </w:pPr>
      <w:r>
        <w:rPr>
          <w:rFonts w:hint="eastAsia"/>
        </w:rPr>
        <w:t>根据风险导则4.5.3，本项目地下水风险的评价范围应根据《环境影响评价技术导则-地下水环境》（HJ610-2016）确定。本项目不在集中式饮用水源准保护区及以外的补给径流范围内，周围也无特殊地下水资源（如矿泉水、温泉等）保护区，所在区域不存在集中式饮用水源地及保护区，下游2km范围内也不存在分散式饮用水源，根据表2.4-18地下水功能敏感性分区中的分类，因此本项目地下水功能敏感性分区为不敏感G3。</w:t>
      </w:r>
    </w:p>
    <w:p w14:paraId="08DB324A">
      <w:pPr>
        <w:pStyle w:val="2"/>
        <w:spacing w:after="0"/>
        <w:ind w:firstLine="480"/>
        <w:rPr>
          <w:u w:val="single"/>
        </w:rPr>
      </w:pPr>
      <w:r>
        <w:rPr>
          <w:rFonts w:hint="eastAsia"/>
          <w:u w:val="single"/>
        </w:rPr>
        <w:t>本项目厂址位于卫辉市铁西专业园区内，包气带岩性与卫辉市铁西专业园区（化工）包气带岩性相同，以粉质粘土为主、局部为卵石，因此本次包气带渗透系数直接引用《卫辉市铁西专业园区（化工）总体发展规划（2022-2035年）环境影响报告书》中数据，即包气带渗透系数为1.75×10-5～1.89×10-5cm/s之间，平均值为1.82×10-5cm/s，包气带防污性能分区为D2。</w:t>
      </w:r>
    </w:p>
    <w:p w14:paraId="20F32BDE">
      <w:pPr>
        <w:ind w:firstLine="480"/>
        <w:rPr>
          <w:bCs/>
        </w:rPr>
      </w:pPr>
      <w:r>
        <w:rPr>
          <w:rFonts w:hint="eastAsia"/>
        </w:rPr>
        <w:t>根据表2.4-17地下水环境敏感程度分级，本项目地下水环境属于环境高度敏感区E3。</w:t>
      </w:r>
    </w:p>
    <w:p w14:paraId="31F82F2A">
      <w:pPr>
        <w:pStyle w:val="201"/>
        <w:ind w:left="0" w:firstLine="482"/>
      </w:pPr>
      <w:r>
        <w:rPr>
          <w:rFonts w:hint="eastAsia"/>
        </w:rPr>
        <w:t>2.4.6.5 环境风险潜势初判</w:t>
      </w:r>
    </w:p>
    <w:p w14:paraId="1D3E9320">
      <w:pPr>
        <w:ind w:firstLine="480"/>
        <w:rPr>
          <w:bCs/>
        </w:rPr>
      </w:pPr>
      <w:r>
        <w:rPr>
          <w:rFonts w:hint="eastAsia"/>
          <w:bCs/>
        </w:rPr>
        <w:t>环境风险潜势划分如下表。</w:t>
      </w:r>
    </w:p>
    <w:p w14:paraId="66CE86CA">
      <w:pPr>
        <w:pStyle w:val="64"/>
        <w:numPr>
          <w:ilvl w:val="0"/>
          <w:numId w:val="5"/>
        </w:numPr>
        <w:spacing w:before="161"/>
        <w:ind w:left="924" w:hanging="442" w:firstLineChars="0"/>
      </w:pPr>
      <w:r>
        <w:rPr>
          <w:rFonts w:hint="eastAsia"/>
        </w:rPr>
        <w:t xml:space="preserve">            项目环境风险潜势划分表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536"/>
        <w:gridCol w:w="1554"/>
        <w:gridCol w:w="1554"/>
        <w:gridCol w:w="1554"/>
        <w:gridCol w:w="1554"/>
      </w:tblGrid>
      <w:tr w14:paraId="56046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vMerge w:val="restart"/>
            <w:shd w:val="clear" w:color="auto" w:fill="auto"/>
            <w:vAlign w:val="center"/>
          </w:tcPr>
          <w:p w14:paraId="48A8266D">
            <w:pPr>
              <w:widowControl/>
              <w:spacing w:line="360" w:lineRule="exact"/>
              <w:ind w:firstLine="0" w:firstLineChars="0"/>
              <w:jc w:val="center"/>
              <w:rPr>
                <w:b/>
                <w:bCs/>
                <w:sz w:val="21"/>
                <w:szCs w:val="21"/>
                <w:u w:val="single"/>
              </w:rPr>
            </w:pPr>
            <w:r>
              <w:rPr>
                <w:b/>
                <w:bCs/>
                <w:sz w:val="21"/>
                <w:szCs w:val="21"/>
                <w:u w:val="single"/>
              </w:rPr>
              <w:t>环境敏感程度（E）</w:t>
            </w:r>
          </w:p>
        </w:tc>
        <w:tc>
          <w:tcPr>
            <w:tcW w:w="6196" w:type="dxa"/>
            <w:gridSpan w:val="4"/>
            <w:shd w:val="clear" w:color="auto" w:fill="auto"/>
            <w:vAlign w:val="center"/>
          </w:tcPr>
          <w:p w14:paraId="75D70C6B">
            <w:pPr>
              <w:widowControl/>
              <w:spacing w:line="360" w:lineRule="exact"/>
              <w:ind w:firstLine="0" w:firstLineChars="0"/>
              <w:jc w:val="center"/>
              <w:rPr>
                <w:b/>
                <w:bCs/>
                <w:sz w:val="21"/>
                <w:szCs w:val="21"/>
                <w:u w:val="single"/>
              </w:rPr>
            </w:pPr>
            <w:r>
              <w:rPr>
                <w:b/>
                <w:bCs/>
                <w:sz w:val="21"/>
                <w:szCs w:val="21"/>
                <w:u w:val="single"/>
              </w:rPr>
              <w:t>危险物质及工艺系统危险性（P）</w:t>
            </w:r>
          </w:p>
        </w:tc>
      </w:tr>
      <w:tr w14:paraId="78452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vMerge w:val="continue"/>
            <w:shd w:val="clear" w:color="auto" w:fill="auto"/>
            <w:vAlign w:val="center"/>
          </w:tcPr>
          <w:p w14:paraId="024FF419">
            <w:pPr>
              <w:widowControl/>
              <w:spacing w:line="360" w:lineRule="exact"/>
              <w:ind w:firstLine="0" w:firstLineChars="0"/>
              <w:jc w:val="center"/>
              <w:rPr>
                <w:b/>
                <w:bCs/>
                <w:sz w:val="21"/>
                <w:szCs w:val="21"/>
                <w:u w:val="single"/>
              </w:rPr>
            </w:pPr>
          </w:p>
        </w:tc>
        <w:tc>
          <w:tcPr>
            <w:tcW w:w="1549" w:type="dxa"/>
            <w:shd w:val="clear" w:color="auto" w:fill="auto"/>
            <w:noWrap/>
            <w:vAlign w:val="center"/>
          </w:tcPr>
          <w:p w14:paraId="50541715">
            <w:pPr>
              <w:widowControl/>
              <w:spacing w:line="360" w:lineRule="exact"/>
              <w:ind w:firstLine="0" w:firstLineChars="0"/>
              <w:jc w:val="center"/>
              <w:rPr>
                <w:b/>
                <w:bCs/>
                <w:sz w:val="21"/>
                <w:szCs w:val="21"/>
                <w:u w:val="single"/>
              </w:rPr>
            </w:pPr>
            <w:r>
              <w:rPr>
                <w:b/>
                <w:bCs/>
                <w:sz w:val="21"/>
                <w:szCs w:val="21"/>
                <w:u w:val="single"/>
              </w:rPr>
              <w:t>极高危害（P1）</w:t>
            </w:r>
          </w:p>
        </w:tc>
        <w:tc>
          <w:tcPr>
            <w:tcW w:w="1549" w:type="dxa"/>
            <w:shd w:val="clear" w:color="auto" w:fill="auto"/>
            <w:noWrap/>
            <w:vAlign w:val="center"/>
          </w:tcPr>
          <w:p w14:paraId="45065CB8">
            <w:pPr>
              <w:widowControl/>
              <w:spacing w:line="360" w:lineRule="exact"/>
              <w:ind w:firstLine="0" w:firstLineChars="0"/>
              <w:jc w:val="center"/>
              <w:rPr>
                <w:b/>
                <w:bCs/>
                <w:sz w:val="21"/>
                <w:szCs w:val="21"/>
                <w:u w:val="single"/>
              </w:rPr>
            </w:pPr>
            <w:r>
              <w:rPr>
                <w:b/>
                <w:bCs/>
                <w:sz w:val="21"/>
                <w:szCs w:val="21"/>
                <w:u w:val="single"/>
              </w:rPr>
              <w:t>高度危害（P2）</w:t>
            </w:r>
          </w:p>
        </w:tc>
        <w:tc>
          <w:tcPr>
            <w:tcW w:w="1549" w:type="dxa"/>
            <w:shd w:val="clear" w:color="auto" w:fill="auto"/>
            <w:noWrap/>
            <w:vAlign w:val="center"/>
          </w:tcPr>
          <w:p w14:paraId="201FD264">
            <w:pPr>
              <w:widowControl/>
              <w:spacing w:line="360" w:lineRule="exact"/>
              <w:ind w:firstLine="0" w:firstLineChars="0"/>
              <w:jc w:val="center"/>
              <w:rPr>
                <w:b/>
                <w:bCs/>
                <w:sz w:val="21"/>
                <w:szCs w:val="21"/>
                <w:u w:val="single"/>
              </w:rPr>
            </w:pPr>
            <w:r>
              <w:rPr>
                <w:b/>
                <w:bCs/>
                <w:sz w:val="21"/>
                <w:szCs w:val="21"/>
                <w:u w:val="single"/>
              </w:rPr>
              <w:t>中度危害（P3）</w:t>
            </w:r>
          </w:p>
        </w:tc>
        <w:tc>
          <w:tcPr>
            <w:tcW w:w="1549" w:type="dxa"/>
            <w:shd w:val="clear" w:color="auto" w:fill="auto"/>
            <w:noWrap/>
            <w:vAlign w:val="center"/>
          </w:tcPr>
          <w:p w14:paraId="7FD70E1B">
            <w:pPr>
              <w:widowControl/>
              <w:spacing w:line="360" w:lineRule="exact"/>
              <w:ind w:firstLine="0" w:firstLineChars="0"/>
              <w:jc w:val="center"/>
              <w:rPr>
                <w:b/>
                <w:bCs/>
                <w:sz w:val="21"/>
                <w:szCs w:val="21"/>
                <w:u w:val="single"/>
              </w:rPr>
            </w:pPr>
            <w:r>
              <w:rPr>
                <w:b/>
                <w:bCs/>
                <w:sz w:val="21"/>
                <w:szCs w:val="21"/>
                <w:u w:val="single"/>
              </w:rPr>
              <w:t>轻度危害（P4）</w:t>
            </w:r>
          </w:p>
        </w:tc>
      </w:tr>
      <w:tr w14:paraId="60A56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vAlign w:val="center"/>
          </w:tcPr>
          <w:p w14:paraId="0F47DE10">
            <w:pPr>
              <w:widowControl/>
              <w:spacing w:line="360" w:lineRule="exact"/>
              <w:ind w:firstLine="0" w:firstLineChars="0"/>
              <w:jc w:val="center"/>
              <w:rPr>
                <w:sz w:val="21"/>
                <w:szCs w:val="21"/>
                <w:u w:val="single"/>
              </w:rPr>
            </w:pPr>
            <w:r>
              <w:rPr>
                <w:sz w:val="21"/>
                <w:szCs w:val="21"/>
                <w:u w:val="single"/>
              </w:rPr>
              <w:t>一</w:t>
            </w:r>
          </w:p>
        </w:tc>
        <w:tc>
          <w:tcPr>
            <w:tcW w:w="6196" w:type="dxa"/>
            <w:gridSpan w:val="4"/>
            <w:shd w:val="clear" w:color="auto" w:fill="auto"/>
            <w:vAlign w:val="center"/>
          </w:tcPr>
          <w:p w14:paraId="531ED385">
            <w:pPr>
              <w:widowControl/>
              <w:spacing w:line="360" w:lineRule="exact"/>
              <w:ind w:firstLine="0" w:firstLineChars="0"/>
              <w:jc w:val="center"/>
              <w:rPr>
                <w:sz w:val="21"/>
                <w:szCs w:val="21"/>
                <w:u w:val="single"/>
              </w:rPr>
            </w:pPr>
            <w:r>
              <w:rPr>
                <w:sz w:val="21"/>
                <w:szCs w:val="21"/>
                <w:u w:val="single"/>
              </w:rPr>
              <w:t>大气环境</w:t>
            </w:r>
          </w:p>
        </w:tc>
      </w:tr>
      <w:tr w14:paraId="52061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44AC0E74">
            <w:pPr>
              <w:widowControl/>
              <w:spacing w:line="360" w:lineRule="exact"/>
              <w:ind w:firstLine="0" w:firstLineChars="0"/>
              <w:jc w:val="center"/>
              <w:rPr>
                <w:sz w:val="21"/>
                <w:szCs w:val="21"/>
                <w:u w:val="single"/>
              </w:rPr>
            </w:pPr>
            <w:r>
              <w:rPr>
                <w:sz w:val="21"/>
                <w:szCs w:val="21"/>
                <w:u w:val="single"/>
              </w:rPr>
              <w:t>环境高度敏感区（E1）</w:t>
            </w:r>
          </w:p>
        </w:tc>
        <w:tc>
          <w:tcPr>
            <w:tcW w:w="1549" w:type="dxa"/>
            <w:shd w:val="clear" w:color="auto" w:fill="auto"/>
            <w:noWrap/>
            <w:vAlign w:val="center"/>
          </w:tcPr>
          <w:p w14:paraId="17B35ECC">
            <w:pPr>
              <w:widowControl/>
              <w:spacing w:line="360" w:lineRule="exact"/>
              <w:ind w:firstLine="0" w:firstLineChars="0"/>
              <w:jc w:val="center"/>
              <w:rPr>
                <w:sz w:val="21"/>
                <w:szCs w:val="21"/>
                <w:u w:val="single"/>
              </w:rPr>
            </w:pPr>
            <w:r>
              <w:rPr>
                <w:sz w:val="21"/>
                <w:szCs w:val="21"/>
                <w:u w:val="single"/>
              </w:rPr>
              <w:t>Ⅳ</w:t>
            </w:r>
            <w:r>
              <w:rPr>
                <w:sz w:val="21"/>
                <w:szCs w:val="21"/>
                <w:u w:val="single"/>
                <w:vertAlign w:val="superscript"/>
              </w:rPr>
              <w:t>+</w:t>
            </w:r>
          </w:p>
        </w:tc>
        <w:tc>
          <w:tcPr>
            <w:tcW w:w="1549" w:type="dxa"/>
            <w:shd w:val="clear" w:color="auto" w:fill="auto"/>
            <w:noWrap/>
            <w:vAlign w:val="center"/>
          </w:tcPr>
          <w:p w14:paraId="574865BD">
            <w:pPr>
              <w:widowControl/>
              <w:spacing w:line="360" w:lineRule="exact"/>
              <w:ind w:firstLine="0" w:firstLineChars="0"/>
              <w:jc w:val="center"/>
              <w:rPr>
                <w:sz w:val="21"/>
                <w:szCs w:val="21"/>
                <w:u w:val="single"/>
              </w:rPr>
            </w:pPr>
            <w:r>
              <w:rPr>
                <w:sz w:val="21"/>
                <w:szCs w:val="21"/>
                <w:u w:val="single"/>
              </w:rPr>
              <w:t>Ⅳ</w:t>
            </w:r>
          </w:p>
        </w:tc>
        <w:tc>
          <w:tcPr>
            <w:tcW w:w="1549" w:type="dxa"/>
            <w:shd w:val="clear" w:color="auto" w:fill="F7C890" w:themeFill="accent2" w:themeFillTint="99"/>
            <w:noWrap/>
            <w:vAlign w:val="center"/>
          </w:tcPr>
          <w:p w14:paraId="0F73F541">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6E94802C">
            <w:pPr>
              <w:widowControl/>
              <w:spacing w:line="360" w:lineRule="exact"/>
              <w:ind w:firstLine="0" w:firstLineChars="0"/>
              <w:jc w:val="center"/>
              <w:rPr>
                <w:sz w:val="21"/>
                <w:szCs w:val="21"/>
                <w:u w:val="single"/>
              </w:rPr>
            </w:pPr>
            <w:r>
              <w:rPr>
                <w:sz w:val="21"/>
                <w:szCs w:val="21"/>
                <w:u w:val="single"/>
              </w:rPr>
              <w:t>Ⅲ</w:t>
            </w:r>
          </w:p>
        </w:tc>
      </w:tr>
      <w:tr w14:paraId="27D9F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4E7BDF87">
            <w:pPr>
              <w:widowControl/>
              <w:spacing w:line="360" w:lineRule="exact"/>
              <w:ind w:firstLine="0" w:firstLineChars="0"/>
              <w:jc w:val="center"/>
              <w:rPr>
                <w:sz w:val="21"/>
                <w:szCs w:val="21"/>
                <w:u w:val="single"/>
              </w:rPr>
            </w:pPr>
            <w:r>
              <w:rPr>
                <w:sz w:val="21"/>
                <w:szCs w:val="21"/>
                <w:u w:val="single"/>
              </w:rPr>
              <w:t>环境中度敏感区（E2）</w:t>
            </w:r>
          </w:p>
        </w:tc>
        <w:tc>
          <w:tcPr>
            <w:tcW w:w="1549" w:type="dxa"/>
            <w:shd w:val="clear" w:color="auto" w:fill="auto"/>
            <w:noWrap/>
            <w:vAlign w:val="center"/>
          </w:tcPr>
          <w:p w14:paraId="013B13EA">
            <w:pPr>
              <w:widowControl/>
              <w:spacing w:line="360" w:lineRule="exact"/>
              <w:ind w:firstLine="0" w:firstLineChars="0"/>
              <w:jc w:val="center"/>
              <w:rPr>
                <w:sz w:val="21"/>
                <w:szCs w:val="21"/>
                <w:u w:val="single"/>
              </w:rPr>
            </w:pPr>
            <w:r>
              <w:rPr>
                <w:sz w:val="21"/>
                <w:szCs w:val="21"/>
                <w:u w:val="single"/>
              </w:rPr>
              <w:t>Ⅳ</w:t>
            </w:r>
          </w:p>
        </w:tc>
        <w:tc>
          <w:tcPr>
            <w:tcW w:w="1549" w:type="dxa"/>
            <w:shd w:val="clear" w:color="auto" w:fill="auto"/>
            <w:noWrap/>
            <w:vAlign w:val="center"/>
          </w:tcPr>
          <w:p w14:paraId="5277B1A0">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54E63B1D">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1F76B3BC">
            <w:pPr>
              <w:widowControl/>
              <w:spacing w:line="360" w:lineRule="exact"/>
              <w:ind w:firstLine="0" w:firstLineChars="0"/>
              <w:jc w:val="center"/>
              <w:rPr>
                <w:sz w:val="21"/>
                <w:szCs w:val="21"/>
                <w:u w:val="single"/>
              </w:rPr>
            </w:pPr>
            <w:r>
              <w:rPr>
                <w:sz w:val="21"/>
                <w:szCs w:val="21"/>
                <w:u w:val="single"/>
              </w:rPr>
              <w:t>Ⅱ</w:t>
            </w:r>
          </w:p>
        </w:tc>
      </w:tr>
      <w:tr w14:paraId="73C4D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6F207875">
            <w:pPr>
              <w:widowControl/>
              <w:spacing w:line="360" w:lineRule="exact"/>
              <w:ind w:firstLine="0" w:firstLineChars="0"/>
              <w:jc w:val="center"/>
              <w:rPr>
                <w:sz w:val="21"/>
                <w:szCs w:val="21"/>
                <w:u w:val="single"/>
              </w:rPr>
            </w:pPr>
            <w:r>
              <w:rPr>
                <w:sz w:val="21"/>
                <w:szCs w:val="21"/>
                <w:u w:val="single"/>
              </w:rPr>
              <w:t>环境低度敏感区（E3）</w:t>
            </w:r>
          </w:p>
        </w:tc>
        <w:tc>
          <w:tcPr>
            <w:tcW w:w="1549" w:type="dxa"/>
            <w:shd w:val="clear" w:color="auto" w:fill="auto"/>
            <w:noWrap/>
            <w:vAlign w:val="center"/>
          </w:tcPr>
          <w:p w14:paraId="4BBA2427">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3F09CB8D">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75D2C2D3">
            <w:pPr>
              <w:widowControl/>
              <w:spacing w:line="360" w:lineRule="exact"/>
              <w:ind w:firstLine="0" w:firstLineChars="0"/>
              <w:jc w:val="center"/>
              <w:rPr>
                <w:sz w:val="21"/>
                <w:szCs w:val="21"/>
                <w:u w:val="single"/>
              </w:rPr>
            </w:pPr>
            <w:r>
              <w:rPr>
                <w:sz w:val="21"/>
                <w:szCs w:val="21"/>
                <w:u w:val="single"/>
              </w:rPr>
              <w:t>Ⅱ</w:t>
            </w:r>
          </w:p>
        </w:tc>
        <w:tc>
          <w:tcPr>
            <w:tcW w:w="1549" w:type="dxa"/>
            <w:shd w:val="clear" w:color="auto" w:fill="auto"/>
            <w:noWrap/>
            <w:vAlign w:val="center"/>
          </w:tcPr>
          <w:p w14:paraId="31891A5B">
            <w:pPr>
              <w:widowControl/>
              <w:spacing w:line="360" w:lineRule="exact"/>
              <w:ind w:firstLine="0" w:firstLineChars="0"/>
              <w:jc w:val="center"/>
              <w:rPr>
                <w:sz w:val="21"/>
                <w:szCs w:val="21"/>
                <w:u w:val="single"/>
              </w:rPr>
            </w:pPr>
            <w:r>
              <w:rPr>
                <w:sz w:val="21"/>
                <w:szCs w:val="21"/>
                <w:u w:val="single"/>
              </w:rPr>
              <w:t>Ⅰ</w:t>
            </w:r>
          </w:p>
        </w:tc>
      </w:tr>
      <w:tr w14:paraId="53049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61BAE581">
            <w:pPr>
              <w:widowControl/>
              <w:spacing w:line="360" w:lineRule="exact"/>
              <w:ind w:firstLine="0" w:firstLineChars="0"/>
              <w:jc w:val="center"/>
              <w:rPr>
                <w:sz w:val="21"/>
                <w:szCs w:val="21"/>
                <w:u w:val="single"/>
              </w:rPr>
            </w:pPr>
            <w:r>
              <w:rPr>
                <w:sz w:val="21"/>
                <w:szCs w:val="21"/>
                <w:u w:val="single"/>
              </w:rPr>
              <w:t>二</w:t>
            </w:r>
          </w:p>
        </w:tc>
        <w:tc>
          <w:tcPr>
            <w:tcW w:w="6196" w:type="dxa"/>
            <w:gridSpan w:val="4"/>
            <w:shd w:val="clear" w:color="auto" w:fill="auto"/>
            <w:vAlign w:val="center"/>
          </w:tcPr>
          <w:p w14:paraId="5A037DF9">
            <w:pPr>
              <w:widowControl/>
              <w:spacing w:line="360" w:lineRule="exact"/>
              <w:ind w:firstLine="0" w:firstLineChars="0"/>
              <w:jc w:val="center"/>
              <w:rPr>
                <w:sz w:val="21"/>
                <w:szCs w:val="21"/>
                <w:u w:val="single"/>
              </w:rPr>
            </w:pPr>
            <w:r>
              <w:rPr>
                <w:sz w:val="21"/>
                <w:szCs w:val="21"/>
                <w:u w:val="single"/>
              </w:rPr>
              <w:t>地表水环境</w:t>
            </w:r>
          </w:p>
        </w:tc>
      </w:tr>
      <w:tr w14:paraId="697C7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728DB107">
            <w:pPr>
              <w:widowControl/>
              <w:spacing w:line="360" w:lineRule="exact"/>
              <w:ind w:firstLine="0" w:firstLineChars="0"/>
              <w:jc w:val="center"/>
              <w:rPr>
                <w:sz w:val="21"/>
                <w:szCs w:val="21"/>
                <w:u w:val="single"/>
              </w:rPr>
            </w:pPr>
            <w:r>
              <w:rPr>
                <w:sz w:val="21"/>
                <w:szCs w:val="21"/>
                <w:u w:val="single"/>
              </w:rPr>
              <w:t>环境高度敏感区（E1）</w:t>
            </w:r>
          </w:p>
        </w:tc>
        <w:tc>
          <w:tcPr>
            <w:tcW w:w="1549" w:type="dxa"/>
            <w:shd w:val="clear" w:color="auto" w:fill="auto"/>
            <w:noWrap/>
            <w:vAlign w:val="center"/>
          </w:tcPr>
          <w:p w14:paraId="40CD4C09">
            <w:pPr>
              <w:widowControl/>
              <w:spacing w:line="360" w:lineRule="exact"/>
              <w:ind w:firstLine="0" w:firstLineChars="0"/>
              <w:jc w:val="center"/>
              <w:rPr>
                <w:sz w:val="21"/>
                <w:szCs w:val="21"/>
                <w:u w:val="single"/>
              </w:rPr>
            </w:pPr>
            <w:r>
              <w:rPr>
                <w:sz w:val="21"/>
                <w:szCs w:val="21"/>
                <w:u w:val="single"/>
              </w:rPr>
              <w:t>Ⅳ</w:t>
            </w:r>
            <w:r>
              <w:rPr>
                <w:sz w:val="21"/>
                <w:szCs w:val="21"/>
                <w:u w:val="single"/>
                <w:vertAlign w:val="superscript"/>
              </w:rPr>
              <w:t>+</w:t>
            </w:r>
          </w:p>
        </w:tc>
        <w:tc>
          <w:tcPr>
            <w:tcW w:w="1549" w:type="dxa"/>
            <w:shd w:val="clear" w:color="auto" w:fill="auto"/>
            <w:noWrap/>
            <w:vAlign w:val="center"/>
          </w:tcPr>
          <w:p w14:paraId="1EEABDBA">
            <w:pPr>
              <w:widowControl/>
              <w:spacing w:line="360" w:lineRule="exact"/>
              <w:ind w:firstLine="0" w:firstLineChars="0"/>
              <w:jc w:val="center"/>
              <w:rPr>
                <w:sz w:val="21"/>
                <w:szCs w:val="21"/>
                <w:u w:val="single"/>
              </w:rPr>
            </w:pPr>
            <w:r>
              <w:rPr>
                <w:sz w:val="21"/>
                <w:szCs w:val="21"/>
                <w:u w:val="single"/>
              </w:rPr>
              <w:t>Ⅳ</w:t>
            </w:r>
          </w:p>
        </w:tc>
        <w:tc>
          <w:tcPr>
            <w:tcW w:w="1549" w:type="dxa"/>
            <w:shd w:val="clear" w:color="auto" w:fill="auto"/>
            <w:noWrap/>
            <w:vAlign w:val="center"/>
          </w:tcPr>
          <w:p w14:paraId="2E7D54D9">
            <w:pPr>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192CDF3A">
            <w:pPr>
              <w:widowControl/>
              <w:spacing w:line="360" w:lineRule="exact"/>
              <w:ind w:firstLine="0" w:firstLineChars="0"/>
              <w:jc w:val="center"/>
              <w:rPr>
                <w:sz w:val="21"/>
                <w:szCs w:val="21"/>
                <w:u w:val="single"/>
              </w:rPr>
            </w:pPr>
            <w:r>
              <w:rPr>
                <w:sz w:val="21"/>
                <w:szCs w:val="21"/>
                <w:u w:val="single"/>
              </w:rPr>
              <w:t>Ⅲ</w:t>
            </w:r>
          </w:p>
        </w:tc>
      </w:tr>
      <w:tr w14:paraId="29C0C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67187AF3">
            <w:pPr>
              <w:widowControl/>
              <w:spacing w:line="360" w:lineRule="exact"/>
              <w:ind w:firstLine="0" w:firstLineChars="0"/>
              <w:jc w:val="center"/>
              <w:rPr>
                <w:sz w:val="21"/>
                <w:szCs w:val="21"/>
                <w:u w:val="single"/>
              </w:rPr>
            </w:pPr>
            <w:r>
              <w:rPr>
                <w:sz w:val="21"/>
                <w:szCs w:val="21"/>
                <w:u w:val="single"/>
              </w:rPr>
              <w:t>环境中度敏感区（E2）</w:t>
            </w:r>
          </w:p>
        </w:tc>
        <w:tc>
          <w:tcPr>
            <w:tcW w:w="1549" w:type="dxa"/>
            <w:shd w:val="clear" w:color="auto" w:fill="auto"/>
            <w:noWrap/>
            <w:vAlign w:val="center"/>
          </w:tcPr>
          <w:p w14:paraId="31319FA2">
            <w:pPr>
              <w:widowControl/>
              <w:spacing w:line="360" w:lineRule="exact"/>
              <w:ind w:firstLine="0" w:firstLineChars="0"/>
              <w:jc w:val="center"/>
              <w:rPr>
                <w:sz w:val="21"/>
                <w:szCs w:val="21"/>
                <w:u w:val="single"/>
              </w:rPr>
            </w:pPr>
            <w:r>
              <w:rPr>
                <w:sz w:val="21"/>
                <w:szCs w:val="21"/>
                <w:u w:val="single"/>
              </w:rPr>
              <w:t>Ⅳ</w:t>
            </w:r>
          </w:p>
        </w:tc>
        <w:tc>
          <w:tcPr>
            <w:tcW w:w="1549" w:type="dxa"/>
            <w:shd w:val="clear" w:color="auto" w:fill="auto"/>
            <w:noWrap/>
            <w:vAlign w:val="center"/>
          </w:tcPr>
          <w:p w14:paraId="57C5DE25">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5CE8188B">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4F0263F0">
            <w:pPr>
              <w:widowControl/>
              <w:spacing w:line="360" w:lineRule="exact"/>
              <w:ind w:firstLine="0" w:firstLineChars="0"/>
              <w:jc w:val="center"/>
              <w:rPr>
                <w:sz w:val="21"/>
                <w:szCs w:val="21"/>
                <w:u w:val="single"/>
              </w:rPr>
            </w:pPr>
            <w:r>
              <w:rPr>
                <w:sz w:val="21"/>
                <w:szCs w:val="21"/>
                <w:u w:val="single"/>
              </w:rPr>
              <w:t>Ⅱ</w:t>
            </w:r>
          </w:p>
        </w:tc>
      </w:tr>
      <w:tr w14:paraId="21C17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63A127E5">
            <w:pPr>
              <w:widowControl/>
              <w:spacing w:line="360" w:lineRule="exact"/>
              <w:ind w:firstLine="0" w:firstLineChars="0"/>
              <w:jc w:val="center"/>
              <w:rPr>
                <w:sz w:val="21"/>
                <w:szCs w:val="21"/>
                <w:u w:val="single"/>
              </w:rPr>
            </w:pPr>
            <w:r>
              <w:rPr>
                <w:sz w:val="21"/>
                <w:szCs w:val="21"/>
                <w:u w:val="single"/>
              </w:rPr>
              <w:t>环境低度敏感区（E3）</w:t>
            </w:r>
          </w:p>
        </w:tc>
        <w:tc>
          <w:tcPr>
            <w:tcW w:w="1549" w:type="dxa"/>
            <w:shd w:val="clear" w:color="auto" w:fill="auto"/>
            <w:noWrap/>
            <w:vAlign w:val="center"/>
          </w:tcPr>
          <w:p w14:paraId="388464CB">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4A1B891A">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F7C890" w:themeFill="accent2" w:themeFillTint="99"/>
            <w:noWrap/>
            <w:vAlign w:val="center"/>
          </w:tcPr>
          <w:p w14:paraId="1D677D9E">
            <w:pPr>
              <w:widowControl/>
              <w:spacing w:line="360" w:lineRule="exact"/>
              <w:ind w:firstLine="0" w:firstLineChars="0"/>
              <w:jc w:val="center"/>
              <w:rPr>
                <w:sz w:val="21"/>
                <w:szCs w:val="21"/>
                <w:u w:val="single"/>
              </w:rPr>
            </w:pPr>
            <w:r>
              <w:rPr>
                <w:sz w:val="21"/>
                <w:szCs w:val="21"/>
                <w:u w:val="single"/>
              </w:rPr>
              <w:t>Ⅱ</w:t>
            </w:r>
          </w:p>
        </w:tc>
        <w:tc>
          <w:tcPr>
            <w:tcW w:w="1549" w:type="dxa"/>
            <w:shd w:val="clear" w:color="auto" w:fill="auto"/>
            <w:noWrap/>
            <w:vAlign w:val="center"/>
          </w:tcPr>
          <w:p w14:paraId="264AE1B4">
            <w:pPr>
              <w:widowControl/>
              <w:spacing w:line="360" w:lineRule="exact"/>
              <w:ind w:firstLine="0" w:firstLineChars="0"/>
              <w:jc w:val="center"/>
              <w:rPr>
                <w:sz w:val="21"/>
                <w:szCs w:val="21"/>
                <w:u w:val="single"/>
              </w:rPr>
            </w:pPr>
            <w:r>
              <w:rPr>
                <w:sz w:val="21"/>
                <w:szCs w:val="21"/>
                <w:u w:val="single"/>
              </w:rPr>
              <w:t>Ⅰ</w:t>
            </w:r>
          </w:p>
        </w:tc>
      </w:tr>
      <w:tr w14:paraId="6267C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172EF6FC">
            <w:pPr>
              <w:widowControl/>
              <w:spacing w:line="360" w:lineRule="exact"/>
              <w:ind w:firstLine="0" w:firstLineChars="0"/>
              <w:jc w:val="center"/>
              <w:rPr>
                <w:sz w:val="21"/>
                <w:szCs w:val="21"/>
                <w:u w:val="single"/>
              </w:rPr>
            </w:pPr>
            <w:r>
              <w:rPr>
                <w:sz w:val="21"/>
                <w:szCs w:val="21"/>
                <w:u w:val="single"/>
              </w:rPr>
              <w:t>三</w:t>
            </w:r>
          </w:p>
        </w:tc>
        <w:tc>
          <w:tcPr>
            <w:tcW w:w="6196" w:type="dxa"/>
            <w:gridSpan w:val="4"/>
            <w:shd w:val="clear" w:color="auto" w:fill="auto"/>
            <w:vAlign w:val="center"/>
          </w:tcPr>
          <w:p w14:paraId="7FC5CD74">
            <w:pPr>
              <w:widowControl/>
              <w:spacing w:line="360" w:lineRule="exact"/>
              <w:ind w:firstLine="0" w:firstLineChars="0"/>
              <w:jc w:val="center"/>
              <w:rPr>
                <w:sz w:val="21"/>
                <w:szCs w:val="21"/>
                <w:u w:val="single"/>
              </w:rPr>
            </w:pPr>
            <w:r>
              <w:rPr>
                <w:sz w:val="21"/>
                <w:szCs w:val="21"/>
                <w:u w:val="single"/>
              </w:rPr>
              <w:t>地下水环境</w:t>
            </w:r>
          </w:p>
        </w:tc>
      </w:tr>
      <w:tr w14:paraId="7464F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422075B4">
            <w:pPr>
              <w:widowControl/>
              <w:spacing w:line="360" w:lineRule="exact"/>
              <w:ind w:firstLine="0" w:firstLineChars="0"/>
              <w:jc w:val="center"/>
              <w:rPr>
                <w:sz w:val="21"/>
                <w:szCs w:val="21"/>
                <w:u w:val="single"/>
              </w:rPr>
            </w:pPr>
            <w:r>
              <w:rPr>
                <w:sz w:val="21"/>
                <w:szCs w:val="21"/>
                <w:u w:val="single"/>
              </w:rPr>
              <w:t>环境高度敏感区（E1）</w:t>
            </w:r>
          </w:p>
        </w:tc>
        <w:tc>
          <w:tcPr>
            <w:tcW w:w="1549" w:type="dxa"/>
            <w:shd w:val="clear" w:color="auto" w:fill="auto"/>
            <w:noWrap/>
            <w:vAlign w:val="center"/>
          </w:tcPr>
          <w:p w14:paraId="7250501B">
            <w:pPr>
              <w:widowControl/>
              <w:spacing w:line="360" w:lineRule="exact"/>
              <w:ind w:firstLine="0" w:firstLineChars="0"/>
              <w:jc w:val="center"/>
              <w:rPr>
                <w:sz w:val="21"/>
                <w:szCs w:val="21"/>
                <w:u w:val="single"/>
              </w:rPr>
            </w:pPr>
            <w:r>
              <w:rPr>
                <w:sz w:val="21"/>
                <w:szCs w:val="21"/>
                <w:u w:val="single"/>
              </w:rPr>
              <w:t>Ⅳ</w:t>
            </w:r>
            <w:r>
              <w:rPr>
                <w:sz w:val="21"/>
                <w:szCs w:val="21"/>
                <w:u w:val="single"/>
                <w:vertAlign w:val="superscript"/>
              </w:rPr>
              <w:t>+</w:t>
            </w:r>
          </w:p>
        </w:tc>
        <w:tc>
          <w:tcPr>
            <w:tcW w:w="1549" w:type="dxa"/>
            <w:shd w:val="clear" w:color="auto" w:fill="auto"/>
            <w:noWrap/>
            <w:vAlign w:val="center"/>
          </w:tcPr>
          <w:p w14:paraId="0E1E1439">
            <w:pPr>
              <w:widowControl/>
              <w:spacing w:line="360" w:lineRule="exact"/>
              <w:ind w:firstLine="0" w:firstLineChars="0"/>
              <w:jc w:val="center"/>
              <w:rPr>
                <w:sz w:val="21"/>
                <w:szCs w:val="21"/>
                <w:u w:val="single"/>
              </w:rPr>
            </w:pPr>
            <w:r>
              <w:rPr>
                <w:sz w:val="21"/>
                <w:szCs w:val="21"/>
                <w:u w:val="single"/>
              </w:rPr>
              <w:t>Ⅳ</w:t>
            </w:r>
          </w:p>
        </w:tc>
        <w:tc>
          <w:tcPr>
            <w:tcW w:w="1549" w:type="dxa"/>
            <w:shd w:val="clear" w:color="auto" w:fill="auto"/>
            <w:noWrap/>
            <w:vAlign w:val="center"/>
          </w:tcPr>
          <w:p w14:paraId="32FA7E4A">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4ECB9D78">
            <w:pPr>
              <w:widowControl/>
              <w:spacing w:line="360" w:lineRule="exact"/>
              <w:ind w:firstLine="0" w:firstLineChars="0"/>
              <w:jc w:val="center"/>
              <w:rPr>
                <w:sz w:val="21"/>
                <w:szCs w:val="21"/>
                <w:u w:val="single"/>
              </w:rPr>
            </w:pPr>
            <w:r>
              <w:rPr>
                <w:sz w:val="21"/>
                <w:szCs w:val="21"/>
                <w:u w:val="single"/>
              </w:rPr>
              <w:t>Ⅲ</w:t>
            </w:r>
          </w:p>
        </w:tc>
      </w:tr>
      <w:tr w14:paraId="38737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600333F9">
            <w:pPr>
              <w:widowControl/>
              <w:spacing w:line="360" w:lineRule="exact"/>
              <w:ind w:firstLine="0" w:firstLineChars="0"/>
              <w:jc w:val="center"/>
              <w:rPr>
                <w:sz w:val="21"/>
                <w:szCs w:val="21"/>
                <w:u w:val="single"/>
              </w:rPr>
            </w:pPr>
            <w:r>
              <w:rPr>
                <w:sz w:val="21"/>
                <w:szCs w:val="21"/>
                <w:u w:val="single"/>
              </w:rPr>
              <w:t>环境中度敏感区（E2）</w:t>
            </w:r>
          </w:p>
        </w:tc>
        <w:tc>
          <w:tcPr>
            <w:tcW w:w="1549" w:type="dxa"/>
            <w:shd w:val="clear" w:color="auto" w:fill="auto"/>
            <w:noWrap/>
            <w:vAlign w:val="center"/>
          </w:tcPr>
          <w:p w14:paraId="75EDC0E1">
            <w:pPr>
              <w:widowControl/>
              <w:spacing w:line="360" w:lineRule="exact"/>
              <w:ind w:firstLine="0" w:firstLineChars="0"/>
              <w:jc w:val="center"/>
              <w:rPr>
                <w:sz w:val="21"/>
                <w:szCs w:val="21"/>
                <w:u w:val="single"/>
              </w:rPr>
            </w:pPr>
            <w:r>
              <w:rPr>
                <w:sz w:val="21"/>
                <w:szCs w:val="21"/>
                <w:u w:val="single"/>
              </w:rPr>
              <w:t>Ⅳ</w:t>
            </w:r>
          </w:p>
        </w:tc>
        <w:tc>
          <w:tcPr>
            <w:tcW w:w="1549" w:type="dxa"/>
            <w:shd w:val="clear" w:color="auto" w:fill="auto"/>
            <w:noWrap/>
            <w:vAlign w:val="center"/>
          </w:tcPr>
          <w:p w14:paraId="3D0D6762">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4643E6F4">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35FFFC01">
            <w:pPr>
              <w:widowControl/>
              <w:spacing w:line="360" w:lineRule="exact"/>
              <w:ind w:firstLine="0" w:firstLineChars="0"/>
              <w:jc w:val="center"/>
              <w:rPr>
                <w:sz w:val="21"/>
                <w:szCs w:val="21"/>
                <w:u w:val="single"/>
              </w:rPr>
            </w:pPr>
            <w:r>
              <w:rPr>
                <w:sz w:val="21"/>
                <w:szCs w:val="21"/>
                <w:u w:val="single"/>
              </w:rPr>
              <w:t>Ⅱ</w:t>
            </w:r>
          </w:p>
        </w:tc>
      </w:tr>
      <w:tr w14:paraId="7DFE4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6" w:type="dxa"/>
            <w:shd w:val="clear" w:color="auto" w:fill="auto"/>
            <w:noWrap/>
            <w:vAlign w:val="center"/>
          </w:tcPr>
          <w:p w14:paraId="3FF3E54F">
            <w:pPr>
              <w:widowControl/>
              <w:spacing w:line="360" w:lineRule="exact"/>
              <w:ind w:firstLine="0" w:firstLineChars="0"/>
              <w:jc w:val="center"/>
              <w:rPr>
                <w:sz w:val="21"/>
                <w:szCs w:val="21"/>
                <w:u w:val="single"/>
              </w:rPr>
            </w:pPr>
            <w:r>
              <w:rPr>
                <w:sz w:val="21"/>
                <w:szCs w:val="21"/>
                <w:u w:val="single"/>
              </w:rPr>
              <w:t>环境低度敏感区（E3）</w:t>
            </w:r>
          </w:p>
        </w:tc>
        <w:tc>
          <w:tcPr>
            <w:tcW w:w="1549" w:type="dxa"/>
            <w:shd w:val="clear" w:color="auto" w:fill="auto"/>
            <w:noWrap/>
            <w:vAlign w:val="center"/>
          </w:tcPr>
          <w:p w14:paraId="0AB0E789">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auto"/>
            <w:noWrap/>
            <w:vAlign w:val="center"/>
          </w:tcPr>
          <w:p w14:paraId="3FAF3275">
            <w:pPr>
              <w:widowControl/>
              <w:spacing w:line="360" w:lineRule="exact"/>
              <w:ind w:firstLine="0" w:firstLineChars="0"/>
              <w:jc w:val="center"/>
              <w:rPr>
                <w:sz w:val="21"/>
                <w:szCs w:val="21"/>
                <w:u w:val="single"/>
              </w:rPr>
            </w:pPr>
            <w:r>
              <w:rPr>
                <w:sz w:val="21"/>
                <w:szCs w:val="21"/>
                <w:u w:val="single"/>
              </w:rPr>
              <w:t>Ⅲ</w:t>
            </w:r>
          </w:p>
        </w:tc>
        <w:tc>
          <w:tcPr>
            <w:tcW w:w="1549" w:type="dxa"/>
            <w:shd w:val="clear" w:color="auto" w:fill="F7C890" w:themeFill="accent2" w:themeFillTint="99"/>
            <w:noWrap/>
            <w:vAlign w:val="center"/>
          </w:tcPr>
          <w:p w14:paraId="3F2F9B7B">
            <w:pPr>
              <w:widowControl/>
              <w:spacing w:line="360" w:lineRule="exact"/>
              <w:ind w:firstLine="0" w:firstLineChars="0"/>
              <w:jc w:val="center"/>
              <w:rPr>
                <w:sz w:val="21"/>
                <w:szCs w:val="21"/>
                <w:u w:val="single"/>
              </w:rPr>
            </w:pPr>
            <w:r>
              <w:rPr>
                <w:sz w:val="21"/>
                <w:szCs w:val="21"/>
                <w:u w:val="single"/>
              </w:rPr>
              <w:t>Ⅱ</w:t>
            </w:r>
          </w:p>
        </w:tc>
        <w:tc>
          <w:tcPr>
            <w:tcW w:w="1549" w:type="dxa"/>
            <w:shd w:val="clear" w:color="auto" w:fill="auto"/>
            <w:noWrap/>
            <w:vAlign w:val="center"/>
          </w:tcPr>
          <w:p w14:paraId="206C8385">
            <w:pPr>
              <w:widowControl/>
              <w:spacing w:line="360" w:lineRule="exact"/>
              <w:ind w:firstLine="0" w:firstLineChars="0"/>
              <w:jc w:val="center"/>
              <w:rPr>
                <w:sz w:val="21"/>
                <w:szCs w:val="21"/>
                <w:u w:val="single"/>
              </w:rPr>
            </w:pPr>
            <w:r>
              <w:rPr>
                <w:sz w:val="21"/>
                <w:szCs w:val="21"/>
                <w:u w:val="single"/>
              </w:rPr>
              <w:t>Ⅰ</w:t>
            </w:r>
          </w:p>
        </w:tc>
      </w:tr>
      <w:tr w14:paraId="09873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22" w:type="dxa"/>
            <w:gridSpan w:val="5"/>
            <w:noWrap/>
            <w:vAlign w:val="center"/>
          </w:tcPr>
          <w:p w14:paraId="1E7F0248">
            <w:pPr>
              <w:widowControl/>
              <w:spacing w:line="360" w:lineRule="exact"/>
              <w:ind w:firstLine="0" w:firstLineChars="0"/>
              <w:jc w:val="center"/>
              <w:rPr>
                <w:sz w:val="21"/>
                <w:szCs w:val="21"/>
                <w:u w:val="single"/>
              </w:rPr>
            </w:pPr>
            <w:r>
              <w:rPr>
                <w:sz w:val="21"/>
                <w:szCs w:val="21"/>
                <w:u w:val="single"/>
              </w:rPr>
              <w:t>注：Ⅳ</w:t>
            </w:r>
            <w:r>
              <w:rPr>
                <w:sz w:val="21"/>
                <w:szCs w:val="21"/>
                <w:u w:val="single"/>
                <w:vertAlign w:val="superscript"/>
              </w:rPr>
              <w:t>+</w:t>
            </w:r>
            <w:r>
              <w:rPr>
                <w:sz w:val="21"/>
                <w:szCs w:val="21"/>
                <w:u w:val="single"/>
              </w:rPr>
              <w:t>为极高环境风险</w:t>
            </w:r>
          </w:p>
        </w:tc>
      </w:tr>
    </w:tbl>
    <w:p w14:paraId="0C466BAF">
      <w:pPr>
        <w:ind w:firstLine="480"/>
        <w:rPr>
          <w:highlight w:val="yellow"/>
          <w:u w:val="single"/>
        </w:rPr>
      </w:pPr>
      <w:r>
        <w:rPr>
          <w:rFonts w:hint="eastAsia"/>
          <w:u w:val="single"/>
        </w:rPr>
        <w:t>综合本项目大气环境、地表水环境、地下水环境的风险潜势等级分别为III级、II级、II级。建设项目环境风险潜势综合等级取各要素等级的相对高值，即为III级。</w:t>
      </w:r>
    </w:p>
    <w:p w14:paraId="344544EC">
      <w:pPr>
        <w:pStyle w:val="2"/>
        <w:ind w:firstLine="480"/>
      </w:pPr>
      <w:r>
        <w:rPr>
          <w:rFonts w:hint="eastAsia"/>
        </w:rPr>
        <w:t>根据环境风险潜势划分结果，本项目各环境要素环境风险评价工作等级见下表。</w:t>
      </w:r>
    </w:p>
    <w:p w14:paraId="1D3E9324">
      <w:pPr>
        <w:pStyle w:val="64"/>
        <w:numPr>
          <w:ilvl w:val="0"/>
          <w:numId w:val="5"/>
        </w:numPr>
        <w:spacing w:before="161"/>
        <w:ind w:left="924" w:hanging="442" w:firstLineChars="0"/>
      </w:pPr>
      <w:r>
        <w:t xml:space="preserve">        </w:t>
      </w:r>
      <w:r>
        <w:rPr>
          <w:rFonts w:hint="eastAsia"/>
        </w:rPr>
        <w:t xml:space="preserve"> </w:t>
      </w:r>
      <w:r>
        <w:t xml:space="preserve">  </w:t>
      </w:r>
      <w:r>
        <w:rPr>
          <w:rFonts w:hint="eastAsia"/>
        </w:rPr>
        <w:t>项目环境</w:t>
      </w:r>
      <w:r>
        <w:t>风险</w:t>
      </w:r>
      <w:r>
        <w:rPr>
          <w:rFonts w:hint="eastAsia"/>
        </w:rPr>
        <w:t>评价工作等级确定表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8"/>
        <w:gridCol w:w="1748"/>
        <w:gridCol w:w="1748"/>
        <w:gridCol w:w="1749"/>
        <w:gridCol w:w="1749"/>
      </w:tblGrid>
      <w:tr w14:paraId="6F49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D1EEFC2">
            <w:pPr>
              <w:widowControl/>
              <w:spacing w:line="360" w:lineRule="exact"/>
              <w:ind w:firstLine="0" w:firstLineChars="0"/>
              <w:jc w:val="center"/>
              <w:rPr>
                <w:b/>
                <w:bCs/>
                <w:sz w:val="21"/>
                <w:szCs w:val="21"/>
                <w:u w:val="single"/>
              </w:rPr>
            </w:pPr>
            <w:r>
              <w:rPr>
                <w:b/>
                <w:bCs/>
                <w:sz w:val="21"/>
                <w:szCs w:val="21"/>
                <w:u w:val="single"/>
              </w:rPr>
              <w:t>环境风险潜势</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6E0B3DB">
            <w:pPr>
              <w:widowControl/>
              <w:spacing w:line="360" w:lineRule="exact"/>
              <w:ind w:firstLine="0" w:firstLineChars="0"/>
              <w:jc w:val="center"/>
              <w:rPr>
                <w:b/>
                <w:sz w:val="21"/>
                <w:szCs w:val="21"/>
                <w:u w:val="single"/>
              </w:rPr>
            </w:pPr>
            <w:r>
              <w:rPr>
                <w:b/>
                <w:sz w:val="21"/>
                <w:szCs w:val="21"/>
                <w:u w:val="single"/>
              </w:rPr>
              <w:t>Ⅳ、Ⅳ</w:t>
            </w:r>
            <w:r>
              <w:rPr>
                <w:b/>
                <w:sz w:val="21"/>
                <w:szCs w:val="21"/>
                <w:u w:val="single"/>
                <w:vertAlign w:val="superscript"/>
              </w:rPr>
              <w:t>+</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45608BE2">
            <w:pPr>
              <w:widowControl/>
              <w:spacing w:line="360" w:lineRule="exact"/>
              <w:ind w:firstLine="0" w:firstLineChars="0"/>
              <w:jc w:val="center"/>
              <w:rPr>
                <w:b/>
                <w:sz w:val="21"/>
                <w:szCs w:val="21"/>
                <w:u w:val="single"/>
              </w:rPr>
            </w:pPr>
            <w:r>
              <w:rPr>
                <w:b/>
                <w:sz w:val="21"/>
                <w:szCs w:val="21"/>
                <w:u w:val="single"/>
              </w:rPr>
              <w:t>Ⅲ</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3E34734">
            <w:pPr>
              <w:widowControl/>
              <w:spacing w:line="360" w:lineRule="exact"/>
              <w:ind w:firstLine="0" w:firstLineChars="0"/>
              <w:jc w:val="center"/>
              <w:rPr>
                <w:b/>
                <w:sz w:val="21"/>
                <w:szCs w:val="21"/>
                <w:u w:val="single"/>
              </w:rPr>
            </w:pPr>
            <w:r>
              <w:rPr>
                <w:b/>
                <w:sz w:val="21"/>
                <w:szCs w:val="21"/>
                <w:u w:val="single"/>
              </w:rPr>
              <w:t>Ⅱ</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612F5128">
            <w:pPr>
              <w:widowControl/>
              <w:spacing w:line="360" w:lineRule="exact"/>
              <w:ind w:firstLine="0" w:firstLineChars="0"/>
              <w:jc w:val="center"/>
              <w:rPr>
                <w:b/>
                <w:sz w:val="21"/>
                <w:szCs w:val="21"/>
                <w:u w:val="single"/>
              </w:rPr>
            </w:pPr>
            <w:r>
              <w:rPr>
                <w:b/>
                <w:sz w:val="21"/>
                <w:szCs w:val="21"/>
                <w:u w:val="single"/>
              </w:rPr>
              <w:t>Ⅰ</w:t>
            </w:r>
          </w:p>
        </w:tc>
      </w:tr>
      <w:tr w14:paraId="2FC0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6CDC924E">
            <w:pPr>
              <w:widowControl/>
              <w:spacing w:line="360" w:lineRule="exact"/>
              <w:ind w:firstLine="0" w:firstLineChars="0"/>
              <w:jc w:val="center"/>
              <w:rPr>
                <w:sz w:val="21"/>
                <w:szCs w:val="21"/>
                <w:u w:val="single"/>
              </w:rPr>
            </w:pPr>
            <w:r>
              <w:rPr>
                <w:sz w:val="21"/>
                <w:szCs w:val="21"/>
                <w:u w:val="single"/>
              </w:rPr>
              <w:t>评价工作等级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64E5AF99">
            <w:pPr>
              <w:widowControl/>
              <w:spacing w:line="360" w:lineRule="exact"/>
              <w:ind w:firstLine="0" w:firstLineChars="0"/>
              <w:jc w:val="center"/>
              <w:rPr>
                <w:sz w:val="21"/>
                <w:szCs w:val="21"/>
                <w:u w:val="single"/>
              </w:rPr>
            </w:pPr>
            <w:r>
              <w:rPr>
                <w:sz w:val="21"/>
                <w:szCs w:val="21"/>
                <w:u w:val="single"/>
              </w:rPr>
              <w:t>一级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5A8E64C3">
            <w:pPr>
              <w:widowControl/>
              <w:spacing w:line="360" w:lineRule="exact"/>
              <w:ind w:firstLine="0" w:firstLineChars="0"/>
              <w:jc w:val="center"/>
              <w:rPr>
                <w:sz w:val="21"/>
                <w:szCs w:val="21"/>
                <w:u w:val="single"/>
              </w:rPr>
            </w:pPr>
            <w:r>
              <w:rPr>
                <w:sz w:val="21"/>
                <w:szCs w:val="21"/>
                <w:u w:val="single"/>
              </w:rPr>
              <w:t>二级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3BC6110">
            <w:pPr>
              <w:widowControl/>
              <w:spacing w:line="360" w:lineRule="exact"/>
              <w:ind w:firstLine="0" w:firstLineChars="0"/>
              <w:jc w:val="center"/>
              <w:rPr>
                <w:sz w:val="21"/>
                <w:szCs w:val="21"/>
                <w:u w:val="single"/>
              </w:rPr>
            </w:pPr>
            <w:r>
              <w:rPr>
                <w:sz w:val="21"/>
                <w:szCs w:val="21"/>
                <w:u w:val="single"/>
              </w:rPr>
              <w:t>三级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CE45C96">
            <w:pPr>
              <w:widowControl/>
              <w:spacing w:line="360" w:lineRule="exact"/>
              <w:ind w:firstLine="0" w:firstLineChars="0"/>
              <w:jc w:val="center"/>
              <w:rPr>
                <w:sz w:val="21"/>
                <w:szCs w:val="21"/>
                <w:u w:val="single"/>
              </w:rPr>
            </w:pPr>
            <w:r>
              <w:rPr>
                <w:sz w:val="21"/>
                <w:szCs w:val="21"/>
                <w:u w:val="single"/>
              </w:rPr>
              <w:t>简单分析</w:t>
            </w:r>
            <w:r>
              <w:rPr>
                <w:sz w:val="21"/>
                <w:szCs w:val="21"/>
                <w:u w:val="single"/>
                <w:vertAlign w:val="superscript"/>
              </w:rPr>
              <w:t>a</w:t>
            </w:r>
          </w:p>
        </w:tc>
      </w:tr>
      <w:tr w14:paraId="7F70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B21ADCB">
            <w:pPr>
              <w:widowControl/>
              <w:spacing w:line="360" w:lineRule="exact"/>
              <w:ind w:firstLine="0" w:firstLineChars="0"/>
              <w:jc w:val="center"/>
              <w:rPr>
                <w:sz w:val="21"/>
                <w:szCs w:val="21"/>
                <w:u w:val="single"/>
              </w:rPr>
            </w:pPr>
            <w:r>
              <w:rPr>
                <w:sz w:val="21"/>
                <w:szCs w:val="21"/>
                <w:u w:val="single"/>
              </w:rPr>
              <w:t>大气环境</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6150C14">
            <w:pPr>
              <w:widowControl/>
              <w:spacing w:line="360" w:lineRule="exact"/>
              <w:ind w:firstLine="0" w:firstLineChars="0"/>
              <w:jc w:val="center"/>
              <w:rPr>
                <w:bCs/>
                <w:sz w:val="21"/>
                <w:szCs w:val="21"/>
                <w:u w:val="single"/>
              </w:rPr>
            </w:pPr>
            <w:r>
              <w:rPr>
                <w:bCs/>
                <w:sz w:val="21"/>
                <w:szCs w:val="21"/>
                <w:u w:val="single"/>
              </w:rPr>
              <w:t>一级</w:t>
            </w:r>
          </w:p>
        </w:tc>
        <w:tc>
          <w:tcPr>
            <w:tcW w:w="1000" w:type="pct"/>
            <w:tcBorders>
              <w:top w:val="single" w:color="auto" w:sz="4" w:space="0"/>
              <w:left w:val="single" w:color="auto" w:sz="4" w:space="0"/>
              <w:bottom w:val="single" w:color="auto" w:sz="4" w:space="0"/>
              <w:right w:val="single" w:color="auto" w:sz="4" w:space="0"/>
            </w:tcBorders>
            <w:shd w:val="clear" w:color="auto" w:fill="F7C890" w:themeFill="accent2" w:themeFillTint="99"/>
            <w:vAlign w:val="center"/>
          </w:tcPr>
          <w:p w14:paraId="107D321C">
            <w:pPr>
              <w:widowControl/>
              <w:spacing w:line="360" w:lineRule="exact"/>
              <w:ind w:firstLine="0" w:firstLineChars="0"/>
              <w:jc w:val="center"/>
              <w:rPr>
                <w:sz w:val="21"/>
                <w:szCs w:val="21"/>
                <w:u w:val="single"/>
              </w:rPr>
            </w:pPr>
            <w:r>
              <w:rPr>
                <w:sz w:val="21"/>
                <w:szCs w:val="21"/>
                <w:u w:val="single"/>
              </w:rPr>
              <w:t>二级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DF823A8">
            <w:pPr>
              <w:widowControl/>
              <w:spacing w:line="360" w:lineRule="exact"/>
              <w:ind w:firstLine="0" w:firstLineChars="0"/>
              <w:jc w:val="center"/>
              <w:rPr>
                <w:sz w:val="21"/>
                <w:szCs w:val="21"/>
                <w:u w:val="single"/>
              </w:rPr>
            </w:pPr>
            <w:r>
              <w:rPr>
                <w:sz w:val="21"/>
                <w:szCs w:val="21"/>
                <w:u w:val="single"/>
              </w:rPr>
              <w:t>三级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37CA273">
            <w:pPr>
              <w:widowControl/>
              <w:spacing w:line="360" w:lineRule="exact"/>
              <w:ind w:firstLine="0" w:firstLineChars="0"/>
              <w:jc w:val="center"/>
              <w:rPr>
                <w:sz w:val="21"/>
                <w:szCs w:val="21"/>
                <w:u w:val="single"/>
              </w:rPr>
            </w:pPr>
            <w:r>
              <w:rPr>
                <w:sz w:val="21"/>
                <w:szCs w:val="21"/>
                <w:u w:val="single"/>
              </w:rPr>
              <w:t>简单分析</w:t>
            </w:r>
            <w:r>
              <w:rPr>
                <w:sz w:val="21"/>
                <w:szCs w:val="21"/>
                <w:u w:val="single"/>
                <w:vertAlign w:val="superscript"/>
              </w:rPr>
              <w:t>a</w:t>
            </w:r>
          </w:p>
        </w:tc>
      </w:tr>
      <w:tr w14:paraId="1E7B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6A8DFFC">
            <w:pPr>
              <w:widowControl/>
              <w:spacing w:line="360" w:lineRule="exact"/>
              <w:ind w:firstLine="0" w:firstLineChars="0"/>
              <w:jc w:val="center"/>
              <w:rPr>
                <w:sz w:val="21"/>
                <w:szCs w:val="21"/>
                <w:u w:val="single"/>
              </w:rPr>
            </w:pPr>
            <w:r>
              <w:rPr>
                <w:sz w:val="21"/>
                <w:szCs w:val="21"/>
                <w:u w:val="single"/>
              </w:rPr>
              <w:t>地表水环境</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37A57ED2">
            <w:pPr>
              <w:widowControl/>
              <w:spacing w:line="360" w:lineRule="exact"/>
              <w:ind w:firstLine="0" w:firstLineChars="0"/>
              <w:jc w:val="center"/>
              <w:rPr>
                <w:sz w:val="21"/>
                <w:szCs w:val="21"/>
                <w:u w:val="single"/>
              </w:rPr>
            </w:pPr>
            <w:r>
              <w:rPr>
                <w:sz w:val="21"/>
                <w:szCs w:val="21"/>
                <w:u w:val="single"/>
              </w:rPr>
              <w:t>一级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62FF0193">
            <w:pPr>
              <w:widowControl/>
              <w:spacing w:line="360" w:lineRule="exact"/>
              <w:ind w:firstLine="0" w:firstLineChars="0"/>
              <w:jc w:val="center"/>
              <w:rPr>
                <w:bCs/>
                <w:sz w:val="21"/>
                <w:szCs w:val="21"/>
                <w:u w:val="single"/>
              </w:rPr>
            </w:pPr>
            <w:r>
              <w:rPr>
                <w:bCs/>
                <w:sz w:val="21"/>
                <w:szCs w:val="21"/>
                <w:u w:val="single"/>
              </w:rPr>
              <w:t>二级</w:t>
            </w:r>
          </w:p>
        </w:tc>
        <w:tc>
          <w:tcPr>
            <w:tcW w:w="1000" w:type="pct"/>
            <w:tcBorders>
              <w:top w:val="single" w:color="auto" w:sz="4" w:space="0"/>
              <w:left w:val="single" w:color="auto" w:sz="4" w:space="0"/>
              <w:bottom w:val="single" w:color="auto" w:sz="4" w:space="0"/>
              <w:right w:val="single" w:color="auto" w:sz="4" w:space="0"/>
            </w:tcBorders>
            <w:shd w:val="clear" w:color="auto" w:fill="F7C890" w:themeFill="accent2" w:themeFillTint="99"/>
            <w:vAlign w:val="center"/>
          </w:tcPr>
          <w:p w14:paraId="6BEC4296">
            <w:pPr>
              <w:widowControl/>
              <w:spacing w:line="360" w:lineRule="exact"/>
              <w:ind w:firstLine="0" w:firstLineChars="0"/>
              <w:jc w:val="center"/>
              <w:rPr>
                <w:sz w:val="21"/>
                <w:szCs w:val="21"/>
                <w:u w:val="single"/>
              </w:rPr>
            </w:pPr>
            <w:r>
              <w:rPr>
                <w:sz w:val="21"/>
                <w:szCs w:val="21"/>
                <w:u w:val="single"/>
              </w:rPr>
              <w:t>三级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61C35AB1">
            <w:pPr>
              <w:widowControl/>
              <w:spacing w:line="360" w:lineRule="exact"/>
              <w:ind w:firstLine="0" w:firstLineChars="0"/>
              <w:jc w:val="center"/>
              <w:rPr>
                <w:sz w:val="21"/>
                <w:szCs w:val="21"/>
                <w:u w:val="single"/>
              </w:rPr>
            </w:pPr>
            <w:r>
              <w:rPr>
                <w:sz w:val="21"/>
                <w:szCs w:val="21"/>
                <w:u w:val="single"/>
              </w:rPr>
              <w:t>简单分析</w:t>
            </w:r>
            <w:r>
              <w:rPr>
                <w:sz w:val="21"/>
                <w:szCs w:val="21"/>
                <w:u w:val="single"/>
                <w:vertAlign w:val="superscript"/>
              </w:rPr>
              <w:t>a</w:t>
            </w:r>
          </w:p>
        </w:tc>
      </w:tr>
      <w:tr w14:paraId="51C0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76CF0E92">
            <w:pPr>
              <w:widowControl/>
              <w:spacing w:line="360" w:lineRule="exact"/>
              <w:ind w:firstLine="0" w:firstLineChars="0"/>
              <w:jc w:val="center"/>
              <w:rPr>
                <w:sz w:val="21"/>
                <w:szCs w:val="21"/>
                <w:u w:val="single"/>
              </w:rPr>
            </w:pPr>
            <w:r>
              <w:rPr>
                <w:sz w:val="21"/>
                <w:szCs w:val="21"/>
                <w:u w:val="single"/>
              </w:rPr>
              <w:t>地下水环境</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006EDCB9">
            <w:pPr>
              <w:widowControl/>
              <w:spacing w:line="360" w:lineRule="exact"/>
              <w:ind w:firstLine="0" w:firstLineChars="0"/>
              <w:jc w:val="center"/>
              <w:rPr>
                <w:bCs/>
                <w:sz w:val="21"/>
                <w:szCs w:val="21"/>
                <w:u w:val="single"/>
              </w:rPr>
            </w:pPr>
            <w:r>
              <w:rPr>
                <w:bCs/>
                <w:sz w:val="21"/>
                <w:szCs w:val="21"/>
                <w:u w:val="single"/>
              </w:rPr>
              <w:t>一级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3816450D">
            <w:pPr>
              <w:widowControl/>
              <w:spacing w:line="360" w:lineRule="exact"/>
              <w:ind w:firstLine="0" w:firstLineChars="0"/>
              <w:jc w:val="center"/>
              <w:rPr>
                <w:bCs/>
                <w:sz w:val="21"/>
                <w:szCs w:val="21"/>
                <w:u w:val="single"/>
              </w:rPr>
            </w:pPr>
            <w:r>
              <w:rPr>
                <w:bCs/>
                <w:sz w:val="21"/>
                <w:szCs w:val="21"/>
                <w:u w:val="single"/>
              </w:rPr>
              <w:t>二级</w:t>
            </w:r>
          </w:p>
        </w:tc>
        <w:tc>
          <w:tcPr>
            <w:tcW w:w="1000" w:type="pct"/>
            <w:tcBorders>
              <w:top w:val="single" w:color="auto" w:sz="4" w:space="0"/>
              <w:left w:val="single" w:color="auto" w:sz="4" w:space="0"/>
              <w:bottom w:val="single" w:color="auto" w:sz="4" w:space="0"/>
              <w:right w:val="single" w:color="auto" w:sz="4" w:space="0"/>
            </w:tcBorders>
            <w:shd w:val="clear" w:color="auto" w:fill="F7C890" w:themeFill="accent2" w:themeFillTint="99"/>
            <w:vAlign w:val="center"/>
          </w:tcPr>
          <w:p w14:paraId="4963E521">
            <w:pPr>
              <w:widowControl/>
              <w:spacing w:line="360" w:lineRule="exact"/>
              <w:ind w:firstLine="0" w:firstLineChars="0"/>
              <w:jc w:val="center"/>
              <w:rPr>
                <w:sz w:val="21"/>
                <w:szCs w:val="21"/>
                <w:u w:val="single"/>
              </w:rPr>
            </w:pPr>
            <w:r>
              <w:rPr>
                <w:sz w:val="21"/>
                <w:szCs w:val="21"/>
                <w:u w:val="single"/>
              </w:rPr>
              <w:t>三级</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185A0D64">
            <w:pPr>
              <w:widowControl/>
              <w:spacing w:line="360" w:lineRule="exact"/>
              <w:ind w:firstLine="0" w:firstLineChars="0"/>
              <w:jc w:val="center"/>
              <w:rPr>
                <w:sz w:val="21"/>
                <w:szCs w:val="21"/>
                <w:u w:val="single"/>
              </w:rPr>
            </w:pPr>
            <w:r>
              <w:rPr>
                <w:sz w:val="21"/>
                <w:szCs w:val="21"/>
                <w:u w:val="single"/>
              </w:rPr>
              <w:t>简单分析</w:t>
            </w:r>
            <w:r>
              <w:rPr>
                <w:sz w:val="21"/>
                <w:szCs w:val="21"/>
                <w:u w:val="single"/>
                <w:vertAlign w:val="superscript"/>
              </w:rPr>
              <w:t>a</w:t>
            </w:r>
          </w:p>
        </w:tc>
      </w:tr>
      <w:tr w14:paraId="4912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5D19FD29">
            <w:pPr>
              <w:widowControl/>
              <w:spacing w:line="360" w:lineRule="exact"/>
              <w:ind w:firstLine="0" w:firstLineChars="0"/>
              <w:jc w:val="center"/>
              <w:rPr>
                <w:sz w:val="21"/>
                <w:szCs w:val="21"/>
                <w:u w:val="single"/>
              </w:rPr>
            </w:pPr>
            <w:r>
              <w:rPr>
                <w:sz w:val="21"/>
                <w:szCs w:val="21"/>
                <w:u w:val="single"/>
                <w:vertAlign w:val="superscript"/>
              </w:rPr>
              <w:t>a</w:t>
            </w:r>
            <w:r>
              <w:rPr>
                <w:sz w:val="21"/>
                <w:szCs w:val="21"/>
                <w:u w:val="single"/>
              </w:rPr>
              <w:t>是相对详细评价工作内容而言，在描述危险物质、环境影响途径、环境危害后果、风险防范措施等方面给出定性的说明。见附录A。</w:t>
            </w:r>
          </w:p>
        </w:tc>
      </w:tr>
    </w:tbl>
    <w:p w14:paraId="2BB03918">
      <w:pPr>
        <w:ind w:firstLine="480"/>
        <w:rPr>
          <w:bCs/>
          <w:szCs w:val="24"/>
        </w:rPr>
        <w:sectPr>
          <w:pgSz w:w="11906" w:h="16838"/>
          <w:pgMar w:top="1701" w:right="1587" w:bottom="1701" w:left="1587" w:header="851" w:footer="1134" w:gutter="0"/>
          <w:cols w:space="720" w:num="1"/>
          <w:docGrid w:type="lines" w:linePitch="323" w:charSpace="0"/>
        </w:sectPr>
      </w:pPr>
      <w:r>
        <w:rPr>
          <w:rFonts w:hint="eastAsia"/>
          <w:bCs/>
          <w:szCs w:val="24"/>
        </w:rPr>
        <w:t>综合确定，本项目风险评价等级为二级。</w:t>
      </w:r>
    </w:p>
    <w:p w14:paraId="1D3E9395">
      <w:pPr>
        <w:pStyle w:val="4"/>
      </w:pPr>
      <w:bookmarkStart w:id="100" w:name="_Toc428286777"/>
      <w:bookmarkStart w:id="101" w:name="_Toc428287171"/>
      <w:bookmarkStart w:id="102" w:name="_Toc429318384"/>
      <w:bookmarkStart w:id="103" w:name="_Toc176105851"/>
      <w:bookmarkStart w:id="104" w:name="_Toc429318382"/>
      <w:bookmarkStart w:id="105" w:name="_Toc428287164"/>
      <w:bookmarkStart w:id="106" w:name="_Toc428286770"/>
      <w:bookmarkStart w:id="107" w:name="_Toc174155856"/>
      <w:bookmarkStart w:id="108" w:name="_Toc429318385"/>
      <w:bookmarkStart w:id="109" w:name="_Toc428287172"/>
      <w:bookmarkStart w:id="110" w:name="_Toc428286778"/>
      <w:r>
        <w:t>评价范围</w:t>
      </w:r>
      <w:bookmarkEnd w:id="100"/>
      <w:bookmarkEnd w:id="101"/>
      <w:bookmarkEnd w:id="102"/>
      <w:bookmarkEnd w:id="103"/>
    </w:p>
    <w:p w14:paraId="1D3E9396">
      <w:pPr>
        <w:ind w:firstLine="480"/>
      </w:pPr>
      <w:r>
        <w:t>根据评价分级结果，结合工程特点及项目所在区域环境特征，确定各单项环境要素及专题评价范围，具体情况见下表。</w:t>
      </w:r>
    </w:p>
    <w:p w14:paraId="1D3E9397">
      <w:pPr>
        <w:pStyle w:val="64"/>
        <w:numPr>
          <w:ilvl w:val="2"/>
          <w:numId w:val="6"/>
        </w:numPr>
        <w:spacing w:before="161"/>
        <w:ind w:left="0" w:firstLine="480" w:firstLineChars="200"/>
      </w:pPr>
      <w:r>
        <w:t xml:space="preserve">         工程各环境要素及专题的评价范围</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802"/>
        <w:gridCol w:w="6369"/>
      </w:tblGrid>
      <w:tr w14:paraId="1D3E9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4" w:type="pct"/>
            <w:vAlign w:val="center"/>
          </w:tcPr>
          <w:p w14:paraId="1D3E9398">
            <w:pPr>
              <w:pStyle w:val="67"/>
              <w:rPr>
                <w:rFonts w:cs="Times New Roman"/>
                <w:color w:val="auto"/>
              </w:rPr>
            </w:pPr>
            <w:r>
              <w:rPr>
                <w:rFonts w:cs="Times New Roman"/>
                <w:color w:val="auto"/>
              </w:rPr>
              <w:t>序号</w:t>
            </w:r>
          </w:p>
        </w:tc>
        <w:tc>
          <w:tcPr>
            <w:tcW w:w="1007" w:type="pct"/>
            <w:vAlign w:val="center"/>
          </w:tcPr>
          <w:p w14:paraId="1D3E9399">
            <w:pPr>
              <w:pStyle w:val="67"/>
              <w:rPr>
                <w:rFonts w:cs="Times New Roman"/>
                <w:color w:val="auto"/>
              </w:rPr>
            </w:pPr>
            <w:r>
              <w:rPr>
                <w:rFonts w:cs="Times New Roman"/>
                <w:color w:val="auto"/>
              </w:rPr>
              <w:t>评价项目</w:t>
            </w:r>
          </w:p>
        </w:tc>
        <w:tc>
          <w:tcPr>
            <w:tcW w:w="3769" w:type="pct"/>
            <w:vAlign w:val="center"/>
          </w:tcPr>
          <w:p w14:paraId="1D3E939A">
            <w:pPr>
              <w:pStyle w:val="67"/>
              <w:rPr>
                <w:rFonts w:cs="Times New Roman"/>
                <w:color w:val="auto"/>
              </w:rPr>
            </w:pPr>
            <w:r>
              <w:rPr>
                <w:rFonts w:cs="Times New Roman"/>
                <w:color w:val="auto"/>
              </w:rPr>
              <w:t>评价范围</w:t>
            </w:r>
          </w:p>
        </w:tc>
      </w:tr>
      <w:tr w14:paraId="1D3E9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Align w:val="center"/>
          </w:tcPr>
          <w:p w14:paraId="1D3E939C">
            <w:pPr>
              <w:pStyle w:val="62"/>
            </w:pPr>
            <w:r>
              <w:t>1</w:t>
            </w:r>
          </w:p>
        </w:tc>
        <w:tc>
          <w:tcPr>
            <w:tcW w:w="1007" w:type="pct"/>
            <w:vAlign w:val="center"/>
          </w:tcPr>
          <w:p w14:paraId="1D3E939D">
            <w:pPr>
              <w:pStyle w:val="62"/>
            </w:pPr>
            <w:r>
              <w:t>地表水环境</w:t>
            </w:r>
          </w:p>
        </w:tc>
        <w:tc>
          <w:tcPr>
            <w:tcW w:w="3769" w:type="pct"/>
            <w:vAlign w:val="center"/>
          </w:tcPr>
          <w:p w14:paraId="1D3E939E">
            <w:pPr>
              <w:pStyle w:val="62"/>
            </w:pPr>
            <w:r>
              <w:t>主要进行废水纳管依托污水处理设施环境可行性分析</w:t>
            </w:r>
          </w:p>
        </w:tc>
      </w:tr>
      <w:tr w14:paraId="1D3E9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Align w:val="center"/>
          </w:tcPr>
          <w:p w14:paraId="1D3E93A0">
            <w:pPr>
              <w:pStyle w:val="62"/>
            </w:pPr>
            <w:r>
              <w:t>2</w:t>
            </w:r>
          </w:p>
        </w:tc>
        <w:tc>
          <w:tcPr>
            <w:tcW w:w="1007" w:type="pct"/>
            <w:vAlign w:val="center"/>
          </w:tcPr>
          <w:p w14:paraId="1D3E93A1">
            <w:pPr>
              <w:pStyle w:val="62"/>
            </w:pPr>
            <w:r>
              <w:t>环境空气</w:t>
            </w:r>
          </w:p>
        </w:tc>
        <w:tc>
          <w:tcPr>
            <w:tcW w:w="3769" w:type="pct"/>
            <w:vAlign w:val="center"/>
          </w:tcPr>
          <w:p w14:paraId="1D3E93A2">
            <w:pPr>
              <w:pStyle w:val="62"/>
            </w:pPr>
            <w:r>
              <w:t>以本工程厂址为中心，边长5km的矩形区域，评价区域面积25km</w:t>
            </w:r>
            <w:r>
              <w:rPr>
                <w:vertAlign w:val="superscript"/>
              </w:rPr>
              <w:t>2</w:t>
            </w:r>
          </w:p>
        </w:tc>
      </w:tr>
      <w:tr w14:paraId="1D3E93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Align w:val="center"/>
          </w:tcPr>
          <w:p w14:paraId="1D3E93A4">
            <w:pPr>
              <w:pStyle w:val="62"/>
              <w:rPr>
                <w:u w:val="single"/>
              </w:rPr>
            </w:pPr>
            <w:r>
              <w:rPr>
                <w:u w:val="single"/>
              </w:rPr>
              <w:t>3</w:t>
            </w:r>
          </w:p>
        </w:tc>
        <w:tc>
          <w:tcPr>
            <w:tcW w:w="1007" w:type="pct"/>
            <w:vAlign w:val="center"/>
          </w:tcPr>
          <w:p w14:paraId="1D3E93A5">
            <w:pPr>
              <w:pStyle w:val="62"/>
              <w:rPr>
                <w:u w:val="single"/>
              </w:rPr>
            </w:pPr>
            <w:r>
              <w:rPr>
                <w:u w:val="single"/>
              </w:rPr>
              <w:t>地下水环境</w:t>
            </w:r>
          </w:p>
        </w:tc>
        <w:tc>
          <w:tcPr>
            <w:tcW w:w="3769" w:type="pct"/>
            <w:vAlign w:val="center"/>
          </w:tcPr>
          <w:p w14:paraId="1D3E93A6">
            <w:pPr>
              <w:pStyle w:val="62"/>
              <w:rPr>
                <w:u w:val="single"/>
              </w:rPr>
            </w:pPr>
            <w:r>
              <w:rPr>
                <w:u w:val="single"/>
              </w:rPr>
              <w:t>评价范围为</w:t>
            </w:r>
            <w:r>
              <w:rPr>
                <w:rFonts w:hint="eastAsia"/>
                <w:u w:val="single"/>
              </w:rPr>
              <w:t>29</w:t>
            </w:r>
            <w:r>
              <w:rPr>
                <w:u w:val="single"/>
              </w:rPr>
              <w:t>km</w:t>
            </w:r>
            <w:r>
              <w:rPr>
                <w:u w:val="single"/>
                <w:vertAlign w:val="superscript"/>
              </w:rPr>
              <w:t>2</w:t>
            </w:r>
          </w:p>
        </w:tc>
      </w:tr>
      <w:tr w14:paraId="1D3E9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Align w:val="center"/>
          </w:tcPr>
          <w:p w14:paraId="1D3E93A8">
            <w:pPr>
              <w:pStyle w:val="62"/>
            </w:pPr>
            <w:r>
              <w:t>4</w:t>
            </w:r>
          </w:p>
        </w:tc>
        <w:tc>
          <w:tcPr>
            <w:tcW w:w="1007" w:type="pct"/>
            <w:vAlign w:val="center"/>
          </w:tcPr>
          <w:p w14:paraId="1D3E93A9">
            <w:pPr>
              <w:pStyle w:val="62"/>
            </w:pPr>
            <w:r>
              <w:t>声环境</w:t>
            </w:r>
          </w:p>
        </w:tc>
        <w:tc>
          <w:tcPr>
            <w:tcW w:w="3769" w:type="pct"/>
            <w:vAlign w:val="center"/>
          </w:tcPr>
          <w:p w14:paraId="1D3E93AA">
            <w:pPr>
              <w:pStyle w:val="62"/>
            </w:pPr>
            <w:r>
              <w:t>厂界外200m范围</w:t>
            </w:r>
          </w:p>
        </w:tc>
      </w:tr>
      <w:tr w14:paraId="1D3E9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Align w:val="center"/>
          </w:tcPr>
          <w:p w14:paraId="1D3E93AC">
            <w:pPr>
              <w:pStyle w:val="62"/>
            </w:pPr>
            <w:r>
              <w:t>5</w:t>
            </w:r>
          </w:p>
        </w:tc>
        <w:tc>
          <w:tcPr>
            <w:tcW w:w="1007" w:type="pct"/>
            <w:vAlign w:val="center"/>
          </w:tcPr>
          <w:p w14:paraId="1D3E93AD">
            <w:pPr>
              <w:pStyle w:val="62"/>
            </w:pPr>
            <w:r>
              <w:t>土壤环境</w:t>
            </w:r>
          </w:p>
        </w:tc>
        <w:tc>
          <w:tcPr>
            <w:tcW w:w="3769" w:type="pct"/>
            <w:vAlign w:val="center"/>
          </w:tcPr>
          <w:p w14:paraId="1D3E93AE">
            <w:pPr>
              <w:pStyle w:val="62"/>
            </w:pPr>
            <w:r>
              <w:t>厂址及厂界外200m范围</w:t>
            </w:r>
          </w:p>
        </w:tc>
      </w:tr>
      <w:tr w14:paraId="1D3E9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Align w:val="center"/>
          </w:tcPr>
          <w:p w14:paraId="1D3E93B0">
            <w:pPr>
              <w:pStyle w:val="62"/>
            </w:pPr>
            <w:r>
              <w:t>6</w:t>
            </w:r>
          </w:p>
        </w:tc>
        <w:tc>
          <w:tcPr>
            <w:tcW w:w="1007" w:type="pct"/>
            <w:vAlign w:val="center"/>
          </w:tcPr>
          <w:p w14:paraId="1D3E93B1">
            <w:pPr>
              <w:pStyle w:val="62"/>
            </w:pPr>
            <w:r>
              <w:t>环境风险</w:t>
            </w:r>
          </w:p>
        </w:tc>
        <w:tc>
          <w:tcPr>
            <w:tcW w:w="3769" w:type="pct"/>
            <w:vAlign w:val="center"/>
          </w:tcPr>
          <w:p w14:paraId="1D3E93B2">
            <w:pPr>
              <w:pStyle w:val="62"/>
            </w:pPr>
            <w:r>
              <w:t>项目厂界向四周外延5km</w:t>
            </w:r>
          </w:p>
        </w:tc>
      </w:tr>
      <w:bookmarkEnd w:id="104"/>
      <w:bookmarkEnd w:id="105"/>
      <w:bookmarkEnd w:id="106"/>
      <w:bookmarkEnd w:id="107"/>
    </w:tbl>
    <w:p w14:paraId="1D3E93D5">
      <w:pPr>
        <w:pStyle w:val="4"/>
      </w:pPr>
      <w:bookmarkStart w:id="111" w:name="_Toc176105852"/>
      <w:r>
        <w:t>环境敏感点概述</w:t>
      </w:r>
      <w:bookmarkEnd w:id="108"/>
      <w:bookmarkEnd w:id="111"/>
    </w:p>
    <w:p w14:paraId="1D3E93D6">
      <w:pPr>
        <w:spacing w:line="240" w:lineRule="auto"/>
        <w:ind w:firstLine="480"/>
      </w:pPr>
      <w:bookmarkStart w:id="112" w:name="_Toc429318386"/>
      <w:r>
        <w:t>本项目环境敏感点示意图见下图：</w:t>
      </w:r>
    </w:p>
    <w:p w14:paraId="58B1F0BA">
      <w:pPr>
        <w:pStyle w:val="2"/>
        <w:spacing w:after="0" w:line="360" w:lineRule="auto"/>
        <w:ind w:firstLine="0" w:firstLineChars="0"/>
        <w:jc w:val="center"/>
      </w:pPr>
      <w:r>
        <w:drawing>
          <wp:inline distT="0" distB="0" distL="0" distR="0">
            <wp:extent cx="5032375" cy="5154295"/>
            <wp:effectExtent l="0" t="0" r="15875" b="8255"/>
            <wp:docPr id="160862399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23990" name="图片 1" descr="地图&#10;&#10;描述已自动生成"/>
                    <pic:cNvPicPr>
                      <a:picLocks noChangeAspect="1"/>
                    </pic:cNvPicPr>
                  </pic:nvPicPr>
                  <pic:blipFill>
                    <a:blip r:embed="rId47"/>
                    <a:stretch>
                      <a:fillRect/>
                    </a:stretch>
                  </pic:blipFill>
                  <pic:spPr>
                    <a:xfrm>
                      <a:off x="0" y="0"/>
                      <a:ext cx="5032375" cy="5169283"/>
                    </a:xfrm>
                    <a:prstGeom prst="rect">
                      <a:avLst/>
                    </a:prstGeom>
                  </pic:spPr>
                </pic:pic>
              </a:graphicData>
            </a:graphic>
          </wp:inline>
        </w:drawing>
      </w:r>
    </w:p>
    <w:p w14:paraId="1D3E93D8">
      <w:pPr>
        <w:pStyle w:val="68"/>
        <w:numPr>
          <w:ilvl w:val="0"/>
          <w:numId w:val="7"/>
        </w:numPr>
        <w:ind w:left="0" w:firstLine="0"/>
        <w:rPr>
          <w:rFonts w:eastAsia="黑体"/>
          <w:u w:val="single"/>
        </w:rPr>
      </w:pPr>
      <w:r>
        <w:rPr>
          <w:u w:val="single"/>
        </w:rPr>
        <w:t xml:space="preserve">  </w:t>
      </w:r>
      <w:r>
        <w:rPr>
          <w:rFonts w:eastAsia="黑体"/>
          <w:u w:val="single"/>
        </w:rPr>
        <w:t>本项目周围环境敏感点示意图</w:t>
      </w:r>
    </w:p>
    <w:p w14:paraId="4FF6300C">
      <w:pPr>
        <w:ind w:firstLine="482"/>
        <w:outlineLvl w:val="2"/>
      </w:pPr>
      <w:r>
        <w:rPr>
          <w:rFonts w:hint="eastAsia"/>
          <w:b/>
          <w:bCs/>
        </w:rPr>
        <w:t>2</w:t>
      </w:r>
      <w:r>
        <w:rPr>
          <w:b/>
          <w:bCs/>
        </w:rPr>
        <w:t>.7.1</w:t>
      </w:r>
      <w:r>
        <w:rPr>
          <w:rFonts w:hint="eastAsia"/>
          <w:b/>
          <w:bCs/>
        </w:rPr>
        <w:t>环境空气、地表水保护目标</w:t>
      </w:r>
    </w:p>
    <w:p w14:paraId="3EE3667A">
      <w:pPr>
        <w:ind w:firstLine="480"/>
      </w:pPr>
      <w:r>
        <w:t>本项目</w:t>
      </w:r>
      <w:r>
        <w:rPr>
          <w:rFonts w:hint="eastAsia"/>
        </w:rPr>
        <w:t>周边环境环境空气、地表水环境保护目标见下表。</w:t>
      </w:r>
    </w:p>
    <w:p w14:paraId="0272A5C4">
      <w:pPr>
        <w:pStyle w:val="64"/>
        <w:numPr>
          <w:ilvl w:val="0"/>
          <w:numId w:val="8"/>
        </w:numPr>
        <w:spacing w:before="161"/>
        <w:ind w:firstLineChars="0"/>
      </w:pPr>
      <w:r>
        <w:t xml:space="preserve">              评价区域敏感点情况</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16"/>
        <w:gridCol w:w="1409"/>
        <w:gridCol w:w="686"/>
        <w:gridCol w:w="656"/>
        <w:gridCol w:w="828"/>
        <w:gridCol w:w="1000"/>
        <w:gridCol w:w="859"/>
        <w:gridCol w:w="715"/>
        <w:gridCol w:w="857"/>
        <w:gridCol w:w="1362"/>
      </w:tblGrid>
      <w:tr w14:paraId="7DEAD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36" w:type="pct"/>
            <w:vMerge w:val="restart"/>
            <w:vAlign w:val="center"/>
          </w:tcPr>
          <w:p w14:paraId="034E082E">
            <w:pPr>
              <w:pStyle w:val="67"/>
              <w:rPr>
                <w:rFonts w:cs="Times New Roman"/>
                <w:color w:val="auto"/>
              </w:rPr>
            </w:pPr>
            <w:r>
              <w:rPr>
                <w:rFonts w:cs="Times New Roman"/>
                <w:color w:val="auto"/>
              </w:rPr>
              <w:t>序列</w:t>
            </w:r>
          </w:p>
        </w:tc>
        <w:tc>
          <w:tcPr>
            <w:tcW w:w="802" w:type="pct"/>
            <w:vMerge w:val="restart"/>
            <w:vAlign w:val="center"/>
          </w:tcPr>
          <w:p w14:paraId="041FCEEF">
            <w:pPr>
              <w:pStyle w:val="67"/>
              <w:rPr>
                <w:rFonts w:cs="Times New Roman"/>
                <w:color w:val="auto"/>
              </w:rPr>
            </w:pPr>
            <w:r>
              <w:rPr>
                <w:rFonts w:cs="Times New Roman"/>
                <w:color w:val="auto"/>
              </w:rPr>
              <w:t>保护目标</w:t>
            </w:r>
          </w:p>
        </w:tc>
        <w:tc>
          <w:tcPr>
            <w:tcW w:w="763" w:type="pct"/>
            <w:gridSpan w:val="2"/>
            <w:vAlign w:val="center"/>
          </w:tcPr>
          <w:p w14:paraId="53525474">
            <w:pPr>
              <w:pStyle w:val="67"/>
              <w:rPr>
                <w:rFonts w:cs="Times New Roman"/>
                <w:color w:val="auto"/>
              </w:rPr>
            </w:pPr>
            <w:r>
              <w:rPr>
                <w:rFonts w:cs="Times New Roman"/>
                <w:color w:val="auto"/>
              </w:rPr>
              <w:t>坐标（m）</w:t>
            </w:r>
          </w:p>
        </w:tc>
        <w:tc>
          <w:tcPr>
            <w:tcW w:w="471" w:type="pct"/>
            <w:vMerge w:val="restart"/>
            <w:vAlign w:val="center"/>
          </w:tcPr>
          <w:p w14:paraId="187ED7BC">
            <w:pPr>
              <w:pStyle w:val="67"/>
              <w:rPr>
                <w:rFonts w:cs="Times New Roman"/>
                <w:color w:val="auto"/>
              </w:rPr>
            </w:pPr>
            <w:r>
              <w:rPr>
                <w:rFonts w:hint="eastAsia" w:cs="Times New Roman"/>
                <w:color w:val="auto"/>
              </w:rPr>
              <w:t>环境功能区</w:t>
            </w:r>
          </w:p>
        </w:tc>
        <w:tc>
          <w:tcPr>
            <w:tcW w:w="569" w:type="pct"/>
            <w:vMerge w:val="restart"/>
            <w:vAlign w:val="center"/>
          </w:tcPr>
          <w:p w14:paraId="552708DC">
            <w:pPr>
              <w:pStyle w:val="67"/>
              <w:rPr>
                <w:rFonts w:cs="Times New Roman"/>
                <w:color w:val="auto"/>
              </w:rPr>
            </w:pPr>
            <w:r>
              <w:rPr>
                <w:rFonts w:cs="Times New Roman"/>
                <w:color w:val="auto"/>
              </w:rPr>
              <w:t>保护</w:t>
            </w:r>
            <w:r>
              <w:rPr>
                <w:rFonts w:hint="eastAsia" w:cs="Times New Roman"/>
                <w:color w:val="auto"/>
              </w:rPr>
              <w:t>对象</w:t>
            </w:r>
          </w:p>
        </w:tc>
        <w:tc>
          <w:tcPr>
            <w:tcW w:w="489" w:type="pct"/>
            <w:vMerge w:val="restart"/>
            <w:vAlign w:val="center"/>
          </w:tcPr>
          <w:p w14:paraId="50354197">
            <w:pPr>
              <w:pStyle w:val="67"/>
              <w:rPr>
                <w:rFonts w:cs="Times New Roman"/>
                <w:color w:val="auto"/>
              </w:rPr>
            </w:pPr>
            <w:r>
              <w:rPr>
                <w:rFonts w:hint="eastAsia" w:cs="Times New Roman"/>
                <w:color w:val="auto"/>
              </w:rPr>
              <w:t>保护</w:t>
            </w:r>
          </w:p>
          <w:p w14:paraId="3170BE44">
            <w:pPr>
              <w:pStyle w:val="67"/>
              <w:rPr>
                <w:rFonts w:cs="Times New Roman"/>
                <w:color w:val="auto"/>
              </w:rPr>
            </w:pPr>
            <w:r>
              <w:rPr>
                <w:rFonts w:hint="eastAsia" w:cs="Times New Roman"/>
                <w:color w:val="auto"/>
              </w:rPr>
              <w:t>内容</w:t>
            </w:r>
          </w:p>
        </w:tc>
        <w:tc>
          <w:tcPr>
            <w:tcW w:w="407" w:type="pct"/>
            <w:vMerge w:val="restart"/>
            <w:vAlign w:val="center"/>
          </w:tcPr>
          <w:p w14:paraId="558BB74A">
            <w:pPr>
              <w:pStyle w:val="67"/>
              <w:rPr>
                <w:rFonts w:cs="Times New Roman"/>
                <w:color w:val="auto"/>
              </w:rPr>
            </w:pPr>
            <w:r>
              <w:rPr>
                <w:rFonts w:cs="Times New Roman"/>
                <w:color w:val="auto"/>
              </w:rPr>
              <w:t>相对</w:t>
            </w:r>
          </w:p>
          <w:p w14:paraId="6C0363C7">
            <w:pPr>
              <w:pStyle w:val="67"/>
              <w:rPr>
                <w:rFonts w:cs="Times New Roman"/>
                <w:color w:val="auto"/>
              </w:rPr>
            </w:pPr>
            <w:r>
              <w:rPr>
                <w:rFonts w:cs="Times New Roman"/>
                <w:color w:val="auto"/>
              </w:rPr>
              <w:t>方位</w:t>
            </w:r>
          </w:p>
        </w:tc>
        <w:tc>
          <w:tcPr>
            <w:tcW w:w="488" w:type="pct"/>
            <w:vMerge w:val="restart"/>
            <w:vAlign w:val="center"/>
          </w:tcPr>
          <w:p w14:paraId="5917B796">
            <w:pPr>
              <w:pStyle w:val="67"/>
              <w:rPr>
                <w:rFonts w:cs="Times New Roman"/>
                <w:color w:val="auto"/>
              </w:rPr>
            </w:pPr>
            <w:r>
              <w:rPr>
                <w:rFonts w:cs="Times New Roman"/>
                <w:color w:val="auto"/>
              </w:rPr>
              <w:t>距厂界距离(m)</w:t>
            </w:r>
          </w:p>
        </w:tc>
        <w:tc>
          <w:tcPr>
            <w:tcW w:w="775" w:type="pct"/>
            <w:vMerge w:val="restart"/>
            <w:vAlign w:val="center"/>
          </w:tcPr>
          <w:p w14:paraId="0DCEADC8">
            <w:pPr>
              <w:pStyle w:val="67"/>
              <w:rPr>
                <w:rFonts w:cs="Times New Roman"/>
                <w:color w:val="auto"/>
              </w:rPr>
            </w:pPr>
            <w:r>
              <w:rPr>
                <w:rFonts w:hint="eastAsia" w:cs="Times New Roman"/>
                <w:color w:val="auto"/>
              </w:rPr>
              <w:t>保护级别</w:t>
            </w:r>
          </w:p>
        </w:tc>
      </w:tr>
      <w:tr w14:paraId="59749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36" w:type="pct"/>
            <w:vMerge w:val="continue"/>
            <w:vAlign w:val="center"/>
          </w:tcPr>
          <w:p w14:paraId="3648A8B9">
            <w:pPr>
              <w:pStyle w:val="67"/>
              <w:rPr>
                <w:rFonts w:cs="Times New Roman"/>
                <w:color w:val="auto"/>
              </w:rPr>
            </w:pPr>
          </w:p>
        </w:tc>
        <w:tc>
          <w:tcPr>
            <w:tcW w:w="802" w:type="pct"/>
            <w:vMerge w:val="continue"/>
            <w:vAlign w:val="center"/>
          </w:tcPr>
          <w:p w14:paraId="160E96F0">
            <w:pPr>
              <w:pStyle w:val="67"/>
              <w:rPr>
                <w:rFonts w:cs="Times New Roman"/>
                <w:color w:val="auto"/>
              </w:rPr>
            </w:pPr>
          </w:p>
        </w:tc>
        <w:tc>
          <w:tcPr>
            <w:tcW w:w="390" w:type="pct"/>
            <w:vAlign w:val="center"/>
          </w:tcPr>
          <w:p w14:paraId="48C120B8">
            <w:pPr>
              <w:pStyle w:val="67"/>
              <w:rPr>
                <w:rFonts w:cs="Times New Roman"/>
                <w:color w:val="auto"/>
              </w:rPr>
            </w:pPr>
            <w:r>
              <w:rPr>
                <w:rFonts w:cs="Times New Roman"/>
                <w:color w:val="auto"/>
              </w:rPr>
              <w:t>X</w:t>
            </w:r>
          </w:p>
        </w:tc>
        <w:tc>
          <w:tcPr>
            <w:tcW w:w="373" w:type="pct"/>
            <w:vAlign w:val="center"/>
          </w:tcPr>
          <w:p w14:paraId="34112124">
            <w:pPr>
              <w:pStyle w:val="67"/>
              <w:rPr>
                <w:rFonts w:cs="Times New Roman"/>
                <w:color w:val="auto"/>
              </w:rPr>
            </w:pPr>
            <w:r>
              <w:rPr>
                <w:rFonts w:cs="Times New Roman"/>
                <w:color w:val="auto"/>
              </w:rPr>
              <w:t>Y</w:t>
            </w:r>
          </w:p>
        </w:tc>
        <w:tc>
          <w:tcPr>
            <w:tcW w:w="471" w:type="pct"/>
            <w:vMerge w:val="continue"/>
            <w:vAlign w:val="center"/>
          </w:tcPr>
          <w:p w14:paraId="103123F1">
            <w:pPr>
              <w:pStyle w:val="67"/>
              <w:rPr>
                <w:rFonts w:cs="Times New Roman"/>
                <w:color w:val="auto"/>
              </w:rPr>
            </w:pPr>
          </w:p>
        </w:tc>
        <w:tc>
          <w:tcPr>
            <w:tcW w:w="569" w:type="pct"/>
            <w:vMerge w:val="continue"/>
            <w:vAlign w:val="center"/>
          </w:tcPr>
          <w:p w14:paraId="483CA16D">
            <w:pPr>
              <w:pStyle w:val="67"/>
              <w:rPr>
                <w:rFonts w:cs="Times New Roman"/>
                <w:color w:val="auto"/>
              </w:rPr>
            </w:pPr>
          </w:p>
        </w:tc>
        <w:tc>
          <w:tcPr>
            <w:tcW w:w="489" w:type="pct"/>
            <w:vMerge w:val="continue"/>
            <w:vAlign w:val="center"/>
          </w:tcPr>
          <w:p w14:paraId="2441C78D">
            <w:pPr>
              <w:pStyle w:val="67"/>
              <w:rPr>
                <w:rFonts w:cs="Times New Roman"/>
                <w:color w:val="auto"/>
                <w:highlight w:val="yellow"/>
              </w:rPr>
            </w:pPr>
          </w:p>
        </w:tc>
        <w:tc>
          <w:tcPr>
            <w:tcW w:w="407" w:type="pct"/>
            <w:vMerge w:val="continue"/>
            <w:vAlign w:val="center"/>
          </w:tcPr>
          <w:p w14:paraId="5909BA5F">
            <w:pPr>
              <w:pStyle w:val="67"/>
              <w:rPr>
                <w:rFonts w:cs="Times New Roman"/>
                <w:color w:val="auto"/>
                <w:highlight w:val="yellow"/>
              </w:rPr>
            </w:pPr>
          </w:p>
        </w:tc>
        <w:tc>
          <w:tcPr>
            <w:tcW w:w="488" w:type="pct"/>
            <w:vMerge w:val="continue"/>
            <w:vAlign w:val="center"/>
          </w:tcPr>
          <w:p w14:paraId="653FBE4E">
            <w:pPr>
              <w:pStyle w:val="67"/>
              <w:rPr>
                <w:rFonts w:cs="Times New Roman"/>
                <w:color w:val="auto"/>
                <w:highlight w:val="yellow"/>
              </w:rPr>
            </w:pPr>
          </w:p>
        </w:tc>
        <w:tc>
          <w:tcPr>
            <w:tcW w:w="775" w:type="pct"/>
            <w:vMerge w:val="continue"/>
            <w:vAlign w:val="center"/>
          </w:tcPr>
          <w:p w14:paraId="5CB52F04">
            <w:pPr>
              <w:pStyle w:val="67"/>
              <w:rPr>
                <w:rFonts w:cs="Times New Roman"/>
                <w:color w:val="auto"/>
                <w:highlight w:val="yellow"/>
              </w:rPr>
            </w:pPr>
          </w:p>
        </w:tc>
      </w:tr>
      <w:tr w14:paraId="22143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67D75F80">
            <w:pPr>
              <w:pStyle w:val="62"/>
              <w:rPr>
                <w:kern w:val="2"/>
              </w:rPr>
            </w:pPr>
            <w:r>
              <w:t>1</w:t>
            </w:r>
          </w:p>
        </w:tc>
        <w:tc>
          <w:tcPr>
            <w:tcW w:w="802" w:type="pct"/>
            <w:vAlign w:val="center"/>
          </w:tcPr>
          <w:p w14:paraId="245F754B">
            <w:pPr>
              <w:pStyle w:val="62"/>
              <w:rPr>
                <w:b/>
                <w:highlight w:val="yellow"/>
              </w:rPr>
            </w:pPr>
            <w:r>
              <w:rPr>
                <w:rFonts w:hint="eastAsia"/>
              </w:rPr>
              <w:t>代庄村</w:t>
            </w:r>
          </w:p>
        </w:tc>
        <w:tc>
          <w:tcPr>
            <w:tcW w:w="390" w:type="pct"/>
            <w:vAlign w:val="center"/>
          </w:tcPr>
          <w:p w14:paraId="7D237BE9">
            <w:pPr>
              <w:pStyle w:val="62"/>
            </w:pPr>
            <w:r>
              <w:rPr>
                <w:rFonts w:hint="eastAsia"/>
              </w:rPr>
              <w:t>-1690</w:t>
            </w:r>
          </w:p>
        </w:tc>
        <w:tc>
          <w:tcPr>
            <w:tcW w:w="373" w:type="pct"/>
            <w:vAlign w:val="center"/>
          </w:tcPr>
          <w:p w14:paraId="5555864A">
            <w:pPr>
              <w:pStyle w:val="62"/>
            </w:pPr>
            <w:r>
              <w:rPr>
                <w:rFonts w:hint="eastAsia"/>
              </w:rPr>
              <w:t>0</w:t>
            </w:r>
          </w:p>
        </w:tc>
        <w:tc>
          <w:tcPr>
            <w:tcW w:w="471" w:type="pct"/>
            <w:vAlign w:val="center"/>
          </w:tcPr>
          <w:p w14:paraId="4D0DAD68">
            <w:pPr>
              <w:pStyle w:val="62"/>
            </w:pPr>
            <w:r>
              <w:t>居住区</w:t>
            </w:r>
          </w:p>
        </w:tc>
        <w:tc>
          <w:tcPr>
            <w:tcW w:w="569" w:type="pct"/>
            <w:vAlign w:val="center"/>
          </w:tcPr>
          <w:p w14:paraId="20C25789">
            <w:pPr>
              <w:pStyle w:val="62"/>
            </w:pPr>
            <w:r>
              <w:rPr>
                <w:rFonts w:hint="eastAsia"/>
              </w:rPr>
              <w:t>居民</w:t>
            </w:r>
          </w:p>
        </w:tc>
        <w:tc>
          <w:tcPr>
            <w:tcW w:w="489" w:type="pct"/>
            <w:vAlign w:val="center"/>
          </w:tcPr>
          <w:p w14:paraId="6D4D2879">
            <w:pPr>
              <w:pStyle w:val="62"/>
              <w:rPr>
                <w:highlight w:val="yellow"/>
              </w:rPr>
            </w:pPr>
            <w:r>
              <w:rPr>
                <w:rFonts w:hint="eastAsia"/>
              </w:rPr>
              <w:t>1690</w:t>
            </w:r>
          </w:p>
        </w:tc>
        <w:tc>
          <w:tcPr>
            <w:tcW w:w="407" w:type="pct"/>
            <w:vAlign w:val="center"/>
          </w:tcPr>
          <w:p w14:paraId="5AA4D3B2">
            <w:pPr>
              <w:pStyle w:val="62"/>
              <w:rPr>
                <w:highlight w:val="yellow"/>
              </w:rPr>
            </w:pPr>
            <w:r>
              <w:rPr>
                <w:rFonts w:hint="eastAsia"/>
              </w:rPr>
              <w:t>西</w:t>
            </w:r>
          </w:p>
        </w:tc>
        <w:tc>
          <w:tcPr>
            <w:tcW w:w="488" w:type="pct"/>
            <w:vAlign w:val="center"/>
          </w:tcPr>
          <w:p w14:paraId="005A44F6">
            <w:pPr>
              <w:pStyle w:val="62"/>
              <w:rPr>
                <w:highlight w:val="yellow"/>
              </w:rPr>
            </w:pPr>
            <w:r>
              <w:rPr>
                <w:rFonts w:hint="eastAsia"/>
              </w:rPr>
              <w:t>830</w:t>
            </w:r>
          </w:p>
        </w:tc>
        <w:tc>
          <w:tcPr>
            <w:tcW w:w="775" w:type="pct"/>
            <w:vMerge w:val="restart"/>
            <w:vAlign w:val="center"/>
          </w:tcPr>
          <w:p w14:paraId="35EDAEE4">
            <w:pPr>
              <w:pStyle w:val="62"/>
            </w:pPr>
            <w:r>
              <w:t>《环境空气质量标准》（GB3095</w:t>
            </w:r>
          </w:p>
          <w:p w14:paraId="7A5B220D">
            <w:pPr>
              <w:pStyle w:val="62"/>
            </w:pPr>
            <w:r>
              <w:t>-2012）二级标准、《声环境质量标准》（GB3096</w:t>
            </w:r>
          </w:p>
          <w:p w14:paraId="3548606E">
            <w:pPr>
              <w:pStyle w:val="62"/>
            </w:pPr>
            <w:r>
              <w:t>-2008）2类</w:t>
            </w:r>
          </w:p>
        </w:tc>
      </w:tr>
      <w:tr w14:paraId="40609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7C90FBEF">
            <w:pPr>
              <w:pStyle w:val="62"/>
              <w:rPr>
                <w:kern w:val="2"/>
              </w:rPr>
            </w:pPr>
            <w:r>
              <w:t>2</w:t>
            </w:r>
          </w:p>
        </w:tc>
        <w:tc>
          <w:tcPr>
            <w:tcW w:w="802" w:type="pct"/>
            <w:vAlign w:val="center"/>
          </w:tcPr>
          <w:p w14:paraId="57B195C1">
            <w:pPr>
              <w:pStyle w:val="62"/>
              <w:rPr>
                <w:highlight w:val="yellow"/>
              </w:rPr>
            </w:pPr>
            <w:r>
              <w:rPr>
                <w:rFonts w:hint="eastAsia"/>
              </w:rPr>
              <w:t>仁里屯村</w:t>
            </w:r>
          </w:p>
        </w:tc>
        <w:tc>
          <w:tcPr>
            <w:tcW w:w="390" w:type="pct"/>
            <w:vAlign w:val="center"/>
          </w:tcPr>
          <w:p w14:paraId="52CAEA06">
            <w:pPr>
              <w:pStyle w:val="62"/>
            </w:pPr>
            <w:r>
              <w:rPr>
                <w:rFonts w:hint="eastAsia"/>
              </w:rPr>
              <w:t>-415</w:t>
            </w:r>
          </w:p>
        </w:tc>
        <w:tc>
          <w:tcPr>
            <w:tcW w:w="373" w:type="pct"/>
            <w:vAlign w:val="center"/>
          </w:tcPr>
          <w:p w14:paraId="4D80CB02">
            <w:pPr>
              <w:pStyle w:val="62"/>
            </w:pPr>
            <w:r>
              <w:rPr>
                <w:rFonts w:hint="eastAsia"/>
              </w:rPr>
              <w:t>-478</w:t>
            </w:r>
          </w:p>
        </w:tc>
        <w:tc>
          <w:tcPr>
            <w:tcW w:w="471" w:type="pct"/>
            <w:vAlign w:val="center"/>
          </w:tcPr>
          <w:p w14:paraId="60F8FBF8">
            <w:pPr>
              <w:pStyle w:val="62"/>
            </w:pPr>
            <w:r>
              <w:t>居住区</w:t>
            </w:r>
          </w:p>
        </w:tc>
        <w:tc>
          <w:tcPr>
            <w:tcW w:w="569" w:type="pct"/>
            <w:vAlign w:val="center"/>
          </w:tcPr>
          <w:p w14:paraId="4AE736AE">
            <w:pPr>
              <w:pStyle w:val="62"/>
            </w:pPr>
            <w:r>
              <w:rPr>
                <w:rFonts w:hint="eastAsia"/>
              </w:rPr>
              <w:t>居民</w:t>
            </w:r>
          </w:p>
        </w:tc>
        <w:tc>
          <w:tcPr>
            <w:tcW w:w="489" w:type="pct"/>
            <w:vAlign w:val="center"/>
          </w:tcPr>
          <w:p w14:paraId="57646E72">
            <w:pPr>
              <w:pStyle w:val="62"/>
              <w:rPr>
                <w:highlight w:val="yellow"/>
              </w:rPr>
            </w:pPr>
            <w:r>
              <w:rPr>
                <w:rFonts w:hint="eastAsia"/>
              </w:rPr>
              <w:t>1900</w:t>
            </w:r>
          </w:p>
        </w:tc>
        <w:tc>
          <w:tcPr>
            <w:tcW w:w="407" w:type="pct"/>
            <w:vAlign w:val="center"/>
          </w:tcPr>
          <w:p w14:paraId="23298608">
            <w:pPr>
              <w:pStyle w:val="62"/>
              <w:rPr>
                <w:highlight w:val="yellow"/>
              </w:rPr>
            </w:pPr>
            <w:r>
              <w:rPr>
                <w:rFonts w:hint="eastAsia"/>
              </w:rPr>
              <w:t>西南</w:t>
            </w:r>
          </w:p>
        </w:tc>
        <w:tc>
          <w:tcPr>
            <w:tcW w:w="488" w:type="pct"/>
            <w:vAlign w:val="center"/>
          </w:tcPr>
          <w:p w14:paraId="0B07AC10">
            <w:pPr>
              <w:pStyle w:val="62"/>
              <w:rPr>
                <w:highlight w:val="yellow"/>
              </w:rPr>
            </w:pPr>
            <w:r>
              <w:rPr>
                <w:rFonts w:hint="eastAsia"/>
              </w:rPr>
              <w:t>640</w:t>
            </w:r>
          </w:p>
        </w:tc>
        <w:tc>
          <w:tcPr>
            <w:tcW w:w="775" w:type="pct"/>
            <w:vMerge w:val="continue"/>
            <w:vAlign w:val="center"/>
          </w:tcPr>
          <w:p w14:paraId="1939DEC3">
            <w:pPr>
              <w:pStyle w:val="62"/>
              <w:rPr>
                <w:highlight w:val="yellow"/>
              </w:rPr>
            </w:pPr>
          </w:p>
        </w:tc>
      </w:tr>
      <w:tr w14:paraId="03088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555D1D45">
            <w:pPr>
              <w:pStyle w:val="62"/>
              <w:rPr>
                <w:kern w:val="2"/>
              </w:rPr>
            </w:pPr>
            <w:r>
              <w:t>3</w:t>
            </w:r>
          </w:p>
        </w:tc>
        <w:tc>
          <w:tcPr>
            <w:tcW w:w="802" w:type="pct"/>
            <w:vAlign w:val="center"/>
          </w:tcPr>
          <w:p w14:paraId="4A01B94F">
            <w:pPr>
              <w:pStyle w:val="62"/>
              <w:rPr>
                <w:highlight w:val="yellow"/>
              </w:rPr>
            </w:pPr>
            <w:r>
              <w:rPr>
                <w:rFonts w:hint="eastAsia"/>
              </w:rPr>
              <w:t>田庄</w:t>
            </w:r>
            <w:r>
              <w:t>村</w:t>
            </w:r>
          </w:p>
        </w:tc>
        <w:tc>
          <w:tcPr>
            <w:tcW w:w="390" w:type="pct"/>
            <w:vAlign w:val="center"/>
          </w:tcPr>
          <w:p w14:paraId="3F2EE23E">
            <w:pPr>
              <w:pStyle w:val="62"/>
            </w:pPr>
            <w:r>
              <w:rPr>
                <w:rFonts w:hint="eastAsia"/>
              </w:rPr>
              <w:t>-1662</w:t>
            </w:r>
          </w:p>
        </w:tc>
        <w:tc>
          <w:tcPr>
            <w:tcW w:w="373" w:type="pct"/>
            <w:vAlign w:val="center"/>
          </w:tcPr>
          <w:p w14:paraId="04AA3680">
            <w:pPr>
              <w:pStyle w:val="62"/>
            </w:pPr>
            <w:r>
              <w:rPr>
                <w:rFonts w:hint="eastAsia"/>
              </w:rPr>
              <w:t>-378</w:t>
            </w:r>
          </w:p>
        </w:tc>
        <w:tc>
          <w:tcPr>
            <w:tcW w:w="471" w:type="pct"/>
            <w:vAlign w:val="center"/>
          </w:tcPr>
          <w:p w14:paraId="10F9750A">
            <w:pPr>
              <w:pStyle w:val="62"/>
            </w:pPr>
            <w:r>
              <w:t>居住区</w:t>
            </w:r>
          </w:p>
        </w:tc>
        <w:tc>
          <w:tcPr>
            <w:tcW w:w="569" w:type="pct"/>
            <w:vAlign w:val="center"/>
          </w:tcPr>
          <w:p w14:paraId="4D0BBE60">
            <w:pPr>
              <w:pStyle w:val="62"/>
            </w:pPr>
            <w:r>
              <w:rPr>
                <w:rFonts w:hint="eastAsia"/>
              </w:rPr>
              <w:t>居民</w:t>
            </w:r>
          </w:p>
        </w:tc>
        <w:tc>
          <w:tcPr>
            <w:tcW w:w="489" w:type="pct"/>
            <w:vAlign w:val="center"/>
          </w:tcPr>
          <w:p w14:paraId="418018B1">
            <w:pPr>
              <w:pStyle w:val="62"/>
              <w:rPr>
                <w:highlight w:val="yellow"/>
              </w:rPr>
            </w:pPr>
            <w:r>
              <w:rPr>
                <w:rFonts w:hint="eastAsia"/>
              </w:rPr>
              <w:t>2505</w:t>
            </w:r>
          </w:p>
        </w:tc>
        <w:tc>
          <w:tcPr>
            <w:tcW w:w="407" w:type="pct"/>
            <w:vAlign w:val="center"/>
          </w:tcPr>
          <w:p w14:paraId="56933620">
            <w:pPr>
              <w:pStyle w:val="62"/>
              <w:rPr>
                <w:highlight w:val="yellow"/>
              </w:rPr>
            </w:pPr>
            <w:r>
              <w:rPr>
                <w:rFonts w:hint="eastAsia"/>
              </w:rPr>
              <w:t>西南</w:t>
            </w:r>
          </w:p>
        </w:tc>
        <w:tc>
          <w:tcPr>
            <w:tcW w:w="488" w:type="pct"/>
            <w:vAlign w:val="center"/>
          </w:tcPr>
          <w:p w14:paraId="68904DE0">
            <w:pPr>
              <w:pStyle w:val="62"/>
              <w:rPr>
                <w:highlight w:val="yellow"/>
              </w:rPr>
            </w:pPr>
            <w:r>
              <w:rPr>
                <w:rFonts w:hint="eastAsia"/>
              </w:rPr>
              <w:t>1700</w:t>
            </w:r>
          </w:p>
        </w:tc>
        <w:tc>
          <w:tcPr>
            <w:tcW w:w="775" w:type="pct"/>
            <w:vMerge w:val="continue"/>
            <w:vAlign w:val="center"/>
          </w:tcPr>
          <w:p w14:paraId="027368FE">
            <w:pPr>
              <w:pStyle w:val="62"/>
              <w:rPr>
                <w:highlight w:val="yellow"/>
              </w:rPr>
            </w:pPr>
          </w:p>
        </w:tc>
      </w:tr>
      <w:tr w14:paraId="6FA5D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79ECDF1B">
            <w:pPr>
              <w:pStyle w:val="62"/>
              <w:rPr>
                <w:kern w:val="2"/>
              </w:rPr>
            </w:pPr>
            <w:r>
              <w:t>4</w:t>
            </w:r>
          </w:p>
        </w:tc>
        <w:tc>
          <w:tcPr>
            <w:tcW w:w="802" w:type="pct"/>
            <w:vAlign w:val="center"/>
          </w:tcPr>
          <w:p w14:paraId="74F54B24">
            <w:pPr>
              <w:pStyle w:val="62"/>
              <w:rPr>
                <w:highlight w:val="yellow"/>
              </w:rPr>
            </w:pPr>
            <w:r>
              <w:rPr>
                <w:rFonts w:hint="eastAsia"/>
              </w:rPr>
              <w:t>双兰村</w:t>
            </w:r>
          </w:p>
        </w:tc>
        <w:tc>
          <w:tcPr>
            <w:tcW w:w="390" w:type="pct"/>
            <w:vAlign w:val="center"/>
          </w:tcPr>
          <w:p w14:paraId="01509A78">
            <w:pPr>
              <w:pStyle w:val="62"/>
            </w:pPr>
            <w:r>
              <w:rPr>
                <w:rFonts w:hint="eastAsia"/>
              </w:rPr>
              <w:t>-180</w:t>
            </w:r>
          </w:p>
        </w:tc>
        <w:tc>
          <w:tcPr>
            <w:tcW w:w="373" w:type="pct"/>
            <w:vAlign w:val="center"/>
          </w:tcPr>
          <w:p w14:paraId="0C42A0C6">
            <w:pPr>
              <w:pStyle w:val="62"/>
            </w:pPr>
            <w:r>
              <w:rPr>
                <w:rFonts w:hint="eastAsia"/>
              </w:rPr>
              <w:t>-2047</w:t>
            </w:r>
          </w:p>
        </w:tc>
        <w:tc>
          <w:tcPr>
            <w:tcW w:w="471" w:type="pct"/>
            <w:vAlign w:val="center"/>
          </w:tcPr>
          <w:p w14:paraId="731E81BA">
            <w:pPr>
              <w:pStyle w:val="62"/>
            </w:pPr>
            <w:r>
              <w:t>居住区</w:t>
            </w:r>
          </w:p>
        </w:tc>
        <w:tc>
          <w:tcPr>
            <w:tcW w:w="569" w:type="pct"/>
            <w:vAlign w:val="center"/>
          </w:tcPr>
          <w:p w14:paraId="7463B1F1">
            <w:pPr>
              <w:pStyle w:val="62"/>
            </w:pPr>
            <w:r>
              <w:rPr>
                <w:rFonts w:hint="eastAsia"/>
              </w:rPr>
              <w:t>居民</w:t>
            </w:r>
          </w:p>
        </w:tc>
        <w:tc>
          <w:tcPr>
            <w:tcW w:w="489" w:type="pct"/>
            <w:vAlign w:val="center"/>
          </w:tcPr>
          <w:p w14:paraId="7C4B4B5C">
            <w:pPr>
              <w:pStyle w:val="62"/>
              <w:rPr>
                <w:highlight w:val="yellow"/>
              </w:rPr>
            </w:pPr>
            <w:r>
              <w:rPr>
                <w:rFonts w:hint="eastAsia"/>
              </w:rPr>
              <w:t>1</w:t>
            </w:r>
            <w:r>
              <w:t>868</w:t>
            </w:r>
          </w:p>
        </w:tc>
        <w:tc>
          <w:tcPr>
            <w:tcW w:w="407" w:type="pct"/>
            <w:vAlign w:val="center"/>
          </w:tcPr>
          <w:p w14:paraId="2FAE6C67">
            <w:pPr>
              <w:pStyle w:val="62"/>
              <w:rPr>
                <w:highlight w:val="yellow"/>
              </w:rPr>
            </w:pPr>
            <w:r>
              <w:rPr>
                <w:rFonts w:hint="eastAsia"/>
              </w:rPr>
              <w:t>西南</w:t>
            </w:r>
          </w:p>
        </w:tc>
        <w:tc>
          <w:tcPr>
            <w:tcW w:w="488" w:type="pct"/>
            <w:vAlign w:val="center"/>
          </w:tcPr>
          <w:p w14:paraId="51817D04">
            <w:pPr>
              <w:pStyle w:val="62"/>
              <w:rPr>
                <w:highlight w:val="yellow"/>
              </w:rPr>
            </w:pPr>
            <w:r>
              <w:rPr>
                <w:rFonts w:hint="eastAsia"/>
              </w:rPr>
              <w:t>2060</w:t>
            </w:r>
          </w:p>
        </w:tc>
        <w:tc>
          <w:tcPr>
            <w:tcW w:w="775" w:type="pct"/>
            <w:vMerge w:val="continue"/>
            <w:vAlign w:val="center"/>
          </w:tcPr>
          <w:p w14:paraId="423E855B">
            <w:pPr>
              <w:pStyle w:val="62"/>
              <w:rPr>
                <w:highlight w:val="yellow"/>
              </w:rPr>
            </w:pPr>
          </w:p>
        </w:tc>
      </w:tr>
      <w:tr w14:paraId="4D5C2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47E467B9">
            <w:pPr>
              <w:pStyle w:val="62"/>
              <w:rPr>
                <w:kern w:val="2"/>
              </w:rPr>
            </w:pPr>
            <w:r>
              <w:t>5</w:t>
            </w:r>
          </w:p>
        </w:tc>
        <w:tc>
          <w:tcPr>
            <w:tcW w:w="802" w:type="pct"/>
            <w:vAlign w:val="center"/>
          </w:tcPr>
          <w:p w14:paraId="67D5FCDC">
            <w:pPr>
              <w:pStyle w:val="62"/>
              <w:rPr>
                <w:highlight w:val="yellow"/>
              </w:rPr>
            </w:pPr>
            <w:r>
              <w:rPr>
                <w:rFonts w:hint="eastAsia"/>
              </w:rPr>
              <w:t>班庄</w:t>
            </w:r>
          </w:p>
        </w:tc>
        <w:tc>
          <w:tcPr>
            <w:tcW w:w="390" w:type="pct"/>
            <w:vAlign w:val="center"/>
          </w:tcPr>
          <w:p w14:paraId="1752754B">
            <w:pPr>
              <w:pStyle w:val="62"/>
            </w:pPr>
            <w:r>
              <w:rPr>
                <w:rFonts w:hint="eastAsia"/>
              </w:rPr>
              <w:t>-1856</w:t>
            </w:r>
          </w:p>
        </w:tc>
        <w:tc>
          <w:tcPr>
            <w:tcW w:w="373" w:type="pct"/>
            <w:vAlign w:val="center"/>
          </w:tcPr>
          <w:p w14:paraId="516A6AE7">
            <w:pPr>
              <w:pStyle w:val="62"/>
            </w:pPr>
            <w:r>
              <w:rPr>
                <w:rFonts w:hint="eastAsia"/>
              </w:rPr>
              <w:t>213</w:t>
            </w:r>
          </w:p>
        </w:tc>
        <w:tc>
          <w:tcPr>
            <w:tcW w:w="471" w:type="pct"/>
            <w:vAlign w:val="center"/>
          </w:tcPr>
          <w:p w14:paraId="7A9403A5">
            <w:pPr>
              <w:pStyle w:val="62"/>
            </w:pPr>
            <w:r>
              <w:t>居住区</w:t>
            </w:r>
          </w:p>
        </w:tc>
        <w:tc>
          <w:tcPr>
            <w:tcW w:w="569" w:type="pct"/>
            <w:vAlign w:val="center"/>
          </w:tcPr>
          <w:p w14:paraId="1B5CC814">
            <w:pPr>
              <w:pStyle w:val="62"/>
            </w:pPr>
            <w:r>
              <w:rPr>
                <w:rFonts w:hint="eastAsia"/>
              </w:rPr>
              <w:t>居民</w:t>
            </w:r>
          </w:p>
        </w:tc>
        <w:tc>
          <w:tcPr>
            <w:tcW w:w="489" w:type="pct"/>
            <w:vAlign w:val="center"/>
          </w:tcPr>
          <w:p w14:paraId="1E200EB1">
            <w:pPr>
              <w:pStyle w:val="62"/>
              <w:rPr>
                <w:highlight w:val="yellow"/>
              </w:rPr>
            </w:pPr>
            <w:r>
              <w:rPr>
                <w:rFonts w:hint="eastAsia"/>
              </w:rPr>
              <w:t>1750</w:t>
            </w:r>
          </w:p>
        </w:tc>
        <w:tc>
          <w:tcPr>
            <w:tcW w:w="407" w:type="pct"/>
            <w:vAlign w:val="center"/>
          </w:tcPr>
          <w:p w14:paraId="517479E9">
            <w:pPr>
              <w:pStyle w:val="62"/>
              <w:rPr>
                <w:highlight w:val="yellow"/>
              </w:rPr>
            </w:pPr>
            <w:r>
              <w:rPr>
                <w:rFonts w:hint="eastAsia"/>
              </w:rPr>
              <w:t>西北</w:t>
            </w:r>
          </w:p>
        </w:tc>
        <w:tc>
          <w:tcPr>
            <w:tcW w:w="488" w:type="pct"/>
            <w:vAlign w:val="center"/>
          </w:tcPr>
          <w:p w14:paraId="7C75C6E4">
            <w:pPr>
              <w:pStyle w:val="62"/>
              <w:rPr>
                <w:highlight w:val="yellow"/>
              </w:rPr>
            </w:pPr>
            <w:r>
              <w:rPr>
                <w:rFonts w:hint="eastAsia"/>
              </w:rPr>
              <w:t>1890</w:t>
            </w:r>
          </w:p>
        </w:tc>
        <w:tc>
          <w:tcPr>
            <w:tcW w:w="775" w:type="pct"/>
            <w:vMerge w:val="continue"/>
            <w:vAlign w:val="center"/>
          </w:tcPr>
          <w:p w14:paraId="1B57A7B2">
            <w:pPr>
              <w:pStyle w:val="62"/>
              <w:rPr>
                <w:highlight w:val="yellow"/>
              </w:rPr>
            </w:pPr>
          </w:p>
        </w:tc>
      </w:tr>
      <w:tr w14:paraId="50AB7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62F3C5BC">
            <w:pPr>
              <w:pStyle w:val="62"/>
              <w:rPr>
                <w:kern w:val="2"/>
              </w:rPr>
            </w:pPr>
            <w:r>
              <w:t>6</w:t>
            </w:r>
          </w:p>
        </w:tc>
        <w:tc>
          <w:tcPr>
            <w:tcW w:w="802" w:type="pct"/>
            <w:vAlign w:val="center"/>
          </w:tcPr>
          <w:p w14:paraId="384EA1E0">
            <w:pPr>
              <w:pStyle w:val="62"/>
              <w:rPr>
                <w:highlight w:val="yellow"/>
              </w:rPr>
            </w:pPr>
            <w:r>
              <w:rPr>
                <w:rFonts w:hint="eastAsia"/>
                <w:bCs/>
              </w:rPr>
              <w:t>郭全屯村</w:t>
            </w:r>
          </w:p>
        </w:tc>
        <w:tc>
          <w:tcPr>
            <w:tcW w:w="390" w:type="pct"/>
            <w:vAlign w:val="center"/>
          </w:tcPr>
          <w:p w14:paraId="3BA4D542">
            <w:pPr>
              <w:pStyle w:val="62"/>
            </w:pPr>
            <w:r>
              <w:rPr>
                <w:rFonts w:hint="eastAsia"/>
              </w:rPr>
              <w:t>-567</w:t>
            </w:r>
          </w:p>
        </w:tc>
        <w:tc>
          <w:tcPr>
            <w:tcW w:w="373" w:type="pct"/>
            <w:vAlign w:val="center"/>
          </w:tcPr>
          <w:p w14:paraId="3D96185F">
            <w:pPr>
              <w:pStyle w:val="62"/>
            </w:pPr>
            <w:r>
              <w:rPr>
                <w:rFonts w:hint="eastAsia"/>
              </w:rPr>
              <w:t>560</w:t>
            </w:r>
          </w:p>
        </w:tc>
        <w:tc>
          <w:tcPr>
            <w:tcW w:w="471" w:type="pct"/>
            <w:vAlign w:val="center"/>
          </w:tcPr>
          <w:p w14:paraId="4231D4B8">
            <w:pPr>
              <w:pStyle w:val="62"/>
            </w:pPr>
            <w:r>
              <w:t>居住区</w:t>
            </w:r>
          </w:p>
        </w:tc>
        <w:tc>
          <w:tcPr>
            <w:tcW w:w="569" w:type="pct"/>
            <w:vAlign w:val="center"/>
          </w:tcPr>
          <w:p w14:paraId="0CBA7961">
            <w:pPr>
              <w:pStyle w:val="62"/>
            </w:pPr>
            <w:r>
              <w:rPr>
                <w:rFonts w:hint="eastAsia"/>
              </w:rPr>
              <w:t>居民</w:t>
            </w:r>
          </w:p>
        </w:tc>
        <w:tc>
          <w:tcPr>
            <w:tcW w:w="489" w:type="pct"/>
            <w:vAlign w:val="center"/>
          </w:tcPr>
          <w:p w14:paraId="66002D6F">
            <w:pPr>
              <w:pStyle w:val="62"/>
              <w:rPr>
                <w:highlight w:val="yellow"/>
              </w:rPr>
            </w:pPr>
            <w:r>
              <w:rPr>
                <w:rFonts w:hint="eastAsia"/>
              </w:rPr>
              <w:t>1400</w:t>
            </w:r>
          </w:p>
        </w:tc>
        <w:tc>
          <w:tcPr>
            <w:tcW w:w="407" w:type="pct"/>
            <w:vAlign w:val="center"/>
          </w:tcPr>
          <w:p w14:paraId="68CF2C3E">
            <w:pPr>
              <w:pStyle w:val="62"/>
              <w:rPr>
                <w:highlight w:val="yellow"/>
              </w:rPr>
            </w:pPr>
            <w:r>
              <w:rPr>
                <w:rFonts w:hint="eastAsia"/>
              </w:rPr>
              <w:t>西北</w:t>
            </w:r>
          </w:p>
        </w:tc>
        <w:tc>
          <w:tcPr>
            <w:tcW w:w="488" w:type="pct"/>
            <w:vAlign w:val="center"/>
          </w:tcPr>
          <w:p w14:paraId="6EE13497">
            <w:pPr>
              <w:pStyle w:val="62"/>
              <w:rPr>
                <w:highlight w:val="yellow"/>
              </w:rPr>
            </w:pPr>
            <w:r>
              <w:rPr>
                <w:rFonts w:hint="eastAsia"/>
              </w:rPr>
              <w:t>800</w:t>
            </w:r>
          </w:p>
        </w:tc>
        <w:tc>
          <w:tcPr>
            <w:tcW w:w="775" w:type="pct"/>
            <w:vMerge w:val="continue"/>
            <w:vAlign w:val="center"/>
          </w:tcPr>
          <w:p w14:paraId="7849527D">
            <w:pPr>
              <w:pStyle w:val="62"/>
              <w:rPr>
                <w:highlight w:val="yellow"/>
              </w:rPr>
            </w:pPr>
          </w:p>
        </w:tc>
      </w:tr>
      <w:tr w14:paraId="29BED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5E224D5F">
            <w:pPr>
              <w:pStyle w:val="62"/>
              <w:rPr>
                <w:kern w:val="2"/>
              </w:rPr>
            </w:pPr>
            <w:r>
              <w:t>7</w:t>
            </w:r>
          </w:p>
        </w:tc>
        <w:tc>
          <w:tcPr>
            <w:tcW w:w="802" w:type="pct"/>
            <w:vAlign w:val="center"/>
          </w:tcPr>
          <w:p w14:paraId="29E84B41">
            <w:pPr>
              <w:pStyle w:val="62"/>
              <w:rPr>
                <w:highlight w:val="yellow"/>
              </w:rPr>
            </w:pPr>
            <w:r>
              <w:rPr>
                <w:rFonts w:hint="eastAsia"/>
                <w:bCs/>
              </w:rPr>
              <w:t>郝庄村</w:t>
            </w:r>
          </w:p>
        </w:tc>
        <w:tc>
          <w:tcPr>
            <w:tcW w:w="390" w:type="pct"/>
            <w:vAlign w:val="center"/>
          </w:tcPr>
          <w:p w14:paraId="4F9BC7D7">
            <w:pPr>
              <w:pStyle w:val="62"/>
            </w:pPr>
            <w:r>
              <w:rPr>
                <w:rFonts w:hint="eastAsia"/>
              </w:rPr>
              <w:t>336</w:t>
            </w:r>
          </w:p>
        </w:tc>
        <w:tc>
          <w:tcPr>
            <w:tcW w:w="373" w:type="pct"/>
            <w:vAlign w:val="center"/>
          </w:tcPr>
          <w:p w14:paraId="264E6B08">
            <w:pPr>
              <w:pStyle w:val="62"/>
            </w:pPr>
            <w:r>
              <w:rPr>
                <w:rFonts w:hint="eastAsia"/>
              </w:rPr>
              <w:t>2405</w:t>
            </w:r>
          </w:p>
        </w:tc>
        <w:tc>
          <w:tcPr>
            <w:tcW w:w="471" w:type="pct"/>
            <w:vAlign w:val="center"/>
          </w:tcPr>
          <w:p w14:paraId="296CE946">
            <w:pPr>
              <w:pStyle w:val="62"/>
            </w:pPr>
            <w:r>
              <w:t>居住区</w:t>
            </w:r>
          </w:p>
        </w:tc>
        <w:tc>
          <w:tcPr>
            <w:tcW w:w="569" w:type="pct"/>
            <w:vAlign w:val="center"/>
          </w:tcPr>
          <w:p w14:paraId="523DF453">
            <w:pPr>
              <w:pStyle w:val="62"/>
            </w:pPr>
            <w:r>
              <w:rPr>
                <w:rFonts w:hint="eastAsia"/>
              </w:rPr>
              <w:t>居民</w:t>
            </w:r>
          </w:p>
        </w:tc>
        <w:tc>
          <w:tcPr>
            <w:tcW w:w="489" w:type="pct"/>
            <w:vAlign w:val="center"/>
          </w:tcPr>
          <w:p w14:paraId="22C39B94">
            <w:pPr>
              <w:pStyle w:val="62"/>
            </w:pPr>
            <w:r>
              <w:rPr>
                <w:rFonts w:hint="eastAsia"/>
              </w:rPr>
              <w:t>1365</w:t>
            </w:r>
          </w:p>
        </w:tc>
        <w:tc>
          <w:tcPr>
            <w:tcW w:w="407" w:type="pct"/>
            <w:vAlign w:val="center"/>
          </w:tcPr>
          <w:p w14:paraId="2DD30273">
            <w:pPr>
              <w:pStyle w:val="62"/>
            </w:pPr>
            <w:r>
              <w:rPr>
                <w:rFonts w:hint="eastAsia"/>
              </w:rPr>
              <w:t>东北</w:t>
            </w:r>
          </w:p>
        </w:tc>
        <w:tc>
          <w:tcPr>
            <w:tcW w:w="488" w:type="pct"/>
            <w:vAlign w:val="center"/>
          </w:tcPr>
          <w:p w14:paraId="1311B7A4">
            <w:pPr>
              <w:pStyle w:val="62"/>
            </w:pPr>
            <w:r>
              <w:rPr>
                <w:rFonts w:hint="eastAsia"/>
              </w:rPr>
              <w:t>2485</w:t>
            </w:r>
          </w:p>
        </w:tc>
        <w:tc>
          <w:tcPr>
            <w:tcW w:w="775" w:type="pct"/>
            <w:vMerge w:val="continue"/>
            <w:vAlign w:val="center"/>
          </w:tcPr>
          <w:p w14:paraId="08E5E9B6">
            <w:pPr>
              <w:pStyle w:val="62"/>
              <w:rPr>
                <w:highlight w:val="yellow"/>
              </w:rPr>
            </w:pPr>
          </w:p>
        </w:tc>
      </w:tr>
      <w:tr w14:paraId="31630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19F5D8EB">
            <w:pPr>
              <w:pStyle w:val="62"/>
              <w:rPr>
                <w:kern w:val="2"/>
              </w:rPr>
            </w:pPr>
            <w:r>
              <w:t>8</w:t>
            </w:r>
          </w:p>
        </w:tc>
        <w:tc>
          <w:tcPr>
            <w:tcW w:w="802" w:type="pct"/>
            <w:vAlign w:val="center"/>
          </w:tcPr>
          <w:p w14:paraId="261A2A9D">
            <w:pPr>
              <w:pStyle w:val="62"/>
              <w:rPr>
                <w:highlight w:val="yellow"/>
              </w:rPr>
            </w:pPr>
            <w:r>
              <w:rPr>
                <w:rFonts w:hint="eastAsia"/>
                <w:bCs/>
              </w:rPr>
              <w:t>阮庄</w:t>
            </w:r>
          </w:p>
        </w:tc>
        <w:tc>
          <w:tcPr>
            <w:tcW w:w="390" w:type="pct"/>
            <w:vAlign w:val="center"/>
          </w:tcPr>
          <w:p w14:paraId="54E19037">
            <w:pPr>
              <w:pStyle w:val="62"/>
            </w:pPr>
            <w:r>
              <w:rPr>
                <w:rFonts w:hint="eastAsia"/>
              </w:rPr>
              <w:t>871</w:t>
            </w:r>
          </w:p>
        </w:tc>
        <w:tc>
          <w:tcPr>
            <w:tcW w:w="373" w:type="pct"/>
            <w:vAlign w:val="center"/>
          </w:tcPr>
          <w:p w14:paraId="6C667D3F">
            <w:pPr>
              <w:pStyle w:val="62"/>
            </w:pPr>
            <w:r>
              <w:rPr>
                <w:rFonts w:hint="eastAsia"/>
              </w:rPr>
              <w:t>1300</w:t>
            </w:r>
          </w:p>
        </w:tc>
        <w:tc>
          <w:tcPr>
            <w:tcW w:w="471" w:type="pct"/>
            <w:vAlign w:val="center"/>
          </w:tcPr>
          <w:p w14:paraId="32DFCFFA">
            <w:pPr>
              <w:pStyle w:val="62"/>
            </w:pPr>
            <w:r>
              <w:t>居住区</w:t>
            </w:r>
          </w:p>
        </w:tc>
        <w:tc>
          <w:tcPr>
            <w:tcW w:w="569" w:type="pct"/>
            <w:vAlign w:val="center"/>
          </w:tcPr>
          <w:p w14:paraId="4F3A677C">
            <w:pPr>
              <w:pStyle w:val="62"/>
            </w:pPr>
            <w:r>
              <w:rPr>
                <w:rFonts w:hint="eastAsia"/>
              </w:rPr>
              <w:t>居民</w:t>
            </w:r>
          </w:p>
        </w:tc>
        <w:tc>
          <w:tcPr>
            <w:tcW w:w="489" w:type="pct"/>
            <w:vAlign w:val="center"/>
          </w:tcPr>
          <w:p w14:paraId="5FF0573F">
            <w:pPr>
              <w:pStyle w:val="62"/>
            </w:pPr>
            <w:r>
              <w:rPr>
                <w:rFonts w:hint="eastAsia"/>
              </w:rPr>
              <w:t>460</w:t>
            </w:r>
          </w:p>
        </w:tc>
        <w:tc>
          <w:tcPr>
            <w:tcW w:w="407" w:type="pct"/>
            <w:vAlign w:val="center"/>
          </w:tcPr>
          <w:p w14:paraId="0EA0ECB2">
            <w:pPr>
              <w:pStyle w:val="62"/>
            </w:pPr>
            <w:r>
              <w:rPr>
                <w:rFonts w:hint="eastAsia"/>
              </w:rPr>
              <w:t>东北</w:t>
            </w:r>
          </w:p>
        </w:tc>
        <w:tc>
          <w:tcPr>
            <w:tcW w:w="488" w:type="pct"/>
            <w:vAlign w:val="center"/>
          </w:tcPr>
          <w:p w14:paraId="4EA52AAD">
            <w:pPr>
              <w:pStyle w:val="62"/>
            </w:pPr>
            <w:r>
              <w:rPr>
                <w:rFonts w:hint="eastAsia"/>
              </w:rPr>
              <w:t>1570</w:t>
            </w:r>
          </w:p>
        </w:tc>
        <w:tc>
          <w:tcPr>
            <w:tcW w:w="775" w:type="pct"/>
            <w:vMerge w:val="continue"/>
            <w:vAlign w:val="center"/>
          </w:tcPr>
          <w:p w14:paraId="5F95E51F">
            <w:pPr>
              <w:pStyle w:val="62"/>
              <w:rPr>
                <w:highlight w:val="yellow"/>
              </w:rPr>
            </w:pPr>
          </w:p>
        </w:tc>
      </w:tr>
      <w:tr w14:paraId="6CBE12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085307F4">
            <w:pPr>
              <w:pStyle w:val="62"/>
            </w:pPr>
            <w:r>
              <w:rPr>
                <w:rFonts w:hint="eastAsia"/>
              </w:rPr>
              <w:t>9</w:t>
            </w:r>
          </w:p>
        </w:tc>
        <w:tc>
          <w:tcPr>
            <w:tcW w:w="802" w:type="pct"/>
            <w:vAlign w:val="center"/>
          </w:tcPr>
          <w:p w14:paraId="7464E37E">
            <w:pPr>
              <w:pStyle w:val="62"/>
              <w:rPr>
                <w:bCs/>
                <w:highlight w:val="yellow"/>
              </w:rPr>
            </w:pPr>
            <w:r>
              <w:rPr>
                <w:rFonts w:hint="eastAsia"/>
                <w:bCs/>
              </w:rPr>
              <w:t>八里屯村</w:t>
            </w:r>
          </w:p>
        </w:tc>
        <w:tc>
          <w:tcPr>
            <w:tcW w:w="390" w:type="pct"/>
            <w:vAlign w:val="center"/>
          </w:tcPr>
          <w:p w14:paraId="5D786064">
            <w:pPr>
              <w:pStyle w:val="62"/>
            </w:pPr>
            <w:r>
              <w:rPr>
                <w:rFonts w:hint="eastAsia"/>
              </w:rPr>
              <w:t>1268</w:t>
            </w:r>
          </w:p>
        </w:tc>
        <w:tc>
          <w:tcPr>
            <w:tcW w:w="373" w:type="pct"/>
            <w:vAlign w:val="center"/>
          </w:tcPr>
          <w:p w14:paraId="6E16D3D6">
            <w:pPr>
              <w:pStyle w:val="62"/>
            </w:pPr>
            <w:r>
              <w:rPr>
                <w:rFonts w:hint="eastAsia"/>
              </w:rPr>
              <w:t>1461</w:t>
            </w:r>
          </w:p>
        </w:tc>
        <w:tc>
          <w:tcPr>
            <w:tcW w:w="471" w:type="pct"/>
            <w:vAlign w:val="center"/>
          </w:tcPr>
          <w:p w14:paraId="7CC9AE14">
            <w:pPr>
              <w:pStyle w:val="62"/>
              <w:rPr>
                <w:highlight w:val="yellow"/>
              </w:rPr>
            </w:pPr>
            <w:r>
              <w:t>居住区</w:t>
            </w:r>
          </w:p>
        </w:tc>
        <w:tc>
          <w:tcPr>
            <w:tcW w:w="569" w:type="pct"/>
            <w:vAlign w:val="center"/>
          </w:tcPr>
          <w:p w14:paraId="6028207D">
            <w:pPr>
              <w:pStyle w:val="62"/>
              <w:rPr>
                <w:highlight w:val="yellow"/>
              </w:rPr>
            </w:pPr>
            <w:r>
              <w:rPr>
                <w:rFonts w:hint="eastAsia"/>
              </w:rPr>
              <w:t>居民</w:t>
            </w:r>
          </w:p>
        </w:tc>
        <w:tc>
          <w:tcPr>
            <w:tcW w:w="489" w:type="pct"/>
            <w:vAlign w:val="center"/>
          </w:tcPr>
          <w:p w14:paraId="7E73328C">
            <w:pPr>
              <w:pStyle w:val="62"/>
            </w:pPr>
            <w:r>
              <w:rPr>
                <w:rFonts w:hint="eastAsia"/>
              </w:rPr>
              <w:t>2298</w:t>
            </w:r>
          </w:p>
        </w:tc>
        <w:tc>
          <w:tcPr>
            <w:tcW w:w="407" w:type="pct"/>
            <w:vAlign w:val="center"/>
          </w:tcPr>
          <w:p w14:paraId="24672E94">
            <w:pPr>
              <w:pStyle w:val="62"/>
            </w:pPr>
            <w:r>
              <w:rPr>
                <w:rFonts w:hint="eastAsia"/>
              </w:rPr>
              <w:t>东北</w:t>
            </w:r>
          </w:p>
        </w:tc>
        <w:tc>
          <w:tcPr>
            <w:tcW w:w="488" w:type="pct"/>
            <w:vAlign w:val="center"/>
          </w:tcPr>
          <w:p w14:paraId="2572B836">
            <w:pPr>
              <w:pStyle w:val="62"/>
            </w:pPr>
            <w:r>
              <w:rPr>
                <w:rFonts w:hint="eastAsia"/>
              </w:rPr>
              <w:t>1930</w:t>
            </w:r>
          </w:p>
        </w:tc>
        <w:tc>
          <w:tcPr>
            <w:tcW w:w="775" w:type="pct"/>
            <w:vMerge w:val="continue"/>
            <w:vAlign w:val="center"/>
          </w:tcPr>
          <w:p w14:paraId="3D11BE4B">
            <w:pPr>
              <w:pStyle w:val="62"/>
              <w:rPr>
                <w:highlight w:val="yellow"/>
              </w:rPr>
            </w:pPr>
          </w:p>
        </w:tc>
      </w:tr>
      <w:tr w14:paraId="01021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64612685">
            <w:pPr>
              <w:pStyle w:val="62"/>
            </w:pPr>
            <w:r>
              <w:rPr>
                <w:rFonts w:hint="eastAsia"/>
              </w:rPr>
              <w:t>10</w:t>
            </w:r>
          </w:p>
        </w:tc>
        <w:tc>
          <w:tcPr>
            <w:tcW w:w="802" w:type="pct"/>
            <w:vAlign w:val="center"/>
          </w:tcPr>
          <w:p w14:paraId="7E0F97E0">
            <w:pPr>
              <w:pStyle w:val="62"/>
              <w:rPr>
                <w:bCs/>
              </w:rPr>
            </w:pPr>
            <w:r>
              <w:rPr>
                <w:rFonts w:hint="eastAsia"/>
                <w:bCs/>
              </w:rPr>
              <w:t>电机厂家属院</w:t>
            </w:r>
          </w:p>
        </w:tc>
        <w:tc>
          <w:tcPr>
            <w:tcW w:w="390" w:type="pct"/>
            <w:vAlign w:val="center"/>
          </w:tcPr>
          <w:p w14:paraId="37426B3B">
            <w:pPr>
              <w:pStyle w:val="62"/>
            </w:pPr>
            <w:r>
              <w:rPr>
                <w:rFonts w:hint="eastAsia"/>
              </w:rPr>
              <w:t>2180</w:t>
            </w:r>
          </w:p>
        </w:tc>
        <w:tc>
          <w:tcPr>
            <w:tcW w:w="373" w:type="pct"/>
            <w:vAlign w:val="center"/>
          </w:tcPr>
          <w:p w14:paraId="0A187DD8">
            <w:pPr>
              <w:pStyle w:val="62"/>
            </w:pPr>
            <w:r>
              <w:rPr>
                <w:rFonts w:hint="eastAsia"/>
              </w:rPr>
              <w:t>942</w:t>
            </w:r>
          </w:p>
        </w:tc>
        <w:tc>
          <w:tcPr>
            <w:tcW w:w="471" w:type="pct"/>
            <w:vAlign w:val="center"/>
          </w:tcPr>
          <w:p w14:paraId="68A07EEA">
            <w:pPr>
              <w:pStyle w:val="62"/>
              <w:rPr>
                <w:highlight w:val="yellow"/>
              </w:rPr>
            </w:pPr>
            <w:r>
              <w:t>居住区</w:t>
            </w:r>
          </w:p>
        </w:tc>
        <w:tc>
          <w:tcPr>
            <w:tcW w:w="569" w:type="pct"/>
            <w:vAlign w:val="center"/>
          </w:tcPr>
          <w:p w14:paraId="7031C0BB">
            <w:pPr>
              <w:pStyle w:val="62"/>
              <w:rPr>
                <w:highlight w:val="yellow"/>
              </w:rPr>
            </w:pPr>
            <w:r>
              <w:rPr>
                <w:rFonts w:hint="eastAsia"/>
              </w:rPr>
              <w:t>居民</w:t>
            </w:r>
          </w:p>
        </w:tc>
        <w:tc>
          <w:tcPr>
            <w:tcW w:w="489" w:type="pct"/>
            <w:vAlign w:val="center"/>
          </w:tcPr>
          <w:p w14:paraId="3FBBAB16">
            <w:pPr>
              <w:pStyle w:val="62"/>
            </w:pPr>
            <w:r>
              <w:rPr>
                <w:rFonts w:hint="eastAsia"/>
              </w:rPr>
              <w:t>2456</w:t>
            </w:r>
          </w:p>
        </w:tc>
        <w:tc>
          <w:tcPr>
            <w:tcW w:w="407" w:type="pct"/>
            <w:vAlign w:val="center"/>
          </w:tcPr>
          <w:p w14:paraId="1D9F4D3A">
            <w:pPr>
              <w:pStyle w:val="62"/>
            </w:pPr>
            <w:r>
              <w:rPr>
                <w:rFonts w:hint="eastAsia"/>
              </w:rPr>
              <w:t>东北</w:t>
            </w:r>
          </w:p>
        </w:tc>
        <w:tc>
          <w:tcPr>
            <w:tcW w:w="488" w:type="pct"/>
            <w:vAlign w:val="center"/>
          </w:tcPr>
          <w:p w14:paraId="03626292">
            <w:pPr>
              <w:pStyle w:val="62"/>
            </w:pPr>
            <w:r>
              <w:rPr>
                <w:rFonts w:hint="eastAsia"/>
              </w:rPr>
              <w:t>2380</w:t>
            </w:r>
          </w:p>
        </w:tc>
        <w:tc>
          <w:tcPr>
            <w:tcW w:w="775" w:type="pct"/>
            <w:vMerge w:val="continue"/>
            <w:vAlign w:val="center"/>
          </w:tcPr>
          <w:p w14:paraId="706C2CDD">
            <w:pPr>
              <w:pStyle w:val="62"/>
              <w:rPr>
                <w:highlight w:val="yellow"/>
              </w:rPr>
            </w:pPr>
          </w:p>
        </w:tc>
      </w:tr>
      <w:tr w14:paraId="145B3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3E8CC2BB">
            <w:pPr>
              <w:pStyle w:val="62"/>
            </w:pPr>
            <w:r>
              <w:rPr>
                <w:rFonts w:hint="eastAsia"/>
              </w:rPr>
              <w:t>11</w:t>
            </w:r>
          </w:p>
        </w:tc>
        <w:tc>
          <w:tcPr>
            <w:tcW w:w="802" w:type="pct"/>
            <w:vAlign w:val="center"/>
          </w:tcPr>
          <w:p w14:paraId="39175ECB">
            <w:pPr>
              <w:pStyle w:val="62"/>
              <w:rPr>
                <w:bCs/>
              </w:rPr>
            </w:pPr>
            <w:r>
              <w:rPr>
                <w:rFonts w:hint="eastAsia"/>
                <w:bCs/>
              </w:rPr>
              <w:t>天和 龙岸北郡</w:t>
            </w:r>
          </w:p>
        </w:tc>
        <w:tc>
          <w:tcPr>
            <w:tcW w:w="390" w:type="pct"/>
            <w:vAlign w:val="center"/>
          </w:tcPr>
          <w:p w14:paraId="509C69F0">
            <w:pPr>
              <w:pStyle w:val="62"/>
            </w:pPr>
            <w:r>
              <w:rPr>
                <w:rFonts w:hint="eastAsia"/>
              </w:rPr>
              <w:t>0</w:t>
            </w:r>
          </w:p>
        </w:tc>
        <w:tc>
          <w:tcPr>
            <w:tcW w:w="373" w:type="pct"/>
            <w:vAlign w:val="center"/>
          </w:tcPr>
          <w:p w14:paraId="1B98EE03">
            <w:pPr>
              <w:pStyle w:val="62"/>
            </w:pPr>
            <w:r>
              <w:rPr>
                <w:rFonts w:hint="eastAsia"/>
              </w:rPr>
              <w:t>2500</w:t>
            </w:r>
          </w:p>
        </w:tc>
        <w:tc>
          <w:tcPr>
            <w:tcW w:w="471" w:type="pct"/>
            <w:vAlign w:val="center"/>
          </w:tcPr>
          <w:p w14:paraId="54EFAA0D">
            <w:pPr>
              <w:pStyle w:val="62"/>
              <w:rPr>
                <w:highlight w:val="yellow"/>
              </w:rPr>
            </w:pPr>
            <w:r>
              <w:t>居住区</w:t>
            </w:r>
          </w:p>
        </w:tc>
        <w:tc>
          <w:tcPr>
            <w:tcW w:w="569" w:type="pct"/>
            <w:vAlign w:val="center"/>
          </w:tcPr>
          <w:p w14:paraId="095BA113">
            <w:pPr>
              <w:pStyle w:val="62"/>
              <w:rPr>
                <w:highlight w:val="yellow"/>
              </w:rPr>
            </w:pPr>
            <w:r>
              <w:rPr>
                <w:rFonts w:hint="eastAsia"/>
              </w:rPr>
              <w:t>居民</w:t>
            </w:r>
          </w:p>
        </w:tc>
        <w:tc>
          <w:tcPr>
            <w:tcW w:w="489" w:type="pct"/>
            <w:vAlign w:val="center"/>
          </w:tcPr>
          <w:p w14:paraId="1B3EFC0B">
            <w:pPr>
              <w:pStyle w:val="62"/>
            </w:pPr>
            <w:r>
              <w:rPr>
                <w:rFonts w:hint="eastAsia"/>
              </w:rPr>
              <w:t>2835</w:t>
            </w:r>
          </w:p>
        </w:tc>
        <w:tc>
          <w:tcPr>
            <w:tcW w:w="407" w:type="pct"/>
            <w:vAlign w:val="center"/>
          </w:tcPr>
          <w:p w14:paraId="5A57F6EE">
            <w:pPr>
              <w:pStyle w:val="62"/>
            </w:pPr>
            <w:r>
              <w:rPr>
                <w:rFonts w:hint="eastAsia"/>
              </w:rPr>
              <w:t>北</w:t>
            </w:r>
          </w:p>
        </w:tc>
        <w:tc>
          <w:tcPr>
            <w:tcW w:w="488" w:type="pct"/>
            <w:vAlign w:val="center"/>
          </w:tcPr>
          <w:p w14:paraId="7BA8E67E">
            <w:pPr>
              <w:pStyle w:val="62"/>
            </w:pPr>
            <w:r>
              <w:rPr>
                <w:rFonts w:hint="eastAsia"/>
              </w:rPr>
              <w:t>2500</w:t>
            </w:r>
          </w:p>
        </w:tc>
        <w:tc>
          <w:tcPr>
            <w:tcW w:w="775" w:type="pct"/>
            <w:vMerge w:val="continue"/>
            <w:vAlign w:val="center"/>
          </w:tcPr>
          <w:p w14:paraId="199F6E68">
            <w:pPr>
              <w:pStyle w:val="62"/>
              <w:rPr>
                <w:highlight w:val="yellow"/>
              </w:rPr>
            </w:pPr>
          </w:p>
        </w:tc>
      </w:tr>
      <w:tr w14:paraId="3FDF6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5E5E5869">
            <w:pPr>
              <w:pStyle w:val="62"/>
            </w:pPr>
            <w:r>
              <w:rPr>
                <w:rFonts w:hint="eastAsia"/>
              </w:rPr>
              <w:t>12</w:t>
            </w:r>
          </w:p>
        </w:tc>
        <w:tc>
          <w:tcPr>
            <w:tcW w:w="802" w:type="pct"/>
            <w:vAlign w:val="center"/>
          </w:tcPr>
          <w:p w14:paraId="6472AA3B">
            <w:pPr>
              <w:pStyle w:val="62"/>
              <w:rPr>
                <w:bCs/>
              </w:rPr>
            </w:pPr>
            <w:r>
              <w:rPr>
                <w:rFonts w:hint="eastAsia"/>
                <w:bCs/>
              </w:rPr>
              <w:t>辛庄村</w:t>
            </w:r>
          </w:p>
        </w:tc>
        <w:tc>
          <w:tcPr>
            <w:tcW w:w="390" w:type="pct"/>
            <w:vAlign w:val="center"/>
          </w:tcPr>
          <w:p w14:paraId="1DF97D77">
            <w:pPr>
              <w:pStyle w:val="62"/>
            </w:pPr>
            <w:r>
              <w:rPr>
                <w:rFonts w:hint="eastAsia"/>
              </w:rPr>
              <w:t>1570</w:t>
            </w:r>
          </w:p>
        </w:tc>
        <w:tc>
          <w:tcPr>
            <w:tcW w:w="373" w:type="pct"/>
            <w:vAlign w:val="center"/>
          </w:tcPr>
          <w:p w14:paraId="074F0484">
            <w:pPr>
              <w:pStyle w:val="62"/>
            </w:pPr>
            <w:r>
              <w:rPr>
                <w:rFonts w:hint="eastAsia"/>
              </w:rPr>
              <w:t>0</w:t>
            </w:r>
          </w:p>
        </w:tc>
        <w:tc>
          <w:tcPr>
            <w:tcW w:w="471" w:type="pct"/>
            <w:vAlign w:val="center"/>
          </w:tcPr>
          <w:p w14:paraId="7D6CFDF6">
            <w:pPr>
              <w:pStyle w:val="62"/>
              <w:rPr>
                <w:highlight w:val="yellow"/>
              </w:rPr>
            </w:pPr>
            <w:r>
              <w:t>居住区</w:t>
            </w:r>
          </w:p>
        </w:tc>
        <w:tc>
          <w:tcPr>
            <w:tcW w:w="569" w:type="pct"/>
            <w:vAlign w:val="center"/>
          </w:tcPr>
          <w:p w14:paraId="5957C78B">
            <w:pPr>
              <w:pStyle w:val="62"/>
              <w:rPr>
                <w:highlight w:val="yellow"/>
              </w:rPr>
            </w:pPr>
            <w:r>
              <w:rPr>
                <w:rFonts w:hint="eastAsia"/>
              </w:rPr>
              <w:t>居民</w:t>
            </w:r>
          </w:p>
        </w:tc>
        <w:tc>
          <w:tcPr>
            <w:tcW w:w="489" w:type="pct"/>
            <w:vAlign w:val="center"/>
          </w:tcPr>
          <w:p w14:paraId="178EFF08">
            <w:pPr>
              <w:pStyle w:val="62"/>
            </w:pPr>
            <w:r>
              <w:rPr>
                <w:rFonts w:hint="eastAsia"/>
              </w:rPr>
              <w:t>2900</w:t>
            </w:r>
          </w:p>
        </w:tc>
        <w:tc>
          <w:tcPr>
            <w:tcW w:w="407" w:type="pct"/>
            <w:vAlign w:val="center"/>
          </w:tcPr>
          <w:p w14:paraId="63DAA015">
            <w:pPr>
              <w:pStyle w:val="62"/>
            </w:pPr>
            <w:r>
              <w:rPr>
                <w:rFonts w:hint="eastAsia"/>
              </w:rPr>
              <w:t>东</w:t>
            </w:r>
          </w:p>
        </w:tc>
        <w:tc>
          <w:tcPr>
            <w:tcW w:w="488" w:type="pct"/>
            <w:vAlign w:val="center"/>
          </w:tcPr>
          <w:p w14:paraId="553C3F16">
            <w:pPr>
              <w:pStyle w:val="62"/>
            </w:pPr>
            <w:r>
              <w:rPr>
                <w:rFonts w:hint="eastAsia"/>
              </w:rPr>
              <w:t>1570</w:t>
            </w:r>
          </w:p>
        </w:tc>
        <w:tc>
          <w:tcPr>
            <w:tcW w:w="775" w:type="pct"/>
            <w:vMerge w:val="continue"/>
            <w:vAlign w:val="center"/>
          </w:tcPr>
          <w:p w14:paraId="034D19B2">
            <w:pPr>
              <w:pStyle w:val="62"/>
              <w:rPr>
                <w:highlight w:val="yellow"/>
              </w:rPr>
            </w:pPr>
          </w:p>
        </w:tc>
      </w:tr>
      <w:tr w14:paraId="39A6F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50A37C96">
            <w:pPr>
              <w:pStyle w:val="62"/>
            </w:pPr>
            <w:r>
              <w:rPr>
                <w:rFonts w:hint="eastAsia"/>
              </w:rPr>
              <w:t>13</w:t>
            </w:r>
          </w:p>
        </w:tc>
        <w:tc>
          <w:tcPr>
            <w:tcW w:w="802" w:type="pct"/>
            <w:vAlign w:val="center"/>
          </w:tcPr>
          <w:p w14:paraId="2AEF71CB">
            <w:pPr>
              <w:pStyle w:val="62"/>
              <w:rPr>
                <w:bCs/>
              </w:rPr>
            </w:pPr>
            <w:r>
              <w:rPr>
                <w:rFonts w:hint="eastAsia"/>
              </w:rPr>
              <w:t>卫辉市区</w:t>
            </w:r>
          </w:p>
        </w:tc>
        <w:tc>
          <w:tcPr>
            <w:tcW w:w="390" w:type="pct"/>
            <w:vAlign w:val="center"/>
          </w:tcPr>
          <w:p w14:paraId="3EED306B">
            <w:pPr>
              <w:pStyle w:val="62"/>
            </w:pPr>
            <w:r>
              <w:rPr>
                <w:rFonts w:hint="eastAsia"/>
              </w:rPr>
              <w:t>1360</w:t>
            </w:r>
          </w:p>
        </w:tc>
        <w:tc>
          <w:tcPr>
            <w:tcW w:w="373" w:type="pct"/>
            <w:vAlign w:val="center"/>
          </w:tcPr>
          <w:p w14:paraId="2C675123">
            <w:pPr>
              <w:pStyle w:val="62"/>
            </w:pPr>
            <w:r>
              <w:rPr>
                <w:rFonts w:hint="eastAsia"/>
              </w:rPr>
              <w:t>-1280</w:t>
            </w:r>
          </w:p>
        </w:tc>
        <w:tc>
          <w:tcPr>
            <w:tcW w:w="471" w:type="pct"/>
            <w:vAlign w:val="center"/>
          </w:tcPr>
          <w:p w14:paraId="12A08482">
            <w:pPr>
              <w:pStyle w:val="62"/>
              <w:rPr>
                <w:highlight w:val="yellow"/>
              </w:rPr>
            </w:pPr>
            <w:r>
              <w:t>居住区</w:t>
            </w:r>
          </w:p>
        </w:tc>
        <w:tc>
          <w:tcPr>
            <w:tcW w:w="569" w:type="pct"/>
            <w:vAlign w:val="center"/>
          </w:tcPr>
          <w:p w14:paraId="33082C12">
            <w:pPr>
              <w:pStyle w:val="62"/>
              <w:rPr>
                <w:highlight w:val="yellow"/>
              </w:rPr>
            </w:pPr>
            <w:r>
              <w:rPr>
                <w:rFonts w:hint="eastAsia"/>
              </w:rPr>
              <w:t>居民</w:t>
            </w:r>
          </w:p>
        </w:tc>
        <w:tc>
          <w:tcPr>
            <w:tcW w:w="489" w:type="pct"/>
            <w:vAlign w:val="center"/>
          </w:tcPr>
          <w:p w14:paraId="5B8F74E5">
            <w:pPr>
              <w:pStyle w:val="62"/>
            </w:pPr>
            <w:r>
              <w:rPr>
                <w:rFonts w:hint="eastAsia"/>
              </w:rPr>
              <w:t>231800</w:t>
            </w:r>
          </w:p>
        </w:tc>
        <w:tc>
          <w:tcPr>
            <w:tcW w:w="407" w:type="pct"/>
            <w:vAlign w:val="center"/>
          </w:tcPr>
          <w:p w14:paraId="29846489">
            <w:pPr>
              <w:pStyle w:val="62"/>
            </w:pPr>
            <w:r>
              <w:rPr>
                <w:rFonts w:hint="eastAsia"/>
              </w:rPr>
              <w:t>东南</w:t>
            </w:r>
          </w:p>
        </w:tc>
        <w:tc>
          <w:tcPr>
            <w:tcW w:w="488" w:type="pct"/>
            <w:vAlign w:val="center"/>
          </w:tcPr>
          <w:p w14:paraId="5711B276">
            <w:pPr>
              <w:pStyle w:val="62"/>
            </w:pPr>
            <w:r>
              <w:rPr>
                <w:rFonts w:hint="eastAsia"/>
              </w:rPr>
              <w:t>1870</w:t>
            </w:r>
          </w:p>
        </w:tc>
        <w:tc>
          <w:tcPr>
            <w:tcW w:w="775" w:type="pct"/>
            <w:vMerge w:val="continue"/>
            <w:vAlign w:val="center"/>
          </w:tcPr>
          <w:p w14:paraId="5CF838C6">
            <w:pPr>
              <w:pStyle w:val="62"/>
              <w:rPr>
                <w:highlight w:val="yellow"/>
              </w:rPr>
            </w:pPr>
          </w:p>
        </w:tc>
      </w:tr>
      <w:tr w14:paraId="50930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71B07DBA">
            <w:pPr>
              <w:pStyle w:val="62"/>
            </w:pPr>
            <w:r>
              <w:rPr>
                <w:rFonts w:hint="eastAsia"/>
              </w:rPr>
              <w:t>14</w:t>
            </w:r>
          </w:p>
        </w:tc>
        <w:tc>
          <w:tcPr>
            <w:tcW w:w="802" w:type="pct"/>
            <w:vAlign w:val="center"/>
          </w:tcPr>
          <w:p w14:paraId="1AD436A4">
            <w:pPr>
              <w:pStyle w:val="62"/>
              <w:rPr>
                <w:bCs/>
              </w:rPr>
            </w:pPr>
            <w:r>
              <w:rPr>
                <w:rFonts w:hint="eastAsia"/>
              </w:rPr>
              <w:t>新乡医学院第一附属医院</w:t>
            </w:r>
          </w:p>
        </w:tc>
        <w:tc>
          <w:tcPr>
            <w:tcW w:w="390" w:type="pct"/>
            <w:vAlign w:val="center"/>
          </w:tcPr>
          <w:p w14:paraId="5A4104F9">
            <w:pPr>
              <w:pStyle w:val="62"/>
            </w:pPr>
            <w:r>
              <w:rPr>
                <w:rFonts w:hint="eastAsia"/>
              </w:rPr>
              <w:t>1672</w:t>
            </w:r>
          </w:p>
        </w:tc>
        <w:tc>
          <w:tcPr>
            <w:tcW w:w="373" w:type="pct"/>
            <w:vAlign w:val="center"/>
          </w:tcPr>
          <w:p w14:paraId="0B68A4AB">
            <w:pPr>
              <w:pStyle w:val="62"/>
            </w:pPr>
            <w:r>
              <w:rPr>
                <w:rFonts w:hint="eastAsia"/>
              </w:rPr>
              <w:t>-1742</w:t>
            </w:r>
          </w:p>
        </w:tc>
        <w:tc>
          <w:tcPr>
            <w:tcW w:w="471" w:type="pct"/>
            <w:vAlign w:val="center"/>
          </w:tcPr>
          <w:p w14:paraId="4881F04A">
            <w:pPr>
              <w:pStyle w:val="62"/>
              <w:rPr>
                <w:highlight w:val="yellow"/>
              </w:rPr>
            </w:pPr>
            <w:r>
              <w:rPr>
                <w:rFonts w:hint="eastAsia"/>
              </w:rPr>
              <w:t>医疗卫生</w:t>
            </w:r>
            <w:r>
              <w:t>区</w:t>
            </w:r>
          </w:p>
        </w:tc>
        <w:tc>
          <w:tcPr>
            <w:tcW w:w="569" w:type="pct"/>
            <w:vAlign w:val="center"/>
          </w:tcPr>
          <w:p w14:paraId="3BEC1B41">
            <w:pPr>
              <w:pStyle w:val="62"/>
              <w:rPr>
                <w:highlight w:val="yellow"/>
              </w:rPr>
            </w:pPr>
            <w:r>
              <w:rPr>
                <w:rFonts w:hint="eastAsia"/>
              </w:rPr>
              <w:t>医护人员及病人</w:t>
            </w:r>
          </w:p>
        </w:tc>
        <w:tc>
          <w:tcPr>
            <w:tcW w:w="489" w:type="pct"/>
            <w:vAlign w:val="center"/>
          </w:tcPr>
          <w:p w14:paraId="6BDE5451">
            <w:pPr>
              <w:pStyle w:val="62"/>
            </w:pPr>
            <w:r>
              <w:rPr>
                <w:rFonts w:hint="eastAsia"/>
              </w:rPr>
              <w:t>10744</w:t>
            </w:r>
          </w:p>
        </w:tc>
        <w:tc>
          <w:tcPr>
            <w:tcW w:w="407" w:type="pct"/>
            <w:vAlign w:val="center"/>
          </w:tcPr>
          <w:p w14:paraId="4B55A11C">
            <w:pPr>
              <w:pStyle w:val="62"/>
            </w:pPr>
            <w:r>
              <w:rPr>
                <w:rFonts w:hint="eastAsia"/>
              </w:rPr>
              <w:t>东南</w:t>
            </w:r>
          </w:p>
        </w:tc>
        <w:tc>
          <w:tcPr>
            <w:tcW w:w="488" w:type="pct"/>
            <w:vAlign w:val="center"/>
          </w:tcPr>
          <w:p w14:paraId="2F12886A">
            <w:pPr>
              <w:pStyle w:val="62"/>
            </w:pPr>
            <w:r>
              <w:rPr>
                <w:rFonts w:hint="eastAsia"/>
              </w:rPr>
              <w:t>2400</w:t>
            </w:r>
          </w:p>
        </w:tc>
        <w:tc>
          <w:tcPr>
            <w:tcW w:w="775" w:type="pct"/>
            <w:vMerge w:val="continue"/>
            <w:vAlign w:val="center"/>
          </w:tcPr>
          <w:p w14:paraId="75080ACB">
            <w:pPr>
              <w:pStyle w:val="62"/>
              <w:rPr>
                <w:highlight w:val="yellow"/>
              </w:rPr>
            </w:pPr>
          </w:p>
        </w:tc>
      </w:tr>
      <w:tr w14:paraId="751FF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6BB1AE7A">
            <w:pPr>
              <w:pStyle w:val="62"/>
            </w:pPr>
            <w:r>
              <w:rPr>
                <w:rFonts w:hint="eastAsia"/>
              </w:rPr>
              <w:t>15</w:t>
            </w:r>
          </w:p>
        </w:tc>
        <w:tc>
          <w:tcPr>
            <w:tcW w:w="802" w:type="pct"/>
            <w:vAlign w:val="center"/>
          </w:tcPr>
          <w:p w14:paraId="1A7F68CC">
            <w:pPr>
              <w:pStyle w:val="62"/>
              <w:rPr>
                <w:bCs/>
                <w:highlight w:val="yellow"/>
                <w:u w:val="single"/>
              </w:rPr>
            </w:pPr>
            <w:r>
              <w:rPr>
                <w:rFonts w:hint="eastAsia"/>
                <w:u w:val="single"/>
              </w:rPr>
              <w:t>下园村</w:t>
            </w:r>
          </w:p>
        </w:tc>
        <w:tc>
          <w:tcPr>
            <w:tcW w:w="390" w:type="pct"/>
            <w:vAlign w:val="center"/>
          </w:tcPr>
          <w:p w14:paraId="24E411EF">
            <w:pPr>
              <w:pStyle w:val="62"/>
            </w:pPr>
            <w:r>
              <w:rPr>
                <w:rFonts w:hint="eastAsia"/>
              </w:rPr>
              <w:t>467</w:t>
            </w:r>
          </w:p>
        </w:tc>
        <w:tc>
          <w:tcPr>
            <w:tcW w:w="373" w:type="pct"/>
            <w:vAlign w:val="center"/>
          </w:tcPr>
          <w:p w14:paraId="5C90BDA9">
            <w:pPr>
              <w:pStyle w:val="62"/>
            </w:pPr>
            <w:r>
              <w:rPr>
                <w:rFonts w:hint="eastAsia"/>
              </w:rPr>
              <w:t>-345</w:t>
            </w:r>
          </w:p>
        </w:tc>
        <w:tc>
          <w:tcPr>
            <w:tcW w:w="471" w:type="pct"/>
            <w:vAlign w:val="center"/>
          </w:tcPr>
          <w:p w14:paraId="37C8F34E">
            <w:pPr>
              <w:pStyle w:val="62"/>
              <w:rPr>
                <w:highlight w:val="yellow"/>
              </w:rPr>
            </w:pPr>
            <w:r>
              <w:t>居住区</w:t>
            </w:r>
          </w:p>
        </w:tc>
        <w:tc>
          <w:tcPr>
            <w:tcW w:w="569" w:type="pct"/>
            <w:vAlign w:val="center"/>
          </w:tcPr>
          <w:p w14:paraId="332ADB4B">
            <w:pPr>
              <w:pStyle w:val="62"/>
              <w:rPr>
                <w:highlight w:val="yellow"/>
              </w:rPr>
            </w:pPr>
            <w:r>
              <w:rPr>
                <w:rFonts w:hint="eastAsia"/>
              </w:rPr>
              <w:t>居民</w:t>
            </w:r>
          </w:p>
        </w:tc>
        <w:tc>
          <w:tcPr>
            <w:tcW w:w="489" w:type="pct"/>
            <w:vAlign w:val="center"/>
          </w:tcPr>
          <w:p w14:paraId="0E2B8B90">
            <w:pPr>
              <w:pStyle w:val="62"/>
            </w:pPr>
            <w:r>
              <w:rPr>
                <w:rFonts w:hint="eastAsia"/>
              </w:rPr>
              <w:t>2098</w:t>
            </w:r>
          </w:p>
        </w:tc>
        <w:tc>
          <w:tcPr>
            <w:tcW w:w="407" w:type="pct"/>
            <w:vAlign w:val="center"/>
          </w:tcPr>
          <w:p w14:paraId="3795D972">
            <w:pPr>
              <w:pStyle w:val="62"/>
            </w:pPr>
            <w:r>
              <w:rPr>
                <w:rFonts w:hint="eastAsia"/>
              </w:rPr>
              <w:t>东南</w:t>
            </w:r>
          </w:p>
        </w:tc>
        <w:tc>
          <w:tcPr>
            <w:tcW w:w="488" w:type="pct"/>
            <w:vAlign w:val="center"/>
          </w:tcPr>
          <w:p w14:paraId="0AC3C4DB">
            <w:pPr>
              <w:pStyle w:val="62"/>
              <w:rPr>
                <w:u w:val="single"/>
              </w:rPr>
            </w:pPr>
            <w:r>
              <w:rPr>
                <w:rFonts w:hint="eastAsia"/>
                <w:u w:val="single"/>
              </w:rPr>
              <w:t>580</w:t>
            </w:r>
          </w:p>
        </w:tc>
        <w:tc>
          <w:tcPr>
            <w:tcW w:w="775" w:type="pct"/>
            <w:vMerge w:val="continue"/>
            <w:vAlign w:val="center"/>
          </w:tcPr>
          <w:p w14:paraId="1363C241">
            <w:pPr>
              <w:pStyle w:val="62"/>
              <w:rPr>
                <w:highlight w:val="yellow"/>
              </w:rPr>
            </w:pPr>
          </w:p>
        </w:tc>
      </w:tr>
      <w:tr w14:paraId="477B9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Align w:val="center"/>
          </w:tcPr>
          <w:p w14:paraId="724E35DF">
            <w:pPr>
              <w:pStyle w:val="62"/>
            </w:pPr>
            <w:r>
              <w:rPr>
                <w:rFonts w:hint="eastAsia"/>
              </w:rPr>
              <w:t xml:space="preserve">16 </w:t>
            </w:r>
          </w:p>
        </w:tc>
        <w:tc>
          <w:tcPr>
            <w:tcW w:w="802" w:type="pct"/>
            <w:vAlign w:val="center"/>
          </w:tcPr>
          <w:p w14:paraId="3D75A971">
            <w:pPr>
              <w:pStyle w:val="62"/>
              <w:rPr>
                <w:u w:val="single"/>
              </w:rPr>
            </w:pPr>
            <w:r>
              <w:rPr>
                <w:rFonts w:hint="eastAsia"/>
                <w:u w:val="single"/>
              </w:rPr>
              <w:t>龙王庙</w:t>
            </w:r>
          </w:p>
        </w:tc>
        <w:tc>
          <w:tcPr>
            <w:tcW w:w="390" w:type="pct"/>
            <w:vAlign w:val="center"/>
          </w:tcPr>
          <w:p w14:paraId="65F23096">
            <w:pPr>
              <w:pStyle w:val="62"/>
            </w:pPr>
            <w:r>
              <w:rPr>
                <w:rFonts w:hint="eastAsia"/>
              </w:rPr>
              <w:t>413</w:t>
            </w:r>
          </w:p>
        </w:tc>
        <w:tc>
          <w:tcPr>
            <w:tcW w:w="373" w:type="pct"/>
            <w:vAlign w:val="center"/>
          </w:tcPr>
          <w:p w14:paraId="173ED0D9">
            <w:pPr>
              <w:pStyle w:val="62"/>
            </w:pPr>
            <w:r>
              <w:rPr>
                <w:rFonts w:hint="eastAsia"/>
              </w:rPr>
              <w:t>-436</w:t>
            </w:r>
          </w:p>
        </w:tc>
        <w:tc>
          <w:tcPr>
            <w:tcW w:w="471" w:type="pct"/>
            <w:vAlign w:val="center"/>
          </w:tcPr>
          <w:p w14:paraId="5FDECCF4">
            <w:pPr>
              <w:pStyle w:val="62"/>
            </w:pPr>
            <w:r>
              <w:t>居住区</w:t>
            </w:r>
          </w:p>
        </w:tc>
        <w:tc>
          <w:tcPr>
            <w:tcW w:w="569" w:type="pct"/>
            <w:vAlign w:val="center"/>
          </w:tcPr>
          <w:p w14:paraId="0169885B">
            <w:pPr>
              <w:pStyle w:val="62"/>
            </w:pPr>
            <w:r>
              <w:rPr>
                <w:rFonts w:hint="eastAsia"/>
              </w:rPr>
              <w:t>居民</w:t>
            </w:r>
          </w:p>
        </w:tc>
        <w:tc>
          <w:tcPr>
            <w:tcW w:w="489" w:type="pct"/>
            <w:vAlign w:val="center"/>
          </w:tcPr>
          <w:p w14:paraId="48A0CB1F">
            <w:pPr>
              <w:pStyle w:val="62"/>
            </w:pPr>
            <w:r>
              <w:rPr>
                <w:rFonts w:hint="eastAsia"/>
              </w:rPr>
              <w:t>450</w:t>
            </w:r>
          </w:p>
        </w:tc>
        <w:tc>
          <w:tcPr>
            <w:tcW w:w="407" w:type="pct"/>
            <w:vAlign w:val="center"/>
          </w:tcPr>
          <w:p w14:paraId="5B9D49B7">
            <w:pPr>
              <w:pStyle w:val="62"/>
            </w:pPr>
            <w:r>
              <w:rPr>
                <w:rFonts w:hint="eastAsia"/>
              </w:rPr>
              <w:t>东南</w:t>
            </w:r>
          </w:p>
        </w:tc>
        <w:tc>
          <w:tcPr>
            <w:tcW w:w="488" w:type="pct"/>
            <w:vAlign w:val="center"/>
          </w:tcPr>
          <w:p w14:paraId="3C21D489">
            <w:pPr>
              <w:pStyle w:val="62"/>
              <w:rPr>
                <w:u w:val="single"/>
              </w:rPr>
            </w:pPr>
            <w:r>
              <w:rPr>
                <w:rFonts w:hint="eastAsia"/>
                <w:u w:val="single"/>
              </w:rPr>
              <w:t>770</w:t>
            </w:r>
          </w:p>
        </w:tc>
        <w:tc>
          <w:tcPr>
            <w:tcW w:w="775" w:type="pct"/>
            <w:vMerge w:val="continue"/>
            <w:vAlign w:val="center"/>
          </w:tcPr>
          <w:p w14:paraId="78E36A8D">
            <w:pPr>
              <w:pStyle w:val="62"/>
              <w:rPr>
                <w:highlight w:val="yellow"/>
              </w:rPr>
            </w:pPr>
          </w:p>
        </w:tc>
      </w:tr>
      <w:tr w14:paraId="10DD8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Merge w:val="restart"/>
            <w:vAlign w:val="center"/>
          </w:tcPr>
          <w:p w14:paraId="00EC7C0D">
            <w:pPr>
              <w:pStyle w:val="62"/>
              <w:rPr>
                <w:bCs/>
                <w:kern w:val="2"/>
                <w:highlight w:val="yellow"/>
              </w:rPr>
            </w:pPr>
            <w:r>
              <w:rPr>
                <w:rFonts w:hint="eastAsia"/>
                <w:bCs/>
                <w:kern w:val="2"/>
              </w:rPr>
              <w:t>1</w:t>
            </w:r>
          </w:p>
        </w:tc>
        <w:tc>
          <w:tcPr>
            <w:tcW w:w="802" w:type="pct"/>
            <w:vAlign w:val="center"/>
          </w:tcPr>
          <w:p w14:paraId="054A32EA">
            <w:pPr>
              <w:pStyle w:val="62"/>
              <w:rPr>
                <w:bCs/>
              </w:rPr>
            </w:pPr>
            <w:r>
              <w:rPr>
                <w:rFonts w:hint="eastAsia"/>
              </w:rPr>
              <w:t>共产主义渠</w:t>
            </w:r>
          </w:p>
        </w:tc>
        <w:tc>
          <w:tcPr>
            <w:tcW w:w="2292" w:type="pct"/>
            <w:gridSpan w:val="5"/>
            <w:vAlign w:val="center"/>
          </w:tcPr>
          <w:p w14:paraId="2145D83F">
            <w:pPr>
              <w:widowControl/>
              <w:spacing w:line="240" w:lineRule="auto"/>
              <w:ind w:firstLine="0" w:firstLineChars="0"/>
              <w:jc w:val="center"/>
              <w:rPr>
                <w:bCs/>
              </w:rPr>
            </w:pPr>
            <w:r>
              <w:rPr>
                <w:rFonts w:hint="eastAsia"/>
                <w:sz w:val="21"/>
                <w:szCs w:val="21"/>
              </w:rPr>
              <w:t>唐庄</w:t>
            </w:r>
            <w:r>
              <w:rPr>
                <w:sz w:val="21"/>
                <w:szCs w:val="21"/>
              </w:rPr>
              <w:t>污水处理厂纳污水体</w:t>
            </w:r>
          </w:p>
        </w:tc>
        <w:tc>
          <w:tcPr>
            <w:tcW w:w="407" w:type="pct"/>
            <w:vAlign w:val="center"/>
          </w:tcPr>
          <w:p w14:paraId="131E4312">
            <w:pPr>
              <w:pStyle w:val="62"/>
              <w:rPr>
                <w:bCs/>
              </w:rPr>
            </w:pPr>
            <w:r>
              <w:rPr>
                <w:rFonts w:hint="eastAsia"/>
              </w:rPr>
              <w:t>东</w:t>
            </w:r>
            <w:r>
              <w:rPr>
                <w:rFonts w:hint="eastAsia"/>
                <w:bCs/>
              </w:rPr>
              <w:t>南</w:t>
            </w:r>
          </w:p>
        </w:tc>
        <w:tc>
          <w:tcPr>
            <w:tcW w:w="488" w:type="pct"/>
            <w:vAlign w:val="center"/>
          </w:tcPr>
          <w:p w14:paraId="0AFFC2B7">
            <w:pPr>
              <w:pStyle w:val="62"/>
              <w:rPr>
                <w:bCs/>
              </w:rPr>
            </w:pPr>
            <w:r>
              <w:rPr>
                <w:rFonts w:hint="eastAsia"/>
                <w:bCs/>
              </w:rPr>
              <w:t>182</w:t>
            </w:r>
            <w:r>
              <w:rPr>
                <w:bCs/>
              </w:rPr>
              <w:t>0</w:t>
            </w:r>
          </w:p>
        </w:tc>
        <w:tc>
          <w:tcPr>
            <w:tcW w:w="775" w:type="pct"/>
            <w:vMerge w:val="restart"/>
            <w:vAlign w:val="center"/>
          </w:tcPr>
          <w:p w14:paraId="4A1F031D">
            <w:pPr>
              <w:widowControl/>
              <w:spacing w:line="240" w:lineRule="auto"/>
              <w:ind w:firstLine="0" w:firstLineChars="0"/>
              <w:jc w:val="center"/>
              <w:rPr>
                <w:sz w:val="21"/>
                <w:szCs w:val="21"/>
              </w:rPr>
            </w:pPr>
            <w:r>
              <w:rPr>
                <w:sz w:val="21"/>
                <w:szCs w:val="21"/>
              </w:rPr>
              <w:t>《地表水环境质量标准》（GB3838</w:t>
            </w:r>
          </w:p>
          <w:p w14:paraId="1066288F">
            <w:pPr>
              <w:pStyle w:val="62"/>
              <w:rPr>
                <w:bCs/>
                <w:highlight w:val="yellow"/>
              </w:rPr>
            </w:pPr>
            <w:r>
              <w:t>-2002）Ⅳ类</w:t>
            </w:r>
          </w:p>
        </w:tc>
      </w:tr>
      <w:tr w14:paraId="22CAB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Merge w:val="continue"/>
            <w:vAlign w:val="center"/>
          </w:tcPr>
          <w:p w14:paraId="6CBB2259">
            <w:pPr>
              <w:pStyle w:val="62"/>
              <w:rPr>
                <w:bCs/>
                <w:kern w:val="2"/>
                <w:highlight w:val="yellow"/>
              </w:rPr>
            </w:pPr>
          </w:p>
        </w:tc>
        <w:tc>
          <w:tcPr>
            <w:tcW w:w="802" w:type="pct"/>
            <w:vAlign w:val="center"/>
          </w:tcPr>
          <w:p w14:paraId="62219F99">
            <w:pPr>
              <w:pStyle w:val="62"/>
              <w:rPr>
                <w:bCs/>
              </w:rPr>
            </w:pPr>
            <w:r>
              <w:rPr>
                <w:rFonts w:hint="eastAsia"/>
              </w:rPr>
              <w:t>卫河</w:t>
            </w:r>
          </w:p>
        </w:tc>
        <w:tc>
          <w:tcPr>
            <w:tcW w:w="2292" w:type="pct"/>
            <w:gridSpan w:val="5"/>
            <w:vAlign w:val="center"/>
          </w:tcPr>
          <w:p w14:paraId="3EF4A6BF">
            <w:pPr>
              <w:pStyle w:val="62"/>
              <w:rPr>
                <w:bCs/>
              </w:rPr>
            </w:pPr>
            <w:r>
              <w:t>周边地表水体</w:t>
            </w:r>
          </w:p>
        </w:tc>
        <w:tc>
          <w:tcPr>
            <w:tcW w:w="407" w:type="pct"/>
            <w:vAlign w:val="center"/>
          </w:tcPr>
          <w:p w14:paraId="4AADB205">
            <w:pPr>
              <w:pStyle w:val="62"/>
              <w:rPr>
                <w:bCs/>
                <w:highlight w:val="yellow"/>
              </w:rPr>
            </w:pPr>
            <w:r>
              <w:rPr>
                <w:rFonts w:hint="eastAsia"/>
              </w:rPr>
              <w:t>东</w:t>
            </w:r>
            <w:r>
              <w:rPr>
                <w:rFonts w:hint="eastAsia"/>
                <w:bCs/>
              </w:rPr>
              <w:t>南</w:t>
            </w:r>
          </w:p>
        </w:tc>
        <w:tc>
          <w:tcPr>
            <w:tcW w:w="488" w:type="pct"/>
            <w:vAlign w:val="center"/>
          </w:tcPr>
          <w:p w14:paraId="04935258">
            <w:pPr>
              <w:pStyle w:val="62"/>
              <w:rPr>
                <w:bCs/>
                <w:highlight w:val="yellow"/>
              </w:rPr>
            </w:pPr>
            <w:r>
              <w:rPr>
                <w:rFonts w:hint="eastAsia"/>
                <w:bCs/>
              </w:rPr>
              <w:t>1940</w:t>
            </w:r>
          </w:p>
        </w:tc>
        <w:tc>
          <w:tcPr>
            <w:tcW w:w="775" w:type="pct"/>
            <w:vMerge w:val="continue"/>
            <w:vAlign w:val="center"/>
          </w:tcPr>
          <w:p w14:paraId="2BC9D319">
            <w:pPr>
              <w:pStyle w:val="62"/>
              <w:rPr>
                <w:bCs/>
                <w:highlight w:val="yellow"/>
              </w:rPr>
            </w:pPr>
          </w:p>
        </w:tc>
      </w:tr>
      <w:tr w14:paraId="4DF8D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6" w:type="pct"/>
            <w:vMerge w:val="continue"/>
            <w:vAlign w:val="center"/>
          </w:tcPr>
          <w:p w14:paraId="7160285A">
            <w:pPr>
              <w:pStyle w:val="62"/>
              <w:rPr>
                <w:bCs/>
                <w:kern w:val="2"/>
                <w:highlight w:val="yellow"/>
              </w:rPr>
            </w:pPr>
          </w:p>
        </w:tc>
        <w:tc>
          <w:tcPr>
            <w:tcW w:w="802" w:type="pct"/>
            <w:vAlign w:val="center"/>
          </w:tcPr>
          <w:p w14:paraId="10F8F7F0">
            <w:pPr>
              <w:pStyle w:val="62"/>
            </w:pPr>
            <w:r>
              <w:rPr>
                <w:rFonts w:hint="eastAsia"/>
              </w:rPr>
              <w:t>南水北调干渠</w:t>
            </w:r>
          </w:p>
        </w:tc>
        <w:tc>
          <w:tcPr>
            <w:tcW w:w="2292" w:type="pct"/>
            <w:gridSpan w:val="5"/>
            <w:vAlign w:val="center"/>
          </w:tcPr>
          <w:p w14:paraId="3A4C73C0">
            <w:pPr>
              <w:pStyle w:val="62"/>
            </w:pPr>
            <w:r>
              <w:rPr>
                <w:rFonts w:hint="eastAsia"/>
              </w:rPr>
              <w:t>地表水饮用水水源保护区</w:t>
            </w:r>
          </w:p>
        </w:tc>
        <w:tc>
          <w:tcPr>
            <w:tcW w:w="407" w:type="pct"/>
            <w:vAlign w:val="center"/>
          </w:tcPr>
          <w:p w14:paraId="2201641E">
            <w:pPr>
              <w:pStyle w:val="62"/>
              <w:rPr>
                <w:bCs/>
              </w:rPr>
            </w:pPr>
            <w:r>
              <w:rPr>
                <w:rFonts w:hint="eastAsia"/>
                <w:bCs/>
              </w:rPr>
              <w:t>西北</w:t>
            </w:r>
          </w:p>
        </w:tc>
        <w:tc>
          <w:tcPr>
            <w:tcW w:w="488" w:type="pct"/>
            <w:vAlign w:val="center"/>
          </w:tcPr>
          <w:p w14:paraId="2A6AA4CC">
            <w:pPr>
              <w:pStyle w:val="62"/>
              <w:rPr>
                <w:bCs/>
              </w:rPr>
            </w:pPr>
            <w:r>
              <w:rPr>
                <w:rFonts w:hint="eastAsia"/>
                <w:bCs/>
              </w:rPr>
              <w:t>4450</w:t>
            </w:r>
          </w:p>
        </w:tc>
        <w:tc>
          <w:tcPr>
            <w:tcW w:w="775" w:type="pct"/>
            <w:vAlign w:val="center"/>
          </w:tcPr>
          <w:p w14:paraId="29848045">
            <w:pPr>
              <w:widowControl/>
              <w:spacing w:line="240" w:lineRule="auto"/>
              <w:ind w:firstLine="0" w:firstLineChars="0"/>
              <w:jc w:val="center"/>
              <w:rPr>
                <w:sz w:val="21"/>
                <w:szCs w:val="21"/>
              </w:rPr>
            </w:pPr>
            <w:r>
              <w:rPr>
                <w:sz w:val="21"/>
                <w:szCs w:val="21"/>
              </w:rPr>
              <w:t>《地表水环境质量标准》（GB3838</w:t>
            </w:r>
          </w:p>
          <w:p w14:paraId="5840EE0A">
            <w:pPr>
              <w:pStyle w:val="62"/>
              <w:rPr>
                <w:bCs/>
              </w:rPr>
            </w:pPr>
            <w:r>
              <w:t>-2002）</w:t>
            </w:r>
            <w:r>
              <w:rPr>
                <w:rFonts w:hint="eastAsia"/>
              </w:rPr>
              <w:t>II</w:t>
            </w:r>
            <w:r>
              <w:t>类</w:t>
            </w:r>
          </w:p>
        </w:tc>
      </w:tr>
    </w:tbl>
    <w:p w14:paraId="63655A56">
      <w:pPr>
        <w:spacing w:before="161" w:beforeLines="50" w:line="240" w:lineRule="auto"/>
        <w:ind w:firstLine="0" w:firstLineChars="0"/>
        <w:outlineLvl w:val="2"/>
        <w:rPr>
          <w:sz w:val="21"/>
          <w:szCs w:val="21"/>
        </w:rPr>
      </w:pPr>
      <w:r>
        <w:rPr>
          <w:rFonts w:hint="eastAsia"/>
          <w:b/>
          <w:bCs/>
          <w:sz w:val="21"/>
          <w:szCs w:val="21"/>
        </w:rPr>
        <w:t>2</w:t>
      </w:r>
      <w:r>
        <w:rPr>
          <w:b/>
          <w:bCs/>
          <w:sz w:val="21"/>
          <w:szCs w:val="21"/>
        </w:rPr>
        <w:t>.7.2</w:t>
      </w:r>
      <w:r>
        <w:rPr>
          <w:rFonts w:hint="eastAsia"/>
          <w:b/>
          <w:bCs/>
          <w:sz w:val="21"/>
          <w:szCs w:val="21"/>
        </w:rPr>
        <w:t>地下水保护目标</w:t>
      </w:r>
    </w:p>
    <w:p w14:paraId="5DDEB3CE">
      <w:pPr>
        <w:ind w:firstLine="480"/>
      </w:pPr>
      <w:r>
        <w:rPr>
          <w:rFonts w:hint="eastAsia"/>
        </w:rPr>
        <w:t>本工程周边地下水环境保护目标见下表：</w:t>
      </w:r>
    </w:p>
    <w:p w14:paraId="7E965FBC">
      <w:pPr>
        <w:pStyle w:val="64"/>
        <w:numPr>
          <w:ilvl w:val="0"/>
          <w:numId w:val="8"/>
        </w:numPr>
        <w:spacing w:before="161"/>
        <w:ind w:left="924" w:hanging="442" w:firstLineChars="0"/>
      </w:pPr>
      <w:r>
        <w:t xml:space="preserve">             地下水环境保护目标一览表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14"/>
        <w:gridCol w:w="611"/>
        <w:gridCol w:w="1668"/>
        <w:gridCol w:w="2136"/>
        <w:gridCol w:w="997"/>
        <w:gridCol w:w="1927"/>
      </w:tblGrid>
      <w:tr w14:paraId="2A576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noWrap/>
            <w:vAlign w:val="center"/>
          </w:tcPr>
          <w:p w14:paraId="10A7E8AB">
            <w:pPr>
              <w:pStyle w:val="67"/>
              <w:rPr>
                <w:rFonts w:cs="Times New Roman"/>
                <w:color w:val="auto"/>
                <w:kern w:val="0"/>
              </w:rPr>
            </w:pPr>
            <w:r>
              <w:rPr>
                <w:rFonts w:cs="Times New Roman"/>
                <w:color w:val="auto"/>
                <w:kern w:val="0"/>
              </w:rPr>
              <w:t>保护目标名称</w:t>
            </w:r>
          </w:p>
        </w:tc>
        <w:tc>
          <w:tcPr>
            <w:tcW w:w="608" w:type="dxa"/>
            <w:noWrap/>
            <w:vAlign w:val="center"/>
          </w:tcPr>
          <w:p w14:paraId="14959E13">
            <w:pPr>
              <w:pStyle w:val="67"/>
              <w:rPr>
                <w:rFonts w:cs="Times New Roman"/>
                <w:color w:val="auto"/>
                <w:kern w:val="0"/>
              </w:rPr>
            </w:pPr>
            <w:r>
              <w:rPr>
                <w:rFonts w:hint="eastAsia" w:cs="Times New Roman"/>
                <w:color w:val="auto"/>
                <w:kern w:val="0"/>
              </w:rPr>
              <w:t>序号</w:t>
            </w:r>
          </w:p>
        </w:tc>
        <w:tc>
          <w:tcPr>
            <w:tcW w:w="1660" w:type="dxa"/>
            <w:noWrap/>
            <w:vAlign w:val="center"/>
          </w:tcPr>
          <w:p w14:paraId="4ADDE9FC">
            <w:pPr>
              <w:pStyle w:val="67"/>
              <w:rPr>
                <w:rFonts w:cs="Times New Roman"/>
                <w:color w:val="auto"/>
                <w:kern w:val="0"/>
              </w:rPr>
            </w:pPr>
            <w:r>
              <w:rPr>
                <w:rFonts w:cs="Times New Roman"/>
                <w:color w:val="auto"/>
                <w:kern w:val="0"/>
              </w:rPr>
              <w:t>供水范围</w:t>
            </w:r>
          </w:p>
        </w:tc>
        <w:tc>
          <w:tcPr>
            <w:tcW w:w="2126" w:type="dxa"/>
            <w:noWrap/>
            <w:vAlign w:val="center"/>
          </w:tcPr>
          <w:p w14:paraId="3E665365">
            <w:pPr>
              <w:pStyle w:val="67"/>
              <w:rPr>
                <w:rFonts w:cs="Times New Roman"/>
                <w:color w:val="auto"/>
                <w:kern w:val="0"/>
              </w:rPr>
            </w:pPr>
            <w:r>
              <w:rPr>
                <w:rFonts w:cs="Times New Roman"/>
                <w:color w:val="auto"/>
                <w:kern w:val="0"/>
              </w:rPr>
              <w:t>与拟建场地位置关系</w:t>
            </w:r>
          </w:p>
        </w:tc>
        <w:tc>
          <w:tcPr>
            <w:tcW w:w="992" w:type="dxa"/>
            <w:noWrap/>
            <w:vAlign w:val="center"/>
          </w:tcPr>
          <w:p w14:paraId="5E9556F9">
            <w:pPr>
              <w:pStyle w:val="67"/>
              <w:rPr>
                <w:rFonts w:cs="Times New Roman"/>
                <w:color w:val="auto"/>
                <w:kern w:val="0"/>
              </w:rPr>
            </w:pPr>
            <w:r>
              <w:rPr>
                <w:rFonts w:cs="Times New Roman"/>
                <w:color w:val="auto"/>
                <w:kern w:val="0"/>
              </w:rPr>
              <w:t>用途</w:t>
            </w:r>
          </w:p>
        </w:tc>
        <w:tc>
          <w:tcPr>
            <w:tcW w:w="1918" w:type="dxa"/>
            <w:noWrap/>
            <w:vAlign w:val="center"/>
          </w:tcPr>
          <w:p w14:paraId="77E86AD5">
            <w:pPr>
              <w:pStyle w:val="67"/>
              <w:rPr>
                <w:rFonts w:cs="Times New Roman"/>
                <w:color w:val="auto"/>
                <w:kern w:val="0"/>
              </w:rPr>
            </w:pPr>
            <w:r>
              <w:rPr>
                <w:rFonts w:cs="Times New Roman"/>
                <w:color w:val="auto"/>
                <w:kern w:val="0"/>
              </w:rPr>
              <w:t>供水人口（人）</w:t>
            </w:r>
          </w:p>
        </w:tc>
      </w:tr>
      <w:tr w14:paraId="235BE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noWrap/>
            <w:vAlign w:val="center"/>
          </w:tcPr>
          <w:p w14:paraId="77643B40">
            <w:pPr>
              <w:pStyle w:val="62"/>
            </w:pPr>
            <w:r>
              <w:t>集中式饮用水水源</w:t>
            </w:r>
          </w:p>
        </w:tc>
        <w:tc>
          <w:tcPr>
            <w:tcW w:w="608" w:type="dxa"/>
            <w:noWrap/>
            <w:vAlign w:val="center"/>
          </w:tcPr>
          <w:p w14:paraId="5B420CAC">
            <w:pPr>
              <w:pStyle w:val="62"/>
            </w:pPr>
            <w:r>
              <w:t>1</w:t>
            </w:r>
          </w:p>
        </w:tc>
        <w:tc>
          <w:tcPr>
            <w:tcW w:w="1660" w:type="dxa"/>
            <w:noWrap/>
            <w:vAlign w:val="center"/>
          </w:tcPr>
          <w:p w14:paraId="0FECF73B">
            <w:pPr>
              <w:pStyle w:val="62"/>
            </w:pPr>
            <w:r>
              <w:rPr>
                <w:rFonts w:hint="eastAsia"/>
              </w:rPr>
              <w:t>唐庄村</w:t>
            </w:r>
          </w:p>
        </w:tc>
        <w:tc>
          <w:tcPr>
            <w:tcW w:w="2126" w:type="dxa"/>
            <w:noWrap/>
            <w:vAlign w:val="center"/>
          </w:tcPr>
          <w:p w14:paraId="10D5569F">
            <w:pPr>
              <w:pStyle w:val="62"/>
            </w:pPr>
            <w:r>
              <w:rPr>
                <w:rFonts w:hint="eastAsia"/>
              </w:rPr>
              <w:t>拟建厂址西</w:t>
            </w:r>
            <w:r>
              <w:t>4.</w:t>
            </w:r>
            <w:r>
              <w:rPr>
                <w:rFonts w:hint="eastAsia"/>
              </w:rPr>
              <w:t>7</w:t>
            </w:r>
            <w:r>
              <w:t>2km</w:t>
            </w:r>
          </w:p>
        </w:tc>
        <w:tc>
          <w:tcPr>
            <w:tcW w:w="992" w:type="dxa"/>
            <w:vMerge w:val="restart"/>
            <w:noWrap/>
            <w:vAlign w:val="center"/>
          </w:tcPr>
          <w:p w14:paraId="7D4EBC34">
            <w:pPr>
              <w:pStyle w:val="62"/>
            </w:pPr>
            <w:r>
              <w:t>生活</w:t>
            </w:r>
          </w:p>
          <w:p w14:paraId="509711D9">
            <w:pPr>
              <w:pStyle w:val="62"/>
              <w:rPr>
                <w:highlight w:val="yellow"/>
              </w:rPr>
            </w:pPr>
            <w:r>
              <w:t>饮用</w:t>
            </w:r>
          </w:p>
        </w:tc>
        <w:tc>
          <w:tcPr>
            <w:tcW w:w="1918" w:type="dxa"/>
            <w:noWrap/>
            <w:vAlign w:val="center"/>
          </w:tcPr>
          <w:p w14:paraId="342C523E">
            <w:pPr>
              <w:pStyle w:val="62"/>
              <w:rPr>
                <w:kern w:val="2"/>
                <w:highlight w:val="yellow"/>
              </w:rPr>
            </w:pPr>
            <w:r>
              <w:rPr>
                <w:rFonts w:hint="eastAsia"/>
                <w:kern w:val="2"/>
              </w:rPr>
              <w:t>2840</w:t>
            </w:r>
          </w:p>
        </w:tc>
      </w:tr>
      <w:tr w14:paraId="217AA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vMerge w:val="restart"/>
            <w:noWrap/>
            <w:vAlign w:val="center"/>
          </w:tcPr>
          <w:p w14:paraId="184A3DAB">
            <w:pPr>
              <w:pStyle w:val="62"/>
            </w:pPr>
            <w:r>
              <w:rPr>
                <w:rFonts w:hint="eastAsia"/>
              </w:rPr>
              <w:t>分散式饮用水水源</w:t>
            </w:r>
          </w:p>
        </w:tc>
        <w:tc>
          <w:tcPr>
            <w:tcW w:w="608" w:type="dxa"/>
            <w:noWrap/>
            <w:vAlign w:val="center"/>
          </w:tcPr>
          <w:p w14:paraId="732C8224">
            <w:pPr>
              <w:pStyle w:val="62"/>
            </w:pPr>
            <w:r>
              <w:t>2</w:t>
            </w:r>
          </w:p>
        </w:tc>
        <w:tc>
          <w:tcPr>
            <w:tcW w:w="1660" w:type="dxa"/>
            <w:noWrap/>
            <w:vAlign w:val="center"/>
          </w:tcPr>
          <w:p w14:paraId="0D8981B0">
            <w:pPr>
              <w:pStyle w:val="62"/>
              <w:rPr>
                <w:highlight w:val="yellow"/>
              </w:rPr>
            </w:pPr>
            <w:r>
              <w:t>郭全屯村水井</w:t>
            </w:r>
          </w:p>
        </w:tc>
        <w:tc>
          <w:tcPr>
            <w:tcW w:w="2126" w:type="dxa"/>
            <w:noWrap/>
            <w:vAlign w:val="center"/>
          </w:tcPr>
          <w:p w14:paraId="6F40F1E9">
            <w:pPr>
              <w:pStyle w:val="62"/>
            </w:pPr>
            <w:r>
              <w:rPr>
                <w:rFonts w:hint="eastAsia"/>
              </w:rPr>
              <w:t>拟建厂址西北</w:t>
            </w:r>
            <w:r>
              <w:rPr>
                <w:rFonts w:hint="eastAsia"/>
                <w:bCs/>
              </w:rPr>
              <w:t>1.27</w:t>
            </w:r>
            <w:r>
              <w:t>km</w:t>
            </w:r>
          </w:p>
        </w:tc>
        <w:tc>
          <w:tcPr>
            <w:tcW w:w="992" w:type="dxa"/>
            <w:vMerge w:val="continue"/>
            <w:noWrap/>
            <w:vAlign w:val="center"/>
          </w:tcPr>
          <w:p w14:paraId="2870E266">
            <w:pPr>
              <w:pStyle w:val="62"/>
              <w:rPr>
                <w:highlight w:val="yellow"/>
              </w:rPr>
            </w:pPr>
          </w:p>
        </w:tc>
        <w:tc>
          <w:tcPr>
            <w:tcW w:w="1918" w:type="dxa"/>
            <w:noWrap/>
            <w:vAlign w:val="center"/>
          </w:tcPr>
          <w:p w14:paraId="5673546C">
            <w:pPr>
              <w:pStyle w:val="62"/>
              <w:rPr>
                <w:highlight w:val="yellow"/>
              </w:rPr>
            </w:pPr>
            <w:r>
              <w:rPr>
                <w:rFonts w:hint="eastAsia"/>
                <w:kern w:val="2"/>
              </w:rPr>
              <w:t>400</w:t>
            </w:r>
          </w:p>
        </w:tc>
      </w:tr>
      <w:tr w14:paraId="2B013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vMerge w:val="continue"/>
            <w:noWrap/>
            <w:vAlign w:val="center"/>
          </w:tcPr>
          <w:p w14:paraId="6FC8B408">
            <w:pPr>
              <w:pStyle w:val="62"/>
            </w:pPr>
          </w:p>
        </w:tc>
        <w:tc>
          <w:tcPr>
            <w:tcW w:w="608" w:type="dxa"/>
            <w:noWrap/>
            <w:vAlign w:val="center"/>
          </w:tcPr>
          <w:p w14:paraId="01AF777E">
            <w:pPr>
              <w:pStyle w:val="62"/>
            </w:pPr>
            <w:r>
              <w:t>3</w:t>
            </w:r>
          </w:p>
        </w:tc>
        <w:tc>
          <w:tcPr>
            <w:tcW w:w="1660" w:type="dxa"/>
            <w:noWrap/>
            <w:vAlign w:val="center"/>
          </w:tcPr>
          <w:p w14:paraId="4387D57F">
            <w:pPr>
              <w:pStyle w:val="62"/>
              <w:rPr>
                <w:highlight w:val="yellow"/>
              </w:rPr>
            </w:pPr>
            <w:r>
              <w:t>龙王庙饮用水井</w:t>
            </w:r>
          </w:p>
        </w:tc>
        <w:tc>
          <w:tcPr>
            <w:tcW w:w="2126" w:type="dxa"/>
            <w:noWrap/>
            <w:vAlign w:val="center"/>
          </w:tcPr>
          <w:p w14:paraId="4D162FDF">
            <w:pPr>
              <w:pStyle w:val="62"/>
            </w:pPr>
            <w:r>
              <w:rPr>
                <w:rFonts w:hint="eastAsia"/>
              </w:rPr>
              <w:t>拟建厂址东南0.9</w:t>
            </w:r>
            <w:r>
              <w:t>km</w:t>
            </w:r>
          </w:p>
        </w:tc>
        <w:tc>
          <w:tcPr>
            <w:tcW w:w="992" w:type="dxa"/>
            <w:vMerge w:val="continue"/>
            <w:noWrap/>
            <w:vAlign w:val="center"/>
          </w:tcPr>
          <w:p w14:paraId="67375A79">
            <w:pPr>
              <w:pStyle w:val="62"/>
              <w:rPr>
                <w:highlight w:val="yellow"/>
              </w:rPr>
            </w:pPr>
          </w:p>
        </w:tc>
        <w:tc>
          <w:tcPr>
            <w:tcW w:w="1918" w:type="dxa"/>
            <w:noWrap/>
            <w:vAlign w:val="center"/>
          </w:tcPr>
          <w:p w14:paraId="1D6AF337">
            <w:pPr>
              <w:pStyle w:val="62"/>
              <w:rPr>
                <w:highlight w:val="yellow"/>
              </w:rPr>
            </w:pPr>
            <w:r>
              <w:rPr>
                <w:rFonts w:hint="eastAsia"/>
              </w:rPr>
              <w:t>450</w:t>
            </w:r>
          </w:p>
        </w:tc>
      </w:tr>
      <w:tr w14:paraId="2FA6C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vMerge w:val="continue"/>
            <w:noWrap/>
            <w:vAlign w:val="center"/>
          </w:tcPr>
          <w:p w14:paraId="10EDC5BF">
            <w:pPr>
              <w:pStyle w:val="62"/>
            </w:pPr>
          </w:p>
        </w:tc>
        <w:tc>
          <w:tcPr>
            <w:tcW w:w="608" w:type="dxa"/>
            <w:noWrap/>
            <w:vAlign w:val="center"/>
          </w:tcPr>
          <w:p w14:paraId="0CC7F7B9">
            <w:pPr>
              <w:pStyle w:val="62"/>
            </w:pPr>
            <w:r>
              <w:t>4</w:t>
            </w:r>
          </w:p>
        </w:tc>
        <w:tc>
          <w:tcPr>
            <w:tcW w:w="1660" w:type="dxa"/>
            <w:noWrap/>
            <w:vAlign w:val="center"/>
          </w:tcPr>
          <w:p w14:paraId="6E7724AF">
            <w:pPr>
              <w:pStyle w:val="62"/>
              <w:rPr>
                <w:highlight w:val="yellow"/>
              </w:rPr>
            </w:pPr>
            <w:r>
              <w:t>下园村饮用水井</w:t>
            </w:r>
          </w:p>
        </w:tc>
        <w:tc>
          <w:tcPr>
            <w:tcW w:w="2126" w:type="dxa"/>
            <w:noWrap/>
            <w:vAlign w:val="center"/>
          </w:tcPr>
          <w:p w14:paraId="6BC73B6B">
            <w:pPr>
              <w:pStyle w:val="62"/>
            </w:pPr>
            <w:r>
              <w:rPr>
                <w:rFonts w:hint="eastAsia"/>
              </w:rPr>
              <w:t>拟建厂址东南0.99</w:t>
            </w:r>
            <w:r>
              <w:t>km</w:t>
            </w:r>
          </w:p>
        </w:tc>
        <w:tc>
          <w:tcPr>
            <w:tcW w:w="992" w:type="dxa"/>
            <w:vMerge w:val="continue"/>
            <w:noWrap/>
            <w:vAlign w:val="center"/>
          </w:tcPr>
          <w:p w14:paraId="553F5CCC">
            <w:pPr>
              <w:pStyle w:val="62"/>
              <w:rPr>
                <w:highlight w:val="yellow"/>
              </w:rPr>
            </w:pPr>
          </w:p>
        </w:tc>
        <w:tc>
          <w:tcPr>
            <w:tcW w:w="1918" w:type="dxa"/>
            <w:noWrap/>
            <w:vAlign w:val="center"/>
          </w:tcPr>
          <w:p w14:paraId="49612A76">
            <w:pPr>
              <w:pStyle w:val="62"/>
              <w:rPr>
                <w:highlight w:val="yellow"/>
              </w:rPr>
            </w:pPr>
            <w:r>
              <w:rPr>
                <w:rFonts w:hint="eastAsia"/>
                <w:kern w:val="2"/>
              </w:rPr>
              <w:t>298</w:t>
            </w:r>
          </w:p>
        </w:tc>
      </w:tr>
      <w:tr w14:paraId="09D97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vMerge w:val="continue"/>
            <w:noWrap/>
            <w:vAlign w:val="center"/>
          </w:tcPr>
          <w:p w14:paraId="6C27EC36">
            <w:pPr>
              <w:pStyle w:val="62"/>
            </w:pPr>
          </w:p>
        </w:tc>
        <w:tc>
          <w:tcPr>
            <w:tcW w:w="608" w:type="dxa"/>
            <w:noWrap/>
            <w:vAlign w:val="center"/>
          </w:tcPr>
          <w:p w14:paraId="529DCC2D">
            <w:pPr>
              <w:pStyle w:val="62"/>
            </w:pPr>
            <w:r>
              <w:t>5</w:t>
            </w:r>
          </w:p>
        </w:tc>
        <w:tc>
          <w:tcPr>
            <w:tcW w:w="1660" w:type="dxa"/>
            <w:noWrap/>
            <w:vAlign w:val="center"/>
          </w:tcPr>
          <w:p w14:paraId="0AAEBE3B">
            <w:pPr>
              <w:pStyle w:val="62"/>
              <w:rPr>
                <w:highlight w:val="yellow"/>
              </w:rPr>
            </w:pPr>
            <w:r>
              <w:t>辛庄村饮用水井</w:t>
            </w:r>
          </w:p>
        </w:tc>
        <w:tc>
          <w:tcPr>
            <w:tcW w:w="2126" w:type="dxa"/>
            <w:noWrap/>
            <w:vAlign w:val="center"/>
          </w:tcPr>
          <w:p w14:paraId="6CC495C7">
            <w:pPr>
              <w:pStyle w:val="62"/>
            </w:pPr>
            <w:r>
              <w:rPr>
                <w:rFonts w:hint="eastAsia"/>
              </w:rPr>
              <w:t>拟建厂址东北1.97</w:t>
            </w:r>
            <w:r>
              <w:t>km</w:t>
            </w:r>
          </w:p>
        </w:tc>
        <w:tc>
          <w:tcPr>
            <w:tcW w:w="992" w:type="dxa"/>
            <w:vMerge w:val="continue"/>
            <w:noWrap/>
            <w:vAlign w:val="center"/>
          </w:tcPr>
          <w:p w14:paraId="4CB2E3E9">
            <w:pPr>
              <w:pStyle w:val="62"/>
              <w:rPr>
                <w:highlight w:val="yellow"/>
              </w:rPr>
            </w:pPr>
          </w:p>
        </w:tc>
        <w:tc>
          <w:tcPr>
            <w:tcW w:w="1918" w:type="dxa"/>
            <w:noWrap/>
            <w:vAlign w:val="center"/>
          </w:tcPr>
          <w:p w14:paraId="39A85534">
            <w:pPr>
              <w:pStyle w:val="62"/>
              <w:rPr>
                <w:highlight w:val="yellow"/>
              </w:rPr>
            </w:pPr>
            <w:r>
              <w:rPr>
                <w:rFonts w:hint="eastAsia"/>
                <w:kern w:val="2"/>
              </w:rPr>
              <w:t>200</w:t>
            </w:r>
          </w:p>
        </w:tc>
      </w:tr>
      <w:tr w14:paraId="2BC24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vMerge w:val="continue"/>
            <w:noWrap/>
            <w:vAlign w:val="center"/>
          </w:tcPr>
          <w:p w14:paraId="005A7586">
            <w:pPr>
              <w:pStyle w:val="62"/>
            </w:pPr>
          </w:p>
        </w:tc>
        <w:tc>
          <w:tcPr>
            <w:tcW w:w="608" w:type="dxa"/>
            <w:noWrap/>
            <w:vAlign w:val="center"/>
          </w:tcPr>
          <w:p w14:paraId="295B35E7">
            <w:pPr>
              <w:pStyle w:val="62"/>
            </w:pPr>
            <w:r>
              <w:t>6</w:t>
            </w:r>
          </w:p>
        </w:tc>
        <w:tc>
          <w:tcPr>
            <w:tcW w:w="1660" w:type="dxa"/>
            <w:noWrap/>
            <w:vAlign w:val="center"/>
          </w:tcPr>
          <w:p w14:paraId="2B2F9671">
            <w:pPr>
              <w:pStyle w:val="62"/>
              <w:rPr>
                <w:highlight w:val="yellow"/>
              </w:rPr>
            </w:pPr>
            <w:r>
              <w:t>八里屯村饮用水井</w:t>
            </w:r>
          </w:p>
        </w:tc>
        <w:tc>
          <w:tcPr>
            <w:tcW w:w="2126" w:type="dxa"/>
            <w:noWrap/>
            <w:vAlign w:val="center"/>
          </w:tcPr>
          <w:p w14:paraId="5BAB45C4">
            <w:pPr>
              <w:pStyle w:val="62"/>
            </w:pPr>
            <w:r>
              <w:rPr>
                <w:rFonts w:hint="eastAsia"/>
              </w:rPr>
              <w:t>拟建厂址东北2.12</w:t>
            </w:r>
            <w:r>
              <w:t>km</w:t>
            </w:r>
          </w:p>
        </w:tc>
        <w:tc>
          <w:tcPr>
            <w:tcW w:w="992" w:type="dxa"/>
            <w:vMerge w:val="continue"/>
            <w:noWrap/>
            <w:vAlign w:val="center"/>
          </w:tcPr>
          <w:p w14:paraId="54A04C70">
            <w:pPr>
              <w:pStyle w:val="62"/>
              <w:rPr>
                <w:highlight w:val="yellow"/>
              </w:rPr>
            </w:pPr>
          </w:p>
        </w:tc>
        <w:tc>
          <w:tcPr>
            <w:tcW w:w="1918" w:type="dxa"/>
            <w:noWrap/>
            <w:vAlign w:val="center"/>
          </w:tcPr>
          <w:p w14:paraId="5C5B0B03">
            <w:pPr>
              <w:pStyle w:val="62"/>
              <w:rPr>
                <w:highlight w:val="yellow"/>
              </w:rPr>
            </w:pPr>
            <w:r>
              <w:rPr>
                <w:rFonts w:hint="eastAsia"/>
              </w:rPr>
              <w:t>298</w:t>
            </w:r>
          </w:p>
        </w:tc>
      </w:tr>
      <w:tr w14:paraId="60A76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vMerge w:val="continue"/>
            <w:noWrap/>
            <w:vAlign w:val="center"/>
          </w:tcPr>
          <w:p w14:paraId="03223BFD">
            <w:pPr>
              <w:pStyle w:val="62"/>
            </w:pPr>
          </w:p>
        </w:tc>
        <w:tc>
          <w:tcPr>
            <w:tcW w:w="608" w:type="dxa"/>
            <w:noWrap/>
            <w:vAlign w:val="center"/>
          </w:tcPr>
          <w:p w14:paraId="5364068A">
            <w:pPr>
              <w:pStyle w:val="62"/>
            </w:pPr>
            <w:r>
              <w:t>7</w:t>
            </w:r>
          </w:p>
        </w:tc>
        <w:tc>
          <w:tcPr>
            <w:tcW w:w="1660" w:type="dxa"/>
            <w:noWrap/>
            <w:vAlign w:val="center"/>
          </w:tcPr>
          <w:p w14:paraId="3F5BCDBA">
            <w:pPr>
              <w:pStyle w:val="62"/>
              <w:rPr>
                <w:highlight w:val="yellow"/>
              </w:rPr>
            </w:pPr>
            <w:r>
              <w:t>郝庄村饮用水井</w:t>
            </w:r>
          </w:p>
        </w:tc>
        <w:tc>
          <w:tcPr>
            <w:tcW w:w="2126" w:type="dxa"/>
            <w:noWrap/>
            <w:vAlign w:val="center"/>
          </w:tcPr>
          <w:p w14:paraId="3FF03123">
            <w:pPr>
              <w:pStyle w:val="62"/>
            </w:pPr>
            <w:r>
              <w:rPr>
                <w:rFonts w:hint="eastAsia"/>
              </w:rPr>
              <w:t>拟建厂址东北2.62</w:t>
            </w:r>
            <w:r>
              <w:t>km</w:t>
            </w:r>
          </w:p>
        </w:tc>
        <w:tc>
          <w:tcPr>
            <w:tcW w:w="992" w:type="dxa"/>
            <w:vMerge w:val="continue"/>
            <w:noWrap/>
            <w:vAlign w:val="center"/>
          </w:tcPr>
          <w:p w14:paraId="7C99DA03">
            <w:pPr>
              <w:pStyle w:val="62"/>
              <w:rPr>
                <w:highlight w:val="yellow"/>
              </w:rPr>
            </w:pPr>
          </w:p>
        </w:tc>
        <w:tc>
          <w:tcPr>
            <w:tcW w:w="1918" w:type="dxa"/>
            <w:noWrap/>
            <w:vAlign w:val="center"/>
          </w:tcPr>
          <w:p w14:paraId="7DB9EC33">
            <w:pPr>
              <w:pStyle w:val="62"/>
              <w:rPr>
                <w:highlight w:val="yellow"/>
              </w:rPr>
            </w:pPr>
            <w:r>
              <w:rPr>
                <w:rFonts w:hint="eastAsia"/>
              </w:rPr>
              <w:t>365</w:t>
            </w:r>
          </w:p>
        </w:tc>
      </w:tr>
      <w:tr w14:paraId="54880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vMerge w:val="continue"/>
            <w:noWrap/>
            <w:vAlign w:val="center"/>
          </w:tcPr>
          <w:p w14:paraId="274203C1">
            <w:pPr>
              <w:pStyle w:val="62"/>
            </w:pPr>
          </w:p>
        </w:tc>
        <w:tc>
          <w:tcPr>
            <w:tcW w:w="608" w:type="dxa"/>
            <w:noWrap/>
            <w:vAlign w:val="center"/>
          </w:tcPr>
          <w:p w14:paraId="2A96C6DA">
            <w:pPr>
              <w:pStyle w:val="62"/>
            </w:pPr>
            <w:r>
              <w:t>8</w:t>
            </w:r>
          </w:p>
        </w:tc>
        <w:tc>
          <w:tcPr>
            <w:tcW w:w="1660" w:type="dxa"/>
            <w:noWrap/>
            <w:vAlign w:val="center"/>
          </w:tcPr>
          <w:p w14:paraId="75575476">
            <w:pPr>
              <w:pStyle w:val="62"/>
              <w:rPr>
                <w:highlight w:val="yellow"/>
              </w:rPr>
            </w:pPr>
            <w:r>
              <w:t>岗槽村饮用水井</w:t>
            </w:r>
          </w:p>
        </w:tc>
        <w:tc>
          <w:tcPr>
            <w:tcW w:w="2126" w:type="dxa"/>
            <w:noWrap/>
            <w:vAlign w:val="center"/>
          </w:tcPr>
          <w:p w14:paraId="325026B5">
            <w:pPr>
              <w:pStyle w:val="62"/>
            </w:pPr>
            <w:r>
              <w:rPr>
                <w:rFonts w:hint="eastAsia"/>
              </w:rPr>
              <w:t>拟建厂址东北2.84</w:t>
            </w:r>
            <w:r>
              <w:t>km</w:t>
            </w:r>
          </w:p>
        </w:tc>
        <w:tc>
          <w:tcPr>
            <w:tcW w:w="992" w:type="dxa"/>
            <w:vMerge w:val="continue"/>
            <w:noWrap/>
            <w:vAlign w:val="center"/>
          </w:tcPr>
          <w:p w14:paraId="47E9C0B3">
            <w:pPr>
              <w:pStyle w:val="62"/>
              <w:rPr>
                <w:highlight w:val="yellow"/>
              </w:rPr>
            </w:pPr>
          </w:p>
        </w:tc>
        <w:tc>
          <w:tcPr>
            <w:tcW w:w="1918" w:type="dxa"/>
            <w:noWrap/>
            <w:vAlign w:val="center"/>
          </w:tcPr>
          <w:p w14:paraId="25D76D47">
            <w:pPr>
              <w:pStyle w:val="62"/>
              <w:rPr>
                <w:highlight w:val="yellow"/>
              </w:rPr>
            </w:pPr>
            <w:r>
              <w:rPr>
                <w:rFonts w:hint="eastAsia"/>
                <w:kern w:val="2"/>
              </w:rPr>
              <w:t>524</w:t>
            </w:r>
          </w:p>
        </w:tc>
      </w:tr>
      <w:tr w14:paraId="27B161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vMerge w:val="continue"/>
            <w:noWrap/>
            <w:vAlign w:val="center"/>
          </w:tcPr>
          <w:p w14:paraId="24EA6736">
            <w:pPr>
              <w:pStyle w:val="62"/>
            </w:pPr>
          </w:p>
        </w:tc>
        <w:tc>
          <w:tcPr>
            <w:tcW w:w="608" w:type="dxa"/>
            <w:noWrap/>
            <w:vAlign w:val="center"/>
          </w:tcPr>
          <w:p w14:paraId="4F865590">
            <w:pPr>
              <w:pStyle w:val="62"/>
            </w:pPr>
            <w:r>
              <w:t>9</w:t>
            </w:r>
          </w:p>
        </w:tc>
        <w:tc>
          <w:tcPr>
            <w:tcW w:w="1660" w:type="dxa"/>
            <w:noWrap/>
            <w:vAlign w:val="center"/>
          </w:tcPr>
          <w:p w14:paraId="6F8D5212">
            <w:pPr>
              <w:pStyle w:val="62"/>
              <w:rPr>
                <w:highlight w:val="yellow"/>
              </w:rPr>
            </w:pPr>
            <w:r>
              <w:t>东寺门村饮用水井</w:t>
            </w:r>
          </w:p>
        </w:tc>
        <w:tc>
          <w:tcPr>
            <w:tcW w:w="2126" w:type="dxa"/>
            <w:noWrap/>
            <w:vAlign w:val="center"/>
          </w:tcPr>
          <w:p w14:paraId="1B9277CC">
            <w:pPr>
              <w:pStyle w:val="62"/>
            </w:pPr>
            <w:r>
              <w:rPr>
                <w:rFonts w:hint="eastAsia"/>
              </w:rPr>
              <w:t>拟建厂址东北4.3</w:t>
            </w:r>
            <w:r>
              <w:t>km</w:t>
            </w:r>
          </w:p>
        </w:tc>
        <w:tc>
          <w:tcPr>
            <w:tcW w:w="992" w:type="dxa"/>
            <w:vMerge w:val="continue"/>
            <w:noWrap/>
            <w:vAlign w:val="center"/>
          </w:tcPr>
          <w:p w14:paraId="5D0A9F4E">
            <w:pPr>
              <w:pStyle w:val="62"/>
              <w:rPr>
                <w:highlight w:val="yellow"/>
              </w:rPr>
            </w:pPr>
          </w:p>
        </w:tc>
        <w:tc>
          <w:tcPr>
            <w:tcW w:w="1918" w:type="dxa"/>
            <w:noWrap/>
            <w:vAlign w:val="center"/>
          </w:tcPr>
          <w:p w14:paraId="1EB1D7D2">
            <w:pPr>
              <w:pStyle w:val="62"/>
              <w:rPr>
                <w:highlight w:val="yellow"/>
              </w:rPr>
            </w:pPr>
            <w:r>
              <w:rPr>
                <w:rFonts w:hint="eastAsia"/>
                <w:kern w:val="2"/>
              </w:rPr>
              <w:t>456</w:t>
            </w:r>
          </w:p>
        </w:tc>
      </w:tr>
      <w:tr w14:paraId="6A036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08" w:type="dxa"/>
            <w:vMerge w:val="continue"/>
            <w:noWrap/>
            <w:vAlign w:val="center"/>
          </w:tcPr>
          <w:p w14:paraId="1107ACC8">
            <w:pPr>
              <w:pStyle w:val="62"/>
            </w:pPr>
          </w:p>
        </w:tc>
        <w:tc>
          <w:tcPr>
            <w:tcW w:w="608" w:type="dxa"/>
            <w:noWrap/>
            <w:vAlign w:val="center"/>
          </w:tcPr>
          <w:p w14:paraId="6E7C376A">
            <w:pPr>
              <w:pStyle w:val="62"/>
            </w:pPr>
            <w:r>
              <w:rPr>
                <w:rFonts w:hint="eastAsia" w:eastAsiaTheme="minorEastAsia"/>
              </w:rPr>
              <w:t>10</w:t>
            </w:r>
          </w:p>
        </w:tc>
        <w:tc>
          <w:tcPr>
            <w:tcW w:w="1660" w:type="dxa"/>
            <w:noWrap/>
            <w:vAlign w:val="center"/>
          </w:tcPr>
          <w:p w14:paraId="2E66D7A4">
            <w:pPr>
              <w:pStyle w:val="62"/>
              <w:rPr>
                <w:highlight w:val="yellow"/>
              </w:rPr>
            </w:pPr>
            <w:r>
              <w:t>薛屯村饮用水井</w:t>
            </w:r>
          </w:p>
        </w:tc>
        <w:tc>
          <w:tcPr>
            <w:tcW w:w="2126" w:type="dxa"/>
            <w:noWrap/>
            <w:vAlign w:val="center"/>
          </w:tcPr>
          <w:p w14:paraId="3A6B8B6A">
            <w:pPr>
              <w:pStyle w:val="62"/>
            </w:pPr>
            <w:r>
              <w:rPr>
                <w:rFonts w:hint="eastAsia"/>
              </w:rPr>
              <w:t>拟建厂址东北3.42</w:t>
            </w:r>
            <w:r>
              <w:t>km</w:t>
            </w:r>
          </w:p>
        </w:tc>
        <w:tc>
          <w:tcPr>
            <w:tcW w:w="992" w:type="dxa"/>
            <w:vMerge w:val="continue"/>
            <w:noWrap/>
            <w:vAlign w:val="center"/>
          </w:tcPr>
          <w:p w14:paraId="4AD03D5F">
            <w:pPr>
              <w:pStyle w:val="62"/>
              <w:rPr>
                <w:highlight w:val="yellow"/>
              </w:rPr>
            </w:pPr>
          </w:p>
        </w:tc>
        <w:tc>
          <w:tcPr>
            <w:tcW w:w="1918" w:type="dxa"/>
            <w:noWrap/>
            <w:vAlign w:val="center"/>
          </w:tcPr>
          <w:p w14:paraId="74F805CC">
            <w:pPr>
              <w:pStyle w:val="62"/>
              <w:rPr>
                <w:highlight w:val="yellow"/>
              </w:rPr>
            </w:pPr>
            <w:r>
              <w:rPr>
                <w:rFonts w:hint="eastAsia"/>
                <w:kern w:val="2"/>
              </w:rPr>
              <w:t>200</w:t>
            </w:r>
          </w:p>
        </w:tc>
      </w:tr>
    </w:tbl>
    <w:p w14:paraId="0AB3DEED">
      <w:pPr>
        <w:ind w:firstLine="482"/>
        <w:outlineLvl w:val="2"/>
      </w:pPr>
      <w:r>
        <w:rPr>
          <w:rFonts w:hint="eastAsia"/>
          <w:b/>
          <w:bCs/>
        </w:rPr>
        <w:t>2</w:t>
      </w:r>
      <w:r>
        <w:rPr>
          <w:b/>
          <w:bCs/>
        </w:rPr>
        <w:t>.7.3</w:t>
      </w:r>
      <w:r>
        <w:rPr>
          <w:rFonts w:hint="eastAsia"/>
          <w:b/>
          <w:bCs/>
        </w:rPr>
        <w:t>环境风险敏感目标</w:t>
      </w:r>
    </w:p>
    <w:p w14:paraId="39214EEA">
      <w:pPr>
        <w:ind w:firstLine="480"/>
      </w:pPr>
      <w:r>
        <w:t>本项目周边环境敏感目标的相关信息如下：</w:t>
      </w:r>
    </w:p>
    <w:p w14:paraId="1D3E93DA">
      <w:pPr>
        <w:pStyle w:val="64"/>
        <w:numPr>
          <w:ilvl w:val="0"/>
          <w:numId w:val="8"/>
        </w:numPr>
        <w:spacing w:before="161"/>
        <w:ind w:left="924" w:hanging="442" w:firstLineChars="0"/>
      </w:pPr>
      <w:r>
        <w:t xml:space="preserve">             评价区域敏感点情况</w:t>
      </w:r>
    </w:p>
    <w:bookmarkEnd w:id="109"/>
    <w:bookmarkEnd w:id="110"/>
    <w:bookmarkEnd w:id="112"/>
    <w:tbl>
      <w:tblPr>
        <w:tblStyle w:val="97"/>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87"/>
        <w:gridCol w:w="772"/>
        <w:gridCol w:w="2025"/>
        <w:gridCol w:w="1197"/>
        <w:gridCol w:w="194"/>
        <w:gridCol w:w="1004"/>
        <w:gridCol w:w="1348"/>
        <w:gridCol w:w="1426"/>
      </w:tblGrid>
      <w:tr w14:paraId="2C84AF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tcBorders>
              <w:tl2br w:val="nil"/>
              <w:tr2bl w:val="nil"/>
            </w:tcBorders>
            <w:vAlign w:val="center"/>
          </w:tcPr>
          <w:p w14:paraId="5FF37BF3">
            <w:pPr>
              <w:spacing w:line="240" w:lineRule="auto"/>
              <w:ind w:firstLine="0" w:firstLineChars="0"/>
              <w:jc w:val="center"/>
              <w:rPr>
                <w:b/>
                <w:bCs/>
                <w:szCs w:val="22"/>
                <w:lang w:eastAsia="en-US"/>
              </w:rPr>
            </w:pPr>
            <w:r>
              <w:rPr>
                <w:b/>
                <w:bCs/>
                <w:spacing w:val="-2"/>
                <w:sz w:val="21"/>
                <w:szCs w:val="21"/>
                <w:lang w:eastAsia="en-US"/>
              </w:rPr>
              <w:t>类别</w:t>
            </w:r>
          </w:p>
        </w:tc>
        <w:tc>
          <w:tcPr>
            <w:tcW w:w="7929" w:type="dxa"/>
            <w:gridSpan w:val="7"/>
            <w:tcBorders>
              <w:tl2br w:val="nil"/>
              <w:tr2bl w:val="nil"/>
            </w:tcBorders>
            <w:vAlign w:val="center"/>
          </w:tcPr>
          <w:p w14:paraId="1AE70A59">
            <w:pPr>
              <w:spacing w:line="240" w:lineRule="auto"/>
              <w:ind w:firstLine="0" w:firstLineChars="0"/>
              <w:jc w:val="center"/>
              <w:rPr>
                <w:b/>
                <w:bCs/>
                <w:szCs w:val="22"/>
                <w:lang w:eastAsia="en-US"/>
              </w:rPr>
            </w:pPr>
            <w:r>
              <w:rPr>
                <w:b/>
                <w:bCs/>
                <w:spacing w:val="-1"/>
                <w:sz w:val="21"/>
                <w:szCs w:val="21"/>
                <w:lang w:eastAsia="en-US"/>
              </w:rPr>
              <w:t>环境敏感特征</w:t>
            </w:r>
          </w:p>
        </w:tc>
      </w:tr>
      <w:tr w14:paraId="4C36A8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restart"/>
            <w:tcBorders>
              <w:tl2br w:val="nil"/>
              <w:tr2bl w:val="nil"/>
            </w:tcBorders>
            <w:textDirection w:val="tbRlV"/>
            <w:vAlign w:val="center"/>
          </w:tcPr>
          <w:p w14:paraId="794CCF88">
            <w:pPr>
              <w:spacing w:line="240" w:lineRule="auto"/>
              <w:ind w:firstLine="0" w:firstLineChars="0"/>
              <w:jc w:val="center"/>
              <w:rPr>
                <w:szCs w:val="22"/>
                <w:lang w:eastAsia="en-US"/>
              </w:rPr>
            </w:pPr>
            <w:r>
              <w:rPr>
                <w:spacing w:val="34"/>
                <w:sz w:val="21"/>
                <w:szCs w:val="21"/>
                <w:lang w:eastAsia="en-US"/>
              </w:rPr>
              <w:t>环境空气</w:t>
            </w:r>
          </w:p>
        </w:tc>
        <w:tc>
          <w:tcPr>
            <w:tcW w:w="7929" w:type="dxa"/>
            <w:gridSpan w:val="7"/>
            <w:tcBorders>
              <w:tl2br w:val="nil"/>
              <w:tr2bl w:val="nil"/>
            </w:tcBorders>
            <w:vAlign w:val="center"/>
          </w:tcPr>
          <w:p w14:paraId="12C28A0C">
            <w:pPr>
              <w:spacing w:line="240" w:lineRule="auto"/>
              <w:ind w:firstLine="0" w:firstLineChars="0"/>
              <w:jc w:val="center"/>
              <w:rPr>
                <w:b/>
                <w:bCs/>
                <w:szCs w:val="22"/>
                <w:lang w:eastAsia="en-US"/>
              </w:rPr>
            </w:pPr>
            <w:r>
              <w:rPr>
                <w:b/>
                <w:bCs/>
                <w:spacing w:val="2"/>
                <w:sz w:val="21"/>
                <w:szCs w:val="21"/>
                <w:lang w:eastAsia="en-US"/>
              </w:rPr>
              <w:t>厂址周边5</w:t>
            </w:r>
            <w:r>
              <w:rPr>
                <w:b/>
                <w:bCs/>
                <w:sz w:val="21"/>
                <w:szCs w:val="21"/>
                <w:lang w:eastAsia="en-US"/>
              </w:rPr>
              <w:t>km</w:t>
            </w:r>
            <w:r>
              <w:rPr>
                <w:b/>
                <w:bCs/>
                <w:spacing w:val="2"/>
                <w:sz w:val="21"/>
                <w:szCs w:val="21"/>
                <w:lang w:eastAsia="en-US"/>
              </w:rPr>
              <w:t>范围内</w:t>
            </w:r>
          </w:p>
        </w:tc>
      </w:tr>
      <w:tr w14:paraId="404885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7F3D484">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02CA9D7">
            <w:pPr>
              <w:spacing w:line="240" w:lineRule="auto"/>
              <w:ind w:firstLine="0" w:firstLineChars="0"/>
              <w:jc w:val="center"/>
              <w:rPr>
                <w:b/>
                <w:bCs/>
                <w:szCs w:val="22"/>
                <w:lang w:eastAsia="en-US"/>
              </w:rPr>
            </w:pPr>
            <w:r>
              <w:rPr>
                <w:b/>
                <w:bCs/>
                <w:spacing w:val="-2"/>
                <w:sz w:val="21"/>
                <w:szCs w:val="21"/>
                <w:lang w:eastAsia="en-US"/>
              </w:rPr>
              <w:t>序号</w:t>
            </w:r>
          </w:p>
        </w:tc>
        <w:tc>
          <w:tcPr>
            <w:tcW w:w="2016" w:type="dxa"/>
            <w:tcBorders>
              <w:tl2br w:val="nil"/>
              <w:tr2bl w:val="nil"/>
            </w:tcBorders>
            <w:vAlign w:val="center"/>
          </w:tcPr>
          <w:p w14:paraId="1C7C6770">
            <w:pPr>
              <w:spacing w:line="240" w:lineRule="auto"/>
              <w:ind w:firstLine="0" w:firstLineChars="0"/>
              <w:jc w:val="center"/>
              <w:rPr>
                <w:b/>
                <w:bCs/>
                <w:szCs w:val="22"/>
                <w:lang w:eastAsia="en-US"/>
              </w:rPr>
            </w:pPr>
            <w:r>
              <w:rPr>
                <w:b/>
                <w:bCs/>
                <w:spacing w:val="-1"/>
                <w:sz w:val="21"/>
                <w:szCs w:val="21"/>
                <w:lang w:eastAsia="en-US"/>
              </w:rPr>
              <w:t>敏感目标名称</w:t>
            </w:r>
          </w:p>
        </w:tc>
        <w:tc>
          <w:tcPr>
            <w:tcW w:w="1192" w:type="dxa"/>
            <w:tcBorders>
              <w:tl2br w:val="nil"/>
              <w:tr2bl w:val="nil"/>
            </w:tcBorders>
            <w:vAlign w:val="center"/>
          </w:tcPr>
          <w:p w14:paraId="6B98EE5B">
            <w:pPr>
              <w:spacing w:line="240" w:lineRule="auto"/>
              <w:ind w:firstLine="0" w:firstLineChars="0"/>
              <w:jc w:val="center"/>
              <w:rPr>
                <w:b/>
                <w:bCs/>
                <w:szCs w:val="22"/>
                <w:lang w:eastAsia="en-US"/>
              </w:rPr>
            </w:pPr>
            <w:r>
              <w:rPr>
                <w:b/>
                <w:bCs/>
                <w:spacing w:val="-2"/>
                <w:sz w:val="21"/>
                <w:szCs w:val="21"/>
                <w:lang w:eastAsia="en-US"/>
              </w:rPr>
              <w:t>相对方位</w:t>
            </w:r>
          </w:p>
        </w:tc>
        <w:tc>
          <w:tcPr>
            <w:tcW w:w="1192" w:type="dxa"/>
            <w:gridSpan w:val="2"/>
            <w:tcBorders>
              <w:tl2br w:val="nil"/>
              <w:tr2bl w:val="nil"/>
            </w:tcBorders>
            <w:vAlign w:val="center"/>
          </w:tcPr>
          <w:p w14:paraId="64FCFB83">
            <w:pPr>
              <w:spacing w:line="240" w:lineRule="auto"/>
              <w:ind w:firstLine="0" w:firstLineChars="0"/>
              <w:jc w:val="center"/>
              <w:rPr>
                <w:b/>
                <w:bCs/>
                <w:szCs w:val="22"/>
                <w:lang w:eastAsia="en-US"/>
              </w:rPr>
            </w:pPr>
            <w:r>
              <w:rPr>
                <w:b/>
                <w:bCs/>
                <w:spacing w:val="-2"/>
                <w:sz w:val="21"/>
                <w:szCs w:val="21"/>
                <w:lang w:eastAsia="en-US"/>
              </w:rPr>
              <w:t>距离/m</w:t>
            </w:r>
          </w:p>
        </w:tc>
        <w:tc>
          <w:tcPr>
            <w:tcW w:w="1342" w:type="dxa"/>
            <w:tcBorders>
              <w:tl2br w:val="nil"/>
              <w:tr2bl w:val="nil"/>
            </w:tcBorders>
            <w:vAlign w:val="center"/>
          </w:tcPr>
          <w:p w14:paraId="5849C481">
            <w:pPr>
              <w:spacing w:line="240" w:lineRule="auto"/>
              <w:ind w:firstLine="0" w:firstLineChars="0"/>
              <w:jc w:val="center"/>
              <w:rPr>
                <w:b/>
                <w:bCs/>
                <w:szCs w:val="22"/>
                <w:lang w:eastAsia="en-US"/>
              </w:rPr>
            </w:pPr>
            <w:r>
              <w:rPr>
                <w:b/>
                <w:bCs/>
                <w:spacing w:val="-2"/>
                <w:sz w:val="21"/>
                <w:szCs w:val="21"/>
                <w:lang w:eastAsia="en-US"/>
              </w:rPr>
              <w:t>属性</w:t>
            </w:r>
          </w:p>
        </w:tc>
        <w:tc>
          <w:tcPr>
            <w:tcW w:w="1419" w:type="dxa"/>
            <w:tcBorders>
              <w:tl2br w:val="nil"/>
              <w:tr2bl w:val="nil"/>
            </w:tcBorders>
            <w:vAlign w:val="center"/>
          </w:tcPr>
          <w:p w14:paraId="210462A1">
            <w:pPr>
              <w:spacing w:line="240" w:lineRule="auto"/>
              <w:ind w:firstLine="0" w:firstLineChars="0"/>
              <w:jc w:val="center"/>
              <w:rPr>
                <w:b/>
                <w:bCs/>
                <w:szCs w:val="22"/>
                <w:lang w:eastAsia="zh-CN"/>
              </w:rPr>
            </w:pPr>
            <w:r>
              <w:rPr>
                <w:b/>
                <w:bCs/>
                <w:spacing w:val="-2"/>
                <w:sz w:val="21"/>
                <w:szCs w:val="21"/>
                <w:lang w:eastAsia="en-US"/>
              </w:rPr>
              <w:t>人口数</w:t>
            </w:r>
            <w:r>
              <w:rPr>
                <w:rFonts w:hint="eastAsia"/>
                <w:b/>
                <w:bCs/>
                <w:spacing w:val="-2"/>
                <w:sz w:val="21"/>
                <w:szCs w:val="21"/>
                <w:lang w:eastAsia="zh-CN"/>
              </w:rPr>
              <w:t>/人</w:t>
            </w:r>
          </w:p>
        </w:tc>
      </w:tr>
      <w:tr w14:paraId="1CBD9A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92A8650">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F6F78EA">
            <w:pPr>
              <w:pStyle w:val="62"/>
              <w:adjustRightInd w:val="0"/>
              <w:snapToGrid w:val="0"/>
              <w:contextualSpacing w:val="0"/>
              <w:rPr>
                <w:kern w:val="2"/>
                <w:lang w:eastAsia="en-US"/>
              </w:rPr>
            </w:pPr>
            <w:r>
              <w:rPr>
                <w:lang w:eastAsia="en-US"/>
              </w:rPr>
              <w:t>1</w:t>
            </w:r>
          </w:p>
        </w:tc>
        <w:tc>
          <w:tcPr>
            <w:tcW w:w="2016" w:type="dxa"/>
            <w:tcBorders>
              <w:tl2br w:val="nil"/>
              <w:tr2bl w:val="nil"/>
            </w:tcBorders>
            <w:vAlign w:val="center"/>
          </w:tcPr>
          <w:p w14:paraId="627E7848">
            <w:pPr>
              <w:pStyle w:val="62"/>
              <w:adjustRightInd w:val="0"/>
              <w:snapToGrid w:val="0"/>
              <w:contextualSpacing w:val="0"/>
              <w:rPr>
                <w:b/>
                <w:lang w:eastAsia="en-US"/>
              </w:rPr>
            </w:pPr>
            <w:r>
              <w:rPr>
                <w:rFonts w:hint="eastAsia"/>
                <w:lang w:eastAsia="zh-CN"/>
              </w:rPr>
              <w:t>代</w:t>
            </w:r>
            <w:r>
              <w:rPr>
                <w:rFonts w:hint="eastAsia"/>
                <w:lang w:eastAsia="en-US"/>
              </w:rPr>
              <w:t>庄村</w:t>
            </w:r>
          </w:p>
        </w:tc>
        <w:tc>
          <w:tcPr>
            <w:tcW w:w="1192" w:type="dxa"/>
            <w:tcBorders>
              <w:tl2br w:val="nil"/>
              <w:tr2bl w:val="nil"/>
            </w:tcBorders>
            <w:vAlign w:val="center"/>
          </w:tcPr>
          <w:p w14:paraId="28D942BE">
            <w:pPr>
              <w:pStyle w:val="62"/>
              <w:adjustRightInd w:val="0"/>
              <w:snapToGrid w:val="0"/>
              <w:contextualSpacing w:val="0"/>
              <w:rPr>
                <w:lang w:eastAsia="en-US"/>
              </w:rPr>
            </w:pPr>
            <w:r>
              <w:rPr>
                <w:rFonts w:hint="eastAsia"/>
                <w:lang w:eastAsia="zh-CN"/>
              </w:rPr>
              <w:t>西</w:t>
            </w:r>
          </w:p>
        </w:tc>
        <w:tc>
          <w:tcPr>
            <w:tcW w:w="1192" w:type="dxa"/>
            <w:gridSpan w:val="2"/>
            <w:tcBorders>
              <w:tl2br w:val="nil"/>
              <w:tr2bl w:val="nil"/>
            </w:tcBorders>
            <w:vAlign w:val="center"/>
          </w:tcPr>
          <w:p w14:paraId="31E22BAC">
            <w:pPr>
              <w:pStyle w:val="62"/>
              <w:adjustRightInd w:val="0"/>
              <w:snapToGrid w:val="0"/>
              <w:contextualSpacing w:val="0"/>
              <w:rPr>
                <w:lang w:eastAsia="zh-CN"/>
              </w:rPr>
            </w:pPr>
            <w:r>
              <w:rPr>
                <w:rFonts w:hint="eastAsia"/>
                <w:lang w:eastAsia="zh-CN"/>
              </w:rPr>
              <w:t>830</w:t>
            </w:r>
          </w:p>
        </w:tc>
        <w:tc>
          <w:tcPr>
            <w:tcW w:w="1342" w:type="dxa"/>
            <w:tcBorders>
              <w:tl2br w:val="nil"/>
              <w:tr2bl w:val="nil"/>
            </w:tcBorders>
            <w:vAlign w:val="center"/>
          </w:tcPr>
          <w:p w14:paraId="4CB2253F">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694BD1D4">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1690</w:t>
            </w:r>
          </w:p>
        </w:tc>
      </w:tr>
      <w:tr w14:paraId="2BA25E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0CD49A9">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4E8FA20C">
            <w:pPr>
              <w:pStyle w:val="62"/>
              <w:adjustRightInd w:val="0"/>
              <w:snapToGrid w:val="0"/>
              <w:contextualSpacing w:val="0"/>
              <w:rPr>
                <w:kern w:val="2"/>
                <w:lang w:eastAsia="en-US"/>
              </w:rPr>
            </w:pPr>
            <w:r>
              <w:rPr>
                <w:lang w:eastAsia="en-US"/>
              </w:rPr>
              <w:t>2</w:t>
            </w:r>
          </w:p>
        </w:tc>
        <w:tc>
          <w:tcPr>
            <w:tcW w:w="2016" w:type="dxa"/>
            <w:tcBorders>
              <w:tl2br w:val="nil"/>
              <w:tr2bl w:val="nil"/>
            </w:tcBorders>
            <w:vAlign w:val="center"/>
          </w:tcPr>
          <w:p w14:paraId="77489566">
            <w:pPr>
              <w:pStyle w:val="62"/>
              <w:adjustRightInd w:val="0"/>
              <w:snapToGrid w:val="0"/>
              <w:contextualSpacing w:val="0"/>
              <w:rPr>
                <w:lang w:eastAsia="en-US"/>
              </w:rPr>
            </w:pPr>
            <w:r>
              <w:rPr>
                <w:rFonts w:hint="eastAsia"/>
                <w:lang w:eastAsia="zh-CN"/>
              </w:rPr>
              <w:t>仁里屯村</w:t>
            </w:r>
          </w:p>
        </w:tc>
        <w:tc>
          <w:tcPr>
            <w:tcW w:w="1192" w:type="dxa"/>
            <w:tcBorders>
              <w:tl2br w:val="nil"/>
              <w:tr2bl w:val="nil"/>
            </w:tcBorders>
            <w:vAlign w:val="center"/>
          </w:tcPr>
          <w:p w14:paraId="3698719A">
            <w:pPr>
              <w:pStyle w:val="62"/>
              <w:adjustRightInd w:val="0"/>
              <w:snapToGrid w:val="0"/>
              <w:contextualSpacing w:val="0"/>
              <w:rPr>
                <w:lang w:eastAsia="en-US"/>
              </w:rPr>
            </w:pPr>
            <w:r>
              <w:rPr>
                <w:rFonts w:hint="eastAsia"/>
                <w:lang w:eastAsia="zh-CN"/>
              </w:rPr>
              <w:t>西南</w:t>
            </w:r>
          </w:p>
        </w:tc>
        <w:tc>
          <w:tcPr>
            <w:tcW w:w="1192" w:type="dxa"/>
            <w:gridSpan w:val="2"/>
            <w:tcBorders>
              <w:tl2br w:val="nil"/>
              <w:tr2bl w:val="nil"/>
            </w:tcBorders>
            <w:vAlign w:val="center"/>
          </w:tcPr>
          <w:p w14:paraId="114AEB0D">
            <w:pPr>
              <w:pStyle w:val="62"/>
              <w:adjustRightInd w:val="0"/>
              <w:snapToGrid w:val="0"/>
              <w:contextualSpacing w:val="0"/>
              <w:rPr>
                <w:lang w:eastAsia="zh-CN"/>
              </w:rPr>
            </w:pPr>
            <w:r>
              <w:rPr>
                <w:rFonts w:hint="eastAsia"/>
                <w:lang w:eastAsia="zh-CN"/>
              </w:rPr>
              <w:t>640</w:t>
            </w:r>
          </w:p>
        </w:tc>
        <w:tc>
          <w:tcPr>
            <w:tcW w:w="1342" w:type="dxa"/>
            <w:tcBorders>
              <w:tl2br w:val="nil"/>
              <w:tr2bl w:val="nil"/>
            </w:tcBorders>
            <w:vAlign w:val="center"/>
          </w:tcPr>
          <w:p w14:paraId="02281DDB">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580DFCA6">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1900</w:t>
            </w:r>
          </w:p>
        </w:tc>
      </w:tr>
      <w:tr w14:paraId="2C0E98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0F215750">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0D1F5309">
            <w:pPr>
              <w:pStyle w:val="62"/>
              <w:adjustRightInd w:val="0"/>
              <w:snapToGrid w:val="0"/>
              <w:contextualSpacing w:val="0"/>
              <w:rPr>
                <w:kern w:val="2"/>
                <w:lang w:eastAsia="en-US"/>
              </w:rPr>
            </w:pPr>
            <w:r>
              <w:rPr>
                <w:lang w:eastAsia="en-US"/>
              </w:rPr>
              <w:t>3</w:t>
            </w:r>
          </w:p>
        </w:tc>
        <w:tc>
          <w:tcPr>
            <w:tcW w:w="2016" w:type="dxa"/>
            <w:tcBorders>
              <w:tl2br w:val="nil"/>
              <w:tr2bl w:val="nil"/>
            </w:tcBorders>
            <w:vAlign w:val="center"/>
          </w:tcPr>
          <w:p w14:paraId="05C131E0">
            <w:pPr>
              <w:pStyle w:val="62"/>
              <w:adjustRightInd w:val="0"/>
              <w:snapToGrid w:val="0"/>
              <w:contextualSpacing w:val="0"/>
              <w:rPr>
                <w:lang w:eastAsia="en-US"/>
              </w:rPr>
            </w:pPr>
            <w:r>
              <w:rPr>
                <w:rFonts w:hint="eastAsia"/>
                <w:lang w:eastAsia="zh-CN"/>
              </w:rPr>
              <w:t>田庄</w:t>
            </w:r>
            <w:r>
              <w:rPr>
                <w:lang w:eastAsia="en-US"/>
              </w:rPr>
              <w:t>村</w:t>
            </w:r>
          </w:p>
        </w:tc>
        <w:tc>
          <w:tcPr>
            <w:tcW w:w="1192" w:type="dxa"/>
            <w:tcBorders>
              <w:tl2br w:val="nil"/>
              <w:tr2bl w:val="nil"/>
            </w:tcBorders>
            <w:vAlign w:val="center"/>
          </w:tcPr>
          <w:p w14:paraId="5FA31B4A">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0F5AD993">
            <w:pPr>
              <w:pStyle w:val="62"/>
              <w:adjustRightInd w:val="0"/>
              <w:snapToGrid w:val="0"/>
              <w:contextualSpacing w:val="0"/>
              <w:rPr>
                <w:lang w:eastAsia="zh-CN"/>
              </w:rPr>
            </w:pPr>
            <w:r>
              <w:rPr>
                <w:rFonts w:hint="eastAsia"/>
                <w:lang w:eastAsia="zh-CN"/>
              </w:rPr>
              <w:t>1700</w:t>
            </w:r>
          </w:p>
        </w:tc>
        <w:tc>
          <w:tcPr>
            <w:tcW w:w="1342" w:type="dxa"/>
            <w:tcBorders>
              <w:tl2br w:val="nil"/>
              <w:tr2bl w:val="nil"/>
            </w:tcBorders>
            <w:vAlign w:val="center"/>
          </w:tcPr>
          <w:p w14:paraId="2B59A143">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288C5E69">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2505</w:t>
            </w:r>
          </w:p>
        </w:tc>
      </w:tr>
      <w:tr w14:paraId="73128A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46F08209">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3B97A00">
            <w:pPr>
              <w:pStyle w:val="62"/>
              <w:adjustRightInd w:val="0"/>
              <w:snapToGrid w:val="0"/>
              <w:contextualSpacing w:val="0"/>
              <w:rPr>
                <w:kern w:val="2"/>
                <w:lang w:eastAsia="en-US"/>
              </w:rPr>
            </w:pPr>
            <w:r>
              <w:rPr>
                <w:lang w:eastAsia="en-US"/>
              </w:rPr>
              <w:t>4</w:t>
            </w:r>
          </w:p>
        </w:tc>
        <w:tc>
          <w:tcPr>
            <w:tcW w:w="2016" w:type="dxa"/>
            <w:tcBorders>
              <w:tl2br w:val="nil"/>
              <w:tr2bl w:val="nil"/>
            </w:tcBorders>
            <w:vAlign w:val="center"/>
          </w:tcPr>
          <w:p w14:paraId="4D8A0699">
            <w:pPr>
              <w:pStyle w:val="62"/>
              <w:adjustRightInd w:val="0"/>
              <w:snapToGrid w:val="0"/>
              <w:contextualSpacing w:val="0"/>
              <w:rPr>
                <w:lang w:eastAsia="zh-CN"/>
              </w:rPr>
            </w:pPr>
            <w:r>
              <w:rPr>
                <w:rFonts w:hint="eastAsia"/>
                <w:lang w:eastAsia="zh-CN"/>
              </w:rPr>
              <w:t>双兰村</w:t>
            </w:r>
          </w:p>
        </w:tc>
        <w:tc>
          <w:tcPr>
            <w:tcW w:w="1192" w:type="dxa"/>
            <w:tcBorders>
              <w:tl2br w:val="nil"/>
              <w:tr2bl w:val="nil"/>
            </w:tcBorders>
            <w:vAlign w:val="center"/>
          </w:tcPr>
          <w:p w14:paraId="432C090D">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0B642007">
            <w:pPr>
              <w:pStyle w:val="62"/>
              <w:adjustRightInd w:val="0"/>
              <w:snapToGrid w:val="0"/>
              <w:contextualSpacing w:val="0"/>
              <w:rPr>
                <w:lang w:eastAsia="zh-CN"/>
              </w:rPr>
            </w:pPr>
            <w:r>
              <w:rPr>
                <w:rFonts w:hint="eastAsia"/>
                <w:lang w:eastAsia="zh-CN"/>
              </w:rPr>
              <w:t>2060</w:t>
            </w:r>
          </w:p>
        </w:tc>
        <w:tc>
          <w:tcPr>
            <w:tcW w:w="1342" w:type="dxa"/>
            <w:tcBorders>
              <w:tl2br w:val="nil"/>
              <w:tr2bl w:val="nil"/>
            </w:tcBorders>
            <w:vAlign w:val="center"/>
          </w:tcPr>
          <w:p w14:paraId="1B2D5A07">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35E37BD6">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w:t>
            </w:r>
            <w:r>
              <w:rPr>
                <w:rFonts w:ascii="Times New Roman" w:hAnsi="Times New Roman" w:cs="Times New Roman"/>
                <w:color w:val="auto"/>
                <w:lang w:eastAsia="zh-CN"/>
              </w:rPr>
              <w:t>868</w:t>
            </w:r>
          </w:p>
        </w:tc>
      </w:tr>
      <w:tr w14:paraId="77952A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2959F37A">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7ADE6842">
            <w:pPr>
              <w:pStyle w:val="62"/>
              <w:adjustRightInd w:val="0"/>
              <w:snapToGrid w:val="0"/>
              <w:contextualSpacing w:val="0"/>
              <w:rPr>
                <w:kern w:val="2"/>
                <w:lang w:eastAsia="en-US"/>
              </w:rPr>
            </w:pPr>
            <w:r>
              <w:rPr>
                <w:lang w:eastAsia="en-US"/>
              </w:rPr>
              <w:t>5</w:t>
            </w:r>
          </w:p>
        </w:tc>
        <w:tc>
          <w:tcPr>
            <w:tcW w:w="2016" w:type="dxa"/>
            <w:tcBorders>
              <w:tl2br w:val="nil"/>
              <w:tr2bl w:val="nil"/>
            </w:tcBorders>
            <w:vAlign w:val="center"/>
          </w:tcPr>
          <w:p w14:paraId="41529D1E">
            <w:pPr>
              <w:pStyle w:val="62"/>
              <w:adjustRightInd w:val="0"/>
              <w:snapToGrid w:val="0"/>
              <w:contextualSpacing w:val="0"/>
              <w:rPr>
                <w:lang w:eastAsia="en-US"/>
              </w:rPr>
            </w:pPr>
            <w:r>
              <w:rPr>
                <w:rFonts w:hint="eastAsia"/>
                <w:lang w:eastAsia="zh-CN"/>
              </w:rPr>
              <w:t>班庄</w:t>
            </w:r>
          </w:p>
        </w:tc>
        <w:tc>
          <w:tcPr>
            <w:tcW w:w="1192" w:type="dxa"/>
            <w:tcBorders>
              <w:tl2br w:val="nil"/>
              <w:tr2bl w:val="nil"/>
            </w:tcBorders>
            <w:vAlign w:val="center"/>
          </w:tcPr>
          <w:p w14:paraId="19626C88">
            <w:pPr>
              <w:pStyle w:val="62"/>
              <w:adjustRightInd w:val="0"/>
              <w:snapToGrid w:val="0"/>
              <w:contextualSpacing w:val="0"/>
              <w:rPr>
                <w:highlight w:val="yellow"/>
                <w:lang w:eastAsia="en-US"/>
              </w:rPr>
            </w:pPr>
            <w:r>
              <w:rPr>
                <w:rFonts w:hint="eastAsia"/>
                <w:lang w:eastAsia="zh-CN"/>
              </w:rPr>
              <w:t>西北</w:t>
            </w:r>
          </w:p>
        </w:tc>
        <w:tc>
          <w:tcPr>
            <w:tcW w:w="1192" w:type="dxa"/>
            <w:gridSpan w:val="2"/>
            <w:tcBorders>
              <w:tl2br w:val="nil"/>
              <w:tr2bl w:val="nil"/>
            </w:tcBorders>
            <w:vAlign w:val="center"/>
          </w:tcPr>
          <w:p w14:paraId="6FEA4EB5">
            <w:pPr>
              <w:pStyle w:val="62"/>
              <w:adjustRightInd w:val="0"/>
              <w:snapToGrid w:val="0"/>
              <w:contextualSpacing w:val="0"/>
              <w:rPr>
                <w:lang w:eastAsia="zh-CN"/>
              </w:rPr>
            </w:pPr>
            <w:r>
              <w:rPr>
                <w:rFonts w:hint="eastAsia"/>
                <w:lang w:eastAsia="zh-CN"/>
              </w:rPr>
              <w:t>1890</w:t>
            </w:r>
          </w:p>
        </w:tc>
        <w:tc>
          <w:tcPr>
            <w:tcW w:w="1342" w:type="dxa"/>
            <w:tcBorders>
              <w:tl2br w:val="nil"/>
              <w:tr2bl w:val="nil"/>
            </w:tcBorders>
            <w:vAlign w:val="center"/>
          </w:tcPr>
          <w:p w14:paraId="0ADA6387">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7728E990">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1750</w:t>
            </w:r>
          </w:p>
        </w:tc>
      </w:tr>
      <w:tr w14:paraId="4E4640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0794966">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38018A39">
            <w:pPr>
              <w:pStyle w:val="62"/>
              <w:adjustRightInd w:val="0"/>
              <w:snapToGrid w:val="0"/>
              <w:contextualSpacing w:val="0"/>
              <w:rPr>
                <w:lang w:eastAsia="en-US"/>
              </w:rPr>
            </w:pPr>
            <w:r>
              <w:rPr>
                <w:lang w:eastAsia="en-US"/>
              </w:rPr>
              <w:t>6</w:t>
            </w:r>
          </w:p>
        </w:tc>
        <w:tc>
          <w:tcPr>
            <w:tcW w:w="2016" w:type="dxa"/>
            <w:tcBorders>
              <w:tl2br w:val="nil"/>
              <w:tr2bl w:val="nil"/>
            </w:tcBorders>
            <w:vAlign w:val="center"/>
          </w:tcPr>
          <w:p w14:paraId="2E208114">
            <w:pPr>
              <w:pStyle w:val="62"/>
              <w:adjustRightInd w:val="0"/>
              <w:snapToGrid w:val="0"/>
              <w:contextualSpacing w:val="0"/>
              <w:rPr>
                <w:lang w:eastAsia="en-US"/>
              </w:rPr>
            </w:pPr>
            <w:r>
              <w:rPr>
                <w:rFonts w:hint="eastAsia"/>
                <w:bCs/>
                <w:lang w:eastAsia="zh-CN"/>
              </w:rPr>
              <w:t>郭全屯村</w:t>
            </w:r>
          </w:p>
        </w:tc>
        <w:tc>
          <w:tcPr>
            <w:tcW w:w="1192" w:type="dxa"/>
            <w:tcBorders>
              <w:tl2br w:val="nil"/>
              <w:tr2bl w:val="nil"/>
            </w:tcBorders>
            <w:vAlign w:val="center"/>
          </w:tcPr>
          <w:p w14:paraId="3004A3F9">
            <w:pPr>
              <w:pStyle w:val="62"/>
              <w:adjustRightInd w:val="0"/>
              <w:snapToGrid w:val="0"/>
              <w:contextualSpacing w:val="0"/>
              <w:rPr>
                <w:lang w:eastAsia="en-US"/>
              </w:rPr>
            </w:pPr>
            <w:r>
              <w:rPr>
                <w:rFonts w:hint="eastAsia"/>
                <w:lang w:eastAsia="zh-CN"/>
              </w:rPr>
              <w:t>西北</w:t>
            </w:r>
          </w:p>
        </w:tc>
        <w:tc>
          <w:tcPr>
            <w:tcW w:w="1192" w:type="dxa"/>
            <w:gridSpan w:val="2"/>
            <w:tcBorders>
              <w:tl2br w:val="nil"/>
              <w:tr2bl w:val="nil"/>
            </w:tcBorders>
            <w:vAlign w:val="center"/>
          </w:tcPr>
          <w:p w14:paraId="3D135AC7">
            <w:pPr>
              <w:pStyle w:val="62"/>
              <w:adjustRightInd w:val="0"/>
              <w:snapToGrid w:val="0"/>
              <w:contextualSpacing w:val="0"/>
              <w:rPr>
                <w:lang w:eastAsia="en-US"/>
              </w:rPr>
            </w:pPr>
            <w:r>
              <w:rPr>
                <w:rFonts w:hint="eastAsia"/>
                <w:lang w:eastAsia="zh-CN"/>
              </w:rPr>
              <w:t>800</w:t>
            </w:r>
          </w:p>
        </w:tc>
        <w:tc>
          <w:tcPr>
            <w:tcW w:w="1342" w:type="dxa"/>
            <w:tcBorders>
              <w:tl2br w:val="nil"/>
              <w:tr2bl w:val="nil"/>
            </w:tcBorders>
            <w:vAlign w:val="center"/>
          </w:tcPr>
          <w:p w14:paraId="2A8E5D89">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32A7110F">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1400</w:t>
            </w:r>
          </w:p>
        </w:tc>
      </w:tr>
      <w:tr w14:paraId="3BFE7F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782320A4">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76A81B80">
            <w:pPr>
              <w:pStyle w:val="62"/>
              <w:adjustRightInd w:val="0"/>
              <w:snapToGrid w:val="0"/>
              <w:contextualSpacing w:val="0"/>
              <w:rPr>
                <w:lang w:eastAsia="en-US"/>
              </w:rPr>
            </w:pPr>
            <w:r>
              <w:rPr>
                <w:lang w:eastAsia="en-US"/>
              </w:rPr>
              <w:t>7</w:t>
            </w:r>
          </w:p>
        </w:tc>
        <w:tc>
          <w:tcPr>
            <w:tcW w:w="2016" w:type="dxa"/>
            <w:tcBorders>
              <w:tl2br w:val="nil"/>
              <w:tr2bl w:val="nil"/>
            </w:tcBorders>
            <w:vAlign w:val="center"/>
          </w:tcPr>
          <w:p w14:paraId="2A33FB4E">
            <w:pPr>
              <w:pStyle w:val="62"/>
              <w:adjustRightInd w:val="0"/>
              <w:snapToGrid w:val="0"/>
              <w:contextualSpacing w:val="0"/>
              <w:rPr>
                <w:lang w:eastAsia="en-US"/>
              </w:rPr>
            </w:pPr>
            <w:r>
              <w:rPr>
                <w:rFonts w:hint="eastAsia"/>
                <w:bCs/>
                <w:lang w:eastAsia="zh-CN"/>
              </w:rPr>
              <w:t>郝庄村</w:t>
            </w:r>
          </w:p>
        </w:tc>
        <w:tc>
          <w:tcPr>
            <w:tcW w:w="1192" w:type="dxa"/>
            <w:tcBorders>
              <w:tl2br w:val="nil"/>
              <w:tr2bl w:val="nil"/>
            </w:tcBorders>
            <w:vAlign w:val="center"/>
          </w:tcPr>
          <w:p w14:paraId="273CB847">
            <w:pPr>
              <w:pStyle w:val="62"/>
              <w:adjustRightInd w:val="0"/>
              <w:snapToGrid w:val="0"/>
              <w:contextualSpacing w:val="0"/>
              <w:rPr>
                <w:lang w:eastAsia="en-US"/>
              </w:rPr>
            </w:pPr>
            <w:r>
              <w:rPr>
                <w:rFonts w:hint="eastAsia"/>
                <w:lang w:eastAsia="zh-CN"/>
              </w:rPr>
              <w:t>东北</w:t>
            </w:r>
          </w:p>
        </w:tc>
        <w:tc>
          <w:tcPr>
            <w:tcW w:w="1192" w:type="dxa"/>
            <w:gridSpan w:val="2"/>
            <w:tcBorders>
              <w:tl2br w:val="nil"/>
              <w:tr2bl w:val="nil"/>
            </w:tcBorders>
            <w:vAlign w:val="center"/>
          </w:tcPr>
          <w:p w14:paraId="5F764692">
            <w:pPr>
              <w:pStyle w:val="62"/>
              <w:adjustRightInd w:val="0"/>
              <w:snapToGrid w:val="0"/>
              <w:contextualSpacing w:val="0"/>
              <w:rPr>
                <w:lang w:eastAsia="en-US"/>
              </w:rPr>
            </w:pPr>
            <w:r>
              <w:rPr>
                <w:rFonts w:hint="eastAsia"/>
                <w:lang w:eastAsia="zh-CN"/>
              </w:rPr>
              <w:t>2485</w:t>
            </w:r>
          </w:p>
        </w:tc>
        <w:tc>
          <w:tcPr>
            <w:tcW w:w="1342" w:type="dxa"/>
            <w:tcBorders>
              <w:tl2br w:val="nil"/>
              <w:tr2bl w:val="nil"/>
            </w:tcBorders>
            <w:vAlign w:val="center"/>
          </w:tcPr>
          <w:p w14:paraId="577E3384">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1F8B3F0C">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1365</w:t>
            </w:r>
          </w:p>
        </w:tc>
      </w:tr>
      <w:tr w14:paraId="5B4300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2D5B4CCA">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29DABCA">
            <w:pPr>
              <w:pStyle w:val="62"/>
              <w:adjustRightInd w:val="0"/>
              <w:snapToGrid w:val="0"/>
              <w:contextualSpacing w:val="0"/>
              <w:rPr>
                <w:lang w:eastAsia="en-US"/>
              </w:rPr>
            </w:pPr>
            <w:r>
              <w:rPr>
                <w:lang w:eastAsia="en-US"/>
              </w:rPr>
              <w:t>8</w:t>
            </w:r>
          </w:p>
        </w:tc>
        <w:tc>
          <w:tcPr>
            <w:tcW w:w="2016" w:type="dxa"/>
            <w:tcBorders>
              <w:tl2br w:val="nil"/>
              <w:tr2bl w:val="nil"/>
            </w:tcBorders>
            <w:vAlign w:val="center"/>
          </w:tcPr>
          <w:p w14:paraId="15D42606">
            <w:pPr>
              <w:pStyle w:val="62"/>
              <w:adjustRightInd w:val="0"/>
              <w:snapToGrid w:val="0"/>
              <w:contextualSpacing w:val="0"/>
              <w:rPr>
                <w:lang w:eastAsia="en-US"/>
              </w:rPr>
            </w:pPr>
            <w:r>
              <w:rPr>
                <w:rFonts w:hint="eastAsia"/>
                <w:bCs/>
                <w:lang w:eastAsia="zh-CN"/>
              </w:rPr>
              <w:t>阮庄</w:t>
            </w:r>
          </w:p>
        </w:tc>
        <w:tc>
          <w:tcPr>
            <w:tcW w:w="1192" w:type="dxa"/>
            <w:tcBorders>
              <w:tl2br w:val="nil"/>
              <w:tr2bl w:val="nil"/>
            </w:tcBorders>
            <w:vAlign w:val="center"/>
          </w:tcPr>
          <w:p w14:paraId="06C36C28">
            <w:pPr>
              <w:pStyle w:val="62"/>
              <w:adjustRightInd w:val="0"/>
              <w:snapToGrid w:val="0"/>
              <w:contextualSpacing w:val="0"/>
              <w:rPr>
                <w:lang w:eastAsia="en-US"/>
              </w:rPr>
            </w:pPr>
            <w:r>
              <w:rPr>
                <w:rFonts w:hint="eastAsia"/>
                <w:lang w:eastAsia="zh-CN"/>
              </w:rPr>
              <w:t>东北</w:t>
            </w:r>
          </w:p>
        </w:tc>
        <w:tc>
          <w:tcPr>
            <w:tcW w:w="1192" w:type="dxa"/>
            <w:gridSpan w:val="2"/>
            <w:tcBorders>
              <w:tl2br w:val="nil"/>
              <w:tr2bl w:val="nil"/>
            </w:tcBorders>
            <w:vAlign w:val="center"/>
          </w:tcPr>
          <w:p w14:paraId="1218E1F2">
            <w:pPr>
              <w:pStyle w:val="62"/>
              <w:adjustRightInd w:val="0"/>
              <w:snapToGrid w:val="0"/>
              <w:contextualSpacing w:val="0"/>
              <w:rPr>
                <w:lang w:eastAsia="en-US"/>
              </w:rPr>
            </w:pPr>
            <w:r>
              <w:rPr>
                <w:rFonts w:hint="eastAsia"/>
                <w:lang w:eastAsia="zh-CN"/>
              </w:rPr>
              <w:t>1570</w:t>
            </w:r>
          </w:p>
        </w:tc>
        <w:tc>
          <w:tcPr>
            <w:tcW w:w="1342" w:type="dxa"/>
            <w:tcBorders>
              <w:tl2br w:val="nil"/>
              <w:tr2bl w:val="nil"/>
            </w:tcBorders>
            <w:vAlign w:val="center"/>
          </w:tcPr>
          <w:p w14:paraId="5FA0C938">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36544E0C">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460</w:t>
            </w:r>
          </w:p>
        </w:tc>
      </w:tr>
      <w:tr w14:paraId="49EAF2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489F9EC">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C45B0EC">
            <w:pPr>
              <w:pStyle w:val="62"/>
              <w:adjustRightInd w:val="0"/>
              <w:snapToGrid w:val="0"/>
              <w:contextualSpacing w:val="0"/>
              <w:rPr>
                <w:lang w:eastAsia="en-US"/>
              </w:rPr>
            </w:pPr>
            <w:r>
              <w:rPr>
                <w:lang w:eastAsia="en-US"/>
              </w:rPr>
              <w:t>9</w:t>
            </w:r>
          </w:p>
        </w:tc>
        <w:tc>
          <w:tcPr>
            <w:tcW w:w="2016" w:type="dxa"/>
            <w:tcBorders>
              <w:tl2br w:val="nil"/>
              <w:tr2bl w:val="nil"/>
            </w:tcBorders>
            <w:vAlign w:val="center"/>
          </w:tcPr>
          <w:p w14:paraId="08A10D94">
            <w:pPr>
              <w:pStyle w:val="62"/>
              <w:adjustRightInd w:val="0"/>
              <w:snapToGrid w:val="0"/>
              <w:contextualSpacing w:val="0"/>
              <w:rPr>
                <w:lang w:eastAsia="en-US"/>
              </w:rPr>
            </w:pPr>
            <w:r>
              <w:rPr>
                <w:rFonts w:hint="eastAsia"/>
                <w:bCs/>
                <w:lang w:eastAsia="zh-CN"/>
              </w:rPr>
              <w:t>八里屯村</w:t>
            </w:r>
          </w:p>
        </w:tc>
        <w:tc>
          <w:tcPr>
            <w:tcW w:w="1192" w:type="dxa"/>
            <w:tcBorders>
              <w:tl2br w:val="nil"/>
              <w:tr2bl w:val="nil"/>
            </w:tcBorders>
            <w:vAlign w:val="center"/>
          </w:tcPr>
          <w:p w14:paraId="259290F4">
            <w:pPr>
              <w:pStyle w:val="62"/>
              <w:adjustRightInd w:val="0"/>
              <w:snapToGrid w:val="0"/>
              <w:contextualSpacing w:val="0"/>
              <w:rPr>
                <w:lang w:eastAsia="en-US"/>
              </w:rPr>
            </w:pPr>
            <w:r>
              <w:rPr>
                <w:rFonts w:hint="eastAsia"/>
                <w:lang w:eastAsia="zh-CN"/>
              </w:rPr>
              <w:t>东北</w:t>
            </w:r>
          </w:p>
        </w:tc>
        <w:tc>
          <w:tcPr>
            <w:tcW w:w="1192" w:type="dxa"/>
            <w:gridSpan w:val="2"/>
            <w:tcBorders>
              <w:tl2br w:val="nil"/>
              <w:tr2bl w:val="nil"/>
            </w:tcBorders>
            <w:vAlign w:val="center"/>
          </w:tcPr>
          <w:p w14:paraId="02CF9E3C">
            <w:pPr>
              <w:pStyle w:val="62"/>
              <w:adjustRightInd w:val="0"/>
              <w:snapToGrid w:val="0"/>
              <w:contextualSpacing w:val="0"/>
              <w:rPr>
                <w:lang w:eastAsia="en-US"/>
              </w:rPr>
            </w:pPr>
            <w:r>
              <w:rPr>
                <w:rFonts w:hint="eastAsia"/>
                <w:lang w:eastAsia="zh-CN"/>
              </w:rPr>
              <w:t>1930</w:t>
            </w:r>
          </w:p>
        </w:tc>
        <w:tc>
          <w:tcPr>
            <w:tcW w:w="1342" w:type="dxa"/>
            <w:tcBorders>
              <w:tl2br w:val="nil"/>
              <w:tr2bl w:val="nil"/>
            </w:tcBorders>
            <w:vAlign w:val="center"/>
          </w:tcPr>
          <w:p w14:paraId="71F6231C">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0AADD5AD">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2298</w:t>
            </w:r>
          </w:p>
        </w:tc>
      </w:tr>
      <w:tr w14:paraId="0FB291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56B382C">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0D56CB7A">
            <w:pPr>
              <w:pStyle w:val="62"/>
              <w:adjustRightInd w:val="0"/>
              <w:snapToGrid w:val="0"/>
              <w:contextualSpacing w:val="0"/>
              <w:rPr>
                <w:kern w:val="2"/>
                <w:lang w:eastAsia="en-US"/>
              </w:rPr>
            </w:pPr>
            <w:r>
              <w:rPr>
                <w:lang w:eastAsia="en-US"/>
              </w:rPr>
              <w:t>10</w:t>
            </w:r>
          </w:p>
        </w:tc>
        <w:tc>
          <w:tcPr>
            <w:tcW w:w="2016" w:type="dxa"/>
            <w:tcBorders>
              <w:tl2br w:val="nil"/>
              <w:tr2bl w:val="nil"/>
            </w:tcBorders>
            <w:vAlign w:val="center"/>
          </w:tcPr>
          <w:p w14:paraId="55C8B27A">
            <w:pPr>
              <w:pStyle w:val="62"/>
              <w:adjustRightInd w:val="0"/>
              <w:snapToGrid w:val="0"/>
              <w:contextualSpacing w:val="0"/>
              <w:rPr>
                <w:lang w:eastAsia="en-US"/>
              </w:rPr>
            </w:pPr>
            <w:r>
              <w:rPr>
                <w:rFonts w:hint="eastAsia"/>
                <w:bCs/>
                <w:lang w:eastAsia="zh-CN"/>
              </w:rPr>
              <w:t>电机厂家属院</w:t>
            </w:r>
          </w:p>
        </w:tc>
        <w:tc>
          <w:tcPr>
            <w:tcW w:w="1192" w:type="dxa"/>
            <w:tcBorders>
              <w:tl2br w:val="nil"/>
              <w:tr2bl w:val="nil"/>
            </w:tcBorders>
            <w:vAlign w:val="center"/>
          </w:tcPr>
          <w:p w14:paraId="0F73E424">
            <w:pPr>
              <w:pStyle w:val="62"/>
              <w:adjustRightInd w:val="0"/>
              <w:snapToGrid w:val="0"/>
              <w:contextualSpacing w:val="0"/>
              <w:rPr>
                <w:highlight w:val="yellow"/>
                <w:lang w:eastAsia="en-US"/>
              </w:rPr>
            </w:pPr>
            <w:r>
              <w:rPr>
                <w:rFonts w:hint="eastAsia"/>
                <w:lang w:eastAsia="zh-CN"/>
              </w:rPr>
              <w:t>东北</w:t>
            </w:r>
          </w:p>
        </w:tc>
        <w:tc>
          <w:tcPr>
            <w:tcW w:w="1192" w:type="dxa"/>
            <w:gridSpan w:val="2"/>
            <w:tcBorders>
              <w:tl2br w:val="nil"/>
              <w:tr2bl w:val="nil"/>
            </w:tcBorders>
            <w:vAlign w:val="center"/>
          </w:tcPr>
          <w:p w14:paraId="6C03E92E">
            <w:pPr>
              <w:pStyle w:val="62"/>
              <w:adjustRightInd w:val="0"/>
              <w:snapToGrid w:val="0"/>
              <w:contextualSpacing w:val="0"/>
              <w:rPr>
                <w:lang w:eastAsia="zh-CN"/>
              </w:rPr>
            </w:pPr>
            <w:r>
              <w:rPr>
                <w:rFonts w:hint="eastAsia"/>
                <w:lang w:eastAsia="zh-CN"/>
              </w:rPr>
              <w:t>2380</w:t>
            </w:r>
          </w:p>
        </w:tc>
        <w:tc>
          <w:tcPr>
            <w:tcW w:w="1342" w:type="dxa"/>
            <w:tcBorders>
              <w:tl2br w:val="nil"/>
              <w:tr2bl w:val="nil"/>
            </w:tcBorders>
            <w:vAlign w:val="center"/>
          </w:tcPr>
          <w:p w14:paraId="6D157B13">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6C1F815C">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2456</w:t>
            </w:r>
          </w:p>
        </w:tc>
      </w:tr>
      <w:tr w14:paraId="6AE381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078FEDC">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4CD613A4">
            <w:pPr>
              <w:pStyle w:val="62"/>
              <w:adjustRightInd w:val="0"/>
              <w:snapToGrid w:val="0"/>
              <w:contextualSpacing w:val="0"/>
              <w:rPr>
                <w:kern w:val="2"/>
                <w:lang w:eastAsia="en-US"/>
              </w:rPr>
            </w:pPr>
            <w:r>
              <w:rPr>
                <w:lang w:eastAsia="en-US"/>
              </w:rPr>
              <w:t>11</w:t>
            </w:r>
          </w:p>
        </w:tc>
        <w:tc>
          <w:tcPr>
            <w:tcW w:w="2016" w:type="dxa"/>
            <w:tcBorders>
              <w:tl2br w:val="nil"/>
              <w:tr2bl w:val="nil"/>
            </w:tcBorders>
            <w:vAlign w:val="center"/>
          </w:tcPr>
          <w:p w14:paraId="4BBC4CA0">
            <w:pPr>
              <w:pStyle w:val="62"/>
              <w:adjustRightInd w:val="0"/>
              <w:snapToGrid w:val="0"/>
              <w:contextualSpacing w:val="0"/>
              <w:rPr>
                <w:lang w:eastAsia="en-US"/>
              </w:rPr>
            </w:pPr>
            <w:r>
              <w:rPr>
                <w:rFonts w:hint="eastAsia"/>
                <w:bCs/>
                <w:lang w:eastAsia="zh-CN"/>
              </w:rPr>
              <w:t>天和 龙岸北郡</w:t>
            </w:r>
          </w:p>
        </w:tc>
        <w:tc>
          <w:tcPr>
            <w:tcW w:w="1192" w:type="dxa"/>
            <w:tcBorders>
              <w:tl2br w:val="nil"/>
              <w:tr2bl w:val="nil"/>
            </w:tcBorders>
            <w:vAlign w:val="center"/>
          </w:tcPr>
          <w:p w14:paraId="11D46BFF">
            <w:pPr>
              <w:pStyle w:val="62"/>
              <w:adjustRightInd w:val="0"/>
              <w:snapToGrid w:val="0"/>
              <w:contextualSpacing w:val="0"/>
              <w:rPr>
                <w:highlight w:val="yellow"/>
                <w:lang w:eastAsia="en-US"/>
              </w:rPr>
            </w:pPr>
            <w:r>
              <w:rPr>
                <w:rFonts w:hint="eastAsia"/>
                <w:lang w:eastAsia="zh-CN"/>
              </w:rPr>
              <w:t>北</w:t>
            </w:r>
          </w:p>
        </w:tc>
        <w:tc>
          <w:tcPr>
            <w:tcW w:w="1192" w:type="dxa"/>
            <w:gridSpan w:val="2"/>
            <w:tcBorders>
              <w:tl2br w:val="nil"/>
              <w:tr2bl w:val="nil"/>
            </w:tcBorders>
            <w:vAlign w:val="center"/>
          </w:tcPr>
          <w:p w14:paraId="1D3FCF42">
            <w:pPr>
              <w:pStyle w:val="62"/>
              <w:adjustRightInd w:val="0"/>
              <w:snapToGrid w:val="0"/>
              <w:contextualSpacing w:val="0"/>
              <w:rPr>
                <w:lang w:eastAsia="zh-CN"/>
              </w:rPr>
            </w:pPr>
            <w:r>
              <w:rPr>
                <w:rFonts w:hint="eastAsia"/>
                <w:lang w:eastAsia="zh-CN"/>
              </w:rPr>
              <w:t>2500</w:t>
            </w:r>
          </w:p>
        </w:tc>
        <w:tc>
          <w:tcPr>
            <w:tcW w:w="1342" w:type="dxa"/>
            <w:tcBorders>
              <w:tl2br w:val="nil"/>
              <w:tr2bl w:val="nil"/>
            </w:tcBorders>
            <w:vAlign w:val="center"/>
          </w:tcPr>
          <w:p w14:paraId="33FEE49A">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5494C8AD">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2835</w:t>
            </w:r>
          </w:p>
        </w:tc>
      </w:tr>
      <w:tr w14:paraId="174587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4F726A2">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0891DF42">
            <w:pPr>
              <w:pStyle w:val="62"/>
              <w:adjustRightInd w:val="0"/>
              <w:snapToGrid w:val="0"/>
              <w:contextualSpacing w:val="0"/>
              <w:rPr>
                <w:kern w:val="2"/>
                <w:lang w:eastAsia="en-US"/>
              </w:rPr>
            </w:pPr>
            <w:r>
              <w:rPr>
                <w:lang w:eastAsia="en-US"/>
              </w:rPr>
              <w:t>12</w:t>
            </w:r>
          </w:p>
        </w:tc>
        <w:tc>
          <w:tcPr>
            <w:tcW w:w="2016" w:type="dxa"/>
            <w:tcBorders>
              <w:tl2br w:val="nil"/>
              <w:tr2bl w:val="nil"/>
            </w:tcBorders>
            <w:vAlign w:val="center"/>
          </w:tcPr>
          <w:p w14:paraId="5F2EA89D">
            <w:pPr>
              <w:pStyle w:val="62"/>
              <w:adjustRightInd w:val="0"/>
              <w:snapToGrid w:val="0"/>
              <w:contextualSpacing w:val="0"/>
              <w:rPr>
                <w:lang w:eastAsia="en-US"/>
              </w:rPr>
            </w:pPr>
            <w:r>
              <w:rPr>
                <w:rFonts w:hint="eastAsia"/>
                <w:bCs/>
                <w:lang w:eastAsia="zh-CN"/>
              </w:rPr>
              <w:t>辛庄村</w:t>
            </w:r>
          </w:p>
        </w:tc>
        <w:tc>
          <w:tcPr>
            <w:tcW w:w="1192" w:type="dxa"/>
            <w:tcBorders>
              <w:tl2br w:val="nil"/>
              <w:tr2bl w:val="nil"/>
            </w:tcBorders>
            <w:vAlign w:val="center"/>
          </w:tcPr>
          <w:p w14:paraId="1C076D5F">
            <w:pPr>
              <w:pStyle w:val="62"/>
              <w:adjustRightInd w:val="0"/>
              <w:snapToGrid w:val="0"/>
              <w:contextualSpacing w:val="0"/>
              <w:rPr>
                <w:lang w:eastAsia="en-US"/>
              </w:rPr>
            </w:pPr>
            <w:r>
              <w:rPr>
                <w:rFonts w:hint="eastAsia"/>
                <w:lang w:eastAsia="zh-CN"/>
              </w:rPr>
              <w:t>东</w:t>
            </w:r>
          </w:p>
        </w:tc>
        <w:tc>
          <w:tcPr>
            <w:tcW w:w="1192" w:type="dxa"/>
            <w:gridSpan w:val="2"/>
            <w:tcBorders>
              <w:tl2br w:val="nil"/>
              <w:tr2bl w:val="nil"/>
            </w:tcBorders>
            <w:vAlign w:val="center"/>
          </w:tcPr>
          <w:p w14:paraId="63FBA349">
            <w:pPr>
              <w:pStyle w:val="62"/>
              <w:adjustRightInd w:val="0"/>
              <w:snapToGrid w:val="0"/>
              <w:contextualSpacing w:val="0"/>
              <w:rPr>
                <w:lang w:eastAsia="zh-CN"/>
              </w:rPr>
            </w:pPr>
            <w:r>
              <w:rPr>
                <w:rFonts w:hint="eastAsia"/>
                <w:lang w:eastAsia="zh-CN"/>
              </w:rPr>
              <w:t>1570</w:t>
            </w:r>
          </w:p>
        </w:tc>
        <w:tc>
          <w:tcPr>
            <w:tcW w:w="1342" w:type="dxa"/>
            <w:tcBorders>
              <w:tl2br w:val="nil"/>
              <w:tr2bl w:val="nil"/>
            </w:tcBorders>
            <w:vAlign w:val="center"/>
          </w:tcPr>
          <w:p w14:paraId="47B41630">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62C41424">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2900</w:t>
            </w:r>
          </w:p>
        </w:tc>
      </w:tr>
      <w:tr w14:paraId="4724D5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1743AC4">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42FF4F63">
            <w:pPr>
              <w:pStyle w:val="62"/>
              <w:adjustRightInd w:val="0"/>
              <w:snapToGrid w:val="0"/>
              <w:contextualSpacing w:val="0"/>
              <w:rPr>
                <w:kern w:val="2"/>
                <w:lang w:eastAsia="en-US"/>
              </w:rPr>
            </w:pPr>
            <w:r>
              <w:rPr>
                <w:lang w:eastAsia="en-US"/>
              </w:rPr>
              <w:t>13</w:t>
            </w:r>
          </w:p>
        </w:tc>
        <w:tc>
          <w:tcPr>
            <w:tcW w:w="2016" w:type="dxa"/>
            <w:tcBorders>
              <w:tl2br w:val="nil"/>
              <w:tr2bl w:val="nil"/>
            </w:tcBorders>
            <w:vAlign w:val="center"/>
          </w:tcPr>
          <w:p w14:paraId="57956F2A">
            <w:pPr>
              <w:pStyle w:val="62"/>
              <w:adjustRightInd w:val="0"/>
              <w:snapToGrid w:val="0"/>
              <w:contextualSpacing w:val="0"/>
              <w:rPr>
                <w:kern w:val="2"/>
                <w:lang w:eastAsia="en-US"/>
              </w:rPr>
            </w:pPr>
            <w:r>
              <w:rPr>
                <w:rFonts w:hint="eastAsia"/>
                <w:lang w:eastAsia="zh-CN"/>
              </w:rPr>
              <w:t>卫辉市区</w:t>
            </w:r>
          </w:p>
        </w:tc>
        <w:tc>
          <w:tcPr>
            <w:tcW w:w="1192" w:type="dxa"/>
            <w:tcBorders>
              <w:tl2br w:val="nil"/>
              <w:tr2bl w:val="nil"/>
            </w:tcBorders>
            <w:vAlign w:val="center"/>
          </w:tcPr>
          <w:p w14:paraId="1AD6952C">
            <w:pPr>
              <w:pStyle w:val="62"/>
              <w:adjustRightInd w:val="0"/>
              <w:snapToGrid w:val="0"/>
              <w:contextualSpacing w:val="0"/>
              <w:rPr>
                <w:lang w:eastAsia="en-US"/>
              </w:rPr>
            </w:pPr>
            <w:r>
              <w:rPr>
                <w:rFonts w:hint="eastAsia"/>
                <w:lang w:eastAsia="zh-CN"/>
              </w:rPr>
              <w:t>东南</w:t>
            </w:r>
          </w:p>
        </w:tc>
        <w:tc>
          <w:tcPr>
            <w:tcW w:w="1192" w:type="dxa"/>
            <w:gridSpan w:val="2"/>
            <w:tcBorders>
              <w:tl2br w:val="nil"/>
              <w:tr2bl w:val="nil"/>
            </w:tcBorders>
            <w:vAlign w:val="center"/>
          </w:tcPr>
          <w:p w14:paraId="35257694">
            <w:pPr>
              <w:pStyle w:val="62"/>
              <w:adjustRightInd w:val="0"/>
              <w:snapToGrid w:val="0"/>
              <w:contextualSpacing w:val="0"/>
              <w:rPr>
                <w:lang w:eastAsia="zh-CN"/>
              </w:rPr>
            </w:pPr>
            <w:r>
              <w:rPr>
                <w:rFonts w:hint="eastAsia"/>
                <w:lang w:eastAsia="zh-CN"/>
              </w:rPr>
              <w:t>1870</w:t>
            </w:r>
          </w:p>
        </w:tc>
        <w:tc>
          <w:tcPr>
            <w:tcW w:w="1342" w:type="dxa"/>
            <w:tcBorders>
              <w:tl2br w:val="nil"/>
              <w:tr2bl w:val="nil"/>
            </w:tcBorders>
            <w:vAlign w:val="center"/>
          </w:tcPr>
          <w:p w14:paraId="7942CB14">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1275AAC4">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231800</w:t>
            </w:r>
          </w:p>
        </w:tc>
      </w:tr>
      <w:tr w14:paraId="3BB931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B16E7D9">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68C94E9D">
            <w:pPr>
              <w:pStyle w:val="62"/>
              <w:adjustRightInd w:val="0"/>
              <w:snapToGrid w:val="0"/>
              <w:contextualSpacing w:val="0"/>
              <w:rPr>
                <w:kern w:val="2"/>
                <w:lang w:eastAsia="en-US"/>
              </w:rPr>
            </w:pPr>
            <w:r>
              <w:rPr>
                <w:lang w:eastAsia="en-US"/>
              </w:rPr>
              <w:t>14</w:t>
            </w:r>
          </w:p>
        </w:tc>
        <w:tc>
          <w:tcPr>
            <w:tcW w:w="2016" w:type="dxa"/>
            <w:tcBorders>
              <w:tl2br w:val="nil"/>
              <w:tr2bl w:val="nil"/>
            </w:tcBorders>
            <w:vAlign w:val="center"/>
          </w:tcPr>
          <w:p w14:paraId="0DD9D4B3">
            <w:pPr>
              <w:pStyle w:val="62"/>
              <w:adjustRightInd w:val="0"/>
              <w:snapToGrid w:val="0"/>
              <w:contextualSpacing w:val="0"/>
              <w:rPr>
                <w:bCs/>
                <w:lang w:eastAsia="zh-CN"/>
              </w:rPr>
            </w:pPr>
            <w:r>
              <w:rPr>
                <w:rFonts w:hint="eastAsia"/>
                <w:lang w:eastAsia="zh-CN"/>
              </w:rPr>
              <w:t>新乡医学院第一附属医院</w:t>
            </w:r>
          </w:p>
        </w:tc>
        <w:tc>
          <w:tcPr>
            <w:tcW w:w="1192" w:type="dxa"/>
            <w:tcBorders>
              <w:tl2br w:val="nil"/>
              <w:tr2bl w:val="nil"/>
            </w:tcBorders>
            <w:vAlign w:val="center"/>
          </w:tcPr>
          <w:p w14:paraId="78C18D92">
            <w:pPr>
              <w:pStyle w:val="62"/>
              <w:adjustRightInd w:val="0"/>
              <w:snapToGrid w:val="0"/>
              <w:contextualSpacing w:val="0"/>
              <w:rPr>
                <w:highlight w:val="yellow"/>
                <w:lang w:eastAsia="en-US"/>
              </w:rPr>
            </w:pPr>
            <w:r>
              <w:rPr>
                <w:rFonts w:hint="eastAsia"/>
                <w:lang w:eastAsia="zh-CN"/>
              </w:rPr>
              <w:t>东南</w:t>
            </w:r>
          </w:p>
        </w:tc>
        <w:tc>
          <w:tcPr>
            <w:tcW w:w="1192" w:type="dxa"/>
            <w:gridSpan w:val="2"/>
            <w:tcBorders>
              <w:tl2br w:val="nil"/>
              <w:tr2bl w:val="nil"/>
            </w:tcBorders>
            <w:vAlign w:val="center"/>
          </w:tcPr>
          <w:p w14:paraId="3461233C">
            <w:pPr>
              <w:pStyle w:val="62"/>
              <w:adjustRightInd w:val="0"/>
              <w:snapToGrid w:val="0"/>
              <w:contextualSpacing w:val="0"/>
              <w:rPr>
                <w:lang w:eastAsia="zh-CN"/>
              </w:rPr>
            </w:pPr>
            <w:r>
              <w:rPr>
                <w:rFonts w:hint="eastAsia"/>
                <w:lang w:eastAsia="zh-CN"/>
              </w:rPr>
              <w:t>2400</w:t>
            </w:r>
          </w:p>
        </w:tc>
        <w:tc>
          <w:tcPr>
            <w:tcW w:w="1342" w:type="dxa"/>
            <w:tcBorders>
              <w:tl2br w:val="nil"/>
              <w:tr2bl w:val="nil"/>
            </w:tcBorders>
            <w:vAlign w:val="center"/>
          </w:tcPr>
          <w:p w14:paraId="0D917EC1">
            <w:pPr>
              <w:pStyle w:val="62"/>
              <w:adjustRightInd w:val="0"/>
              <w:snapToGrid w:val="0"/>
              <w:contextualSpacing w:val="0"/>
              <w:rPr>
                <w:lang w:eastAsia="en-US"/>
              </w:rPr>
            </w:pPr>
            <w:r>
              <w:rPr>
                <w:rFonts w:hint="eastAsia"/>
                <w:lang w:eastAsia="zh-CN"/>
              </w:rPr>
              <w:t>医疗卫生</w:t>
            </w:r>
            <w:r>
              <w:rPr>
                <w:lang w:eastAsia="en-US"/>
              </w:rPr>
              <w:t>区</w:t>
            </w:r>
          </w:p>
        </w:tc>
        <w:tc>
          <w:tcPr>
            <w:tcW w:w="1419" w:type="dxa"/>
            <w:tcBorders>
              <w:tl2br w:val="nil"/>
              <w:tr2bl w:val="nil"/>
            </w:tcBorders>
            <w:vAlign w:val="center"/>
          </w:tcPr>
          <w:p w14:paraId="21B8704E">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10744</w:t>
            </w:r>
          </w:p>
        </w:tc>
      </w:tr>
      <w:tr w14:paraId="56FDCF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4A9AF1CC">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353AFC8C">
            <w:pPr>
              <w:pStyle w:val="62"/>
              <w:adjustRightInd w:val="0"/>
              <w:snapToGrid w:val="0"/>
              <w:contextualSpacing w:val="0"/>
              <w:rPr>
                <w:kern w:val="2"/>
                <w:lang w:eastAsia="en-US"/>
              </w:rPr>
            </w:pPr>
            <w:r>
              <w:rPr>
                <w:lang w:eastAsia="en-US"/>
              </w:rPr>
              <w:t>15</w:t>
            </w:r>
          </w:p>
        </w:tc>
        <w:tc>
          <w:tcPr>
            <w:tcW w:w="2016" w:type="dxa"/>
            <w:tcBorders>
              <w:tl2br w:val="nil"/>
              <w:tr2bl w:val="nil"/>
            </w:tcBorders>
            <w:vAlign w:val="center"/>
          </w:tcPr>
          <w:p w14:paraId="32F74DBE">
            <w:pPr>
              <w:pStyle w:val="62"/>
              <w:adjustRightInd w:val="0"/>
              <w:snapToGrid w:val="0"/>
              <w:contextualSpacing w:val="0"/>
              <w:rPr>
                <w:bCs/>
                <w:lang w:eastAsia="en-US"/>
              </w:rPr>
            </w:pPr>
            <w:r>
              <w:rPr>
                <w:rFonts w:hint="eastAsia"/>
                <w:lang w:eastAsia="zh-CN"/>
              </w:rPr>
              <w:t>下园村</w:t>
            </w:r>
          </w:p>
        </w:tc>
        <w:tc>
          <w:tcPr>
            <w:tcW w:w="1192" w:type="dxa"/>
            <w:tcBorders>
              <w:tl2br w:val="nil"/>
              <w:tr2bl w:val="nil"/>
            </w:tcBorders>
            <w:vAlign w:val="center"/>
          </w:tcPr>
          <w:p w14:paraId="546E456B">
            <w:pPr>
              <w:pStyle w:val="62"/>
              <w:adjustRightInd w:val="0"/>
              <w:snapToGrid w:val="0"/>
              <w:contextualSpacing w:val="0"/>
              <w:rPr>
                <w:highlight w:val="yellow"/>
                <w:lang w:eastAsia="en-US"/>
              </w:rPr>
            </w:pPr>
            <w:r>
              <w:rPr>
                <w:rFonts w:hint="eastAsia"/>
                <w:lang w:eastAsia="zh-CN"/>
              </w:rPr>
              <w:t>东南</w:t>
            </w:r>
          </w:p>
        </w:tc>
        <w:tc>
          <w:tcPr>
            <w:tcW w:w="1192" w:type="dxa"/>
            <w:gridSpan w:val="2"/>
            <w:tcBorders>
              <w:tl2br w:val="nil"/>
              <w:tr2bl w:val="nil"/>
            </w:tcBorders>
            <w:vAlign w:val="center"/>
          </w:tcPr>
          <w:p w14:paraId="2569FA15">
            <w:pPr>
              <w:pStyle w:val="62"/>
              <w:adjustRightInd w:val="0"/>
              <w:snapToGrid w:val="0"/>
              <w:contextualSpacing w:val="0"/>
              <w:rPr>
                <w:lang w:eastAsia="zh-CN"/>
              </w:rPr>
            </w:pPr>
            <w:r>
              <w:rPr>
                <w:rFonts w:hint="eastAsia"/>
                <w:lang w:eastAsia="zh-CN"/>
              </w:rPr>
              <w:t>580</w:t>
            </w:r>
          </w:p>
        </w:tc>
        <w:tc>
          <w:tcPr>
            <w:tcW w:w="1342" w:type="dxa"/>
            <w:tcBorders>
              <w:tl2br w:val="nil"/>
              <w:tr2bl w:val="nil"/>
            </w:tcBorders>
            <w:vAlign w:val="center"/>
          </w:tcPr>
          <w:p w14:paraId="6DABB3CB">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6F1D6D7A">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2098</w:t>
            </w:r>
          </w:p>
        </w:tc>
      </w:tr>
      <w:tr w14:paraId="6F8CE7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20FC277">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1A42733">
            <w:pPr>
              <w:pStyle w:val="62"/>
              <w:adjustRightInd w:val="0"/>
              <w:snapToGrid w:val="0"/>
              <w:contextualSpacing w:val="0"/>
              <w:rPr>
                <w:lang w:eastAsia="en-US"/>
              </w:rPr>
            </w:pPr>
            <w:r>
              <w:rPr>
                <w:lang w:eastAsia="en-US"/>
              </w:rPr>
              <w:t>16</w:t>
            </w:r>
          </w:p>
        </w:tc>
        <w:tc>
          <w:tcPr>
            <w:tcW w:w="2016" w:type="dxa"/>
            <w:tcBorders>
              <w:tl2br w:val="nil"/>
              <w:tr2bl w:val="nil"/>
            </w:tcBorders>
            <w:vAlign w:val="center"/>
          </w:tcPr>
          <w:p w14:paraId="61808C71">
            <w:pPr>
              <w:pStyle w:val="62"/>
              <w:adjustRightInd w:val="0"/>
              <w:snapToGrid w:val="0"/>
              <w:contextualSpacing w:val="0"/>
              <w:rPr>
                <w:lang w:eastAsia="en-US"/>
              </w:rPr>
            </w:pPr>
            <w:r>
              <w:rPr>
                <w:rFonts w:hint="eastAsia"/>
                <w:lang w:eastAsia="en-US"/>
              </w:rPr>
              <w:t>龙王庙</w:t>
            </w:r>
          </w:p>
        </w:tc>
        <w:tc>
          <w:tcPr>
            <w:tcW w:w="1192" w:type="dxa"/>
            <w:tcBorders>
              <w:tl2br w:val="nil"/>
              <w:tr2bl w:val="nil"/>
            </w:tcBorders>
            <w:vAlign w:val="center"/>
          </w:tcPr>
          <w:p w14:paraId="1B98BEBE">
            <w:pPr>
              <w:pStyle w:val="62"/>
              <w:adjustRightInd w:val="0"/>
              <w:snapToGrid w:val="0"/>
              <w:contextualSpacing w:val="0"/>
              <w:rPr>
                <w:lang w:eastAsia="en-US"/>
              </w:rPr>
            </w:pPr>
            <w:r>
              <w:rPr>
                <w:rFonts w:hint="eastAsia"/>
                <w:lang w:eastAsia="en-US"/>
              </w:rPr>
              <w:t>东南</w:t>
            </w:r>
          </w:p>
        </w:tc>
        <w:tc>
          <w:tcPr>
            <w:tcW w:w="1192" w:type="dxa"/>
            <w:gridSpan w:val="2"/>
            <w:tcBorders>
              <w:tl2br w:val="nil"/>
              <w:tr2bl w:val="nil"/>
            </w:tcBorders>
            <w:vAlign w:val="center"/>
          </w:tcPr>
          <w:p w14:paraId="4DDA43E2">
            <w:pPr>
              <w:pStyle w:val="62"/>
              <w:adjustRightInd w:val="0"/>
              <w:snapToGrid w:val="0"/>
              <w:contextualSpacing w:val="0"/>
              <w:rPr>
                <w:lang w:eastAsia="en-US"/>
              </w:rPr>
            </w:pPr>
            <w:r>
              <w:rPr>
                <w:rFonts w:hint="eastAsia"/>
                <w:lang w:eastAsia="zh-CN"/>
              </w:rPr>
              <w:t>77</w:t>
            </w:r>
            <w:r>
              <w:rPr>
                <w:rFonts w:hint="eastAsia"/>
                <w:lang w:eastAsia="en-US"/>
              </w:rPr>
              <w:t>0</w:t>
            </w:r>
          </w:p>
        </w:tc>
        <w:tc>
          <w:tcPr>
            <w:tcW w:w="1342" w:type="dxa"/>
            <w:tcBorders>
              <w:tl2br w:val="nil"/>
              <w:tr2bl w:val="nil"/>
            </w:tcBorders>
            <w:vAlign w:val="center"/>
          </w:tcPr>
          <w:p w14:paraId="496B0C2B">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2ABEAA02">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450</w:t>
            </w:r>
          </w:p>
        </w:tc>
      </w:tr>
      <w:tr w14:paraId="0F7C11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0B8C36CF">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D1F57E0">
            <w:pPr>
              <w:pStyle w:val="62"/>
              <w:adjustRightInd w:val="0"/>
              <w:snapToGrid w:val="0"/>
              <w:contextualSpacing w:val="0"/>
              <w:rPr>
                <w:kern w:val="2"/>
                <w:lang w:eastAsia="en-US"/>
              </w:rPr>
            </w:pPr>
            <w:r>
              <w:rPr>
                <w:lang w:eastAsia="en-US"/>
              </w:rPr>
              <w:t>17</w:t>
            </w:r>
          </w:p>
        </w:tc>
        <w:tc>
          <w:tcPr>
            <w:tcW w:w="2016" w:type="dxa"/>
            <w:tcBorders>
              <w:tl2br w:val="nil"/>
              <w:tr2bl w:val="nil"/>
            </w:tcBorders>
            <w:vAlign w:val="center"/>
          </w:tcPr>
          <w:p w14:paraId="567AFA73">
            <w:pPr>
              <w:pStyle w:val="62"/>
              <w:adjustRightInd w:val="0"/>
              <w:snapToGrid w:val="0"/>
              <w:contextualSpacing w:val="0"/>
              <w:rPr>
                <w:bCs/>
                <w:lang w:eastAsia="en-US"/>
              </w:rPr>
            </w:pPr>
            <w:r>
              <w:rPr>
                <w:rFonts w:hint="eastAsia"/>
                <w:bCs/>
                <w:lang w:eastAsia="zh-CN"/>
              </w:rPr>
              <w:t>侯庄村</w:t>
            </w:r>
          </w:p>
        </w:tc>
        <w:tc>
          <w:tcPr>
            <w:tcW w:w="1192" w:type="dxa"/>
            <w:tcBorders>
              <w:tl2br w:val="nil"/>
              <w:tr2bl w:val="nil"/>
            </w:tcBorders>
            <w:vAlign w:val="center"/>
          </w:tcPr>
          <w:p w14:paraId="46E6F1F5">
            <w:pPr>
              <w:pStyle w:val="62"/>
              <w:adjustRightInd w:val="0"/>
              <w:snapToGrid w:val="0"/>
              <w:contextualSpacing w:val="0"/>
              <w:rPr>
                <w:highlight w:val="yellow"/>
                <w:lang w:eastAsia="en-US"/>
              </w:rPr>
            </w:pPr>
            <w:r>
              <w:rPr>
                <w:rFonts w:hint="eastAsia"/>
                <w:lang w:eastAsia="zh-CN"/>
              </w:rPr>
              <w:t>西北</w:t>
            </w:r>
          </w:p>
        </w:tc>
        <w:tc>
          <w:tcPr>
            <w:tcW w:w="1192" w:type="dxa"/>
            <w:gridSpan w:val="2"/>
            <w:tcBorders>
              <w:tl2br w:val="nil"/>
              <w:tr2bl w:val="nil"/>
            </w:tcBorders>
            <w:vAlign w:val="center"/>
          </w:tcPr>
          <w:p w14:paraId="24DD183A">
            <w:pPr>
              <w:pStyle w:val="62"/>
              <w:adjustRightInd w:val="0"/>
              <w:snapToGrid w:val="0"/>
              <w:contextualSpacing w:val="0"/>
              <w:rPr>
                <w:lang w:eastAsia="zh-CN"/>
              </w:rPr>
            </w:pPr>
            <w:r>
              <w:rPr>
                <w:rFonts w:hint="eastAsia"/>
                <w:lang w:eastAsia="zh-CN"/>
              </w:rPr>
              <w:t>2985</w:t>
            </w:r>
          </w:p>
        </w:tc>
        <w:tc>
          <w:tcPr>
            <w:tcW w:w="1342" w:type="dxa"/>
            <w:tcBorders>
              <w:tl2br w:val="nil"/>
              <w:tr2bl w:val="nil"/>
            </w:tcBorders>
            <w:vAlign w:val="center"/>
          </w:tcPr>
          <w:p w14:paraId="50F722D7">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34006DAB">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600</w:t>
            </w:r>
          </w:p>
        </w:tc>
      </w:tr>
      <w:tr w14:paraId="095C68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25BC7B5E">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4AD59BFD">
            <w:pPr>
              <w:pStyle w:val="62"/>
              <w:adjustRightInd w:val="0"/>
              <w:snapToGrid w:val="0"/>
              <w:contextualSpacing w:val="0"/>
              <w:rPr>
                <w:kern w:val="2"/>
                <w:lang w:eastAsia="en-US"/>
              </w:rPr>
            </w:pPr>
            <w:r>
              <w:rPr>
                <w:lang w:eastAsia="en-US"/>
              </w:rPr>
              <w:t>18</w:t>
            </w:r>
          </w:p>
        </w:tc>
        <w:tc>
          <w:tcPr>
            <w:tcW w:w="2016" w:type="dxa"/>
            <w:tcBorders>
              <w:tl2br w:val="nil"/>
              <w:tr2bl w:val="nil"/>
            </w:tcBorders>
            <w:vAlign w:val="center"/>
          </w:tcPr>
          <w:p w14:paraId="7FCE26C0">
            <w:pPr>
              <w:pStyle w:val="62"/>
              <w:adjustRightInd w:val="0"/>
              <w:snapToGrid w:val="0"/>
              <w:contextualSpacing w:val="0"/>
              <w:rPr>
                <w:bCs/>
                <w:lang w:eastAsia="en-US"/>
              </w:rPr>
            </w:pPr>
            <w:r>
              <w:rPr>
                <w:rFonts w:hint="eastAsia"/>
                <w:bCs/>
                <w:lang w:eastAsia="zh-CN"/>
              </w:rPr>
              <w:t>岗曹村</w:t>
            </w:r>
          </w:p>
        </w:tc>
        <w:tc>
          <w:tcPr>
            <w:tcW w:w="1192" w:type="dxa"/>
            <w:tcBorders>
              <w:tl2br w:val="nil"/>
              <w:tr2bl w:val="nil"/>
            </w:tcBorders>
            <w:vAlign w:val="center"/>
          </w:tcPr>
          <w:p w14:paraId="22B19EE5">
            <w:pPr>
              <w:pStyle w:val="62"/>
              <w:adjustRightInd w:val="0"/>
              <w:snapToGrid w:val="0"/>
              <w:contextualSpacing w:val="0"/>
              <w:rPr>
                <w:highlight w:val="yellow"/>
                <w:lang w:eastAsia="en-US"/>
              </w:rPr>
            </w:pPr>
            <w:r>
              <w:rPr>
                <w:rFonts w:hint="eastAsia"/>
                <w:lang w:eastAsia="zh-CN"/>
              </w:rPr>
              <w:t>西北</w:t>
            </w:r>
          </w:p>
        </w:tc>
        <w:tc>
          <w:tcPr>
            <w:tcW w:w="1192" w:type="dxa"/>
            <w:gridSpan w:val="2"/>
            <w:tcBorders>
              <w:tl2br w:val="nil"/>
              <w:tr2bl w:val="nil"/>
            </w:tcBorders>
            <w:vAlign w:val="center"/>
          </w:tcPr>
          <w:p w14:paraId="13297682">
            <w:pPr>
              <w:pStyle w:val="62"/>
              <w:adjustRightInd w:val="0"/>
              <w:snapToGrid w:val="0"/>
              <w:contextualSpacing w:val="0"/>
              <w:rPr>
                <w:lang w:eastAsia="zh-CN"/>
              </w:rPr>
            </w:pPr>
            <w:r>
              <w:rPr>
                <w:rFonts w:hint="eastAsia"/>
                <w:lang w:eastAsia="zh-CN"/>
              </w:rPr>
              <w:t>2655</w:t>
            </w:r>
          </w:p>
        </w:tc>
        <w:tc>
          <w:tcPr>
            <w:tcW w:w="1342" w:type="dxa"/>
            <w:tcBorders>
              <w:tl2br w:val="nil"/>
              <w:tr2bl w:val="nil"/>
            </w:tcBorders>
            <w:vAlign w:val="center"/>
          </w:tcPr>
          <w:p w14:paraId="38B41F5C">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7123E6DC">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1524</w:t>
            </w:r>
          </w:p>
        </w:tc>
      </w:tr>
      <w:tr w14:paraId="747C49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9341DC1">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F665446">
            <w:pPr>
              <w:pStyle w:val="62"/>
              <w:adjustRightInd w:val="0"/>
              <w:snapToGrid w:val="0"/>
              <w:contextualSpacing w:val="0"/>
              <w:rPr>
                <w:kern w:val="2"/>
                <w:lang w:eastAsia="en-US"/>
              </w:rPr>
            </w:pPr>
            <w:r>
              <w:rPr>
                <w:lang w:eastAsia="en-US"/>
              </w:rPr>
              <w:t>19</w:t>
            </w:r>
          </w:p>
        </w:tc>
        <w:tc>
          <w:tcPr>
            <w:tcW w:w="2016" w:type="dxa"/>
            <w:tcBorders>
              <w:tl2br w:val="nil"/>
              <w:tr2bl w:val="nil"/>
            </w:tcBorders>
            <w:vAlign w:val="center"/>
          </w:tcPr>
          <w:p w14:paraId="33BBCF22">
            <w:pPr>
              <w:pStyle w:val="62"/>
              <w:adjustRightInd w:val="0"/>
              <w:snapToGrid w:val="0"/>
              <w:contextualSpacing w:val="0"/>
              <w:rPr>
                <w:bCs/>
                <w:lang w:eastAsia="en-US"/>
              </w:rPr>
            </w:pPr>
            <w:r>
              <w:rPr>
                <w:rFonts w:hint="eastAsia"/>
                <w:lang w:eastAsia="zh-CN"/>
              </w:rPr>
              <w:t>官庄村</w:t>
            </w:r>
          </w:p>
        </w:tc>
        <w:tc>
          <w:tcPr>
            <w:tcW w:w="1192" w:type="dxa"/>
            <w:tcBorders>
              <w:tl2br w:val="nil"/>
              <w:tr2bl w:val="nil"/>
            </w:tcBorders>
            <w:vAlign w:val="center"/>
          </w:tcPr>
          <w:p w14:paraId="47060CB0">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4E21A4C3">
            <w:pPr>
              <w:pStyle w:val="62"/>
              <w:adjustRightInd w:val="0"/>
              <w:snapToGrid w:val="0"/>
              <w:contextualSpacing w:val="0"/>
              <w:rPr>
                <w:lang w:eastAsia="zh-CN"/>
              </w:rPr>
            </w:pPr>
            <w:r>
              <w:rPr>
                <w:rFonts w:hint="eastAsia"/>
                <w:lang w:eastAsia="zh-CN"/>
              </w:rPr>
              <w:t>2650</w:t>
            </w:r>
          </w:p>
        </w:tc>
        <w:tc>
          <w:tcPr>
            <w:tcW w:w="1342" w:type="dxa"/>
            <w:tcBorders>
              <w:tl2br w:val="nil"/>
              <w:tr2bl w:val="nil"/>
            </w:tcBorders>
            <w:vAlign w:val="center"/>
          </w:tcPr>
          <w:p w14:paraId="7BBAAB19">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4342CB4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2615</w:t>
            </w:r>
          </w:p>
        </w:tc>
      </w:tr>
      <w:tr w14:paraId="42EB3B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F0DC8D5">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EDE716A">
            <w:pPr>
              <w:pStyle w:val="62"/>
              <w:adjustRightInd w:val="0"/>
              <w:snapToGrid w:val="0"/>
              <w:contextualSpacing w:val="0"/>
              <w:rPr>
                <w:kern w:val="2"/>
                <w:lang w:eastAsia="en-US"/>
              </w:rPr>
            </w:pPr>
            <w:r>
              <w:rPr>
                <w:lang w:eastAsia="en-US"/>
              </w:rPr>
              <w:t>20</w:t>
            </w:r>
          </w:p>
        </w:tc>
        <w:tc>
          <w:tcPr>
            <w:tcW w:w="2016" w:type="dxa"/>
            <w:tcBorders>
              <w:tl2br w:val="nil"/>
              <w:tr2bl w:val="nil"/>
            </w:tcBorders>
            <w:vAlign w:val="center"/>
          </w:tcPr>
          <w:p w14:paraId="26B1C7C6">
            <w:pPr>
              <w:pStyle w:val="62"/>
              <w:adjustRightInd w:val="0"/>
              <w:snapToGrid w:val="0"/>
              <w:contextualSpacing w:val="0"/>
              <w:rPr>
                <w:bCs/>
                <w:lang w:eastAsia="en-US"/>
              </w:rPr>
            </w:pPr>
            <w:r>
              <w:rPr>
                <w:rFonts w:hint="eastAsia"/>
                <w:lang w:eastAsia="zh-CN"/>
              </w:rPr>
              <w:t>石骆驼村</w:t>
            </w:r>
          </w:p>
        </w:tc>
        <w:tc>
          <w:tcPr>
            <w:tcW w:w="1192" w:type="dxa"/>
            <w:tcBorders>
              <w:tl2br w:val="nil"/>
              <w:tr2bl w:val="nil"/>
            </w:tcBorders>
            <w:vAlign w:val="center"/>
          </w:tcPr>
          <w:p w14:paraId="0D49CFB9">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63B2A90C">
            <w:pPr>
              <w:pStyle w:val="62"/>
              <w:adjustRightInd w:val="0"/>
              <w:snapToGrid w:val="0"/>
              <w:contextualSpacing w:val="0"/>
              <w:rPr>
                <w:lang w:eastAsia="zh-CN"/>
              </w:rPr>
            </w:pPr>
            <w:r>
              <w:rPr>
                <w:rFonts w:hint="eastAsia"/>
                <w:lang w:eastAsia="zh-CN"/>
              </w:rPr>
              <w:t>3670</w:t>
            </w:r>
          </w:p>
        </w:tc>
        <w:tc>
          <w:tcPr>
            <w:tcW w:w="1342" w:type="dxa"/>
            <w:tcBorders>
              <w:tl2br w:val="nil"/>
              <w:tr2bl w:val="nil"/>
            </w:tcBorders>
            <w:vAlign w:val="center"/>
          </w:tcPr>
          <w:p w14:paraId="580C1E14">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63EAD49B">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2870</w:t>
            </w:r>
          </w:p>
        </w:tc>
      </w:tr>
      <w:tr w14:paraId="1A0BC9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5513EB1">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8DEF953">
            <w:pPr>
              <w:pStyle w:val="62"/>
              <w:adjustRightInd w:val="0"/>
              <w:snapToGrid w:val="0"/>
              <w:contextualSpacing w:val="0"/>
              <w:rPr>
                <w:kern w:val="2"/>
                <w:lang w:eastAsia="en-US"/>
              </w:rPr>
            </w:pPr>
            <w:r>
              <w:rPr>
                <w:lang w:eastAsia="en-US"/>
              </w:rPr>
              <w:t>21</w:t>
            </w:r>
          </w:p>
        </w:tc>
        <w:tc>
          <w:tcPr>
            <w:tcW w:w="2016" w:type="dxa"/>
            <w:tcBorders>
              <w:tl2br w:val="nil"/>
              <w:tr2bl w:val="nil"/>
            </w:tcBorders>
            <w:vAlign w:val="center"/>
          </w:tcPr>
          <w:p w14:paraId="0D0FA3A5">
            <w:pPr>
              <w:pStyle w:val="62"/>
              <w:adjustRightInd w:val="0"/>
              <w:snapToGrid w:val="0"/>
              <w:contextualSpacing w:val="0"/>
              <w:rPr>
                <w:bCs/>
                <w:lang w:eastAsia="en-US"/>
              </w:rPr>
            </w:pPr>
            <w:r>
              <w:rPr>
                <w:rFonts w:hint="eastAsia"/>
                <w:lang w:eastAsia="zh-CN"/>
              </w:rPr>
              <w:t>唐庄村</w:t>
            </w:r>
          </w:p>
        </w:tc>
        <w:tc>
          <w:tcPr>
            <w:tcW w:w="1192" w:type="dxa"/>
            <w:tcBorders>
              <w:tl2br w:val="nil"/>
              <w:tr2bl w:val="nil"/>
            </w:tcBorders>
            <w:vAlign w:val="center"/>
          </w:tcPr>
          <w:p w14:paraId="2C05B727">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72500E35">
            <w:pPr>
              <w:pStyle w:val="62"/>
              <w:adjustRightInd w:val="0"/>
              <w:snapToGrid w:val="0"/>
              <w:contextualSpacing w:val="0"/>
              <w:rPr>
                <w:lang w:eastAsia="zh-CN"/>
              </w:rPr>
            </w:pPr>
            <w:r>
              <w:rPr>
                <w:rFonts w:hint="eastAsia"/>
                <w:lang w:eastAsia="zh-CN"/>
              </w:rPr>
              <w:t>4510</w:t>
            </w:r>
          </w:p>
        </w:tc>
        <w:tc>
          <w:tcPr>
            <w:tcW w:w="1342" w:type="dxa"/>
            <w:tcBorders>
              <w:tl2br w:val="nil"/>
              <w:tr2bl w:val="nil"/>
            </w:tcBorders>
            <w:vAlign w:val="center"/>
          </w:tcPr>
          <w:p w14:paraId="043E0C8E">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5B745C75">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2840</w:t>
            </w:r>
          </w:p>
        </w:tc>
      </w:tr>
      <w:tr w14:paraId="1FC0B1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1318090">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731DFD82">
            <w:pPr>
              <w:pStyle w:val="62"/>
              <w:adjustRightInd w:val="0"/>
              <w:snapToGrid w:val="0"/>
              <w:contextualSpacing w:val="0"/>
              <w:rPr>
                <w:kern w:val="2"/>
                <w:lang w:eastAsia="en-US"/>
              </w:rPr>
            </w:pPr>
            <w:r>
              <w:rPr>
                <w:lang w:eastAsia="en-US"/>
              </w:rPr>
              <w:t>22</w:t>
            </w:r>
          </w:p>
        </w:tc>
        <w:tc>
          <w:tcPr>
            <w:tcW w:w="2016" w:type="dxa"/>
            <w:tcBorders>
              <w:tl2br w:val="nil"/>
              <w:tr2bl w:val="nil"/>
            </w:tcBorders>
            <w:vAlign w:val="center"/>
          </w:tcPr>
          <w:p w14:paraId="60936554">
            <w:pPr>
              <w:pStyle w:val="62"/>
              <w:adjustRightInd w:val="0"/>
              <w:snapToGrid w:val="0"/>
              <w:contextualSpacing w:val="0"/>
              <w:rPr>
                <w:bCs/>
                <w:lang w:eastAsia="en-US"/>
              </w:rPr>
            </w:pPr>
            <w:r>
              <w:rPr>
                <w:rFonts w:hint="eastAsia"/>
                <w:bCs/>
                <w:lang w:eastAsia="zh-CN"/>
              </w:rPr>
              <w:t>温寺门村</w:t>
            </w:r>
          </w:p>
        </w:tc>
        <w:tc>
          <w:tcPr>
            <w:tcW w:w="1192" w:type="dxa"/>
            <w:tcBorders>
              <w:tl2br w:val="nil"/>
              <w:tr2bl w:val="nil"/>
            </w:tcBorders>
            <w:vAlign w:val="center"/>
          </w:tcPr>
          <w:p w14:paraId="11A32029">
            <w:pPr>
              <w:pStyle w:val="62"/>
              <w:adjustRightInd w:val="0"/>
              <w:snapToGrid w:val="0"/>
              <w:contextualSpacing w:val="0"/>
              <w:rPr>
                <w:highlight w:val="yellow"/>
                <w:lang w:eastAsia="en-US"/>
              </w:rPr>
            </w:pPr>
            <w:r>
              <w:rPr>
                <w:rFonts w:hint="eastAsia"/>
                <w:lang w:eastAsia="zh-CN"/>
              </w:rPr>
              <w:t>北</w:t>
            </w:r>
          </w:p>
        </w:tc>
        <w:tc>
          <w:tcPr>
            <w:tcW w:w="1192" w:type="dxa"/>
            <w:gridSpan w:val="2"/>
            <w:tcBorders>
              <w:tl2br w:val="nil"/>
              <w:tr2bl w:val="nil"/>
            </w:tcBorders>
            <w:vAlign w:val="center"/>
          </w:tcPr>
          <w:p w14:paraId="3A1573CD">
            <w:pPr>
              <w:pStyle w:val="62"/>
              <w:adjustRightInd w:val="0"/>
              <w:snapToGrid w:val="0"/>
              <w:contextualSpacing w:val="0"/>
              <w:rPr>
                <w:lang w:eastAsia="zh-CN"/>
              </w:rPr>
            </w:pPr>
            <w:r>
              <w:rPr>
                <w:rFonts w:hint="eastAsia"/>
                <w:lang w:eastAsia="zh-CN"/>
              </w:rPr>
              <w:t>4410</w:t>
            </w:r>
          </w:p>
        </w:tc>
        <w:tc>
          <w:tcPr>
            <w:tcW w:w="1342" w:type="dxa"/>
            <w:tcBorders>
              <w:tl2br w:val="nil"/>
              <w:tr2bl w:val="nil"/>
            </w:tcBorders>
            <w:vAlign w:val="center"/>
          </w:tcPr>
          <w:p w14:paraId="64084E12">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2DA7F722">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1343</w:t>
            </w:r>
          </w:p>
        </w:tc>
      </w:tr>
      <w:tr w14:paraId="1040B5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E567BC0">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6D637AA">
            <w:pPr>
              <w:pStyle w:val="62"/>
              <w:adjustRightInd w:val="0"/>
              <w:snapToGrid w:val="0"/>
              <w:contextualSpacing w:val="0"/>
              <w:rPr>
                <w:kern w:val="2"/>
                <w:lang w:eastAsia="en-US"/>
              </w:rPr>
            </w:pPr>
            <w:r>
              <w:rPr>
                <w:lang w:eastAsia="en-US"/>
              </w:rPr>
              <w:t>23</w:t>
            </w:r>
          </w:p>
        </w:tc>
        <w:tc>
          <w:tcPr>
            <w:tcW w:w="2016" w:type="dxa"/>
            <w:tcBorders>
              <w:tl2br w:val="nil"/>
              <w:tr2bl w:val="nil"/>
            </w:tcBorders>
            <w:vAlign w:val="center"/>
          </w:tcPr>
          <w:p w14:paraId="3322301A">
            <w:pPr>
              <w:pStyle w:val="62"/>
              <w:adjustRightInd w:val="0"/>
              <w:snapToGrid w:val="0"/>
              <w:contextualSpacing w:val="0"/>
              <w:rPr>
                <w:bCs/>
                <w:lang w:eastAsia="en-US"/>
              </w:rPr>
            </w:pPr>
            <w:r>
              <w:rPr>
                <w:rFonts w:hint="eastAsia"/>
                <w:bCs/>
                <w:lang w:eastAsia="zh-CN"/>
              </w:rPr>
              <w:t>东寺门村</w:t>
            </w:r>
          </w:p>
        </w:tc>
        <w:tc>
          <w:tcPr>
            <w:tcW w:w="1192" w:type="dxa"/>
            <w:tcBorders>
              <w:tl2br w:val="nil"/>
              <w:tr2bl w:val="nil"/>
            </w:tcBorders>
            <w:vAlign w:val="center"/>
          </w:tcPr>
          <w:p w14:paraId="419C29E4">
            <w:pPr>
              <w:pStyle w:val="62"/>
              <w:adjustRightInd w:val="0"/>
              <w:snapToGrid w:val="0"/>
              <w:contextualSpacing w:val="0"/>
              <w:rPr>
                <w:highlight w:val="yellow"/>
                <w:lang w:eastAsia="en-US"/>
              </w:rPr>
            </w:pPr>
            <w:r>
              <w:rPr>
                <w:rFonts w:hint="eastAsia"/>
                <w:lang w:eastAsia="zh-CN"/>
              </w:rPr>
              <w:t>东北</w:t>
            </w:r>
          </w:p>
        </w:tc>
        <w:tc>
          <w:tcPr>
            <w:tcW w:w="1192" w:type="dxa"/>
            <w:gridSpan w:val="2"/>
            <w:tcBorders>
              <w:tl2br w:val="nil"/>
              <w:tr2bl w:val="nil"/>
            </w:tcBorders>
            <w:vAlign w:val="center"/>
          </w:tcPr>
          <w:p w14:paraId="1EFFDE81">
            <w:pPr>
              <w:pStyle w:val="62"/>
              <w:adjustRightInd w:val="0"/>
              <w:snapToGrid w:val="0"/>
              <w:contextualSpacing w:val="0"/>
              <w:rPr>
                <w:lang w:eastAsia="zh-CN"/>
              </w:rPr>
            </w:pPr>
            <w:r>
              <w:rPr>
                <w:rFonts w:hint="eastAsia"/>
                <w:lang w:eastAsia="zh-CN"/>
              </w:rPr>
              <w:t>4100</w:t>
            </w:r>
          </w:p>
        </w:tc>
        <w:tc>
          <w:tcPr>
            <w:tcW w:w="1342" w:type="dxa"/>
            <w:tcBorders>
              <w:tl2br w:val="nil"/>
              <w:tr2bl w:val="nil"/>
            </w:tcBorders>
            <w:vAlign w:val="center"/>
          </w:tcPr>
          <w:p w14:paraId="5907CA10">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1ADFA16E">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1456</w:t>
            </w:r>
          </w:p>
        </w:tc>
      </w:tr>
      <w:tr w14:paraId="082505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1D888653">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995EB42">
            <w:pPr>
              <w:pStyle w:val="62"/>
              <w:adjustRightInd w:val="0"/>
              <w:snapToGrid w:val="0"/>
              <w:contextualSpacing w:val="0"/>
              <w:rPr>
                <w:kern w:val="2"/>
                <w:lang w:eastAsia="en-US"/>
              </w:rPr>
            </w:pPr>
            <w:r>
              <w:rPr>
                <w:lang w:eastAsia="en-US"/>
              </w:rPr>
              <w:t>24</w:t>
            </w:r>
          </w:p>
        </w:tc>
        <w:tc>
          <w:tcPr>
            <w:tcW w:w="2016" w:type="dxa"/>
            <w:tcBorders>
              <w:tl2br w:val="nil"/>
              <w:tr2bl w:val="nil"/>
            </w:tcBorders>
            <w:vAlign w:val="center"/>
          </w:tcPr>
          <w:p w14:paraId="276EF2EF">
            <w:pPr>
              <w:pStyle w:val="62"/>
              <w:adjustRightInd w:val="0"/>
              <w:snapToGrid w:val="0"/>
              <w:contextualSpacing w:val="0"/>
              <w:rPr>
                <w:bCs/>
                <w:lang w:eastAsia="en-US"/>
              </w:rPr>
            </w:pPr>
            <w:r>
              <w:rPr>
                <w:rFonts w:hint="eastAsia"/>
                <w:bCs/>
                <w:lang w:eastAsia="zh-CN"/>
              </w:rPr>
              <w:t>薛庄村</w:t>
            </w:r>
          </w:p>
        </w:tc>
        <w:tc>
          <w:tcPr>
            <w:tcW w:w="1192" w:type="dxa"/>
            <w:tcBorders>
              <w:tl2br w:val="nil"/>
              <w:tr2bl w:val="nil"/>
            </w:tcBorders>
            <w:vAlign w:val="center"/>
          </w:tcPr>
          <w:p w14:paraId="666A77E4">
            <w:pPr>
              <w:pStyle w:val="62"/>
              <w:adjustRightInd w:val="0"/>
              <w:snapToGrid w:val="0"/>
              <w:contextualSpacing w:val="0"/>
              <w:rPr>
                <w:highlight w:val="yellow"/>
                <w:lang w:eastAsia="en-US"/>
              </w:rPr>
            </w:pPr>
            <w:r>
              <w:rPr>
                <w:rFonts w:hint="eastAsia"/>
                <w:lang w:eastAsia="zh-CN"/>
              </w:rPr>
              <w:t>东北</w:t>
            </w:r>
          </w:p>
        </w:tc>
        <w:tc>
          <w:tcPr>
            <w:tcW w:w="1192" w:type="dxa"/>
            <w:gridSpan w:val="2"/>
            <w:tcBorders>
              <w:tl2br w:val="nil"/>
              <w:tr2bl w:val="nil"/>
            </w:tcBorders>
            <w:vAlign w:val="center"/>
          </w:tcPr>
          <w:p w14:paraId="1D864118">
            <w:pPr>
              <w:pStyle w:val="62"/>
              <w:adjustRightInd w:val="0"/>
              <w:snapToGrid w:val="0"/>
              <w:contextualSpacing w:val="0"/>
              <w:rPr>
                <w:lang w:eastAsia="zh-CN"/>
              </w:rPr>
            </w:pPr>
            <w:r>
              <w:rPr>
                <w:rFonts w:hint="eastAsia"/>
                <w:lang w:eastAsia="zh-CN"/>
              </w:rPr>
              <w:t>3095</w:t>
            </w:r>
          </w:p>
        </w:tc>
        <w:tc>
          <w:tcPr>
            <w:tcW w:w="1342" w:type="dxa"/>
            <w:tcBorders>
              <w:tl2br w:val="nil"/>
              <w:tr2bl w:val="nil"/>
            </w:tcBorders>
            <w:vAlign w:val="center"/>
          </w:tcPr>
          <w:p w14:paraId="427BF256">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280CA50F">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2909</w:t>
            </w:r>
          </w:p>
        </w:tc>
      </w:tr>
      <w:tr w14:paraId="7E8884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0F5C1251">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5A377189">
            <w:pPr>
              <w:pStyle w:val="62"/>
              <w:adjustRightInd w:val="0"/>
              <w:snapToGrid w:val="0"/>
              <w:contextualSpacing w:val="0"/>
              <w:rPr>
                <w:kern w:val="2"/>
                <w:lang w:eastAsia="en-US"/>
              </w:rPr>
            </w:pPr>
            <w:r>
              <w:rPr>
                <w:lang w:eastAsia="en-US"/>
              </w:rPr>
              <w:t>25</w:t>
            </w:r>
          </w:p>
        </w:tc>
        <w:tc>
          <w:tcPr>
            <w:tcW w:w="2016" w:type="dxa"/>
            <w:tcBorders>
              <w:tl2br w:val="nil"/>
              <w:tr2bl w:val="nil"/>
            </w:tcBorders>
            <w:vAlign w:val="center"/>
          </w:tcPr>
          <w:p w14:paraId="1C0B72E2">
            <w:pPr>
              <w:pStyle w:val="62"/>
              <w:adjustRightInd w:val="0"/>
              <w:snapToGrid w:val="0"/>
              <w:contextualSpacing w:val="0"/>
              <w:rPr>
                <w:bCs/>
                <w:lang w:eastAsia="en-US"/>
              </w:rPr>
            </w:pPr>
            <w:r>
              <w:rPr>
                <w:rFonts w:hint="eastAsia"/>
                <w:bCs/>
                <w:lang w:eastAsia="zh-CN"/>
              </w:rPr>
              <w:t>保障房安康小区</w:t>
            </w:r>
          </w:p>
        </w:tc>
        <w:tc>
          <w:tcPr>
            <w:tcW w:w="1192" w:type="dxa"/>
            <w:tcBorders>
              <w:tl2br w:val="nil"/>
              <w:tr2bl w:val="nil"/>
            </w:tcBorders>
            <w:vAlign w:val="center"/>
          </w:tcPr>
          <w:p w14:paraId="7E4300F8">
            <w:pPr>
              <w:pStyle w:val="62"/>
              <w:adjustRightInd w:val="0"/>
              <w:snapToGrid w:val="0"/>
              <w:contextualSpacing w:val="0"/>
              <w:rPr>
                <w:highlight w:val="yellow"/>
                <w:lang w:eastAsia="en-US"/>
              </w:rPr>
            </w:pPr>
            <w:r>
              <w:rPr>
                <w:rFonts w:hint="eastAsia"/>
                <w:lang w:eastAsia="zh-CN"/>
              </w:rPr>
              <w:t>东北</w:t>
            </w:r>
          </w:p>
        </w:tc>
        <w:tc>
          <w:tcPr>
            <w:tcW w:w="1192" w:type="dxa"/>
            <w:gridSpan w:val="2"/>
            <w:tcBorders>
              <w:tl2br w:val="nil"/>
              <w:tr2bl w:val="nil"/>
            </w:tcBorders>
            <w:vAlign w:val="center"/>
          </w:tcPr>
          <w:p w14:paraId="6B892520">
            <w:pPr>
              <w:pStyle w:val="62"/>
              <w:adjustRightInd w:val="0"/>
              <w:snapToGrid w:val="0"/>
              <w:contextualSpacing w:val="0"/>
              <w:rPr>
                <w:lang w:eastAsia="zh-CN"/>
              </w:rPr>
            </w:pPr>
            <w:r>
              <w:rPr>
                <w:rFonts w:hint="eastAsia"/>
                <w:lang w:eastAsia="zh-CN"/>
              </w:rPr>
              <w:t>3585</w:t>
            </w:r>
          </w:p>
        </w:tc>
        <w:tc>
          <w:tcPr>
            <w:tcW w:w="1342" w:type="dxa"/>
            <w:tcBorders>
              <w:tl2br w:val="nil"/>
              <w:tr2bl w:val="nil"/>
            </w:tcBorders>
            <w:vAlign w:val="center"/>
          </w:tcPr>
          <w:p w14:paraId="0762205C">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5A8013E8">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2808</w:t>
            </w:r>
          </w:p>
        </w:tc>
      </w:tr>
      <w:tr w14:paraId="3C43E8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6596894">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3F0DE3D6">
            <w:pPr>
              <w:pStyle w:val="62"/>
              <w:adjustRightInd w:val="0"/>
              <w:snapToGrid w:val="0"/>
              <w:contextualSpacing w:val="0"/>
              <w:rPr>
                <w:kern w:val="2"/>
                <w:lang w:eastAsia="en-US"/>
              </w:rPr>
            </w:pPr>
            <w:r>
              <w:rPr>
                <w:lang w:eastAsia="en-US"/>
              </w:rPr>
              <w:t>26</w:t>
            </w:r>
          </w:p>
        </w:tc>
        <w:tc>
          <w:tcPr>
            <w:tcW w:w="2016" w:type="dxa"/>
            <w:tcBorders>
              <w:tl2br w:val="nil"/>
              <w:tr2bl w:val="nil"/>
            </w:tcBorders>
            <w:vAlign w:val="center"/>
          </w:tcPr>
          <w:p w14:paraId="12EA5C11">
            <w:pPr>
              <w:pStyle w:val="62"/>
              <w:adjustRightInd w:val="0"/>
              <w:snapToGrid w:val="0"/>
              <w:contextualSpacing w:val="0"/>
              <w:rPr>
                <w:bCs/>
                <w:lang w:eastAsia="en-US"/>
              </w:rPr>
            </w:pPr>
            <w:r>
              <w:rPr>
                <w:rFonts w:hint="eastAsia"/>
                <w:bCs/>
                <w:lang w:eastAsia="zh-CN"/>
              </w:rPr>
              <w:t>铁东新区</w:t>
            </w:r>
          </w:p>
        </w:tc>
        <w:tc>
          <w:tcPr>
            <w:tcW w:w="1192" w:type="dxa"/>
            <w:tcBorders>
              <w:tl2br w:val="nil"/>
              <w:tr2bl w:val="nil"/>
            </w:tcBorders>
            <w:vAlign w:val="center"/>
          </w:tcPr>
          <w:p w14:paraId="43DAAB0D">
            <w:pPr>
              <w:pStyle w:val="62"/>
              <w:adjustRightInd w:val="0"/>
              <w:snapToGrid w:val="0"/>
              <w:contextualSpacing w:val="0"/>
              <w:rPr>
                <w:lang w:eastAsia="en-US"/>
              </w:rPr>
            </w:pPr>
            <w:r>
              <w:rPr>
                <w:rFonts w:hint="eastAsia"/>
                <w:lang w:eastAsia="zh-CN"/>
              </w:rPr>
              <w:t>东北</w:t>
            </w:r>
          </w:p>
        </w:tc>
        <w:tc>
          <w:tcPr>
            <w:tcW w:w="1192" w:type="dxa"/>
            <w:gridSpan w:val="2"/>
            <w:tcBorders>
              <w:tl2br w:val="nil"/>
              <w:tr2bl w:val="nil"/>
            </w:tcBorders>
            <w:vAlign w:val="center"/>
          </w:tcPr>
          <w:p w14:paraId="36E0F860">
            <w:pPr>
              <w:pStyle w:val="62"/>
              <w:adjustRightInd w:val="0"/>
              <w:snapToGrid w:val="0"/>
              <w:contextualSpacing w:val="0"/>
              <w:rPr>
                <w:lang w:eastAsia="zh-CN"/>
              </w:rPr>
            </w:pPr>
            <w:r>
              <w:rPr>
                <w:rFonts w:hint="eastAsia"/>
                <w:lang w:eastAsia="zh-CN"/>
              </w:rPr>
              <w:t>2915</w:t>
            </w:r>
          </w:p>
        </w:tc>
        <w:tc>
          <w:tcPr>
            <w:tcW w:w="1342" w:type="dxa"/>
            <w:tcBorders>
              <w:tl2br w:val="nil"/>
              <w:tr2bl w:val="nil"/>
            </w:tcBorders>
            <w:vAlign w:val="center"/>
          </w:tcPr>
          <w:p w14:paraId="6FA54EDE">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33CF8C3E">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1329</w:t>
            </w:r>
          </w:p>
        </w:tc>
      </w:tr>
      <w:tr w14:paraId="42DFA0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142B6B5D">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60C27A51">
            <w:pPr>
              <w:pStyle w:val="62"/>
              <w:adjustRightInd w:val="0"/>
              <w:snapToGrid w:val="0"/>
              <w:contextualSpacing w:val="0"/>
              <w:rPr>
                <w:kern w:val="2"/>
                <w:lang w:eastAsia="en-US"/>
              </w:rPr>
            </w:pPr>
            <w:r>
              <w:rPr>
                <w:lang w:eastAsia="en-US"/>
              </w:rPr>
              <w:t>27</w:t>
            </w:r>
          </w:p>
        </w:tc>
        <w:tc>
          <w:tcPr>
            <w:tcW w:w="2016" w:type="dxa"/>
            <w:tcBorders>
              <w:tl2br w:val="nil"/>
              <w:tr2bl w:val="nil"/>
            </w:tcBorders>
            <w:vAlign w:val="center"/>
          </w:tcPr>
          <w:p w14:paraId="1FDB63B9">
            <w:pPr>
              <w:pStyle w:val="62"/>
              <w:adjustRightInd w:val="0"/>
              <w:snapToGrid w:val="0"/>
              <w:contextualSpacing w:val="0"/>
              <w:rPr>
                <w:bCs/>
                <w:lang w:eastAsia="en-US"/>
              </w:rPr>
            </w:pPr>
            <w:r>
              <w:rPr>
                <w:rFonts w:hint="eastAsia"/>
                <w:bCs/>
                <w:lang w:eastAsia="zh-CN"/>
              </w:rPr>
              <w:t>唐岗村</w:t>
            </w:r>
          </w:p>
        </w:tc>
        <w:tc>
          <w:tcPr>
            <w:tcW w:w="1192" w:type="dxa"/>
            <w:tcBorders>
              <w:tl2br w:val="nil"/>
              <w:tr2bl w:val="nil"/>
            </w:tcBorders>
            <w:vAlign w:val="center"/>
          </w:tcPr>
          <w:p w14:paraId="3E8D7212">
            <w:pPr>
              <w:pStyle w:val="62"/>
              <w:adjustRightInd w:val="0"/>
              <w:snapToGrid w:val="0"/>
              <w:contextualSpacing w:val="0"/>
              <w:rPr>
                <w:lang w:eastAsia="en-US"/>
              </w:rPr>
            </w:pPr>
            <w:r>
              <w:rPr>
                <w:rFonts w:hint="eastAsia"/>
                <w:lang w:eastAsia="zh-CN"/>
              </w:rPr>
              <w:t>东北</w:t>
            </w:r>
          </w:p>
        </w:tc>
        <w:tc>
          <w:tcPr>
            <w:tcW w:w="1192" w:type="dxa"/>
            <w:gridSpan w:val="2"/>
            <w:tcBorders>
              <w:tl2br w:val="nil"/>
              <w:tr2bl w:val="nil"/>
            </w:tcBorders>
            <w:vAlign w:val="center"/>
          </w:tcPr>
          <w:p w14:paraId="535DE96A">
            <w:pPr>
              <w:pStyle w:val="62"/>
              <w:adjustRightInd w:val="0"/>
              <w:snapToGrid w:val="0"/>
              <w:contextualSpacing w:val="0"/>
              <w:rPr>
                <w:lang w:eastAsia="zh-CN"/>
              </w:rPr>
            </w:pPr>
            <w:r>
              <w:rPr>
                <w:rFonts w:hint="eastAsia"/>
                <w:lang w:eastAsia="zh-CN"/>
              </w:rPr>
              <w:t>2920</w:t>
            </w:r>
          </w:p>
        </w:tc>
        <w:tc>
          <w:tcPr>
            <w:tcW w:w="1342" w:type="dxa"/>
            <w:tcBorders>
              <w:tl2br w:val="nil"/>
              <w:tr2bl w:val="nil"/>
            </w:tcBorders>
            <w:vAlign w:val="center"/>
          </w:tcPr>
          <w:p w14:paraId="54D06F48">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5B4A0CF3">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4114</w:t>
            </w:r>
          </w:p>
        </w:tc>
      </w:tr>
      <w:tr w14:paraId="59A95E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1819F00E">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361B11FE">
            <w:pPr>
              <w:pStyle w:val="62"/>
              <w:adjustRightInd w:val="0"/>
              <w:snapToGrid w:val="0"/>
              <w:contextualSpacing w:val="0"/>
              <w:rPr>
                <w:kern w:val="2"/>
                <w:lang w:eastAsia="en-US"/>
              </w:rPr>
            </w:pPr>
            <w:r>
              <w:rPr>
                <w:lang w:eastAsia="en-US"/>
              </w:rPr>
              <w:t>28</w:t>
            </w:r>
          </w:p>
        </w:tc>
        <w:tc>
          <w:tcPr>
            <w:tcW w:w="2016" w:type="dxa"/>
            <w:tcBorders>
              <w:tl2br w:val="nil"/>
              <w:tr2bl w:val="nil"/>
            </w:tcBorders>
            <w:vAlign w:val="center"/>
          </w:tcPr>
          <w:p w14:paraId="478E0CFF">
            <w:pPr>
              <w:pStyle w:val="62"/>
              <w:adjustRightInd w:val="0"/>
              <w:snapToGrid w:val="0"/>
              <w:contextualSpacing w:val="0"/>
              <w:rPr>
                <w:bCs/>
                <w:lang w:eastAsia="en-US"/>
              </w:rPr>
            </w:pPr>
            <w:r>
              <w:rPr>
                <w:rFonts w:hint="eastAsia"/>
                <w:lang w:eastAsia="zh-CN"/>
              </w:rPr>
              <w:t>唐庄镇</w:t>
            </w:r>
          </w:p>
        </w:tc>
        <w:tc>
          <w:tcPr>
            <w:tcW w:w="1192" w:type="dxa"/>
            <w:tcBorders>
              <w:tl2br w:val="nil"/>
              <w:tr2bl w:val="nil"/>
            </w:tcBorders>
            <w:vAlign w:val="center"/>
          </w:tcPr>
          <w:p w14:paraId="2F9576AB">
            <w:pPr>
              <w:pStyle w:val="62"/>
              <w:adjustRightInd w:val="0"/>
              <w:snapToGrid w:val="0"/>
              <w:contextualSpacing w:val="0"/>
              <w:rPr>
                <w:lang w:eastAsia="en-US"/>
              </w:rPr>
            </w:pPr>
            <w:r>
              <w:rPr>
                <w:rFonts w:hint="eastAsia"/>
                <w:lang w:eastAsia="zh-CN"/>
              </w:rPr>
              <w:t>西南</w:t>
            </w:r>
          </w:p>
        </w:tc>
        <w:tc>
          <w:tcPr>
            <w:tcW w:w="1192" w:type="dxa"/>
            <w:gridSpan w:val="2"/>
            <w:tcBorders>
              <w:tl2br w:val="nil"/>
              <w:tr2bl w:val="nil"/>
            </w:tcBorders>
            <w:vAlign w:val="center"/>
          </w:tcPr>
          <w:p w14:paraId="13F64468">
            <w:pPr>
              <w:pStyle w:val="62"/>
              <w:adjustRightInd w:val="0"/>
              <w:snapToGrid w:val="0"/>
              <w:contextualSpacing w:val="0"/>
              <w:rPr>
                <w:lang w:eastAsia="zh-CN"/>
              </w:rPr>
            </w:pPr>
            <w:r>
              <w:rPr>
                <w:rFonts w:hint="eastAsia"/>
                <w:lang w:eastAsia="zh-CN"/>
              </w:rPr>
              <w:t>4045</w:t>
            </w:r>
          </w:p>
        </w:tc>
        <w:tc>
          <w:tcPr>
            <w:tcW w:w="1342" w:type="dxa"/>
            <w:tcBorders>
              <w:tl2br w:val="nil"/>
              <w:tr2bl w:val="nil"/>
            </w:tcBorders>
            <w:vAlign w:val="center"/>
          </w:tcPr>
          <w:p w14:paraId="69AB0BCA">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61F0458F">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8</w:t>
            </w:r>
            <w:r>
              <w:rPr>
                <w:rFonts w:ascii="Times New Roman" w:hAnsi="Times New Roman" w:cs="Times New Roman"/>
                <w:color w:val="auto"/>
                <w:lang w:eastAsia="zh-CN"/>
              </w:rPr>
              <w:t>296</w:t>
            </w:r>
          </w:p>
        </w:tc>
      </w:tr>
      <w:tr w14:paraId="444444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19A853A">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FF5D52B">
            <w:pPr>
              <w:pStyle w:val="62"/>
              <w:adjustRightInd w:val="0"/>
              <w:snapToGrid w:val="0"/>
              <w:contextualSpacing w:val="0"/>
              <w:rPr>
                <w:kern w:val="2"/>
                <w:lang w:eastAsia="en-US"/>
              </w:rPr>
            </w:pPr>
            <w:r>
              <w:rPr>
                <w:lang w:eastAsia="en-US"/>
              </w:rPr>
              <w:t>29</w:t>
            </w:r>
          </w:p>
        </w:tc>
        <w:tc>
          <w:tcPr>
            <w:tcW w:w="2016" w:type="dxa"/>
            <w:tcBorders>
              <w:tl2br w:val="nil"/>
              <w:tr2bl w:val="nil"/>
            </w:tcBorders>
            <w:vAlign w:val="center"/>
          </w:tcPr>
          <w:p w14:paraId="04FF96F6">
            <w:pPr>
              <w:pStyle w:val="62"/>
              <w:adjustRightInd w:val="0"/>
              <w:snapToGrid w:val="0"/>
              <w:contextualSpacing w:val="0"/>
              <w:rPr>
                <w:bCs/>
                <w:lang w:eastAsia="zh-CN"/>
              </w:rPr>
            </w:pPr>
            <w:r>
              <w:rPr>
                <w:rFonts w:hint="eastAsia"/>
                <w:kern w:val="2"/>
                <w:lang w:eastAsia="zh-CN"/>
              </w:rPr>
              <w:t>秦庄村</w:t>
            </w:r>
          </w:p>
        </w:tc>
        <w:tc>
          <w:tcPr>
            <w:tcW w:w="1192" w:type="dxa"/>
            <w:tcBorders>
              <w:tl2br w:val="nil"/>
              <w:tr2bl w:val="nil"/>
            </w:tcBorders>
            <w:vAlign w:val="center"/>
          </w:tcPr>
          <w:p w14:paraId="5C4F01A7">
            <w:pPr>
              <w:pStyle w:val="62"/>
              <w:adjustRightInd w:val="0"/>
              <w:snapToGrid w:val="0"/>
              <w:contextualSpacing w:val="0"/>
              <w:rPr>
                <w:lang w:eastAsia="en-US"/>
              </w:rPr>
            </w:pPr>
            <w:r>
              <w:rPr>
                <w:rFonts w:hint="eastAsia"/>
                <w:lang w:eastAsia="zh-CN"/>
              </w:rPr>
              <w:t>西南</w:t>
            </w:r>
          </w:p>
        </w:tc>
        <w:tc>
          <w:tcPr>
            <w:tcW w:w="1192" w:type="dxa"/>
            <w:gridSpan w:val="2"/>
            <w:tcBorders>
              <w:tl2br w:val="nil"/>
              <w:tr2bl w:val="nil"/>
            </w:tcBorders>
            <w:vAlign w:val="center"/>
          </w:tcPr>
          <w:p w14:paraId="5DFF5CE7">
            <w:pPr>
              <w:pStyle w:val="62"/>
              <w:adjustRightInd w:val="0"/>
              <w:snapToGrid w:val="0"/>
              <w:contextualSpacing w:val="0"/>
              <w:rPr>
                <w:lang w:eastAsia="zh-CN"/>
              </w:rPr>
            </w:pPr>
            <w:r>
              <w:rPr>
                <w:rFonts w:hint="eastAsia"/>
                <w:lang w:eastAsia="zh-CN"/>
              </w:rPr>
              <w:t>3880</w:t>
            </w:r>
          </w:p>
        </w:tc>
        <w:tc>
          <w:tcPr>
            <w:tcW w:w="1342" w:type="dxa"/>
            <w:tcBorders>
              <w:tl2br w:val="nil"/>
              <w:tr2bl w:val="nil"/>
            </w:tcBorders>
            <w:vAlign w:val="center"/>
          </w:tcPr>
          <w:p w14:paraId="289BDFB6">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7EE2222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2148</w:t>
            </w:r>
          </w:p>
        </w:tc>
      </w:tr>
      <w:tr w14:paraId="6D3581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09F55385">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391C007">
            <w:pPr>
              <w:pStyle w:val="62"/>
              <w:adjustRightInd w:val="0"/>
              <w:snapToGrid w:val="0"/>
              <w:contextualSpacing w:val="0"/>
              <w:rPr>
                <w:kern w:val="2"/>
                <w:lang w:eastAsia="en-US"/>
              </w:rPr>
            </w:pPr>
            <w:r>
              <w:rPr>
                <w:lang w:eastAsia="en-US"/>
              </w:rPr>
              <w:t>30</w:t>
            </w:r>
          </w:p>
        </w:tc>
        <w:tc>
          <w:tcPr>
            <w:tcW w:w="2016" w:type="dxa"/>
            <w:tcBorders>
              <w:tl2br w:val="nil"/>
              <w:tr2bl w:val="nil"/>
            </w:tcBorders>
            <w:vAlign w:val="center"/>
          </w:tcPr>
          <w:p w14:paraId="2980948D">
            <w:pPr>
              <w:pStyle w:val="62"/>
              <w:adjustRightInd w:val="0"/>
              <w:snapToGrid w:val="0"/>
              <w:contextualSpacing w:val="0"/>
              <w:rPr>
                <w:bCs/>
                <w:lang w:eastAsia="zh-CN"/>
              </w:rPr>
            </w:pPr>
            <w:r>
              <w:rPr>
                <w:rFonts w:hint="eastAsia"/>
                <w:bCs/>
                <w:lang w:eastAsia="zh-CN"/>
              </w:rPr>
              <w:t>卫辉市职业中等专业学校</w:t>
            </w:r>
          </w:p>
        </w:tc>
        <w:tc>
          <w:tcPr>
            <w:tcW w:w="1192" w:type="dxa"/>
            <w:tcBorders>
              <w:tl2br w:val="nil"/>
              <w:tr2bl w:val="nil"/>
            </w:tcBorders>
            <w:vAlign w:val="center"/>
          </w:tcPr>
          <w:p w14:paraId="44CFAE0E">
            <w:pPr>
              <w:pStyle w:val="62"/>
              <w:adjustRightInd w:val="0"/>
              <w:snapToGrid w:val="0"/>
              <w:contextualSpacing w:val="0"/>
              <w:rPr>
                <w:lang w:eastAsia="en-US"/>
              </w:rPr>
            </w:pPr>
            <w:r>
              <w:rPr>
                <w:rFonts w:hint="eastAsia"/>
                <w:lang w:eastAsia="zh-CN"/>
              </w:rPr>
              <w:t>西北</w:t>
            </w:r>
          </w:p>
        </w:tc>
        <w:tc>
          <w:tcPr>
            <w:tcW w:w="1192" w:type="dxa"/>
            <w:gridSpan w:val="2"/>
            <w:tcBorders>
              <w:tl2br w:val="nil"/>
              <w:tr2bl w:val="nil"/>
            </w:tcBorders>
            <w:vAlign w:val="center"/>
          </w:tcPr>
          <w:p w14:paraId="6E5517D7">
            <w:pPr>
              <w:pStyle w:val="62"/>
              <w:adjustRightInd w:val="0"/>
              <w:snapToGrid w:val="0"/>
              <w:contextualSpacing w:val="0"/>
              <w:rPr>
                <w:lang w:eastAsia="zh-CN"/>
              </w:rPr>
            </w:pPr>
            <w:r>
              <w:rPr>
                <w:rFonts w:hint="eastAsia"/>
                <w:lang w:eastAsia="zh-CN"/>
              </w:rPr>
              <w:t>2730</w:t>
            </w:r>
          </w:p>
        </w:tc>
        <w:tc>
          <w:tcPr>
            <w:tcW w:w="1342" w:type="dxa"/>
            <w:tcBorders>
              <w:tl2br w:val="nil"/>
              <w:tr2bl w:val="nil"/>
            </w:tcBorders>
            <w:vAlign w:val="center"/>
          </w:tcPr>
          <w:p w14:paraId="51807B41">
            <w:pPr>
              <w:pStyle w:val="62"/>
              <w:adjustRightInd w:val="0"/>
              <w:snapToGrid w:val="0"/>
              <w:contextualSpacing w:val="0"/>
              <w:rPr>
                <w:lang w:eastAsia="en-US"/>
              </w:rPr>
            </w:pPr>
            <w:r>
              <w:rPr>
                <w:rFonts w:hint="eastAsia"/>
                <w:lang w:eastAsia="zh-CN"/>
              </w:rPr>
              <w:t>文化教育</w:t>
            </w:r>
            <w:r>
              <w:rPr>
                <w:lang w:eastAsia="en-US"/>
              </w:rPr>
              <w:t>区</w:t>
            </w:r>
          </w:p>
        </w:tc>
        <w:tc>
          <w:tcPr>
            <w:tcW w:w="1419" w:type="dxa"/>
            <w:tcBorders>
              <w:tl2br w:val="nil"/>
              <w:tr2bl w:val="nil"/>
            </w:tcBorders>
            <w:vAlign w:val="center"/>
          </w:tcPr>
          <w:p w14:paraId="49055909">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3392</w:t>
            </w:r>
          </w:p>
        </w:tc>
      </w:tr>
      <w:tr w14:paraId="618571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8BF16D6">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5DBEE3B">
            <w:pPr>
              <w:pStyle w:val="62"/>
              <w:adjustRightInd w:val="0"/>
              <w:snapToGrid w:val="0"/>
              <w:contextualSpacing w:val="0"/>
              <w:rPr>
                <w:kern w:val="2"/>
                <w:lang w:eastAsia="zh-CN"/>
              </w:rPr>
            </w:pPr>
            <w:r>
              <w:rPr>
                <w:rFonts w:hint="eastAsia"/>
                <w:kern w:val="2"/>
                <w:lang w:eastAsia="zh-CN"/>
              </w:rPr>
              <w:t>31</w:t>
            </w:r>
          </w:p>
        </w:tc>
        <w:tc>
          <w:tcPr>
            <w:tcW w:w="2016" w:type="dxa"/>
            <w:tcBorders>
              <w:tl2br w:val="nil"/>
              <w:tr2bl w:val="nil"/>
            </w:tcBorders>
            <w:vAlign w:val="center"/>
          </w:tcPr>
          <w:p w14:paraId="314F02C9">
            <w:pPr>
              <w:pStyle w:val="62"/>
              <w:adjustRightInd w:val="0"/>
              <w:snapToGrid w:val="0"/>
              <w:contextualSpacing w:val="0"/>
              <w:rPr>
                <w:bCs/>
                <w:lang w:eastAsia="en-US"/>
              </w:rPr>
            </w:pPr>
            <w:r>
              <w:rPr>
                <w:rFonts w:hint="eastAsia"/>
                <w:bCs/>
                <w:lang w:eastAsia="zh-CN"/>
              </w:rPr>
              <w:t>南司马村</w:t>
            </w:r>
          </w:p>
        </w:tc>
        <w:tc>
          <w:tcPr>
            <w:tcW w:w="1192" w:type="dxa"/>
            <w:tcBorders>
              <w:tl2br w:val="nil"/>
              <w:tr2bl w:val="nil"/>
            </w:tcBorders>
            <w:vAlign w:val="center"/>
          </w:tcPr>
          <w:p w14:paraId="3F2A9915">
            <w:pPr>
              <w:pStyle w:val="62"/>
              <w:adjustRightInd w:val="0"/>
              <w:snapToGrid w:val="0"/>
              <w:contextualSpacing w:val="0"/>
              <w:rPr>
                <w:highlight w:val="yellow"/>
                <w:lang w:eastAsia="en-US"/>
              </w:rPr>
            </w:pPr>
            <w:r>
              <w:rPr>
                <w:rFonts w:hint="eastAsia"/>
                <w:lang w:eastAsia="zh-CN"/>
              </w:rPr>
              <w:t>西北</w:t>
            </w:r>
          </w:p>
        </w:tc>
        <w:tc>
          <w:tcPr>
            <w:tcW w:w="1192" w:type="dxa"/>
            <w:gridSpan w:val="2"/>
            <w:tcBorders>
              <w:tl2br w:val="nil"/>
              <w:tr2bl w:val="nil"/>
            </w:tcBorders>
            <w:vAlign w:val="center"/>
          </w:tcPr>
          <w:p w14:paraId="603FA015">
            <w:pPr>
              <w:pStyle w:val="62"/>
              <w:adjustRightInd w:val="0"/>
              <w:snapToGrid w:val="0"/>
              <w:contextualSpacing w:val="0"/>
              <w:rPr>
                <w:lang w:eastAsia="zh-CN"/>
              </w:rPr>
            </w:pPr>
            <w:r>
              <w:rPr>
                <w:rFonts w:hint="eastAsia"/>
                <w:lang w:eastAsia="zh-CN"/>
              </w:rPr>
              <w:t>4445</w:t>
            </w:r>
          </w:p>
        </w:tc>
        <w:tc>
          <w:tcPr>
            <w:tcW w:w="1342" w:type="dxa"/>
            <w:tcBorders>
              <w:tl2br w:val="nil"/>
              <w:tr2bl w:val="nil"/>
            </w:tcBorders>
            <w:vAlign w:val="center"/>
          </w:tcPr>
          <w:p w14:paraId="03ED1D39">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3A86D425">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490</w:t>
            </w:r>
          </w:p>
        </w:tc>
      </w:tr>
      <w:tr w14:paraId="2B70B4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75B32DC">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60BB0A98">
            <w:pPr>
              <w:pStyle w:val="62"/>
              <w:adjustRightInd w:val="0"/>
              <w:snapToGrid w:val="0"/>
              <w:contextualSpacing w:val="0"/>
              <w:rPr>
                <w:kern w:val="2"/>
                <w:lang w:eastAsia="zh-CN"/>
              </w:rPr>
            </w:pPr>
            <w:r>
              <w:rPr>
                <w:rFonts w:hint="eastAsia"/>
                <w:kern w:val="2"/>
                <w:lang w:eastAsia="zh-CN"/>
              </w:rPr>
              <w:t>32</w:t>
            </w:r>
          </w:p>
        </w:tc>
        <w:tc>
          <w:tcPr>
            <w:tcW w:w="2016" w:type="dxa"/>
            <w:tcBorders>
              <w:tl2br w:val="nil"/>
              <w:tr2bl w:val="nil"/>
            </w:tcBorders>
            <w:vAlign w:val="center"/>
          </w:tcPr>
          <w:p w14:paraId="02925FE9">
            <w:pPr>
              <w:pStyle w:val="62"/>
              <w:adjustRightInd w:val="0"/>
              <w:snapToGrid w:val="0"/>
              <w:contextualSpacing w:val="0"/>
              <w:rPr>
                <w:lang w:eastAsia="en-US"/>
              </w:rPr>
            </w:pPr>
            <w:r>
              <w:rPr>
                <w:rFonts w:hint="eastAsia"/>
                <w:bCs/>
                <w:lang w:eastAsia="zh-CN"/>
              </w:rPr>
              <w:t>大司马村</w:t>
            </w:r>
          </w:p>
        </w:tc>
        <w:tc>
          <w:tcPr>
            <w:tcW w:w="1192" w:type="dxa"/>
            <w:tcBorders>
              <w:tl2br w:val="nil"/>
              <w:tr2bl w:val="nil"/>
            </w:tcBorders>
            <w:vAlign w:val="center"/>
          </w:tcPr>
          <w:p w14:paraId="44761655">
            <w:pPr>
              <w:pStyle w:val="62"/>
              <w:adjustRightInd w:val="0"/>
              <w:snapToGrid w:val="0"/>
              <w:contextualSpacing w:val="0"/>
              <w:rPr>
                <w:highlight w:val="yellow"/>
                <w:lang w:eastAsia="en-US"/>
              </w:rPr>
            </w:pPr>
            <w:r>
              <w:rPr>
                <w:rFonts w:hint="eastAsia"/>
                <w:lang w:eastAsia="zh-CN"/>
              </w:rPr>
              <w:t>西北</w:t>
            </w:r>
          </w:p>
        </w:tc>
        <w:tc>
          <w:tcPr>
            <w:tcW w:w="1192" w:type="dxa"/>
            <w:gridSpan w:val="2"/>
            <w:tcBorders>
              <w:tl2br w:val="nil"/>
              <w:tr2bl w:val="nil"/>
            </w:tcBorders>
            <w:vAlign w:val="center"/>
          </w:tcPr>
          <w:p w14:paraId="01438690">
            <w:pPr>
              <w:pStyle w:val="62"/>
              <w:adjustRightInd w:val="0"/>
              <w:snapToGrid w:val="0"/>
              <w:contextualSpacing w:val="0"/>
              <w:rPr>
                <w:lang w:eastAsia="zh-CN"/>
              </w:rPr>
            </w:pPr>
            <w:r>
              <w:rPr>
                <w:rFonts w:hint="eastAsia"/>
                <w:lang w:eastAsia="zh-CN"/>
              </w:rPr>
              <w:t>4086</w:t>
            </w:r>
          </w:p>
        </w:tc>
        <w:tc>
          <w:tcPr>
            <w:tcW w:w="1342" w:type="dxa"/>
            <w:tcBorders>
              <w:tl2br w:val="nil"/>
              <w:tr2bl w:val="nil"/>
            </w:tcBorders>
            <w:vAlign w:val="center"/>
          </w:tcPr>
          <w:p w14:paraId="168DF7F7">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5F6E744E">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3500</w:t>
            </w:r>
          </w:p>
        </w:tc>
      </w:tr>
      <w:tr w14:paraId="5A18E1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1DD52A8A">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5CDB299">
            <w:pPr>
              <w:pStyle w:val="62"/>
              <w:adjustRightInd w:val="0"/>
              <w:snapToGrid w:val="0"/>
              <w:contextualSpacing w:val="0"/>
              <w:rPr>
                <w:kern w:val="2"/>
                <w:lang w:eastAsia="zh-CN"/>
              </w:rPr>
            </w:pPr>
            <w:r>
              <w:rPr>
                <w:rFonts w:hint="eastAsia"/>
                <w:kern w:val="2"/>
                <w:lang w:eastAsia="zh-CN"/>
              </w:rPr>
              <w:t>33</w:t>
            </w:r>
          </w:p>
        </w:tc>
        <w:tc>
          <w:tcPr>
            <w:tcW w:w="2016" w:type="dxa"/>
            <w:tcBorders>
              <w:tl2br w:val="nil"/>
              <w:tr2bl w:val="nil"/>
            </w:tcBorders>
            <w:vAlign w:val="center"/>
          </w:tcPr>
          <w:p w14:paraId="0F494F7B">
            <w:pPr>
              <w:pStyle w:val="62"/>
              <w:adjustRightInd w:val="0"/>
              <w:snapToGrid w:val="0"/>
              <w:contextualSpacing w:val="0"/>
              <w:rPr>
                <w:lang w:eastAsia="en-US"/>
              </w:rPr>
            </w:pPr>
            <w:r>
              <w:rPr>
                <w:rFonts w:hint="eastAsia"/>
                <w:lang w:eastAsia="zh-CN"/>
              </w:rPr>
              <w:t>河园村</w:t>
            </w:r>
          </w:p>
        </w:tc>
        <w:tc>
          <w:tcPr>
            <w:tcW w:w="1192" w:type="dxa"/>
            <w:tcBorders>
              <w:tl2br w:val="nil"/>
              <w:tr2bl w:val="nil"/>
            </w:tcBorders>
            <w:vAlign w:val="center"/>
          </w:tcPr>
          <w:p w14:paraId="0A7AE87F">
            <w:pPr>
              <w:pStyle w:val="62"/>
              <w:adjustRightInd w:val="0"/>
              <w:snapToGrid w:val="0"/>
              <w:contextualSpacing w:val="0"/>
              <w:rPr>
                <w:highlight w:val="yellow"/>
                <w:lang w:eastAsia="en-US"/>
              </w:rPr>
            </w:pPr>
            <w:r>
              <w:rPr>
                <w:rFonts w:hint="eastAsia"/>
                <w:lang w:eastAsia="zh-CN"/>
              </w:rPr>
              <w:t>东南</w:t>
            </w:r>
          </w:p>
        </w:tc>
        <w:tc>
          <w:tcPr>
            <w:tcW w:w="1192" w:type="dxa"/>
            <w:gridSpan w:val="2"/>
            <w:tcBorders>
              <w:tl2br w:val="nil"/>
              <w:tr2bl w:val="nil"/>
            </w:tcBorders>
            <w:vAlign w:val="center"/>
          </w:tcPr>
          <w:p w14:paraId="2835F634">
            <w:pPr>
              <w:pStyle w:val="62"/>
              <w:adjustRightInd w:val="0"/>
              <w:snapToGrid w:val="0"/>
              <w:contextualSpacing w:val="0"/>
              <w:rPr>
                <w:lang w:eastAsia="zh-CN"/>
              </w:rPr>
            </w:pPr>
            <w:r>
              <w:rPr>
                <w:rFonts w:hint="eastAsia"/>
                <w:lang w:eastAsia="zh-CN"/>
              </w:rPr>
              <w:t>2760</w:t>
            </w:r>
          </w:p>
        </w:tc>
        <w:tc>
          <w:tcPr>
            <w:tcW w:w="1342" w:type="dxa"/>
            <w:tcBorders>
              <w:tl2br w:val="nil"/>
              <w:tr2bl w:val="nil"/>
            </w:tcBorders>
            <w:vAlign w:val="center"/>
          </w:tcPr>
          <w:p w14:paraId="3932E6DB">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70CF41B6">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1565</w:t>
            </w:r>
          </w:p>
        </w:tc>
      </w:tr>
      <w:tr w14:paraId="654218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078AD5E7">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743CB0F8">
            <w:pPr>
              <w:pStyle w:val="62"/>
              <w:adjustRightInd w:val="0"/>
              <w:snapToGrid w:val="0"/>
              <w:contextualSpacing w:val="0"/>
              <w:rPr>
                <w:kern w:val="2"/>
                <w:lang w:eastAsia="zh-CN"/>
              </w:rPr>
            </w:pPr>
            <w:r>
              <w:rPr>
                <w:rFonts w:hint="eastAsia"/>
                <w:kern w:val="2"/>
                <w:lang w:eastAsia="zh-CN"/>
              </w:rPr>
              <w:t>34</w:t>
            </w:r>
          </w:p>
        </w:tc>
        <w:tc>
          <w:tcPr>
            <w:tcW w:w="2016" w:type="dxa"/>
            <w:tcBorders>
              <w:tl2br w:val="nil"/>
              <w:tr2bl w:val="nil"/>
            </w:tcBorders>
            <w:vAlign w:val="center"/>
          </w:tcPr>
          <w:p w14:paraId="575E00D2">
            <w:pPr>
              <w:pStyle w:val="62"/>
              <w:adjustRightInd w:val="0"/>
              <w:snapToGrid w:val="0"/>
              <w:contextualSpacing w:val="0"/>
              <w:rPr>
                <w:lang w:eastAsia="en-US"/>
              </w:rPr>
            </w:pPr>
            <w:r>
              <w:rPr>
                <w:rFonts w:hint="eastAsia"/>
                <w:lang w:eastAsia="zh-CN"/>
              </w:rPr>
              <w:t>北马头村</w:t>
            </w:r>
          </w:p>
        </w:tc>
        <w:tc>
          <w:tcPr>
            <w:tcW w:w="1192" w:type="dxa"/>
            <w:tcBorders>
              <w:tl2br w:val="nil"/>
              <w:tr2bl w:val="nil"/>
            </w:tcBorders>
            <w:vAlign w:val="center"/>
          </w:tcPr>
          <w:p w14:paraId="4C525354">
            <w:pPr>
              <w:pStyle w:val="62"/>
              <w:adjustRightInd w:val="0"/>
              <w:snapToGrid w:val="0"/>
              <w:contextualSpacing w:val="0"/>
              <w:rPr>
                <w:highlight w:val="yellow"/>
                <w:lang w:eastAsia="en-US"/>
              </w:rPr>
            </w:pPr>
            <w:r>
              <w:rPr>
                <w:rFonts w:hint="eastAsia"/>
                <w:lang w:eastAsia="zh-CN"/>
              </w:rPr>
              <w:t>东南</w:t>
            </w:r>
          </w:p>
        </w:tc>
        <w:tc>
          <w:tcPr>
            <w:tcW w:w="1192" w:type="dxa"/>
            <w:gridSpan w:val="2"/>
            <w:tcBorders>
              <w:tl2br w:val="nil"/>
              <w:tr2bl w:val="nil"/>
            </w:tcBorders>
            <w:vAlign w:val="center"/>
          </w:tcPr>
          <w:p w14:paraId="0D538B98">
            <w:pPr>
              <w:pStyle w:val="62"/>
              <w:adjustRightInd w:val="0"/>
              <w:snapToGrid w:val="0"/>
              <w:contextualSpacing w:val="0"/>
              <w:rPr>
                <w:lang w:eastAsia="zh-CN"/>
              </w:rPr>
            </w:pPr>
            <w:r>
              <w:rPr>
                <w:rFonts w:hint="eastAsia"/>
                <w:lang w:eastAsia="zh-CN"/>
              </w:rPr>
              <w:t>4015</w:t>
            </w:r>
          </w:p>
        </w:tc>
        <w:tc>
          <w:tcPr>
            <w:tcW w:w="1342" w:type="dxa"/>
            <w:tcBorders>
              <w:tl2br w:val="nil"/>
              <w:tr2bl w:val="nil"/>
            </w:tcBorders>
            <w:vAlign w:val="center"/>
          </w:tcPr>
          <w:p w14:paraId="591F0409">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15EAA17E">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2660</w:t>
            </w:r>
          </w:p>
        </w:tc>
      </w:tr>
      <w:tr w14:paraId="4F4679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3B4680F">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B08DFF1">
            <w:pPr>
              <w:pStyle w:val="62"/>
              <w:adjustRightInd w:val="0"/>
              <w:snapToGrid w:val="0"/>
              <w:contextualSpacing w:val="0"/>
              <w:rPr>
                <w:kern w:val="2"/>
                <w:lang w:eastAsia="zh-CN"/>
              </w:rPr>
            </w:pPr>
            <w:r>
              <w:rPr>
                <w:rFonts w:hint="eastAsia"/>
                <w:kern w:val="2"/>
                <w:lang w:eastAsia="zh-CN"/>
              </w:rPr>
              <w:t>35</w:t>
            </w:r>
          </w:p>
        </w:tc>
        <w:tc>
          <w:tcPr>
            <w:tcW w:w="2016" w:type="dxa"/>
            <w:tcBorders>
              <w:tl2br w:val="nil"/>
              <w:tr2bl w:val="nil"/>
            </w:tcBorders>
            <w:vAlign w:val="center"/>
          </w:tcPr>
          <w:p w14:paraId="0E83E7E3">
            <w:pPr>
              <w:pStyle w:val="62"/>
              <w:adjustRightInd w:val="0"/>
              <w:snapToGrid w:val="0"/>
              <w:contextualSpacing w:val="0"/>
              <w:rPr>
                <w:lang w:eastAsia="en-US"/>
              </w:rPr>
            </w:pPr>
            <w:r>
              <w:rPr>
                <w:rFonts w:hint="eastAsia"/>
                <w:lang w:eastAsia="zh-CN"/>
              </w:rPr>
              <w:t>纸坊村</w:t>
            </w:r>
          </w:p>
        </w:tc>
        <w:tc>
          <w:tcPr>
            <w:tcW w:w="1192" w:type="dxa"/>
            <w:tcBorders>
              <w:tl2br w:val="nil"/>
              <w:tr2bl w:val="nil"/>
            </w:tcBorders>
            <w:vAlign w:val="center"/>
          </w:tcPr>
          <w:p w14:paraId="75639FF1">
            <w:pPr>
              <w:pStyle w:val="62"/>
              <w:adjustRightInd w:val="0"/>
              <w:snapToGrid w:val="0"/>
              <w:contextualSpacing w:val="0"/>
              <w:rPr>
                <w:highlight w:val="yellow"/>
                <w:lang w:eastAsia="en-US"/>
              </w:rPr>
            </w:pPr>
            <w:r>
              <w:rPr>
                <w:rFonts w:hint="eastAsia"/>
                <w:lang w:eastAsia="zh-CN"/>
              </w:rPr>
              <w:t>东南</w:t>
            </w:r>
          </w:p>
        </w:tc>
        <w:tc>
          <w:tcPr>
            <w:tcW w:w="1192" w:type="dxa"/>
            <w:gridSpan w:val="2"/>
            <w:tcBorders>
              <w:tl2br w:val="nil"/>
              <w:tr2bl w:val="nil"/>
            </w:tcBorders>
            <w:vAlign w:val="center"/>
          </w:tcPr>
          <w:p w14:paraId="09FBCE66">
            <w:pPr>
              <w:pStyle w:val="62"/>
              <w:adjustRightInd w:val="0"/>
              <w:snapToGrid w:val="0"/>
              <w:contextualSpacing w:val="0"/>
              <w:rPr>
                <w:lang w:eastAsia="zh-CN"/>
              </w:rPr>
            </w:pPr>
            <w:r>
              <w:rPr>
                <w:rFonts w:hint="eastAsia"/>
                <w:lang w:eastAsia="zh-CN"/>
              </w:rPr>
              <w:t>3365</w:t>
            </w:r>
          </w:p>
        </w:tc>
        <w:tc>
          <w:tcPr>
            <w:tcW w:w="1342" w:type="dxa"/>
            <w:tcBorders>
              <w:tl2br w:val="nil"/>
              <w:tr2bl w:val="nil"/>
            </w:tcBorders>
            <w:vAlign w:val="center"/>
          </w:tcPr>
          <w:p w14:paraId="1C29DD9F">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0D27E9F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904</w:t>
            </w:r>
          </w:p>
        </w:tc>
      </w:tr>
      <w:tr w14:paraId="7F1148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DAEF644">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C2A6A58">
            <w:pPr>
              <w:pStyle w:val="62"/>
              <w:adjustRightInd w:val="0"/>
              <w:snapToGrid w:val="0"/>
              <w:contextualSpacing w:val="0"/>
              <w:rPr>
                <w:kern w:val="2"/>
                <w:lang w:eastAsia="zh-CN"/>
              </w:rPr>
            </w:pPr>
            <w:r>
              <w:rPr>
                <w:rFonts w:hint="eastAsia"/>
                <w:kern w:val="2"/>
                <w:lang w:eastAsia="zh-CN"/>
              </w:rPr>
              <w:t>36</w:t>
            </w:r>
          </w:p>
        </w:tc>
        <w:tc>
          <w:tcPr>
            <w:tcW w:w="2016" w:type="dxa"/>
            <w:tcBorders>
              <w:tl2br w:val="nil"/>
              <w:tr2bl w:val="nil"/>
            </w:tcBorders>
            <w:vAlign w:val="center"/>
          </w:tcPr>
          <w:p w14:paraId="223E6B11">
            <w:pPr>
              <w:pStyle w:val="62"/>
              <w:adjustRightInd w:val="0"/>
              <w:snapToGrid w:val="0"/>
              <w:contextualSpacing w:val="0"/>
              <w:rPr>
                <w:lang w:eastAsia="en-US"/>
              </w:rPr>
            </w:pPr>
            <w:r>
              <w:rPr>
                <w:rFonts w:hint="eastAsia"/>
                <w:lang w:eastAsia="zh-CN"/>
              </w:rPr>
              <w:t>南马头村</w:t>
            </w:r>
          </w:p>
        </w:tc>
        <w:tc>
          <w:tcPr>
            <w:tcW w:w="1192" w:type="dxa"/>
            <w:tcBorders>
              <w:tl2br w:val="nil"/>
              <w:tr2bl w:val="nil"/>
            </w:tcBorders>
            <w:vAlign w:val="center"/>
          </w:tcPr>
          <w:p w14:paraId="4F9E2E63">
            <w:pPr>
              <w:pStyle w:val="62"/>
              <w:adjustRightInd w:val="0"/>
              <w:snapToGrid w:val="0"/>
              <w:contextualSpacing w:val="0"/>
              <w:rPr>
                <w:highlight w:val="yellow"/>
                <w:lang w:eastAsia="en-US"/>
              </w:rPr>
            </w:pPr>
            <w:r>
              <w:rPr>
                <w:rFonts w:hint="eastAsia"/>
                <w:lang w:eastAsia="zh-CN"/>
              </w:rPr>
              <w:t>东南</w:t>
            </w:r>
          </w:p>
        </w:tc>
        <w:tc>
          <w:tcPr>
            <w:tcW w:w="1192" w:type="dxa"/>
            <w:gridSpan w:val="2"/>
            <w:tcBorders>
              <w:tl2br w:val="nil"/>
              <w:tr2bl w:val="nil"/>
            </w:tcBorders>
            <w:vAlign w:val="center"/>
          </w:tcPr>
          <w:p w14:paraId="0266632F">
            <w:pPr>
              <w:pStyle w:val="62"/>
              <w:adjustRightInd w:val="0"/>
              <w:snapToGrid w:val="0"/>
              <w:contextualSpacing w:val="0"/>
              <w:rPr>
                <w:lang w:eastAsia="zh-CN"/>
              </w:rPr>
            </w:pPr>
            <w:r>
              <w:rPr>
                <w:rFonts w:hint="eastAsia"/>
                <w:lang w:eastAsia="zh-CN"/>
              </w:rPr>
              <w:t>4078</w:t>
            </w:r>
          </w:p>
        </w:tc>
        <w:tc>
          <w:tcPr>
            <w:tcW w:w="1342" w:type="dxa"/>
            <w:tcBorders>
              <w:tl2br w:val="nil"/>
              <w:tr2bl w:val="nil"/>
            </w:tcBorders>
            <w:vAlign w:val="center"/>
          </w:tcPr>
          <w:p w14:paraId="2CF7C609">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38751772">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1353</w:t>
            </w:r>
          </w:p>
        </w:tc>
      </w:tr>
      <w:tr w14:paraId="68E66A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5185442">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1655380">
            <w:pPr>
              <w:pStyle w:val="62"/>
              <w:adjustRightInd w:val="0"/>
              <w:snapToGrid w:val="0"/>
              <w:contextualSpacing w:val="0"/>
              <w:rPr>
                <w:kern w:val="2"/>
                <w:lang w:eastAsia="zh-CN"/>
              </w:rPr>
            </w:pPr>
            <w:r>
              <w:rPr>
                <w:rFonts w:hint="eastAsia"/>
                <w:kern w:val="2"/>
                <w:lang w:eastAsia="zh-CN"/>
              </w:rPr>
              <w:t>37</w:t>
            </w:r>
          </w:p>
        </w:tc>
        <w:tc>
          <w:tcPr>
            <w:tcW w:w="2016" w:type="dxa"/>
            <w:tcBorders>
              <w:tl2br w:val="nil"/>
              <w:tr2bl w:val="nil"/>
            </w:tcBorders>
            <w:vAlign w:val="center"/>
          </w:tcPr>
          <w:p w14:paraId="47412214">
            <w:pPr>
              <w:pStyle w:val="62"/>
              <w:adjustRightInd w:val="0"/>
              <w:snapToGrid w:val="0"/>
              <w:contextualSpacing w:val="0"/>
              <w:rPr>
                <w:lang w:eastAsia="en-US"/>
              </w:rPr>
            </w:pPr>
            <w:r>
              <w:rPr>
                <w:rFonts w:hint="eastAsia"/>
                <w:lang w:eastAsia="zh-CN"/>
              </w:rPr>
              <w:t>河洼村</w:t>
            </w:r>
          </w:p>
        </w:tc>
        <w:tc>
          <w:tcPr>
            <w:tcW w:w="1192" w:type="dxa"/>
            <w:tcBorders>
              <w:tl2br w:val="nil"/>
              <w:tr2bl w:val="nil"/>
            </w:tcBorders>
            <w:vAlign w:val="center"/>
          </w:tcPr>
          <w:p w14:paraId="28C5252B">
            <w:pPr>
              <w:pStyle w:val="62"/>
              <w:adjustRightInd w:val="0"/>
              <w:snapToGrid w:val="0"/>
              <w:contextualSpacing w:val="0"/>
              <w:rPr>
                <w:highlight w:val="yellow"/>
                <w:lang w:eastAsia="en-US"/>
              </w:rPr>
            </w:pPr>
            <w:r>
              <w:rPr>
                <w:rFonts w:hint="eastAsia"/>
                <w:lang w:eastAsia="zh-CN"/>
              </w:rPr>
              <w:t>西北</w:t>
            </w:r>
          </w:p>
        </w:tc>
        <w:tc>
          <w:tcPr>
            <w:tcW w:w="1192" w:type="dxa"/>
            <w:gridSpan w:val="2"/>
            <w:tcBorders>
              <w:tl2br w:val="nil"/>
              <w:tr2bl w:val="nil"/>
            </w:tcBorders>
            <w:vAlign w:val="center"/>
          </w:tcPr>
          <w:p w14:paraId="2E2FBC89">
            <w:pPr>
              <w:pStyle w:val="62"/>
              <w:adjustRightInd w:val="0"/>
              <w:snapToGrid w:val="0"/>
              <w:contextualSpacing w:val="0"/>
              <w:rPr>
                <w:lang w:eastAsia="zh-CN"/>
              </w:rPr>
            </w:pPr>
            <w:r>
              <w:rPr>
                <w:rFonts w:hint="eastAsia"/>
                <w:lang w:eastAsia="zh-CN"/>
              </w:rPr>
              <w:t>2564</w:t>
            </w:r>
          </w:p>
        </w:tc>
        <w:tc>
          <w:tcPr>
            <w:tcW w:w="1342" w:type="dxa"/>
            <w:tcBorders>
              <w:tl2br w:val="nil"/>
              <w:tr2bl w:val="nil"/>
            </w:tcBorders>
            <w:vAlign w:val="center"/>
          </w:tcPr>
          <w:p w14:paraId="7860AC68">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2FC30D6A">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2000</w:t>
            </w:r>
          </w:p>
        </w:tc>
      </w:tr>
      <w:tr w14:paraId="5739CF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A873C24">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611B2CEF">
            <w:pPr>
              <w:pStyle w:val="62"/>
              <w:adjustRightInd w:val="0"/>
              <w:snapToGrid w:val="0"/>
              <w:contextualSpacing w:val="0"/>
              <w:rPr>
                <w:kern w:val="2"/>
                <w:lang w:eastAsia="zh-CN"/>
              </w:rPr>
            </w:pPr>
            <w:r>
              <w:rPr>
                <w:rFonts w:hint="eastAsia"/>
                <w:kern w:val="2"/>
                <w:lang w:eastAsia="zh-CN"/>
              </w:rPr>
              <w:t>38</w:t>
            </w:r>
          </w:p>
        </w:tc>
        <w:tc>
          <w:tcPr>
            <w:tcW w:w="2016" w:type="dxa"/>
            <w:tcBorders>
              <w:tl2br w:val="nil"/>
              <w:tr2bl w:val="nil"/>
            </w:tcBorders>
            <w:vAlign w:val="center"/>
          </w:tcPr>
          <w:p w14:paraId="6A97B054">
            <w:pPr>
              <w:pStyle w:val="62"/>
              <w:adjustRightInd w:val="0"/>
              <w:snapToGrid w:val="0"/>
              <w:contextualSpacing w:val="0"/>
              <w:rPr>
                <w:lang w:eastAsia="zh-CN"/>
              </w:rPr>
            </w:pPr>
            <w:r>
              <w:rPr>
                <w:rFonts w:hint="eastAsia"/>
                <w:lang w:eastAsia="zh-CN"/>
              </w:rPr>
              <w:t>石屏村</w:t>
            </w:r>
          </w:p>
        </w:tc>
        <w:tc>
          <w:tcPr>
            <w:tcW w:w="1192" w:type="dxa"/>
            <w:tcBorders>
              <w:tl2br w:val="nil"/>
              <w:tr2bl w:val="nil"/>
            </w:tcBorders>
            <w:vAlign w:val="center"/>
          </w:tcPr>
          <w:p w14:paraId="585468BF">
            <w:pPr>
              <w:pStyle w:val="62"/>
              <w:adjustRightInd w:val="0"/>
              <w:snapToGrid w:val="0"/>
              <w:contextualSpacing w:val="0"/>
              <w:rPr>
                <w:highlight w:val="yellow"/>
                <w:lang w:eastAsia="en-US"/>
              </w:rPr>
            </w:pPr>
            <w:r>
              <w:rPr>
                <w:rFonts w:hint="eastAsia"/>
                <w:lang w:eastAsia="zh-CN"/>
              </w:rPr>
              <w:t>西北</w:t>
            </w:r>
          </w:p>
        </w:tc>
        <w:tc>
          <w:tcPr>
            <w:tcW w:w="1192" w:type="dxa"/>
            <w:gridSpan w:val="2"/>
            <w:tcBorders>
              <w:tl2br w:val="nil"/>
              <w:tr2bl w:val="nil"/>
            </w:tcBorders>
            <w:vAlign w:val="center"/>
          </w:tcPr>
          <w:p w14:paraId="3943463F">
            <w:pPr>
              <w:pStyle w:val="62"/>
              <w:adjustRightInd w:val="0"/>
              <w:snapToGrid w:val="0"/>
              <w:contextualSpacing w:val="0"/>
              <w:rPr>
                <w:lang w:eastAsia="zh-CN"/>
              </w:rPr>
            </w:pPr>
            <w:r>
              <w:rPr>
                <w:rFonts w:hint="eastAsia"/>
                <w:lang w:eastAsia="zh-CN"/>
              </w:rPr>
              <w:t>2850</w:t>
            </w:r>
          </w:p>
        </w:tc>
        <w:tc>
          <w:tcPr>
            <w:tcW w:w="1342" w:type="dxa"/>
            <w:tcBorders>
              <w:tl2br w:val="nil"/>
              <w:tr2bl w:val="nil"/>
            </w:tcBorders>
            <w:vAlign w:val="center"/>
          </w:tcPr>
          <w:p w14:paraId="64EAB713">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1B7E4C17">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900</w:t>
            </w:r>
          </w:p>
        </w:tc>
      </w:tr>
      <w:tr w14:paraId="5447F6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FD342C5">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46B5726E">
            <w:pPr>
              <w:pStyle w:val="62"/>
              <w:adjustRightInd w:val="0"/>
              <w:snapToGrid w:val="0"/>
              <w:contextualSpacing w:val="0"/>
              <w:rPr>
                <w:kern w:val="2"/>
                <w:lang w:eastAsia="zh-CN"/>
              </w:rPr>
            </w:pPr>
            <w:r>
              <w:rPr>
                <w:rFonts w:hint="eastAsia"/>
                <w:kern w:val="2"/>
                <w:lang w:eastAsia="zh-CN"/>
              </w:rPr>
              <w:t>39</w:t>
            </w:r>
          </w:p>
        </w:tc>
        <w:tc>
          <w:tcPr>
            <w:tcW w:w="2016" w:type="dxa"/>
            <w:tcBorders>
              <w:tl2br w:val="nil"/>
              <w:tr2bl w:val="nil"/>
            </w:tcBorders>
            <w:vAlign w:val="center"/>
          </w:tcPr>
          <w:p w14:paraId="39F3D142">
            <w:pPr>
              <w:pStyle w:val="62"/>
              <w:adjustRightInd w:val="0"/>
              <w:snapToGrid w:val="0"/>
              <w:contextualSpacing w:val="0"/>
              <w:rPr>
                <w:lang w:eastAsia="en-US"/>
              </w:rPr>
            </w:pPr>
            <w:r>
              <w:rPr>
                <w:rFonts w:hint="eastAsia"/>
                <w:lang w:eastAsia="zh-CN"/>
              </w:rPr>
              <w:t>李庄</w:t>
            </w:r>
          </w:p>
        </w:tc>
        <w:tc>
          <w:tcPr>
            <w:tcW w:w="1192" w:type="dxa"/>
            <w:tcBorders>
              <w:tl2br w:val="nil"/>
              <w:tr2bl w:val="nil"/>
            </w:tcBorders>
            <w:vAlign w:val="center"/>
          </w:tcPr>
          <w:p w14:paraId="59AFAF03">
            <w:pPr>
              <w:pStyle w:val="62"/>
              <w:adjustRightInd w:val="0"/>
              <w:snapToGrid w:val="0"/>
              <w:contextualSpacing w:val="0"/>
              <w:rPr>
                <w:highlight w:val="yellow"/>
                <w:lang w:eastAsia="en-US"/>
              </w:rPr>
            </w:pPr>
            <w:r>
              <w:rPr>
                <w:rFonts w:hint="eastAsia"/>
                <w:lang w:eastAsia="zh-CN"/>
              </w:rPr>
              <w:t>东南</w:t>
            </w:r>
          </w:p>
        </w:tc>
        <w:tc>
          <w:tcPr>
            <w:tcW w:w="1192" w:type="dxa"/>
            <w:gridSpan w:val="2"/>
            <w:tcBorders>
              <w:tl2br w:val="nil"/>
              <w:tr2bl w:val="nil"/>
            </w:tcBorders>
            <w:vAlign w:val="center"/>
          </w:tcPr>
          <w:p w14:paraId="43D9DE5B">
            <w:pPr>
              <w:pStyle w:val="62"/>
              <w:adjustRightInd w:val="0"/>
              <w:snapToGrid w:val="0"/>
              <w:contextualSpacing w:val="0"/>
              <w:rPr>
                <w:lang w:eastAsia="zh-CN"/>
              </w:rPr>
            </w:pPr>
            <w:r>
              <w:rPr>
                <w:rFonts w:hint="eastAsia"/>
                <w:lang w:eastAsia="zh-CN"/>
              </w:rPr>
              <w:t>2550</w:t>
            </w:r>
          </w:p>
        </w:tc>
        <w:tc>
          <w:tcPr>
            <w:tcW w:w="1342" w:type="dxa"/>
            <w:tcBorders>
              <w:tl2br w:val="nil"/>
              <w:tr2bl w:val="nil"/>
            </w:tcBorders>
            <w:vAlign w:val="center"/>
          </w:tcPr>
          <w:p w14:paraId="183421DA">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2303650A">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812</w:t>
            </w:r>
          </w:p>
        </w:tc>
      </w:tr>
      <w:tr w14:paraId="44E70F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7DB3740">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5FE38F4E">
            <w:pPr>
              <w:pStyle w:val="62"/>
              <w:adjustRightInd w:val="0"/>
              <w:snapToGrid w:val="0"/>
              <w:contextualSpacing w:val="0"/>
              <w:rPr>
                <w:kern w:val="2"/>
                <w:lang w:eastAsia="zh-CN"/>
              </w:rPr>
            </w:pPr>
            <w:r>
              <w:rPr>
                <w:rFonts w:hint="eastAsia"/>
                <w:kern w:val="2"/>
                <w:lang w:eastAsia="zh-CN"/>
              </w:rPr>
              <w:t>40</w:t>
            </w:r>
          </w:p>
        </w:tc>
        <w:tc>
          <w:tcPr>
            <w:tcW w:w="2016" w:type="dxa"/>
            <w:tcBorders>
              <w:tl2br w:val="nil"/>
              <w:tr2bl w:val="nil"/>
            </w:tcBorders>
            <w:vAlign w:val="center"/>
          </w:tcPr>
          <w:p w14:paraId="37FD833F">
            <w:pPr>
              <w:pStyle w:val="62"/>
              <w:adjustRightInd w:val="0"/>
              <w:snapToGrid w:val="0"/>
              <w:contextualSpacing w:val="0"/>
              <w:rPr>
                <w:lang w:eastAsia="en-US"/>
              </w:rPr>
            </w:pPr>
            <w:r>
              <w:rPr>
                <w:rFonts w:hint="eastAsia"/>
                <w:lang w:eastAsia="zh-CN"/>
              </w:rPr>
              <w:t>石庄村</w:t>
            </w:r>
          </w:p>
        </w:tc>
        <w:tc>
          <w:tcPr>
            <w:tcW w:w="1192" w:type="dxa"/>
            <w:tcBorders>
              <w:tl2br w:val="nil"/>
              <w:tr2bl w:val="nil"/>
            </w:tcBorders>
            <w:vAlign w:val="center"/>
          </w:tcPr>
          <w:p w14:paraId="13A0CE8C">
            <w:pPr>
              <w:pStyle w:val="62"/>
              <w:adjustRightInd w:val="0"/>
              <w:snapToGrid w:val="0"/>
              <w:contextualSpacing w:val="0"/>
              <w:rPr>
                <w:highlight w:val="yellow"/>
                <w:lang w:eastAsia="en-US"/>
              </w:rPr>
            </w:pPr>
            <w:r>
              <w:rPr>
                <w:rFonts w:hint="eastAsia"/>
                <w:lang w:eastAsia="zh-CN"/>
              </w:rPr>
              <w:t>南</w:t>
            </w:r>
          </w:p>
        </w:tc>
        <w:tc>
          <w:tcPr>
            <w:tcW w:w="1192" w:type="dxa"/>
            <w:gridSpan w:val="2"/>
            <w:tcBorders>
              <w:tl2br w:val="nil"/>
              <w:tr2bl w:val="nil"/>
            </w:tcBorders>
            <w:vAlign w:val="center"/>
          </w:tcPr>
          <w:p w14:paraId="1B208F5A">
            <w:pPr>
              <w:pStyle w:val="62"/>
              <w:adjustRightInd w:val="0"/>
              <w:snapToGrid w:val="0"/>
              <w:contextualSpacing w:val="0"/>
              <w:rPr>
                <w:lang w:eastAsia="zh-CN"/>
              </w:rPr>
            </w:pPr>
            <w:r>
              <w:rPr>
                <w:rFonts w:hint="eastAsia"/>
                <w:lang w:eastAsia="zh-CN"/>
              </w:rPr>
              <w:t>2625</w:t>
            </w:r>
          </w:p>
        </w:tc>
        <w:tc>
          <w:tcPr>
            <w:tcW w:w="1342" w:type="dxa"/>
            <w:tcBorders>
              <w:tl2br w:val="nil"/>
              <w:tr2bl w:val="nil"/>
            </w:tcBorders>
            <w:vAlign w:val="center"/>
          </w:tcPr>
          <w:p w14:paraId="4B2835E7">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60A8C053">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982</w:t>
            </w:r>
          </w:p>
        </w:tc>
      </w:tr>
      <w:tr w14:paraId="3027AA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F3A9E26">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36D20BDF">
            <w:pPr>
              <w:pStyle w:val="62"/>
              <w:adjustRightInd w:val="0"/>
              <w:snapToGrid w:val="0"/>
              <w:contextualSpacing w:val="0"/>
              <w:rPr>
                <w:kern w:val="2"/>
                <w:lang w:eastAsia="zh-CN"/>
              </w:rPr>
            </w:pPr>
            <w:r>
              <w:rPr>
                <w:rFonts w:hint="eastAsia"/>
                <w:kern w:val="2"/>
                <w:lang w:eastAsia="zh-CN"/>
              </w:rPr>
              <w:t>41</w:t>
            </w:r>
          </w:p>
        </w:tc>
        <w:tc>
          <w:tcPr>
            <w:tcW w:w="2016" w:type="dxa"/>
            <w:tcBorders>
              <w:tl2br w:val="nil"/>
              <w:tr2bl w:val="nil"/>
            </w:tcBorders>
            <w:vAlign w:val="center"/>
          </w:tcPr>
          <w:p w14:paraId="331E2B6D">
            <w:pPr>
              <w:pStyle w:val="62"/>
              <w:adjustRightInd w:val="0"/>
              <w:snapToGrid w:val="0"/>
              <w:contextualSpacing w:val="0"/>
              <w:rPr>
                <w:lang w:eastAsia="en-US"/>
              </w:rPr>
            </w:pPr>
            <w:r>
              <w:rPr>
                <w:rFonts w:hint="eastAsia"/>
                <w:lang w:eastAsia="zh-CN"/>
              </w:rPr>
              <w:t>南社村</w:t>
            </w:r>
          </w:p>
        </w:tc>
        <w:tc>
          <w:tcPr>
            <w:tcW w:w="1192" w:type="dxa"/>
            <w:tcBorders>
              <w:tl2br w:val="nil"/>
              <w:tr2bl w:val="nil"/>
            </w:tcBorders>
            <w:vAlign w:val="center"/>
          </w:tcPr>
          <w:p w14:paraId="2774BE07">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44AAECAF">
            <w:pPr>
              <w:pStyle w:val="62"/>
              <w:adjustRightInd w:val="0"/>
              <w:snapToGrid w:val="0"/>
              <w:contextualSpacing w:val="0"/>
              <w:rPr>
                <w:lang w:eastAsia="zh-CN"/>
              </w:rPr>
            </w:pPr>
            <w:r>
              <w:rPr>
                <w:rFonts w:hint="eastAsia"/>
                <w:lang w:eastAsia="zh-CN"/>
              </w:rPr>
              <w:t>2855</w:t>
            </w:r>
          </w:p>
        </w:tc>
        <w:tc>
          <w:tcPr>
            <w:tcW w:w="1342" w:type="dxa"/>
            <w:tcBorders>
              <w:tl2br w:val="nil"/>
              <w:tr2bl w:val="nil"/>
            </w:tcBorders>
            <w:vAlign w:val="center"/>
          </w:tcPr>
          <w:p w14:paraId="6C46BCC1">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70C4276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1729</w:t>
            </w:r>
          </w:p>
        </w:tc>
      </w:tr>
      <w:tr w14:paraId="2BFAFB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7CC0F620">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1AF191F">
            <w:pPr>
              <w:pStyle w:val="62"/>
              <w:adjustRightInd w:val="0"/>
              <w:snapToGrid w:val="0"/>
              <w:contextualSpacing w:val="0"/>
              <w:rPr>
                <w:kern w:val="2"/>
                <w:lang w:eastAsia="zh-CN"/>
              </w:rPr>
            </w:pPr>
            <w:r>
              <w:rPr>
                <w:rFonts w:hint="eastAsia"/>
                <w:kern w:val="2"/>
                <w:lang w:eastAsia="zh-CN"/>
              </w:rPr>
              <w:t>42</w:t>
            </w:r>
          </w:p>
        </w:tc>
        <w:tc>
          <w:tcPr>
            <w:tcW w:w="2016" w:type="dxa"/>
            <w:tcBorders>
              <w:tl2br w:val="nil"/>
              <w:tr2bl w:val="nil"/>
            </w:tcBorders>
            <w:vAlign w:val="center"/>
          </w:tcPr>
          <w:p w14:paraId="05637888">
            <w:pPr>
              <w:pStyle w:val="62"/>
              <w:adjustRightInd w:val="0"/>
              <w:snapToGrid w:val="0"/>
              <w:contextualSpacing w:val="0"/>
              <w:rPr>
                <w:lang w:eastAsia="en-US"/>
              </w:rPr>
            </w:pPr>
            <w:r>
              <w:rPr>
                <w:rFonts w:hint="eastAsia"/>
                <w:lang w:eastAsia="zh-CN"/>
              </w:rPr>
              <w:t>王奎屯村</w:t>
            </w:r>
          </w:p>
        </w:tc>
        <w:tc>
          <w:tcPr>
            <w:tcW w:w="1192" w:type="dxa"/>
            <w:tcBorders>
              <w:tl2br w:val="nil"/>
              <w:tr2bl w:val="nil"/>
            </w:tcBorders>
            <w:vAlign w:val="center"/>
          </w:tcPr>
          <w:p w14:paraId="5413AAB5">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1188CF87">
            <w:pPr>
              <w:pStyle w:val="62"/>
              <w:adjustRightInd w:val="0"/>
              <w:snapToGrid w:val="0"/>
              <w:contextualSpacing w:val="0"/>
              <w:rPr>
                <w:lang w:eastAsia="zh-CN"/>
              </w:rPr>
            </w:pPr>
            <w:r>
              <w:rPr>
                <w:rFonts w:hint="eastAsia"/>
                <w:lang w:eastAsia="zh-CN"/>
              </w:rPr>
              <w:t>3023</w:t>
            </w:r>
          </w:p>
        </w:tc>
        <w:tc>
          <w:tcPr>
            <w:tcW w:w="1342" w:type="dxa"/>
            <w:tcBorders>
              <w:tl2br w:val="nil"/>
              <w:tr2bl w:val="nil"/>
            </w:tcBorders>
            <w:vAlign w:val="center"/>
          </w:tcPr>
          <w:p w14:paraId="488E257D">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10411623">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1820</w:t>
            </w:r>
          </w:p>
        </w:tc>
      </w:tr>
      <w:tr w14:paraId="26F257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68F65F2">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5646C5D6">
            <w:pPr>
              <w:pStyle w:val="62"/>
              <w:adjustRightInd w:val="0"/>
              <w:snapToGrid w:val="0"/>
              <w:contextualSpacing w:val="0"/>
              <w:rPr>
                <w:kern w:val="2"/>
                <w:lang w:eastAsia="zh-CN"/>
              </w:rPr>
            </w:pPr>
            <w:r>
              <w:rPr>
                <w:rFonts w:hint="eastAsia"/>
                <w:kern w:val="2"/>
                <w:lang w:eastAsia="zh-CN"/>
              </w:rPr>
              <w:t>43</w:t>
            </w:r>
          </w:p>
        </w:tc>
        <w:tc>
          <w:tcPr>
            <w:tcW w:w="2016" w:type="dxa"/>
            <w:tcBorders>
              <w:tl2br w:val="nil"/>
              <w:tr2bl w:val="nil"/>
            </w:tcBorders>
            <w:vAlign w:val="center"/>
          </w:tcPr>
          <w:p w14:paraId="7420832C">
            <w:pPr>
              <w:pStyle w:val="62"/>
              <w:adjustRightInd w:val="0"/>
              <w:snapToGrid w:val="0"/>
              <w:contextualSpacing w:val="0"/>
              <w:rPr>
                <w:lang w:eastAsia="zh-CN"/>
              </w:rPr>
            </w:pPr>
            <w:r>
              <w:rPr>
                <w:rFonts w:hint="eastAsia"/>
                <w:lang w:eastAsia="zh-CN"/>
              </w:rPr>
              <w:t>新乡职业技术学院北校区</w:t>
            </w:r>
          </w:p>
        </w:tc>
        <w:tc>
          <w:tcPr>
            <w:tcW w:w="1192" w:type="dxa"/>
            <w:tcBorders>
              <w:tl2br w:val="nil"/>
              <w:tr2bl w:val="nil"/>
            </w:tcBorders>
            <w:vAlign w:val="center"/>
          </w:tcPr>
          <w:p w14:paraId="1E55266C">
            <w:pPr>
              <w:pStyle w:val="62"/>
              <w:adjustRightInd w:val="0"/>
              <w:snapToGrid w:val="0"/>
              <w:contextualSpacing w:val="0"/>
              <w:rPr>
                <w:highlight w:val="yellow"/>
                <w:lang w:eastAsia="en-US"/>
              </w:rPr>
            </w:pPr>
            <w:r>
              <w:rPr>
                <w:rFonts w:hint="eastAsia"/>
                <w:lang w:eastAsia="zh-CN"/>
              </w:rPr>
              <w:t>南</w:t>
            </w:r>
          </w:p>
        </w:tc>
        <w:tc>
          <w:tcPr>
            <w:tcW w:w="1192" w:type="dxa"/>
            <w:gridSpan w:val="2"/>
            <w:tcBorders>
              <w:tl2br w:val="nil"/>
              <w:tr2bl w:val="nil"/>
            </w:tcBorders>
            <w:vAlign w:val="center"/>
          </w:tcPr>
          <w:p w14:paraId="43AFC564">
            <w:pPr>
              <w:pStyle w:val="62"/>
              <w:adjustRightInd w:val="0"/>
              <w:snapToGrid w:val="0"/>
              <w:contextualSpacing w:val="0"/>
              <w:rPr>
                <w:lang w:eastAsia="zh-CN"/>
              </w:rPr>
            </w:pPr>
            <w:r>
              <w:rPr>
                <w:rFonts w:hint="eastAsia"/>
                <w:lang w:eastAsia="zh-CN"/>
              </w:rPr>
              <w:t>3580</w:t>
            </w:r>
          </w:p>
        </w:tc>
        <w:tc>
          <w:tcPr>
            <w:tcW w:w="1342" w:type="dxa"/>
            <w:tcBorders>
              <w:tl2br w:val="nil"/>
              <w:tr2bl w:val="nil"/>
            </w:tcBorders>
            <w:vAlign w:val="center"/>
          </w:tcPr>
          <w:p w14:paraId="49346418">
            <w:pPr>
              <w:pStyle w:val="62"/>
              <w:adjustRightInd w:val="0"/>
              <w:snapToGrid w:val="0"/>
              <w:contextualSpacing w:val="0"/>
              <w:rPr>
                <w:lang w:eastAsia="en-US"/>
              </w:rPr>
            </w:pPr>
            <w:r>
              <w:rPr>
                <w:rFonts w:hint="eastAsia"/>
                <w:lang w:eastAsia="zh-CN"/>
              </w:rPr>
              <w:t>文化教育</w:t>
            </w:r>
            <w:r>
              <w:rPr>
                <w:lang w:eastAsia="en-US"/>
              </w:rPr>
              <w:t>区</w:t>
            </w:r>
          </w:p>
        </w:tc>
        <w:tc>
          <w:tcPr>
            <w:tcW w:w="1419" w:type="dxa"/>
            <w:tcBorders>
              <w:tl2br w:val="nil"/>
              <w:tr2bl w:val="nil"/>
            </w:tcBorders>
            <w:vAlign w:val="center"/>
          </w:tcPr>
          <w:p w14:paraId="79F0D398">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3500</w:t>
            </w:r>
          </w:p>
        </w:tc>
      </w:tr>
      <w:tr w14:paraId="5F01E2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3A04FF21">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6CBC57AC">
            <w:pPr>
              <w:pStyle w:val="62"/>
              <w:adjustRightInd w:val="0"/>
              <w:snapToGrid w:val="0"/>
              <w:contextualSpacing w:val="0"/>
              <w:rPr>
                <w:kern w:val="2"/>
                <w:lang w:eastAsia="zh-CN"/>
              </w:rPr>
            </w:pPr>
            <w:r>
              <w:rPr>
                <w:rFonts w:hint="eastAsia"/>
                <w:kern w:val="2"/>
                <w:lang w:eastAsia="zh-CN"/>
              </w:rPr>
              <w:t>44</w:t>
            </w:r>
          </w:p>
        </w:tc>
        <w:tc>
          <w:tcPr>
            <w:tcW w:w="2016" w:type="dxa"/>
            <w:tcBorders>
              <w:tl2br w:val="nil"/>
              <w:tr2bl w:val="nil"/>
            </w:tcBorders>
            <w:vAlign w:val="center"/>
          </w:tcPr>
          <w:p w14:paraId="107C54A7">
            <w:pPr>
              <w:pStyle w:val="62"/>
              <w:adjustRightInd w:val="0"/>
              <w:snapToGrid w:val="0"/>
              <w:contextualSpacing w:val="0"/>
              <w:rPr>
                <w:lang w:eastAsia="en-US"/>
              </w:rPr>
            </w:pPr>
            <w:r>
              <w:rPr>
                <w:rFonts w:hint="eastAsia"/>
                <w:lang w:eastAsia="zh-CN"/>
              </w:rPr>
              <w:t>七里铺村</w:t>
            </w:r>
          </w:p>
        </w:tc>
        <w:tc>
          <w:tcPr>
            <w:tcW w:w="1192" w:type="dxa"/>
            <w:tcBorders>
              <w:tl2br w:val="nil"/>
              <w:tr2bl w:val="nil"/>
            </w:tcBorders>
            <w:vAlign w:val="center"/>
          </w:tcPr>
          <w:p w14:paraId="0CC84531">
            <w:pPr>
              <w:pStyle w:val="62"/>
              <w:adjustRightInd w:val="0"/>
              <w:snapToGrid w:val="0"/>
              <w:contextualSpacing w:val="0"/>
              <w:rPr>
                <w:highlight w:val="yellow"/>
                <w:lang w:eastAsia="en-US"/>
              </w:rPr>
            </w:pPr>
            <w:r>
              <w:rPr>
                <w:rFonts w:hint="eastAsia"/>
                <w:lang w:eastAsia="zh-CN"/>
              </w:rPr>
              <w:t>南</w:t>
            </w:r>
          </w:p>
        </w:tc>
        <w:tc>
          <w:tcPr>
            <w:tcW w:w="1192" w:type="dxa"/>
            <w:gridSpan w:val="2"/>
            <w:tcBorders>
              <w:tl2br w:val="nil"/>
              <w:tr2bl w:val="nil"/>
            </w:tcBorders>
            <w:vAlign w:val="center"/>
          </w:tcPr>
          <w:p w14:paraId="7A1316F4">
            <w:pPr>
              <w:pStyle w:val="62"/>
              <w:adjustRightInd w:val="0"/>
              <w:snapToGrid w:val="0"/>
              <w:contextualSpacing w:val="0"/>
              <w:rPr>
                <w:lang w:eastAsia="zh-CN"/>
              </w:rPr>
            </w:pPr>
            <w:r>
              <w:rPr>
                <w:rFonts w:hint="eastAsia"/>
                <w:lang w:eastAsia="zh-CN"/>
              </w:rPr>
              <w:t>4750</w:t>
            </w:r>
          </w:p>
        </w:tc>
        <w:tc>
          <w:tcPr>
            <w:tcW w:w="1342" w:type="dxa"/>
            <w:tcBorders>
              <w:tl2br w:val="nil"/>
              <w:tr2bl w:val="nil"/>
            </w:tcBorders>
            <w:vAlign w:val="center"/>
          </w:tcPr>
          <w:p w14:paraId="49648AA6">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3127CD76">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640</w:t>
            </w:r>
          </w:p>
        </w:tc>
      </w:tr>
      <w:tr w14:paraId="33593D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659A45A">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8030895">
            <w:pPr>
              <w:pStyle w:val="62"/>
              <w:adjustRightInd w:val="0"/>
              <w:snapToGrid w:val="0"/>
              <w:contextualSpacing w:val="0"/>
              <w:rPr>
                <w:kern w:val="2"/>
                <w:lang w:eastAsia="zh-CN"/>
              </w:rPr>
            </w:pPr>
            <w:r>
              <w:rPr>
                <w:rFonts w:hint="eastAsia"/>
                <w:kern w:val="2"/>
                <w:lang w:eastAsia="zh-CN"/>
              </w:rPr>
              <w:t>45</w:t>
            </w:r>
          </w:p>
        </w:tc>
        <w:tc>
          <w:tcPr>
            <w:tcW w:w="2016" w:type="dxa"/>
            <w:tcBorders>
              <w:tl2br w:val="nil"/>
              <w:tr2bl w:val="nil"/>
            </w:tcBorders>
            <w:vAlign w:val="center"/>
          </w:tcPr>
          <w:p w14:paraId="476D0795">
            <w:pPr>
              <w:pStyle w:val="62"/>
              <w:adjustRightInd w:val="0"/>
              <w:snapToGrid w:val="0"/>
              <w:contextualSpacing w:val="0"/>
              <w:rPr>
                <w:lang w:eastAsia="en-US"/>
              </w:rPr>
            </w:pPr>
            <w:r>
              <w:rPr>
                <w:rFonts w:hint="eastAsia"/>
                <w:lang w:eastAsia="zh-CN"/>
              </w:rPr>
              <w:t>杨大屯村</w:t>
            </w:r>
          </w:p>
        </w:tc>
        <w:tc>
          <w:tcPr>
            <w:tcW w:w="1192" w:type="dxa"/>
            <w:tcBorders>
              <w:tl2br w:val="nil"/>
              <w:tr2bl w:val="nil"/>
            </w:tcBorders>
            <w:vAlign w:val="center"/>
          </w:tcPr>
          <w:p w14:paraId="3CC8B599">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7AEB7995">
            <w:pPr>
              <w:pStyle w:val="62"/>
              <w:adjustRightInd w:val="0"/>
              <w:snapToGrid w:val="0"/>
              <w:contextualSpacing w:val="0"/>
              <w:rPr>
                <w:lang w:eastAsia="zh-CN"/>
              </w:rPr>
            </w:pPr>
            <w:r>
              <w:rPr>
                <w:rFonts w:hint="eastAsia"/>
                <w:lang w:eastAsia="zh-CN"/>
              </w:rPr>
              <w:t>4005</w:t>
            </w:r>
          </w:p>
        </w:tc>
        <w:tc>
          <w:tcPr>
            <w:tcW w:w="1342" w:type="dxa"/>
            <w:tcBorders>
              <w:tl2br w:val="nil"/>
              <w:tr2bl w:val="nil"/>
            </w:tcBorders>
            <w:vAlign w:val="center"/>
          </w:tcPr>
          <w:p w14:paraId="36A44283">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56987F5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1230</w:t>
            </w:r>
          </w:p>
        </w:tc>
      </w:tr>
      <w:tr w14:paraId="0BF921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019B8FD0">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47E8D183">
            <w:pPr>
              <w:pStyle w:val="62"/>
              <w:adjustRightInd w:val="0"/>
              <w:snapToGrid w:val="0"/>
              <w:contextualSpacing w:val="0"/>
              <w:rPr>
                <w:kern w:val="2"/>
                <w:lang w:eastAsia="zh-CN"/>
              </w:rPr>
            </w:pPr>
            <w:r>
              <w:rPr>
                <w:rFonts w:hint="eastAsia"/>
                <w:kern w:val="2"/>
                <w:lang w:eastAsia="zh-CN"/>
              </w:rPr>
              <w:t>46</w:t>
            </w:r>
          </w:p>
        </w:tc>
        <w:tc>
          <w:tcPr>
            <w:tcW w:w="2016" w:type="dxa"/>
            <w:tcBorders>
              <w:tl2br w:val="nil"/>
              <w:tr2bl w:val="nil"/>
            </w:tcBorders>
            <w:vAlign w:val="center"/>
          </w:tcPr>
          <w:p w14:paraId="49BA7C36">
            <w:pPr>
              <w:pStyle w:val="62"/>
              <w:adjustRightInd w:val="0"/>
              <w:snapToGrid w:val="0"/>
              <w:contextualSpacing w:val="0"/>
              <w:rPr>
                <w:lang w:eastAsia="en-US"/>
              </w:rPr>
            </w:pPr>
            <w:r>
              <w:rPr>
                <w:rFonts w:hint="eastAsia"/>
                <w:lang w:eastAsia="zh-CN"/>
              </w:rPr>
              <w:t>西藏屯村</w:t>
            </w:r>
          </w:p>
        </w:tc>
        <w:tc>
          <w:tcPr>
            <w:tcW w:w="1192" w:type="dxa"/>
            <w:tcBorders>
              <w:tl2br w:val="nil"/>
              <w:tr2bl w:val="nil"/>
            </w:tcBorders>
            <w:vAlign w:val="center"/>
          </w:tcPr>
          <w:p w14:paraId="123BFEF5">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22B0C097">
            <w:pPr>
              <w:pStyle w:val="62"/>
              <w:adjustRightInd w:val="0"/>
              <w:snapToGrid w:val="0"/>
              <w:contextualSpacing w:val="0"/>
              <w:rPr>
                <w:lang w:eastAsia="zh-CN"/>
              </w:rPr>
            </w:pPr>
            <w:r>
              <w:rPr>
                <w:rFonts w:hint="eastAsia"/>
                <w:lang w:eastAsia="zh-CN"/>
              </w:rPr>
              <w:t>3840</w:t>
            </w:r>
          </w:p>
        </w:tc>
        <w:tc>
          <w:tcPr>
            <w:tcW w:w="1342" w:type="dxa"/>
            <w:tcBorders>
              <w:tl2br w:val="nil"/>
              <w:tr2bl w:val="nil"/>
            </w:tcBorders>
            <w:vAlign w:val="center"/>
          </w:tcPr>
          <w:p w14:paraId="71D9348C">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34C1DAF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420</w:t>
            </w:r>
          </w:p>
        </w:tc>
      </w:tr>
      <w:tr w14:paraId="131CD4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F8AC073">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3905DBC3">
            <w:pPr>
              <w:pStyle w:val="62"/>
              <w:adjustRightInd w:val="0"/>
              <w:snapToGrid w:val="0"/>
              <w:contextualSpacing w:val="0"/>
              <w:rPr>
                <w:kern w:val="2"/>
                <w:lang w:eastAsia="zh-CN"/>
              </w:rPr>
            </w:pPr>
            <w:r>
              <w:rPr>
                <w:rFonts w:hint="eastAsia"/>
                <w:kern w:val="2"/>
                <w:lang w:eastAsia="zh-CN"/>
              </w:rPr>
              <w:t>47</w:t>
            </w:r>
          </w:p>
        </w:tc>
        <w:tc>
          <w:tcPr>
            <w:tcW w:w="2016" w:type="dxa"/>
            <w:tcBorders>
              <w:tl2br w:val="nil"/>
              <w:tr2bl w:val="nil"/>
            </w:tcBorders>
            <w:vAlign w:val="center"/>
          </w:tcPr>
          <w:p w14:paraId="30CC958B">
            <w:pPr>
              <w:pStyle w:val="62"/>
              <w:adjustRightInd w:val="0"/>
              <w:snapToGrid w:val="0"/>
              <w:contextualSpacing w:val="0"/>
              <w:rPr>
                <w:lang w:eastAsia="en-US"/>
              </w:rPr>
            </w:pPr>
            <w:r>
              <w:rPr>
                <w:rFonts w:hint="eastAsia"/>
                <w:lang w:eastAsia="zh-CN"/>
              </w:rPr>
              <w:t>段先屯村</w:t>
            </w:r>
          </w:p>
        </w:tc>
        <w:tc>
          <w:tcPr>
            <w:tcW w:w="1192" w:type="dxa"/>
            <w:tcBorders>
              <w:tl2br w:val="nil"/>
              <w:tr2bl w:val="nil"/>
            </w:tcBorders>
            <w:vAlign w:val="center"/>
          </w:tcPr>
          <w:p w14:paraId="3391B6D6">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781FF233">
            <w:pPr>
              <w:pStyle w:val="62"/>
              <w:adjustRightInd w:val="0"/>
              <w:snapToGrid w:val="0"/>
              <w:contextualSpacing w:val="0"/>
              <w:rPr>
                <w:lang w:eastAsia="zh-CN"/>
              </w:rPr>
            </w:pPr>
            <w:r>
              <w:rPr>
                <w:rFonts w:hint="eastAsia"/>
                <w:lang w:eastAsia="zh-CN"/>
              </w:rPr>
              <w:t>4620</w:t>
            </w:r>
          </w:p>
        </w:tc>
        <w:tc>
          <w:tcPr>
            <w:tcW w:w="1342" w:type="dxa"/>
            <w:tcBorders>
              <w:tl2br w:val="nil"/>
              <w:tr2bl w:val="nil"/>
            </w:tcBorders>
            <w:vAlign w:val="center"/>
          </w:tcPr>
          <w:p w14:paraId="7C9B9326">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7769061F">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1710</w:t>
            </w:r>
          </w:p>
        </w:tc>
      </w:tr>
      <w:tr w14:paraId="40F3C5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54004CF1">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2A949F4E">
            <w:pPr>
              <w:pStyle w:val="62"/>
              <w:adjustRightInd w:val="0"/>
              <w:snapToGrid w:val="0"/>
              <w:contextualSpacing w:val="0"/>
              <w:rPr>
                <w:kern w:val="2"/>
                <w:lang w:eastAsia="zh-CN"/>
              </w:rPr>
            </w:pPr>
            <w:r>
              <w:rPr>
                <w:rFonts w:hint="eastAsia"/>
                <w:kern w:val="2"/>
                <w:lang w:eastAsia="zh-CN"/>
              </w:rPr>
              <w:t>48</w:t>
            </w:r>
          </w:p>
        </w:tc>
        <w:tc>
          <w:tcPr>
            <w:tcW w:w="2016" w:type="dxa"/>
            <w:tcBorders>
              <w:tl2br w:val="nil"/>
              <w:tr2bl w:val="nil"/>
            </w:tcBorders>
            <w:vAlign w:val="center"/>
          </w:tcPr>
          <w:p w14:paraId="22B04070">
            <w:pPr>
              <w:pStyle w:val="62"/>
              <w:adjustRightInd w:val="0"/>
              <w:snapToGrid w:val="0"/>
              <w:contextualSpacing w:val="0"/>
              <w:rPr>
                <w:lang w:eastAsia="zh-CN"/>
              </w:rPr>
            </w:pPr>
            <w:r>
              <w:rPr>
                <w:rFonts w:hint="eastAsia"/>
                <w:lang w:eastAsia="zh-CN"/>
              </w:rPr>
              <w:t>卫辉市第一中学新校区</w:t>
            </w:r>
          </w:p>
        </w:tc>
        <w:tc>
          <w:tcPr>
            <w:tcW w:w="1192" w:type="dxa"/>
            <w:tcBorders>
              <w:tl2br w:val="nil"/>
              <w:tr2bl w:val="nil"/>
            </w:tcBorders>
            <w:vAlign w:val="center"/>
          </w:tcPr>
          <w:p w14:paraId="5EA4DF01">
            <w:pPr>
              <w:pStyle w:val="62"/>
              <w:adjustRightInd w:val="0"/>
              <w:snapToGrid w:val="0"/>
              <w:contextualSpacing w:val="0"/>
              <w:rPr>
                <w:highlight w:val="yellow"/>
                <w:lang w:eastAsia="en-US"/>
              </w:rPr>
            </w:pPr>
            <w:r>
              <w:rPr>
                <w:rFonts w:hint="eastAsia"/>
                <w:lang w:eastAsia="zh-CN"/>
              </w:rPr>
              <w:t>西南</w:t>
            </w:r>
          </w:p>
        </w:tc>
        <w:tc>
          <w:tcPr>
            <w:tcW w:w="1192" w:type="dxa"/>
            <w:gridSpan w:val="2"/>
            <w:tcBorders>
              <w:tl2br w:val="nil"/>
              <w:tr2bl w:val="nil"/>
            </w:tcBorders>
            <w:vAlign w:val="center"/>
          </w:tcPr>
          <w:p w14:paraId="760C0CCA">
            <w:pPr>
              <w:pStyle w:val="62"/>
              <w:adjustRightInd w:val="0"/>
              <w:snapToGrid w:val="0"/>
              <w:contextualSpacing w:val="0"/>
              <w:rPr>
                <w:lang w:eastAsia="zh-CN"/>
              </w:rPr>
            </w:pPr>
            <w:r>
              <w:rPr>
                <w:rFonts w:hint="eastAsia"/>
                <w:lang w:eastAsia="zh-CN"/>
              </w:rPr>
              <w:t>4475</w:t>
            </w:r>
          </w:p>
        </w:tc>
        <w:tc>
          <w:tcPr>
            <w:tcW w:w="1342" w:type="dxa"/>
            <w:tcBorders>
              <w:tl2br w:val="nil"/>
              <w:tr2bl w:val="nil"/>
            </w:tcBorders>
            <w:vAlign w:val="center"/>
          </w:tcPr>
          <w:p w14:paraId="4753A302">
            <w:pPr>
              <w:pStyle w:val="62"/>
              <w:adjustRightInd w:val="0"/>
              <w:snapToGrid w:val="0"/>
              <w:contextualSpacing w:val="0"/>
              <w:rPr>
                <w:lang w:eastAsia="en-US"/>
              </w:rPr>
            </w:pPr>
            <w:r>
              <w:rPr>
                <w:rFonts w:hint="eastAsia"/>
                <w:lang w:eastAsia="zh-CN"/>
              </w:rPr>
              <w:t>文化教育</w:t>
            </w:r>
            <w:r>
              <w:rPr>
                <w:lang w:eastAsia="en-US"/>
              </w:rPr>
              <w:t>区</w:t>
            </w:r>
          </w:p>
        </w:tc>
        <w:tc>
          <w:tcPr>
            <w:tcW w:w="1419" w:type="dxa"/>
            <w:tcBorders>
              <w:tl2br w:val="nil"/>
              <w:tr2bl w:val="nil"/>
            </w:tcBorders>
            <w:vAlign w:val="center"/>
          </w:tcPr>
          <w:p w14:paraId="6EA166DB">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5000</w:t>
            </w:r>
          </w:p>
        </w:tc>
      </w:tr>
      <w:tr w14:paraId="720881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2E55B50">
            <w:pPr>
              <w:pStyle w:val="178"/>
              <w:jc w:val="center"/>
              <w:rPr>
                <w:rFonts w:ascii="Times New Roman" w:hAnsi="Times New Roman" w:cs="Times New Roman"/>
                <w:color w:val="auto"/>
                <w:highlight w:val="yellow"/>
              </w:rPr>
            </w:pPr>
          </w:p>
        </w:tc>
        <w:tc>
          <w:tcPr>
            <w:tcW w:w="768" w:type="dxa"/>
            <w:tcBorders>
              <w:tl2br w:val="nil"/>
              <w:tr2bl w:val="nil"/>
            </w:tcBorders>
            <w:vAlign w:val="center"/>
          </w:tcPr>
          <w:p w14:paraId="13ECF052">
            <w:pPr>
              <w:pStyle w:val="62"/>
              <w:adjustRightInd w:val="0"/>
              <w:snapToGrid w:val="0"/>
              <w:contextualSpacing w:val="0"/>
              <w:rPr>
                <w:kern w:val="2"/>
                <w:lang w:eastAsia="zh-CN"/>
              </w:rPr>
            </w:pPr>
            <w:r>
              <w:rPr>
                <w:rFonts w:hint="eastAsia"/>
                <w:kern w:val="2"/>
                <w:lang w:eastAsia="zh-CN"/>
              </w:rPr>
              <w:t>49</w:t>
            </w:r>
          </w:p>
        </w:tc>
        <w:tc>
          <w:tcPr>
            <w:tcW w:w="2016" w:type="dxa"/>
            <w:tcBorders>
              <w:tl2br w:val="nil"/>
              <w:tr2bl w:val="nil"/>
            </w:tcBorders>
            <w:vAlign w:val="center"/>
          </w:tcPr>
          <w:p w14:paraId="03CC2E9E">
            <w:pPr>
              <w:pStyle w:val="62"/>
              <w:adjustRightInd w:val="0"/>
              <w:snapToGrid w:val="0"/>
              <w:contextualSpacing w:val="0"/>
              <w:rPr>
                <w:lang w:eastAsia="en-US"/>
              </w:rPr>
            </w:pPr>
            <w:r>
              <w:rPr>
                <w:rFonts w:hint="eastAsia"/>
                <w:bCs/>
                <w:lang w:eastAsia="zh-CN"/>
              </w:rPr>
              <w:t>东司马村</w:t>
            </w:r>
          </w:p>
        </w:tc>
        <w:tc>
          <w:tcPr>
            <w:tcW w:w="1192" w:type="dxa"/>
            <w:tcBorders>
              <w:tl2br w:val="nil"/>
              <w:tr2bl w:val="nil"/>
            </w:tcBorders>
            <w:vAlign w:val="center"/>
          </w:tcPr>
          <w:p w14:paraId="4B25190C">
            <w:pPr>
              <w:pStyle w:val="62"/>
              <w:adjustRightInd w:val="0"/>
              <w:snapToGrid w:val="0"/>
              <w:contextualSpacing w:val="0"/>
              <w:rPr>
                <w:lang w:eastAsia="en-US"/>
              </w:rPr>
            </w:pPr>
            <w:r>
              <w:rPr>
                <w:rFonts w:hint="eastAsia"/>
                <w:lang w:eastAsia="zh-CN"/>
              </w:rPr>
              <w:t>西北</w:t>
            </w:r>
          </w:p>
        </w:tc>
        <w:tc>
          <w:tcPr>
            <w:tcW w:w="1192" w:type="dxa"/>
            <w:gridSpan w:val="2"/>
            <w:tcBorders>
              <w:tl2br w:val="nil"/>
              <w:tr2bl w:val="nil"/>
            </w:tcBorders>
            <w:vAlign w:val="center"/>
          </w:tcPr>
          <w:p w14:paraId="693EBD4B">
            <w:pPr>
              <w:pStyle w:val="62"/>
              <w:adjustRightInd w:val="0"/>
              <w:snapToGrid w:val="0"/>
              <w:contextualSpacing w:val="0"/>
              <w:rPr>
                <w:lang w:eastAsia="en-US"/>
              </w:rPr>
            </w:pPr>
            <w:r>
              <w:rPr>
                <w:rFonts w:hint="eastAsia"/>
                <w:lang w:eastAsia="zh-CN"/>
              </w:rPr>
              <w:t>3680</w:t>
            </w:r>
          </w:p>
        </w:tc>
        <w:tc>
          <w:tcPr>
            <w:tcW w:w="1342" w:type="dxa"/>
            <w:tcBorders>
              <w:tl2br w:val="nil"/>
              <w:tr2bl w:val="nil"/>
            </w:tcBorders>
            <w:vAlign w:val="center"/>
          </w:tcPr>
          <w:p w14:paraId="26F0E194">
            <w:pPr>
              <w:pStyle w:val="62"/>
              <w:adjustRightInd w:val="0"/>
              <w:snapToGrid w:val="0"/>
              <w:contextualSpacing w:val="0"/>
              <w:rPr>
                <w:lang w:eastAsia="en-US"/>
              </w:rPr>
            </w:pPr>
            <w:r>
              <w:rPr>
                <w:lang w:eastAsia="en-US"/>
              </w:rPr>
              <w:t>居住区</w:t>
            </w:r>
          </w:p>
        </w:tc>
        <w:tc>
          <w:tcPr>
            <w:tcW w:w="1419" w:type="dxa"/>
            <w:tcBorders>
              <w:tl2br w:val="nil"/>
              <w:tr2bl w:val="nil"/>
            </w:tcBorders>
            <w:vAlign w:val="center"/>
          </w:tcPr>
          <w:p w14:paraId="020AC3DC">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1500</w:t>
            </w:r>
          </w:p>
        </w:tc>
      </w:tr>
      <w:tr w14:paraId="10822B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4B5436AB">
            <w:pPr>
              <w:pStyle w:val="178"/>
              <w:jc w:val="center"/>
              <w:rPr>
                <w:rFonts w:ascii="Times New Roman" w:hAnsi="Times New Roman" w:cs="Times New Roman"/>
                <w:color w:val="auto"/>
                <w:highlight w:val="yellow"/>
              </w:rPr>
            </w:pPr>
          </w:p>
        </w:tc>
        <w:tc>
          <w:tcPr>
            <w:tcW w:w="6510" w:type="dxa"/>
            <w:gridSpan w:val="6"/>
            <w:tcBorders>
              <w:tl2br w:val="nil"/>
              <w:tr2bl w:val="nil"/>
            </w:tcBorders>
            <w:vAlign w:val="center"/>
          </w:tcPr>
          <w:p w14:paraId="78C21F9A">
            <w:pPr>
              <w:spacing w:line="240" w:lineRule="auto"/>
              <w:ind w:firstLine="0" w:firstLineChars="0"/>
              <w:jc w:val="center"/>
              <w:rPr>
                <w:szCs w:val="22"/>
                <w:lang w:eastAsia="zh-CN"/>
              </w:rPr>
            </w:pPr>
            <w:r>
              <w:rPr>
                <w:spacing w:val="-1"/>
                <w:sz w:val="21"/>
                <w:szCs w:val="21"/>
                <w:lang w:eastAsia="zh-CN"/>
              </w:rPr>
              <w:t>厂址周边500m范围内人口数小计</w:t>
            </w:r>
          </w:p>
        </w:tc>
        <w:tc>
          <w:tcPr>
            <w:tcW w:w="1419" w:type="dxa"/>
            <w:tcBorders>
              <w:tl2br w:val="nil"/>
              <w:tr2bl w:val="nil"/>
            </w:tcBorders>
            <w:vAlign w:val="center"/>
          </w:tcPr>
          <w:p w14:paraId="4A433CD9">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0</w:t>
            </w:r>
          </w:p>
        </w:tc>
      </w:tr>
      <w:tr w14:paraId="2F54AE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textDirection w:val="tbRlV"/>
            <w:vAlign w:val="center"/>
          </w:tcPr>
          <w:p w14:paraId="6CD9D816">
            <w:pPr>
              <w:pStyle w:val="178"/>
              <w:jc w:val="center"/>
              <w:rPr>
                <w:rFonts w:ascii="Times New Roman" w:hAnsi="Times New Roman" w:cs="Times New Roman"/>
                <w:color w:val="auto"/>
                <w:highlight w:val="yellow"/>
              </w:rPr>
            </w:pPr>
          </w:p>
        </w:tc>
        <w:tc>
          <w:tcPr>
            <w:tcW w:w="6510" w:type="dxa"/>
            <w:gridSpan w:val="6"/>
            <w:tcBorders>
              <w:tl2br w:val="nil"/>
              <w:tr2bl w:val="nil"/>
            </w:tcBorders>
            <w:vAlign w:val="center"/>
          </w:tcPr>
          <w:p w14:paraId="7C43A82B">
            <w:pPr>
              <w:spacing w:line="240" w:lineRule="auto"/>
              <w:ind w:firstLine="0" w:firstLineChars="0"/>
              <w:jc w:val="center"/>
              <w:rPr>
                <w:szCs w:val="22"/>
                <w:lang w:eastAsia="zh-CN"/>
              </w:rPr>
            </w:pPr>
            <w:r>
              <w:rPr>
                <w:spacing w:val="-1"/>
                <w:sz w:val="21"/>
                <w:szCs w:val="21"/>
                <w:lang w:eastAsia="zh-CN"/>
              </w:rPr>
              <w:t>厂址周边5km范围内人口数小计</w:t>
            </w:r>
          </w:p>
        </w:tc>
        <w:tc>
          <w:tcPr>
            <w:tcW w:w="1419" w:type="dxa"/>
            <w:tcBorders>
              <w:tl2br w:val="nil"/>
              <w:tr2bl w:val="nil"/>
            </w:tcBorders>
            <w:vAlign w:val="center"/>
          </w:tcPr>
          <w:p w14:paraId="4A977447">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339028</w:t>
            </w:r>
          </w:p>
        </w:tc>
      </w:tr>
      <w:tr w14:paraId="7CB0B7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restart"/>
            <w:tcBorders>
              <w:tl2br w:val="nil"/>
              <w:tr2bl w:val="nil"/>
            </w:tcBorders>
            <w:vAlign w:val="center"/>
          </w:tcPr>
          <w:p w14:paraId="5EC93E80">
            <w:pPr>
              <w:spacing w:line="240" w:lineRule="auto"/>
              <w:ind w:firstLine="0" w:firstLineChars="0"/>
              <w:jc w:val="center"/>
              <w:rPr>
                <w:rFonts w:eastAsiaTheme="minorEastAsia"/>
                <w:szCs w:val="22"/>
                <w:highlight w:val="yellow"/>
                <w:lang w:eastAsia="en-US"/>
              </w:rPr>
            </w:pPr>
            <w:r>
              <w:rPr>
                <w:rFonts w:eastAsiaTheme="minorEastAsia"/>
                <w:spacing w:val="-2"/>
                <w:sz w:val="21"/>
                <w:szCs w:val="21"/>
                <w:lang w:eastAsia="en-US"/>
              </w:rPr>
              <w:t>地表水</w:t>
            </w:r>
          </w:p>
        </w:tc>
        <w:tc>
          <w:tcPr>
            <w:tcW w:w="7929" w:type="dxa"/>
            <w:gridSpan w:val="7"/>
            <w:tcBorders>
              <w:tl2br w:val="nil"/>
              <w:tr2bl w:val="nil"/>
            </w:tcBorders>
            <w:vAlign w:val="center"/>
          </w:tcPr>
          <w:p w14:paraId="696FAF9B">
            <w:pPr>
              <w:spacing w:line="240" w:lineRule="auto"/>
              <w:ind w:firstLine="0" w:firstLineChars="0"/>
              <w:jc w:val="center"/>
              <w:rPr>
                <w:rFonts w:eastAsiaTheme="minorEastAsia"/>
                <w:szCs w:val="22"/>
                <w:lang w:eastAsia="en-US"/>
              </w:rPr>
            </w:pPr>
            <w:r>
              <w:rPr>
                <w:rFonts w:eastAsiaTheme="minorEastAsia"/>
                <w:b/>
                <w:bCs/>
                <w:spacing w:val="-2"/>
                <w:sz w:val="21"/>
                <w:szCs w:val="21"/>
                <w:lang w:eastAsia="en-US"/>
              </w:rPr>
              <w:t>受纳水体</w:t>
            </w:r>
          </w:p>
        </w:tc>
      </w:tr>
      <w:tr w14:paraId="3D5474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228A31A4">
            <w:pPr>
              <w:pStyle w:val="178"/>
              <w:jc w:val="center"/>
              <w:rPr>
                <w:rFonts w:ascii="Times New Roman" w:hAnsi="Times New Roman" w:cs="Times New Roman" w:eastAsiaTheme="minorEastAsia"/>
                <w:color w:val="auto"/>
                <w:highlight w:val="yellow"/>
              </w:rPr>
            </w:pPr>
          </w:p>
        </w:tc>
        <w:tc>
          <w:tcPr>
            <w:tcW w:w="768" w:type="dxa"/>
            <w:tcBorders>
              <w:tl2br w:val="nil"/>
              <w:tr2bl w:val="nil"/>
            </w:tcBorders>
            <w:vAlign w:val="center"/>
          </w:tcPr>
          <w:p w14:paraId="2A9F1567">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序号</w:t>
            </w:r>
          </w:p>
        </w:tc>
        <w:tc>
          <w:tcPr>
            <w:tcW w:w="2016" w:type="dxa"/>
            <w:tcBorders>
              <w:tl2br w:val="nil"/>
              <w:tr2bl w:val="nil"/>
            </w:tcBorders>
            <w:vAlign w:val="center"/>
          </w:tcPr>
          <w:p w14:paraId="3404EC6E">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受纳水体名称</w:t>
            </w:r>
          </w:p>
        </w:tc>
        <w:tc>
          <w:tcPr>
            <w:tcW w:w="2384" w:type="dxa"/>
            <w:gridSpan w:val="3"/>
            <w:tcBorders>
              <w:tl2br w:val="nil"/>
              <w:tr2bl w:val="nil"/>
            </w:tcBorders>
            <w:vAlign w:val="center"/>
          </w:tcPr>
          <w:p w14:paraId="3BEF13E6">
            <w:pPr>
              <w:spacing w:line="240" w:lineRule="auto"/>
              <w:ind w:firstLine="0" w:firstLineChars="0"/>
              <w:jc w:val="center"/>
              <w:rPr>
                <w:rFonts w:eastAsiaTheme="minorEastAsia"/>
                <w:b/>
                <w:bCs/>
                <w:szCs w:val="22"/>
                <w:lang w:eastAsia="en-US"/>
              </w:rPr>
            </w:pPr>
            <w:r>
              <w:rPr>
                <w:rFonts w:eastAsiaTheme="minorEastAsia"/>
                <w:b/>
                <w:bCs/>
                <w:spacing w:val="-1"/>
                <w:sz w:val="21"/>
                <w:szCs w:val="21"/>
                <w:lang w:eastAsia="en-US"/>
              </w:rPr>
              <w:t>排放点水域环境功能</w:t>
            </w:r>
          </w:p>
        </w:tc>
        <w:tc>
          <w:tcPr>
            <w:tcW w:w="2761" w:type="dxa"/>
            <w:gridSpan w:val="2"/>
            <w:tcBorders>
              <w:tl2br w:val="nil"/>
              <w:tr2bl w:val="nil"/>
            </w:tcBorders>
            <w:vAlign w:val="center"/>
          </w:tcPr>
          <w:p w14:paraId="5DDB3386">
            <w:pPr>
              <w:spacing w:line="240" w:lineRule="auto"/>
              <w:ind w:firstLine="0" w:firstLineChars="0"/>
              <w:jc w:val="center"/>
              <w:rPr>
                <w:rFonts w:eastAsiaTheme="minorEastAsia"/>
                <w:b/>
                <w:bCs/>
                <w:szCs w:val="22"/>
                <w:lang w:eastAsia="en-US"/>
              </w:rPr>
            </w:pPr>
            <w:r>
              <w:rPr>
                <w:rFonts w:eastAsiaTheme="minorEastAsia"/>
                <w:b/>
                <w:bCs/>
                <w:spacing w:val="-1"/>
                <w:sz w:val="21"/>
                <w:szCs w:val="21"/>
                <w:lang w:eastAsia="en-US"/>
              </w:rPr>
              <w:t>24h内流经范围/km</w:t>
            </w:r>
          </w:p>
        </w:tc>
      </w:tr>
      <w:tr w14:paraId="072A20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6C108247">
            <w:pPr>
              <w:pStyle w:val="178"/>
              <w:jc w:val="center"/>
              <w:rPr>
                <w:rFonts w:ascii="Times New Roman" w:hAnsi="Times New Roman" w:cs="Times New Roman" w:eastAsiaTheme="minorEastAsia"/>
                <w:color w:val="auto"/>
                <w:highlight w:val="yellow"/>
              </w:rPr>
            </w:pPr>
          </w:p>
        </w:tc>
        <w:tc>
          <w:tcPr>
            <w:tcW w:w="768" w:type="dxa"/>
            <w:tcBorders>
              <w:tl2br w:val="nil"/>
              <w:tr2bl w:val="nil"/>
            </w:tcBorders>
            <w:vAlign w:val="center"/>
          </w:tcPr>
          <w:p w14:paraId="5062E064">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1</w:t>
            </w:r>
          </w:p>
        </w:tc>
        <w:tc>
          <w:tcPr>
            <w:tcW w:w="2016" w:type="dxa"/>
            <w:tcBorders>
              <w:tl2br w:val="nil"/>
              <w:tr2bl w:val="nil"/>
            </w:tcBorders>
            <w:vAlign w:val="center"/>
          </w:tcPr>
          <w:p w14:paraId="7C474D3E">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共产主义渠</w:t>
            </w:r>
          </w:p>
        </w:tc>
        <w:tc>
          <w:tcPr>
            <w:tcW w:w="2384" w:type="dxa"/>
            <w:gridSpan w:val="3"/>
            <w:tcBorders>
              <w:tl2br w:val="nil"/>
              <w:tr2bl w:val="nil"/>
            </w:tcBorders>
            <w:vAlign w:val="center"/>
          </w:tcPr>
          <w:p w14:paraId="566B3976">
            <w:pPr>
              <w:pStyle w:val="178"/>
              <w:jc w:val="center"/>
              <w:rPr>
                <w:rFonts w:ascii="Times New Roman" w:hAnsi="Times New Roman" w:cs="Times New Roman" w:eastAsiaTheme="minorEastAsia"/>
                <w:color w:val="auto"/>
                <w:highlight w:val="yellow"/>
              </w:rPr>
            </w:pPr>
            <w:r>
              <w:rPr>
                <w:rFonts w:ascii="Times New Roman" w:hAnsi="Times New Roman" w:cs="Times New Roman" w:eastAsiaTheme="minorEastAsia"/>
                <w:color w:val="auto"/>
              </w:rPr>
              <w:fldChar w:fldCharType="begin"/>
            </w:r>
            <w:r>
              <w:rPr>
                <w:rFonts w:ascii="Times New Roman" w:hAnsi="Times New Roman" w:cs="Times New Roman" w:eastAsiaTheme="minorEastAsia"/>
                <w:color w:val="auto"/>
              </w:rPr>
              <w:instrText xml:space="preserve"> = 4 \* ROMAN \* MERGEFORMAT </w:instrText>
            </w:r>
            <w:r>
              <w:rPr>
                <w:rFonts w:ascii="Times New Roman" w:hAnsi="Times New Roman" w:cs="Times New Roman" w:eastAsiaTheme="minorEastAsia"/>
                <w:color w:val="auto"/>
              </w:rPr>
              <w:fldChar w:fldCharType="separate"/>
            </w:r>
            <w:r>
              <w:rPr>
                <w:rFonts w:ascii="Times New Roman" w:hAnsi="Times New Roman" w:cs="Times New Roman"/>
                <w:color w:val="auto"/>
              </w:rPr>
              <w:t>IV</w:t>
            </w:r>
            <w:r>
              <w:rPr>
                <w:rFonts w:ascii="Times New Roman" w:hAnsi="Times New Roman" w:cs="Times New Roman" w:eastAsiaTheme="minorEastAsia"/>
                <w:color w:val="auto"/>
              </w:rPr>
              <w:fldChar w:fldCharType="end"/>
            </w:r>
          </w:p>
        </w:tc>
        <w:tc>
          <w:tcPr>
            <w:tcW w:w="2761" w:type="dxa"/>
            <w:gridSpan w:val="2"/>
            <w:tcBorders>
              <w:tl2br w:val="nil"/>
              <w:tr2bl w:val="nil"/>
            </w:tcBorders>
            <w:vAlign w:val="center"/>
          </w:tcPr>
          <w:p w14:paraId="6A883A1B">
            <w:pPr>
              <w:pStyle w:val="178"/>
              <w:jc w:val="center"/>
              <w:rPr>
                <w:rFonts w:ascii="Times New Roman" w:hAnsi="Times New Roman" w:cs="Times New Roman" w:eastAsiaTheme="minorEastAsia"/>
                <w:color w:val="auto"/>
                <w:highlight w:val="yellow"/>
                <w:lang w:eastAsia="zh-CN"/>
              </w:rPr>
            </w:pPr>
            <w:r>
              <w:rPr>
                <w:rFonts w:ascii="Times New Roman" w:hAnsi="Times New Roman" w:cs="Times New Roman" w:eastAsiaTheme="minorEastAsia"/>
                <w:color w:val="auto"/>
                <w:lang w:eastAsia="zh-CN"/>
              </w:rPr>
              <w:t>28.5</w:t>
            </w:r>
            <w:r>
              <w:rPr>
                <w:rFonts w:hint="eastAsia" w:ascii="Times New Roman" w:hAnsi="Times New Roman" w:cs="Times New Roman" w:eastAsiaTheme="minorEastAsia"/>
                <w:color w:val="auto"/>
                <w:lang w:eastAsia="zh-CN"/>
              </w:rPr>
              <w:t>km</w:t>
            </w:r>
          </w:p>
        </w:tc>
      </w:tr>
      <w:tr w14:paraId="06E073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084BFA85">
            <w:pPr>
              <w:pStyle w:val="178"/>
              <w:jc w:val="center"/>
              <w:rPr>
                <w:rFonts w:ascii="Times New Roman" w:hAnsi="Times New Roman" w:cs="Times New Roman" w:eastAsiaTheme="minorEastAsia"/>
                <w:color w:val="auto"/>
                <w:highlight w:val="yellow"/>
              </w:rPr>
            </w:pPr>
          </w:p>
        </w:tc>
        <w:tc>
          <w:tcPr>
            <w:tcW w:w="768" w:type="dxa"/>
            <w:tcBorders>
              <w:tl2br w:val="nil"/>
              <w:tr2bl w:val="nil"/>
            </w:tcBorders>
            <w:vAlign w:val="center"/>
          </w:tcPr>
          <w:p w14:paraId="65D66B53">
            <w:pPr>
              <w:pStyle w:val="178"/>
              <w:jc w:val="center"/>
              <w:rPr>
                <w:rFonts w:ascii="Times New Roman" w:hAnsi="Times New Roman" w:cs="Times New Roman" w:eastAsiaTheme="minorEastAsia"/>
                <w:color w:val="auto"/>
                <w:lang w:eastAsia="zh-CN"/>
              </w:rPr>
            </w:pPr>
            <w:r>
              <w:rPr>
                <w:rFonts w:eastAsiaTheme="minorEastAsia"/>
                <w:b/>
                <w:bCs/>
                <w:color w:val="auto"/>
                <w:spacing w:val="-2"/>
              </w:rPr>
              <w:t>序号</w:t>
            </w:r>
          </w:p>
        </w:tc>
        <w:tc>
          <w:tcPr>
            <w:tcW w:w="2016" w:type="dxa"/>
            <w:tcBorders>
              <w:tl2br w:val="nil"/>
              <w:tr2bl w:val="nil"/>
            </w:tcBorders>
            <w:vAlign w:val="center"/>
          </w:tcPr>
          <w:p w14:paraId="6DE03307">
            <w:pPr>
              <w:pStyle w:val="178"/>
              <w:jc w:val="center"/>
              <w:rPr>
                <w:rFonts w:ascii="Times New Roman" w:hAnsi="Times New Roman" w:cs="Times New Roman" w:eastAsiaTheme="minorEastAsia"/>
                <w:color w:val="auto"/>
                <w:lang w:eastAsia="zh-CN"/>
              </w:rPr>
            </w:pPr>
            <w:r>
              <w:rPr>
                <w:rFonts w:eastAsiaTheme="minorEastAsia"/>
                <w:b/>
                <w:bCs/>
                <w:color w:val="auto"/>
                <w:spacing w:val="-1"/>
              </w:rPr>
              <w:t>环境敏感区名称</w:t>
            </w:r>
          </w:p>
        </w:tc>
        <w:tc>
          <w:tcPr>
            <w:tcW w:w="1385" w:type="dxa"/>
            <w:gridSpan w:val="2"/>
            <w:tcBorders>
              <w:tl2br w:val="nil"/>
              <w:tr2bl w:val="nil"/>
            </w:tcBorders>
            <w:vAlign w:val="center"/>
          </w:tcPr>
          <w:p w14:paraId="2A555CE7">
            <w:pPr>
              <w:pStyle w:val="178"/>
              <w:jc w:val="center"/>
              <w:rPr>
                <w:rFonts w:ascii="Times New Roman" w:hAnsi="Times New Roman" w:cs="Times New Roman" w:eastAsiaTheme="minorEastAsia"/>
                <w:color w:val="auto"/>
              </w:rPr>
            </w:pPr>
            <w:r>
              <w:rPr>
                <w:rFonts w:eastAsiaTheme="minorEastAsia"/>
                <w:b/>
                <w:bCs/>
                <w:color w:val="auto"/>
                <w:spacing w:val="-1"/>
              </w:rPr>
              <w:t>环境敏感特征</w:t>
            </w:r>
          </w:p>
        </w:tc>
        <w:tc>
          <w:tcPr>
            <w:tcW w:w="999" w:type="dxa"/>
            <w:tcBorders>
              <w:tl2br w:val="nil"/>
              <w:tr2bl w:val="nil"/>
            </w:tcBorders>
            <w:vAlign w:val="center"/>
          </w:tcPr>
          <w:p w14:paraId="4D12989D">
            <w:pPr>
              <w:pStyle w:val="178"/>
              <w:jc w:val="center"/>
              <w:rPr>
                <w:rFonts w:ascii="Times New Roman" w:hAnsi="Times New Roman" w:cs="Times New Roman" w:eastAsiaTheme="minorEastAsia"/>
                <w:color w:val="auto"/>
              </w:rPr>
            </w:pPr>
            <w:r>
              <w:rPr>
                <w:rFonts w:eastAsiaTheme="minorEastAsia"/>
                <w:b/>
                <w:bCs/>
                <w:color w:val="auto"/>
                <w:spacing w:val="-2"/>
              </w:rPr>
              <w:t>水质目标</w:t>
            </w:r>
          </w:p>
        </w:tc>
        <w:tc>
          <w:tcPr>
            <w:tcW w:w="2761" w:type="dxa"/>
            <w:gridSpan w:val="2"/>
            <w:tcBorders>
              <w:tl2br w:val="nil"/>
              <w:tr2bl w:val="nil"/>
            </w:tcBorders>
            <w:vAlign w:val="center"/>
          </w:tcPr>
          <w:p w14:paraId="5D75AFA7">
            <w:pPr>
              <w:pStyle w:val="178"/>
              <w:jc w:val="center"/>
              <w:rPr>
                <w:rFonts w:ascii="Times New Roman" w:hAnsi="Times New Roman" w:cs="Times New Roman" w:eastAsiaTheme="minorEastAsia"/>
                <w:color w:val="auto"/>
                <w:lang w:eastAsia="zh-CN"/>
              </w:rPr>
            </w:pPr>
            <w:r>
              <w:rPr>
                <w:rFonts w:eastAsiaTheme="minorEastAsia"/>
                <w:b/>
                <w:bCs/>
                <w:color w:val="auto"/>
                <w:spacing w:val="-2"/>
              </w:rPr>
              <w:t>与</w:t>
            </w:r>
            <w:r>
              <w:rPr>
                <w:rFonts w:hint="eastAsia" w:eastAsiaTheme="minorEastAsia"/>
                <w:b/>
                <w:bCs/>
                <w:color w:val="auto"/>
                <w:spacing w:val="-2"/>
                <w:lang w:eastAsia="zh-CN"/>
              </w:rPr>
              <w:t>排放点</w:t>
            </w:r>
            <w:r>
              <w:rPr>
                <w:rFonts w:eastAsiaTheme="minorEastAsia"/>
                <w:b/>
                <w:bCs/>
                <w:color w:val="auto"/>
                <w:spacing w:val="-2"/>
              </w:rPr>
              <w:t>距离/m</w:t>
            </w:r>
          </w:p>
        </w:tc>
      </w:tr>
      <w:tr w14:paraId="20B4D2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2FA69A4C">
            <w:pPr>
              <w:pStyle w:val="178"/>
              <w:jc w:val="center"/>
              <w:rPr>
                <w:rFonts w:ascii="Times New Roman" w:hAnsi="Times New Roman" w:cs="Times New Roman" w:eastAsiaTheme="minorEastAsia"/>
                <w:color w:val="auto"/>
                <w:highlight w:val="yellow"/>
              </w:rPr>
            </w:pPr>
          </w:p>
        </w:tc>
        <w:tc>
          <w:tcPr>
            <w:tcW w:w="768" w:type="dxa"/>
            <w:tcBorders>
              <w:tl2br w:val="nil"/>
              <w:tr2bl w:val="nil"/>
            </w:tcBorders>
            <w:vAlign w:val="center"/>
          </w:tcPr>
          <w:p w14:paraId="257A27A8">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1</w:t>
            </w:r>
          </w:p>
        </w:tc>
        <w:tc>
          <w:tcPr>
            <w:tcW w:w="2016" w:type="dxa"/>
            <w:tcBorders>
              <w:tl2br w:val="nil"/>
              <w:tr2bl w:val="nil"/>
            </w:tcBorders>
            <w:vAlign w:val="center"/>
          </w:tcPr>
          <w:p w14:paraId="5A502DE6">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南水北调干渠</w:t>
            </w:r>
          </w:p>
        </w:tc>
        <w:tc>
          <w:tcPr>
            <w:tcW w:w="1385" w:type="dxa"/>
            <w:gridSpan w:val="2"/>
            <w:tcBorders>
              <w:tl2br w:val="nil"/>
              <w:tr2bl w:val="nil"/>
            </w:tcBorders>
            <w:vAlign w:val="center"/>
          </w:tcPr>
          <w:p w14:paraId="7A49ECED">
            <w:pPr>
              <w:pStyle w:val="178"/>
              <w:jc w:val="center"/>
              <w:rPr>
                <w:rFonts w:ascii="Times New Roman" w:hAnsi="Times New Roman" w:cs="Times New Roman" w:eastAsiaTheme="minorEastAsia"/>
                <w:color w:val="auto"/>
              </w:rPr>
            </w:pPr>
            <w:r>
              <w:rPr>
                <w:rFonts w:hint="eastAsia" w:ascii="Times New Roman" w:hAnsi="Times New Roman" w:cs="Times New Roman" w:eastAsiaTheme="minorEastAsia"/>
                <w:color w:val="auto"/>
                <w:lang w:eastAsia="zh-CN"/>
              </w:rPr>
              <w:t>地表饮用水水源</w:t>
            </w:r>
          </w:p>
        </w:tc>
        <w:tc>
          <w:tcPr>
            <w:tcW w:w="999" w:type="dxa"/>
            <w:tcBorders>
              <w:tl2br w:val="nil"/>
              <w:tr2bl w:val="nil"/>
            </w:tcBorders>
            <w:vAlign w:val="center"/>
          </w:tcPr>
          <w:p w14:paraId="50FDB08A">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II</w:t>
            </w:r>
          </w:p>
        </w:tc>
        <w:tc>
          <w:tcPr>
            <w:tcW w:w="2761" w:type="dxa"/>
            <w:gridSpan w:val="2"/>
            <w:tcBorders>
              <w:tl2br w:val="nil"/>
              <w:tr2bl w:val="nil"/>
            </w:tcBorders>
            <w:vAlign w:val="center"/>
          </w:tcPr>
          <w:p w14:paraId="2F6A6BC3">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4500</w:t>
            </w:r>
          </w:p>
        </w:tc>
      </w:tr>
      <w:tr w14:paraId="2F4C34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restart"/>
            <w:tcBorders>
              <w:tl2br w:val="nil"/>
              <w:tr2bl w:val="nil"/>
            </w:tcBorders>
            <w:vAlign w:val="center"/>
          </w:tcPr>
          <w:p w14:paraId="7632C63B">
            <w:pPr>
              <w:spacing w:line="240" w:lineRule="auto"/>
              <w:ind w:firstLine="0" w:firstLineChars="0"/>
              <w:jc w:val="center"/>
              <w:rPr>
                <w:rFonts w:eastAsiaTheme="minorEastAsia"/>
                <w:szCs w:val="22"/>
                <w:lang w:eastAsia="en-US"/>
              </w:rPr>
            </w:pPr>
            <w:r>
              <w:rPr>
                <w:rFonts w:eastAsiaTheme="minorEastAsia"/>
                <w:spacing w:val="-2"/>
                <w:sz w:val="21"/>
                <w:szCs w:val="21"/>
                <w:lang w:eastAsia="en-US"/>
              </w:rPr>
              <w:t>地下水</w:t>
            </w:r>
          </w:p>
        </w:tc>
        <w:tc>
          <w:tcPr>
            <w:tcW w:w="768" w:type="dxa"/>
            <w:tcBorders>
              <w:tl2br w:val="nil"/>
              <w:tr2bl w:val="nil"/>
            </w:tcBorders>
            <w:vAlign w:val="center"/>
          </w:tcPr>
          <w:p w14:paraId="14EBCE68">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序号</w:t>
            </w:r>
          </w:p>
        </w:tc>
        <w:tc>
          <w:tcPr>
            <w:tcW w:w="2016" w:type="dxa"/>
            <w:tcBorders>
              <w:tl2br w:val="nil"/>
              <w:tr2bl w:val="nil"/>
            </w:tcBorders>
            <w:vAlign w:val="center"/>
          </w:tcPr>
          <w:p w14:paraId="355A20C2">
            <w:pPr>
              <w:spacing w:line="240" w:lineRule="auto"/>
              <w:ind w:firstLine="0" w:firstLineChars="0"/>
              <w:jc w:val="center"/>
              <w:rPr>
                <w:rFonts w:eastAsiaTheme="minorEastAsia"/>
                <w:b/>
                <w:bCs/>
                <w:szCs w:val="22"/>
                <w:lang w:eastAsia="en-US"/>
              </w:rPr>
            </w:pPr>
            <w:r>
              <w:rPr>
                <w:rFonts w:eastAsiaTheme="minorEastAsia"/>
                <w:b/>
                <w:bCs/>
                <w:spacing w:val="-1"/>
                <w:sz w:val="21"/>
                <w:szCs w:val="21"/>
                <w:lang w:eastAsia="en-US"/>
              </w:rPr>
              <w:t>环境敏感区名称</w:t>
            </w:r>
          </w:p>
        </w:tc>
        <w:tc>
          <w:tcPr>
            <w:tcW w:w="1385" w:type="dxa"/>
            <w:gridSpan w:val="2"/>
            <w:tcBorders>
              <w:tl2br w:val="nil"/>
              <w:tr2bl w:val="nil"/>
            </w:tcBorders>
            <w:vAlign w:val="center"/>
          </w:tcPr>
          <w:p w14:paraId="5DA7760F">
            <w:pPr>
              <w:spacing w:line="240" w:lineRule="auto"/>
              <w:ind w:firstLine="0" w:firstLineChars="0"/>
              <w:jc w:val="center"/>
              <w:rPr>
                <w:rFonts w:eastAsiaTheme="minorEastAsia"/>
                <w:b/>
                <w:bCs/>
                <w:szCs w:val="22"/>
                <w:lang w:eastAsia="en-US"/>
              </w:rPr>
            </w:pPr>
            <w:r>
              <w:rPr>
                <w:rFonts w:eastAsiaTheme="minorEastAsia"/>
                <w:b/>
                <w:bCs/>
                <w:spacing w:val="-1"/>
                <w:sz w:val="21"/>
                <w:szCs w:val="21"/>
                <w:lang w:eastAsia="en-US"/>
              </w:rPr>
              <w:t>环境敏感特征</w:t>
            </w:r>
          </w:p>
        </w:tc>
        <w:tc>
          <w:tcPr>
            <w:tcW w:w="999" w:type="dxa"/>
            <w:tcBorders>
              <w:tl2br w:val="nil"/>
              <w:tr2bl w:val="nil"/>
            </w:tcBorders>
            <w:vAlign w:val="center"/>
          </w:tcPr>
          <w:p w14:paraId="7C691781">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水质目标</w:t>
            </w:r>
          </w:p>
        </w:tc>
        <w:tc>
          <w:tcPr>
            <w:tcW w:w="2761" w:type="dxa"/>
            <w:gridSpan w:val="2"/>
            <w:tcBorders>
              <w:tl2br w:val="nil"/>
              <w:tr2bl w:val="nil"/>
            </w:tcBorders>
            <w:vAlign w:val="center"/>
          </w:tcPr>
          <w:p w14:paraId="66B7ABF1">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与下游厂界距离/m</w:t>
            </w:r>
          </w:p>
        </w:tc>
      </w:tr>
      <w:tr w14:paraId="0D1278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1998973D">
            <w:pPr>
              <w:pStyle w:val="178"/>
              <w:jc w:val="center"/>
              <w:rPr>
                <w:rFonts w:ascii="Times New Roman" w:hAnsi="Times New Roman" w:cs="Times New Roman" w:eastAsiaTheme="minorEastAsia"/>
                <w:color w:val="auto"/>
              </w:rPr>
            </w:pPr>
          </w:p>
        </w:tc>
        <w:tc>
          <w:tcPr>
            <w:tcW w:w="768" w:type="dxa"/>
            <w:tcBorders>
              <w:tl2br w:val="nil"/>
              <w:tr2bl w:val="nil"/>
            </w:tcBorders>
            <w:vAlign w:val="center"/>
          </w:tcPr>
          <w:p w14:paraId="0DEEB8C9">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1</w:t>
            </w:r>
          </w:p>
        </w:tc>
        <w:tc>
          <w:tcPr>
            <w:tcW w:w="2016" w:type="dxa"/>
            <w:tcBorders>
              <w:tl2br w:val="nil"/>
              <w:tr2bl w:val="nil"/>
            </w:tcBorders>
            <w:vAlign w:val="center"/>
          </w:tcPr>
          <w:p w14:paraId="1A339E49">
            <w:pPr>
              <w:pStyle w:val="62"/>
              <w:adjustRightInd w:val="0"/>
              <w:snapToGrid w:val="0"/>
              <w:contextualSpacing w:val="0"/>
              <w:rPr>
                <w:lang w:eastAsia="en-US"/>
              </w:rPr>
            </w:pPr>
            <w:r>
              <w:rPr>
                <w:lang w:eastAsia="en-US"/>
              </w:rPr>
              <w:t>郭全屯村水井</w:t>
            </w:r>
          </w:p>
        </w:tc>
        <w:tc>
          <w:tcPr>
            <w:tcW w:w="1385" w:type="dxa"/>
            <w:gridSpan w:val="2"/>
            <w:vMerge w:val="restart"/>
            <w:tcBorders>
              <w:tl2br w:val="nil"/>
              <w:tr2bl w:val="nil"/>
            </w:tcBorders>
            <w:vAlign w:val="center"/>
          </w:tcPr>
          <w:p w14:paraId="494C10E3">
            <w:pPr>
              <w:pStyle w:val="62"/>
              <w:adjustRightInd w:val="0"/>
              <w:snapToGrid w:val="0"/>
              <w:rPr>
                <w:lang w:eastAsia="zh-CN"/>
              </w:rPr>
            </w:pPr>
            <w:r>
              <w:rPr>
                <w:rFonts w:hint="eastAsia"/>
                <w:lang w:eastAsia="zh-CN"/>
              </w:rPr>
              <w:t>分散式饮用水源</w:t>
            </w:r>
          </w:p>
        </w:tc>
        <w:tc>
          <w:tcPr>
            <w:tcW w:w="999" w:type="dxa"/>
            <w:vMerge w:val="restart"/>
            <w:tcBorders>
              <w:tl2br w:val="nil"/>
              <w:tr2bl w:val="nil"/>
            </w:tcBorders>
            <w:vAlign w:val="center"/>
          </w:tcPr>
          <w:p w14:paraId="0630C16A">
            <w:pPr>
              <w:pStyle w:val="178"/>
              <w:jc w:val="center"/>
              <w:rPr>
                <w:rFonts w:ascii="Times New Roman" w:hAnsi="Times New Roman" w:cs="Times New Roman" w:eastAsiaTheme="minorEastAsia"/>
                <w:color w:val="auto"/>
              </w:rPr>
            </w:pPr>
            <w:r>
              <w:rPr>
                <w:rFonts w:ascii="Times New Roman" w:hAnsi="Times New Roman" w:cs="Times New Roman" w:eastAsiaTheme="minorEastAsia"/>
                <w:color w:val="auto"/>
              </w:rPr>
              <w:fldChar w:fldCharType="begin"/>
            </w:r>
            <w:r>
              <w:rPr>
                <w:rFonts w:ascii="Times New Roman" w:hAnsi="Times New Roman" w:cs="Times New Roman" w:eastAsiaTheme="minorEastAsia"/>
                <w:color w:val="auto"/>
              </w:rPr>
              <w:instrText xml:space="preserve"> = 3 \* ROMAN \* MERGEFORMAT </w:instrText>
            </w:r>
            <w:r>
              <w:rPr>
                <w:rFonts w:ascii="Times New Roman" w:hAnsi="Times New Roman" w:cs="Times New Roman" w:eastAsiaTheme="minorEastAsia"/>
                <w:color w:val="auto"/>
              </w:rPr>
              <w:fldChar w:fldCharType="separate"/>
            </w:r>
            <w:r>
              <w:rPr>
                <w:rFonts w:ascii="Times New Roman" w:hAnsi="Times New Roman" w:cs="Times New Roman"/>
                <w:color w:val="auto"/>
              </w:rPr>
              <w:t>III</w:t>
            </w:r>
            <w:r>
              <w:rPr>
                <w:rFonts w:ascii="Times New Roman" w:hAnsi="Times New Roman" w:cs="Times New Roman" w:eastAsiaTheme="minorEastAsia"/>
                <w:color w:val="auto"/>
              </w:rPr>
              <w:fldChar w:fldCharType="end"/>
            </w:r>
          </w:p>
        </w:tc>
        <w:tc>
          <w:tcPr>
            <w:tcW w:w="2761" w:type="dxa"/>
            <w:gridSpan w:val="2"/>
            <w:tcBorders>
              <w:tl2br w:val="nil"/>
              <w:tr2bl w:val="nil"/>
            </w:tcBorders>
            <w:vAlign w:val="center"/>
          </w:tcPr>
          <w:p w14:paraId="1778B708">
            <w:pPr>
              <w:pStyle w:val="62"/>
              <w:adjustRightInd w:val="0"/>
              <w:snapToGrid w:val="0"/>
              <w:contextualSpacing w:val="0"/>
              <w:rPr>
                <w:bCs/>
                <w:lang w:eastAsia="zh-CN"/>
              </w:rPr>
            </w:pPr>
            <w:r>
              <w:rPr>
                <w:rFonts w:hint="eastAsia"/>
                <w:bCs/>
                <w:lang w:eastAsia="zh-CN"/>
              </w:rPr>
              <w:t>1270</w:t>
            </w:r>
          </w:p>
        </w:tc>
      </w:tr>
      <w:tr w14:paraId="692C6D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189B76D5">
            <w:pPr>
              <w:pStyle w:val="178"/>
              <w:jc w:val="center"/>
              <w:rPr>
                <w:rFonts w:ascii="Times New Roman" w:hAnsi="Times New Roman" w:cs="Times New Roman" w:eastAsiaTheme="minorEastAsia"/>
                <w:color w:val="auto"/>
              </w:rPr>
            </w:pPr>
          </w:p>
        </w:tc>
        <w:tc>
          <w:tcPr>
            <w:tcW w:w="768" w:type="dxa"/>
            <w:tcBorders>
              <w:tl2br w:val="nil"/>
              <w:tr2bl w:val="nil"/>
            </w:tcBorders>
            <w:vAlign w:val="center"/>
          </w:tcPr>
          <w:p w14:paraId="1F2A8579">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2</w:t>
            </w:r>
          </w:p>
        </w:tc>
        <w:tc>
          <w:tcPr>
            <w:tcW w:w="2016" w:type="dxa"/>
            <w:tcBorders>
              <w:tl2br w:val="nil"/>
              <w:tr2bl w:val="nil"/>
            </w:tcBorders>
            <w:vAlign w:val="center"/>
          </w:tcPr>
          <w:p w14:paraId="3D4F405C">
            <w:pPr>
              <w:pStyle w:val="62"/>
              <w:adjustRightInd w:val="0"/>
              <w:snapToGrid w:val="0"/>
              <w:contextualSpacing w:val="0"/>
              <w:rPr>
                <w:lang w:eastAsia="en-US"/>
              </w:rPr>
            </w:pPr>
            <w:r>
              <w:rPr>
                <w:lang w:eastAsia="en-US"/>
              </w:rPr>
              <w:t>龙王庙饮用水井</w:t>
            </w:r>
          </w:p>
        </w:tc>
        <w:tc>
          <w:tcPr>
            <w:tcW w:w="1385" w:type="dxa"/>
            <w:gridSpan w:val="2"/>
            <w:vMerge w:val="continue"/>
            <w:tcBorders>
              <w:tl2br w:val="nil"/>
              <w:tr2bl w:val="nil"/>
            </w:tcBorders>
            <w:vAlign w:val="center"/>
          </w:tcPr>
          <w:p w14:paraId="2464D540">
            <w:pPr>
              <w:pStyle w:val="62"/>
              <w:adjustRightInd w:val="0"/>
              <w:snapToGrid w:val="0"/>
              <w:contextualSpacing w:val="0"/>
              <w:rPr>
                <w:lang w:eastAsia="zh-CN"/>
              </w:rPr>
            </w:pPr>
          </w:p>
        </w:tc>
        <w:tc>
          <w:tcPr>
            <w:tcW w:w="999" w:type="dxa"/>
            <w:vMerge w:val="continue"/>
            <w:tcBorders>
              <w:tl2br w:val="nil"/>
              <w:tr2bl w:val="nil"/>
            </w:tcBorders>
            <w:vAlign w:val="center"/>
          </w:tcPr>
          <w:p w14:paraId="4B55CB32">
            <w:pPr>
              <w:pStyle w:val="178"/>
              <w:jc w:val="center"/>
              <w:rPr>
                <w:rFonts w:ascii="Times New Roman" w:hAnsi="Times New Roman" w:cs="Times New Roman" w:eastAsiaTheme="minorEastAsia"/>
                <w:color w:val="auto"/>
                <w:lang w:eastAsia="zh-CN"/>
              </w:rPr>
            </w:pPr>
          </w:p>
        </w:tc>
        <w:tc>
          <w:tcPr>
            <w:tcW w:w="2761" w:type="dxa"/>
            <w:gridSpan w:val="2"/>
            <w:tcBorders>
              <w:tl2br w:val="nil"/>
              <w:tr2bl w:val="nil"/>
            </w:tcBorders>
            <w:vAlign w:val="center"/>
          </w:tcPr>
          <w:p w14:paraId="356119ED">
            <w:pPr>
              <w:pStyle w:val="62"/>
              <w:adjustRightInd w:val="0"/>
              <w:snapToGrid w:val="0"/>
              <w:contextualSpacing w:val="0"/>
              <w:rPr>
                <w:lang w:eastAsia="zh-CN"/>
              </w:rPr>
            </w:pPr>
            <w:r>
              <w:rPr>
                <w:rFonts w:hint="eastAsia"/>
                <w:lang w:eastAsia="zh-CN"/>
              </w:rPr>
              <w:t>900</w:t>
            </w:r>
          </w:p>
        </w:tc>
      </w:tr>
      <w:tr w14:paraId="400324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68847B65">
            <w:pPr>
              <w:pStyle w:val="178"/>
              <w:jc w:val="center"/>
              <w:rPr>
                <w:rFonts w:ascii="Times New Roman" w:hAnsi="Times New Roman" w:cs="Times New Roman" w:eastAsiaTheme="minorEastAsia"/>
                <w:color w:val="auto"/>
                <w:lang w:eastAsia="zh-CN"/>
              </w:rPr>
            </w:pPr>
          </w:p>
        </w:tc>
        <w:tc>
          <w:tcPr>
            <w:tcW w:w="768" w:type="dxa"/>
            <w:tcBorders>
              <w:tl2br w:val="nil"/>
              <w:tr2bl w:val="nil"/>
            </w:tcBorders>
            <w:vAlign w:val="center"/>
          </w:tcPr>
          <w:p w14:paraId="3D7EAE87">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3</w:t>
            </w:r>
          </w:p>
        </w:tc>
        <w:tc>
          <w:tcPr>
            <w:tcW w:w="2016" w:type="dxa"/>
            <w:tcBorders>
              <w:tl2br w:val="nil"/>
              <w:tr2bl w:val="nil"/>
            </w:tcBorders>
            <w:vAlign w:val="center"/>
          </w:tcPr>
          <w:p w14:paraId="3FFA4CE8">
            <w:pPr>
              <w:pStyle w:val="62"/>
              <w:adjustRightInd w:val="0"/>
              <w:snapToGrid w:val="0"/>
              <w:contextualSpacing w:val="0"/>
              <w:rPr>
                <w:lang w:eastAsia="zh-CN"/>
              </w:rPr>
            </w:pPr>
            <w:r>
              <w:rPr>
                <w:lang w:eastAsia="en-US"/>
              </w:rPr>
              <w:t>下园村饮用水井</w:t>
            </w:r>
          </w:p>
        </w:tc>
        <w:tc>
          <w:tcPr>
            <w:tcW w:w="1385" w:type="dxa"/>
            <w:gridSpan w:val="2"/>
            <w:vMerge w:val="continue"/>
            <w:tcBorders>
              <w:tl2br w:val="nil"/>
              <w:tr2bl w:val="nil"/>
            </w:tcBorders>
            <w:vAlign w:val="center"/>
          </w:tcPr>
          <w:p w14:paraId="00652E49">
            <w:pPr>
              <w:pStyle w:val="62"/>
              <w:adjustRightInd w:val="0"/>
              <w:snapToGrid w:val="0"/>
              <w:contextualSpacing w:val="0"/>
              <w:rPr>
                <w:highlight w:val="yellow"/>
                <w:lang w:eastAsia="zh-CN"/>
              </w:rPr>
            </w:pPr>
          </w:p>
        </w:tc>
        <w:tc>
          <w:tcPr>
            <w:tcW w:w="999" w:type="dxa"/>
            <w:vMerge w:val="continue"/>
            <w:tcBorders>
              <w:tl2br w:val="nil"/>
              <w:tr2bl w:val="nil"/>
            </w:tcBorders>
            <w:vAlign w:val="center"/>
          </w:tcPr>
          <w:p w14:paraId="44AD5D5E">
            <w:pPr>
              <w:pStyle w:val="178"/>
              <w:jc w:val="center"/>
              <w:rPr>
                <w:rFonts w:ascii="Times New Roman" w:hAnsi="Times New Roman" w:cs="Times New Roman" w:eastAsiaTheme="minorEastAsia"/>
                <w:color w:val="auto"/>
                <w:highlight w:val="yellow"/>
                <w:lang w:eastAsia="zh-CN"/>
              </w:rPr>
            </w:pPr>
          </w:p>
        </w:tc>
        <w:tc>
          <w:tcPr>
            <w:tcW w:w="2761" w:type="dxa"/>
            <w:gridSpan w:val="2"/>
            <w:tcBorders>
              <w:tl2br w:val="nil"/>
              <w:tr2bl w:val="nil"/>
            </w:tcBorders>
            <w:vAlign w:val="center"/>
          </w:tcPr>
          <w:p w14:paraId="49E3B77D">
            <w:pPr>
              <w:pStyle w:val="62"/>
              <w:adjustRightInd w:val="0"/>
              <w:snapToGrid w:val="0"/>
              <w:contextualSpacing w:val="0"/>
              <w:rPr>
                <w:lang w:eastAsia="zh-CN"/>
              </w:rPr>
            </w:pPr>
            <w:r>
              <w:rPr>
                <w:rFonts w:hint="eastAsia"/>
                <w:lang w:eastAsia="zh-CN"/>
              </w:rPr>
              <w:t>990</w:t>
            </w:r>
          </w:p>
        </w:tc>
      </w:tr>
      <w:tr w14:paraId="6518A1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539E35E0">
            <w:pPr>
              <w:pStyle w:val="178"/>
              <w:jc w:val="center"/>
              <w:rPr>
                <w:rFonts w:ascii="Times New Roman" w:hAnsi="Times New Roman" w:cs="Times New Roman" w:eastAsiaTheme="minorEastAsia"/>
                <w:color w:val="auto"/>
                <w:lang w:eastAsia="zh-CN"/>
              </w:rPr>
            </w:pPr>
          </w:p>
        </w:tc>
        <w:tc>
          <w:tcPr>
            <w:tcW w:w="768" w:type="dxa"/>
            <w:tcBorders>
              <w:tl2br w:val="nil"/>
              <w:tr2bl w:val="nil"/>
            </w:tcBorders>
            <w:vAlign w:val="center"/>
          </w:tcPr>
          <w:p w14:paraId="7785A77E">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4</w:t>
            </w:r>
          </w:p>
        </w:tc>
        <w:tc>
          <w:tcPr>
            <w:tcW w:w="2016" w:type="dxa"/>
            <w:tcBorders>
              <w:tl2br w:val="nil"/>
              <w:tr2bl w:val="nil"/>
            </w:tcBorders>
            <w:vAlign w:val="center"/>
          </w:tcPr>
          <w:p w14:paraId="5D7773CC">
            <w:pPr>
              <w:pStyle w:val="62"/>
              <w:adjustRightInd w:val="0"/>
              <w:snapToGrid w:val="0"/>
              <w:contextualSpacing w:val="0"/>
              <w:rPr>
                <w:lang w:eastAsia="en-US"/>
              </w:rPr>
            </w:pPr>
            <w:r>
              <w:rPr>
                <w:lang w:eastAsia="en-US"/>
              </w:rPr>
              <w:t>辛庄村饮用水井</w:t>
            </w:r>
          </w:p>
        </w:tc>
        <w:tc>
          <w:tcPr>
            <w:tcW w:w="1385" w:type="dxa"/>
            <w:gridSpan w:val="2"/>
            <w:vMerge w:val="continue"/>
            <w:tcBorders>
              <w:tl2br w:val="nil"/>
              <w:tr2bl w:val="nil"/>
            </w:tcBorders>
            <w:vAlign w:val="center"/>
          </w:tcPr>
          <w:p w14:paraId="4AA25005">
            <w:pPr>
              <w:pStyle w:val="62"/>
              <w:adjustRightInd w:val="0"/>
              <w:snapToGrid w:val="0"/>
              <w:contextualSpacing w:val="0"/>
              <w:rPr>
                <w:highlight w:val="yellow"/>
                <w:lang w:eastAsia="en-US"/>
              </w:rPr>
            </w:pPr>
          </w:p>
        </w:tc>
        <w:tc>
          <w:tcPr>
            <w:tcW w:w="999" w:type="dxa"/>
            <w:vMerge w:val="continue"/>
            <w:tcBorders>
              <w:tl2br w:val="nil"/>
              <w:tr2bl w:val="nil"/>
            </w:tcBorders>
            <w:vAlign w:val="center"/>
          </w:tcPr>
          <w:p w14:paraId="4FE4B3C5">
            <w:pPr>
              <w:pStyle w:val="178"/>
              <w:jc w:val="center"/>
              <w:rPr>
                <w:rFonts w:ascii="Times New Roman" w:hAnsi="Times New Roman" w:cs="Times New Roman" w:eastAsiaTheme="minorEastAsia"/>
                <w:color w:val="auto"/>
                <w:highlight w:val="yellow"/>
                <w:lang w:eastAsia="zh-CN"/>
              </w:rPr>
            </w:pPr>
          </w:p>
        </w:tc>
        <w:tc>
          <w:tcPr>
            <w:tcW w:w="2761" w:type="dxa"/>
            <w:gridSpan w:val="2"/>
            <w:tcBorders>
              <w:tl2br w:val="nil"/>
              <w:tr2bl w:val="nil"/>
            </w:tcBorders>
            <w:vAlign w:val="center"/>
          </w:tcPr>
          <w:p w14:paraId="13D1723F">
            <w:pPr>
              <w:pStyle w:val="62"/>
              <w:adjustRightInd w:val="0"/>
              <w:snapToGrid w:val="0"/>
              <w:contextualSpacing w:val="0"/>
              <w:rPr>
                <w:lang w:eastAsia="zh-CN"/>
              </w:rPr>
            </w:pPr>
            <w:r>
              <w:rPr>
                <w:rFonts w:hint="eastAsia"/>
                <w:lang w:eastAsia="zh-CN"/>
              </w:rPr>
              <w:t>1970</w:t>
            </w:r>
          </w:p>
        </w:tc>
      </w:tr>
      <w:tr w14:paraId="5BE36E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7CE61740">
            <w:pPr>
              <w:pStyle w:val="178"/>
              <w:jc w:val="center"/>
              <w:rPr>
                <w:rFonts w:ascii="Times New Roman" w:hAnsi="Times New Roman" w:cs="Times New Roman" w:eastAsiaTheme="minorEastAsia"/>
                <w:color w:val="auto"/>
                <w:lang w:eastAsia="zh-CN"/>
              </w:rPr>
            </w:pPr>
          </w:p>
        </w:tc>
        <w:tc>
          <w:tcPr>
            <w:tcW w:w="768" w:type="dxa"/>
            <w:tcBorders>
              <w:tl2br w:val="nil"/>
              <w:tr2bl w:val="nil"/>
            </w:tcBorders>
            <w:vAlign w:val="center"/>
          </w:tcPr>
          <w:p w14:paraId="2216FBAC">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5</w:t>
            </w:r>
          </w:p>
        </w:tc>
        <w:tc>
          <w:tcPr>
            <w:tcW w:w="2016" w:type="dxa"/>
            <w:tcBorders>
              <w:tl2br w:val="nil"/>
              <w:tr2bl w:val="nil"/>
            </w:tcBorders>
            <w:vAlign w:val="center"/>
          </w:tcPr>
          <w:p w14:paraId="66C1AE0E">
            <w:pPr>
              <w:pStyle w:val="62"/>
              <w:adjustRightInd w:val="0"/>
              <w:snapToGrid w:val="0"/>
              <w:contextualSpacing w:val="0"/>
              <w:rPr>
                <w:lang w:eastAsia="en-US"/>
              </w:rPr>
            </w:pPr>
            <w:r>
              <w:rPr>
                <w:lang w:eastAsia="en-US"/>
              </w:rPr>
              <w:t>八里屯村饮用水井</w:t>
            </w:r>
          </w:p>
        </w:tc>
        <w:tc>
          <w:tcPr>
            <w:tcW w:w="1385" w:type="dxa"/>
            <w:gridSpan w:val="2"/>
            <w:vMerge w:val="continue"/>
            <w:tcBorders>
              <w:tl2br w:val="nil"/>
              <w:tr2bl w:val="nil"/>
            </w:tcBorders>
            <w:vAlign w:val="center"/>
          </w:tcPr>
          <w:p w14:paraId="2F3F2E3F">
            <w:pPr>
              <w:pStyle w:val="62"/>
              <w:adjustRightInd w:val="0"/>
              <w:snapToGrid w:val="0"/>
              <w:contextualSpacing w:val="0"/>
              <w:rPr>
                <w:highlight w:val="yellow"/>
                <w:lang w:eastAsia="en-US"/>
              </w:rPr>
            </w:pPr>
          </w:p>
        </w:tc>
        <w:tc>
          <w:tcPr>
            <w:tcW w:w="999" w:type="dxa"/>
            <w:vMerge w:val="continue"/>
            <w:tcBorders>
              <w:tl2br w:val="nil"/>
              <w:tr2bl w:val="nil"/>
            </w:tcBorders>
            <w:vAlign w:val="center"/>
          </w:tcPr>
          <w:p w14:paraId="25DDF497">
            <w:pPr>
              <w:pStyle w:val="178"/>
              <w:jc w:val="center"/>
              <w:rPr>
                <w:rFonts w:ascii="Times New Roman" w:hAnsi="Times New Roman" w:cs="Times New Roman" w:eastAsiaTheme="minorEastAsia"/>
                <w:color w:val="auto"/>
                <w:highlight w:val="yellow"/>
                <w:lang w:eastAsia="zh-CN"/>
              </w:rPr>
            </w:pPr>
          </w:p>
        </w:tc>
        <w:tc>
          <w:tcPr>
            <w:tcW w:w="2761" w:type="dxa"/>
            <w:gridSpan w:val="2"/>
            <w:tcBorders>
              <w:tl2br w:val="nil"/>
              <w:tr2bl w:val="nil"/>
            </w:tcBorders>
            <w:vAlign w:val="center"/>
          </w:tcPr>
          <w:p w14:paraId="4EFD0631">
            <w:pPr>
              <w:pStyle w:val="62"/>
              <w:adjustRightInd w:val="0"/>
              <w:snapToGrid w:val="0"/>
              <w:contextualSpacing w:val="0"/>
              <w:rPr>
                <w:lang w:eastAsia="zh-CN"/>
              </w:rPr>
            </w:pPr>
            <w:r>
              <w:rPr>
                <w:rFonts w:hint="eastAsia"/>
                <w:lang w:eastAsia="zh-CN"/>
              </w:rPr>
              <w:t>2120</w:t>
            </w:r>
          </w:p>
        </w:tc>
      </w:tr>
      <w:tr w14:paraId="485F7A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3F17CE63">
            <w:pPr>
              <w:pStyle w:val="178"/>
              <w:jc w:val="center"/>
              <w:rPr>
                <w:rFonts w:ascii="Times New Roman" w:hAnsi="Times New Roman" w:cs="Times New Roman" w:eastAsiaTheme="minorEastAsia"/>
                <w:color w:val="auto"/>
                <w:lang w:eastAsia="zh-CN"/>
              </w:rPr>
            </w:pPr>
          </w:p>
        </w:tc>
        <w:tc>
          <w:tcPr>
            <w:tcW w:w="768" w:type="dxa"/>
            <w:tcBorders>
              <w:tl2br w:val="nil"/>
              <w:tr2bl w:val="nil"/>
            </w:tcBorders>
            <w:vAlign w:val="center"/>
          </w:tcPr>
          <w:p w14:paraId="0F5572C6">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6</w:t>
            </w:r>
          </w:p>
        </w:tc>
        <w:tc>
          <w:tcPr>
            <w:tcW w:w="2016" w:type="dxa"/>
            <w:tcBorders>
              <w:tl2br w:val="nil"/>
              <w:tr2bl w:val="nil"/>
            </w:tcBorders>
            <w:vAlign w:val="center"/>
          </w:tcPr>
          <w:p w14:paraId="5C20E25B">
            <w:pPr>
              <w:pStyle w:val="62"/>
              <w:adjustRightInd w:val="0"/>
              <w:snapToGrid w:val="0"/>
              <w:contextualSpacing w:val="0"/>
              <w:rPr>
                <w:lang w:eastAsia="en-US"/>
              </w:rPr>
            </w:pPr>
            <w:r>
              <w:rPr>
                <w:lang w:eastAsia="en-US"/>
              </w:rPr>
              <w:t>郝庄村饮用水井</w:t>
            </w:r>
          </w:p>
        </w:tc>
        <w:tc>
          <w:tcPr>
            <w:tcW w:w="1385" w:type="dxa"/>
            <w:gridSpan w:val="2"/>
            <w:vMerge w:val="continue"/>
            <w:tcBorders>
              <w:tl2br w:val="nil"/>
              <w:tr2bl w:val="nil"/>
            </w:tcBorders>
            <w:vAlign w:val="center"/>
          </w:tcPr>
          <w:p w14:paraId="7498A162">
            <w:pPr>
              <w:pStyle w:val="62"/>
              <w:adjustRightInd w:val="0"/>
              <w:snapToGrid w:val="0"/>
              <w:contextualSpacing w:val="0"/>
              <w:rPr>
                <w:highlight w:val="yellow"/>
                <w:lang w:eastAsia="en-US"/>
              </w:rPr>
            </w:pPr>
          </w:p>
        </w:tc>
        <w:tc>
          <w:tcPr>
            <w:tcW w:w="999" w:type="dxa"/>
            <w:vMerge w:val="continue"/>
            <w:tcBorders>
              <w:tl2br w:val="nil"/>
              <w:tr2bl w:val="nil"/>
            </w:tcBorders>
            <w:vAlign w:val="center"/>
          </w:tcPr>
          <w:p w14:paraId="1E743520">
            <w:pPr>
              <w:pStyle w:val="178"/>
              <w:jc w:val="center"/>
              <w:rPr>
                <w:rFonts w:ascii="Times New Roman" w:hAnsi="Times New Roman" w:cs="Times New Roman" w:eastAsiaTheme="minorEastAsia"/>
                <w:color w:val="auto"/>
                <w:highlight w:val="yellow"/>
                <w:lang w:eastAsia="zh-CN"/>
              </w:rPr>
            </w:pPr>
          </w:p>
        </w:tc>
        <w:tc>
          <w:tcPr>
            <w:tcW w:w="2761" w:type="dxa"/>
            <w:gridSpan w:val="2"/>
            <w:tcBorders>
              <w:tl2br w:val="nil"/>
              <w:tr2bl w:val="nil"/>
            </w:tcBorders>
            <w:vAlign w:val="center"/>
          </w:tcPr>
          <w:p w14:paraId="6B26BE4D">
            <w:pPr>
              <w:pStyle w:val="62"/>
              <w:adjustRightInd w:val="0"/>
              <w:snapToGrid w:val="0"/>
              <w:contextualSpacing w:val="0"/>
              <w:rPr>
                <w:lang w:eastAsia="zh-CN"/>
              </w:rPr>
            </w:pPr>
            <w:r>
              <w:rPr>
                <w:rFonts w:hint="eastAsia"/>
                <w:lang w:eastAsia="zh-CN"/>
              </w:rPr>
              <w:t>2620</w:t>
            </w:r>
          </w:p>
        </w:tc>
      </w:tr>
      <w:tr w14:paraId="119313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11E0A611">
            <w:pPr>
              <w:pStyle w:val="178"/>
              <w:jc w:val="center"/>
              <w:rPr>
                <w:rFonts w:ascii="Times New Roman" w:hAnsi="Times New Roman" w:cs="Times New Roman" w:eastAsiaTheme="minorEastAsia"/>
                <w:color w:val="auto"/>
                <w:lang w:eastAsia="zh-CN"/>
              </w:rPr>
            </w:pPr>
          </w:p>
        </w:tc>
        <w:tc>
          <w:tcPr>
            <w:tcW w:w="768" w:type="dxa"/>
            <w:tcBorders>
              <w:tl2br w:val="nil"/>
              <w:tr2bl w:val="nil"/>
            </w:tcBorders>
            <w:vAlign w:val="center"/>
          </w:tcPr>
          <w:p w14:paraId="724F86FB">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7</w:t>
            </w:r>
          </w:p>
        </w:tc>
        <w:tc>
          <w:tcPr>
            <w:tcW w:w="2016" w:type="dxa"/>
            <w:tcBorders>
              <w:tl2br w:val="nil"/>
              <w:tr2bl w:val="nil"/>
            </w:tcBorders>
            <w:vAlign w:val="center"/>
          </w:tcPr>
          <w:p w14:paraId="6FFA3CD9">
            <w:pPr>
              <w:pStyle w:val="62"/>
              <w:adjustRightInd w:val="0"/>
              <w:snapToGrid w:val="0"/>
              <w:contextualSpacing w:val="0"/>
              <w:rPr>
                <w:lang w:eastAsia="en-US"/>
              </w:rPr>
            </w:pPr>
            <w:r>
              <w:rPr>
                <w:lang w:eastAsia="en-US"/>
              </w:rPr>
              <w:t>岗槽村饮用水井</w:t>
            </w:r>
          </w:p>
        </w:tc>
        <w:tc>
          <w:tcPr>
            <w:tcW w:w="1385" w:type="dxa"/>
            <w:gridSpan w:val="2"/>
            <w:vMerge w:val="continue"/>
            <w:tcBorders>
              <w:tl2br w:val="nil"/>
              <w:tr2bl w:val="nil"/>
            </w:tcBorders>
            <w:vAlign w:val="center"/>
          </w:tcPr>
          <w:p w14:paraId="6DFD3FCC">
            <w:pPr>
              <w:pStyle w:val="62"/>
              <w:adjustRightInd w:val="0"/>
              <w:snapToGrid w:val="0"/>
              <w:contextualSpacing w:val="0"/>
              <w:rPr>
                <w:highlight w:val="yellow"/>
                <w:lang w:eastAsia="en-US"/>
              </w:rPr>
            </w:pPr>
          </w:p>
        </w:tc>
        <w:tc>
          <w:tcPr>
            <w:tcW w:w="999" w:type="dxa"/>
            <w:vMerge w:val="continue"/>
            <w:tcBorders>
              <w:tl2br w:val="nil"/>
              <w:tr2bl w:val="nil"/>
            </w:tcBorders>
            <w:vAlign w:val="center"/>
          </w:tcPr>
          <w:p w14:paraId="278575C3">
            <w:pPr>
              <w:pStyle w:val="178"/>
              <w:jc w:val="center"/>
              <w:rPr>
                <w:rFonts w:ascii="Times New Roman" w:hAnsi="Times New Roman" w:cs="Times New Roman" w:eastAsiaTheme="minorEastAsia"/>
                <w:color w:val="auto"/>
                <w:highlight w:val="yellow"/>
                <w:lang w:eastAsia="zh-CN"/>
              </w:rPr>
            </w:pPr>
          </w:p>
        </w:tc>
        <w:tc>
          <w:tcPr>
            <w:tcW w:w="2761" w:type="dxa"/>
            <w:gridSpan w:val="2"/>
            <w:tcBorders>
              <w:tl2br w:val="nil"/>
              <w:tr2bl w:val="nil"/>
            </w:tcBorders>
            <w:vAlign w:val="center"/>
          </w:tcPr>
          <w:p w14:paraId="46038F09">
            <w:pPr>
              <w:pStyle w:val="62"/>
              <w:adjustRightInd w:val="0"/>
              <w:snapToGrid w:val="0"/>
              <w:contextualSpacing w:val="0"/>
              <w:rPr>
                <w:lang w:eastAsia="zh-CN"/>
              </w:rPr>
            </w:pPr>
            <w:r>
              <w:rPr>
                <w:rFonts w:hint="eastAsia"/>
                <w:lang w:eastAsia="zh-CN"/>
              </w:rPr>
              <w:t>2840</w:t>
            </w:r>
          </w:p>
        </w:tc>
      </w:tr>
      <w:tr w14:paraId="7DE3CD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526F5145">
            <w:pPr>
              <w:pStyle w:val="178"/>
              <w:jc w:val="center"/>
              <w:rPr>
                <w:rFonts w:ascii="Times New Roman" w:hAnsi="Times New Roman" w:cs="Times New Roman" w:eastAsiaTheme="minorEastAsia"/>
                <w:color w:val="auto"/>
                <w:lang w:eastAsia="zh-CN"/>
              </w:rPr>
            </w:pPr>
          </w:p>
        </w:tc>
        <w:tc>
          <w:tcPr>
            <w:tcW w:w="768" w:type="dxa"/>
            <w:tcBorders>
              <w:tl2br w:val="nil"/>
              <w:tr2bl w:val="nil"/>
            </w:tcBorders>
            <w:vAlign w:val="center"/>
          </w:tcPr>
          <w:p w14:paraId="138DA16E">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8</w:t>
            </w:r>
          </w:p>
        </w:tc>
        <w:tc>
          <w:tcPr>
            <w:tcW w:w="2016" w:type="dxa"/>
            <w:tcBorders>
              <w:tl2br w:val="nil"/>
              <w:tr2bl w:val="nil"/>
            </w:tcBorders>
            <w:vAlign w:val="center"/>
          </w:tcPr>
          <w:p w14:paraId="3B76B8E0">
            <w:pPr>
              <w:pStyle w:val="62"/>
              <w:adjustRightInd w:val="0"/>
              <w:snapToGrid w:val="0"/>
              <w:contextualSpacing w:val="0"/>
              <w:rPr>
                <w:lang w:eastAsia="en-US"/>
              </w:rPr>
            </w:pPr>
            <w:r>
              <w:rPr>
                <w:lang w:eastAsia="en-US"/>
              </w:rPr>
              <w:t>东寺门村饮用水井</w:t>
            </w:r>
          </w:p>
        </w:tc>
        <w:tc>
          <w:tcPr>
            <w:tcW w:w="1385" w:type="dxa"/>
            <w:gridSpan w:val="2"/>
            <w:vMerge w:val="continue"/>
            <w:tcBorders>
              <w:tl2br w:val="nil"/>
              <w:tr2bl w:val="nil"/>
            </w:tcBorders>
            <w:vAlign w:val="center"/>
          </w:tcPr>
          <w:p w14:paraId="549F40E4">
            <w:pPr>
              <w:pStyle w:val="62"/>
              <w:adjustRightInd w:val="0"/>
              <w:snapToGrid w:val="0"/>
              <w:contextualSpacing w:val="0"/>
              <w:rPr>
                <w:highlight w:val="yellow"/>
                <w:lang w:eastAsia="en-US"/>
              </w:rPr>
            </w:pPr>
          </w:p>
        </w:tc>
        <w:tc>
          <w:tcPr>
            <w:tcW w:w="999" w:type="dxa"/>
            <w:vMerge w:val="continue"/>
            <w:tcBorders>
              <w:tl2br w:val="nil"/>
              <w:tr2bl w:val="nil"/>
            </w:tcBorders>
            <w:vAlign w:val="center"/>
          </w:tcPr>
          <w:p w14:paraId="7C894AA8">
            <w:pPr>
              <w:pStyle w:val="178"/>
              <w:jc w:val="center"/>
              <w:rPr>
                <w:rFonts w:ascii="Times New Roman" w:hAnsi="Times New Roman" w:cs="Times New Roman" w:eastAsiaTheme="minorEastAsia"/>
                <w:color w:val="auto"/>
                <w:highlight w:val="yellow"/>
                <w:lang w:eastAsia="zh-CN"/>
              </w:rPr>
            </w:pPr>
          </w:p>
        </w:tc>
        <w:tc>
          <w:tcPr>
            <w:tcW w:w="2761" w:type="dxa"/>
            <w:gridSpan w:val="2"/>
            <w:tcBorders>
              <w:tl2br w:val="nil"/>
              <w:tr2bl w:val="nil"/>
            </w:tcBorders>
            <w:vAlign w:val="center"/>
          </w:tcPr>
          <w:p w14:paraId="3A021B73">
            <w:pPr>
              <w:pStyle w:val="62"/>
              <w:adjustRightInd w:val="0"/>
              <w:snapToGrid w:val="0"/>
              <w:contextualSpacing w:val="0"/>
              <w:rPr>
                <w:lang w:eastAsia="zh-CN"/>
              </w:rPr>
            </w:pPr>
            <w:r>
              <w:rPr>
                <w:rFonts w:hint="eastAsia"/>
                <w:lang w:eastAsia="zh-CN"/>
              </w:rPr>
              <w:t>4300</w:t>
            </w:r>
          </w:p>
        </w:tc>
      </w:tr>
      <w:tr w14:paraId="601F29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83" w:type="dxa"/>
            <w:vMerge w:val="continue"/>
            <w:tcBorders>
              <w:tl2br w:val="nil"/>
              <w:tr2bl w:val="nil"/>
            </w:tcBorders>
            <w:vAlign w:val="center"/>
          </w:tcPr>
          <w:p w14:paraId="2750FAE8">
            <w:pPr>
              <w:pStyle w:val="178"/>
              <w:jc w:val="center"/>
              <w:rPr>
                <w:rFonts w:ascii="Times New Roman" w:hAnsi="Times New Roman" w:cs="Times New Roman" w:eastAsiaTheme="minorEastAsia"/>
                <w:color w:val="auto"/>
                <w:lang w:eastAsia="zh-CN"/>
              </w:rPr>
            </w:pPr>
          </w:p>
        </w:tc>
        <w:tc>
          <w:tcPr>
            <w:tcW w:w="768" w:type="dxa"/>
            <w:tcBorders>
              <w:tl2br w:val="nil"/>
              <w:tr2bl w:val="nil"/>
            </w:tcBorders>
            <w:vAlign w:val="center"/>
          </w:tcPr>
          <w:p w14:paraId="68B64CC1">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9</w:t>
            </w:r>
          </w:p>
        </w:tc>
        <w:tc>
          <w:tcPr>
            <w:tcW w:w="2016" w:type="dxa"/>
            <w:tcBorders>
              <w:tl2br w:val="nil"/>
              <w:tr2bl w:val="nil"/>
            </w:tcBorders>
            <w:vAlign w:val="center"/>
          </w:tcPr>
          <w:p w14:paraId="34AB63FA">
            <w:pPr>
              <w:pStyle w:val="62"/>
              <w:adjustRightInd w:val="0"/>
              <w:snapToGrid w:val="0"/>
              <w:contextualSpacing w:val="0"/>
              <w:rPr>
                <w:lang w:eastAsia="en-US"/>
              </w:rPr>
            </w:pPr>
            <w:r>
              <w:rPr>
                <w:lang w:eastAsia="en-US"/>
              </w:rPr>
              <w:t>薛屯村饮用水井</w:t>
            </w:r>
          </w:p>
        </w:tc>
        <w:tc>
          <w:tcPr>
            <w:tcW w:w="1385" w:type="dxa"/>
            <w:gridSpan w:val="2"/>
            <w:vMerge w:val="continue"/>
            <w:tcBorders>
              <w:tl2br w:val="nil"/>
              <w:tr2bl w:val="nil"/>
            </w:tcBorders>
            <w:vAlign w:val="center"/>
          </w:tcPr>
          <w:p w14:paraId="2E273BD2">
            <w:pPr>
              <w:pStyle w:val="62"/>
              <w:adjustRightInd w:val="0"/>
              <w:snapToGrid w:val="0"/>
              <w:contextualSpacing w:val="0"/>
              <w:rPr>
                <w:highlight w:val="yellow"/>
                <w:lang w:eastAsia="en-US"/>
              </w:rPr>
            </w:pPr>
          </w:p>
        </w:tc>
        <w:tc>
          <w:tcPr>
            <w:tcW w:w="999" w:type="dxa"/>
            <w:vMerge w:val="continue"/>
            <w:tcBorders>
              <w:tl2br w:val="nil"/>
              <w:tr2bl w:val="nil"/>
            </w:tcBorders>
            <w:vAlign w:val="center"/>
          </w:tcPr>
          <w:p w14:paraId="322EC480">
            <w:pPr>
              <w:pStyle w:val="178"/>
              <w:jc w:val="center"/>
              <w:rPr>
                <w:rFonts w:ascii="Times New Roman" w:hAnsi="Times New Roman" w:cs="Times New Roman" w:eastAsiaTheme="minorEastAsia"/>
                <w:color w:val="auto"/>
                <w:highlight w:val="yellow"/>
                <w:lang w:eastAsia="zh-CN"/>
              </w:rPr>
            </w:pPr>
          </w:p>
        </w:tc>
        <w:tc>
          <w:tcPr>
            <w:tcW w:w="2761" w:type="dxa"/>
            <w:gridSpan w:val="2"/>
            <w:tcBorders>
              <w:tl2br w:val="nil"/>
              <w:tr2bl w:val="nil"/>
            </w:tcBorders>
            <w:vAlign w:val="center"/>
          </w:tcPr>
          <w:p w14:paraId="47353AD7">
            <w:pPr>
              <w:pStyle w:val="62"/>
              <w:adjustRightInd w:val="0"/>
              <w:snapToGrid w:val="0"/>
              <w:contextualSpacing w:val="0"/>
              <w:rPr>
                <w:lang w:eastAsia="zh-CN"/>
              </w:rPr>
            </w:pPr>
            <w:r>
              <w:rPr>
                <w:rFonts w:hint="eastAsia"/>
                <w:lang w:eastAsia="zh-CN"/>
              </w:rPr>
              <w:t>3420</w:t>
            </w:r>
          </w:p>
        </w:tc>
      </w:tr>
    </w:tbl>
    <w:p w14:paraId="607D7B17">
      <w:pPr>
        <w:pStyle w:val="2"/>
        <w:ind w:firstLine="480"/>
        <w:rPr>
          <w:highlight w:val="yellow"/>
        </w:rPr>
      </w:pPr>
    </w:p>
    <w:p w14:paraId="784AF4E9">
      <w:pPr>
        <w:ind w:firstLine="480"/>
        <w:rPr>
          <w:highlight w:val="yellow"/>
        </w:rPr>
      </w:pPr>
    </w:p>
    <w:p w14:paraId="63FBDE12">
      <w:pPr>
        <w:pStyle w:val="2"/>
        <w:ind w:firstLine="480"/>
        <w:rPr>
          <w:highlight w:val="yellow"/>
        </w:rPr>
        <w:sectPr>
          <w:pgSz w:w="11906" w:h="16838"/>
          <w:pgMar w:top="1701" w:right="1587" w:bottom="1701" w:left="1587" w:header="851" w:footer="1134" w:gutter="0"/>
          <w:cols w:space="720" w:num="1"/>
          <w:docGrid w:type="lines" w:linePitch="323" w:charSpace="0"/>
        </w:sectPr>
      </w:pPr>
    </w:p>
    <w:p w14:paraId="1D3E95A4">
      <w:pPr>
        <w:pStyle w:val="4"/>
      </w:pPr>
      <w:bookmarkStart w:id="113" w:name="_Toc176105853"/>
      <w:r>
        <w:t>评价标准</w:t>
      </w:r>
      <w:bookmarkEnd w:id="113"/>
    </w:p>
    <w:p w14:paraId="1D3E95A5">
      <w:pPr>
        <w:pStyle w:val="5"/>
        <w:spacing w:before="323" w:after="323"/>
      </w:pPr>
      <w:r>
        <w:t>环境质量标准</w:t>
      </w:r>
    </w:p>
    <w:p w14:paraId="1D3E95A6">
      <w:pPr>
        <w:ind w:firstLine="480"/>
      </w:pPr>
      <w:r>
        <w:t>本次评价环境质量标准执行以下标准：</w:t>
      </w:r>
    </w:p>
    <w:p w14:paraId="1D3E95A7">
      <w:pPr>
        <w:pStyle w:val="64"/>
        <w:numPr>
          <w:ilvl w:val="0"/>
          <w:numId w:val="9"/>
        </w:numPr>
        <w:spacing w:before="161"/>
        <w:ind w:left="918" w:hanging="442" w:firstLineChars="0"/>
      </w:pPr>
      <w:r>
        <w:t xml:space="preserve">                  环境质量标准</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943"/>
        <w:gridCol w:w="1335"/>
        <w:gridCol w:w="1719"/>
        <w:gridCol w:w="1545"/>
        <w:gridCol w:w="1137"/>
      </w:tblGrid>
      <w:tr w14:paraId="1D3E9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772" w:type="pct"/>
            <w:shd w:val="clear" w:color="auto" w:fill="auto"/>
            <w:vAlign w:val="center"/>
          </w:tcPr>
          <w:p w14:paraId="1D3E95A8">
            <w:pPr>
              <w:pStyle w:val="67"/>
              <w:rPr>
                <w:rFonts w:cs="Times New Roman"/>
                <w:color w:val="auto"/>
              </w:rPr>
            </w:pPr>
            <w:r>
              <w:rPr>
                <w:rFonts w:cs="Times New Roman"/>
                <w:color w:val="auto"/>
              </w:rPr>
              <w:t>环境要素</w:t>
            </w:r>
          </w:p>
        </w:tc>
        <w:tc>
          <w:tcPr>
            <w:tcW w:w="1581" w:type="pct"/>
            <w:gridSpan w:val="2"/>
            <w:shd w:val="clear" w:color="auto" w:fill="auto"/>
            <w:vAlign w:val="center"/>
          </w:tcPr>
          <w:p w14:paraId="1D3E95A9">
            <w:pPr>
              <w:pStyle w:val="67"/>
              <w:rPr>
                <w:rFonts w:cs="Times New Roman"/>
                <w:color w:val="auto"/>
              </w:rPr>
            </w:pPr>
            <w:r>
              <w:rPr>
                <w:rFonts w:cs="Times New Roman"/>
                <w:color w:val="auto"/>
              </w:rPr>
              <w:t>标准名称</w:t>
            </w:r>
          </w:p>
        </w:tc>
        <w:tc>
          <w:tcPr>
            <w:tcW w:w="1023" w:type="pct"/>
            <w:shd w:val="clear" w:color="auto" w:fill="auto"/>
            <w:vAlign w:val="center"/>
          </w:tcPr>
          <w:p w14:paraId="1D3E95AA">
            <w:pPr>
              <w:pStyle w:val="67"/>
              <w:rPr>
                <w:rFonts w:cs="Times New Roman"/>
                <w:color w:val="auto"/>
              </w:rPr>
            </w:pPr>
            <w:r>
              <w:rPr>
                <w:rFonts w:cs="Times New Roman"/>
                <w:color w:val="auto"/>
              </w:rPr>
              <w:t>项目</w:t>
            </w:r>
          </w:p>
        </w:tc>
        <w:tc>
          <w:tcPr>
            <w:tcW w:w="1624" w:type="pct"/>
            <w:gridSpan w:val="2"/>
            <w:shd w:val="clear" w:color="auto" w:fill="auto"/>
            <w:vAlign w:val="center"/>
          </w:tcPr>
          <w:p w14:paraId="1D3E95AB">
            <w:pPr>
              <w:pStyle w:val="67"/>
              <w:rPr>
                <w:rFonts w:cs="Times New Roman"/>
                <w:color w:val="auto"/>
              </w:rPr>
            </w:pPr>
            <w:r>
              <w:rPr>
                <w:rFonts w:cs="Times New Roman"/>
                <w:color w:val="auto"/>
              </w:rPr>
              <w:t>标准值</w:t>
            </w:r>
          </w:p>
        </w:tc>
      </w:tr>
      <w:tr w14:paraId="1D3E95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restart"/>
            <w:shd w:val="clear" w:color="auto" w:fill="auto"/>
            <w:vAlign w:val="center"/>
          </w:tcPr>
          <w:p w14:paraId="1D3E95AD">
            <w:pPr>
              <w:pStyle w:val="62"/>
            </w:pPr>
            <w:r>
              <w:t>地表水</w:t>
            </w:r>
          </w:p>
        </w:tc>
        <w:tc>
          <w:tcPr>
            <w:tcW w:w="1581" w:type="pct"/>
            <w:gridSpan w:val="2"/>
            <w:vMerge w:val="restart"/>
            <w:shd w:val="clear" w:color="auto" w:fill="auto"/>
            <w:vAlign w:val="center"/>
          </w:tcPr>
          <w:p w14:paraId="1D3E95AE">
            <w:pPr>
              <w:pStyle w:val="62"/>
            </w:pPr>
            <w:r>
              <w:t>《地表水环境质量标准》（GB3838-2002）Ⅳ类</w:t>
            </w:r>
          </w:p>
        </w:tc>
        <w:tc>
          <w:tcPr>
            <w:tcW w:w="1023" w:type="pct"/>
            <w:shd w:val="clear" w:color="auto" w:fill="auto"/>
            <w:vAlign w:val="center"/>
          </w:tcPr>
          <w:p w14:paraId="1D3E95AF">
            <w:pPr>
              <w:pStyle w:val="62"/>
            </w:pPr>
            <w:r>
              <w:t>pH</w:t>
            </w:r>
          </w:p>
        </w:tc>
        <w:tc>
          <w:tcPr>
            <w:tcW w:w="1624" w:type="pct"/>
            <w:gridSpan w:val="2"/>
            <w:shd w:val="clear" w:color="auto" w:fill="auto"/>
            <w:vAlign w:val="center"/>
          </w:tcPr>
          <w:p w14:paraId="1D3E95B0">
            <w:pPr>
              <w:pStyle w:val="62"/>
            </w:pPr>
            <w:r>
              <w:t>6-9</w:t>
            </w:r>
          </w:p>
        </w:tc>
      </w:tr>
      <w:tr w14:paraId="1D3E9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B2">
            <w:pPr>
              <w:pStyle w:val="62"/>
            </w:pPr>
          </w:p>
        </w:tc>
        <w:tc>
          <w:tcPr>
            <w:tcW w:w="1581" w:type="pct"/>
            <w:gridSpan w:val="2"/>
            <w:vMerge w:val="continue"/>
            <w:shd w:val="clear" w:color="auto" w:fill="auto"/>
            <w:vAlign w:val="center"/>
          </w:tcPr>
          <w:p w14:paraId="1D3E95B3">
            <w:pPr>
              <w:pStyle w:val="62"/>
            </w:pPr>
          </w:p>
        </w:tc>
        <w:tc>
          <w:tcPr>
            <w:tcW w:w="1023" w:type="pct"/>
            <w:shd w:val="clear" w:color="auto" w:fill="auto"/>
            <w:vAlign w:val="center"/>
          </w:tcPr>
          <w:p w14:paraId="1D3E95B4">
            <w:pPr>
              <w:pStyle w:val="62"/>
            </w:pPr>
            <w:r>
              <w:t>COD</w:t>
            </w:r>
          </w:p>
        </w:tc>
        <w:tc>
          <w:tcPr>
            <w:tcW w:w="1624" w:type="pct"/>
            <w:gridSpan w:val="2"/>
            <w:shd w:val="clear" w:color="auto" w:fill="auto"/>
            <w:vAlign w:val="center"/>
          </w:tcPr>
          <w:p w14:paraId="1D3E95B5">
            <w:pPr>
              <w:pStyle w:val="62"/>
            </w:pPr>
            <w:r>
              <w:t>30mg/L</w:t>
            </w:r>
          </w:p>
        </w:tc>
      </w:tr>
      <w:tr w14:paraId="1D3E9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B7">
            <w:pPr>
              <w:pStyle w:val="62"/>
            </w:pPr>
          </w:p>
        </w:tc>
        <w:tc>
          <w:tcPr>
            <w:tcW w:w="1581" w:type="pct"/>
            <w:gridSpan w:val="2"/>
            <w:vMerge w:val="continue"/>
            <w:shd w:val="clear" w:color="auto" w:fill="auto"/>
            <w:vAlign w:val="center"/>
          </w:tcPr>
          <w:p w14:paraId="1D3E95B8">
            <w:pPr>
              <w:pStyle w:val="62"/>
            </w:pPr>
          </w:p>
        </w:tc>
        <w:tc>
          <w:tcPr>
            <w:tcW w:w="1023" w:type="pct"/>
            <w:shd w:val="clear" w:color="auto" w:fill="auto"/>
            <w:vAlign w:val="center"/>
          </w:tcPr>
          <w:p w14:paraId="1D3E95B9">
            <w:pPr>
              <w:pStyle w:val="62"/>
            </w:pPr>
            <w:r>
              <w:t>NH</w:t>
            </w:r>
            <w:r>
              <w:rPr>
                <w:vertAlign w:val="subscript"/>
              </w:rPr>
              <w:t>3</w:t>
            </w:r>
            <w:r>
              <w:t>-N</w:t>
            </w:r>
          </w:p>
        </w:tc>
        <w:tc>
          <w:tcPr>
            <w:tcW w:w="1624" w:type="pct"/>
            <w:gridSpan w:val="2"/>
            <w:shd w:val="clear" w:color="auto" w:fill="auto"/>
            <w:vAlign w:val="center"/>
          </w:tcPr>
          <w:p w14:paraId="1D3E95BA">
            <w:pPr>
              <w:pStyle w:val="62"/>
            </w:pPr>
            <w:r>
              <w:t>1.5mg/L</w:t>
            </w:r>
          </w:p>
        </w:tc>
      </w:tr>
      <w:tr w14:paraId="1D3E9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BC">
            <w:pPr>
              <w:pStyle w:val="62"/>
            </w:pPr>
          </w:p>
        </w:tc>
        <w:tc>
          <w:tcPr>
            <w:tcW w:w="1581" w:type="pct"/>
            <w:gridSpan w:val="2"/>
            <w:vMerge w:val="continue"/>
            <w:shd w:val="clear" w:color="auto" w:fill="auto"/>
            <w:vAlign w:val="center"/>
          </w:tcPr>
          <w:p w14:paraId="1D3E95BD">
            <w:pPr>
              <w:pStyle w:val="62"/>
            </w:pPr>
          </w:p>
        </w:tc>
        <w:tc>
          <w:tcPr>
            <w:tcW w:w="1023" w:type="pct"/>
            <w:shd w:val="clear" w:color="auto" w:fill="auto"/>
            <w:vAlign w:val="center"/>
          </w:tcPr>
          <w:p w14:paraId="1D3E95BE">
            <w:pPr>
              <w:pStyle w:val="62"/>
            </w:pPr>
            <w:r>
              <w:t>TP</w:t>
            </w:r>
          </w:p>
        </w:tc>
        <w:tc>
          <w:tcPr>
            <w:tcW w:w="1624" w:type="pct"/>
            <w:gridSpan w:val="2"/>
            <w:shd w:val="clear" w:color="auto" w:fill="auto"/>
            <w:vAlign w:val="center"/>
          </w:tcPr>
          <w:p w14:paraId="1D3E95BF">
            <w:pPr>
              <w:pStyle w:val="62"/>
            </w:pPr>
            <w:r>
              <w:t>0.3mg/L</w:t>
            </w:r>
          </w:p>
        </w:tc>
      </w:tr>
      <w:tr w14:paraId="1D3E9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C1">
            <w:pPr>
              <w:pStyle w:val="62"/>
            </w:pPr>
          </w:p>
        </w:tc>
        <w:tc>
          <w:tcPr>
            <w:tcW w:w="1581" w:type="pct"/>
            <w:gridSpan w:val="2"/>
            <w:vMerge w:val="continue"/>
            <w:shd w:val="clear" w:color="auto" w:fill="auto"/>
            <w:vAlign w:val="center"/>
          </w:tcPr>
          <w:p w14:paraId="1D3E95C2">
            <w:pPr>
              <w:pStyle w:val="62"/>
            </w:pPr>
          </w:p>
        </w:tc>
        <w:tc>
          <w:tcPr>
            <w:tcW w:w="1023" w:type="pct"/>
            <w:shd w:val="clear" w:color="auto" w:fill="auto"/>
            <w:vAlign w:val="center"/>
          </w:tcPr>
          <w:p w14:paraId="1D3E95C3">
            <w:pPr>
              <w:pStyle w:val="62"/>
            </w:pPr>
            <w:r>
              <w:t>TN</w:t>
            </w:r>
          </w:p>
        </w:tc>
        <w:tc>
          <w:tcPr>
            <w:tcW w:w="1624" w:type="pct"/>
            <w:gridSpan w:val="2"/>
            <w:shd w:val="clear" w:color="auto" w:fill="auto"/>
            <w:vAlign w:val="center"/>
          </w:tcPr>
          <w:p w14:paraId="1D3E95C4">
            <w:pPr>
              <w:pStyle w:val="62"/>
            </w:pPr>
            <w:r>
              <w:t>1.5mg/L</w:t>
            </w:r>
          </w:p>
        </w:tc>
      </w:tr>
      <w:tr w14:paraId="65ABB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78FC45A6">
            <w:pPr>
              <w:pStyle w:val="62"/>
            </w:pPr>
          </w:p>
        </w:tc>
        <w:tc>
          <w:tcPr>
            <w:tcW w:w="1581" w:type="pct"/>
            <w:gridSpan w:val="2"/>
            <w:vMerge w:val="continue"/>
            <w:shd w:val="clear" w:color="auto" w:fill="auto"/>
            <w:vAlign w:val="center"/>
          </w:tcPr>
          <w:p w14:paraId="0108F9AE">
            <w:pPr>
              <w:pStyle w:val="62"/>
            </w:pPr>
          </w:p>
        </w:tc>
        <w:tc>
          <w:tcPr>
            <w:tcW w:w="1023" w:type="pct"/>
            <w:shd w:val="clear" w:color="auto" w:fill="auto"/>
            <w:vAlign w:val="center"/>
          </w:tcPr>
          <w:p w14:paraId="505F2BCD">
            <w:pPr>
              <w:pStyle w:val="62"/>
            </w:pPr>
            <w:r>
              <w:t>高锰酸盐指数</w:t>
            </w:r>
          </w:p>
        </w:tc>
        <w:tc>
          <w:tcPr>
            <w:tcW w:w="1624" w:type="pct"/>
            <w:gridSpan w:val="2"/>
            <w:shd w:val="clear" w:color="auto" w:fill="auto"/>
            <w:vAlign w:val="center"/>
          </w:tcPr>
          <w:p w14:paraId="6E203C06">
            <w:pPr>
              <w:pStyle w:val="62"/>
            </w:pPr>
            <w:r>
              <w:t>10 mg/L</w:t>
            </w:r>
          </w:p>
        </w:tc>
      </w:tr>
      <w:tr w14:paraId="1D3E9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restart"/>
            <w:shd w:val="clear" w:color="auto" w:fill="auto"/>
            <w:vAlign w:val="center"/>
          </w:tcPr>
          <w:p w14:paraId="1D3E95C6">
            <w:pPr>
              <w:pStyle w:val="62"/>
            </w:pPr>
            <w:r>
              <w:t>环境空气</w:t>
            </w:r>
          </w:p>
        </w:tc>
        <w:tc>
          <w:tcPr>
            <w:tcW w:w="1581" w:type="pct"/>
            <w:gridSpan w:val="2"/>
            <w:vMerge w:val="restart"/>
            <w:shd w:val="clear" w:color="auto" w:fill="auto"/>
            <w:vAlign w:val="center"/>
          </w:tcPr>
          <w:p w14:paraId="1D3E95C7">
            <w:pPr>
              <w:pStyle w:val="62"/>
            </w:pPr>
            <w:r>
              <w:t>《环境空气质量标准》（GB3095-2012）二级</w:t>
            </w:r>
          </w:p>
        </w:tc>
        <w:tc>
          <w:tcPr>
            <w:tcW w:w="1023" w:type="pct"/>
            <w:vMerge w:val="restart"/>
            <w:shd w:val="clear" w:color="auto" w:fill="auto"/>
            <w:vAlign w:val="center"/>
          </w:tcPr>
          <w:p w14:paraId="1D3E95C8">
            <w:pPr>
              <w:pStyle w:val="62"/>
            </w:pPr>
            <w:r>
              <w:t>PM</w:t>
            </w:r>
            <w:r>
              <w:rPr>
                <w:vertAlign w:val="subscript"/>
              </w:rPr>
              <w:t>2.5</w:t>
            </w:r>
          </w:p>
        </w:tc>
        <w:tc>
          <w:tcPr>
            <w:tcW w:w="1624" w:type="pct"/>
            <w:gridSpan w:val="2"/>
            <w:shd w:val="clear" w:color="auto" w:fill="auto"/>
            <w:vAlign w:val="center"/>
          </w:tcPr>
          <w:p w14:paraId="1D3E95C9">
            <w:pPr>
              <w:pStyle w:val="62"/>
            </w:pPr>
            <w:r>
              <w:t>24小时平均    75μg/m</w:t>
            </w:r>
            <w:r>
              <w:rPr>
                <w:vertAlign w:val="superscript"/>
              </w:rPr>
              <w:t>3</w:t>
            </w:r>
          </w:p>
        </w:tc>
      </w:tr>
      <w:tr w14:paraId="1D3E9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CB">
            <w:pPr>
              <w:pStyle w:val="62"/>
              <w:rPr>
                <w:highlight w:val="yellow"/>
              </w:rPr>
            </w:pPr>
          </w:p>
        </w:tc>
        <w:tc>
          <w:tcPr>
            <w:tcW w:w="1581" w:type="pct"/>
            <w:gridSpan w:val="2"/>
            <w:vMerge w:val="continue"/>
            <w:shd w:val="clear" w:color="auto" w:fill="auto"/>
            <w:vAlign w:val="center"/>
          </w:tcPr>
          <w:p w14:paraId="1D3E95CC">
            <w:pPr>
              <w:pStyle w:val="62"/>
              <w:rPr>
                <w:highlight w:val="yellow"/>
              </w:rPr>
            </w:pPr>
          </w:p>
        </w:tc>
        <w:tc>
          <w:tcPr>
            <w:tcW w:w="1023" w:type="pct"/>
            <w:vMerge w:val="continue"/>
            <w:shd w:val="clear" w:color="auto" w:fill="auto"/>
            <w:vAlign w:val="center"/>
          </w:tcPr>
          <w:p w14:paraId="1D3E95CD">
            <w:pPr>
              <w:pStyle w:val="62"/>
            </w:pPr>
          </w:p>
        </w:tc>
        <w:tc>
          <w:tcPr>
            <w:tcW w:w="1624" w:type="pct"/>
            <w:gridSpan w:val="2"/>
            <w:shd w:val="clear" w:color="auto" w:fill="auto"/>
            <w:vAlign w:val="center"/>
          </w:tcPr>
          <w:p w14:paraId="1D3E95CE">
            <w:pPr>
              <w:pStyle w:val="62"/>
            </w:pPr>
            <w:r>
              <w:t>年平均        35μg/m</w:t>
            </w:r>
            <w:r>
              <w:rPr>
                <w:vertAlign w:val="superscript"/>
              </w:rPr>
              <w:t>3</w:t>
            </w:r>
          </w:p>
        </w:tc>
      </w:tr>
      <w:tr w14:paraId="1D3E9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D0">
            <w:pPr>
              <w:pStyle w:val="62"/>
              <w:rPr>
                <w:highlight w:val="yellow"/>
              </w:rPr>
            </w:pPr>
          </w:p>
        </w:tc>
        <w:tc>
          <w:tcPr>
            <w:tcW w:w="1581" w:type="pct"/>
            <w:gridSpan w:val="2"/>
            <w:vMerge w:val="continue"/>
            <w:shd w:val="clear" w:color="auto" w:fill="auto"/>
            <w:vAlign w:val="center"/>
          </w:tcPr>
          <w:p w14:paraId="1D3E95D1">
            <w:pPr>
              <w:pStyle w:val="62"/>
              <w:rPr>
                <w:highlight w:val="yellow"/>
              </w:rPr>
            </w:pPr>
          </w:p>
        </w:tc>
        <w:tc>
          <w:tcPr>
            <w:tcW w:w="1023" w:type="pct"/>
            <w:vMerge w:val="restart"/>
            <w:shd w:val="clear" w:color="auto" w:fill="auto"/>
            <w:vAlign w:val="center"/>
          </w:tcPr>
          <w:p w14:paraId="1D3E95D2">
            <w:pPr>
              <w:pStyle w:val="62"/>
            </w:pPr>
            <w:r>
              <w:t>PM</w:t>
            </w:r>
            <w:r>
              <w:rPr>
                <w:vertAlign w:val="subscript"/>
              </w:rPr>
              <w:t>10</w:t>
            </w:r>
          </w:p>
        </w:tc>
        <w:tc>
          <w:tcPr>
            <w:tcW w:w="1624" w:type="pct"/>
            <w:gridSpan w:val="2"/>
            <w:shd w:val="clear" w:color="auto" w:fill="auto"/>
            <w:vAlign w:val="center"/>
          </w:tcPr>
          <w:p w14:paraId="1D3E95D3">
            <w:pPr>
              <w:pStyle w:val="62"/>
            </w:pPr>
            <w:r>
              <w:t>24小时平均   150μg/m</w:t>
            </w:r>
            <w:r>
              <w:rPr>
                <w:vertAlign w:val="superscript"/>
              </w:rPr>
              <w:t>3</w:t>
            </w:r>
          </w:p>
        </w:tc>
      </w:tr>
      <w:tr w14:paraId="1D3E95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D5">
            <w:pPr>
              <w:pStyle w:val="62"/>
              <w:rPr>
                <w:highlight w:val="yellow"/>
              </w:rPr>
            </w:pPr>
          </w:p>
        </w:tc>
        <w:tc>
          <w:tcPr>
            <w:tcW w:w="1581" w:type="pct"/>
            <w:gridSpan w:val="2"/>
            <w:vMerge w:val="continue"/>
            <w:shd w:val="clear" w:color="auto" w:fill="auto"/>
            <w:vAlign w:val="center"/>
          </w:tcPr>
          <w:p w14:paraId="1D3E95D6">
            <w:pPr>
              <w:pStyle w:val="62"/>
              <w:rPr>
                <w:highlight w:val="yellow"/>
              </w:rPr>
            </w:pPr>
          </w:p>
        </w:tc>
        <w:tc>
          <w:tcPr>
            <w:tcW w:w="1023" w:type="pct"/>
            <w:vMerge w:val="continue"/>
            <w:shd w:val="clear" w:color="auto" w:fill="auto"/>
            <w:vAlign w:val="center"/>
          </w:tcPr>
          <w:p w14:paraId="1D3E95D7">
            <w:pPr>
              <w:pStyle w:val="62"/>
            </w:pPr>
          </w:p>
        </w:tc>
        <w:tc>
          <w:tcPr>
            <w:tcW w:w="1624" w:type="pct"/>
            <w:gridSpan w:val="2"/>
            <w:shd w:val="clear" w:color="auto" w:fill="auto"/>
            <w:vAlign w:val="center"/>
          </w:tcPr>
          <w:p w14:paraId="1D3E95D8">
            <w:pPr>
              <w:pStyle w:val="62"/>
            </w:pPr>
            <w:r>
              <w:t>年平均        70μg/m</w:t>
            </w:r>
            <w:r>
              <w:rPr>
                <w:vertAlign w:val="superscript"/>
              </w:rPr>
              <w:t>3</w:t>
            </w:r>
          </w:p>
        </w:tc>
      </w:tr>
      <w:tr w14:paraId="1D3E9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DA">
            <w:pPr>
              <w:pStyle w:val="62"/>
              <w:rPr>
                <w:highlight w:val="yellow"/>
              </w:rPr>
            </w:pPr>
          </w:p>
        </w:tc>
        <w:tc>
          <w:tcPr>
            <w:tcW w:w="1581" w:type="pct"/>
            <w:gridSpan w:val="2"/>
            <w:vMerge w:val="continue"/>
            <w:shd w:val="clear" w:color="auto" w:fill="auto"/>
            <w:vAlign w:val="center"/>
          </w:tcPr>
          <w:p w14:paraId="1D3E95DB">
            <w:pPr>
              <w:pStyle w:val="62"/>
              <w:rPr>
                <w:highlight w:val="yellow"/>
              </w:rPr>
            </w:pPr>
          </w:p>
        </w:tc>
        <w:tc>
          <w:tcPr>
            <w:tcW w:w="1023" w:type="pct"/>
            <w:vMerge w:val="restart"/>
            <w:shd w:val="clear" w:color="auto" w:fill="auto"/>
            <w:vAlign w:val="center"/>
          </w:tcPr>
          <w:p w14:paraId="1D3E95DC">
            <w:pPr>
              <w:pStyle w:val="62"/>
            </w:pPr>
            <w:r>
              <w:t>SO</w:t>
            </w:r>
            <w:r>
              <w:rPr>
                <w:vertAlign w:val="subscript"/>
              </w:rPr>
              <w:t>2</w:t>
            </w:r>
          </w:p>
        </w:tc>
        <w:tc>
          <w:tcPr>
            <w:tcW w:w="1624" w:type="pct"/>
            <w:gridSpan w:val="2"/>
            <w:shd w:val="clear" w:color="auto" w:fill="auto"/>
            <w:vAlign w:val="center"/>
          </w:tcPr>
          <w:p w14:paraId="1D3E95DD">
            <w:pPr>
              <w:pStyle w:val="62"/>
            </w:pPr>
            <w:r>
              <w:t>1小时平均    500μg/m</w:t>
            </w:r>
            <w:r>
              <w:rPr>
                <w:vertAlign w:val="superscript"/>
              </w:rPr>
              <w:t>3</w:t>
            </w:r>
          </w:p>
        </w:tc>
      </w:tr>
      <w:tr w14:paraId="1D3E9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DF">
            <w:pPr>
              <w:pStyle w:val="62"/>
              <w:rPr>
                <w:highlight w:val="yellow"/>
              </w:rPr>
            </w:pPr>
          </w:p>
        </w:tc>
        <w:tc>
          <w:tcPr>
            <w:tcW w:w="1581" w:type="pct"/>
            <w:gridSpan w:val="2"/>
            <w:vMerge w:val="continue"/>
            <w:shd w:val="clear" w:color="auto" w:fill="auto"/>
            <w:vAlign w:val="center"/>
          </w:tcPr>
          <w:p w14:paraId="1D3E95E0">
            <w:pPr>
              <w:pStyle w:val="62"/>
              <w:rPr>
                <w:highlight w:val="yellow"/>
              </w:rPr>
            </w:pPr>
          </w:p>
        </w:tc>
        <w:tc>
          <w:tcPr>
            <w:tcW w:w="1023" w:type="pct"/>
            <w:vMerge w:val="continue"/>
            <w:shd w:val="clear" w:color="auto" w:fill="auto"/>
            <w:vAlign w:val="center"/>
          </w:tcPr>
          <w:p w14:paraId="1D3E95E1">
            <w:pPr>
              <w:pStyle w:val="62"/>
            </w:pPr>
          </w:p>
        </w:tc>
        <w:tc>
          <w:tcPr>
            <w:tcW w:w="1624" w:type="pct"/>
            <w:gridSpan w:val="2"/>
            <w:shd w:val="clear" w:color="auto" w:fill="auto"/>
            <w:vAlign w:val="center"/>
          </w:tcPr>
          <w:p w14:paraId="1D3E95E2">
            <w:pPr>
              <w:pStyle w:val="62"/>
            </w:pPr>
            <w:r>
              <w:t>24小时平均   150μg/m</w:t>
            </w:r>
            <w:r>
              <w:rPr>
                <w:vertAlign w:val="superscript"/>
              </w:rPr>
              <w:t>3</w:t>
            </w:r>
          </w:p>
        </w:tc>
      </w:tr>
      <w:tr w14:paraId="1D3E9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E4">
            <w:pPr>
              <w:pStyle w:val="62"/>
              <w:rPr>
                <w:highlight w:val="yellow"/>
              </w:rPr>
            </w:pPr>
          </w:p>
        </w:tc>
        <w:tc>
          <w:tcPr>
            <w:tcW w:w="1581" w:type="pct"/>
            <w:gridSpan w:val="2"/>
            <w:vMerge w:val="continue"/>
            <w:shd w:val="clear" w:color="auto" w:fill="auto"/>
            <w:vAlign w:val="center"/>
          </w:tcPr>
          <w:p w14:paraId="1D3E95E5">
            <w:pPr>
              <w:pStyle w:val="62"/>
              <w:rPr>
                <w:highlight w:val="yellow"/>
              </w:rPr>
            </w:pPr>
          </w:p>
        </w:tc>
        <w:tc>
          <w:tcPr>
            <w:tcW w:w="1023" w:type="pct"/>
            <w:vMerge w:val="continue"/>
            <w:shd w:val="clear" w:color="auto" w:fill="auto"/>
            <w:vAlign w:val="center"/>
          </w:tcPr>
          <w:p w14:paraId="1D3E95E6">
            <w:pPr>
              <w:pStyle w:val="62"/>
            </w:pPr>
          </w:p>
        </w:tc>
        <w:tc>
          <w:tcPr>
            <w:tcW w:w="1624" w:type="pct"/>
            <w:gridSpan w:val="2"/>
            <w:shd w:val="clear" w:color="auto" w:fill="auto"/>
            <w:vAlign w:val="center"/>
          </w:tcPr>
          <w:p w14:paraId="1D3E95E7">
            <w:pPr>
              <w:pStyle w:val="62"/>
            </w:pPr>
            <w:r>
              <w:t>年平均        60μg/m</w:t>
            </w:r>
            <w:r>
              <w:rPr>
                <w:vertAlign w:val="superscript"/>
              </w:rPr>
              <w:t>3</w:t>
            </w:r>
          </w:p>
        </w:tc>
      </w:tr>
      <w:tr w14:paraId="1D3E9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E9">
            <w:pPr>
              <w:pStyle w:val="62"/>
              <w:rPr>
                <w:highlight w:val="yellow"/>
              </w:rPr>
            </w:pPr>
          </w:p>
        </w:tc>
        <w:tc>
          <w:tcPr>
            <w:tcW w:w="1581" w:type="pct"/>
            <w:gridSpan w:val="2"/>
            <w:vMerge w:val="continue"/>
            <w:shd w:val="clear" w:color="auto" w:fill="auto"/>
            <w:vAlign w:val="center"/>
          </w:tcPr>
          <w:p w14:paraId="1D3E95EA">
            <w:pPr>
              <w:pStyle w:val="62"/>
              <w:rPr>
                <w:highlight w:val="yellow"/>
              </w:rPr>
            </w:pPr>
          </w:p>
        </w:tc>
        <w:tc>
          <w:tcPr>
            <w:tcW w:w="1023" w:type="pct"/>
            <w:vMerge w:val="restart"/>
            <w:shd w:val="clear" w:color="auto" w:fill="auto"/>
            <w:vAlign w:val="center"/>
          </w:tcPr>
          <w:p w14:paraId="1D3E95EB">
            <w:pPr>
              <w:pStyle w:val="62"/>
            </w:pPr>
            <w:r>
              <w:t>NO</w:t>
            </w:r>
            <w:r>
              <w:rPr>
                <w:vertAlign w:val="subscript"/>
              </w:rPr>
              <w:t>2</w:t>
            </w:r>
          </w:p>
        </w:tc>
        <w:tc>
          <w:tcPr>
            <w:tcW w:w="1624" w:type="pct"/>
            <w:gridSpan w:val="2"/>
            <w:shd w:val="clear" w:color="auto" w:fill="auto"/>
            <w:vAlign w:val="center"/>
          </w:tcPr>
          <w:p w14:paraId="1D3E95EC">
            <w:pPr>
              <w:pStyle w:val="62"/>
            </w:pPr>
            <w:r>
              <w:t>1小时平均    200μg/m</w:t>
            </w:r>
            <w:r>
              <w:rPr>
                <w:vertAlign w:val="superscript"/>
              </w:rPr>
              <w:t>3</w:t>
            </w:r>
          </w:p>
        </w:tc>
      </w:tr>
      <w:tr w14:paraId="1D3E9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EE">
            <w:pPr>
              <w:pStyle w:val="62"/>
              <w:rPr>
                <w:highlight w:val="yellow"/>
              </w:rPr>
            </w:pPr>
          </w:p>
        </w:tc>
        <w:tc>
          <w:tcPr>
            <w:tcW w:w="1581" w:type="pct"/>
            <w:gridSpan w:val="2"/>
            <w:vMerge w:val="continue"/>
            <w:shd w:val="clear" w:color="auto" w:fill="auto"/>
            <w:vAlign w:val="center"/>
          </w:tcPr>
          <w:p w14:paraId="1D3E95EF">
            <w:pPr>
              <w:pStyle w:val="62"/>
              <w:rPr>
                <w:highlight w:val="yellow"/>
              </w:rPr>
            </w:pPr>
          </w:p>
        </w:tc>
        <w:tc>
          <w:tcPr>
            <w:tcW w:w="1023" w:type="pct"/>
            <w:vMerge w:val="continue"/>
            <w:shd w:val="clear" w:color="auto" w:fill="auto"/>
            <w:vAlign w:val="center"/>
          </w:tcPr>
          <w:p w14:paraId="1D3E95F0">
            <w:pPr>
              <w:pStyle w:val="62"/>
            </w:pPr>
          </w:p>
        </w:tc>
        <w:tc>
          <w:tcPr>
            <w:tcW w:w="1624" w:type="pct"/>
            <w:gridSpan w:val="2"/>
            <w:shd w:val="clear" w:color="auto" w:fill="auto"/>
            <w:vAlign w:val="center"/>
          </w:tcPr>
          <w:p w14:paraId="1D3E95F1">
            <w:pPr>
              <w:pStyle w:val="62"/>
            </w:pPr>
            <w:r>
              <w:t>24小时平均    80μg/m</w:t>
            </w:r>
            <w:r>
              <w:rPr>
                <w:vertAlign w:val="superscript"/>
              </w:rPr>
              <w:t>3</w:t>
            </w:r>
          </w:p>
        </w:tc>
      </w:tr>
      <w:tr w14:paraId="1D3E9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F3">
            <w:pPr>
              <w:pStyle w:val="62"/>
              <w:rPr>
                <w:highlight w:val="yellow"/>
              </w:rPr>
            </w:pPr>
          </w:p>
        </w:tc>
        <w:tc>
          <w:tcPr>
            <w:tcW w:w="1581" w:type="pct"/>
            <w:gridSpan w:val="2"/>
            <w:vMerge w:val="continue"/>
            <w:shd w:val="clear" w:color="auto" w:fill="auto"/>
            <w:vAlign w:val="center"/>
          </w:tcPr>
          <w:p w14:paraId="1D3E95F4">
            <w:pPr>
              <w:pStyle w:val="62"/>
              <w:rPr>
                <w:highlight w:val="yellow"/>
              </w:rPr>
            </w:pPr>
          </w:p>
        </w:tc>
        <w:tc>
          <w:tcPr>
            <w:tcW w:w="1023" w:type="pct"/>
            <w:vMerge w:val="continue"/>
            <w:shd w:val="clear" w:color="auto" w:fill="auto"/>
            <w:vAlign w:val="center"/>
          </w:tcPr>
          <w:p w14:paraId="1D3E95F5">
            <w:pPr>
              <w:pStyle w:val="62"/>
            </w:pPr>
          </w:p>
        </w:tc>
        <w:tc>
          <w:tcPr>
            <w:tcW w:w="1624" w:type="pct"/>
            <w:gridSpan w:val="2"/>
            <w:shd w:val="clear" w:color="auto" w:fill="auto"/>
            <w:vAlign w:val="center"/>
          </w:tcPr>
          <w:p w14:paraId="1D3E95F6">
            <w:pPr>
              <w:pStyle w:val="62"/>
            </w:pPr>
            <w:r>
              <w:t>年平均         40μg/m</w:t>
            </w:r>
            <w:r>
              <w:rPr>
                <w:vertAlign w:val="superscript"/>
              </w:rPr>
              <w:t>3</w:t>
            </w:r>
          </w:p>
        </w:tc>
      </w:tr>
      <w:tr w14:paraId="1D3E9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F8">
            <w:pPr>
              <w:pStyle w:val="62"/>
              <w:rPr>
                <w:highlight w:val="yellow"/>
              </w:rPr>
            </w:pPr>
          </w:p>
        </w:tc>
        <w:tc>
          <w:tcPr>
            <w:tcW w:w="1581" w:type="pct"/>
            <w:gridSpan w:val="2"/>
            <w:vMerge w:val="continue"/>
            <w:shd w:val="clear" w:color="auto" w:fill="auto"/>
            <w:vAlign w:val="center"/>
          </w:tcPr>
          <w:p w14:paraId="1D3E95F9">
            <w:pPr>
              <w:pStyle w:val="62"/>
              <w:rPr>
                <w:highlight w:val="yellow"/>
              </w:rPr>
            </w:pPr>
          </w:p>
        </w:tc>
        <w:tc>
          <w:tcPr>
            <w:tcW w:w="1023" w:type="pct"/>
            <w:vMerge w:val="restart"/>
            <w:shd w:val="clear" w:color="auto" w:fill="auto"/>
            <w:vAlign w:val="center"/>
          </w:tcPr>
          <w:p w14:paraId="1D3E95FA">
            <w:pPr>
              <w:pStyle w:val="62"/>
            </w:pPr>
            <w:r>
              <w:t>NO</w:t>
            </w:r>
            <w:r>
              <w:rPr>
                <w:vertAlign w:val="subscript"/>
              </w:rPr>
              <w:t>X</w:t>
            </w:r>
          </w:p>
        </w:tc>
        <w:tc>
          <w:tcPr>
            <w:tcW w:w="1624" w:type="pct"/>
            <w:gridSpan w:val="2"/>
            <w:shd w:val="clear" w:color="auto" w:fill="auto"/>
            <w:vAlign w:val="center"/>
          </w:tcPr>
          <w:p w14:paraId="1D3E95FB">
            <w:pPr>
              <w:pStyle w:val="62"/>
            </w:pPr>
            <w:r>
              <w:t>1小时平均    250μg/m</w:t>
            </w:r>
            <w:r>
              <w:rPr>
                <w:vertAlign w:val="superscript"/>
              </w:rPr>
              <w:t>3</w:t>
            </w:r>
          </w:p>
        </w:tc>
      </w:tr>
      <w:tr w14:paraId="1D3E9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5FD">
            <w:pPr>
              <w:pStyle w:val="62"/>
              <w:rPr>
                <w:highlight w:val="yellow"/>
              </w:rPr>
            </w:pPr>
          </w:p>
        </w:tc>
        <w:tc>
          <w:tcPr>
            <w:tcW w:w="1581" w:type="pct"/>
            <w:gridSpan w:val="2"/>
            <w:vMerge w:val="continue"/>
            <w:shd w:val="clear" w:color="auto" w:fill="auto"/>
            <w:vAlign w:val="center"/>
          </w:tcPr>
          <w:p w14:paraId="1D3E95FE">
            <w:pPr>
              <w:pStyle w:val="62"/>
              <w:rPr>
                <w:highlight w:val="yellow"/>
              </w:rPr>
            </w:pPr>
          </w:p>
        </w:tc>
        <w:tc>
          <w:tcPr>
            <w:tcW w:w="1023" w:type="pct"/>
            <w:vMerge w:val="continue"/>
            <w:shd w:val="clear" w:color="auto" w:fill="auto"/>
            <w:vAlign w:val="center"/>
          </w:tcPr>
          <w:p w14:paraId="1D3E95FF">
            <w:pPr>
              <w:pStyle w:val="62"/>
            </w:pPr>
          </w:p>
        </w:tc>
        <w:tc>
          <w:tcPr>
            <w:tcW w:w="1624" w:type="pct"/>
            <w:gridSpan w:val="2"/>
            <w:shd w:val="clear" w:color="auto" w:fill="auto"/>
            <w:vAlign w:val="center"/>
          </w:tcPr>
          <w:p w14:paraId="1D3E9600">
            <w:pPr>
              <w:pStyle w:val="62"/>
            </w:pPr>
            <w:r>
              <w:t>24小时平均   100μg/m</w:t>
            </w:r>
            <w:r>
              <w:rPr>
                <w:vertAlign w:val="superscript"/>
              </w:rPr>
              <w:t>3</w:t>
            </w:r>
          </w:p>
        </w:tc>
      </w:tr>
      <w:tr w14:paraId="1D3E9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02">
            <w:pPr>
              <w:pStyle w:val="62"/>
              <w:rPr>
                <w:highlight w:val="yellow"/>
              </w:rPr>
            </w:pPr>
          </w:p>
        </w:tc>
        <w:tc>
          <w:tcPr>
            <w:tcW w:w="1581" w:type="pct"/>
            <w:gridSpan w:val="2"/>
            <w:vMerge w:val="continue"/>
            <w:shd w:val="clear" w:color="auto" w:fill="auto"/>
            <w:vAlign w:val="center"/>
          </w:tcPr>
          <w:p w14:paraId="1D3E9603">
            <w:pPr>
              <w:pStyle w:val="62"/>
              <w:rPr>
                <w:highlight w:val="yellow"/>
              </w:rPr>
            </w:pPr>
          </w:p>
        </w:tc>
        <w:tc>
          <w:tcPr>
            <w:tcW w:w="1023" w:type="pct"/>
            <w:vMerge w:val="continue"/>
            <w:shd w:val="clear" w:color="auto" w:fill="auto"/>
            <w:vAlign w:val="center"/>
          </w:tcPr>
          <w:p w14:paraId="1D3E9604">
            <w:pPr>
              <w:pStyle w:val="62"/>
            </w:pPr>
          </w:p>
        </w:tc>
        <w:tc>
          <w:tcPr>
            <w:tcW w:w="1624" w:type="pct"/>
            <w:gridSpan w:val="2"/>
            <w:shd w:val="clear" w:color="auto" w:fill="auto"/>
            <w:vAlign w:val="center"/>
          </w:tcPr>
          <w:p w14:paraId="1D3E9605">
            <w:pPr>
              <w:pStyle w:val="62"/>
            </w:pPr>
            <w:r>
              <w:t>年平均        50μg/m</w:t>
            </w:r>
            <w:r>
              <w:rPr>
                <w:vertAlign w:val="superscript"/>
              </w:rPr>
              <w:t>3</w:t>
            </w:r>
          </w:p>
        </w:tc>
      </w:tr>
      <w:tr w14:paraId="1D3E96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07">
            <w:pPr>
              <w:pStyle w:val="62"/>
              <w:rPr>
                <w:highlight w:val="yellow"/>
              </w:rPr>
            </w:pPr>
          </w:p>
        </w:tc>
        <w:tc>
          <w:tcPr>
            <w:tcW w:w="1581" w:type="pct"/>
            <w:gridSpan w:val="2"/>
            <w:vMerge w:val="continue"/>
            <w:shd w:val="clear" w:color="auto" w:fill="auto"/>
            <w:vAlign w:val="center"/>
          </w:tcPr>
          <w:p w14:paraId="1D3E9608">
            <w:pPr>
              <w:pStyle w:val="62"/>
              <w:rPr>
                <w:highlight w:val="yellow"/>
              </w:rPr>
            </w:pPr>
          </w:p>
        </w:tc>
        <w:tc>
          <w:tcPr>
            <w:tcW w:w="1023" w:type="pct"/>
            <w:vMerge w:val="restart"/>
            <w:shd w:val="clear" w:color="auto" w:fill="auto"/>
            <w:vAlign w:val="center"/>
          </w:tcPr>
          <w:p w14:paraId="1D3E9609">
            <w:pPr>
              <w:pStyle w:val="62"/>
            </w:pPr>
            <w:r>
              <w:t>CO</w:t>
            </w:r>
          </w:p>
        </w:tc>
        <w:tc>
          <w:tcPr>
            <w:tcW w:w="1624" w:type="pct"/>
            <w:gridSpan w:val="2"/>
            <w:shd w:val="clear" w:color="auto" w:fill="auto"/>
            <w:vAlign w:val="center"/>
          </w:tcPr>
          <w:p w14:paraId="1D3E960A">
            <w:pPr>
              <w:pStyle w:val="62"/>
            </w:pPr>
            <w:r>
              <w:t>1小时平均    10mg/m</w:t>
            </w:r>
            <w:r>
              <w:rPr>
                <w:vertAlign w:val="superscript"/>
              </w:rPr>
              <w:t>3</w:t>
            </w:r>
          </w:p>
        </w:tc>
      </w:tr>
      <w:tr w14:paraId="1D3E9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0C">
            <w:pPr>
              <w:pStyle w:val="62"/>
              <w:rPr>
                <w:highlight w:val="yellow"/>
              </w:rPr>
            </w:pPr>
          </w:p>
        </w:tc>
        <w:tc>
          <w:tcPr>
            <w:tcW w:w="1581" w:type="pct"/>
            <w:gridSpan w:val="2"/>
            <w:vMerge w:val="continue"/>
            <w:shd w:val="clear" w:color="auto" w:fill="auto"/>
            <w:vAlign w:val="center"/>
          </w:tcPr>
          <w:p w14:paraId="1D3E960D">
            <w:pPr>
              <w:pStyle w:val="62"/>
              <w:rPr>
                <w:highlight w:val="yellow"/>
              </w:rPr>
            </w:pPr>
          </w:p>
        </w:tc>
        <w:tc>
          <w:tcPr>
            <w:tcW w:w="1023" w:type="pct"/>
            <w:vMerge w:val="continue"/>
            <w:shd w:val="clear" w:color="auto" w:fill="auto"/>
            <w:vAlign w:val="center"/>
          </w:tcPr>
          <w:p w14:paraId="1D3E960E">
            <w:pPr>
              <w:pStyle w:val="62"/>
            </w:pPr>
          </w:p>
        </w:tc>
        <w:tc>
          <w:tcPr>
            <w:tcW w:w="1624" w:type="pct"/>
            <w:gridSpan w:val="2"/>
            <w:shd w:val="clear" w:color="auto" w:fill="auto"/>
            <w:vAlign w:val="center"/>
          </w:tcPr>
          <w:p w14:paraId="1D3E960F">
            <w:pPr>
              <w:pStyle w:val="62"/>
            </w:pPr>
            <w:r>
              <w:t>24小时平均    4mg/m</w:t>
            </w:r>
            <w:r>
              <w:rPr>
                <w:vertAlign w:val="superscript"/>
              </w:rPr>
              <w:t>3</w:t>
            </w:r>
          </w:p>
        </w:tc>
      </w:tr>
      <w:tr w14:paraId="0D954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331497AB">
            <w:pPr>
              <w:pStyle w:val="62"/>
              <w:rPr>
                <w:highlight w:val="yellow"/>
              </w:rPr>
            </w:pPr>
          </w:p>
        </w:tc>
        <w:tc>
          <w:tcPr>
            <w:tcW w:w="1581" w:type="pct"/>
            <w:gridSpan w:val="2"/>
            <w:vMerge w:val="restart"/>
            <w:shd w:val="clear" w:color="auto" w:fill="auto"/>
            <w:vAlign w:val="center"/>
          </w:tcPr>
          <w:p w14:paraId="380B3D79">
            <w:pPr>
              <w:pStyle w:val="62"/>
              <w:rPr>
                <w:highlight w:val="yellow"/>
              </w:rPr>
            </w:pPr>
            <w:r>
              <w:t>《环境影响评价技术导则大气环境》（HJ2.2-2018）附录D</w:t>
            </w:r>
          </w:p>
        </w:tc>
        <w:tc>
          <w:tcPr>
            <w:tcW w:w="1023" w:type="pct"/>
            <w:vMerge w:val="restart"/>
            <w:shd w:val="clear" w:color="auto" w:fill="auto"/>
            <w:vAlign w:val="center"/>
          </w:tcPr>
          <w:p w14:paraId="22420B96">
            <w:pPr>
              <w:pStyle w:val="62"/>
            </w:pPr>
            <w:r>
              <w:rPr>
                <w:rFonts w:hint="eastAsia"/>
              </w:rPr>
              <w:t>硫酸雾</w:t>
            </w:r>
          </w:p>
        </w:tc>
        <w:tc>
          <w:tcPr>
            <w:tcW w:w="1624" w:type="pct"/>
            <w:gridSpan w:val="2"/>
            <w:shd w:val="clear" w:color="auto" w:fill="auto"/>
            <w:vAlign w:val="center"/>
          </w:tcPr>
          <w:p w14:paraId="5AC33356">
            <w:pPr>
              <w:pStyle w:val="62"/>
            </w:pPr>
            <w:r>
              <w:t xml:space="preserve">1小时平均    </w:t>
            </w:r>
            <w:r>
              <w:rPr>
                <w:rFonts w:hint="eastAsia"/>
              </w:rPr>
              <w:t>300</w:t>
            </w:r>
            <w:r>
              <w:t>μg/m</w:t>
            </w:r>
            <w:r>
              <w:rPr>
                <w:vertAlign w:val="superscript"/>
              </w:rPr>
              <w:t>3</w:t>
            </w:r>
          </w:p>
        </w:tc>
      </w:tr>
      <w:tr w14:paraId="513EBD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5960AFC2">
            <w:pPr>
              <w:pStyle w:val="62"/>
              <w:rPr>
                <w:highlight w:val="yellow"/>
              </w:rPr>
            </w:pPr>
          </w:p>
        </w:tc>
        <w:tc>
          <w:tcPr>
            <w:tcW w:w="1581" w:type="pct"/>
            <w:gridSpan w:val="2"/>
            <w:vMerge w:val="continue"/>
            <w:shd w:val="clear" w:color="auto" w:fill="auto"/>
            <w:vAlign w:val="center"/>
          </w:tcPr>
          <w:p w14:paraId="6D438A41">
            <w:pPr>
              <w:pStyle w:val="62"/>
              <w:rPr>
                <w:highlight w:val="yellow"/>
              </w:rPr>
            </w:pPr>
          </w:p>
        </w:tc>
        <w:tc>
          <w:tcPr>
            <w:tcW w:w="1023" w:type="pct"/>
            <w:vMerge w:val="continue"/>
            <w:shd w:val="clear" w:color="auto" w:fill="auto"/>
            <w:vAlign w:val="center"/>
          </w:tcPr>
          <w:p w14:paraId="531BC537">
            <w:pPr>
              <w:pStyle w:val="62"/>
            </w:pPr>
          </w:p>
        </w:tc>
        <w:tc>
          <w:tcPr>
            <w:tcW w:w="1624" w:type="pct"/>
            <w:gridSpan w:val="2"/>
            <w:shd w:val="clear" w:color="auto" w:fill="auto"/>
            <w:vAlign w:val="center"/>
          </w:tcPr>
          <w:p w14:paraId="6B69B482">
            <w:pPr>
              <w:pStyle w:val="62"/>
            </w:pPr>
            <w:r>
              <w:t xml:space="preserve">24小时平均    </w:t>
            </w:r>
            <w:r>
              <w:rPr>
                <w:rFonts w:hint="eastAsia"/>
              </w:rPr>
              <w:t>100</w:t>
            </w:r>
            <w:r>
              <w:t>μg/m</w:t>
            </w:r>
            <w:r>
              <w:rPr>
                <w:vertAlign w:val="superscript"/>
              </w:rPr>
              <w:t>3</w:t>
            </w:r>
          </w:p>
        </w:tc>
      </w:tr>
      <w:tr w14:paraId="67AF5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736F1DEC">
            <w:pPr>
              <w:pStyle w:val="62"/>
              <w:rPr>
                <w:highlight w:val="yellow"/>
              </w:rPr>
            </w:pPr>
          </w:p>
        </w:tc>
        <w:tc>
          <w:tcPr>
            <w:tcW w:w="1581" w:type="pct"/>
            <w:gridSpan w:val="2"/>
            <w:vMerge w:val="continue"/>
            <w:shd w:val="clear" w:color="auto" w:fill="auto"/>
            <w:vAlign w:val="center"/>
          </w:tcPr>
          <w:p w14:paraId="08DBD302">
            <w:pPr>
              <w:pStyle w:val="62"/>
              <w:rPr>
                <w:highlight w:val="yellow"/>
              </w:rPr>
            </w:pPr>
          </w:p>
        </w:tc>
        <w:tc>
          <w:tcPr>
            <w:tcW w:w="1023" w:type="pct"/>
            <w:shd w:val="clear" w:color="auto" w:fill="auto"/>
            <w:vAlign w:val="center"/>
          </w:tcPr>
          <w:p w14:paraId="743AB955">
            <w:pPr>
              <w:pStyle w:val="62"/>
            </w:pPr>
            <w:r>
              <w:rPr>
                <w:rFonts w:hint="eastAsia"/>
              </w:rPr>
              <w:t>硫化氢</w:t>
            </w:r>
          </w:p>
        </w:tc>
        <w:tc>
          <w:tcPr>
            <w:tcW w:w="1624" w:type="pct"/>
            <w:gridSpan w:val="2"/>
            <w:shd w:val="clear" w:color="auto" w:fill="auto"/>
            <w:vAlign w:val="center"/>
          </w:tcPr>
          <w:p w14:paraId="0BE4E845">
            <w:pPr>
              <w:pStyle w:val="62"/>
            </w:pPr>
            <w:r>
              <w:t>1小时均值  10μg/m</w:t>
            </w:r>
            <w:r>
              <w:rPr>
                <w:vertAlign w:val="superscript"/>
              </w:rPr>
              <w:t>3</w:t>
            </w:r>
          </w:p>
        </w:tc>
      </w:tr>
      <w:tr w14:paraId="3F85F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5F2A6810">
            <w:pPr>
              <w:pStyle w:val="62"/>
              <w:rPr>
                <w:highlight w:val="yellow"/>
              </w:rPr>
            </w:pPr>
          </w:p>
        </w:tc>
        <w:tc>
          <w:tcPr>
            <w:tcW w:w="1581" w:type="pct"/>
            <w:gridSpan w:val="2"/>
            <w:vMerge w:val="continue"/>
            <w:shd w:val="clear" w:color="auto" w:fill="auto"/>
            <w:vAlign w:val="center"/>
          </w:tcPr>
          <w:p w14:paraId="78E70733">
            <w:pPr>
              <w:pStyle w:val="62"/>
              <w:rPr>
                <w:highlight w:val="yellow"/>
              </w:rPr>
            </w:pPr>
          </w:p>
        </w:tc>
        <w:tc>
          <w:tcPr>
            <w:tcW w:w="1023" w:type="pct"/>
            <w:shd w:val="clear" w:color="auto" w:fill="auto"/>
            <w:vAlign w:val="center"/>
          </w:tcPr>
          <w:p w14:paraId="520C241D">
            <w:pPr>
              <w:pStyle w:val="62"/>
            </w:pPr>
            <w:r>
              <w:rPr>
                <w:rFonts w:hint="eastAsia"/>
              </w:rPr>
              <w:t>氨</w:t>
            </w:r>
          </w:p>
        </w:tc>
        <w:tc>
          <w:tcPr>
            <w:tcW w:w="1624" w:type="pct"/>
            <w:gridSpan w:val="2"/>
            <w:shd w:val="clear" w:color="auto" w:fill="auto"/>
            <w:vAlign w:val="center"/>
          </w:tcPr>
          <w:p w14:paraId="36D25EA7">
            <w:pPr>
              <w:pStyle w:val="62"/>
            </w:pPr>
            <w:r>
              <w:t>1小时均值  200μg/m</w:t>
            </w:r>
            <w:r>
              <w:rPr>
                <w:vertAlign w:val="superscript"/>
              </w:rPr>
              <w:t>3</w:t>
            </w:r>
          </w:p>
        </w:tc>
      </w:tr>
      <w:tr w14:paraId="36B3D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5890171F">
            <w:pPr>
              <w:pStyle w:val="62"/>
              <w:rPr>
                <w:highlight w:val="yellow"/>
              </w:rPr>
            </w:pPr>
          </w:p>
        </w:tc>
        <w:tc>
          <w:tcPr>
            <w:tcW w:w="1581" w:type="pct"/>
            <w:gridSpan w:val="2"/>
            <w:vMerge w:val="continue"/>
            <w:shd w:val="clear" w:color="auto" w:fill="auto"/>
            <w:vAlign w:val="center"/>
          </w:tcPr>
          <w:p w14:paraId="2AD3D77B">
            <w:pPr>
              <w:pStyle w:val="62"/>
              <w:rPr>
                <w:highlight w:val="yellow"/>
              </w:rPr>
            </w:pPr>
          </w:p>
        </w:tc>
        <w:tc>
          <w:tcPr>
            <w:tcW w:w="1023" w:type="pct"/>
            <w:shd w:val="clear" w:color="auto" w:fill="auto"/>
            <w:vAlign w:val="center"/>
          </w:tcPr>
          <w:p w14:paraId="1BFE4DA5">
            <w:pPr>
              <w:pStyle w:val="62"/>
            </w:pPr>
            <w:r>
              <w:t>TVOC</w:t>
            </w:r>
          </w:p>
        </w:tc>
        <w:tc>
          <w:tcPr>
            <w:tcW w:w="1624" w:type="pct"/>
            <w:gridSpan w:val="2"/>
            <w:shd w:val="clear" w:color="auto" w:fill="auto"/>
            <w:vAlign w:val="center"/>
          </w:tcPr>
          <w:p w14:paraId="05F5831E">
            <w:pPr>
              <w:pStyle w:val="62"/>
            </w:pPr>
            <w:r>
              <w:t>8小时均值  600μg/m</w:t>
            </w:r>
            <w:r>
              <w:rPr>
                <w:vertAlign w:val="superscript"/>
              </w:rPr>
              <w:t>3</w:t>
            </w:r>
          </w:p>
        </w:tc>
      </w:tr>
      <w:tr w14:paraId="4186F4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709215C2">
            <w:pPr>
              <w:pStyle w:val="62"/>
              <w:rPr>
                <w:highlight w:val="yellow"/>
              </w:rPr>
            </w:pPr>
          </w:p>
        </w:tc>
        <w:tc>
          <w:tcPr>
            <w:tcW w:w="1581" w:type="pct"/>
            <w:gridSpan w:val="2"/>
            <w:shd w:val="clear" w:color="auto" w:fill="auto"/>
            <w:vAlign w:val="center"/>
          </w:tcPr>
          <w:p w14:paraId="2F59A67E">
            <w:pPr>
              <w:pStyle w:val="62"/>
              <w:rPr>
                <w:highlight w:val="yellow"/>
              </w:rPr>
            </w:pPr>
            <w:r>
              <w:rPr>
                <w:rFonts w:hint="eastAsia"/>
              </w:rPr>
              <w:t>《大气综合污染物排放标准详解》第四章标准值说明</w:t>
            </w:r>
          </w:p>
        </w:tc>
        <w:tc>
          <w:tcPr>
            <w:tcW w:w="1023" w:type="pct"/>
            <w:shd w:val="clear" w:color="auto" w:fill="auto"/>
            <w:vAlign w:val="center"/>
          </w:tcPr>
          <w:p w14:paraId="1D5502B9">
            <w:pPr>
              <w:pStyle w:val="62"/>
              <w:rPr>
                <w:highlight w:val="yellow"/>
              </w:rPr>
            </w:pPr>
            <w:r>
              <w:rPr>
                <w:rFonts w:hint="eastAsia"/>
              </w:rPr>
              <w:t>非甲烷总烃</w:t>
            </w:r>
          </w:p>
        </w:tc>
        <w:tc>
          <w:tcPr>
            <w:tcW w:w="1624" w:type="pct"/>
            <w:gridSpan w:val="2"/>
            <w:shd w:val="clear" w:color="auto" w:fill="auto"/>
            <w:vAlign w:val="center"/>
          </w:tcPr>
          <w:p w14:paraId="6156299A">
            <w:pPr>
              <w:pStyle w:val="62"/>
              <w:rPr>
                <w:highlight w:val="yellow"/>
              </w:rPr>
            </w:pPr>
            <w:r>
              <w:t>1小时平均    2.0</w:t>
            </w:r>
            <w:r>
              <w:rPr>
                <w:rFonts w:hint="eastAsia"/>
              </w:rPr>
              <w:t>mg/m</w:t>
            </w:r>
            <w:r>
              <w:rPr>
                <w:rFonts w:hint="eastAsia"/>
                <w:vertAlign w:val="superscript"/>
              </w:rPr>
              <w:t>3</w:t>
            </w:r>
          </w:p>
        </w:tc>
      </w:tr>
      <w:tr w14:paraId="1D3E9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restart"/>
            <w:shd w:val="clear" w:color="auto" w:fill="auto"/>
            <w:vAlign w:val="center"/>
          </w:tcPr>
          <w:p w14:paraId="1D3E9634">
            <w:pPr>
              <w:pStyle w:val="62"/>
            </w:pPr>
            <w:r>
              <w:t>地下水</w:t>
            </w:r>
          </w:p>
        </w:tc>
        <w:tc>
          <w:tcPr>
            <w:tcW w:w="1581" w:type="pct"/>
            <w:gridSpan w:val="2"/>
            <w:vMerge w:val="restart"/>
            <w:shd w:val="clear" w:color="auto" w:fill="auto"/>
            <w:vAlign w:val="center"/>
          </w:tcPr>
          <w:p w14:paraId="1D3E9635">
            <w:pPr>
              <w:pStyle w:val="62"/>
            </w:pPr>
            <w:r>
              <w:t>《地下水质量标准》（GB/T14848-2017）Ⅲ类</w:t>
            </w:r>
          </w:p>
        </w:tc>
        <w:tc>
          <w:tcPr>
            <w:tcW w:w="1023" w:type="pct"/>
            <w:shd w:val="clear" w:color="auto" w:fill="auto"/>
            <w:vAlign w:val="center"/>
          </w:tcPr>
          <w:p w14:paraId="1D3E9636">
            <w:pPr>
              <w:pStyle w:val="62"/>
            </w:pPr>
            <w:r>
              <w:t>pH</w:t>
            </w:r>
          </w:p>
        </w:tc>
        <w:tc>
          <w:tcPr>
            <w:tcW w:w="1624" w:type="pct"/>
            <w:gridSpan w:val="2"/>
            <w:shd w:val="clear" w:color="auto" w:fill="auto"/>
            <w:vAlign w:val="center"/>
          </w:tcPr>
          <w:p w14:paraId="1D3E9637">
            <w:pPr>
              <w:pStyle w:val="62"/>
            </w:pPr>
            <w:r>
              <w:t>6.5-8.5</w:t>
            </w:r>
          </w:p>
        </w:tc>
      </w:tr>
      <w:tr w14:paraId="1D3E9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39">
            <w:pPr>
              <w:pStyle w:val="62"/>
              <w:rPr>
                <w:highlight w:val="yellow"/>
              </w:rPr>
            </w:pPr>
          </w:p>
        </w:tc>
        <w:tc>
          <w:tcPr>
            <w:tcW w:w="1581" w:type="pct"/>
            <w:gridSpan w:val="2"/>
            <w:vMerge w:val="continue"/>
            <w:shd w:val="clear" w:color="auto" w:fill="auto"/>
            <w:vAlign w:val="center"/>
          </w:tcPr>
          <w:p w14:paraId="1D3E963A">
            <w:pPr>
              <w:pStyle w:val="62"/>
              <w:rPr>
                <w:highlight w:val="yellow"/>
              </w:rPr>
            </w:pPr>
          </w:p>
        </w:tc>
        <w:tc>
          <w:tcPr>
            <w:tcW w:w="1023" w:type="pct"/>
            <w:shd w:val="clear" w:color="auto" w:fill="auto"/>
            <w:vAlign w:val="center"/>
          </w:tcPr>
          <w:p w14:paraId="1D3E963B">
            <w:pPr>
              <w:pStyle w:val="62"/>
            </w:pPr>
            <w:r>
              <w:t>总硬度</w:t>
            </w:r>
          </w:p>
        </w:tc>
        <w:tc>
          <w:tcPr>
            <w:tcW w:w="1624" w:type="pct"/>
            <w:gridSpan w:val="2"/>
            <w:shd w:val="clear" w:color="auto" w:fill="auto"/>
            <w:vAlign w:val="center"/>
          </w:tcPr>
          <w:p w14:paraId="1D3E963C">
            <w:pPr>
              <w:pStyle w:val="62"/>
            </w:pPr>
            <w:r>
              <w:t>450mg/L</w:t>
            </w:r>
          </w:p>
        </w:tc>
      </w:tr>
      <w:tr w14:paraId="1D3E96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3E">
            <w:pPr>
              <w:pStyle w:val="62"/>
              <w:rPr>
                <w:highlight w:val="yellow"/>
              </w:rPr>
            </w:pPr>
          </w:p>
        </w:tc>
        <w:tc>
          <w:tcPr>
            <w:tcW w:w="1581" w:type="pct"/>
            <w:gridSpan w:val="2"/>
            <w:vMerge w:val="continue"/>
            <w:shd w:val="clear" w:color="auto" w:fill="auto"/>
            <w:vAlign w:val="center"/>
          </w:tcPr>
          <w:p w14:paraId="1D3E963F">
            <w:pPr>
              <w:pStyle w:val="62"/>
              <w:rPr>
                <w:highlight w:val="yellow"/>
              </w:rPr>
            </w:pPr>
          </w:p>
        </w:tc>
        <w:tc>
          <w:tcPr>
            <w:tcW w:w="1023" w:type="pct"/>
            <w:shd w:val="clear" w:color="auto" w:fill="auto"/>
            <w:vAlign w:val="center"/>
          </w:tcPr>
          <w:p w14:paraId="1D3E9640">
            <w:pPr>
              <w:pStyle w:val="62"/>
            </w:pPr>
            <w:r>
              <w:t>溶解性总固体</w:t>
            </w:r>
          </w:p>
        </w:tc>
        <w:tc>
          <w:tcPr>
            <w:tcW w:w="1624" w:type="pct"/>
            <w:gridSpan w:val="2"/>
            <w:shd w:val="clear" w:color="auto" w:fill="auto"/>
            <w:vAlign w:val="center"/>
          </w:tcPr>
          <w:p w14:paraId="1D3E9641">
            <w:pPr>
              <w:pStyle w:val="62"/>
            </w:pPr>
            <w:r>
              <w:t>1000mg/L</w:t>
            </w:r>
          </w:p>
        </w:tc>
      </w:tr>
      <w:tr w14:paraId="1D3E9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43">
            <w:pPr>
              <w:pStyle w:val="62"/>
              <w:rPr>
                <w:highlight w:val="yellow"/>
              </w:rPr>
            </w:pPr>
          </w:p>
        </w:tc>
        <w:tc>
          <w:tcPr>
            <w:tcW w:w="1581" w:type="pct"/>
            <w:gridSpan w:val="2"/>
            <w:vMerge w:val="continue"/>
            <w:shd w:val="clear" w:color="auto" w:fill="auto"/>
            <w:vAlign w:val="center"/>
          </w:tcPr>
          <w:p w14:paraId="1D3E9644">
            <w:pPr>
              <w:pStyle w:val="62"/>
              <w:rPr>
                <w:highlight w:val="yellow"/>
              </w:rPr>
            </w:pPr>
          </w:p>
        </w:tc>
        <w:tc>
          <w:tcPr>
            <w:tcW w:w="1023" w:type="pct"/>
            <w:shd w:val="clear" w:color="auto" w:fill="auto"/>
            <w:vAlign w:val="center"/>
          </w:tcPr>
          <w:p w14:paraId="1D3E9645">
            <w:pPr>
              <w:pStyle w:val="62"/>
            </w:pPr>
            <w:r>
              <w:t>耗氧量（COD</w:t>
            </w:r>
            <w:r>
              <w:rPr>
                <w:vertAlign w:val="subscript"/>
              </w:rPr>
              <w:t>Mn</w:t>
            </w:r>
            <w:r>
              <w:t>法，以O</w:t>
            </w:r>
            <w:r>
              <w:rPr>
                <w:vertAlign w:val="subscript"/>
              </w:rPr>
              <w:t>2</w:t>
            </w:r>
            <w:r>
              <w:t>计）</w:t>
            </w:r>
          </w:p>
        </w:tc>
        <w:tc>
          <w:tcPr>
            <w:tcW w:w="1624" w:type="pct"/>
            <w:gridSpan w:val="2"/>
            <w:shd w:val="clear" w:color="auto" w:fill="auto"/>
            <w:vAlign w:val="center"/>
          </w:tcPr>
          <w:p w14:paraId="1D3E9646">
            <w:pPr>
              <w:pStyle w:val="62"/>
            </w:pPr>
            <w:r>
              <w:t>3.0mg/L</w:t>
            </w:r>
          </w:p>
        </w:tc>
      </w:tr>
      <w:tr w14:paraId="1D3E9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48">
            <w:pPr>
              <w:pStyle w:val="62"/>
              <w:rPr>
                <w:highlight w:val="yellow"/>
              </w:rPr>
            </w:pPr>
          </w:p>
        </w:tc>
        <w:tc>
          <w:tcPr>
            <w:tcW w:w="1581" w:type="pct"/>
            <w:gridSpan w:val="2"/>
            <w:vMerge w:val="continue"/>
            <w:shd w:val="clear" w:color="auto" w:fill="auto"/>
            <w:vAlign w:val="center"/>
          </w:tcPr>
          <w:p w14:paraId="1D3E9649">
            <w:pPr>
              <w:pStyle w:val="62"/>
              <w:rPr>
                <w:highlight w:val="yellow"/>
              </w:rPr>
            </w:pPr>
          </w:p>
        </w:tc>
        <w:tc>
          <w:tcPr>
            <w:tcW w:w="1023" w:type="pct"/>
            <w:shd w:val="clear" w:color="auto" w:fill="auto"/>
            <w:vAlign w:val="center"/>
          </w:tcPr>
          <w:p w14:paraId="1D3E964A">
            <w:pPr>
              <w:pStyle w:val="62"/>
            </w:pPr>
            <w:r>
              <w:t>氨氮</w:t>
            </w:r>
          </w:p>
        </w:tc>
        <w:tc>
          <w:tcPr>
            <w:tcW w:w="1624" w:type="pct"/>
            <w:gridSpan w:val="2"/>
            <w:shd w:val="clear" w:color="auto" w:fill="auto"/>
            <w:vAlign w:val="center"/>
          </w:tcPr>
          <w:p w14:paraId="1D3E964B">
            <w:pPr>
              <w:pStyle w:val="62"/>
            </w:pPr>
            <w:r>
              <w:t>0.5mg/L</w:t>
            </w:r>
          </w:p>
        </w:tc>
      </w:tr>
      <w:tr w14:paraId="1D3E9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4D">
            <w:pPr>
              <w:pStyle w:val="62"/>
              <w:rPr>
                <w:highlight w:val="yellow"/>
              </w:rPr>
            </w:pPr>
          </w:p>
        </w:tc>
        <w:tc>
          <w:tcPr>
            <w:tcW w:w="1581" w:type="pct"/>
            <w:gridSpan w:val="2"/>
            <w:vMerge w:val="continue"/>
            <w:shd w:val="clear" w:color="auto" w:fill="auto"/>
            <w:vAlign w:val="center"/>
          </w:tcPr>
          <w:p w14:paraId="1D3E964E">
            <w:pPr>
              <w:pStyle w:val="62"/>
              <w:rPr>
                <w:highlight w:val="yellow"/>
              </w:rPr>
            </w:pPr>
          </w:p>
        </w:tc>
        <w:tc>
          <w:tcPr>
            <w:tcW w:w="1023" w:type="pct"/>
            <w:shd w:val="clear" w:color="auto" w:fill="auto"/>
            <w:vAlign w:val="center"/>
          </w:tcPr>
          <w:p w14:paraId="1D3E964F">
            <w:pPr>
              <w:pStyle w:val="62"/>
            </w:pPr>
            <w:r>
              <w:t>氯化物</w:t>
            </w:r>
          </w:p>
        </w:tc>
        <w:tc>
          <w:tcPr>
            <w:tcW w:w="1624" w:type="pct"/>
            <w:gridSpan w:val="2"/>
            <w:shd w:val="clear" w:color="auto" w:fill="auto"/>
            <w:vAlign w:val="center"/>
          </w:tcPr>
          <w:p w14:paraId="1D3E9650">
            <w:pPr>
              <w:pStyle w:val="62"/>
            </w:pPr>
            <w:r>
              <w:t>250mg/L</w:t>
            </w:r>
          </w:p>
        </w:tc>
      </w:tr>
      <w:tr w14:paraId="1D3E9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52">
            <w:pPr>
              <w:pStyle w:val="62"/>
              <w:rPr>
                <w:highlight w:val="yellow"/>
              </w:rPr>
            </w:pPr>
          </w:p>
        </w:tc>
        <w:tc>
          <w:tcPr>
            <w:tcW w:w="1581" w:type="pct"/>
            <w:gridSpan w:val="2"/>
            <w:vMerge w:val="continue"/>
            <w:shd w:val="clear" w:color="auto" w:fill="auto"/>
            <w:vAlign w:val="center"/>
          </w:tcPr>
          <w:p w14:paraId="1D3E9653">
            <w:pPr>
              <w:pStyle w:val="62"/>
              <w:rPr>
                <w:highlight w:val="yellow"/>
              </w:rPr>
            </w:pPr>
          </w:p>
        </w:tc>
        <w:tc>
          <w:tcPr>
            <w:tcW w:w="1023" w:type="pct"/>
            <w:shd w:val="clear" w:color="auto" w:fill="auto"/>
            <w:vAlign w:val="center"/>
          </w:tcPr>
          <w:p w14:paraId="1D3E9654">
            <w:pPr>
              <w:pStyle w:val="62"/>
            </w:pPr>
            <w:r>
              <w:t>硫酸盐</w:t>
            </w:r>
          </w:p>
        </w:tc>
        <w:tc>
          <w:tcPr>
            <w:tcW w:w="1624" w:type="pct"/>
            <w:gridSpan w:val="2"/>
            <w:shd w:val="clear" w:color="auto" w:fill="auto"/>
            <w:vAlign w:val="center"/>
          </w:tcPr>
          <w:p w14:paraId="1D3E9655">
            <w:pPr>
              <w:pStyle w:val="62"/>
            </w:pPr>
            <w:r>
              <w:t>250mg/L</w:t>
            </w:r>
          </w:p>
        </w:tc>
      </w:tr>
      <w:tr w14:paraId="1D3E9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57">
            <w:pPr>
              <w:pStyle w:val="62"/>
              <w:rPr>
                <w:highlight w:val="yellow"/>
              </w:rPr>
            </w:pPr>
          </w:p>
        </w:tc>
        <w:tc>
          <w:tcPr>
            <w:tcW w:w="1581" w:type="pct"/>
            <w:gridSpan w:val="2"/>
            <w:vMerge w:val="continue"/>
            <w:shd w:val="clear" w:color="auto" w:fill="auto"/>
            <w:vAlign w:val="center"/>
          </w:tcPr>
          <w:p w14:paraId="1D3E9658">
            <w:pPr>
              <w:pStyle w:val="62"/>
              <w:rPr>
                <w:highlight w:val="yellow"/>
              </w:rPr>
            </w:pPr>
          </w:p>
        </w:tc>
        <w:tc>
          <w:tcPr>
            <w:tcW w:w="1023" w:type="pct"/>
            <w:shd w:val="clear" w:color="auto" w:fill="auto"/>
            <w:vAlign w:val="center"/>
          </w:tcPr>
          <w:p w14:paraId="1D3E9659">
            <w:pPr>
              <w:pStyle w:val="62"/>
            </w:pPr>
            <w:r>
              <w:t>Na</w:t>
            </w:r>
            <w:r>
              <w:rPr>
                <w:vertAlign w:val="superscript"/>
              </w:rPr>
              <w:t>+</w:t>
            </w:r>
          </w:p>
        </w:tc>
        <w:tc>
          <w:tcPr>
            <w:tcW w:w="1624" w:type="pct"/>
            <w:gridSpan w:val="2"/>
            <w:shd w:val="clear" w:color="auto" w:fill="auto"/>
            <w:vAlign w:val="center"/>
          </w:tcPr>
          <w:p w14:paraId="1D3E965A">
            <w:pPr>
              <w:pStyle w:val="62"/>
            </w:pPr>
            <w:r>
              <w:t>200mg/L</w:t>
            </w:r>
          </w:p>
        </w:tc>
      </w:tr>
      <w:tr w14:paraId="1D3E9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5C">
            <w:pPr>
              <w:pStyle w:val="62"/>
              <w:rPr>
                <w:highlight w:val="yellow"/>
              </w:rPr>
            </w:pPr>
          </w:p>
        </w:tc>
        <w:tc>
          <w:tcPr>
            <w:tcW w:w="1581" w:type="pct"/>
            <w:gridSpan w:val="2"/>
            <w:vMerge w:val="continue"/>
            <w:shd w:val="clear" w:color="auto" w:fill="auto"/>
            <w:vAlign w:val="center"/>
          </w:tcPr>
          <w:p w14:paraId="1D3E965D">
            <w:pPr>
              <w:pStyle w:val="62"/>
              <w:rPr>
                <w:highlight w:val="yellow"/>
              </w:rPr>
            </w:pPr>
          </w:p>
        </w:tc>
        <w:tc>
          <w:tcPr>
            <w:tcW w:w="1023" w:type="pct"/>
            <w:shd w:val="clear" w:color="auto" w:fill="auto"/>
            <w:vAlign w:val="center"/>
          </w:tcPr>
          <w:p w14:paraId="1D3E965E">
            <w:pPr>
              <w:pStyle w:val="62"/>
            </w:pPr>
            <w:r>
              <w:t>硫化物</w:t>
            </w:r>
          </w:p>
        </w:tc>
        <w:tc>
          <w:tcPr>
            <w:tcW w:w="1624" w:type="pct"/>
            <w:gridSpan w:val="2"/>
            <w:shd w:val="clear" w:color="auto" w:fill="auto"/>
            <w:vAlign w:val="center"/>
          </w:tcPr>
          <w:p w14:paraId="1D3E965F">
            <w:pPr>
              <w:pStyle w:val="62"/>
            </w:pPr>
            <w:r>
              <w:t>0.01mg/L</w:t>
            </w:r>
          </w:p>
        </w:tc>
      </w:tr>
      <w:tr w14:paraId="1D3E9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61">
            <w:pPr>
              <w:pStyle w:val="62"/>
              <w:rPr>
                <w:highlight w:val="yellow"/>
              </w:rPr>
            </w:pPr>
          </w:p>
        </w:tc>
        <w:tc>
          <w:tcPr>
            <w:tcW w:w="1581" w:type="pct"/>
            <w:gridSpan w:val="2"/>
            <w:vMerge w:val="continue"/>
            <w:shd w:val="clear" w:color="auto" w:fill="auto"/>
            <w:vAlign w:val="center"/>
          </w:tcPr>
          <w:p w14:paraId="1D3E9662">
            <w:pPr>
              <w:pStyle w:val="62"/>
              <w:rPr>
                <w:highlight w:val="yellow"/>
              </w:rPr>
            </w:pPr>
          </w:p>
        </w:tc>
        <w:tc>
          <w:tcPr>
            <w:tcW w:w="1023" w:type="pct"/>
            <w:shd w:val="clear" w:color="auto" w:fill="auto"/>
            <w:vAlign w:val="center"/>
          </w:tcPr>
          <w:p w14:paraId="1D3E9663">
            <w:pPr>
              <w:pStyle w:val="62"/>
            </w:pPr>
            <w:r>
              <w:t>挥发性酚类</w:t>
            </w:r>
          </w:p>
        </w:tc>
        <w:tc>
          <w:tcPr>
            <w:tcW w:w="1624" w:type="pct"/>
            <w:gridSpan w:val="2"/>
            <w:shd w:val="clear" w:color="auto" w:fill="auto"/>
            <w:vAlign w:val="center"/>
          </w:tcPr>
          <w:p w14:paraId="1D3E9664">
            <w:pPr>
              <w:pStyle w:val="62"/>
            </w:pPr>
            <w:r>
              <w:t>0.002mg/L</w:t>
            </w:r>
          </w:p>
        </w:tc>
      </w:tr>
      <w:tr w14:paraId="1D3E9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66">
            <w:pPr>
              <w:pStyle w:val="62"/>
              <w:rPr>
                <w:highlight w:val="yellow"/>
              </w:rPr>
            </w:pPr>
          </w:p>
        </w:tc>
        <w:tc>
          <w:tcPr>
            <w:tcW w:w="1581" w:type="pct"/>
            <w:gridSpan w:val="2"/>
            <w:vMerge w:val="continue"/>
            <w:shd w:val="clear" w:color="auto" w:fill="auto"/>
            <w:vAlign w:val="center"/>
          </w:tcPr>
          <w:p w14:paraId="1D3E9667">
            <w:pPr>
              <w:pStyle w:val="62"/>
              <w:rPr>
                <w:highlight w:val="yellow"/>
              </w:rPr>
            </w:pPr>
          </w:p>
        </w:tc>
        <w:tc>
          <w:tcPr>
            <w:tcW w:w="1023" w:type="pct"/>
            <w:shd w:val="clear" w:color="auto" w:fill="auto"/>
            <w:vAlign w:val="center"/>
          </w:tcPr>
          <w:p w14:paraId="1D3E9668">
            <w:pPr>
              <w:pStyle w:val="62"/>
            </w:pPr>
            <w:r>
              <w:t>亚硝酸盐</w:t>
            </w:r>
          </w:p>
        </w:tc>
        <w:tc>
          <w:tcPr>
            <w:tcW w:w="1624" w:type="pct"/>
            <w:gridSpan w:val="2"/>
            <w:shd w:val="clear" w:color="auto" w:fill="auto"/>
            <w:vAlign w:val="center"/>
          </w:tcPr>
          <w:p w14:paraId="1D3E9669">
            <w:pPr>
              <w:pStyle w:val="62"/>
            </w:pPr>
            <w:r>
              <w:t>1mg/L</w:t>
            </w:r>
          </w:p>
        </w:tc>
      </w:tr>
      <w:tr w14:paraId="1D3E9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6B">
            <w:pPr>
              <w:pStyle w:val="62"/>
              <w:rPr>
                <w:highlight w:val="yellow"/>
              </w:rPr>
            </w:pPr>
          </w:p>
        </w:tc>
        <w:tc>
          <w:tcPr>
            <w:tcW w:w="1581" w:type="pct"/>
            <w:gridSpan w:val="2"/>
            <w:vMerge w:val="continue"/>
            <w:shd w:val="clear" w:color="auto" w:fill="auto"/>
            <w:vAlign w:val="center"/>
          </w:tcPr>
          <w:p w14:paraId="1D3E966C">
            <w:pPr>
              <w:pStyle w:val="62"/>
              <w:rPr>
                <w:highlight w:val="yellow"/>
              </w:rPr>
            </w:pPr>
          </w:p>
        </w:tc>
        <w:tc>
          <w:tcPr>
            <w:tcW w:w="1023" w:type="pct"/>
            <w:shd w:val="clear" w:color="auto" w:fill="auto"/>
            <w:vAlign w:val="center"/>
          </w:tcPr>
          <w:p w14:paraId="1D3E966D">
            <w:pPr>
              <w:pStyle w:val="62"/>
            </w:pPr>
            <w:r>
              <w:t>硝酸盐</w:t>
            </w:r>
          </w:p>
        </w:tc>
        <w:tc>
          <w:tcPr>
            <w:tcW w:w="1624" w:type="pct"/>
            <w:gridSpan w:val="2"/>
            <w:shd w:val="clear" w:color="auto" w:fill="auto"/>
            <w:vAlign w:val="center"/>
          </w:tcPr>
          <w:p w14:paraId="1D3E966E">
            <w:pPr>
              <w:pStyle w:val="62"/>
            </w:pPr>
            <w:r>
              <w:t>20mg/L</w:t>
            </w:r>
          </w:p>
        </w:tc>
      </w:tr>
      <w:tr w14:paraId="1D3E9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70">
            <w:pPr>
              <w:pStyle w:val="62"/>
              <w:rPr>
                <w:highlight w:val="yellow"/>
              </w:rPr>
            </w:pPr>
          </w:p>
        </w:tc>
        <w:tc>
          <w:tcPr>
            <w:tcW w:w="1581" w:type="pct"/>
            <w:gridSpan w:val="2"/>
            <w:vMerge w:val="continue"/>
            <w:shd w:val="clear" w:color="auto" w:fill="auto"/>
            <w:vAlign w:val="center"/>
          </w:tcPr>
          <w:p w14:paraId="1D3E9671">
            <w:pPr>
              <w:pStyle w:val="62"/>
              <w:rPr>
                <w:highlight w:val="yellow"/>
              </w:rPr>
            </w:pPr>
          </w:p>
        </w:tc>
        <w:tc>
          <w:tcPr>
            <w:tcW w:w="1023" w:type="pct"/>
            <w:shd w:val="clear" w:color="auto" w:fill="auto"/>
            <w:vAlign w:val="center"/>
          </w:tcPr>
          <w:p w14:paraId="1D3E9672">
            <w:pPr>
              <w:pStyle w:val="62"/>
            </w:pPr>
            <w:r>
              <w:t>氟化物</w:t>
            </w:r>
          </w:p>
        </w:tc>
        <w:tc>
          <w:tcPr>
            <w:tcW w:w="1624" w:type="pct"/>
            <w:gridSpan w:val="2"/>
            <w:shd w:val="clear" w:color="auto" w:fill="auto"/>
            <w:vAlign w:val="center"/>
          </w:tcPr>
          <w:p w14:paraId="1D3E9673">
            <w:pPr>
              <w:pStyle w:val="62"/>
            </w:pPr>
            <w:r>
              <w:t>1mg/L</w:t>
            </w:r>
          </w:p>
        </w:tc>
      </w:tr>
      <w:tr w14:paraId="1D3E9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75">
            <w:pPr>
              <w:pStyle w:val="62"/>
              <w:rPr>
                <w:highlight w:val="yellow"/>
              </w:rPr>
            </w:pPr>
          </w:p>
        </w:tc>
        <w:tc>
          <w:tcPr>
            <w:tcW w:w="1581" w:type="pct"/>
            <w:gridSpan w:val="2"/>
            <w:vMerge w:val="continue"/>
            <w:shd w:val="clear" w:color="auto" w:fill="auto"/>
            <w:vAlign w:val="center"/>
          </w:tcPr>
          <w:p w14:paraId="1D3E9676">
            <w:pPr>
              <w:pStyle w:val="62"/>
              <w:rPr>
                <w:highlight w:val="yellow"/>
              </w:rPr>
            </w:pPr>
          </w:p>
        </w:tc>
        <w:tc>
          <w:tcPr>
            <w:tcW w:w="1023" w:type="pct"/>
            <w:shd w:val="clear" w:color="auto" w:fill="auto"/>
            <w:vAlign w:val="center"/>
          </w:tcPr>
          <w:p w14:paraId="1D3E9677">
            <w:pPr>
              <w:pStyle w:val="62"/>
            </w:pPr>
            <w:r>
              <w:rPr>
                <w:szCs w:val="24"/>
                <w:lang w:val="zh-CN"/>
              </w:rPr>
              <w:t>砷</w:t>
            </w:r>
          </w:p>
        </w:tc>
        <w:tc>
          <w:tcPr>
            <w:tcW w:w="1624" w:type="pct"/>
            <w:gridSpan w:val="2"/>
            <w:shd w:val="clear" w:color="auto" w:fill="auto"/>
            <w:vAlign w:val="center"/>
          </w:tcPr>
          <w:p w14:paraId="1D3E9678">
            <w:pPr>
              <w:pStyle w:val="62"/>
            </w:pPr>
            <w:r>
              <w:t>0.01mg/L</w:t>
            </w:r>
          </w:p>
        </w:tc>
      </w:tr>
      <w:tr w14:paraId="1D3E9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7A">
            <w:pPr>
              <w:pStyle w:val="62"/>
              <w:rPr>
                <w:highlight w:val="yellow"/>
              </w:rPr>
            </w:pPr>
          </w:p>
        </w:tc>
        <w:tc>
          <w:tcPr>
            <w:tcW w:w="1581" w:type="pct"/>
            <w:gridSpan w:val="2"/>
            <w:vMerge w:val="continue"/>
            <w:shd w:val="clear" w:color="auto" w:fill="auto"/>
            <w:vAlign w:val="center"/>
          </w:tcPr>
          <w:p w14:paraId="1D3E967B">
            <w:pPr>
              <w:pStyle w:val="62"/>
              <w:rPr>
                <w:highlight w:val="yellow"/>
              </w:rPr>
            </w:pPr>
          </w:p>
        </w:tc>
        <w:tc>
          <w:tcPr>
            <w:tcW w:w="1023" w:type="pct"/>
            <w:shd w:val="clear" w:color="auto" w:fill="auto"/>
            <w:vAlign w:val="center"/>
          </w:tcPr>
          <w:p w14:paraId="1D3E967C">
            <w:pPr>
              <w:pStyle w:val="62"/>
            </w:pPr>
            <w:r>
              <w:rPr>
                <w:szCs w:val="24"/>
                <w:lang w:val="zh-CN"/>
              </w:rPr>
              <w:t>汞</w:t>
            </w:r>
          </w:p>
        </w:tc>
        <w:tc>
          <w:tcPr>
            <w:tcW w:w="1624" w:type="pct"/>
            <w:gridSpan w:val="2"/>
            <w:shd w:val="clear" w:color="auto" w:fill="auto"/>
            <w:vAlign w:val="center"/>
          </w:tcPr>
          <w:p w14:paraId="1D3E967D">
            <w:pPr>
              <w:pStyle w:val="62"/>
            </w:pPr>
            <w:r>
              <w:t>0.001mg/L</w:t>
            </w:r>
          </w:p>
        </w:tc>
      </w:tr>
      <w:tr w14:paraId="1D3E9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7F">
            <w:pPr>
              <w:pStyle w:val="62"/>
              <w:rPr>
                <w:highlight w:val="yellow"/>
              </w:rPr>
            </w:pPr>
          </w:p>
        </w:tc>
        <w:tc>
          <w:tcPr>
            <w:tcW w:w="1581" w:type="pct"/>
            <w:gridSpan w:val="2"/>
            <w:vMerge w:val="continue"/>
            <w:shd w:val="clear" w:color="auto" w:fill="auto"/>
            <w:vAlign w:val="center"/>
          </w:tcPr>
          <w:p w14:paraId="1D3E9680">
            <w:pPr>
              <w:pStyle w:val="62"/>
              <w:rPr>
                <w:highlight w:val="yellow"/>
              </w:rPr>
            </w:pPr>
          </w:p>
        </w:tc>
        <w:tc>
          <w:tcPr>
            <w:tcW w:w="1023" w:type="pct"/>
            <w:shd w:val="clear" w:color="auto" w:fill="auto"/>
            <w:vAlign w:val="center"/>
          </w:tcPr>
          <w:p w14:paraId="1D3E9681">
            <w:pPr>
              <w:pStyle w:val="62"/>
            </w:pPr>
            <w:r>
              <w:rPr>
                <w:szCs w:val="24"/>
                <w:lang w:val="zh-CN"/>
              </w:rPr>
              <w:t>铬</w:t>
            </w:r>
            <w:r>
              <w:rPr>
                <w:szCs w:val="24"/>
              </w:rPr>
              <w:t>(</w:t>
            </w:r>
            <w:r>
              <w:rPr>
                <w:szCs w:val="24"/>
                <w:lang w:val="zh-CN"/>
              </w:rPr>
              <w:t>六价</w:t>
            </w:r>
            <w:r>
              <w:rPr>
                <w:szCs w:val="24"/>
              </w:rPr>
              <w:t>)</w:t>
            </w:r>
          </w:p>
        </w:tc>
        <w:tc>
          <w:tcPr>
            <w:tcW w:w="1624" w:type="pct"/>
            <w:gridSpan w:val="2"/>
            <w:shd w:val="clear" w:color="auto" w:fill="auto"/>
            <w:vAlign w:val="center"/>
          </w:tcPr>
          <w:p w14:paraId="1D3E9682">
            <w:pPr>
              <w:pStyle w:val="62"/>
            </w:pPr>
            <w:r>
              <w:t>0.05mg/L</w:t>
            </w:r>
          </w:p>
        </w:tc>
      </w:tr>
      <w:tr w14:paraId="1D3E9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84">
            <w:pPr>
              <w:pStyle w:val="62"/>
              <w:rPr>
                <w:highlight w:val="yellow"/>
              </w:rPr>
            </w:pPr>
          </w:p>
        </w:tc>
        <w:tc>
          <w:tcPr>
            <w:tcW w:w="1581" w:type="pct"/>
            <w:gridSpan w:val="2"/>
            <w:vMerge w:val="continue"/>
            <w:shd w:val="clear" w:color="auto" w:fill="auto"/>
            <w:vAlign w:val="center"/>
          </w:tcPr>
          <w:p w14:paraId="1D3E9685">
            <w:pPr>
              <w:pStyle w:val="62"/>
              <w:rPr>
                <w:highlight w:val="yellow"/>
              </w:rPr>
            </w:pPr>
          </w:p>
        </w:tc>
        <w:tc>
          <w:tcPr>
            <w:tcW w:w="1023" w:type="pct"/>
            <w:shd w:val="clear" w:color="auto" w:fill="auto"/>
            <w:vAlign w:val="center"/>
          </w:tcPr>
          <w:p w14:paraId="1D3E9686">
            <w:pPr>
              <w:pStyle w:val="62"/>
            </w:pPr>
            <w:r>
              <w:rPr>
                <w:szCs w:val="24"/>
                <w:lang w:val="zh-CN"/>
              </w:rPr>
              <w:t>铅</w:t>
            </w:r>
          </w:p>
        </w:tc>
        <w:tc>
          <w:tcPr>
            <w:tcW w:w="1624" w:type="pct"/>
            <w:gridSpan w:val="2"/>
            <w:shd w:val="clear" w:color="auto" w:fill="auto"/>
            <w:vAlign w:val="center"/>
          </w:tcPr>
          <w:p w14:paraId="1D3E9687">
            <w:pPr>
              <w:pStyle w:val="62"/>
            </w:pPr>
            <w:r>
              <w:t>0.01mg/L</w:t>
            </w:r>
          </w:p>
        </w:tc>
      </w:tr>
      <w:tr w14:paraId="1D3E9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89">
            <w:pPr>
              <w:pStyle w:val="62"/>
              <w:rPr>
                <w:highlight w:val="yellow"/>
              </w:rPr>
            </w:pPr>
          </w:p>
        </w:tc>
        <w:tc>
          <w:tcPr>
            <w:tcW w:w="1581" w:type="pct"/>
            <w:gridSpan w:val="2"/>
            <w:vMerge w:val="continue"/>
            <w:shd w:val="clear" w:color="auto" w:fill="auto"/>
            <w:vAlign w:val="center"/>
          </w:tcPr>
          <w:p w14:paraId="1D3E968A">
            <w:pPr>
              <w:pStyle w:val="62"/>
              <w:rPr>
                <w:highlight w:val="yellow"/>
              </w:rPr>
            </w:pPr>
          </w:p>
        </w:tc>
        <w:tc>
          <w:tcPr>
            <w:tcW w:w="1023" w:type="pct"/>
            <w:shd w:val="clear" w:color="auto" w:fill="auto"/>
            <w:vAlign w:val="center"/>
          </w:tcPr>
          <w:p w14:paraId="1D3E968B">
            <w:pPr>
              <w:pStyle w:val="62"/>
            </w:pPr>
            <w:r>
              <w:rPr>
                <w:szCs w:val="24"/>
                <w:lang w:val="zh-CN"/>
              </w:rPr>
              <w:t>铁</w:t>
            </w:r>
          </w:p>
        </w:tc>
        <w:tc>
          <w:tcPr>
            <w:tcW w:w="1624" w:type="pct"/>
            <w:gridSpan w:val="2"/>
            <w:shd w:val="clear" w:color="auto" w:fill="auto"/>
            <w:vAlign w:val="center"/>
          </w:tcPr>
          <w:p w14:paraId="1D3E968C">
            <w:pPr>
              <w:pStyle w:val="62"/>
            </w:pPr>
            <w:r>
              <w:t>0.3mg/L</w:t>
            </w:r>
          </w:p>
        </w:tc>
      </w:tr>
      <w:tr w14:paraId="1D3E9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8E">
            <w:pPr>
              <w:pStyle w:val="62"/>
              <w:rPr>
                <w:highlight w:val="yellow"/>
              </w:rPr>
            </w:pPr>
          </w:p>
        </w:tc>
        <w:tc>
          <w:tcPr>
            <w:tcW w:w="1581" w:type="pct"/>
            <w:gridSpan w:val="2"/>
            <w:vMerge w:val="continue"/>
            <w:shd w:val="clear" w:color="auto" w:fill="auto"/>
            <w:vAlign w:val="center"/>
          </w:tcPr>
          <w:p w14:paraId="1D3E968F">
            <w:pPr>
              <w:pStyle w:val="62"/>
              <w:rPr>
                <w:highlight w:val="yellow"/>
              </w:rPr>
            </w:pPr>
          </w:p>
        </w:tc>
        <w:tc>
          <w:tcPr>
            <w:tcW w:w="1023" w:type="pct"/>
            <w:shd w:val="clear" w:color="auto" w:fill="auto"/>
            <w:vAlign w:val="center"/>
          </w:tcPr>
          <w:p w14:paraId="1D3E9690">
            <w:pPr>
              <w:pStyle w:val="62"/>
            </w:pPr>
            <w:r>
              <w:rPr>
                <w:szCs w:val="24"/>
                <w:lang w:val="zh-CN"/>
              </w:rPr>
              <w:t>锰</w:t>
            </w:r>
          </w:p>
        </w:tc>
        <w:tc>
          <w:tcPr>
            <w:tcW w:w="1624" w:type="pct"/>
            <w:gridSpan w:val="2"/>
            <w:shd w:val="clear" w:color="auto" w:fill="auto"/>
            <w:vAlign w:val="center"/>
          </w:tcPr>
          <w:p w14:paraId="1D3E9691">
            <w:pPr>
              <w:pStyle w:val="62"/>
            </w:pPr>
            <w:r>
              <w:t>0.1mg/L</w:t>
            </w:r>
          </w:p>
        </w:tc>
      </w:tr>
      <w:tr w14:paraId="1D3E9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93">
            <w:pPr>
              <w:pStyle w:val="62"/>
              <w:rPr>
                <w:highlight w:val="yellow"/>
              </w:rPr>
            </w:pPr>
          </w:p>
        </w:tc>
        <w:tc>
          <w:tcPr>
            <w:tcW w:w="1581" w:type="pct"/>
            <w:gridSpan w:val="2"/>
            <w:vMerge w:val="continue"/>
            <w:shd w:val="clear" w:color="auto" w:fill="auto"/>
            <w:vAlign w:val="center"/>
          </w:tcPr>
          <w:p w14:paraId="1D3E9694">
            <w:pPr>
              <w:pStyle w:val="62"/>
              <w:rPr>
                <w:highlight w:val="yellow"/>
              </w:rPr>
            </w:pPr>
          </w:p>
        </w:tc>
        <w:tc>
          <w:tcPr>
            <w:tcW w:w="1023" w:type="pct"/>
            <w:shd w:val="clear" w:color="auto" w:fill="auto"/>
            <w:vAlign w:val="center"/>
          </w:tcPr>
          <w:p w14:paraId="1D3E9695">
            <w:pPr>
              <w:pStyle w:val="62"/>
            </w:pPr>
            <w:r>
              <w:rPr>
                <w:szCs w:val="24"/>
                <w:lang w:val="zh-CN"/>
              </w:rPr>
              <w:t>铜</w:t>
            </w:r>
          </w:p>
        </w:tc>
        <w:tc>
          <w:tcPr>
            <w:tcW w:w="1624" w:type="pct"/>
            <w:gridSpan w:val="2"/>
            <w:shd w:val="clear" w:color="auto" w:fill="auto"/>
            <w:vAlign w:val="center"/>
          </w:tcPr>
          <w:p w14:paraId="1D3E9696">
            <w:pPr>
              <w:pStyle w:val="62"/>
            </w:pPr>
            <w:r>
              <w:t>1mg/L</w:t>
            </w:r>
          </w:p>
        </w:tc>
      </w:tr>
      <w:tr w14:paraId="1D3E9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98">
            <w:pPr>
              <w:pStyle w:val="62"/>
              <w:rPr>
                <w:highlight w:val="yellow"/>
              </w:rPr>
            </w:pPr>
          </w:p>
        </w:tc>
        <w:tc>
          <w:tcPr>
            <w:tcW w:w="1581" w:type="pct"/>
            <w:gridSpan w:val="2"/>
            <w:vMerge w:val="continue"/>
            <w:shd w:val="clear" w:color="auto" w:fill="auto"/>
            <w:vAlign w:val="center"/>
          </w:tcPr>
          <w:p w14:paraId="1D3E9699">
            <w:pPr>
              <w:pStyle w:val="62"/>
              <w:rPr>
                <w:highlight w:val="yellow"/>
              </w:rPr>
            </w:pPr>
          </w:p>
        </w:tc>
        <w:tc>
          <w:tcPr>
            <w:tcW w:w="1023" w:type="pct"/>
            <w:shd w:val="clear" w:color="auto" w:fill="auto"/>
            <w:vAlign w:val="center"/>
          </w:tcPr>
          <w:p w14:paraId="1D3E969A">
            <w:pPr>
              <w:pStyle w:val="62"/>
            </w:pPr>
            <w:r>
              <w:rPr>
                <w:szCs w:val="24"/>
                <w:lang w:val="zh-CN"/>
              </w:rPr>
              <w:t>锌</w:t>
            </w:r>
          </w:p>
        </w:tc>
        <w:tc>
          <w:tcPr>
            <w:tcW w:w="1624" w:type="pct"/>
            <w:gridSpan w:val="2"/>
            <w:shd w:val="clear" w:color="auto" w:fill="auto"/>
            <w:vAlign w:val="center"/>
          </w:tcPr>
          <w:p w14:paraId="1D3E969B">
            <w:pPr>
              <w:pStyle w:val="62"/>
            </w:pPr>
            <w:r>
              <w:t>1mg/L</w:t>
            </w:r>
          </w:p>
        </w:tc>
      </w:tr>
      <w:tr w14:paraId="1D3E9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9D">
            <w:pPr>
              <w:pStyle w:val="62"/>
              <w:rPr>
                <w:highlight w:val="yellow"/>
              </w:rPr>
            </w:pPr>
          </w:p>
        </w:tc>
        <w:tc>
          <w:tcPr>
            <w:tcW w:w="1581" w:type="pct"/>
            <w:gridSpan w:val="2"/>
            <w:vMerge w:val="continue"/>
            <w:shd w:val="clear" w:color="auto" w:fill="auto"/>
            <w:vAlign w:val="center"/>
          </w:tcPr>
          <w:p w14:paraId="1D3E969E">
            <w:pPr>
              <w:pStyle w:val="62"/>
              <w:rPr>
                <w:highlight w:val="yellow"/>
              </w:rPr>
            </w:pPr>
          </w:p>
        </w:tc>
        <w:tc>
          <w:tcPr>
            <w:tcW w:w="1023" w:type="pct"/>
            <w:shd w:val="clear" w:color="auto" w:fill="auto"/>
            <w:vAlign w:val="center"/>
          </w:tcPr>
          <w:p w14:paraId="1D3E969F">
            <w:pPr>
              <w:pStyle w:val="62"/>
            </w:pPr>
            <w:r>
              <w:rPr>
                <w:szCs w:val="24"/>
                <w:lang w:val="zh-CN"/>
              </w:rPr>
              <w:t>铝</w:t>
            </w:r>
          </w:p>
        </w:tc>
        <w:tc>
          <w:tcPr>
            <w:tcW w:w="1624" w:type="pct"/>
            <w:gridSpan w:val="2"/>
            <w:shd w:val="clear" w:color="auto" w:fill="auto"/>
            <w:vAlign w:val="center"/>
          </w:tcPr>
          <w:p w14:paraId="1D3E96A0">
            <w:pPr>
              <w:pStyle w:val="62"/>
            </w:pPr>
            <w:r>
              <w:t>0.2mg/L</w:t>
            </w:r>
          </w:p>
        </w:tc>
      </w:tr>
      <w:tr w14:paraId="1D3E9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A7">
            <w:pPr>
              <w:pStyle w:val="62"/>
              <w:rPr>
                <w:highlight w:val="yellow"/>
              </w:rPr>
            </w:pPr>
          </w:p>
        </w:tc>
        <w:tc>
          <w:tcPr>
            <w:tcW w:w="1581" w:type="pct"/>
            <w:gridSpan w:val="2"/>
            <w:vMerge w:val="continue"/>
            <w:shd w:val="clear" w:color="auto" w:fill="auto"/>
            <w:vAlign w:val="center"/>
          </w:tcPr>
          <w:p w14:paraId="1D3E96A8">
            <w:pPr>
              <w:pStyle w:val="62"/>
              <w:rPr>
                <w:highlight w:val="yellow"/>
              </w:rPr>
            </w:pPr>
          </w:p>
        </w:tc>
        <w:tc>
          <w:tcPr>
            <w:tcW w:w="1023" w:type="pct"/>
            <w:shd w:val="clear" w:color="auto" w:fill="auto"/>
            <w:vAlign w:val="center"/>
          </w:tcPr>
          <w:p w14:paraId="1D3E96A9">
            <w:pPr>
              <w:pStyle w:val="62"/>
            </w:pPr>
            <w:r>
              <w:t>菌落总数</w:t>
            </w:r>
          </w:p>
        </w:tc>
        <w:tc>
          <w:tcPr>
            <w:tcW w:w="1624" w:type="pct"/>
            <w:gridSpan w:val="2"/>
            <w:shd w:val="clear" w:color="auto" w:fill="auto"/>
            <w:vAlign w:val="center"/>
          </w:tcPr>
          <w:p w14:paraId="1D3E96AA">
            <w:pPr>
              <w:pStyle w:val="62"/>
            </w:pPr>
            <w:r>
              <w:t>100（CFU/ml）</w:t>
            </w:r>
          </w:p>
        </w:tc>
      </w:tr>
      <w:tr w14:paraId="1D3E9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AC">
            <w:pPr>
              <w:pStyle w:val="62"/>
              <w:rPr>
                <w:highlight w:val="yellow"/>
              </w:rPr>
            </w:pPr>
          </w:p>
        </w:tc>
        <w:tc>
          <w:tcPr>
            <w:tcW w:w="1581" w:type="pct"/>
            <w:gridSpan w:val="2"/>
            <w:vMerge w:val="continue"/>
            <w:shd w:val="clear" w:color="auto" w:fill="auto"/>
            <w:vAlign w:val="center"/>
          </w:tcPr>
          <w:p w14:paraId="1D3E96AD">
            <w:pPr>
              <w:pStyle w:val="62"/>
              <w:rPr>
                <w:highlight w:val="yellow"/>
              </w:rPr>
            </w:pPr>
          </w:p>
        </w:tc>
        <w:tc>
          <w:tcPr>
            <w:tcW w:w="1023" w:type="pct"/>
            <w:shd w:val="clear" w:color="auto" w:fill="auto"/>
            <w:vAlign w:val="center"/>
          </w:tcPr>
          <w:p w14:paraId="1D3E96AE">
            <w:pPr>
              <w:pStyle w:val="62"/>
            </w:pPr>
            <w:r>
              <w:t>总大肠菌群</w:t>
            </w:r>
          </w:p>
        </w:tc>
        <w:tc>
          <w:tcPr>
            <w:tcW w:w="1624" w:type="pct"/>
            <w:gridSpan w:val="2"/>
            <w:shd w:val="clear" w:color="auto" w:fill="auto"/>
            <w:vAlign w:val="center"/>
          </w:tcPr>
          <w:p w14:paraId="1D3E96AF">
            <w:pPr>
              <w:pStyle w:val="62"/>
            </w:pPr>
            <w:r>
              <w:t>3（MPN/100ml）</w:t>
            </w:r>
          </w:p>
        </w:tc>
      </w:tr>
      <w:tr w14:paraId="1D3E9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restart"/>
            <w:shd w:val="clear" w:color="auto" w:fill="auto"/>
            <w:vAlign w:val="center"/>
          </w:tcPr>
          <w:p w14:paraId="1D3E96B1">
            <w:pPr>
              <w:pStyle w:val="62"/>
            </w:pPr>
            <w:r>
              <w:t>声环境</w:t>
            </w:r>
          </w:p>
        </w:tc>
        <w:tc>
          <w:tcPr>
            <w:tcW w:w="1581" w:type="pct"/>
            <w:gridSpan w:val="2"/>
            <w:vMerge w:val="restart"/>
            <w:shd w:val="clear" w:color="auto" w:fill="auto"/>
            <w:vAlign w:val="center"/>
          </w:tcPr>
          <w:p w14:paraId="1D3E96B2">
            <w:pPr>
              <w:pStyle w:val="62"/>
            </w:pPr>
            <w:r>
              <w:t>《声环境质量标准》（GB3096-2008）3类</w:t>
            </w:r>
          </w:p>
        </w:tc>
        <w:tc>
          <w:tcPr>
            <w:tcW w:w="1023" w:type="pct"/>
            <w:vMerge w:val="restart"/>
            <w:shd w:val="clear" w:color="auto" w:fill="auto"/>
            <w:vAlign w:val="center"/>
          </w:tcPr>
          <w:p w14:paraId="1D3E96B3">
            <w:pPr>
              <w:pStyle w:val="62"/>
            </w:pPr>
            <w:r>
              <w:t>Leq(A)</w:t>
            </w:r>
          </w:p>
        </w:tc>
        <w:tc>
          <w:tcPr>
            <w:tcW w:w="926" w:type="pct"/>
            <w:shd w:val="clear" w:color="auto" w:fill="auto"/>
            <w:vAlign w:val="center"/>
          </w:tcPr>
          <w:p w14:paraId="1D3E96B4">
            <w:pPr>
              <w:pStyle w:val="62"/>
            </w:pPr>
            <w:r>
              <w:t>昼间</w:t>
            </w:r>
          </w:p>
        </w:tc>
        <w:tc>
          <w:tcPr>
            <w:tcW w:w="698" w:type="pct"/>
            <w:shd w:val="clear" w:color="auto" w:fill="auto"/>
            <w:vAlign w:val="center"/>
          </w:tcPr>
          <w:p w14:paraId="1D3E96B5">
            <w:pPr>
              <w:pStyle w:val="62"/>
            </w:pPr>
            <w:r>
              <w:t>65dB(A)</w:t>
            </w:r>
          </w:p>
        </w:tc>
      </w:tr>
      <w:tr w14:paraId="1D3E9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B7">
            <w:pPr>
              <w:pStyle w:val="62"/>
            </w:pPr>
          </w:p>
        </w:tc>
        <w:tc>
          <w:tcPr>
            <w:tcW w:w="1581" w:type="pct"/>
            <w:gridSpan w:val="2"/>
            <w:vMerge w:val="continue"/>
            <w:shd w:val="clear" w:color="auto" w:fill="auto"/>
            <w:vAlign w:val="center"/>
          </w:tcPr>
          <w:p w14:paraId="1D3E96B8">
            <w:pPr>
              <w:pStyle w:val="62"/>
            </w:pPr>
          </w:p>
        </w:tc>
        <w:tc>
          <w:tcPr>
            <w:tcW w:w="1023" w:type="pct"/>
            <w:vMerge w:val="continue"/>
            <w:shd w:val="clear" w:color="auto" w:fill="auto"/>
            <w:vAlign w:val="center"/>
          </w:tcPr>
          <w:p w14:paraId="1D3E96B9">
            <w:pPr>
              <w:pStyle w:val="62"/>
            </w:pPr>
          </w:p>
        </w:tc>
        <w:tc>
          <w:tcPr>
            <w:tcW w:w="926" w:type="pct"/>
            <w:shd w:val="clear" w:color="auto" w:fill="auto"/>
            <w:vAlign w:val="center"/>
          </w:tcPr>
          <w:p w14:paraId="1D3E96BA">
            <w:pPr>
              <w:pStyle w:val="62"/>
            </w:pPr>
            <w:r>
              <w:t>夜间</w:t>
            </w:r>
          </w:p>
        </w:tc>
        <w:tc>
          <w:tcPr>
            <w:tcW w:w="698" w:type="pct"/>
            <w:shd w:val="clear" w:color="auto" w:fill="auto"/>
            <w:vAlign w:val="center"/>
          </w:tcPr>
          <w:p w14:paraId="1D3E96BB">
            <w:pPr>
              <w:pStyle w:val="62"/>
            </w:pPr>
            <w:r>
              <w:t>55dB(A)</w:t>
            </w:r>
          </w:p>
        </w:tc>
      </w:tr>
      <w:tr w14:paraId="1D3E9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restart"/>
            <w:shd w:val="clear" w:color="auto" w:fill="auto"/>
            <w:vAlign w:val="center"/>
          </w:tcPr>
          <w:p w14:paraId="1D3E96BD">
            <w:pPr>
              <w:pStyle w:val="62"/>
            </w:pPr>
            <w:r>
              <w:t>土壤环境</w:t>
            </w:r>
          </w:p>
        </w:tc>
        <w:tc>
          <w:tcPr>
            <w:tcW w:w="772" w:type="pct"/>
            <w:vMerge w:val="restart"/>
            <w:shd w:val="clear" w:color="auto" w:fill="auto"/>
            <w:vAlign w:val="center"/>
          </w:tcPr>
          <w:p w14:paraId="59601DA4">
            <w:pPr>
              <w:pStyle w:val="62"/>
            </w:pPr>
            <w:r>
              <w:t>《土壤环境质量-建设用地土壤污染风险管控标准（试行）》（GB36600-2018）</w:t>
            </w:r>
          </w:p>
        </w:tc>
        <w:tc>
          <w:tcPr>
            <w:tcW w:w="809" w:type="pct"/>
            <w:vMerge w:val="restart"/>
            <w:shd w:val="clear" w:color="auto" w:fill="auto"/>
            <w:vAlign w:val="center"/>
          </w:tcPr>
          <w:p w14:paraId="1D3E96BE">
            <w:pPr>
              <w:pStyle w:val="62"/>
            </w:pPr>
            <w:r>
              <w:t>表1基本项目</w:t>
            </w:r>
            <w:r>
              <w:rPr>
                <w:rFonts w:hint="eastAsia"/>
              </w:rPr>
              <w:t>第二类用地筛选值</w:t>
            </w:r>
          </w:p>
        </w:tc>
        <w:tc>
          <w:tcPr>
            <w:tcW w:w="1023" w:type="pct"/>
            <w:shd w:val="clear" w:color="auto" w:fill="auto"/>
            <w:vAlign w:val="center"/>
          </w:tcPr>
          <w:p w14:paraId="1D3E96BF">
            <w:pPr>
              <w:pStyle w:val="62"/>
            </w:pPr>
            <w:r>
              <w:t>砷</w:t>
            </w:r>
          </w:p>
        </w:tc>
        <w:tc>
          <w:tcPr>
            <w:tcW w:w="1624" w:type="pct"/>
            <w:gridSpan w:val="2"/>
            <w:shd w:val="clear" w:color="auto" w:fill="auto"/>
            <w:vAlign w:val="center"/>
          </w:tcPr>
          <w:p w14:paraId="1D3E96C0">
            <w:pPr>
              <w:pStyle w:val="62"/>
            </w:pPr>
            <w:r>
              <w:t>60mg/kg</w:t>
            </w:r>
          </w:p>
        </w:tc>
      </w:tr>
      <w:tr w14:paraId="1D3E9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C2">
            <w:pPr>
              <w:pStyle w:val="62"/>
              <w:rPr>
                <w:highlight w:val="yellow"/>
              </w:rPr>
            </w:pPr>
          </w:p>
        </w:tc>
        <w:tc>
          <w:tcPr>
            <w:tcW w:w="772" w:type="pct"/>
            <w:vMerge w:val="continue"/>
            <w:shd w:val="clear" w:color="auto" w:fill="auto"/>
            <w:vAlign w:val="center"/>
          </w:tcPr>
          <w:p w14:paraId="4C4838DA">
            <w:pPr>
              <w:pStyle w:val="62"/>
              <w:rPr>
                <w:highlight w:val="yellow"/>
              </w:rPr>
            </w:pPr>
          </w:p>
        </w:tc>
        <w:tc>
          <w:tcPr>
            <w:tcW w:w="809" w:type="pct"/>
            <w:vMerge w:val="continue"/>
            <w:shd w:val="clear" w:color="auto" w:fill="auto"/>
            <w:vAlign w:val="center"/>
          </w:tcPr>
          <w:p w14:paraId="1D3E96C3">
            <w:pPr>
              <w:pStyle w:val="62"/>
              <w:rPr>
                <w:highlight w:val="yellow"/>
              </w:rPr>
            </w:pPr>
          </w:p>
        </w:tc>
        <w:tc>
          <w:tcPr>
            <w:tcW w:w="1023" w:type="pct"/>
            <w:shd w:val="clear" w:color="auto" w:fill="auto"/>
            <w:vAlign w:val="center"/>
          </w:tcPr>
          <w:p w14:paraId="1D3E96C4">
            <w:pPr>
              <w:pStyle w:val="62"/>
            </w:pPr>
            <w:r>
              <w:t>镉</w:t>
            </w:r>
          </w:p>
        </w:tc>
        <w:tc>
          <w:tcPr>
            <w:tcW w:w="1624" w:type="pct"/>
            <w:gridSpan w:val="2"/>
            <w:shd w:val="clear" w:color="auto" w:fill="auto"/>
            <w:vAlign w:val="center"/>
          </w:tcPr>
          <w:p w14:paraId="1D3E96C5">
            <w:pPr>
              <w:pStyle w:val="62"/>
            </w:pPr>
            <w:r>
              <w:t>65mg/kg</w:t>
            </w:r>
          </w:p>
        </w:tc>
      </w:tr>
      <w:tr w14:paraId="1D3E9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C7">
            <w:pPr>
              <w:pStyle w:val="62"/>
              <w:rPr>
                <w:highlight w:val="yellow"/>
              </w:rPr>
            </w:pPr>
          </w:p>
        </w:tc>
        <w:tc>
          <w:tcPr>
            <w:tcW w:w="772" w:type="pct"/>
            <w:vMerge w:val="continue"/>
            <w:shd w:val="clear" w:color="auto" w:fill="auto"/>
            <w:vAlign w:val="center"/>
          </w:tcPr>
          <w:p w14:paraId="54E573E3">
            <w:pPr>
              <w:pStyle w:val="62"/>
              <w:rPr>
                <w:highlight w:val="yellow"/>
              </w:rPr>
            </w:pPr>
          </w:p>
        </w:tc>
        <w:tc>
          <w:tcPr>
            <w:tcW w:w="809" w:type="pct"/>
            <w:vMerge w:val="continue"/>
            <w:shd w:val="clear" w:color="auto" w:fill="auto"/>
            <w:vAlign w:val="center"/>
          </w:tcPr>
          <w:p w14:paraId="1D3E96C8">
            <w:pPr>
              <w:pStyle w:val="62"/>
              <w:rPr>
                <w:highlight w:val="yellow"/>
              </w:rPr>
            </w:pPr>
          </w:p>
        </w:tc>
        <w:tc>
          <w:tcPr>
            <w:tcW w:w="1023" w:type="pct"/>
            <w:shd w:val="clear" w:color="auto" w:fill="auto"/>
            <w:vAlign w:val="center"/>
          </w:tcPr>
          <w:p w14:paraId="1D3E96C9">
            <w:pPr>
              <w:pStyle w:val="62"/>
            </w:pPr>
            <w:r>
              <w:t>铬（六价）</w:t>
            </w:r>
          </w:p>
        </w:tc>
        <w:tc>
          <w:tcPr>
            <w:tcW w:w="1624" w:type="pct"/>
            <w:gridSpan w:val="2"/>
            <w:shd w:val="clear" w:color="auto" w:fill="auto"/>
            <w:vAlign w:val="center"/>
          </w:tcPr>
          <w:p w14:paraId="1D3E96CA">
            <w:pPr>
              <w:pStyle w:val="62"/>
            </w:pPr>
            <w:r>
              <w:t>5.7mg/kg</w:t>
            </w:r>
          </w:p>
        </w:tc>
      </w:tr>
      <w:tr w14:paraId="1D3E9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CC">
            <w:pPr>
              <w:pStyle w:val="62"/>
              <w:rPr>
                <w:highlight w:val="yellow"/>
              </w:rPr>
            </w:pPr>
          </w:p>
        </w:tc>
        <w:tc>
          <w:tcPr>
            <w:tcW w:w="772" w:type="pct"/>
            <w:vMerge w:val="continue"/>
            <w:shd w:val="clear" w:color="auto" w:fill="auto"/>
            <w:vAlign w:val="center"/>
          </w:tcPr>
          <w:p w14:paraId="76EEB8E9">
            <w:pPr>
              <w:pStyle w:val="62"/>
              <w:rPr>
                <w:highlight w:val="yellow"/>
              </w:rPr>
            </w:pPr>
          </w:p>
        </w:tc>
        <w:tc>
          <w:tcPr>
            <w:tcW w:w="809" w:type="pct"/>
            <w:vMerge w:val="continue"/>
            <w:shd w:val="clear" w:color="auto" w:fill="auto"/>
            <w:vAlign w:val="center"/>
          </w:tcPr>
          <w:p w14:paraId="1D3E96CD">
            <w:pPr>
              <w:pStyle w:val="62"/>
              <w:rPr>
                <w:highlight w:val="yellow"/>
              </w:rPr>
            </w:pPr>
          </w:p>
        </w:tc>
        <w:tc>
          <w:tcPr>
            <w:tcW w:w="1023" w:type="pct"/>
            <w:shd w:val="clear" w:color="auto" w:fill="auto"/>
            <w:vAlign w:val="center"/>
          </w:tcPr>
          <w:p w14:paraId="1D3E96CE">
            <w:pPr>
              <w:pStyle w:val="62"/>
            </w:pPr>
            <w:r>
              <w:t>铜</w:t>
            </w:r>
          </w:p>
        </w:tc>
        <w:tc>
          <w:tcPr>
            <w:tcW w:w="1624" w:type="pct"/>
            <w:gridSpan w:val="2"/>
            <w:shd w:val="clear" w:color="auto" w:fill="auto"/>
            <w:vAlign w:val="center"/>
          </w:tcPr>
          <w:p w14:paraId="1D3E96CF">
            <w:pPr>
              <w:pStyle w:val="62"/>
            </w:pPr>
            <w:r>
              <w:t>18000mg/kg</w:t>
            </w:r>
          </w:p>
        </w:tc>
      </w:tr>
      <w:tr w14:paraId="1D3E9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D1">
            <w:pPr>
              <w:pStyle w:val="62"/>
              <w:rPr>
                <w:highlight w:val="yellow"/>
              </w:rPr>
            </w:pPr>
          </w:p>
        </w:tc>
        <w:tc>
          <w:tcPr>
            <w:tcW w:w="772" w:type="pct"/>
            <w:vMerge w:val="continue"/>
            <w:shd w:val="clear" w:color="auto" w:fill="auto"/>
            <w:vAlign w:val="center"/>
          </w:tcPr>
          <w:p w14:paraId="065981FB">
            <w:pPr>
              <w:pStyle w:val="62"/>
              <w:rPr>
                <w:highlight w:val="yellow"/>
              </w:rPr>
            </w:pPr>
          </w:p>
        </w:tc>
        <w:tc>
          <w:tcPr>
            <w:tcW w:w="809" w:type="pct"/>
            <w:vMerge w:val="continue"/>
            <w:shd w:val="clear" w:color="auto" w:fill="auto"/>
            <w:vAlign w:val="center"/>
          </w:tcPr>
          <w:p w14:paraId="1D3E96D2">
            <w:pPr>
              <w:pStyle w:val="62"/>
              <w:rPr>
                <w:highlight w:val="yellow"/>
              </w:rPr>
            </w:pPr>
          </w:p>
        </w:tc>
        <w:tc>
          <w:tcPr>
            <w:tcW w:w="1023" w:type="pct"/>
            <w:shd w:val="clear" w:color="auto" w:fill="auto"/>
            <w:vAlign w:val="center"/>
          </w:tcPr>
          <w:p w14:paraId="1D3E96D3">
            <w:pPr>
              <w:pStyle w:val="62"/>
            </w:pPr>
            <w:r>
              <w:t>铅</w:t>
            </w:r>
          </w:p>
        </w:tc>
        <w:tc>
          <w:tcPr>
            <w:tcW w:w="1624" w:type="pct"/>
            <w:gridSpan w:val="2"/>
            <w:shd w:val="clear" w:color="auto" w:fill="auto"/>
            <w:vAlign w:val="center"/>
          </w:tcPr>
          <w:p w14:paraId="1D3E96D4">
            <w:pPr>
              <w:pStyle w:val="62"/>
            </w:pPr>
            <w:r>
              <w:t>800mg/kg</w:t>
            </w:r>
          </w:p>
        </w:tc>
      </w:tr>
      <w:tr w14:paraId="1D3E9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D6">
            <w:pPr>
              <w:pStyle w:val="62"/>
              <w:rPr>
                <w:highlight w:val="yellow"/>
              </w:rPr>
            </w:pPr>
          </w:p>
        </w:tc>
        <w:tc>
          <w:tcPr>
            <w:tcW w:w="772" w:type="pct"/>
            <w:vMerge w:val="continue"/>
            <w:shd w:val="clear" w:color="auto" w:fill="auto"/>
            <w:vAlign w:val="center"/>
          </w:tcPr>
          <w:p w14:paraId="00EDF70F">
            <w:pPr>
              <w:pStyle w:val="62"/>
              <w:rPr>
                <w:highlight w:val="yellow"/>
              </w:rPr>
            </w:pPr>
          </w:p>
        </w:tc>
        <w:tc>
          <w:tcPr>
            <w:tcW w:w="809" w:type="pct"/>
            <w:vMerge w:val="continue"/>
            <w:shd w:val="clear" w:color="auto" w:fill="auto"/>
            <w:vAlign w:val="center"/>
          </w:tcPr>
          <w:p w14:paraId="1D3E96D7">
            <w:pPr>
              <w:pStyle w:val="62"/>
              <w:rPr>
                <w:highlight w:val="yellow"/>
              </w:rPr>
            </w:pPr>
          </w:p>
        </w:tc>
        <w:tc>
          <w:tcPr>
            <w:tcW w:w="1023" w:type="pct"/>
            <w:shd w:val="clear" w:color="auto" w:fill="auto"/>
            <w:vAlign w:val="center"/>
          </w:tcPr>
          <w:p w14:paraId="1D3E96D8">
            <w:pPr>
              <w:pStyle w:val="62"/>
            </w:pPr>
            <w:r>
              <w:t>汞</w:t>
            </w:r>
          </w:p>
        </w:tc>
        <w:tc>
          <w:tcPr>
            <w:tcW w:w="1624" w:type="pct"/>
            <w:gridSpan w:val="2"/>
            <w:shd w:val="clear" w:color="auto" w:fill="auto"/>
            <w:vAlign w:val="center"/>
          </w:tcPr>
          <w:p w14:paraId="1D3E96D9">
            <w:pPr>
              <w:pStyle w:val="62"/>
            </w:pPr>
            <w:r>
              <w:t>38mg/kg</w:t>
            </w:r>
          </w:p>
        </w:tc>
      </w:tr>
      <w:tr w14:paraId="1D3E9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DB">
            <w:pPr>
              <w:pStyle w:val="62"/>
              <w:rPr>
                <w:highlight w:val="yellow"/>
              </w:rPr>
            </w:pPr>
          </w:p>
        </w:tc>
        <w:tc>
          <w:tcPr>
            <w:tcW w:w="772" w:type="pct"/>
            <w:vMerge w:val="continue"/>
            <w:shd w:val="clear" w:color="auto" w:fill="auto"/>
            <w:vAlign w:val="center"/>
          </w:tcPr>
          <w:p w14:paraId="3BEB965F">
            <w:pPr>
              <w:pStyle w:val="62"/>
              <w:rPr>
                <w:highlight w:val="yellow"/>
              </w:rPr>
            </w:pPr>
          </w:p>
        </w:tc>
        <w:tc>
          <w:tcPr>
            <w:tcW w:w="809" w:type="pct"/>
            <w:vMerge w:val="continue"/>
            <w:shd w:val="clear" w:color="auto" w:fill="auto"/>
            <w:vAlign w:val="center"/>
          </w:tcPr>
          <w:p w14:paraId="1D3E96DC">
            <w:pPr>
              <w:pStyle w:val="62"/>
              <w:rPr>
                <w:highlight w:val="yellow"/>
              </w:rPr>
            </w:pPr>
          </w:p>
        </w:tc>
        <w:tc>
          <w:tcPr>
            <w:tcW w:w="1023" w:type="pct"/>
            <w:shd w:val="clear" w:color="auto" w:fill="auto"/>
            <w:vAlign w:val="center"/>
          </w:tcPr>
          <w:p w14:paraId="1D3E96DD">
            <w:pPr>
              <w:pStyle w:val="62"/>
            </w:pPr>
            <w:r>
              <w:t>镍</w:t>
            </w:r>
          </w:p>
        </w:tc>
        <w:tc>
          <w:tcPr>
            <w:tcW w:w="1624" w:type="pct"/>
            <w:gridSpan w:val="2"/>
            <w:shd w:val="clear" w:color="auto" w:fill="auto"/>
            <w:vAlign w:val="center"/>
          </w:tcPr>
          <w:p w14:paraId="1D3E96DE">
            <w:pPr>
              <w:pStyle w:val="62"/>
            </w:pPr>
            <w:r>
              <w:t>900mg/kg</w:t>
            </w:r>
          </w:p>
        </w:tc>
      </w:tr>
      <w:tr w14:paraId="1D3E9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E0">
            <w:pPr>
              <w:pStyle w:val="62"/>
              <w:rPr>
                <w:highlight w:val="yellow"/>
              </w:rPr>
            </w:pPr>
          </w:p>
        </w:tc>
        <w:tc>
          <w:tcPr>
            <w:tcW w:w="772" w:type="pct"/>
            <w:vMerge w:val="continue"/>
            <w:shd w:val="clear" w:color="auto" w:fill="auto"/>
            <w:vAlign w:val="center"/>
          </w:tcPr>
          <w:p w14:paraId="3FEE19A3">
            <w:pPr>
              <w:pStyle w:val="62"/>
              <w:rPr>
                <w:highlight w:val="yellow"/>
              </w:rPr>
            </w:pPr>
          </w:p>
        </w:tc>
        <w:tc>
          <w:tcPr>
            <w:tcW w:w="809" w:type="pct"/>
            <w:vMerge w:val="continue"/>
            <w:shd w:val="clear" w:color="auto" w:fill="auto"/>
            <w:vAlign w:val="center"/>
          </w:tcPr>
          <w:p w14:paraId="1D3E96E1">
            <w:pPr>
              <w:pStyle w:val="62"/>
              <w:rPr>
                <w:highlight w:val="yellow"/>
              </w:rPr>
            </w:pPr>
          </w:p>
        </w:tc>
        <w:tc>
          <w:tcPr>
            <w:tcW w:w="1023" w:type="pct"/>
            <w:shd w:val="clear" w:color="auto" w:fill="auto"/>
            <w:vAlign w:val="center"/>
          </w:tcPr>
          <w:p w14:paraId="1D3E96E2">
            <w:pPr>
              <w:pStyle w:val="62"/>
            </w:pPr>
            <w:r>
              <w:t>四氯化碳</w:t>
            </w:r>
          </w:p>
        </w:tc>
        <w:tc>
          <w:tcPr>
            <w:tcW w:w="1624" w:type="pct"/>
            <w:gridSpan w:val="2"/>
            <w:shd w:val="clear" w:color="auto" w:fill="auto"/>
            <w:vAlign w:val="center"/>
          </w:tcPr>
          <w:p w14:paraId="1D3E96E3">
            <w:pPr>
              <w:pStyle w:val="62"/>
            </w:pPr>
            <w:r>
              <w:t>2.8mg/kg</w:t>
            </w:r>
          </w:p>
        </w:tc>
      </w:tr>
      <w:tr w14:paraId="1D3E9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E5">
            <w:pPr>
              <w:pStyle w:val="62"/>
              <w:rPr>
                <w:highlight w:val="yellow"/>
              </w:rPr>
            </w:pPr>
          </w:p>
        </w:tc>
        <w:tc>
          <w:tcPr>
            <w:tcW w:w="772" w:type="pct"/>
            <w:vMerge w:val="continue"/>
            <w:shd w:val="clear" w:color="auto" w:fill="auto"/>
            <w:vAlign w:val="center"/>
          </w:tcPr>
          <w:p w14:paraId="0B4503F5">
            <w:pPr>
              <w:pStyle w:val="62"/>
              <w:rPr>
                <w:highlight w:val="yellow"/>
              </w:rPr>
            </w:pPr>
          </w:p>
        </w:tc>
        <w:tc>
          <w:tcPr>
            <w:tcW w:w="809" w:type="pct"/>
            <w:vMerge w:val="continue"/>
            <w:shd w:val="clear" w:color="auto" w:fill="auto"/>
            <w:vAlign w:val="center"/>
          </w:tcPr>
          <w:p w14:paraId="1D3E96E6">
            <w:pPr>
              <w:pStyle w:val="62"/>
              <w:rPr>
                <w:highlight w:val="yellow"/>
              </w:rPr>
            </w:pPr>
          </w:p>
        </w:tc>
        <w:tc>
          <w:tcPr>
            <w:tcW w:w="1023" w:type="pct"/>
            <w:shd w:val="clear" w:color="auto" w:fill="auto"/>
            <w:vAlign w:val="center"/>
          </w:tcPr>
          <w:p w14:paraId="1D3E96E7">
            <w:pPr>
              <w:pStyle w:val="62"/>
            </w:pPr>
            <w:r>
              <w:t>氯仿</w:t>
            </w:r>
          </w:p>
        </w:tc>
        <w:tc>
          <w:tcPr>
            <w:tcW w:w="1624" w:type="pct"/>
            <w:gridSpan w:val="2"/>
            <w:shd w:val="clear" w:color="auto" w:fill="auto"/>
            <w:vAlign w:val="center"/>
          </w:tcPr>
          <w:p w14:paraId="1D3E96E8">
            <w:pPr>
              <w:pStyle w:val="62"/>
            </w:pPr>
            <w:r>
              <w:t>0.9mg/kg</w:t>
            </w:r>
          </w:p>
        </w:tc>
      </w:tr>
      <w:tr w14:paraId="1D3E9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EA">
            <w:pPr>
              <w:pStyle w:val="62"/>
              <w:rPr>
                <w:highlight w:val="yellow"/>
              </w:rPr>
            </w:pPr>
          </w:p>
        </w:tc>
        <w:tc>
          <w:tcPr>
            <w:tcW w:w="772" w:type="pct"/>
            <w:vMerge w:val="continue"/>
            <w:shd w:val="clear" w:color="auto" w:fill="auto"/>
            <w:vAlign w:val="center"/>
          </w:tcPr>
          <w:p w14:paraId="6461E84C">
            <w:pPr>
              <w:pStyle w:val="62"/>
              <w:rPr>
                <w:highlight w:val="yellow"/>
              </w:rPr>
            </w:pPr>
          </w:p>
        </w:tc>
        <w:tc>
          <w:tcPr>
            <w:tcW w:w="809" w:type="pct"/>
            <w:vMerge w:val="continue"/>
            <w:shd w:val="clear" w:color="auto" w:fill="auto"/>
            <w:vAlign w:val="center"/>
          </w:tcPr>
          <w:p w14:paraId="1D3E96EB">
            <w:pPr>
              <w:pStyle w:val="62"/>
              <w:rPr>
                <w:highlight w:val="yellow"/>
              </w:rPr>
            </w:pPr>
          </w:p>
        </w:tc>
        <w:tc>
          <w:tcPr>
            <w:tcW w:w="1023" w:type="pct"/>
            <w:shd w:val="clear" w:color="auto" w:fill="auto"/>
            <w:vAlign w:val="center"/>
          </w:tcPr>
          <w:p w14:paraId="1D3E96EC">
            <w:pPr>
              <w:pStyle w:val="62"/>
            </w:pPr>
            <w:r>
              <w:t>氯甲烷</w:t>
            </w:r>
          </w:p>
        </w:tc>
        <w:tc>
          <w:tcPr>
            <w:tcW w:w="1624" w:type="pct"/>
            <w:gridSpan w:val="2"/>
            <w:shd w:val="clear" w:color="auto" w:fill="auto"/>
            <w:vAlign w:val="center"/>
          </w:tcPr>
          <w:p w14:paraId="1D3E96ED">
            <w:pPr>
              <w:pStyle w:val="62"/>
            </w:pPr>
            <w:r>
              <w:t>37mg/kg</w:t>
            </w:r>
          </w:p>
        </w:tc>
      </w:tr>
      <w:tr w14:paraId="1D3E9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EF">
            <w:pPr>
              <w:pStyle w:val="62"/>
              <w:rPr>
                <w:highlight w:val="yellow"/>
              </w:rPr>
            </w:pPr>
          </w:p>
        </w:tc>
        <w:tc>
          <w:tcPr>
            <w:tcW w:w="772" w:type="pct"/>
            <w:vMerge w:val="continue"/>
            <w:shd w:val="clear" w:color="auto" w:fill="auto"/>
            <w:vAlign w:val="center"/>
          </w:tcPr>
          <w:p w14:paraId="34CB10C2">
            <w:pPr>
              <w:pStyle w:val="62"/>
              <w:rPr>
                <w:highlight w:val="yellow"/>
              </w:rPr>
            </w:pPr>
          </w:p>
        </w:tc>
        <w:tc>
          <w:tcPr>
            <w:tcW w:w="809" w:type="pct"/>
            <w:vMerge w:val="continue"/>
            <w:shd w:val="clear" w:color="auto" w:fill="auto"/>
            <w:vAlign w:val="center"/>
          </w:tcPr>
          <w:p w14:paraId="1D3E96F0">
            <w:pPr>
              <w:pStyle w:val="62"/>
              <w:rPr>
                <w:highlight w:val="yellow"/>
              </w:rPr>
            </w:pPr>
          </w:p>
        </w:tc>
        <w:tc>
          <w:tcPr>
            <w:tcW w:w="1023" w:type="pct"/>
            <w:shd w:val="clear" w:color="auto" w:fill="auto"/>
            <w:vAlign w:val="center"/>
          </w:tcPr>
          <w:p w14:paraId="1D3E96F1">
            <w:pPr>
              <w:pStyle w:val="62"/>
            </w:pPr>
            <w:r>
              <w:t>1，1-二氯乙烷</w:t>
            </w:r>
          </w:p>
        </w:tc>
        <w:tc>
          <w:tcPr>
            <w:tcW w:w="1624" w:type="pct"/>
            <w:gridSpan w:val="2"/>
            <w:shd w:val="clear" w:color="auto" w:fill="auto"/>
            <w:vAlign w:val="center"/>
          </w:tcPr>
          <w:p w14:paraId="1D3E96F2">
            <w:pPr>
              <w:pStyle w:val="62"/>
            </w:pPr>
            <w:r>
              <w:t>9mg/kg</w:t>
            </w:r>
          </w:p>
        </w:tc>
      </w:tr>
      <w:tr w14:paraId="1D3E9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F4">
            <w:pPr>
              <w:pStyle w:val="62"/>
              <w:rPr>
                <w:highlight w:val="yellow"/>
              </w:rPr>
            </w:pPr>
          </w:p>
        </w:tc>
        <w:tc>
          <w:tcPr>
            <w:tcW w:w="772" w:type="pct"/>
            <w:vMerge w:val="continue"/>
            <w:shd w:val="clear" w:color="auto" w:fill="auto"/>
            <w:vAlign w:val="center"/>
          </w:tcPr>
          <w:p w14:paraId="1EC647AD">
            <w:pPr>
              <w:pStyle w:val="62"/>
              <w:rPr>
                <w:highlight w:val="yellow"/>
              </w:rPr>
            </w:pPr>
          </w:p>
        </w:tc>
        <w:tc>
          <w:tcPr>
            <w:tcW w:w="809" w:type="pct"/>
            <w:vMerge w:val="continue"/>
            <w:shd w:val="clear" w:color="auto" w:fill="auto"/>
            <w:vAlign w:val="center"/>
          </w:tcPr>
          <w:p w14:paraId="1D3E96F5">
            <w:pPr>
              <w:pStyle w:val="62"/>
              <w:rPr>
                <w:highlight w:val="yellow"/>
              </w:rPr>
            </w:pPr>
          </w:p>
        </w:tc>
        <w:tc>
          <w:tcPr>
            <w:tcW w:w="1023" w:type="pct"/>
            <w:shd w:val="clear" w:color="auto" w:fill="auto"/>
            <w:vAlign w:val="center"/>
          </w:tcPr>
          <w:p w14:paraId="1D3E96F6">
            <w:pPr>
              <w:pStyle w:val="62"/>
            </w:pPr>
            <w:r>
              <w:t>1，2-二氯乙烷</w:t>
            </w:r>
          </w:p>
        </w:tc>
        <w:tc>
          <w:tcPr>
            <w:tcW w:w="1624" w:type="pct"/>
            <w:gridSpan w:val="2"/>
            <w:shd w:val="clear" w:color="auto" w:fill="auto"/>
            <w:vAlign w:val="center"/>
          </w:tcPr>
          <w:p w14:paraId="1D3E96F7">
            <w:pPr>
              <w:pStyle w:val="62"/>
            </w:pPr>
            <w:r>
              <w:t>5mg/kg</w:t>
            </w:r>
          </w:p>
        </w:tc>
      </w:tr>
      <w:tr w14:paraId="1D3E9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F9">
            <w:pPr>
              <w:pStyle w:val="62"/>
              <w:rPr>
                <w:highlight w:val="yellow"/>
              </w:rPr>
            </w:pPr>
          </w:p>
        </w:tc>
        <w:tc>
          <w:tcPr>
            <w:tcW w:w="772" w:type="pct"/>
            <w:vMerge w:val="continue"/>
            <w:shd w:val="clear" w:color="auto" w:fill="auto"/>
            <w:vAlign w:val="center"/>
          </w:tcPr>
          <w:p w14:paraId="7353E4C3">
            <w:pPr>
              <w:pStyle w:val="62"/>
              <w:rPr>
                <w:highlight w:val="yellow"/>
              </w:rPr>
            </w:pPr>
          </w:p>
        </w:tc>
        <w:tc>
          <w:tcPr>
            <w:tcW w:w="809" w:type="pct"/>
            <w:vMerge w:val="continue"/>
            <w:shd w:val="clear" w:color="auto" w:fill="auto"/>
            <w:vAlign w:val="center"/>
          </w:tcPr>
          <w:p w14:paraId="1D3E96FA">
            <w:pPr>
              <w:pStyle w:val="62"/>
              <w:rPr>
                <w:highlight w:val="yellow"/>
              </w:rPr>
            </w:pPr>
          </w:p>
        </w:tc>
        <w:tc>
          <w:tcPr>
            <w:tcW w:w="1023" w:type="pct"/>
            <w:shd w:val="clear" w:color="auto" w:fill="auto"/>
            <w:vAlign w:val="center"/>
          </w:tcPr>
          <w:p w14:paraId="1D3E96FB">
            <w:pPr>
              <w:pStyle w:val="62"/>
            </w:pPr>
            <w:r>
              <w:t>1，1-二氯乙烯</w:t>
            </w:r>
          </w:p>
        </w:tc>
        <w:tc>
          <w:tcPr>
            <w:tcW w:w="1624" w:type="pct"/>
            <w:gridSpan w:val="2"/>
            <w:shd w:val="clear" w:color="auto" w:fill="auto"/>
            <w:vAlign w:val="center"/>
          </w:tcPr>
          <w:p w14:paraId="1D3E96FC">
            <w:pPr>
              <w:pStyle w:val="62"/>
            </w:pPr>
            <w:r>
              <w:t>66mg/kg</w:t>
            </w:r>
          </w:p>
        </w:tc>
      </w:tr>
      <w:tr w14:paraId="1D3E9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6FE">
            <w:pPr>
              <w:pStyle w:val="62"/>
              <w:rPr>
                <w:highlight w:val="yellow"/>
              </w:rPr>
            </w:pPr>
          </w:p>
        </w:tc>
        <w:tc>
          <w:tcPr>
            <w:tcW w:w="772" w:type="pct"/>
            <w:vMerge w:val="continue"/>
            <w:shd w:val="clear" w:color="auto" w:fill="auto"/>
            <w:vAlign w:val="center"/>
          </w:tcPr>
          <w:p w14:paraId="471DC97C">
            <w:pPr>
              <w:pStyle w:val="62"/>
              <w:rPr>
                <w:highlight w:val="yellow"/>
              </w:rPr>
            </w:pPr>
          </w:p>
        </w:tc>
        <w:tc>
          <w:tcPr>
            <w:tcW w:w="809" w:type="pct"/>
            <w:vMerge w:val="continue"/>
            <w:shd w:val="clear" w:color="auto" w:fill="auto"/>
            <w:vAlign w:val="center"/>
          </w:tcPr>
          <w:p w14:paraId="1D3E96FF">
            <w:pPr>
              <w:pStyle w:val="62"/>
              <w:rPr>
                <w:highlight w:val="yellow"/>
              </w:rPr>
            </w:pPr>
          </w:p>
        </w:tc>
        <w:tc>
          <w:tcPr>
            <w:tcW w:w="1023" w:type="pct"/>
            <w:shd w:val="clear" w:color="auto" w:fill="auto"/>
            <w:vAlign w:val="center"/>
          </w:tcPr>
          <w:p w14:paraId="1D3E9700">
            <w:pPr>
              <w:pStyle w:val="62"/>
            </w:pPr>
            <w:r>
              <w:t>顺1，2-二氯乙烯</w:t>
            </w:r>
          </w:p>
        </w:tc>
        <w:tc>
          <w:tcPr>
            <w:tcW w:w="1624" w:type="pct"/>
            <w:gridSpan w:val="2"/>
            <w:shd w:val="clear" w:color="auto" w:fill="auto"/>
            <w:vAlign w:val="center"/>
          </w:tcPr>
          <w:p w14:paraId="1D3E9701">
            <w:pPr>
              <w:pStyle w:val="62"/>
            </w:pPr>
            <w:r>
              <w:t>596mg/kg</w:t>
            </w:r>
          </w:p>
        </w:tc>
      </w:tr>
      <w:tr w14:paraId="1D3E9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03">
            <w:pPr>
              <w:pStyle w:val="62"/>
              <w:rPr>
                <w:highlight w:val="yellow"/>
              </w:rPr>
            </w:pPr>
          </w:p>
        </w:tc>
        <w:tc>
          <w:tcPr>
            <w:tcW w:w="772" w:type="pct"/>
            <w:vMerge w:val="continue"/>
            <w:shd w:val="clear" w:color="auto" w:fill="auto"/>
            <w:vAlign w:val="center"/>
          </w:tcPr>
          <w:p w14:paraId="2DCD3403">
            <w:pPr>
              <w:pStyle w:val="62"/>
              <w:rPr>
                <w:highlight w:val="yellow"/>
              </w:rPr>
            </w:pPr>
          </w:p>
        </w:tc>
        <w:tc>
          <w:tcPr>
            <w:tcW w:w="809" w:type="pct"/>
            <w:vMerge w:val="continue"/>
            <w:shd w:val="clear" w:color="auto" w:fill="auto"/>
            <w:vAlign w:val="center"/>
          </w:tcPr>
          <w:p w14:paraId="1D3E9704">
            <w:pPr>
              <w:pStyle w:val="62"/>
              <w:rPr>
                <w:highlight w:val="yellow"/>
              </w:rPr>
            </w:pPr>
          </w:p>
        </w:tc>
        <w:tc>
          <w:tcPr>
            <w:tcW w:w="1023" w:type="pct"/>
            <w:shd w:val="clear" w:color="auto" w:fill="auto"/>
            <w:vAlign w:val="center"/>
          </w:tcPr>
          <w:p w14:paraId="1D3E9705">
            <w:pPr>
              <w:pStyle w:val="62"/>
            </w:pPr>
            <w:r>
              <w:t>反1，2-二氯乙烯</w:t>
            </w:r>
          </w:p>
        </w:tc>
        <w:tc>
          <w:tcPr>
            <w:tcW w:w="1624" w:type="pct"/>
            <w:gridSpan w:val="2"/>
            <w:shd w:val="clear" w:color="auto" w:fill="auto"/>
            <w:vAlign w:val="center"/>
          </w:tcPr>
          <w:p w14:paraId="1D3E9706">
            <w:pPr>
              <w:pStyle w:val="62"/>
            </w:pPr>
            <w:r>
              <w:t>54mg/kg</w:t>
            </w:r>
          </w:p>
        </w:tc>
      </w:tr>
      <w:tr w14:paraId="1D3E9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08">
            <w:pPr>
              <w:pStyle w:val="62"/>
              <w:rPr>
                <w:highlight w:val="yellow"/>
              </w:rPr>
            </w:pPr>
          </w:p>
        </w:tc>
        <w:tc>
          <w:tcPr>
            <w:tcW w:w="772" w:type="pct"/>
            <w:vMerge w:val="continue"/>
            <w:shd w:val="clear" w:color="auto" w:fill="auto"/>
            <w:vAlign w:val="center"/>
          </w:tcPr>
          <w:p w14:paraId="4DBDB4CD">
            <w:pPr>
              <w:pStyle w:val="62"/>
              <w:rPr>
                <w:highlight w:val="yellow"/>
              </w:rPr>
            </w:pPr>
          </w:p>
        </w:tc>
        <w:tc>
          <w:tcPr>
            <w:tcW w:w="809" w:type="pct"/>
            <w:vMerge w:val="continue"/>
            <w:shd w:val="clear" w:color="auto" w:fill="auto"/>
            <w:vAlign w:val="center"/>
          </w:tcPr>
          <w:p w14:paraId="1D3E9709">
            <w:pPr>
              <w:pStyle w:val="62"/>
              <w:rPr>
                <w:highlight w:val="yellow"/>
              </w:rPr>
            </w:pPr>
          </w:p>
        </w:tc>
        <w:tc>
          <w:tcPr>
            <w:tcW w:w="1023" w:type="pct"/>
            <w:shd w:val="clear" w:color="auto" w:fill="auto"/>
            <w:vAlign w:val="center"/>
          </w:tcPr>
          <w:p w14:paraId="1D3E970A">
            <w:pPr>
              <w:pStyle w:val="62"/>
            </w:pPr>
            <w:r>
              <w:t>二氯甲烷</w:t>
            </w:r>
          </w:p>
        </w:tc>
        <w:tc>
          <w:tcPr>
            <w:tcW w:w="1624" w:type="pct"/>
            <w:gridSpan w:val="2"/>
            <w:shd w:val="clear" w:color="auto" w:fill="auto"/>
            <w:vAlign w:val="center"/>
          </w:tcPr>
          <w:p w14:paraId="1D3E970B">
            <w:pPr>
              <w:pStyle w:val="62"/>
            </w:pPr>
            <w:r>
              <w:t>616mg/kg</w:t>
            </w:r>
          </w:p>
        </w:tc>
      </w:tr>
      <w:tr w14:paraId="1D3E9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0D">
            <w:pPr>
              <w:pStyle w:val="62"/>
              <w:rPr>
                <w:highlight w:val="yellow"/>
              </w:rPr>
            </w:pPr>
          </w:p>
        </w:tc>
        <w:tc>
          <w:tcPr>
            <w:tcW w:w="772" w:type="pct"/>
            <w:vMerge w:val="continue"/>
            <w:shd w:val="clear" w:color="auto" w:fill="auto"/>
            <w:vAlign w:val="center"/>
          </w:tcPr>
          <w:p w14:paraId="0BD309C5">
            <w:pPr>
              <w:pStyle w:val="62"/>
              <w:rPr>
                <w:highlight w:val="yellow"/>
              </w:rPr>
            </w:pPr>
          </w:p>
        </w:tc>
        <w:tc>
          <w:tcPr>
            <w:tcW w:w="809" w:type="pct"/>
            <w:vMerge w:val="continue"/>
            <w:shd w:val="clear" w:color="auto" w:fill="auto"/>
            <w:vAlign w:val="center"/>
          </w:tcPr>
          <w:p w14:paraId="1D3E970E">
            <w:pPr>
              <w:pStyle w:val="62"/>
              <w:rPr>
                <w:highlight w:val="yellow"/>
              </w:rPr>
            </w:pPr>
          </w:p>
        </w:tc>
        <w:tc>
          <w:tcPr>
            <w:tcW w:w="1023" w:type="pct"/>
            <w:shd w:val="clear" w:color="auto" w:fill="auto"/>
            <w:vAlign w:val="center"/>
          </w:tcPr>
          <w:p w14:paraId="1D3E970F">
            <w:pPr>
              <w:pStyle w:val="62"/>
            </w:pPr>
            <w:r>
              <w:t>1，2-二氯丙烷</w:t>
            </w:r>
          </w:p>
        </w:tc>
        <w:tc>
          <w:tcPr>
            <w:tcW w:w="1624" w:type="pct"/>
            <w:gridSpan w:val="2"/>
            <w:shd w:val="clear" w:color="auto" w:fill="auto"/>
            <w:vAlign w:val="center"/>
          </w:tcPr>
          <w:p w14:paraId="1D3E9710">
            <w:pPr>
              <w:pStyle w:val="62"/>
            </w:pPr>
            <w:r>
              <w:t>5mg/kg</w:t>
            </w:r>
          </w:p>
        </w:tc>
      </w:tr>
      <w:tr w14:paraId="1D3E9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12">
            <w:pPr>
              <w:pStyle w:val="62"/>
              <w:rPr>
                <w:highlight w:val="yellow"/>
              </w:rPr>
            </w:pPr>
          </w:p>
        </w:tc>
        <w:tc>
          <w:tcPr>
            <w:tcW w:w="772" w:type="pct"/>
            <w:vMerge w:val="continue"/>
            <w:shd w:val="clear" w:color="auto" w:fill="auto"/>
            <w:vAlign w:val="center"/>
          </w:tcPr>
          <w:p w14:paraId="456DC00D">
            <w:pPr>
              <w:pStyle w:val="62"/>
              <w:rPr>
                <w:highlight w:val="yellow"/>
              </w:rPr>
            </w:pPr>
          </w:p>
        </w:tc>
        <w:tc>
          <w:tcPr>
            <w:tcW w:w="809" w:type="pct"/>
            <w:vMerge w:val="continue"/>
            <w:shd w:val="clear" w:color="auto" w:fill="auto"/>
            <w:vAlign w:val="center"/>
          </w:tcPr>
          <w:p w14:paraId="1D3E9713">
            <w:pPr>
              <w:pStyle w:val="62"/>
              <w:rPr>
                <w:highlight w:val="yellow"/>
              </w:rPr>
            </w:pPr>
          </w:p>
        </w:tc>
        <w:tc>
          <w:tcPr>
            <w:tcW w:w="1023" w:type="pct"/>
            <w:shd w:val="clear" w:color="auto" w:fill="auto"/>
            <w:vAlign w:val="center"/>
          </w:tcPr>
          <w:p w14:paraId="1D3E9714">
            <w:pPr>
              <w:pStyle w:val="62"/>
            </w:pPr>
            <w:r>
              <w:t>1,1,1,2-四氯乙烷</w:t>
            </w:r>
          </w:p>
        </w:tc>
        <w:tc>
          <w:tcPr>
            <w:tcW w:w="1624" w:type="pct"/>
            <w:gridSpan w:val="2"/>
            <w:shd w:val="clear" w:color="auto" w:fill="auto"/>
            <w:vAlign w:val="center"/>
          </w:tcPr>
          <w:p w14:paraId="1D3E9715">
            <w:pPr>
              <w:pStyle w:val="62"/>
            </w:pPr>
            <w:r>
              <w:t>10mg/kg</w:t>
            </w:r>
          </w:p>
        </w:tc>
      </w:tr>
      <w:tr w14:paraId="1D3E9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17">
            <w:pPr>
              <w:pStyle w:val="62"/>
              <w:rPr>
                <w:highlight w:val="yellow"/>
              </w:rPr>
            </w:pPr>
          </w:p>
        </w:tc>
        <w:tc>
          <w:tcPr>
            <w:tcW w:w="772" w:type="pct"/>
            <w:vMerge w:val="continue"/>
            <w:shd w:val="clear" w:color="auto" w:fill="auto"/>
            <w:vAlign w:val="center"/>
          </w:tcPr>
          <w:p w14:paraId="6A84A5AF">
            <w:pPr>
              <w:pStyle w:val="62"/>
              <w:rPr>
                <w:highlight w:val="yellow"/>
              </w:rPr>
            </w:pPr>
          </w:p>
        </w:tc>
        <w:tc>
          <w:tcPr>
            <w:tcW w:w="809" w:type="pct"/>
            <w:vMerge w:val="continue"/>
            <w:shd w:val="clear" w:color="auto" w:fill="auto"/>
            <w:vAlign w:val="center"/>
          </w:tcPr>
          <w:p w14:paraId="1D3E9718">
            <w:pPr>
              <w:pStyle w:val="62"/>
              <w:rPr>
                <w:highlight w:val="yellow"/>
              </w:rPr>
            </w:pPr>
          </w:p>
        </w:tc>
        <w:tc>
          <w:tcPr>
            <w:tcW w:w="1023" w:type="pct"/>
            <w:shd w:val="clear" w:color="auto" w:fill="auto"/>
            <w:vAlign w:val="center"/>
          </w:tcPr>
          <w:p w14:paraId="1D3E9719">
            <w:pPr>
              <w:pStyle w:val="62"/>
            </w:pPr>
            <w:r>
              <w:t>1,1,2,2-四氯乙烷</w:t>
            </w:r>
          </w:p>
        </w:tc>
        <w:tc>
          <w:tcPr>
            <w:tcW w:w="1624" w:type="pct"/>
            <w:gridSpan w:val="2"/>
            <w:shd w:val="clear" w:color="auto" w:fill="auto"/>
            <w:vAlign w:val="center"/>
          </w:tcPr>
          <w:p w14:paraId="1D3E971A">
            <w:pPr>
              <w:pStyle w:val="62"/>
            </w:pPr>
            <w:r>
              <w:t>6.8mg/kg</w:t>
            </w:r>
          </w:p>
        </w:tc>
      </w:tr>
      <w:tr w14:paraId="1D3E9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1C">
            <w:pPr>
              <w:pStyle w:val="62"/>
              <w:rPr>
                <w:highlight w:val="yellow"/>
              </w:rPr>
            </w:pPr>
          </w:p>
        </w:tc>
        <w:tc>
          <w:tcPr>
            <w:tcW w:w="772" w:type="pct"/>
            <w:vMerge w:val="continue"/>
            <w:shd w:val="clear" w:color="auto" w:fill="auto"/>
            <w:vAlign w:val="center"/>
          </w:tcPr>
          <w:p w14:paraId="778C10E2">
            <w:pPr>
              <w:pStyle w:val="62"/>
              <w:rPr>
                <w:highlight w:val="yellow"/>
              </w:rPr>
            </w:pPr>
          </w:p>
        </w:tc>
        <w:tc>
          <w:tcPr>
            <w:tcW w:w="809" w:type="pct"/>
            <w:vMerge w:val="continue"/>
            <w:shd w:val="clear" w:color="auto" w:fill="auto"/>
            <w:vAlign w:val="center"/>
          </w:tcPr>
          <w:p w14:paraId="1D3E971D">
            <w:pPr>
              <w:pStyle w:val="62"/>
              <w:rPr>
                <w:highlight w:val="yellow"/>
              </w:rPr>
            </w:pPr>
          </w:p>
        </w:tc>
        <w:tc>
          <w:tcPr>
            <w:tcW w:w="1023" w:type="pct"/>
            <w:shd w:val="clear" w:color="auto" w:fill="auto"/>
            <w:vAlign w:val="center"/>
          </w:tcPr>
          <w:p w14:paraId="1D3E971E">
            <w:pPr>
              <w:pStyle w:val="62"/>
            </w:pPr>
            <w:r>
              <w:t>四氯乙烯</w:t>
            </w:r>
          </w:p>
        </w:tc>
        <w:tc>
          <w:tcPr>
            <w:tcW w:w="1624" w:type="pct"/>
            <w:gridSpan w:val="2"/>
            <w:shd w:val="clear" w:color="auto" w:fill="auto"/>
            <w:vAlign w:val="center"/>
          </w:tcPr>
          <w:p w14:paraId="1D3E971F">
            <w:pPr>
              <w:pStyle w:val="62"/>
            </w:pPr>
            <w:r>
              <w:t>53mg/kg</w:t>
            </w:r>
          </w:p>
        </w:tc>
      </w:tr>
      <w:tr w14:paraId="1D3E9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21">
            <w:pPr>
              <w:pStyle w:val="62"/>
              <w:rPr>
                <w:highlight w:val="yellow"/>
              </w:rPr>
            </w:pPr>
          </w:p>
        </w:tc>
        <w:tc>
          <w:tcPr>
            <w:tcW w:w="772" w:type="pct"/>
            <w:vMerge w:val="continue"/>
            <w:shd w:val="clear" w:color="auto" w:fill="auto"/>
            <w:vAlign w:val="center"/>
          </w:tcPr>
          <w:p w14:paraId="12F28CD5">
            <w:pPr>
              <w:pStyle w:val="62"/>
              <w:rPr>
                <w:highlight w:val="yellow"/>
              </w:rPr>
            </w:pPr>
          </w:p>
        </w:tc>
        <w:tc>
          <w:tcPr>
            <w:tcW w:w="809" w:type="pct"/>
            <w:vMerge w:val="continue"/>
            <w:shd w:val="clear" w:color="auto" w:fill="auto"/>
            <w:vAlign w:val="center"/>
          </w:tcPr>
          <w:p w14:paraId="1D3E9722">
            <w:pPr>
              <w:pStyle w:val="62"/>
              <w:rPr>
                <w:highlight w:val="yellow"/>
              </w:rPr>
            </w:pPr>
          </w:p>
        </w:tc>
        <w:tc>
          <w:tcPr>
            <w:tcW w:w="1023" w:type="pct"/>
            <w:shd w:val="clear" w:color="auto" w:fill="auto"/>
            <w:vAlign w:val="center"/>
          </w:tcPr>
          <w:p w14:paraId="1D3E9723">
            <w:pPr>
              <w:pStyle w:val="62"/>
            </w:pPr>
            <w:r>
              <w:t>1,1,1-三氯乙烷</w:t>
            </w:r>
          </w:p>
        </w:tc>
        <w:tc>
          <w:tcPr>
            <w:tcW w:w="1624" w:type="pct"/>
            <w:gridSpan w:val="2"/>
            <w:shd w:val="clear" w:color="auto" w:fill="auto"/>
            <w:vAlign w:val="center"/>
          </w:tcPr>
          <w:p w14:paraId="1D3E9724">
            <w:pPr>
              <w:pStyle w:val="62"/>
            </w:pPr>
            <w:r>
              <w:t>840mg/kg</w:t>
            </w:r>
          </w:p>
        </w:tc>
      </w:tr>
      <w:tr w14:paraId="1D3E9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26">
            <w:pPr>
              <w:pStyle w:val="62"/>
              <w:rPr>
                <w:highlight w:val="yellow"/>
              </w:rPr>
            </w:pPr>
          </w:p>
        </w:tc>
        <w:tc>
          <w:tcPr>
            <w:tcW w:w="772" w:type="pct"/>
            <w:vMerge w:val="continue"/>
            <w:shd w:val="clear" w:color="auto" w:fill="auto"/>
            <w:vAlign w:val="center"/>
          </w:tcPr>
          <w:p w14:paraId="1314C843">
            <w:pPr>
              <w:pStyle w:val="62"/>
              <w:rPr>
                <w:highlight w:val="yellow"/>
              </w:rPr>
            </w:pPr>
          </w:p>
        </w:tc>
        <w:tc>
          <w:tcPr>
            <w:tcW w:w="809" w:type="pct"/>
            <w:vMerge w:val="continue"/>
            <w:shd w:val="clear" w:color="auto" w:fill="auto"/>
            <w:vAlign w:val="center"/>
          </w:tcPr>
          <w:p w14:paraId="1D3E9727">
            <w:pPr>
              <w:pStyle w:val="62"/>
              <w:rPr>
                <w:highlight w:val="yellow"/>
              </w:rPr>
            </w:pPr>
          </w:p>
        </w:tc>
        <w:tc>
          <w:tcPr>
            <w:tcW w:w="1023" w:type="pct"/>
            <w:shd w:val="clear" w:color="auto" w:fill="auto"/>
            <w:vAlign w:val="center"/>
          </w:tcPr>
          <w:p w14:paraId="1D3E9728">
            <w:pPr>
              <w:pStyle w:val="62"/>
            </w:pPr>
            <w:r>
              <w:t>1,1,2-三氯乙烷</w:t>
            </w:r>
          </w:p>
        </w:tc>
        <w:tc>
          <w:tcPr>
            <w:tcW w:w="1624" w:type="pct"/>
            <w:gridSpan w:val="2"/>
            <w:shd w:val="clear" w:color="auto" w:fill="auto"/>
            <w:vAlign w:val="center"/>
          </w:tcPr>
          <w:p w14:paraId="1D3E9729">
            <w:pPr>
              <w:pStyle w:val="62"/>
            </w:pPr>
            <w:r>
              <w:t>2.8mg/kg</w:t>
            </w:r>
          </w:p>
        </w:tc>
      </w:tr>
      <w:tr w14:paraId="1D3E9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2B">
            <w:pPr>
              <w:pStyle w:val="62"/>
              <w:rPr>
                <w:highlight w:val="yellow"/>
              </w:rPr>
            </w:pPr>
          </w:p>
        </w:tc>
        <w:tc>
          <w:tcPr>
            <w:tcW w:w="772" w:type="pct"/>
            <w:vMerge w:val="continue"/>
            <w:shd w:val="clear" w:color="auto" w:fill="auto"/>
            <w:vAlign w:val="center"/>
          </w:tcPr>
          <w:p w14:paraId="6DFAB4D3">
            <w:pPr>
              <w:pStyle w:val="62"/>
              <w:rPr>
                <w:highlight w:val="yellow"/>
              </w:rPr>
            </w:pPr>
          </w:p>
        </w:tc>
        <w:tc>
          <w:tcPr>
            <w:tcW w:w="809" w:type="pct"/>
            <w:vMerge w:val="continue"/>
            <w:shd w:val="clear" w:color="auto" w:fill="auto"/>
            <w:vAlign w:val="center"/>
          </w:tcPr>
          <w:p w14:paraId="1D3E972C">
            <w:pPr>
              <w:pStyle w:val="62"/>
              <w:rPr>
                <w:highlight w:val="yellow"/>
              </w:rPr>
            </w:pPr>
          </w:p>
        </w:tc>
        <w:tc>
          <w:tcPr>
            <w:tcW w:w="1023" w:type="pct"/>
            <w:shd w:val="clear" w:color="auto" w:fill="auto"/>
            <w:vAlign w:val="center"/>
          </w:tcPr>
          <w:p w14:paraId="1D3E972D">
            <w:pPr>
              <w:pStyle w:val="62"/>
            </w:pPr>
            <w:r>
              <w:t>三氯乙烯</w:t>
            </w:r>
          </w:p>
        </w:tc>
        <w:tc>
          <w:tcPr>
            <w:tcW w:w="1624" w:type="pct"/>
            <w:gridSpan w:val="2"/>
            <w:shd w:val="clear" w:color="auto" w:fill="auto"/>
            <w:vAlign w:val="center"/>
          </w:tcPr>
          <w:p w14:paraId="1D3E972E">
            <w:pPr>
              <w:pStyle w:val="62"/>
            </w:pPr>
            <w:r>
              <w:t>2.8mg/kg</w:t>
            </w:r>
          </w:p>
        </w:tc>
      </w:tr>
      <w:tr w14:paraId="1D3E9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30">
            <w:pPr>
              <w:pStyle w:val="62"/>
              <w:rPr>
                <w:highlight w:val="yellow"/>
              </w:rPr>
            </w:pPr>
          </w:p>
        </w:tc>
        <w:tc>
          <w:tcPr>
            <w:tcW w:w="772" w:type="pct"/>
            <w:vMerge w:val="continue"/>
            <w:shd w:val="clear" w:color="auto" w:fill="auto"/>
            <w:vAlign w:val="center"/>
          </w:tcPr>
          <w:p w14:paraId="4AA13FA9">
            <w:pPr>
              <w:pStyle w:val="62"/>
              <w:rPr>
                <w:highlight w:val="yellow"/>
              </w:rPr>
            </w:pPr>
          </w:p>
        </w:tc>
        <w:tc>
          <w:tcPr>
            <w:tcW w:w="809" w:type="pct"/>
            <w:vMerge w:val="continue"/>
            <w:shd w:val="clear" w:color="auto" w:fill="auto"/>
            <w:vAlign w:val="center"/>
          </w:tcPr>
          <w:p w14:paraId="1D3E9731">
            <w:pPr>
              <w:pStyle w:val="62"/>
              <w:rPr>
                <w:highlight w:val="yellow"/>
              </w:rPr>
            </w:pPr>
          </w:p>
        </w:tc>
        <w:tc>
          <w:tcPr>
            <w:tcW w:w="1023" w:type="pct"/>
            <w:shd w:val="clear" w:color="auto" w:fill="auto"/>
            <w:vAlign w:val="center"/>
          </w:tcPr>
          <w:p w14:paraId="1D3E9732">
            <w:pPr>
              <w:pStyle w:val="62"/>
            </w:pPr>
            <w:r>
              <w:t>1,2,3-三氯丙烷</w:t>
            </w:r>
          </w:p>
        </w:tc>
        <w:tc>
          <w:tcPr>
            <w:tcW w:w="1624" w:type="pct"/>
            <w:gridSpan w:val="2"/>
            <w:shd w:val="clear" w:color="auto" w:fill="auto"/>
            <w:vAlign w:val="center"/>
          </w:tcPr>
          <w:p w14:paraId="1D3E9733">
            <w:pPr>
              <w:pStyle w:val="62"/>
            </w:pPr>
            <w:r>
              <w:t>0.5mg/kg</w:t>
            </w:r>
          </w:p>
        </w:tc>
      </w:tr>
      <w:tr w14:paraId="1D3E9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35">
            <w:pPr>
              <w:pStyle w:val="62"/>
              <w:rPr>
                <w:highlight w:val="yellow"/>
              </w:rPr>
            </w:pPr>
          </w:p>
        </w:tc>
        <w:tc>
          <w:tcPr>
            <w:tcW w:w="772" w:type="pct"/>
            <w:vMerge w:val="continue"/>
            <w:shd w:val="clear" w:color="auto" w:fill="auto"/>
            <w:vAlign w:val="center"/>
          </w:tcPr>
          <w:p w14:paraId="23D3E12F">
            <w:pPr>
              <w:pStyle w:val="62"/>
              <w:rPr>
                <w:highlight w:val="yellow"/>
              </w:rPr>
            </w:pPr>
          </w:p>
        </w:tc>
        <w:tc>
          <w:tcPr>
            <w:tcW w:w="809" w:type="pct"/>
            <w:vMerge w:val="continue"/>
            <w:shd w:val="clear" w:color="auto" w:fill="auto"/>
            <w:vAlign w:val="center"/>
          </w:tcPr>
          <w:p w14:paraId="1D3E9736">
            <w:pPr>
              <w:pStyle w:val="62"/>
              <w:rPr>
                <w:highlight w:val="yellow"/>
              </w:rPr>
            </w:pPr>
          </w:p>
        </w:tc>
        <w:tc>
          <w:tcPr>
            <w:tcW w:w="1023" w:type="pct"/>
            <w:shd w:val="clear" w:color="auto" w:fill="auto"/>
            <w:vAlign w:val="center"/>
          </w:tcPr>
          <w:p w14:paraId="1D3E9737">
            <w:pPr>
              <w:pStyle w:val="62"/>
            </w:pPr>
            <w:r>
              <w:t>氯乙烯</w:t>
            </w:r>
          </w:p>
        </w:tc>
        <w:tc>
          <w:tcPr>
            <w:tcW w:w="1624" w:type="pct"/>
            <w:gridSpan w:val="2"/>
            <w:shd w:val="clear" w:color="auto" w:fill="auto"/>
            <w:vAlign w:val="center"/>
          </w:tcPr>
          <w:p w14:paraId="1D3E9738">
            <w:pPr>
              <w:pStyle w:val="62"/>
            </w:pPr>
            <w:r>
              <w:t>0.43mg/kg</w:t>
            </w:r>
          </w:p>
        </w:tc>
      </w:tr>
      <w:tr w14:paraId="1D3E9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3A">
            <w:pPr>
              <w:pStyle w:val="62"/>
              <w:rPr>
                <w:highlight w:val="yellow"/>
              </w:rPr>
            </w:pPr>
          </w:p>
        </w:tc>
        <w:tc>
          <w:tcPr>
            <w:tcW w:w="772" w:type="pct"/>
            <w:vMerge w:val="continue"/>
            <w:shd w:val="clear" w:color="auto" w:fill="auto"/>
            <w:vAlign w:val="center"/>
          </w:tcPr>
          <w:p w14:paraId="3C3845BC">
            <w:pPr>
              <w:pStyle w:val="62"/>
              <w:rPr>
                <w:highlight w:val="yellow"/>
              </w:rPr>
            </w:pPr>
          </w:p>
        </w:tc>
        <w:tc>
          <w:tcPr>
            <w:tcW w:w="809" w:type="pct"/>
            <w:vMerge w:val="continue"/>
            <w:shd w:val="clear" w:color="auto" w:fill="auto"/>
            <w:vAlign w:val="center"/>
          </w:tcPr>
          <w:p w14:paraId="1D3E973B">
            <w:pPr>
              <w:pStyle w:val="62"/>
              <w:rPr>
                <w:highlight w:val="yellow"/>
              </w:rPr>
            </w:pPr>
          </w:p>
        </w:tc>
        <w:tc>
          <w:tcPr>
            <w:tcW w:w="1023" w:type="pct"/>
            <w:shd w:val="clear" w:color="auto" w:fill="auto"/>
            <w:vAlign w:val="center"/>
          </w:tcPr>
          <w:p w14:paraId="1D3E973C">
            <w:pPr>
              <w:pStyle w:val="62"/>
            </w:pPr>
            <w:r>
              <w:t>苯</w:t>
            </w:r>
          </w:p>
        </w:tc>
        <w:tc>
          <w:tcPr>
            <w:tcW w:w="1624" w:type="pct"/>
            <w:gridSpan w:val="2"/>
            <w:shd w:val="clear" w:color="auto" w:fill="auto"/>
            <w:vAlign w:val="center"/>
          </w:tcPr>
          <w:p w14:paraId="1D3E973D">
            <w:pPr>
              <w:pStyle w:val="62"/>
            </w:pPr>
            <w:r>
              <w:t>4mg/kg</w:t>
            </w:r>
          </w:p>
        </w:tc>
      </w:tr>
      <w:tr w14:paraId="1D3E9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3F">
            <w:pPr>
              <w:pStyle w:val="62"/>
              <w:rPr>
                <w:highlight w:val="yellow"/>
              </w:rPr>
            </w:pPr>
          </w:p>
        </w:tc>
        <w:tc>
          <w:tcPr>
            <w:tcW w:w="772" w:type="pct"/>
            <w:vMerge w:val="continue"/>
            <w:shd w:val="clear" w:color="auto" w:fill="auto"/>
            <w:vAlign w:val="center"/>
          </w:tcPr>
          <w:p w14:paraId="1C0D9FC7">
            <w:pPr>
              <w:pStyle w:val="62"/>
              <w:rPr>
                <w:highlight w:val="yellow"/>
              </w:rPr>
            </w:pPr>
          </w:p>
        </w:tc>
        <w:tc>
          <w:tcPr>
            <w:tcW w:w="809" w:type="pct"/>
            <w:vMerge w:val="continue"/>
            <w:shd w:val="clear" w:color="auto" w:fill="auto"/>
            <w:vAlign w:val="center"/>
          </w:tcPr>
          <w:p w14:paraId="1D3E9740">
            <w:pPr>
              <w:pStyle w:val="62"/>
              <w:rPr>
                <w:highlight w:val="yellow"/>
              </w:rPr>
            </w:pPr>
          </w:p>
        </w:tc>
        <w:tc>
          <w:tcPr>
            <w:tcW w:w="1023" w:type="pct"/>
            <w:shd w:val="clear" w:color="auto" w:fill="auto"/>
            <w:vAlign w:val="center"/>
          </w:tcPr>
          <w:p w14:paraId="1D3E9741">
            <w:pPr>
              <w:pStyle w:val="62"/>
            </w:pPr>
            <w:r>
              <w:t>氯苯</w:t>
            </w:r>
          </w:p>
        </w:tc>
        <w:tc>
          <w:tcPr>
            <w:tcW w:w="1624" w:type="pct"/>
            <w:gridSpan w:val="2"/>
            <w:shd w:val="clear" w:color="auto" w:fill="auto"/>
            <w:vAlign w:val="center"/>
          </w:tcPr>
          <w:p w14:paraId="1D3E9742">
            <w:pPr>
              <w:pStyle w:val="62"/>
            </w:pPr>
            <w:r>
              <w:t>270mg/kg</w:t>
            </w:r>
          </w:p>
        </w:tc>
      </w:tr>
      <w:tr w14:paraId="1D3E9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44">
            <w:pPr>
              <w:pStyle w:val="62"/>
              <w:rPr>
                <w:highlight w:val="yellow"/>
              </w:rPr>
            </w:pPr>
          </w:p>
        </w:tc>
        <w:tc>
          <w:tcPr>
            <w:tcW w:w="772" w:type="pct"/>
            <w:vMerge w:val="continue"/>
            <w:shd w:val="clear" w:color="auto" w:fill="auto"/>
            <w:vAlign w:val="center"/>
          </w:tcPr>
          <w:p w14:paraId="67E9AC1E">
            <w:pPr>
              <w:pStyle w:val="62"/>
              <w:rPr>
                <w:highlight w:val="yellow"/>
              </w:rPr>
            </w:pPr>
          </w:p>
        </w:tc>
        <w:tc>
          <w:tcPr>
            <w:tcW w:w="809" w:type="pct"/>
            <w:vMerge w:val="continue"/>
            <w:shd w:val="clear" w:color="auto" w:fill="auto"/>
            <w:vAlign w:val="center"/>
          </w:tcPr>
          <w:p w14:paraId="1D3E9745">
            <w:pPr>
              <w:pStyle w:val="62"/>
              <w:rPr>
                <w:highlight w:val="yellow"/>
              </w:rPr>
            </w:pPr>
          </w:p>
        </w:tc>
        <w:tc>
          <w:tcPr>
            <w:tcW w:w="1023" w:type="pct"/>
            <w:shd w:val="clear" w:color="auto" w:fill="auto"/>
            <w:vAlign w:val="center"/>
          </w:tcPr>
          <w:p w14:paraId="1D3E9746">
            <w:pPr>
              <w:pStyle w:val="62"/>
            </w:pPr>
            <w:r>
              <w:t>1,2-二氯苯</w:t>
            </w:r>
          </w:p>
        </w:tc>
        <w:tc>
          <w:tcPr>
            <w:tcW w:w="1624" w:type="pct"/>
            <w:gridSpan w:val="2"/>
            <w:shd w:val="clear" w:color="auto" w:fill="auto"/>
            <w:vAlign w:val="center"/>
          </w:tcPr>
          <w:p w14:paraId="1D3E9747">
            <w:pPr>
              <w:pStyle w:val="62"/>
            </w:pPr>
            <w:r>
              <w:t>560mg/kg</w:t>
            </w:r>
          </w:p>
        </w:tc>
      </w:tr>
      <w:tr w14:paraId="1D3E9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49">
            <w:pPr>
              <w:pStyle w:val="62"/>
              <w:rPr>
                <w:highlight w:val="yellow"/>
              </w:rPr>
            </w:pPr>
          </w:p>
        </w:tc>
        <w:tc>
          <w:tcPr>
            <w:tcW w:w="772" w:type="pct"/>
            <w:vMerge w:val="continue"/>
            <w:shd w:val="clear" w:color="auto" w:fill="auto"/>
            <w:vAlign w:val="center"/>
          </w:tcPr>
          <w:p w14:paraId="376F1E42">
            <w:pPr>
              <w:pStyle w:val="62"/>
              <w:rPr>
                <w:highlight w:val="yellow"/>
              </w:rPr>
            </w:pPr>
          </w:p>
        </w:tc>
        <w:tc>
          <w:tcPr>
            <w:tcW w:w="809" w:type="pct"/>
            <w:vMerge w:val="continue"/>
            <w:shd w:val="clear" w:color="auto" w:fill="auto"/>
            <w:vAlign w:val="center"/>
          </w:tcPr>
          <w:p w14:paraId="1D3E974A">
            <w:pPr>
              <w:pStyle w:val="62"/>
              <w:rPr>
                <w:highlight w:val="yellow"/>
              </w:rPr>
            </w:pPr>
          </w:p>
        </w:tc>
        <w:tc>
          <w:tcPr>
            <w:tcW w:w="1023" w:type="pct"/>
            <w:shd w:val="clear" w:color="auto" w:fill="auto"/>
            <w:vAlign w:val="center"/>
          </w:tcPr>
          <w:p w14:paraId="1D3E974B">
            <w:pPr>
              <w:pStyle w:val="62"/>
            </w:pPr>
            <w:r>
              <w:t>1,4-二氯苯</w:t>
            </w:r>
          </w:p>
        </w:tc>
        <w:tc>
          <w:tcPr>
            <w:tcW w:w="1624" w:type="pct"/>
            <w:gridSpan w:val="2"/>
            <w:shd w:val="clear" w:color="auto" w:fill="auto"/>
            <w:vAlign w:val="center"/>
          </w:tcPr>
          <w:p w14:paraId="1D3E974C">
            <w:pPr>
              <w:pStyle w:val="62"/>
            </w:pPr>
            <w:r>
              <w:t>20mg/kg</w:t>
            </w:r>
          </w:p>
        </w:tc>
      </w:tr>
      <w:tr w14:paraId="1D3E9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4E">
            <w:pPr>
              <w:pStyle w:val="62"/>
              <w:rPr>
                <w:highlight w:val="yellow"/>
              </w:rPr>
            </w:pPr>
          </w:p>
        </w:tc>
        <w:tc>
          <w:tcPr>
            <w:tcW w:w="772" w:type="pct"/>
            <w:vMerge w:val="continue"/>
            <w:shd w:val="clear" w:color="auto" w:fill="auto"/>
            <w:vAlign w:val="center"/>
          </w:tcPr>
          <w:p w14:paraId="489652EF">
            <w:pPr>
              <w:pStyle w:val="62"/>
              <w:rPr>
                <w:highlight w:val="yellow"/>
              </w:rPr>
            </w:pPr>
          </w:p>
        </w:tc>
        <w:tc>
          <w:tcPr>
            <w:tcW w:w="809" w:type="pct"/>
            <w:vMerge w:val="continue"/>
            <w:shd w:val="clear" w:color="auto" w:fill="auto"/>
            <w:vAlign w:val="center"/>
          </w:tcPr>
          <w:p w14:paraId="1D3E974F">
            <w:pPr>
              <w:pStyle w:val="62"/>
              <w:rPr>
                <w:highlight w:val="yellow"/>
              </w:rPr>
            </w:pPr>
          </w:p>
        </w:tc>
        <w:tc>
          <w:tcPr>
            <w:tcW w:w="1023" w:type="pct"/>
            <w:shd w:val="clear" w:color="auto" w:fill="auto"/>
            <w:vAlign w:val="center"/>
          </w:tcPr>
          <w:p w14:paraId="1D3E9750">
            <w:pPr>
              <w:pStyle w:val="62"/>
            </w:pPr>
            <w:r>
              <w:t>乙苯</w:t>
            </w:r>
          </w:p>
        </w:tc>
        <w:tc>
          <w:tcPr>
            <w:tcW w:w="1624" w:type="pct"/>
            <w:gridSpan w:val="2"/>
            <w:shd w:val="clear" w:color="auto" w:fill="auto"/>
            <w:vAlign w:val="center"/>
          </w:tcPr>
          <w:p w14:paraId="1D3E9751">
            <w:pPr>
              <w:pStyle w:val="62"/>
            </w:pPr>
            <w:r>
              <w:t>28mg/kg</w:t>
            </w:r>
          </w:p>
        </w:tc>
      </w:tr>
      <w:tr w14:paraId="1D3E97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53">
            <w:pPr>
              <w:pStyle w:val="62"/>
              <w:rPr>
                <w:highlight w:val="yellow"/>
              </w:rPr>
            </w:pPr>
          </w:p>
        </w:tc>
        <w:tc>
          <w:tcPr>
            <w:tcW w:w="772" w:type="pct"/>
            <w:vMerge w:val="continue"/>
            <w:shd w:val="clear" w:color="auto" w:fill="auto"/>
            <w:vAlign w:val="center"/>
          </w:tcPr>
          <w:p w14:paraId="09FFD82D">
            <w:pPr>
              <w:pStyle w:val="62"/>
              <w:rPr>
                <w:highlight w:val="yellow"/>
              </w:rPr>
            </w:pPr>
          </w:p>
        </w:tc>
        <w:tc>
          <w:tcPr>
            <w:tcW w:w="809" w:type="pct"/>
            <w:vMerge w:val="continue"/>
            <w:shd w:val="clear" w:color="auto" w:fill="auto"/>
            <w:vAlign w:val="center"/>
          </w:tcPr>
          <w:p w14:paraId="1D3E9754">
            <w:pPr>
              <w:pStyle w:val="62"/>
              <w:rPr>
                <w:highlight w:val="yellow"/>
              </w:rPr>
            </w:pPr>
          </w:p>
        </w:tc>
        <w:tc>
          <w:tcPr>
            <w:tcW w:w="1023" w:type="pct"/>
            <w:shd w:val="clear" w:color="auto" w:fill="auto"/>
            <w:vAlign w:val="center"/>
          </w:tcPr>
          <w:p w14:paraId="1D3E9755">
            <w:pPr>
              <w:pStyle w:val="62"/>
            </w:pPr>
            <w:r>
              <w:t>苯乙烯</w:t>
            </w:r>
          </w:p>
        </w:tc>
        <w:tc>
          <w:tcPr>
            <w:tcW w:w="1624" w:type="pct"/>
            <w:gridSpan w:val="2"/>
            <w:shd w:val="clear" w:color="auto" w:fill="auto"/>
            <w:vAlign w:val="center"/>
          </w:tcPr>
          <w:p w14:paraId="1D3E9756">
            <w:pPr>
              <w:pStyle w:val="62"/>
            </w:pPr>
            <w:r>
              <w:t>1290mg/kg</w:t>
            </w:r>
          </w:p>
        </w:tc>
      </w:tr>
      <w:tr w14:paraId="1D3E9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58">
            <w:pPr>
              <w:pStyle w:val="62"/>
              <w:rPr>
                <w:highlight w:val="yellow"/>
              </w:rPr>
            </w:pPr>
          </w:p>
        </w:tc>
        <w:tc>
          <w:tcPr>
            <w:tcW w:w="772" w:type="pct"/>
            <w:vMerge w:val="continue"/>
            <w:shd w:val="clear" w:color="auto" w:fill="auto"/>
            <w:vAlign w:val="center"/>
          </w:tcPr>
          <w:p w14:paraId="56862B04">
            <w:pPr>
              <w:pStyle w:val="62"/>
              <w:rPr>
                <w:highlight w:val="yellow"/>
              </w:rPr>
            </w:pPr>
          </w:p>
        </w:tc>
        <w:tc>
          <w:tcPr>
            <w:tcW w:w="809" w:type="pct"/>
            <w:vMerge w:val="continue"/>
            <w:shd w:val="clear" w:color="auto" w:fill="auto"/>
            <w:vAlign w:val="center"/>
          </w:tcPr>
          <w:p w14:paraId="1D3E9759">
            <w:pPr>
              <w:pStyle w:val="62"/>
              <w:rPr>
                <w:highlight w:val="yellow"/>
              </w:rPr>
            </w:pPr>
          </w:p>
        </w:tc>
        <w:tc>
          <w:tcPr>
            <w:tcW w:w="1023" w:type="pct"/>
            <w:shd w:val="clear" w:color="auto" w:fill="auto"/>
            <w:vAlign w:val="center"/>
          </w:tcPr>
          <w:p w14:paraId="1D3E975A">
            <w:pPr>
              <w:pStyle w:val="62"/>
            </w:pPr>
            <w:r>
              <w:t>甲苯</w:t>
            </w:r>
          </w:p>
        </w:tc>
        <w:tc>
          <w:tcPr>
            <w:tcW w:w="1624" w:type="pct"/>
            <w:gridSpan w:val="2"/>
            <w:shd w:val="clear" w:color="auto" w:fill="auto"/>
            <w:vAlign w:val="center"/>
          </w:tcPr>
          <w:p w14:paraId="1D3E975B">
            <w:pPr>
              <w:pStyle w:val="62"/>
            </w:pPr>
            <w:r>
              <w:t>1200mg/kg</w:t>
            </w:r>
          </w:p>
        </w:tc>
      </w:tr>
      <w:tr w14:paraId="1D3E9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5D">
            <w:pPr>
              <w:pStyle w:val="62"/>
              <w:rPr>
                <w:highlight w:val="yellow"/>
              </w:rPr>
            </w:pPr>
          </w:p>
        </w:tc>
        <w:tc>
          <w:tcPr>
            <w:tcW w:w="772" w:type="pct"/>
            <w:vMerge w:val="continue"/>
            <w:shd w:val="clear" w:color="auto" w:fill="auto"/>
            <w:vAlign w:val="center"/>
          </w:tcPr>
          <w:p w14:paraId="5315443A">
            <w:pPr>
              <w:pStyle w:val="62"/>
              <w:rPr>
                <w:highlight w:val="yellow"/>
              </w:rPr>
            </w:pPr>
          </w:p>
        </w:tc>
        <w:tc>
          <w:tcPr>
            <w:tcW w:w="809" w:type="pct"/>
            <w:vMerge w:val="continue"/>
            <w:shd w:val="clear" w:color="auto" w:fill="auto"/>
            <w:vAlign w:val="center"/>
          </w:tcPr>
          <w:p w14:paraId="1D3E975E">
            <w:pPr>
              <w:pStyle w:val="62"/>
              <w:rPr>
                <w:highlight w:val="yellow"/>
              </w:rPr>
            </w:pPr>
          </w:p>
        </w:tc>
        <w:tc>
          <w:tcPr>
            <w:tcW w:w="1023" w:type="pct"/>
            <w:shd w:val="clear" w:color="auto" w:fill="auto"/>
            <w:vAlign w:val="center"/>
          </w:tcPr>
          <w:p w14:paraId="1D3E975F">
            <w:pPr>
              <w:pStyle w:val="62"/>
            </w:pPr>
            <w:r>
              <w:t>间二甲苯+对二甲苯</w:t>
            </w:r>
          </w:p>
        </w:tc>
        <w:tc>
          <w:tcPr>
            <w:tcW w:w="1624" w:type="pct"/>
            <w:gridSpan w:val="2"/>
            <w:shd w:val="clear" w:color="auto" w:fill="auto"/>
            <w:vAlign w:val="center"/>
          </w:tcPr>
          <w:p w14:paraId="1D3E9760">
            <w:pPr>
              <w:pStyle w:val="62"/>
            </w:pPr>
            <w:r>
              <w:t>570mg/kg</w:t>
            </w:r>
          </w:p>
        </w:tc>
      </w:tr>
      <w:tr w14:paraId="1D3E9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62">
            <w:pPr>
              <w:pStyle w:val="62"/>
              <w:rPr>
                <w:highlight w:val="yellow"/>
              </w:rPr>
            </w:pPr>
          </w:p>
        </w:tc>
        <w:tc>
          <w:tcPr>
            <w:tcW w:w="772" w:type="pct"/>
            <w:vMerge w:val="continue"/>
            <w:shd w:val="clear" w:color="auto" w:fill="auto"/>
            <w:vAlign w:val="center"/>
          </w:tcPr>
          <w:p w14:paraId="30D9D5DB">
            <w:pPr>
              <w:pStyle w:val="62"/>
              <w:rPr>
                <w:highlight w:val="yellow"/>
              </w:rPr>
            </w:pPr>
          </w:p>
        </w:tc>
        <w:tc>
          <w:tcPr>
            <w:tcW w:w="809" w:type="pct"/>
            <w:vMerge w:val="continue"/>
            <w:shd w:val="clear" w:color="auto" w:fill="auto"/>
            <w:vAlign w:val="center"/>
          </w:tcPr>
          <w:p w14:paraId="1D3E9763">
            <w:pPr>
              <w:pStyle w:val="62"/>
              <w:rPr>
                <w:highlight w:val="yellow"/>
              </w:rPr>
            </w:pPr>
          </w:p>
        </w:tc>
        <w:tc>
          <w:tcPr>
            <w:tcW w:w="1023" w:type="pct"/>
            <w:shd w:val="clear" w:color="auto" w:fill="auto"/>
            <w:vAlign w:val="center"/>
          </w:tcPr>
          <w:p w14:paraId="1D3E9764">
            <w:pPr>
              <w:pStyle w:val="62"/>
            </w:pPr>
            <w:r>
              <w:t>邻二甲苯</w:t>
            </w:r>
          </w:p>
        </w:tc>
        <w:tc>
          <w:tcPr>
            <w:tcW w:w="1624" w:type="pct"/>
            <w:gridSpan w:val="2"/>
            <w:shd w:val="clear" w:color="auto" w:fill="auto"/>
            <w:vAlign w:val="center"/>
          </w:tcPr>
          <w:p w14:paraId="1D3E9765">
            <w:pPr>
              <w:pStyle w:val="62"/>
            </w:pPr>
            <w:r>
              <w:t>640mg/kg</w:t>
            </w:r>
          </w:p>
        </w:tc>
      </w:tr>
      <w:tr w14:paraId="1D3E9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67">
            <w:pPr>
              <w:pStyle w:val="62"/>
              <w:rPr>
                <w:highlight w:val="yellow"/>
              </w:rPr>
            </w:pPr>
          </w:p>
        </w:tc>
        <w:tc>
          <w:tcPr>
            <w:tcW w:w="772" w:type="pct"/>
            <w:vMerge w:val="continue"/>
            <w:shd w:val="clear" w:color="auto" w:fill="auto"/>
            <w:vAlign w:val="center"/>
          </w:tcPr>
          <w:p w14:paraId="7D290E4B">
            <w:pPr>
              <w:pStyle w:val="62"/>
              <w:rPr>
                <w:highlight w:val="yellow"/>
              </w:rPr>
            </w:pPr>
          </w:p>
        </w:tc>
        <w:tc>
          <w:tcPr>
            <w:tcW w:w="809" w:type="pct"/>
            <w:vMerge w:val="continue"/>
            <w:shd w:val="clear" w:color="auto" w:fill="auto"/>
            <w:vAlign w:val="center"/>
          </w:tcPr>
          <w:p w14:paraId="1D3E9768">
            <w:pPr>
              <w:pStyle w:val="62"/>
              <w:rPr>
                <w:highlight w:val="yellow"/>
              </w:rPr>
            </w:pPr>
          </w:p>
        </w:tc>
        <w:tc>
          <w:tcPr>
            <w:tcW w:w="1023" w:type="pct"/>
            <w:shd w:val="clear" w:color="auto" w:fill="auto"/>
            <w:vAlign w:val="center"/>
          </w:tcPr>
          <w:p w14:paraId="1D3E9769">
            <w:pPr>
              <w:pStyle w:val="62"/>
            </w:pPr>
            <w:r>
              <w:t>硝基苯</w:t>
            </w:r>
          </w:p>
        </w:tc>
        <w:tc>
          <w:tcPr>
            <w:tcW w:w="1624" w:type="pct"/>
            <w:gridSpan w:val="2"/>
            <w:shd w:val="clear" w:color="auto" w:fill="auto"/>
            <w:vAlign w:val="center"/>
          </w:tcPr>
          <w:p w14:paraId="1D3E976A">
            <w:pPr>
              <w:pStyle w:val="62"/>
            </w:pPr>
            <w:r>
              <w:t>76mg/kg</w:t>
            </w:r>
          </w:p>
        </w:tc>
      </w:tr>
      <w:tr w14:paraId="1D3E9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6C">
            <w:pPr>
              <w:pStyle w:val="62"/>
              <w:rPr>
                <w:highlight w:val="yellow"/>
              </w:rPr>
            </w:pPr>
          </w:p>
        </w:tc>
        <w:tc>
          <w:tcPr>
            <w:tcW w:w="772" w:type="pct"/>
            <w:vMerge w:val="continue"/>
            <w:shd w:val="clear" w:color="auto" w:fill="auto"/>
            <w:vAlign w:val="center"/>
          </w:tcPr>
          <w:p w14:paraId="273A8533">
            <w:pPr>
              <w:pStyle w:val="62"/>
              <w:rPr>
                <w:highlight w:val="yellow"/>
              </w:rPr>
            </w:pPr>
          </w:p>
        </w:tc>
        <w:tc>
          <w:tcPr>
            <w:tcW w:w="809" w:type="pct"/>
            <w:vMerge w:val="continue"/>
            <w:shd w:val="clear" w:color="auto" w:fill="auto"/>
            <w:vAlign w:val="center"/>
          </w:tcPr>
          <w:p w14:paraId="1D3E976D">
            <w:pPr>
              <w:pStyle w:val="62"/>
              <w:rPr>
                <w:highlight w:val="yellow"/>
              </w:rPr>
            </w:pPr>
          </w:p>
        </w:tc>
        <w:tc>
          <w:tcPr>
            <w:tcW w:w="1023" w:type="pct"/>
            <w:shd w:val="clear" w:color="auto" w:fill="auto"/>
            <w:vAlign w:val="center"/>
          </w:tcPr>
          <w:p w14:paraId="1D3E976E">
            <w:pPr>
              <w:pStyle w:val="62"/>
            </w:pPr>
            <w:r>
              <w:t>苯胺</w:t>
            </w:r>
          </w:p>
        </w:tc>
        <w:tc>
          <w:tcPr>
            <w:tcW w:w="1624" w:type="pct"/>
            <w:gridSpan w:val="2"/>
            <w:shd w:val="clear" w:color="auto" w:fill="auto"/>
            <w:vAlign w:val="center"/>
          </w:tcPr>
          <w:p w14:paraId="1D3E976F">
            <w:pPr>
              <w:pStyle w:val="62"/>
            </w:pPr>
            <w:r>
              <w:t>260mg/kg</w:t>
            </w:r>
          </w:p>
        </w:tc>
      </w:tr>
      <w:tr w14:paraId="1D3E9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71">
            <w:pPr>
              <w:pStyle w:val="62"/>
              <w:rPr>
                <w:highlight w:val="yellow"/>
              </w:rPr>
            </w:pPr>
          </w:p>
        </w:tc>
        <w:tc>
          <w:tcPr>
            <w:tcW w:w="772" w:type="pct"/>
            <w:vMerge w:val="continue"/>
            <w:shd w:val="clear" w:color="auto" w:fill="auto"/>
            <w:vAlign w:val="center"/>
          </w:tcPr>
          <w:p w14:paraId="1A24ABDE">
            <w:pPr>
              <w:pStyle w:val="62"/>
              <w:rPr>
                <w:highlight w:val="yellow"/>
              </w:rPr>
            </w:pPr>
          </w:p>
        </w:tc>
        <w:tc>
          <w:tcPr>
            <w:tcW w:w="809" w:type="pct"/>
            <w:vMerge w:val="continue"/>
            <w:shd w:val="clear" w:color="auto" w:fill="auto"/>
            <w:vAlign w:val="center"/>
          </w:tcPr>
          <w:p w14:paraId="1D3E9772">
            <w:pPr>
              <w:pStyle w:val="62"/>
              <w:rPr>
                <w:highlight w:val="yellow"/>
              </w:rPr>
            </w:pPr>
          </w:p>
        </w:tc>
        <w:tc>
          <w:tcPr>
            <w:tcW w:w="1023" w:type="pct"/>
            <w:shd w:val="clear" w:color="auto" w:fill="auto"/>
            <w:vAlign w:val="center"/>
          </w:tcPr>
          <w:p w14:paraId="1D3E9773">
            <w:pPr>
              <w:pStyle w:val="62"/>
            </w:pPr>
            <w:r>
              <w:t>2-氯酚</w:t>
            </w:r>
          </w:p>
        </w:tc>
        <w:tc>
          <w:tcPr>
            <w:tcW w:w="1624" w:type="pct"/>
            <w:gridSpan w:val="2"/>
            <w:shd w:val="clear" w:color="auto" w:fill="auto"/>
            <w:vAlign w:val="center"/>
          </w:tcPr>
          <w:p w14:paraId="1D3E9774">
            <w:pPr>
              <w:pStyle w:val="62"/>
            </w:pPr>
            <w:r>
              <w:t>2256mg/kg</w:t>
            </w:r>
          </w:p>
        </w:tc>
      </w:tr>
      <w:tr w14:paraId="1D3E9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76">
            <w:pPr>
              <w:pStyle w:val="62"/>
              <w:rPr>
                <w:highlight w:val="yellow"/>
              </w:rPr>
            </w:pPr>
          </w:p>
        </w:tc>
        <w:tc>
          <w:tcPr>
            <w:tcW w:w="772" w:type="pct"/>
            <w:vMerge w:val="continue"/>
            <w:shd w:val="clear" w:color="auto" w:fill="auto"/>
            <w:vAlign w:val="center"/>
          </w:tcPr>
          <w:p w14:paraId="168AF78B">
            <w:pPr>
              <w:pStyle w:val="62"/>
              <w:rPr>
                <w:highlight w:val="yellow"/>
              </w:rPr>
            </w:pPr>
          </w:p>
        </w:tc>
        <w:tc>
          <w:tcPr>
            <w:tcW w:w="809" w:type="pct"/>
            <w:vMerge w:val="continue"/>
            <w:shd w:val="clear" w:color="auto" w:fill="auto"/>
            <w:vAlign w:val="center"/>
          </w:tcPr>
          <w:p w14:paraId="1D3E9777">
            <w:pPr>
              <w:pStyle w:val="62"/>
              <w:rPr>
                <w:highlight w:val="yellow"/>
              </w:rPr>
            </w:pPr>
          </w:p>
        </w:tc>
        <w:tc>
          <w:tcPr>
            <w:tcW w:w="1023" w:type="pct"/>
            <w:shd w:val="clear" w:color="auto" w:fill="auto"/>
            <w:vAlign w:val="center"/>
          </w:tcPr>
          <w:p w14:paraId="1D3E9778">
            <w:pPr>
              <w:pStyle w:val="62"/>
            </w:pPr>
            <w:r>
              <w:t>苯并[a]蒽</w:t>
            </w:r>
          </w:p>
        </w:tc>
        <w:tc>
          <w:tcPr>
            <w:tcW w:w="1624" w:type="pct"/>
            <w:gridSpan w:val="2"/>
            <w:shd w:val="clear" w:color="auto" w:fill="auto"/>
            <w:vAlign w:val="center"/>
          </w:tcPr>
          <w:p w14:paraId="1D3E9779">
            <w:pPr>
              <w:pStyle w:val="62"/>
            </w:pPr>
            <w:r>
              <w:t>15mg/kg</w:t>
            </w:r>
          </w:p>
        </w:tc>
      </w:tr>
      <w:tr w14:paraId="1D3E9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7B">
            <w:pPr>
              <w:pStyle w:val="62"/>
              <w:rPr>
                <w:highlight w:val="yellow"/>
              </w:rPr>
            </w:pPr>
          </w:p>
        </w:tc>
        <w:tc>
          <w:tcPr>
            <w:tcW w:w="772" w:type="pct"/>
            <w:vMerge w:val="continue"/>
            <w:shd w:val="clear" w:color="auto" w:fill="auto"/>
            <w:vAlign w:val="center"/>
          </w:tcPr>
          <w:p w14:paraId="6EB2E801">
            <w:pPr>
              <w:pStyle w:val="62"/>
              <w:rPr>
                <w:highlight w:val="yellow"/>
              </w:rPr>
            </w:pPr>
          </w:p>
        </w:tc>
        <w:tc>
          <w:tcPr>
            <w:tcW w:w="809" w:type="pct"/>
            <w:vMerge w:val="continue"/>
            <w:shd w:val="clear" w:color="auto" w:fill="auto"/>
            <w:vAlign w:val="center"/>
          </w:tcPr>
          <w:p w14:paraId="1D3E977C">
            <w:pPr>
              <w:pStyle w:val="62"/>
              <w:rPr>
                <w:highlight w:val="yellow"/>
              </w:rPr>
            </w:pPr>
          </w:p>
        </w:tc>
        <w:tc>
          <w:tcPr>
            <w:tcW w:w="1023" w:type="pct"/>
            <w:shd w:val="clear" w:color="auto" w:fill="auto"/>
            <w:vAlign w:val="center"/>
          </w:tcPr>
          <w:p w14:paraId="1D3E977D">
            <w:pPr>
              <w:pStyle w:val="62"/>
            </w:pPr>
            <w:r>
              <w:t>苯并[a]芘</w:t>
            </w:r>
          </w:p>
        </w:tc>
        <w:tc>
          <w:tcPr>
            <w:tcW w:w="1624" w:type="pct"/>
            <w:gridSpan w:val="2"/>
            <w:shd w:val="clear" w:color="auto" w:fill="auto"/>
            <w:vAlign w:val="center"/>
          </w:tcPr>
          <w:p w14:paraId="1D3E977E">
            <w:pPr>
              <w:pStyle w:val="62"/>
            </w:pPr>
            <w:r>
              <w:t>1.5mg/kg</w:t>
            </w:r>
          </w:p>
        </w:tc>
      </w:tr>
      <w:tr w14:paraId="1D3E9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80">
            <w:pPr>
              <w:pStyle w:val="62"/>
              <w:rPr>
                <w:highlight w:val="yellow"/>
              </w:rPr>
            </w:pPr>
          </w:p>
        </w:tc>
        <w:tc>
          <w:tcPr>
            <w:tcW w:w="772" w:type="pct"/>
            <w:vMerge w:val="continue"/>
            <w:shd w:val="clear" w:color="auto" w:fill="auto"/>
            <w:vAlign w:val="center"/>
          </w:tcPr>
          <w:p w14:paraId="65078672">
            <w:pPr>
              <w:pStyle w:val="62"/>
              <w:rPr>
                <w:highlight w:val="yellow"/>
              </w:rPr>
            </w:pPr>
          </w:p>
        </w:tc>
        <w:tc>
          <w:tcPr>
            <w:tcW w:w="809" w:type="pct"/>
            <w:vMerge w:val="continue"/>
            <w:shd w:val="clear" w:color="auto" w:fill="auto"/>
            <w:vAlign w:val="center"/>
          </w:tcPr>
          <w:p w14:paraId="1D3E9781">
            <w:pPr>
              <w:pStyle w:val="62"/>
              <w:rPr>
                <w:highlight w:val="yellow"/>
              </w:rPr>
            </w:pPr>
          </w:p>
        </w:tc>
        <w:tc>
          <w:tcPr>
            <w:tcW w:w="1023" w:type="pct"/>
            <w:shd w:val="clear" w:color="auto" w:fill="auto"/>
            <w:vAlign w:val="center"/>
          </w:tcPr>
          <w:p w14:paraId="1D3E9782">
            <w:pPr>
              <w:pStyle w:val="62"/>
            </w:pPr>
            <w:r>
              <w:t>苯并[b]荧蒽</w:t>
            </w:r>
          </w:p>
        </w:tc>
        <w:tc>
          <w:tcPr>
            <w:tcW w:w="1624" w:type="pct"/>
            <w:gridSpan w:val="2"/>
            <w:shd w:val="clear" w:color="auto" w:fill="auto"/>
            <w:vAlign w:val="center"/>
          </w:tcPr>
          <w:p w14:paraId="1D3E9783">
            <w:pPr>
              <w:pStyle w:val="62"/>
            </w:pPr>
            <w:r>
              <w:t>15mg/kg</w:t>
            </w:r>
          </w:p>
        </w:tc>
      </w:tr>
      <w:tr w14:paraId="1D3E9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85">
            <w:pPr>
              <w:pStyle w:val="62"/>
              <w:rPr>
                <w:highlight w:val="yellow"/>
              </w:rPr>
            </w:pPr>
          </w:p>
        </w:tc>
        <w:tc>
          <w:tcPr>
            <w:tcW w:w="772" w:type="pct"/>
            <w:vMerge w:val="continue"/>
            <w:shd w:val="clear" w:color="auto" w:fill="auto"/>
            <w:vAlign w:val="center"/>
          </w:tcPr>
          <w:p w14:paraId="00374D05">
            <w:pPr>
              <w:pStyle w:val="62"/>
              <w:rPr>
                <w:highlight w:val="yellow"/>
              </w:rPr>
            </w:pPr>
          </w:p>
        </w:tc>
        <w:tc>
          <w:tcPr>
            <w:tcW w:w="809" w:type="pct"/>
            <w:vMerge w:val="continue"/>
            <w:shd w:val="clear" w:color="auto" w:fill="auto"/>
            <w:vAlign w:val="center"/>
          </w:tcPr>
          <w:p w14:paraId="1D3E9786">
            <w:pPr>
              <w:pStyle w:val="62"/>
              <w:rPr>
                <w:highlight w:val="yellow"/>
              </w:rPr>
            </w:pPr>
          </w:p>
        </w:tc>
        <w:tc>
          <w:tcPr>
            <w:tcW w:w="1023" w:type="pct"/>
            <w:shd w:val="clear" w:color="auto" w:fill="auto"/>
            <w:vAlign w:val="center"/>
          </w:tcPr>
          <w:p w14:paraId="1D3E9787">
            <w:pPr>
              <w:pStyle w:val="62"/>
            </w:pPr>
            <w:r>
              <w:t>苯并[k]荧蒽</w:t>
            </w:r>
          </w:p>
        </w:tc>
        <w:tc>
          <w:tcPr>
            <w:tcW w:w="1624" w:type="pct"/>
            <w:gridSpan w:val="2"/>
            <w:shd w:val="clear" w:color="auto" w:fill="auto"/>
            <w:vAlign w:val="center"/>
          </w:tcPr>
          <w:p w14:paraId="1D3E9788">
            <w:pPr>
              <w:pStyle w:val="62"/>
            </w:pPr>
            <w:r>
              <w:t>151mg/kg</w:t>
            </w:r>
          </w:p>
        </w:tc>
      </w:tr>
      <w:tr w14:paraId="1D3E9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8A">
            <w:pPr>
              <w:pStyle w:val="62"/>
              <w:rPr>
                <w:highlight w:val="yellow"/>
              </w:rPr>
            </w:pPr>
          </w:p>
        </w:tc>
        <w:tc>
          <w:tcPr>
            <w:tcW w:w="772" w:type="pct"/>
            <w:vMerge w:val="continue"/>
            <w:shd w:val="clear" w:color="auto" w:fill="auto"/>
            <w:vAlign w:val="center"/>
          </w:tcPr>
          <w:p w14:paraId="08867879">
            <w:pPr>
              <w:pStyle w:val="62"/>
              <w:rPr>
                <w:highlight w:val="yellow"/>
              </w:rPr>
            </w:pPr>
          </w:p>
        </w:tc>
        <w:tc>
          <w:tcPr>
            <w:tcW w:w="809" w:type="pct"/>
            <w:vMerge w:val="continue"/>
            <w:shd w:val="clear" w:color="auto" w:fill="auto"/>
            <w:vAlign w:val="center"/>
          </w:tcPr>
          <w:p w14:paraId="1D3E978B">
            <w:pPr>
              <w:pStyle w:val="62"/>
              <w:rPr>
                <w:highlight w:val="yellow"/>
              </w:rPr>
            </w:pPr>
          </w:p>
        </w:tc>
        <w:tc>
          <w:tcPr>
            <w:tcW w:w="1023" w:type="pct"/>
            <w:shd w:val="clear" w:color="auto" w:fill="auto"/>
            <w:vAlign w:val="center"/>
          </w:tcPr>
          <w:p w14:paraId="1D3E978C">
            <w:pPr>
              <w:pStyle w:val="62"/>
            </w:pPr>
            <w:r>
              <w:t>崫</w:t>
            </w:r>
          </w:p>
        </w:tc>
        <w:tc>
          <w:tcPr>
            <w:tcW w:w="1624" w:type="pct"/>
            <w:gridSpan w:val="2"/>
            <w:shd w:val="clear" w:color="auto" w:fill="auto"/>
            <w:vAlign w:val="center"/>
          </w:tcPr>
          <w:p w14:paraId="1D3E978D">
            <w:pPr>
              <w:pStyle w:val="62"/>
            </w:pPr>
            <w:r>
              <w:t>1293mg/kg</w:t>
            </w:r>
          </w:p>
        </w:tc>
      </w:tr>
      <w:tr w14:paraId="1D3E9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8F">
            <w:pPr>
              <w:pStyle w:val="62"/>
              <w:rPr>
                <w:highlight w:val="yellow"/>
              </w:rPr>
            </w:pPr>
          </w:p>
        </w:tc>
        <w:tc>
          <w:tcPr>
            <w:tcW w:w="772" w:type="pct"/>
            <w:vMerge w:val="continue"/>
            <w:shd w:val="clear" w:color="auto" w:fill="auto"/>
            <w:vAlign w:val="center"/>
          </w:tcPr>
          <w:p w14:paraId="283DB3E8">
            <w:pPr>
              <w:pStyle w:val="62"/>
              <w:rPr>
                <w:highlight w:val="yellow"/>
              </w:rPr>
            </w:pPr>
          </w:p>
        </w:tc>
        <w:tc>
          <w:tcPr>
            <w:tcW w:w="809" w:type="pct"/>
            <w:vMerge w:val="continue"/>
            <w:shd w:val="clear" w:color="auto" w:fill="auto"/>
            <w:vAlign w:val="center"/>
          </w:tcPr>
          <w:p w14:paraId="1D3E9790">
            <w:pPr>
              <w:pStyle w:val="62"/>
              <w:rPr>
                <w:highlight w:val="yellow"/>
              </w:rPr>
            </w:pPr>
          </w:p>
        </w:tc>
        <w:tc>
          <w:tcPr>
            <w:tcW w:w="1023" w:type="pct"/>
            <w:shd w:val="clear" w:color="auto" w:fill="auto"/>
            <w:vAlign w:val="center"/>
          </w:tcPr>
          <w:p w14:paraId="1D3E9791">
            <w:pPr>
              <w:pStyle w:val="62"/>
            </w:pPr>
            <w:r>
              <w:t>二苯并[a,h]蒽</w:t>
            </w:r>
          </w:p>
        </w:tc>
        <w:tc>
          <w:tcPr>
            <w:tcW w:w="1624" w:type="pct"/>
            <w:gridSpan w:val="2"/>
            <w:shd w:val="clear" w:color="auto" w:fill="auto"/>
            <w:vAlign w:val="center"/>
          </w:tcPr>
          <w:p w14:paraId="1D3E9792">
            <w:pPr>
              <w:pStyle w:val="62"/>
            </w:pPr>
            <w:r>
              <w:t>1.5mg/kg</w:t>
            </w:r>
          </w:p>
        </w:tc>
      </w:tr>
      <w:tr w14:paraId="1D3E9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94">
            <w:pPr>
              <w:pStyle w:val="62"/>
              <w:rPr>
                <w:highlight w:val="yellow"/>
              </w:rPr>
            </w:pPr>
          </w:p>
        </w:tc>
        <w:tc>
          <w:tcPr>
            <w:tcW w:w="772" w:type="pct"/>
            <w:vMerge w:val="continue"/>
            <w:shd w:val="clear" w:color="auto" w:fill="auto"/>
            <w:vAlign w:val="center"/>
          </w:tcPr>
          <w:p w14:paraId="7C0324B8">
            <w:pPr>
              <w:pStyle w:val="62"/>
              <w:rPr>
                <w:highlight w:val="yellow"/>
              </w:rPr>
            </w:pPr>
          </w:p>
        </w:tc>
        <w:tc>
          <w:tcPr>
            <w:tcW w:w="809" w:type="pct"/>
            <w:vMerge w:val="continue"/>
            <w:shd w:val="clear" w:color="auto" w:fill="auto"/>
            <w:vAlign w:val="center"/>
          </w:tcPr>
          <w:p w14:paraId="1D3E9795">
            <w:pPr>
              <w:pStyle w:val="62"/>
              <w:rPr>
                <w:highlight w:val="yellow"/>
              </w:rPr>
            </w:pPr>
          </w:p>
        </w:tc>
        <w:tc>
          <w:tcPr>
            <w:tcW w:w="1023" w:type="pct"/>
            <w:shd w:val="clear" w:color="auto" w:fill="auto"/>
            <w:vAlign w:val="center"/>
          </w:tcPr>
          <w:p w14:paraId="1D3E9796">
            <w:pPr>
              <w:pStyle w:val="62"/>
            </w:pPr>
            <w:r>
              <w:t>茚并[1,2,3-cd]芘</w:t>
            </w:r>
          </w:p>
        </w:tc>
        <w:tc>
          <w:tcPr>
            <w:tcW w:w="1624" w:type="pct"/>
            <w:gridSpan w:val="2"/>
            <w:shd w:val="clear" w:color="auto" w:fill="auto"/>
            <w:vAlign w:val="center"/>
          </w:tcPr>
          <w:p w14:paraId="1D3E9797">
            <w:pPr>
              <w:pStyle w:val="62"/>
            </w:pPr>
            <w:r>
              <w:t>15mg/kg</w:t>
            </w:r>
          </w:p>
        </w:tc>
      </w:tr>
      <w:tr w14:paraId="1D3E9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1D3E9799">
            <w:pPr>
              <w:pStyle w:val="62"/>
              <w:rPr>
                <w:highlight w:val="yellow"/>
              </w:rPr>
            </w:pPr>
          </w:p>
        </w:tc>
        <w:tc>
          <w:tcPr>
            <w:tcW w:w="772" w:type="pct"/>
            <w:vMerge w:val="continue"/>
            <w:shd w:val="clear" w:color="auto" w:fill="auto"/>
            <w:vAlign w:val="center"/>
          </w:tcPr>
          <w:p w14:paraId="67AB3972">
            <w:pPr>
              <w:pStyle w:val="62"/>
              <w:rPr>
                <w:highlight w:val="yellow"/>
              </w:rPr>
            </w:pPr>
          </w:p>
        </w:tc>
        <w:tc>
          <w:tcPr>
            <w:tcW w:w="809" w:type="pct"/>
            <w:vMerge w:val="continue"/>
            <w:shd w:val="clear" w:color="auto" w:fill="auto"/>
            <w:vAlign w:val="center"/>
          </w:tcPr>
          <w:p w14:paraId="1D3E979A">
            <w:pPr>
              <w:pStyle w:val="62"/>
              <w:rPr>
                <w:highlight w:val="yellow"/>
              </w:rPr>
            </w:pPr>
          </w:p>
        </w:tc>
        <w:tc>
          <w:tcPr>
            <w:tcW w:w="1023" w:type="pct"/>
            <w:shd w:val="clear" w:color="auto" w:fill="auto"/>
            <w:vAlign w:val="center"/>
          </w:tcPr>
          <w:p w14:paraId="1D3E979B">
            <w:pPr>
              <w:pStyle w:val="62"/>
            </w:pPr>
            <w:r>
              <w:t>萘</w:t>
            </w:r>
          </w:p>
        </w:tc>
        <w:tc>
          <w:tcPr>
            <w:tcW w:w="1624" w:type="pct"/>
            <w:gridSpan w:val="2"/>
            <w:shd w:val="clear" w:color="auto" w:fill="auto"/>
            <w:vAlign w:val="center"/>
          </w:tcPr>
          <w:p w14:paraId="1D3E979C">
            <w:pPr>
              <w:pStyle w:val="62"/>
            </w:pPr>
            <w:r>
              <w:t>70mg/kg</w:t>
            </w:r>
          </w:p>
        </w:tc>
      </w:tr>
      <w:tr w14:paraId="2B514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72" w:type="pct"/>
            <w:vMerge w:val="continue"/>
            <w:shd w:val="clear" w:color="auto" w:fill="auto"/>
            <w:vAlign w:val="center"/>
          </w:tcPr>
          <w:p w14:paraId="22A4E145">
            <w:pPr>
              <w:pStyle w:val="62"/>
              <w:rPr>
                <w:highlight w:val="yellow"/>
              </w:rPr>
            </w:pPr>
          </w:p>
        </w:tc>
        <w:tc>
          <w:tcPr>
            <w:tcW w:w="772" w:type="pct"/>
            <w:vMerge w:val="continue"/>
            <w:shd w:val="clear" w:color="auto" w:fill="auto"/>
            <w:vAlign w:val="center"/>
          </w:tcPr>
          <w:p w14:paraId="2A62CBBD">
            <w:pPr>
              <w:pStyle w:val="62"/>
              <w:rPr>
                <w:highlight w:val="yellow"/>
              </w:rPr>
            </w:pPr>
          </w:p>
        </w:tc>
        <w:tc>
          <w:tcPr>
            <w:tcW w:w="809" w:type="pct"/>
            <w:shd w:val="clear" w:color="auto" w:fill="auto"/>
            <w:vAlign w:val="center"/>
          </w:tcPr>
          <w:p w14:paraId="2B2EE9ED">
            <w:pPr>
              <w:pStyle w:val="62"/>
              <w:rPr>
                <w:highlight w:val="yellow"/>
              </w:rPr>
            </w:pPr>
            <w:r>
              <w:rPr>
                <w:rFonts w:hint="eastAsia"/>
              </w:rPr>
              <w:t>表</w:t>
            </w:r>
            <w:r>
              <w:t>2</w:t>
            </w:r>
            <w:r>
              <w:rPr>
                <w:rFonts w:hint="eastAsia"/>
              </w:rPr>
              <w:t>其他项目第二类用地筛选值</w:t>
            </w:r>
          </w:p>
        </w:tc>
        <w:tc>
          <w:tcPr>
            <w:tcW w:w="1023" w:type="pct"/>
            <w:shd w:val="clear" w:color="auto" w:fill="auto"/>
            <w:vAlign w:val="center"/>
          </w:tcPr>
          <w:p w14:paraId="41D101E3">
            <w:pPr>
              <w:pStyle w:val="62"/>
            </w:pPr>
            <w:r>
              <w:rPr>
                <w:rFonts w:hint="eastAsia"/>
              </w:rPr>
              <w:t>石油烃</w:t>
            </w:r>
          </w:p>
        </w:tc>
        <w:tc>
          <w:tcPr>
            <w:tcW w:w="1624" w:type="pct"/>
            <w:gridSpan w:val="2"/>
            <w:shd w:val="clear" w:color="auto" w:fill="auto"/>
            <w:vAlign w:val="center"/>
          </w:tcPr>
          <w:p w14:paraId="0A4244AC">
            <w:pPr>
              <w:pStyle w:val="62"/>
            </w:pPr>
            <w:r>
              <w:t>4500mg/kg</w:t>
            </w:r>
          </w:p>
        </w:tc>
      </w:tr>
    </w:tbl>
    <w:p w14:paraId="1D3E97C6">
      <w:pPr>
        <w:pStyle w:val="5"/>
        <w:spacing w:before="323" w:after="323"/>
      </w:pPr>
      <w:bookmarkStart w:id="114" w:name="_Toc428287191"/>
      <w:bookmarkStart w:id="115" w:name="_Toc429318393"/>
      <w:bookmarkStart w:id="116" w:name="_Toc428286797"/>
      <w:r>
        <w:t>污染物排放标准</w:t>
      </w:r>
    </w:p>
    <w:p w14:paraId="1D3E97C7">
      <w:pPr>
        <w:ind w:firstLine="480"/>
      </w:pPr>
      <w:r>
        <w:t>本项目污染物排放执行以下标准。</w:t>
      </w:r>
    </w:p>
    <w:p w14:paraId="1D3E97C8">
      <w:pPr>
        <w:pStyle w:val="64"/>
        <w:numPr>
          <w:ilvl w:val="0"/>
          <w:numId w:val="9"/>
        </w:numPr>
        <w:spacing w:before="161"/>
        <w:ind w:left="918" w:hanging="442" w:firstLineChars="0"/>
      </w:pPr>
      <w:r>
        <w:t xml:space="preserve">             污染物排放执行标准一览表</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28" w:type="dxa"/>
          <w:bottom w:w="0" w:type="dxa"/>
          <w:right w:w="28" w:type="dxa"/>
        </w:tblCellMar>
      </w:tblPr>
      <w:tblGrid>
        <w:gridCol w:w="1144"/>
        <w:gridCol w:w="2587"/>
        <w:gridCol w:w="865"/>
        <w:gridCol w:w="1295"/>
        <w:gridCol w:w="1152"/>
        <w:gridCol w:w="1803"/>
      </w:tblGrid>
      <w:tr w14:paraId="1D3E97C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blHeader/>
          <w:jc w:val="center"/>
        </w:trPr>
        <w:tc>
          <w:tcPr>
            <w:tcW w:w="647" w:type="pct"/>
            <w:tcBorders>
              <w:top w:val="single" w:color="000000" w:sz="8" w:space="0"/>
              <w:bottom w:val="single" w:color="auto" w:sz="4" w:space="0"/>
              <w:right w:val="single" w:color="auto" w:sz="4" w:space="0"/>
            </w:tcBorders>
            <w:shd w:val="clear" w:color="auto" w:fill="auto"/>
            <w:tcMar>
              <w:top w:w="11" w:type="dxa"/>
              <w:left w:w="57" w:type="dxa"/>
              <w:bottom w:w="11" w:type="dxa"/>
              <w:right w:w="57" w:type="dxa"/>
            </w:tcMar>
            <w:vAlign w:val="center"/>
          </w:tcPr>
          <w:p w14:paraId="1D3E97CA">
            <w:pPr>
              <w:pStyle w:val="67"/>
              <w:rPr>
                <w:rFonts w:cs="Times New Roman"/>
                <w:color w:val="auto"/>
              </w:rPr>
            </w:pPr>
            <w:r>
              <w:rPr>
                <w:rFonts w:cs="Times New Roman"/>
                <w:color w:val="auto"/>
              </w:rPr>
              <w:t>污染类别</w:t>
            </w:r>
          </w:p>
        </w:tc>
        <w:tc>
          <w:tcPr>
            <w:tcW w:w="1951" w:type="pct"/>
            <w:gridSpan w:val="2"/>
            <w:tcBorders>
              <w:top w:val="single" w:color="000000" w:sz="8"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7CB">
            <w:pPr>
              <w:pStyle w:val="67"/>
              <w:rPr>
                <w:rFonts w:cs="Times New Roman"/>
                <w:color w:val="auto"/>
              </w:rPr>
            </w:pPr>
            <w:r>
              <w:rPr>
                <w:rFonts w:cs="Times New Roman"/>
                <w:color w:val="auto"/>
              </w:rPr>
              <w:t>执行标准</w:t>
            </w:r>
          </w:p>
        </w:tc>
        <w:tc>
          <w:tcPr>
            <w:tcW w:w="1383" w:type="pct"/>
            <w:gridSpan w:val="2"/>
            <w:tcBorders>
              <w:top w:val="single" w:color="000000" w:sz="8"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7CC">
            <w:pPr>
              <w:pStyle w:val="67"/>
              <w:rPr>
                <w:rFonts w:cs="Times New Roman"/>
                <w:color w:val="auto"/>
              </w:rPr>
            </w:pPr>
            <w:r>
              <w:rPr>
                <w:rFonts w:cs="Times New Roman"/>
                <w:color w:val="auto"/>
              </w:rPr>
              <w:t>污染因子</w:t>
            </w:r>
          </w:p>
        </w:tc>
        <w:tc>
          <w:tcPr>
            <w:tcW w:w="1019" w:type="pct"/>
            <w:tcBorders>
              <w:top w:val="single" w:color="000000" w:sz="8" w:space="0"/>
              <w:left w:val="single" w:color="auto" w:sz="4" w:space="0"/>
              <w:bottom w:val="single" w:color="auto" w:sz="4" w:space="0"/>
            </w:tcBorders>
            <w:shd w:val="clear" w:color="auto" w:fill="auto"/>
            <w:tcMar>
              <w:top w:w="11" w:type="dxa"/>
              <w:left w:w="57" w:type="dxa"/>
              <w:bottom w:w="11" w:type="dxa"/>
              <w:right w:w="57" w:type="dxa"/>
            </w:tcMar>
            <w:vAlign w:val="center"/>
          </w:tcPr>
          <w:p w14:paraId="1D3E97CD">
            <w:pPr>
              <w:pStyle w:val="67"/>
              <w:rPr>
                <w:rFonts w:cs="Times New Roman"/>
                <w:color w:val="auto"/>
              </w:rPr>
            </w:pPr>
            <w:r>
              <w:rPr>
                <w:rFonts w:cs="Times New Roman"/>
                <w:color w:val="auto"/>
              </w:rPr>
              <w:t>标准限值</w:t>
            </w:r>
          </w:p>
        </w:tc>
      </w:tr>
      <w:tr w14:paraId="1D3E981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63" w:hRule="atLeast"/>
          <w:jc w:val="center"/>
        </w:trPr>
        <w:tc>
          <w:tcPr>
            <w:tcW w:w="647" w:type="pct"/>
            <w:vMerge w:val="restart"/>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0D">
            <w:pPr>
              <w:pStyle w:val="62"/>
            </w:pPr>
            <w:r>
              <w:t>大气污染物</w:t>
            </w:r>
          </w:p>
        </w:tc>
        <w:tc>
          <w:tcPr>
            <w:tcW w:w="1951" w:type="pct"/>
            <w:gridSpan w:val="2"/>
            <w:vMerge w:val="restar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0E">
            <w:pPr>
              <w:pStyle w:val="62"/>
            </w:pPr>
            <w:r>
              <w:rPr>
                <w:bCs/>
              </w:rPr>
              <w:t>《挥发性有机物无组织排放控制标准》（GB37822-2019）表4</w:t>
            </w:r>
          </w:p>
        </w:tc>
        <w:tc>
          <w:tcPr>
            <w:tcW w:w="732" w:type="pct"/>
            <w:vMerge w:val="restar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0F">
            <w:pPr>
              <w:pStyle w:val="62"/>
            </w:pPr>
            <w:r>
              <w:rPr>
                <w:rFonts w:hint="eastAsia"/>
                <w:bCs/>
              </w:rPr>
              <w:t>非甲烷总烃</w:t>
            </w:r>
          </w:p>
        </w:tc>
        <w:tc>
          <w:tcPr>
            <w:tcW w:w="6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3E9810">
            <w:pPr>
              <w:pStyle w:val="62"/>
            </w:pPr>
            <w:r>
              <w:rPr>
                <w:bCs/>
              </w:rPr>
              <w:t>厂房外监控点</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11">
            <w:pPr>
              <w:pStyle w:val="62"/>
            </w:pPr>
            <w:r>
              <w:rPr>
                <w:bCs/>
              </w:rPr>
              <w:t>1h平均浓度</w:t>
            </w:r>
            <w:r>
              <w:t>6mg/m</w:t>
            </w:r>
            <w:r>
              <w:rPr>
                <w:vertAlign w:val="superscript"/>
              </w:rPr>
              <w:t>3</w:t>
            </w:r>
          </w:p>
        </w:tc>
      </w:tr>
      <w:tr w14:paraId="2E9DC86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2A8BA599">
            <w:pPr>
              <w:pStyle w:val="62"/>
              <w:rPr>
                <w:b/>
                <w:bCs/>
                <w:highlight w:val="yellow"/>
                <w:u w:val="single"/>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4A5CB02E">
            <w:pPr>
              <w:pStyle w:val="62"/>
              <w:rPr>
                <w:bCs/>
              </w:rPr>
            </w:pPr>
          </w:p>
        </w:tc>
        <w:tc>
          <w:tcPr>
            <w:tcW w:w="732" w:type="pct"/>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60DFA721">
            <w:pPr>
              <w:pStyle w:val="62"/>
              <w:rPr>
                <w:bCs/>
              </w:rPr>
            </w:pP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1B95B2">
            <w:pPr>
              <w:pStyle w:val="62"/>
              <w:rPr>
                <w:bCs/>
              </w:rPr>
            </w:pP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604ABF67">
            <w:pPr>
              <w:pStyle w:val="62"/>
              <w:rPr>
                <w:bCs/>
              </w:rPr>
            </w:pPr>
            <w:r>
              <w:rPr>
                <w:bCs/>
              </w:rPr>
              <w:t>任意一次浓度</w:t>
            </w:r>
            <w:r>
              <w:t>20mg/m</w:t>
            </w:r>
            <w:r>
              <w:rPr>
                <w:vertAlign w:val="superscript"/>
              </w:rPr>
              <w:t>3</w:t>
            </w:r>
          </w:p>
        </w:tc>
      </w:tr>
      <w:tr w14:paraId="27A4411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582AAD40">
            <w:pPr>
              <w:pStyle w:val="62"/>
              <w:rPr>
                <w:b/>
                <w:bCs/>
                <w:highlight w:val="yellow"/>
                <w:u w:val="single"/>
              </w:rPr>
            </w:pPr>
          </w:p>
        </w:tc>
        <w:tc>
          <w:tcPr>
            <w:tcW w:w="1462" w:type="pct"/>
            <w:vMerge w:val="restar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5833EBEE">
            <w:pPr>
              <w:pStyle w:val="62"/>
              <w:rPr>
                <w:bCs/>
              </w:rPr>
            </w:pPr>
            <w:r>
              <w:t>《恶臭污染物排放标准》（GB14554-93）</w:t>
            </w:r>
          </w:p>
        </w:tc>
        <w:tc>
          <w:tcPr>
            <w:tcW w:w="48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84545BD">
            <w:pPr>
              <w:pStyle w:val="62"/>
              <w:rPr>
                <w:bCs/>
              </w:rPr>
            </w:pPr>
            <w:r>
              <w:rPr>
                <w:rFonts w:hint="eastAsia"/>
                <w:bCs/>
              </w:rPr>
              <w:t>表1</w:t>
            </w:r>
          </w:p>
        </w:tc>
        <w:tc>
          <w:tcPr>
            <w:tcW w:w="732" w:type="pc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4916D88">
            <w:pPr>
              <w:pStyle w:val="62"/>
              <w:rPr>
                <w:bCs/>
              </w:rPr>
            </w:pPr>
            <w:r>
              <w:rPr>
                <w:rFonts w:hint="eastAsia"/>
                <w:bCs/>
              </w:rPr>
              <w:t>臭气浓度</w:t>
            </w:r>
          </w:p>
        </w:tc>
        <w:tc>
          <w:tcPr>
            <w:tcW w:w="6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23B647">
            <w:pPr>
              <w:pStyle w:val="62"/>
              <w:rPr>
                <w:bCs/>
              </w:rPr>
            </w:pPr>
            <w:r>
              <w:rPr>
                <w:rFonts w:hint="eastAsia"/>
                <w:bCs/>
              </w:rPr>
              <w:t>厂界</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37147A4A">
            <w:pPr>
              <w:pStyle w:val="62"/>
              <w:rPr>
                <w:bCs/>
              </w:rPr>
            </w:pPr>
            <w:r>
              <w:t>20</w:t>
            </w:r>
            <w:r>
              <w:rPr>
                <w:rFonts w:hint="eastAsia"/>
              </w:rPr>
              <w:t>（无量纲）</w:t>
            </w:r>
          </w:p>
        </w:tc>
      </w:tr>
      <w:tr w14:paraId="4698261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036858EB">
            <w:pPr>
              <w:pStyle w:val="62"/>
              <w:rPr>
                <w:b/>
                <w:bCs/>
                <w:highlight w:val="yellow"/>
                <w:u w:val="single"/>
              </w:rPr>
            </w:pPr>
          </w:p>
        </w:tc>
        <w:tc>
          <w:tcPr>
            <w:tcW w:w="1462" w:type="pct"/>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00D47B1">
            <w:pPr>
              <w:pStyle w:val="62"/>
              <w:rPr>
                <w:bCs/>
              </w:rPr>
            </w:pPr>
          </w:p>
        </w:tc>
        <w:tc>
          <w:tcPr>
            <w:tcW w:w="48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27E146">
            <w:pPr>
              <w:pStyle w:val="62"/>
              <w:rPr>
                <w:bCs/>
              </w:rPr>
            </w:pPr>
          </w:p>
        </w:tc>
        <w:tc>
          <w:tcPr>
            <w:tcW w:w="732" w:type="pc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75FA1337">
            <w:pPr>
              <w:pStyle w:val="62"/>
              <w:rPr>
                <w:bCs/>
              </w:rPr>
            </w:pPr>
            <w:r>
              <w:rPr>
                <w:rFonts w:hint="eastAsia"/>
                <w:bCs/>
              </w:rPr>
              <w:t>氨</w:t>
            </w: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C02E8D">
            <w:pPr>
              <w:pStyle w:val="62"/>
              <w:rPr>
                <w:bCs/>
              </w:rPr>
            </w:pP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08C69D96">
            <w:pPr>
              <w:pStyle w:val="62"/>
              <w:rPr>
                <w:bCs/>
              </w:rPr>
            </w:pPr>
            <w:r>
              <w:rPr>
                <w:rFonts w:hint="eastAsia"/>
              </w:rPr>
              <w:t>1.5</w:t>
            </w:r>
            <w:r>
              <w:t>mg/m</w:t>
            </w:r>
            <w:r>
              <w:rPr>
                <w:vertAlign w:val="superscript"/>
              </w:rPr>
              <w:t>3</w:t>
            </w:r>
          </w:p>
        </w:tc>
      </w:tr>
      <w:tr w14:paraId="3A58652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054B7715">
            <w:pPr>
              <w:pStyle w:val="62"/>
              <w:rPr>
                <w:b/>
                <w:bCs/>
                <w:highlight w:val="yellow"/>
                <w:u w:val="single"/>
              </w:rPr>
            </w:pPr>
          </w:p>
        </w:tc>
        <w:tc>
          <w:tcPr>
            <w:tcW w:w="1462" w:type="pct"/>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75C6EFEB">
            <w:pPr>
              <w:pStyle w:val="62"/>
              <w:rPr>
                <w:bCs/>
              </w:rPr>
            </w:pPr>
          </w:p>
        </w:tc>
        <w:tc>
          <w:tcPr>
            <w:tcW w:w="48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24105C">
            <w:pPr>
              <w:pStyle w:val="62"/>
              <w:rPr>
                <w:bCs/>
              </w:rPr>
            </w:pPr>
          </w:p>
        </w:tc>
        <w:tc>
          <w:tcPr>
            <w:tcW w:w="732" w:type="pc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719467F2">
            <w:pPr>
              <w:pStyle w:val="62"/>
              <w:rPr>
                <w:bCs/>
              </w:rPr>
            </w:pPr>
            <w:r>
              <w:rPr>
                <w:rFonts w:hint="eastAsia"/>
                <w:bCs/>
              </w:rPr>
              <w:t>硫化氢</w:t>
            </w: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64968A">
            <w:pPr>
              <w:pStyle w:val="62"/>
              <w:rPr>
                <w:bCs/>
              </w:rPr>
            </w:pP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5EF00E10">
            <w:pPr>
              <w:pStyle w:val="62"/>
              <w:rPr>
                <w:bCs/>
              </w:rPr>
            </w:pPr>
            <w:r>
              <w:rPr>
                <w:rFonts w:hint="eastAsia"/>
              </w:rPr>
              <w:t>0.06</w:t>
            </w:r>
            <w:r>
              <w:t>mg/m</w:t>
            </w:r>
            <w:r>
              <w:rPr>
                <w:vertAlign w:val="superscript"/>
              </w:rPr>
              <w:t>3</w:t>
            </w:r>
          </w:p>
        </w:tc>
      </w:tr>
      <w:tr w14:paraId="2686AA2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3D957587">
            <w:pPr>
              <w:pStyle w:val="62"/>
              <w:rPr>
                <w:b/>
                <w:bCs/>
                <w:highlight w:val="yellow"/>
                <w:u w:val="single"/>
              </w:rPr>
            </w:pPr>
          </w:p>
        </w:tc>
        <w:tc>
          <w:tcPr>
            <w:tcW w:w="1462" w:type="pct"/>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B624181">
            <w:pPr>
              <w:pStyle w:val="62"/>
              <w:rPr>
                <w:bCs/>
              </w:rPr>
            </w:pPr>
          </w:p>
        </w:tc>
        <w:tc>
          <w:tcPr>
            <w:tcW w:w="48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CA9030">
            <w:pPr>
              <w:pStyle w:val="62"/>
              <w:rPr>
                <w:bCs/>
              </w:rPr>
            </w:pPr>
            <w:r>
              <w:rPr>
                <w:rFonts w:hint="eastAsia"/>
                <w:bCs/>
              </w:rPr>
              <w:t>表2</w:t>
            </w:r>
          </w:p>
        </w:tc>
        <w:tc>
          <w:tcPr>
            <w:tcW w:w="732" w:type="pc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5B0A5A9A">
            <w:pPr>
              <w:pStyle w:val="62"/>
              <w:rPr>
                <w:bCs/>
              </w:rPr>
            </w:pPr>
            <w:r>
              <w:rPr>
                <w:rFonts w:hint="eastAsia"/>
                <w:bCs/>
              </w:rPr>
              <w:t>臭气浓度</w:t>
            </w:r>
          </w:p>
        </w:tc>
        <w:tc>
          <w:tcPr>
            <w:tcW w:w="6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42A5A1">
            <w:pPr>
              <w:pStyle w:val="62"/>
              <w:rPr>
                <w:bCs/>
              </w:rPr>
            </w:pPr>
            <w:r>
              <w:rPr>
                <w:rFonts w:hint="eastAsia"/>
                <w:bCs/>
              </w:rPr>
              <w:t>有组织</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2D8E99B">
            <w:pPr>
              <w:pStyle w:val="62"/>
              <w:rPr>
                <w:bCs/>
              </w:rPr>
            </w:pPr>
            <w:r>
              <w:rPr>
                <w:rFonts w:hint="eastAsia"/>
                <w:bCs/>
              </w:rPr>
              <w:t>2000</w:t>
            </w:r>
            <w:r>
              <w:rPr>
                <w:rFonts w:hint="eastAsia"/>
              </w:rPr>
              <w:t>（无量纲）</w:t>
            </w:r>
          </w:p>
        </w:tc>
      </w:tr>
      <w:tr w14:paraId="7871806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35F1DE11">
            <w:pPr>
              <w:pStyle w:val="62"/>
              <w:rPr>
                <w:b/>
                <w:bCs/>
                <w:highlight w:val="yellow"/>
                <w:u w:val="single"/>
              </w:rPr>
            </w:pPr>
          </w:p>
        </w:tc>
        <w:tc>
          <w:tcPr>
            <w:tcW w:w="1462" w:type="pct"/>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69C71657">
            <w:pPr>
              <w:pStyle w:val="62"/>
              <w:rPr>
                <w:bCs/>
              </w:rPr>
            </w:pPr>
          </w:p>
        </w:tc>
        <w:tc>
          <w:tcPr>
            <w:tcW w:w="48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E0FEE8">
            <w:pPr>
              <w:pStyle w:val="62"/>
              <w:rPr>
                <w:bCs/>
              </w:rPr>
            </w:pPr>
          </w:p>
        </w:tc>
        <w:tc>
          <w:tcPr>
            <w:tcW w:w="732" w:type="pc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449FBDC2">
            <w:pPr>
              <w:pStyle w:val="62"/>
              <w:rPr>
                <w:bCs/>
              </w:rPr>
            </w:pPr>
            <w:r>
              <w:rPr>
                <w:rFonts w:hint="eastAsia"/>
                <w:bCs/>
              </w:rPr>
              <w:t>氨</w:t>
            </w: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3F8D26">
            <w:pPr>
              <w:pStyle w:val="62"/>
              <w:rPr>
                <w:bCs/>
              </w:rPr>
            </w:pP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0416C433">
            <w:pPr>
              <w:pStyle w:val="62"/>
              <w:rPr>
                <w:bCs/>
              </w:rPr>
            </w:pPr>
            <w:r>
              <w:rPr>
                <w:rFonts w:hint="eastAsia"/>
                <w:bCs/>
              </w:rPr>
              <w:t>4.9kg/h</w:t>
            </w:r>
          </w:p>
        </w:tc>
      </w:tr>
      <w:tr w14:paraId="65D5D4A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3EF503B6">
            <w:pPr>
              <w:pStyle w:val="62"/>
              <w:rPr>
                <w:b/>
                <w:bCs/>
                <w:highlight w:val="yellow"/>
                <w:u w:val="single"/>
              </w:rPr>
            </w:pPr>
          </w:p>
        </w:tc>
        <w:tc>
          <w:tcPr>
            <w:tcW w:w="1462" w:type="pct"/>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4C42AE36">
            <w:pPr>
              <w:pStyle w:val="62"/>
              <w:rPr>
                <w:bCs/>
              </w:rPr>
            </w:pPr>
          </w:p>
        </w:tc>
        <w:tc>
          <w:tcPr>
            <w:tcW w:w="48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9C3C0D">
            <w:pPr>
              <w:pStyle w:val="62"/>
              <w:rPr>
                <w:bCs/>
              </w:rPr>
            </w:pPr>
          </w:p>
        </w:tc>
        <w:tc>
          <w:tcPr>
            <w:tcW w:w="732" w:type="pc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7CB89DE1">
            <w:pPr>
              <w:pStyle w:val="62"/>
              <w:rPr>
                <w:bCs/>
              </w:rPr>
            </w:pPr>
            <w:r>
              <w:rPr>
                <w:rFonts w:hint="eastAsia"/>
                <w:bCs/>
              </w:rPr>
              <w:t>硫化氢</w:t>
            </w: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8DB4CD">
            <w:pPr>
              <w:pStyle w:val="62"/>
              <w:rPr>
                <w:bCs/>
              </w:rPr>
            </w:pP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445E0440">
            <w:pPr>
              <w:pStyle w:val="62"/>
              <w:rPr>
                <w:bCs/>
              </w:rPr>
            </w:pPr>
            <w:r>
              <w:rPr>
                <w:rFonts w:hint="eastAsia"/>
                <w:bCs/>
              </w:rPr>
              <w:t>0.33kg/h</w:t>
            </w:r>
          </w:p>
        </w:tc>
      </w:tr>
      <w:tr w14:paraId="4F8CE68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5B819956">
            <w:pPr>
              <w:pStyle w:val="62"/>
              <w:rPr>
                <w:b/>
                <w:bCs/>
                <w:highlight w:val="yellow"/>
                <w:u w:val="single"/>
              </w:rPr>
            </w:pPr>
          </w:p>
        </w:tc>
        <w:tc>
          <w:tcPr>
            <w:tcW w:w="1951" w:type="pct"/>
            <w:gridSpan w:val="2"/>
            <w:vMerge w:val="restar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5E46112">
            <w:pPr>
              <w:pStyle w:val="62"/>
            </w:pPr>
            <w:r>
              <w:rPr>
                <w:rFonts w:hint="eastAsia"/>
              </w:rPr>
              <w:t>《大气污染物综合排放标准》（GB 16297-1996）二级</w:t>
            </w:r>
          </w:p>
        </w:tc>
        <w:tc>
          <w:tcPr>
            <w:tcW w:w="732" w:type="pct"/>
            <w:vMerge w:val="restar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756CA76F">
            <w:pPr>
              <w:pStyle w:val="62"/>
            </w:pPr>
            <w:r>
              <w:rPr>
                <w:rFonts w:hint="eastAsia"/>
                <w:bCs/>
              </w:rPr>
              <w:t>非甲烷总烃</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64603A7E">
            <w:pPr>
              <w:pStyle w:val="62"/>
              <w:rPr>
                <w:highlight w:val="yellow"/>
              </w:rPr>
            </w:pPr>
            <w:r>
              <w:rPr>
                <w:rFonts w:hint="eastAsia"/>
              </w:rPr>
              <w:t>有组织</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5AB0E6A3">
            <w:pPr>
              <w:pStyle w:val="62"/>
              <w:rPr>
                <w:highlight w:val="yellow"/>
              </w:rPr>
            </w:pPr>
            <w:r>
              <w:rPr>
                <w:bCs/>
              </w:rPr>
              <w:t>120mg/m</w:t>
            </w:r>
            <w:r>
              <w:rPr>
                <w:bCs/>
                <w:vertAlign w:val="superscript"/>
              </w:rPr>
              <w:t>3</w:t>
            </w:r>
            <w:r>
              <w:rPr>
                <w:bCs/>
              </w:rPr>
              <w:t>、10kg/h</w:t>
            </w:r>
          </w:p>
        </w:tc>
      </w:tr>
      <w:tr w14:paraId="01DDB22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5E5DD448">
            <w:pPr>
              <w:pStyle w:val="62"/>
              <w:rPr>
                <w:b/>
                <w:bCs/>
                <w:highlight w:val="yellow"/>
                <w:u w:val="single"/>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50A5AF30">
            <w:pPr>
              <w:pStyle w:val="62"/>
            </w:pPr>
          </w:p>
        </w:tc>
        <w:tc>
          <w:tcPr>
            <w:tcW w:w="732" w:type="pct"/>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7F3EA6E4">
            <w:pPr>
              <w:pStyle w:val="62"/>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21956C98">
            <w:pPr>
              <w:pStyle w:val="62"/>
            </w:pPr>
            <w:r>
              <w:t>周界外浓最高点</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7C73CF1E">
            <w:pPr>
              <w:pStyle w:val="62"/>
              <w:rPr>
                <w:bCs/>
              </w:rPr>
            </w:pPr>
            <w:r>
              <w:rPr>
                <w:rFonts w:hint="eastAsia"/>
              </w:rPr>
              <w:t>4.0</w:t>
            </w:r>
            <w:r>
              <w:t>mg/m</w:t>
            </w:r>
            <w:r>
              <w:rPr>
                <w:vertAlign w:val="superscript"/>
              </w:rPr>
              <w:t>3</w:t>
            </w:r>
          </w:p>
        </w:tc>
      </w:tr>
      <w:tr w14:paraId="4770EF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6BB024CC">
            <w:pPr>
              <w:pStyle w:val="62"/>
              <w:rPr>
                <w:b/>
                <w:bCs/>
                <w:highlight w:val="yellow"/>
                <w:u w:val="single"/>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5F80A350">
            <w:pPr>
              <w:pStyle w:val="62"/>
            </w:pPr>
          </w:p>
        </w:tc>
        <w:tc>
          <w:tcPr>
            <w:tcW w:w="732" w:type="pct"/>
            <w:vMerge w:val="restar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650621FB">
            <w:pPr>
              <w:pStyle w:val="62"/>
            </w:pPr>
            <w:r>
              <w:rPr>
                <w:rFonts w:hint="eastAsia"/>
              </w:rPr>
              <w:t>颗粒物</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375285EE">
            <w:pPr>
              <w:pStyle w:val="62"/>
            </w:pPr>
            <w:r>
              <w:rPr>
                <w:rFonts w:hint="eastAsia"/>
              </w:rPr>
              <w:t>有组织</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73E8DCF1">
            <w:pPr>
              <w:pStyle w:val="62"/>
              <w:rPr>
                <w:bCs/>
              </w:rPr>
            </w:pPr>
            <w:r>
              <w:rPr>
                <w:bCs/>
              </w:rPr>
              <w:t>1</w:t>
            </w:r>
            <w:r>
              <w:rPr>
                <w:rFonts w:hint="eastAsia"/>
                <w:bCs/>
              </w:rPr>
              <w:t>2</w:t>
            </w:r>
            <w:r>
              <w:rPr>
                <w:bCs/>
              </w:rPr>
              <w:t>0mg/m</w:t>
            </w:r>
            <w:r>
              <w:rPr>
                <w:bCs/>
                <w:vertAlign w:val="superscript"/>
              </w:rPr>
              <w:t>3</w:t>
            </w:r>
            <w:r>
              <w:rPr>
                <w:bCs/>
              </w:rPr>
              <w:t>、</w:t>
            </w:r>
            <w:r>
              <w:rPr>
                <w:rFonts w:hint="eastAsia"/>
                <w:bCs/>
              </w:rPr>
              <w:t>3.5</w:t>
            </w:r>
            <w:r>
              <w:rPr>
                <w:bCs/>
              </w:rPr>
              <w:t>kg/h</w:t>
            </w:r>
          </w:p>
        </w:tc>
      </w:tr>
      <w:tr w14:paraId="6080C86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4EEB75A6">
            <w:pPr>
              <w:pStyle w:val="62"/>
              <w:rPr>
                <w:b/>
                <w:bCs/>
                <w:highlight w:val="yellow"/>
                <w:u w:val="single"/>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3A0D4E54">
            <w:pPr>
              <w:pStyle w:val="62"/>
            </w:pPr>
          </w:p>
        </w:tc>
        <w:tc>
          <w:tcPr>
            <w:tcW w:w="732" w:type="pct"/>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2B82B679">
            <w:pPr>
              <w:pStyle w:val="62"/>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509EFE26">
            <w:pPr>
              <w:pStyle w:val="62"/>
            </w:pPr>
            <w:r>
              <w:t>周界外浓最高点</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7E88C880">
            <w:pPr>
              <w:pStyle w:val="62"/>
              <w:rPr>
                <w:bCs/>
              </w:rPr>
            </w:pPr>
            <w:r>
              <w:rPr>
                <w:rFonts w:hint="eastAsia"/>
              </w:rPr>
              <w:t>1.0</w:t>
            </w:r>
            <w:r>
              <w:t>mg/m</w:t>
            </w:r>
            <w:r>
              <w:rPr>
                <w:vertAlign w:val="superscript"/>
              </w:rPr>
              <w:t>3</w:t>
            </w:r>
          </w:p>
        </w:tc>
      </w:tr>
      <w:tr w14:paraId="6122B93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0D37418">
            <w:pPr>
              <w:pStyle w:val="62"/>
              <w:rPr>
                <w:b/>
                <w:bCs/>
                <w:highlight w:val="yellow"/>
                <w:u w:val="single"/>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B1981CE">
            <w:pPr>
              <w:pStyle w:val="62"/>
              <w:rPr>
                <w:highlight w:val="yellow"/>
              </w:rPr>
            </w:pPr>
          </w:p>
        </w:tc>
        <w:tc>
          <w:tcPr>
            <w:tcW w:w="732" w:type="pct"/>
            <w:vMerge w:val="restar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3C958172">
            <w:pPr>
              <w:pStyle w:val="62"/>
            </w:pPr>
            <w:r>
              <w:rPr>
                <w:rFonts w:hint="eastAsia"/>
              </w:rPr>
              <w:t>硫酸雾</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4E93C270">
            <w:pPr>
              <w:pStyle w:val="62"/>
            </w:pPr>
            <w:r>
              <w:rPr>
                <w:rFonts w:hint="eastAsia"/>
              </w:rPr>
              <w:t>有组织</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5971C3B">
            <w:pPr>
              <w:pStyle w:val="62"/>
              <w:rPr>
                <w:bCs/>
              </w:rPr>
            </w:pPr>
            <w:r>
              <w:rPr>
                <w:rFonts w:hint="eastAsia"/>
                <w:bCs/>
              </w:rPr>
              <w:t>45</w:t>
            </w:r>
            <w:r>
              <w:rPr>
                <w:bCs/>
              </w:rPr>
              <w:t>mg/m</w:t>
            </w:r>
            <w:r>
              <w:rPr>
                <w:bCs/>
                <w:vertAlign w:val="superscript"/>
              </w:rPr>
              <w:t>3</w:t>
            </w:r>
            <w:r>
              <w:rPr>
                <w:bCs/>
              </w:rPr>
              <w:t>、</w:t>
            </w:r>
            <w:r>
              <w:rPr>
                <w:rFonts w:hint="eastAsia"/>
                <w:bCs/>
              </w:rPr>
              <w:t>1.5</w:t>
            </w:r>
            <w:r>
              <w:rPr>
                <w:bCs/>
              </w:rPr>
              <w:t>kg/h</w:t>
            </w:r>
          </w:p>
        </w:tc>
      </w:tr>
      <w:tr w14:paraId="2E09772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48E15E85">
            <w:pPr>
              <w:pStyle w:val="62"/>
              <w:rPr>
                <w:b/>
                <w:bCs/>
                <w:highlight w:val="yellow"/>
                <w:u w:val="single"/>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08F3DFB3">
            <w:pPr>
              <w:pStyle w:val="62"/>
              <w:rPr>
                <w:highlight w:val="yellow"/>
              </w:rPr>
            </w:pPr>
          </w:p>
        </w:tc>
        <w:tc>
          <w:tcPr>
            <w:tcW w:w="732" w:type="pct"/>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0ED97F2B">
            <w:pPr>
              <w:pStyle w:val="62"/>
              <w:rPr>
                <w:highlight w:val="yellow"/>
              </w:rPr>
            </w:pP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48F03D62">
            <w:pPr>
              <w:pStyle w:val="62"/>
            </w:pPr>
            <w:r>
              <w:t>周界外浓最高点</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436FAB3F">
            <w:pPr>
              <w:pStyle w:val="62"/>
              <w:rPr>
                <w:highlight w:val="yellow"/>
              </w:rPr>
            </w:pPr>
            <w:r>
              <w:rPr>
                <w:rFonts w:hint="eastAsia"/>
              </w:rPr>
              <w:t>1.2</w:t>
            </w:r>
            <w:r>
              <w:t>mg/m</w:t>
            </w:r>
            <w:r>
              <w:rPr>
                <w:vertAlign w:val="superscript"/>
              </w:rPr>
              <w:t>3</w:t>
            </w:r>
          </w:p>
        </w:tc>
      </w:tr>
      <w:tr w14:paraId="1D3E982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restart"/>
            <w:tcBorders>
              <w:top w:val="single" w:color="auto" w:sz="4" w:space="0"/>
              <w:bottom w:val="single" w:color="auto" w:sz="4" w:space="0"/>
              <w:right w:val="single" w:color="auto" w:sz="4" w:space="0"/>
            </w:tcBorders>
            <w:shd w:val="clear" w:color="auto" w:fill="auto"/>
            <w:vAlign w:val="center"/>
          </w:tcPr>
          <w:p w14:paraId="1D3E9825">
            <w:pPr>
              <w:pStyle w:val="62"/>
            </w:pPr>
            <w:r>
              <w:t>水</w:t>
            </w:r>
          </w:p>
          <w:p w14:paraId="1D3E9826">
            <w:pPr>
              <w:pStyle w:val="62"/>
            </w:pPr>
            <w:r>
              <w:t>污</w:t>
            </w:r>
          </w:p>
          <w:p w14:paraId="1D3E9827">
            <w:pPr>
              <w:pStyle w:val="62"/>
            </w:pPr>
            <w:r>
              <w:t>染</w:t>
            </w:r>
          </w:p>
          <w:p w14:paraId="1D3E9828">
            <w:pPr>
              <w:pStyle w:val="62"/>
              <w:rPr>
                <w:highlight w:val="yellow"/>
              </w:rPr>
            </w:pPr>
            <w:r>
              <w:t>物</w:t>
            </w:r>
          </w:p>
        </w:tc>
        <w:tc>
          <w:tcPr>
            <w:tcW w:w="1951"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3E9829">
            <w:pPr>
              <w:pStyle w:val="62"/>
              <w:rPr>
                <w:highlight w:val="yellow"/>
              </w:rPr>
            </w:pPr>
            <w:r>
              <w:rPr>
                <w:bCs/>
              </w:rPr>
              <w:t>《化工行业水污染物间接排放标准》（DB41/1</w:t>
            </w:r>
            <w:r>
              <w:rPr>
                <w:rFonts w:hint="eastAsia"/>
                <w:bCs/>
              </w:rPr>
              <w:t>135-2016</w:t>
            </w:r>
            <w:r>
              <w:rPr>
                <w:bCs/>
              </w:rPr>
              <w:t>）</w:t>
            </w: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2A">
            <w:pPr>
              <w:pStyle w:val="62"/>
            </w:pPr>
            <w:r>
              <w:rPr>
                <w:rFonts w:hint="eastAsia"/>
              </w:rPr>
              <w:t>pH</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2B">
            <w:pPr>
              <w:pStyle w:val="62"/>
            </w:pPr>
            <w:r>
              <w:rPr>
                <w:rFonts w:hint="eastAsia"/>
              </w:rPr>
              <w:t>6~9</w:t>
            </w:r>
          </w:p>
        </w:tc>
      </w:tr>
      <w:tr w14:paraId="6534F78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6A4C3B74">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91C189">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37BA69EE">
            <w:pPr>
              <w:pStyle w:val="62"/>
            </w:pPr>
            <w:r>
              <w:t>COD</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057E9C0B">
            <w:pPr>
              <w:pStyle w:val="62"/>
            </w:pPr>
            <w:r>
              <w:rPr>
                <w:rFonts w:hint="eastAsia"/>
              </w:rPr>
              <w:t>3</w:t>
            </w:r>
            <w:r>
              <w:t>00mg/L</w:t>
            </w:r>
          </w:p>
        </w:tc>
      </w:tr>
      <w:tr w14:paraId="1D3E983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2D">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2E">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2F">
            <w:pPr>
              <w:pStyle w:val="62"/>
            </w:pPr>
            <w:r>
              <w:t>SS</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30">
            <w:pPr>
              <w:pStyle w:val="62"/>
            </w:pPr>
            <w:r>
              <w:t>1</w:t>
            </w:r>
            <w:r>
              <w:rPr>
                <w:rFonts w:hint="eastAsia"/>
              </w:rPr>
              <w:t>5</w:t>
            </w:r>
            <w:r>
              <w:t>0mg/L</w:t>
            </w:r>
          </w:p>
        </w:tc>
      </w:tr>
      <w:tr w14:paraId="1D3E983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37">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38">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39">
            <w:pPr>
              <w:pStyle w:val="62"/>
            </w:pPr>
            <w:r>
              <w:t>NH</w:t>
            </w:r>
            <w:r>
              <w:rPr>
                <w:vertAlign w:val="subscript"/>
              </w:rPr>
              <w:t>3</w:t>
            </w:r>
            <w:r>
              <w:t>-N</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3A">
            <w:pPr>
              <w:pStyle w:val="62"/>
            </w:pPr>
            <w:r>
              <w:rPr>
                <w:rFonts w:hint="eastAsia"/>
              </w:rPr>
              <w:t>30</w:t>
            </w:r>
            <w:r>
              <w:t>mg/L</w:t>
            </w:r>
          </w:p>
        </w:tc>
      </w:tr>
      <w:tr w14:paraId="1D3E984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3C">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3D">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3E">
            <w:pPr>
              <w:pStyle w:val="62"/>
            </w:pPr>
            <w:r>
              <w:t>TN</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3F">
            <w:pPr>
              <w:pStyle w:val="62"/>
            </w:pPr>
            <w:r>
              <w:rPr>
                <w:rFonts w:hint="eastAsia"/>
              </w:rPr>
              <w:t>5</w:t>
            </w:r>
            <w:r>
              <w:t>0mg/L</w:t>
            </w:r>
          </w:p>
        </w:tc>
      </w:tr>
      <w:tr w14:paraId="1D3E984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41">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42">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43">
            <w:pPr>
              <w:pStyle w:val="62"/>
            </w:pPr>
            <w:r>
              <w:t>TP</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44">
            <w:pPr>
              <w:pStyle w:val="62"/>
            </w:pPr>
            <w:r>
              <w:rPr>
                <w:rFonts w:hint="eastAsia"/>
              </w:rPr>
              <w:t>5</w:t>
            </w:r>
            <w:r>
              <w:t>mg/L</w:t>
            </w:r>
          </w:p>
        </w:tc>
      </w:tr>
      <w:tr w14:paraId="7D1D08C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3519136C">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0AE01E">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2244961F">
            <w:pPr>
              <w:pStyle w:val="62"/>
              <w:rPr>
                <w:highlight w:val="yellow"/>
              </w:rPr>
            </w:pPr>
            <w:r>
              <w:t>BOD</w:t>
            </w:r>
            <w:r>
              <w:rPr>
                <w:vertAlign w:val="subscript"/>
              </w:rPr>
              <w:t>5</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3C3FF815">
            <w:pPr>
              <w:pStyle w:val="62"/>
            </w:pPr>
            <w:r>
              <w:rPr>
                <w:rFonts w:hint="eastAsia"/>
              </w:rPr>
              <w:t>150</w:t>
            </w:r>
            <w:r>
              <w:t>mg/L</w:t>
            </w:r>
          </w:p>
        </w:tc>
      </w:tr>
      <w:tr w14:paraId="18AE341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269F5A9">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021716">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93C4D6F">
            <w:pPr>
              <w:pStyle w:val="62"/>
              <w:rPr>
                <w:highlight w:val="yellow"/>
              </w:rPr>
            </w:pPr>
            <w:r>
              <w:rPr>
                <w:rFonts w:hint="eastAsia"/>
              </w:rPr>
              <w:t>石油类</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397355C5">
            <w:pPr>
              <w:pStyle w:val="62"/>
            </w:pPr>
            <w:r>
              <w:rPr>
                <w:rFonts w:hint="eastAsia"/>
              </w:rPr>
              <w:t>20</w:t>
            </w:r>
            <w:r>
              <w:t>mg/L</w:t>
            </w:r>
          </w:p>
        </w:tc>
      </w:tr>
      <w:tr w14:paraId="1D3E987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78">
            <w:pPr>
              <w:pStyle w:val="62"/>
              <w:rPr>
                <w:highlight w:val="yellow"/>
              </w:rPr>
            </w:pPr>
          </w:p>
        </w:tc>
        <w:tc>
          <w:tcPr>
            <w:tcW w:w="1951"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3E9879">
            <w:pPr>
              <w:pStyle w:val="62"/>
              <w:rPr>
                <w:highlight w:val="yellow"/>
              </w:rPr>
            </w:pPr>
            <w:r>
              <w:rPr>
                <w:rFonts w:hint="eastAsia"/>
              </w:rPr>
              <w:t>唐庄</w:t>
            </w:r>
            <w:r>
              <w:t>污水处理厂收水指标</w:t>
            </w: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7A">
            <w:pPr>
              <w:pStyle w:val="62"/>
            </w:pPr>
            <w:r>
              <w:rPr>
                <w:rFonts w:hint="eastAsia"/>
              </w:rPr>
              <w:t>pH</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7B">
            <w:pPr>
              <w:pStyle w:val="62"/>
              <w:rPr>
                <w:highlight w:val="yellow"/>
              </w:rPr>
            </w:pPr>
            <w:r>
              <w:rPr>
                <w:rFonts w:hint="eastAsia"/>
              </w:rPr>
              <w:t>6~9</w:t>
            </w:r>
          </w:p>
        </w:tc>
      </w:tr>
      <w:tr w14:paraId="1B97D49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5655E904">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D92CC0">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7E96839C">
            <w:pPr>
              <w:pStyle w:val="62"/>
            </w:pPr>
            <w:r>
              <w:t>COD</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6F43EAE9">
            <w:pPr>
              <w:pStyle w:val="62"/>
            </w:pPr>
            <w:r>
              <w:rPr>
                <w:rFonts w:hint="eastAsia"/>
              </w:rPr>
              <w:t>36</w:t>
            </w:r>
            <w:r>
              <w:t>0mg/L</w:t>
            </w:r>
          </w:p>
        </w:tc>
      </w:tr>
      <w:tr w14:paraId="1D3E988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7D">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7E">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7F">
            <w:pPr>
              <w:pStyle w:val="62"/>
            </w:pPr>
            <w:r>
              <w:t>BOD</w:t>
            </w:r>
            <w:r>
              <w:rPr>
                <w:vertAlign w:val="subscript"/>
              </w:rPr>
              <w:t>5</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80">
            <w:pPr>
              <w:pStyle w:val="62"/>
            </w:pPr>
            <w:r>
              <w:rPr>
                <w:rFonts w:hint="eastAsia"/>
              </w:rPr>
              <w:t>20</w:t>
            </w:r>
            <w:r>
              <w:t>0mg/L</w:t>
            </w:r>
          </w:p>
        </w:tc>
      </w:tr>
      <w:tr w14:paraId="1D3E988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82">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83">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84">
            <w:pPr>
              <w:pStyle w:val="62"/>
            </w:pPr>
            <w:r>
              <w:t>SS</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85">
            <w:pPr>
              <w:pStyle w:val="62"/>
            </w:pPr>
            <w:r>
              <w:rPr>
                <w:rFonts w:hint="eastAsia"/>
              </w:rPr>
              <w:t>28</w:t>
            </w:r>
            <w:r>
              <w:t>0mg/L</w:t>
            </w:r>
          </w:p>
        </w:tc>
      </w:tr>
      <w:tr w14:paraId="1D3E988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87">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88">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89">
            <w:pPr>
              <w:pStyle w:val="62"/>
            </w:pPr>
            <w:r>
              <w:t>NH</w:t>
            </w:r>
            <w:r>
              <w:rPr>
                <w:vertAlign w:val="subscript"/>
              </w:rPr>
              <w:t>3</w:t>
            </w:r>
            <w:r>
              <w:t>-N</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8A">
            <w:pPr>
              <w:pStyle w:val="62"/>
            </w:pPr>
            <w:r>
              <w:rPr>
                <w:rFonts w:hint="eastAsia"/>
              </w:rPr>
              <w:t>30</w:t>
            </w:r>
            <w:r>
              <w:t>mg/L</w:t>
            </w:r>
          </w:p>
        </w:tc>
      </w:tr>
      <w:tr w14:paraId="1D3E989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8C">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8D">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8E">
            <w:pPr>
              <w:pStyle w:val="62"/>
            </w:pPr>
            <w:r>
              <w:t>TN</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8F">
            <w:pPr>
              <w:pStyle w:val="62"/>
            </w:pPr>
            <w:r>
              <w:rPr>
                <w:rFonts w:hint="eastAsia"/>
              </w:rPr>
              <w:t>4</w:t>
            </w:r>
            <w:r>
              <w:t>0mg/L</w:t>
            </w:r>
          </w:p>
        </w:tc>
      </w:tr>
      <w:tr w14:paraId="1D3E989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91">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92">
            <w:pPr>
              <w:pStyle w:val="62"/>
              <w:rPr>
                <w:highlight w:val="yellow"/>
              </w:rPr>
            </w:pP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93">
            <w:pPr>
              <w:pStyle w:val="62"/>
            </w:pPr>
            <w:r>
              <w:t>TP</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94">
            <w:pPr>
              <w:pStyle w:val="62"/>
            </w:pPr>
            <w:r>
              <w:rPr>
                <w:rFonts w:hint="eastAsia"/>
              </w:rPr>
              <w:t>5</w:t>
            </w:r>
            <w:r>
              <w:t>mg/L</w:t>
            </w:r>
          </w:p>
        </w:tc>
      </w:tr>
      <w:tr w14:paraId="1D3E989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restart"/>
            <w:tcBorders>
              <w:top w:val="single" w:color="auto" w:sz="4" w:space="0"/>
              <w:bottom w:val="single" w:color="auto" w:sz="4" w:space="0"/>
              <w:right w:val="single" w:color="auto" w:sz="4" w:space="0"/>
            </w:tcBorders>
            <w:shd w:val="clear" w:color="auto" w:fill="auto"/>
            <w:vAlign w:val="center"/>
          </w:tcPr>
          <w:p w14:paraId="1D3E9896">
            <w:pPr>
              <w:pStyle w:val="62"/>
            </w:pPr>
            <w:r>
              <w:t>噪声</w:t>
            </w:r>
          </w:p>
        </w:tc>
        <w:tc>
          <w:tcPr>
            <w:tcW w:w="1951"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3E9897">
            <w:pPr>
              <w:pStyle w:val="62"/>
            </w:pPr>
            <w:r>
              <w:t>《建筑施工场界环境噪声排放标准》（GB12523-2011）</w:t>
            </w:r>
          </w:p>
        </w:tc>
        <w:tc>
          <w:tcPr>
            <w:tcW w:w="1383" w:type="pct"/>
            <w:gridSpan w:val="2"/>
            <w:vMerge w:val="restar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98">
            <w:pPr>
              <w:pStyle w:val="62"/>
            </w:pPr>
            <w:r>
              <w:t>噪声</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99">
            <w:pPr>
              <w:pStyle w:val="62"/>
            </w:pPr>
            <w:r>
              <w:t>昼70dB(A)</w:t>
            </w:r>
          </w:p>
        </w:tc>
      </w:tr>
      <w:tr w14:paraId="1D3E989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9B">
            <w:pPr>
              <w:pStyle w:val="62"/>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9C">
            <w:pPr>
              <w:pStyle w:val="62"/>
            </w:pPr>
          </w:p>
        </w:tc>
        <w:tc>
          <w:tcPr>
            <w:tcW w:w="1383"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9D">
            <w:pPr>
              <w:pStyle w:val="62"/>
            </w:pP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9E">
            <w:pPr>
              <w:pStyle w:val="62"/>
            </w:pPr>
            <w:r>
              <w:t>夜55dB(A)</w:t>
            </w:r>
          </w:p>
        </w:tc>
      </w:tr>
      <w:tr w14:paraId="1D3E98A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A0">
            <w:pPr>
              <w:pStyle w:val="62"/>
              <w:rPr>
                <w:highlight w:val="yellow"/>
              </w:rPr>
            </w:pPr>
          </w:p>
        </w:tc>
        <w:tc>
          <w:tcPr>
            <w:tcW w:w="1951"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3E98A1">
            <w:pPr>
              <w:pStyle w:val="62"/>
            </w:pPr>
            <w:r>
              <w:t>《工业企业厂界环境噪声排放标准》（GB12348-2008）</w:t>
            </w:r>
            <w:r>
              <w:rPr>
                <w:rFonts w:hint="eastAsia"/>
              </w:rPr>
              <w:t>3</w:t>
            </w:r>
            <w:r>
              <w:t>类</w:t>
            </w:r>
          </w:p>
        </w:tc>
        <w:tc>
          <w:tcPr>
            <w:tcW w:w="1383" w:type="pct"/>
            <w:gridSpan w:val="2"/>
            <w:vMerge w:val="restart"/>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A2">
            <w:pPr>
              <w:pStyle w:val="62"/>
            </w:pPr>
            <w:r>
              <w:t>噪声</w:t>
            </w: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A3">
            <w:pPr>
              <w:pStyle w:val="62"/>
            </w:pPr>
            <w:r>
              <w:t>昼6</w:t>
            </w:r>
            <w:r>
              <w:rPr>
                <w:rFonts w:hint="eastAsia"/>
              </w:rPr>
              <w:t>5</w:t>
            </w:r>
            <w:r>
              <w:t>dB(A)</w:t>
            </w:r>
          </w:p>
        </w:tc>
      </w:tr>
      <w:tr w14:paraId="1D3E98A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vMerge w:val="continue"/>
            <w:tcBorders>
              <w:top w:val="single" w:color="auto" w:sz="4" w:space="0"/>
              <w:bottom w:val="single" w:color="auto" w:sz="4" w:space="0"/>
              <w:right w:val="single" w:color="auto" w:sz="4" w:space="0"/>
            </w:tcBorders>
            <w:shd w:val="clear" w:color="auto" w:fill="auto"/>
            <w:vAlign w:val="center"/>
          </w:tcPr>
          <w:p w14:paraId="1D3E98A5">
            <w:pPr>
              <w:pStyle w:val="62"/>
              <w:rPr>
                <w:highlight w:val="yellow"/>
              </w:rPr>
            </w:pPr>
          </w:p>
        </w:tc>
        <w:tc>
          <w:tcPr>
            <w:tcW w:w="195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3E98A6">
            <w:pPr>
              <w:pStyle w:val="62"/>
            </w:pPr>
          </w:p>
        </w:tc>
        <w:tc>
          <w:tcPr>
            <w:tcW w:w="1383"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1" w:type="dxa"/>
              <w:left w:w="57" w:type="dxa"/>
              <w:bottom w:w="11" w:type="dxa"/>
              <w:right w:w="57" w:type="dxa"/>
            </w:tcMar>
            <w:vAlign w:val="center"/>
          </w:tcPr>
          <w:p w14:paraId="1D3E98A7">
            <w:pPr>
              <w:pStyle w:val="62"/>
            </w:pPr>
          </w:p>
        </w:tc>
        <w:tc>
          <w:tcPr>
            <w:tcW w:w="1019" w:type="pct"/>
            <w:tcBorders>
              <w:top w:val="single" w:color="auto" w:sz="4" w:space="0"/>
              <w:left w:val="single" w:color="auto" w:sz="4" w:space="0"/>
              <w:bottom w:val="single" w:color="auto" w:sz="4" w:space="0"/>
            </w:tcBorders>
            <w:shd w:val="clear" w:color="auto" w:fill="auto"/>
            <w:tcMar>
              <w:top w:w="11" w:type="dxa"/>
              <w:left w:w="57" w:type="dxa"/>
              <w:bottom w:w="11" w:type="dxa"/>
              <w:right w:w="57" w:type="dxa"/>
            </w:tcMar>
            <w:vAlign w:val="center"/>
          </w:tcPr>
          <w:p w14:paraId="1D3E98A8">
            <w:pPr>
              <w:pStyle w:val="62"/>
            </w:pPr>
            <w:r>
              <w:t>夜5</w:t>
            </w:r>
            <w:r>
              <w:rPr>
                <w:rFonts w:hint="eastAsia"/>
              </w:rPr>
              <w:t>5</w:t>
            </w:r>
            <w:r>
              <w:t>dB(A)</w:t>
            </w:r>
          </w:p>
        </w:tc>
      </w:tr>
      <w:tr w14:paraId="1D3E98A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647" w:type="pct"/>
            <w:tcBorders>
              <w:top w:val="single" w:color="auto" w:sz="4" w:space="0"/>
              <w:bottom w:val="single" w:color="000000" w:sz="8" w:space="0"/>
              <w:right w:val="single" w:color="auto" w:sz="4" w:space="0"/>
            </w:tcBorders>
            <w:shd w:val="clear" w:color="auto" w:fill="auto"/>
            <w:vAlign w:val="center"/>
          </w:tcPr>
          <w:p w14:paraId="1D3E98AA">
            <w:pPr>
              <w:pStyle w:val="62"/>
            </w:pPr>
            <w:r>
              <w:t>固体废物</w:t>
            </w:r>
          </w:p>
        </w:tc>
        <w:tc>
          <w:tcPr>
            <w:tcW w:w="4353" w:type="pct"/>
            <w:gridSpan w:val="5"/>
            <w:tcBorders>
              <w:top w:val="single" w:color="auto" w:sz="4" w:space="0"/>
              <w:left w:val="single" w:color="auto" w:sz="4" w:space="0"/>
              <w:bottom w:val="single" w:color="000000" w:sz="8" w:space="0"/>
            </w:tcBorders>
            <w:shd w:val="clear" w:color="auto" w:fill="auto"/>
            <w:vAlign w:val="center"/>
          </w:tcPr>
          <w:p w14:paraId="1D3E98AB">
            <w:pPr>
              <w:pStyle w:val="62"/>
            </w:pPr>
            <w:r>
              <w:t>《一般工业固体废物贮存和填埋污染控制标准》（GB18599-2020）中的防渗漏、防雨淋、防扬尘等环境保护要求</w:t>
            </w:r>
          </w:p>
          <w:p w14:paraId="1D3E98AC">
            <w:pPr>
              <w:pStyle w:val="62"/>
            </w:pPr>
            <w:r>
              <w:t>《危险废物贮存污染控制标准》（GB18597-2023）</w:t>
            </w:r>
          </w:p>
        </w:tc>
      </w:tr>
      <w:bookmarkEnd w:id="114"/>
      <w:bookmarkEnd w:id="115"/>
      <w:bookmarkEnd w:id="116"/>
    </w:tbl>
    <w:p w14:paraId="0A485B01">
      <w:pPr>
        <w:ind w:firstLine="480"/>
      </w:pPr>
      <w:r>
        <w:rPr>
          <w:rFonts w:hint="eastAsia"/>
        </w:rPr>
        <w:t>除上表执行标准外，企业应需满足以下文件相关要求：</w:t>
      </w:r>
    </w:p>
    <w:p w14:paraId="6C078C56">
      <w:pPr>
        <w:pStyle w:val="2"/>
        <w:spacing w:after="0"/>
        <w:ind w:firstLine="480"/>
        <w:rPr>
          <w:bCs/>
        </w:rPr>
      </w:pPr>
      <w:r>
        <w:rPr>
          <w:rFonts w:hint="eastAsia"/>
        </w:rPr>
        <w:t>颗粒物需满足</w:t>
      </w:r>
      <w:r>
        <w:rPr>
          <w:bCs/>
        </w:rPr>
        <w:t>《新乡市生态环境局关于进一步规范工业企业颗粒物排放限值的通知》其他涉气工业企业</w:t>
      </w:r>
      <w:r>
        <w:rPr>
          <w:rFonts w:hint="eastAsia"/>
          <w:bCs/>
        </w:rPr>
        <w:t>有组织10mg/m</w:t>
      </w:r>
      <w:r>
        <w:rPr>
          <w:rFonts w:hint="eastAsia"/>
          <w:bCs/>
          <w:vertAlign w:val="superscript"/>
        </w:rPr>
        <w:t>3</w:t>
      </w:r>
      <w:r>
        <w:rPr>
          <w:rFonts w:hint="eastAsia"/>
          <w:bCs/>
        </w:rPr>
        <w:t>、无组织0.5mg/m</w:t>
      </w:r>
      <w:r>
        <w:rPr>
          <w:rFonts w:hint="eastAsia"/>
          <w:bCs/>
          <w:vertAlign w:val="superscript"/>
        </w:rPr>
        <w:t>3</w:t>
      </w:r>
      <w:r>
        <w:rPr>
          <w:rFonts w:hint="eastAsia"/>
          <w:bCs/>
        </w:rPr>
        <w:t>排放限值要求；</w:t>
      </w:r>
    </w:p>
    <w:p w14:paraId="7D597BC3">
      <w:pPr>
        <w:ind w:firstLine="480"/>
      </w:pPr>
      <w:r>
        <w:rPr>
          <w:rFonts w:hint="eastAsia"/>
        </w:rPr>
        <w:t>非甲烷总烃需满足《河南省重污染天气重点行业应急减排措施技术指南》（2021年修订版）中有机化工A级绩效指标中有组织20mg/m</w:t>
      </w:r>
      <w:r>
        <w:rPr>
          <w:rFonts w:hint="eastAsia"/>
          <w:vertAlign w:val="superscript"/>
        </w:rPr>
        <w:t>3</w:t>
      </w:r>
      <w:r>
        <w:rPr>
          <w:rFonts w:hint="eastAsia"/>
        </w:rPr>
        <w:t>、生产车间或生产设备的无组织排放监控点5mg/m</w:t>
      </w:r>
      <w:r>
        <w:rPr>
          <w:rFonts w:hint="eastAsia"/>
          <w:vertAlign w:val="superscript"/>
        </w:rPr>
        <w:t>3</w:t>
      </w:r>
      <w:r>
        <w:rPr>
          <w:rFonts w:hint="eastAsia"/>
        </w:rPr>
        <w:t>、企业边界1h平均浓度2.0mg/m</w:t>
      </w:r>
      <w:r>
        <w:rPr>
          <w:rFonts w:hint="eastAsia"/>
          <w:vertAlign w:val="superscript"/>
        </w:rPr>
        <w:t>3</w:t>
      </w:r>
      <w:r>
        <w:rPr>
          <w:rFonts w:hint="eastAsia"/>
        </w:rPr>
        <w:t>排放限值要求；</w:t>
      </w:r>
    </w:p>
    <w:p w14:paraId="2D8FD951">
      <w:pPr>
        <w:pStyle w:val="2"/>
        <w:spacing w:after="0"/>
        <w:ind w:firstLine="480"/>
        <w:rPr>
          <w:highlight w:val="yellow"/>
        </w:rPr>
        <w:sectPr>
          <w:pgSz w:w="11906" w:h="16838"/>
          <w:pgMar w:top="1701" w:right="1587" w:bottom="1701" w:left="1587" w:header="851" w:footer="1134" w:gutter="0"/>
          <w:cols w:space="720" w:num="1"/>
          <w:docGrid w:type="lines" w:linePitch="323" w:charSpace="0"/>
        </w:sectPr>
      </w:pPr>
      <w:r>
        <w:rPr>
          <w:rFonts w:hint="eastAsia"/>
        </w:rPr>
        <w:t>臭气浓度、氨、硫化氢需满足《河南省重污染天气重点行业应急减排措施技术指南》（2021年修订版）中有机化工A级绩效指标中</w:t>
      </w:r>
      <w:r>
        <w:t>污水处理场周界监控点</w:t>
      </w:r>
      <w:r>
        <w:rPr>
          <w:rFonts w:hint="eastAsia"/>
        </w:rPr>
        <w:t>臭气浓度20、氨0.2mg/m</w:t>
      </w:r>
      <w:r>
        <w:rPr>
          <w:rFonts w:hint="eastAsia"/>
          <w:vertAlign w:val="superscript"/>
        </w:rPr>
        <w:t>3</w:t>
      </w:r>
      <w:r>
        <w:rPr>
          <w:rFonts w:hint="eastAsia"/>
        </w:rPr>
        <w:t>、硫化氢0.02mg/m</w:t>
      </w:r>
      <w:r>
        <w:rPr>
          <w:rFonts w:hint="eastAsia"/>
          <w:vertAlign w:val="superscript"/>
        </w:rPr>
        <w:t>3</w:t>
      </w:r>
      <w:r>
        <w:rPr>
          <w:rFonts w:hint="eastAsia"/>
        </w:rPr>
        <w:t>限值要求。</w:t>
      </w:r>
    </w:p>
    <w:p w14:paraId="68110C68">
      <w:pPr>
        <w:pStyle w:val="4"/>
      </w:pPr>
      <w:bookmarkStart w:id="117" w:name="_Toc176105854"/>
      <w:r>
        <w:t>环境功能区划</w:t>
      </w:r>
      <w:bookmarkEnd w:id="117"/>
    </w:p>
    <w:p w14:paraId="7115DAE7">
      <w:pPr>
        <w:pStyle w:val="5"/>
        <w:spacing w:before="240" w:after="240"/>
      </w:pPr>
      <w:bookmarkStart w:id="118" w:name="_Toc428286798"/>
      <w:bookmarkStart w:id="119" w:name="_Toc428287544"/>
      <w:bookmarkStart w:id="120" w:name="_Toc428287192"/>
      <w:r>
        <w:t>环境空气</w:t>
      </w:r>
      <w:bookmarkEnd w:id="118"/>
      <w:bookmarkEnd w:id="119"/>
      <w:bookmarkEnd w:id="120"/>
    </w:p>
    <w:p w14:paraId="1D3E98B0">
      <w:pPr>
        <w:ind w:firstLine="480"/>
      </w:pPr>
      <w:r>
        <w:t>评价范围内环境空气属二类环境功能区。</w:t>
      </w:r>
    </w:p>
    <w:p w14:paraId="1D3E98B1">
      <w:pPr>
        <w:pStyle w:val="5"/>
        <w:spacing w:before="240" w:after="240"/>
      </w:pPr>
      <w:bookmarkStart w:id="121" w:name="_Toc428287545"/>
      <w:bookmarkStart w:id="122" w:name="_Toc428286799"/>
      <w:bookmarkStart w:id="123" w:name="_Toc428287193"/>
      <w:r>
        <w:t>地表水</w:t>
      </w:r>
      <w:bookmarkEnd w:id="121"/>
      <w:bookmarkEnd w:id="122"/>
      <w:bookmarkEnd w:id="123"/>
    </w:p>
    <w:p w14:paraId="1D3E98B2">
      <w:pPr>
        <w:ind w:firstLine="480"/>
      </w:pPr>
      <w:r>
        <w:t>项目纳污水体为</w:t>
      </w:r>
      <w:r>
        <w:rPr>
          <w:rFonts w:hint="eastAsia"/>
        </w:rPr>
        <w:t>共产主义渠</w:t>
      </w:r>
      <w:r>
        <w:t>，根据</w:t>
      </w:r>
      <w:r>
        <w:rPr>
          <w:rFonts w:hint="eastAsia"/>
        </w:rPr>
        <w:t>《新乡市生态环境局关于下达2023年地表水环境质量暂定目标的函》、《新乡市生态环境局关于印发2024年地表水环境质量目标的函》</w:t>
      </w:r>
      <w:r>
        <w:t>，</w:t>
      </w:r>
      <w:r>
        <w:rPr>
          <w:rFonts w:hint="eastAsia"/>
        </w:rPr>
        <w:t>共产主义渠下马营2023年、2024年</w:t>
      </w:r>
      <w:r>
        <w:t>目标</w:t>
      </w:r>
      <w:r>
        <w:rPr>
          <w:rFonts w:hint="eastAsia"/>
        </w:rPr>
        <w:t>均</w:t>
      </w:r>
      <w:r>
        <w:t>为Ⅳ类水环境功能区。</w:t>
      </w:r>
    </w:p>
    <w:p w14:paraId="1D3E98B3">
      <w:pPr>
        <w:pStyle w:val="5"/>
        <w:spacing w:before="240" w:after="240"/>
      </w:pPr>
      <w:bookmarkStart w:id="124" w:name="_Toc428287194"/>
      <w:bookmarkStart w:id="125" w:name="_Toc428286800"/>
      <w:bookmarkStart w:id="126" w:name="_Toc428287546"/>
      <w:r>
        <w:t>声环境</w:t>
      </w:r>
      <w:bookmarkEnd w:id="124"/>
      <w:bookmarkEnd w:id="125"/>
      <w:bookmarkEnd w:id="126"/>
    </w:p>
    <w:p w14:paraId="1D3E98B4">
      <w:pPr>
        <w:ind w:firstLine="480"/>
      </w:pPr>
      <w:r>
        <w:t>项目所在地属于环境噪声</w:t>
      </w:r>
      <w:r>
        <w:rPr>
          <w:rFonts w:hint="eastAsia"/>
        </w:rPr>
        <w:t>3</w:t>
      </w:r>
      <w:r>
        <w:t>类功能区。</w:t>
      </w:r>
    </w:p>
    <w:p w14:paraId="1D3E98B5">
      <w:pPr>
        <w:pStyle w:val="5"/>
        <w:spacing w:before="240" w:after="240"/>
      </w:pPr>
      <w:bookmarkStart w:id="127" w:name="_Toc428287547"/>
      <w:bookmarkStart w:id="128" w:name="_Toc428286801"/>
      <w:bookmarkStart w:id="129" w:name="_Toc310408256"/>
      <w:bookmarkStart w:id="130" w:name="_Toc428287195"/>
      <w:bookmarkStart w:id="131" w:name="_Toc426019293"/>
      <w:r>
        <w:t>环境质量现状</w:t>
      </w:r>
      <w:bookmarkEnd w:id="127"/>
      <w:bookmarkEnd w:id="128"/>
      <w:bookmarkEnd w:id="129"/>
      <w:bookmarkEnd w:id="130"/>
      <w:bookmarkEnd w:id="131"/>
    </w:p>
    <w:p w14:paraId="1D3E98B6">
      <w:pPr>
        <w:ind w:firstLine="480"/>
        <w:rPr>
          <w:highlight w:val="yellow"/>
        </w:rPr>
      </w:pPr>
      <w:r>
        <w:t>评价区基本污染物（SO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r>
        <w:t>）中的PM</w:t>
      </w:r>
      <w:r>
        <w:rPr>
          <w:vertAlign w:val="subscript"/>
        </w:rPr>
        <w:t>10</w:t>
      </w:r>
      <w:r>
        <w:t>、PM</w:t>
      </w:r>
      <w:r>
        <w:rPr>
          <w:vertAlign w:val="subscript"/>
        </w:rPr>
        <w:t>2.5</w:t>
      </w:r>
      <w:r>
        <w:t>、O</w:t>
      </w:r>
      <w:r>
        <w:rPr>
          <w:vertAlign w:val="subscript"/>
        </w:rPr>
        <w:t>3</w:t>
      </w:r>
      <w:r>
        <w:t>环境质量现状监测结果不能满足《环境空气质量标准》（GB3095-2012）二级标准要求，属于不达标区。</w:t>
      </w:r>
      <w:r>
        <w:rPr>
          <w:rFonts w:hint="eastAsia"/>
        </w:rPr>
        <w:t>硫酸、氨、硫化氢</w:t>
      </w:r>
      <w:r>
        <w:t>环境质量现状能够满足《环境影响评价技术导则大气环境》（HJ2.2-2018）附录D的限值要求。</w:t>
      </w:r>
    </w:p>
    <w:p w14:paraId="1D3E98B7">
      <w:pPr>
        <w:ind w:firstLine="480"/>
      </w:pPr>
      <w:r>
        <w:t>地表水环境：</w:t>
      </w:r>
      <w:r>
        <w:rPr>
          <w:rFonts w:hint="eastAsia"/>
        </w:rPr>
        <w:t>共产主义渠下马营断面2023年高锰酸盐指数年均值3.9mg/L、NH</w:t>
      </w:r>
      <w:r>
        <w:rPr>
          <w:rFonts w:hint="eastAsia"/>
          <w:vertAlign w:val="subscript"/>
        </w:rPr>
        <w:t>3</w:t>
      </w:r>
      <w:r>
        <w:rPr>
          <w:rFonts w:hint="eastAsia"/>
        </w:rPr>
        <w:t>-N年均值0.4mg/L、TP年均值0.2mg/L，</w:t>
      </w:r>
      <w:r>
        <w:rPr>
          <w:rFonts w:hint="eastAsia"/>
          <w:szCs w:val="24"/>
          <w:u w:val="single"/>
        </w:rPr>
        <w:t>2024年1-9月高锰酸盐指数</w:t>
      </w:r>
      <w:r>
        <w:rPr>
          <w:szCs w:val="24"/>
          <w:u w:val="single"/>
        </w:rPr>
        <w:t>均值</w:t>
      </w:r>
      <w:r>
        <w:rPr>
          <w:rFonts w:hint="eastAsia"/>
          <w:szCs w:val="24"/>
          <w:u w:val="single"/>
        </w:rPr>
        <w:t>5.0</w:t>
      </w:r>
      <w:r>
        <w:rPr>
          <w:szCs w:val="24"/>
          <w:u w:val="single"/>
        </w:rPr>
        <w:t>mg/L、NH</w:t>
      </w:r>
      <w:r>
        <w:rPr>
          <w:szCs w:val="24"/>
          <w:u w:val="single"/>
          <w:vertAlign w:val="subscript"/>
        </w:rPr>
        <w:t>3</w:t>
      </w:r>
      <w:r>
        <w:rPr>
          <w:szCs w:val="24"/>
          <w:u w:val="single"/>
        </w:rPr>
        <w:t>-N均值0.</w:t>
      </w:r>
      <w:r>
        <w:rPr>
          <w:rFonts w:hint="eastAsia"/>
          <w:szCs w:val="24"/>
          <w:u w:val="single"/>
        </w:rPr>
        <w:t>38</w:t>
      </w:r>
      <w:r>
        <w:rPr>
          <w:szCs w:val="24"/>
          <w:u w:val="single"/>
        </w:rPr>
        <w:t>mg/L、TP均值0.</w:t>
      </w:r>
      <w:r>
        <w:rPr>
          <w:rFonts w:hint="eastAsia"/>
          <w:szCs w:val="24"/>
          <w:u w:val="single"/>
        </w:rPr>
        <w:t>15</w:t>
      </w:r>
      <w:r>
        <w:rPr>
          <w:szCs w:val="24"/>
          <w:u w:val="single"/>
        </w:rPr>
        <w:t>mg/L</w:t>
      </w:r>
      <w:r>
        <w:rPr>
          <w:rFonts w:hint="eastAsia"/>
          <w:szCs w:val="24"/>
          <w:u w:val="single"/>
        </w:rPr>
        <w:t>，均</w:t>
      </w:r>
      <w:r>
        <w:rPr>
          <w:rFonts w:hint="eastAsia"/>
        </w:rPr>
        <w:t>能够满足《地表水环境质量标准》（GB3838-2002）IV类标准（高锰酸盐指数10mg/L、NH</w:t>
      </w:r>
      <w:r>
        <w:rPr>
          <w:rFonts w:hint="eastAsia"/>
          <w:vertAlign w:val="subscript"/>
        </w:rPr>
        <w:t>3</w:t>
      </w:r>
      <w:r>
        <w:rPr>
          <w:rFonts w:hint="eastAsia"/>
        </w:rPr>
        <w:t>-N 1.5mg/L、TP 0.3mg/L）</w:t>
      </w:r>
      <w:r>
        <w:t>。</w:t>
      </w:r>
    </w:p>
    <w:p w14:paraId="1D3E98B8">
      <w:pPr>
        <w:ind w:firstLine="480"/>
      </w:pPr>
      <w:r>
        <w:t>地下水环境：根据监测结果，评价区地下水pH、耗氧量、氨氮等指标均能满足《地下水质量标准》（GB/T14848-2017）Ⅲ类的标准要求。</w:t>
      </w:r>
    </w:p>
    <w:p w14:paraId="1D3E98B9">
      <w:pPr>
        <w:ind w:firstLine="480"/>
      </w:pPr>
      <w:r>
        <w:t>声环境：</w:t>
      </w:r>
      <w:r>
        <w:rPr>
          <w:szCs w:val="24"/>
        </w:rPr>
        <w:t>项目东、西、南、北四厂界</w:t>
      </w:r>
      <w:r>
        <w:rPr>
          <w:rFonts w:hint="eastAsia"/>
          <w:szCs w:val="24"/>
        </w:rPr>
        <w:t>外</w:t>
      </w:r>
      <w:r>
        <w:rPr>
          <w:szCs w:val="24"/>
        </w:rPr>
        <w:t>声环境质量均能达到《声环境质量标准》（GB3096-2008）</w:t>
      </w:r>
      <w:r>
        <w:rPr>
          <w:rFonts w:hint="eastAsia"/>
          <w:szCs w:val="24"/>
        </w:rPr>
        <w:t>3</w:t>
      </w:r>
      <w:r>
        <w:rPr>
          <w:szCs w:val="24"/>
        </w:rPr>
        <w:t>类标准</w:t>
      </w:r>
      <w:r>
        <w:t>。</w:t>
      </w:r>
    </w:p>
    <w:p w14:paraId="1D3E98BA">
      <w:pPr>
        <w:ind w:firstLine="480"/>
      </w:pPr>
      <w:r>
        <w:t>土壤环境：项目所在区域建设用地的土壤环境检测值均符合《土壤环境质量建设用地土壤污染风险管控标准（试行）（GB36600-2018）表1筛选值第二类用地的限值要求，厂区外监测点位监测因子满足《土壤环境质量 农用地土壤污染风险管控标准(试行)》（GB15618-2018）表1筛选值标准要求。</w:t>
      </w:r>
    </w:p>
    <w:p w14:paraId="1D3E98BB">
      <w:pPr>
        <w:pStyle w:val="4"/>
      </w:pPr>
      <w:bookmarkStart w:id="132" w:name="_Toc176105855"/>
      <w:bookmarkStart w:id="133" w:name="_Toc428286794"/>
      <w:bookmarkStart w:id="134" w:name="_Toc429318392"/>
      <w:bookmarkStart w:id="135" w:name="_Toc428287188"/>
      <w:bookmarkStart w:id="136" w:name="_Toc417375756"/>
      <w:bookmarkStart w:id="137" w:name="_Toc429318395"/>
      <w:bookmarkStart w:id="138" w:name="_Toc428286806"/>
      <w:bookmarkStart w:id="139" w:name="_Toc428287200"/>
      <w:bookmarkStart w:id="140" w:name="_Toc395517229"/>
      <w:r>
        <w:t>规划相符性分析</w:t>
      </w:r>
      <w:bookmarkEnd w:id="132"/>
      <w:bookmarkEnd w:id="133"/>
      <w:bookmarkEnd w:id="134"/>
      <w:bookmarkEnd w:id="135"/>
    </w:p>
    <w:p w14:paraId="46528F28">
      <w:pPr>
        <w:pStyle w:val="5"/>
        <w:spacing w:before="240" w:after="240"/>
      </w:pPr>
      <w:r>
        <w:rPr>
          <w:rFonts w:hint="eastAsia"/>
        </w:rPr>
        <w:t>与《卫辉市国土空间总体规划（2021-2035）》的相符性</w:t>
      </w:r>
    </w:p>
    <w:p w14:paraId="6C1593E5">
      <w:pPr>
        <w:tabs>
          <w:tab w:val="left" w:pos="360"/>
          <w:tab w:val="left" w:pos="540"/>
        </w:tabs>
        <w:ind w:firstLine="480"/>
      </w:pPr>
      <w:r>
        <w:rPr>
          <w:rFonts w:hint="eastAsia"/>
          <w:szCs w:val="24"/>
        </w:rPr>
        <w:t>（1）</w:t>
      </w:r>
      <w:r>
        <w:rPr>
          <w:rFonts w:hint="eastAsia"/>
        </w:rPr>
        <w:t>规划范围</w:t>
      </w:r>
    </w:p>
    <w:p w14:paraId="12D7B04E">
      <w:pPr>
        <w:tabs>
          <w:tab w:val="left" w:pos="360"/>
          <w:tab w:val="left" w:pos="540"/>
        </w:tabs>
        <w:ind w:firstLine="480"/>
        <w:rPr>
          <w:szCs w:val="24"/>
        </w:rPr>
      </w:pPr>
      <w:r>
        <w:rPr>
          <w:rFonts w:hint="eastAsia"/>
          <w:szCs w:val="24"/>
        </w:rPr>
        <w:t>规划范围：卫辉行政辖区范围，包括7镇6乡15个居委会，总面积85886.48公顷。总面积868平方公里。</w:t>
      </w:r>
    </w:p>
    <w:p w14:paraId="7DC651B6">
      <w:pPr>
        <w:tabs>
          <w:tab w:val="left" w:pos="360"/>
          <w:tab w:val="left" w:pos="540"/>
        </w:tabs>
        <w:ind w:firstLine="480"/>
        <w:rPr>
          <w:szCs w:val="24"/>
        </w:rPr>
      </w:pPr>
      <w:r>
        <w:rPr>
          <w:rFonts w:hint="eastAsia"/>
          <w:szCs w:val="24"/>
        </w:rPr>
        <w:t>（2）城市性质</w:t>
      </w:r>
    </w:p>
    <w:p w14:paraId="5E69D789">
      <w:pPr>
        <w:ind w:firstLine="480"/>
      </w:pPr>
      <w:r>
        <w:rPr>
          <w:rFonts w:hint="eastAsia"/>
        </w:rPr>
        <w:t>河南省历史文化名城：省级历史文化名城、华夏文明寻祖归宗根亲文化集群。</w:t>
      </w:r>
    </w:p>
    <w:p w14:paraId="2FA35E78">
      <w:pPr>
        <w:pStyle w:val="2"/>
        <w:spacing w:after="0"/>
        <w:ind w:firstLine="480"/>
      </w:pPr>
      <w:r>
        <w:rPr>
          <w:rFonts w:hint="eastAsia"/>
        </w:rPr>
        <w:t>豫北绿色低碳循环产业基地：打造食品饮料及包装材料生产基地、绿色建材生产基地、新材料产业园区。</w:t>
      </w:r>
    </w:p>
    <w:p w14:paraId="67351228">
      <w:pPr>
        <w:ind w:firstLine="480"/>
      </w:pPr>
      <w:r>
        <w:rPr>
          <w:rFonts w:hint="eastAsia"/>
        </w:rPr>
        <w:t>全国知名历史人文宜居秀水城：打造以根亲文化为特征的南太行大健康养生基地、大运河之滨秀水活力城。</w:t>
      </w:r>
    </w:p>
    <w:p w14:paraId="5EB714A2">
      <w:pPr>
        <w:ind w:firstLine="480"/>
      </w:pPr>
      <w:r>
        <w:rPr>
          <w:rFonts w:hint="eastAsia"/>
        </w:rPr>
        <w:t>（3）发展定位</w:t>
      </w:r>
    </w:p>
    <w:p w14:paraId="1B425E88">
      <w:pPr>
        <w:pStyle w:val="2"/>
        <w:spacing w:after="0"/>
        <w:ind w:firstLine="480"/>
      </w:pPr>
      <w:r>
        <w:rPr>
          <w:rFonts w:hint="eastAsia"/>
        </w:rPr>
        <w:t>构建“两城·一地·三区”，两城：全国知名文化旅游城市、豫北生态宜居山水城市；一地：豫北绿色低碳循环产业基地；三区：新乡都市区市县高质量一体化发展示范区、新乡市北部综合交通物流枢纽核心区、新乡市新能源产业发展引领区。</w:t>
      </w:r>
    </w:p>
    <w:p w14:paraId="3325745E">
      <w:pPr>
        <w:ind w:firstLine="480"/>
        <w:rPr>
          <w:highlight w:val="yellow"/>
        </w:rPr>
      </w:pPr>
      <w:r>
        <w:rPr>
          <w:rFonts w:hint="eastAsia"/>
        </w:rPr>
        <w:t>（4）构筑空间总体格局</w:t>
      </w:r>
    </w:p>
    <w:p w14:paraId="4DE0A9D3">
      <w:pPr>
        <w:pStyle w:val="2"/>
        <w:spacing w:after="0"/>
        <w:ind w:firstLine="480"/>
      </w:pPr>
      <w:r>
        <w:rPr>
          <w:rFonts w:hint="eastAsia"/>
        </w:rPr>
        <w:t>构建“一心双轴、两带四区”国土空间总体格局。一心：以卫辉市中心城区为核心。双轴：新卫一体化发展轴；区域联动发展轴。两带：大运河文化生态带；市域乡镇协同发展带。四区：城市化发展区；平原农业发展区；矿山生态修复区；太行山林生态保护区。</w:t>
      </w:r>
    </w:p>
    <w:p w14:paraId="1593710C">
      <w:pPr>
        <w:ind w:firstLine="480"/>
      </w:pPr>
      <w:r>
        <w:rPr>
          <w:rFonts w:hint="eastAsia"/>
        </w:rPr>
        <w:t>（5）统筹保护生态空间</w:t>
      </w:r>
    </w:p>
    <w:p w14:paraId="312DF766">
      <w:pPr>
        <w:pStyle w:val="2"/>
        <w:spacing w:after="0"/>
        <w:ind w:firstLine="480"/>
      </w:pPr>
      <w:r>
        <w:rPr>
          <w:rFonts w:hint="eastAsia"/>
        </w:rPr>
        <w:t>构建“一屏一区两廊多点”的生态安全格局。一屏：太行山生态屏障；一区：平原生态涵养区；两廊：南水北调和大运河生态保育廊道；多点：以自然保护地为主具有重要生态服务功能的生态源地。</w:t>
      </w:r>
    </w:p>
    <w:p w14:paraId="6AE89C86">
      <w:pPr>
        <w:ind w:firstLine="480"/>
      </w:pPr>
      <w:r>
        <w:rPr>
          <w:rFonts w:hint="eastAsia"/>
        </w:rPr>
        <w:t>实施生态空间整治修复。有序推进北部矿山生态修复人为干预为主，自然恢复为辅；构建以南水北调、卫河、共产主义渠等河流为绿色生态绿网：加快推进污染水体治理与修复，实施水环境和水生态综合治理修复；沟建太行山生态屏障：推进森林生态系统修复治理，提高水源涵养和水土保持能力，丰富生物多样性；加强湿地保护修复：加快推进大沙河省级湿地公园建设，适度开发湿地景观价值和生态服务功能。</w:t>
      </w:r>
    </w:p>
    <w:p w14:paraId="7AF334A4">
      <w:pPr>
        <w:pStyle w:val="2"/>
        <w:spacing w:after="0"/>
        <w:ind w:firstLine="480"/>
      </w:pPr>
      <w:r>
        <w:rPr>
          <w:rFonts w:hint="eastAsia"/>
        </w:rPr>
        <w:t>（6）合理划定规划分区</w:t>
      </w:r>
    </w:p>
    <w:p w14:paraId="00C1DD66">
      <w:pPr>
        <w:ind w:firstLine="480"/>
      </w:pPr>
      <w:r>
        <w:rPr>
          <w:rFonts w:hint="eastAsia"/>
        </w:rPr>
        <w:t>农田保护区：从严管控非农建设占用永久基本农田，鼓励开展高标准农田建设和土地整治，提高永久基本农田质量。</w:t>
      </w:r>
    </w:p>
    <w:p w14:paraId="4F3D1392">
      <w:pPr>
        <w:pStyle w:val="2"/>
        <w:spacing w:after="0"/>
        <w:ind w:firstLine="480"/>
      </w:pPr>
      <w:r>
        <w:rPr>
          <w:rFonts w:hint="eastAsia"/>
        </w:rPr>
        <w:t>生态保护区：实行严格保护，建立最严格的准入机制，禁止影响生态功能的开发建设活动，已有开发建设行为逐步引导退出。</w:t>
      </w:r>
    </w:p>
    <w:p w14:paraId="004B0956">
      <w:pPr>
        <w:ind w:firstLine="480"/>
      </w:pPr>
      <w:r>
        <w:rPr>
          <w:rFonts w:hint="eastAsia"/>
        </w:rPr>
        <w:t>生态控制区：禁止开展对主导生态功能产生影响的开发建设活动，限制除市政、交通、水利基础设施以外的其他新增建设用地。</w:t>
      </w:r>
    </w:p>
    <w:p w14:paraId="160DA19E">
      <w:pPr>
        <w:pStyle w:val="2"/>
        <w:spacing w:after="0"/>
        <w:ind w:firstLine="480"/>
      </w:pPr>
      <w:r>
        <w:rPr>
          <w:rFonts w:hint="eastAsia"/>
        </w:rPr>
        <w:t>城镇发展区：所有建设行为应按照详细规划进行精细化管理，对城镇建设用地总规模实行严格管控。城镇发展区外原则上不得进行城镇集中建设。</w:t>
      </w:r>
    </w:p>
    <w:p w14:paraId="5DA00743">
      <w:pPr>
        <w:ind w:firstLine="480"/>
      </w:pPr>
      <w:r>
        <w:rPr>
          <w:rFonts w:hint="eastAsia"/>
        </w:rPr>
        <w:t>乡村发展区：各项开发建设活动按照“详细规划+规划许可”和“约束指标+分区准入”的方式进行管控。</w:t>
      </w:r>
    </w:p>
    <w:p w14:paraId="4E50BD0B">
      <w:pPr>
        <w:pStyle w:val="2"/>
        <w:spacing w:after="0"/>
        <w:ind w:firstLine="480"/>
      </w:pPr>
      <w:r>
        <w:rPr>
          <w:rFonts w:hint="eastAsia"/>
        </w:rPr>
        <w:t>（7）优化用地布局结构</w:t>
      </w:r>
    </w:p>
    <w:p w14:paraId="7B6C78C4">
      <w:pPr>
        <w:ind w:firstLine="480"/>
      </w:pPr>
      <w:r>
        <w:rPr>
          <w:rFonts w:hint="eastAsia"/>
        </w:rPr>
        <w:t>形成“一核显古今，两带协四轴，三区嵌多心”的空间结构。</w:t>
      </w:r>
    </w:p>
    <w:p w14:paraId="4662C0F5">
      <w:pPr>
        <w:ind w:firstLine="480"/>
      </w:pPr>
      <w:r>
        <w:rPr>
          <w:rFonts w:hint="eastAsia"/>
        </w:rPr>
        <w:t>一核：古城历史文化保护核。</w:t>
      </w:r>
    </w:p>
    <w:p w14:paraId="55915B42">
      <w:pPr>
        <w:ind w:firstLine="480"/>
      </w:pPr>
      <w:r>
        <w:rPr>
          <w:rFonts w:hint="eastAsia"/>
        </w:rPr>
        <w:t>两带：大运河文化生态带、东孟姜女河生态带。</w:t>
      </w:r>
    </w:p>
    <w:p w14:paraId="36FFFD45">
      <w:pPr>
        <w:ind w:firstLine="480"/>
      </w:pPr>
      <w:r>
        <w:rPr>
          <w:rFonts w:hint="eastAsia"/>
        </w:rPr>
        <w:t>四轴：以比干大道城市发展轴和建设路产城联动轴为两个主轴、以纺织路和振兴路为两个副轴。</w:t>
      </w:r>
    </w:p>
    <w:p w14:paraId="15A41C02">
      <w:pPr>
        <w:ind w:firstLine="480"/>
      </w:pPr>
      <w:r>
        <w:rPr>
          <w:rFonts w:hint="eastAsia"/>
        </w:rPr>
        <w:t>三区：大运河北工业区、老城居住生活区、大禹湖居住生活区。</w:t>
      </w:r>
    </w:p>
    <w:p w14:paraId="31C290B8">
      <w:pPr>
        <w:ind w:firstLine="480"/>
      </w:pPr>
      <w:r>
        <w:rPr>
          <w:rFonts w:hint="eastAsia"/>
        </w:rPr>
        <w:t>多心：行政办公中心、滨湖商贸中心、健康养生中心、公铁物流中心、滨河休闲中心等。</w:t>
      </w:r>
    </w:p>
    <w:p w14:paraId="42E5E40D">
      <w:pPr>
        <w:tabs>
          <w:tab w:val="left" w:pos="360"/>
          <w:tab w:val="left" w:pos="540"/>
        </w:tabs>
        <w:ind w:firstLine="480"/>
        <w:rPr>
          <w:u w:val="single"/>
        </w:rPr>
      </w:pPr>
      <w:r>
        <w:rPr>
          <w:rFonts w:hint="eastAsia"/>
          <w:szCs w:val="24"/>
          <w:u w:val="single"/>
        </w:rPr>
        <w:t>项目厂址位于</w:t>
      </w:r>
      <w:r>
        <w:rPr>
          <w:rFonts w:hint="eastAsia"/>
          <w:u w:val="single"/>
        </w:rPr>
        <w:t>新乡市卫辉市唐庄镇代庄村99号卫辉市铁西（化工）园区内</w:t>
      </w:r>
      <w:r>
        <w:rPr>
          <w:rFonts w:hint="eastAsia"/>
          <w:szCs w:val="24"/>
          <w:u w:val="single"/>
        </w:rPr>
        <w:t>，根据《卫辉市（化工）专业园区总体规划（2022-2035）上位规划衔接图》（</w:t>
      </w:r>
      <w:r>
        <w:rPr>
          <w:u w:val="single"/>
        </w:rPr>
        <w:t>见附图</w:t>
      </w:r>
      <w:r>
        <w:rPr>
          <w:rFonts w:hint="eastAsia"/>
          <w:u w:val="single"/>
        </w:rPr>
        <w:t>二（7）</w:t>
      </w:r>
      <w:r>
        <w:rPr>
          <w:rFonts w:hint="eastAsia"/>
          <w:szCs w:val="24"/>
          <w:u w:val="single"/>
        </w:rPr>
        <w:t>），项目厂址占地为工业用地，位于大运河北工业区，符合卫辉市国土空间规划。</w:t>
      </w:r>
    </w:p>
    <w:p w14:paraId="1D3E98CA">
      <w:pPr>
        <w:pStyle w:val="5"/>
        <w:spacing w:before="240" w:after="240"/>
      </w:pPr>
      <w:r>
        <w:t>与《</w:t>
      </w:r>
      <w:r>
        <w:rPr>
          <w:rFonts w:hint="eastAsia"/>
        </w:rPr>
        <w:t>卫辉市铁西（化工）专业园区总体</w:t>
      </w:r>
      <w:r>
        <w:t>规划（20</w:t>
      </w:r>
      <w:r>
        <w:rPr>
          <w:rFonts w:hint="eastAsia"/>
        </w:rPr>
        <w:t>2</w:t>
      </w:r>
      <w:r>
        <w:t>2-20</w:t>
      </w:r>
      <w:r>
        <w:rPr>
          <w:rFonts w:hint="eastAsia"/>
        </w:rPr>
        <w:t>35</w:t>
      </w:r>
      <w:r>
        <w:t>）环境影响报告书》的相符性</w:t>
      </w:r>
      <w:r>
        <w:rPr>
          <w:rFonts w:hint="eastAsia"/>
        </w:rPr>
        <w:t>及审查意见相符性分析</w:t>
      </w:r>
    </w:p>
    <w:p w14:paraId="3CBE4B4A">
      <w:pPr>
        <w:pStyle w:val="6"/>
        <w:ind w:left="284"/>
        <w:rPr>
          <w:snapToGrid w:val="0"/>
        </w:rPr>
      </w:pPr>
      <w:r>
        <w:rPr>
          <w:snapToGrid w:val="0"/>
        </w:rPr>
        <w:t>规划年限</w:t>
      </w:r>
    </w:p>
    <w:p w14:paraId="6B5B32DE">
      <w:pPr>
        <w:spacing w:line="540" w:lineRule="exact"/>
        <w:ind w:firstLine="480"/>
        <w:rPr>
          <w:spacing w:val="-3"/>
        </w:rPr>
      </w:pPr>
      <w:r>
        <w:t>规划的期限为</w:t>
      </w:r>
      <w:r>
        <w:rPr>
          <w:rFonts w:hint="eastAsia"/>
        </w:rPr>
        <w:t>：</w:t>
      </w:r>
      <w:r>
        <w:rPr>
          <w:spacing w:val="-98"/>
        </w:rPr>
        <w:t xml:space="preserve"> </w:t>
      </w:r>
      <w:r>
        <w:t>2022～2035</w:t>
      </w:r>
      <w:r>
        <w:rPr>
          <w:spacing w:val="1"/>
        </w:rPr>
        <w:t>年，分近期和远期。其中近期为2022～2025年，远期为2026～2035年。</w:t>
      </w:r>
    </w:p>
    <w:p w14:paraId="24BB5873">
      <w:pPr>
        <w:pStyle w:val="6"/>
        <w:ind w:left="284"/>
        <w:rPr>
          <w:snapToGrid w:val="0"/>
        </w:rPr>
      </w:pPr>
      <w:bookmarkStart w:id="141" w:name="_Toc246852395"/>
      <w:bookmarkStart w:id="142" w:name="_Toc238914784"/>
      <w:bookmarkStart w:id="143" w:name="_Toc245094517"/>
      <w:r>
        <w:rPr>
          <w:snapToGrid w:val="0"/>
        </w:rPr>
        <w:t>规划范围</w:t>
      </w:r>
      <w:bookmarkEnd w:id="141"/>
      <w:bookmarkEnd w:id="142"/>
      <w:bookmarkEnd w:id="143"/>
    </w:p>
    <w:p w14:paraId="7E04BC06">
      <w:pPr>
        <w:ind w:firstLine="480"/>
        <w:jc w:val="left"/>
      </w:pPr>
      <w:r>
        <w:rPr>
          <w:rFonts w:hint="eastAsia"/>
        </w:rPr>
        <w:t>卫辉市铁西（化工）专业园区总体规划项目区域位于卫辉市中心城区西部，规划用地总面积2.78平方公里，总面积为分南、北两个园区。</w:t>
      </w:r>
    </w:p>
    <w:p w14:paraId="599EF8AB">
      <w:pPr>
        <w:ind w:firstLine="480"/>
        <w:jc w:val="left"/>
      </w:pPr>
      <w:r>
        <w:rPr>
          <w:rFonts w:hint="eastAsia"/>
        </w:rPr>
        <w:t>北园具体范围：东至京广大道，西至卫辉市化工有限公司和河南熔金高温材料股份有限公司西边界，南到卫辉市化工有限公司南边界，北至河南熔金高温材料股份有限公司北部，规划北区总用地面积0.26平方公里；</w:t>
      </w:r>
    </w:p>
    <w:p w14:paraId="21649417">
      <w:pPr>
        <w:ind w:firstLine="480"/>
        <w:jc w:val="left"/>
      </w:pPr>
      <w:r>
        <w:rPr>
          <w:rFonts w:hint="eastAsia"/>
        </w:rPr>
        <w:t>南园具体范围：东到京广大道，西至翟阳路，南到京广大道和康迪粉业南边界，北至大岗路，规划南区总用地面积2.52平方公里。</w:t>
      </w:r>
    </w:p>
    <w:p w14:paraId="50AB646F">
      <w:pPr>
        <w:pStyle w:val="2"/>
        <w:ind w:firstLine="480"/>
      </w:pPr>
      <w:r>
        <w:rPr>
          <w:rFonts w:hint="eastAsia"/>
        </w:rPr>
        <w:t>本项目</w:t>
      </w:r>
      <w:r>
        <w:rPr>
          <w:rFonts w:hint="eastAsia"/>
          <w:szCs w:val="24"/>
        </w:rPr>
        <w:t>厂址位于</w:t>
      </w:r>
      <w:r>
        <w:rPr>
          <w:rFonts w:hint="eastAsia"/>
        </w:rPr>
        <w:t>新乡市卫辉市唐庄镇代庄村99号卫辉市铁西（化工）园区内</w:t>
      </w:r>
      <w:r>
        <w:rPr>
          <w:rFonts w:hint="eastAsia"/>
          <w:szCs w:val="24"/>
        </w:rPr>
        <w:t>，位于园区内的南区。</w:t>
      </w:r>
    </w:p>
    <w:p w14:paraId="1D3E98CB">
      <w:pPr>
        <w:pStyle w:val="6"/>
        <w:ind w:left="284"/>
        <w:rPr>
          <w:snapToGrid w:val="0"/>
        </w:rPr>
      </w:pPr>
      <w:r>
        <w:rPr>
          <w:rFonts w:hint="eastAsia"/>
          <w:snapToGrid w:val="0"/>
        </w:rPr>
        <w:t>规划主导产业</w:t>
      </w:r>
    </w:p>
    <w:p w14:paraId="0DE634FA">
      <w:pPr>
        <w:ind w:firstLine="480"/>
      </w:pPr>
      <w:r>
        <w:rPr>
          <w:rFonts w:hint="eastAsia"/>
        </w:rPr>
        <w:t>卫辉市铁西（化工）专业园区以新型煤化工、精细化工为主导产业加以发展，形成比较完整的化工产业链。</w:t>
      </w:r>
    </w:p>
    <w:p w14:paraId="20F2F67F">
      <w:pPr>
        <w:pStyle w:val="6"/>
        <w:ind w:left="284"/>
        <w:rPr>
          <w:snapToGrid w:val="0"/>
        </w:rPr>
      </w:pPr>
      <w:r>
        <w:rPr>
          <w:rFonts w:hint="eastAsia"/>
          <w:snapToGrid w:val="0"/>
        </w:rPr>
        <w:t>规划发展定位及目标</w:t>
      </w:r>
    </w:p>
    <w:p w14:paraId="7DD86BE3">
      <w:pPr>
        <w:ind w:firstLine="480"/>
      </w:pPr>
      <w:r>
        <w:rPr>
          <w:rFonts w:hint="eastAsia"/>
        </w:rPr>
        <w:t>（1）发展定位</w:t>
      </w:r>
    </w:p>
    <w:p w14:paraId="5DF508F0">
      <w:pPr>
        <w:ind w:firstLine="480"/>
      </w:pPr>
      <w:r>
        <w:rPr>
          <w:rFonts w:hint="eastAsia"/>
        </w:rPr>
        <w:t>通过现状及产业发展趋势分析，卫辉市铁西（化工）专业园区应以新型煤化工、精细化工产业为主导，以专项化学品制造、食品添加剂、助剂、新型耐材产业为支撑，成为具有自主创新、具备产业核心竞争力的绿色低碳循环产业园。</w:t>
      </w:r>
    </w:p>
    <w:p w14:paraId="63C6DD6A">
      <w:pPr>
        <w:ind w:firstLine="480"/>
      </w:pPr>
      <w:r>
        <w:rPr>
          <w:rFonts w:hint="eastAsia"/>
        </w:rPr>
        <w:t>（2）发展目标</w:t>
      </w:r>
    </w:p>
    <w:p w14:paraId="58C7D3EE">
      <w:pPr>
        <w:pStyle w:val="2"/>
        <w:spacing w:after="0"/>
        <w:ind w:firstLine="480"/>
      </w:pPr>
      <w:r>
        <w:rPr>
          <w:rFonts w:hint="eastAsia"/>
        </w:rPr>
        <w:t>①总体发展目标</w:t>
      </w:r>
    </w:p>
    <w:p w14:paraId="331BE8A6">
      <w:pPr>
        <w:ind w:firstLine="480"/>
      </w:pPr>
      <w:r>
        <w:rPr>
          <w:rFonts w:hint="eastAsia"/>
        </w:rPr>
        <w:t>依托现有产业基础，将卫辉市铁西（化工）专业园区建设成为生态环境良好、产业聚集度较高、产业配套完善、主导产业鲜明、综合竞争力较强的具有自主创新、具备产业核心竞争力的创新产业基地，成为新的经济增长极，使之成为产业发展载体，环境优美、设施完善、可持续发展的循环经济园区。</w:t>
      </w:r>
    </w:p>
    <w:p w14:paraId="596BEA17">
      <w:pPr>
        <w:pStyle w:val="2"/>
        <w:spacing w:after="0"/>
        <w:ind w:firstLine="480"/>
      </w:pPr>
      <w:r>
        <w:rPr>
          <w:rFonts w:hint="eastAsia"/>
        </w:rPr>
        <w:t>②近期发展目标</w:t>
      </w:r>
    </w:p>
    <w:p w14:paraId="4455DCE4">
      <w:pPr>
        <w:ind w:firstLine="480"/>
      </w:pPr>
      <w:r>
        <w:rPr>
          <w:rFonts w:hint="eastAsia"/>
        </w:rPr>
        <w:t>规划近期（2022-2025）：加快建设重要基础设施以及重大建设项目的前期准备工作，重点搞好原有产业的升级换代与产业改造重组，扩大起步区现有企业的产能，构建专业园区发展的基本框架，创造良好的投资环境。发展提高新型煤化工下游产业，确立以高、中端制造为龙头的主导产业地位。继续完善管理、服务等辅助设施的建设。完成园区1.80平方公里的建设，至2025年地区生产总值达到50亿元。</w:t>
      </w:r>
    </w:p>
    <w:p w14:paraId="6CCA8E54">
      <w:pPr>
        <w:pStyle w:val="2"/>
        <w:spacing w:after="0"/>
        <w:ind w:firstLine="480"/>
      </w:pPr>
      <w:r>
        <w:rPr>
          <w:rFonts w:hint="eastAsia"/>
        </w:rPr>
        <w:t>③远期发展目标</w:t>
      </w:r>
    </w:p>
    <w:p w14:paraId="20E4C33A">
      <w:pPr>
        <w:ind w:firstLine="480"/>
      </w:pPr>
      <w:r>
        <w:rPr>
          <w:rFonts w:hint="eastAsia"/>
        </w:rPr>
        <w:t>规划远期（2025-2035）：基本完成规划目标，产业集聚成规模，主导产业延伸发展，上下游产业有机结合，专业园区建设基本完善生产性服务业的配套发展，形成特色鲜明、环境优美、生态良好、具有自主创新、产业核心竞争力的现代产业组织模式创循环经济产业园区。</w:t>
      </w:r>
    </w:p>
    <w:p w14:paraId="0E6A65A2">
      <w:pPr>
        <w:ind w:firstLine="480"/>
      </w:pPr>
      <w:r>
        <w:rPr>
          <w:rFonts w:hint="eastAsia"/>
        </w:rPr>
        <w:t>园区建设用地2.78平方公里。至2035年，累计完成基础设施投资15亿元，累计项目投资200亿元，专业园区地区生产总值达到300亿元。</w:t>
      </w:r>
    </w:p>
    <w:p w14:paraId="44AA7799">
      <w:pPr>
        <w:pStyle w:val="2"/>
        <w:spacing w:after="0"/>
        <w:ind w:firstLine="480"/>
      </w:pPr>
      <w:r>
        <w:rPr>
          <w:rFonts w:hint="eastAsia"/>
        </w:rPr>
        <w:t>本项目属于化学原料和化学制品制造业，产品</w:t>
      </w:r>
      <w:r>
        <w:t>聚醚改性硅油</w:t>
      </w:r>
      <w:r>
        <w:rPr>
          <w:rFonts w:hint="eastAsia"/>
        </w:rPr>
        <w:t>可作为稳定剂用于生产海绵，色浆主要用于海绵上色，符合园区发展定位。</w:t>
      </w:r>
    </w:p>
    <w:p w14:paraId="189F8C45">
      <w:pPr>
        <w:pStyle w:val="6"/>
        <w:ind w:left="284"/>
      </w:pPr>
      <w:r>
        <w:rPr>
          <w:rFonts w:hint="eastAsia"/>
        </w:rPr>
        <w:t>空间布局结构</w:t>
      </w:r>
    </w:p>
    <w:p w14:paraId="5EF126B7">
      <w:pPr>
        <w:pStyle w:val="2"/>
        <w:spacing w:after="0"/>
        <w:ind w:firstLine="480"/>
      </w:pPr>
      <w:r>
        <w:rPr>
          <w:rFonts w:hint="eastAsia"/>
        </w:rPr>
        <w:t>根据卫辉市铁西（化工）专业园区发展现状和主导产业特点以及产业关联度</w:t>
      </w:r>
    </w:p>
    <w:p w14:paraId="642F80AE">
      <w:pPr>
        <w:pStyle w:val="2"/>
        <w:spacing w:after="0"/>
        <w:ind w:firstLine="480"/>
      </w:pPr>
      <w:r>
        <w:rPr>
          <w:rFonts w:hint="eastAsia"/>
        </w:rPr>
        <w:t>的分析，依据统筹兼顾、综合协调的原则，专业园区内形成：“一轴、两心、三园”的产业空间布局。</w:t>
      </w:r>
    </w:p>
    <w:p w14:paraId="0D687D3D">
      <w:pPr>
        <w:pStyle w:val="2"/>
        <w:spacing w:after="0"/>
        <w:ind w:firstLine="480"/>
      </w:pPr>
      <w:r>
        <w:rPr>
          <w:rFonts w:hint="eastAsia"/>
        </w:rPr>
        <w:t>一轴：依托京广大道形成的产业发展轴；</w:t>
      </w:r>
    </w:p>
    <w:p w14:paraId="1E711D77">
      <w:pPr>
        <w:pStyle w:val="2"/>
        <w:spacing w:after="0"/>
        <w:ind w:firstLine="480"/>
      </w:pPr>
      <w:r>
        <w:rPr>
          <w:rFonts w:hint="eastAsia"/>
        </w:rPr>
        <w:t>两心：即专业园区两个产业核心，分别为精细化工产业核心和新型化工产业核心。</w:t>
      </w:r>
    </w:p>
    <w:p w14:paraId="60E6C859">
      <w:pPr>
        <w:pStyle w:val="2"/>
        <w:spacing w:after="0"/>
        <w:ind w:firstLine="480"/>
      </w:pPr>
      <w:r>
        <w:rPr>
          <w:rFonts w:hint="eastAsia"/>
        </w:rPr>
        <w:t>三园：即专业园区南中北三个片区。三大功能区，依托区位优势及产业基础，发展新型煤化工、精细化工，形成比较完整的化工产业链，并应积极承接国内国际产业转移，逐步形成相互关联、相互依赖、相互补充的产业园区，真正形成产业集群。</w:t>
      </w:r>
    </w:p>
    <w:p w14:paraId="065B189B">
      <w:pPr>
        <w:ind w:firstLine="480"/>
      </w:pPr>
      <w:r>
        <w:rPr>
          <w:rFonts w:hint="eastAsia"/>
        </w:rPr>
        <w:t>本项目</w:t>
      </w:r>
      <w:r>
        <w:rPr>
          <w:rFonts w:hint="eastAsia"/>
          <w:szCs w:val="24"/>
        </w:rPr>
        <w:t>属于</w:t>
      </w:r>
      <w:r>
        <w:rPr>
          <w:rFonts w:hint="eastAsia"/>
        </w:rPr>
        <w:t>化学原料和化学制品制造业，</w:t>
      </w:r>
      <w:r>
        <w:rPr>
          <w:rFonts w:hint="eastAsia"/>
          <w:szCs w:val="24"/>
        </w:rPr>
        <w:t>厂址位于</w:t>
      </w:r>
      <w:r>
        <w:rPr>
          <w:rFonts w:hint="eastAsia"/>
        </w:rPr>
        <w:t>新乡市卫辉市唐庄镇代庄村99号卫辉市铁西（化工）园区内</w:t>
      </w:r>
      <w:r>
        <w:rPr>
          <w:rFonts w:hint="eastAsia"/>
          <w:szCs w:val="24"/>
        </w:rPr>
        <w:t>，根据《卫辉市铁西（化工）园区总体规划（2022-2035年）-空间结构规划图》和《卫辉市铁西（化工）园区总体规划（2022-2035年）-产业功能布局图》（见附图二），本项目位于南部产业园的食品添加剂及助剂产业园，</w:t>
      </w:r>
      <w:r>
        <w:rPr>
          <w:rFonts w:hint="eastAsia"/>
        </w:rPr>
        <w:t>符合园区总体规划。</w:t>
      </w:r>
    </w:p>
    <w:p w14:paraId="5F7B7803">
      <w:pPr>
        <w:pStyle w:val="6"/>
        <w:ind w:left="284"/>
      </w:pPr>
      <w:r>
        <w:rPr>
          <w:rFonts w:hint="eastAsia"/>
        </w:rPr>
        <w:t>土地利用规划</w:t>
      </w:r>
    </w:p>
    <w:p w14:paraId="77714CA3">
      <w:pPr>
        <w:ind w:firstLine="480"/>
      </w:pPr>
      <w:r>
        <w:rPr>
          <w:rFonts w:hint="eastAsia"/>
        </w:rPr>
        <w:t>（1）工业用地规划</w:t>
      </w:r>
    </w:p>
    <w:p w14:paraId="52BCA1F6">
      <w:pPr>
        <w:ind w:firstLine="480"/>
      </w:pPr>
      <w:r>
        <w:rPr>
          <w:rFonts w:hint="eastAsia"/>
        </w:rPr>
        <w:t>规划区内工业用地分为二类工业用地和三类工业用地，其中，二类工业用地面积为175.03公顷，占建设用地的62.99%，三类工业用地面积43.99公顷，占建设用地15.83%。</w:t>
      </w:r>
    </w:p>
    <w:p w14:paraId="27F1AD21">
      <w:pPr>
        <w:ind w:firstLine="480"/>
      </w:pPr>
      <w:r>
        <w:rPr>
          <w:rFonts w:hint="eastAsia"/>
        </w:rPr>
        <w:t>（2）商业服务业设施用地规划</w:t>
      </w:r>
    </w:p>
    <w:p w14:paraId="6C3A447E">
      <w:pPr>
        <w:ind w:firstLine="480"/>
      </w:pPr>
      <w:r>
        <w:rPr>
          <w:rFonts w:hint="eastAsia"/>
        </w:rPr>
        <w:t>规划区内保留现状的两处加油加气站，用地面积1.24公顷，占建设用地的0.45%。</w:t>
      </w:r>
    </w:p>
    <w:p w14:paraId="12629647">
      <w:pPr>
        <w:ind w:firstLine="480"/>
      </w:pPr>
      <w:r>
        <w:rPr>
          <w:rFonts w:hint="eastAsia"/>
        </w:rPr>
        <w:t>（3）交通设施用地规划</w:t>
      </w:r>
    </w:p>
    <w:p w14:paraId="6B2BE90C">
      <w:pPr>
        <w:ind w:firstLine="480"/>
      </w:pPr>
      <w:r>
        <w:rPr>
          <w:rFonts w:hint="eastAsia"/>
        </w:rPr>
        <w:t>规划区内城镇道路用地31.14公顷，占建设用地的11.2%。</w:t>
      </w:r>
    </w:p>
    <w:p w14:paraId="07CB2457">
      <w:pPr>
        <w:ind w:firstLine="480"/>
      </w:pPr>
      <w:r>
        <w:rPr>
          <w:rFonts w:hint="eastAsia"/>
        </w:rPr>
        <w:t>规划区内危险化学品运输专用停车场一处，占地面积1.60公顷，占建设用地0.58%，位于下园路与京广大道交叉口西南。</w:t>
      </w:r>
    </w:p>
    <w:p w14:paraId="37771C3A">
      <w:pPr>
        <w:ind w:firstLine="480"/>
      </w:pPr>
      <w:r>
        <w:rPr>
          <w:rFonts w:hint="eastAsia"/>
        </w:rPr>
        <w:t>规划区内其他交通设施用地一处，为现状保留的车管所考务中心，用地面积2.70公顷，占建设用地的0.97%。</w:t>
      </w:r>
    </w:p>
    <w:p w14:paraId="6F82B196">
      <w:pPr>
        <w:ind w:firstLine="480"/>
      </w:pPr>
      <w:r>
        <w:rPr>
          <w:rFonts w:hint="eastAsia"/>
        </w:rPr>
        <w:t>（4）公用设施用地规划</w:t>
      </w:r>
    </w:p>
    <w:p w14:paraId="03E3C381">
      <w:pPr>
        <w:ind w:firstLine="480"/>
      </w:pPr>
      <w:r>
        <w:rPr>
          <w:rFonts w:hint="eastAsia"/>
        </w:rPr>
        <w:t>规划环卫用地1.07公顷，占建设用地0.38%，大岗路与工业大道交叉口。</w:t>
      </w:r>
    </w:p>
    <w:p w14:paraId="53CFD0A7">
      <w:pPr>
        <w:ind w:firstLine="480"/>
      </w:pPr>
      <w:r>
        <w:rPr>
          <w:rFonts w:hint="eastAsia"/>
        </w:rPr>
        <w:t>（5）绿地用地布局规划</w:t>
      </w:r>
    </w:p>
    <w:p w14:paraId="7FAEECA5">
      <w:pPr>
        <w:ind w:firstLine="480"/>
      </w:pPr>
      <w:r>
        <w:rPr>
          <w:rFonts w:hint="eastAsia"/>
        </w:rPr>
        <w:t>规划专业园区绿地面积共20.69公顷，占总用地面积的7.45%。</w:t>
      </w:r>
    </w:p>
    <w:p w14:paraId="7FB4E5FD">
      <w:pPr>
        <w:pStyle w:val="2"/>
        <w:ind w:firstLine="480"/>
      </w:pPr>
      <w:r>
        <w:t>根据</w:t>
      </w:r>
      <w:r>
        <w:rPr>
          <w:rFonts w:hint="eastAsia"/>
        </w:rPr>
        <w:t>《</w:t>
      </w:r>
      <w:r>
        <w:t>卫辉市铁西（</w:t>
      </w:r>
      <w:r>
        <w:rPr>
          <w:rFonts w:hint="eastAsia"/>
        </w:rPr>
        <w:t>化工</w:t>
      </w:r>
      <w:r>
        <w:t>）</w:t>
      </w:r>
      <w:r>
        <w:rPr>
          <w:rFonts w:hint="eastAsia"/>
        </w:rPr>
        <w:t>专业园区总体规划（2022-2035）-土地使用规划图》</w:t>
      </w:r>
      <w:r>
        <w:t>（见附图二</w:t>
      </w:r>
      <w:r>
        <w:rPr>
          <w:rFonts w:hint="eastAsia"/>
        </w:rPr>
        <w:t>（1）</w:t>
      </w:r>
      <w:r>
        <w:t>）</w:t>
      </w:r>
      <w:r>
        <w:rPr>
          <w:rFonts w:hint="eastAsia"/>
        </w:rPr>
        <w:t>，</w:t>
      </w:r>
      <w:r>
        <w:t>项目厂址用地为</w:t>
      </w:r>
      <w:r>
        <w:rPr>
          <w:rFonts w:hint="eastAsia"/>
        </w:rPr>
        <w:t>二类</w:t>
      </w:r>
      <w:r>
        <w:t>工业用地</w:t>
      </w:r>
      <w:r>
        <w:rPr>
          <w:rFonts w:hint="eastAsia"/>
        </w:rPr>
        <w:t>，</w:t>
      </w:r>
      <w:r>
        <w:t>符合卫辉市铁西（</w:t>
      </w:r>
      <w:r>
        <w:rPr>
          <w:rFonts w:hint="eastAsia"/>
        </w:rPr>
        <w:t>化工</w:t>
      </w:r>
      <w:r>
        <w:t>）专业园区</w:t>
      </w:r>
      <w:r>
        <w:rPr>
          <w:rFonts w:hint="eastAsia"/>
        </w:rPr>
        <w:t>土地使用规划。</w:t>
      </w:r>
    </w:p>
    <w:p w14:paraId="7555C2A6">
      <w:pPr>
        <w:pStyle w:val="6"/>
        <w:ind w:left="284"/>
      </w:pPr>
      <w:r>
        <w:rPr>
          <w:rFonts w:hint="eastAsia"/>
        </w:rPr>
        <w:t>产业功能布局</w:t>
      </w:r>
    </w:p>
    <w:p w14:paraId="100C0B7C">
      <w:pPr>
        <w:ind w:firstLine="480"/>
      </w:pPr>
      <w:r>
        <w:rPr>
          <w:rFonts w:hint="eastAsia"/>
        </w:rPr>
        <w:t>卫辉市铁西（化工）专业园区总体分为三个产业功能区，分别为：</w:t>
      </w:r>
    </w:p>
    <w:p w14:paraId="4AED266E">
      <w:pPr>
        <w:ind w:firstLine="480"/>
      </w:pPr>
      <w:r>
        <w:rPr>
          <w:rFonts w:hint="eastAsia"/>
        </w:rPr>
        <w:t>新型煤化工产业区：布局在专业园区的中部，以豫北化工等企业为核心，发展新型煤化工产业。</w:t>
      </w:r>
    </w:p>
    <w:p w14:paraId="06E836E9">
      <w:pPr>
        <w:ind w:firstLine="480"/>
      </w:pPr>
      <w:r>
        <w:rPr>
          <w:rFonts w:hint="eastAsia"/>
        </w:rPr>
        <w:t>精细化工产业区：布局在专业园区的北部、中部，主要发展精细化工产业。</w:t>
      </w:r>
    </w:p>
    <w:p w14:paraId="46E87102">
      <w:pPr>
        <w:ind w:firstLine="480"/>
      </w:pPr>
      <w:r>
        <w:rPr>
          <w:rFonts w:hint="eastAsia"/>
        </w:rPr>
        <w:t>食品添加剂及助剂产业区：布局在专业园区的南部，依托现有企业进行转型升级，发展食品添加剂及助剂。</w:t>
      </w:r>
    </w:p>
    <w:p w14:paraId="517240AF">
      <w:pPr>
        <w:pStyle w:val="2"/>
        <w:ind w:firstLine="480"/>
      </w:pPr>
      <w:r>
        <w:t>根据</w:t>
      </w:r>
      <w:r>
        <w:rPr>
          <w:rFonts w:hint="eastAsia"/>
        </w:rPr>
        <w:t>《</w:t>
      </w:r>
      <w:r>
        <w:t>卫辉市铁西（</w:t>
      </w:r>
      <w:r>
        <w:rPr>
          <w:rFonts w:hint="eastAsia"/>
        </w:rPr>
        <w:t>化工</w:t>
      </w:r>
      <w:r>
        <w:t>）</w:t>
      </w:r>
      <w:r>
        <w:rPr>
          <w:rFonts w:hint="eastAsia"/>
        </w:rPr>
        <w:t>专业园区总体规划（2022-2035）-产业功能布局图》</w:t>
      </w:r>
      <w:r>
        <w:t>（见附图二</w:t>
      </w:r>
      <w:r>
        <w:rPr>
          <w:rFonts w:hint="eastAsia"/>
        </w:rPr>
        <w:t>（2）</w:t>
      </w:r>
      <w:r>
        <w:t>）</w:t>
      </w:r>
      <w:r>
        <w:rPr>
          <w:rFonts w:hint="eastAsia"/>
        </w:rPr>
        <w:t>，</w:t>
      </w:r>
      <w:r>
        <w:t>项目厂址</w:t>
      </w:r>
      <w:r>
        <w:rPr>
          <w:rFonts w:hint="eastAsia"/>
        </w:rPr>
        <w:t>位于食品添加剂及助剂产业区，本项目的产品</w:t>
      </w:r>
      <w:r>
        <w:t>聚醚改性硅油</w:t>
      </w:r>
      <w:r>
        <w:rPr>
          <w:rFonts w:hint="eastAsia"/>
        </w:rPr>
        <w:t>主要作为稳定剂用于生产海绵，符合园区产业功能布局规划。</w:t>
      </w:r>
    </w:p>
    <w:p w14:paraId="6B356DB6">
      <w:pPr>
        <w:pStyle w:val="6"/>
        <w:ind w:left="284"/>
      </w:pPr>
      <w:r>
        <w:rPr>
          <w:rFonts w:hint="eastAsia"/>
        </w:rPr>
        <w:t>基础设施建设</w:t>
      </w:r>
    </w:p>
    <w:p w14:paraId="4B97C5A1">
      <w:pPr>
        <w:pStyle w:val="2"/>
        <w:spacing w:after="0"/>
        <w:ind w:firstLine="480"/>
        <w:outlineLvl w:val="4"/>
      </w:pPr>
      <w:r>
        <w:rPr>
          <w:rFonts w:hint="eastAsia"/>
        </w:rPr>
        <w:t>（1）供水工程</w:t>
      </w:r>
    </w:p>
    <w:p w14:paraId="40D9BBC8">
      <w:pPr>
        <w:pStyle w:val="2"/>
        <w:spacing w:after="0"/>
        <w:ind w:firstLine="480"/>
      </w:pPr>
      <w:r>
        <w:rPr>
          <w:rFonts w:hint="eastAsia"/>
        </w:rPr>
        <w:t>①供水现状</w:t>
      </w:r>
    </w:p>
    <w:p w14:paraId="021BFDC0">
      <w:pPr>
        <w:pStyle w:val="2"/>
        <w:spacing w:after="0"/>
        <w:ind w:firstLine="480"/>
      </w:pPr>
      <w:r>
        <w:rPr>
          <w:rFonts w:hint="eastAsia"/>
        </w:rPr>
        <w:t>园区现状企业生活用水由天一水厂供水，水源为南水北调水。工业用水现状由企业自备井供应。园区生活用水集中管网已建好，工业用水供应设施及管网未建，园区未实现工业用水集中供水。</w:t>
      </w:r>
    </w:p>
    <w:p w14:paraId="06E2605B">
      <w:pPr>
        <w:pStyle w:val="2"/>
        <w:spacing w:after="0"/>
        <w:ind w:firstLine="480"/>
      </w:pPr>
      <w:r>
        <w:rPr>
          <w:rFonts w:hint="eastAsia"/>
        </w:rPr>
        <w:t>②供水规划</w:t>
      </w:r>
    </w:p>
    <w:p w14:paraId="4D997F17">
      <w:pPr>
        <w:pStyle w:val="2"/>
        <w:spacing w:after="0"/>
        <w:ind w:firstLine="480"/>
      </w:pPr>
      <w:r>
        <w:rPr>
          <w:rFonts w:hint="eastAsia"/>
        </w:rPr>
        <w:t>规划近、远期，园区企业工业用水规划由卫辉市第四水厂提供，水源为塔岗水库水。园区生活用水由天一水厂供应，水源为南水北调水。规划远期，唐庄再生水厂再生水为工业低质用水、环境用水、城市杂用水等的水源。</w:t>
      </w:r>
    </w:p>
    <w:p w14:paraId="14AD78B7">
      <w:pPr>
        <w:pStyle w:val="2"/>
        <w:spacing w:after="0"/>
        <w:ind w:firstLine="480"/>
      </w:pPr>
      <w:r>
        <w:rPr>
          <w:rFonts w:hint="eastAsia"/>
        </w:rPr>
        <w:t>③给水管道铺设规划</w:t>
      </w:r>
    </w:p>
    <w:p w14:paraId="42B40C61">
      <w:pPr>
        <w:pStyle w:val="2"/>
        <w:spacing w:after="0"/>
        <w:ind w:firstLine="480"/>
      </w:pPr>
      <w:r>
        <w:rPr>
          <w:rFonts w:hint="eastAsia"/>
        </w:rPr>
        <w:t>大岗路、翟阳路、京广大道敷设给水主干管引入专业园区，并在主要道路上形成环状供水管网，保证供水安全。给水干管管径控制为φ400~φ1200，支管管径控制为φ200~φ300。规划大于50米道路双侧布置给水管道，管道尽量布置于人行道或慢车道，给水管道铺设最小覆土度不得小于0.6米。</w:t>
      </w:r>
    </w:p>
    <w:p w14:paraId="6D4A3CB8">
      <w:pPr>
        <w:pStyle w:val="2"/>
        <w:spacing w:after="0"/>
        <w:ind w:firstLine="480"/>
      </w:pPr>
      <w:r>
        <w:rPr>
          <w:rFonts w:hint="eastAsia"/>
        </w:rPr>
        <w:t>④供水水厂情况</w:t>
      </w:r>
    </w:p>
    <w:p w14:paraId="5C1150B2">
      <w:pPr>
        <w:pStyle w:val="2"/>
        <w:spacing w:after="0"/>
        <w:ind w:firstLine="480"/>
      </w:pPr>
      <w:r>
        <w:rPr>
          <w:rFonts w:hint="eastAsia"/>
        </w:rPr>
        <w:t>经预测，园区近期用水需求量约1.84万m</w:t>
      </w:r>
      <w:r>
        <w:rPr>
          <w:rFonts w:hint="eastAsia"/>
          <w:vertAlign w:val="superscript"/>
        </w:rPr>
        <w:t>3</w:t>
      </w:r>
      <w:r>
        <w:rPr>
          <w:rFonts w:hint="eastAsia"/>
        </w:rPr>
        <w:t>/d，规划期末用水需求量约2.23万m</w:t>
      </w:r>
      <w:r>
        <w:rPr>
          <w:rFonts w:hint="eastAsia"/>
          <w:vertAlign w:val="superscript"/>
        </w:rPr>
        <w:t>3</w:t>
      </w:r>
      <w:r>
        <w:rPr>
          <w:rFonts w:hint="eastAsia"/>
        </w:rPr>
        <w:t>/d。</w:t>
      </w:r>
    </w:p>
    <w:p w14:paraId="3BAAD857">
      <w:pPr>
        <w:ind w:firstLine="480"/>
      </w:pPr>
      <w:r>
        <w:rPr>
          <w:rFonts w:hint="eastAsia"/>
        </w:rPr>
        <w:t>园区工业用水现状以企业自备井为主，园区规划由卫辉市第四水厂建立供水设施，专供园区工业用水，水源为塔岗水库水，位于塔岗水库下游500米南岭村，日供水能力为6万m</w:t>
      </w:r>
      <w:r>
        <w:rPr>
          <w:rFonts w:hint="eastAsia"/>
          <w:vertAlign w:val="superscript"/>
        </w:rPr>
        <w:t>3</w:t>
      </w:r>
      <w:r>
        <w:rPr>
          <w:rFonts w:hint="eastAsia"/>
        </w:rPr>
        <w:t>/d。经预测，园区规划期末生产用水需求量约18956.43m</w:t>
      </w:r>
      <w:r>
        <w:rPr>
          <w:rFonts w:hint="eastAsia"/>
          <w:vertAlign w:val="superscript"/>
        </w:rPr>
        <w:t>3</w:t>
      </w:r>
      <w:r>
        <w:rPr>
          <w:rFonts w:hint="eastAsia"/>
        </w:rPr>
        <w:t>/d，占日供水能力的31.59%，可以满足园区生产用水需求。现状情况为该工业用水供水设施及管网尚未建设，园区目前正加快该供水工程的建设，实现园区集中供水，逐步取缔企业自备井。</w:t>
      </w:r>
    </w:p>
    <w:p w14:paraId="200148F2">
      <w:pPr>
        <w:pStyle w:val="2"/>
        <w:spacing w:after="0"/>
        <w:ind w:firstLine="480"/>
      </w:pPr>
      <w:r>
        <w:rPr>
          <w:rFonts w:hint="eastAsia"/>
        </w:rPr>
        <w:t>⑤目前，园区再生水回用仅限于现状企业内部回用，园区未建再生水回用系统。园区远期规划，唐庄再生水厂再生水为工业低质用水、环境用水、城市杂用水等的水源。</w:t>
      </w:r>
    </w:p>
    <w:p w14:paraId="4EDD8068">
      <w:pPr>
        <w:pStyle w:val="2"/>
        <w:spacing w:after="0"/>
        <w:ind w:firstLine="480"/>
      </w:pPr>
      <w:r>
        <w:rPr>
          <w:rFonts w:hint="eastAsia"/>
        </w:rPr>
        <w:t>根据上位规划，唐庄再生水厂与唐庄污水厂共址而建，供水规模3万m³/d。目前规划专业园区中水回用设施为唐庄再生水厂。为节约水资源，唐庄污水处理厂外排水经唐庄镇的再生水厂深度处理后予以回用，主要供给专业园区内杂用水、消防用水。园区规划期末交通设施用地、公用设施用地、绿地为等其他设施总用水需求量为1711m</w:t>
      </w:r>
      <w:r>
        <w:rPr>
          <w:rFonts w:hint="eastAsia"/>
          <w:vertAlign w:val="superscript"/>
        </w:rPr>
        <w:t>3</w:t>
      </w:r>
      <w:r>
        <w:rPr>
          <w:rFonts w:hint="eastAsia"/>
        </w:rPr>
        <w:t>/d（商业服务业设施用水除外），占日供水能力的5.70%，可以满足园区杂用水等需求。</w:t>
      </w:r>
    </w:p>
    <w:p w14:paraId="1841CD85">
      <w:pPr>
        <w:pStyle w:val="2"/>
        <w:spacing w:after="0"/>
        <w:ind w:firstLine="480"/>
      </w:pPr>
      <w:r>
        <w:rPr>
          <w:rFonts w:hint="eastAsia"/>
        </w:rPr>
        <w:t>园区规划除交通设施用地、公用设施用地、绿地等其他设施总用水可采用再生水外，豫北化工建成后气化、变换等工艺循环冷却补充水可采用再生水，再生水用量可达4000m</w:t>
      </w:r>
      <w:r>
        <w:rPr>
          <w:rFonts w:hint="eastAsia"/>
          <w:vertAlign w:val="superscript"/>
        </w:rPr>
        <w:t>3</w:t>
      </w:r>
      <w:r>
        <w:rPr>
          <w:rFonts w:hint="eastAsia"/>
        </w:rPr>
        <w:t>/d以上。园区规划期末总排水量为13021.41m</w:t>
      </w:r>
      <w:r>
        <w:rPr>
          <w:rFonts w:hint="eastAsia"/>
          <w:vertAlign w:val="superscript"/>
        </w:rPr>
        <w:t>3</w:t>
      </w:r>
      <w:r>
        <w:rPr>
          <w:rFonts w:hint="eastAsia"/>
        </w:rPr>
        <w:t>/d，规划达期末回用水利用率可达30%以上。</w:t>
      </w:r>
    </w:p>
    <w:p w14:paraId="680290B2">
      <w:pPr>
        <w:pStyle w:val="2"/>
        <w:spacing w:after="0"/>
        <w:ind w:firstLine="480"/>
      </w:pPr>
      <w:r>
        <w:rPr>
          <w:rFonts w:hint="eastAsia"/>
        </w:rPr>
        <w:t>中水管网采用枝状与环状相结合管网，由南侧唐庄再生水厂引人专业园区，设沿京广大道敷设DN400mm的中水干管，沿翟阳路、卫柿线DN300mm的中水路干管，沿其它道路DN200mm的中水支管。中水管道布置在道路东侧和北侧。</w:t>
      </w:r>
    </w:p>
    <w:p w14:paraId="5B9EFFD0">
      <w:pPr>
        <w:pStyle w:val="2"/>
        <w:spacing w:after="0"/>
        <w:ind w:firstLine="480"/>
        <w:rPr>
          <w:u w:val="single"/>
        </w:rPr>
      </w:pPr>
      <w:r>
        <w:rPr>
          <w:rFonts w:hint="eastAsia"/>
          <w:u w:val="single"/>
        </w:rPr>
        <w:t>目前园区生产用水管网正在建设中，生活用水管网已建成，建成之前生产用水暂时使用本项目租赁厂区新乡市太行水泥粉磨有限公司的自备井水，生活用水使用园区统一供水，待园区生产用水管网建成后，采用园区统一供应用水。根据《</w:t>
      </w:r>
      <w:r>
        <w:rPr>
          <w:u w:val="single"/>
        </w:rPr>
        <w:t>卫辉市铁西（</w:t>
      </w:r>
      <w:r>
        <w:rPr>
          <w:rFonts w:hint="eastAsia"/>
          <w:u w:val="single"/>
        </w:rPr>
        <w:t>化工</w:t>
      </w:r>
      <w:r>
        <w:rPr>
          <w:u w:val="single"/>
        </w:rPr>
        <w:t>）</w:t>
      </w:r>
      <w:r>
        <w:rPr>
          <w:rFonts w:hint="eastAsia"/>
          <w:u w:val="single"/>
        </w:rPr>
        <w:t>专业园区总体规划（2022-2035）-给水工程规划图》</w:t>
      </w:r>
      <w:r>
        <w:rPr>
          <w:u w:val="single"/>
        </w:rPr>
        <w:t>（见附图二</w:t>
      </w:r>
      <w:r>
        <w:rPr>
          <w:rFonts w:hint="eastAsia"/>
          <w:u w:val="single"/>
        </w:rPr>
        <w:t>（4）</w:t>
      </w:r>
      <w:r>
        <w:rPr>
          <w:u w:val="single"/>
        </w:rPr>
        <w:t>）</w:t>
      </w:r>
      <w:r>
        <w:rPr>
          <w:rFonts w:hint="eastAsia"/>
          <w:u w:val="single"/>
        </w:rPr>
        <w:t>，本项目在园区给水工程规划范围内，能够实现园区统一供水。</w:t>
      </w:r>
    </w:p>
    <w:p w14:paraId="3E2DD135">
      <w:pPr>
        <w:pStyle w:val="2"/>
        <w:spacing w:after="0"/>
        <w:ind w:firstLine="480"/>
        <w:outlineLvl w:val="4"/>
      </w:pPr>
      <w:r>
        <w:rPr>
          <w:rFonts w:hint="eastAsia"/>
        </w:rPr>
        <w:t>（2）排水工程</w:t>
      </w:r>
    </w:p>
    <w:p w14:paraId="758EE3F9">
      <w:pPr>
        <w:ind w:firstLine="480"/>
      </w:pPr>
      <w:r>
        <w:rPr>
          <w:rFonts w:hint="eastAsia"/>
        </w:rPr>
        <w:t>①排水现状</w:t>
      </w:r>
    </w:p>
    <w:p w14:paraId="1D45226F">
      <w:pPr>
        <w:ind w:firstLine="480"/>
      </w:pPr>
      <w:r>
        <w:rPr>
          <w:rFonts w:hint="eastAsia"/>
        </w:rPr>
        <w:t>沿京广大道建设有污水主管道与唐庄污水处理厂连接，园区企业废水经厂内污水站预处理后的废水经园区污水管道排入唐庄污水处理厂。</w:t>
      </w:r>
    </w:p>
    <w:p w14:paraId="0046CDDA">
      <w:pPr>
        <w:ind w:firstLine="480"/>
      </w:pPr>
      <w:r>
        <w:rPr>
          <w:rFonts w:hint="eastAsia"/>
        </w:rPr>
        <w:t>②雨水规划</w:t>
      </w:r>
    </w:p>
    <w:p w14:paraId="3753C949">
      <w:pPr>
        <w:ind w:firstLine="480"/>
      </w:pPr>
      <w:r>
        <w:rPr>
          <w:rFonts w:hint="eastAsia"/>
        </w:rPr>
        <w:t>园区排水体制采用雨污分流制。</w:t>
      </w:r>
    </w:p>
    <w:p w14:paraId="3D67824D">
      <w:pPr>
        <w:ind w:firstLine="480"/>
      </w:pPr>
      <w:r>
        <w:rPr>
          <w:rFonts w:hint="eastAsia"/>
        </w:rPr>
        <w:t>专业园区雨水分为一个片区收集，雨水从西向东，由北至南收集到京广大道，沿京广大道向西流至十里河处，最终排入共产主义渠。</w:t>
      </w:r>
    </w:p>
    <w:p w14:paraId="17CEE823">
      <w:pPr>
        <w:ind w:firstLine="480"/>
      </w:pPr>
      <w:r>
        <w:rPr>
          <w:rFonts w:hint="eastAsia"/>
        </w:rPr>
        <w:t>雨水管道规划：雨水管线沿京广大道敷设DN1000-DN1800雨水干管，沿翟路、卫柿线、工业大道、经五路敷设DN1000-DN1800的雨水干管，沿其它道路敷设DN600的雨水干管以及DN400的雨水支管。</w:t>
      </w:r>
    </w:p>
    <w:p w14:paraId="77AC413B">
      <w:pPr>
        <w:ind w:firstLine="480"/>
      </w:pPr>
      <w:r>
        <w:rPr>
          <w:rFonts w:hint="eastAsia"/>
        </w:rPr>
        <w:t>③污水规划</w:t>
      </w:r>
    </w:p>
    <w:p w14:paraId="264F6F51">
      <w:pPr>
        <w:ind w:firstLine="480"/>
      </w:pPr>
      <w:r>
        <w:rPr>
          <w:rFonts w:hint="eastAsia"/>
        </w:rPr>
        <w:t>排水工程规划采用雨污分流的排水体制。</w:t>
      </w:r>
    </w:p>
    <w:p w14:paraId="506E4C11">
      <w:pPr>
        <w:ind w:firstLine="480"/>
      </w:pPr>
      <w:r>
        <w:rPr>
          <w:rFonts w:hint="eastAsia"/>
        </w:rPr>
        <w:t>园区近期规划，企业废水经厂区预处理后排入唐庄镇污水处理厂进行处理。</w:t>
      </w:r>
    </w:p>
    <w:p w14:paraId="4400158D">
      <w:pPr>
        <w:ind w:firstLine="480"/>
      </w:pPr>
      <w:r>
        <w:rPr>
          <w:rFonts w:hint="eastAsia"/>
        </w:rPr>
        <w:t>园区远期规划，拟由政府建设专用化工废水集中处理站，处理能力为20000m</w:t>
      </w:r>
      <w:r>
        <w:rPr>
          <w:rFonts w:hint="eastAsia"/>
          <w:vertAlign w:val="superscript"/>
        </w:rPr>
        <w:t>3</w:t>
      </w:r>
      <w:r>
        <w:rPr>
          <w:rFonts w:hint="eastAsia"/>
        </w:rPr>
        <w:t>/d的污水处理站，作为园区化工企业废水集中处理设施。园区企业废水经厂区内预处理后进入专用化工污水处理站进行处理，处理后进入唐庄镇污水处理厂进行进一步处理。</w:t>
      </w:r>
    </w:p>
    <w:p w14:paraId="66765A82">
      <w:pPr>
        <w:ind w:firstLine="480"/>
      </w:pPr>
      <w:r>
        <w:rPr>
          <w:rFonts w:hint="eastAsia"/>
        </w:rPr>
        <w:t>污水管道规划：园区污水管顺地势由西向东、由北向南布置，最后流入京广大道，进入唐庄污水处理厂。沿京广大道敷设DN500-DN1000的污水干管，沿翟阳路、卫柿线敷设DN400-DN500的污水干管，沿其它道路敷设DN500的污水干管以及DN400的污水支管。污水管道起始点覆土不应小于0.7米。</w:t>
      </w:r>
    </w:p>
    <w:p w14:paraId="657B2B41">
      <w:pPr>
        <w:ind w:firstLine="480"/>
      </w:pPr>
      <w:r>
        <w:rPr>
          <w:rFonts w:hint="eastAsia"/>
        </w:rPr>
        <w:t>④专用化工污水处理站</w:t>
      </w:r>
    </w:p>
    <w:p w14:paraId="787C5687">
      <w:pPr>
        <w:ind w:firstLine="480"/>
      </w:pPr>
      <w:r>
        <w:rPr>
          <w:rFonts w:hint="eastAsia"/>
        </w:rPr>
        <w:t>园区远期规划，拟由政府建设专用化工废水集中处理站。该专用化工污水处理站拟建在康迪粉业厂区南侧，处理能力为20000m</w:t>
      </w:r>
      <w:r>
        <w:rPr>
          <w:rFonts w:hint="eastAsia"/>
          <w:vertAlign w:val="superscript"/>
        </w:rPr>
        <w:t>3</w:t>
      </w:r>
      <w:r>
        <w:rPr>
          <w:rFonts w:hint="eastAsia"/>
        </w:rPr>
        <w:t>/d，占地约30亩。园区企业废水经预处理后需满足专用化工废水集中处理站进水水质要求后，方能进入专用化工废水集中处理站进行处理。专用化工废水集中处理站采用“厌氧+好氧”工艺进行处理，处理后的废水满足唐庄镇污水处理厂进水要求后，进入唐庄镇污水处理厂进行进一步处理。</w:t>
      </w:r>
    </w:p>
    <w:p w14:paraId="5ECF979A">
      <w:pPr>
        <w:ind w:firstLine="480"/>
        <w:rPr>
          <w:u w:val="single"/>
        </w:rPr>
      </w:pPr>
      <w:r>
        <w:rPr>
          <w:rFonts w:hint="eastAsia"/>
          <w:u w:val="single"/>
        </w:rPr>
        <w:t>目前专用化工污水处理站未建设，其建成前本项目喷淋废水、车间地面清洗废水经厂区污水处理站处理后与经化粪池处理后的生活污水、</w:t>
      </w:r>
      <w:r>
        <w:rPr>
          <w:u w:val="single"/>
        </w:rPr>
        <w:t>循环冷却水系统排水一起由厂区总排口排入园区污水管网，再</w:t>
      </w:r>
      <w:r>
        <w:rPr>
          <w:rFonts w:hint="eastAsia"/>
          <w:u w:val="single"/>
        </w:rPr>
        <w:t>进入唐庄</w:t>
      </w:r>
      <w:r>
        <w:rPr>
          <w:u w:val="single"/>
        </w:rPr>
        <w:t>污水处理厂进行进一步处理</w:t>
      </w:r>
      <w:r>
        <w:rPr>
          <w:rFonts w:hint="eastAsia"/>
          <w:u w:val="single"/>
        </w:rPr>
        <w:t>。待专用化工污水处理站建成后，本项目废水经厂区污水处理站处理达标后进入园区专用化工污水处理站进一步处理。</w:t>
      </w:r>
    </w:p>
    <w:p w14:paraId="73A9302A">
      <w:pPr>
        <w:pStyle w:val="2"/>
        <w:spacing w:after="0"/>
        <w:ind w:firstLine="480"/>
        <w:outlineLvl w:val="4"/>
      </w:pPr>
      <w:r>
        <w:rPr>
          <w:rFonts w:hint="eastAsia"/>
        </w:rPr>
        <w:t>（3）供热工程</w:t>
      </w:r>
    </w:p>
    <w:p w14:paraId="404DA7DB">
      <w:pPr>
        <w:pStyle w:val="2"/>
        <w:spacing w:after="0"/>
        <w:ind w:firstLine="480"/>
      </w:pPr>
      <w:r>
        <w:rPr>
          <w:rFonts w:hint="eastAsia"/>
        </w:rPr>
        <w:t>①供热现状</w:t>
      </w:r>
    </w:p>
    <w:p w14:paraId="0A449DF5">
      <w:pPr>
        <w:pStyle w:val="2"/>
        <w:spacing w:after="0"/>
        <w:ind w:firstLine="480"/>
      </w:pPr>
      <w:r>
        <w:rPr>
          <w:rFonts w:hint="eastAsia"/>
        </w:rPr>
        <w:t>园区现状供热由企业自备锅炉供应，目前园区有6家企业使用自建锅炉供汽。原规划提出园区集中供热由卫辉市产业集聚区热电厂、豫北化工和康迪粉业企业的富裕蒸汽供应企业，豫北化工有1座75t/h的燃煤锅炉房、康迪粉业建设1座50t/h和8台0.5t/h余热锅炉。现状情况为卫辉市产业集聚区热电厂未建成，豫北化工现处于停产状态，康迪粉业富裕蒸汽约20t/h，康迪粉业富裕蒸汽暂未向园区其他企业供给，集中供热管网未建设，园区未实现集中供热。</w:t>
      </w:r>
    </w:p>
    <w:p w14:paraId="3D3D0441">
      <w:pPr>
        <w:pStyle w:val="2"/>
        <w:spacing w:after="0"/>
        <w:ind w:firstLine="480"/>
      </w:pPr>
      <w:r>
        <w:rPr>
          <w:rFonts w:hint="eastAsia"/>
        </w:rPr>
        <w:t>②供热规划</w:t>
      </w:r>
    </w:p>
    <w:p w14:paraId="2D859C9F">
      <w:pPr>
        <w:pStyle w:val="2"/>
        <w:spacing w:after="0"/>
        <w:ind w:firstLine="480"/>
      </w:pPr>
      <w:r>
        <w:rPr>
          <w:rFonts w:hint="eastAsia"/>
        </w:rPr>
        <w:t>园区近、远期规划，在区域西部靠近翟阳线规划1台30t/h的燃气锅炉，豫北化工有1座75t/h的燃煤锅炉房、康迪粉业建设1座50t/h和8台0.5t/h余热锅炉，两家企业的工业富裕蒸汽（约40t/h）与拟建的燃气锅炉一起作为园区的集中供热热源，供热负荷在70t/h。同时结合卫辉市国土空间规划，沿京广大道和下园路的部分路段规划有通往豫新电厂的管线，也可使用豫新电厂作为热源。</w:t>
      </w:r>
    </w:p>
    <w:p w14:paraId="68341A0C">
      <w:pPr>
        <w:pStyle w:val="2"/>
        <w:spacing w:after="0"/>
        <w:ind w:firstLine="480"/>
      </w:pPr>
      <w:r>
        <w:rPr>
          <w:rFonts w:hint="eastAsia"/>
        </w:rPr>
        <w:t>③供热管网规划</w:t>
      </w:r>
    </w:p>
    <w:p w14:paraId="2949F53F">
      <w:pPr>
        <w:pStyle w:val="2"/>
        <w:spacing w:after="0"/>
        <w:ind w:firstLine="480"/>
      </w:pPr>
      <w:r>
        <w:rPr>
          <w:rFonts w:hint="eastAsia"/>
        </w:rPr>
        <w:t>热网以主干管为骨架，呈枝状布置。管线尽可能穿过负荷中心，在满足使用要求的同时尽量缩短管线长度。热水管道沿城市道路尽量采用无补偿直埋敷设的方式，热网应统一规划，管径 DN150-DN450毫米；蒸汽管道在工业区建议架空敷设，在景观要求较高地区建议采用钢套钢预制保温管道直埋敷设，干管管径DN200-DN450毫米。规划区域内供热主干管位于下园路和京广大道，管道管径分别为DN120和N600。</w:t>
      </w:r>
    </w:p>
    <w:p w14:paraId="2FA295D5">
      <w:pPr>
        <w:pStyle w:val="2"/>
        <w:spacing w:after="0"/>
        <w:ind w:firstLine="480"/>
      </w:pPr>
      <w:r>
        <w:rPr>
          <w:rFonts w:hint="eastAsia"/>
        </w:rPr>
        <w:t>同时，豫新电厂热水管网由豫新电厂东围墙外引出DN700管道地埋敷设至新中大道，沿新中大道向东敷设至翟阳路。</w:t>
      </w:r>
    </w:p>
    <w:p w14:paraId="5C416487">
      <w:pPr>
        <w:pStyle w:val="2"/>
        <w:spacing w:after="0"/>
        <w:ind w:firstLine="480"/>
      </w:pPr>
      <w:r>
        <w:rPr>
          <w:rFonts w:hint="eastAsia"/>
        </w:rPr>
        <w:t>④供热可行性</w:t>
      </w:r>
    </w:p>
    <w:p w14:paraId="2E2728A9">
      <w:pPr>
        <w:pStyle w:val="2"/>
        <w:spacing w:after="0"/>
        <w:ind w:firstLine="480"/>
      </w:pPr>
      <w:r>
        <w:rPr>
          <w:rFonts w:hint="eastAsia"/>
        </w:rPr>
        <w:t>园区企业尚未形成规模，园区企业用热需求量不高，园区现状企业用热均以企业自备锅炉供热为主。结合园区现状企业用热现状，根据《城市供热规划规范》（</w:t>
      </w:r>
      <w:r>
        <w:t>GB/T51074-2015</w:t>
      </w:r>
      <w:r>
        <w:rPr>
          <w:rFonts w:hint="eastAsia"/>
        </w:rPr>
        <w:t>）相关要求工业热负荷指标为</w:t>
      </w:r>
      <w:r>
        <w:t>0.3</w:t>
      </w:r>
      <w:r>
        <w:rPr>
          <w:rFonts w:hint="eastAsia"/>
        </w:rPr>
        <w:t>吨</w:t>
      </w:r>
      <w:r>
        <w:t>/(</w:t>
      </w:r>
      <w:r>
        <w:rPr>
          <w:rFonts w:hint="eastAsia"/>
        </w:rPr>
        <w:t>小时</w:t>
      </w:r>
      <w:r>
        <w:t>ꞏ</w:t>
      </w:r>
      <w:r>
        <w:rPr>
          <w:rFonts w:hint="eastAsia"/>
        </w:rPr>
        <w:t>公顷</w:t>
      </w:r>
      <w:r>
        <w:t>)</w:t>
      </w:r>
      <w:r>
        <w:rPr>
          <w:rFonts w:hint="eastAsia"/>
        </w:rPr>
        <w:t>，同时使用系数取0.8，近期工业热负荷为35.51吨/小时，规划期末工业热负荷为52.64吨/小时。园区规划供热量是可以满足园区发展需求的。本次评价建议园区加快供热管网和集中供热锅炉的建设，以便为园区的发展提供保障。</w:t>
      </w:r>
    </w:p>
    <w:p w14:paraId="3955C2FB">
      <w:pPr>
        <w:pStyle w:val="2"/>
        <w:spacing w:after="0"/>
        <w:ind w:firstLine="480"/>
      </w:pPr>
      <w:r>
        <w:rPr>
          <w:rFonts w:hint="eastAsia"/>
        </w:rPr>
        <w:t>根据上位规划，规划豫新电厂作为卫辉市工业用汽的主要热源，分配工业热负荷106吨/小时，满足工业热负荷需求。</w:t>
      </w:r>
    </w:p>
    <w:p w14:paraId="386069AC">
      <w:pPr>
        <w:pStyle w:val="2"/>
        <w:spacing w:after="0"/>
        <w:ind w:firstLine="480"/>
      </w:pPr>
      <w:r>
        <w:rPr>
          <w:rFonts w:hint="eastAsia"/>
        </w:rPr>
        <w:t>本项目不使用蒸汽。</w:t>
      </w:r>
    </w:p>
    <w:p w14:paraId="4901125F">
      <w:pPr>
        <w:pStyle w:val="2"/>
        <w:spacing w:after="0"/>
        <w:ind w:firstLine="480"/>
        <w:outlineLvl w:val="4"/>
      </w:pPr>
      <w:r>
        <w:rPr>
          <w:rFonts w:hint="eastAsia"/>
        </w:rPr>
        <w:t>（4）燃气工程</w:t>
      </w:r>
    </w:p>
    <w:p w14:paraId="5D1E1C12">
      <w:pPr>
        <w:ind w:firstLine="480"/>
      </w:pPr>
      <w:r>
        <w:rPr>
          <w:rFonts w:hint="eastAsia"/>
        </w:rPr>
        <w:t>①燃气工程现状</w:t>
      </w:r>
    </w:p>
    <w:p w14:paraId="4CE77323">
      <w:pPr>
        <w:ind w:firstLine="480"/>
      </w:pPr>
      <w:r>
        <w:rPr>
          <w:rFonts w:hint="eastAsia"/>
        </w:rPr>
        <w:t>该区域现状存在西气东输管道，自北向南横穿该区域。现状燃气主要来自园区南园南部的天然气分输站及天然气门站，门站的次高压供气能力1.3万标准立方米/小时，中压供气能力1.2万标准立方米/小时。燃气管道已覆盖现状开发区域。</w:t>
      </w:r>
    </w:p>
    <w:p w14:paraId="6D8E3E5A">
      <w:pPr>
        <w:ind w:firstLine="480"/>
      </w:pPr>
      <w:r>
        <w:rPr>
          <w:rFonts w:hint="eastAsia"/>
        </w:rPr>
        <w:t>②燃气工程规划</w:t>
      </w:r>
    </w:p>
    <w:p w14:paraId="2AC5393C">
      <w:pPr>
        <w:ind w:firstLine="480"/>
      </w:pPr>
      <w:r>
        <w:rPr>
          <w:rFonts w:hint="eastAsia"/>
        </w:rPr>
        <w:t>经预测，园区近期工业燃气总用量为1.30万m</w:t>
      </w:r>
      <w:r>
        <w:rPr>
          <w:rFonts w:hint="eastAsia"/>
          <w:vertAlign w:val="superscript"/>
        </w:rPr>
        <w:t>3</w:t>
      </w:r>
      <w:r>
        <w:rPr>
          <w:rFonts w:hint="eastAsia"/>
        </w:rPr>
        <w:t>/d，规划期末工业燃气总用量为1.93万m</w:t>
      </w:r>
      <w:r>
        <w:rPr>
          <w:rFonts w:hint="eastAsia"/>
          <w:vertAlign w:val="superscript"/>
        </w:rPr>
        <w:t>3</w:t>
      </w:r>
      <w:r>
        <w:rPr>
          <w:rFonts w:hint="eastAsia"/>
        </w:rPr>
        <w:t>/d。</w:t>
      </w:r>
    </w:p>
    <w:p w14:paraId="6FF4EF5A">
      <w:pPr>
        <w:ind w:firstLine="480"/>
      </w:pPr>
      <w:r>
        <w:rPr>
          <w:rFonts w:hint="eastAsia"/>
        </w:rPr>
        <w:t>国家西气东输工程经过唐庄镇并在107国道南侧留有天然气气门站，为本区提供天然气源。燃气主要来自园区南园南部的天然气分输站及天然气门站，门站的主要功能是接收到站天然气，对到站天然气除尘、调压、计量、加臭后进入出站管道，通过出站管道进入专业园区中压主干管网。</w:t>
      </w:r>
    </w:p>
    <w:p w14:paraId="2EF93B5B">
      <w:pPr>
        <w:ind w:firstLine="480"/>
      </w:pPr>
      <w:r>
        <w:rPr>
          <w:rFonts w:hint="eastAsia"/>
        </w:rPr>
        <w:t>园区天然气气源规划以“西气东输”为主，同时实现园区内多资源共享，豫北化工LNG作为卫辉市的天然气战略储备和康迪有10万方的沼气储备，也可供园区使用。</w:t>
      </w:r>
    </w:p>
    <w:p w14:paraId="13F1BA1B">
      <w:pPr>
        <w:ind w:firstLine="480"/>
      </w:pPr>
      <w:r>
        <w:rPr>
          <w:rFonts w:hint="eastAsia"/>
        </w:rPr>
        <w:t>③燃气管网规划</w:t>
      </w:r>
    </w:p>
    <w:p w14:paraId="3B7D5C60">
      <w:pPr>
        <w:ind w:firstLine="480"/>
      </w:pPr>
      <w:r>
        <w:rPr>
          <w:rFonts w:hint="eastAsia"/>
        </w:rPr>
        <w:t>主干管环形布置，并靠近用气量大的用户，中压干管布置于用户稠密区。</w:t>
      </w:r>
    </w:p>
    <w:p w14:paraId="04228530">
      <w:pPr>
        <w:ind w:firstLine="480"/>
      </w:pPr>
      <w:r>
        <w:rPr>
          <w:rFonts w:hint="eastAsia"/>
        </w:rPr>
        <w:t>城市燃气管道采用环状中压一级系统，管网的铺设方式主要采用地下沿道路敷设，管径为D100-D250，燃气管道主要布置在城市非主干道的非机动车道或人行道下面，采用单侧布置，最小覆土度不得小于0.6米。</w:t>
      </w:r>
    </w:p>
    <w:p w14:paraId="5AFE66C9">
      <w:pPr>
        <w:pStyle w:val="2"/>
        <w:spacing w:after="0"/>
        <w:ind w:firstLine="480"/>
      </w:pPr>
      <w:r>
        <w:rPr>
          <w:rFonts w:hint="eastAsia"/>
        </w:rPr>
        <w:t>本项目不使用天然气。</w:t>
      </w:r>
    </w:p>
    <w:p w14:paraId="37FC33B7">
      <w:pPr>
        <w:ind w:firstLine="480"/>
        <w:outlineLvl w:val="4"/>
      </w:pPr>
      <w:r>
        <w:rPr>
          <w:rFonts w:hint="eastAsia"/>
        </w:rPr>
        <w:t>（5）电力工程</w:t>
      </w:r>
    </w:p>
    <w:p w14:paraId="2516D9D6">
      <w:pPr>
        <w:pStyle w:val="2"/>
        <w:spacing w:after="0"/>
        <w:ind w:firstLine="480"/>
      </w:pPr>
      <w:r>
        <w:rPr>
          <w:rFonts w:hint="eastAsia"/>
        </w:rPr>
        <w:t>①电力工程现状</w:t>
      </w:r>
    </w:p>
    <w:p w14:paraId="78AF9D10">
      <w:pPr>
        <w:pStyle w:val="2"/>
        <w:spacing w:after="0"/>
        <w:ind w:firstLine="480"/>
      </w:pPr>
      <w:r>
        <w:rPr>
          <w:rFonts w:hint="eastAsia"/>
        </w:rPr>
        <w:t>该区域内现状用电由郝庄110KV变电站供应。</w:t>
      </w:r>
    </w:p>
    <w:p w14:paraId="0429631B">
      <w:pPr>
        <w:pStyle w:val="2"/>
        <w:spacing w:after="0"/>
        <w:ind w:firstLine="480"/>
      </w:pPr>
      <w:r>
        <w:rPr>
          <w:rFonts w:hint="eastAsia"/>
        </w:rPr>
        <w:t>②电力工程规划</w:t>
      </w:r>
    </w:p>
    <w:p w14:paraId="1B92E667">
      <w:pPr>
        <w:pStyle w:val="2"/>
        <w:spacing w:after="0"/>
        <w:ind w:firstLine="480"/>
      </w:pPr>
      <w:r>
        <w:rPr>
          <w:rFonts w:hint="eastAsia"/>
        </w:rPr>
        <w:t>根据《卫辉市铁西（化工）专业园区总体规划（2022-2035）》中的预测，专业园区用电总负荷67.61MW。</w:t>
      </w:r>
    </w:p>
    <w:p w14:paraId="566CC94B">
      <w:pPr>
        <w:pStyle w:val="2"/>
        <w:spacing w:after="0"/>
        <w:ind w:firstLine="480"/>
      </w:pPr>
      <w:r>
        <w:rPr>
          <w:rFonts w:hint="eastAsia"/>
        </w:rPr>
        <w:t>规划区域内主要供电设施为郝庄110KV变电站，容量为3×50MW。另外企业内还有自建变电站，该区域供电设施完全可以满足需求。</w:t>
      </w:r>
    </w:p>
    <w:p w14:paraId="26731D96">
      <w:pPr>
        <w:pStyle w:val="2"/>
        <w:spacing w:after="0"/>
        <w:ind w:firstLine="480"/>
      </w:pPr>
      <w:r>
        <w:rPr>
          <w:rFonts w:hint="eastAsia"/>
        </w:rPr>
        <w:t>③电网规划</w:t>
      </w:r>
    </w:p>
    <w:p w14:paraId="7B1229FA">
      <w:pPr>
        <w:pStyle w:val="2"/>
        <w:spacing w:after="0"/>
        <w:ind w:firstLine="480"/>
      </w:pPr>
      <w:r>
        <w:rPr>
          <w:rFonts w:hint="eastAsia"/>
        </w:rPr>
        <w:t>110kV、220kV电力线路采用架空方式，高压走廊在开发区通过时，应依托开发区道路两侧绿地布置；考虑到开发区景观需求，10kV及以下线路采用电缆地埋敷设于南北道路东侧和东西道路北侧。</w:t>
      </w:r>
    </w:p>
    <w:p w14:paraId="730D647B">
      <w:pPr>
        <w:ind w:firstLine="480"/>
      </w:pPr>
      <w:r>
        <w:t>本次工程采用园区用电，年用电量</w:t>
      </w:r>
      <w:r>
        <w:rPr>
          <w:rFonts w:hint="eastAsia"/>
        </w:rPr>
        <w:t>30</w:t>
      </w:r>
      <w:r>
        <w:t>万kW</w:t>
      </w:r>
      <w:r>
        <w:rPr>
          <w:rFonts w:hint="eastAsia"/>
        </w:rPr>
        <w:t>·</w:t>
      </w:r>
      <w:r>
        <w:t>h，能够满足本项目供电所需。</w:t>
      </w:r>
    </w:p>
    <w:p w14:paraId="18411EA0">
      <w:pPr>
        <w:ind w:firstLine="480"/>
        <w:outlineLvl w:val="4"/>
      </w:pPr>
      <w:r>
        <w:rPr>
          <w:rFonts w:hint="eastAsia"/>
        </w:rPr>
        <w:t>（6）村庄拆迁安置</w:t>
      </w:r>
    </w:p>
    <w:p w14:paraId="2A163685">
      <w:pPr>
        <w:pStyle w:val="2"/>
        <w:spacing w:after="0"/>
        <w:ind w:firstLine="480"/>
      </w:pPr>
      <w:r>
        <w:rPr>
          <w:rFonts w:hint="eastAsia"/>
        </w:rPr>
        <w:t>规划区范围内有八里屯一处居民区。根据发展时序示意图，该居民区均位于远期建设区。</w:t>
      </w:r>
    </w:p>
    <w:p w14:paraId="2570A3FB">
      <w:pPr>
        <w:pStyle w:val="2"/>
        <w:spacing w:after="0"/>
        <w:ind w:firstLine="480"/>
      </w:pPr>
      <w:r>
        <w:rPr>
          <w:rFonts w:hint="eastAsia"/>
        </w:rPr>
        <w:t>根据卫辉市人民政府关于印发《卫辉市铁西（化工）专业园区内八里屯村居民搬迁实施方案》的通知（卫政文[2023]57号），规划考虑园区对周边村民生活安全、居住环境和设施配套完善等造成的影响，拟对八里屯村范围内的856户居民进行异地安置，政府统一安排搬迁至园区东侧原电机厂棚户安置区。拆迁安置工作由卫辉市人民政府负责协调和落实。计划拟于2025年前对八里屯村居民完成搬迁安置工作。村庄搬迁后，闲置地块作为园区发展用地。</w:t>
      </w:r>
    </w:p>
    <w:p w14:paraId="2B76C0DA">
      <w:pPr>
        <w:ind w:firstLine="480"/>
      </w:pPr>
      <w:r>
        <w:t>本项目</w:t>
      </w:r>
      <w:r>
        <w:rPr>
          <w:rFonts w:hint="eastAsia"/>
        </w:rPr>
        <w:t>距最近的敏感点为厂区东南侧约580</w:t>
      </w:r>
      <w:r>
        <w:t>m</w:t>
      </w:r>
      <w:r>
        <w:rPr>
          <w:rFonts w:hint="eastAsia"/>
        </w:rPr>
        <w:t>的下园村，距离敏感点较远。且本项目不涉及防护距离</w:t>
      </w:r>
      <w:r>
        <w:t>。</w:t>
      </w:r>
    </w:p>
    <w:p w14:paraId="6214A294">
      <w:pPr>
        <w:pStyle w:val="6"/>
        <w:ind w:left="0"/>
      </w:pPr>
      <w:bookmarkStart w:id="144" w:name="_Toc184624081"/>
      <w:bookmarkStart w:id="145" w:name="_Toc234314137"/>
      <w:bookmarkStart w:id="146" w:name="_Toc170788112"/>
      <w:bookmarkStart w:id="147" w:name="_Toc234313836"/>
      <w:r>
        <w:rPr>
          <w:rFonts w:hint="eastAsia"/>
        </w:rPr>
        <w:t>与园区规划环评准入条件相符性分析</w:t>
      </w:r>
    </w:p>
    <w:p w14:paraId="4919873E">
      <w:pPr>
        <w:ind w:firstLine="480"/>
      </w:pPr>
      <w:r>
        <w:t>针对卫辉市铁西（</w:t>
      </w:r>
      <w:r>
        <w:rPr>
          <w:rFonts w:hint="eastAsia"/>
        </w:rPr>
        <w:t>化工</w:t>
      </w:r>
      <w:r>
        <w:t>）专业园区环境状况，卫辉市铁西（</w:t>
      </w:r>
      <w:r>
        <w:rPr>
          <w:rFonts w:hint="eastAsia"/>
        </w:rPr>
        <w:t>化工</w:t>
      </w:r>
      <w:r>
        <w:t>）专业园区</w:t>
      </w:r>
      <w:r>
        <w:rPr>
          <w:rFonts w:hint="eastAsia"/>
        </w:rPr>
        <w:t>总体</w:t>
      </w:r>
      <w:r>
        <w:t>规划环评（审查意见文号：</w:t>
      </w:r>
      <w:r>
        <w:rPr>
          <w:rFonts w:hint="eastAsia"/>
        </w:rPr>
        <w:t>新规环审查〔2023〕2号</w:t>
      </w:r>
      <w:r>
        <w:t>）提出了建设项目环境保护准入条件，项目与其相符性分析见下表。</w:t>
      </w:r>
    </w:p>
    <w:p w14:paraId="73663BF3">
      <w:pPr>
        <w:numPr>
          <w:ilvl w:val="1"/>
          <w:numId w:val="10"/>
        </w:numPr>
        <w:adjustRightInd/>
        <w:snapToGrid/>
        <w:ind w:left="0" w:firstLine="482" w:firstLineChars="0"/>
        <w:textAlignment w:val="auto"/>
        <w:rPr>
          <w:rFonts w:eastAsia="黑体"/>
        </w:rPr>
      </w:pPr>
      <w:r>
        <w:rPr>
          <w:rFonts w:eastAsia="黑体"/>
        </w:rPr>
        <w:t xml:space="preserve">    本工程与集聚区项目准入条件相符性分析</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26"/>
        <w:gridCol w:w="3505"/>
        <w:gridCol w:w="3117"/>
        <w:gridCol w:w="1120"/>
      </w:tblGrid>
      <w:tr w14:paraId="7C098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751" w:type="dxa"/>
            <w:vAlign w:val="center"/>
          </w:tcPr>
          <w:p w14:paraId="3416BEBB">
            <w:pPr>
              <w:spacing w:line="240" w:lineRule="auto"/>
              <w:ind w:firstLine="0" w:firstLineChars="0"/>
              <w:jc w:val="center"/>
              <w:rPr>
                <w:b/>
                <w:bCs/>
                <w:sz w:val="21"/>
                <w:szCs w:val="21"/>
              </w:rPr>
            </w:pPr>
            <w:r>
              <w:rPr>
                <w:b/>
                <w:bCs/>
                <w:sz w:val="21"/>
                <w:szCs w:val="21"/>
              </w:rPr>
              <w:t>类别</w:t>
            </w:r>
          </w:p>
        </w:tc>
        <w:tc>
          <w:tcPr>
            <w:tcW w:w="4488" w:type="dxa"/>
            <w:vAlign w:val="center"/>
          </w:tcPr>
          <w:p w14:paraId="679FE3AC">
            <w:pPr>
              <w:spacing w:line="240" w:lineRule="auto"/>
              <w:ind w:firstLine="0" w:firstLineChars="0"/>
              <w:jc w:val="center"/>
              <w:rPr>
                <w:b/>
                <w:bCs/>
                <w:sz w:val="21"/>
                <w:szCs w:val="21"/>
              </w:rPr>
            </w:pPr>
            <w:r>
              <w:rPr>
                <w:b/>
                <w:bCs/>
                <w:sz w:val="21"/>
                <w:szCs w:val="21"/>
              </w:rPr>
              <w:t>项目准入条件</w:t>
            </w:r>
          </w:p>
        </w:tc>
        <w:tc>
          <w:tcPr>
            <w:tcW w:w="3720" w:type="dxa"/>
            <w:vAlign w:val="center"/>
          </w:tcPr>
          <w:p w14:paraId="7BEE3238">
            <w:pPr>
              <w:spacing w:line="240" w:lineRule="auto"/>
              <w:ind w:firstLine="0" w:firstLineChars="0"/>
              <w:jc w:val="center"/>
              <w:rPr>
                <w:b/>
                <w:bCs/>
                <w:sz w:val="21"/>
                <w:szCs w:val="21"/>
              </w:rPr>
            </w:pPr>
            <w:r>
              <w:rPr>
                <w:rFonts w:hint="eastAsia"/>
                <w:b/>
                <w:bCs/>
                <w:sz w:val="21"/>
                <w:szCs w:val="21"/>
              </w:rPr>
              <w:t>本项目情况</w:t>
            </w:r>
          </w:p>
        </w:tc>
        <w:tc>
          <w:tcPr>
            <w:tcW w:w="1418" w:type="dxa"/>
            <w:vAlign w:val="center"/>
          </w:tcPr>
          <w:p w14:paraId="69973031">
            <w:pPr>
              <w:spacing w:line="240" w:lineRule="auto"/>
              <w:ind w:firstLine="0" w:firstLineChars="0"/>
              <w:jc w:val="center"/>
              <w:rPr>
                <w:b/>
                <w:bCs/>
                <w:sz w:val="21"/>
                <w:szCs w:val="21"/>
              </w:rPr>
            </w:pPr>
            <w:r>
              <w:rPr>
                <w:rFonts w:hint="eastAsia"/>
                <w:b/>
                <w:bCs/>
                <w:sz w:val="21"/>
                <w:szCs w:val="21"/>
              </w:rPr>
              <w:t>相符性</w:t>
            </w:r>
          </w:p>
        </w:tc>
      </w:tr>
      <w:tr w14:paraId="7848C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1" w:type="dxa"/>
            <w:vAlign w:val="center"/>
          </w:tcPr>
          <w:p w14:paraId="15A8A2DE">
            <w:pPr>
              <w:spacing w:line="240" w:lineRule="auto"/>
              <w:ind w:firstLine="0" w:firstLineChars="0"/>
              <w:jc w:val="center"/>
              <w:rPr>
                <w:sz w:val="21"/>
                <w:szCs w:val="21"/>
              </w:rPr>
            </w:pPr>
            <w:r>
              <w:rPr>
                <w:rFonts w:hint="eastAsia"/>
                <w:sz w:val="21"/>
                <w:szCs w:val="21"/>
              </w:rPr>
              <w:t>空间布局约束</w:t>
            </w:r>
          </w:p>
        </w:tc>
        <w:tc>
          <w:tcPr>
            <w:tcW w:w="4488" w:type="dxa"/>
            <w:vAlign w:val="center"/>
          </w:tcPr>
          <w:p w14:paraId="7A72D890">
            <w:pPr>
              <w:spacing w:line="240" w:lineRule="auto"/>
              <w:ind w:firstLine="0" w:firstLineChars="0"/>
              <w:rPr>
                <w:sz w:val="21"/>
                <w:szCs w:val="21"/>
              </w:rPr>
            </w:pPr>
            <w:r>
              <w:rPr>
                <w:rFonts w:hint="eastAsia"/>
                <w:sz w:val="21"/>
                <w:szCs w:val="21"/>
              </w:rPr>
              <w:t>1、入园项目用地必须符合园区土地利用规划要求；</w:t>
            </w:r>
          </w:p>
          <w:p w14:paraId="062813DA">
            <w:pPr>
              <w:spacing w:line="240" w:lineRule="auto"/>
              <w:ind w:firstLine="0" w:firstLineChars="0"/>
              <w:rPr>
                <w:sz w:val="21"/>
                <w:szCs w:val="21"/>
              </w:rPr>
            </w:pPr>
            <w:r>
              <w:rPr>
                <w:rFonts w:hint="eastAsia"/>
                <w:sz w:val="21"/>
                <w:szCs w:val="21"/>
              </w:rPr>
              <w:t>2、结合园区产业定位及发展目标，优先发展技术含量高、附加值高、符合国家产业政策和清洁生产要求、采用先进生产工艺和设备、自动化程度高、具有可靠先进的污染治理技术的生产项目；</w:t>
            </w:r>
          </w:p>
          <w:p w14:paraId="737F288C">
            <w:pPr>
              <w:spacing w:line="240" w:lineRule="auto"/>
              <w:ind w:firstLine="0" w:firstLineChars="0"/>
              <w:rPr>
                <w:sz w:val="21"/>
                <w:szCs w:val="21"/>
              </w:rPr>
            </w:pPr>
            <w:r>
              <w:rPr>
                <w:rFonts w:hint="eastAsia"/>
                <w:sz w:val="21"/>
                <w:szCs w:val="21"/>
              </w:rPr>
              <w:t>3、坚决遏制高耗能、高排放项目盲目发展。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66C8E86C">
            <w:pPr>
              <w:spacing w:line="240" w:lineRule="auto"/>
              <w:ind w:firstLine="0" w:firstLineChars="0"/>
              <w:rPr>
                <w:sz w:val="21"/>
                <w:szCs w:val="21"/>
              </w:rPr>
            </w:pPr>
            <w:r>
              <w:rPr>
                <w:rFonts w:hint="eastAsia"/>
                <w:sz w:val="21"/>
                <w:szCs w:val="21"/>
              </w:rPr>
              <w:t>4、对引进项目有防护距离要求的，结合园区周边敏感点村庄情况进行合理布局，其防护距离内不得有村庄、学校等敏感点。</w:t>
            </w:r>
          </w:p>
          <w:p w14:paraId="1F18370F">
            <w:pPr>
              <w:spacing w:line="240" w:lineRule="auto"/>
              <w:ind w:firstLine="0" w:firstLineChars="0"/>
              <w:rPr>
                <w:sz w:val="21"/>
                <w:szCs w:val="21"/>
              </w:rPr>
            </w:pPr>
            <w:r>
              <w:rPr>
                <w:rFonts w:hint="eastAsia"/>
                <w:sz w:val="21"/>
                <w:szCs w:val="21"/>
              </w:rPr>
              <w:t>5、鼓励符合园区产业定位的现有项目搬迁入园，选址应符合园区规划要求；优先鼓励豫北化工煤气化装置改造项目及产品方案优化提升项目，豫北化工合成氨和甲醇产能与原项目可等量置换升级改造。</w:t>
            </w:r>
          </w:p>
          <w:p w14:paraId="7F04ED19">
            <w:pPr>
              <w:spacing w:line="240" w:lineRule="auto"/>
              <w:ind w:firstLine="0" w:firstLineChars="0"/>
              <w:rPr>
                <w:sz w:val="21"/>
                <w:szCs w:val="21"/>
              </w:rPr>
            </w:pPr>
            <w:r>
              <w:rPr>
                <w:rFonts w:hint="eastAsia"/>
                <w:sz w:val="21"/>
                <w:szCs w:val="21"/>
              </w:rPr>
              <w:t>6、鼓励园区主导产业的产业链向高附加值端延伸，实现园区产业升级；</w:t>
            </w:r>
          </w:p>
          <w:p w14:paraId="1C27C83C">
            <w:pPr>
              <w:spacing w:line="240" w:lineRule="auto"/>
              <w:ind w:firstLine="0" w:firstLineChars="0"/>
              <w:rPr>
                <w:sz w:val="21"/>
                <w:szCs w:val="21"/>
              </w:rPr>
            </w:pPr>
            <w:r>
              <w:rPr>
                <w:rFonts w:hint="eastAsia"/>
                <w:sz w:val="21"/>
                <w:szCs w:val="21"/>
              </w:rPr>
              <w:t>7、鼓励园区内现有企业进行工程工艺技术升级改造、污染治理措施升级改造、节能减排技术改造项目，提高现有企业清洁生产水平；</w:t>
            </w:r>
          </w:p>
          <w:p w14:paraId="3D3976F2">
            <w:pPr>
              <w:spacing w:line="240" w:lineRule="auto"/>
              <w:ind w:firstLine="0" w:firstLineChars="0"/>
              <w:rPr>
                <w:sz w:val="21"/>
                <w:szCs w:val="21"/>
              </w:rPr>
            </w:pPr>
            <w:r>
              <w:rPr>
                <w:rFonts w:hint="eastAsia"/>
                <w:sz w:val="21"/>
                <w:szCs w:val="21"/>
              </w:rPr>
              <w:t>8、鼓励园区建设以处理园区大宗固废为主的固废综合利用项目；</w:t>
            </w:r>
          </w:p>
          <w:p w14:paraId="6094F0E3">
            <w:pPr>
              <w:spacing w:line="240" w:lineRule="auto"/>
              <w:ind w:firstLine="0" w:firstLineChars="0"/>
              <w:rPr>
                <w:sz w:val="21"/>
                <w:szCs w:val="21"/>
              </w:rPr>
            </w:pPr>
            <w:r>
              <w:rPr>
                <w:rFonts w:hint="eastAsia"/>
                <w:sz w:val="21"/>
                <w:szCs w:val="21"/>
              </w:rPr>
              <w:t>9、精细化工区：鼓励引入污染轻，附加值高的高端精细化工项目。</w:t>
            </w:r>
          </w:p>
          <w:p w14:paraId="584D0E5A">
            <w:pPr>
              <w:spacing w:line="240" w:lineRule="auto"/>
              <w:ind w:firstLine="0" w:firstLineChars="0"/>
              <w:rPr>
                <w:sz w:val="21"/>
                <w:szCs w:val="21"/>
                <w:highlight w:val="yellow"/>
              </w:rPr>
            </w:pPr>
            <w:r>
              <w:rPr>
                <w:rFonts w:hint="eastAsia"/>
                <w:sz w:val="21"/>
                <w:szCs w:val="21"/>
              </w:rPr>
              <w:t>10、鼓励具有先进性、符合园区功能定位的轻污染项目优先入区。</w:t>
            </w:r>
          </w:p>
        </w:tc>
        <w:tc>
          <w:tcPr>
            <w:tcW w:w="3720" w:type="dxa"/>
            <w:vAlign w:val="center"/>
          </w:tcPr>
          <w:p w14:paraId="1019E8CB">
            <w:pPr>
              <w:spacing w:line="240" w:lineRule="auto"/>
              <w:ind w:firstLine="210" w:firstLineChars="100"/>
              <w:rPr>
                <w:sz w:val="21"/>
                <w:szCs w:val="21"/>
              </w:rPr>
            </w:pPr>
            <w:r>
              <w:rPr>
                <w:rFonts w:hint="eastAsia"/>
                <w:sz w:val="21"/>
                <w:szCs w:val="21"/>
              </w:rPr>
              <w:t>1、根据《卫辉市铁西（化工）专业园区总体规划（2022-2035）-土地使用规划图》（见附图二（1）），</w:t>
            </w:r>
            <w:r>
              <w:rPr>
                <w:sz w:val="21"/>
                <w:szCs w:val="21"/>
              </w:rPr>
              <w:t>项目厂址用地为</w:t>
            </w:r>
            <w:r>
              <w:rPr>
                <w:rFonts w:hint="eastAsia"/>
                <w:sz w:val="21"/>
                <w:szCs w:val="21"/>
              </w:rPr>
              <w:t>二类</w:t>
            </w:r>
            <w:r>
              <w:rPr>
                <w:sz w:val="21"/>
                <w:szCs w:val="21"/>
              </w:rPr>
              <w:t>工业用地，</w:t>
            </w:r>
            <w:r>
              <w:rPr>
                <w:rFonts w:hint="eastAsia"/>
                <w:sz w:val="21"/>
                <w:szCs w:val="21"/>
              </w:rPr>
              <w:t>符合园区土地利用规划要求；</w:t>
            </w:r>
          </w:p>
          <w:p w14:paraId="5D2CCEDB">
            <w:pPr>
              <w:spacing w:line="240" w:lineRule="auto"/>
              <w:ind w:firstLine="210" w:firstLineChars="100"/>
              <w:rPr>
                <w:sz w:val="21"/>
                <w:szCs w:val="21"/>
              </w:rPr>
            </w:pPr>
            <w:r>
              <w:rPr>
                <w:rFonts w:hint="eastAsia"/>
                <w:sz w:val="21"/>
                <w:szCs w:val="21"/>
              </w:rPr>
              <w:t>2、根据《卫辉市铁西（化工）专业园区总体规划（2022-2035）-产业功能布局图》（见附图二（2）），</w:t>
            </w:r>
            <w:r>
              <w:rPr>
                <w:sz w:val="21"/>
                <w:szCs w:val="21"/>
              </w:rPr>
              <w:t>项目厂址</w:t>
            </w:r>
            <w:r>
              <w:rPr>
                <w:rFonts w:hint="eastAsia"/>
                <w:sz w:val="21"/>
                <w:szCs w:val="21"/>
              </w:rPr>
              <w:t>位于食品添加剂及助剂产业区，符合园区产业定位，按照国家政策要求进行建设，建成后按照要求进行清洁生产。</w:t>
            </w:r>
          </w:p>
          <w:p w14:paraId="7EAC4F7D">
            <w:pPr>
              <w:spacing w:line="240" w:lineRule="auto"/>
              <w:ind w:firstLine="210" w:firstLineChars="100"/>
              <w:rPr>
                <w:sz w:val="21"/>
                <w:szCs w:val="21"/>
                <w:u w:val="single"/>
              </w:rPr>
            </w:pPr>
            <w:r>
              <w:rPr>
                <w:rFonts w:hint="eastAsia"/>
                <w:sz w:val="21"/>
                <w:szCs w:val="21"/>
                <w:u w:val="single"/>
              </w:rPr>
              <w:t>3、本项目为新建项目，项目综合能耗约为0.1万吨标煤＜</w:t>
            </w:r>
            <w:r>
              <w:rPr>
                <w:sz w:val="21"/>
                <w:szCs w:val="21"/>
                <w:u w:val="single"/>
              </w:rPr>
              <w:t>5</w:t>
            </w:r>
            <w:r>
              <w:rPr>
                <w:rFonts w:hint="eastAsia"/>
                <w:sz w:val="21"/>
                <w:szCs w:val="21"/>
                <w:u w:val="single"/>
              </w:rPr>
              <w:t>万吨标准煤/年，根据《关于印发河南省“两高”项目管理目录（2023年修订）的通知》，本项目不属于“两高”项目；</w:t>
            </w:r>
          </w:p>
          <w:p w14:paraId="413A04F2">
            <w:pPr>
              <w:spacing w:line="240" w:lineRule="auto"/>
              <w:ind w:firstLine="210" w:firstLineChars="100"/>
              <w:rPr>
                <w:sz w:val="21"/>
                <w:szCs w:val="21"/>
              </w:rPr>
            </w:pPr>
            <w:r>
              <w:rPr>
                <w:rFonts w:hint="eastAsia"/>
                <w:sz w:val="21"/>
                <w:szCs w:val="21"/>
              </w:rPr>
              <w:t>4、本项目距最近的敏感点为厂区东南侧约580m的下园村，距离敏感点较远。且本项目不涉及防护距离；</w:t>
            </w:r>
          </w:p>
          <w:p w14:paraId="6C74B2E5">
            <w:pPr>
              <w:spacing w:line="240" w:lineRule="auto"/>
              <w:ind w:firstLine="210" w:firstLineChars="100"/>
              <w:rPr>
                <w:sz w:val="21"/>
                <w:szCs w:val="21"/>
              </w:rPr>
            </w:pPr>
            <w:r>
              <w:rPr>
                <w:rFonts w:hint="eastAsia"/>
                <w:sz w:val="21"/>
                <w:szCs w:val="21"/>
              </w:rPr>
              <w:t>5-9、不涉及；</w:t>
            </w:r>
          </w:p>
          <w:p w14:paraId="05E68A00">
            <w:pPr>
              <w:spacing w:line="240" w:lineRule="auto"/>
              <w:ind w:firstLine="210" w:firstLineChars="100"/>
              <w:rPr>
                <w:sz w:val="21"/>
                <w:szCs w:val="21"/>
                <w:highlight w:val="yellow"/>
              </w:rPr>
            </w:pPr>
            <w:r>
              <w:rPr>
                <w:rFonts w:hint="eastAsia"/>
                <w:sz w:val="21"/>
                <w:szCs w:val="21"/>
              </w:rPr>
              <w:t>10、根据《卫辉市铁西（化工）专业园区总体规划（2022-2035）-产业功能布局图》（见附图二（2）），</w:t>
            </w:r>
            <w:r>
              <w:rPr>
                <w:sz w:val="21"/>
                <w:szCs w:val="21"/>
              </w:rPr>
              <w:t>项目厂址</w:t>
            </w:r>
            <w:r>
              <w:rPr>
                <w:rFonts w:hint="eastAsia"/>
                <w:sz w:val="21"/>
                <w:szCs w:val="21"/>
              </w:rPr>
              <w:t>位于食品添加剂及助剂产业区，符合园区产业定位。</w:t>
            </w:r>
          </w:p>
        </w:tc>
        <w:tc>
          <w:tcPr>
            <w:tcW w:w="1418" w:type="dxa"/>
            <w:vAlign w:val="center"/>
          </w:tcPr>
          <w:p w14:paraId="4C2445DB">
            <w:pPr>
              <w:spacing w:line="240" w:lineRule="auto"/>
              <w:ind w:firstLine="0" w:firstLineChars="0"/>
              <w:jc w:val="center"/>
              <w:rPr>
                <w:sz w:val="21"/>
                <w:szCs w:val="21"/>
              </w:rPr>
            </w:pPr>
            <w:r>
              <w:rPr>
                <w:rFonts w:hint="eastAsia"/>
                <w:sz w:val="21"/>
                <w:szCs w:val="21"/>
              </w:rPr>
              <w:t>相符</w:t>
            </w:r>
          </w:p>
        </w:tc>
      </w:tr>
      <w:tr w14:paraId="73FAE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1" w:type="dxa"/>
            <w:vAlign w:val="center"/>
          </w:tcPr>
          <w:p w14:paraId="1B890E23">
            <w:pPr>
              <w:spacing w:line="240" w:lineRule="auto"/>
              <w:ind w:firstLine="0" w:firstLineChars="0"/>
              <w:jc w:val="center"/>
              <w:rPr>
                <w:sz w:val="21"/>
                <w:szCs w:val="21"/>
                <w:highlight w:val="yellow"/>
              </w:rPr>
            </w:pPr>
            <w:r>
              <w:rPr>
                <w:rFonts w:hint="eastAsia"/>
                <w:sz w:val="21"/>
                <w:szCs w:val="21"/>
              </w:rPr>
              <w:t>污染物排放管控</w:t>
            </w:r>
          </w:p>
        </w:tc>
        <w:tc>
          <w:tcPr>
            <w:tcW w:w="4488" w:type="dxa"/>
            <w:vAlign w:val="center"/>
          </w:tcPr>
          <w:p w14:paraId="7007E4F4">
            <w:pPr>
              <w:spacing w:line="240" w:lineRule="auto"/>
              <w:ind w:firstLine="0" w:firstLineChars="0"/>
              <w:rPr>
                <w:sz w:val="21"/>
                <w:szCs w:val="21"/>
              </w:rPr>
            </w:pPr>
            <w:r>
              <w:rPr>
                <w:rFonts w:hint="eastAsia"/>
                <w:sz w:val="21"/>
                <w:szCs w:val="21"/>
              </w:rPr>
              <w:t>1、新、改、扩建排放VOCs的项目，应从源头加强控制，使用低（无）VOCs含量的原辅材料，配套安装高效收集、治理设施。</w:t>
            </w:r>
          </w:p>
          <w:p w14:paraId="39AD8B54">
            <w:pPr>
              <w:spacing w:line="240" w:lineRule="auto"/>
              <w:ind w:firstLine="0" w:firstLineChars="0"/>
              <w:rPr>
                <w:sz w:val="21"/>
                <w:szCs w:val="21"/>
              </w:rPr>
            </w:pPr>
            <w:r>
              <w:rPr>
                <w:rFonts w:hint="eastAsia"/>
                <w:sz w:val="21"/>
                <w:szCs w:val="21"/>
              </w:rPr>
              <w:t>2、入区项目的单位产品水耗、能耗、污染物排放量等清洁生产指标应达到国内同类行业先进水平；</w:t>
            </w:r>
          </w:p>
          <w:p w14:paraId="51C6DDAC">
            <w:pPr>
              <w:spacing w:line="240" w:lineRule="auto"/>
              <w:ind w:firstLine="0" w:firstLineChars="0"/>
              <w:rPr>
                <w:sz w:val="21"/>
                <w:szCs w:val="21"/>
              </w:rPr>
            </w:pPr>
            <w:r>
              <w:rPr>
                <w:rFonts w:hint="eastAsia"/>
                <w:sz w:val="21"/>
                <w:szCs w:val="21"/>
              </w:rPr>
              <w:t>3、新、改、扩建项目主要污染物排放应满足总量减排要求；</w:t>
            </w:r>
          </w:p>
          <w:p w14:paraId="59D618B7">
            <w:pPr>
              <w:spacing w:line="240" w:lineRule="auto"/>
              <w:ind w:firstLine="0" w:firstLineChars="0"/>
              <w:rPr>
                <w:sz w:val="21"/>
                <w:szCs w:val="21"/>
                <w:highlight w:val="yellow"/>
              </w:rPr>
            </w:pPr>
            <w:r>
              <w:rPr>
                <w:rFonts w:hint="eastAsia"/>
                <w:sz w:val="21"/>
                <w:szCs w:val="21"/>
              </w:rPr>
              <w:t>4、强化项目环评及“三同时”管理，重点行业企业新建、扩建项目达到A级绩效水平，改建项目达到 B级以上绩效水平。</w:t>
            </w:r>
          </w:p>
        </w:tc>
        <w:tc>
          <w:tcPr>
            <w:tcW w:w="3720" w:type="dxa"/>
            <w:vAlign w:val="center"/>
          </w:tcPr>
          <w:p w14:paraId="2B201C31">
            <w:pPr>
              <w:spacing w:line="240" w:lineRule="auto"/>
              <w:ind w:firstLine="210" w:firstLineChars="100"/>
              <w:rPr>
                <w:sz w:val="21"/>
                <w:szCs w:val="21"/>
              </w:rPr>
            </w:pPr>
            <w:r>
              <w:rPr>
                <w:rFonts w:hint="eastAsia"/>
                <w:sz w:val="21"/>
                <w:szCs w:val="21"/>
              </w:rPr>
              <w:t>1、</w:t>
            </w:r>
            <w:r>
              <w:rPr>
                <w:sz w:val="21"/>
                <w:szCs w:val="21"/>
              </w:rPr>
              <w:t>本项目</w:t>
            </w:r>
            <w:r>
              <w:rPr>
                <w:rFonts w:hint="eastAsia"/>
                <w:sz w:val="21"/>
                <w:szCs w:val="21"/>
              </w:rPr>
              <w:t>属于</w:t>
            </w:r>
            <w:r>
              <w:rPr>
                <w:sz w:val="21"/>
                <w:szCs w:val="21"/>
              </w:rPr>
              <w:t>新建</w:t>
            </w:r>
            <w:r>
              <w:rPr>
                <w:rFonts w:hint="eastAsia"/>
                <w:sz w:val="21"/>
                <w:szCs w:val="21"/>
              </w:rPr>
              <w:t>排放VOCs</w:t>
            </w:r>
            <w:r>
              <w:rPr>
                <w:sz w:val="21"/>
                <w:szCs w:val="21"/>
              </w:rPr>
              <w:t>项目，</w:t>
            </w:r>
            <w:r>
              <w:rPr>
                <w:rFonts w:hint="eastAsia"/>
                <w:sz w:val="21"/>
                <w:szCs w:val="21"/>
              </w:rPr>
              <w:t>使用低（无）VOCs含量的原辅材料，生产过程产生的废气经密闭管道负压收集后进入</w:t>
            </w:r>
            <w:r>
              <w:rPr>
                <w:rFonts w:hint="eastAsia"/>
                <w:sz w:val="21"/>
                <w:szCs w:val="21"/>
                <w:u w:val="single"/>
              </w:rPr>
              <w:t>“碱喷淋+水喷淋+除雾器+活性炭吸附装置”处理。</w:t>
            </w:r>
          </w:p>
          <w:p w14:paraId="4175D6A8">
            <w:pPr>
              <w:spacing w:line="240" w:lineRule="auto"/>
              <w:ind w:firstLine="210" w:firstLineChars="100"/>
              <w:rPr>
                <w:sz w:val="21"/>
                <w:szCs w:val="21"/>
              </w:rPr>
            </w:pPr>
            <w:r>
              <w:rPr>
                <w:rFonts w:hint="eastAsia"/>
                <w:sz w:val="21"/>
                <w:szCs w:val="21"/>
              </w:rPr>
              <w:t>2、本项目清洁生产处于国内同行业先进水平；</w:t>
            </w:r>
          </w:p>
          <w:p w14:paraId="679577FE">
            <w:pPr>
              <w:spacing w:line="240" w:lineRule="auto"/>
              <w:ind w:firstLine="210" w:firstLineChars="100"/>
              <w:rPr>
                <w:sz w:val="21"/>
                <w:szCs w:val="21"/>
              </w:rPr>
            </w:pPr>
            <w:r>
              <w:rPr>
                <w:rFonts w:hint="eastAsia"/>
                <w:sz w:val="21"/>
                <w:szCs w:val="21"/>
              </w:rPr>
              <w:t>3、本项目为新建项目，主要污染物排放颗粒物、非甲烷总烃、COD、氨氮满足总量减排要求；</w:t>
            </w:r>
          </w:p>
          <w:p w14:paraId="057EFEA0">
            <w:pPr>
              <w:spacing w:line="240" w:lineRule="auto"/>
              <w:ind w:firstLine="210" w:firstLineChars="100"/>
              <w:rPr>
                <w:sz w:val="21"/>
                <w:szCs w:val="21"/>
              </w:rPr>
            </w:pPr>
            <w:r>
              <w:rPr>
                <w:rFonts w:hint="eastAsia"/>
                <w:sz w:val="21"/>
                <w:szCs w:val="21"/>
              </w:rPr>
              <w:t>4、本项目为新建项目，将严格按照《河南省重污染天气重点行业应急减排措施制定技术指南（2021年修订版）》中的有机化工企业A级绩效要求进行建设。</w:t>
            </w:r>
          </w:p>
        </w:tc>
        <w:tc>
          <w:tcPr>
            <w:tcW w:w="1418" w:type="dxa"/>
            <w:vAlign w:val="center"/>
          </w:tcPr>
          <w:p w14:paraId="4B7AD27F">
            <w:pPr>
              <w:spacing w:line="240" w:lineRule="auto"/>
              <w:ind w:firstLine="0" w:firstLineChars="0"/>
              <w:jc w:val="center"/>
              <w:rPr>
                <w:sz w:val="21"/>
                <w:szCs w:val="21"/>
              </w:rPr>
            </w:pPr>
            <w:r>
              <w:rPr>
                <w:rFonts w:hint="eastAsia"/>
                <w:sz w:val="21"/>
                <w:szCs w:val="21"/>
              </w:rPr>
              <w:t>相符</w:t>
            </w:r>
          </w:p>
        </w:tc>
      </w:tr>
      <w:tr w14:paraId="3A5C3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1" w:type="dxa"/>
            <w:vAlign w:val="center"/>
          </w:tcPr>
          <w:p w14:paraId="7A946CD1">
            <w:pPr>
              <w:spacing w:line="240" w:lineRule="auto"/>
              <w:ind w:firstLine="0" w:firstLineChars="0"/>
              <w:jc w:val="center"/>
              <w:rPr>
                <w:sz w:val="21"/>
                <w:szCs w:val="21"/>
                <w:highlight w:val="yellow"/>
              </w:rPr>
            </w:pPr>
            <w:r>
              <w:rPr>
                <w:rFonts w:hint="eastAsia"/>
                <w:sz w:val="21"/>
                <w:szCs w:val="21"/>
              </w:rPr>
              <w:t>环境风险防控</w:t>
            </w:r>
          </w:p>
        </w:tc>
        <w:tc>
          <w:tcPr>
            <w:tcW w:w="4488" w:type="dxa"/>
            <w:vAlign w:val="center"/>
          </w:tcPr>
          <w:p w14:paraId="3D4AD172">
            <w:pPr>
              <w:spacing w:line="240" w:lineRule="auto"/>
              <w:ind w:firstLine="0" w:firstLineChars="0"/>
              <w:rPr>
                <w:sz w:val="21"/>
                <w:szCs w:val="21"/>
              </w:rPr>
            </w:pPr>
            <w:r>
              <w:rPr>
                <w:rFonts w:hint="eastAsia"/>
                <w:sz w:val="21"/>
                <w:szCs w:val="21"/>
              </w:rPr>
              <w:t>1、严格控制环境风险，加强环境监测和应急监测。企业应按要求编制企业突发环境事件风险应急预案并定期进行演练。按照《企业事业单位环境信息公开办法》相关规定向社会公开环境信息。</w:t>
            </w:r>
          </w:p>
          <w:p w14:paraId="731B2B10">
            <w:pPr>
              <w:spacing w:line="240" w:lineRule="auto"/>
              <w:ind w:firstLine="0" w:firstLineChars="0"/>
              <w:rPr>
                <w:sz w:val="21"/>
                <w:szCs w:val="21"/>
                <w:highlight w:val="yellow"/>
              </w:rPr>
            </w:pPr>
            <w:r>
              <w:rPr>
                <w:rFonts w:hint="eastAsia"/>
                <w:sz w:val="21"/>
                <w:szCs w:val="21"/>
              </w:rPr>
              <w:t>2、引进项目必须严格落实环境影响评价等文件提出的各项环境风险防控措施。</w:t>
            </w:r>
          </w:p>
        </w:tc>
        <w:tc>
          <w:tcPr>
            <w:tcW w:w="3720" w:type="dxa"/>
            <w:vAlign w:val="center"/>
          </w:tcPr>
          <w:p w14:paraId="1B010BB7">
            <w:pPr>
              <w:spacing w:line="240" w:lineRule="auto"/>
              <w:ind w:firstLine="0" w:firstLineChars="0"/>
              <w:rPr>
                <w:sz w:val="21"/>
                <w:szCs w:val="21"/>
              </w:rPr>
            </w:pPr>
            <w:r>
              <w:rPr>
                <w:rFonts w:hint="eastAsia"/>
                <w:sz w:val="21"/>
                <w:szCs w:val="21"/>
              </w:rPr>
              <w:t>1、项目建成后按要求编制企业突发环境事件风险应急预案并定期进行演练。按照《企业环境信息依法披露管理办法》(该文件2022.2.8实施)相关规定向社会公开环境信息。</w:t>
            </w:r>
          </w:p>
          <w:p w14:paraId="744FF44E">
            <w:pPr>
              <w:tabs>
                <w:tab w:val="left" w:pos="2880"/>
              </w:tabs>
              <w:spacing w:line="240" w:lineRule="auto"/>
              <w:ind w:firstLine="0" w:firstLineChars="0"/>
              <w:rPr>
                <w:sz w:val="21"/>
                <w:szCs w:val="21"/>
                <w:highlight w:val="yellow"/>
              </w:rPr>
            </w:pPr>
            <w:r>
              <w:rPr>
                <w:rFonts w:hint="eastAsia"/>
                <w:sz w:val="21"/>
                <w:szCs w:val="21"/>
              </w:rPr>
              <w:t>2、项目建成后严格落实环境影响评价等文件提出的各项环境风险防控措施。</w:t>
            </w:r>
          </w:p>
        </w:tc>
        <w:tc>
          <w:tcPr>
            <w:tcW w:w="1418" w:type="dxa"/>
            <w:vAlign w:val="center"/>
          </w:tcPr>
          <w:p w14:paraId="4E4A1724">
            <w:pPr>
              <w:spacing w:line="240" w:lineRule="auto"/>
              <w:ind w:firstLine="0" w:firstLineChars="0"/>
              <w:jc w:val="center"/>
              <w:rPr>
                <w:sz w:val="21"/>
                <w:szCs w:val="21"/>
              </w:rPr>
            </w:pPr>
            <w:r>
              <w:rPr>
                <w:rFonts w:hint="eastAsia"/>
                <w:sz w:val="21"/>
                <w:szCs w:val="21"/>
              </w:rPr>
              <w:t>相符</w:t>
            </w:r>
          </w:p>
        </w:tc>
      </w:tr>
      <w:tr w14:paraId="0054F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1" w:type="dxa"/>
            <w:vAlign w:val="center"/>
          </w:tcPr>
          <w:p w14:paraId="7F023378">
            <w:pPr>
              <w:spacing w:line="240" w:lineRule="auto"/>
              <w:ind w:firstLine="0" w:firstLineChars="0"/>
              <w:rPr>
                <w:sz w:val="21"/>
                <w:szCs w:val="21"/>
                <w:highlight w:val="yellow"/>
              </w:rPr>
            </w:pPr>
            <w:r>
              <w:rPr>
                <w:rFonts w:hint="eastAsia"/>
                <w:sz w:val="21"/>
                <w:szCs w:val="21"/>
              </w:rPr>
              <w:t>资源开发利用管控要求</w:t>
            </w:r>
          </w:p>
        </w:tc>
        <w:tc>
          <w:tcPr>
            <w:tcW w:w="4488" w:type="dxa"/>
            <w:vAlign w:val="center"/>
          </w:tcPr>
          <w:p w14:paraId="4468DB05">
            <w:pPr>
              <w:spacing w:line="240" w:lineRule="auto"/>
              <w:ind w:firstLine="0" w:firstLineChars="0"/>
              <w:rPr>
                <w:sz w:val="21"/>
                <w:szCs w:val="21"/>
              </w:rPr>
            </w:pPr>
            <w:r>
              <w:rPr>
                <w:rFonts w:hint="eastAsia"/>
                <w:sz w:val="21"/>
                <w:szCs w:val="21"/>
              </w:rPr>
              <w:t>1、鼓励使用清洁燃料，集中供热。</w:t>
            </w:r>
          </w:p>
          <w:p w14:paraId="7B3C6AC4">
            <w:pPr>
              <w:spacing w:line="240" w:lineRule="auto"/>
              <w:ind w:firstLine="0" w:firstLineChars="0"/>
              <w:rPr>
                <w:sz w:val="21"/>
                <w:szCs w:val="21"/>
              </w:rPr>
            </w:pPr>
            <w:r>
              <w:rPr>
                <w:rFonts w:hint="eastAsia"/>
                <w:sz w:val="21"/>
                <w:szCs w:val="21"/>
              </w:rPr>
              <w:t>2、加快园区集中供水基础设施建设，实现园区工业和生活用水均使用南水北调水，逐步取缔园区内企业自备井。</w:t>
            </w:r>
          </w:p>
          <w:p w14:paraId="2E155184">
            <w:pPr>
              <w:spacing w:line="240" w:lineRule="auto"/>
              <w:ind w:firstLine="0" w:firstLineChars="0"/>
              <w:rPr>
                <w:sz w:val="21"/>
                <w:szCs w:val="21"/>
                <w:highlight w:val="yellow"/>
              </w:rPr>
            </w:pPr>
            <w:r>
              <w:rPr>
                <w:rFonts w:hint="eastAsia"/>
                <w:sz w:val="21"/>
                <w:szCs w:val="21"/>
              </w:rPr>
              <w:t>3、开展高耗水工业行业节水技术改造，大力推广工业水循环利用，推进节水型企业、节水型工业园区建设。</w:t>
            </w:r>
          </w:p>
        </w:tc>
        <w:tc>
          <w:tcPr>
            <w:tcW w:w="3720" w:type="dxa"/>
            <w:vAlign w:val="center"/>
          </w:tcPr>
          <w:p w14:paraId="3A192C42">
            <w:pPr>
              <w:spacing w:line="240" w:lineRule="auto"/>
              <w:ind w:firstLine="0" w:firstLineChars="0"/>
              <w:rPr>
                <w:sz w:val="21"/>
                <w:szCs w:val="21"/>
              </w:rPr>
            </w:pPr>
            <w:r>
              <w:rPr>
                <w:rFonts w:hint="eastAsia"/>
                <w:sz w:val="21"/>
                <w:szCs w:val="21"/>
              </w:rPr>
              <w:t>1、本项目主要用电，不使用燃料和蒸汽。</w:t>
            </w:r>
          </w:p>
          <w:p w14:paraId="72C3B504">
            <w:pPr>
              <w:spacing w:line="240" w:lineRule="auto"/>
              <w:ind w:firstLine="0" w:firstLineChars="0"/>
              <w:rPr>
                <w:sz w:val="21"/>
                <w:szCs w:val="21"/>
                <w:u w:val="single"/>
              </w:rPr>
            </w:pPr>
            <w:r>
              <w:rPr>
                <w:rFonts w:hint="eastAsia"/>
                <w:sz w:val="21"/>
                <w:szCs w:val="21"/>
                <w:u w:val="single"/>
              </w:rPr>
              <w:t>2、目前园区生产用水管网正在建设中，生活用水管网已建成，建成之前生产用水暂时使用本项目租赁厂区新乡市太行水泥粉磨有限公司的自备井水，生活用水使用园区统一供水，待园区生产用水管网建成后，采用园区统一供应用水。</w:t>
            </w:r>
          </w:p>
          <w:p w14:paraId="7EF461B2">
            <w:pPr>
              <w:spacing w:line="240" w:lineRule="auto"/>
              <w:ind w:firstLine="0" w:firstLineChars="0"/>
              <w:rPr>
                <w:sz w:val="21"/>
                <w:szCs w:val="21"/>
                <w:highlight w:val="yellow"/>
                <w:u w:val="single"/>
              </w:rPr>
            </w:pPr>
            <w:r>
              <w:rPr>
                <w:rFonts w:hint="eastAsia"/>
                <w:sz w:val="21"/>
                <w:szCs w:val="21"/>
                <w:u w:val="single"/>
              </w:rPr>
              <w:t>3、本项目不属于高耗水工业行业。</w:t>
            </w:r>
          </w:p>
        </w:tc>
        <w:tc>
          <w:tcPr>
            <w:tcW w:w="1418" w:type="dxa"/>
            <w:vAlign w:val="center"/>
          </w:tcPr>
          <w:p w14:paraId="7A177EF2">
            <w:pPr>
              <w:spacing w:line="240" w:lineRule="auto"/>
              <w:ind w:firstLine="0" w:firstLineChars="0"/>
              <w:jc w:val="center"/>
              <w:rPr>
                <w:sz w:val="21"/>
                <w:szCs w:val="21"/>
              </w:rPr>
            </w:pPr>
            <w:r>
              <w:rPr>
                <w:rFonts w:hint="eastAsia"/>
                <w:sz w:val="21"/>
                <w:szCs w:val="21"/>
              </w:rPr>
              <w:t>相符</w:t>
            </w:r>
          </w:p>
        </w:tc>
      </w:tr>
    </w:tbl>
    <w:p w14:paraId="53B49554">
      <w:pPr>
        <w:ind w:firstLine="480"/>
      </w:pPr>
      <w:r>
        <w:t>通过上述分析，本项目建设符合</w:t>
      </w:r>
      <w:r>
        <w:rPr>
          <w:rFonts w:hint="eastAsia"/>
        </w:rPr>
        <w:t>园区</w:t>
      </w:r>
      <w:r>
        <w:t>规划环评的准入条件。</w:t>
      </w:r>
    </w:p>
    <w:p w14:paraId="46196474">
      <w:pPr>
        <w:pStyle w:val="6"/>
        <w:ind w:left="0"/>
        <w:rPr>
          <w:bCs/>
        </w:rPr>
      </w:pPr>
      <w:r>
        <w:rPr>
          <w:bCs/>
        </w:rPr>
        <w:t>与</w:t>
      </w:r>
      <w:r>
        <w:rPr>
          <w:rFonts w:hint="eastAsia"/>
          <w:bCs/>
        </w:rPr>
        <w:t>园</w:t>
      </w:r>
      <w:r>
        <w:rPr>
          <w:bCs/>
        </w:rPr>
        <w:t>区规划环评负面清单相符性分析</w:t>
      </w:r>
    </w:p>
    <w:p w14:paraId="7A1D3422">
      <w:pPr>
        <w:ind w:firstLine="480"/>
      </w:pPr>
      <w:r>
        <w:rPr>
          <w:rFonts w:hint="eastAsia"/>
        </w:rPr>
        <w:t>根据</w:t>
      </w:r>
      <w:r>
        <w:t>现行国家产业政策、行业发展规划及行业准入要求，卫辉市铁西（</w:t>
      </w:r>
      <w:r>
        <w:rPr>
          <w:rFonts w:hint="eastAsia"/>
        </w:rPr>
        <w:t>化工</w:t>
      </w:r>
      <w:r>
        <w:t>）专业园区发展规划环评提出了</w:t>
      </w:r>
      <w:r>
        <w:rPr>
          <w:rFonts w:hint="eastAsia"/>
        </w:rPr>
        <w:t>园区环境准入负面清单</w:t>
      </w:r>
      <w:r>
        <w:t>，项目与其相符性分析见下表。</w:t>
      </w:r>
    </w:p>
    <w:p w14:paraId="20DCEA68">
      <w:pPr>
        <w:pStyle w:val="2"/>
        <w:ind w:firstLine="480"/>
      </w:pPr>
    </w:p>
    <w:p w14:paraId="23A27210">
      <w:pPr>
        <w:ind w:firstLine="480"/>
      </w:pPr>
    </w:p>
    <w:p w14:paraId="0F767831">
      <w:pPr>
        <w:numPr>
          <w:ilvl w:val="1"/>
          <w:numId w:val="10"/>
        </w:numPr>
        <w:adjustRightInd/>
        <w:snapToGrid/>
        <w:ind w:left="0" w:firstLine="482" w:firstLineChars="0"/>
        <w:textAlignment w:val="auto"/>
        <w:rPr>
          <w:rFonts w:eastAsia="黑体"/>
        </w:rPr>
      </w:pPr>
      <w:r>
        <w:rPr>
          <w:rFonts w:eastAsia="黑体"/>
        </w:rPr>
        <w:t xml:space="preserve">    本工程与</w:t>
      </w:r>
      <w:r>
        <w:rPr>
          <w:rFonts w:hint="eastAsia" w:eastAsia="黑体"/>
        </w:rPr>
        <w:t>园区发展</w:t>
      </w:r>
      <w:r>
        <w:rPr>
          <w:rFonts w:eastAsia="黑体"/>
        </w:rPr>
        <w:t>负面清单相符性分析</w:t>
      </w:r>
    </w:p>
    <w:tbl>
      <w:tblPr>
        <w:tblStyle w:val="41"/>
        <w:tblW w:w="83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84"/>
        <w:gridCol w:w="1679"/>
        <w:gridCol w:w="2409"/>
        <w:gridCol w:w="2695"/>
        <w:gridCol w:w="935"/>
      </w:tblGrid>
      <w:tr w14:paraId="4FFFF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Align w:val="center"/>
          </w:tcPr>
          <w:p w14:paraId="4EEDB6E8">
            <w:pPr>
              <w:spacing w:line="240" w:lineRule="auto"/>
              <w:ind w:firstLine="0" w:firstLineChars="0"/>
              <w:jc w:val="center"/>
              <w:rPr>
                <w:b/>
                <w:bCs/>
                <w:sz w:val="21"/>
                <w:szCs w:val="21"/>
              </w:rPr>
            </w:pPr>
            <w:r>
              <w:rPr>
                <w:b/>
                <w:bCs/>
                <w:sz w:val="21"/>
                <w:szCs w:val="21"/>
              </w:rPr>
              <w:t>类别</w:t>
            </w:r>
          </w:p>
        </w:tc>
        <w:tc>
          <w:tcPr>
            <w:tcW w:w="2462" w:type="pct"/>
            <w:gridSpan w:val="2"/>
            <w:vAlign w:val="center"/>
          </w:tcPr>
          <w:p w14:paraId="108ECA96">
            <w:pPr>
              <w:spacing w:line="240" w:lineRule="auto"/>
              <w:ind w:firstLine="0" w:firstLineChars="0"/>
              <w:jc w:val="center"/>
              <w:rPr>
                <w:b/>
                <w:bCs/>
                <w:sz w:val="21"/>
                <w:szCs w:val="21"/>
              </w:rPr>
            </w:pPr>
            <w:r>
              <w:rPr>
                <w:rFonts w:hint="eastAsia"/>
                <w:b/>
                <w:bCs/>
                <w:sz w:val="21"/>
                <w:szCs w:val="21"/>
              </w:rPr>
              <w:t>环境准入</w:t>
            </w:r>
            <w:r>
              <w:rPr>
                <w:b/>
                <w:bCs/>
                <w:sz w:val="21"/>
                <w:szCs w:val="21"/>
              </w:rPr>
              <w:t>负面清单</w:t>
            </w:r>
          </w:p>
        </w:tc>
        <w:tc>
          <w:tcPr>
            <w:tcW w:w="1623" w:type="pct"/>
            <w:vAlign w:val="center"/>
          </w:tcPr>
          <w:p w14:paraId="50FE89F9">
            <w:pPr>
              <w:spacing w:line="240" w:lineRule="auto"/>
              <w:ind w:firstLine="0" w:firstLineChars="0"/>
              <w:jc w:val="center"/>
              <w:rPr>
                <w:b/>
                <w:bCs/>
                <w:sz w:val="21"/>
                <w:szCs w:val="21"/>
              </w:rPr>
            </w:pPr>
            <w:r>
              <w:rPr>
                <w:b/>
                <w:bCs/>
                <w:sz w:val="21"/>
                <w:szCs w:val="21"/>
              </w:rPr>
              <w:t>本工程相符性分析</w:t>
            </w:r>
          </w:p>
        </w:tc>
        <w:tc>
          <w:tcPr>
            <w:tcW w:w="563" w:type="pct"/>
            <w:vAlign w:val="center"/>
          </w:tcPr>
          <w:p w14:paraId="120D6FAF">
            <w:pPr>
              <w:spacing w:line="240" w:lineRule="auto"/>
              <w:ind w:firstLine="0" w:firstLineChars="0"/>
              <w:jc w:val="center"/>
              <w:rPr>
                <w:b/>
                <w:bCs/>
                <w:sz w:val="21"/>
                <w:szCs w:val="21"/>
              </w:rPr>
            </w:pPr>
            <w:r>
              <w:rPr>
                <w:rFonts w:hint="eastAsia"/>
                <w:b/>
                <w:bCs/>
                <w:sz w:val="21"/>
                <w:szCs w:val="21"/>
              </w:rPr>
              <w:t>相符性</w:t>
            </w:r>
          </w:p>
        </w:tc>
      </w:tr>
      <w:tr w14:paraId="7D5C7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Merge w:val="restart"/>
            <w:vAlign w:val="center"/>
          </w:tcPr>
          <w:p w14:paraId="2A049757">
            <w:pPr>
              <w:spacing w:line="240" w:lineRule="auto"/>
              <w:ind w:firstLine="0" w:firstLineChars="0"/>
              <w:jc w:val="center"/>
              <w:rPr>
                <w:sz w:val="21"/>
                <w:szCs w:val="21"/>
              </w:rPr>
            </w:pPr>
            <w:r>
              <w:rPr>
                <w:rFonts w:hint="eastAsia"/>
                <w:sz w:val="21"/>
                <w:szCs w:val="21"/>
              </w:rPr>
              <w:t>空间布局约束</w:t>
            </w:r>
          </w:p>
        </w:tc>
        <w:tc>
          <w:tcPr>
            <w:tcW w:w="1011" w:type="pct"/>
            <w:vAlign w:val="center"/>
          </w:tcPr>
          <w:p w14:paraId="13BCD8F4">
            <w:pPr>
              <w:spacing w:line="240" w:lineRule="auto"/>
              <w:ind w:firstLine="0" w:firstLineChars="0"/>
              <w:rPr>
                <w:sz w:val="21"/>
                <w:szCs w:val="21"/>
                <w:highlight w:val="yellow"/>
              </w:rPr>
            </w:pPr>
            <w:r>
              <w:rPr>
                <w:rFonts w:hint="eastAsia"/>
                <w:sz w:val="21"/>
                <w:szCs w:val="21"/>
              </w:rPr>
              <w:t>南园：新型煤化工产业区</w:t>
            </w:r>
          </w:p>
        </w:tc>
        <w:tc>
          <w:tcPr>
            <w:tcW w:w="1451" w:type="pct"/>
            <w:vAlign w:val="center"/>
          </w:tcPr>
          <w:p w14:paraId="0D2EBB3A">
            <w:pPr>
              <w:spacing w:line="240" w:lineRule="auto"/>
              <w:ind w:firstLine="0" w:firstLineChars="0"/>
              <w:rPr>
                <w:sz w:val="21"/>
                <w:szCs w:val="21"/>
                <w:highlight w:val="yellow"/>
              </w:rPr>
            </w:pPr>
            <w:r>
              <w:rPr>
                <w:rFonts w:hint="eastAsia"/>
                <w:sz w:val="21"/>
                <w:szCs w:val="21"/>
              </w:rPr>
              <w:t>严禁新增传统煤化工（甲醇、合成氨）行业产能。</w:t>
            </w:r>
          </w:p>
        </w:tc>
        <w:tc>
          <w:tcPr>
            <w:tcW w:w="1623" w:type="pct"/>
            <w:vMerge w:val="restart"/>
            <w:vAlign w:val="center"/>
          </w:tcPr>
          <w:p w14:paraId="54D152A5">
            <w:pPr>
              <w:spacing w:line="240" w:lineRule="auto"/>
              <w:ind w:firstLine="210" w:firstLineChars="100"/>
              <w:rPr>
                <w:sz w:val="21"/>
                <w:szCs w:val="21"/>
                <w:highlight w:val="yellow"/>
              </w:rPr>
            </w:pPr>
            <w:r>
              <w:rPr>
                <w:rFonts w:hint="eastAsia"/>
                <w:sz w:val="21"/>
                <w:szCs w:val="21"/>
              </w:rPr>
              <w:t>本项目生产的聚醚改性硅油主要作为稳定剂用于生产海绵，色浆主要用于海绵上色，属于C2661化学试剂和助剂制造和C2643工业颜料制造，项目位于卫辉市铁西（化工）园区新乡市太行水泥粉磨有限公司厂区内，根据《卫辉市铁西（化工）专业园区总体规划（2022-2035）-产业功能布局图、空间结构规划图》（见附图二（2）、（3）），项目厂址位于南部产业区中的食品添加剂及助剂产业区。</w:t>
            </w:r>
          </w:p>
        </w:tc>
        <w:tc>
          <w:tcPr>
            <w:tcW w:w="563" w:type="pct"/>
            <w:vAlign w:val="center"/>
          </w:tcPr>
          <w:p w14:paraId="5F992C0A">
            <w:pPr>
              <w:spacing w:line="240" w:lineRule="auto"/>
              <w:ind w:firstLine="0" w:firstLineChars="0"/>
              <w:jc w:val="center"/>
              <w:rPr>
                <w:sz w:val="21"/>
                <w:szCs w:val="21"/>
              </w:rPr>
            </w:pPr>
            <w:r>
              <w:rPr>
                <w:rFonts w:hint="eastAsia"/>
                <w:sz w:val="21"/>
                <w:szCs w:val="21"/>
              </w:rPr>
              <w:t>不属于</w:t>
            </w:r>
          </w:p>
        </w:tc>
      </w:tr>
      <w:tr w14:paraId="7B246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Merge w:val="continue"/>
            <w:vAlign w:val="center"/>
          </w:tcPr>
          <w:p w14:paraId="5F048B1B">
            <w:pPr>
              <w:spacing w:line="240" w:lineRule="auto"/>
              <w:ind w:firstLine="0" w:firstLineChars="0"/>
              <w:jc w:val="center"/>
              <w:rPr>
                <w:sz w:val="21"/>
                <w:szCs w:val="21"/>
                <w:highlight w:val="yellow"/>
              </w:rPr>
            </w:pPr>
          </w:p>
        </w:tc>
        <w:tc>
          <w:tcPr>
            <w:tcW w:w="1011" w:type="pct"/>
            <w:vAlign w:val="center"/>
          </w:tcPr>
          <w:p w14:paraId="080BFA57">
            <w:pPr>
              <w:spacing w:line="240" w:lineRule="auto"/>
              <w:ind w:firstLine="0" w:firstLineChars="0"/>
              <w:rPr>
                <w:sz w:val="21"/>
                <w:szCs w:val="21"/>
                <w:highlight w:val="yellow"/>
              </w:rPr>
            </w:pPr>
            <w:r>
              <w:rPr>
                <w:rFonts w:hint="eastAsia"/>
                <w:sz w:val="21"/>
                <w:szCs w:val="21"/>
              </w:rPr>
              <w:t>南园精细化工产业区和北园精细化工产业区：</w:t>
            </w:r>
          </w:p>
        </w:tc>
        <w:tc>
          <w:tcPr>
            <w:tcW w:w="1451" w:type="pct"/>
            <w:vAlign w:val="center"/>
          </w:tcPr>
          <w:p w14:paraId="1628CE42">
            <w:pPr>
              <w:spacing w:line="240" w:lineRule="auto"/>
              <w:ind w:firstLine="0" w:firstLineChars="0"/>
              <w:rPr>
                <w:sz w:val="21"/>
                <w:szCs w:val="21"/>
              </w:rPr>
            </w:pPr>
            <w:r>
              <w:rPr>
                <w:rFonts w:hint="eastAsia"/>
                <w:sz w:val="21"/>
                <w:szCs w:val="21"/>
              </w:rPr>
              <w:t>禁止建设高毒农药项目。</w:t>
            </w:r>
          </w:p>
          <w:p w14:paraId="4C597AFA">
            <w:pPr>
              <w:spacing w:line="240" w:lineRule="auto"/>
              <w:ind w:firstLine="0" w:firstLineChars="0"/>
              <w:rPr>
                <w:sz w:val="21"/>
                <w:szCs w:val="21"/>
                <w:highlight w:val="yellow"/>
              </w:rPr>
            </w:pPr>
            <w:r>
              <w:rPr>
                <w:rFonts w:hint="eastAsia"/>
                <w:sz w:val="21"/>
                <w:szCs w:val="21"/>
              </w:rPr>
              <w:t>禁止入驻使用剧毒化学品、具有“三致”毒理特性的物质的农药项目。</w:t>
            </w:r>
          </w:p>
        </w:tc>
        <w:tc>
          <w:tcPr>
            <w:tcW w:w="1623" w:type="pct"/>
            <w:vMerge w:val="continue"/>
            <w:vAlign w:val="center"/>
          </w:tcPr>
          <w:p w14:paraId="1FCF9F71">
            <w:pPr>
              <w:spacing w:line="240" w:lineRule="auto"/>
              <w:ind w:firstLine="0" w:firstLineChars="0"/>
              <w:rPr>
                <w:sz w:val="21"/>
                <w:szCs w:val="21"/>
                <w:highlight w:val="yellow"/>
              </w:rPr>
            </w:pPr>
          </w:p>
        </w:tc>
        <w:tc>
          <w:tcPr>
            <w:tcW w:w="563" w:type="pct"/>
            <w:vAlign w:val="center"/>
          </w:tcPr>
          <w:p w14:paraId="5BAFEA18">
            <w:pPr>
              <w:spacing w:line="240" w:lineRule="auto"/>
              <w:ind w:firstLine="0" w:firstLineChars="0"/>
              <w:jc w:val="center"/>
              <w:rPr>
                <w:sz w:val="21"/>
                <w:szCs w:val="21"/>
                <w:highlight w:val="yellow"/>
              </w:rPr>
            </w:pPr>
            <w:r>
              <w:rPr>
                <w:rFonts w:hint="eastAsia"/>
                <w:sz w:val="21"/>
                <w:szCs w:val="21"/>
              </w:rPr>
              <w:t>不属于</w:t>
            </w:r>
          </w:p>
        </w:tc>
      </w:tr>
      <w:tr w14:paraId="77473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Merge w:val="continue"/>
            <w:vAlign w:val="center"/>
          </w:tcPr>
          <w:p w14:paraId="3E353F44">
            <w:pPr>
              <w:spacing w:line="240" w:lineRule="auto"/>
              <w:ind w:firstLine="0" w:firstLineChars="0"/>
              <w:jc w:val="center"/>
              <w:rPr>
                <w:sz w:val="21"/>
                <w:szCs w:val="21"/>
                <w:highlight w:val="yellow"/>
              </w:rPr>
            </w:pPr>
          </w:p>
        </w:tc>
        <w:tc>
          <w:tcPr>
            <w:tcW w:w="1011" w:type="pct"/>
            <w:vMerge w:val="restart"/>
            <w:vAlign w:val="center"/>
          </w:tcPr>
          <w:p w14:paraId="06099A7C">
            <w:pPr>
              <w:spacing w:line="240" w:lineRule="auto"/>
              <w:ind w:firstLine="0" w:firstLineChars="0"/>
              <w:rPr>
                <w:sz w:val="21"/>
                <w:szCs w:val="21"/>
                <w:highlight w:val="yellow"/>
              </w:rPr>
            </w:pPr>
            <w:r>
              <w:rPr>
                <w:rFonts w:hint="eastAsia"/>
                <w:sz w:val="21"/>
                <w:szCs w:val="21"/>
              </w:rPr>
              <w:t>南园食品添加剂及助剂产业区：</w:t>
            </w:r>
          </w:p>
        </w:tc>
        <w:tc>
          <w:tcPr>
            <w:tcW w:w="1451" w:type="pct"/>
            <w:vAlign w:val="center"/>
          </w:tcPr>
          <w:p w14:paraId="1BC8F856">
            <w:pPr>
              <w:spacing w:line="240" w:lineRule="auto"/>
              <w:ind w:firstLine="0" w:firstLineChars="0"/>
              <w:rPr>
                <w:sz w:val="21"/>
                <w:szCs w:val="21"/>
                <w:highlight w:val="yellow"/>
              </w:rPr>
            </w:pPr>
            <w:r>
              <w:rPr>
                <w:rFonts w:hint="eastAsia"/>
                <w:sz w:val="21"/>
                <w:szCs w:val="21"/>
              </w:rPr>
              <w:t>除保留现有康迪粉业外，禁止新建农产品深加工企业。</w:t>
            </w:r>
          </w:p>
        </w:tc>
        <w:tc>
          <w:tcPr>
            <w:tcW w:w="1623" w:type="pct"/>
            <w:vMerge w:val="continue"/>
            <w:vAlign w:val="center"/>
          </w:tcPr>
          <w:p w14:paraId="07EBAC8C">
            <w:pPr>
              <w:tabs>
                <w:tab w:val="left" w:pos="2880"/>
              </w:tabs>
              <w:spacing w:line="240" w:lineRule="auto"/>
              <w:ind w:firstLine="210" w:firstLineChars="100"/>
              <w:rPr>
                <w:sz w:val="21"/>
                <w:szCs w:val="21"/>
              </w:rPr>
            </w:pPr>
          </w:p>
        </w:tc>
        <w:tc>
          <w:tcPr>
            <w:tcW w:w="563" w:type="pct"/>
            <w:vAlign w:val="center"/>
          </w:tcPr>
          <w:p w14:paraId="3C36512D">
            <w:pPr>
              <w:tabs>
                <w:tab w:val="left" w:pos="2880"/>
              </w:tabs>
              <w:spacing w:line="240" w:lineRule="auto"/>
              <w:ind w:firstLine="0" w:firstLineChars="0"/>
              <w:jc w:val="center"/>
              <w:rPr>
                <w:sz w:val="21"/>
                <w:szCs w:val="21"/>
              </w:rPr>
            </w:pPr>
            <w:r>
              <w:rPr>
                <w:rFonts w:hint="eastAsia"/>
                <w:sz w:val="21"/>
                <w:szCs w:val="21"/>
              </w:rPr>
              <w:t>不属于</w:t>
            </w:r>
          </w:p>
        </w:tc>
      </w:tr>
      <w:tr w14:paraId="0C565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Merge w:val="continue"/>
            <w:vAlign w:val="center"/>
          </w:tcPr>
          <w:p w14:paraId="032C9484">
            <w:pPr>
              <w:spacing w:line="240" w:lineRule="auto"/>
              <w:ind w:firstLine="0" w:firstLineChars="0"/>
              <w:jc w:val="center"/>
              <w:rPr>
                <w:sz w:val="21"/>
                <w:szCs w:val="21"/>
                <w:highlight w:val="yellow"/>
              </w:rPr>
            </w:pPr>
          </w:p>
        </w:tc>
        <w:tc>
          <w:tcPr>
            <w:tcW w:w="1011" w:type="pct"/>
            <w:vMerge w:val="continue"/>
            <w:vAlign w:val="center"/>
          </w:tcPr>
          <w:p w14:paraId="08031DAD">
            <w:pPr>
              <w:spacing w:line="240" w:lineRule="auto"/>
              <w:ind w:firstLine="0" w:firstLineChars="0"/>
              <w:rPr>
                <w:sz w:val="21"/>
                <w:szCs w:val="21"/>
                <w:highlight w:val="yellow"/>
              </w:rPr>
            </w:pPr>
          </w:p>
        </w:tc>
        <w:tc>
          <w:tcPr>
            <w:tcW w:w="1451" w:type="pct"/>
            <w:vAlign w:val="center"/>
          </w:tcPr>
          <w:p w14:paraId="604A4F50">
            <w:pPr>
              <w:spacing w:line="240" w:lineRule="auto"/>
              <w:ind w:firstLine="0" w:firstLineChars="0"/>
              <w:rPr>
                <w:sz w:val="21"/>
                <w:szCs w:val="21"/>
                <w:highlight w:val="yellow"/>
              </w:rPr>
            </w:pPr>
            <w:r>
              <w:rPr>
                <w:rFonts w:hint="eastAsia"/>
                <w:sz w:val="21"/>
                <w:szCs w:val="21"/>
              </w:rPr>
              <w:t>限制粉磨站项目入驻。</w:t>
            </w:r>
          </w:p>
        </w:tc>
        <w:tc>
          <w:tcPr>
            <w:tcW w:w="1623" w:type="pct"/>
            <w:vMerge w:val="continue"/>
            <w:vAlign w:val="center"/>
          </w:tcPr>
          <w:p w14:paraId="1DD19538">
            <w:pPr>
              <w:spacing w:line="240" w:lineRule="auto"/>
              <w:ind w:firstLine="0" w:firstLineChars="0"/>
              <w:rPr>
                <w:sz w:val="21"/>
                <w:szCs w:val="21"/>
              </w:rPr>
            </w:pPr>
          </w:p>
        </w:tc>
        <w:tc>
          <w:tcPr>
            <w:tcW w:w="563" w:type="pct"/>
            <w:vAlign w:val="center"/>
          </w:tcPr>
          <w:p w14:paraId="436AF93A">
            <w:pPr>
              <w:spacing w:line="240" w:lineRule="auto"/>
              <w:ind w:firstLine="0" w:firstLineChars="0"/>
              <w:jc w:val="center"/>
              <w:rPr>
                <w:sz w:val="21"/>
                <w:szCs w:val="21"/>
              </w:rPr>
            </w:pPr>
            <w:r>
              <w:rPr>
                <w:rFonts w:hint="eastAsia"/>
                <w:sz w:val="21"/>
                <w:szCs w:val="21"/>
              </w:rPr>
              <w:t>不属于</w:t>
            </w:r>
          </w:p>
        </w:tc>
      </w:tr>
      <w:tr w14:paraId="62D40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Merge w:val="continue"/>
            <w:vAlign w:val="center"/>
          </w:tcPr>
          <w:p w14:paraId="677D4C08">
            <w:pPr>
              <w:spacing w:line="240" w:lineRule="auto"/>
              <w:ind w:firstLine="0" w:firstLineChars="0"/>
              <w:jc w:val="center"/>
              <w:rPr>
                <w:sz w:val="21"/>
                <w:szCs w:val="21"/>
                <w:highlight w:val="yellow"/>
              </w:rPr>
            </w:pPr>
          </w:p>
        </w:tc>
        <w:tc>
          <w:tcPr>
            <w:tcW w:w="1011" w:type="pct"/>
            <w:vAlign w:val="center"/>
          </w:tcPr>
          <w:p w14:paraId="40FE2F27">
            <w:pPr>
              <w:spacing w:line="240" w:lineRule="auto"/>
              <w:ind w:firstLine="0" w:firstLineChars="0"/>
              <w:rPr>
                <w:sz w:val="21"/>
                <w:szCs w:val="21"/>
                <w:highlight w:val="yellow"/>
              </w:rPr>
            </w:pPr>
            <w:r>
              <w:rPr>
                <w:rFonts w:hint="eastAsia"/>
                <w:sz w:val="21"/>
                <w:szCs w:val="21"/>
              </w:rPr>
              <w:t>南园食品添加剂及助剂产业区：</w:t>
            </w:r>
          </w:p>
        </w:tc>
        <w:tc>
          <w:tcPr>
            <w:tcW w:w="1451" w:type="pct"/>
            <w:vAlign w:val="center"/>
          </w:tcPr>
          <w:p w14:paraId="4CDAB02A">
            <w:pPr>
              <w:spacing w:line="240" w:lineRule="auto"/>
              <w:ind w:firstLine="0" w:firstLineChars="0"/>
              <w:rPr>
                <w:sz w:val="21"/>
                <w:szCs w:val="21"/>
                <w:highlight w:val="yellow"/>
              </w:rPr>
            </w:pPr>
            <w:r>
              <w:rPr>
                <w:rFonts w:hint="eastAsia"/>
                <w:sz w:val="21"/>
                <w:szCs w:val="21"/>
              </w:rPr>
              <w:t>严禁新增水泥熟料行业产能。</w:t>
            </w:r>
          </w:p>
        </w:tc>
        <w:tc>
          <w:tcPr>
            <w:tcW w:w="1623" w:type="pct"/>
            <w:vMerge w:val="continue"/>
            <w:vAlign w:val="center"/>
          </w:tcPr>
          <w:p w14:paraId="7CA50C40">
            <w:pPr>
              <w:spacing w:line="240" w:lineRule="auto"/>
              <w:ind w:firstLine="0" w:firstLineChars="0"/>
              <w:rPr>
                <w:sz w:val="21"/>
                <w:szCs w:val="21"/>
              </w:rPr>
            </w:pPr>
          </w:p>
        </w:tc>
        <w:tc>
          <w:tcPr>
            <w:tcW w:w="563" w:type="pct"/>
            <w:vAlign w:val="center"/>
          </w:tcPr>
          <w:p w14:paraId="5CD00C8D">
            <w:pPr>
              <w:spacing w:line="240" w:lineRule="auto"/>
              <w:ind w:firstLine="0" w:firstLineChars="0"/>
              <w:jc w:val="center"/>
              <w:rPr>
                <w:sz w:val="21"/>
                <w:szCs w:val="21"/>
              </w:rPr>
            </w:pPr>
            <w:r>
              <w:rPr>
                <w:rFonts w:hint="eastAsia"/>
                <w:sz w:val="21"/>
                <w:szCs w:val="21"/>
              </w:rPr>
              <w:t>不属于</w:t>
            </w:r>
          </w:p>
        </w:tc>
      </w:tr>
      <w:tr w14:paraId="4E8FC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Merge w:val="continue"/>
            <w:vAlign w:val="center"/>
          </w:tcPr>
          <w:p w14:paraId="7A37C367">
            <w:pPr>
              <w:spacing w:line="240" w:lineRule="auto"/>
              <w:ind w:firstLine="0" w:firstLineChars="0"/>
              <w:jc w:val="center"/>
              <w:rPr>
                <w:sz w:val="21"/>
                <w:szCs w:val="21"/>
                <w:highlight w:val="yellow"/>
              </w:rPr>
            </w:pPr>
          </w:p>
        </w:tc>
        <w:tc>
          <w:tcPr>
            <w:tcW w:w="1011" w:type="pct"/>
            <w:vAlign w:val="center"/>
          </w:tcPr>
          <w:p w14:paraId="7B02EEEA">
            <w:pPr>
              <w:spacing w:line="240" w:lineRule="auto"/>
              <w:ind w:firstLine="0" w:firstLineChars="0"/>
              <w:rPr>
                <w:sz w:val="21"/>
                <w:szCs w:val="21"/>
                <w:highlight w:val="yellow"/>
              </w:rPr>
            </w:pPr>
            <w:r>
              <w:rPr>
                <w:rFonts w:hint="eastAsia"/>
                <w:sz w:val="21"/>
                <w:szCs w:val="21"/>
              </w:rPr>
              <w:t>北园精细化工产业区</w:t>
            </w:r>
          </w:p>
        </w:tc>
        <w:tc>
          <w:tcPr>
            <w:tcW w:w="1451" w:type="pct"/>
            <w:vAlign w:val="center"/>
          </w:tcPr>
          <w:p w14:paraId="48503529">
            <w:pPr>
              <w:spacing w:line="240" w:lineRule="auto"/>
              <w:ind w:firstLine="0" w:firstLineChars="0"/>
              <w:rPr>
                <w:sz w:val="21"/>
                <w:szCs w:val="21"/>
                <w:highlight w:val="yellow"/>
              </w:rPr>
            </w:pPr>
            <w:r>
              <w:rPr>
                <w:rFonts w:hint="eastAsia"/>
                <w:sz w:val="21"/>
                <w:szCs w:val="21"/>
              </w:rPr>
              <w:t>禁止耐火材料行业单纯新增产能。</w:t>
            </w:r>
          </w:p>
        </w:tc>
        <w:tc>
          <w:tcPr>
            <w:tcW w:w="1623" w:type="pct"/>
            <w:vMerge w:val="continue"/>
            <w:vAlign w:val="center"/>
          </w:tcPr>
          <w:p w14:paraId="481451B7">
            <w:pPr>
              <w:spacing w:line="240" w:lineRule="auto"/>
              <w:ind w:firstLine="210" w:firstLineChars="100"/>
              <w:rPr>
                <w:sz w:val="21"/>
                <w:szCs w:val="21"/>
                <w:highlight w:val="yellow"/>
              </w:rPr>
            </w:pPr>
          </w:p>
        </w:tc>
        <w:tc>
          <w:tcPr>
            <w:tcW w:w="563" w:type="pct"/>
            <w:vAlign w:val="center"/>
          </w:tcPr>
          <w:p w14:paraId="33D49104">
            <w:pPr>
              <w:spacing w:line="240" w:lineRule="auto"/>
              <w:ind w:firstLine="0" w:firstLineChars="0"/>
              <w:jc w:val="center"/>
              <w:rPr>
                <w:sz w:val="21"/>
                <w:szCs w:val="21"/>
              </w:rPr>
            </w:pPr>
            <w:r>
              <w:rPr>
                <w:rFonts w:hint="eastAsia"/>
                <w:sz w:val="21"/>
                <w:szCs w:val="21"/>
              </w:rPr>
              <w:t>不属于</w:t>
            </w:r>
          </w:p>
        </w:tc>
      </w:tr>
      <w:tr w14:paraId="648FB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Merge w:val="continue"/>
            <w:vAlign w:val="center"/>
          </w:tcPr>
          <w:p w14:paraId="7C0FA93D">
            <w:pPr>
              <w:spacing w:line="240" w:lineRule="auto"/>
              <w:ind w:firstLine="0" w:firstLineChars="0"/>
              <w:jc w:val="center"/>
              <w:rPr>
                <w:sz w:val="21"/>
                <w:szCs w:val="21"/>
                <w:highlight w:val="yellow"/>
              </w:rPr>
            </w:pPr>
          </w:p>
        </w:tc>
        <w:tc>
          <w:tcPr>
            <w:tcW w:w="2462" w:type="pct"/>
            <w:gridSpan w:val="2"/>
            <w:vAlign w:val="center"/>
          </w:tcPr>
          <w:p w14:paraId="5A9696B2">
            <w:pPr>
              <w:spacing w:line="240" w:lineRule="auto"/>
              <w:ind w:firstLine="0" w:firstLineChars="0"/>
              <w:rPr>
                <w:sz w:val="21"/>
                <w:szCs w:val="21"/>
              </w:rPr>
            </w:pPr>
            <w:r>
              <w:rPr>
                <w:rFonts w:hint="eastAsia"/>
                <w:sz w:val="21"/>
                <w:szCs w:val="21"/>
              </w:rPr>
              <w:t>1、严格控制两高项目入驻，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6D060615">
            <w:pPr>
              <w:spacing w:line="240" w:lineRule="auto"/>
              <w:ind w:firstLine="0" w:firstLineChars="0"/>
              <w:rPr>
                <w:sz w:val="21"/>
                <w:szCs w:val="21"/>
              </w:rPr>
            </w:pPr>
            <w:r>
              <w:rPr>
                <w:rFonts w:hint="eastAsia"/>
                <w:sz w:val="21"/>
                <w:szCs w:val="21"/>
              </w:rPr>
              <w:t>2、新建“两高”项目应按照《关于加强重点行业建设项目区域削减措施监督管理的通知》要求，依据区域环境质量改善目标，制定配套区域污染物削减方案，采取有效的污染物区域削减措施，腾出足够的环境容量。</w:t>
            </w:r>
          </w:p>
          <w:p w14:paraId="7FDC8AEF">
            <w:pPr>
              <w:spacing w:line="240" w:lineRule="auto"/>
              <w:ind w:firstLine="0" w:firstLineChars="0"/>
              <w:rPr>
                <w:highlight w:val="yellow"/>
              </w:rPr>
            </w:pPr>
            <w:r>
              <w:rPr>
                <w:rFonts w:hint="eastAsia"/>
                <w:sz w:val="21"/>
                <w:szCs w:val="21"/>
              </w:rPr>
              <w:t>3、禁止新建燃煤自备锅炉。</w:t>
            </w:r>
          </w:p>
        </w:tc>
        <w:tc>
          <w:tcPr>
            <w:tcW w:w="1623" w:type="pct"/>
            <w:vAlign w:val="center"/>
          </w:tcPr>
          <w:p w14:paraId="01D7549A">
            <w:pPr>
              <w:spacing w:line="240" w:lineRule="auto"/>
              <w:ind w:firstLine="210" w:firstLineChars="100"/>
              <w:rPr>
                <w:sz w:val="21"/>
                <w:szCs w:val="21"/>
              </w:rPr>
            </w:pPr>
            <w:r>
              <w:rPr>
                <w:rFonts w:hint="eastAsia"/>
                <w:sz w:val="21"/>
                <w:szCs w:val="21"/>
              </w:rPr>
              <w:t>1-2、本项目为新建项目，不属于“两高”项目。</w:t>
            </w:r>
          </w:p>
          <w:p w14:paraId="4ACAE3BE">
            <w:pPr>
              <w:spacing w:line="240" w:lineRule="auto"/>
              <w:ind w:firstLine="210" w:firstLineChars="100"/>
              <w:rPr>
                <w:sz w:val="21"/>
                <w:szCs w:val="21"/>
                <w:highlight w:val="yellow"/>
              </w:rPr>
            </w:pPr>
            <w:r>
              <w:rPr>
                <w:rFonts w:hint="eastAsia"/>
                <w:sz w:val="21"/>
                <w:szCs w:val="21"/>
              </w:rPr>
              <w:t>3、本项目不新建燃煤自备锅炉。</w:t>
            </w:r>
          </w:p>
        </w:tc>
        <w:tc>
          <w:tcPr>
            <w:tcW w:w="563" w:type="pct"/>
            <w:vAlign w:val="center"/>
          </w:tcPr>
          <w:p w14:paraId="326BBA31">
            <w:pPr>
              <w:spacing w:line="240" w:lineRule="auto"/>
              <w:ind w:firstLine="0" w:firstLineChars="0"/>
              <w:jc w:val="center"/>
              <w:rPr>
                <w:sz w:val="21"/>
                <w:szCs w:val="21"/>
              </w:rPr>
            </w:pPr>
            <w:r>
              <w:rPr>
                <w:rFonts w:hint="eastAsia"/>
                <w:sz w:val="21"/>
                <w:szCs w:val="21"/>
              </w:rPr>
              <w:t>不属于</w:t>
            </w:r>
          </w:p>
        </w:tc>
      </w:tr>
      <w:tr w14:paraId="70A07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Align w:val="center"/>
          </w:tcPr>
          <w:p w14:paraId="79B9068B">
            <w:pPr>
              <w:spacing w:line="240" w:lineRule="auto"/>
              <w:ind w:firstLine="0" w:firstLineChars="0"/>
              <w:jc w:val="center"/>
              <w:rPr>
                <w:sz w:val="21"/>
                <w:szCs w:val="21"/>
                <w:highlight w:val="yellow"/>
              </w:rPr>
            </w:pPr>
            <w:r>
              <w:rPr>
                <w:rFonts w:hint="eastAsia"/>
                <w:sz w:val="21"/>
                <w:szCs w:val="21"/>
              </w:rPr>
              <w:t>污染物排放管控</w:t>
            </w:r>
          </w:p>
        </w:tc>
        <w:tc>
          <w:tcPr>
            <w:tcW w:w="2462" w:type="pct"/>
            <w:gridSpan w:val="2"/>
            <w:vAlign w:val="center"/>
          </w:tcPr>
          <w:p w14:paraId="4A3CF343">
            <w:pPr>
              <w:spacing w:line="240" w:lineRule="auto"/>
              <w:ind w:firstLine="0" w:firstLineChars="0"/>
              <w:rPr>
                <w:sz w:val="21"/>
                <w:szCs w:val="21"/>
                <w:highlight w:val="yellow"/>
              </w:rPr>
            </w:pPr>
            <w:r>
              <w:rPr>
                <w:rFonts w:hint="eastAsia"/>
                <w:sz w:val="21"/>
                <w:szCs w:val="21"/>
              </w:rPr>
              <w:t>1、涉及挥发性有机物排放的建设项目，实行VOCs排放倍量削减替代，否则禁止入驻。</w:t>
            </w:r>
          </w:p>
        </w:tc>
        <w:tc>
          <w:tcPr>
            <w:tcW w:w="1623" w:type="pct"/>
            <w:vAlign w:val="center"/>
          </w:tcPr>
          <w:p w14:paraId="1F4D396B">
            <w:pPr>
              <w:spacing w:line="240" w:lineRule="auto"/>
              <w:ind w:firstLine="210" w:firstLineChars="100"/>
              <w:rPr>
                <w:sz w:val="21"/>
                <w:szCs w:val="21"/>
                <w:highlight w:val="yellow"/>
              </w:rPr>
            </w:pPr>
            <w:r>
              <w:rPr>
                <w:sz w:val="21"/>
                <w:szCs w:val="21"/>
              </w:rPr>
              <w:t>本项目</w:t>
            </w:r>
            <w:r>
              <w:rPr>
                <w:rFonts w:hint="eastAsia"/>
                <w:sz w:val="21"/>
                <w:szCs w:val="21"/>
              </w:rPr>
              <w:t>涉及挥发性有机物排放的建设项目，VOCs排放实行倍量削减替代。</w:t>
            </w:r>
          </w:p>
        </w:tc>
        <w:tc>
          <w:tcPr>
            <w:tcW w:w="563" w:type="pct"/>
            <w:vAlign w:val="center"/>
          </w:tcPr>
          <w:p w14:paraId="7B4D6E89">
            <w:pPr>
              <w:spacing w:line="240" w:lineRule="auto"/>
              <w:ind w:firstLine="0" w:firstLineChars="0"/>
              <w:jc w:val="center"/>
              <w:rPr>
                <w:sz w:val="21"/>
                <w:szCs w:val="21"/>
              </w:rPr>
            </w:pPr>
            <w:r>
              <w:rPr>
                <w:rFonts w:hint="eastAsia"/>
                <w:sz w:val="21"/>
                <w:szCs w:val="21"/>
              </w:rPr>
              <w:t>不属于</w:t>
            </w:r>
          </w:p>
        </w:tc>
      </w:tr>
      <w:tr w14:paraId="34F2C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Merge w:val="restart"/>
            <w:vAlign w:val="center"/>
          </w:tcPr>
          <w:p w14:paraId="57E10137">
            <w:pPr>
              <w:spacing w:line="240" w:lineRule="auto"/>
              <w:ind w:firstLine="0" w:firstLineChars="0"/>
              <w:jc w:val="center"/>
              <w:rPr>
                <w:sz w:val="21"/>
                <w:szCs w:val="21"/>
                <w:highlight w:val="yellow"/>
              </w:rPr>
            </w:pPr>
            <w:r>
              <w:rPr>
                <w:rFonts w:hint="eastAsia"/>
                <w:sz w:val="21"/>
                <w:szCs w:val="21"/>
              </w:rPr>
              <w:t>环境风险防控</w:t>
            </w:r>
          </w:p>
        </w:tc>
        <w:tc>
          <w:tcPr>
            <w:tcW w:w="2462" w:type="pct"/>
            <w:gridSpan w:val="2"/>
            <w:vAlign w:val="center"/>
          </w:tcPr>
          <w:p w14:paraId="7DC25BAA">
            <w:pPr>
              <w:spacing w:line="240" w:lineRule="auto"/>
              <w:ind w:firstLine="0" w:firstLineChars="0"/>
              <w:rPr>
                <w:sz w:val="21"/>
                <w:szCs w:val="21"/>
              </w:rPr>
            </w:pPr>
            <w:r>
              <w:rPr>
                <w:rFonts w:hint="eastAsia"/>
                <w:sz w:val="21"/>
                <w:szCs w:val="21"/>
              </w:rPr>
              <w:t>1、限制新建无可靠风险防范措施的含重大危险源</w:t>
            </w:r>
          </w:p>
          <w:p w14:paraId="244387FD">
            <w:pPr>
              <w:spacing w:line="240" w:lineRule="auto"/>
              <w:ind w:firstLine="0" w:firstLineChars="0"/>
              <w:rPr>
                <w:sz w:val="21"/>
                <w:szCs w:val="21"/>
              </w:rPr>
            </w:pPr>
            <w:r>
              <w:rPr>
                <w:rFonts w:hint="eastAsia"/>
                <w:sz w:val="21"/>
                <w:szCs w:val="21"/>
              </w:rPr>
              <w:t>项目；</w:t>
            </w:r>
          </w:p>
          <w:p w14:paraId="4DC4B8DF">
            <w:pPr>
              <w:spacing w:line="240" w:lineRule="auto"/>
              <w:ind w:firstLine="0" w:firstLineChars="0"/>
              <w:rPr>
                <w:sz w:val="21"/>
                <w:szCs w:val="21"/>
              </w:rPr>
            </w:pPr>
            <w:r>
              <w:rPr>
                <w:rFonts w:hint="eastAsia"/>
                <w:sz w:val="21"/>
                <w:szCs w:val="21"/>
              </w:rPr>
              <w:t>2、禁止新建与环境敏感目标间距不能满足建设项</w:t>
            </w:r>
          </w:p>
          <w:p w14:paraId="6DF88A19">
            <w:pPr>
              <w:spacing w:line="240" w:lineRule="auto"/>
              <w:ind w:firstLine="0" w:firstLineChars="0"/>
              <w:rPr>
                <w:sz w:val="21"/>
                <w:szCs w:val="21"/>
                <w:highlight w:val="yellow"/>
              </w:rPr>
            </w:pPr>
            <w:r>
              <w:rPr>
                <w:rFonts w:hint="eastAsia"/>
                <w:sz w:val="21"/>
                <w:szCs w:val="21"/>
              </w:rPr>
              <w:t>目环评文件或行业规定的防护距离要求的项目。</w:t>
            </w:r>
          </w:p>
        </w:tc>
        <w:tc>
          <w:tcPr>
            <w:tcW w:w="1623" w:type="pct"/>
            <w:vAlign w:val="center"/>
          </w:tcPr>
          <w:p w14:paraId="4E738C65">
            <w:pPr>
              <w:spacing w:line="240" w:lineRule="auto"/>
              <w:ind w:firstLine="0" w:firstLineChars="0"/>
              <w:rPr>
                <w:sz w:val="21"/>
                <w:szCs w:val="21"/>
              </w:rPr>
            </w:pPr>
            <w:r>
              <w:rPr>
                <w:rFonts w:hint="eastAsia"/>
                <w:sz w:val="21"/>
                <w:szCs w:val="21"/>
              </w:rPr>
              <w:t>1、</w:t>
            </w:r>
            <w:r>
              <w:rPr>
                <w:sz w:val="21"/>
                <w:szCs w:val="21"/>
              </w:rPr>
              <w:t>本项目</w:t>
            </w:r>
            <w:r>
              <w:rPr>
                <w:rFonts w:hint="eastAsia"/>
                <w:sz w:val="21"/>
                <w:szCs w:val="21"/>
              </w:rPr>
              <w:t>为新建项目，风险源建设风险防范措施，风险可控；</w:t>
            </w:r>
          </w:p>
          <w:p w14:paraId="72D6C93B">
            <w:pPr>
              <w:spacing w:line="240" w:lineRule="auto"/>
              <w:ind w:firstLine="0" w:firstLineChars="0"/>
              <w:rPr>
                <w:sz w:val="21"/>
                <w:szCs w:val="21"/>
                <w:highlight w:val="yellow"/>
              </w:rPr>
            </w:pPr>
            <w:r>
              <w:rPr>
                <w:rFonts w:hint="eastAsia"/>
                <w:sz w:val="21"/>
                <w:szCs w:val="21"/>
              </w:rPr>
              <w:t>2、本项目距最近的敏感点为厂区东南侧约580m的下园村，距离敏感点较远。且本项目不涉及防护距离。</w:t>
            </w:r>
          </w:p>
        </w:tc>
        <w:tc>
          <w:tcPr>
            <w:tcW w:w="563" w:type="pct"/>
            <w:vAlign w:val="center"/>
          </w:tcPr>
          <w:p w14:paraId="1BC57FE5">
            <w:pPr>
              <w:spacing w:line="240" w:lineRule="auto"/>
              <w:ind w:firstLine="0" w:firstLineChars="0"/>
              <w:jc w:val="center"/>
              <w:rPr>
                <w:sz w:val="21"/>
                <w:szCs w:val="21"/>
              </w:rPr>
            </w:pPr>
            <w:r>
              <w:rPr>
                <w:rFonts w:hint="eastAsia"/>
                <w:sz w:val="21"/>
                <w:szCs w:val="21"/>
              </w:rPr>
              <w:t>不属于</w:t>
            </w:r>
          </w:p>
        </w:tc>
      </w:tr>
      <w:tr w14:paraId="6CAE3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Merge w:val="continue"/>
            <w:vAlign w:val="center"/>
          </w:tcPr>
          <w:p w14:paraId="61104D1A">
            <w:pPr>
              <w:spacing w:line="240" w:lineRule="auto"/>
              <w:ind w:firstLine="0" w:firstLineChars="0"/>
              <w:jc w:val="center"/>
              <w:rPr>
                <w:sz w:val="21"/>
                <w:szCs w:val="21"/>
                <w:highlight w:val="yellow"/>
              </w:rPr>
            </w:pPr>
          </w:p>
        </w:tc>
        <w:tc>
          <w:tcPr>
            <w:tcW w:w="2462" w:type="pct"/>
            <w:gridSpan w:val="2"/>
            <w:vAlign w:val="center"/>
          </w:tcPr>
          <w:p w14:paraId="34F2411B">
            <w:pPr>
              <w:spacing w:line="240" w:lineRule="auto"/>
              <w:ind w:firstLine="0" w:firstLineChars="0"/>
              <w:rPr>
                <w:sz w:val="21"/>
                <w:szCs w:val="21"/>
              </w:rPr>
            </w:pPr>
            <w:r>
              <w:rPr>
                <w:rFonts w:hint="eastAsia"/>
                <w:sz w:val="21"/>
                <w:szCs w:val="21"/>
              </w:rPr>
              <w:t>3、禁止新建生产光气、氰化钠、氟乙酸甲酯等剧</w:t>
            </w:r>
          </w:p>
          <w:p w14:paraId="496ACC97">
            <w:pPr>
              <w:spacing w:line="240" w:lineRule="auto"/>
              <w:ind w:firstLine="0" w:firstLineChars="0"/>
              <w:rPr>
                <w:sz w:val="21"/>
                <w:szCs w:val="21"/>
                <w:highlight w:val="yellow"/>
              </w:rPr>
            </w:pPr>
            <w:r>
              <w:rPr>
                <w:rFonts w:hint="eastAsia"/>
                <w:sz w:val="21"/>
                <w:szCs w:val="21"/>
              </w:rPr>
              <w:t>毒化学品以及硝酸铵、硝化棉等易制爆化学品。</w:t>
            </w:r>
          </w:p>
        </w:tc>
        <w:tc>
          <w:tcPr>
            <w:tcW w:w="1623" w:type="pct"/>
            <w:vAlign w:val="center"/>
          </w:tcPr>
          <w:p w14:paraId="21379725">
            <w:pPr>
              <w:spacing w:line="240" w:lineRule="auto"/>
              <w:ind w:firstLine="210" w:firstLineChars="100"/>
              <w:rPr>
                <w:sz w:val="21"/>
                <w:szCs w:val="21"/>
                <w:highlight w:val="yellow"/>
              </w:rPr>
            </w:pPr>
            <w:r>
              <w:rPr>
                <w:sz w:val="21"/>
                <w:szCs w:val="21"/>
              </w:rPr>
              <w:t>本项目为新建项目，</w:t>
            </w:r>
            <w:r>
              <w:rPr>
                <w:rFonts w:hint="eastAsia"/>
                <w:sz w:val="21"/>
                <w:szCs w:val="21"/>
              </w:rPr>
              <w:t>主要生产聚醚改性硅油和色浆，不生产光气、氰化钠、氟乙酸甲酯等剧毒化学品以及硝酸铵、硝化棉等易制爆化学品。</w:t>
            </w:r>
          </w:p>
        </w:tc>
        <w:tc>
          <w:tcPr>
            <w:tcW w:w="563" w:type="pct"/>
            <w:vAlign w:val="center"/>
          </w:tcPr>
          <w:p w14:paraId="7D9170F5">
            <w:pPr>
              <w:spacing w:line="240" w:lineRule="auto"/>
              <w:ind w:firstLine="0" w:firstLineChars="0"/>
              <w:jc w:val="center"/>
              <w:rPr>
                <w:sz w:val="21"/>
                <w:szCs w:val="21"/>
              </w:rPr>
            </w:pPr>
            <w:r>
              <w:rPr>
                <w:rFonts w:hint="eastAsia"/>
                <w:sz w:val="21"/>
                <w:szCs w:val="21"/>
              </w:rPr>
              <w:t>不属于</w:t>
            </w:r>
          </w:p>
        </w:tc>
      </w:tr>
      <w:tr w14:paraId="09CAB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2" w:type="pct"/>
            <w:vAlign w:val="center"/>
          </w:tcPr>
          <w:p w14:paraId="5F322429">
            <w:pPr>
              <w:spacing w:line="240" w:lineRule="auto"/>
              <w:ind w:firstLine="0" w:firstLineChars="0"/>
              <w:jc w:val="center"/>
              <w:rPr>
                <w:sz w:val="21"/>
                <w:szCs w:val="21"/>
                <w:highlight w:val="yellow"/>
              </w:rPr>
            </w:pPr>
            <w:r>
              <w:rPr>
                <w:rFonts w:hint="eastAsia"/>
                <w:sz w:val="21"/>
                <w:szCs w:val="21"/>
              </w:rPr>
              <w:t>资源开发利用管控</w:t>
            </w:r>
          </w:p>
        </w:tc>
        <w:tc>
          <w:tcPr>
            <w:tcW w:w="2462" w:type="pct"/>
            <w:gridSpan w:val="2"/>
            <w:vAlign w:val="center"/>
          </w:tcPr>
          <w:p w14:paraId="21A22385">
            <w:pPr>
              <w:spacing w:line="240" w:lineRule="auto"/>
              <w:ind w:firstLine="0" w:firstLineChars="0"/>
              <w:jc w:val="center"/>
              <w:rPr>
                <w:sz w:val="21"/>
                <w:szCs w:val="21"/>
                <w:highlight w:val="yellow"/>
              </w:rPr>
            </w:pPr>
            <w:r>
              <w:rPr>
                <w:rFonts w:hint="eastAsia"/>
                <w:sz w:val="21"/>
                <w:szCs w:val="21"/>
              </w:rPr>
              <w:t>严格控制水污染严重的高耗水项目进入。</w:t>
            </w:r>
          </w:p>
        </w:tc>
        <w:tc>
          <w:tcPr>
            <w:tcW w:w="1623" w:type="pct"/>
            <w:vAlign w:val="center"/>
          </w:tcPr>
          <w:p w14:paraId="64396AFF">
            <w:pPr>
              <w:spacing w:line="240" w:lineRule="auto"/>
              <w:ind w:firstLine="210" w:firstLineChars="100"/>
              <w:rPr>
                <w:sz w:val="21"/>
                <w:szCs w:val="21"/>
                <w:highlight w:val="yellow"/>
              </w:rPr>
            </w:pPr>
            <w:r>
              <w:rPr>
                <w:rFonts w:hint="eastAsia"/>
                <w:sz w:val="21"/>
                <w:szCs w:val="21"/>
              </w:rPr>
              <w:t>本项目不属于污染严重的高耗水项目。</w:t>
            </w:r>
          </w:p>
        </w:tc>
        <w:tc>
          <w:tcPr>
            <w:tcW w:w="563" w:type="pct"/>
            <w:vAlign w:val="center"/>
          </w:tcPr>
          <w:p w14:paraId="1C184088">
            <w:pPr>
              <w:spacing w:line="240" w:lineRule="auto"/>
              <w:ind w:firstLine="0" w:firstLineChars="0"/>
              <w:jc w:val="center"/>
              <w:rPr>
                <w:sz w:val="21"/>
                <w:szCs w:val="21"/>
              </w:rPr>
            </w:pPr>
            <w:r>
              <w:rPr>
                <w:rFonts w:hint="eastAsia"/>
                <w:sz w:val="21"/>
                <w:szCs w:val="21"/>
              </w:rPr>
              <w:t>不属于</w:t>
            </w:r>
          </w:p>
        </w:tc>
      </w:tr>
    </w:tbl>
    <w:p w14:paraId="0F6A199D">
      <w:pPr>
        <w:pStyle w:val="2"/>
        <w:ind w:firstLine="480"/>
      </w:pPr>
      <w:r>
        <w:t>通过上述分析，本项目建设不在</w:t>
      </w:r>
      <w:r>
        <w:rPr>
          <w:rFonts w:hint="eastAsia"/>
        </w:rPr>
        <w:t>园区</w:t>
      </w:r>
      <w:r>
        <w:t>规划环评的负面清单之列。</w:t>
      </w:r>
    </w:p>
    <w:bookmarkEnd w:id="144"/>
    <w:bookmarkEnd w:id="145"/>
    <w:bookmarkEnd w:id="146"/>
    <w:bookmarkEnd w:id="147"/>
    <w:p w14:paraId="3FCF581F">
      <w:pPr>
        <w:pStyle w:val="5"/>
        <w:spacing w:before="240" w:after="240"/>
      </w:pPr>
      <w:bookmarkStart w:id="148" w:name="_Toc122532774"/>
      <w:bookmarkStart w:id="149" w:name="_Toc122420166"/>
      <w:bookmarkStart w:id="150" w:name="_Toc117093610"/>
      <w:r>
        <w:rPr>
          <w:rFonts w:hint="eastAsia"/>
        </w:rPr>
        <w:t>与《卫辉市铁西（化工）专业园区总体规划（2022-2035）》（正在调整，阶段性成果）</w:t>
      </w:r>
    </w:p>
    <w:p w14:paraId="37509754">
      <w:pPr>
        <w:ind w:firstLine="480"/>
        <w:rPr>
          <w:u w:val="single"/>
        </w:rPr>
      </w:pPr>
      <w:r>
        <w:rPr>
          <w:rFonts w:hint="eastAsia"/>
          <w:u w:val="single"/>
        </w:rPr>
        <w:t>卫辉市铁西（化工）专业园区在前期规划过程中将八里屯村规划至园区内，现因国土空间规划及园区功能布局变动，对《卫辉市铁西（化工）专业园区总体规划（2022-2035）》进行调整，八里屯村调规划至园区外，园区规划面积减小。阶段性成果如下：</w:t>
      </w:r>
    </w:p>
    <w:p w14:paraId="61F2AEB3">
      <w:pPr>
        <w:pStyle w:val="6"/>
        <w:ind w:left="284"/>
        <w:rPr>
          <w:snapToGrid w:val="0"/>
        </w:rPr>
      </w:pPr>
      <w:r>
        <w:rPr>
          <w:snapToGrid w:val="0"/>
        </w:rPr>
        <w:t>规划年限</w:t>
      </w:r>
    </w:p>
    <w:p w14:paraId="3624EE42">
      <w:pPr>
        <w:spacing w:line="540" w:lineRule="exact"/>
        <w:ind w:firstLine="480"/>
        <w:rPr>
          <w:spacing w:val="-3"/>
        </w:rPr>
      </w:pPr>
      <w:r>
        <w:t>规划的期限为</w:t>
      </w:r>
      <w:r>
        <w:rPr>
          <w:rFonts w:hint="eastAsia"/>
        </w:rPr>
        <w:t>：</w:t>
      </w:r>
      <w:r>
        <w:rPr>
          <w:spacing w:val="-98"/>
        </w:rPr>
        <w:t xml:space="preserve"> </w:t>
      </w:r>
      <w:r>
        <w:t>2022～2035</w:t>
      </w:r>
      <w:r>
        <w:rPr>
          <w:spacing w:val="1"/>
        </w:rPr>
        <w:t>年，分近期和远期。其中近期为2022～2025年，远期为2026～2035年。</w:t>
      </w:r>
    </w:p>
    <w:p w14:paraId="4769A767">
      <w:pPr>
        <w:pStyle w:val="6"/>
        <w:ind w:left="284"/>
        <w:rPr>
          <w:snapToGrid w:val="0"/>
        </w:rPr>
      </w:pPr>
      <w:r>
        <w:rPr>
          <w:snapToGrid w:val="0"/>
        </w:rPr>
        <w:t>规划范围</w:t>
      </w:r>
    </w:p>
    <w:p w14:paraId="56687043">
      <w:pPr>
        <w:ind w:firstLine="480"/>
      </w:pPr>
      <w:r>
        <w:rPr>
          <w:rFonts w:hint="eastAsia"/>
        </w:rPr>
        <w:t>卫辉市铁西（化工）专业园区本次规划用地总面积222.69公顷，划分为南北两个园区。</w:t>
      </w:r>
    </w:p>
    <w:p w14:paraId="5C9E86DA">
      <w:pPr>
        <w:ind w:firstLine="480"/>
      </w:pPr>
      <w:r>
        <w:rPr>
          <w:rFonts w:hint="eastAsia"/>
        </w:rPr>
        <w:t>北园具体范围：东至京广大道，西至卫辉市化工有限公司和河南熔金高温材料股份有限公司西边界，南到卫辉市化工有限公司南边界，北至河南熔金高温材料股份有限公司北部，规划用地面积25.59公顷。</w:t>
      </w:r>
    </w:p>
    <w:p w14:paraId="6D3E90F3">
      <w:pPr>
        <w:ind w:firstLine="480"/>
      </w:pPr>
      <w:r>
        <w:rPr>
          <w:rFonts w:hint="eastAsia"/>
        </w:rPr>
        <w:t>南园具体范围：东到京广大道，西至翟阳路，南到京广大道和康迪粉业南边界，北至卫辉市造纸厂北边界,规划用地面积197.10公顷。</w:t>
      </w:r>
    </w:p>
    <w:p w14:paraId="7C273EFC">
      <w:pPr>
        <w:pStyle w:val="2"/>
        <w:spacing w:after="0"/>
        <w:ind w:firstLine="480"/>
      </w:pPr>
      <w:r>
        <w:rPr>
          <w:rFonts w:hint="eastAsia"/>
        </w:rPr>
        <w:t>本项目</w:t>
      </w:r>
      <w:r>
        <w:rPr>
          <w:rFonts w:hint="eastAsia"/>
          <w:szCs w:val="24"/>
        </w:rPr>
        <w:t>厂址位于</w:t>
      </w:r>
      <w:r>
        <w:rPr>
          <w:rFonts w:hint="eastAsia"/>
        </w:rPr>
        <w:t>新乡市卫辉市唐庄镇代庄村99号卫辉市铁西（化工）园区内</w:t>
      </w:r>
      <w:r>
        <w:rPr>
          <w:rFonts w:hint="eastAsia"/>
          <w:szCs w:val="24"/>
        </w:rPr>
        <w:t>，位于园区内的南区。</w:t>
      </w:r>
    </w:p>
    <w:p w14:paraId="2209A4F9">
      <w:pPr>
        <w:pStyle w:val="6"/>
        <w:ind w:left="284"/>
        <w:rPr>
          <w:snapToGrid w:val="0"/>
        </w:rPr>
      </w:pPr>
      <w:r>
        <w:rPr>
          <w:rFonts w:hint="eastAsia"/>
          <w:snapToGrid w:val="0"/>
        </w:rPr>
        <w:t>发展定位与发展目标</w:t>
      </w:r>
    </w:p>
    <w:p w14:paraId="67858555">
      <w:pPr>
        <w:ind w:firstLine="480"/>
      </w:pPr>
      <w:r>
        <w:rPr>
          <w:rFonts w:hint="eastAsia"/>
        </w:rPr>
        <w:t>（1）发展定位</w:t>
      </w:r>
    </w:p>
    <w:p w14:paraId="4A648680">
      <w:pPr>
        <w:ind w:firstLine="480"/>
      </w:pPr>
      <w:r>
        <w:rPr>
          <w:rFonts w:hint="eastAsia"/>
        </w:rPr>
        <w:t>通过现状及产业发展趋势分析，卫辉市铁西（化工）专业园区应以新以新型煤化工、精细化工、化工新材料为主导，以医药化工、食品化工、功能性膜材料化工为支撑，成为具有自主创新、具备产业核心竞争力的绿色低碳循环产业园。</w:t>
      </w:r>
    </w:p>
    <w:p w14:paraId="431CFBCC">
      <w:pPr>
        <w:pStyle w:val="2"/>
        <w:spacing w:after="0"/>
        <w:ind w:firstLine="480"/>
      </w:pPr>
      <w:r>
        <w:rPr>
          <w:rFonts w:hint="eastAsia"/>
        </w:rPr>
        <w:t>（2）发展目标</w:t>
      </w:r>
    </w:p>
    <w:p w14:paraId="481A0BC0">
      <w:pPr>
        <w:ind w:firstLine="480"/>
      </w:pPr>
      <w:r>
        <w:rPr>
          <w:rFonts w:hint="eastAsia"/>
        </w:rPr>
        <w:t>①总体发展目标</w:t>
      </w:r>
    </w:p>
    <w:p w14:paraId="1DA138FB">
      <w:pPr>
        <w:ind w:firstLine="480"/>
      </w:pPr>
      <w:r>
        <w:rPr>
          <w:rFonts w:hint="eastAsia"/>
        </w:rPr>
        <w:t>依托现有产业基础，将卫辉市铁西（化工）专业园区建设成为生态环境良好、产业聚集度较高、产业配套完善、主导产业鲜明、综合竞争力较强的具有自主创新、具备产业核心竞争力的创新产业基地，成为新的经济增长极，使之成为产业发展载体，环境优美、设施完善、可持续发展的循环经济园区。</w:t>
      </w:r>
    </w:p>
    <w:p w14:paraId="335C6DCB">
      <w:pPr>
        <w:pStyle w:val="2"/>
        <w:spacing w:after="0"/>
        <w:ind w:firstLine="480"/>
      </w:pPr>
      <w:r>
        <w:rPr>
          <w:rFonts w:hint="eastAsia"/>
        </w:rPr>
        <w:t>②主要发展目标</w:t>
      </w:r>
    </w:p>
    <w:p w14:paraId="4BA11153">
      <w:pPr>
        <w:pStyle w:val="2"/>
        <w:spacing w:after="0"/>
        <w:ind w:firstLine="480"/>
      </w:pPr>
      <w:r>
        <w:rPr>
          <w:rFonts w:hint="eastAsia"/>
        </w:rPr>
        <w:t>i）产业结构</w:t>
      </w:r>
    </w:p>
    <w:p w14:paraId="497B91FF">
      <w:pPr>
        <w:pStyle w:val="2"/>
        <w:spacing w:after="0"/>
        <w:ind w:firstLine="480"/>
      </w:pPr>
      <w:r>
        <w:rPr>
          <w:rFonts w:hint="eastAsia"/>
        </w:rPr>
        <w:t>新型煤化工、精细化工产业为主导，以医药化工、食品化工、功能性膜材料化工为支撑，同时注重与周边第二产业配套的生产性服务业(如科研培训、金融保险、商贸物流、服务型外包等)的协调发展，形成二三产业比例合理的产业结构体系。</w:t>
      </w:r>
    </w:p>
    <w:p w14:paraId="56D9E0E3">
      <w:pPr>
        <w:ind w:firstLine="480"/>
      </w:pPr>
      <w:r>
        <w:rPr>
          <w:rFonts w:hint="eastAsia"/>
        </w:rPr>
        <w:t>ii）集约发展</w:t>
      </w:r>
    </w:p>
    <w:p w14:paraId="1F389D55">
      <w:pPr>
        <w:pStyle w:val="2"/>
        <w:spacing w:after="0"/>
        <w:ind w:firstLine="480"/>
      </w:pPr>
      <w:r>
        <w:rPr>
          <w:rFonts w:hint="eastAsia"/>
        </w:rPr>
        <w:t>以新型煤化工、精细化工、化工新材料为主导，积极发展上下游及相关产业，形成一个集中发展专产园区，将产业集聚发展提升至产业发展集群，达到专业园区发展要求的最终目标。控制入园企业各项建设指标，严格按照《河南省工业项目建设用地控制指标》执行。在投资强度方面，工业用地项目每公顷投资强度不得低于900万元。</w:t>
      </w:r>
    </w:p>
    <w:p w14:paraId="7923E347">
      <w:pPr>
        <w:ind w:firstLine="480"/>
      </w:pPr>
      <w:r>
        <w:rPr>
          <w:rFonts w:hint="eastAsia"/>
        </w:rPr>
        <w:t>本项目属于化学原料和化学制品制造业，产品</w:t>
      </w:r>
      <w:r>
        <w:t>聚醚改性硅油</w:t>
      </w:r>
      <w:r>
        <w:rPr>
          <w:rFonts w:hint="eastAsia"/>
        </w:rPr>
        <w:t>可作为稳定剂用于生产海绵，色浆主要用于海绵上色，属于精细化工。根据正在调整的《卫辉市铁西（化工）专业园区总体规划（2022-2035）-产业功能布局图》（阶段性成果）（见附图二（5）），本项目位于精细化工产业园。公司投资3000万元建设本项目，且占地3032</w:t>
      </w:r>
      <w:r>
        <w:rPr>
          <w:rFonts w:hint="eastAsia"/>
          <w:szCs w:val="21"/>
        </w:rPr>
        <w:t>m</w:t>
      </w:r>
      <w:r>
        <w:rPr>
          <w:rFonts w:hint="eastAsia"/>
          <w:szCs w:val="21"/>
          <w:vertAlign w:val="superscript"/>
        </w:rPr>
        <w:t>2</w:t>
      </w:r>
      <w:r>
        <w:rPr>
          <w:rFonts w:hint="eastAsia"/>
        </w:rPr>
        <w:t>，则投资强度为9894万元/公顷＞900万元/公顷，故本项目满足园区发展规划。</w:t>
      </w:r>
    </w:p>
    <w:p w14:paraId="7D191B5D">
      <w:pPr>
        <w:pStyle w:val="6"/>
        <w:ind w:left="284"/>
        <w:rPr>
          <w:snapToGrid w:val="0"/>
        </w:rPr>
      </w:pPr>
      <w:r>
        <w:rPr>
          <w:rFonts w:hint="eastAsia"/>
          <w:snapToGrid w:val="0"/>
        </w:rPr>
        <w:t>产业功能布局</w:t>
      </w:r>
    </w:p>
    <w:p w14:paraId="437B4035">
      <w:pPr>
        <w:pStyle w:val="2"/>
        <w:spacing w:after="0"/>
        <w:ind w:firstLine="480"/>
      </w:pPr>
      <w:r>
        <w:rPr>
          <w:rFonts w:hint="eastAsia"/>
        </w:rPr>
        <w:t>卫辉市先铁西（化工）专业园区总体分为四个产业功能区，分别为：</w:t>
      </w:r>
    </w:p>
    <w:p w14:paraId="6DD329C3">
      <w:pPr>
        <w:pStyle w:val="2"/>
        <w:spacing w:after="0"/>
        <w:ind w:firstLine="480"/>
      </w:pPr>
      <w:r>
        <w:rPr>
          <w:rFonts w:hint="eastAsia"/>
        </w:rPr>
        <w:t>新型煤化工产业区：布局在专业园区的中部，以豫北化工等企业为核心，发展新型煤化工产业。</w:t>
      </w:r>
    </w:p>
    <w:p w14:paraId="0FC76923">
      <w:pPr>
        <w:pStyle w:val="2"/>
        <w:spacing w:after="0"/>
        <w:ind w:firstLine="480"/>
      </w:pPr>
      <w:r>
        <w:rPr>
          <w:rFonts w:hint="eastAsia"/>
        </w:rPr>
        <w:t>精细化工产业区：布局在专业园区的北部、中部，主要发展精细化工产业。</w:t>
      </w:r>
    </w:p>
    <w:p w14:paraId="084ED986">
      <w:pPr>
        <w:pStyle w:val="2"/>
        <w:spacing w:after="0"/>
        <w:ind w:firstLine="480"/>
      </w:pPr>
      <w:r>
        <w:rPr>
          <w:rFonts w:hint="eastAsia"/>
        </w:rPr>
        <w:t>食品添加剂及助剂产业区：布局在专业园区的南部，依托现有企业进行转型升级，发展食品添加剂及助剂。</w:t>
      </w:r>
    </w:p>
    <w:p w14:paraId="6D9FDBBB">
      <w:pPr>
        <w:pStyle w:val="2"/>
        <w:spacing w:after="0"/>
        <w:ind w:firstLine="480"/>
      </w:pPr>
      <w:r>
        <w:rPr>
          <w:rFonts w:hint="eastAsia"/>
        </w:rPr>
        <w:t>化工新材料产业区：布局在产业园区的中部，紧邻翟阳路，主要发展化工新材料。</w:t>
      </w:r>
    </w:p>
    <w:p w14:paraId="074C684D">
      <w:pPr>
        <w:ind w:firstLine="480"/>
      </w:pPr>
      <w:r>
        <w:rPr>
          <w:rFonts w:hint="eastAsia"/>
        </w:rPr>
        <w:t>本项目属于化学原料和化学制品制造业，产品</w:t>
      </w:r>
      <w:r>
        <w:t>聚醚改性硅油</w:t>
      </w:r>
      <w:r>
        <w:rPr>
          <w:rFonts w:hint="eastAsia"/>
        </w:rPr>
        <w:t>可作为稳定剂用于生产海绵，色浆主要用于海绵上色，属于精细化工。根据正在调整的《卫辉市铁西（化工）专业园区总体规划（2022-2035）-产业功能布局图》（阶段性成果）（见附图二（5）），本项目位于精细化工产业园，满足园区发展规划。</w:t>
      </w:r>
    </w:p>
    <w:p w14:paraId="04B6147C">
      <w:pPr>
        <w:pStyle w:val="6"/>
        <w:ind w:left="284"/>
        <w:rPr>
          <w:snapToGrid w:val="0"/>
        </w:rPr>
      </w:pPr>
      <w:r>
        <w:rPr>
          <w:rFonts w:hint="eastAsia"/>
          <w:snapToGrid w:val="0"/>
        </w:rPr>
        <w:t>用地布局规划</w:t>
      </w:r>
    </w:p>
    <w:p w14:paraId="56178826">
      <w:pPr>
        <w:pStyle w:val="2"/>
        <w:spacing w:after="0"/>
        <w:ind w:firstLine="480"/>
      </w:pPr>
      <w:r>
        <w:rPr>
          <w:rFonts w:hint="eastAsia"/>
        </w:rPr>
        <w:t>（1）商业服务业用地</w:t>
      </w:r>
    </w:p>
    <w:p w14:paraId="5FCF082C">
      <w:pPr>
        <w:pStyle w:val="2"/>
        <w:spacing w:after="0"/>
        <w:ind w:firstLine="480"/>
      </w:pPr>
      <w:r>
        <w:rPr>
          <w:rFonts w:hint="eastAsia"/>
        </w:rPr>
        <w:t>规划保留现状的两处加油加气站，用地面积1.24公顷，占建设用地的0.56%。</w:t>
      </w:r>
    </w:p>
    <w:p w14:paraId="24796F2E">
      <w:pPr>
        <w:pStyle w:val="2"/>
        <w:spacing w:after="0"/>
        <w:ind w:firstLine="480"/>
      </w:pPr>
      <w:r>
        <w:rPr>
          <w:rFonts w:hint="eastAsia"/>
        </w:rPr>
        <w:t>（2）工矿用地</w:t>
      </w:r>
    </w:p>
    <w:p w14:paraId="61AB0077">
      <w:pPr>
        <w:pStyle w:val="2"/>
        <w:spacing w:after="0"/>
        <w:ind w:firstLine="480"/>
      </w:pPr>
      <w:r>
        <w:rPr>
          <w:rFonts w:hint="eastAsia"/>
        </w:rPr>
        <w:t>工业用地为二类工业用地和三类工业用地，其中，二类工业用地面积为134.44公顷，占建设地的60.37%，三类工业用地面积43.99公顷，占建设用地19.75%。</w:t>
      </w:r>
    </w:p>
    <w:p w14:paraId="783DBD61">
      <w:pPr>
        <w:pStyle w:val="2"/>
        <w:spacing w:after="0"/>
        <w:ind w:firstLine="480"/>
      </w:pPr>
      <w:r>
        <w:rPr>
          <w:rFonts w:hint="eastAsia"/>
        </w:rPr>
        <w:t>（3）交通运输用地</w:t>
      </w:r>
    </w:p>
    <w:p w14:paraId="73971E82">
      <w:pPr>
        <w:pStyle w:val="2"/>
        <w:spacing w:after="0"/>
        <w:ind w:firstLine="480"/>
      </w:pPr>
      <w:r>
        <w:rPr>
          <w:rFonts w:hint="eastAsia"/>
        </w:rPr>
        <w:t>规划城镇道路用地21.14公顷，占建设用地的9.49%。</w:t>
      </w:r>
    </w:p>
    <w:p w14:paraId="077A4D34">
      <w:pPr>
        <w:pStyle w:val="2"/>
        <w:spacing w:after="0"/>
        <w:ind w:firstLine="480"/>
      </w:pPr>
      <w:r>
        <w:rPr>
          <w:rFonts w:hint="eastAsia"/>
        </w:rPr>
        <w:t>规划危险化学品运输专用停车场一处，占地面积4.43公顷，占建设用地1.99%，位于下园路翟阳路交叉口东南。</w:t>
      </w:r>
    </w:p>
    <w:p w14:paraId="79F06D9F">
      <w:pPr>
        <w:pStyle w:val="2"/>
        <w:spacing w:after="0"/>
        <w:ind w:firstLine="480"/>
      </w:pPr>
      <w:r>
        <w:rPr>
          <w:rFonts w:hint="eastAsia"/>
        </w:rPr>
        <w:t>（4）绿地与开敞空间</w:t>
      </w:r>
    </w:p>
    <w:p w14:paraId="7011B5B2">
      <w:pPr>
        <w:pStyle w:val="2"/>
        <w:spacing w:after="0"/>
        <w:ind w:firstLine="480"/>
      </w:pPr>
      <w:r>
        <w:rPr>
          <w:rFonts w:hint="eastAsia"/>
        </w:rPr>
        <w:t>规划防护绿地14.73公顷，占建设用地6.61%。</w:t>
      </w:r>
    </w:p>
    <w:p w14:paraId="1C632EA7">
      <w:pPr>
        <w:pStyle w:val="2"/>
        <w:ind w:firstLine="480"/>
        <w:rPr>
          <w:u w:val="single"/>
        </w:rPr>
      </w:pPr>
      <w:r>
        <w:rPr>
          <w:u w:val="single"/>
        </w:rPr>
        <w:t>根据</w:t>
      </w:r>
      <w:r>
        <w:rPr>
          <w:rFonts w:hint="eastAsia"/>
          <w:u w:val="single"/>
        </w:rPr>
        <w:t>正在调整《</w:t>
      </w:r>
      <w:r>
        <w:rPr>
          <w:u w:val="single"/>
        </w:rPr>
        <w:t>卫辉市铁西（</w:t>
      </w:r>
      <w:r>
        <w:rPr>
          <w:rFonts w:hint="eastAsia"/>
          <w:u w:val="single"/>
        </w:rPr>
        <w:t>化工</w:t>
      </w:r>
      <w:r>
        <w:rPr>
          <w:u w:val="single"/>
        </w:rPr>
        <w:t>）</w:t>
      </w:r>
      <w:r>
        <w:rPr>
          <w:rFonts w:hint="eastAsia"/>
          <w:u w:val="single"/>
        </w:rPr>
        <w:t>专业园区总体规划（2022-2035）-土地使用规划图》（阶段性成果）</w:t>
      </w:r>
      <w:r>
        <w:rPr>
          <w:u w:val="single"/>
        </w:rPr>
        <w:t>（见附图二</w:t>
      </w:r>
      <w:r>
        <w:rPr>
          <w:rFonts w:hint="eastAsia"/>
          <w:u w:val="single"/>
        </w:rPr>
        <w:t>（6）</w:t>
      </w:r>
      <w:r>
        <w:rPr>
          <w:u w:val="single"/>
        </w:rPr>
        <w:t>）</w:t>
      </w:r>
      <w:r>
        <w:rPr>
          <w:rFonts w:hint="eastAsia"/>
          <w:u w:val="single"/>
        </w:rPr>
        <w:t>，</w:t>
      </w:r>
      <w:r>
        <w:rPr>
          <w:u w:val="single"/>
        </w:rPr>
        <w:t>项目厂址用地为</w:t>
      </w:r>
      <w:r>
        <w:rPr>
          <w:rFonts w:hint="eastAsia"/>
          <w:u w:val="single"/>
        </w:rPr>
        <w:t>二类</w:t>
      </w:r>
      <w:r>
        <w:rPr>
          <w:u w:val="single"/>
        </w:rPr>
        <w:t>工业用地</w:t>
      </w:r>
      <w:r>
        <w:rPr>
          <w:rFonts w:hint="eastAsia"/>
          <w:u w:val="single"/>
        </w:rPr>
        <w:t>，</w:t>
      </w:r>
      <w:r>
        <w:rPr>
          <w:u w:val="single"/>
        </w:rPr>
        <w:t>符合卫辉市铁西（</w:t>
      </w:r>
      <w:r>
        <w:rPr>
          <w:rFonts w:hint="eastAsia"/>
          <w:u w:val="single"/>
        </w:rPr>
        <w:t>化工</w:t>
      </w:r>
      <w:r>
        <w:rPr>
          <w:u w:val="single"/>
        </w:rPr>
        <w:t>）专业园区</w:t>
      </w:r>
      <w:r>
        <w:rPr>
          <w:rFonts w:hint="eastAsia"/>
          <w:u w:val="single"/>
        </w:rPr>
        <w:t>土地使用规划，正在调整规划给出调整后不会影响本项目落地。</w:t>
      </w:r>
    </w:p>
    <w:p w14:paraId="1D3E9A25">
      <w:pPr>
        <w:pStyle w:val="5"/>
        <w:spacing w:before="240" w:after="240"/>
      </w:pPr>
      <w:r>
        <w:t>水源保护规划相符性分析</w:t>
      </w:r>
      <w:bookmarkEnd w:id="148"/>
      <w:bookmarkEnd w:id="149"/>
      <w:bookmarkEnd w:id="150"/>
    </w:p>
    <w:p w14:paraId="1D3E9A26">
      <w:pPr>
        <w:pStyle w:val="6"/>
        <w:ind w:left="0"/>
      </w:pPr>
      <w:r>
        <w:t>新乡市</w:t>
      </w:r>
      <w:r>
        <w:rPr>
          <w:bCs/>
        </w:rPr>
        <w:t>城市</w:t>
      </w:r>
      <w:r>
        <w:t>饮用水源保护规划</w:t>
      </w:r>
    </w:p>
    <w:p w14:paraId="1D3E9A27">
      <w:pPr>
        <w:ind w:firstLine="480"/>
      </w:pPr>
      <w:r>
        <w:t>根据《新乡市城市饮用水水源地保护区划分报告（2007.5）》（已由河南省人民政府以豫政办[2007]125号文批复）以及《七里营引黄水源地饮用水水源保护区划分技术报告》（已由河南省人民政府以豫政文[2018]102号文批复），新乡市城市饮用水源地保护区划分结果如下表。</w:t>
      </w:r>
    </w:p>
    <w:p w14:paraId="1D3E9A28">
      <w:pPr>
        <w:numPr>
          <w:ilvl w:val="1"/>
          <w:numId w:val="10"/>
        </w:numPr>
        <w:adjustRightInd/>
        <w:snapToGrid/>
        <w:ind w:left="0" w:firstLine="482" w:firstLineChars="0"/>
        <w:textAlignment w:val="auto"/>
        <w:rPr>
          <w:rFonts w:eastAsia="黑体"/>
        </w:rPr>
      </w:pPr>
      <w:r>
        <w:rPr>
          <w:rFonts w:eastAsia="黑体"/>
        </w:rPr>
        <w:t xml:space="preserve">         新乡市城市集中饮用水源地</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115"/>
        <w:gridCol w:w="2835"/>
        <w:gridCol w:w="2891"/>
      </w:tblGrid>
      <w:tr w14:paraId="1D3E9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03" w:type="pct"/>
            <w:vAlign w:val="center"/>
          </w:tcPr>
          <w:p w14:paraId="1D3E9A29">
            <w:pPr>
              <w:adjustRightInd/>
              <w:snapToGrid/>
              <w:spacing w:line="240" w:lineRule="auto"/>
              <w:ind w:firstLine="0" w:firstLineChars="0"/>
              <w:jc w:val="center"/>
              <w:textAlignment w:val="auto"/>
              <w:rPr>
                <w:b/>
                <w:kern w:val="2"/>
                <w:sz w:val="21"/>
              </w:rPr>
            </w:pPr>
            <w:r>
              <w:rPr>
                <w:b/>
                <w:kern w:val="2"/>
                <w:sz w:val="21"/>
              </w:rPr>
              <w:t>序号</w:t>
            </w:r>
          </w:p>
        </w:tc>
        <w:tc>
          <w:tcPr>
            <w:tcW w:w="1240" w:type="pct"/>
            <w:vAlign w:val="center"/>
          </w:tcPr>
          <w:p w14:paraId="1D3E9A2A">
            <w:pPr>
              <w:adjustRightInd/>
              <w:snapToGrid/>
              <w:spacing w:line="240" w:lineRule="auto"/>
              <w:ind w:firstLine="0" w:firstLineChars="0"/>
              <w:jc w:val="center"/>
              <w:textAlignment w:val="auto"/>
              <w:rPr>
                <w:b/>
                <w:kern w:val="2"/>
                <w:sz w:val="21"/>
              </w:rPr>
            </w:pPr>
            <w:r>
              <w:rPr>
                <w:b/>
                <w:kern w:val="2"/>
                <w:sz w:val="21"/>
              </w:rPr>
              <w:t>水源地名称</w:t>
            </w:r>
          </w:p>
        </w:tc>
        <w:tc>
          <w:tcPr>
            <w:tcW w:w="1662" w:type="pct"/>
            <w:vAlign w:val="center"/>
          </w:tcPr>
          <w:p w14:paraId="1D3E9A2B">
            <w:pPr>
              <w:adjustRightInd/>
              <w:snapToGrid/>
              <w:spacing w:line="240" w:lineRule="auto"/>
              <w:ind w:firstLine="0" w:firstLineChars="0"/>
              <w:jc w:val="center"/>
              <w:textAlignment w:val="auto"/>
              <w:rPr>
                <w:b/>
                <w:kern w:val="2"/>
                <w:sz w:val="21"/>
              </w:rPr>
            </w:pPr>
            <w:r>
              <w:rPr>
                <w:b/>
                <w:kern w:val="2"/>
                <w:sz w:val="21"/>
              </w:rPr>
              <w:t>一级保护区</w:t>
            </w:r>
          </w:p>
        </w:tc>
        <w:tc>
          <w:tcPr>
            <w:tcW w:w="1695" w:type="pct"/>
            <w:vAlign w:val="center"/>
          </w:tcPr>
          <w:p w14:paraId="1D3E9A2C">
            <w:pPr>
              <w:adjustRightInd/>
              <w:snapToGrid/>
              <w:spacing w:line="240" w:lineRule="auto"/>
              <w:ind w:firstLine="0" w:firstLineChars="0"/>
              <w:jc w:val="center"/>
              <w:textAlignment w:val="auto"/>
              <w:rPr>
                <w:b/>
                <w:kern w:val="2"/>
                <w:sz w:val="21"/>
              </w:rPr>
            </w:pPr>
            <w:r>
              <w:rPr>
                <w:b/>
                <w:kern w:val="2"/>
                <w:sz w:val="21"/>
              </w:rPr>
              <w:t>二级保护区</w:t>
            </w:r>
          </w:p>
        </w:tc>
      </w:tr>
      <w:tr w14:paraId="1D3E9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vAlign w:val="center"/>
          </w:tcPr>
          <w:p w14:paraId="1D3E9A2E">
            <w:pPr>
              <w:adjustRightInd/>
              <w:snapToGrid/>
              <w:spacing w:line="240" w:lineRule="auto"/>
              <w:ind w:firstLine="0" w:firstLineChars="0"/>
              <w:contextualSpacing/>
              <w:jc w:val="center"/>
              <w:rPr>
                <w:sz w:val="21"/>
                <w:szCs w:val="21"/>
              </w:rPr>
            </w:pPr>
            <w:r>
              <w:rPr>
                <w:sz w:val="21"/>
                <w:szCs w:val="21"/>
              </w:rPr>
              <w:t>1</w:t>
            </w:r>
          </w:p>
        </w:tc>
        <w:tc>
          <w:tcPr>
            <w:tcW w:w="1240" w:type="pct"/>
            <w:vAlign w:val="center"/>
          </w:tcPr>
          <w:p w14:paraId="1D3E9A2F">
            <w:pPr>
              <w:adjustRightInd/>
              <w:snapToGrid/>
              <w:spacing w:line="240" w:lineRule="auto"/>
              <w:ind w:firstLine="0" w:firstLineChars="0"/>
              <w:contextualSpacing/>
              <w:jc w:val="center"/>
              <w:rPr>
                <w:sz w:val="21"/>
                <w:szCs w:val="21"/>
              </w:rPr>
            </w:pPr>
            <w:r>
              <w:rPr>
                <w:sz w:val="21"/>
                <w:szCs w:val="21"/>
              </w:rPr>
              <w:t>黄河贾太湖地表水饮用水源保护区</w:t>
            </w:r>
          </w:p>
        </w:tc>
        <w:tc>
          <w:tcPr>
            <w:tcW w:w="3357" w:type="pct"/>
            <w:gridSpan w:val="2"/>
            <w:vAlign w:val="center"/>
          </w:tcPr>
          <w:p w14:paraId="1D3E9A30">
            <w:pPr>
              <w:adjustRightInd/>
              <w:snapToGrid/>
              <w:spacing w:line="240" w:lineRule="auto"/>
              <w:ind w:firstLine="0" w:firstLineChars="0"/>
              <w:contextualSpacing/>
              <w:jc w:val="center"/>
              <w:rPr>
                <w:sz w:val="21"/>
                <w:szCs w:val="21"/>
              </w:rPr>
            </w:pPr>
            <w:r>
              <w:rPr>
                <w:sz w:val="21"/>
                <w:szCs w:val="21"/>
              </w:rPr>
              <w:t>豫政文[2018]114号文将其取消</w:t>
            </w:r>
          </w:p>
        </w:tc>
      </w:tr>
      <w:tr w14:paraId="1D3E9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vAlign w:val="center"/>
          </w:tcPr>
          <w:p w14:paraId="1D3E9A32">
            <w:pPr>
              <w:adjustRightInd/>
              <w:snapToGrid/>
              <w:spacing w:line="240" w:lineRule="auto"/>
              <w:ind w:firstLine="0" w:firstLineChars="0"/>
              <w:contextualSpacing/>
              <w:jc w:val="center"/>
              <w:rPr>
                <w:sz w:val="21"/>
                <w:szCs w:val="21"/>
              </w:rPr>
            </w:pPr>
            <w:r>
              <w:rPr>
                <w:sz w:val="21"/>
                <w:szCs w:val="21"/>
              </w:rPr>
              <w:t>2</w:t>
            </w:r>
          </w:p>
        </w:tc>
        <w:tc>
          <w:tcPr>
            <w:tcW w:w="1240" w:type="pct"/>
            <w:vAlign w:val="center"/>
          </w:tcPr>
          <w:p w14:paraId="1D3E9A33">
            <w:pPr>
              <w:adjustRightInd/>
              <w:snapToGrid/>
              <w:spacing w:line="240" w:lineRule="auto"/>
              <w:ind w:firstLine="0" w:firstLineChars="0"/>
              <w:contextualSpacing/>
              <w:jc w:val="center"/>
              <w:rPr>
                <w:sz w:val="21"/>
                <w:szCs w:val="21"/>
              </w:rPr>
            </w:pPr>
            <w:r>
              <w:rPr>
                <w:sz w:val="21"/>
                <w:szCs w:val="21"/>
              </w:rPr>
              <w:t>黄河原阳中岳地表水饮用水源保护区</w:t>
            </w:r>
          </w:p>
        </w:tc>
        <w:tc>
          <w:tcPr>
            <w:tcW w:w="3357" w:type="pct"/>
            <w:gridSpan w:val="2"/>
            <w:vAlign w:val="center"/>
          </w:tcPr>
          <w:p w14:paraId="1D3E9A34">
            <w:pPr>
              <w:adjustRightInd/>
              <w:snapToGrid/>
              <w:spacing w:line="240" w:lineRule="auto"/>
              <w:ind w:firstLine="0" w:firstLineChars="0"/>
              <w:contextualSpacing/>
              <w:jc w:val="center"/>
              <w:rPr>
                <w:sz w:val="21"/>
                <w:szCs w:val="21"/>
              </w:rPr>
            </w:pPr>
            <w:r>
              <w:rPr>
                <w:sz w:val="21"/>
                <w:szCs w:val="21"/>
              </w:rPr>
              <w:t>豫政文[2018]114号文将其取消</w:t>
            </w:r>
          </w:p>
        </w:tc>
      </w:tr>
      <w:tr w14:paraId="1D3E9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vAlign w:val="center"/>
          </w:tcPr>
          <w:p w14:paraId="1D3E9A36">
            <w:pPr>
              <w:adjustRightInd/>
              <w:snapToGrid/>
              <w:spacing w:line="240" w:lineRule="auto"/>
              <w:ind w:firstLine="0" w:firstLineChars="0"/>
              <w:contextualSpacing/>
              <w:jc w:val="center"/>
              <w:rPr>
                <w:sz w:val="21"/>
                <w:szCs w:val="21"/>
              </w:rPr>
            </w:pPr>
            <w:r>
              <w:rPr>
                <w:sz w:val="21"/>
                <w:szCs w:val="21"/>
              </w:rPr>
              <w:t>3</w:t>
            </w:r>
          </w:p>
        </w:tc>
        <w:tc>
          <w:tcPr>
            <w:tcW w:w="1240" w:type="pct"/>
            <w:vAlign w:val="center"/>
          </w:tcPr>
          <w:p w14:paraId="1D3E9A37">
            <w:pPr>
              <w:adjustRightInd/>
              <w:snapToGrid/>
              <w:spacing w:line="240" w:lineRule="auto"/>
              <w:ind w:firstLine="0" w:firstLineChars="0"/>
              <w:contextualSpacing/>
              <w:jc w:val="center"/>
              <w:rPr>
                <w:sz w:val="21"/>
                <w:szCs w:val="21"/>
              </w:rPr>
            </w:pPr>
            <w:r>
              <w:rPr>
                <w:sz w:val="21"/>
                <w:szCs w:val="21"/>
              </w:rPr>
              <w:t>三水厂地下水饮用水源保护区</w:t>
            </w:r>
          </w:p>
        </w:tc>
        <w:tc>
          <w:tcPr>
            <w:tcW w:w="3357" w:type="pct"/>
            <w:gridSpan w:val="2"/>
            <w:vAlign w:val="center"/>
          </w:tcPr>
          <w:p w14:paraId="1D3E9A38">
            <w:pPr>
              <w:adjustRightInd/>
              <w:snapToGrid/>
              <w:spacing w:line="240" w:lineRule="auto"/>
              <w:ind w:firstLine="0" w:firstLineChars="0"/>
              <w:contextualSpacing/>
              <w:jc w:val="center"/>
              <w:rPr>
                <w:sz w:val="21"/>
                <w:szCs w:val="21"/>
              </w:rPr>
            </w:pPr>
            <w:r>
              <w:rPr>
                <w:sz w:val="21"/>
                <w:szCs w:val="21"/>
              </w:rPr>
              <w:t>豫政文[2018]114号文将其取消</w:t>
            </w:r>
          </w:p>
        </w:tc>
      </w:tr>
      <w:tr w14:paraId="1D3E9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vAlign w:val="center"/>
          </w:tcPr>
          <w:p w14:paraId="1D3E9A3A">
            <w:pPr>
              <w:adjustRightInd/>
              <w:snapToGrid/>
              <w:spacing w:line="240" w:lineRule="auto"/>
              <w:ind w:firstLine="0" w:firstLineChars="0"/>
              <w:contextualSpacing/>
              <w:jc w:val="center"/>
              <w:rPr>
                <w:sz w:val="21"/>
                <w:szCs w:val="21"/>
              </w:rPr>
            </w:pPr>
            <w:r>
              <w:rPr>
                <w:sz w:val="21"/>
                <w:szCs w:val="21"/>
              </w:rPr>
              <w:t>4</w:t>
            </w:r>
          </w:p>
        </w:tc>
        <w:tc>
          <w:tcPr>
            <w:tcW w:w="1240" w:type="pct"/>
            <w:vAlign w:val="center"/>
          </w:tcPr>
          <w:p w14:paraId="1D3E9A3B">
            <w:pPr>
              <w:adjustRightInd/>
              <w:snapToGrid/>
              <w:spacing w:line="240" w:lineRule="auto"/>
              <w:ind w:firstLine="0" w:firstLineChars="0"/>
              <w:contextualSpacing/>
              <w:jc w:val="center"/>
              <w:rPr>
                <w:sz w:val="21"/>
                <w:szCs w:val="21"/>
              </w:rPr>
            </w:pPr>
            <w:r>
              <w:rPr>
                <w:sz w:val="21"/>
                <w:szCs w:val="21"/>
              </w:rPr>
              <w:t>四水厂地下水饮用水源保护区</w:t>
            </w:r>
          </w:p>
        </w:tc>
        <w:tc>
          <w:tcPr>
            <w:tcW w:w="3357" w:type="pct"/>
            <w:gridSpan w:val="2"/>
            <w:vAlign w:val="center"/>
          </w:tcPr>
          <w:p w14:paraId="1D3E9A3C">
            <w:pPr>
              <w:adjustRightInd/>
              <w:snapToGrid/>
              <w:spacing w:line="240" w:lineRule="auto"/>
              <w:ind w:firstLine="0" w:firstLineChars="0"/>
              <w:contextualSpacing/>
              <w:jc w:val="center"/>
              <w:rPr>
                <w:sz w:val="21"/>
                <w:szCs w:val="21"/>
              </w:rPr>
            </w:pPr>
            <w:r>
              <w:rPr>
                <w:sz w:val="21"/>
                <w:szCs w:val="21"/>
              </w:rPr>
              <w:t>豫政文[2021]72号文将其取消</w:t>
            </w:r>
          </w:p>
        </w:tc>
      </w:tr>
      <w:tr w14:paraId="1D3E9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vAlign w:val="center"/>
          </w:tcPr>
          <w:p w14:paraId="1D3E9A3E">
            <w:pPr>
              <w:adjustRightInd/>
              <w:snapToGrid/>
              <w:spacing w:line="240" w:lineRule="auto"/>
              <w:ind w:firstLine="0" w:firstLineChars="0"/>
              <w:contextualSpacing/>
              <w:jc w:val="center"/>
              <w:rPr>
                <w:sz w:val="21"/>
                <w:szCs w:val="21"/>
              </w:rPr>
            </w:pPr>
            <w:r>
              <w:rPr>
                <w:sz w:val="21"/>
                <w:szCs w:val="21"/>
              </w:rPr>
              <w:t>5</w:t>
            </w:r>
          </w:p>
        </w:tc>
        <w:tc>
          <w:tcPr>
            <w:tcW w:w="1240" w:type="pct"/>
            <w:vAlign w:val="center"/>
          </w:tcPr>
          <w:p w14:paraId="1D3E9A3F">
            <w:pPr>
              <w:adjustRightInd/>
              <w:snapToGrid/>
              <w:spacing w:line="240" w:lineRule="auto"/>
              <w:ind w:firstLine="0" w:firstLineChars="0"/>
              <w:contextualSpacing/>
              <w:jc w:val="center"/>
              <w:rPr>
                <w:sz w:val="21"/>
                <w:szCs w:val="21"/>
              </w:rPr>
            </w:pPr>
            <w:r>
              <w:rPr>
                <w:sz w:val="21"/>
                <w:szCs w:val="21"/>
              </w:rPr>
              <w:t>凤泉水厂地下水饮用水源保护区</w:t>
            </w:r>
          </w:p>
        </w:tc>
        <w:tc>
          <w:tcPr>
            <w:tcW w:w="1662" w:type="pct"/>
            <w:vAlign w:val="center"/>
          </w:tcPr>
          <w:p w14:paraId="1D3E9A40">
            <w:pPr>
              <w:adjustRightInd/>
              <w:snapToGrid/>
              <w:spacing w:line="240" w:lineRule="auto"/>
              <w:ind w:firstLine="0" w:firstLineChars="0"/>
              <w:contextualSpacing/>
              <w:jc w:val="center"/>
              <w:rPr>
                <w:sz w:val="21"/>
                <w:szCs w:val="21"/>
              </w:rPr>
            </w:pPr>
            <w:r>
              <w:rPr>
                <w:sz w:val="21"/>
                <w:szCs w:val="21"/>
              </w:rPr>
              <w:t>以水厂东、西两院的院墙为界向外10米以及输水管线两侧10米的区域。</w:t>
            </w:r>
          </w:p>
        </w:tc>
        <w:tc>
          <w:tcPr>
            <w:tcW w:w="1695" w:type="pct"/>
            <w:vAlign w:val="center"/>
          </w:tcPr>
          <w:p w14:paraId="1D3E9A41">
            <w:pPr>
              <w:adjustRightInd/>
              <w:snapToGrid/>
              <w:spacing w:line="240" w:lineRule="auto"/>
              <w:ind w:firstLine="0" w:firstLineChars="0"/>
              <w:contextualSpacing/>
              <w:jc w:val="center"/>
              <w:rPr>
                <w:sz w:val="21"/>
                <w:szCs w:val="21"/>
              </w:rPr>
            </w:pPr>
            <w:r>
              <w:rPr>
                <w:sz w:val="21"/>
                <w:szCs w:val="21"/>
              </w:rPr>
              <w:t>东以团结路为界，其他三面以水厂院墙为界，向外100米的区域。</w:t>
            </w:r>
          </w:p>
        </w:tc>
      </w:tr>
      <w:tr w14:paraId="1D3E9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vAlign w:val="center"/>
          </w:tcPr>
          <w:p w14:paraId="1D3E9A43">
            <w:pPr>
              <w:adjustRightInd/>
              <w:snapToGrid/>
              <w:spacing w:line="240" w:lineRule="auto"/>
              <w:ind w:firstLine="0" w:firstLineChars="0"/>
              <w:contextualSpacing/>
              <w:jc w:val="center"/>
              <w:rPr>
                <w:sz w:val="21"/>
                <w:szCs w:val="21"/>
              </w:rPr>
            </w:pPr>
            <w:r>
              <w:rPr>
                <w:sz w:val="21"/>
                <w:szCs w:val="21"/>
              </w:rPr>
              <w:t>6</w:t>
            </w:r>
          </w:p>
        </w:tc>
        <w:tc>
          <w:tcPr>
            <w:tcW w:w="1240" w:type="pct"/>
            <w:vAlign w:val="center"/>
          </w:tcPr>
          <w:p w14:paraId="1D3E9A44">
            <w:pPr>
              <w:adjustRightInd/>
              <w:snapToGrid/>
              <w:spacing w:line="240" w:lineRule="auto"/>
              <w:ind w:firstLine="0" w:firstLineChars="0"/>
              <w:contextualSpacing/>
              <w:jc w:val="center"/>
              <w:rPr>
                <w:sz w:val="21"/>
                <w:szCs w:val="21"/>
              </w:rPr>
            </w:pPr>
            <w:r>
              <w:rPr>
                <w:sz w:val="21"/>
                <w:szCs w:val="21"/>
              </w:rPr>
              <w:t>卫辉市塔岗水库地表水饮用水源保护区</w:t>
            </w:r>
          </w:p>
        </w:tc>
        <w:tc>
          <w:tcPr>
            <w:tcW w:w="1662" w:type="pct"/>
            <w:vAlign w:val="center"/>
          </w:tcPr>
          <w:p w14:paraId="1D3E9A45">
            <w:pPr>
              <w:adjustRightInd/>
              <w:snapToGrid/>
              <w:spacing w:line="240" w:lineRule="auto"/>
              <w:ind w:firstLine="0" w:firstLineChars="0"/>
              <w:contextualSpacing/>
              <w:jc w:val="center"/>
              <w:rPr>
                <w:sz w:val="21"/>
                <w:szCs w:val="21"/>
              </w:rPr>
            </w:pPr>
            <w:r>
              <w:rPr>
                <w:sz w:val="21"/>
                <w:szCs w:val="21"/>
              </w:rPr>
              <w:t>取水口外围300米的水域、正常水位线取水口一侧200米的陆域及输水管道两侧10米的陆域。</w:t>
            </w:r>
          </w:p>
        </w:tc>
        <w:tc>
          <w:tcPr>
            <w:tcW w:w="1695" w:type="pct"/>
            <w:vAlign w:val="center"/>
          </w:tcPr>
          <w:p w14:paraId="1D3E9A46">
            <w:pPr>
              <w:adjustRightInd/>
              <w:snapToGrid/>
              <w:spacing w:line="240" w:lineRule="auto"/>
              <w:ind w:firstLine="0" w:firstLineChars="0"/>
              <w:contextualSpacing/>
              <w:jc w:val="center"/>
              <w:rPr>
                <w:sz w:val="21"/>
                <w:szCs w:val="21"/>
              </w:rPr>
            </w:pPr>
            <w:r>
              <w:rPr>
                <w:sz w:val="21"/>
                <w:szCs w:val="21"/>
              </w:rPr>
              <w:t>一级保护区外的水域及山脊线内、入库河流上游3000米的陆域。</w:t>
            </w:r>
          </w:p>
        </w:tc>
      </w:tr>
      <w:tr w14:paraId="1D3E9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vAlign w:val="center"/>
          </w:tcPr>
          <w:p w14:paraId="1D3E9A48">
            <w:pPr>
              <w:adjustRightInd/>
              <w:snapToGrid/>
              <w:spacing w:line="240" w:lineRule="auto"/>
              <w:ind w:firstLine="0" w:firstLineChars="0"/>
              <w:contextualSpacing/>
              <w:jc w:val="center"/>
              <w:rPr>
                <w:sz w:val="21"/>
                <w:szCs w:val="21"/>
              </w:rPr>
            </w:pPr>
            <w:r>
              <w:rPr>
                <w:sz w:val="21"/>
                <w:szCs w:val="21"/>
              </w:rPr>
              <w:t>7</w:t>
            </w:r>
          </w:p>
        </w:tc>
        <w:tc>
          <w:tcPr>
            <w:tcW w:w="1240" w:type="pct"/>
            <w:vAlign w:val="center"/>
          </w:tcPr>
          <w:p w14:paraId="1D3E9A49">
            <w:pPr>
              <w:adjustRightInd/>
              <w:snapToGrid/>
              <w:spacing w:line="240" w:lineRule="auto"/>
              <w:ind w:firstLine="0" w:firstLineChars="0"/>
              <w:contextualSpacing/>
              <w:jc w:val="center"/>
              <w:rPr>
                <w:sz w:val="21"/>
                <w:szCs w:val="21"/>
              </w:rPr>
            </w:pPr>
            <w:r>
              <w:rPr>
                <w:sz w:val="21"/>
                <w:szCs w:val="21"/>
              </w:rPr>
              <w:t>辉县市段屯地下水饮用水源保护区</w:t>
            </w:r>
          </w:p>
        </w:tc>
        <w:tc>
          <w:tcPr>
            <w:tcW w:w="1662" w:type="pct"/>
            <w:vAlign w:val="center"/>
          </w:tcPr>
          <w:p w14:paraId="1D3E9A4A">
            <w:pPr>
              <w:adjustRightInd/>
              <w:snapToGrid/>
              <w:spacing w:line="240" w:lineRule="auto"/>
              <w:ind w:firstLine="0" w:firstLineChars="0"/>
              <w:contextualSpacing/>
              <w:jc w:val="center"/>
              <w:rPr>
                <w:sz w:val="21"/>
                <w:szCs w:val="21"/>
              </w:rPr>
            </w:pPr>
            <w:r>
              <w:rPr>
                <w:sz w:val="21"/>
                <w:szCs w:val="21"/>
              </w:rPr>
              <w:t>井群外围线以外30米的区域及输水管道两侧10米的陆域。</w:t>
            </w:r>
          </w:p>
        </w:tc>
        <w:tc>
          <w:tcPr>
            <w:tcW w:w="1695" w:type="pct"/>
            <w:vAlign w:val="center"/>
          </w:tcPr>
          <w:p w14:paraId="1D3E9A4B">
            <w:pPr>
              <w:adjustRightInd/>
              <w:snapToGrid/>
              <w:spacing w:line="240" w:lineRule="auto"/>
              <w:ind w:firstLine="0" w:firstLineChars="0"/>
              <w:contextualSpacing/>
              <w:jc w:val="center"/>
              <w:rPr>
                <w:sz w:val="21"/>
                <w:szCs w:val="21"/>
              </w:rPr>
            </w:pPr>
            <w:r>
              <w:rPr>
                <w:sz w:val="21"/>
                <w:szCs w:val="21"/>
              </w:rPr>
              <w:t>卫柿路以北，东外环路以东，井群外围线外300米以西和以南的区域。</w:t>
            </w:r>
          </w:p>
        </w:tc>
      </w:tr>
      <w:tr w14:paraId="1D3E9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 w:type="pct"/>
            <w:vAlign w:val="center"/>
          </w:tcPr>
          <w:p w14:paraId="1D3E9A4D">
            <w:pPr>
              <w:adjustRightInd/>
              <w:snapToGrid/>
              <w:spacing w:line="240" w:lineRule="auto"/>
              <w:ind w:firstLine="0" w:firstLineChars="0"/>
              <w:contextualSpacing/>
              <w:jc w:val="center"/>
              <w:rPr>
                <w:sz w:val="21"/>
                <w:szCs w:val="21"/>
              </w:rPr>
            </w:pPr>
            <w:r>
              <w:rPr>
                <w:sz w:val="21"/>
                <w:szCs w:val="21"/>
              </w:rPr>
              <w:t>8</w:t>
            </w:r>
          </w:p>
        </w:tc>
        <w:tc>
          <w:tcPr>
            <w:tcW w:w="1240" w:type="pct"/>
            <w:vAlign w:val="center"/>
          </w:tcPr>
          <w:p w14:paraId="1D3E9A4E">
            <w:pPr>
              <w:adjustRightInd/>
              <w:snapToGrid/>
              <w:spacing w:line="240" w:lineRule="auto"/>
              <w:ind w:firstLine="0" w:firstLineChars="0"/>
              <w:contextualSpacing/>
              <w:jc w:val="center"/>
              <w:rPr>
                <w:sz w:val="21"/>
                <w:szCs w:val="21"/>
              </w:rPr>
            </w:pPr>
            <w:r>
              <w:rPr>
                <w:sz w:val="21"/>
                <w:szCs w:val="21"/>
              </w:rPr>
              <w:t>七里营引黄水源地</w:t>
            </w:r>
          </w:p>
        </w:tc>
        <w:tc>
          <w:tcPr>
            <w:tcW w:w="1662" w:type="pct"/>
            <w:vAlign w:val="center"/>
          </w:tcPr>
          <w:p w14:paraId="1D3E9A4F">
            <w:pPr>
              <w:adjustRightInd/>
              <w:snapToGrid/>
              <w:spacing w:line="240" w:lineRule="auto"/>
              <w:ind w:firstLine="0" w:firstLineChars="0"/>
              <w:contextualSpacing/>
              <w:jc w:val="center"/>
              <w:rPr>
                <w:sz w:val="21"/>
                <w:szCs w:val="21"/>
              </w:rPr>
            </w:pPr>
            <w:r>
              <w:rPr>
                <w:sz w:val="21"/>
                <w:szCs w:val="21"/>
              </w:rPr>
              <w:t>人民胜利渠新乡市界至本源水厂东厂界的30m明渠水域及渠道两侧20m的工程管理陆域范围</w:t>
            </w:r>
          </w:p>
        </w:tc>
        <w:tc>
          <w:tcPr>
            <w:tcW w:w="1695" w:type="pct"/>
            <w:vAlign w:val="center"/>
          </w:tcPr>
          <w:p w14:paraId="1D3E9A50">
            <w:pPr>
              <w:adjustRightInd/>
              <w:snapToGrid/>
              <w:spacing w:line="240" w:lineRule="auto"/>
              <w:ind w:firstLine="0" w:firstLineChars="0"/>
              <w:contextualSpacing/>
              <w:jc w:val="center"/>
              <w:rPr>
                <w:sz w:val="21"/>
                <w:szCs w:val="21"/>
              </w:rPr>
            </w:pPr>
            <w:r>
              <w:rPr>
                <w:sz w:val="21"/>
                <w:szCs w:val="21"/>
              </w:rPr>
              <w:t>/</w:t>
            </w:r>
          </w:p>
        </w:tc>
      </w:tr>
    </w:tbl>
    <w:p w14:paraId="1D3E9A52">
      <w:pPr>
        <w:ind w:firstLine="480"/>
      </w:pPr>
      <w:r>
        <w:t>距本项目最近的保护区为凤泉水厂地下水饮用水源保护区，距离约为</w:t>
      </w:r>
      <w:r>
        <w:rPr>
          <w:rFonts w:hint="eastAsia"/>
        </w:rPr>
        <w:t>12.06</w:t>
      </w:r>
      <w:r>
        <w:t>km，不在其保护区范围内，具体相对位置如下图：</w:t>
      </w:r>
    </w:p>
    <w:p w14:paraId="1D3E9A53">
      <w:pPr>
        <w:spacing w:line="240" w:lineRule="auto"/>
        <w:ind w:firstLine="0" w:firstLineChars="0"/>
        <w:rPr>
          <w:highlight w:val="yellow"/>
        </w:rPr>
      </w:pPr>
      <w:r>
        <w:drawing>
          <wp:inline distT="0" distB="0" distL="0" distR="0">
            <wp:extent cx="5278120" cy="3954780"/>
            <wp:effectExtent l="0" t="0" r="17780" b="7620"/>
            <wp:docPr id="120025652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56527" name="图片 1" descr="地图&#10;&#10;描述已自动生成"/>
                    <pic:cNvPicPr>
                      <a:picLocks noChangeAspect="1"/>
                    </pic:cNvPicPr>
                  </pic:nvPicPr>
                  <pic:blipFill>
                    <a:blip r:embed="rId48"/>
                    <a:stretch>
                      <a:fillRect/>
                    </a:stretch>
                  </pic:blipFill>
                  <pic:spPr>
                    <a:xfrm>
                      <a:off x="0" y="0"/>
                      <a:ext cx="5278120" cy="3954780"/>
                    </a:xfrm>
                    <a:prstGeom prst="rect">
                      <a:avLst/>
                    </a:prstGeom>
                  </pic:spPr>
                </pic:pic>
              </a:graphicData>
            </a:graphic>
          </wp:inline>
        </w:drawing>
      </w:r>
    </w:p>
    <w:p w14:paraId="1D3E9A54">
      <w:pPr>
        <w:pStyle w:val="99"/>
        <w:numPr>
          <w:ilvl w:val="0"/>
          <w:numId w:val="11"/>
        </w:numPr>
        <w:adjustRightInd/>
        <w:snapToGrid/>
        <w:spacing w:line="240" w:lineRule="auto"/>
        <w:ind w:left="0" w:firstLine="0" w:firstLineChars="0"/>
        <w:jc w:val="center"/>
        <w:textAlignment w:val="auto"/>
        <w:rPr>
          <w:rFonts w:eastAsia="黑体"/>
          <w:kern w:val="2"/>
          <w:u w:val="single"/>
        </w:rPr>
      </w:pPr>
      <w:r>
        <w:rPr>
          <w:rFonts w:hint="eastAsia" w:eastAsia="黑体"/>
          <w:kern w:val="2"/>
        </w:rPr>
        <w:t xml:space="preserve"> </w:t>
      </w:r>
      <w:r>
        <w:rPr>
          <w:rFonts w:eastAsia="黑体"/>
          <w:kern w:val="2"/>
        </w:rPr>
        <w:t>本项目选址与新乡市集中式饮用水水源地相对位置图</w:t>
      </w:r>
    </w:p>
    <w:p w14:paraId="1D3E9A55">
      <w:pPr>
        <w:ind w:firstLine="480"/>
      </w:pPr>
      <w:r>
        <w:t>由上图可知：本项目不在凤泉水厂地下水饮用水源保护区范围内，不会对其产生影响。</w:t>
      </w:r>
    </w:p>
    <w:p w14:paraId="06992D80">
      <w:pPr>
        <w:pStyle w:val="6"/>
        <w:ind w:left="0"/>
      </w:pPr>
      <w:r>
        <w:rPr>
          <w:rFonts w:hint="eastAsia"/>
        </w:rPr>
        <w:t>河南省县级饮用水源保护区</w:t>
      </w:r>
    </w:p>
    <w:p w14:paraId="595CE12F">
      <w:pPr>
        <w:ind w:firstLine="480"/>
        <w:jc w:val="left"/>
      </w:pPr>
      <w:r>
        <w:t>根据《河南省人民政府办公厅关于印发河南省县级集中式饮用水水源保护区划的通知》（豫政办〔2013〕107号），</w:t>
      </w:r>
      <w:r>
        <w:rPr>
          <w:rFonts w:hint="eastAsia"/>
        </w:rPr>
        <w:t>项目所在区域内无县级</w:t>
      </w:r>
      <w:r>
        <w:t>集中式饮用水水源</w:t>
      </w:r>
      <w:r>
        <w:rPr>
          <w:rFonts w:hint="eastAsia"/>
        </w:rPr>
        <w:t>。</w:t>
      </w:r>
    </w:p>
    <w:p w14:paraId="0D1D5A33">
      <w:pPr>
        <w:pStyle w:val="6"/>
        <w:ind w:left="0"/>
      </w:pPr>
      <w:r>
        <w:t>河南省乡镇饮用水源保护规划</w:t>
      </w:r>
    </w:p>
    <w:p w14:paraId="7145C59C">
      <w:pPr>
        <w:ind w:firstLine="480"/>
      </w:pPr>
      <w:r>
        <w:rPr>
          <w:rFonts w:hint="eastAsia"/>
        </w:rPr>
        <w:t>根据《河南省人民政府办公厅关于印发河南省乡镇集中式饮用水水源保护区划的通知》（豫政办〔2016〕23号）和卫辉市集中式饮用水水源地保护区勘界报告（卫辉市环境保护局，2</w:t>
      </w:r>
      <w:r>
        <w:t>018</w:t>
      </w:r>
      <w:r>
        <w:rPr>
          <w:rFonts w:hint="eastAsia"/>
        </w:rPr>
        <w:t>年2月），距本项目最近的乡镇集中式饮用水源地保护区为卫辉市唐庄镇地下水井群饮用水源地，其一级保护区范围为：水厂厂区及外围190米的区域。</w:t>
      </w:r>
    </w:p>
    <w:p w14:paraId="6F75834A">
      <w:pPr>
        <w:ind w:firstLine="480"/>
        <w:rPr>
          <w:highlight w:val="yellow"/>
        </w:rPr>
      </w:pPr>
      <w:r>
        <w:rPr>
          <w:rFonts w:hint="eastAsia"/>
        </w:rPr>
        <w:t>根据调查，本项目距最近的乡镇集中式饮用水水源保护区为卫辉市唐庄镇地下水井，距离其一级保护区约为</w:t>
      </w:r>
      <w:r>
        <w:t>4.72</w:t>
      </w:r>
      <w:r>
        <w:rPr>
          <w:rFonts w:hint="eastAsia"/>
        </w:rPr>
        <w:t>km。本项目不在其保护区范围内，</w:t>
      </w:r>
      <w:r>
        <w:t>具体相对位置如下图：</w:t>
      </w:r>
    </w:p>
    <w:p w14:paraId="0A3A961D">
      <w:pPr>
        <w:pStyle w:val="2"/>
        <w:spacing w:after="0" w:line="360" w:lineRule="auto"/>
        <w:ind w:firstLine="0" w:firstLineChars="0"/>
        <w:jc w:val="center"/>
        <w:rPr>
          <w:highlight w:val="yellow"/>
        </w:rPr>
      </w:pPr>
      <w:r>
        <mc:AlternateContent>
          <mc:Choice Requires="wps">
            <w:drawing>
              <wp:anchor distT="0" distB="0" distL="114300" distR="114300" simplePos="0" relativeHeight="251663360" behindDoc="0" locked="0" layoutInCell="1" allowOverlap="1">
                <wp:simplePos x="0" y="0"/>
                <wp:positionH relativeFrom="column">
                  <wp:posOffset>939165</wp:posOffset>
                </wp:positionH>
                <wp:positionV relativeFrom="paragraph">
                  <wp:posOffset>1260475</wp:posOffset>
                </wp:positionV>
                <wp:extent cx="3604260" cy="259080"/>
                <wp:effectExtent l="0" t="0" r="15240" b="26670"/>
                <wp:wrapNone/>
                <wp:docPr id="3" name="直接连接符 3"/>
                <wp:cNvGraphicFramePr/>
                <a:graphic xmlns:a="http://schemas.openxmlformats.org/drawingml/2006/main">
                  <a:graphicData uri="http://schemas.microsoft.com/office/word/2010/wordprocessingShape">
                    <wps:wsp>
                      <wps:cNvCnPr/>
                      <wps:spPr>
                        <a:xfrm flipH="1" flipV="1">
                          <a:off x="0" y="0"/>
                          <a:ext cx="3604260" cy="259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73.95pt;margin-top:99.25pt;height:20.4pt;width:283.8pt;z-index:251663360;mso-width-relative:page;mso-height-relative:page;" filled="f" stroked="t" coordsize="21600,21600" o:gfxdata="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omvAdoAAAALAQAADwAAAAAAAAABACAAAAAi&#10;AAAAZHJzL2Rvd25yZXYueG1sUEsBAhQAFAAAAAgAh07iQIDZ/mEIAgAA7AMAAA4AAAAAAAAAAQAg&#10;AAAAKQEAAGRycy9lMm9Eb2MueG1sUEsFBgAAAAAGAAYAWQEAAKMFAAAAAA==&#10;">
                <v:fill on="f" focussize="0,0"/>
                <v:stroke color="#A1B28E [3204]" joinstyle="round"/>
                <v:imagedata o:title=""/>
                <o:lock v:ext="edit" aspectratio="f"/>
              </v:line>
            </w:pict>
          </mc:Fallback>
        </mc:AlternateContent>
      </w:r>
      <w:r>
        <w:t xml:space="preserve"> </w:t>
      </w:r>
      <w:r>
        <w:drawing>
          <wp:inline distT="0" distB="0" distL="0" distR="0">
            <wp:extent cx="5278120" cy="3604260"/>
            <wp:effectExtent l="0" t="0" r="17780" b="15240"/>
            <wp:docPr id="1613571562"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71562" name="图片 1" descr="建筑与房屋的城市空拍图&#10;&#10;描述已自动生成"/>
                    <pic:cNvPicPr>
                      <a:picLocks noChangeAspect="1"/>
                    </pic:cNvPicPr>
                  </pic:nvPicPr>
                  <pic:blipFill>
                    <a:blip r:embed="rId49"/>
                    <a:stretch>
                      <a:fillRect/>
                    </a:stretch>
                  </pic:blipFill>
                  <pic:spPr>
                    <a:xfrm>
                      <a:off x="0" y="0"/>
                      <a:ext cx="5278120" cy="3604260"/>
                    </a:xfrm>
                    <a:prstGeom prst="rect">
                      <a:avLst/>
                    </a:prstGeom>
                  </pic:spPr>
                </pic:pic>
              </a:graphicData>
            </a:graphic>
          </wp:inline>
        </w:drawing>
      </w:r>
    </w:p>
    <w:p w14:paraId="049D7D21">
      <w:pPr>
        <w:pStyle w:val="99"/>
        <w:numPr>
          <w:ilvl w:val="0"/>
          <w:numId w:val="11"/>
        </w:numPr>
        <w:adjustRightInd/>
        <w:snapToGrid/>
        <w:spacing w:line="240" w:lineRule="auto"/>
        <w:ind w:left="0" w:firstLine="0" w:firstLineChars="0"/>
        <w:jc w:val="center"/>
        <w:textAlignment w:val="auto"/>
      </w:pPr>
      <w:r>
        <w:rPr>
          <w:rFonts w:eastAsia="黑体"/>
          <w:kern w:val="2"/>
        </w:rPr>
        <w:t xml:space="preserve"> 项目选址与乡镇集中式饮用水水源保护区相对位置图</w:t>
      </w:r>
    </w:p>
    <w:p w14:paraId="7481D49A">
      <w:pPr>
        <w:pStyle w:val="6"/>
        <w:ind w:left="0"/>
      </w:pPr>
      <w:r>
        <w:rPr>
          <w:rFonts w:hint="eastAsia"/>
        </w:rPr>
        <w:t>南水北调工程水源地保护区</w:t>
      </w:r>
    </w:p>
    <w:p w14:paraId="26C8F7F9">
      <w:pPr>
        <w:ind w:firstLine="480"/>
        <w:jc w:val="left"/>
      </w:pPr>
      <w:r>
        <w:t>经调查，距离本项目最近的南水北调中线工程位于</w:t>
      </w:r>
      <w:r>
        <w:rPr>
          <w:bCs/>
        </w:rPr>
        <w:t>项目选址西北方向的</w:t>
      </w:r>
      <w:r>
        <w:rPr>
          <w:rFonts w:hint="eastAsia"/>
          <w:bCs/>
        </w:rPr>
        <w:t>卫辉市</w:t>
      </w:r>
      <w:r>
        <w:rPr>
          <w:bCs/>
        </w:rPr>
        <w:t>唐庄镇</w:t>
      </w:r>
      <w:r>
        <w:rPr>
          <w:rFonts w:hint="eastAsia"/>
          <w:bCs/>
        </w:rPr>
        <w:t>大</w:t>
      </w:r>
      <w:r>
        <w:rPr>
          <w:bCs/>
        </w:rPr>
        <w:t>司马村</w:t>
      </w:r>
      <w:r>
        <w:rPr>
          <w:rFonts w:hint="eastAsia"/>
          <w:bCs/>
        </w:rPr>
        <w:t>东</w:t>
      </w:r>
      <w:r>
        <w:rPr>
          <w:bCs/>
        </w:rPr>
        <w:t>，其分水口位于</w:t>
      </w:r>
      <w:r>
        <w:rPr>
          <w:rFonts w:hint="eastAsia"/>
          <w:bCs/>
        </w:rPr>
        <w:t>卫吴线与南水北调渠交叉口东北</w:t>
      </w:r>
      <w:r>
        <w:rPr>
          <w:bCs/>
        </w:rPr>
        <w:t>。根据《南水北调中线一期工程总干渠（河南段）两侧饮用水水源保护区划》省南水北调办、省环保厅、省水利厅、省国土资源厅（2018年6月）</w:t>
      </w:r>
      <w:r>
        <w:t>，总干渠明渠段中地下水水位低于总干渠渠底的渠段</w:t>
      </w:r>
      <w:r>
        <w:rPr>
          <w:rFonts w:hint="eastAsia"/>
        </w:rPr>
        <w:t>：</w:t>
      </w:r>
      <w:r>
        <w:t>一级保护区范围自总干渠管理范围边线（防护栏网）外延50米；二级保护区范围自一级保护区边线外延150米。</w:t>
      </w:r>
      <w:r>
        <w:rPr>
          <w:rFonts w:hint="eastAsia"/>
        </w:rPr>
        <w:t>具体相对位置如下图：</w:t>
      </w:r>
    </w:p>
    <w:p w14:paraId="22614545">
      <w:pPr>
        <w:pStyle w:val="2"/>
        <w:spacing w:after="0" w:line="360" w:lineRule="auto"/>
        <w:ind w:firstLine="0" w:firstLineChars="0"/>
        <w:rPr>
          <w:highlight w:val="yellow"/>
        </w:rPr>
      </w:pPr>
      <w:r>
        <w:t xml:space="preserve"> </w:t>
      </w:r>
      <w:r>
        <w:drawing>
          <wp:inline distT="0" distB="0" distL="0" distR="0">
            <wp:extent cx="5278120" cy="4598670"/>
            <wp:effectExtent l="0" t="0" r="17780" b="11430"/>
            <wp:docPr id="89880922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09222" name="图片 1" descr="地图&#10;&#10;描述已自动生成"/>
                    <pic:cNvPicPr>
                      <a:picLocks noChangeAspect="1"/>
                    </pic:cNvPicPr>
                  </pic:nvPicPr>
                  <pic:blipFill>
                    <a:blip r:embed="rId50"/>
                    <a:stretch>
                      <a:fillRect/>
                    </a:stretch>
                  </pic:blipFill>
                  <pic:spPr>
                    <a:xfrm>
                      <a:off x="0" y="0"/>
                      <a:ext cx="5278120" cy="4598670"/>
                    </a:xfrm>
                    <a:prstGeom prst="rect">
                      <a:avLst/>
                    </a:prstGeom>
                  </pic:spPr>
                </pic:pic>
              </a:graphicData>
            </a:graphic>
          </wp:inline>
        </w:drawing>
      </w:r>
    </w:p>
    <w:p w14:paraId="06DDDB8F">
      <w:pPr>
        <w:pStyle w:val="99"/>
        <w:numPr>
          <w:ilvl w:val="0"/>
          <w:numId w:val="11"/>
        </w:numPr>
        <w:adjustRightInd/>
        <w:snapToGrid/>
        <w:spacing w:line="240" w:lineRule="auto"/>
        <w:ind w:left="0" w:firstLine="0" w:firstLineChars="0"/>
        <w:jc w:val="center"/>
        <w:textAlignment w:val="auto"/>
        <w:rPr>
          <w:rFonts w:eastAsia="黑体"/>
        </w:rPr>
      </w:pPr>
      <w:r>
        <w:rPr>
          <w:rFonts w:hint="eastAsia" w:eastAsia="黑体"/>
        </w:rPr>
        <w:t xml:space="preserve">  本项目选址与南水北调总干渠相对位置图</w:t>
      </w:r>
    </w:p>
    <w:p w14:paraId="10657FEA">
      <w:pPr>
        <w:pStyle w:val="2"/>
        <w:ind w:firstLine="480"/>
      </w:pPr>
      <w:r>
        <w:t>本项目距南水北调中线工程最近距离为</w:t>
      </w:r>
      <w:r>
        <w:rPr>
          <w:rFonts w:hint="eastAsia"/>
        </w:rPr>
        <w:t>4.45</w:t>
      </w:r>
      <w:r>
        <w:t>km，不会对其产生不利影响</w:t>
      </w:r>
      <w:r>
        <w:rPr>
          <w:rFonts w:hint="eastAsia"/>
        </w:rPr>
        <w:t>。</w:t>
      </w:r>
    </w:p>
    <w:p w14:paraId="1D3E9A5B">
      <w:pPr>
        <w:pStyle w:val="4"/>
      </w:pPr>
      <w:bookmarkStart w:id="151" w:name="_Toc117093611"/>
      <w:bookmarkStart w:id="152" w:name="_Toc122420167"/>
      <w:bookmarkStart w:id="153" w:name="_Toc176105856"/>
      <w:bookmarkStart w:id="154" w:name="_Toc122532775"/>
      <w:r>
        <w:t>政策相符性分析</w:t>
      </w:r>
      <w:bookmarkEnd w:id="151"/>
      <w:bookmarkEnd w:id="152"/>
      <w:bookmarkEnd w:id="153"/>
      <w:bookmarkEnd w:id="154"/>
    </w:p>
    <w:p w14:paraId="1D3E9A5C">
      <w:pPr>
        <w:pStyle w:val="5"/>
        <w:spacing w:before="240" w:after="240"/>
      </w:pPr>
      <w:r>
        <w:t>产业政策相符性分析</w:t>
      </w:r>
      <w:r>
        <w:tab/>
      </w:r>
    </w:p>
    <w:p w14:paraId="1D3E9A79">
      <w:pPr>
        <w:ind w:firstLine="480"/>
        <w:rPr>
          <w:highlight w:val="yellow"/>
        </w:rPr>
      </w:pPr>
      <w:r>
        <w:rPr>
          <w:rFonts w:hint="eastAsia"/>
          <w:bCs/>
        </w:rPr>
        <w:t>年产10000吨聚醚改性硅油、1000吨色浆项目不属于</w:t>
      </w:r>
      <w:r>
        <w:t>《产业结构调整指导目录（2024年本）》</w:t>
      </w:r>
      <w:r>
        <w:rPr>
          <w:rFonts w:hint="eastAsia"/>
        </w:rPr>
        <w:t>中的“鼓励类”、“限制类”和“淘汰类”项目，</w:t>
      </w:r>
      <w:r>
        <w:t>属于允许类，符合国家产业政策。本项目已在</w:t>
      </w:r>
      <w:r>
        <w:rPr>
          <w:rFonts w:hint="eastAsia"/>
        </w:rPr>
        <w:t>卫辉市</w:t>
      </w:r>
      <w:r>
        <w:t>发展和改革委员会</w:t>
      </w:r>
      <w:r>
        <w:rPr>
          <w:rFonts w:hint="eastAsia"/>
        </w:rPr>
        <w:t>备案，项目代码：2406-410781-04-05-341608。</w:t>
      </w:r>
    </w:p>
    <w:p w14:paraId="1D3E9A7A">
      <w:pPr>
        <w:pStyle w:val="5"/>
        <w:spacing w:before="240" w:after="240"/>
      </w:pPr>
      <w:r>
        <w:t>备案相符性分析</w:t>
      </w:r>
    </w:p>
    <w:p w14:paraId="1D3E9A7B">
      <w:pPr>
        <w:ind w:firstLine="480"/>
        <w:rPr>
          <w:szCs w:val="24"/>
        </w:rPr>
      </w:pPr>
      <w:r>
        <w:rPr>
          <w:szCs w:val="24"/>
        </w:rPr>
        <w:t>本项目与备案内容相符性分析详见下表。</w:t>
      </w:r>
    </w:p>
    <w:p w14:paraId="702515A6">
      <w:pPr>
        <w:pStyle w:val="2"/>
        <w:ind w:firstLine="480"/>
      </w:pPr>
    </w:p>
    <w:p w14:paraId="1D3E9A7C">
      <w:pPr>
        <w:numPr>
          <w:ilvl w:val="0"/>
          <w:numId w:val="12"/>
        </w:numPr>
        <w:adjustRightInd/>
        <w:snapToGrid/>
        <w:ind w:firstLineChars="0"/>
        <w:textAlignment w:val="auto"/>
        <w:rPr>
          <w:rFonts w:eastAsia="黑体"/>
        </w:rPr>
      </w:pPr>
      <w:r>
        <w:rPr>
          <w:rFonts w:eastAsia="黑体"/>
        </w:rPr>
        <w:t xml:space="preserve">              本项目与备案相符性分析表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992"/>
        <w:gridCol w:w="3290"/>
        <w:gridCol w:w="3290"/>
        <w:gridCol w:w="796"/>
      </w:tblGrid>
      <w:tr w14:paraId="1D3E9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3" w:type="pct"/>
            <w:vAlign w:val="center"/>
          </w:tcPr>
          <w:p w14:paraId="1D3E9A7D">
            <w:pPr>
              <w:pStyle w:val="67"/>
              <w:rPr>
                <w:rFonts w:cs="Times New Roman"/>
                <w:color w:val="auto"/>
              </w:rPr>
            </w:pPr>
            <w:r>
              <w:rPr>
                <w:rFonts w:cs="Times New Roman"/>
                <w:color w:val="auto"/>
              </w:rPr>
              <w:t>类别</w:t>
            </w:r>
          </w:p>
        </w:tc>
        <w:tc>
          <w:tcPr>
            <w:tcW w:w="1966" w:type="pct"/>
            <w:vAlign w:val="center"/>
          </w:tcPr>
          <w:p w14:paraId="1D3E9A7E">
            <w:pPr>
              <w:pStyle w:val="67"/>
              <w:rPr>
                <w:rFonts w:cs="Times New Roman"/>
                <w:color w:val="auto"/>
              </w:rPr>
            </w:pPr>
            <w:r>
              <w:rPr>
                <w:rFonts w:cs="Times New Roman"/>
                <w:color w:val="auto"/>
              </w:rPr>
              <w:t>项目备案</w:t>
            </w:r>
          </w:p>
        </w:tc>
        <w:tc>
          <w:tcPr>
            <w:tcW w:w="1966" w:type="pct"/>
            <w:vAlign w:val="center"/>
          </w:tcPr>
          <w:p w14:paraId="1D3E9A7F">
            <w:pPr>
              <w:pStyle w:val="67"/>
              <w:rPr>
                <w:rFonts w:cs="Times New Roman"/>
                <w:color w:val="auto"/>
              </w:rPr>
            </w:pPr>
            <w:r>
              <w:rPr>
                <w:rFonts w:cs="Times New Roman"/>
                <w:color w:val="auto"/>
              </w:rPr>
              <w:t>项目情况</w:t>
            </w:r>
          </w:p>
        </w:tc>
        <w:tc>
          <w:tcPr>
            <w:tcW w:w="475" w:type="pct"/>
            <w:vAlign w:val="center"/>
          </w:tcPr>
          <w:p w14:paraId="1D3E9A80">
            <w:pPr>
              <w:pStyle w:val="67"/>
              <w:rPr>
                <w:rFonts w:cs="Times New Roman"/>
                <w:color w:val="auto"/>
              </w:rPr>
            </w:pPr>
            <w:r>
              <w:rPr>
                <w:rFonts w:cs="Times New Roman"/>
                <w:color w:val="auto"/>
              </w:rPr>
              <w:t>相符性</w:t>
            </w:r>
          </w:p>
        </w:tc>
      </w:tr>
      <w:tr w14:paraId="1D3E9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3" w:type="pct"/>
            <w:vAlign w:val="center"/>
          </w:tcPr>
          <w:p w14:paraId="1D3E9A82">
            <w:pPr>
              <w:pStyle w:val="62"/>
            </w:pPr>
            <w:r>
              <w:t>项目名称</w:t>
            </w:r>
          </w:p>
        </w:tc>
        <w:tc>
          <w:tcPr>
            <w:tcW w:w="1966" w:type="pct"/>
            <w:vAlign w:val="center"/>
          </w:tcPr>
          <w:p w14:paraId="1D3E9A83">
            <w:pPr>
              <w:pStyle w:val="62"/>
            </w:pPr>
            <w:r>
              <w:rPr>
                <w:rFonts w:hint="eastAsia"/>
              </w:rPr>
              <w:t>年产10000吨聚醚改性硅油、1000吨色浆项目</w:t>
            </w:r>
          </w:p>
        </w:tc>
        <w:tc>
          <w:tcPr>
            <w:tcW w:w="1966" w:type="pct"/>
            <w:vAlign w:val="center"/>
          </w:tcPr>
          <w:p w14:paraId="1D3E9A84">
            <w:pPr>
              <w:pStyle w:val="62"/>
            </w:pPr>
            <w:r>
              <w:rPr>
                <w:rFonts w:hint="eastAsia"/>
              </w:rPr>
              <w:t>年产10000吨聚醚改性硅油、1000吨色浆项目</w:t>
            </w:r>
          </w:p>
        </w:tc>
        <w:tc>
          <w:tcPr>
            <w:tcW w:w="475" w:type="pct"/>
            <w:vAlign w:val="center"/>
          </w:tcPr>
          <w:p w14:paraId="1D3E9A85">
            <w:pPr>
              <w:pStyle w:val="62"/>
            </w:pPr>
            <w:r>
              <w:t>相符</w:t>
            </w:r>
          </w:p>
        </w:tc>
      </w:tr>
      <w:tr w14:paraId="1D3E9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3" w:type="pct"/>
            <w:vAlign w:val="center"/>
          </w:tcPr>
          <w:p w14:paraId="1D3E9A87">
            <w:pPr>
              <w:pStyle w:val="62"/>
            </w:pPr>
            <w:r>
              <w:t>企业名称</w:t>
            </w:r>
          </w:p>
        </w:tc>
        <w:tc>
          <w:tcPr>
            <w:tcW w:w="1966" w:type="pct"/>
            <w:vAlign w:val="center"/>
          </w:tcPr>
          <w:p w14:paraId="1D3E9A88">
            <w:pPr>
              <w:pStyle w:val="62"/>
            </w:pPr>
            <w:r>
              <w:rPr>
                <w:rFonts w:hint="eastAsia"/>
              </w:rPr>
              <w:t>河南欣姣芬化工有限公司</w:t>
            </w:r>
          </w:p>
        </w:tc>
        <w:tc>
          <w:tcPr>
            <w:tcW w:w="1966" w:type="pct"/>
            <w:vAlign w:val="center"/>
          </w:tcPr>
          <w:p w14:paraId="1D3E9A89">
            <w:pPr>
              <w:pStyle w:val="62"/>
            </w:pPr>
            <w:r>
              <w:rPr>
                <w:rFonts w:hint="eastAsia"/>
              </w:rPr>
              <w:t>河南欣姣芬化工有限公司</w:t>
            </w:r>
          </w:p>
        </w:tc>
        <w:tc>
          <w:tcPr>
            <w:tcW w:w="475" w:type="pct"/>
            <w:vAlign w:val="center"/>
          </w:tcPr>
          <w:p w14:paraId="1D3E9A8A">
            <w:pPr>
              <w:pStyle w:val="62"/>
            </w:pPr>
            <w:r>
              <w:t>相符</w:t>
            </w:r>
          </w:p>
        </w:tc>
      </w:tr>
      <w:tr w14:paraId="1D3E9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3" w:type="pct"/>
            <w:vAlign w:val="center"/>
          </w:tcPr>
          <w:p w14:paraId="1D3E9A8C">
            <w:pPr>
              <w:pStyle w:val="62"/>
            </w:pPr>
            <w:r>
              <w:t>建设地点</w:t>
            </w:r>
          </w:p>
        </w:tc>
        <w:tc>
          <w:tcPr>
            <w:tcW w:w="1966" w:type="pct"/>
            <w:vAlign w:val="center"/>
          </w:tcPr>
          <w:p w14:paraId="1D3E9A8D">
            <w:pPr>
              <w:pStyle w:val="62"/>
              <w:rPr>
                <w:highlight w:val="yellow"/>
              </w:rPr>
            </w:pPr>
            <w:r>
              <w:rPr>
                <w:rFonts w:hint="eastAsia"/>
              </w:rPr>
              <w:t>新乡市卫辉市唐庄镇代庄村99号卫辉市铁西（化工）园区内</w:t>
            </w:r>
          </w:p>
        </w:tc>
        <w:tc>
          <w:tcPr>
            <w:tcW w:w="1966" w:type="pct"/>
            <w:vAlign w:val="center"/>
          </w:tcPr>
          <w:p w14:paraId="1D3E9A8E">
            <w:pPr>
              <w:pStyle w:val="62"/>
              <w:rPr>
                <w:b/>
                <w:bCs/>
                <w:highlight w:val="yellow"/>
                <w:u w:val="single"/>
              </w:rPr>
            </w:pPr>
            <w:r>
              <w:rPr>
                <w:rFonts w:hint="eastAsia"/>
              </w:rPr>
              <w:t>新乡市卫辉市唐庄镇代庄村99号卫辉市铁西（化工）园区内</w:t>
            </w:r>
          </w:p>
        </w:tc>
        <w:tc>
          <w:tcPr>
            <w:tcW w:w="475" w:type="pct"/>
            <w:vAlign w:val="center"/>
          </w:tcPr>
          <w:p w14:paraId="1D3E9A8F">
            <w:pPr>
              <w:pStyle w:val="62"/>
              <w:rPr>
                <w:highlight w:val="yellow"/>
              </w:rPr>
            </w:pPr>
            <w:r>
              <w:t>相符</w:t>
            </w:r>
          </w:p>
        </w:tc>
      </w:tr>
      <w:tr w14:paraId="1D3E9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3" w:type="pct"/>
            <w:vAlign w:val="center"/>
          </w:tcPr>
          <w:p w14:paraId="1D3E9A91">
            <w:pPr>
              <w:pStyle w:val="62"/>
            </w:pPr>
            <w:r>
              <w:t>建设性质</w:t>
            </w:r>
          </w:p>
        </w:tc>
        <w:tc>
          <w:tcPr>
            <w:tcW w:w="1966" w:type="pct"/>
            <w:vAlign w:val="center"/>
          </w:tcPr>
          <w:p w14:paraId="1D3E9A92">
            <w:pPr>
              <w:pStyle w:val="62"/>
            </w:pPr>
            <w:r>
              <w:rPr>
                <w:rFonts w:hint="eastAsia"/>
              </w:rPr>
              <w:t>新建</w:t>
            </w:r>
          </w:p>
        </w:tc>
        <w:tc>
          <w:tcPr>
            <w:tcW w:w="1966" w:type="pct"/>
            <w:vAlign w:val="center"/>
          </w:tcPr>
          <w:p w14:paraId="1D3E9A93">
            <w:pPr>
              <w:pStyle w:val="62"/>
            </w:pPr>
            <w:r>
              <w:rPr>
                <w:rFonts w:hint="eastAsia"/>
              </w:rPr>
              <w:t>新建</w:t>
            </w:r>
          </w:p>
        </w:tc>
        <w:tc>
          <w:tcPr>
            <w:tcW w:w="475" w:type="pct"/>
            <w:vAlign w:val="center"/>
          </w:tcPr>
          <w:p w14:paraId="1D3E9A94">
            <w:pPr>
              <w:pStyle w:val="62"/>
            </w:pPr>
            <w:r>
              <w:t>相符</w:t>
            </w:r>
          </w:p>
        </w:tc>
      </w:tr>
      <w:tr w14:paraId="1D3E9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3" w:type="pct"/>
            <w:vAlign w:val="center"/>
          </w:tcPr>
          <w:p w14:paraId="1D3E9A96">
            <w:pPr>
              <w:pStyle w:val="62"/>
            </w:pPr>
            <w:r>
              <w:t>建设规模及内容</w:t>
            </w:r>
          </w:p>
        </w:tc>
        <w:tc>
          <w:tcPr>
            <w:tcW w:w="1966" w:type="pct"/>
            <w:vAlign w:val="center"/>
          </w:tcPr>
          <w:p w14:paraId="1D3E9A97">
            <w:pPr>
              <w:pStyle w:val="62"/>
              <w:rPr>
                <w:highlight w:val="yellow"/>
              </w:rPr>
            </w:pPr>
            <w:r>
              <w:rPr>
                <w:rFonts w:hint="eastAsia"/>
              </w:rPr>
              <w:t>年产10000吨聚醚改性硅油、1000吨色浆</w:t>
            </w:r>
          </w:p>
        </w:tc>
        <w:tc>
          <w:tcPr>
            <w:tcW w:w="1966" w:type="pct"/>
            <w:vAlign w:val="center"/>
          </w:tcPr>
          <w:p w14:paraId="1D3E9A98">
            <w:pPr>
              <w:pStyle w:val="62"/>
              <w:rPr>
                <w:highlight w:val="yellow"/>
              </w:rPr>
            </w:pPr>
            <w:r>
              <w:rPr>
                <w:rFonts w:hint="eastAsia"/>
              </w:rPr>
              <w:t>年产10000吨聚醚改性硅油、1000吨色浆</w:t>
            </w:r>
          </w:p>
        </w:tc>
        <w:tc>
          <w:tcPr>
            <w:tcW w:w="475" w:type="pct"/>
            <w:vAlign w:val="center"/>
          </w:tcPr>
          <w:p w14:paraId="1D3E9A99">
            <w:pPr>
              <w:pStyle w:val="62"/>
              <w:rPr>
                <w:highlight w:val="yellow"/>
              </w:rPr>
            </w:pPr>
            <w:r>
              <w:t>相符</w:t>
            </w:r>
          </w:p>
        </w:tc>
      </w:tr>
      <w:tr w14:paraId="2F208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3" w:type="pct"/>
            <w:vAlign w:val="center"/>
          </w:tcPr>
          <w:p w14:paraId="5AFC6734">
            <w:pPr>
              <w:pStyle w:val="62"/>
            </w:pPr>
            <w:r>
              <w:rPr>
                <w:rFonts w:hint="eastAsia"/>
              </w:rPr>
              <w:t>主要生产设备</w:t>
            </w:r>
          </w:p>
        </w:tc>
        <w:tc>
          <w:tcPr>
            <w:tcW w:w="1966" w:type="pct"/>
            <w:vAlign w:val="center"/>
          </w:tcPr>
          <w:p w14:paraId="201026A9">
            <w:pPr>
              <w:pStyle w:val="62"/>
            </w:pPr>
            <w:r>
              <w:rPr>
                <w:rFonts w:hint="eastAsia"/>
              </w:rPr>
              <w:t>搪瓷反应釜、压滤机、离心机、真空上料机、搅拌罐、自动灌装机、砂磨机等</w:t>
            </w:r>
          </w:p>
        </w:tc>
        <w:tc>
          <w:tcPr>
            <w:tcW w:w="1966" w:type="pct"/>
            <w:vAlign w:val="center"/>
          </w:tcPr>
          <w:p w14:paraId="26A7E309">
            <w:pPr>
              <w:pStyle w:val="62"/>
            </w:pPr>
            <w:r>
              <w:rPr>
                <w:rFonts w:hint="eastAsia"/>
              </w:rPr>
              <w:t>搪瓷反应釜、压滤机、离心机、真空上料机、搅拌罐、自动灌装机、砂磨机等</w:t>
            </w:r>
          </w:p>
        </w:tc>
        <w:tc>
          <w:tcPr>
            <w:tcW w:w="475" w:type="pct"/>
            <w:vAlign w:val="center"/>
          </w:tcPr>
          <w:p w14:paraId="11BD883E">
            <w:pPr>
              <w:pStyle w:val="62"/>
            </w:pPr>
            <w:r>
              <w:t>相符</w:t>
            </w:r>
          </w:p>
        </w:tc>
      </w:tr>
      <w:tr w14:paraId="1D3E9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3" w:type="pct"/>
            <w:vAlign w:val="center"/>
          </w:tcPr>
          <w:p w14:paraId="1D3E9A9B">
            <w:pPr>
              <w:pStyle w:val="62"/>
            </w:pPr>
            <w:r>
              <w:t>主要</w:t>
            </w:r>
            <w:r>
              <w:rPr>
                <w:rFonts w:hint="eastAsia"/>
              </w:rPr>
              <w:t>生产工艺</w:t>
            </w:r>
          </w:p>
        </w:tc>
        <w:tc>
          <w:tcPr>
            <w:tcW w:w="1966" w:type="pct"/>
            <w:vAlign w:val="center"/>
          </w:tcPr>
          <w:p w14:paraId="42D51C79">
            <w:pPr>
              <w:pStyle w:val="62"/>
            </w:pPr>
            <w:r>
              <w:rPr>
                <w:rFonts w:hint="eastAsia"/>
              </w:rPr>
              <w:t>聚醚改性硅油：聚合（D4、硫酸、高含氢硅油）-中和（小苏打（碳酸氢钠、椰壳活性炭））-过滤/离心-硅氢化反应（封端聚醚、氯铂酸、二丙二醇、氮气）-脱色（双氧水）-混合-包装-产品；</w:t>
            </w:r>
          </w:p>
          <w:p w14:paraId="1D3E9A9C">
            <w:pPr>
              <w:pStyle w:val="62"/>
              <w:rPr>
                <w:highlight w:val="yellow"/>
              </w:rPr>
            </w:pPr>
            <w:r>
              <w:rPr>
                <w:rFonts w:hint="eastAsia"/>
              </w:rPr>
              <w:t>色浆：色粉、三羟基聚氧化丙烯氧化乙烯醚投料-研磨-搅拌-包装-产品。</w:t>
            </w:r>
          </w:p>
        </w:tc>
        <w:tc>
          <w:tcPr>
            <w:tcW w:w="1966" w:type="pct"/>
            <w:vAlign w:val="center"/>
          </w:tcPr>
          <w:p w14:paraId="1C003A95">
            <w:pPr>
              <w:pStyle w:val="62"/>
            </w:pPr>
            <w:r>
              <w:rPr>
                <w:rFonts w:hint="eastAsia"/>
              </w:rPr>
              <w:t>聚醚改性硅油：聚合（D4、硫酸、高含氢硅油）-中和（小苏打（碳酸氢钠、椰壳活性炭））-过滤/离心-硅氢化反应（封端聚醚、氯铂酸、二丙二醇、氮气）-脱色（双氧水）-混合-包装-产品；</w:t>
            </w:r>
          </w:p>
          <w:p w14:paraId="1D3E9A9D">
            <w:pPr>
              <w:pStyle w:val="62"/>
            </w:pPr>
            <w:r>
              <w:rPr>
                <w:rFonts w:hint="eastAsia"/>
              </w:rPr>
              <w:t>色浆：色粉、三羟基聚氧化丙烯氧化乙烯醚投料-研磨-搅拌-包装-产品。</w:t>
            </w:r>
          </w:p>
        </w:tc>
        <w:tc>
          <w:tcPr>
            <w:tcW w:w="475" w:type="pct"/>
            <w:vAlign w:val="center"/>
          </w:tcPr>
          <w:p w14:paraId="1D3E9A9E">
            <w:pPr>
              <w:pStyle w:val="62"/>
              <w:rPr>
                <w:highlight w:val="yellow"/>
              </w:rPr>
            </w:pPr>
            <w:r>
              <w:rPr>
                <w:rFonts w:hint="eastAsia"/>
              </w:rPr>
              <w:t>相符</w:t>
            </w:r>
          </w:p>
        </w:tc>
      </w:tr>
    </w:tbl>
    <w:p w14:paraId="1D3E9AA0">
      <w:pPr>
        <w:ind w:firstLine="480"/>
        <w:rPr>
          <w:szCs w:val="24"/>
        </w:rPr>
      </w:pPr>
      <w:r>
        <w:rPr>
          <w:szCs w:val="24"/>
        </w:rPr>
        <w:t>由上表可知，本项目建设与备案情况</w:t>
      </w:r>
      <w:r>
        <w:rPr>
          <w:rFonts w:hint="eastAsia"/>
          <w:szCs w:val="24"/>
        </w:rPr>
        <w:t>基本</w:t>
      </w:r>
      <w:r>
        <w:rPr>
          <w:szCs w:val="24"/>
        </w:rPr>
        <w:t>一致。</w:t>
      </w:r>
    </w:p>
    <w:p w14:paraId="1D3E9AA1">
      <w:pPr>
        <w:pStyle w:val="5"/>
        <w:spacing w:before="240" w:after="240"/>
      </w:pPr>
      <w:r>
        <w:t>区域“三线一单”相符性分析</w:t>
      </w:r>
    </w:p>
    <w:p w14:paraId="1D3E9AA2">
      <w:pPr>
        <w:pStyle w:val="6"/>
        <w:ind w:left="0"/>
        <w:rPr>
          <w:snapToGrid w:val="0"/>
        </w:rPr>
      </w:pPr>
      <w:r>
        <w:rPr>
          <w:snapToGrid w:val="0"/>
        </w:rPr>
        <w:t>生态保护红线</w:t>
      </w:r>
    </w:p>
    <w:p w14:paraId="1D3E9AA3">
      <w:pPr>
        <w:ind w:firstLine="480"/>
        <w:rPr>
          <w:szCs w:val="24"/>
        </w:rPr>
      </w:pPr>
      <w:r>
        <w:rPr>
          <w:szCs w:val="24"/>
        </w:rPr>
        <w:t>本项目位于</w:t>
      </w:r>
      <w:r>
        <w:rPr>
          <w:rFonts w:hint="eastAsia"/>
          <w:szCs w:val="24"/>
        </w:rPr>
        <w:t>新乡市卫辉市唐庄镇代庄村99号卫辉市铁西（化工）园区内</w:t>
      </w:r>
      <w:r>
        <w:rPr>
          <w:szCs w:val="24"/>
        </w:rPr>
        <w:t>，不在当地饮用水源、风景区、自然保护区等生态保护区内，根据新乡市生态保护红线划定结果，本项目选址范围不涉及生态保护红线，本项目的实施与生态保护红线不冲突。</w:t>
      </w:r>
    </w:p>
    <w:p w14:paraId="1D3E9AA4">
      <w:pPr>
        <w:ind w:firstLine="480"/>
        <w:rPr>
          <w:szCs w:val="24"/>
        </w:rPr>
      </w:pPr>
      <w:r>
        <w:rPr>
          <w:szCs w:val="24"/>
        </w:rPr>
        <w:t>根据《河南省生态保护红线划定方案》，本项目距离生态红线区域均较远，相对位置关系图如下：</w:t>
      </w:r>
    </w:p>
    <w:p w14:paraId="1D3E9AA8">
      <w:pPr>
        <w:spacing w:line="360" w:lineRule="auto"/>
        <w:ind w:firstLine="0" w:firstLineChars="0"/>
        <w:jc w:val="center"/>
        <w:rPr>
          <w:highlight w:val="yellow"/>
        </w:rPr>
      </w:pPr>
      <w:r>
        <w:drawing>
          <wp:inline distT="0" distB="0" distL="0" distR="0">
            <wp:extent cx="5278120" cy="3716655"/>
            <wp:effectExtent l="0" t="0" r="17780" b="17145"/>
            <wp:docPr id="96950302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03027" name="图片 1" descr="地图&#10;&#10;描述已自动生成"/>
                    <pic:cNvPicPr>
                      <a:picLocks noChangeAspect="1"/>
                    </pic:cNvPicPr>
                  </pic:nvPicPr>
                  <pic:blipFill>
                    <a:blip r:embed="rId51"/>
                    <a:stretch>
                      <a:fillRect/>
                    </a:stretch>
                  </pic:blipFill>
                  <pic:spPr>
                    <a:xfrm>
                      <a:off x="0" y="0"/>
                      <a:ext cx="5278120" cy="3716655"/>
                    </a:xfrm>
                    <a:prstGeom prst="rect">
                      <a:avLst/>
                    </a:prstGeom>
                  </pic:spPr>
                </pic:pic>
              </a:graphicData>
            </a:graphic>
          </wp:inline>
        </w:drawing>
      </w:r>
    </w:p>
    <w:p w14:paraId="1D3E9AB2">
      <w:pPr>
        <w:pStyle w:val="99"/>
        <w:numPr>
          <w:ilvl w:val="0"/>
          <w:numId w:val="13"/>
        </w:numPr>
        <w:adjustRightInd/>
        <w:snapToGrid/>
        <w:spacing w:line="240" w:lineRule="auto"/>
        <w:ind w:firstLineChars="0"/>
        <w:jc w:val="center"/>
        <w:textAlignment w:val="auto"/>
        <w:rPr>
          <w:rFonts w:eastAsia="黑体"/>
          <w:kern w:val="2"/>
        </w:rPr>
      </w:pPr>
      <w:r>
        <w:rPr>
          <w:rFonts w:eastAsia="黑体"/>
          <w:kern w:val="2"/>
        </w:rPr>
        <w:t xml:space="preserve">  项目选址与新乡市生态保护红线位置关系图</w:t>
      </w:r>
    </w:p>
    <w:p w14:paraId="1D3E9AB3">
      <w:pPr>
        <w:ind w:firstLine="480"/>
      </w:pPr>
      <w:r>
        <w:t>本项目厂址距离</w:t>
      </w:r>
      <w:r>
        <w:rPr>
          <w:rFonts w:hint="eastAsia"/>
        </w:rPr>
        <w:t>南水北调</w:t>
      </w:r>
      <w:r>
        <w:t>生态保护红线区边线垂直距离约</w:t>
      </w:r>
      <w:r>
        <w:rPr>
          <w:rFonts w:hint="eastAsia"/>
        </w:rPr>
        <w:t>4.45</w:t>
      </w:r>
      <w:r>
        <w:t>km，选址范围不涉及生态保护红线，不会对周边生态环境造成影响。</w:t>
      </w:r>
    </w:p>
    <w:p w14:paraId="1D3E9AB4">
      <w:pPr>
        <w:pStyle w:val="6"/>
        <w:ind w:left="0"/>
        <w:rPr>
          <w:snapToGrid w:val="0"/>
        </w:rPr>
      </w:pPr>
      <w:r>
        <w:rPr>
          <w:snapToGrid w:val="0"/>
        </w:rPr>
        <w:t>环境质量底线</w:t>
      </w:r>
    </w:p>
    <w:p w14:paraId="1D3E9AB5">
      <w:pPr>
        <w:ind w:firstLine="480"/>
      </w:pPr>
      <w:r>
        <w:t>根据项目所在地环境质量现状调查和污染排放工程分析可知，本项目废水、废气、噪声排放对周边环境影响较小，不会导致区域环境产生明显变化。项目对周边大气环境、地表水环境、地下水环境、声环境、土壤环境影响均可接受。</w:t>
      </w:r>
    </w:p>
    <w:p w14:paraId="1D3E9AB6">
      <w:pPr>
        <w:pStyle w:val="6"/>
        <w:ind w:left="0"/>
        <w:rPr>
          <w:snapToGrid w:val="0"/>
        </w:rPr>
      </w:pPr>
      <w:r>
        <w:rPr>
          <w:snapToGrid w:val="0"/>
        </w:rPr>
        <w:t>资源利用上线</w:t>
      </w:r>
    </w:p>
    <w:p w14:paraId="1D3E9ABA">
      <w:pPr>
        <w:ind w:firstLine="480"/>
        <w:rPr>
          <w:highlight w:val="yellow"/>
        </w:rPr>
      </w:pPr>
      <w:r>
        <w:rPr>
          <w:rFonts w:hint="eastAsia"/>
          <w:u w:val="single"/>
        </w:rPr>
        <w:t>目前园区生产用水管网正在建设中，生活用水管网已建成，建成之前生产用水暂时使用本项目租赁厂区新乡市太行水泥粉磨有限公司的自备井水，生活用水使用园区统一供水，待园区生产用水管网建成后，采用园区统一供应用水。</w:t>
      </w:r>
      <w:r>
        <w:t>能源主要为电，</w:t>
      </w:r>
      <w:r>
        <w:rPr>
          <w:rFonts w:hint="eastAsia"/>
        </w:rPr>
        <w:t>其中电</w:t>
      </w:r>
      <w:r>
        <w:t>由园区统一供应。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51130C5E">
      <w:pPr>
        <w:autoSpaceDE w:val="0"/>
        <w:autoSpaceDN w:val="0"/>
        <w:spacing w:line="460" w:lineRule="exact"/>
        <w:ind w:firstLine="480"/>
        <w:rPr>
          <w:highlight w:val="yellow"/>
        </w:rPr>
        <w:sectPr>
          <w:pgSz w:w="11906" w:h="16838"/>
          <w:pgMar w:top="1440" w:right="1797" w:bottom="1440" w:left="1797" w:header="851" w:footer="992" w:gutter="0"/>
          <w:cols w:space="720" w:num="1"/>
          <w:docGrid w:linePitch="312" w:charSpace="0"/>
        </w:sectPr>
      </w:pPr>
    </w:p>
    <w:p w14:paraId="31DEFD60">
      <w:pPr>
        <w:pStyle w:val="6"/>
        <w:ind w:left="0"/>
        <w:rPr>
          <w:snapToGrid w:val="0"/>
        </w:rPr>
      </w:pPr>
      <w:r>
        <w:rPr>
          <w:snapToGrid w:val="0"/>
        </w:rPr>
        <w:t>与</w:t>
      </w:r>
      <w:r>
        <w:rPr>
          <w:rFonts w:hint="eastAsia"/>
          <w:snapToGrid w:val="0"/>
        </w:rPr>
        <w:t>新乡市生态环境局关于对《新乡市“三线一单”生态环境准入清单》（试行）更新的函（新环函[2024]5号）</w:t>
      </w:r>
      <w:r>
        <w:rPr>
          <w:snapToGrid w:val="0"/>
        </w:rPr>
        <w:t>的相符性分析</w:t>
      </w:r>
    </w:p>
    <w:p w14:paraId="1D3E9ABF">
      <w:pPr>
        <w:autoSpaceDE w:val="0"/>
        <w:autoSpaceDN w:val="0"/>
        <w:spacing w:line="240" w:lineRule="auto"/>
        <w:ind w:firstLine="0" w:firstLineChars="0"/>
        <w:jc w:val="center"/>
      </w:pPr>
      <w:r>
        <w:rPr>
          <w:rFonts w:hint="eastAsia"/>
        </w:rPr>
        <mc:AlternateContent>
          <mc:Choice Requires="wps">
            <w:drawing>
              <wp:anchor distT="0" distB="0" distL="114300" distR="114300" simplePos="0" relativeHeight="251669504" behindDoc="0" locked="0" layoutInCell="1" allowOverlap="1">
                <wp:simplePos x="0" y="0"/>
                <wp:positionH relativeFrom="column">
                  <wp:posOffset>2999105</wp:posOffset>
                </wp:positionH>
                <wp:positionV relativeFrom="paragraph">
                  <wp:posOffset>3662680</wp:posOffset>
                </wp:positionV>
                <wp:extent cx="283845" cy="76200"/>
                <wp:effectExtent l="0" t="0" r="20955" b="19050"/>
                <wp:wrapNone/>
                <wp:docPr id="1094072276" name="直接连接符 17"/>
                <wp:cNvGraphicFramePr/>
                <a:graphic xmlns:a="http://schemas.openxmlformats.org/drawingml/2006/main">
                  <a:graphicData uri="http://schemas.microsoft.com/office/word/2010/wordprocessingShape">
                    <wps:wsp>
                      <wps:cNvCnPr/>
                      <wps:spPr>
                        <a:xfrm>
                          <a:off x="0" y="0"/>
                          <a:ext cx="284018"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7" o:spid="_x0000_s1026" o:spt="20" style="position:absolute;left:0pt;margin-left:236.15pt;margin-top:288.4pt;height:6pt;width:22.35pt;z-index:251669504;mso-width-relative:page;mso-height-relative:page;" filled="f" stroked="t" coordsize="21600,21600" o:gfxdata="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MGHNtsAAAALAQAADwAAAAAAAAABACAAAAAiAAAAZHJzL2Rv&#10;d25yZXYueG1sUEsBAhQAFAAAAAgAh07iQIS1W0X+AQAA4AMAAA4AAAAAAAAAAQAgAAAAKgEAAGRy&#10;cy9lMm9Eb2MueG1sUEsFBgAAAAAGAAYAWQEAAJoFAAAAAA==&#10;">
                <v:fill on="f" focussize="0,0"/>
                <v:stroke color="#A1B28E [3204]" joinstyle="round"/>
                <v:imagedata o:title=""/>
                <o:lock v:ext="edit" aspectratio="f"/>
              </v:line>
            </w:pict>
          </mc:Fallback>
        </mc:AlternateContent>
      </w:r>
      <w:r>
        <w:t xml:space="preserve"> </w:t>
      </w:r>
      <w:r>
        <w:drawing>
          <wp:inline distT="0" distB="0" distL="0" distR="0">
            <wp:extent cx="8626475" cy="4472305"/>
            <wp:effectExtent l="0" t="0" r="3175" b="4445"/>
            <wp:docPr id="185623621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36210" name="图片 1" descr="地图&#10;&#10;描述已自动生成"/>
                    <pic:cNvPicPr>
                      <a:picLocks noChangeAspect="1"/>
                    </pic:cNvPicPr>
                  </pic:nvPicPr>
                  <pic:blipFill>
                    <a:blip r:embed="rId52"/>
                    <a:stretch>
                      <a:fillRect/>
                    </a:stretch>
                  </pic:blipFill>
                  <pic:spPr>
                    <a:xfrm>
                      <a:off x="0" y="0"/>
                      <a:ext cx="8626475" cy="4474930"/>
                    </a:xfrm>
                    <a:prstGeom prst="rect">
                      <a:avLst/>
                    </a:prstGeom>
                  </pic:spPr>
                </pic:pic>
              </a:graphicData>
            </a:graphic>
          </wp:inline>
        </w:drawing>
      </w:r>
    </w:p>
    <w:p w14:paraId="0217044F">
      <w:pPr>
        <w:pStyle w:val="99"/>
        <w:numPr>
          <w:ilvl w:val="0"/>
          <w:numId w:val="13"/>
        </w:numPr>
        <w:adjustRightInd/>
        <w:snapToGrid/>
        <w:spacing w:line="240" w:lineRule="auto"/>
        <w:ind w:firstLineChars="0"/>
        <w:jc w:val="center"/>
        <w:textAlignment w:val="auto"/>
        <w:rPr>
          <w:rFonts w:eastAsia="黑体"/>
          <w:b/>
          <w:bCs/>
          <w:kern w:val="2"/>
        </w:rPr>
        <w:sectPr>
          <w:pgSz w:w="16838" w:h="11906" w:orient="landscape"/>
          <w:pgMar w:top="1797" w:right="1440" w:bottom="1797" w:left="1440" w:header="851" w:footer="992" w:gutter="0"/>
          <w:cols w:space="720" w:num="1"/>
          <w:docGrid w:linePitch="326" w:charSpace="0"/>
        </w:sectPr>
      </w:pPr>
      <w:r>
        <w:rPr>
          <w:rFonts w:eastAsia="黑体"/>
          <w:kern w:val="2"/>
        </w:rPr>
        <w:t xml:space="preserve">  </w:t>
      </w:r>
      <w:r>
        <w:rPr>
          <w:rFonts w:hint="eastAsia" w:eastAsia="黑体"/>
          <w:kern w:val="2"/>
        </w:rPr>
        <w:t>卫辉市城镇重点</w:t>
      </w:r>
      <w:r>
        <w:rPr>
          <w:rFonts w:eastAsia="黑体"/>
          <w:kern w:val="2"/>
        </w:rPr>
        <w:t>管控单元图</w:t>
      </w:r>
      <w:r>
        <w:rPr>
          <w:rFonts w:hint="eastAsia" w:eastAsia="黑体"/>
          <w:kern w:val="2"/>
        </w:rPr>
        <w:t>1（成果总览）</w:t>
      </w:r>
    </w:p>
    <w:p w14:paraId="20ED94F3">
      <w:pPr>
        <w:autoSpaceDE w:val="0"/>
        <w:autoSpaceDN w:val="0"/>
        <w:spacing w:line="240" w:lineRule="auto"/>
        <w:ind w:firstLine="0" w:firstLineChars="0"/>
        <w:jc w:val="center"/>
      </w:pPr>
      <w:r>
        <w:drawing>
          <wp:inline distT="0" distB="0" distL="0" distR="0">
            <wp:extent cx="8863330" cy="4502150"/>
            <wp:effectExtent l="0" t="0" r="13970" b="12700"/>
            <wp:docPr id="189329265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92657" name="图片 1" descr="地图&#10;&#10;描述已自动生成"/>
                    <pic:cNvPicPr>
                      <a:picLocks noChangeAspect="1"/>
                    </pic:cNvPicPr>
                  </pic:nvPicPr>
                  <pic:blipFill>
                    <a:blip r:embed="rId53"/>
                    <a:stretch>
                      <a:fillRect/>
                    </a:stretch>
                  </pic:blipFill>
                  <pic:spPr>
                    <a:xfrm>
                      <a:off x="0" y="0"/>
                      <a:ext cx="8863330" cy="4502150"/>
                    </a:xfrm>
                    <a:prstGeom prst="rect">
                      <a:avLst/>
                    </a:prstGeom>
                  </pic:spPr>
                </pic:pic>
              </a:graphicData>
            </a:graphic>
          </wp:inline>
        </w:drawing>
      </w:r>
    </w:p>
    <w:p w14:paraId="3DB3A287">
      <w:pPr>
        <w:pStyle w:val="99"/>
        <w:numPr>
          <w:ilvl w:val="0"/>
          <w:numId w:val="13"/>
        </w:numPr>
        <w:adjustRightInd/>
        <w:snapToGrid/>
        <w:spacing w:line="240" w:lineRule="auto"/>
        <w:ind w:firstLineChars="0"/>
        <w:jc w:val="center"/>
        <w:textAlignment w:val="auto"/>
        <w:rPr>
          <w:rFonts w:eastAsia="黑体"/>
          <w:kern w:val="2"/>
          <w:u w:val="single"/>
        </w:rPr>
        <w:sectPr>
          <w:pgSz w:w="16838" w:h="11906" w:orient="landscape"/>
          <w:pgMar w:top="1797" w:right="1440" w:bottom="1797" w:left="1440" w:header="851" w:footer="992" w:gutter="0"/>
          <w:cols w:space="720" w:num="1"/>
          <w:docGrid w:linePitch="326" w:charSpace="0"/>
        </w:sectPr>
      </w:pPr>
      <w:r>
        <w:rPr>
          <w:rFonts w:eastAsia="黑体"/>
          <w:kern w:val="2"/>
          <w:u w:val="single"/>
        </w:rPr>
        <w:t xml:space="preserve">  </w:t>
      </w:r>
      <w:r>
        <w:rPr>
          <w:rFonts w:hint="eastAsia" w:eastAsia="黑体"/>
          <w:kern w:val="2"/>
          <w:u w:val="single"/>
        </w:rPr>
        <w:t>卫辉市城镇重点</w:t>
      </w:r>
      <w:r>
        <w:rPr>
          <w:rFonts w:eastAsia="黑体"/>
          <w:kern w:val="2"/>
          <w:u w:val="single"/>
        </w:rPr>
        <w:t>管控单元图</w:t>
      </w:r>
      <w:r>
        <w:rPr>
          <w:rFonts w:hint="eastAsia" w:eastAsia="黑体"/>
          <w:kern w:val="2"/>
          <w:u w:val="single"/>
        </w:rPr>
        <w:t>2（研判分析）</w:t>
      </w:r>
    </w:p>
    <w:p w14:paraId="1D3E9AC1">
      <w:pPr>
        <w:ind w:firstLine="480"/>
        <w:rPr>
          <w:szCs w:val="24"/>
        </w:rPr>
      </w:pPr>
      <w:r>
        <w:t>本项目位于</w:t>
      </w:r>
      <w:r>
        <w:rPr>
          <w:rFonts w:hint="eastAsia"/>
        </w:rPr>
        <w:t>新乡市卫辉市唐庄镇代庄村99号卫辉市铁西（化工）园区内</w:t>
      </w:r>
      <w:r>
        <w:t>，</w:t>
      </w:r>
      <w:r>
        <w:rPr>
          <w:szCs w:val="24"/>
        </w:rPr>
        <w:t>本项目与新乡市生态环境总体准入要求对照情况见表2.1</w:t>
      </w:r>
      <w:r>
        <w:rPr>
          <w:rFonts w:hint="eastAsia"/>
          <w:szCs w:val="24"/>
        </w:rPr>
        <w:t>0</w:t>
      </w:r>
      <w:r>
        <w:rPr>
          <w:szCs w:val="24"/>
        </w:rPr>
        <w:t>-</w:t>
      </w:r>
      <w:r>
        <w:rPr>
          <w:rFonts w:hint="eastAsia"/>
          <w:szCs w:val="24"/>
        </w:rPr>
        <w:t>2</w:t>
      </w:r>
      <w:r>
        <w:rPr>
          <w:szCs w:val="24"/>
        </w:rPr>
        <w:t>，与《新乡市“三线一单”生态环境准入清单</w:t>
      </w:r>
      <w:r>
        <w:rPr>
          <w:rFonts w:hint="eastAsia"/>
        </w:rPr>
        <w:t>（2023年版）</w:t>
      </w:r>
      <w:r>
        <w:rPr>
          <w:szCs w:val="24"/>
        </w:rPr>
        <w:t>-</w:t>
      </w:r>
      <w:r>
        <w:rPr>
          <w:rFonts w:hint="eastAsia"/>
        </w:rPr>
        <w:t>卫辉市城镇重点</w:t>
      </w:r>
      <w:r>
        <w:rPr>
          <w:szCs w:val="24"/>
        </w:rPr>
        <w:t>单元生态环境准入清单》（简称“清单”）中的重点管控单元要求对照见表2.1</w:t>
      </w:r>
      <w:r>
        <w:rPr>
          <w:rFonts w:hint="eastAsia"/>
          <w:szCs w:val="24"/>
        </w:rPr>
        <w:t>0</w:t>
      </w:r>
      <w:r>
        <w:rPr>
          <w:szCs w:val="24"/>
        </w:rPr>
        <w:t>-</w:t>
      </w:r>
      <w:r>
        <w:rPr>
          <w:rFonts w:hint="eastAsia"/>
          <w:szCs w:val="24"/>
        </w:rPr>
        <w:t>3</w:t>
      </w:r>
      <w:r>
        <w:rPr>
          <w:szCs w:val="24"/>
        </w:rPr>
        <w:t>。</w:t>
      </w:r>
    </w:p>
    <w:p w14:paraId="1D3E9AC2">
      <w:pPr>
        <w:numPr>
          <w:ilvl w:val="0"/>
          <w:numId w:val="12"/>
        </w:numPr>
        <w:adjustRightInd/>
        <w:snapToGrid/>
        <w:ind w:firstLineChars="0"/>
        <w:textAlignment w:val="auto"/>
        <w:rPr>
          <w:rFonts w:eastAsia="黑体"/>
        </w:rPr>
      </w:pPr>
      <w:r>
        <w:rPr>
          <w:rFonts w:eastAsia="黑体"/>
        </w:rPr>
        <w:t xml:space="preserve">                              与新乡市生态环境总体准入要求相符性</w:t>
      </w:r>
    </w:p>
    <w:tbl>
      <w:tblPr>
        <w:tblStyle w:val="1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8649"/>
        <w:gridCol w:w="3966"/>
        <w:gridCol w:w="848"/>
      </w:tblGrid>
      <w:tr w14:paraId="1D3E9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Align w:val="center"/>
          </w:tcPr>
          <w:p w14:paraId="1D3E9AC3">
            <w:pPr>
              <w:adjustRightInd/>
              <w:snapToGrid/>
              <w:spacing w:line="240" w:lineRule="auto"/>
              <w:ind w:firstLine="0" w:firstLineChars="0"/>
              <w:jc w:val="center"/>
              <w:textAlignment w:val="auto"/>
              <w:rPr>
                <w:b/>
                <w:kern w:val="2"/>
                <w:sz w:val="21"/>
              </w:rPr>
            </w:pPr>
            <w:r>
              <w:rPr>
                <w:b/>
                <w:kern w:val="2"/>
                <w:sz w:val="21"/>
              </w:rPr>
              <w:t>纬度</w:t>
            </w:r>
          </w:p>
        </w:tc>
        <w:tc>
          <w:tcPr>
            <w:tcW w:w="3051" w:type="pct"/>
            <w:vAlign w:val="center"/>
          </w:tcPr>
          <w:p w14:paraId="1D3E9AC4">
            <w:pPr>
              <w:adjustRightInd/>
              <w:snapToGrid/>
              <w:spacing w:line="240" w:lineRule="auto"/>
              <w:ind w:firstLine="0" w:firstLineChars="0"/>
              <w:jc w:val="center"/>
              <w:textAlignment w:val="auto"/>
              <w:rPr>
                <w:b/>
                <w:kern w:val="2"/>
                <w:sz w:val="21"/>
              </w:rPr>
            </w:pPr>
            <w:r>
              <w:rPr>
                <w:b/>
                <w:kern w:val="2"/>
                <w:sz w:val="21"/>
              </w:rPr>
              <w:t>管控要求</w:t>
            </w:r>
          </w:p>
        </w:tc>
        <w:tc>
          <w:tcPr>
            <w:tcW w:w="1399" w:type="pct"/>
            <w:vAlign w:val="center"/>
          </w:tcPr>
          <w:p w14:paraId="1D3E9AC5">
            <w:pPr>
              <w:adjustRightInd/>
              <w:snapToGrid/>
              <w:spacing w:line="240" w:lineRule="auto"/>
              <w:ind w:firstLine="0" w:firstLineChars="0"/>
              <w:jc w:val="center"/>
              <w:textAlignment w:val="auto"/>
              <w:rPr>
                <w:b/>
                <w:kern w:val="2"/>
                <w:sz w:val="21"/>
              </w:rPr>
            </w:pPr>
            <w:r>
              <w:rPr>
                <w:b/>
                <w:kern w:val="2"/>
                <w:sz w:val="21"/>
              </w:rPr>
              <w:t>本项目</w:t>
            </w:r>
          </w:p>
        </w:tc>
        <w:tc>
          <w:tcPr>
            <w:tcW w:w="299" w:type="pct"/>
            <w:vAlign w:val="center"/>
          </w:tcPr>
          <w:p w14:paraId="1D3E9AC6">
            <w:pPr>
              <w:adjustRightInd/>
              <w:snapToGrid/>
              <w:spacing w:line="240" w:lineRule="auto"/>
              <w:ind w:firstLine="0" w:firstLineChars="0"/>
              <w:jc w:val="center"/>
              <w:textAlignment w:val="auto"/>
              <w:rPr>
                <w:b/>
                <w:kern w:val="2"/>
                <w:sz w:val="21"/>
              </w:rPr>
            </w:pPr>
            <w:r>
              <w:rPr>
                <w:b/>
                <w:kern w:val="2"/>
                <w:sz w:val="21"/>
              </w:rPr>
              <w:t>是否符合</w:t>
            </w:r>
          </w:p>
        </w:tc>
      </w:tr>
      <w:tr w14:paraId="1D3E9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Align w:val="center"/>
          </w:tcPr>
          <w:p w14:paraId="1D3E9AC8">
            <w:pPr>
              <w:adjustRightInd/>
              <w:snapToGrid/>
              <w:spacing w:line="240" w:lineRule="auto"/>
              <w:ind w:firstLine="0" w:firstLineChars="0"/>
              <w:contextualSpacing/>
              <w:jc w:val="center"/>
              <w:rPr>
                <w:sz w:val="21"/>
                <w:szCs w:val="21"/>
              </w:rPr>
            </w:pPr>
            <w:r>
              <w:rPr>
                <w:sz w:val="21"/>
                <w:szCs w:val="21"/>
                <w:lang w:bidi="ar"/>
              </w:rPr>
              <w:t>空间布局约束</w:t>
            </w:r>
          </w:p>
        </w:tc>
        <w:tc>
          <w:tcPr>
            <w:tcW w:w="3051" w:type="pct"/>
          </w:tcPr>
          <w:p w14:paraId="1D3E9AC9">
            <w:pPr>
              <w:spacing w:line="240" w:lineRule="auto"/>
              <w:ind w:firstLine="210" w:firstLineChars="100"/>
              <w:textAlignment w:val="auto"/>
              <w:rPr>
                <w:snapToGrid w:val="0"/>
                <w:sz w:val="21"/>
                <w:szCs w:val="24"/>
              </w:rPr>
            </w:pPr>
            <w:r>
              <w:rPr>
                <w:snapToGrid w:val="0"/>
                <w:sz w:val="21"/>
                <w:szCs w:val="24"/>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w:t>
            </w:r>
            <w:r>
              <w:rPr>
                <w:rFonts w:hint="eastAsia"/>
                <w:snapToGrid w:val="0"/>
                <w:sz w:val="21"/>
                <w:szCs w:val="24"/>
              </w:rPr>
              <w:t>新建“两高”项目应按照《生态环境部办公厅关于加强重点行业建设项目区域削减措施监督管理的通知》（环办环评〔2020〕36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1399" w:type="pct"/>
            <w:vAlign w:val="center"/>
          </w:tcPr>
          <w:p w14:paraId="068D4A58">
            <w:pPr>
              <w:spacing w:line="240" w:lineRule="auto"/>
              <w:ind w:firstLine="210" w:firstLineChars="100"/>
              <w:textAlignment w:val="auto"/>
              <w:rPr>
                <w:snapToGrid w:val="0"/>
                <w:sz w:val="21"/>
                <w:szCs w:val="24"/>
                <w:highlight w:val="yellow"/>
                <w:u w:val="single"/>
              </w:rPr>
            </w:pPr>
            <w:r>
              <w:rPr>
                <w:rFonts w:hint="eastAsia"/>
                <w:snapToGrid w:val="0"/>
                <w:sz w:val="21"/>
                <w:szCs w:val="24"/>
                <w:u w:val="single"/>
              </w:rPr>
              <w:t>（1）</w:t>
            </w:r>
            <w:r>
              <w:rPr>
                <w:snapToGrid w:val="0"/>
                <w:sz w:val="21"/>
                <w:szCs w:val="24"/>
                <w:u w:val="single"/>
              </w:rPr>
              <w:t>本项目为</w:t>
            </w:r>
            <w:r>
              <w:rPr>
                <w:rFonts w:hint="eastAsia"/>
                <w:snapToGrid w:val="0"/>
                <w:sz w:val="21"/>
                <w:szCs w:val="24"/>
                <w:u w:val="single"/>
              </w:rPr>
              <w:t>新建化工项目，本项目综合能耗约为0.1万吨标煤＜</w:t>
            </w:r>
            <w:r>
              <w:rPr>
                <w:snapToGrid w:val="0"/>
                <w:sz w:val="21"/>
                <w:szCs w:val="24"/>
                <w:u w:val="single"/>
              </w:rPr>
              <w:t>5</w:t>
            </w:r>
            <w:r>
              <w:rPr>
                <w:rFonts w:hint="eastAsia"/>
                <w:snapToGrid w:val="0"/>
                <w:sz w:val="21"/>
                <w:szCs w:val="24"/>
                <w:u w:val="single"/>
              </w:rPr>
              <w:t>万吨标准煤/年，根据《关于印发河南省“两高”项目管理目录（2023年修订）的通知》，本项目不属于“两高”项目。</w:t>
            </w:r>
          </w:p>
          <w:p w14:paraId="1D3E9ACA">
            <w:pPr>
              <w:spacing w:line="240" w:lineRule="auto"/>
              <w:ind w:firstLine="210" w:firstLineChars="100"/>
              <w:textAlignment w:val="auto"/>
              <w:rPr>
                <w:snapToGrid w:val="0"/>
                <w:sz w:val="21"/>
                <w:szCs w:val="24"/>
                <w:highlight w:val="yellow"/>
              </w:rPr>
            </w:pPr>
            <w:r>
              <w:rPr>
                <w:rFonts w:hint="eastAsia"/>
                <w:snapToGrid w:val="0"/>
                <w:sz w:val="21"/>
                <w:szCs w:val="24"/>
              </w:rPr>
              <w:t>（2）本项目不使用煤炭和高污染燃料。</w:t>
            </w:r>
          </w:p>
        </w:tc>
        <w:tc>
          <w:tcPr>
            <w:tcW w:w="299" w:type="pct"/>
            <w:vAlign w:val="center"/>
          </w:tcPr>
          <w:p w14:paraId="1D3E9ACB">
            <w:pPr>
              <w:adjustRightInd/>
              <w:snapToGrid/>
              <w:spacing w:line="240" w:lineRule="auto"/>
              <w:ind w:firstLine="0" w:firstLineChars="0"/>
              <w:contextualSpacing/>
              <w:jc w:val="center"/>
              <w:rPr>
                <w:kern w:val="24"/>
                <w:sz w:val="21"/>
                <w:szCs w:val="21"/>
              </w:rPr>
            </w:pPr>
            <w:r>
              <w:rPr>
                <w:kern w:val="24"/>
                <w:sz w:val="21"/>
                <w:szCs w:val="21"/>
              </w:rPr>
              <w:t>符合</w:t>
            </w:r>
          </w:p>
        </w:tc>
      </w:tr>
      <w:tr w14:paraId="1D3E9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Merge w:val="restart"/>
            <w:vAlign w:val="center"/>
          </w:tcPr>
          <w:p w14:paraId="1D3E9ACD">
            <w:pPr>
              <w:adjustRightInd/>
              <w:snapToGrid/>
              <w:spacing w:line="240" w:lineRule="auto"/>
              <w:ind w:firstLine="0" w:firstLineChars="0"/>
              <w:contextualSpacing/>
              <w:jc w:val="center"/>
              <w:rPr>
                <w:sz w:val="21"/>
                <w:szCs w:val="21"/>
              </w:rPr>
            </w:pPr>
            <w:r>
              <w:rPr>
                <w:sz w:val="21"/>
                <w:szCs w:val="21"/>
              </w:rPr>
              <w:t>污染物排放管控</w:t>
            </w:r>
          </w:p>
        </w:tc>
        <w:tc>
          <w:tcPr>
            <w:tcW w:w="3051" w:type="pct"/>
            <w:vAlign w:val="center"/>
          </w:tcPr>
          <w:p w14:paraId="1D3E9ACE">
            <w:pPr>
              <w:spacing w:line="240" w:lineRule="auto"/>
              <w:ind w:firstLine="210" w:firstLineChars="100"/>
              <w:jc w:val="left"/>
              <w:textAlignment w:val="auto"/>
              <w:rPr>
                <w:snapToGrid w:val="0"/>
                <w:sz w:val="21"/>
                <w:szCs w:val="24"/>
              </w:rPr>
            </w:pPr>
            <w:r>
              <w:rPr>
                <w:snapToGrid w:val="0"/>
                <w:sz w:val="21"/>
                <w:szCs w:val="24"/>
              </w:rPr>
              <w:t>1.新、改、扩建项目主要污染物排放要求满足当地总量减排要求。</w:t>
            </w:r>
          </w:p>
        </w:tc>
        <w:tc>
          <w:tcPr>
            <w:tcW w:w="1399" w:type="pct"/>
            <w:vAlign w:val="center"/>
          </w:tcPr>
          <w:p w14:paraId="1D3E9ACF">
            <w:pPr>
              <w:spacing w:line="240" w:lineRule="auto"/>
              <w:ind w:firstLine="210" w:firstLineChars="100"/>
              <w:textAlignment w:val="auto"/>
              <w:rPr>
                <w:snapToGrid w:val="0"/>
                <w:sz w:val="21"/>
                <w:szCs w:val="24"/>
                <w:highlight w:val="yellow"/>
              </w:rPr>
            </w:pPr>
            <w:r>
              <w:rPr>
                <w:snapToGrid w:val="0"/>
                <w:sz w:val="21"/>
                <w:szCs w:val="24"/>
              </w:rPr>
              <w:t>本项目为</w:t>
            </w:r>
            <w:r>
              <w:rPr>
                <w:rFonts w:hint="eastAsia"/>
                <w:snapToGrid w:val="0"/>
                <w:sz w:val="21"/>
                <w:szCs w:val="24"/>
              </w:rPr>
              <w:t>新</w:t>
            </w:r>
            <w:r>
              <w:rPr>
                <w:snapToGrid w:val="0"/>
                <w:sz w:val="21"/>
                <w:szCs w:val="24"/>
              </w:rPr>
              <w:t>建项目，主要污染物排放满足当地总量减排要求。</w:t>
            </w:r>
          </w:p>
        </w:tc>
        <w:tc>
          <w:tcPr>
            <w:tcW w:w="299" w:type="pct"/>
            <w:vAlign w:val="center"/>
          </w:tcPr>
          <w:p w14:paraId="1D3E9AD0">
            <w:pPr>
              <w:adjustRightInd/>
              <w:snapToGrid/>
              <w:spacing w:line="240" w:lineRule="auto"/>
              <w:ind w:firstLine="0" w:firstLineChars="0"/>
              <w:contextualSpacing/>
              <w:jc w:val="center"/>
              <w:rPr>
                <w:kern w:val="24"/>
                <w:sz w:val="21"/>
                <w:szCs w:val="21"/>
              </w:rPr>
            </w:pPr>
            <w:r>
              <w:rPr>
                <w:kern w:val="24"/>
                <w:sz w:val="21"/>
                <w:szCs w:val="21"/>
              </w:rPr>
              <w:t>符合</w:t>
            </w:r>
          </w:p>
        </w:tc>
      </w:tr>
      <w:tr w14:paraId="1D3E9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Merge w:val="continue"/>
            <w:vAlign w:val="center"/>
          </w:tcPr>
          <w:p w14:paraId="1D3E9AD2">
            <w:pPr>
              <w:adjustRightInd/>
              <w:snapToGrid/>
              <w:spacing w:line="240" w:lineRule="auto"/>
              <w:ind w:firstLine="0" w:firstLineChars="0"/>
              <w:contextualSpacing/>
              <w:jc w:val="center"/>
              <w:rPr>
                <w:sz w:val="21"/>
                <w:szCs w:val="21"/>
                <w:highlight w:val="yellow"/>
              </w:rPr>
            </w:pPr>
          </w:p>
        </w:tc>
        <w:tc>
          <w:tcPr>
            <w:tcW w:w="3051" w:type="pct"/>
            <w:vAlign w:val="center"/>
          </w:tcPr>
          <w:p w14:paraId="1D3E9AD3">
            <w:pPr>
              <w:spacing w:line="240" w:lineRule="auto"/>
              <w:ind w:firstLine="210" w:firstLineChars="100"/>
              <w:textAlignment w:val="auto"/>
              <w:rPr>
                <w:snapToGrid w:val="0"/>
                <w:sz w:val="21"/>
                <w:szCs w:val="24"/>
              </w:rPr>
            </w:pPr>
            <w:r>
              <w:rPr>
                <w:snapToGrid w:val="0"/>
                <w:sz w:val="21"/>
                <w:szCs w:val="24"/>
              </w:rPr>
              <w:t>4.</w:t>
            </w:r>
            <w:r>
              <w:rPr>
                <w:rFonts w:hint="eastAsia"/>
                <w:snapToGrid w:val="0"/>
                <w:sz w:val="21"/>
                <w:szCs w:val="24"/>
              </w:rPr>
              <w:t>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减量替代”原则，应符合《新乡市“十四五”重金属污染防控工作方案》相关要求。</w:t>
            </w:r>
          </w:p>
        </w:tc>
        <w:tc>
          <w:tcPr>
            <w:tcW w:w="1399" w:type="pct"/>
            <w:vAlign w:val="center"/>
          </w:tcPr>
          <w:p w14:paraId="1D3E9AD4">
            <w:pPr>
              <w:spacing w:line="240" w:lineRule="auto"/>
              <w:ind w:firstLine="210" w:firstLineChars="100"/>
              <w:textAlignment w:val="auto"/>
              <w:rPr>
                <w:snapToGrid w:val="0"/>
                <w:sz w:val="21"/>
                <w:szCs w:val="24"/>
              </w:rPr>
            </w:pPr>
            <w:r>
              <w:rPr>
                <w:snapToGrid w:val="0"/>
                <w:sz w:val="21"/>
                <w:szCs w:val="24"/>
              </w:rPr>
              <w:t>本项目为</w:t>
            </w:r>
            <w:r>
              <w:rPr>
                <w:rFonts w:hint="eastAsia"/>
                <w:snapToGrid w:val="0"/>
                <w:sz w:val="21"/>
                <w:szCs w:val="24"/>
              </w:rPr>
              <w:t>新</w:t>
            </w:r>
            <w:r>
              <w:rPr>
                <w:snapToGrid w:val="0"/>
                <w:sz w:val="21"/>
                <w:szCs w:val="24"/>
              </w:rPr>
              <w:t>建项目，</w:t>
            </w:r>
            <w:r>
              <w:rPr>
                <w:rFonts w:hint="eastAsia"/>
                <w:snapToGrid w:val="0"/>
                <w:sz w:val="21"/>
                <w:szCs w:val="24"/>
              </w:rPr>
              <w:t>属于化学原料和化学制品制造业，</w:t>
            </w:r>
            <w:r>
              <w:rPr>
                <w:snapToGrid w:val="0"/>
                <w:sz w:val="21"/>
                <w:szCs w:val="24"/>
              </w:rPr>
              <w:t>生产过程中无重金属污染物排放。新增污染物实行区域内替代。</w:t>
            </w:r>
          </w:p>
        </w:tc>
        <w:tc>
          <w:tcPr>
            <w:tcW w:w="299" w:type="pct"/>
            <w:vAlign w:val="center"/>
          </w:tcPr>
          <w:p w14:paraId="1D3E9AD5">
            <w:pPr>
              <w:adjustRightInd/>
              <w:snapToGrid/>
              <w:spacing w:line="240" w:lineRule="auto"/>
              <w:ind w:firstLine="0" w:firstLineChars="0"/>
              <w:contextualSpacing/>
              <w:jc w:val="center"/>
              <w:rPr>
                <w:kern w:val="24"/>
                <w:sz w:val="21"/>
                <w:szCs w:val="21"/>
              </w:rPr>
            </w:pPr>
            <w:r>
              <w:rPr>
                <w:kern w:val="24"/>
                <w:sz w:val="21"/>
                <w:szCs w:val="21"/>
              </w:rPr>
              <w:t>符合</w:t>
            </w:r>
          </w:p>
        </w:tc>
      </w:tr>
      <w:tr w14:paraId="1B76A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Merge w:val="continue"/>
            <w:vAlign w:val="center"/>
          </w:tcPr>
          <w:p w14:paraId="091E4248">
            <w:pPr>
              <w:adjustRightInd/>
              <w:snapToGrid/>
              <w:spacing w:line="240" w:lineRule="auto"/>
              <w:ind w:firstLine="0" w:firstLineChars="0"/>
              <w:contextualSpacing/>
              <w:jc w:val="center"/>
              <w:rPr>
                <w:sz w:val="21"/>
                <w:szCs w:val="21"/>
                <w:highlight w:val="yellow"/>
              </w:rPr>
            </w:pPr>
          </w:p>
        </w:tc>
        <w:tc>
          <w:tcPr>
            <w:tcW w:w="3051" w:type="pct"/>
            <w:tcBorders>
              <w:tl2br w:val="nil"/>
              <w:tr2bl w:val="nil"/>
            </w:tcBorders>
            <w:vAlign w:val="center"/>
          </w:tcPr>
          <w:p w14:paraId="68E17FA6">
            <w:pPr>
              <w:spacing w:line="240" w:lineRule="auto"/>
              <w:ind w:firstLine="210" w:firstLineChars="100"/>
              <w:jc w:val="left"/>
              <w:textAlignment w:val="auto"/>
              <w:rPr>
                <w:snapToGrid w:val="0"/>
                <w:sz w:val="21"/>
                <w:szCs w:val="24"/>
              </w:rPr>
            </w:pPr>
            <w:r>
              <w:rPr>
                <w:sz w:val="21"/>
                <w:szCs w:val="21"/>
              </w:rPr>
              <w:t>5</w:t>
            </w:r>
            <w:r>
              <w:rPr>
                <w:rFonts w:hint="eastAsia"/>
                <w:sz w:val="21"/>
                <w:szCs w:val="21"/>
              </w:rPr>
              <w:t>.</w:t>
            </w:r>
            <w:r>
              <w:rPr>
                <w:sz w:val="21"/>
                <w:szCs w:val="21"/>
              </w:rPr>
              <w:t>全面推进企业清洁生产，完善省级产业集聚区污水处理设施水平。加强造纸、氮肥、农副食品加工、毛皮制革、印染、有色金</w:t>
            </w:r>
            <w:r>
              <w:rPr>
                <w:rFonts w:hint="eastAsia"/>
                <w:sz w:val="21"/>
                <w:szCs w:val="21"/>
              </w:rPr>
              <w:t>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p>
        </w:tc>
        <w:tc>
          <w:tcPr>
            <w:tcW w:w="1399" w:type="pct"/>
            <w:vAlign w:val="center"/>
          </w:tcPr>
          <w:p w14:paraId="2DEAE5B0">
            <w:pPr>
              <w:spacing w:line="240" w:lineRule="auto"/>
              <w:ind w:firstLine="210" w:firstLineChars="100"/>
              <w:jc w:val="left"/>
              <w:textAlignment w:val="auto"/>
              <w:rPr>
                <w:snapToGrid w:val="0"/>
                <w:sz w:val="21"/>
                <w:szCs w:val="24"/>
                <w:highlight w:val="yellow"/>
              </w:rPr>
            </w:pPr>
            <w:r>
              <w:rPr>
                <w:rFonts w:hint="eastAsia"/>
                <w:snapToGrid w:val="0"/>
                <w:sz w:val="21"/>
                <w:szCs w:val="21"/>
              </w:rPr>
              <w:t>本项目属于</w:t>
            </w:r>
            <w:r>
              <w:rPr>
                <w:rFonts w:hint="eastAsia"/>
                <w:snapToGrid w:val="0"/>
                <w:sz w:val="21"/>
                <w:szCs w:val="24"/>
              </w:rPr>
              <w:t>化学原料和化学制品制造业</w:t>
            </w:r>
            <w:r>
              <w:rPr>
                <w:rFonts w:hint="eastAsia"/>
                <w:snapToGrid w:val="0"/>
                <w:sz w:val="21"/>
                <w:szCs w:val="21"/>
              </w:rPr>
              <w:t>，项目建成后将按照相关要求开展清洁生产审核工作。</w:t>
            </w:r>
          </w:p>
        </w:tc>
        <w:tc>
          <w:tcPr>
            <w:tcW w:w="299" w:type="pct"/>
            <w:vAlign w:val="center"/>
          </w:tcPr>
          <w:p w14:paraId="277A575F">
            <w:pPr>
              <w:adjustRightInd/>
              <w:snapToGrid/>
              <w:spacing w:line="240" w:lineRule="auto"/>
              <w:ind w:firstLine="0" w:firstLineChars="0"/>
              <w:contextualSpacing/>
              <w:jc w:val="center"/>
              <w:rPr>
                <w:kern w:val="24"/>
                <w:sz w:val="21"/>
                <w:szCs w:val="21"/>
              </w:rPr>
            </w:pPr>
            <w:r>
              <w:rPr>
                <w:rFonts w:hint="eastAsia"/>
                <w:kern w:val="24"/>
                <w:sz w:val="21"/>
                <w:szCs w:val="21"/>
              </w:rPr>
              <w:t>符合</w:t>
            </w:r>
          </w:p>
        </w:tc>
      </w:tr>
      <w:tr w14:paraId="1D3E9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Merge w:val="continue"/>
            <w:vAlign w:val="center"/>
          </w:tcPr>
          <w:p w14:paraId="1D3E9AD7">
            <w:pPr>
              <w:adjustRightInd/>
              <w:snapToGrid/>
              <w:spacing w:line="240" w:lineRule="auto"/>
              <w:ind w:firstLine="0" w:firstLineChars="0"/>
              <w:contextualSpacing/>
              <w:jc w:val="center"/>
              <w:rPr>
                <w:sz w:val="21"/>
                <w:szCs w:val="21"/>
                <w:highlight w:val="yellow"/>
              </w:rPr>
            </w:pPr>
          </w:p>
        </w:tc>
        <w:tc>
          <w:tcPr>
            <w:tcW w:w="3051" w:type="pct"/>
            <w:tcBorders>
              <w:tl2br w:val="nil"/>
              <w:tr2bl w:val="nil"/>
            </w:tcBorders>
            <w:vAlign w:val="center"/>
          </w:tcPr>
          <w:p w14:paraId="1D3E9AD8">
            <w:pPr>
              <w:spacing w:line="240" w:lineRule="auto"/>
              <w:ind w:firstLine="210" w:firstLineChars="100"/>
              <w:jc w:val="left"/>
              <w:textAlignment w:val="auto"/>
              <w:rPr>
                <w:snapToGrid w:val="0"/>
                <w:sz w:val="21"/>
                <w:szCs w:val="24"/>
              </w:rPr>
            </w:pPr>
            <w:r>
              <w:rPr>
                <w:sz w:val="21"/>
                <w:szCs w:val="21"/>
              </w:rPr>
              <w:t>8</w:t>
            </w:r>
            <w:r>
              <w:rPr>
                <w:rFonts w:hint="eastAsia"/>
                <w:sz w:val="21"/>
                <w:szCs w:val="21"/>
              </w:rPr>
              <w:t>.</w:t>
            </w:r>
            <w:r>
              <w:rPr>
                <w:sz w:val="21"/>
                <w:szCs w:val="21"/>
              </w:rPr>
              <w:t>国家、省绩效分级重点行业以及涉及锅炉炉窑的其他行业，新建、扩建项目污染物排放限值、污染治理措施、无组织排放控</w:t>
            </w:r>
            <w:r>
              <w:rPr>
                <w:rFonts w:hint="eastAsia"/>
                <w:sz w:val="21"/>
                <w:szCs w:val="21"/>
              </w:rPr>
              <w:t>制水平、运输方式等达到A级绩效水平，改建项目污染物排放限值、污染治理措施、无组织排放控制水平、运输方式等达到B级以上绩效水平。</w:t>
            </w:r>
          </w:p>
        </w:tc>
        <w:tc>
          <w:tcPr>
            <w:tcW w:w="1399" w:type="pct"/>
            <w:vAlign w:val="center"/>
          </w:tcPr>
          <w:p w14:paraId="1D3E9AD9">
            <w:pPr>
              <w:spacing w:line="240" w:lineRule="auto"/>
              <w:ind w:firstLine="210" w:firstLineChars="100"/>
              <w:textAlignment w:val="auto"/>
              <w:rPr>
                <w:snapToGrid w:val="0"/>
                <w:sz w:val="21"/>
                <w:szCs w:val="24"/>
                <w:highlight w:val="yellow"/>
              </w:rPr>
            </w:pPr>
            <w:r>
              <w:rPr>
                <w:rFonts w:hint="eastAsia"/>
                <w:snapToGrid w:val="0"/>
                <w:sz w:val="21"/>
                <w:szCs w:val="24"/>
              </w:rPr>
              <w:t>本项目为新建项目，经查阅国家39个重点行业和省级12个重点行业，属于其中的重点行业有机化工，因此本项目污染物排放限值、污染治理措施、无组织排放控制水平、运输方式等按照《河南省重污染天气重点行业应急减排措施制定技术指南（2021年修订版）》中的有机化工企业A级绩效要求进行建设。</w:t>
            </w:r>
          </w:p>
        </w:tc>
        <w:tc>
          <w:tcPr>
            <w:tcW w:w="299" w:type="pct"/>
            <w:vAlign w:val="center"/>
          </w:tcPr>
          <w:p w14:paraId="1D3E9ADA">
            <w:pPr>
              <w:adjustRightInd/>
              <w:snapToGrid/>
              <w:spacing w:line="240" w:lineRule="auto"/>
              <w:ind w:firstLine="0" w:firstLineChars="0"/>
              <w:contextualSpacing/>
              <w:jc w:val="center"/>
              <w:rPr>
                <w:kern w:val="24"/>
                <w:sz w:val="21"/>
                <w:szCs w:val="21"/>
              </w:rPr>
            </w:pPr>
            <w:r>
              <w:rPr>
                <w:rFonts w:hint="eastAsia"/>
                <w:kern w:val="24"/>
                <w:sz w:val="21"/>
                <w:szCs w:val="21"/>
              </w:rPr>
              <w:t>符合</w:t>
            </w:r>
          </w:p>
        </w:tc>
      </w:tr>
      <w:tr w14:paraId="1D3E9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Merge w:val="restart"/>
            <w:vAlign w:val="center"/>
          </w:tcPr>
          <w:p w14:paraId="1D3E9ADC">
            <w:pPr>
              <w:adjustRightInd/>
              <w:snapToGrid/>
              <w:spacing w:line="240" w:lineRule="auto"/>
              <w:ind w:firstLine="0" w:firstLineChars="0"/>
              <w:contextualSpacing/>
              <w:jc w:val="center"/>
              <w:rPr>
                <w:sz w:val="21"/>
                <w:szCs w:val="21"/>
                <w:highlight w:val="yellow"/>
              </w:rPr>
            </w:pPr>
            <w:r>
              <w:rPr>
                <w:sz w:val="21"/>
                <w:szCs w:val="21"/>
              </w:rPr>
              <w:t>资源开发效率要求</w:t>
            </w:r>
          </w:p>
        </w:tc>
        <w:tc>
          <w:tcPr>
            <w:tcW w:w="3051" w:type="pct"/>
            <w:vAlign w:val="center"/>
          </w:tcPr>
          <w:p w14:paraId="1D3E9ADD">
            <w:pPr>
              <w:spacing w:line="240" w:lineRule="auto"/>
              <w:ind w:firstLine="210" w:firstLineChars="100"/>
              <w:jc w:val="left"/>
              <w:textAlignment w:val="auto"/>
              <w:rPr>
                <w:snapToGrid w:val="0"/>
                <w:sz w:val="21"/>
                <w:szCs w:val="24"/>
              </w:rPr>
            </w:pPr>
            <w:r>
              <w:rPr>
                <w:rFonts w:hint="eastAsia"/>
                <w:snapToGrid w:val="0"/>
                <w:sz w:val="21"/>
                <w:szCs w:val="24"/>
              </w:rPr>
              <w:t>1.“十四五”期间按照政府目标控制能耗增量指标。严控新增耗煤项目，新、改、扩建项目实施煤炭减量替代，重点削减非电力用煤。鼓励使用清洁燃料，重点区域建设项目原则上不新建燃煤自备锅炉。2023年底，全面淘汰35蒸吨/小时及以下的燃煤锅炉，鼓励淘汰4蒸吨/小时以下生物质锅炉，保留现有生物质锅炉应采用专用炉具，禁止掺烧煤炭、垃圾、工业固体废物等其他物料。</w:t>
            </w:r>
          </w:p>
        </w:tc>
        <w:tc>
          <w:tcPr>
            <w:tcW w:w="1399" w:type="pct"/>
            <w:vAlign w:val="center"/>
          </w:tcPr>
          <w:p w14:paraId="1D3E9ADE">
            <w:pPr>
              <w:spacing w:line="240" w:lineRule="auto"/>
              <w:ind w:firstLine="210" w:firstLineChars="100"/>
              <w:textAlignment w:val="auto"/>
              <w:rPr>
                <w:snapToGrid w:val="0"/>
                <w:sz w:val="21"/>
                <w:szCs w:val="24"/>
                <w:highlight w:val="yellow"/>
              </w:rPr>
            </w:pPr>
            <w:r>
              <w:rPr>
                <w:snapToGrid w:val="0"/>
                <w:sz w:val="21"/>
                <w:szCs w:val="24"/>
              </w:rPr>
              <w:t>本项目</w:t>
            </w:r>
            <w:r>
              <w:rPr>
                <w:rFonts w:hint="eastAsia"/>
                <w:snapToGrid w:val="0"/>
                <w:sz w:val="21"/>
                <w:szCs w:val="24"/>
              </w:rPr>
              <w:t>为新建项目，</w:t>
            </w:r>
            <w:r>
              <w:rPr>
                <w:snapToGrid w:val="0"/>
                <w:sz w:val="21"/>
                <w:szCs w:val="24"/>
              </w:rPr>
              <w:t>不涉及建燃煤锅炉</w:t>
            </w:r>
            <w:r>
              <w:rPr>
                <w:rFonts w:hint="eastAsia"/>
                <w:snapToGrid w:val="0"/>
                <w:sz w:val="21"/>
                <w:szCs w:val="24"/>
              </w:rPr>
              <w:t>和生物质锅炉</w:t>
            </w:r>
            <w:r>
              <w:rPr>
                <w:snapToGrid w:val="0"/>
                <w:sz w:val="21"/>
                <w:szCs w:val="24"/>
              </w:rPr>
              <w:t>。</w:t>
            </w:r>
          </w:p>
        </w:tc>
        <w:tc>
          <w:tcPr>
            <w:tcW w:w="299" w:type="pct"/>
            <w:vAlign w:val="center"/>
          </w:tcPr>
          <w:p w14:paraId="1D3E9ADF">
            <w:pPr>
              <w:adjustRightInd/>
              <w:snapToGrid/>
              <w:spacing w:line="240" w:lineRule="auto"/>
              <w:ind w:firstLine="0" w:firstLineChars="0"/>
              <w:contextualSpacing/>
              <w:jc w:val="center"/>
              <w:rPr>
                <w:kern w:val="24"/>
                <w:sz w:val="21"/>
                <w:szCs w:val="21"/>
              </w:rPr>
            </w:pPr>
            <w:r>
              <w:rPr>
                <w:kern w:val="24"/>
                <w:sz w:val="21"/>
                <w:szCs w:val="21"/>
              </w:rPr>
              <w:t>符合</w:t>
            </w:r>
          </w:p>
        </w:tc>
      </w:tr>
      <w:tr w14:paraId="1D3E9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Merge w:val="continue"/>
            <w:vAlign w:val="center"/>
          </w:tcPr>
          <w:p w14:paraId="1D3E9AE1">
            <w:pPr>
              <w:adjustRightInd/>
              <w:snapToGrid/>
              <w:spacing w:line="240" w:lineRule="auto"/>
              <w:ind w:firstLine="0" w:firstLineChars="0"/>
              <w:contextualSpacing/>
              <w:jc w:val="center"/>
              <w:rPr>
                <w:sz w:val="21"/>
                <w:szCs w:val="21"/>
                <w:highlight w:val="yellow"/>
              </w:rPr>
            </w:pPr>
          </w:p>
        </w:tc>
        <w:tc>
          <w:tcPr>
            <w:tcW w:w="3051" w:type="pct"/>
            <w:vAlign w:val="center"/>
          </w:tcPr>
          <w:p w14:paraId="1D3E9AE2">
            <w:pPr>
              <w:spacing w:line="240" w:lineRule="auto"/>
              <w:ind w:firstLine="210" w:firstLineChars="100"/>
              <w:jc w:val="left"/>
              <w:textAlignment w:val="auto"/>
              <w:rPr>
                <w:snapToGrid w:val="0"/>
                <w:sz w:val="21"/>
                <w:szCs w:val="24"/>
              </w:rPr>
            </w:pPr>
            <w:r>
              <w:rPr>
                <w:rFonts w:hint="eastAsia"/>
                <w:snapToGrid w:val="0"/>
                <w:sz w:val="21"/>
                <w:szCs w:val="24"/>
              </w:rPr>
              <w:t>2.重点推进南水北调受水区地下水压采工作，加快公共供水管网建设，促进供水管网覆盖范围以外的自备井封闭工作。</w:t>
            </w:r>
          </w:p>
        </w:tc>
        <w:tc>
          <w:tcPr>
            <w:tcW w:w="1399" w:type="pct"/>
            <w:vMerge w:val="restart"/>
            <w:vAlign w:val="center"/>
          </w:tcPr>
          <w:p w14:paraId="1D3E9AE3">
            <w:pPr>
              <w:spacing w:line="240" w:lineRule="auto"/>
              <w:ind w:firstLine="210" w:firstLineChars="100"/>
              <w:textAlignment w:val="auto"/>
              <w:rPr>
                <w:snapToGrid w:val="0"/>
                <w:sz w:val="21"/>
                <w:szCs w:val="24"/>
                <w:highlight w:val="yellow"/>
                <w:u w:val="single"/>
              </w:rPr>
            </w:pPr>
            <w:r>
              <w:rPr>
                <w:rFonts w:hint="eastAsia"/>
                <w:snapToGrid w:val="0"/>
                <w:sz w:val="21"/>
                <w:szCs w:val="24"/>
                <w:u w:val="single"/>
              </w:rPr>
              <w:t>目前园区生产用水管网正在建设中，生活用水管网已建成，建成之前生产用水暂时使用本项目租赁厂区新乡市太行水泥粉磨有限公司的自备井水，生活用水使用园区统一供水，待园区生产用水管网建成后，采用园区统一供应用水，</w:t>
            </w:r>
            <w:r>
              <w:rPr>
                <w:snapToGrid w:val="0"/>
                <w:sz w:val="21"/>
                <w:szCs w:val="24"/>
                <w:u w:val="single"/>
              </w:rPr>
              <w:t>不涉及自备井开采。</w:t>
            </w:r>
          </w:p>
        </w:tc>
        <w:tc>
          <w:tcPr>
            <w:tcW w:w="299" w:type="pct"/>
            <w:vAlign w:val="center"/>
          </w:tcPr>
          <w:p w14:paraId="1D3E9AE4">
            <w:pPr>
              <w:adjustRightInd/>
              <w:snapToGrid/>
              <w:spacing w:line="240" w:lineRule="auto"/>
              <w:ind w:firstLine="0" w:firstLineChars="0"/>
              <w:contextualSpacing/>
              <w:jc w:val="center"/>
              <w:rPr>
                <w:kern w:val="24"/>
                <w:sz w:val="21"/>
                <w:szCs w:val="21"/>
              </w:rPr>
            </w:pPr>
            <w:r>
              <w:rPr>
                <w:kern w:val="24"/>
                <w:sz w:val="21"/>
                <w:szCs w:val="21"/>
              </w:rPr>
              <w:t>符合</w:t>
            </w:r>
          </w:p>
        </w:tc>
      </w:tr>
      <w:tr w14:paraId="1D3E9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Merge w:val="continue"/>
            <w:vAlign w:val="center"/>
          </w:tcPr>
          <w:p w14:paraId="1D3E9AE6">
            <w:pPr>
              <w:adjustRightInd/>
              <w:snapToGrid/>
              <w:spacing w:line="240" w:lineRule="auto"/>
              <w:ind w:firstLine="0" w:firstLineChars="0"/>
              <w:contextualSpacing/>
              <w:jc w:val="center"/>
              <w:rPr>
                <w:sz w:val="21"/>
                <w:szCs w:val="21"/>
                <w:highlight w:val="yellow"/>
              </w:rPr>
            </w:pPr>
          </w:p>
        </w:tc>
        <w:tc>
          <w:tcPr>
            <w:tcW w:w="3051" w:type="pct"/>
            <w:vAlign w:val="center"/>
          </w:tcPr>
          <w:p w14:paraId="1D3E9AE7">
            <w:pPr>
              <w:spacing w:line="240" w:lineRule="auto"/>
              <w:ind w:firstLine="210" w:firstLineChars="100"/>
              <w:jc w:val="left"/>
              <w:textAlignment w:val="auto"/>
              <w:rPr>
                <w:snapToGrid w:val="0"/>
                <w:sz w:val="21"/>
                <w:szCs w:val="24"/>
              </w:rPr>
            </w:pPr>
            <w:r>
              <w:rPr>
                <w:rFonts w:hint="eastAsia"/>
                <w:snapToGrid w:val="0"/>
                <w:sz w:val="21"/>
                <w:szCs w:val="24"/>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1399" w:type="pct"/>
            <w:vMerge w:val="continue"/>
            <w:vAlign w:val="center"/>
          </w:tcPr>
          <w:p w14:paraId="1D3E9AE8">
            <w:pPr>
              <w:spacing w:line="240" w:lineRule="auto"/>
              <w:ind w:firstLine="210" w:firstLineChars="100"/>
              <w:textAlignment w:val="auto"/>
              <w:rPr>
                <w:snapToGrid w:val="0"/>
                <w:sz w:val="21"/>
                <w:szCs w:val="24"/>
                <w:highlight w:val="yellow"/>
              </w:rPr>
            </w:pPr>
          </w:p>
        </w:tc>
        <w:tc>
          <w:tcPr>
            <w:tcW w:w="299" w:type="pct"/>
            <w:vAlign w:val="center"/>
          </w:tcPr>
          <w:p w14:paraId="1D3E9AE9">
            <w:pPr>
              <w:adjustRightInd/>
              <w:snapToGrid/>
              <w:spacing w:line="240" w:lineRule="auto"/>
              <w:ind w:firstLine="0" w:firstLineChars="0"/>
              <w:contextualSpacing/>
              <w:jc w:val="center"/>
              <w:rPr>
                <w:kern w:val="24"/>
                <w:sz w:val="21"/>
                <w:szCs w:val="21"/>
              </w:rPr>
            </w:pPr>
            <w:r>
              <w:rPr>
                <w:kern w:val="24"/>
                <w:sz w:val="21"/>
                <w:szCs w:val="21"/>
              </w:rPr>
              <w:t>符合</w:t>
            </w:r>
          </w:p>
        </w:tc>
      </w:tr>
    </w:tbl>
    <w:p w14:paraId="6E9BCBE5">
      <w:pPr>
        <w:pStyle w:val="119"/>
        <w:ind w:firstLine="560"/>
      </w:pPr>
    </w:p>
    <w:p w14:paraId="5316895A">
      <w:pPr>
        <w:pStyle w:val="119"/>
        <w:ind w:firstLine="560"/>
      </w:pPr>
    </w:p>
    <w:p w14:paraId="1D3E9AEB">
      <w:pPr>
        <w:numPr>
          <w:ilvl w:val="0"/>
          <w:numId w:val="12"/>
        </w:numPr>
        <w:adjustRightInd/>
        <w:snapToGrid/>
        <w:ind w:firstLineChars="0"/>
        <w:textAlignment w:val="auto"/>
        <w:rPr>
          <w:b/>
          <w:bCs/>
        </w:rPr>
      </w:pPr>
      <w:r>
        <w:rPr>
          <w:b/>
          <w:bCs/>
        </w:rPr>
        <w:t xml:space="preserve">                              本项目与《清单》对比分析一览表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34"/>
        <w:gridCol w:w="634"/>
        <w:gridCol w:w="699"/>
        <w:gridCol w:w="698"/>
        <w:gridCol w:w="939"/>
        <w:gridCol w:w="5309"/>
        <w:gridCol w:w="4221"/>
        <w:gridCol w:w="681"/>
      </w:tblGrid>
      <w:tr w14:paraId="1D3E9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7" w:type="pct"/>
            <w:vAlign w:val="center"/>
          </w:tcPr>
          <w:p w14:paraId="1D3E9AEC">
            <w:pPr>
              <w:adjustRightInd/>
              <w:snapToGrid/>
              <w:spacing w:line="240" w:lineRule="auto"/>
              <w:ind w:firstLine="0" w:firstLineChars="0"/>
              <w:jc w:val="center"/>
              <w:textAlignment w:val="auto"/>
              <w:rPr>
                <w:b/>
                <w:kern w:val="2"/>
                <w:sz w:val="21"/>
              </w:rPr>
            </w:pPr>
            <w:r>
              <w:rPr>
                <w:b/>
                <w:kern w:val="2"/>
                <w:sz w:val="21"/>
              </w:rPr>
              <w:t>环境管控单元编码</w:t>
            </w:r>
          </w:p>
        </w:tc>
        <w:tc>
          <w:tcPr>
            <w:tcW w:w="226" w:type="pct"/>
            <w:vAlign w:val="center"/>
          </w:tcPr>
          <w:p w14:paraId="1D3E9AED">
            <w:pPr>
              <w:adjustRightInd/>
              <w:snapToGrid/>
              <w:spacing w:line="240" w:lineRule="auto"/>
              <w:ind w:firstLine="0" w:firstLineChars="0"/>
              <w:jc w:val="center"/>
              <w:textAlignment w:val="auto"/>
              <w:rPr>
                <w:b/>
                <w:kern w:val="2"/>
                <w:sz w:val="21"/>
              </w:rPr>
            </w:pPr>
            <w:r>
              <w:rPr>
                <w:b/>
                <w:kern w:val="2"/>
                <w:sz w:val="21"/>
              </w:rPr>
              <w:t>管控单元分类</w:t>
            </w:r>
          </w:p>
        </w:tc>
        <w:tc>
          <w:tcPr>
            <w:tcW w:w="249" w:type="pct"/>
            <w:vAlign w:val="center"/>
          </w:tcPr>
          <w:p w14:paraId="1D3E9AEE">
            <w:pPr>
              <w:adjustRightInd/>
              <w:snapToGrid/>
              <w:spacing w:line="240" w:lineRule="auto"/>
              <w:ind w:firstLine="0" w:firstLineChars="0"/>
              <w:jc w:val="center"/>
              <w:textAlignment w:val="auto"/>
              <w:rPr>
                <w:b/>
                <w:kern w:val="2"/>
                <w:sz w:val="21"/>
              </w:rPr>
            </w:pPr>
            <w:r>
              <w:rPr>
                <w:b/>
                <w:kern w:val="2"/>
                <w:sz w:val="21"/>
              </w:rPr>
              <w:t>管控单元名称</w:t>
            </w:r>
          </w:p>
        </w:tc>
        <w:tc>
          <w:tcPr>
            <w:tcW w:w="249" w:type="pct"/>
            <w:vAlign w:val="center"/>
          </w:tcPr>
          <w:p w14:paraId="1D3E9AEF">
            <w:pPr>
              <w:adjustRightInd/>
              <w:snapToGrid/>
              <w:spacing w:line="240" w:lineRule="auto"/>
              <w:ind w:firstLine="0" w:firstLineChars="0"/>
              <w:jc w:val="center"/>
              <w:textAlignment w:val="auto"/>
              <w:rPr>
                <w:b/>
                <w:kern w:val="2"/>
                <w:sz w:val="21"/>
              </w:rPr>
            </w:pPr>
            <w:r>
              <w:rPr>
                <w:b/>
                <w:kern w:val="2"/>
                <w:sz w:val="21"/>
              </w:rPr>
              <w:t>行政区划</w:t>
            </w:r>
          </w:p>
        </w:tc>
        <w:tc>
          <w:tcPr>
            <w:tcW w:w="2229" w:type="pct"/>
            <w:gridSpan w:val="2"/>
            <w:vAlign w:val="center"/>
          </w:tcPr>
          <w:p w14:paraId="1D3E9AF0">
            <w:pPr>
              <w:adjustRightInd/>
              <w:snapToGrid/>
              <w:spacing w:line="240" w:lineRule="auto"/>
              <w:ind w:firstLine="0" w:firstLineChars="0"/>
              <w:jc w:val="center"/>
              <w:textAlignment w:val="auto"/>
              <w:rPr>
                <w:b/>
                <w:kern w:val="2"/>
                <w:sz w:val="21"/>
              </w:rPr>
            </w:pPr>
            <w:r>
              <w:rPr>
                <w:b/>
                <w:kern w:val="2"/>
                <w:sz w:val="21"/>
              </w:rPr>
              <w:t>管控要求</w:t>
            </w:r>
          </w:p>
        </w:tc>
        <w:tc>
          <w:tcPr>
            <w:tcW w:w="1506" w:type="pct"/>
            <w:vAlign w:val="center"/>
          </w:tcPr>
          <w:p w14:paraId="1D3E9AF1">
            <w:pPr>
              <w:adjustRightInd/>
              <w:snapToGrid/>
              <w:spacing w:line="240" w:lineRule="auto"/>
              <w:ind w:firstLine="0" w:firstLineChars="0"/>
              <w:jc w:val="center"/>
              <w:textAlignment w:val="auto"/>
              <w:rPr>
                <w:b/>
                <w:kern w:val="2"/>
                <w:sz w:val="21"/>
              </w:rPr>
            </w:pPr>
            <w:r>
              <w:rPr>
                <w:b/>
                <w:kern w:val="2"/>
                <w:sz w:val="21"/>
              </w:rPr>
              <w:t>本项目</w:t>
            </w:r>
          </w:p>
        </w:tc>
        <w:tc>
          <w:tcPr>
            <w:tcW w:w="243" w:type="pct"/>
            <w:vAlign w:val="center"/>
          </w:tcPr>
          <w:p w14:paraId="1D3E9AF2">
            <w:pPr>
              <w:adjustRightInd/>
              <w:snapToGrid/>
              <w:spacing w:line="240" w:lineRule="auto"/>
              <w:ind w:firstLine="0" w:firstLineChars="0"/>
              <w:jc w:val="center"/>
              <w:textAlignment w:val="auto"/>
              <w:rPr>
                <w:b/>
                <w:kern w:val="2"/>
                <w:sz w:val="21"/>
              </w:rPr>
            </w:pPr>
            <w:r>
              <w:rPr>
                <w:b/>
                <w:kern w:val="2"/>
                <w:sz w:val="21"/>
              </w:rPr>
              <w:t>建设是否符合</w:t>
            </w:r>
          </w:p>
        </w:tc>
      </w:tr>
      <w:tr w14:paraId="1D3E9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7" w:type="pct"/>
            <w:vMerge w:val="restart"/>
            <w:vAlign w:val="center"/>
          </w:tcPr>
          <w:p w14:paraId="1D3E9AF4">
            <w:pPr>
              <w:adjustRightInd/>
              <w:snapToGrid/>
              <w:spacing w:line="240" w:lineRule="auto"/>
              <w:ind w:firstLine="0" w:firstLineChars="0"/>
              <w:contextualSpacing/>
              <w:jc w:val="center"/>
              <w:rPr>
                <w:sz w:val="21"/>
                <w:szCs w:val="21"/>
              </w:rPr>
            </w:pPr>
            <w:r>
              <w:rPr>
                <w:sz w:val="21"/>
                <w:szCs w:val="21"/>
                <w:lang w:bidi="ar"/>
              </w:rPr>
              <w:t>ZH4107</w:t>
            </w:r>
            <w:r>
              <w:rPr>
                <w:rFonts w:hint="eastAsia"/>
                <w:sz w:val="21"/>
                <w:szCs w:val="21"/>
                <w:lang w:bidi="ar"/>
              </w:rPr>
              <w:t>8120002</w:t>
            </w:r>
          </w:p>
        </w:tc>
        <w:tc>
          <w:tcPr>
            <w:tcW w:w="226" w:type="pct"/>
            <w:vMerge w:val="restart"/>
            <w:vAlign w:val="center"/>
          </w:tcPr>
          <w:p w14:paraId="1D3E9AF5">
            <w:pPr>
              <w:adjustRightInd/>
              <w:snapToGrid/>
              <w:spacing w:line="240" w:lineRule="auto"/>
              <w:ind w:firstLine="0" w:firstLineChars="0"/>
              <w:contextualSpacing/>
              <w:jc w:val="center"/>
              <w:rPr>
                <w:sz w:val="21"/>
                <w:szCs w:val="21"/>
              </w:rPr>
            </w:pPr>
            <w:r>
              <w:rPr>
                <w:sz w:val="21"/>
                <w:szCs w:val="21"/>
              </w:rPr>
              <w:t>重点管控单元</w:t>
            </w:r>
            <w:r>
              <w:rPr>
                <w:rFonts w:hint="eastAsia"/>
                <w:sz w:val="21"/>
                <w:szCs w:val="21"/>
                <w:lang w:bidi="ar"/>
              </w:rPr>
              <w:t>2</w:t>
            </w:r>
          </w:p>
        </w:tc>
        <w:tc>
          <w:tcPr>
            <w:tcW w:w="249" w:type="pct"/>
            <w:vMerge w:val="restart"/>
            <w:vAlign w:val="center"/>
          </w:tcPr>
          <w:p w14:paraId="1D3E9AF6">
            <w:pPr>
              <w:adjustRightInd/>
              <w:snapToGrid/>
              <w:spacing w:line="240" w:lineRule="auto"/>
              <w:ind w:firstLine="0" w:firstLineChars="0"/>
              <w:contextualSpacing/>
              <w:jc w:val="center"/>
              <w:rPr>
                <w:sz w:val="21"/>
                <w:szCs w:val="21"/>
              </w:rPr>
            </w:pPr>
            <w:r>
              <w:rPr>
                <w:rFonts w:hint="eastAsia"/>
                <w:sz w:val="21"/>
                <w:szCs w:val="21"/>
              </w:rPr>
              <w:t>卫辉市城镇重点单元</w:t>
            </w:r>
          </w:p>
        </w:tc>
        <w:tc>
          <w:tcPr>
            <w:tcW w:w="249" w:type="pct"/>
            <w:vMerge w:val="restart"/>
            <w:vAlign w:val="center"/>
          </w:tcPr>
          <w:p w14:paraId="1D3E9AF7">
            <w:pPr>
              <w:adjustRightInd/>
              <w:snapToGrid/>
              <w:spacing w:line="240" w:lineRule="auto"/>
              <w:ind w:firstLine="0" w:firstLineChars="0"/>
              <w:contextualSpacing/>
              <w:jc w:val="center"/>
              <w:rPr>
                <w:sz w:val="21"/>
                <w:szCs w:val="21"/>
                <w:lang w:bidi="ar"/>
              </w:rPr>
            </w:pPr>
            <w:r>
              <w:rPr>
                <w:rFonts w:hint="eastAsia"/>
                <w:sz w:val="21"/>
                <w:szCs w:val="21"/>
              </w:rPr>
              <w:t>卫辉市汲水镇</w:t>
            </w:r>
          </w:p>
        </w:tc>
        <w:tc>
          <w:tcPr>
            <w:tcW w:w="335" w:type="pct"/>
            <w:vAlign w:val="center"/>
          </w:tcPr>
          <w:p w14:paraId="1D3E9AF8">
            <w:pPr>
              <w:adjustRightInd/>
              <w:snapToGrid/>
              <w:spacing w:line="240" w:lineRule="auto"/>
              <w:ind w:firstLine="0" w:firstLineChars="0"/>
              <w:contextualSpacing/>
              <w:jc w:val="center"/>
              <w:rPr>
                <w:sz w:val="21"/>
                <w:szCs w:val="21"/>
                <w:highlight w:val="yellow"/>
              </w:rPr>
            </w:pPr>
            <w:r>
              <w:rPr>
                <w:sz w:val="21"/>
                <w:szCs w:val="21"/>
                <w:lang w:bidi="ar"/>
              </w:rPr>
              <w:t>空间布局约束</w:t>
            </w:r>
          </w:p>
        </w:tc>
        <w:tc>
          <w:tcPr>
            <w:tcW w:w="1894" w:type="pct"/>
            <w:vAlign w:val="center"/>
          </w:tcPr>
          <w:p w14:paraId="67A662E0">
            <w:pPr>
              <w:spacing w:line="240" w:lineRule="auto"/>
              <w:ind w:firstLine="210" w:firstLineChars="100"/>
              <w:textAlignment w:val="auto"/>
              <w:rPr>
                <w:snapToGrid w:val="0"/>
                <w:sz w:val="21"/>
                <w:szCs w:val="24"/>
                <w:lang w:bidi="ar"/>
              </w:rPr>
            </w:pPr>
            <w:r>
              <w:rPr>
                <w:rFonts w:hint="eastAsia"/>
                <w:snapToGrid w:val="0"/>
                <w:sz w:val="21"/>
                <w:szCs w:val="24"/>
                <w:lang w:bidi="ar"/>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14:paraId="384ED86F">
            <w:pPr>
              <w:spacing w:line="240" w:lineRule="auto"/>
              <w:ind w:firstLine="210" w:firstLineChars="100"/>
              <w:textAlignment w:val="auto"/>
              <w:rPr>
                <w:snapToGrid w:val="0"/>
                <w:sz w:val="21"/>
                <w:szCs w:val="24"/>
                <w:lang w:bidi="ar"/>
              </w:rPr>
            </w:pPr>
            <w:r>
              <w:rPr>
                <w:rFonts w:hint="eastAsia"/>
                <w:snapToGrid w:val="0"/>
                <w:sz w:val="21"/>
                <w:szCs w:val="24"/>
                <w:lang w:bidi="ar"/>
              </w:rPr>
              <w:t>2、严格控制新建、扩建高排放、高污染项目，包括钢铁、水泥、有色、平板玻璃、建筑陶瓷等行业及其他排放重金属、持久性有机污染物的工业项目等。</w:t>
            </w:r>
          </w:p>
          <w:p w14:paraId="43D1E421">
            <w:pPr>
              <w:spacing w:line="240" w:lineRule="auto"/>
              <w:ind w:firstLine="210" w:firstLineChars="100"/>
              <w:textAlignment w:val="auto"/>
              <w:rPr>
                <w:snapToGrid w:val="0"/>
                <w:sz w:val="21"/>
                <w:szCs w:val="24"/>
                <w:lang w:bidi="ar"/>
              </w:rPr>
            </w:pPr>
            <w:r>
              <w:rPr>
                <w:rFonts w:hint="eastAsia"/>
                <w:snapToGrid w:val="0"/>
                <w:sz w:val="21"/>
                <w:szCs w:val="24"/>
                <w:lang w:bidi="ar"/>
              </w:rPr>
              <w:t>3、严格控制新、改、扩建“两高”项目。</w:t>
            </w:r>
          </w:p>
          <w:p w14:paraId="1D3E9AFF">
            <w:pPr>
              <w:spacing w:line="240" w:lineRule="auto"/>
              <w:ind w:firstLine="210" w:firstLineChars="100"/>
              <w:textAlignment w:val="auto"/>
              <w:rPr>
                <w:snapToGrid w:val="0"/>
                <w:sz w:val="21"/>
                <w:szCs w:val="24"/>
                <w:highlight w:val="yellow"/>
                <w:lang w:bidi="ar"/>
              </w:rPr>
            </w:pPr>
            <w:r>
              <w:rPr>
                <w:rFonts w:hint="eastAsia"/>
                <w:snapToGrid w:val="0"/>
                <w:sz w:val="21"/>
                <w:szCs w:val="24"/>
                <w:lang w:bidi="ar"/>
              </w:rPr>
              <w:t>4、卫辉市铁西（化工）专业园区内项目按照《卫辉市铁西（化工）专业园区总体发展规划（2019-2035）环境影响报告书》及审查意见要求，合理布局相关项目。</w:t>
            </w:r>
          </w:p>
        </w:tc>
        <w:tc>
          <w:tcPr>
            <w:tcW w:w="1506" w:type="pct"/>
            <w:vAlign w:val="center"/>
          </w:tcPr>
          <w:p w14:paraId="0EB0C9E4">
            <w:pPr>
              <w:spacing w:line="240" w:lineRule="auto"/>
              <w:ind w:firstLine="210" w:firstLineChars="100"/>
              <w:textAlignment w:val="auto"/>
              <w:rPr>
                <w:snapToGrid w:val="0"/>
                <w:sz w:val="21"/>
                <w:szCs w:val="24"/>
                <w:lang w:bidi="ar"/>
              </w:rPr>
            </w:pPr>
            <w:r>
              <w:rPr>
                <w:rFonts w:hint="eastAsia"/>
                <w:snapToGrid w:val="0"/>
                <w:sz w:val="21"/>
                <w:szCs w:val="24"/>
                <w:lang w:bidi="ar"/>
              </w:rPr>
              <w:t>1、本项目为新建项目，属于</w:t>
            </w:r>
            <w:r>
              <w:rPr>
                <w:snapToGrid w:val="0"/>
                <w:sz w:val="21"/>
                <w:szCs w:val="24"/>
                <w:lang w:bidi="ar"/>
              </w:rPr>
              <w:t>化学原料和化学制品制造业</w:t>
            </w:r>
            <w:r>
              <w:rPr>
                <w:rFonts w:hint="eastAsia"/>
                <w:snapToGrid w:val="0"/>
                <w:sz w:val="21"/>
                <w:szCs w:val="24"/>
                <w:lang w:bidi="ar"/>
              </w:rPr>
              <w:t>，位于卫辉市铁西（化工）园区内，距最近的敏感点为厂区东南侧约580m的下园村，距离敏感点较远。</w:t>
            </w:r>
          </w:p>
          <w:p w14:paraId="72979ECC">
            <w:pPr>
              <w:spacing w:line="240" w:lineRule="auto"/>
              <w:ind w:firstLine="210" w:firstLineChars="100"/>
              <w:textAlignment w:val="auto"/>
              <w:rPr>
                <w:snapToGrid w:val="0"/>
                <w:sz w:val="21"/>
                <w:szCs w:val="24"/>
                <w:highlight w:val="yellow"/>
                <w:u w:val="single"/>
                <w:lang w:bidi="ar"/>
              </w:rPr>
            </w:pPr>
            <w:r>
              <w:rPr>
                <w:rFonts w:hint="eastAsia"/>
                <w:snapToGrid w:val="0"/>
                <w:sz w:val="21"/>
                <w:szCs w:val="24"/>
                <w:u w:val="single"/>
                <w:lang w:bidi="ar"/>
              </w:rPr>
              <w:t>2、本项目为新建项目，属于</w:t>
            </w:r>
            <w:r>
              <w:rPr>
                <w:snapToGrid w:val="0"/>
                <w:sz w:val="21"/>
                <w:szCs w:val="24"/>
                <w:u w:val="single"/>
                <w:lang w:bidi="ar"/>
              </w:rPr>
              <w:t>化学原料和化学制品制造业</w:t>
            </w:r>
            <w:r>
              <w:rPr>
                <w:rFonts w:hint="eastAsia"/>
                <w:snapToGrid w:val="0"/>
                <w:sz w:val="21"/>
                <w:szCs w:val="24"/>
                <w:u w:val="single"/>
                <w:lang w:bidi="ar"/>
              </w:rPr>
              <w:t>，不属于钢铁、水泥、有色、平板玻璃、建筑陶瓷等行业及其他排放重金属、持久性有机污染物的工业项目。</w:t>
            </w:r>
          </w:p>
          <w:p w14:paraId="615F745A">
            <w:pPr>
              <w:spacing w:line="240" w:lineRule="auto"/>
              <w:ind w:firstLine="210" w:firstLineChars="100"/>
              <w:jc w:val="left"/>
              <w:textAlignment w:val="auto"/>
              <w:rPr>
                <w:snapToGrid w:val="0"/>
                <w:sz w:val="21"/>
                <w:szCs w:val="24"/>
                <w:lang w:bidi="ar"/>
              </w:rPr>
            </w:pPr>
            <w:r>
              <w:rPr>
                <w:snapToGrid w:val="0"/>
                <w:sz w:val="21"/>
                <w:szCs w:val="24"/>
                <w:lang w:bidi="ar"/>
              </w:rPr>
              <w:t>3</w:t>
            </w:r>
            <w:r>
              <w:rPr>
                <w:rFonts w:hint="eastAsia"/>
                <w:snapToGrid w:val="0"/>
                <w:sz w:val="21"/>
                <w:szCs w:val="24"/>
                <w:lang w:bidi="ar"/>
              </w:rPr>
              <w:t>、</w:t>
            </w:r>
            <w:r>
              <w:rPr>
                <w:rFonts w:hint="eastAsia"/>
                <w:snapToGrid w:val="0"/>
                <w:sz w:val="21"/>
                <w:szCs w:val="24"/>
                <w:u w:val="single"/>
                <w:lang w:bidi="ar"/>
              </w:rPr>
              <w:t>本项目为新建项目，项目综合能耗约为0.1万吨标煤＜</w:t>
            </w:r>
            <w:r>
              <w:rPr>
                <w:snapToGrid w:val="0"/>
                <w:sz w:val="21"/>
                <w:szCs w:val="24"/>
                <w:u w:val="single"/>
                <w:lang w:bidi="ar"/>
              </w:rPr>
              <w:t>5</w:t>
            </w:r>
            <w:r>
              <w:rPr>
                <w:rFonts w:hint="eastAsia"/>
                <w:snapToGrid w:val="0"/>
                <w:sz w:val="21"/>
                <w:szCs w:val="24"/>
                <w:u w:val="single"/>
                <w:lang w:bidi="ar"/>
              </w:rPr>
              <w:t>万吨标准煤/年，根据《关于印发河南省“两高”项目管理目录（2023年修订）的通知》，本项目不属于“两高”项目</w:t>
            </w:r>
            <w:r>
              <w:rPr>
                <w:rFonts w:hint="eastAsia"/>
                <w:snapToGrid w:val="0"/>
                <w:sz w:val="21"/>
                <w:szCs w:val="24"/>
                <w:lang w:bidi="ar"/>
              </w:rPr>
              <w:t>。</w:t>
            </w:r>
          </w:p>
          <w:p w14:paraId="1D3E9B00">
            <w:pPr>
              <w:spacing w:line="240" w:lineRule="auto"/>
              <w:ind w:firstLine="210" w:firstLineChars="100"/>
              <w:textAlignment w:val="auto"/>
              <w:rPr>
                <w:snapToGrid w:val="0"/>
                <w:sz w:val="21"/>
                <w:szCs w:val="24"/>
                <w:highlight w:val="yellow"/>
                <w:lang w:bidi="ar"/>
              </w:rPr>
            </w:pPr>
            <w:r>
              <w:rPr>
                <w:rFonts w:hint="eastAsia"/>
                <w:snapToGrid w:val="0"/>
                <w:sz w:val="21"/>
                <w:szCs w:val="24"/>
                <w:lang w:bidi="ar"/>
              </w:rPr>
              <w:t>4、本项目满足《卫辉市铁西（化工）专业园区总体发展规划（2022-2035）环境影响报告书》及审查意见要求，根据《卫辉市铁西（化工）专业园区总体规划（2022-2035）-产业功能布局图》（见附图二（2）），项目厂址位于食品添加剂及助剂产业区，本项目的产品聚醚改性硅油可用于海绵稳定剂，符合园区产业功能布局规划。</w:t>
            </w:r>
          </w:p>
        </w:tc>
        <w:tc>
          <w:tcPr>
            <w:tcW w:w="243" w:type="pct"/>
            <w:vAlign w:val="center"/>
          </w:tcPr>
          <w:p w14:paraId="1D3E9B01">
            <w:pPr>
              <w:adjustRightInd/>
              <w:snapToGrid/>
              <w:spacing w:line="240" w:lineRule="auto"/>
              <w:ind w:firstLine="0" w:firstLineChars="0"/>
              <w:contextualSpacing/>
              <w:jc w:val="center"/>
              <w:rPr>
                <w:sz w:val="21"/>
                <w:szCs w:val="21"/>
              </w:rPr>
            </w:pPr>
            <w:r>
              <w:rPr>
                <w:kern w:val="24"/>
                <w:sz w:val="21"/>
                <w:szCs w:val="21"/>
              </w:rPr>
              <w:t>符合</w:t>
            </w:r>
          </w:p>
        </w:tc>
      </w:tr>
      <w:tr w14:paraId="1D3E9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7" w:type="pct"/>
            <w:vMerge w:val="continue"/>
            <w:vAlign w:val="center"/>
          </w:tcPr>
          <w:p w14:paraId="1D3E9B03">
            <w:pPr>
              <w:adjustRightInd/>
              <w:snapToGrid/>
              <w:spacing w:line="240" w:lineRule="auto"/>
              <w:ind w:firstLine="0" w:firstLineChars="0"/>
              <w:contextualSpacing/>
              <w:jc w:val="center"/>
              <w:rPr>
                <w:sz w:val="21"/>
                <w:szCs w:val="21"/>
                <w:highlight w:val="yellow"/>
              </w:rPr>
            </w:pPr>
          </w:p>
        </w:tc>
        <w:tc>
          <w:tcPr>
            <w:tcW w:w="226" w:type="pct"/>
            <w:vMerge w:val="continue"/>
            <w:vAlign w:val="center"/>
          </w:tcPr>
          <w:p w14:paraId="1D3E9B04">
            <w:pPr>
              <w:adjustRightInd/>
              <w:snapToGrid/>
              <w:spacing w:line="240" w:lineRule="auto"/>
              <w:ind w:firstLine="0" w:firstLineChars="0"/>
              <w:contextualSpacing/>
              <w:jc w:val="center"/>
              <w:rPr>
                <w:sz w:val="21"/>
                <w:szCs w:val="21"/>
                <w:highlight w:val="yellow"/>
              </w:rPr>
            </w:pPr>
          </w:p>
        </w:tc>
        <w:tc>
          <w:tcPr>
            <w:tcW w:w="249" w:type="pct"/>
            <w:vMerge w:val="continue"/>
            <w:vAlign w:val="center"/>
          </w:tcPr>
          <w:p w14:paraId="1D3E9B05">
            <w:pPr>
              <w:adjustRightInd/>
              <w:snapToGrid/>
              <w:spacing w:line="240" w:lineRule="auto"/>
              <w:ind w:firstLine="0" w:firstLineChars="0"/>
              <w:contextualSpacing/>
              <w:jc w:val="center"/>
              <w:rPr>
                <w:sz w:val="21"/>
                <w:szCs w:val="21"/>
                <w:highlight w:val="yellow"/>
              </w:rPr>
            </w:pPr>
          </w:p>
        </w:tc>
        <w:tc>
          <w:tcPr>
            <w:tcW w:w="249" w:type="pct"/>
            <w:vMerge w:val="continue"/>
            <w:vAlign w:val="center"/>
          </w:tcPr>
          <w:p w14:paraId="1D3E9B06">
            <w:pPr>
              <w:adjustRightInd/>
              <w:snapToGrid/>
              <w:spacing w:line="240" w:lineRule="auto"/>
              <w:ind w:firstLine="0" w:firstLineChars="0"/>
              <w:contextualSpacing/>
              <w:jc w:val="center"/>
              <w:rPr>
                <w:sz w:val="21"/>
                <w:szCs w:val="21"/>
                <w:highlight w:val="yellow"/>
              </w:rPr>
            </w:pPr>
          </w:p>
        </w:tc>
        <w:tc>
          <w:tcPr>
            <w:tcW w:w="335" w:type="pct"/>
            <w:vAlign w:val="center"/>
          </w:tcPr>
          <w:p w14:paraId="1D3E9B07">
            <w:pPr>
              <w:adjustRightInd/>
              <w:snapToGrid/>
              <w:spacing w:line="240" w:lineRule="auto"/>
              <w:ind w:firstLine="0" w:firstLineChars="0"/>
              <w:contextualSpacing/>
              <w:jc w:val="center"/>
              <w:rPr>
                <w:sz w:val="21"/>
                <w:szCs w:val="21"/>
                <w:highlight w:val="yellow"/>
              </w:rPr>
            </w:pPr>
            <w:r>
              <w:rPr>
                <w:sz w:val="21"/>
                <w:szCs w:val="21"/>
                <w:lang w:bidi="ar"/>
              </w:rPr>
              <w:t>污染物排放管控</w:t>
            </w:r>
          </w:p>
        </w:tc>
        <w:tc>
          <w:tcPr>
            <w:tcW w:w="1894" w:type="pct"/>
            <w:vAlign w:val="center"/>
          </w:tcPr>
          <w:p w14:paraId="1D3E9B0C">
            <w:pPr>
              <w:spacing w:line="240" w:lineRule="auto"/>
              <w:ind w:firstLine="210" w:firstLineChars="100"/>
              <w:textAlignment w:val="auto"/>
              <w:rPr>
                <w:snapToGrid w:val="0"/>
                <w:sz w:val="21"/>
                <w:szCs w:val="24"/>
                <w:highlight w:val="yellow"/>
              </w:rPr>
            </w:pPr>
            <w:r>
              <w:rPr>
                <w:rFonts w:hint="eastAsia"/>
                <w:snapToGrid w:val="0"/>
                <w:sz w:val="21"/>
                <w:szCs w:val="24"/>
                <w:lang w:bidi="ar"/>
              </w:rPr>
              <w:t>二氧化硫、氮氧化物、颗粒物、VOCs全面执行大气污染物特别排放限值。</w:t>
            </w:r>
          </w:p>
        </w:tc>
        <w:tc>
          <w:tcPr>
            <w:tcW w:w="1506" w:type="pct"/>
            <w:vAlign w:val="center"/>
          </w:tcPr>
          <w:p w14:paraId="1D3E9B0D">
            <w:pPr>
              <w:spacing w:line="240" w:lineRule="auto"/>
              <w:ind w:firstLine="210" w:firstLineChars="100"/>
              <w:textAlignment w:val="auto"/>
              <w:rPr>
                <w:highlight w:val="yellow"/>
                <w:lang w:bidi="ar"/>
              </w:rPr>
            </w:pPr>
            <w:r>
              <w:rPr>
                <w:rFonts w:hint="eastAsia"/>
                <w:sz w:val="21"/>
                <w:szCs w:val="21"/>
              </w:rPr>
              <w:t>本项目不排放二氧化硫、氮氧化物，颗粒物、VOCs全面执行大气污染物特别排放限值。</w:t>
            </w:r>
          </w:p>
        </w:tc>
        <w:tc>
          <w:tcPr>
            <w:tcW w:w="243" w:type="pct"/>
            <w:vAlign w:val="center"/>
          </w:tcPr>
          <w:p w14:paraId="1D3E9B0E">
            <w:pPr>
              <w:adjustRightInd/>
              <w:snapToGrid/>
              <w:spacing w:line="240" w:lineRule="auto"/>
              <w:ind w:firstLine="0" w:firstLineChars="0"/>
              <w:contextualSpacing/>
              <w:jc w:val="center"/>
              <w:rPr>
                <w:sz w:val="21"/>
                <w:szCs w:val="21"/>
              </w:rPr>
            </w:pPr>
            <w:r>
              <w:rPr>
                <w:kern w:val="24"/>
                <w:sz w:val="21"/>
                <w:szCs w:val="21"/>
              </w:rPr>
              <w:t>符合</w:t>
            </w:r>
          </w:p>
        </w:tc>
      </w:tr>
      <w:tr w14:paraId="1D3E9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7" w:type="pct"/>
            <w:vMerge w:val="continue"/>
            <w:vAlign w:val="center"/>
          </w:tcPr>
          <w:p w14:paraId="1D3E9B10">
            <w:pPr>
              <w:adjustRightInd/>
              <w:snapToGrid/>
              <w:spacing w:line="240" w:lineRule="auto"/>
              <w:ind w:firstLine="0" w:firstLineChars="0"/>
              <w:contextualSpacing/>
              <w:jc w:val="center"/>
              <w:rPr>
                <w:sz w:val="21"/>
                <w:szCs w:val="21"/>
                <w:highlight w:val="yellow"/>
              </w:rPr>
            </w:pPr>
          </w:p>
        </w:tc>
        <w:tc>
          <w:tcPr>
            <w:tcW w:w="226" w:type="pct"/>
            <w:vMerge w:val="continue"/>
            <w:vAlign w:val="center"/>
          </w:tcPr>
          <w:p w14:paraId="1D3E9B11">
            <w:pPr>
              <w:adjustRightInd/>
              <w:snapToGrid/>
              <w:spacing w:line="240" w:lineRule="auto"/>
              <w:ind w:firstLine="0" w:firstLineChars="0"/>
              <w:contextualSpacing/>
              <w:jc w:val="center"/>
              <w:rPr>
                <w:sz w:val="21"/>
                <w:szCs w:val="21"/>
                <w:highlight w:val="yellow"/>
              </w:rPr>
            </w:pPr>
          </w:p>
        </w:tc>
        <w:tc>
          <w:tcPr>
            <w:tcW w:w="249" w:type="pct"/>
            <w:vMerge w:val="continue"/>
            <w:vAlign w:val="center"/>
          </w:tcPr>
          <w:p w14:paraId="1D3E9B12">
            <w:pPr>
              <w:adjustRightInd/>
              <w:snapToGrid/>
              <w:spacing w:line="240" w:lineRule="auto"/>
              <w:ind w:firstLine="0" w:firstLineChars="0"/>
              <w:contextualSpacing/>
              <w:jc w:val="center"/>
              <w:rPr>
                <w:sz w:val="21"/>
                <w:szCs w:val="21"/>
                <w:highlight w:val="yellow"/>
              </w:rPr>
            </w:pPr>
          </w:p>
        </w:tc>
        <w:tc>
          <w:tcPr>
            <w:tcW w:w="249" w:type="pct"/>
            <w:vMerge w:val="continue"/>
            <w:vAlign w:val="center"/>
          </w:tcPr>
          <w:p w14:paraId="1D3E9B13">
            <w:pPr>
              <w:adjustRightInd/>
              <w:snapToGrid/>
              <w:spacing w:line="240" w:lineRule="auto"/>
              <w:ind w:firstLine="0" w:firstLineChars="0"/>
              <w:contextualSpacing/>
              <w:jc w:val="center"/>
              <w:rPr>
                <w:sz w:val="21"/>
                <w:szCs w:val="21"/>
                <w:highlight w:val="yellow"/>
              </w:rPr>
            </w:pPr>
          </w:p>
        </w:tc>
        <w:tc>
          <w:tcPr>
            <w:tcW w:w="335" w:type="pct"/>
            <w:vAlign w:val="center"/>
          </w:tcPr>
          <w:p w14:paraId="1D3E9B14">
            <w:pPr>
              <w:adjustRightInd/>
              <w:snapToGrid/>
              <w:spacing w:line="240" w:lineRule="auto"/>
              <w:ind w:firstLine="0" w:firstLineChars="0"/>
              <w:contextualSpacing/>
              <w:jc w:val="center"/>
              <w:rPr>
                <w:sz w:val="21"/>
                <w:szCs w:val="21"/>
                <w:highlight w:val="yellow"/>
              </w:rPr>
            </w:pPr>
            <w:r>
              <w:rPr>
                <w:sz w:val="21"/>
                <w:szCs w:val="21"/>
                <w:lang w:bidi="ar"/>
              </w:rPr>
              <w:t>环境风险防控</w:t>
            </w:r>
          </w:p>
        </w:tc>
        <w:tc>
          <w:tcPr>
            <w:tcW w:w="1894" w:type="pct"/>
            <w:vAlign w:val="center"/>
          </w:tcPr>
          <w:p w14:paraId="28E1E896">
            <w:pPr>
              <w:spacing w:line="240" w:lineRule="auto"/>
              <w:ind w:firstLine="210" w:firstLineChars="100"/>
              <w:textAlignment w:val="auto"/>
              <w:rPr>
                <w:snapToGrid w:val="0"/>
                <w:sz w:val="21"/>
                <w:szCs w:val="24"/>
                <w:lang w:bidi="ar"/>
              </w:rPr>
            </w:pPr>
            <w:r>
              <w:rPr>
                <w:rFonts w:hint="eastAsia"/>
                <w:snapToGrid w:val="0"/>
                <w:sz w:val="21"/>
                <w:szCs w:val="24"/>
                <w:lang w:bidi="ar"/>
              </w:rPr>
              <w:t>1、有色金属冶炼、铅酸蓄电池、石油加工、化工、电镀、制革和危险化学品生产、储存、使用等企业在拆除生产设施设备、污染治理设施时，要事先制定企业拆除活动污染防治方案和拆除活动环境应急预案。</w:t>
            </w:r>
          </w:p>
          <w:p w14:paraId="1D3E9B16">
            <w:pPr>
              <w:spacing w:line="240" w:lineRule="auto"/>
              <w:ind w:firstLine="210" w:firstLineChars="100"/>
              <w:textAlignment w:val="auto"/>
              <w:rPr>
                <w:snapToGrid w:val="0"/>
                <w:sz w:val="21"/>
                <w:szCs w:val="24"/>
                <w:highlight w:val="yellow"/>
              </w:rPr>
            </w:pPr>
            <w:r>
              <w:rPr>
                <w:rFonts w:hint="eastAsia"/>
                <w:snapToGrid w:val="0"/>
                <w:sz w:val="21"/>
                <w:szCs w:val="24"/>
                <w:lang w:bidi="ar"/>
              </w:rPr>
              <w:t>2、高关注地块划分污染风险等级，纳入优先管控名录。</w:t>
            </w:r>
          </w:p>
        </w:tc>
        <w:tc>
          <w:tcPr>
            <w:tcW w:w="1506" w:type="pct"/>
            <w:vAlign w:val="center"/>
          </w:tcPr>
          <w:p w14:paraId="2F2D1CD6">
            <w:pPr>
              <w:spacing w:line="240" w:lineRule="auto"/>
              <w:ind w:firstLine="210" w:firstLineChars="100"/>
              <w:textAlignment w:val="auto"/>
              <w:rPr>
                <w:sz w:val="21"/>
                <w:szCs w:val="21"/>
              </w:rPr>
            </w:pPr>
            <w:r>
              <w:rPr>
                <w:rFonts w:hint="eastAsia"/>
                <w:sz w:val="21"/>
                <w:szCs w:val="21"/>
              </w:rPr>
              <w:t>1、</w:t>
            </w:r>
            <w:r>
              <w:rPr>
                <w:sz w:val="21"/>
                <w:szCs w:val="21"/>
              </w:rPr>
              <w:t>项目不涉及</w:t>
            </w:r>
            <w:r>
              <w:rPr>
                <w:rFonts w:hint="eastAsia"/>
                <w:sz w:val="21"/>
                <w:szCs w:val="21"/>
              </w:rPr>
              <w:t>。</w:t>
            </w:r>
          </w:p>
          <w:p w14:paraId="1D3E9B17">
            <w:pPr>
              <w:spacing w:line="240" w:lineRule="auto"/>
              <w:ind w:firstLine="210" w:firstLineChars="100"/>
              <w:jc w:val="left"/>
              <w:textAlignment w:val="auto"/>
              <w:rPr>
                <w:snapToGrid w:val="0"/>
                <w:sz w:val="21"/>
                <w:szCs w:val="24"/>
                <w:highlight w:val="yellow"/>
              </w:rPr>
            </w:pPr>
            <w:r>
              <w:rPr>
                <w:rFonts w:hint="eastAsia"/>
                <w:sz w:val="21"/>
                <w:szCs w:val="21"/>
              </w:rPr>
              <w:t>2</w:t>
            </w:r>
            <w:r>
              <w:rPr>
                <w:rFonts w:hint="eastAsia"/>
                <w:snapToGrid w:val="0"/>
                <w:sz w:val="21"/>
                <w:szCs w:val="24"/>
                <w:lang w:bidi="ar"/>
              </w:rPr>
              <w:t>、</w:t>
            </w:r>
            <w:r>
              <w:rPr>
                <w:snapToGrid w:val="0"/>
                <w:sz w:val="21"/>
                <w:szCs w:val="24"/>
                <w:lang w:bidi="ar"/>
              </w:rPr>
              <w:t>项目不涉及。</w:t>
            </w:r>
          </w:p>
        </w:tc>
        <w:tc>
          <w:tcPr>
            <w:tcW w:w="243" w:type="pct"/>
            <w:vAlign w:val="center"/>
          </w:tcPr>
          <w:p w14:paraId="1D3E9B18">
            <w:pPr>
              <w:adjustRightInd/>
              <w:snapToGrid/>
              <w:spacing w:line="240" w:lineRule="auto"/>
              <w:ind w:firstLine="0" w:firstLineChars="0"/>
              <w:contextualSpacing/>
              <w:jc w:val="center"/>
              <w:rPr>
                <w:sz w:val="21"/>
                <w:szCs w:val="21"/>
              </w:rPr>
            </w:pPr>
            <w:r>
              <w:rPr>
                <w:kern w:val="24"/>
                <w:sz w:val="21"/>
                <w:szCs w:val="21"/>
              </w:rPr>
              <w:t>符合</w:t>
            </w:r>
          </w:p>
        </w:tc>
      </w:tr>
      <w:tr w14:paraId="1D3E9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7" w:type="pct"/>
            <w:vMerge w:val="continue"/>
            <w:vAlign w:val="center"/>
          </w:tcPr>
          <w:p w14:paraId="1D3E9B1A">
            <w:pPr>
              <w:adjustRightInd/>
              <w:snapToGrid/>
              <w:spacing w:line="240" w:lineRule="auto"/>
              <w:ind w:firstLine="0" w:firstLineChars="0"/>
              <w:contextualSpacing/>
              <w:jc w:val="center"/>
              <w:rPr>
                <w:sz w:val="21"/>
                <w:szCs w:val="21"/>
                <w:highlight w:val="yellow"/>
              </w:rPr>
            </w:pPr>
          </w:p>
        </w:tc>
        <w:tc>
          <w:tcPr>
            <w:tcW w:w="226" w:type="pct"/>
            <w:vMerge w:val="continue"/>
            <w:vAlign w:val="center"/>
          </w:tcPr>
          <w:p w14:paraId="1D3E9B1B">
            <w:pPr>
              <w:adjustRightInd/>
              <w:snapToGrid/>
              <w:spacing w:line="240" w:lineRule="auto"/>
              <w:ind w:firstLine="0" w:firstLineChars="0"/>
              <w:contextualSpacing/>
              <w:jc w:val="center"/>
              <w:rPr>
                <w:sz w:val="21"/>
                <w:szCs w:val="21"/>
                <w:highlight w:val="yellow"/>
              </w:rPr>
            </w:pPr>
          </w:p>
        </w:tc>
        <w:tc>
          <w:tcPr>
            <w:tcW w:w="249" w:type="pct"/>
            <w:vMerge w:val="continue"/>
            <w:vAlign w:val="center"/>
          </w:tcPr>
          <w:p w14:paraId="1D3E9B1C">
            <w:pPr>
              <w:adjustRightInd/>
              <w:snapToGrid/>
              <w:spacing w:line="240" w:lineRule="auto"/>
              <w:ind w:firstLine="0" w:firstLineChars="0"/>
              <w:contextualSpacing/>
              <w:jc w:val="center"/>
              <w:rPr>
                <w:sz w:val="21"/>
                <w:szCs w:val="21"/>
                <w:highlight w:val="yellow"/>
              </w:rPr>
            </w:pPr>
          </w:p>
        </w:tc>
        <w:tc>
          <w:tcPr>
            <w:tcW w:w="249" w:type="pct"/>
            <w:vMerge w:val="continue"/>
            <w:vAlign w:val="center"/>
          </w:tcPr>
          <w:p w14:paraId="1D3E9B1D">
            <w:pPr>
              <w:adjustRightInd/>
              <w:snapToGrid/>
              <w:spacing w:line="240" w:lineRule="auto"/>
              <w:ind w:firstLine="0" w:firstLineChars="0"/>
              <w:contextualSpacing/>
              <w:jc w:val="center"/>
              <w:rPr>
                <w:sz w:val="21"/>
                <w:szCs w:val="21"/>
                <w:highlight w:val="yellow"/>
              </w:rPr>
            </w:pPr>
          </w:p>
        </w:tc>
        <w:tc>
          <w:tcPr>
            <w:tcW w:w="335" w:type="pct"/>
            <w:vAlign w:val="center"/>
          </w:tcPr>
          <w:p w14:paraId="1D3E9B1E">
            <w:pPr>
              <w:adjustRightInd/>
              <w:snapToGrid/>
              <w:spacing w:line="240" w:lineRule="auto"/>
              <w:ind w:firstLine="0" w:firstLineChars="0"/>
              <w:contextualSpacing/>
              <w:jc w:val="center"/>
              <w:rPr>
                <w:sz w:val="21"/>
                <w:szCs w:val="21"/>
                <w:highlight w:val="yellow"/>
              </w:rPr>
            </w:pPr>
            <w:r>
              <w:rPr>
                <w:sz w:val="21"/>
                <w:szCs w:val="21"/>
                <w:lang w:bidi="ar"/>
              </w:rPr>
              <w:t>资源利用效率要求</w:t>
            </w:r>
          </w:p>
        </w:tc>
        <w:tc>
          <w:tcPr>
            <w:tcW w:w="1894" w:type="pct"/>
            <w:vAlign w:val="center"/>
          </w:tcPr>
          <w:p w14:paraId="1D3E9B21">
            <w:pPr>
              <w:spacing w:line="240" w:lineRule="auto"/>
              <w:ind w:firstLine="210" w:firstLineChars="100"/>
              <w:jc w:val="left"/>
              <w:textAlignment w:val="auto"/>
              <w:rPr>
                <w:snapToGrid w:val="0"/>
                <w:sz w:val="21"/>
                <w:szCs w:val="24"/>
                <w:highlight w:val="yellow"/>
              </w:rPr>
            </w:pPr>
            <w:r>
              <w:rPr>
                <w:rFonts w:hint="eastAsia"/>
                <w:snapToGrid w:val="0"/>
                <w:sz w:val="21"/>
                <w:szCs w:val="24"/>
                <w:lang w:bidi="ar"/>
              </w:rPr>
              <w:t>提高水资源利用效率和再生水利用率。</w:t>
            </w:r>
          </w:p>
        </w:tc>
        <w:tc>
          <w:tcPr>
            <w:tcW w:w="1506" w:type="pct"/>
            <w:vAlign w:val="center"/>
          </w:tcPr>
          <w:p w14:paraId="1D3E9B22">
            <w:pPr>
              <w:spacing w:line="240" w:lineRule="auto"/>
              <w:ind w:firstLine="210" w:firstLineChars="100"/>
              <w:textAlignment w:val="auto"/>
              <w:rPr>
                <w:snapToGrid w:val="0"/>
                <w:sz w:val="21"/>
                <w:szCs w:val="24"/>
                <w:highlight w:val="yellow"/>
              </w:rPr>
            </w:pPr>
            <w:r>
              <w:rPr>
                <w:rFonts w:hint="eastAsia"/>
                <w:snapToGrid w:val="0"/>
                <w:sz w:val="21"/>
                <w:szCs w:val="24"/>
              </w:rPr>
              <w:t>本项目不涉及。</w:t>
            </w:r>
          </w:p>
        </w:tc>
        <w:tc>
          <w:tcPr>
            <w:tcW w:w="243" w:type="pct"/>
            <w:vAlign w:val="center"/>
          </w:tcPr>
          <w:p w14:paraId="1D3E9B23">
            <w:pPr>
              <w:adjustRightInd/>
              <w:snapToGrid/>
              <w:spacing w:line="240" w:lineRule="auto"/>
              <w:ind w:firstLine="0" w:firstLineChars="0"/>
              <w:contextualSpacing/>
              <w:jc w:val="center"/>
              <w:rPr>
                <w:sz w:val="21"/>
                <w:szCs w:val="21"/>
              </w:rPr>
            </w:pPr>
            <w:r>
              <w:rPr>
                <w:kern w:val="24"/>
                <w:sz w:val="21"/>
                <w:szCs w:val="21"/>
              </w:rPr>
              <w:t>符合</w:t>
            </w:r>
          </w:p>
        </w:tc>
      </w:tr>
    </w:tbl>
    <w:p w14:paraId="45230F5A">
      <w:pPr>
        <w:ind w:firstLine="480"/>
      </w:pPr>
      <w:r>
        <w:rPr>
          <w:rFonts w:hint="eastAsia"/>
          <w:lang w:val="pt-BR"/>
        </w:rPr>
        <w:t>综上，</w:t>
      </w:r>
      <w:r>
        <w:rPr>
          <w:rFonts w:hint="eastAsia" w:ascii="宋体" w:hAnsi="宋体"/>
        </w:rPr>
        <w:t>本项目符合《新乡市</w:t>
      </w:r>
      <w:r>
        <w:rPr>
          <w:rFonts w:hint="eastAsia"/>
        </w:rPr>
        <w:t>“三线一单”生态环境准入清单（试行）》（2</w:t>
      </w:r>
      <w:r>
        <w:t>023</w:t>
      </w:r>
      <w:r>
        <w:rPr>
          <w:rFonts w:hint="eastAsia"/>
        </w:rPr>
        <w:t>）的相关要求。</w:t>
      </w:r>
    </w:p>
    <w:p w14:paraId="6685F341">
      <w:pPr>
        <w:ind w:firstLine="480"/>
        <w:rPr>
          <w:highlight w:val="yellow"/>
        </w:rPr>
        <w:sectPr>
          <w:pgSz w:w="16838" w:h="11906" w:orient="landscape"/>
          <w:pgMar w:top="1797" w:right="1440" w:bottom="1797" w:left="1440" w:header="851" w:footer="992" w:gutter="0"/>
          <w:cols w:space="720" w:num="1"/>
          <w:docGrid w:linePitch="326" w:charSpace="0"/>
        </w:sectPr>
      </w:pPr>
    </w:p>
    <w:p w14:paraId="1D3E9B27">
      <w:pPr>
        <w:pStyle w:val="5"/>
        <w:spacing w:before="240" w:after="240"/>
      </w:pPr>
      <w:r>
        <w:t>与《新乡市“十四五”生态环境保护和生态经济发展规划》相符性分析</w:t>
      </w:r>
    </w:p>
    <w:p w14:paraId="1D3E9B28">
      <w:pPr>
        <w:ind w:firstLine="480"/>
        <w:jc w:val="left"/>
        <w:rPr>
          <w:bCs/>
        </w:rPr>
      </w:pPr>
      <w:r>
        <w:rPr>
          <w:bCs/>
        </w:rPr>
        <w:t>本项目与《新乡市“十四五”生态环境保护和生态经济发展规划》（以下简称《规划》）对比分析见下表。</w:t>
      </w:r>
    </w:p>
    <w:p w14:paraId="1D3E9B29">
      <w:pPr>
        <w:numPr>
          <w:ilvl w:val="0"/>
          <w:numId w:val="12"/>
        </w:numPr>
        <w:adjustRightInd/>
        <w:snapToGrid/>
        <w:ind w:firstLineChars="0"/>
        <w:textAlignment w:val="auto"/>
        <w:rPr>
          <w:b/>
          <w:bCs/>
        </w:rPr>
      </w:pPr>
      <w:r>
        <w:rPr>
          <w:b/>
          <w:bCs/>
        </w:rPr>
        <w:t xml:space="preserve">    </w:t>
      </w:r>
      <w:r>
        <w:rPr>
          <w:rFonts w:hint="eastAsia"/>
          <w:b/>
          <w:bCs/>
        </w:rPr>
        <w:t xml:space="preserve">         </w:t>
      </w:r>
      <w:r>
        <w:rPr>
          <w:b/>
          <w:bCs/>
        </w:rPr>
        <w:t>与《规划》对比分析</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19"/>
        <w:gridCol w:w="951"/>
        <w:gridCol w:w="3508"/>
        <w:gridCol w:w="2546"/>
        <w:gridCol w:w="544"/>
      </w:tblGrid>
      <w:tr w14:paraId="1D3E9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3154" w:type="pct"/>
            <w:gridSpan w:val="3"/>
            <w:vAlign w:val="center"/>
          </w:tcPr>
          <w:p w14:paraId="1D3E9B2A">
            <w:pPr>
              <w:adjustRightInd/>
              <w:snapToGrid/>
              <w:spacing w:line="240" w:lineRule="auto"/>
              <w:ind w:firstLine="0" w:firstLineChars="0"/>
              <w:jc w:val="center"/>
              <w:textAlignment w:val="auto"/>
              <w:rPr>
                <w:b/>
                <w:kern w:val="2"/>
                <w:sz w:val="21"/>
                <w:szCs w:val="21"/>
              </w:rPr>
            </w:pPr>
            <w:r>
              <w:rPr>
                <w:b/>
                <w:kern w:val="2"/>
                <w:sz w:val="21"/>
                <w:szCs w:val="21"/>
              </w:rPr>
              <w:t>与本项目相关条文</w:t>
            </w:r>
          </w:p>
        </w:tc>
        <w:tc>
          <w:tcPr>
            <w:tcW w:w="1521" w:type="pct"/>
            <w:vAlign w:val="center"/>
          </w:tcPr>
          <w:p w14:paraId="1D3E9B2B">
            <w:pPr>
              <w:adjustRightInd/>
              <w:snapToGrid/>
              <w:spacing w:line="240" w:lineRule="auto"/>
              <w:ind w:firstLine="0" w:firstLineChars="0"/>
              <w:jc w:val="center"/>
              <w:textAlignment w:val="auto"/>
              <w:rPr>
                <w:b/>
                <w:kern w:val="2"/>
                <w:sz w:val="21"/>
                <w:szCs w:val="21"/>
              </w:rPr>
            </w:pPr>
            <w:r>
              <w:rPr>
                <w:b/>
                <w:kern w:val="2"/>
                <w:sz w:val="21"/>
                <w:szCs w:val="21"/>
              </w:rPr>
              <w:t>本项目情况</w:t>
            </w:r>
          </w:p>
        </w:tc>
        <w:tc>
          <w:tcPr>
            <w:tcW w:w="325" w:type="pct"/>
            <w:vAlign w:val="center"/>
          </w:tcPr>
          <w:p w14:paraId="1D3E9B2C">
            <w:pPr>
              <w:adjustRightInd/>
              <w:snapToGrid/>
              <w:spacing w:line="240" w:lineRule="auto"/>
              <w:ind w:firstLine="0" w:firstLineChars="0"/>
              <w:jc w:val="center"/>
              <w:textAlignment w:val="auto"/>
              <w:rPr>
                <w:b/>
                <w:kern w:val="2"/>
                <w:sz w:val="21"/>
                <w:szCs w:val="21"/>
              </w:rPr>
            </w:pPr>
            <w:r>
              <w:rPr>
                <w:b/>
                <w:kern w:val="2"/>
                <w:sz w:val="21"/>
                <w:szCs w:val="21"/>
              </w:rPr>
              <w:t>相符性</w:t>
            </w:r>
          </w:p>
        </w:tc>
      </w:tr>
      <w:tr w14:paraId="1D3E9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0" w:type="pct"/>
            <w:vAlign w:val="center"/>
          </w:tcPr>
          <w:p w14:paraId="1D3E9B2E">
            <w:pPr>
              <w:adjustRightInd/>
              <w:snapToGrid/>
              <w:spacing w:line="240" w:lineRule="auto"/>
              <w:ind w:firstLine="0" w:firstLineChars="0"/>
              <w:contextualSpacing/>
              <w:jc w:val="center"/>
              <w:rPr>
                <w:sz w:val="21"/>
                <w:szCs w:val="21"/>
              </w:rPr>
            </w:pPr>
            <w:r>
              <w:rPr>
                <w:sz w:val="21"/>
                <w:szCs w:val="21"/>
              </w:rPr>
              <w:t>第二章</w:t>
            </w:r>
          </w:p>
          <w:p w14:paraId="1D3E9B2F">
            <w:pPr>
              <w:adjustRightInd/>
              <w:snapToGrid/>
              <w:spacing w:line="240" w:lineRule="auto"/>
              <w:ind w:firstLine="0" w:firstLineChars="0"/>
              <w:contextualSpacing/>
              <w:jc w:val="center"/>
              <w:rPr>
                <w:sz w:val="21"/>
                <w:szCs w:val="21"/>
              </w:rPr>
            </w:pPr>
            <w:r>
              <w:rPr>
                <w:sz w:val="21"/>
                <w:szCs w:val="21"/>
              </w:rPr>
              <w:t>总体要求</w:t>
            </w:r>
          </w:p>
        </w:tc>
        <w:tc>
          <w:tcPr>
            <w:tcW w:w="568" w:type="pct"/>
            <w:vAlign w:val="center"/>
          </w:tcPr>
          <w:p w14:paraId="1D3E9B30">
            <w:pPr>
              <w:adjustRightInd/>
              <w:snapToGrid/>
              <w:spacing w:line="240" w:lineRule="auto"/>
              <w:ind w:firstLine="0" w:firstLineChars="0"/>
              <w:contextualSpacing/>
              <w:rPr>
                <w:sz w:val="21"/>
                <w:szCs w:val="21"/>
              </w:rPr>
            </w:pPr>
            <w:r>
              <w:rPr>
                <w:sz w:val="21"/>
                <w:szCs w:val="21"/>
              </w:rPr>
              <w:t>第三节主要目标</w:t>
            </w:r>
          </w:p>
        </w:tc>
        <w:tc>
          <w:tcPr>
            <w:tcW w:w="2096" w:type="pct"/>
            <w:vAlign w:val="center"/>
          </w:tcPr>
          <w:p w14:paraId="1D3E9B31">
            <w:pPr>
              <w:spacing w:line="240" w:lineRule="auto"/>
              <w:ind w:firstLine="210" w:firstLineChars="100"/>
              <w:jc w:val="left"/>
              <w:textAlignment w:val="auto"/>
              <w:rPr>
                <w:snapToGrid w:val="0"/>
                <w:sz w:val="21"/>
                <w:szCs w:val="21"/>
              </w:rPr>
            </w:pPr>
            <w:r>
              <w:rPr>
                <w:snapToGrid w:val="0"/>
                <w:sz w:val="21"/>
                <w:szCs w:val="21"/>
              </w:rPr>
              <w:t>环境风险有效稳定防控。土壤安全利用水平稳步提升，医疗废物、危险废物收集处置能力明显增强，核与辐射安全水平大幅提升。</w:t>
            </w:r>
          </w:p>
        </w:tc>
        <w:tc>
          <w:tcPr>
            <w:tcW w:w="1521" w:type="pct"/>
            <w:vAlign w:val="center"/>
          </w:tcPr>
          <w:p w14:paraId="1D3E9B32">
            <w:pPr>
              <w:spacing w:line="240" w:lineRule="auto"/>
              <w:ind w:firstLine="210" w:firstLineChars="100"/>
              <w:textAlignment w:val="auto"/>
              <w:rPr>
                <w:snapToGrid w:val="0"/>
                <w:sz w:val="21"/>
                <w:szCs w:val="21"/>
              </w:rPr>
            </w:pPr>
            <w:r>
              <w:rPr>
                <w:snapToGrid w:val="0"/>
                <w:sz w:val="21"/>
                <w:szCs w:val="21"/>
              </w:rPr>
              <w:t>项目严格按照要求采取风险应急防范措施。厂区除绿化外全部硬化，并做好分区防渗。危险废物按要求收集、贮存，交有资质单位处理。</w:t>
            </w:r>
          </w:p>
        </w:tc>
        <w:tc>
          <w:tcPr>
            <w:tcW w:w="325" w:type="pct"/>
            <w:vAlign w:val="center"/>
          </w:tcPr>
          <w:p w14:paraId="1D3E9B33">
            <w:pPr>
              <w:adjustRightInd/>
              <w:snapToGrid/>
              <w:spacing w:line="240" w:lineRule="auto"/>
              <w:ind w:firstLine="0" w:firstLineChars="0"/>
              <w:contextualSpacing/>
              <w:jc w:val="center"/>
              <w:rPr>
                <w:sz w:val="21"/>
                <w:szCs w:val="21"/>
              </w:rPr>
            </w:pPr>
            <w:r>
              <w:rPr>
                <w:sz w:val="21"/>
                <w:szCs w:val="21"/>
              </w:rPr>
              <w:t>相符</w:t>
            </w:r>
          </w:p>
        </w:tc>
      </w:tr>
      <w:tr w14:paraId="1D3E9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0" w:type="pct"/>
            <w:vMerge w:val="restart"/>
            <w:vAlign w:val="center"/>
          </w:tcPr>
          <w:p w14:paraId="1D3E9B35">
            <w:pPr>
              <w:adjustRightInd/>
              <w:snapToGrid/>
              <w:spacing w:line="240" w:lineRule="auto"/>
              <w:ind w:firstLine="0" w:firstLineChars="0"/>
              <w:contextualSpacing/>
              <w:jc w:val="center"/>
              <w:rPr>
                <w:sz w:val="21"/>
                <w:szCs w:val="21"/>
              </w:rPr>
            </w:pPr>
            <w:r>
              <w:rPr>
                <w:sz w:val="21"/>
                <w:szCs w:val="21"/>
              </w:rPr>
              <w:t>第三章</w:t>
            </w:r>
          </w:p>
          <w:p w14:paraId="1D3E9B36">
            <w:pPr>
              <w:adjustRightInd/>
              <w:snapToGrid/>
              <w:spacing w:line="240" w:lineRule="auto"/>
              <w:ind w:firstLine="0" w:firstLineChars="0"/>
              <w:contextualSpacing/>
              <w:jc w:val="center"/>
              <w:rPr>
                <w:sz w:val="21"/>
                <w:szCs w:val="21"/>
              </w:rPr>
            </w:pPr>
            <w:r>
              <w:rPr>
                <w:sz w:val="21"/>
                <w:szCs w:val="21"/>
              </w:rPr>
              <w:t>绿色低碳转型，提升黄河生态</w:t>
            </w:r>
          </w:p>
        </w:tc>
        <w:tc>
          <w:tcPr>
            <w:tcW w:w="568" w:type="pct"/>
            <w:vAlign w:val="center"/>
          </w:tcPr>
          <w:p w14:paraId="1D3E9B37">
            <w:pPr>
              <w:adjustRightInd/>
              <w:snapToGrid/>
              <w:spacing w:line="240" w:lineRule="auto"/>
              <w:ind w:firstLine="0" w:firstLineChars="0"/>
              <w:contextualSpacing/>
              <w:rPr>
                <w:sz w:val="21"/>
                <w:szCs w:val="21"/>
              </w:rPr>
            </w:pPr>
            <w:r>
              <w:rPr>
                <w:sz w:val="21"/>
                <w:szCs w:val="21"/>
              </w:rPr>
              <w:t>第二节统筹区域绿色发展格局</w:t>
            </w:r>
          </w:p>
        </w:tc>
        <w:tc>
          <w:tcPr>
            <w:tcW w:w="2096" w:type="pct"/>
            <w:vAlign w:val="center"/>
          </w:tcPr>
          <w:p w14:paraId="1D3E9B38">
            <w:pPr>
              <w:spacing w:line="240" w:lineRule="auto"/>
              <w:ind w:firstLine="210" w:firstLineChars="100"/>
              <w:textAlignment w:val="auto"/>
              <w:rPr>
                <w:snapToGrid w:val="0"/>
                <w:sz w:val="21"/>
                <w:szCs w:val="21"/>
              </w:rPr>
            </w:pPr>
            <w:r>
              <w:rPr>
                <w:snapToGrid w:val="0"/>
                <w:sz w:val="21"/>
                <w:szCs w:val="21"/>
              </w:rPr>
              <w:t>完善生态环境分区管控机制。落实“三线一单”生态环境分区管控体系，构建以“三线一单”为空间管控基础、环境影响评价为环境准入把关、排污许可为企业运行守法依据的生态环境管理框架，严格规划环评审查和建设项目环境准入，从源头预防环境污染和生态破坏。</w:t>
            </w:r>
          </w:p>
        </w:tc>
        <w:tc>
          <w:tcPr>
            <w:tcW w:w="1521" w:type="pct"/>
            <w:vAlign w:val="center"/>
          </w:tcPr>
          <w:p w14:paraId="1D3E9B39">
            <w:pPr>
              <w:spacing w:line="240" w:lineRule="auto"/>
              <w:ind w:firstLine="210" w:firstLineChars="100"/>
              <w:jc w:val="left"/>
              <w:textAlignment w:val="auto"/>
              <w:rPr>
                <w:snapToGrid w:val="0"/>
                <w:sz w:val="21"/>
                <w:szCs w:val="21"/>
              </w:rPr>
            </w:pPr>
            <w:r>
              <w:rPr>
                <w:snapToGrid w:val="0"/>
                <w:sz w:val="21"/>
                <w:szCs w:val="21"/>
              </w:rPr>
              <w:t>本项目属于化学原料和化学制品制造业，符合新乡市“三线一单”生态环境分区管控要求。</w:t>
            </w:r>
          </w:p>
        </w:tc>
        <w:tc>
          <w:tcPr>
            <w:tcW w:w="325" w:type="pct"/>
            <w:vAlign w:val="center"/>
          </w:tcPr>
          <w:p w14:paraId="1D3E9B3A">
            <w:pPr>
              <w:adjustRightInd/>
              <w:snapToGrid/>
              <w:spacing w:line="240" w:lineRule="auto"/>
              <w:ind w:firstLine="0" w:firstLineChars="0"/>
              <w:contextualSpacing/>
              <w:jc w:val="center"/>
              <w:rPr>
                <w:sz w:val="21"/>
                <w:szCs w:val="21"/>
              </w:rPr>
            </w:pPr>
            <w:r>
              <w:rPr>
                <w:sz w:val="21"/>
                <w:szCs w:val="21"/>
              </w:rPr>
              <w:t>相符</w:t>
            </w:r>
          </w:p>
        </w:tc>
      </w:tr>
      <w:tr w14:paraId="1D3E9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0" w:type="pct"/>
            <w:vMerge w:val="continue"/>
            <w:vAlign w:val="center"/>
          </w:tcPr>
          <w:p w14:paraId="1D3E9B3C">
            <w:pPr>
              <w:adjustRightInd/>
              <w:snapToGrid/>
              <w:spacing w:line="240" w:lineRule="auto"/>
              <w:ind w:firstLine="0" w:firstLineChars="0"/>
              <w:contextualSpacing/>
              <w:jc w:val="center"/>
              <w:rPr>
                <w:sz w:val="21"/>
                <w:szCs w:val="21"/>
              </w:rPr>
            </w:pPr>
          </w:p>
        </w:tc>
        <w:tc>
          <w:tcPr>
            <w:tcW w:w="568" w:type="pct"/>
            <w:vAlign w:val="center"/>
          </w:tcPr>
          <w:p w14:paraId="1D3E9B3D">
            <w:pPr>
              <w:adjustRightInd/>
              <w:snapToGrid/>
              <w:spacing w:line="240" w:lineRule="auto"/>
              <w:ind w:firstLine="0" w:firstLineChars="0"/>
              <w:contextualSpacing/>
              <w:rPr>
                <w:sz w:val="21"/>
                <w:szCs w:val="21"/>
              </w:rPr>
            </w:pPr>
            <w:r>
              <w:rPr>
                <w:sz w:val="21"/>
                <w:szCs w:val="21"/>
              </w:rPr>
              <w:t>第三节优化绿色产业发展方式</w:t>
            </w:r>
          </w:p>
        </w:tc>
        <w:tc>
          <w:tcPr>
            <w:tcW w:w="2096" w:type="pct"/>
            <w:vAlign w:val="center"/>
          </w:tcPr>
          <w:p w14:paraId="1D3E9B3E">
            <w:pPr>
              <w:spacing w:line="240" w:lineRule="auto"/>
              <w:ind w:firstLine="210" w:firstLineChars="100"/>
              <w:jc w:val="center"/>
              <w:textAlignment w:val="auto"/>
              <w:rPr>
                <w:snapToGrid w:val="0"/>
                <w:sz w:val="21"/>
                <w:szCs w:val="21"/>
              </w:rPr>
            </w:pPr>
            <w:r>
              <w:rPr>
                <w:snapToGrid w:val="0"/>
                <w:sz w:val="21"/>
                <w:szCs w:val="21"/>
              </w:rPr>
              <w:t>遏制“两高”项目发展。</w:t>
            </w:r>
          </w:p>
        </w:tc>
        <w:tc>
          <w:tcPr>
            <w:tcW w:w="1521" w:type="pct"/>
            <w:vAlign w:val="center"/>
          </w:tcPr>
          <w:p w14:paraId="1D3E9B3F">
            <w:pPr>
              <w:spacing w:line="240" w:lineRule="auto"/>
              <w:ind w:firstLine="210" w:firstLineChars="100"/>
              <w:jc w:val="left"/>
              <w:textAlignment w:val="auto"/>
              <w:rPr>
                <w:snapToGrid w:val="0"/>
                <w:sz w:val="21"/>
                <w:szCs w:val="21"/>
                <w:u w:val="single"/>
              </w:rPr>
            </w:pPr>
            <w:r>
              <w:rPr>
                <w:snapToGrid w:val="0"/>
                <w:sz w:val="21"/>
                <w:szCs w:val="21"/>
                <w:u w:val="single"/>
              </w:rPr>
              <w:t>本项目属于化学原料和化学制品制造业，</w:t>
            </w:r>
            <w:r>
              <w:rPr>
                <w:rFonts w:hint="eastAsia"/>
                <w:snapToGrid w:val="0"/>
                <w:sz w:val="21"/>
                <w:szCs w:val="24"/>
                <w:u w:val="single"/>
                <w:lang w:bidi="ar"/>
              </w:rPr>
              <w:t>综合能耗约为0.1万吨标煤＜</w:t>
            </w:r>
            <w:r>
              <w:rPr>
                <w:snapToGrid w:val="0"/>
                <w:sz w:val="21"/>
                <w:szCs w:val="24"/>
                <w:u w:val="single"/>
                <w:lang w:bidi="ar"/>
              </w:rPr>
              <w:t>5</w:t>
            </w:r>
            <w:r>
              <w:rPr>
                <w:rFonts w:hint="eastAsia"/>
                <w:snapToGrid w:val="0"/>
                <w:sz w:val="21"/>
                <w:szCs w:val="24"/>
                <w:u w:val="single"/>
                <w:lang w:bidi="ar"/>
              </w:rPr>
              <w:t>万吨标准煤/年，根据《关于印发河南省“两高”项目管理目录（2023年修订）的通知》，本项目不属于“两高”项目。</w:t>
            </w:r>
          </w:p>
        </w:tc>
        <w:tc>
          <w:tcPr>
            <w:tcW w:w="325" w:type="pct"/>
            <w:vAlign w:val="center"/>
          </w:tcPr>
          <w:p w14:paraId="1D3E9B40">
            <w:pPr>
              <w:adjustRightInd/>
              <w:snapToGrid/>
              <w:spacing w:line="240" w:lineRule="auto"/>
              <w:ind w:firstLine="0" w:firstLineChars="0"/>
              <w:contextualSpacing/>
              <w:jc w:val="center"/>
              <w:rPr>
                <w:sz w:val="21"/>
                <w:szCs w:val="21"/>
              </w:rPr>
            </w:pPr>
            <w:r>
              <w:rPr>
                <w:sz w:val="21"/>
                <w:szCs w:val="21"/>
              </w:rPr>
              <w:t>相符</w:t>
            </w:r>
          </w:p>
        </w:tc>
      </w:tr>
      <w:tr w14:paraId="1D3E9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0" w:type="pct"/>
            <w:vMerge w:val="restart"/>
            <w:vAlign w:val="center"/>
          </w:tcPr>
          <w:p w14:paraId="1D3E9B42">
            <w:pPr>
              <w:adjustRightInd/>
              <w:snapToGrid/>
              <w:spacing w:line="240" w:lineRule="auto"/>
              <w:ind w:firstLine="0" w:firstLineChars="0"/>
              <w:contextualSpacing/>
              <w:jc w:val="center"/>
              <w:rPr>
                <w:sz w:val="21"/>
                <w:szCs w:val="21"/>
              </w:rPr>
            </w:pPr>
            <w:r>
              <w:rPr>
                <w:sz w:val="21"/>
                <w:szCs w:val="21"/>
              </w:rPr>
              <w:t>第四章</w:t>
            </w:r>
          </w:p>
          <w:p w14:paraId="1D3E9B43">
            <w:pPr>
              <w:adjustRightInd/>
              <w:snapToGrid/>
              <w:spacing w:line="240" w:lineRule="auto"/>
              <w:ind w:firstLine="0" w:firstLineChars="0"/>
              <w:contextualSpacing/>
              <w:jc w:val="center"/>
              <w:rPr>
                <w:sz w:val="21"/>
                <w:szCs w:val="21"/>
              </w:rPr>
            </w:pPr>
            <w:r>
              <w:rPr>
                <w:sz w:val="21"/>
                <w:szCs w:val="21"/>
              </w:rPr>
              <w:t>坚持协同治理，持续改善大气环境</w:t>
            </w:r>
          </w:p>
        </w:tc>
        <w:tc>
          <w:tcPr>
            <w:tcW w:w="568" w:type="pct"/>
            <w:vMerge w:val="restart"/>
            <w:vAlign w:val="center"/>
          </w:tcPr>
          <w:p w14:paraId="1D3E9B44">
            <w:pPr>
              <w:adjustRightInd/>
              <w:snapToGrid/>
              <w:spacing w:line="240" w:lineRule="auto"/>
              <w:ind w:firstLine="0" w:firstLineChars="0"/>
              <w:contextualSpacing/>
              <w:rPr>
                <w:sz w:val="21"/>
                <w:szCs w:val="21"/>
              </w:rPr>
            </w:pPr>
            <w:r>
              <w:rPr>
                <w:sz w:val="21"/>
                <w:szCs w:val="21"/>
              </w:rPr>
              <w:t>第一节推进工业污染物深度治理</w:t>
            </w:r>
          </w:p>
        </w:tc>
        <w:tc>
          <w:tcPr>
            <w:tcW w:w="2096" w:type="pct"/>
            <w:vAlign w:val="center"/>
          </w:tcPr>
          <w:p w14:paraId="1D3E9B45">
            <w:pPr>
              <w:spacing w:line="240" w:lineRule="auto"/>
              <w:ind w:firstLine="210" w:firstLineChars="100"/>
              <w:jc w:val="left"/>
              <w:textAlignment w:val="auto"/>
              <w:rPr>
                <w:snapToGrid w:val="0"/>
                <w:sz w:val="21"/>
                <w:szCs w:val="21"/>
              </w:rPr>
            </w:pPr>
            <w:r>
              <w:rPr>
                <w:snapToGrid w:val="0"/>
                <w:sz w:val="21"/>
                <w:szCs w:val="21"/>
              </w:rPr>
              <w:t>加强工业炉窑和锅炉污染治理。</w:t>
            </w:r>
          </w:p>
          <w:p w14:paraId="1D3E9B46">
            <w:pPr>
              <w:spacing w:line="240" w:lineRule="auto"/>
              <w:ind w:firstLine="210" w:firstLineChars="100"/>
              <w:textAlignment w:val="auto"/>
              <w:rPr>
                <w:snapToGrid w:val="0"/>
                <w:sz w:val="21"/>
                <w:szCs w:val="21"/>
              </w:rPr>
            </w:pPr>
            <w:r>
              <w:rPr>
                <w:snapToGrid w:val="0"/>
                <w:sz w:val="21"/>
                <w:szCs w:val="21"/>
              </w:rPr>
              <w:t>深入推进工业炉窑大气污染综合治理。加快完成铸造行业清洁能源改造，全面提升铸造、铁合金石灰窑、耐火材料制品、砖瓦窑、有色金属冶炼及压延等工业窑炉的治污设施处理能力。新建天燃气锅炉应采取低氮燃烧和烟气循环技术。持续推进城乡结合部、供热管道未铺设地区、燃煤锅炉的取缔或改造。加强生物质锅炉燃料品质及排放管控，淘汰污染物排放不符合要求的生物质锅炉。</w:t>
            </w:r>
          </w:p>
        </w:tc>
        <w:tc>
          <w:tcPr>
            <w:tcW w:w="1521" w:type="pct"/>
            <w:vAlign w:val="center"/>
          </w:tcPr>
          <w:p w14:paraId="1D3E9B47">
            <w:pPr>
              <w:spacing w:line="240" w:lineRule="auto"/>
              <w:ind w:firstLine="210" w:firstLineChars="100"/>
              <w:textAlignment w:val="auto"/>
              <w:rPr>
                <w:snapToGrid w:val="0"/>
                <w:sz w:val="21"/>
                <w:szCs w:val="21"/>
              </w:rPr>
            </w:pPr>
            <w:r>
              <w:rPr>
                <w:snapToGrid w:val="0"/>
                <w:sz w:val="21"/>
                <w:szCs w:val="21"/>
              </w:rPr>
              <w:t>本项目不涉及工业炉窑和锅炉。</w:t>
            </w:r>
          </w:p>
        </w:tc>
        <w:tc>
          <w:tcPr>
            <w:tcW w:w="325" w:type="pct"/>
            <w:vAlign w:val="center"/>
          </w:tcPr>
          <w:p w14:paraId="1D3E9B48">
            <w:pPr>
              <w:adjustRightInd/>
              <w:snapToGrid/>
              <w:spacing w:line="240" w:lineRule="auto"/>
              <w:ind w:firstLine="0" w:firstLineChars="0"/>
              <w:contextualSpacing/>
              <w:jc w:val="center"/>
              <w:rPr>
                <w:sz w:val="21"/>
                <w:szCs w:val="21"/>
              </w:rPr>
            </w:pPr>
            <w:r>
              <w:rPr>
                <w:sz w:val="21"/>
                <w:szCs w:val="21"/>
              </w:rPr>
              <w:t>相符</w:t>
            </w:r>
          </w:p>
        </w:tc>
      </w:tr>
      <w:tr w14:paraId="1D3E9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0" w:type="pct"/>
            <w:vMerge w:val="continue"/>
            <w:vAlign w:val="center"/>
          </w:tcPr>
          <w:p w14:paraId="1D3E9B4A">
            <w:pPr>
              <w:adjustRightInd/>
              <w:snapToGrid/>
              <w:spacing w:line="240" w:lineRule="auto"/>
              <w:ind w:firstLine="0" w:firstLineChars="0"/>
              <w:contextualSpacing/>
              <w:jc w:val="center"/>
              <w:rPr>
                <w:sz w:val="21"/>
                <w:szCs w:val="21"/>
              </w:rPr>
            </w:pPr>
          </w:p>
        </w:tc>
        <w:tc>
          <w:tcPr>
            <w:tcW w:w="568" w:type="pct"/>
            <w:vMerge w:val="continue"/>
            <w:vAlign w:val="center"/>
          </w:tcPr>
          <w:p w14:paraId="1D3E9B4B">
            <w:pPr>
              <w:adjustRightInd/>
              <w:snapToGrid/>
              <w:spacing w:line="240" w:lineRule="auto"/>
              <w:ind w:firstLine="0" w:firstLineChars="0"/>
              <w:contextualSpacing/>
              <w:jc w:val="center"/>
              <w:rPr>
                <w:sz w:val="21"/>
                <w:szCs w:val="21"/>
              </w:rPr>
            </w:pPr>
          </w:p>
        </w:tc>
        <w:tc>
          <w:tcPr>
            <w:tcW w:w="2096" w:type="pct"/>
            <w:vAlign w:val="center"/>
          </w:tcPr>
          <w:p w14:paraId="1D3E9B4C">
            <w:pPr>
              <w:spacing w:line="240" w:lineRule="auto"/>
              <w:ind w:firstLine="210" w:firstLineChars="100"/>
              <w:jc w:val="left"/>
              <w:textAlignment w:val="auto"/>
              <w:rPr>
                <w:snapToGrid w:val="0"/>
                <w:sz w:val="21"/>
                <w:szCs w:val="21"/>
              </w:rPr>
            </w:pPr>
            <w:r>
              <w:rPr>
                <w:snapToGrid w:val="0"/>
                <w:sz w:val="21"/>
                <w:szCs w:val="21"/>
              </w:rPr>
              <w:t>推进重点行业绩效分级管理。</w:t>
            </w:r>
          </w:p>
          <w:p w14:paraId="1D3E9B4D">
            <w:pPr>
              <w:spacing w:line="240" w:lineRule="auto"/>
              <w:ind w:firstLine="210" w:firstLineChars="100"/>
              <w:jc w:val="left"/>
              <w:textAlignment w:val="auto"/>
              <w:rPr>
                <w:snapToGrid w:val="0"/>
                <w:sz w:val="21"/>
                <w:szCs w:val="21"/>
              </w:rPr>
            </w:pPr>
            <w:r>
              <w:rPr>
                <w:snapToGrid w:val="0"/>
                <w:sz w:val="21"/>
                <w:szCs w:val="21"/>
              </w:rPr>
              <w:t>规范和加强重点行业企业绩效分级管理工作，坚持绩效评级与当地环境质量达标挂钩，培育推动企业“梯度达标”，促进行业治理能力治理水平整体升级。2025年年底前重点行业绩效分级A、B级企业力争达到70%。</w:t>
            </w:r>
          </w:p>
        </w:tc>
        <w:tc>
          <w:tcPr>
            <w:tcW w:w="1521" w:type="pct"/>
            <w:vAlign w:val="center"/>
          </w:tcPr>
          <w:p w14:paraId="1D3E9B4E">
            <w:pPr>
              <w:spacing w:line="240" w:lineRule="auto"/>
              <w:ind w:firstLine="210" w:firstLineChars="100"/>
              <w:textAlignment w:val="auto"/>
              <w:rPr>
                <w:snapToGrid w:val="0"/>
                <w:sz w:val="21"/>
                <w:szCs w:val="21"/>
                <w:highlight w:val="yellow"/>
              </w:rPr>
            </w:pPr>
            <w:r>
              <w:rPr>
                <w:snapToGrid w:val="0"/>
                <w:sz w:val="21"/>
                <w:szCs w:val="21"/>
              </w:rPr>
              <w:t>本项目将严格按照</w:t>
            </w:r>
            <w:r>
              <w:rPr>
                <w:rFonts w:hint="eastAsia"/>
                <w:snapToGrid w:val="0"/>
                <w:sz w:val="21"/>
                <w:szCs w:val="24"/>
              </w:rPr>
              <w:t>《河南省重污染天气重点行业应急减排措施制定技术指南（2021年修订版）》中的有机化工企业A级绩效要求进行建设。</w:t>
            </w:r>
          </w:p>
        </w:tc>
        <w:tc>
          <w:tcPr>
            <w:tcW w:w="325" w:type="pct"/>
            <w:vAlign w:val="center"/>
          </w:tcPr>
          <w:p w14:paraId="1D3E9B4F">
            <w:pPr>
              <w:adjustRightInd/>
              <w:snapToGrid/>
              <w:spacing w:line="240" w:lineRule="auto"/>
              <w:ind w:firstLine="0" w:firstLineChars="0"/>
              <w:contextualSpacing/>
              <w:jc w:val="center"/>
              <w:rPr>
                <w:sz w:val="21"/>
                <w:szCs w:val="21"/>
                <w:highlight w:val="yellow"/>
              </w:rPr>
            </w:pPr>
            <w:r>
              <w:rPr>
                <w:sz w:val="21"/>
                <w:szCs w:val="21"/>
              </w:rPr>
              <w:t>相符</w:t>
            </w:r>
          </w:p>
        </w:tc>
      </w:tr>
      <w:tr w14:paraId="1D3E9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0" w:type="pct"/>
            <w:vAlign w:val="center"/>
          </w:tcPr>
          <w:p w14:paraId="1D3E9B63">
            <w:pPr>
              <w:adjustRightInd/>
              <w:snapToGrid/>
              <w:spacing w:line="240" w:lineRule="auto"/>
              <w:ind w:firstLine="0" w:firstLineChars="0"/>
              <w:contextualSpacing/>
              <w:jc w:val="center"/>
              <w:rPr>
                <w:sz w:val="21"/>
                <w:szCs w:val="21"/>
              </w:rPr>
            </w:pPr>
            <w:r>
              <w:rPr>
                <w:sz w:val="21"/>
                <w:szCs w:val="21"/>
              </w:rPr>
              <w:t>第五章</w:t>
            </w:r>
          </w:p>
          <w:p w14:paraId="1D3E9B64">
            <w:pPr>
              <w:adjustRightInd/>
              <w:snapToGrid/>
              <w:spacing w:line="240" w:lineRule="auto"/>
              <w:ind w:firstLine="0" w:firstLineChars="0"/>
              <w:contextualSpacing/>
              <w:jc w:val="center"/>
              <w:rPr>
                <w:sz w:val="21"/>
                <w:szCs w:val="21"/>
              </w:rPr>
            </w:pPr>
            <w:r>
              <w:rPr>
                <w:sz w:val="21"/>
                <w:szCs w:val="21"/>
              </w:rPr>
              <w:t>实施“三水统筹”，稳步提升水生态环境</w:t>
            </w:r>
          </w:p>
        </w:tc>
        <w:tc>
          <w:tcPr>
            <w:tcW w:w="568" w:type="pct"/>
            <w:vAlign w:val="center"/>
          </w:tcPr>
          <w:p w14:paraId="1D3E9B65">
            <w:pPr>
              <w:adjustRightInd/>
              <w:snapToGrid/>
              <w:spacing w:line="240" w:lineRule="auto"/>
              <w:ind w:firstLine="0" w:firstLineChars="0"/>
              <w:contextualSpacing/>
              <w:jc w:val="center"/>
              <w:rPr>
                <w:sz w:val="21"/>
                <w:szCs w:val="21"/>
              </w:rPr>
            </w:pPr>
            <w:r>
              <w:rPr>
                <w:sz w:val="21"/>
                <w:szCs w:val="21"/>
              </w:rPr>
              <w:t>第三节持续深化水污染治理</w:t>
            </w:r>
          </w:p>
        </w:tc>
        <w:tc>
          <w:tcPr>
            <w:tcW w:w="2096" w:type="pct"/>
            <w:vAlign w:val="center"/>
          </w:tcPr>
          <w:p w14:paraId="1D3E9B66">
            <w:pPr>
              <w:spacing w:line="240" w:lineRule="auto"/>
              <w:ind w:firstLine="210" w:firstLineChars="100"/>
              <w:jc w:val="left"/>
              <w:textAlignment w:val="auto"/>
              <w:rPr>
                <w:snapToGrid w:val="0"/>
                <w:sz w:val="21"/>
                <w:szCs w:val="21"/>
              </w:rPr>
            </w:pPr>
            <w:r>
              <w:rPr>
                <w:snapToGrid w:val="0"/>
                <w:sz w:val="21"/>
                <w:szCs w:val="21"/>
              </w:rPr>
              <w:t>深入开展工业污染防治。</w:t>
            </w:r>
          </w:p>
          <w:p w14:paraId="1D3E9B67">
            <w:pPr>
              <w:spacing w:line="240" w:lineRule="auto"/>
              <w:ind w:firstLine="210" w:firstLineChars="100"/>
              <w:textAlignment w:val="auto"/>
              <w:rPr>
                <w:snapToGrid w:val="0"/>
                <w:sz w:val="21"/>
                <w:szCs w:val="21"/>
              </w:rPr>
            </w:pPr>
            <w:r>
              <w:rPr>
                <w:snapToGrid w:val="0"/>
                <w:sz w:val="21"/>
                <w:szCs w:val="21"/>
              </w:rPr>
              <w:t>推进涉水工业企业全面达标排放，实现工业污染全过程持续控制。加快推进印染、化工、制药等重污染行业专项治理，分类实施关停取缔、整合搬迁、提升改造等措施，依法淘汰涉及污染的落后产能，促使行业转型升级。实现工业污染全过程持续控制，加大对污染物排放超标或者重点污染物排放超总量的企业予以综合整治。全面落实排污许可证管理制度，加强对涉及危险废物、高浓度废液等排放的工业企业的日常监管。</w:t>
            </w:r>
          </w:p>
        </w:tc>
        <w:tc>
          <w:tcPr>
            <w:tcW w:w="1521" w:type="pct"/>
            <w:vAlign w:val="center"/>
          </w:tcPr>
          <w:p w14:paraId="1D3E9B68">
            <w:pPr>
              <w:spacing w:line="240" w:lineRule="auto"/>
              <w:ind w:firstLine="210" w:firstLineChars="100"/>
              <w:textAlignment w:val="auto"/>
              <w:rPr>
                <w:snapToGrid w:val="0"/>
                <w:sz w:val="21"/>
                <w:szCs w:val="21"/>
                <w:highlight w:val="yellow"/>
              </w:rPr>
            </w:pPr>
            <w:r>
              <w:rPr>
                <w:snapToGrid w:val="0"/>
                <w:sz w:val="21"/>
                <w:szCs w:val="21"/>
              </w:rPr>
              <w:t>项目废水总排口水质能够满足</w:t>
            </w:r>
            <w:r>
              <w:rPr>
                <w:rFonts w:hint="eastAsia"/>
                <w:snapToGrid w:val="0"/>
                <w:sz w:val="21"/>
                <w:szCs w:val="21"/>
              </w:rPr>
              <w:t>《化工行业水污染物间接排放标准》（DB41/1135-2016），</w:t>
            </w:r>
            <w:r>
              <w:rPr>
                <w:snapToGrid w:val="0"/>
                <w:sz w:val="21"/>
                <w:szCs w:val="21"/>
              </w:rPr>
              <w:t>并满足</w:t>
            </w:r>
            <w:r>
              <w:rPr>
                <w:rFonts w:hint="eastAsia"/>
                <w:bCs/>
                <w:snapToGrid w:val="0"/>
                <w:sz w:val="21"/>
                <w:szCs w:val="21"/>
              </w:rPr>
              <w:t>唐庄</w:t>
            </w:r>
            <w:r>
              <w:rPr>
                <w:bCs/>
                <w:snapToGrid w:val="0"/>
                <w:sz w:val="21"/>
                <w:szCs w:val="21"/>
              </w:rPr>
              <w:t>污水处理厂收水标准</w:t>
            </w:r>
            <w:r>
              <w:rPr>
                <w:snapToGrid w:val="0"/>
                <w:sz w:val="21"/>
                <w:szCs w:val="21"/>
              </w:rPr>
              <w:t>收水标准</w:t>
            </w:r>
            <w:r>
              <w:rPr>
                <w:rFonts w:hint="eastAsia"/>
                <w:snapToGrid w:val="0"/>
                <w:sz w:val="21"/>
                <w:szCs w:val="21"/>
              </w:rPr>
              <w:t>。</w:t>
            </w:r>
            <w:r>
              <w:rPr>
                <w:snapToGrid w:val="0"/>
                <w:sz w:val="21"/>
                <w:szCs w:val="21"/>
              </w:rPr>
              <w:t>项目建成后将严格执行排放标准和排污许可证管理制度。本项目危险废物</w:t>
            </w:r>
            <w:r>
              <w:rPr>
                <w:rFonts w:hint="eastAsia"/>
                <w:snapToGrid w:val="0"/>
                <w:sz w:val="21"/>
                <w:szCs w:val="21"/>
              </w:rPr>
              <w:t>在</w:t>
            </w:r>
            <w:r>
              <w:rPr>
                <w:snapToGrid w:val="0"/>
                <w:sz w:val="21"/>
                <w:szCs w:val="21"/>
              </w:rPr>
              <w:t>危废间暂存后送往有资质单位进行处置。</w:t>
            </w:r>
          </w:p>
        </w:tc>
        <w:tc>
          <w:tcPr>
            <w:tcW w:w="325" w:type="pct"/>
            <w:vAlign w:val="center"/>
          </w:tcPr>
          <w:p w14:paraId="1D3E9B69">
            <w:pPr>
              <w:adjustRightInd/>
              <w:snapToGrid/>
              <w:spacing w:line="240" w:lineRule="auto"/>
              <w:ind w:firstLine="0" w:firstLineChars="0"/>
              <w:contextualSpacing/>
              <w:jc w:val="center"/>
              <w:rPr>
                <w:sz w:val="21"/>
                <w:szCs w:val="21"/>
                <w:highlight w:val="yellow"/>
              </w:rPr>
            </w:pPr>
            <w:r>
              <w:rPr>
                <w:sz w:val="21"/>
                <w:szCs w:val="21"/>
              </w:rPr>
              <w:t>相符</w:t>
            </w:r>
          </w:p>
        </w:tc>
      </w:tr>
      <w:tr w14:paraId="1D3E9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0" w:type="pct"/>
            <w:vAlign w:val="center"/>
          </w:tcPr>
          <w:p w14:paraId="1D3E9B6B">
            <w:pPr>
              <w:adjustRightInd/>
              <w:snapToGrid/>
              <w:spacing w:line="240" w:lineRule="auto"/>
              <w:ind w:firstLine="0" w:firstLineChars="0"/>
              <w:contextualSpacing/>
              <w:jc w:val="center"/>
              <w:rPr>
                <w:sz w:val="21"/>
                <w:szCs w:val="21"/>
              </w:rPr>
            </w:pPr>
            <w:r>
              <w:rPr>
                <w:sz w:val="21"/>
                <w:szCs w:val="21"/>
              </w:rPr>
              <w:t>第九章 强化过程管控，有效防控环境风险</w:t>
            </w:r>
          </w:p>
        </w:tc>
        <w:tc>
          <w:tcPr>
            <w:tcW w:w="568" w:type="pct"/>
            <w:vAlign w:val="center"/>
          </w:tcPr>
          <w:p w14:paraId="1D3E9B6C">
            <w:pPr>
              <w:adjustRightInd/>
              <w:snapToGrid/>
              <w:spacing w:line="240" w:lineRule="auto"/>
              <w:ind w:firstLine="0" w:firstLineChars="0"/>
              <w:contextualSpacing/>
              <w:jc w:val="center"/>
              <w:rPr>
                <w:sz w:val="21"/>
                <w:szCs w:val="21"/>
              </w:rPr>
            </w:pPr>
            <w:r>
              <w:rPr>
                <w:sz w:val="21"/>
                <w:szCs w:val="21"/>
              </w:rPr>
              <w:t>第一节加强危险废物</w:t>
            </w:r>
          </w:p>
        </w:tc>
        <w:tc>
          <w:tcPr>
            <w:tcW w:w="2096" w:type="pct"/>
            <w:vAlign w:val="center"/>
          </w:tcPr>
          <w:p w14:paraId="1D3E9B6D">
            <w:pPr>
              <w:spacing w:line="240" w:lineRule="auto"/>
              <w:ind w:firstLine="210" w:firstLineChars="100"/>
              <w:textAlignment w:val="auto"/>
              <w:rPr>
                <w:snapToGrid w:val="0"/>
                <w:sz w:val="21"/>
                <w:szCs w:val="21"/>
              </w:rPr>
            </w:pPr>
            <w:r>
              <w:rPr>
                <w:snapToGrid w:val="0"/>
                <w:sz w:val="21"/>
                <w:szCs w:val="21"/>
              </w:rPr>
              <w:t>提升危险废物环境监管能力。完善危险废物环境重点监管企业清单，强化危险废物全过程环境监管，持续推进危险废物规范化环境管理，提升危险废物信息化网络化监管能力和水平。持续开展危险废物专项整治工作，深入排查环境风险隐患，落实化工园区“一园一策”危险废物利用处置要求，完善企业、部门及区域联动危险废物防范机制。</w:t>
            </w:r>
          </w:p>
        </w:tc>
        <w:tc>
          <w:tcPr>
            <w:tcW w:w="1521" w:type="pct"/>
            <w:vAlign w:val="center"/>
          </w:tcPr>
          <w:p w14:paraId="1D3E9B6E">
            <w:pPr>
              <w:spacing w:line="240" w:lineRule="auto"/>
              <w:ind w:firstLine="210" w:firstLineChars="100"/>
              <w:textAlignment w:val="auto"/>
              <w:rPr>
                <w:snapToGrid w:val="0"/>
                <w:sz w:val="21"/>
                <w:szCs w:val="21"/>
              </w:rPr>
            </w:pPr>
            <w:r>
              <w:rPr>
                <w:snapToGrid w:val="0"/>
                <w:sz w:val="21"/>
                <w:szCs w:val="21"/>
              </w:rPr>
              <w:t>本项目将按要求接受相应的监管，厂内将严格危险废物规范化环境管理，将按要求配合完善企业、部门及区域联动危险废物防范机制。</w:t>
            </w:r>
          </w:p>
        </w:tc>
        <w:tc>
          <w:tcPr>
            <w:tcW w:w="325" w:type="pct"/>
            <w:vAlign w:val="center"/>
          </w:tcPr>
          <w:p w14:paraId="1D3E9B6F">
            <w:pPr>
              <w:adjustRightInd/>
              <w:snapToGrid/>
              <w:spacing w:line="240" w:lineRule="auto"/>
              <w:ind w:firstLine="0" w:firstLineChars="0"/>
              <w:contextualSpacing/>
              <w:jc w:val="center"/>
              <w:rPr>
                <w:sz w:val="21"/>
                <w:szCs w:val="21"/>
              </w:rPr>
            </w:pPr>
            <w:r>
              <w:rPr>
                <w:sz w:val="21"/>
                <w:szCs w:val="21"/>
              </w:rPr>
              <w:t>相符</w:t>
            </w:r>
          </w:p>
        </w:tc>
      </w:tr>
      <w:tr w14:paraId="1D3E9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0" w:type="pct"/>
            <w:vAlign w:val="center"/>
          </w:tcPr>
          <w:p w14:paraId="1D3E9B71">
            <w:pPr>
              <w:adjustRightInd/>
              <w:snapToGrid/>
              <w:spacing w:line="240" w:lineRule="auto"/>
              <w:ind w:firstLine="0" w:firstLineChars="0"/>
              <w:contextualSpacing/>
              <w:jc w:val="center"/>
              <w:rPr>
                <w:sz w:val="21"/>
                <w:szCs w:val="21"/>
              </w:rPr>
            </w:pPr>
            <w:r>
              <w:rPr>
                <w:sz w:val="21"/>
                <w:szCs w:val="21"/>
              </w:rPr>
              <w:t>第十章 深化改革创新，建设现代治理体系</w:t>
            </w:r>
          </w:p>
        </w:tc>
        <w:tc>
          <w:tcPr>
            <w:tcW w:w="568" w:type="pct"/>
            <w:vAlign w:val="center"/>
          </w:tcPr>
          <w:p w14:paraId="1D3E9B72">
            <w:pPr>
              <w:adjustRightInd/>
              <w:snapToGrid/>
              <w:spacing w:line="240" w:lineRule="auto"/>
              <w:ind w:firstLine="0" w:firstLineChars="0"/>
              <w:contextualSpacing/>
              <w:jc w:val="center"/>
              <w:rPr>
                <w:sz w:val="21"/>
                <w:szCs w:val="21"/>
              </w:rPr>
            </w:pPr>
            <w:r>
              <w:rPr>
                <w:sz w:val="21"/>
                <w:szCs w:val="21"/>
              </w:rPr>
              <w:t>第五节提升监管监测评估能力</w:t>
            </w:r>
          </w:p>
        </w:tc>
        <w:tc>
          <w:tcPr>
            <w:tcW w:w="2096" w:type="pct"/>
            <w:vAlign w:val="center"/>
          </w:tcPr>
          <w:p w14:paraId="1D3E9B73">
            <w:pPr>
              <w:spacing w:line="240" w:lineRule="auto"/>
              <w:ind w:firstLine="210" w:firstLineChars="100"/>
              <w:textAlignment w:val="auto"/>
              <w:rPr>
                <w:snapToGrid w:val="0"/>
                <w:sz w:val="21"/>
                <w:szCs w:val="21"/>
              </w:rPr>
            </w:pPr>
            <w:r>
              <w:rPr>
                <w:snapToGrid w:val="0"/>
                <w:sz w:val="21"/>
                <w:szCs w:val="21"/>
              </w:rPr>
              <w:t>规范排污单位和工业园区污染源自行监测监控，完善污染源执法监测机制，提升测管融合协同效能。构建以重点污染源和地下水型水源地及其补给径流区的“双源”地下水环境监控网。</w:t>
            </w:r>
          </w:p>
        </w:tc>
        <w:tc>
          <w:tcPr>
            <w:tcW w:w="1521" w:type="pct"/>
            <w:vAlign w:val="center"/>
          </w:tcPr>
          <w:p w14:paraId="1D3E9B74">
            <w:pPr>
              <w:spacing w:line="240" w:lineRule="auto"/>
              <w:ind w:firstLine="210" w:firstLineChars="100"/>
              <w:jc w:val="left"/>
              <w:textAlignment w:val="auto"/>
              <w:rPr>
                <w:snapToGrid w:val="0"/>
                <w:sz w:val="21"/>
                <w:szCs w:val="21"/>
              </w:rPr>
            </w:pPr>
            <w:r>
              <w:rPr>
                <w:snapToGrid w:val="0"/>
                <w:sz w:val="21"/>
                <w:szCs w:val="21"/>
              </w:rPr>
              <w:t>本项目将按本项目将按照相关规范文件要求安装污染源自动监控设施。企业将建立地下水跟踪检测制度，并按要求进行定期检测。</w:t>
            </w:r>
          </w:p>
        </w:tc>
        <w:tc>
          <w:tcPr>
            <w:tcW w:w="325" w:type="pct"/>
            <w:vAlign w:val="center"/>
          </w:tcPr>
          <w:p w14:paraId="1D3E9B75">
            <w:pPr>
              <w:adjustRightInd/>
              <w:snapToGrid/>
              <w:spacing w:line="240" w:lineRule="auto"/>
              <w:ind w:firstLine="0" w:firstLineChars="0"/>
              <w:contextualSpacing/>
              <w:jc w:val="center"/>
              <w:rPr>
                <w:sz w:val="21"/>
                <w:szCs w:val="21"/>
              </w:rPr>
            </w:pPr>
            <w:r>
              <w:rPr>
                <w:sz w:val="21"/>
                <w:szCs w:val="21"/>
              </w:rPr>
              <w:t>相符</w:t>
            </w:r>
          </w:p>
        </w:tc>
      </w:tr>
    </w:tbl>
    <w:p w14:paraId="1D3E9B77">
      <w:pPr>
        <w:ind w:firstLine="480"/>
      </w:pPr>
      <w:r>
        <w:t>由上表可知，本项目符合《新乡市“十四五”生态环境保护和生态经济发展规划》的相关要求。</w:t>
      </w:r>
    </w:p>
    <w:p w14:paraId="0078FE06">
      <w:pPr>
        <w:pStyle w:val="5"/>
        <w:spacing w:before="240" w:after="240"/>
      </w:pPr>
      <w:r>
        <w:rPr>
          <w:rFonts w:hint="eastAsia"/>
        </w:rPr>
        <w:t>与</w:t>
      </w:r>
      <w:r>
        <w:t>《新乡市“十四五”固体废物污染环境防治和危险废物集中处置设施、场所建设实施方案》相符性分析</w:t>
      </w:r>
    </w:p>
    <w:p w14:paraId="6ACE19AB">
      <w:pPr>
        <w:ind w:firstLine="480"/>
      </w:pPr>
      <w:r>
        <w:t>本项目与新乡市环境污染防治攻坚指挥部办公室关于印发《新乡市“十四五”固体废物污染环境防治和危险废物集中处置设施、场所建设实施方案》的通知（新环攻坚办[2022]102号）相关内容对比分析见下表。</w:t>
      </w:r>
    </w:p>
    <w:p w14:paraId="1C9D9943">
      <w:pPr>
        <w:numPr>
          <w:ilvl w:val="0"/>
          <w:numId w:val="12"/>
        </w:numPr>
        <w:adjustRightInd/>
        <w:snapToGrid/>
        <w:ind w:firstLineChars="0"/>
        <w:textAlignment w:val="auto"/>
        <w:rPr>
          <w:rFonts w:eastAsia="黑体"/>
        </w:rPr>
      </w:pPr>
      <w:r>
        <w:rPr>
          <w:rFonts w:eastAsia="黑体"/>
        </w:rPr>
        <w:t xml:space="preserve"> </w:t>
      </w:r>
      <w:r>
        <w:rPr>
          <w:rFonts w:hint="eastAsia" w:eastAsia="黑体"/>
        </w:rPr>
        <w:t xml:space="preserve">      </w:t>
      </w:r>
      <w:r>
        <w:rPr>
          <w:rFonts w:eastAsia="黑体"/>
        </w:rPr>
        <w:t>与</w:t>
      </w:r>
      <w:r>
        <w:rPr>
          <w:rFonts w:hint="eastAsia" w:eastAsia="黑体"/>
        </w:rPr>
        <w:t>新环攻坚办[2022]102号</w:t>
      </w:r>
      <w:r>
        <w:rPr>
          <w:rFonts w:eastAsia="黑体"/>
        </w:rPr>
        <w:t>对比分析</w:t>
      </w:r>
    </w:p>
    <w:tbl>
      <w:tblPr>
        <w:tblStyle w:val="4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11"/>
        <w:gridCol w:w="730"/>
        <w:gridCol w:w="4510"/>
        <w:gridCol w:w="1901"/>
        <w:gridCol w:w="516"/>
      </w:tblGrid>
      <w:tr w14:paraId="4DA32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trPr>
        <w:tc>
          <w:tcPr>
            <w:tcW w:w="3556" w:type="pct"/>
            <w:gridSpan w:val="3"/>
            <w:vAlign w:val="center"/>
          </w:tcPr>
          <w:p w14:paraId="31E7692A">
            <w:pPr>
              <w:pStyle w:val="67"/>
              <w:rPr>
                <w:rFonts w:cs="Times New Roman"/>
                <w:color w:val="auto"/>
              </w:rPr>
            </w:pPr>
            <w:r>
              <w:rPr>
                <w:rFonts w:cs="Times New Roman"/>
                <w:color w:val="auto"/>
              </w:rPr>
              <w:t>与本项目相关条文</w:t>
            </w:r>
          </w:p>
        </w:tc>
        <w:tc>
          <w:tcPr>
            <w:tcW w:w="1136" w:type="pct"/>
            <w:vAlign w:val="center"/>
          </w:tcPr>
          <w:p w14:paraId="15BA32B9">
            <w:pPr>
              <w:pStyle w:val="67"/>
              <w:rPr>
                <w:rFonts w:cs="Times New Roman"/>
                <w:color w:val="auto"/>
              </w:rPr>
            </w:pPr>
            <w:r>
              <w:rPr>
                <w:rFonts w:cs="Times New Roman"/>
                <w:color w:val="auto"/>
              </w:rPr>
              <w:t>本项目情况</w:t>
            </w:r>
          </w:p>
        </w:tc>
        <w:tc>
          <w:tcPr>
            <w:tcW w:w="308" w:type="pct"/>
            <w:vAlign w:val="center"/>
          </w:tcPr>
          <w:p w14:paraId="23389B1B">
            <w:pPr>
              <w:pStyle w:val="67"/>
              <w:rPr>
                <w:rFonts w:cs="Times New Roman"/>
                <w:color w:val="auto"/>
              </w:rPr>
            </w:pPr>
            <w:r>
              <w:rPr>
                <w:rFonts w:cs="Times New Roman"/>
                <w:color w:val="auto"/>
              </w:rPr>
              <w:t>相符性</w:t>
            </w:r>
          </w:p>
        </w:tc>
      </w:tr>
      <w:tr w14:paraId="05052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5" w:type="pct"/>
            <w:vAlign w:val="center"/>
          </w:tcPr>
          <w:p w14:paraId="064D76D4">
            <w:pPr>
              <w:pStyle w:val="62"/>
              <w:jc w:val="both"/>
            </w:pPr>
            <w:r>
              <w:t>二、系统推进固体废物污染环境防治</w:t>
            </w:r>
          </w:p>
        </w:tc>
        <w:tc>
          <w:tcPr>
            <w:tcW w:w="436" w:type="pct"/>
            <w:vAlign w:val="center"/>
          </w:tcPr>
          <w:p w14:paraId="64D460FB">
            <w:pPr>
              <w:pStyle w:val="62"/>
              <w:jc w:val="both"/>
            </w:pPr>
            <w:r>
              <w:t>（二）切实加强固体废物综合利用</w:t>
            </w:r>
          </w:p>
        </w:tc>
        <w:tc>
          <w:tcPr>
            <w:tcW w:w="2695" w:type="pct"/>
            <w:vAlign w:val="center"/>
          </w:tcPr>
          <w:p w14:paraId="42995F57">
            <w:pPr>
              <w:pStyle w:val="63"/>
              <w:ind w:firstLine="210"/>
            </w:pPr>
            <w:r>
              <w:t>1.深化工业固体废物综合利用</w:t>
            </w:r>
          </w:p>
          <w:p w14:paraId="10EB6480">
            <w:pPr>
              <w:pStyle w:val="63"/>
              <w:ind w:firstLine="210"/>
              <w:jc w:val="both"/>
            </w:pPr>
            <w:r>
              <w:t>以建材和环保产业为核心构建工业固体废物综合利用体系，积极探索工业固体废物高附加值综合利用模式，拓展综合利用途径。鼓励电力和有色金属冶炼行业、化工园区和静脉园区及企业建设大宗工业固体废物综合利用设施，大力推进粉煤灰、煤歼石、脱硫石膏、冶炼渣、化工渣等大宗工业固废综合利用和集中处置。</w:t>
            </w:r>
          </w:p>
        </w:tc>
        <w:tc>
          <w:tcPr>
            <w:tcW w:w="1136" w:type="pct"/>
            <w:vAlign w:val="center"/>
          </w:tcPr>
          <w:p w14:paraId="317B3873">
            <w:pPr>
              <w:pStyle w:val="63"/>
              <w:ind w:firstLine="210"/>
              <w:jc w:val="both"/>
              <w:rPr>
                <w:highlight w:val="yellow"/>
              </w:rPr>
            </w:pPr>
            <w:r>
              <w:t>本项目</w:t>
            </w:r>
            <w:r>
              <w:rPr>
                <w:rFonts w:hint="eastAsia"/>
              </w:rPr>
              <w:t>位于卫辉市铁西（化工）园区内，</w:t>
            </w:r>
            <w:r>
              <w:t>属于化学原料和化学制品制造业</w:t>
            </w:r>
            <w:r>
              <w:rPr>
                <w:rFonts w:hint="eastAsia"/>
              </w:rPr>
              <w:t>。</w:t>
            </w:r>
          </w:p>
        </w:tc>
        <w:tc>
          <w:tcPr>
            <w:tcW w:w="308" w:type="pct"/>
            <w:vAlign w:val="center"/>
          </w:tcPr>
          <w:p w14:paraId="5F316539">
            <w:pPr>
              <w:pStyle w:val="62"/>
            </w:pPr>
            <w:r>
              <w:t>相符</w:t>
            </w:r>
          </w:p>
        </w:tc>
      </w:tr>
      <w:tr w14:paraId="15E77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5" w:type="pct"/>
            <w:vAlign w:val="center"/>
          </w:tcPr>
          <w:p w14:paraId="31A4F02D">
            <w:pPr>
              <w:pStyle w:val="62"/>
              <w:jc w:val="both"/>
            </w:pPr>
            <w:r>
              <w:t>三、加快建设危险废物集中处置设施、场所</w:t>
            </w:r>
          </w:p>
        </w:tc>
        <w:tc>
          <w:tcPr>
            <w:tcW w:w="436" w:type="pct"/>
            <w:vAlign w:val="center"/>
          </w:tcPr>
          <w:p w14:paraId="1F9EB8FB">
            <w:pPr>
              <w:pStyle w:val="62"/>
              <w:jc w:val="both"/>
            </w:pPr>
            <w:r>
              <w:t>（一）统筹危险废物集中处置设施、场所布局</w:t>
            </w:r>
          </w:p>
        </w:tc>
        <w:tc>
          <w:tcPr>
            <w:tcW w:w="2695" w:type="pct"/>
            <w:vAlign w:val="center"/>
          </w:tcPr>
          <w:p w14:paraId="272B255D">
            <w:pPr>
              <w:pStyle w:val="63"/>
              <w:ind w:firstLine="210"/>
              <w:jc w:val="both"/>
            </w:pPr>
            <w:r>
              <w:t>1.推动危险废物集中处置设施、场所合理选址</w:t>
            </w:r>
          </w:p>
          <w:p w14:paraId="3D4532C2">
            <w:pPr>
              <w:pStyle w:val="63"/>
              <w:ind w:firstLine="210"/>
              <w:jc w:val="both"/>
            </w:pPr>
            <w:r>
              <w:t>以市为单位，适度超前建设与危险废物处置需求相适应的危险废物集中处置设施，原则不得新建危险废物处置能力已超出处置需求的同种类别处置设施。严禁在黄河干流及其主要支流沿岸、南水北调中线工程总干渠规定范围内新建、扩建危险废物综合利用设施和集中处置设施、场所。</w:t>
            </w:r>
          </w:p>
        </w:tc>
        <w:tc>
          <w:tcPr>
            <w:tcW w:w="1136" w:type="pct"/>
            <w:vAlign w:val="center"/>
          </w:tcPr>
          <w:p w14:paraId="22B90B61">
            <w:pPr>
              <w:pStyle w:val="63"/>
              <w:ind w:firstLine="210"/>
              <w:jc w:val="both"/>
              <w:rPr>
                <w:highlight w:val="yellow"/>
              </w:rPr>
            </w:pPr>
            <w:r>
              <w:t>本项目属于化学原料和化学制品制造业，不属于危险废物集中处置项目；本项目为新建项目，不在黄河干流及其主要支流沿岸、南水北调中线工程总干渠规定范围内。</w:t>
            </w:r>
          </w:p>
        </w:tc>
        <w:tc>
          <w:tcPr>
            <w:tcW w:w="308" w:type="pct"/>
            <w:vAlign w:val="center"/>
          </w:tcPr>
          <w:p w14:paraId="2FF645FB">
            <w:pPr>
              <w:pStyle w:val="62"/>
            </w:pPr>
            <w:r>
              <w:t>相符</w:t>
            </w:r>
          </w:p>
        </w:tc>
      </w:tr>
    </w:tbl>
    <w:p w14:paraId="16B1B204">
      <w:pPr>
        <w:pStyle w:val="5"/>
        <w:spacing w:before="240" w:after="240"/>
      </w:pPr>
      <w:r>
        <w:t>与《</w:t>
      </w:r>
      <w:r>
        <w:rPr>
          <w:rFonts w:hint="eastAsia"/>
        </w:rPr>
        <w:t>关于印发新乡市噪声污染防治行动计划实施方案(2023-2025年)的通知</w:t>
      </w:r>
      <w:r>
        <w:t>》</w:t>
      </w:r>
      <w:r>
        <w:rPr>
          <w:rFonts w:hint="eastAsia"/>
        </w:rPr>
        <w:t>（新环[</w:t>
      </w:r>
      <w:r>
        <w:t>2023]60</w:t>
      </w:r>
      <w:r>
        <w:rPr>
          <w:rFonts w:hint="eastAsia"/>
        </w:rPr>
        <w:t>号）</w:t>
      </w:r>
      <w:r>
        <w:t>的对比分析</w:t>
      </w:r>
    </w:p>
    <w:p w14:paraId="38EB323F">
      <w:pPr>
        <w:ind w:firstLine="480"/>
      </w:pPr>
      <w:r>
        <w:t>本项目与</w:t>
      </w:r>
      <w:r>
        <w:rPr>
          <w:rFonts w:hint="eastAsia"/>
        </w:rPr>
        <w:t>《关于印发新乡市噪声污染防治行动计划实施方案(2023-2025年)的通知》（新环[2023]60号）</w:t>
      </w:r>
      <w:r>
        <w:t>（以下简称《</w:t>
      </w:r>
      <w:r>
        <w:rPr>
          <w:rFonts w:hint="eastAsia"/>
        </w:rPr>
        <w:t>新乡市噪声污染防治行动计划实施方案</w:t>
      </w:r>
      <w:r>
        <w:t>》）对照分析见下表。</w:t>
      </w:r>
    </w:p>
    <w:p w14:paraId="16D17573">
      <w:pPr>
        <w:numPr>
          <w:ilvl w:val="0"/>
          <w:numId w:val="12"/>
        </w:numPr>
        <w:adjustRightInd/>
        <w:snapToGrid/>
        <w:ind w:firstLineChars="0"/>
        <w:textAlignment w:val="auto"/>
        <w:rPr>
          <w:rFonts w:eastAsia="黑体"/>
        </w:rPr>
      </w:pPr>
      <w:r>
        <w:rPr>
          <w:rFonts w:eastAsia="黑体"/>
        </w:rPr>
        <w:t xml:space="preserve">  与《新乡市噪声污染防治行动计划实施方案》对比分析</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895"/>
        <w:gridCol w:w="3221"/>
        <w:gridCol w:w="654"/>
      </w:tblGrid>
      <w:tr w14:paraId="380BF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79" w:type="dxa"/>
            <w:gridSpan w:val="2"/>
            <w:vAlign w:val="center"/>
          </w:tcPr>
          <w:p w14:paraId="2AF41C2D">
            <w:pPr>
              <w:pStyle w:val="67"/>
              <w:rPr>
                <w:rFonts w:cs="Times New Roman"/>
                <w:color w:val="auto"/>
              </w:rPr>
            </w:pPr>
            <w:r>
              <w:rPr>
                <w:rFonts w:hint="eastAsia" w:cs="Times New Roman"/>
                <w:color w:val="auto"/>
              </w:rPr>
              <w:t>文件</w:t>
            </w:r>
            <w:r>
              <w:rPr>
                <w:rFonts w:cs="Times New Roman"/>
                <w:color w:val="auto"/>
              </w:rPr>
              <w:t>与本项目有关的内容</w:t>
            </w:r>
          </w:p>
        </w:tc>
        <w:tc>
          <w:tcPr>
            <w:tcW w:w="5245" w:type="dxa"/>
            <w:vAlign w:val="center"/>
          </w:tcPr>
          <w:p w14:paraId="71E9BC04">
            <w:pPr>
              <w:pStyle w:val="67"/>
              <w:rPr>
                <w:rFonts w:cs="Times New Roman"/>
                <w:color w:val="auto"/>
              </w:rPr>
            </w:pPr>
            <w:r>
              <w:rPr>
                <w:rFonts w:cs="Times New Roman"/>
                <w:color w:val="auto"/>
              </w:rPr>
              <w:t>本项目情况</w:t>
            </w:r>
          </w:p>
        </w:tc>
        <w:tc>
          <w:tcPr>
            <w:tcW w:w="928" w:type="dxa"/>
            <w:vAlign w:val="center"/>
          </w:tcPr>
          <w:p w14:paraId="2EDEE535">
            <w:pPr>
              <w:pStyle w:val="67"/>
              <w:rPr>
                <w:rFonts w:cs="Times New Roman"/>
                <w:color w:val="auto"/>
              </w:rPr>
            </w:pPr>
            <w:r>
              <w:rPr>
                <w:rFonts w:cs="Times New Roman"/>
                <w:color w:val="auto"/>
              </w:rPr>
              <w:t>相符性</w:t>
            </w:r>
          </w:p>
        </w:tc>
      </w:tr>
      <w:tr w14:paraId="7061B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Align w:val="center"/>
          </w:tcPr>
          <w:p w14:paraId="3D184A4F">
            <w:pPr>
              <w:pStyle w:val="62"/>
              <w:jc w:val="both"/>
            </w:pPr>
            <w:r>
              <w:rPr>
                <w:rFonts w:hint="eastAsia"/>
              </w:rPr>
              <w:t>三、强化规划引导，严格噪声源头管理</w:t>
            </w:r>
          </w:p>
        </w:tc>
        <w:tc>
          <w:tcPr>
            <w:tcW w:w="6378" w:type="dxa"/>
            <w:vAlign w:val="center"/>
          </w:tcPr>
          <w:p w14:paraId="67E7808E">
            <w:pPr>
              <w:pStyle w:val="62"/>
              <w:ind w:firstLine="210" w:firstLineChars="100"/>
              <w:jc w:val="both"/>
            </w:pPr>
            <w:r>
              <w:rPr>
                <w:rFonts w:hint="eastAsia"/>
                <w:bCs/>
              </w:rPr>
              <w:t>(十)落实噪声环境影响评价要求。依法开展环境影响评价，对可能产生噪声与振动的影响进行分析评价，积极采取噪声污染防治对策措施。建设项目的噪声污染防治设施应当与主体工程同时设计、同时施工、同时投产使用。督促建设单位依法开展竣工环境保护验收，加大事中事后监管力度，确保各项措施落地见效。</w:t>
            </w:r>
          </w:p>
        </w:tc>
        <w:tc>
          <w:tcPr>
            <w:tcW w:w="5245" w:type="dxa"/>
            <w:vAlign w:val="center"/>
          </w:tcPr>
          <w:p w14:paraId="373BA8D8">
            <w:pPr>
              <w:pStyle w:val="62"/>
              <w:ind w:firstLine="210" w:firstLineChars="100"/>
              <w:jc w:val="both"/>
            </w:pPr>
            <w:r>
              <w:t>本项目</w:t>
            </w:r>
            <w:r>
              <w:rPr>
                <w:rFonts w:hint="eastAsia"/>
              </w:rPr>
              <w:t>严格按照要求将噪声</w:t>
            </w:r>
            <w:r>
              <w:rPr>
                <w:rFonts w:hint="eastAsia"/>
                <w:bCs/>
              </w:rPr>
              <w:t>污染防治设施与主体工程同时设计、同时施工、同时投产使用，依法开展竣工环境保护验收，确保各项措施落地见效。项目建成后噪声能够满足标准要求。</w:t>
            </w:r>
          </w:p>
        </w:tc>
        <w:tc>
          <w:tcPr>
            <w:tcW w:w="928" w:type="dxa"/>
            <w:vAlign w:val="center"/>
          </w:tcPr>
          <w:p w14:paraId="06C93778">
            <w:pPr>
              <w:pStyle w:val="62"/>
            </w:pPr>
            <w:r>
              <w:t>符合</w:t>
            </w:r>
          </w:p>
        </w:tc>
      </w:tr>
      <w:tr w14:paraId="6CC7A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Merge w:val="restart"/>
            <w:vAlign w:val="center"/>
          </w:tcPr>
          <w:p w14:paraId="6FCE8ECD">
            <w:pPr>
              <w:pStyle w:val="62"/>
              <w:jc w:val="both"/>
            </w:pPr>
            <w:r>
              <w:rPr>
                <w:rFonts w:hint="eastAsia"/>
              </w:rPr>
              <w:t>四、加强工业企业噪声污染防治，突出重点企业监管</w:t>
            </w:r>
          </w:p>
        </w:tc>
        <w:tc>
          <w:tcPr>
            <w:tcW w:w="6378" w:type="dxa"/>
            <w:vAlign w:val="center"/>
          </w:tcPr>
          <w:p w14:paraId="62493D4A">
            <w:pPr>
              <w:pStyle w:val="62"/>
              <w:ind w:firstLine="210" w:firstLineChars="100"/>
              <w:jc w:val="both"/>
              <w:rPr>
                <w:bCs/>
              </w:rPr>
            </w:pPr>
            <w:r>
              <w:rPr>
                <w:rFonts w:hint="eastAsia"/>
                <w:bCs/>
              </w:rPr>
              <w:t>(十二)严格工业噪声环境准入。工业企业选址应当符合国土空间规划和相关规划要求，建设项目严格执行声功能区环境准入要求，禁止在0类、1类声环境功能区、严格限制在城市建成区内的2类声环境功能区(工业园区除外)建设产生噪声污染的工业项目。</w:t>
            </w:r>
          </w:p>
        </w:tc>
        <w:tc>
          <w:tcPr>
            <w:tcW w:w="5245" w:type="dxa"/>
            <w:vAlign w:val="center"/>
          </w:tcPr>
          <w:p w14:paraId="2EC13299">
            <w:pPr>
              <w:pStyle w:val="62"/>
              <w:ind w:firstLine="210" w:firstLineChars="100"/>
              <w:jc w:val="both"/>
            </w:pPr>
            <w:r>
              <w:rPr>
                <w:rFonts w:hint="eastAsia"/>
              </w:rPr>
              <w:t>本项目位于新乡市卫辉市唐庄镇代庄村99号卫辉市铁西（化工）园区内。项目符合园区规划。</w:t>
            </w:r>
          </w:p>
        </w:tc>
        <w:tc>
          <w:tcPr>
            <w:tcW w:w="928" w:type="dxa"/>
            <w:vAlign w:val="center"/>
          </w:tcPr>
          <w:p w14:paraId="44BEF4F1">
            <w:pPr>
              <w:pStyle w:val="62"/>
            </w:pPr>
            <w:r>
              <w:t>符合</w:t>
            </w:r>
          </w:p>
        </w:tc>
      </w:tr>
      <w:tr w14:paraId="1C8BA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Merge w:val="continue"/>
            <w:vAlign w:val="center"/>
          </w:tcPr>
          <w:p w14:paraId="427E4788">
            <w:pPr>
              <w:pStyle w:val="62"/>
              <w:jc w:val="both"/>
            </w:pPr>
          </w:p>
        </w:tc>
        <w:tc>
          <w:tcPr>
            <w:tcW w:w="6378" w:type="dxa"/>
            <w:vAlign w:val="center"/>
          </w:tcPr>
          <w:p w14:paraId="018B0C3E">
            <w:pPr>
              <w:pStyle w:val="62"/>
              <w:ind w:firstLine="210" w:firstLineChars="100"/>
              <w:jc w:val="both"/>
              <w:rPr>
                <w:bCs/>
              </w:rPr>
            </w:pPr>
            <w:r>
              <w:rPr>
                <w:rFonts w:hint="eastAsia"/>
                <w:bCs/>
              </w:rPr>
              <w:t>(十二)加强工业噪声污染治理。开展工业噪声污染源达标整治，通过工艺设备升级改造、加装降噪设备以及逐步推进工业企业淘汰搬迁等措施，加强工业企业厂区设备、运输工具、货物装卸等噪声源控制。鼓励企业采用先进治理技术，创建一批噪声治理行业标杆，总结并推广相关治理技术和经验方法。</w:t>
            </w:r>
          </w:p>
        </w:tc>
        <w:tc>
          <w:tcPr>
            <w:tcW w:w="5245" w:type="dxa"/>
            <w:vAlign w:val="center"/>
          </w:tcPr>
          <w:p w14:paraId="4E616636">
            <w:pPr>
              <w:pStyle w:val="62"/>
              <w:ind w:firstLine="210" w:firstLineChars="100"/>
              <w:jc w:val="both"/>
            </w:pPr>
            <w:r>
              <w:rPr>
                <w:rFonts w:hint="eastAsia"/>
              </w:rPr>
              <w:t>本项目生产设备采用隔声、减振等措施，满足</w:t>
            </w:r>
            <w:r>
              <w:t>《工业企业厂界环境噪声排放标准》（GB12348-2008）</w:t>
            </w:r>
            <w:r>
              <w:rPr>
                <w:rFonts w:hint="eastAsia"/>
              </w:rPr>
              <w:t>3</w:t>
            </w:r>
            <w:r>
              <w:t>类</w:t>
            </w:r>
            <w:r>
              <w:rPr>
                <w:rFonts w:hint="eastAsia"/>
              </w:rPr>
              <w:t>要求。</w:t>
            </w:r>
          </w:p>
        </w:tc>
        <w:tc>
          <w:tcPr>
            <w:tcW w:w="928" w:type="dxa"/>
            <w:vAlign w:val="center"/>
          </w:tcPr>
          <w:p w14:paraId="099B0E99">
            <w:pPr>
              <w:pStyle w:val="62"/>
            </w:pPr>
            <w:r>
              <w:t>符合</w:t>
            </w:r>
          </w:p>
        </w:tc>
      </w:tr>
      <w:tr w14:paraId="62CBA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Merge w:val="continue"/>
            <w:vAlign w:val="center"/>
          </w:tcPr>
          <w:p w14:paraId="35B2DADD">
            <w:pPr>
              <w:pStyle w:val="62"/>
              <w:jc w:val="both"/>
            </w:pPr>
          </w:p>
        </w:tc>
        <w:tc>
          <w:tcPr>
            <w:tcW w:w="6378" w:type="dxa"/>
            <w:vAlign w:val="center"/>
          </w:tcPr>
          <w:p w14:paraId="2983331E">
            <w:pPr>
              <w:pStyle w:val="62"/>
              <w:ind w:firstLine="210" w:firstLineChars="100"/>
              <w:jc w:val="both"/>
              <w:rPr>
                <w:bCs/>
              </w:rPr>
            </w:pPr>
            <w:r>
              <w:rPr>
                <w:rFonts w:hint="eastAsia"/>
                <w:bCs/>
              </w:rPr>
              <w:t>(十六)推进工业噪声实施排污许可。各地按照国家要求依法有序将工业噪声纳入排污许可证管理，并加强监管;督促排污单位按照规定开展工业噪声自行监测并向社会公开。</w:t>
            </w:r>
          </w:p>
        </w:tc>
        <w:tc>
          <w:tcPr>
            <w:tcW w:w="5245" w:type="dxa"/>
            <w:vAlign w:val="center"/>
          </w:tcPr>
          <w:p w14:paraId="294CCFC8">
            <w:pPr>
              <w:pStyle w:val="62"/>
              <w:ind w:firstLine="210" w:firstLineChars="100"/>
              <w:jc w:val="both"/>
              <w:rPr>
                <w:bCs/>
              </w:rPr>
            </w:pPr>
            <w:r>
              <w:rPr>
                <w:rFonts w:hint="eastAsia"/>
                <w:bCs/>
              </w:rPr>
              <w:t>本项目建成后严格按照要求将工业噪声纳入排污许可证管理，加强管理；同时，按照规定开展工业噪声自行监测并向社会公开。</w:t>
            </w:r>
          </w:p>
        </w:tc>
        <w:tc>
          <w:tcPr>
            <w:tcW w:w="928" w:type="dxa"/>
            <w:vAlign w:val="center"/>
          </w:tcPr>
          <w:p w14:paraId="02CBE2E2">
            <w:pPr>
              <w:pStyle w:val="62"/>
            </w:pPr>
            <w:r>
              <w:t>符合</w:t>
            </w:r>
          </w:p>
        </w:tc>
      </w:tr>
      <w:tr w14:paraId="1A432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Merge w:val="restart"/>
            <w:vAlign w:val="center"/>
          </w:tcPr>
          <w:p w14:paraId="39C1871B">
            <w:pPr>
              <w:pStyle w:val="62"/>
              <w:jc w:val="both"/>
            </w:pPr>
            <w:r>
              <w:rPr>
                <w:rFonts w:hint="eastAsia"/>
              </w:rPr>
              <w:t>五、深化建筑施工噪声污染防治，突出重点时段管理</w:t>
            </w:r>
          </w:p>
        </w:tc>
        <w:tc>
          <w:tcPr>
            <w:tcW w:w="6378" w:type="dxa"/>
            <w:vAlign w:val="center"/>
          </w:tcPr>
          <w:p w14:paraId="5068E868">
            <w:pPr>
              <w:pStyle w:val="62"/>
              <w:ind w:firstLine="210" w:firstLineChars="100"/>
              <w:jc w:val="left"/>
              <w:rPr>
                <w:bCs/>
              </w:rPr>
            </w:pPr>
            <w:r>
              <w:rPr>
                <w:rFonts w:hint="eastAsia"/>
                <w:bCs/>
              </w:rPr>
              <w:t>(十七)推广低噪声施工设备应用。按照国家房屋建筑和市政基础设施工程禁止和限制使用技术目录，推广低噪声施工设备。</w:t>
            </w:r>
          </w:p>
        </w:tc>
        <w:tc>
          <w:tcPr>
            <w:tcW w:w="5245" w:type="dxa"/>
            <w:vAlign w:val="center"/>
          </w:tcPr>
          <w:p w14:paraId="63A8B033">
            <w:pPr>
              <w:pStyle w:val="62"/>
              <w:ind w:firstLine="210" w:firstLineChars="100"/>
              <w:jc w:val="both"/>
            </w:pPr>
            <w:r>
              <w:rPr>
                <w:rFonts w:hint="eastAsia"/>
              </w:rPr>
              <w:t>本项目施工过程严格按照要求选用施工设备，不使用</w:t>
            </w:r>
            <w:r>
              <w:rPr>
                <w:rFonts w:hint="eastAsia"/>
                <w:bCs/>
              </w:rPr>
              <w:t>国家房屋建筑和市政基础设施工程禁止和限制使用技术目录中的施工设备。</w:t>
            </w:r>
          </w:p>
        </w:tc>
        <w:tc>
          <w:tcPr>
            <w:tcW w:w="928" w:type="dxa"/>
            <w:vAlign w:val="center"/>
          </w:tcPr>
          <w:p w14:paraId="597C8D3C">
            <w:pPr>
              <w:pStyle w:val="62"/>
            </w:pPr>
            <w:r>
              <w:t>符合</w:t>
            </w:r>
          </w:p>
        </w:tc>
      </w:tr>
      <w:tr w14:paraId="0FB4F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vMerge w:val="continue"/>
            <w:vAlign w:val="center"/>
          </w:tcPr>
          <w:p w14:paraId="1D7705A2">
            <w:pPr>
              <w:pStyle w:val="62"/>
              <w:jc w:val="both"/>
            </w:pPr>
          </w:p>
        </w:tc>
        <w:tc>
          <w:tcPr>
            <w:tcW w:w="6378" w:type="dxa"/>
            <w:vAlign w:val="center"/>
          </w:tcPr>
          <w:p w14:paraId="7A1FE6F9">
            <w:pPr>
              <w:pStyle w:val="62"/>
              <w:ind w:firstLine="210" w:firstLineChars="100"/>
              <w:jc w:val="left"/>
              <w:rPr>
                <w:bCs/>
              </w:rPr>
            </w:pPr>
            <w:r>
              <w:rPr>
                <w:rFonts w:hint="eastAsia"/>
                <w:bCs/>
              </w:rPr>
              <w:t>(十八)加强施工噪声污染防治。待省级《房屋市政工程噪</w:t>
            </w:r>
          </w:p>
          <w:p w14:paraId="34ECD778">
            <w:pPr>
              <w:pStyle w:val="62"/>
              <w:jc w:val="left"/>
              <w:rPr>
                <w:bCs/>
              </w:rPr>
            </w:pPr>
            <w:r>
              <w:rPr>
                <w:rFonts w:hint="eastAsia"/>
                <w:bCs/>
              </w:rPr>
              <w:t>声污染防治实施方案编制指南》颁布实施后，各地组织编制本级《房屋市政工程噪声污染防治实施方案》，并督促建设单位将噪声污染防治费用列入工程造价，采取有效设备及工艺，减少房屋市政工程施工噪声污染。探索从评优评先、资金补贴等方面，推动建筑施工企业加强噪声污染防治。</w:t>
            </w:r>
          </w:p>
        </w:tc>
        <w:tc>
          <w:tcPr>
            <w:tcW w:w="5245" w:type="dxa"/>
            <w:vAlign w:val="center"/>
          </w:tcPr>
          <w:p w14:paraId="7D12D78E">
            <w:pPr>
              <w:pStyle w:val="62"/>
              <w:ind w:firstLine="210" w:firstLineChars="100"/>
              <w:jc w:val="both"/>
            </w:pPr>
            <w:r>
              <w:rPr>
                <w:rFonts w:hint="eastAsia"/>
              </w:rPr>
              <w:t>项目施工过程应对施工设备采取隔声、减振等措施，减少施工噪声污染，满足</w:t>
            </w:r>
            <w:r>
              <w:t>《建筑施工场界环境噪声排放标准》（GB12523-2011）</w:t>
            </w:r>
            <w:r>
              <w:rPr>
                <w:rFonts w:hint="eastAsia"/>
              </w:rPr>
              <w:t>要求。</w:t>
            </w:r>
          </w:p>
        </w:tc>
        <w:tc>
          <w:tcPr>
            <w:tcW w:w="928" w:type="dxa"/>
            <w:vAlign w:val="center"/>
          </w:tcPr>
          <w:p w14:paraId="56E44EEE">
            <w:pPr>
              <w:pStyle w:val="62"/>
            </w:pPr>
            <w:r>
              <w:t>符合</w:t>
            </w:r>
          </w:p>
        </w:tc>
      </w:tr>
    </w:tbl>
    <w:p w14:paraId="306C5912">
      <w:pPr>
        <w:pStyle w:val="5"/>
        <w:spacing w:before="240" w:after="240"/>
      </w:pPr>
      <w:r>
        <w:rPr>
          <w:rFonts w:hint="eastAsia"/>
        </w:rPr>
        <w:t>与《河南省</w:t>
      </w:r>
      <w:r>
        <w:t>空气质量持续改善行动计划</w:t>
      </w:r>
      <w:r>
        <w:rPr>
          <w:rFonts w:hint="eastAsia"/>
        </w:rPr>
        <w:t>》相符性分析</w:t>
      </w:r>
    </w:p>
    <w:p w14:paraId="586B6B03">
      <w:pPr>
        <w:ind w:firstLine="480"/>
      </w:pPr>
      <w:r>
        <w:rPr>
          <w:rFonts w:hint="eastAsia"/>
        </w:rPr>
        <w:t>本项目与河南省人民政府关于印发《河南省空气质量持续改善行动计划》的通知（豫政〔2024〕12号）相符性分析见下表。</w:t>
      </w:r>
    </w:p>
    <w:p w14:paraId="64AFD798">
      <w:pPr>
        <w:numPr>
          <w:ilvl w:val="0"/>
          <w:numId w:val="12"/>
        </w:numPr>
        <w:adjustRightInd/>
        <w:snapToGrid/>
        <w:ind w:firstLineChars="0"/>
        <w:textAlignment w:val="auto"/>
        <w:rPr>
          <w:rFonts w:eastAsia="黑体"/>
        </w:rPr>
      </w:pPr>
      <w:r>
        <w:rPr>
          <w:rFonts w:eastAsia="黑体"/>
        </w:rPr>
        <w:t xml:space="preserve">  </w:t>
      </w:r>
      <w:r>
        <w:rPr>
          <w:rFonts w:hint="eastAsia" w:eastAsia="黑体"/>
        </w:rPr>
        <w:t xml:space="preserve"> </w:t>
      </w:r>
      <w:r>
        <w:rPr>
          <w:rFonts w:eastAsia="黑体"/>
        </w:rPr>
        <w:t>与《</w:t>
      </w:r>
      <w:r>
        <w:rPr>
          <w:rFonts w:hint="eastAsia" w:eastAsia="黑体"/>
        </w:rPr>
        <w:t>河南省空气质量持续改善行动计划</w:t>
      </w:r>
      <w:r>
        <w:rPr>
          <w:rFonts w:eastAsia="黑体"/>
        </w:rPr>
        <w:t>》对比分析</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98"/>
        <w:gridCol w:w="825"/>
        <w:gridCol w:w="4002"/>
        <w:gridCol w:w="2484"/>
        <w:gridCol w:w="459"/>
      </w:tblGrid>
      <w:tr w14:paraId="5B64B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851" w:type="pct"/>
            <w:gridSpan w:val="2"/>
            <w:vAlign w:val="center"/>
          </w:tcPr>
          <w:p w14:paraId="6ACDE77B">
            <w:pPr>
              <w:adjustRightInd/>
              <w:snapToGrid/>
              <w:spacing w:line="240" w:lineRule="auto"/>
              <w:ind w:firstLine="0" w:firstLineChars="0"/>
              <w:jc w:val="center"/>
              <w:textAlignment w:val="auto"/>
              <w:rPr>
                <w:b/>
                <w:kern w:val="2"/>
                <w:sz w:val="21"/>
                <w:szCs w:val="21"/>
                <w:highlight w:val="yellow"/>
              </w:rPr>
            </w:pPr>
            <w:r>
              <w:rPr>
                <w:b/>
                <w:kern w:val="2"/>
                <w:sz w:val="21"/>
                <w:szCs w:val="21"/>
              </w:rPr>
              <w:t>项目</w:t>
            </w:r>
          </w:p>
        </w:tc>
        <w:tc>
          <w:tcPr>
            <w:tcW w:w="2391" w:type="pct"/>
            <w:vAlign w:val="center"/>
          </w:tcPr>
          <w:p w14:paraId="78364354">
            <w:pPr>
              <w:adjustRightInd/>
              <w:snapToGrid/>
              <w:spacing w:line="240" w:lineRule="auto"/>
              <w:ind w:firstLine="0" w:firstLineChars="0"/>
              <w:jc w:val="center"/>
              <w:textAlignment w:val="auto"/>
              <w:rPr>
                <w:b/>
                <w:kern w:val="2"/>
                <w:sz w:val="21"/>
                <w:szCs w:val="21"/>
              </w:rPr>
            </w:pPr>
            <w:r>
              <w:rPr>
                <w:b/>
                <w:kern w:val="2"/>
                <w:sz w:val="21"/>
                <w:szCs w:val="21"/>
              </w:rPr>
              <w:t>实施方案相关内容</w:t>
            </w:r>
          </w:p>
        </w:tc>
        <w:tc>
          <w:tcPr>
            <w:tcW w:w="1484" w:type="pct"/>
            <w:vAlign w:val="center"/>
          </w:tcPr>
          <w:p w14:paraId="54C1F236">
            <w:pPr>
              <w:adjustRightInd/>
              <w:snapToGrid/>
              <w:spacing w:line="240" w:lineRule="auto"/>
              <w:ind w:firstLine="0" w:firstLineChars="0"/>
              <w:jc w:val="center"/>
              <w:textAlignment w:val="auto"/>
              <w:rPr>
                <w:b/>
                <w:kern w:val="2"/>
                <w:sz w:val="21"/>
                <w:szCs w:val="21"/>
                <w:highlight w:val="yellow"/>
              </w:rPr>
            </w:pPr>
            <w:r>
              <w:rPr>
                <w:b/>
                <w:kern w:val="2"/>
                <w:sz w:val="21"/>
                <w:szCs w:val="21"/>
              </w:rPr>
              <w:t>本项目建设情况</w:t>
            </w:r>
          </w:p>
        </w:tc>
        <w:tc>
          <w:tcPr>
            <w:tcW w:w="274" w:type="pct"/>
            <w:vAlign w:val="center"/>
          </w:tcPr>
          <w:p w14:paraId="2F75F5D5">
            <w:pPr>
              <w:adjustRightInd/>
              <w:snapToGrid/>
              <w:spacing w:line="240" w:lineRule="auto"/>
              <w:ind w:firstLine="0" w:firstLineChars="0"/>
              <w:jc w:val="center"/>
              <w:textAlignment w:val="auto"/>
              <w:rPr>
                <w:b/>
                <w:kern w:val="2"/>
                <w:sz w:val="21"/>
                <w:szCs w:val="21"/>
              </w:rPr>
            </w:pPr>
            <w:r>
              <w:rPr>
                <w:b/>
                <w:kern w:val="2"/>
                <w:sz w:val="21"/>
                <w:szCs w:val="21"/>
              </w:rPr>
              <w:t>相符性</w:t>
            </w:r>
          </w:p>
        </w:tc>
      </w:tr>
      <w:tr w14:paraId="4A620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8" w:type="pct"/>
            <w:vMerge w:val="restart"/>
            <w:vAlign w:val="center"/>
          </w:tcPr>
          <w:p w14:paraId="427FD640">
            <w:pPr>
              <w:adjustRightInd/>
              <w:snapToGrid/>
              <w:spacing w:line="240" w:lineRule="auto"/>
              <w:ind w:firstLine="0" w:firstLineChars="0"/>
              <w:contextualSpacing/>
              <w:jc w:val="center"/>
              <w:rPr>
                <w:snapToGrid w:val="0"/>
                <w:sz w:val="21"/>
                <w:szCs w:val="21"/>
              </w:rPr>
            </w:pPr>
            <w:r>
              <w:rPr>
                <w:snapToGrid w:val="0"/>
                <w:sz w:val="21"/>
                <w:szCs w:val="21"/>
              </w:rPr>
              <w:t>二、优化产业结构，促进产业绿色发展</w:t>
            </w:r>
          </w:p>
        </w:tc>
        <w:tc>
          <w:tcPr>
            <w:tcW w:w="493" w:type="pct"/>
            <w:vAlign w:val="center"/>
          </w:tcPr>
          <w:p w14:paraId="3D4B3442">
            <w:pPr>
              <w:adjustRightInd/>
              <w:snapToGrid/>
              <w:spacing w:line="240" w:lineRule="auto"/>
              <w:ind w:firstLine="0" w:firstLineChars="0"/>
              <w:contextualSpacing/>
              <w:jc w:val="center"/>
              <w:rPr>
                <w:snapToGrid w:val="0"/>
                <w:sz w:val="21"/>
                <w:szCs w:val="21"/>
              </w:rPr>
            </w:pPr>
            <w:r>
              <w:rPr>
                <w:sz w:val="21"/>
                <w:szCs w:val="21"/>
              </w:rPr>
              <w:t>（一）严把“两高”项目准入关口。</w:t>
            </w:r>
          </w:p>
        </w:tc>
        <w:tc>
          <w:tcPr>
            <w:tcW w:w="2391" w:type="pct"/>
            <w:vAlign w:val="center"/>
          </w:tcPr>
          <w:p w14:paraId="0920AE1C">
            <w:pPr>
              <w:spacing w:line="240" w:lineRule="auto"/>
              <w:ind w:firstLine="210" w:firstLineChars="100"/>
              <w:textAlignment w:val="auto"/>
              <w:rPr>
                <w:snapToGrid w:val="0"/>
                <w:sz w:val="21"/>
                <w:szCs w:val="21"/>
              </w:rPr>
            </w:pPr>
            <w:r>
              <w:rPr>
                <w:sz w:val="21"/>
                <w:szCs w:val="21"/>
              </w:rPr>
              <w:t>严格落实国家和我省“两高”项目相关要求，严禁新增钢铁产能。严格执行有关行业产能置换政策，被置换产能及其配套设施关停后，新建项目方可投产。国家、省绩效分级重点行业以及涉及锅炉炉窑的其他行业，新（改、扩）建项目原则上达到环境绩效A级或国内清洁生产先进水平。推进钢铁、焦化、烧结一体化布局，大幅减少独立烧结、球团和热轧企业及工序，推动高炉—转炉长流程炼钢转型为电炉短流程炼钢，淘汰落后煤炭洗选产能。统筹落实国家“以钢定焦”有关要求，研究制定焦化行业产能退出实施方案。到2025年，全省短流程炼钢产量占比达15%以上，郑州市钢铁企业全部退出。</w:t>
            </w:r>
          </w:p>
        </w:tc>
        <w:tc>
          <w:tcPr>
            <w:tcW w:w="1484" w:type="pct"/>
            <w:vAlign w:val="center"/>
          </w:tcPr>
          <w:p w14:paraId="45C40B63">
            <w:pPr>
              <w:spacing w:line="240" w:lineRule="auto"/>
              <w:ind w:firstLine="210" w:firstLineChars="100"/>
              <w:textAlignment w:val="auto"/>
              <w:rPr>
                <w:snapToGrid w:val="0"/>
                <w:sz w:val="21"/>
                <w:szCs w:val="21"/>
                <w:highlight w:val="yellow"/>
              </w:rPr>
            </w:pPr>
            <w:r>
              <w:rPr>
                <w:snapToGrid w:val="0"/>
                <w:sz w:val="21"/>
                <w:szCs w:val="21"/>
                <w:u w:val="single"/>
              </w:rPr>
              <w:t>本项目</w:t>
            </w:r>
            <w:r>
              <w:rPr>
                <w:rFonts w:hint="eastAsia"/>
                <w:snapToGrid w:val="0"/>
                <w:sz w:val="21"/>
                <w:szCs w:val="24"/>
                <w:u w:val="single"/>
              </w:rPr>
              <w:t>为新建项目，</w:t>
            </w:r>
            <w:r>
              <w:rPr>
                <w:bCs/>
                <w:snapToGrid w:val="0"/>
                <w:sz w:val="21"/>
                <w:szCs w:val="24"/>
                <w:u w:val="single"/>
              </w:rPr>
              <w:t>属于化学原料和化学制品制造业</w:t>
            </w:r>
            <w:r>
              <w:rPr>
                <w:rFonts w:hint="eastAsia"/>
                <w:snapToGrid w:val="0"/>
                <w:sz w:val="21"/>
                <w:szCs w:val="21"/>
                <w:u w:val="single"/>
              </w:rPr>
              <w:t>，不项目综合能耗约为0.1万吨标煤＜5万吨标准煤/年，根据《关于印发河南省“两高”项目管理目录（2023年修订）的通知》，本项目不属于“两高”项目</w:t>
            </w:r>
            <w:r>
              <w:rPr>
                <w:snapToGrid w:val="0"/>
                <w:sz w:val="21"/>
                <w:szCs w:val="21"/>
                <w:u w:val="single"/>
              </w:rPr>
              <w:t>。</w:t>
            </w:r>
            <w:r>
              <w:rPr>
                <w:rFonts w:hint="eastAsia"/>
                <w:sz w:val="21"/>
                <w:szCs w:val="21"/>
              </w:rPr>
              <w:t>本项目将严格按照《河南省重污染天气重点行业应急减排措施制定技术指南（2021年修订版）》中的有机化工企业A级绩效要求进行建设。</w:t>
            </w:r>
          </w:p>
        </w:tc>
        <w:tc>
          <w:tcPr>
            <w:tcW w:w="274" w:type="pct"/>
            <w:vAlign w:val="center"/>
          </w:tcPr>
          <w:p w14:paraId="0CF5BD0B">
            <w:pPr>
              <w:adjustRightInd/>
              <w:snapToGrid/>
              <w:spacing w:line="240" w:lineRule="auto"/>
              <w:ind w:firstLine="0" w:firstLineChars="0"/>
              <w:contextualSpacing/>
              <w:jc w:val="center"/>
              <w:rPr>
                <w:sz w:val="21"/>
                <w:szCs w:val="21"/>
              </w:rPr>
            </w:pPr>
            <w:r>
              <w:rPr>
                <w:sz w:val="21"/>
                <w:szCs w:val="21"/>
              </w:rPr>
              <w:t>相符</w:t>
            </w:r>
          </w:p>
        </w:tc>
      </w:tr>
      <w:tr w14:paraId="55AB6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8" w:type="pct"/>
            <w:vMerge w:val="continue"/>
            <w:vAlign w:val="center"/>
          </w:tcPr>
          <w:p w14:paraId="2EBD79D8">
            <w:pPr>
              <w:adjustRightInd/>
              <w:snapToGrid/>
              <w:spacing w:line="240" w:lineRule="auto"/>
              <w:ind w:firstLine="0" w:firstLineChars="0"/>
              <w:contextualSpacing/>
              <w:jc w:val="center"/>
              <w:rPr>
                <w:snapToGrid w:val="0"/>
                <w:sz w:val="21"/>
                <w:szCs w:val="21"/>
              </w:rPr>
            </w:pPr>
          </w:p>
        </w:tc>
        <w:tc>
          <w:tcPr>
            <w:tcW w:w="493" w:type="pct"/>
            <w:vAlign w:val="center"/>
          </w:tcPr>
          <w:p w14:paraId="35F81C26">
            <w:pPr>
              <w:adjustRightInd/>
              <w:snapToGrid/>
              <w:spacing w:line="240" w:lineRule="auto"/>
              <w:ind w:firstLine="0" w:firstLineChars="0"/>
              <w:contextualSpacing/>
              <w:jc w:val="center"/>
              <w:rPr>
                <w:snapToGrid w:val="0"/>
                <w:sz w:val="21"/>
                <w:szCs w:val="21"/>
              </w:rPr>
            </w:pPr>
            <w:r>
              <w:rPr>
                <w:sz w:val="21"/>
                <w:szCs w:val="21"/>
              </w:rPr>
              <w:t>（二）加快淘汰落后低效产能。</w:t>
            </w:r>
          </w:p>
        </w:tc>
        <w:tc>
          <w:tcPr>
            <w:tcW w:w="2391" w:type="pct"/>
            <w:vAlign w:val="center"/>
          </w:tcPr>
          <w:p w14:paraId="0A5CBEFE">
            <w:pPr>
              <w:spacing w:line="240" w:lineRule="auto"/>
              <w:ind w:firstLine="210" w:firstLineChars="100"/>
              <w:rPr>
                <w:sz w:val="21"/>
                <w:szCs w:val="21"/>
              </w:rPr>
            </w:pPr>
            <w:r>
              <w:rPr>
                <w:sz w:val="21"/>
                <w:szCs w:val="21"/>
              </w:rPr>
              <w:t>落实国家产业政策，进一步提高落后产能能耗、环保、质量、安全、技术等要求，将大气污染物排放强度高、清洁生产水平低、治理难度大以及产能过剩行业的工艺和装备纳入淘汰范围，逐步退出限制类涉气行业工艺和装备；加快淘汰步进式烧结机、球团竖炉、独立烧结、独立球团、独立热轧工序以及半封闭式硅锰合金、镍铁、高碳铬铁、高碳锰铁电炉；有序退出砖瓦行业6000万标砖/年以下烧结砖及烧结空心砌块生产线，鼓励各省辖市、济源示范区、航空港区城市规划区内的烧结砖瓦企业关停退出。2024年年底前，钢铁企业1200立方米以下炼铁高炉、100吨以下炼钢转炉、100吨以下炼钢电弧炉、50吨以下合金钢电弧炉原则上有序退出或完成大型化改造。</w:t>
            </w:r>
          </w:p>
        </w:tc>
        <w:tc>
          <w:tcPr>
            <w:tcW w:w="1484" w:type="pct"/>
            <w:vAlign w:val="center"/>
          </w:tcPr>
          <w:p w14:paraId="2317B9F1">
            <w:pPr>
              <w:spacing w:line="240" w:lineRule="auto"/>
              <w:ind w:firstLine="210" w:firstLineChars="100"/>
              <w:textAlignment w:val="auto"/>
              <w:rPr>
                <w:snapToGrid w:val="0"/>
                <w:sz w:val="21"/>
                <w:szCs w:val="21"/>
                <w:highlight w:val="yellow"/>
              </w:rPr>
            </w:pPr>
            <w:r>
              <w:rPr>
                <w:snapToGrid w:val="0"/>
                <w:sz w:val="21"/>
                <w:szCs w:val="21"/>
              </w:rPr>
              <w:t>本项目</w:t>
            </w:r>
            <w:r>
              <w:rPr>
                <w:rFonts w:hint="eastAsia"/>
                <w:snapToGrid w:val="0"/>
                <w:sz w:val="21"/>
                <w:szCs w:val="24"/>
              </w:rPr>
              <w:t>属于新建项目，</w:t>
            </w:r>
            <w:r>
              <w:rPr>
                <w:bCs/>
                <w:snapToGrid w:val="0"/>
                <w:sz w:val="21"/>
                <w:szCs w:val="24"/>
              </w:rPr>
              <w:t>化学原料和化学制品制造业</w:t>
            </w:r>
            <w:r>
              <w:rPr>
                <w:snapToGrid w:val="0"/>
                <w:sz w:val="21"/>
                <w:szCs w:val="21"/>
              </w:rPr>
              <w:t>；</w:t>
            </w:r>
            <w:r>
              <w:rPr>
                <w:rFonts w:hint="eastAsia"/>
                <w:snapToGrid w:val="0"/>
                <w:sz w:val="21"/>
                <w:szCs w:val="21"/>
              </w:rPr>
              <w:t>本项目</w:t>
            </w:r>
            <w:r>
              <w:rPr>
                <w:snapToGrid w:val="0"/>
                <w:sz w:val="21"/>
                <w:szCs w:val="21"/>
              </w:rPr>
              <w:t>产品、工艺和设备</w:t>
            </w:r>
            <w:r>
              <w:rPr>
                <w:rFonts w:hint="eastAsia"/>
                <w:snapToGrid w:val="0"/>
                <w:sz w:val="21"/>
                <w:szCs w:val="21"/>
              </w:rPr>
              <w:t>不属于</w:t>
            </w:r>
            <w:r>
              <w:rPr>
                <w:sz w:val="21"/>
                <w:szCs w:val="21"/>
              </w:rPr>
              <w:t>《产业结构调整指导目录（2024年本）》</w:t>
            </w:r>
            <w:r>
              <w:rPr>
                <w:rFonts w:hint="eastAsia"/>
                <w:sz w:val="21"/>
                <w:szCs w:val="21"/>
              </w:rPr>
              <w:t>“鼓励类”、“限制类”和“淘汰类”，属于允许类项目</w:t>
            </w:r>
            <w:r>
              <w:rPr>
                <w:sz w:val="21"/>
                <w:szCs w:val="21"/>
              </w:rPr>
              <w:t>。</w:t>
            </w:r>
          </w:p>
        </w:tc>
        <w:tc>
          <w:tcPr>
            <w:tcW w:w="274" w:type="pct"/>
            <w:vAlign w:val="center"/>
          </w:tcPr>
          <w:p w14:paraId="604517B5">
            <w:pPr>
              <w:adjustRightInd/>
              <w:snapToGrid/>
              <w:spacing w:line="240" w:lineRule="auto"/>
              <w:ind w:firstLine="0" w:firstLineChars="0"/>
              <w:contextualSpacing/>
              <w:jc w:val="center"/>
              <w:rPr>
                <w:sz w:val="21"/>
                <w:szCs w:val="21"/>
              </w:rPr>
            </w:pPr>
            <w:r>
              <w:rPr>
                <w:sz w:val="21"/>
                <w:szCs w:val="21"/>
              </w:rPr>
              <w:t>相符</w:t>
            </w:r>
          </w:p>
        </w:tc>
      </w:tr>
    </w:tbl>
    <w:p w14:paraId="76C00559">
      <w:pPr>
        <w:pStyle w:val="2"/>
        <w:ind w:firstLine="480"/>
      </w:pPr>
      <w:r>
        <w:rPr>
          <w:rFonts w:hint="eastAsia"/>
        </w:rPr>
        <w:t>由上表可知，本项目符合河南省人民政府</w:t>
      </w:r>
      <w:r>
        <w:t>关于印发《</w:t>
      </w:r>
      <w:r>
        <w:rPr>
          <w:rFonts w:hint="eastAsia"/>
        </w:rPr>
        <w:t>河南省</w:t>
      </w:r>
      <w:r>
        <w:t>空气质量持续改善行动计划》的通知</w:t>
      </w:r>
      <w:r>
        <w:rPr>
          <w:rFonts w:hint="eastAsia"/>
        </w:rPr>
        <w:t>（豫政</w:t>
      </w:r>
      <w:r>
        <w:t>〔202</w:t>
      </w:r>
      <w:r>
        <w:rPr>
          <w:rFonts w:hint="eastAsia"/>
        </w:rPr>
        <w:t>4</w:t>
      </w:r>
      <w:r>
        <w:t>〕</w:t>
      </w:r>
      <w:r>
        <w:rPr>
          <w:rFonts w:hint="eastAsia"/>
        </w:rPr>
        <w:t>12</w:t>
      </w:r>
      <w:r>
        <w:t>号</w:t>
      </w:r>
      <w:r>
        <w:rPr>
          <w:rFonts w:hint="eastAsia"/>
        </w:rPr>
        <w:t>）的相关要求。</w:t>
      </w:r>
    </w:p>
    <w:p w14:paraId="1D3E9B78">
      <w:pPr>
        <w:pStyle w:val="5"/>
        <w:spacing w:before="240" w:after="240"/>
      </w:pPr>
      <w:r>
        <w:t>《河南省重污染天气</w:t>
      </w:r>
      <w:r>
        <w:rPr>
          <w:rFonts w:hint="eastAsia"/>
        </w:rPr>
        <w:t>重点</w:t>
      </w:r>
      <w:r>
        <w:t>行业应急减排措施制定技术指南（2021年修订版）》相符性分析</w:t>
      </w:r>
    </w:p>
    <w:p w14:paraId="1D3E9B79">
      <w:pPr>
        <w:ind w:firstLine="480"/>
      </w:pPr>
      <w:r>
        <w:t>经查阅国家39个重点行业和省级12个重点行业，本项目属于其中的重点行业</w:t>
      </w:r>
      <w:r>
        <w:rPr>
          <w:rFonts w:hint="eastAsia"/>
        </w:rPr>
        <w:t>有机化工</w:t>
      </w:r>
      <w:r>
        <w:t>，因此本项目执行《河南省重污染天气</w:t>
      </w:r>
      <w:r>
        <w:rPr>
          <w:rFonts w:hint="eastAsia"/>
        </w:rPr>
        <w:t>重点</w:t>
      </w:r>
      <w:r>
        <w:t>行业应急减排措施制定技术指南（2021年修订版）》中的</w:t>
      </w:r>
      <w:r>
        <w:rPr>
          <w:rFonts w:hint="eastAsia"/>
        </w:rPr>
        <w:t>有机化工</w:t>
      </w:r>
      <w:r>
        <w:t>企业要求。</w:t>
      </w:r>
    </w:p>
    <w:p w14:paraId="1D3E9B7A">
      <w:pPr>
        <w:ind w:firstLine="480"/>
        <w:rPr>
          <w:highlight w:val="yellow"/>
        </w:rPr>
      </w:pPr>
      <w:r>
        <w:t>本项目与《河南省重污染天气</w:t>
      </w:r>
      <w:r>
        <w:rPr>
          <w:rFonts w:hint="eastAsia"/>
        </w:rPr>
        <w:t>重点</w:t>
      </w:r>
      <w:r>
        <w:t>行业应急减排措施制定技术指南（2021年修订版）》中</w:t>
      </w:r>
      <w:r>
        <w:rPr>
          <w:rFonts w:hint="eastAsia"/>
        </w:rPr>
        <w:t>有机化工</w:t>
      </w:r>
      <w:r>
        <w:t>企业要求对照分析见下表：</w:t>
      </w:r>
    </w:p>
    <w:p w14:paraId="1D3E9B7B">
      <w:pPr>
        <w:numPr>
          <w:ilvl w:val="0"/>
          <w:numId w:val="12"/>
        </w:numPr>
        <w:adjustRightInd/>
        <w:snapToGrid/>
        <w:ind w:firstLineChars="0"/>
        <w:textAlignment w:val="auto"/>
        <w:rPr>
          <w:rFonts w:eastAsia="黑体"/>
        </w:rPr>
      </w:pPr>
      <w:r>
        <w:rPr>
          <w:rFonts w:eastAsia="黑体"/>
        </w:rPr>
        <w:t xml:space="preserve">     </w:t>
      </w:r>
      <w:r>
        <w:rPr>
          <w:rFonts w:hint="eastAsia" w:eastAsia="黑体"/>
        </w:rPr>
        <w:t xml:space="preserve">   </w:t>
      </w:r>
      <w:r>
        <w:rPr>
          <w:rFonts w:eastAsia="黑体"/>
        </w:rPr>
        <w:t>与</w:t>
      </w:r>
      <w:r>
        <w:rPr>
          <w:rFonts w:hint="eastAsia" w:eastAsia="黑体"/>
        </w:rPr>
        <w:t>有机化工企业绩效分级指标</w:t>
      </w:r>
      <w:r>
        <w:rPr>
          <w:rFonts w:eastAsia="黑体"/>
        </w:rPr>
        <w:t>对比分析</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71"/>
        <w:gridCol w:w="585"/>
        <w:gridCol w:w="3828"/>
        <w:gridCol w:w="3086"/>
        <w:gridCol w:w="462"/>
      </w:tblGrid>
      <w:tr w14:paraId="1D3E9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573" w:type="pct"/>
            <w:gridSpan w:val="2"/>
            <w:tcMar>
              <w:left w:w="6" w:type="dxa"/>
              <w:right w:w="6" w:type="dxa"/>
            </w:tcMar>
            <w:vAlign w:val="center"/>
          </w:tcPr>
          <w:p w14:paraId="1D3E9B7C">
            <w:pPr>
              <w:adjustRightInd/>
              <w:snapToGrid/>
              <w:spacing w:line="240" w:lineRule="auto"/>
              <w:ind w:firstLine="0" w:firstLineChars="0"/>
              <w:jc w:val="center"/>
              <w:textAlignment w:val="auto"/>
              <w:rPr>
                <w:b/>
                <w:kern w:val="2"/>
                <w:sz w:val="21"/>
              </w:rPr>
            </w:pPr>
            <w:r>
              <w:rPr>
                <w:rFonts w:hint="eastAsia"/>
                <w:b/>
                <w:kern w:val="2"/>
                <w:sz w:val="21"/>
              </w:rPr>
              <w:t>差异化</w:t>
            </w:r>
            <w:r>
              <w:rPr>
                <w:b/>
                <w:kern w:val="2"/>
                <w:sz w:val="21"/>
              </w:rPr>
              <w:t>指标</w:t>
            </w:r>
          </w:p>
        </w:tc>
        <w:tc>
          <w:tcPr>
            <w:tcW w:w="2297" w:type="pct"/>
            <w:tcMar>
              <w:left w:w="6" w:type="dxa"/>
              <w:right w:w="6" w:type="dxa"/>
            </w:tcMar>
            <w:vAlign w:val="center"/>
          </w:tcPr>
          <w:p w14:paraId="1D3E9B7D">
            <w:pPr>
              <w:adjustRightInd/>
              <w:snapToGrid/>
              <w:spacing w:line="240" w:lineRule="auto"/>
              <w:ind w:firstLine="0" w:firstLineChars="0"/>
              <w:jc w:val="center"/>
              <w:textAlignment w:val="auto"/>
              <w:rPr>
                <w:b/>
                <w:kern w:val="2"/>
                <w:sz w:val="21"/>
              </w:rPr>
            </w:pPr>
            <w:r>
              <w:rPr>
                <w:rFonts w:hint="eastAsia"/>
                <w:b/>
                <w:kern w:val="2"/>
                <w:sz w:val="21"/>
              </w:rPr>
              <w:t>A级</w:t>
            </w:r>
            <w:r>
              <w:rPr>
                <w:b/>
                <w:kern w:val="2"/>
                <w:sz w:val="21"/>
              </w:rPr>
              <w:t>企业</w:t>
            </w:r>
          </w:p>
        </w:tc>
        <w:tc>
          <w:tcPr>
            <w:tcW w:w="1852" w:type="pct"/>
            <w:tcMar>
              <w:left w:w="6" w:type="dxa"/>
              <w:right w:w="6" w:type="dxa"/>
            </w:tcMar>
            <w:vAlign w:val="center"/>
          </w:tcPr>
          <w:p w14:paraId="1D3E9B7E">
            <w:pPr>
              <w:adjustRightInd/>
              <w:snapToGrid/>
              <w:spacing w:line="240" w:lineRule="auto"/>
              <w:ind w:firstLine="0" w:firstLineChars="0"/>
              <w:jc w:val="center"/>
              <w:textAlignment w:val="auto"/>
              <w:rPr>
                <w:b/>
                <w:kern w:val="2"/>
                <w:sz w:val="21"/>
              </w:rPr>
            </w:pPr>
            <w:r>
              <w:rPr>
                <w:b/>
                <w:kern w:val="2"/>
                <w:sz w:val="21"/>
              </w:rPr>
              <w:t>本项目</w:t>
            </w:r>
          </w:p>
        </w:tc>
        <w:tc>
          <w:tcPr>
            <w:tcW w:w="277" w:type="pct"/>
            <w:tcMar>
              <w:left w:w="6" w:type="dxa"/>
              <w:right w:w="6" w:type="dxa"/>
            </w:tcMar>
            <w:vAlign w:val="center"/>
          </w:tcPr>
          <w:p w14:paraId="1D3E9B7F">
            <w:pPr>
              <w:adjustRightInd/>
              <w:snapToGrid/>
              <w:spacing w:line="240" w:lineRule="auto"/>
              <w:ind w:firstLine="0" w:firstLineChars="0"/>
              <w:jc w:val="center"/>
              <w:textAlignment w:val="auto"/>
              <w:rPr>
                <w:b/>
                <w:kern w:val="2"/>
                <w:sz w:val="21"/>
              </w:rPr>
            </w:pPr>
            <w:r>
              <w:rPr>
                <w:b/>
                <w:kern w:val="2"/>
                <w:sz w:val="21"/>
              </w:rPr>
              <w:t>对比结果</w:t>
            </w:r>
          </w:p>
        </w:tc>
      </w:tr>
      <w:tr w14:paraId="1D3E9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1D3E9B81">
            <w:pPr>
              <w:adjustRightInd/>
              <w:snapToGrid/>
              <w:spacing w:line="240" w:lineRule="auto"/>
              <w:ind w:firstLine="0" w:firstLineChars="0"/>
              <w:contextualSpacing/>
              <w:jc w:val="center"/>
              <w:rPr>
                <w:sz w:val="21"/>
                <w:szCs w:val="21"/>
                <w:highlight w:val="yellow"/>
              </w:rPr>
            </w:pPr>
            <w:r>
              <w:rPr>
                <w:rFonts w:hint="eastAsia"/>
                <w:sz w:val="21"/>
                <w:szCs w:val="21"/>
              </w:rPr>
              <w:t>源头控制</w:t>
            </w:r>
          </w:p>
        </w:tc>
        <w:tc>
          <w:tcPr>
            <w:tcW w:w="2297" w:type="pct"/>
            <w:tcMar>
              <w:left w:w="6" w:type="dxa"/>
              <w:right w:w="6" w:type="dxa"/>
            </w:tcMar>
            <w:vAlign w:val="center"/>
          </w:tcPr>
          <w:p w14:paraId="1D3E9B82">
            <w:pPr>
              <w:spacing w:line="240" w:lineRule="auto"/>
              <w:ind w:firstLine="210" w:firstLineChars="100"/>
              <w:textAlignment w:val="auto"/>
              <w:rPr>
                <w:highlight w:val="yellow"/>
              </w:rPr>
            </w:pPr>
            <w:r>
              <w:rPr>
                <w:rFonts w:hint="eastAsia"/>
                <w:snapToGrid w:val="0"/>
                <w:sz w:val="21"/>
                <w:szCs w:val="24"/>
              </w:rPr>
              <w:t>反应尾气、蒸馏装置不凝尾气等工艺排气，工艺容器的置换气、吹扫气、抽真空排气等全部收集治理。</w:t>
            </w:r>
          </w:p>
        </w:tc>
        <w:tc>
          <w:tcPr>
            <w:tcW w:w="1852" w:type="pct"/>
            <w:tcMar>
              <w:left w:w="6" w:type="dxa"/>
              <w:right w:w="6" w:type="dxa"/>
            </w:tcMar>
            <w:vAlign w:val="center"/>
          </w:tcPr>
          <w:p w14:paraId="1D3E9B83">
            <w:pPr>
              <w:spacing w:line="240" w:lineRule="auto"/>
              <w:ind w:firstLine="210" w:firstLineChars="100"/>
              <w:textAlignment w:val="auto"/>
              <w:rPr>
                <w:snapToGrid w:val="0"/>
                <w:sz w:val="21"/>
                <w:szCs w:val="24"/>
              </w:rPr>
            </w:pPr>
            <w:r>
              <w:rPr>
                <w:rFonts w:hint="eastAsia"/>
                <w:snapToGrid w:val="0"/>
                <w:sz w:val="21"/>
                <w:szCs w:val="24"/>
              </w:rPr>
              <w:t>本项目生产装置的聚合、中和废气、硅氢化反应、脱色废气、投料废气等全部收集治理。</w:t>
            </w:r>
          </w:p>
        </w:tc>
        <w:tc>
          <w:tcPr>
            <w:tcW w:w="277" w:type="pct"/>
            <w:tcMar>
              <w:left w:w="6" w:type="dxa"/>
              <w:right w:w="6" w:type="dxa"/>
            </w:tcMar>
            <w:vAlign w:val="center"/>
          </w:tcPr>
          <w:p w14:paraId="1D3E9B84">
            <w:pPr>
              <w:adjustRightInd/>
              <w:snapToGrid/>
              <w:spacing w:line="240" w:lineRule="auto"/>
              <w:ind w:firstLine="0" w:firstLineChars="0"/>
              <w:contextualSpacing/>
              <w:jc w:val="center"/>
              <w:rPr>
                <w:sz w:val="21"/>
                <w:szCs w:val="21"/>
              </w:rPr>
            </w:pPr>
            <w:r>
              <w:rPr>
                <w:rFonts w:hint="eastAsia"/>
                <w:sz w:val="21"/>
                <w:szCs w:val="21"/>
              </w:rPr>
              <w:t>符合</w:t>
            </w:r>
          </w:p>
        </w:tc>
      </w:tr>
      <w:tr w14:paraId="1D3E9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vMerge w:val="restart"/>
            <w:tcMar>
              <w:left w:w="6" w:type="dxa"/>
              <w:right w:w="6" w:type="dxa"/>
            </w:tcMar>
            <w:vAlign w:val="center"/>
          </w:tcPr>
          <w:p w14:paraId="1D3E9B86">
            <w:pPr>
              <w:adjustRightInd/>
              <w:snapToGrid/>
              <w:spacing w:line="240" w:lineRule="auto"/>
              <w:ind w:firstLine="0" w:firstLineChars="0"/>
              <w:contextualSpacing/>
              <w:jc w:val="center"/>
              <w:rPr>
                <w:sz w:val="21"/>
                <w:szCs w:val="21"/>
                <w:highlight w:val="yellow"/>
              </w:rPr>
            </w:pPr>
            <w:r>
              <w:rPr>
                <w:rFonts w:hint="eastAsia"/>
                <w:sz w:val="21"/>
                <w:szCs w:val="21"/>
              </w:rPr>
              <w:t>生产工艺及装备水平</w:t>
            </w:r>
          </w:p>
        </w:tc>
        <w:tc>
          <w:tcPr>
            <w:tcW w:w="2297" w:type="pct"/>
            <w:tcMar>
              <w:left w:w="6" w:type="dxa"/>
              <w:right w:w="6" w:type="dxa"/>
            </w:tcMar>
            <w:vAlign w:val="center"/>
          </w:tcPr>
          <w:p w14:paraId="1D3E9B87">
            <w:pPr>
              <w:spacing w:line="240" w:lineRule="auto"/>
              <w:ind w:firstLine="210" w:firstLineChars="100"/>
              <w:textAlignment w:val="auto"/>
              <w:rPr>
                <w:snapToGrid w:val="0"/>
                <w:sz w:val="21"/>
                <w:szCs w:val="24"/>
                <w:highlight w:val="yellow"/>
              </w:rPr>
            </w:pPr>
            <w:r>
              <w:rPr>
                <w:rFonts w:hint="eastAsia"/>
                <w:snapToGrid w:val="0"/>
                <w:sz w:val="21"/>
                <w:szCs w:val="24"/>
              </w:rPr>
              <w:t>1.属于《产业结构调整指导目录（2019年版）》鼓励类和允许类；2.符合相关行业产业政策；3.符合河南省相关政策要求；4.符合市级规划。</w:t>
            </w:r>
          </w:p>
        </w:tc>
        <w:tc>
          <w:tcPr>
            <w:tcW w:w="1852" w:type="pct"/>
            <w:tcMar>
              <w:left w:w="6" w:type="dxa"/>
              <w:right w:w="6" w:type="dxa"/>
            </w:tcMar>
            <w:vAlign w:val="center"/>
          </w:tcPr>
          <w:p w14:paraId="1D3E9B88">
            <w:pPr>
              <w:spacing w:line="240" w:lineRule="auto"/>
              <w:ind w:firstLine="210" w:firstLineChars="100"/>
              <w:textAlignment w:val="auto"/>
              <w:rPr>
                <w:snapToGrid w:val="0"/>
                <w:sz w:val="21"/>
                <w:szCs w:val="24"/>
                <w:highlight w:val="yellow"/>
              </w:rPr>
            </w:pPr>
            <w:r>
              <w:rPr>
                <w:rFonts w:hint="eastAsia"/>
                <w:snapToGrid w:val="0"/>
                <w:sz w:val="21"/>
                <w:szCs w:val="24"/>
              </w:rPr>
              <w:t>本项目属于《产业结构调整指导目录（2024年本）》允许类，符合相关行业产业政策、河南省相关政策要求以及市级规划。</w:t>
            </w:r>
          </w:p>
        </w:tc>
        <w:tc>
          <w:tcPr>
            <w:tcW w:w="277" w:type="pct"/>
            <w:tcMar>
              <w:left w:w="6" w:type="dxa"/>
              <w:right w:w="6" w:type="dxa"/>
            </w:tcMar>
            <w:vAlign w:val="center"/>
          </w:tcPr>
          <w:p w14:paraId="1D3E9B89">
            <w:pPr>
              <w:adjustRightInd/>
              <w:snapToGrid/>
              <w:spacing w:line="240" w:lineRule="auto"/>
              <w:ind w:firstLine="0" w:firstLineChars="0"/>
              <w:contextualSpacing/>
              <w:jc w:val="center"/>
              <w:rPr>
                <w:sz w:val="21"/>
                <w:szCs w:val="21"/>
              </w:rPr>
            </w:pPr>
            <w:r>
              <w:rPr>
                <w:rFonts w:hint="eastAsia"/>
                <w:sz w:val="21"/>
                <w:szCs w:val="21"/>
              </w:rPr>
              <w:t>符合</w:t>
            </w:r>
          </w:p>
        </w:tc>
      </w:tr>
      <w:tr w14:paraId="0C050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vMerge w:val="continue"/>
            <w:tcMar>
              <w:left w:w="6" w:type="dxa"/>
              <w:right w:w="6" w:type="dxa"/>
            </w:tcMar>
            <w:vAlign w:val="center"/>
          </w:tcPr>
          <w:p w14:paraId="3423A65E">
            <w:pPr>
              <w:adjustRightInd/>
              <w:snapToGrid/>
              <w:spacing w:line="240" w:lineRule="auto"/>
              <w:ind w:firstLine="0" w:firstLineChars="0"/>
              <w:contextualSpacing/>
              <w:jc w:val="center"/>
              <w:rPr>
                <w:sz w:val="21"/>
                <w:szCs w:val="21"/>
                <w:highlight w:val="yellow"/>
              </w:rPr>
            </w:pPr>
          </w:p>
        </w:tc>
        <w:tc>
          <w:tcPr>
            <w:tcW w:w="2297" w:type="pct"/>
            <w:tcMar>
              <w:left w:w="6" w:type="dxa"/>
              <w:right w:w="6" w:type="dxa"/>
            </w:tcMar>
            <w:vAlign w:val="center"/>
          </w:tcPr>
          <w:p w14:paraId="56B245A1">
            <w:pPr>
              <w:spacing w:line="240" w:lineRule="auto"/>
              <w:ind w:firstLine="210" w:firstLineChars="100"/>
              <w:textAlignment w:val="auto"/>
              <w:rPr>
                <w:snapToGrid w:val="0"/>
                <w:sz w:val="21"/>
                <w:szCs w:val="24"/>
                <w:highlight w:val="yellow"/>
              </w:rPr>
            </w:pPr>
            <w:r>
              <w:rPr>
                <w:rFonts w:hint="eastAsia"/>
                <w:snapToGrid w:val="0"/>
                <w:sz w:val="21"/>
                <w:szCs w:val="24"/>
              </w:rPr>
              <w:t>采用密闭化、管道化（液态物料）、全自动生产线（涉VOCs产生点）</w:t>
            </w:r>
          </w:p>
        </w:tc>
        <w:tc>
          <w:tcPr>
            <w:tcW w:w="1852" w:type="pct"/>
            <w:tcMar>
              <w:left w:w="6" w:type="dxa"/>
              <w:right w:w="6" w:type="dxa"/>
            </w:tcMar>
            <w:vAlign w:val="center"/>
          </w:tcPr>
          <w:p w14:paraId="10261765">
            <w:pPr>
              <w:spacing w:line="240" w:lineRule="auto"/>
              <w:ind w:firstLine="210" w:firstLineChars="100"/>
              <w:textAlignment w:val="auto"/>
              <w:rPr>
                <w:snapToGrid w:val="0"/>
                <w:sz w:val="21"/>
                <w:szCs w:val="24"/>
                <w:highlight w:val="yellow"/>
              </w:rPr>
            </w:pPr>
            <w:r>
              <w:rPr>
                <w:rFonts w:hint="eastAsia"/>
                <w:snapToGrid w:val="0"/>
                <w:sz w:val="21"/>
                <w:szCs w:val="24"/>
              </w:rPr>
              <w:t>本项目液态物料全部采用密闭化、管道化、自动化生产线。</w:t>
            </w:r>
          </w:p>
        </w:tc>
        <w:tc>
          <w:tcPr>
            <w:tcW w:w="277" w:type="pct"/>
            <w:tcMar>
              <w:left w:w="6" w:type="dxa"/>
              <w:right w:w="6" w:type="dxa"/>
            </w:tcMar>
            <w:vAlign w:val="center"/>
          </w:tcPr>
          <w:p w14:paraId="205C325E">
            <w:pPr>
              <w:adjustRightInd/>
              <w:snapToGrid/>
              <w:spacing w:line="240" w:lineRule="auto"/>
              <w:ind w:firstLine="0" w:firstLineChars="0"/>
              <w:contextualSpacing/>
              <w:jc w:val="center"/>
              <w:rPr>
                <w:sz w:val="21"/>
                <w:szCs w:val="21"/>
              </w:rPr>
            </w:pPr>
            <w:r>
              <w:rPr>
                <w:rFonts w:hint="eastAsia"/>
                <w:sz w:val="21"/>
                <w:szCs w:val="21"/>
              </w:rPr>
              <w:t>符合</w:t>
            </w:r>
          </w:p>
        </w:tc>
      </w:tr>
      <w:tr w14:paraId="1D3E9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1D3E9B8B">
            <w:pPr>
              <w:adjustRightInd/>
              <w:snapToGrid/>
              <w:spacing w:line="240" w:lineRule="auto"/>
              <w:ind w:firstLine="0" w:firstLineChars="0"/>
              <w:contextualSpacing/>
              <w:jc w:val="center"/>
              <w:rPr>
                <w:sz w:val="21"/>
                <w:szCs w:val="21"/>
                <w:highlight w:val="yellow"/>
              </w:rPr>
            </w:pPr>
            <w:r>
              <w:rPr>
                <w:rFonts w:hint="eastAsia"/>
                <w:sz w:val="21"/>
                <w:szCs w:val="21"/>
              </w:rPr>
              <w:t>工艺过程</w:t>
            </w:r>
          </w:p>
        </w:tc>
        <w:tc>
          <w:tcPr>
            <w:tcW w:w="2297" w:type="pct"/>
            <w:tcMar>
              <w:left w:w="6" w:type="dxa"/>
              <w:right w:w="6" w:type="dxa"/>
            </w:tcMar>
            <w:vAlign w:val="center"/>
          </w:tcPr>
          <w:p w14:paraId="5557901B">
            <w:pPr>
              <w:spacing w:line="240" w:lineRule="auto"/>
              <w:ind w:firstLine="210" w:firstLineChars="100"/>
              <w:textAlignment w:val="auto"/>
              <w:rPr>
                <w:snapToGrid w:val="0"/>
                <w:sz w:val="21"/>
                <w:szCs w:val="24"/>
              </w:rPr>
            </w:pPr>
            <w:r>
              <w:rPr>
                <w:rFonts w:hint="eastAsia"/>
                <w:snapToGrid w:val="0"/>
                <w:sz w:val="21"/>
                <w:szCs w:val="24"/>
              </w:rPr>
              <w:t>1.涉VOCs物料的投加和卸放、化学反应、萃取/提取、蒸馏/精馏、结晶以及配料、混合、搅拌、包装等过程，采用密闭设备，废气全部收集治理；</w:t>
            </w:r>
          </w:p>
          <w:p w14:paraId="5B34E35A">
            <w:pPr>
              <w:spacing w:line="240" w:lineRule="auto"/>
              <w:ind w:firstLine="210" w:firstLineChars="100"/>
              <w:jc w:val="left"/>
              <w:textAlignment w:val="auto"/>
              <w:rPr>
                <w:snapToGrid w:val="0"/>
                <w:sz w:val="21"/>
                <w:szCs w:val="24"/>
              </w:rPr>
            </w:pPr>
            <w:r>
              <w:rPr>
                <w:rFonts w:hint="eastAsia"/>
                <w:snapToGrid w:val="0"/>
                <w:sz w:val="21"/>
                <w:szCs w:val="24"/>
              </w:rPr>
              <w:t>2.涉VOCs物料的离心、过滤单元操作采用密闭式离心机、过滤机、真空泵等设备；干燥单元操作采用密闭干燥设备；密闭设备排放的废气排至VOCs废气收集处理系统；</w:t>
            </w:r>
          </w:p>
          <w:p w14:paraId="0E584DAF">
            <w:pPr>
              <w:spacing w:line="240" w:lineRule="auto"/>
              <w:ind w:firstLine="210" w:firstLineChars="100"/>
              <w:textAlignment w:val="auto"/>
              <w:rPr>
                <w:snapToGrid w:val="0"/>
                <w:sz w:val="21"/>
                <w:szCs w:val="24"/>
              </w:rPr>
            </w:pPr>
            <w:r>
              <w:rPr>
                <w:rFonts w:hint="eastAsia"/>
                <w:snapToGrid w:val="0"/>
                <w:sz w:val="21"/>
                <w:szCs w:val="24"/>
              </w:rPr>
              <w:t>3.载有VOCs物料的设备及其管道在开停工（车）、检维修、和清洗时，含VOCs物料用密闭容器盛装，废气排至VOCs废气收集处理系统；</w:t>
            </w:r>
          </w:p>
          <w:p w14:paraId="6CA8E24D">
            <w:pPr>
              <w:spacing w:line="240" w:lineRule="auto"/>
              <w:ind w:firstLine="210" w:firstLineChars="100"/>
              <w:jc w:val="left"/>
              <w:textAlignment w:val="auto"/>
              <w:rPr>
                <w:snapToGrid w:val="0"/>
                <w:sz w:val="21"/>
                <w:szCs w:val="24"/>
              </w:rPr>
            </w:pPr>
            <w:r>
              <w:rPr>
                <w:rFonts w:hint="eastAsia"/>
                <w:snapToGrid w:val="0"/>
                <w:sz w:val="21"/>
                <w:szCs w:val="24"/>
              </w:rPr>
              <w:t>4.液态VOCs物料采用密闭管道输送方式；</w:t>
            </w:r>
          </w:p>
          <w:p w14:paraId="1D3E9B8C">
            <w:pPr>
              <w:spacing w:line="240" w:lineRule="auto"/>
              <w:ind w:firstLine="210" w:firstLineChars="100"/>
              <w:textAlignment w:val="auto"/>
              <w:rPr>
                <w:snapToGrid w:val="0"/>
                <w:sz w:val="21"/>
                <w:szCs w:val="24"/>
                <w:highlight w:val="yellow"/>
              </w:rPr>
            </w:pPr>
            <w:r>
              <w:rPr>
                <w:rFonts w:hint="eastAsia"/>
                <w:snapToGrid w:val="0"/>
                <w:sz w:val="21"/>
                <w:szCs w:val="24"/>
              </w:rPr>
              <w:t>5.粉状、粒状物料采用气力输送方式或密闭固体投料器等给料方式投加。</w:t>
            </w:r>
          </w:p>
        </w:tc>
        <w:tc>
          <w:tcPr>
            <w:tcW w:w="1852" w:type="pct"/>
            <w:tcMar>
              <w:left w:w="6" w:type="dxa"/>
              <w:right w:w="6" w:type="dxa"/>
            </w:tcMar>
            <w:vAlign w:val="center"/>
          </w:tcPr>
          <w:p w14:paraId="1D3E9B8E">
            <w:pPr>
              <w:spacing w:line="240" w:lineRule="auto"/>
              <w:ind w:firstLine="210" w:firstLineChars="100"/>
              <w:textAlignment w:val="auto"/>
              <w:rPr>
                <w:snapToGrid w:val="0"/>
                <w:sz w:val="21"/>
                <w:szCs w:val="24"/>
                <w:highlight w:val="yellow"/>
              </w:rPr>
            </w:pPr>
            <w:r>
              <w:rPr>
                <w:rFonts w:hint="eastAsia"/>
                <w:snapToGrid w:val="0"/>
                <w:sz w:val="21"/>
                <w:szCs w:val="24"/>
              </w:rPr>
              <w:t>本项目涉VOCs物料化学反应过程，采用密闭设备，废气全部收集治理，收集的废气排至VOCs废气收集处理系统；液态VOCs物料采用密闭管道输送方式；粉状、粒状物料采用真空投料机或密闭投料站投料。</w:t>
            </w:r>
          </w:p>
        </w:tc>
        <w:tc>
          <w:tcPr>
            <w:tcW w:w="277" w:type="pct"/>
            <w:tcMar>
              <w:left w:w="6" w:type="dxa"/>
              <w:right w:w="6" w:type="dxa"/>
            </w:tcMar>
            <w:vAlign w:val="center"/>
          </w:tcPr>
          <w:p w14:paraId="1D3E9B8F">
            <w:pPr>
              <w:adjustRightInd/>
              <w:snapToGrid/>
              <w:spacing w:line="240" w:lineRule="auto"/>
              <w:ind w:firstLine="0" w:firstLineChars="0"/>
              <w:contextualSpacing/>
              <w:jc w:val="center"/>
              <w:rPr>
                <w:sz w:val="21"/>
                <w:szCs w:val="21"/>
                <w:highlight w:val="yellow"/>
              </w:rPr>
            </w:pPr>
            <w:r>
              <w:rPr>
                <w:rFonts w:hint="eastAsia"/>
                <w:sz w:val="21"/>
                <w:szCs w:val="21"/>
              </w:rPr>
              <w:t>符合</w:t>
            </w:r>
          </w:p>
        </w:tc>
      </w:tr>
      <w:tr w14:paraId="2ADE8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1524585D">
            <w:pPr>
              <w:adjustRightInd/>
              <w:snapToGrid/>
              <w:spacing w:line="240" w:lineRule="auto"/>
              <w:ind w:firstLine="0" w:firstLineChars="0"/>
              <w:contextualSpacing/>
              <w:jc w:val="center"/>
              <w:rPr>
                <w:sz w:val="21"/>
                <w:szCs w:val="21"/>
                <w:highlight w:val="yellow"/>
              </w:rPr>
            </w:pPr>
            <w:r>
              <w:rPr>
                <w:rFonts w:hint="eastAsia"/>
                <w:sz w:val="21"/>
                <w:szCs w:val="21"/>
              </w:rPr>
              <w:t>泄漏检测与修复</w:t>
            </w:r>
          </w:p>
        </w:tc>
        <w:tc>
          <w:tcPr>
            <w:tcW w:w="2297" w:type="pct"/>
            <w:tcMar>
              <w:left w:w="6" w:type="dxa"/>
              <w:right w:w="6" w:type="dxa"/>
            </w:tcMar>
            <w:vAlign w:val="center"/>
          </w:tcPr>
          <w:p w14:paraId="2E5EB1F7">
            <w:pPr>
              <w:spacing w:line="240" w:lineRule="auto"/>
              <w:ind w:firstLine="210" w:firstLineChars="100"/>
              <w:textAlignment w:val="auto"/>
              <w:rPr>
                <w:snapToGrid w:val="0"/>
                <w:sz w:val="21"/>
                <w:szCs w:val="24"/>
                <w:highlight w:val="yellow"/>
              </w:rPr>
            </w:pPr>
            <w:r>
              <w:rPr>
                <w:rFonts w:hint="eastAsia"/>
                <w:snapToGrid w:val="0"/>
                <w:sz w:val="21"/>
                <w:szCs w:val="24"/>
              </w:rPr>
              <w:t>涉VOCs物料企业按照《挥发性有机物无组织排放控制标准》（GB 7822—2019）相关要求，开展泄漏检测与修复工作。动静密封点在1000个以上的企业建立LDAR管理平台，动静密封点在1000个点以下的企业建立LDAR电子台账。</w:t>
            </w:r>
          </w:p>
        </w:tc>
        <w:tc>
          <w:tcPr>
            <w:tcW w:w="1852" w:type="pct"/>
            <w:tcMar>
              <w:left w:w="6" w:type="dxa"/>
              <w:right w:w="6" w:type="dxa"/>
            </w:tcMar>
            <w:vAlign w:val="center"/>
          </w:tcPr>
          <w:p w14:paraId="01DE23D4">
            <w:pPr>
              <w:spacing w:line="240" w:lineRule="auto"/>
              <w:ind w:firstLine="210" w:firstLineChars="100"/>
              <w:textAlignment w:val="auto"/>
              <w:rPr>
                <w:snapToGrid w:val="0"/>
                <w:sz w:val="21"/>
                <w:szCs w:val="24"/>
                <w:highlight w:val="yellow"/>
              </w:rPr>
            </w:pPr>
            <w:r>
              <w:rPr>
                <w:rFonts w:hint="eastAsia"/>
                <w:snapToGrid w:val="0"/>
                <w:sz w:val="21"/>
                <w:szCs w:val="24"/>
              </w:rPr>
              <w:t>项目建成后，企业应根据要求开展动静密封点调查并完善相应LDAR检测工作。</w:t>
            </w:r>
          </w:p>
        </w:tc>
        <w:tc>
          <w:tcPr>
            <w:tcW w:w="277" w:type="pct"/>
            <w:tcMar>
              <w:left w:w="6" w:type="dxa"/>
              <w:right w:w="6" w:type="dxa"/>
            </w:tcMar>
            <w:vAlign w:val="center"/>
          </w:tcPr>
          <w:p w14:paraId="4211405A">
            <w:pPr>
              <w:adjustRightInd/>
              <w:snapToGrid/>
              <w:spacing w:line="240" w:lineRule="auto"/>
              <w:ind w:firstLine="0" w:firstLineChars="0"/>
              <w:contextualSpacing/>
              <w:jc w:val="center"/>
              <w:rPr>
                <w:sz w:val="21"/>
                <w:szCs w:val="21"/>
              </w:rPr>
            </w:pPr>
            <w:r>
              <w:rPr>
                <w:rFonts w:hint="eastAsia"/>
                <w:sz w:val="21"/>
                <w:szCs w:val="21"/>
              </w:rPr>
              <w:t>符合</w:t>
            </w:r>
          </w:p>
        </w:tc>
      </w:tr>
      <w:tr w14:paraId="7538A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2C18A400">
            <w:pPr>
              <w:adjustRightInd/>
              <w:snapToGrid/>
              <w:spacing w:line="240" w:lineRule="auto"/>
              <w:ind w:firstLine="0" w:firstLineChars="0"/>
              <w:contextualSpacing/>
              <w:jc w:val="center"/>
              <w:rPr>
                <w:sz w:val="21"/>
                <w:szCs w:val="21"/>
                <w:highlight w:val="yellow"/>
              </w:rPr>
            </w:pPr>
            <w:r>
              <w:rPr>
                <w:rFonts w:hint="eastAsia"/>
                <w:sz w:val="21"/>
                <w:szCs w:val="21"/>
              </w:rPr>
              <w:t>工艺有机废气治理</w:t>
            </w:r>
          </w:p>
        </w:tc>
        <w:tc>
          <w:tcPr>
            <w:tcW w:w="2297" w:type="pct"/>
            <w:tcMar>
              <w:left w:w="6" w:type="dxa"/>
              <w:right w:w="6" w:type="dxa"/>
            </w:tcMar>
            <w:vAlign w:val="center"/>
          </w:tcPr>
          <w:p w14:paraId="73B8931A">
            <w:pPr>
              <w:spacing w:line="240" w:lineRule="auto"/>
              <w:ind w:firstLine="210" w:firstLineChars="100"/>
              <w:textAlignment w:val="auto"/>
              <w:rPr>
                <w:snapToGrid w:val="0"/>
                <w:sz w:val="21"/>
                <w:szCs w:val="24"/>
              </w:rPr>
            </w:pPr>
            <w:r>
              <w:rPr>
                <w:rFonts w:hint="eastAsia"/>
                <w:snapToGrid w:val="0"/>
                <w:sz w:val="21"/>
                <w:szCs w:val="24"/>
              </w:rPr>
              <w:t>1.配料、反应、分离、提取、精制、干燥、溶剂回收等工艺有机废气全部密闭收集并引至有机废气治理设施，采用冷凝、吸附回收、燃烧、浓缩等组合处理工艺，处理效率不低于90%，或送工艺加热炉、锅炉、焚烧炉直接燃烧处理。</w:t>
            </w:r>
          </w:p>
          <w:p w14:paraId="48586DEA">
            <w:pPr>
              <w:spacing w:line="240" w:lineRule="auto"/>
              <w:ind w:firstLine="210" w:firstLineChars="100"/>
              <w:jc w:val="left"/>
              <w:textAlignment w:val="auto"/>
              <w:rPr>
                <w:snapToGrid w:val="0"/>
                <w:sz w:val="21"/>
                <w:szCs w:val="24"/>
                <w:highlight w:val="yellow"/>
              </w:rPr>
            </w:pPr>
            <w:r>
              <w:rPr>
                <w:rFonts w:hint="eastAsia"/>
                <w:snapToGrid w:val="0"/>
                <w:sz w:val="21"/>
                <w:szCs w:val="24"/>
              </w:rPr>
              <w:t>2.如有应急旁路，企业在排污许可证中进行申报（或向当地生态环境主管部门备案），在非紧急情况下保持关闭，每次开启后及时向当地生态环境部门报告。</w:t>
            </w:r>
          </w:p>
        </w:tc>
        <w:tc>
          <w:tcPr>
            <w:tcW w:w="1852" w:type="pct"/>
            <w:tcMar>
              <w:left w:w="6" w:type="dxa"/>
              <w:right w:w="6" w:type="dxa"/>
            </w:tcMar>
            <w:vAlign w:val="center"/>
          </w:tcPr>
          <w:p w14:paraId="47B8AF23">
            <w:pPr>
              <w:spacing w:line="240" w:lineRule="auto"/>
              <w:ind w:firstLine="210" w:firstLineChars="100"/>
              <w:textAlignment w:val="auto"/>
              <w:rPr>
                <w:snapToGrid w:val="0"/>
                <w:sz w:val="21"/>
                <w:szCs w:val="24"/>
                <w:u w:val="single"/>
              </w:rPr>
            </w:pPr>
            <w:r>
              <w:rPr>
                <w:rFonts w:hint="eastAsia"/>
                <w:snapToGrid w:val="0"/>
                <w:sz w:val="21"/>
                <w:szCs w:val="24"/>
                <w:u w:val="single"/>
              </w:rPr>
              <w:t>1、本项目工艺有机废气全部密闭收集并引至有机废气治理设施，采用冷凝、吸附组合处理工艺，处理效率99%。</w:t>
            </w:r>
          </w:p>
          <w:p w14:paraId="037D82A7">
            <w:pPr>
              <w:spacing w:line="240" w:lineRule="auto"/>
              <w:ind w:firstLine="210" w:firstLineChars="100"/>
              <w:jc w:val="left"/>
              <w:textAlignment w:val="auto"/>
              <w:rPr>
                <w:snapToGrid w:val="0"/>
                <w:sz w:val="21"/>
                <w:szCs w:val="24"/>
                <w:highlight w:val="yellow"/>
              </w:rPr>
            </w:pPr>
            <w:r>
              <w:rPr>
                <w:rFonts w:hint="eastAsia"/>
                <w:snapToGrid w:val="0"/>
                <w:sz w:val="21"/>
                <w:szCs w:val="24"/>
              </w:rPr>
              <w:t>2、项目不设应急旁路。</w:t>
            </w:r>
          </w:p>
        </w:tc>
        <w:tc>
          <w:tcPr>
            <w:tcW w:w="277" w:type="pct"/>
            <w:tcMar>
              <w:left w:w="6" w:type="dxa"/>
              <w:right w:w="6" w:type="dxa"/>
            </w:tcMar>
            <w:vAlign w:val="center"/>
          </w:tcPr>
          <w:p w14:paraId="0109EF94">
            <w:pPr>
              <w:adjustRightInd/>
              <w:snapToGrid/>
              <w:spacing w:line="240" w:lineRule="auto"/>
              <w:ind w:firstLine="0" w:firstLineChars="0"/>
              <w:contextualSpacing/>
              <w:jc w:val="center"/>
              <w:rPr>
                <w:sz w:val="21"/>
                <w:szCs w:val="21"/>
              </w:rPr>
            </w:pPr>
            <w:r>
              <w:rPr>
                <w:rFonts w:hint="eastAsia"/>
                <w:sz w:val="21"/>
                <w:szCs w:val="21"/>
              </w:rPr>
              <w:t>符合</w:t>
            </w:r>
          </w:p>
        </w:tc>
      </w:tr>
      <w:tr w14:paraId="097CE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vMerge w:val="restart"/>
            <w:tcMar>
              <w:left w:w="6" w:type="dxa"/>
              <w:right w:w="6" w:type="dxa"/>
            </w:tcMar>
            <w:vAlign w:val="center"/>
          </w:tcPr>
          <w:p w14:paraId="2C7F2333">
            <w:pPr>
              <w:adjustRightInd/>
              <w:snapToGrid/>
              <w:spacing w:line="240" w:lineRule="auto"/>
              <w:ind w:firstLine="0" w:firstLineChars="0"/>
              <w:contextualSpacing/>
              <w:jc w:val="center"/>
              <w:rPr>
                <w:sz w:val="21"/>
                <w:szCs w:val="21"/>
              </w:rPr>
            </w:pPr>
            <w:r>
              <w:rPr>
                <w:rFonts w:hint="eastAsia"/>
                <w:sz w:val="21"/>
                <w:szCs w:val="21"/>
              </w:rPr>
              <w:t>挥发性有机液体储罐</w:t>
            </w:r>
          </w:p>
        </w:tc>
        <w:tc>
          <w:tcPr>
            <w:tcW w:w="2297" w:type="pct"/>
            <w:tcMar>
              <w:left w:w="6" w:type="dxa"/>
              <w:right w:w="6" w:type="dxa"/>
            </w:tcMar>
            <w:vAlign w:val="center"/>
          </w:tcPr>
          <w:p w14:paraId="24762842">
            <w:pPr>
              <w:spacing w:line="240" w:lineRule="auto"/>
              <w:ind w:firstLine="210" w:firstLineChars="100"/>
              <w:textAlignment w:val="auto"/>
              <w:rPr>
                <w:snapToGrid w:val="0"/>
                <w:sz w:val="21"/>
                <w:szCs w:val="24"/>
              </w:rPr>
            </w:pPr>
            <w:r>
              <w:rPr>
                <w:rFonts w:hint="eastAsia"/>
                <w:snapToGrid w:val="0"/>
                <w:sz w:val="21"/>
                <w:szCs w:val="24"/>
              </w:rPr>
              <w:t>对于储存物料的真实蒸气压a≥76.6kPa的有机液体储罐采用压力罐或其他等效措施。</w:t>
            </w:r>
          </w:p>
        </w:tc>
        <w:tc>
          <w:tcPr>
            <w:tcW w:w="1852" w:type="pct"/>
            <w:tcMar>
              <w:left w:w="6" w:type="dxa"/>
              <w:right w:w="6" w:type="dxa"/>
            </w:tcMar>
            <w:vAlign w:val="center"/>
          </w:tcPr>
          <w:p w14:paraId="63F31F73">
            <w:pPr>
              <w:spacing w:line="240" w:lineRule="auto"/>
              <w:ind w:firstLine="0" w:firstLineChars="0"/>
              <w:jc w:val="center"/>
              <w:textAlignment w:val="auto"/>
              <w:rPr>
                <w:snapToGrid w:val="0"/>
                <w:sz w:val="21"/>
                <w:szCs w:val="24"/>
              </w:rPr>
            </w:pPr>
            <w:r>
              <w:rPr>
                <w:rFonts w:hint="eastAsia"/>
                <w:snapToGrid w:val="0"/>
                <w:sz w:val="21"/>
                <w:szCs w:val="24"/>
              </w:rPr>
              <w:t>不涉及。</w:t>
            </w:r>
          </w:p>
        </w:tc>
        <w:tc>
          <w:tcPr>
            <w:tcW w:w="277" w:type="pct"/>
            <w:tcMar>
              <w:left w:w="6" w:type="dxa"/>
              <w:right w:w="6" w:type="dxa"/>
            </w:tcMar>
            <w:vAlign w:val="center"/>
          </w:tcPr>
          <w:p w14:paraId="010A76D1">
            <w:pPr>
              <w:adjustRightInd/>
              <w:snapToGrid/>
              <w:spacing w:line="240" w:lineRule="auto"/>
              <w:ind w:firstLine="0" w:firstLineChars="0"/>
              <w:contextualSpacing/>
              <w:jc w:val="center"/>
              <w:rPr>
                <w:sz w:val="21"/>
                <w:szCs w:val="21"/>
              </w:rPr>
            </w:pPr>
            <w:r>
              <w:rPr>
                <w:rFonts w:hint="eastAsia"/>
                <w:sz w:val="21"/>
                <w:szCs w:val="21"/>
              </w:rPr>
              <w:t>/</w:t>
            </w:r>
          </w:p>
        </w:tc>
      </w:tr>
      <w:tr w14:paraId="68BA3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vMerge w:val="continue"/>
            <w:tcMar>
              <w:left w:w="6" w:type="dxa"/>
              <w:right w:w="6" w:type="dxa"/>
            </w:tcMar>
            <w:vAlign w:val="center"/>
          </w:tcPr>
          <w:p w14:paraId="738716AC">
            <w:pPr>
              <w:spacing w:line="240" w:lineRule="auto"/>
              <w:ind w:firstLine="0" w:firstLineChars="0"/>
              <w:contextualSpacing/>
              <w:jc w:val="center"/>
              <w:rPr>
                <w:sz w:val="21"/>
                <w:szCs w:val="21"/>
              </w:rPr>
            </w:pPr>
          </w:p>
        </w:tc>
        <w:tc>
          <w:tcPr>
            <w:tcW w:w="2297" w:type="pct"/>
            <w:tcMar>
              <w:left w:w="6" w:type="dxa"/>
              <w:right w:w="6" w:type="dxa"/>
            </w:tcMar>
            <w:vAlign w:val="center"/>
          </w:tcPr>
          <w:p w14:paraId="75D7DE92">
            <w:pPr>
              <w:spacing w:line="240" w:lineRule="auto"/>
              <w:ind w:firstLine="210" w:firstLineChars="100"/>
              <w:textAlignment w:val="auto"/>
              <w:rPr>
                <w:snapToGrid w:val="0"/>
                <w:sz w:val="21"/>
                <w:szCs w:val="24"/>
              </w:rPr>
            </w:pPr>
            <w:r>
              <w:rPr>
                <w:rFonts w:hint="eastAsia"/>
                <w:snapToGrid w:val="0"/>
                <w:sz w:val="21"/>
                <w:szCs w:val="24"/>
              </w:rPr>
              <w:t>1.对储存物料的真实蒸气压≥27.6kPa但&lt;76.6kPa的有机液体储罐，采用高级密封方式的浮顶罐，或采用固定顶罐安装密闭排气系统至有机废气治理设施，或采用气相平衡系统，或其他等效措施；</w:t>
            </w:r>
          </w:p>
          <w:p w14:paraId="207DB22F">
            <w:pPr>
              <w:spacing w:line="240" w:lineRule="auto"/>
              <w:ind w:firstLine="210" w:firstLineChars="100"/>
              <w:textAlignment w:val="auto"/>
              <w:rPr>
                <w:snapToGrid w:val="0"/>
                <w:sz w:val="21"/>
                <w:szCs w:val="24"/>
              </w:rPr>
            </w:pPr>
            <w:r>
              <w:rPr>
                <w:rFonts w:hint="eastAsia"/>
                <w:snapToGrid w:val="0"/>
                <w:sz w:val="21"/>
                <w:szCs w:val="24"/>
              </w:rPr>
              <w:t>2.符合第1条的固定顶罐排气采用燃烧工艺（包括直接燃烧、催化燃烧和蓄热燃烧）进行最终处理，或送工艺加热炉、锅炉、焚烧炉等燃烧处理。</w:t>
            </w:r>
          </w:p>
        </w:tc>
        <w:tc>
          <w:tcPr>
            <w:tcW w:w="1852" w:type="pct"/>
            <w:tcMar>
              <w:left w:w="6" w:type="dxa"/>
              <w:right w:w="6" w:type="dxa"/>
            </w:tcMar>
            <w:vAlign w:val="center"/>
          </w:tcPr>
          <w:p w14:paraId="1129658E">
            <w:pPr>
              <w:spacing w:line="240" w:lineRule="auto"/>
              <w:ind w:firstLine="0" w:firstLineChars="0"/>
              <w:jc w:val="center"/>
              <w:textAlignment w:val="auto"/>
              <w:rPr>
                <w:snapToGrid w:val="0"/>
                <w:sz w:val="21"/>
                <w:szCs w:val="24"/>
                <w:highlight w:val="yellow"/>
              </w:rPr>
            </w:pPr>
            <w:r>
              <w:rPr>
                <w:rFonts w:hint="eastAsia"/>
                <w:snapToGrid w:val="0"/>
                <w:sz w:val="21"/>
                <w:szCs w:val="24"/>
              </w:rPr>
              <w:t>不涉及。</w:t>
            </w:r>
          </w:p>
        </w:tc>
        <w:tc>
          <w:tcPr>
            <w:tcW w:w="277" w:type="pct"/>
            <w:tcMar>
              <w:left w:w="6" w:type="dxa"/>
              <w:right w:w="6" w:type="dxa"/>
            </w:tcMar>
            <w:vAlign w:val="center"/>
          </w:tcPr>
          <w:p w14:paraId="7C29C010">
            <w:pPr>
              <w:adjustRightInd/>
              <w:snapToGrid/>
              <w:spacing w:line="240" w:lineRule="auto"/>
              <w:ind w:firstLine="0" w:firstLineChars="0"/>
              <w:contextualSpacing/>
              <w:jc w:val="center"/>
              <w:rPr>
                <w:sz w:val="21"/>
                <w:szCs w:val="21"/>
              </w:rPr>
            </w:pPr>
            <w:r>
              <w:rPr>
                <w:rFonts w:hint="eastAsia"/>
                <w:sz w:val="21"/>
                <w:szCs w:val="21"/>
              </w:rPr>
              <w:t>/</w:t>
            </w:r>
          </w:p>
        </w:tc>
      </w:tr>
      <w:tr w14:paraId="3B770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3C3446C3">
            <w:pPr>
              <w:spacing w:line="240" w:lineRule="auto"/>
              <w:ind w:firstLine="0" w:firstLineChars="0"/>
              <w:contextualSpacing/>
              <w:jc w:val="center"/>
              <w:rPr>
                <w:sz w:val="21"/>
                <w:szCs w:val="21"/>
              </w:rPr>
            </w:pPr>
            <w:r>
              <w:rPr>
                <w:rFonts w:hint="eastAsia"/>
                <w:sz w:val="21"/>
                <w:szCs w:val="21"/>
              </w:rPr>
              <w:t>挥发性有机液体装载</w:t>
            </w:r>
          </w:p>
        </w:tc>
        <w:tc>
          <w:tcPr>
            <w:tcW w:w="2297" w:type="pct"/>
            <w:tcMar>
              <w:left w:w="6" w:type="dxa"/>
              <w:right w:w="6" w:type="dxa"/>
            </w:tcMar>
            <w:vAlign w:val="center"/>
          </w:tcPr>
          <w:p w14:paraId="3DB764B4">
            <w:pPr>
              <w:spacing w:line="240" w:lineRule="auto"/>
              <w:ind w:firstLine="210" w:firstLineChars="100"/>
              <w:textAlignment w:val="auto"/>
              <w:rPr>
                <w:snapToGrid w:val="0"/>
                <w:sz w:val="21"/>
                <w:szCs w:val="24"/>
              </w:rPr>
            </w:pPr>
            <w:r>
              <w:rPr>
                <w:rFonts w:hint="eastAsia"/>
                <w:snapToGrid w:val="0"/>
                <w:sz w:val="21"/>
                <w:szCs w:val="24"/>
              </w:rPr>
              <w:t>1.对真实蒸气压≥2.8kPa但&lt;76.6kPa的挥发性有机液体采用底部装载或顶部浸没式装载（出料管口距离槽（罐）底部高度&lt;200mm）。排放的废气应收集处理,处理效率不低于 80%；</w:t>
            </w:r>
          </w:p>
          <w:p w14:paraId="3C8B6DE0">
            <w:pPr>
              <w:spacing w:line="240" w:lineRule="auto"/>
              <w:ind w:firstLine="210" w:firstLineChars="100"/>
              <w:textAlignment w:val="auto"/>
              <w:rPr>
                <w:snapToGrid w:val="0"/>
                <w:sz w:val="21"/>
                <w:szCs w:val="24"/>
              </w:rPr>
            </w:pPr>
            <w:r>
              <w:rPr>
                <w:rFonts w:hint="eastAsia"/>
                <w:snapToGrid w:val="0"/>
                <w:sz w:val="21"/>
                <w:szCs w:val="24"/>
              </w:rPr>
              <w:t>2.如采用顶部装载作业，排气采用吸收、吸附、冷凝、膜分离等预处理后，采用燃烧工艺（包括直接燃烧、催化燃烧和蓄热燃烧）进行最终处理，或送工艺加热炉、锅炉、焚烧炉等燃烧处理。</w:t>
            </w:r>
          </w:p>
        </w:tc>
        <w:tc>
          <w:tcPr>
            <w:tcW w:w="1852" w:type="pct"/>
            <w:tcMar>
              <w:left w:w="6" w:type="dxa"/>
              <w:right w:w="6" w:type="dxa"/>
            </w:tcMar>
            <w:vAlign w:val="center"/>
          </w:tcPr>
          <w:p w14:paraId="4C02FC59">
            <w:pPr>
              <w:spacing w:line="240" w:lineRule="auto"/>
              <w:ind w:firstLine="0" w:firstLineChars="0"/>
              <w:jc w:val="center"/>
              <w:textAlignment w:val="auto"/>
              <w:rPr>
                <w:snapToGrid w:val="0"/>
                <w:sz w:val="21"/>
                <w:szCs w:val="24"/>
                <w:highlight w:val="yellow"/>
              </w:rPr>
            </w:pPr>
            <w:r>
              <w:rPr>
                <w:rFonts w:hint="eastAsia"/>
                <w:snapToGrid w:val="0"/>
                <w:sz w:val="21"/>
                <w:szCs w:val="24"/>
              </w:rPr>
              <w:t>不涉及。</w:t>
            </w:r>
          </w:p>
        </w:tc>
        <w:tc>
          <w:tcPr>
            <w:tcW w:w="277" w:type="pct"/>
            <w:tcMar>
              <w:left w:w="6" w:type="dxa"/>
              <w:right w:w="6" w:type="dxa"/>
            </w:tcMar>
            <w:vAlign w:val="center"/>
          </w:tcPr>
          <w:p w14:paraId="2997B13C">
            <w:pPr>
              <w:adjustRightInd/>
              <w:snapToGrid/>
              <w:spacing w:line="240" w:lineRule="auto"/>
              <w:ind w:firstLine="0" w:firstLineChars="0"/>
              <w:contextualSpacing/>
              <w:jc w:val="center"/>
              <w:rPr>
                <w:sz w:val="21"/>
                <w:szCs w:val="21"/>
                <w:highlight w:val="yellow"/>
              </w:rPr>
            </w:pPr>
            <w:r>
              <w:rPr>
                <w:rFonts w:hint="eastAsia"/>
                <w:sz w:val="21"/>
                <w:szCs w:val="21"/>
              </w:rPr>
              <w:t>/</w:t>
            </w:r>
          </w:p>
        </w:tc>
      </w:tr>
      <w:tr w14:paraId="0EBABC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259171DD">
            <w:pPr>
              <w:spacing w:line="240" w:lineRule="auto"/>
              <w:ind w:firstLine="0" w:firstLineChars="0"/>
              <w:contextualSpacing/>
              <w:jc w:val="center"/>
              <w:rPr>
                <w:sz w:val="21"/>
                <w:szCs w:val="21"/>
              </w:rPr>
            </w:pPr>
            <w:r>
              <w:rPr>
                <w:rFonts w:hint="eastAsia"/>
                <w:sz w:val="21"/>
                <w:szCs w:val="21"/>
              </w:rPr>
              <w:t>污水收集和处理</w:t>
            </w:r>
          </w:p>
        </w:tc>
        <w:tc>
          <w:tcPr>
            <w:tcW w:w="2297" w:type="pct"/>
            <w:tcMar>
              <w:left w:w="6" w:type="dxa"/>
              <w:right w:w="6" w:type="dxa"/>
            </w:tcMar>
            <w:vAlign w:val="center"/>
          </w:tcPr>
          <w:p w14:paraId="40C4A086">
            <w:pPr>
              <w:spacing w:line="240" w:lineRule="auto"/>
              <w:ind w:firstLine="210" w:firstLineChars="100"/>
              <w:textAlignment w:val="auto"/>
              <w:rPr>
                <w:snapToGrid w:val="0"/>
                <w:sz w:val="21"/>
                <w:szCs w:val="24"/>
              </w:rPr>
            </w:pPr>
            <w:r>
              <w:rPr>
                <w:rFonts w:hint="eastAsia"/>
                <w:snapToGrid w:val="0"/>
                <w:sz w:val="21"/>
                <w:szCs w:val="24"/>
              </w:rPr>
              <w:t>1.含VOCs废水采用密闭管道输送，废水集输系统的接入口和排出口采取与空气隔离的措施；</w:t>
            </w:r>
          </w:p>
          <w:p w14:paraId="3D06E056">
            <w:pPr>
              <w:spacing w:line="240" w:lineRule="auto"/>
              <w:ind w:firstLine="210" w:firstLineChars="100"/>
              <w:textAlignment w:val="auto"/>
              <w:rPr>
                <w:snapToGrid w:val="0"/>
                <w:sz w:val="21"/>
                <w:szCs w:val="24"/>
              </w:rPr>
            </w:pPr>
            <w:r>
              <w:rPr>
                <w:rFonts w:hint="eastAsia"/>
                <w:snapToGrid w:val="0"/>
                <w:sz w:val="21"/>
                <w:szCs w:val="24"/>
              </w:rPr>
              <w:t>2.废水集输、储存、处理设施应加盖密闭，并密闭排气至有机废气治理设施；</w:t>
            </w:r>
          </w:p>
          <w:p w14:paraId="57C9FC22">
            <w:pPr>
              <w:spacing w:line="240" w:lineRule="auto"/>
              <w:ind w:firstLine="210" w:firstLineChars="100"/>
              <w:textAlignment w:val="auto"/>
              <w:rPr>
                <w:snapToGrid w:val="0"/>
                <w:sz w:val="21"/>
                <w:szCs w:val="24"/>
              </w:rPr>
            </w:pPr>
            <w:r>
              <w:rPr>
                <w:rFonts w:hint="eastAsia"/>
                <w:snapToGrid w:val="0"/>
                <w:sz w:val="21"/>
                <w:szCs w:val="24"/>
              </w:rPr>
              <w:t>3.污水处理场集水井（池）、调节池、隔油池、气浮池、浓缩池等高浓度VOCs废气采用燃烧工艺或送加热炉、锅炉、焚烧炉燃烧处理；低浓度VOCs废气采用低温等离子、光催化、光氧化、活性炭吸附、生物法或其他等效两级及以上串联技术。</w:t>
            </w:r>
          </w:p>
        </w:tc>
        <w:tc>
          <w:tcPr>
            <w:tcW w:w="1852" w:type="pct"/>
            <w:tcMar>
              <w:left w:w="6" w:type="dxa"/>
              <w:right w:w="6" w:type="dxa"/>
            </w:tcMar>
            <w:vAlign w:val="center"/>
          </w:tcPr>
          <w:p w14:paraId="7648ED9B">
            <w:pPr>
              <w:spacing w:line="240" w:lineRule="auto"/>
              <w:ind w:firstLine="210" w:firstLineChars="100"/>
              <w:textAlignment w:val="auto"/>
              <w:rPr>
                <w:snapToGrid w:val="0"/>
                <w:sz w:val="21"/>
                <w:szCs w:val="24"/>
                <w:u w:val="single"/>
              </w:rPr>
            </w:pPr>
            <w:r>
              <w:rPr>
                <w:rFonts w:hint="eastAsia"/>
                <w:snapToGrid w:val="0"/>
                <w:sz w:val="21"/>
                <w:szCs w:val="24"/>
                <w:u w:val="single"/>
              </w:rPr>
              <w:t>1、本项目生产过程产生的冷凝液采用密闭管道输送至生产系统，喷淋废水采用密闭管道输送，废水集输系统的接入口和排出口采取与空气隔离的措施；</w:t>
            </w:r>
          </w:p>
          <w:p w14:paraId="7ADA7DD0">
            <w:pPr>
              <w:spacing w:line="240" w:lineRule="auto"/>
              <w:ind w:firstLine="199" w:firstLineChars="95"/>
              <w:jc w:val="left"/>
              <w:textAlignment w:val="auto"/>
              <w:rPr>
                <w:snapToGrid w:val="0"/>
                <w:sz w:val="21"/>
                <w:szCs w:val="24"/>
              </w:rPr>
            </w:pPr>
            <w:r>
              <w:rPr>
                <w:rFonts w:hint="eastAsia"/>
                <w:snapToGrid w:val="0"/>
                <w:sz w:val="21"/>
                <w:szCs w:val="24"/>
              </w:rPr>
              <w:t>2、本项目废水集输、储存、处理设施应加盖密闭，并密闭排气至“碱喷淋+水喷淋+除雾器+活性炭吸附装置”内进行处理。</w:t>
            </w:r>
          </w:p>
        </w:tc>
        <w:tc>
          <w:tcPr>
            <w:tcW w:w="277" w:type="pct"/>
            <w:tcMar>
              <w:left w:w="6" w:type="dxa"/>
              <w:right w:w="6" w:type="dxa"/>
            </w:tcMar>
            <w:vAlign w:val="center"/>
          </w:tcPr>
          <w:p w14:paraId="2B19901F">
            <w:pPr>
              <w:adjustRightInd/>
              <w:snapToGrid/>
              <w:spacing w:line="240" w:lineRule="auto"/>
              <w:ind w:firstLine="0" w:firstLineChars="0"/>
              <w:contextualSpacing/>
              <w:jc w:val="center"/>
              <w:rPr>
                <w:sz w:val="21"/>
                <w:szCs w:val="21"/>
                <w:highlight w:val="yellow"/>
              </w:rPr>
            </w:pPr>
            <w:r>
              <w:rPr>
                <w:rFonts w:hint="eastAsia"/>
                <w:sz w:val="21"/>
                <w:szCs w:val="21"/>
              </w:rPr>
              <w:t>符合</w:t>
            </w:r>
          </w:p>
        </w:tc>
      </w:tr>
      <w:tr w14:paraId="68239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1D6588B8">
            <w:pPr>
              <w:spacing w:line="240" w:lineRule="auto"/>
              <w:ind w:firstLine="0" w:firstLineChars="0"/>
              <w:contextualSpacing/>
              <w:jc w:val="center"/>
              <w:rPr>
                <w:sz w:val="21"/>
                <w:szCs w:val="21"/>
              </w:rPr>
            </w:pPr>
            <w:r>
              <w:rPr>
                <w:rFonts w:hint="eastAsia"/>
                <w:sz w:val="21"/>
                <w:szCs w:val="21"/>
              </w:rPr>
              <w:t>加热炉/锅炉及其他</w:t>
            </w:r>
          </w:p>
        </w:tc>
        <w:tc>
          <w:tcPr>
            <w:tcW w:w="2297" w:type="pct"/>
            <w:tcMar>
              <w:left w:w="6" w:type="dxa"/>
              <w:right w:w="6" w:type="dxa"/>
            </w:tcMar>
            <w:vAlign w:val="center"/>
          </w:tcPr>
          <w:p w14:paraId="315E1E51">
            <w:pPr>
              <w:spacing w:line="240" w:lineRule="auto"/>
              <w:ind w:firstLine="210" w:firstLineChars="100"/>
              <w:textAlignment w:val="auto"/>
              <w:rPr>
                <w:snapToGrid w:val="0"/>
                <w:sz w:val="21"/>
                <w:szCs w:val="24"/>
              </w:rPr>
            </w:pPr>
            <w:r>
              <w:rPr>
                <w:rFonts w:hint="eastAsia"/>
                <w:snapToGrid w:val="0"/>
                <w:sz w:val="21"/>
                <w:szCs w:val="24"/>
              </w:rPr>
              <w:t>1.PM治理采用覆膜袋式除尘器、滤筒除尘器、湿电除尘等高效除尘技术（除湿电除尘外，设计效率不低于99%）；</w:t>
            </w:r>
          </w:p>
          <w:p w14:paraId="02BDDA5A">
            <w:pPr>
              <w:spacing w:line="240" w:lineRule="auto"/>
              <w:ind w:firstLine="210" w:firstLineChars="100"/>
              <w:textAlignment w:val="auto"/>
              <w:rPr>
                <w:snapToGrid w:val="0"/>
                <w:sz w:val="21"/>
                <w:szCs w:val="24"/>
              </w:rPr>
            </w:pPr>
            <w:r>
              <w:rPr>
                <w:rFonts w:hint="eastAsia"/>
                <w:snapToGrid w:val="0"/>
                <w:sz w:val="21"/>
                <w:szCs w:val="24"/>
              </w:rPr>
              <w:t>2.脱硫采用石灰/石-石膏湿法、氨法、半干法/干法脱硫等；</w:t>
            </w:r>
          </w:p>
          <w:p w14:paraId="486E68C4">
            <w:pPr>
              <w:spacing w:line="240" w:lineRule="auto"/>
              <w:ind w:firstLine="210" w:firstLineChars="100"/>
              <w:textAlignment w:val="auto"/>
              <w:rPr>
                <w:snapToGrid w:val="0"/>
                <w:sz w:val="21"/>
                <w:szCs w:val="24"/>
              </w:rPr>
            </w:pPr>
            <w:r>
              <w:rPr>
                <w:rFonts w:hint="eastAsia"/>
                <w:snapToGrid w:val="0"/>
                <w:sz w:val="21"/>
                <w:szCs w:val="24"/>
              </w:rPr>
              <w:t>3.燃气锅炉（导热油炉）完成低氮燃烧改造；</w:t>
            </w:r>
          </w:p>
          <w:p w14:paraId="4EB5F847">
            <w:pPr>
              <w:spacing w:line="240" w:lineRule="auto"/>
              <w:ind w:firstLine="210" w:firstLineChars="100"/>
              <w:textAlignment w:val="auto"/>
              <w:rPr>
                <w:snapToGrid w:val="0"/>
                <w:sz w:val="21"/>
                <w:szCs w:val="24"/>
              </w:rPr>
            </w:pPr>
            <w:r>
              <w:rPr>
                <w:rFonts w:hint="eastAsia"/>
                <w:snapToGrid w:val="0"/>
                <w:sz w:val="21"/>
                <w:szCs w:val="24"/>
              </w:rPr>
              <w:t>4.燃气炉窑采用低氮燃烧、SCR/SNCR等脱硝技术；</w:t>
            </w:r>
          </w:p>
          <w:p w14:paraId="2D2D2D87">
            <w:pPr>
              <w:spacing w:line="240" w:lineRule="auto"/>
              <w:ind w:firstLine="210" w:firstLineChars="100"/>
              <w:textAlignment w:val="auto"/>
              <w:rPr>
                <w:snapToGrid w:val="0"/>
                <w:sz w:val="21"/>
                <w:szCs w:val="24"/>
              </w:rPr>
            </w:pPr>
            <w:r>
              <w:rPr>
                <w:rFonts w:hint="eastAsia"/>
                <w:snapToGrid w:val="0"/>
                <w:sz w:val="21"/>
                <w:szCs w:val="24"/>
              </w:rPr>
              <w:t>5.生产工艺有机废气全部采用热力焚烧、催化燃烧、蓄热燃烧、吸附浓缩+催化燃烧等高效有机废气治理设施或送工艺加热炉、锅炉直接燃烧处理。</w:t>
            </w:r>
          </w:p>
          <w:p w14:paraId="5B3ABC68">
            <w:pPr>
              <w:spacing w:line="240" w:lineRule="auto"/>
              <w:ind w:firstLine="210" w:firstLineChars="100"/>
              <w:textAlignment w:val="auto"/>
              <w:rPr>
                <w:snapToGrid w:val="0"/>
                <w:sz w:val="21"/>
                <w:szCs w:val="24"/>
              </w:rPr>
            </w:pPr>
            <w:r>
              <w:rPr>
                <w:rFonts w:hint="eastAsia"/>
                <w:snapToGrid w:val="0"/>
                <w:sz w:val="21"/>
                <w:szCs w:val="24"/>
              </w:rPr>
              <w:t>6.其他废气处理采用酸雾净化塔等连续多级废气处理工艺。</w:t>
            </w:r>
          </w:p>
        </w:tc>
        <w:tc>
          <w:tcPr>
            <w:tcW w:w="1852" w:type="pct"/>
            <w:tcMar>
              <w:left w:w="6" w:type="dxa"/>
              <w:right w:w="6" w:type="dxa"/>
            </w:tcMar>
            <w:vAlign w:val="center"/>
          </w:tcPr>
          <w:p w14:paraId="775AB925">
            <w:pPr>
              <w:spacing w:line="240" w:lineRule="auto"/>
              <w:ind w:firstLine="0" w:firstLineChars="0"/>
              <w:jc w:val="center"/>
              <w:textAlignment w:val="auto"/>
              <w:rPr>
                <w:snapToGrid w:val="0"/>
                <w:sz w:val="21"/>
                <w:szCs w:val="24"/>
                <w:highlight w:val="yellow"/>
              </w:rPr>
            </w:pPr>
            <w:r>
              <w:rPr>
                <w:rFonts w:hint="eastAsia"/>
                <w:snapToGrid w:val="0"/>
                <w:sz w:val="21"/>
                <w:szCs w:val="24"/>
              </w:rPr>
              <w:t>不涉及。</w:t>
            </w:r>
          </w:p>
        </w:tc>
        <w:tc>
          <w:tcPr>
            <w:tcW w:w="277" w:type="pct"/>
            <w:tcMar>
              <w:left w:w="6" w:type="dxa"/>
              <w:right w:w="6" w:type="dxa"/>
            </w:tcMar>
            <w:vAlign w:val="center"/>
          </w:tcPr>
          <w:p w14:paraId="6E7DB8B3">
            <w:pPr>
              <w:adjustRightInd/>
              <w:snapToGrid/>
              <w:spacing w:line="240" w:lineRule="auto"/>
              <w:ind w:firstLine="0" w:firstLineChars="0"/>
              <w:contextualSpacing/>
              <w:jc w:val="center"/>
              <w:rPr>
                <w:sz w:val="21"/>
                <w:szCs w:val="21"/>
                <w:highlight w:val="yellow"/>
              </w:rPr>
            </w:pPr>
            <w:r>
              <w:rPr>
                <w:rFonts w:hint="eastAsia"/>
                <w:sz w:val="21"/>
                <w:szCs w:val="21"/>
              </w:rPr>
              <w:t>/</w:t>
            </w:r>
          </w:p>
        </w:tc>
      </w:tr>
      <w:tr w14:paraId="6F437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0CC9726A">
            <w:pPr>
              <w:spacing w:line="240" w:lineRule="auto"/>
              <w:ind w:firstLine="0" w:firstLineChars="0"/>
              <w:contextualSpacing/>
              <w:jc w:val="center"/>
              <w:rPr>
                <w:sz w:val="21"/>
                <w:szCs w:val="21"/>
              </w:rPr>
            </w:pPr>
            <w:r>
              <w:rPr>
                <w:rFonts w:hint="eastAsia"/>
                <w:sz w:val="21"/>
                <w:szCs w:val="21"/>
              </w:rPr>
              <w:t>无组织管控</w:t>
            </w:r>
          </w:p>
        </w:tc>
        <w:tc>
          <w:tcPr>
            <w:tcW w:w="2297" w:type="pct"/>
            <w:tcMar>
              <w:left w:w="6" w:type="dxa"/>
              <w:right w:w="6" w:type="dxa"/>
            </w:tcMar>
            <w:vAlign w:val="center"/>
          </w:tcPr>
          <w:p w14:paraId="266F5D93">
            <w:pPr>
              <w:spacing w:line="240" w:lineRule="auto"/>
              <w:ind w:firstLine="210" w:firstLineChars="100"/>
              <w:textAlignment w:val="auto"/>
              <w:rPr>
                <w:snapToGrid w:val="0"/>
                <w:sz w:val="21"/>
                <w:szCs w:val="24"/>
              </w:rPr>
            </w:pPr>
            <w:r>
              <w:rPr>
                <w:rFonts w:hint="eastAsia"/>
                <w:snapToGrid w:val="0"/>
                <w:sz w:val="21"/>
                <w:szCs w:val="24"/>
              </w:rPr>
              <w:t>一、生产过程</w:t>
            </w:r>
          </w:p>
          <w:p w14:paraId="196596FD">
            <w:pPr>
              <w:spacing w:line="240" w:lineRule="auto"/>
              <w:ind w:firstLine="210" w:firstLineChars="100"/>
              <w:textAlignment w:val="auto"/>
              <w:rPr>
                <w:snapToGrid w:val="0"/>
                <w:sz w:val="21"/>
                <w:szCs w:val="24"/>
              </w:rPr>
            </w:pPr>
            <w:r>
              <w:rPr>
                <w:rFonts w:hint="eastAsia"/>
                <w:snapToGrid w:val="0"/>
                <w:sz w:val="21"/>
                <w:szCs w:val="24"/>
              </w:rPr>
              <w:t>1.所有物料采用密闭/封闭方式储存，含VOCs物料配备废气负压收集至VOCs处理设施。</w:t>
            </w:r>
          </w:p>
          <w:p w14:paraId="5AE8AFA7">
            <w:pPr>
              <w:spacing w:line="240" w:lineRule="auto"/>
              <w:ind w:firstLine="210" w:firstLineChars="100"/>
              <w:textAlignment w:val="auto"/>
              <w:rPr>
                <w:snapToGrid w:val="0"/>
                <w:sz w:val="21"/>
                <w:szCs w:val="24"/>
              </w:rPr>
            </w:pPr>
            <w:r>
              <w:rPr>
                <w:rFonts w:hint="eastAsia"/>
                <w:snapToGrid w:val="0"/>
                <w:sz w:val="21"/>
                <w:szCs w:val="24"/>
              </w:rPr>
              <w:t>2.厂区内物料转移和输送采用气力输送、封闭皮带等，无法封闭的产尘点（物料转载、下料口等）应设置独立集气罩，配套的除尘设施不与室内通风除尘混用。</w:t>
            </w:r>
          </w:p>
          <w:p w14:paraId="2BA77AB4">
            <w:pPr>
              <w:spacing w:line="240" w:lineRule="auto"/>
              <w:ind w:firstLine="210" w:firstLineChars="100"/>
              <w:textAlignment w:val="auto"/>
              <w:rPr>
                <w:snapToGrid w:val="0"/>
                <w:sz w:val="21"/>
                <w:szCs w:val="24"/>
              </w:rPr>
            </w:pPr>
            <w:r>
              <w:rPr>
                <w:rFonts w:hint="eastAsia"/>
                <w:snapToGrid w:val="0"/>
                <w:sz w:val="21"/>
                <w:szCs w:val="24"/>
              </w:rPr>
              <w:t>3.含VOCs物料采用密闭输送、密闭投加或密闭操作间。</w:t>
            </w:r>
          </w:p>
          <w:p w14:paraId="531B077B">
            <w:pPr>
              <w:spacing w:line="240" w:lineRule="auto"/>
              <w:ind w:firstLine="210" w:firstLineChars="100"/>
              <w:textAlignment w:val="auto"/>
              <w:rPr>
                <w:snapToGrid w:val="0"/>
                <w:sz w:val="21"/>
                <w:szCs w:val="24"/>
              </w:rPr>
            </w:pPr>
            <w:r>
              <w:rPr>
                <w:rFonts w:hint="eastAsia"/>
                <w:snapToGrid w:val="0"/>
                <w:sz w:val="21"/>
                <w:szCs w:val="24"/>
              </w:rPr>
              <w:t>4.车间产尘点和涉VOCs工序安装集气罩和治理设施。</w:t>
            </w:r>
          </w:p>
          <w:p w14:paraId="4EFAED72">
            <w:pPr>
              <w:spacing w:line="240" w:lineRule="auto"/>
              <w:ind w:firstLine="210" w:firstLineChars="100"/>
              <w:textAlignment w:val="auto"/>
              <w:rPr>
                <w:snapToGrid w:val="0"/>
                <w:sz w:val="21"/>
                <w:szCs w:val="24"/>
              </w:rPr>
            </w:pPr>
            <w:r>
              <w:rPr>
                <w:rFonts w:hint="eastAsia"/>
                <w:snapToGrid w:val="0"/>
                <w:sz w:val="21"/>
                <w:szCs w:val="24"/>
              </w:rPr>
              <w:t>二、车间、料场环境</w:t>
            </w:r>
          </w:p>
          <w:p w14:paraId="0B74209C">
            <w:pPr>
              <w:spacing w:line="240" w:lineRule="auto"/>
              <w:ind w:firstLine="210" w:firstLineChars="100"/>
              <w:textAlignment w:val="auto"/>
              <w:rPr>
                <w:snapToGrid w:val="0"/>
                <w:sz w:val="21"/>
                <w:szCs w:val="24"/>
              </w:rPr>
            </w:pPr>
            <w:r>
              <w:rPr>
                <w:rFonts w:hint="eastAsia"/>
                <w:snapToGrid w:val="0"/>
                <w:sz w:val="21"/>
                <w:szCs w:val="24"/>
              </w:rPr>
              <w:t>1.生产车间地面干净，生产设施、设备材料表面无积料、积灰现象；</w:t>
            </w:r>
          </w:p>
          <w:p w14:paraId="0113AD42">
            <w:pPr>
              <w:spacing w:line="240" w:lineRule="auto"/>
              <w:ind w:firstLine="210" w:firstLineChars="100"/>
              <w:textAlignment w:val="auto"/>
              <w:rPr>
                <w:snapToGrid w:val="0"/>
                <w:sz w:val="21"/>
                <w:szCs w:val="24"/>
              </w:rPr>
            </w:pPr>
            <w:r>
              <w:rPr>
                <w:rFonts w:hint="eastAsia"/>
                <w:snapToGrid w:val="0"/>
                <w:sz w:val="21"/>
                <w:szCs w:val="24"/>
              </w:rPr>
              <w:t>2.封闭料场顶棚和四周围墙完整，料场内路面全部硬化，料场货物进出大门为硬质材料门或自动感应门；</w:t>
            </w:r>
          </w:p>
          <w:p w14:paraId="6AEA735F">
            <w:pPr>
              <w:spacing w:line="240" w:lineRule="auto"/>
              <w:ind w:firstLine="210" w:firstLineChars="100"/>
              <w:textAlignment w:val="auto"/>
              <w:rPr>
                <w:snapToGrid w:val="0"/>
                <w:sz w:val="21"/>
                <w:szCs w:val="24"/>
              </w:rPr>
            </w:pPr>
            <w:r>
              <w:rPr>
                <w:rFonts w:hint="eastAsia"/>
                <w:snapToGrid w:val="0"/>
                <w:sz w:val="21"/>
                <w:szCs w:val="24"/>
              </w:rPr>
              <w:t>3.在确保安全的前提下，所有门窗应处于封闭状态；</w:t>
            </w:r>
          </w:p>
          <w:p w14:paraId="3F58FEC5">
            <w:pPr>
              <w:spacing w:line="240" w:lineRule="auto"/>
              <w:ind w:firstLine="210" w:firstLineChars="100"/>
              <w:textAlignment w:val="auto"/>
              <w:rPr>
                <w:snapToGrid w:val="0"/>
                <w:sz w:val="21"/>
                <w:szCs w:val="24"/>
              </w:rPr>
            </w:pPr>
            <w:r>
              <w:rPr>
                <w:rFonts w:hint="eastAsia"/>
                <w:snapToGrid w:val="0"/>
                <w:sz w:val="21"/>
                <w:szCs w:val="24"/>
              </w:rPr>
              <w:t>4.生产车间无可见烟粉尘外逸。</w:t>
            </w:r>
          </w:p>
          <w:p w14:paraId="5432A94D">
            <w:pPr>
              <w:spacing w:line="240" w:lineRule="auto"/>
              <w:ind w:firstLine="210" w:firstLineChars="100"/>
              <w:textAlignment w:val="auto"/>
              <w:rPr>
                <w:snapToGrid w:val="0"/>
                <w:sz w:val="21"/>
                <w:szCs w:val="24"/>
              </w:rPr>
            </w:pPr>
            <w:r>
              <w:rPr>
                <w:rFonts w:hint="eastAsia"/>
                <w:snapToGrid w:val="0"/>
                <w:sz w:val="21"/>
                <w:szCs w:val="24"/>
              </w:rPr>
              <w:t>三、其他</w:t>
            </w:r>
          </w:p>
          <w:p w14:paraId="27370EE5">
            <w:pPr>
              <w:spacing w:line="240" w:lineRule="auto"/>
              <w:ind w:firstLine="210" w:firstLineChars="100"/>
              <w:textAlignment w:val="auto"/>
              <w:rPr>
                <w:snapToGrid w:val="0"/>
                <w:sz w:val="21"/>
                <w:szCs w:val="24"/>
              </w:rPr>
            </w:pPr>
            <w:r>
              <w:rPr>
                <w:rFonts w:hint="eastAsia"/>
                <w:snapToGrid w:val="0"/>
                <w:sz w:val="21"/>
                <w:szCs w:val="24"/>
              </w:rPr>
              <w:t>1.厂区地面全部硬化或绿化，其中未利用地宜优先绿化，无成片裸露土地。</w:t>
            </w:r>
          </w:p>
        </w:tc>
        <w:tc>
          <w:tcPr>
            <w:tcW w:w="1852" w:type="pct"/>
            <w:tcMar>
              <w:left w:w="6" w:type="dxa"/>
              <w:right w:w="6" w:type="dxa"/>
            </w:tcMar>
            <w:vAlign w:val="center"/>
          </w:tcPr>
          <w:p w14:paraId="1C8AA686">
            <w:pPr>
              <w:spacing w:line="240" w:lineRule="auto"/>
              <w:ind w:firstLine="210" w:firstLineChars="100"/>
              <w:textAlignment w:val="auto"/>
              <w:rPr>
                <w:snapToGrid w:val="0"/>
                <w:sz w:val="21"/>
                <w:szCs w:val="24"/>
              </w:rPr>
            </w:pPr>
            <w:r>
              <w:rPr>
                <w:rFonts w:hint="eastAsia"/>
                <w:snapToGrid w:val="0"/>
                <w:sz w:val="21"/>
                <w:szCs w:val="24"/>
              </w:rPr>
              <w:t>一、生产过程</w:t>
            </w:r>
          </w:p>
          <w:p w14:paraId="38DC041A">
            <w:pPr>
              <w:spacing w:line="240" w:lineRule="auto"/>
              <w:ind w:firstLine="210" w:firstLineChars="100"/>
              <w:textAlignment w:val="auto"/>
              <w:rPr>
                <w:snapToGrid w:val="0"/>
                <w:sz w:val="21"/>
                <w:szCs w:val="24"/>
              </w:rPr>
            </w:pPr>
            <w:r>
              <w:rPr>
                <w:rFonts w:hint="eastAsia"/>
                <w:snapToGrid w:val="0"/>
                <w:sz w:val="21"/>
                <w:szCs w:val="24"/>
              </w:rPr>
              <w:t>1、本项目所有液态物料采用密闭桶装，粒料和粉料采用袋装。</w:t>
            </w:r>
          </w:p>
          <w:p w14:paraId="4FBF7B5D">
            <w:pPr>
              <w:spacing w:line="240" w:lineRule="auto"/>
              <w:ind w:firstLine="210" w:firstLineChars="100"/>
              <w:textAlignment w:val="auto"/>
              <w:rPr>
                <w:snapToGrid w:val="0"/>
                <w:sz w:val="21"/>
                <w:szCs w:val="24"/>
              </w:rPr>
            </w:pPr>
            <w:r>
              <w:rPr>
                <w:rFonts w:hint="eastAsia"/>
                <w:snapToGrid w:val="0"/>
                <w:sz w:val="21"/>
                <w:szCs w:val="24"/>
              </w:rPr>
              <w:t>2、液体物料均采用管道输送，固体物料采用真空投料机或密闭投料站，投料废气密闭收集后后引入袋式除尘器处理，除尘设施不与室内通风除尘混用。</w:t>
            </w:r>
          </w:p>
          <w:p w14:paraId="0540D39B">
            <w:pPr>
              <w:spacing w:line="240" w:lineRule="auto"/>
              <w:ind w:firstLine="210" w:firstLineChars="100"/>
              <w:textAlignment w:val="auto"/>
              <w:rPr>
                <w:snapToGrid w:val="0"/>
                <w:sz w:val="21"/>
                <w:szCs w:val="24"/>
              </w:rPr>
            </w:pPr>
            <w:r>
              <w:rPr>
                <w:rFonts w:hint="eastAsia"/>
                <w:snapToGrid w:val="0"/>
                <w:sz w:val="21"/>
                <w:szCs w:val="24"/>
              </w:rPr>
              <w:t>3、含VOCs物料采用密闭输送。</w:t>
            </w:r>
          </w:p>
          <w:p w14:paraId="5110AADF">
            <w:pPr>
              <w:spacing w:line="240" w:lineRule="auto"/>
              <w:ind w:firstLine="210" w:firstLineChars="100"/>
              <w:textAlignment w:val="auto"/>
              <w:rPr>
                <w:snapToGrid w:val="0"/>
                <w:sz w:val="21"/>
                <w:szCs w:val="24"/>
              </w:rPr>
            </w:pPr>
            <w:r>
              <w:rPr>
                <w:rFonts w:hint="eastAsia"/>
                <w:snapToGrid w:val="0"/>
                <w:sz w:val="21"/>
                <w:szCs w:val="24"/>
              </w:rPr>
              <w:t>4、车间产尘点和涉VOCs工序均采用密闭管道负压收集并配套安装治理设施。</w:t>
            </w:r>
          </w:p>
          <w:p w14:paraId="38CC4885">
            <w:pPr>
              <w:spacing w:line="240" w:lineRule="auto"/>
              <w:ind w:firstLine="210" w:firstLineChars="100"/>
              <w:textAlignment w:val="auto"/>
              <w:rPr>
                <w:snapToGrid w:val="0"/>
                <w:sz w:val="21"/>
                <w:szCs w:val="24"/>
              </w:rPr>
            </w:pPr>
            <w:r>
              <w:rPr>
                <w:rFonts w:hint="eastAsia"/>
                <w:snapToGrid w:val="0"/>
                <w:sz w:val="21"/>
                <w:szCs w:val="24"/>
              </w:rPr>
              <w:t>二、车间、料场环境</w:t>
            </w:r>
          </w:p>
          <w:p w14:paraId="1006DB1B">
            <w:pPr>
              <w:spacing w:line="240" w:lineRule="auto"/>
              <w:ind w:firstLine="210" w:firstLineChars="100"/>
              <w:textAlignment w:val="auto"/>
              <w:rPr>
                <w:snapToGrid w:val="0"/>
                <w:sz w:val="21"/>
                <w:szCs w:val="24"/>
              </w:rPr>
            </w:pPr>
            <w:r>
              <w:rPr>
                <w:rFonts w:hint="eastAsia"/>
                <w:snapToGrid w:val="0"/>
                <w:sz w:val="21"/>
                <w:szCs w:val="24"/>
              </w:rPr>
              <w:t>1.生产车间地面干净，生产设施、设备材料表面无积料、积灰现象；</w:t>
            </w:r>
          </w:p>
          <w:p w14:paraId="7210448A">
            <w:pPr>
              <w:spacing w:line="240" w:lineRule="auto"/>
              <w:ind w:firstLine="210" w:firstLineChars="100"/>
              <w:textAlignment w:val="auto"/>
              <w:rPr>
                <w:snapToGrid w:val="0"/>
                <w:sz w:val="21"/>
                <w:szCs w:val="24"/>
              </w:rPr>
            </w:pPr>
            <w:r>
              <w:rPr>
                <w:rFonts w:hint="eastAsia"/>
                <w:snapToGrid w:val="0"/>
                <w:sz w:val="21"/>
                <w:szCs w:val="24"/>
              </w:rPr>
              <w:t>2.封闭料场顶棚和四周围墙完整，料场内路面全部硬化，料场货物进出大门为硬质材料门或自动感应门；</w:t>
            </w:r>
          </w:p>
          <w:p w14:paraId="75226900">
            <w:pPr>
              <w:spacing w:line="240" w:lineRule="auto"/>
              <w:ind w:firstLine="210" w:firstLineChars="100"/>
              <w:textAlignment w:val="auto"/>
              <w:rPr>
                <w:snapToGrid w:val="0"/>
                <w:sz w:val="21"/>
                <w:szCs w:val="24"/>
              </w:rPr>
            </w:pPr>
            <w:r>
              <w:rPr>
                <w:rFonts w:hint="eastAsia"/>
                <w:snapToGrid w:val="0"/>
                <w:sz w:val="21"/>
                <w:szCs w:val="24"/>
              </w:rPr>
              <w:t>3.在确保安全的前提下，所有门窗应处于封闭状态；</w:t>
            </w:r>
          </w:p>
          <w:p w14:paraId="44232367">
            <w:pPr>
              <w:spacing w:line="240" w:lineRule="auto"/>
              <w:ind w:firstLine="210" w:firstLineChars="100"/>
              <w:textAlignment w:val="auto"/>
              <w:rPr>
                <w:snapToGrid w:val="0"/>
                <w:sz w:val="21"/>
                <w:szCs w:val="24"/>
              </w:rPr>
            </w:pPr>
            <w:r>
              <w:rPr>
                <w:rFonts w:hint="eastAsia"/>
                <w:snapToGrid w:val="0"/>
                <w:sz w:val="21"/>
                <w:szCs w:val="24"/>
              </w:rPr>
              <w:t>4.生产车间无可见烟粉尘外逸。</w:t>
            </w:r>
          </w:p>
          <w:p w14:paraId="131210BF">
            <w:pPr>
              <w:spacing w:line="240" w:lineRule="auto"/>
              <w:ind w:firstLine="210" w:firstLineChars="100"/>
              <w:textAlignment w:val="auto"/>
              <w:rPr>
                <w:snapToGrid w:val="0"/>
                <w:sz w:val="21"/>
                <w:szCs w:val="24"/>
              </w:rPr>
            </w:pPr>
            <w:r>
              <w:rPr>
                <w:rFonts w:hint="eastAsia"/>
                <w:snapToGrid w:val="0"/>
                <w:sz w:val="21"/>
                <w:szCs w:val="24"/>
              </w:rPr>
              <w:t>三、其他</w:t>
            </w:r>
          </w:p>
          <w:p w14:paraId="06433E7D">
            <w:pPr>
              <w:spacing w:line="240" w:lineRule="auto"/>
              <w:ind w:firstLine="210" w:firstLineChars="100"/>
              <w:textAlignment w:val="auto"/>
              <w:rPr>
                <w:snapToGrid w:val="0"/>
                <w:sz w:val="21"/>
                <w:szCs w:val="24"/>
                <w:highlight w:val="yellow"/>
              </w:rPr>
            </w:pPr>
            <w:r>
              <w:rPr>
                <w:rFonts w:hint="eastAsia"/>
                <w:snapToGrid w:val="0"/>
                <w:sz w:val="21"/>
                <w:szCs w:val="24"/>
              </w:rPr>
              <w:t>1.厂区地面全部硬化或绿化，其中未利用地宜优先绿化，无成片裸露土地。</w:t>
            </w:r>
          </w:p>
        </w:tc>
        <w:tc>
          <w:tcPr>
            <w:tcW w:w="277" w:type="pct"/>
            <w:tcMar>
              <w:left w:w="6" w:type="dxa"/>
              <w:right w:w="6" w:type="dxa"/>
            </w:tcMar>
            <w:vAlign w:val="center"/>
          </w:tcPr>
          <w:p w14:paraId="5CC0E5F9">
            <w:pPr>
              <w:adjustRightInd/>
              <w:snapToGrid/>
              <w:spacing w:line="240" w:lineRule="auto"/>
              <w:ind w:firstLine="0" w:firstLineChars="0"/>
              <w:contextualSpacing/>
              <w:jc w:val="center"/>
              <w:rPr>
                <w:sz w:val="21"/>
                <w:szCs w:val="21"/>
              </w:rPr>
            </w:pPr>
            <w:r>
              <w:rPr>
                <w:rFonts w:hint="eastAsia"/>
                <w:sz w:val="21"/>
                <w:szCs w:val="21"/>
              </w:rPr>
              <w:t>符合</w:t>
            </w:r>
          </w:p>
        </w:tc>
      </w:tr>
      <w:tr w14:paraId="477ED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3" w:type="pct"/>
            <w:vMerge w:val="restart"/>
            <w:tcMar>
              <w:left w:w="6" w:type="dxa"/>
              <w:right w:w="6" w:type="dxa"/>
            </w:tcMar>
            <w:vAlign w:val="center"/>
          </w:tcPr>
          <w:p w14:paraId="0261FB28">
            <w:pPr>
              <w:spacing w:line="240" w:lineRule="auto"/>
              <w:ind w:firstLine="0" w:firstLineChars="0"/>
              <w:contextualSpacing/>
              <w:jc w:val="center"/>
              <w:rPr>
                <w:sz w:val="21"/>
                <w:szCs w:val="21"/>
              </w:rPr>
            </w:pPr>
            <w:r>
              <w:rPr>
                <w:rFonts w:hint="eastAsia"/>
                <w:sz w:val="21"/>
                <w:szCs w:val="21"/>
              </w:rPr>
              <w:t>排放限值</w:t>
            </w:r>
          </w:p>
        </w:tc>
        <w:tc>
          <w:tcPr>
            <w:tcW w:w="351" w:type="pct"/>
            <w:vAlign w:val="center"/>
          </w:tcPr>
          <w:p w14:paraId="7909A414">
            <w:pPr>
              <w:spacing w:line="240" w:lineRule="auto"/>
              <w:ind w:firstLine="0" w:firstLineChars="0"/>
              <w:contextualSpacing/>
              <w:jc w:val="center"/>
              <w:rPr>
                <w:sz w:val="21"/>
                <w:szCs w:val="21"/>
              </w:rPr>
            </w:pPr>
            <w:r>
              <w:rPr>
                <w:rFonts w:hint="eastAsia"/>
                <w:sz w:val="21"/>
                <w:szCs w:val="21"/>
              </w:rPr>
              <w:t>涉V</w:t>
            </w:r>
            <w:r>
              <w:rPr>
                <w:sz w:val="21"/>
                <w:szCs w:val="21"/>
              </w:rPr>
              <w:t>OCs</w:t>
            </w:r>
          </w:p>
        </w:tc>
        <w:tc>
          <w:tcPr>
            <w:tcW w:w="2297" w:type="pct"/>
            <w:tcMar>
              <w:left w:w="6" w:type="dxa"/>
              <w:right w:w="6" w:type="dxa"/>
            </w:tcMar>
            <w:vAlign w:val="center"/>
          </w:tcPr>
          <w:p w14:paraId="39D143AD">
            <w:pPr>
              <w:spacing w:line="240" w:lineRule="auto"/>
              <w:ind w:firstLine="210" w:firstLineChars="100"/>
              <w:textAlignment w:val="auto"/>
              <w:rPr>
                <w:snapToGrid w:val="0"/>
                <w:sz w:val="21"/>
                <w:szCs w:val="24"/>
              </w:rPr>
            </w:pPr>
            <w:r>
              <w:rPr>
                <w:rFonts w:hint="eastAsia"/>
                <w:snapToGrid w:val="0"/>
                <w:sz w:val="21"/>
                <w:szCs w:val="24"/>
              </w:rPr>
              <w:t>1.全厂有组织PM、NMHC有组织排放限值要求：10、20mg/m</w:t>
            </w:r>
            <w:r>
              <w:rPr>
                <w:rFonts w:hint="eastAsia"/>
                <w:snapToGrid w:val="0"/>
                <w:sz w:val="21"/>
                <w:szCs w:val="24"/>
                <w:vertAlign w:val="superscript"/>
              </w:rPr>
              <w:t>3</w:t>
            </w:r>
            <w:r>
              <w:rPr>
                <w:rFonts w:hint="eastAsia"/>
                <w:snapToGrid w:val="0"/>
                <w:sz w:val="21"/>
                <w:szCs w:val="24"/>
              </w:rPr>
              <w:t>，且其他污染物稳定达到国家/地方排放限值；</w:t>
            </w:r>
          </w:p>
          <w:p w14:paraId="2E835C37">
            <w:pPr>
              <w:spacing w:line="240" w:lineRule="auto"/>
              <w:ind w:firstLine="210" w:firstLineChars="100"/>
              <w:textAlignment w:val="auto"/>
              <w:rPr>
                <w:snapToGrid w:val="0"/>
                <w:sz w:val="21"/>
                <w:szCs w:val="24"/>
              </w:rPr>
            </w:pPr>
            <w:r>
              <w:rPr>
                <w:rFonts w:hint="eastAsia"/>
                <w:snapToGrid w:val="0"/>
                <w:sz w:val="21"/>
                <w:szCs w:val="24"/>
              </w:rPr>
              <w:t>2.VOCs治理设施同步运行率和去除率分别达到100%和80%；因废气收集、生产工艺原因去除率确实达不到的，在厂房外无组织排放监控点NMHC浓度低于4mg/m³，企业边界1hNMHC平均浓度低于2mg/m³。</w:t>
            </w:r>
          </w:p>
          <w:p w14:paraId="01E89412">
            <w:pPr>
              <w:spacing w:line="240" w:lineRule="auto"/>
              <w:ind w:firstLine="210" w:firstLineChars="100"/>
              <w:textAlignment w:val="auto"/>
              <w:rPr>
                <w:snapToGrid w:val="0"/>
                <w:sz w:val="21"/>
                <w:szCs w:val="24"/>
              </w:rPr>
            </w:pPr>
            <w:r>
              <w:rPr>
                <w:rFonts w:hint="eastAsia"/>
                <w:snapToGrid w:val="0"/>
                <w:sz w:val="21"/>
                <w:szCs w:val="24"/>
              </w:rPr>
              <w:t>3.污水处理场周界监控点环境空气臭气浓度</w:t>
            </w:r>
            <w:r>
              <w:rPr>
                <w:rFonts w:hint="eastAsia"/>
                <w:snapToGrid w:val="0"/>
                <w:sz w:val="21"/>
                <w:szCs w:val="24"/>
                <w:vertAlign w:val="superscript"/>
              </w:rPr>
              <w:t>【3】</w:t>
            </w:r>
            <w:r>
              <w:rPr>
                <w:rFonts w:hint="eastAsia"/>
                <w:snapToGrid w:val="0"/>
                <w:sz w:val="21"/>
                <w:szCs w:val="24"/>
              </w:rPr>
              <w:t>低于20，NH</w:t>
            </w:r>
            <w:r>
              <w:rPr>
                <w:rFonts w:hint="eastAsia"/>
                <w:snapToGrid w:val="0"/>
                <w:sz w:val="21"/>
                <w:szCs w:val="24"/>
                <w:vertAlign w:val="subscript"/>
              </w:rPr>
              <w:t>3</w:t>
            </w:r>
            <w:r>
              <w:rPr>
                <w:rFonts w:hint="eastAsia"/>
                <w:snapToGrid w:val="0"/>
                <w:sz w:val="21"/>
                <w:szCs w:val="24"/>
              </w:rPr>
              <w:t>、H</w:t>
            </w:r>
            <w:r>
              <w:rPr>
                <w:rFonts w:hint="eastAsia"/>
                <w:snapToGrid w:val="0"/>
                <w:sz w:val="21"/>
                <w:szCs w:val="24"/>
                <w:vertAlign w:val="subscript"/>
              </w:rPr>
              <w:t>2</w:t>
            </w:r>
            <w:r>
              <w:rPr>
                <w:rFonts w:hint="eastAsia"/>
                <w:snapToGrid w:val="0"/>
                <w:sz w:val="21"/>
                <w:szCs w:val="24"/>
              </w:rPr>
              <w:t>S浓度分别低于0.2mg/m³、0.02mg/m³，其他特征污染物满足排污许可证排放限值要求。</w:t>
            </w:r>
          </w:p>
        </w:tc>
        <w:tc>
          <w:tcPr>
            <w:tcW w:w="1852" w:type="pct"/>
            <w:tcMar>
              <w:left w:w="6" w:type="dxa"/>
              <w:right w:w="6" w:type="dxa"/>
            </w:tcMar>
            <w:vAlign w:val="center"/>
          </w:tcPr>
          <w:p w14:paraId="6A0894BB">
            <w:pPr>
              <w:spacing w:line="240" w:lineRule="auto"/>
              <w:ind w:firstLine="210" w:firstLineChars="100"/>
              <w:textAlignment w:val="auto"/>
              <w:rPr>
                <w:snapToGrid w:val="0"/>
                <w:sz w:val="21"/>
                <w:szCs w:val="24"/>
                <w:u w:val="single"/>
              </w:rPr>
            </w:pPr>
            <w:r>
              <w:rPr>
                <w:rFonts w:hint="eastAsia"/>
                <w:snapToGrid w:val="0"/>
                <w:sz w:val="21"/>
                <w:szCs w:val="24"/>
                <w:u w:val="single"/>
              </w:rPr>
              <w:t>1、本项目有组织颗粒物排放浓度为6mg/m</w:t>
            </w:r>
            <w:r>
              <w:rPr>
                <w:rFonts w:hint="eastAsia"/>
                <w:snapToGrid w:val="0"/>
                <w:sz w:val="21"/>
                <w:szCs w:val="24"/>
                <w:u w:val="single"/>
                <w:vertAlign w:val="superscript"/>
              </w:rPr>
              <w:t>3</w:t>
            </w:r>
            <w:r>
              <w:rPr>
                <w:rFonts w:hint="eastAsia"/>
                <w:snapToGrid w:val="0"/>
                <w:sz w:val="21"/>
                <w:szCs w:val="24"/>
                <w:u w:val="single"/>
              </w:rPr>
              <w:t>，非甲烷总烃排放浓度为14.2mg/m</w:t>
            </w:r>
            <w:r>
              <w:rPr>
                <w:rFonts w:hint="eastAsia"/>
                <w:snapToGrid w:val="0"/>
                <w:sz w:val="21"/>
                <w:szCs w:val="24"/>
                <w:u w:val="single"/>
                <w:vertAlign w:val="superscript"/>
              </w:rPr>
              <w:t>3</w:t>
            </w:r>
            <w:r>
              <w:rPr>
                <w:rFonts w:hint="eastAsia"/>
                <w:snapToGrid w:val="0"/>
                <w:sz w:val="21"/>
                <w:szCs w:val="24"/>
                <w:u w:val="single"/>
              </w:rPr>
              <w:t>，均满足国家/地方排放限值；</w:t>
            </w:r>
          </w:p>
          <w:p w14:paraId="2927E471">
            <w:pPr>
              <w:spacing w:line="240" w:lineRule="auto"/>
              <w:ind w:firstLine="210" w:firstLineChars="100"/>
              <w:textAlignment w:val="auto"/>
              <w:rPr>
                <w:snapToGrid w:val="0"/>
                <w:sz w:val="21"/>
                <w:szCs w:val="24"/>
                <w:u w:val="single"/>
              </w:rPr>
            </w:pPr>
            <w:r>
              <w:rPr>
                <w:rFonts w:hint="eastAsia"/>
                <w:snapToGrid w:val="0"/>
                <w:sz w:val="21"/>
                <w:szCs w:val="24"/>
                <w:u w:val="single"/>
              </w:rPr>
              <w:t>2、本项目VOCs治理设施同步运行率和去除率分别达到100%和99%；</w:t>
            </w:r>
          </w:p>
          <w:p w14:paraId="5285334E">
            <w:pPr>
              <w:spacing w:line="240" w:lineRule="auto"/>
              <w:ind w:firstLine="210" w:firstLineChars="100"/>
              <w:textAlignment w:val="auto"/>
              <w:rPr>
                <w:snapToGrid w:val="0"/>
                <w:sz w:val="21"/>
                <w:szCs w:val="24"/>
                <w:highlight w:val="yellow"/>
              </w:rPr>
            </w:pPr>
            <w:r>
              <w:rPr>
                <w:rFonts w:hint="eastAsia"/>
                <w:snapToGrid w:val="0"/>
                <w:sz w:val="21"/>
                <w:szCs w:val="24"/>
              </w:rPr>
              <w:t>3、污水处理场周界监控点环境空气臭气浓度</w:t>
            </w:r>
            <w:r>
              <w:rPr>
                <w:rFonts w:hint="eastAsia"/>
                <w:snapToGrid w:val="0"/>
                <w:sz w:val="21"/>
                <w:szCs w:val="24"/>
                <w:vertAlign w:val="superscript"/>
              </w:rPr>
              <w:t>【3】</w:t>
            </w:r>
            <w:r>
              <w:rPr>
                <w:rFonts w:hint="eastAsia"/>
                <w:snapToGrid w:val="0"/>
                <w:sz w:val="21"/>
                <w:szCs w:val="24"/>
              </w:rPr>
              <w:t>低于20，NH</w:t>
            </w:r>
            <w:r>
              <w:rPr>
                <w:rFonts w:hint="eastAsia"/>
                <w:snapToGrid w:val="0"/>
                <w:sz w:val="21"/>
                <w:szCs w:val="24"/>
                <w:vertAlign w:val="subscript"/>
              </w:rPr>
              <w:t>3</w:t>
            </w:r>
            <w:r>
              <w:rPr>
                <w:rFonts w:hint="eastAsia"/>
                <w:snapToGrid w:val="0"/>
                <w:sz w:val="21"/>
                <w:szCs w:val="24"/>
              </w:rPr>
              <w:t>、H</w:t>
            </w:r>
            <w:r>
              <w:rPr>
                <w:rFonts w:hint="eastAsia"/>
                <w:snapToGrid w:val="0"/>
                <w:sz w:val="21"/>
                <w:szCs w:val="24"/>
                <w:vertAlign w:val="subscript"/>
              </w:rPr>
              <w:t>2</w:t>
            </w:r>
            <w:r>
              <w:rPr>
                <w:rFonts w:hint="eastAsia"/>
                <w:snapToGrid w:val="0"/>
                <w:sz w:val="21"/>
                <w:szCs w:val="24"/>
              </w:rPr>
              <w:t>S浓度分别低于0.2mg/m³、0.02mg/m³。</w:t>
            </w:r>
          </w:p>
        </w:tc>
        <w:tc>
          <w:tcPr>
            <w:tcW w:w="277" w:type="pct"/>
            <w:tcMar>
              <w:left w:w="6" w:type="dxa"/>
              <w:right w:w="6" w:type="dxa"/>
            </w:tcMar>
            <w:vAlign w:val="center"/>
          </w:tcPr>
          <w:p w14:paraId="5B0E1D17">
            <w:pPr>
              <w:adjustRightInd/>
              <w:snapToGrid/>
              <w:spacing w:line="240" w:lineRule="auto"/>
              <w:ind w:firstLine="0" w:firstLineChars="0"/>
              <w:contextualSpacing/>
              <w:jc w:val="center"/>
              <w:rPr>
                <w:sz w:val="21"/>
                <w:szCs w:val="21"/>
                <w:highlight w:val="yellow"/>
              </w:rPr>
            </w:pPr>
            <w:r>
              <w:rPr>
                <w:rFonts w:hint="eastAsia"/>
                <w:sz w:val="21"/>
                <w:szCs w:val="21"/>
              </w:rPr>
              <w:t>符合</w:t>
            </w:r>
          </w:p>
        </w:tc>
      </w:tr>
      <w:tr w14:paraId="7D2ED5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3" w:type="pct"/>
            <w:vMerge w:val="continue"/>
            <w:tcMar>
              <w:left w:w="6" w:type="dxa"/>
              <w:right w:w="6" w:type="dxa"/>
            </w:tcMar>
            <w:vAlign w:val="center"/>
          </w:tcPr>
          <w:p w14:paraId="02252B15">
            <w:pPr>
              <w:spacing w:line="240" w:lineRule="auto"/>
              <w:ind w:firstLine="0" w:firstLineChars="0"/>
              <w:contextualSpacing/>
              <w:jc w:val="center"/>
              <w:rPr>
                <w:sz w:val="21"/>
                <w:szCs w:val="21"/>
              </w:rPr>
            </w:pPr>
          </w:p>
        </w:tc>
        <w:tc>
          <w:tcPr>
            <w:tcW w:w="351" w:type="pct"/>
            <w:vAlign w:val="center"/>
          </w:tcPr>
          <w:p w14:paraId="38B5B23C">
            <w:pPr>
              <w:spacing w:line="240" w:lineRule="auto"/>
              <w:ind w:firstLine="0" w:firstLineChars="0"/>
              <w:contextualSpacing/>
              <w:jc w:val="center"/>
              <w:rPr>
                <w:sz w:val="21"/>
                <w:szCs w:val="21"/>
              </w:rPr>
            </w:pPr>
            <w:r>
              <w:rPr>
                <w:rFonts w:hint="eastAsia"/>
                <w:sz w:val="21"/>
                <w:szCs w:val="21"/>
              </w:rPr>
              <w:t>锅炉</w:t>
            </w:r>
          </w:p>
        </w:tc>
        <w:tc>
          <w:tcPr>
            <w:tcW w:w="2297" w:type="pct"/>
            <w:tcMar>
              <w:left w:w="6" w:type="dxa"/>
              <w:right w:w="6" w:type="dxa"/>
            </w:tcMar>
            <w:vAlign w:val="center"/>
          </w:tcPr>
          <w:p w14:paraId="1D19C645">
            <w:pPr>
              <w:spacing w:line="240" w:lineRule="auto"/>
              <w:ind w:firstLine="210" w:firstLineChars="100"/>
              <w:textAlignment w:val="auto"/>
              <w:rPr>
                <w:snapToGrid w:val="0"/>
                <w:sz w:val="21"/>
                <w:szCs w:val="24"/>
              </w:rPr>
            </w:pPr>
            <w:r>
              <w:rPr>
                <w:rFonts w:hint="eastAsia"/>
                <w:snapToGrid w:val="0"/>
                <w:sz w:val="21"/>
                <w:szCs w:val="24"/>
              </w:rPr>
              <w:t>1.锅炉烟气PM、SO</w:t>
            </w:r>
            <w:r>
              <w:rPr>
                <w:rFonts w:hint="eastAsia"/>
                <w:snapToGrid w:val="0"/>
                <w:sz w:val="21"/>
                <w:szCs w:val="24"/>
                <w:vertAlign w:val="subscript"/>
              </w:rPr>
              <w:t>2</w:t>
            </w:r>
            <w:r>
              <w:rPr>
                <w:rFonts w:hint="eastAsia"/>
                <w:snapToGrid w:val="0"/>
                <w:sz w:val="21"/>
                <w:szCs w:val="24"/>
              </w:rPr>
              <w:t>、NOx 排放限值要求：</w:t>
            </w:r>
          </w:p>
          <w:p w14:paraId="6D4D5A52">
            <w:pPr>
              <w:spacing w:line="240" w:lineRule="auto"/>
              <w:ind w:firstLine="210" w:firstLineChars="100"/>
              <w:textAlignment w:val="auto"/>
              <w:rPr>
                <w:snapToGrid w:val="0"/>
                <w:sz w:val="21"/>
                <w:szCs w:val="24"/>
              </w:rPr>
            </w:pPr>
            <w:r>
              <w:rPr>
                <w:rFonts w:hint="eastAsia"/>
                <w:snapToGrid w:val="0"/>
                <w:sz w:val="21"/>
                <w:szCs w:val="24"/>
              </w:rPr>
              <w:t>燃煤/生物质：10、35、50mg/m</w:t>
            </w:r>
            <w:r>
              <w:rPr>
                <w:rFonts w:hint="eastAsia"/>
                <w:snapToGrid w:val="0"/>
                <w:sz w:val="21"/>
                <w:szCs w:val="24"/>
                <w:vertAlign w:val="superscript"/>
              </w:rPr>
              <w:t>3</w:t>
            </w:r>
            <w:r>
              <w:rPr>
                <w:rFonts w:hint="eastAsia"/>
                <w:snapToGrid w:val="0"/>
                <w:sz w:val="21"/>
                <w:szCs w:val="24"/>
              </w:rPr>
              <w:t>；燃气：5、10、50/30【1】mg/m</w:t>
            </w:r>
            <w:r>
              <w:rPr>
                <w:rFonts w:hint="eastAsia"/>
                <w:snapToGrid w:val="0"/>
                <w:sz w:val="21"/>
                <w:szCs w:val="24"/>
                <w:vertAlign w:val="superscript"/>
              </w:rPr>
              <w:t>3</w:t>
            </w:r>
            <w:r>
              <w:rPr>
                <w:rFonts w:hint="eastAsia"/>
                <w:snapToGrid w:val="0"/>
                <w:sz w:val="21"/>
                <w:szCs w:val="24"/>
              </w:rPr>
              <w:t>；燃油：10、20、80mg/m</w:t>
            </w:r>
            <w:r>
              <w:rPr>
                <w:rFonts w:hint="eastAsia"/>
                <w:snapToGrid w:val="0"/>
                <w:sz w:val="21"/>
                <w:szCs w:val="24"/>
                <w:vertAlign w:val="superscript"/>
              </w:rPr>
              <w:t>3</w:t>
            </w:r>
            <w:r>
              <w:rPr>
                <w:rFonts w:hint="eastAsia"/>
                <w:snapToGrid w:val="0"/>
                <w:sz w:val="21"/>
                <w:szCs w:val="24"/>
              </w:rPr>
              <w:t>（基准氧含量：燃气/燃油3.5%，燃煤/生物质9%）；</w:t>
            </w:r>
          </w:p>
          <w:p w14:paraId="2D836D7B">
            <w:pPr>
              <w:spacing w:line="240" w:lineRule="auto"/>
              <w:ind w:firstLine="210" w:firstLineChars="100"/>
              <w:textAlignment w:val="auto"/>
              <w:rPr>
                <w:snapToGrid w:val="0"/>
                <w:sz w:val="21"/>
                <w:szCs w:val="24"/>
              </w:rPr>
            </w:pPr>
            <w:r>
              <w:rPr>
                <w:rFonts w:hint="eastAsia"/>
                <w:snapToGrid w:val="0"/>
                <w:sz w:val="21"/>
                <w:szCs w:val="24"/>
              </w:rPr>
              <w:t>2.氨逃逸排放浓度不高于8mg/m</w:t>
            </w:r>
            <w:r>
              <w:rPr>
                <w:rFonts w:hint="eastAsia"/>
                <w:snapToGrid w:val="0"/>
                <w:sz w:val="21"/>
                <w:szCs w:val="24"/>
                <w:vertAlign w:val="superscript"/>
              </w:rPr>
              <w:t>3</w:t>
            </w:r>
            <w:r>
              <w:rPr>
                <w:rFonts w:hint="eastAsia"/>
                <w:snapToGrid w:val="0"/>
                <w:sz w:val="21"/>
                <w:szCs w:val="24"/>
              </w:rPr>
              <w:t>（使用氨水、尿素作还原剂）。</w:t>
            </w:r>
          </w:p>
        </w:tc>
        <w:tc>
          <w:tcPr>
            <w:tcW w:w="1852" w:type="pct"/>
            <w:tcMar>
              <w:left w:w="6" w:type="dxa"/>
              <w:right w:w="6" w:type="dxa"/>
            </w:tcMar>
            <w:vAlign w:val="center"/>
          </w:tcPr>
          <w:p w14:paraId="260BDEAD">
            <w:pPr>
              <w:spacing w:line="240" w:lineRule="auto"/>
              <w:ind w:firstLine="0" w:firstLineChars="0"/>
              <w:jc w:val="center"/>
              <w:textAlignment w:val="auto"/>
              <w:rPr>
                <w:snapToGrid w:val="0"/>
                <w:sz w:val="21"/>
                <w:szCs w:val="24"/>
                <w:highlight w:val="yellow"/>
              </w:rPr>
            </w:pPr>
            <w:r>
              <w:rPr>
                <w:rFonts w:hint="eastAsia"/>
                <w:snapToGrid w:val="0"/>
                <w:sz w:val="21"/>
                <w:szCs w:val="24"/>
              </w:rPr>
              <w:t>不涉及。</w:t>
            </w:r>
          </w:p>
        </w:tc>
        <w:tc>
          <w:tcPr>
            <w:tcW w:w="277" w:type="pct"/>
            <w:tcMar>
              <w:left w:w="6" w:type="dxa"/>
              <w:right w:w="6" w:type="dxa"/>
            </w:tcMar>
            <w:vAlign w:val="center"/>
          </w:tcPr>
          <w:p w14:paraId="306A6844">
            <w:pPr>
              <w:adjustRightInd/>
              <w:snapToGrid/>
              <w:spacing w:line="240" w:lineRule="auto"/>
              <w:ind w:firstLine="0" w:firstLineChars="0"/>
              <w:contextualSpacing/>
              <w:jc w:val="center"/>
              <w:rPr>
                <w:sz w:val="21"/>
                <w:szCs w:val="21"/>
              </w:rPr>
            </w:pPr>
            <w:r>
              <w:rPr>
                <w:rFonts w:hint="eastAsia"/>
                <w:sz w:val="21"/>
                <w:szCs w:val="21"/>
              </w:rPr>
              <w:t>/</w:t>
            </w:r>
          </w:p>
        </w:tc>
      </w:tr>
      <w:tr w14:paraId="340B4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3" w:type="pct"/>
            <w:vMerge w:val="continue"/>
            <w:tcMar>
              <w:left w:w="6" w:type="dxa"/>
              <w:right w:w="6" w:type="dxa"/>
            </w:tcMar>
            <w:vAlign w:val="center"/>
          </w:tcPr>
          <w:p w14:paraId="7E6C5E41">
            <w:pPr>
              <w:spacing w:line="240" w:lineRule="auto"/>
              <w:ind w:firstLine="0" w:firstLineChars="0"/>
              <w:contextualSpacing/>
              <w:jc w:val="center"/>
              <w:rPr>
                <w:sz w:val="21"/>
                <w:szCs w:val="21"/>
              </w:rPr>
            </w:pPr>
          </w:p>
        </w:tc>
        <w:tc>
          <w:tcPr>
            <w:tcW w:w="351" w:type="pct"/>
            <w:vAlign w:val="center"/>
          </w:tcPr>
          <w:p w14:paraId="3ECCBC78">
            <w:pPr>
              <w:spacing w:line="240" w:lineRule="auto"/>
              <w:ind w:firstLine="0" w:firstLineChars="0"/>
              <w:contextualSpacing/>
              <w:jc w:val="center"/>
              <w:rPr>
                <w:sz w:val="21"/>
                <w:szCs w:val="21"/>
              </w:rPr>
            </w:pPr>
            <w:r>
              <w:rPr>
                <w:rFonts w:hint="eastAsia"/>
                <w:sz w:val="21"/>
                <w:szCs w:val="21"/>
              </w:rPr>
              <w:t>工业炉窑</w:t>
            </w:r>
          </w:p>
        </w:tc>
        <w:tc>
          <w:tcPr>
            <w:tcW w:w="2297" w:type="pct"/>
            <w:tcMar>
              <w:left w:w="6" w:type="dxa"/>
              <w:right w:w="6" w:type="dxa"/>
            </w:tcMar>
            <w:vAlign w:val="center"/>
          </w:tcPr>
          <w:p w14:paraId="733CEBEB">
            <w:pPr>
              <w:spacing w:line="240" w:lineRule="auto"/>
              <w:ind w:firstLine="210" w:firstLineChars="100"/>
              <w:textAlignment w:val="auto"/>
              <w:rPr>
                <w:snapToGrid w:val="0"/>
                <w:sz w:val="21"/>
                <w:szCs w:val="24"/>
              </w:rPr>
            </w:pPr>
            <w:r>
              <w:rPr>
                <w:rFonts w:hint="eastAsia"/>
                <w:snapToGrid w:val="0"/>
                <w:sz w:val="21"/>
                <w:szCs w:val="24"/>
              </w:rPr>
              <w:t>1.燃气/燃油工业炉窑烟气PM、SO</w:t>
            </w:r>
            <w:r>
              <w:rPr>
                <w:rFonts w:hint="eastAsia"/>
                <w:snapToGrid w:val="0"/>
                <w:sz w:val="21"/>
                <w:szCs w:val="24"/>
                <w:vertAlign w:val="subscript"/>
              </w:rPr>
              <w:t>2</w:t>
            </w:r>
            <w:r>
              <w:rPr>
                <w:rFonts w:hint="eastAsia"/>
                <w:snapToGrid w:val="0"/>
                <w:sz w:val="21"/>
                <w:szCs w:val="24"/>
              </w:rPr>
              <w:t>、NOx 排放限值要求：10、35、50mg/m</w:t>
            </w:r>
            <w:r>
              <w:rPr>
                <w:rFonts w:hint="eastAsia"/>
                <w:snapToGrid w:val="0"/>
                <w:sz w:val="21"/>
                <w:szCs w:val="24"/>
                <w:vertAlign w:val="superscript"/>
              </w:rPr>
              <w:t>3</w:t>
            </w:r>
            <w:r>
              <w:rPr>
                <w:rFonts w:hint="eastAsia"/>
                <w:snapToGrid w:val="0"/>
                <w:sz w:val="21"/>
                <w:szCs w:val="24"/>
              </w:rPr>
              <w:t>（基准氧含量：燃气/燃油3.5%，因工艺需要掺入空气/非密闭式生产的按实测浓度计）；</w:t>
            </w:r>
          </w:p>
          <w:p w14:paraId="6CF65937">
            <w:pPr>
              <w:spacing w:line="240" w:lineRule="auto"/>
              <w:ind w:firstLine="210" w:firstLineChars="100"/>
              <w:textAlignment w:val="auto"/>
              <w:rPr>
                <w:snapToGrid w:val="0"/>
                <w:sz w:val="21"/>
                <w:szCs w:val="24"/>
              </w:rPr>
            </w:pPr>
            <w:r>
              <w:rPr>
                <w:rFonts w:hint="eastAsia"/>
                <w:snapToGrid w:val="0"/>
                <w:sz w:val="21"/>
                <w:szCs w:val="24"/>
              </w:rPr>
              <w:t>2.其他工业炉窑烟气PM、SO</w:t>
            </w:r>
            <w:r>
              <w:rPr>
                <w:rFonts w:hint="eastAsia"/>
                <w:snapToGrid w:val="0"/>
                <w:sz w:val="21"/>
                <w:szCs w:val="24"/>
                <w:vertAlign w:val="subscript"/>
              </w:rPr>
              <w:t>2</w:t>
            </w:r>
            <w:r>
              <w:rPr>
                <w:rFonts w:hint="eastAsia"/>
                <w:snapToGrid w:val="0"/>
                <w:sz w:val="21"/>
                <w:szCs w:val="24"/>
              </w:rPr>
              <w:t>、NOx排放浓度分别不高于10、50、100mg/m</w:t>
            </w:r>
            <w:r>
              <w:rPr>
                <w:rFonts w:hint="eastAsia"/>
                <w:snapToGrid w:val="0"/>
                <w:sz w:val="21"/>
                <w:szCs w:val="24"/>
                <w:vertAlign w:val="superscript"/>
              </w:rPr>
              <w:t>3</w:t>
            </w:r>
            <w:r>
              <w:rPr>
                <w:rFonts w:hint="eastAsia"/>
                <w:snapToGrid w:val="0"/>
                <w:sz w:val="21"/>
                <w:szCs w:val="24"/>
              </w:rPr>
              <w:t>（基准氧含量：9%）；</w:t>
            </w:r>
          </w:p>
          <w:p w14:paraId="4F670FE6">
            <w:pPr>
              <w:spacing w:line="240" w:lineRule="auto"/>
              <w:ind w:firstLine="210" w:firstLineChars="100"/>
              <w:textAlignment w:val="auto"/>
              <w:rPr>
                <w:snapToGrid w:val="0"/>
                <w:sz w:val="21"/>
                <w:szCs w:val="24"/>
              </w:rPr>
            </w:pPr>
            <w:r>
              <w:rPr>
                <w:rFonts w:hint="eastAsia"/>
                <w:snapToGrid w:val="0"/>
                <w:sz w:val="21"/>
                <w:szCs w:val="24"/>
              </w:rPr>
              <w:t>3.氨逃逸排放浓度不高于8mg/m</w:t>
            </w:r>
            <w:r>
              <w:rPr>
                <w:rFonts w:hint="eastAsia"/>
                <w:snapToGrid w:val="0"/>
                <w:sz w:val="21"/>
                <w:szCs w:val="24"/>
                <w:vertAlign w:val="superscript"/>
              </w:rPr>
              <w:t>3</w:t>
            </w:r>
            <w:r>
              <w:rPr>
                <w:rFonts w:hint="eastAsia"/>
                <w:snapToGrid w:val="0"/>
                <w:sz w:val="21"/>
                <w:szCs w:val="24"/>
              </w:rPr>
              <w:t>（使用氨水、尿素作还原剂）。</w:t>
            </w:r>
          </w:p>
        </w:tc>
        <w:tc>
          <w:tcPr>
            <w:tcW w:w="1852" w:type="pct"/>
            <w:tcMar>
              <w:left w:w="6" w:type="dxa"/>
              <w:right w:w="6" w:type="dxa"/>
            </w:tcMar>
            <w:vAlign w:val="center"/>
          </w:tcPr>
          <w:p w14:paraId="3FD9CF42">
            <w:pPr>
              <w:spacing w:line="240" w:lineRule="auto"/>
              <w:ind w:firstLine="0" w:firstLineChars="0"/>
              <w:jc w:val="center"/>
              <w:textAlignment w:val="auto"/>
              <w:rPr>
                <w:snapToGrid w:val="0"/>
                <w:sz w:val="21"/>
                <w:szCs w:val="24"/>
                <w:highlight w:val="yellow"/>
              </w:rPr>
            </w:pPr>
            <w:r>
              <w:rPr>
                <w:rFonts w:hint="eastAsia"/>
                <w:snapToGrid w:val="0"/>
                <w:sz w:val="21"/>
                <w:szCs w:val="24"/>
              </w:rPr>
              <w:t>不涉及。</w:t>
            </w:r>
          </w:p>
        </w:tc>
        <w:tc>
          <w:tcPr>
            <w:tcW w:w="277" w:type="pct"/>
            <w:tcMar>
              <w:left w:w="6" w:type="dxa"/>
              <w:right w:w="6" w:type="dxa"/>
            </w:tcMar>
            <w:vAlign w:val="center"/>
          </w:tcPr>
          <w:p w14:paraId="21F0F59D">
            <w:pPr>
              <w:adjustRightInd/>
              <w:snapToGrid/>
              <w:spacing w:line="240" w:lineRule="auto"/>
              <w:ind w:firstLine="0" w:firstLineChars="0"/>
              <w:contextualSpacing/>
              <w:jc w:val="center"/>
              <w:rPr>
                <w:sz w:val="21"/>
                <w:szCs w:val="21"/>
              </w:rPr>
            </w:pPr>
            <w:r>
              <w:rPr>
                <w:rFonts w:hint="eastAsia"/>
                <w:sz w:val="21"/>
                <w:szCs w:val="21"/>
              </w:rPr>
              <w:t>/</w:t>
            </w:r>
          </w:p>
        </w:tc>
      </w:tr>
      <w:tr w14:paraId="2CFAB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3" w:type="pct"/>
            <w:vMerge w:val="continue"/>
            <w:tcMar>
              <w:left w:w="6" w:type="dxa"/>
              <w:right w:w="6" w:type="dxa"/>
            </w:tcMar>
            <w:vAlign w:val="center"/>
          </w:tcPr>
          <w:p w14:paraId="7A24CD11">
            <w:pPr>
              <w:spacing w:line="240" w:lineRule="auto"/>
              <w:ind w:firstLine="0" w:firstLineChars="0"/>
              <w:contextualSpacing/>
              <w:jc w:val="center"/>
              <w:rPr>
                <w:sz w:val="21"/>
                <w:szCs w:val="21"/>
              </w:rPr>
            </w:pPr>
          </w:p>
        </w:tc>
        <w:tc>
          <w:tcPr>
            <w:tcW w:w="351" w:type="pct"/>
            <w:vAlign w:val="center"/>
          </w:tcPr>
          <w:p w14:paraId="2DC9668B">
            <w:pPr>
              <w:spacing w:line="240" w:lineRule="auto"/>
              <w:ind w:firstLine="0" w:firstLineChars="0"/>
              <w:contextualSpacing/>
              <w:jc w:val="center"/>
              <w:rPr>
                <w:sz w:val="21"/>
                <w:szCs w:val="21"/>
              </w:rPr>
            </w:pPr>
            <w:r>
              <w:rPr>
                <w:rFonts w:hint="eastAsia"/>
                <w:sz w:val="21"/>
                <w:szCs w:val="21"/>
              </w:rPr>
              <w:t>其他</w:t>
            </w:r>
          </w:p>
        </w:tc>
        <w:tc>
          <w:tcPr>
            <w:tcW w:w="2297" w:type="pct"/>
            <w:tcMar>
              <w:left w:w="6" w:type="dxa"/>
              <w:right w:w="6" w:type="dxa"/>
            </w:tcMar>
            <w:vAlign w:val="center"/>
          </w:tcPr>
          <w:p w14:paraId="4467ADC6">
            <w:pPr>
              <w:spacing w:line="240" w:lineRule="auto"/>
              <w:ind w:firstLine="210" w:firstLineChars="100"/>
              <w:textAlignment w:val="auto"/>
              <w:rPr>
                <w:snapToGrid w:val="0"/>
                <w:sz w:val="21"/>
                <w:szCs w:val="24"/>
              </w:rPr>
            </w:pPr>
            <w:r>
              <w:rPr>
                <w:rFonts w:hint="eastAsia"/>
                <w:snapToGrid w:val="0"/>
                <w:sz w:val="21"/>
                <w:szCs w:val="24"/>
              </w:rPr>
              <w:t>1.各生产工序PM有组织排放限值要求：10mg/m</w:t>
            </w:r>
            <w:r>
              <w:rPr>
                <w:rFonts w:hint="eastAsia"/>
                <w:snapToGrid w:val="0"/>
                <w:sz w:val="21"/>
                <w:szCs w:val="24"/>
                <w:vertAlign w:val="superscript"/>
              </w:rPr>
              <w:t>3</w:t>
            </w:r>
            <w:r>
              <w:rPr>
                <w:rFonts w:hint="eastAsia"/>
                <w:snapToGrid w:val="0"/>
                <w:sz w:val="21"/>
                <w:szCs w:val="24"/>
              </w:rPr>
              <w:t>；</w:t>
            </w:r>
          </w:p>
          <w:p w14:paraId="226FA8A2">
            <w:pPr>
              <w:spacing w:line="240" w:lineRule="auto"/>
              <w:ind w:firstLine="210" w:firstLineChars="100"/>
              <w:textAlignment w:val="auto"/>
              <w:rPr>
                <w:snapToGrid w:val="0"/>
                <w:sz w:val="21"/>
                <w:szCs w:val="24"/>
              </w:rPr>
            </w:pPr>
            <w:r>
              <w:rPr>
                <w:rFonts w:hint="eastAsia"/>
                <w:snapToGrid w:val="0"/>
                <w:sz w:val="21"/>
                <w:szCs w:val="24"/>
              </w:rPr>
              <w:t>2.厂界PM、VOCs排放限值要求：1、2mg/m</w:t>
            </w:r>
            <w:r>
              <w:rPr>
                <w:rFonts w:hint="eastAsia"/>
                <w:snapToGrid w:val="0"/>
                <w:sz w:val="21"/>
                <w:szCs w:val="24"/>
                <w:vertAlign w:val="superscript"/>
              </w:rPr>
              <w:t>3</w:t>
            </w:r>
            <w:r>
              <w:rPr>
                <w:rFonts w:hint="eastAsia"/>
                <w:snapToGrid w:val="0"/>
                <w:sz w:val="21"/>
                <w:szCs w:val="24"/>
              </w:rPr>
              <w:t>。</w:t>
            </w:r>
          </w:p>
        </w:tc>
        <w:tc>
          <w:tcPr>
            <w:tcW w:w="1852" w:type="pct"/>
            <w:tcMar>
              <w:left w:w="6" w:type="dxa"/>
              <w:right w:w="6" w:type="dxa"/>
            </w:tcMar>
            <w:vAlign w:val="center"/>
          </w:tcPr>
          <w:p w14:paraId="24BEEA2B">
            <w:pPr>
              <w:spacing w:line="240" w:lineRule="auto"/>
              <w:ind w:firstLine="210" w:firstLineChars="100"/>
              <w:textAlignment w:val="auto"/>
              <w:rPr>
                <w:snapToGrid w:val="0"/>
                <w:sz w:val="21"/>
                <w:szCs w:val="24"/>
                <w:highlight w:val="yellow"/>
              </w:rPr>
            </w:pPr>
            <w:r>
              <w:rPr>
                <w:rFonts w:hint="eastAsia"/>
                <w:snapToGrid w:val="0"/>
                <w:sz w:val="21"/>
                <w:szCs w:val="24"/>
              </w:rPr>
              <w:t>1、本项目有组织颗粒物排放浓度为6mg/m</w:t>
            </w:r>
            <w:r>
              <w:rPr>
                <w:rFonts w:hint="eastAsia"/>
                <w:snapToGrid w:val="0"/>
                <w:sz w:val="21"/>
                <w:szCs w:val="24"/>
                <w:vertAlign w:val="superscript"/>
              </w:rPr>
              <w:t>3</w:t>
            </w:r>
            <w:r>
              <w:rPr>
                <w:rFonts w:hint="eastAsia"/>
                <w:snapToGrid w:val="0"/>
                <w:sz w:val="21"/>
                <w:szCs w:val="24"/>
              </w:rPr>
              <w:t>，满足10mg/m</w:t>
            </w:r>
            <w:r>
              <w:rPr>
                <w:rFonts w:hint="eastAsia"/>
                <w:snapToGrid w:val="0"/>
                <w:sz w:val="21"/>
                <w:szCs w:val="24"/>
                <w:vertAlign w:val="superscript"/>
              </w:rPr>
              <w:t>3</w:t>
            </w:r>
            <w:r>
              <w:rPr>
                <w:rFonts w:hint="eastAsia"/>
                <w:snapToGrid w:val="0"/>
                <w:sz w:val="21"/>
                <w:szCs w:val="24"/>
              </w:rPr>
              <w:t>的限值要求。</w:t>
            </w:r>
          </w:p>
          <w:p w14:paraId="30A502EE">
            <w:pPr>
              <w:spacing w:line="240" w:lineRule="auto"/>
              <w:ind w:firstLine="210" w:firstLineChars="100"/>
              <w:textAlignment w:val="auto"/>
              <w:rPr>
                <w:snapToGrid w:val="0"/>
                <w:sz w:val="21"/>
                <w:szCs w:val="24"/>
                <w:highlight w:val="yellow"/>
              </w:rPr>
            </w:pPr>
            <w:r>
              <w:rPr>
                <w:rFonts w:hint="eastAsia"/>
                <w:snapToGrid w:val="0"/>
                <w:sz w:val="21"/>
                <w:szCs w:val="24"/>
              </w:rPr>
              <w:t>2、厂界PM、VOCs排放限值分别小于1、2mg/m</w:t>
            </w:r>
            <w:r>
              <w:rPr>
                <w:rFonts w:hint="eastAsia"/>
                <w:snapToGrid w:val="0"/>
                <w:sz w:val="21"/>
                <w:szCs w:val="24"/>
                <w:vertAlign w:val="superscript"/>
              </w:rPr>
              <w:t>3</w:t>
            </w:r>
            <w:r>
              <w:rPr>
                <w:rFonts w:hint="eastAsia"/>
                <w:snapToGrid w:val="0"/>
                <w:sz w:val="21"/>
                <w:szCs w:val="24"/>
              </w:rPr>
              <w:t>。</w:t>
            </w:r>
          </w:p>
        </w:tc>
        <w:tc>
          <w:tcPr>
            <w:tcW w:w="277" w:type="pct"/>
            <w:tcMar>
              <w:left w:w="6" w:type="dxa"/>
              <w:right w:w="6" w:type="dxa"/>
            </w:tcMar>
            <w:vAlign w:val="center"/>
          </w:tcPr>
          <w:p w14:paraId="456E2127">
            <w:pPr>
              <w:adjustRightInd/>
              <w:snapToGrid/>
              <w:spacing w:line="240" w:lineRule="auto"/>
              <w:ind w:firstLine="0" w:firstLineChars="0"/>
              <w:contextualSpacing/>
              <w:jc w:val="center"/>
              <w:rPr>
                <w:sz w:val="21"/>
                <w:szCs w:val="21"/>
              </w:rPr>
            </w:pPr>
            <w:r>
              <w:rPr>
                <w:rFonts w:hint="eastAsia"/>
                <w:sz w:val="21"/>
                <w:szCs w:val="21"/>
              </w:rPr>
              <w:t>符合</w:t>
            </w:r>
          </w:p>
        </w:tc>
      </w:tr>
      <w:tr w14:paraId="73B56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39AEB1AF">
            <w:pPr>
              <w:spacing w:line="240" w:lineRule="auto"/>
              <w:ind w:firstLine="0" w:firstLineChars="0"/>
              <w:contextualSpacing/>
              <w:jc w:val="center"/>
              <w:rPr>
                <w:sz w:val="21"/>
                <w:szCs w:val="21"/>
              </w:rPr>
            </w:pPr>
            <w:r>
              <w:rPr>
                <w:rFonts w:hint="eastAsia"/>
                <w:sz w:val="21"/>
                <w:szCs w:val="21"/>
              </w:rPr>
              <w:t>监测监控水平</w:t>
            </w:r>
          </w:p>
        </w:tc>
        <w:tc>
          <w:tcPr>
            <w:tcW w:w="2297" w:type="pct"/>
            <w:tcMar>
              <w:left w:w="6" w:type="dxa"/>
              <w:right w:w="6" w:type="dxa"/>
            </w:tcMar>
            <w:vAlign w:val="center"/>
          </w:tcPr>
          <w:p w14:paraId="0C53C228">
            <w:pPr>
              <w:spacing w:line="240" w:lineRule="auto"/>
              <w:ind w:firstLine="210" w:firstLineChars="100"/>
              <w:textAlignment w:val="auto"/>
              <w:rPr>
                <w:snapToGrid w:val="0"/>
                <w:sz w:val="21"/>
                <w:szCs w:val="24"/>
              </w:rPr>
            </w:pPr>
            <w:r>
              <w:rPr>
                <w:rFonts w:hint="eastAsia"/>
                <w:snapToGrid w:val="0"/>
                <w:sz w:val="21"/>
                <w:szCs w:val="24"/>
              </w:rPr>
              <w:t>1.有组织排放口按生态环境部门要求安装烟气排放自动监控设施（CEMS），并按要求联网；</w:t>
            </w:r>
          </w:p>
          <w:p w14:paraId="044C3EE5">
            <w:pPr>
              <w:spacing w:line="240" w:lineRule="auto"/>
              <w:ind w:firstLine="210" w:firstLineChars="100"/>
              <w:textAlignment w:val="auto"/>
              <w:rPr>
                <w:snapToGrid w:val="0"/>
                <w:sz w:val="21"/>
                <w:szCs w:val="24"/>
              </w:rPr>
            </w:pPr>
            <w:r>
              <w:rPr>
                <w:rFonts w:hint="eastAsia"/>
                <w:snapToGrid w:val="0"/>
                <w:sz w:val="21"/>
                <w:szCs w:val="24"/>
              </w:rPr>
              <w:t>2.有组织排放口按照排污许可证要求开展自行监测；</w:t>
            </w:r>
          </w:p>
          <w:p w14:paraId="5EEED0E4">
            <w:pPr>
              <w:spacing w:line="240" w:lineRule="auto"/>
              <w:ind w:firstLine="210" w:firstLineChars="100"/>
              <w:textAlignment w:val="auto"/>
              <w:rPr>
                <w:snapToGrid w:val="0"/>
                <w:sz w:val="21"/>
                <w:szCs w:val="24"/>
              </w:rPr>
            </w:pPr>
            <w:r>
              <w:rPr>
                <w:rFonts w:hint="eastAsia"/>
                <w:snapToGrid w:val="0"/>
                <w:sz w:val="21"/>
                <w:szCs w:val="24"/>
              </w:rPr>
              <w:t>3.涉气生产工序、生产装置及污染治理设施按生态环境部门要求安装用电监管设备，用电监管设备与省、市生态环境部门用电监管平台联网；</w:t>
            </w:r>
          </w:p>
          <w:p w14:paraId="7DE349A2">
            <w:pPr>
              <w:spacing w:line="240" w:lineRule="auto"/>
              <w:ind w:firstLine="210" w:firstLineChars="100"/>
              <w:textAlignment w:val="auto"/>
              <w:rPr>
                <w:snapToGrid w:val="0"/>
                <w:sz w:val="21"/>
                <w:szCs w:val="24"/>
              </w:rPr>
            </w:pPr>
            <w:r>
              <w:rPr>
                <w:rFonts w:hint="eastAsia"/>
                <w:snapToGrid w:val="0"/>
                <w:sz w:val="21"/>
                <w:szCs w:val="24"/>
              </w:rPr>
              <w:t>4.厂内未安装在线监控的涉气生产设施主要投料口安装高清视频监控系统，视频能够保存三个月以上。</w:t>
            </w:r>
          </w:p>
        </w:tc>
        <w:tc>
          <w:tcPr>
            <w:tcW w:w="1852" w:type="pct"/>
            <w:tcMar>
              <w:left w:w="6" w:type="dxa"/>
              <w:right w:w="6" w:type="dxa"/>
            </w:tcMar>
            <w:vAlign w:val="center"/>
          </w:tcPr>
          <w:p w14:paraId="4B4324E8">
            <w:pPr>
              <w:spacing w:line="240" w:lineRule="auto"/>
              <w:ind w:firstLine="210" w:firstLineChars="100"/>
              <w:textAlignment w:val="auto"/>
              <w:rPr>
                <w:snapToGrid w:val="0"/>
                <w:sz w:val="21"/>
                <w:szCs w:val="24"/>
              </w:rPr>
            </w:pPr>
            <w:r>
              <w:rPr>
                <w:rFonts w:hint="eastAsia"/>
                <w:snapToGrid w:val="0"/>
                <w:sz w:val="21"/>
                <w:szCs w:val="24"/>
              </w:rPr>
              <w:t>1、本项目有组织排放口按生态环境部门要求安装烟气排放自动监控设施（CEMS），并按要求联网；</w:t>
            </w:r>
          </w:p>
          <w:p w14:paraId="69EBC60D">
            <w:pPr>
              <w:spacing w:line="240" w:lineRule="auto"/>
              <w:ind w:firstLine="210" w:firstLineChars="100"/>
              <w:textAlignment w:val="auto"/>
              <w:rPr>
                <w:snapToGrid w:val="0"/>
                <w:sz w:val="21"/>
                <w:szCs w:val="24"/>
              </w:rPr>
            </w:pPr>
            <w:r>
              <w:rPr>
                <w:rFonts w:hint="eastAsia"/>
                <w:snapToGrid w:val="0"/>
                <w:sz w:val="21"/>
                <w:szCs w:val="24"/>
              </w:rPr>
              <w:t>2.本项目有组织排放口按照排污许可证要求开展自行监测；</w:t>
            </w:r>
          </w:p>
          <w:p w14:paraId="1519D58A">
            <w:pPr>
              <w:spacing w:line="240" w:lineRule="auto"/>
              <w:ind w:firstLine="210" w:firstLineChars="100"/>
              <w:textAlignment w:val="auto"/>
              <w:rPr>
                <w:snapToGrid w:val="0"/>
                <w:sz w:val="21"/>
                <w:szCs w:val="24"/>
              </w:rPr>
            </w:pPr>
            <w:r>
              <w:rPr>
                <w:rFonts w:hint="eastAsia"/>
                <w:snapToGrid w:val="0"/>
                <w:sz w:val="21"/>
                <w:szCs w:val="24"/>
              </w:rPr>
              <w:t>3.本项目涉气生产工序、生产装置及污染治理设施按生态环境部门要求安装用电监管设备，用电监管设备与省、市生态环境部门用电监管平台联网；</w:t>
            </w:r>
          </w:p>
          <w:p w14:paraId="138CBB7F">
            <w:pPr>
              <w:spacing w:line="240" w:lineRule="auto"/>
              <w:ind w:firstLine="210" w:firstLineChars="100"/>
              <w:jc w:val="left"/>
              <w:textAlignment w:val="auto"/>
              <w:rPr>
                <w:snapToGrid w:val="0"/>
                <w:sz w:val="21"/>
                <w:szCs w:val="24"/>
                <w:highlight w:val="yellow"/>
              </w:rPr>
            </w:pPr>
            <w:r>
              <w:rPr>
                <w:rFonts w:hint="eastAsia"/>
                <w:snapToGrid w:val="0"/>
                <w:sz w:val="21"/>
                <w:szCs w:val="24"/>
              </w:rPr>
              <w:t>4.本项目建成后按照当地生态环境部门要求安装在线监控，若未安装，则在厂内涉气生产设施主要投料口安装高清视频监控系统，视频能够保存三个月以上。</w:t>
            </w:r>
          </w:p>
        </w:tc>
        <w:tc>
          <w:tcPr>
            <w:tcW w:w="277" w:type="pct"/>
            <w:tcMar>
              <w:left w:w="6" w:type="dxa"/>
              <w:right w:w="6" w:type="dxa"/>
            </w:tcMar>
            <w:vAlign w:val="center"/>
          </w:tcPr>
          <w:p w14:paraId="1901C37E">
            <w:pPr>
              <w:adjustRightInd/>
              <w:snapToGrid/>
              <w:spacing w:line="240" w:lineRule="auto"/>
              <w:ind w:firstLine="0" w:firstLineChars="0"/>
              <w:contextualSpacing/>
              <w:jc w:val="center"/>
              <w:rPr>
                <w:sz w:val="21"/>
                <w:szCs w:val="21"/>
              </w:rPr>
            </w:pPr>
            <w:r>
              <w:rPr>
                <w:rFonts w:hint="eastAsia"/>
                <w:sz w:val="21"/>
                <w:szCs w:val="21"/>
              </w:rPr>
              <w:t>符合</w:t>
            </w:r>
          </w:p>
        </w:tc>
      </w:tr>
      <w:tr w14:paraId="5D246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3" w:type="pct"/>
            <w:vMerge w:val="restart"/>
            <w:tcMar>
              <w:left w:w="6" w:type="dxa"/>
              <w:right w:w="6" w:type="dxa"/>
            </w:tcMar>
            <w:vAlign w:val="center"/>
          </w:tcPr>
          <w:p w14:paraId="1078AB67">
            <w:pPr>
              <w:spacing w:line="240" w:lineRule="auto"/>
              <w:ind w:firstLine="0" w:firstLineChars="0"/>
              <w:contextualSpacing/>
              <w:jc w:val="center"/>
              <w:rPr>
                <w:sz w:val="21"/>
                <w:szCs w:val="21"/>
              </w:rPr>
            </w:pPr>
            <w:r>
              <w:rPr>
                <w:rFonts w:hint="eastAsia"/>
                <w:sz w:val="21"/>
                <w:szCs w:val="21"/>
              </w:rPr>
              <w:t>环境管理水平</w:t>
            </w:r>
          </w:p>
        </w:tc>
        <w:tc>
          <w:tcPr>
            <w:tcW w:w="351" w:type="pct"/>
            <w:vAlign w:val="center"/>
          </w:tcPr>
          <w:p w14:paraId="5962C50F">
            <w:pPr>
              <w:spacing w:line="240" w:lineRule="auto"/>
              <w:ind w:firstLine="0" w:firstLineChars="0"/>
              <w:contextualSpacing/>
              <w:jc w:val="center"/>
              <w:rPr>
                <w:sz w:val="21"/>
                <w:szCs w:val="21"/>
              </w:rPr>
            </w:pPr>
            <w:r>
              <w:rPr>
                <w:rFonts w:hint="eastAsia"/>
                <w:sz w:val="21"/>
                <w:szCs w:val="21"/>
              </w:rPr>
              <w:t>环保档案</w:t>
            </w:r>
          </w:p>
        </w:tc>
        <w:tc>
          <w:tcPr>
            <w:tcW w:w="2297" w:type="pct"/>
            <w:tcMar>
              <w:left w:w="6" w:type="dxa"/>
              <w:right w:w="6" w:type="dxa"/>
            </w:tcMar>
            <w:vAlign w:val="center"/>
          </w:tcPr>
          <w:p w14:paraId="1DFFAE2C">
            <w:pPr>
              <w:spacing w:line="240" w:lineRule="auto"/>
              <w:ind w:firstLine="210" w:firstLineChars="100"/>
              <w:textAlignment w:val="auto"/>
              <w:rPr>
                <w:snapToGrid w:val="0"/>
                <w:sz w:val="21"/>
                <w:szCs w:val="24"/>
              </w:rPr>
            </w:pPr>
            <w:r>
              <w:rPr>
                <w:rFonts w:hint="eastAsia"/>
                <w:snapToGrid w:val="0"/>
                <w:sz w:val="21"/>
                <w:szCs w:val="24"/>
              </w:rPr>
              <w:t>1.环评批复文件和竣工环保验收文件或环境现状评估备案证明；</w:t>
            </w:r>
          </w:p>
          <w:p w14:paraId="74C98D39">
            <w:pPr>
              <w:spacing w:line="240" w:lineRule="auto"/>
              <w:ind w:firstLine="210" w:firstLineChars="100"/>
              <w:textAlignment w:val="auto"/>
              <w:rPr>
                <w:snapToGrid w:val="0"/>
                <w:sz w:val="21"/>
                <w:szCs w:val="24"/>
              </w:rPr>
            </w:pPr>
            <w:r>
              <w:rPr>
                <w:rFonts w:hint="eastAsia"/>
                <w:snapToGrid w:val="0"/>
                <w:sz w:val="21"/>
                <w:szCs w:val="24"/>
              </w:rPr>
              <w:t>2.国家版排污许可证；</w:t>
            </w:r>
          </w:p>
          <w:p w14:paraId="733BA93B">
            <w:pPr>
              <w:spacing w:line="240" w:lineRule="auto"/>
              <w:ind w:firstLine="210" w:firstLineChars="100"/>
              <w:textAlignment w:val="auto"/>
              <w:rPr>
                <w:snapToGrid w:val="0"/>
                <w:sz w:val="21"/>
                <w:szCs w:val="24"/>
              </w:rPr>
            </w:pPr>
            <w:r>
              <w:rPr>
                <w:rFonts w:hint="eastAsia"/>
                <w:snapToGrid w:val="0"/>
                <w:sz w:val="21"/>
                <w:szCs w:val="24"/>
              </w:rPr>
              <w:t>3.环境管理制度（有组织、无组织排放长效管理机制，主要包括岗位责任制度、达标公示制度和定期巡查维护制度等）；</w:t>
            </w:r>
          </w:p>
          <w:p w14:paraId="52D8416E">
            <w:pPr>
              <w:spacing w:line="240" w:lineRule="auto"/>
              <w:ind w:firstLine="210" w:firstLineChars="100"/>
              <w:textAlignment w:val="auto"/>
              <w:rPr>
                <w:snapToGrid w:val="0"/>
                <w:sz w:val="21"/>
                <w:szCs w:val="24"/>
              </w:rPr>
            </w:pPr>
            <w:r>
              <w:rPr>
                <w:rFonts w:hint="eastAsia"/>
                <w:snapToGrid w:val="0"/>
                <w:sz w:val="21"/>
                <w:szCs w:val="24"/>
              </w:rPr>
              <w:t>4.废气治理设施运行管理规程；</w:t>
            </w:r>
          </w:p>
          <w:p w14:paraId="3D2EB920">
            <w:pPr>
              <w:spacing w:line="240" w:lineRule="auto"/>
              <w:ind w:firstLine="210" w:firstLineChars="100"/>
              <w:textAlignment w:val="auto"/>
              <w:rPr>
                <w:snapToGrid w:val="0"/>
                <w:sz w:val="21"/>
                <w:szCs w:val="24"/>
              </w:rPr>
            </w:pPr>
            <w:r>
              <w:rPr>
                <w:rFonts w:hint="eastAsia"/>
                <w:snapToGrid w:val="0"/>
                <w:sz w:val="21"/>
                <w:szCs w:val="24"/>
              </w:rPr>
              <w:t>5.一年内废气监测报告（符合排污许可证监测项目及频次要求）。</w:t>
            </w:r>
          </w:p>
        </w:tc>
        <w:tc>
          <w:tcPr>
            <w:tcW w:w="1852" w:type="pct"/>
            <w:tcMar>
              <w:left w:w="6" w:type="dxa"/>
              <w:right w:w="6" w:type="dxa"/>
            </w:tcMar>
            <w:vAlign w:val="center"/>
          </w:tcPr>
          <w:p w14:paraId="14FE8741">
            <w:pPr>
              <w:spacing w:line="240" w:lineRule="auto"/>
              <w:ind w:firstLine="210" w:firstLineChars="100"/>
              <w:textAlignment w:val="auto"/>
              <w:rPr>
                <w:snapToGrid w:val="0"/>
                <w:sz w:val="21"/>
                <w:szCs w:val="24"/>
              </w:rPr>
            </w:pPr>
            <w:r>
              <w:rPr>
                <w:snapToGrid w:val="0"/>
                <w:sz w:val="21"/>
                <w:szCs w:val="24"/>
              </w:rPr>
              <w:t>本项目建成后将按要求保证环保档案资料齐全，包括：</w:t>
            </w:r>
          </w:p>
          <w:p w14:paraId="1569998C">
            <w:pPr>
              <w:spacing w:line="240" w:lineRule="auto"/>
              <w:ind w:firstLine="210" w:firstLineChars="100"/>
              <w:textAlignment w:val="auto"/>
              <w:rPr>
                <w:snapToGrid w:val="0"/>
                <w:sz w:val="21"/>
                <w:szCs w:val="24"/>
              </w:rPr>
            </w:pPr>
            <w:r>
              <w:rPr>
                <w:snapToGrid w:val="0"/>
                <w:sz w:val="21"/>
                <w:szCs w:val="24"/>
              </w:rPr>
              <w:t>1.环评批复文件和竣工环保验收文件；</w:t>
            </w:r>
          </w:p>
          <w:p w14:paraId="0F343DF2">
            <w:pPr>
              <w:spacing w:line="240" w:lineRule="auto"/>
              <w:ind w:firstLine="210" w:firstLineChars="100"/>
              <w:textAlignment w:val="auto"/>
              <w:rPr>
                <w:snapToGrid w:val="0"/>
                <w:sz w:val="21"/>
                <w:szCs w:val="24"/>
              </w:rPr>
            </w:pPr>
            <w:r>
              <w:rPr>
                <w:snapToGrid w:val="0"/>
                <w:sz w:val="21"/>
                <w:szCs w:val="24"/>
              </w:rPr>
              <w:t>2.国家版排污许可证；</w:t>
            </w:r>
          </w:p>
          <w:p w14:paraId="62391539">
            <w:pPr>
              <w:spacing w:line="240" w:lineRule="auto"/>
              <w:ind w:firstLine="210" w:firstLineChars="100"/>
              <w:textAlignment w:val="auto"/>
              <w:rPr>
                <w:snapToGrid w:val="0"/>
                <w:sz w:val="21"/>
                <w:szCs w:val="24"/>
              </w:rPr>
            </w:pPr>
            <w:r>
              <w:rPr>
                <w:snapToGrid w:val="0"/>
                <w:sz w:val="21"/>
                <w:szCs w:val="24"/>
              </w:rPr>
              <w:t>3.环境管理制度（有组织、无组织排放长效管理机制，主要包括岗位责任制度、达标公示制度和定期巡查维护制度等）；</w:t>
            </w:r>
          </w:p>
          <w:p w14:paraId="42F02145">
            <w:pPr>
              <w:spacing w:line="240" w:lineRule="auto"/>
              <w:ind w:firstLine="210" w:firstLineChars="100"/>
              <w:textAlignment w:val="auto"/>
              <w:rPr>
                <w:snapToGrid w:val="0"/>
                <w:sz w:val="21"/>
                <w:szCs w:val="24"/>
              </w:rPr>
            </w:pPr>
            <w:r>
              <w:rPr>
                <w:snapToGrid w:val="0"/>
                <w:sz w:val="21"/>
                <w:szCs w:val="24"/>
              </w:rPr>
              <w:t>4.废气治理设施运行管理规程；</w:t>
            </w:r>
          </w:p>
          <w:p w14:paraId="4480D0F3">
            <w:pPr>
              <w:spacing w:line="240" w:lineRule="auto"/>
              <w:ind w:firstLine="210" w:firstLineChars="100"/>
              <w:textAlignment w:val="auto"/>
              <w:rPr>
                <w:snapToGrid w:val="0"/>
                <w:sz w:val="21"/>
                <w:szCs w:val="24"/>
              </w:rPr>
            </w:pPr>
            <w:r>
              <w:rPr>
                <w:snapToGrid w:val="0"/>
                <w:sz w:val="21"/>
                <w:szCs w:val="24"/>
              </w:rPr>
              <w:t>5.一年内废气监测报告（符合排污许可证监测项目及频次要求）。</w:t>
            </w:r>
          </w:p>
        </w:tc>
        <w:tc>
          <w:tcPr>
            <w:tcW w:w="277" w:type="pct"/>
            <w:tcMar>
              <w:left w:w="6" w:type="dxa"/>
              <w:right w:w="6" w:type="dxa"/>
            </w:tcMar>
            <w:vAlign w:val="center"/>
          </w:tcPr>
          <w:p w14:paraId="1CDCC954">
            <w:pPr>
              <w:adjustRightInd/>
              <w:snapToGrid/>
              <w:spacing w:line="240" w:lineRule="auto"/>
              <w:ind w:firstLine="0" w:firstLineChars="0"/>
              <w:contextualSpacing/>
              <w:jc w:val="center"/>
              <w:rPr>
                <w:sz w:val="21"/>
                <w:szCs w:val="21"/>
                <w:highlight w:val="yellow"/>
              </w:rPr>
            </w:pPr>
            <w:r>
              <w:rPr>
                <w:rFonts w:hint="eastAsia"/>
                <w:sz w:val="21"/>
                <w:szCs w:val="21"/>
              </w:rPr>
              <w:t>符合</w:t>
            </w:r>
          </w:p>
        </w:tc>
      </w:tr>
      <w:tr w14:paraId="75EAD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3" w:type="pct"/>
            <w:vMerge w:val="continue"/>
            <w:tcMar>
              <w:left w:w="6" w:type="dxa"/>
              <w:right w:w="6" w:type="dxa"/>
            </w:tcMar>
            <w:vAlign w:val="center"/>
          </w:tcPr>
          <w:p w14:paraId="21F82544">
            <w:pPr>
              <w:spacing w:line="240" w:lineRule="auto"/>
              <w:ind w:firstLine="0" w:firstLineChars="0"/>
              <w:contextualSpacing/>
              <w:jc w:val="center"/>
              <w:rPr>
                <w:sz w:val="21"/>
                <w:szCs w:val="21"/>
              </w:rPr>
            </w:pPr>
          </w:p>
        </w:tc>
        <w:tc>
          <w:tcPr>
            <w:tcW w:w="351" w:type="pct"/>
            <w:vAlign w:val="center"/>
          </w:tcPr>
          <w:p w14:paraId="2189D430">
            <w:pPr>
              <w:spacing w:line="240" w:lineRule="auto"/>
              <w:ind w:firstLine="0" w:firstLineChars="0"/>
              <w:contextualSpacing/>
              <w:jc w:val="center"/>
              <w:rPr>
                <w:sz w:val="21"/>
                <w:szCs w:val="21"/>
              </w:rPr>
            </w:pPr>
            <w:r>
              <w:rPr>
                <w:rFonts w:hint="eastAsia"/>
                <w:sz w:val="21"/>
                <w:szCs w:val="21"/>
              </w:rPr>
              <w:t>台账记录</w:t>
            </w:r>
          </w:p>
        </w:tc>
        <w:tc>
          <w:tcPr>
            <w:tcW w:w="2297" w:type="pct"/>
            <w:tcMar>
              <w:left w:w="6" w:type="dxa"/>
              <w:right w:w="6" w:type="dxa"/>
            </w:tcMar>
            <w:vAlign w:val="center"/>
          </w:tcPr>
          <w:p w14:paraId="2D344C83">
            <w:pPr>
              <w:spacing w:line="240" w:lineRule="auto"/>
              <w:ind w:firstLine="210" w:firstLineChars="100"/>
              <w:textAlignment w:val="auto"/>
              <w:rPr>
                <w:snapToGrid w:val="0"/>
                <w:sz w:val="21"/>
                <w:szCs w:val="24"/>
              </w:rPr>
            </w:pPr>
            <w:r>
              <w:rPr>
                <w:rFonts w:hint="eastAsia"/>
                <w:snapToGrid w:val="0"/>
                <w:sz w:val="21"/>
                <w:szCs w:val="24"/>
              </w:rPr>
              <w:t>1.生产设施运行管理信息（生产时间、运行负荷、产品产量等）；</w:t>
            </w:r>
          </w:p>
          <w:p w14:paraId="4A680393">
            <w:pPr>
              <w:spacing w:line="240" w:lineRule="auto"/>
              <w:ind w:firstLine="210" w:firstLineChars="100"/>
              <w:textAlignment w:val="auto"/>
              <w:rPr>
                <w:snapToGrid w:val="0"/>
                <w:sz w:val="21"/>
                <w:szCs w:val="24"/>
              </w:rPr>
            </w:pPr>
            <w:r>
              <w:rPr>
                <w:rFonts w:hint="eastAsia"/>
                <w:snapToGrid w:val="0"/>
                <w:sz w:val="21"/>
                <w:szCs w:val="24"/>
              </w:rPr>
              <w:t>2.废气污染治理设施运行管理信息；</w:t>
            </w:r>
          </w:p>
          <w:p w14:paraId="135DEAE8">
            <w:pPr>
              <w:spacing w:line="240" w:lineRule="auto"/>
              <w:ind w:firstLine="210" w:firstLineChars="100"/>
              <w:textAlignment w:val="auto"/>
              <w:rPr>
                <w:snapToGrid w:val="0"/>
                <w:sz w:val="21"/>
                <w:szCs w:val="24"/>
              </w:rPr>
            </w:pPr>
            <w:r>
              <w:rPr>
                <w:rFonts w:hint="eastAsia"/>
                <w:snapToGrid w:val="0"/>
                <w:sz w:val="21"/>
                <w:szCs w:val="24"/>
              </w:rPr>
              <w:t>3.监测记录信息（主要污染排放口废气排放记录等）；</w:t>
            </w:r>
          </w:p>
          <w:p w14:paraId="15098B38">
            <w:pPr>
              <w:spacing w:line="240" w:lineRule="auto"/>
              <w:ind w:firstLine="210" w:firstLineChars="100"/>
              <w:textAlignment w:val="auto"/>
              <w:rPr>
                <w:snapToGrid w:val="0"/>
                <w:sz w:val="21"/>
                <w:szCs w:val="24"/>
              </w:rPr>
            </w:pPr>
            <w:r>
              <w:rPr>
                <w:rFonts w:hint="eastAsia"/>
                <w:snapToGrid w:val="0"/>
                <w:sz w:val="21"/>
                <w:szCs w:val="24"/>
              </w:rPr>
              <w:t>4.主要原辅材料消耗记录；</w:t>
            </w:r>
          </w:p>
          <w:p w14:paraId="19D72BA3">
            <w:pPr>
              <w:spacing w:line="240" w:lineRule="auto"/>
              <w:ind w:firstLine="210" w:firstLineChars="100"/>
              <w:textAlignment w:val="auto"/>
              <w:rPr>
                <w:snapToGrid w:val="0"/>
                <w:sz w:val="21"/>
                <w:szCs w:val="24"/>
              </w:rPr>
            </w:pPr>
            <w:r>
              <w:rPr>
                <w:rFonts w:hint="eastAsia"/>
                <w:snapToGrid w:val="0"/>
                <w:sz w:val="21"/>
                <w:szCs w:val="24"/>
              </w:rPr>
              <w:t>5.燃料消耗记录；</w:t>
            </w:r>
          </w:p>
          <w:p w14:paraId="43ED815C">
            <w:pPr>
              <w:spacing w:line="240" w:lineRule="auto"/>
              <w:ind w:firstLine="210" w:firstLineChars="100"/>
              <w:textAlignment w:val="auto"/>
              <w:rPr>
                <w:snapToGrid w:val="0"/>
                <w:sz w:val="21"/>
                <w:szCs w:val="24"/>
              </w:rPr>
            </w:pPr>
            <w:r>
              <w:rPr>
                <w:rFonts w:hint="eastAsia"/>
                <w:snapToGrid w:val="0"/>
                <w:sz w:val="21"/>
                <w:szCs w:val="24"/>
              </w:rPr>
              <w:t>6.固废、危废处理记录；</w:t>
            </w:r>
          </w:p>
          <w:p w14:paraId="09888117">
            <w:pPr>
              <w:spacing w:line="240" w:lineRule="auto"/>
              <w:ind w:firstLine="210" w:firstLineChars="100"/>
              <w:textAlignment w:val="auto"/>
              <w:rPr>
                <w:snapToGrid w:val="0"/>
                <w:sz w:val="21"/>
                <w:szCs w:val="24"/>
              </w:rPr>
            </w:pPr>
            <w:r>
              <w:rPr>
                <w:rFonts w:hint="eastAsia"/>
                <w:snapToGrid w:val="0"/>
                <w:sz w:val="21"/>
                <w:szCs w:val="24"/>
              </w:rPr>
              <w:t>7.如有废气应急旁路，有旁路启运历史记录、阀门维护和检修记录、向地方生态环境主管部分报告记录。</w:t>
            </w:r>
          </w:p>
          <w:p w14:paraId="3F9E0383">
            <w:pPr>
              <w:spacing w:line="240" w:lineRule="auto"/>
              <w:ind w:firstLine="210" w:firstLineChars="100"/>
              <w:textAlignment w:val="auto"/>
            </w:pPr>
            <w:r>
              <w:rPr>
                <w:rFonts w:hint="eastAsia"/>
                <w:snapToGrid w:val="0"/>
                <w:sz w:val="21"/>
                <w:szCs w:val="24"/>
              </w:rPr>
              <w:t>8.运输车辆、厂内车辆、非道路移动机械电子台账（进出场时间、车辆或非道路移动机械信息、运送货物名称及运量等）。</w:t>
            </w:r>
          </w:p>
        </w:tc>
        <w:tc>
          <w:tcPr>
            <w:tcW w:w="1852" w:type="pct"/>
            <w:tcMar>
              <w:left w:w="6" w:type="dxa"/>
              <w:right w:w="6" w:type="dxa"/>
            </w:tcMar>
            <w:vAlign w:val="center"/>
          </w:tcPr>
          <w:p w14:paraId="6EEA2038">
            <w:pPr>
              <w:spacing w:line="240" w:lineRule="auto"/>
              <w:ind w:firstLine="210" w:firstLineChars="100"/>
              <w:textAlignment w:val="auto"/>
              <w:rPr>
                <w:snapToGrid w:val="0"/>
                <w:sz w:val="21"/>
                <w:szCs w:val="24"/>
              </w:rPr>
            </w:pPr>
            <w:r>
              <w:rPr>
                <w:snapToGrid w:val="0"/>
                <w:sz w:val="21"/>
                <w:szCs w:val="24"/>
              </w:rPr>
              <w:t>本项目建成后将按要求保证台账记录信息完整：</w:t>
            </w:r>
          </w:p>
          <w:p w14:paraId="3921CD17">
            <w:pPr>
              <w:spacing w:line="240" w:lineRule="auto"/>
              <w:ind w:firstLine="210" w:firstLineChars="100"/>
              <w:textAlignment w:val="auto"/>
              <w:rPr>
                <w:snapToGrid w:val="0"/>
                <w:sz w:val="21"/>
                <w:szCs w:val="24"/>
              </w:rPr>
            </w:pPr>
            <w:r>
              <w:rPr>
                <w:snapToGrid w:val="0"/>
                <w:sz w:val="21"/>
                <w:szCs w:val="24"/>
              </w:rPr>
              <w:t>1.生产设施运行管理信息（生产时间、运行负荷、产品产量等）；</w:t>
            </w:r>
          </w:p>
          <w:p w14:paraId="60C5B4B5">
            <w:pPr>
              <w:spacing w:line="240" w:lineRule="auto"/>
              <w:ind w:firstLine="210" w:firstLineChars="100"/>
              <w:textAlignment w:val="auto"/>
              <w:rPr>
                <w:snapToGrid w:val="0"/>
                <w:sz w:val="21"/>
                <w:szCs w:val="24"/>
              </w:rPr>
            </w:pPr>
            <w:r>
              <w:rPr>
                <w:snapToGrid w:val="0"/>
                <w:sz w:val="21"/>
                <w:szCs w:val="24"/>
              </w:rPr>
              <w:t>2.废气污染治理设施运行管理信息；</w:t>
            </w:r>
          </w:p>
          <w:p w14:paraId="1BB27D4A">
            <w:pPr>
              <w:spacing w:line="240" w:lineRule="auto"/>
              <w:ind w:firstLine="210" w:firstLineChars="100"/>
              <w:textAlignment w:val="auto"/>
              <w:rPr>
                <w:snapToGrid w:val="0"/>
                <w:sz w:val="21"/>
                <w:szCs w:val="24"/>
              </w:rPr>
            </w:pPr>
            <w:r>
              <w:rPr>
                <w:snapToGrid w:val="0"/>
                <w:sz w:val="21"/>
                <w:szCs w:val="24"/>
              </w:rPr>
              <w:t>3.监测记录信息（主要污染排放口废气排放记录等）；</w:t>
            </w:r>
          </w:p>
          <w:p w14:paraId="297D4B30">
            <w:pPr>
              <w:spacing w:line="240" w:lineRule="auto"/>
              <w:ind w:firstLine="210" w:firstLineChars="100"/>
              <w:textAlignment w:val="auto"/>
              <w:rPr>
                <w:snapToGrid w:val="0"/>
                <w:sz w:val="21"/>
                <w:szCs w:val="24"/>
              </w:rPr>
            </w:pPr>
            <w:r>
              <w:rPr>
                <w:snapToGrid w:val="0"/>
                <w:sz w:val="21"/>
                <w:szCs w:val="24"/>
              </w:rPr>
              <w:t>4.主要原辅材料消耗记录；</w:t>
            </w:r>
          </w:p>
          <w:p w14:paraId="46BA38F8">
            <w:pPr>
              <w:spacing w:line="240" w:lineRule="auto"/>
              <w:ind w:firstLine="210" w:firstLineChars="100"/>
              <w:textAlignment w:val="auto"/>
              <w:rPr>
                <w:snapToGrid w:val="0"/>
                <w:sz w:val="21"/>
                <w:szCs w:val="24"/>
              </w:rPr>
            </w:pPr>
            <w:r>
              <w:rPr>
                <w:snapToGrid w:val="0"/>
                <w:sz w:val="21"/>
                <w:szCs w:val="24"/>
              </w:rPr>
              <w:t>5.燃料消耗记录；</w:t>
            </w:r>
          </w:p>
          <w:p w14:paraId="71285556">
            <w:pPr>
              <w:spacing w:line="240" w:lineRule="auto"/>
              <w:ind w:firstLine="210" w:firstLineChars="100"/>
              <w:textAlignment w:val="auto"/>
              <w:rPr>
                <w:snapToGrid w:val="0"/>
                <w:sz w:val="21"/>
                <w:szCs w:val="24"/>
              </w:rPr>
            </w:pPr>
            <w:r>
              <w:rPr>
                <w:snapToGrid w:val="0"/>
                <w:sz w:val="21"/>
                <w:szCs w:val="24"/>
              </w:rPr>
              <w:t>6.固废、危废处理记录；</w:t>
            </w:r>
          </w:p>
          <w:p w14:paraId="335EBCE1">
            <w:pPr>
              <w:spacing w:line="240" w:lineRule="auto"/>
              <w:ind w:firstLine="210" w:firstLineChars="100"/>
              <w:textAlignment w:val="auto"/>
              <w:rPr>
                <w:snapToGrid w:val="0"/>
                <w:sz w:val="21"/>
                <w:szCs w:val="24"/>
              </w:rPr>
            </w:pPr>
            <w:r>
              <w:rPr>
                <w:snapToGrid w:val="0"/>
                <w:sz w:val="21"/>
                <w:szCs w:val="24"/>
              </w:rPr>
              <w:t>7.</w:t>
            </w:r>
            <w:r>
              <w:rPr>
                <w:rFonts w:hint="eastAsia"/>
                <w:snapToGrid w:val="0"/>
                <w:sz w:val="21"/>
                <w:szCs w:val="24"/>
              </w:rPr>
              <w:t>本项目不设置废气应急旁路，</w:t>
            </w:r>
            <w:r>
              <w:rPr>
                <w:snapToGrid w:val="0"/>
                <w:sz w:val="21"/>
                <w:szCs w:val="24"/>
              </w:rPr>
              <w:t>如</w:t>
            </w:r>
            <w:r>
              <w:rPr>
                <w:rFonts w:hint="eastAsia"/>
                <w:snapToGrid w:val="0"/>
                <w:sz w:val="21"/>
                <w:szCs w:val="24"/>
              </w:rPr>
              <w:t>建成后</w:t>
            </w:r>
            <w:r>
              <w:rPr>
                <w:snapToGrid w:val="0"/>
                <w:sz w:val="21"/>
                <w:szCs w:val="24"/>
              </w:rPr>
              <w:t>有废气应急旁路，有旁路启运历史记录、阀门维护和检修记录、向地方生态环境主管部分报告记录。</w:t>
            </w:r>
          </w:p>
          <w:p w14:paraId="2BF99CC5">
            <w:pPr>
              <w:spacing w:line="240" w:lineRule="auto"/>
              <w:ind w:firstLine="210" w:firstLineChars="100"/>
              <w:textAlignment w:val="auto"/>
              <w:rPr>
                <w:snapToGrid w:val="0"/>
                <w:sz w:val="21"/>
                <w:szCs w:val="24"/>
                <w:highlight w:val="yellow"/>
              </w:rPr>
            </w:pPr>
            <w:r>
              <w:rPr>
                <w:snapToGrid w:val="0"/>
                <w:sz w:val="21"/>
                <w:szCs w:val="24"/>
              </w:rPr>
              <w:t>8.运输车辆、厂内车辆、非道路移动机械电子台账（进出场时间、车辆或非道路移动机械信息、运送货物名称及运量等）。</w:t>
            </w:r>
          </w:p>
        </w:tc>
        <w:tc>
          <w:tcPr>
            <w:tcW w:w="277" w:type="pct"/>
            <w:tcMar>
              <w:left w:w="6" w:type="dxa"/>
              <w:right w:w="6" w:type="dxa"/>
            </w:tcMar>
            <w:vAlign w:val="center"/>
          </w:tcPr>
          <w:p w14:paraId="220005CA">
            <w:pPr>
              <w:adjustRightInd/>
              <w:snapToGrid/>
              <w:spacing w:line="240" w:lineRule="auto"/>
              <w:ind w:firstLine="0" w:firstLineChars="0"/>
              <w:contextualSpacing/>
              <w:jc w:val="center"/>
              <w:rPr>
                <w:sz w:val="21"/>
                <w:szCs w:val="21"/>
                <w:highlight w:val="yellow"/>
              </w:rPr>
            </w:pPr>
            <w:r>
              <w:rPr>
                <w:rFonts w:hint="eastAsia"/>
                <w:sz w:val="21"/>
                <w:szCs w:val="21"/>
              </w:rPr>
              <w:t>符合</w:t>
            </w:r>
          </w:p>
        </w:tc>
      </w:tr>
      <w:tr w14:paraId="277CC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23" w:type="pct"/>
            <w:vMerge w:val="continue"/>
            <w:tcMar>
              <w:left w:w="6" w:type="dxa"/>
              <w:right w:w="6" w:type="dxa"/>
            </w:tcMar>
            <w:vAlign w:val="center"/>
          </w:tcPr>
          <w:p w14:paraId="6A040786">
            <w:pPr>
              <w:spacing w:line="240" w:lineRule="auto"/>
              <w:ind w:firstLine="0" w:firstLineChars="0"/>
              <w:contextualSpacing/>
              <w:jc w:val="center"/>
              <w:rPr>
                <w:sz w:val="21"/>
                <w:szCs w:val="21"/>
              </w:rPr>
            </w:pPr>
          </w:p>
        </w:tc>
        <w:tc>
          <w:tcPr>
            <w:tcW w:w="351" w:type="pct"/>
            <w:vAlign w:val="center"/>
          </w:tcPr>
          <w:p w14:paraId="49A608EF">
            <w:pPr>
              <w:spacing w:line="240" w:lineRule="auto"/>
              <w:ind w:firstLine="0" w:firstLineChars="0"/>
              <w:contextualSpacing/>
              <w:jc w:val="center"/>
              <w:rPr>
                <w:sz w:val="21"/>
                <w:szCs w:val="21"/>
              </w:rPr>
            </w:pPr>
            <w:r>
              <w:rPr>
                <w:rFonts w:hint="eastAsia"/>
                <w:sz w:val="21"/>
                <w:szCs w:val="21"/>
              </w:rPr>
              <w:t>人员配置</w:t>
            </w:r>
          </w:p>
        </w:tc>
        <w:tc>
          <w:tcPr>
            <w:tcW w:w="2297" w:type="pct"/>
            <w:tcMar>
              <w:left w:w="6" w:type="dxa"/>
              <w:right w:w="6" w:type="dxa"/>
            </w:tcMar>
            <w:vAlign w:val="center"/>
          </w:tcPr>
          <w:p w14:paraId="01B190F2">
            <w:pPr>
              <w:spacing w:line="240" w:lineRule="auto"/>
              <w:ind w:firstLine="210" w:firstLineChars="100"/>
              <w:textAlignment w:val="auto"/>
              <w:rPr>
                <w:snapToGrid w:val="0"/>
                <w:sz w:val="21"/>
                <w:szCs w:val="24"/>
              </w:rPr>
            </w:pPr>
            <w:r>
              <w:rPr>
                <w:rFonts w:hint="eastAsia"/>
                <w:snapToGrid w:val="0"/>
                <w:sz w:val="21"/>
                <w:szCs w:val="24"/>
              </w:rPr>
              <w:t>设置环保部门，配备专职环保人员，并具备相应的环境管理能力（学历、培训、从业经验等）。</w:t>
            </w:r>
          </w:p>
        </w:tc>
        <w:tc>
          <w:tcPr>
            <w:tcW w:w="1852" w:type="pct"/>
            <w:tcMar>
              <w:left w:w="6" w:type="dxa"/>
              <w:right w:w="6" w:type="dxa"/>
            </w:tcMar>
            <w:vAlign w:val="center"/>
          </w:tcPr>
          <w:p w14:paraId="14123868">
            <w:pPr>
              <w:spacing w:line="240" w:lineRule="auto"/>
              <w:ind w:firstLine="210" w:firstLineChars="100"/>
              <w:jc w:val="left"/>
              <w:textAlignment w:val="auto"/>
              <w:rPr>
                <w:snapToGrid w:val="0"/>
                <w:sz w:val="21"/>
                <w:szCs w:val="24"/>
                <w:highlight w:val="yellow"/>
              </w:rPr>
            </w:pPr>
            <w:r>
              <w:rPr>
                <w:snapToGrid w:val="0"/>
                <w:sz w:val="21"/>
                <w:szCs w:val="24"/>
              </w:rPr>
              <w:t>人员配置合理</w:t>
            </w:r>
            <w:r>
              <w:rPr>
                <w:rFonts w:hint="eastAsia"/>
                <w:snapToGrid w:val="0"/>
                <w:sz w:val="21"/>
                <w:szCs w:val="24"/>
              </w:rPr>
              <w:t>：</w:t>
            </w:r>
            <w:r>
              <w:rPr>
                <w:snapToGrid w:val="0"/>
                <w:sz w:val="21"/>
                <w:szCs w:val="24"/>
              </w:rPr>
              <w:t>配备专/兼职环保人员，并具备相应的环境管理能力。</w:t>
            </w:r>
          </w:p>
        </w:tc>
        <w:tc>
          <w:tcPr>
            <w:tcW w:w="277" w:type="pct"/>
            <w:tcMar>
              <w:left w:w="6" w:type="dxa"/>
              <w:right w:w="6" w:type="dxa"/>
            </w:tcMar>
            <w:vAlign w:val="center"/>
          </w:tcPr>
          <w:p w14:paraId="1A0AB2DF">
            <w:pPr>
              <w:adjustRightInd/>
              <w:snapToGrid/>
              <w:spacing w:line="240" w:lineRule="auto"/>
              <w:ind w:firstLine="0" w:firstLineChars="0"/>
              <w:contextualSpacing/>
              <w:jc w:val="center"/>
              <w:rPr>
                <w:sz w:val="21"/>
                <w:szCs w:val="21"/>
              </w:rPr>
            </w:pPr>
            <w:r>
              <w:rPr>
                <w:rFonts w:hint="eastAsia"/>
                <w:sz w:val="21"/>
                <w:szCs w:val="21"/>
              </w:rPr>
              <w:t>符合</w:t>
            </w:r>
          </w:p>
        </w:tc>
      </w:tr>
      <w:tr w14:paraId="1D3E9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1D3E9B91">
            <w:pPr>
              <w:adjustRightInd/>
              <w:snapToGrid/>
              <w:spacing w:line="240" w:lineRule="auto"/>
              <w:ind w:firstLine="0" w:firstLineChars="0"/>
              <w:contextualSpacing/>
              <w:jc w:val="center"/>
              <w:rPr>
                <w:sz w:val="21"/>
                <w:szCs w:val="21"/>
                <w:highlight w:val="yellow"/>
              </w:rPr>
            </w:pPr>
            <w:r>
              <w:rPr>
                <w:rFonts w:hint="eastAsia"/>
                <w:sz w:val="21"/>
                <w:szCs w:val="21"/>
              </w:rPr>
              <w:t>运输方式</w:t>
            </w:r>
          </w:p>
        </w:tc>
        <w:tc>
          <w:tcPr>
            <w:tcW w:w="2297" w:type="pct"/>
            <w:tcMar>
              <w:left w:w="6" w:type="dxa"/>
              <w:right w:w="6" w:type="dxa"/>
            </w:tcMar>
            <w:vAlign w:val="center"/>
          </w:tcPr>
          <w:p w14:paraId="4805DF51">
            <w:pPr>
              <w:spacing w:line="240" w:lineRule="auto"/>
              <w:ind w:firstLine="210" w:firstLineChars="100"/>
              <w:jc w:val="left"/>
              <w:textAlignment w:val="auto"/>
              <w:rPr>
                <w:snapToGrid w:val="0"/>
                <w:sz w:val="21"/>
                <w:szCs w:val="24"/>
              </w:rPr>
            </w:pPr>
            <w:r>
              <w:rPr>
                <w:rFonts w:hint="eastAsia"/>
                <w:snapToGrid w:val="0"/>
                <w:sz w:val="21"/>
                <w:szCs w:val="24"/>
              </w:rPr>
              <w:t>1.物料、产品公路运输全部使用国五及以上排放标准的重型载货车辆（重型燃气车辆达到国六排放标准）或新能源车辆；</w:t>
            </w:r>
          </w:p>
          <w:p w14:paraId="6AE40ECA">
            <w:pPr>
              <w:spacing w:line="240" w:lineRule="auto"/>
              <w:ind w:firstLine="210" w:firstLineChars="100"/>
              <w:jc w:val="left"/>
              <w:textAlignment w:val="auto"/>
              <w:rPr>
                <w:snapToGrid w:val="0"/>
                <w:sz w:val="21"/>
                <w:szCs w:val="24"/>
              </w:rPr>
            </w:pPr>
            <w:r>
              <w:rPr>
                <w:rFonts w:hint="eastAsia"/>
                <w:snapToGrid w:val="0"/>
                <w:sz w:val="21"/>
                <w:szCs w:val="24"/>
              </w:rPr>
              <w:t>2.厂区车辆全部达国五及以上排放标准（重型燃气车辆达到国六排放标准）使用新能源车辆；</w:t>
            </w:r>
          </w:p>
          <w:p w14:paraId="1D3E9B99">
            <w:pPr>
              <w:spacing w:line="240" w:lineRule="auto"/>
              <w:ind w:firstLine="210" w:firstLineChars="100"/>
              <w:jc w:val="left"/>
              <w:textAlignment w:val="auto"/>
              <w:rPr>
                <w:snapToGrid w:val="0"/>
                <w:sz w:val="21"/>
                <w:szCs w:val="24"/>
                <w:highlight w:val="yellow"/>
              </w:rPr>
            </w:pPr>
            <w:r>
              <w:rPr>
                <w:rFonts w:hint="eastAsia"/>
                <w:snapToGrid w:val="0"/>
                <w:sz w:val="21"/>
                <w:szCs w:val="24"/>
              </w:rPr>
              <w:t>3.厂内非道路移动机械达到国三及以上排放标准或使用新能源机械。</w:t>
            </w:r>
          </w:p>
        </w:tc>
        <w:tc>
          <w:tcPr>
            <w:tcW w:w="1852" w:type="pct"/>
            <w:tcMar>
              <w:left w:w="6" w:type="dxa"/>
              <w:right w:w="6" w:type="dxa"/>
            </w:tcMar>
            <w:vAlign w:val="center"/>
          </w:tcPr>
          <w:p w14:paraId="7751F9EE">
            <w:pPr>
              <w:spacing w:line="240" w:lineRule="auto"/>
              <w:ind w:firstLine="210" w:firstLineChars="100"/>
              <w:textAlignment w:val="auto"/>
              <w:rPr>
                <w:snapToGrid w:val="0"/>
                <w:sz w:val="21"/>
                <w:szCs w:val="24"/>
              </w:rPr>
            </w:pPr>
            <w:r>
              <w:rPr>
                <w:rFonts w:hint="eastAsia"/>
                <w:snapToGrid w:val="0"/>
                <w:sz w:val="21"/>
                <w:szCs w:val="24"/>
              </w:rPr>
              <w:t>本项目建成后将按要求进行物料、产品公路运输：</w:t>
            </w:r>
          </w:p>
          <w:p w14:paraId="6D03E70B">
            <w:pPr>
              <w:spacing w:line="240" w:lineRule="auto"/>
              <w:ind w:firstLine="210" w:firstLineChars="100"/>
              <w:textAlignment w:val="auto"/>
              <w:rPr>
                <w:snapToGrid w:val="0"/>
                <w:sz w:val="21"/>
                <w:szCs w:val="24"/>
                <w:highlight w:val="yellow"/>
              </w:rPr>
            </w:pPr>
            <w:r>
              <w:rPr>
                <w:rFonts w:hint="eastAsia"/>
                <w:snapToGrid w:val="0"/>
                <w:sz w:val="21"/>
                <w:szCs w:val="24"/>
              </w:rPr>
              <w:t>（1）物料、产品公路运输全部使用国五及以上排放标准的重型载货车辆（重型燃气车辆达到国六排放标准）或新能源车辆</w:t>
            </w:r>
          </w:p>
          <w:p w14:paraId="2307B389">
            <w:pPr>
              <w:spacing w:line="240" w:lineRule="auto"/>
              <w:ind w:firstLine="210" w:firstLineChars="100"/>
              <w:textAlignment w:val="auto"/>
              <w:rPr>
                <w:snapToGrid w:val="0"/>
                <w:sz w:val="21"/>
                <w:szCs w:val="24"/>
              </w:rPr>
            </w:pPr>
            <w:r>
              <w:rPr>
                <w:rFonts w:hint="eastAsia"/>
                <w:snapToGrid w:val="0"/>
                <w:sz w:val="21"/>
                <w:szCs w:val="24"/>
              </w:rPr>
              <w:t>（2）厂区车辆全部达国五及以上排放标准（重型燃气车辆达到国六排放标准）使用新能源车辆；</w:t>
            </w:r>
          </w:p>
          <w:p w14:paraId="1D3E9BA0">
            <w:pPr>
              <w:spacing w:line="240" w:lineRule="auto"/>
              <w:ind w:firstLine="210" w:firstLineChars="100"/>
              <w:textAlignment w:val="auto"/>
              <w:rPr>
                <w:snapToGrid w:val="0"/>
                <w:sz w:val="21"/>
                <w:szCs w:val="24"/>
                <w:highlight w:val="yellow"/>
              </w:rPr>
            </w:pPr>
            <w:r>
              <w:rPr>
                <w:rFonts w:hint="eastAsia"/>
                <w:snapToGrid w:val="0"/>
                <w:sz w:val="21"/>
                <w:szCs w:val="24"/>
              </w:rPr>
              <w:t>（3）厂内非道路移动机械达到国三及以上排放标准或使用新能源机械。</w:t>
            </w:r>
          </w:p>
        </w:tc>
        <w:tc>
          <w:tcPr>
            <w:tcW w:w="277" w:type="pct"/>
            <w:tcMar>
              <w:left w:w="6" w:type="dxa"/>
              <w:right w:w="6" w:type="dxa"/>
            </w:tcMar>
            <w:vAlign w:val="center"/>
          </w:tcPr>
          <w:p w14:paraId="1D3E9BA1">
            <w:pPr>
              <w:adjustRightInd/>
              <w:snapToGrid/>
              <w:spacing w:line="240" w:lineRule="auto"/>
              <w:ind w:firstLine="0" w:firstLineChars="0"/>
              <w:contextualSpacing/>
              <w:jc w:val="center"/>
              <w:rPr>
                <w:sz w:val="21"/>
                <w:szCs w:val="21"/>
              </w:rPr>
            </w:pPr>
            <w:r>
              <w:rPr>
                <w:sz w:val="21"/>
                <w:szCs w:val="21"/>
              </w:rPr>
              <w:t>符合要求</w:t>
            </w:r>
          </w:p>
        </w:tc>
      </w:tr>
      <w:tr w14:paraId="1D3E9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73" w:type="pct"/>
            <w:gridSpan w:val="2"/>
            <w:tcMar>
              <w:left w:w="6" w:type="dxa"/>
              <w:right w:w="6" w:type="dxa"/>
            </w:tcMar>
            <w:vAlign w:val="center"/>
          </w:tcPr>
          <w:p w14:paraId="1D3E9BA3">
            <w:pPr>
              <w:adjustRightInd/>
              <w:snapToGrid/>
              <w:spacing w:line="240" w:lineRule="auto"/>
              <w:ind w:firstLine="0" w:firstLineChars="0"/>
              <w:contextualSpacing/>
              <w:jc w:val="center"/>
              <w:rPr>
                <w:sz w:val="21"/>
                <w:szCs w:val="21"/>
                <w:highlight w:val="yellow"/>
              </w:rPr>
            </w:pPr>
            <w:r>
              <w:rPr>
                <w:rFonts w:hint="eastAsia"/>
                <w:sz w:val="21"/>
                <w:szCs w:val="21"/>
              </w:rPr>
              <w:t>运输监管</w:t>
            </w:r>
          </w:p>
        </w:tc>
        <w:tc>
          <w:tcPr>
            <w:tcW w:w="2297" w:type="pct"/>
            <w:tcMar>
              <w:left w:w="6" w:type="dxa"/>
              <w:right w:w="6" w:type="dxa"/>
            </w:tcMar>
            <w:vAlign w:val="center"/>
          </w:tcPr>
          <w:p w14:paraId="1D3E9BB1">
            <w:pPr>
              <w:spacing w:line="240" w:lineRule="auto"/>
              <w:ind w:firstLine="210" w:firstLineChars="100"/>
              <w:textAlignment w:val="auto"/>
              <w:rPr>
                <w:snapToGrid w:val="0"/>
                <w:sz w:val="21"/>
                <w:szCs w:val="24"/>
                <w:highlight w:val="yellow"/>
              </w:rPr>
            </w:pPr>
            <w:r>
              <w:rPr>
                <w:rFonts w:hint="eastAsia"/>
                <w:snapToGrid w:val="0"/>
                <w:sz w:val="21"/>
                <w:szCs w:val="24"/>
              </w:rPr>
              <w:t>日均进出货物150吨（或载货车辆日进出10辆次）及以上（货物包括原料、辅料、燃料、产品和其他与生产相关物料）的企业，或纳入我省重点行业年产值1000万及以上的企业，应参照《重污染天气重点行业移动源应急管理技术指南》建立门禁视频监控系统和电子台账；其他企业建立电子台账。</w:t>
            </w:r>
          </w:p>
        </w:tc>
        <w:tc>
          <w:tcPr>
            <w:tcW w:w="1852" w:type="pct"/>
            <w:tcMar>
              <w:left w:w="6" w:type="dxa"/>
              <w:right w:w="6" w:type="dxa"/>
            </w:tcMar>
            <w:vAlign w:val="center"/>
          </w:tcPr>
          <w:p w14:paraId="1D3E9BBE">
            <w:pPr>
              <w:spacing w:line="240" w:lineRule="auto"/>
              <w:ind w:firstLine="210" w:firstLineChars="100"/>
              <w:textAlignment w:val="auto"/>
              <w:rPr>
                <w:snapToGrid w:val="0"/>
                <w:sz w:val="21"/>
                <w:szCs w:val="24"/>
              </w:rPr>
            </w:pPr>
            <w:r>
              <w:rPr>
                <w:snapToGrid w:val="0"/>
                <w:sz w:val="21"/>
                <w:szCs w:val="24"/>
              </w:rPr>
              <w:t>企业</w:t>
            </w:r>
            <w:r>
              <w:rPr>
                <w:rFonts w:hint="eastAsia"/>
                <w:snapToGrid w:val="0"/>
                <w:sz w:val="21"/>
                <w:szCs w:val="24"/>
              </w:rPr>
              <w:t>将按生态环境管理部门要求建立门禁视频监控系统和电子台账。</w:t>
            </w:r>
          </w:p>
        </w:tc>
        <w:tc>
          <w:tcPr>
            <w:tcW w:w="277" w:type="pct"/>
            <w:tcMar>
              <w:left w:w="6" w:type="dxa"/>
              <w:right w:w="6" w:type="dxa"/>
            </w:tcMar>
            <w:vAlign w:val="center"/>
          </w:tcPr>
          <w:p w14:paraId="1D3E9BBF">
            <w:pPr>
              <w:adjustRightInd/>
              <w:snapToGrid/>
              <w:spacing w:line="240" w:lineRule="auto"/>
              <w:ind w:firstLine="0" w:firstLineChars="0"/>
              <w:contextualSpacing/>
              <w:jc w:val="center"/>
              <w:rPr>
                <w:sz w:val="21"/>
                <w:szCs w:val="21"/>
              </w:rPr>
            </w:pPr>
            <w:r>
              <w:rPr>
                <w:sz w:val="21"/>
                <w:szCs w:val="21"/>
              </w:rPr>
              <w:t>符合要求</w:t>
            </w:r>
          </w:p>
        </w:tc>
      </w:tr>
      <w:tr w14:paraId="1D3E9B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5"/>
            <w:tcMar>
              <w:left w:w="6" w:type="dxa"/>
              <w:right w:w="6" w:type="dxa"/>
            </w:tcMar>
            <w:vAlign w:val="center"/>
          </w:tcPr>
          <w:p w14:paraId="34FBDE44">
            <w:pPr>
              <w:adjustRightInd/>
              <w:snapToGrid/>
              <w:spacing w:line="240" w:lineRule="auto"/>
              <w:ind w:firstLine="0" w:firstLineChars="0"/>
              <w:contextualSpacing/>
              <w:rPr>
                <w:sz w:val="21"/>
                <w:szCs w:val="21"/>
              </w:rPr>
            </w:pPr>
            <w:r>
              <w:rPr>
                <w:rFonts w:hint="eastAsia"/>
                <w:sz w:val="21"/>
                <w:szCs w:val="21"/>
              </w:rPr>
              <w:t>备注</w:t>
            </w:r>
            <w:r>
              <w:rPr>
                <w:rFonts w:hint="eastAsia"/>
                <w:sz w:val="21"/>
                <w:szCs w:val="21"/>
                <w:vertAlign w:val="superscript"/>
              </w:rPr>
              <w:t>【1】</w:t>
            </w:r>
            <w:r>
              <w:rPr>
                <w:rFonts w:hint="eastAsia"/>
                <w:sz w:val="21"/>
                <w:szCs w:val="21"/>
              </w:rPr>
              <w:t>：新建燃气锅炉和需要采取特别保护措施的区域，执行该排放限值。</w:t>
            </w:r>
          </w:p>
          <w:p w14:paraId="0848485A">
            <w:pPr>
              <w:adjustRightInd/>
              <w:snapToGrid/>
              <w:spacing w:line="240" w:lineRule="auto"/>
              <w:ind w:firstLine="0" w:firstLineChars="0"/>
              <w:contextualSpacing/>
              <w:rPr>
                <w:sz w:val="21"/>
                <w:szCs w:val="21"/>
              </w:rPr>
            </w:pPr>
            <w:r>
              <w:rPr>
                <w:rFonts w:hint="eastAsia"/>
                <w:sz w:val="21"/>
                <w:szCs w:val="21"/>
              </w:rPr>
              <w:t>备注</w:t>
            </w:r>
            <w:r>
              <w:rPr>
                <w:rFonts w:hint="eastAsia"/>
                <w:sz w:val="21"/>
                <w:szCs w:val="21"/>
                <w:vertAlign w:val="superscript"/>
              </w:rPr>
              <w:t>【2】</w:t>
            </w:r>
            <w:r>
              <w:rPr>
                <w:rFonts w:hint="eastAsia"/>
                <w:sz w:val="21"/>
                <w:szCs w:val="21"/>
              </w:rPr>
              <w:t>：有机废气采用燃烧/焚烧工艺处理的，建议废气分质收集与分质处理，避免燃烧/焚烧过程产生二噁英。</w:t>
            </w:r>
          </w:p>
          <w:p w14:paraId="1D3E9BCF">
            <w:pPr>
              <w:adjustRightInd/>
              <w:snapToGrid/>
              <w:spacing w:line="240" w:lineRule="auto"/>
              <w:ind w:firstLine="0" w:firstLineChars="0"/>
              <w:contextualSpacing/>
              <w:rPr>
                <w:sz w:val="21"/>
                <w:szCs w:val="21"/>
                <w:highlight w:val="yellow"/>
              </w:rPr>
            </w:pPr>
            <w:r>
              <w:rPr>
                <w:rFonts w:hint="eastAsia"/>
                <w:sz w:val="21"/>
                <w:szCs w:val="21"/>
              </w:rPr>
              <w:t>备注</w:t>
            </w:r>
            <w:r>
              <w:rPr>
                <w:rFonts w:hint="eastAsia"/>
                <w:sz w:val="21"/>
                <w:szCs w:val="21"/>
                <w:vertAlign w:val="superscript"/>
              </w:rPr>
              <w:t>【3】</w:t>
            </w:r>
            <w:r>
              <w:rPr>
                <w:rFonts w:hint="eastAsia"/>
                <w:sz w:val="21"/>
                <w:szCs w:val="21"/>
              </w:rPr>
              <w:t>：1年内有因恶臭问题被投诉并被主管部门认定的企业不能评为绩效A级。</w:t>
            </w:r>
          </w:p>
        </w:tc>
      </w:tr>
    </w:tbl>
    <w:p w14:paraId="1D3E9BD1">
      <w:pPr>
        <w:ind w:firstLine="480"/>
      </w:pPr>
      <w:r>
        <w:t>综上所述，本项目能够满足《河南省重污染天气</w:t>
      </w:r>
      <w:r>
        <w:rPr>
          <w:rFonts w:hint="eastAsia"/>
        </w:rPr>
        <w:t>重点</w:t>
      </w:r>
      <w:r>
        <w:t>行业应急减排措施制定技术指南（2021年修订版）》中的</w:t>
      </w:r>
      <w:r>
        <w:rPr>
          <w:rFonts w:hint="eastAsia"/>
        </w:rPr>
        <w:t>有机化工</w:t>
      </w:r>
      <w:r>
        <w:t>企业</w:t>
      </w:r>
      <w:r>
        <w:rPr>
          <w:rFonts w:hint="eastAsia"/>
        </w:rPr>
        <w:t>A级</w:t>
      </w:r>
      <w:r>
        <w:t>要求</w:t>
      </w:r>
      <w:r>
        <w:rPr>
          <w:rFonts w:hint="eastAsia"/>
        </w:rPr>
        <w:t>。</w:t>
      </w:r>
    </w:p>
    <w:p w14:paraId="1D3E9BD3">
      <w:pPr>
        <w:ind w:firstLine="420"/>
        <w:rPr>
          <w:sz w:val="21"/>
          <w:szCs w:val="21"/>
          <w:highlight w:val="yellow"/>
        </w:rPr>
      </w:pPr>
    </w:p>
    <w:p w14:paraId="524913C9">
      <w:pPr>
        <w:adjustRightInd/>
        <w:snapToGrid/>
        <w:ind w:firstLine="482"/>
        <w:textAlignment w:val="auto"/>
        <w:rPr>
          <w:b/>
          <w:kern w:val="2"/>
          <w:szCs w:val="24"/>
          <w:highlight w:val="yellow"/>
        </w:rPr>
        <w:sectPr>
          <w:headerReference r:id="rId13" w:type="first"/>
          <w:footerReference r:id="rId16" w:type="first"/>
          <w:footerReference r:id="rId14" w:type="default"/>
          <w:headerReference r:id="rId12" w:type="even"/>
          <w:footerReference r:id="rId15" w:type="even"/>
          <w:pgSz w:w="11906" w:h="16838"/>
          <w:pgMar w:top="1440" w:right="1797" w:bottom="1440" w:left="1797" w:header="851" w:footer="992" w:gutter="0"/>
          <w:cols w:space="425" w:num="1"/>
          <w:docGrid w:linePitch="326" w:charSpace="0"/>
        </w:sectPr>
      </w:pPr>
    </w:p>
    <w:p w14:paraId="1D3E9D30">
      <w:pPr>
        <w:pStyle w:val="5"/>
        <w:spacing w:before="240" w:after="240"/>
      </w:pPr>
      <w:r>
        <w:t>与</w:t>
      </w:r>
      <w:r>
        <w:rPr>
          <w:rFonts w:hint="eastAsia"/>
        </w:rPr>
        <w:t>新乡市生态环境保护委员会办公室关于印发《新乡市2024年蓝天保卫战实施方案》《新乡市2024年碧水保卫战实施方案》《新乡市2024年净土保卫战实施方案》《新乡市2024年柴油货车污染治理攻坚战实施方案》的通知（新环委办〔2024〕49号）相符性分析</w:t>
      </w:r>
    </w:p>
    <w:p w14:paraId="1D3E9D31">
      <w:pPr>
        <w:ind w:firstLine="480"/>
        <w:rPr>
          <w:szCs w:val="24"/>
        </w:rPr>
      </w:pPr>
      <w:r>
        <w:rPr>
          <w:szCs w:val="24"/>
        </w:rPr>
        <w:t>本项目与</w:t>
      </w:r>
      <w:r>
        <w:rPr>
          <w:rFonts w:hint="eastAsia"/>
          <w:szCs w:val="24"/>
        </w:rPr>
        <w:t>新乡市生态环境保护委员会办公室关于印发《新乡市2024年蓝天保卫战实施方案》《新乡市2024年碧水保卫战实施方案》《新乡市2024年净土保卫战实施方案》《新乡市2024年柴油货车污染治理攻坚战实施方案》的通知（新环委办〔2024〕49号）</w:t>
      </w:r>
      <w:r>
        <w:rPr>
          <w:szCs w:val="24"/>
        </w:rPr>
        <w:t>相关内容对照分析见下表。</w:t>
      </w:r>
    </w:p>
    <w:p w14:paraId="1D3E9D32">
      <w:pPr>
        <w:numPr>
          <w:ilvl w:val="0"/>
          <w:numId w:val="12"/>
        </w:numPr>
        <w:adjustRightInd/>
        <w:snapToGrid/>
        <w:ind w:firstLineChars="0"/>
        <w:textAlignment w:val="auto"/>
        <w:rPr>
          <w:rFonts w:eastAsia="黑体"/>
        </w:rPr>
      </w:pPr>
      <w:r>
        <w:rPr>
          <w:rFonts w:eastAsia="黑体"/>
        </w:rPr>
        <w:t xml:space="preserve">   本项目与</w:t>
      </w:r>
      <w:r>
        <w:rPr>
          <w:rFonts w:hint="eastAsia" w:eastAsia="黑体"/>
        </w:rPr>
        <w:t>新环委办〔2024〕49号</w:t>
      </w:r>
      <w:r>
        <w:rPr>
          <w:rFonts w:eastAsia="黑体"/>
        </w:rPr>
        <w:t>相关内容对照表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134"/>
        <w:gridCol w:w="4293"/>
        <w:gridCol w:w="2293"/>
        <w:gridCol w:w="648"/>
      </w:tblGrid>
      <w:tr w14:paraId="1D3E9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678" w:type="pct"/>
            <w:vAlign w:val="center"/>
          </w:tcPr>
          <w:p w14:paraId="1D3E9D33">
            <w:pPr>
              <w:adjustRightInd/>
              <w:snapToGrid/>
              <w:spacing w:line="240" w:lineRule="auto"/>
              <w:ind w:firstLine="0" w:firstLineChars="0"/>
              <w:jc w:val="center"/>
              <w:textAlignment w:val="auto"/>
              <w:rPr>
                <w:b/>
                <w:kern w:val="2"/>
                <w:sz w:val="21"/>
                <w:szCs w:val="21"/>
              </w:rPr>
            </w:pPr>
            <w:r>
              <w:rPr>
                <w:b/>
                <w:kern w:val="2"/>
                <w:sz w:val="21"/>
                <w:szCs w:val="21"/>
              </w:rPr>
              <w:t>项目</w:t>
            </w:r>
          </w:p>
        </w:tc>
        <w:tc>
          <w:tcPr>
            <w:tcW w:w="2565" w:type="pct"/>
            <w:vAlign w:val="center"/>
          </w:tcPr>
          <w:p w14:paraId="1D3E9D34">
            <w:pPr>
              <w:adjustRightInd/>
              <w:snapToGrid/>
              <w:spacing w:line="240" w:lineRule="auto"/>
              <w:ind w:firstLine="0" w:firstLineChars="0"/>
              <w:jc w:val="center"/>
              <w:textAlignment w:val="auto"/>
              <w:rPr>
                <w:b/>
                <w:kern w:val="2"/>
                <w:sz w:val="21"/>
                <w:szCs w:val="21"/>
              </w:rPr>
            </w:pPr>
            <w:r>
              <w:rPr>
                <w:b/>
                <w:kern w:val="2"/>
                <w:sz w:val="21"/>
                <w:szCs w:val="21"/>
              </w:rPr>
              <w:t>实施方案相关内容</w:t>
            </w:r>
          </w:p>
        </w:tc>
        <w:tc>
          <w:tcPr>
            <w:tcW w:w="1370" w:type="pct"/>
            <w:vAlign w:val="center"/>
          </w:tcPr>
          <w:p w14:paraId="1D3E9D35">
            <w:pPr>
              <w:adjustRightInd/>
              <w:snapToGrid/>
              <w:spacing w:line="240" w:lineRule="auto"/>
              <w:ind w:firstLine="0" w:firstLineChars="0"/>
              <w:jc w:val="center"/>
              <w:textAlignment w:val="auto"/>
              <w:rPr>
                <w:b/>
                <w:kern w:val="2"/>
                <w:sz w:val="21"/>
                <w:szCs w:val="21"/>
              </w:rPr>
            </w:pPr>
            <w:r>
              <w:rPr>
                <w:b/>
                <w:kern w:val="2"/>
                <w:sz w:val="21"/>
                <w:szCs w:val="21"/>
              </w:rPr>
              <w:t>本项目建设情况</w:t>
            </w:r>
          </w:p>
        </w:tc>
        <w:tc>
          <w:tcPr>
            <w:tcW w:w="388" w:type="pct"/>
          </w:tcPr>
          <w:p w14:paraId="1D3E9D36">
            <w:pPr>
              <w:adjustRightInd/>
              <w:snapToGrid/>
              <w:spacing w:line="240" w:lineRule="auto"/>
              <w:ind w:firstLine="0" w:firstLineChars="0"/>
              <w:jc w:val="center"/>
              <w:textAlignment w:val="auto"/>
              <w:rPr>
                <w:b/>
                <w:kern w:val="2"/>
                <w:sz w:val="21"/>
                <w:szCs w:val="21"/>
              </w:rPr>
            </w:pPr>
            <w:r>
              <w:rPr>
                <w:b/>
                <w:kern w:val="2"/>
                <w:sz w:val="21"/>
                <w:szCs w:val="21"/>
              </w:rPr>
              <w:t>是否符合</w:t>
            </w:r>
          </w:p>
        </w:tc>
      </w:tr>
      <w:tr w14:paraId="404C3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14:paraId="24EA019A">
            <w:pPr>
              <w:adjustRightInd/>
              <w:snapToGrid/>
              <w:spacing w:line="240" w:lineRule="auto"/>
              <w:ind w:firstLine="0" w:firstLineChars="0"/>
              <w:contextualSpacing/>
              <w:jc w:val="center"/>
              <w:rPr>
                <w:sz w:val="21"/>
                <w:szCs w:val="21"/>
              </w:rPr>
            </w:pPr>
            <w:r>
              <w:rPr>
                <w:rFonts w:hint="eastAsia"/>
                <w:b/>
                <w:kern w:val="2"/>
                <w:sz w:val="21"/>
                <w:szCs w:val="21"/>
              </w:rPr>
              <w:t>《新乡市2024年蓝天保卫战实施方案》</w:t>
            </w:r>
          </w:p>
        </w:tc>
      </w:tr>
      <w:tr w14:paraId="17B56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0743C385">
            <w:pPr>
              <w:adjustRightInd/>
              <w:snapToGrid/>
              <w:spacing w:line="240" w:lineRule="auto"/>
              <w:ind w:firstLine="0" w:firstLineChars="0"/>
              <w:contextualSpacing/>
              <w:jc w:val="center"/>
              <w:rPr>
                <w:sz w:val="21"/>
                <w:szCs w:val="21"/>
              </w:rPr>
            </w:pPr>
            <w:r>
              <w:rPr>
                <w:rFonts w:hint="eastAsia"/>
                <w:sz w:val="21"/>
                <w:szCs w:val="21"/>
              </w:rPr>
              <w:t>18.强化非道路移动源综合治理</w:t>
            </w:r>
          </w:p>
        </w:tc>
        <w:tc>
          <w:tcPr>
            <w:tcW w:w="2565" w:type="pct"/>
            <w:vAlign w:val="center"/>
          </w:tcPr>
          <w:p w14:paraId="4DB0690F">
            <w:pPr>
              <w:spacing w:line="240" w:lineRule="auto"/>
              <w:ind w:firstLine="210" w:firstLineChars="100"/>
              <w:textAlignment w:val="auto"/>
              <w:rPr>
                <w:snapToGrid w:val="0"/>
                <w:sz w:val="21"/>
                <w:szCs w:val="21"/>
              </w:rPr>
            </w:pPr>
            <w:r>
              <w:rPr>
                <w:rFonts w:hint="eastAsia"/>
                <w:snapToGrid w:val="0"/>
                <w:sz w:val="21"/>
                <w:szCs w:val="21"/>
              </w:rPr>
              <w:t>重新向社会公布禁用区划定范围和管理要求，将铁路货场、物流园区、工矿企业、施工工地等机械高频使用场所纳入高排放非道路移动机械禁用区管理。推进铁路货场、物流园区、工矿企业内部作业车辆和机械新能源化，加快淘汰高污染的老旧铁路内燃机车。</w:t>
            </w:r>
          </w:p>
        </w:tc>
        <w:tc>
          <w:tcPr>
            <w:tcW w:w="1370" w:type="pct"/>
            <w:vAlign w:val="center"/>
          </w:tcPr>
          <w:p w14:paraId="03BB3095">
            <w:pPr>
              <w:spacing w:line="240" w:lineRule="auto"/>
              <w:ind w:firstLine="210" w:firstLineChars="100"/>
              <w:textAlignment w:val="auto"/>
              <w:rPr>
                <w:snapToGrid w:val="0"/>
                <w:sz w:val="21"/>
                <w:szCs w:val="21"/>
              </w:rPr>
            </w:pPr>
            <w:r>
              <w:rPr>
                <w:rFonts w:hint="eastAsia"/>
                <w:snapToGrid w:val="0"/>
                <w:sz w:val="21"/>
                <w:szCs w:val="21"/>
              </w:rPr>
              <w:t>本项目作业车辆和机械采用新能源。</w:t>
            </w:r>
          </w:p>
        </w:tc>
        <w:tc>
          <w:tcPr>
            <w:tcW w:w="388" w:type="pct"/>
            <w:vAlign w:val="center"/>
          </w:tcPr>
          <w:p w14:paraId="3F436639">
            <w:pPr>
              <w:adjustRightInd/>
              <w:snapToGrid/>
              <w:spacing w:line="240" w:lineRule="auto"/>
              <w:ind w:firstLine="0" w:firstLineChars="0"/>
              <w:contextualSpacing/>
              <w:jc w:val="center"/>
              <w:rPr>
                <w:sz w:val="21"/>
                <w:szCs w:val="21"/>
              </w:rPr>
            </w:pPr>
            <w:r>
              <w:rPr>
                <w:rFonts w:hint="eastAsia"/>
                <w:sz w:val="21"/>
                <w:szCs w:val="21"/>
              </w:rPr>
              <w:t>符合</w:t>
            </w:r>
          </w:p>
        </w:tc>
      </w:tr>
      <w:tr w14:paraId="0D3E1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1113DFFB">
            <w:pPr>
              <w:adjustRightInd/>
              <w:snapToGrid/>
              <w:spacing w:line="240" w:lineRule="auto"/>
              <w:ind w:firstLine="0" w:firstLineChars="0"/>
              <w:contextualSpacing/>
              <w:jc w:val="center"/>
              <w:rPr>
                <w:sz w:val="21"/>
                <w:szCs w:val="21"/>
              </w:rPr>
            </w:pPr>
            <w:r>
              <w:rPr>
                <w:rFonts w:hint="eastAsia"/>
                <w:sz w:val="21"/>
                <w:szCs w:val="21"/>
              </w:rPr>
              <w:t>27.开展环境绩效等级提升行动</w:t>
            </w:r>
          </w:p>
        </w:tc>
        <w:tc>
          <w:tcPr>
            <w:tcW w:w="2565" w:type="pct"/>
            <w:vAlign w:val="center"/>
          </w:tcPr>
          <w:p w14:paraId="42845A67">
            <w:pPr>
              <w:spacing w:line="240" w:lineRule="auto"/>
              <w:ind w:firstLine="210" w:firstLineChars="100"/>
              <w:textAlignment w:val="auto"/>
              <w:rPr>
                <w:snapToGrid w:val="0"/>
                <w:sz w:val="21"/>
                <w:szCs w:val="21"/>
              </w:rPr>
            </w:pPr>
            <w:r>
              <w:rPr>
                <w:rFonts w:hint="eastAsia"/>
                <w:snapToGrid w:val="0"/>
                <w:sz w:val="21"/>
                <w:szCs w:val="21"/>
              </w:rPr>
              <w:t>落实重点行业绩效分级管理实施细则，建立“有进有出”动态调整机制，分行业分类别建立绩效提升企业名单，推动钢铁、水泥、焦化、化工、铸造、耐材、工业涂装、包装印刷等重点行业环保绩效创A，全力帮扶重点行业企业对照行业先进水平实施生产和治理工艺装备提升改造，不断提升环境绩效等级。2024年5月底前，各省辖市建立绩效提升培育企业清单，力争全省年度新增A级、B级企业及绩效引领性企业600家以上，推动全省工业企业治理能力整体提升。</w:t>
            </w:r>
          </w:p>
        </w:tc>
        <w:tc>
          <w:tcPr>
            <w:tcW w:w="1370" w:type="pct"/>
            <w:vAlign w:val="center"/>
          </w:tcPr>
          <w:p w14:paraId="6A8D006D">
            <w:pPr>
              <w:spacing w:line="240" w:lineRule="auto"/>
              <w:ind w:firstLine="210" w:firstLineChars="100"/>
              <w:textAlignment w:val="auto"/>
              <w:rPr>
                <w:snapToGrid w:val="0"/>
                <w:sz w:val="21"/>
                <w:szCs w:val="21"/>
                <w:highlight w:val="yellow"/>
              </w:rPr>
            </w:pPr>
            <w:r>
              <w:rPr>
                <w:rFonts w:hint="eastAsia"/>
                <w:snapToGrid w:val="0"/>
                <w:sz w:val="21"/>
                <w:szCs w:val="21"/>
              </w:rPr>
              <w:t>本项目为新建企业，</w:t>
            </w:r>
            <w:r>
              <w:rPr>
                <w:snapToGrid w:val="0"/>
                <w:sz w:val="21"/>
                <w:szCs w:val="21"/>
              </w:rPr>
              <w:t>属于化学原料和化学制品制造业</w:t>
            </w:r>
            <w:r>
              <w:rPr>
                <w:rFonts w:hint="eastAsia"/>
                <w:snapToGrid w:val="0"/>
                <w:sz w:val="21"/>
                <w:szCs w:val="21"/>
              </w:rPr>
              <w:t>，按照</w:t>
            </w:r>
            <w:r>
              <w:rPr>
                <w:rFonts w:hint="eastAsia"/>
                <w:snapToGrid w:val="0"/>
                <w:sz w:val="21"/>
                <w:szCs w:val="24"/>
              </w:rPr>
              <w:t>《河南省重污染天气重点行业应急减排措施制定技术指南（2021年修订版）》中的有机化工企业A级绩效要求进行建设。</w:t>
            </w:r>
          </w:p>
        </w:tc>
        <w:tc>
          <w:tcPr>
            <w:tcW w:w="388" w:type="pct"/>
            <w:vAlign w:val="center"/>
          </w:tcPr>
          <w:p w14:paraId="3E563BBA">
            <w:pPr>
              <w:adjustRightInd/>
              <w:snapToGrid/>
              <w:spacing w:line="240" w:lineRule="auto"/>
              <w:ind w:firstLine="0" w:firstLineChars="0"/>
              <w:contextualSpacing/>
              <w:jc w:val="center"/>
              <w:rPr>
                <w:sz w:val="21"/>
                <w:szCs w:val="21"/>
                <w:highlight w:val="yellow"/>
              </w:rPr>
            </w:pPr>
            <w:r>
              <w:rPr>
                <w:rFonts w:hint="eastAsia"/>
                <w:sz w:val="21"/>
                <w:szCs w:val="21"/>
              </w:rPr>
              <w:t>符合</w:t>
            </w:r>
          </w:p>
        </w:tc>
      </w:tr>
      <w:tr w14:paraId="021CB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14:paraId="08A6CD40">
            <w:pPr>
              <w:adjustRightInd/>
              <w:snapToGrid/>
              <w:spacing w:line="240" w:lineRule="auto"/>
              <w:ind w:firstLine="0" w:firstLineChars="0"/>
              <w:contextualSpacing/>
              <w:jc w:val="center"/>
              <w:rPr>
                <w:sz w:val="21"/>
                <w:szCs w:val="21"/>
                <w:highlight w:val="yellow"/>
              </w:rPr>
            </w:pPr>
            <w:r>
              <w:rPr>
                <w:rFonts w:hint="eastAsia"/>
                <w:b/>
                <w:kern w:val="2"/>
                <w:sz w:val="21"/>
                <w:szCs w:val="21"/>
              </w:rPr>
              <w:t>《新乡市2024年碧水保卫战实施方案》</w:t>
            </w:r>
          </w:p>
        </w:tc>
      </w:tr>
      <w:tr w14:paraId="5E1C7F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6F429BBE">
            <w:pPr>
              <w:adjustRightInd/>
              <w:snapToGrid/>
              <w:spacing w:line="240" w:lineRule="auto"/>
              <w:ind w:firstLine="0" w:firstLineChars="0"/>
              <w:contextualSpacing/>
              <w:jc w:val="center"/>
              <w:rPr>
                <w:sz w:val="21"/>
                <w:szCs w:val="21"/>
              </w:rPr>
            </w:pPr>
            <w:r>
              <w:rPr>
                <w:rFonts w:hint="eastAsia"/>
                <w:sz w:val="21"/>
                <w:szCs w:val="21"/>
              </w:rPr>
              <w:t>18.持续开展工业废水循环利用工程</w:t>
            </w:r>
          </w:p>
        </w:tc>
        <w:tc>
          <w:tcPr>
            <w:tcW w:w="2565" w:type="pct"/>
            <w:vAlign w:val="center"/>
          </w:tcPr>
          <w:p w14:paraId="695DC860">
            <w:pPr>
              <w:spacing w:line="240" w:lineRule="auto"/>
              <w:ind w:firstLine="210" w:firstLineChars="100"/>
              <w:textAlignment w:val="auto"/>
              <w:rPr>
                <w:snapToGrid w:val="0"/>
                <w:sz w:val="21"/>
                <w:szCs w:val="21"/>
              </w:rPr>
            </w:pPr>
            <w:r>
              <w:rPr>
                <w:rFonts w:hint="eastAsia" w:asciiTheme="minorEastAsia" w:hAnsiTheme="minorEastAsia" w:eastAsiaTheme="minorEastAsia" w:cstheme="minorEastAsia"/>
                <w:kern w:val="2"/>
                <w:sz w:val="21"/>
                <w:szCs w:val="21"/>
              </w:rPr>
              <w:t>推动工业企业、园区</w:t>
            </w:r>
            <w:r>
              <w:rPr>
                <w:rFonts w:asciiTheme="minorEastAsia" w:hAnsiTheme="minorEastAsia" w:eastAsiaTheme="minorEastAsia" w:cstheme="minorEastAsia"/>
                <w:kern w:val="2"/>
                <w:sz w:val="21"/>
                <w:szCs w:val="21"/>
              </w:rPr>
              <w:t>废水循环利用，实现串联用水、分质用水、一水多用和梯级利用，提升企业水重复利用率。推动有条件的工业企业、园区进一步完善再生水管网，将处理达标后的再生水回用于生产过程，减少企业新水取用量，形成可复制推广的产城融合废水高效循环利用新模式。重点围绕火电、石化、钢铁、有色、造纸、印染等高耗水行业，组织开展企业内部废水利用，创建一批工业废水循环利用试点企业、园区。</w:t>
            </w:r>
          </w:p>
        </w:tc>
        <w:tc>
          <w:tcPr>
            <w:tcW w:w="1370" w:type="pct"/>
            <w:vAlign w:val="center"/>
          </w:tcPr>
          <w:p w14:paraId="4DDCEA8F">
            <w:pPr>
              <w:spacing w:line="240" w:lineRule="auto"/>
              <w:ind w:firstLine="210" w:firstLineChars="100"/>
              <w:textAlignment w:val="auto"/>
              <w:rPr>
                <w:snapToGrid w:val="0"/>
                <w:sz w:val="21"/>
                <w:szCs w:val="21"/>
                <w:u w:val="single"/>
              </w:rPr>
            </w:pPr>
            <w:r>
              <w:rPr>
                <w:rFonts w:hint="eastAsia"/>
                <w:sz w:val="21"/>
                <w:szCs w:val="21"/>
                <w:u w:val="single"/>
                <w:lang w:bidi="zh-CN"/>
              </w:rPr>
              <w:t>本项目不涉及废水循环利用。</w:t>
            </w:r>
          </w:p>
        </w:tc>
        <w:tc>
          <w:tcPr>
            <w:tcW w:w="388" w:type="pct"/>
            <w:vAlign w:val="center"/>
          </w:tcPr>
          <w:p w14:paraId="2F1F4811">
            <w:pPr>
              <w:adjustRightInd/>
              <w:snapToGrid/>
              <w:spacing w:line="240" w:lineRule="auto"/>
              <w:ind w:firstLine="0" w:firstLineChars="0"/>
              <w:contextualSpacing/>
              <w:jc w:val="center"/>
              <w:rPr>
                <w:sz w:val="21"/>
                <w:szCs w:val="21"/>
              </w:rPr>
            </w:pPr>
            <w:r>
              <w:rPr>
                <w:rFonts w:hint="eastAsia"/>
                <w:sz w:val="21"/>
                <w:szCs w:val="21"/>
              </w:rPr>
              <w:t>符合</w:t>
            </w:r>
          </w:p>
        </w:tc>
      </w:tr>
      <w:tr w14:paraId="4A930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14:paraId="626151FB">
            <w:pPr>
              <w:adjustRightInd/>
              <w:snapToGrid/>
              <w:spacing w:line="240" w:lineRule="auto"/>
              <w:ind w:firstLine="0" w:firstLineChars="0"/>
              <w:contextualSpacing/>
              <w:jc w:val="center"/>
              <w:rPr>
                <w:sz w:val="21"/>
                <w:szCs w:val="21"/>
                <w:highlight w:val="yellow"/>
              </w:rPr>
            </w:pPr>
            <w:r>
              <w:rPr>
                <w:rFonts w:hint="eastAsia"/>
                <w:b/>
                <w:bCs/>
                <w:kern w:val="2"/>
                <w:sz w:val="21"/>
                <w:szCs w:val="21"/>
              </w:rPr>
              <w:t>《新乡市2024年净土保卫战实施方案》</w:t>
            </w:r>
          </w:p>
        </w:tc>
      </w:tr>
      <w:tr w14:paraId="26237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2777299C">
            <w:pPr>
              <w:adjustRightInd/>
              <w:snapToGrid/>
              <w:spacing w:line="240" w:lineRule="auto"/>
              <w:ind w:firstLine="0" w:firstLineChars="0"/>
              <w:contextualSpacing/>
              <w:jc w:val="center"/>
              <w:rPr>
                <w:sz w:val="21"/>
                <w:szCs w:val="21"/>
              </w:rPr>
            </w:pPr>
            <w:r>
              <w:rPr>
                <w:rFonts w:hint="eastAsia"/>
                <w:sz w:val="21"/>
                <w:szCs w:val="21"/>
              </w:rPr>
              <w:t>16.推动实施重金属总量减排</w:t>
            </w:r>
          </w:p>
        </w:tc>
        <w:tc>
          <w:tcPr>
            <w:tcW w:w="2565" w:type="pct"/>
            <w:vAlign w:val="center"/>
          </w:tcPr>
          <w:p w14:paraId="21840450">
            <w:pPr>
              <w:spacing w:line="240" w:lineRule="auto"/>
              <w:ind w:firstLine="210" w:firstLineChars="100"/>
              <w:textAlignment w:val="auto"/>
              <w:rPr>
                <w:snapToGrid w:val="0"/>
                <w:sz w:val="21"/>
                <w:szCs w:val="21"/>
              </w:rPr>
            </w:pPr>
            <w:r>
              <w:rPr>
                <w:rFonts w:hint="eastAsia" w:eastAsiaTheme="minorEastAsia"/>
                <w:kern w:val="2"/>
                <w:sz w:val="21"/>
                <w:szCs w:val="21"/>
              </w:rPr>
              <w:t>贯彻落实河南省2024年重金属污染防控实施方案，加强重点区域、重点行业和重点企业重金属污染防治，严格落实重金属排放“减量替代”要求</w:t>
            </w:r>
            <w:r>
              <w:rPr>
                <w:rFonts w:hint="eastAsia" w:ascii="宋体" w:hAnsi="宋体" w:cs="宋体"/>
                <w:kern w:val="2"/>
                <w:sz w:val="21"/>
                <w:szCs w:val="21"/>
              </w:rPr>
              <w:t>。</w:t>
            </w:r>
          </w:p>
        </w:tc>
        <w:tc>
          <w:tcPr>
            <w:tcW w:w="1370" w:type="pct"/>
            <w:vAlign w:val="center"/>
          </w:tcPr>
          <w:p w14:paraId="60A64535">
            <w:pPr>
              <w:spacing w:line="240" w:lineRule="auto"/>
              <w:ind w:firstLine="210" w:firstLineChars="100"/>
              <w:textAlignment w:val="auto"/>
              <w:rPr>
                <w:snapToGrid w:val="0"/>
                <w:sz w:val="21"/>
                <w:szCs w:val="21"/>
              </w:rPr>
            </w:pPr>
            <w:r>
              <w:rPr>
                <w:rFonts w:hint="eastAsia"/>
                <w:snapToGrid w:val="0"/>
                <w:sz w:val="21"/>
                <w:szCs w:val="21"/>
              </w:rPr>
              <w:t>本项目</w:t>
            </w:r>
            <w:r>
              <w:rPr>
                <w:snapToGrid w:val="0"/>
                <w:sz w:val="21"/>
                <w:szCs w:val="21"/>
              </w:rPr>
              <w:t>属于化学原料和化学制品制造业</w:t>
            </w:r>
            <w:r>
              <w:rPr>
                <w:rFonts w:hint="eastAsia"/>
                <w:snapToGrid w:val="0"/>
                <w:sz w:val="21"/>
                <w:szCs w:val="21"/>
              </w:rPr>
              <w:t>，不属于重点行业，不产生重金属铅、汞、铬、镉、砷。</w:t>
            </w:r>
          </w:p>
        </w:tc>
        <w:tc>
          <w:tcPr>
            <w:tcW w:w="388" w:type="pct"/>
            <w:vAlign w:val="center"/>
          </w:tcPr>
          <w:p w14:paraId="65B9DB6B">
            <w:pPr>
              <w:adjustRightInd/>
              <w:snapToGrid/>
              <w:spacing w:line="240" w:lineRule="auto"/>
              <w:ind w:firstLine="0" w:firstLineChars="0"/>
              <w:contextualSpacing/>
              <w:jc w:val="center"/>
              <w:rPr>
                <w:sz w:val="21"/>
                <w:szCs w:val="21"/>
              </w:rPr>
            </w:pPr>
            <w:r>
              <w:rPr>
                <w:rFonts w:hint="eastAsia"/>
                <w:sz w:val="21"/>
                <w:szCs w:val="21"/>
              </w:rPr>
              <w:t>符合</w:t>
            </w:r>
          </w:p>
        </w:tc>
      </w:tr>
      <w:tr w14:paraId="7D76B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6960C2D4">
            <w:pPr>
              <w:adjustRightInd/>
              <w:snapToGrid/>
              <w:spacing w:line="240" w:lineRule="auto"/>
              <w:ind w:firstLine="0" w:firstLineChars="0"/>
              <w:contextualSpacing/>
              <w:jc w:val="center"/>
              <w:rPr>
                <w:sz w:val="21"/>
                <w:szCs w:val="21"/>
              </w:rPr>
            </w:pPr>
            <w:r>
              <w:rPr>
                <w:rFonts w:hint="eastAsia"/>
                <w:sz w:val="21"/>
                <w:szCs w:val="21"/>
              </w:rPr>
              <w:t>17.完善环境监测机制</w:t>
            </w:r>
          </w:p>
        </w:tc>
        <w:tc>
          <w:tcPr>
            <w:tcW w:w="2565" w:type="pct"/>
            <w:vAlign w:val="center"/>
          </w:tcPr>
          <w:p w14:paraId="401F322E">
            <w:pPr>
              <w:spacing w:line="240" w:lineRule="auto"/>
              <w:ind w:firstLine="210" w:firstLineChars="100"/>
              <w:textAlignment w:val="auto"/>
              <w:rPr>
                <w:rFonts w:eastAsiaTheme="minorEastAsia"/>
                <w:kern w:val="2"/>
                <w:sz w:val="21"/>
                <w:szCs w:val="21"/>
              </w:rPr>
            </w:pPr>
            <w:r>
              <w:rPr>
                <w:rFonts w:hint="eastAsia" w:eastAsiaTheme="minorEastAsia"/>
                <w:kern w:val="2"/>
                <w:sz w:val="21"/>
                <w:szCs w:val="21"/>
              </w:rPr>
              <w:t>不断完善土壤和地下水监测制度，完成国家年度土壤环境质量监测任务。各地按要求抓好土壤重点监管单位自行监测及周边土壤监测，组织开展监测质量抽查。构建省级地下水环境监测网络，开展“十四五”国家地下水考核点位和“双源”地下水监测点位监测。</w:t>
            </w:r>
          </w:p>
        </w:tc>
        <w:tc>
          <w:tcPr>
            <w:tcW w:w="1370" w:type="pct"/>
            <w:vAlign w:val="center"/>
          </w:tcPr>
          <w:p w14:paraId="07D4EF86">
            <w:pPr>
              <w:spacing w:line="240" w:lineRule="auto"/>
              <w:ind w:firstLine="210" w:firstLineChars="100"/>
              <w:textAlignment w:val="auto"/>
              <w:rPr>
                <w:snapToGrid w:val="0"/>
                <w:sz w:val="21"/>
                <w:szCs w:val="21"/>
              </w:rPr>
            </w:pPr>
            <w:r>
              <w:rPr>
                <w:snapToGrid w:val="0"/>
                <w:sz w:val="21"/>
                <w:szCs w:val="21"/>
              </w:rPr>
              <w:t>本企业将积极配合</w:t>
            </w:r>
            <w:r>
              <w:rPr>
                <w:rFonts w:hint="eastAsia"/>
                <w:snapToGrid w:val="0"/>
                <w:sz w:val="21"/>
                <w:szCs w:val="21"/>
              </w:rPr>
              <w:t>当地环保部门</w:t>
            </w:r>
            <w:r>
              <w:rPr>
                <w:snapToGrid w:val="0"/>
                <w:sz w:val="21"/>
                <w:szCs w:val="21"/>
              </w:rPr>
              <w:t>开展</w:t>
            </w:r>
            <w:r>
              <w:rPr>
                <w:rFonts w:hint="eastAsia"/>
                <w:snapToGrid w:val="0"/>
                <w:sz w:val="21"/>
                <w:szCs w:val="21"/>
              </w:rPr>
              <w:t>土壤重点监管单位自行监测及周边土壤监测</w:t>
            </w:r>
            <w:r>
              <w:rPr>
                <w:snapToGrid w:val="0"/>
                <w:sz w:val="21"/>
                <w:szCs w:val="21"/>
              </w:rPr>
              <w:t>。</w:t>
            </w:r>
          </w:p>
        </w:tc>
        <w:tc>
          <w:tcPr>
            <w:tcW w:w="388" w:type="pct"/>
            <w:vAlign w:val="center"/>
          </w:tcPr>
          <w:p w14:paraId="0EF58EDF">
            <w:pPr>
              <w:adjustRightInd/>
              <w:snapToGrid/>
              <w:spacing w:line="240" w:lineRule="auto"/>
              <w:ind w:firstLine="0" w:firstLineChars="0"/>
              <w:contextualSpacing/>
              <w:jc w:val="center"/>
              <w:rPr>
                <w:sz w:val="21"/>
                <w:szCs w:val="21"/>
              </w:rPr>
            </w:pPr>
            <w:r>
              <w:rPr>
                <w:rFonts w:hint="eastAsia"/>
                <w:sz w:val="21"/>
                <w:szCs w:val="21"/>
              </w:rPr>
              <w:t>符合</w:t>
            </w:r>
          </w:p>
        </w:tc>
      </w:tr>
      <w:tr w14:paraId="0807B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14:paraId="5E1C8ADA">
            <w:pPr>
              <w:adjustRightInd/>
              <w:snapToGrid/>
              <w:spacing w:line="240" w:lineRule="auto"/>
              <w:ind w:firstLine="0" w:firstLineChars="0"/>
              <w:contextualSpacing/>
              <w:jc w:val="center"/>
              <w:rPr>
                <w:sz w:val="21"/>
                <w:szCs w:val="21"/>
                <w:highlight w:val="yellow"/>
              </w:rPr>
            </w:pPr>
            <w:r>
              <w:rPr>
                <w:rFonts w:hint="eastAsia"/>
                <w:b/>
                <w:bCs/>
                <w:sz w:val="21"/>
                <w:szCs w:val="21"/>
              </w:rPr>
              <w:t>《新乡市2024年柴油货车污染治理攻坚战实施方案》</w:t>
            </w:r>
          </w:p>
        </w:tc>
      </w:tr>
      <w:tr w14:paraId="6019D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031BE0B7">
            <w:pPr>
              <w:adjustRightInd/>
              <w:snapToGrid/>
              <w:spacing w:line="240" w:lineRule="auto"/>
              <w:ind w:firstLine="0" w:firstLineChars="0"/>
              <w:contextualSpacing/>
              <w:jc w:val="center"/>
              <w:rPr>
                <w:sz w:val="21"/>
                <w:szCs w:val="21"/>
              </w:rPr>
            </w:pPr>
            <w:r>
              <w:rPr>
                <w:rFonts w:hint="eastAsia"/>
                <w:sz w:val="21"/>
                <w:szCs w:val="21"/>
              </w:rPr>
              <w:t>10.推进非道路移动机械清洁低碳发</w:t>
            </w:r>
          </w:p>
        </w:tc>
        <w:tc>
          <w:tcPr>
            <w:tcW w:w="2565" w:type="pct"/>
            <w:vAlign w:val="center"/>
          </w:tcPr>
          <w:p w14:paraId="5F8877A3">
            <w:pPr>
              <w:spacing w:line="240" w:lineRule="auto"/>
              <w:ind w:firstLine="210" w:firstLineChars="100"/>
              <w:textAlignment w:val="auto"/>
              <w:rPr>
                <w:snapToGrid w:val="0"/>
                <w:sz w:val="21"/>
                <w:szCs w:val="21"/>
              </w:rPr>
            </w:pPr>
            <w:r>
              <w:rPr>
                <w:rFonts w:hint="eastAsia"/>
                <w:snapToGrid w:val="0"/>
                <w:sz w:val="21"/>
                <w:szCs w:val="21"/>
              </w:rPr>
              <w:t>推进工矿企业、物流园区、机场、铁路货场、港口码头新增或更新的内部作业车辆和机械新能源化，新增或更新的3吨以下叉车基本实现新能源化，加快淘汰国一及以下排放标准的工程机械。推动铁路内燃机车污染治理，消除冒黑烟现象，逐步淘汰排放不达标的老旧内燃机车。鼓励老旧船舶提前淘汰，推广清洁能源动力船舶。</w:t>
            </w:r>
          </w:p>
        </w:tc>
        <w:tc>
          <w:tcPr>
            <w:tcW w:w="1370" w:type="pct"/>
            <w:vAlign w:val="center"/>
          </w:tcPr>
          <w:p w14:paraId="11629A09">
            <w:pPr>
              <w:spacing w:line="240" w:lineRule="auto"/>
              <w:ind w:firstLine="210" w:firstLineChars="100"/>
              <w:textAlignment w:val="auto"/>
              <w:rPr>
                <w:snapToGrid w:val="0"/>
                <w:sz w:val="21"/>
                <w:szCs w:val="21"/>
              </w:rPr>
            </w:pPr>
            <w:r>
              <w:rPr>
                <w:rFonts w:hint="eastAsia"/>
                <w:snapToGrid w:val="0"/>
                <w:sz w:val="21"/>
                <w:szCs w:val="21"/>
              </w:rPr>
              <w:t>本项目作业车辆和机械采用新能源。</w:t>
            </w:r>
          </w:p>
        </w:tc>
        <w:tc>
          <w:tcPr>
            <w:tcW w:w="388" w:type="pct"/>
            <w:vAlign w:val="center"/>
          </w:tcPr>
          <w:p w14:paraId="0EBC1261">
            <w:pPr>
              <w:adjustRightInd/>
              <w:snapToGrid/>
              <w:spacing w:line="240" w:lineRule="auto"/>
              <w:ind w:firstLine="0" w:firstLineChars="0"/>
              <w:contextualSpacing/>
              <w:jc w:val="center"/>
              <w:rPr>
                <w:sz w:val="21"/>
                <w:szCs w:val="21"/>
              </w:rPr>
            </w:pPr>
            <w:r>
              <w:rPr>
                <w:rFonts w:hint="eastAsia"/>
                <w:sz w:val="21"/>
                <w:szCs w:val="21"/>
              </w:rPr>
              <w:t>符合</w:t>
            </w:r>
          </w:p>
        </w:tc>
      </w:tr>
    </w:tbl>
    <w:p w14:paraId="4DE50E11">
      <w:pPr>
        <w:ind w:firstLine="480"/>
      </w:pPr>
      <w:r>
        <w:t>由上表可知，本项目符合</w:t>
      </w:r>
      <w:r>
        <w:rPr>
          <w:rFonts w:hint="eastAsia"/>
        </w:rPr>
        <w:t>新乡市生态环境保护委员会办公室关于印发《新乡市2024年蓝天保卫战实施方案》《新乡市2024年碧水保卫战实施方案》《新乡市2024年净土保卫战实施方案》《新乡市2024年柴油货车污染治理攻坚战实施方案》的通知（新环委办〔2024〕49号）</w:t>
      </w:r>
      <w:r>
        <w:t>的相关要求。</w:t>
      </w:r>
    </w:p>
    <w:p w14:paraId="43A1DFFC">
      <w:pPr>
        <w:pStyle w:val="5"/>
        <w:spacing w:before="240" w:after="240"/>
        <w:rPr>
          <w:u w:val="single"/>
        </w:rPr>
      </w:pPr>
      <w:r>
        <w:rPr>
          <w:u w:val="single"/>
        </w:rPr>
        <w:t>与</w:t>
      </w:r>
      <w:r>
        <w:rPr>
          <w:rFonts w:hint="eastAsia"/>
          <w:u w:val="single"/>
        </w:rPr>
        <w:t>卫辉市生态环境保护委员会办公室关于印发《卫辉市2024年蓝天保卫战实施方案》《卫辉市2024年碧水保卫战实施方案》《卫辉市2024年净土保卫战实施方案》《卫辉市2024年柴油货车污染治理攻坚战实施方案》的通知（卫环委办〔2024〕53号）相符性分析</w:t>
      </w:r>
    </w:p>
    <w:p w14:paraId="6500BE42">
      <w:pPr>
        <w:numPr>
          <w:ilvl w:val="0"/>
          <w:numId w:val="12"/>
        </w:numPr>
        <w:adjustRightInd/>
        <w:snapToGrid/>
        <w:ind w:firstLineChars="0"/>
        <w:textAlignment w:val="auto"/>
        <w:rPr>
          <w:rFonts w:eastAsia="黑体"/>
        </w:rPr>
      </w:pPr>
      <w:r>
        <w:rPr>
          <w:rFonts w:eastAsia="黑体"/>
        </w:rPr>
        <w:t xml:space="preserve">   本项目与</w:t>
      </w:r>
      <w:r>
        <w:rPr>
          <w:rFonts w:hint="eastAsia" w:eastAsia="黑体"/>
        </w:rPr>
        <w:t>卫环委办〔2024〕53号</w:t>
      </w:r>
      <w:r>
        <w:rPr>
          <w:rFonts w:eastAsia="黑体"/>
        </w:rPr>
        <w:t>相关内容对照表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134"/>
        <w:gridCol w:w="4293"/>
        <w:gridCol w:w="2293"/>
        <w:gridCol w:w="648"/>
      </w:tblGrid>
      <w:tr w14:paraId="57D0A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678" w:type="pct"/>
            <w:vAlign w:val="center"/>
          </w:tcPr>
          <w:p w14:paraId="3856F903">
            <w:pPr>
              <w:adjustRightInd/>
              <w:snapToGrid/>
              <w:spacing w:line="240" w:lineRule="auto"/>
              <w:ind w:firstLine="0" w:firstLineChars="0"/>
              <w:jc w:val="center"/>
              <w:textAlignment w:val="auto"/>
              <w:rPr>
                <w:b/>
                <w:kern w:val="2"/>
                <w:sz w:val="21"/>
                <w:szCs w:val="21"/>
                <w:u w:val="single"/>
              </w:rPr>
            </w:pPr>
            <w:r>
              <w:rPr>
                <w:b/>
                <w:kern w:val="2"/>
                <w:sz w:val="21"/>
                <w:szCs w:val="21"/>
                <w:u w:val="single"/>
              </w:rPr>
              <w:t>项目</w:t>
            </w:r>
          </w:p>
        </w:tc>
        <w:tc>
          <w:tcPr>
            <w:tcW w:w="2565" w:type="pct"/>
            <w:vAlign w:val="center"/>
          </w:tcPr>
          <w:p w14:paraId="7B9BC167">
            <w:pPr>
              <w:adjustRightInd/>
              <w:snapToGrid/>
              <w:spacing w:line="240" w:lineRule="auto"/>
              <w:ind w:firstLine="0" w:firstLineChars="0"/>
              <w:jc w:val="center"/>
              <w:textAlignment w:val="auto"/>
              <w:rPr>
                <w:b/>
                <w:kern w:val="2"/>
                <w:sz w:val="21"/>
                <w:szCs w:val="21"/>
                <w:u w:val="single"/>
              </w:rPr>
            </w:pPr>
            <w:r>
              <w:rPr>
                <w:b/>
                <w:kern w:val="2"/>
                <w:sz w:val="21"/>
                <w:szCs w:val="21"/>
                <w:u w:val="single"/>
              </w:rPr>
              <w:t>实施方案相关内容</w:t>
            </w:r>
          </w:p>
        </w:tc>
        <w:tc>
          <w:tcPr>
            <w:tcW w:w="1370" w:type="pct"/>
            <w:vAlign w:val="center"/>
          </w:tcPr>
          <w:p w14:paraId="21577A0A">
            <w:pPr>
              <w:adjustRightInd/>
              <w:snapToGrid/>
              <w:spacing w:line="240" w:lineRule="auto"/>
              <w:ind w:firstLine="0" w:firstLineChars="0"/>
              <w:jc w:val="center"/>
              <w:textAlignment w:val="auto"/>
              <w:rPr>
                <w:b/>
                <w:kern w:val="2"/>
                <w:sz w:val="21"/>
                <w:szCs w:val="21"/>
                <w:u w:val="single"/>
              </w:rPr>
            </w:pPr>
            <w:r>
              <w:rPr>
                <w:b/>
                <w:kern w:val="2"/>
                <w:sz w:val="21"/>
                <w:szCs w:val="21"/>
                <w:u w:val="single"/>
              </w:rPr>
              <w:t>本项目建设情况</w:t>
            </w:r>
          </w:p>
        </w:tc>
        <w:tc>
          <w:tcPr>
            <w:tcW w:w="387" w:type="pct"/>
          </w:tcPr>
          <w:p w14:paraId="33F1A195">
            <w:pPr>
              <w:adjustRightInd/>
              <w:snapToGrid/>
              <w:spacing w:line="240" w:lineRule="auto"/>
              <w:ind w:firstLine="0" w:firstLineChars="0"/>
              <w:jc w:val="center"/>
              <w:textAlignment w:val="auto"/>
              <w:rPr>
                <w:b/>
                <w:kern w:val="2"/>
                <w:sz w:val="21"/>
                <w:szCs w:val="21"/>
                <w:u w:val="single"/>
              </w:rPr>
            </w:pPr>
            <w:r>
              <w:rPr>
                <w:b/>
                <w:kern w:val="2"/>
                <w:sz w:val="21"/>
                <w:szCs w:val="21"/>
                <w:u w:val="single"/>
              </w:rPr>
              <w:t>是否符合</w:t>
            </w:r>
          </w:p>
        </w:tc>
      </w:tr>
      <w:tr w14:paraId="753DC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14:paraId="7A24EA4F">
            <w:pPr>
              <w:adjustRightInd/>
              <w:snapToGrid/>
              <w:spacing w:line="240" w:lineRule="auto"/>
              <w:ind w:firstLine="0" w:firstLineChars="0"/>
              <w:contextualSpacing/>
              <w:jc w:val="center"/>
              <w:rPr>
                <w:sz w:val="21"/>
                <w:szCs w:val="21"/>
                <w:u w:val="single"/>
              </w:rPr>
            </w:pPr>
            <w:r>
              <w:rPr>
                <w:rFonts w:hint="eastAsia"/>
                <w:b/>
                <w:kern w:val="2"/>
                <w:sz w:val="21"/>
                <w:szCs w:val="21"/>
                <w:u w:val="single"/>
              </w:rPr>
              <w:t>《卫辉市2024年蓝天保卫战实施方案》</w:t>
            </w:r>
          </w:p>
        </w:tc>
      </w:tr>
      <w:tr w14:paraId="392C8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5D4FEEC6">
            <w:pPr>
              <w:adjustRightInd/>
              <w:snapToGrid/>
              <w:spacing w:line="240" w:lineRule="auto"/>
              <w:ind w:firstLine="0" w:firstLineChars="0"/>
              <w:contextualSpacing/>
              <w:jc w:val="center"/>
              <w:rPr>
                <w:sz w:val="21"/>
                <w:szCs w:val="21"/>
                <w:u w:val="single"/>
              </w:rPr>
            </w:pPr>
            <w:r>
              <w:rPr>
                <w:rFonts w:hint="eastAsia"/>
                <w:sz w:val="21"/>
                <w:szCs w:val="21"/>
                <w:u w:val="single"/>
              </w:rPr>
              <w:t>16.强化非道路移动源综合治理</w:t>
            </w:r>
          </w:p>
        </w:tc>
        <w:tc>
          <w:tcPr>
            <w:tcW w:w="2565" w:type="pct"/>
            <w:vAlign w:val="center"/>
          </w:tcPr>
          <w:p w14:paraId="5E881073">
            <w:pPr>
              <w:spacing w:line="240" w:lineRule="auto"/>
              <w:ind w:firstLine="210" w:firstLineChars="100"/>
              <w:textAlignment w:val="auto"/>
              <w:rPr>
                <w:snapToGrid w:val="0"/>
                <w:sz w:val="21"/>
                <w:szCs w:val="21"/>
                <w:u w:val="single"/>
              </w:rPr>
            </w:pPr>
            <w:r>
              <w:rPr>
                <w:rFonts w:hint="eastAsia"/>
                <w:snapToGrid w:val="0"/>
                <w:sz w:val="21"/>
                <w:szCs w:val="21"/>
                <w:u w:val="single"/>
              </w:rPr>
              <w:t>重新向社会公布禁用区划定范围和管理要求，将铁路货场、物流园区、工矿企业、施工工地等机械高频使用场所纳入高排放非道路移动机械禁用区管理。推进铁路货场、物流园区、工矿企业内部作业车辆和机械新能源化。</w:t>
            </w:r>
          </w:p>
        </w:tc>
        <w:tc>
          <w:tcPr>
            <w:tcW w:w="1370" w:type="pct"/>
            <w:vAlign w:val="center"/>
          </w:tcPr>
          <w:p w14:paraId="24EBE28C">
            <w:pPr>
              <w:spacing w:line="240" w:lineRule="auto"/>
              <w:ind w:firstLine="210" w:firstLineChars="100"/>
              <w:textAlignment w:val="auto"/>
              <w:rPr>
                <w:snapToGrid w:val="0"/>
                <w:sz w:val="21"/>
                <w:szCs w:val="21"/>
                <w:u w:val="single"/>
              </w:rPr>
            </w:pPr>
            <w:r>
              <w:rPr>
                <w:rFonts w:hint="eastAsia"/>
                <w:snapToGrid w:val="0"/>
                <w:sz w:val="21"/>
                <w:szCs w:val="21"/>
                <w:u w:val="single"/>
              </w:rPr>
              <w:t>本项目作业车辆和机械采用新能源。</w:t>
            </w:r>
          </w:p>
        </w:tc>
        <w:tc>
          <w:tcPr>
            <w:tcW w:w="387" w:type="pct"/>
            <w:vAlign w:val="center"/>
          </w:tcPr>
          <w:p w14:paraId="085ED560">
            <w:pPr>
              <w:adjustRightInd/>
              <w:snapToGrid/>
              <w:spacing w:line="240" w:lineRule="auto"/>
              <w:ind w:firstLine="0" w:firstLineChars="0"/>
              <w:contextualSpacing/>
              <w:jc w:val="center"/>
              <w:rPr>
                <w:sz w:val="21"/>
                <w:szCs w:val="21"/>
                <w:u w:val="single"/>
              </w:rPr>
            </w:pPr>
            <w:r>
              <w:rPr>
                <w:rFonts w:hint="eastAsia"/>
                <w:sz w:val="21"/>
                <w:szCs w:val="21"/>
                <w:u w:val="single"/>
              </w:rPr>
              <w:t>符合</w:t>
            </w:r>
          </w:p>
        </w:tc>
      </w:tr>
      <w:tr w14:paraId="06082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45609E5A">
            <w:pPr>
              <w:adjustRightInd/>
              <w:snapToGrid/>
              <w:spacing w:line="240" w:lineRule="auto"/>
              <w:ind w:firstLine="0" w:firstLineChars="0"/>
              <w:contextualSpacing/>
              <w:jc w:val="center"/>
              <w:rPr>
                <w:sz w:val="21"/>
                <w:szCs w:val="21"/>
                <w:u w:val="single"/>
              </w:rPr>
            </w:pPr>
            <w:r>
              <w:rPr>
                <w:rFonts w:hint="eastAsia"/>
                <w:sz w:val="21"/>
                <w:szCs w:val="21"/>
                <w:u w:val="single"/>
              </w:rPr>
              <w:t>25.开展环境绩效等级提升行动</w:t>
            </w:r>
          </w:p>
        </w:tc>
        <w:tc>
          <w:tcPr>
            <w:tcW w:w="2565" w:type="pct"/>
            <w:vAlign w:val="center"/>
          </w:tcPr>
          <w:p w14:paraId="26A7C5AD">
            <w:pPr>
              <w:spacing w:line="240" w:lineRule="auto"/>
              <w:ind w:firstLine="210" w:firstLineChars="100"/>
              <w:textAlignment w:val="auto"/>
              <w:rPr>
                <w:snapToGrid w:val="0"/>
                <w:sz w:val="21"/>
                <w:szCs w:val="21"/>
                <w:u w:val="single"/>
              </w:rPr>
            </w:pPr>
            <w:r>
              <w:rPr>
                <w:rFonts w:hint="eastAsia"/>
                <w:snapToGrid w:val="0"/>
                <w:sz w:val="21"/>
                <w:szCs w:val="21"/>
                <w:u w:val="single"/>
              </w:rPr>
              <w:t>落实重点行业绩效分级管理实施细则，建立“有进有出”动态调整机制，分行业分类别建立绩效提升企业名单，推动水泥、化工、铸造、耐材、工业涂装、包装印刷等重点行业环保绩效创A，全力帮扶重点行业企业对照行业先进水平实施生产和治理工艺装备提升改造，不断提升环境绩效等级。国家、省绩效分级重点行业及涉及锅炉炉窑的其他行业，新（改、扩）建项目原则上要达到环境绩效A级或国内清洁生产先进水平。</w:t>
            </w:r>
          </w:p>
        </w:tc>
        <w:tc>
          <w:tcPr>
            <w:tcW w:w="1370" w:type="pct"/>
            <w:vAlign w:val="center"/>
          </w:tcPr>
          <w:p w14:paraId="0D5755AB">
            <w:pPr>
              <w:spacing w:line="240" w:lineRule="auto"/>
              <w:ind w:firstLine="210" w:firstLineChars="100"/>
              <w:textAlignment w:val="auto"/>
              <w:rPr>
                <w:snapToGrid w:val="0"/>
                <w:sz w:val="21"/>
                <w:szCs w:val="21"/>
                <w:u w:val="single"/>
              </w:rPr>
            </w:pPr>
            <w:r>
              <w:rPr>
                <w:rFonts w:hint="eastAsia"/>
                <w:snapToGrid w:val="0"/>
                <w:sz w:val="21"/>
                <w:szCs w:val="21"/>
                <w:u w:val="single"/>
              </w:rPr>
              <w:t>本项目为新建企业，</w:t>
            </w:r>
            <w:r>
              <w:rPr>
                <w:snapToGrid w:val="0"/>
                <w:sz w:val="21"/>
                <w:szCs w:val="21"/>
                <w:u w:val="single"/>
              </w:rPr>
              <w:t>属于化学原料和化学制品制造业</w:t>
            </w:r>
            <w:r>
              <w:rPr>
                <w:rFonts w:hint="eastAsia"/>
                <w:snapToGrid w:val="0"/>
                <w:sz w:val="21"/>
                <w:szCs w:val="21"/>
                <w:u w:val="single"/>
              </w:rPr>
              <w:t>，按照</w:t>
            </w:r>
            <w:r>
              <w:rPr>
                <w:rFonts w:hint="eastAsia"/>
                <w:snapToGrid w:val="0"/>
                <w:sz w:val="21"/>
                <w:szCs w:val="24"/>
                <w:u w:val="single"/>
              </w:rPr>
              <w:t>《河南省重污染天气重点行业应急减排措施制定技术指南（2021年修订版）》中的有机化工企业A级绩效要求进行建设。</w:t>
            </w:r>
          </w:p>
        </w:tc>
        <w:tc>
          <w:tcPr>
            <w:tcW w:w="387" w:type="pct"/>
            <w:vAlign w:val="center"/>
          </w:tcPr>
          <w:p w14:paraId="6A7E3019">
            <w:pPr>
              <w:adjustRightInd/>
              <w:snapToGrid/>
              <w:spacing w:line="240" w:lineRule="auto"/>
              <w:ind w:firstLine="0" w:firstLineChars="0"/>
              <w:contextualSpacing/>
              <w:jc w:val="center"/>
              <w:rPr>
                <w:sz w:val="21"/>
                <w:szCs w:val="21"/>
                <w:u w:val="single"/>
              </w:rPr>
            </w:pPr>
            <w:r>
              <w:rPr>
                <w:rFonts w:hint="eastAsia"/>
                <w:sz w:val="21"/>
                <w:szCs w:val="21"/>
                <w:u w:val="single"/>
              </w:rPr>
              <w:t>符合</w:t>
            </w:r>
          </w:p>
        </w:tc>
      </w:tr>
      <w:tr w14:paraId="5A4D4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14:paraId="340FB987">
            <w:pPr>
              <w:adjustRightInd/>
              <w:snapToGrid/>
              <w:spacing w:line="240" w:lineRule="auto"/>
              <w:ind w:firstLine="0" w:firstLineChars="0"/>
              <w:contextualSpacing/>
              <w:jc w:val="center"/>
              <w:rPr>
                <w:sz w:val="21"/>
                <w:szCs w:val="21"/>
                <w:highlight w:val="yellow"/>
                <w:u w:val="single"/>
              </w:rPr>
            </w:pPr>
            <w:r>
              <w:rPr>
                <w:rFonts w:hint="eastAsia"/>
                <w:b/>
                <w:kern w:val="2"/>
                <w:sz w:val="21"/>
                <w:szCs w:val="21"/>
                <w:u w:val="single"/>
              </w:rPr>
              <w:t>《卫辉市2024年碧水保卫战实施方案》</w:t>
            </w:r>
          </w:p>
        </w:tc>
      </w:tr>
      <w:tr w14:paraId="20D5E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60EA625A">
            <w:pPr>
              <w:adjustRightInd/>
              <w:snapToGrid/>
              <w:spacing w:line="240" w:lineRule="auto"/>
              <w:ind w:firstLine="0" w:firstLineChars="0"/>
              <w:contextualSpacing/>
              <w:jc w:val="center"/>
              <w:rPr>
                <w:sz w:val="21"/>
                <w:szCs w:val="21"/>
                <w:u w:val="single"/>
              </w:rPr>
            </w:pPr>
            <w:r>
              <w:rPr>
                <w:rFonts w:hint="eastAsia"/>
                <w:sz w:val="21"/>
                <w:szCs w:val="21"/>
                <w:u w:val="single"/>
              </w:rPr>
              <w:t>16.持续开展工业废水循环利用工程</w:t>
            </w:r>
          </w:p>
        </w:tc>
        <w:tc>
          <w:tcPr>
            <w:tcW w:w="2565" w:type="pct"/>
            <w:vAlign w:val="center"/>
          </w:tcPr>
          <w:p w14:paraId="1ACBFACD">
            <w:pPr>
              <w:spacing w:line="240" w:lineRule="auto"/>
              <w:ind w:firstLine="210" w:firstLineChars="100"/>
              <w:textAlignment w:val="auto"/>
              <w:rPr>
                <w:snapToGrid w:val="0"/>
                <w:sz w:val="21"/>
                <w:szCs w:val="21"/>
                <w:u w:val="single"/>
              </w:rPr>
            </w:pPr>
            <w:r>
              <w:rPr>
                <w:rFonts w:hint="eastAsia" w:asciiTheme="minorEastAsia" w:hAnsiTheme="minorEastAsia" w:eastAsiaTheme="minorEastAsia" w:cstheme="minorEastAsia"/>
                <w:kern w:val="2"/>
                <w:sz w:val="21"/>
                <w:szCs w:val="21"/>
                <w:u w:val="single"/>
              </w:rPr>
              <w:t>推动工业企业、园区废水循环利用，实现串联用水、分质用水、一水多用和梯级利用，提升企业水重复利用率。推动有条件的工业企业、园区进一步完善再生水管网，将处理达标后的再生水回用于生产过程，减少企业新水取用量。重点围绕高耗水行业，组织开展企业内部废水利用，积极创建工业废水循环利用示范企业、园区</w:t>
            </w:r>
            <w:r>
              <w:rPr>
                <w:rFonts w:asciiTheme="minorEastAsia" w:hAnsiTheme="minorEastAsia" w:eastAsiaTheme="minorEastAsia" w:cstheme="minorEastAsia"/>
                <w:kern w:val="2"/>
                <w:sz w:val="21"/>
                <w:szCs w:val="21"/>
                <w:u w:val="single"/>
              </w:rPr>
              <w:t>。</w:t>
            </w:r>
          </w:p>
        </w:tc>
        <w:tc>
          <w:tcPr>
            <w:tcW w:w="1370" w:type="pct"/>
            <w:vAlign w:val="center"/>
          </w:tcPr>
          <w:p w14:paraId="1E6157BA">
            <w:pPr>
              <w:spacing w:line="240" w:lineRule="auto"/>
              <w:ind w:firstLine="210" w:firstLineChars="100"/>
              <w:textAlignment w:val="auto"/>
              <w:rPr>
                <w:snapToGrid w:val="0"/>
                <w:sz w:val="21"/>
                <w:szCs w:val="21"/>
                <w:u w:val="single"/>
              </w:rPr>
            </w:pPr>
            <w:r>
              <w:rPr>
                <w:rFonts w:hint="eastAsia"/>
                <w:sz w:val="21"/>
                <w:szCs w:val="21"/>
                <w:u w:val="single"/>
                <w:lang w:bidi="zh-CN"/>
              </w:rPr>
              <w:t>本项目不涉及废水循环利用。</w:t>
            </w:r>
          </w:p>
        </w:tc>
        <w:tc>
          <w:tcPr>
            <w:tcW w:w="387" w:type="pct"/>
            <w:vAlign w:val="center"/>
          </w:tcPr>
          <w:p w14:paraId="176F3877">
            <w:pPr>
              <w:adjustRightInd/>
              <w:snapToGrid/>
              <w:spacing w:line="240" w:lineRule="auto"/>
              <w:ind w:firstLine="0" w:firstLineChars="0"/>
              <w:contextualSpacing/>
              <w:jc w:val="center"/>
              <w:rPr>
                <w:sz w:val="21"/>
                <w:szCs w:val="21"/>
                <w:u w:val="single"/>
              </w:rPr>
            </w:pPr>
            <w:r>
              <w:rPr>
                <w:rFonts w:hint="eastAsia"/>
                <w:sz w:val="21"/>
                <w:szCs w:val="21"/>
                <w:u w:val="single"/>
              </w:rPr>
              <w:t>符合</w:t>
            </w:r>
          </w:p>
        </w:tc>
      </w:tr>
      <w:tr w14:paraId="75A60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14:paraId="484E0F19">
            <w:pPr>
              <w:adjustRightInd/>
              <w:snapToGrid/>
              <w:spacing w:line="240" w:lineRule="auto"/>
              <w:ind w:firstLine="0" w:firstLineChars="0"/>
              <w:contextualSpacing/>
              <w:jc w:val="center"/>
              <w:rPr>
                <w:sz w:val="21"/>
                <w:szCs w:val="21"/>
                <w:highlight w:val="yellow"/>
                <w:u w:val="single"/>
              </w:rPr>
            </w:pPr>
            <w:r>
              <w:rPr>
                <w:rFonts w:hint="eastAsia"/>
                <w:b/>
                <w:bCs/>
                <w:kern w:val="2"/>
                <w:sz w:val="21"/>
                <w:szCs w:val="21"/>
                <w:u w:val="single"/>
              </w:rPr>
              <w:t>《</w:t>
            </w:r>
            <w:r>
              <w:rPr>
                <w:rFonts w:hint="eastAsia"/>
                <w:b/>
                <w:kern w:val="2"/>
                <w:sz w:val="21"/>
                <w:szCs w:val="21"/>
                <w:u w:val="single"/>
              </w:rPr>
              <w:t>卫辉</w:t>
            </w:r>
            <w:r>
              <w:rPr>
                <w:rFonts w:hint="eastAsia"/>
                <w:b/>
                <w:bCs/>
                <w:kern w:val="2"/>
                <w:sz w:val="21"/>
                <w:szCs w:val="21"/>
                <w:u w:val="single"/>
              </w:rPr>
              <w:t>市2024年净土保卫战实施方案》</w:t>
            </w:r>
          </w:p>
        </w:tc>
      </w:tr>
      <w:tr w14:paraId="1F4CA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7E74AAC8">
            <w:pPr>
              <w:adjustRightInd/>
              <w:snapToGrid/>
              <w:spacing w:line="240" w:lineRule="auto"/>
              <w:ind w:firstLine="0" w:firstLineChars="0"/>
              <w:contextualSpacing/>
              <w:jc w:val="center"/>
              <w:rPr>
                <w:sz w:val="21"/>
                <w:szCs w:val="21"/>
                <w:u w:val="single"/>
              </w:rPr>
            </w:pPr>
            <w:r>
              <w:rPr>
                <w:rFonts w:hint="eastAsia"/>
                <w:sz w:val="21"/>
                <w:szCs w:val="21"/>
                <w:u w:val="single"/>
              </w:rPr>
              <w:t>15.推动实施重金属总量减排</w:t>
            </w:r>
          </w:p>
        </w:tc>
        <w:tc>
          <w:tcPr>
            <w:tcW w:w="2565" w:type="pct"/>
            <w:vAlign w:val="center"/>
          </w:tcPr>
          <w:p w14:paraId="5CC8BA42">
            <w:pPr>
              <w:spacing w:line="240" w:lineRule="auto"/>
              <w:ind w:firstLine="210" w:firstLineChars="100"/>
              <w:textAlignment w:val="auto"/>
              <w:rPr>
                <w:snapToGrid w:val="0"/>
                <w:sz w:val="21"/>
                <w:szCs w:val="21"/>
                <w:u w:val="single"/>
              </w:rPr>
            </w:pPr>
            <w:r>
              <w:rPr>
                <w:rFonts w:hint="eastAsia" w:eastAsiaTheme="minorEastAsia"/>
                <w:kern w:val="2"/>
                <w:sz w:val="21"/>
                <w:szCs w:val="21"/>
                <w:u w:val="single"/>
              </w:rPr>
              <w:t>贯彻落实河南省2024年重金属污染防控实施方案，加强重点区域、重点行业和重点企业重金属污染防治，严格落实重金属排放“减量替代”要求</w:t>
            </w:r>
            <w:r>
              <w:rPr>
                <w:rFonts w:hint="eastAsia" w:ascii="宋体" w:hAnsi="宋体" w:cs="宋体"/>
                <w:kern w:val="2"/>
                <w:sz w:val="21"/>
                <w:szCs w:val="21"/>
                <w:u w:val="single"/>
              </w:rPr>
              <w:t>。</w:t>
            </w:r>
          </w:p>
        </w:tc>
        <w:tc>
          <w:tcPr>
            <w:tcW w:w="1370" w:type="pct"/>
            <w:vAlign w:val="center"/>
          </w:tcPr>
          <w:p w14:paraId="1B9E5CB5">
            <w:pPr>
              <w:spacing w:line="240" w:lineRule="auto"/>
              <w:ind w:firstLine="210" w:firstLineChars="100"/>
              <w:textAlignment w:val="auto"/>
              <w:rPr>
                <w:snapToGrid w:val="0"/>
                <w:sz w:val="21"/>
                <w:szCs w:val="21"/>
                <w:u w:val="single"/>
              </w:rPr>
            </w:pPr>
            <w:r>
              <w:rPr>
                <w:rFonts w:hint="eastAsia"/>
                <w:snapToGrid w:val="0"/>
                <w:sz w:val="21"/>
                <w:szCs w:val="21"/>
                <w:u w:val="single"/>
              </w:rPr>
              <w:t>本项目</w:t>
            </w:r>
            <w:r>
              <w:rPr>
                <w:snapToGrid w:val="0"/>
                <w:sz w:val="21"/>
                <w:szCs w:val="21"/>
                <w:u w:val="single"/>
              </w:rPr>
              <w:t>属于化学原料和化学制品制造业</w:t>
            </w:r>
            <w:r>
              <w:rPr>
                <w:rFonts w:hint="eastAsia"/>
                <w:snapToGrid w:val="0"/>
                <w:sz w:val="21"/>
                <w:szCs w:val="21"/>
                <w:u w:val="single"/>
              </w:rPr>
              <w:t>，不属于重点行业，不产生重金属铅、汞、铬、镉、砷。</w:t>
            </w:r>
          </w:p>
        </w:tc>
        <w:tc>
          <w:tcPr>
            <w:tcW w:w="387" w:type="pct"/>
            <w:vAlign w:val="center"/>
          </w:tcPr>
          <w:p w14:paraId="2557405B">
            <w:pPr>
              <w:adjustRightInd/>
              <w:snapToGrid/>
              <w:spacing w:line="240" w:lineRule="auto"/>
              <w:ind w:firstLine="0" w:firstLineChars="0"/>
              <w:contextualSpacing/>
              <w:jc w:val="center"/>
              <w:rPr>
                <w:sz w:val="21"/>
                <w:szCs w:val="21"/>
                <w:u w:val="single"/>
              </w:rPr>
            </w:pPr>
            <w:r>
              <w:rPr>
                <w:rFonts w:hint="eastAsia"/>
                <w:sz w:val="21"/>
                <w:szCs w:val="21"/>
                <w:u w:val="single"/>
              </w:rPr>
              <w:t>符合</w:t>
            </w:r>
          </w:p>
        </w:tc>
      </w:tr>
      <w:tr w14:paraId="48966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5B28F58F">
            <w:pPr>
              <w:adjustRightInd/>
              <w:snapToGrid/>
              <w:spacing w:line="240" w:lineRule="auto"/>
              <w:ind w:firstLine="0" w:firstLineChars="0"/>
              <w:contextualSpacing/>
              <w:jc w:val="center"/>
              <w:rPr>
                <w:sz w:val="21"/>
                <w:szCs w:val="21"/>
                <w:u w:val="single"/>
              </w:rPr>
            </w:pPr>
            <w:r>
              <w:rPr>
                <w:rFonts w:hint="eastAsia"/>
                <w:sz w:val="21"/>
                <w:szCs w:val="21"/>
                <w:u w:val="single"/>
              </w:rPr>
              <w:t>16.完善环境监测机制</w:t>
            </w:r>
          </w:p>
        </w:tc>
        <w:tc>
          <w:tcPr>
            <w:tcW w:w="2565" w:type="pct"/>
            <w:vAlign w:val="center"/>
          </w:tcPr>
          <w:p w14:paraId="4D6142CB">
            <w:pPr>
              <w:spacing w:line="240" w:lineRule="auto"/>
              <w:ind w:firstLine="210" w:firstLineChars="100"/>
              <w:textAlignment w:val="auto"/>
              <w:rPr>
                <w:rFonts w:eastAsiaTheme="minorEastAsia"/>
                <w:kern w:val="2"/>
                <w:sz w:val="21"/>
                <w:szCs w:val="21"/>
                <w:u w:val="single"/>
              </w:rPr>
            </w:pPr>
            <w:r>
              <w:rPr>
                <w:rFonts w:hint="eastAsia" w:eastAsiaTheme="minorEastAsia"/>
                <w:kern w:val="2"/>
                <w:sz w:val="21"/>
                <w:szCs w:val="21"/>
                <w:u w:val="single"/>
              </w:rPr>
              <w:t>不断完善土壤和地下水监测制度，完成国家年度土壤环境质量监测任务。抓好土壤重点监管单位自行监测及周边土壤监测，组织开展监测质量抽查。。</w:t>
            </w:r>
          </w:p>
        </w:tc>
        <w:tc>
          <w:tcPr>
            <w:tcW w:w="1370" w:type="pct"/>
            <w:vAlign w:val="center"/>
          </w:tcPr>
          <w:p w14:paraId="274C4967">
            <w:pPr>
              <w:spacing w:line="240" w:lineRule="auto"/>
              <w:ind w:firstLine="210" w:firstLineChars="100"/>
              <w:textAlignment w:val="auto"/>
              <w:rPr>
                <w:snapToGrid w:val="0"/>
                <w:sz w:val="21"/>
                <w:szCs w:val="21"/>
                <w:u w:val="single"/>
              </w:rPr>
            </w:pPr>
            <w:r>
              <w:rPr>
                <w:snapToGrid w:val="0"/>
                <w:sz w:val="21"/>
                <w:szCs w:val="21"/>
                <w:u w:val="single"/>
              </w:rPr>
              <w:t>本企业将积极配合</w:t>
            </w:r>
            <w:r>
              <w:rPr>
                <w:rFonts w:hint="eastAsia"/>
                <w:snapToGrid w:val="0"/>
                <w:sz w:val="21"/>
                <w:szCs w:val="21"/>
                <w:u w:val="single"/>
              </w:rPr>
              <w:t>当地环保部门</w:t>
            </w:r>
            <w:r>
              <w:rPr>
                <w:snapToGrid w:val="0"/>
                <w:sz w:val="21"/>
                <w:szCs w:val="21"/>
                <w:u w:val="single"/>
              </w:rPr>
              <w:t>开展</w:t>
            </w:r>
            <w:r>
              <w:rPr>
                <w:rFonts w:hint="eastAsia"/>
                <w:snapToGrid w:val="0"/>
                <w:sz w:val="21"/>
                <w:szCs w:val="21"/>
                <w:u w:val="single"/>
              </w:rPr>
              <w:t>土壤重点监管单位自行监测及周边土壤监测</w:t>
            </w:r>
            <w:r>
              <w:rPr>
                <w:snapToGrid w:val="0"/>
                <w:sz w:val="21"/>
                <w:szCs w:val="21"/>
                <w:u w:val="single"/>
              </w:rPr>
              <w:t>。</w:t>
            </w:r>
          </w:p>
        </w:tc>
        <w:tc>
          <w:tcPr>
            <w:tcW w:w="387" w:type="pct"/>
            <w:vAlign w:val="center"/>
          </w:tcPr>
          <w:p w14:paraId="34A8BE39">
            <w:pPr>
              <w:adjustRightInd/>
              <w:snapToGrid/>
              <w:spacing w:line="240" w:lineRule="auto"/>
              <w:ind w:firstLine="0" w:firstLineChars="0"/>
              <w:contextualSpacing/>
              <w:jc w:val="center"/>
              <w:rPr>
                <w:sz w:val="21"/>
                <w:szCs w:val="21"/>
                <w:u w:val="single"/>
              </w:rPr>
            </w:pPr>
            <w:r>
              <w:rPr>
                <w:rFonts w:hint="eastAsia"/>
                <w:sz w:val="21"/>
                <w:szCs w:val="21"/>
                <w:u w:val="single"/>
              </w:rPr>
              <w:t>符合</w:t>
            </w:r>
          </w:p>
        </w:tc>
      </w:tr>
      <w:tr w14:paraId="1537C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14:paraId="4D06B417">
            <w:pPr>
              <w:adjustRightInd/>
              <w:snapToGrid/>
              <w:spacing w:line="240" w:lineRule="auto"/>
              <w:ind w:firstLine="0" w:firstLineChars="0"/>
              <w:contextualSpacing/>
              <w:jc w:val="center"/>
              <w:rPr>
                <w:sz w:val="21"/>
                <w:szCs w:val="21"/>
                <w:highlight w:val="yellow"/>
                <w:u w:val="single"/>
              </w:rPr>
            </w:pPr>
            <w:r>
              <w:rPr>
                <w:rFonts w:hint="eastAsia"/>
                <w:b/>
                <w:bCs/>
                <w:sz w:val="21"/>
                <w:szCs w:val="21"/>
                <w:u w:val="single"/>
              </w:rPr>
              <w:t>《卫辉市2024年柴油货车污染治理攻坚战实施方案》</w:t>
            </w:r>
          </w:p>
        </w:tc>
      </w:tr>
      <w:tr w14:paraId="4F862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vAlign w:val="center"/>
          </w:tcPr>
          <w:p w14:paraId="17ED379E">
            <w:pPr>
              <w:adjustRightInd/>
              <w:snapToGrid/>
              <w:spacing w:line="240" w:lineRule="auto"/>
              <w:ind w:firstLine="0" w:firstLineChars="0"/>
              <w:contextualSpacing/>
              <w:jc w:val="center"/>
              <w:rPr>
                <w:sz w:val="21"/>
                <w:szCs w:val="21"/>
                <w:u w:val="single"/>
              </w:rPr>
            </w:pPr>
            <w:r>
              <w:rPr>
                <w:rFonts w:hint="eastAsia"/>
                <w:sz w:val="21"/>
                <w:szCs w:val="21"/>
                <w:u w:val="single"/>
              </w:rPr>
              <w:t>9.推进非道路移动机械清洁低碳发展</w:t>
            </w:r>
          </w:p>
        </w:tc>
        <w:tc>
          <w:tcPr>
            <w:tcW w:w="2565" w:type="pct"/>
            <w:vAlign w:val="center"/>
          </w:tcPr>
          <w:p w14:paraId="027B7222">
            <w:pPr>
              <w:spacing w:line="240" w:lineRule="auto"/>
              <w:ind w:firstLine="210" w:firstLineChars="100"/>
              <w:textAlignment w:val="auto"/>
              <w:rPr>
                <w:snapToGrid w:val="0"/>
                <w:sz w:val="21"/>
                <w:szCs w:val="21"/>
                <w:u w:val="single"/>
              </w:rPr>
            </w:pPr>
            <w:r>
              <w:rPr>
                <w:rFonts w:hint="eastAsia"/>
                <w:snapToGrid w:val="0"/>
                <w:sz w:val="21"/>
                <w:szCs w:val="21"/>
                <w:u w:val="single"/>
              </w:rPr>
              <w:t>推进工矿企业、物流园区、铁路货场新增或更新的内部作业车辆和机械新能源化，新增或更新的3吨以下叉车基本实现新能源化，加快淘汰国一及以下排放标准的工程机械。推动铁路内燃机车污染治理，消除冒黑烟现象，逐步淘汰排放不达标的老旧内燃机车。</w:t>
            </w:r>
          </w:p>
        </w:tc>
        <w:tc>
          <w:tcPr>
            <w:tcW w:w="1370" w:type="pct"/>
            <w:vAlign w:val="center"/>
          </w:tcPr>
          <w:p w14:paraId="54D62BA3">
            <w:pPr>
              <w:spacing w:line="240" w:lineRule="auto"/>
              <w:ind w:firstLine="210" w:firstLineChars="100"/>
              <w:textAlignment w:val="auto"/>
              <w:rPr>
                <w:snapToGrid w:val="0"/>
                <w:sz w:val="21"/>
                <w:szCs w:val="21"/>
                <w:u w:val="single"/>
              </w:rPr>
            </w:pPr>
            <w:r>
              <w:rPr>
                <w:rFonts w:hint="eastAsia"/>
                <w:snapToGrid w:val="0"/>
                <w:sz w:val="21"/>
                <w:szCs w:val="21"/>
                <w:u w:val="single"/>
              </w:rPr>
              <w:t>本项目作业车辆和机械采用新能源。</w:t>
            </w:r>
          </w:p>
        </w:tc>
        <w:tc>
          <w:tcPr>
            <w:tcW w:w="387" w:type="pct"/>
            <w:vAlign w:val="center"/>
          </w:tcPr>
          <w:p w14:paraId="3754E947">
            <w:pPr>
              <w:adjustRightInd/>
              <w:snapToGrid/>
              <w:spacing w:line="240" w:lineRule="auto"/>
              <w:ind w:firstLine="0" w:firstLineChars="0"/>
              <w:contextualSpacing/>
              <w:jc w:val="center"/>
              <w:rPr>
                <w:sz w:val="21"/>
                <w:szCs w:val="21"/>
                <w:u w:val="single"/>
              </w:rPr>
            </w:pPr>
            <w:r>
              <w:rPr>
                <w:rFonts w:hint="eastAsia"/>
                <w:sz w:val="21"/>
                <w:szCs w:val="21"/>
                <w:u w:val="single"/>
              </w:rPr>
              <w:t>符合</w:t>
            </w:r>
          </w:p>
        </w:tc>
      </w:tr>
    </w:tbl>
    <w:p w14:paraId="67398139">
      <w:pPr>
        <w:ind w:firstLine="480"/>
        <w:rPr>
          <w:highlight w:val="yellow"/>
          <w:u w:val="single"/>
        </w:rPr>
      </w:pPr>
      <w:r>
        <w:rPr>
          <w:rFonts w:hint="eastAsia"/>
          <w:u w:val="single"/>
        </w:rPr>
        <w:t>由上表可知，本项目符合卫辉市生态环境保护委员会办公室关于印发《卫辉市2024年蓝天保卫战实施方案》《卫辉市2024年碧水保卫战实施方案》《卫辉市2024年净土保卫战实施方案》《卫辉市2024年柴油货车污染治理攻坚战实施方案》的通知（卫环委办〔2024〕53号）的相关要求。</w:t>
      </w:r>
    </w:p>
    <w:p w14:paraId="21F5D12B">
      <w:pPr>
        <w:pStyle w:val="2"/>
        <w:ind w:firstLine="480"/>
        <w:rPr>
          <w:highlight w:val="yellow"/>
        </w:rPr>
        <w:sectPr>
          <w:footerReference r:id="rId17" w:type="default"/>
          <w:pgSz w:w="11906" w:h="16838"/>
          <w:pgMar w:top="1440" w:right="1797" w:bottom="1440" w:left="1797" w:header="851" w:footer="992" w:gutter="0"/>
          <w:cols w:space="425" w:num="1"/>
          <w:docGrid w:linePitch="326" w:charSpace="0"/>
        </w:sectPr>
      </w:pPr>
    </w:p>
    <w:bookmarkEnd w:id="1"/>
    <w:bookmarkEnd w:id="2"/>
    <w:bookmarkEnd w:id="3"/>
    <w:bookmarkEnd w:id="4"/>
    <w:bookmarkEnd w:id="5"/>
    <w:bookmarkEnd w:id="6"/>
    <w:bookmarkEnd w:id="7"/>
    <w:bookmarkEnd w:id="136"/>
    <w:bookmarkEnd w:id="137"/>
    <w:bookmarkEnd w:id="138"/>
    <w:bookmarkEnd w:id="139"/>
    <w:bookmarkEnd w:id="140"/>
    <w:p w14:paraId="1D3E9DC8">
      <w:pPr>
        <w:pStyle w:val="3"/>
      </w:pPr>
      <w:bookmarkStart w:id="155" w:name="_Toc324839551"/>
      <w:bookmarkStart w:id="156" w:name="_Toc176105857"/>
      <w:bookmarkStart w:id="157" w:name="_Toc311812636"/>
      <w:bookmarkStart w:id="158" w:name="_Toc324839254"/>
      <w:bookmarkStart w:id="159" w:name="_Toc453042543"/>
      <w:r>
        <w:t>工程分析</w:t>
      </w:r>
      <w:bookmarkEnd w:id="155"/>
      <w:bookmarkEnd w:id="156"/>
      <w:bookmarkEnd w:id="157"/>
      <w:bookmarkEnd w:id="158"/>
    </w:p>
    <w:bookmarkEnd w:id="159"/>
    <w:p w14:paraId="1D3EA902">
      <w:pPr>
        <w:pStyle w:val="4"/>
      </w:pPr>
      <w:bookmarkStart w:id="160" w:name="_Toc176105858"/>
      <w:bookmarkStart w:id="161" w:name="_Toc311812641"/>
      <w:r>
        <w:t>工程分析</w:t>
      </w:r>
      <w:bookmarkEnd w:id="160"/>
    </w:p>
    <w:p w14:paraId="1D3EA903">
      <w:pPr>
        <w:pStyle w:val="5"/>
        <w:spacing w:before="240" w:after="240"/>
      </w:pPr>
      <w:bookmarkStart w:id="162" w:name="_Toc428287562"/>
      <w:bookmarkStart w:id="163" w:name="_Toc428287210"/>
      <w:bookmarkStart w:id="164" w:name="_Toc428286816"/>
      <w:r>
        <w:t>项目基本情况</w:t>
      </w:r>
      <w:bookmarkEnd w:id="162"/>
      <w:bookmarkEnd w:id="163"/>
      <w:bookmarkEnd w:id="164"/>
    </w:p>
    <w:p w14:paraId="6E896A60">
      <w:pPr>
        <w:ind w:firstLine="480"/>
        <w:rPr>
          <w:u w:val="single"/>
        </w:rPr>
      </w:pPr>
      <w:r>
        <w:rPr>
          <w:rFonts w:hint="eastAsia"/>
          <w:u w:val="single"/>
        </w:rPr>
        <w:t>本项目租赁新乡市太行水泥粉磨有限公司现有空厂房进行建设（租赁协议见附件六），该空厂房所占位置为新乡市太行水泥粉磨有限公司的绿化用地，经公司重新规划后建为新厂房，不涉及新乡市太行水泥粉磨有限公司生产用房。</w:t>
      </w:r>
    </w:p>
    <w:p w14:paraId="1D3EA904">
      <w:pPr>
        <w:ind w:firstLine="480"/>
      </w:pPr>
      <w:r>
        <w:t>本项目基本情况见下表。</w:t>
      </w:r>
    </w:p>
    <w:p w14:paraId="1D3EA905">
      <w:pPr>
        <w:pStyle w:val="64"/>
        <w:numPr>
          <w:ilvl w:val="0"/>
          <w:numId w:val="14"/>
        </w:numPr>
        <w:spacing w:before="120" w:after="120"/>
        <w:ind w:left="884" w:hanging="442" w:firstLineChars="0"/>
      </w:pPr>
      <w:r>
        <w:t xml:space="preserve">                 项目基本情况</w:t>
      </w:r>
    </w:p>
    <w:tbl>
      <w:tblPr>
        <w:tblStyle w:val="41"/>
        <w:tblW w:w="50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339"/>
        <w:gridCol w:w="6395"/>
      </w:tblGrid>
      <w:tr w14:paraId="1D3EA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89" w:type="pct"/>
            <w:vAlign w:val="center"/>
          </w:tcPr>
          <w:p w14:paraId="1D3EA906">
            <w:pPr>
              <w:pStyle w:val="67"/>
              <w:rPr>
                <w:rFonts w:cs="Times New Roman"/>
                <w:color w:val="auto"/>
              </w:rPr>
            </w:pPr>
            <w:r>
              <w:rPr>
                <w:rFonts w:cs="Times New Roman"/>
                <w:color w:val="auto"/>
              </w:rPr>
              <w:t>序号</w:t>
            </w:r>
          </w:p>
        </w:tc>
        <w:tc>
          <w:tcPr>
            <w:tcW w:w="781" w:type="pct"/>
            <w:vAlign w:val="center"/>
          </w:tcPr>
          <w:p w14:paraId="1D3EA907">
            <w:pPr>
              <w:pStyle w:val="67"/>
              <w:rPr>
                <w:rFonts w:cs="Times New Roman"/>
                <w:color w:val="auto"/>
              </w:rPr>
            </w:pPr>
            <w:r>
              <w:rPr>
                <w:rFonts w:cs="Times New Roman"/>
                <w:color w:val="auto"/>
              </w:rPr>
              <w:t>项目</w:t>
            </w:r>
          </w:p>
        </w:tc>
        <w:tc>
          <w:tcPr>
            <w:tcW w:w="3730" w:type="pct"/>
            <w:vAlign w:val="center"/>
          </w:tcPr>
          <w:p w14:paraId="1D3EA908">
            <w:pPr>
              <w:pStyle w:val="67"/>
              <w:rPr>
                <w:rFonts w:cs="Times New Roman"/>
                <w:color w:val="auto"/>
              </w:rPr>
            </w:pPr>
            <w:r>
              <w:rPr>
                <w:rFonts w:cs="Times New Roman"/>
                <w:color w:val="auto"/>
              </w:rPr>
              <w:t>内容</w:t>
            </w:r>
          </w:p>
        </w:tc>
      </w:tr>
      <w:tr w14:paraId="1D3EA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0A">
            <w:pPr>
              <w:pStyle w:val="62"/>
            </w:pPr>
            <w:r>
              <w:t>1</w:t>
            </w:r>
          </w:p>
        </w:tc>
        <w:tc>
          <w:tcPr>
            <w:tcW w:w="781" w:type="pct"/>
            <w:vAlign w:val="center"/>
          </w:tcPr>
          <w:p w14:paraId="1D3EA90B">
            <w:pPr>
              <w:pStyle w:val="62"/>
            </w:pPr>
            <w:r>
              <w:t>项目名称</w:t>
            </w:r>
          </w:p>
        </w:tc>
        <w:tc>
          <w:tcPr>
            <w:tcW w:w="3730" w:type="pct"/>
            <w:vAlign w:val="center"/>
          </w:tcPr>
          <w:p w14:paraId="1D3EA90C">
            <w:pPr>
              <w:pStyle w:val="62"/>
            </w:pPr>
            <w:r>
              <w:rPr>
                <w:rFonts w:hint="eastAsia"/>
              </w:rPr>
              <w:t>年产10000吨聚醚改性硅油、1000吨色浆项目</w:t>
            </w:r>
          </w:p>
        </w:tc>
      </w:tr>
      <w:tr w14:paraId="1D3EA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0E">
            <w:pPr>
              <w:pStyle w:val="62"/>
            </w:pPr>
            <w:r>
              <w:t>2</w:t>
            </w:r>
          </w:p>
        </w:tc>
        <w:tc>
          <w:tcPr>
            <w:tcW w:w="781" w:type="pct"/>
            <w:vAlign w:val="center"/>
          </w:tcPr>
          <w:p w14:paraId="1D3EA90F">
            <w:pPr>
              <w:pStyle w:val="62"/>
            </w:pPr>
            <w:r>
              <w:t>建设单位</w:t>
            </w:r>
          </w:p>
        </w:tc>
        <w:tc>
          <w:tcPr>
            <w:tcW w:w="3730" w:type="pct"/>
            <w:vAlign w:val="center"/>
          </w:tcPr>
          <w:p w14:paraId="1D3EA910">
            <w:pPr>
              <w:pStyle w:val="62"/>
            </w:pPr>
            <w:r>
              <w:rPr>
                <w:rFonts w:hint="eastAsia"/>
              </w:rPr>
              <w:t>河南欣姣芬化工有限公司</w:t>
            </w:r>
          </w:p>
        </w:tc>
      </w:tr>
      <w:tr w14:paraId="1D3EA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12">
            <w:pPr>
              <w:pStyle w:val="62"/>
            </w:pPr>
            <w:r>
              <w:t>3</w:t>
            </w:r>
          </w:p>
        </w:tc>
        <w:tc>
          <w:tcPr>
            <w:tcW w:w="781" w:type="pct"/>
            <w:vAlign w:val="center"/>
          </w:tcPr>
          <w:p w14:paraId="1D3EA913">
            <w:pPr>
              <w:pStyle w:val="62"/>
            </w:pPr>
            <w:r>
              <w:t>建设地点</w:t>
            </w:r>
          </w:p>
        </w:tc>
        <w:tc>
          <w:tcPr>
            <w:tcW w:w="3730" w:type="pct"/>
            <w:vAlign w:val="center"/>
          </w:tcPr>
          <w:p w14:paraId="570C21C4">
            <w:pPr>
              <w:pStyle w:val="62"/>
            </w:pPr>
            <w:r>
              <w:rPr>
                <w:rFonts w:hint="eastAsia"/>
              </w:rPr>
              <w:t>新乡市卫辉市唐庄镇代庄村99号卫辉市铁西（化工）园区内</w:t>
            </w:r>
          </w:p>
          <w:p w14:paraId="1D3EA914">
            <w:pPr>
              <w:pStyle w:val="62"/>
            </w:pPr>
            <w:r>
              <w:t>（中心地理位置坐标为东经11</w:t>
            </w:r>
            <w:r>
              <w:rPr>
                <w:rFonts w:hint="eastAsia"/>
              </w:rPr>
              <w:t>4</w:t>
            </w:r>
            <w:r>
              <w:t>°</w:t>
            </w:r>
            <w:r>
              <w:rPr>
                <w:rFonts w:hint="eastAsia"/>
              </w:rPr>
              <w:t>2</w:t>
            </w:r>
            <w:r>
              <w:t>´</w:t>
            </w:r>
            <w:r>
              <w:rPr>
                <w:rFonts w:hint="eastAsia"/>
              </w:rPr>
              <w:t>3.95</w:t>
            </w:r>
            <w:r>
              <w:t>˝、北纬35°</w:t>
            </w:r>
            <w:r>
              <w:rPr>
                <w:rFonts w:hint="eastAsia"/>
              </w:rPr>
              <w:t>25</w:t>
            </w:r>
            <w:r>
              <w:t>´</w:t>
            </w:r>
            <w:r>
              <w:rPr>
                <w:rFonts w:hint="eastAsia"/>
              </w:rPr>
              <w:t>35.576</w:t>
            </w:r>
            <w:r>
              <w:t>˝）</w:t>
            </w:r>
          </w:p>
        </w:tc>
      </w:tr>
      <w:tr w14:paraId="1D3EA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16">
            <w:pPr>
              <w:pStyle w:val="62"/>
            </w:pPr>
            <w:r>
              <w:t>4</w:t>
            </w:r>
          </w:p>
        </w:tc>
        <w:tc>
          <w:tcPr>
            <w:tcW w:w="781" w:type="pct"/>
            <w:vAlign w:val="center"/>
          </w:tcPr>
          <w:p w14:paraId="1D3EA917">
            <w:pPr>
              <w:pStyle w:val="62"/>
            </w:pPr>
            <w:r>
              <w:t>产品方案</w:t>
            </w:r>
          </w:p>
        </w:tc>
        <w:tc>
          <w:tcPr>
            <w:tcW w:w="3730" w:type="pct"/>
            <w:vAlign w:val="center"/>
          </w:tcPr>
          <w:p w14:paraId="1D3EA918">
            <w:pPr>
              <w:pStyle w:val="62"/>
              <w:rPr>
                <w:highlight w:val="yellow"/>
              </w:rPr>
            </w:pPr>
            <w:r>
              <w:rPr>
                <w:rFonts w:hint="eastAsia"/>
              </w:rPr>
              <w:t>聚醚改性硅油10000t/a、色浆1000t/a</w:t>
            </w:r>
          </w:p>
        </w:tc>
      </w:tr>
      <w:tr w14:paraId="1D3EA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1A">
            <w:pPr>
              <w:pStyle w:val="62"/>
            </w:pPr>
            <w:r>
              <w:t>5</w:t>
            </w:r>
          </w:p>
        </w:tc>
        <w:tc>
          <w:tcPr>
            <w:tcW w:w="781" w:type="pct"/>
            <w:vAlign w:val="center"/>
          </w:tcPr>
          <w:p w14:paraId="1D3EA91B">
            <w:pPr>
              <w:pStyle w:val="62"/>
            </w:pPr>
            <w:r>
              <w:t>投资</w:t>
            </w:r>
          </w:p>
        </w:tc>
        <w:tc>
          <w:tcPr>
            <w:tcW w:w="3730" w:type="pct"/>
            <w:vAlign w:val="center"/>
          </w:tcPr>
          <w:p w14:paraId="1D3EA91C">
            <w:pPr>
              <w:pStyle w:val="62"/>
            </w:pPr>
            <w:r>
              <w:rPr>
                <w:rFonts w:hint="eastAsia"/>
              </w:rPr>
              <w:t>3000</w:t>
            </w:r>
            <w:r>
              <w:t>万元</w:t>
            </w:r>
            <w:r>
              <w:rPr>
                <w:rFonts w:hint="eastAsia"/>
              </w:rPr>
              <w:t>（交税1</w:t>
            </w:r>
            <w:r>
              <w:t>35</w:t>
            </w:r>
            <w:r>
              <w:rPr>
                <w:rFonts w:hint="eastAsia"/>
              </w:rPr>
              <w:t>万元）</w:t>
            </w:r>
          </w:p>
        </w:tc>
      </w:tr>
      <w:tr w14:paraId="1D3EA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1E">
            <w:pPr>
              <w:pStyle w:val="62"/>
            </w:pPr>
            <w:r>
              <w:t>6</w:t>
            </w:r>
          </w:p>
        </w:tc>
        <w:tc>
          <w:tcPr>
            <w:tcW w:w="781" w:type="pct"/>
            <w:vAlign w:val="center"/>
          </w:tcPr>
          <w:p w14:paraId="1D3EA91F">
            <w:pPr>
              <w:pStyle w:val="62"/>
            </w:pPr>
            <w:r>
              <w:t>法人代表</w:t>
            </w:r>
          </w:p>
        </w:tc>
        <w:tc>
          <w:tcPr>
            <w:tcW w:w="3730" w:type="pct"/>
            <w:vAlign w:val="center"/>
          </w:tcPr>
          <w:p w14:paraId="1D3EA920">
            <w:pPr>
              <w:pStyle w:val="62"/>
            </w:pPr>
            <w:r>
              <w:rPr>
                <w:rFonts w:hint="eastAsia"/>
              </w:rPr>
              <w:t>王玉军410704196709090515</w:t>
            </w:r>
          </w:p>
        </w:tc>
      </w:tr>
      <w:tr w14:paraId="1D3EA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22">
            <w:pPr>
              <w:pStyle w:val="62"/>
            </w:pPr>
            <w:r>
              <w:t>7</w:t>
            </w:r>
          </w:p>
        </w:tc>
        <w:tc>
          <w:tcPr>
            <w:tcW w:w="781" w:type="pct"/>
            <w:vAlign w:val="center"/>
          </w:tcPr>
          <w:p w14:paraId="1D3EA923">
            <w:pPr>
              <w:pStyle w:val="62"/>
            </w:pPr>
            <w:r>
              <w:t>占地面积</w:t>
            </w:r>
          </w:p>
        </w:tc>
        <w:tc>
          <w:tcPr>
            <w:tcW w:w="3730" w:type="pct"/>
            <w:vAlign w:val="center"/>
          </w:tcPr>
          <w:p w14:paraId="1D3EA924">
            <w:pPr>
              <w:pStyle w:val="62"/>
              <w:rPr>
                <w:highlight w:val="yellow"/>
              </w:rPr>
            </w:pPr>
            <w:r>
              <w:rPr>
                <w:rFonts w:hint="eastAsia"/>
              </w:rPr>
              <w:t>3032m</w:t>
            </w:r>
            <w:r>
              <w:rPr>
                <w:rFonts w:hint="eastAsia"/>
                <w:vertAlign w:val="superscript"/>
              </w:rPr>
              <w:t>2</w:t>
            </w:r>
          </w:p>
        </w:tc>
      </w:tr>
      <w:tr w14:paraId="1D3EA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26">
            <w:pPr>
              <w:pStyle w:val="62"/>
            </w:pPr>
            <w:r>
              <w:t>8</w:t>
            </w:r>
          </w:p>
        </w:tc>
        <w:tc>
          <w:tcPr>
            <w:tcW w:w="781" w:type="pct"/>
            <w:vAlign w:val="center"/>
          </w:tcPr>
          <w:p w14:paraId="1D3EA927">
            <w:pPr>
              <w:pStyle w:val="62"/>
            </w:pPr>
            <w:r>
              <w:t>职工人数</w:t>
            </w:r>
          </w:p>
        </w:tc>
        <w:tc>
          <w:tcPr>
            <w:tcW w:w="3730" w:type="pct"/>
            <w:vAlign w:val="center"/>
          </w:tcPr>
          <w:p w14:paraId="1D3EA928">
            <w:pPr>
              <w:pStyle w:val="62"/>
              <w:rPr>
                <w:highlight w:val="yellow"/>
                <w:u w:val="single"/>
              </w:rPr>
            </w:pPr>
            <w:r>
              <w:rPr>
                <w:rFonts w:hint="eastAsia"/>
                <w:u w:val="single"/>
              </w:rPr>
              <w:t>20</w:t>
            </w:r>
            <w:r>
              <w:rPr>
                <w:u w:val="single"/>
              </w:rPr>
              <w:t>人</w:t>
            </w:r>
          </w:p>
        </w:tc>
      </w:tr>
      <w:tr w14:paraId="1D3EA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2A">
            <w:pPr>
              <w:pStyle w:val="62"/>
            </w:pPr>
            <w:r>
              <w:t>9</w:t>
            </w:r>
          </w:p>
        </w:tc>
        <w:tc>
          <w:tcPr>
            <w:tcW w:w="781" w:type="pct"/>
            <w:vAlign w:val="center"/>
          </w:tcPr>
          <w:p w14:paraId="1D3EA92B">
            <w:pPr>
              <w:pStyle w:val="62"/>
            </w:pPr>
            <w:r>
              <w:t>生产制度</w:t>
            </w:r>
          </w:p>
        </w:tc>
        <w:tc>
          <w:tcPr>
            <w:tcW w:w="3730" w:type="pct"/>
            <w:vAlign w:val="center"/>
          </w:tcPr>
          <w:p w14:paraId="1D3EA92C">
            <w:pPr>
              <w:pStyle w:val="62"/>
              <w:rPr>
                <w:highlight w:val="yellow"/>
              </w:rPr>
            </w:pPr>
            <w:r>
              <w:t>年生产</w:t>
            </w:r>
            <w:r>
              <w:rPr>
                <w:rFonts w:hint="eastAsia"/>
              </w:rPr>
              <w:t>250</w:t>
            </w:r>
            <w:r>
              <w:t>天，</w:t>
            </w:r>
            <w:r>
              <w:rPr>
                <w:rFonts w:hint="eastAsia"/>
              </w:rPr>
              <w:t>两班制</w:t>
            </w:r>
            <w:r>
              <w:t>，每班工作8小时</w:t>
            </w:r>
          </w:p>
        </w:tc>
      </w:tr>
      <w:tr w14:paraId="1D3EA9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2E">
            <w:pPr>
              <w:pStyle w:val="62"/>
            </w:pPr>
            <w:r>
              <w:t>10</w:t>
            </w:r>
          </w:p>
        </w:tc>
        <w:tc>
          <w:tcPr>
            <w:tcW w:w="781" w:type="pct"/>
            <w:vAlign w:val="center"/>
          </w:tcPr>
          <w:p w14:paraId="1D3EA92F">
            <w:pPr>
              <w:pStyle w:val="62"/>
            </w:pPr>
            <w:r>
              <w:t>供水</w:t>
            </w:r>
          </w:p>
        </w:tc>
        <w:tc>
          <w:tcPr>
            <w:tcW w:w="3730" w:type="pct"/>
            <w:vAlign w:val="center"/>
          </w:tcPr>
          <w:p w14:paraId="1D3EA930">
            <w:pPr>
              <w:pStyle w:val="62"/>
              <w:rPr>
                <w:highlight w:val="yellow"/>
                <w:u w:val="single"/>
              </w:rPr>
            </w:pPr>
            <w:r>
              <w:rPr>
                <w:rFonts w:hint="eastAsia"/>
                <w:u w:val="single"/>
              </w:rPr>
              <w:t>目前园区生产用水管网正在建设中，生活用水管网已建成，建成之前生产用水暂时使用本项目租赁厂区新乡市太行水泥粉磨有限公司的自备井水，生活用水使用园区统一供水，待园区生产用水管网建成后，采用园区统一供应用水。</w:t>
            </w:r>
          </w:p>
        </w:tc>
      </w:tr>
      <w:tr w14:paraId="669F9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271534B3">
            <w:pPr>
              <w:pStyle w:val="62"/>
            </w:pPr>
            <w:r>
              <w:rPr>
                <w:rFonts w:hint="eastAsia"/>
              </w:rPr>
              <w:t>11</w:t>
            </w:r>
          </w:p>
        </w:tc>
        <w:tc>
          <w:tcPr>
            <w:tcW w:w="781" w:type="pct"/>
            <w:vAlign w:val="center"/>
          </w:tcPr>
          <w:p w14:paraId="73938A6B">
            <w:pPr>
              <w:pStyle w:val="62"/>
            </w:pPr>
            <w:r>
              <w:rPr>
                <w:rFonts w:hint="eastAsia"/>
              </w:rPr>
              <w:t>供电</w:t>
            </w:r>
          </w:p>
        </w:tc>
        <w:tc>
          <w:tcPr>
            <w:tcW w:w="3730" w:type="pct"/>
            <w:vAlign w:val="center"/>
          </w:tcPr>
          <w:p w14:paraId="7E323170">
            <w:pPr>
              <w:pStyle w:val="62"/>
            </w:pPr>
            <w:r>
              <w:t>园区供应</w:t>
            </w:r>
          </w:p>
        </w:tc>
      </w:tr>
      <w:tr w14:paraId="1D3EA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1D3EA932">
            <w:pPr>
              <w:pStyle w:val="62"/>
            </w:pPr>
            <w:r>
              <w:t>1</w:t>
            </w:r>
            <w:r>
              <w:rPr>
                <w:rFonts w:hint="eastAsia"/>
              </w:rPr>
              <w:t>2</w:t>
            </w:r>
          </w:p>
        </w:tc>
        <w:tc>
          <w:tcPr>
            <w:tcW w:w="781" w:type="pct"/>
            <w:vAlign w:val="center"/>
          </w:tcPr>
          <w:p w14:paraId="1D3EA933">
            <w:pPr>
              <w:pStyle w:val="62"/>
            </w:pPr>
            <w:r>
              <w:t>排水去向</w:t>
            </w:r>
          </w:p>
        </w:tc>
        <w:tc>
          <w:tcPr>
            <w:tcW w:w="3730" w:type="pct"/>
            <w:vAlign w:val="center"/>
          </w:tcPr>
          <w:p w14:paraId="1D3EA934">
            <w:pPr>
              <w:pStyle w:val="62"/>
              <w:rPr>
                <w:highlight w:val="yellow"/>
              </w:rPr>
            </w:pPr>
            <w:r>
              <w:t>车间地面拖洗废水</w:t>
            </w:r>
            <w:r>
              <w:rPr>
                <w:rFonts w:hint="eastAsia"/>
              </w:rPr>
              <w:t>、喷淋废水经厂区污水处理站处理后与经化粪池处理后的生活污水、循环冷却水系统排水一起</w:t>
            </w:r>
            <w:r>
              <w:t>经</w:t>
            </w:r>
            <w:r>
              <w:rPr>
                <w:rFonts w:hint="eastAsia"/>
              </w:rPr>
              <w:t>厂区总排口排入</w:t>
            </w:r>
            <w:r>
              <w:t>市政管网</w:t>
            </w:r>
            <w:r>
              <w:rPr>
                <w:rFonts w:hint="eastAsia"/>
              </w:rPr>
              <w:t>，</w:t>
            </w:r>
            <w:r>
              <w:t>进入</w:t>
            </w:r>
            <w:r>
              <w:rPr>
                <w:rFonts w:hint="eastAsia"/>
              </w:rPr>
              <w:t>唐庄</w:t>
            </w:r>
            <w:r>
              <w:t>污水处理厂</w:t>
            </w:r>
            <w:r>
              <w:rPr>
                <w:rFonts w:hint="eastAsia"/>
              </w:rPr>
              <w:t>进一步处理</w:t>
            </w:r>
            <w:r>
              <w:t>，出水最终汇入</w:t>
            </w:r>
            <w:r>
              <w:rPr>
                <w:rFonts w:hint="eastAsia"/>
              </w:rPr>
              <w:t>共产主义渠</w:t>
            </w:r>
          </w:p>
        </w:tc>
      </w:tr>
    </w:tbl>
    <w:p w14:paraId="1D3EA936">
      <w:pPr>
        <w:pStyle w:val="5"/>
        <w:spacing w:before="240" w:after="240"/>
      </w:pPr>
      <w:r>
        <w:t>项目组成</w:t>
      </w:r>
    </w:p>
    <w:p w14:paraId="1D3EA937">
      <w:pPr>
        <w:ind w:firstLine="480"/>
      </w:pPr>
      <w:r>
        <w:t>本项目主要组成及建设情况见下表。</w:t>
      </w:r>
    </w:p>
    <w:p w14:paraId="0756A239">
      <w:pPr>
        <w:pStyle w:val="2"/>
        <w:ind w:firstLine="480"/>
      </w:pPr>
    </w:p>
    <w:p w14:paraId="1D3EA938">
      <w:pPr>
        <w:pStyle w:val="64"/>
        <w:numPr>
          <w:ilvl w:val="0"/>
          <w:numId w:val="14"/>
        </w:numPr>
        <w:spacing w:before="120" w:after="120"/>
        <w:ind w:left="884" w:hanging="442" w:firstLineChars="0"/>
      </w:pPr>
      <w:bookmarkStart w:id="165" w:name="_Toc428286818"/>
      <w:bookmarkStart w:id="166" w:name="_Toc428287212"/>
      <w:bookmarkStart w:id="167" w:name="_Toc428287564"/>
      <w:r>
        <w:t xml:space="preserve">        本项目主要组成及建设情况一览表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40"/>
        <w:gridCol w:w="671"/>
        <w:gridCol w:w="681"/>
        <w:gridCol w:w="1009"/>
        <w:gridCol w:w="1009"/>
        <w:gridCol w:w="1429"/>
        <w:gridCol w:w="864"/>
        <w:gridCol w:w="716"/>
        <w:gridCol w:w="718"/>
        <w:gridCol w:w="931"/>
      </w:tblGrid>
      <w:tr w14:paraId="1D3EA9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03" w:type="pct"/>
            <w:vAlign w:val="center"/>
          </w:tcPr>
          <w:p w14:paraId="1D3EA939">
            <w:pPr>
              <w:pStyle w:val="67"/>
              <w:rPr>
                <w:rFonts w:cs="Times New Roman"/>
                <w:color w:val="auto"/>
                <w:u w:val="single"/>
              </w:rPr>
            </w:pPr>
            <w:r>
              <w:rPr>
                <w:rFonts w:cs="Times New Roman"/>
                <w:color w:val="auto"/>
                <w:u w:val="single"/>
              </w:rPr>
              <w:t>序号</w:t>
            </w:r>
          </w:p>
        </w:tc>
        <w:tc>
          <w:tcPr>
            <w:tcW w:w="401" w:type="pct"/>
            <w:vAlign w:val="center"/>
          </w:tcPr>
          <w:p w14:paraId="1D3EA93A">
            <w:pPr>
              <w:pStyle w:val="67"/>
              <w:rPr>
                <w:rFonts w:cs="Times New Roman"/>
                <w:color w:val="auto"/>
                <w:u w:val="single"/>
              </w:rPr>
            </w:pPr>
            <w:r>
              <w:rPr>
                <w:rFonts w:cs="Times New Roman"/>
                <w:color w:val="auto"/>
                <w:u w:val="single"/>
              </w:rPr>
              <w:t>工程类别</w:t>
            </w:r>
          </w:p>
        </w:tc>
        <w:tc>
          <w:tcPr>
            <w:tcW w:w="1613" w:type="pct"/>
            <w:gridSpan w:val="3"/>
            <w:vAlign w:val="center"/>
          </w:tcPr>
          <w:p w14:paraId="1D3EA93B">
            <w:pPr>
              <w:pStyle w:val="67"/>
              <w:rPr>
                <w:rFonts w:cs="Times New Roman"/>
                <w:color w:val="auto"/>
                <w:u w:val="single"/>
              </w:rPr>
            </w:pPr>
            <w:r>
              <w:rPr>
                <w:rFonts w:cs="Times New Roman"/>
                <w:color w:val="auto"/>
                <w:u w:val="single"/>
              </w:rPr>
              <w:t>工程名称</w:t>
            </w:r>
          </w:p>
        </w:tc>
        <w:tc>
          <w:tcPr>
            <w:tcW w:w="2227" w:type="pct"/>
            <w:gridSpan w:val="4"/>
            <w:vAlign w:val="center"/>
          </w:tcPr>
          <w:p w14:paraId="1D3EA93C">
            <w:pPr>
              <w:pStyle w:val="67"/>
              <w:rPr>
                <w:rFonts w:cs="Times New Roman"/>
                <w:color w:val="auto"/>
                <w:u w:val="single"/>
              </w:rPr>
            </w:pPr>
            <w:r>
              <w:rPr>
                <w:rFonts w:cs="Times New Roman"/>
                <w:color w:val="auto"/>
                <w:u w:val="single"/>
                <w:lang w:val="pt-BR"/>
              </w:rPr>
              <w:t>数量、规模或要求</w:t>
            </w:r>
          </w:p>
        </w:tc>
        <w:tc>
          <w:tcPr>
            <w:tcW w:w="556" w:type="pct"/>
            <w:vAlign w:val="center"/>
          </w:tcPr>
          <w:p w14:paraId="1D3EA93D">
            <w:pPr>
              <w:pStyle w:val="67"/>
              <w:rPr>
                <w:rFonts w:cs="Times New Roman"/>
                <w:color w:val="auto"/>
                <w:u w:val="single"/>
              </w:rPr>
            </w:pPr>
            <w:r>
              <w:rPr>
                <w:rFonts w:cs="Times New Roman"/>
                <w:color w:val="auto"/>
                <w:u w:val="single"/>
                <w:lang w:val="pt-BR"/>
              </w:rPr>
              <w:t>备注</w:t>
            </w:r>
          </w:p>
        </w:tc>
      </w:tr>
      <w:tr w14:paraId="1D3EA9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restart"/>
            <w:vAlign w:val="center"/>
          </w:tcPr>
          <w:p w14:paraId="1D3EA93F">
            <w:pPr>
              <w:pStyle w:val="62"/>
              <w:rPr>
                <w:u w:val="single"/>
              </w:rPr>
            </w:pPr>
            <w:r>
              <w:rPr>
                <w:u w:val="single"/>
              </w:rPr>
              <w:t>1</w:t>
            </w:r>
          </w:p>
        </w:tc>
        <w:tc>
          <w:tcPr>
            <w:tcW w:w="401" w:type="pct"/>
            <w:vMerge w:val="restart"/>
            <w:vAlign w:val="center"/>
          </w:tcPr>
          <w:p w14:paraId="1D3EA940">
            <w:pPr>
              <w:pStyle w:val="62"/>
              <w:rPr>
                <w:u w:val="single"/>
              </w:rPr>
            </w:pPr>
            <w:r>
              <w:rPr>
                <w:u w:val="single"/>
              </w:rPr>
              <w:t>主体工程</w:t>
            </w:r>
          </w:p>
        </w:tc>
        <w:tc>
          <w:tcPr>
            <w:tcW w:w="407" w:type="pct"/>
            <w:vMerge w:val="restart"/>
            <w:vAlign w:val="center"/>
          </w:tcPr>
          <w:p w14:paraId="2E385407">
            <w:pPr>
              <w:pStyle w:val="62"/>
              <w:rPr>
                <w:u w:val="single"/>
              </w:rPr>
            </w:pPr>
            <w:r>
              <w:rPr>
                <w:rFonts w:hint="eastAsia"/>
                <w:u w:val="single"/>
              </w:rPr>
              <w:t>车间</w:t>
            </w:r>
          </w:p>
        </w:tc>
        <w:tc>
          <w:tcPr>
            <w:tcW w:w="1206" w:type="pct"/>
            <w:gridSpan w:val="2"/>
            <w:vAlign w:val="center"/>
          </w:tcPr>
          <w:p w14:paraId="1D3EA941">
            <w:pPr>
              <w:pStyle w:val="62"/>
              <w:rPr>
                <w:u w:val="single"/>
              </w:rPr>
            </w:pPr>
            <w:r>
              <w:rPr>
                <w:rFonts w:hint="eastAsia"/>
                <w:u w:val="single"/>
              </w:rPr>
              <w:t>反应釜区</w:t>
            </w:r>
          </w:p>
        </w:tc>
        <w:tc>
          <w:tcPr>
            <w:tcW w:w="2227" w:type="pct"/>
            <w:gridSpan w:val="4"/>
            <w:vAlign w:val="center"/>
          </w:tcPr>
          <w:p w14:paraId="1D3EA942">
            <w:pPr>
              <w:pStyle w:val="62"/>
              <w:rPr>
                <w:u w:val="single"/>
              </w:rPr>
            </w:pPr>
            <w:r>
              <w:rPr>
                <w:bCs/>
                <w:u w:val="single"/>
              </w:rPr>
              <w:t>占地面积1</w:t>
            </w:r>
            <w:r>
              <w:rPr>
                <w:rFonts w:hint="eastAsia"/>
                <w:bCs/>
                <w:u w:val="single"/>
              </w:rPr>
              <w:t>98</w:t>
            </w:r>
            <w:r>
              <w:rPr>
                <w:bCs/>
                <w:u w:val="single"/>
              </w:rPr>
              <w:t>m</w:t>
            </w:r>
            <w:r>
              <w:rPr>
                <w:bCs/>
                <w:u w:val="single"/>
                <w:vertAlign w:val="superscript"/>
              </w:rPr>
              <w:t>2</w:t>
            </w:r>
          </w:p>
        </w:tc>
        <w:tc>
          <w:tcPr>
            <w:tcW w:w="556" w:type="pct"/>
            <w:vAlign w:val="center"/>
          </w:tcPr>
          <w:p w14:paraId="1D3EA943">
            <w:pPr>
              <w:pStyle w:val="62"/>
              <w:rPr>
                <w:u w:val="single"/>
              </w:rPr>
            </w:pPr>
            <w:r>
              <w:rPr>
                <w:u w:val="single"/>
              </w:rPr>
              <w:t>新建</w:t>
            </w:r>
          </w:p>
        </w:tc>
      </w:tr>
      <w:tr w14:paraId="1D3EA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D3EA945">
            <w:pPr>
              <w:pStyle w:val="62"/>
              <w:rPr>
                <w:highlight w:val="yellow"/>
                <w:u w:val="single"/>
              </w:rPr>
            </w:pPr>
          </w:p>
        </w:tc>
        <w:tc>
          <w:tcPr>
            <w:tcW w:w="401" w:type="pct"/>
            <w:vMerge w:val="continue"/>
            <w:vAlign w:val="center"/>
          </w:tcPr>
          <w:p w14:paraId="1D3EA946">
            <w:pPr>
              <w:pStyle w:val="62"/>
              <w:rPr>
                <w:highlight w:val="yellow"/>
                <w:u w:val="single"/>
              </w:rPr>
            </w:pPr>
          </w:p>
        </w:tc>
        <w:tc>
          <w:tcPr>
            <w:tcW w:w="407" w:type="pct"/>
            <w:vMerge w:val="continue"/>
            <w:vAlign w:val="center"/>
          </w:tcPr>
          <w:p w14:paraId="01C05FA5">
            <w:pPr>
              <w:pStyle w:val="62"/>
              <w:rPr>
                <w:u w:val="single"/>
              </w:rPr>
            </w:pPr>
          </w:p>
        </w:tc>
        <w:tc>
          <w:tcPr>
            <w:tcW w:w="1206" w:type="pct"/>
            <w:gridSpan w:val="2"/>
            <w:vAlign w:val="center"/>
          </w:tcPr>
          <w:p w14:paraId="1D3EA947">
            <w:pPr>
              <w:pStyle w:val="62"/>
              <w:rPr>
                <w:u w:val="single"/>
              </w:rPr>
            </w:pPr>
            <w:r>
              <w:rPr>
                <w:rFonts w:hint="eastAsia"/>
                <w:u w:val="single"/>
              </w:rPr>
              <w:t>搅拌区</w:t>
            </w:r>
          </w:p>
        </w:tc>
        <w:tc>
          <w:tcPr>
            <w:tcW w:w="2227" w:type="pct"/>
            <w:gridSpan w:val="4"/>
            <w:vAlign w:val="center"/>
          </w:tcPr>
          <w:p w14:paraId="1D3EA948">
            <w:pPr>
              <w:pStyle w:val="62"/>
              <w:rPr>
                <w:u w:val="single"/>
              </w:rPr>
            </w:pPr>
            <w:r>
              <w:rPr>
                <w:bCs/>
                <w:u w:val="single"/>
              </w:rPr>
              <w:t>占地面积</w:t>
            </w:r>
            <w:r>
              <w:rPr>
                <w:rFonts w:hint="eastAsia"/>
                <w:bCs/>
                <w:u w:val="single"/>
              </w:rPr>
              <w:t>116</w:t>
            </w:r>
            <w:r>
              <w:rPr>
                <w:bCs/>
                <w:u w:val="single"/>
              </w:rPr>
              <w:t>m</w:t>
            </w:r>
            <w:r>
              <w:rPr>
                <w:bCs/>
                <w:u w:val="single"/>
                <w:vertAlign w:val="superscript"/>
              </w:rPr>
              <w:t>2</w:t>
            </w:r>
          </w:p>
        </w:tc>
        <w:tc>
          <w:tcPr>
            <w:tcW w:w="556" w:type="pct"/>
            <w:vAlign w:val="center"/>
          </w:tcPr>
          <w:p w14:paraId="1D3EA949">
            <w:pPr>
              <w:pStyle w:val="62"/>
              <w:rPr>
                <w:u w:val="single"/>
              </w:rPr>
            </w:pPr>
            <w:r>
              <w:rPr>
                <w:u w:val="single"/>
              </w:rPr>
              <w:t>新建</w:t>
            </w:r>
          </w:p>
        </w:tc>
      </w:tr>
      <w:tr w14:paraId="1D3EA9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D3EA94B">
            <w:pPr>
              <w:pStyle w:val="62"/>
              <w:rPr>
                <w:highlight w:val="yellow"/>
                <w:u w:val="single"/>
              </w:rPr>
            </w:pPr>
          </w:p>
        </w:tc>
        <w:tc>
          <w:tcPr>
            <w:tcW w:w="401" w:type="pct"/>
            <w:vMerge w:val="continue"/>
            <w:vAlign w:val="center"/>
          </w:tcPr>
          <w:p w14:paraId="1D3EA94C">
            <w:pPr>
              <w:pStyle w:val="62"/>
              <w:rPr>
                <w:highlight w:val="yellow"/>
                <w:u w:val="single"/>
              </w:rPr>
            </w:pPr>
          </w:p>
        </w:tc>
        <w:tc>
          <w:tcPr>
            <w:tcW w:w="407" w:type="pct"/>
            <w:vMerge w:val="continue"/>
            <w:vAlign w:val="center"/>
          </w:tcPr>
          <w:p w14:paraId="75011B86">
            <w:pPr>
              <w:pStyle w:val="62"/>
              <w:rPr>
                <w:u w:val="single"/>
              </w:rPr>
            </w:pPr>
          </w:p>
        </w:tc>
        <w:tc>
          <w:tcPr>
            <w:tcW w:w="1206" w:type="pct"/>
            <w:gridSpan w:val="2"/>
            <w:vAlign w:val="center"/>
          </w:tcPr>
          <w:p w14:paraId="1D3EA94D">
            <w:pPr>
              <w:pStyle w:val="62"/>
              <w:rPr>
                <w:u w:val="single"/>
              </w:rPr>
            </w:pPr>
            <w:r>
              <w:rPr>
                <w:rFonts w:hint="eastAsia"/>
                <w:u w:val="single"/>
              </w:rPr>
              <w:t>罐装区</w:t>
            </w:r>
          </w:p>
        </w:tc>
        <w:tc>
          <w:tcPr>
            <w:tcW w:w="2227" w:type="pct"/>
            <w:gridSpan w:val="4"/>
            <w:vAlign w:val="center"/>
          </w:tcPr>
          <w:p w14:paraId="1D3EA94E">
            <w:pPr>
              <w:pStyle w:val="62"/>
              <w:rPr>
                <w:bCs/>
                <w:u w:val="single"/>
              </w:rPr>
            </w:pPr>
            <w:r>
              <w:rPr>
                <w:bCs/>
                <w:u w:val="single"/>
              </w:rPr>
              <w:t>占地面积</w:t>
            </w:r>
            <w:r>
              <w:rPr>
                <w:rFonts w:hint="eastAsia"/>
                <w:bCs/>
                <w:u w:val="single"/>
              </w:rPr>
              <w:t>24</w:t>
            </w:r>
            <w:r>
              <w:rPr>
                <w:bCs/>
                <w:u w:val="single"/>
              </w:rPr>
              <w:t>m</w:t>
            </w:r>
            <w:r>
              <w:rPr>
                <w:bCs/>
                <w:u w:val="single"/>
                <w:vertAlign w:val="superscript"/>
              </w:rPr>
              <w:t>2</w:t>
            </w:r>
          </w:p>
        </w:tc>
        <w:tc>
          <w:tcPr>
            <w:tcW w:w="556" w:type="pct"/>
            <w:vAlign w:val="center"/>
          </w:tcPr>
          <w:p w14:paraId="1D3EA94F">
            <w:pPr>
              <w:pStyle w:val="62"/>
              <w:rPr>
                <w:u w:val="single"/>
              </w:rPr>
            </w:pPr>
            <w:r>
              <w:rPr>
                <w:u w:val="single"/>
              </w:rPr>
              <w:t>新建</w:t>
            </w:r>
          </w:p>
        </w:tc>
      </w:tr>
      <w:tr w14:paraId="261CA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9529FE6">
            <w:pPr>
              <w:pStyle w:val="62"/>
              <w:rPr>
                <w:highlight w:val="yellow"/>
                <w:u w:val="single"/>
              </w:rPr>
            </w:pPr>
          </w:p>
        </w:tc>
        <w:tc>
          <w:tcPr>
            <w:tcW w:w="401" w:type="pct"/>
            <w:vMerge w:val="continue"/>
            <w:vAlign w:val="center"/>
          </w:tcPr>
          <w:p w14:paraId="11CD06AF">
            <w:pPr>
              <w:pStyle w:val="62"/>
              <w:rPr>
                <w:highlight w:val="yellow"/>
                <w:u w:val="single"/>
              </w:rPr>
            </w:pPr>
          </w:p>
        </w:tc>
        <w:tc>
          <w:tcPr>
            <w:tcW w:w="407" w:type="pct"/>
            <w:vMerge w:val="continue"/>
            <w:vAlign w:val="center"/>
          </w:tcPr>
          <w:p w14:paraId="2DAA310C">
            <w:pPr>
              <w:pStyle w:val="62"/>
              <w:rPr>
                <w:u w:val="single"/>
              </w:rPr>
            </w:pPr>
          </w:p>
        </w:tc>
        <w:tc>
          <w:tcPr>
            <w:tcW w:w="1206" w:type="pct"/>
            <w:gridSpan w:val="2"/>
            <w:vAlign w:val="center"/>
          </w:tcPr>
          <w:p w14:paraId="01863009">
            <w:pPr>
              <w:pStyle w:val="62"/>
              <w:rPr>
                <w:u w:val="single"/>
              </w:rPr>
            </w:pPr>
            <w:r>
              <w:rPr>
                <w:rFonts w:hint="eastAsia"/>
                <w:u w:val="single"/>
              </w:rPr>
              <w:t>压滤离心区</w:t>
            </w:r>
          </w:p>
        </w:tc>
        <w:tc>
          <w:tcPr>
            <w:tcW w:w="2227" w:type="pct"/>
            <w:gridSpan w:val="4"/>
            <w:vAlign w:val="center"/>
          </w:tcPr>
          <w:p w14:paraId="13ED6F30">
            <w:pPr>
              <w:pStyle w:val="62"/>
              <w:rPr>
                <w:bCs/>
                <w:highlight w:val="yellow"/>
                <w:u w:val="single"/>
              </w:rPr>
            </w:pPr>
            <w:r>
              <w:rPr>
                <w:bCs/>
                <w:u w:val="single"/>
              </w:rPr>
              <w:t>占地面积</w:t>
            </w:r>
            <w:r>
              <w:rPr>
                <w:rFonts w:hint="eastAsia"/>
                <w:bCs/>
                <w:u w:val="single"/>
              </w:rPr>
              <w:t>84</w:t>
            </w:r>
            <w:r>
              <w:rPr>
                <w:bCs/>
                <w:u w:val="single"/>
              </w:rPr>
              <w:t>m</w:t>
            </w:r>
            <w:r>
              <w:rPr>
                <w:bCs/>
                <w:u w:val="single"/>
                <w:vertAlign w:val="superscript"/>
              </w:rPr>
              <w:t>2</w:t>
            </w:r>
          </w:p>
        </w:tc>
        <w:tc>
          <w:tcPr>
            <w:tcW w:w="556" w:type="pct"/>
            <w:vAlign w:val="center"/>
          </w:tcPr>
          <w:p w14:paraId="16CF3478">
            <w:pPr>
              <w:pStyle w:val="62"/>
              <w:rPr>
                <w:highlight w:val="yellow"/>
                <w:u w:val="single"/>
              </w:rPr>
            </w:pPr>
            <w:r>
              <w:rPr>
                <w:u w:val="single"/>
              </w:rPr>
              <w:t>新建</w:t>
            </w:r>
          </w:p>
        </w:tc>
      </w:tr>
      <w:tr w14:paraId="46A47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7CA78D8D">
            <w:pPr>
              <w:pStyle w:val="62"/>
              <w:rPr>
                <w:highlight w:val="yellow"/>
                <w:u w:val="single"/>
              </w:rPr>
            </w:pPr>
          </w:p>
        </w:tc>
        <w:tc>
          <w:tcPr>
            <w:tcW w:w="401" w:type="pct"/>
            <w:vMerge w:val="continue"/>
            <w:vAlign w:val="center"/>
          </w:tcPr>
          <w:p w14:paraId="42EE52C8">
            <w:pPr>
              <w:pStyle w:val="62"/>
              <w:rPr>
                <w:highlight w:val="yellow"/>
                <w:u w:val="single"/>
              </w:rPr>
            </w:pPr>
          </w:p>
        </w:tc>
        <w:tc>
          <w:tcPr>
            <w:tcW w:w="407" w:type="pct"/>
            <w:vMerge w:val="continue"/>
            <w:vAlign w:val="center"/>
          </w:tcPr>
          <w:p w14:paraId="7FE5AD9E">
            <w:pPr>
              <w:pStyle w:val="62"/>
              <w:rPr>
                <w:u w:val="single"/>
              </w:rPr>
            </w:pPr>
          </w:p>
        </w:tc>
        <w:tc>
          <w:tcPr>
            <w:tcW w:w="1206" w:type="pct"/>
            <w:gridSpan w:val="2"/>
            <w:vAlign w:val="center"/>
          </w:tcPr>
          <w:p w14:paraId="4BEAA689">
            <w:pPr>
              <w:pStyle w:val="62"/>
              <w:rPr>
                <w:u w:val="single"/>
              </w:rPr>
            </w:pPr>
            <w:r>
              <w:rPr>
                <w:rFonts w:hint="eastAsia"/>
                <w:u w:val="single"/>
              </w:rPr>
              <w:t>色浆生产区</w:t>
            </w:r>
          </w:p>
        </w:tc>
        <w:tc>
          <w:tcPr>
            <w:tcW w:w="2227" w:type="pct"/>
            <w:gridSpan w:val="4"/>
            <w:vAlign w:val="center"/>
          </w:tcPr>
          <w:p w14:paraId="0403B47C">
            <w:pPr>
              <w:pStyle w:val="62"/>
              <w:rPr>
                <w:u w:val="single"/>
                <w:lang w:val="zh-CN"/>
              </w:rPr>
            </w:pPr>
            <w:r>
              <w:rPr>
                <w:bCs/>
                <w:u w:val="single"/>
              </w:rPr>
              <w:t>占地面积</w:t>
            </w:r>
            <w:r>
              <w:rPr>
                <w:rFonts w:hint="eastAsia"/>
                <w:bCs/>
                <w:u w:val="single"/>
              </w:rPr>
              <w:t>68</w:t>
            </w:r>
            <w:r>
              <w:rPr>
                <w:bCs/>
                <w:u w:val="single"/>
              </w:rPr>
              <w:t>m</w:t>
            </w:r>
            <w:r>
              <w:rPr>
                <w:bCs/>
                <w:u w:val="single"/>
                <w:vertAlign w:val="superscript"/>
              </w:rPr>
              <w:t>2</w:t>
            </w:r>
          </w:p>
        </w:tc>
        <w:tc>
          <w:tcPr>
            <w:tcW w:w="556" w:type="pct"/>
            <w:vAlign w:val="center"/>
          </w:tcPr>
          <w:p w14:paraId="1D2F9CF1">
            <w:pPr>
              <w:pStyle w:val="62"/>
              <w:rPr>
                <w:u w:val="single"/>
              </w:rPr>
            </w:pPr>
            <w:r>
              <w:rPr>
                <w:u w:val="single"/>
              </w:rPr>
              <w:t>新建</w:t>
            </w:r>
          </w:p>
        </w:tc>
      </w:tr>
      <w:tr w14:paraId="1D3EA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restart"/>
            <w:vAlign w:val="center"/>
          </w:tcPr>
          <w:p w14:paraId="1D3EA958">
            <w:pPr>
              <w:pStyle w:val="62"/>
              <w:rPr>
                <w:u w:val="single"/>
              </w:rPr>
            </w:pPr>
            <w:r>
              <w:rPr>
                <w:u w:val="single"/>
              </w:rPr>
              <w:t>2</w:t>
            </w:r>
          </w:p>
        </w:tc>
        <w:tc>
          <w:tcPr>
            <w:tcW w:w="401" w:type="pct"/>
            <w:vMerge w:val="restart"/>
            <w:vAlign w:val="center"/>
          </w:tcPr>
          <w:p w14:paraId="1D3EA959">
            <w:pPr>
              <w:pStyle w:val="62"/>
              <w:rPr>
                <w:u w:val="single"/>
              </w:rPr>
            </w:pPr>
            <w:r>
              <w:rPr>
                <w:u w:val="single"/>
              </w:rPr>
              <w:t>辅助工程</w:t>
            </w:r>
          </w:p>
        </w:tc>
        <w:tc>
          <w:tcPr>
            <w:tcW w:w="407" w:type="pct"/>
            <w:vMerge w:val="restart"/>
            <w:vAlign w:val="center"/>
          </w:tcPr>
          <w:p w14:paraId="1DEC6591">
            <w:pPr>
              <w:pStyle w:val="62"/>
              <w:rPr>
                <w:u w:val="single"/>
              </w:rPr>
            </w:pPr>
            <w:r>
              <w:rPr>
                <w:rFonts w:hint="eastAsia"/>
                <w:u w:val="single"/>
              </w:rPr>
              <w:t>车间</w:t>
            </w:r>
          </w:p>
        </w:tc>
        <w:tc>
          <w:tcPr>
            <w:tcW w:w="1206" w:type="pct"/>
            <w:gridSpan w:val="2"/>
            <w:vAlign w:val="center"/>
          </w:tcPr>
          <w:p w14:paraId="1D3EA95A">
            <w:pPr>
              <w:pStyle w:val="62"/>
              <w:rPr>
                <w:u w:val="single"/>
              </w:rPr>
            </w:pPr>
            <w:r>
              <w:rPr>
                <w:rFonts w:hint="eastAsia"/>
                <w:u w:val="single"/>
              </w:rPr>
              <w:t>原料</w:t>
            </w:r>
            <w:r>
              <w:rPr>
                <w:u w:val="single"/>
              </w:rPr>
              <w:t>区</w:t>
            </w:r>
          </w:p>
        </w:tc>
        <w:tc>
          <w:tcPr>
            <w:tcW w:w="2227" w:type="pct"/>
            <w:gridSpan w:val="4"/>
            <w:vAlign w:val="center"/>
          </w:tcPr>
          <w:p w14:paraId="1D3EA95B">
            <w:pPr>
              <w:pStyle w:val="62"/>
              <w:rPr>
                <w:bCs/>
                <w:u w:val="single"/>
              </w:rPr>
            </w:pPr>
            <w:r>
              <w:rPr>
                <w:bCs/>
                <w:u w:val="single"/>
              </w:rPr>
              <w:t>占地面积</w:t>
            </w:r>
            <w:r>
              <w:rPr>
                <w:rFonts w:hint="eastAsia"/>
                <w:bCs/>
                <w:u w:val="single"/>
              </w:rPr>
              <w:t>140</w:t>
            </w:r>
            <w:r>
              <w:rPr>
                <w:bCs/>
                <w:u w:val="single"/>
              </w:rPr>
              <w:t>m</w:t>
            </w:r>
            <w:r>
              <w:rPr>
                <w:rFonts w:hint="eastAsia"/>
                <w:u w:val="single"/>
                <w:vertAlign w:val="superscript"/>
              </w:rPr>
              <w:t>2</w:t>
            </w:r>
          </w:p>
        </w:tc>
        <w:tc>
          <w:tcPr>
            <w:tcW w:w="556" w:type="pct"/>
            <w:vAlign w:val="center"/>
          </w:tcPr>
          <w:p w14:paraId="1D3EA95C">
            <w:pPr>
              <w:pStyle w:val="62"/>
              <w:rPr>
                <w:u w:val="single"/>
              </w:rPr>
            </w:pPr>
            <w:r>
              <w:rPr>
                <w:u w:val="single"/>
              </w:rPr>
              <w:t>新建</w:t>
            </w:r>
          </w:p>
        </w:tc>
      </w:tr>
      <w:tr w14:paraId="7720A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560D6116">
            <w:pPr>
              <w:pStyle w:val="62"/>
              <w:rPr>
                <w:highlight w:val="yellow"/>
                <w:u w:val="single"/>
              </w:rPr>
            </w:pPr>
          </w:p>
        </w:tc>
        <w:tc>
          <w:tcPr>
            <w:tcW w:w="401" w:type="pct"/>
            <w:vMerge w:val="continue"/>
            <w:vAlign w:val="center"/>
          </w:tcPr>
          <w:p w14:paraId="5A525DA9">
            <w:pPr>
              <w:pStyle w:val="62"/>
              <w:rPr>
                <w:highlight w:val="yellow"/>
                <w:u w:val="single"/>
              </w:rPr>
            </w:pPr>
          </w:p>
        </w:tc>
        <w:tc>
          <w:tcPr>
            <w:tcW w:w="407" w:type="pct"/>
            <w:vMerge w:val="continue"/>
            <w:vAlign w:val="center"/>
          </w:tcPr>
          <w:p w14:paraId="558A9522">
            <w:pPr>
              <w:pStyle w:val="62"/>
              <w:rPr>
                <w:bCs/>
                <w:u w:val="single"/>
              </w:rPr>
            </w:pPr>
          </w:p>
        </w:tc>
        <w:tc>
          <w:tcPr>
            <w:tcW w:w="1206" w:type="pct"/>
            <w:gridSpan w:val="2"/>
            <w:vAlign w:val="center"/>
          </w:tcPr>
          <w:p w14:paraId="24DFFFFA">
            <w:pPr>
              <w:pStyle w:val="62"/>
              <w:rPr>
                <w:bCs/>
                <w:u w:val="single"/>
              </w:rPr>
            </w:pPr>
            <w:r>
              <w:rPr>
                <w:rFonts w:hint="eastAsia"/>
                <w:bCs/>
                <w:u w:val="single"/>
              </w:rPr>
              <w:t>成品</w:t>
            </w:r>
            <w:r>
              <w:rPr>
                <w:bCs/>
                <w:u w:val="single"/>
              </w:rPr>
              <w:t>区</w:t>
            </w:r>
          </w:p>
        </w:tc>
        <w:tc>
          <w:tcPr>
            <w:tcW w:w="2227" w:type="pct"/>
            <w:gridSpan w:val="4"/>
            <w:vAlign w:val="center"/>
          </w:tcPr>
          <w:p w14:paraId="406BDCA8">
            <w:pPr>
              <w:pStyle w:val="62"/>
              <w:rPr>
                <w:bCs/>
                <w:u w:val="single"/>
              </w:rPr>
            </w:pPr>
            <w:r>
              <w:rPr>
                <w:bCs/>
                <w:u w:val="single"/>
              </w:rPr>
              <w:t>占地面积</w:t>
            </w:r>
            <w:r>
              <w:rPr>
                <w:rFonts w:hint="eastAsia"/>
                <w:bCs/>
                <w:u w:val="single"/>
              </w:rPr>
              <w:t>70</w:t>
            </w:r>
            <w:r>
              <w:rPr>
                <w:bCs/>
                <w:u w:val="single"/>
              </w:rPr>
              <w:t>m</w:t>
            </w:r>
            <w:r>
              <w:rPr>
                <w:bCs/>
                <w:u w:val="single"/>
                <w:vertAlign w:val="superscript"/>
              </w:rPr>
              <w:t>2</w:t>
            </w:r>
          </w:p>
        </w:tc>
        <w:tc>
          <w:tcPr>
            <w:tcW w:w="556" w:type="pct"/>
            <w:vAlign w:val="center"/>
          </w:tcPr>
          <w:p w14:paraId="04FCF3C6">
            <w:pPr>
              <w:pStyle w:val="62"/>
              <w:rPr>
                <w:u w:val="single"/>
              </w:rPr>
            </w:pPr>
            <w:r>
              <w:rPr>
                <w:u w:val="single"/>
              </w:rPr>
              <w:t>新建</w:t>
            </w:r>
          </w:p>
        </w:tc>
      </w:tr>
      <w:tr w14:paraId="25CD1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6DE18DCF">
            <w:pPr>
              <w:pStyle w:val="62"/>
              <w:rPr>
                <w:highlight w:val="yellow"/>
                <w:u w:val="single"/>
              </w:rPr>
            </w:pPr>
          </w:p>
        </w:tc>
        <w:tc>
          <w:tcPr>
            <w:tcW w:w="401" w:type="pct"/>
            <w:vMerge w:val="continue"/>
            <w:vAlign w:val="center"/>
          </w:tcPr>
          <w:p w14:paraId="010A2F92">
            <w:pPr>
              <w:pStyle w:val="62"/>
              <w:rPr>
                <w:highlight w:val="yellow"/>
                <w:u w:val="single"/>
              </w:rPr>
            </w:pPr>
          </w:p>
        </w:tc>
        <w:tc>
          <w:tcPr>
            <w:tcW w:w="407" w:type="pct"/>
            <w:vMerge w:val="continue"/>
            <w:vAlign w:val="center"/>
          </w:tcPr>
          <w:p w14:paraId="41E9F82D">
            <w:pPr>
              <w:pStyle w:val="62"/>
              <w:rPr>
                <w:u w:val="single"/>
              </w:rPr>
            </w:pPr>
          </w:p>
        </w:tc>
        <w:tc>
          <w:tcPr>
            <w:tcW w:w="1206" w:type="pct"/>
            <w:gridSpan w:val="2"/>
            <w:vAlign w:val="center"/>
          </w:tcPr>
          <w:p w14:paraId="7ECFA0C5">
            <w:pPr>
              <w:pStyle w:val="62"/>
              <w:rPr>
                <w:u w:val="single"/>
              </w:rPr>
            </w:pPr>
            <w:r>
              <w:rPr>
                <w:rFonts w:hint="eastAsia"/>
                <w:u w:val="single"/>
              </w:rPr>
              <w:t>化验室</w:t>
            </w:r>
          </w:p>
        </w:tc>
        <w:tc>
          <w:tcPr>
            <w:tcW w:w="2227" w:type="pct"/>
            <w:gridSpan w:val="4"/>
            <w:vAlign w:val="center"/>
          </w:tcPr>
          <w:p w14:paraId="7E579043">
            <w:pPr>
              <w:pStyle w:val="62"/>
              <w:rPr>
                <w:u w:val="single"/>
                <w:lang w:val="zh-CN"/>
              </w:rPr>
            </w:pPr>
            <w:r>
              <w:rPr>
                <w:bCs/>
                <w:u w:val="single"/>
              </w:rPr>
              <w:t>占地面积</w:t>
            </w:r>
            <w:r>
              <w:rPr>
                <w:rFonts w:hint="eastAsia"/>
                <w:bCs/>
                <w:u w:val="single"/>
              </w:rPr>
              <w:t>50</w:t>
            </w:r>
            <w:r>
              <w:rPr>
                <w:bCs/>
                <w:u w:val="single"/>
              </w:rPr>
              <w:t>m</w:t>
            </w:r>
            <w:r>
              <w:rPr>
                <w:bCs/>
                <w:u w:val="single"/>
                <w:vertAlign w:val="superscript"/>
              </w:rPr>
              <w:t>2</w:t>
            </w:r>
          </w:p>
        </w:tc>
        <w:tc>
          <w:tcPr>
            <w:tcW w:w="556" w:type="pct"/>
            <w:vAlign w:val="center"/>
          </w:tcPr>
          <w:p w14:paraId="004658E6">
            <w:pPr>
              <w:pStyle w:val="62"/>
              <w:rPr>
                <w:u w:val="single"/>
              </w:rPr>
            </w:pPr>
            <w:r>
              <w:rPr>
                <w:u w:val="single"/>
              </w:rPr>
              <w:t>新建</w:t>
            </w:r>
          </w:p>
        </w:tc>
      </w:tr>
      <w:tr w14:paraId="3A5F2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245ACF34">
            <w:pPr>
              <w:pStyle w:val="62"/>
              <w:rPr>
                <w:highlight w:val="yellow"/>
                <w:u w:val="single"/>
              </w:rPr>
            </w:pPr>
          </w:p>
        </w:tc>
        <w:tc>
          <w:tcPr>
            <w:tcW w:w="401" w:type="pct"/>
            <w:vMerge w:val="continue"/>
            <w:vAlign w:val="center"/>
          </w:tcPr>
          <w:p w14:paraId="4ACBCE10">
            <w:pPr>
              <w:pStyle w:val="62"/>
              <w:rPr>
                <w:highlight w:val="yellow"/>
                <w:u w:val="single"/>
              </w:rPr>
            </w:pPr>
          </w:p>
        </w:tc>
        <w:tc>
          <w:tcPr>
            <w:tcW w:w="407" w:type="pct"/>
            <w:vMerge w:val="continue"/>
            <w:vAlign w:val="center"/>
          </w:tcPr>
          <w:p w14:paraId="47FF2001">
            <w:pPr>
              <w:pStyle w:val="62"/>
              <w:rPr>
                <w:highlight w:val="yellow"/>
                <w:u w:val="single"/>
              </w:rPr>
            </w:pPr>
          </w:p>
        </w:tc>
        <w:tc>
          <w:tcPr>
            <w:tcW w:w="1206" w:type="pct"/>
            <w:gridSpan w:val="2"/>
            <w:vAlign w:val="center"/>
          </w:tcPr>
          <w:p w14:paraId="07AD234B">
            <w:pPr>
              <w:pStyle w:val="62"/>
              <w:rPr>
                <w:highlight w:val="yellow"/>
                <w:u w:val="single"/>
              </w:rPr>
            </w:pPr>
            <w:r>
              <w:rPr>
                <w:rFonts w:hint="eastAsia"/>
                <w:u w:val="single"/>
              </w:rPr>
              <w:t>更衣室</w:t>
            </w:r>
          </w:p>
        </w:tc>
        <w:tc>
          <w:tcPr>
            <w:tcW w:w="2227" w:type="pct"/>
            <w:gridSpan w:val="4"/>
            <w:vAlign w:val="center"/>
          </w:tcPr>
          <w:p w14:paraId="182FA1CE">
            <w:pPr>
              <w:pStyle w:val="62"/>
              <w:rPr>
                <w:bCs/>
                <w:highlight w:val="yellow"/>
                <w:u w:val="single"/>
              </w:rPr>
            </w:pPr>
            <w:r>
              <w:rPr>
                <w:bCs/>
                <w:u w:val="single"/>
              </w:rPr>
              <w:t>占地面积</w:t>
            </w:r>
            <w:r>
              <w:rPr>
                <w:rFonts w:hint="eastAsia"/>
                <w:bCs/>
                <w:u w:val="single"/>
              </w:rPr>
              <w:t>35</w:t>
            </w:r>
            <w:r>
              <w:rPr>
                <w:bCs/>
                <w:u w:val="single"/>
              </w:rPr>
              <w:t>m</w:t>
            </w:r>
            <w:r>
              <w:rPr>
                <w:bCs/>
                <w:u w:val="single"/>
                <w:vertAlign w:val="superscript"/>
              </w:rPr>
              <w:t>2</w:t>
            </w:r>
          </w:p>
        </w:tc>
        <w:tc>
          <w:tcPr>
            <w:tcW w:w="556" w:type="pct"/>
            <w:vAlign w:val="center"/>
          </w:tcPr>
          <w:p w14:paraId="765F2018">
            <w:pPr>
              <w:pStyle w:val="62"/>
              <w:rPr>
                <w:highlight w:val="yellow"/>
                <w:u w:val="single"/>
              </w:rPr>
            </w:pPr>
            <w:r>
              <w:rPr>
                <w:u w:val="single"/>
              </w:rPr>
              <w:t>新建</w:t>
            </w:r>
          </w:p>
        </w:tc>
      </w:tr>
      <w:tr w14:paraId="5A352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E83EA81">
            <w:pPr>
              <w:pStyle w:val="62"/>
              <w:rPr>
                <w:highlight w:val="yellow"/>
                <w:u w:val="single"/>
              </w:rPr>
            </w:pPr>
          </w:p>
        </w:tc>
        <w:tc>
          <w:tcPr>
            <w:tcW w:w="401" w:type="pct"/>
            <w:vMerge w:val="continue"/>
            <w:vAlign w:val="center"/>
          </w:tcPr>
          <w:p w14:paraId="45C81940">
            <w:pPr>
              <w:pStyle w:val="62"/>
              <w:rPr>
                <w:highlight w:val="yellow"/>
                <w:u w:val="single"/>
              </w:rPr>
            </w:pPr>
          </w:p>
        </w:tc>
        <w:tc>
          <w:tcPr>
            <w:tcW w:w="1613" w:type="pct"/>
            <w:gridSpan w:val="3"/>
            <w:vAlign w:val="center"/>
          </w:tcPr>
          <w:p w14:paraId="287D838B">
            <w:pPr>
              <w:pStyle w:val="62"/>
              <w:rPr>
                <w:highlight w:val="yellow"/>
                <w:u w:val="single"/>
              </w:rPr>
            </w:pPr>
            <w:r>
              <w:rPr>
                <w:rFonts w:hint="eastAsia"/>
                <w:u w:val="single"/>
              </w:rPr>
              <w:t>办公室</w:t>
            </w:r>
          </w:p>
        </w:tc>
        <w:tc>
          <w:tcPr>
            <w:tcW w:w="2227" w:type="pct"/>
            <w:gridSpan w:val="4"/>
            <w:vAlign w:val="center"/>
          </w:tcPr>
          <w:p w14:paraId="722C366C">
            <w:pPr>
              <w:pStyle w:val="62"/>
              <w:rPr>
                <w:u w:val="single"/>
                <w:lang w:val="zh-CN"/>
              </w:rPr>
            </w:pPr>
            <w:r>
              <w:rPr>
                <w:bCs/>
                <w:u w:val="single"/>
              </w:rPr>
              <w:t>占地面积</w:t>
            </w:r>
            <w:r>
              <w:rPr>
                <w:rFonts w:hint="eastAsia"/>
                <w:bCs/>
                <w:u w:val="single"/>
              </w:rPr>
              <w:t>200</w:t>
            </w:r>
            <w:r>
              <w:rPr>
                <w:bCs/>
                <w:u w:val="single"/>
              </w:rPr>
              <w:t>m</w:t>
            </w:r>
            <w:r>
              <w:rPr>
                <w:bCs/>
                <w:u w:val="single"/>
                <w:vertAlign w:val="superscript"/>
              </w:rPr>
              <w:t>2</w:t>
            </w:r>
          </w:p>
        </w:tc>
        <w:tc>
          <w:tcPr>
            <w:tcW w:w="556" w:type="pct"/>
            <w:vAlign w:val="center"/>
          </w:tcPr>
          <w:p w14:paraId="2530BFA7">
            <w:pPr>
              <w:pStyle w:val="62"/>
              <w:rPr>
                <w:u w:val="single"/>
              </w:rPr>
            </w:pPr>
            <w:r>
              <w:rPr>
                <w:rFonts w:hint="eastAsia"/>
                <w:u w:val="single"/>
              </w:rPr>
              <w:t>利用现有</w:t>
            </w:r>
          </w:p>
        </w:tc>
      </w:tr>
      <w:tr w14:paraId="1D3EA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restart"/>
            <w:vAlign w:val="center"/>
          </w:tcPr>
          <w:p w14:paraId="1D3EA976">
            <w:pPr>
              <w:pStyle w:val="62"/>
              <w:rPr>
                <w:u w:val="single"/>
              </w:rPr>
            </w:pPr>
            <w:r>
              <w:rPr>
                <w:u w:val="single"/>
              </w:rPr>
              <w:t>3</w:t>
            </w:r>
          </w:p>
        </w:tc>
        <w:tc>
          <w:tcPr>
            <w:tcW w:w="401" w:type="pct"/>
            <w:vMerge w:val="restart"/>
            <w:vAlign w:val="center"/>
          </w:tcPr>
          <w:p w14:paraId="1D3EA977">
            <w:pPr>
              <w:pStyle w:val="62"/>
              <w:rPr>
                <w:u w:val="single"/>
              </w:rPr>
            </w:pPr>
            <w:r>
              <w:rPr>
                <w:u w:val="single"/>
              </w:rPr>
              <w:t>环保工程</w:t>
            </w:r>
          </w:p>
        </w:tc>
        <w:tc>
          <w:tcPr>
            <w:tcW w:w="407" w:type="pct"/>
            <w:vMerge w:val="restart"/>
            <w:vAlign w:val="center"/>
          </w:tcPr>
          <w:p w14:paraId="1D3EA978">
            <w:pPr>
              <w:pStyle w:val="62"/>
              <w:rPr>
                <w:highlight w:val="yellow"/>
                <w:u w:val="single"/>
              </w:rPr>
            </w:pPr>
            <w:r>
              <w:rPr>
                <w:u w:val="single"/>
              </w:rPr>
              <w:t>废水</w:t>
            </w:r>
          </w:p>
        </w:tc>
        <w:tc>
          <w:tcPr>
            <w:tcW w:w="1206" w:type="pct"/>
            <w:gridSpan w:val="2"/>
            <w:vAlign w:val="center"/>
          </w:tcPr>
          <w:p w14:paraId="1D3EA979">
            <w:pPr>
              <w:pStyle w:val="62"/>
              <w:rPr>
                <w:u w:val="single"/>
              </w:rPr>
            </w:pPr>
            <w:r>
              <w:rPr>
                <w:rFonts w:hint="eastAsia"/>
                <w:u w:val="single"/>
              </w:rPr>
              <w:t>生活污水</w:t>
            </w:r>
          </w:p>
        </w:tc>
        <w:tc>
          <w:tcPr>
            <w:tcW w:w="1370" w:type="pct"/>
            <w:gridSpan w:val="2"/>
            <w:vAlign w:val="center"/>
          </w:tcPr>
          <w:p w14:paraId="3C547CDD">
            <w:pPr>
              <w:pStyle w:val="62"/>
              <w:rPr>
                <w:u w:val="single"/>
              </w:rPr>
            </w:pPr>
            <w:r>
              <w:rPr>
                <w:rFonts w:hint="eastAsia"/>
                <w:u w:val="single"/>
              </w:rPr>
              <w:t>化粪池</w:t>
            </w:r>
          </w:p>
        </w:tc>
        <w:tc>
          <w:tcPr>
            <w:tcW w:w="857" w:type="pct"/>
            <w:gridSpan w:val="2"/>
            <w:vMerge w:val="restart"/>
            <w:vAlign w:val="center"/>
          </w:tcPr>
          <w:p w14:paraId="1D3EA97B">
            <w:pPr>
              <w:pStyle w:val="62"/>
              <w:rPr>
                <w:u w:val="single"/>
              </w:rPr>
            </w:pPr>
            <w:r>
              <w:rPr>
                <w:rFonts w:hint="eastAsia"/>
                <w:u w:val="single"/>
              </w:rPr>
              <w:t>唐庄污水处理厂</w:t>
            </w:r>
          </w:p>
        </w:tc>
        <w:tc>
          <w:tcPr>
            <w:tcW w:w="556" w:type="pct"/>
            <w:vMerge w:val="restart"/>
            <w:vAlign w:val="center"/>
          </w:tcPr>
          <w:p w14:paraId="1D3EA97C">
            <w:pPr>
              <w:pStyle w:val="62"/>
              <w:rPr>
                <w:u w:val="single"/>
              </w:rPr>
            </w:pPr>
            <w:r>
              <w:rPr>
                <w:rFonts w:hint="eastAsia"/>
                <w:u w:val="single"/>
              </w:rPr>
              <w:t>新建</w:t>
            </w:r>
          </w:p>
        </w:tc>
      </w:tr>
      <w:tr w14:paraId="46CE5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42B2D44D">
            <w:pPr>
              <w:pStyle w:val="62"/>
              <w:rPr>
                <w:highlight w:val="yellow"/>
                <w:u w:val="single"/>
              </w:rPr>
            </w:pPr>
          </w:p>
        </w:tc>
        <w:tc>
          <w:tcPr>
            <w:tcW w:w="401" w:type="pct"/>
            <w:vMerge w:val="continue"/>
            <w:vAlign w:val="center"/>
          </w:tcPr>
          <w:p w14:paraId="61876E2E">
            <w:pPr>
              <w:pStyle w:val="62"/>
              <w:rPr>
                <w:highlight w:val="yellow"/>
                <w:u w:val="single"/>
              </w:rPr>
            </w:pPr>
          </w:p>
        </w:tc>
        <w:tc>
          <w:tcPr>
            <w:tcW w:w="407" w:type="pct"/>
            <w:vMerge w:val="continue"/>
            <w:vAlign w:val="center"/>
          </w:tcPr>
          <w:p w14:paraId="239ABD3E">
            <w:pPr>
              <w:pStyle w:val="62"/>
              <w:rPr>
                <w:highlight w:val="yellow"/>
                <w:u w:val="single"/>
              </w:rPr>
            </w:pPr>
          </w:p>
        </w:tc>
        <w:tc>
          <w:tcPr>
            <w:tcW w:w="1206" w:type="pct"/>
            <w:gridSpan w:val="2"/>
            <w:vAlign w:val="center"/>
          </w:tcPr>
          <w:p w14:paraId="025AC7E6">
            <w:pPr>
              <w:pStyle w:val="62"/>
              <w:rPr>
                <w:u w:val="single"/>
              </w:rPr>
            </w:pPr>
            <w:r>
              <w:rPr>
                <w:rFonts w:hint="eastAsia"/>
                <w:u w:val="single"/>
              </w:rPr>
              <w:t>喷淋废水</w:t>
            </w:r>
          </w:p>
        </w:tc>
        <w:tc>
          <w:tcPr>
            <w:tcW w:w="1370" w:type="pct"/>
            <w:gridSpan w:val="2"/>
            <w:vMerge w:val="restart"/>
            <w:vAlign w:val="center"/>
          </w:tcPr>
          <w:p w14:paraId="3637A54B">
            <w:pPr>
              <w:pStyle w:val="62"/>
              <w:rPr>
                <w:highlight w:val="yellow"/>
                <w:u w:val="single"/>
              </w:rPr>
            </w:pPr>
            <w:r>
              <w:rPr>
                <w:rFonts w:hint="eastAsia"/>
                <w:u w:val="single"/>
              </w:rPr>
              <w:t>厂区污水处理站（</w:t>
            </w:r>
            <w:r>
              <w:rPr>
                <w:bCs/>
                <w:u w:val="single"/>
              </w:rPr>
              <w:t>调节池</w:t>
            </w:r>
            <w:r>
              <w:rPr>
                <w:rFonts w:hint="eastAsia"/>
                <w:bCs/>
                <w:u w:val="single"/>
              </w:rPr>
              <w:t>+隔油池+水解酸化+</w:t>
            </w:r>
            <w:r>
              <w:rPr>
                <w:rFonts w:hint="eastAsia"/>
                <w:u w:val="single"/>
              </w:rPr>
              <w:t>接触氧化，8</w:t>
            </w:r>
            <w:r>
              <w:rPr>
                <w:u w:val="single"/>
              </w:rPr>
              <w:t>m</w:t>
            </w:r>
            <w:r>
              <w:rPr>
                <w:u w:val="single"/>
                <w:vertAlign w:val="superscript"/>
              </w:rPr>
              <w:t>3</w:t>
            </w:r>
            <w:r>
              <w:rPr>
                <w:u w:val="single"/>
              </w:rPr>
              <w:t>/d</w:t>
            </w:r>
            <w:r>
              <w:rPr>
                <w:rFonts w:hint="eastAsia"/>
                <w:u w:val="single"/>
              </w:rPr>
              <w:t>）</w:t>
            </w:r>
          </w:p>
        </w:tc>
        <w:tc>
          <w:tcPr>
            <w:tcW w:w="857" w:type="pct"/>
            <w:gridSpan w:val="2"/>
            <w:vMerge w:val="continue"/>
            <w:vAlign w:val="center"/>
          </w:tcPr>
          <w:p w14:paraId="500C41E0">
            <w:pPr>
              <w:pStyle w:val="62"/>
              <w:rPr>
                <w:highlight w:val="yellow"/>
                <w:u w:val="single"/>
              </w:rPr>
            </w:pPr>
          </w:p>
        </w:tc>
        <w:tc>
          <w:tcPr>
            <w:tcW w:w="556" w:type="pct"/>
            <w:vMerge w:val="continue"/>
            <w:vAlign w:val="center"/>
          </w:tcPr>
          <w:p w14:paraId="01481EB2">
            <w:pPr>
              <w:pStyle w:val="62"/>
              <w:rPr>
                <w:highlight w:val="yellow"/>
                <w:u w:val="single"/>
              </w:rPr>
            </w:pPr>
          </w:p>
        </w:tc>
      </w:tr>
      <w:tr w14:paraId="12D42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78E72DD1">
            <w:pPr>
              <w:pStyle w:val="62"/>
              <w:rPr>
                <w:highlight w:val="yellow"/>
                <w:u w:val="single"/>
              </w:rPr>
            </w:pPr>
          </w:p>
        </w:tc>
        <w:tc>
          <w:tcPr>
            <w:tcW w:w="401" w:type="pct"/>
            <w:vMerge w:val="continue"/>
            <w:vAlign w:val="center"/>
          </w:tcPr>
          <w:p w14:paraId="57D59985">
            <w:pPr>
              <w:pStyle w:val="62"/>
              <w:rPr>
                <w:highlight w:val="yellow"/>
                <w:u w:val="single"/>
              </w:rPr>
            </w:pPr>
          </w:p>
        </w:tc>
        <w:tc>
          <w:tcPr>
            <w:tcW w:w="407" w:type="pct"/>
            <w:vMerge w:val="continue"/>
            <w:vAlign w:val="center"/>
          </w:tcPr>
          <w:p w14:paraId="386F610D">
            <w:pPr>
              <w:pStyle w:val="62"/>
              <w:rPr>
                <w:highlight w:val="yellow"/>
                <w:u w:val="single"/>
              </w:rPr>
            </w:pPr>
          </w:p>
        </w:tc>
        <w:tc>
          <w:tcPr>
            <w:tcW w:w="1206" w:type="pct"/>
            <w:gridSpan w:val="2"/>
            <w:vAlign w:val="center"/>
          </w:tcPr>
          <w:p w14:paraId="23EB127B">
            <w:pPr>
              <w:pStyle w:val="62"/>
              <w:rPr>
                <w:u w:val="single"/>
              </w:rPr>
            </w:pPr>
            <w:r>
              <w:rPr>
                <w:rFonts w:hint="eastAsia"/>
                <w:u w:val="single"/>
              </w:rPr>
              <w:t>车间地面拖洗废水</w:t>
            </w:r>
          </w:p>
        </w:tc>
        <w:tc>
          <w:tcPr>
            <w:tcW w:w="1370" w:type="pct"/>
            <w:gridSpan w:val="2"/>
            <w:vMerge w:val="continue"/>
            <w:vAlign w:val="center"/>
          </w:tcPr>
          <w:p w14:paraId="4C5FC206">
            <w:pPr>
              <w:pStyle w:val="62"/>
              <w:rPr>
                <w:highlight w:val="yellow"/>
                <w:u w:val="single"/>
              </w:rPr>
            </w:pPr>
          </w:p>
        </w:tc>
        <w:tc>
          <w:tcPr>
            <w:tcW w:w="857" w:type="pct"/>
            <w:gridSpan w:val="2"/>
            <w:vMerge w:val="continue"/>
            <w:vAlign w:val="center"/>
          </w:tcPr>
          <w:p w14:paraId="449997ED">
            <w:pPr>
              <w:pStyle w:val="62"/>
              <w:rPr>
                <w:highlight w:val="yellow"/>
                <w:u w:val="single"/>
              </w:rPr>
            </w:pPr>
          </w:p>
        </w:tc>
        <w:tc>
          <w:tcPr>
            <w:tcW w:w="556" w:type="pct"/>
            <w:vMerge w:val="continue"/>
            <w:vAlign w:val="center"/>
          </w:tcPr>
          <w:p w14:paraId="5366338A">
            <w:pPr>
              <w:pStyle w:val="62"/>
              <w:rPr>
                <w:highlight w:val="yellow"/>
                <w:u w:val="single"/>
              </w:rPr>
            </w:pPr>
          </w:p>
        </w:tc>
      </w:tr>
      <w:tr w14:paraId="1D3EA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D3EA986">
            <w:pPr>
              <w:pStyle w:val="62"/>
              <w:rPr>
                <w:highlight w:val="yellow"/>
                <w:u w:val="single"/>
              </w:rPr>
            </w:pPr>
          </w:p>
        </w:tc>
        <w:tc>
          <w:tcPr>
            <w:tcW w:w="401" w:type="pct"/>
            <w:vMerge w:val="continue"/>
            <w:vAlign w:val="center"/>
          </w:tcPr>
          <w:p w14:paraId="1D3EA987">
            <w:pPr>
              <w:pStyle w:val="62"/>
              <w:rPr>
                <w:highlight w:val="yellow"/>
                <w:u w:val="single"/>
              </w:rPr>
            </w:pPr>
          </w:p>
        </w:tc>
        <w:tc>
          <w:tcPr>
            <w:tcW w:w="407" w:type="pct"/>
            <w:vMerge w:val="continue"/>
            <w:vAlign w:val="center"/>
          </w:tcPr>
          <w:p w14:paraId="1D3EA988">
            <w:pPr>
              <w:pStyle w:val="62"/>
              <w:rPr>
                <w:highlight w:val="yellow"/>
                <w:u w:val="single"/>
              </w:rPr>
            </w:pPr>
          </w:p>
        </w:tc>
        <w:tc>
          <w:tcPr>
            <w:tcW w:w="1206" w:type="pct"/>
            <w:gridSpan w:val="2"/>
            <w:vAlign w:val="center"/>
          </w:tcPr>
          <w:p w14:paraId="1D3EA989">
            <w:pPr>
              <w:pStyle w:val="62"/>
              <w:rPr>
                <w:u w:val="single"/>
              </w:rPr>
            </w:pPr>
            <w:r>
              <w:rPr>
                <w:u w:val="single"/>
              </w:rPr>
              <w:t>循环冷却水系统排水</w:t>
            </w:r>
          </w:p>
        </w:tc>
        <w:tc>
          <w:tcPr>
            <w:tcW w:w="1370" w:type="pct"/>
            <w:gridSpan w:val="2"/>
            <w:vAlign w:val="center"/>
          </w:tcPr>
          <w:p w14:paraId="7C53EFA1">
            <w:pPr>
              <w:pStyle w:val="62"/>
              <w:rPr>
                <w:highlight w:val="yellow"/>
                <w:u w:val="single"/>
              </w:rPr>
            </w:pPr>
            <w:r>
              <w:rPr>
                <w:rFonts w:hint="eastAsia"/>
                <w:u w:val="single"/>
              </w:rPr>
              <w:t>/</w:t>
            </w:r>
          </w:p>
        </w:tc>
        <w:tc>
          <w:tcPr>
            <w:tcW w:w="857" w:type="pct"/>
            <w:gridSpan w:val="2"/>
            <w:vMerge w:val="continue"/>
            <w:vAlign w:val="center"/>
          </w:tcPr>
          <w:p w14:paraId="1D3EA98B">
            <w:pPr>
              <w:pStyle w:val="62"/>
              <w:rPr>
                <w:highlight w:val="yellow"/>
                <w:u w:val="single"/>
              </w:rPr>
            </w:pPr>
          </w:p>
        </w:tc>
        <w:tc>
          <w:tcPr>
            <w:tcW w:w="556" w:type="pct"/>
            <w:vMerge w:val="continue"/>
            <w:vAlign w:val="center"/>
          </w:tcPr>
          <w:p w14:paraId="1D3EA98C">
            <w:pPr>
              <w:pStyle w:val="62"/>
              <w:rPr>
                <w:highlight w:val="yellow"/>
                <w:u w:val="single"/>
              </w:rPr>
            </w:pPr>
          </w:p>
        </w:tc>
      </w:tr>
      <w:tr w14:paraId="1D3EA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D3EA996">
            <w:pPr>
              <w:pStyle w:val="62"/>
              <w:rPr>
                <w:highlight w:val="yellow"/>
                <w:u w:val="single"/>
              </w:rPr>
            </w:pPr>
          </w:p>
        </w:tc>
        <w:tc>
          <w:tcPr>
            <w:tcW w:w="401" w:type="pct"/>
            <w:vMerge w:val="continue"/>
            <w:vAlign w:val="center"/>
          </w:tcPr>
          <w:p w14:paraId="1D3EA997">
            <w:pPr>
              <w:pStyle w:val="62"/>
              <w:rPr>
                <w:highlight w:val="yellow"/>
                <w:u w:val="single"/>
              </w:rPr>
            </w:pPr>
          </w:p>
        </w:tc>
        <w:tc>
          <w:tcPr>
            <w:tcW w:w="407" w:type="pct"/>
            <w:vMerge w:val="restart"/>
            <w:vAlign w:val="center"/>
          </w:tcPr>
          <w:p w14:paraId="1D3EA998">
            <w:pPr>
              <w:pStyle w:val="62"/>
              <w:rPr>
                <w:highlight w:val="yellow"/>
                <w:u w:val="single"/>
              </w:rPr>
            </w:pPr>
            <w:r>
              <w:rPr>
                <w:u w:val="single"/>
              </w:rPr>
              <w:t>废气</w:t>
            </w:r>
          </w:p>
        </w:tc>
        <w:tc>
          <w:tcPr>
            <w:tcW w:w="603" w:type="pct"/>
            <w:vMerge w:val="restart"/>
            <w:vAlign w:val="center"/>
          </w:tcPr>
          <w:p w14:paraId="69A24ED0">
            <w:pPr>
              <w:pStyle w:val="62"/>
              <w:rPr>
                <w:highlight w:val="yellow"/>
                <w:u w:val="single"/>
              </w:rPr>
            </w:pPr>
            <w:r>
              <w:rPr>
                <w:rFonts w:hint="eastAsia"/>
                <w:u w:val="single"/>
              </w:rPr>
              <w:t>聚醚改性硅油</w:t>
            </w:r>
          </w:p>
        </w:tc>
        <w:tc>
          <w:tcPr>
            <w:tcW w:w="603" w:type="pct"/>
            <w:vAlign w:val="center"/>
          </w:tcPr>
          <w:p w14:paraId="1D3EA999">
            <w:pPr>
              <w:pStyle w:val="62"/>
              <w:rPr>
                <w:highlight w:val="yellow"/>
                <w:u w:val="single"/>
              </w:rPr>
            </w:pPr>
            <w:r>
              <w:rPr>
                <w:rFonts w:hint="eastAsia"/>
                <w:u w:val="single"/>
              </w:rPr>
              <w:t>聚合</w:t>
            </w:r>
          </w:p>
        </w:tc>
        <w:tc>
          <w:tcPr>
            <w:tcW w:w="854" w:type="pct"/>
            <w:vMerge w:val="restart"/>
            <w:vAlign w:val="center"/>
          </w:tcPr>
          <w:p w14:paraId="6E75D8FD">
            <w:pPr>
              <w:pStyle w:val="62"/>
              <w:rPr>
                <w:highlight w:val="yellow"/>
                <w:u w:val="single"/>
              </w:rPr>
            </w:pPr>
            <w:r>
              <w:rPr>
                <w:rFonts w:hint="eastAsia"/>
                <w:u w:val="single"/>
              </w:rPr>
              <w:t>密闭负压收集管道</w:t>
            </w:r>
          </w:p>
        </w:tc>
        <w:tc>
          <w:tcPr>
            <w:tcW w:w="516" w:type="pct"/>
            <w:vMerge w:val="restart"/>
            <w:vAlign w:val="center"/>
          </w:tcPr>
          <w:p w14:paraId="6F419D03">
            <w:pPr>
              <w:pStyle w:val="62"/>
              <w:rPr>
                <w:highlight w:val="yellow"/>
                <w:u w:val="single"/>
              </w:rPr>
            </w:pPr>
            <w:r>
              <w:rPr>
                <w:rFonts w:hint="eastAsia"/>
                <w:u w:val="single"/>
              </w:rPr>
              <w:t>设备自带冷凝+碱喷淋+水喷淋+除雾器</w:t>
            </w:r>
          </w:p>
        </w:tc>
        <w:tc>
          <w:tcPr>
            <w:tcW w:w="428" w:type="pct"/>
            <w:vMerge w:val="restart"/>
            <w:vAlign w:val="center"/>
          </w:tcPr>
          <w:p w14:paraId="43317699">
            <w:pPr>
              <w:pStyle w:val="62"/>
              <w:rPr>
                <w:highlight w:val="yellow"/>
                <w:u w:val="single"/>
              </w:rPr>
            </w:pPr>
            <w:r>
              <w:rPr>
                <w:rFonts w:hint="eastAsia"/>
                <w:u w:val="single"/>
              </w:rPr>
              <w:t>活性炭吸附装置</w:t>
            </w:r>
          </w:p>
        </w:tc>
        <w:tc>
          <w:tcPr>
            <w:tcW w:w="429" w:type="pct"/>
            <w:vMerge w:val="restart"/>
            <w:vAlign w:val="center"/>
          </w:tcPr>
          <w:p w14:paraId="1D3EA99A">
            <w:pPr>
              <w:pStyle w:val="62"/>
              <w:rPr>
                <w:highlight w:val="yellow"/>
                <w:u w:val="single"/>
              </w:rPr>
            </w:pPr>
            <w:r>
              <w:rPr>
                <w:rFonts w:hint="eastAsia"/>
                <w:u w:val="single"/>
              </w:rPr>
              <w:t>15m高排气筒DA001</w:t>
            </w:r>
          </w:p>
        </w:tc>
        <w:tc>
          <w:tcPr>
            <w:tcW w:w="556" w:type="pct"/>
            <w:vMerge w:val="restart"/>
            <w:vAlign w:val="center"/>
          </w:tcPr>
          <w:p w14:paraId="1D3EA99B">
            <w:pPr>
              <w:pStyle w:val="62"/>
              <w:rPr>
                <w:highlight w:val="yellow"/>
                <w:u w:val="single"/>
              </w:rPr>
            </w:pPr>
            <w:r>
              <w:rPr>
                <w:u w:val="single"/>
              </w:rPr>
              <w:t>新建</w:t>
            </w:r>
          </w:p>
        </w:tc>
      </w:tr>
      <w:tr w14:paraId="6BB44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28C9EAAB">
            <w:pPr>
              <w:pStyle w:val="62"/>
              <w:rPr>
                <w:highlight w:val="yellow"/>
                <w:u w:val="single"/>
              </w:rPr>
            </w:pPr>
          </w:p>
        </w:tc>
        <w:tc>
          <w:tcPr>
            <w:tcW w:w="401" w:type="pct"/>
            <w:vMerge w:val="continue"/>
            <w:vAlign w:val="center"/>
          </w:tcPr>
          <w:p w14:paraId="653C6E79">
            <w:pPr>
              <w:pStyle w:val="62"/>
              <w:rPr>
                <w:highlight w:val="yellow"/>
                <w:u w:val="single"/>
              </w:rPr>
            </w:pPr>
          </w:p>
        </w:tc>
        <w:tc>
          <w:tcPr>
            <w:tcW w:w="407" w:type="pct"/>
            <w:vMerge w:val="continue"/>
            <w:vAlign w:val="center"/>
          </w:tcPr>
          <w:p w14:paraId="5A66F551">
            <w:pPr>
              <w:pStyle w:val="62"/>
              <w:rPr>
                <w:u w:val="single"/>
              </w:rPr>
            </w:pPr>
          </w:p>
        </w:tc>
        <w:tc>
          <w:tcPr>
            <w:tcW w:w="603" w:type="pct"/>
            <w:vMerge w:val="continue"/>
            <w:vAlign w:val="center"/>
          </w:tcPr>
          <w:p w14:paraId="3ADE0AB4">
            <w:pPr>
              <w:pStyle w:val="62"/>
              <w:rPr>
                <w:u w:val="single"/>
              </w:rPr>
            </w:pPr>
          </w:p>
        </w:tc>
        <w:tc>
          <w:tcPr>
            <w:tcW w:w="603" w:type="pct"/>
            <w:vAlign w:val="center"/>
          </w:tcPr>
          <w:p w14:paraId="734D72E7">
            <w:pPr>
              <w:pStyle w:val="62"/>
              <w:rPr>
                <w:u w:val="single"/>
              </w:rPr>
            </w:pPr>
            <w:r>
              <w:rPr>
                <w:rFonts w:hint="eastAsia"/>
                <w:u w:val="single"/>
              </w:rPr>
              <w:t>中和</w:t>
            </w:r>
          </w:p>
        </w:tc>
        <w:tc>
          <w:tcPr>
            <w:tcW w:w="854" w:type="pct"/>
            <w:vMerge w:val="continue"/>
            <w:vAlign w:val="center"/>
          </w:tcPr>
          <w:p w14:paraId="7D3E0E1C">
            <w:pPr>
              <w:pStyle w:val="62"/>
              <w:rPr>
                <w:u w:val="single"/>
              </w:rPr>
            </w:pPr>
          </w:p>
        </w:tc>
        <w:tc>
          <w:tcPr>
            <w:tcW w:w="516" w:type="pct"/>
            <w:vMerge w:val="continue"/>
            <w:vAlign w:val="center"/>
          </w:tcPr>
          <w:p w14:paraId="50B054A9">
            <w:pPr>
              <w:pStyle w:val="62"/>
              <w:rPr>
                <w:u w:val="single"/>
              </w:rPr>
            </w:pPr>
          </w:p>
        </w:tc>
        <w:tc>
          <w:tcPr>
            <w:tcW w:w="428" w:type="pct"/>
            <w:vMerge w:val="continue"/>
            <w:vAlign w:val="center"/>
          </w:tcPr>
          <w:p w14:paraId="17ACC76A">
            <w:pPr>
              <w:pStyle w:val="62"/>
              <w:rPr>
                <w:u w:val="single"/>
              </w:rPr>
            </w:pPr>
          </w:p>
        </w:tc>
        <w:tc>
          <w:tcPr>
            <w:tcW w:w="429" w:type="pct"/>
            <w:vMerge w:val="continue"/>
            <w:vAlign w:val="center"/>
          </w:tcPr>
          <w:p w14:paraId="5A6AF630">
            <w:pPr>
              <w:pStyle w:val="62"/>
              <w:rPr>
                <w:u w:val="single"/>
              </w:rPr>
            </w:pPr>
          </w:p>
        </w:tc>
        <w:tc>
          <w:tcPr>
            <w:tcW w:w="556" w:type="pct"/>
            <w:vMerge w:val="continue"/>
            <w:vAlign w:val="center"/>
          </w:tcPr>
          <w:p w14:paraId="5473709E">
            <w:pPr>
              <w:pStyle w:val="62"/>
              <w:rPr>
                <w:u w:val="single"/>
              </w:rPr>
            </w:pPr>
          </w:p>
        </w:tc>
      </w:tr>
      <w:tr w14:paraId="4C890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433CB62E">
            <w:pPr>
              <w:pStyle w:val="62"/>
              <w:rPr>
                <w:highlight w:val="yellow"/>
                <w:u w:val="single"/>
              </w:rPr>
            </w:pPr>
          </w:p>
        </w:tc>
        <w:tc>
          <w:tcPr>
            <w:tcW w:w="401" w:type="pct"/>
            <w:vMerge w:val="continue"/>
            <w:vAlign w:val="center"/>
          </w:tcPr>
          <w:p w14:paraId="0B25EA7D">
            <w:pPr>
              <w:pStyle w:val="62"/>
              <w:rPr>
                <w:highlight w:val="yellow"/>
                <w:u w:val="single"/>
              </w:rPr>
            </w:pPr>
          </w:p>
        </w:tc>
        <w:tc>
          <w:tcPr>
            <w:tcW w:w="407" w:type="pct"/>
            <w:vMerge w:val="continue"/>
            <w:vAlign w:val="center"/>
          </w:tcPr>
          <w:p w14:paraId="48A186D7">
            <w:pPr>
              <w:pStyle w:val="62"/>
              <w:rPr>
                <w:highlight w:val="yellow"/>
                <w:u w:val="single"/>
              </w:rPr>
            </w:pPr>
          </w:p>
        </w:tc>
        <w:tc>
          <w:tcPr>
            <w:tcW w:w="603" w:type="pct"/>
            <w:vMerge w:val="continue"/>
            <w:vAlign w:val="center"/>
          </w:tcPr>
          <w:p w14:paraId="36028101">
            <w:pPr>
              <w:pStyle w:val="62"/>
              <w:rPr>
                <w:highlight w:val="yellow"/>
                <w:u w:val="single"/>
              </w:rPr>
            </w:pPr>
          </w:p>
        </w:tc>
        <w:tc>
          <w:tcPr>
            <w:tcW w:w="603" w:type="pct"/>
            <w:vAlign w:val="center"/>
          </w:tcPr>
          <w:p w14:paraId="77BEC03E">
            <w:pPr>
              <w:pStyle w:val="62"/>
              <w:rPr>
                <w:highlight w:val="yellow"/>
                <w:u w:val="single"/>
              </w:rPr>
            </w:pPr>
            <w:r>
              <w:rPr>
                <w:rFonts w:hint="eastAsia"/>
                <w:u w:val="single"/>
              </w:rPr>
              <w:t>硅氢化反应、脱色</w:t>
            </w:r>
          </w:p>
        </w:tc>
        <w:tc>
          <w:tcPr>
            <w:tcW w:w="854" w:type="pct"/>
            <w:vAlign w:val="center"/>
          </w:tcPr>
          <w:p w14:paraId="467B2D9B">
            <w:pPr>
              <w:pStyle w:val="62"/>
              <w:rPr>
                <w:highlight w:val="yellow"/>
                <w:u w:val="single"/>
              </w:rPr>
            </w:pPr>
            <w:r>
              <w:rPr>
                <w:rFonts w:hint="eastAsia"/>
                <w:u w:val="single"/>
              </w:rPr>
              <w:t>密闭负压收集管道</w:t>
            </w:r>
          </w:p>
        </w:tc>
        <w:tc>
          <w:tcPr>
            <w:tcW w:w="516" w:type="pct"/>
            <w:vMerge w:val="continue"/>
            <w:vAlign w:val="center"/>
          </w:tcPr>
          <w:p w14:paraId="3DBFF080">
            <w:pPr>
              <w:pStyle w:val="62"/>
              <w:rPr>
                <w:highlight w:val="yellow"/>
                <w:u w:val="single"/>
              </w:rPr>
            </w:pPr>
          </w:p>
        </w:tc>
        <w:tc>
          <w:tcPr>
            <w:tcW w:w="428" w:type="pct"/>
            <w:vMerge w:val="continue"/>
            <w:vAlign w:val="center"/>
          </w:tcPr>
          <w:p w14:paraId="077A45D4">
            <w:pPr>
              <w:pStyle w:val="62"/>
              <w:rPr>
                <w:highlight w:val="yellow"/>
                <w:u w:val="single"/>
              </w:rPr>
            </w:pPr>
          </w:p>
        </w:tc>
        <w:tc>
          <w:tcPr>
            <w:tcW w:w="429" w:type="pct"/>
            <w:vMerge w:val="continue"/>
            <w:vAlign w:val="center"/>
          </w:tcPr>
          <w:p w14:paraId="6BE1F811">
            <w:pPr>
              <w:pStyle w:val="62"/>
              <w:rPr>
                <w:highlight w:val="yellow"/>
                <w:u w:val="single"/>
              </w:rPr>
            </w:pPr>
          </w:p>
        </w:tc>
        <w:tc>
          <w:tcPr>
            <w:tcW w:w="556" w:type="pct"/>
            <w:vMerge w:val="continue"/>
            <w:vAlign w:val="center"/>
          </w:tcPr>
          <w:p w14:paraId="56F69398">
            <w:pPr>
              <w:pStyle w:val="62"/>
              <w:rPr>
                <w:highlight w:val="yellow"/>
                <w:u w:val="single"/>
              </w:rPr>
            </w:pPr>
          </w:p>
        </w:tc>
      </w:tr>
      <w:tr w14:paraId="767C7317">
        <w:tblPrEx>
          <w:tblCellMar>
            <w:top w:w="0" w:type="dxa"/>
            <w:left w:w="28" w:type="dxa"/>
            <w:bottom w:w="0" w:type="dxa"/>
            <w:right w:w="28" w:type="dxa"/>
          </w:tblCellMar>
        </w:tblPrEx>
        <w:trPr>
          <w:trHeight w:val="454" w:hRule="atLeast"/>
          <w:jc w:val="center"/>
        </w:trPr>
        <w:tc>
          <w:tcPr>
            <w:tcW w:w="203" w:type="pct"/>
            <w:vMerge w:val="continue"/>
            <w:vAlign w:val="center"/>
          </w:tcPr>
          <w:p w14:paraId="127C18F4">
            <w:pPr>
              <w:pStyle w:val="62"/>
              <w:rPr>
                <w:highlight w:val="yellow"/>
                <w:u w:val="single"/>
              </w:rPr>
            </w:pPr>
          </w:p>
        </w:tc>
        <w:tc>
          <w:tcPr>
            <w:tcW w:w="401" w:type="pct"/>
            <w:vMerge w:val="continue"/>
            <w:vAlign w:val="center"/>
          </w:tcPr>
          <w:p w14:paraId="3DD601F6">
            <w:pPr>
              <w:pStyle w:val="62"/>
              <w:rPr>
                <w:highlight w:val="yellow"/>
                <w:u w:val="single"/>
              </w:rPr>
            </w:pPr>
          </w:p>
        </w:tc>
        <w:tc>
          <w:tcPr>
            <w:tcW w:w="407" w:type="pct"/>
            <w:vMerge w:val="continue"/>
            <w:vAlign w:val="center"/>
          </w:tcPr>
          <w:p w14:paraId="5616127B">
            <w:pPr>
              <w:pStyle w:val="62"/>
              <w:rPr>
                <w:highlight w:val="yellow"/>
                <w:u w:val="single"/>
              </w:rPr>
            </w:pPr>
          </w:p>
        </w:tc>
        <w:tc>
          <w:tcPr>
            <w:tcW w:w="1206" w:type="pct"/>
            <w:gridSpan w:val="2"/>
            <w:vAlign w:val="center"/>
          </w:tcPr>
          <w:p w14:paraId="27CFE9E7">
            <w:pPr>
              <w:pStyle w:val="62"/>
              <w:rPr>
                <w:highlight w:val="yellow"/>
                <w:u w:val="single"/>
              </w:rPr>
            </w:pPr>
            <w:r>
              <w:rPr>
                <w:rFonts w:hint="eastAsia"/>
                <w:u w:val="single"/>
              </w:rPr>
              <w:t>危险废物贮存库废气</w:t>
            </w:r>
          </w:p>
        </w:tc>
        <w:tc>
          <w:tcPr>
            <w:tcW w:w="854" w:type="pct"/>
            <w:vAlign w:val="center"/>
          </w:tcPr>
          <w:p w14:paraId="6E4D0800">
            <w:pPr>
              <w:pStyle w:val="62"/>
              <w:rPr>
                <w:highlight w:val="yellow"/>
                <w:u w:val="single"/>
              </w:rPr>
            </w:pPr>
            <w:r>
              <w:rPr>
                <w:rFonts w:hint="eastAsia"/>
                <w:u w:val="single"/>
              </w:rPr>
              <w:t>负压收集管道</w:t>
            </w:r>
          </w:p>
        </w:tc>
        <w:tc>
          <w:tcPr>
            <w:tcW w:w="516" w:type="pct"/>
            <w:vAlign w:val="center"/>
          </w:tcPr>
          <w:p w14:paraId="65053FC1">
            <w:pPr>
              <w:pStyle w:val="62"/>
              <w:rPr>
                <w:u w:val="single"/>
              </w:rPr>
            </w:pPr>
            <w:r>
              <w:rPr>
                <w:rFonts w:hint="eastAsia"/>
                <w:u w:val="single"/>
              </w:rPr>
              <w:t>/</w:t>
            </w:r>
          </w:p>
        </w:tc>
        <w:tc>
          <w:tcPr>
            <w:tcW w:w="428" w:type="pct"/>
            <w:vMerge w:val="continue"/>
            <w:vAlign w:val="center"/>
          </w:tcPr>
          <w:p w14:paraId="156BB29F">
            <w:pPr>
              <w:pStyle w:val="62"/>
              <w:rPr>
                <w:highlight w:val="yellow"/>
                <w:u w:val="single"/>
              </w:rPr>
            </w:pPr>
          </w:p>
        </w:tc>
        <w:tc>
          <w:tcPr>
            <w:tcW w:w="429" w:type="pct"/>
            <w:vMerge w:val="continue"/>
            <w:vAlign w:val="center"/>
          </w:tcPr>
          <w:p w14:paraId="1C38D3F9">
            <w:pPr>
              <w:pStyle w:val="62"/>
              <w:rPr>
                <w:highlight w:val="yellow"/>
                <w:u w:val="single"/>
              </w:rPr>
            </w:pPr>
          </w:p>
        </w:tc>
        <w:tc>
          <w:tcPr>
            <w:tcW w:w="556" w:type="pct"/>
            <w:vMerge w:val="continue"/>
            <w:vAlign w:val="center"/>
          </w:tcPr>
          <w:p w14:paraId="4B28C78E">
            <w:pPr>
              <w:pStyle w:val="62"/>
              <w:rPr>
                <w:highlight w:val="yellow"/>
                <w:u w:val="single"/>
              </w:rPr>
            </w:pPr>
          </w:p>
        </w:tc>
      </w:tr>
      <w:tr w14:paraId="5AEDF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4958E157">
            <w:pPr>
              <w:pStyle w:val="62"/>
              <w:rPr>
                <w:highlight w:val="yellow"/>
                <w:u w:val="single"/>
              </w:rPr>
            </w:pPr>
          </w:p>
        </w:tc>
        <w:tc>
          <w:tcPr>
            <w:tcW w:w="401" w:type="pct"/>
            <w:vMerge w:val="continue"/>
            <w:vAlign w:val="center"/>
          </w:tcPr>
          <w:p w14:paraId="71C998A6">
            <w:pPr>
              <w:pStyle w:val="62"/>
              <w:rPr>
                <w:highlight w:val="yellow"/>
                <w:u w:val="single"/>
              </w:rPr>
            </w:pPr>
          </w:p>
        </w:tc>
        <w:tc>
          <w:tcPr>
            <w:tcW w:w="407" w:type="pct"/>
            <w:vMerge w:val="continue"/>
            <w:vAlign w:val="center"/>
          </w:tcPr>
          <w:p w14:paraId="5DF21489">
            <w:pPr>
              <w:pStyle w:val="62"/>
              <w:rPr>
                <w:highlight w:val="yellow"/>
                <w:u w:val="single"/>
              </w:rPr>
            </w:pPr>
          </w:p>
        </w:tc>
        <w:tc>
          <w:tcPr>
            <w:tcW w:w="1206" w:type="pct"/>
            <w:gridSpan w:val="2"/>
            <w:vAlign w:val="center"/>
          </w:tcPr>
          <w:p w14:paraId="2B0AABE7">
            <w:pPr>
              <w:pStyle w:val="62"/>
              <w:rPr>
                <w:highlight w:val="yellow"/>
                <w:u w:val="single"/>
              </w:rPr>
            </w:pPr>
            <w:r>
              <w:rPr>
                <w:rFonts w:hint="eastAsia"/>
                <w:u w:val="single"/>
              </w:rPr>
              <w:t>化验室废气</w:t>
            </w:r>
          </w:p>
        </w:tc>
        <w:tc>
          <w:tcPr>
            <w:tcW w:w="854" w:type="pct"/>
            <w:vAlign w:val="center"/>
          </w:tcPr>
          <w:p w14:paraId="5371987B">
            <w:pPr>
              <w:pStyle w:val="62"/>
              <w:rPr>
                <w:highlight w:val="yellow"/>
                <w:u w:val="single"/>
              </w:rPr>
            </w:pPr>
            <w:r>
              <w:rPr>
                <w:rFonts w:hint="eastAsia"/>
                <w:u w:val="single"/>
              </w:rPr>
              <w:t>负压收集管道</w:t>
            </w:r>
          </w:p>
        </w:tc>
        <w:tc>
          <w:tcPr>
            <w:tcW w:w="516" w:type="pct"/>
            <w:vAlign w:val="center"/>
          </w:tcPr>
          <w:p w14:paraId="0713AD50">
            <w:pPr>
              <w:pStyle w:val="62"/>
              <w:rPr>
                <w:u w:val="single"/>
              </w:rPr>
            </w:pPr>
            <w:r>
              <w:rPr>
                <w:rFonts w:hint="eastAsia"/>
                <w:u w:val="single"/>
              </w:rPr>
              <w:t>/</w:t>
            </w:r>
          </w:p>
        </w:tc>
        <w:tc>
          <w:tcPr>
            <w:tcW w:w="428" w:type="pct"/>
            <w:vMerge w:val="continue"/>
            <w:vAlign w:val="center"/>
          </w:tcPr>
          <w:p w14:paraId="18EC9A7A">
            <w:pPr>
              <w:pStyle w:val="62"/>
              <w:rPr>
                <w:highlight w:val="yellow"/>
                <w:u w:val="single"/>
              </w:rPr>
            </w:pPr>
          </w:p>
        </w:tc>
        <w:tc>
          <w:tcPr>
            <w:tcW w:w="429" w:type="pct"/>
            <w:vMerge w:val="continue"/>
            <w:vAlign w:val="center"/>
          </w:tcPr>
          <w:p w14:paraId="47F37F2C">
            <w:pPr>
              <w:pStyle w:val="62"/>
              <w:rPr>
                <w:highlight w:val="yellow"/>
                <w:u w:val="single"/>
              </w:rPr>
            </w:pPr>
          </w:p>
        </w:tc>
        <w:tc>
          <w:tcPr>
            <w:tcW w:w="556" w:type="pct"/>
            <w:vMerge w:val="continue"/>
            <w:vAlign w:val="center"/>
          </w:tcPr>
          <w:p w14:paraId="6362A8AD">
            <w:pPr>
              <w:pStyle w:val="62"/>
              <w:rPr>
                <w:highlight w:val="yellow"/>
                <w:u w:val="single"/>
              </w:rPr>
            </w:pPr>
          </w:p>
        </w:tc>
      </w:tr>
      <w:tr w14:paraId="6056D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1229E7D">
            <w:pPr>
              <w:pStyle w:val="62"/>
              <w:rPr>
                <w:highlight w:val="yellow"/>
                <w:u w:val="single"/>
              </w:rPr>
            </w:pPr>
          </w:p>
        </w:tc>
        <w:tc>
          <w:tcPr>
            <w:tcW w:w="401" w:type="pct"/>
            <w:vMerge w:val="continue"/>
            <w:vAlign w:val="center"/>
          </w:tcPr>
          <w:p w14:paraId="7826D15C">
            <w:pPr>
              <w:pStyle w:val="62"/>
              <w:rPr>
                <w:highlight w:val="yellow"/>
                <w:u w:val="single"/>
              </w:rPr>
            </w:pPr>
          </w:p>
        </w:tc>
        <w:tc>
          <w:tcPr>
            <w:tcW w:w="407" w:type="pct"/>
            <w:vMerge w:val="continue"/>
            <w:vAlign w:val="center"/>
          </w:tcPr>
          <w:p w14:paraId="043AC038">
            <w:pPr>
              <w:pStyle w:val="62"/>
              <w:rPr>
                <w:highlight w:val="yellow"/>
                <w:u w:val="single"/>
              </w:rPr>
            </w:pPr>
          </w:p>
        </w:tc>
        <w:tc>
          <w:tcPr>
            <w:tcW w:w="603" w:type="pct"/>
            <w:vAlign w:val="center"/>
          </w:tcPr>
          <w:p w14:paraId="3DB6ACAD">
            <w:pPr>
              <w:pStyle w:val="62"/>
              <w:rPr>
                <w:highlight w:val="yellow"/>
                <w:u w:val="single"/>
              </w:rPr>
            </w:pPr>
            <w:r>
              <w:rPr>
                <w:rFonts w:hint="eastAsia"/>
                <w:u w:val="single"/>
              </w:rPr>
              <w:t>色浆</w:t>
            </w:r>
          </w:p>
        </w:tc>
        <w:tc>
          <w:tcPr>
            <w:tcW w:w="603" w:type="pct"/>
            <w:vAlign w:val="center"/>
          </w:tcPr>
          <w:p w14:paraId="5CECD951">
            <w:pPr>
              <w:pStyle w:val="62"/>
              <w:rPr>
                <w:highlight w:val="yellow"/>
                <w:u w:val="single"/>
              </w:rPr>
            </w:pPr>
            <w:r>
              <w:rPr>
                <w:rFonts w:hint="eastAsia"/>
                <w:u w:val="single"/>
              </w:rPr>
              <w:t>投料</w:t>
            </w:r>
          </w:p>
        </w:tc>
        <w:tc>
          <w:tcPr>
            <w:tcW w:w="854" w:type="pct"/>
            <w:vAlign w:val="center"/>
          </w:tcPr>
          <w:p w14:paraId="0559E261">
            <w:pPr>
              <w:pStyle w:val="62"/>
              <w:rPr>
                <w:highlight w:val="yellow"/>
                <w:u w:val="single"/>
              </w:rPr>
            </w:pPr>
            <w:r>
              <w:rPr>
                <w:rFonts w:hint="eastAsia"/>
                <w:u w:val="single"/>
              </w:rPr>
              <w:t>密闭负压收集管道</w:t>
            </w:r>
          </w:p>
        </w:tc>
        <w:tc>
          <w:tcPr>
            <w:tcW w:w="944" w:type="pct"/>
            <w:gridSpan w:val="2"/>
            <w:vAlign w:val="center"/>
          </w:tcPr>
          <w:p w14:paraId="35341FE0">
            <w:pPr>
              <w:pStyle w:val="62"/>
              <w:rPr>
                <w:highlight w:val="yellow"/>
                <w:u w:val="single"/>
              </w:rPr>
            </w:pPr>
            <w:r>
              <w:rPr>
                <w:rFonts w:hint="eastAsia"/>
                <w:u w:val="single"/>
              </w:rPr>
              <w:t>袋式除尘器</w:t>
            </w:r>
          </w:p>
        </w:tc>
        <w:tc>
          <w:tcPr>
            <w:tcW w:w="429" w:type="pct"/>
            <w:vAlign w:val="center"/>
          </w:tcPr>
          <w:p w14:paraId="644E5091">
            <w:pPr>
              <w:pStyle w:val="62"/>
              <w:rPr>
                <w:highlight w:val="yellow"/>
                <w:u w:val="single"/>
              </w:rPr>
            </w:pPr>
            <w:r>
              <w:rPr>
                <w:rFonts w:hint="eastAsia"/>
                <w:u w:val="single"/>
              </w:rPr>
              <w:t>15m高排气筒DA002</w:t>
            </w:r>
          </w:p>
        </w:tc>
        <w:tc>
          <w:tcPr>
            <w:tcW w:w="556" w:type="pct"/>
            <w:vMerge w:val="continue"/>
            <w:vAlign w:val="center"/>
          </w:tcPr>
          <w:p w14:paraId="2B75C6C2">
            <w:pPr>
              <w:pStyle w:val="62"/>
              <w:rPr>
                <w:highlight w:val="yellow"/>
                <w:u w:val="single"/>
              </w:rPr>
            </w:pPr>
          </w:p>
        </w:tc>
      </w:tr>
      <w:tr w14:paraId="1D3EA9A2">
        <w:tblPrEx>
          <w:tblCellMar>
            <w:top w:w="0" w:type="dxa"/>
            <w:left w:w="28" w:type="dxa"/>
            <w:bottom w:w="0" w:type="dxa"/>
            <w:right w:w="28" w:type="dxa"/>
          </w:tblCellMar>
        </w:tblPrEx>
        <w:trPr>
          <w:trHeight w:val="454" w:hRule="atLeast"/>
          <w:jc w:val="center"/>
        </w:trPr>
        <w:tc>
          <w:tcPr>
            <w:tcW w:w="203" w:type="pct"/>
            <w:vMerge w:val="continue"/>
            <w:vAlign w:val="center"/>
          </w:tcPr>
          <w:p w14:paraId="1D3EA99D">
            <w:pPr>
              <w:pStyle w:val="62"/>
              <w:rPr>
                <w:highlight w:val="yellow"/>
                <w:u w:val="single"/>
              </w:rPr>
            </w:pPr>
          </w:p>
        </w:tc>
        <w:tc>
          <w:tcPr>
            <w:tcW w:w="401" w:type="pct"/>
            <w:vMerge w:val="continue"/>
            <w:vAlign w:val="center"/>
          </w:tcPr>
          <w:p w14:paraId="1D3EA99E">
            <w:pPr>
              <w:pStyle w:val="62"/>
              <w:rPr>
                <w:highlight w:val="yellow"/>
                <w:u w:val="single"/>
              </w:rPr>
            </w:pPr>
          </w:p>
        </w:tc>
        <w:tc>
          <w:tcPr>
            <w:tcW w:w="1613" w:type="pct"/>
            <w:gridSpan w:val="3"/>
            <w:vAlign w:val="center"/>
          </w:tcPr>
          <w:p w14:paraId="1D3EA99F">
            <w:pPr>
              <w:pStyle w:val="62"/>
              <w:rPr>
                <w:u w:val="single"/>
              </w:rPr>
            </w:pPr>
            <w:r>
              <w:rPr>
                <w:u w:val="single"/>
              </w:rPr>
              <w:t>噪声</w:t>
            </w:r>
          </w:p>
        </w:tc>
        <w:tc>
          <w:tcPr>
            <w:tcW w:w="2227" w:type="pct"/>
            <w:gridSpan w:val="4"/>
            <w:vAlign w:val="center"/>
          </w:tcPr>
          <w:p w14:paraId="1D3EA9A0">
            <w:pPr>
              <w:pStyle w:val="62"/>
              <w:rPr>
                <w:u w:val="single"/>
              </w:rPr>
            </w:pPr>
            <w:r>
              <w:rPr>
                <w:u w:val="single"/>
              </w:rPr>
              <w:t>基础减振、厂房隔声</w:t>
            </w:r>
          </w:p>
        </w:tc>
        <w:tc>
          <w:tcPr>
            <w:tcW w:w="556" w:type="pct"/>
            <w:vAlign w:val="center"/>
          </w:tcPr>
          <w:p w14:paraId="1D3EA9A1">
            <w:pPr>
              <w:pStyle w:val="62"/>
              <w:rPr>
                <w:u w:val="single"/>
              </w:rPr>
            </w:pPr>
            <w:r>
              <w:rPr>
                <w:u w:val="single"/>
              </w:rPr>
              <w:t>新建</w:t>
            </w:r>
          </w:p>
        </w:tc>
      </w:tr>
      <w:tr w14:paraId="1D3EA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D3EA9A3">
            <w:pPr>
              <w:pStyle w:val="62"/>
              <w:rPr>
                <w:highlight w:val="yellow"/>
                <w:u w:val="single"/>
              </w:rPr>
            </w:pPr>
          </w:p>
        </w:tc>
        <w:tc>
          <w:tcPr>
            <w:tcW w:w="401" w:type="pct"/>
            <w:vMerge w:val="continue"/>
            <w:vAlign w:val="center"/>
          </w:tcPr>
          <w:p w14:paraId="1D3EA9A4">
            <w:pPr>
              <w:pStyle w:val="62"/>
              <w:rPr>
                <w:highlight w:val="yellow"/>
                <w:u w:val="single"/>
              </w:rPr>
            </w:pPr>
          </w:p>
        </w:tc>
        <w:tc>
          <w:tcPr>
            <w:tcW w:w="1613" w:type="pct"/>
            <w:gridSpan w:val="3"/>
            <w:vMerge w:val="restart"/>
            <w:vAlign w:val="center"/>
          </w:tcPr>
          <w:p w14:paraId="1D3EA9A5">
            <w:pPr>
              <w:pStyle w:val="62"/>
              <w:rPr>
                <w:u w:val="single"/>
              </w:rPr>
            </w:pPr>
            <w:r>
              <w:rPr>
                <w:u w:val="single"/>
              </w:rPr>
              <w:t>固废</w:t>
            </w:r>
          </w:p>
        </w:tc>
        <w:tc>
          <w:tcPr>
            <w:tcW w:w="2227" w:type="pct"/>
            <w:gridSpan w:val="4"/>
            <w:vAlign w:val="center"/>
          </w:tcPr>
          <w:p w14:paraId="1D3EA9A6">
            <w:pPr>
              <w:pStyle w:val="62"/>
              <w:rPr>
                <w:u w:val="single"/>
              </w:rPr>
            </w:pPr>
            <w:r>
              <w:rPr>
                <w:u w:val="single"/>
              </w:rPr>
              <w:t>一般固废</w:t>
            </w:r>
            <w:r>
              <w:rPr>
                <w:rFonts w:hint="eastAsia"/>
                <w:u w:val="single"/>
              </w:rPr>
              <w:t>暂存间</w:t>
            </w:r>
            <w:r>
              <w:rPr>
                <w:u w:val="single"/>
              </w:rPr>
              <w:t>（</w:t>
            </w:r>
            <w:r>
              <w:rPr>
                <w:rFonts w:hint="eastAsia"/>
                <w:u w:val="single"/>
              </w:rPr>
              <w:t>5</w:t>
            </w:r>
            <w:r>
              <w:rPr>
                <w:u w:val="single"/>
              </w:rPr>
              <w:t>m</w:t>
            </w:r>
            <w:r>
              <w:rPr>
                <w:u w:val="single"/>
                <w:vertAlign w:val="superscript"/>
              </w:rPr>
              <w:t>2</w:t>
            </w:r>
            <w:r>
              <w:rPr>
                <w:u w:val="single"/>
              </w:rPr>
              <w:t>）</w:t>
            </w:r>
          </w:p>
        </w:tc>
        <w:tc>
          <w:tcPr>
            <w:tcW w:w="556" w:type="pct"/>
            <w:vAlign w:val="center"/>
          </w:tcPr>
          <w:p w14:paraId="1D3EA9A7">
            <w:pPr>
              <w:pStyle w:val="62"/>
              <w:rPr>
                <w:u w:val="single"/>
              </w:rPr>
            </w:pPr>
            <w:r>
              <w:rPr>
                <w:u w:val="single"/>
              </w:rPr>
              <w:t>新建</w:t>
            </w:r>
          </w:p>
        </w:tc>
      </w:tr>
      <w:tr w14:paraId="1D3EA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D3EA9A9">
            <w:pPr>
              <w:pStyle w:val="62"/>
              <w:rPr>
                <w:highlight w:val="yellow"/>
                <w:u w:val="single"/>
              </w:rPr>
            </w:pPr>
          </w:p>
        </w:tc>
        <w:tc>
          <w:tcPr>
            <w:tcW w:w="401" w:type="pct"/>
            <w:vMerge w:val="continue"/>
            <w:vAlign w:val="center"/>
          </w:tcPr>
          <w:p w14:paraId="1D3EA9AA">
            <w:pPr>
              <w:pStyle w:val="62"/>
              <w:rPr>
                <w:highlight w:val="yellow"/>
                <w:u w:val="single"/>
              </w:rPr>
            </w:pPr>
          </w:p>
        </w:tc>
        <w:tc>
          <w:tcPr>
            <w:tcW w:w="1613" w:type="pct"/>
            <w:gridSpan w:val="3"/>
            <w:vMerge w:val="continue"/>
            <w:vAlign w:val="center"/>
          </w:tcPr>
          <w:p w14:paraId="1D3EA9AB">
            <w:pPr>
              <w:pStyle w:val="62"/>
              <w:rPr>
                <w:u w:val="single"/>
              </w:rPr>
            </w:pPr>
          </w:p>
        </w:tc>
        <w:tc>
          <w:tcPr>
            <w:tcW w:w="2227" w:type="pct"/>
            <w:gridSpan w:val="4"/>
            <w:vAlign w:val="center"/>
          </w:tcPr>
          <w:p w14:paraId="1D3EA9AC">
            <w:pPr>
              <w:pStyle w:val="62"/>
              <w:rPr>
                <w:u w:val="single"/>
              </w:rPr>
            </w:pPr>
            <w:r>
              <w:rPr>
                <w:u w:val="single"/>
              </w:rPr>
              <w:t>危废贮存库1座（</w:t>
            </w:r>
            <w:r>
              <w:rPr>
                <w:rFonts w:hint="eastAsia"/>
                <w:u w:val="single"/>
              </w:rPr>
              <w:t>50</w:t>
            </w:r>
            <w:r>
              <w:rPr>
                <w:u w:val="single"/>
              </w:rPr>
              <w:t>m</w:t>
            </w:r>
            <w:r>
              <w:rPr>
                <w:u w:val="single"/>
                <w:vertAlign w:val="superscript"/>
              </w:rPr>
              <w:t>2</w:t>
            </w:r>
            <w:r>
              <w:rPr>
                <w:u w:val="single"/>
              </w:rPr>
              <w:t>）</w:t>
            </w:r>
          </w:p>
        </w:tc>
        <w:tc>
          <w:tcPr>
            <w:tcW w:w="556" w:type="pct"/>
            <w:vAlign w:val="center"/>
          </w:tcPr>
          <w:p w14:paraId="1D3EA9AD">
            <w:pPr>
              <w:pStyle w:val="62"/>
              <w:rPr>
                <w:u w:val="single"/>
              </w:rPr>
            </w:pPr>
            <w:r>
              <w:rPr>
                <w:u w:val="single"/>
              </w:rPr>
              <w:t>新建</w:t>
            </w:r>
          </w:p>
        </w:tc>
      </w:tr>
      <w:tr w14:paraId="1D3EA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restart"/>
            <w:vAlign w:val="center"/>
          </w:tcPr>
          <w:p w14:paraId="1D3EA9AF">
            <w:pPr>
              <w:pStyle w:val="62"/>
              <w:rPr>
                <w:u w:val="single"/>
              </w:rPr>
            </w:pPr>
            <w:r>
              <w:rPr>
                <w:u w:val="single"/>
              </w:rPr>
              <w:t>4</w:t>
            </w:r>
          </w:p>
        </w:tc>
        <w:tc>
          <w:tcPr>
            <w:tcW w:w="401" w:type="pct"/>
            <w:vMerge w:val="restart"/>
            <w:vAlign w:val="center"/>
          </w:tcPr>
          <w:p w14:paraId="1D3EA9B0">
            <w:pPr>
              <w:pStyle w:val="62"/>
              <w:rPr>
                <w:u w:val="single"/>
              </w:rPr>
            </w:pPr>
            <w:r>
              <w:rPr>
                <w:u w:val="single"/>
              </w:rPr>
              <w:t>公用工程</w:t>
            </w:r>
          </w:p>
        </w:tc>
        <w:tc>
          <w:tcPr>
            <w:tcW w:w="1613" w:type="pct"/>
            <w:gridSpan w:val="3"/>
            <w:vAlign w:val="center"/>
          </w:tcPr>
          <w:p w14:paraId="1D3EA9B2">
            <w:pPr>
              <w:pStyle w:val="62"/>
              <w:rPr>
                <w:u w:val="single"/>
              </w:rPr>
            </w:pPr>
            <w:r>
              <w:rPr>
                <w:u w:val="single"/>
              </w:rPr>
              <w:t>供水</w:t>
            </w:r>
          </w:p>
        </w:tc>
        <w:tc>
          <w:tcPr>
            <w:tcW w:w="2227" w:type="pct"/>
            <w:gridSpan w:val="4"/>
            <w:vAlign w:val="center"/>
          </w:tcPr>
          <w:p w14:paraId="1D3EA9B3">
            <w:pPr>
              <w:pStyle w:val="62"/>
              <w:rPr>
                <w:u w:val="single"/>
              </w:rPr>
            </w:pPr>
            <w:r>
              <w:rPr>
                <w:rFonts w:hint="eastAsia"/>
                <w:u w:val="single"/>
              </w:rPr>
              <w:t>目前园区生产用水管网正在建设中，生活用水管网已建成，建成之前生产用水暂时使用本项目租赁厂区新乡市太行水泥粉磨有限公司的自备井水，生活用水使用园区统一供水，待园区生产用水管网建成后，采用园区统一供应用水。</w:t>
            </w:r>
          </w:p>
        </w:tc>
        <w:tc>
          <w:tcPr>
            <w:tcW w:w="556" w:type="pct"/>
            <w:vAlign w:val="center"/>
          </w:tcPr>
          <w:p w14:paraId="1D3EA9B4">
            <w:pPr>
              <w:pStyle w:val="62"/>
              <w:rPr>
                <w:u w:val="single"/>
              </w:rPr>
            </w:pPr>
            <w:r>
              <w:rPr>
                <w:u w:val="single"/>
              </w:rPr>
              <w:t>/</w:t>
            </w:r>
          </w:p>
        </w:tc>
      </w:tr>
      <w:tr w14:paraId="1D3EA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D3EA9B6">
            <w:pPr>
              <w:pStyle w:val="62"/>
              <w:rPr>
                <w:u w:val="single"/>
              </w:rPr>
            </w:pPr>
          </w:p>
        </w:tc>
        <w:tc>
          <w:tcPr>
            <w:tcW w:w="401" w:type="pct"/>
            <w:vMerge w:val="continue"/>
            <w:vAlign w:val="center"/>
          </w:tcPr>
          <w:p w14:paraId="1D3EA9B7">
            <w:pPr>
              <w:pStyle w:val="62"/>
              <w:rPr>
                <w:u w:val="single"/>
              </w:rPr>
            </w:pPr>
          </w:p>
        </w:tc>
        <w:tc>
          <w:tcPr>
            <w:tcW w:w="1613" w:type="pct"/>
            <w:gridSpan w:val="3"/>
            <w:vAlign w:val="center"/>
          </w:tcPr>
          <w:p w14:paraId="1D3EA9B9">
            <w:pPr>
              <w:pStyle w:val="62"/>
              <w:rPr>
                <w:u w:val="single"/>
              </w:rPr>
            </w:pPr>
            <w:r>
              <w:rPr>
                <w:u w:val="single"/>
              </w:rPr>
              <w:t>供电</w:t>
            </w:r>
          </w:p>
        </w:tc>
        <w:tc>
          <w:tcPr>
            <w:tcW w:w="2227" w:type="pct"/>
            <w:gridSpan w:val="4"/>
            <w:vAlign w:val="center"/>
          </w:tcPr>
          <w:p w14:paraId="1D3EA9BA">
            <w:pPr>
              <w:pStyle w:val="62"/>
              <w:rPr>
                <w:u w:val="single"/>
              </w:rPr>
            </w:pPr>
            <w:r>
              <w:rPr>
                <w:u w:val="single"/>
              </w:rPr>
              <w:t>园区集中供应</w:t>
            </w:r>
          </w:p>
        </w:tc>
        <w:tc>
          <w:tcPr>
            <w:tcW w:w="556" w:type="pct"/>
            <w:vAlign w:val="center"/>
          </w:tcPr>
          <w:p w14:paraId="1D3EA9BB">
            <w:pPr>
              <w:pStyle w:val="62"/>
              <w:rPr>
                <w:u w:val="single"/>
              </w:rPr>
            </w:pPr>
            <w:r>
              <w:rPr>
                <w:u w:val="single"/>
              </w:rPr>
              <w:t>/</w:t>
            </w:r>
          </w:p>
        </w:tc>
      </w:tr>
      <w:bookmarkEnd w:id="165"/>
      <w:bookmarkEnd w:id="166"/>
      <w:bookmarkEnd w:id="167"/>
    </w:tbl>
    <w:p w14:paraId="2A1B7D6B">
      <w:pPr>
        <w:pStyle w:val="5"/>
        <w:spacing w:before="240" w:after="240"/>
      </w:pPr>
      <w:bookmarkStart w:id="168" w:name="_Toc428287213"/>
      <w:bookmarkStart w:id="169" w:name="_Toc428287565"/>
      <w:bookmarkStart w:id="170" w:name="_Toc428286819"/>
      <w:r>
        <w:t>产品方案及产品质量指标</w:t>
      </w:r>
    </w:p>
    <w:p w14:paraId="7BA72BCA">
      <w:pPr>
        <w:ind w:firstLine="482"/>
        <w:outlineLvl w:val="3"/>
        <w:rPr>
          <w:b/>
          <w:bCs/>
        </w:rPr>
      </w:pPr>
      <w:r>
        <w:rPr>
          <w:b/>
          <w:bCs/>
        </w:rPr>
        <w:t>3.</w:t>
      </w:r>
      <w:r>
        <w:rPr>
          <w:rFonts w:hint="eastAsia"/>
          <w:b/>
          <w:bCs/>
        </w:rPr>
        <w:t>1</w:t>
      </w:r>
      <w:r>
        <w:rPr>
          <w:b/>
          <w:bCs/>
        </w:rPr>
        <w:t>.3.1 产品方案</w:t>
      </w:r>
    </w:p>
    <w:p w14:paraId="5C9EB6FA">
      <w:pPr>
        <w:ind w:firstLine="480"/>
      </w:pPr>
      <w:r>
        <w:t>本次工程产品生产规模及产品方案见下表</w:t>
      </w:r>
      <w:r>
        <w:rPr>
          <w:rFonts w:hint="eastAsia"/>
        </w:rPr>
        <w:t>。</w:t>
      </w:r>
    </w:p>
    <w:p w14:paraId="6991DBA2">
      <w:pPr>
        <w:pStyle w:val="64"/>
        <w:numPr>
          <w:ilvl w:val="0"/>
          <w:numId w:val="14"/>
        </w:numPr>
        <w:spacing w:before="120" w:after="120"/>
        <w:ind w:left="884" w:hanging="442" w:firstLineChars="0"/>
      </w:pPr>
      <w:r>
        <w:t xml:space="preserve">    </w:t>
      </w:r>
      <w:r>
        <w:rPr>
          <w:rFonts w:hint="eastAsia"/>
        </w:rPr>
        <w:t xml:space="preserve">   </w:t>
      </w:r>
      <w:r>
        <w:t xml:space="preserve">  </w:t>
      </w:r>
      <w:r>
        <w:rPr>
          <w:rFonts w:hint="eastAsia"/>
        </w:rPr>
        <w:t xml:space="preserve">  </w:t>
      </w:r>
      <w:r>
        <w:t>本项目产品方案一览表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605"/>
        <w:gridCol w:w="1603"/>
        <w:gridCol w:w="2188"/>
        <w:gridCol w:w="2416"/>
      </w:tblGrid>
      <w:tr w14:paraId="23D0F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Align w:val="center"/>
          </w:tcPr>
          <w:p w14:paraId="1BA3D6F5">
            <w:pPr>
              <w:spacing w:line="240" w:lineRule="auto"/>
              <w:ind w:firstLine="0" w:firstLineChars="0"/>
              <w:jc w:val="center"/>
              <w:rPr>
                <w:b/>
                <w:bCs/>
                <w:sz w:val="21"/>
                <w:szCs w:val="21"/>
              </w:rPr>
            </w:pPr>
            <w:r>
              <w:rPr>
                <w:rFonts w:hint="eastAsia"/>
                <w:b/>
                <w:bCs/>
                <w:sz w:val="21"/>
                <w:szCs w:val="21"/>
              </w:rPr>
              <w:t>序号</w:t>
            </w:r>
          </w:p>
        </w:tc>
        <w:tc>
          <w:tcPr>
            <w:tcW w:w="941" w:type="pct"/>
            <w:vAlign w:val="center"/>
          </w:tcPr>
          <w:p w14:paraId="777A2734">
            <w:pPr>
              <w:spacing w:line="240" w:lineRule="auto"/>
              <w:ind w:firstLine="0" w:firstLineChars="0"/>
              <w:jc w:val="center"/>
              <w:rPr>
                <w:b/>
                <w:bCs/>
                <w:sz w:val="21"/>
                <w:szCs w:val="21"/>
              </w:rPr>
            </w:pPr>
            <w:r>
              <w:rPr>
                <w:b/>
                <w:bCs/>
                <w:sz w:val="21"/>
                <w:szCs w:val="21"/>
              </w:rPr>
              <w:t>产品</w:t>
            </w:r>
            <w:r>
              <w:rPr>
                <w:rFonts w:hint="eastAsia"/>
                <w:b/>
                <w:bCs/>
                <w:sz w:val="21"/>
                <w:szCs w:val="21"/>
              </w:rPr>
              <w:t>名称</w:t>
            </w:r>
          </w:p>
        </w:tc>
        <w:tc>
          <w:tcPr>
            <w:tcW w:w="940" w:type="pct"/>
            <w:vAlign w:val="center"/>
          </w:tcPr>
          <w:p w14:paraId="243EEA8E">
            <w:pPr>
              <w:spacing w:line="240" w:lineRule="auto"/>
              <w:ind w:firstLine="0" w:firstLineChars="0"/>
              <w:jc w:val="center"/>
              <w:rPr>
                <w:b/>
                <w:bCs/>
                <w:sz w:val="21"/>
                <w:szCs w:val="21"/>
              </w:rPr>
            </w:pPr>
            <w:r>
              <w:rPr>
                <w:b/>
                <w:bCs/>
                <w:sz w:val="21"/>
                <w:szCs w:val="21"/>
              </w:rPr>
              <w:t>设计生产规模（t/a）</w:t>
            </w:r>
          </w:p>
        </w:tc>
        <w:tc>
          <w:tcPr>
            <w:tcW w:w="1283" w:type="pct"/>
            <w:vAlign w:val="center"/>
          </w:tcPr>
          <w:p w14:paraId="1CB91C62">
            <w:pPr>
              <w:spacing w:line="240" w:lineRule="auto"/>
              <w:ind w:firstLine="0" w:firstLineChars="0"/>
              <w:jc w:val="center"/>
              <w:rPr>
                <w:b/>
                <w:bCs/>
                <w:sz w:val="21"/>
                <w:szCs w:val="21"/>
              </w:rPr>
            </w:pPr>
            <w:r>
              <w:rPr>
                <w:rFonts w:hint="eastAsia"/>
                <w:b/>
                <w:bCs/>
                <w:sz w:val="21"/>
                <w:szCs w:val="21"/>
              </w:rPr>
              <w:t>包装规格</w:t>
            </w:r>
          </w:p>
        </w:tc>
        <w:tc>
          <w:tcPr>
            <w:tcW w:w="1416" w:type="pct"/>
            <w:vAlign w:val="center"/>
          </w:tcPr>
          <w:p w14:paraId="0482AA6E">
            <w:pPr>
              <w:spacing w:line="240" w:lineRule="auto"/>
              <w:ind w:firstLine="0" w:firstLineChars="0"/>
              <w:jc w:val="center"/>
              <w:rPr>
                <w:b/>
                <w:bCs/>
                <w:sz w:val="21"/>
                <w:szCs w:val="21"/>
              </w:rPr>
            </w:pPr>
            <w:r>
              <w:rPr>
                <w:rFonts w:hint="eastAsia"/>
                <w:b/>
                <w:bCs/>
                <w:sz w:val="21"/>
                <w:szCs w:val="21"/>
              </w:rPr>
              <w:t>用途</w:t>
            </w:r>
          </w:p>
        </w:tc>
      </w:tr>
      <w:tr w14:paraId="4626A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Align w:val="center"/>
          </w:tcPr>
          <w:p w14:paraId="2249A1AC">
            <w:pPr>
              <w:spacing w:line="240" w:lineRule="auto"/>
              <w:ind w:firstLine="0" w:firstLineChars="0"/>
              <w:jc w:val="center"/>
              <w:rPr>
                <w:sz w:val="21"/>
                <w:szCs w:val="21"/>
              </w:rPr>
            </w:pPr>
            <w:r>
              <w:rPr>
                <w:rFonts w:hint="eastAsia"/>
                <w:sz w:val="21"/>
                <w:szCs w:val="21"/>
              </w:rPr>
              <w:t>1</w:t>
            </w:r>
          </w:p>
        </w:tc>
        <w:tc>
          <w:tcPr>
            <w:tcW w:w="941" w:type="pct"/>
            <w:vAlign w:val="center"/>
          </w:tcPr>
          <w:p w14:paraId="7DCC00FF">
            <w:pPr>
              <w:spacing w:line="240" w:lineRule="auto"/>
              <w:ind w:firstLine="0" w:firstLineChars="0"/>
              <w:jc w:val="center"/>
              <w:rPr>
                <w:sz w:val="21"/>
                <w:szCs w:val="21"/>
              </w:rPr>
            </w:pPr>
            <w:r>
              <w:rPr>
                <w:rFonts w:hint="eastAsia"/>
                <w:bCs/>
                <w:sz w:val="21"/>
                <w:szCs w:val="21"/>
              </w:rPr>
              <w:t>聚醚改性硅油</w:t>
            </w:r>
          </w:p>
        </w:tc>
        <w:tc>
          <w:tcPr>
            <w:tcW w:w="940" w:type="pct"/>
            <w:vAlign w:val="center"/>
          </w:tcPr>
          <w:p w14:paraId="164F3BB6">
            <w:pPr>
              <w:spacing w:line="240" w:lineRule="auto"/>
              <w:ind w:firstLine="0" w:firstLineChars="0"/>
              <w:jc w:val="center"/>
              <w:rPr>
                <w:sz w:val="21"/>
                <w:szCs w:val="21"/>
              </w:rPr>
            </w:pPr>
            <w:r>
              <w:rPr>
                <w:sz w:val="21"/>
                <w:szCs w:val="21"/>
              </w:rPr>
              <w:t>10000</w:t>
            </w:r>
          </w:p>
        </w:tc>
        <w:tc>
          <w:tcPr>
            <w:tcW w:w="1283" w:type="pct"/>
            <w:vAlign w:val="center"/>
          </w:tcPr>
          <w:p w14:paraId="78B27F5E">
            <w:pPr>
              <w:spacing w:line="240" w:lineRule="auto"/>
              <w:ind w:firstLine="0" w:firstLineChars="0"/>
              <w:jc w:val="center"/>
              <w:rPr>
                <w:sz w:val="21"/>
                <w:szCs w:val="21"/>
              </w:rPr>
            </w:pPr>
            <w:r>
              <w:rPr>
                <w:rFonts w:hint="eastAsia"/>
                <w:sz w:val="21"/>
                <w:szCs w:val="21"/>
              </w:rPr>
              <w:t>2</w:t>
            </w:r>
            <w:r>
              <w:rPr>
                <w:sz w:val="21"/>
                <w:szCs w:val="21"/>
              </w:rPr>
              <w:t>5kg/</w:t>
            </w:r>
            <w:r>
              <w:rPr>
                <w:rFonts w:hint="eastAsia"/>
                <w:sz w:val="21"/>
                <w:szCs w:val="21"/>
              </w:rPr>
              <w:t>桶和吨桶包装</w:t>
            </w:r>
          </w:p>
        </w:tc>
        <w:tc>
          <w:tcPr>
            <w:tcW w:w="1416" w:type="pct"/>
            <w:vAlign w:val="center"/>
          </w:tcPr>
          <w:p w14:paraId="72CD3993">
            <w:pPr>
              <w:spacing w:line="240" w:lineRule="auto"/>
              <w:ind w:firstLine="0" w:firstLineChars="0"/>
              <w:jc w:val="center"/>
              <w:rPr>
                <w:sz w:val="21"/>
                <w:szCs w:val="21"/>
              </w:rPr>
            </w:pPr>
            <w:r>
              <w:rPr>
                <w:rFonts w:hint="eastAsia"/>
                <w:sz w:val="21"/>
                <w:szCs w:val="21"/>
              </w:rPr>
              <w:t>主要作为稳定剂用于生产海绵</w:t>
            </w:r>
          </w:p>
        </w:tc>
      </w:tr>
      <w:tr w14:paraId="50377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Align w:val="center"/>
          </w:tcPr>
          <w:p w14:paraId="534D0406">
            <w:pPr>
              <w:spacing w:line="240" w:lineRule="auto"/>
              <w:ind w:firstLine="0" w:firstLineChars="0"/>
              <w:jc w:val="center"/>
              <w:rPr>
                <w:sz w:val="21"/>
                <w:szCs w:val="21"/>
              </w:rPr>
            </w:pPr>
            <w:r>
              <w:rPr>
                <w:rFonts w:hint="eastAsia"/>
                <w:sz w:val="21"/>
                <w:szCs w:val="21"/>
              </w:rPr>
              <w:t>2</w:t>
            </w:r>
          </w:p>
        </w:tc>
        <w:tc>
          <w:tcPr>
            <w:tcW w:w="941" w:type="pct"/>
            <w:vAlign w:val="center"/>
          </w:tcPr>
          <w:p w14:paraId="4CA04E9E">
            <w:pPr>
              <w:spacing w:line="240" w:lineRule="auto"/>
              <w:ind w:firstLine="0" w:firstLineChars="0"/>
              <w:jc w:val="center"/>
              <w:rPr>
                <w:sz w:val="21"/>
                <w:szCs w:val="21"/>
              </w:rPr>
            </w:pPr>
            <w:r>
              <w:rPr>
                <w:rFonts w:hint="eastAsia"/>
                <w:sz w:val="21"/>
                <w:szCs w:val="21"/>
              </w:rPr>
              <w:t>色浆</w:t>
            </w:r>
          </w:p>
        </w:tc>
        <w:tc>
          <w:tcPr>
            <w:tcW w:w="940" w:type="pct"/>
            <w:vAlign w:val="center"/>
          </w:tcPr>
          <w:p w14:paraId="3CF4E794">
            <w:pPr>
              <w:spacing w:line="240" w:lineRule="auto"/>
              <w:ind w:firstLine="0" w:firstLineChars="0"/>
              <w:jc w:val="center"/>
              <w:rPr>
                <w:sz w:val="21"/>
                <w:szCs w:val="21"/>
              </w:rPr>
            </w:pPr>
            <w:r>
              <w:rPr>
                <w:rFonts w:hint="eastAsia"/>
                <w:sz w:val="21"/>
                <w:szCs w:val="21"/>
              </w:rPr>
              <w:t>1</w:t>
            </w:r>
            <w:r>
              <w:rPr>
                <w:sz w:val="21"/>
                <w:szCs w:val="21"/>
              </w:rPr>
              <w:t>000</w:t>
            </w:r>
          </w:p>
        </w:tc>
        <w:tc>
          <w:tcPr>
            <w:tcW w:w="1283" w:type="pct"/>
            <w:vAlign w:val="center"/>
          </w:tcPr>
          <w:p w14:paraId="1A64ECFD">
            <w:pPr>
              <w:spacing w:line="240" w:lineRule="auto"/>
              <w:ind w:firstLine="0" w:firstLineChars="0"/>
              <w:jc w:val="center"/>
              <w:rPr>
                <w:sz w:val="21"/>
                <w:szCs w:val="21"/>
              </w:rPr>
            </w:pPr>
            <w:r>
              <w:rPr>
                <w:rFonts w:hint="eastAsia"/>
                <w:sz w:val="21"/>
                <w:szCs w:val="21"/>
              </w:rPr>
              <w:t>3</w:t>
            </w:r>
            <w:r>
              <w:rPr>
                <w:sz w:val="21"/>
                <w:szCs w:val="21"/>
              </w:rPr>
              <w:t>5</w:t>
            </w:r>
            <w:r>
              <w:rPr>
                <w:rFonts w:hint="eastAsia"/>
                <w:sz w:val="21"/>
                <w:szCs w:val="21"/>
              </w:rPr>
              <w:t>kg</w:t>
            </w:r>
            <w:r>
              <w:rPr>
                <w:sz w:val="21"/>
                <w:szCs w:val="21"/>
              </w:rPr>
              <w:t>/</w:t>
            </w:r>
            <w:r>
              <w:rPr>
                <w:rFonts w:hint="eastAsia"/>
                <w:sz w:val="21"/>
                <w:szCs w:val="21"/>
              </w:rPr>
              <w:t>桶</w:t>
            </w:r>
          </w:p>
        </w:tc>
        <w:tc>
          <w:tcPr>
            <w:tcW w:w="1416" w:type="pct"/>
            <w:vAlign w:val="center"/>
          </w:tcPr>
          <w:p w14:paraId="2CE45FAE">
            <w:pPr>
              <w:spacing w:line="240" w:lineRule="auto"/>
              <w:ind w:firstLine="0" w:firstLineChars="0"/>
              <w:jc w:val="center"/>
              <w:rPr>
                <w:sz w:val="21"/>
                <w:szCs w:val="21"/>
              </w:rPr>
            </w:pPr>
            <w:r>
              <w:rPr>
                <w:rFonts w:hint="eastAsia"/>
                <w:sz w:val="21"/>
                <w:szCs w:val="21"/>
              </w:rPr>
              <w:t>主要用于海绵上色</w:t>
            </w:r>
          </w:p>
        </w:tc>
      </w:tr>
    </w:tbl>
    <w:p w14:paraId="53822D11">
      <w:pPr>
        <w:ind w:firstLine="482"/>
        <w:outlineLvl w:val="3"/>
        <w:rPr>
          <w:b/>
          <w:bCs/>
        </w:rPr>
      </w:pPr>
      <w:r>
        <w:rPr>
          <w:b/>
          <w:bCs/>
        </w:rPr>
        <w:t>3</w:t>
      </w:r>
      <w:r>
        <w:rPr>
          <w:rFonts w:hint="eastAsia"/>
          <w:b/>
          <w:bCs/>
        </w:rPr>
        <w:t>.1</w:t>
      </w:r>
      <w:r>
        <w:rPr>
          <w:b/>
          <w:bCs/>
        </w:rPr>
        <w:t>.3.2</w:t>
      </w:r>
      <w:r>
        <w:rPr>
          <w:rFonts w:hint="eastAsia"/>
          <w:b/>
          <w:bCs/>
        </w:rPr>
        <w:t>产品生产周期</w:t>
      </w:r>
    </w:p>
    <w:p w14:paraId="7C01681E">
      <w:pPr>
        <w:pStyle w:val="64"/>
        <w:numPr>
          <w:ilvl w:val="0"/>
          <w:numId w:val="14"/>
        </w:numPr>
        <w:spacing w:before="120" w:after="120"/>
        <w:ind w:left="884" w:hanging="442" w:firstLineChars="0"/>
      </w:pPr>
      <w:r>
        <w:rPr>
          <w:rFonts w:hint="eastAsia"/>
        </w:rPr>
        <w:t xml:space="preserve">     本项目产品</w:t>
      </w:r>
      <w:r>
        <w:rPr>
          <w:rFonts w:hint="eastAsia"/>
          <w:bCs/>
        </w:rPr>
        <w:t>聚醚改性硅油</w:t>
      </w:r>
      <w:r>
        <w:rPr>
          <w:rFonts w:hint="eastAsia"/>
        </w:rPr>
        <w:t>生产周期基本情况一览表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62"/>
        <w:gridCol w:w="1145"/>
        <w:gridCol w:w="1143"/>
        <w:gridCol w:w="1002"/>
        <w:gridCol w:w="1145"/>
        <w:gridCol w:w="1001"/>
        <w:gridCol w:w="1347"/>
        <w:gridCol w:w="1023"/>
      </w:tblGrid>
      <w:tr w14:paraId="2380D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336" w:type="pct"/>
            <w:vAlign w:val="center"/>
          </w:tcPr>
          <w:p w14:paraId="5D04320B">
            <w:pPr>
              <w:spacing w:line="240" w:lineRule="auto"/>
              <w:ind w:firstLine="0" w:firstLineChars="0"/>
              <w:jc w:val="center"/>
              <w:rPr>
                <w:b/>
                <w:bCs/>
                <w:sz w:val="21"/>
                <w:szCs w:val="21"/>
              </w:rPr>
            </w:pPr>
            <w:r>
              <w:rPr>
                <w:rFonts w:hint="eastAsia"/>
                <w:b/>
                <w:bCs/>
                <w:sz w:val="21"/>
                <w:szCs w:val="21"/>
              </w:rPr>
              <w:t>序号</w:t>
            </w:r>
          </w:p>
        </w:tc>
        <w:tc>
          <w:tcPr>
            <w:tcW w:w="684" w:type="pct"/>
            <w:vAlign w:val="center"/>
          </w:tcPr>
          <w:p w14:paraId="0500C69D">
            <w:pPr>
              <w:spacing w:line="240" w:lineRule="auto"/>
              <w:ind w:firstLine="0" w:firstLineChars="0"/>
              <w:jc w:val="center"/>
              <w:rPr>
                <w:b/>
                <w:bCs/>
                <w:sz w:val="21"/>
                <w:szCs w:val="21"/>
              </w:rPr>
            </w:pPr>
            <w:r>
              <w:rPr>
                <w:b/>
                <w:bCs/>
                <w:sz w:val="21"/>
                <w:szCs w:val="21"/>
              </w:rPr>
              <w:t>产品</w:t>
            </w:r>
            <w:r>
              <w:rPr>
                <w:rFonts w:hint="eastAsia"/>
                <w:b/>
                <w:bCs/>
                <w:sz w:val="21"/>
                <w:szCs w:val="21"/>
              </w:rPr>
              <w:t>名称</w:t>
            </w:r>
          </w:p>
        </w:tc>
        <w:tc>
          <w:tcPr>
            <w:tcW w:w="683" w:type="pct"/>
            <w:vAlign w:val="center"/>
          </w:tcPr>
          <w:p w14:paraId="09D016C2">
            <w:pPr>
              <w:spacing w:line="240" w:lineRule="auto"/>
              <w:ind w:firstLine="0" w:firstLineChars="0"/>
              <w:jc w:val="center"/>
              <w:rPr>
                <w:b/>
                <w:bCs/>
                <w:sz w:val="21"/>
                <w:szCs w:val="21"/>
              </w:rPr>
            </w:pPr>
            <w:r>
              <w:rPr>
                <w:rFonts w:hint="eastAsia"/>
                <w:b/>
                <w:bCs/>
                <w:sz w:val="21"/>
                <w:szCs w:val="21"/>
              </w:rPr>
              <w:t>产品产量</w:t>
            </w:r>
            <w:r>
              <w:rPr>
                <w:b/>
                <w:bCs/>
                <w:sz w:val="21"/>
                <w:szCs w:val="21"/>
              </w:rPr>
              <w:t>（t/a）</w:t>
            </w:r>
          </w:p>
        </w:tc>
        <w:tc>
          <w:tcPr>
            <w:tcW w:w="599" w:type="pct"/>
            <w:vAlign w:val="center"/>
          </w:tcPr>
          <w:p w14:paraId="0F05B9EA">
            <w:pPr>
              <w:spacing w:line="240" w:lineRule="auto"/>
              <w:ind w:firstLine="0" w:firstLineChars="0"/>
              <w:jc w:val="center"/>
              <w:rPr>
                <w:b/>
                <w:bCs/>
                <w:sz w:val="21"/>
                <w:szCs w:val="21"/>
              </w:rPr>
            </w:pPr>
            <w:r>
              <w:rPr>
                <w:rFonts w:hint="eastAsia"/>
                <w:b/>
                <w:bCs/>
                <w:sz w:val="21"/>
                <w:szCs w:val="21"/>
              </w:rPr>
              <w:t>生产周期</w:t>
            </w:r>
          </w:p>
        </w:tc>
        <w:tc>
          <w:tcPr>
            <w:tcW w:w="684" w:type="pct"/>
            <w:vAlign w:val="center"/>
          </w:tcPr>
          <w:p w14:paraId="69BA0AA4">
            <w:pPr>
              <w:spacing w:line="240" w:lineRule="auto"/>
              <w:ind w:firstLine="0" w:firstLineChars="0"/>
              <w:jc w:val="center"/>
              <w:rPr>
                <w:b/>
                <w:bCs/>
                <w:sz w:val="21"/>
                <w:szCs w:val="21"/>
              </w:rPr>
            </w:pPr>
            <w:r>
              <w:rPr>
                <w:rFonts w:hint="eastAsia"/>
                <w:b/>
                <w:bCs/>
                <w:sz w:val="21"/>
                <w:szCs w:val="21"/>
              </w:rPr>
              <w:t>同时运行批次</w:t>
            </w:r>
          </w:p>
        </w:tc>
        <w:tc>
          <w:tcPr>
            <w:tcW w:w="598" w:type="pct"/>
            <w:vAlign w:val="center"/>
          </w:tcPr>
          <w:p w14:paraId="21371E1B">
            <w:pPr>
              <w:spacing w:line="240" w:lineRule="auto"/>
              <w:ind w:firstLine="0" w:firstLineChars="0"/>
              <w:jc w:val="center"/>
              <w:rPr>
                <w:b/>
                <w:bCs/>
                <w:sz w:val="21"/>
                <w:szCs w:val="21"/>
              </w:rPr>
            </w:pPr>
            <w:r>
              <w:rPr>
                <w:rFonts w:hint="eastAsia"/>
                <w:b/>
                <w:bCs/>
                <w:sz w:val="21"/>
                <w:szCs w:val="21"/>
              </w:rPr>
              <w:t>每批产量</w:t>
            </w:r>
          </w:p>
        </w:tc>
        <w:tc>
          <w:tcPr>
            <w:tcW w:w="805" w:type="pct"/>
            <w:vAlign w:val="center"/>
          </w:tcPr>
          <w:p w14:paraId="5A8AB432">
            <w:pPr>
              <w:spacing w:line="240" w:lineRule="auto"/>
              <w:ind w:firstLine="0" w:firstLineChars="0"/>
              <w:jc w:val="center"/>
              <w:rPr>
                <w:b/>
                <w:bCs/>
                <w:sz w:val="21"/>
                <w:szCs w:val="21"/>
              </w:rPr>
            </w:pPr>
            <w:r>
              <w:rPr>
                <w:rFonts w:hint="eastAsia"/>
                <w:b/>
                <w:bCs/>
                <w:sz w:val="21"/>
                <w:szCs w:val="21"/>
              </w:rPr>
              <w:t>年批次数</w:t>
            </w:r>
          </w:p>
          <w:p w14:paraId="162FB975">
            <w:pPr>
              <w:spacing w:line="240" w:lineRule="auto"/>
              <w:ind w:firstLine="0" w:firstLineChars="0"/>
              <w:jc w:val="center"/>
              <w:rPr>
                <w:b/>
                <w:bCs/>
                <w:sz w:val="21"/>
                <w:szCs w:val="21"/>
              </w:rPr>
            </w:pPr>
            <w:r>
              <w:rPr>
                <w:rFonts w:hint="eastAsia"/>
                <w:b/>
                <w:bCs/>
                <w:sz w:val="21"/>
                <w:szCs w:val="21"/>
              </w:rPr>
              <w:t>（</w:t>
            </w:r>
            <w:r>
              <w:rPr>
                <w:rFonts w:hint="eastAsia"/>
                <w:sz w:val="21"/>
                <w:szCs w:val="21"/>
              </w:rPr>
              <w:t>批次/a</w:t>
            </w:r>
            <w:r>
              <w:rPr>
                <w:rFonts w:hint="eastAsia"/>
                <w:b/>
                <w:bCs/>
                <w:sz w:val="21"/>
                <w:szCs w:val="21"/>
              </w:rPr>
              <w:t>）</w:t>
            </w:r>
          </w:p>
        </w:tc>
        <w:tc>
          <w:tcPr>
            <w:tcW w:w="611" w:type="pct"/>
            <w:vAlign w:val="center"/>
          </w:tcPr>
          <w:p w14:paraId="3FEA886F">
            <w:pPr>
              <w:spacing w:line="240" w:lineRule="auto"/>
              <w:ind w:firstLine="0" w:firstLineChars="0"/>
              <w:jc w:val="center"/>
              <w:rPr>
                <w:b/>
                <w:bCs/>
                <w:sz w:val="21"/>
                <w:szCs w:val="21"/>
              </w:rPr>
            </w:pPr>
            <w:r>
              <w:rPr>
                <w:rFonts w:hint="eastAsia"/>
                <w:b/>
                <w:bCs/>
                <w:sz w:val="21"/>
                <w:szCs w:val="21"/>
              </w:rPr>
              <w:t>生产时间</w:t>
            </w:r>
          </w:p>
        </w:tc>
      </w:tr>
      <w:tr w14:paraId="0CD9B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6" w:type="pct"/>
            <w:vAlign w:val="center"/>
          </w:tcPr>
          <w:p w14:paraId="20AD08BA">
            <w:pPr>
              <w:spacing w:line="240" w:lineRule="auto"/>
              <w:ind w:firstLine="0" w:firstLineChars="0"/>
              <w:jc w:val="center"/>
              <w:rPr>
                <w:sz w:val="21"/>
                <w:szCs w:val="21"/>
              </w:rPr>
            </w:pPr>
            <w:r>
              <w:rPr>
                <w:rFonts w:hint="eastAsia"/>
                <w:sz w:val="21"/>
                <w:szCs w:val="21"/>
              </w:rPr>
              <w:t>1</w:t>
            </w:r>
          </w:p>
        </w:tc>
        <w:tc>
          <w:tcPr>
            <w:tcW w:w="684" w:type="pct"/>
            <w:vAlign w:val="center"/>
          </w:tcPr>
          <w:p w14:paraId="293497F8">
            <w:pPr>
              <w:spacing w:line="240" w:lineRule="auto"/>
              <w:ind w:firstLine="0" w:firstLineChars="0"/>
              <w:jc w:val="center"/>
              <w:rPr>
                <w:sz w:val="21"/>
                <w:szCs w:val="21"/>
              </w:rPr>
            </w:pPr>
            <w:r>
              <w:rPr>
                <w:rFonts w:hint="eastAsia"/>
                <w:bCs/>
                <w:sz w:val="21"/>
                <w:szCs w:val="21"/>
              </w:rPr>
              <w:t>聚醚改性硅油</w:t>
            </w:r>
          </w:p>
        </w:tc>
        <w:tc>
          <w:tcPr>
            <w:tcW w:w="683" w:type="pct"/>
            <w:vAlign w:val="center"/>
          </w:tcPr>
          <w:p w14:paraId="61B6DB1C">
            <w:pPr>
              <w:spacing w:line="240" w:lineRule="auto"/>
              <w:ind w:firstLine="0" w:firstLineChars="0"/>
              <w:jc w:val="center"/>
              <w:rPr>
                <w:sz w:val="21"/>
                <w:szCs w:val="21"/>
              </w:rPr>
            </w:pPr>
            <w:r>
              <w:rPr>
                <w:sz w:val="21"/>
                <w:szCs w:val="21"/>
              </w:rPr>
              <w:t>10000</w:t>
            </w:r>
          </w:p>
        </w:tc>
        <w:tc>
          <w:tcPr>
            <w:tcW w:w="599" w:type="pct"/>
            <w:vAlign w:val="center"/>
          </w:tcPr>
          <w:p w14:paraId="3F00AF18">
            <w:pPr>
              <w:spacing w:line="240" w:lineRule="auto"/>
              <w:ind w:firstLine="0" w:firstLineChars="0"/>
              <w:jc w:val="center"/>
              <w:rPr>
                <w:sz w:val="21"/>
                <w:szCs w:val="21"/>
              </w:rPr>
            </w:pPr>
            <w:r>
              <w:rPr>
                <w:rFonts w:hint="eastAsia"/>
                <w:sz w:val="21"/>
                <w:szCs w:val="21"/>
              </w:rPr>
              <w:t>16h</w:t>
            </w:r>
          </w:p>
        </w:tc>
        <w:tc>
          <w:tcPr>
            <w:tcW w:w="684" w:type="pct"/>
            <w:vAlign w:val="center"/>
          </w:tcPr>
          <w:p w14:paraId="1849F11B">
            <w:pPr>
              <w:spacing w:line="240" w:lineRule="auto"/>
              <w:ind w:firstLine="0" w:firstLineChars="0"/>
              <w:jc w:val="center"/>
              <w:rPr>
                <w:sz w:val="21"/>
                <w:szCs w:val="21"/>
              </w:rPr>
            </w:pPr>
            <w:r>
              <w:rPr>
                <w:rFonts w:hint="eastAsia"/>
                <w:sz w:val="21"/>
                <w:szCs w:val="21"/>
              </w:rPr>
              <w:t>1批</w:t>
            </w:r>
          </w:p>
        </w:tc>
        <w:tc>
          <w:tcPr>
            <w:tcW w:w="598" w:type="pct"/>
            <w:vAlign w:val="center"/>
          </w:tcPr>
          <w:p w14:paraId="67B353ED">
            <w:pPr>
              <w:spacing w:line="240" w:lineRule="auto"/>
              <w:ind w:firstLine="0" w:firstLineChars="0"/>
              <w:jc w:val="center"/>
              <w:rPr>
                <w:sz w:val="21"/>
                <w:szCs w:val="21"/>
              </w:rPr>
            </w:pPr>
            <w:r>
              <w:rPr>
                <w:rFonts w:hint="eastAsia"/>
                <w:sz w:val="21"/>
                <w:szCs w:val="21"/>
              </w:rPr>
              <w:t>40t</w:t>
            </w:r>
          </w:p>
        </w:tc>
        <w:tc>
          <w:tcPr>
            <w:tcW w:w="805" w:type="pct"/>
            <w:vAlign w:val="center"/>
          </w:tcPr>
          <w:p w14:paraId="65A79100">
            <w:pPr>
              <w:spacing w:line="240" w:lineRule="auto"/>
              <w:ind w:firstLine="0" w:firstLineChars="0"/>
              <w:jc w:val="center"/>
              <w:rPr>
                <w:sz w:val="21"/>
                <w:szCs w:val="21"/>
              </w:rPr>
            </w:pPr>
            <w:r>
              <w:rPr>
                <w:rFonts w:hint="eastAsia"/>
                <w:sz w:val="21"/>
                <w:szCs w:val="21"/>
              </w:rPr>
              <w:t>250</w:t>
            </w:r>
          </w:p>
        </w:tc>
        <w:tc>
          <w:tcPr>
            <w:tcW w:w="611" w:type="pct"/>
            <w:vAlign w:val="center"/>
          </w:tcPr>
          <w:p w14:paraId="68728809">
            <w:pPr>
              <w:spacing w:line="240" w:lineRule="auto"/>
              <w:ind w:firstLine="0" w:firstLineChars="0"/>
              <w:jc w:val="center"/>
              <w:rPr>
                <w:sz w:val="21"/>
                <w:szCs w:val="21"/>
              </w:rPr>
            </w:pPr>
            <w:r>
              <w:rPr>
                <w:rFonts w:hint="eastAsia"/>
                <w:sz w:val="21"/>
                <w:szCs w:val="21"/>
              </w:rPr>
              <w:t>16h/d，250d</w:t>
            </w:r>
          </w:p>
        </w:tc>
      </w:tr>
    </w:tbl>
    <w:p w14:paraId="4BA4FCE7">
      <w:pPr>
        <w:pStyle w:val="2"/>
        <w:spacing w:after="0" w:line="240" w:lineRule="auto"/>
        <w:ind w:firstLine="420"/>
        <w:rPr>
          <w:rFonts w:eastAsia="黑体"/>
          <w:sz w:val="21"/>
          <w:szCs w:val="21"/>
          <w:u w:val="single"/>
        </w:rPr>
      </w:pPr>
      <w:r>
        <w:rPr>
          <w:rFonts w:eastAsia="黑体"/>
          <w:sz w:val="21"/>
          <w:szCs w:val="21"/>
          <w:u w:val="single"/>
        </w:rPr>
        <w:t>注：本项目整个生产过程需要约26h，但是仅第一批次需要26h，待聚合、中和后的物料过滤、离心后，聚合、中和反应釜空闲即可开始下一批次，与硅氢化反应及后续的工序同时进行，聚合、中和</w:t>
      </w:r>
      <w:r>
        <w:rPr>
          <w:rFonts w:hint="eastAsia" w:eastAsia="黑体"/>
          <w:sz w:val="21"/>
          <w:szCs w:val="21"/>
          <w:u w:val="single"/>
        </w:rPr>
        <w:t>、</w:t>
      </w:r>
      <w:r>
        <w:rPr>
          <w:rFonts w:eastAsia="黑体"/>
          <w:sz w:val="21"/>
          <w:szCs w:val="21"/>
          <w:u w:val="single"/>
        </w:rPr>
        <w:t>过滤、离心</w:t>
      </w:r>
      <w:r>
        <w:rPr>
          <w:rFonts w:hint="eastAsia" w:eastAsia="黑体"/>
          <w:sz w:val="21"/>
          <w:szCs w:val="21"/>
          <w:u w:val="single"/>
        </w:rPr>
        <w:t>的工作时间约为16h，故生产周期为16h。</w:t>
      </w:r>
    </w:p>
    <w:p w14:paraId="1D3EAA90">
      <w:pPr>
        <w:ind w:firstLine="482"/>
        <w:outlineLvl w:val="3"/>
        <w:rPr>
          <w:b/>
          <w:bCs/>
        </w:rPr>
      </w:pPr>
      <w:r>
        <w:rPr>
          <w:b/>
          <w:bCs/>
        </w:rPr>
        <w:t>3</w:t>
      </w:r>
      <w:r>
        <w:rPr>
          <w:rFonts w:hint="eastAsia"/>
          <w:b/>
          <w:bCs/>
        </w:rPr>
        <w:t>.1</w:t>
      </w:r>
      <w:r>
        <w:rPr>
          <w:b/>
          <w:bCs/>
        </w:rPr>
        <w:t>.3.</w:t>
      </w:r>
      <w:r>
        <w:rPr>
          <w:rFonts w:hint="eastAsia"/>
          <w:b/>
          <w:bCs/>
        </w:rPr>
        <w:t>3</w:t>
      </w:r>
      <w:r>
        <w:rPr>
          <w:b/>
          <w:bCs/>
        </w:rPr>
        <w:t xml:space="preserve"> 产品质量指标</w:t>
      </w:r>
    </w:p>
    <w:p w14:paraId="62CD2A66">
      <w:pPr>
        <w:pStyle w:val="183"/>
        <w:rPr>
          <w:rFonts w:ascii="Times New Roman" w:hAnsi="Times New Roman" w:eastAsia="宋体" w:cs="Times New Roman"/>
        </w:rPr>
      </w:pPr>
      <w:r>
        <w:rPr>
          <w:rFonts w:hint="eastAsia" w:ascii="Times New Roman" w:hAnsi="Times New Roman" w:eastAsia="宋体" w:cs="Times New Roman"/>
        </w:rPr>
        <w:t>（1）聚醚改性硅油</w:t>
      </w:r>
    </w:p>
    <w:p w14:paraId="1D3EAA91">
      <w:pPr>
        <w:pStyle w:val="183"/>
        <w:rPr>
          <w:rFonts w:ascii="Times New Roman" w:hAnsi="Times New Roman" w:eastAsia="宋体" w:cs="Times New Roman"/>
        </w:rPr>
      </w:pPr>
      <w:r>
        <w:rPr>
          <w:rFonts w:ascii="Times New Roman" w:hAnsi="Times New Roman" w:eastAsia="宋体" w:cs="Times New Roman"/>
        </w:rPr>
        <w:t>本项目产品</w:t>
      </w:r>
      <w:r>
        <w:rPr>
          <w:rFonts w:hint="eastAsia" w:ascii="Times New Roman" w:hAnsi="Times New Roman" w:eastAsia="宋体" w:cs="Times New Roman"/>
        </w:rPr>
        <w:t>聚醚改性硅油</w:t>
      </w:r>
      <w:r>
        <w:rPr>
          <w:rFonts w:ascii="Times New Roman" w:hAnsi="Times New Roman" w:eastAsia="宋体" w:cs="Times New Roman"/>
        </w:rPr>
        <w:t>执行</w:t>
      </w:r>
      <w:r>
        <w:rPr>
          <w:rFonts w:hint="eastAsia" w:ascii="Times New Roman" w:hAnsi="Times New Roman" w:eastAsia="宋体" w:cs="Times New Roman"/>
        </w:rPr>
        <w:t>企业</w:t>
      </w:r>
      <w:r>
        <w:rPr>
          <w:rFonts w:ascii="Times New Roman" w:hAnsi="Times New Roman" w:eastAsia="宋体" w:cs="Times New Roman"/>
        </w:rPr>
        <w:t>标准。具体详见</w:t>
      </w:r>
      <w:r>
        <w:rPr>
          <w:rFonts w:hint="eastAsia" w:ascii="Times New Roman" w:hAnsi="Times New Roman" w:eastAsia="宋体" w:cs="Times New Roman"/>
        </w:rPr>
        <w:t>下</w:t>
      </w:r>
      <w:r>
        <w:rPr>
          <w:rFonts w:ascii="Times New Roman" w:hAnsi="Times New Roman" w:eastAsia="宋体" w:cs="Times New Roman"/>
        </w:rPr>
        <w:t>表。</w:t>
      </w:r>
    </w:p>
    <w:p w14:paraId="6C42A1F5">
      <w:pPr>
        <w:pStyle w:val="64"/>
        <w:numPr>
          <w:ilvl w:val="0"/>
          <w:numId w:val="14"/>
        </w:numPr>
        <w:spacing w:before="120" w:after="120"/>
        <w:ind w:left="884" w:hanging="442" w:firstLineChars="0"/>
      </w:pPr>
      <w:r>
        <w:t xml:space="preserve">     本项目产品</w:t>
      </w:r>
      <w:r>
        <w:rPr>
          <w:rFonts w:hint="eastAsia"/>
          <w:bCs/>
        </w:rPr>
        <w:t>聚醚改性硅油</w:t>
      </w:r>
      <w:r>
        <w:t>产品质量指标一览表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489"/>
        <w:gridCol w:w="5039"/>
      </w:tblGrid>
      <w:tr w14:paraId="50D00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2" w:type="dxa"/>
            <w:shd w:val="clear" w:color="auto" w:fill="auto"/>
            <w:vAlign w:val="center"/>
          </w:tcPr>
          <w:p w14:paraId="534C24B2">
            <w:pPr>
              <w:pStyle w:val="121"/>
              <w:tabs>
                <w:tab w:val="left" w:pos="0"/>
              </w:tabs>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项目</w:t>
            </w:r>
          </w:p>
        </w:tc>
        <w:tc>
          <w:tcPr>
            <w:tcW w:w="4900" w:type="dxa"/>
            <w:shd w:val="clear" w:color="auto" w:fill="auto"/>
            <w:vAlign w:val="center"/>
          </w:tcPr>
          <w:p w14:paraId="2B28A1B3">
            <w:pPr>
              <w:pStyle w:val="121"/>
              <w:tabs>
                <w:tab w:val="left" w:pos="0"/>
              </w:tabs>
              <w:spacing w:line="240" w:lineRule="auto"/>
              <w:ind w:firstLine="0" w:firstLineChars="0"/>
              <w:jc w:val="center"/>
              <w:rPr>
                <w:rFonts w:ascii="Times New Roman" w:hAnsi="Times New Roman"/>
                <w:b/>
                <w:bCs/>
                <w:sz w:val="21"/>
                <w:szCs w:val="21"/>
              </w:rPr>
            </w:pPr>
            <w:r>
              <w:rPr>
                <w:rFonts w:ascii="Times New Roman" w:hAnsi="Times New Roman"/>
                <w:b/>
                <w:bCs/>
                <w:sz w:val="21"/>
                <w:szCs w:val="21"/>
              </w:rPr>
              <w:t>指标</w:t>
            </w:r>
          </w:p>
        </w:tc>
      </w:tr>
      <w:tr w14:paraId="57951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2" w:type="dxa"/>
            <w:shd w:val="clear" w:color="auto" w:fill="auto"/>
            <w:vAlign w:val="center"/>
          </w:tcPr>
          <w:p w14:paraId="586DCEA9">
            <w:pPr>
              <w:pStyle w:val="121"/>
              <w:tabs>
                <w:tab w:val="left" w:pos="0"/>
              </w:tabs>
              <w:spacing w:line="240" w:lineRule="auto"/>
              <w:ind w:firstLine="0" w:firstLineChars="0"/>
              <w:jc w:val="center"/>
              <w:rPr>
                <w:rFonts w:ascii="Times New Roman" w:hAnsi="Times New Roman"/>
                <w:sz w:val="21"/>
                <w:szCs w:val="21"/>
              </w:rPr>
            </w:pPr>
            <w:r>
              <w:rPr>
                <w:rFonts w:ascii="Times New Roman" w:hAnsi="Times New Roman"/>
                <w:sz w:val="21"/>
                <w:szCs w:val="21"/>
              </w:rPr>
              <w:t>粘度（25℃），mm</w:t>
            </w:r>
            <w:r>
              <w:rPr>
                <w:rFonts w:ascii="Times New Roman" w:hAnsi="Times New Roman"/>
                <w:sz w:val="21"/>
                <w:szCs w:val="21"/>
                <w:vertAlign w:val="superscript"/>
              </w:rPr>
              <w:t>2</w:t>
            </w:r>
            <w:r>
              <w:rPr>
                <w:rFonts w:ascii="Times New Roman" w:hAnsi="Times New Roman"/>
                <w:sz w:val="21"/>
                <w:szCs w:val="21"/>
              </w:rPr>
              <w:t>/s</w:t>
            </w:r>
          </w:p>
        </w:tc>
        <w:tc>
          <w:tcPr>
            <w:tcW w:w="4900" w:type="dxa"/>
            <w:shd w:val="clear" w:color="auto" w:fill="auto"/>
            <w:vAlign w:val="center"/>
          </w:tcPr>
          <w:p w14:paraId="079E1B97">
            <w:pPr>
              <w:tabs>
                <w:tab w:val="left" w:pos="0"/>
              </w:tabs>
              <w:spacing w:line="240" w:lineRule="auto"/>
              <w:ind w:firstLine="0" w:firstLineChars="0"/>
              <w:jc w:val="center"/>
              <w:rPr>
                <w:sz w:val="21"/>
                <w:szCs w:val="21"/>
              </w:rPr>
            </w:pPr>
            <w:r>
              <w:rPr>
                <w:sz w:val="21"/>
                <w:szCs w:val="21"/>
              </w:rPr>
              <w:t>150-2000</w:t>
            </w:r>
          </w:p>
        </w:tc>
      </w:tr>
      <w:tr w14:paraId="7B538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2" w:type="dxa"/>
            <w:shd w:val="clear" w:color="auto" w:fill="auto"/>
            <w:vAlign w:val="center"/>
          </w:tcPr>
          <w:p w14:paraId="0E70D174">
            <w:pPr>
              <w:pStyle w:val="121"/>
              <w:tabs>
                <w:tab w:val="left" w:pos="0"/>
              </w:tabs>
              <w:spacing w:line="240" w:lineRule="auto"/>
              <w:ind w:firstLine="0" w:firstLineChars="0"/>
              <w:jc w:val="center"/>
              <w:rPr>
                <w:rFonts w:ascii="Times New Roman" w:hAnsi="Times New Roman"/>
                <w:sz w:val="21"/>
                <w:szCs w:val="21"/>
              </w:rPr>
            </w:pPr>
            <w:r>
              <w:rPr>
                <w:rFonts w:ascii="Times New Roman" w:hAnsi="Times New Roman"/>
                <w:sz w:val="21"/>
                <w:szCs w:val="21"/>
              </w:rPr>
              <w:t>表面张力，mN/N</w:t>
            </w:r>
          </w:p>
        </w:tc>
        <w:tc>
          <w:tcPr>
            <w:tcW w:w="4900" w:type="dxa"/>
            <w:shd w:val="clear" w:color="auto" w:fill="auto"/>
            <w:vAlign w:val="center"/>
          </w:tcPr>
          <w:p w14:paraId="191FFDAC">
            <w:pPr>
              <w:tabs>
                <w:tab w:val="left" w:pos="0"/>
              </w:tabs>
              <w:spacing w:line="240" w:lineRule="auto"/>
              <w:ind w:firstLine="0" w:firstLineChars="0"/>
              <w:jc w:val="center"/>
              <w:rPr>
                <w:sz w:val="21"/>
                <w:szCs w:val="21"/>
                <w:highlight w:val="yellow"/>
              </w:rPr>
            </w:pPr>
            <w:r>
              <w:rPr>
                <w:sz w:val="21"/>
                <w:szCs w:val="21"/>
              </w:rPr>
              <w:t>≤24</w:t>
            </w:r>
          </w:p>
        </w:tc>
      </w:tr>
      <w:tr w14:paraId="41CF5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2" w:type="dxa"/>
            <w:shd w:val="clear" w:color="auto" w:fill="auto"/>
            <w:vAlign w:val="center"/>
          </w:tcPr>
          <w:p w14:paraId="4D9FF425">
            <w:pPr>
              <w:pStyle w:val="121"/>
              <w:tabs>
                <w:tab w:val="left" w:pos="0"/>
              </w:tabs>
              <w:spacing w:line="240" w:lineRule="auto"/>
              <w:ind w:firstLine="0" w:firstLineChars="0"/>
              <w:jc w:val="center"/>
              <w:rPr>
                <w:rFonts w:ascii="Times New Roman" w:hAnsi="Times New Roman"/>
                <w:sz w:val="21"/>
                <w:szCs w:val="21"/>
              </w:rPr>
            </w:pPr>
            <w:r>
              <w:rPr>
                <w:rFonts w:ascii="Times New Roman" w:hAnsi="Times New Roman"/>
                <w:sz w:val="21"/>
                <w:szCs w:val="21"/>
              </w:rPr>
              <w:t>浊点（1%wt），℃</w:t>
            </w:r>
          </w:p>
        </w:tc>
        <w:tc>
          <w:tcPr>
            <w:tcW w:w="4900" w:type="dxa"/>
            <w:shd w:val="clear" w:color="auto" w:fill="auto"/>
            <w:vAlign w:val="center"/>
          </w:tcPr>
          <w:p w14:paraId="0C660B62">
            <w:pPr>
              <w:tabs>
                <w:tab w:val="left" w:pos="0"/>
              </w:tabs>
              <w:spacing w:line="240" w:lineRule="auto"/>
              <w:ind w:firstLine="0" w:firstLineChars="0"/>
              <w:jc w:val="center"/>
              <w:rPr>
                <w:sz w:val="21"/>
                <w:szCs w:val="21"/>
                <w:highlight w:val="yellow"/>
              </w:rPr>
            </w:pPr>
            <w:r>
              <w:rPr>
                <w:sz w:val="21"/>
                <w:szCs w:val="21"/>
              </w:rPr>
              <w:t>＞20</w:t>
            </w:r>
          </w:p>
        </w:tc>
      </w:tr>
      <w:tr w14:paraId="13F56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2" w:type="dxa"/>
            <w:shd w:val="clear" w:color="auto" w:fill="auto"/>
            <w:vAlign w:val="center"/>
          </w:tcPr>
          <w:p w14:paraId="4B379358">
            <w:pPr>
              <w:pStyle w:val="121"/>
              <w:tabs>
                <w:tab w:val="left" w:pos="0"/>
              </w:tabs>
              <w:spacing w:line="240" w:lineRule="auto"/>
              <w:ind w:firstLine="0" w:firstLineChars="0"/>
              <w:jc w:val="center"/>
              <w:rPr>
                <w:rFonts w:ascii="Times New Roman" w:hAnsi="Times New Roman"/>
                <w:sz w:val="21"/>
                <w:szCs w:val="21"/>
              </w:rPr>
            </w:pPr>
            <w:r>
              <w:rPr>
                <w:rFonts w:ascii="Times New Roman" w:hAnsi="Times New Roman"/>
                <w:sz w:val="21"/>
                <w:szCs w:val="21"/>
              </w:rPr>
              <w:t>折射率（20℃）</w:t>
            </w:r>
          </w:p>
        </w:tc>
        <w:tc>
          <w:tcPr>
            <w:tcW w:w="4900" w:type="dxa"/>
            <w:shd w:val="clear" w:color="auto" w:fill="auto"/>
            <w:vAlign w:val="center"/>
          </w:tcPr>
          <w:p w14:paraId="2E1C6FAF">
            <w:pPr>
              <w:tabs>
                <w:tab w:val="left" w:pos="0"/>
              </w:tabs>
              <w:spacing w:line="240" w:lineRule="auto"/>
              <w:ind w:firstLine="0" w:firstLineChars="0"/>
              <w:jc w:val="center"/>
              <w:rPr>
                <w:sz w:val="21"/>
                <w:szCs w:val="21"/>
              </w:rPr>
            </w:pPr>
            <w:r>
              <w:rPr>
                <w:sz w:val="21"/>
                <w:szCs w:val="21"/>
              </w:rPr>
              <w:t>1.4~1.5</w:t>
            </w:r>
          </w:p>
        </w:tc>
      </w:tr>
      <w:tr w14:paraId="3CE31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2" w:type="dxa"/>
            <w:shd w:val="clear" w:color="auto" w:fill="auto"/>
            <w:vAlign w:val="center"/>
          </w:tcPr>
          <w:p w14:paraId="48C2BE0A">
            <w:pPr>
              <w:pStyle w:val="121"/>
              <w:tabs>
                <w:tab w:val="left" w:pos="0"/>
              </w:tabs>
              <w:spacing w:line="240" w:lineRule="auto"/>
              <w:ind w:firstLine="0" w:firstLineChars="0"/>
              <w:jc w:val="center"/>
              <w:rPr>
                <w:rFonts w:ascii="Times New Roman" w:hAnsi="Times New Roman"/>
                <w:sz w:val="21"/>
                <w:szCs w:val="21"/>
              </w:rPr>
            </w:pPr>
            <w:r>
              <w:rPr>
                <w:rFonts w:ascii="Times New Roman" w:hAnsi="Times New Roman"/>
                <w:sz w:val="21"/>
                <w:szCs w:val="21"/>
              </w:rPr>
              <w:t>外观</w:t>
            </w:r>
          </w:p>
        </w:tc>
        <w:tc>
          <w:tcPr>
            <w:tcW w:w="4900" w:type="dxa"/>
            <w:shd w:val="clear" w:color="auto" w:fill="auto"/>
            <w:vAlign w:val="center"/>
          </w:tcPr>
          <w:p w14:paraId="72017499">
            <w:pPr>
              <w:tabs>
                <w:tab w:val="left" w:pos="0"/>
              </w:tabs>
              <w:spacing w:line="240" w:lineRule="auto"/>
              <w:ind w:firstLine="0" w:firstLineChars="0"/>
              <w:jc w:val="center"/>
              <w:rPr>
                <w:sz w:val="21"/>
                <w:szCs w:val="21"/>
              </w:rPr>
            </w:pPr>
            <w:r>
              <w:rPr>
                <w:sz w:val="21"/>
                <w:szCs w:val="21"/>
              </w:rPr>
              <w:t>无色或浅黄色透明液体</w:t>
            </w:r>
          </w:p>
        </w:tc>
      </w:tr>
      <w:tr w14:paraId="11AA2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2" w:type="dxa"/>
            <w:shd w:val="clear" w:color="auto" w:fill="auto"/>
            <w:vAlign w:val="center"/>
          </w:tcPr>
          <w:p w14:paraId="6E3C7D0B">
            <w:pPr>
              <w:pStyle w:val="121"/>
              <w:tabs>
                <w:tab w:val="left" w:pos="0"/>
              </w:tabs>
              <w:spacing w:line="240" w:lineRule="auto"/>
              <w:ind w:firstLine="0" w:firstLineChars="0"/>
              <w:jc w:val="center"/>
              <w:rPr>
                <w:rFonts w:ascii="Times New Roman" w:hAnsi="Times New Roman"/>
                <w:sz w:val="21"/>
                <w:szCs w:val="21"/>
              </w:rPr>
            </w:pPr>
            <w:r>
              <w:rPr>
                <w:rFonts w:ascii="Times New Roman" w:hAnsi="Times New Roman"/>
                <w:sz w:val="21"/>
                <w:szCs w:val="21"/>
              </w:rPr>
              <w:t>纯度/%</w:t>
            </w:r>
          </w:p>
        </w:tc>
        <w:tc>
          <w:tcPr>
            <w:tcW w:w="4900" w:type="dxa"/>
            <w:shd w:val="clear" w:color="auto" w:fill="auto"/>
            <w:vAlign w:val="center"/>
          </w:tcPr>
          <w:p w14:paraId="2195FA25">
            <w:pPr>
              <w:tabs>
                <w:tab w:val="left" w:pos="0"/>
              </w:tabs>
              <w:spacing w:line="240" w:lineRule="auto"/>
              <w:ind w:firstLine="0" w:firstLineChars="0"/>
              <w:jc w:val="center"/>
              <w:rPr>
                <w:sz w:val="21"/>
                <w:szCs w:val="21"/>
              </w:rPr>
            </w:pPr>
            <w:r>
              <w:rPr>
                <w:sz w:val="21"/>
                <w:szCs w:val="21"/>
              </w:rPr>
              <w:t>≥99</w:t>
            </w:r>
          </w:p>
        </w:tc>
      </w:tr>
    </w:tbl>
    <w:p w14:paraId="113E1555">
      <w:pPr>
        <w:pStyle w:val="183"/>
        <w:rPr>
          <w:rFonts w:ascii="Times New Roman" w:hAnsi="Times New Roman" w:eastAsia="宋体" w:cs="Times New Roman"/>
        </w:rPr>
      </w:pPr>
      <w:r>
        <w:rPr>
          <w:rFonts w:hint="eastAsia" w:ascii="Times New Roman" w:hAnsi="Times New Roman" w:eastAsia="宋体" w:cs="Times New Roman"/>
        </w:rPr>
        <w:t>（2）色浆</w:t>
      </w:r>
    </w:p>
    <w:p w14:paraId="4F6E8BE4">
      <w:pPr>
        <w:pStyle w:val="183"/>
        <w:rPr>
          <w:rFonts w:ascii="Times New Roman" w:hAnsi="Times New Roman" w:eastAsia="宋体" w:cs="Times New Roman"/>
        </w:rPr>
      </w:pPr>
      <w:r>
        <w:rPr>
          <w:rFonts w:ascii="Times New Roman" w:hAnsi="Times New Roman" w:eastAsia="宋体" w:cs="Times New Roman"/>
        </w:rPr>
        <w:t>本项目产品</w:t>
      </w:r>
      <w:r>
        <w:rPr>
          <w:rFonts w:hint="eastAsia" w:ascii="Times New Roman" w:hAnsi="Times New Roman" w:eastAsia="宋体" w:cs="Times New Roman"/>
        </w:rPr>
        <w:t>色浆</w:t>
      </w:r>
      <w:r>
        <w:rPr>
          <w:rFonts w:ascii="Times New Roman" w:hAnsi="Times New Roman" w:eastAsia="宋体" w:cs="Times New Roman"/>
        </w:rPr>
        <w:t>执行</w:t>
      </w:r>
      <w:r>
        <w:rPr>
          <w:rFonts w:hint="eastAsia" w:ascii="Times New Roman" w:hAnsi="Times New Roman" w:eastAsia="宋体" w:cs="Times New Roman"/>
        </w:rPr>
        <w:t>国家</w:t>
      </w:r>
      <w:r>
        <w:rPr>
          <w:rFonts w:ascii="Times New Roman" w:hAnsi="Times New Roman" w:eastAsia="宋体" w:cs="Times New Roman"/>
        </w:rPr>
        <w:t>标准</w:t>
      </w:r>
      <w:r>
        <w:rPr>
          <w:rFonts w:hint="eastAsia" w:ascii="Times New Roman" w:hAnsi="Times New Roman" w:eastAsia="宋体" w:cs="Times New Roman"/>
        </w:rPr>
        <w:t>《胶乳色浆》（HG/T 4786-2023）</w:t>
      </w:r>
      <w:r>
        <w:rPr>
          <w:rFonts w:ascii="Times New Roman" w:hAnsi="Times New Roman" w:eastAsia="宋体" w:cs="Times New Roman"/>
        </w:rPr>
        <w:t>。具体详见</w:t>
      </w:r>
      <w:r>
        <w:rPr>
          <w:rFonts w:hint="eastAsia" w:ascii="Times New Roman" w:hAnsi="Times New Roman" w:eastAsia="宋体" w:cs="Times New Roman"/>
        </w:rPr>
        <w:t>下</w:t>
      </w:r>
      <w:r>
        <w:rPr>
          <w:rFonts w:ascii="Times New Roman" w:hAnsi="Times New Roman" w:eastAsia="宋体" w:cs="Times New Roman"/>
        </w:rPr>
        <w:t>表。</w:t>
      </w:r>
    </w:p>
    <w:p w14:paraId="42ED109A">
      <w:pPr>
        <w:pStyle w:val="64"/>
        <w:numPr>
          <w:ilvl w:val="0"/>
          <w:numId w:val="14"/>
        </w:numPr>
        <w:spacing w:before="120" w:after="120"/>
        <w:ind w:left="884" w:hanging="442" w:firstLineChars="0"/>
      </w:pPr>
      <w:r>
        <w:rPr>
          <w:rFonts w:hint="eastAsia"/>
        </w:rPr>
        <w:t xml:space="preserve">      </w:t>
      </w:r>
      <w:r>
        <w:t>本项目产品</w:t>
      </w:r>
      <w:r>
        <w:rPr>
          <w:rFonts w:hint="eastAsia"/>
        </w:rPr>
        <w:t>色浆</w:t>
      </w:r>
      <w:r>
        <w:t>产品质量指标一览表</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984"/>
        <w:gridCol w:w="1276"/>
        <w:gridCol w:w="1418"/>
        <w:gridCol w:w="2773"/>
      </w:tblGrid>
      <w:tr w14:paraId="5FFE7390">
        <w:tblPrEx>
          <w:tblCellMar>
            <w:top w:w="0" w:type="dxa"/>
            <w:left w:w="108" w:type="dxa"/>
            <w:bottom w:w="0" w:type="dxa"/>
            <w:right w:w="108" w:type="dxa"/>
          </w:tblCellMar>
        </w:tblPrEx>
        <w:trPr>
          <w:trHeight w:val="454" w:hRule="atLeast"/>
          <w:jc w:val="center"/>
        </w:trPr>
        <w:tc>
          <w:tcPr>
            <w:tcW w:w="841" w:type="dxa"/>
            <w:vAlign w:val="center"/>
          </w:tcPr>
          <w:p w14:paraId="258A6B42">
            <w:pPr>
              <w:pStyle w:val="183"/>
              <w:spacing w:line="240" w:lineRule="auto"/>
              <w:ind w:firstLine="0"/>
              <w:jc w:val="center"/>
              <w:rPr>
                <w:rFonts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序号</w:t>
            </w:r>
          </w:p>
        </w:tc>
        <w:tc>
          <w:tcPr>
            <w:tcW w:w="4678" w:type="dxa"/>
            <w:gridSpan w:val="3"/>
            <w:vAlign w:val="center"/>
          </w:tcPr>
          <w:p w14:paraId="609E14CA">
            <w:pPr>
              <w:pStyle w:val="183"/>
              <w:spacing w:line="240" w:lineRule="auto"/>
              <w:ind w:firstLine="0"/>
              <w:jc w:val="center"/>
              <w:rPr>
                <w:rFonts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项目</w:t>
            </w:r>
          </w:p>
        </w:tc>
        <w:tc>
          <w:tcPr>
            <w:tcW w:w="2773" w:type="dxa"/>
            <w:vAlign w:val="center"/>
          </w:tcPr>
          <w:p w14:paraId="2B9075A8">
            <w:pPr>
              <w:pStyle w:val="183"/>
              <w:spacing w:line="240" w:lineRule="auto"/>
              <w:ind w:firstLine="0"/>
              <w:jc w:val="center"/>
              <w:rPr>
                <w:rFonts w:ascii="Times New Roman" w:hAnsi="Times New Roman" w:eastAsia="宋体" w:cs="Times New Roman"/>
                <w:b/>
                <w:bCs w:val="0"/>
                <w:sz w:val="21"/>
                <w:szCs w:val="21"/>
              </w:rPr>
            </w:pPr>
            <w:r>
              <w:rPr>
                <w:rFonts w:hint="eastAsia" w:ascii="Times New Roman" w:hAnsi="Times New Roman" w:eastAsia="宋体" w:cs="Times New Roman"/>
                <w:b/>
                <w:bCs w:val="0"/>
                <w:sz w:val="21"/>
                <w:szCs w:val="21"/>
              </w:rPr>
              <w:t>指标</w:t>
            </w:r>
          </w:p>
        </w:tc>
      </w:tr>
      <w:tr w14:paraId="59F72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Align w:val="center"/>
          </w:tcPr>
          <w:p w14:paraId="3FA44ABB">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4678" w:type="dxa"/>
            <w:gridSpan w:val="3"/>
            <w:vAlign w:val="center"/>
          </w:tcPr>
          <w:p w14:paraId="36E7F7C2">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外观</w:t>
            </w:r>
          </w:p>
        </w:tc>
        <w:tc>
          <w:tcPr>
            <w:tcW w:w="2773" w:type="dxa"/>
            <w:vAlign w:val="center"/>
          </w:tcPr>
          <w:p w14:paraId="7C18AECF">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搅拌后呈均匀状态，无硬块</w:t>
            </w:r>
          </w:p>
        </w:tc>
      </w:tr>
      <w:tr w14:paraId="79803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Align w:val="center"/>
          </w:tcPr>
          <w:p w14:paraId="7A198DE8">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4678" w:type="dxa"/>
            <w:gridSpan w:val="3"/>
            <w:vAlign w:val="center"/>
          </w:tcPr>
          <w:p w14:paraId="633D101F">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黏度/（mPa•s）</w:t>
            </w:r>
          </w:p>
        </w:tc>
        <w:tc>
          <w:tcPr>
            <w:tcW w:w="2773" w:type="dxa"/>
            <w:vAlign w:val="center"/>
          </w:tcPr>
          <w:p w14:paraId="38A05240">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＜420</w:t>
            </w:r>
          </w:p>
        </w:tc>
      </w:tr>
      <w:tr w14:paraId="7110E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Align w:val="center"/>
          </w:tcPr>
          <w:p w14:paraId="462001C5">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4678" w:type="dxa"/>
            <w:gridSpan w:val="3"/>
            <w:vAlign w:val="center"/>
          </w:tcPr>
          <w:p w14:paraId="0C8AE56A">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固含量偏差范围/%</w:t>
            </w:r>
          </w:p>
        </w:tc>
        <w:tc>
          <w:tcPr>
            <w:tcW w:w="2773" w:type="dxa"/>
            <w:vAlign w:val="center"/>
          </w:tcPr>
          <w:p w14:paraId="478FC1F7">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w:t>
            </w:r>
          </w:p>
        </w:tc>
      </w:tr>
      <w:tr w14:paraId="594AB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Align w:val="center"/>
          </w:tcPr>
          <w:p w14:paraId="31361E0F">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4678" w:type="dxa"/>
            <w:gridSpan w:val="3"/>
            <w:vAlign w:val="center"/>
          </w:tcPr>
          <w:p w14:paraId="58A98D5A">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pH值</w:t>
            </w:r>
          </w:p>
        </w:tc>
        <w:tc>
          <w:tcPr>
            <w:tcW w:w="2773" w:type="dxa"/>
            <w:vAlign w:val="center"/>
          </w:tcPr>
          <w:p w14:paraId="7BA08CE9">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7.0~10.0</w:t>
            </w:r>
          </w:p>
        </w:tc>
      </w:tr>
      <w:tr w14:paraId="336F4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Merge w:val="restart"/>
            <w:vAlign w:val="center"/>
          </w:tcPr>
          <w:p w14:paraId="2173EA58">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1984" w:type="dxa"/>
            <w:vMerge w:val="restart"/>
            <w:vAlign w:val="center"/>
          </w:tcPr>
          <w:p w14:paraId="76F1FA0C">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颜色</w:t>
            </w:r>
          </w:p>
        </w:tc>
        <w:tc>
          <w:tcPr>
            <w:tcW w:w="1276" w:type="dxa"/>
            <w:vMerge w:val="restart"/>
            <w:vAlign w:val="center"/>
          </w:tcPr>
          <w:p w14:paraId="3C129486">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原色（TT）</w:t>
            </w:r>
          </w:p>
        </w:tc>
        <w:tc>
          <w:tcPr>
            <w:tcW w:w="1418" w:type="dxa"/>
            <w:vAlign w:val="center"/>
          </w:tcPr>
          <w:p w14:paraId="2FD89D64">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目视法</w:t>
            </w:r>
          </w:p>
        </w:tc>
        <w:tc>
          <w:tcPr>
            <w:tcW w:w="2773" w:type="dxa"/>
            <w:vAlign w:val="center"/>
          </w:tcPr>
          <w:p w14:paraId="241ACE76">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近似</w:t>
            </w:r>
          </w:p>
        </w:tc>
      </w:tr>
      <w:tr w14:paraId="30DB1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Merge w:val="continue"/>
            <w:vAlign w:val="center"/>
          </w:tcPr>
          <w:p w14:paraId="4E6F4704">
            <w:pPr>
              <w:pStyle w:val="183"/>
              <w:spacing w:line="240" w:lineRule="auto"/>
              <w:ind w:firstLine="0"/>
              <w:jc w:val="center"/>
              <w:rPr>
                <w:rFonts w:ascii="Times New Roman" w:hAnsi="Times New Roman" w:eastAsia="宋体" w:cs="Times New Roman"/>
                <w:sz w:val="21"/>
                <w:szCs w:val="21"/>
              </w:rPr>
            </w:pPr>
          </w:p>
        </w:tc>
        <w:tc>
          <w:tcPr>
            <w:tcW w:w="1984" w:type="dxa"/>
            <w:vMerge w:val="continue"/>
            <w:vAlign w:val="center"/>
          </w:tcPr>
          <w:p w14:paraId="1E04523A">
            <w:pPr>
              <w:pStyle w:val="183"/>
              <w:spacing w:line="240" w:lineRule="auto"/>
              <w:ind w:firstLine="0"/>
              <w:jc w:val="center"/>
              <w:rPr>
                <w:rFonts w:ascii="Times New Roman" w:hAnsi="Times New Roman" w:eastAsia="宋体" w:cs="Times New Roman"/>
                <w:sz w:val="21"/>
                <w:szCs w:val="21"/>
              </w:rPr>
            </w:pPr>
          </w:p>
        </w:tc>
        <w:tc>
          <w:tcPr>
            <w:tcW w:w="1276" w:type="dxa"/>
            <w:vMerge w:val="continue"/>
            <w:vAlign w:val="center"/>
          </w:tcPr>
          <w:p w14:paraId="26D33285">
            <w:pPr>
              <w:pStyle w:val="183"/>
              <w:spacing w:line="240" w:lineRule="auto"/>
              <w:ind w:firstLine="0"/>
              <w:jc w:val="center"/>
              <w:rPr>
                <w:rFonts w:ascii="Times New Roman" w:hAnsi="Times New Roman" w:eastAsia="宋体" w:cs="Times New Roman"/>
                <w:sz w:val="21"/>
                <w:szCs w:val="21"/>
              </w:rPr>
            </w:pPr>
          </w:p>
        </w:tc>
        <w:tc>
          <w:tcPr>
            <w:tcW w:w="1418" w:type="dxa"/>
            <w:vAlign w:val="center"/>
          </w:tcPr>
          <w:p w14:paraId="0F45DBAE">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仪器法</w:t>
            </w:r>
          </w:p>
        </w:tc>
        <w:tc>
          <w:tcPr>
            <w:tcW w:w="2773" w:type="dxa"/>
            <w:vAlign w:val="center"/>
          </w:tcPr>
          <w:p w14:paraId="06096101">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ΔE≤2.0</w:t>
            </w:r>
          </w:p>
        </w:tc>
      </w:tr>
      <w:tr w14:paraId="47752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Merge w:val="continue"/>
            <w:vAlign w:val="center"/>
          </w:tcPr>
          <w:p w14:paraId="693A6183">
            <w:pPr>
              <w:pStyle w:val="183"/>
              <w:spacing w:line="240" w:lineRule="auto"/>
              <w:ind w:firstLine="0"/>
              <w:jc w:val="center"/>
              <w:rPr>
                <w:rFonts w:ascii="Times New Roman" w:hAnsi="Times New Roman" w:eastAsia="宋体" w:cs="Times New Roman"/>
                <w:sz w:val="21"/>
                <w:szCs w:val="21"/>
              </w:rPr>
            </w:pPr>
          </w:p>
        </w:tc>
        <w:tc>
          <w:tcPr>
            <w:tcW w:w="1984" w:type="dxa"/>
            <w:vMerge w:val="continue"/>
            <w:vAlign w:val="center"/>
          </w:tcPr>
          <w:p w14:paraId="7FBBC0D1">
            <w:pPr>
              <w:pStyle w:val="183"/>
              <w:spacing w:line="240" w:lineRule="auto"/>
              <w:ind w:firstLine="0"/>
              <w:jc w:val="center"/>
              <w:rPr>
                <w:rFonts w:ascii="Times New Roman" w:hAnsi="Times New Roman" w:eastAsia="宋体" w:cs="Times New Roman"/>
                <w:sz w:val="21"/>
                <w:szCs w:val="21"/>
              </w:rPr>
            </w:pPr>
          </w:p>
        </w:tc>
        <w:tc>
          <w:tcPr>
            <w:tcW w:w="1276" w:type="dxa"/>
            <w:vMerge w:val="restart"/>
            <w:vAlign w:val="center"/>
          </w:tcPr>
          <w:p w14:paraId="60E11726">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冲淡色（1/5 ST）</w:t>
            </w:r>
          </w:p>
        </w:tc>
        <w:tc>
          <w:tcPr>
            <w:tcW w:w="1418" w:type="dxa"/>
            <w:vAlign w:val="center"/>
          </w:tcPr>
          <w:p w14:paraId="3641E525">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目视法</w:t>
            </w:r>
          </w:p>
        </w:tc>
        <w:tc>
          <w:tcPr>
            <w:tcW w:w="2773" w:type="dxa"/>
            <w:vAlign w:val="center"/>
          </w:tcPr>
          <w:p w14:paraId="19009C34">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近似</w:t>
            </w:r>
          </w:p>
        </w:tc>
      </w:tr>
      <w:tr w14:paraId="5995F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Merge w:val="continue"/>
            <w:vAlign w:val="center"/>
          </w:tcPr>
          <w:p w14:paraId="17A892EE">
            <w:pPr>
              <w:pStyle w:val="183"/>
              <w:spacing w:line="240" w:lineRule="auto"/>
              <w:ind w:firstLine="0"/>
              <w:jc w:val="center"/>
              <w:rPr>
                <w:rFonts w:ascii="Times New Roman" w:hAnsi="Times New Roman" w:eastAsia="宋体" w:cs="Times New Roman"/>
                <w:sz w:val="21"/>
                <w:szCs w:val="21"/>
              </w:rPr>
            </w:pPr>
          </w:p>
        </w:tc>
        <w:tc>
          <w:tcPr>
            <w:tcW w:w="1984" w:type="dxa"/>
            <w:vMerge w:val="continue"/>
            <w:vAlign w:val="center"/>
          </w:tcPr>
          <w:p w14:paraId="39198336">
            <w:pPr>
              <w:pStyle w:val="183"/>
              <w:spacing w:line="240" w:lineRule="auto"/>
              <w:ind w:firstLine="0"/>
              <w:jc w:val="center"/>
              <w:rPr>
                <w:rFonts w:ascii="Times New Roman" w:hAnsi="Times New Roman" w:eastAsia="宋体" w:cs="Times New Roman"/>
                <w:sz w:val="21"/>
                <w:szCs w:val="21"/>
              </w:rPr>
            </w:pPr>
          </w:p>
        </w:tc>
        <w:tc>
          <w:tcPr>
            <w:tcW w:w="1276" w:type="dxa"/>
            <w:vMerge w:val="continue"/>
            <w:vAlign w:val="center"/>
          </w:tcPr>
          <w:p w14:paraId="22CB84C9">
            <w:pPr>
              <w:pStyle w:val="183"/>
              <w:spacing w:line="240" w:lineRule="auto"/>
              <w:ind w:firstLine="0"/>
              <w:jc w:val="center"/>
              <w:rPr>
                <w:rFonts w:ascii="Times New Roman" w:hAnsi="Times New Roman" w:eastAsia="宋体" w:cs="Times New Roman"/>
                <w:sz w:val="21"/>
                <w:szCs w:val="21"/>
              </w:rPr>
            </w:pPr>
          </w:p>
        </w:tc>
        <w:tc>
          <w:tcPr>
            <w:tcW w:w="1418" w:type="dxa"/>
            <w:vAlign w:val="center"/>
          </w:tcPr>
          <w:p w14:paraId="74B1E883">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仪器法</w:t>
            </w:r>
          </w:p>
        </w:tc>
        <w:tc>
          <w:tcPr>
            <w:tcW w:w="2773" w:type="dxa"/>
            <w:vAlign w:val="center"/>
          </w:tcPr>
          <w:p w14:paraId="6831CD18">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ΔE≤1.0</w:t>
            </w:r>
          </w:p>
        </w:tc>
      </w:tr>
      <w:tr w14:paraId="454E4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Merge w:val="continue"/>
            <w:vAlign w:val="center"/>
          </w:tcPr>
          <w:p w14:paraId="51B110F9">
            <w:pPr>
              <w:pStyle w:val="183"/>
              <w:spacing w:line="240" w:lineRule="auto"/>
              <w:ind w:firstLine="0"/>
              <w:jc w:val="center"/>
              <w:rPr>
                <w:rFonts w:ascii="Times New Roman" w:hAnsi="Times New Roman" w:eastAsia="宋体" w:cs="Times New Roman"/>
                <w:sz w:val="21"/>
                <w:szCs w:val="21"/>
              </w:rPr>
            </w:pPr>
          </w:p>
        </w:tc>
        <w:tc>
          <w:tcPr>
            <w:tcW w:w="1984" w:type="dxa"/>
            <w:vMerge w:val="continue"/>
            <w:vAlign w:val="center"/>
          </w:tcPr>
          <w:p w14:paraId="10E4F953">
            <w:pPr>
              <w:pStyle w:val="183"/>
              <w:spacing w:line="240" w:lineRule="auto"/>
              <w:ind w:firstLine="0"/>
              <w:jc w:val="center"/>
              <w:rPr>
                <w:rFonts w:ascii="Times New Roman" w:hAnsi="Times New Roman" w:eastAsia="宋体" w:cs="Times New Roman"/>
                <w:sz w:val="21"/>
                <w:szCs w:val="21"/>
              </w:rPr>
            </w:pPr>
          </w:p>
        </w:tc>
        <w:tc>
          <w:tcPr>
            <w:tcW w:w="1276" w:type="dxa"/>
            <w:vMerge w:val="restart"/>
            <w:vAlign w:val="center"/>
          </w:tcPr>
          <w:p w14:paraId="3B3DA8F7">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白色浆</w:t>
            </w:r>
          </w:p>
        </w:tc>
        <w:tc>
          <w:tcPr>
            <w:tcW w:w="1418" w:type="dxa"/>
            <w:vAlign w:val="center"/>
          </w:tcPr>
          <w:p w14:paraId="4787CDF8">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目视法</w:t>
            </w:r>
          </w:p>
        </w:tc>
        <w:tc>
          <w:tcPr>
            <w:tcW w:w="2773" w:type="dxa"/>
            <w:vAlign w:val="center"/>
          </w:tcPr>
          <w:p w14:paraId="3FF56C73">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近似</w:t>
            </w:r>
          </w:p>
        </w:tc>
      </w:tr>
      <w:tr w14:paraId="1FEB3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Merge w:val="continue"/>
            <w:vAlign w:val="center"/>
          </w:tcPr>
          <w:p w14:paraId="6CB92B5C">
            <w:pPr>
              <w:pStyle w:val="183"/>
              <w:spacing w:line="240" w:lineRule="auto"/>
              <w:ind w:firstLine="0"/>
              <w:jc w:val="center"/>
              <w:rPr>
                <w:rFonts w:ascii="Times New Roman" w:hAnsi="Times New Roman" w:eastAsia="宋体" w:cs="Times New Roman"/>
                <w:sz w:val="21"/>
                <w:szCs w:val="21"/>
              </w:rPr>
            </w:pPr>
          </w:p>
        </w:tc>
        <w:tc>
          <w:tcPr>
            <w:tcW w:w="1984" w:type="dxa"/>
            <w:vMerge w:val="continue"/>
            <w:vAlign w:val="center"/>
          </w:tcPr>
          <w:p w14:paraId="16C154FF">
            <w:pPr>
              <w:pStyle w:val="183"/>
              <w:spacing w:line="240" w:lineRule="auto"/>
              <w:ind w:firstLine="0"/>
              <w:jc w:val="center"/>
              <w:rPr>
                <w:rFonts w:ascii="Times New Roman" w:hAnsi="Times New Roman" w:eastAsia="宋体" w:cs="Times New Roman"/>
                <w:sz w:val="21"/>
                <w:szCs w:val="21"/>
              </w:rPr>
            </w:pPr>
          </w:p>
        </w:tc>
        <w:tc>
          <w:tcPr>
            <w:tcW w:w="1276" w:type="dxa"/>
            <w:vMerge w:val="continue"/>
            <w:vAlign w:val="center"/>
          </w:tcPr>
          <w:p w14:paraId="11E6814C">
            <w:pPr>
              <w:pStyle w:val="183"/>
              <w:spacing w:line="240" w:lineRule="auto"/>
              <w:ind w:firstLine="0"/>
              <w:jc w:val="center"/>
              <w:rPr>
                <w:rFonts w:ascii="Times New Roman" w:hAnsi="Times New Roman" w:eastAsia="宋体" w:cs="Times New Roman"/>
                <w:sz w:val="21"/>
                <w:szCs w:val="21"/>
              </w:rPr>
            </w:pPr>
          </w:p>
        </w:tc>
        <w:tc>
          <w:tcPr>
            <w:tcW w:w="1418" w:type="dxa"/>
            <w:vAlign w:val="center"/>
          </w:tcPr>
          <w:p w14:paraId="52FAFF19">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仪器法</w:t>
            </w:r>
          </w:p>
        </w:tc>
        <w:tc>
          <w:tcPr>
            <w:tcW w:w="2773" w:type="dxa"/>
            <w:vAlign w:val="center"/>
          </w:tcPr>
          <w:p w14:paraId="02194EA8">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ΔE≤1.0</w:t>
            </w:r>
          </w:p>
        </w:tc>
      </w:tr>
      <w:tr w14:paraId="37F20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Align w:val="center"/>
          </w:tcPr>
          <w:p w14:paraId="65020075">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4678" w:type="dxa"/>
            <w:gridSpan w:val="3"/>
            <w:vAlign w:val="center"/>
          </w:tcPr>
          <w:p w14:paraId="0E131C7F">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相对着色强度或相对散射力/%</w:t>
            </w:r>
          </w:p>
        </w:tc>
        <w:tc>
          <w:tcPr>
            <w:tcW w:w="2773" w:type="dxa"/>
            <w:vAlign w:val="center"/>
          </w:tcPr>
          <w:p w14:paraId="0E38E691">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100±5.0</w:t>
            </w:r>
          </w:p>
        </w:tc>
      </w:tr>
      <w:tr w14:paraId="2610D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Align w:val="center"/>
          </w:tcPr>
          <w:p w14:paraId="44F2351F">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1984" w:type="dxa"/>
            <w:vAlign w:val="center"/>
          </w:tcPr>
          <w:p w14:paraId="1AECC0ED">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粒径分布</w:t>
            </w:r>
            <w:r>
              <w:rPr>
                <w:rFonts w:ascii="Times New Roman" w:hAnsi="Times New Roman" w:eastAsia="宋体" w:cs="Times New Roman"/>
                <w:sz w:val="21"/>
                <w:szCs w:val="21"/>
              </w:rPr>
              <w:t>/μm</w:t>
            </w:r>
          </w:p>
        </w:tc>
        <w:tc>
          <w:tcPr>
            <w:tcW w:w="2694" w:type="dxa"/>
            <w:gridSpan w:val="2"/>
            <w:vAlign w:val="center"/>
          </w:tcPr>
          <w:p w14:paraId="55F72016">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D</w:t>
            </w:r>
            <w:r>
              <w:rPr>
                <w:rFonts w:hint="eastAsia" w:ascii="Times New Roman" w:hAnsi="Times New Roman" w:eastAsia="宋体" w:cs="Times New Roman"/>
                <w:sz w:val="21"/>
                <w:szCs w:val="21"/>
                <w:vertAlign w:val="subscript"/>
              </w:rPr>
              <w:t>90</w:t>
            </w:r>
          </w:p>
        </w:tc>
        <w:tc>
          <w:tcPr>
            <w:tcW w:w="2773" w:type="dxa"/>
            <w:vAlign w:val="center"/>
          </w:tcPr>
          <w:p w14:paraId="0496BE58">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r>
      <w:tr w14:paraId="78CFC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vAlign w:val="center"/>
          </w:tcPr>
          <w:p w14:paraId="5CB0282F">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w:t>
            </w:r>
          </w:p>
        </w:tc>
        <w:tc>
          <w:tcPr>
            <w:tcW w:w="4678" w:type="dxa"/>
            <w:gridSpan w:val="3"/>
            <w:vAlign w:val="center"/>
          </w:tcPr>
          <w:p w14:paraId="03A2CE12">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耐迁移性</w:t>
            </w:r>
          </w:p>
        </w:tc>
        <w:tc>
          <w:tcPr>
            <w:tcW w:w="2773" w:type="dxa"/>
            <w:vAlign w:val="center"/>
          </w:tcPr>
          <w:p w14:paraId="17C8436F">
            <w:pPr>
              <w:pStyle w:val="183"/>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ΔE≤5.0</w:t>
            </w:r>
          </w:p>
        </w:tc>
      </w:tr>
    </w:tbl>
    <w:p w14:paraId="15B7D47D">
      <w:pPr>
        <w:pStyle w:val="183"/>
        <w:rPr>
          <w:rFonts w:ascii="Times New Roman" w:hAnsi="Times New Roman" w:eastAsia="宋体" w:cs="Times New Roman"/>
        </w:rPr>
      </w:pPr>
    </w:p>
    <w:p w14:paraId="1D3EAB8E">
      <w:pPr>
        <w:pStyle w:val="5"/>
        <w:spacing w:before="240" w:after="240"/>
      </w:pPr>
      <w:r>
        <w:t>主要原辅材料及能源消耗</w:t>
      </w:r>
    </w:p>
    <w:p w14:paraId="732E25C2">
      <w:pPr>
        <w:ind w:firstLine="480"/>
      </w:pPr>
      <w:r>
        <w:t>本次工程主要原辅材料及能源消耗情况见下表。</w:t>
      </w:r>
    </w:p>
    <w:p w14:paraId="1D3EAB90">
      <w:pPr>
        <w:pStyle w:val="64"/>
        <w:numPr>
          <w:ilvl w:val="0"/>
          <w:numId w:val="14"/>
        </w:numPr>
        <w:spacing w:before="120" w:after="120"/>
        <w:ind w:left="884" w:hanging="442" w:firstLineChars="0"/>
      </w:pPr>
      <w:r>
        <w:rPr>
          <w:rFonts w:hint="eastAsia"/>
        </w:rPr>
        <w:t xml:space="preserve">       </w:t>
      </w:r>
      <w:r>
        <w:t>本项目原辅材料及能源消耗一览表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8"/>
        <w:gridCol w:w="468"/>
        <w:gridCol w:w="1953"/>
        <w:gridCol w:w="853"/>
        <w:gridCol w:w="2280"/>
        <w:gridCol w:w="855"/>
        <w:gridCol w:w="945"/>
        <w:gridCol w:w="560"/>
      </w:tblGrid>
      <w:tr w14:paraId="1D3EA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1" w:type="pct"/>
            <w:vAlign w:val="center"/>
          </w:tcPr>
          <w:p w14:paraId="1D3EAB91">
            <w:pPr>
              <w:spacing w:line="240" w:lineRule="auto"/>
              <w:ind w:firstLine="0" w:firstLineChars="0"/>
              <w:jc w:val="center"/>
              <w:rPr>
                <w:b/>
                <w:bCs/>
                <w:kern w:val="2"/>
                <w:sz w:val="21"/>
                <w:szCs w:val="21"/>
                <w:u w:val="single"/>
              </w:rPr>
            </w:pPr>
            <w:r>
              <w:rPr>
                <w:b/>
                <w:bCs/>
                <w:sz w:val="21"/>
                <w:szCs w:val="21"/>
                <w:u w:val="single"/>
              </w:rPr>
              <w:t>序号</w:t>
            </w:r>
          </w:p>
        </w:tc>
        <w:tc>
          <w:tcPr>
            <w:tcW w:w="1453" w:type="pct"/>
            <w:gridSpan w:val="2"/>
            <w:vAlign w:val="center"/>
          </w:tcPr>
          <w:p w14:paraId="1D3EAB92">
            <w:pPr>
              <w:spacing w:line="240" w:lineRule="auto"/>
              <w:ind w:firstLine="0" w:firstLineChars="0"/>
              <w:jc w:val="center"/>
              <w:rPr>
                <w:b/>
                <w:bCs/>
                <w:kern w:val="2"/>
                <w:sz w:val="21"/>
                <w:szCs w:val="21"/>
                <w:u w:val="single"/>
              </w:rPr>
            </w:pPr>
            <w:r>
              <w:rPr>
                <w:b/>
                <w:bCs/>
                <w:kern w:val="2"/>
                <w:sz w:val="21"/>
                <w:szCs w:val="21"/>
                <w:u w:val="single"/>
              </w:rPr>
              <w:t>名称</w:t>
            </w:r>
          </w:p>
        </w:tc>
        <w:tc>
          <w:tcPr>
            <w:tcW w:w="512" w:type="pct"/>
            <w:vAlign w:val="center"/>
          </w:tcPr>
          <w:p w14:paraId="1D3EAB94">
            <w:pPr>
              <w:spacing w:line="240" w:lineRule="auto"/>
              <w:ind w:firstLine="0" w:firstLineChars="0"/>
              <w:jc w:val="center"/>
              <w:rPr>
                <w:b/>
                <w:bCs/>
                <w:kern w:val="2"/>
                <w:sz w:val="21"/>
                <w:szCs w:val="21"/>
                <w:u w:val="single"/>
              </w:rPr>
            </w:pPr>
            <w:r>
              <w:rPr>
                <w:rFonts w:hint="eastAsia"/>
                <w:b/>
                <w:bCs/>
                <w:kern w:val="2"/>
                <w:sz w:val="21"/>
                <w:szCs w:val="21"/>
                <w:u w:val="single"/>
              </w:rPr>
              <w:t>使用量/</w:t>
            </w:r>
            <w:r>
              <w:rPr>
                <w:b/>
                <w:bCs/>
                <w:kern w:val="2"/>
                <w:sz w:val="21"/>
                <w:szCs w:val="21"/>
                <w:u w:val="single"/>
              </w:rPr>
              <w:t>t</w:t>
            </w:r>
          </w:p>
        </w:tc>
        <w:tc>
          <w:tcPr>
            <w:tcW w:w="1368" w:type="pct"/>
            <w:vAlign w:val="center"/>
          </w:tcPr>
          <w:p w14:paraId="1D3EAB95">
            <w:pPr>
              <w:spacing w:line="240" w:lineRule="auto"/>
              <w:ind w:firstLine="0" w:firstLineChars="0"/>
              <w:jc w:val="center"/>
              <w:rPr>
                <w:b/>
                <w:bCs/>
                <w:kern w:val="2"/>
                <w:sz w:val="21"/>
                <w:szCs w:val="21"/>
                <w:u w:val="single"/>
              </w:rPr>
            </w:pPr>
            <w:r>
              <w:rPr>
                <w:rFonts w:hint="eastAsia"/>
                <w:b/>
                <w:bCs/>
                <w:kern w:val="2"/>
                <w:sz w:val="21"/>
                <w:szCs w:val="21"/>
                <w:u w:val="single"/>
              </w:rPr>
              <w:t>包装方式及规格</w:t>
            </w:r>
          </w:p>
        </w:tc>
        <w:tc>
          <w:tcPr>
            <w:tcW w:w="513" w:type="pct"/>
            <w:vAlign w:val="center"/>
          </w:tcPr>
          <w:p w14:paraId="1D3EAB96">
            <w:pPr>
              <w:spacing w:line="240" w:lineRule="auto"/>
              <w:ind w:firstLine="0" w:firstLineChars="0"/>
              <w:jc w:val="center"/>
              <w:rPr>
                <w:b/>
                <w:bCs/>
                <w:kern w:val="2"/>
                <w:sz w:val="21"/>
                <w:szCs w:val="21"/>
                <w:u w:val="single"/>
              </w:rPr>
            </w:pPr>
            <w:r>
              <w:rPr>
                <w:rFonts w:hint="eastAsia"/>
                <w:b/>
                <w:bCs/>
                <w:kern w:val="2"/>
                <w:sz w:val="21"/>
                <w:szCs w:val="21"/>
                <w:u w:val="single"/>
              </w:rPr>
              <w:t>最大储存量/</w:t>
            </w:r>
            <w:r>
              <w:rPr>
                <w:b/>
                <w:bCs/>
                <w:kern w:val="2"/>
                <w:sz w:val="21"/>
                <w:szCs w:val="21"/>
                <w:u w:val="single"/>
              </w:rPr>
              <w:t>t</w:t>
            </w:r>
          </w:p>
        </w:tc>
        <w:tc>
          <w:tcPr>
            <w:tcW w:w="567" w:type="pct"/>
            <w:vAlign w:val="center"/>
          </w:tcPr>
          <w:p w14:paraId="1D3EAB97">
            <w:pPr>
              <w:spacing w:line="240" w:lineRule="auto"/>
              <w:ind w:firstLine="0" w:firstLineChars="0"/>
              <w:jc w:val="center"/>
              <w:rPr>
                <w:b/>
                <w:bCs/>
                <w:kern w:val="2"/>
                <w:sz w:val="21"/>
                <w:szCs w:val="21"/>
                <w:u w:val="single"/>
              </w:rPr>
            </w:pPr>
            <w:r>
              <w:rPr>
                <w:rFonts w:hint="eastAsia"/>
                <w:b/>
                <w:bCs/>
                <w:kern w:val="2"/>
                <w:sz w:val="21"/>
                <w:szCs w:val="21"/>
                <w:u w:val="single"/>
              </w:rPr>
              <w:t>储存位置</w:t>
            </w:r>
          </w:p>
        </w:tc>
        <w:tc>
          <w:tcPr>
            <w:tcW w:w="336" w:type="pct"/>
            <w:vAlign w:val="center"/>
          </w:tcPr>
          <w:p w14:paraId="1D3EAB98">
            <w:pPr>
              <w:spacing w:line="240" w:lineRule="auto"/>
              <w:ind w:firstLine="0" w:firstLineChars="0"/>
              <w:jc w:val="center"/>
              <w:rPr>
                <w:b/>
                <w:bCs/>
                <w:kern w:val="2"/>
                <w:sz w:val="21"/>
                <w:szCs w:val="21"/>
                <w:u w:val="single"/>
              </w:rPr>
            </w:pPr>
            <w:r>
              <w:rPr>
                <w:rFonts w:hint="eastAsia"/>
                <w:b/>
                <w:bCs/>
                <w:kern w:val="2"/>
                <w:sz w:val="21"/>
                <w:szCs w:val="21"/>
                <w:u w:val="single"/>
              </w:rPr>
              <w:t>来源</w:t>
            </w:r>
          </w:p>
        </w:tc>
      </w:tr>
      <w:tr w14:paraId="04B2F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8"/>
            <w:vAlign w:val="center"/>
          </w:tcPr>
          <w:p w14:paraId="1D3B3D7F">
            <w:pPr>
              <w:spacing w:line="240" w:lineRule="auto"/>
              <w:ind w:firstLine="0" w:firstLineChars="0"/>
              <w:jc w:val="center"/>
              <w:rPr>
                <w:b/>
                <w:sz w:val="21"/>
                <w:szCs w:val="21"/>
                <w:highlight w:val="yellow"/>
                <w:u w:val="single"/>
              </w:rPr>
            </w:pPr>
            <w:r>
              <w:rPr>
                <w:rFonts w:hint="eastAsia"/>
                <w:b/>
                <w:bCs/>
                <w:sz w:val="21"/>
                <w:szCs w:val="21"/>
                <w:u w:val="single"/>
              </w:rPr>
              <w:t>聚醚改性硅油</w:t>
            </w:r>
          </w:p>
        </w:tc>
      </w:tr>
      <w:tr w14:paraId="1D3EA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D3EAB9C">
            <w:pPr>
              <w:spacing w:line="240" w:lineRule="auto"/>
              <w:ind w:firstLine="0" w:firstLineChars="0"/>
              <w:jc w:val="center"/>
              <w:rPr>
                <w:sz w:val="21"/>
                <w:szCs w:val="21"/>
                <w:u w:val="single"/>
              </w:rPr>
            </w:pPr>
            <w:r>
              <w:rPr>
                <w:sz w:val="21"/>
                <w:szCs w:val="21"/>
                <w:u w:val="single"/>
              </w:rPr>
              <w:t>1</w:t>
            </w:r>
          </w:p>
        </w:tc>
        <w:tc>
          <w:tcPr>
            <w:tcW w:w="1453" w:type="pct"/>
            <w:gridSpan w:val="2"/>
            <w:vAlign w:val="center"/>
          </w:tcPr>
          <w:p w14:paraId="1D3EAB9D">
            <w:pPr>
              <w:pStyle w:val="40"/>
              <w:spacing w:after="0" w:line="240" w:lineRule="auto"/>
              <w:ind w:left="0" w:leftChars="0" w:firstLine="0" w:firstLineChars="0"/>
              <w:jc w:val="center"/>
              <w:rPr>
                <w:sz w:val="21"/>
                <w:szCs w:val="21"/>
                <w:u w:val="single"/>
              </w:rPr>
            </w:pPr>
            <w:r>
              <w:rPr>
                <w:rFonts w:hint="eastAsia"/>
                <w:sz w:val="21"/>
                <w:szCs w:val="21"/>
                <w:u w:val="single"/>
              </w:rPr>
              <w:t>D4（八甲基环四硅氧烷）</w:t>
            </w:r>
          </w:p>
        </w:tc>
        <w:tc>
          <w:tcPr>
            <w:tcW w:w="512" w:type="pct"/>
            <w:vAlign w:val="center"/>
          </w:tcPr>
          <w:p w14:paraId="1D3EAB9F">
            <w:pPr>
              <w:spacing w:line="240" w:lineRule="auto"/>
              <w:ind w:firstLine="0" w:firstLineChars="0"/>
              <w:jc w:val="center"/>
              <w:rPr>
                <w:sz w:val="21"/>
                <w:szCs w:val="21"/>
                <w:u w:val="single"/>
              </w:rPr>
            </w:pPr>
            <w:r>
              <w:rPr>
                <w:rFonts w:hint="eastAsia"/>
                <w:sz w:val="21"/>
                <w:szCs w:val="21"/>
                <w:u w:val="single"/>
              </w:rPr>
              <w:t>769.135</w:t>
            </w:r>
          </w:p>
        </w:tc>
        <w:tc>
          <w:tcPr>
            <w:tcW w:w="1368" w:type="pct"/>
            <w:vAlign w:val="center"/>
          </w:tcPr>
          <w:p w14:paraId="1D3EABA0">
            <w:pPr>
              <w:spacing w:line="240" w:lineRule="auto"/>
              <w:ind w:firstLine="0" w:firstLineChars="0"/>
              <w:jc w:val="center"/>
              <w:rPr>
                <w:spacing w:val="-11"/>
                <w:sz w:val="21"/>
                <w:szCs w:val="21"/>
                <w:highlight w:val="yellow"/>
                <w:u w:val="single"/>
              </w:rPr>
            </w:pPr>
            <w:r>
              <w:rPr>
                <w:spacing w:val="-11"/>
                <w:sz w:val="21"/>
                <w:szCs w:val="21"/>
                <w:u w:val="single"/>
              </w:rPr>
              <w:t>99.9%</w:t>
            </w:r>
            <w:r>
              <w:rPr>
                <w:rFonts w:hint="eastAsia"/>
                <w:spacing w:val="-11"/>
                <w:sz w:val="21"/>
                <w:szCs w:val="21"/>
                <w:u w:val="single"/>
              </w:rPr>
              <w:t>，液态，200kg/桶</w:t>
            </w:r>
          </w:p>
        </w:tc>
        <w:tc>
          <w:tcPr>
            <w:tcW w:w="513" w:type="pct"/>
            <w:vAlign w:val="center"/>
          </w:tcPr>
          <w:p w14:paraId="1D3EABA1">
            <w:pPr>
              <w:spacing w:line="240" w:lineRule="auto"/>
              <w:ind w:firstLine="0" w:firstLineChars="0"/>
              <w:jc w:val="center"/>
              <w:rPr>
                <w:sz w:val="21"/>
                <w:szCs w:val="21"/>
                <w:highlight w:val="yellow"/>
                <w:u w:val="single"/>
              </w:rPr>
            </w:pPr>
            <w:r>
              <w:rPr>
                <w:rFonts w:hint="eastAsia"/>
                <w:sz w:val="21"/>
                <w:szCs w:val="21"/>
                <w:u w:val="single"/>
              </w:rPr>
              <w:t>30</w:t>
            </w:r>
          </w:p>
        </w:tc>
        <w:tc>
          <w:tcPr>
            <w:tcW w:w="567" w:type="pct"/>
            <w:vMerge w:val="restart"/>
            <w:vAlign w:val="center"/>
          </w:tcPr>
          <w:p w14:paraId="1D3EABA2">
            <w:pPr>
              <w:spacing w:line="240" w:lineRule="auto"/>
              <w:ind w:firstLine="0" w:firstLineChars="0"/>
              <w:jc w:val="center"/>
              <w:rPr>
                <w:sz w:val="21"/>
                <w:szCs w:val="21"/>
                <w:highlight w:val="yellow"/>
                <w:u w:val="single"/>
              </w:rPr>
            </w:pPr>
            <w:r>
              <w:rPr>
                <w:rFonts w:hint="eastAsia"/>
                <w:sz w:val="21"/>
                <w:szCs w:val="21"/>
                <w:u w:val="single"/>
              </w:rPr>
              <w:t>原料区</w:t>
            </w:r>
          </w:p>
        </w:tc>
        <w:tc>
          <w:tcPr>
            <w:tcW w:w="336" w:type="pct"/>
            <w:vAlign w:val="center"/>
          </w:tcPr>
          <w:p w14:paraId="1D3EABA3">
            <w:pPr>
              <w:spacing w:line="240" w:lineRule="auto"/>
              <w:ind w:firstLine="0" w:firstLineChars="0"/>
              <w:jc w:val="center"/>
              <w:rPr>
                <w:sz w:val="21"/>
                <w:szCs w:val="21"/>
                <w:u w:val="single"/>
              </w:rPr>
            </w:pPr>
            <w:r>
              <w:rPr>
                <w:rFonts w:hint="eastAsia"/>
                <w:sz w:val="21"/>
                <w:szCs w:val="21"/>
                <w:u w:val="single"/>
              </w:rPr>
              <w:t>外购</w:t>
            </w:r>
          </w:p>
        </w:tc>
      </w:tr>
      <w:tr w14:paraId="1D3EA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D3EABA5">
            <w:pPr>
              <w:spacing w:line="240" w:lineRule="auto"/>
              <w:ind w:firstLine="0" w:firstLineChars="0"/>
              <w:jc w:val="center"/>
              <w:rPr>
                <w:sz w:val="21"/>
                <w:szCs w:val="21"/>
                <w:u w:val="single"/>
              </w:rPr>
            </w:pPr>
            <w:r>
              <w:rPr>
                <w:sz w:val="21"/>
                <w:szCs w:val="21"/>
                <w:u w:val="single"/>
              </w:rPr>
              <w:t>2</w:t>
            </w:r>
          </w:p>
        </w:tc>
        <w:tc>
          <w:tcPr>
            <w:tcW w:w="1453" w:type="pct"/>
            <w:gridSpan w:val="2"/>
            <w:vAlign w:val="center"/>
          </w:tcPr>
          <w:p w14:paraId="1D3EABA6">
            <w:pPr>
              <w:spacing w:line="240" w:lineRule="auto"/>
              <w:ind w:firstLine="0" w:firstLineChars="0"/>
              <w:jc w:val="center"/>
              <w:rPr>
                <w:sz w:val="21"/>
                <w:szCs w:val="21"/>
                <w:u w:val="single"/>
              </w:rPr>
            </w:pPr>
            <w:r>
              <w:rPr>
                <w:rFonts w:hint="eastAsia"/>
                <w:sz w:val="21"/>
                <w:szCs w:val="21"/>
                <w:u w:val="single"/>
              </w:rPr>
              <w:t>K</w:t>
            </w:r>
            <w:r>
              <w:rPr>
                <w:sz w:val="21"/>
                <w:szCs w:val="21"/>
                <w:u w:val="single"/>
              </w:rPr>
              <w:t>F-99</w:t>
            </w:r>
            <w:r>
              <w:rPr>
                <w:rFonts w:hint="eastAsia"/>
                <w:sz w:val="21"/>
                <w:szCs w:val="21"/>
                <w:u w:val="single"/>
              </w:rPr>
              <w:t>（</w:t>
            </w:r>
            <w:r>
              <w:rPr>
                <w:sz w:val="21"/>
                <w:szCs w:val="21"/>
                <w:u w:val="single"/>
              </w:rPr>
              <w:t>高含氢硅油</w:t>
            </w:r>
            <w:r>
              <w:rPr>
                <w:rFonts w:hint="eastAsia"/>
                <w:sz w:val="21"/>
                <w:szCs w:val="21"/>
                <w:u w:val="single"/>
              </w:rPr>
              <w:t>）</w:t>
            </w:r>
          </w:p>
        </w:tc>
        <w:tc>
          <w:tcPr>
            <w:tcW w:w="512" w:type="pct"/>
            <w:vAlign w:val="center"/>
          </w:tcPr>
          <w:p w14:paraId="1D3EABA8">
            <w:pPr>
              <w:spacing w:line="240" w:lineRule="auto"/>
              <w:ind w:firstLine="0" w:firstLineChars="0"/>
              <w:jc w:val="center"/>
              <w:rPr>
                <w:sz w:val="21"/>
                <w:szCs w:val="21"/>
                <w:u w:val="single"/>
              </w:rPr>
            </w:pPr>
            <w:r>
              <w:rPr>
                <w:rFonts w:hint="eastAsia"/>
                <w:sz w:val="21"/>
                <w:szCs w:val="21"/>
                <w:u w:val="single"/>
              </w:rPr>
              <w:t>256.5025</w:t>
            </w:r>
          </w:p>
        </w:tc>
        <w:tc>
          <w:tcPr>
            <w:tcW w:w="1368" w:type="pct"/>
            <w:vAlign w:val="center"/>
          </w:tcPr>
          <w:p w14:paraId="1D3EABA9">
            <w:pPr>
              <w:spacing w:line="240" w:lineRule="auto"/>
              <w:ind w:firstLine="0" w:firstLineChars="0"/>
              <w:jc w:val="center"/>
              <w:rPr>
                <w:spacing w:val="-11"/>
                <w:sz w:val="21"/>
                <w:szCs w:val="21"/>
                <w:highlight w:val="yellow"/>
                <w:u w:val="single"/>
              </w:rPr>
            </w:pPr>
            <w:r>
              <w:rPr>
                <w:rFonts w:hint="eastAsia"/>
                <w:spacing w:val="-11"/>
                <w:sz w:val="21"/>
                <w:szCs w:val="21"/>
                <w:u w:val="single"/>
              </w:rPr>
              <w:t>99</w:t>
            </w:r>
            <w:r>
              <w:rPr>
                <w:spacing w:val="-11"/>
                <w:sz w:val="21"/>
                <w:szCs w:val="21"/>
                <w:u w:val="single"/>
              </w:rPr>
              <w:t>.9</w:t>
            </w:r>
            <w:r>
              <w:rPr>
                <w:rFonts w:hint="eastAsia"/>
                <w:spacing w:val="-11"/>
                <w:sz w:val="21"/>
                <w:szCs w:val="21"/>
                <w:u w:val="single"/>
              </w:rPr>
              <w:t>%，液态，2</w:t>
            </w:r>
            <w:r>
              <w:rPr>
                <w:spacing w:val="-11"/>
                <w:sz w:val="21"/>
                <w:szCs w:val="21"/>
                <w:u w:val="single"/>
              </w:rPr>
              <w:t>00</w:t>
            </w:r>
            <w:r>
              <w:rPr>
                <w:rFonts w:hint="eastAsia"/>
                <w:spacing w:val="-11"/>
                <w:sz w:val="21"/>
                <w:szCs w:val="21"/>
                <w:u w:val="single"/>
              </w:rPr>
              <w:t>kg/桶</w:t>
            </w:r>
          </w:p>
        </w:tc>
        <w:tc>
          <w:tcPr>
            <w:tcW w:w="513" w:type="pct"/>
            <w:vAlign w:val="center"/>
          </w:tcPr>
          <w:p w14:paraId="1D3EABAA">
            <w:pPr>
              <w:spacing w:line="240" w:lineRule="auto"/>
              <w:ind w:firstLine="0" w:firstLineChars="0"/>
              <w:jc w:val="center"/>
              <w:rPr>
                <w:sz w:val="21"/>
                <w:szCs w:val="21"/>
                <w:highlight w:val="yellow"/>
                <w:u w:val="single"/>
              </w:rPr>
            </w:pPr>
            <w:r>
              <w:rPr>
                <w:rFonts w:hint="eastAsia"/>
                <w:sz w:val="21"/>
                <w:szCs w:val="21"/>
                <w:u w:val="single"/>
              </w:rPr>
              <w:t>6</w:t>
            </w:r>
          </w:p>
        </w:tc>
        <w:tc>
          <w:tcPr>
            <w:tcW w:w="567" w:type="pct"/>
            <w:vMerge w:val="continue"/>
            <w:vAlign w:val="center"/>
          </w:tcPr>
          <w:p w14:paraId="1D3EABAB">
            <w:pPr>
              <w:spacing w:line="240" w:lineRule="auto"/>
              <w:ind w:firstLine="0" w:firstLineChars="0"/>
              <w:jc w:val="center"/>
              <w:rPr>
                <w:sz w:val="21"/>
                <w:szCs w:val="21"/>
                <w:highlight w:val="yellow"/>
                <w:u w:val="single"/>
              </w:rPr>
            </w:pPr>
          </w:p>
        </w:tc>
        <w:tc>
          <w:tcPr>
            <w:tcW w:w="336" w:type="pct"/>
            <w:vAlign w:val="center"/>
          </w:tcPr>
          <w:p w14:paraId="1D3EABAC">
            <w:pPr>
              <w:spacing w:line="240" w:lineRule="auto"/>
              <w:ind w:firstLine="0" w:firstLineChars="0"/>
              <w:jc w:val="center"/>
              <w:rPr>
                <w:sz w:val="21"/>
                <w:szCs w:val="21"/>
                <w:u w:val="single"/>
              </w:rPr>
            </w:pPr>
            <w:r>
              <w:rPr>
                <w:rFonts w:hint="eastAsia"/>
                <w:sz w:val="21"/>
                <w:szCs w:val="21"/>
                <w:u w:val="single"/>
              </w:rPr>
              <w:t>外购</w:t>
            </w:r>
          </w:p>
        </w:tc>
      </w:tr>
      <w:tr w14:paraId="1D3EA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D3EABAE">
            <w:pPr>
              <w:spacing w:line="240" w:lineRule="auto"/>
              <w:ind w:firstLine="0" w:firstLineChars="0"/>
              <w:jc w:val="center"/>
              <w:rPr>
                <w:sz w:val="21"/>
                <w:szCs w:val="21"/>
                <w:u w:val="single"/>
              </w:rPr>
            </w:pPr>
            <w:r>
              <w:rPr>
                <w:sz w:val="21"/>
                <w:szCs w:val="21"/>
                <w:u w:val="single"/>
              </w:rPr>
              <w:t>3</w:t>
            </w:r>
          </w:p>
        </w:tc>
        <w:tc>
          <w:tcPr>
            <w:tcW w:w="1453" w:type="pct"/>
            <w:gridSpan w:val="2"/>
            <w:vAlign w:val="center"/>
          </w:tcPr>
          <w:p w14:paraId="1D3EABAF">
            <w:pPr>
              <w:spacing w:line="240" w:lineRule="auto"/>
              <w:ind w:firstLine="0" w:firstLineChars="0"/>
              <w:jc w:val="center"/>
              <w:rPr>
                <w:sz w:val="21"/>
                <w:szCs w:val="21"/>
                <w:u w:val="single"/>
              </w:rPr>
            </w:pPr>
            <w:r>
              <w:rPr>
                <w:rFonts w:hint="eastAsia"/>
                <w:sz w:val="21"/>
                <w:szCs w:val="21"/>
                <w:u w:val="single"/>
              </w:rPr>
              <w:t>硫酸</w:t>
            </w:r>
          </w:p>
        </w:tc>
        <w:tc>
          <w:tcPr>
            <w:tcW w:w="512" w:type="pct"/>
            <w:vAlign w:val="center"/>
          </w:tcPr>
          <w:p w14:paraId="1D3EABB1">
            <w:pPr>
              <w:spacing w:line="240" w:lineRule="auto"/>
              <w:ind w:firstLine="0" w:firstLineChars="0"/>
              <w:jc w:val="center"/>
              <w:rPr>
                <w:sz w:val="21"/>
                <w:szCs w:val="21"/>
                <w:highlight w:val="yellow"/>
                <w:u w:val="single"/>
              </w:rPr>
            </w:pPr>
            <w:r>
              <w:rPr>
                <w:rFonts w:hint="eastAsia"/>
                <w:sz w:val="21"/>
                <w:szCs w:val="21"/>
                <w:u w:val="single"/>
              </w:rPr>
              <w:t>10</w:t>
            </w:r>
          </w:p>
        </w:tc>
        <w:tc>
          <w:tcPr>
            <w:tcW w:w="1368" w:type="pct"/>
            <w:vAlign w:val="center"/>
          </w:tcPr>
          <w:p w14:paraId="1D3EABB2">
            <w:pPr>
              <w:spacing w:line="240" w:lineRule="auto"/>
              <w:ind w:firstLine="0" w:firstLineChars="0"/>
              <w:jc w:val="center"/>
              <w:rPr>
                <w:sz w:val="21"/>
                <w:szCs w:val="21"/>
                <w:highlight w:val="yellow"/>
                <w:u w:val="single"/>
              </w:rPr>
            </w:pPr>
            <w:r>
              <w:rPr>
                <w:rFonts w:hint="eastAsia"/>
                <w:spacing w:val="-11"/>
                <w:sz w:val="21"/>
                <w:szCs w:val="21"/>
                <w:u w:val="single"/>
              </w:rPr>
              <w:t>9</w:t>
            </w:r>
            <w:r>
              <w:rPr>
                <w:spacing w:val="-11"/>
                <w:sz w:val="21"/>
                <w:szCs w:val="21"/>
                <w:u w:val="single"/>
              </w:rPr>
              <w:t>8%</w:t>
            </w:r>
            <w:r>
              <w:rPr>
                <w:rFonts w:hint="eastAsia"/>
                <w:spacing w:val="-11"/>
                <w:sz w:val="21"/>
                <w:szCs w:val="21"/>
                <w:u w:val="single"/>
              </w:rPr>
              <w:t>，液态，吨桶</w:t>
            </w:r>
          </w:p>
        </w:tc>
        <w:tc>
          <w:tcPr>
            <w:tcW w:w="513" w:type="pct"/>
            <w:vAlign w:val="center"/>
          </w:tcPr>
          <w:p w14:paraId="1D3EABB3">
            <w:pPr>
              <w:spacing w:line="240" w:lineRule="auto"/>
              <w:ind w:firstLine="0" w:firstLineChars="0"/>
              <w:jc w:val="center"/>
              <w:rPr>
                <w:sz w:val="21"/>
                <w:szCs w:val="21"/>
                <w:highlight w:val="yellow"/>
                <w:u w:val="single"/>
              </w:rPr>
            </w:pPr>
            <w:r>
              <w:rPr>
                <w:rFonts w:hint="eastAsia"/>
                <w:sz w:val="21"/>
                <w:szCs w:val="21"/>
                <w:u w:val="single"/>
              </w:rPr>
              <w:t>1</w:t>
            </w:r>
          </w:p>
        </w:tc>
        <w:tc>
          <w:tcPr>
            <w:tcW w:w="567" w:type="pct"/>
            <w:vMerge w:val="continue"/>
            <w:vAlign w:val="center"/>
          </w:tcPr>
          <w:p w14:paraId="1D3EABB4">
            <w:pPr>
              <w:spacing w:line="240" w:lineRule="auto"/>
              <w:ind w:firstLine="0" w:firstLineChars="0"/>
              <w:jc w:val="center"/>
              <w:rPr>
                <w:sz w:val="21"/>
                <w:szCs w:val="21"/>
                <w:highlight w:val="yellow"/>
                <w:u w:val="single"/>
              </w:rPr>
            </w:pPr>
          </w:p>
        </w:tc>
        <w:tc>
          <w:tcPr>
            <w:tcW w:w="336" w:type="pct"/>
            <w:vAlign w:val="center"/>
          </w:tcPr>
          <w:p w14:paraId="1D3EABB5">
            <w:pPr>
              <w:spacing w:line="240" w:lineRule="auto"/>
              <w:ind w:firstLine="0" w:firstLineChars="0"/>
              <w:jc w:val="center"/>
              <w:rPr>
                <w:sz w:val="21"/>
                <w:szCs w:val="21"/>
                <w:u w:val="single"/>
              </w:rPr>
            </w:pPr>
            <w:r>
              <w:rPr>
                <w:rFonts w:hint="eastAsia"/>
                <w:sz w:val="21"/>
                <w:szCs w:val="21"/>
                <w:u w:val="single"/>
              </w:rPr>
              <w:t>外购</w:t>
            </w:r>
          </w:p>
        </w:tc>
      </w:tr>
      <w:tr w14:paraId="1D3EA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D3EABB7">
            <w:pPr>
              <w:spacing w:line="240" w:lineRule="auto"/>
              <w:ind w:firstLine="0" w:firstLineChars="0"/>
              <w:jc w:val="center"/>
              <w:rPr>
                <w:sz w:val="21"/>
                <w:szCs w:val="21"/>
                <w:u w:val="single"/>
              </w:rPr>
            </w:pPr>
            <w:r>
              <w:rPr>
                <w:sz w:val="21"/>
                <w:szCs w:val="21"/>
                <w:u w:val="single"/>
              </w:rPr>
              <w:t>4</w:t>
            </w:r>
          </w:p>
        </w:tc>
        <w:tc>
          <w:tcPr>
            <w:tcW w:w="1453" w:type="pct"/>
            <w:gridSpan w:val="2"/>
            <w:vAlign w:val="center"/>
          </w:tcPr>
          <w:p w14:paraId="1D3EABB8">
            <w:pPr>
              <w:spacing w:line="240" w:lineRule="auto"/>
              <w:ind w:firstLine="0" w:firstLineChars="0"/>
              <w:jc w:val="center"/>
              <w:rPr>
                <w:sz w:val="21"/>
                <w:szCs w:val="21"/>
                <w:u w:val="single"/>
              </w:rPr>
            </w:pPr>
            <w:r>
              <w:rPr>
                <w:rFonts w:hint="eastAsia"/>
                <w:sz w:val="21"/>
                <w:szCs w:val="21"/>
                <w:u w:val="single"/>
              </w:rPr>
              <w:t>小苏打（碳酸氢钠）</w:t>
            </w:r>
          </w:p>
        </w:tc>
        <w:tc>
          <w:tcPr>
            <w:tcW w:w="512" w:type="pct"/>
            <w:vAlign w:val="center"/>
          </w:tcPr>
          <w:p w14:paraId="1D3EABBA">
            <w:pPr>
              <w:spacing w:line="240" w:lineRule="auto"/>
              <w:ind w:firstLine="0" w:firstLineChars="0"/>
              <w:jc w:val="center"/>
              <w:rPr>
                <w:sz w:val="21"/>
                <w:szCs w:val="21"/>
                <w:highlight w:val="yellow"/>
                <w:u w:val="single"/>
              </w:rPr>
            </w:pPr>
            <w:r>
              <w:rPr>
                <w:rFonts w:hint="eastAsia"/>
                <w:sz w:val="21"/>
                <w:szCs w:val="21"/>
                <w:u w:val="single"/>
              </w:rPr>
              <w:t>25</w:t>
            </w:r>
          </w:p>
        </w:tc>
        <w:tc>
          <w:tcPr>
            <w:tcW w:w="1368" w:type="pct"/>
            <w:vAlign w:val="center"/>
          </w:tcPr>
          <w:p w14:paraId="1D3EABBB">
            <w:pPr>
              <w:spacing w:line="240" w:lineRule="auto"/>
              <w:ind w:firstLine="0" w:firstLineChars="0"/>
              <w:jc w:val="center"/>
              <w:rPr>
                <w:sz w:val="21"/>
                <w:szCs w:val="21"/>
                <w:u w:val="single"/>
              </w:rPr>
            </w:pPr>
            <w:r>
              <w:rPr>
                <w:rFonts w:hint="eastAsia"/>
                <w:sz w:val="21"/>
                <w:szCs w:val="21"/>
                <w:u w:val="single"/>
              </w:rPr>
              <w:t>食品级，粉状，2</w:t>
            </w:r>
            <w:r>
              <w:rPr>
                <w:sz w:val="21"/>
                <w:szCs w:val="21"/>
                <w:u w:val="single"/>
              </w:rPr>
              <w:t>5</w:t>
            </w:r>
            <w:r>
              <w:rPr>
                <w:rFonts w:hint="eastAsia"/>
                <w:sz w:val="21"/>
                <w:szCs w:val="21"/>
                <w:u w:val="single"/>
              </w:rPr>
              <w:t>kg/袋</w:t>
            </w:r>
          </w:p>
        </w:tc>
        <w:tc>
          <w:tcPr>
            <w:tcW w:w="513" w:type="pct"/>
            <w:vAlign w:val="center"/>
          </w:tcPr>
          <w:p w14:paraId="1D3EABBC">
            <w:pPr>
              <w:spacing w:line="240" w:lineRule="auto"/>
              <w:ind w:firstLine="0" w:firstLineChars="0"/>
              <w:jc w:val="center"/>
              <w:rPr>
                <w:sz w:val="21"/>
                <w:szCs w:val="21"/>
                <w:u w:val="single"/>
              </w:rPr>
            </w:pPr>
            <w:r>
              <w:rPr>
                <w:rFonts w:hint="eastAsia"/>
                <w:sz w:val="21"/>
                <w:szCs w:val="21"/>
                <w:u w:val="single"/>
              </w:rPr>
              <w:t>2</w:t>
            </w:r>
          </w:p>
        </w:tc>
        <w:tc>
          <w:tcPr>
            <w:tcW w:w="567" w:type="pct"/>
            <w:vMerge w:val="continue"/>
            <w:vAlign w:val="center"/>
          </w:tcPr>
          <w:p w14:paraId="1D3EABBD">
            <w:pPr>
              <w:spacing w:line="240" w:lineRule="auto"/>
              <w:ind w:firstLine="0" w:firstLineChars="0"/>
              <w:jc w:val="center"/>
              <w:rPr>
                <w:sz w:val="21"/>
                <w:szCs w:val="21"/>
                <w:highlight w:val="yellow"/>
                <w:u w:val="single"/>
              </w:rPr>
            </w:pPr>
          </w:p>
        </w:tc>
        <w:tc>
          <w:tcPr>
            <w:tcW w:w="336" w:type="pct"/>
            <w:vAlign w:val="center"/>
          </w:tcPr>
          <w:p w14:paraId="1D3EABBE">
            <w:pPr>
              <w:spacing w:line="240" w:lineRule="auto"/>
              <w:ind w:firstLine="0" w:firstLineChars="0"/>
              <w:jc w:val="center"/>
              <w:rPr>
                <w:sz w:val="21"/>
                <w:szCs w:val="21"/>
                <w:u w:val="single"/>
              </w:rPr>
            </w:pPr>
            <w:r>
              <w:rPr>
                <w:rFonts w:hint="eastAsia"/>
                <w:sz w:val="21"/>
                <w:szCs w:val="21"/>
                <w:u w:val="single"/>
              </w:rPr>
              <w:t>外购</w:t>
            </w:r>
          </w:p>
        </w:tc>
      </w:tr>
      <w:tr w14:paraId="03CDA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004E51B7">
            <w:pPr>
              <w:spacing w:line="240" w:lineRule="auto"/>
              <w:ind w:firstLine="0" w:firstLineChars="0"/>
              <w:jc w:val="center"/>
              <w:rPr>
                <w:sz w:val="21"/>
                <w:szCs w:val="21"/>
                <w:u w:val="single"/>
              </w:rPr>
            </w:pPr>
            <w:r>
              <w:rPr>
                <w:sz w:val="21"/>
                <w:szCs w:val="21"/>
                <w:u w:val="single"/>
              </w:rPr>
              <w:t>5</w:t>
            </w:r>
          </w:p>
        </w:tc>
        <w:tc>
          <w:tcPr>
            <w:tcW w:w="1453" w:type="pct"/>
            <w:gridSpan w:val="2"/>
            <w:vAlign w:val="center"/>
          </w:tcPr>
          <w:p w14:paraId="57A188C2">
            <w:pPr>
              <w:spacing w:line="240" w:lineRule="auto"/>
              <w:ind w:firstLine="0" w:firstLineChars="0"/>
              <w:jc w:val="center"/>
              <w:rPr>
                <w:sz w:val="21"/>
                <w:szCs w:val="21"/>
                <w:u w:val="single"/>
              </w:rPr>
            </w:pPr>
            <w:r>
              <w:rPr>
                <w:rFonts w:hint="eastAsia"/>
                <w:sz w:val="21"/>
                <w:szCs w:val="21"/>
                <w:u w:val="single"/>
              </w:rPr>
              <w:t>椰壳活性炭</w:t>
            </w:r>
          </w:p>
        </w:tc>
        <w:tc>
          <w:tcPr>
            <w:tcW w:w="512" w:type="pct"/>
            <w:vAlign w:val="center"/>
          </w:tcPr>
          <w:p w14:paraId="6B086BEB">
            <w:pPr>
              <w:spacing w:line="240" w:lineRule="auto"/>
              <w:ind w:firstLine="0" w:firstLineChars="0"/>
              <w:jc w:val="center"/>
              <w:rPr>
                <w:sz w:val="21"/>
                <w:szCs w:val="21"/>
                <w:highlight w:val="yellow"/>
                <w:u w:val="single"/>
              </w:rPr>
            </w:pPr>
            <w:r>
              <w:rPr>
                <w:rFonts w:hint="eastAsia"/>
                <w:sz w:val="21"/>
                <w:szCs w:val="21"/>
                <w:u w:val="single"/>
              </w:rPr>
              <w:t>25</w:t>
            </w:r>
          </w:p>
        </w:tc>
        <w:tc>
          <w:tcPr>
            <w:tcW w:w="1368" w:type="pct"/>
            <w:vAlign w:val="center"/>
          </w:tcPr>
          <w:p w14:paraId="3D20FEBF">
            <w:pPr>
              <w:spacing w:line="240" w:lineRule="auto"/>
              <w:ind w:firstLine="0" w:firstLineChars="0"/>
              <w:jc w:val="center"/>
              <w:rPr>
                <w:sz w:val="21"/>
                <w:szCs w:val="21"/>
                <w:u w:val="single"/>
              </w:rPr>
            </w:pPr>
            <w:r>
              <w:rPr>
                <w:rFonts w:hint="eastAsia"/>
                <w:sz w:val="21"/>
                <w:szCs w:val="21"/>
                <w:u w:val="single"/>
              </w:rPr>
              <w:t>粒状，2</w:t>
            </w:r>
            <w:r>
              <w:rPr>
                <w:sz w:val="21"/>
                <w:szCs w:val="21"/>
                <w:u w:val="single"/>
              </w:rPr>
              <w:t>5</w:t>
            </w:r>
            <w:r>
              <w:rPr>
                <w:rFonts w:hint="eastAsia"/>
                <w:sz w:val="21"/>
                <w:szCs w:val="21"/>
                <w:u w:val="single"/>
              </w:rPr>
              <w:t>kg/袋</w:t>
            </w:r>
          </w:p>
        </w:tc>
        <w:tc>
          <w:tcPr>
            <w:tcW w:w="513" w:type="pct"/>
            <w:vAlign w:val="center"/>
          </w:tcPr>
          <w:p w14:paraId="35D9C047">
            <w:pPr>
              <w:spacing w:line="240" w:lineRule="auto"/>
              <w:ind w:firstLine="0" w:firstLineChars="0"/>
              <w:jc w:val="center"/>
              <w:rPr>
                <w:sz w:val="21"/>
                <w:szCs w:val="21"/>
                <w:u w:val="single"/>
              </w:rPr>
            </w:pPr>
            <w:r>
              <w:rPr>
                <w:rFonts w:hint="eastAsia"/>
                <w:sz w:val="21"/>
                <w:szCs w:val="21"/>
                <w:u w:val="single"/>
              </w:rPr>
              <w:t>2</w:t>
            </w:r>
          </w:p>
        </w:tc>
        <w:tc>
          <w:tcPr>
            <w:tcW w:w="567" w:type="pct"/>
            <w:vMerge w:val="continue"/>
            <w:vAlign w:val="center"/>
          </w:tcPr>
          <w:p w14:paraId="7DB223EE">
            <w:pPr>
              <w:spacing w:line="240" w:lineRule="auto"/>
              <w:ind w:firstLine="0" w:firstLineChars="0"/>
              <w:jc w:val="center"/>
              <w:rPr>
                <w:sz w:val="21"/>
                <w:szCs w:val="21"/>
                <w:highlight w:val="yellow"/>
                <w:u w:val="single"/>
              </w:rPr>
            </w:pPr>
          </w:p>
        </w:tc>
        <w:tc>
          <w:tcPr>
            <w:tcW w:w="336" w:type="pct"/>
            <w:vAlign w:val="center"/>
          </w:tcPr>
          <w:p w14:paraId="36194DE2">
            <w:pPr>
              <w:spacing w:line="240" w:lineRule="auto"/>
              <w:ind w:firstLine="0" w:firstLineChars="0"/>
              <w:jc w:val="center"/>
              <w:rPr>
                <w:sz w:val="21"/>
                <w:szCs w:val="21"/>
                <w:highlight w:val="yellow"/>
                <w:u w:val="single"/>
              </w:rPr>
            </w:pPr>
            <w:r>
              <w:rPr>
                <w:rFonts w:hint="eastAsia"/>
                <w:sz w:val="21"/>
                <w:szCs w:val="21"/>
                <w:u w:val="single"/>
              </w:rPr>
              <w:t>外购</w:t>
            </w:r>
          </w:p>
        </w:tc>
      </w:tr>
      <w:tr w14:paraId="05CF6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Merge w:val="restart"/>
            <w:vAlign w:val="center"/>
          </w:tcPr>
          <w:p w14:paraId="3F2A7B5A">
            <w:pPr>
              <w:spacing w:line="240" w:lineRule="auto"/>
              <w:ind w:firstLine="0" w:firstLineChars="0"/>
              <w:jc w:val="center"/>
              <w:rPr>
                <w:sz w:val="21"/>
                <w:szCs w:val="21"/>
                <w:u w:val="single"/>
              </w:rPr>
            </w:pPr>
            <w:r>
              <w:rPr>
                <w:sz w:val="21"/>
                <w:szCs w:val="21"/>
                <w:u w:val="single"/>
              </w:rPr>
              <w:t>6</w:t>
            </w:r>
          </w:p>
        </w:tc>
        <w:tc>
          <w:tcPr>
            <w:tcW w:w="281" w:type="pct"/>
            <w:vMerge w:val="restart"/>
            <w:vAlign w:val="center"/>
          </w:tcPr>
          <w:p w14:paraId="39BA3B78">
            <w:pPr>
              <w:spacing w:line="240" w:lineRule="auto"/>
              <w:ind w:firstLine="0" w:firstLineChars="0"/>
              <w:jc w:val="center"/>
              <w:rPr>
                <w:sz w:val="21"/>
                <w:szCs w:val="21"/>
                <w:u w:val="single"/>
              </w:rPr>
            </w:pPr>
            <w:r>
              <w:rPr>
                <w:rFonts w:hint="eastAsia"/>
                <w:sz w:val="21"/>
                <w:szCs w:val="21"/>
                <w:u w:val="single"/>
              </w:rPr>
              <w:t>封端聚醚</w:t>
            </w:r>
          </w:p>
        </w:tc>
        <w:tc>
          <w:tcPr>
            <w:tcW w:w="1172" w:type="pct"/>
            <w:vAlign w:val="center"/>
          </w:tcPr>
          <w:p w14:paraId="5BCB05FC">
            <w:pPr>
              <w:spacing w:line="240" w:lineRule="auto"/>
              <w:ind w:firstLine="0" w:firstLineChars="0"/>
              <w:jc w:val="center"/>
              <w:rPr>
                <w:sz w:val="21"/>
                <w:szCs w:val="21"/>
                <w:u w:val="single"/>
              </w:rPr>
            </w:pPr>
            <w:r>
              <w:rPr>
                <w:rFonts w:hint="eastAsia"/>
                <w:sz w:val="21"/>
                <w:szCs w:val="21"/>
                <w:u w:val="single"/>
              </w:rPr>
              <w:t>烯丙醇聚醚乙酰基封端（H</w:t>
            </w:r>
            <w:r>
              <w:rPr>
                <w:sz w:val="21"/>
                <w:szCs w:val="21"/>
                <w:u w:val="single"/>
              </w:rPr>
              <w:t>MS-218M</w:t>
            </w:r>
            <w:r>
              <w:rPr>
                <w:rFonts w:hint="eastAsia"/>
                <w:sz w:val="21"/>
                <w:szCs w:val="21"/>
                <w:u w:val="single"/>
              </w:rPr>
              <w:t>）</w:t>
            </w:r>
          </w:p>
        </w:tc>
        <w:tc>
          <w:tcPr>
            <w:tcW w:w="512" w:type="pct"/>
            <w:vAlign w:val="center"/>
          </w:tcPr>
          <w:p w14:paraId="16B169AB">
            <w:pPr>
              <w:spacing w:line="240" w:lineRule="auto"/>
              <w:ind w:firstLine="0" w:firstLineChars="0"/>
              <w:jc w:val="center"/>
              <w:rPr>
                <w:sz w:val="21"/>
                <w:szCs w:val="21"/>
                <w:u w:val="single"/>
              </w:rPr>
            </w:pPr>
            <w:r>
              <w:rPr>
                <w:rFonts w:hint="eastAsia"/>
                <w:sz w:val="21"/>
                <w:szCs w:val="21"/>
                <w:u w:val="single"/>
              </w:rPr>
              <w:t>3522.44</w:t>
            </w:r>
          </w:p>
        </w:tc>
        <w:tc>
          <w:tcPr>
            <w:tcW w:w="1368" w:type="pct"/>
            <w:vAlign w:val="center"/>
          </w:tcPr>
          <w:p w14:paraId="2F2F85C9">
            <w:pPr>
              <w:spacing w:line="240" w:lineRule="auto"/>
              <w:ind w:firstLine="0" w:firstLineChars="0"/>
              <w:jc w:val="center"/>
              <w:rPr>
                <w:sz w:val="21"/>
                <w:szCs w:val="21"/>
                <w:u w:val="single"/>
              </w:rPr>
            </w:pPr>
            <w:r>
              <w:rPr>
                <w:spacing w:val="-11"/>
                <w:sz w:val="21"/>
                <w:szCs w:val="21"/>
                <w:u w:val="single"/>
              </w:rPr>
              <w:t>99.8%</w:t>
            </w:r>
            <w:r>
              <w:rPr>
                <w:rFonts w:hint="eastAsia"/>
                <w:spacing w:val="-11"/>
                <w:sz w:val="21"/>
                <w:szCs w:val="21"/>
                <w:u w:val="single"/>
              </w:rPr>
              <w:t>，液态，吨桶</w:t>
            </w:r>
          </w:p>
        </w:tc>
        <w:tc>
          <w:tcPr>
            <w:tcW w:w="513" w:type="pct"/>
            <w:vAlign w:val="center"/>
          </w:tcPr>
          <w:p w14:paraId="4D2C407E">
            <w:pPr>
              <w:spacing w:line="240" w:lineRule="auto"/>
              <w:ind w:firstLine="0" w:firstLineChars="0"/>
              <w:jc w:val="center"/>
              <w:rPr>
                <w:sz w:val="21"/>
                <w:szCs w:val="21"/>
                <w:u w:val="single"/>
              </w:rPr>
            </w:pPr>
            <w:r>
              <w:rPr>
                <w:rFonts w:hint="eastAsia"/>
                <w:sz w:val="21"/>
                <w:szCs w:val="21"/>
                <w:u w:val="single"/>
              </w:rPr>
              <w:t>80</w:t>
            </w:r>
          </w:p>
        </w:tc>
        <w:tc>
          <w:tcPr>
            <w:tcW w:w="567" w:type="pct"/>
            <w:vMerge w:val="continue"/>
            <w:vAlign w:val="center"/>
          </w:tcPr>
          <w:p w14:paraId="35B2FEC3">
            <w:pPr>
              <w:spacing w:line="240" w:lineRule="auto"/>
              <w:ind w:firstLine="0" w:firstLineChars="0"/>
              <w:jc w:val="center"/>
              <w:rPr>
                <w:sz w:val="21"/>
                <w:szCs w:val="21"/>
                <w:highlight w:val="yellow"/>
                <w:u w:val="single"/>
              </w:rPr>
            </w:pPr>
          </w:p>
        </w:tc>
        <w:tc>
          <w:tcPr>
            <w:tcW w:w="336" w:type="pct"/>
            <w:vAlign w:val="center"/>
          </w:tcPr>
          <w:p w14:paraId="2EE44247">
            <w:pPr>
              <w:spacing w:line="240" w:lineRule="auto"/>
              <w:ind w:firstLine="0" w:firstLineChars="0"/>
              <w:jc w:val="center"/>
              <w:rPr>
                <w:sz w:val="21"/>
                <w:szCs w:val="21"/>
                <w:highlight w:val="yellow"/>
                <w:u w:val="single"/>
              </w:rPr>
            </w:pPr>
            <w:r>
              <w:rPr>
                <w:rFonts w:hint="eastAsia"/>
                <w:sz w:val="21"/>
                <w:szCs w:val="21"/>
                <w:u w:val="single"/>
              </w:rPr>
              <w:t>外购</w:t>
            </w:r>
          </w:p>
        </w:tc>
      </w:tr>
      <w:tr w14:paraId="26084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Merge w:val="continue"/>
            <w:vAlign w:val="center"/>
          </w:tcPr>
          <w:p w14:paraId="210786E0">
            <w:pPr>
              <w:spacing w:line="240" w:lineRule="auto"/>
              <w:ind w:firstLine="0" w:firstLineChars="0"/>
              <w:jc w:val="center"/>
              <w:rPr>
                <w:sz w:val="21"/>
                <w:szCs w:val="21"/>
                <w:u w:val="single"/>
              </w:rPr>
            </w:pPr>
          </w:p>
        </w:tc>
        <w:tc>
          <w:tcPr>
            <w:tcW w:w="281" w:type="pct"/>
            <w:vMerge w:val="continue"/>
            <w:vAlign w:val="center"/>
          </w:tcPr>
          <w:p w14:paraId="61470479">
            <w:pPr>
              <w:spacing w:line="240" w:lineRule="auto"/>
              <w:ind w:firstLine="0" w:firstLineChars="0"/>
              <w:jc w:val="center"/>
              <w:rPr>
                <w:sz w:val="21"/>
                <w:szCs w:val="21"/>
                <w:u w:val="single"/>
              </w:rPr>
            </w:pPr>
          </w:p>
        </w:tc>
        <w:tc>
          <w:tcPr>
            <w:tcW w:w="1172" w:type="pct"/>
            <w:vAlign w:val="center"/>
          </w:tcPr>
          <w:p w14:paraId="38CDF94C">
            <w:pPr>
              <w:spacing w:line="240" w:lineRule="auto"/>
              <w:ind w:firstLine="0" w:firstLineChars="0"/>
              <w:jc w:val="center"/>
              <w:rPr>
                <w:sz w:val="21"/>
                <w:szCs w:val="21"/>
                <w:u w:val="single"/>
              </w:rPr>
            </w:pPr>
            <w:r>
              <w:rPr>
                <w:rFonts w:hint="eastAsia"/>
                <w:sz w:val="21"/>
                <w:szCs w:val="21"/>
                <w:u w:val="single"/>
              </w:rPr>
              <w:t>烯丙醇聚氧乙醚乙酰基封端（H</w:t>
            </w:r>
            <w:r>
              <w:rPr>
                <w:sz w:val="21"/>
                <w:szCs w:val="21"/>
                <w:u w:val="single"/>
              </w:rPr>
              <w:t>MS-215M</w:t>
            </w:r>
            <w:r>
              <w:rPr>
                <w:rFonts w:hint="eastAsia"/>
                <w:sz w:val="21"/>
                <w:szCs w:val="21"/>
                <w:u w:val="single"/>
              </w:rPr>
              <w:t>）</w:t>
            </w:r>
          </w:p>
        </w:tc>
        <w:tc>
          <w:tcPr>
            <w:tcW w:w="512" w:type="pct"/>
            <w:vAlign w:val="center"/>
          </w:tcPr>
          <w:p w14:paraId="50E19BBF">
            <w:pPr>
              <w:spacing w:line="240" w:lineRule="auto"/>
              <w:ind w:firstLine="0" w:firstLineChars="0"/>
              <w:jc w:val="center"/>
              <w:rPr>
                <w:sz w:val="21"/>
                <w:szCs w:val="21"/>
                <w:u w:val="single"/>
              </w:rPr>
            </w:pPr>
            <w:r>
              <w:rPr>
                <w:rFonts w:hint="eastAsia"/>
                <w:sz w:val="21"/>
                <w:szCs w:val="21"/>
                <w:u w:val="single"/>
              </w:rPr>
              <w:t>761.385</w:t>
            </w:r>
          </w:p>
        </w:tc>
        <w:tc>
          <w:tcPr>
            <w:tcW w:w="1368" w:type="pct"/>
            <w:vAlign w:val="center"/>
          </w:tcPr>
          <w:p w14:paraId="7A20BEA2">
            <w:pPr>
              <w:spacing w:line="240" w:lineRule="auto"/>
              <w:ind w:firstLine="0" w:firstLineChars="0"/>
              <w:jc w:val="center"/>
              <w:rPr>
                <w:spacing w:val="-11"/>
                <w:sz w:val="21"/>
                <w:szCs w:val="21"/>
                <w:u w:val="single"/>
              </w:rPr>
            </w:pPr>
            <w:r>
              <w:rPr>
                <w:spacing w:val="-11"/>
                <w:sz w:val="21"/>
                <w:szCs w:val="21"/>
                <w:u w:val="single"/>
              </w:rPr>
              <w:t>99.8%</w:t>
            </w:r>
            <w:r>
              <w:rPr>
                <w:rFonts w:hint="eastAsia"/>
                <w:spacing w:val="-11"/>
                <w:sz w:val="21"/>
                <w:szCs w:val="21"/>
                <w:u w:val="single"/>
              </w:rPr>
              <w:t>，液态，吨桶</w:t>
            </w:r>
          </w:p>
        </w:tc>
        <w:tc>
          <w:tcPr>
            <w:tcW w:w="513" w:type="pct"/>
            <w:vAlign w:val="center"/>
          </w:tcPr>
          <w:p w14:paraId="553E3B4B">
            <w:pPr>
              <w:spacing w:line="240" w:lineRule="auto"/>
              <w:ind w:firstLine="0" w:firstLineChars="0"/>
              <w:jc w:val="center"/>
              <w:rPr>
                <w:sz w:val="21"/>
                <w:szCs w:val="21"/>
                <w:u w:val="single"/>
              </w:rPr>
            </w:pPr>
            <w:r>
              <w:rPr>
                <w:rFonts w:hint="eastAsia"/>
                <w:sz w:val="21"/>
                <w:szCs w:val="21"/>
                <w:u w:val="single"/>
              </w:rPr>
              <w:t>20</w:t>
            </w:r>
          </w:p>
        </w:tc>
        <w:tc>
          <w:tcPr>
            <w:tcW w:w="567" w:type="pct"/>
            <w:vMerge w:val="continue"/>
            <w:vAlign w:val="center"/>
          </w:tcPr>
          <w:p w14:paraId="4F75A28F">
            <w:pPr>
              <w:spacing w:line="240" w:lineRule="auto"/>
              <w:ind w:firstLine="0" w:firstLineChars="0"/>
              <w:jc w:val="center"/>
              <w:rPr>
                <w:sz w:val="21"/>
                <w:szCs w:val="21"/>
                <w:highlight w:val="yellow"/>
                <w:u w:val="single"/>
              </w:rPr>
            </w:pPr>
          </w:p>
        </w:tc>
        <w:tc>
          <w:tcPr>
            <w:tcW w:w="336" w:type="pct"/>
            <w:vAlign w:val="center"/>
          </w:tcPr>
          <w:p w14:paraId="6EEA1A85">
            <w:pPr>
              <w:spacing w:line="240" w:lineRule="auto"/>
              <w:ind w:firstLine="0" w:firstLineChars="0"/>
              <w:jc w:val="center"/>
              <w:rPr>
                <w:sz w:val="21"/>
                <w:szCs w:val="21"/>
                <w:highlight w:val="yellow"/>
                <w:u w:val="single"/>
              </w:rPr>
            </w:pPr>
            <w:r>
              <w:rPr>
                <w:rFonts w:hint="eastAsia"/>
                <w:sz w:val="21"/>
                <w:szCs w:val="21"/>
                <w:u w:val="single"/>
              </w:rPr>
              <w:t>外购</w:t>
            </w:r>
          </w:p>
        </w:tc>
      </w:tr>
      <w:tr w14:paraId="0B7E9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Merge w:val="continue"/>
            <w:vAlign w:val="center"/>
          </w:tcPr>
          <w:p w14:paraId="5B16CE7C">
            <w:pPr>
              <w:spacing w:line="240" w:lineRule="auto"/>
              <w:ind w:firstLine="0" w:firstLineChars="0"/>
              <w:jc w:val="center"/>
              <w:rPr>
                <w:sz w:val="21"/>
                <w:szCs w:val="21"/>
                <w:u w:val="single"/>
              </w:rPr>
            </w:pPr>
          </w:p>
        </w:tc>
        <w:tc>
          <w:tcPr>
            <w:tcW w:w="281" w:type="pct"/>
            <w:vMerge w:val="continue"/>
            <w:vAlign w:val="center"/>
          </w:tcPr>
          <w:p w14:paraId="0A8F2ED9">
            <w:pPr>
              <w:spacing w:line="240" w:lineRule="auto"/>
              <w:ind w:firstLine="0" w:firstLineChars="0"/>
              <w:jc w:val="center"/>
              <w:rPr>
                <w:sz w:val="21"/>
                <w:szCs w:val="21"/>
                <w:u w:val="single"/>
              </w:rPr>
            </w:pPr>
          </w:p>
        </w:tc>
        <w:tc>
          <w:tcPr>
            <w:tcW w:w="1172" w:type="pct"/>
            <w:vAlign w:val="center"/>
          </w:tcPr>
          <w:p w14:paraId="14FC53CD">
            <w:pPr>
              <w:spacing w:line="240" w:lineRule="auto"/>
              <w:ind w:firstLine="0" w:firstLineChars="0"/>
              <w:jc w:val="center"/>
              <w:rPr>
                <w:sz w:val="21"/>
                <w:szCs w:val="21"/>
                <w:u w:val="single"/>
              </w:rPr>
            </w:pPr>
            <w:r>
              <w:rPr>
                <w:rFonts w:hint="eastAsia"/>
                <w:sz w:val="21"/>
                <w:szCs w:val="21"/>
                <w:u w:val="single"/>
              </w:rPr>
              <w:t>烯丙醇聚氧乙烯醚乙酰基封端（H</w:t>
            </w:r>
            <w:r>
              <w:rPr>
                <w:sz w:val="21"/>
                <w:szCs w:val="21"/>
                <w:u w:val="single"/>
              </w:rPr>
              <w:t>MS-222M</w:t>
            </w:r>
            <w:r>
              <w:rPr>
                <w:rFonts w:hint="eastAsia"/>
                <w:sz w:val="21"/>
                <w:szCs w:val="21"/>
                <w:u w:val="single"/>
              </w:rPr>
              <w:t>）</w:t>
            </w:r>
          </w:p>
        </w:tc>
        <w:tc>
          <w:tcPr>
            <w:tcW w:w="512" w:type="pct"/>
            <w:vAlign w:val="center"/>
          </w:tcPr>
          <w:p w14:paraId="2F279067">
            <w:pPr>
              <w:spacing w:line="240" w:lineRule="auto"/>
              <w:ind w:firstLine="0" w:firstLineChars="0"/>
              <w:jc w:val="center"/>
              <w:rPr>
                <w:sz w:val="21"/>
                <w:szCs w:val="21"/>
                <w:u w:val="single"/>
              </w:rPr>
            </w:pPr>
            <w:r>
              <w:rPr>
                <w:rFonts w:hint="eastAsia"/>
                <w:sz w:val="21"/>
                <w:szCs w:val="21"/>
                <w:u w:val="single"/>
              </w:rPr>
              <w:t>761.3225</w:t>
            </w:r>
          </w:p>
        </w:tc>
        <w:tc>
          <w:tcPr>
            <w:tcW w:w="1368" w:type="pct"/>
            <w:vAlign w:val="center"/>
          </w:tcPr>
          <w:p w14:paraId="1BDB8A59">
            <w:pPr>
              <w:spacing w:line="240" w:lineRule="auto"/>
              <w:ind w:firstLine="0" w:firstLineChars="0"/>
              <w:jc w:val="center"/>
              <w:rPr>
                <w:spacing w:val="-11"/>
                <w:sz w:val="21"/>
                <w:szCs w:val="21"/>
                <w:u w:val="single"/>
              </w:rPr>
            </w:pPr>
            <w:r>
              <w:rPr>
                <w:spacing w:val="-11"/>
                <w:sz w:val="21"/>
                <w:szCs w:val="21"/>
                <w:u w:val="single"/>
              </w:rPr>
              <w:t>99.8%</w:t>
            </w:r>
            <w:r>
              <w:rPr>
                <w:rFonts w:hint="eastAsia"/>
                <w:spacing w:val="-11"/>
                <w:sz w:val="21"/>
                <w:szCs w:val="21"/>
                <w:u w:val="single"/>
              </w:rPr>
              <w:t>，液态，吨桶</w:t>
            </w:r>
          </w:p>
        </w:tc>
        <w:tc>
          <w:tcPr>
            <w:tcW w:w="513" w:type="pct"/>
            <w:vAlign w:val="center"/>
          </w:tcPr>
          <w:p w14:paraId="50574462">
            <w:pPr>
              <w:spacing w:line="240" w:lineRule="auto"/>
              <w:ind w:firstLine="0" w:firstLineChars="0"/>
              <w:jc w:val="center"/>
              <w:rPr>
                <w:sz w:val="21"/>
                <w:szCs w:val="21"/>
                <w:u w:val="single"/>
              </w:rPr>
            </w:pPr>
            <w:r>
              <w:rPr>
                <w:rFonts w:hint="eastAsia"/>
                <w:sz w:val="21"/>
                <w:szCs w:val="21"/>
                <w:u w:val="single"/>
              </w:rPr>
              <w:t>20</w:t>
            </w:r>
          </w:p>
        </w:tc>
        <w:tc>
          <w:tcPr>
            <w:tcW w:w="567" w:type="pct"/>
            <w:vMerge w:val="continue"/>
            <w:vAlign w:val="center"/>
          </w:tcPr>
          <w:p w14:paraId="3EE74B74">
            <w:pPr>
              <w:spacing w:line="240" w:lineRule="auto"/>
              <w:ind w:firstLine="0" w:firstLineChars="0"/>
              <w:jc w:val="center"/>
              <w:rPr>
                <w:sz w:val="21"/>
                <w:szCs w:val="21"/>
                <w:highlight w:val="yellow"/>
                <w:u w:val="single"/>
              </w:rPr>
            </w:pPr>
          </w:p>
        </w:tc>
        <w:tc>
          <w:tcPr>
            <w:tcW w:w="336" w:type="pct"/>
            <w:vAlign w:val="center"/>
          </w:tcPr>
          <w:p w14:paraId="4A46718A">
            <w:pPr>
              <w:spacing w:line="240" w:lineRule="auto"/>
              <w:ind w:firstLine="0" w:firstLineChars="0"/>
              <w:jc w:val="center"/>
              <w:rPr>
                <w:sz w:val="21"/>
                <w:szCs w:val="21"/>
                <w:highlight w:val="yellow"/>
                <w:u w:val="single"/>
              </w:rPr>
            </w:pPr>
            <w:r>
              <w:rPr>
                <w:rFonts w:hint="eastAsia"/>
                <w:sz w:val="21"/>
                <w:szCs w:val="21"/>
                <w:u w:val="single"/>
              </w:rPr>
              <w:t>外购</w:t>
            </w:r>
          </w:p>
        </w:tc>
      </w:tr>
      <w:tr w14:paraId="7EDA4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409C0D61">
            <w:pPr>
              <w:spacing w:line="240" w:lineRule="auto"/>
              <w:ind w:firstLine="0" w:firstLineChars="0"/>
              <w:jc w:val="center"/>
              <w:rPr>
                <w:sz w:val="21"/>
                <w:szCs w:val="21"/>
                <w:u w:val="single"/>
              </w:rPr>
            </w:pPr>
            <w:r>
              <w:rPr>
                <w:sz w:val="21"/>
                <w:szCs w:val="21"/>
                <w:u w:val="single"/>
              </w:rPr>
              <w:t>7</w:t>
            </w:r>
          </w:p>
        </w:tc>
        <w:tc>
          <w:tcPr>
            <w:tcW w:w="1453" w:type="pct"/>
            <w:gridSpan w:val="2"/>
            <w:vAlign w:val="center"/>
          </w:tcPr>
          <w:p w14:paraId="3DBA19E8">
            <w:pPr>
              <w:spacing w:line="240" w:lineRule="auto"/>
              <w:ind w:firstLine="0" w:firstLineChars="0"/>
              <w:jc w:val="center"/>
              <w:rPr>
                <w:sz w:val="21"/>
                <w:szCs w:val="21"/>
                <w:u w:val="single"/>
              </w:rPr>
            </w:pPr>
            <w:r>
              <w:rPr>
                <w:rFonts w:hint="eastAsia"/>
                <w:sz w:val="21"/>
                <w:szCs w:val="21"/>
                <w:u w:val="single"/>
              </w:rPr>
              <w:t>氯铂酸</w:t>
            </w:r>
          </w:p>
        </w:tc>
        <w:tc>
          <w:tcPr>
            <w:tcW w:w="512" w:type="pct"/>
            <w:vAlign w:val="center"/>
          </w:tcPr>
          <w:p w14:paraId="2780A0B1">
            <w:pPr>
              <w:spacing w:line="240" w:lineRule="auto"/>
              <w:ind w:firstLine="0" w:firstLineChars="0"/>
              <w:jc w:val="center"/>
              <w:rPr>
                <w:sz w:val="21"/>
                <w:szCs w:val="21"/>
                <w:highlight w:val="yellow"/>
                <w:u w:val="single"/>
              </w:rPr>
            </w:pPr>
            <w:r>
              <w:rPr>
                <w:rFonts w:hint="eastAsia"/>
                <w:sz w:val="21"/>
                <w:szCs w:val="21"/>
                <w:u w:val="single"/>
              </w:rPr>
              <w:t>0.025</w:t>
            </w:r>
          </w:p>
        </w:tc>
        <w:tc>
          <w:tcPr>
            <w:tcW w:w="1368" w:type="pct"/>
            <w:vAlign w:val="center"/>
          </w:tcPr>
          <w:p w14:paraId="0CA15DC0">
            <w:pPr>
              <w:spacing w:line="240" w:lineRule="auto"/>
              <w:ind w:firstLine="0" w:firstLineChars="0"/>
              <w:jc w:val="center"/>
              <w:rPr>
                <w:sz w:val="21"/>
                <w:szCs w:val="21"/>
                <w:u w:val="single"/>
              </w:rPr>
            </w:pPr>
            <w:r>
              <w:rPr>
                <w:spacing w:val="-11"/>
                <w:sz w:val="21"/>
                <w:szCs w:val="21"/>
                <w:u w:val="single"/>
              </w:rPr>
              <w:t>99.95%</w:t>
            </w:r>
            <w:r>
              <w:rPr>
                <w:rFonts w:hint="eastAsia"/>
                <w:spacing w:val="-11"/>
                <w:sz w:val="21"/>
                <w:szCs w:val="21"/>
                <w:u w:val="single"/>
              </w:rPr>
              <w:t>，颗粒，5</w:t>
            </w:r>
            <w:r>
              <w:rPr>
                <w:spacing w:val="-11"/>
                <w:sz w:val="21"/>
                <w:szCs w:val="21"/>
                <w:u w:val="single"/>
              </w:rPr>
              <w:t>00g/</w:t>
            </w:r>
            <w:r>
              <w:rPr>
                <w:rFonts w:hint="eastAsia"/>
                <w:spacing w:val="-11"/>
                <w:sz w:val="21"/>
                <w:szCs w:val="21"/>
                <w:u w:val="single"/>
              </w:rPr>
              <w:t>瓶</w:t>
            </w:r>
          </w:p>
        </w:tc>
        <w:tc>
          <w:tcPr>
            <w:tcW w:w="513" w:type="pct"/>
            <w:vAlign w:val="center"/>
          </w:tcPr>
          <w:p w14:paraId="2596521D">
            <w:pPr>
              <w:spacing w:line="240" w:lineRule="auto"/>
              <w:ind w:firstLine="0" w:firstLineChars="0"/>
              <w:jc w:val="center"/>
              <w:rPr>
                <w:sz w:val="21"/>
                <w:szCs w:val="21"/>
                <w:u w:val="single"/>
              </w:rPr>
            </w:pPr>
            <w:r>
              <w:rPr>
                <w:rFonts w:hint="eastAsia"/>
                <w:sz w:val="21"/>
                <w:szCs w:val="21"/>
                <w:u w:val="single"/>
              </w:rPr>
              <w:t>0.05</w:t>
            </w:r>
          </w:p>
        </w:tc>
        <w:tc>
          <w:tcPr>
            <w:tcW w:w="567" w:type="pct"/>
            <w:vMerge w:val="continue"/>
            <w:vAlign w:val="center"/>
          </w:tcPr>
          <w:p w14:paraId="12D8E154">
            <w:pPr>
              <w:spacing w:line="240" w:lineRule="auto"/>
              <w:ind w:firstLine="0" w:firstLineChars="0"/>
              <w:jc w:val="center"/>
              <w:rPr>
                <w:sz w:val="21"/>
                <w:szCs w:val="21"/>
                <w:highlight w:val="yellow"/>
                <w:u w:val="single"/>
              </w:rPr>
            </w:pPr>
          </w:p>
        </w:tc>
        <w:tc>
          <w:tcPr>
            <w:tcW w:w="336" w:type="pct"/>
            <w:vAlign w:val="center"/>
          </w:tcPr>
          <w:p w14:paraId="25490F3C">
            <w:pPr>
              <w:spacing w:line="240" w:lineRule="auto"/>
              <w:ind w:firstLine="0" w:firstLineChars="0"/>
              <w:jc w:val="center"/>
              <w:rPr>
                <w:sz w:val="21"/>
                <w:szCs w:val="21"/>
                <w:highlight w:val="yellow"/>
                <w:u w:val="single"/>
              </w:rPr>
            </w:pPr>
            <w:r>
              <w:rPr>
                <w:rFonts w:hint="eastAsia"/>
                <w:sz w:val="21"/>
                <w:szCs w:val="21"/>
                <w:u w:val="single"/>
              </w:rPr>
              <w:t>外购</w:t>
            </w:r>
          </w:p>
        </w:tc>
      </w:tr>
      <w:tr w14:paraId="5D5F1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251" w:type="pct"/>
            <w:vAlign w:val="center"/>
          </w:tcPr>
          <w:p w14:paraId="468CA412">
            <w:pPr>
              <w:spacing w:line="240" w:lineRule="auto"/>
              <w:ind w:firstLine="0" w:firstLineChars="0"/>
              <w:jc w:val="center"/>
              <w:rPr>
                <w:sz w:val="21"/>
                <w:szCs w:val="21"/>
                <w:u w:val="single"/>
              </w:rPr>
            </w:pPr>
            <w:r>
              <w:rPr>
                <w:rFonts w:hint="eastAsia"/>
                <w:sz w:val="21"/>
                <w:szCs w:val="21"/>
                <w:u w:val="single"/>
              </w:rPr>
              <w:t>8</w:t>
            </w:r>
          </w:p>
        </w:tc>
        <w:tc>
          <w:tcPr>
            <w:tcW w:w="1453" w:type="pct"/>
            <w:gridSpan w:val="2"/>
            <w:vAlign w:val="center"/>
          </w:tcPr>
          <w:p w14:paraId="1C7F282C">
            <w:pPr>
              <w:spacing w:line="240" w:lineRule="auto"/>
              <w:ind w:firstLine="0" w:firstLineChars="0"/>
              <w:jc w:val="center"/>
              <w:rPr>
                <w:sz w:val="21"/>
                <w:szCs w:val="21"/>
                <w:u w:val="single"/>
              </w:rPr>
            </w:pPr>
            <w:r>
              <w:rPr>
                <w:rFonts w:hint="eastAsia"/>
                <w:sz w:val="21"/>
                <w:szCs w:val="21"/>
                <w:u w:val="single"/>
              </w:rPr>
              <w:t>双氧水</w:t>
            </w:r>
          </w:p>
        </w:tc>
        <w:tc>
          <w:tcPr>
            <w:tcW w:w="512" w:type="pct"/>
            <w:vAlign w:val="center"/>
          </w:tcPr>
          <w:p w14:paraId="5534ED76">
            <w:pPr>
              <w:spacing w:line="240" w:lineRule="auto"/>
              <w:ind w:firstLine="0" w:firstLineChars="0"/>
              <w:jc w:val="center"/>
              <w:rPr>
                <w:sz w:val="21"/>
                <w:szCs w:val="21"/>
                <w:highlight w:val="yellow"/>
                <w:u w:val="single"/>
              </w:rPr>
            </w:pPr>
            <w:r>
              <w:rPr>
                <w:rFonts w:hint="eastAsia"/>
                <w:sz w:val="21"/>
                <w:szCs w:val="21"/>
                <w:u w:val="single"/>
              </w:rPr>
              <w:t>1.25</w:t>
            </w:r>
          </w:p>
        </w:tc>
        <w:tc>
          <w:tcPr>
            <w:tcW w:w="1368" w:type="pct"/>
            <w:vAlign w:val="center"/>
          </w:tcPr>
          <w:p w14:paraId="6A869AA9">
            <w:pPr>
              <w:spacing w:line="240" w:lineRule="auto"/>
              <w:ind w:firstLine="0" w:firstLineChars="0"/>
              <w:jc w:val="center"/>
              <w:rPr>
                <w:sz w:val="21"/>
                <w:szCs w:val="21"/>
                <w:u w:val="single"/>
              </w:rPr>
            </w:pPr>
            <w:r>
              <w:rPr>
                <w:rFonts w:hint="eastAsia"/>
                <w:sz w:val="21"/>
                <w:szCs w:val="21"/>
                <w:u w:val="single"/>
              </w:rPr>
              <w:t>3</w:t>
            </w:r>
            <w:r>
              <w:rPr>
                <w:sz w:val="21"/>
                <w:szCs w:val="21"/>
                <w:u w:val="single"/>
              </w:rPr>
              <w:t>7%</w:t>
            </w:r>
            <w:r>
              <w:rPr>
                <w:rFonts w:hint="eastAsia"/>
                <w:sz w:val="21"/>
                <w:szCs w:val="21"/>
                <w:u w:val="single"/>
              </w:rPr>
              <w:t>，</w:t>
            </w:r>
            <w:r>
              <w:rPr>
                <w:rFonts w:hint="eastAsia"/>
                <w:spacing w:val="-11"/>
                <w:sz w:val="21"/>
                <w:szCs w:val="21"/>
                <w:u w:val="single"/>
              </w:rPr>
              <w:t>液态，</w:t>
            </w:r>
            <w:r>
              <w:rPr>
                <w:rFonts w:hint="eastAsia"/>
                <w:sz w:val="21"/>
                <w:szCs w:val="21"/>
                <w:u w:val="single"/>
              </w:rPr>
              <w:t>2</w:t>
            </w:r>
            <w:r>
              <w:rPr>
                <w:sz w:val="21"/>
                <w:szCs w:val="21"/>
                <w:u w:val="single"/>
              </w:rPr>
              <w:t>5</w:t>
            </w:r>
            <w:r>
              <w:rPr>
                <w:rFonts w:hint="eastAsia"/>
                <w:sz w:val="21"/>
                <w:szCs w:val="21"/>
                <w:u w:val="single"/>
              </w:rPr>
              <w:t>kg/桶</w:t>
            </w:r>
          </w:p>
        </w:tc>
        <w:tc>
          <w:tcPr>
            <w:tcW w:w="513" w:type="pct"/>
            <w:vAlign w:val="center"/>
          </w:tcPr>
          <w:p w14:paraId="48E83A95">
            <w:pPr>
              <w:spacing w:line="240" w:lineRule="auto"/>
              <w:ind w:firstLine="0" w:firstLineChars="0"/>
              <w:jc w:val="center"/>
              <w:rPr>
                <w:sz w:val="21"/>
                <w:szCs w:val="21"/>
                <w:u w:val="single"/>
              </w:rPr>
            </w:pPr>
            <w:r>
              <w:rPr>
                <w:rFonts w:hint="eastAsia"/>
                <w:sz w:val="21"/>
                <w:szCs w:val="21"/>
                <w:u w:val="single"/>
              </w:rPr>
              <w:t>0.1</w:t>
            </w:r>
          </w:p>
        </w:tc>
        <w:tc>
          <w:tcPr>
            <w:tcW w:w="567" w:type="pct"/>
            <w:vMerge w:val="continue"/>
            <w:vAlign w:val="center"/>
          </w:tcPr>
          <w:p w14:paraId="101C4345">
            <w:pPr>
              <w:spacing w:line="240" w:lineRule="auto"/>
              <w:ind w:firstLine="0" w:firstLineChars="0"/>
              <w:jc w:val="center"/>
              <w:rPr>
                <w:sz w:val="21"/>
                <w:szCs w:val="21"/>
                <w:highlight w:val="yellow"/>
                <w:u w:val="single"/>
              </w:rPr>
            </w:pPr>
          </w:p>
        </w:tc>
        <w:tc>
          <w:tcPr>
            <w:tcW w:w="336" w:type="pct"/>
            <w:vAlign w:val="center"/>
          </w:tcPr>
          <w:p w14:paraId="274D5914">
            <w:pPr>
              <w:spacing w:line="240" w:lineRule="auto"/>
              <w:ind w:firstLine="0" w:firstLineChars="0"/>
              <w:jc w:val="center"/>
              <w:rPr>
                <w:sz w:val="21"/>
                <w:szCs w:val="21"/>
                <w:highlight w:val="yellow"/>
                <w:u w:val="single"/>
              </w:rPr>
            </w:pPr>
            <w:r>
              <w:rPr>
                <w:rFonts w:hint="eastAsia"/>
                <w:sz w:val="21"/>
                <w:szCs w:val="21"/>
                <w:u w:val="single"/>
              </w:rPr>
              <w:t>外购</w:t>
            </w:r>
          </w:p>
        </w:tc>
      </w:tr>
      <w:tr w14:paraId="5A029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9F8F448">
            <w:pPr>
              <w:spacing w:line="240" w:lineRule="auto"/>
              <w:ind w:firstLine="0" w:firstLineChars="0"/>
              <w:jc w:val="center"/>
              <w:rPr>
                <w:sz w:val="21"/>
                <w:szCs w:val="21"/>
                <w:u w:val="single"/>
              </w:rPr>
            </w:pPr>
            <w:r>
              <w:rPr>
                <w:rFonts w:hint="eastAsia"/>
                <w:sz w:val="21"/>
                <w:szCs w:val="21"/>
                <w:u w:val="single"/>
              </w:rPr>
              <w:t>9</w:t>
            </w:r>
          </w:p>
        </w:tc>
        <w:tc>
          <w:tcPr>
            <w:tcW w:w="1453" w:type="pct"/>
            <w:gridSpan w:val="2"/>
            <w:vAlign w:val="center"/>
          </w:tcPr>
          <w:p w14:paraId="7EC02154">
            <w:pPr>
              <w:spacing w:line="240" w:lineRule="auto"/>
              <w:ind w:firstLine="0" w:firstLineChars="0"/>
              <w:jc w:val="center"/>
              <w:rPr>
                <w:sz w:val="21"/>
                <w:szCs w:val="21"/>
                <w:u w:val="single"/>
              </w:rPr>
            </w:pPr>
            <w:r>
              <w:rPr>
                <w:rFonts w:hint="eastAsia"/>
                <w:sz w:val="21"/>
                <w:szCs w:val="21"/>
                <w:u w:val="single"/>
              </w:rPr>
              <w:t>氮气</w:t>
            </w:r>
          </w:p>
        </w:tc>
        <w:tc>
          <w:tcPr>
            <w:tcW w:w="512" w:type="pct"/>
            <w:vAlign w:val="center"/>
          </w:tcPr>
          <w:p w14:paraId="2BCB960B">
            <w:pPr>
              <w:spacing w:line="240" w:lineRule="auto"/>
              <w:ind w:firstLine="0" w:firstLineChars="0"/>
              <w:jc w:val="center"/>
              <w:rPr>
                <w:sz w:val="21"/>
                <w:szCs w:val="21"/>
                <w:highlight w:val="yellow"/>
                <w:u w:val="single"/>
              </w:rPr>
            </w:pPr>
            <w:r>
              <w:rPr>
                <w:rFonts w:hint="eastAsia"/>
                <w:sz w:val="21"/>
                <w:szCs w:val="21"/>
                <w:u w:val="single"/>
              </w:rPr>
              <w:t>3.25</w:t>
            </w:r>
          </w:p>
        </w:tc>
        <w:tc>
          <w:tcPr>
            <w:tcW w:w="1368" w:type="pct"/>
            <w:vAlign w:val="center"/>
          </w:tcPr>
          <w:p w14:paraId="3C47E7A8">
            <w:pPr>
              <w:spacing w:line="240" w:lineRule="auto"/>
              <w:ind w:firstLine="0" w:firstLineChars="0"/>
              <w:jc w:val="center"/>
              <w:rPr>
                <w:sz w:val="21"/>
                <w:szCs w:val="21"/>
                <w:u w:val="single"/>
              </w:rPr>
            </w:pPr>
            <w:r>
              <w:rPr>
                <w:rFonts w:hint="eastAsia"/>
                <w:sz w:val="21"/>
                <w:szCs w:val="21"/>
                <w:u w:val="single"/>
              </w:rPr>
              <w:t>气态，1</w:t>
            </w:r>
            <w:r>
              <w:rPr>
                <w:sz w:val="21"/>
                <w:szCs w:val="21"/>
                <w:u w:val="single"/>
              </w:rPr>
              <w:t>3</w:t>
            </w:r>
            <w:r>
              <w:rPr>
                <w:rFonts w:hint="eastAsia"/>
                <w:sz w:val="21"/>
                <w:szCs w:val="21"/>
                <w:u w:val="single"/>
              </w:rPr>
              <w:t>kg/罐</w:t>
            </w:r>
          </w:p>
        </w:tc>
        <w:tc>
          <w:tcPr>
            <w:tcW w:w="513" w:type="pct"/>
            <w:vAlign w:val="center"/>
          </w:tcPr>
          <w:p w14:paraId="2D8EF2B2">
            <w:pPr>
              <w:spacing w:line="240" w:lineRule="auto"/>
              <w:ind w:firstLine="0" w:firstLineChars="0"/>
              <w:jc w:val="center"/>
              <w:rPr>
                <w:sz w:val="21"/>
                <w:szCs w:val="21"/>
                <w:u w:val="single"/>
              </w:rPr>
            </w:pPr>
            <w:r>
              <w:rPr>
                <w:rFonts w:hint="eastAsia"/>
                <w:sz w:val="21"/>
                <w:szCs w:val="21"/>
                <w:u w:val="single"/>
              </w:rPr>
              <w:t>0.13</w:t>
            </w:r>
          </w:p>
        </w:tc>
        <w:tc>
          <w:tcPr>
            <w:tcW w:w="567" w:type="pct"/>
            <w:vMerge w:val="continue"/>
            <w:vAlign w:val="center"/>
          </w:tcPr>
          <w:p w14:paraId="60016842">
            <w:pPr>
              <w:spacing w:line="240" w:lineRule="auto"/>
              <w:ind w:firstLine="0" w:firstLineChars="0"/>
              <w:jc w:val="center"/>
              <w:rPr>
                <w:sz w:val="21"/>
                <w:szCs w:val="21"/>
                <w:highlight w:val="yellow"/>
                <w:u w:val="single"/>
              </w:rPr>
            </w:pPr>
          </w:p>
        </w:tc>
        <w:tc>
          <w:tcPr>
            <w:tcW w:w="336" w:type="pct"/>
            <w:vAlign w:val="center"/>
          </w:tcPr>
          <w:p w14:paraId="3109A4C3">
            <w:pPr>
              <w:spacing w:line="240" w:lineRule="auto"/>
              <w:ind w:firstLine="0" w:firstLineChars="0"/>
              <w:jc w:val="center"/>
              <w:rPr>
                <w:sz w:val="21"/>
                <w:szCs w:val="21"/>
                <w:highlight w:val="yellow"/>
                <w:u w:val="single"/>
              </w:rPr>
            </w:pPr>
            <w:r>
              <w:rPr>
                <w:rFonts w:hint="eastAsia"/>
                <w:sz w:val="21"/>
                <w:szCs w:val="21"/>
                <w:u w:val="single"/>
              </w:rPr>
              <w:t>外购</w:t>
            </w:r>
          </w:p>
        </w:tc>
      </w:tr>
      <w:tr w14:paraId="16B62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617AC7BF">
            <w:pPr>
              <w:spacing w:line="240" w:lineRule="auto"/>
              <w:ind w:firstLine="0" w:firstLineChars="0"/>
              <w:jc w:val="center"/>
              <w:rPr>
                <w:sz w:val="21"/>
                <w:szCs w:val="21"/>
                <w:u w:val="single"/>
              </w:rPr>
            </w:pPr>
            <w:r>
              <w:rPr>
                <w:rFonts w:hint="eastAsia"/>
                <w:sz w:val="21"/>
                <w:szCs w:val="21"/>
                <w:u w:val="single"/>
              </w:rPr>
              <w:t>1</w:t>
            </w:r>
            <w:r>
              <w:rPr>
                <w:sz w:val="21"/>
                <w:szCs w:val="21"/>
                <w:u w:val="single"/>
              </w:rPr>
              <w:t>0</w:t>
            </w:r>
          </w:p>
        </w:tc>
        <w:tc>
          <w:tcPr>
            <w:tcW w:w="1453" w:type="pct"/>
            <w:gridSpan w:val="2"/>
            <w:vAlign w:val="center"/>
          </w:tcPr>
          <w:p w14:paraId="3E4DCFFD">
            <w:pPr>
              <w:spacing w:line="240" w:lineRule="auto"/>
              <w:ind w:firstLine="0" w:firstLineChars="0"/>
              <w:jc w:val="center"/>
              <w:rPr>
                <w:sz w:val="21"/>
                <w:szCs w:val="21"/>
                <w:u w:val="single"/>
              </w:rPr>
            </w:pPr>
            <w:r>
              <w:rPr>
                <w:rFonts w:hint="eastAsia"/>
                <w:sz w:val="21"/>
                <w:szCs w:val="21"/>
                <w:u w:val="single"/>
              </w:rPr>
              <w:t>二丙二醇</w:t>
            </w:r>
          </w:p>
        </w:tc>
        <w:tc>
          <w:tcPr>
            <w:tcW w:w="512" w:type="pct"/>
            <w:vAlign w:val="center"/>
          </w:tcPr>
          <w:p w14:paraId="4A310270">
            <w:pPr>
              <w:spacing w:line="240" w:lineRule="auto"/>
              <w:ind w:firstLine="0" w:firstLineChars="0"/>
              <w:jc w:val="center"/>
              <w:rPr>
                <w:sz w:val="21"/>
                <w:szCs w:val="21"/>
                <w:highlight w:val="yellow"/>
                <w:u w:val="single"/>
              </w:rPr>
            </w:pPr>
            <w:r>
              <w:rPr>
                <w:rFonts w:hint="eastAsia"/>
                <w:sz w:val="21"/>
                <w:szCs w:val="21"/>
                <w:u w:val="single"/>
              </w:rPr>
              <w:t>3960.16</w:t>
            </w:r>
          </w:p>
        </w:tc>
        <w:tc>
          <w:tcPr>
            <w:tcW w:w="1368" w:type="pct"/>
            <w:vAlign w:val="center"/>
          </w:tcPr>
          <w:p w14:paraId="5537613F">
            <w:pPr>
              <w:spacing w:line="240" w:lineRule="auto"/>
              <w:ind w:firstLine="0" w:firstLineChars="0"/>
              <w:jc w:val="center"/>
              <w:rPr>
                <w:sz w:val="21"/>
                <w:szCs w:val="21"/>
                <w:u w:val="single"/>
              </w:rPr>
            </w:pPr>
            <w:r>
              <w:rPr>
                <w:rFonts w:hint="eastAsia"/>
                <w:spacing w:val="-11"/>
                <w:sz w:val="21"/>
                <w:szCs w:val="21"/>
                <w:u w:val="single"/>
              </w:rPr>
              <w:t>99</w:t>
            </w:r>
            <w:r>
              <w:rPr>
                <w:spacing w:val="-11"/>
                <w:sz w:val="21"/>
                <w:szCs w:val="21"/>
                <w:u w:val="single"/>
              </w:rPr>
              <w:t>%</w:t>
            </w:r>
            <w:r>
              <w:rPr>
                <w:rFonts w:hint="eastAsia"/>
                <w:spacing w:val="-11"/>
                <w:sz w:val="21"/>
                <w:szCs w:val="21"/>
                <w:u w:val="single"/>
              </w:rPr>
              <w:t>，液态，吨桶</w:t>
            </w:r>
          </w:p>
        </w:tc>
        <w:tc>
          <w:tcPr>
            <w:tcW w:w="513" w:type="pct"/>
            <w:vAlign w:val="center"/>
          </w:tcPr>
          <w:p w14:paraId="489A9091">
            <w:pPr>
              <w:spacing w:line="240" w:lineRule="auto"/>
              <w:ind w:firstLine="0" w:firstLineChars="0"/>
              <w:jc w:val="center"/>
              <w:rPr>
                <w:sz w:val="21"/>
                <w:szCs w:val="21"/>
                <w:u w:val="single"/>
              </w:rPr>
            </w:pPr>
            <w:r>
              <w:rPr>
                <w:rFonts w:hint="eastAsia"/>
                <w:sz w:val="21"/>
                <w:szCs w:val="21"/>
                <w:u w:val="single"/>
              </w:rPr>
              <w:t>90</w:t>
            </w:r>
          </w:p>
        </w:tc>
        <w:tc>
          <w:tcPr>
            <w:tcW w:w="567" w:type="pct"/>
            <w:vMerge w:val="continue"/>
            <w:vAlign w:val="center"/>
          </w:tcPr>
          <w:p w14:paraId="6CA8ECFB">
            <w:pPr>
              <w:spacing w:line="240" w:lineRule="auto"/>
              <w:ind w:firstLine="0" w:firstLineChars="0"/>
              <w:jc w:val="center"/>
              <w:rPr>
                <w:sz w:val="21"/>
                <w:szCs w:val="21"/>
                <w:highlight w:val="yellow"/>
                <w:u w:val="single"/>
              </w:rPr>
            </w:pPr>
          </w:p>
        </w:tc>
        <w:tc>
          <w:tcPr>
            <w:tcW w:w="336" w:type="pct"/>
            <w:vAlign w:val="center"/>
          </w:tcPr>
          <w:p w14:paraId="27983F03">
            <w:pPr>
              <w:spacing w:line="240" w:lineRule="auto"/>
              <w:ind w:firstLine="0" w:firstLineChars="0"/>
              <w:jc w:val="center"/>
              <w:rPr>
                <w:sz w:val="21"/>
                <w:szCs w:val="21"/>
                <w:highlight w:val="yellow"/>
                <w:u w:val="single"/>
              </w:rPr>
            </w:pPr>
            <w:r>
              <w:rPr>
                <w:rFonts w:hint="eastAsia"/>
                <w:sz w:val="21"/>
                <w:szCs w:val="21"/>
                <w:u w:val="single"/>
              </w:rPr>
              <w:t>外购</w:t>
            </w:r>
          </w:p>
        </w:tc>
      </w:tr>
      <w:tr w14:paraId="2897B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A84C160">
            <w:pPr>
              <w:spacing w:line="240" w:lineRule="auto"/>
              <w:ind w:firstLine="0" w:firstLineChars="0"/>
              <w:jc w:val="center"/>
              <w:rPr>
                <w:sz w:val="21"/>
                <w:szCs w:val="21"/>
                <w:u w:val="single"/>
              </w:rPr>
            </w:pPr>
            <w:r>
              <w:rPr>
                <w:rFonts w:hint="eastAsia"/>
                <w:sz w:val="21"/>
                <w:szCs w:val="21"/>
                <w:u w:val="single"/>
              </w:rPr>
              <w:t>11</w:t>
            </w:r>
          </w:p>
        </w:tc>
        <w:tc>
          <w:tcPr>
            <w:tcW w:w="1453" w:type="pct"/>
            <w:gridSpan w:val="2"/>
            <w:vAlign w:val="center"/>
          </w:tcPr>
          <w:p w14:paraId="71FB2E41">
            <w:pPr>
              <w:spacing w:line="240" w:lineRule="auto"/>
              <w:ind w:firstLine="0" w:firstLineChars="0"/>
              <w:jc w:val="center"/>
              <w:rPr>
                <w:sz w:val="21"/>
                <w:szCs w:val="21"/>
                <w:u w:val="single"/>
              </w:rPr>
            </w:pPr>
            <w:r>
              <w:rPr>
                <w:rFonts w:hint="eastAsia"/>
                <w:sz w:val="21"/>
                <w:szCs w:val="21"/>
                <w:u w:val="single"/>
              </w:rPr>
              <w:t>导热油</w:t>
            </w:r>
          </w:p>
        </w:tc>
        <w:tc>
          <w:tcPr>
            <w:tcW w:w="512" w:type="pct"/>
            <w:vAlign w:val="center"/>
          </w:tcPr>
          <w:p w14:paraId="4C2A5E29">
            <w:pPr>
              <w:spacing w:line="240" w:lineRule="auto"/>
              <w:ind w:firstLine="0" w:firstLineChars="0"/>
              <w:jc w:val="center"/>
              <w:rPr>
                <w:sz w:val="21"/>
                <w:szCs w:val="21"/>
                <w:u w:val="single"/>
              </w:rPr>
            </w:pPr>
            <w:r>
              <w:rPr>
                <w:rFonts w:hint="eastAsia"/>
                <w:sz w:val="21"/>
                <w:szCs w:val="21"/>
                <w:u w:val="single"/>
              </w:rPr>
              <w:t>17t/10a</w:t>
            </w:r>
          </w:p>
        </w:tc>
        <w:tc>
          <w:tcPr>
            <w:tcW w:w="1368" w:type="pct"/>
            <w:vAlign w:val="center"/>
          </w:tcPr>
          <w:p w14:paraId="106B3020">
            <w:pPr>
              <w:spacing w:line="240" w:lineRule="auto"/>
              <w:ind w:firstLine="0" w:firstLineChars="0"/>
              <w:jc w:val="center"/>
              <w:rPr>
                <w:spacing w:val="-11"/>
                <w:sz w:val="21"/>
                <w:szCs w:val="21"/>
                <w:u w:val="single"/>
              </w:rPr>
            </w:pPr>
            <w:r>
              <w:rPr>
                <w:rFonts w:hint="eastAsia"/>
                <w:spacing w:val="-11"/>
                <w:sz w:val="21"/>
                <w:szCs w:val="21"/>
                <w:u w:val="single"/>
              </w:rPr>
              <w:t>液态，3t缓存罐和反应釜夹层内</w:t>
            </w:r>
          </w:p>
        </w:tc>
        <w:tc>
          <w:tcPr>
            <w:tcW w:w="513" w:type="pct"/>
            <w:vAlign w:val="center"/>
          </w:tcPr>
          <w:p w14:paraId="7B21FE4F">
            <w:pPr>
              <w:spacing w:line="240" w:lineRule="auto"/>
              <w:ind w:firstLine="0" w:firstLineChars="0"/>
              <w:jc w:val="center"/>
              <w:rPr>
                <w:sz w:val="21"/>
                <w:szCs w:val="21"/>
                <w:u w:val="single"/>
              </w:rPr>
            </w:pPr>
            <w:r>
              <w:rPr>
                <w:rFonts w:hint="eastAsia"/>
                <w:sz w:val="21"/>
                <w:szCs w:val="21"/>
                <w:u w:val="single"/>
              </w:rPr>
              <w:t>17t</w:t>
            </w:r>
          </w:p>
        </w:tc>
        <w:tc>
          <w:tcPr>
            <w:tcW w:w="567" w:type="pct"/>
            <w:vAlign w:val="center"/>
          </w:tcPr>
          <w:p w14:paraId="62260FDD">
            <w:pPr>
              <w:spacing w:line="240" w:lineRule="auto"/>
              <w:ind w:firstLine="0" w:firstLineChars="0"/>
              <w:jc w:val="center"/>
              <w:rPr>
                <w:sz w:val="21"/>
                <w:szCs w:val="21"/>
                <w:highlight w:val="yellow"/>
                <w:u w:val="single"/>
              </w:rPr>
            </w:pPr>
            <w:r>
              <w:rPr>
                <w:rFonts w:hint="eastAsia"/>
                <w:sz w:val="21"/>
                <w:szCs w:val="21"/>
                <w:u w:val="single"/>
              </w:rPr>
              <w:t>电加热、制冷区，反应釜区</w:t>
            </w:r>
          </w:p>
        </w:tc>
        <w:tc>
          <w:tcPr>
            <w:tcW w:w="336" w:type="pct"/>
            <w:vAlign w:val="center"/>
          </w:tcPr>
          <w:p w14:paraId="693B722A">
            <w:pPr>
              <w:spacing w:line="240" w:lineRule="auto"/>
              <w:ind w:firstLine="0" w:firstLineChars="0"/>
              <w:jc w:val="center"/>
              <w:rPr>
                <w:sz w:val="21"/>
                <w:szCs w:val="21"/>
                <w:u w:val="single"/>
              </w:rPr>
            </w:pPr>
            <w:r>
              <w:rPr>
                <w:rFonts w:hint="eastAsia"/>
                <w:sz w:val="21"/>
                <w:szCs w:val="21"/>
                <w:u w:val="single"/>
              </w:rPr>
              <w:t>外购</w:t>
            </w:r>
          </w:p>
        </w:tc>
      </w:tr>
      <w:tr w14:paraId="0F99F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8"/>
            <w:vAlign w:val="center"/>
          </w:tcPr>
          <w:p w14:paraId="39CD2F3C">
            <w:pPr>
              <w:spacing w:line="240" w:lineRule="auto"/>
              <w:ind w:firstLine="0" w:firstLineChars="0"/>
              <w:jc w:val="center"/>
              <w:rPr>
                <w:b/>
                <w:sz w:val="21"/>
                <w:szCs w:val="21"/>
                <w:highlight w:val="yellow"/>
                <w:u w:val="single"/>
              </w:rPr>
            </w:pPr>
            <w:r>
              <w:rPr>
                <w:b/>
                <w:sz w:val="21"/>
                <w:szCs w:val="21"/>
                <w:u w:val="single"/>
              </w:rPr>
              <w:t>色浆</w:t>
            </w:r>
          </w:p>
        </w:tc>
      </w:tr>
      <w:tr w14:paraId="718F3E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52124D0A">
            <w:pPr>
              <w:spacing w:line="240" w:lineRule="auto"/>
              <w:ind w:firstLine="0" w:firstLineChars="0"/>
              <w:jc w:val="center"/>
              <w:rPr>
                <w:sz w:val="21"/>
                <w:szCs w:val="21"/>
                <w:u w:val="single"/>
              </w:rPr>
            </w:pPr>
            <w:r>
              <w:rPr>
                <w:rFonts w:hint="eastAsia"/>
                <w:sz w:val="21"/>
                <w:szCs w:val="21"/>
                <w:u w:val="single"/>
              </w:rPr>
              <w:t>1</w:t>
            </w:r>
          </w:p>
        </w:tc>
        <w:tc>
          <w:tcPr>
            <w:tcW w:w="1453" w:type="pct"/>
            <w:gridSpan w:val="2"/>
            <w:vAlign w:val="center"/>
          </w:tcPr>
          <w:p w14:paraId="232268E1">
            <w:pPr>
              <w:spacing w:line="240" w:lineRule="auto"/>
              <w:ind w:firstLine="0" w:firstLineChars="0"/>
              <w:jc w:val="center"/>
              <w:rPr>
                <w:sz w:val="21"/>
                <w:szCs w:val="21"/>
                <w:u w:val="single"/>
              </w:rPr>
            </w:pPr>
            <w:r>
              <w:rPr>
                <w:rFonts w:hint="eastAsia"/>
                <w:sz w:val="21"/>
                <w:szCs w:val="21"/>
                <w:u w:val="single"/>
              </w:rPr>
              <w:t>色粉</w:t>
            </w:r>
          </w:p>
        </w:tc>
        <w:tc>
          <w:tcPr>
            <w:tcW w:w="512" w:type="pct"/>
            <w:vAlign w:val="center"/>
          </w:tcPr>
          <w:p w14:paraId="7A1E36F5">
            <w:pPr>
              <w:spacing w:line="240" w:lineRule="auto"/>
              <w:ind w:firstLine="0" w:firstLineChars="0"/>
              <w:jc w:val="center"/>
              <w:rPr>
                <w:sz w:val="21"/>
                <w:szCs w:val="21"/>
                <w:u w:val="single"/>
              </w:rPr>
            </w:pPr>
            <w:r>
              <w:rPr>
                <w:rFonts w:hint="eastAsia"/>
                <w:sz w:val="21"/>
                <w:szCs w:val="21"/>
                <w:u w:val="single"/>
              </w:rPr>
              <w:t>700.12</w:t>
            </w:r>
          </w:p>
        </w:tc>
        <w:tc>
          <w:tcPr>
            <w:tcW w:w="1368" w:type="pct"/>
            <w:vAlign w:val="center"/>
          </w:tcPr>
          <w:p w14:paraId="742F502F">
            <w:pPr>
              <w:spacing w:line="240" w:lineRule="auto"/>
              <w:ind w:firstLine="0" w:firstLineChars="0"/>
              <w:jc w:val="center"/>
              <w:rPr>
                <w:sz w:val="21"/>
                <w:szCs w:val="21"/>
                <w:highlight w:val="yellow"/>
                <w:u w:val="single"/>
              </w:rPr>
            </w:pPr>
            <w:r>
              <w:rPr>
                <w:rFonts w:hint="eastAsia"/>
                <w:sz w:val="21"/>
                <w:szCs w:val="21"/>
                <w:u w:val="single"/>
              </w:rPr>
              <w:t>9</w:t>
            </w:r>
            <w:r>
              <w:rPr>
                <w:sz w:val="21"/>
                <w:szCs w:val="21"/>
                <w:u w:val="single"/>
              </w:rPr>
              <w:t>9.7%</w:t>
            </w:r>
            <w:r>
              <w:rPr>
                <w:rFonts w:hint="eastAsia"/>
                <w:sz w:val="21"/>
                <w:szCs w:val="21"/>
                <w:u w:val="single"/>
              </w:rPr>
              <w:t>，粉状</w:t>
            </w:r>
            <w:r>
              <w:rPr>
                <w:sz w:val="21"/>
                <w:szCs w:val="21"/>
                <w:u w:val="single"/>
              </w:rPr>
              <w:t>，</w:t>
            </w:r>
            <w:r>
              <w:rPr>
                <w:rFonts w:hint="eastAsia"/>
                <w:sz w:val="21"/>
                <w:szCs w:val="21"/>
                <w:u w:val="single"/>
              </w:rPr>
              <w:t>吨包</w:t>
            </w:r>
          </w:p>
        </w:tc>
        <w:tc>
          <w:tcPr>
            <w:tcW w:w="513" w:type="pct"/>
            <w:vAlign w:val="center"/>
          </w:tcPr>
          <w:p w14:paraId="56240C97">
            <w:pPr>
              <w:spacing w:line="240" w:lineRule="auto"/>
              <w:ind w:firstLine="0" w:firstLineChars="0"/>
              <w:jc w:val="center"/>
              <w:rPr>
                <w:sz w:val="21"/>
                <w:szCs w:val="21"/>
                <w:u w:val="single"/>
              </w:rPr>
            </w:pPr>
            <w:r>
              <w:rPr>
                <w:rFonts w:hint="eastAsia"/>
                <w:sz w:val="21"/>
                <w:szCs w:val="21"/>
                <w:u w:val="single"/>
              </w:rPr>
              <w:t>17</w:t>
            </w:r>
          </w:p>
        </w:tc>
        <w:tc>
          <w:tcPr>
            <w:tcW w:w="567" w:type="pct"/>
            <w:vMerge w:val="restart"/>
            <w:vAlign w:val="center"/>
          </w:tcPr>
          <w:p w14:paraId="4003DDE3">
            <w:pPr>
              <w:spacing w:line="240" w:lineRule="auto"/>
              <w:ind w:firstLine="0" w:firstLineChars="0"/>
              <w:jc w:val="center"/>
              <w:rPr>
                <w:sz w:val="21"/>
                <w:szCs w:val="21"/>
                <w:highlight w:val="yellow"/>
                <w:u w:val="single"/>
              </w:rPr>
            </w:pPr>
            <w:r>
              <w:rPr>
                <w:rFonts w:hint="eastAsia"/>
                <w:sz w:val="21"/>
                <w:szCs w:val="21"/>
                <w:u w:val="single"/>
              </w:rPr>
              <w:t>原料区</w:t>
            </w:r>
          </w:p>
        </w:tc>
        <w:tc>
          <w:tcPr>
            <w:tcW w:w="336" w:type="pct"/>
            <w:vAlign w:val="center"/>
          </w:tcPr>
          <w:p w14:paraId="6F642FEB">
            <w:pPr>
              <w:spacing w:line="240" w:lineRule="auto"/>
              <w:ind w:firstLine="0" w:firstLineChars="0"/>
              <w:jc w:val="center"/>
              <w:rPr>
                <w:sz w:val="21"/>
                <w:szCs w:val="21"/>
                <w:highlight w:val="yellow"/>
                <w:u w:val="single"/>
              </w:rPr>
            </w:pPr>
            <w:r>
              <w:rPr>
                <w:rFonts w:hint="eastAsia"/>
                <w:sz w:val="21"/>
                <w:szCs w:val="21"/>
                <w:u w:val="single"/>
              </w:rPr>
              <w:t>外购</w:t>
            </w:r>
          </w:p>
        </w:tc>
      </w:tr>
      <w:tr w14:paraId="72F29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7DE45766">
            <w:pPr>
              <w:spacing w:line="240" w:lineRule="auto"/>
              <w:ind w:firstLine="0" w:firstLineChars="0"/>
              <w:jc w:val="center"/>
              <w:rPr>
                <w:sz w:val="21"/>
                <w:szCs w:val="21"/>
                <w:u w:val="single"/>
              </w:rPr>
            </w:pPr>
            <w:r>
              <w:rPr>
                <w:rFonts w:hint="eastAsia"/>
                <w:sz w:val="21"/>
                <w:szCs w:val="21"/>
                <w:u w:val="single"/>
              </w:rPr>
              <w:t>2</w:t>
            </w:r>
          </w:p>
        </w:tc>
        <w:tc>
          <w:tcPr>
            <w:tcW w:w="1453" w:type="pct"/>
            <w:gridSpan w:val="2"/>
            <w:vAlign w:val="center"/>
          </w:tcPr>
          <w:p w14:paraId="3BF9D6EC">
            <w:pPr>
              <w:spacing w:line="240" w:lineRule="auto"/>
              <w:ind w:firstLine="0" w:firstLineChars="0"/>
              <w:jc w:val="center"/>
              <w:rPr>
                <w:sz w:val="21"/>
                <w:szCs w:val="21"/>
                <w:u w:val="single"/>
              </w:rPr>
            </w:pPr>
            <w:r>
              <w:rPr>
                <w:rFonts w:hint="eastAsia"/>
                <w:sz w:val="21"/>
                <w:szCs w:val="21"/>
                <w:u w:val="single"/>
              </w:rPr>
              <w:t>聚醚多元醇（三羟基聚氧化丙烯氧化乙烯醚）</w:t>
            </w:r>
          </w:p>
        </w:tc>
        <w:tc>
          <w:tcPr>
            <w:tcW w:w="512" w:type="pct"/>
            <w:vAlign w:val="center"/>
          </w:tcPr>
          <w:p w14:paraId="7AB6E0BD">
            <w:pPr>
              <w:spacing w:line="240" w:lineRule="auto"/>
              <w:ind w:firstLine="0" w:firstLineChars="0"/>
              <w:jc w:val="center"/>
              <w:rPr>
                <w:sz w:val="21"/>
                <w:szCs w:val="21"/>
                <w:u w:val="single"/>
              </w:rPr>
            </w:pPr>
            <w:r>
              <w:rPr>
                <w:rFonts w:hint="eastAsia"/>
                <w:sz w:val="21"/>
                <w:szCs w:val="21"/>
                <w:u w:val="single"/>
              </w:rPr>
              <w:t>3</w:t>
            </w:r>
            <w:r>
              <w:rPr>
                <w:sz w:val="21"/>
                <w:szCs w:val="21"/>
                <w:u w:val="single"/>
              </w:rPr>
              <w:t>00</w:t>
            </w:r>
          </w:p>
        </w:tc>
        <w:tc>
          <w:tcPr>
            <w:tcW w:w="1368" w:type="pct"/>
            <w:vAlign w:val="center"/>
          </w:tcPr>
          <w:p w14:paraId="54D8BE07">
            <w:pPr>
              <w:spacing w:line="240" w:lineRule="auto"/>
              <w:ind w:firstLine="0" w:firstLineChars="0"/>
              <w:jc w:val="center"/>
              <w:rPr>
                <w:sz w:val="21"/>
                <w:szCs w:val="21"/>
                <w:highlight w:val="yellow"/>
                <w:u w:val="single"/>
              </w:rPr>
            </w:pPr>
            <w:r>
              <w:rPr>
                <w:spacing w:val="-11"/>
                <w:sz w:val="21"/>
                <w:szCs w:val="21"/>
                <w:u w:val="single"/>
              </w:rPr>
              <w:t>98%</w:t>
            </w:r>
            <w:r>
              <w:rPr>
                <w:rFonts w:hint="eastAsia"/>
                <w:spacing w:val="-11"/>
                <w:sz w:val="21"/>
                <w:szCs w:val="21"/>
                <w:u w:val="single"/>
              </w:rPr>
              <w:t>，液态，吨桶</w:t>
            </w:r>
          </w:p>
        </w:tc>
        <w:tc>
          <w:tcPr>
            <w:tcW w:w="513" w:type="pct"/>
            <w:vAlign w:val="center"/>
          </w:tcPr>
          <w:p w14:paraId="19FEE6B1">
            <w:pPr>
              <w:spacing w:line="240" w:lineRule="auto"/>
              <w:ind w:firstLine="0" w:firstLineChars="0"/>
              <w:jc w:val="center"/>
              <w:rPr>
                <w:sz w:val="21"/>
                <w:szCs w:val="21"/>
                <w:u w:val="single"/>
              </w:rPr>
            </w:pPr>
            <w:r>
              <w:rPr>
                <w:rFonts w:hint="eastAsia"/>
                <w:sz w:val="21"/>
                <w:szCs w:val="21"/>
                <w:u w:val="single"/>
              </w:rPr>
              <w:t>7</w:t>
            </w:r>
          </w:p>
        </w:tc>
        <w:tc>
          <w:tcPr>
            <w:tcW w:w="567" w:type="pct"/>
            <w:vMerge w:val="continue"/>
            <w:vAlign w:val="center"/>
          </w:tcPr>
          <w:p w14:paraId="62E4C71A">
            <w:pPr>
              <w:spacing w:line="240" w:lineRule="auto"/>
              <w:ind w:firstLine="0" w:firstLineChars="0"/>
              <w:jc w:val="center"/>
              <w:rPr>
                <w:sz w:val="21"/>
                <w:szCs w:val="21"/>
                <w:highlight w:val="yellow"/>
                <w:u w:val="single"/>
              </w:rPr>
            </w:pPr>
          </w:p>
        </w:tc>
        <w:tc>
          <w:tcPr>
            <w:tcW w:w="336" w:type="pct"/>
            <w:vAlign w:val="center"/>
          </w:tcPr>
          <w:p w14:paraId="7DB71020">
            <w:pPr>
              <w:spacing w:line="240" w:lineRule="auto"/>
              <w:ind w:firstLine="0" w:firstLineChars="0"/>
              <w:jc w:val="center"/>
              <w:rPr>
                <w:sz w:val="21"/>
                <w:szCs w:val="21"/>
                <w:highlight w:val="yellow"/>
                <w:u w:val="single"/>
              </w:rPr>
            </w:pPr>
            <w:r>
              <w:rPr>
                <w:rFonts w:hint="eastAsia"/>
                <w:sz w:val="21"/>
                <w:szCs w:val="21"/>
                <w:u w:val="single"/>
              </w:rPr>
              <w:t>外购</w:t>
            </w:r>
          </w:p>
        </w:tc>
      </w:tr>
      <w:tr w14:paraId="1D3EA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8"/>
            <w:vAlign w:val="center"/>
          </w:tcPr>
          <w:p w14:paraId="1D3EAD41">
            <w:pPr>
              <w:spacing w:line="240" w:lineRule="auto"/>
              <w:ind w:firstLine="0" w:firstLineChars="0"/>
              <w:jc w:val="center"/>
              <w:rPr>
                <w:sz w:val="21"/>
                <w:szCs w:val="21"/>
                <w:highlight w:val="yellow"/>
                <w:u w:val="single"/>
              </w:rPr>
            </w:pPr>
            <w:r>
              <w:rPr>
                <w:sz w:val="21"/>
                <w:szCs w:val="21"/>
                <w:u w:val="single"/>
              </w:rPr>
              <w:t>资源能源</w:t>
            </w:r>
          </w:p>
        </w:tc>
      </w:tr>
      <w:tr w14:paraId="1D3EA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D3EAD43">
            <w:pPr>
              <w:spacing w:line="240" w:lineRule="auto"/>
              <w:ind w:firstLine="0" w:firstLineChars="0"/>
              <w:jc w:val="center"/>
              <w:rPr>
                <w:sz w:val="21"/>
                <w:szCs w:val="21"/>
                <w:u w:val="single"/>
              </w:rPr>
            </w:pPr>
            <w:r>
              <w:rPr>
                <w:sz w:val="21"/>
                <w:szCs w:val="21"/>
                <w:u w:val="single"/>
              </w:rPr>
              <w:t>1</w:t>
            </w:r>
          </w:p>
        </w:tc>
        <w:tc>
          <w:tcPr>
            <w:tcW w:w="1453" w:type="pct"/>
            <w:gridSpan w:val="2"/>
            <w:vAlign w:val="center"/>
          </w:tcPr>
          <w:p w14:paraId="1D3EAD44">
            <w:pPr>
              <w:spacing w:line="240" w:lineRule="auto"/>
              <w:ind w:firstLine="0" w:firstLineChars="0"/>
              <w:jc w:val="center"/>
              <w:rPr>
                <w:sz w:val="21"/>
                <w:szCs w:val="21"/>
                <w:u w:val="single"/>
              </w:rPr>
            </w:pPr>
            <w:r>
              <w:rPr>
                <w:sz w:val="21"/>
                <w:szCs w:val="21"/>
                <w:u w:val="single"/>
              </w:rPr>
              <w:t>电</w:t>
            </w:r>
          </w:p>
        </w:tc>
        <w:tc>
          <w:tcPr>
            <w:tcW w:w="512" w:type="pct"/>
            <w:vAlign w:val="center"/>
          </w:tcPr>
          <w:p w14:paraId="1D3EAD46">
            <w:pPr>
              <w:spacing w:line="240" w:lineRule="auto"/>
              <w:ind w:firstLine="0" w:firstLineChars="0"/>
              <w:jc w:val="center"/>
              <w:rPr>
                <w:sz w:val="21"/>
                <w:szCs w:val="21"/>
                <w:u w:val="single"/>
              </w:rPr>
            </w:pPr>
            <w:r>
              <w:rPr>
                <w:sz w:val="21"/>
                <w:szCs w:val="21"/>
                <w:u w:val="single"/>
              </w:rPr>
              <w:t>3</w:t>
            </w:r>
            <w:r>
              <w:rPr>
                <w:rFonts w:hint="eastAsia"/>
                <w:sz w:val="21"/>
                <w:szCs w:val="21"/>
                <w:u w:val="single"/>
              </w:rPr>
              <w:t>0万</w:t>
            </w:r>
            <w:r>
              <w:rPr>
                <w:sz w:val="21"/>
                <w:szCs w:val="21"/>
                <w:u w:val="single"/>
              </w:rPr>
              <w:t>kW</w:t>
            </w:r>
            <w:r>
              <w:rPr>
                <w:rFonts w:hint="eastAsia"/>
                <w:sz w:val="21"/>
                <w:szCs w:val="21"/>
                <w:u w:val="single"/>
              </w:rPr>
              <w:t>·</w:t>
            </w:r>
            <w:r>
              <w:rPr>
                <w:sz w:val="21"/>
                <w:szCs w:val="21"/>
                <w:u w:val="single"/>
              </w:rPr>
              <w:t>h/a</w:t>
            </w:r>
          </w:p>
        </w:tc>
        <w:tc>
          <w:tcPr>
            <w:tcW w:w="1368" w:type="pct"/>
            <w:vAlign w:val="center"/>
          </w:tcPr>
          <w:p w14:paraId="1D3EAD47">
            <w:pPr>
              <w:spacing w:line="240" w:lineRule="auto"/>
              <w:ind w:firstLine="0" w:firstLineChars="0"/>
              <w:jc w:val="center"/>
              <w:rPr>
                <w:sz w:val="21"/>
                <w:szCs w:val="21"/>
                <w:u w:val="single"/>
              </w:rPr>
            </w:pPr>
            <w:r>
              <w:rPr>
                <w:rFonts w:hint="eastAsia"/>
                <w:sz w:val="21"/>
                <w:szCs w:val="21"/>
                <w:u w:val="single"/>
              </w:rPr>
              <w:t>/</w:t>
            </w:r>
          </w:p>
        </w:tc>
        <w:tc>
          <w:tcPr>
            <w:tcW w:w="513" w:type="pct"/>
            <w:vAlign w:val="center"/>
          </w:tcPr>
          <w:p w14:paraId="1D3EAD48">
            <w:pPr>
              <w:spacing w:line="240" w:lineRule="auto"/>
              <w:ind w:firstLine="0" w:firstLineChars="0"/>
              <w:jc w:val="center"/>
              <w:rPr>
                <w:sz w:val="21"/>
                <w:szCs w:val="21"/>
                <w:u w:val="single"/>
              </w:rPr>
            </w:pPr>
            <w:r>
              <w:rPr>
                <w:rFonts w:hint="eastAsia"/>
                <w:sz w:val="21"/>
                <w:szCs w:val="21"/>
                <w:u w:val="single"/>
              </w:rPr>
              <w:t>/</w:t>
            </w:r>
          </w:p>
        </w:tc>
        <w:tc>
          <w:tcPr>
            <w:tcW w:w="567" w:type="pct"/>
            <w:vAlign w:val="center"/>
          </w:tcPr>
          <w:p w14:paraId="1D3EAD49">
            <w:pPr>
              <w:spacing w:line="240" w:lineRule="auto"/>
              <w:ind w:firstLine="0" w:firstLineChars="0"/>
              <w:jc w:val="center"/>
              <w:rPr>
                <w:sz w:val="21"/>
                <w:szCs w:val="21"/>
                <w:u w:val="single"/>
              </w:rPr>
            </w:pPr>
            <w:r>
              <w:rPr>
                <w:rFonts w:hint="eastAsia"/>
                <w:sz w:val="21"/>
                <w:szCs w:val="21"/>
                <w:u w:val="single"/>
              </w:rPr>
              <w:t>/</w:t>
            </w:r>
          </w:p>
        </w:tc>
        <w:tc>
          <w:tcPr>
            <w:tcW w:w="336" w:type="pct"/>
            <w:vAlign w:val="center"/>
          </w:tcPr>
          <w:p w14:paraId="1D3EAD4A">
            <w:pPr>
              <w:spacing w:line="240" w:lineRule="auto"/>
              <w:ind w:firstLine="0" w:firstLineChars="0"/>
              <w:jc w:val="center"/>
              <w:rPr>
                <w:sz w:val="21"/>
                <w:szCs w:val="21"/>
                <w:u w:val="single"/>
              </w:rPr>
            </w:pPr>
            <w:r>
              <w:rPr>
                <w:rFonts w:hint="eastAsia"/>
                <w:sz w:val="21"/>
                <w:szCs w:val="21"/>
                <w:u w:val="single"/>
              </w:rPr>
              <w:t>园区电网</w:t>
            </w:r>
          </w:p>
        </w:tc>
      </w:tr>
      <w:tr w14:paraId="082B0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761ECD72">
            <w:pPr>
              <w:spacing w:line="240" w:lineRule="auto"/>
              <w:ind w:firstLine="0" w:firstLineChars="0"/>
              <w:jc w:val="center"/>
              <w:rPr>
                <w:sz w:val="21"/>
                <w:szCs w:val="21"/>
                <w:u w:val="single"/>
              </w:rPr>
            </w:pPr>
            <w:r>
              <w:rPr>
                <w:rFonts w:hint="eastAsia"/>
                <w:sz w:val="21"/>
                <w:szCs w:val="21"/>
                <w:u w:val="single"/>
              </w:rPr>
              <w:t>2</w:t>
            </w:r>
          </w:p>
        </w:tc>
        <w:tc>
          <w:tcPr>
            <w:tcW w:w="1453" w:type="pct"/>
            <w:gridSpan w:val="2"/>
            <w:vAlign w:val="center"/>
          </w:tcPr>
          <w:p w14:paraId="16BC76DE">
            <w:pPr>
              <w:spacing w:line="240" w:lineRule="auto"/>
              <w:ind w:firstLine="0" w:firstLineChars="0"/>
              <w:jc w:val="center"/>
              <w:rPr>
                <w:sz w:val="21"/>
                <w:szCs w:val="21"/>
                <w:u w:val="single"/>
              </w:rPr>
            </w:pPr>
            <w:r>
              <w:rPr>
                <w:rFonts w:hint="eastAsia"/>
                <w:sz w:val="21"/>
                <w:szCs w:val="21"/>
                <w:u w:val="single"/>
              </w:rPr>
              <w:t>水</w:t>
            </w:r>
          </w:p>
        </w:tc>
        <w:tc>
          <w:tcPr>
            <w:tcW w:w="512" w:type="pct"/>
            <w:vAlign w:val="center"/>
          </w:tcPr>
          <w:p w14:paraId="55E1CD54">
            <w:pPr>
              <w:spacing w:line="240" w:lineRule="auto"/>
              <w:ind w:firstLine="0" w:firstLineChars="0"/>
              <w:jc w:val="center"/>
              <w:rPr>
                <w:sz w:val="21"/>
                <w:szCs w:val="21"/>
                <w:u w:val="single"/>
              </w:rPr>
            </w:pPr>
            <w:r>
              <w:rPr>
                <w:rFonts w:hint="eastAsia"/>
                <w:sz w:val="21"/>
                <w:szCs w:val="21"/>
                <w:u w:val="single"/>
              </w:rPr>
              <w:t>4080t/a</w:t>
            </w:r>
          </w:p>
        </w:tc>
        <w:tc>
          <w:tcPr>
            <w:tcW w:w="1368" w:type="pct"/>
            <w:vAlign w:val="center"/>
          </w:tcPr>
          <w:p w14:paraId="528EF831">
            <w:pPr>
              <w:spacing w:line="240" w:lineRule="auto"/>
              <w:ind w:firstLine="0" w:firstLineChars="0"/>
              <w:jc w:val="center"/>
              <w:rPr>
                <w:sz w:val="21"/>
                <w:szCs w:val="21"/>
                <w:u w:val="single"/>
              </w:rPr>
            </w:pPr>
            <w:r>
              <w:rPr>
                <w:rFonts w:hint="eastAsia"/>
                <w:sz w:val="21"/>
                <w:szCs w:val="21"/>
                <w:u w:val="single"/>
              </w:rPr>
              <w:t>/</w:t>
            </w:r>
          </w:p>
        </w:tc>
        <w:tc>
          <w:tcPr>
            <w:tcW w:w="513" w:type="pct"/>
            <w:vAlign w:val="center"/>
          </w:tcPr>
          <w:p w14:paraId="51D44020">
            <w:pPr>
              <w:spacing w:line="240" w:lineRule="auto"/>
              <w:ind w:firstLine="0" w:firstLineChars="0"/>
              <w:jc w:val="center"/>
              <w:rPr>
                <w:sz w:val="21"/>
                <w:szCs w:val="21"/>
                <w:u w:val="single"/>
              </w:rPr>
            </w:pPr>
            <w:r>
              <w:rPr>
                <w:rFonts w:hint="eastAsia"/>
                <w:sz w:val="21"/>
                <w:szCs w:val="21"/>
                <w:u w:val="single"/>
              </w:rPr>
              <w:t>/</w:t>
            </w:r>
          </w:p>
        </w:tc>
        <w:tc>
          <w:tcPr>
            <w:tcW w:w="567" w:type="pct"/>
            <w:vAlign w:val="center"/>
          </w:tcPr>
          <w:p w14:paraId="56ACDAAC">
            <w:pPr>
              <w:spacing w:line="240" w:lineRule="auto"/>
              <w:ind w:firstLine="0" w:firstLineChars="0"/>
              <w:jc w:val="center"/>
              <w:rPr>
                <w:sz w:val="21"/>
                <w:szCs w:val="21"/>
                <w:u w:val="single"/>
              </w:rPr>
            </w:pPr>
            <w:r>
              <w:rPr>
                <w:rFonts w:hint="eastAsia"/>
                <w:sz w:val="21"/>
                <w:szCs w:val="21"/>
                <w:u w:val="single"/>
              </w:rPr>
              <w:t>/</w:t>
            </w:r>
          </w:p>
        </w:tc>
        <w:tc>
          <w:tcPr>
            <w:tcW w:w="336" w:type="pct"/>
            <w:vAlign w:val="center"/>
          </w:tcPr>
          <w:p w14:paraId="404DEA87">
            <w:pPr>
              <w:spacing w:line="240" w:lineRule="auto"/>
              <w:ind w:firstLine="0" w:firstLineChars="0"/>
              <w:jc w:val="center"/>
              <w:rPr>
                <w:sz w:val="21"/>
                <w:szCs w:val="21"/>
                <w:u w:val="single"/>
              </w:rPr>
            </w:pPr>
            <w:r>
              <w:rPr>
                <w:rFonts w:hint="eastAsia"/>
                <w:sz w:val="21"/>
                <w:szCs w:val="21"/>
                <w:u w:val="single"/>
              </w:rPr>
              <w:t>园区管网</w:t>
            </w:r>
          </w:p>
        </w:tc>
      </w:tr>
    </w:tbl>
    <w:p w14:paraId="1D3EAEB4">
      <w:pPr>
        <w:pStyle w:val="5"/>
        <w:spacing w:before="240" w:after="240"/>
      </w:pPr>
      <w:r>
        <w:t>本项目原辅材料及产品理化性质</w:t>
      </w:r>
    </w:p>
    <w:p w14:paraId="1D3EAEB5">
      <w:pPr>
        <w:spacing w:line="500" w:lineRule="exact"/>
        <w:ind w:firstLine="480"/>
        <w:rPr>
          <w:szCs w:val="24"/>
        </w:rPr>
      </w:pPr>
      <w:r>
        <w:rPr>
          <w:szCs w:val="24"/>
        </w:rPr>
        <w:t>本次工程主要原辅材料及产品理化性质详见下表。</w:t>
      </w:r>
    </w:p>
    <w:p w14:paraId="1D3EAEB6">
      <w:pPr>
        <w:pStyle w:val="64"/>
        <w:numPr>
          <w:ilvl w:val="0"/>
          <w:numId w:val="14"/>
        </w:numPr>
        <w:spacing w:before="120" w:after="120"/>
        <w:ind w:left="884" w:hanging="442" w:firstLineChars="0"/>
      </w:pPr>
      <w:r>
        <w:t xml:space="preserve">    本项目主要原辅材料及产品理化性质一览表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28" w:type="dxa"/>
          <w:bottom w:w="0" w:type="dxa"/>
          <w:right w:w="28" w:type="dxa"/>
        </w:tblCellMar>
      </w:tblPr>
      <w:tblGrid>
        <w:gridCol w:w="1564"/>
        <w:gridCol w:w="6804"/>
      </w:tblGrid>
      <w:tr w14:paraId="1D3EAEB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550" w:type="dxa"/>
            <w:vAlign w:val="center"/>
          </w:tcPr>
          <w:p w14:paraId="1D3EAEB7">
            <w:pPr>
              <w:adjustRightInd/>
              <w:snapToGrid/>
              <w:spacing w:line="240" w:lineRule="auto"/>
              <w:ind w:firstLine="0" w:firstLineChars="0"/>
              <w:jc w:val="center"/>
              <w:rPr>
                <w:b/>
                <w:bCs/>
                <w:kern w:val="2"/>
                <w:sz w:val="21"/>
                <w:szCs w:val="21"/>
              </w:rPr>
            </w:pPr>
            <w:r>
              <w:rPr>
                <w:b/>
                <w:bCs/>
                <w:kern w:val="2"/>
                <w:sz w:val="21"/>
                <w:szCs w:val="21"/>
              </w:rPr>
              <w:t>名称</w:t>
            </w:r>
          </w:p>
        </w:tc>
        <w:tc>
          <w:tcPr>
            <w:tcW w:w="6742" w:type="dxa"/>
            <w:vAlign w:val="center"/>
          </w:tcPr>
          <w:p w14:paraId="1D3EAEB8">
            <w:pPr>
              <w:adjustRightInd/>
              <w:snapToGrid/>
              <w:spacing w:line="240" w:lineRule="auto"/>
              <w:ind w:firstLine="0" w:firstLineChars="0"/>
              <w:jc w:val="center"/>
              <w:rPr>
                <w:b/>
                <w:bCs/>
                <w:kern w:val="2"/>
                <w:sz w:val="21"/>
                <w:szCs w:val="21"/>
              </w:rPr>
            </w:pPr>
            <w:r>
              <w:rPr>
                <w:b/>
                <w:bCs/>
                <w:kern w:val="2"/>
                <w:sz w:val="21"/>
                <w:szCs w:val="21"/>
              </w:rPr>
              <w:t>成分及物化性质</w:t>
            </w:r>
          </w:p>
        </w:tc>
      </w:tr>
      <w:tr w14:paraId="1D3EAEB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1D3EAEBA">
            <w:pPr>
              <w:adjustRightInd/>
              <w:snapToGrid/>
              <w:spacing w:line="240" w:lineRule="auto"/>
              <w:ind w:firstLine="0" w:firstLineChars="0"/>
              <w:jc w:val="center"/>
              <w:rPr>
                <w:kern w:val="2"/>
                <w:sz w:val="21"/>
                <w:szCs w:val="21"/>
              </w:rPr>
            </w:pPr>
            <w:r>
              <w:rPr>
                <w:kern w:val="2"/>
                <w:sz w:val="21"/>
                <w:szCs w:val="21"/>
              </w:rPr>
              <w:t>D4（八甲基环四硅氧烷）</w:t>
            </w:r>
          </w:p>
        </w:tc>
        <w:tc>
          <w:tcPr>
            <w:tcW w:w="6742" w:type="dxa"/>
            <w:vAlign w:val="center"/>
          </w:tcPr>
          <w:p w14:paraId="1D3EAEBB">
            <w:pPr>
              <w:spacing w:line="240" w:lineRule="auto"/>
              <w:ind w:firstLine="0" w:firstLineChars="0"/>
              <w:rPr>
                <w:kern w:val="2"/>
                <w:sz w:val="21"/>
                <w:szCs w:val="21"/>
              </w:rPr>
            </w:pPr>
            <w:r>
              <w:rPr>
                <w:kern w:val="2"/>
                <w:sz w:val="21"/>
                <w:szCs w:val="21"/>
              </w:rPr>
              <w:t>分子式：C</w:t>
            </w:r>
            <w:r>
              <w:rPr>
                <w:kern w:val="2"/>
                <w:sz w:val="21"/>
                <w:szCs w:val="21"/>
                <w:vertAlign w:val="subscript"/>
              </w:rPr>
              <w:t>8</w:t>
            </w:r>
            <w:r>
              <w:rPr>
                <w:kern w:val="2"/>
                <w:sz w:val="21"/>
                <w:szCs w:val="21"/>
              </w:rPr>
              <w:t>H</w:t>
            </w:r>
            <w:r>
              <w:rPr>
                <w:kern w:val="2"/>
                <w:sz w:val="21"/>
                <w:szCs w:val="21"/>
                <w:vertAlign w:val="subscript"/>
              </w:rPr>
              <w:t>24</w:t>
            </w:r>
            <w:r>
              <w:rPr>
                <w:kern w:val="2"/>
                <w:sz w:val="21"/>
                <w:szCs w:val="21"/>
              </w:rPr>
              <w:t>O</w:t>
            </w:r>
            <w:r>
              <w:rPr>
                <w:kern w:val="2"/>
                <w:sz w:val="21"/>
                <w:szCs w:val="21"/>
                <w:vertAlign w:val="subscript"/>
              </w:rPr>
              <w:t>4</w:t>
            </w:r>
            <w:r>
              <w:rPr>
                <w:kern w:val="2"/>
                <w:sz w:val="21"/>
                <w:szCs w:val="21"/>
              </w:rPr>
              <w:t>Si</w:t>
            </w:r>
            <w:r>
              <w:rPr>
                <w:kern w:val="2"/>
                <w:sz w:val="21"/>
                <w:szCs w:val="21"/>
                <w:vertAlign w:val="subscript"/>
              </w:rPr>
              <w:t>4</w:t>
            </w:r>
            <w:r>
              <w:rPr>
                <w:kern w:val="2"/>
                <w:sz w:val="21"/>
                <w:szCs w:val="21"/>
              </w:rPr>
              <w:t>，分子量：296.62，外观与性状：无色透明或乳白色液体。密度：0.9558g/cm</w:t>
            </w:r>
            <w:r>
              <w:rPr>
                <w:kern w:val="2"/>
                <w:sz w:val="21"/>
                <w:szCs w:val="21"/>
                <w:vertAlign w:val="superscript"/>
              </w:rPr>
              <w:t>3</w:t>
            </w:r>
            <w:r>
              <w:rPr>
                <w:kern w:val="2"/>
                <w:sz w:val="21"/>
                <w:szCs w:val="21"/>
              </w:rPr>
              <w:t>。溶解性：能与有机溶剂混溶。熔点17～18℃，沸点175～176℃，闪点60℃，易燃，是有机硅行业的重要中间体。主要用途包括制备甲基硅油等有机硅高聚物，无线电零件的绝缘和防潮，气相色谱玻璃毛细管柱表面去活性剂等。</w:t>
            </w:r>
          </w:p>
        </w:tc>
      </w:tr>
      <w:tr w14:paraId="1D3EAEB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1D3EAEBD">
            <w:pPr>
              <w:adjustRightInd/>
              <w:snapToGrid/>
              <w:spacing w:line="240" w:lineRule="auto"/>
              <w:ind w:firstLine="0" w:firstLineChars="0"/>
              <w:jc w:val="center"/>
              <w:rPr>
                <w:kern w:val="2"/>
                <w:sz w:val="21"/>
                <w:szCs w:val="21"/>
                <w:highlight w:val="yellow"/>
              </w:rPr>
            </w:pPr>
            <w:r>
              <w:rPr>
                <w:sz w:val="21"/>
                <w:szCs w:val="21"/>
              </w:rPr>
              <w:t>KF-99（高含氢硅油）</w:t>
            </w:r>
          </w:p>
        </w:tc>
        <w:tc>
          <w:tcPr>
            <w:tcW w:w="6742" w:type="dxa"/>
            <w:vAlign w:val="center"/>
          </w:tcPr>
          <w:p w14:paraId="1D3EAEBE">
            <w:pPr>
              <w:adjustRightInd/>
              <w:snapToGrid/>
              <w:spacing w:line="240" w:lineRule="auto"/>
              <w:ind w:firstLine="0" w:firstLineChars="0"/>
              <w:rPr>
                <w:kern w:val="2"/>
                <w:sz w:val="21"/>
                <w:szCs w:val="21"/>
                <w:highlight w:val="yellow"/>
              </w:rPr>
            </w:pPr>
            <w:r>
              <w:rPr>
                <w:kern w:val="2"/>
                <w:sz w:val="21"/>
                <w:szCs w:val="21"/>
              </w:rPr>
              <w:t>化学式：(CH</w:t>
            </w:r>
            <w:r>
              <w:rPr>
                <w:kern w:val="2"/>
                <w:sz w:val="21"/>
                <w:szCs w:val="21"/>
                <w:vertAlign w:val="subscript"/>
              </w:rPr>
              <w:t>3</w:t>
            </w:r>
            <w:r>
              <w:rPr>
                <w:kern w:val="2"/>
                <w:sz w:val="21"/>
                <w:szCs w:val="21"/>
              </w:rPr>
              <w:t>)</w:t>
            </w:r>
            <w:r>
              <w:rPr>
                <w:kern w:val="2"/>
                <w:sz w:val="21"/>
                <w:szCs w:val="21"/>
                <w:vertAlign w:val="subscript"/>
              </w:rPr>
              <w:t>3</w:t>
            </w:r>
            <w:r>
              <w:rPr>
                <w:kern w:val="2"/>
                <w:sz w:val="21"/>
                <w:szCs w:val="21"/>
              </w:rPr>
              <w:t>SiO[(CH</w:t>
            </w:r>
            <w:r>
              <w:rPr>
                <w:kern w:val="2"/>
                <w:sz w:val="21"/>
                <w:szCs w:val="21"/>
                <w:vertAlign w:val="subscript"/>
              </w:rPr>
              <w:t>3</w:t>
            </w:r>
            <w:r>
              <w:rPr>
                <w:kern w:val="2"/>
                <w:sz w:val="21"/>
                <w:szCs w:val="21"/>
              </w:rPr>
              <w:t>)(H)SiO]mSi(CH</w:t>
            </w:r>
            <w:r>
              <w:rPr>
                <w:kern w:val="2"/>
                <w:sz w:val="21"/>
                <w:szCs w:val="21"/>
                <w:vertAlign w:val="subscript"/>
              </w:rPr>
              <w:t>3</w:t>
            </w:r>
            <w:r>
              <w:rPr>
                <w:kern w:val="2"/>
                <w:sz w:val="21"/>
                <w:szCs w:val="21"/>
              </w:rPr>
              <w:t>)</w:t>
            </w:r>
            <w:r>
              <w:rPr>
                <w:kern w:val="2"/>
                <w:sz w:val="21"/>
                <w:szCs w:val="21"/>
                <w:vertAlign w:val="subscript"/>
              </w:rPr>
              <w:t>3</w:t>
            </w:r>
            <w:r>
              <w:rPr>
                <w:kern w:val="2"/>
                <w:sz w:val="21"/>
                <w:szCs w:val="21"/>
              </w:rPr>
              <w:t>，无色透明液体，沸点142℃，闪点180℃，密度：1.006g/cm</w:t>
            </w:r>
            <w:r>
              <w:rPr>
                <w:kern w:val="2"/>
                <w:sz w:val="21"/>
                <w:szCs w:val="21"/>
                <w:vertAlign w:val="superscript"/>
              </w:rPr>
              <w:t>3</w:t>
            </w:r>
            <w:r>
              <w:rPr>
                <w:kern w:val="2"/>
                <w:sz w:val="21"/>
                <w:szCs w:val="21"/>
              </w:rPr>
              <w:t>。可作为石膏、织物、玻璃、陶瓷、纸张、皮革、金属、水泥、大理石等各种材料的防水剂，尤其是织物的防水。</w:t>
            </w:r>
          </w:p>
        </w:tc>
      </w:tr>
      <w:tr w14:paraId="1D3EAEC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1D3EAEC0">
            <w:pPr>
              <w:adjustRightInd/>
              <w:snapToGrid/>
              <w:spacing w:line="240" w:lineRule="auto"/>
              <w:ind w:firstLine="0" w:firstLineChars="0"/>
              <w:jc w:val="center"/>
              <w:rPr>
                <w:kern w:val="2"/>
                <w:sz w:val="21"/>
                <w:szCs w:val="21"/>
              </w:rPr>
            </w:pPr>
            <w:r>
              <w:rPr>
                <w:sz w:val="21"/>
                <w:szCs w:val="21"/>
              </w:rPr>
              <w:t>小苏打（碳酸氢钠）</w:t>
            </w:r>
          </w:p>
        </w:tc>
        <w:tc>
          <w:tcPr>
            <w:tcW w:w="6742" w:type="dxa"/>
            <w:vAlign w:val="center"/>
          </w:tcPr>
          <w:p w14:paraId="1D3EAEC1">
            <w:pPr>
              <w:adjustRightInd/>
              <w:snapToGrid/>
              <w:spacing w:line="240" w:lineRule="auto"/>
              <w:ind w:firstLine="0" w:firstLineChars="0"/>
              <w:rPr>
                <w:kern w:val="2"/>
                <w:sz w:val="21"/>
                <w:szCs w:val="21"/>
                <w:highlight w:val="yellow"/>
              </w:rPr>
            </w:pPr>
            <w:r>
              <w:rPr>
                <w:kern w:val="2"/>
                <w:sz w:val="21"/>
                <w:szCs w:val="21"/>
              </w:rPr>
              <w:t>分子式为NaHCO₃，分子量84.01，密度2.2g/cm</w:t>
            </w:r>
            <w:r>
              <w:rPr>
                <w:kern w:val="2"/>
                <w:sz w:val="21"/>
                <w:szCs w:val="21"/>
                <w:vertAlign w:val="superscript"/>
              </w:rPr>
              <w:t>3</w:t>
            </w:r>
            <w:r>
              <w:rPr>
                <w:kern w:val="2"/>
                <w:sz w:val="21"/>
                <w:szCs w:val="21"/>
              </w:rPr>
              <w:t>。是一种无机化合物，白色粉末或细微晶体，无臭，味咸，易溶于水及甘油，微溶于乙醇，水溶液呈微碱性。受热易分解，在潮湿空气中缓慢分解，产生CO</w:t>
            </w:r>
            <w:r>
              <w:rPr>
                <w:kern w:val="2"/>
                <w:sz w:val="21"/>
                <w:szCs w:val="21"/>
                <w:vertAlign w:val="subscript"/>
              </w:rPr>
              <w:t>2</w:t>
            </w:r>
            <w:r>
              <w:rPr>
                <w:kern w:val="2"/>
                <w:sz w:val="21"/>
                <w:szCs w:val="21"/>
              </w:rPr>
              <w:t>，约50℃开始分解，加热至270℃完全分解。遇酸则强烈分解，产生CO</w:t>
            </w:r>
            <w:r>
              <w:rPr>
                <w:kern w:val="2"/>
                <w:sz w:val="21"/>
                <w:szCs w:val="21"/>
                <w:vertAlign w:val="subscript"/>
              </w:rPr>
              <w:t>2</w:t>
            </w:r>
            <w:r>
              <w:rPr>
                <w:kern w:val="2"/>
                <w:sz w:val="21"/>
                <w:szCs w:val="21"/>
              </w:rPr>
              <w:t>。碳酸氢钠广泛应用于化工、医药、食品、轻工、纺织等工业领域以及人们的日常生活。</w:t>
            </w:r>
          </w:p>
        </w:tc>
      </w:tr>
      <w:tr w14:paraId="480BF3A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59FB310C">
            <w:pPr>
              <w:adjustRightInd/>
              <w:snapToGrid/>
              <w:spacing w:line="240" w:lineRule="auto"/>
              <w:ind w:firstLine="0" w:firstLineChars="0"/>
              <w:jc w:val="center"/>
              <w:rPr>
                <w:sz w:val="21"/>
                <w:szCs w:val="21"/>
              </w:rPr>
            </w:pPr>
            <w:r>
              <w:rPr>
                <w:sz w:val="21"/>
                <w:szCs w:val="21"/>
              </w:rPr>
              <w:t>氯铂酸</w:t>
            </w:r>
          </w:p>
        </w:tc>
        <w:tc>
          <w:tcPr>
            <w:tcW w:w="6742" w:type="dxa"/>
            <w:vAlign w:val="center"/>
          </w:tcPr>
          <w:p w14:paraId="14958B41">
            <w:pPr>
              <w:adjustRightInd/>
              <w:snapToGrid/>
              <w:spacing w:line="240" w:lineRule="auto"/>
              <w:ind w:firstLine="0" w:firstLineChars="0"/>
              <w:rPr>
                <w:kern w:val="2"/>
                <w:sz w:val="21"/>
                <w:szCs w:val="21"/>
              </w:rPr>
            </w:pPr>
            <w:r>
              <w:rPr>
                <w:kern w:val="2"/>
                <w:sz w:val="21"/>
                <w:szCs w:val="21"/>
              </w:rPr>
              <w:t>是一种无机化合物，化学式为H</w:t>
            </w:r>
            <w:r>
              <w:rPr>
                <w:kern w:val="2"/>
                <w:sz w:val="21"/>
                <w:szCs w:val="21"/>
                <w:vertAlign w:val="subscript"/>
              </w:rPr>
              <w:t>2</w:t>
            </w:r>
            <w:r>
              <w:rPr>
                <w:kern w:val="2"/>
                <w:sz w:val="21"/>
                <w:szCs w:val="21"/>
              </w:rPr>
              <w:t>PtCl</w:t>
            </w:r>
            <w:r>
              <w:rPr>
                <w:kern w:val="2"/>
                <w:sz w:val="21"/>
                <w:szCs w:val="21"/>
                <w:vertAlign w:val="subscript"/>
              </w:rPr>
              <w:t>6</w:t>
            </w:r>
            <w:r>
              <w:rPr>
                <w:kern w:val="2"/>
                <w:sz w:val="21"/>
                <w:szCs w:val="21"/>
              </w:rPr>
              <w:t>，分子量409.818，为橙黄色粉末，溶于水、乙醇和丙酮，主要用作石油化工中加氢脱氢催化剂的活性成分，也可用于电镀，还可用作催化剂和分析试剂。熔点60℃，密度：2.43g/cm</w:t>
            </w:r>
            <w:r>
              <w:rPr>
                <w:kern w:val="2"/>
                <w:sz w:val="21"/>
                <w:szCs w:val="21"/>
                <w:vertAlign w:val="superscript"/>
              </w:rPr>
              <w:t>3</w:t>
            </w:r>
            <w:r>
              <w:rPr>
                <w:kern w:val="2"/>
                <w:sz w:val="21"/>
                <w:szCs w:val="21"/>
              </w:rPr>
              <w:t>。</w:t>
            </w:r>
          </w:p>
        </w:tc>
      </w:tr>
      <w:tr w14:paraId="1D3EAEC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1D3EAEC3">
            <w:pPr>
              <w:adjustRightInd/>
              <w:snapToGrid/>
              <w:spacing w:line="240" w:lineRule="auto"/>
              <w:ind w:firstLine="0" w:firstLineChars="0"/>
              <w:jc w:val="center"/>
              <w:rPr>
                <w:kern w:val="2"/>
                <w:sz w:val="21"/>
                <w:szCs w:val="21"/>
              </w:rPr>
            </w:pPr>
            <w:r>
              <w:rPr>
                <w:sz w:val="21"/>
                <w:szCs w:val="21"/>
              </w:rPr>
              <w:t>二丙二醇</w:t>
            </w:r>
          </w:p>
        </w:tc>
        <w:tc>
          <w:tcPr>
            <w:tcW w:w="6742" w:type="dxa"/>
            <w:vAlign w:val="center"/>
          </w:tcPr>
          <w:p w14:paraId="1D3EAEC4">
            <w:pPr>
              <w:adjustRightInd/>
              <w:snapToGrid/>
              <w:spacing w:line="240" w:lineRule="auto"/>
              <w:ind w:firstLine="0" w:firstLineChars="0"/>
              <w:rPr>
                <w:kern w:val="2"/>
                <w:sz w:val="21"/>
                <w:szCs w:val="21"/>
                <w:highlight w:val="yellow"/>
              </w:rPr>
            </w:pPr>
            <w:r>
              <w:rPr>
                <w:kern w:val="2"/>
                <w:sz w:val="21"/>
                <w:szCs w:val="21"/>
              </w:rPr>
              <w:t>分子式：C</w:t>
            </w:r>
            <w:r>
              <w:rPr>
                <w:kern w:val="2"/>
                <w:sz w:val="21"/>
                <w:szCs w:val="21"/>
                <w:vertAlign w:val="subscript"/>
              </w:rPr>
              <w:t>6</w:t>
            </w:r>
            <w:r>
              <w:rPr>
                <w:kern w:val="2"/>
                <w:sz w:val="21"/>
                <w:szCs w:val="21"/>
              </w:rPr>
              <w:t>H</w:t>
            </w:r>
            <w:r>
              <w:rPr>
                <w:kern w:val="2"/>
                <w:sz w:val="21"/>
                <w:szCs w:val="21"/>
                <w:vertAlign w:val="subscript"/>
              </w:rPr>
              <w:t>14</w:t>
            </w:r>
            <w:r>
              <w:rPr>
                <w:kern w:val="2"/>
                <w:sz w:val="21"/>
                <w:szCs w:val="21"/>
              </w:rPr>
              <w:t>O</w:t>
            </w:r>
            <w:r>
              <w:rPr>
                <w:kern w:val="2"/>
                <w:sz w:val="21"/>
                <w:szCs w:val="21"/>
                <w:vertAlign w:val="subscript"/>
              </w:rPr>
              <w:t>3</w:t>
            </w:r>
            <w:r>
              <w:rPr>
                <w:kern w:val="2"/>
                <w:sz w:val="21"/>
                <w:szCs w:val="21"/>
              </w:rPr>
              <w:t>，分子量134.17，常温下是一种无嗅、无色、水溶性和吸湿性液体，溶于水和甲苯、可混溶于甲醇、乙醚。可燃，密度1</w:t>
            </w:r>
            <w:r>
              <w:rPr>
                <w:rFonts w:hint="eastAsia"/>
                <w:kern w:val="2"/>
                <w:sz w:val="21"/>
                <w:szCs w:val="21"/>
              </w:rPr>
              <w:t>.0252</w:t>
            </w:r>
            <w:r>
              <w:rPr>
                <w:kern w:val="2"/>
                <w:sz w:val="21"/>
                <w:szCs w:val="21"/>
              </w:rPr>
              <w:t>g/cm</w:t>
            </w:r>
            <w:r>
              <w:rPr>
                <w:kern w:val="2"/>
                <w:sz w:val="21"/>
                <w:szCs w:val="21"/>
                <w:vertAlign w:val="superscript"/>
              </w:rPr>
              <w:t>3</w:t>
            </w:r>
            <w:r>
              <w:rPr>
                <w:kern w:val="2"/>
                <w:sz w:val="21"/>
                <w:szCs w:val="21"/>
              </w:rPr>
              <w:t>，沸点231.8℃，熔点-40℃，闪点137.8℃。常温常压不分解，禁止与强氧化剂接触。具有醇的一般化学性质。</w:t>
            </w:r>
          </w:p>
        </w:tc>
      </w:tr>
      <w:tr w14:paraId="76C22DA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703F305A">
            <w:pPr>
              <w:adjustRightInd/>
              <w:snapToGrid/>
              <w:spacing w:line="240" w:lineRule="auto"/>
              <w:ind w:firstLine="0" w:firstLineChars="0"/>
              <w:jc w:val="center"/>
              <w:rPr>
                <w:sz w:val="21"/>
                <w:szCs w:val="21"/>
              </w:rPr>
            </w:pPr>
            <w:r>
              <w:rPr>
                <w:sz w:val="21"/>
                <w:szCs w:val="21"/>
              </w:rPr>
              <w:t>硫酸</w:t>
            </w:r>
          </w:p>
        </w:tc>
        <w:tc>
          <w:tcPr>
            <w:tcW w:w="6742" w:type="dxa"/>
            <w:vAlign w:val="center"/>
          </w:tcPr>
          <w:p w14:paraId="432ED585">
            <w:pPr>
              <w:adjustRightInd/>
              <w:snapToGrid/>
              <w:spacing w:line="240" w:lineRule="auto"/>
              <w:ind w:firstLine="0" w:firstLineChars="0"/>
              <w:rPr>
                <w:kern w:val="2"/>
                <w:sz w:val="21"/>
                <w:szCs w:val="21"/>
              </w:rPr>
            </w:pPr>
            <w:r>
              <w:rPr>
                <w:kern w:val="2"/>
                <w:sz w:val="21"/>
                <w:szCs w:val="21"/>
              </w:rPr>
              <w:t>是一种无机化合物，化学式是H</w:t>
            </w:r>
            <w:r>
              <w:rPr>
                <w:kern w:val="2"/>
                <w:sz w:val="21"/>
                <w:szCs w:val="21"/>
                <w:vertAlign w:val="subscript"/>
              </w:rPr>
              <w:t>2</w:t>
            </w:r>
            <w:r>
              <w:rPr>
                <w:kern w:val="2"/>
                <w:sz w:val="21"/>
                <w:szCs w:val="21"/>
              </w:rPr>
              <w:t>SO</w:t>
            </w:r>
            <w:r>
              <w:rPr>
                <w:kern w:val="2"/>
                <w:sz w:val="21"/>
                <w:szCs w:val="21"/>
                <w:vertAlign w:val="subscript"/>
              </w:rPr>
              <w:t>4</w:t>
            </w:r>
            <w:r>
              <w:rPr>
                <w:kern w:val="2"/>
                <w:sz w:val="21"/>
                <w:szCs w:val="21"/>
              </w:rPr>
              <w:t>，纯净的硫酸为无色油状液体，高浓度的硫酸有强烈吸水性，与水混合时，亦会放出大量热能。其具有强烈的</w:t>
            </w:r>
            <w:r>
              <w:fldChar w:fldCharType="begin"/>
            </w:r>
            <w:r>
              <w:instrText xml:space="preserve"> HYPERLINK "https://baike.baidu.com/item/%E8%85%90%E8%9A%80%E6%80%A7/770500?fromModule=lemma_inlink" \t "_blank" </w:instrText>
            </w:r>
            <w:r>
              <w:fldChar w:fldCharType="separate"/>
            </w:r>
            <w:r>
              <w:rPr>
                <w:rStyle w:val="49"/>
                <w:color w:val="auto"/>
                <w:kern w:val="2"/>
                <w:sz w:val="21"/>
                <w:szCs w:val="21"/>
                <w:u w:val="none"/>
              </w:rPr>
              <w:t>腐蚀性</w:t>
            </w:r>
            <w:r>
              <w:rPr>
                <w:rStyle w:val="49"/>
                <w:color w:val="auto"/>
                <w:kern w:val="2"/>
                <w:sz w:val="21"/>
                <w:szCs w:val="21"/>
                <w:u w:val="none"/>
              </w:rPr>
              <w:fldChar w:fldCharType="end"/>
            </w:r>
            <w:r>
              <w:rPr>
                <w:kern w:val="2"/>
                <w:sz w:val="21"/>
                <w:szCs w:val="21"/>
              </w:rPr>
              <w:t>和</w:t>
            </w:r>
            <w:r>
              <w:fldChar w:fldCharType="begin"/>
            </w:r>
            <w:r>
              <w:instrText xml:space="preserve"> HYPERLINK "https://baike.baidu.com/item/%E6%B0%A7%E5%8C%96%E6%80%A7/4826093?fromModule=lemma_inlink" \t "_blank" </w:instrText>
            </w:r>
            <w:r>
              <w:fldChar w:fldCharType="separate"/>
            </w:r>
            <w:r>
              <w:rPr>
                <w:rStyle w:val="49"/>
                <w:color w:val="auto"/>
                <w:kern w:val="2"/>
                <w:sz w:val="21"/>
                <w:szCs w:val="21"/>
                <w:u w:val="none"/>
              </w:rPr>
              <w:t>氧化性</w:t>
            </w:r>
            <w:r>
              <w:rPr>
                <w:rStyle w:val="49"/>
                <w:color w:val="auto"/>
                <w:kern w:val="2"/>
                <w:sz w:val="21"/>
                <w:szCs w:val="21"/>
                <w:u w:val="none"/>
              </w:rPr>
              <w:fldChar w:fldCharType="end"/>
            </w:r>
            <w:r>
              <w:rPr>
                <w:kern w:val="2"/>
                <w:sz w:val="21"/>
                <w:szCs w:val="21"/>
              </w:rPr>
              <w:t>。常用作</w:t>
            </w:r>
            <w:r>
              <w:fldChar w:fldCharType="begin"/>
            </w:r>
            <w:r>
              <w:instrText xml:space="preserve"> HYPERLINK "https://baike.baidu.com/item/%E5%8C%96%E5%AD%A6%E8%AF%95%E5%89%82/2609911?fromModule=lemma_inlink" \t "_blank" </w:instrText>
            </w:r>
            <w:r>
              <w:fldChar w:fldCharType="separate"/>
            </w:r>
            <w:r>
              <w:rPr>
                <w:rStyle w:val="49"/>
                <w:color w:val="auto"/>
                <w:kern w:val="2"/>
                <w:sz w:val="21"/>
                <w:szCs w:val="21"/>
                <w:u w:val="none"/>
              </w:rPr>
              <w:t>化学试剂</w:t>
            </w:r>
            <w:r>
              <w:rPr>
                <w:rStyle w:val="49"/>
                <w:color w:val="auto"/>
                <w:kern w:val="2"/>
                <w:sz w:val="21"/>
                <w:szCs w:val="21"/>
                <w:u w:val="none"/>
              </w:rPr>
              <w:fldChar w:fldCharType="end"/>
            </w:r>
            <w:r>
              <w:rPr>
                <w:kern w:val="2"/>
                <w:sz w:val="21"/>
                <w:szCs w:val="21"/>
              </w:rPr>
              <w:t>，在有机合成中可用作脱水剂和</w:t>
            </w:r>
            <w:r>
              <w:fldChar w:fldCharType="begin"/>
            </w:r>
            <w:r>
              <w:instrText xml:space="preserve"> HYPERLINK "https://baike.baidu.com/item/%E7%A3%BA%E5%8C%96%E5%89%82/9847166?fromModule=lemma_inlink" \t "_blank" </w:instrText>
            </w:r>
            <w:r>
              <w:fldChar w:fldCharType="separate"/>
            </w:r>
            <w:r>
              <w:rPr>
                <w:rStyle w:val="49"/>
                <w:color w:val="auto"/>
                <w:kern w:val="2"/>
                <w:sz w:val="21"/>
                <w:szCs w:val="21"/>
                <w:u w:val="none"/>
              </w:rPr>
              <w:t>磺化剂</w:t>
            </w:r>
            <w:r>
              <w:rPr>
                <w:rStyle w:val="49"/>
                <w:color w:val="auto"/>
                <w:kern w:val="2"/>
                <w:sz w:val="21"/>
                <w:szCs w:val="21"/>
                <w:u w:val="none"/>
              </w:rPr>
              <w:fldChar w:fldCharType="end"/>
            </w:r>
            <w:r>
              <w:rPr>
                <w:kern w:val="2"/>
                <w:sz w:val="21"/>
                <w:szCs w:val="21"/>
              </w:rPr>
              <w:t>。沸点338℃，熔点10.37℃，密度1.8305g/cm</w:t>
            </w:r>
            <w:r>
              <w:rPr>
                <w:kern w:val="2"/>
                <w:sz w:val="21"/>
                <w:szCs w:val="21"/>
                <w:vertAlign w:val="superscript"/>
              </w:rPr>
              <w:t>3</w:t>
            </w:r>
            <w:r>
              <w:rPr>
                <w:kern w:val="2"/>
                <w:sz w:val="21"/>
                <w:szCs w:val="21"/>
              </w:rPr>
              <w:t>。</w:t>
            </w:r>
          </w:p>
        </w:tc>
      </w:tr>
      <w:tr w14:paraId="0700178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01EA0274">
            <w:pPr>
              <w:adjustRightInd/>
              <w:snapToGrid/>
              <w:spacing w:line="240" w:lineRule="auto"/>
              <w:ind w:firstLine="0" w:firstLineChars="0"/>
              <w:jc w:val="center"/>
              <w:rPr>
                <w:sz w:val="21"/>
                <w:szCs w:val="21"/>
              </w:rPr>
            </w:pPr>
            <w:r>
              <w:rPr>
                <w:sz w:val="21"/>
                <w:szCs w:val="21"/>
              </w:rPr>
              <w:t>烯丙醇聚醚乙酰基封端</w:t>
            </w:r>
          </w:p>
          <w:p w14:paraId="487D142D">
            <w:pPr>
              <w:adjustRightInd/>
              <w:snapToGrid/>
              <w:spacing w:line="240" w:lineRule="auto"/>
              <w:ind w:firstLine="0" w:firstLineChars="0"/>
              <w:jc w:val="center"/>
              <w:rPr>
                <w:sz w:val="21"/>
                <w:szCs w:val="21"/>
              </w:rPr>
            </w:pPr>
            <w:r>
              <w:rPr>
                <w:sz w:val="21"/>
                <w:szCs w:val="21"/>
              </w:rPr>
              <w:t>（HMS-218M）</w:t>
            </w:r>
          </w:p>
        </w:tc>
        <w:tc>
          <w:tcPr>
            <w:tcW w:w="6742" w:type="dxa"/>
            <w:vAlign w:val="center"/>
          </w:tcPr>
          <w:p w14:paraId="017BD752">
            <w:pPr>
              <w:adjustRightInd/>
              <w:snapToGrid/>
              <w:spacing w:line="240" w:lineRule="auto"/>
              <w:ind w:firstLine="0" w:firstLineChars="0"/>
              <w:rPr>
                <w:kern w:val="2"/>
                <w:sz w:val="21"/>
                <w:szCs w:val="21"/>
              </w:rPr>
            </w:pPr>
            <w:r>
              <w:rPr>
                <w:kern w:val="2"/>
                <w:sz w:val="21"/>
                <w:szCs w:val="21"/>
              </w:rPr>
              <w:t>无色至微黄色透明液体，轻微气味，沸点≥250℃，闪点≥230℃，溶于水，密度1.04g/mL(25℃)，蒸气压＜0.01KPa（20℃）。</w:t>
            </w:r>
          </w:p>
        </w:tc>
      </w:tr>
      <w:tr w14:paraId="2AF450E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656C1BA6">
            <w:pPr>
              <w:adjustRightInd/>
              <w:snapToGrid/>
              <w:spacing w:line="240" w:lineRule="auto"/>
              <w:ind w:firstLine="0" w:firstLineChars="0"/>
              <w:jc w:val="center"/>
              <w:rPr>
                <w:sz w:val="21"/>
                <w:szCs w:val="21"/>
              </w:rPr>
            </w:pPr>
            <w:r>
              <w:rPr>
                <w:sz w:val="21"/>
                <w:szCs w:val="21"/>
              </w:rPr>
              <w:t>烯丙醇聚氧乙醚乙酰基封端</w:t>
            </w:r>
          </w:p>
          <w:p w14:paraId="6C8A499D">
            <w:pPr>
              <w:adjustRightInd/>
              <w:snapToGrid/>
              <w:spacing w:line="240" w:lineRule="auto"/>
              <w:ind w:firstLine="0" w:firstLineChars="0"/>
              <w:jc w:val="center"/>
            </w:pPr>
            <w:r>
              <w:rPr>
                <w:sz w:val="21"/>
                <w:szCs w:val="21"/>
              </w:rPr>
              <w:t>（HMS-215M）</w:t>
            </w:r>
          </w:p>
        </w:tc>
        <w:tc>
          <w:tcPr>
            <w:tcW w:w="6742" w:type="dxa"/>
            <w:vAlign w:val="center"/>
          </w:tcPr>
          <w:p w14:paraId="10370CD7">
            <w:pPr>
              <w:adjustRightInd/>
              <w:snapToGrid/>
              <w:spacing w:line="240" w:lineRule="auto"/>
              <w:ind w:firstLine="0" w:firstLineChars="0"/>
              <w:rPr>
                <w:kern w:val="2"/>
                <w:sz w:val="21"/>
                <w:szCs w:val="21"/>
              </w:rPr>
            </w:pPr>
            <w:r>
              <w:rPr>
                <w:kern w:val="2"/>
                <w:sz w:val="21"/>
                <w:szCs w:val="21"/>
              </w:rPr>
              <w:t>液体，轻微气味，沸点≥220℃，闪点≥180℃，溶于水，密度1.09g/mL(25℃)，蒸气压＜0.01KPa（20℃）。禁配物：氧化剂。</w:t>
            </w:r>
          </w:p>
        </w:tc>
      </w:tr>
      <w:tr w14:paraId="0228783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2184AA72">
            <w:pPr>
              <w:adjustRightInd/>
              <w:snapToGrid/>
              <w:spacing w:line="240" w:lineRule="auto"/>
              <w:ind w:firstLine="0" w:firstLineChars="0"/>
              <w:jc w:val="center"/>
              <w:rPr>
                <w:sz w:val="21"/>
                <w:szCs w:val="21"/>
              </w:rPr>
            </w:pPr>
            <w:r>
              <w:rPr>
                <w:sz w:val="21"/>
                <w:szCs w:val="21"/>
              </w:rPr>
              <w:t>烯丙醇聚氧乙烯醚乙酰基封端</w:t>
            </w:r>
          </w:p>
          <w:p w14:paraId="19A4E2BB">
            <w:pPr>
              <w:adjustRightInd/>
              <w:snapToGrid/>
              <w:spacing w:line="240" w:lineRule="auto"/>
              <w:ind w:firstLine="0" w:firstLineChars="0"/>
              <w:jc w:val="center"/>
            </w:pPr>
            <w:r>
              <w:rPr>
                <w:sz w:val="21"/>
                <w:szCs w:val="21"/>
              </w:rPr>
              <w:t>（HMS-222M）</w:t>
            </w:r>
          </w:p>
        </w:tc>
        <w:tc>
          <w:tcPr>
            <w:tcW w:w="6742" w:type="dxa"/>
            <w:vAlign w:val="center"/>
          </w:tcPr>
          <w:p w14:paraId="659AE3F7">
            <w:pPr>
              <w:adjustRightInd/>
              <w:snapToGrid/>
              <w:spacing w:line="240" w:lineRule="auto"/>
              <w:ind w:firstLine="0" w:firstLineChars="0"/>
              <w:rPr>
                <w:kern w:val="2"/>
                <w:sz w:val="21"/>
                <w:szCs w:val="21"/>
              </w:rPr>
            </w:pPr>
            <w:r>
              <w:rPr>
                <w:kern w:val="2"/>
                <w:sz w:val="21"/>
                <w:szCs w:val="21"/>
              </w:rPr>
              <w:t>液体，轻微气味，沸点≥180℃，闪点≥150℃，溶于水，密度0.99g/mL(25℃)，蒸气压＜0.01KPa（20℃）。禁配物：氧化剂。</w:t>
            </w:r>
          </w:p>
        </w:tc>
      </w:tr>
      <w:tr w14:paraId="4DB6AB9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56A45E57">
            <w:pPr>
              <w:adjustRightInd/>
              <w:snapToGrid/>
              <w:spacing w:line="240" w:lineRule="auto"/>
              <w:ind w:firstLine="0" w:firstLineChars="0"/>
              <w:jc w:val="center"/>
              <w:rPr>
                <w:sz w:val="21"/>
                <w:szCs w:val="21"/>
              </w:rPr>
            </w:pPr>
            <w:r>
              <w:rPr>
                <w:sz w:val="21"/>
                <w:szCs w:val="21"/>
              </w:rPr>
              <w:t>双氧水</w:t>
            </w:r>
          </w:p>
        </w:tc>
        <w:tc>
          <w:tcPr>
            <w:tcW w:w="6742" w:type="dxa"/>
            <w:vAlign w:val="center"/>
          </w:tcPr>
          <w:p w14:paraId="7AC409BE">
            <w:pPr>
              <w:adjustRightInd/>
              <w:snapToGrid/>
              <w:spacing w:line="240" w:lineRule="auto"/>
              <w:ind w:firstLine="0" w:firstLineChars="0"/>
              <w:rPr>
                <w:kern w:val="2"/>
                <w:sz w:val="21"/>
                <w:szCs w:val="21"/>
              </w:rPr>
            </w:pPr>
            <w:r>
              <w:rPr>
                <w:kern w:val="2"/>
                <w:sz w:val="21"/>
                <w:szCs w:val="21"/>
              </w:rPr>
              <w:t>是</w:t>
            </w:r>
            <w:r>
              <w:fldChar w:fldCharType="begin"/>
            </w:r>
            <w:r>
              <w:instrText xml:space="preserve"> HYPERLINK "https://baike.baidu.com/item/%E8%BF%87%E6%B0%A7%E5%8C%96%E6%B0%A2/2230959?fromModule=lemma_inlink" \t "_blank" </w:instrText>
            </w:r>
            <w:r>
              <w:fldChar w:fldCharType="separate"/>
            </w:r>
            <w:r>
              <w:rPr>
                <w:rStyle w:val="49"/>
                <w:color w:val="auto"/>
                <w:kern w:val="2"/>
                <w:sz w:val="21"/>
                <w:szCs w:val="21"/>
                <w:u w:val="none"/>
              </w:rPr>
              <w:t>过氧化氢</w:t>
            </w:r>
            <w:r>
              <w:rPr>
                <w:rStyle w:val="49"/>
                <w:color w:val="auto"/>
                <w:kern w:val="2"/>
                <w:sz w:val="21"/>
                <w:szCs w:val="21"/>
                <w:u w:val="none"/>
              </w:rPr>
              <w:fldChar w:fldCharType="end"/>
            </w:r>
            <w:r>
              <w:rPr>
                <w:kern w:val="2"/>
                <w:sz w:val="21"/>
                <w:szCs w:val="21"/>
              </w:rPr>
              <w:t>的水溶液，常用于杀菌消毒。</w:t>
            </w:r>
            <w:r>
              <w:fldChar w:fldCharType="begin"/>
            </w:r>
            <w:r>
              <w:instrText xml:space="preserve"> HYPERLINK "https://baike.baidu.com/item/%E8%BF%87%E6%B0%A7%E5%8C%96%E6%B0%A2/2230959?fromModule=lemma_inlink" \t "_blank" </w:instrText>
            </w:r>
            <w:r>
              <w:fldChar w:fldCharType="separate"/>
            </w:r>
            <w:r>
              <w:rPr>
                <w:rStyle w:val="49"/>
                <w:color w:val="auto"/>
                <w:kern w:val="2"/>
                <w:sz w:val="21"/>
                <w:szCs w:val="21"/>
                <w:u w:val="none"/>
              </w:rPr>
              <w:t>过氧化氢</w:t>
            </w:r>
            <w:r>
              <w:rPr>
                <w:rStyle w:val="49"/>
                <w:color w:val="auto"/>
                <w:kern w:val="2"/>
                <w:sz w:val="21"/>
                <w:szCs w:val="21"/>
                <w:u w:val="none"/>
              </w:rPr>
              <w:fldChar w:fldCharType="end"/>
            </w:r>
            <w:r>
              <w:rPr>
                <w:kern w:val="2"/>
                <w:sz w:val="21"/>
                <w:szCs w:val="21"/>
              </w:rPr>
              <w:t>是一种无机化合物，化学式H₂O₂，相对分子质量34.02，无色液体，相对密度1.465g/cm³，熔点-1℃，沸点150.2℃，纯净物品易分解成水和氧气。</w:t>
            </w:r>
          </w:p>
        </w:tc>
      </w:tr>
      <w:tr w14:paraId="46952F2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550" w:type="dxa"/>
            <w:vAlign w:val="center"/>
          </w:tcPr>
          <w:p w14:paraId="6B9757D6">
            <w:pPr>
              <w:adjustRightInd/>
              <w:snapToGrid/>
              <w:spacing w:line="240" w:lineRule="auto"/>
              <w:ind w:firstLine="0" w:firstLineChars="0"/>
              <w:jc w:val="center"/>
              <w:rPr>
                <w:sz w:val="21"/>
                <w:szCs w:val="21"/>
              </w:rPr>
            </w:pPr>
            <w:r>
              <w:rPr>
                <w:sz w:val="21"/>
                <w:szCs w:val="21"/>
              </w:rPr>
              <w:t>三羟基聚氧化丙烯氧化乙烯醚</w:t>
            </w:r>
          </w:p>
        </w:tc>
        <w:tc>
          <w:tcPr>
            <w:tcW w:w="6742" w:type="dxa"/>
            <w:vAlign w:val="center"/>
          </w:tcPr>
          <w:p w14:paraId="28119BDD">
            <w:pPr>
              <w:adjustRightInd/>
              <w:snapToGrid/>
              <w:spacing w:line="240" w:lineRule="auto"/>
              <w:ind w:firstLine="0" w:firstLineChars="0"/>
              <w:rPr>
                <w:kern w:val="2"/>
                <w:sz w:val="21"/>
                <w:szCs w:val="21"/>
              </w:rPr>
            </w:pPr>
            <w:r>
              <w:rPr>
                <w:kern w:val="2"/>
                <w:sz w:val="21"/>
                <w:szCs w:val="21"/>
              </w:rPr>
              <w:t>无色至浅黄色粘稠液体，熔点:-40℃，密度:1.03g/mL，粘度≤700mPa•s，闪点≥100℃，羟值（mg/KOH/g）：56±1.5，蒸气压&lt;0.04KPa(20℃)，溶解度：几乎不溶于水。</w:t>
            </w:r>
          </w:p>
        </w:tc>
      </w:tr>
    </w:tbl>
    <w:p w14:paraId="732805DF">
      <w:pPr>
        <w:pStyle w:val="5"/>
        <w:spacing w:before="240" w:after="240"/>
      </w:pPr>
      <w:bookmarkStart w:id="171" w:name="_Toc428287567"/>
      <w:bookmarkStart w:id="172" w:name="_Toc428287215"/>
      <w:bookmarkStart w:id="173" w:name="_Toc428286831"/>
      <w:r>
        <w:t>生产设备</w:t>
      </w:r>
    </w:p>
    <w:p w14:paraId="6176341F">
      <w:pPr>
        <w:ind w:firstLine="480"/>
      </w:pPr>
      <w:r>
        <w:t>本项目主要生产设备见下表。</w:t>
      </w:r>
    </w:p>
    <w:p w14:paraId="0EBA69B3">
      <w:pPr>
        <w:pStyle w:val="64"/>
        <w:numPr>
          <w:ilvl w:val="0"/>
          <w:numId w:val="14"/>
        </w:numPr>
        <w:spacing w:before="120" w:after="120"/>
        <w:ind w:left="884" w:hanging="442" w:firstLineChars="0"/>
      </w:pPr>
      <w:r>
        <w:t xml:space="preserve">   </w:t>
      </w:r>
      <w:r>
        <w:rPr>
          <w:rFonts w:hint="eastAsia"/>
        </w:rPr>
        <w:t xml:space="preserve">  </w:t>
      </w:r>
      <w:r>
        <w:t xml:space="preserve">   本工程主要生产设备一览表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964"/>
        <w:gridCol w:w="1834"/>
        <w:gridCol w:w="1332"/>
        <w:gridCol w:w="2121"/>
      </w:tblGrid>
      <w:tr w14:paraId="6E96B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16EF3DDD">
            <w:pPr>
              <w:spacing w:line="240" w:lineRule="auto"/>
              <w:ind w:firstLine="0" w:firstLineChars="0"/>
              <w:jc w:val="center"/>
              <w:rPr>
                <w:b/>
                <w:sz w:val="21"/>
                <w:szCs w:val="21"/>
              </w:rPr>
            </w:pPr>
            <w:r>
              <w:rPr>
                <w:rFonts w:hint="eastAsia"/>
                <w:b/>
                <w:sz w:val="21"/>
                <w:szCs w:val="21"/>
              </w:rPr>
              <w:t>序号</w:t>
            </w:r>
          </w:p>
        </w:tc>
        <w:tc>
          <w:tcPr>
            <w:tcW w:w="1910" w:type="dxa"/>
            <w:vAlign w:val="center"/>
          </w:tcPr>
          <w:p w14:paraId="732514C2">
            <w:pPr>
              <w:spacing w:line="240" w:lineRule="auto"/>
              <w:ind w:firstLine="0" w:firstLineChars="0"/>
              <w:jc w:val="center"/>
              <w:rPr>
                <w:b/>
                <w:sz w:val="21"/>
                <w:szCs w:val="21"/>
              </w:rPr>
            </w:pPr>
            <w:r>
              <w:rPr>
                <w:rFonts w:hint="eastAsia"/>
                <w:b/>
                <w:sz w:val="21"/>
                <w:szCs w:val="21"/>
              </w:rPr>
              <w:t>设备名称</w:t>
            </w:r>
          </w:p>
        </w:tc>
        <w:tc>
          <w:tcPr>
            <w:tcW w:w="1783" w:type="dxa"/>
            <w:vAlign w:val="center"/>
          </w:tcPr>
          <w:p w14:paraId="709A4FA2">
            <w:pPr>
              <w:spacing w:line="240" w:lineRule="auto"/>
              <w:ind w:firstLine="0" w:firstLineChars="0"/>
              <w:jc w:val="center"/>
              <w:rPr>
                <w:b/>
                <w:sz w:val="21"/>
                <w:szCs w:val="21"/>
              </w:rPr>
            </w:pPr>
            <w:r>
              <w:rPr>
                <w:rFonts w:hint="eastAsia"/>
                <w:b/>
                <w:sz w:val="21"/>
                <w:szCs w:val="21"/>
              </w:rPr>
              <w:t>规格型号</w:t>
            </w:r>
          </w:p>
        </w:tc>
        <w:tc>
          <w:tcPr>
            <w:tcW w:w="1295" w:type="dxa"/>
            <w:vAlign w:val="center"/>
          </w:tcPr>
          <w:p w14:paraId="6AEDEF1D">
            <w:pPr>
              <w:spacing w:line="240" w:lineRule="auto"/>
              <w:ind w:firstLine="0" w:firstLineChars="0"/>
              <w:jc w:val="center"/>
              <w:rPr>
                <w:b/>
                <w:sz w:val="21"/>
                <w:szCs w:val="21"/>
              </w:rPr>
            </w:pPr>
            <w:r>
              <w:rPr>
                <w:rFonts w:hint="eastAsia"/>
                <w:b/>
                <w:sz w:val="21"/>
                <w:szCs w:val="21"/>
              </w:rPr>
              <w:t>数量/台</w:t>
            </w:r>
          </w:p>
        </w:tc>
        <w:tc>
          <w:tcPr>
            <w:tcW w:w="2062" w:type="dxa"/>
            <w:vAlign w:val="center"/>
          </w:tcPr>
          <w:p w14:paraId="44FB0FB7">
            <w:pPr>
              <w:spacing w:line="240" w:lineRule="auto"/>
              <w:ind w:firstLine="0" w:firstLineChars="0"/>
              <w:jc w:val="center"/>
              <w:rPr>
                <w:b/>
                <w:sz w:val="21"/>
                <w:szCs w:val="21"/>
                <w:highlight w:val="yellow"/>
              </w:rPr>
            </w:pPr>
            <w:r>
              <w:rPr>
                <w:rFonts w:hint="eastAsia"/>
                <w:b/>
                <w:sz w:val="21"/>
                <w:szCs w:val="21"/>
              </w:rPr>
              <w:t>备注</w:t>
            </w:r>
          </w:p>
        </w:tc>
      </w:tr>
      <w:tr w14:paraId="465F3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2" w:type="dxa"/>
            <w:gridSpan w:val="5"/>
            <w:vAlign w:val="center"/>
          </w:tcPr>
          <w:p w14:paraId="77384FED">
            <w:pPr>
              <w:spacing w:line="240" w:lineRule="auto"/>
              <w:ind w:firstLine="0" w:firstLineChars="0"/>
              <w:jc w:val="center"/>
              <w:rPr>
                <w:b/>
                <w:sz w:val="21"/>
                <w:szCs w:val="21"/>
                <w:highlight w:val="yellow"/>
              </w:rPr>
            </w:pPr>
            <w:r>
              <w:rPr>
                <w:rFonts w:hint="eastAsia"/>
                <w:b/>
                <w:bCs/>
                <w:sz w:val="21"/>
                <w:szCs w:val="21"/>
              </w:rPr>
              <w:t>聚醚改性硅油</w:t>
            </w:r>
          </w:p>
        </w:tc>
      </w:tr>
      <w:tr w14:paraId="57450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restart"/>
            <w:vAlign w:val="center"/>
          </w:tcPr>
          <w:p w14:paraId="267B9A08">
            <w:pPr>
              <w:spacing w:line="240" w:lineRule="auto"/>
              <w:ind w:firstLine="0" w:firstLineChars="0"/>
              <w:jc w:val="center"/>
              <w:rPr>
                <w:sz w:val="21"/>
                <w:szCs w:val="21"/>
              </w:rPr>
            </w:pPr>
            <w:r>
              <w:rPr>
                <w:rFonts w:hint="eastAsia"/>
                <w:sz w:val="21"/>
                <w:szCs w:val="21"/>
              </w:rPr>
              <w:t>1</w:t>
            </w:r>
          </w:p>
        </w:tc>
        <w:tc>
          <w:tcPr>
            <w:tcW w:w="1910" w:type="dxa"/>
            <w:vMerge w:val="restart"/>
            <w:vAlign w:val="center"/>
          </w:tcPr>
          <w:p w14:paraId="6ED0FC58">
            <w:pPr>
              <w:spacing w:line="240" w:lineRule="auto"/>
              <w:ind w:firstLine="0" w:firstLineChars="0"/>
              <w:jc w:val="center"/>
              <w:rPr>
                <w:sz w:val="21"/>
                <w:szCs w:val="21"/>
              </w:rPr>
            </w:pPr>
            <w:r>
              <w:rPr>
                <w:rFonts w:hint="eastAsia"/>
                <w:sz w:val="21"/>
                <w:szCs w:val="21"/>
              </w:rPr>
              <w:t>搪瓷反应釜</w:t>
            </w:r>
          </w:p>
        </w:tc>
        <w:tc>
          <w:tcPr>
            <w:tcW w:w="1783" w:type="dxa"/>
            <w:vAlign w:val="center"/>
          </w:tcPr>
          <w:p w14:paraId="626DBB32">
            <w:pPr>
              <w:spacing w:line="240" w:lineRule="auto"/>
              <w:ind w:firstLine="0" w:firstLineChars="0"/>
              <w:jc w:val="center"/>
              <w:rPr>
                <w:sz w:val="21"/>
                <w:szCs w:val="21"/>
              </w:rPr>
            </w:pPr>
            <w:r>
              <w:rPr>
                <w:sz w:val="21"/>
                <w:szCs w:val="21"/>
              </w:rPr>
              <w:t>10</w:t>
            </w:r>
            <w:r>
              <w:rPr>
                <w:rFonts w:hint="eastAsia"/>
                <w:sz w:val="21"/>
                <w:szCs w:val="21"/>
              </w:rPr>
              <w:t>m</w:t>
            </w:r>
            <w:r>
              <w:rPr>
                <w:sz w:val="21"/>
                <w:szCs w:val="21"/>
                <w:vertAlign w:val="superscript"/>
              </w:rPr>
              <w:t>3</w:t>
            </w:r>
          </w:p>
        </w:tc>
        <w:tc>
          <w:tcPr>
            <w:tcW w:w="1295" w:type="dxa"/>
            <w:vAlign w:val="center"/>
          </w:tcPr>
          <w:p w14:paraId="26B3577D">
            <w:pPr>
              <w:spacing w:line="240" w:lineRule="auto"/>
              <w:ind w:firstLine="0" w:firstLineChars="0"/>
              <w:jc w:val="center"/>
              <w:rPr>
                <w:sz w:val="21"/>
                <w:szCs w:val="21"/>
              </w:rPr>
            </w:pPr>
            <w:r>
              <w:rPr>
                <w:sz w:val="21"/>
                <w:szCs w:val="21"/>
              </w:rPr>
              <w:t>4</w:t>
            </w:r>
          </w:p>
        </w:tc>
        <w:tc>
          <w:tcPr>
            <w:tcW w:w="2062" w:type="dxa"/>
            <w:vAlign w:val="center"/>
          </w:tcPr>
          <w:p w14:paraId="49302695">
            <w:pPr>
              <w:spacing w:line="240" w:lineRule="auto"/>
              <w:ind w:firstLine="0" w:firstLineChars="0"/>
              <w:jc w:val="center"/>
              <w:rPr>
                <w:sz w:val="21"/>
                <w:szCs w:val="21"/>
              </w:rPr>
            </w:pPr>
            <w:r>
              <w:rPr>
                <w:rFonts w:hint="eastAsia"/>
                <w:sz w:val="21"/>
                <w:szCs w:val="21"/>
              </w:rPr>
              <w:t>硅氢化反应</w:t>
            </w:r>
          </w:p>
        </w:tc>
      </w:tr>
      <w:tr w14:paraId="46E1B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Merge w:val="continue"/>
            <w:vAlign w:val="center"/>
          </w:tcPr>
          <w:p w14:paraId="0E8E533B">
            <w:pPr>
              <w:spacing w:line="240" w:lineRule="auto"/>
              <w:ind w:firstLine="0" w:firstLineChars="0"/>
              <w:jc w:val="center"/>
              <w:rPr>
                <w:sz w:val="21"/>
                <w:szCs w:val="21"/>
              </w:rPr>
            </w:pPr>
          </w:p>
        </w:tc>
        <w:tc>
          <w:tcPr>
            <w:tcW w:w="1910" w:type="dxa"/>
            <w:vMerge w:val="continue"/>
            <w:vAlign w:val="center"/>
          </w:tcPr>
          <w:p w14:paraId="051BC2B2">
            <w:pPr>
              <w:spacing w:line="240" w:lineRule="auto"/>
              <w:ind w:firstLine="0" w:firstLineChars="0"/>
              <w:jc w:val="center"/>
              <w:rPr>
                <w:sz w:val="21"/>
                <w:szCs w:val="21"/>
              </w:rPr>
            </w:pPr>
          </w:p>
        </w:tc>
        <w:tc>
          <w:tcPr>
            <w:tcW w:w="1783" w:type="dxa"/>
            <w:vAlign w:val="center"/>
          </w:tcPr>
          <w:p w14:paraId="1508EC5A">
            <w:pPr>
              <w:spacing w:line="240" w:lineRule="auto"/>
              <w:ind w:firstLine="0" w:firstLineChars="0"/>
              <w:jc w:val="center"/>
              <w:rPr>
                <w:sz w:val="21"/>
                <w:szCs w:val="21"/>
              </w:rPr>
            </w:pPr>
            <w:r>
              <w:rPr>
                <w:sz w:val="21"/>
                <w:szCs w:val="21"/>
              </w:rPr>
              <w:t>3</w:t>
            </w:r>
            <w:r>
              <w:rPr>
                <w:rFonts w:hint="eastAsia"/>
                <w:sz w:val="21"/>
                <w:szCs w:val="21"/>
              </w:rPr>
              <w:t>m</w:t>
            </w:r>
            <w:r>
              <w:rPr>
                <w:sz w:val="21"/>
                <w:szCs w:val="21"/>
                <w:vertAlign w:val="superscript"/>
              </w:rPr>
              <w:t>3</w:t>
            </w:r>
          </w:p>
        </w:tc>
        <w:tc>
          <w:tcPr>
            <w:tcW w:w="1295" w:type="dxa"/>
            <w:vAlign w:val="center"/>
          </w:tcPr>
          <w:p w14:paraId="125FE954">
            <w:pPr>
              <w:spacing w:line="240" w:lineRule="auto"/>
              <w:ind w:firstLine="0" w:firstLineChars="0"/>
              <w:jc w:val="center"/>
              <w:rPr>
                <w:sz w:val="21"/>
                <w:szCs w:val="21"/>
              </w:rPr>
            </w:pPr>
            <w:r>
              <w:rPr>
                <w:sz w:val="21"/>
                <w:szCs w:val="21"/>
              </w:rPr>
              <w:t>2</w:t>
            </w:r>
          </w:p>
        </w:tc>
        <w:tc>
          <w:tcPr>
            <w:tcW w:w="2062" w:type="dxa"/>
            <w:vAlign w:val="center"/>
          </w:tcPr>
          <w:p w14:paraId="0486EA93">
            <w:pPr>
              <w:spacing w:line="240" w:lineRule="auto"/>
              <w:ind w:firstLine="0" w:firstLineChars="0"/>
              <w:jc w:val="center"/>
              <w:rPr>
                <w:sz w:val="21"/>
                <w:szCs w:val="21"/>
              </w:rPr>
            </w:pPr>
            <w:r>
              <w:rPr>
                <w:rFonts w:hint="eastAsia"/>
                <w:sz w:val="21"/>
                <w:szCs w:val="21"/>
              </w:rPr>
              <w:t>聚合、中和</w:t>
            </w:r>
          </w:p>
        </w:tc>
      </w:tr>
      <w:tr w14:paraId="785DB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067F1E59">
            <w:pPr>
              <w:spacing w:line="240" w:lineRule="auto"/>
              <w:ind w:firstLine="0" w:firstLineChars="0"/>
              <w:jc w:val="center"/>
              <w:rPr>
                <w:sz w:val="21"/>
                <w:szCs w:val="21"/>
              </w:rPr>
            </w:pPr>
            <w:r>
              <w:rPr>
                <w:sz w:val="21"/>
                <w:szCs w:val="21"/>
              </w:rPr>
              <w:t>2</w:t>
            </w:r>
          </w:p>
        </w:tc>
        <w:tc>
          <w:tcPr>
            <w:tcW w:w="1910" w:type="dxa"/>
            <w:vAlign w:val="center"/>
          </w:tcPr>
          <w:p w14:paraId="55BBEFA8">
            <w:pPr>
              <w:spacing w:line="240" w:lineRule="auto"/>
              <w:ind w:firstLine="0" w:firstLineChars="0"/>
              <w:jc w:val="center"/>
              <w:rPr>
                <w:sz w:val="21"/>
                <w:szCs w:val="21"/>
              </w:rPr>
            </w:pPr>
            <w:r>
              <w:rPr>
                <w:rFonts w:hint="eastAsia"/>
                <w:sz w:val="21"/>
                <w:szCs w:val="21"/>
              </w:rPr>
              <w:t>真空上料机</w:t>
            </w:r>
          </w:p>
        </w:tc>
        <w:tc>
          <w:tcPr>
            <w:tcW w:w="1783" w:type="dxa"/>
            <w:vAlign w:val="center"/>
          </w:tcPr>
          <w:p w14:paraId="25E5EA22">
            <w:pPr>
              <w:spacing w:line="240" w:lineRule="auto"/>
              <w:ind w:firstLine="0" w:firstLineChars="0"/>
              <w:jc w:val="center"/>
              <w:rPr>
                <w:sz w:val="21"/>
                <w:szCs w:val="21"/>
              </w:rPr>
            </w:pPr>
            <w:r>
              <w:rPr>
                <w:rFonts w:hint="eastAsia"/>
                <w:sz w:val="21"/>
                <w:szCs w:val="21"/>
              </w:rPr>
              <w:t>/</w:t>
            </w:r>
          </w:p>
        </w:tc>
        <w:tc>
          <w:tcPr>
            <w:tcW w:w="1295" w:type="dxa"/>
            <w:vAlign w:val="center"/>
          </w:tcPr>
          <w:p w14:paraId="0053D5A0">
            <w:pPr>
              <w:spacing w:line="240" w:lineRule="auto"/>
              <w:ind w:firstLine="0" w:firstLineChars="0"/>
              <w:jc w:val="center"/>
              <w:rPr>
                <w:sz w:val="21"/>
                <w:szCs w:val="21"/>
                <w:highlight w:val="yellow"/>
              </w:rPr>
            </w:pPr>
            <w:r>
              <w:rPr>
                <w:rFonts w:hint="eastAsia"/>
                <w:sz w:val="21"/>
                <w:szCs w:val="21"/>
              </w:rPr>
              <w:t>1</w:t>
            </w:r>
          </w:p>
        </w:tc>
        <w:tc>
          <w:tcPr>
            <w:tcW w:w="2062" w:type="dxa"/>
            <w:vAlign w:val="center"/>
          </w:tcPr>
          <w:p w14:paraId="2B37023D">
            <w:pPr>
              <w:spacing w:line="240" w:lineRule="auto"/>
              <w:ind w:firstLine="0" w:firstLineChars="0"/>
              <w:jc w:val="center"/>
              <w:rPr>
                <w:sz w:val="21"/>
                <w:szCs w:val="21"/>
              </w:rPr>
            </w:pPr>
            <w:r>
              <w:rPr>
                <w:rFonts w:hint="eastAsia"/>
                <w:sz w:val="21"/>
                <w:szCs w:val="21"/>
              </w:rPr>
              <w:t>粉料投料</w:t>
            </w:r>
          </w:p>
        </w:tc>
      </w:tr>
      <w:tr w14:paraId="3D254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5D7F50C1">
            <w:pPr>
              <w:spacing w:line="240" w:lineRule="auto"/>
              <w:ind w:firstLine="0" w:firstLineChars="0"/>
              <w:jc w:val="center"/>
              <w:rPr>
                <w:sz w:val="21"/>
                <w:szCs w:val="21"/>
              </w:rPr>
            </w:pPr>
            <w:r>
              <w:rPr>
                <w:sz w:val="21"/>
                <w:szCs w:val="21"/>
              </w:rPr>
              <w:t>3</w:t>
            </w:r>
          </w:p>
        </w:tc>
        <w:tc>
          <w:tcPr>
            <w:tcW w:w="1910" w:type="dxa"/>
            <w:vAlign w:val="center"/>
          </w:tcPr>
          <w:p w14:paraId="7849DA98">
            <w:pPr>
              <w:spacing w:line="240" w:lineRule="auto"/>
              <w:ind w:firstLine="0" w:firstLineChars="0"/>
              <w:jc w:val="center"/>
              <w:rPr>
                <w:sz w:val="21"/>
                <w:szCs w:val="21"/>
              </w:rPr>
            </w:pPr>
            <w:r>
              <w:rPr>
                <w:rFonts w:hint="eastAsia"/>
                <w:sz w:val="21"/>
                <w:szCs w:val="21"/>
              </w:rPr>
              <w:t>压滤机</w:t>
            </w:r>
          </w:p>
        </w:tc>
        <w:tc>
          <w:tcPr>
            <w:tcW w:w="1783" w:type="dxa"/>
            <w:vAlign w:val="center"/>
          </w:tcPr>
          <w:p w14:paraId="4453FB4B">
            <w:pPr>
              <w:spacing w:line="240" w:lineRule="auto"/>
              <w:ind w:firstLine="0" w:firstLineChars="0"/>
              <w:jc w:val="center"/>
              <w:rPr>
                <w:sz w:val="21"/>
                <w:szCs w:val="21"/>
              </w:rPr>
            </w:pPr>
            <w:r>
              <w:rPr>
                <w:rFonts w:hint="eastAsia"/>
                <w:sz w:val="21"/>
                <w:szCs w:val="21"/>
              </w:rPr>
              <w:t>/</w:t>
            </w:r>
          </w:p>
        </w:tc>
        <w:tc>
          <w:tcPr>
            <w:tcW w:w="1295" w:type="dxa"/>
            <w:vAlign w:val="center"/>
          </w:tcPr>
          <w:p w14:paraId="64DC52AC">
            <w:pPr>
              <w:spacing w:line="240" w:lineRule="auto"/>
              <w:ind w:firstLine="0" w:firstLineChars="0"/>
              <w:jc w:val="center"/>
              <w:rPr>
                <w:sz w:val="21"/>
                <w:szCs w:val="21"/>
              </w:rPr>
            </w:pPr>
            <w:r>
              <w:rPr>
                <w:sz w:val="21"/>
                <w:szCs w:val="21"/>
              </w:rPr>
              <w:t>2</w:t>
            </w:r>
          </w:p>
        </w:tc>
        <w:tc>
          <w:tcPr>
            <w:tcW w:w="2062" w:type="dxa"/>
            <w:vAlign w:val="center"/>
          </w:tcPr>
          <w:p w14:paraId="735C75EF">
            <w:pPr>
              <w:spacing w:line="240" w:lineRule="auto"/>
              <w:ind w:firstLine="0" w:firstLineChars="0"/>
              <w:jc w:val="center"/>
              <w:rPr>
                <w:sz w:val="21"/>
                <w:szCs w:val="21"/>
              </w:rPr>
            </w:pPr>
            <w:r>
              <w:rPr>
                <w:rFonts w:hint="eastAsia"/>
                <w:sz w:val="21"/>
                <w:szCs w:val="21"/>
              </w:rPr>
              <w:t>过滤</w:t>
            </w:r>
          </w:p>
        </w:tc>
      </w:tr>
      <w:tr w14:paraId="04B87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5B726C2B">
            <w:pPr>
              <w:spacing w:line="240" w:lineRule="auto"/>
              <w:ind w:firstLine="0" w:firstLineChars="0"/>
              <w:jc w:val="center"/>
              <w:rPr>
                <w:sz w:val="21"/>
                <w:szCs w:val="21"/>
              </w:rPr>
            </w:pPr>
            <w:r>
              <w:rPr>
                <w:rFonts w:hint="eastAsia"/>
                <w:sz w:val="21"/>
                <w:szCs w:val="21"/>
              </w:rPr>
              <w:t>4</w:t>
            </w:r>
          </w:p>
        </w:tc>
        <w:tc>
          <w:tcPr>
            <w:tcW w:w="1910" w:type="dxa"/>
            <w:vAlign w:val="center"/>
          </w:tcPr>
          <w:p w14:paraId="4FAC9685">
            <w:pPr>
              <w:spacing w:line="240" w:lineRule="auto"/>
              <w:ind w:firstLine="0" w:firstLineChars="0"/>
              <w:jc w:val="center"/>
              <w:rPr>
                <w:sz w:val="21"/>
                <w:szCs w:val="21"/>
              </w:rPr>
            </w:pPr>
            <w:r>
              <w:rPr>
                <w:rFonts w:hint="eastAsia"/>
                <w:sz w:val="21"/>
                <w:szCs w:val="21"/>
              </w:rPr>
              <w:t>离心机</w:t>
            </w:r>
          </w:p>
        </w:tc>
        <w:tc>
          <w:tcPr>
            <w:tcW w:w="1783" w:type="dxa"/>
            <w:vAlign w:val="center"/>
          </w:tcPr>
          <w:p w14:paraId="2B17518C">
            <w:pPr>
              <w:spacing w:line="240" w:lineRule="auto"/>
              <w:ind w:firstLine="0" w:firstLineChars="0"/>
              <w:jc w:val="center"/>
              <w:rPr>
                <w:sz w:val="21"/>
                <w:szCs w:val="21"/>
              </w:rPr>
            </w:pPr>
            <w:r>
              <w:rPr>
                <w:rFonts w:hint="eastAsia"/>
                <w:sz w:val="21"/>
                <w:szCs w:val="21"/>
              </w:rPr>
              <w:t>/</w:t>
            </w:r>
          </w:p>
        </w:tc>
        <w:tc>
          <w:tcPr>
            <w:tcW w:w="1295" w:type="dxa"/>
            <w:vAlign w:val="center"/>
          </w:tcPr>
          <w:p w14:paraId="38A02A8C">
            <w:pPr>
              <w:spacing w:line="240" w:lineRule="auto"/>
              <w:ind w:firstLine="0" w:firstLineChars="0"/>
              <w:jc w:val="center"/>
              <w:rPr>
                <w:sz w:val="21"/>
                <w:szCs w:val="21"/>
              </w:rPr>
            </w:pPr>
            <w:r>
              <w:rPr>
                <w:sz w:val="21"/>
                <w:szCs w:val="21"/>
              </w:rPr>
              <w:t>1</w:t>
            </w:r>
          </w:p>
        </w:tc>
        <w:tc>
          <w:tcPr>
            <w:tcW w:w="2062" w:type="dxa"/>
            <w:vAlign w:val="center"/>
          </w:tcPr>
          <w:p w14:paraId="738D09A8">
            <w:pPr>
              <w:spacing w:line="240" w:lineRule="auto"/>
              <w:ind w:firstLine="0" w:firstLineChars="0"/>
              <w:jc w:val="center"/>
              <w:rPr>
                <w:sz w:val="21"/>
                <w:szCs w:val="21"/>
              </w:rPr>
            </w:pPr>
            <w:r>
              <w:rPr>
                <w:rFonts w:hint="eastAsia"/>
                <w:sz w:val="21"/>
                <w:szCs w:val="21"/>
              </w:rPr>
              <w:t>离心</w:t>
            </w:r>
          </w:p>
        </w:tc>
      </w:tr>
      <w:tr w14:paraId="60869A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6C152271">
            <w:pPr>
              <w:spacing w:line="240" w:lineRule="auto"/>
              <w:ind w:firstLine="0" w:firstLineChars="0"/>
              <w:jc w:val="center"/>
              <w:rPr>
                <w:sz w:val="21"/>
                <w:szCs w:val="21"/>
              </w:rPr>
            </w:pPr>
            <w:r>
              <w:rPr>
                <w:rFonts w:hint="eastAsia"/>
                <w:sz w:val="21"/>
                <w:szCs w:val="21"/>
              </w:rPr>
              <w:t>5</w:t>
            </w:r>
          </w:p>
        </w:tc>
        <w:tc>
          <w:tcPr>
            <w:tcW w:w="1910" w:type="dxa"/>
            <w:vAlign w:val="center"/>
          </w:tcPr>
          <w:p w14:paraId="01D74B5B">
            <w:pPr>
              <w:spacing w:line="240" w:lineRule="auto"/>
              <w:ind w:firstLine="0" w:firstLineChars="0"/>
              <w:jc w:val="center"/>
              <w:rPr>
                <w:sz w:val="21"/>
                <w:szCs w:val="21"/>
              </w:rPr>
            </w:pPr>
            <w:r>
              <w:rPr>
                <w:rFonts w:hint="eastAsia"/>
                <w:sz w:val="21"/>
                <w:szCs w:val="21"/>
              </w:rPr>
              <w:t>冷凝器</w:t>
            </w:r>
          </w:p>
        </w:tc>
        <w:tc>
          <w:tcPr>
            <w:tcW w:w="1783" w:type="dxa"/>
            <w:vAlign w:val="center"/>
          </w:tcPr>
          <w:p w14:paraId="3B7290BD">
            <w:pPr>
              <w:spacing w:line="240" w:lineRule="auto"/>
              <w:ind w:firstLine="0" w:firstLineChars="0"/>
              <w:jc w:val="center"/>
              <w:rPr>
                <w:sz w:val="21"/>
                <w:szCs w:val="21"/>
              </w:rPr>
            </w:pPr>
            <w:r>
              <w:rPr>
                <w:rFonts w:hint="eastAsia"/>
                <w:sz w:val="21"/>
                <w:szCs w:val="21"/>
              </w:rPr>
              <w:t>/</w:t>
            </w:r>
          </w:p>
        </w:tc>
        <w:tc>
          <w:tcPr>
            <w:tcW w:w="1295" w:type="dxa"/>
            <w:vAlign w:val="center"/>
          </w:tcPr>
          <w:p w14:paraId="352782B9">
            <w:pPr>
              <w:spacing w:line="240" w:lineRule="auto"/>
              <w:ind w:firstLine="0" w:firstLineChars="0"/>
              <w:jc w:val="center"/>
              <w:rPr>
                <w:sz w:val="21"/>
                <w:szCs w:val="21"/>
              </w:rPr>
            </w:pPr>
            <w:r>
              <w:rPr>
                <w:rFonts w:hint="eastAsia"/>
                <w:sz w:val="21"/>
                <w:szCs w:val="21"/>
              </w:rPr>
              <w:t>4</w:t>
            </w:r>
          </w:p>
        </w:tc>
        <w:tc>
          <w:tcPr>
            <w:tcW w:w="2062" w:type="dxa"/>
            <w:vAlign w:val="center"/>
          </w:tcPr>
          <w:p w14:paraId="47CEB871">
            <w:pPr>
              <w:spacing w:line="240" w:lineRule="auto"/>
              <w:ind w:firstLine="0" w:firstLineChars="0"/>
              <w:jc w:val="center"/>
              <w:rPr>
                <w:sz w:val="21"/>
                <w:szCs w:val="21"/>
              </w:rPr>
            </w:pPr>
            <w:r>
              <w:rPr>
                <w:rFonts w:hint="eastAsia"/>
                <w:sz w:val="21"/>
                <w:szCs w:val="21"/>
              </w:rPr>
              <w:t>/</w:t>
            </w:r>
          </w:p>
        </w:tc>
      </w:tr>
      <w:tr w14:paraId="09880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5E677F94">
            <w:pPr>
              <w:spacing w:line="240" w:lineRule="auto"/>
              <w:ind w:firstLine="0" w:firstLineChars="0"/>
              <w:jc w:val="center"/>
              <w:rPr>
                <w:sz w:val="21"/>
                <w:szCs w:val="21"/>
              </w:rPr>
            </w:pPr>
            <w:r>
              <w:rPr>
                <w:rFonts w:hint="eastAsia"/>
                <w:sz w:val="21"/>
                <w:szCs w:val="21"/>
              </w:rPr>
              <w:t>6</w:t>
            </w:r>
          </w:p>
        </w:tc>
        <w:tc>
          <w:tcPr>
            <w:tcW w:w="1910" w:type="dxa"/>
            <w:vAlign w:val="center"/>
          </w:tcPr>
          <w:p w14:paraId="439646A1">
            <w:pPr>
              <w:spacing w:line="240" w:lineRule="auto"/>
              <w:ind w:firstLine="0" w:firstLineChars="0"/>
              <w:jc w:val="center"/>
              <w:rPr>
                <w:sz w:val="21"/>
                <w:szCs w:val="21"/>
              </w:rPr>
            </w:pPr>
            <w:r>
              <w:rPr>
                <w:rFonts w:hint="eastAsia"/>
                <w:sz w:val="21"/>
                <w:szCs w:val="21"/>
              </w:rPr>
              <w:t>加热器</w:t>
            </w:r>
          </w:p>
        </w:tc>
        <w:tc>
          <w:tcPr>
            <w:tcW w:w="1783" w:type="dxa"/>
            <w:vAlign w:val="center"/>
          </w:tcPr>
          <w:p w14:paraId="77206913">
            <w:pPr>
              <w:spacing w:line="240" w:lineRule="auto"/>
              <w:ind w:firstLine="0" w:firstLineChars="0"/>
              <w:jc w:val="center"/>
              <w:rPr>
                <w:sz w:val="21"/>
                <w:szCs w:val="21"/>
              </w:rPr>
            </w:pPr>
            <w:r>
              <w:rPr>
                <w:rFonts w:hint="eastAsia"/>
                <w:sz w:val="21"/>
                <w:szCs w:val="21"/>
              </w:rPr>
              <w:t>9</w:t>
            </w:r>
            <w:r>
              <w:rPr>
                <w:sz w:val="21"/>
                <w:szCs w:val="21"/>
              </w:rPr>
              <w:t>0KW</w:t>
            </w:r>
          </w:p>
        </w:tc>
        <w:tc>
          <w:tcPr>
            <w:tcW w:w="1295" w:type="dxa"/>
            <w:vAlign w:val="center"/>
          </w:tcPr>
          <w:p w14:paraId="316BEEE5">
            <w:pPr>
              <w:spacing w:line="240" w:lineRule="auto"/>
              <w:ind w:firstLine="0" w:firstLineChars="0"/>
              <w:jc w:val="center"/>
              <w:rPr>
                <w:sz w:val="21"/>
                <w:szCs w:val="21"/>
              </w:rPr>
            </w:pPr>
            <w:r>
              <w:rPr>
                <w:rFonts w:hint="eastAsia"/>
                <w:sz w:val="21"/>
                <w:szCs w:val="21"/>
              </w:rPr>
              <w:t>2</w:t>
            </w:r>
          </w:p>
        </w:tc>
        <w:tc>
          <w:tcPr>
            <w:tcW w:w="2062" w:type="dxa"/>
            <w:vAlign w:val="center"/>
          </w:tcPr>
          <w:p w14:paraId="14B89DBD">
            <w:pPr>
              <w:spacing w:line="240" w:lineRule="auto"/>
              <w:ind w:firstLine="0" w:firstLineChars="0"/>
              <w:jc w:val="center"/>
              <w:rPr>
                <w:sz w:val="21"/>
                <w:szCs w:val="21"/>
              </w:rPr>
            </w:pPr>
            <w:r>
              <w:rPr>
                <w:rFonts w:hint="eastAsia"/>
                <w:sz w:val="21"/>
                <w:szCs w:val="21"/>
              </w:rPr>
              <w:t>/</w:t>
            </w:r>
          </w:p>
        </w:tc>
      </w:tr>
      <w:tr w14:paraId="6CE1A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2EF8B806">
            <w:pPr>
              <w:spacing w:line="240" w:lineRule="auto"/>
              <w:ind w:firstLine="0" w:firstLineChars="0"/>
              <w:jc w:val="center"/>
              <w:rPr>
                <w:sz w:val="21"/>
                <w:szCs w:val="21"/>
              </w:rPr>
            </w:pPr>
            <w:r>
              <w:rPr>
                <w:rFonts w:hint="eastAsia"/>
                <w:sz w:val="21"/>
                <w:szCs w:val="21"/>
              </w:rPr>
              <w:t>7</w:t>
            </w:r>
          </w:p>
        </w:tc>
        <w:tc>
          <w:tcPr>
            <w:tcW w:w="1910" w:type="dxa"/>
            <w:vAlign w:val="center"/>
          </w:tcPr>
          <w:p w14:paraId="16B893AD">
            <w:pPr>
              <w:spacing w:line="240" w:lineRule="auto"/>
              <w:ind w:firstLine="0" w:firstLineChars="0"/>
              <w:jc w:val="center"/>
              <w:rPr>
                <w:sz w:val="21"/>
                <w:szCs w:val="21"/>
              </w:rPr>
            </w:pPr>
            <w:r>
              <w:rPr>
                <w:rFonts w:hint="eastAsia"/>
                <w:sz w:val="21"/>
                <w:szCs w:val="21"/>
              </w:rPr>
              <w:t>制冷机</w:t>
            </w:r>
          </w:p>
        </w:tc>
        <w:tc>
          <w:tcPr>
            <w:tcW w:w="1783" w:type="dxa"/>
            <w:vAlign w:val="center"/>
          </w:tcPr>
          <w:p w14:paraId="420610FD">
            <w:pPr>
              <w:spacing w:line="240" w:lineRule="auto"/>
              <w:ind w:firstLine="0" w:firstLineChars="0"/>
              <w:jc w:val="center"/>
              <w:rPr>
                <w:sz w:val="21"/>
                <w:szCs w:val="21"/>
              </w:rPr>
            </w:pPr>
            <w:r>
              <w:rPr>
                <w:sz w:val="21"/>
                <w:szCs w:val="21"/>
              </w:rPr>
              <w:t>55KW</w:t>
            </w:r>
          </w:p>
        </w:tc>
        <w:tc>
          <w:tcPr>
            <w:tcW w:w="1295" w:type="dxa"/>
            <w:vAlign w:val="center"/>
          </w:tcPr>
          <w:p w14:paraId="7DC69C23">
            <w:pPr>
              <w:spacing w:line="240" w:lineRule="auto"/>
              <w:ind w:firstLine="0" w:firstLineChars="0"/>
              <w:jc w:val="center"/>
              <w:rPr>
                <w:sz w:val="21"/>
                <w:szCs w:val="21"/>
              </w:rPr>
            </w:pPr>
            <w:r>
              <w:rPr>
                <w:rFonts w:hint="eastAsia"/>
                <w:sz w:val="21"/>
                <w:szCs w:val="21"/>
              </w:rPr>
              <w:t>1</w:t>
            </w:r>
          </w:p>
        </w:tc>
        <w:tc>
          <w:tcPr>
            <w:tcW w:w="2062" w:type="dxa"/>
            <w:vAlign w:val="center"/>
          </w:tcPr>
          <w:p w14:paraId="4760EFF0">
            <w:pPr>
              <w:spacing w:line="240" w:lineRule="auto"/>
              <w:ind w:firstLine="0" w:firstLineChars="0"/>
              <w:jc w:val="center"/>
              <w:rPr>
                <w:sz w:val="21"/>
                <w:szCs w:val="21"/>
                <w:highlight w:val="yellow"/>
              </w:rPr>
            </w:pPr>
            <w:r>
              <w:rPr>
                <w:rFonts w:hint="eastAsia"/>
                <w:sz w:val="21"/>
                <w:szCs w:val="21"/>
              </w:rPr>
              <w:t>制冷剂为R22</w:t>
            </w:r>
          </w:p>
        </w:tc>
      </w:tr>
      <w:tr w14:paraId="09120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7BAC3840">
            <w:pPr>
              <w:spacing w:line="240" w:lineRule="auto"/>
              <w:ind w:firstLine="0" w:firstLineChars="0"/>
              <w:jc w:val="center"/>
              <w:rPr>
                <w:sz w:val="21"/>
                <w:szCs w:val="21"/>
              </w:rPr>
            </w:pPr>
            <w:r>
              <w:rPr>
                <w:rFonts w:hint="eastAsia"/>
                <w:sz w:val="21"/>
                <w:szCs w:val="21"/>
              </w:rPr>
              <w:t>8</w:t>
            </w:r>
          </w:p>
        </w:tc>
        <w:tc>
          <w:tcPr>
            <w:tcW w:w="1910" w:type="dxa"/>
            <w:vAlign w:val="center"/>
          </w:tcPr>
          <w:p w14:paraId="18F6D8AD">
            <w:pPr>
              <w:spacing w:line="240" w:lineRule="auto"/>
              <w:ind w:firstLine="0" w:firstLineChars="0"/>
              <w:jc w:val="center"/>
              <w:rPr>
                <w:sz w:val="21"/>
                <w:szCs w:val="21"/>
              </w:rPr>
            </w:pPr>
            <w:r>
              <w:rPr>
                <w:rFonts w:hint="eastAsia"/>
                <w:sz w:val="21"/>
                <w:szCs w:val="21"/>
              </w:rPr>
              <w:t>制冷箱</w:t>
            </w:r>
          </w:p>
        </w:tc>
        <w:tc>
          <w:tcPr>
            <w:tcW w:w="1783" w:type="dxa"/>
            <w:vAlign w:val="center"/>
          </w:tcPr>
          <w:p w14:paraId="50E32E34">
            <w:pPr>
              <w:spacing w:line="240" w:lineRule="auto"/>
              <w:ind w:firstLine="0" w:firstLineChars="0"/>
              <w:jc w:val="center"/>
              <w:rPr>
                <w:sz w:val="21"/>
                <w:szCs w:val="21"/>
              </w:rPr>
            </w:pPr>
            <w:r>
              <w:rPr>
                <w:rFonts w:hint="eastAsia"/>
                <w:sz w:val="21"/>
                <w:szCs w:val="21"/>
              </w:rPr>
              <w:t>5</w:t>
            </w:r>
            <w:r>
              <w:rPr>
                <w:sz w:val="21"/>
                <w:szCs w:val="21"/>
              </w:rPr>
              <w:t>m</w:t>
            </w:r>
            <w:r>
              <w:rPr>
                <w:rFonts w:hint="eastAsia"/>
                <w:sz w:val="21"/>
                <w:szCs w:val="21"/>
              </w:rPr>
              <w:t>×1</w:t>
            </w:r>
            <w:r>
              <w:rPr>
                <w:sz w:val="21"/>
                <w:szCs w:val="21"/>
              </w:rPr>
              <w:t>m</w:t>
            </w:r>
            <w:r>
              <w:rPr>
                <w:rFonts w:hint="eastAsia"/>
                <w:sz w:val="21"/>
                <w:szCs w:val="21"/>
              </w:rPr>
              <w:t>×1</w:t>
            </w:r>
            <w:r>
              <w:rPr>
                <w:sz w:val="21"/>
                <w:szCs w:val="21"/>
              </w:rPr>
              <w:t>.5m</w:t>
            </w:r>
          </w:p>
        </w:tc>
        <w:tc>
          <w:tcPr>
            <w:tcW w:w="1295" w:type="dxa"/>
            <w:vAlign w:val="center"/>
          </w:tcPr>
          <w:p w14:paraId="36705410">
            <w:pPr>
              <w:spacing w:line="240" w:lineRule="auto"/>
              <w:ind w:firstLine="0" w:firstLineChars="0"/>
              <w:jc w:val="center"/>
              <w:rPr>
                <w:sz w:val="21"/>
                <w:szCs w:val="21"/>
                <w:highlight w:val="yellow"/>
              </w:rPr>
            </w:pPr>
            <w:r>
              <w:rPr>
                <w:rFonts w:hint="eastAsia"/>
                <w:sz w:val="21"/>
                <w:szCs w:val="21"/>
              </w:rPr>
              <w:t>1</w:t>
            </w:r>
          </w:p>
        </w:tc>
        <w:tc>
          <w:tcPr>
            <w:tcW w:w="2062" w:type="dxa"/>
            <w:vAlign w:val="center"/>
          </w:tcPr>
          <w:p w14:paraId="0E55B51E">
            <w:pPr>
              <w:spacing w:line="240" w:lineRule="auto"/>
              <w:ind w:firstLine="0" w:firstLineChars="0"/>
              <w:jc w:val="center"/>
              <w:rPr>
                <w:sz w:val="21"/>
                <w:szCs w:val="21"/>
                <w:highlight w:val="yellow"/>
              </w:rPr>
            </w:pPr>
            <w:r>
              <w:rPr>
                <w:rFonts w:hint="eastAsia"/>
                <w:sz w:val="21"/>
                <w:szCs w:val="21"/>
              </w:rPr>
              <w:t>/</w:t>
            </w:r>
          </w:p>
        </w:tc>
      </w:tr>
      <w:tr w14:paraId="3BA88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04FF5E1C">
            <w:pPr>
              <w:spacing w:line="240" w:lineRule="auto"/>
              <w:ind w:firstLine="0" w:firstLineChars="0"/>
              <w:jc w:val="center"/>
              <w:rPr>
                <w:sz w:val="21"/>
                <w:szCs w:val="21"/>
              </w:rPr>
            </w:pPr>
            <w:r>
              <w:rPr>
                <w:rFonts w:hint="eastAsia"/>
                <w:sz w:val="21"/>
                <w:szCs w:val="21"/>
              </w:rPr>
              <w:t xml:space="preserve">9 </w:t>
            </w:r>
          </w:p>
        </w:tc>
        <w:tc>
          <w:tcPr>
            <w:tcW w:w="1910" w:type="dxa"/>
            <w:vAlign w:val="center"/>
          </w:tcPr>
          <w:p w14:paraId="53CA049A">
            <w:pPr>
              <w:spacing w:line="240" w:lineRule="auto"/>
              <w:ind w:firstLine="0" w:firstLineChars="0"/>
              <w:jc w:val="center"/>
              <w:rPr>
                <w:sz w:val="21"/>
                <w:szCs w:val="21"/>
              </w:rPr>
            </w:pPr>
            <w:r>
              <w:rPr>
                <w:rFonts w:hint="eastAsia"/>
                <w:sz w:val="21"/>
                <w:szCs w:val="21"/>
              </w:rPr>
              <w:t>搅拌罐</w:t>
            </w:r>
          </w:p>
        </w:tc>
        <w:tc>
          <w:tcPr>
            <w:tcW w:w="1783" w:type="dxa"/>
            <w:vAlign w:val="center"/>
          </w:tcPr>
          <w:p w14:paraId="081F7D23">
            <w:pPr>
              <w:spacing w:line="240" w:lineRule="auto"/>
              <w:ind w:firstLine="0" w:firstLineChars="0"/>
              <w:jc w:val="center"/>
              <w:rPr>
                <w:sz w:val="21"/>
                <w:szCs w:val="21"/>
              </w:rPr>
            </w:pPr>
            <w:r>
              <w:rPr>
                <w:sz w:val="21"/>
                <w:szCs w:val="21"/>
              </w:rPr>
              <w:t>25</w:t>
            </w:r>
            <w:r>
              <w:rPr>
                <w:rFonts w:hint="eastAsia"/>
                <w:sz w:val="21"/>
                <w:szCs w:val="21"/>
              </w:rPr>
              <w:t>m</w:t>
            </w:r>
            <w:r>
              <w:rPr>
                <w:sz w:val="21"/>
                <w:szCs w:val="21"/>
                <w:vertAlign w:val="superscript"/>
              </w:rPr>
              <w:t>3</w:t>
            </w:r>
          </w:p>
        </w:tc>
        <w:tc>
          <w:tcPr>
            <w:tcW w:w="1295" w:type="dxa"/>
            <w:vAlign w:val="center"/>
          </w:tcPr>
          <w:p w14:paraId="3B105E7D">
            <w:pPr>
              <w:spacing w:line="240" w:lineRule="auto"/>
              <w:ind w:firstLine="0" w:firstLineChars="0"/>
              <w:jc w:val="center"/>
              <w:rPr>
                <w:sz w:val="21"/>
                <w:szCs w:val="21"/>
                <w:highlight w:val="yellow"/>
              </w:rPr>
            </w:pPr>
            <w:r>
              <w:rPr>
                <w:rFonts w:hint="eastAsia"/>
                <w:sz w:val="21"/>
                <w:szCs w:val="21"/>
              </w:rPr>
              <w:t>3</w:t>
            </w:r>
          </w:p>
        </w:tc>
        <w:tc>
          <w:tcPr>
            <w:tcW w:w="2062" w:type="dxa"/>
            <w:vAlign w:val="center"/>
          </w:tcPr>
          <w:p w14:paraId="7E05B2C7">
            <w:pPr>
              <w:spacing w:line="240" w:lineRule="auto"/>
              <w:ind w:firstLine="0" w:firstLineChars="0"/>
              <w:jc w:val="center"/>
              <w:rPr>
                <w:sz w:val="21"/>
                <w:szCs w:val="21"/>
                <w:highlight w:val="yellow"/>
              </w:rPr>
            </w:pPr>
            <w:r>
              <w:rPr>
                <w:rFonts w:hint="eastAsia"/>
                <w:sz w:val="21"/>
                <w:szCs w:val="21"/>
              </w:rPr>
              <w:t>搅拌</w:t>
            </w:r>
          </w:p>
        </w:tc>
      </w:tr>
      <w:tr w14:paraId="3783B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3AA3A93E">
            <w:pPr>
              <w:spacing w:line="240" w:lineRule="auto"/>
              <w:ind w:firstLine="0" w:firstLineChars="0"/>
              <w:jc w:val="center"/>
              <w:rPr>
                <w:sz w:val="21"/>
                <w:szCs w:val="21"/>
              </w:rPr>
            </w:pPr>
            <w:r>
              <w:rPr>
                <w:rFonts w:hint="eastAsia"/>
                <w:sz w:val="21"/>
                <w:szCs w:val="21"/>
              </w:rPr>
              <w:t>1</w:t>
            </w:r>
            <w:r>
              <w:rPr>
                <w:sz w:val="21"/>
                <w:szCs w:val="21"/>
              </w:rPr>
              <w:t>0</w:t>
            </w:r>
          </w:p>
        </w:tc>
        <w:tc>
          <w:tcPr>
            <w:tcW w:w="1910" w:type="dxa"/>
            <w:vAlign w:val="center"/>
          </w:tcPr>
          <w:p w14:paraId="33A0944E">
            <w:pPr>
              <w:spacing w:line="240" w:lineRule="auto"/>
              <w:ind w:firstLine="0" w:firstLineChars="0"/>
              <w:jc w:val="center"/>
              <w:rPr>
                <w:sz w:val="21"/>
                <w:szCs w:val="21"/>
              </w:rPr>
            </w:pPr>
            <w:r>
              <w:rPr>
                <w:rFonts w:hint="eastAsia"/>
                <w:bCs/>
                <w:sz w:val="21"/>
                <w:szCs w:val="21"/>
              </w:rPr>
              <w:t>自动</w:t>
            </w:r>
            <w:r>
              <w:rPr>
                <w:rFonts w:hint="eastAsia"/>
                <w:sz w:val="21"/>
                <w:szCs w:val="21"/>
              </w:rPr>
              <w:t>灌装机</w:t>
            </w:r>
          </w:p>
        </w:tc>
        <w:tc>
          <w:tcPr>
            <w:tcW w:w="1783" w:type="dxa"/>
            <w:vAlign w:val="center"/>
          </w:tcPr>
          <w:p w14:paraId="32663394">
            <w:pPr>
              <w:spacing w:line="240" w:lineRule="auto"/>
              <w:ind w:firstLine="0" w:firstLineChars="0"/>
              <w:jc w:val="center"/>
              <w:rPr>
                <w:sz w:val="21"/>
                <w:szCs w:val="21"/>
              </w:rPr>
            </w:pPr>
            <w:r>
              <w:rPr>
                <w:rFonts w:hint="eastAsia"/>
                <w:sz w:val="21"/>
                <w:szCs w:val="21"/>
              </w:rPr>
              <w:t>/</w:t>
            </w:r>
          </w:p>
        </w:tc>
        <w:tc>
          <w:tcPr>
            <w:tcW w:w="1295" w:type="dxa"/>
            <w:vAlign w:val="center"/>
          </w:tcPr>
          <w:p w14:paraId="15D573EF">
            <w:pPr>
              <w:spacing w:line="240" w:lineRule="auto"/>
              <w:ind w:firstLine="0" w:firstLineChars="0"/>
              <w:jc w:val="center"/>
              <w:rPr>
                <w:sz w:val="21"/>
                <w:szCs w:val="21"/>
              </w:rPr>
            </w:pPr>
            <w:r>
              <w:rPr>
                <w:rFonts w:hint="eastAsia"/>
                <w:sz w:val="21"/>
                <w:szCs w:val="21"/>
              </w:rPr>
              <w:t>1</w:t>
            </w:r>
          </w:p>
        </w:tc>
        <w:tc>
          <w:tcPr>
            <w:tcW w:w="2062" w:type="dxa"/>
            <w:vAlign w:val="center"/>
          </w:tcPr>
          <w:p w14:paraId="38CD5005">
            <w:pPr>
              <w:spacing w:line="240" w:lineRule="auto"/>
              <w:ind w:firstLine="0" w:firstLineChars="0"/>
              <w:jc w:val="center"/>
              <w:rPr>
                <w:sz w:val="21"/>
                <w:szCs w:val="21"/>
                <w:highlight w:val="yellow"/>
              </w:rPr>
            </w:pPr>
            <w:r>
              <w:rPr>
                <w:rFonts w:hint="eastAsia"/>
                <w:sz w:val="21"/>
                <w:szCs w:val="21"/>
              </w:rPr>
              <w:t>灌装</w:t>
            </w:r>
          </w:p>
        </w:tc>
      </w:tr>
      <w:tr w14:paraId="761B0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5A4822D5">
            <w:pPr>
              <w:spacing w:line="240" w:lineRule="auto"/>
              <w:ind w:firstLine="0" w:firstLineChars="0"/>
              <w:jc w:val="center"/>
              <w:rPr>
                <w:sz w:val="21"/>
                <w:szCs w:val="21"/>
              </w:rPr>
            </w:pPr>
            <w:r>
              <w:rPr>
                <w:rFonts w:hint="eastAsia"/>
                <w:sz w:val="21"/>
                <w:szCs w:val="21"/>
              </w:rPr>
              <w:t>1</w:t>
            </w:r>
            <w:r>
              <w:rPr>
                <w:sz w:val="21"/>
                <w:szCs w:val="21"/>
              </w:rPr>
              <w:t>1</w:t>
            </w:r>
          </w:p>
        </w:tc>
        <w:tc>
          <w:tcPr>
            <w:tcW w:w="1910" w:type="dxa"/>
            <w:vAlign w:val="center"/>
          </w:tcPr>
          <w:p w14:paraId="1C6D2AAF">
            <w:pPr>
              <w:spacing w:line="240" w:lineRule="auto"/>
              <w:ind w:firstLine="0" w:firstLineChars="0"/>
              <w:jc w:val="center"/>
              <w:rPr>
                <w:sz w:val="21"/>
                <w:szCs w:val="21"/>
              </w:rPr>
            </w:pPr>
            <w:r>
              <w:rPr>
                <w:rFonts w:hint="eastAsia"/>
                <w:sz w:val="21"/>
                <w:szCs w:val="21"/>
              </w:rPr>
              <w:t>进料泵</w:t>
            </w:r>
          </w:p>
        </w:tc>
        <w:tc>
          <w:tcPr>
            <w:tcW w:w="1783" w:type="dxa"/>
            <w:vAlign w:val="center"/>
          </w:tcPr>
          <w:p w14:paraId="230B453B">
            <w:pPr>
              <w:spacing w:line="240" w:lineRule="auto"/>
              <w:ind w:firstLine="0" w:firstLineChars="0"/>
              <w:jc w:val="center"/>
              <w:rPr>
                <w:sz w:val="21"/>
                <w:szCs w:val="21"/>
              </w:rPr>
            </w:pPr>
            <w:r>
              <w:rPr>
                <w:rFonts w:hint="eastAsia"/>
                <w:sz w:val="21"/>
                <w:szCs w:val="21"/>
              </w:rPr>
              <w:t>/</w:t>
            </w:r>
          </w:p>
        </w:tc>
        <w:tc>
          <w:tcPr>
            <w:tcW w:w="1295" w:type="dxa"/>
            <w:vAlign w:val="center"/>
          </w:tcPr>
          <w:p w14:paraId="026BB11E">
            <w:pPr>
              <w:spacing w:line="240" w:lineRule="auto"/>
              <w:ind w:firstLine="0" w:firstLineChars="0"/>
              <w:jc w:val="center"/>
              <w:rPr>
                <w:sz w:val="21"/>
                <w:szCs w:val="21"/>
              </w:rPr>
            </w:pPr>
            <w:r>
              <w:rPr>
                <w:rFonts w:hint="eastAsia"/>
                <w:sz w:val="21"/>
                <w:szCs w:val="21"/>
              </w:rPr>
              <w:t>6</w:t>
            </w:r>
          </w:p>
        </w:tc>
        <w:tc>
          <w:tcPr>
            <w:tcW w:w="2062" w:type="dxa"/>
            <w:vAlign w:val="center"/>
          </w:tcPr>
          <w:p w14:paraId="787686B7">
            <w:pPr>
              <w:spacing w:line="240" w:lineRule="auto"/>
              <w:ind w:firstLine="0" w:firstLineChars="0"/>
              <w:jc w:val="center"/>
              <w:rPr>
                <w:sz w:val="21"/>
                <w:szCs w:val="21"/>
                <w:highlight w:val="yellow"/>
              </w:rPr>
            </w:pPr>
            <w:r>
              <w:rPr>
                <w:rFonts w:hint="eastAsia"/>
                <w:sz w:val="21"/>
                <w:szCs w:val="21"/>
              </w:rPr>
              <w:t>物料转运</w:t>
            </w:r>
          </w:p>
        </w:tc>
      </w:tr>
      <w:tr w14:paraId="3454D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547BD14A">
            <w:pPr>
              <w:spacing w:line="240" w:lineRule="auto"/>
              <w:ind w:firstLine="0" w:firstLineChars="0"/>
              <w:jc w:val="center"/>
              <w:rPr>
                <w:sz w:val="21"/>
                <w:szCs w:val="21"/>
              </w:rPr>
            </w:pPr>
            <w:r>
              <w:rPr>
                <w:rFonts w:hint="eastAsia"/>
                <w:sz w:val="21"/>
                <w:szCs w:val="21"/>
              </w:rPr>
              <w:t>12</w:t>
            </w:r>
          </w:p>
        </w:tc>
        <w:tc>
          <w:tcPr>
            <w:tcW w:w="1910" w:type="dxa"/>
            <w:vAlign w:val="center"/>
          </w:tcPr>
          <w:p w14:paraId="2D18F181">
            <w:pPr>
              <w:spacing w:line="240" w:lineRule="auto"/>
              <w:ind w:firstLine="0" w:firstLineChars="0"/>
              <w:jc w:val="center"/>
              <w:rPr>
                <w:sz w:val="21"/>
                <w:szCs w:val="21"/>
              </w:rPr>
            </w:pPr>
            <w:r>
              <w:rPr>
                <w:rFonts w:hint="eastAsia"/>
                <w:sz w:val="21"/>
                <w:szCs w:val="21"/>
              </w:rPr>
              <w:t>出料泵</w:t>
            </w:r>
          </w:p>
        </w:tc>
        <w:tc>
          <w:tcPr>
            <w:tcW w:w="1783" w:type="dxa"/>
            <w:vAlign w:val="center"/>
          </w:tcPr>
          <w:p w14:paraId="30F5B1BD">
            <w:pPr>
              <w:spacing w:line="240" w:lineRule="auto"/>
              <w:ind w:firstLine="0" w:firstLineChars="0"/>
              <w:jc w:val="center"/>
              <w:rPr>
                <w:sz w:val="21"/>
                <w:szCs w:val="21"/>
              </w:rPr>
            </w:pPr>
            <w:r>
              <w:rPr>
                <w:rFonts w:hint="eastAsia"/>
                <w:sz w:val="21"/>
                <w:szCs w:val="21"/>
              </w:rPr>
              <w:t>/</w:t>
            </w:r>
          </w:p>
        </w:tc>
        <w:tc>
          <w:tcPr>
            <w:tcW w:w="1295" w:type="dxa"/>
            <w:vAlign w:val="center"/>
          </w:tcPr>
          <w:p w14:paraId="5CB06B43">
            <w:pPr>
              <w:spacing w:line="240" w:lineRule="auto"/>
              <w:ind w:firstLine="0" w:firstLineChars="0"/>
              <w:jc w:val="center"/>
              <w:rPr>
                <w:sz w:val="21"/>
                <w:szCs w:val="21"/>
              </w:rPr>
            </w:pPr>
            <w:r>
              <w:rPr>
                <w:rFonts w:hint="eastAsia"/>
                <w:sz w:val="21"/>
                <w:szCs w:val="21"/>
              </w:rPr>
              <w:t>7</w:t>
            </w:r>
          </w:p>
        </w:tc>
        <w:tc>
          <w:tcPr>
            <w:tcW w:w="2062" w:type="dxa"/>
            <w:vAlign w:val="center"/>
          </w:tcPr>
          <w:p w14:paraId="770FCDBE">
            <w:pPr>
              <w:spacing w:line="240" w:lineRule="auto"/>
              <w:ind w:firstLine="0" w:firstLineChars="0"/>
              <w:jc w:val="center"/>
              <w:rPr>
                <w:sz w:val="21"/>
                <w:szCs w:val="21"/>
              </w:rPr>
            </w:pPr>
            <w:r>
              <w:rPr>
                <w:rFonts w:hint="eastAsia"/>
                <w:sz w:val="21"/>
                <w:szCs w:val="21"/>
              </w:rPr>
              <w:t>物料转运</w:t>
            </w:r>
          </w:p>
        </w:tc>
      </w:tr>
      <w:tr w14:paraId="168158E3">
        <w:tblPrEx>
          <w:tblCellMar>
            <w:top w:w="0" w:type="dxa"/>
            <w:left w:w="108" w:type="dxa"/>
            <w:bottom w:w="0" w:type="dxa"/>
            <w:right w:w="108" w:type="dxa"/>
          </w:tblCellMar>
        </w:tblPrEx>
        <w:trPr>
          <w:trHeight w:val="454" w:hRule="atLeast"/>
          <w:jc w:val="center"/>
        </w:trPr>
        <w:tc>
          <w:tcPr>
            <w:tcW w:w="1242" w:type="dxa"/>
            <w:vAlign w:val="center"/>
          </w:tcPr>
          <w:p w14:paraId="38930040">
            <w:pPr>
              <w:spacing w:line="240" w:lineRule="auto"/>
              <w:ind w:firstLine="0" w:firstLineChars="0"/>
              <w:jc w:val="center"/>
              <w:rPr>
                <w:sz w:val="21"/>
                <w:szCs w:val="21"/>
              </w:rPr>
            </w:pPr>
            <w:r>
              <w:rPr>
                <w:rFonts w:hint="eastAsia"/>
                <w:sz w:val="21"/>
                <w:szCs w:val="21"/>
              </w:rPr>
              <w:t>13</w:t>
            </w:r>
          </w:p>
        </w:tc>
        <w:tc>
          <w:tcPr>
            <w:tcW w:w="1910" w:type="dxa"/>
            <w:vAlign w:val="center"/>
          </w:tcPr>
          <w:p w14:paraId="7A7D68D8">
            <w:pPr>
              <w:spacing w:line="240" w:lineRule="auto"/>
              <w:ind w:firstLine="0" w:firstLineChars="0"/>
              <w:jc w:val="center"/>
              <w:rPr>
                <w:sz w:val="21"/>
                <w:szCs w:val="21"/>
              </w:rPr>
            </w:pPr>
            <w:r>
              <w:rPr>
                <w:rFonts w:hint="eastAsia"/>
                <w:sz w:val="21"/>
                <w:szCs w:val="21"/>
              </w:rPr>
              <w:t>机械真空泵</w:t>
            </w:r>
          </w:p>
        </w:tc>
        <w:tc>
          <w:tcPr>
            <w:tcW w:w="1783" w:type="dxa"/>
            <w:vAlign w:val="center"/>
          </w:tcPr>
          <w:p w14:paraId="382C1F41">
            <w:pPr>
              <w:spacing w:line="240" w:lineRule="auto"/>
              <w:ind w:firstLine="0" w:firstLineChars="0"/>
              <w:jc w:val="center"/>
              <w:rPr>
                <w:sz w:val="21"/>
                <w:szCs w:val="21"/>
              </w:rPr>
            </w:pPr>
            <w:r>
              <w:rPr>
                <w:rFonts w:hint="eastAsia"/>
                <w:sz w:val="21"/>
                <w:szCs w:val="21"/>
              </w:rPr>
              <w:t>/</w:t>
            </w:r>
          </w:p>
        </w:tc>
        <w:tc>
          <w:tcPr>
            <w:tcW w:w="1295" w:type="dxa"/>
            <w:vAlign w:val="center"/>
          </w:tcPr>
          <w:p w14:paraId="0FB7D2F6">
            <w:pPr>
              <w:spacing w:line="240" w:lineRule="auto"/>
              <w:ind w:firstLine="0" w:firstLineChars="0"/>
              <w:jc w:val="center"/>
              <w:rPr>
                <w:sz w:val="21"/>
                <w:szCs w:val="21"/>
              </w:rPr>
            </w:pPr>
            <w:r>
              <w:rPr>
                <w:rFonts w:hint="eastAsia"/>
                <w:sz w:val="21"/>
                <w:szCs w:val="21"/>
              </w:rPr>
              <w:t>2</w:t>
            </w:r>
          </w:p>
        </w:tc>
        <w:tc>
          <w:tcPr>
            <w:tcW w:w="2062" w:type="dxa"/>
            <w:vAlign w:val="center"/>
          </w:tcPr>
          <w:p w14:paraId="1A24F2BF">
            <w:pPr>
              <w:spacing w:line="240" w:lineRule="auto"/>
              <w:ind w:firstLine="0" w:firstLineChars="0"/>
              <w:jc w:val="center"/>
              <w:rPr>
                <w:sz w:val="21"/>
                <w:szCs w:val="21"/>
              </w:rPr>
            </w:pPr>
            <w:r>
              <w:rPr>
                <w:rFonts w:hint="eastAsia"/>
                <w:sz w:val="21"/>
                <w:szCs w:val="21"/>
              </w:rPr>
              <w:t>抽真空</w:t>
            </w:r>
          </w:p>
        </w:tc>
      </w:tr>
      <w:tr w14:paraId="399F4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2" w:type="dxa"/>
            <w:gridSpan w:val="5"/>
            <w:vAlign w:val="center"/>
          </w:tcPr>
          <w:p w14:paraId="56CE0B95">
            <w:pPr>
              <w:spacing w:line="240" w:lineRule="auto"/>
              <w:ind w:firstLine="0" w:firstLineChars="0"/>
              <w:jc w:val="center"/>
              <w:rPr>
                <w:sz w:val="21"/>
                <w:szCs w:val="21"/>
                <w:highlight w:val="yellow"/>
              </w:rPr>
            </w:pPr>
            <w:r>
              <w:rPr>
                <w:b/>
                <w:sz w:val="21"/>
                <w:szCs w:val="21"/>
              </w:rPr>
              <w:t>色浆</w:t>
            </w:r>
          </w:p>
        </w:tc>
      </w:tr>
      <w:tr w14:paraId="3C520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76BE2320">
            <w:pPr>
              <w:spacing w:line="240" w:lineRule="auto"/>
              <w:ind w:firstLine="0" w:firstLineChars="0"/>
              <w:jc w:val="center"/>
              <w:rPr>
                <w:sz w:val="21"/>
                <w:szCs w:val="21"/>
              </w:rPr>
            </w:pPr>
            <w:r>
              <w:rPr>
                <w:rFonts w:hint="eastAsia"/>
                <w:sz w:val="21"/>
                <w:szCs w:val="21"/>
              </w:rPr>
              <w:t>1</w:t>
            </w:r>
          </w:p>
        </w:tc>
        <w:tc>
          <w:tcPr>
            <w:tcW w:w="1910" w:type="dxa"/>
            <w:vAlign w:val="center"/>
          </w:tcPr>
          <w:p w14:paraId="77567530">
            <w:pPr>
              <w:spacing w:line="240" w:lineRule="auto"/>
              <w:ind w:firstLine="0" w:firstLineChars="0"/>
              <w:jc w:val="center"/>
              <w:rPr>
                <w:sz w:val="21"/>
                <w:szCs w:val="21"/>
              </w:rPr>
            </w:pPr>
            <w:r>
              <w:rPr>
                <w:rFonts w:hint="eastAsia"/>
                <w:sz w:val="21"/>
                <w:szCs w:val="21"/>
              </w:rPr>
              <w:t>砂磨机</w:t>
            </w:r>
          </w:p>
        </w:tc>
        <w:tc>
          <w:tcPr>
            <w:tcW w:w="1783" w:type="dxa"/>
            <w:vAlign w:val="center"/>
          </w:tcPr>
          <w:p w14:paraId="4ADAA84D">
            <w:pPr>
              <w:spacing w:line="240" w:lineRule="auto"/>
              <w:ind w:firstLine="0" w:firstLineChars="0"/>
              <w:jc w:val="center"/>
              <w:rPr>
                <w:sz w:val="21"/>
                <w:szCs w:val="21"/>
              </w:rPr>
            </w:pPr>
            <w:r>
              <w:rPr>
                <w:rFonts w:hint="eastAsia"/>
                <w:sz w:val="21"/>
                <w:szCs w:val="21"/>
              </w:rPr>
              <w:t>L</w:t>
            </w:r>
            <w:r>
              <w:rPr>
                <w:sz w:val="21"/>
                <w:szCs w:val="21"/>
              </w:rPr>
              <w:t>DM-D</w:t>
            </w:r>
          </w:p>
        </w:tc>
        <w:tc>
          <w:tcPr>
            <w:tcW w:w="1295" w:type="dxa"/>
            <w:vAlign w:val="center"/>
          </w:tcPr>
          <w:p w14:paraId="4177612C">
            <w:pPr>
              <w:spacing w:line="240" w:lineRule="auto"/>
              <w:ind w:firstLine="0" w:firstLineChars="0"/>
              <w:jc w:val="center"/>
              <w:rPr>
                <w:sz w:val="21"/>
                <w:szCs w:val="21"/>
                <w:highlight w:val="yellow"/>
              </w:rPr>
            </w:pPr>
            <w:r>
              <w:rPr>
                <w:rFonts w:hint="eastAsia"/>
                <w:sz w:val="21"/>
                <w:szCs w:val="21"/>
              </w:rPr>
              <w:t>4</w:t>
            </w:r>
          </w:p>
        </w:tc>
        <w:tc>
          <w:tcPr>
            <w:tcW w:w="2062" w:type="dxa"/>
            <w:vAlign w:val="center"/>
          </w:tcPr>
          <w:p w14:paraId="1BD7AE9A">
            <w:pPr>
              <w:spacing w:line="240" w:lineRule="auto"/>
              <w:ind w:firstLine="0" w:firstLineChars="0"/>
              <w:jc w:val="center"/>
              <w:rPr>
                <w:sz w:val="21"/>
                <w:szCs w:val="21"/>
                <w:highlight w:val="yellow"/>
              </w:rPr>
            </w:pPr>
            <w:r>
              <w:rPr>
                <w:rFonts w:hint="eastAsia"/>
                <w:sz w:val="21"/>
                <w:szCs w:val="21"/>
              </w:rPr>
              <w:t>研磨</w:t>
            </w:r>
          </w:p>
        </w:tc>
      </w:tr>
      <w:tr w14:paraId="4944C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23746C73">
            <w:pPr>
              <w:spacing w:line="240" w:lineRule="auto"/>
              <w:ind w:firstLine="0" w:firstLineChars="0"/>
              <w:jc w:val="center"/>
              <w:rPr>
                <w:sz w:val="21"/>
                <w:szCs w:val="21"/>
              </w:rPr>
            </w:pPr>
            <w:r>
              <w:rPr>
                <w:rFonts w:hint="eastAsia"/>
                <w:sz w:val="21"/>
                <w:szCs w:val="21"/>
              </w:rPr>
              <w:t>2</w:t>
            </w:r>
          </w:p>
        </w:tc>
        <w:tc>
          <w:tcPr>
            <w:tcW w:w="1910" w:type="dxa"/>
            <w:vAlign w:val="center"/>
          </w:tcPr>
          <w:p w14:paraId="44713166">
            <w:pPr>
              <w:spacing w:line="240" w:lineRule="auto"/>
              <w:ind w:firstLine="0" w:firstLineChars="0"/>
              <w:jc w:val="center"/>
              <w:rPr>
                <w:sz w:val="21"/>
                <w:szCs w:val="21"/>
              </w:rPr>
            </w:pPr>
            <w:r>
              <w:rPr>
                <w:rFonts w:hint="eastAsia"/>
                <w:sz w:val="21"/>
                <w:szCs w:val="21"/>
              </w:rPr>
              <w:t>粉体配料罐</w:t>
            </w:r>
          </w:p>
        </w:tc>
        <w:tc>
          <w:tcPr>
            <w:tcW w:w="1783" w:type="dxa"/>
            <w:vAlign w:val="center"/>
          </w:tcPr>
          <w:p w14:paraId="4580E3AE">
            <w:pPr>
              <w:spacing w:line="240" w:lineRule="auto"/>
              <w:ind w:firstLine="0" w:firstLineChars="0"/>
              <w:jc w:val="center"/>
              <w:rPr>
                <w:sz w:val="21"/>
                <w:szCs w:val="21"/>
              </w:rPr>
            </w:pPr>
            <w:r>
              <w:rPr>
                <w:sz w:val="21"/>
                <w:szCs w:val="21"/>
              </w:rPr>
              <w:t>2</w:t>
            </w:r>
            <w:r>
              <w:rPr>
                <w:rFonts w:hint="eastAsia"/>
                <w:sz w:val="21"/>
                <w:szCs w:val="21"/>
              </w:rPr>
              <w:t>m</w:t>
            </w:r>
            <w:r>
              <w:rPr>
                <w:sz w:val="21"/>
                <w:szCs w:val="21"/>
                <w:vertAlign w:val="superscript"/>
              </w:rPr>
              <w:t>3</w:t>
            </w:r>
          </w:p>
        </w:tc>
        <w:tc>
          <w:tcPr>
            <w:tcW w:w="1295" w:type="dxa"/>
            <w:vAlign w:val="center"/>
          </w:tcPr>
          <w:p w14:paraId="7CAB6AF1">
            <w:pPr>
              <w:spacing w:line="240" w:lineRule="auto"/>
              <w:ind w:firstLine="0" w:firstLineChars="0"/>
              <w:jc w:val="center"/>
              <w:rPr>
                <w:sz w:val="21"/>
                <w:szCs w:val="21"/>
                <w:highlight w:val="yellow"/>
              </w:rPr>
            </w:pPr>
            <w:r>
              <w:rPr>
                <w:sz w:val="21"/>
                <w:szCs w:val="21"/>
              </w:rPr>
              <w:t>4</w:t>
            </w:r>
          </w:p>
        </w:tc>
        <w:tc>
          <w:tcPr>
            <w:tcW w:w="2062" w:type="dxa"/>
            <w:vAlign w:val="center"/>
          </w:tcPr>
          <w:p w14:paraId="57328C7F">
            <w:pPr>
              <w:spacing w:line="240" w:lineRule="auto"/>
              <w:ind w:firstLine="0" w:firstLineChars="0"/>
              <w:jc w:val="center"/>
              <w:rPr>
                <w:sz w:val="21"/>
                <w:szCs w:val="21"/>
                <w:highlight w:val="yellow"/>
              </w:rPr>
            </w:pPr>
            <w:r>
              <w:rPr>
                <w:rFonts w:hint="eastAsia"/>
                <w:sz w:val="21"/>
                <w:szCs w:val="21"/>
              </w:rPr>
              <w:t>暂存色粉</w:t>
            </w:r>
          </w:p>
        </w:tc>
      </w:tr>
      <w:tr w14:paraId="77F86863">
        <w:tblPrEx>
          <w:tblCellMar>
            <w:top w:w="0" w:type="dxa"/>
            <w:left w:w="108" w:type="dxa"/>
            <w:bottom w:w="0" w:type="dxa"/>
            <w:right w:w="108" w:type="dxa"/>
          </w:tblCellMar>
        </w:tblPrEx>
        <w:trPr>
          <w:trHeight w:val="454" w:hRule="atLeast"/>
          <w:jc w:val="center"/>
        </w:trPr>
        <w:tc>
          <w:tcPr>
            <w:tcW w:w="1242" w:type="dxa"/>
            <w:vAlign w:val="center"/>
          </w:tcPr>
          <w:p w14:paraId="2370B711">
            <w:pPr>
              <w:spacing w:line="240" w:lineRule="auto"/>
              <w:ind w:firstLine="0" w:firstLineChars="0"/>
              <w:jc w:val="center"/>
              <w:rPr>
                <w:sz w:val="21"/>
                <w:szCs w:val="21"/>
              </w:rPr>
            </w:pPr>
            <w:r>
              <w:rPr>
                <w:rFonts w:hint="eastAsia"/>
                <w:sz w:val="21"/>
                <w:szCs w:val="21"/>
              </w:rPr>
              <w:t>3</w:t>
            </w:r>
          </w:p>
        </w:tc>
        <w:tc>
          <w:tcPr>
            <w:tcW w:w="1910" w:type="dxa"/>
            <w:vAlign w:val="center"/>
          </w:tcPr>
          <w:p w14:paraId="362BBF99">
            <w:pPr>
              <w:spacing w:line="240" w:lineRule="auto"/>
              <w:ind w:firstLine="0" w:firstLineChars="0"/>
              <w:jc w:val="center"/>
              <w:rPr>
                <w:sz w:val="21"/>
                <w:szCs w:val="21"/>
              </w:rPr>
            </w:pPr>
            <w:r>
              <w:rPr>
                <w:rFonts w:hint="eastAsia"/>
                <w:sz w:val="21"/>
                <w:szCs w:val="21"/>
              </w:rPr>
              <w:t>溶剂配料罐</w:t>
            </w:r>
          </w:p>
        </w:tc>
        <w:tc>
          <w:tcPr>
            <w:tcW w:w="1783" w:type="dxa"/>
            <w:vAlign w:val="center"/>
          </w:tcPr>
          <w:p w14:paraId="476221CE">
            <w:pPr>
              <w:spacing w:line="240" w:lineRule="auto"/>
              <w:ind w:firstLine="0" w:firstLineChars="0"/>
              <w:jc w:val="center"/>
              <w:rPr>
                <w:sz w:val="21"/>
                <w:szCs w:val="21"/>
              </w:rPr>
            </w:pPr>
            <w:r>
              <w:rPr>
                <w:sz w:val="21"/>
                <w:szCs w:val="21"/>
              </w:rPr>
              <w:t>2</w:t>
            </w:r>
            <w:r>
              <w:rPr>
                <w:rFonts w:hint="eastAsia"/>
                <w:sz w:val="21"/>
                <w:szCs w:val="21"/>
              </w:rPr>
              <w:t>m</w:t>
            </w:r>
            <w:r>
              <w:rPr>
                <w:sz w:val="21"/>
                <w:szCs w:val="21"/>
                <w:vertAlign w:val="superscript"/>
              </w:rPr>
              <w:t>3</w:t>
            </w:r>
          </w:p>
        </w:tc>
        <w:tc>
          <w:tcPr>
            <w:tcW w:w="1295" w:type="dxa"/>
            <w:vAlign w:val="center"/>
          </w:tcPr>
          <w:p w14:paraId="1AB7B1C8">
            <w:pPr>
              <w:spacing w:line="240" w:lineRule="auto"/>
              <w:ind w:firstLine="0" w:firstLineChars="0"/>
              <w:jc w:val="center"/>
              <w:rPr>
                <w:sz w:val="21"/>
                <w:szCs w:val="21"/>
              </w:rPr>
            </w:pPr>
            <w:r>
              <w:rPr>
                <w:rFonts w:hint="eastAsia"/>
                <w:sz w:val="21"/>
                <w:szCs w:val="21"/>
              </w:rPr>
              <w:t>4</w:t>
            </w:r>
          </w:p>
        </w:tc>
        <w:tc>
          <w:tcPr>
            <w:tcW w:w="2062" w:type="dxa"/>
            <w:vAlign w:val="center"/>
          </w:tcPr>
          <w:p w14:paraId="142C063F">
            <w:pPr>
              <w:spacing w:line="240" w:lineRule="auto"/>
              <w:ind w:firstLine="0" w:firstLineChars="0"/>
              <w:jc w:val="center"/>
              <w:rPr>
                <w:sz w:val="21"/>
                <w:szCs w:val="21"/>
              </w:rPr>
            </w:pPr>
            <w:r>
              <w:rPr>
                <w:rFonts w:hint="eastAsia"/>
                <w:sz w:val="21"/>
                <w:szCs w:val="21"/>
              </w:rPr>
              <w:t>暂存</w:t>
            </w:r>
          </w:p>
        </w:tc>
      </w:tr>
      <w:tr w14:paraId="69297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023FF9A9">
            <w:pPr>
              <w:spacing w:line="240" w:lineRule="auto"/>
              <w:ind w:firstLine="0" w:firstLineChars="0"/>
              <w:jc w:val="center"/>
              <w:rPr>
                <w:sz w:val="21"/>
                <w:szCs w:val="21"/>
              </w:rPr>
            </w:pPr>
            <w:r>
              <w:rPr>
                <w:rFonts w:hint="eastAsia"/>
                <w:sz w:val="21"/>
                <w:szCs w:val="21"/>
              </w:rPr>
              <w:t>4</w:t>
            </w:r>
          </w:p>
        </w:tc>
        <w:tc>
          <w:tcPr>
            <w:tcW w:w="1910" w:type="dxa"/>
            <w:vAlign w:val="center"/>
          </w:tcPr>
          <w:p w14:paraId="6B596AB6">
            <w:pPr>
              <w:spacing w:line="240" w:lineRule="auto"/>
              <w:ind w:firstLine="0" w:firstLineChars="0"/>
              <w:jc w:val="center"/>
              <w:rPr>
                <w:sz w:val="21"/>
                <w:szCs w:val="21"/>
              </w:rPr>
            </w:pPr>
            <w:r>
              <w:rPr>
                <w:rFonts w:hint="eastAsia"/>
                <w:sz w:val="21"/>
                <w:szCs w:val="21"/>
              </w:rPr>
              <w:t>搅拌罐</w:t>
            </w:r>
          </w:p>
        </w:tc>
        <w:tc>
          <w:tcPr>
            <w:tcW w:w="1783" w:type="dxa"/>
            <w:vAlign w:val="center"/>
          </w:tcPr>
          <w:p w14:paraId="605FA94D">
            <w:pPr>
              <w:spacing w:line="240" w:lineRule="auto"/>
              <w:ind w:firstLine="0" w:firstLineChars="0"/>
              <w:jc w:val="center"/>
              <w:rPr>
                <w:sz w:val="21"/>
                <w:szCs w:val="21"/>
              </w:rPr>
            </w:pPr>
            <w:r>
              <w:rPr>
                <w:sz w:val="21"/>
                <w:szCs w:val="21"/>
              </w:rPr>
              <w:t>2</w:t>
            </w:r>
            <w:r>
              <w:rPr>
                <w:rFonts w:hint="eastAsia"/>
                <w:sz w:val="21"/>
                <w:szCs w:val="21"/>
              </w:rPr>
              <w:t>m</w:t>
            </w:r>
            <w:r>
              <w:rPr>
                <w:sz w:val="21"/>
                <w:szCs w:val="21"/>
                <w:vertAlign w:val="superscript"/>
              </w:rPr>
              <w:t>3</w:t>
            </w:r>
          </w:p>
        </w:tc>
        <w:tc>
          <w:tcPr>
            <w:tcW w:w="1295" w:type="dxa"/>
            <w:vAlign w:val="center"/>
          </w:tcPr>
          <w:p w14:paraId="50EED001">
            <w:pPr>
              <w:spacing w:line="240" w:lineRule="auto"/>
              <w:ind w:firstLine="0" w:firstLineChars="0"/>
              <w:jc w:val="center"/>
              <w:rPr>
                <w:sz w:val="21"/>
                <w:szCs w:val="21"/>
              </w:rPr>
            </w:pPr>
            <w:r>
              <w:rPr>
                <w:sz w:val="21"/>
                <w:szCs w:val="21"/>
              </w:rPr>
              <w:t>4</w:t>
            </w:r>
          </w:p>
        </w:tc>
        <w:tc>
          <w:tcPr>
            <w:tcW w:w="2062" w:type="dxa"/>
            <w:vAlign w:val="center"/>
          </w:tcPr>
          <w:p w14:paraId="74AE98D1">
            <w:pPr>
              <w:spacing w:line="240" w:lineRule="auto"/>
              <w:ind w:firstLine="0" w:firstLineChars="0"/>
              <w:jc w:val="center"/>
              <w:rPr>
                <w:sz w:val="21"/>
                <w:szCs w:val="21"/>
              </w:rPr>
            </w:pPr>
            <w:r>
              <w:rPr>
                <w:rFonts w:hint="eastAsia"/>
                <w:sz w:val="21"/>
                <w:szCs w:val="21"/>
              </w:rPr>
              <w:t>搅拌</w:t>
            </w:r>
          </w:p>
        </w:tc>
      </w:tr>
      <w:tr w14:paraId="7D1A0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3CF8422A">
            <w:pPr>
              <w:spacing w:line="240" w:lineRule="auto"/>
              <w:ind w:firstLine="0" w:firstLineChars="0"/>
              <w:jc w:val="center"/>
              <w:rPr>
                <w:sz w:val="21"/>
                <w:szCs w:val="21"/>
              </w:rPr>
            </w:pPr>
            <w:r>
              <w:rPr>
                <w:rFonts w:hint="eastAsia"/>
                <w:sz w:val="21"/>
                <w:szCs w:val="21"/>
              </w:rPr>
              <w:t>5</w:t>
            </w:r>
          </w:p>
        </w:tc>
        <w:tc>
          <w:tcPr>
            <w:tcW w:w="1910" w:type="dxa"/>
            <w:vAlign w:val="center"/>
          </w:tcPr>
          <w:p w14:paraId="1B0F0EEA">
            <w:pPr>
              <w:spacing w:line="240" w:lineRule="auto"/>
              <w:ind w:firstLine="0" w:firstLineChars="0"/>
              <w:jc w:val="center"/>
              <w:rPr>
                <w:sz w:val="21"/>
                <w:szCs w:val="21"/>
              </w:rPr>
            </w:pPr>
            <w:r>
              <w:rPr>
                <w:rFonts w:hint="eastAsia"/>
                <w:bCs/>
                <w:sz w:val="21"/>
                <w:szCs w:val="21"/>
              </w:rPr>
              <w:t>自动</w:t>
            </w:r>
            <w:r>
              <w:rPr>
                <w:rFonts w:hint="eastAsia"/>
                <w:sz w:val="21"/>
                <w:szCs w:val="21"/>
              </w:rPr>
              <w:t>灌装机</w:t>
            </w:r>
          </w:p>
        </w:tc>
        <w:tc>
          <w:tcPr>
            <w:tcW w:w="1783" w:type="dxa"/>
            <w:vAlign w:val="center"/>
          </w:tcPr>
          <w:p w14:paraId="2BBBEFB1">
            <w:pPr>
              <w:spacing w:line="240" w:lineRule="auto"/>
              <w:ind w:firstLine="0" w:firstLineChars="0"/>
              <w:jc w:val="center"/>
              <w:rPr>
                <w:sz w:val="21"/>
                <w:szCs w:val="21"/>
              </w:rPr>
            </w:pPr>
            <w:r>
              <w:rPr>
                <w:rFonts w:hint="eastAsia"/>
                <w:sz w:val="21"/>
                <w:szCs w:val="21"/>
              </w:rPr>
              <w:t>/</w:t>
            </w:r>
          </w:p>
        </w:tc>
        <w:tc>
          <w:tcPr>
            <w:tcW w:w="1295" w:type="dxa"/>
            <w:vAlign w:val="center"/>
          </w:tcPr>
          <w:p w14:paraId="63E7141E">
            <w:pPr>
              <w:spacing w:line="240" w:lineRule="auto"/>
              <w:ind w:firstLine="0" w:firstLineChars="0"/>
              <w:jc w:val="center"/>
              <w:rPr>
                <w:sz w:val="21"/>
                <w:szCs w:val="21"/>
                <w:highlight w:val="yellow"/>
              </w:rPr>
            </w:pPr>
            <w:r>
              <w:rPr>
                <w:rFonts w:hint="eastAsia"/>
                <w:sz w:val="21"/>
                <w:szCs w:val="21"/>
              </w:rPr>
              <w:t>1</w:t>
            </w:r>
          </w:p>
        </w:tc>
        <w:tc>
          <w:tcPr>
            <w:tcW w:w="2062" w:type="dxa"/>
            <w:vAlign w:val="center"/>
          </w:tcPr>
          <w:p w14:paraId="32FBB34B">
            <w:pPr>
              <w:spacing w:line="240" w:lineRule="auto"/>
              <w:ind w:firstLine="0" w:firstLineChars="0"/>
              <w:jc w:val="center"/>
              <w:rPr>
                <w:sz w:val="21"/>
                <w:szCs w:val="21"/>
                <w:highlight w:val="yellow"/>
              </w:rPr>
            </w:pPr>
            <w:r>
              <w:rPr>
                <w:rFonts w:hint="eastAsia"/>
                <w:sz w:val="21"/>
                <w:szCs w:val="21"/>
              </w:rPr>
              <w:t>灌装</w:t>
            </w:r>
          </w:p>
        </w:tc>
      </w:tr>
      <w:tr w14:paraId="37361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vAlign w:val="center"/>
          </w:tcPr>
          <w:p w14:paraId="3AB3040C">
            <w:pPr>
              <w:spacing w:line="240" w:lineRule="auto"/>
              <w:ind w:firstLine="0" w:firstLineChars="0"/>
              <w:jc w:val="center"/>
              <w:rPr>
                <w:sz w:val="21"/>
                <w:szCs w:val="21"/>
              </w:rPr>
            </w:pPr>
            <w:r>
              <w:rPr>
                <w:rFonts w:hint="eastAsia"/>
                <w:sz w:val="21"/>
                <w:szCs w:val="21"/>
              </w:rPr>
              <w:t>6</w:t>
            </w:r>
          </w:p>
        </w:tc>
        <w:tc>
          <w:tcPr>
            <w:tcW w:w="1910" w:type="dxa"/>
            <w:vAlign w:val="center"/>
          </w:tcPr>
          <w:p w14:paraId="00AF0CF1">
            <w:pPr>
              <w:spacing w:line="240" w:lineRule="auto"/>
              <w:ind w:firstLine="0" w:firstLineChars="0"/>
              <w:jc w:val="center"/>
              <w:rPr>
                <w:sz w:val="21"/>
                <w:szCs w:val="21"/>
              </w:rPr>
            </w:pPr>
            <w:r>
              <w:rPr>
                <w:rFonts w:hint="eastAsia"/>
                <w:sz w:val="21"/>
                <w:szCs w:val="21"/>
              </w:rPr>
              <w:t>进料泵</w:t>
            </w:r>
          </w:p>
        </w:tc>
        <w:tc>
          <w:tcPr>
            <w:tcW w:w="1783" w:type="dxa"/>
            <w:vAlign w:val="center"/>
          </w:tcPr>
          <w:p w14:paraId="56901F17">
            <w:pPr>
              <w:spacing w:line="240" w:lineRule="auto"/>
              <w:ind w:firstLine="0" w:firstLineChars="0"/>
              <w:jc w:val="center"/>
              <w:rPr>
                <w:sz w:val="21"/>
                <w:szCs w:val="21"/>
              </w:rPr>
            </w:pPr>
            <w:r>
              <w:rPr>
                <w:rFonts w:hint="eastAsia"/>
                <w:sz w:val="21"/>
                <w:szCs w:val="21"/>
              </w:rPr>
              <w:t>/</w:t>
            </w:r>
          </w:p>
        </w:tc>
        <w:tc>
          <w:tcPr>
            <w:tcW w:w="1295" w:type="dxa"/>
            <w:vAlign w:val="center"/>
          </w:tcPr>
          <w:p w14:paraId="72058F45">
            <w:pPr>
              <w:spacing w:line="240" w:lineRule="auto"/>
              <w:ind w:firstLine="0" w:firstLineChars="0"/>
              <w:jc w:val="center"/>
              <w:rPr>
                <w:sz w:val="21"/>
                <w:szCs w:val="21"/>
              </w:rPr>
            </w:pPr>
            <w:r>
              <w:rPr>
                <w:rFonts w:hint="eastAsia"/>
                <w:sz w:val="21"/>
                <w:szCs w:val="21"/>
              </w:rPr>
              <w:t>4</w:t>
            </w:r>
          </w:p>
        </w:tc>
        <w:tc>
          <w:tcPr>
            <w:tcW w:w="2062" w:type="dxa"/>
            <w:vAlign w:val="center"/>
          </w:tcPr>
          <w:p w14:paraId="5A562E2B">
            <w:pPr>
              <w:spacing w:line="240" w:lineRule="auto"/>
              <w:ind w:firstLine="0" w:firstLineChars="0"/>
              <w:jc w:val="center"/>
              <w:rPr>
                <w:sz w:val="21"/>
                <w:szCs w:val="21"/>
              </w:rPr>
            </w:pPr>
            <w:r>
              <w:rPr>
                <w:rFonts w:hint="eastAsia"/>
                <w:sz w:val="21"/>
                <w:szCs w:val="21"/>
              </w:rPr>
              <w:t>物料转运</w:t>
            </w:r>
          </w:p>
        </w:tc>
      </w:tr>
    </w:tbl>
    <w:p w14:paraId="1D3EAEFD">
      <w:pPr>
        <w:pStyle w:val="5"/>
        <w:spacing w:before="240" w:after="240"/>
      </w:pPr>
      <w:r>
        <w:t>公用、辅助工程</w:t>
      </w:r>
    </w:p>
    <w:p w14:paraId="1D3EAEFE">
      <w:pPr>
        <w:pStyle w:val="99"/>
        <w:numPr>
          <w:ilvl w:val="3"/>
          <w:numId w:val="15"/>
        </w:numPr>
        <w:ind w:left="709" w:hanging="709" w:firstLineChars="0"/>
        <w:outlineLvl w:val="3"/>
        <w:rPr>
          <w:b/>
          <w:bCs/>
        </w:rPr>
      </w:pPr>
      <w:r>
        <w:rPr>
          <w:b/>
          <w:bCs/>
        </w:rPr>
        <w:t>供电</w:t>
      </w:r>
    </w:p>
    <w:p w14:paraId="1D3EAF05">
      <w:pPr>
        <w:ind w:firstLine="480"/>
      </w:pPr>
      <w:r>
        <w:rPr>
          <w:rFonts w:hint="eastAsia"/>
        </w:rPr>
        <w:t>目前，园区郝庄建有110kV的变电站一座，容量为3×50MW。</w:t>
      </w:r>
      <w:r>
        <w:t>本次工程采用园区用电，年用电量</w:t>
      </w:r>
      <w:r>
        <w:rPr>
          <w:rFonts w:hint="eastAsia"/>
        </w:rPr>
        <w:t>30</w:t>
      </w:r>
      <w:r>
        <w:t>万kW</w:t>
      </w:r>
      <w:r>
        <w:rPr>
          <w:rFonts w:hint="eastAsia"/>
        </w:rPr>
        <w:t>·</w:t>
      </w:r>
      <w:r>
        <w:t>h，能够满足本项目供电所需。</w:t>
      </w:r>
    </w:p>
    <w:p w14:paraId="1D3EAF06">
      <w:pPr>
        <w:pStyle w:val="99"/>
        <w:numPr>
          <w:ilvl w:val="3"/>
          <w:numId w:val="15"/>
        </w:numPr>
        <w:ind w:left="709" w:hanging="709" w:firstLineChars="0"/>
        <w:outlineLvl w:val="3"/>
        <w:rPr>
          <w:b/>
          <w:bCs/>
        </w:rPr>
      </w:pPr>
      <w:r>
        <w:rPr>
          <w:b/>
          <w:bCs/>
        </w:rPr>
        <w:t>给排水</w:t>
      </w:r>
    </w:p>
    <w:p w14:paraId="1D3EAF07">
      <w:pPr>
        <w:ind w:firstLine="480"/>
        <w:outlineLvl w:val="4"/>
      </w:pPr>
      <w:r>
        <w:t>（1）给水</w:t>
      </w:r>
    </w:p>
    <w:p w14:paraId="44BF0910">
      <w:pPr>
        <w:ind w:firstLine="480"/>
        <w:rPr>
          <w:u w:val="single"/>
        </w:rPr>
      </w:pPr>
      <w:r>
        <w:rPr>
          <w:rFonts w:hint="eastAsia"/>
          <w:u w:val="single"/>
        </w:rPr>
        <w:t>新鲜用水：</w:t>
      </w:r>
      <w:r>
        <w:rPr>
          <w:u w:val="single"/>
        </w:rPr>
        <w:t>本次工程新鲜用水量为</w:t>
      </w:r>
      <w:r>
        <w:rPr>
          <w:rFonts w:hint="eastAsia"/>
          <w:u w:val="single"/>
        </w:rPr>
        <w:t>16.32</w:t>
      </w:r>
      <w:r>
        <w:rPr>
          <w:u w:val="single"/>
        </w:rPr>
        <w:t>m</w:t>
      </w:r>
      <w:r>
        <w:rPr>
          <w:u w:val="single"/>
          <w:vertAlign w:val="superscript"/>
        </w:rPr>
        <w:t>3</w:t>
      </w:r>
      <w:r>
        <w:rPr>
          <w:u w:val="single"/>
        </w:rPr>
        <w:t>/</w:t>
      </w:r>
      <w:r>
        <w:rPr>
          <w:rFonts w:hint="eastAsia"/>
          <w:u w:val="single"/>
        </w:rPr>
        <w:t>d</w:t>
      </w:r>
      <w:r>
        <w:rPr>
          <w:u w:val="single"/>
        </w:rPr>
        <w:t>（</w:t>
      </w:r>
      <w:r>
        <w:rPr>
          <w:rFonts w:hint="eastAsia"/>
          <w:u w:val="single"/>
        </w:rPr>
        <w:t>4080</w:t>
      </w:r>
      <w:r>
        <w:rPr>
          <w:u w:val="single"/>
        </w:rPr>
        <w:t>m</w:t>
      </w:r>
      <w:r>
        <w:rPr>
          <w:u w:val="single"/>
          <w:vertAlign w:val="superscript"/>
        </w:rPr>
        <w:t>3</w:t>
      </w:r>
      <w:r>
        <w:rPr>
          <w:u w:val="single"/>
        </w:rPr>
        <w:t>/</w:t>
      </w:r>
      <w:r>
        <w:rPr>
          <w:rFonts w:hint="eastAsia"/>
          <w:u w:val="single"/>
        </w:rPr>
        <w:t>a</w:t>
      </w:r>
      <w:r>
        <w:rPr>
          <w:u w:val="single"/>
        </w:rPr>
        <w:t>），用水主要为</w:t>
      </w:r>
      <w:r>
        <w:rPr>
          <w:rFonts w:hint="eastAsia"/>
          <w:u w:val="single"/>
        </w:rPr>
        <w:t>循环水站</w:t>
      </w:r>
      <w:r>
        <w:rPr>
          <w:u w:val="single"/>
        </w:rPr>
        <w:t>用水、</w:t>
      </w:r>
      <w:r>
        <w:rPr>
          <w:rFonts w:hint="eastAsia"/>
          <w:u w:val="single"/>
        </w:rPr>
        <w:t>化验室</w:t>
      </w:r>
      <w:r>
        <w:rPr>
          <w:u w:val="single"/>
        </w:rPr>
        <w:t>用水、</w:t>
      </w:r>
      <w:r>
        <w:rPr>
          <w:rFonts w:hint="eastAsia"/>
          <w:u w:val="single"/>
        </w:rPr>
        <w:t>职工生活</w:t>
      </w:r>
      <w:r>
        <w:rPr>
          <w:u w:val="single"/>
        </w:rPr>
        <w:t>用水</w:t>
      </w:r>
      <w:r>
        <w:rPr>
          <w:rFonts w:hint="eastAsia"/>
          <w:u w:val="single"/>
        </w:rPr>
        <w:t>、车间地面拖洗用水、喷淋塔用水。目前园区生产用水管网正在建设中，生活用水管网已建成，建成之前生产用水暂时使用本项目租赁厂区新乡市太行水泥粉磨有限公司的自备井水，生活用水使用园区统一供水，待园区生产用水管网建成后，采用园区统一供应用水。</w:t>
      </w:r>
    </w:p>
    <w:p w14:paraId="1D3EAF0A">
      <w:pPr>
        <w:ind w:firstLine="480"/>
        <w:outlineLvl w:val="4"/>
      </w:pPr>
      <w:r>
        <w:t>（2）排水</w:t>
      </w:r>
    </w:p>
    <w:p w14:paraId="1D3EAF12">
      <w:pPr>
        <w:ind w:firstLine="480"/>
      </w:pPr>
      <w:r>
        <w:rPr>
          <w:u w:val="single"/>
        </w:rPr>
        <w:t>本工程废水</w:t>
      </w:r>
      <w:r>
        <w:rPr>
          <w:rFonts w:hint="eastAsia"/>
          <w:u w:val="single"/>
        </w:rPr>
        <w:t>总</w:t>
      </w:r>
      <w:r>
        <w:rPr>
          <w:u w:val="single"/>
        </w:rPr>
        <w:t>产生量为</w:t>
      </w:r>
      <w:r>
        <w:rPr>
          <w:rFonts w:hint="eastAsia"/>
          <w:bCs/>
          <w:szCs w:val="24"/>
          <w:u w:val="single"/>
        </w:rPr>
        <w:t>2192.5</w:t>
      </w:r>
      <w:r>
        <w:rPr>
          <w:bCs/>
          <w:szCs w:val="24"/>
          <w:u w:val="single"/>
        </w:rPr>
        <w:t>m</w:t>
      </w:r>
      <w:r>
        <w:rPr>
          <w:bCs/>
          <w:szCs w:val="24"/>
          <w:u w:val="single"/>
          <w:vertAlign w:val="superscript"/>
        </w:rPr>
        <w:t>3</w:t>
      </w:r>
      <w:r>
        <w:rPr>
          <w:bCs/>
          <w:szCs w:val="24"/>
          <w:u w:val="single"/>
        </w:rPr>
        <w:t>/a</w:t>
      </w:r>
      <w:r>
        <w:rPr>
          <w:rFonts w:hint="eastAsia" w:cs="宋体"/>
          <w:bCs/>
          <w:szCs w:val="24"/>
          <w:u w:val="single"/>
        </w:rPr>
        <w:t>（</w:t>
      </w:r>
      <w:r>
        <w:rPr>
          <w:rFonts w:hint="eastAsia"/>
          <w:bCs/>
          <w:szCs w:val="24"/>
          <w:u w:val="single"/>
        </w:rPr>
        <w:t>8.77</w:t>
      </w:r>
      <w:r>
        <w:rPr>
          <w:bCs/>
          <w:szCs w:val="24"/>
          <w:u w:val="single"/>
        </w:rPr>
        <w:t>m</w:t>
      </w:r>
      <w:r>
        <w:rPr>
          <w:bCs/>
          <w:szCs w:val="24"/>
          <w:u w:val="single"/>
          <w:vertAlign w:val="superscript"/>
        </w:rPr>
        <w:t>3</w:t>
      </w:r>
      <w:r>
        <w:rPr>
          <w:bCs/>
          <w:szCs w:val="24"/>
          <w:u w:val="single"/>
        </w:rPr>
        <w:t>/d）</w:t>
      </w:r>
      <w:r>
        <w:rPr>
          <w:rFonts w:hint="eastAsia"/>
          <w:u w:val="single"/>
        </w:rPr>
        <w:t>，其中喷淋塔废水为180</w:t>
      </w:r>
      <w:r>
        <w:rPr>
          <w:bCs/>
          <w:u w:val="single"/>
        </w:rPr>
        <w:t>m</w:t>
      </w:r>
      <w:r>
        <w:rPr>
          <w:bCs/>
          <w:u w:val="single"/>
          <w:vertAlign w:val="superscript"/>
        </w:rPr>
        <w:t>3</w:t>
      </w:r>
      <w:r>
        <w:rPr>
          <w:bCs/>
          <w:u w:val="single"/>
        </w:rPr>
        <w:t>/a</w:t>
      </w:r>
      <w:r>
        <w:rPr>
          <w:rFonts w:hint="eastAsia"/>
          <w:bCs/>
          <w:u w:val="single"/>
        </w:rPr>
        <w:t>（0.72</w:t>
      </w:r>
      <w:r>
        <w:rPr>
          <w:bCs/>
          <w:u w:val="single"/>
        </w:rPr>
        <w:t>m</w:t>
      </w:r>
      <w:r>
        <w:rPr>
          <w:bCs/>
          <w:u w:val="single"/>
          <w:vertAlign w:val="superscript"/>
        </w:rPr>
        <w:t>3</w:t>
      </w:r>
      <w:r>
        <w:rPr>
          <w:bCs/>
          <w:u w:val="single"/>
        </w:rPr>
        <w:t>/d</w:t>
      </w:r>
      <w:r>
        <w:rPr>
          <w:rFonts w:hint="eastAsia"/>
          <w:bCs/>
          <w:u w:val="single"/>
        </w:rPr>
        <w:t>），车间地面拖洗废水为</w:t>
      </w:r>
      <w:r>
        <w:rPr>
          <w:rFonts w:hint="eastAsia"/>
          <w:u w:val="single"/>
        </w:rPr>
        <w:t>4.53</w:t>
      </w:r>
      <w:r>
        <w:rPr>
          <w:u w:val="single"/>
        </w:rPr>
        <w:t>m</w:t>
      </w:r>
      <w:r>
        <w:rPr>
          <w:u w:val="single"/>
          <w:vertAlign w:val="superscript"/>
        </w:rPr>
        <w:t>3</w:t>
      </w:r>
      <w:r>
        <w:rPr>
          <w:u w:val="single"/>
        </w:rPr>
        <w:t>/d</w:t>
      </w:r>
      <w:r>
        <w:rPr>
          <w:rFonts w:hint="eastAsia"/>
          <w:u w:val="single"/>
        </w:rPr>
        <w:t>（1132.5</w:t>
      </w:r>
      <w:r>
        <w:rPr>
          <w:u w:val="single"/>
        </w:rPr>
        <w:t>m</w:t>
      </w:r>
      <w:r>
        <w:rPr>
          <w:u w:val="single"/>
          <w:vertAlign w:val="superscript"/>
        </w:rPr>
        <w:t>3</w:t>
      </w:r>
      <w:r>
        <w:rPr>
          <w:u w:val="single"/>
        </w:rPr>
        <w:t>/a</w:t>
      </w:r>
      <w:r>
        <w:rPr>
          <w:rFonts w:hint="eastAsia"/>
          <w:u w:val="single"/>
        </w:rPr>
        <w:t>）</w:t>
      </w:r>
      <w:r>
        <w:rPr>
          <w:rFonts w:hint="eastAsia"/>
          <w:bCs/>
          <w:u w:val="single"/>
        </w:rPr>
        <w:t>，</w:t>
      </w:r>
      <w:r>
        <w:rPr>
          <w:rFonts w:hint="eastAsia"/>
          <w:u w:val="single"/>
        </w:rPr>
        <w:t>职工生活污水量为0.96</w:t>
      </w:r>
      <w:r>
        <w:rPr>
          <w:u w:val="single"/>
        </w:rPr>
        <w:t>m</w:t>
      </w:r>
      <w:r>
        <w:rPr>
          <w:u w:val="single"/>
          <w:vertAlign w:val="superscript"/>
        </w:rPr>
        <w:t>3</w:t>
      </w:r>
      <w:r>
        <w:rPr>
          <w:u w:val="single"/>
        </w:rPr>
        <w:t>/d（</w:t>
      </w:r>
      <w:r>
        <w:rPr>
          <w:rFonts w:hint="eastAsia"/>
          <w:u w:val="single"/>
        </w:rPr>
        <w:t>240</w:t>
      </w:r>
      <w:r>
        <w:rPr>
          <w:u w:val="single"/>
        </w:rPr>
        <w:t>m</w:t>
      </w:r>
      <w:r>
        <w:rPr>
          <w:u w:val="single"/>
          <w:vertAlign w:val="superscript"/>
        </w:rPr>
        <w:t>3</w:t>
      </w:r>
      <w:r>
        <w:rPr>
          <w:u w:val="single"/>
        </w:rPr>
        <w:t>/a）</w:t>
      </w:r>
      <w:r>
        <w:rPr>
          <w:rFonts w:hint="eastAsia"/>
          <w:u w:val="single"/>
        </w:rPr>
        <w:t>、循环冷却系统排水为</w:t>
      </w:r>
      <w:r>
        <w:rPr>
          <w:rFonts w:hint="eastAsia"/>
          <w:szCs w:val="24"/>
          <w:u w:val="single"/>
        </w:rPr>
        <w:t>2.56</w:t>
      </w:r>
      <w:r>
        <w:rPr>
          <w:szCs w:val="24"/>
          <w:u w:val="single"/>
        </w:rPr>
        <w:t>m</w:t>
      </w:r>
      <w:r>
        <w:rPr>
          <w:szCs w:val="24"/>
          <w:u w:val="single"/>
          <w:vertAlign w:val="superscript"/>
        </w:rPr>
        <w:t>3</w:t>
      </w:r>
      <w:r>
        <w:rPr>
          <w:szCs w:val="24"/>
          <w:u w:val="single"/>
        </w:rPr>
        <w:t>/d</w:t>
      </w:r>
      <w:r>
        <w:rPr>
          <w:rFonts w:hint="eastAsia"/>
          <w:szCs w:val="24"/>
          <w:u w:val="single"/>
        </w:rPr>
        <w:t>（</w:t>
      </w:r>
      <w:r>
        <w:rPr>
          <w:rFonts w:hint="eastAsia"/>
          <w:u w:val="single"/>
        </w:rPr>
        <w:t>640</w:t>
      </w:r>
      <w:r>
        <w:rPr>
          <w:u w:val="single"/>
        </w:rPr>
        <w:t>m</w:t>
      </w:r>
      <w:r>
        <w:rPr>
          <w:u w:val="single"/>
          <w:vertAlign w:val="superscript"/>
        </w:rPr>
        <w:t>3</w:t>
      </w:r>
      <w:r>
        <w:rPr>
          <w:u w:val="single"/>
        </w:rPr>
        <w:t>/a</w:t>
      </w:r>
      <w:r>
        <w:rPr>
          <w:rFonts w:hint="eastAsia"/>
          <w:szCs w:val="24"/>
          <w:u w:val="single"/>
        </w:rPr>
        <w:t>）</w:t>
      </w:r>
      <w:r>
        <w:t>。</w:t>
      </w:r>
      <w:r>
        <w:rPr>
          <w:rFonts w:hint="eastAsia"/>
        </w:rPr>
        <w:t>喷淋塔废水、车间地面拖洗废水经厂区污水处理站处理后与经化粪池处理后的生活污水、循环冷却系统排水一起</w:t>
      </w:r>
      <w:r>
        <w:t>由厂区总排口排入园区污水管网，再送</w:t>
      </w:r>
      <w:r>
        <w:rPr>
          <w:rFonts w:hint="eastAsia"/>
        </w:rPr>
        <w:t>唐庄</w:t>
      </w:r>
      <w:r>
        <w:t>污水处理厂进行进一步处理，处理后排入</w:t>
      </w:r>
      <w:r>
        <w:rPr>
          <w:rFonts w:hint="eastAsia"/>
        </w:rPr>
        <w:t>共产主义渠</w:t>
      </w:r>
      <w:r>
        <w:t>。</w:t>
      </w:r>
    </w:p>
    <w:p w14:paraId="6989C417">
      <w:pPr>
        <w:ind w:firstLine="480"/>
        <w:outlineLvl w:val="4"/>
      </w:pPr>
      <w:r>
        <w:rPr>
          <w:rFonts w:hint="eastAsia"/>
        </w:rPr>
        <w:t>（3）水平衡</w:t>
      </w:r>
    </w:p>
    <w:p w14:paraId="3DC2E2EA">
      <w:pPr>
        <w:ind w:firstLineChars="0"/>
        <w:rPr>
          <w:szCs w:val="24"/>
        </w:rPr>
      </w:pPr>
      <w:r>
        <w:rPr>
          <w:szCs w:val="24"/>
        </w:rPr>
        <w:t>本工程水平衡图见下图：</w:t>
      </w:r>
    </w:p>
    <w:p w14:paraId="0AA26F81">
      <w:pPr>
        <w:spacing w:line="360" w:lineRule="auto"/>
        <w:ind w:firstLine="0" w:firstLineChars="0"/>
        <w:rPr>
          <w:highlight w:val="yellow"/>
          <w:u w:val="single"/>
        </w:rPr>
      </w:pPr>
      <w:r>
        <w:drawing>
          <wp:inline distT="0" distB="0" distL="0" distR="0">
            <wp:extent cx="5278120" cy="4276725"/>
            <wp:effectExtent l="0" t="0" r="17780" b="9525"/>
            <wp:docPr id="103593384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3847" name="图片 1" descr="图示&#10;&#10;描述已自动生成"/>
                    <pic:cNvPicPr>
                      <a:picLocks noChangeAspect="1"/>
                    </pic:cNvPicPr>
                  </pic:nvPicPr>
                  <pic:blipFill>
                    <a:blip r:embed="rId54"/>
                    <a:stretch>
                      <a:fillRect/>
                    </a:stretch>
                  </pic:blipFill>
                  <pic:spPr>
                    <a:xfrm>
                      <a:off x="0" y="0"/>
                      <a:ext cx="5278120" cy="4276725"/>
                    </a:xfrm>
                    <a:prstGeom prst="rect">
                      <a:avLst/>
                    </a:prstGeom>
                  </pic:spPr>
                </pic:pic>
              </a:graphicData>
            </a:graphic>
          </wp:inline>
        </w:drawing>
      </w:r>
    </w:p>
    <w:p w14:paraId="4A213BF9">
      <w:pPr>
        <w:pStyle w:val="99"/>
        <w:numPr>
          <w:ilvl w:val="2"/>
          <w:numId w:val="16"/>
        </w:numPr>
        <w:spacing w:line="360" w:lineRule="auto"/>
        <w:ind w:left="0" w:firstLine="0" w:firstLineChars="0"/>
        <w:jc w:val="center"/>
        <w:rPr>
          <w:rFonts w:eastAsia="黑体"/>
          <w:szCs w:val="24"/>
          <w:u w:val="single"/>
        </w:rPr>
        <w:sectPr>
          <w:pgSz w:w="11906" w:h="16838"/>
          <w:pgMar w:top="1440" w:right="1797" w:bottom="1440" w:left="1797" w:header="851" w:footer="992" w:gutter="0"/>
          <w:cols w:space="425" w:num="1"/>
          <w:docGrid w:linePitch="326" w:charSpace="0"/>
        </w:sectPr>
      </w:pPr>
      <w:r>
        <w:rPr>
          <w:rFonts w:eastAsia="黑体"/>
          <w:szCs w:val="24"/>
          <w:u w:val="single"/>
        </w:rPr>
        <w:t xml:space="preserve">    本次工程水平衡图</w:t>
      </w:r>
    </w:p>
    <w:bookmarkEnd w:id="168"/>
    <w:bookmarkEnd w:id="169"/>
    <w:bookmarkEnd w:id="170"/>
    <w:bookmarkEnd w:id="171"/>
    <w:bookmarkEnd w:id="172"/>
    <w:bookmarkEnd w:id="173"/>
    <w:p w14:paraId="1D3EB323">
      <w:pPr>
        <w:pStyle w:val="5"/>
        <w:spacing w:before="240" w:after="240"/>
      </w:pPr>
      <w:bookmarkStart w:id="174" w:name="_Toc428286832"/>
      <w:bookmarkStart w:id="175" w:name="_Toc428287568"/>
      <w:bookmarkStart w:id="176" w:name="_Toc428287216"/>
      <w:r>
        <w:t>本项目生产工艺</w:t>
      </w:r>
      <w:bookmarkEnd w:id="174"/>
      <w:bookmarkEnd w:id="175"/>
      <w:bookmarkEnd w:id="176"/>
      <w:r>
        <w:t>及产污环节分析</w:t>
      </w:r>
    </w:p>
    <w:p w14:paraId="7A7F88D9">
      <w:pPr>
        <w:ind w:firstLine="482"/>
        <w:outlineLvl w:val="3"/>
        <w:rPr>
          <w:b/>
        </w:rPr>
      </w:pPr>
      <w:r>
        <w:rPr>
          <w:rFonts w:hint="eastAsia"/>
          <w:b/>
        </w:rPr>
        <w:t>一、</w:t>
      </w:r>
      <w:r>
        <w:rPr>
          <w:rFonts w:hint="eastAsia"/>
          <w:b/>
          <w:bCs/>
        </w:rPr>
        <w:t>聚醚改性硅油</w:t>
      </w:r>
    </w:p>
    <w:p w14:paraId="1D3EB325">
      <w:pPr>
        <w:ind w:firstLine="480"/>
      </w:pPr>
      <w:r>
        <w:rPr>
          <w:rFonts w:hint="eastAsia"/>
        </w:rPr>
        <w:t>（1）</w:t>
      </w:r>
      <w:r>
        <w:t>本项目</w:t>
      </w:r>
      <w:r>
        <w:rPr>
          <w:rFonts w:hint="eastAsia"/>
          <w:bCs/>
        </w:rPr>
        <w:t>聚醚改性硅油</w:t>
      </w:r>
      <w:r>
        <w:t>工艺流程图详见下图。</w:t>
      </w:r>
    </w:p>
    <w:p w14:paraId="1D3EB326">
      <w:pPr>
        <w:spacing w:line="360" w:lineRule="auto"/>
        <w:ind w:firstLine="0" w:firstLineChars="0"/>
        <w:jc w:val="center"/>
        <w:rPr>
          <w:highlight w:val="yellow"/>
        </w:rPr>
      </w:pPr>
      <w:r>
        <w:drawing>
          <wp:inline distT="0" distB="0" distL="0" distR="0">
            <wp:extent cx="5390515" cy="5698490"/>
            <wp:effectExtent l="0" t="0" r="635" b="16510"/>
            <wp:docPr id="1720570799"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70799" name="图片 1" descr="图示, 示意图&#10;&#10;描述已自动生成"/>
                    <pic:cNvPicPr>
                      <a:picLocks noChangeAspect="1"/>
                    </pic:cNvPicPr>
                  </pic:nvPicPr>
                  <pic:blipFill>
                    <a:blip r:embed="rId55"/>
                    <a:stretch>
                      <a:fillRect/>
                    </a:stretch>
                  </pic:blipFill>
                  <pic:spPr>
                    <a:xfrm>
                      <a:off x="0" y="0"/>
                      <a:ext cx="5390515" cy="5703143"/>
                    </a:xfrm>
                    <a:prstGeom prst="rect">
                      <a:avLst/>
                    </a:prstGeom>
                  </pic:spPr>
                </pic:pic>
              </a:graphicData>
            </a:graphic>
          </wp:inline>
        </w:drawing>
      </w:r>
    </w:p>
    <w:p w14:paraId="1D3EB327">
      <w:pPr>
        <w:pStyle w:val="99"/>
        <w:numPr>
          <w:ilvl w:val="2"/>
          <w:numId w:val="16"/>
        </w:numPr>
        <w:spacing w:line="360" w:lineRule="auto"/>
        <w:ind w:left="0" w:firstLine="0" w:firstLineChars="0"/>
        <w:jc w:val="center"/>
        <w:rPr>
          <w:rFonts w:eastAsia="黑体"/>
          <w:szCs w:val="24"/>
          <w:u w:val="single"/>
        </w:rPr>
      </w:pPr>
      <w:r>
        <w:rPr>
          <w:rFonts w:hint="eastAsia" w:eastAsia="黑体"/>
          <w:szCs w:val="24"/>
          <w:u w:val="single"/>
        </w:rPr>
        <w:t xml:space="preserve">  </w:t>
      </w:r>
      <w:r>
        <w:rPr>
          <w:rFonts w:hint="eastAsia" w:eastAsia="黑体"/>
          <w:bCs/>
          <w:szCs w:val="24"/>
          <w:u w:val="single"/>
        </w:rPr>
        <w:t>聚醚改性硅油</w:t>
      </w:r>
      <w:r>
        <w:rPr>
          <w:rFonts w:eastAsia="黑体"/>
          <w:szCs w:val="24"/>
          <w:u w:val="single"/>
        </w:rPr>
        <w:t>制备工艺流程及产污环节图</w:t>
      </w:r>
    </w:p>
    <w:p w14:paraId="1D3EB328">
      <w:pPr>
        <w:pStyle w:val="182"/>
        <w:rPr>
          <w:rFonts w:ascii="Times New Roman" w:hAnsi="Times New Roman" w:cs="Times New Roman"/>
          <w:color w:val="auto"/>
        </w:rPr>
      </w:pPr>
      <w:r>
        <w:rPr>
          <w:rFonts w:ascii="Times New Roman" w:hAnsi="Times New Roman" w:cs="Times New Roman"/>
          <w:color w:val="auto"/>
        </w:rPr>
        <w:t>本项目</w:t>
      </w:r>
      <w:r>
        <w:rPr>
          <w:rFonts w:hint="eastAsia" w:ascii="Times New Roman" w:hAnsi="Times New Roman" w:cs="Times New Roman"/>
          <w:bCs/>
          <w:color w:val="auto"/>
        </w:rPr>
        <w:t>聚醚改性硅油</w:t>
      </w:r>
      <w:r>
        <w:rPr>
          <w:rFonts w:ascii="Times New Roman" w:hAnsi="Times New Roman" w:cs="Times New Roman"/>
          <w:color w:val="auto"/>
        </w:rPr>
        <w:t>具体</w:t>
      </w:r>
      <w:r>
        <w:rPr>
          <w:rFonts w:hint="eastAsia" w:ascii="Times New Roman" w:hAnsi="Times New Roman" w:cs="Times New Roman"/>
          <w:color w:val="auto"/>
        </w:rPr>
        <w:t>生产</w:t>
      </w:r>
      <w:r>
        <w:rPr>
          <w:rFonts w:ascii="Times New Roman" w:hAnsi="Times New Roman" w:cs="Times New Roman"/>
          <w:color w:val="auto"/>
        </w:rPr>
        <w:t>工艺简述如下。</w:t>
      </w:r>
    </w:p>
    <w:p w14:paraId="2EDEDFD8">
      <w:pPr>
        <w:ind w:firstLine="482" w:firstLineChars="0"/>
        <w:rPr>
          <w:u w:val="single"/>
        </w:rPr>
      </w:pPr>
      <w:r>
        <w:rPr>
          <w:rFonts w:hint="eastAsia"/>
          <w:b/>
          <w:bCs/>
          <w:u w:val="single"/>
        </w:rPr>
        <w:t>①</w:t>
      </w:r>
      <w:r>
        <w:rPr>
          <w:b/>
          <w:bCs/>
          <w:u w:val="single"/>
        </w:rPr>
        <w:t>聚合：</w:t>
      </w:r>
      <w:r>
        <w:rPr>
          <w:bCs/>
          <w:u w:val="single"/>
        </w:rPr>
        <w:t>原料D4（八甲基环四硅氧烷）和KF-99（高含氢硅油）均为桶装，</w:t>
      </w:r>
      <w:r>
        <w:rPr>
          <w:rFonts w:hint="eastAsia"/>
          <w:bCs/>
          <w:u w:val="single"/>
        </w:rPr>
        <w:t>按照一定比例</w:t>
      </w:r>
      <w:r>
        <w:rPr>
          <w:bCs/>
          <w:u w:val="single"/>
        </w:rPr>
        <w:t>依次泵送至</w:t>
      </w:r>
      <w:r>
        <w:rPr>
          <w:rFonts w:hint="eastAsia"/>
          <w:bCs/>
          <w:u w:val="single"/>
        </w:rPr>
        <w:t>密闭</w:t>
      </w:r>
      <w:r>
        <w:rPr>
          <w:bCs/>
          <w:u w:val="single"/>
        </w:rPr>
        <w:t>搪瓷反应釜中后</w:t>
      </w:r>
      <w:r>
        <w:rPr>
          <w:rFonts w:hint="eastAsia"/>
          <w:bCs/>
          <w:u w:val="single"/>
        </w:rPr>
        <w:t>再</w:t>
      </w:r>
      <w:r>
        <w:rPr>
          <w:bCs/>
          <w:u w:val="single"/>
        </w:rPr>
        <w:t>泵入催化剂</w:t>
      </w:r>
      <w:r>
        <w:rPr>
          <w:rFonts w:hint="eastAsia"/>
          <w:bCs/>
          <w:u w:val="single"/>
        </w:rPr>
        <w:t>9</w:t>
      </w:r>
      <w:r>
        <w:rPr>
          <w:bCs/>
          <w:u w:val="single"/>
        </w:rPr>
        <w:t>8%硫酸，</w:t>
      </w:r>
      <w:r>
        <w:rPr>
          <w:rFonts w:hint="eastAsia"/>
          <w:bCs/>
          <w:u w:val="single"/>
        </w:rPr>
        <w:t>其中泵送过程原料桶加盖密闭与泵衔接，物料投加完之后</w:t>
      </w:r>
      <w:r>
        <w:rPr>
          <w:bCs/>
          <w:u w:val="single"/>
        </w:rPr>
        <w:t>通过</w:t>
      </w:r>
      <w:r>
        <w:rPr>
          <w:rFonts w:hint="eastAsia"/>
          <w:bCs/>
          <w:u w:val="single"/>
        </w:rPr>
        <w:t>导热油</w:t>
      </w:r>
      <w:r>
        <w:rPr>
          <w:bCs/>
          <w:u w:val="single"/>
        </w:rPr>
        <w:t>加热至38℃</w:t>
      </w:r>
      <w:r>
        <w:rPr>
          <w:rFonts w:hint="eastAsia"/>
          <w:bCs/>
          <w:u w:val="single"/>
        </w:rPr>
        <w:t>，</w:t>
      </w:r>
      <w:r>
        <w:rPr>
          <w:bCs/>
          <w:u w:val="single"/>
        </w:rPr>
        <w:t>搅拌</w:t>
      </w:r>
      <w:r>
        <w:rPr>
          <w:rFonts w:hint="eastAsia"/>
          <w:bCs/>
          <w:u w:val="single"/>
        </w:rPr>
        <w:t>反应</w:t>
      </w:r>
      <w:r>
        <w:rPr>
          <w:bCs/>
          <w:u w:val="single"/>
        </w:rPr>
        <w:t>10h</w:t>
      </w:r>
      <w:r>
        <w:rPr>
          <w:rFonts w:hint="eastAsia"/>
          <w:bCs/>
          <w:u w:val="single"/>
        </w:rPr>
        <w:t>停止加热，得到低含氢硅油</w:t>
      </w:r>
      <w:r>
        <w:rPr>
          <w:rFonts w:hint="eastAsia"/>
          <w:u w:val="single"/>
        </w:rPr>
        <w:t>。整个反应过程反应釜压力为常压状态。反应釜配套有冷凝器，冷凝器采用水冷，温</w:t>
      </w:r>
      <w:r>
        <w:rPr>
          <w:u w:val="single"/>
        </w:rPr>
        <w:t>度为10℃左右</w:t>
      </w:r>
      <w:r>
        <w:rPr>
          <w:rFonts w:hint="eastAsia"/>
          <w:u w:val="single"/>
        </w:rPr>
        <w:t>。反应过程产生的气体经冷凝器冷凝后，不凝气G1-1通过密闭管道进入废气治理设施，冷凝液回用于生产系统。该聚合反应方程式如下：</w:t>
      </w:r>
    </w:p>
    <w:p w14:paraId="1CFCD8DD">
      <w:pPr>
        <w:pStyle w:val="2"/>
        <w:spacing w:before="120" w:beforeLines="50" w:after="0" w:line="360" w:lineRule="auto"/>
        <w:ind w:firstLine="0" w:firstLineChars="0"/>
        <w:jc w:val="center"/>
      </w:pPr>
      <w:r>
        <w:drawing>
          <wp:inline distT="0" distB="0" distL="0" distR="0">
            <wp:extent cx="4109085" cy="1151890"/>
            <wp:effectExtent l="0" t="0" r="5715" b="10160"/>
            <wp:docPr id="1375354972"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54972" name="图片 1" descr="图示, 示意图&#10;&#10;描述已自动生成"/>
                    <pic:cNvPicPr>
                      <a:picLocks noChangeAspect="1"/>
                    </pic:cNvPicPr>
                  </pic:nvPicPr>
                  <pic:blipFill>
                    <a:blip r:embed="rId56"/>
                    <a:stretch>
                      <a:fillRect/>
                    </a:stretch>
                  </pic:blipFill>
                  <pic:spPr>
                    <a:xfrm>
                      <a:off x="0" y="0"/>
                      <a:ext cx="4109085" cy="1152000"/>
                    </a:xfrm>
                    <a:prstGeom prst="rect">
                      <a:avLst/>
                    </a:prstGeom>
                  </pic:spPr>
                </pic:pic>
              </a:graphicData>
            </a:graphic>
          </wp:inline>
        </w:drawing>
      </w:r>
    </w:p>
    <w:p w14:paraId="6A9537E4">
      <w:pPr>
        <w:spacing w:line="240" w:lineRule="auto"/>
        <w:ind w:firstLine="480"/>
        <w:rPr>
          <w:highlight w:val="yellow"/>
        </w:rPr>
      </w:pPr>
      <w:r>
        <w:rPr>
          <w:rFonts w:hint="eastAsia"/>
        </w:rPr>
        <w:t>0＜m+n＜100</w:t>
      </w:r>
    </w:p>
    <w:p w14:paraId="74BD7F1C">
      <w:pPr>
        <w:pStyle w:val="2"/>
        <w:spacing w:after="0"/>
        <w:ind w:firstLine="482"/>
        <w:rPr>
          <w:u w:val="single"/>
        </w:rPr>
      </w:pPr>
      <w:r>
        <w:rPr>
          <w:rFonts w:hint="eastAsia"/>
          <w:b/>
          <w:bCs/>
          <w:u w:val="single"/>
        </w:rPr>
        <w:t>②中和：</w:t>
      </w:r>
      <w:r>
        <w:rPr>
          <w:rFonts w:hint="eastAsia"/>
          <w:u w:val="single"/>
        </w:rPr>
        <w:t>为去除聚合过程中添加的硫酸，通过真空投料机向反应釜中投加过量的小苏打（碳酸氢钠），搅拌反应2</w:t>
      </w:r>
      <w:r>
        <w:rPr>
          <w:u w:val="single"/>
        </w:rPr>
        <w:t>h</w:t>
      </w:r>
      <w:r>
        <w:rPr>
          <w:rFonts w:hint="eastAsia"/>
          <w:u w:val="single"/>
        </w:rPr>
        <w:t>后，通过真空投料机投加椰壳活性炭去除异味，</w:t>
      </w:r>
      <w:r>
        <w:rPr>
          <w:rFonts w:hint="eastAsia"/>
          <w:bCs/>
          <w:u w:val="single"/>
        </w:rPr>
        <w:t>搅拌2</w:t>
      </w:r>
      <w:r>
        <w:rPr>
          <w:bCs/>
          <w:u w:val="single"/>
        </w:rPr>
        <w:t>h后</w:t>
      </w:r>
      <w:r>
        <w:rPr>
          <w:rFonts w:hint="eastAsia"/>
          <w:bCs/>
          <w:u w:val="single"/>
        </w:rPr>
        <w:t>静置</w:t>
      </w:r>
      <w:r>
        <w:rPr>
          <w:rFonts w:hint="eastAsia"/>
          <w:u w:val="single"/>
        </w:rPr>
        <w:t>。因每批次投加小苏打和椰壳活性炭的量较少，且采用真空投料机进行投料，故其投料废气产生极少，不再考虑。中和反应过程不再加热，自然降温至室温，反应釜中的压力维持在常压状态。中和过程产生的气体经冷凝器冷凝后，不凝气G1-2通过密闭管道进入废气治理设施，冷凝液回用于聚合反应工段。该过程的反应方程式如下：</w:t>
      </w:r>
    </w:p>
    <w:p w14:paraId="3F64590D">
      <w:pPr>
        <w:spacing w:before="120" w:beforeLines="50" w:line="240" w:lineRule="auto"/>
        <w:ind w:firstLine="0" w:firstLineChars="0"/>
        <w:jc w:val="center"/>
      </w:pPr>
      <w:r>
        <w:drawing>
          <wp:inline distT="0" distB="0" distL="0" distR="0">
            <wp:extent cx="3315970" cy="323850"/>
            <wp:effectExtent l="0" t="0" r="17780" b="0"/>
            <wp:docPr id="1790260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60305" name="图片 1"/>
                    <pic:cNvPicPr>
                      <a:picLocks noChangeAspect="1"/>
                    </pic:cNvPicPr>
                  </pic:nvPicPr>
                  <pic:blipFill>
                    <a:blip r:embed="rId57"/>
                    <a:stretch>
                      <a:fillRect/>
                    </a:stretch>
                  </pic:blipFill>
                  <pic:spPr>
                    <a:xfrm>
                      <a:off x="0" y="0"/>
                      <a:ext cx="3315970" cy="324000"/>
                    </a:xfrm>
                    <a:prstGeom prst="rect">
                      <a:avLst/>
                    </a:prstGeom>
                  </pic:spPr>
                </pic:pic>
              </a:graphicData>
            </a:graphic>
          </wp:inline>
        </w:drawing>
      </w:r>
    </w:p>
    <w:p w14:paraId="37C8475E">
      <w:pPr>
        <w:pStyle w:val="2"/>
        <w:spacing w:after="0"/>
        <w:ind w:firstLine="482" w:firstLineChars="0"/>
        <w:rPr>
          <w:u w:val="single"/>
        </w:rPr>
      </w:pPr>
      <w:r>
        <w:rPr>
          <w:rFonts w:hint="eastAsia"/>
          <w:b/>
          <w:bCs/>
        </w:rPr>
        <w:t>③过滤、离心：</w:t>
      </w:r>
      <w:r>
        <w:rPr>
          <w:rFonts w:hint="eastAsia"/>
          <w:bCs/>
          <w:u w:val="single"/>
        </w:rPr>
        <w:t>中和并去除异味后的物料静置1h后，反应釜中的物料分层，将上清液通过密闭管道泵入压滤机中进行压滤，以去除硅油中的活性炭，低含氢硅油进入下一步反应釜中。底部沉淀物利用重力通过密闭管道进入离心机中进行固液分离，分离出的液体通过密闭管道进入硅氢化反应釜，开始下一步反应，固体主要为活性炭和硫酸钠，作为固废处置。另外，该过程会产生噪声。</w:t>
      </w:r>
    </w:p>
    <w:p w14:paraId="11EC128E">
      <w:pPr>
        <w:pStyle w:val="2"/>
        <w:spacing w:after="0"/>
        <w:ind w:firstLine="482"/>
      </w:pPr>
      <w:r>
        <w:rPr>
          <w:rFonts w:hint="eastAsia"/>
          <w:b/>
          <w:bCs/>
        </w:rPr>
        <w:t>④硅氢化反应、脱色：</w:t>
      </w:r>
      <w:r>
        <w:rPr>
          <w:rFonts w:hint="eastAsia"/>
          <w:u w:val="single"/>
        </w:rPr>
        <w:t>该反应用到3种封端聚醚，即H</w:t>
      </w:r>
      <w:r>
        <w:rPr>
          <w:u w:val="single"/>
        </w:rPr>
        <w:t>MS-218M</w:t>
      </w:r>
      <w:r>
        <w:rPr>
          <w:rFonts w:hint="eastAsia"/>
          <w:u w:val="single"/>
        </w:rPr>
        <w:t>、H</w:t>
      </w:r>
      <w:r>
        <w:rPr>
          <w:u w:val="single"/>
        </w:rPr>
        <w:t>MS-215M</w:t>
      </w:r>
      <w:r>
        <w:rPr>
          <w:rFonts w:hint="eastAsia"/>
          <w:u w:val="single"/>
        </w:rPr>
        <w:t>、H</w:t>
      </w:r>
      <w:r>
        <w:rPr>
          <w:u w:val="single"/>
        </w:rPr>
        <w:t>MS-222M</w:t>
      </w:r>
      <w:r>
        <w:rPr>
          <w:rFonts w:hint="eastAsia"/>
          <w:u w:val="single"/>
        </w:rPr>
        <w:t>，其中H</w:t>
      </w:r>
      <w:r>
        <w:rPr>
          <w:u w:val="single"/>
        </w:rPr>
        <w:t>MS-215M</w:t>
      </w:r>
      <w:r>
        <w:rPr>
          <w:rFonts w:hint="eastAsia"/>
          <w:u w:val="single"/>
        </w:rPr>
        <w:t>和H</w:t>
      </w:r>
      <w:r>
        <w:rPr>
          <w:u w:val="single"/>
        </w:rPr>
        <w:t>MS-222M</w:t>
      </w:r>
      <w:r>
        <w:rPr>
          <w:rFonts w:hint="eastAsia"/>
          <w:u w:val="single"/>
        </w:rPr>
        <w:t>不同时使用，</w:t>
      </w:r>
      <w:r>
        <w:rPr>
          <w:rFonts w:hint="eastAsia"/>
          <w:bCs/>
          <w:u w:val="single"/>
        </w:rPr>
        <w:t>低含氢硅油和</w:t>
      </w:r>
      <w:r>
        <w:rPr>
          <w:rFonts w:hint="eastAsia"/>
          <w:u w:val="single"/>
        </w:rPr>
        <w:t>H</w:t>
      </w:r>
      <w:r>
        <w:rPr>
          <w:u w:val="single"/>
        </w:rPr>
        <w:t>MS-215M</w:t>
      </w:r>
      <w:r>
        <w:rPr>
          <w:rFonts w:hint="eastAsia"/>
          <w:u w:val="single"/>
        </w:rPr>
        <w:t>、H</w:t>
      </w:r>
      <w:r>
        <w:rPr>
          <w:u w:val="single"/>
        </w:rPr>
        <w:t>MS-218M</w:t>
      </w:r>
      <w:r>
        <w:rPr>
          <w:rFonts w:hint="eastAsia"/>
          <w:u w:val="single"/>
        </w:rPr>
        <w:t>反应后生成的聚醚改性硅油与</w:t>
      </w:r>
      <w:r>
        <w:rPr>
          <w:rFonts w:hint="eastAsia"/>
          <w:bCs/>
          <w:u w:val="single"/>
        </w:rPr>
        <w:t>低含氢硅油和</w:t>
      </w:r>
      <w:r>
        <w:rPr>
          <w:rFonts w:hint="eastAsia"/>
          <w:u w:val="single"/>
        </w:rPr>
        <w:t>H</w:t>
      </w:r>
      <w:r>
        <w:rPr>
          <w:u w:val="single"/>
        </w:rPr>
        <w:t>MS-218M</w:t>
      </w:r>
      <w:r>
        <w:rPr>
          <w:rFonts w:hint="eastAsia"/>
          <w:u w:val="single"/>
        </w:rPr>
        <w:t>、H</w:t>
      </w:r>
      <w:r>
        <w:rPr>
          <w:u w:val="single"/>
        </w:rPr>
        <w:t>MS-222M</w:t>
      </w:r>
      <w:r>
        <w:rPr>
          <w:rFonts w:hint="eastAsia"/>
          <w:u w:val="single"/>
        </w:rPr>
        <w:t>反应后生成的聚醚改性硅油需要搅拌混合后成为产品，该反应过程条件和添加比例基本一致，具体操作过程如下：</w:t>
      </w:r>
    </w:p>
    <w:p w14:paraId="330077A0">
      <w:pPr>
        <w:pStyle w:val="2"/>
        <w:spacing w:after="0"/>
        <w:ind w:firstLine="480"/>
        <w:rPr>
          <w:bCs/>
          <w:u w:val="single"/>
        </w:rPr>
      </w:pPr>
      <w:r>
        <w:rPr>
          <w:rFonts w:hint="eastAsia"/>
          <w:bCs/>
          <w:u w:val="single"/>
        </w:rPr>
        <w:t>向装有低含氢硅油的密闭反应釜中通过密闭管道泵入封端聚醚H</w:t>
      </w:r>
      <w:r>
        <w:rPr>
          <w:bCs/>
          <w:u w:val="single"/>
        </w:rPr>
        <w:t>MS-215M</w:t>
      </w:r>
      <w:r>
        <w:rPr>
          <w:rFonts w:hint="eastAsia"/>
          <w:bCs/>
          <w:u w:val="single"/>
        </w:rPr>
        <w:t>和H</w:t>
      </w:r>
      <w:r>
        <w:rPr>
          <w:bCs/>
          <w:u w:val="single"/>
        </w:rPr>
        <w:t>MS-218M或</w:t>
      </w:r>
      <w:r>
        <w:rPr>
          <w:rFonts w:hint="eastAsia"/>
          <w:bCs/>
          <w:u w:val="single"/>
        </w:rPr>
        <w:t>H</w:t>
      </w:r>
      <w:r>
        <w:rPr>
          <w:bCs/>
          <w:u w:val="single"/>
        </w:rPr>
        <w:t>MS-222M</w:t>
      </w:r>
      <w:r>
        <w:rPr>
          <w:rFonts w:hint="eastAsia"/>
          <w:bCs/>
          <w:u w:val="single"/>
        </w:rPr>
        <w:t>和H</w:t>
      </w:r>
      <w:r>
        <w:rPr>
          <w:bCs/>
          <w:u w:val="single"/>
        </w:rPr>
        <w:t>MS-218M</w:t>
      </w:r>
      <w:r>
        <w:rPr>
          <w:rFonts w:hint="eastAsia"/>
          <w:bCs/>
          <w:u w:val="single"/>
        </w:rPr>
        <w:t>，泵送过程原料桶加盖密闭与泵衔接，搅拌并通过反应釜夹层中的导热油加热</w:t>
      </w:r>
      <w:r>
        <w:rPr>
          <w:bCs/>
          <w:u w:val="single"/>
        </w:rPr>
        <w:t>至100℃</w:t>
      </w:r>
      <w:r>
        <w:rPr>
          <w:rFonts w:hint="eastAsia"/>
          <w:bCs/>
          <w:u w:val="single"/>
        </w:rPr>
        <w:t>后</w:t>
      </w:r>
      <w:r>
        <w:rPr>
          <w:bCs/>
          <w:u w:val="single"/>
        </w:rPr>
        <w:t>人工投加催化剂氯铂酸，</w:t>
      </w:r>
      <w:r>
        <w:rPr>
          <w:rFonts w:hint="eastAsia"/>
          <w:bCs/>
          <w:u w:val="single"/>
        </w:rPr>
        <w:t>在催化剂的作用下低含氢硅油和封端聚醚发生反应并放热，</w:t>
      </w:r>
      <w:r>
        <w:rPr>
          <w:bCs/>
          <w:u w:val="single"/>
        </w:rPr>
        <w:t>温度升至约120℃后搅拌</w:t>
      </w:r>
      <w:r>
        <w:rPr>
          <w:rFonts w:hint="eastAsia"/>
          <w:bCs/>
          <w:u w:val="single"/>
        </w:rPr>
        <w:t>反应</w:t>
      </w:r>
      <w:r>
        <w:rPr>
          <w:bCs/>
          <w:u w:val="single"/>
        </w:rPr>
        <w:t>2h，</w:t>
      </w:r>
      <w:r>
        <w:rPr>
          <w:rFonts w:hint="eastAsia"/>
          <w:bCs/>
          <w:u w:val="single"/>
        </w:rPr>
        <w:t>反应结束</w:t>
      </w:r>
      <w:r>
        <w:rPr>
          <w:bCs/>
          <w:u w:val="single"/>
        </w:rPr>
        <w:t>后</w:t>
      </w:r>
      <w:r>
        <w:rPr>
          <w:rFonts w:hint="eastAsia"/>
          <w:bCs/>
          <w:u w:val="single"/>
        </w:rPr>
        <w:t>将处于常压状态的反应釜内环境</w:t>
      </w:r>
      <w:r>
        <w:rPr>
          <w:bCs/>
          <w:u w:val="single"/>
        </w:rPr>
        <w:t>抽真空至-0.1Pa</w:t>
      </w:r>
      <w:r>
        <w:rPr>
          <w:rFonts w:hint="eastAsia"/>
          <w:bCs/>
          <w:u w:val="single"/>
        </w:rPr>
        <w:t>进行保鲜</w:t>
      </w:r>
      <w:r>
        <w:rPr>
          <w:bCs/>
          <w:u w:val="single"/>
        </w:rPr>
        <w:t>，</w:t>
      </w:r>
      <w:r>
        <w:rPr>
          <w:rFonts w:hint="eastAsia"/>
          <w:bCs/>
          <w:u w:val="single"/>
        </w:rPr>
        <w:t>釜内的空气排出进入废气治理设施，</w:t>
      </w:r>
      <w:r>
        <w:rPr>
          <w:bCs/>
          <w:u w:val="single"/>
        </w:rPr>
        <w:t>同时通过</w:t>
      </w:r>
      <w:r>
        <w:rPr>
          <w:rFonts w:hint="eastAsia"/>
          <w:bCs/>
          <w:u w:val="single"/>
        </w:rPr>
        <w:t>反应釜夹层中的导热油</w:t>
      </w:r>
      <w:r>
        <w:rPr>
          <w:bCs/>
          <w:u w:val="single"/>
        </w:rPr>
        <w:t>降温至85℃左右。</w:t>
      </w:r>
    </w:p>
    <w:p w14:paraId="7E7A3E9B">
      <w:pPr>
        <w:pStyle w:val="2"/>
        <w:spacing w:after="0"/>
        <w:ind w:firstLine="480"/>
      </w:pPr>
      <w:r>
        <w:t>该</w:t>
      </w:r>
      <w:r>
        <w:rPr>
          <w:rFonts w:hint="eastAsia"/>
        </w:rPr>
        <w:t>过程的反应方程式如下：</w:t>
      </w:r>
    </w:p>
    <w:p w14:paraId="35286D1C">
      <w:pPr>
        <w:spacing w:before="120" w:beforeLines="50" w:line="360" w:lineRule="auto"/>
        <w:ind w:firstLine="0" w:firstLineChars="0"/>
        <w:rPr>
          <w:highlight w:val="yellow"/>
        </w:rPr>
      </w:pPr>
      <w:r>
        <w:drawing>
          <wp:inline distT="0" distB="0" distL="0" distR="0">
            <wp:extent cx="5278120" cy="3366770"/>
            <wp:effectExtent l="0" t="0" r="17780" b="5080"/>
            <wp:docPr id="534448073" name="图片 1" descr="一些文字和图片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48073" name="图片 1" descr="一些文字和图片的手机截图&#10;&#10;中度可信度描述已自动生成"/>
                    <pic:cNvPicPr>
                      <a:picLocks noChangeAspect="1"/>
                    </pic:cNvPicPr>
                  </pic:nvPicPr>
                  <pic:blipFill>
                    <a:blip r:embed="rId58"/>
                    <a:stretch>
                      <a:fillRect/>
                    </a:stretch>
                  </pic:blipFill>
                  <pic:spPr>
                    <a:xfrm>
                      <a:off x="0" y="0"/>
                      <a:ext cx="5278120" cy="3366770"/>
                    </a:xfrm>
                    <a:prstGeom prst="rect">
                      <a:avLst/>
                    </a:prstGeom>
                  </pic:spPr>
                </pic:pic>
              </a:graphicData>
            </a:graphic>
          </wp:inline>
        </w:drawing>
      </w:r>
    </w:p>
    <w:p w14:paraId="7EEB57D5">
      <w:pPr>
        <w:ind w:firstLine="480"/>
      </w:pPr>
      <w:r>
        <w:rPr>
          <w:rFonts w:hint="eastAsia"/>
          <w:bCs/>
          <w:u w:val="single"/>
        </w:rPr>
        <w:t>降温至</w:t>
      </w:r>
      <w:r>
        <w:rPr>
          <w:bCs/>
          <w:u w:val="single"/>
        </w:rPr>
        <w:t>85℃</w:t>
      </w:r>
      <w:r>
        <w:rPr>
          <w:rFonts w:hint="eastAsia"/>
          <w:bCs/>
          <w:u w:val="single"/>
        </w:rPr>
        <w:t>之后向反应釜中泵入双氧水脱色，另外将外购罐装氮气连接至反应釜进气口，向反应釜中通入氮气，当反应釜的压力阀显示0Pa时即为完成氮气置换，置换完毕后搅拌2h，向反应釜中泵入二丙二醇进行搅拌，在搅拌过程中二丙二醇起到稀释、交联的作用，搅拌2</w:t>
      </w:r>
      <w:r>
        <w:rPr>
          <w:bCs/>
          <w:u w:val="single"/>
        </w:rPr>
        <w:t>h</w:t>
      </w:r>
      <w:r>
        <w:rPr>
          <w:rFonts w:hint="eastAsia"/>
          <w:bCs/>
          <w:u w:val="single"/>
        </w:rPr>
        <w:t>后得到产品</w:t>
      </w:r>
      <w:bookmarkStart w:id="177" w:name="_Hlk172835664"/>
      <w:r>
        <w:rPr>
          <w:rFonts w:hint="eastAsia"/>
          <w:bCs/>
          <w:u w:val="single"/>
        </w:rPr>
        <w:t>聚醚改性硅油</w:t>
      </w:r>
      <w:bookmarkEnd w:id="177"/>
      <w:r>
        <w:rPr>
          <w:rFonts w:hint="eastAsia"/>
          <w:bCs/>
          <w:u w:val="single"/>
        </w:rPr>
        <w:t>。</w:t>
      </w:r>
      <w:r>
        <w:rPr>
          <w:rFonts w:hint="eastAsia"/>
          <w:u w:val="single"/>
        </w:rPr>
        <w:t>反应釜配套有冷凝器，生产过程产生的气体经冷凝器冷凝后，不凝气G1-3、G1-4通过密闭管道进入废气治理设施，冷凝液回用于硅氢化反应工段。</w:t>
      </w:r>
      <w:r>
        <w:rPr>
          <w:rFonts w:hint="eastAsia"/>
          <w:bCs/>
        </w:rPr>
        <w:t>脱色过程双氧水会发生分解反应，反应</w:t>
      </w:r>
      <w:r>
        <w:rPr>
          <w:rFonts w:hint="eastAsia"/>
        </w:rPr>
        <w:t>方程式如下：</w:t>
      </w:r>
    </w:p>
    <w:p w14:paraId="25958FE0">
      <w:pPr>
        <w:pStyle w:val="2"/>
        <w:spacing w:after="0" w:line="240" w:lineRule="auto"/>
        <w:ind w:firstLine="0" w:firstLineChars="0"/>
        <w:jc w:val="center"/>
        <w:rPr>
          <w:highlight w:val="yellow"/>
        </w:rPr>
      </w:pPr>
      <w:r>
        <w:drawing>
          <wp:inline distT="0" distB="0" distL="0" distR="0">
            <wp:extent cx="1954530" cy="251460"/>
            <wp:effectExtent l="0" t="0" r="7620" b="15240"/>
            <wp:docPr id="1597699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99265" name="图片 1"/>
                    <pic:cNvPicPr>
                      <a:picLocks noChangeAspect="1"/>
                    </pic:cNvPicPr>
                  </pic:nvPicPr>
                  <pic:blipFill>
                    <a:blip r:embed="rId59"/>
                    <a:stretch>
                      <a:fillRect/>
                    </a:stretch>
                  </pic:blipFill>
                  <pic:spPr>
                    <a:xfrm>
                      <a:off x="0" y="0"/>
                      <a:ext cx="1954703" cy="251460"/>
                    </a:xfrm>
                    <a:prstGeom prst="rect">
                      <a:avLst/>
                    </a:prstGeom>
                  </pic:spPr>
                </pic:pic>
              </a:graphicData>
            </a:graphic>
          </wp:inline>
        </w:drawing>
      </w:r>
    </w:p>
    <w:p w14:paraId="196FCF49">
      <w:pPr>
        <w:pStyle w:val="2"/>
        <w:spacing w:after="0"/>
        <w:ind w:firstLine="482"/>
        <w:rPr>
          <w:bCs/>
        </w:rPr>
      </w:pPr>
      <w:r>
        <w:rPr>
          <w:rFonts w:hint="eastAsia"/>
          <w:b/>
          <w:bCs/>
        </w:rPr>
        <w:t>⑥混合：</w:t>
      </w:r>
      <w:r>
        <w:rPr>
          <w:rFonts w:hint="eastAsia"/>
          <w:bCs/>
        </w:rPr>
        <w:t>根据客户需求按照不同比例将脱色后产生的不同活性的聚醚改性硅油分别泵送至搅拌罐中进行搅拌，搅拌持续2</w:t>
      </w:r>
      <w:r>
        <w:rPr>
          <w:bCs/>
        </w:rPr>
        <w:t>h</w:t>
      </w:r>
      <w:r>
        <w:rPr>
          <w:rFonts w:hint="eastAsia"/>
          <w:bCs/>
        </w:rPr>
        <w:t>。该过程会产生噪声。</w:t>
      </w:r>
    </w:p>
    <w:p w14:paraId="6FBAF51A">
      <w:pPr>
        <w:ind w:firstLine="482"/>
      </w:pPr>
      <w:r>
        <w:rPr>
          <w:rFonts w:hint="eastAsia"/>
          <w:b/>
          <w:bCs/>
          <w:u w:val="single"/>
        </w:rPr>
        <w:t>⑦包装：</w:t>
      </w:r>
      <w:r>
        <w:rPr>
          <w:rFonts w:hint="eastAsia"/>
          <w:bCs/>
          <w:u w:val="single"/>
        </w:rPr>
        <w:t>混合均匀的物料泵送至自动灌装机中包装成桶装成品。灌装过程自动灌装机灌枪伸入包装桶底部，使产品从底部进入包装桶并上升，减少飞溅。</w:t>
      </w:r>
      <w:r>
        <w:rPr>
          <w:rFonts w:hint="eastAsia"/>
        </w:rPr>
        <w:t>成品经叉车运输至成品区暂存待售。该工序会产生噪声。</w:t>
      </w:r>
    </w:p>
    <w:p w14:paraId="6D290F61">
      <w:pPr>
        <w:pStyle w:val="2"/>
        <w:spacing w:after="0"/>
        <w:ind w:firstLine="480"/>
        <w:rPr>
          <w:u w:val="single"/>
        </w:rPr>
      </w:pPr>
      <w:r>
        <w:rPr>
          <w:rFonts w:hint="eastAsia"/>
          <w:u w:val="single"/>
        </w:rPr>
        <w:t>根据《挥发性有机物无组织排放控制标准》（G</w:t>
      </w:r>
      <w:r>
        <w:rPr>
          <w:u w:val="single"/>
        </w:rPr>
        <w:t>B37822-2019</w:t>
      </w:r>
      <w:r>
        <w:rPr>
          <w:rFonts w:hint="eastAsia"/>
          <w:u w:val="single"/>
        </w:rPr>
        <w:t>），挥发性有机液体为任何能向大气释放VOCs的符合下列条件之一的有机液体：I、真实蒸气压大于等于0</w:t>
      </w:r>
      <w:r>
        <w:rPr>
          <w:u w:val="single"/>
        </w:rPr>
        <w:t>.3</w:t>
      </w:r>
      <w:r>
        <w:rPr>
          <w:rFonts w:hint="eastAsia"/>
          <w:u w:val="single"/>
        </w:rPr>
        <w:t>kPa的单一组分有机液体；I</w:t>
      </w:r>
      <w:r>
        <w:rPr>
          <w:u w:val="single"/>
        </w:rPr>
        <w:t>I</w:t>
      </w:r>
      <w:r>
        <w:rPr>
          <w:rFonts w:hint="eastAsia"/>
          <w:u w:val="single"/>
        </w:rPr>
        <w:t>、混合物中，真实蒸气压大于等于0.3kPa的组分总质量占比大于等于20%的有机液体。因本项目使用的二丙二醇在常温常压下饱和蒸气压约为0</w:t>
      </w:r>
      <w:r>
        <w:rPr>
          <w:u w:val="single"/>
        </w:rPr>
        <w:t>.0</w:t>
      </w:r>
      <w:r>
        <w:rPr>
          <w:rFonts w:hint="eastAsia"/>
          <w:u w:val="single"/>
        </w:rPr>
        <w:t>5kPa、</w:t>
      </w:r>
      <w:r>
        <w:rPr>
          <w:bCs/>
          <w:u w:val="single"/>
        </w:rPr>
        <w:t>D4（八甲基环四硅氧烷）</w:t>
      </w:r>
      <w:r>
        <w:rPr>
          <w:rFonts w:hint="eastAsia"/>
          <w:u w:val="single"/>
        </w:rPr>
        <w:t>在常温常压下饱和蒸气压约为0</w:t>
      </w:r>
      <w:r>
        <w:rPr>
          <w:u w:val="single"/>
        </w:rPr>
        <w:t>.</w:t>
      </w:r>
      <w:r>
        <w:rPr>
          <w:rFonts w:hint="eastAsia"/>
          <w:u w:val="single"/>
        </w:rPr>
        <w:t>1kPa，故不考虑二丙二醇、D4在常温常压下挥发，因此过滤、离心、混合、包装工序不再识别有机废气。</w:t>
      </w:r>
    </w:p>
    <w:p w14:paraId="157F066D">
      <w:pPr>
        <w:ind w:firstLine="482"/>
        <w:rPr>
          <w:bCs/>
        </w:rPr>
      </w:pPr>
      <w:r>
        <w:rPr>
          <w:rFonts w:hint="eastAsia"/>
          <w:b/>
        </w:rPr>
        <w:t>（</w:t>
      </w:r>
      <w:r>
        <w:rPr>
          <w:b/>
        </w:rPr>
        <w:t>2</w:t>
      </w:r>
      <w:r>
        <w:rPr>
          <w:rFonts w:hint="eastAsia"/>
          <w:b/>
        </w:rPr>
        <w:t>）</w:t>
      </w:r>
      <w:r>
        <w:rPr>
          <w:rFonts w:hint="eastAsia"/>
          <w:bCs/>
        </w:rPr>
        <w:t>本项目聚醚改性硅油生产过程使用的反应釜采用导热油加热或降温，导热油在加热或降温的走向图如下：</w:t>
      </w:r>
    </w:p>
    <w:p w14:paraId="06DDD433">
      <w:pPr>
        <w:pStyle w:val="2"/>
        <w:spacing w:after="0" w:line="360" w:lineRule="auto"/>
        <w:ind w:firstLine="0" w:firstLineChars="0"/>
      </w:pPr>
      <w:r>
        <w:drawing>
          <wp:inline distT="0" distB="0" distL="0" distR="0">
            <wp:extent cx="5278120" cy="5025390"/>
            <wp:effectExtent l="0" t="0" r="17780" b="3810"/>
            <wp:docPr id="151062041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20413" name="图片 1" descr="图示&#10;&#10;描述已自动生成"/>
                    <pic:cNvPicPr>
                      <a:picLocks noChangeAspect="1"/>
                    </pic:cNvPicPr>
                  </pic:nvPicPr>
                  <pic:blipFill>
                    <a:blip r:embed="rId60"/>
                    <a:stretch>
                      <a:fillRect/>
                    </a:stretch>
                  </pic:blipFill>
                  <pic:spPr>
                    <a:xfrm>
                      <a:off x="0" y="0"/>
                      <a:ext cx="5278120" cy="5025390"/>
                    </a:xfrm>
                    <a:prstGeom prst="rect">
                      <a:avLst/>
                    </a:prstGeom>
                  </pic:spPr>
                </pic:pic>
              </a:graphicData>
            </a:graphic>
          </wp:inline>
        </w:drawing>
      </w:r>
    </w:p>
    <w:p w14:paraId="348CFCBF">
      <w:pPr>
        <w:pStyle w:val="99"/>
        <w:numPr>
          <w:ilvl w:val="2"/>
          <w:numId w:val="16"/>
        </w:numPr>
        <w:spacing w:line="360" w:lineRule="auto"/>
        <w:ind w:left="0" w:firstLine="0" w:firstLineChars="0"/>
        <w:jc w:val="center"/>
        <w:rPr>
          <w:rFonts w:eastAsia="黑体"/>
          <w:szCs w:val="24"/>
        </w:rPr>
      </w:pPr>
      <w:r>
        <w:rPr>
          <w:rFonts w:hint="eastAsia" w:eastAsia="黑体"/>
          <w:szCs w:val="24"/>
        </w:rPr>
        <w:t xml:space="preserve">  导热油加热或降温走向</w:t>
      </w:r>
      <w:r>
        <w:rPr>
          <w:rFonts w:eastAsia="黑体"/>
          <w:szCs w:val="24"/>
        </w:rPr>
        <w:t>图</w:t>
      </w:r>
    </w:p>
    <w:p w14:paraId="4C27C46C">
      <w:pPr>
        <w:ind w:firstLine="480"/>
      </w:pPr>
      <w:r>
        <w:rPr>
          <w:rFonts w:hint="eastAsia"/>
        </w:rPr>
        <w:t>当反应釜需要加热时，暂存于导热油罐中的导热油经电加热器加热后进入加温池缓存，若温度达到生产要求则进入反应釜的夹层中对物料进行加热；若达不到温度，则回流至加热池中与电加热后的导热油混合升温至要求温度后再进入反应釜的夹层中。导热油在反应釜的夹层中与物料换热后温度下降，并回流至导热油罐中或直接进入电加热器直接加热循环用于加热物料。</w:t>
      </w:r>
    </w:p>
    <w:p w14:paraId="28A7DF03">
      <w:pPr>
        <w:pStyle w:val="2"/>
        <w:spacing w:after="0"/>
        <w:ind w:firstLine="480"/>
      </w:pPr>
      <w:r>
        <w:rPr>
          <w:rFonts w:hint="eastAsia"/>
        </w:rPr>
        <w:t>当反应釜需要降温时，反应釜中的导热油流至降温导热油缓冲罐中暂存，导热油进入降温池中通过制冷机降温后的水进行降温，降温后的导热油流至反应釜中的夹层中与物料进行热交换后温度上升，并回流至降温导热油缓冲罐中进行循环降温。</w:t>
      </w:r>
    </w:p>
    <w:p w14:paraId="65AF253F">
      <w:pPr>
        <w:ind w:firstLine="482"/>
        <w:outlineLvl w:val="3"/>
        <w:rPr>
          <w:b/>
          <w:bCs/>
        </w:rPr>
      </w:pPr>
      <w:r>
        <w:rPr>
          <w:rFonts w:hint="eastAsia"/>
          <w:b/>
          <w:bCs/>
        </w:rPr>
        <w:t>二、</w:t>
      </w:r>
      <w:r>
        <w:rPr>
          <w:b/>
          <w:bCs/>
        </w:rPr>
        <w:t>色浆工艺</w:t>
      </w:r>
    </w:p>
    <w:p w14:paraId="0F5675C8">
      <w:pPr>
        <w:ind w:firstLine="480"/>
      </w:pPr>
      <w:r>
        <w:t>本项目</w:t>
      </w:r>
      <w:r>
        <w:rPr>
          <w:rFonts w:hint="eastAsia"/>
        </w:rPr>
        <w:t>色浆</w:t>
      </w:r>
      <w:r>
        <w:t>工艺流程图详见下图。</w:t>
      </w:r>
    </w:p>
    <w:p w14:paraId="02F145B6">
      <w:pPr>
        <w:spacing w:line="360" w:lineRule="auto"/>
        <w:ind w:firstLine="0" w:firstLineChars="0"/>
        <w:jc w:val="center"/>
      </w:pPr>
      <w:r>
        <w:drawing>
          <wp:inline distT="0" distB="0" distL="0" distR="0">
            <wp:extent cx="4968875" cy="956945"/>
            <wp:effectExtent l="0" t="0" r="3175" b="14605"/>
            <wp:docPr id="1374542973" name="图片 1" descr="图片包含 游戏机, 钟表, 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42973" name="图片 1" descr="图片包含 游戏机, 钟表, 标志&#10;&#10;描述已自动生成"/>
                    <pic:cNvPicPr>
                      <a:picLocks noChangeAspect="1"/>
                    </pic:cNvPicPr>
                  </pic:nvPicPr>
                  <pic:blipFill>
                    <a:blip r:embed="rId61"/>
                    <a:stretch>
                      <a:fillRect/>
                    </a:stretch>
                  </pic:blipFill>
                  <pic:spPr>
                    <a:xfrm>
                      <a:off x="0" y="0"/>
                      <a:ext cx="4983815" cy="956945"/>
                    </a:xfrm>
                    <a:prstGeom prst="rect">
                      <a:avLst/>
                    </a:prstGeom>
                  </pic:spPr>
                </pic:pic>
              </a:graphicData>
            </a:graphic>
          </wp:inline>
        </w:drawing>
      </w:r>
    </w:p>
    <w:p w14:paraId="0E232E69">
      <w:pPr>
        <w:pStyle w:val="2"/>
        <w:ind w:firstLine="480"/>
        <w:rPr>
          <w:highlight w:val="yellow"/>
        </w:rPr>
      </w:pPr>
      <w:r>
        <w:rPr>
          <w:rFonts w:hint="eastAsia" w:ascii="宋体" w:hAnsi="Calibri" w:cs="宋体"/>
          <w:szCs w:val="24"/>
          <w:lang w:val="zh-CN"/>
        </w:rPr>
        <w:t>注：</w:t>
      </w:r>
      <w:r>
        <w:rPr>
          <w:szCs w:val="24"/>
          <w:lang w:val="zh-CN"/>
        </w:rPr>
        <w:t>G</w:t>
      </w:r>
      <w:r>
        <w:rPr>
          <w:rFonts w:hint="eastAsia" w:ascii="宋体" w:hAnsi="Calibri" w:cs="宋体"/>
          <w:szCs w:val="24"/>
          <w:lang w:val="zh-CN"/>
        </w:rPr>
        <w:t>：废气；</w:t>
      </w:r>
      <w:r>
        <w:rPr>
          <w:szCs w:val="24"/>
          <w:lang w:val="zh-CN"/>
        </w:rPr>
        <w:t>N</w:t>
      </w:r>
      <w:r>
        <w:rPr>
          <w:rFonts w:hint="eastAsia" w:ascii="宋体" w:hAnsi="Calibri" w:cs="宋体"/>
          <w:szCs w:val="24"/>
          <w:lang w:val="zh-CN"/>
        </w:rPr>
        <w:t>：噪声</w:t>
      </w:r>
    </w:p>
    <w:p w14:paraId="7D0C189A">
      <w:pPr>
        <w:pStyle w:val="99"/>
        <w:numPr>
          <w:ilvl w:val="2"/>
          <w:numId w:val="16"/>
        </w:numPr>
        <w:spacing w:line="360" w:lineRule="auto"/>
        <w:ind w:left="0" w:firstLine="0" w:firstLineChars="0"/>
        <w:jc w:val="center"/>
        <w:rPr>
          <w:rFonts w:eastAsia="黑体"/>
          <w:szCs w:val="24"/>
        </w:rPr>
      </w:pPr>
      <w:r>
        <w:rPr>
          <w:rFonts w:hint="eastAsia" w:eastAsia="黑体"/>
          <w:szCs w:val="24"/>
        </w:rPr>
        <w:t xml:space="preserve">  色浆</w:t>
      </w:r>
      <w:r>
        <w:rPr>
          <w:rFonts w:eastAsia="黑体"/>
          <w:szCs w:val="24"/>
        </w:rPr>
        <w:t>制备工艺流程及产污环节图</w:t>
      </w:r>
    </w:p>
    <w:p w14:paraId="4DEA4267">
      <w:pPr>
        <w:pStyle w:val="2"/>
        <w:numPr>
          <w:ilvl w:val="1"/>
          <w:numId w:val="17"/>
        </w:numPr>
        <w:spacing w:after="0"/>
        <w:ind w:left="0" w:firstLine="482"/>
        <w:rPr>
          <w:b/>
        </w:rPr>
      </w:pPr>
      <w:r>
        <w:rPr>
          <w:rFonts w:hint="eastAsia"/>
          <w:b/>
        </w:rPr>
        <w:t>投料：</w:t>
      </w:r>
      <w:r>
        <w:rPr>
          <w:rFonts w:hint="eastAsia"/>
        </w:rPr>
        <w:t>外购的吨包色粉经吨包投料站中进行卸料，投料站配备自动划包和卸料系统。色粉卸料至粉体配料罐中，吨桶装三羟基聚氧化丙烯氧化乙烯醚泵送至溶剂配料罐中。卸料过程会产生粉尘。产生的粉尘经袋式除尘器处理后经一根排气筒排放</w:t>
      </w:r>
      <w:bookmarkStart w:id="178" w:name="_Hlk174734162"/>
      <w:r>
        <w:rPr>
          <w:rFonts w:hint="eastAsia"/>
        </w:rPr>
        <w:t>，袋式除尘器回收粉尘作为原料使用</w:t>
      </w:r>
      <w:bookmarkEnd w:id="178"/>
      <w:r>
        <w:rPr>
          <w:rFonts w:hint="eastAsia"/>
        </w:rPr>
        <w:t>，不作为固废管理。</w:t>
      </w:r>
    </w:p>
    <w:p w14:paraId="375B079F">
      <w:pPr>
        <w:pStyle w:val="2"/>
        <w:numPr>
          <w:ilvl w:val="1"/>
          <w:numId w:val="17"/>
        </w:numPr>
        <w:spacing w:after="0"/>
        <w:ind w:left="0" w:firstLine="482"/>
        <w:rPr>
          <w:b/>
        </w:rPr>
      </w:pPr>
      <w:r>
        <w:rPr>
          <w:rFonts w:hint="eastAsia"/>
          <w:b/>
        </w:rPr>
        <w:t>研磨</w:t>
      </w:r>
      <w:r>
        <w:rPr>
          <w:rFonts w:hint="eastAsia"/>
        </w:rPr>
        <w:t>：液态三羟基聚氧化丙烯氧化乙烯醚泵送至砂磨机后，色粉通过重力进入砂磨机中，通过砂磨机研磨5</w:t>
      </w:r>
      <w:r>
        <w:t>~6h</w:t>
      </w:r>
      <w:r>
        <w:rPr>
          <w:rFonts w:hint="eastAsia"/>
        </w:rPr>
        <w:t>。研磨过程会产生噪声。</w:t>
      </w:r>
    </w:p>
    <w:p w14:paraId="51E45E95">
      <w:pPr>
        <w:pStyle w:val="2"/>
        <w:numPr>
          <w:ilvl w:val="1"/>
          <w:numId w:val="17"/>
        </w:numPr>
        <w:spacing w:after="0"/>
        <w:ind w:left="0" w:firstLine="482"/>
        <w:rPr>
          <w:b/>
        </w:rPr>
      </w:pPr>
      <w:r>
        <w:rPr>
          <w:rFonts w:hint="eastAsia"/>
          <w:b/>
        </w:rPr>
        <w:t>搅拌：</w:t>
      </w:r>
      <w:r>
        <w:rPr>
          <w:rFonts w:hint="eastAsia"/>
        </w:rPr>
        <w:t>研磨后的物料泵入搅拌罐中搅拌2</w:t>
      </w:r>
      <w:r>
        <w:t>h</w:t>
      </w:r>
      <w:r>
        <w:rPr>
          <w:rFonts w:hint="eastAsia"/>
        </w:rPr>
        <w:t>后，得到最终产品色浆。搅拌过程会产生噪声。</w:t>
      </w:r>
    </w:p>
    <w:p w14:paraId="52E888D4">
      <w:pPr>
        <w:pStyle w:val="2"/>
        <w:numPr>
          <w:ilvl w:val="1"/>
          <w:numId w:val="17"/>
        </w:numPr>
        <w:spacing w:after="0"/>
        <w:ind w:left="0" w:firstLine="482"/>
      </w:pPr>
      <w:r>
        <w:rPr>
          <w:rFonts w:hint="eastAsia"/>
          <w:b/>
        </w:rPr>
        <w:t>包装：</w:t>
      </w:r>
      <w:r>
        <w:rPr>
          <w:rFonts w:hint="eastAsia"/>
        </w:rPr>
        <w:t>研磨后得到的色浆泵送至自动灌装机中</w:t>
      </w:r>
      <w:r>
        <w:rPr>
          <w:rFonts w:hint="eastAsia"/>
          <w:bCs/>
        </w:rPr>
        <w:t>进行包装，得到成品。</w:t>
      </w:r>
      <w:r>
        <w:rPr>
          <w:rFonts w:hint="eastAsia"/>
        </w:rPr>
        <w:t>成品经叉车运输至成品区暂存待售。该工序会产生噪声。</w:t>
      </w:r>
    </w:p>
    <w:p w14:paraId="2675FB09">
      <w:pPr>
        <w:pStyle w:val="2"/>
        <w:spacing w:after="0"/>
        <w:ind w:firstLine="480"/>
        <w:sectPr>
          <w:pgSz w:w="11906" w:h="16838"/>
          <w:pgMar w:top="1440" w:right="1797" w:bottom="1440" w:left="1797" w:header="851" w:footer="992" w:gutter="0"/>
          <w:cols w:space="425" w:num="1"/>
          <w:docGrid w:linePitch="326" w:charSpace="0"/>
        </w:sectPr>
      </w:pPr>
      <w:r>
        <w:rPr>
          <w:rFonts w:hint="eastAsia"/>
          <w:bCs/>
        </w:rPr>
        <w:t>因色浆整个生产过程无加热，而</w:t>
      </w:r>
      <w:r>
        <w:rPr>
          <w:rFonts w:hint="eastAsia"/>
        </w:rPr>
        <w:t>三羟基聚氧化丙烯氧化乙烯醚在常温常压下饱和蒸气压小于0</w:t>
      </w:r>
      <w:r>
        <w:t>.0</w:t>
      </w:r>
      <w:r>
        <w:rPr>
          <w:rFonts w:hint="eastAsia"/>
        </w:rPr>
        <w:t>4kPa＜0</w:t>
      </w:r>
      <w:r>
        <w:t>.3</w:t>
      </w:r>
      <w:r>
        <w:rPr>
          <w:rFonts w:hint="eastAsia"/>
        </w:rPr>
        <w:t>kPa，故不再考虑三羟基聚氧化丙烯氧化乙烯醚在常温常压下挥发，因此色浆生产过程不再识别有机废气。</w:t>
      </w:r>
    </w:p>
    <w:p w14:paraId="76C59FB6">
      <w:pPr>
        <w:pStyle w:val="5"/>
        <w:spacing w:before="240" w:after="240"/>
      </w:pPr>
      <w:bookmarkStart w:id="179" w:name="_Toc428287569"/>
      <w:bookmarkStart w:id="180" w:name="_Toc428287217"/>
      <w:bookmarkStart w:id="181" w:name="_Toc428286833"/>
      <w:r>
        <w:t>平衡</w:t>
      </w:r>
    </w:p>
    <w:p w14:paraId="4E013840">
      <w:pPr>
        <w:pStyle w:val="99"/>
        <w:numPr>
          <w:ilvl w:val="3"/>
          <w:numId w:val="18"/>
        </w:numPr>
        <w:ind w:left="0" w:firstLine="482"/>
        <w:outlineLvl w:val="3"/>
        <w:rPr>
          <w:b/>
          <w:bCs/>
        </w:rPr>
      </w:pPr>
      <w:r>
        <w:rPr>
          <w:rFonts w:hint="eastAsia"/>
          <w:b/>
          <w:bCs/>
        </w:rPr>
        <w:t>聚醚改性硅油平衡</w:t>
      </w:r>
    </w:p>
    <w:p w14:paraId="527F15AC">
      <w:pPr>
        <w:ind w:firstLine="482"/>
        <w:outlineLvl w:val="4"/>
        <w:rPr>
          <w:b/>
          <w:bCs/>
        </w:rPr>
      </w:pPr>
      <w:r>
        <w:rPr>
          <w:rFonts w:hint="eastAsia"/>
          <w:b/>
          <w:bCs/>
        </w:rPr>
        <w:t>（1）物料平衡</w:t>
      </w:r>
    </w:p>
    <w:p w14:paraId="6DA71CBC">
      <w:pPr>
        <w:ind w:firstLine="480"/>
      </w:pPr>
      <w:r>
        <w:t>本项目</w:t>
      </w:r>
      <w:r>
        <w:rPr>
          <w:rFonts w:hint="eastAsia"/>
        </w:rPr>
        <w:t>聚醚改性硅油</w:t>
      </w:r>
      <w:r>
        <w:t>物料平衡</w:t>
      </w:r>
      <w:r>
        <w:rPr>
          <w:rFonts w:hint="eastAsia"/>
        </w:rPr>
        <w:t>图</w:t>
      </w:r>
      <w:r>
        <w:t>如下。</w:t>
      </w:r>
    </w:p>
    <w:p w14:paraId="4BE9074A">
      <w:pPr>
        <w:ind w:firstLine="480"/>
        <w:sectPr>
          <w:pgSz w:w="11906" w:h="16838"/>
          <w:pgMar w:top="1440" w:right="1797" w:bottom="1440" w:left="1797" w:header="851" w:footer="992" w:gutter="0"/>
          <w:cols w:space="425" w:num="1"/>
          <w:docGrid w:linePitch="326" w:charSpace="0"/>
        </w:sectPr>
      </w:pPr>
    </w:p>
    <w:p w14:paraId="3A5B0FBE">
      <w:pPr>
        <w:pStyle w:val="68"/>
        <w:ind w:left="-240" w:leftChars="-100" w:right="-240" w:rightChars="-100"/>
        <w:rPr>
          <w:highlight w:val="yellow"/>
          <w:u w:val="single"/>
        </w:rPr>
      </w:pPr>
      <w:r>
        <w:drawing>
          <wp:inline distT="0" distB="0" distL="0" distR="0">
            <wp:extent cx="4994275" cy="8576310"/>
            <wp:effectExtent l="0" t="0" r="15875" b="15240"/>
            <wp:docPr id="556192685"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92685" name="图片 1" descr="图示, 示意图&#10;&#10;描述已自动生成"/>
                    <pic:cNvPicPr>
                      <a:picLocks noChangeAspect="1"/>
                    </pic:cNvPicPr>
                  </pic:nvPicPr>
                  <pic:blipFill>
                    <a:blip r:embed="rId62"/>
                    <a:stretch>
                      <a:fillRect/>
                    </a:stretch>
                  </pic:blipFill>
                  <pic:spPr>
                    <a:xfrm>
                      <a:off x="0" y="0"/>
                      <a:ext cx="4994275" cy="8588200"/>
                    </a:xfrm>
                    <a:prstGeom prst="rect">
                      <a:avLst/>
                    </a:prstGeom>
                  </pic:spPr>
                </pic:pic>
              </a:graphicData>
            </a:graphic>
          </wp:inline>
        </w:drawing>
      </w:r>
    </w:p>
    <w:p w14:paraId="5778A642">
      <w:pPr>
        <w:pStyle w:val="68"/>
        <w:rPr>
          <w:highlight w:val="yellow"/>
          <w:u w:val="single"/>
        </w:rPr>
      </w:pPr>
      <w:r>
        <w:rPr>
          <w:u w:val="single"/>
        </w:rPr>
        <w:t xml:space="preserve">图 </w:t>
      </w:r>
      <w:r>
        <w:rPr>
          <w:u w:val="single"/>
        </w:rPr>
        <w:fldChar w:fldCharType="begin"/>
      </w:r>
      <w:r>
        <w:rPr>
          <w:u w:val="single"/>
        </w:rPr>
        <w:instrText xml:space="preserve"> STYLEREF 1 \s </w:instrText>
      </w:r>
      <w:r>
        <w:rPr>
          <w:u w:val="single"/>
        </w:rPr>
        <w:fldChar w:fldCharType="separate"/>
      </w:r>
      <w:r>
        <w:rPr>
          <w:u w:val="single"/>
        </w:rPr>
        <w:t>3</w:t>
      </w:r>
      <w:r>
        <w:rPr>
          <w:u w:val="single"/>
        </w:rPr>
        <w:fldChar w:fldCharType="end"/>
      </w:r>
      <w:r>
        <w:rPr>
          <w:u w:val="single"/>
        </w:rPr>
        <w:t>.2</w:t>
      </w:r>
      <w:r>
        <w:rPr>
          <w:u w:val="single"/>
        </w:rPr>
        <w:noBreakHyphen/>
      </w:r>
      <w:r>
        <w:rPr>
          <w:u w:val="single"/>
        </w:rPr>
        <w:t>5</w:t>
      </w:r>
      <w:r>
        <w:rPr>
          <w:szCs w:val="24"/>
          <w:u w:val="single"/>
        </w:rPr>
        <w:t xml:space="preserve">  </w:t>
      </w:r>
      <w:r>
        <w:rPr>
          <w:rFonts w:hint="eastAsia"/>
          <w:szCs w:val="24"/>
          <w:u w:val="single"/>
        </w:rPr>
        <w:t>本项目聚醚改性硅油</w:t>
      </w:r>
      <w:r>
        <w:rPr>
          <w:u w:val="single"/>
        </w:rPr>
        <w:t>物料平衡图  单位：</w:t>
      </w:r>
      <w:r>
        <w:rPr>
          <w:rFonts w:hint="eastAsia"/>
          <w:u w:val="single"/>
        </w:rPr>
        <w:t>kg/批次</w:t>
      </w:r>
    </w:p>
    <w:p w14:paraId="37C9383E">
      <w:pPr>
        <w:ind w:firstLine="482"/>
        <w:outlineLvl w:val="4"/>
        <w:rPr>
          <w:b/>
          <w:bCs/>
        </w:rPr>
      </w:pPr>
      <w:r>
        <w:rPr>
          <w:rFonts w:hint="eastAsia"/>
          <w:b/>
          <w:bCs/>
        </w:rPr>
        <w:t>（2）物料平衡表</w:t>
      </w:r>
    </w:p>
    <w:p w14:paraId="19CA08CC">
      <w:pPr>
        <w:pStyle w:val="64"/>
        <w:numPr>
          <w:ilvl w:val="0"/>
          <w:numId w:val="14"/>
        </w:numPr>
        <w:spacing w:before="120" w:after="120"/>
        <w:ind w:left="884" w:hanging="442" w:firstLineChars="0"/>
      </w:pPr>
      <w:r>
        <w:t xml:space="preserve">   </w:t>
      </w:r>
      <w:r>
        <w:rPr>
          <w:rFonts w:hint="eastAsia"/>
        </w:rPr>
        <w:t xml:space="preserve">  </w:t>
      </w:r>
      <w:r>
        <w:t xml:space="preserve">   </w:t>
      </w:r>
      <w:r>
        <w:rPr>
          <w:rFonts w:hint="eastAsia"/>
        </w:rPr>
        <w:t xml:space="preserve">    聚醚改性硅油物料平衡</w:t>
      </w:r>
      <w:r>
        <w:t>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8"/>
        <w:gridCol w:w="853"/>
        <w:gridCol w:w="573"/>
        <w:gridCol w:w="568"/>
        <w:gridCol w:w="997"/>
        <w:gridCol w:w="853"/>
        <w:gridCol w:w="142"/>
        <w:gridCol w:w="1279"/>
        <w:gridCol w:w="1040"/>
        <w:gridCol w:w="243"/>
        <w:gridCol w:w="797"/>
      </w:tblGrid>
      <w:tr w14:paraId="5E9C8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959" w:type="dxa"/>
            <w:gridSpan w:val="5"/>
            <w:vAlign w:val="center"/>
          </w:tcPr>
          <w:p w14:paraId="76C04C74">
            <w:pPr>
              <w:spacing w:line="240" w:lineRule="auto"/>
              <w:ind w:firstLine="0" w:firstLineChars="0"/>
              <w:jc w:val="center"/>
              <w:rPr>
                <w:b/>
                <w:bCs/>
                <w:sz w:val="21"/>
                <w:szCs w:val="21"/>
                <w:u w:val="single"/>
              </w:rPr>
            </w:pPr>
            <w:r>
              <w:rPr>
                <w:b/>
                <w:bCs/>
                <w:sz w:val="21"/>
                <w:szCs w:val="21"/>
                <w:u w:val="single"/>
              </w:rPr>
              <w:t>投料（kg/批次）</w:t>
            </w:r>
          </w:p>
        </w:tc>
        <w:tc>
          <w:tcPr>
            <w:tcW w:w="4333" w:type="dxa"/>
            <w:gridSpan w:val="6"/>
            <w:vAlign w:val="center"/>
          </w:tcPr>
          <w:p w14:paraId="4A41EFE2">
            <w:pPr>
              <w:spacing w:line="240" w:lineRule="auto"/>
              <w:ind w:firstLine="0" w:firstLineChars="0"/>
              <w:jc w:val="center"/>
              <w:rPr>
                <w:b/>
                <w:bCs/>
                <w:sz w:val="21"/>
                <w:szCs w:val="21"/>
                <w:u w:val="single"/>
              </w:rPr>
            </w:pPr>
            <w:r>
              <w:rPr>
                <w:b/>
                <w:bCs/>
                <w:sz w:val="21"/>
                <w:szCs w:val="21"/>
                <w:u w:val="single"/>
              </w:rPr>
              <w:t>出料（kg/批次）</w:t>
            </w:r>
          </w:p>
        </w:tc>
      </w:tr>
      <w:tr w14:paraId="1CD41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350422D0">
            <w:pPr>
              <w:spacing w:line="240" w:lineRule="auto"/>
              <w:ind w:firstLine="0" w:firstLineChars="0"/>
              <w:jc w:val="center"/>
              <w:rPr>
                <w:sz w:val="21"/>
                <w:szCs w:val="21"/>
                <w:u w:val="single"/>
              </w:rPr>
            </w:pPr>
            <w:r>
              <w:rPr>
                <w:sz w:val="21"/>
                <w:szCs w:val="21"/>
                <w:u w:val="single"/>
              </w:rPr>
              <w:t>D4</w:t>
            </w:r>
          </w:p>
        </w:tc>
        <w:tc>
          <w:tcPr>
            <w:tcW w:w="1557" w:type="dxa"/>
            <w:gridSpan w:val="2"/>
            <w:vAlign w:val="center"/>
          </w:tcPr>
          <w:p w14:paraId="7AB84FF7">
            <w:pPr>
              <w:spacing w:line="240" w:lineRule="auto"/>
              <w:ind w:firstLine="0" w:firstLineChars="0"/>
              <w:jc w:val="center"/>
              <w:rPr>
                <w:sz w:val="21"/>
                <w:szCs w:val="21"/>
                <w:u w:val="single"/>
              </w:rPr>
            </w:pPr>
            <w:r>
              <w:rPr>
                <w:rFonts w:hint="eastAsia"/>
                <w:sz w:val="21"/>
                <w:szCs w:val="21"/>
                <w:u w:val="single"/>
              </w:rPr>
              <w:t>3076.54</w:t>
            </w:r>
          </w:p>
        </w:tc>
        <w:tc>
          <w:tcPr>
            <w:tcW w:w="849" w:type="dxa"/>
            <w:vMerge w:val="restart"/>
            <w:vAlign w:val="center"/>
          </w:tcPr>
          <w:p w14:paraId="0BE09EBC">
            <w:pPr>
              <w:spacing w:line="240" w:lineRule="auto"/>
              <w:ind w:firstLine="0" w:firstLineChars="0"/>
              <w:jc w:val="center"/>
              <w:rPr>
                <w:sz w:val="21"/>
                <w:szCs w:val="21"/>
                <w:u w:val="single"/>
              </w:rPr>
            </w:pPr>
            <w:r>
              <w:rPr>
                <w:sz w:val="21"/>
                <w:szCs w:val="21"/>
                <w:u w:val="single"/>
              </w:rPr>
              <w:t>产品</w:t>
            </w:r>
          </w:p>
        </w:tc>
        <w:tc>
          <w:tcPr>
            <w:tcW w:w="1414" w:type="dxa"/>
            <w:gridSpan w:val="2"/>
            <w:vAlign w:val="center"/>
          </w:tcPr>
          <w:p w14:paraId="43364A45">
            <w:pPr>
              <w:spacing w:line="240" w:lineRule="auto"/>
              <w:ind w:firstLine="0" w:firstLineChars="0"/>
              <w:jc w:val="center"/>
              <w:rPr>
                <w:sz w:val="21"/>
                <w:szCs w:val="21"/>
                <w:u w:val="single"/>
              </w:rPr>
            </w:pPr>
            <w:r>
              <w:rPr>
                <w:sz w:val="21"/>
                <w:szCs w:val="21"/>
                <w:u w:val="single"/>
              </w:rPr>
              <w:t>聚醚改性硅油</w:t>
            </w:r>
          </w:p>
        </w:tc>
        <w:tc>
          <w:tcPr>
            <w:tcW w:w="1277" w:type="dxa"/>
            <w:gridSpan w:val="2"/>
            <w:vAlign w:val="center"/>
          </w:tcPr>
          <w:p w14:paraId="14CC06D8">
            <w:pPr>
              <w:spacing w:line="240" w:lineRule="auto"/>
              <w:ind w:firstLine="0" w:firstLineChars="0"/>
              <w:jc w:val="center"/>
              <w:rPr>
                <w:sz w:val="21"/>
                <w:szCs w:val="21"/>
                <w:u w:val="single"/>
              </w:rPr>
            </w:pPr>
            <w:r>
              <w:rPr>
                <w:sz w:val="21"/>
                <w:szCs w:val="21"/>
                <w:u w:val="single"/>
              </w:rPr>
              <w:t>39600</w:t>
            </w:r>
          </w:p>
        </w:tc>
        <w:tc>
          <w:tcPr>
            <w:tcW w:w="793" w:type="dxa"/>
            <w:vMerge w:val="restart"/>
            <w:vAlign w:val="center"/>
          </w:tcPr>
          <w:p w14:paraId="722F54C6">
            <w:pPr>
              <w:spacing w:line="240" w:lineRule="auto"/>
              <w:ind w:firstLine="0" w:firstLineChars="0"/>
              <w:jc w:val="center"/>
              <w:rPr>
                <w:sz w:val="21"/>
                <w:szCs w:val="21"/>
                <w:u w:val="single"/>
              </w:rPr>
            </w:pPr>
            <w:r>
              <w:rPr>
                <w:rFonts w:hint="eastAsia"/>
                <w:sz w:val="21"/>
                <w:szCs w:val="21"/>
                <w:u w:val="single"/>
              </w:rPr>
              <w:t>40000</w:t>
            </w:r>
          </w:p>
        </w:tc>
      </w:tr>
      <w:tr w14:paraId="19B9B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0F28697D">
            <w:pPr>
              <w:spacing w:line="240" w:lineRule="auto"/>
              <w:ind w:firstLine="0" w:firstLineChars="0"/>
              <w:jc w:val="center"/>
              <w:rPr>
                <w:sz w:val="21"/>
                <w:szCs w:val="21"/>
                <w:u w:val="single"/>
              </w:rPr>
            </w:pPr>
            <w:r>
              <w:rPr>
                <w:sz w:val="21"/>
                <w:szCs w:val="21"/>
                <w:u w:val="single"/>
              </w:rPr>
              <w:t>KF99</w:t>
            </w:r>
          </w:p>
        </w:tc>
        <w:tc>
          <w:tcPr>
            <w:tcW w:w="1557" w:type="dxa"/>
            <w:gridSpan w:val="2"/>
            <w:vAlign w:val="center"/>
          </w:tcPr>
          <w:p w14:paraId="1C63A3B3">
            <w:pPr>
              <w:spacing w:line="240" w:lineRule="auto"/>
              <w:ind w:firstLine="0" w:firstLineChars="0"/>
              <w:jc w:val="center"/>
              <w:rPr>
                <w:sz w:val="21"/>
                <w:szCs w:val="21"/>
                <w:u w:val="single"/>
              </w:rPr>
            </w:pPr>
            <w:r>
              <w:rPr>
                <w:rFonts w:hint="eastAsia"/>
                <w:sz w:val="21"/>
                <w:szCs w:val="21"/>
                <w:u w:val="single"/>
              </w:rPr>
              <w:t>1026.01</w:t>
            </w:r>
          </w:p>
        </w:tc>
        <w:tc>
          <w:tcPr>
            <w:tcW w:w="849" w:type="dxa"/>
            <w:vMerge w:val="continue"/>
            <w:vAlign w:val="center"/>
          </w:tcPr>
          <w:p w14:paraId="358BC1DA">
            <w:pPr>
              <w:spacing w:line="240" w:lineRule="auto"/>
              <w:ind w:firstLine="0" w:firstLineChars="0"/>
              <w:jc w:val="center"/>
              <w:rPr>
                <w:sz w:val="21"/>
                <w:szCs w:val="21"/>
                <w:u w:val="single"/>
              </w:rPr>
            </w:pPr>
          </w:p>
        </w:tc>
        <w:tc>
          <w:tcPr>
            <w:tcW w:w="1414" w:type="dxa"/>
            <w:gridSpan w:val="2"/>
            <w:vAlign w:val="center"/>
          </w:tcPr>
          <w:p w14:paraId="4D988809">
            <w:pPr>
              <w:spacing w:line="240" w:lineRule="auto"/>
              <w:ind w:firstLine="0" w:firstLineChars="0"/>
              <w:jc w:val="center"/>
              <w:rPr>
                <w:sz w:val="21"/>
                <w:szCs w:val="21"/>
                <w:u w:val="single"/>
              </w:rPr>
            </w:pPr>
            <w:r>
              <w:rPr>
                <w:sz w:val="21"/>
                <w:szCs w:val="21"/>
                <w:u w:val="single"/>
              </w:rPr>
              <w:t>氯铂酸</w:t>
            </w:r>
          </w:p>
        </w:tc>
        <w:tc>
          <w:tcPr>
            <w:tcW w:w="1277" w:type="dxa"/>
            <w:gridSpan w:val="2"/>
            <w:vAlign w:val="center"/>
          </w:tcPr>
          <w:p w14:paraId="6FA791D1">
            <w:pPr>
              <w:spacing w:line="240" w:lineRule="auto"/>
              <w:ind w:firstLine="0" w:firstLineChars="0"/>
              <w:jc w:val="center"/>
              <w:rPr>
                <w:sz w:val="21"/>
                <w:szCs w:val="21"/>
                <w:u w:val="single"/>
              </w:rPr>
            </w:pPr>
            <w:r>
              <w:rPr>
                <w:sz w:val="21"/>
                <w:szCs w:val="21"/>
                <w:u w:val="single"/>
              </w:rPr>
              <w:t>0.1</w:t>
            </w:r>
          </w:p>
        </w:tc>
        <w:tc>
          <w:tcPr>
            <w:tcW w:w="793" w:type="dxa"/>
            <w:vMerge w:val="continue"/>
            <w:vAlign w:val="center"/>
          </w:tcPr>
          <w:p w14:paraId="0A91E2E2">
            <w:pPr>
              <w:spacing w:line="240" w:lineRule="auto"/>
              <w:ind w:firstLine="0" w:firstLineChars="0"/>
              <w:jc w:val="center"/>
              <w:rPr>
                <w:sz w:val="21"/>
                <w:szCs w:val="21"/>
                <w:u w:val="single"/>
              </w:rPr>
            </w:pPr>
          </w:p>
        </w:tc>
      </w:tr>
      <w:tr w14:paraId="29EA0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04C409C0">
            <w:pPr>
              <w:spacing w:line="240" w:lineRule="auto"/>
              <w:ind w:firstLine="0" w:firstLineChars="0"/>
              <w:jc w:val="center"/>
              <w:rPr>
                <w:sz w:val="21"/>
                <w:szCs w:val="21"/>
                <w:u w:val="single"/>
              </w:rPr>
            </w:pPr>
            <w:r>
              <w:rPr>
                <w:sz w:val="21"/>
                <w:szCs w:val="21"/>
                <w:u w:val="single"/>
              </w:rPr>
              <w:t>98%硫酸</w:t>
            </w:r>
          </w:p>
        </w:tc>
        <w:tc>
          <w:tcPr>
            <w:tcW w:w="1557" w:type="dxa"/>
            <w:gridSpan w:val="2"/>
            <w:vAlign w:val="center"/>
          </w:tcPr>
          <w:p w14:paraId="6FB6B695">
            <w:pPr>
              <w:spacing w:line="240" w:lineRule="auto"/>
              <w:ind w:firstLine="0" w:firstLineChars="0"/>
              <w:jc w:val="center"/>
              <w:rPr>
                <w:sz w:val="21"/>
                <w:szCs w:val="21"/>
                <w:u w:val="single"/>
              </w:rPr>
            </w:pPr>
            <w:r>
              <w:rPr>
                <w:sz w:val="21"/>
                <w:szCs w:val="21"/>
                <w:u w:val="single"/>
              </w:rPr>
              <w:t>4</w:t>
            </w:r>
            <w:r>
              <w:rPr>
                <w:rFonts w:hint="eastAsia"/>
                <w:sz w:val="21"/>
                <w:szCs w:val="21"/>
                <w:u w:val="single"/>
              </w:rPr>
              <w:t>0</w:t>
            </w:r>
          </w:p>
        </w:tc>
        <w:tc>
          <w:tcPr>
            <w:tcW w:w="849" w:type="dxa"/>
            <w:vMerge w:val="continue"/>
            <w:vAlign w:val="center"/>
          </w:tcPr>
          <w:p w14:paraId="4F8755EF">
            <w:pPr>
              <w:spacing w:line="240" w:lineRule="auto"/>
              <w:ind w:firstLine="0" w:firstLineChars="0"/>
              <w:jc w:val="center"/>
              <w:rPr>
                <w:sz w:val="21"/>
                <w:szCs w:val="21"/>
                <w:u w:val="single"/>
              </w:rPr>
            </w:pPr>
          </w:p>
        </w:tc>
        <w:tc>
          <w:tcPr>
            <w:tcW w:w="1414" w:type="dxa"/>
            <w:gridSpan w:val="2"/>
            <w:vAlign w:val="center"/>
          </w:tcPr>
          <w:p w14:paraId="15F88991">
            <w:pPr>
              <w:spacing w:line="240" w:lineRule="auto"/>
              <w:ind w:firstLine="0" w:firstLineChars="0"/>
              <w:jc w:val="center"/>
              <w:rPr>
                <w:sz w:val="21"/>
                <w:szCs w:val="21"/>
                <w:u w:val="single"/>
              </w:rPr>
            </w:pPr>
            <w:r>
              <w:rPr>
                <w:sz w:val="21"/>
                <w:szCs w:val="21"/>
                <w:u w:val="single"/>
              </w:rPr>
              <w:t>硫酸钠</w:t>
            </w:r>
          </w:p>
        </w:tc>
        <w:tc>
          <w:tcPr>
            <w:tcW w:w="1277" w:type="dxa"/>
            <w:gridSpan w:val="2"/>
            <w:vAlign w:val="center"/>
          </w:tcPr>
          <w:p w14:paraId="7AC24E0C">
            <w:pPr>
              <w:spacing w:line="240" w:lineRule="auto"/>
              <w:ind w:firstLine="0" w:firstLineChars="0"/>
              <w:jc w:val="center"/>
              <w:rPr>
                <w:sz w:val="21"/>
                <w:szCs w:val="21"/>
                <w:u w:val="single"/>
              </w:rPr>
            </w:pPr>
            <w:r>
              <w:rPr>
                <w:sz w:val="21"/>
                <w:szCs w:val="21"/>
                <w:u w:val="single"/>
              </w:rPr>
              <w:t>1.07</w:t>
            </w:r>
          </w:p>
        </w:tc>
        <w:tc>
          <w:tcPr>
            <w:tcW w:w="793" w:type="dxa"/>
            <w:vMerge w:val="continue"/>
            <w:vAlign w:val="center"/>
          </w:tcPr>
          <w:p w14:paraId="0B39226A">
            <w:pPr>
              <w:spacing w:line="240" w:lineRule="auto"/>
              <w:ind w:firstLine="0" w:firstLineChars="0"/>
              <w:jc w:val="center"/>
              <w:rPr>
                <w:sz w:val="21"/>
                <w:szCs w:val="21"/>
                <w:u w:val="single"/>
              </w:rPr>
            </w:pPr>
          </w:p>
        </w:tc>
      </w:tr>
      <w:tr w14:paraId="4088E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111B0C07">
            <w:pPr>
              <w:spacing w:line="240" w:lineRule="auto"/>
              <w:ind w:firstLine="0" w:firstLineChars="0"/>
              <w:jc w:val="center"/>
              <w:rPr>
                <w:sz w:val="21"/>
                <w:szCs w:val="21"/>
                <w:u w:val="single"/>
              </w:rPr>
            </w:pPr>
            <w:r>
              <w:rPr>
                <w:sz w:val="21"/>
                <w:szCs w:val="21"/>
                <w:u w:val="single"/>
              </w:rPr>
              <w:t>碳酸氢钠</w:t>
            </w:r>
          </w:p>
        </w:tc>
        <w:tc>
          <w:tcPr>
            <w:tcW w:w="1557" w:type="dxa"/>
            <w:gridSpan w:val="2"/>
            <w:vAlign w:val="center"/>
          </w:tcPr>
          <w:p w14:paraId="55A931E6">
            <w:pPr>
              <w:spacing w:line="240" w:lineRule="auto"/>
              <w:ind w:firstLine="0" w:firstLineChars="0"/>
              <w:jc w:val="center"/>
              <w:rPr>
                <w:sz w:val="21"/>
                <w:szCs w:val="21"/>
                <w:u w:val="single"/>
              </w:rPr>
            </w:pPr>
            <w:r>
              <w:rPr>
                <w:sz w:val="21"/>
                <w:szCs w:val="21"/>
                <w:u w:val="single"/>
              </w:rPr>
              <w:t>100</w:t>
            </w:r>
          </w:p>
        </w:tc>
        <w:tc>
          <w:tcPr>
            <w:tcW w:w="849" w:type="dxa"/>
            <w:vMerge w:val="continue"/>
            <w:vAlign w:val="center"/>
          </w:tcPr>
          <w:p w14:paraId="56EC17B9">
            <w:pPr>
              <w:spacing w:line="240" w:lineRule="auto"/>
              <w:ind w:firstLine="0" w:firstLineChars="0"/>
              <w:jc w:val="center"/>
              <w:rPr>
                <w:sz w:val="21"/>
                <w:szCs w:val="21"/>
                <w:u w:val="single"/>
              </w:rPr>
            </w:pPr>
          </w:p>
        </w:tc>
        <w:tc>
          <w:tcPr>
            <w:tcW w:w="1414" w:type="dxa"/>
            <w:gridSpan w:val="2"/>
            <w:vAlign w:val="center"/>
          </w:tcPr>
          <w:p w14:paraId="3A5705E0">
            <w:pPr>
              <w:spacing w:line="240" w:lineRule="auto"/>
              <w:ind w:firstLine="0" w:firstLineChars="0"/>
              <w:jc w:val="center"/>
              <w:rPr>
                <w:sz w:val="21"/>
                <w:szCs w:val="21"/>
                <w:u w:val="single"/>
              </w:rPr>
            </w:pPr>
            <w:r>
              <w:rPr>
                <w:sz w:val="21"/>
                <w:szCs w:val="21"/>
                <w:u w:val="single"/>
              </w:rPr>
              <w:t>水</w:t>
            </w:r>
          </w:p>
        </w:tc>
        <w:tc>
          <w:tcPr>
            <w:tcW w:w="1277" w:type="dxa"/>
            <w:gridSpan w:val="2"/>
            <w:vAlign w:val="center"/>
          </w:tcPr>
          <w:p w14:paraId="37892AE8">
            <w:pPr>
              <w:spacing w:line="240" w:lineRule="auto"/>
              <w:ind w:firstLine="0" w:firstLineChars="0"/>
              <w:jc w:val="center"/>
              <w:rPr>
                <w:sz w:val="21"/>
                <w:szCs w:val="21"/>
                <w:u w:val="single"/>
              </w:rPr>
            </w:pPr>
            <w:r>
              <w:rPr>
                <w:sz w:val="21"/>
                <w:szCs w:val="21"/>
                <w:u w:val="single"/>
              </w:rPr>
              <w:t>6.07</w:t>
            </w:r>
          </w:p>
        </w:tc>
        <w:tc>
          <w:tcPr>
            <w:tcW w:w="793" w:type="dxa"/>
            <w:vMerge w:val="continue"/>
          </w:tcPr>
          <w:p w14:paraId="243FD987">
            <w:pPr>
              <w:spacing w:line="240" w:lineRule="auto"/>
              <w:ind w:firstLine="0" w:firstLineChars="0"/>
              <w:jc w:val="center"/>
              <w:rPr>
                <w:sz w:val="21"/>
                <w:szCs w:val="21"/>
                <w:u w:val="single"/>
              </w:rPr>
            </w:pPr>
          </w:p>
        </w:tc>
      </w:tr>
      <w:tr w14:paraId="6E753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5E5F01D5">
            <w:pPr>
              <w:spacing w:line="240" w:lineRule="auto"/>
              <w:ind w:firstLine="0" w:firstLineChars="0"/>
              <w:jc w:val="center"/>
              <w:rPr>
                <w:sz w:val="21"/>
                <w:szCs w:val="21"/>
                <w:u w:val="single"/>
              </w:rPr>
            </w:pPr>
            <w:r>
              <w:rPr>
                <w:sz w:val="21"/>
                <w:szCs w:val="21"/>
                <w:u w:val="single"/>
              </w:rPr>
              <w:t>活性炭</w:t>
            </w:r>
          </w:p>
        </w:tc>
        <w:tc>
          <w:tcPr>
            <w:tcW w:w="1557" w:type="dxa"/>
            <w:gridSpan w:val="2"/>
            <w:vAlign w:val="center"/>
          </w:tcPr>
          <w:p w14:paraId="7DD6425C">
            <w:pPr>
              <w:spacing w:line="240" w:lineRule="auto"/>
              <w:ind w:firstLine="0" w:firstLineChars="0"/>
              <w:jc w:val="center"/>
              <w:rPr>
                <w:sz w:val="21"/>
                <w:szCs w:val="21"/>
                <w:u w:val="single"/>
              </w:rPr>
            </w:pPr>
            <w:r>
              <w:rPr>
                <w:sz w:val="21"/>
                <w:szCs w:val="21"/>
                <w:u w:val="single"/>
              </w:rPr>
              <w:t>100</w:t>
            </w:r>
          </w:p>
        </w:tc>
        <w:tc>
          <w:tcPr>
            <w:tcW w:w="849" w:type="dxa"/>
            <w:vMerge w:val="continue"/>
            <w:vAlign w:val="center"/>
          </w:tcPr>
          <w:p w14:paraId="1FBCB889">
            <w:pPr>
              <w:spacing w:line="240" w:lineRule="auto"/>
              <w:ind w:firstLine="0" w:firstLineChars="0"/>
              <w:jc w:val="center"/>
              <w:rPr>
                <w:sz w:val="21"/>
                <w:szCs w:val="21"/>
                <w:u w:val="single"/>
              </w:rPr>
            </w:pPr>
          </w:p>
        </w:tc>
        <w:tc>
          <w:tcPr>
            <w:tcW w:w="1414" w:type="dxa"/>
            <w:gridSpan w:val="2"/>
            <w:vAlign w:val="center"/>
          </w:tcPr>
          <w:p w14:paraId="26003604">
            <w:pPr>
              <w:spacing w:line="240" w:lineRule="auto"/>
              <w:ind w:firstLine="0" w:firstLineChars="0"/>
              <w:jc w:val="center"/>
              <w:rPr>
                <w:sz w:val="21"/>
                <w:szCs w:val="21"/>
                <w:u w:val="single"/>
              </w:rPr>
            </w:pPr>
            <w:r>
              <w:rPr>
                <w:sz w:val="21"/>
                <w:szCs w:val="21"/>
                <w:u w:val="single"/>
              </w:rPr>
              <w:t>HMS-215M</w:t>
            </w:r>
          </w:p>
        </w:tc>
        <w:tc>
          <w:tcPr>
            <w:tcW w:w="1277" w:type="dxa"/>
            <w:gridSpan w:val="2"/>
            <w:vAlign w:val="center"/>
          </w:tcPr>
          <w:p w14:paraId="7124ED8C">
            <w:pPr>
              <w:spacing w:line="240" w:lineRule="auto"/>
              <w:ind w:firstLine="0" w:firstLineChars="0"/>
              <w:jc w:val="center"/>
              <w:rPr>
                <w:sz w:val="21"/>
                <w:szCs w:val="21"/>
                <w:u w:val="single"/>
              </w:rPr>
            </w:pPr>
            <w:r>
              <w:rPr>
                <w:sz w:val="21"/>
                <w:szCs w:val="21"/>
                <w:u w:val="single"/>
              </w:rPr>
              <w:t>75.35</w:t>
            </w:r>
          </w:p>
        </w:tc>
        <w:tc>
          <w:tcPr>
            <w:tcW w:w="793" w:type="dxa"/>
            <w:vMerge w:val="continue"/>
          </w:tcPr>
          <w:p w14:paraId="30BA199C">
            <w:pPr>
              <w:spacing w:line="240" w:lineRule="auto"/>
              <w:ind w:firstLine="0" w:firstLineChars="0"/>
              <w:jc w:val="center"/>
              <w:rPr>
                <w:sz w:val="21"/>
                <w:szCs w:val="21"/>
                <w:u w:val="single"/>
              </w:rPr>
            </w:pPr>
          </w:p>
        </w:tc>
      </w:tr>
      <w:tr w14:paraId="5378F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210B9938">
            <w:pPr>
              <w:spacing w:line="240" w:lineRule="auto"/>
              <w:ind w:firstLine="0" w:firstLineChars="0"/>
              <w:jc w:val="center"/>
              <w:rPr>
                <w:sz w:val="21"/>
                <w:szCs w:val="21"/>
                <w:u w:val="single"/>
              </w:rPr>
            </w:pPr>
            <w:r>
              <w:rPr>
                <w:sz w:val="21"/>
                <w:szCs w:val="21"/>
                <w:u w:val="single"/>
              </w:rPr>
              <w:t>HMS-215M</w:t>
            </w:r>
          </w:p>
        </w:tc>
        <w:tc>
          <w:tcPr>
            <w:tcW w:w="1557" w:type="dxa"/>
            <w:gridSpan w:val="2"/>
            <w:vAlign w:val="center"/>
          </w:tcPr>
          <w:p w14:paraId="5501B8CF">
            <w:pPr>
              <w:spacing w:line="240" w:lineRule="auto"/>
              <w:ind w:firstLine="0" w:firstLineChars="0"/>
              <w:jc w:val="center"/>
              <w:rPr>
                <w:sz w:val="21"/>
                <w:szCs w:val="21"/>
                <w:u w:val="single"/>
              </w:rPr>
            </w:pPr>
            <w:r>
              <w:rPr>
                <w:rFonts w:hint="eastAsia"/>
                <w:sz w:val="21"/>
                <w:szCs w:val="21"/>
                <w:u w:val="single"/>
              </w:rPr>
              <w:t>3045.54</w:t>
            </w:r>
          </w:p>
        </w:tc>
        <w:tc>
          <w:tcPr>
            <w:tcW w:w="849" w:type="dxa"/>
            <w:vMerge w:val="continue"/>
            <w:vAlign w:val="center"/>
          </w:tcPr>
          <w:p w14:paraId="3E1BB145">
            <w:pPr>
              <w:spacing w:line="240" w:lineRule="auto"/>
              <w:ind w:firstLine="0" w:firstLineChars="0"/>
              <w:jc w:val="center"/>
              <w:rPr>
                <w:sz w:val="21"/>
                <w:szCs w:val="21"/>
                <w:u w:val="single"/>
              </w:rPr>
            </w:pPr>
          </w:p>
        </w:tc>
        <w:tc>
          <w:tcPr>
            <w:tcW w:w="1414" w:type="dxa"/>
            <w:gridSpan w:val="2"/>
            <w:vAlign w:val="center"/>
          </w:tcPr>
          <w:p w14:paraId="476C7643">
            <w:pPr>
              <w:spacing w:line="240" w:lineRule="auto"/>
              <w:ind w:firstLine="0" w:firstLineChars="0"/>
              <w:jc w:val="center"/>
              <w:rPr>
                <w:sz w:val="21"/>
                <w:szCs w:val="21"/>
                <w:u w:val="single"/>
              </w:rPr>
            </w:pPr>
            <w:r>
              <w:rPr>
                <w:sz w:val="21"/>
                <w:szCs w:val="21"/>
                <w:u w:val="single"/>
              </w:rPr>
              <w:t>HMS-218M</w:t>
            </w:r>
          </w:p>
        </w:tc>
        <w:tc>
          <w:tcPr>
            <w:tcW w:w="1277" w:type="dxa"/>
            <w:gridSpan w:val="2"/>
            <w:vAlign w:val="center"/>
          </w:tcPr>
          <w:p w14:paraId="2701CC25">
            <w:pPr>
              <w:spacing w:line="240" w:lineRule="auto"/>
              <w:ind w:firstLine="0" w:firstLineChars="0"/>
              <w:jc w:val="center"/>
              <w:rPr>
                <w:sz w:val="21"/>
                <w:szCs w:val="21"/>
                <w:u w:val="single"/>
              </w:rPr>
            </w:pPr>
            <w:r>
              <w:rPr>
                <w:sz w:val="21"/>
                <w:szCs w:val="21"/>
                <w:u w:val="single"/>
              </w:rPr>
              <w:t>228.7</w:t>
            </w:r>
          </w:p>
        </w:tc>
        <w:tc>
          <w:tcPr>
            <w:tcW w:w="793" w:type="dxa"/>
            <w:vMerge w:val="continue"/>
            <w:vAlign w:val="center"/>
          </w:tcPr>
          <w:p w14:paraId="0B017F30">
            <w:pPr>
              <w:spacing w:line="240" w:lineRule="auto"/>
              <w:ind w:firstLine="0" w:firstLineChars="0"/>
              <w:jc w:val="center"/>
              <w:rPr>
                <w:sz w:val="21"/>
                <w:szCs w:val="21"/>
                <w:u w:val="single"/>
              </w:rPr>
            </w:pPr>
          </w:p>
        </w:tc>
      </w:tr>
      <w:tr w14:paraId="1EF0B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6379A177">
            <w:pPr>
              <w:spacing w:line="240" w:lineRule="auto"/>
              <w:ind w:firstLine="0" w:firstLineChars="0"/>
              <w:jc w:val="center"/>
              <w:rPr>
                <w:sz w:val="21"/>
                <w:szCs w:val="21"/>
                <w:u w:val="single"/>
              </w:rPr>
            </w:pPr>
            <w:r>
              <w:rPr>
                <w:sz w:val="21"/>
                <w:szCs w:val="21"/>
                <w:u w:val="single"/>
              </w:rPr>
              <w:t>HMS-218M</w:t>
            </w:r>
          </w:p>
        </w:tc>
        <w:tc>
          <w:tcPr>
            <w:tcW w:w="1557" w:type="dxa"/>
            <w:gridSpan w:val="2"/>
            <w:vAlign w:val="center"/>
          </w:tcPr>
          <w:p w14:paraId="4C343C54">
            <w:pPr>
              <w:spacing w:line="240" w:lineRule="auto"/>
              <w:ind w:firstLine="0" w:firstLineChars="0"/>
              <w:jc w:val="center"/>
              <w:rPr>
                <w:sz w:val="21"/>
                <w:szCs w:val="21"/>
                <w:u w:val="single"/>
              </w:rPr>
            </w:pPr>
            <w:r>
              <w:rPr>
                <w:rFonts w:hint="eastAsia"/>
                <w:sz w:val="21"/>
                <w:szCs w:val="21"/>
                <w:u w:val="single"/>
              </w:rPr>
              <w:t>14089.76</w:t>
            </w:r>
          </w:p>
        </w:tc>
        <w:tc>
          <w:tcPr>
            <w:tcW w:w="849" w:type="dxa"/>
            <w:vMerge w:val="continue"/>
            <w:vAlign w:val="center"/>
          </w:tcPr>
          <w:p w14:paraId="0AFB4427">
            <w:pPr>
              <w:spacing w:line="240" w:lineRule="auto"/>
              <w:ind w:firstLine="0" w:firstLineChars="0"/>
              <w:jc w:val="center"/>
              <w:rPr>
                <w:sz w:val="21"/>
                <w:szCs w:val="21"/>
                <w:u w:val="single"/>
              </w:rPr>
            </w:pPr>
          </w:p>
        </w:tc>
        <w:tc>
          <w:tcPr>
            <w:tcW w:w="1414" w:type="dxa"/>
            <w:gridSpan w:val="2"/>
            <w:vAlign w:val="center"/>
          </w:tcPr>
          <w:p w14:paraId="64723347">
            <w:pPr>
              <w:spacing w:line="240" w:lineRule="auto"/>
              <w:ind w:firstLine="0" w:firstLineChars="0"/>
              <w:jc w:val="center"/>
              <w:rPr>
                <w:sz w:val="21"/>
                <w:szCs w:val="21"/>
                <w:u w:val="single"/>
              </w:rPr>
            </w:pPr>
            <w:r>
              <w:rPr>
                <w:sz w:val="21"/>
                <w:szCs w:val="21"/>
                <w:u w:val="single"/>
              </w:rPr>
              <w:t>HMS-222M</w:t>
            </w:r>
          </w:p>
        </w:tc>
        <w:tc>
          <w:tcPr>
            <w:tcW w:w="1277" w:type="dxa"/>
            <w:gridSpan w:val="2"/>
            <w:vAlign w:val="center"/>
          </w:tcPr>
          <w:p w14:paraId="0C2623F5">
            <w:pPr>
              <w:spacing w:line="240" w:lineRule="auto"/>
              <w:ind w:firstLine="0" w:firstLineChars="0"/>
              <w:jc w:val="center"/>
              <w:rPr>
                <w:sz w:val="21"/>
                <w:szCs w:val="21"/>
                <w:u w:val="single"/>
              </w:rPr>
            </w:pPr>
            <w:r>
              <w:rPr>
                <w:sz w:val="21"/>
                <w:szCs w:val="21"/>
                <w:u w:val="single"/>
              </w:rPr>
              <w:t>75.1</w:t>
            </w:r>
          </w:p>
        </w:tc>
        <w:tc>
          <w:tcPr>
            <w:tcW w:w="793" w:type="dxa"/>
            <w:vMerge w:val="continue"/>
            <w:vAlign w:val="center"/>
          </w:tcPr>
          <w:p w14:paraId="2E3E1677">
            <w:pPr>
              <w:spacing w:line="240" w:lineRule="auto"/>
              <w:ind w:firstLine="0" w:firstLineChars="0"/>
              <w:jc w:val="center"/>
              <w:rPr>
                <w:sz w:val="21"/>
                <w:szCs w:val="21"/>
                <w:u w:val="single"/>
              </w:rPr>
            </w:pPr>
          </w:p>
        </w:tc>
      </w:tr>
      <w:tr w14:paraId="7AC8A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12AAD786">
            <w:pPr>
              <w:spacing w:line="240" w:lineRule="auto"/>
              <w:ind w:firstLine="0" w:firstLineChars="0"/>
              <w:jc w:val="center"/>
              <w:rPr>
                <w:sz w:val="21"/>
                <w:szCs w:val="21"/>
                <w:u w:val="single"/>
              </w:rPr>
            </w:pPr>
            <w:r>
              <w:rPr>
                <w:sz w:val="21"/>
                <w:szCs w:val="21"/>
                <w:u w:val="single"/>
              </w:rPr>
              <w:t>HMS-222M</w:t>
            </w:r>
          </w:p>
        </w:tc>
        <w:tc>
          <w:tcPr>
            <w:tcW w:w="1557" w:type="dxa"/>
            <w:gridSpan w:val="2"/>
            <w:vAlign w:val="center"/>
          </w:tcPr>
          <w:p w14:paraId="3F1AED32">
            <w:pPr>
              <w:spacing w:line="240" w:lineRule="auto"/>
              <w:ind w:firstLine="0" w:firstLineChars="0"/>
              <w:jc w:val="center"/>
              <w:rPr>
                <w:sz w:val="21"/>
                <w:szCs w:val="21"/>
                <w:u w:val="single"/>
              </w:rPr>
            </w:pPr>
            <w:r>
              <w:rPr>
                <w:rFonts w:hint="eastAsia"/>
                <w:sz w:val="21"/>
                <w:szCs w:val="21"/>
                <w:u w:val="single"/>
              </w:rPr>
              <w:t>3045.29</w:t>
            </w:r>
          </w:p>
        </w:tc>
        <w:tc>
          <w:tcPr>
            <w:tcW w:w="849" w:type="dxa"/>
            <w:vMerge w:val="continue"/>
            <w:vAlign w:val="center"/>
          </w:tcPr>
          <w:p w14:paraId="070A75E1">
            <w:pPr>
              <w:spacing w:line="240" w:lineRule="auto"/>
              <w:ind w:firstLine="0" w:firstLineChars="0"/>
              <w:jc w:val="center"/>
              <w:rPr>
                <w:sz w:val="21"/>
                <w:szCs w:val="21"/>
                <w:u w:val="single"/>
              </w:rPr>
            </w:pPr>
          </w:p>
        </w:tc>
        <w:tc>
          <w:tcPr>
            <w:tcW w:w="1414" w:type="dxa"/>
            <w:gridSpan w:val="2"/>
            <w:vAlign w:val="center"/>
          </w:tcPr>
          <w:p w14:paraId="3758DCA1">
            <w:pPr>
              <w:spacing w:line="240" w:lineRule="auto"/>
              <w:ind w:firstLine="0" w:firstLineChars="0"/>
              <w:jc w:val="center"/>
              <w:rPr>
                <w:sz w:val="21"/>
                <w:szCs w:val="21"/>
                <w:u w:val="single"/>
              </w:rPr>
            </w:pPr>
            <w:r>
              <w:rPr>
                <w:sz w:val="21"/>
                <w:szCs w:val="21"/>
                <w:u w:val="single"/>
              </w:rPr>
              <w:t>D4</w:t>
            </w:r>
          </w:p>
        </w:tc>
        <w:tc>
          <w:tcPr>
            <w:tcW w:w="1277" w:type="dxa"/>
            <w:gridSpan w:val="2"/>
            <w:vAlign w:val="center"/>
          </w:tcPr>
          <w:p w14:paraId="6714E68D">
            <w:pPr>
              <w:spacing w:line="240" w:lineRule="auto"/>
              <w:ind w:firstLine="0" w:firstLineChars="0"/>
              <w:jc w:val="center"/>
              <w:rPr>
                <w:sz w:val="21"/>
                <w:szCs w:val="21"/>
                <w:u w:val="single"/>
              </w:rPr>
            </w:pPr>
            <w:r>
              <w:rPr>
                <w:sz w:val="21"/>
                <w:szCs w:val="21"/>
                <w:u w:val="single"/>
              </w:rPr>
              <w:t>9.84</w:t>
            </w:r>
          </w:p>
        </w:tc>
        <w:tc>
          <w:tcPr>
            <w:tcW w:w="793" w:type="dxa"/>
            <w:vMerge w:val="continue"/>
            <w:vAlign w:val="center"/>
          </w:tcPr>
          <w:p w14:paraId="27DD95CD">
            <w:pPr>
              <w:spacing w:line="240" w:lineRule="auto"/>
              <w:ind w:firstLine="0" w:firstLineChars="0"/>
              <w:jc w:val="center"/>
              <w:rPr>
                <w:sz w:val="21"/>
                <w:szCs w:val="21"/>
                <w:u w:val="single"/>
              </w:rPr>
            </w:pPr>
          </w:p>
        </w:tc>
      </w:tr>
      <w:tr w14:paraId="7F4B2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7EA84BD8">
            <w:pPr>
              <w:spacing w:line="240" w:lineRule="auto"/>
              <w:ind w:firstLine="0" w:firstLineChars="0"/>
              <w:jc w:val="center"/>
              <w:rPr>
                <w:sz w:val="21"/>
                <w:szCs w:val="21"/>
                <w:u w:val="single"/>
              </w:rPr>
            </w:pPr>
            <w:r>
              <w:rPr>
                <w:sz w:val="21"/>
                <w:szCs w:val="21"/>
                <w:u w:val="single"/>
              </w:rPr>
              <w:t>氯铂酸</w:t>
            </w:r>
          </w:p>
        </w:tc>
        <w:tc>
          <w:tcPr>
            <w:tcW w:w="1557" w:type="dxa"/>
            <w:gridSpan w:val="2"/>
            <w:vAlign w:val="center"/>
          </w:tcPr>
          <w:p w14:paraId="1972AB76">
            <w:pPr>
              <w:spacing w:line="240" w:lineRule="auto"/>
              <w:ind w:firstLine="0" w:firstLineChars="0"/>
              <w:jc w:val="center"/>
              <w:rPr>
                <w:sz w:val="21"/>
                <w:szCs w:val="21"/>
                <w:u w:val="single"/>
              </w:rPr>
            </w:pPr>
            <w:r>
              <w:rPr>
                <w:rFonts w:hint="eastAsia"/>
                <w:sz w:val="21"/>
                <w:szCs w:val="21"/>
                <w:u w:val="single"/>
              </w:rPr>
              <w:t>0.1</w:t>
            </w:r>
          </w:p>
        </w:tc>
        <w:tc>
          <w:tcPr>
            <w:tcW w:w="849" w:type="dxa"/>
            <w:vMerge w:val="continue"/>
            <w:vAlign w:val="center"/>
          </w:tcPr>
          <w:p w14:paraId="5F28896F">
            <w:pPr>
              <w:spacing w:line="240" w:lineRule="auto"/>
              <w:ind w:firstLine="0" w:firstLineChars="0"/>
              <w:jc w:val="center"/>
              <w:rPr>
                <w:sz w:val="21"/>
                <w:szCs w:val="21"/>
                <w:u w:val="single"/>
              </w:rPr>
            </w:pPr>
          </w:p>
        </w:tc>
        <w:tc>
          <w:tcPr>
            <w:tcW w:w="1414" w:type="dxa"/>
            <w:gridSpan w:val="2"/>
            <w:vAlign w:val="center"/>
          </w:tcPr>
          <w:p w14:paraId="312D50AD">
            <w:pPr>
              <w:spacing w:line="240" w:lineRule="auto"/>
              <w:ind w:firstLine="0" w:firstLineChars="0"/>
              <w:jc w:val="center"/>
              <w:rPr>
                <w:sz w:val="21"/>
                <w:szCs w:val="21"/>
                <w:u w:val="single"/>
              </w:rPr>
            </w:pPr>
            <w:r>
              <w:rPr>
                <w:sz w:val="21"/>
                <w:szCs w:val="21"/>
                <w:u w:val="single"/>
              </w:rPr>
              <w:t>KF99</w:t>
            </w:r>
          </w:p>
        </w:tc>
        <w:tc>
          <w:tcPr>
            <w:tcW w:w="1277" w:type="dxa"/>
            <w:gridSpan w:val="2"/>
            <w:vAlign w:val="center"/>
          </w:tcPr>
          <w:p w14:paraId="327CBF29">
            <w:pPr>
              <w:spacing w:line="240" w:lineRule="auto"/>
              <w:ind w:firstLine="0" w:firstLineChars="0"/>
              <w:jc w:val="center"/>
              <w:rPr>
                <w:sz w:val="21"/>
                <w:szCs w:val="21"/>
                <w:u w:val="single"/>
              </w:rPr>
            </w:pPr>
            <w:r>
              <w:rPr>
                <w:sz w:val="21"/>
                <w:szCs w:val="21"/>
                <w:u w:val="single"/>
              </w:rPr>
              <w:t>3.46</w:t>
            </w:r>
          </w:p>
        </w:tc>
        <w:tc>
          <w:tcPr>
            <w:tcW w:w="793" w:type="dxa"/>
            <w:vMerge w:val="continue"/>
            <w:vAlign w:val="center"/>
          </w:tcPr>
          <w:p w14:paraId="76BE5837">
            <w:pPr>
              <w:spacing w:line="240" w:lineRule="auto"/>
              <w:ind w:firstLine="0" w:firstLineChars="0"/>
              <w:jc w:val="center"/>
              <w:rPr>
                <w:sz w:val="21"/>
                <w:szCs w:val="21"/>
                <w:u w:val="single"/>
              </w:rPr>
            </w:pPr>
          </w:p>
        </w:tc>
      </w:tr>
      <w:tr w14:paraId="1E820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01CC8D73">
            <w:pPr>
              <w:spacing w:line="240" w:lineRule="auto"/>
              <w:ind w:firstLine="0" w:firstLineChars="0"/>
              <w:jc w:val="center"/>
              <w:rPr>
                <w:sz w:val="21"/>
                <w:szCs w:val="21"/>
                <w:u w:val="single"/>
              </w:rPr>
            </w:pPr>
            <w:r>
              <w:rPr>
                <w:sz w:val="21"/>
                <w:szCs w:val="21"/>
                <w:u w:val="single"/>
              </w:rPr>
              <w:t>二丙二醇</w:t>
            </w:r>
          </w:p>
        </w:tc>
        <w:tc>
          <w:tcPr>
            <w:tcW w:w="1557" w:type="dxa"/>
            <w:gridSpan w:val="2"/>
            <w:vAlign w:val="center"/>
          </w:tcPr>
          <w:p w14:paraId="1F5B1A78">
            <w:pPr>
              <w:spacing w:line="240" w:lineRule="auto"/>
              <w:ind w:firstLine="0" w:firstLineChars="0"/>
              <w:jc w:val="center"/>
              <w:rPr>
                <w:sz w:val="21"/>
                <w:szCs w:val="21"/>
                <w:u w:val="single"/>
              </w:rPr>
            </w:pPr>
            <w:r>
              <w:rPr>
                <w:rFonts w:hint="eastAsia"/>
                <w:sz w:val="21"/>
                <w:szCs w:val="21"/>
                <w:u w:val="single"/>
              </w:rPr>
              <w:t>15840.64</w:t>
            </w:r>
          </w:p>
        </w:tc>
        <w:tc>
          <w:tcPr>
            <w:tcW w:w="849" w:type="dxa"/>
            <w:vMerge w:val="continue"/>
            <w:vAlign w:val="center"/>
          </w:tcPr>
          <w:p w14:paraId="05132F16">
            <w:pPr>
              <w:spacing w:line="240" w:lineRule="auto"/>
              <w:ind w:firstLine="0" w:firstLineChars="0"/>
              <w:jc w:val="center"/>
              <w:rPr>
                <w:sz w:val="21"/>
                <w:szCs w:val="21"/>
                <w:u w:val="single"/>
              </w:rPr>
            </w:pPr>
          </w:p>
        </w:tc>
        <w:tc>
          <w:tcPr>
            <w:tcW w:w="1414" w:type="dxa"/>
            <w:gridSpan w:val="2"/>
            <w:vAlign w:val="center"/>
          </w:tcPr>
          <w:p w14:paraId="4C022008">
            <w:pPr>
              <w:spacing w:line="240" w:lineRule="auto"/>
              <w:ind w:firstLine="0" w:firstLineChars="0"/>
              <w:jc w:val="center"/>
              <w:rPr>
                <w:sz w:val="21"/>
                <w:szCs w:val="21"/>
                <w:u w:val="single"/>
              </w:rPr>
            </w:pPr>
            <w:r>
              <w:rPr>
                <w:sz w:val="21"/>
                <w:szCs w:val="21"/>
                <w:u w:val="single"/>
              </w:rPr>
              <w:t>碳酸氢钠</w:t>
            </w:r>
          </w:p>
        </w:tc>
        <w:tc>
          <w:tcPr>
            <w:tcW w:w="1277" w:type="dxa"/>
            <w:gridSpan w:val="2"/>
            <w:vAlign w:val="center"/>
          </w:tcPr>
          <w:p w14:paraId="08939FDC">
            <w:pPr>
              <w:spacing w:line="240" w:lineRule="auto"/>
              <w:ind w:firstLine="0" w:firstLineChars="0"/>
              <w:jc w:val="center"/>
              <w:rPr>
                <w:sz w:val="21"/>
                <w:szCs w:val="21"/>
                <w:u w:val="single"/>
              </w:rPr>
            </w:pPr>
            <w:r>
              <w:rPr>
                <w:sz w:val="21"/>
                <w:szCs w:val="21"/>
                <w:u w:val="single"/>
              </w:rPr>
              <w:t>0.31</w:t>
            </w:r>
          </w:p>
        </w:tc>
        <w:tc>
          <w:tcPr>
            <w:tcW w:w="793" w:type="dxa"/>
            <w:vMerge w:val="continue"/>
            <w:vAlign w:val="center"/>
          </w:tcPr>
          <w:p w14:paraId="2268834E">
            <w:pPr>
              <w:spacing w:line="240" w:lineRule="auto"/>
              <w:ind w:firstLine="0" w:firstLineChars="0"/>
              <w:jc w:val="center"/>
              <w:rPr>
                <w:sz w:val="21"/>
                <w:szCs w:val="21"/>
                <w:u w:val="single"/>
              </w:rPr>
            </w:pPr>
          </w:p>
        </w:tc>
      </w:tr>
      <w:tr w14:paraId="017FD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7E2BF074">
            <w:pPr>
              <w:spacing w:line="240" w:lineRule="auto"/>
              <w:ind w:firstLine="0" w:firstLineChars="0"/>
              <w:jc w:val="center"/>
              <w:rPr>
                <w:sz w:val="21"/>
                <w:szCs w:val="21"/>
                <w:u w:val="single"/>
              </w:rPr>
            </w:pPr>
            <w:r>
              <w:rPr>
                <w:sz w:val="21"/>
                <w:szCs w:val="21"/>
                <w:u w:val="single"/>
              </w:rPr>
              <w:t>氮气</w:t>
            </w:r>
          </w:p>
        </w:tc>
        <w:tc>
          <w:tcPr>
            <w:tcW w:w="1557" w:type="dxa"/>
            <w:gridSpan w:val="2"/>
            <w:vAlign w:val="center"/>
          </w:tcPr>
          <w:p w14:paraId="76B47C29">
            <w:pPr>
              <w:spacing w:line="240" w:lineRule="auto"/>
              <w:ind w:firstLine="0" w:firstLineChars="0"/>
              <w:jc w:val="center"/>
              <w:rPr>
                <w:sz w:val="21"/>
                <w:szCs w:val="21"/>
                <w:u w:val="single"/>
              </w:rPr>
            </w:pPr>
            <w:r>
              <w:rPr>
                <w:rFonts w:hint="eastAsia"/>
                <w:sz w:val="21"/>
                <w:szCs w:val="21"/>
                <w:u w:val="single"/>
              </w:rPr>
              <w:t>13</w:t>
            </w:r>
          </w:p>
        </w:tc>
        <w:tc>
          <w:tcPr>
            <w:tcW w:w="849" w:type="dxa"/>
            <w:vMerge w:val="restart"/>
            <w:vAlign w:val="center"/>
          </w:tcPr>
          <w:p w14:paraId="050C3200">
            <w:pPr>
              <w:spacing w:line="240" w:lineRule="auto"/>
              <w:ind w:firstLine="0" w:firstLineChars="0"/>
              <w:jc w:val="center"/>
              <w:rPr>
                <w:sz w:val="21"/>
                <w:szCs w:val="21"/>
                <w:u w:val="single"/>
              </w:rPr>
            </w:pPr>
            <w:r>
              <w:rPr>
                <w:sz w:val="21"/>
                <w:szCs w:val="21"/>
                <w:u w:val="single"/>
              </w:rPr>
              <w:t>G1-1</w:t>
            </w:r>
          </w:p>
        </w:tc>
        <w:tc>
          <w:tcPr>
            <w:tcW w:w="1414" w:type="dxa"/>
            <w:gridSpan w:val="2"/>
            <w:vAlign w:val="center"/>
          </w:tcPr>
          <w:p w14:paraId="3FE6DC47">
            <w:pPr>
              <w:spacing w:line="240" w:lineRule="auto"/>
              <w:ind w:firstLine="0" w:firstLineChars="0"/>
              <w:jc w:val="center"/>
              <w:rPr>
                <w:sz w:val="21"/>
                <w:szCs w:val="21"/>
                <w:u w:val="single"/>
              </w:rPr>
            </w:pPr>
            <w:r>
              <w:rPr>
                <w:sz w:val="21"/>
                <w:szCs w:val="21"/>
                <w:u w:val="single"/>
              </w:rPr>
              <w:t>水蒸汽</w:t>
            </w:r>
          </w:p>
        </w:tc>
        <w:tc>
          <w:tcPr>
            <w:tcW w:w="1277" w:type="dxa"/>
            <w:gridSpan w:val="2"/>
            <w:vAlign w:val="center"/>
          </w:tcPr>
          <w:p w14:paraId="169D6510">
            <w:pPr>
              <w:spacing w:line="240" w:lineRule="auto"/>
              <w:ind w:firstLine="0" w:firstLineChars="0"/>
              <w:jc w:val="center"/>
              <w:rPr>
                <w:sz w:val="21"/>
                <w:szCs w:val="21"/>
                <w:u w:val="single"/>
              </w:rPr>
            </w:pPr>
            <w:r>
              <w:rPr>
                <w:rFonts w:hint="eastAsia"/>
                <w:sz w:val="21"/>
                <w:szCs w:val="21"/>
                <w:u w:val="single"/>
              </w:rPr>
              <w:t>0.04</w:t>
            </w:r>
          </w:p>
        </w:tc>
        <w:tc>
          <w:tcPr>
            <w:tcW w:w="793" w:type="dxa"/>
            <w:vMerge w:val="restart"/>
            <w:vAlign w:val="center"/>
          </w:tcPr>
          <w:p w14:paraId="2F3AE56A">
            <w:pPr>
              <w:spacing w:line="240" w:lineRule="auto"/>
              <w:ind w:firstLine="0" w:firstLineChars="0"/>
              <w:jc w:val="center"/>
              <w:rPr>
                <w:sz w:val="21"/>
                <w:szCs w:val="21"/>
                <w:u w:val="single"/>
              </w:rPr>
            </w:pPr>
            <w:r>
              <w:rPr>
                <w:rFonts w:hint="eastAsia"/>
                <w:sz w:val="21"/>
                <w:szCs w:val="21"/>
                <w:u w:val="single"/>
              </w:rPr>
              <w:t>1.29</w:t>
            </w:r>
          </w:p>
        </w:tc>
      </w:tr>
      <w:tr w14:paraId="733ED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211DBF66">
            <w:pPr>
              <w:spacing w:line="240" w:lineRule="auto"/>
              <w:ind w:firstLine="0" w:firstLineChars="0"/>
              <w:jc w:val="center"/>
              <w:rPr>
                <w:sz w:val="21"/>
                <w:szCs w:val="21"/>
                <w:u w:val="single"/>
              </w:rPr>
            </w:pPr>
            <w:r>
              <w:rPr>
                <w:sz w:val="21"/>
                <w:szCs w:val="21"/>
                <w:u w:val="single"/>
              </w:rPr>
              <w:t>37%双氧水</w:t>
            </w:r>
          </w:p>
        </w:tc>
        <w:tc>
          <w:tcPr>
            <w:tcW w:w="1557" w:type="dxa"/>
            <w:gridSpan w:val="2"/>
            <w:vAlign w:val="center"/>
          </w:tcPr>
          <w:p w14:paraId="0D446874">
            <w:pPr>
              <w:spacing w:line="240" w:lineRule="auto"/>
              <w:ind w:firstLine="0" w:firstLineChars="0"/>
              <w:jc w:val="center"/>
              <w:rPr>
                <w:sz w:val="21"/>
                <w:szCs w:val="21"/>
                <w:u w:val="single"/>
              </w:rPr>
            </w:pPr>
            <w:r>
              <w:rPr>
                <w:sz w:val="21"/>
                <w:szCs w:val="21"/>
                <w:u w:val="single"/>
              </w:rPr>
              <w:t>5</w:t>
            </w:r>
          </w:p>
        </w:tc>
        <w:tc>
          <w:tcPr>
            <w:tcW w:w="849" w:type="dxa"/>
            <w:vMerge w:val="continue"/>
            <w:vAlign w:val="center"/>
          </w:tcPr>
          <w:p w14:paraId="1467D231">
            <w:pPr>
              <w:spacing w:line="240" w:lineRule="auto"/>
              <w:ind w:firstLine="0" w:firstLineChars="0"/>
              <w:jc w:val="center"/>
              <w:rPr>
                <w:sz w:val="21"/>
                <w:szCs w:val="21"/>
                <w:u w:val="single"/>
              </w:rPr>
            </w:pPr>
          </w:p>
        </w:tc>
        <w:tc>
          <w:tcPr>
            <w:tcW w:w="1414" w:type="dxa"/>
            <w:gridSpan w:val="2"/>
            <w:vAlign w:val="center"/>
          </w:tcPr>
          <w:p w14:paraId="6DF76BCA">
            <w:pPr>
              <w:spacing w:line="240" w:lineRule="auto"/>
              <w:ind w:firstLine="0" w:firstLineChars="0"/>
              <w:jc w:val="center"/>
              <w:rPr>
                <w:sz w:val="21"/>
                <w:szCs w:val="21"/>
                <w:u w:val="single"/>
              </w:rPr>
            </w:pPr>
            <w:r>
              <w:rPr>
                <w:sz w:val="21"/>
                <w:szCs w:val="21"/>
                <w:u w:val="single"/>
              </w:rPr>
              <w:t>D4</w:t>
            </w:r>
          </w:p>
        </w:tc>
        <w:tc>
          <w:tcPr>
            <w:tcW w:w="1277" w:type="dxa"/>
            <w:gridSpan w:val="2"/>
            <w:vAlign w:val="center"/>
          </w:tcPr>
          <w:p w14:paraId="47EF1F9A">
            <w:pPr>
              <w:spacing w:line="240" w:lineRule="auto"/>
              <w:ind w:firstLine="0" w:firstLineChars="0"/>
              <w:jc w:val="center"/>
              <w:rPr>
                <w:sz w:val="21"/>
                <w:szCs w:val="21"/>
                <w:u w:val="single"/>
              </w:rPr>
            </w:pPr>
            <w:r>
              <w:rPr>
                <w:rFonts w:hint="eastAsia"/>
                <w:sz w:val="21"/>
                <w:szCs w:val="21"/>
                <w:u w:val="single"/>
              </w:rPr>
              <w:t>0.33</w:t>
            </w:r>
          </w:p>
        </w:tc>
        <w:tc>
          <w:tcPr>
            <w:tcW w:w="793" w:type="dxa"/>
            <w:vMerge w:val="continue"/>
            <w:vAlign w:val="center"/>
          </w:tcPr>
          <w:p w14:paraId="3B9C38E1">
            <w:pPr>
              <w:spacing w:line="240" w:lineRule="auto"/>
              <w:ind w:firstLine="0" w:firstLineChars="0"/>
              <w:jc w:val="center"/>
              <w:rPr>
                <w:sz w:val="21"/>
                <w:szCs w:val="21"/>
                <w:u w:val="single"/>
              </w:rPr>
            </w:pPr>
          </w:p>
        </w:tc>
      </w:tr>
      <w:tr w14:paraId="10ECF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4C26EBE2">
            <w:pPr>
              <w:spacing w:line="240" w:lineRule="auto"/>
              <w:ind w:firstLine="0" w:firstLineChars="0"/>
              <w:jc w:val="center"/>
              <w:rPr>
                <w:sz w:val="21"/>
                <w:szCs w:val="21"/>
                <w:u w:val="single"/>
              </w:rPr>
            </w:pPr>
          </w:p>
        </w:tc>
        <w:tc>
          <w:tcPr>
            <w:tcW w:w="1557" w:type="dxa"/>
            <w:gridSpan w:val="2"/>
            <w:vAlign w:val="center"/>
          </w:tcPr>
          <w:p w14:paraId="0C340D81">
            <w:pPr>
              <w:spacing w:line="240" w:lineRule="auto"/>
              <w:ind w:firstLine="0" w:firstLineChars="0"/>
              <w:jc w:val="center"/>
              <w:rPr>
                <w:sz w:val="21"/>
                <w:szCs w:val="21"/>
                <w:u w:val="single"/>
              </w:rPr>
            </w:pPr>
          </w:p>
        </w:tc>
        <w:tc>
          <w:tcPr>
            <w:tcW w:w="849" w:type="dxa"/>
            <w:vMerge w:val="continue"/>
            <w:vAlign w:val="center"/>
          </w:tcPr>
          <w:p w14:paraId="43F6BD85">
            <w:pPr>
              <w:spacing w:line="240" w:lineRule="auto"/>
              <w:ind w:firstLine="0" w:firstLineChars="0"/>
              <w:jc w:val="center"/>
              <w:rPr>
                <w:sz w:val="21"/>
                <w:szCs w:val="21"/>
                <w:u w:val="single"/>
              </w:rPr>
            </w:pPr>
          </w:p>
        </w:tc>
        <w:tc>
          <w:tcPr>
            <w:tcW w:w="1414" w:type="dxa"/>
            <w:gridSpan w:val="2"/>
            <w:vAlign w:val="center"/>
          </w:tcPr>
          <w:p w14:paraId="6BD15EDF">
            <w:pPr>
              <w:spacing w:line="240" w:lineRule="auto"/>
              <w:ind w:firstLine="0" w:firstLineChars="0"/>
              <w:jc w:val="center"/>
              <w:rPr>
                <w:sz w:val="21"/>
                <w:szCs w:val="21"/>
                <w:u w:val="single"/>
              </w:rPr>
            </w:pPr>
            <w:r>
              <w:rPr>
                <w:sz w:val="21"/>
                <w:szCs w:val="21"/>
                <w:u w:val="single"/>
              </w:rPr>
              <w:t>KF99</w:t>
            </w:r>
          </w:p>
        </w:tc>
        <w:tc>
          <w:tcPr>
            <w:tcW w:w="1277" w:type="dxa"/>
            <w:gridSpan w:val="2"/>
            <w:vAlign w:val="center"/>
          </w:tcPr>
          <w:p w14:paraId="5A317CC2">
            <w:pPr>
              <w:spacing w:line="240" w:lineRule="auto"/>
              <w:ind w:firstLine="0" w:firstLineChars="0"/>
              <w:jc w:val="center"/>
              <w:rPr>
                <w:sz w:val="21"/>
                <w:szCs w:val="21"/>
                <w:u w:val="single"/>
              </w:rPr>
            </w:pPr>
            <w:r>
              <w:rPr>
                <w:rFonts w:hint="eastAsia"/>
                <w:sz w:val="21"/>
                <w:szCs w:val="21"/>
                <w:u w:val="single"/>
              </w:rPr>
              <w:t>0.14</w:t>
            </w:r>
          </w:p>
        </w:tc>
        <w:tc>
          <w:tcPr>
            <w:tcW w:w="793" w:type="dxa"/>
            <w:vMerge w:val="continue"/>
          </w:tcPr>
          <w:p w14:paraId="378C001C">
            <w:pPr>
              <w:spacing w:line="240" w:lineRule="auto"/>
              <w:ind w:firstLine="0" w:firstLineChars="0"/>
              <w:jc w:val="center"/>
              <w:rPr>
                <w:sz w:val="21"/>
                <w:szCs w:val="21"/>
                <w:u w:val="single"/>
              </w:rPr>
            </w:pPr>
          </w:p>
        </w:tc>
      </w:tr>
      <w:tr w14:paraId="7F7CA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6F185619">
            <w:pPr>
              <w:spacing w:line="240" w:lineRule="auto"/>
              <w:ind w:firstLine="0" w:firstLineChars="0"/>
              <w:jc w:val="center"/>
              <w:rPr>
                <w:sz w:val="21"/>
                <w:szCs w:val="21"/>
                <w:u w:val="single"/>
              </w:rPr>
            </w:pPr>
          </w:p>
        </w:tc>
        <w:tc>
          <w:tcPr>
            <w:tcW w:w="1557" w:type="dxa"/>
            <w:gridSpan w:val="2"/>
            <w:vAlign w:val="center"/>
          </w:tcPr>
          <w:p w14:paraId="13ABF246">
            <w:pPr>
              <w:spacing w:line="240" w:lineRule="auto"/>
              <w:ind w:firstLine="0" w:firstLineChars="0"/>
              <w:jc w:val="center"/>
              <w:rPr>
                <w:sz w:val="21"/>
                <w:szCs w:val="21"/>
                <w:u w:val="single"/>
              </w:rPr>
            </w:pPr>
          </w:p>
        </w:tc>
        <w:tc>
          <w:tcPr>
            <w:tcW w:w="849" w:type="dxa"/>
            <w:vMerge w:val="continue"/>
            <w:vAlign w:val="center"/>
          </w:tcPr>
          <w:p w14:paraId="467A1E34">
            <w:pPr>
              <w:spacing w:line="240" w:lineRule="auto"/>
              <w:ind w:firstLine="0" w:firstLineChars="0"/>
              <w:jc w:val="center"/>
              <w:rPr>
                <w:sz w:val="21"/>
                <w:szCs w:val="21"/>
                <w:u w:val="single"/>
              </w:rPr>
            </w:pPr>
          </w:p>
        </w:tc>
        <w:tc>
          <w:tcPr>
            <w:tcW w:w="1414" w:type="dxa"/>
            <w:gridSpan w:val="2"/>
            <w:vAlign w:val="center"/>
          </w:tcPr>
          <w:p w14:paraId="55E58243">
            <w:pPr>
              <w:spacing w:line="240" w:lineRule="auto"/>
              <w:ind w:firstLine="0" w:firstLineChars="0"/>
              <w:jc w:val="center"/>
              <w:rPr>
                <w:sz w:val="21"/>
                <w:szCs w:val="21"/>
                <w:u w:val="single"/>
              </w:rPr>
            </w:pPr>
            <w:r>
              <w:rPr>
                <w:sz w:val="21"/>
                <w:szCs w:val="21"/>
                <w:u w:val="single"/>
              </w:rPr>
              <w:t>硫酸</w:t>
            </w:r>
          </w:p>
        </w:tc>
        <w:tc>
          <w:tcPr>
            <w:tcW w:w="1277" w:type="dxa"/>
            <w:gridSpan w:val="2"/>
            <w:vAlign w:val="center"/>
          </w:tcPr>
          <w:p w14:paraId="60C32838">
            <w:pPr>
              <w:spacing w:line="240" w:lineRule="auto"/>
              <w:ind w:firstLine="0" w:firstLineChars="0"/>
              <w:jc w:val="center"/>
              <w:rPr>
                <w:sz w:val="21"/>
                <w:szCs w:val="21"/>
                <w:u w:val="single"/>
              </w:rPr>
            </w:pPr>
            <w:r>
              <w:rPr>
                <w:rFonts w:hint="eastAsia"/>
                <w:sz w:val="21"/>
                <w:szCs w:val="21"/>
                <w:u w:val="single"/>
              </w:rPr>
              <w:t>0.78</w:t>
            </w:r>
          </w:p>
        </w:tc>
        <w:tc>
          <w:tcPr>
            <w:tcW w:w="793" w:type="dxa"/>
            <w:vMerge w:val="continue"/>
          </w:tcPr>
          <w:p w14:paraId="39EACB0E">
            <w:pPr>
              <w:spacing w:line="240" w:lineRule="auto"/>
              <w:ind w:firstLine="0" w:firstLineChars="0"/>
              <w:jc w:val="center"/>
              <w:rPr>
                <w:sz w:val="21"/>
                <w:szCs w:val="21"/>
                <w:u w:val="single"/>
              </w:rPr>
            </w:pPr>
          </w:p>
        </w:tc>
      </w:tr>
      <w:tr w14:paraId="5043C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6B6CBDAB">
            <w:pPr>
              <w:spacing w:line="240" w:lineRule="auto"/>
              <w:ind w:firstLine="0" w:firstLineChars="0"/>
              <w:jc w:val="center"/>
              <w:rPr>
                <w:sz w:val="21"/>
                <w:szCs w:val="21"/>
                <w:u w:val="single"/>
              </w:rPr>
            </w:pPr>
          </w:p>
        </w:tc>
        <w:tc>
          <w:tcPr>
            <w:tcW w:w="1557" w:type="dxa"/>
            <w:gridSpan w:val="2"/>
            <w:vAlign w:val="center"/>
          </w:tcPr>
          <w:p w14:paraId="45B52FD9">
            <w:pPr>
              <w:spacing w:line="240" w:lineRule="auto"/>
              <w:ind w:firstLine="0" w:firstLineChars="0"/>
              <w:jc w:val="center"/>
              <w:rPr>
                <w:sz w:val="21"/>
                <w:szCs w:val="21"/>
                <w:u w:val="single"/>
              </w:rPr>
            </w:pPr>
          </w:p>
        </w:tc>
        <w:tc>
          <w:tcPr>
            <w:tcW w:w="849" w:type="dxa"/>
            <w:vMerge w:val="restart"/>
            <w:vAlign w:val="center"/>
          </w:tcPr>
          <w:p w14:paraId="52F972DE">
            <w:pPr>
              <w:spacing w:line="240" w:lineRule="auto"/>
              <w:ind w:firstLine="0" w:firstLineChars="0"/>
              <w:jc w:val="center"/>
              <w:rPr>
                <w:sz w:val="21"/>
                <w:szCs w:val="21"/>
                <w:u w:val="single"/>
              </w:rPr>
            </w:pPr>
            <w:r>
              <w:rPr>
                <w:sz w:val="21"/>
                <w:szCs w:val="21"/>
                <w:u w:val="single"/>
              </w:rPr>
              <w:t>G1-2</w:t>
            </w:r>
          </w:p>
        </w:tc>
        <w:tc>
          <w:tcPr>
            <w:tcW w:w="1414" w:type="dxa"/>
            <w:gridSpan w:val="2"/>
            <w:vAlign w:val="center"/>
          </w:tcPr>
          <w:p w14:paraId="46B8A316">
            <w:pPr>
              <w:spacing w:line="240" w:lineRule="auto"/>
              <w:ind w:firstLine="0" w:firstLineChars="0"/>
              <w:jc w:val="center"/>
              <w:rPr>
                <w:sz w:val="21"/>
                <w:szCs w:val="21"/>
                <w:u w:val="single"/>
              </w:rPr>
            </w:pPr>
            <w:r>
              <w:rPr>
                <w:sz w:val="21"/>
                <w:szCs w:val="21"/>
                <w:u w:val="single"/>
              </w:rPr>
              <w:t>CO</w:t>
            </w:r>
            <w:r>
              <w:rPr>
                <w:sz w:val="21"/>
                <w:szCs w:val="21"/>
                <w:u w:val="single"/>
                <w:vertAlign w:val="subscript"/>
              </w:rPr>
              <w:t>2</w:t>
            </w:r>
          </w:p>
        </w:tc>
        <w:tc>
          <w:tcPr>
            <w:tcW w:w="1277" w:type="dxa"/>
            <w:gridSpan w:val="2"/>
            <w:vAlign w:val="center"/>
          </w:tcPr>
          <w:p w14:paraId="3455672C">
            <w:pPr>
              <w:spacing w:line="240" w:lineRule="auto"/>
              <w:ind w:firstLine="0" w:firstLineChars="0"/>
              <w:jc w:val="center"/>
              <w:rPr>
                <w:sz w:val="21"/>
                <w:szCs w:val="21"/>
                <w:u w:val="single"/>
              </w:rPr>
            </w:pPr>
            <w:r>
              <w:rPr>
                <w:rFonts w:hint="eastAsia"/>
                <w:sz w:val="21"/>
                <w:szCs w:val="21"/>
                <w:u w:val="single"/>
              </w:rPr>
              <w:t>34.72</w:t>
            </w:r>
          </w:p>
        </w:tc>
        <w:tc>
          <w:tcPr>
            <w:tcW w:w="793" w:type="dxa"/>
            <w:vMerge w:val="restart"/>
            <w:vAlign w:val="center"/>
          </w:tcPr>
          <w:p w14:paraId="4B63D734">
            <w:pPr>
              <w:spacing w:line="240" w:lineRule="auto"/>
              <w:ind w:firstLine="0" w:firstLineChars="0"/>
              <w:jc w:val="center"/>
              <w:rPr>
                <w:sz w:val="21"/>
                <w:szCs w:val="21"/>
                <w:u w:val="single"/>
              </w:rPr>
            </w:pPr>
            <w:r>
              <w:rPr>
                <w:rFonts w:hint="eastAsia"/>
                <w:sz w:val="21"/>
                <w:szCs w:val="21"/>
                <w:u w:val="single"/>
              </w:rPr>
              <w:t>35.4</w:t>
            </w:r>
          </w:p>
        </w:tc>
      </w:tr>
      <w:tr w14:paraId="79514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027D4AE7">
            <w:pPr>
              <w:spacing w:line="240" w:lineRule="auto"/>
              <w:ind w:firstLine="0" w:firstLineChars="0"/>
              <w:jc w:val="center"/>
              <w:rPr>
                <w:sz w:val="21"/>
                <w:szCs w:val="21"/>
                <w:u w:val="single"/>
              </w:rPr>
            </w:pPr>
          </w:p>
        </w:tc>
        <w:tc>
          <w:tcPr>
            <w:tcW w:w="1557" w:type="dxa"/>
            <w:gridSpan w:val="2"/>
            <w:vAlign w:val="center"/>
          </w:tcPr>
          <w:p w14:paraId="1BAF2C0E">
            <w:pPr>
              <w:spacing w:line="240" w:lineRule="auto"/>
              <w:ind w:firstLine="0" w:firstLineChars="0"/>
              <w:jc w:val="center"/>
              <w:rPr>
                <w:sz w:val="21"/>
                <w:szCs w:val="21"/>
                <w:u w:val="single"/>
              </w:rPr>
            </w:pPr>
          </w:p>
        </w:tc>
        <w:tc>
          <w:tcPr>
            <w:tcW w:w="849" w:type="dxa"/>
            <w:vMerge w:val="continue"/>
            <w:vAlign w:val="center"/>
          </w:tcPr>
          <w:p w14:paraId="2A39C80B">
            <w:pPr>
              <w:spacing w:line="240" w:lineRule="auto"/>
              <w:ind w:firstLine="0" w:firstLineChars="0"/>
              <w:jc w:val="center"/>
              <w:rPr>
                <w:sz w:val="21"/>
                <w:szCs w:val="21"/>
                <w:u w:val="single"/>
              </w:rPr>
            </w:pPr>
          </w:p>
        </w:tc>
        <w:tc>
          <w:tcPr>
            <w:tcW w:w="1414" w:type="dxa"/>
            <w:gridSpan w:val="2"/>
            <w:vAlign w:val="center"/>
          </w:tcPr>
          <w:p w14:paraId="05BC05E6">
            <w:pPr>
              <w:spacing w:line="240" w:lineRule="auto"/>
              <w:ind w:firstLine="0" w:firstLineChars="0"/>
              <w:jc w:val="center"/>
              <w:rPr>
                <w:sz w:val="21"/>
                <w:szCs w:val="21"/>
                <w:u w:val="single"/>
              </w:rPr>
            </w:pPr>
            <w:r>
              <w:rPr>
                <w:sz w:val="21"/>
                <w:szCs w:val="21"/>
                <w:u w:val="single"/>
              </w:rPr>
              <w:t>D4</w:t>
            </w:r>
          </w:p>
        </w:tc>
        <w:tc>
          <w:tcPr>
            <w:tcW w:w="1277" w:type="dxa"/>
            <w:gridSpan w:val="2"/>
            <w:vAlign w:val="center"/>
          </w:tcPr>
          <w:p w14:paraId="193AE900">
            <w:pPr>
              <w:spacing w:line="240" w:lineRule="auto"/>
              <w:ind w:firstLine="0" w:firstLineChars="0"/>
              <w:jc w:val="center"/>
              <w:rPr>
                <w:sz w:val="21"/>
                <w:szCs w:val="21"/>
                <w:u w:val="single"/>
              </w:rPr>
            </w:pPr>
            <w:r>
              <w:rPr>
                <w:rFonts w:hint="eastAsia"/>
                <w:sz w:val="21"/>
                <w:szCs w:val="21"/>
                <w:u w:val="single"/>
              </w:rPr>
              <w:t>0.02</w:t>
            </w:r>
          </w:p>
        </w:tc>
        <w:tc>
          <w:tcPr>
            <w:tcW w:w="793" w:type="dxa"/>
            <w:vMerge w:val="continue"/>
            <w:vAlign w:val="center"/>
          </w:tcPr>
          <w:p w14:paraId="0409716E">
            <w:pPr>
              <w:spacing w:line="240" w:lineRule="auto"/>
              <w:ind w:firstLine="0" w:firstLineChars="0"/>
              <w:jc w:val="center"/>
              <w:rPr>
                <w:sz w:val="21"/>
                <w:szCs w:val="21"/>
                <w:u w:val="single"/>
              </w:rPr>
            </w:pPr>
          </w:p>
        </w:tc>
      </w:tr>
      <w:tr w14:paraId="067BC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249FC9B8">
            <w:pPr>
              <w:spacing w:line="240" w:lineRule="auto"/>
              <w:ind w:firstLine="0" w:firstLineChars="0"/>
              <w:jc w:val="center"/>
              <w:rPr>
                <w:sz w:val="21"/>
                <w:szCs w:val="21"/>
                <w:u w:val="single"/>
              </w:rPr>
            </w:pPr>
          </w:p>
        </w:tc>
        <w:tc>
          <w:tcPr>
            <w:tcW w:w="1557" w:type="dxa"/>
            <w:gridSpan w:val="2"/>
            <w:vAlign w:val="center"/>
          </w:tcPr>
          <w:p w14:paraId="210A52BD">
            <w:pPr>
              <w:spacing w:line="240" w:lineRule="auto"/>
              <w:ind w:firstLine="0" w:firstLineChars="0"/>
              <w:jc w:val="center"/>
              <w:rPr>
                <w:sz w:val="21"/>
                <w:szCs w:val="21"/>
                <w:u w:val="single"/>
              </w:rPr>
            </w:pPr>
          </w:p>
        </w:tc>
        <w:tc>
          <w:tcPr>
            <w:tcW w:w="849" w:type="dxa"/>
            <w:vMerge w:val="continue"/>
            <w:vAlign w:val="center"/>
          </w:tcPr>
          <w:p w14:paraId="2414EDA9">
            <w:pPr>
              <w:spacing w:line="240" w:lineRule="auto"/>
              <w:ind w:firstLine="0" w:firstLineChars="0"/>
              <w:jc w:val="center"/>
              <w:rPr>
                <w:sz w:val="21"/>
                <w:szCs w:val="21"/>
                <w:u w:val="single"/>
              </w:rPr>
            </w:pPr>
          </w:p>
        </w:tc>
        <w:tc>
          <w:tcPr>
            <w:tcW w:w="1414" w:type="dxa"/>
            <w:gridSpan w:val="2"/>
            <w:vAlign w:val="center"/>
          </w:tcPr>
          <w:p w14:paraId="51EE2D6E">
            <w:pPr>
              <w:spacing w:line="240" w:lineRule="auto"/>
              <w:ind w:firstLine="0" w:firstLineChars="0"/>
              <w:jc w:val="center"/>
              <w:rPr>
                <w:sz w:val="21"/>
                <w:szCs w:val="21"/>
                <w:u w:val="single"/>
              </w:rPr>
            </w:pPr>
            <w:r>
              <w:rPr>
                <w:sz w:val="21"/>
                <w:szCs w:val="21"/>
                <w:u w:val="single"/>
              </w:rPr>
              <w:t>KF99</w:t>
            </w:r>
          </w:p>
        </w:tc>
        <w:tc>
          <w:tcPr>
            <w:tcW w:w="1277" w:type="dxa"/>
            <w:gridSpan w:val="2"/>
            <w:vAlign w:val="center"/>
          </w:tcPr>
          <w:p w14:paraId="3951C847">
            <w:pPr>
              <w:spacing w:line="240" w:lineRule="auto"/>
              <w:ind w:firstLine="0" w:firstLineChars="0"/>
              <w:jc w:val="center"/>
              <w:rPr>
                <w:sz w:val="21"/>
                <w:szCs w:val="21"/>
                <w:u w:val="single"/>
              </w:rPr>
            </w:pPr>
            <w:r>
              <w:rPr>
                <w:rFonts w:hint="eastAsia"/>
                <w:sz w:val="21"/>
                <w:szCs w:val="21"/>
                <w:u w:val="single"/>
              </w:rPr>
              <w:t>0.01</w:t>
            </w:r>
          </w:p>
        </w:tc>
        <w:tc>
          <w:tcPr>
            <w:tcW w:w="793" w:type="dxa"/>
            <w:vMerge w:val="continue"/>
            <w:vAlign w:val="center"/>
          </w:tcPr>
          <w:p w14:paraId="117D142D">
            <w:pPr>
              <w:spacing w:line="240" w:lineRule="auto"/>
              <w:ind w:firstLine="0" w:firstLineChars="0"/>
              <w:jc w:val="center"/>
              <w:rPr>
                <w:sz w:val="21"/>
                <w:szCs w:val="21"/>
                <w:u w:val="single"/>
              </w:rPr>
            </w:pPr>
          </w:p>
        </w:tc>
      </w:tr>
      <w:tr w14:paraId="3587B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1DA136E2">
            <w:pPr>
              <w:spacing w:line="240" w:lineRule="auto"/>
              <w:ind w:firstLine="0" w:firstLineChars="0"/>
              <w:jc w:val="center"/>
              <w:rPr>
                <w:sz w:val="21"/>
                <w:szCs w:val="21"/>
                <w:u w:val="single"/>
              </w:rPr>
            </w:pPr>
          </w:p>
        </w:tc>
        <w:tc>
          <w:tcPr>
            <w:tcW w:w="1557" w:type="dxa"/>
            <w:gridSpan w:val="2"/>
            <w:vAlign w:val="center"/>
          </w:tcPr>
          <w:p w14:paraId="4CC33832">
            <w:pPr>
              <w:spacing w:line="240" w:lineRule="auto"/>
              <w:ind w:firstLine="0" w:firstLineChars="0"/>
              <w:jc w:val="center"/>
              <w:rPr>
                <w:sz w:val="21"/>
                <w:szCs w:val="21"/>
                <w:u w:val="single"/>
              </w:rPr>
            </w:pPr>
          </w:p>
        </w:tc>
        <w:tc>
          <w:tcPr>
            <w:tcW w:w="849" w:type="dxa"/>
            <w:vMerge w:val="continue"/>
            <w:vAlign w:val="center"/>
          </w:tcPr>
          <w:p w14:paraId="784FA390">
            <w:pPr>
              <w:spacing w:line="240" w:lineRule="auto"/>
              <w:ind w:firstLine="0" w:firstLineChars="0"/>
              <w:jc w:val="center"/>
              <w:rPr>
                <w:sz w:val="21"/>
                <w:szCs w:val="21"/>
                <w:u w:val="single"/>
              </w:rPr>
            </w:pPr>
          </w:p>
        </w:tc>
        <w:tc>
          <w:tcPr>
            <w:tcW w:w="1414" w:type="dxa"/>
            <w:gridSpan w:val="2"/>
            <w:vAlign w:val="center"/>
          </w:tcPr>
          <w:p w14:paraId="2242BD81">
            <w:pPr>
              <w:spacing w:line="240" w:lineRule="auto"/>
              <w:ind w:firstLine="0" w:firstLineChars="0"/>
              <w:jc w:val="center"/>
              <w:rPr>
                <w:sz w:val="21"/>
                <w:szCs w:val="21"/>
                <w:u w:val="single"/>
              </w:rPr>
            </w:pPr>
            <w:r>
              <w:rPr>
                <w:sz w:val="21"/>
                <w:szCs w:val="21"/>
                <w:u w:val="single"/>
              </w:rPr>
              <w:t>低含氢硅油</w:t>
            </w:r>
          </w:p>
        </w:tc>
        <w:tc>
          <w:tcPr>
            <w:tcW w:w="1277" w:type="dxa"/>
            <w:gridSpan w:val="2"/>
            <w:vAlign w:val="center"/>
          </w:tcPr>
          <w:p w14:paraId="756CD0CE">
            <w:pPr>
              <w:spacing w:line="240" w:lineRule="auto"/>
              <w:ind w:firstLine="0" w:firstLineChars="0"/>
              <w:jc w:val="center"/>
              <w:rPr>
                <w:sz w:val="21"/>
                <w:szCs w:val="21"/>
                <w:u w:val="single"/>
              </w:rPr>
            </w:pPr>
            <w:r>
              <w:rPr>
                <w:rFonts w:hint="eastAsia"/>
                <w:sz w:val="21"/>
                <w:szCs w:val="21"/>
                <w:u w:val="single"/>
              </w:rPr>
              <w:t>0.13</w:t>
            </w:r>
          </w:p>
        </w:tc>
        <w:tc>
          <w:tcPr>
            <w:tcW w:w="793" w:type="dxa"/>
            <w:vMerge w:val="continue"/>
            <w:vAlign w:val="center"/>
          </w:tcPr>
          <w:p w14:paraId="6A9371F5">
            <w:pPr>
              <w:spacing w:line="240" w:lineRule="auto"/>
              <w:ind w:firstLine="0" w:firstLineChars="0"/>
              <w:jc w:val="center"/>
              <w:rPr>
                <w:sz w:val="21"/>
                <w:szCs w:val="21"/>
                <w:u w:val="single"/>
              </w:rPr>
            </w:pPr>
          </w:p>
        </w:tc>
      </w:tr>
      <w:tr w14:paraId="7BAA7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773465AC">
            <w:pPr>
              <w:spacing w:line="240" w:lineRule="auto"/>
              <w:ind w:firstLine="0" w:firstLineChars="0"/>
              <w:jc w:val="center"/>
              <w:rPr>
                <w:sz w:val="21"/>
                <w:szCs w:val="21"/>
                <w:u w:val="single"/>
              </w:rPr>
            </w:pPr>
          </w:p>
        </w:tc>
        <w:tc>
          <w:tcPr>
            <w:tcW w:w="1557" w:type="dxa"/>
            <w:gridSpan w:val="2"/>
            <w:vAlign w:val="center"/>
          </w:tcPr>
          <w:p w14:paraId="302D6EB2">
            <w:pPr>
              <w:spacing w:line="240" w:lineRule="auto"/>
              <w:ind w:firstLine="0" w:firstLineChars="0"/>
              <w:jc w:val="center"/>
              <w:rPr>
                <w:sz w:val="21"/>
                <w:szCs w:val="21"/>
                <w:u w:val="single"/>
              </w:rPr>
            </w:pPr>
          </w:p>
        </w:tc>
        <w:tc>
          <w:tcPr>
            <w:tcW w:w="849" w:type="dxa"/>
            <w:vMerge w:val="continue"/>
            <w:vAlign w:val="center"/>
          </w:tcPr>
          <w:p w14:paraId="59FC7C34">
            <w:pPr>
              <w:spacing w:line="240" w:lineRule="auto"/>
              <w:ind w:firstLine="0" w:firstLineChars="0"/>
              <w:jc w:val="center"/>
              <w:rPr>
                <w:sz w:val="21"/>
                <w:szCs w:val="21"/>
                <w:u w:val="single"/>
              </w:rPr>
            </w:pPr>
          </w:p>
        </w:tc>
        <w:tc>
          <w:tcPr>
            <w:tcW w:w="1414" w:type="dxa"/>
            <w:gridSpan w:val="2"/>
            <w:vAlign w:val="center"/>
          </w:tcPr>
          <w:p w14:paraId="4635B30D">
            <w:pPr>
              <w:spacing w:line="240" w:lineRule="auto"/>
              <w:ind w:firstLine="0" w:firstLineChars="0"/>
              <w:jc w:val="center"/>
              <w:rPr>
                <w:sz w:val="21"/>
                <w:szCs w:val="21"/>
                <w:u w:val="single"/>
              </w:rPr>
            </w:pPr>
            <w:r>
              <w:rPr>
                <w:sz w:val="21"/>
                <w:szCs w:val="21"/>
                <w:u w:val="single"/>
              </w:rPr>
              <w:t>水蒸汽</w:t>
            </w:r>
          </w:p>
        </w:tc>
        <w:tc>
          <w:tcPr>
            <w:tcW w:w="1277" w:type="dxa"/>
            <w:gridSpan w:val="2"/>
            <w:vAlign w:val="center"/>
          </w:tcPr>
          <w:p w14:paraId="1522E399">
            <w:pPr>
              <w:spacing w:line="240" w:lineRule="auto"/>
              <w:ind w:firstLine="0" w:firstLineChars="0"/>
              <w:jc w:val="center"/>
              <w:rPr>
                <w:sz w:val="21"/>
                <w:szCs w:val="21"/>
                <w:u w:val="single"/>
              </w:rPr>
            </w:pPr>
            <w:r>
              <w:rPr>
                <w:rFonts w:hint="eastAsia"/>
                <w:sz w:val="21"/>
                <w:szCs w:val="21"/>
                <w:u w:val="single"/>
              </w:rPr>
              <w:t>0.74</w:t>
            </w:r>
          </w:p>
        </w:tc>
        <w:tc>
          <w:tcPr>
            <w:tcW w:w="793" w:type="dxa"/>
            <w:vMerge w:val="continue"/>
            <w:vAlign w:val="center"/>
          </w:tcPr>
          <w:p w14:paraId="7682314E">
            <w:pPr>
              <w:spacing w:line="240" w:lineRule="auto"/>
              <w:ind w:firstLine="0" w:firstLineChars="0"/>
              <w:jc w:val="center"/>
              <w:rPr>
                <w:sz w:val="21"/>
                <w:szCs w:val="21"/>
                <w:u w:val="single"/>
              </w:rPr>
            </w:pPr>
          </w:p>
        </w:tc>
      </w:tr>
      <w:tr w14:paraId="49541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5310AFBE">
            <w:pPr>
              <w:spacing w:line="240" w:lineRule="auto"/>
              <w:ind w:firstLine="0" w:firstLineChars="0"/>
              <w:jc w:val="center"/>
              <w:rPr>
                <w:sz w:val="21"/>
                <w:szCs w:val="21"/>
                <w:u w:val="single"/>
              </w:rPr>
            </w:pPr>
          </w:p>
        </w:tc>
        <w:tc>
          <w:tcPr>
            <w:tcW w:w="1557" w:type="dxa"/>
            <w:gridSpan w:val="2"/>
            <w:vAlign w:val="center"/>
          </w:tcPr>
          <w:p w14:paraId="4232E484">
            <w:pPr>
              <w:spacing w:line="240" w:lineRule="auto"/>
              <w:ind w:firstLine="0" w:firstLineChars="0"/>
              <w:jc w:val="center"/>
              <w:rPr>
                <w:sz w:val="21"/>
                <w:szCs w:val="21"/>
                <w:u w:val="single"/>
              </w:rPr>
            </w:pPr>
          </w:p>
        </w:tc>
        <w:tc>
          <w:tcPr>
            <w:tcW w:w="849" w:type="dxa"/>
            <w:vMerge w:val="restart"/>
            <w:vAlign w:val="center"/>
          </w:tcPr>
          <w:p w14:paraId="35756349">
            <w:pPr>
              <w:spacing w:line="240" w:lineRule="auto"/>
              <w:ind w:firstLine="0" w:firstLineChars="0"/>
              <w:jc w:val="center"/>
              <w:rPr>
                <w:sz w:val="21"/>
                <w:szCs w:val="21"/>
                <w:u w:val="single"/>
              </w:rPr>
            </w:pPr>
            <w:r>
              <w:rPr>
                <w:sz w:val="21"/>
                <w:szCs w:val="21"/>
                <w:u w:val="single"/>
              </w:rPr>
              <w:t>G1-</w:t>
            </w:r>
            <w:r>
              <w:rPr>
                <w:rFonts w:hint="eastAsia"/>
                <w:sz w:val="21"/>
                <w:szCs w:val="21"/>
                <w:u w:val="single"/>
              </w:rPr>
              <w:t>3</w:t>
            </w:r>
          </w:p>
        </w:tc>
        <w:tc>
          <w:tcPr>
            <w:tcW w:w="1414" w:type="dxa"/>
            <w:gridSpan w:val="2"/>
            <w:vAlign w:val="center"/>
          </w:tcPr>
          <w:p w14:paraId="736EBE5C">
            <w:pPr>
              <w:spacing w:line="240" w:lineRule="auto"/>
              <w:ind w:firstLine="0" w:firstLineChars="0"/>
              <w:jc w:val="center"/>
              <w:rPr>
                <w:sz w:val="21"/>
                <w:szCs w:val="21"/>
                <w:u w:val="single"/>
              </w:rPr>
            </w:pPr>
            <w:r>
              <w:rPr>
                <w:sz w:val="21"/>
                <w:szCs w:val="21"/>
                <w:u w:val="single"/>
              </w:rPr>
              <w:t>氮气</w:t>
            </w:r>
          </w:p>
        </w:tc>
        <w:tc>
          <w:tcPr>
            <w:tcW w:w="1277" w:type="dxa"/>
            <w:gridSpan w:val="2"/>
            <w:vAlign w:val="center"/>
          </w:tcPr>
          <w:p w14:paraId="7A89BD43">
            <w:pPr>
              <w:spacing w:line="240" w:lineRule="auto"/>
              <w:ind w:firstLine="0" w:firstLineChars="0"/>
              <w:jc w:val="center"/>
              <w:rPr>
                <w:sz w:val="21"/>
                <w:szCs w:val="21"/>
                <w:u w:val="single"/>
              </w:rPr>
            </w:pPr>
            <w:r>
              <w:rPr>
                <w:sz w:val="21"/>
                <w:szCs w:val="21"/>
                <w:u w:val="single"/>
              </w:rPr>
              <w:t>6.5</w:t>
            </w:r>
          </w:p>
        </w:tc>
        <w:tc>
          <w:tcPr>
            <w:tcW w:w="793" w:type="dxa"/>
            <w:vMerge w:val="restart"/>
            <w:vAlign w:val="center"/>
          </w:tcPr>
          <w:p w14:paraId="112EBEA2">
            <w:pPr>
              <w:spacing w:line="240" w:lineRule="auto"/>
              <w:ind w:firstLine="0" w:firstLineChars="0"/>
              <w:jc w:val="center"/>
              <w:rPr>
                <w:sz w:val="21"/>
                <w:szCs w:val="21"/>
                <w:u w:val="single"/>
              </w:rPr>
            </w:pPr>
            <w:r>
              <w:rPr>
                <w:rFonts w:hint="eastAsia"/>
                <w:sz w:val="21"/>
                <w:szCs w:val="21"/>
                <w:u w:val="single"/>
              </w:rPr>
              <w:t>10.09</w:t>
            </w:r>
          </w:p>
        </w:tc>
      </w:tr>
      <w:tr w14:paraId="44FE7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3A7A3BB3">
            <w:pPr>
              <w:spacing w:line="240" w:lineRule="auto"/>
              <w:ind w:firstLine="0" w:firstLineChars="0"/>
              <w:jc w:val="center"/>
              <w:rPr>
                <w:sz w:val="21"/>
                <w:szCs w:val="21"/>
                <w:u w:val="single"/>
              </w:rPr>
            </w:pPr>
          </w:p>
        </w:tc>
        <w:tc>
          <w:tcPr>
            <w:tcW w:w="1557" w:type="dxa"/>
            <w:gridSpan w:val="2"/>
            <w:vAlign w:val="center"/>
          </w:tcPr>
          <w:p w14:paraId="7E511D36">
            <w:pPr>
              <w:spacing w:line="240" w:lineRule="auto"/>
              <w:ind w:firstLine="0" w:firstLineChars="0"/>
              <w:jc w:val="center"/>
              <w:rPr>
                <w:sz w:val="21"/>
                <w:szCs w:val="21"/>
                <w:u w:val="single"/>
              </w:rPr>
            </w:pPr>
          </w:p>
        </w:tc>
        <w:tc>
          <w:tcPr>
            <w:tcW w:w="849" w:type="dxa"/>
            <w:vMerge w:val="continue"/>
            <w:vAlign w:val="center"/>
          </w:tcPr>
          <w:p w14:paraId="08DAA2FF">
            <w:pPr>
              <w:spacing w:line="240" w:lineRule="auto"/>
              <w:ind w:firstLine="0" w:firstLineChars="0"/>
              <w:jc w:val="center"/>
              <w:rPr>
                <w:sz w:val="21"/>
                <w:szCs w:val="21"/>
                <w:u w:val="single"/>
              </w:rPr>
            </w:pPr>
          </w:p>
        </w:tc>
        <w:tc>
          <w:tcPr>
            <w:tcW w:w="1414" w:type="dxa"/>
            <w:gridSpan w:val="2"/>
            <w:vAlign w:val="center"/>
          </w:tcPr>
          <w:p w14:paraId="46ABC636">
            <w:pPr>
              <w:spacing w:line="240" w:lineRule="auto"/>
              <w:ind w:firstLine="0" w:firstLineChars="0"/>
              <w:jc w:val="center"/>
              <w:rPr>
                <w:sz w:val="21"/>
                <w:szCs w:val="21"/>
                <w:u w:val="single"/>
              </w:rPr>
            </w:pPr>
            <w:r>
              <w:rPr>
                <w:sz w:val="21"/>
                <w:szCs w:val="21"/>
                <w:u w:val="single"/>
              </w:rPr>
              <w:t>D4</w:t>
            </w:r>
          </w:p>
        </w:tc>
        <w:tc>
          <w:tcPr>
            <w:tcW w:w="1277" w:type="dxa"/>
            <w:gridSpan w:val="2"/>
            <w:vAlign w:val="center"/>
          </w:tcPr>
          <w:p w14:paraId="46DFDA96">
            <w:pPr>
              <w:spacing w:line="240" w:lineRule="auto"/>
              <w:ind w:firstLine="0" w:firstLineChars="0"/>
              <w:jc w:val="center"/>
              <w:rPr>
                <w:sz w:val="21"/>
                <w:szCs w:val="21"/>
                <w:u w:val="single"/>
              </w:rPr>
            </w:pPr>
            <w:r>
              <w:rPr>
                <w:rFonts w:hint="eastAsia"/>
                <w:sz w:val="21"/>
                <w:szCs w:val="21"/>
                <w:u w:val="single"/>
              </w:rPr>
              <w:t>0.03</w:t>
            </w:r>
          </w:p>
        </w:tc>
        <w:tc>
          <w:tcPr>
            <w:tcW w:w="793" w:type="dxa"/>
            <w:vMerge w:val="continue"/>
          </w:tcPr>
          <w:p w14:paraId="14D18596">
            <w:pPr>
              <w:spacing w:line="240" w:lineRule="auto"/>
              <w:ind w:firstLine="0" w:firstLineChars="0"/>
              <w:jc w:val="center"/>
              <w:rPr>
                <w:sz w:val="21"/>
                <w:szCs w:val="21"/>
                <w:u w:val="single"/>
              </w:rPr>
            </w:pPr>
          </w:p>
        </w:tc>
      </w:tr>
      <w:tr w14:paraId="25C6A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722EA3B4">
            <w:pPr>
              <w:spacing w:line="240" w:lineRule="auto"/>
              <w:ind w:firstLine="0" w:firstLineChars="0"/>
              <w:jc w:val="center"/>
              <w:rPr>
                <w:sz w:val="21"/>
                <w:szCs w:val="21"/>
                <w:u w:val="single"/>
              </w:rPr>
            </w:pPr>
          </w:p>
        </w:tc>
        <w:tc>
          <w:tcPr>
            <w:tcW w:w="1557" w:type="dxa"/>
            <w:gridSpan w:val="2"/>
            <w:vAlign w:val="center"/>
          </w:tcPr>
          <w:p w14:paraId="024B213D">
            <w:pPr>
              <w:spacing w:line="240" w:lineRule="auto"/>
              <w:ind w:firstLine="0" w:firstLineChars="0"/>
              <w:jc w:val="center"/>
              <w:rPr>
                <w:sz w:val="21"/>
                <w:szCs w:val="21"/>
                <w:u w:val="single"/>
              </w:rPr>
            </w:pPr>
          </w:p>
        </w:tc>
        <w:tc>
          <w:tcPr>
            <w:tcW w:w="849" w:type="dxa"/>
            <w:vMerge w:val="continue"/>
            <w:vAlign w:val="center"/>
          </w:tcPr>
          <w:p w14:paraId="1746C38E">
            <w:pPr>
              <w:spacing w:line="240" w:lineRule="auto"/>
              <w:ind w:firstLine="0" w:firstLineChars="0"/>
              <w:jc w:val="center"/>
              <w:rPr>
                <w:sz w:val="21"/>
                <w:szCs w:val="21"/>
                <w:u w:val="single"/>
              </w:rPr>
            </w:pPr>
          </w:p>
        </w:tc>
        <w:tc>
          <w:tcPr>
            <w:tcW w:w="1414" w:type="dxa"/>
            <w:gridSpan w:val="2"/>
            <w:vAlign w:val="center"/>
          </w:tcPr>
          <w:p w14:paraId="10C8E061">
            <w:pPr>
              <w:spacing w:line="240" w:lineRule="auto"/>
              <w:ind w:firstLine="0" w:firstLineChars="0"/>
              <w:jc w:val="center"/>
              <w:rPr>
                <w:sz w:val="21"/>
                <w:szCs w:val="21"/>
                <w:u w:val="single"/>
              </w:rPr>
            </w:pPr>
            <w:r>
              <w:rPr>
                <w:sz w:val="21"/>
                <w:szCs w:val="21"/>
                <w:u w:val="single"/>
              </w:rPr>
              <w:t>KF99</w:t>
            </w:r>
          </w:p>
        </w:tc>
        <w:tc>
          <w:tcPr>
            <w:tcW w:w="1277" w:type="dxa"/>
            <w:gridSpan w:val="2"/>
            <w:vAlign w:val="center"/>
          </w:tcPr>
          <w:p w14:paraId="05549FCA">
            <w:pPr>
              <w:spacing w:line="240" w:lineRule="auto"/>
              <w:ind w:firstLine="0" w:firstLineChars="0"/>
              <w:jc w:val="center"/>
              <w:rPr>
                <w:sz w:val="21"/>
                <w:szCs w:val="21"/>
                <w:u w:val="single"/>
              </w:rPr>
            </w:pPr>
            <w:r>
              <w:rPr>
                <w:rFonts w:hint="eastAsia"/>
                <w:sz w:val="21"/>
                <w:szCs w:val="21"/>
                <w:u w:val="single"/>
              </w:rPr>
              <w:t>0.01</w:t>
            </w:r>
          </w:p>
        </w:tc>
        <w:tc>
          <w:tcPr>
            <w:tcW w:w="793" w:type="dxa"/>
            <w:vMerge w:val="continue"/>
            <w:vAlign w:val="center"/>
          </w:tcPr>
          <w:p w14:paraId="1A82C4DA">
            <w:pPr>
              <w:spacing w:line="240" w:lineRule="auto"/>
              <w:ind w:firstLine="0" w:firstLineChars="0"/>
              <w:jc w:val="center"/>
              <w:rPr>
                <w:sz w:val="21"/>
                <w:szCs w:val="21"/>
                <w:u w:val="single"/>
              </w:rPr>
            </w:pPr>
          </w:p>
        </w:tc>
      </w:tr>
      <w:tr w14:paraId="47CC4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51511B7D">
            <w:pPr>
              <w:spacing w:line="240" w:lineRule="auto"/>
              <w:ind w:firstLine="0" w:firstLineChars="0"/>
              <w:jc w:val="center"/>
              <w:rPr>
                <w:sz w:val="21"/>
                <w:szCs w:val="21"/>
                <w:u w:val="single"/>
              </w:rPr>
            </w:pPr>
          </w:p>
        </w:tc>
        <w:tc>
          <w:tcPr>
            <w:tcW w:w="1557" w:type="dxa"/>
            <w:gridSpan w:val="2"/>
            <w:vAlign w:val="center"/>
          </w:tcPr>
          <w:p w14:paraId="2F985F3B">
            <w:pPr>
              <w:spacing w:line="240" w:lineRule="auto"/>
              <w:ind w:firstLine="0" w:firstLineChars="0"/>
              <w:jc w:val="center"/>
              <w:rPr>
                <w:sz w:val="21"/>
                <w:szCs w:val="21"/>
                <w:u w:val="single"/>
              </w:rPr>
            </w:pPr>
          </w:p>
        </w:tc>
        <w:tc>
          <w:tcPr>
            <w:tcW w:w="849" w:type="dxa"/>
            <w:vMerge w:val="continue"/>
            <w:vAlign w:val="center"/>
          </w:tcPr>
          <w:p w14:paraId="038A2597">
            <w:pPr>
              <w:spacing w:line="240" w:lineRule="auto"/>
              <w:ind w:firstLine="0" w:firstLineChars="0"/>
              <w:jc w:val="center"/>
              <w:rPr>
                <w:sz w:val="21"/>
                <w:szCs w:val="21"/>
                <w:u w:val="single"/>
              </w:rPr>
            </w:pPr>
          </w:p>
        </w:tc>
        <w:tc>
          <w:tcPr>
            <w:tcW w:w="1414" w:type="dxa"/>
            <w:gridSpan w:val="2"/>
            <w:vAlign w:val="center"/>
          </w:tcPr>
          <w:p w14:paraId="65D0CC73">
            <w:pPr>
              <w:spacing w:line="240" w:lineRule="auto"/>
              <w:ind w:firstLine="0" w:firstLineChars="0"/>
              <w:jc w:val="center"/>
              <w:rPr>
                <w:sz w:val="21"/>
                <w:szCs w:val="21"/>
                <w:u w:val="single"/>
              </w:rPr>
            </w:pPr>
            <w:r>
              <w:rPr>
                <w:sz w:val="21"/>
                <w:szCs w:val="21"/>
                <w:u w:val="single"/>
              </w:rPr>
              <w:t>低含氢硅油</w:t>
            </w:r>
          </w:p>
        </w:tc>
        <w:tc>
          <w:tcPr>
            <w:tcW w:w="1277" w:type="dxa"/>
            <w:gridSpan w:val="2"/>
            <w:vAlign w:val="center"/>
          </w:tcPr>
          <w:p w14:paraId="16403345">
            <w:pPr>
              <w:spacing w:line="240" w:lineRule="auto"/>
              <w:ind w:firstLine="0" w:firstLineChars="0"/>
              <w:jc w:val="center"/>
              <w:rPr>
                <w:sz w:val="21"/>
                <w:szCs w:val="21"/>
                <w:u w:val="single"/>
              </w:rPr>
            </w:pPr>
            <w:r>
              <w:rPr>
                <w:rFonts w:hint="eastAsia"/>
                <w:sz w:val="21"/>
                <w:szCs w:val="21"/>
                <w:u w:val="single"/>
              </w:rPr>
              <w:t>0.1</w:t>
            </w:r>
            <w:r>
              <w:rPr>
                <w:sz w:val="21"/>
                <w:szCs w:val="21"/>
                <w:u w:val="single"/>
              </w:rPr>
              <w:t>8</w:t>
            </w:r>
          </w:p>
        </w:tc>
        <w:tc>
          <w:tcPr>
            <w:tcW w:w="793" w:type="dxa"/>
            <w:vMerge w:val="continue"/>
            <w:vAlign w:val="center"/>
          </w:tcPr>
          <w:p w14:paraId="37FB893A">
            <w:pPr>
              <w:spacing w:line="240" w:lineRule="auto"/>
              <w:ind w:firstLine="0" w:firstLineChars="0"/>
              <w:jc w:val="center"/>
              <w:rPr>
                <w:sz w:val="21"/>
                <w:szCs w:val="21"/>
                <w:u w:val="single"/>
              </w:rPr>
            </w:pPr>
          </w:p>
        </w:tc>
      </w:tr>
      <w:tr w14:paraId="3BBC2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01FA8827">
            <w:pPr>
              <w:spacing w:line="240" w:lineRule="auto"/>
              <w:ind w:firstLine="0" w:firstLineChars="0"/>
              <w:jc w:val="center"/>
              <w:rPr>
                <w:sz w:val="21"/>
                <w:szCs w:val="21"/>
                <w:u w:val="single"/>
              </w:rPr>
            </w:pPr>
          </w:p>
        </w:tc>
        <w:tc>
          <w:tcPr>
            <w:tcW w:w="1557" w:type="dxa"/>
            <w:gridSpan w:val="2"/>
            <w:vAlign w:val="center"/>
          </w:tcPr>
          <w:p w14:paraId="0345E4D0">
            <w:pPr>
              <w:spacing w:line="240" w:lineRule="auto"/>
              <w:ind w:firstLine="0" w:firstLineChars="0"/>
              <w:jc w:val="center"/>
              <w:rPr>
                <w:sz w:val="21"/>
                <w:szCs w:val="21"/>
                <w:u w:val="single"/>
              </w:rPr>
            </w:pPr>
          </w:p>
        </w:tc>
        <w:tc>
          <w:tcPr>
            <w:tcW w:w="849" w:type="dxa"/>
            <w:vMerge w:val="continue"/>
            <w:vAlign w:val="center"/>
          </w:tcPr>
          <w:p w14:paraId="2B67AC39">
            <w:pPr>
              <w:spacing w:line="240" w:lineRule="auto"/>
              <w:ind w:firstLine="0" w:firstLineChars="0"/>
              <w:jc w:val="center"/>
              <w:rPr>
                <w:sz w:val="21"/>
                <w:szCs w:val="21"/>
                <w:u w:val="single"/>
              </w:rPr>
            </w:pPr>
          </w:p>
        </w:tc>
        <w:tc>
          <w:tcPr>
            <w:tcW w:w="1414" w:type="dxa"/>
            <w:gridSpan w:val="2"/>
            <w:vAlign w:val="center"/>
          </w:tcPr>
          <w:p w14:paraId="4346DB12">
            <w:pPr>
              <w:spacing w:line="240" w:lineRule="auto"/>
              <w:ind w:firstLine="0" w:firstLineChars="0"/>
              <w:jc w:val="center"/>
              <w:rPr>
                <w:sz w:val="21"/>
                <w:szCs w:val="21"/>
                <w:u w:val="single"/>
              </w:rPr>
            </w:pPr>
            <w:r>
              <w:rPr>
                <w:sz w:val="21"/>
                <w:szCs w:val="21"/>
                <w:u w:val="single"/>
              </w:rPr>
              <w:t>二丙二醇</w:t>
            </w:r>
          </w:p>
        </w:tc>
        <w:tc>
          <w:tcPr>
            <w:tcW w:w="1277" w:type="dxa"/>
            <w:gridSpan w:val="2"/>
            <w:vAlign w:val="center"/>
          </w:tcPr>
          <w:p w14:paraId="104F27F8">
            <w:pPr>
              <w:spacing w:line="240" w:lineRule="auto"/>
              <w:ind w:firstLine="0" w:firstLineChars="0"/>
              <w:jc w:val="center"/>
              <w:rPr>
                <w:sz w:val="21"/>
                <w:szCs w:val="21"/>
                <w:u w:val="single"/>
              </w:rPr>
            </w:pPr>
            <w:r>
              <w:rPr>
                <w:rFonts w:hint="eastAsia"/>
                <w:sz w:val="21"/>
                <w:szCs w:val="21"/>
                <w:u w:val="single"/>
              </w:rPr>
              <w:t>0.32</w:t>
            </w:r>
          </w:p>
        </w:tc>
        <w:tc>
          <w:tcPr>
            <w:tcW w:w="793" w:type="dxa"/>
            <w:vMerge w:val="continue"/>
            <w:vAlign w:val="center"/>
          </w:tcPr>
          <w:p w14:paraId="47BD142F">
            <w:pPr>
              <w:spacing w:line="240" w:lineRule="auto"/>
              <w:ind w:firstLine="0" w:firstLineChars="0"/>
              <w:jc w:val="center"/>
              <w:rPr>
                <w:sz w:val="21"/>
                <w:szCs w:val="21"/>
                <w:u w:val="single"/>
              </w:rPr>
            </w:pPr>
          </w:p>
        </w:tc>
      </w:tr>
      <w:tr w14:paraId="74297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3C242E8F">
            <w:pPr>
              <w:spacing w:line="240" w:lineRule="auto"/>
              <w:ind w:firstLine="0" w:firstLineChars="0"/>
              <w:jc w:val="center"/>
              <w:rPr>
                <w:sz w:val="21"/>
                <w:szCs w:val="21"/>
                <w:u w:val="single"/>
              </w:rPr>
            </w:pPr>
          </w:p>
        </w:tc>
        <w:tc>
          <w:tcPr>
            <w:tcW w:w="1557" w:type="dxa"/>
            <w:gridSpan w:val="2"/>
            <w:vAlign w:val="center"/>
          </w:tcPr>
          <w:p w14:paraId="531B05E1">
            <w:pPr>
              <w:spacing w:line="240" w:lineRule="auto"/>
              <w:ind w:firstLine="0" w:firstLineChars="0"/>
              <w:jc w:val="center"/>
              <w:rPr>
                <w:sz w:val="21"/>
                <w:szCs w:val="21"/>
                <w:u w:val="single"/>
              </w:rPr>
            </w:pPr>
          </w:p>
        </w:tc>
        <w:tc>
          <w:tcPr>
            <w:tcW w:w="849" w:type="dxa"/>
            <w:vMerge w:val="continue"/>
            <w:vAlign w:val="center"/>
          </w:tcPr>
          <w:p w14:paraId="4EBD7216">
            <w:pPr>
              <w:spacing w:line="240" w:lineRule="auto"/>
              <w:ind w:firstLine="0" w:firstLineChars="0"/>
              <w:jc w:val="center"/>
              <w:rPr>
                <w:sz w:val="21"/>
                <w:szCs w:val="21"/>
                <w:u w:val="single"/>
              </w:rPr>
            </w:pPr>
          </w:p>
        </w:tc>
        <w:tc>
          <w:tcPr>
            <w:tcW w:w="1414" w:type="dxa"/>
            <w:gridSpan w:val="2"/>
            <w:vAlign w:val="center"/>
          </w:tcPr>
          <w:p w14:paraId="54CE9EAB">
            <w:pPr>
              <w:spacing w:line="240" w:lineRule="auto"/>
              <w:ind w:firstLine="0" w:firstLineChars="0"/>
              <w:jc w:val="center"/>
              <w:rPr>
                <w:sz w:val="21"/>
                <w:szCs w:val="21"/>
                <w:u w:val="single"/>
              </w:rPr>
            </w:pPr>
            <w:r>
              <w:rPr>
                <w:sz w:val="21"/>
                <w:szCs w:val="21"/>
                <w:u w:val="single"/>
              </w:rPr>
              <w:t>HMS-215M</w:t>
            </w:r>
          </w:p>
        </w:tc>
        <w:tc>
          <w:tcPr>
            <w:tcW w:w="1277" w:type="dxa"/>
            <w:gridSpan w:val="2"/>
            <w:vAlign w:val="center"/>
          </w:tcPr>
          <w:p w14:paraId="15A9D672">
            <w:pPr>
              <w:spacing w:line="240" w:lineRule="auto"/>
              <w:ind w:firstLine="0" w:firstLineChars="0"/>
              <w:jc w:val="center"/>
              <w:rPr>
                <w:sz w:val="21"/>
                <w:szCs w:val="21"/>
                <w:u w:val="single"/>
              </w:rPr>
            </w:pPr>
            <w:r>
              <w:rPr>
                <w:rFonts w:hint="eastAsia"/>
                <w:sz w:val="21"/>
                <w:szCs w:val="21"/>
                <w:u w:val="single"/>
              </w:rPr>
              <w:t>0.19</w:t>
            </w:r>
          </w:p>
        </w:tc>
        <w:tc>
          <w:tcPr>
            <w:tcW w:w="793" w:type="dxa"/>
            <w:vMerge w:val="continue"/>
            <w:vAlign w:val="center"/>
          </w:tcPr>
          <w:p w14:paraId="2F94A277">
            <w:pPr>
              <w:spacing w:line="240" w:lineRule="auto"/>
              <w:ind w:firstLine="0" w:firstLineChars="0"/>
              <w:jc w:val="center"/>
              <w:rPr>
                <w:sz w:val="21"/>
                <w:szCs w:val="21"/>
                <w:u w:val="single"/>
              </w:rPr>
            </w:pPr>
          </w:p>
        </w:tc>
      </w:tr>
      <w:tr w14:paraId="02196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765D01A7">
            <w:pPr>
              <w:spacing w:line="240" w:lineRule="auto"/>
              <w:ind w:firstLine="0" w:firstLineChars="0"/>
              <w:jc w:val="center"/>
              <w:rPr>
                <w:sz w:val="21"/>
                <w:szCs w:val="21"/>
                <w:u w:val="single"/>
              </w:rPr>
            </w:pPr>
          </w:p>
        </w:tc>
        <w:tc>
          <w:tcPr>
            <w:tcW w:w="1557" w:type="dxa"/>
            <w:gridSpan w:val="2"/>
            <w:vAlign w:val="center"/>
          </w:tcPr>
          <w:p w14:paraId="691548BE">
            <w:pPr>
              <w:spacing w:line="240" w:lineRule="auto"/>
              <w:ind w:firstLine="0" w:firstLineChars="0"/>
              <w:jc w:val="center"/>
              <w:rPr>
                <w:sz w:val="21"/>
                <w:szCs w:val="21"/>
                <w:u w:val="single"/>
              </w:rPr>
            </w:pPr>
          </w:p>
        </w:tc>
        <w:tc>
          <w:tcPr>
            <w:tcW w:w="849" w:type="dxa"/>
            <w:vMerge w:val="continue"/>
            <w:vAlign w:val="center"/>
          </w:tcPr>
          <w:p w14:paraId="7094A292">
            <w:pPr>
              <w:spacing w:line="240" w:lineRule="auto"/>
              <w:ind w:firstLine="0" w:firstLineChars="0"/>
              <w:jc w:val="center"/>
              <w:rPr>
                <w:sz w:val="21"/>
                <w:szCs w:val="21"/>
                <w:u w:val="single"/>
              </w:rPr>
            </w:pPr>
          </w:p>
        </w:tc>
        <w:tc>
          <w:tcPr>
            <w:tcW w:w="1414" w:type="dxa"/>
            <w:gridSpan w:val="2"/>
            <w:vAlign w:val="center"/>
          </w:tcPr>
          <w:p w14:paraId="112DBD6B">
            <w:pPr>
              <w:spacing w:line="240" w:lineRule="auto"/>
              <w:ind w:firstLine="0" w:firstLineChars="0"/>
              <w:jc w:val="center"/>
              <w:rPr>
                <w:sz w:val="21"/>
                <w:szCs w:val="21"/>
                <w:u w:val="single"/>
              </w:rPr>
            </w:pPr>
            <w:r>
              <w:rPr>
                <w:sz w:val="21"/>
                <w:szCs w:val="21"/>
                <w:u w:val="single"/>
              </w:rPr>
              <w:t>HMS-218M</w:t>
            </w:r>
          </w:p>
        </w:tc>
        <w:tc>
          <w:tcPr>
            <w:tcW w:w="1277" w:type="dxa"/>
            <w:gridSpan w:val="2"/>
            <w:vAlign w:val="center"/>
          </w:tcPr>
          <w:p w14:paraId="22C86772">
            <w:pPr>
              <w:spacing w:line="240" w:lineRule="auto"/>
              <w:ind w:firstLine="0" w:firstLineChars="0"/>
              <w:jc w:val="center"/>
              <w:rPr>
                <w:sz w:val="21"/>
                <w:szCs w:val="21"/>
                <w:u w:val="single"/>
              </w:rPr>
            </w:pPr>
            <w:r>
              <w:rPr>
                <w:rFonts w:hint="eastAsia"/>
                <w:sz w:val="21"/>
                <w:szCs w:val="21"/>
                <w:u w:val="single"/>
              </w:rPr>
              <w:t>0.53</w:t>
            </w:r>
          </w:p>
        </w:tc>
        <w:tc>
          <w:tcPr>
            <w:tcW w:w="793" w:type="dxa"/>
            <w:vMerge w:val="continue"/>
            <w:vAlign w:val="center"/>
          </w:tcPr>
          <w:p w14:paraId="7D355561">
            <w:pPr>
              <w:spacing w:line="240" w:lineRule="auto"/>
              <w:ind w:firstLine="0" w:firstLineChars="0"/>
              <w:jc w:val="center"/>
              <w:rPr>
                <w:sz w:val="21"/>
                <w:szCs w:val="21"/>
                <w:u w:val="single"/>
              </w:rPr>
            </w:pPr>
          </w:p>
        </w:tc>
      </w:tr>
      <w:tr w14:paraId="2EB90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23F88418">
            <w:pPr>
              <w:spacing w:line="240" w:lineRule="auto"/>
              <w:ind w:firstLine="0" w:firstLineChars="0"/>
              <w:jc w:val="center"/>
              <w:rPr>
                <w:sz w:val="21"/>
                <w:szCs w:val="21"/>
                <w:u w:val="single"/>
              </w:rPr>
            </w:pPr>
          </w:p>
        </w:tc>
        <w:tc>
          <w:tcPr>
            <w:tcW w:w="1557" w:type="dxa"/>
            <w:gridSpan w:val="2"/>
            <w:vAlign w:val="center"/>
          </w:tcPr>
          <w:p w14:paraId="0FF04991">
            <w:pPr>
              <w:spacing w:line="240" w:lineRule="auto"/>
              <w:ind w:firstLine="0" w:firstLineChars="0"/>
              <w:jc w:val="center"/>
              <w:rPr>
                <w:sz w:val="21"/>
                <w:szCs w:val="21"/>
                <w:u w:val="single"/>
              </w:rPr>
            </w:pPr>
          </w:p>
        </w:tc>
        <w:tc>
          <w:tcPr>
            <w:tcW w:w="849" w:type="dxa"/>
            <w:vMerge w:val="continue"/>
            <w:vAlign w:val="center"/>
          </w:tcPr>
          <w:p w14:paraId="1042F6AD">
            <w:pPr>
              <w:spacing w:line="240" w:lineRule="auto"/>
              <w:ind w:firstLine="0" w:firstLineChars="0"/>
              <w:jc w:val="center"/>
              <w:rPr>
                <w:sz w:val="21"/>
                <w:szCs w:val="21"/>
                <w:u w:val="single"/>
              </w:rPr>
            </w:pPr>
          </w:p>
        </w:tc>
        <w:tc>
          <w:tcPr>
            <w:tcW w:w="1414" w:type="dxa"/>
            <w:gridSpan w:val="2"/>
            <w:vAlign w:val="center"/>
          </w:tcPr>
          <w:p w14:paraId="73FE0AC2">
            <w:pPr>
              <w:spacing w:line="240" w:lineRule="auto"/>
              <w:ind w:firstLine="0" w:firstLineChars="0"/>
              <w:jc w:val="center"/>
              <w:rPr>
                <w:sz w:val="21"/>
                <w:szCs w:val="21"/>
                <w:u w:val="single"/>
              </w:rPr>
            </w:pPr>
            <w:r>
              <w:rPr>
                <w:sz w:val="21"/>
                <w:szCs w:val="21"/>
                <w:u w:val="single"/>
              </w:rPr>
              <w:t>氧气</w:t>
            </w:r>
          </w:p>
        </w:tc>
        <w:tc>
          <w:tcPr>
            <w:tcW w:w="1277" w:type="dxa"/>
            <w:gridSpan w:val="2"/>
            <w:vAlign w:val="center"/>
          </w:tcPr>
          <w:p w14:paraId="73EFB25A">
            <w:pPr>
              <w:spacing w:line="240" w:lineRule="auto"/>
              <w:ind w:firstLine="0" w:firstLineChars="0"/>
              <w:jc w:val="center"/>
              <w:rPr>
                <w:sz w:val="21"/>
                <w:szCs w:val="21"/>
                <w:u w:val="single"/>
              </w:rPr>
            </w:pPr>
            <w:r>
              <w:rPr>
                <w:sz w:val="21"/>
                <w:szCs w:val="21"/>
                <w:u w:val="single"/>
              </w:rPr>
              <w:t>0.44</w:t>
            </w:r>
          </w:p>
        </w:tc>
        <w:tc>
          <w:tcPr>
            <w:tcW w:w="793" w:type="dxa"/>
            <w:vMerge w:val="continue"/>
            <w:vAlign w:val="center"/>
          </w:tcPr>
          <w:p w14:paraId="4D9A2CE4">
            <w:pPr>
              <w:spacing w:line="240" w:lineRule="auto"/>
              <w:ind w:firstLine="0" w:firstLineChars="0"/>
              <w:jc w:val="center"/>
              <w:rPr>
                <w:sz w:val="21"/>
                <w:szCs w:val="21"/>
                <w:u w:val="single"/>
              </w:rPr>
            </w:pPr>
          </w:p>
        </w:tc>
      </w:tr>
      <w:tr w14:paraId="03233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0C32DC96">
            <w:pPr>
              <w:spacing w:line="240" w:lineRule="auto"/>
              <w:ind w:firstLine="0" w:firstLineChars="0"/>
              <w:jc w:val="center"/>
              <w:rPr>
                <w:sz w:val="21"/>
                <w:szCs w:val="21"/>
                <w:u w:val="single"/>
              </w:rPr>
            </w:pPr>
          </w:p>
        </w:tc>
        <w:tc>
          <w:tcPr>
            <w:tcW w:w="1557" w:type="dxa"/>
            <w:gridSpan w:val="2"/>
            <w:vAlign w:val="center"/>
          </w:tcPr>
          <w:p w14:paraId="16452835">
            <w:pPr>
              <w:spacing w:line="240" w:lineRule="auto"/>
              <w:ind w:firstLine="0" w:firstLineChars="0"/>
              <w:jc w:val="center"/>
              <w:rPr>
                <w:sz w:val="21"/>
                <w:szCs w:val="21"/>
                <w:u w:val="single"/>
              </w:rPr>
            </w:pPr>
          </w:p>
        </w:tc>
        <w:tc>
          <w:tcPr>
            <w:tcW w:w="849" w:type="dxa"/>
            <w:vMerge w:val="continue"/>
            <w:vAlign w:val="center"/>
          </w:tcPr>
          <w:p w14:paraId="76243831">
            <w:pPr>
              <w:spacing w:line="240" w:lineRule="auto"/>
              <w:ind w:firstLine="0" w:firstLineChars="0"/>
              <w:jc w:val="center"/>
              <w:rPr>
                <w:sz w:val="21"/>
                <w:szCs w:val="21"/>
                <w:u w:val="single"/>
              </w:rPr>
            </w:pPr>
          </w:p>
        </w:tc>
        <w:tc>
          <w:tcPr>
            <w:tcW w:w="1414" w:type="dxa"/>
            <w:gridSpan w:val="2"/>
            <w:vAlign w:val="center"/>
          </w:tcPr>
          <w:p w14:paraId="668C9FD1">
            <w:pPr>
              <w:spacing w:line="240" w:lineRule="auto"/>
              <w:ind w:firstLine="0" w:firstLineChars="0"/>
              <w:jc w:val="center"/>
              <w:rPr>
                <w:sz w:val="21"/>
                <w:szCs w:val="21"/>
                <w:u w:val="single"/>
              </w:rPr>
            </w:pPr>
            <w:r>
              <w:rPr>
                <w:sz w:val="21"/>
                <w:szCs w:val="21"/>
                <w:u w:val="single"/>
              </w:rPr>
              <w:t>水蒸汽</w:t>
            </w:r>
          </w:p>
        </w:tc>
        <w:tc>
          <w:tcPr>
            <w:tcW w:w="1277" w:type="dxa"/>
            <w:gridSpan w:val="2"/>
            <w:vAlign w:val="center"/>
          </w:tcPr>
          <w:p w14:paraId="3BDC040C">
            <w:pPr>
              <w:spacing w:line="240" w:lineRule="auto"/>
              <w:ind w:firstLine="0" w:firstLineChars="0"/>
              <w:jc w:val="center"/>
              <w:rPr>
                <w:sz w:val="21"/>
                <w:szCs w:val="21"/>
                <w:u w:val="single"/>
              </w:rPr>
            </w:pPr>
            <w:r>
              <w:rPr>
                <w:sz w:val="21"/>
                <w:szCs w:val="21"/>
                <w:u w:val="single"/>
              </w:rPr>
              <w:t>1.</w:t>
            </w:r>
            <w:r>
              <w:rPr>
                <w:rFonts w:hint="eastAsia"/>
                <w:sz w:val="21"/>
                <w:szCs w:val="21"/>
                <w:u w:val="single"/>
              </w:rPr>
              <w:t>89</w:t>
            </w:r>
          </w:p>
        </w:tc>
        <w:tc>
          <w:tcPr>
            <w:tcW w:w="793" w:type="dxa"/>
            <w:vMerge w:val="continue"/>
            <w:vAlign w:val="center"/>
          </w:tcPr>
          <w:p w14:paraId="02940227">
            <w:pPr>
              <w:spacing w:line="240" w:lineRule="auto"/>
              <w:ind w:firstLine="0" w:firstLineChars="0"/>
              <w:jc w:val="center"/>
              <w:rPr>
                <w:sz w:val="21"/>
                <w:szCs w:val="21"/>
                <w:u w:val="single"/>
              </w:rPr>
            </w:pPr>
          </w:p>
        </w:tc>
      </w:tr>
      <w:tr w14:paraId="3CF4D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7836FF03">
            <w:pPr>
              <w:spacing w:line="240" w:lineRule="auto"/>
              <w:ind w:firstLine="0" w:firstLineChars="0"/>
              <w:jc w:val="center"/>
              <w:rPr>
                <w:sz w:val="21"/>
                <w:szCs w:val="21"/>
                <w:u w:val="single"/>
              </w:rPr>
            </w:pPr>
          </w:p>
        </w:tc>
        <w:tc>
          <w:tcPr>
            <w:tcW w:w="1557" w:type="dxa"/>
            <w:gridSpan w:val="2"/>
            <w:vAlign w:val="center"/>
          </w:tcPr>
          <w:p w14:paraId="70E21C81">
            <w:pPr>
              <w:spacing w:line="240" w:lineRule="auto"/>
              <w:ind w:firstLine="0" w:firstLineChars="0"/>
              <w:jc w:val="center"/>
              <w:rPr>
                <w:sz w:val="21"/>
                <w:szCs w:val="21"/>
                <w:u w:val="single"/>
              </w:rPr>
            </w:pPr>
          </w:p>
        </w:tc>
        <w:tc>
          <w:tcPr>
            <w:tcW w:w="849" w:type="dxa"/>
            <w:vMerge w:val="restart"/>
            <w:vAlign w:val="center"/>
          </w:tcPr>
          <w:p w14:paraId="2D6C7454">
            <w:pPr>
              <w:spacing w:line="240" w:lineRule="auto"/>
              <w:ind w:firstLine="0" w:firstLineChars="0"/>
              <w:jc w:val="center"/>
              <w:rPr>
                <w:sz w:val="21"/>
                <w:szCs w:val="21"/>
                <w:u w:val="single"/>
              </w:rPr>
            </w:pPr>
            <w:r>
              <w:rPr>
                <w:sz w:val="21"/>
                <w:szCs w:val="21"/>
                <w:u w:val="single"/>
              </w:rPr>
              <w:t>G1-</w:t>
            </w:r>
            <w:r>
              <w:rPr>
                <w:rFonts w:hint="eastAsia"/>
                <w:sz w:val="21"/>
                <w:szCs w:val="21"/>
                <w:u w:val="single"/>
              </w:rPr>
              <w:t>4</w:t>
            </w:r>
          </w:p>
        </w:tc>
        <w:tc>
          <w:tcPr>
            <w:tcW w:w="1414" w:type="dxa"/>
            <w:gridSpan w:val="2"/>
            <w:vAlign w:val="center"/>
          </w:tcPr>
          <w:p w14:paraId="34B790E9">
            <w:pPr>
              <w:spacing w:line="240" w:lineRule="auto"/>
              <w:ind w:firstLine="0" w:firstLineChars="0"/>
              <w:jc w:val="center"/>
              <w:rPr>
                <w:sz w:val="21"/>
                <w:szCs w:val="21"/>
                <w:u w:val="single"/>
              </w:rPr>
            </w:pPr>
            <w:r>
              <w:rPr>
                <w:sz w:val="21"/>
                <w:szCs w:val="21"/>
                <w:u w:val="single"/>
              </w:rPr>
              <w:t>氮气</w:t>
            </w:r>
          </w:p>
        </w:tc>
        <w:tc>
          <w:tcPr>
            <w:tcW w:w="1277" w:type="dxa"/>
            <w:gridSpan w:val="2"/>
            <w:vAlign w:val="center"/>
          </w:tcPr>
          <w:p w14:paraId="013EFEAF">
            <w:pPr>
              <w:spacing w:line="240" w:lineRule="auto"/>
              <w:ind w:firstLine="0" w:firstLineChars="0"/>
              <w:jc w:val="center"/>
              <w:rPr>
                <w:sz w:val="21"/>
                <w:szCs w:val="21"/>
                <w:u w:val="single"/>
              </w:rPr>
            </w:pPr>
            <w:r>
              <w:rPr>
                <w:sz w:val="21"/>
                <w:szCs w:val="21"/>
                <w:u w:val="single"/>
              </w:rPr>
              <w:t>6.5</w:t>
            </w:r>
          </w:p>
        </w:tc>
        <w:tc>
          <w:tcPr>
            <w:tcW w:w="793" w:type="dxa"/>
            <w:vMerge w:val="restart"/>
            <w:vAlign w:val="center"/>
          </w:tcPr>
          <w:p w14:paraId="68BD305A">
            <w:pPr>
              <w:spacing w:line="240" w:lineRule="auto"/>
              <w:ind w:firstLine="0" w:firstLineChars="0"/>
              <w:jc w:val="center"/>
              <w:rPr>
                <w:sz w:val="21"/>
                <w:szCs w:val="21"/>
                <w:u w:val="single"/>
              </w:rPr>
            </w:pPr>
            <w:r>
              <w:rPr>
                <w:sz w:val="21"/>
                <w:szCs w:val="21"/>
                <w:u w:val="single"/>
              </w:rPr>
              <w:t>28.23</w:t>
            </w:r>
          </w:p>
        </w:tc>
      </w:tr>
      <w:tr w14:paraId="64F65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16DE627C">
            <w:pPr>
              <w:spacing w:line="240" w:lineRule="auto"/>
              <w:ind w:firstLine="0" w:firstLineChars="0"/>
              <w:jc w:val="center"/>
              <w:rPr>
                <w:sz w:val="21"/>
                <w:szCs w:val="21"/>
                <w:u w:val="single"/>
              </w:rPr>
            </w:pPr>
          </w:p>
        </w:tc>
        <w:tc>
          <w:tcPr>
            <w:tcW w:w="1557" w:type="dxa"/>
            <w:gridSpan w:val="2"/>
            <w:vAlign w:val="center"/>
          </w:tcPr>
          <w:p w14:paraId="6C74E7C4">
            <w:pPr>
              <w:spacing w:line="240" w:lineRule="auto"/>
              <w:ind w:firstLine="0" w:firstLineChars="0"/>
              <w:jc w:val="center"/>
              <w:rPr>
                <w:sz w:val="21"/>
                <w:szCs w:val="21"/>
                <w:u w:val="single"/>
              </w:rPr>
            </w:pPr>
          </w:p>
        </w:tc>
        <w:tc>
          <w:tcPr>
            <w:tcW w:w="849" w:type="dxa"/>
            <w:vMerge w:val="continue"/>
            <w:vAlign w:val="center"/>
          </w:tcPr>
          <w:p w14:paraId="5BEC374C">
            <w:pPr>
              <w:spacing w:line="240" w:lineRule="auto"/>
              <w:ind w:firstLine="0" w:firstLineChars="0"/>
              <w:jc w:val="center"/>
              <w:rPr>
                <w:sz w:val="21"/>
                <w:szCs w:val="21"/>
                <w:u w:val="single"/>
              </w:rPr>
            </w:pPr>
          </w:p>
        </w:tc>
        <w:tc>
          <w:tcPr>
            <w:tcW w:w="1414" w:type="dxa"/>
            <w:gridSpan w:val="2"/>
            <w:vAlign w:val="center"/>
          </w:tcPr>
          <w:p w14:paraId="10124A6F">
            <w:pPr>
              <w:spacing w:line="240" w:lineRule="auto"/>
              <w:ind w:firstLine="0" w:firstLineChars="0"/>
              <w:jc w:val="center"/>
              <w:rPr>
                <w:sz w:val="21"/>
                <w:szCs w:val="21"/>
                <w:u w:val="single"/>
              </w:rPr>
            </w:pPr>
            <w:r>
              <w:rPr>
                <w:sz w:val="21"/>
                <w:szCs w:val="21"/>
                <w:u w:val="single"/>
              </w:rPr>
              <w:t>D4</w:t>
            </w:r>
          </w:p>
        </w:tc>
        <w:tc>
          <w:tcPr>
            <w:tcW w:w="1277" w:type="dxa"/>
            <w:gridSpan w:val="2"/>
            <w:vAlign w:val="center"/>
          </w:tcPr>
          <w:p w14:paraId="28BE466A">
            <w:pPr>
              <w:spacing w:line="240" w:lineRule="auto"/>
              <w:ind w:firstLine="0" w:firstLineChars="0"/>
              <w:jc w:val="center"/>
            </w:pPr>
            <w:r>
              <w:rPr>
                <w:rFonts w:hint="eastAsia"/>
                <w:sz w:val="21"/>
                <w:szCs w:val="21"/>
                <w:u w:val="single"/>
              </w:rPr>
              <w:t>0.03</w:t>
            </w:r>
          </w:p>
        </w:tc>
        <w:tc>
          <w:tcPr>
            <w:tcW w:w="793" w:type="dxa"/>
            <w:vMerge w:val="continue"/>
            <w:vAlign w:val="center"/>
          </w:tcPr>
          <w:p w14:paraId="26A00BEE">
            <w:pPr>
              <w:spacing w:line="240" w:lineRule="auto"/>
              <w:ind w:firstLine="0" w:firstLineChars="0"/>
              <w:jc w:val="center"/>
              <w:rPr>
                <w:sz w:val="21"/>
                <w:szCs w:val="21"/>
                <w:u w:val="single"/>
              </w:rPr>
            </w:pPr>
          </w:p>
        </w:tc>
      </w:tr>
      <w:tr w14:paraId="391D0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5A949224">
            <w:pPr>
              <w:spacing w:line="240" w:lineRule="auto"/>
              <w:ind w:firstLine="0" w:firstLineChars="0"/>
              <w:jc w:val="center"/>
              <w:rPr>
                <w:sz w:val="21"/>
                <w:szCs w:val="21"/>
                <w:u w:val="single"/>
              </w:rPr>
            </w:pPr>
          </w:p>
        </w:tc>
        <w:tc>
          <w:tcPr>
            <w:tcW w:w="1557" w:type="dxa"/>
            <w:gridSpan w:val="2"/>
            <w:vAlign w:val="center"/>
          </w:tcPr>
          <w:p w14:paraId="10B76505">
            <w:pPr>
              <w:spacing w:line="240" w:lineRule="auto"/>
              <w:ind w:firstLine="0" w:firstLineChars="0"/>
              <w:jc w:val="center"/>
              <w:rPr>
                <w:sz w:val="21"/>
                <w:szCs w:val="21"/>
                <w:u w:val="single"/>
              </w:rPr>
            </w:pPr>
          </w:p>
        </w:tc>
        <w:tc>
          <w:tcPr>
            <w:tcW w:w="849" w:type="dxa"/>
            <w:vMerge w:val="continue"/>
            <w:vAlign w:val="center"/>
          </w:tcPr>
          <w:p w14:paraId="66AB208B">
            <w:pPr>
              <w:spacing w:line="240" w:lineRule="auto"/>
              <w:ind w:firstLine="0" w:firstLineChars="0"/>
              <w:jc w:val="center"/>
              <w:rPr>
                <w:sz w:val="21"/>
                <w:szCs w:val="21"/>
                <w:u w:val="single"/>
              </w:rPr>
            </w:pPr>
          </w:p>
        </w:tc>
        <w:tc>
          <w:tcPr>
            <w:tcW w:w="1414" w:type="dxa"/>
            <w:gridSpan w:val="2"/>
            <w:vAlign w:val="center"/>
          </w:tcPr>
          <w:p w14:paraId="4E0C6962">
            <w:pPr>
              <w:spacing w:line="240" w:lineRule="auto"/>
              <w:ind w:firstLine="0" w:firstLineChars="0"/>
              <w:jc w:val="center"/>
              <w:rPr>
                <w:sz w:val="21"/>
                <w:szCs w:val="21"/>
                <w:u w:val="single"/>
              </w:rPr>
            </w:pPr>
            <w:r>
              <w:rPr>
                <w:sz w:val="21"/>
                <w:szCs w:val="21"/>
                <w:u w:val="single"/>
              </w:rPr>
              <w:t>KF99</w:t>
            </w:r>
          </w:p>
        </w:tc>
        <w:tc>
          <w:tcPr>
            <w:tcW w:w="1277" w:type="dxa"/>
            <w:gridSpan w:val="2"/>
            <w:vAlign w:val="center"/>
          </w:tcPr>
          <w:p w14:paraId="4D33BC3A">
            <w:pPr>
              <w:spacing w:line="240" w:lineRule="auto"/>
              <w:ind w:firstLine="0" w:firstLineChars="0"/>
              <w:jc w:val="center"/>
              <w:rPr>
                <w:sz w:val="21"/>
                <w:szCs w:val="21"/>
                <w:u w:val="single"/>
              </w:rPr>
            </w:pPr>
            <w:r>
              <w:rPr>
                <w:sz w:val="21"/>
                <w:szCs w:val="21"/>
                <w:u w:val="single"/>
              </w:rPr>
              <w:t>0.</w:t>
            </w:r>
            <w:r>
              <w:rPr>
                <w:rFonts w:hint="eastAsia"/>
                <w:sz w:val="21"/>
                <w:szCs w:val="21"/>
                <w:u w:val="single"/>
              </w:rPr>
              <w:t>01</w:t>
            </w:r>
          </w:p>
        </w:tc>
        <w:tc>
          <w:tcPr>
            <w:tcW w:w="793" w:type="dxa"/>
            <w:vMerge w:val="continue"/>
            <w:vAlign w:val="center"/>
          </w:tcPr>
          <w:p w14:paraId="54C8DEED">
            <w:pPr>
              <w:spacing w:line="240" w:lineRule="auto"/>
              <w:ind w:firstLine="0" w:firstLineChars="0"/>
              <w:jc w:val="center"/>
              <w:rPr>
                <w:sz w:val="21"/>
                <w:szCs w:val="21"/>
                <w:u w:val="single"/>
              </w:rPr>
            </w:pPr>
          </w:p>
        </w:tc>
      </w:tr>
      <w:tr w14:paraId="52839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2A74911E">
            <w:pPr>
              <w:spacing w:line="240" w:lineRule="auto"/>
              <w:ind w:firstLine="0" w:firstLineChars="0"/>
              <w:jc w:val="center"/>
              <w:rPr>
                <w:sz w:val="21"/>
                <w:szCs w:val="21"/>
                <w:u w:val="single"/>
              </w:rPr>
            </w:pPr>
          </w:p>
        </w:tc>
        <w:tc>
          <w:tcPr>
            <w:tcW w:w="1557" w:type="dxa"/>
            <w:gridSpan w:val="2"/>
            <w:vAlign w:val="center"/>
          </w:tcPr>
          <w:p w14:paraId="54EFFBD9">
            <w:pPr>
              <w:spacing w:line="240" w:lineRule="auto"/>
              <w:ind w:firstLine="0" w:firstLineChars="0"/>
              <w:jc w:val="center"/>
              <w:rPr>
                <w:sz w:val="21"/>
                <w:szCs w:val="21"/>
                <w:u w:val="single"/>
              </w:rPr>
            </w:pPr>
          </w:p>
        </w:tc>
        <w:tc>
          <w:tcPr>
            <w:tcW w:w="849" w:type="dxa"/>
            <w:vMerge w:val="continue"/>
            <w:vAlign w:val="center"/>
          </w:tcPr>
          <w:p w14:paraId="159D8668">
            <w:pPr>
              <w:spacing w:line="240" w:lineRule="auto"/>
              <w:ind w:firstLine="0" w:firstLineChars="0"/>
              <w:jc w:val="center"/>
              <w:rPr>
                <w:sz w:val="21"/>
                <w:szCs w:val="21"/>
                <w:u w:val="single"/>
              </w:rPr>
            </w:pPr>
          </w:p>
        </w:tc>
        <w:tc>
          <w:tcPr>
            <w:tcW w:w="1414" w:type="dxa"/>
            <w:gridSpan w:val="2"/>
            <w:vAlign w:val="center"/>
          </w:tcPr>
          <w:p w14:paraId="5739FDB3">
            <w:pPr>
              <w:spacing w:line="240" w:lineRule="auto"/>
              <w:ind w:firstLine="0" w:firstLineChars="0"/>
              <w:jc w:val="center"/>
              <w:rPr>
                <w:sz w:val="21"/>
                <w:szCs w:val="21"/>
                <w:u w:val="single"/>
              </w:rPr>
            </w:pPr>
            <w:r>
              <w:rPr>
                <w:sz w:val="21"/>
                <w:szCs w:val="21"/>
                <w:u w:val="single"/>
              </w:rPr>
              <w:t>低含氢硅油</w:t>
            </w:r>
          </w:p>
        </w:tc>
        <w:tc>
          <w:tcPr>
            <w:tcW w:w="1277" w:type="dxa"/>
            <w:gridSpan w:val="2"/>
            <w:vAlign w:val="center"/>
          </w:tcPr>
          <w:p w14:paraId="66C6A586">
            <w:pPr>
              <w:spacing w:line="240" w:lineRule="auto"/>
              <w:ind w:firstLine="0" w:firstLineChars="0"/>
              <w:jc w:val="center"/>
              <w:rPr>
                <w:sz w:val="21"/>
                <w:szCs w:val="21"/>
                <w:u w:val="single"/>
              </w:rPr>
            </w:pPr>
            <w:r>
              <w:rPr>
                <w:rFonts w:hint="eastAsia"/>
                <w:sz w:val="21"/>
                <w:szCs w:val="21"/>
                <w:u w:val="single"/>
              </w:rPr>
              <w:t>0.1</w:t>
            </w:r>
            <w:r>
              <w:rPr>
                <w:sz w:val="21"/>
                <w:szCs w:val="21"/>
                <w:u w:val="single"/>
              </w:rPr>
              <w:t>8</w:t>
            </w:r>
          </w:p>
        </w:tc>
        <w:tc>
          <w:tcPr>
            <w:tcW w:w="793" w:type="dxa"/>
            <w:vMerge w:val="continue"/>
            <w:vAlign w:val="center"/>
          </w:tcPr>
          <w:p w14:paraId="6DC8FC4A">
            <w:pPr>
              <w:spacing w:line="240" w:lineRule="auto"/>
              <w:ind w:firstLine="0" w:firstLineChars="0"/>
              <w:jc w:val="center"/>
              <w:rPr>
                <w:sz w:val="21"/>
                <w:szCs w:val="21"/>
                <w:u w:val="single"/>
              </w:rPr>
            </w:pPr>
          </w:p>
        </w:tc>
      </w:tr>
      <w:tr w14:paraId="47B6C1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1C6B1377">
            <w:pPr>
              <w:spacing w:line="240" w:lineRule="auto"/>
              <w:ind w:firstLine="0" w:firstLineChars="0"/>
              <w:jc w:val="center"/>
              <w:rPr>
                <w:sz w:val="21"/>
                <w:szCs w:val="21"/>
                <w:u w:val="single"/>
              </w:rPr>
            </w:pPr>
          </w:p>
        </w:tc>
        <w:tc>
          <w:tcPr>
            <w:tcW w:w="1557" w:type="dxa"/>
            <w:gridSpan w:val="2"/>
            <w:vAlign w:val="center"/>
          </w:tcPr>
          <w:p w14:paraId="52D68ECD">
            <w:pPr>
              <w:spacing w:line="240" w:lineRule="auto"/>
              <w:ind w:firstLine="0" w:firstLineChars="0"/>
              <w:jc w:val="center"/>
              <w:rPr>
                <w:sz w:val="21"/>
                <w:szCs w:val="21"/>
                <w:u w:val="single"/>
              </w:rPr>
            </w:pPr>
          </w:p>
        </w:tc>
        <w:tc>
          <w:tcPr>
            <w:tcW w:w="849" w:type="dxa"/>
            <w:vMerge w:val="continue"/>
            <w:vAlign w:val="center"/>
          </w:tcPr>
          <w:p w14:paraId="0C312EC2">
            <w:pPr>
              <w:spacing w:line="240" w:lineRule="auto"/>
              <w:ind w:firstLine="0" w:firstLineChars="0"/>
              <w:jc w:val="center"/>
              <w:rPr>
                <w:sz w:val="21"/>
                <w:szCs w:val="21"/>
                <w:u w:val="single"/>
              </w:rPr>
            </w:pPr>
          </w:p>
        </w:tc>
        <w:tc>
          <w:tcPr>
            <w:tcW w:w="1414" w:type="dxa"/>
            <w:gridSpan w:val="2"/>
            <w:vAlign w:val="center"/>
          </w:tcPr>
          <w:p w14:paraId="55DB8B9C">
            <w:pPr>
              <w:spacing w:line="240" w:lineRule="auto"/>
              <w:ind w:firstLine="0" w:firstLineChars="0"/>
              <w:jc w:val="center"/>
              <w:rPr>
                <w:sz w:val="21"/>
                <w:szCs w:val="21"/>
                <w:u w:val="single"/>
              </w:rPr>
            </w:pPr>
            <w:r>
              <w:rPr>
                <w:sz w:val="21"/>
                <w:szCs w:val="21"/>
                <w:u w:val="single"/>
              </w:rPr>
              <w:t>二丙二醇</w:t>
            </w:r>
          </w:p>
        </w:tc>
        <w:tc>
          <w:tcPr>
            <w:tcW w:w="1277" w:type="dxa"/>
            <w:gridSpan w:val="2"/>
            <w:vAlign w:val="center"/>
          </w:tcPr>
          <w:p w14:paraId="6287D648">
            <w:pPr>
              <w:spacing w:line="240" w:lineRule="auto"/>
              <w:ind w:firstLine="0" w:firstLineChars="0"/>
              <w:jc w:val="center"/>
              <w:rPr>
                <w:sz w:val="21"/>
                <w:szCs w:val="21"/>
                <w:u w:val="single"/>
              </w:rPr>
            </w:pPr>
            <w:r>
              <w:rPr>
                <w:rFonts w:hint="eastAsia"/>
                <w:sz w:val="21"/>
                <w:szCs w:val="21"/>
                <w:u w:val="single"/>
              </w:rPr>
              <w:t>0.32</w:t>
            </w:r>
          </w:p>
        </w:tc>
        <w:tc>
          <w:tcPr>
            <w:tcW w:w="793" w:type="dxa"/>
            <w:vMerge w:val="continue"/>
            <w:vAlign w:val="center"/>
          </w:tcPr>
          <w:p w14:paraId="1034769B">
            <w:pPr>
              <w:spacing w:line="240" w:lineRule="auto"/>
              <w:ind w:firstLine="0" w:firstLineChars="0"/>
              <w:jc w:val="center"/>
              <w:rPr>
                <w:sz w:val="21"/>
                <w:szCs w:val="21"/>
                <w:u w:val="single"/>
              </w:rPr>
            </w:pPr>
          </w:p>
        </w:tc>
      </w:tr>
      <w:tr w14:paraId="701D68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49338105">
            <w:pPr>
              <w:spacing w:line="240" w:lineRule="auto"/>
              <w:ind w:firstLine="0" w:firstLineChars="0"/>
              <w:jc w:val="center"/>
              <w:rPr>
                <w:sz w:val="21"/>
                <w:szCs w:val="21"/>
                <w:u w:val="single"/>
              </w:rPr>
            </w:pPr>
          </w:p>
        </w:tc>
        <w:tc>
          <w:tcPr>
            <w:tcW w:w="1557" w:type="dxa"/>
            <w:gridSpan w:val="2"/>
            <w:vAlign w:val="center"/>
          </w:tcPr>
          <w:p w14:paraId="57E98557">
            <w:pPr>
              <w:spacing w:line="240" w:lineRule="auto"/>
              <w:ind w:firstLine="0" w:firstLineChars="0"/>
              <w:jc w:val="center"/>
              <w:rPr>
                <w:sz w:val="21"/>
                <w:szCs w:val="21"/>
                <w:u w:val="single"/>
              </w:rPr>
            </w:pPr>
          </w:p>
        </w:tc>
        <w:tc>
          <w:tcPr>
            <w:tcW w:w="849" w:type="dxa"/>
            <w:vMerge w:val="continue"/>
            <w:vAlign w:val="center"/>
          </w:tcPr>
          <w:p w14:paraId="34AD435B">
            <w:pPr>
              <w:spacing w:line="240" w:lineRule="auto"/>
              <w:ind w:firstLine="0" w:firstLineChars="0"/>
              <w:jc w:val="center"/>
              <w:rPr>
                <w:sz w:val="21"/>
                <w:szCs w:val="21"/>
                <w:u w:val="single"/>
              </w:rPr>
            </w:pPr>
          </w:p>
        </w:tc>
        <w:tc>
          <w:tcPr>
            <w:tcW w:w="1414" w:type="dxa"/>
            <w:gridSpan w:val="2"/>
            <w:vAlign w:val="center"/>
          </w:tcPr>
          <w:p w14:paraId="75FDD159">
            <w:pPr>
              <w:spacing w:line="240" w:lineRule="auto"/>
              <w:ind w:firstLine="0" w:firstLineChars="0"/>
              <w:jc w:val="center"/>
              <w:rPr>
                <w:sz w:val="21"/>
                <w:szCs w:val="21"/>
                <w:u w:val="single"/>
              </w:rPr>
            </w:pPr>
            <w:r>
              <w:rPr>
                <w:sz w:val="21"/>
                <w:szCs w:val="21"/>
                <w:u w:val="single"/>
              </w:rPr>
              <w:t>HMS-218M</w:t>
            </w:r>
          </w:p>
        </w:tc>
        <w:tc>
          <w:tcPr>
            <w:tcW w:w="1277" w:type="dxa"/>
            <w:gridSpan w:val="2"/>
            <w:vAlign w:val="center"/>
          </w:tcPr>
          <w:p w14:paraId="255534A0">
            <w:pPr>
              <w:spacing w:line="240" w:lineRule="auto"/>
              <w:ind w:firstLine="0" w:firstLineChars="0"/>
              <w:jc w:val="center"/>
              <w:rPr>
                <w:sz w:val="21"/>
                <w:szCs w:val="21"/>
                <w:u w:val="single"/>
              </w:rPr>
            </w:pPr>
            <w:r>
              <w:rPr>
                <w:rFonts w:hint="eastAsia"/>
                <w:sz w:val="21"/>
                <w:szCs w:val="21"/>
                <w:u w:val="single"/>
              </w:rPr>
              <w:t>0.19</w:t>
            </w:r>
          </w:p>
        </w:tc>
        <w:tc>
          <w:tcPr>
            <w:tcW w:w="793" w:type="dxa"/>
            <w:vMerge w:val="continue"/>
            <w:vAlign w:val="center"/>
          </w:tcPr>
          <w:p w14:paraId="50D0AA2D">
            <w:pPr>
              <w:spacing w:line="240" w:lineRule="auto"/>
              <w:ind w:firstLine="0" w:firstLineChars="0"/>
              <w:jc w:val="center"/>
              <w:rPr>
                <w:sz w:val="21"/>
                <w:szCs w:val="21"/>
                <w:u w:val="single"/>
              </w:rPr>
            </w:pPr>
          </w:p>
        </w:tc>
      </w:tr>
      <w:tr w14:paraId="6E4D6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33333CED">
            <w:pPr>
              <w:spacing w:line="240" w:lineRule="auto"/>
              <w:ind w:firstLine="0" w:firstLineChars="0"/>
              <w:jc w:val="center"/>
              <w:rPr>
                <w:sz w:val="21"/>
                <w:szCs w:val="21"/>
                <w:u w:val="single"/>
              </w:rPr>
            </w:pPr>
          </w:p>
        </w:tc>
        <w:tc>
          <w:tcPr>
            <w:tcW w:w="1557" w:type="dxa"/>
            <w:gridSpan w:val="2"/>
            <w:vAlign w:val="center"/>
          </w:tcPr>
          <w:p w14:paraId="4FB52631">
            <w:pPr>
              <w:spacing w:line="240" w:lineRule="auto"/>
              <w:ind w:firstLine="0" w:firstLineChars="0"/>
              <w:jc w:val="center"/>
              <w:rPr>
                <w:sz w:val="21"/>
                <w:szCs w:val="21"/>
                <w:u w:val="single"/>
              </w:rPr>
            </w:pPr>
          </w:p>
        </w:tc>
        <w:tc>
          <w:tcPr>
            <w:tcW w:w="849" w:type="dxa"/>
            <w:vMerge w:val="continue"/>
            <w:vAlign w:val="center"/>
          </w:tcPr>
          <w:p w14:paraId="7386F453">
            <w:pPr>
              <w:spacing w:line="240" w:lineRule="auto"/>
              <w:ind w:firstLine="0" w:firstLineChars="0"/>
              <w:jc w:val="center"/>
              <w:rPr>
                <w:sz w:val="21"/>
                <w:szCs w:val="21"/>
                <w:u w:val="single"/>
              </w:rPr>
            </w:pPr>
          </w:p>
        </w:tc>
        <w:tc>
          <w:tcPr>
            <w:tcW w:w="1414" w:type="dxa"/>
            <w:gridSpan w:val="2"/>
            <w:vAlign w:val="bottom"/>
          </w:tcPr>
          <w:p w14:paraId="1B57FBC8">
            <w:pPr>
              <w:spacing w:line="240" w:lineRule="auto"/>
              <w:ind w:firstLine="0" w:firstLineChars="0"/>
              <w:jc w:val="center"/>
              <w:rPr>
                <w:sz w:val="21"/>
                <w:szCs w:val="21"/>
                <w:u w:val="single"/>
              </w:rPr>
            </w:pPr>
            <w:r>
              <w:rPr>
                <w:sz w:val="21"/>
                <w:szCs w:val="21"/>
                <w:u w:val="single"/>
              </w:rPr>
              <w:t>HMS-222M</w:t>
            </w:r>
          </w:p>
        </w:tc>
        <w:tc>
          <w:tcPr>
            <w:tcW w:w="1277" w:type="dxa"/>
            <w:gridSpan w:val="2"/>
            <w:vAlign w:val="center"/>
          </w:tcPr>
          <w:p w14:paraId="1962E33A">
            <w:pPr>
              <w:spacing w:line="240" w:lineRule="auto"/>
              <w:ind w:firstLine="0" w:firstLineChars="0"/>
              <w:jc w:val="center"/>
              <w:rPr>
                <w:sz w:val="21"/>
                <w:szCs w:val="21"/>
                <w:u w:val="single"/>
              </w:rPr>
            </w:pPr>
            <w:r>
              <w:rPr>
                <w:rFonts w:hint="eastAsia"/>
                <w:sz w:val="21"/>
                <w:szCs w:val="21"/>
                <w:u w:val="single"/>
              </w:rPr>
              <w:t>0.53</w:t>
            </w:r>
          </w:p>
        </w:tc>
        <w:tc>
          <w:tcPr>
            <w:tcW w:w="793" w:type="dxa"/>
            <w:vMerge w:val="continue"/>
            <w:vAlign w:val="center"/>
          </w:tcPr>
          <w:p w14:paraId="01B3EB0F">
            <w:pPr>
              <w:spacing w:line="240" w:lineRule="auto"/>
              <w:ind w:firstLine="0" w:firstLineChars="0"/>
              <w:jc w:val="center"/>
              <w:rPr>
                <w:sz w:val="21"/>
                <w:szCs w:val="21"/>
                <w:u w:val="single"/>
              </w:rPr>
            </w:pPr>
          </w:p>
        </w:tc>
      </w:tr>
      <w:tr w14:paraId="57385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2985E92B">
            <w:pPr>
              <w:spacing w:line="240" w:lineRule="auto"/>
              <w:ind w:firstLine="0" w:firstLineChars="0"/>
              <w:jc w:val="center"/>
              <w:rPr>
                <w:sz w:val="21"/>
                <w:szCs w:val="21"/>
                <w:u w:val="single"/>
              </w:rPr>
            </w:pPr>
          </w:p>
        </w:tc>
        <w:tc>
          <w:tcPr>
            <w:tcW w:w="1557" w:type="dxa"/>
            <w:gridSpan w:val="2"/>
            <w:vAlign w:val="center"/>
          </w:tcPr>
          <w:p w14:paraId="114ED663">
            <w:pPr>
              <w:spacing w:line="240" w:lineRule="auto"/>
              <w:ind w:firstLine="0" w:firstLineChars="0"/>
              <w:jc w:val="center"/>
              <w:rPr>
                <w:sz w:val="21"/>
                <w:szCs w:val="21"/>
                <w:u w:val="single"/>
              </w:rPr>
            </w:pPr>
          </w:p>
        </w:tc>
        <w:tc>
          <w:tcPr>
            <w:tcW w:w="849" w:type="dxa"/>
            <w:vMerge w:val="continue"/>
            <w:vAlign w:val="center"/>
          </w:tcPr>
          <w:p w14:paraId="18835D8C">
            <w:pPr>
              <w:spacing w:line="240" w:lineRule="auto"/>
              <w:ind w:firstLine="0" w:firstLineChars="0"/>
              <w:jc w:val="center"/>
              <w:rPr>
                <w:sz w:val="21"/>
                <w:szCs w:val="21"/>
                <w:u w:val="single"/>
              </w:rPr>
            </w:pPr>
          </w:p>
        </w:tc>
        <w:tc>
          <w:tcPr>
            <w:tcW w:w="1414" w:type="dxa"/>
            <w:gridSpan w:val="2"/>
            <w:vAlign w:val="center"/>
          </w:tcPr>
          <w:p w14:paraId="02A88593">
            <w:pPr>
              <w:spacing w:line="240" w:lineRule="auto"/>
              <w:ind w:firstLine="0" w:firstLineChars="0"/>
              <w:jc w:val="center"/>
              <w:rPr>
                <w:sz w:val="21"/>
                <w:szCs w:val="21"/>
                <w:u w:val="single"/>
              </w:rPr>
            </w:pPr>
            <w:r>
              <w:rPr>
                <w:sz w:val="21"/>
                <w:szCs w:val="21"/>
                <w:u w:val="single"/>
              </w:rPr>
              <w:t>氧气</w:t>
            </w:r>
          </w:p>
        </w:tc>
        <w:tc>
          <w:tcPr>
            <w:tcW w:w="1277" w:type="dxa"/>
            <w:gridSpan w:val="2"/>
            <w:vAlign w:val="center"/>
          </w:tcPr>
          <w:p w14:paraId="16191758">
            <w:pPr>
              <w:spacing w:line="240" w:lineRule="auto"/>
              <w:ind w:firstLine="0" w:firstLineChars="0"/>
              <w:jc w:val="center"/>
              <w:rPr>
                <w:sz w:val="21"/>
                <w:szCs w:val="21"/>
                <w:u w:val="single"/>
              </w:rPr>
            </w:pPr>
            <w:r>
              <w:rPr>
                <w:sz w:val="21"/>
                <w:szCs w:val="21"/>
                <w:u w:val="single"/>
              </w:rPr>
              <w:t>0.44</w:t>
            </w:r>
          </w:p>
        </w:tc>
        <w:tc>
          <w:tcPr>
            <w:tcW w:w="793" w:type="dxa"/>
            <w:vMerge w:val="continue"/>
            <w:vAlign w:val="center"/>
          </w:tcPr>
          <w:p w14:paraId="5BA154A0">
            <w:pPr>
              <w:spacing w:line="240" w:lineRule="auto"/>
              <w:ind w:firstLine="0" w:firstLineChars="0"/>
              <w:jc w:val="center"/>
              <w:rPr>
                <w:sz w:val="21"/>
                <w:szCs w:val="21"/>
                <w:u w:val="single"/>
              </w:rPr>
            </w:pPr>
          </w:p>
        </w:tc>
      </w:tr>
      <w:tr w14:paraId="5493E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2873A651">
            <w:pPr>
              <w:spacing w:line="240" w:lineRule="auto"/>
              <w:ind w:firstLine="0" w:firstLineChars="0"/>
              <w:jc w:val="center"/>
              <w:rPr>
                <w:sz w:val="21"/>
                <w:szCs w:val="21"/>
                <w:u w:val="single"/>
              </w:rPr>
            </w:pPr>
          </w:p>
        </w:tc>
        <w:tc>
          <w:tcPr>
            <w:tcW w:w="1557" w:type="dxa"/>
            <w:gridSpan w:val="2"/>
            <w:vAlign w:val="center"/>
          </w:tcPr>
          <w:p w14:paraId="77C03C47">
            <w:pPr>
              <w:spacing w:line="240" w:lineRule="auto"/>
              <w:ind w:firstLine="0" w:firstLineChars="0"/>
              <w:jc w:val="center"/>
              <w:rPr>
                <w:sz w:val="21"/>
                <w:szCs w:val="21"/>
                <w:u w:val="single"/>
              </w:rPr>
            </w:pPr>
          </w:p>
        </w:tc>
        <w:tc>
          <w:tcPr>
            <w:tcW w:w="849" w:type="dxa"/>
            <w:vMerge w:val="continue"/>
            <w:vAlign w:val="center"/>
          </w:tcPr>
          <w:p w14:paraId="24D55B3E">
            <w:pPr>
              <w:spacing w:line="240" w:lineRule="auto"/>
              <w:ind w:firstLine="0" w:firstLineChars="0"/>
              <w:jc w:val="center"/>
              <w:rPr>
                <w:sz w:val="21"/>
                <w:szCs w:val="21"/>
                <w:u w:val="single"/>
              </w:rPr>
            </w:pPr>
          </w:p>
        </w:tc>
        <w:tc>
          <w:tcPr>
            <w:tcW w:w="1414" w:type="dxa"/>
            <w:gridSpan w:val="2"/>
            <w:vAlign w:val="center"/>
          </w:tcPr>
          <w:p w14:paraId="281A1F49">
            <w:pPr>
              <w:spacing w:line="240" w:lineRule="auto"/>
              <w:ind w:firstLine="0" w:firstLineChars="0"/>
              <w:jc w:val="center"/>
              <w:rPr>
                <w:sz w:val="21"/>
                <w:szCs w:val="21"/>
                <w:u w:val="single"/>
              </w:rPr>
            </w:pPr>
            <w:r>
              <w:rPr>
                <w:sz w:val="21"/>
                <w:szCs w:val="21"/>
                <w:u w:val="single"/>
              </w:rPr>
              <w:t>水蒸汽</w:t>
            </w:r>
          </w:p>
        </w:tc>
        <w:tc>
          <w:tcPr>
            <w:tcW w:w="1277" w:type="dxa"/>
            <w:gridSpan w:val="2"/>
            <w:vAlign w:val="center"/>
          </w:tcPr>
          <w:p w14:paraId="0D2EEB1F">
            <w:pPr>
              <w:spacing w:line="240" w:lineRule="auto"/>
              <w:ind w:firstLine="0" w:firstLineChars="0"/>
              <w:jc w:val="center"/>
              <w:rPr>
                <w:sz w:val="21"/>
                <w:szCs w:val="21"/>
                <w:u w:val="single"/>
              </w:rPr>
            </w:pPr>
            <w:r>
              <w:rPr>
                <w:sz w:val="21"/>
                <w:szCs w:val="21"/>
                <w:u w:val="single"/>
              </w:rPr>
              <w:t>1.</w:t>
            </w:r>
            <w:r>
              <w:rPr>
                <w:rFonts w:hint="eastAsia"/>
                <w:sz w:val="21"/>
                <w:szCs w:val="21"/>
                <w:u w:val="single"/>
              </w:rPr>
              <w:t>9</w:t>
            </w:r>
          </w:p>
        </w:tc>
        <w:tc>
          <w:tcPr>
            <w:tcW w:w="793" w:type="dxa"/>
            <w:vMerge w:val="continue"/>
            <w:vAlign w:val="center"/>
          </w:tcPr>
          <w:p w14:paraId="5BFEAF32">
            <w:pPr>
              <w:spacing w:line="240" w:lineRule="auto"/>
              <w:ind w:firstLine="0" w:firstLineChars="0"/>
              <w:jc w:val="center"/>
              <w:rPr>
                <w:sz w:val="21"/>
                <w:szCs w:val="21"/>
                <w:u w:val="single"/>
              </w:rPr>
            </w:pPr>
          </w:p>
        </w:tc>
      </w:tr>
      <w:tr w14:paraId="5EF2D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4A2131BC">
            <w:pPr>
              <w:spacing w:line="240" w:lineRule="auto"/>
              <w:ind w:firstLine="0" w:firstLineChars="0"/>
              <w:jc w:val="center"/>
              <w:rPr>
                <w:sz w:val="21"/>
                <w:szCs w:val="21"/>
                <w:u w:val="single"/>
              </w:rPr>
            </w:pPr>
          </w:p>
        </w:tc>
        <w:tc>
          <w:tcPr>
            <w:tcW w:w="1557" w:type="dxa"/>
            <w:gridSpan w:val="2"/>
            <w:vAlign w:val="center"/>
          </w:tcPr>
          <w:p w14:paraId="767DC32C">
            <w:pPr>
              <w:spacing w:line="240" w:lineRule="auto"/>
              <w:ind w:firstLine="0" w:firstLineChars="0"/>
              <w:jc w:val="center"/>
              <w:rPr>
                <w:sz w:val="21"/>
                <w:szCs w:val="21"/>
                <w:u w:val="single"/>
              </w:rPr>
            </w:pPr>
          </w:p>
        </w:tc>
        <w:tc>
          <w:tcPr>
            <w:tcW w:w="2263" w:type="dxa"/>
            <w:gridSpan w:val="3"/>
            <w:vAlign w:val="center"/>
          </w:tcPr>
          <w:p w14:paraId="51B572EF">
            <w:pPr>
              <w:spacing w:line="240" w:lineRule="auto"/>
              <w:ind w:firstLine="0" w:firstLineChars="0"/>
              <w:jc w:val="center"/>
              <w:rPr>
                <w:sz w:val="21"/>
                <w:szCs w:val="21"/>
                <w:u w:val="single"/>
              </w:rPr>
            </w:pPr>
            <w:r>
              <w:rPr>
                <w:sz w:val="21"/>
                <w:szCs w:val="21"/>
                <w:u w:val="single"/>
              </w:rPr>
              <w:t>S1-</w:t>
            </w:r>
            <w:r>
              <w:rPr>
                <w:rFonts w:hint="eastAsia"/>
                <w:sz w:val="21"/>
                <w:szCs w:val="21"/>
                <w:u w:val="single"/>
              </w:rPr>
              <w:t>1</w:t>
            </w:r>
          </w:p>
        </w:tc>
        <w:tc>
          <w:tcPr>
            <w:tcW w:w="2070" w:type="dxa"/>
            <w:gridSpan w:val="3"/>
            <w:vAlign w:val="center"/>
          </w:tcPr>
          <w:p w14:paraId="39070FB8">
            <w:pPr>
              <w:spacing w:line="240" w:lineRule="auto"/>
              <w:ind w:firstLine="0" w:firstLineChars="0"/>
              <w:jc w:val="center"/>
              <w:rPr>
                <w:sz w:val="21"/>
                <w:szCs w:val="21"/>
                <w:u w:val="single"/>
              </w:rPr>
            </w:pPr>
            <w:r>
              <w:rPr>
                <w:sz w:val="21"/>
                <w:szCs w:val="21"/>
                <w:u w:val="single"/>
              </w:rPr>
              <w:t>25</w:t>
            </w:r>
          </w:p>
        </w:tc>
      </w:tr>
      <w:tr w14:paraId="7746A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2" w:type="dxa"/>
            <w:gridSpan w:val="3"/>
            <w:vAlign w:val="center"/>
          </w:tcPr>
          <w:p w14:paraId="2553FB92">
            <w:pPr>
              <w:spacing w:line="240" w:lineRule="auto"/>
              <w:ind w:firstLine="0" w:firstLineChars="0"/>
              <w:jc w:val="center"/>
              <w:rPr>
                <w:sz w:val="21"/>
                <w:szCs w:val="21"/>
                <w:u w:val="single"/>
              </w:rPr>
            </w:pPr>
          </w:p>
        </w:tc>
        <w:tc>
          <w:tcPr>
            <w:tcW w:w="1557" w:type="dxa"/>
            <w:gridSpan w:val="2"/>
            <w:vAlign w:val="center"/>
          </w:tcPr>
          <w:p w14:paraId="21E6C58A">
            <w:pPr>
              <w:spacing w:line="240" w:lineRule="auto"/>
              <w:ind w:firstLine="0" w:firstLineChars="0"/>
              <w:jc w:val="center"/>
              <w:rPr>
                <w:sz w:val="21"/>
                <w:szCs w:val="21"/>
                <w:u w:val="single"/>
              </w:rPr>
            </w:pPr>
          </w:p>
        </w:tc>
        <w:tc>
          <w:tcPr>
            <w:tcW w:w="2263" w:type="dxa"/>
            <w:gridSpan w:val="3"/>
            <w:vAlign w:val="center"/>
          </w:tcPr>
          <w:p w14:paraId="2D350D22">
            <w:pPr>
              <w:spacing w:line="240" w:lineRule="auto"/>
              <w:ind w:firstLine="0" w:firstLineChars="0"/>
              <w:jc w:val="center"/>
              <w:rPr>
                <w:sz w:val="21"/>
                <w:szCs w:val="21"/>
                <w:u w:val="single"/>
              </w:rPr>
            </w:pPr>
            <w:r>
              <w:rPr>
                <w:sz w:val="21"/>
                <w:szCs w:val="21"/>
                <w:u w:val="single"/>
              </w:rPr>
              <w:t>S1-</w:t>
            </w:r>
            <w:r>
              <w:rPr>
                <w:rFonts w:hint="eastAsia"/>
                <w:sz w:val="21"/>
                <w:szCs w:val="21"/>
                <w:u w:val="single"/>
              </w:rPr>
              <w:t>2</w:t>
            </w:r>
          </w:p>
        </w:tc>
        <w:tc>
          <w:tcPr>
            <w:tcW w:w="2070" w:type="dxa"/>
            <w:gridSpan w:val="3"/>
            <w:vAlign w:val="center"/>
          </w:tcPr>
          <w:p w14:paraId="6745AE8F">
            <w:pPr>
              <w:spacing w:line="240" w:lineRule="auto"/>
              <w:ind w:firstLine="0" w:firstLineChars="0"/>
              <w:jc w:val="center"/>
              <w:rPr>
                <w:sz w:val="21"/>
                <w:szCs w:val="21"/>
                <w:u w:val="single"/>
              </w:rPr>
            </w:pPr>
            <w:r>
              <w:rPr>
                <w:rFonts w:hint="eastAsia"/>
                <w:sz w:val="21"/>
                <w:szCs w:val="21"/>
                <w:u w:val="single"/>
              </w:rPr>
              <w:t>300</w:t>
            </w:r>
          </w:p>
        </w:tc>
      </w:tr>
      <w:tr w14:paraId="30534FA4">
        <w:tblPrEx>
          <w:tblCellMar>
            <w:top w:w="0" w:type="dxa"/>
            <w:left w:w="0" w:type="dxa"/>
            <w:bottom w:w="0" w:type="dxa"/>
            <w:right w:w="0" w:type="dxa"/>
          </w:tblCellMar>
        </w:tblPrEx>
        <w:trPr>
          <w:trHeight w:val="397" w:hRule="atLeast"/>
          <w:jc w:val="center"/>
        </w:trPr>
        <w:tc>
          <w:tcPr>
            <w:tcW w:w="2402" w:type="dxa"/>
            <w:gridSpan w:val="3"/>
            <w:vAlign w:val="center"/>
          </w:tcPr>
          <w:p w14:paraId="3FF6660C">
            <w:pPr>
              <w:spacing w:line="240" w:lineRule="auto"/>
              <w:ind w:firstLine="0" w:firstLineChars="0"/>
              <w:jc w:val="center"/>
              <w:rPr>
                <w:sz w:val="21"/>
                <w:szCs w:val="21"/>
                <w:u w:val="single"/>
              </w:rPr>
            </w:pPr>
            <w:r>
              <w:rPr>
                <w:sz w:val="21"/>
                <w:szCs w:val="21"/>
                <w:u w:val="single"/>
              </w:rPr>
              <w:t>合计</w:t>
            </w:r>
          </w:p>
        </w:tc>
        <w:tc>
          <w:tcPr>
            <w:tcW w:w="1557" w:type="dxa"/>
            <w:gridSpan w:val="2"/>
            <w:vAlign w:val="center"/>
          </w:tcPr>
          <w:p w14:paraId="6AB5A510">
            <w:pPr>
              <w:spacing w:line="240" w:lineRule="auto"/>
              <w:ind w:firstLine="0" w:firstLineChars="0"/>
              <w:jc w:val="center"/>
              <w:rPr>
                <w:sz w:val="21"/>
                <w:szCs w:val="21"/>
                <w:u w:val="single"/>
              </w:rPr>
            </w:pPr>
            <w:r>
              <w:rPr>
                <w:sz w:val="21"/>
                <w:szCs w:val="21"/>
                <w:u w:val="single"/>
              </w:rPr>
              <w:t>40</w:t>
            </w:r>
            <w:r>
              <w:rPr>
                <w:rFonts w:hint="eastAsia"/>
                <w:sz w:val="21"/>
                <w:szCs w:val="21"/>
                <w:u w:val="single"/>
              </w:rPr>
              <w:t>981.88</w:t>
            </w:r>
          </w:p>
        </w:tc>
        <w:tc>
          <w:tcPr>
            <w:tcW w:w="2263" w:type="dxa"/>
            <w:gridSpan w:val="3"/>
            <w:vAlign w:val="center"/>
          </w:tcPr>
          <w:p w14:paraId="558A3452">
            <w:pPr>
              <w:spacing w:line="240" w:lineRule="auto"/>
              <w:ind w:firstLine="0" w:firstLineChars="0"/>
              <w:jc w:val="center"/>
              <w:rPr>
                <w:sz w:val="21"/>
                <w:szCs w:val="21"/>
                <w:u w:val="single"/>
              </w:rPr>
            </w:pPr>
            <w:r>
              <w:rPr>
                <w:sz w:val="21"/>
                <w:szCs w:val="21"/>
                <w:u w:val="single"/>
              </w:rPr>
              <w:t>合计</w:t>
            </w:r>
          </w:p>
        </w:tc>
        <w:tc>
          <w:tcPr>
            <w:tcW w:w="2070" w:type="dxa"/>
            <w:gridSpan w:val="3"/>
            <w:vAlign w:val="center"/>
          </w:tcPr>
          <w:p w14:paraId="32062201">
            <w:pPr>
              <w:spacing w:line="240" w:lineRule="auto"/>
              <w:ind w:firstLine="0" w:firstLineChars="0"/>
              <w:jc w:val="center"/>
              <w:rPr>
                <w:sz w:val="21"/>
                <w:szCs w:val="21"/>
                <w:u w:val="single"/>
              </w:rPr>
            </w:pPr>
            <w:r>
              <w:rPr>
                <w:sz w:val="21"/>
                <w:szCs w:val="21"/>
                <w:u w:val="single"/>
              </w:rPr>
              <w:t>40</w:t>
            </w:r>
            <w:r>
              <w:rPr>
                <w:rFonts w:hint="eastAsia"/>
                <w:sz w:val="21"/>
                <w:szCs w:val="21"/>
                <w:u w:val="single"/>
              </w:rPr>
              <w:t>381.88</w:t>
            </w:r>
          </w:p>
        </w:tc>
      </w:tr>
      <w:tr w14:paraId="2859C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14:paraId="49DA437D">
            <w:pPr>
              <w:spacing w:line="240" w:lineRule="auto"/>
              <w:ind w:firstLine="0" w:firstLineChars="0"/>
              <w:jc w:val="center"/>
              <w:rPr>
                <w:sz w:val="21"/>
                <w:szCs w:val="21"/>
                <w:u w:val="single"/>
              </w:rPr>
            </w:pPr>
            <w:r>
              <w:rPr>
                <w:rFonts w:hint="eastAsia"/>
                <w:sz w:val="21"/>
                <w:szCs w:val="21"/>
                <w:u w:val="single"/>
              </w:rPr>
              <w:t>聚合反应转化率</w:t>
            </w:r>
          </w:p>
        </w:tc>
        <w:tc>
          <w:tcPr>
            <w:tcW w:w="849" w:type="dxa"/>
            <w:vAlign w:val="center"/>
          </w:tcPr>
          <w:p w14:paraId="555BE62E">
            <w:pPr>
              <w:spacing w:line="240" w:lineRule="auto"/>
              <w:ind w:firstLine="0" w:firstLineChars="0"/>
              <w:jc w:val="center"/>
              <w:rPr>
                <w:sz w:val="21"/>
                <w:szCs w:val="21"/>
                <w:u w:val="single"/>
              </w:rPr>
            </w:pPr>
            <w:r>
              <w:rPr>
                <w:rFonts w:hint="eastAsia"/>
                <w:sz w:val="21"/>
                <w:szCs w:val="21"/>
                <w:u w:val="single"/>
              </w:rPr>
              <w:t>99.2%</w:t>
            </w:r>
          </w:p>
        </w:tc>
        <w:tc>
          <w:tcPr>
            <w:tcW w:w="1135" w:type="dxa"/>
            <w:gridSpan w:val="2"/>
            <w:vAlign w:val="center"/>
          </w:tcPr>
          <w:p w14:paraId="7FD9352C">
            <w:pPr>
              <w:spacing w:line="240" w:lineRule="auto"/>
              <w:ind w:firstLine="0" w:firstLineChars="0"/>
              <w:jc w:val="center"/>
              <w:rPr>
                <w:sz w:val="21"/>
                <w:szCs w:val="21"/>
                <w:u w:val="single"/>
              </w:rPr>
            </w:pPr>
            <w:r>
              <w:rPr>
                <w:rFonts w:hint="eastAsia"/>
                <w:sz w:val="21"/>
                <w:szCs w:val="21"/>
                <w:u w:val="single"/>
              </w:rPr>
              <w:t>硅氢化反应转化率</w:t>
            </w:r>
          </w:p>
        </w:tc>
        <w:tc>
          <w:tcPr>
            <w:tcW w:w="992" w:type="dxa"/>
            <w:vAlign w:val="center"/>
          </w:tcPr>
          <w:p w14:paraId="4AD9D909">
            <w:pPr>
              <w:spacing w:line="240" w:lineRule="auto"/>
              <w:ind w:firstLine="0" w:firstLineChars="0"/>
              <w:jc w:val="center"/>
              <w:rPr>
                <w:sz w:val="21"/>
                <w:szCs w:val="21"/>
                <w:u w:val="single"/>
              </w:rPr>
            </w:pPr>
            <w:r>
              <w:rPr>
                <w:rFonts w:hint="eastAsia"/>
                <w:sz w:val="21"/>
                <w:szCs w:val="21"/>
                <w:u w:val="single"/>
              </w:rPr>
              <w:t>97.5%</w:t>
            </w:r>
          </w:p>
        </w:tc>
        <w:tc>
          <w:tcPr>
            <w:tcW w:w="990" w:type="dxa"/>
            <w:gridSpan w:val="2"/>
            <w:vAlign w:val="center"/>
          </w:tcPr>
          <w:p w14:paraId="7D022637">
            <w:pPr>
              <w:spacing w:line="240" w:lineRule="auto"/>
              <w:ind w:firstLine="0" w:firstLineChars="0"/>
              <w:jc w:val="center"/>
              <w:rPr>
                <w:sz w:val="21"/>
                <w:szCs w:val="21"/>
                <w:u w:val="single"/>
              </w:rPr>
            </w:pPr>
            <w:r>
              <w:rPr>
                <w:rFonts w:hint="eastAsia"/>
                <w:sz w:val="21"/>
                <w:szCs w:val="21"/>
                <w:u w:val="single"/>
              </w:rPr>
              <w:t>收率</w:t>
            </w:r>
          </w:p>
        </w:tc>
        <w:tc>
          <w:tcPr>
            <w:tcW w:w="1273" w:type="dxa"/>
            <w:vAlign w:val="center"/>
          </w:tcPr>
          <w:p w14:paraId="22681872">
            <w:pPr>
              <w:spacing w:line="240" w:lineRule="auto"/>
              <w:ind w:firstLine="0" w:firstLineChars="0"/>
              <w:jc w:val="center"/>
              <w:rPr>
                <w:sz w:val="21"/>
                <w:szCs w:val="21"/>
                <w:u w:val="single"/>
              </w:rPr>
            </w:pPr>
            <w:r>
              <w:rPr>
                <w:rFonts w:hint="eastAsia"/>
                <w:sz w:val="21"/>
                <w:szCs w:val="21"/>
                <w:u w:val="single"/>
              </w:rPr>
              <w:t>97.8%</w:t>
            </w:r>
          </w:p>
        </w:tc>
        <w:tc>
          <w:tcPr>
            <w:tcW w:w="1035" w:type="dxa"/>
            <w:vAlign w:val="center"/>
          </w:tcPr>
          <w:p w14:paraId="6D8A976E">
            <w:pPr>
              <w:spacing w:line="240" w:lineRule="auto"/>
              <w:ind w:firstLine="0" w:firstLineChars="0"/>
              <w:jc w:val="center"/>
              <w:rPr>
                <w:sz w:val="21"/>
                <w:szCs w:val="21"/>
                <w:u w:val="single"/>
              </w:rPr>
            </w:pPr>
            <w:r>
              <w:rPr>
                <w:rFonts w:hint="eastAsia"/>
                <w:sz w:val="21"/>
                <w:szCs w:val="21"/>
                <w:u w:val="single"/>
              </w:rPr>
              <w:t>全年生产批次</w:t>
            </w:r>
          </w:p>
        </w:tc>
        <w:tc>
          <w:tcPr>
            <w:tcW w:w="1035" w:type="dxa"/>
            <w:gridSpan w:val="2"/>
            <w:vAlign w:val="center"/>
          </w:tcPr>
          <w:p w14:paraId="0E7E8FA7">
            <w:pPr>
              <w:spacing w:line="240" w:lineRule="auto"/>
              <w:ind w:firstLine="0" w:firstLineChars="0"/>
              <w:jc w:val="center"/>
              <w:rPr>
                <w:sz w:val="21"/>
                <w:szCs w:val="21"/>
                <w:u w:val="single"/>
              </w:rPr>
            </w:pPr>
            <w:r>
              <w:rPr>
                <w:rFonts w:hint="eastAsia"/>
                <w:sz w:val="21"/>
                <w:szCs w:val="21"/>
                <w:u w:val="single"/>
              </w:rPr>
              <w:t>250批</w:t>
            </w:r>
          </w:p>
        </w:tc>
      </w:tr>
    </w:tbl>
    <w:p w14:paraId="13ADF555">
      <w:pPr>
        <w:pStyle w:val="68"/>
        <w:jc w:val="both"/>
      </w:pPr>
    </w:p>
    <w:p w14:paraId="40BE33AD">
      <w:pPr>
        <w:ind w:firstLine="482"/>
        <w:outlineLvl w:val="4"/>
        <w:rPr>
          <w:b/>
          <w:bCs/>
        </w:rPr>
      </w:pPr>
      <w:r>
        <w:rPr>
          <w:rFonts w:hint="eastAsia"/>
          <w:b/>
          <w:bCs/>
        </w:rPr>
        <w:t>（3）水平衡图</w:t>
      </w:r>
    </w:p>
    <w:p w14:paraId="68C466D4">
      <w:pPr>
        <w:pStyle w:val="68"/>
      </w:pPr>
      <w:r>
        <w:drawing>
          <wp:inline distT="0" distB="0" distL="0" distR="0">
            <wp:extent cx="3609975" cy="4996815"/>
            <wp:effectExtent l="0" t="0" r="9525" b="0"/>
            <wp:docPr id="1837372431"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72431" name="图片 1" descr="图示, 示意图&#10;&#10;描述已自动生成"/>
                    <pic:cNvPicPr>
                      <a:picLocks noChangeAspect="1"/>
                    </pic:cNvPicPr>
                  </pic:nvPicPr>
                  <pic:blipFill>
                    <a:blip r:embed="rId63"/>
                    <a:stretch>
                      <a:fillRect/>
                    </a:stretch>
                  </pic:blipFill>
                  <pic:spPr>
                    <a:xfrm>
                      <a:off x="0" y="0"/>
                      <a:ext cx="3615589" cy="5004503"/>
                    </a:xfrm>
                    <a:prstGeom prst="rect">
                      <a:avLst/>
                    </a:prstGeom>
                  </pic:spPr>
                </pic:pic>
              </a:graphicData>
            </a:graphic>
          </wp:inline>
        </w:drawing>
      </w:r>
    </w:p>
    <w:p w14:paraId="5C514FAE">
      <w:pPr>
        <w:pStyle w:val="68"/>
        <w:rPr>
          <w:highlight w:val="yellow"/>
          <w:u w:val="single"/>
        </w:rPr>
      </w:pPr>
      <w:r>
        <w:rPr>
          <w:u w:val="single"/>
        </w:rPr>
        <w:t xml:space="preserve">图 </w:t>
      </w:r>
      <w:r>
        <w:rPr>
          <w:u w:val="single"/>
        </w:rPr>
        <w:fldChar w:fldCharType="begin"/>
      </w:r>
      <w:r>
        <w:rPr>
          <w:u w:val="single"/>
        </w:rPr>
        <w:instrText xml:space="preserve"> STYLEREF 1 \s </w:instrText>
      </w:r>
      <w:r>
        <w:rPr>
          <w:u w:val="single"/>
        </w:rPr>
        <w:fldChar w:fldCharType="separate"/>
      </w:r>
      <w:r>
        <w:rPr>
          <w:u w:val="single"/>
        </w:rPr>
        <w:t>3</w:t>
      </w:r>
      <w:r>
        <w:rPr>
          <w:u w:val="single"/>
        </w:rPr>
        <w:fldChar w:fldCharType="end"/>
      </w:r>
      <w:r>
        <w:rPr>
          <w:u w:val="single"/>
        </w:rPr>
        <w:t>.2</w:t>
      </w:r>
      <w:r>
        <w:rPr>
          <w:u w:val="single"/>
        </w:rPr>
        <w:noBreakHyphen/>
      </w:r>
      <w:r>
        <w:rPr>
          <w:rFonts w:hint="eastAsia"/>
          <w:u w:val="single"/>
        </w:rPr>
        <w:t>6</w:t>
      </w:r>
      <w:r>
        <w:rPr>
          <w:szCs w:val="24"/>
          <w:u w:val="single"/>
        </w:rPr>
        <w:t xml:space="preserve">  </w:t>
      </w:r>
      <w:r>
        <w:rPr>
          <w:rFonts w:hint="eastAsia"/>
          <w:szCs w:val="24"/>
          <w:u w:val="single"/>
        </w:rPr>
        <w:t>本项目聚醚改性硅油</w:t>
      </w:r>
      <w:r>
        <w:rPr>
          <w:rFonts w:hint="eastAsia"/>
          <w:u w:val="single"/>
        </w:rPr>
        <w:t>水</w:t>
      </w:r>
      <w:r>
        <w:rPr>
          <w:u w:val="single"/>
        </w:rPr>
        <w:t>平衡图  单位：</w:t>
      </w:r>
      <w:r>
        <w:rPr>
          <w:rFonts w:hint="eastAsia"/>
          <w:u w:val="single"/>
        </w:rPr>
        <w:t>kg/批次</w:t>
      </w:r>
    </w:p>
    <w:p w14:paraId="6A85F540">
      <w:pPr>
        <w:ind w:firstLine="482"/>
        <w:outlineLvl w:val="4"/>
        <w:rPr>
          <w:b/>
          <w:bCs/>
          <w:u w:val="single"/>
        </w:rPr>
      </w:pPr>
      <w:r>
        <w:rPr>
          <w:rFonts w:hint="eastAsia"/>
          <w:b/>
          <w:bCs/>
          <w:u w:val="single"/>
        </w:rPr>
        <w:t>（4）水平衡表</w:t>
      </w:r>
    </w:p>
    <w:p w14:paraId="1D5613A6">
      <w:pPr>
        <w:pStyle w:val="64"/>
        <w:numPr>
          <w:ilvl w:val="0"/>
          <w:numId w:val="14"/>
        </w:numPr>
        <w:spacing w:before="120" w:after="120"/>
        <w:ind w:left="884" w:hanging="442" w:firstLineChars="0"/>
        <w:rPr>
          <w:u w:val="single"/>
        </w:rPr>
      </w:pPr>
      <w:r>
        <w:rPr>
          <w:rFonts w:hint="eastAsia"/>
          <w:u w:val="single"/>
        </w:rPr>
        <w:t xml:space="preserve">          聚醚改性硅油水平衡</w:t>
      </w:r>
      <w:r>
        <w:rPr>
          <w:u w:val="single"/>
        </w:rPr>
        <w:t>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842"/>
        <w:gridCol w:w="1280"/>
        <w:gridCol w:w="2548"/>
        <w:gridCol w:w="1662"/>
      </w:tblGrid>
      <w:tr w14:paraId="39CB4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07" w:type="dxa"/>
            <w:gridSpan w:val="2"/>
            <w:vAlign w:val="center"/>
          </w:tcPr>
          <w:p w14:paraId="1C5C687D">
            <w:pPr>
              <w:spacing w:line="360" w:lineRule="exact"/>
              <w:ind w:firstLine="0" w:firstLineChars="0"/>
              <w:jc w:val="center"/>
              <w:rPr>
                <w:b/>
                <w:bCs/>
                <w:sz w:val="21"/>
                <w:szCs w:val="21"/>
                <w:u w:val="single"/>
              </w:rPr>
            </w:pPr>
            <w:r>
              <w:rPr>
                <w:b/>
                <w:bCs/>
                <w:sz w:val="21"/>
                <w:szCs w:val="21"/>
                <w:u w:val="single"/>
              </w:rPr>
              <w:t>进水/生成水（kg/批次）</w:t>
            </w:r>
          </w:p>
        </w:tc>
        <w:tc>
          <w:tcPr>
            <w:tcW w:w="4195" w:type="dxa"/>
            <w:gridSpan w:val="2"/>
            <w:vAlign w:val="center"/>
          </w:tcPr>
          <w:p w14:paraId="2021551F">
            <w:pPr>
              <w:spacing w:line="360" w:lineRule="exact"/>
              <w:ind w:firstLine="0" w:firstLineChars="0"/>
              <w:jc w:val="center"/>
              <w:rPr>
                <w:b/>
                <w:bCs/>
                <w:sz w:val="21"/>
                <w:szCs w:val="21"/>
                <w:u w:val="single"/>
              </w:rPr>
            </w:pPr>
            <w:r>
              <w:rPr>
                <w:b/>
                <w:bCs/>
                <w:sz w:val="21"/>
                <w:szCs w:val="21"/>
                <w:u w:val="single"/>
              </w:rPr>
              <w:t>出水（kg/批次）</w:t>
            </w:r>
          </w:p>
        </w:tc>
      </w:tr>
      <w:tr w14:paraId="69A94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1" w:type="dxa"/>
            <w:vAlign w:val="center"/>
          </w:tcPr>
          <w:p w14:paraId="5178B849">
            <w:pPr>
              <w:spacing w:line="360" w:lineRule="exact"/>
              <w:ind w:firstLine="0" w:firstLineChars="0"/>
              <w:jc w:val="center"/>
              <w:rPr>
                <w:sz w:val="21"/>
                <w:szCs w:val="21"/>
                <w:u w:val="single"/>
              </w:rPr>
            </w:pPr>
            <w:r>
              <w:rPr>
                <w:rFonts w:hint="eastAsia"/>
                <w:sz w:val="21"/>
                <w:szCs w:val="21"/>
                <w:u w:val="single"/>
              </w:rPr>
              <w:t>原料98%硫酸带入</w:t>
            </w:r>
          </w:p>
        </w:tc>
        <w:tc>
          <w:tcPr>
            <w:tcW w:w="1276" w:type="dxa"/>
            <w:vAlign w:val="center"/>
          </w:tcPr>
          <w:p w14:paraId="1F42A9C7">
            <w:pPr>
              <w:spacing w:line="360" w:lineRule="exact"/>
              <w:ind w:firstLine="0" w:firstLineChars="0"/>
              <w:jc w:val="center"/>
              <w:rPr>
                <w:sz w:val="21"/>
                <w:szCs w:val="21"/>
                <w:u w:val="single"/>
              </w:rPr>
            </w:pPr>
            <w:r>
              <w:rPr>
                <w:rFonts w:hint="eastAsia"/>
                <w:sz w:val="21"/>
                <w:szCs w:val="21"/>
                <w:u w:val="single"/>
              </w:rPr>
              <w:t>0.8</w:t>
            </w:r>
          </w:p>
        </w:tc>
        <w:tc>
          <w:tcPr>
            <w:tcW w:w="2539" w:type="dxa"/>
            <w:vAlign w:val="center"/>
          </w:tcPr>
          <w:p w14:paraId="5B78084A">
            <w:pPr>
              <w:spacing w:line="360" w:lineRule="exact"/>
              <w:ind w:firstLine="0" w:firstLineChars="0"/>
              <w:jc w:val="center"/>
              <w:rPr>
                <w:sz w:val="21"/>
                <w:szCs w:val="21"/>
                <w:u w:val="single"/>
              </w:rPr>
            </w:pPr>
            <w:r>
              <w:rPr>
                <w:rFonts w:hint="eastAsia"/>
                <w:sz w:val="21"/>
                <w:szCs w:val="21"/>
                <w:u w:val="single"/>
              </w:rPr>
              <w:t>聚合反应散失</w:t>
            </w:r>
          </w:p>
        </w:tc>
        <w:tc>
          <w:tcPr>
            <w:tcW w:w="1656" w:type="dxa"/>
            <w:vAlign w:val="center"/>
          </w:tcPr>
          <w:p w14:paraId="26E2E649">
            <w:pPr>
              <w:spacing w:line="360" w:lineRule="exact"/>
              <w:ind w:firstLine="0" w:firstLineChars="0"/>
              <w:jc w:val="center"/>
              <w:rPr>
                <w:sz w:val="21"/>
                <w:szCs w:val="21"/>
                <w:u w:val="single"/>
              </w:rPr>
            </w:pPr>
            <w:r>
              <w:rPr>
                <w:rFonts w:hint="eastAsia"/>
                <w:sz w:val="21"/>
                <w:szCs w:val="21"/>
                <w:u w:val="single"/>
              </w:rPr>
              <w:t>0.04</w:t>
            </w:r>
          </w:p>
        </w:tc>
      </w:tr>
      <w:tr w14:paraId="1058A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1" w:type="dxa"/>
            <w:vAlign w:val="center"/>
          </w:tcPr>
          <w:p w14:paraId="4E4DEC8A">
            <w:pPr>
              <w:spacing w:line="360" w:lineRule="exact"/>
              <w:ind w:firstLine="0" w:firstLineChars="0"/>
              <w:jc w:val="center"/>
              <w:rPr>
                <w:sz w:val="21"/>
                <w:szCs w:val="21"/>
                <w:u w:val="single"/>
              </w:rPr>
            </w:pPr>
            <w:r>
              <w:rPr>
                <w:rFonts w:hint="eastAsia"/>
                <w:sz w:val="21"/>
                <w:szCs w:val="21"/>
                <w:u w:val="single"/>
              </w:rPr>
              <w:t>中和反应生成</w:t>
            </w:r>
          </w:p>
        </w:tc>
        <w:tc>
          <w:tcPr>
            <w:tcW w:w="1276" w:type="dxa"/>
            <w:vAlign w:val="center"/>
          </w:tcPr>
          <w:p w14:paraId="1E785834">
            <w:pPr>
              <w:spacing w:line="360" w:lineRule="exact"/>
              <w:ind w:firstLine="0" w:firstLineChars="0"/>
              <w:jc w:val="center"/>
              <w:rPr>
                <w:sz w:val="21"/>
                <w:szCs w:val="21"/>
                <w:u w:val="single"/>
              </w:rPr>
            </w:pPr>
            <w:r>
              <w:rPr>
                <w:rFonts w:hint="eastAsia"/>
                <w:sz w:val="21"/>
                <w:szCs w:val="21"/>
                <w:u w:val="single"/>
              </w:rPr>
              <w:t>14.11</w:t>
            </w:r>
          </w:p>
        </w:tc>
        <w:tc>
          <w:tcPr>
            <w:tcW w:w="2539" w:type="dxa"/>
            <w:vAlign w:val="center"/>
          </w:tcPr>
          <w:p w14:paraId="09DC9637">
            <w:pPr>
              <w:spacing w:line="360" w:lineRule="exact"/>
              <w:ind w:firstLine="0" w:firstLineChars="0"/>
              <w:jc w:val="center"/>
              <w:rPr>
                <w:sz w:val="21"/>
                <w:szCs w:val="21"/>
                <w:u w:val="single"/>
              </w:rPr>
            </w:pPr>
            <w:r>
              <w:rPr>
                <w:rFonts w:hint="eastAsia"/>
                <w:sz w:val="21"/>
                <w:szCs w:val="21"/>
                <w:u w:val="single"/>
              </w:rPr>
              <w:t>中和反应散失</w:t>
            </w:r>
          </w:p>
        </w:tc>
        <w:tc>
          <w:tcPr>
            <w:tcW w:w="1656" w:type="dxa"/>
            <w:vAlign w:val="center"/>
          </w:tcPr>
          <w:p w14:paraId="6E7B6EDB">
            <w:pPr>
              <w:spacing w:line="360" w:lineRule="exact"/>
              <w:ind w:firstLine="0" w:firstLineChars="0"/>
              <w:jc w:val="center"/>
              <w:rPr>
                <w:sz w:val="21"/>
                <w:szCs w:val="21"/>
                <w:u w:val="single"/>
              </w:rPr>
            </w:pPr>
            <w:r>
              <w:rPr>
                <w:rFonts w:hint="eastAsia"/>
                <w:sz w:val="21"/>
                <w:szCs w:val="21"/>
                <w:u w:val="single"/>
              </w:rPr>
              <w:t>0.74</w:t>
            </w:r>
          </w:p>
        </w:tc>
      </w:tr>
      <w:tr w14:paraId="7473D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1" w:type="dxa"/>
            <w:vAlign w:val="center"/>
          </w:tcPr>
          <w:p w14:paraId="47C722FD">
            <w:pPr>
              <w:spacing w:line="360" w:lineRule="exact"/>
              <w:ind w:firstLine="0" w:firstLineChars="0"/>
              <w:jc w:val="center"/>
              <w:rPr>
                <w:sz w:val="21"/>
                <w:szCs w:val="21"/>
                <w:u w:val="single"/>
              </w:rPr>
            </w:pPr>
            <w:r>
              <w:rPr>
                <w:rFonts w:hint="eastAsia"/>
                <w:sz w:val="21"/>
                <w:szCs w:val="21"/>
                <w:u w:val="single"/>
              </w:rPr>
              <w:t>原料37%双氧水带入</w:t>
            </w:r>
          </w:p>
        </w:tc>
        <w:tc>
          <w:tcPr>
            <w:tcW w:w="1276" w:type="dxa"/>
            <w:vAlign w:val="center"/>
          </w:tcPr>
          <w:p w14:paraId="3D960FE3">
            <w:pPr>
              <w:spacing w:line="360" w:lineRule="exact"/>
              <w:ind w:firstLine="0" w:firstLineChars="0"/>
              <w:jc w:val="center"/>
              <w:rPr>
                <w:sz w:val="21"/>
                <w:szCs w:val="21"/>
                <w:u w:val="single"/>
              </w:rPr>
            </w:pPr>
            <w:r>
              <w:rPr>
                <w:rFonts w:hint="eastAsia"/>
                <w:sz w:val="21"/>
                <w:szCs w:val="21"/>
                <w:u w:val="single"/>
              </w:rPr>
              <w:t>3.14</w:t>
            </w:r>
          </w:p>
        </w:tc>
        <w:tc>
          <w:tcPr>
            <w:tcW w:w="2539" w:type="dxa"/>
            <w:vAlign w:val="center"/>
          </w:tcPr>
          <w:p w14:paraId="40EC5859">
            <w:pPr>
              <w:spacing w:line="360" w:lineRule="exact"/>
              <w:ind w:firstLine="0" w:firstLineChars="0"/>
              <w:jc w:val="center"/>
              <w:rPr>
                <w:sz w:val="21"/>
                <w:szCs w:val="21"/>
                <w:u w:val="single"/>
              </w:rPr>
            </w:pPr>
            <w:r>
              <w:rPr>
                <w:rFonts w:hint="eastAsia"/>
                <w:sz w:val="21"/>
                <w:szCs w:val="21"/>
                <w:u w:val="single"/>
              </w:rPr>
              <w:t>S1-1</w:t>
            </w:r>
          </w:p>
        </w:tc>
        <w:tc>
          <w:tcPr>
            <w:tcW w:w="1656" w:type="dxa"/>
            <w:vAlign w:val="center"/>
          </w:tcPr>
          <w:p w14:paraId="460622DA">
            <w:pPr>
              <w:spacing w:line="360" w:lineRule="exact"/>
              <w:ind w:firstLine="0" w:firstLineChars="0"/>
              <w:jc w:val="center"/>
              <w:rPr>
                <w:sz w:val="21"/>
                <w:szCs w:val="21"/>
                <w:u w:val="single"/>
              </w:rPr>
            </w:pPr>
            <w:r>
              <w:rPr>
                <w:rFonts w:hint="eastAsia"/>
                <w:sz w:val="21"/>
                <w:szCs w:val="21"/>
                <w:u w:val="single"/>
              </w:rPr>
              <w:t>0.6</w:t>
            </w:r>
          </w:p>
        </w:tc>
      </w:tr>
      <w:tr w14:paraId="55C40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1" w:type="dxa"/>
            <w:vAlign w:val="center"/>
          </w:tcPr>
          <w:p w14:paraId="1B9F3530">
            <w:pPr>
              <w:spacing w:line="360" w:lineRule="exact"/>
              <w:ind w:firstLine="0" w:firstLineChars="0"/>
              <w:jc w:val="center"/>
              <w:rPr>
                <w:sz w:val="21"/>
                <w:szCs w:val="21"/>
                <w:u w:val="single"/>
              </w:rPr>
            </w:pPr>
            <w:r>
              <w:rPr>
                <w:rFonts w:hint="eastAsia"/>
                <w:sz w:val="21"/>
                <w:szCs w:val="21"/>
                <w:u w:val="single"/>
              </w:rPr>
              <w:t>脱色氧化反应生成</w:t>
            </w:r>
          </w:p>
        </w:tc>
        <w:tc>
          <w:tcPr>
            <w:tcW w:w="1276" w:type="dxa"/>
            <w:vAlign w:val="center"/>
          </w:tcPr>
          <w:p w14:paraId="45C82637">
            <w:pPr>
              <w:spacing w:line="360" w:lineRule="exact"/>
              <w:ind w:firstLine="0" w:firstLineChars="0"/>
              <w:jc w:val="center"/>
              <w:rPr>
                <w:sz w:val="21"/>
                <w:szCs w:val="21"/>
                <w:u w:val="single"/>
              </w:rPr>
            </w:pPr>
            <w:r>
              <w:rPr>
                <w:rFonts w:hint="eastAsia"/>
                <w:sz w:val="21"/>
                <w:szCs w:val="21"/>
                <w:u w:val="single"/>
              </w:rPr>
              <w:t>0.98</w:t>
            </w:r>
          </w:p>
        </w:tc>
        <w:tc>
          <w:tcPr>
            <w:tcW w:w="2539" w:type="dxa"/>
            <w:vAlign w:val="center"/>
          </w:tcPr>
          <w:p w14:paraId="2A6ED32A">
            <w:pPr>
              <w:spacing w:line="360" w:lineRule="exact"/>
              <w:ind w:firstLine="0" w:firstLineChars="0"/>
              <w:jc w:val="center"/>
              <w:rPr>
                <w:sz w:val="21"/>
                <w:szCs w:val="21"/>
                <w:u w:val="single"/>
              </w:rPr>
            </w:pPr>
            <w:r>
              <w:rPr>
                <w:rFonts w:hint="eastAsia"/>
                <w:sz w:val="21"/>
                <w:szCs w:val="21"/>
                <w:u w:val="single"/>
              </w:rPr>
              <w:t>S1-2</w:t>
            </w:r>
          </w:p>
        </w:tc>
        <w:tc>
          <w:tcPr>
            <w:tcW w:w="1656" w:type="dxa"/>
            <w:vAlign w:val="center"/>
          </w:tcPr>
          <w:p w14:paraId="78A7BB29">
            <w:pPr>
              <w:spacing w:line="360" w:lineRule="exact"/>
              <w:ind w:firstLine="0" w:firstLineChars="0"/>
              <w:jc w:val="center"/>
              <w:rPr>
                <w:sz w:val="21"/>
                <w:szCs w:val="21"/>
                <w:u w:val="single"/>
              </w:rPr>
            </w:pPr>
            <w:r>
              <w:rPr>
                <w:rFonts w:hint="eastAsia"/>
                <w:sz w:val="21"/>
                <w:szCs w:val="21"/>
                <w:u w:val="single"/>
              </w:rPr>
              <w:t>7.79</w:t>
            </w:r>
          </w:p>
        </w:tc>
      </w:tr>
      <w:tr w14:paraId="16B5A3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1" w:type="dxa"/>
            <w:vAlign w:val="center"/>
          </w:tcPr>
          <w:p w14:paraId="5CBFC636">
            <w:pPr>
              <w:spacing w:line="360" w:lineRule="exact"/>
              <w:ind w:firstLine="0" w:firstLineChars="0"/>
              <w:jc w:val="center"/>
              <w:rPr>
                <w:sz w:val="21"/>
                <w:szCs w:val="21"/>
                <w:u w:val="single"/>
              </w:rPr>
            </w:pPr>
          </w:p>
        </w:tc>
        <w:tc>
          <w:tcPr>
            <w:tcW w:w="1276" w:type="dxa"/>
            <w:vAlign w:val="center"/>
          </w:tcPr>
          <w:p w14:paraId="4423F243">
            <w:pPr>
              <w:spacing w:line="360" w:lineRule="exact"/>
              <w:ind w:firstLine="0" w:firstLineChars="0"/>
              <w:jc w:val="center"/>
              <w:rPr>
                <w:sz w:val="21"/>
                <w:szCs w:val="21"/>
                <w:u w:val="single"/>
              </w:rPr>
            </w:pPr>
          </w:p>
        </w:tc>
        <w:tc>
          <w:tcPr>
            <w:tcW w:w="2539" w:type="dxa"/>
            <w:vAlign w:val="center"/>
          </w:tcPr>
          <w:p w14:paraId="3211DCB7">
            <w:pPr>
              <w:spacing w:line="360" w:lineRule="exact"/>
              <w:ind w:firstLine="0" w:firstLineChars="0"/>
              <w:jc w:val="center"/>
              <w:rPr>
                <w:sz w:val="21"/>
                <w:szCs w:val="21"/>
                <w:u w:val="single"/>
              </w:rPr>
            </w:pPr>
            <w:r>
              <w:rPr>
                <w:rFonts w:hint="eastAsia"/>
                <w:sz w:val="21"/>
                <w:szCs w:val="21"/>
                <w:u w:val="single"/>
              </w:rPr>
              <w:t>硅氢化、脱色氧化反应散失</w:t>
            </w:r>
          </w:p>
        </w:tc>
        <w:tc>
          <w:tcPr>
            <w:tcW w:w="1656" w:type="dxa"/>
            <w:vAlign w:val="center"/>
          </w:tcPr>
          <w:p w14:paraId="724D334A">
            <w:pPr>
              <w:spacing w:line="360" w:lineRule="exact"/>
              <w:ind w:firstLine="0" w:firstLineChars="0"/>
              <w:jc w:val="center"/>
              <w:rPr>
                <w:sz w:val="21"/>
                <w:szCs w:val="21"/>
                <w:u w:val="single"/>
              </w:rPr>
            </w:pPr>
            <w:r>
              <w:rPr>
                <w:rFonts w:hint="eastAsia"/>
                <w:sz w:val="21"/>
                <w:szCs w:val="21"/>
                <w:u w:val="single"/>
              </w:rPr>
              <w:t>3.79</w:t>
            </w:r>
          </w:p>
        </w:tc>
      </w:tr>
      <w:tr w14:paraId="51882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1" w:type="dxa"/>
            <w:vAlign w:val="center"/>
          </w:tcPr>
          <w:p w14:paraId="5158F9E9">
            <w:pPr>
              <w:spacing w:line="360" w:lineRule="exact"/>
              <w:ind w:firstLine="0" w:firstLineChars="0"/>
              <w:jc w:val="center"/>
              <w:rPr>
                <w:sz w:val="21"/>
                <w:szCs w:val="21"/>
                <w:u w:val="single"/>
              </w:rPr>
            </w:pPr>
          </w:p>
        </w:tc>
        <w:tc>
          <w:tcPr>
            <w:tcW w:w="1276" w:type="dxa"/>
            <w:vAlign w:val="center"/>
          </w:tcPr>
          <w:p w14:paraId="5D7839B5">
            <w:pPr>
              <w:spacing w:line="360" w:lineRule="exact"/>
              <w:ind w:firstLine="0" w:firstLineChars="0"/>
              <w:jc w:val="center"/>
              <w:rPr>
                <w:sz w:val="21"/>
                <w:szCs w:val="21"/>
                <w:u w:val="single"/>
              </w:rPr>
            </w:pPr>
          </w:p>
        </w:tc>
        <w:tc>
          <w:tcPr>
            <w:tcW w:w="2539" w:type="dxa"/>
            <w:vAlign w:val="center"/>
          </w:tcPr>
          <w:p w14:paraId="684ABB54">
            <w:pPr>
              <w:spacing w:line="360" w:lineRule="exact"/>
              <w:ind w:firstLine="0" w:firstLineChars="0"/>
              <w:jc w:val="center"/>
              <w:rPr>
                <w:sz w:val="21"/>
                <w:szCs w:val="21"/>
                <w:u w:val="single"/>
              </w:rPr>
            </w:pPr>
            <w:r>
              <w:rPr>
                <w:rFonts w:hint="eastAsia"/>
                <w:sz w:val="21"/>
                <w:szCs w:val="21"/>
                <w:u w:val="single"/>
              </w:rPr>
              <w:t>进入产品</w:t>
            </w:r>
          </w:p>
        </w:tc>
        <w:tc>
          <w:tcPr>
            <w:tcW w:w="1656" w:type="dxa"/>
            <w:vAlign w:val="center"/>
          </w:tcPr>
          <w:p w14:paraId="160178E8">
            <w:pPr>
              <w:spacing w:line="360" w:lineRule="exact"/>
              <w:ind w:firstLine="0" w:firstLineChars="0"/>
              <w:jc w:val="center"/>
              <w:rPr>
                <w:sz w:val="21"/>
                <w:szCs w:val="21"/>
                <w:u w:val="single"/>
              </w:rPr>
            </w:pPr>
            <w:r>
              <w:rPr>
                <w:rFonts w:hint="eastAsia"/>
                <w:sz w:val="21"/>
                <w:szCs w:val="21"/>
                <w:u w:val="single"/>
              </w:rPr>
              <w:t>6.07</w:t>
            </w:r>
          </w:p>
        </w:tc>
      </w:tr>
      <w:tr w14:paraId="13A04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1" w:type="dxa"/>
            <w:vAlign w:val="center"/>
          </w:tcPr>
          <w:p w14:paraId="32504378">
            <w:pPr>
              <w:spacing w:line="360" w:lineRule="exact"/>
              <w:ind w:firstLine="0" w:firstLineChars="0"/>
              <w:jc w:val="center"/>
              <w:rPr>
                <w:sz w:val="21"/>
                <w:szCs w:val="21"/>
                <w:u w:val="single"/>
              </w:rPr>
            </w:pPr>
            <w:r>
              <w:rPr>
                <w:sz w:val="21"/>
                <w:szCs w:val="21"/>
                <w:u w:val="single"/>
              </w:rPr>
              <w:t>合计</w:t>
            </w:r>
          </w:p>
        </w:tc>
        <w:tc>
          <w:tcPr>
            <w:tcW w:w="1276" w:type="dxa"/>
            <w:vAlign w:val="center"/>
          </w:tcPr>
          <w:p w14:paraId="4C391F65">
            <w:pPr>
              <w:spacing w:line="360" w:lineRule="exact"/>
              <w:ind w:firstLine="0" w:firstLineChars="0"/>
              <w:jc w:val="center"/>
              <w:rPr>
                <w:sz w:val="21"/>
                <w:szCs w:val="21"/>
                <w:u w:val="single"/>
              </w:rPr>
            </w:pPr>
            <w:r>
              <w:rPr>
                <w:rFonts w:hint="eastAsia"/>
                <w:sz w:val="21"/>
                <w:szCs w:val="21"/>
                <w:u w:val="single"/>
              </w:rPr>
              <w:t>19.03</w:t>
            </w:r>
          </w:p>
        </w:tc>
        <w:tc>
          <w:tcPr>
            <w:tcW w:w="2539" w:type="dxa"/>
            <w:vAlign w:val="center"/>
          </w:tcPr>
          <w:p w14:paraId="46764680">
            <w:pPr>
              <w:spacing w:line="360" w:lineRule="exact"/>
              <w:ind w:firstLine="0" w:firstLineChars="0"/>
              <w:jc w:val="center"/>
              <w:rPr>
                <w:sz w:val="21"/>
                <w:szCs w:val="21"/>
                <w:u w:val="single"/>
              </w:rPr>
            </w:pPr>
            <w:r>
              <w:rPr>
                <w:sz w:val="21"/>
                <w:szCs w:val="21"/>
                <w:u w:val="single"/>
              </w:rPr>
              <w:t>合计</w:t>
            </w:r>
          </w:p>
        </w:tc>
        <w:tc>
          <w:tcPr>
            <w:tcW w:w="1656" w:type="dxa"/>
            <w:vAlign w:val="center"/>
          </w:tcPr>
          <w:p w14:paraId="427B6A0D">
            <w:pPr>
              <w:spacing w:line="360" w:lineRule="exact"/>
              <w:ind w:firstLine="0" w:firstLineChars="0"/>
              <w:jc w:val="center"/>
              <w:rPr>
                <w:sz w:val="21"/>
                <w:szCs w:val="21"/>
                <w:u w:val="single"/>
              </w:rPr>
            </w:pPr>
            <w:r>
              <w:rPr>
                <w:rFonts w:hint="eastAsia"/>
                <w:sz w:val="21"/>
                <w:szCs w:val="21"/>
                <w:u w:val="single"/>
              </w:rPr>
              <w:t>19.03</w:t>
            </w:r>
          </w:p>
        </w:tc>
      </w:tr>
    </w:tbl>
    <w:p w14:paraId="6C5478EA">
      <w:pPr>
        <w:pStyle w:val="68"/>
        <w:jc w:val="both"/>
      </w:pPr>
    </w:p>
    <w:p w14:paraId="5C8B4978">
      <w:pPr>
        <w:pStyle w:val="68"/>
        <w:rPr>
          <w:highlight w:val="yellow"/>
        </w:rPr>
      </w:pPr>
    </w:p>
    <w:p w14:paraId="3E30BE82">
      <w:pPr>
        <w:pStyle w:val="68"/>
        <w:rPr>
          <w:highlight w:val="yellow"/>
        </w:rPr>
      </w:pPr>
    </w:p>
    <w:p w14:paraId="5364FEF4">
      <w:pPr>
        <w:pStyle w:val="68"/>
        <w:rPr>
          <w:highlight w:val="yellow"/>
        </w:rPr>
      </w:pPr>
    </w:p>
    <w:p w14:paraId="42CABC16">
      <w:pPr>
        <w:pStyle w:val="68"/>
        <w:rPr>
          <w:highlight w:val="yellow"/>
        </w:rPr>
        <w:sectPr>
          <w:pgSz w:w="11906" w:h="16838"/>
          <w:pgMar w:top="1440" w:right="1797" w:bottom="1440" w:left="1797" w:header="851" w:footer="992" w:gutter="0"/>
          <w:cols w:space="425" w:num="1"/>
          <w:docGrid w:linePitch="326" w:charSpace="0"/>
        </w:sectPr>
      </w:pPr>
    </w:p>
    <w:p w14:paraId="2706D06E">
      <w:pPr>
        <w:pStyle w:val="99"/>
        <w:numPr>
          <w:ilvl w:val="3"/>
          <w:numId w:val="19"/>
        </w:numPr>
        <w:ind w:left="0" w:firstLine="482"/>
        <w:outlineLvl w:val="3"/>
        <w:rPr>
          <w:b/>
          <w:bCs/>
        </w:rPr>
      </w:pPr>
      <w:r>
        <w:rPr>
          <w:rFonts w:hint="eastAsia"/>
          <w:b/>
          <w:bCs/>
        </w:rPr>
        <w:t>色浆平衡</w:t>
      </w:r>
    </w:p>
    <w:p w14:paraId="5861D0EA">
      <w:pPr>
        <w:ind w:firstLine="482"/>
        <w:outlineLvl w:val="4"/>
        <w:rPr>
          <w:b/>
          <w:bCs/>
        </w:rPr>
      </w:pPr>
      <w:r>
        <w:rPr>
          <w:rFonts w:hint="eastAsia"/>
          <w:b/>
          <w:bCs/>
        </w:rPr>
        <w:t>（1）物料平衡图</w:t>
      </w:r>
    </w:p>
    <w:p w14:paraId="3B988B7B">
      <w:pPr>
        <w:ind w:firstLine="0" w:firstLineChars="0"/>
      </w:pPr>
      <w:r>
        <w:t>本项目</w:t>
      </w:r>
      <w:r>
        <w:rPr>
          <w:rFonts w:hint="eastAsia"/>
        </w:rPr>
        <w:t>色浆</w:t>
      </w:r>
      <w:r>
        <w:t>物料平衡</w:t>
      </w:r>
      <w:r>
        <w:rPr>
          <w:rFonts w:hint="eastAsia"/>
        </w:rPr>
        <w:t>图</w:t>
      </w:r>
      <w:r>
        <w:t>如下。</w:t>
      </w:r>
    </w:p>
    <w:p w14:paraId="647A021C">
      <w:pPr>
        <w:pStyle w:val="68"/>
        <w:rPr>
          <w:highlight w:val="yellow"/>
          <w:u w:val="single"/>
        </w:rPr>
      </w:pPr>
      <w:r>
        <w:drawing>
          <wp:inline distT="0" distB="0" distL="0" distR="0">
            <wp:extent cx="3450590" cy="4678045"/>
            <wp:effectExtent l="0" t="0" r="16510" b="8255"/>
            <wp:docPr id="50652681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26818" name="图片 1" descr="图示&#10;&#10;描述已自动生成"/>
                    <pic:cNvPicPr>
                      <a:picLocks noChangeAspect="1"/>
                    </pic:cNvPicPr>
                  </pic:nvPicPr>
                  <pic:blipFill>
                    <a:blip r:embed="rId64"/>
                    <a:stretch>
                      <a:fillRect/>
                    </a:stretch>
                  </pic:blipFill>
                  <pic:spPr>
                    <a:xfrm>
                      <a:off x="0" y="0"/>
                      <a:ext cx="3450590" cy="4693210"/>
                    </a:xfrm>
                    <a:prstGeom prst="rect">
                      <a:avLst/>
                    </a:prstGeom>
                  </pic:spPr>
                </pic:pic>
              </a:graphicData>
            </a:graphic>
          </wp:inline>
        </w:drawing>
      </w:r>
    </w:p>
    <w:p w14:paraId="5B1FB077">
      <w:pPr>
        <w:pStyle w:val="68"/>
        <w:rPr>
          <w:highlight w:val="yellow"/>
          <w:u w:val="single"/>
        </w:rPr>
      </w:pPr>
      <w:r>
        <w:rPr>
          <w:u w:val="single"/>
        </w:rPr>
        <w:t xml:space="preserve">图 </w:t>
      </w:r>
      <w:r>
        <w:rPr>
          <w:u w:val="single"/>
        </w:rPr>
        <w:fldChar w:fldCharType="begin"/>
      </w:r>
      <w:r>
        <w:rPr>
          <w:u w:val="single"/>
        </w:rPr>
        <w:instrText xml:space="preserve"> STYLEREF 1 \s </w:instrText>
      </w:r>
      <w:r>
        <w:rPr>
          <w:u w:val="single"/>
        </w:rPr>
        <w:fldChar w:fldCharType="separate"/>
      </w:r>
      <w:r>
        <w:rPr>
          <w:u w:val="single"/>
        </w:rPr>
        <w:t>3</w:t>
      </w:r>
      <w:r>
        <w:rPr>
          <w:u w:val="single"/>
        </w:rPr>
        <w:fldChar w:fldCharType="end"/>
      </w:r>
      <w:r>
        <w:rPr>
          <w:u w:val="single"/>
        </w:rPr>
        <w:t>.2</w:t>
      </w:r>
      <w:r>
        <w:rPr>
          <w:u w:val="single"/>
        </w:rPr>
        <w:noBreakHyphen/>
      </w:r>
      <w:r>
        <w:rPr>
          <w:rFonts w:hint="eastAsia"/>
          <w:u w:val="single"/>
        </w:rPr>
        <w:t>6</w:t>
      </w:r>
      <w:r>
        <w:rPr>
          <w:szCs w:val="24"/>
          <w:u w:val="single"/>
        </w:rPr>
        <w:t xml:space="preserve">  </w:t>
      </w:r>
      <w:r>
        <w:rPr>
          <w:rFonts w:hint="eastAsia"/>
          <w:szCs w:val="24"/>
          <w:u w:val="single"/>
        </w:rPr>
        <w:t>本项目色浆</w:t>
      </w:r>
      <w:r>
        <w:rPr>
          <w:u w:val="single"/>
        </w:rPr>
        <w:t>物料平衡图  单位：</w:t>
      </w:r>
      <w:r>
        <w:rPr>
          <w:rFonts w:hint="eastAsia"/>
          <w:u w:val="single"/>
        </w:rPr>
        <w:t>kg/t产品</w:t>
      </w:r>
    </w:p>
    <w:p w14:paraId="76A72D18">
      <w:pPr>
        <w:ind w:firstLine="482"/>
        <w:outlineLvl w:val="4"/>
        <w:rPr>
          <w:b/>
          <w:bCs/>
          <w:u w:val="single"/>
        </w:rPr>
      </w:pPr>
      <w:r>
        <w:rPr>
          <w:rFonts w:hint="eastAsia"/>
          <w:b/>
          <w:bCs/>
          <w:u w:val="single"/>
        </w:rPr>
        <w:t>（2）物料平衡表</w:t>
      </w:r>
    </w:p>
    <w:p w14:paraId="31D4D609">
      <w:pPr>
        <w:pStyle w:val="64"/>
        <w:numPr>
          <w:ilvl w:val="0"/>
          <w:numId w:val="14"/>
        </w:numPr>
        <w:spacing w:before="120" w:after="120"/>
        <w:ind w:left="884" w:hanging="442" w:firstLineChars="0"/>
        <w:rPr>
          <w:u w:val="single"/>
        </w:rPr>
      </w:pPr>
      <w:r>
        <w:rPr>
          <w:rFonts w:hint="eastAsia"/>
          <w:u w:val="single"/>
        </w:rPr>
        <w:t xml:space="preserve">               色浆物料平衡</w:t>
      </w:r>
      <w:r>
        <w:rPr>
          <w:u w:val="single"/>
        </w:rPr>
        <w:t>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124"/>
        <w:gridCol w:w="1424"/>
        <w:gridCol w:w="998"/>
        <w:gridCol w:w="1424"/>
        <w:gridCol w:w="1363"/>
      </w:tblGrid>
      <w:tr w14:paraId="3DCB6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26" w:type="dxa"/>
            <w:gridSpan w:val="2"/>
            <w:vAlign w:val="center"/>
          </w:tcPr>
          <w:p w14:paraId="16DBE870">
            <w:pPr>
              <w:spacing w:line="360" w:lineRule="exact"/>
              <w:ind w:firstLine="0" w:firstLineChars="0"/>
              <w:jc w:val="center"/>
              <w:rPr>
                <w:b/>
                <w:bCs/>
                <w:sz w:val="21"/>
                <w:szCs w:val="21"/>
                <w:u w:val="single"/>
              </w:rPr>
            </w:pPr>
            <w:r>
              <w:rPr>
                <w:b/>
                <w:bCs/>
                <w:sz w:val="21"/>
                <w:szCs w:val="21"/>
                <w:u w:val="single"/>
              </w:rPr>
              <w:t>投料（kg/</w:t>
            </w:r>
            <w:r>
              <w:rPr>
                <w:rFonts w:hint="eastAsia"/>
                <w:b/>
                <w:bCs/>
                <w:sz w:val="21"/>
                <w:szCs w:val="21"/>
                <w:u w:val="single"/>
              </w:rPr>
              <w:t>t产品</w:t>
            </w:r>
            <w:r>
              <w:rPr>
                <w:b/>
                <w:bCs/>
                <w:sz w:val="21"/>
                <w:szCs w:val="21"/>
                <w:u w:val="single"/>
              </w:rPr>
              <w:t>）</w:t>
            </w:r>
          </w:p>
        </w:tc>
        <w:tc>
          <w:tcPr>
            <w:tcW w:w="3766" w:type="dxa"/>
            <w:gridSpan w:val="3"/>
            <w:vAlign w:val="center"/>
          </w:tcPr>
          <w:p w14:paraId="0D70DC98">
            <w:pPr>
              <w:spacing w:line="360" w:lineRule="exact"/>
              <w:ind w:firstLine="0" w:firstLineChars="0"/>
              <w:jc w:val="center"/>
              <w:rPr>
                <w:b/>
                <w:bCs/>
                <w:sz w:val="21"/>
                <w:szCs w:val="21"/>
                <w:u w:val="single"/>
              </w:rPr>
            </w:pPr>
            <w:r>
              <w:rPr>
                <w:b/>
                <w:bCs/>
                <w:sz w:val="21"/>
                <w:szCs w:val="21"/>
                <w:u w:val="single"/>
              </w:rPr>
              <w:t>出料（kg/</w:t>
            </w:r>
            <w:r>
              <w:rPr>
                <w:rFonts w:hint="eastAsia"/>
                <w:b/>
                <w:bCs/>
                <w:sz w:val="21"/>
                <w:szCs w:val="21"/>
                <w:u w:val="single"/>
              </w:rPr>
              <w:t>t产品</w:t>
            </w:r>
            <w:r>
              <w:rPr>
                <w:b/>
                <w:bCs/>
                <w:sz w:val="21"/>
                <w:szCs w:val="21"/>
                <w:u w:val="single"/>
              </w:rPr>
              <w:t>）</w:t>
            </w:r>
          </w:p>
        </w:tc>
      </w:tr>
      <w:tr w14:paraId="56603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09" w:type="dxa"/>
            <w:vAlign w:val="center"/>
          </w:tcPr>
          <w:p w14:paraId="3F326C35">
            <w:pPr>
              <w:spacing w:line="360" w:lineRule="exact"/>
              <w:ind w:firstLine="0" w:firstLineChars="0"/>
              <w:jc w:val="center"/>
              <w:rPr>
                <w:sz w:val="21"/>
                <w:szCs w:val="21"/>
                <w:u w:val="single"/>
              </w:rPr>
            </w:pPr>
            <w:r>
              <w:rPr>
                <w:rFonts w:hint="eastAsia"/>
                <w:sz w:val="21"/>
                <w:szCs w:val="21"/>
                <w:u w:val="single"/>
              </w:rPr>
              <w:t>色粉</w:t>
            </w:r>
          </w:p>
        </w:tc>
        <w:tc>
          <w:tcPr>
            <w:tcW w:w="1417" w:type="dxa"/>
            <w:vAlign w:val="center"/>
          </w:tcPr>
          <w:p w14:paraId="0C6E0287">
            <w:pPr>
              <w:spacing w:line="360" w:lineRule="exact"/>
              <w:ind w:firstLine="0" w:firstLineChars="0"/>
              <w:jc w:val="center"/>
              <w:rPr>
                <w:sz w:val="21"/>
                <w:szCs w:val="21"/>
                <w:u w:val="single"/>
              </w:rPr>
            </w:pPr>
            <w:r>
              <w:rPr>
                <w:rFonts w:hint="eastAsia"/>
                <w:sz w:val="21"/>
                <w:szCs w:val="21"/>
                <w:u w:val="single"/>
              </w:rPr>
              <w:t>700.12</w:t>
            </w:r>
          </w:p>
        </w:tc>
        <w:tc>
          <w:tcPr>
            <w:tcW w:w="2410" w:type="dxa"/>
            <w:gridSpan w:val="2"/>
            <w:vAlign w:val="center"/>
          </w:tcPr>
          <w:p w14:paraId="4F959B63">
            <w:pPr>
              <w:spacing w:line="360" w:lineRule="exact"/>
              <w:ind w:firstLine="0" w:firstLineChars="0"/>
              <w:jc w:val="center"/>
              <w:rPr>
                <w:sz w:val="21"/>
                <w:szCs w:val="21"/>
                <w:u w:val="single"/>
              </w:rPr>
            </w:pPr>
            <w:r>
              <w:rPr>
                <w:sz w:val="21"/>
                <w:szCs w:val="21"/>
                <w:u w:val="single"/>
              </w:rPr>
              <w:t>产品</w:t>
            </w:r>
          </w:p>
        </w:tc>
        <w:tc>
          <w:tcPr>
            <w:tcW w:w="1356" w:type="dxa"/>
            <w:vAlign w:val="center"/>
          </w:tcPr>
          <w:p w14:paraId="25AF6FC9">
            <w:pPr>
              <w:spacing w:line="360" w:lineRule="exact"/>
              <w:ind w:firstLine="0" w:firstLineChars="0"/>
              <w:jc w:val="center"/>
              <w:rPr>
                <w:sz w:val="21"/>
                <w:szCs w:val="21"/>
                <w:u w:val="single"/>
              </w:rPr>
            </w:pPr>
            <w:r>
              <w:rPr>
                <w:rFonts w:hint="eastAsia"/>
                <w:sz w:val="21"/>
                <w:szCs w:val="21"/>
                <w:u w:val="single"/>
              </w:rPr>
              <w:t>1000</w:t>
            </w:r>
          </w:p>
        </w:tc>
      </w:tr>
      <w:tr w14:paraId="1882A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09" w:type="dxa"/>
            <w:vAlign w:val="center"/>
          </w:tcPr>
          <w:p w14:paraId="43DB702B">
            <w:pPr>
              <w:spacing w:line="360" w:lineRule="exact"/>
              <w:ind w:firstLine="0" w:firstLineChars="0"/>
              <w:jc w:val="center"/>
              <w:rPr>
                <w:sz w:val="21"/>
                <w:szCs w:val="21"/>
                <w:u w:val="single"/>
              </w:rPr>
            </w:pPr>
            <w:r>
              <w:rPr>
                <w:rFonts w:hint="eastAsia"/>
                <w:sz w:val="21"/>
                <w:szCs w:val="21"/>
                <w:u w:val="single"/>
              </w:rPr>
              <w:t>三羟基聚氧化丙烯氧化乙烯醚</w:t>
            </w:r>
          </w:p>
        </w:tc>
        <w:tc>
          <w:tcPr>
            <w:tcW w:w="1417" w:type="dxa"/>
            <w:vAlign w:val="center"/>
          </w:tcPr>
          <w:p w14:paraId="546AF610">
            <w:pPr>
              <w:spacing w:line="360" w:lineRule="exact"/>
              <w:ind w:firstLine="0" w:firstLineChars="0"/>
              <w:jc w:val="center"/>
              <w:rPr>
                <w:sz w:val="21"/>
                <w:szCs w:val="21"/>
                <w:u w:val="single"/>
              </w:rPr>
            </w:pPr>
            <w:r>
              <w:rPr>
                <w:rFonts w:hint="eastAsia"/>
                <w:sz w:val="21"/>
                <w:szCs w:val="21"/>
                <w:u w:val="single"/>
              </w:rPr>
              <w:t>300</w:t>
            </w:r>
          </w:p>
        </w:tc>
        <w:tc>
          <w:tcPr>
            <w:tcW w:w="993" w:type="dxa"/>
            <w:vAlign w:val="center"/>
          </w:tcPr>
          <w:p w14:paraId="266EB8DA">
            <w:pPr>
              <w:spacing w:line="360" w:lineRule="exact"/>
              <w:ind w:firstLine="0" w:firstLineChars="0"/>
              <w:jc w:val="center"/>
              <w:rPr>
                <w:sz w:val="21"/>
                <w:szCs w:val="21"/>
                <w:u w:val="single"/>
              </w:rPr>
            </w:pPr>
            <w:r>
              <w:rPr>
                <w:rFonts w:hint="eastAsia"/>
                <w:sz w:val="21"/>
                <w:szCs w:val="21"/>
                <w:u w:val="single"/>
              </w:rPr>
              <w:t>排入环境</w:t>
            </w:r>
          </w:p>
        </w:tc>
        <w:tc>
          <w:tcPr>
            <w:tcW w:w="1417" w:type="dxa"/>
            <w:vAlign w:val="center"/>
          </w:tcPr>
          <w:p w14:paraId="00B65266">
            <w:pPr>
              <w:spacing w:line="360" w:lineRule="exact"/>
              <w:ind w:firstLine="0" w:firstLineChars="0"/>
              <w:jc w:val="center"/>
              <w:rPr>
                <w:sz w:val="21"/>
                <w:szCs w:val="21"/>
                <w:u w:val="single"/>
              </w:rPr>
            </w:pPr>
            <w:r>
              <w:rPr>
                <w:rFonts w:hint="eastAsia"/>
                <w:sz w:val="21"/>
                <w:szCs w:val="21"/>
                <w:u w:val="single"/>
              </w:rPr>
              <w:t>色粉</w:t>
            </w:r>
          </w:p>
        </w:tc>
        <w:tc>
          <w:tcPr>
            <w:tcW w:w="1356" w:type="dxa"/>
            <w:vAlign w:val="center"/>
          </w:tcPr>
          <w:p w14:paraId="735B8177">
            <w:pPr>
              <w:spacing w:line="360" w:lineRule="exact"/>
              <w:ind w:firstLine="0" w:firstLineChars="0"/>
              <w:jc w:val="center"/>
              <w:rPr>
                <w:sz w:val="21"/>
                <w:szCs w:val="21"/>
                <w:u w:val="single"/>
              </w:rPr>
            </w:pPr>
            <w:r>
              <w:rPr>
                <w:rFonts w:hint="eastAsia"/>
                <w:sz w:val="21"/>
                <w:szCs w:val="21"/>
                <w:u w:val="single"/>
              </w:rPr>
              <w:t>0.12</w:t>
            </w:r>
          </w:p>
        </w:tc>
      </w:tr>
      <w:tr w14:paraId="3446E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09" w:type="dxa"/>
            <w:vAlign w:val="center"/>
          </w:tcPr>
          <w:p w14:paraId="08AA35AB">
            <w:pPr>
              <w:spacing w:line="360" w:lineRule="exact"/>
              <w:ind w:firstLine="0" w:firstLineChars="0"/>
              <w:jc w:val="center"/>
              <w:rPr>
                <w:sz w:val="21"/>
                <w:szCs w:val="21"/>
                <w:u w:val="single"/>
              </w:rPr>
            </w:pPr>
            <w:r>
              <w:rPr>
                <w:sz w:val="21"/>
                <w:szCs w:val="21"/>
                <w:u w:val="single"/>
              </w:rPr>
              <w:t>合计</w:t>
            </w:r>
          </w:p>
        </w:tc>
        <w:tc>
          <w:tcPr>
            <w:tcW w:w="1417" w:type="dxa"/>
            <w:vAlign w:val="center"/>
          </w:tcPr>
          <w:p w14:paraId="04D99281">
            <w:pPr>
              <w:spacing w:line="360" w:lineRule="exact"/>
              <w:ind w:firstLine="0" w:firstLineChars="0"/>
              <w:jc w:val="center"/>
              <w:rPr>
                <w:sz w:val="21"/>
                <w:szCs w:val="21"/>
                <w:u w:val="single"/>
              </w:rPr>
            </w:pPr>
            <w:r>
              <w:rPr>
                <w:rFonts w:hint="eastAsia"/>
                <w:sz w:val="21"/>
                <w:szCs w:val="21"/>
                <w:u w:val="single"/>
              </w:rPr>
              <w:t>1000.12</w:t>
            </w:r>
          </w:p>
        </w:tc>
        <w:tc>
          <w:tcPr>
            <w:tcW w:w="2410" w:type="dxa"/>
            <w:gridSpan w:val="2"/>
            <w:vAlign w:val="center"/>
          </w:tcPr>
          <w:p w14:paraId="29D606E0">
            <w:pPr>
              <w:spacing w:line="360" w:lineRule="exact"/>
              <w:ind w:firstLine="0" w:firstLineChars="0"/>
              <w:jc w:val="center"/>
              <w:rPr>
                <w:sz w:val="21"/>
                <w:szCs w:val="21"/>
                <w:u w:val="single"/>
              </w:rPr>
            </w:pPr>
            <w:r>
              <w:rPr>
                <w:sz w:val="21"/>
                <w:szCs w:val="21"/>
                <w:u w:val="single"/>
              </w:rPr>
              <w:t>合计</w:t>
            </w:r>
          </w:p>
        </w:tc>
        <w:tc>
          <w:tcPr>
            <w:tcW w:w="1356" w:type="dxa"/>
            <w:vAlign w:val="center"/>
          </w:tcPr>
          <w:p w14:paraId="12D29911">
            <w:pPr>
              <w:spacing w:line="360" w:lineRule="exact"/>
              <w:ind w:firstLine="0" w:firstLineChars="0"/>
              <w:jc w:val="center"/>
              <w:rPr>
                <w:sz w:val="21"/>
                <w:szCs w:val="21"/>
                <w:u w:val="single"/>
              </w:rPr>
            </w:pPr>
            <w:r>
              <w:rPr>
                <w:rFonts w:hint="eastAsia"/>
                <w:sz w:val="21"/>
                <w:szCs w:val="21"/>
                <w:u w:val="single"/>
              </w:rPr>
              <w:t>1000.12</w:t>
            </w:r>
          </w:p>
        </w:tc>
      </w:tr>
    </w:tbl>
    <w:p w14:paraId="72A9EFFC">
      <w:pPr>
        <w:pStyle w:val="68"/>
        <w:rPr>
          <w:highlight w:val="yellow"/>
        </w:rPr>
      </w:pPr>
    </w:p>
    <w:p w14:paraId="18115E8E">
      <w:pPr>
        <w:pStyle w:val="68"/>
        <w:rPr>
          <w:highlight w:val="yellow"/>
        </w:rPr>
      </w:pPr>
    </w:p>
    <w:p w14:paraId="36B465E3">
      <w:pPr>
        <w:pStyle w:val="68"/>
        <w:rPr>
          <w:highlight w:val="yellow"/>
        </w:rPr>
      </w:pPr>
    </w:p>
    <w:p w14:paraId="4736229B">
      <w:pPr>
        <w:pStyle w:val="68"/>
        <w:rPr>
          <w:highlight w:val="yellow"/>
        </w:rPr>
        <w:sectPr>
          <w:pgSz w:w="11906" w:h="16838"/>
          <w:pgMar w:top="1440" w:right="1797" w:bottom="1440" w:left="1797" w:header="851" w:footer="992" w:gutter="0"/>
          <w:cols w:space="425" w:num="1"/>
          <w:docGrid w:linePitch="326" w:charSpace="0"/>
        </w:sectPr>
      </w:pPr>
    </w:p>
    <w:p w14:paraId="1D3EB34D">
      <w:pPr>
        <w:pStyle w:val="5"/>
        <w:spacing w:before="240" w:after="240"/>
      </w:pPr>
      <w:r>
        <w:t>产污环节</w:t>
      </w:r>
    </w:p>
    <w:p w14:paraId="1D3EB34E">
      <w:pPr>
        <w:ind w:firstLine="480"/>
      </w:pPr>
      <w:r>
        <w:t>根据上述分析，本项目生产过程中产生的污染因素有废水、废气、噪声和固废。</w:t>
      </w:r>
    </w:p>
    <w:p w14:paraId="1D3EB34F">
      <w:pPr>
        <w:pStyle w:val="64"/>
        <w:numPr>
          <w:ilvl w:val="0"/>
          <w:numId w:val="14"/>
        </w:numPr>
        <w:spacing w:before="120" w:after="120"/>
        <w:ind w:left="884" w:hanging="442" w:firstLineChars="0"/>
      </w:pPr>
      <w:r>
        <w:t xml:space="preserve">          本项目产污环节一览表</w:t>
      </w:r>
    </w:p>
    <w:tbl>
      <w:tblPr>
        <w:tblStyle w:val="41"/>
        <w:tblW w:w="5000" w:type="pct"/>
        <w:tblInd w:w="0" w:type="dxa"/>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28" w:type="dxa"/>
          <w:bottom w:w="0" w:type="dxa"/>
          <w:right w:w="28" w:type="dxa"/>
        </w:tblCellMar>
      </w:tblPr>
      <w:tblGrid>
        <w:gridCol w:w="703"/>
        <w:gridCol w:w="716"/>
        <w:gridCol w:w="1285"/>
        <w:gridCol w:w="2432"/>
        <w:gridCol w:w="1145"/>
        <w:gridCol w:w="1006"/>
        <w:gridCol w:w="1081"/>
      </w:tblGrid>
      <w:tr w14:paraId="1D3EB35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blHeader/>
        </w:trPr>
        <w:tc>
          <w:tcPr>
            <w:tcW w:w="420" w:type="pct"/>
            <w:shd w:val="clear" w:color="auto" w:fill="auto"/>
            <w:tcMar>
              <w:top w:w="28" w:type="dxa"/>
              <w:bottom w:w="28" w:type="dxa"/>
            </w:tcMar>
            <w:vAlign w:val="center"/>
          </w:tcPr>
          <w:p w14:paraId="1D3EB350">
            <w:pPr>
              <w:pStyle w:val="67"/>
              <w:rPr>
                <w:rFonts w:cs="Times New Roman"/>
                <w:color w:val="auto"/>
                <w:u w:val="single"/>
              </w:rPr>
            </w:pPr>
            <w:r>
              <w:rPr>
                <w:rFonts w:cs="Times New Roman"/>
                <w:color w:val="auto"/>
                <w:u w:val="single"/>
              </w:rPr>
              <w:t>项目</w:t>
            </w:r>
          </w:p>
        </w:tc>
        <w:tc>
          <w:tcPr>
            <w:tcW w:w="1196" w:type="pct"/>
            <w:gridSpan w:val="2"/>
            <w:shd w:val="clear" w:color="auto" w:fill="auto"/>
            <w:tcMar>
              <w:top w:w="28" w:type="dxa"/>
              <w:bottom w:w="28" w:type="dxa"/>
            </w:tcMar>
            <w:vAlign w:val="center"/>
          </w:tcPr>
          <w:p w14:paraId="1D3EB351">
            <w:pPr>
              <w:pStyle w:val="67"/>
              <w:rPr>
                <w:rFonts w:cs="Times New Roman"/>
                <w:color w:val="auto"/>
                <w:u w:val="single"/>
              </w:rPr>
            </w:pPr>
            <w:r>
              <w:rPr>
                <w:rFonts w:cs="Times New Roman"/>
                <w:color w:val="auto"/>
                <w:u w:val="single"/>
              </w:rPr>
              <w:t>产污环节</w:t>
            </w:r>
          </w:p>
        </w:tc>
        <w:tc>
          <w:tcPr>
            <w:tcW w:w="1453" w:type="pct"/>
            <w:shd w:val="clear" w:color="auto" w:fill="auto"/>
            <w:tcMar>
              <w:top w:w="28" w:type="dxa"/>
              <w:bottom w:w="28" w:type="dxa"/>
            </w:tcMar>
            <w:vAlign w:val="center"/>
          </w:tcPr>
          <w:p w14:paraId="1D3EB352">
            <w:pPr>
              <w:pStyle w:val="67"/>
              <w:rPr>
                <w:rFonts w:cs="Times New Roman"/>
                <w:color w:val="auto"/>
                <w:u w:val="single"/>
              </w:rPr>
            </w:pPr>
            <w:r>
              <w:rPr>
                <w:rFonts w:cs="Times New Roman"/>
                <w:color w:val="auto"/>
                <w:u w:val="single"/>
              </w:rPr>
              <w:t>污染因子</w:t>
            </w:r>
          </w:p>
        </w:tc>
        <w:tc>
          <w:tcPr>
            <w:tcW w:w="1931" w:type="pct"/>
            <w:gridSpan w:val="3"/>
            <w:shd w:val="clear" w:color="auto" w:fill="auto"/>
            <w:vAlign w:val="center"/>
          </w:tcPr>
          <w:p w14:paraId="1D3EB353">
            <w:pPr>
              <w:pStyle w:val="67"/>
              <w:rPr>
                <w:rFonts w:cs="Times New Roman"/>
                <w:color w:val="auto"/>
                <w:u w:val="single"/>
              </w:rPr>
            </w:pPr>
            <w:r>
              <w:rPr>
                <w:rFonts w:cs="Times New Roman"/>
                <w:color w:val="auto"/>
                <w:u w:val="single"/>
              </w:rPr>
              <w:t>治理措施</w:t>
            </w:r>
          </w:p>
        </w:tc>
      </w:tr>
      <w:tr w14:paraId="1D3EB35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restart"/>
            <w:shd w:val="clear" w:color="auto" w:fill="auto"/>
            <w:tcMar>
              <w:top w:w="28" w:type="dxa"/>
              <w:bottom w:w="28" w:type="dxa"/>
            </w:tcMar>
            <w:vAlign w:val="center"/>
          </w:tcPr>
          <w:p w14:paraId="1D3EB356">
            <w:pPr>
              <w:pStyle w:val="62"/>
              <w:rPr>
                <w:highlight w:val="yellow"/>
                <w:u w:val="single"/>
              </w:rPr>
            </w:pPr>
            <w:r>
              <w:rPr>
                <w:u w:val="single"/>
              </w:rPr>
              <w:t>废气</w:t>
            </w:r>
          </w:p>
        </w:tc>
        <w:tc>
          <w:tcPr>
            <w:tcW w:w="428" w:type="pct"/>
            <w:vMerge w:val="restart"/>
            <w:shd w:val="clear" w:color="auto" w:fill="auto"/>
            <w:tcMar>
              <w:top w:w="28" w:type="dxa"/>
              <w:bottom w:w="28" w:type="dxa"/>
            </w:tcMar>
            <w:vAlign w:val="center"/>
          </w:tcPr>
          <w:p w14:paraId="00849314">
            <w:pPr>
              <w:pStyle w:val="62"/>
              <w:rPr>
                <w:u w:val="single"/>
              </w:rPr>
            </w:pPr>
            <w:r>
              <w:rPr>
                <w:rFonts w:hint="eastAsia"/>
                <w:u w:val="single"/>
              </w:rPr>
              <w:t>聚醚改性硅油</w:t>
            </w:r>
          </w:p>
        </w:tc>
        <w:tc>
          <w:tcPr>
            <w:tcW w:w="768" w:type="pct"/>
            <w:shd w:val="clear" w:color="auto" w:fill="auto"/>
            <w:vAlign w:val="center"/>
          </w:tcPr>
          <w:p w14:paraId="1D3EB357">
            <w:pPr>
              <w:pStyle w:val="62"/>
              <w:rPr>
                <w:u w:val="single"/>
              </w:rPr>
            </w:pPr>
            <w:r>
              <w:rPr>
                <w:rFonts w:hint="eastAsia"/>
                <w:u w:val="single"/>
              </w:rPr>
              <w:t>聚合</w:t>
            </w:r>
          </w:p>
        </w:tc>
        <w:tc>
          <w:tcPr>
            <w:tcW w:w="1453" w:type="pct"/>
            <w:shd w:val="clear" w:color="auto" w:fill="auto"/>
            <w:tcMar>
              <w:top w:w="28" w:type="dxa"/>
              <w:bottom w:w="28" w:type="dxa"/>
            </w:tcMar>
            <w:vAlign w:val="center"/>
          </w:tcPr>
          <w:p w14:paraId="1D3EB358">
            <w:pPr>
              <w:pStyle w:val="62"/>
              <w:rPr>
                <w:highlight w:val="yellow"/>
                <w:u w:val="single"/>
                <w:lang w:val="pt-BR"/>
              </w:rPr>
            </w:pPr>
            <w:r>
              <w:rPr>
                <w:rFonts w:hint="eastAsia"/>
                <w:u w:val="single"/>
                <w:lang w:val="pt-BR"/>
              </w:rPr>
              <w:t>非甲烷总烃、硫酸雾</w:t>
            </w:r>
          </w:p>
        </w:tc>
        <w:tc>
          <w:tcPr>
            <w:tcW w:w="684" w:type="pct"/>
            <w:vMerge w:val="restart"/>
            <w:shd w:val="clear" w:color="auto" w:fill="auto"/>
            <w:vAlign w:val="center"/>
          </w:tcPr>
          <w:p w14:paraId="7D91A3D6">
            <w:pPr>
              <w:pStyle w:val="62"/>
              <w:rPr>
                <w:u w:val="single"/>
              </w:rPr>
            </w:pPr>
            <w:r>
              <w:rPr>
                <w:rFonts w:hint="eastAsia"/>
                <w:u w:val="single"/>
              </w:rPr>
              <w:t>密闭负压收集管道</w:t>
            </w:r>
          </w:p>
        </w:tc>
        <w:tc>
          <w:tcPr>
            <w:tcW w:w="601" w:type="pct"/>
            <w:vMerge w:val="restart"/>
            <w:shd w:val="clear" w:color="auto" w:fill="auto"/>
            <w:vAlign w:val="center"/>
          </w:tcPr>
          <w:p w14:paraId="6940D106">
            <w:pPr>
              <w:pStyle w:val="62"/>
              <w:rPr>
                <w:highlight w:val="yellow"/>
              </w:rPr>
            </w:pPr>
            <w:r>
              <w:rPr>
                <w:rFonts w:hint="eastAsia"/>
              </w:rPr>
              <w:t>设备自带冷凝器+碱</w:t>
            </w:r>
            <w:bookmarkStart w:id="182" w:name="_Hlk175947816"/>
            <w:r>
              <w:rPr>
                <w:rFonts w:hint="eastAsia"/>
              </w:rPr>
              <w:t>喷淋+水喷淋+除雾器</w:t>
            </w:r>
            <w:bookmarkEnd w:id="182"/>
          </w:p>
        </w:tc>
        <w:tc>
          <w:tcPr>
            <w:tcW w:w="646" w:type="pct"/>
            <w:vMerge w:val="restart"/>
            <w:shd w:val="clear" w:color="auto" w:fill="auto"/>
            <w:vAlign w:val="center"/>
          </w:tcPr>
          <w:p w14:paraId="1D3EB359">
            <w:pPr>
              <w:pStyle w:val="62"/>
              <w:rPr>
                <w:highlight w:val="yellow"/>
              </w:rPr>
            </w:pPr>
            <w:r>
              <w:rPr>
                <w:rFonts w:hint="eastAsia"/>
              </w:rPr>
              <w:t>活性炭吸附装置+15m高排气筒DA001</w:t>
            </w:r>
          </w:p>
        </w:tc>
      </w:tr>
      <w:tr w14:paraId="3C5A8E3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6228DDD7">
            <w:pPr>
              <w:pStyle w:val="62"/>
              <w:rPr>
                <w:u w:val="single"/>
              </w:rPr>
            </w:pPr>
          </w:p>
        </w:tc>
        <w:tc>
          <w:tcPr>
            <w:tcW w:w="428" w:type="pct"/>
            <w:vMerge w:val="continue"/>
            <w:shd w:val="clear" w:color="auto" w:fill="auto"/>
            <w:tcMar>
              <w:top w:w="28" w:type="dxa"/>
              <w:bottom w:w="28" w:type="dxa"/>
            </w:tcMar>
            <w:vAlign w:val="center"/>
          </w:tcPr>
          <w:p w14:paraId="54D35D0B">
            <w:pPr>
              <w:pStyle w:val="62"/>
              <w:rPr>
                <w:u w:val="single"/>
              </w:rPr>
            </w:pPr>
          </w:p>
        </w:tc>
        <w:tc>
          <w:tcPr>
            <w:tcW w:w="768" w:type="pct"/>
            <w:shd w:val="clear" w:color="auto" w:fill="auto"/>
            <w:vAlign w:val="center"/>
          </w:tcPr>
          <w:p w14:paraId="4BA543F7">
            <w:pPr>
              <w:pStyle w:val="62"/>
              <w:rPr>
                <w:u w:val="single"/>
              </w:rPr>
            </w:pPr>
            <w:r>
              <w:rPr>
                <w:rFonts w:hint="eastAsia"/>
                <w:u w:val="single"/>
              </w:rPr>
              <w:t>中和</w:t>
            </w:r>
          </w:p>
        </w:tc>
        <w:tc>
          <w:tcPr>
            <w:tcW w:w="1453" w:type="pct"/>
            <w:shd w:val="clear" w:color="auto" w:fill="auto"/>
            <w:tcMar>
              <w:top w:w="28" w:type="dxa"/>
              <w:bottom w:w="28" w:type="dxa"/>
            </w:tcMar>
            <w:vAlign w:val="center"/>
          </w:tcPr>
          <w:p w14:paraId="1E2D33D3">
            <w:pPr>
              <w:pStyle w:val="62"/>
              <w:rPr>
                <w:u w:val="single"/>
                <w:lang w:val="pt-BR"/>
              </w:rPr>
            </w:pPr>
            <w:r>
              <w:rPr>
                <w:rFonts w:hint="eastAsia"/>
                <w:u w:val="single"/>
                <w:lang w:val="pt-BR"/>
              </w:rPr>
              <w:t>非甲烷总烃</w:t>
            </w:r>
          </w:p>
        </w:tc>
        <w:tc>
          <w:tcPr>
            <w:tcW w:w="684" w:type="pct"/>
            <w:vMerge w:val="continue"/>
            <w:shd w:val="clear" w:color="auto" w:fill="auto"/>
            <w:vAlign w:val="center"/>
          </w:tcPr>
          <w:p w14:paraId="4729D801">
            <w:pPr>
              <w:pStyle w:val="62"/>
              <w:rPr>
                <w:u w:val="single"/>
              </w:rPr>
            </w:pPr>
          </w:p>
        </w:tc>
        <w:tc>
          <w:tcPr>
            <w:tcW w:w="601" w:type="pct"/>
            <w:vMerge w:val="continue"/>
            <w:shd w:val="clear" w:color="auto" w:fill="auto"/>
            <w:vAlign w:val="center"/>
          </w:tcPr>
          <w:p w14:paraId="2B507A9A">
            <w:pPr>
              <w:pStyle w:val="62"/>
            </w:pPr>
          </w:p>
        </w:tc>
        <w:tc>
          <w:tcPr>
            <w:tcW w:w="646" w:type="pct"/>
            <w:vMerge w:val="continue"/>
            <w:shd w:val="clear" w:color="auto" w:fill="auto"/>
            <w:vAlign w:val="center"/>
          </w:tcPr>
          <w:p w14:paraId="497C306C">
            <w:pPr>
              <w:pStyle w:val="62"/>
            </w:pPr>
          </w:p>
        </w:tc>
      </w:tr>
      <w:tr w14:paraId="1D3EB36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1D3EB35C">
            <w:pPr>
              <w:pStyle w:val="62"/>
              <w:rPr>
                <w:highlight w:val="yellow"/>
                <w:u w:val="single"/>
              </w:rPr>
            </w:pPr>
          </w:p>
        </w:tc>
        <w:tc>
          <w:tcPr>
            <w:tcW w:w="428" w:type="pct"/>
            <w:vMerge w:val="continue"/>
            <w:shd w:val="clear" w:color="auto" w:fill="auto"/>
            <w:tcMar>
              <w:top w:w="28" w:type="dxa"/>
              <w:bottom w:w="28" w:type="dxa"/>
            </w:tcMar>
            <w:vAlign w:val="center"/>
          </w:tcPr>
          <w:p w14:paraId="14EB9E19">
            <w:pPr>
              <w:pStyle w:val="62"/>
              <w:rPr>
                <w:u w:val="single"/>
              </w:rPr>
            </w:pPr>
          </w:p>
        </w:tc>
        <w:tc>
          <w:tcPr>
            <w:tcW w:w="768" w:type="pct"/>
            <w:shd w:val="clear" w:color="auto" w:fill="auto"/>
            <w:vAlign w:val="center"/>
          </w:tcPr>
          <w:p w14:paraId="1D3EB35D">
            <w:pPr>
              <w:pStyle w:val="62"/>
              <w:rPr>
                <w:u w:val="single"/>
              </w:rPr>
            </w:pPr>
            <w:r>
              <w:rPr>
                <w:rFonts w:hint="eastAsia"/>
                <w:u w:val="single"/>
              </w:rPr>
              <w:t>硅氢化反应、脱色</w:t>
            </w:r>
          </w:p>
        </w:tc>
        <w:tc>
          <w:tcPr>
            <w:tcW w:w="1453" w:type="pct"/>
            <w:shd w:val="clear" w:color="auto" w:fill="auto"/>
            <w:tcMar>
              <w:top w:w="28" w:type="dxa"/>
              <w:bottom w:w="28" w:type="dxa"/>
            </w:tcMar>
            <w:vAlign w:val="center"/>
          </w:tcPr>
          <w:p w14:paraId="1D3EB35E">
            <w:pPr>
              <w:pStyle w:val="62"/>
              <w:rPr>
                <w:highlight w:val="yellow"/>
                <w:u w:val="single"/>
                <w:lang w:val="pt-BR"/>
              </w:rPr>
            </w:pPr>
            <w:r>
              <w:rPr>
                <w:rFonts w:hint="eastAsia"/>
                <w:u w:val="single"/>
                <w:lang w:val="pt-BR"/>
              </w:rPr>
              <w:t>非甲烷总烃</w:t>
            </w:r>
          </w:p>
        </w:tc>
        <w:tc>
          <w:tcPr>
            <w:tcW w:w="684" w:type="pct"/>
            <w:shd w:val="clear" w:color="auto" w:fill="auto"/>
            <w:vAlign w:val="center"/>
          </w:tcPr>
          <w:p w14:paraId="198AFFCB">
            <w:pPr>
              <w:pStyle w:val="62"/>
              <w:rPr>
                <w:u w:val="single"/>
                <w:lang w:val="pt-BR"/>
              </w:rPr>
            </w:pPr>
            <w:r>
              <w:rPr>
                <w:rFonts w:hint="eastAsia"/>
                <w:u w:val="single"/>
              </w:rPr>
              <w:t>密闭负压收集管道</w:t>
            </w:r>
          </w:p>
        </w:tc>
        <w:tc>
          <w:tcPr>
            <w:tcW w:w="601" w:type="pct"/>
            <w:vMerge w:val="continue"/>
            <w:shd w:val="clear" w:color="auto" w:fill="auto"/>
            <w:vAlign w:val="center"/>
          </w:tcPr>
          <w:p w14:paraId="3BEAA517">
            <w:pPr>
              <w:pStyle w:val="62"/>
              <w:rPr>
                <w:highlight w:val="yellow"/>
                <w:lang w:val="pt-BR"/>
              </w:rPr>
            </w:pPr>
          </w:p>
        </w:tc>
        <w:tc>
          <w:tcPr>
            <w:tcW w:w="646" w:type="pct"/>
            <w:vMerge w:val="continue"/>
            <w:shd w:val="clear" w:color="auto" w:fill="auto"/>
            <w:vAlign w:val="center"/>
          </w:tcPr>
          <w:p w14:paraId="1D3EB35F">
            <w:pPr>
              <w:pStyle w:val="62"/>
              <w:rPr>
                <w:highlight w:val="yellow"/>
                <w:lang w:val="pt-BR"/>
              </w:rPr>
            </w:pPr>
          </w:p>
        </w:tc>
      </w:tr>
      <w:tr w14:paraId="58E9EF3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430BA8CF">
            <w:pPr>
              <w:pStyle w:val="62"/>
              <w:rPr>
                <w:highlight w:val="yellow"/>
                <w:u w:val="single"/>
              </w:rPr>
            </w:pPr>
          </w:p>
        </w:tc>
        <w:tc>
          <w:tcPr>
            <w:tcW w:w="1196" w:type="pct"/>
            <w:gridSpan w:val="2"/>
            <w:shd w:val="clear" w:color="auto" w:fill="auto"/>
            <w:tcMar>
              <w:top w:w="28" w:type="dxa"/>
              <w:bottom w:w="28" w:type="dxa"/>
            </w:tcMar>
            <w:vAlign w:val="center"/>
          </w:tcPr>
          <w:p w14:paraId="11CBF8E4">
            <w:pPr>
              <w:pStyle w:val="62"/>
              <w:rPr>
                <w:u w:val="single"/>
              </w:rPr>
            </w:pPr>
            <w:r>
              <w:rPr>
                <w:rFonts w:hint="eastAsia"/>
                <w:u w:val="single"/>
              </w:rPr>
              <w:t>污水处理站废气</w:t>
            </w:r>
          </w:p>
        </w:tc>
        <w:tc>
          <w:tcPr>
            <w:tcW w:w="1453" w:type="pct"/>
            <w:shd w:val="clear" w:color="auto" w:fill="auto"/>
            <w:tcMar>
              <w:top w:w="28" w:type="dxa"/>
              <w:bottom w:w="28" w:type="dxa"/>
            </w:tcMar>
            <w:vAlign w:val="center"/>
          </w:tcPr>
          <w:p w14:paraId="5917EBE3">
            <w:pPr>
              <w:pStyle w:val="62"/>
              <w:rPr>
                <w:u w:val="single"/>
                <w:lang w:val="pt-BR"/>
              </w:rPr>
            </w:pPr>
            <w:r>
              <w:rPr>
                <w:rFonts w:hint="eastAsia"/>
                <w:u w:val="single"/>
                <w:lang w:val="pt-BR"/>
              </w:rPr>
              <w:t>氨、硫化氢、臭气浓度、非甲烷总烃</w:t>
            </w:r>
          </w:p>
        </w:tc>
        <w:tc>
          <w:tcPr>
            <w:tcW w:w="684" w:type="pct"/>
            <w:shd w:val="clear" w:color="auto" w:fill="auto"/>
            <w:vAlign w:val="center"/>
          </w:tcPr>
          <w:p w14:paraId="05C151FD">
            <w:pPr>
              <w:pStyle w:val="62"/>
              <w:rPr>
                <w:u w:val="single"/>
              </w:rPr>
            </w:pPr>
            <w:r>
              <w:rPr>
                <w:rFonts w:hint="eastAsia"/>
                <w:u w:val="single"/>
              </w:rPr>
              <w:t>密闭负压收集管道</w:t>
            </w:r>
          </w:p>
        </w:tc>
        <w:tc>
          <w:tcPr>
            <w:tcW w:w="601" w:type="pct"/>
            <w:vMerge w:val="continue"/>
            <w:shd w:val="clear" w:color="auto" w:fill="auto"/>
            <w:vAlign w:val="center"/>
          </w:tcPr>
          <w:p w14:paraId="64730750">
            <w:pPr>
              <w:pStyle w:val="62"/>
              <w:rPr>
                <w:highlight w:val="yellow"/>
                <w:lang w:val="pt-BR"/>
              </w:rPr>
            </w:pPr>
          </w:p>
        </w:tc>
        <w:tc>
          <w:tcPr>
            <w:tcW w:w="646" w:type="pct"/>
            <w:vMerge w:val="continue"/>
            <w:shd w:val="clear" w:color="auto" w:fill="auto"/>
            <w:vAlign w:val="center"/>
          </w:tcPr>
          <w:p w14:paraId="2868D617">
            <w:pPr>
              <w:pStyle w:val="62"/>
              <w:rPr>
                <w:highlight w:val="yellow"/>
                <w:lang w:val="pt-BR"/>
              </w:rPr>
            </w:pPr>
          </w:p>
        </w:tc>
      </w:tr>
      <w:tr w14:paraId="0C14FF53">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09346D1F">
            <w:pPr>
              <w:pStyle w:val="62"/>
              <w:rPr>
                <w:highlight w:val="yellow"/>
                <w:u w:val="single"/>
              </w:rPr>
            </w:pPr>
          </w:p>
        </w:tc>
        <w:tc>
          <w:tcPr>
            <w:tcW w:w="1196" w:type="pct"/>
            <w:gridSpan w:val="2"/>
            <w:shd w:val="clear" w:color="auto" w:fill="auto"/>
            <w:tcMar>
              <w:top w:w="28" w:type="dxa"/>
              <w:bottom w:w="28" w:type="dxa"/>
            </w:tcMar>
            <w:vAlign w:val="center"/>
          </w:tcPr>
          <w:p w14:paraId="4819E671">
            <w:pPr>
              <w:pStyle w:val="62"/>
              <w:rPr>
                <w:u w:val="single"/>
              </w:rPr>
            </w:pPr>
            <w:r>
              <w:rPr>
                <w:rFonts w:hint="eastAsia"/>
                <w:u w:val="single"/>
              </w:rPr>
              <w:t>危险废物贮存库废气</w:t>
            </w:r>
          </w:p>
        </w:tc>
        <w:tc>
          <w:tcPr>
            <w:tcW w:w="1453" w:type="pct"/>
            <w:shd w:val="clear" w:color="auto" w:fill="auto"/>
            <w:tcMar>
              <w:top w:w="28" w:type="dxa"/>
              <w:bottom w:w="28" w:type="dxa"/>
            </w:tcMar>
            <w:vAlign w:val="center"/>
          </w:tcPr>
          <w:p w14:paraId="24AA5EE9">
            <w:pPr>
              <w:pStyle w:val="62"/>
              <w:rPr>
                <w:u w:val="single"/>
                <w:lang w:val="pt-BR"/>
              </w:rPr>
            </w:pPr>
            <w:r>
              <w:rPr>
                <w:rFonts w:hint="eastAsia"/>
                <w:u w:val="single"/>
                <w:lang w:val="pt-BR"/>
              </w:rPr>
              <w:t>非甲烷总烃</w:t>
            </w:r>
          </w:p>
        </w:tc>
        <w:tc>
          <w:tcPr>
            <w:tcW w:w="684" w:type="pct"/>
            <w:shd w:val="clear" w:color="auto" w:fill="auto"/>
            <w:vAlign w:val="center"/>
          </w:tcPr>
          <w:p w14:paraId="3707CCAA">
            <w:pPr>
              <w:pStyle w:val="62"/>
              <w:rPr>
                <w:u w:val="single"/>
              </w:rPr>
            </w:pPr>
            <w:r>
              <w:rPr>
                <w:rFonts w:hint="eastAsia"/>
                <w:u w:val="single"/>
              </w:rPr>
              <w:t>负压收集管道</w:t>
            </w:r>
          </w:p>
        </w:tc>
        <w:tc>
          <w:tcPr>
            <w:tcW w:w="601" w:type="pct"/>
            <w:shd w:val="clear" w:color="auto" w:fill="auto"/>
            <w:vAlign w:val="center"/>
          </w:tcPr>
          <w:p w14:paraId="50982471">
            <w:pPr>
              <w:pStyle w:val="62"/>
              <w:rPr>
                <w:lang w:val="pt-BR"/>
              </w:rPr>
            </w:pPr>
            <w:r>
              <w:rPr>
                <w:rFonts w:hint="eastAsia"/>
                <w:lang w:val="pt-BR"/>
              </w:rPr>
              <w:t>/</w:t>
            </w:r>
          </w:p>
        </w:tc>
        <w:tc>
          <w:tcPr>
            <w:tcW w:w="646" w:type="pct"/>
            <w:vMerge w:val="continue"/>
            <w:shd w:val="clear" w:color="auto" w:fill="auto"/>
            <w:vAlign w:val="center"/>
          </w:tcPr>
          <w:p w14:paraId="503493C0">
            <w:pPr>
              <w:pStyle w:val="62"/>
              <w:rPr>
                <w:highlight w:val="yellow"/>
                <w:lang w:val="pt-BR"/>
              </w:rPr>
            </w:pPr>
          </w:p>
        </w:tc>
      </w:tr>
      <w:tr w14:paraId="4DE3354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23C0165F">
            <w:pPr>
              <w:pStyle w:val="62"/>
              <w:rPr>
                <w:highlight w:val="yellow"/>
                <w:u w:val="single"/>
              </w:rPr>
            </w:pPr>
          </w:p>
        </w:tc>
        <w:tc>
          <w:tcPr>
            <w:tcW w:w="1196" w:type="pct"/>
            <w:gridSpan w:val="2"/>
            <w:shd w:val="clear" w:color="auto" w:fill="auto"/>
            <w:tcMar>
              <w:top w:w="28" w:type="dxa"/>
              <w:bottom w:w="28" w:type="dxa"/>
            </w:tcMar>
            <w:vAlign w:val="center"/>
          </w:tcPr>
          <w:p w14:paraId="41CC5A54">
            <w:pPr>
              <w:pStyle w:val="62"/>
              <w:rPr>
                <w:u w:val="single"/>
              </w:rPr>
            </w:pPr>
            <w:r>
              <w:rPr>
                <w:rFonts w:hint="eastAsia"/>
                <w:u w:val="single"/>
              </w:rPr>
              <w:t>化验室废气</w:t>
            </w:r>
          </w:p>
        </w:tc>
        <w:tc>
          <w:tcPr>
            <w:tcW w:w="1453" w:type="pct"/>
            <w:shd w:val="clear" w:color="auto" w:fill="auto"/>
            <w:tcMar>
              <w:top w:w="28" w:type="dxa"/>
              <w:bottom w:w="28" w:type="dxa"/>
            </w:tcMar>
            <w:vAlign w:val="center"/>
          </w:tcPr>
          <w:p w14:paraId="57B22952">
            <w:pPr>
              <w:pStyle w:val="62"/>
              <w:rPr>
                <w:u w:val="single"/>
                <w:lang w:val="pt-BR"/>
              </w:rPr>
            </w:pPr>
            <w:r>
              <w:rPr>
                <w:rFonts w:hint="eastAsia"/>
                <w:u w:val="single"/>
                <w:lang w:val="pt-BR"/>
              </w:rPr>
              <w:t>非甲烷总烃</w:t>
            </w:r>
          </w:p>
        </w:tc>
        <w:tc>
          <w:tcPr>
            <w:tcW w:w="684" w:type="pct"/>
            <w:shd w:val="clear" w:color="auto" w:fill="auto"/>
            <w:vAlign w:val="center"/>
          </w:tcPr>
          <w:p w14:paraId="68E822B3">
            <w:pPr>
              <w:pStyle w:val="62"/>
              <w:rPr>
                <w:u w:val="single"/>
              </w:rPr>
            </w:pPr>
            <w:r>
              <w:rPr>
                <w:rFonts w:hint="eastAsia"/>
                <w:u w:val="single"/>
              </w:rPr>
              <w:t>负压收集管道</w:t>
            </w:r>
          </w:p>
        </w:tc>
        <w:tc>
          <w:tcPr>
            <w:tcW w:w="601" w:type="pct"/>
            <w:shd w:val="clear" w:color="auto" w:fill="auto"/>
            <w:vAlign w:val="center"/>
          </w:tcPr>
          <w:p w14:paraId="162E65E4">
            <w:pPr>
              <w:pStyle w:val="62"/>
              <w:rPr>
                <w:lang w:val="pt-BR"/>
              </w:rPr>
            </w:pPr>
            <w:r>
              <w:rPr>
                <w:rFonts w:hint="eastAsia"/>
                <w:lang w:val="pt-BR"/>
              </w:rPr>
              <w:t>/</w:t>
            </w:r>
          </w:p>
        </w:tc>
        <w:tc>
          <w:tcPr>
            <w:tcW w:w="646" w:type="pct"/>
            <w:vMerge w:val="continue"/>
            <w:shd w:val="clear" w:color="auto" w:fill="auto"/>
            <w:vAlign w:val="center"/>
          </w:tcPr>
          <w:p w14:paraId="7F39223B">
            <w:pPr>
              <w:pStyle w:val="62"/>
              <w:rPr>
                <w:highlight w:val="yellow"/>
                <w:lang w:val="pt-BR"/>
              </w:rPr>
            </w:pPr>
          </w:p>
        </w:tc>
      </w:tr>
      <w:tr w14:paraId="1D3EB3A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1D3EB3AA">
            <w:pPr>
              <w:pStyle w:val="62"/>
              <w:rPr>
                <w:highlight w:val="yellow"/>
                <w:u w:val="single"/>
              </w:rPr>
            </w:pPr>
          </w:p>
        </w:tc>
        <w:tc>
          <w:tcPr>
            <w:tcW w:w="428" w:type="pct"/>
            <w:shd w:val="clear" w:color="auto" w:fill="auto"/>
            <w:tcMar>
              <w:top w:w="28" w:type="dxa"/>
              <w:bottom w:w="28" w:type="dxa"/>
            </w:tcMar>
            <w:vAlign w:val="center"/>
          </w:tcPr>
          <w:p w14:paraId="7797A384">
            <w:pPr>
              <w:pStyle w:val="62"/>
              <w:rPr>
                <w:u w:val="single"/>
              </w:rPr>
            </w:pPr>
            <w:r>
              <w:rPr>
                <w:rFonts w:hint="eastAsia"/>
                <w:u w:val="single"/>
              </w:rPr>
              <w:t>色浆</w:t>
            </w:r>
          </w:p>
        </w:tc>
        <w:tc>
          <w:tcPr>
            <w:tcW w:w="768" w:type="pct"/>
            <w:shd w:val="clear" w:color="auto" w:fill="auto"/>
            <w:vAlign w:val="center"/>
          </w:tcPr>
          <w:p w14:paraId="1D3EB3AB">
            <w:pPr>
              <w:pStyle w:val="62"/>
              <w:rPr>
                <w:highlight w:val="yellow"/>
                <w:u w:val="single"/>
              </w:rPr>
            </w:pPr>
            <w:r>
              <w:rPr>
                <w:rFonts w:hint="eastAsia"/>
                <w:u w:val="single"/>
              </w:rPr>
              <w:t>投料</w:t>
            </w:r>
          </w:p>
        </w:tc>
        <w:tc>
          <w:tcPr>
            <w:tcW w:w="1453" w:type="pct"/>
            <w:shd w:val="clear" w:color="auto" w:fill="auto"/>
            <w:tcMar>
              <w:top w:w="28" w:type="dxa"/>
              <w:bottom w:w="28" w:type="dxa"/>
            </w:tcMar>
            <w:vAlign w:val="center"/>
          </w:tcPr>
          <w:p w14:paraId="1D3EB3AC">
            <w:pPr>
              <w:pStyle w:val="62"/>
              <w:rPr>
                <w:u w:val="single"/>
              </w:rPr>
            </w:pPr>
            <w:r>
              <w:rPr>
                <w:rFonts w:hint="eastAsia"/>
                <w:u w:val="single"/>
              </w:rPr>
              <w:t>颗粒物</w:t>
            </w:r>
          </w:p>
        </w:tc>
        <w:tc>
          <w:tcPr>
            <w:tcW w:w="1931" w:type="pct"/>
            <w:gridSpan w:val="3"/>
            <w:shd w:val="clear" w:color="auto" w:fill="auto"/>
            <w:vAlign w:val="center"/>
          </w:tcPr>
          <w:p w14:paraId="0BA6CF5D">
            <w:pPr>
              <w:pStyle w:val="62"/>
              <w:rPr>
                <w:highlight w:val="yellow"/>
                <w:u w:val="single"/>
              </w:rPr>
            </w:pPr>
            <w:r>
              <w:rPr>
                <w:rFonts w:hint="eastAsia"/>
                <w:u w:val="single"/>
              </w:rPr>
              <w:t>密闭投料站+负压收集管道+</w:t>
            </w:r>
          </w:p>
          <w:p w14:paraId="1D3EB3AD">
            <w:pPr>
              <w:pStyle w:val="62"/>
              <w:rPr>
                <w:highlight w:val="yellow"/>
                <w:u w:val="single"/>
              </w:rPr>
            </w:pPr>
            <w:r>
              <w:rPr>
                <w:rFonts w:hint="eastAsia"/>
                <w:u w:val="single"/>
              </w:rPr>
              <w:t>袋式除尘器+15m高排气筒DA002</w:t>
            </w:r>
          </w:p>
        </w:tc>
      </w:tr>
      <w:tr w14:paraId="1D3EB3C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restart"/>
            <w:shd w:val="clear" w:color="auto" w:fill="auto"/>
            <w:tcMar>
              <w:top w:w="28" w:type="dxa"/>
              <w:bottom w:w="28" w:type="dxa"/>
            </w:tcMar>
            <w:vAlign w:val="center"/>
          </w:tcPr>
          <w:p w14:paraId="1D3EB3C2">
            <w:pPr>
              <w:pStyle w:val="62"/>
              <w:rPr>
                <w:highlight w:val="yellow"/>
              </w:rPr>
            </w:pPr>
            <w:r>
              <w:t>废水</w:t>
            </w:r>
          </w:p>
        </w:tc>
        <w:tc>
          <w:tcPr>
            <w:tcW w:w="1196" w:type="pct"/>
            <w:gridSpan w:val="2"/>
            <w:shd w:val="clear" w:color="auto" w:fill="auto"/>
            <w:tcMar>
              <w:top w:w="28" w:type="dxa"/>
              <w:bottom w:w="28" w:type="dxa"/>
            </w:tcMar>
            <w:vAlign w:val="center"/>
          </w:tcPr>
          <w:p w14:paraId="1D3EB3C3">
            <w:pPr>
              <w:pStyle w:val="62"/>
              <w:rPr>
                <w:u w:val="single"/>
              </w:rPr>
            </w:pPr>
            <w:r>
              <w:rPr>
                <w:u w:val="single"/>
              </w:rPr>
              <w:t>循环</w:t>
            </w:r>
            <w:r>
              <w:rPr>
                <w:rFonts w:hint="eastAsia"/>
                <w:u w:val="single"/>
              </w:rPr>
              <w:t>冷却</w:t>
            </w:r>
            <w:r>
              <w:rPr>
                <w:u w:val="single"/>
              </w:rPr>
              <w:t>水系统排水</w:t>
            </w:r>
          </w:p>
        </w:tc>
        <w:tc>
          <w:tcPr>
            <w:tcW w:w="1453" w:type="pct"/>
            <w:shd w:val="clear" w:color="auto" w:fill="auto"/>
            <w:tcMar>
              <w:top w:w="28" w:type="dxa"/>
              <w:bottom w:w="28" w:type="dxa"/>
            </w:tcMar>
            <w:vAlign w:val="center"/>
          </w:tcPr>
          <w:p w14:paraId="1D3EB3C4">
            <w:pPr>
              <w:pStyle w:val="62"/>
              <w:rPr>
                <w:u w:val="single"/>
              </w:rPr>
            </w:pPr>
            <w:r>
              <w:rPr>
                <w:u w:val="single"/>
              </w:rPr>
              <w:t>COD、SS、BOD</w:t>
            </w:r>
            <w:r>
              <w:rPr>
                <w:u w:val="single"/>
                <w:vertAlign w:val="subscript"/>
              </w:rPr>
              <w:t>5</w:t>
            </w:r>
          </w:p>
        </w:tc>
        <w:tc>
          <w:tcPr>
            <w:tcW w:w="1285" w:type="pct"/>
            <w:gridSpan w:val="2"/>
            <w:vMerge w:val="restart"/>
            <w:shd w:val="clear" w:color="auto" w:fill="auto"/>
            <w:vAlign w:val="center"/>
          </w:tcPr>
          <w:p w14:paraId="139E6FAC">
            <w:pPr>
              <w:pStyle w:val="62"/>
              <w:rPr>
                <w:u w:val="single"/>
              </w:rPr>
            </w:pPr>
            <w:r>
              <w:rPr>
                <w:rFonts w:hint="eastAsia"/>
                <w:u w:val="single"/>
              </w:rPr>
              <w:t>污水处理站</w:t>
            </w:r>
          </w:p>
          <w:p w14:paraId="39E57EA0">
            <w:pPr>
              <w:pStyle w:val="62"/>
              <w:rPr>
                <w:highlight w:val="yellow"/>
                <w:u w:val="single"/>
              </w:rPr>
            </w:pPr>
            <w:r>
              <w:rPr>
                <w:rFonts w:hint="eastAsia"/>
                <w:u w:val="single"/>
              </w:rPr>
              <w:t>（</w:t>
            </w:r>
            <w:r>
              <w:rPr>
                <w:bCs/>
                <w:u w:val="single"/>
              </w:rPr>
              <w:t>调节池</w:t>
            </w:r>
            <w:r>
              <w:rPr>
                <w:rFonts w:hint="eastAsia"/>
                <w:bCs/>
                <w:u w:val="single"/>
              </w:rPr>
              <w:t>+隔油池+水解酸化+</w:t>
            </w:r>
            <w:r>
              <w:rPr>
                <w:rFonts w:hint="eastAsia"/>
                <w:u w:val="single"/>
              </w:rPr>
              <w:t>接触氧化+二沉池，8m</w:t>
            </w:r>
            <w:r>
              <w:rPr>
                <w:rFonts w:hint="eastAsia"/>
                <w:u w:val="single"/>
                <w:vertAlign w:val="superscript"/>
              </w:rPr>
              <w:t>3</w:t>
            </w:r>
            <w:r>
              <w:rPr>
                <w:rFonts w:hint="eastAsia"/>
                <w:u w:val="single"/>
              </w:rPr>
              <w:t>/d）</w:t>
            </w:r>
          </w:p>
        </w:tc>
        <w:tc>
          <w:tcPr>
            <w:tcW w:w="646" w:type="pct"/>
            <w:vMerge w:val="restart"/>
            <w:shd w:val="clear" w:color="auto" w:fill="auto"/>
            <w:vAlign w:val="center"/>
          </w:tcPr>
          <w:p w14:paraId="1D3EB3C5">
            <w:pPr>
              <w:pStyle w:val="62"/>
              <w:rPr>
                <w:highlight w:val="yellow"/>
                <w:u w:val="single"/>
              </w:rPr>
            </w:pPr>
            <w:r>
              <w:rPr>
                <w:rFonts w:hint="eastAsia"/>
                <w:bCs/>
                <w:u w:val="single"/>
              </w:rPr>
              <w:t>唐庄</w:t>
            </w:r>
            <w:r>
              <w:rPr>
                <w:bCs/>
                <w:u w:val="single"/>
              </w:rPr>
              <w:t>污水处理厂</w:t>
            </w:r>
          </w:p>
        </w:tc>
      </w:tr>
      <w:tr w14:paraId="6A793F63">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1CD50CE8">
            <w:pPr>
              <w:pStyle w:val="62"/>
            </w:pPr>
          </w:p>
        </w:tc>
        <w:tc>
          <w:tcPr>
            <w:tcW w:w="1196" w:type="pct"/>
            <w:gridSpan w:val="2"/>
            <w:shd w:val="clear" w:color="auto" w:fill="auto"/>
            <w:tcMar>
              <w:top w:w="28" w:type="dxa"/>
              <w:bottom w:w="28" w:type="dxa"/>
            </w:tcMar>
            <w:vAlign w:val="center"/>
          </w:tcPr>
          <w:p w14:paraId="345CEB5C">
            <w:pPr>
              <w:pStyle w:val="62"/>
              <w:rPr>
                <w:u w:val="single"/>
              </w:rPr>
            </w:pPr>
            <w:r>
              <w:rPr>
                <w:rFonts w:hint="eastAsia"/>
                <w:u w:val="single"/>
              </w:rPr>
              <w:t>车间地面拖洗废水</w:t>
            </w:r>
          </w:p>
        </w:tc>
        <w:tc>
          <w:tcPr>
            <w:tcW w:w="1453" w:type="pct"/>
            <w:shd w:val="clear" w:color="auto" w:fill="auto"/>
            <w:tcMar>
              <w:top w:w="28" w:type="dxa"/>
              <w:bottom w:w="28" w:type="dxa"/>
            </w:tcMar>
            <w:vAlign w:val="center"/>
          </w:tcPr>
          <w:p w14:paraId="6BBE0269">
            <w:pPr>
              <w:pStyle w:val="62"/>
              <w:rPr>
                <w:u w:val="single"/>
              </w:rPr>
            </w:pPr>
            <w:r>
              <w:rPr>
                <w:u w:val="single"/>
              </w:rPr>
              <w:t>COD、SS、BOD</w:t>
            </w:r>
            <w:r>
              <w:rPr>
                <w:u w:val="single"/>
                <w:vertAlign w:val="subscript"/>
              </w:rPr>
              <w:t>5</w:t>
            </w:r>
            <w:r>
              <w:rPr>
                <w:u w:val="single"/>
              </w:rPr>
              <w:t>、氨氮、总磷、总氮</w:t>
            </w:r>
            <w:r>
              <w:rPr>
                <w:rFonts w:hint="eastAsia"/>
                <w:u w:val="single"/>
              </w:rPr>
              <w:t>、色度、石油类</w:t>
            </w:r>
          </w:p>
        </w:tc>
        <w:tc>
          <w:tcPr>
            <w:tcW w:w="1285" w:type="pct"/>
            <w:gridSpan w:val="2"/>
            <w:vMerge w:val="continue"/>
            <w:shd w:val="clear" w:color="auto" w:fill="auto"/>
            <w:vAlign w:val="center"/>
          </w:tcPr>
          <w:p w14:paraId="736F55C0">
            <w:pPr>
              <w:pStyle w:val="62"/>
              <w:rPr>
                <w:u w:val="single"/>
              </w:rPr>
            </w:pPr>
          </w:p>
        </w:tc>
        <w:tc>
          <w:tcPr>
            <w:tcW w:w="646" w:type="pct"/>
            <w:vMerge w:val="continue"/>
            <w:shd w:val="clear" w:color="auto" w:fill="auto"/>
            <w:vAlign w:val="center"/>
          </w:tcPr>
          <w:p w14:paraId="11399E44">
            <w:pPr>
              <w:pStyle w:val="62"/>
              <w:rPr>
                <w:bCs/>
                <w:highlight w:val="yellow"/>
              </w:rPr>
            </w:pPr>
          </w:p>
        </w:tc>
      </w:tr>
      <w:tr w14:paraId="0D5A9AE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58DAAD83">
            <w:pPr>
              <w:pStyle w:val="62"/>
            </w:pPr>
          </w:p>
        </w:tc>
        <w:tc>
          <w:tcPr>
            <w:tcW w:w="1196" w:type="pct"/>
            <w:gridSpan w:val="2"/>
            <w:shd w:val="clear" w:color="auto" w:fill="auto"/>
            <w:tcMar>
              <w:top w:w="28" w:type="dxa"/>
              <w:bottom w:w="28" w:type="dxa"/>
            </w:tcMar>
            <w:vAlign w:val="center"/>
          </w:tcPr>
          <w:p w14:paraId="583F53E7">
            <w:pPr>
              <w:pStyle w:val="62"/>
              <w:rPr>
                <w:u w:val="single"/>
              </w:rPr>
            </w:pPr>
            <w:r>
              <w:rPr>
                <w:rFonts w:hint="eastAsia"/>
                <w:u w:val="single"/>
              </w:rPr>
              <w:t>喷淋废水</w:t>
            </w:r>
          </w:p>
        </w:tc>
        <w:tc>
          <w:tcPr>
            <w:tcW w:w="1453" w:type="pct"/>
            <w:shd w:val="clear" w:color="auto" w:fill="auto"/>
            <w:tcMar>
              <w:top w:w="28" w:type="dxa"/>
              <w:bottom w:w="28" w:type="dxa"/>
            </w:tcMar>
            <w:vAlign w:val="center"/>
          </w:tcPr>
          <w:p w14:paraId="1082B28B">
            <w:pPr>
              <w:pStyle w:val="62"/>
              <w:rPr>
                <w:u w:val="single"/>
              </w:rPr>
            </w:pPr>
            <w:r>
              <w:rPr>
                <w:u w:val="single"/>
              </w:rPr>
              <w:t>COD、SS、BOD</w:t>
            </w:r>
            <w:r>
              <w:rPr>
                <w:u w:val="single"/>
                <w:vertAlign w:val="subscript"/>
              </w:rPr>
              <w:t>5</w:t>
            </w:r>
            <w:r>
              <w:rPr>
                <w:u w:val="single"/>
              </w:rPr>
              <w:t>、</w:t>
            </w:r>
            <w:r>
              <w:rPr>
                <w:rFonts w:hint="eastAsia"/>
                <w:u w:val="single"/>
              </w:rPr>
              <w:t>石油类</w:t>
            </w:r>
          </w:p>
        </w:tc>
        <w:tc>
          <w:tcPr>
            <w:tcW w:w="1285" w:type="pct"/>
            <w:gridSpan w:val="2"/>
            <w:vMerge w:val="continue"/>
            <w:shd w:val="clear" w:color="auto" w:fill="auto"/>
            <w:vAlign w:val="center"/>
          </w:tcPr>
          <w:p w14:paraId="01082803">
            <w:pPr>
              <w:pStyle w:val="62"/>
              <w:rPr>
                <w:highlight w:val="yellow"/>
                <w:u w:val="single"/>
              </w:rPr>
            </w:pPr>
          </w:p>
        </w:tc>
        <w:tc>
          <w:tcPr>
            <w:tcW w:w="646" w:type="pct"/>
            <w:vMerge w:val="continue"/>
            <w:shd w:val="clear" w:color="auto" w:fill="auto"/>
            <w:vAlign w:val="center"/>
          </w:tcPr>
          <w:p w14:paraId="30F3A055">
            <w:pPr>
              <w:pStyle w:val="62"/>
              <w:rPr>
                <w:bCs/>
                <w:highlight w:val="yellow"/>
              </w:rPr>
            </w:pPr>
          </w:p>
        </w:tc>
      </w:tr>
      <w:tr w14:paraId="1D3EB3D2">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1D3EB3CE">
            <w:pPr>
              <w:pStyle w:val="62"/>
              <w:rPr>
                <w:b/>
                <w:bCs/>
                <w:highlight w:val="yellow"/>
                <w:u w:val="single"/>
              </w:rPr>
            </w:pPr>
          </w:p>
        </w:tc>
        <w:tc>
          <w:tcPr>
            <w:tcW w:w="1196" w:type="pct"/>
            <w:gridSpan w:val="2"/>
            <w:shd w:val="clear" w:color="auto" w:fill="auto"/>
            <w:tcMar>
              <w:top w:w="28" w:type="dxa"/>
              <w:bottom w:w="28" w:type="dxa"/>
            </w:tcMar>
            <w:vAlign w:val="center"/>
          </w:tcPr>
          <w:p w14:paraId="1D3EB3CF">
            <w:pPr>
              <w:pStyle w:val="62"/>
              <w:rPr>
                <w:u w:val="single"/>
              </w:rPr>
            </w:pPr>
            <w:r>
              <w:rPr>
                <w:rFonts w:hint="eastAsia"/>
                <w:u w:val="single"/>
              </w:rPr>
              <w:t>生活污水</w:t>
            </w:r>
          </w:p>
        </w:tc>
        <w:tc>
          <w:tcPr>
            <w:tcW w:w="1453" w:type="pct"/>
            <w:shd w:val="clear" w:color="auto" w:fill="auto"/>
            <w:tcMar>
              <w:top w:w="28" w:type="dxa"/>
              <w:bottom w:w="28" w:type="dxa"/>
            </w:tcMar>
            <w:vAlign w:val="center"/>
          </w:tcPr>
          <w:p w14:paraId="1D3EB3D0">
            <w:pPr>
              <w:pStyle w:val="62"/>
              <w:rPr>
                <w:u w:val="single"/>
              </w:rPr>
            </w:pPr>
            <w:r>
              <w:rPr>
                <w:u w:val="single"/>
              </w:rPr>
              <w:t>COD、SS、BOD</w:t>
            </w:r>
            <w:r>
              <w:rPr>
                <w:u w:val="single"/>
                <w:vertAlign w:val="subscript"/>
              </w:rPr>
              <w:t>5</w:t>
            </w:r>
            <w:r>
              <w:rPr>
                <w:u w:val="single"/>
              </w:rPr>
              <w:t>、氨氮、总磷、总氮</w:t>
            </w:r>
          </w:p>
        </w:tc>
        <w:tc>
          <w:tcPr>
            <w:tcW w:w="1285" w:type="pct"/>
            <w:gridSpan w:val="2"/>
            <w:shd w:val="clear" w:color="auto" w:fill="auto"/>
            <w:vAlign w:val="center"/>
          </w:tcPr>
          <w:p w14:paraId="518ABCF5">
            <w:pPr>
              <w:pStyle w:val="62"/>
              <w:rPr>
                <w:snapToGrid w:val="0"/>
                <w:highlight w:val="yellow"/>
                <w:u w:val="single"/>
              </w:rPr>
            </w:pPr>
            <w:r>
              <w:rPr>
                <w:rFonts w:hint="eastAsia"/>
                <w:snapToGrid w:val="0"/>
                <w:u w:val="single"/>
              </w:rPr>
              <w:t>化粪池</w:t>
            </w:r>
          </w:p>
        </w:tc>
        <w:tc>
          <w:tcPr>
            <w:tcW w:w="646" w:type="pct"/>
            <w:vMerge w:val="continue"/>
            <w:shd w:val="clear" w:color="auto" w:fill="auto"/>
            <w:vAlign w:val="center"/>
          </w:tcPr>
          <w:p w14:paraId="1D3EB3D1">
            <w:pPr>
              <w:pStyle w:val="62"/>
              <w:rPr>
                <w:snapToGrid w:val="0"/>
                <w:highlight w:val="yellow"/>
              </w:rPr>
            </w:pPr>
          </w:p>
        </w:tc>
      </w:tr>
      <w:tr w14:paraId="1D3EB3E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restart"/>
            <w:shd w:val="clear" w:color="auto" w:fill="auto"/>
            <w:tcMar>
              <w:top w:w="28" w:type="dxa"/>
              <w:bottom w:w="28" w:type="dxa"/>
            </w:tcMar>
            <w:vAlign w:val="center"/>
          </w:tcPr>
          <w:p w14:paraId="77CBC652">
            <w:pPr>
              <w:pStyle w:val="62"/>
            </w:pPr>
            <w:r>
              <w:t>固体</w:t>
            </w:r>
          </w:p>
          <w:p w14:paraId="1D3EB3E7">
            <w:pPr>
              <w:pStyle w:val="62"/>
              <w:rPr>
                <w:highlight w:val="yellow"/>
              </w:rPr>
            </w:pPr>
            <w:r>
              <w:t>废物</w:t>
            </w:r>
          </w:p>
        </w:tc>
        <w:tc>
          <w:tcPr>
            <w:tcW w:w="1196" w:type="pct"/>
            <w:gridSpan w:val="2"/>
            <w:vMerge w:val="restart"/>
            <w:shd w:val="clear" w:color="auto" w:fill="auto"/>
            <w:tcMar>
              <w:top w:w="28" w:type="dxa"/>
              <w:bottom w:w="28" w:type="dxa"/>
            </w:tcMar>
            <w:vAlign w:val="center"/>
          </w:tcPr>
          <w:p w14:paraId="1D3EB3E8">
            <w:pPr>
              <w:pStyle w:val="62"/>
              <w:rPr>
                <w:highlight w:val="yellow"/>
              </w:rPr>
            </w:pPr>
            <w:r>
              <w:rPr>
                <w:rFonts w:hint="eastAsia"/>
              </w:rPr>
              <w:t>原料包装</w:t>
            </w:r>
          </w:p>
        </w:tc>
        <w:tc>
          <w:tcPr>
            <w:tcW w:w="1453" w:type="pct"/>
            <w:shd w:val="clear" w:color="auto" w:fill="auto"/>
            <w:tcMar>
              <w:top w:w="28" w:type="dxa"/>
              <w:bottom w:w="28" w:type="dxa"/>
            </w:tcMar>
            <w:vAlign w:val="center"/>
          </w:tcPr>
          <w:p w14:paraId="1D3EB3E9">
            <w:pPr>
              <w:pStyle w:val="62"/>
            </w:pPr>
            <w:r>
              <w:t>废</w:t>
            </w:r>
            <w:r>
              <w:rPr>
                <w:rFonts w:hint="eastAsia"/>
              </w:rPr>
              <w:t>包装袋</w:t>
            </w:r>
          </w:p>
        </w:tc>
        <w:tc>
          <w:tcPr>
            <w:tcW w:w="1931" w:type="pct"/>
            <w:gridSpan w:val="3"/>
            <w:shd w:val="clear" w:color="auto" w:fill="auto"/>
            <w:vAlign w:val="center"/>
          </w:tcPr>
          <w:p w14:paraId="1D3EB3EA">
            <w:pPr>
              <w:pStyle w:val="62"/>
            </w:pPr>
            <w:r>
              <w:rPr>
                <w:rFonts w:hint="eastAsia"/>
              </w:rPr>
              <w:t>在一般固废暂存间暂存，定期出售</w:t>
            </w:r>
          </w:p>
        </w:tc>
      </w:tr>
      <w:tr w14:paraId="34B88E83">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31579C60">
            <w:pPr>
              <w:pStyle w:val="62"/>
              <w:rPr>
                <w:highlight w:val="yellow"/>
              </w:rPr>
            </w:pPr>
          </w:p>
        </w:tc>
        <w:tc>
          <w:tcPr>
            <w:tcW w:w="1196" w:type="pct"/>
            <w:gridSpan w:val="2"/>
            <w:vMerge w:val="continue"/>
            <w:shd w:val="clear" w:color="auto" w:fill="auto"/>
            <w:tcMar>
              <w:top w:w="28" w:type="dxa"/>
              <w:bottom w:w="28" w:type="dxa"/>
            </w:tcMar>
            <w:vAlign w:val="center"/>
          </w:tcPr>
          <w:p w14:paraId="0916D6BC">
            <w:pPr>
              <w:pStyle w:val="62"/>
              <w:rPr>
                <w:highlight w:val="yellow"/>
              </w:rPr>
            </w:pPr>
          </w:p>
        </w:tc>
        <w:tc>
          <w:tcPr>
            <w:tcW w:w="1453" w:type="pct"/>
            <w:shd w:val="clear" w:color="auto" w:fill="auto"/>
            <w:tcMar>
              <w:top w:w="28" w:type="dxa"/>
              <w:bottom w:w="28" w:type="dxa"/>
            </w:tcMar>
            <w:vAlign w:val="center"/>
          </w:tcPr>
          <w:p w14:paraId="4C38A531">
            <w:pPr>
              <w:pStyle w:val="62"/>
            </w:pPr>
            <w:r>
              <w:rPr>
                <w:rFonts w:hint="eastAsia"/>
              </w:rPr>
              <w:t>废溶剂包装桶</w:t>
            </w:r>
          </w:p>
        </w:tc>
        <w:tc>
          <w:tcPr>
            <w:tcW w:w="1931" w:type="pct"/>
            <w:gridSpan w:val="3"/>
            <w:shd w:val="clear" w:color="auto" w:fill="auto"/>
            <w:vAlign w:val="center"/>
          </w:tcPr>
          <w:p w14:paraId="342619CD">
            <w:pPr>
              <w:pStyle w:val="62"/>
            </w:pPr>
            <w:r>
              <w:t>在厂区内设置的专门暂存点</w:t>
            </w:r>
            <w:r>
              <w:rPr>
                <w:rFonts w:hint="eastAsia"/>
              </w:rPr>
              <w:t>暂存后交由</w:t>
            </w:r>
            <w:r>
              <w:t>生产厂家回收并回用于原始用途</w:t>
            </w:r>
          </w:p>
        </w:tc>
      </w:tr>
      <w:tr w14:paraId="61BFE1E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3F83CA4F">
            <w:pPr>
              <w:pStyle w:val="62"/>
              <w:rPr>
                <w:highlight w:val="yellow"/>
              </w:rPr>
            </w:pPr>
          </w:p>
        </w:tc>
        <w:tc>
          <w:tcPr>
            <w:tcW w:w="1196" w:type="pct"/>
            <w:gridSpan w:val="2"/>
            <w:shd w:val="clear" w:color="auto" w:fill="auto"/>
            <w:tcMar>
              <w:top w:w="28" w:type="dxa"/>
              <w:bottom w:w="28" w:type="dxa"/>
            </w:tcMar>
            <w:vAlign w:val="center"/>
          </w:tcPr>
          <w:p w14:paraId="3DF51BFB">
            <w:pPr>
              <w:pStyle w:val="62"/>
              <w:rPr>
                <w:u w:val="single"/>
              </w:rPr>
            </w:pPr>
            <w:r>
              <w:rPr>
                <w:rFonts w:hint="eastAsia"/>
                <w:u w:val="single"/>
              </w:rPr>
              <w:t>生产过程过滤和离心</w:t>
            </w:r>
          </w:p>
        </w:tc>
        <w:tc>
          <w:tcPr>
            <w:tcW w:w="1453" w:type="pct"/>
            <w:shd w:val="clear" w:color="auto" w:fill="auto"/>
            <w:tcMar>
              <w:top w:w="28" w:type="dxa"/>
              <w:bottom w:w="28" w:type="dxa"/>
            </w:tcMar>
            <w:vAlign w:val="center"/>
          </w:tcPr>
          <w:p w14:paraId="7F3F3982">
            <w:pPr>
              <w:pStyle w:val="62"/>
              <w:rPr>
                <w:u w:val="single"/>
              </w:rPr>
            </w:pPr>
            <w:r>
              <w:rPr>
                <w:rFonts w:hint="eastAsia"/>
                <w:u w:val="single"/>
              </w:rPr>
              <w:t>废活性炭</w:t>
            </w:r>
          </w:p>
        </w:tc>
        <w:tc>
          <w:tcPr>
            <w:tcW w:w="1931" w:type="pct"/>
            <w:gridSpan w:val="3"/>
            <w:vMerge w:val="restart"/>
            <w:shd w:val="clear" w:color="auto" w:fill="auto"/>
            <w:vAlign w:val="center"/>
          </w:tcPr>
          <w:p w14:paraId="378E1B73">
            <w:pPr>
              <w:pStyle w:val="62"/>
              <w:rPr>
                <w:u w:val="single"/>
              </w:rPr>
            </w:pPr>
            <w:r>
              <w:rPr>
                <w:u w:val="single"/>
              </w:rPr>
              <w:t>暂存于危废贮存库内，定期委托有危废资质的单位处置</w:t>
            </w:r>
          </w:p>
        </w:tc>
      </w:tr>
      <w:tr w14:paraId="670476D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39187E81">
            <w:pPr>
              <w:pStyle w:val="62"/>
              <w:rPr>
                <w:highlight w:val="yellow"/>
              </w:rPr>
            </w:pPr>
          </w:p>
        </w:tc>
        <w:tc>
          <w:tcPr>
            <w:tcW w:w="1196" w:type="pct"/>
            <w:gridSpan w:val="2"/>
            <w:shd w:val="clear" w:color="auto" w:fill="auto"/>
            <w:tcMar>
              <w:top w:w="28" w:type="dxa"/>
              <w:bottom w:w="28" w:type="dxa"/>
            </w:tcMar>
            <w:vAlign w:val="center"/>
          </w:tcPr>
          <w:p w14:paraId="7BB9F61F">
            <w:pPr>
              <w:pStyle w:val="62"/>
              <w:rPr>
                <w:u w:val="single"/>
              </w:rPr>
            </w:pPr>
            <w:r>
              <w:rPr>
                <w:rFonts w:hint="eastAsia"/>
                <w:u w:val="single"/>
              </w:rPr>
              <w:t>废气治理设施</w:t>
            </w:r>
          </w:p>
        </w:tc>
        <w:tc>
          <w:tcPr>
            <w:tcW w:w="1453" w:type="pct"/>
            <w:shd w:val="clear" w:color="auto" w:fill="auto"/>
            <w:tcMar>
              <w:top w:w="28" w:type="dxa"/>
              <w:bottom w:w="28" w:type="dxa"/>
            </w:tcMar>
            <w:vAlign w:val="center"/>
          </w:tcPr>
          <w:p w14:paraId="28240C9B">
            <w:pPr>
              <w:pStyle w:val="62"/>
              <w:rPr>
                <w:u w:val="single"/>
              </w:rPr>
            </w:pPr>
            <w:r>
              <w:rPr>
                <w:rFonts w:hint="eastAsia"/>
                <w:u w:val="single"/>
              </w:rPr>
              <w:t>废活性炭</w:t>
            </w:r>
          </w:p>
        </w:tc>
        <w:tc>
          <w:tcPr>
            <w:tcW w:w="1931" w:type="pct"/>
            <w:gridSpan w:val="3"/>
            <w:vMerge w:val="continue"/>
            <w:shd w:val="clear" w:color="auto" w:fill="auto"/>
            <w:vAlign w:val="center"/>
          </w:tcPr>
          <w:p w14:paraId="0A046E34">
            <w:pPr>
              <w:pStyle w:val="62"/>
              <w:rPr>
                <w:highlight w:val="yellow"/>
              </w:rPr>
            </w:pPr>
          </w:p>
        </w:tc>
      </w:tr>
      <w:tr w14:paraId="4459724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12BF39D7">
            <w:pPr>
              <w:pStyle w:val="62"/>
              <w:rPr>
                <w:highlight w:val="yellow"/>
              </w:rPr>
            </w:pPr>
          </w:p>
        </w:tc>
        <w:tc>
          <w:tcPr>
            <w:tcW w:w="1196" w:type="pct"/>
            <w:gridSpan w:val="2"/>
            <w:shd w:val="clear" w:color="auto" w:fill="auto"/>
            <w:tcMar>
              <w:top w:w="28" w:type="dxa"/>
              <w:bottom w:w="28" w:type="dxa"/>
            </w:tcMar>
            <w:vAlign w:val="center"/>
          </w:tcPr>
          <w:p w14:paraId="4D1AB0C4">
            <w:pPr>
              <w:pStyle w:val="62"/>
              <w:rPr>
                <w:u w:val="single"/>
              </w:rPr>
            </w:pPr>
            <w:r>
              <w:rPr>
                <w:u w:val="single"/>
              </w:rPr>
              <w:t>化验室</w:t>
            </w:r>
          </w:p>
        </w:tc>
        <w:tc>
          <w:tcPr>
            <w:tcW w:w="1453" w:type="pct"/>
            <w:shd w:val="clear" w:color="auto" w:fill="auto"/>
            <w:tcMar>
              <w:top w:w="28" w:type="dxa"/>
              <w:bottom w:w="28" w:type="dxa"/>
            </w:tcMar>
            <w:vAlign w:val="center"/>
          </w:tcPr>
          <w:p w14:paraId="13FC29DF">
            <w:pPr>
              <w:pStyle w:val="62"/>
              <w:rPr>
                <w:u w:val="single"/>
              </w:rPr>
            </w:pPr>
            <w:r>
              <w:rPr>
                <w:rFonts w:hint="eastAsia"/>
                <w:u w:val="single"/>
              </w:rPr>
              <w:t>化验室废物</w:t>
            </w:r>
          </w:p>
        </w:tc>
        <w:tc>
          <w:tcPr>
            <w:tcW w:w="1931" w:type="pct"/>
            <w:gridSpan w:val="3"/>
            <w:vMerge w:val="continue"/>
            <w:shd w:val="clear" w:color="auto" w:fill="auto"/>
            <w:vAlign w:val="center"/>
          </w:tcPr>
          <w:p w14:paraId="4BDEFB3F">
            <w:pPr>
              <w:pStyle w:val="62"/>
              <w:rPr>
                <w:highlight w:val="yellow"/>
              </w:rPr>
            </w:pPr>
          </w:p>
        </w:tc>
      </w:tr>
      <w:tr w14:paraId="1CDD0A3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4C1175E6">
            <w:pPr>
              <w:pStyle w:val="62"/>
              <w:rPr>
                <w:highlight w:val="yellow"/>
              </w:rPr>
            </w:pPr>
          </w:p>
        </w:tc>
        <w:tc>
          <w:tcPr>
            <w:tcW w:w="1196" w:type="pct"/>
            <w:gridSpan w:val="2"/>
            <w:shd w:val="clear" w:color="auto" w:fill="auto"/>
            <w:tcMar>
              <w:top w:w="28" w:type="dxa"/>
              <w:bottom w:w="28" w:type="dxa"/>
            </w:tcMar>
            <w:vAlign w:val="center"/>
          </w:tcPr>
          <w:p w14:paraId="54E4E221">
            <w:pPr>
              <w:pStyle w:val="62"/>
              <w:rPr>
                <w:u w:val="single"/>
              </w:rPr>
            </w:pPr>
            <w:r>
              <w:rPr>
                <w:rFonts w:hint="eastAsia"/>
                <w:u w:val="single"/>
              </w:rPr>
              <w:t>加热制冷设施</w:t>
            </w:r>
          </w:p>
        </w:tc>
        <w:tc>
          <w:tcPr>
            <w:tcW w:w="1453" w:type="pct"/>
            <w:shd w:val="clear" w:color="auto" w:fill="auto"/>
            <w:tcMar>
              <w:top w:w="28" w:type="dxa"/>
              <w:bottom w:w="28" w:type="dxa"/>
            </w:tcMar>
            <w:vAlign w:val="center"/>
          </w:tcPr>
          <w:p w14:paraId="6BC3E334">
            <w:pPr>
              <w:pStyle w:val="62"/>
              <w:rPr>
                <w:u w:val="single"/>
              </w:rPr>
            </w:pPr>
            <w:r>
              <w:rPr>
                <w:rFonts w:hint="eastAsia"/>
                <w:u w:val="single"/>
              </w:rPr>
              <w:t>废导热油</w:t>
            </w:r>
          </w:p>
        </w:tc>
        <w:tc>
          <w:tcPr>
            <w:tcW w:w="1931" w:type="pct"/>
            <w:gridSpan w:val="3"/>
            <w:vMerge w:val="continue"/>
            <w:shd w:val="clear" w:color="auto" w:fill="auto"/>
            <w:vAlign w:val="center"/>
          </w:tcPr>
          <w:p w14:paraId="54F02C37">
            <w:pPr>
              <w:pStyle w:val="62"/>
              <w:rPr>
                <w:highlight w:val="yellow"/>
              </w:rPr>
            </w:pPr>
          </w:p>
        </w:tc>
      </w:tr>
      <w:tr w14:paraId="771C3DA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024E884F">
            <w:pPr>
              <w:pStyle w:val="62"/>
              <w:rPr>
                <w:highlight w:val="yellow"/>
              </w:rPr>
            </w:pPr>
          </w:p>
        </w:tc>
        <w:tc>
          <w:tcPr>
            <w:tcW w:w="1196" w:type="pct"/>
            <w:gridSpan w:val="2"/>
            <w:vMerge w:val="restart"/>
            <w:shd w:val="clear" w:color="auto" w:fill="auto"/>
            <w:tcMar>
              <w:top w:w="28" w:type="dxa"/>
              <w:bottom w:w="28" w:type="dxa"/>
            </w:tcMar>
            <w:vAlign w:val="center"/>
          </w:tcPr>
          <w:p w14:paraId="19CFF4BA">
            <w:pPr>
              <w:pStyle w:val="62"/>
              <w:rPr>
                <w:u w:val="single"/>
              </w:rPr>
            </w:pPr>
            <w:r>
              <w:rPr>
                <w:rFonts w:hint="eastAsia"/>
                <w:u w:val="single"/>
              </w:rPr>
              <w:t>污水处理站</w:t>
            </w:r>
          </w:p>
        </w:tc>
        <w:tc>
          <w:tcPr>
            <w:tcW w:w="1453" w:type="pct"/>
            <w:shd w:val="clear" w:color="auto" w:fill="auto"/>
            <w:tcMar>
              <w:top w:w="28" w:type="dxa"/>
              <w:bottom w:w="28" w:type="dxa"/>
            </w:tcMar>
            <w:vAlign w:val="center"/>
          </w:tcPr>
          <w:p w14:paraId="59EC35A0">
            <w:pPr>
              <w:pStyle w:val="62"/>
              <w:rPr>
                <w:u w:val="single"/>
              </w:rPr>
            </w:pPr>
            <w:r>
              <w:rPr>
                <w:rFonts w:hint="eastAsia"/>
                <w:u w:val="single"/>
              </w:rPr>
              <w:t>污泥</w:t>
            </w:r>
          </w:p>
        </w:tc>
        <w:tc>
          <w:tcPr>
            <w:tcW w:w="1931" w:type="pct"/>
            <w:gridSpan w:val="3"/>
            <w:vMerge w:val="continue"/>
            <w:shd w:val="clear" w:color="auto" w:fill="auto"/>
            <w:vAlign w:val="center"/>
          </w:tcPr>
          <w:p w14:paraId="55D2127E">
            <w:pPr>
              <w:pStyle w:val="62"/>
              <w:rPr>
                <w:highlight w:val="yellow"/>
              </w:rPr>
            </w:pPr>
          </w:p>
        </w:tc>
      </w:tr>
      <w:tr w14:paraId="1D3EB3F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vMerge w:val="continue"/>
            <w:shd w:val="clear" w:color="auto" w:fill="auto"/>
            <w:tcMar>
              <w:top w:w="28" w:type="dxa"/>
              <w:bottom w:w="28" w:type="dxa"/>
            </w:tcMar>
            <w:vAlign w:val="center"/>
          </w:tcPr>
          <w:p w14:paraId="1D3EB3F3">
            <w:pPr>
              <w:pStyle w:val="62"/>
              <w:rPr>
                <w:highlight w:val="yellow"/>
              </w:rPr>
            </w:pPr>
          </w:p>
        </w:tc>
        <w:tc>
          <w:tcPr>
            <w:tcW w:w="1196" w:type="pct"/>
            <w:gridSpan w:val="2"/>
            <w:vMerge w:val="continue"/>
            <w:shd w:val="clear" w:color="auto" w:fill="auto"/>
            <w:tcMar>
              <w:top w:w="28" w:type="dxa"/>
              <w:bottom w:w="28" w:type="dxa"/>
            </w:tcMar>
            <w:vAlign w:val="center"/>
          </w:tcPr>
          <w:p w14:paraId="1D3EB3F4">
            <w:pPr>
              <w:pStyle w:val="62"/>
              <w:rPr>
                <w:u w:val="single"/>
              </w:rPr>
            </w:pPr>
          </w:p>
        </w:tc>
        <w:tc>
          <w:tcPr>
            <w:tcW w:w="1453" w:type="pct"/>
            <w:shd w:val="clear" w:color="auto" w:fill="auto"/>
            <w:tcMar>
              <w:top w:w="28" w:type="dxa"/>
              <w:bottom w:w="28" w:type="dxa"/>
            </w:tcMar>
            <w:vAlign w:val="center"/>
          </w:tcPr>
          <w:p w14:paraId="1D3EB3F5">
            <w:pPr>
              <w:pStyle w:val="62"/>
              <w:rPr>
                <w:u w:val="single"/>
              </w:rPr>
            </w:pPr>
            <w:r>
              <w:rPr>
                <w:rFonts w:hint="eastAsia"/>
                <w:u w:val="single"/>
              </w:rPr>
              <w:t>污油</w:t>
            </w:r>
          </w:p>
        </w:tc>
        <w:tc>
          <w:tcPr>
            <w:tcW w:w="1931" w:type="pct"/>
            <w:gridSpan w:val="3"/>
            <w:vMerge w:val="continue"/>
            <w:shd w:val="clear" w:color="auto" w:fill="auto"/>
            <w:vAlign w:val="center"/>
          </w:tcPr>
          <w:p w14:paraId="1D3EB3F6">
            <w:pPr>
              <w:pStyle w:val="62"/>
              <w:rPr>
                <w:highlight w:val="yellow"/>
              </w:rPr>
            </w:pPr>
          </w:p>
        </w:tc>
      </w:tr>
      <w:tr w14:paraId="1D3EB415">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20" w:type="pct"/>
            <w:shd w:val="clear" w:color="auto" w:fill="auto"/>
            <w:tcMar>
              <w:top w:w="28" w:type="dxa"/>
              <w:bottom w:w="28" w:type="dxa"/>
            </w:tcMar>
            <w:vAlign w:val="center"/>
          </w:tcPr>
          <w:p w14:paraId="1D3EB411">
            <w:pPr>
              <w:pStyle w:val="62"/>
            </w:pPr>
            <w:r>
              <w:t>噪声</w:t>
            </w:r>
          </w:p>
        </w:tc>
        <w:tc>
          <w:tcPr>
            <w:tcW w:w="1196" w:type="pct"/>
            <w:gridSpan w:val="2"/>
            <w:shd w:val="clear" w:color="auto" w:fill="auto"/>
            <w:tcMar>
              <w:top w:w="28" w:type="dxa"/>
              <w:bottom w:w="28" w:type="dxa"/>
            </w:tcMar>
            <w:vAlign w:val="center"/>
          </w:tcPr>
          <w:p w14:paraId="1D3EB412">
            <w:pPr>
              <w:pStyle w:val="62"/>
              <w:rPr>
                <w:u w:val="single"/>
              </w:rPr>
            </w:pPr>
            <w:r>
              <w:rPr>
                <w:rFonts w:hint="eastAsia"/>
                <w:u w:val="single"/>
              </w:rPr>
              <w:t>真空上料机</w:t>
            </w:r>
            <w:r>
              <w:rPr>
                <w:u w:val="single"/>
              </w:rPr>
              <w:t>、</w:t>
            </w:r>
            <w:r>
              <w:rPr>
                <w:rFonts w:hint="eastAsia"/>
                <w:u w:val="single"/>
              </w:rPr>
              <w:t>离心机</w:t>
            </w:r>
            <w:r>
              <w:rPr>
                <w:u w:val="single"/>
              </w:rPr>
              <w:t>、</w:t>
            </w:r>
            <w:r>
              <w:rPr>
                <w:rFonts w:hint="eastAsia"/>
                <w:u w:val="single"/>
              </w:rPr>
              <w:t>自动灌装</w:t>
            </w:r>
            <w:r>
              <w:rPr>
                <w:u w:val="single"/>
              </w:rPr>
              <w:t>机、</w:t>
            </w:r>
            <w:r>
              <w:rPr>
                <w:rFonts w:hint="eastAsia"/>
                <w:u w:val="single"/>
              </w:rPr>
              <w:t>进料泵、循环水站</w:t>
            </w:r>
            <w:r>
              <w:rPr>
                <w:u w:val="single"/>
              </w:rPr>
              <w:t>等</w:t>
            </w:r>
          </w:p>
        </w:tc>
        <w:tc>
          <w:tcPr>
            <w:tcW w:w="1453" w:type="pct"/>
            <w:shd w:val="clear" w:color="auto" w:fill="auto"/>
            <w:tcMar>
              <w:top w:w="28" w:type="dxa"/>
              <w:bottom w:w="28" w:type="dxa"/>
            </w:tcMar>
            <w:vAlign w:val="center"/>
          </w:tcPr>
          <w:p w14:paraId="1D3EB413">
            <w:pPr>
              <w:pStyle w:val="62"/>
            </w:pPr>
            <w:r>
              <w:t>噪声</w:t>
            </w:r>
          </w:p>
        </w:tc>
        <w:tc>
          <w:tcPr>
            <w:tcW w:w="1931" w:type="pct"/>
            <w:gridSpan w:val="3"/>
            <w:shd w:val="clear" w:color="auto" w:fill="auto"/>
            <w:vAlign w:val="center"/>
          </w:tcPr>
          <w:p w14:paraId="1D3EB414">
            <w:pPr>
              <w:pStyle w:val="62"/>
            </w:pPr>
            <w:r>
              <w:t>减振、隔声</w:t>
            </w:r>
          </w:p>
        </w:tc>
      </w:tr>
      <w:bookmarkEnd w:id="179"/>
      <w:bookmarkEnd w:id="180"/>
      <w:bookmarkEnd w:id="181"/>
    </w:tbl>
    <w:p w14:paraId="1D3EB422">
      <w:pPr>
        <w:ind w:firstLine="480"/>
        <w:rPr>
          <w:highlight w:val="yellow"/>
        </w:rPr>
      </w:pPr>
    </w:p>
    <w:p w14:paraId="49DA505E">
      <w:pPr>
        <w:ind w:firstLine="480"/>
        <w:rPr>
          <w:highlight w:val="yellow"/>
        </w:rPr>
        <w:sectPr>
          <w:pgSz w:w="11906" w:h="16838"/>
          <w:pgMar w:top="1440" w:right="1797" w:bottom="1440" w:left="1797" w:header="851" w:footer="992" w:gutter="0"/>
          <w:cols w:space="425" w:num="1"/>
          <w:docGrid w:linePitch="326" w:charSpace="0"/>
        </w:sectPr>
      </w:pPr>
    </w:p>
    <w:p w14:paraId="1D3EB436">
      <w:pPr>
        <w:pStyle w:val="4"/>
      </w:pPr>
      <w:bookmarkStart w:id="183" w:name="_Toc176105859"/>
      <w:bookmarkStart w:id="184" w:name="_Toc429318401"/>
      <w:bookmarkStart w:id="185" w:name="_Toc428286839"/>
      <w:bookmarkStart w:id="186" w:name="_Toc428287218"/>
      <w:r>
        <w:t>污染物产排情况</w:t>
      </w:r>
      <w:bookmarkEnd w:id="183"/>
      <w:bookmarkEnd w:id="184"/>
      <w:bookmarkEnd w:id="185"/>
      <w:bookmarkEnd w:id="186"/>
    </w:p>
    <w:p w14:paraId="1D3EB437">
      <w:pPr>
        <w:pStyle w:val="5"/>
        <w:spacing w:before="240" w:after="240"/>
      </w:pPr>
      <w:r>
        <w:t>施工期污染因素分析</w:t>
      </w:r>
    </w:p>
    <w:p w14:paraId="69AA4458">
      <w:pPr>
        <w:ind w:firstLine="480"/>
      </w:pPr>
      <w:r>
        <w:rPr>
          <w:rFonts w:hint="eastAsia"/>
        </w:rPr>
        <w:t>本项目租赁新乡市太行水泥粉磨有限公司现有厂房进行建设，不存在构筑物的建设，施工期主要工作为设备的安装，设备安装主要是人工组装，仅涉及少量的焊接。</w:t>
      </w:r>
    </w:p>
    <w:p w14:paraId="1D3EB4A8">
      <w:pPr>
        <w:ind w:firstLine="480"/>
      </w:pPr>
      <w:r>
        <w:rPr>
          <w:rFonts w:hint="eastAsia"/>
        </w:rPr>
        <w:t>施工期主要污染为施工噪声和工人生活污水，全部施工均在现有厂房内，经厂房隔声和距离衰减后施工噪声对周边环境影响不大；</w:t>
      </w:r>
      <w:r>
        <w:rPr>
          <w:rFonts w:hint="eastAsia"/>
          <w:u w:val="single"/>
        </w:rPr>
        <w:t>生活污水经新乡市太行水泥粉磨有限公司现有的化粪池处理后排入园区污水管网，再进入唐庄污水处理厂进行进一步处理，处理后排入共产主义渠。</w:t>
      </w:r>
      <w:r>
        <w:rPr>
          <w:rFonts w:hint="eastAsia"/>
        </w:rPr>
        <w:t>项目施工时间短暂，随着施工期的结束，施工影响也随之消失。</w:t>
      </w:r>
    </w:p>
    <w:p w14:paraId="1D3EB4A9">
      <w:pPr>
        <w:pStyle w:val="5"/>
        <w:spacing w:before="240" w:after="240"/>
      </w:pPr>
      <w:r>
        <w:t>营运期污染因素分析</w:t>
      </w:r>
    </w:p>
    <w:p w14:paraId="41498E1A">
      <w:pPr>
        <w:ind w:firstLine="480"/>
      </w:pPr>
      <w:r>
        <w:rPr>
          <w:rFonts w:hint="eastAsia"/>
        </w:rPr>
        <w:t xml:space="preserve">本项目属于基础化学原料制造，经查阅，无相关行业污染源源强核算技术指南，根据《污染源源强核算技术指南 准则》（HJ </w:t>
      </w:r>
      <w:r>
        <w:t>884</w:t>
      </w:r>
      <w:r>
        <w:rPr>
          <w:rFonts w:hint="eastAsia"/>
        </w:rPr>
        <w:t>-2018），废气污染源核算方法主要为物料衡算法、类比法、实测法、产污系数法、排污系数法、实验法。本次采用物料衡算法和产污系数法进行分析，选取情况见下表。</w:t>
      </w:r>
    </w:p>
    <w:p w14:paraId="691B6B1E">
      <w:pPr>
        <w:ind w:firstLine="482"/>
        <w:rPr>
          <w:rFonts w:hint="eastAsia" w:hAnsiTheme="minorEastAsia"/>
          <w:b/>
          <w:szCs w:val="24"/>
        </w:rPr>
      </w:pPr>
      <w:r>
        <w:rPr>
          <w:rFonts w:hAnsiTheme="minorEastAsia"/>
          <w:b/>
          <w:szCs w:val="24"/>
        </w:rPr>
        <w:t>表3</w:t>
      </w:r>
      <w:r>
        <w:rPr>
          <w:rFonts w:hint="eastAsia" w:hAnsiTheme="minorEastAsia"/>
          <w:b/>
          <w:szCs w:val="24"/>
        </w:rPr>
        <w:t>-3-</w:t>
      </w:r>
      <w:r>
        <w:rPr>
          <w:rFonts w:hAnsiTheme="minorEastAsia"/>
          <w:b/>
          <w:szCs w:val="24"/>
        </w:rPr>
        <w:t>46</w:t>
      </w:r>
      <w:r>
        <w:rPr>
          <w:rFonts w:hint="eastAsia" w:hAnsiTheme="minorEastAsia"/>
          <w:b/>
          <w:szCs w:val="24"/>
        </w:rPr>
        <w:t xml:space="preserve">      </w:t>
      </w:r>
      <w:r>
        <w:rPr>
          <w:rFonts w:hAnsiTheme="minorEastAsia"/>
          <w:b/>
          <w:szCs w:val="24"/>
        </w:rPr>
        <w:t xml:space="preserve"> 污染物源强核算方法选取汇总</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3"/>
        <w:gridCol w:w="994"/>
        <w:gridCol w:w="1139"/>
        <w:gridCol w:w="2276"/>
        <w:gridCol w:w="1850"/>
        <w:gridCol w:w="1360"/>
      </w:tblGrid>
      <w:tr w14:paraId="707F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23" w:type="pct"/>
            <w:vAlign w:val="center"/>
          </w:tcPr>
          <w:p w14:paraId="5BE94E37">
            <w:pPr>
              <w:pStyle w:val="182"/>
              <w:spacing w:line="240" w:lineRule="auto"/>
              <w:ind w:firstLine="0" w:firstLineChars="0"/>
              <w:jc w:val="center"/>
              <w:rPr>
                <w:rFonts w:ascii="Times New Roman" w:hAnsi="Times New Roman" w:cs="Times New Roman"/>
                <w:b/>
                <w:bCs/>
                <w:color w:val="auto"/>
                <w:sz w:val="21"/>
                <w:szCs w:val="21"/>
                <w:u w:val="single"/>
              </w:rPr>
            </w:pPr>
            <w:r>
              <w:rPr>
                <w:rFonts w:ascii="Times New Roman" w:hAnsi="Times New Roman" w:cs="Times New Roman"/>
                <w:b/>
                <w:bCs/>
                <w:color w:val="auto"/>
                <w:sz w:val="21"/>
                <w:szCs w:val="21"/>
                <w:u w:val="single"/>
              </w:rPr>
              <w:t>项目</w:t>
            </w:r>
          </w:p>
        </w:tc>
        <w:tc>
          <w:tcPr>
            <w:tcW w:w="1281" w:type="pct"/>
            <w:gridSpan w:val="2"/>
            <w:vAlign w:val="center"/>
          </w:tcPr>
          <w:p w14:paraId="206A7889">
            <w:pPr>
              <w:pStyle w:val="182"/>
              <w:spacing w:line="240" w:lineRule="auto"/>
              <w:ind w:firstLine="0" w:firstLineChars="0"/>
              <w:jc w:val="center"/>
              <w:rPr>
                <w:rFonts w:ascii="Times New Roman" w:hAnsi="Times New Roman" w:cs="Times New Roman"/>
                <w:b/>
                <w:bCs/>
                <w:color w:val="auto"/>
                <w:sz w:val="21"/>
                <w:szCs w:val="21"/>
                <w:u w:val="single"/>
              </w:rPr>
            </w:pPr>
            <w:r>
              <w:rPr>
                <w:rFonts w:ascii="Times New Roman" w:hAnsi="Times New Roman" w:cs="Times New Roman"/>
                <w:b/>
                <w:bCs/>
                <w:color w:val="auto"/>
                <w:sz w:val="21"/>
                <w:szCs w:val="21"/>
                <w:u w:val="single"/>
              </w:rPr>
              <w:t>污染源</w:t>
            </w:r>
          </w:p>
        </w:tc>
        <w:tc>
          <w:tcPr>
            <w:tcW w:w="1367" w:type="pct"/>
            <w:vAlign w:val="center"/>
          </w:tcPr>
          <w:p w14:paraId="2F9EF078">
            <w:pPr>
              <w:pStyle w:val="182"/>
              <w:spacing w:line="240" w:lineRule="auto"/>
              <w:ind w:firstLine="0" w:firstLineChars="0"/>
              <w:jc w:val="center"/>
              <w:rPr>
                <w:rFonts w:ascii="Times New Roman" w:hAnsi="Times New Roman" w:cs="Times New Roman"/>
                <w:b/>
                <w:bCs/>
                <w:color w:val="auto"/>
                <w:sz w:val="21"/>
                <w:szCs w:val="21"/>
                <w:u w:val="single"/>
              </w:rPr>
            </w:pPr>
            <w:r>
              <w:rPr>
                <w:rFonts w:ascii="Times New Roman" w:hAnsi="Times New Roman" w:cs="Times New Roman"/>
                <w:b/>
                <w:bCs/>
                <w:color w:val="auto"/>
                <w:sz w:val="21"/>
                <w:szCs w:val="21"/>
                <w:u w:val="single"/>
              </w:rPr>
              <w:t>污染物</w:t>
            </w:r>
          </w:p>
        </w:tc>
        <w:tc>
          <w:tcPr>
            <w:tcW w:w="1111" w:type="pct"/>
            <w:vAlign w:val="center"/>
          </w:tcPr>
          <w:p w14:paraId="7F7BF71E">
            <w:pPr>
              <w:pStyle w:val="182"/>
              <w:spacing w:line="240" w:lineRule="auto"/>
              <w:ind w:firstLine="0" w:firstLineChars="0"/>
              <w:jc w:val="center"/>
              <w:rPr>
                <w:rFonts w:ascii="Times New Roman" w:hAnsi="Times New Roman" w:cs="Times New Roman"/>
                <w:b/>
                <w:bCs/>
                <w:color w:val="auto"/>
                <w:sz w:val="21"/>
                <w:szCs w:val="21"/>
                <w:u w:val="single"/>
              </w:rPr>
            </w:pPr>
            <w:r>
              <w:rPr>
                <w:rFonts w:ascii="Times New Roman" w:hAnsi="Times New Roman" w:cs="Times New Roman"/>
                <w:b/>
                <w:bCs/>
                <w:color w:val="auto"/>
                <w:sz w:val="21"/>
                <w:szCs w:val="21"/>
                <w:u w:val="single"/>
              </w:rPr>
              <w:t>核算指南核算方法</w:t>
            </w:r>
          </w:p>
        </w:tc>
        <w:tc>
          <w:tcPr>
            <w:tcW w:w="817" w:type="pct"/>
            <w:vAlign w:val="center"/>
          </w:tcPr>
          <w:p w14:paraId="51C43DB2">
            <w:pPr>
              <w:pStyle w:val="182"/>
              <w:spacing w:line="240" w:lineRule="auto"/>
              <w:ind w:firstLine="0" w:firstLineChars="0"/>
              <w:jc w:val="center"/>
              <w:rPr>
                <w:rFonts w:ascii="Times New Roman" w:hAnsi="Times New Roman" w:cs="Times New Roman"/>
                <w:b/>
                <w:bCs/>
                <w:color w:val="auto"/>
                <w:sz w:val="21"/>
                <w:szCs w:val="21"/>
                <w:u w:val="single"/>
              </w:rPr>
            </w:pPr>
            <w:r>
              <w:rPr>
                <w:rFonts w:ascii="Times New Roman" w:hAnsi="Times New Roman" w:cs="Times New Roman"/>
                <w:b/>
                <w:bCs/>
                <w:color w:val="auto"/>
                <w:sz w:val="21"/>
                <w:szCs w:val="21"/>
                <w:u w:val="single"/>
              </w:rPr>
              <w:t>本次工程选取</w:t>
            </w:r>
          </w:p>
        </w:tc>
      </w:tr>
      <w:tr w14:paraId="386B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3" w:type="pct"/>
            <w:vMerge w:val="restart"/>
            <w:vAlign w:val="center"/>
          </w:tcPr>
          <w:p w14:paraId="706817E8">
            <w:pPr>
              <w:pStyle w:val="182"/>
              <w:spacing w:line="240" w:lineRule="auto"/>
              <w:ind w:firstLine="0" w:firstLineChars="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废气</w:t>
            </w:r>
          </w:p>
        </w:tc>
        <w:tc>
          <w:tcPr>
            <w:tcW w:w="597" w:type="pct"/>
            <w:vAlign w:val="center"/>
          </w:tcPr>
          <w:p w14:paraId="646A21E1">
            <w:pPr>
              <w:pStyle w:val="182"/>
              <w:spacing w:line="240" w:lineRule="auto"/>
              <w:ind w:firstLine="0" w:firstLineChars="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聚合</w:t>
            </w:r>
          </w:p>
        </w:tc>
        <w:tc>
          <w:tcPr>
            <w:tcW w:w="684" w:type="pct"/>
            <w:vAlign w:val="center"/>
          </w:tcPr>
          <w:p w14:paraId="56A2A5A7">
            <w:pPr>
              <w:pStyle w:val="182"/>
              <w:spacing w:line="240" w:lineRule="auto"/>
              <w:ind w:firstLine="0" w:firstLineChars="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G</w:t>
            </w:r>
            <w:r>
              <w:rPr>
                <w:rFonts w:hint="eastAsia" w:ascii="Times New Roman" w:hAnsi="Times New Roman" w:cs="Times New Roman"/>
                <w:color w:val="auto"/>
                <w:sz w:val="21"/>
                <w:szCs w:val="21"/>
                <w:u w:val="single"/>
              </w:rPr>
              <w:t>1</w:t>
            </w:r>
            <w:r>
              <w:rPr>
                <w:rFonts w:ascii="Times New Roman" w:hAnsi="Times New Roman" w:cs="Times New Roman"/>
                <w:color w:val="auto"/>
                <w:sz w:val="21"/>
                <w:szCs w:val="21"/>
                <w:u w:val="single"/>
              </w:rPr>
              <w:t>-1</w:t>
            </w:r>
          </w:p>
        </w:tc>
        <w:tc>
          <w:tcPr>
            <w:tcW w:w="1367" w:type="pct"/>
            <w:vAlign w:val="center"/>
          </w:tcPr>
          <w:p w14:paraId="38B9ED9B">
            <w:pPr>
              <w:pStyle w:val="182"/>
              <w:spacing w:line="240" w:lineRule="auto"/>
              <w:ind w:firstLine="0" w:firstLineChars="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D4、KF-99、硫酸雾</w:t>
            </w:r>
          </w:p>
        </w:tc>
        <w:tc>
          <w:tcPr>
            <w:tcW w:w="1111" w:type="pct"/>
            <w:vMerge w:val="restart"/>
            <w:vAlign w:val="center"/>
          </w:tcPr>
          <w:p w14:paraId="4FDD2967">
            <w:pPr>
              <w:pStyle w:val="182"/>
              <w:spacing w:line="240" w:lineRule="auto"/>
              <w:ind w:firstLine="0" w:firstLineChars="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物料衡算法、类比法、实测法、产污系数法、排污系数法、实验法</w:t>
            </w:r>
          </w:p>
        </w:tc>
        <w:tc>
          <w:tcPr>
            <w:tcW w:w="817" w:type="pct"/>
            <w:vMerge w:val="restart"/>
            <w:vAlign w:val="center"/>
          </w:tcPr>
          <w:p w14:paraId="728A22F1">
            <w:pPr>
              <w:pStyle w:val="182"/>
              <w:spacing w:line="240" w:lineRule="auto"/>
              <w:ind w:firstLine="0" w:firstLineChars="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产污系数法</w:t>
            </w:r>
            <w:r>
              <w:rPr>
                <w:rFonts w:hint="eastAsia" w:ascii="Times New Roman" w:hAnsi="Times New Roman" w:cs="Times New Roman"/>
                <w:color w:val="auto"/>
                <w:sz w:val="21"/>
                <w:szCs w:val="21"/>
                <w:u w:val="single"/>
              </w:rPr>
              <w:t>、</w:t>
            </w:r>
            <w:r>
              <w:rPr>
                <w:rFonts w:ascii="Times New Roman" w:hAnsi="Times New Roman" w:cs="Times New Roman"/>
                <w:color w:val="auto"/>
                <w:sz w:val="21"/>
                <w:szCs w:val="21"/>
                <w:u w:val="single"/>
              </w:rPr>
              <w:t>物料衡算法</w:t>
            </w:r>
          </w:p>
        </w:tc>
      </w:tr>
      <w:tr w14:paraId="5B00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3" w:type="pct"/>
            <w:vMerge w:val="continue"/>
            <w:vAlign w:val="center"/>
          </w:tcPr>
          <w:p w14:paraId="584D8E82">
            <w:pPr>
              <w:pStyle w:val="182"/>
              <w:spacing w:line="240" w:lineRule="auto"/>
              <w:ind w:firstLine="0" w:firstLineChars="0"/>
              <w:jc w:val="center"/>
              <w:rPr>
                <w:rFonts w:ascii="Times New Roman" w:hAnsi="Times New Roman" w:cs="Times New Roman"/>
                <w:color w:val="auto"/>
                <w:sz w:val="21"/>
                <w:szCs w:val="21"/>
              </w:rPr>
            </w:pPr>
          </w:p>
        </w:tc>
        <w:tc>
          <w:tcPr>
            <w:tcW w:w="597" w:type="pct"/>
            <w:vAlign w:val="center"/>
          </w:tcPr>
          <w:p w14:paraId="3260F3D5">
            <w:pPr>
              <w:pStyle w:val="182"/>
              <w:spacing w:line="240" w:lineRule="auto"/>
              <w:ind w:firstLine="0" w:firstLineChars="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中和</w:t>
            </w:r>
          </w:p>
        </w:tc>
        <w:tc>
          <w:tcPr>
            <w:tcW w:w="684" w:type="pct"/>
            <w:vAlign w:val="center"/>
          </w:tcPr>
          <w:p w14:paraId="4C770DB7">
            <w:pPr>
              <w:pStyle w:val="182"/>
              <w:spacing w:line="240" w:lineRule="auto"/>
              <w:ind w:firstLine="0" w:firstLineChars="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G</w:t>
            </w:r>
            <w:r>
              <w:rPr>
                <w:rFonts w:hint="eastAsia" w:ascii="Times New Roman" w:hAnsi="Times New Roman" w:cs="Times New Roman"/>
                <w:color w:val="auto"/>
                <w:sz w:val="21"/>
                <w:szCs w:val="21"/>
                <w:u w:val="single"/>
              </w:rPr>
              <w:t>1-2</w:t>
            </w:r>
          </w:p>
        </w:tc>
        <w:tc>
          <w:tcPr>
            <w:tcW w:w="1367" w:type="pct"/>
            <w:vAlign w:val="center"/>
          </w:tcPr>
          <w:p w14:paraId="0E560F6F">
            <w:pPr>
              <w:pStyle w:val="182"/>
              <w:spacing w:line="240" w:lineRule="auto"/>
              <w:ind w:firstLine="0" w:firstLineChars="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D4、KF-99</w:t>
            </w:r>
          </w:p>
        </w:tc>
        <w:tc>
          <w:tcPr>
            <w:tcW w:w="1111" w:type="pct"/>
            <w:vMerge w:val="continue"/>
            <w:vAlign w:val="center"/>
          </w:tcPr>
          <w:p w14:paraId="169AC2A9">
            <w:pPr>
              <w:pStyle w:val="182"/>
              <w:spacing w:line="240" w:lineRule="auto"/>
              <w:ind w:firstLine="0" w:firstLineChars="0"/>
              <w:jc w:val="center"/>
              <w:rPr>
                <w:rFonts w:ascii="Times New Roman" w:hAnsi="Times New Roman" w:cs="Times New Roman"/>
                <w:color w:val="auto"/>
                <w:sz w:val="21"/>
                <w:szCs w:val="21"/>
              </w:rPr>
            </w:pPr>
          </w:p>
        </w:tc>
        <w:tc>
          <w:tcPr>
            <w:tcW w:w="817" w:type="pct"/>
            <w:vMerge w:val="continue"/>
            <w:vAlign w:val="center"/>
          </w:tcPr>
          <w:p w14:paraId="4A2A7CC0">
            <w:pPr>
              <w:pStyle w:val="182"/>
              <w:spacing w:line="240" w:lineRule="auto"/>
              <w:ind w:firstLine="420"/>
              <w:jc w:val="center"/>
              <w:rPr>
                <w:rFonts w:ascii="Times New Roman" w:hAnsi="Times New Roman" w:cs="Times New Roman"/>
                <w:color w:val="auto"/>
                <w:sz w:val="21"/>
                <w:szCs w:val="21"/>
              </w:rPr>
            </w:pPr>
          </w:p>
        </w:tc>
      </w:tr>
      <w:tr w14:paraId="3D34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3" w:type="pct"/>
            <w:vMerge w:val="continue"/>
            <w:vAlign w:val="center"/>
          </w:tcPr>
          <w:p w14:paraId="0A2F2348">
            <w:pPr>
              <w:pStyle w:val="182"/>
              <w:spacing w:line="240" w:lineRule="auto"/>
              <w:ind w:firstLine="0" w:firstLineChars="0"/>
              <w:jc w:val="center"/>
              <w:rPr>
                <w:rFonts w:ascii="Times New Roman" w:hAnsi="Times New Roman" w:cs="Times New Roman"/>
                <w:color w:val="auto"/>
                <w:sz w:val="21"/>
                <w:szCs w:val="21"/>
              </w:rPr>
            </w:pPr>
          </w:p>
        </w:tc>
        <w:tc>
          <w:tcPr>
            <w:tcW w:w="597" w:type="pct"/>
            <w:vMerge w:val="restart"/>
            <w:vAlign w:val="center"/>
          </w:tcPr>
          <w:p w14:paraId="4D694424">
            <w:pPr>
              <w:pStyle w:val="182"/>
              <w:spacing w:line="240" w:lineRule="auto"/>
              <w:ind w:firstLine="0" w:firstLineChars="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硅氢化</w:t>
            </w:r>
            <w:r>
              <w:rPr>
                <w:rFonts w:ascii="Times New Roman" w:hAnsi="Times New Roman" w:cs="Times New Roman"/>
                <w:color w:val="auto"/>
                <w:sz w:val="21"/>
                <w:szCs w:val="21"/>
                <w:u w:val="single"/>
              </w:rPr>
              <w:t>反应</w:t>
            </w:r>
            <w:r>
              <w:rPr>
                <w:rFonts w:hint="eastAsia" w:ascii="Times New Roman" w:hAnsi="Times New Roman" w:cs="Times New Roman"/>
                <w:color w:val="auto"/>
                <w:sz w:val="21"/>
                <w:szCs w:val="21"/>
                <w:u w:val="single"/>
              </w:rPr>
              <w:t>、脱色</w:t>
            </w:r>
          </w:p>
        </w:tc>
        <w:tc>
          <w:tcPr>
            <w:tcW w:w="684" w:type="pct"/>
            <w:vAlign w:val="center"/>
          </w:tcPr>
          <w:p w14:paraId="5A6801C0">
            <w:pPr>
              <w:pStyle w:val="182"/>
              <w:spacing w:line="240" w:lineRule="auto"/>
              <w:ind w:firstLine="0" w:firstLineChars="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G</w:t>
            </w:r>
            <w:r>
              <w:rPr>
                <w:rFonts w:hint="eastAsia" w:ascii="Times New Roman" w:hAnsi="Times New Roman" w:cs="Times New Roman"/>
                <w:color w:val="auto"/>
                <w:sz w:val="21"/>
                <w:szCs w:val="21"/>
                <w:u w:val="single"/>
              </w:rPr>
              <w:t>1</w:t>
            </w:r>
            <w:r>
              <w:rPr>
                <w:rFonts w:ascii="Times New Roman" w:hAnsi="Times New Roman" w:cs="Times New Roman"/>
                <w:color w:val="auto"/>
                <w:sz w:val="21"/>
                <w:szCs w:val="21"/>
                <w:u w:val="single"/>
              </w:rPr>
              <w:t>-3</w:t>
            </w:r>
          </w:p>
        </w:tc>
        <w:tc>
          <w:tcPr>
            <w:tcW w:w="1367" w:type="pct"/>
            <w:vAlign w:val="center"/>
          </w:tcPr>
          <w:p w14:paraId="6318196F">
            <w:pPr>
              <w:pStyle w:val="182"/>
              <w:spacing w:line="240" w:lineRule="auto"/>
              <w:ind w:firstLine="0" w:firstLineChars="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D4、KF-99、二丙二醇、HMS-215M、HMS-218M、低含氢硅油</w:t>
            </w:r>
          </w:p>
        </w:tc>
        <w:tc>
          <w:tcPr>
            <w:tcW w:w="1111" w:type="pct"/>
            <w:vMerge w:val="continue"/>
            <w:vAlign w:val="center"/>
          </w:tcPr>
          <w:p w14:paraId="2E94ACBD">
            <w:pPr>
              <w:pStyle w:val="182"/>
              <w:spacing w:line="240" w:lineRule="auto"/>
              <w:ind w:firstLine="0" w:firstLineChars="0"/>
              <w:jc w:val="center"/>
              <w:rPr>
                <w:rFonts w:ascii="Times New Roman" w:hAnsi="Times New Roman" w:cs="Times New Roman"/>
                <w:color w:val="auto"/>
                <w:sz w:val="21"/>
                <w:szCs w:val="21"/>
              </w:rPr>
            </w:pPr>
          </w:p>
        </w:tc>
        <w:tc>
          <w:tcPr>
            <w:tcW w:w="817" w:type="pct"/>
            <w:vMerge w:val="continue"/>
            <w:vAlign w:val="center"/>
          </w:tcPr>
          <w:p w14:paraId="18B39A57">
            <w:pPr>
              <w:pStyle w:val="182"/>
              <w:spacing w:line="240" w:lineRule="auto"/>
              <w:ind w:firstLine="420"/>
              <w:jc w:val="center"/>
              <w:rPr>
                <w:rFonts w:ascii="Times New Roman" w:hAnsi="Times New Roman" w:cs="Times New Roman"/>
                <w:color w:val="auto"/>
                <w:sz w:val="21"/>
                <w:szCs w:val="21"/>
              </w:rPr>
            </w:pPr>
          </w:p>
        </w:tc>
      </w:tr>
      <w:tr w14:paraId="1364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3" w:type="pct"/>
            <w:vMerge w:val="continue"/>
            <w:vAlign w:val="center"/>
          </w:tcPr>
          <w:p w14:paraId="2BCE2C0A">
            <w:pPr>
              <w:pStyle w:val="182"/>
              <w:spacing w:line="240" w:lineRule="auto"/>
              <w:ind w:firstLine="0" w:firstLineChars="0"/>
              <w:jc w:val="center"/>
              <w:rPr>
                <w:rFonts w:ascii="Times New Roman" w:hAnsi="Times New Roman" w:cs="Times New Roman"/>
                <w:color w:val="auto"/>
                <w:sz w:val="21"/>
                <w:szCs w:val="21"/>
              </w:rPr>
            </w:pPr>
          </w:p>
        </w:tc>
        <w:tc>
          <w:tcPr>
            <w:tcW w:w="597" w:type="pct"/>
            <w:vMerge w:val="continue"/>
            <w:vAlign w:val="center"/>
          </w:tcPr>
          <w:p w14:paraId="1F7C4FC8">
            <w:pPr>
              <w:pStyle w:val="182"/>
              <w:spacing w:line="240" w:lineRule="auto"/>
              <w:ind w:firstLine="0" w:firstLineChars="0"/>
              <w:jc w:val="center"/>
              <w:rPr>
                <w:rFonts w:ascii="Times New Roman" w:hAnsi="Times New Roman" w:cs="Times New Roman"/>
                <w:color w:val="auto"/>
                <w:sz w:val="21"/>
                <w:szCs w:val="21"/>
                <w:u w:val="single"/>
              </w:rPr>
            </w:pPr>
          </w:p>
        </w:tc>
        <w:tc>
          <w:tcPr>
            <w:tcW w:w="684" w:type="pct"/>
            <w:vAlign w:val="center"/>
          </w:tcPr>
          <w:p w14:paraId="7F0D5E74">
            <w:pPr>
              <w:pStyle w:val="182"/>
              <w:spacing w:line="240" w:lineRule="auto"/>
              <w:ind w:firstLine="0" w:firstLineChars="0"/>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rPr>
              <w:t>G</w:t>
            </w:r>
            <w:r>
              <w:rPr>
                <w:rFonts w:hint="eastAsia" w:ascii="Times New Roman" w:hAnsi="Times New Roman" w:cs="Times New Roman"/>
                <w:color w:val="auto"/>
                <w:sz w:val="21"/>
                <w:szCs w:val="21"/>
                <w:u w:val="single"/>
              </w:rPr>
              <w:t>1</w:t>
            </w:r>
            <w:r>
              <w:rPr>
                <w:rFonts w:ascii="Times New Roman" w:hAnsi="Times New Roman" w:cs="Times New Roman"/>
                <w:color w:val="auto"/>
                <w:sz w:val="21"/>
                <w:szCs w:val="21"/>
                <w:u w:val="single"/>
              </w:rPr>
              <w:t>-</w:t>
            </w:r>
            <w:r>
              <w:rPr>
                <w:rFonts w:hint="eastAsia" w:ascii="Times New Roman" w:hAnsi="Times New Roman" w:cs="Times New Roman"/>
                <w:color w:val="auto"/>
                <w:sz w:val="21"/>
                <w:szCs w:val="21"/>
                <w:u w:val="single"/>
              </w:rPr>
              <w:t>4</w:t>
            </w:r>
          </w:p>
        </w:tc>
        <w:tc>
          <w:tcPr>
            <w:tcW w:w="1367" w:type="pct"/>
            <w:vAlign w:val="center"/>
          </w:tcPr>
          <w:p w14:paraId="3EED8E30">
            <w:pPr>
              <w:pStyle w:val="182"/>
              <w:spacing w:line="240" w:lineRule="auto"/>
              <w:ind w:firstLine="0" w:firstLineChars="0"/>
              <w:jc w:val="center"/>
              <w:rPr>
                <w:rFonts w:ascii="Times New Roman" w:hAnsi="Times New Roman" w:cs="Times New Roman"/>
                <w:color w:val="auto"/>
                <w:sz w:val="21"/>
                <w:szCs w:val="21"/>
                <w:u w:val="single"/>
              </w:rPr>
            </w:pPr>
            <w:r>
              <w:rPr>
                <w:rFonts w:hint="eastAsia" w:ascii="Times New Roman" w:hAnsi="Times New Roman" w:cs="Times New Roman"/>
                <w:color w:val="auto"/>
                <w:sz w:val="21"/>
                <w:szCs w:val="21"/>
                <w:u w:val="single"/>
              </w:rPr>
              <w:t>D4、KF-99、二丙二醇、HMS-222M、HMS-218M、低含氢硅油</w:t>
            </w:r>
          </w:p>
        </w:tc>
        <w:tc>
          <w:tcPr>
            <w:tcW w:w="1111" w:type="pct"/>
            <w:vMerge w:val="continue"/>
            <w:vAlign w:val="center"/>
          </w:tcPr>
          <w:p w14:paraId="3A749FA1">
            <w:pPr>
              <w:pStyle w:val="182"/>
              <w:spacing w:line="240" w:lineRule="auto"/>
              <w:ind w:firstLine="0" w:firstLineChars="0"/>
              <w:jc w:val="center"/>
              <w:rPr>
                <w:rFonts w:ascii="Times New Roman" w:hAnsi="Times New Roman" w:cs="Times New Roman"/>
                <w:color w:val="auto"/>
                <w:sz w:val="21"/>
                <w:szCs w:val="21"/>
              </w:rPr>
            </w:pPr>
          </w:p>
        </w:tc>
        <w:tc>
          <w:tcPr>
            <w:tcW w:w="817" w:type="pct"/>
            <w:vMerge w:val="continue"/>
            <w:vAlign w:val="center"/>
          </w:tcPr>
          <w:p w14:paraId="271CB550">
            <w:pPr>
              <w:pStyle w:val="182"/>
              <w:spacing w:line="240" w:lineRule="auto"/>
              <w:ind w:firstLine="0" w:firstLineChars="0"/>
              <w:jc w:val="center"/>
              <w:rPr>
                <w:rFonts w:ascii="Times New Roman" w:hAnsi="Times New Roman" w:cs="Times New Roman"/>
                <w:color w:val="auto"/>
                <w:sz w:val="21"/>
                <w:szCs w:val="21"/>
              </w:rPr>
            </w:pPr>
          </w:p>
        </w:tc>
      </w:tr>
      <w:tr w14:paraId="06C1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3" w:type="pct"/>
            <w:vMerge w:val="continue"/>
            <w:vAlign w:val="center"/>
          </w:tcPr>
          <w:p w14:paraId="7C5FD9F8">
            <w:pPr>
              <w:pStyle w:val="182"/>
              <w:spacing w:line="240" w:lineRule="auto"/>
              <w:ind w:firstLine="0" w:firstLineChars="0"/>
              <w:jc w:val="center"/>
              <w:rPr>
                <w:rFonts w:ascii="Times New Roman" w:hAnsi="Times New Roman" w:cs="Times New Roman"/>
                <w:color w:val="auto"/>
                <w:sz w:val="21"/>
                <w:szCs w:val="21"/>
              </w:rPr>
            </w:pPr>
          </w:p>
        </w:tc>
        <w:tc>
          <w:tcPr>
            <w:tcW w:w="597" w:type="pct"/>
            <w:vAlign w:val="center"/>
          </w:tcPr>
          <w:p w14:paraId="0439F08A">
            <w:pPr>
              <w:pStyle w:val="182"/>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投料</w:t>
            </w:r>
          </w:p>
        </w:tc>
        <w:tc>
          <w:tcPr>
            <w:tcW w:w="684" w:type="pct"/>
            <w:vAlign w:val="center"/>
          </w:tcPr>
          <w:p w14:paraId="3DCD91E9">
            <w:pPr>
              <w:pStyle w:val="182"/>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G2-1</w:t>
            </w:r>
          </w:p>
        </w:tc>
        <w:tc>
          <w:tcPr>
            <w:tcW w:w="1367" w:type="pct"/>
            <w:vAlign w:val="center"/>
          </w:tcPr>
          <w:p w14:paraId="12635ED4">
            <w:pPr>
              <w:pStyle w:val="182"/>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色粉</w:t>
            </w:r>
          </w:p>
        </w:tc>
        <w:tc>
          <w:tcPr>
            <w:tcW w:w="1111" w:type="pct"/>
            <w:vAlign w:val="center"/>
          </w:tcPr>
          <w:p w14:paraId="0939B3ED">
            <w:pPr>
              <w:pStyle w:val="182"/>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物料衡算法、类比法、实测法、产污系数法、排污系数法、实验法</w:t>
            </w:r>
          </w:p>
        </w:tc>
        <w:tc>
          <w:tcPr>
            <w:tcW w:w="817" w:type="pct"/>
            <w:vAlign w:val="center"/>
          </w:tcPr>
          <w:p w14:paraId="05B83476">
            <w:pPr>
              <w:pStyle w:val="182"/>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产污系数法</w:t>
            </w:r>
          </w:p>
        </w:tc>
      </w:tr>
      <w:tr w14:paraId="0826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3" w:type="pct"/>
            <w:vMerge w:val="restart"/>
            <w:vAlign w:val="center"/>
          </w:tcPr>
          <w:p w14:paraId="4522D171">
            <w:pPr>
              <w:pStyle w:val="182"/>
              <w:spacing w:line="240" w:lineRule="auto"/>
              <w:ind w:firstLine="0" w:firstLineChars="0"/>
              <w:jc w:val="center"/>
              <w:rPr>
                <w:rFonts w:ascii="Times New Roman" w:hAnsi="Times New Roman" w:cs="Times New Roman"/>
                <w:color w:val="auto"/>
                <w:sz w:val="21"/>
                <w:szCs w:val="21"/>
                <w:highlight w:val="yellow"/>
              </w:rPr>
            </w:pPr>
            <w:r>
              <w:rPr>
                <w:rFonts w:ascii="Times New Roman" w:hAnsi="Times New Roman" w:cs="Times New Roman"/>
                <w:color w:val="auto"/>
                <w:sz w:val="21"/>
                <w:szCs w:val="21"/>
              </w:rPr>
              <w:t>废水</w:t>
            </w:r>
          </w:p>
        </w:tc>
        <w:tc>
          <w:tcPr>
            <w:tcW w:w="1281" w:type="pct"/>
            <w:gridSpan w:val="2"/>
            <w:vAlign w:val="center"/>
          </w:tcPr>
          <w:p w14:paraId="4A261697">
            <w:pPr>
              <w:pStyle w:val="182"/>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喷淋废水</w:t>
            </w:r>
          </w:p>
        </w:tc>
        <w:tc>
          <w:tcPr>
            <w:tcW w:w="1367" w:type="pct"/>
            <w:vAlign w:val="center"/>
          </w:tcPr>
          <w:p w14:paraId="323D721A">
            <w:pPr>
              <w:pStyle w:val="182"/>
              <w:spacing w:line="240" w:lineRule="auto"/>
              <w:ind w:firstLine="0" w:firstLineChars="0"/>
              <w:jc w:val="center"/>
              <w:rPr>
                <w:rFonts w:ascii="Times New Roman" w:hAnsi="Times New Roman" w:cs="Times New Roman"/>
                <w:color w:val="auto"/>
                <w:sz w:val="21"/>
                <w:szCs w:val="21"/>
                <w:highlight w:val="yellow"/>
              </w:rPr>
            </w:pPr>
            <w:r>
              <w:rPr>
                <w:rFonts w:ascii="Times New Roman" w:hAnsi="Times New Roman" w:cs="Times New Roman"/>
                <w:color w:val="auto"/>
                <w:sz w:val="21"/>
                <w:szCs w:val="21"/>
              </w:rPr>
              <w:t>COD、SS、BOD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w:t>
            </w:r>
            <w:r>
              <w:rPr>
                <w:rFonts w:hint="eastAsia" w:ascii="Times New Roman" w:hAnsi="Times New Roman" w:cs="Times New Roman"/>
                <w:color w:val="auto"/>
                <w:sz w:val="21"/>
                <w:szCs w:val="21"/>
              </w:rPr>
              <w:t>石油类、硫酸钠</w:t>
            </w:r>
          </w:p>
        </w:tc>
        <w:tc>
          <w:tcPr>
            <w:tcW w:w="1111" w:type="pct"/>
            <w:vMerge w:val="restart"/>
            <w:vAlign w:val="center"/>
          </w:tcPr>
          <w:p w14:paraId="7A4F21B7">
            <w:pPr>
              <w:pStyle w:val="182"/>
              <w:spacing w:line="240" w:lineRule="auto"/>
              <w:ind w:firstLine="0" w:firstLineChars="0"/>
              <w:jc w:val="center"/>
              <w:rPr>
                <w:rFonts w:ascii="Times New Roman" w:hAnsi="Times New Roman" w:cs="Times New Roman"/>
                <w:color w:val="auto"/>
                <w:sz w:val="21"/>
                <w:szCs w:val="21"/>
                <w:highlight w:val="yellow"/>
              </w:rPr>
            </w:pPr>
            <w:r>
              <w:rPr>
                <w:rFonts w:ascii="Times New Roman" w:hAnsi="Times New Roman" w:cs="Times New Roman"/>
                <w:color w:val="auto"/>
                <w:sz w:val="21"/>
                <w:szCs w:val="21"/>
              </w:rPr>
              <w:t>物料衡算法、类比法、实测法、产污系数法、排污系数法、实验法</w:t>
            </w:r>
          </w:p>
        </w:tc>
        <w:tc>
          <w:tcPr>
            <w:tcW w:w="817" w:type="pct"/>
            <w:vMerge w:val="restart"/>
            <w:vAlign w:val="center"/>
          </w:tcPr>
          <w:p w14:paraId="48CD5441">
            <w:pPr>
              <w:pStyle w:val="182"/>
              <w:spacing w:line="240" w:lineRule="auto"/>
              <w:ind w:firstLine="0" w:firstLineChars="0"/>
              <w:jc w:val="center"/>
              <w:rPr>
                <w:rFonts w:ascii="Times New Roman" w:hAnsi="Times New Roman" w:cs="Times New Roman"/>
                <w:color w:val="auto"/>
                <w:sz w:val="21"/>
                <w:szCs w:val="21"/>
                <w:highlight w:val="yellow"/>
              </w:rPr>
            </w:pPr>
            <w:r>
              <w:rPr>
                <w:rFonts w:ascii="Times New Roman" w:hAnsi="Times New Roman" w:cs="Times New Roman"/>
                <w:color w:val="auto"/>
                <w:sz w:val="21"/>
                <w:szCs w:val="21"/>
              </w:rPr>
              <w:t>物料衡算法</w:t>
            </w:r>
            <w:r>
              <w:rPr>
                <w:rFonts w:hint="eastAsia" w:ascii="Times New Roman" w:hAnsi="Times New Roman" w:cs="Times New Roman"/>
                <w:color w:val="auto"/>
                <w:sz w:val="21"/>
                <w:szCs w:val="21"/>
              </w:rPr>
              <w:t>、</w:t>
            </w:r>
            <w:r>
              <w:rPr>
                <w:rFonts w:ascii="Times New Roman" w:hAnsi="Times New Roman" w:cs="Times New Roman"/>
                <w:color w:val="auto"/>
                <w:sz w:val="21"/>
                <w:szCs w:val="21"/>
              </w:rPr>
              <w:t>类比法</w:t>
            </w:r>
          </w:p>
        </w:tc>
      </w:tr>
      <w:tr w14:paraId="2C86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3" w:type="pct"/>
            <w:vMerge w:val="continue"/>
            <w:vAlign w:val="center"/>
          </w:tcPr>
          <w:p w14:paraId="25C59EAD">
            <w:pPr>
              <w:pStyle w:val="182"/>
              <w:spacing w:line="240" w:lineRule="auto"/>
              <w:ind w:firstLine="0" w:firstLineChars="0"/>
              <w:jc w:val="center"/>
              <w:rPr>
                <w:rFonts w:ascii="Times New Roman" w:hAnsi="Times New Roman" w:cs="Times New Roman"/>
                <w:color w:val="auto"/>
                <w:sz w:val="21"/>
                <w:szCs w:val="21"/>
              </w:rPr>
            </w:pPr>
          </w:p>
        </w:tc>
        <w:tc>
          <w:tcPr>
            <w:tcW w:w="1281" w:type="pct"/>
            <w:gridSpan w:val="2"/>
            <w:vAlign w:val="center"/>
          </w:tcPr>
          <w:p w14:paraId="29650A4C">
            <w:pPr>
              <w:pStyle w:val="182"/>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u w:val="single"/>
              </w:rPr>
              <w:t>车间地面拖洗废水</w:t>
            </w:r>
          </w:p>
        </w:tc>
        <w:tc>
          <w:tcPr>
            <w:tcW w:w="1367" w:type="pct"/>
            <w:vAlign w:val="center"/>
          </w:tcPr>
          <w:p w14:paraId="2448C8F9">
            <w:pPr>
              <w:pStyle w:val="182"/>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COD、SS、BOD</w:t>
            </w:r>
            <w:r>
              <w:rPr>
                <w:rFonts w:ascii="Times New Roman" w:hAnsi="Times New Roman" w:cs="Times New Roman"/>
                <w:color w:val="auto"/>
                <w:sz w:val="21"/>
                <w:szCs w:val="21"/>
                <w:vertAlign w:val="subscript"/>
              </w:rPr>
              <w:t>5</w:t>
            </w:r>
            <w:r>
              <w:rPr>
                <w:rFonts w:hint="eastAsia" w:ascii="Times New Roman" w:hAnsi="Times New Roman" w:cs="Times New Roman"/>
                <w:color w:val="auto"/>
                <w:sz w:val="21"/>
                <w:szCs w:val="21"/>
              </w:rPr>
              <w:t>、石油类</w:t>
            </w:r>
          </w:p>
        </w:tc>
        <w:tc>
          <w:tcPr>
            <w:tcW w:w="1111" w:type="pct"/>
            <w:vMerge w:val="continue"/>
            <w:vAlign w:val="center"/>
          </w:tcPr>
          <w:p w14:paraId="1752B740">
            <w:pPr>
              <w:pStyle w:val="182"/>
              <w:spacing w:line="240" w:lineRule="auto"/>
              <w:ind w:firstLine="0" w:firstLineChars="0"/>
              <w:jc w:val="center"/>
              <w:rPr>
                <w:rFonts w:ascii="Times New Roman" w:hAnsi="Times New Roman" w:cs="Times New Roman"/>
                <w:color w:val="auto"/>
                <w:sz w:val="21"/>
                <w:szCs w:val="21"/>
              </w:rPr>
            </w:pPr>
          </w:p>
        </w:tc>
        <w:tc>
          <w:tcPr>
            <w:tcW w:w="817" w:type="pct"/>
            <w:vMerge w:val="continue"/>
            <w:vAlign w:val="center"/>
          </w:tcPr>
          <w:p w14:paraId="5B4CCDF7">
            <w:pPr>
              <w:pStyle w:val="182"/>
              <w:spacing w:line="240" w:lineRule="auto"/>
              <w:ind w:firstLine="0" w:firstLineChars="0"/>
              <w:jc w:val="center"/>
              <w:rPr>
                <w:rFonts w:ascii="Times New Roman" w:hAnsi="Times New Roman" w:cs="Times New Roman"/>
                <w:color w:val="auto"/>
                <w:sz w:val="21"/>
                <w:szCs w:val="21"/>
              </w:rPr>
            </w:pPr>
          </w:p>
        </w:tc>
      </w:tr>
      <w:tr w14:paraId="649D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3" w:type="pct"/>
            <w:vMerge w:val="continue"/>
            <w:vAlign w:val="center"/>
          </w:tcPr>
          <w:p w14:paraId="7ABE9B24">
            <w:pPr>
              <w:pStyle w:val="182"/>
              <w:spacing w:line="240" w:lineRule="auto"/>
              <w:ind w:firstLine="0" w:firstLineChars="0"/>
              <w:jc w:val="center"/>
              <w:rPr>
                <w:rFonts w:ascii="Times New Roman" w:hAnsi="Times New Roman" w:cs="Times New Roman"/>
                <w:color w:val="auto"/>
                <w:sz w:val="21"/>
                <w:szCs w:val="21"/>
              </w:rPr>
            </w:pPr>
          </w:p>
        </w:tc>
        <w:tc>
          <w:tcPr>
            <w:tcW w:w="1281" w:type="pct"/>
            <w:gridSpan w:val="2"/>
            <w:vAlign w:val="center"/>
          </w:tcPr>
          <w:p w14:paraId="7D52AC7C">
            <w:pPr>
              <w:pStyle w:val="182"/>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循环</w:t>
            </w:r>
            <w:r>
              <w:rPr>
                <w:rFonts w:hint="eastAsia" w:ascii="Times New Roman" w:hAnsi="Times New Roman" w:cs="Times New Roman"/>
                <w:color w:val="auto"/>
                <w:sz w:val="21"/>
                <w:szCs w:val="21"/>
              </w:rPr>
              <w:t>冷却</w:t>
            </w:r>
            <w:r>
              <w:rPr>
                <w:rFonts w:ascii="Times New Roman" w:hAnsi="Times New Roman" w:cs="Times New Roman"/>
                <w:color w:val="auto"/>
                <w:sz w:val="21"/>
                <w:szCs w:val="21"/>
              </w:rPr>
              <w:t>水系统排水</w:t>
            </w:r>
          </w:p>
        </w:tc>
        <w:tc>
          <w:tcPr>
            <w:tcW w:w="1367" w:type="pct"/>
            <w:vAlign w:val="center"/>
          </w:tcPr>
          <w:p w14:paraId="67B00D5A">
            <w:pPr>
              <w:pStyle w:val="182"/>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COD、SS、BOD</w:t>
            </w:r>
            <w:r>
              <w:rPr>
                <w:rFonts w:ascii="Times New Roman" w:hAnsi="Times New Roman" w:cs="Times New Roman"/>
                <w:color w:val="auto"/>
                <w:sz w:val="21"/>
                <w:szCs w:val="21"/>
                <w:vertAlign w:val="subscript"/>
              </w:rPr>
              <w:t>5</w:t>
            </w:r>
          </w:p>
        </w:tc>
        <w:tc>
          <w:tcPr>
            <w:tcW w:w="1111" w:type="pct"/>
            <w:vMerge w:val="continue"/>
            <w:vAlign w:val="center"/>
          </w:tcPr>
          <w:p w14:paraId="67FD1CB8">
            <w:pPr>
              <w:pStyle w:val="182"/>
              <w:spacing w:line="240" w:lineRule="auto"/>
              <w:ind w:firstLine="0" w:firstLineChars="0"/>
              <w:jc w:val="center"/>
              <w:rPr>
                <w:rFonts w:ascii="Times New Roman" w:hAnsi="Times New Roman" w:cs="Times New Roman"/>
                <w:color w:val="auto"/>
                <w:sz w:val="21"/>
                <w:szCs w:val="21"/>
              </w:rPr>
            </w:pPr>
          </w:p>
        </w:tc>
        <w:tc>
          <w:tcPr>
            <w:tcW w:w="817" w:type="pct"/>
            <w:vAlign w:val="center"/>
          </w:tcPr>
          <w:p w14:paraId="7443B5AD">
            <w:pPr>
              <w:pStyle w:val="182"/>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类比法</w:t>
            </w:r>
          </w:p>
        </w:tc>
      </w:tr>
      <w:tr w14:paraId="5158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3" w:type="pct"/>
            <w:vAlign w:val="center"/>
          </w:tcPr>
          <w:p w14:paraId="1F2F1E13">
            <w:pPr>
              <w:pStyle w:val="182"/>
              <w:spacing w:line="240" w:lineRule="auto"/>
              <w:ind w:firstLine="0" w:firstLineChars="0"/>
              <w:jc w:val="center"/>
              <w:rPr>
                <w:rFonts w:ascii="Times New Roman" w:hAnsi="Times New Roman" w:cs="Times New Roman"/>
                <w:color w:val="auto"/>
                <w:sz w:val="21"/>
                <w:szCs w:val="21"/>
                <w:highlight w:val="yellow"/>
              </w:rPr>
            </w:pPr>
            <w:r>
              <w:rPr>
                <w:rFonts w:ascii="Times New Roman" w:hAnsi="Times New Roman" w:cs="Times New Roman"/>
                <w:color w:val="auto"/>
                <w:sz w:val="21"/>
                <w:szCs w:val="21"/>
              </w:rPr>
              <w:t>固废</w:t>
            </w:r>
          </w:p>
        </w:tc>
        <w:tc>
          <w:tcPr>
            <w:tcW w:w="597" w:type="pct"/>
            <w:vAlign w:val="center"/>
          </w:tcPr>
          <w:p w14:paraId="6DA17260">
            <w:pPr>
              <w:pStyle w:val="182"/>
              <w:spacing w:line="240" w:lineRule="auto"/>
              <w:ind w:firstLine="0" w:firstLineChars="0"/>
              <w:jc w:val="center"/>
              <w:rPr>
                <w:rFonts w:ascii="Times New Roman" w:hAnsi="Times New Roman" w:cs="Times New Roman"/>
                <w:color w:val="auto"/>
                <w:sz w:val="21"/>
                <w:szCs w:val="21"/>
                <w:highlight w:val="yellow"/>
              </w:rPr>
            </w:pPr>
            <w:r>
              <w:rPr>
                <w:rFonts w:hint="eastAsia" w:ascii="Times New Roman" w:hAnsi="Times New Roman" w:cs="Times New Roman"/>
                <w:color w:val="auto"/>
                <w:sz w:val="21"/>
                <w:szCs w:val="21"/>
              </w:rPr>
              <w:t>废活性炭</w:t>
            </w:r>
          </w:p>
        </w:tc>
        <w:tc>
          <w:tcPr>
            <w:tcW w:w="684" w:type="pct"/>
            <w:vAlign w:val="center"/>
          </w:tcPr>
          <w:p w14:paraId="65ADC4E8">
            <w:pPr>
              <w:pStyle w:val="182"/>
              <w:spacing w:line="240" w:lineRule="auto"/>
              <w:ind w:firstLine="0" w:firstLineChars="0"/>
              <w:jc w:val="center"/>
              <w:rPr>
                <w:rFonts w:ascii="Times New Roman" w:hAnsi="Times New Roman" w:cs="Times New Roman"/>
                <w:color w:val="auto"/>
                <w:sz w:val="21"/>
                <w:szCs w:val="21"/>
                <w:highlight w:val="yellow"/>
              </w:rPr>
            </w:pPr>
            <w:r>
              <w:rPr>
                <w:rFonts w:ascii="Times New Roman" w:hAnsi="Times New Roman" w:cs="Times New Roman"/>
                <w:color w:val="auto"/>
                <w:sz w:val="21"/>
                <w:szCs w:val="21"/>
              </w:rPr>
              <w:t>S</w:t>
            </w:r>
            <w:r>
              <w:rPr>
                <w:rFonts w:hint="eastAsia" w:ascii="Times New Roman" w:hAnsi="Times New Roman" w:cs="Times New Roman"/>
                <w:color w:val="auto"/>
                <w:sz w:val="21"/>
                <w:szCs w:val="21"/>
              </w:rPr>
              <w:t>1</w:t>
            </w:r>
            <w:r>
              <w:rPr>
                <w:rFonts w:ascii="Times New Roman" w:hAnsi="Times New Roman" w:cs="Times New Roman"/>
                <w:color w:val="auto"/>
                <w:sz w:val="21"/>
                <w:szCs w:val="21"/>
              </w:rPr>
              <w:t>-1</w:t>
            </w:r>
            <w:r>
              <w:rPr>
                <w:rFonts w:hint="eastAsia" w:ascii="Times New Roman" w:hAnsi="Times New Roman" w:cs="Times New Roman"/>
                <w:color w:val="auto"/>
                <w:sz w:val="21"/>
                <w:szCs w:val="21"/>
              </w:rPr>
              <w:t>、</w:t>
            </w:r>
            <w:r>
              <w:rPr>
                <w:rFonts w:ascii="Times New Roman" w:hAnsi="Times New Roman" w:cs="Times New Roman"/>
                <w:color w:val="auto"/>
                <w:sz w:val="21"/>
                <w:szCs w:val="21"/>
              </w:rPr>
              <w:t>S</w:t>
            </w:r>
            <w:r>
              <w:rPr>
                <w:rFonts w:hint="eastAsia" w:ascii="Times New Roman" w:hAnsi="Times New Roman" w:cs="Times New Roman"/>
                <w:color w:val="auto"/>
                <w:sz w:val="21"/>
                <w:szCs w:val="21"/>
              </w:rPr>
              <w:t>1</w:t>
            </w:r>
            <w:r>
              <w:rPr>
                <w:rFonts w:ascii="Times New Roman" w:hAnsi="Times New Roman" w:cs="Times New Roman"/>
                <w:color w:val="auto"/>
                <w:sz w:val="21"/>
                <w:szCs w:val="21"/>
              </w:rPr>
              <w:t>-</w:t>
            </w:r>
            <w:r>
              <w:rPr>
                <w:rFonts w:hint="eastAsia" w:ascii="Times New Roman" w:hAnsi="Times New Roman" w:cs="Times New Roman"/>
                <w:color w:val="auto"/>
                <w:sz w:val="21"/>
                <w:szCs w:val="21"/>
              </w:rPr>
              <w:t>2</w:t>
            </w:r>
          </w:p>
        </w:tc>
        <w:tc>
          <w:tcPr>
            <w:tcW w:w="1367" w:type="pct"/>
            <w:vAlign w:val="center"/>
          </w:tcPr>
          <w:p w14:paraId="5667F82F">
            <w:pPr>
              <w:pStyle w:val="182"/>
              <w:spacing w:line="240" w:lineRule="auto"/>
              <w:ind w:firstLine="0" w:firstLineChars="0"/>
              <w:jc w:val="center"/>
              <w:rPr>
                <w:rFonts w:ascii="Times New Roman" w:hAnsi="Times New Roman" w:cs="Times New Roman"/>
                <w:color w:val="auto"/>
                <w:sz w:val="21"/>
                <w:szCs w:val="21"/>
                <w:highlight w:val="yellow"/>
              </w:rPr>
            </w:pPr>
            <w:r>
              <w:rPr>
                <w:rFonts w:hint="eastAsia" w:ascii="Times New Roman" w:hAnsi="Times New Roman" w:cs="Times New Roman"/>
                <w:color w:val="auto"/>
                <w:sz w:val="21"/>
                <w:szCs w:val="21"/>
              </w:rPr>
              <w:t>低含氢硅油、D4、KF-99等</w:t>
            </w:r>
          </w:p>
        </w:tc>
        <w:tc>
          <w:tcPr>
            <w:tcW w:w="1111" w:type="pct"/>
            <w:vAlign w:val="center"/>
          </w:tcPr>
          <w:p w14:paraId="6DA8FF3C">
            <w:pPr>
              <w:pStyle w:val="182"/>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物料衡算法、类比法、实测法、产污系数法、排污系数法、实验法</w:t>
            </w:r>
          </w:p>
        </w:tc>
        <w:tc>
          <w:tcPr>
            <w:tcW w:w="817" w:type="pct"/>
            <w:vAlign w:val="center"/>
          </w:tcPr>
          <w:p w14:paraId="07548AAD">
            <w:pPr>
              <w:pStyle w:val="182"/>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物料衡算法</w:t>
            </w:r>
          </w:p>
        </w:tc>
      </w:tr>
    </w:tbl>
    <w:p w14:paraId="57C3C769">
      <w:pPr>
        <w:ind w:firstLine="480"/>
      </w:pPr>
    </w:p>
    <w:p w14:paraId="1D3EB4AA">
      <w:pPr>
        <w:pStyle w:val="6"/>
        <w:ind w:left="0" w:firstLine="482" w:firstLineChars="200"/>
      </w:pPr>
      <w:r>
        <w:t>废气</w:t>
      </w:r>
    </w:p>
    <w:p w14:paraId="4033FB20">
      <w:pPr>
        <w:ind w:firstLine="480"/>
        <w:rPr>
          <w:u w:val="single"/>
        </w:rPr>
      </w:pPr>
      <w:r>
        <w:rPr>
          <w:rFonts w:hint="eastAsia"/>
        </w:rPr>
        <w:t>本项目产品聚醚改性硅油生产废气主要为聚合和中和废气、</w:t>
      </w:r>
      <w:r>
        <w:t>硅氢化反应</w:t>
      </w:r>
      <w:r>
        <w:rPr>
          <w:rFonts w:hint="eastAsia"/>
        </w:rPr>
        <w:t>和</w:t>
      </w:r>
      <w:r>
        <w:t>脱色</w:t>
      </w:r>
      <w:r>
        <w:rPr>
          <w:rFonts w:hint="eastAsia"/>
        </w:rPr>
        <w:t>废气、小苏打和活性炭投料废气、污水处理站废气、危险废物贮存库废气、化验室废气。其中，因每批次投加小苏打和椰壳活性炭的量较少，且采用真空投料机进行投料，故其投料废气产生极少，不再考虑。产品色浆生产废气主要为投料废气。</w:t>
      </w:r>
      <w:r>
        <w:rPr>
          <w:rFonts w:hint="eastAsia"/>
          <w:u w:val="single"/>
        </w:rPr>
        <w:t>根据《排放源统计调查产排污核算方法和系数手册》中C2661化学试剂和助剂制造业，有机助剂所有规模挥发性有机物产污系数为0.78kg/t-产品，本项目聚醚改性硅油年产10000吨，则聚醚改性硅油整个生产工艺挥发性有机物产生量为31.2kg/批次，7.8t/a。另外，根据物料平衡，各工艺废气污染物产排情况如下。</w:t>
      </w:r>
    </w:p>
    <w:p w14:paraId="1D3EB4AB">
      <w:pPr>
        <w:ind w:firstLine="482"/>
        <w:outlineLvl w:val="4"/>
        <w:rPr>
          <w:b/>
          <w:bCs/>
        </w:rPr>
      </w:pPr>
      <w:r>
        <w:rPr>
          <w:b/>
          <w:bCs/>
        </w:rPr>
        <w:t>（1）</w:t>
      </w:r>
      <w:r>
        <w:rPr>
          <w:rFonts w:hint="eastAsia"/>
          <w:b/>
          <w:bCs/>
        </w:rPr>
        <w:t>聚合废气</w:t>
      </w:r>
    </w:p>
    <w:p w14:paraId="1F5EA204">
      <w:pPr>
        <w:ind w:firstLine="480"/>
        <w:rPr>
          <w:highlight w:val="yellow"/>
          <w:u w:val="single"/>
        </w:rPr>
      </w:pPr>
      <w:r>
        <w:rPr>
          <w:rFonts w:hint="eastAsia"/>
          <w:u w:val="single"/>
        </w:rPr>
        <w:t>项目聚合过程产生D4</w:t>
      </w:r>
      <w:r>
        <w:rPr>
          <w:u w:val="single"/>
        </w:rPr>
        <w:t>、</w:t>
      </w:r>
      <w:r>
        <w:rPr>
          <w:rFonts w:hint="eastAsia"/>
          <w:u w:val="single"/>
        </w:rPr>
        <w:t>KF-99和</w:t>
      </w:r>
      <w:r>
        <w:rPr>
          <w:u w:val="single"/>
        </w:rPr>
        <w:t>硫酸雾</w:t>
      </w:r>
      <w:r>
        <w:rPr>
          <w:rFonts w:hint="eastAsia"/>
          <w:u w:val="single"/>
        </w:rPr>
        <w:t>，其中D4</w:t>
      </w:r>
      <w:r>
        <w:rPr>
          <w:u w:val="single"/>
        </w:rPr>
        <w:t>、</w:t>
      </w:r>
      <w:r>
        <w:rPr>
          <w:rFonts w:hint="eastAsia"/>
          <w:u w:val="single"/>
        </w:rPr>
        <w:t>KF-99以非甲烷总烃计。根据物料平衡，聚合废气产生量为非甲烷总烃4.68kg/批次、硫酸雾0.78kg/批次，聚合时间为10h/批次，年生产250批次，故聚合废气污染物产生量为非甲烷总烃1.17t/a、硫酸雾0.195t/a，产生速率为非甲烷总烃0.468kg/h、硫酸雾0.078kg/h。聚合废气经设备自带的冷凝装置冷凝后经管道引入“碱喷淋+水喷淋+除雾器+活性炭吸附装置”中处理，处理后经1根15m高排气筒DA001排放。</w:t>
      </w:r>
    </w:p>
    <w:p w14:paraId="56EDA19B">
      <w:pPr>
        <w:ind w:firstLine="482"/>
        <w:outlineLvl w:val="4"/>
        <w:rPr>
          <w:b/>
          <w:bCs/>
        </w:rPr>
      </w:pPr>
      <w:r>
        <w:rPr>
          <w:b/>
          <w:bCs/>
        </w:rPr>
        <w:t>（2）</w:t>
      </w:r>
      <w:r>
        <w:rPr>
          <w:rFonts w:hint="eastAsia"/>
          <w:b/>
          <w:bCs/>
        </w:rPr>
        <w:t>中和废气</w:t>
      </w:r>
    </w:p>
    <w:p w14:paraId="23CB46D3">
      <w:pPr>
        <w:ind w:firstLine="480"/>
      </w:pPr>
      <w:r>
        <w:rPr>
          <w:rFonts w:hint="eastAsia"/>
          <w:u w:val="single"/>
        </w:rPr>
        <w:t>本项目在聚合反应釜采用碳酸氢钠中和聚合反应中加入的硫酸，因中和过程是自然降温，还残留聚合过程的温度，故中和过程会产生少量D4</w:t>
      </w:r>
      <w:r>
        <w:rPr>
          <w:u w:val="single"/>
        </w:rPr>
        <w:t>、</w:t>
      </w:r>
      <w:r>
        <w:rPr>
          <w:rFonts w:hint="eastAsia"/>
          <w:u w:val="single"/>
        </w:rPr>
        <w:t>KF-99，D4</w:t>
      </w:r>
      <w:r>
        <w:rPr>
          <w:u w:val="single"/>
        </w:rPr>
        <w:t>、</w:t>
      </w:r>
      <w:r>
        <w:rPr>
          <w:rFonts w:hint="eastAsia"/>
          <w:u w:val="single"/>
        </w:rPr>
        <w:t>KF-99以非甲烷总烃计。根据物料平衡，中和废气产生量为非甲烷总烃1.56kg/批次，中和时间为4h/批次，年生产250批次，故中和废气污染物非甲烷总烃产生量为0.39t/a，产生速率为0.39kg/h。中和废气经设备自带的冷凝装置冷凝后经管道引入“碱喷淋+水喷淋+除雾器+活性炭吸附装置”中处理，处理后经1根15m高排气筒DA001排放。</w:t>
      </w:r>
    </w:p>
    <w:p w14:paraId="1D3EB4AD">
      <w:pPr>
        <w:ind w:firstLine="482"/>
        <w:outlineLvl w:val="4"/>
        <w:rPr>
          <w:b/>
          <w:bCs/>
        </w:rPr>
      </w:pPr>
      <w:r>
        <w:rPr>
          <w:rFonts w:hint="eastAsia"/>
          <w:b/>
          <w:bCs/>
        </w:rPr>
        <w:t>（3）硅氢化反应、脱色废气</w:t>
      </w:r>
    </w:p>
    <w:p w14:paraId="1D3EB4AE">
      <w:pPr>
        <w:ind w:firstLine="480"/>
        <w:rPr>
          <w:highlight w:val="yellow"/>
          <w:u w:val="single"/>
        </w:rPr>
      </w:pPr>
      <w:r>
        <w:rPr>
          <w:u w:val="single"/>
        </w:rPr>
        <w:t>本项目</w:t>
      </w:r>
      <w:r>
        <w:rPr>
          <w:rFonts w:hint="eastAsia"/>
          <w:u w:val="single"/>
        </w:rPr>
        <w:t>硅氢化反应、脱色过程会产生D4、KF-99、低含氢硅油、二丙二醇、HMS-215M、HMS-218M、</w:t>
      </w:r>
      <w:r>
        <w:rPr>
          <w:u w:val="single"/>
        </w:rPr>
        <w:t>HMS-222M</w:t>
      </w:r>
      <w:r>
        <w:rPr>
          <w:rFonts w:hint="eastAsia"/>
          <w:u w:val="single"/>
        </w:rPr>
        <w:t>，均以非甲烷总烃计。根据物料平衡，硅氢化反应、脱色过程废气污染物经设备自带的冷凝器冷凝后的不凝气产生量为非甲烷总烃24.96kg/批次，硅氢化反应、脱色时间为4h/批次，年生产250批次，故废气污染物非甲烷总烃产生量为6.24t/a，产生速率为非甲烷总烃6.24kg/h。聚合、中和废气经设备自带的冷凝装置冷凝后经管道引入“碱喷淋+水喷淋+除雾器+活性炭吸附装置”中处理，处理后经1根15m高排气筒DA001排放。</w:t>
      </w:r>
    </w:p>
    <w:p w14:paraId="1D3EB4AF">
      <w:pPr>
        <w:ind w:firstLine="482"/>
        <w:outlineLvl w:val="4"/>
        <w:rPr>
          <w:b/>
          <w:bCs/>
        </w:rPr>
      </w:pPr>
      <w:r>
        <w:rPr>
          <w:b/>
          <w:bCs/>
        </w:rPr>
        <w:t>（3）</w:t>
      </w:r>
      <w:r>
        <w:rPr>
          <w:rFonts w:hint="eastAsia"/>
          <w:b/>
          <w:bCs/>
        </w:rPr>
        <w:t>投料废气</w:t>
      </w:r>
    </w:p>
    <w:p w14:paraId="24281DDD">
      <w:pPr>
        <w:ind w:firstLine="480"/>
        <w:rPr>
          <w:highlight w:val="yellow"/>
        </w:rPr>
      </w:pPr>
      <w:r>
        <w:t>本项目</w:t>
      </w:r>
      <w:r>
        <w:rPr>
          <w:rFonts w:hint="eastAsia"/>
        </w:rPr>
        <w:t>外购吨包色粉经吨包投料站进行卸料，投料站配备自动划袋和卸料系统。色粉卸料至粉体配料罐中，因色粉的粒径较细，容易产生逸散粉尘。参照《排放源统计调查产排污核算方法和系数手册》中C2643工业颜料制造行业，所有工序粉尘产污系数为12kg/t-产品，本项目产品量为1000t，则粉尘产生量为12t/a。工作时间为16h/d，250d/a，则粉尘产生速率为3kg/h。投料粉尘经密闭投料站密闭管道负压收集后进入袋式除尘器进行处理，处理后经1根15m高排气筒DA002排放。</w:t>
      </w:r>
    </w:p>
    <w:p w14:paraId="6FFE2B7F">
      <w:pPr>
        <w:ind w:firstLine="482"/>
        <w:outlineLvl w:val="4"/>
        <w:rPr>
          <w:b/>
          <w:bCs/>
        </w:rPr>
      </w:pPr>
      <w:r>
        <w:rPr>
          <w:rFonts w:hint="eastAsia"/>
          <w:b/>
          <w:bCs/>
        </w:rPr>
        <w:t>（4）化验室废气</w:t>
      </w:r>
    </w:p>
    <w:p w14:paraId="45D1F884">
      <w:pPr>
        <w:ind w:firstLine="480"/>
      </w:pPr>
      <w:r>
        <w:rPr>
          <w:rFonts w:hint="eastAsia"/>
        </w:rPr>
        <w:t>本项目</w:t>
      </w:r>
      <w:r>
        <w:t>拟设置化验室，对产品质量进行检测，</w:t>
      </w:r>
      <w:r>
        <w:rPr>
          <w:rFonts w:hint="eastAsia"/>
        </w:rPr>
        <w:t>检测过程中不使用化学试剂，仅针对项目产品质量标准的要求进行物理检测，且本项目产品为高沸点物质，故在常温下不再考虑其废气的产生，仅要求化验室废气经管道负压收集后，进入活性炭吸附装置处理，尾气经</w:t>
      </w:r>
      <w:r>
        <w:t>15</w:t>
      </w:r>
      <w:r>
        <w:rPr>
          <w:rFonts w:hint="eastAsia"/>
        </w:rPr>
        <w:t>m高排气筒DA001排放。</w:t>
      </w:r>
    </w:p>
    <w:p w14:paraId="14AA0F14">
      <w:pPr>
        <w:ind w:firstLine="482"/>
        <w:outlineLvl w:val="4"/>
        <w:rPr>
          <w:b/>
          <w:bCs/>
        </w:rPr>
      </w:pPr>
      <w:r>
        <w:rPr>
          <w:rFonts w:hint="eastAsia"/>
          <w:b/>
          <w:bCs/>
        </w:rPr>
        <w:t>（5）污水处理站废气</w:t>
      </w:r>
    </w:p>
    <w:p w14:paraId="74139000">
      <w:pPr>
        <w:pStyle w:val="2"/>
        <w:spacing w:after="0"/>
        <w:ind w:firstLine="480"/>
      </w:pPr>
      <w:r>
        <w:rPr>
          <w:bCs/>
          <w:u w:val="single"/>
        </w:rPr>
        <w:t>本次工程在厂区内拟建设污水处理站，对项目产生的</w:t>
      </w:r>
      <w:r>
        <w:rPr>
          <w:rFonts w:hint="eastAsia"/>
          <w:bCs/>
          <w:u w:val="single"/>
        </w:rPr>
        <w:t>喷淋废水和车间地面清洗</w:t>
      </w:r>
      <w:r>
        <w:rPr>
          <w:bCs/>
          <w:u w:val="single"/>
        </w:rPr>
        <w:t>废水进行处理。</w:t>
      </w:r>
      <w:r>
        <w:rPr>
          <w:bCs/>
        </w:rPr>
        <w:t>污水处理站采用“</w:t>
      </w:r>
      <w:r>
        <w:rPr>
          <w:rFonts w:hint="eastAsia"/>
        </w:rPr>
        <w:t>调节池+隔油池+</w:t>
      </w:r>
      <w:r>
        <w:t>水解酸化</w:t>
      </w:r>
      <w:r>
        <w:rPr>
          <w:rFonts w:hint="eastAsia"/>
        </w:rPr>
        <w:t>+</w:t>
      </w:r>
      <w:r>
        <w:t>接触氧化</w:t>
      </w:r>
      <w:r>
        <w:rPr>
          <w:bCs/>
        </w:rPr>
        <w:t>”工艺进行处理，处理达标后排入</w:t>
      </w:r>
      <w:r>
        <w:rPr>
          <w:rFonts w:hint="eastAsia"/>
          <w:bCs/>
        </w:rPr>
        <w:t>唐庄</w:t>
      </w:r>
      <w:r>
        <w:rPr>
          <w:bCs/>
        </w:rPr>
        <w:t>污水处理厂进行进一步处理。</w:t>
      </w:r>
      <w:r>
        <w:t>根据相关资料，污水处理站恶臭气体（主要是硫化氢、氨、臭气浓度）主要来源于</w:t>
      </w:r>
      <w:r>
        <w:rPr>
          <w:rFonts w:hint="eastAsia"/>
        </w:rPr>
        <w:t>水解酸化、接触氧化</w:t>
      </w:r>
      <w:r>
        <w:t>工段和污泥处理部分。</w:t>
      </w:r>
      <w:r>
        <w:rPr>
          <w:rFonts w:hint="eastAsia"/>
          <w:u w:val="single"/>
        </w:rPr>
        <w:t>根据物料平衡，进入“碱喷淋+水喷淋”的非甲烷总烃量为3.15kg/批次，0.7875t/a。因废气中的二丙二醇、HMS-215M、HMS-218M、</w:t>
      </w:r>
      <w:r>
        <w:rPr>
          <w:u w:val="single"/>
        </w:rPr>
        <w:t>HMS-222M</w:t>
      </w:r>
      <w:r>
        <w:rPr>
          <w:rFonts w:hint="eastAsia"/>
          <w:u w:val="single"/>
        </w:rPr>
        <w:t>溶于水，故考虑“碱喷淋+水喷淋”对非甲烷总烃的总去除效率以50%计，则喷淋废水中的非甲烷总烃量为0.3938t/a。因进入喷淋废水中的有机废气溶于水，在废水处理过程中废水一直处于常温状态，且本项目生产过程涉及的原料沸点较高，饱和蒸气压较小，故在常温下不再对有机废气进行定量分析。</w:t>
      </w:r>
    </w:p>
    <w:p w14:paraId="10CD826D">
      <w:pPr>
        <w:ind w:firstLine="480"/>
        <w:rPr>
          <w:u w:val="single"/>
        </w:rPr>
      </w:pPr>
      <w:r>
        <w:t>项目臭气污染源强采用美国EPA</w:t>
      </w:r>
      <w:r>
        <w:rPr>
          <w:bCs/>
        </w:rPr>
        <w:t>（环境保护署）</w:t>
      </w:r>
      <w:r>
        <w:t>对污水处理厂恶臭产生情况的研究，每处理1g</w:t>
      </w:r>
      <w:r>
        <w:rPr>
          <w:rFonts w:hint="eastAsia"/>
        </w:rPr>
        <w:t xml:space="preserve"> </w:t>
      </w:r>
      <w:r>
        <w:t>BOD</w:t>
      </w:r>
      <w:r>
        <w:rPr>
          <w:vertAlign w:val="subscript"/>
        </w:rPr>
        <w:t>5</w:t>
      </w:r>
      <w:r>
        <w:t>可产生0.0031g氨气和0.00012g硫化氢。</w:t>
      </w:r>
      <w:r>
        <w:rPr>
          <w:u w:val="single"/>
        </w:rPr>
        <w:t>根据废水产排情况分析，本次工程污水处理站废水处理量为</w:t>
      </w:r>
      <w:r>
        <w:rPr>
          <w:rFonts w:hint="eastAsia"/>
          <w:u w:val="single"/>
        </w:rPr>
        <w:t>1312.5</w:t>
      </w:r>
      <w:r>
        <w:rPr>
          <w:u w:val="single"/>
        </w:rPr>
        <w:t>m</w:t>
      </w:r>
      <w:r>
        <w:rPr>
          <w:u w:val="single"/>
          <w:vertAlign w:val="superscript"/>
        </w:rPr>
        <w:t>3</w:t>
      </w:r>
      <w:r>
        <w:rPr>
          <w:u w:val="single"/>
        </w:rPr>
        <w:t>/a，污水处理站进水BOD</w:t>
      </w:r>
      <w:r>
        <w:rPr>
          <w:u w:val="single"/>
          <w:vertAlign w:val="subscript"/>
        </w:rPr>
        <w:t>5</w:t>
      </w:r>
      <w:r>
        <w:rPr>
          <w:u w:val="single"/>
        </w:rPr>
        <w:t>浓度为</w:t>
      </w:r>
      <w:r>
        <w:rPr>
          <w:rFonts w:hint="eastAsia"/>
          <w:u w:val="single"/>
        </w:rPr>
        <w:t>257</w:t>
      </w:r>
      <w:r>
        <w:rPr>
          <w:u w:val="single"/>
        </w:rPr>
        <w:t>mg/L，出水为</w:t>
      </w:r>
      <w:r>
        <w:rPr>
          <w:rFonts w:hint="eastAsia"/>
          <w:u w:val="single"/>
        </w:rPr>
        <w:t>55.5</w:t>
      </w:r>
      <w:r>
        <w:rPr>
          <w:u w:val="single"/>
        </w:rPr>
        <w:t>mg/L，则BOD</w:t>
      </w:r>
      <w:r>
        <w:rPr>
          <w:u w:val="single"/>
          <w:vertAlign w:val="subscript"/>
        </w:rPr>
        <w:t>5</w:t>
      </w:r>
      <w:r>
        <w:rPr>
          <w:u w:val="single"/>
        </w:rPr>
        <w:t>去除量为</w:t>
      </w:r>
      <w:r>
        <w:rPr>
          <w:rFonts w:hint="eastAsia"/>
          <w:u w:val="single"/>
        </w:rPr>
        <w:t>0.2645</w:t>
      </w:r>
      <w:r>
        <w:rPr>
          <w:u w:val="single"/>
        </w:rPr>
        <w:t>t/a，本次工程恶臭污染物（NH</w:t>
      </w:r>
      <w:r>
        <w:rPr>
          <w:u w:val="single"/>
          <w:vertAlign w:val="subscript"/>
        </w:rPr>
        <w:t>3</w:t>
      </w:r>
      <w:r>
        <w:rPr>
          <w:u w:val="single"/>
        </w:rPr>
        <w:t>、H</w:t>
      </w:r>
      <w:r>
        <w:rPr>
          <w:u w:val="single"/>
          <w:vertAlign w:val="subscript"/>
        </w:rPr>
        <w:t>2</w:t>
      </w:r>
      <w:r>
        <w:rPr>
          <w:u w:val="single"/>
        </w:rPr>
        <w:t>S）的产生量为：NH</w:t>
      </w:r>
      <w:r>
        <w:rPr>
          <w:u w:val="single"/>
          <w:vertAlign w:val="subscript"/>
        </w:rPr>
        <w:t xml:space="preserve">3 </w:t>
      </w:r>
      <w:r>
        <w:rPr>
          <w:u w:val="single"/>
        </w:rPr>
        <w:t>0.0</w:t>
      </w:r>
      <w:r>
        <w:rPr>
          <w:rFonts w:hint="eastAsia"/>
          <w:u w:val="single"/>
        </w:rPr>
        <w:t>008</w:t>
      </w:r>
      <w:r>
        <w:rPr>
          <w:u w:val="single"/>
        </w:rPr>
        <w:t>t/a，H</w:t>
      </w:r>
      <w:r>
        <w:rPr>
          <w:u w:val="single"/>
          <w:vertAlign w:val="subscript"/>
        </w:rPr>
        <w:t>2</w:t>
      </w:r>
      <w:r>
        <w:rPr>
          <w:u w:val="single"/>
        </w:rPr>
        <w:t>S</w:t>
      </w:r>
      <w:r>
        <w:rPr>
          <w:rFonts w:hint="eastAsia"/>
          <w:u w:val="single"/>
        </w:rPr>
        <w:t xml:space="preserve"> </w:t>
      </w:r>
      <w:r>
        <w:rPr>
          <w:u w:val="single"/>
        </w:rPr>
        <w:t>0.000</w:t>
      </w:r>
      <w:r>
        <w:rPr>
          <w:rFonts w:hint="eastAsia"/>
          <w:u w:val="single"/>
        </w:rPr>
        <w:t>03</w:t>
      </w:r>
      <w:r>
        <w:rPr>
          <w:u w:val="single"/>
        </w:rPr>
        <w:t>t/a。</w:t>
      </w:r>
      <w:r>
        <w:rPr>
          <w:rFonts w:hint="eastAsia"/>
          <w:u w:val="single"/>
        </w:rPr>
        <w:t>根据核算，污水处理站氨、硫化氢产生量极少，故不再进一步定量分析。仅在</w:t>
      </w:r>
      <w:r>
        <w:rPr>
          <w:u w:val="single"/>
        </w:rPr>
        <w:t>本次评价提出对厂区污水处理站各处理单元进行加盖密闭，并通过管道进行负压收集，将收集的所有恶臭气体</w:t>
      </w:r>
      <w:r>
        <w:rPr>
          <w:rFonts w:hint="eastAsia"/>
          <w:u w:val="single"/>
        </w:rPr>
        <w:t>、有机废气</w:t>
      </w:r>
      <w:r>
        <w:rPr>
          <w:u w:val="single"/>
        </w:rPr>
        <w:t>通入“</w:t>
      </w:r>
      <w:r>
        <w:rPr>
          <w:rFonts w:hint="eastAsia"/>
          <w:u w:val="single"/>
        </w:rPr>
        <w:t>碱喷淋+水喷淋+除雾器+活性炭吸附装置</w:t>
      </w:r>
      <w:r>
        <w:rPr>
          <w:u w:val="single"/>
        </w:rPr>
        <w:t>”内进行处理，尾气通过15m排气筒</w:t>
      </w:r>
      <w:r>
        <w:rPr>
          <w:rFonts w:hint="eastAsia"/>
          <w:u w:val="single"/>
        </w:rPr>
        <w:t>DA001</w:t>
      </w:r>
      <w:r>
        <w:rPr>
          <w:u w:val="single"/>
        </w:rPr>
        <w:t>排放。</w:t>
      </w:r>
    </w:p>
    <w:p w14:paraId="3E651BB3">
      <w:pPr>
        <w:ind w:firstLine="482"/>
        <w:outlineLvl w:val="4"/>
        <w:rPr>
          <w:b/>
          <w:bCs/>
        </w:rPr>
      </w:pPr>
      <w:r>
        <w:rPr>
          <w:rFonts w:hint="eastAsia"/>
          <w:b/>
          <w:bCs/>
        </w:rPr>
        <w:t>（6）危险废物贮存库废气</w:t>
      </w:r>
    </w:p>
    <w:p w14:paraId="43B0DE48">
      <w:pPr>
        <w:ind w:firstLine="480"/>
      </w:pPr>
      <w:r>
        <w:t>本项目含有</w:t>
      </w:r>
      <w:r>
        <w:rPr>
          <w:rFonts w:hint="eastAsia"/>
        </w:rPr>
        <w:t>非甲烷总烃</w:t>
      </w:r>
      <w:r>
        <w:t>的危废全部采用密闭容器盛放，分类分区在</w:t>
      </w:r>
      <w:r>
        <w:rPr>
          <w:rFonts w:hint="eastAsia"/>
        </w:rPr>
        <w:t>危险废物贮存库</w:t>
      </w:r>
      <w:r>
        <w:t>暂存，存放过程中会有少量</w:t>
      </w:r>
      <w:r>
        <w:rPr>
          <w:rFonts w:hint="eastAsia"/>
        </w:rPr>
        <w:t>非甲烷总烃</w:t>
      </w:r>
      <w:r>
        <w:t>废气产生。</w:t>
      </w:r>
      <w:r>
        <w:rPr>
          <w:rFonts w:hint="eastAsia"/>
        </w:rPr>
        <w:t>因危废密闭存放且定期交由有资质的单位处置，故产生量较少，不再对其进行定量分析</w:t>
      </w:r>
      <w:r>
        <w:t>。</w:t>
      </w:r>
      <w:r>
        <w:rPr>
          <w:rFonts w:hint="eastAsia"/>
        </w:rPr>
        <w:t>评价要求，危险废物贮存库废气经密闭负压收集后，进入活性炭吸附装置处理，尾气经</w:t>
      </w:r>
      <w:r>
        <w:t>15</w:t>
      </w:r>
      <w:r>
        <w:rPr>
          <w:rFonts w:hint="eastAsia"/>
        </w:rPr>
        <w:t>m高排气筒DA001排放。</w:t>
      </w:r>
    </w:p>
    <w:p w14:paraId="1D3EB543">
      <w:pPr>
        <w:ind w:firstLine="480"/>
      </w:pPr>
      <w:r>
        <w:rPr>
          <w:rFonts w:hint="eastAsia"/>
        </w:rPr>
        <w:t>综上，本项目</w:t>
      </w:r>
      <w:r>
        <w:t>废气产排情况见下表。</w:t>
      </w:r>
    </w:p>
    <w:p w14:paraId="1D3EB544">
      <w:pPr>
        <w:pStyle w:val="99"/>
        <w:numPr>
          <w:ilvl w:val="4"/>
          <w:numId w:val="20"/>
        </w:numPr>
        <w:ind w:left="0" w:firstLine="480"/>
        <w:rPr>
          <w:rFonts w:eastAsia="黑体"/>
          <w:szCs w:val="24"/>
        </w:rPr>
      </w:pPr>
      <w:r>
        <w:rPr>
          <w:rFonts w:eastAsia="黑体"/>
          <w:szCs w:val="24"/>
        </w:rPr>
        <w:t xml:space="preserve">  </w:t>
      </w:r>
      <w:r>
        <w:rPr>
          <w:rFonts w:hint="eastAsia" w:eastAsia="黑体"/>
          <w:szCs w:val="24"/>
        </w:rPr>
        <w:t xml:space="preserve">      </w:t>
      </w:r>
      <w:r>
        <w:rPr>
          <w:rFonts w:eastAsia="黑体"/>
          <w:szCs w:val="24"/>
        </w:rPr>
        <w:t>本项目废气污染物产排情况一览表</w:t>
      </w:r>
    </w:p>
    <w:tbl>
      <w:tblPr>
        <w:tblStyle w:val="42"/>
        <w:tblW w:w="52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2"/>
        <w:gridCol w:w="712"/>
        <w:gridCol w:w="854"/>
        <w:gridCol w:w="998"/>
        <w:gridCol w:w="997"/>
        <w:gridCol w:w="938"/>
        <w:gridCol w:w="628"/>
        <w:gridCol w:w="997"/>
        <w:gridCol w:w="855"/>
        <w:gridCol w:w="984"/>
      </w:tblGrid>
      <w:tr w14:paraId="1D3EB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99" w:type="dxa"/>
            <w:vMerge w:val="restart"/>
            <w:vAlign w:val="center"/>
          </w:tcPr>
          <w:p w14:paraId="7AC79818">
            <w:pPr>
              <w:spacing w:line="240" w:lineRule="auto"/>
              <w:ind w:firstLine="0" w:firstLineChars="0"/>
              <w:jc w:val="center"/>
              <w:rPr>
                <w:b/>
                <w:bCs/>
                <w:sz w:val="21"/>
                <w:szCs w:val="21"/>
                <w:u w:val="single"/>
              </w:rPr>
            </w:pPr>
            <w:r>
              <w:rPr>
                <w:rFonts w:hint="eastAsia"/>
                <w:b/>
                <w:bCs/>
                <w:sz w:val="21"/>
                <w:szCs w:val="21"/>
                <w:u w:val="single"/>
              </w:rPr>
              <w:t>污染源</w:t>
            </w:r>
          </w:p>
          <w:p w14:paraId="658566F7">
            <w:pPr>
              <w:spacing w:line="240" w:lineRule="auto"/>
              <w:ind w:firstLine="0" w:firstLineChars="0"/>
              <w:jc w:val="center"/>
              <w:rPr>
                <w:b/>
                <w:bCs/>
                <w:sz w:val="21"/>
                <w:szCs w:val="21"/>
                <w:u w:val="single"/>
              </w:rPr>
            </w:pPr>
            <w:r>
              <w:rPr>
                <w:rFonts w:hint="eastAsia"/>
                <w:b/>
                <w:bCs/>
                <w:sz w:val="21"/>
                <w:szCs w:val="21"/>
                <w:u w:val="single"/>
              </w:rPr>
              <w:t>名称</w:t>
            </w:r>
          </w:p>
        </w:tc>
        <w:tc>
          <w:tcPr>
            <w:tcW w:w="709" w:type="dxa"/>
            <w:vMerge w:val="restart"/>
            <w:vAlign w:val="center"/>
          </w:tcPr>
          <w:p w14:paraId="7E1256F2">
            <w:pPr>
              <w:spacing w:line="240" w:lineRule="auto"/>
              <w:ind w:firstLine="0" w:firstLineChars="0"/>
              <w:jc w:val="center"/>
              <w:rPr>
                <w:b/>
                <w:bCs/>
                <w:sz w:val="21"/>
                <w:szCs w:val="21"/>
                <w:u w:val="single"/>
              </w:rPr>
            </w:pPr>
            <w:r>
              <w:rPr>
                <w:b/>
                <w:bCs/>
                <w:sz w:val="21"/>
                <w:szCs w:val="21"/>
                <w:u w:val="single"/>
              </w:rPr>
              <w:t>污染</w:t>
            </w:r>
          </w:p>
          <w:p w14:paraId="1D3EB545">
            <w:pPr>
              <w:spacing w:line="240" w:lineRule="auto"/>
              <w:ind w:firstLine="0" w:firstLineChars="0"/>
              <w:jc w:val="center"/>
              <w:rPr>
                <w:b/>
                <w:bCs/>
                <w:sz w:val="21"/>
                <w:szCs w:val="21"/>
                <w:u w:val="single"/>
              </w:rPr>
            </w:pPr>
            <w:r>
              <w:rPr>
                <w:b/>
                <w:bCs/>
                <w:sz w:val="21"/>
                <w:szCs w:val="21"/>
                <w:u w:val="single"/>
              </w:rPr>
              <w:t>因子</w:t>
            </w:r>
          </w:p>
        </w:tc>
        <w:tc>
          <w:tcPr>
            <w:tcW w:w="2835" w:type="dxa"/>
            <w:gridSpan w:val="3"/>
            <w:vAlign w:val="center"/>
          </w:tcPr>
          <w:p w14:paraId="1D3EB546">
            <w:pPr>
              <w:spacing w:line="240" w:lineRule="auto"/>
              <w:ind w:firstLine="0" w:firstLineChars="0"/>
              <w:jc w:val="center"/>
              <w:rPr>
                <w:b/>
                <w:bCs/>
                <w:sz w:val="21"/>
                <w:szCs w:val="21"/>
                <w:u w:val="single"/>
              </w:rPr>
            </w:pPr>
            <w:r>
              <w:rPr>
                <w:b/>
                <w:bCs/>
                <w:sz w:val="21"/>
                <w:szCs w:val="21"/>
                <w:u w:val="single"/>
              </w:rPr>
              <w:t>产生情况</w:t>
            </w:r>
          </w:p>
        </w:tc>
        <w:tc>
          <w:tcPr>
            <w:tcW w:w="1559" w:type="dxa"/>
            <w:gridSpan w:val="2"/>
            <w:vMerge w:val="restart"/>
            <w:vAlign w:val="center"/>
          </w:tcPr>
          <w:p w14:paraId="1D3EB548">
            <w:pPr>
              <w:spacing w:line="240" w:lineRule="auto"/>
              <w:ind w:firstLine="0" w:firstLineChars="0"/>
              <w:jc w:val="center"/>
              <w:rPr>
                <w:b/>
                <w:bCs/>
                <w:sz w:val="21"/>
                <w:szCs w:val="21"/>
                <w:u w:val="single"/>
              </w:rPr>
            </w:pPr>
            <w:r>
              <w:rPr>
                <w:b/>
                <w:bCs/>
                <w:sz w:val="21"/>
                <w:szCs w:val="21"/>
                <w:u w:val="single"/>
              </w:rPr>
              <w:t>处理</w:t>
            </w:r>
            <w:r>
              <w:rPr>
                <w:rFonts w:hint="eastAsia"/>
                <w:b/>
                <w:bCs/>
                <w:sz w:val="21"/>
                <w:szCs w:val="21"/>
                <w:u w:val="single"/>
              </w:rPr>
              <w:t>措施及处理</w:t>
            </w:r>
            <w:r>
              <w:rPr>
                <w:b/>
                <w:bCs/>
                <w:sz w:val="21"/>
                <w:szCs w:val="21"/>
                <w:u w:val="single"/>
              </w:rPr>
              <w:t>效率（%）</w:t>
            </w:r>
          </w:p>
        </w:tc>
        <w:tc>
          <w:tcPr>
            <w:tcW w:w="2822" w:type="dxa"/>
            <w:gridSpan w:val="3"/>
            <w:vAlign w:val="center"/>
          </w:tcPr>
          <w:p w14:paraId="28098025">
            <w:pPr>
              <w:spacing w:line="240" w:lineRule="auto"/>
              <w:ind w:firstLine="0" w:firstLineChars="0"/>
              <w:jc w:val="center"/>
              <w:rPr>
                <w:b/>
                <w:bCs/>
                <w:sz w:val="21"/>
                <w:szCs w:val="21"/>
                <w:u w:val="single"/>
              </w:rPr>
            </w:pPr>
            <w:r>
              <w:rPr>
                <w:b/>
                <w:bCs/>
                <w:sz w:val="21"/>
                <w:szCs w:val="21"/>
                <w:u w:val="single"/>
              </w:rPr>
              <w:t>排放情况</w:t>
            </w:r>
          </w:p>
        </w:tc>
      </w:tr>
      <w:tr w14:paraId="1D3EB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99" w:type="dxa"/>
            <w:vMerge w:val="continue"/>
            <w:vAlign w:val="center"/>
          </w:tcPr>
          <w:p w14:paraId="315485EF">
            <w:pPr>
              <w:spacing w:line="240" w:lineRule="auto"/>
              <w:ind w:firstLine="0" w:firstLineChars="0"/>
              <w:jc w:val="center"/>
              <w:rPr>
                <w:b/>
                <w:bCs/>
                <w:sz w:val="21"/>
                <w:szCs w:val="21"/>
                <w:u w:val="single"/>
              </w:rPr>
            </w:pPr>
          </w:p>
        </w:tc>
        <w:tc>
          <w:tcPr>
            <w:tcW w:w="709" w:type="dxa"/>
            <w:vMerge w:val="continue"/>
            <w:vAlign w:val="center"/>
          </w:tcPr>
          <w:p w14:paraId="1D3EB54B">
            <w:pPr>
              <w:spacing w:line="240" w:lineRule="auto"/>
              <w:ind w:firstLine="0" w:firstLineChars="0"/>
              <w:jc w:val="center"/>
              <w:rPr>
                <w:b/>
                <w:bCs/>
                <w:sz w:val="21"/>
                <w:szCs w:val="21"/>
                <w:u w:val="single"/>
              </w:rPr>
            </w:pPr>
          </w:p>
        </w:tc>
        <w:tc>
          <w:tcPr>
            <w:tcW w:w="850" w:type="dxa"/>
            <w:vAlign w:val="center"/>
          </w:tcPr>
          <w:p w14:paraId="1D3EB54C">
            <w:pPr>
              <w:spacing w:line="240" w:lineRule="auto"/>
              <w:ind w:firstLine="0" w:firstLineChars="0"/>
              <w:jc w:val="center"/>
              <w:rPr>
                <w:b/>
                <w:bCs/>
                <w:sz w:val="21"/>
                <w:szCs w:val="21"/>
                <w:u w:val="single"/>
              </w:rPr>
            </w:pPr>
            <w:r>
              <w:rPr>
                <w:b/>
                <w:bCs/>
                <w:sz w:val="21"/>
                <w:szCs w:val="21"/>
                <w:u w:val="single"/>
              </w:rPr>
              <w:t>产生量（</w:t>
            </w:r>
            <w:r>
              <w:rPr>
                <w:rFonts w:hint="eastAsia"/>
                <w:b/>
                <w:bCs/>
                <w:sz w:val="21"/>
                <w:szCs w:val="21"/>
                <w:u w:val="single"/>
              </w:rPr>
              <w:t>t</w:t>
            </w:r>
            <w:r>
              <w:rPr>
                <w:b/>
                <w:bCs/>
                <w:sz w:val="21"/>
                <w:szCs w:val="21"/>
                <w:u w:val="single"/>
              </w:rPr>
              <w:t>/a）</w:t>
            </w:r>
          </w:p>
        </w:tc>
        <w:tc>
          <w:tcPr>
            <w:tcW w:w="993" w:type="dxa"/>
            <w:vAlign w:val="center"/>
          </w:tcPr>
          <w:p w14:paraId="4E42B943">
            <w:pPr>
              <w:spacing w:line="240" w:lineRule="auto"/>
              <w:ind w:firstLine="0" w:firstLineChars="0"/>
              <w:jc w:val="center"/>
              <w:rPr>
                <w:b/>
                <w:bCs/>
                <w:sz w:val="21"/>
                <w:szCs w:val="21"/>
                <w:u w:val="single"/>
              </w:rPr>
            </w:pPr>
            <w:r>
              <w:rPr>
                <w:b/>
                <w:bCs/>
                <w:sz w:val="21"/>
                <w:szCs w:val="21"/>
                <w:u w:val="single"/>
              </w:rPr>
              <w:t>产生速率</w:t>
            </w:r>
          </w:p>
          <w:p w14:paraId="1D3EB54F">
            <w:pPr>
              <w:spacing w:line="240" w:lineRule="auto"/>
              <w:ind w:firstLine="0" w:firstLineChars="0"/>
              <w:jc w:val="center"/>
              <w:rPr>
                <w:b/>
                <w:bCs/>
                <w:sz w:val="21"/>
                <w:szCs w:val="21"/>
                <w:u w:val="single"/>
              </w:rPr>
            </w:pPr>
            <w:r>
              <w:rPr>
                <w:b/>
                <w:bCs/>
                <w:sz w:val="21"/>
                <w:szCs w:val="21"/>
                <w:u w:val="single"/>
              </w:rPr>
              <w:t>(kg/h)</w:t>
            </w:r>
          </w:p>
        </w:tc>
        <w:tc>
          <w:tcPr>
            <w:tcW w:w="992" w:type="dxa"/>
            <w:vAlign w:val="center"/>
          </w:tcPr>
          <w:p w14:paraId="00A88846">
            <w:pPr>
              <w:spacing w:line="240" w:lineRule="auto"/>
              <w:ind w:firstLine="0" w:firstLineChars="0"/>
              <w:jc w:val="center"/>
              <w:rPr>
                <w:b/>
                <w:bCs/>
                <w:sz w:val="21"/>
                <w:szCs w:val="21"/>
                <w:u w:val="single"/>
              </w:rPr>
            </w:pPr>
            <w:r>
              <w:rPr>
                <w:b/>
                <w:bCs/>
                <w:sz w:val="21"/>
                <w:szCs w:val="21"/>
                <w:u w:val="single"/>
              </w:rPr>
              <w:t>产生浓度</w:t>
            </w:r>
          </w:p>
          <w:p w14:paraId="1D3EB551">
            <w:pPr>
              <w:spacing w:line="240" w:lineRule="auto"/>
              <w:ind w:firstLine="0" w:firstLineChars="0"/>
              <w:jc w:val="center"/>
              <w:rPr>
                <w:b/>
                <w:bCs/>
                <w:sz w:val="21"/>
                <w:szCs w:val="21"/>
                <w:u w:val="single"/>
              </w:rPr>
            </w:pPr>
            <w:r>
              <w:rPr>
                <w:b/>
                <w:bCs/>
                <w:sz w:val="21"/>
                <w:szCs w:val="21"/>
                <w:u w:val="single"/>
              </w:rPr>
              <w:t>(mg/m</w:t>
            </w:r>
            <w:r>
              <w:rPr>
                <w:b/>
                <w:bCs/>
                <w:sz w:val="21"/>
                <w:szCs w:val="21"/>
                <w:u w:val="single"/>
                <w:vertAlign w:val="superscript"/>
              </w:rPr>
              <w:t>3</w:t>
            </w:r>
            <w:r>
              <w:rPr>
                <w:b/>
                <w:bCs/>
                <w:sz w:val="21"/>
                <w:szCs w:val="21"/>
                <w:u w:val="single"/>
              </w:rPr>
              <w:t>)</w:t>
            </w:r>
          </w:p>
        </w:tc>
        <w:tc>
          <w:tcPr>
            <w:tcW w:w="1559" w:type="dxa"/>
            <w:gridSpan w:val="2"/>
            <w:vMerge w:val="continue"/>
            <w:vAlign w:val="center"/>
          </w:tcPr>
          <w:p w14:paraId="1D3EB552">
            <w:pPr>
              <w:spacing w:line="240" w:lineRule="auto"/>
              <w:ind w:firstLine="0" w:firstLineChars="0"/>
              <w:jc w:val="center"/>
              <w:rPr>
                <w:b/>
                <w:bCs/>
                <w:sz w:val="21"/>
                <w:szCs w:val="21"/>
                <w:u w:val="single"/>
              </w:rPr>
            </w:pPr>
          </w:p>
        </w:tc>
        <w:tc>
          <w:tcPr>
            <w:tcW w:w="992" w:type="dxa"/>
            <w:vAlign w:val="center"/>
          </w:tcPr>
          <w:p w14:paraId="1D3EB553">
            <w:pPr>
              <w:spacing w:line="240" w:lineRule="auto"/>
              <w:ind w:firstLine="0" w:firstLineChars="0"/>
              <w:jc w:val="center"/>
              <w:rPr>
                <w:b/>
                <w:bCs/>
                <w:sz w:val="21"/>
                <w:szCs w:val="21"/>
                <w:u w:val="single"/>
              </w:rPr>
            </w:pPr>
            <w:r>
              <w:rPr>
                <w:b/>
                <w:bCs/>
                <w:sz w:val="21"/>
                <w:szCs w:val="21"/>
                <w:u w:val="single"/>
              </w:rPr>
              <w:t>排放量(</w:t>
            </w:r>
            <w:r>
              <w:rPr>
                <w:rFonts w:hint="eastAsia"/>
                <w:b/>
                <w:bCs/>
                <w:sz w:val="21"/>
                <w:szCs w:val="21"/>
                <w:u w:val="single"/>
              </w:rPr>
              <w:t>t</w:t>
            </w:r>
            <w:r>
              <w:rPr>
                <w:b/>
                <w:bCs/>
                <w:sz w:val="21"/>
                <w:szCs w:val="21"/>
                <w:u w:val="single"/>
              </w:rPr>
              <w:t>/a)</w:t>
            </w:r>
          </w:p>
        </w:tc>
        <w:tc>
          <w:tcPr>
            <w:tcW w:w="851" w:type="dxa"/>
            <w:vAlign w:val="center"/>
          </w:tcPr>
          <w:p w14:paraId="52490CF5">
            <w:pPr>
              <w:spacing w:line="240" w:lineRule="auto"/>
              <w:ind w:firstLine="0" w:firstLineChars="0"/>
              <w:jc w:val="center"/>
              <w:rPr>
                <w:b/>
                <w:bCs/>
                <w:sz w:val="21"/>
                <w:szCs w:val="21"/>
                <w:u w:val="single"/>
              </w:rPr>
            </w:pPr>
            <w:r>
              <w:rPr>
                <w:rFonts w:hint="eastAsia"/>
                <w:b/>
                <w:bCs/>
                <w:sz w:val="21"/>
                <w:szCs w:val="21"/>
                <w:u w:val="single"/>
              </w:rPr>
              <w:t>排放</w:t>
            </w:r>
            <w:r>
              <w:rPr>
                <w:b/>
                <w:bCs/>
                <w:sz w:val="21"/>
                <w:szCs w:val="21"/>
                <w:u w:val="single"/>
              </w:rPr>
              <w:t>速率(kg/h)</w:t>
            </w:r>
          </w:p>
        </w:tc>
        <w:tc>
          <w:tcPr>
            <w:tcW w:w="979" w:type="dxa"/>
            <w:vAlign w:val="center"/>
          </w:tcPr>
          <w:p w14:paraId="150CA751">
            <w:pPr>
              <w:spacing w:line="240" w:lineRule="auto"/>
              <w:ind w:firstLine="0" w:firstLineChars="0"/>
              <w:jc w:val="center"/>
              <w:rPr>
                <w:b/>
                <w:bCs/>
                <w:sz w:val="21"/>
                <w:szCs w:val="21"/>
                <w:u w:val="single"/>
              </w:rPr>
            </w:pPr>
            <w:r>
              <w:rPr>
                <w:rFonts w:hint="eastAsia"/>
                <w:b/>
                <w:bCs/>
                <w:sz w:val="21"/>
                <w:szCs w:val="21"/>
                <w:u w:val="single"/>
              </w:rPr>
              <w:t>排放</w:t>
            </w:r>
            <w:r>
              <w:rPr>
                <w:b/>
                <w:bCs/>
                <w:sz w:val="21"/>
                <w:szCs w:val="21"/>
                <w:u w:val="single"/>
              </w:rPr>
              <w:t>浓度(mg/m</w:t>
            </w:r>
            <w:r>
              <w:rPr>
                <w:b/>
                <w:bCs/>
                <w:sz w:val="21"/>
                <w:szCs w:val="21"/>
                <w:u w:val="single"/>
                <w:vertAlign w:val="superscript"/>
              </w:rPr>
              <w:t>3</w:t>
            </w:r>
            <w:r>
              <w:rPr>
                <w:b/>
                <w:bCs/>
                <w:sz w:val="21"/>
                <w:szCs w:val="21"/>
                <w:u w:val="single"/>
              </w:rPr>
              <w:t>)</w:t>
            </w:r>
          </w:p>
        </w:tc>
      </w:tr>
      <w:tr w14:paraId="642C0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99" w:type="dxa"/>
            <w:vMerge w:val="restart"/>
            <w:vAlign w:val="center"/>
          </w:tcPr>
          <w:p w14:paraId="0154CD22">
            <w:pPr>
              <w:spacing w:line="240" w:lineRule="auto"/>
              <w:ind w:firstLine="0" w:firstLineChars="0"/>
              <w:jc w:val="center"/>
              <w:rPr>
                <w:sz w:val="21"/>
                <w:szCs w:val="21"/>
                <w:u w:val="single"/>
              </w:rPr>
            </w:pPr>
            <w:r>
              <w:rPr>
                <w:sz w:val="21"/>
                <w:szCs w:val="21"/>
                <w:u w:val="single"/>
              </w:rPr>
              <w:t>聚合</w:t>
            </w:r>
          </w:p>
        </w:tc>
        <w:tc>
          <w:tcPr>
            <w:tcW w:w="709" w:type="dxa"/>
            <w:vAlign w:val="center"/>
          </w:tcPr>
          <w:p w14:paraId="2D4E2F8D">
            <w:pPr>
              <w:spacing w:line="240" w:lineRule="auto"/>
              <w:ind w:firstLine="0" w:firstLineChars="0"/>
              <w:jc w:val="center"/>
              <w:rPr>
                <w:sz w:val="21"/>
                <w:szCs w:val="21"/>
                <w:u w:val="single"/>
              </w:rPr>
            </w:pPr>
            <w:r>
              <w:rPr>
                <w:rFonts w:hint="eastAsia"/>
                <w:sz w:val="21"/>
                <w:szCs w:val="21"/>
                <w:u w:val="single"/>
              </w:rPr>
              <w:t>硫酸雾</w:t>
            </w:r>
          </w:p>
        </w:tc>
        <w:tc>
          <w:tcPr>
            <w:tcW w:w="850" w:type="dxa"/>
            <w:vAlign w:val="center"/>
          </w:tcPr>
          <w:p w14:paraId="2B82EF6B">
            <w:pPr>
              <w:spacing w:line="240" w:lineRule="auto"/>
              <w:ind w:firstLine="0" w:firstLineChars="0"/>
              <w:jc w:val="center"/>
              <w:rPr>
                <w:sz w:val="21"/>
                <w:szCs w:val="21"/>
                <w:u w:val="single"/>
              </w:rPr>
            </w:pPr>
            <w:r>
              <w:rPr>
                <w:rFonts w:hint="eastAsia"/>
                <w:sz w:val="21"/>
                <w:szCs w:val="21"/>
                <w:u w:val="single"/>
              </w:rPr>
              <w:t>0.195</w:t>
            </w:r>
          </w:p>
        </w:tc>
        <w:tc>
          <w:tcPr>
            <w:tcW w:w="993" w:type="dxa"/>
            <w:vAlign w:val="center"/>
          </w:tcPr>
          <w:p w14:paraId="6246764D">
            <w:pPr>
              <w:spacing w:line="240" w:lineRule="auto"/>
              <w:ind w:firstLine="0" w:firstLineChars="0"/>
              <w:jc w:val="center"/>
              <w:rPr>
                <w:sz w:val="21"/>
                <w:szCs w:val="21"/>
                <w:u w:val="single"/>
              </w:rPr>
            </w:pPr>
            <w:r>
              <w:rPr>
                <w:rFonts w:hint="eastAsia"/>
                <w:sz w:val="21"/>
                <w:szCs w:val="21"/>
                <w:u w:val="single"/>
              </w:rPr>
              <w:t>0.078</w:t>
            </w:r>
          </w:p>
        </w:tc>
        <w:tc>
          <w:tcPr>
            <w:tcW w:w="992" w:type="dxa"/>
            <w:vAlign w:val="center"/>
          </w:tcPr>
          <w:p w14:paraId="44355D29">
            <w:pPr>
              <w:spacing w:line="240" w:lineRule="auto"/>
              <w:ind w:firstLine="0" w:firstLineChars="0"/>
              <w:jc w:val="center"/>
              <w:rPr>
                <w:sz w:val="21"/>
                <w:szCs w:val="21"/>
                <w:u w:val="single"/>
              </w:rPr>
            </w:pPr>
            <w:r>
              <w:rPr>
                <w:rFonts w:hint="eastAsia"/>
                <w:sz w:val="21"/>
                <w:szCs w:val="21"/>
                <w:u w:val="single"/>
              </w:rPr>
              <w:t>15.6</w:t>
            </w:r>
          </w:p>
        </w:tc>
        <w:tc>
          <w:tcPr>
            <w:tcW w:w="934" w:type="dxa"/>
            <w:vMerge w:val="restart"/>
            <w:vAlign w:val="center"/>
          </w:tcPr>
          <w:p w14:paraId="298F44F8">
            <w:pPr>
              <w:spacing w:line="240" w:lineRule="auto"/>
              <w:ind w:firstLine="0" w:firstLineChars="0"/>
              <w:jc w:val="center"/>
              <w:rPr>
                <w:sz w:val="21"/>
                <w:szCs w:val="21"/>
                <w:highlight w:val="yellow"/>
                <w:u w:val="single"/>
              </w:rPr>
            </w:pPr>
            <w:r>
              <w:rPr>
                <w:rFonts w:hint="eastAsia"/>
                <w:sz w:val="21"/>
                <w:szCs w:val="21"/>
                <w:u w:val="single"/>
              </w:rPr>
              <w:t>设备自带冷凝+碱喷淋+</w:t>
            </w:r>
            <w:r>
              <w:rPr>
                <w:sz w:val="21"/>
                <w:szCs w:val="21"/>
                <w:u w:val="single"/>
              </w:rPr>
              <w:t>水喷淋</w:t>
            </w:r>
            <w:r>
              <w:rPr>
                <w:rFonts w:hint="eastAsia"/>
                <w:sz w:val="21"/>
                <w:szCs w:val="21"/>
                <w:u w:val="single"/>
              </w:rPr>
              <w:t>+除雾器+</w:t>
            </w:r>
            <w:r>
              <w:rPr>
                <w:sz w:val="21"/>
                <w:szCs w:val="21"/>
                <w:u w:val="single"/>
              </w:rPr>
              <w:t>活性炭吸附装置</w:t>
            </w:r>
            <w:r>
              <w:rPr>
                <w:rFonts w:hint="eastAsia"/>
                <w:sz w:val="21"/>
                <w:szCs w:val="21"/>
                <w:u w:val="single"/>
              </w:rPr>
              <w:t>，</w:t>
            </w:r>
          </w:p>
        </w:tc>
        <w:tc>
          <w:tcPr>
            <w:tcW w:w="625" w:type="dxa"/>
            <w:vAlign w:val="center"/>
          </w:tcPr>
          <w:p w14:paraId="4E43CB08">
            <w:pPr>
              <w:spacing w:line="240" w:lineRule="auto"/>
              <w:ind w:firstLine="0" w:firstLineChars="0"/>
              <w:jc w:val="center"/>
              <w:rPr>
                <w:sz w:val="21"/>
                <w:szCs w:val="21"/>
                <w:highlight w:val="yellow"/>
                <w:u w:val="single"/>
              </w:rPr>
            </w:pPr>
            <w:r>
              <w:rPr>
                <w:rFonts w:hint="eastAsia"/>
                <w:sz w:val="21"/>
                <w:szCs w:val="21"/>
                <w:u w:val="single"/>
              </w:rPr>
              <w:t>90%</w:t>
            </w:r>
          </w:p>
        </w:tc>
        <w:tc>
          <w:tcPr>
            <w:tcW w:w="992" w:type="dxa"/>
            <w:vAlign w:val="center"/>
          </w:tcPr>
          <w:p w14:paraId="19D0C348">
            <w:pPr>
              <w:spacing w:line="240" w:lineRule="auto"/>
              <w:ind w:firstLine="0" w:firstLineChars="0"/>
              <w:jc w:val="center"/>
              <w:rPr>
                <w:sz w:val="21"/>
                <w:szCs w:val="21"/>
                <w:u w:val="single"/>
              </w:rPr>
            </w:pPr>
            <w:r>
              <w:rPr>
                <w:rFonts w:hint="eastAsia"/>
                <w:sz w:val="21"/>
                <w:szCs w:val="21"/>
                <w:u w:val="single"/>
              </w:rPr>
              <w:t>0.0195</w:t>
            </w:r>
          </w:p>
        </w:tc>
        <w:tc>
          <w:tcPr>
            <w:tcW w:w="851" w:type="dxa"/>
            <w:vAlign w:val="center"/>
          </w:tcPr>
          <w:p w14:paraId="78E05EAB">
            <w:pPr>
              <w:spacing w:line="240" w:lineRule="auto"/>
              <w:ind w:firstLine="0" w:firstLineChars="0"/>
              <w:jc w:val="center"/>
              <w:rPr>
                <w:sz w:val="21"/>
                <w:szCs w:val="21"/>
                <w:u w:val="single"/>
              </w:rPr>
            </w:pPr>
            <w:r>
              <w:rPr>
                <w:rFonts w:hint="eastAsia"/>
                <w:sz w:val="21"/>
                <w:szCs w:val="21"/>
                <w:u w:val="single"/>
              </w:rPr>
              <w:t>0.0078</w:t>
            </w:r>
          </w:p>
        </w:tc>
        <w:tc>
          <w:tcPr>
            <w:tcW w:w="979" w:type="dxa"/>
            <w:vAlign w:val="center"/>
          </w:tcPr>
          <w:p w14:paraId="529CCB31">
            <w:pPr>
              <w:spacing w:line="240" w:lineRule="auto"/>
              <w:ind w:firstLine="0" w:firstLineChars="0"/>
              <w:jc w:val="center"/>
              <w:rPr>
                <w:u w:val="single"/>
              </w:rPr>
            </w:pPr>
            <w:r>
              <w:rPr>
                <w:rFonts w:hint="eastAsia"/>
                <w:sz w:val="21"/>
                <w:szCs w:val="21"/>
                <w:u w:val="single"/>
              </w:rPr>
              <w:t>1.56</w:t>
            </w:r>
          </w:p>
        </w:tc>
      </w:tr>
      <w:tr w14:paraId="1D3EB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99" w:type="dxa"/>
            <w:vMerge w:val="continue"/>
            <w:vAlign w:val="center"/>
          </w:tcPr>
          <w:p w14:paraId="446DFC56">
            <w:pPr>
              <w:spacing w:line="240" w:lineRule="auto"/>
              <w:ind w:firstLine="0" w:firstLineChars="0"/>
              <w:jc w:val="center"/>
              <w:rPr>
                <w:sz w:val="21"/>
                <w:szCs w:val="21"/>
                <w:u w:val="single"/>
              </w:rPr>
            </w:pPr>
          </w:p>
        </w:tc>
        <w:tc>
          <w:tcPr>
            <w:tcW w:w="709" w:type="dxa"/>
            <w:vAlign w:val="center"/>
          </w:tcPr>
          <w:p w14:paraId="1D3EB558">
            <w:pPr>
              <w:spacing w:line="240" w:lineRule="auto"/>
              <w:ind w:firstLine="0" w:firstLineChars="0"/>
              <w:jc w:val="center"/>
              <w:rPr>
                <w:sz w:val="21"/>
                <w:szCs w:val="21"/>
                <w:u w:val="single"/>
              </w:rPr>
            </w:pPr>
            <w:r>
              <w:rPr>
                <w:rFonts w:hint="eastAsia"/>
                <w:sz w:val="21"/>
                <w:szCs w:val="21"/>
                <w:u w:val="single"/>
              </w:rPr>
              <w:t>非甲烷总烃</w:t>
            </w:r>
          </w:p>
        </w:tc>
        <w:tc>
          <w:tcPr>
            <w:tcW w:w="850" w:type="dxa"/>
            <w:vAlign w:val="center"/>
          </w:tcPr>
          <w:p w14:paraId="1D3EB559">
            <w:pPr>
              <w:spacing w:line="240" w:lineRule="auto"/>
              <w:ind w:firstLine="0" w:firstLineChars="0"/>
              <w:jc w:val="center"/>
              <w:rPr>
                <w:sz w:val="21"/>
                <w:szCs w:val="21"/>
                <w:u w:val="single"/>
              </w:rPr>
            </w:pPr>
            <w:r>
              <w:rPr>
                <w:rFonts w:hint="eastAsia"/>
                <w:sz w:val="21"/>
                <w:szCs w:val="21"/>
                <w:u w:val="single"/>
              </w:rPr>
              <w:t>1.17</w:t>
            </w:r>
          </w:p>
        </w:tc>
        <w:tc>
          <w:tcPr>
            <w:tcW w:w="993" w:type="dxa"/>
            <w:vAlign w:val="center"/>
          </w:tcPr>
          <w:p w14:paraId="1D3EB55B">
            <w:pPr>
              <w:spacing w:line="240" w:lineRule="auto"/>
              <w:ind w:firstLine="0" w:firstLineChars="0"/>
              <w:jc w:val="center"/>
              <w:rPr>
                <w:sz w:val="21"/>
                <w:szCs w:val="21"/>
                <w:u w:val="single"/>
              </w:rPr>
            </w:pPr>
            <w:r>
              <w:rPr>
                <w:rFonts w:hint="eastAsia"/>
                <w:sz w:val="21"/>
                <w:szCs w:val="21"/>
                <w:u w:val="single"/>
              </w:rPr>
              <w:t>0.468</w:t>
            </w:r>
          </w:p>
        </w:tc>
        <w:tc>
          <w:tcPr>
            <w:tcW w:w="992" w:type="dxa"/>
            <w:vAlign w:val="center"/>
          </w:tcPr>
          <w:p w14:paraId="1D3EB55C">
            <w:pPr>
              <w:spacing w:line="240" w:lineRule="auto"/>
              <w:ind w:firstLine="0" w:firstLineChars="0"/>
              <w:jc w:val="center"/>
              <w:rPr>
                <w:sz w:val="21"/>
                <w:szCs w:val="21"/>
                <w:u w:val="single"/>
              </w:rPr>
            </w:pPr>
            <w:r>
              <w:rPr>
                <w:rFonts w:hint="eastAsia"/>
                <w:sz w:val="21"/>
                <w:szCs w:val="21"/>
                <w:u w:val="single"/>
              </w:rPr>
              <w:t>93.6</w:t>
            </w:r>
          </w:p>
        </w:tc>
        <w:tc>
          <w:tcPr>
            <w:tcW w:w="934" w:type="dxa"/>
            <w:vMerge w:val="continue"/>
            <w:vAlign w:val="center"/>
          </w:tcPr>
          <w:p w14:paraId="6FF15391">
            <w:pPr>
              <w:spacing w:line="240" w:lineRule="auto"/>
              <w:ind w:firstLine="0" w:firstLineChars="0"/>
              <w:jc w:val="center"/>
              <w:rPr>
                <w:sz w:val="21"/>
                <w:szCs w:val="21"/>
                <w:highlight w:val="yellow"/>
                <w:u w:val="single"/>
              </w:rPr>
            </w:pPr>
          </w:p>
        </w:tc>
        <w:tc>
          <w:tcPr>
            <w:tcW w:w="625" w:type="dxa"/>
            <w:vMerge w:val="restart"/>
            <w:vAlign w:val="center"/>
          </w:tcPr>
          <w:p w14:paraId="1D3EB55D">
            <w:pPr>
              <w:spacing w:line="240" w:lineRule="auto"/>
              <w:ind w:firstLine="0" w:firstLineChars="0"/>
              <w:jc w:val="center"/>
              <w:rPr>
                <w:sz w:val="21"/>
                <w:szCs w:val="21"/>
                <w:highlight w:val="yellow"/>
                <w:u w:val="single"/>
              </w:rPr>
            </w:pPr>
            <w:r>
              <w:rPr>
                <w:rFonts w:hint="eastAsia"/>
                <w:sz w:val="21"/>
                <w:szCs w:val="21"/>
                <w:u w:val="single"/>
              </w:rPr>
              <w:t>99%</w:t>
            </w:r>
          </w:p>
        </w:tc>
        <w:tc>
          <w:tcPr>
            <w:tcW w:w="992" w:type="dxa"/>
            <w:vAlign w:val="center"/>
          </w:tcPr>
          <w:p w14:paraId="1D3EB55E">
            <w:pPr>
              <w:spacing w:line="240" w:lineRule="auto"/>
              <w:ind w:firstLine="0" w:firstLineChars="0"/>
              <w:jc w:val="center"/>
              <w:rPr>
                <w:sz w:val="21"/>
                <w:szCs w:val="21"/>
                <w:u w:val="single"/>
              </w:rPr>
            </w:pPr>
            <w:r>
              <w:rPr>
                <w:rFonts w:hint="eastAsia"/>
                <w:sz w:val="21"/>
                <w:szCs w:val="21"/>
                <w:u w:val="single"/>
              </w:rPr>
              <w:t>0.0117</w:t>
            </w:r>
          </w:p>
        </w:tc>
        <w:tc>
          <w:tcPr>
            <w:tcW w:w="851" w:type="dxa"/>
            <w:vMerge w:val="restart"/>
            <w:vAlign w:val="center"/>
          </w:tcPr>
          <w:p w14:paraId="76079892">
            <w:pPr>
              <w:spacing w:line="240" w:lineRule="auto"/>
              <w:ind w:firstLine="0" w:firstLineChars="0"/>
              <w:jc w:val="center"/>
              <w:rPr>
                <w:sz w:val="21"/>
                <w:szCs w:val="21"/>
                <w:u w:val="single"/>
              </w:rPr>
            </w:pPr>
            <w:r>
              <w:rPr>
                <w:rFonts w:hint="eastAsia"/>
                <w:sz w:val="21"/>
                <w:szCs w:val="21"/>
                <w:u w:val="single"/>
              </w:rPr>
              <w:t>0.071</w:t>
            </w:r>
          </w:p>
        </w:tc>
        <w:tc>
          <w:tcPr>
            <w:tcW w:w="979" w:type="dxa"/>
            <w:vMerge w:val="restart"/>
            <w:vAlign w:val="center"/>
          </w:tcPr>
          <w:p w14:paraId="3014C139">
            <w:pPr>
              <w:spacing w:line="240" w:lineRule="auto"/>
              <w:ind w:firstLine="0" w:firstLineChars="0"/>
              <w:jc w:val="center"/>
              <w:rPr>
                <w:sz w:val="21"/>
                <w:szCs w:val="21"/>
                <w:u w:val="single"/>
              </w:rPr>
            </w:pPr>
            <w:r>
              <w:rPr>
                <w:rFonts w:hint="eastAsia"/>
                <w:sz w:val="21"/>
                <w:szCs w:val="21"/>
                <w:u w:val="single"/>
              </w:rPr>
              <w:t>14.2</w:t>
            </w:r>
          </w:p>
        </w:tc>
      </w:tr>
      <w:tr w14:paraId="2B41A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99" w:type="dxa"/>
            <w:vAlign w:val="center"/>
          </w:tcPr>
          <w:p w14:paraId="07998604">
            <w:pPr>
              <w:spacing w:line="240" w:lineRule="auto"/>
              <w:ind w:firstLine="0" w:firstLineChars="0"/>
              <w:jc w:val="center"/>
              <w:rPr>
                <w:sz w:val="21"/>
                <w:szCs w:val="21"/>
                <w:u w:val="single"/>
              </w:rPr>
            </w:pPr>
            <w:r>
              <w:rPr>
                <w:rFonts w:hint="eastAsia"/>
                <w:sz w:val="21"/>
                <w:szCs w:val="21"/>
                <w:u w:val="single"/>
              </w:rPr>
              <w:t>中和</w:t>
            </w:r>
          </w:p>
        </w:tc>
        <w:tc>
          <w:tcPr>
            <w:tcW w:w="709" w:type="dxa"/>
            <w:vAlign w:val="center"/>
          </w:tcPr>
          <w:p w14:paraId="27B70EC9">
            <w:pPr>
              <w:spacing w:line="240" w:lineRule="auto"/>
              <w:ind w:firstLine="0" w:firstLineChars="0"/>
              <w:jc w:val="center"/>
              <w:rPr>
                <w:sz w:val="21"/>
                <w:szCs w:val="21"/>
                <w:u w:val="single"/>
              </w:rPr>
            </w:pPr>
            <w:r>
              <w:rPr>
                <w:rFonts w:hint="eastAsia"/>
                <w:sz w:val="21"/>
                <w:szCs w:val="21"/>
                <w:u w:val="single"/>
              </w:rPr>
              <w:t>非甲烷总烃</w:t>
            </w:r>
          </w:p>
        </w:tc>
        <w:tc>
          <w:tcPr>
            <w:tcW w:w="850" w:type="dxa"/>
            <w:vAlign w:val="center"/>
          </w:tcPr>
          <w:p w14:paraId="34BF0BDD">
            <w:pPr>
              <w:spacing w:line="240" w:lineRule="auto"/>
              <w:ind w:firstLine="0" w:firstLineChars="0"/>
              <w:jc w:val="center"/>
              <w:rPr>
                <w:sz w:val="21"/>
                <w:szCs w:val="21"/>
                <w:u w:val="single"/>
              </w:rPr>
            </w:pPr>
            <w:r>
              <w:rPr>
                <w:rFonts w:hint="eastAsia"/>
                <w:sz w:val="21"/>
                <w:szCs w:val="21"/>
                <w:u w:val="single"/>
              </w:rPr>
              <w:t>0.39</w:t>
            </w:r>
          </w:p>
        </w:tc>
        <w:tc>
          <w:tcPr>
            <w:tcW w:w="993" w:type="dxa"/>
            <w:vAlign w:val="center"/>
          </w:tcPr>
          <w:p w14:paraId="2036E4C5">
            <w:pPr>
              <w:spacing w:line="240" w:lineRule="auto"/>
              <w:ind w:firstLine="0" w:firstLineChars="0"/>
              <w:jc w:val="center"/>
              <w:rPr>
                <w:sz w:val="21"/>
                <w:szCs w:val="21"/>
                <w:u w:val="single"/>
              </w:rPr>
            </w:pPr>
            <w:r>
              <w:rPr>
                <w:rFonts w:hint="eastAsia"/>
                <w:sz w:val="21"/>
                <w:szCs w:val="21"/>
                <w:u w:val="single"/>
              </w:rPr>
              <w:t>0.39</w:t>
            </w:r>
          </w:p>
        </w:tc>
        <w:tc>
          <w:tcPr>
            <w:tcW w:w="992" w:type="dxa"/>
            <w:vAlign w:val="center"/>
          </w:tcPr>
          <w:p w14:paraId="74F317FB">
            <w:pPr>
              <w:spacing w:line="240" w:lineRule="auto"/>
              <w:ind w:firstLine="0" w:firstLineChars="0"/>
              <w:jc w:val="center"/>
              <w:rPr>
                <w:sz w:val="21"/>
                <w:szCs w:val="21"/>
                <w:u w:val="single"/>
              </w:rPr>
            </w:pPr>
            <w:r>
              <w:rPr>
                <w:rFonts w:hint="eastAsia"/>
                <w:sz w:val="21"/>
                <w:szCs w:val="21"/>
                <w:u w:val="single"/>
              </w:rPr>
              <w:t>78</w:t>
            </w:r>
          </w:p>
        </w:tc>
        <w:tc>
          <w:tcPr>
            <w:tcW w:w="934" w:type="dxa"/>
            <w:vMerge w:val="continue"/>
            <w:vAlign w:val="center"/>
          </w:tcPr>
          <w:p w14:paraId="2CEBDDCA">
            <w:pPr>
              <w:spacing w:line="240" w:lineRule="auto"/>
              <w:ind w:firstLine="0" w:firstLineChars="0"/>
              <w:jc w:val="center"/>
              <w:rPr>
                <w:sz w:val="21"/>
                <w:szCs w:val="21"/>
                <w:highlight w:val="yellow"/>
                <w:u w:val="single"/>
              </w:rPr>
            </w:pPr>
          </w:p>
        </w:tc>
        <w:tc>
          <w:tcPr>
            <w:tcW w:w="625" w:type="dxa"/>
            <w:vMerge w:val="continue"/>
            <w:vAlign w:val="center"/>
          </w:tcPr>
          <w:p w14:paraId="6FA84D8B">
            <w:pPr>
              <w:spacing w:line="240" w:lineRule="auto"/>
              <w:ind w:firstLine="0" w:firstLineChars="0"/>
              <w:jc w:val="center"/>
              <w:rPr>
                <w:sz w:val="21"/>
                <w:szCs w:val="21"/>
                <w:u w:val="single"/>
              </w:rPr>
            </w:pPr>
          </w:p>
        </w:tc>
        <w:tc>
          <w:tcPr>
            <w:tcW w:w="992" w:type="dxa"/>
            <w:vAlign w:val="center"/>
          </w:tcPr>
          <w:p w14:paraId="26B3D26C">
            <w:pPr>
              <w:spacing w:line="240" w:lineRule="auto"/>
              <w:ind w:firstLine="0" w:firstLineChars="0"/>
              <w:jc w:val="center"/>
              <w:rPr>
                <w:sz w:val="21"/>
                <w:szCs w:val="21"/>
                <w:u w:val="single"/>
              </w:rPr>
            </w:pPr>
            <w:r>
              <w:rPr>
                <w:rFonts w:hint="eastAsia"/>
                <w:sz w:val="21"/>
                <w:szCs w:val="21"/>
                <w:u w:val="single"/>
              </w:rPr>
              <w:t>0.0039</w:t>
            </w:r>
          </w:p>
        </w:tc>
        <w:tc>
          <w:tcPr>
            <w:tcW w:w="851" w:type="dxa"/>
            <w:vMerge w:val="continue"/>
            <w:vAlign w:val="center"/>
          </w:tcPr>
          <w:p w14:paraId="5B9C35B3">
            <w:pPr>
              <w:spacing w:line="240" w:lineRule="auto"/>
              <w:ind w:firstLine="0" w:firstLineChars="0"/>
              <w:jc w:val="center"/>
              <w:rPr>
                <w:sz w:val="21"/>
                <w:szCs w:val="21"/>
                <w:u w:val="single"/>
              </w:rPr>
            </w:pPr>
          </w:p>
        </w:tc>
        <w:tc>
          <w:tcPr>
            <w:tcW w:w="979" w:type="dxa"/>
            <w:vMerge w:val="continue"/>
            <w:vAlign w:val="center"/>
          </w:tcPr>
          <w:p w14:paraId="12C50446">
            <w:pPr>
              <w:spacing w:line="240" w:lineRule="auto"/>
              <w:ind w:firstLine="0" w:firstLineChars="0"/>
              <w:jc w:val="center"/>
              <w:rPr>
                <w:sz w:val="21"/>
                <w:szCs w:val="21"/>
                <w:u w:val="single"/>
              </w:rPr>
            </w:pPr>
          </w:p>
        </w:tc>
      </w:tr>
      <w:tr w14:paraId="1D3EB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99" w:type="dxa"/>
            <w:vAlign w:val="center"/>
          </w:tcPr>
          <w:p w14:paraId="76947230">
            <w:pPr>
              <w:spacing w:line="240" w:lineRule="auto"/>
              <w:ind w:firstLine="0" w:firstLineChars="0"/>
              <w:jc w:val="center"/>
              <w:rPr>
                <w:sz w:val="21"/>
                <w:szCs w:val="21"/>
                <w:u w:val="single"/>
              </w:rPr>
            </w:pPr>
            <w:r>
              <w:rPr>
                <w:rFonts w:hint="eastAsia"/>
                <w:sz w:val="21"/>
                <w:szCs w:val="21"/>
                <w:u w:val="single"/>
              </w:rPr>
              <w:t>硅氢化反应、脱色</w:t>
            </w:r>
          </w:p>
        </w:tc>
        <w:tc>
          <w:tcPr>
            <w:tcW w:w="709" w:type="dxa"/>
            <w:vAlign w:val="center"/>
          </w:tcPr>
          <w:p w14:paraId="1D3EB56C">
            <w:pPr>
              <w:spacing w:line="240" w:lineRule="auto"/>
              <w:ind w:firstLine="0" w:firstLineChars="0"/>
              <w:jc w:val="center"/>
              <w:rPr>
                <w:sz w:val="21"/>
                <w:szCs w:val="21"/>
                <w:u w:val="single"/>
              </w:rPr>
            </w:pPr>
            <w:r>
              <w:rPr>
                <w:rFonts w:hint="eastAsia"/>
                <w:sz w:val="21"/>
                <w:szCs w:val="21"/>
                <w:u w:val="single"/>
              </w:rPr>
              <w:t>非甲烷总烃</w:t>
            </w:r>
          </w:p>
        </w:tc>
        <w:tc>
          <w:tcPr>
            <w:tcW w:w="850" w:type="dxa"/>
            <w:vAlign w:val="center"/>
          </w:tcPr>
          <w:p w14:paraId="1D3EB56D">
            <w:pPr>
              <w:spacing w:line="240" w:lineRule="auto"/>
              <w:ind w:firstLine="0" w:firstLineChars="0"/>
              <w:jc w:val="center"/>
              <w:rPr>
                <w:sz w:val="21"/>
                <w:szCs w:val="21"/>
                <w:u w:val="single"/>
              </w:rPr>
            </w:pPr>
            <w:r>
              <w:rPr>
                <w:rFonts w:hint="eastAsia"/>
                <w:sz w:val="21"/>
                <w:szCs w:val="21"/>
                <w:u w:val="single"/>
              </w:rPr>
              <w:t>6.24</w:t>
            </w:r>
          </w:p>
        </w:tc>
        <w:tc>
          <w:tcPr>
            <w:tcW w:w="993" w:type="dxa"/>
            <w:vAlign w:val="center"/>
          </w:tcPr>
          <w:p w14:paraId="1D3EB56F">
            <w:pPr>
              <w:spacing w:line="240" w:lineRule="auto"/>
              <w:ind w:firstLine="0" w:firstLineChars="0"/>
              <w:jc w:val="center"/>
              <w:rPr>
                <w:sz w:val="21"/>
                <w:szCs w:val="21"/>
                <w:u w:val="single"/>
              </w:rPr>
            </w:pPr>
            <w:r>
              <w:rPr>
                <w:rFonts w:hint="eastAsia"/>
                <w:sz w:val="21"/>
                <w:szCs w:val="21"/>
                <w:u w:val="single"/>
              </w:rPr>
              <w:t>6.24</w:t>
            </w:r>
          </w:p>
        </w:tc>
        <w:tc>
          <w:tcPr>
            <w:tcW w:w="992" w:type="dxa"/>
            <w:vAlign w:val="center"/>
          </w:tcPr>
          <w:p w14:paraId="1D3EB570">
            <w:pPr>
              <w:spacing w:line="240" w:lineRule="auto"/>
              <w:ind w:firstLine="0" w:firstLineChars="0"/>
              <w:jc w:val="center"/>
              <w:rPr>
                <w:sz w:val="21"/>
                <w:szCs w:val="21"/>
                <w:u w:val="single"/>
              </w:rPr>
            </w:pPr>
            <w:r>
              <w:rPr>
                <w:rFonts w:hint="eastAsia"/>
                <w:sz w:val="21"/>
                <w:szCs w:val="21"/>
                <w:u w:val="single"/>
              </w:rPr>
              <w:t>1248</w:t>
            </w:r>
          </w:p>
        </w:tc>
        <w:tc>
          <w:tcPr>
            <w:tcW w:w="934" w:type="dxa"/>
            <w:vMerge w:val="continue"/>
            <w:vAlign w:val="center"/>
          </w:tcPr>
          <w:p w14:paraId="07469275">
            <w:pPr>
              <w:spacing w:line="240" w:lineRule="auto"/>
              <w:ind w:firstLine="0" w:firstLineChars="0"/>
              <w:jc w:val="center"/>
              <w:rPr>
                <w:sz w:val="21"/>
                <w:szCs w:val="21"/>
                <w:highlight w:val="yellow"/>
                <w:u w:val="single"/>
              </w:rPr>
            </w:pPr>
          </w:p>
        </w:tc>
        <w:tc>
          <w:tcPr>
            <w:tcW w:w="625" w:type="dxa"/>
            <w:vMerge w:val="continue"/>
            <w:vAlign w:val="center"/>
          </w:tcPr>
          <w:p w14:paraId="1D3EB571">
            <w:pPr>
              <w:spacing w:line="240" w:lineRule="auto"/>
              <w:ind w:firstLine="0" w:firstLineChars="0"/>
              <w:jc w:val="center"/>
              <w:rPr>
                <w:sz w:val="21"/>
                <w:szCs w:val="21"/>
                <w:highlight w:val="yellow"/>
                <w:u w:val="single"/>
              </w:rPr>
            </w:pPr>
          </w:p>
        </w:tc>
        <w:tc>
          <w:tcPr>
            <w:tcW w:w="992" w:type="dxa"/>
            <w:vAlign w:val="center"/>
          </w:tcPr>
          <w:p w14:paraId="1D3EB572">
            <w:pPr>
              <w:spacing w:line="240" w:lineRule="auto"/>
              <w:ind w:firstLine="0" w:firstLineChars="0"/>
              <w:jc w:val="center"/>
              <w:rPr>
                <w:sz w:val="21"/>
                <w:szCs w:val="21"/>
                <w:u w:val="single"/>
              </w:rPr>
            </w:pPr>
            <w:r>
              <w:rPr>
                <w:rFonts w:hint="eastAsia"/>
                <w:sz w:val="21"/>
                <w:szCs w:val="21"/>
                <w:u w:val="single"/>
              </w:rPr>
              <w:t>0.0624</w:t>
            </w:r>
          </w:p>
        </w:tc>
        <w:tc>
          <w:tcPr>
            <w:tcW w:w="851" w:type="dxa"/>
            <w:vMerge w:val="continue"/>
            <w:vAlign w:val="center"/>
          </w:tcPr>
          <w:p w14:paraId="300FDE3F">
            <w:pPr>
              <w:spacing w:line="240" w:lineRule="auto"/>
              <w:ind w:firstLine="0" w:firstLineChars="0"/>
              <w:jc w:val="center"/>
              <w:rPr>
                <w:sz w:val="21"/>
                <w:szCs w:val="21"/>
                <w:u w:val="single"/>
              </w:rPr>
            </w:pPr>
          </w:p>
        </w:tc>
        <w:tc>
          <w:tcPr>
            <w:tcW w:w="979" w:type="dxa"/>
            <w:vMerge w:val="continue"/>
            <w:vAlign w:val="center"/>
          </w:tcPr>
          <w:p w14:paraId="06B107CD">
            <w:pPr>
              <w:spacing w:line="240" w:lineRule="auto"/>
              <w:ind w:firstLine="0" w:firstLineChars="0"/>
              <w:jc w:val="center"/>
              <w:rPr>
                <w:sz w:val="21"/>
                <w:szCs w:val="21"/>
                <w:u w:val="single"/>
              </w:rPr>
            </w:pPr>
          </w:p>
        </w:tc>
      </w:tr>
      <w:tr w14:paraId="28F74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99" w:type="dxa"/>
            <w:vAlign w:val="center"/>
          </w:tcPr>
          <w:p w14:paraId="3D8B96D9">
            <w:pPr>
              <w:spacing w:line="240" w:lineRule="auto"/>
              <w:ind w:firstLine="0" w:firstLineChars="0"/>
              <w:jc w:val="center"/>
              <w:rPr>
                <w:sz w:val="21"/>
                <w:szCs w:val="21"/>
                <w:u w:val="single"/>
              </w:rPr>
            </w:pPr>
            <w:r>
              <w:rPr>
                <w:rFonts w:hint="eastAsia"/>
                <w:sz w:val="21"/>
                <w:szCs w:val="21"/>
                <w:u w:val="single"/>
              </w:rPr>
              <w:t>投料</w:t>
            </w:r>
          </w:p>
        </w:tc>
        <w:tc>
          <w:tcPr>
            <w:tcW w:w="709" w:type="dxa"/>
            <w:vAlign w:val="center"/>
          </w:tcPr>
          <w:p w14:paraId="2F26D75A">
            <w:pPr>
              <w:spacing w:line="240" w:lineRule="auto"/>
              <w:ind w:firstLine="0" w:firstLineChars="0"/>
              <w:jc w:val="center"/>
              <w:rPr>
                <w:sz w:val="21"/>
                <w:szCs w:val="21"/>
                <w:u w:val="single"/>
              </w:rPr>
            </w:pPr>
            <w:r>
              <w:rPr>
                <w:rFonts w:hint="eastAsia"/>
                <w:sz w:val="21"/>
                <w:szCs w:val="21"/>
                <w:u w:val="single"/>
              </w:rPr>
              <w:t>颗粒物</w:t>
            </w:r>
          </w:p>
        </w:tc>
        <w:tc>
          <w:tcPr>
            <w:tcW w:w="850" w:type="dxa"/>
            <w:vAlign w:val="center"/>
          </w:tcPr>
          <w:p w14:paraId="00206D58">
            <w:pPr>
              <w:spacing w:line="240" w:lineRule="auto"/>
              <w:ind w:firstLine="0" w:firstLineChars="0"/>
              <w:jc w:val="center"/>
              <w:rPr>
                <w:sz w:val="21"/>
                <w:szCs w:val="21"/>
                <w:u w:val="single"/>
              </w:rPr>
            </w:pPr>
            <w:r>
              <w:rPr>
                <w:rFonts w:hint="eastAsia"/>
                <w:sz w:val="21"/>
                <w:szCs w:val="21"/>
                <w:u w:val="single"/>
              </w:rPr>
              <w:t>12</w:t>
            </w:r>
          </w:p>
        </w:tc>
        <w:tc>
          <w:tcPr>
            <w:tcW w:w="993" w:type="dxa"/>
            <w:vAlign w:val="center"/>
          </w:tcPr>
          <w:p w14:paraId="770F6DAE">
            <w:pPr>
              <w:spacing w:line="240" w:lineRule="auto"/>
              <w:ind w:firstLine="0" w:firstLineChars="0"/>
              <w:jc w:val="center"/>
              <w:rPr>
                <w:rFonts w:eastAsia="等线"/>
                <w:sz w:val="22"/>
                <w:szCs w:val="22"/>
                <w:u w:val="single"/>
              </w:rPr>
            </w:pPr>
            <w:r>
              <w:rPr>
                <w:rFonts w:hint="eastAsia" w:eastAsia="等线"/>
                <w:sz w:val="22"/>
                <w:szCs w:val="22"/>
                <w:u w:val="single"/>
              </w:rPr>
              <w:t>3</w:t>
            </w:r>
          </w:p>
        </w:tc>
        <w:tc>
          <w:tcPr>
            <w:tcW w:w="992" w:type="dxa"/>
            <w:vAlign w:val="center"/>
          </w:tcPr>
          <w:p w14:paraId="25EFAC91">
            <w:pPr>
              <w:spacing w:line="240" w:lineRule="auto"/>
              <w:ind w:firstLine="0" w:firstLineChars="0"/>
              <w:jc w:val="center"/>
              <w:rPr>
                <w:rFonts w:eastAsia="等线"/>
                <w:sz w:val="21"/>
                <w:szCs w:val="21"/>
                <w:u w:val="single"/>
              </w:rPr>
            </w:pPr>
            <w:r>
              <w:rPr>
                <w:rFonts w:hint="eastAsia" w:eastAsia="等线"/>
                <w:sz w:val="21"/>
                <w:szCs w:val="21"/>
                <w:u w:val="single"/>
              </w:rPr>
              <w:t>600</w:t>
            </w:r>
          </w:p>
        </w:tc>
        <w:tc>
          <w:tcPr>
            <w:tcW w:w="1559" w:type="dxa"/>
            <w:gridSpan w:val="2"/>
            <w:vAlign w:val="center"/>
          </w:tcPr>
          <w:p w14:paraId="76BBFE61">
            <w:pPr>
              <w:spacing w:line="240" w:lineRule="auto"/>
              <w:ind w:firstLine="0" w:firstLineChars="0"/>
              <w:jc w:val="center"/>
              <w:rPr>
                <w:sz w:val="21"/>
                <w:szCs w:val="21"/>
                <w:highlight w:val="yellow"/>
                <w:u w:val="single"/>
              </w:rPr>
            </w:pPr>
            <w:r>
              <w:rPr>
                <w:rFonts w:hint="eastAsia"/>
                <w:sz w:val="21"/>
                <w:szCs w:val="21"/>
                <w:u w:val="single"/>
              </w:rPr>
              <w:t>袋式除尘器，99%</w:t>
            </w:r>
          </w:p>
        </w:tc>
        <w:tc>
          <w:tcPr>
            <w:tcW w:w="992" w:type="dxa"/>
            <w:vAlign w:val="center"/>
          </w:tcPr>
          <w:p w14:paraId="251AC8EC">
            <w:pPr>
              <w:spacing w:line="240" w:lineRule="auto"/>
              <w:ind w:firstLine="0" w:firstLineChars="0"/>
              <w:jc w:val="center"/>
              <w:rPr>
                <w:rFonts w:eastAsia="等线"/>
                <w:sz w:val="21"/>
                <w:szCs w:val="21"/>
                <w:u w:val="single"/>
              </w:rPr>
            </w:pPr>
            <w:r>
              <w:rPr>
                <w:rFonts w:hint="eastAsia" w:eastAsia="等线"/>
                <w:sz w:val="21"/>
                <w:szCs w:val="21"/>
                <w:u w:val="single"/>
              </w:rPr>
              <w:t>0.12</w:t>
            </w:r>
          </w:p>
        </w:tc>
        <w:tc>
          <w:tcPr>
            <w:tcW w:w="851" w:type="dxa"/>
            <w:vAlign w:val="center"/>
          </w:tcPr>
          <w:p w14:paraId="0F9ADEFA">
            <w:pPr>
              <w:spacing w:line="240" w:lineRule="auto"/>
              <w:ind w:firstLine="0" w:firstLineChars="0"/>
              <w:jc w:val="center"/>
              <w:rPr>
                <w:rFonts w:eastAsia="等线"/>
                <w:sz w:val="21"/>
                <w:szCs w:val="21"/>
                <w:u w:val="single"/>
              </w:rPr>
            </w:pPr>
            <w:r>
              <w:rPr>
                <w:rFonts w:hint="eastAsia" w:eastAsia="等线"/>
                <w:sz w:val="21"/>
                <w:szCs w:val="21"/>
                <w:u w:val="single"/>
              </w:rPr>
              <w:t>0.03</w:t>
            </w:r>
          </w:p>
        </w:tc>
        <w:tc>
          <w:tcPr>
            <w:tcW w:w="979" w:type="dxa"/>
            <w:vAlign w:val="center"/>
          </w:tcPr>
          <w:p w14:paraId="4368DD1C">
            <w:pPr>
              <w:spacing w:line="240" w:lineRule="auto"/>
              <w:ind w:firstLine="0" w:firstLineChars="0"/>
              <w:jc w:val="center"/>
              <w:rPr>
                <w:sz w:val="21"/>
                <w:szCs w:val="21"/>
                <w:u w:val="single"/>
              </w:rPr>
            </w:pPr>
            <w:r>
              <w:rPr>
                <w:rFonts w:hint="eastAsia"/>
                <w:sz w:val="21"/>
                <w:szCs w:val="21"/>
                <w:u w:val="single"/>
              </w:rPr>
              <w:t>6</w:t>
            </w:r>
          </w:p>
        </w:tc>
      </w:tr>
      <w:tr w14:paraId="2A7B7C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4" w:type="dxa"/>
            <w:gridSpan w:val="10"/>
            <w:vAlign w:val="center"/>
          </w:tcPr>
          <w:p w14:paraId="2AD76160">
            <w:pPr>
              <w:spacing w:line="240" w:lineRule="auto"/>
              <w:ind w:firstLine="0" w:firstLineChars="0"/>
              <w:jc w:val="center"/>
              <w:rPr>
                <w:sz w:val="21"/>
                <w:szCs w:val="21"/>
                <w:u w:val="single"/>
              </w:rPr>
            </w:pPr>
            <w:r>
              <w:rPr>
                <w:rFonts w:hint="eastAsia"/>
                <w:sz w:val="21"/>
                <w:szCs w:val="21"/>
                <w:u w:val="single"/>
              </w:rPr>
              <w:t>“设备自带冷凝+碱喷淋+</w:t>
            </w:r>
            <w:r>
              <w:rPr>
                <w:sz w:val="21"/>
                <w:szCs w:val="21"/>
                <w:u w:val="single"/>
              </w:rPr>
              <w:t>水喷淋</w:t>
            </w:r>
            <w:r>
              <w:rPr>
                <w:rFonts w:hint="eastAsia"/>
                <w:sz w:val="21"/>
                <w:szCs w:val="21"/>
                <w:u w:val="single"/>
              </w:rPr>
              <w:t>+除雾器+</w:t>
            </w:r>
            <w:r>
              <w:rPr>
                <w:sz w:val="21"/>
                <w:szCs w:val="21"/>
                <w:u w:val="single"/>
              </w:rPr>
              <w:t>活性炭吸附装置</w:t>
            </w:r>
            <w:r>
              <w:rPr>
                <w:rFonts w:hint="eastAsia"/>
                <w:sz w:val="21"/>
                <w:szCs w:val="21"/>
                <w:u w:val="single"/>
              </w:rPr>
              <w:t>”风机风量5000m</w:t>
            </w:r>
            <w:r>
              <w:rPr>
                <w:rFonts w:hint="eastAsia"/>
                <w:sz w:val="21"/>
                <w:szCs w:val="21"/>
                <w:u w:val="single"/>
                <w:vertAlign w:val="superscript"/>
              </w:rPr>
              <w:t>3</w:t>
            </w:r>
            <w:r>
              <w:rPr>
                <w:rFonts w:hint="eastAsia"/>
                <w:sz w:val="21"/>
                <w:szCs w:val="21"/>
                <w:u w:val="single"/>
              </w:rPr>
              <w:t>/h、</w:t>
            </w:r>
          </w:p>
          <w:p w14:paraId="713572A1">
            <w:pPr>
              <w:spacing w:line="240" w:lineRule="auto"/>
              <w:ind w:firstLine="0" w:firstLineChars="0"/>
              <w:jc w:val="center"/>
              <w:rPr>
                <w:highlight w:val="yellow"/>
                <w:u w:val="single"/>
              </w:rPr>
            </w:pPr>
            <w:r>
              <w:rPr>
                <w:rFonts w:hint="eastAsia"/>
                <w:sz w:val="21"/>
                <w:szCs w:val="21"/>
                <w:u w:val="single"/>
              </w:rPr>
              <w:t>“袋式除尘器”风机风量5000m</w:t>
            </w:r>
            <w:r>
              <w:rPr>
                <w:rFonts w:hint="eastAsia"/>
                <w:sz w:val="21"/>
                <w:szCs w:val="21"/>
                <w:u w:val="single"/>
                <w:vertAlign w:val="superscript"/>
              </w:rPr>
              <w:t>3</w:t>
            </w:r>
            <w:r>
              <w:rPr>
                <w:rFonts w:hint="eastAsia"/>
                <w:sz w:val="21"/>
                <w:szCs w:val="21"/>
                <w:u w:val="single"/>
              </w:rPr>
              <w:t>/h</w:t>
            </w:r>
          </w:p>
        </w:tc>
      </w:tr>
    </w:tbl>
    <w:p w14:paraId="1D3EB645">
      <w:pPr>
        <w:ind w:firstLine="480"/>
        <w:rPr>
          <w:bCs/>
          <w:kern w:val="24"/>
          <w:szCs w:val="24"/>
          <w:u w:val="single"/>
        </w:rPr>
      </w:pPr>
      <w:r>
        <w:rPr>
          <w:szCs w:val="24"/>
        </w:rPr>
        <w:t>根据上表可知，本项目污染物</w:t>
      </w:r>
      <w:r>
        <w:rPr>
          <w:rFonts w:hint="eastAsia"/>
          <w:szCs w:val="24"/>
        </w:rPr>
        <w:t>非甲烷总烃、硫酸雾、颗粒物</w:t>
      </w:r>
      <w:r>
        <w:rPr>
          <w:bCs/>
          <w:szCs w:val="24"/>
        </w:rPr>
        <w:t>排放浓度能够满足《大气污染物综合排放标准》（GB16297-1996）表2限值</w:t>
      </w:r>
      <w:r>
        <w:rPr>
          <w:rFonts w:hint="eastAsia"/>
          <w:bCs/>
          <w:szCs w:val="24"/>
        </w:rPr>
        <w:t>（非甲烷总烃</w:t>
      </w:r>
      <w:r>
        <w:rPr>
          <w:bCs/>
          <w:kern w:val="24"/>
          <w:szCs w:val="24"/>
        </w:rPr>
        <w:t>120mg/m</w:t>
      </w:r>
      <w:r>
        <w:rPr>
          <w:bCs/>
          <w:kern w:val="24"/>
          <w:szCs w:val="24"/>
          <w:vertAlign w:val="superscript"/>
        </w:rPr>
        <w:t>3</w:t>
      </w:r>
      <w:r>
        <w:rPr>
          <w:bCs/>
          <w:kern w:val="24"/>
          <w:szCs w:val="24"/>
        </w:rPr>
        <w:t>、10kg/h</w:t>
      </w:r>
      <w:r>
        <w:rPr>
          <w:rFonts w:hint="eastAsia"/>
          <w:bCs/>
          <w:kern w:val="24"/>
          <w:szCs w:val="24"/>
        </w:rPr>
        <w:t>，颗粒物</w:t>
      </w:r>
      <w:r>
        <w:rPr>
          <w:bCs/>
          <w:kern w:val="24"/>
          <w:szCs w:val="24"/>
        </w:rPr>
        <w:t>1</w:t>
      </w:r>
      <w:r>
        <w:rPr>
          <w:rFonts w:hint="eastAsia"/>
          <w:bCs/>
          <w:kern w:val="24"/>
          <w:szCs w:val="24"/>
        </w:rPr>
        <w:t>2</w:t>
      </w:r>
      <w:r>
        <w:rPr>
          <w:bCs/>
          <w:kern w:val="24"/>
          <w:szCs w:val="24"/>
        </w:rPr>
        <w:t>0mg/m</w:t>
      </w:r>
      <w:r>
        <w:rPr>
          <w:bCs/>
          <w:kern w:val="24"/>
          <w:szCs w:val="24"/>
          <w:vertAlign w:val="superscript"/>
        </w:rPr>
        <w:t>3</w:t>
      </w:r>
      <w:r>
        <w:rPr>
          <w:bCs/>
          <w:kern w:val="24"/>
          <w:szCs w:val="24"/>
        </w:rPr>
        <w:t>、</w:t>
      </w:r>
      <w:r>
        <w:rPr>
          <w:rFonts w:hint="eastAsia"/>
          <w:bCs/>
          <w:kern w:val="24"/>
          <w:szCs w:val="24"/>
        </w:rPr>
        <w:t>3.5</w:t>
      </w:r>
      <w:r>
        <w:rPr>
          <w:bCs/>
          <w:kern w:val="24"/>
          <w:szCs w:val="24"/>
        </w:rPr>
        <w:t>kg/h</w:t>
      </w:r>
      <w:r>
        <w:rPr>
          <w:rFonts w:hint="eastAsia"/>
          <w:bCs/>
          <w:kern w:val="24"/>
          <w:szCs w:val="24"/>
        </w:rPr>
        <w:t>，硫酸雾45</w:t>
      </w:r>
      <w:r>
        <w:rPr>
          <w:bCs/>
          <w:kern w:val="24"/>
          <w:szCs w:val="24"/>
        </w:rPr>
        <w:t>mg/m</w:t>
      </w:r>
      <w:r>
        <w:rPr>
          <w:bCs/>
          <w:kern w:val="24"/>
          <w:szCs w:val="24"/>
          <w:vertAlign w:val="superscript"/>
        </w:rPr>
        <w:t>3</w:t>
      </w:r>
      <w:r>
        <w:rPr>
          <w:bCs/>
          <w:kern w:val="24"/>
          <w:szCs w:val="24"/>
        </w:rPr>
        <w:t>、</w:t>
      </w:r>
      <w:r>
        <w:rPr>
          <w:rFonts w:hint="eastAsia"/>
          <w:bCs/>
          <w:kern w:val="24"/>
          <w:szCs w:val="24"/>
        </w:rPr>
        <w:t>1.5</w:t>
      </w:r>
      <w:r>
        <w:rPr>
          <w:bCs/>
          <w:kern w:val="24"/>
          <w:szCs w:val="24"/>
        </w:rPr>
        <w:t>kg/h</w:t>
      </w:r>
      <w:r>
        <w:rPr>
          <w:rFonts w:hint="eastAsia"/>
          <w:bCs/>
          <w:szCs w:val="24"/>
        </w:rPr>
        <w:t>）、</w:t>
      </w:r>
      <w:r>
        <w:rPr>
          <w:bCs/>
          <w:kern w:val="24"/>
          <w:szCs w:val="24"/>
        </w:rPr>
        <w:t>《关于全省开展工业挥发性有机物专项治理工作中排放建议值的通知》（豫环攻坚办〔2017〕162号）中限值要求（非甲烷总烃80mg/m</w:t>
      </w:r>
      <w:r>
        <w:rPr>
          <w:bCs/>
          <w:kern w:val="24"/>
          <w:szCs w:val="24"/>
          <w:vertAlign w:val="superscript"/>
        </w:rPr>
        <w:t>3</w:t>
      </w:r>
      <w:r>
        <w:rPr>
          <w:bCs/>
          <w:kern w:val="24"/>
          <w:szCs w:val="24"/>
        </w:rPr>
        <w:t>）</w:t>
      </w:r>
      <w:r>
        <w:rPr>
          <w:rFonts w:hint="eastAsia"/>
          <w:bCs/>
          <w:kern w:val="24"/>
          <w:szCs w:val="24"/>
        </w:rPr>
        <w:t>及</w:t>
      </w:r>
      <w:r>
        <w:rPr>
          <w:bCs/>
          <w:kern w:val="24"/>
          <w:szCs w:val="24"/>
        </w:rPr>
        <w:t>《河南省重污染天气重点行业应急减排措施技术指南》（2021年修订版）中有机化工A级绩效指标（非甲烷总烃20mg/m</w:t>
      </w:r>
      <w:r>
        <w:rPr>
          <w:bCs/>
          <w:kern w:val="24"/>
          <w:szCs w:val="24"/>
          <w:vertAlign w:val="superscript"/>
        </w:rPr>
        <w:t>3</w:t>
      </w:r>
      <w:r>
        <w:rPr>
          <w:bCs/>
          <w:kern w:val="24"/>
          <w:szCs w:val="24"/>
        </w:rPr>
        <w:t>）</w:t>
      </w:r>
      <w:r>
        <w:rPr>
          <w:rFonts w:hint="eastAsia"/>
          <w:bCs/>
          <w:kern w:val="24"/>
          <w:szCs w:val="24"/>
        </w:rPr>
        <w:t>、</w:t>
      </w:r>
      <w:r>
        <w:rPr>
          <w:bCs/>
          <w:kern w:val="24"/>
          <w:szCs w:val="24"/>
        </w:rPr>
        <w:t>《新乡市生态环境局关于进一步规范工业企业颗粒物排放限值的通知》（颗粒物10mg/m</w:t>
      </w:r>
      <w:r>
        <w:rPr>
          <w:bCs/>
          <w:kern w:val="24"/>
          <w:szCs w:val="24"/>
          <w:vertAlign w:val="superscript"/>
        </w:rPr>
        <w:t>3</w:t>
      </w:r>
      <w:r>
        <w:rPr>
          <w:bCs/>
          <w:kern w:val="24"/>
          <w:szCs w:val="24"/>
        </w:rPr>
        <w:t>）。</w:t>
      </w:r>
      <w:r>
        <w:rPr>
          <w:rFonts w:hint="eastAsia"/>
          <w:bCs/>
          <w:kern w:val="24"/>
          <w:szCs w:val="24"/>
          <w:u w:val="single"/>
        </w:rPr>
        <w:t>氨、硫化氢和臭气浓度排放满足《恶臭污染物排放标准》（GB14554-93）中氨4.9kg/h、硫化氢0.33kg/h和臭气浓度2000（无量纲）的标准限值。</w:t>
      </w:r>
    </w:p>
    <w:p w14:paraId="328F4E02">
      <w:pPr>
        <w:ind w:firstLine="482"/>
        <w:outlineLvl w:val="4"/>
        <w:rPr>
          <w:b/>
          <w:bCs/>
        </w:rPr>
      </w:pPr>
      <w:r>
        <w:rPr>
          <w:b/>
          <w:bCs/>
        </w:rPr>
        <w:t>（</w:t>
      </w:r>
      <w:r>
        <w:rPr>
          <w:rFonts w:hint="eastAsia"/>
          <w:b/>
          <w:bCs/>
        </w:rPr>
        <w:t>7</w:t>
      </w:r>
      <w:r>
        <w:rPr>
          <w:b/>
          <w:bCs/>
        </w:rPr>
        <w:t>）废气排放量核算</w:t>
      </w:r>
    </w:p>
    <w:p w14:paraId="3EB0802A">
      <w:pPr>
        <w:pStyle w:val="99"/>
        <w:numPr>
          <w:ilvl w:val="4"/>
          <w:numId w:val="20"/>
        </w:numPr>
        <w:ind w:left="0" w:firstLine="480"/>
        <w:rPr>
          <w:rFonts w:eastAsia="黑体"/>
          <w:szCs w:val="24"/>
        </w:rPr>
      </w:pPr>
      <w:r>
        <w:rPr>
          <w:rFonts w:eastAsia="黑体"/>
          <w:szCs w:val="24"/>
        </w:rPr>
        <w:t xml:space="preserve">      大气污染物</w:t>
      </w:r>
      <w:r>
        <w:rPr>
          <w:rFonts w:hint="eastAsia" w:eastAsia="黑体"/>
          <w:szCs w:val="24"/>
        </w:rPr>
        <w:t>有</w:t>
      </w:r>
      <w:r>
        <w:rPr>
          <w:rFonts w:eastAsia="黑体"/>
          <w:szCs w:val="24"/>
        </w:rPr>
        <w:t>组织排放量核算表</w:t>
      </w:r>
    </w:p>
    <w:tbl>
      <w:tblPr>
        <w:tblStyle w:val="41"/>
        <w:tblW w:w="4968" w:type="pct"/>
        <w:jc w:val="center"/>
        <w:tblBorders>
          <w:top w:val="single" w:color="auto" w:sz="8" w:space="0"/>
          <w:left w:val="single" w:color="auto" w:sz="8" w:space="0"/>
          <w:bottom w:val="single" w:color="auto" w:sz="6"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6"/>
        <w:gridCol w:w="1724"/>
        <w:gridCol w:w="1404"/>
        <w:gridCol w:w="1542"/>
        <w:gridCol w:w="1543"/>
        <w:gridCol w:w="1510"/>
      </w:tblGrid>
      <w:tr w14:paraId="4A3ECCBA">
        <w:tblPrEx>
          <w:tblBorders>
            <w:top w:val="single" w:color="auto" w:sz="8" w:space="0"/>
            <w:left w:val="single" w:color="auto" w:sz="8" w:space="0"/>
            <w:bottom w:val="single" w:color="auto" w:sz="6"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36" w:type="pct"/>
            <w:vAlign w:val="center"/>
          </w:tcPr>
          <w:p w14:paraId="14319225">
            <w:pPr>
              <w:spacing w:line="240" w:lineRule="auto"/>
              <w:ind w:firstLine="0" w:firstLineChars="0"/>
              <w:jc w:val="center"/>
              <w:rPr>
                <w:b/>
                <w:sz w:val="21"/>
                <w:szCs w:val="21"/>
                <w:u w:val="single"/>
              </w:rPr>
            </w:pPr>
            <w:r>
              <w:rPr>
                <w:b/>
                <w:sz w:val="21"/>
                <w:szCs w:val="21"/>
                <w:u w:val="single"/>
              </w:rPr>
              <w:t>序号</w:t>
            </w:r>
          </w:p>
        </w:tc>
        <w:tc>
          <w:tcPr>
            <w:tcW w:w="1041" w:type="pct"/>
            <w:vAlign w:val="center"/>
          </w:tcPr>
          <w:p w14:paraId="4CC04279">
            <w:pPr>
              <w:spacing w:line="240" w:lineRule="auto"/>
              <w:ind w:firstLine="0" w:firstLineChars="0"/>
              <w:jc w:val="center"/>
              <w:rPr>
                <w:b/>
                <w:sz w:val="21"/>
                <w:szCs w:val="21"/>
                <w:u w:val="single"/>
              </w:rPr>
            </w:pPr>
            <w:r>
              <w:rPr>
                <w:b/>
                <w:sz w:val="21"/>
                <w:szCs w:val="21"/>
                <w:u w:val="single"/>
              </w:rPr>
              <w:t>排放口编号</w:t>
            </w:r>
          </w:p>
        </w:tc>
        <w:tc>
          <w:tcPr>
            <w:tcW w:w="848" w:type="pct"/>
            <w:vAlign w:val="center"/>
          </w:tcPr>
          <w:p w14:paraId="06C2FC2B">
            <w:pPr>
              <w:spacing w:line="240" w:lineRule="auto"/>
              <w:ind w:firstLine="0" w:firstLineChars="0"/>
              <w:jc w:val="center"/>
              <w:rPr>
                <w:b/>
                <w:sz w:val="21"/>
                <w:szCs w:val="21"/>
                <w:u w:val="single"/>
              </w:rPr>
            </w:pPr>
            <w:r>
              <w:rPr>
                <w:b/>
                <w:sz w:val="21"/>
                <w:szCs w:val="21"/>
                <w:u w:val="single"/>
              </w:rPr>
              <w:t>污染物</w:t>
            </w:r>
          </w:p>
        </w:tc>
        <w:tc>
          <w:tcPr>
            <w:tcW w:w="931" w:type="pct"/>
            <w:vAlign w:val="center"/>
          </w:tcPr>
          <w:p w14:paraId="0150B9CB">
            <w:pPr>
              <w:spacing w:line="240" w:lineRule="auto"/>
              <w:ind w:firstLine="0" w:firstLineChars="0"/>
              <w:jc w:val="center"/>
              <w:rPr>
                <w:b/>
                <w:sz w:val="21"/>
                <w:szCs w:val="21"/>
                <w:u w:val="single"/>
              </w:rPr>
            </w:pPr>
            <w:r>
              <w:rPr>
                <w:b/>
                <w:sz w:val="21"/>
                <w:szCs w:val="21"/>
                <w:u w:val="single"/>
              </w:rPr>
              <w:t>核算排放浓度/</w:t>
            </w:r>
          </w:p>
          <w:p w14:paraId="10F44EC1">
            <w:pPr>
              <w:spacing w:line="240" w:lineRule="auto"/>
              <w:ind w:firstLine="0" w:firstLineChars="0"/>
              <w:jc w:val="center"/>
              <w:rPr>
                <w:b/>
                <w:sz w:val="21"/>
                <w:szCs w:val="21"/>
                <w:u w:val="single"/>
              </w:rPr>
            </w:pPr>
            <w:r>
              <w:rPr>
                <w:b/>
                <w:sz w:val="21"/>
                <w:szCs w:val="21"/>
                <w:u w:val="single"/>
              </w:rPr>
              <w:t>（mg/m</w:t>
            </w:r>
            <w:r>
              <w:rPr>
                <w:b/>
                <w:sz w:val="21"/>
                <w:szCs w:val="21"/>
                <w:u w:val="single"/>
                <w:vertAlign w:val="superscript"/>
              </w:rPr>
              <w:t>3</w:t>
            </w:r>
            <w:r>
              <w:rPr>
                <w:b/>
                <w:sz w:val="21"/>
                <w:szCs w:val="21"/>
                <w:u w:val="single"/>
              </w:rPr>
              <w:t>）</w:t>
            </w:r>
          </w:p>
        </w:tc>
        <w:tc>
          <w:tcPr>
            <w:tcW w:w="932" w:type="pct"/>
            <w:vAlign w:val="center"/>
          </w:tcPr>
          <w:p w14:paraId="077E09D3">
            <w:pPr>
              <w:spacing w:line="240" w:lineRule="auto"/>
              <w:ind w:firstLine="0" w:firstLineChars="0"/>
              <w:jc w:val="center"/>
              <w:rPr>
                <w:b/>
                <w:sz w:val="21"/>
                <w:szCs w:val="21"/>
                <w:u w:val="single"/>
              </w:rPr>
            </w:pPr>
            <w:r>
              <w:rPr>
                <w:b/>
                <w:sz w:val="21"/>
                <w:szCs w:val="21"/>
                <w:u w:val="single"/>
              </w:rPr>
              <w:t>核算排放速率/</w:t>
            </w:r>
          </w:p>
          <w:p w14:paraId="094B9C1D">
            <w:pPr>
              <w:spacing w:line="240" w:lineRule="auto"/>
              <w:ind w:firstLine="0" w:firstLineChars="0"/>
              <w:jc w:val="center"/>
              <w:rPr>
                <w:b/>
                <w:sz w:val="21"/>
                <w:szCs w:val="21"/>
                <w:u w:val="single"/>
              </w:rPr>
            </w:pPr>
            <w:r>
              <w:rPr>
                <w:b/>
                <w:sz w:val="21"/>
                <w:szCs w:val="21"/>
                <w:u w:val="single"/>
              </w:rPr>
              <w:t>（kg/h）</w:t>
            </w:r>
          </w:p>
        </w:tc>
        <w:tc>
          <w:tcPr>
            <w:tcW w:w="912" w:type="pct"/>
            <w:vAlign w:val="center"/>
          </w:tcPr>
          <w:p w14:paraId="34B0C610">
            <w:pPr>
              <w:spacing w:line="240" w:lineRule="auto"/>
              <w:ind w:firstLine="0" w:firstLineChars="0"/>
              <w:jc w:val="center"/>
              <w:rPr>
                <w:b/>
                <w:sz w:val="21"/>
                <w:szCs w:val="21"/>
                <w:u w:val="single"/>
              </w:rPr>
            </w:pPr>
            <w:r>
              <w:rPr>
                <w:b/>
                <w:sz w:val="21"/>
                <w:szCs w:val="21"/>
                <w:u w:val="single"/>
              </w:rPr>
              <w:t>核算年排放量/</w:t>
            </w:r>
          </w:p>
          <w:p w14:paraId="7CAB1482">
            <w:pPr>
              <w:spacing w:line="240" w:lineRule="auto"/>
              <w:ind w:firstLine="0" w:firstLineChars="0"/>
              <w:jc w:val="center"/>
              <w:rPr>
                <w:b/>
                <w:sz w:val="21"/>
                <w:szCs w:val="21"/>
                <w:u w:val="single"/>
              </w:rPr>
            </w:pPr>
            <w:r>
              <w:rPr>
                <w:b/>
                <w:sz w:val="21"/>
                <w:szCs w:val="21"/>
                <w:u w:val="single"/>
              </w:rPr>
              <w:t>（t/a）</w:t>
            </w:r>
          </w:p>
        </w:tc>
      </w:tr>
      <w:tr w14:paraId="272659AA">
        <w:tblPrEx>
          <w:tblBorders>
            <w:top w:val="single" w:color="auto" w:sz="8" w:space="0"/>
            <w:left w:val="single" w:color="auto" w:sz="8" w:space="0"/>
            <w:bottom w:val="single" w:color="auto" w:sz="6"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6" w:type="pct"/>
            <w:vAlign w:val="center"/>
          </w:tcPr>
          <w:p w14:paraId="6640E9CA">
            <w:pPr>
              <w:spacing w:line="240" w:lineRule="auto"/>
              <w:ind w:firstLine="0" w:firstLineChars="0"/>
              <w:jc w:val="center"/>
              <w:rPr>
                <w:sz w:val="21"/>
                <w:szCs w:val="21"/>
                <w:u w:val="single"/>
              </w:rPr>
            </w:pPr>
            <w:r>
              <w:rPr>
                <w:rFonts w:hint="eastAsia"/>
                <w:sz w:val="21"/>
                <w:szCs w:val="21"/>
                <w:u w:val="single"/>
              </w:rPr>
              <w:t>1</w:t>
            </w:r>
          </w:p>
        </w:tc>
        <w:tc>
          <w:tcPr>
            <w:tcW w:w="1041" w:type="pct"/>
            <w:vMerge w:val="restart"/>
            <w:vAlign w:val="center"/>
          </w:tcPr>
          <w:p w14:paraId="6355CBA3">
            <w:pPr>
              <w:spacing w:line="240" w:lineRule="auto"/>
              <w:ind w:firstLine="0" w:firstLineChars="0"/>
              <w:jc w:val="center"/>
              <w:rPr>
                <w:sz w:val="21"/>
                <w:szCs w:val="21"/>
                <w:u w:val="single"/>
              </w:rPr>
            </w:pPr>
            <w:r>
              <w:rPr>
                <w:rFonts w:hint="eastAsia"/>
                <w:sz w:val="21"/>
                <w:szCs w:val="21"/>
                <w:u w:val="single"/>
              </w:rPr>
              <w:t>DA001</w:t>
            </w:r>
          </w:p>
        </w:tc>
        <w:tc>
          <w:tcPr>
            <w:tcW w:w="848" w:type="pct"/>
            <w:vAlign w:val="center"/>
          </w:tcPr>
          <w:p w14:paraId="6D722393">
            <w:pPr>
              <w:tabs>
                <w:tab w:val="center" w:pos="4153"/>
                <w:tab w:val="right" w:pos="8306"/>
              </w:tabs>
              <w:spacing w:line="240" w:lineRule="auto"/>
              <w:ind w:firstLine="0" w:firstLineChars="0"/>
              <w:jc w:val="center"/>
              <w:rPr>
                <w:sz w:val="21"/>
                <w:szCs w:val="21"/>
                <w:u w:val="single"/>
              </w:rPr>
            </w:pPr>
            <w:r>
              <w:rPr>
                <w:rFonts w:hint="eastAsia"/>
                <w:sz w:val="21"/>
                <w:szCs w:val="21"/>
                <w:u w:val="single"/>
              </w:rPr>
              <w:t>非甲烷总烃</w:t>
            </w:r>
          </w:p>
        </w:tc>
        <w:tc>
          <w:tcPr>
            <w:tcW w:w="931" w:type="pct"/>
            <w:vAlign w:val="center"/>
          </w:tcPr>
          <w:p w14:paraId="4ECBA5CE">
            <w:pPr>
              <w:tabs>
                <w:tab w:val="left" w:pos="567"/>
              </w:tabs>
              <w:spacing w:line="240" w:lineRule="auto"/>
              <w:ind w:firstLine="0" w:firstLineChars="0"/>
              <w:jc w:val="center"/>
              <w:rPr>
                <w:sz w:val="21"/>
                <w:szCs w:val="21"/>
                <w:u w:val="single"/>
              </w:rPr>
            </w:pPr>
            <w:r>
              <w:rPr>
                <w:rFonts w:hint="eastAsia"/>
                <w:sz w:val="21"/>
                <w:szCs w:val="21"/>
                <w:u w:val="single"/>
              </w:rPr>
              <w:t>14.2</w:t>
            </w:r>
          </w:p>
        </w:tc>
        <w:tc>
          <w:tcPr>
            <w:tcW w:w="932" w:type="pct"/>
            <w:vAlign w:val="center"/>
          </w:tcPr>
          <w:p w14:paraId="75A49CC9">
            <w:pPr>
              <w:tabs>
                <w:tab w:val="left" w:pos="567"/>
              </w:tabs>
              <w:spacing w:line="240" w:lineRule="auto"/>
              <w:ind w:firstLine="0" w:firstLineChars="0"/>
              <w:jc w:val="center"/>
              <w:rPr>
                <w:sz w:val="21"/>
                <w:szCs w:val="21"/>
                <w:u w:val="single"/>
              </w:rPr>
            </w:pPr>
            <w:r>
              <w:rPr>
                <w:rFonts w:hint="eastAsia"/>
                <w:sz w:val="21"/>
                <w:szCs w:val="21"/>
                <w:u w:val="single"/>
              </w:rPr>
              <w:t>0.071</w:t>
            </w:r>
          </w:p>
        </w:tc>
        <w:tc>
          <w:tcPr>
            <w:tcW w:w="912" w:type="pct"/>
            <w:vAlign w:val="center"/>
          </w:tcPr>
          <w:p w14:paraId="471FB9C3">
            <w:pPr>
              <w:spacing w:line="240" w:lineRule="auto"/>
              <w:ind w:firstLine="0" w:firstLineChars="0"/>
              <w:jc w:val="center"/>
              <w:rPr>
                <w:sz w:val="21"/>
                <w:szCs w:val="21"/>
                <w:u w:val="single"/>
              </w:rPr>
            </w:pPr>
            <w:r>
              <w:rPr>
                <w:rFonts w:hint="eastAsia"/>
                <w:sz w:val="21"/>
                <w:szCs w:val="21"/>
                <w:u w:val="single"/>
              </w:rPr>
              <w:t>0.078</w:t>
            </w:r>
          </w:p>
        </w:tc>
      </w:tr>
      <w:tr w14:paraId="73E4DE4C">
        <w:tblPrEx>
          <w:tblBorders>
            <w:top w:val="single" w:color="auto" w:sz="8" w:space="0"/>
            <w:left w:val="single" w:color="auto" w:sz="8" w:space="0"/>
            <w:bottom w:val="single" w:color="auto" w:sz="6"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6" w:type="pct"/>
            <w:vAlign w:val="center"/>
          </w:tcPr>
          <w:p w14:paraId="054A90D9">
            <w:pPr>
              <w:spacing w:line="240" w:lineRule="auto"/>
              <w:ind w:firstLine="0" w:firstLineChars="0"/>
              <w:jc w:val="center"/>
              <w:rPr>
                <w:sz w:val="21"/>
                <w:szCs w:val="21"/>
                <w:u w:val="single"/>
              </w:rPr>
            </w:pPr>
            <w:r>
              <w:rPr>
                <w:rFonts w:hint="eastAsia"/>
                <w:sz w:val="21"/>
                <w:szCs w:val="21"/>
                <w:u w:val="single"/>
              </w:rPr>
              <w:t>2</w:t>
            </w:r>
          </w:p>
        </w:tc>
        <w:tc>
          <w:tcPr>
            <w:tcW w:w="1041" w:type="pct"/>
            <w:vMerge w:val="continue"/>
            <w:vAlign w:val="center"/>
          </w:tcPr>
          <w:p w14:paraId="18A39041">
            <w:pPr>
              <w:spacing w:line="240" w:lineRule="auto"/>
              <w:ind w:firstLine="0" w:firstLineChars="0"/>
              <w:jc w:val="center"/>
              <w:rPr>
                <w:sz w:val="21"/>
                <w:szCs w:val="21"/>
                <w:u w:val="single"/>
              </w:rPr>
            </w:pPr>
          </w:p>
        </w:tc>
        <w:tc>
          <w:tcPr>
            <w:tcW w:w="848" w:type="pct"/>
            <w:vAlign w:val="center"/>
          </w:tcPr>
          <w:p w14:paraId="55E1C2A9">
            <w:pPr>
              <w:tabs>
                <w:tab w:val="center" w:pos="4153"/>
                <w:tab w:val="right" w:pos="8306"/>
              </w:tabs>
              <w:spacing w:line="240" w:lineRule="auto"/>
              <w:ind w:firstLine="0" w:firstLineChars="0"/>
              <w:jc w:val="center"/>
              <w:rPr>
                <w:sz w:val="21"/>
                <w:szCs w:val="21"/>
                <w:u w:val="single"/>
              </w:rPr>
            </w:pPr>
            <w:r>
              <w:rPr>
                <w:rFonts w:hint="eastAsia"/>
                <w:sz w:val="21"/>
                <w:szCs w:val="21"/>
                <w:u w:val="single"/>
              </w:rPr>
              <w:t>硫酸雾</w:t>
            </w:r>
          </w:p>
        </w:tc>
        <w:tc>
          <w:tcPr>
            <w:tcW w:w="931" w:type="pct"/>
            <w:vAlign w:val="center"/>
          </w:tcPr>
          <w:p w14:paraId="50F5BE50">
            <w:pPr>
              <w:tabs>
                <w:tab w:val="left" w:pos="567"/>
              </w:tabs>
              <w:spacing w:line="240" w:lineRule="auto"/>
              <w:ind w:firstLine="0" w:firstLineChars="0"/>
              <w:jc w:val="center"/>
              <w:rPr>
                <w:sz w:val="21"/>
                <w:szCs w:val="21"/>
                <w:u w:val="single"/>
              </w:rPr>
            </w:pPr>
            <w:r>
              <w:rPr>
                <w:rFonts w:hint="eastAsia"/>
                <w:sz w:val="21"/>
                <w:szCs w:val="21"/>
                <w:u w:val="single"/>
              </w:rPr>
              <w:t>1.56</w:t>
            </w:r>
          </w:p>
        </w:tc>
        <w:tc>
          <w:tcPr>
            <w:tcW w:w="932" w:type="pct"/>
            <w:vAlign w:val="center"/>
          </w:tcPr>
          <w:p w14:paraId="7E92D2A2">
            <w:pPr>
              <w:widowControl/>
              <w:adjustRightInd/>
              <w:snapToGrid/>
              <w:spacing w:line="240" w:lineRule="auto"/>
              <w:ind w:firstLine="0" w:firstLineChars="0"/>
              <w:jc w:val="center"/>
              <w:textAlignment w:val="auto"/>
              <w:rPr>
                <w:sz w:val="21"/>
                <w:szCs w:val="21"/>
                <w:u w:val="single"/>
              </w:rPr>
            </w:pPr>
            <w:r>
              <w:rPr>
                <w:rFonts w:hint="eastAsia"/>
                <w:sz w:val="21"/>
                <w:szCs w:val="21"/>
                <w:u w:val="single"/>
              </w:rPr>
              <w:t>0.0078</w:t>
            </w:r>
          </w:p>
        </w:tc>
        <w:tc>
          <w:tcPr>
            <w:tcW w:w="912" w:type="pct"/>
            <w:vAlign w:val="center"/>
          </w:tcPr>
          <w:p w14:paraId="61A78D4E">
            <w:pPr>
              <w:spacing w:line="240" w:lineRule="auto"/>
              <w:ind w:firstLine="0" w:firstLineChars="0"/>
              <w:jc w:val="center"/>
              <w:rPr>
                <w:sz w:val="21"/>
                <w:szCs w:val="21"/>
                <w:u w:val="single"/>
              </w:rPr>
            </w:pPr>
            <w:r>
              <w:rPr>
                <w:rFonts w:hint="eastAsia"/>
                <w:sz w:val="21"/>
                <w:szCs w:val="21"/>
                <w:u w:val="single"/>
              </w:rPr>
              <w:t>0.0195</w:t>
            </w:r>
          </w:p>
        </w:tc>
      </w:tr>
      <w:tr w14:paraId="51E00327">
        <w:tblPrEx>
          <w:tblBorders>
            <w:top w:val="single" w:color="auto" w:sz="8" w:space="0"/>
            <w:left w:val="single" w:color="auto" w:sz="8" w:space="0"/>
            <w:bottom w:val="single" w:color="auto" w:sz="6"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6" w:type="pct"/>
            <w:vAlign w:val="center"/>
          </w:tcPr>
          <w:p w14:paraId="2E30F834">
            <w:pPr>
              <w:spacing w:line="240" w:lineRule="auto"/>
              <w:ind w:firstLine="0" w:firstLineChars="0"/>
              <w:jc w:val="center"/>
              <w:rPr>
                <w:sz w:val="21"/>
                <w:szCs w:val="21"/>
                <w:u w:val="single"/>
              </w:rPr>
            </w:pPr>
            <w:r>
              <w:rPr>
                <w:rFonts w:hint="eastAsia"/>
                <w:sz w:val="21"/>
                <w:szCs w:val="21"/>
                <w:u w:val="single"/>
              </w:rPr>
              <w:t>3</w:t>
            </w:r>
          </w:p>
        </w:tc>
        <w:tc>
          <w:tcPr>
            <w:tcW w:w="1041" w:type="pct"/>
            <w:vAlign w:val="center"/>
          </w:tcPr>
          <w:p w14:paraId="27AEC0A1">
            <w:pPr>
              <w:spacing w:line="240" w:lineRule="auto"/>
              <w:ind w:firstLine="0" w:firstLineChars="0"/>
              <w:jc w:val="center"/>
              <w:rPr>
                <w:sz w:val="21"/>
                <w:szCs w:val="21"/>
                <w:u w:val="single"/>
              </w:rPr>
            </w:pPr>
            <w:r>
              <w:rPr>
                <w:rFonts w:hint="eastAsia"/>
                <w:sz w:val="21"/>
                <w:szCs w:val="21"/>
                <w:u w:val="single"/>
              </w:rPr>
              <w:t>DA002</w:t>
            </w:r>
          </w:p>
        </w:tc>
        <w:tc>
          <w:tcPr>
            <w:tcW w:w="848" w:type="pct"/>
            <w:vAlign w:val="center"/>
          </w:tcPr>
          <w:p w14:paraId="76209CE1">
            <w:pPr>
              <w:tabs>
                <w:tab w:val="center" w:pos="4153"/>
                <w:tab w:val="right" w:pos="8306"/>
              </w:tabs>
              <w:spacing w:line="240" w:lineRule="auto"/>
              <w:ind w:firstLine="0" w:firstLineChars="0"/>
              <w:jc w:val="center"/>
              <w:rPr>
                <w:sz w:val="21"/>
                <w:szCs w:val="21"/>
                <w:u w:val="single"/>
              </w:rPr>
            </w:pPr>
            <w:r>
              <w:rPr>
                <w:rFonts w:hint="eastAsia"/>
                <w:sz w:val="21"/>
                <w:szCs w:val="21"/>
                <w:u w:val="single"/>
              </w:rPr>
              <w:t>颗粒物</w:t>
            </w:r>
          </w:p>
        </w:tc>
        <w:tc>
          <w:tcPr>
            <w:tcW w:w="931" w:type="pct"/>
            <w:vAlign w:val="center"/>
          </w:tcPr>
          <w:p w14:paraId="5C2F4D03">
            <w:pPr>
              <w:tabs>
                <w:tab w:val="left" w:pos="567"/>
              </w:tabs>
              <w:spacing w:line="240" w:lineRule="auto"/>
              <w:ind w:firstLine="0" w:firstLineChars="0"/>
              <w:jc w:val="center"/>
              <w:rPr>
                <w:sz w:val="21"/>
                <w:szCs w:val="21"/>
                <w:u w:val="single"/>
              </w:rPr>
            </w:pPr>
            <w:r>
              <w:rPr>
                <w:rFonts w:hint="eastAsia"/>
                <w:sz w:val="21"/>
                <w:szCs w:val="21"/>
                <w:u w:val="single"/>
              </w:rPr>
              <w:t>6</w:t>
            </w:r>
          </w:p>
        </w:tc>
        <w:tc>
          <w:tcPr>
            <w:tcW w:w="932" w:type="pct"/>
            <w:vAlign w:val="center"/>
          </w:tcPr>
          <w:p w14:paraId="1DAA4DE0">
            <w:pPr>
              <w:widowControl/>
              <w:adjustRightInd/>
              <w:snapToGrid/>
              <w:spacing w:line="240" w:lineRule="auto"/>
              <w:ind w:firstLine="0" w:firstLineChars="0"/>
              <w:jc w:val="center"/>
              <w:textAlignment w:val="auto"/>
              <w:rPr>
                <w:sz w:val="21"/>
                <w:szCs w:val="21"/>
                <w:highlight w:val="yellow"/>
                <w:u w:val="single"/>
              </w:rPr>
            </w:pPr>
            <w:r>
              <w:rPr>
                <w:rFonts w:hint="eastAsia" w:eastAsia="等线"/>
                <w:sz w:val="21"/>
                <w:szCs w:val="21"/>
                <w:u w:val="single"/>
              </w:rPr>
              <w:t>0.03</w:t>
            </w:r>
          </w:p>
        </w:tc>
        <w:tc>
          <w:tcPr>
            <w:tcW w:w="912" w:type="pct"/>
            <w:vAlign w:val="center"/>
          </w:tcPr>
          <w:p w14:paraId="297A3F6D">
            <w:pPr>
              <w:spacing w:line="240" w:lineRule="auto"/>
              <w:ind w:firstLine="0" w:firstLineChars="0"/>
              <w:jc w:val="center"/>
              <w:rPr>
                <w:sz w:val="21"/>
                <w:szCs w:val="21"/>
                <w:u w:val="single"/>
              </w:rPr>
            </w:pPr>
            <w:r>
              <w:rPr>
                <w:rFonts w:hint="eastAsia"/>
                <w:sz w:val="21"/>
                <w:szCs w:val="21"/>
                <w:u w:val="single"/>
              </w:rPr>
              <w:t>0.12</w:t>
            </w:r>
          </w:p>
        </w:tc>
      </w:tr>
    </w:tbl>
    <w:p w14:paraId="7AEB53C0">
      <w:pPr>
        <w:pStyle w:val="2"/>
        <w:ind w:firstLine="480"/>
        <w:rPr>
          <w:highlight w:val="yellow"/>
        </w:rPr>
      </w:pPr>
    </w:p>
    <w:p w14:paraId="4F752E6C">
      <w:pPr>
        <w:ind w:firstLine="482"/>
        <w:outlineLvl w:val="4"/>
        <w:rPr>
          <w:b/>
          <w:bCs/>
          <w:u w:val="single"/>
        </w:rPr>
      </w:pPr>
      <w:r>
        <w:rPr>
          <w:b/>
          <w:bCs/>
          <w:u w:val="single"/>
        </w:rPr>
        <w:t>（</w:t>
      </w:r>
      <w:r>
        <w:rPr>
          <w:rFonts w:hint="eastAsia"/>
          <w:b/>
          <w:bCs/>
          <w:u w:val="single"/>
        </w:rPr>
        <w:t>8</w:t>
      </w:r>
      <w:r>
        <w:rPr>
          <w:b/>
          <w:bCs/>
          <w:u w:val="single"/>
        </w:rPr>
        <w:t>）</w:t>
      </w:r>
      <w:r>
        <w:rPr>
          <w:rFonts w:hint="eastAsia"/>
          <w:b/>
          <w:bCs/>
          <w:u w:val="single"/>
        </w:rPr>
        <w:t>无组织</w:t>
      </w:r>
      <w:r>
        <w:rPr>
          <w:b/>
          <w:bCs/>
          <w:u w:val="single"/>
        </w:rPr>
        <w:t>废气</w:t>
      </w:r>
      <w:r>
        <w:rPr>
          <w:rFonts w:hint="eastAsia"/>
          <w:b/>
          <w:bCs/>
          <w:u w:val="single"/>
        </w:rPr>
        <w:t>管控措施</w:t>
      </w:r>
    </w:p>
    <w:p w14:paraId="71BF37E8">
      <w:pPr>
        <w:ind w:firstLine="480"/>
        <w:rPr>
          <w:bCs/>
          <w:kern w:val="24"/>
          <w:szCs w:val="24"/>
          <w:u w:val="single"/>
        </w:rPr>
      </w:pPr>
      <w:r>
        <w:rPr>
          <w:rFonts w:hint="eastAsia"/>
          <w:bCs/>
          <w:kern w:val="24"/>
          <w:szCs w:val="24"/>
          <w:u w:val="single"/>
        </w:rPr>
        <w:t>本项目聚醚改性硅油生产过程粉料</w:t>
      </w:r>
      <w:r>
        <w:rPr>
          <w:rFonts w:hint="eastAsia"/>
          <w:u w:val="single"/>
        </w:rPr>
        <w:t>小苏打（碳酸氢钠）、椰壳活性炭</w:t>
      </w:r>
      <w:r>
        <w:rPr>
          <w:rFonts w:hint="eastAsia"/>
          <w:bCs/>
          <w:kern w:val="24"/>
          <w:szCs w:val="24"/>
          <w:u w:val="single"/>
        </w:rPr>
        <w:t>投料均采用真空投料机，减少无组织废气的产生。液态桶装物料泵送至反应釜时原料桶加盖密闭与泵衔接，且液态物料在生产系统中通过密闭管道转移，反应釜、离心机均为密闭设备；</w:t>
      </w:r>
      <w:r>
        <w:rPr>
          <w:rFonts w:hint="eastAsia"/>
          <w:bCs/>
          <w:u w:val="single"/>
        </w:rPr>
        <w:t>灌装过程自动灌装机灌枪伸入包装桶底部，使产品从底部进入包装桶并上升，减少飞溅；</w:t>
      </w:r>
      <w:r>
        <w:rPr>
          <w:rFonts w:hint="eastAsia"/>
          <w:bCs/>
          <w:kern w:val="24"/>
          <w:szCs w:val="24"/>
          <w:u w:val="single"/>
        </w:rPr>
        <w:t>仅在反应釜中存在加热情况。因本项目原料沸点均较高，常温常压下不易挥发产生有机废气，故</w:t>
      </w:r>
      <w:r>
        <w:rPr>
          <w:rFonts w:hint="eastAsia"/>
          <w:u w:val="single"/>
        </w:rPr>
        <w:t>过滤、离心、混合、包装工序不再识别有机废气，要求</w:t>
      </w:r>
      <w:r>
        <w:rPr>
          <w:rFonts w:hint="eastAsia"/>
          <w:bCs/>
          <w:kern w:val="24"/>
          <w:szCs w:val="24"/>
          <w:u w:val="single"/>
        </w:rPr>
        <w:t>生产过程加强设备管道密闭，严格控制生产工艺，减少无组织废气产生。</w:t>
      </w:r>
    </w:p>
    <w:p w14:paraId="1709A151">
      <w:pPr>
        <w:ind w:firstLine="480"/>
        <w:rPr>
          <w:bCs/>
          <w:kern w:val="24"/>
          <w:szCs w:val="24"/>
          <w:u w:val="single"/>
        </w:rPr>
      </w:pPr>
    </w:p>
    <w:p w14:paraId="34FE0058">
      <w:pPr>
        <w:ind w:firstLine="480"/>
        <w:rPr>
          <w:highlight w:val="yellow"/>
        </w:rPr>
        <w:sectPr>
          <w:pgSz w:w="11906" w:h="16838"/>
          <w:pgMar w:top="1440" w:right="1797" w:bottom="1440" w:left="1797" w:header="851" w:footer="992" w:gutter="0"/>
          <w:cols w:space="425" w:num="1"/>
          <w:docGrid w:linePitch="326" w:charSpace="0"/>
        </w:sectPr>
      </w:pPr>
    </w:p>
    <w:p w14:paraId="1D3EB711">
      <w:pPr>
        <w:pStyle w:val="6"/>
        <w:ind w:left="0" w:firstLine="482" w:firstLineChars="200"/>
      </w:pPr>
      <w:r>
        <w:t>废水</w:t>
      </w:r>
    </w:p>
    <w:p w14:paraId="1D3EB712">
      <w:pPr>
        <w:ind w:firstLine="480"/>
      </w:pPr>
      <w:r>
        <w:t>本项目废水主要为循环冷却水系统排水、</w:t>
      </w:r>
      <w:r>
        <w:rPr>
          <w:rFonts w:hint="eastAsia"/>
        </w:rPr>
        <w:t>职工生活污水、喷淋废水、车间地面清洗水</w:t>
      </w:r>
      <w:r>
        <w:t>。</w:t>
      </w:r>
    </w:p>
    <w:p w14:paraId="1D3EB713">
      <w:pPr>
        <w:ind w:firstLine="482"/>
        <w:outlineLvl w:val="4"/>
        <w:rPr>
          <w:b/>
          <w:bCs/>
        </w:rPr>
      </w:pPr>
      <w:r>
        <w:rPr>
          <w:b/>
          <w:bCs/>
        </w:rPr>
        <w:t>一、废水产生情况</w:t>
      </w:r>
    </w:p>
    <w:p w14:paraId="1D3EB716">
      <w:pPr>
        <w:ind w:firstLine="480"/>
        <w:outlineLvl w:val="5"/>
      </w:pPr>
      <w:r>
        <w:t>（1）循环冷却系统排水</w:t>
      </w:r>
    </w:p>
    <w:p w14:paraId="460BB618">
      <w:pPr>
        <w:ind w:firstLine="480"/>
      </w:pPr>
      <w:r>
        <w:t>循环冷却水在间接冷却过程中会有一定量的蒸发，不断的蒸发会使冷却水中钙、镁离子的浓度升高，容易导致冷却水管道内壁结垢，因此定期的补水和排水是十分必要的。</w:t>
      </w:r>
    </w:p>
    <w:p w14:paraId="0EC9E87B">
      <w:pPr>
        <w:ind w:firstLine="480"/>
      </w:pPr>
      <w:r>
        <w:t>本次工程拟建一座循环能力为</w:t>
      </w:r>
      <w:r>
        <w:rPr>
          <w:rFonts w:hint="eastAsia"/>
        </w:rPr>
        <w:t>4</w:t>
      </w:r>
      <w:r>
        <w:t>0m</w:t>
      </w:r>
      <w:r>
        <w:rPr>
          <w:vertAlign w:val="superscript"/>
        </w:rPr>
        <w:t>3</w:t>
      </w:r>
      <w:r>
        <w:t>/h的循环水池，循环冷却系统采用风冷式循环冷却水系统，能够满足本次工程循环冷却使用。</w:t>
      </w:r>
    </w:p>
    <w:p w14:paraId="4DCBFD7B">
      <w:pPr>
        <w:pStyle w:val="24"/>
        <w:spacing w:line="52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根据《工业循环冷却水处理设计规范》（G</w:t>
      </w:r>
      <w:r>
        <w:rPr>
          <w:rFonts w:ascii="Times New Roman" w:hAnsi="Times New Roman" w:cs="Times New Roman"/>
          <w:sz w:val="24"/>
          <w:szCs w:val="24"/>
        </w:rPr>
        <w:t>B/T50050</w:t>
      </w:r>
      <w:r>
        <w:rPr>
          <w:rFonts w:hint="eastAsia" w:ascii="Times New Roman" w:hAnsi="Times New Roman" w:cs="Times New Roman"/>
          <w:sz w:val="24"/>
          <w:szCs w:val="24"/>
        </w:rPr>
        <w:t>-</w:t>
      </w:r>
      <w:r>
        <w:rPr>
          <w:rFonts w:ascii="Times New Roman" w:hAnsi="Times New Roman" w:cs="Times New Roman"/>
          <w:sz w:val="24"/>
          <w:szCs w:val="24"/>
        </w:rPr>
        <w:t>2017</w:t>
      </w:r>
      <w:r>
        <w:rPr>
          <w:rFonts w:hint="eastAsia" w:ascii="Times New Roman" w:hAnsi="Times New Roman" w:cs="Times New Roman"/>
          <w:sz w:val="24"/>
          <w:szCs w:val="24"/>
        </w:rPr>
        <w:t>），开式系统的补充水量</w:t>
      </w:r>
      <w:r>
        <w:rPr>
          <w:rFonts w:ascii="Times New Roman" w:hAnsi="Times New Roman" w:cs="Times New Roman"/>
          <w:sz w:val="24"/>
          <w:szCs w:val="24"/>
        </w:rPr>
        <w:t>按下列公式计算：</w:t>
      </w:r>
    </w:p>
    <w:p w14:paraId="7818B0D4">
      <w:pPr>
        <w:pStyle w:val="24"/>
        <w:spacing w:line="520" w:lineRule="exact"/>
        <w:jc w:val="center"/>
        <w:rPr>
          <w:rFonts w:ascii="Times New Roman" w:hAnsi="Times New Roman" w:cs="Times New Roman"/>
          <w:sz w:val="24"/>
          <w:szCs w:val="24"/>
        </w:rPr>
      </w:pPr>
      <w:r>
        <w:rPr>
          <w:rFonts w:ascii="Times New Roman" w:hAnsi="Times New Roman" w:cs="Times New Roman"/>
          <w:sz w:val="24"/>
          <w:szCs w:val="24"/>
        </w:rPr>
        <w:t>Qm=Qe+Qb+Qw</w:t>
      </w:r>
    </w:p>
    <w:p w14:paraId="6644B78A">
      <w:pPr>
        <w:pStyle w:val="24"/>
        <w:spacing w:line="520" w:lineRule="exact"/>
        <w:jc w:val="center"/>
        <w:rPr>
          <w:rFonts w:ascii="Times New Roman" w:hAnsi="Times New Roman" w:cs="Times New Roman"/>
          <w:sz w:val="24"/>
          <w:szCs w:val="24"/>
        </w:rPr>
      </w:pPr>
      <w:r>
        <w:rPr>
          <w:rFonts w:ascii="Times New Roman" w:hAnsi="Times New Roman" w:cs="Times New Roman"/>
          <w:sz w:val="24"/>
          <w:szCs w:val="24"/>
        </w:rPr>
        <w:t>Qe=k·</w:t>
      </w:r>
      <w:r>
        <w:rPr>
          <w:rFonts w:hint="eastAsia" w:hAnsi="宋体" w:cs="宋体"/>
          <w:sz w:val="24"/>
          <w:szCs w:val="24"/>
        </w:rPr>
        <w:t>△</w:t>
      </w:r>
      <w:r>
        <w:rPr>
          <w:rFonts w:ascii="Times New Roman" w:hAnsi="Times New Roman" w:cs="Times New Roman"/>
          <w:sz w:val="24"/>
          <w:szCs w:val="24"/>
        </w:rPr>
        <w:t>t·Qr</w:t>
      </w:r>
    </w:p>
    <w:p w14:paraId="75421327">
      <w:pPr>
        <w:pStyle w:val="24"/>
        <w:jc w:val="center"/>
        <w:rPr>
          <w:rFonts w:ascii="Times New Roman" w:hAnsi="Times New Roman" w:cs="Times New Roman"/>
          <w:sz w:val="24"/>
          <w:szCs w:val="24"/>
        </w:rPr>
      </w:pPr>
      <w:r>
        <w:drawing>
          <wp:inline distT="0" distB="0" distL="0" distR="0">
            <wp:extent cx="1289050" cy="508000"/>
            <wp:effectExtent l="0" t="0" r="6350" b="6350"/>
            <wp:docPr id="394092715" name="图片 1"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92715" name="图片 1" descr="文本&#10;&#10;低可信度描述已自动生成"/>
                    <pic:cNvPicPr>
                      <a:picLocks noChangeAspect="1"/>
                    </pic:cNvPicPr>
                  </pic:nvPicPr>
                  <pic:blipFill>
                    <a:blip r:embed="rId65"/>
                    <a:stretch>
                      <a:fillRect/>
                    </a:stretch>
                  </pic:blipFill>
                  <pic:spPr>
                    <a:xfrm>
                      <a:off x="0" y="0"/>
                      <a:ext cx="1315050" cy="508000"/>
                    </a:xfrm>
                    <a:prstGeom prst="rect">
                      <a:avLst/>
                    </a:prstGeom>
                  </pic:spPr>
                </pic:pic>
              </a:graphicData>
            </a:graphic>
          </wp:inline>
        </w:drawing>
      </w:r>
    </w:p>
    <w:p w14:paraId="02E5C033">
      <w:pPr>
        <w:pStyle w:val="24"/>
        <w:spacing w:line="520" w:lineRule="exact"/>
        <w:jc w:val="center"/>
        <w:rPr>
          <w:rFonts w:ascii="Times New Roman" w:hAnsi="Times New Roman" w:cs="Times New Roman"/>
          <w:sz w:val="24"/>
          <w:szCs w:val="24"/>
        </w:rPr>
      </w:pPr>
      <w:r>
        <w:rPr>
          <w:rFonts w:ascii="Times New Roman" w:hAnsi="Times New Roman" w:cs="Times New Roman"/>
          <w:sz w:val="24"/>
          <w:szCs w:val="24"/>
        </w:rPr>
        <w:t>Q</w:t>
      </w:r>
      <w:r>
        <w:rPr>
          <w:rFonts w:hint="eastAsia" w:ascii="Times New Roman" w:hAnsi="Times New Roman" w:cs="Times New Roman"/>
          <w:sz w:val="24"/>
          <w:szCs w:val="24"/>
        </w:rPr>
        <w:t>w</w:t>
      </w:r>
      <w:r>
        <w:rPr>
          <w:rFonts w:ascii="Times New Roman" w:hAnsi="Times New Roman" w:cs="Times New Roman"/>
          <w:sz w:val="24"/>
          <w:szCs w:val="24"/>
        </w:rPr>
        <w:t>=Qr·</w:t>
      </w:r>
      <w:r>
        <w:rPr>
          <w:rFonts w:hint="eastAsia" w:ascii="Times New Roman" w:hAnsi="Times New Roman" w:cs="Times New Roman"/>
          <w:sz w:val="24"/>
          <w:szCs w:val="24"/>
        </w:rPr>
        <w:t>Pw%</w:t>
      </w:r>
    </w:p>
    <w:p w14:paraId="430B0FE9">
      <w:pPr>
        <w:pStyle w:val="24"/>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式中：Qm——补充水量（m³</w:t>
      </w:r>
      <w:r>
        <w:rPr>
          <w:rFonts w:ascii="Times New Roman" w:hAnsi="Times New Roman" w:cs="Times New Roman"/>
          <w:bCs/>
          <w:sz w:val="24"/>
          <w:szCs w:val="24"/>
        </w:rPr>
        <w:t>/h</w:t>
      </w:r>
      <w:r>
        <w:rPr>
          <w:rFonts w:ascii="Times New Roman" w:hAnsi="Times New Roman" w:cs="Times New Roman"/>
          <w:sz w:val="24"/>
          <w:szCs w:val="24"/>
        </w:rPr>
        <w:t>）；</w:t>
      </w:r>
    </w:p>
    <w:p w14:paraId="1A6E3E02">
      <w:pPr>
        <w:pStyle w:val="24"/>
        <w:spacing w:line="520" w:lineRule="exact"/>
        <w:ind w:firstLine="1200" w:firstLineChars="500"/>
        <w:rPr>
          <w:rFonts w:ascii="Times New Roman" w:hAnsi="Times New Roman" w:cs="Times New Roman"/>
          <w:sz w:val="24"/>
          <w:szCs w:val="24"/>
        </w:rPr>
      </w:pPr>
      <w:r>
        <w:rPr>
          <w:rFonts w:ascii="Times New Roman" w:hAnsi="Times New Roman" w:cs="Times New Roman"/>
          <w:sz w:val="24"/>
          <w:szCs w:val="24"/>
        </w:rPr>
        <w:t>Qe——蒸发水量（m³</w:t>
      </w:r>
      <w:r>
        <w:rPr>
          <w:rFonts w:ascii="Times New Roman" w:hAnsi="Times New Roman" w:cs="Times New Roman"/>
          <w:bCs/>
          <w:sz w:val="24"/>
          <w:szCs w:val="24"/>
        </w:rPr>
        <w:t>/h</w:t>
      </w:r>
      <w:r>
        <w:rPr>
          <w:rFonts w:ascii="Times New Roman" w:hAnsi="Times New Roman" w:cs="Times New Roman"/>
          <w:sz w:val="24"/>
          <w:szCs w:val="24"/>
        </w:rPr>
        <w:t>）；</w:t>
      </w:r>
    </w:p>
    <w:p w14:paraId="124D8D79">
      <w:pPr>
        <w:pStyle w:val="24"/>
        <w:spacing w:line="520" w:lineRule="exact"/>
        <w:ind w:firstLine="1200" w:firstLineChars="500"/>
        <w:rPr>
          <w:rFonts w:ascii="Times New Roman" w:hAnsi="Times New Roman" w:cs="Times New Roman"/>
          <w:sz w:val="24"/>
          <w:szCs w:val="24"/>
        </w:rPr>
      </w:pPr>
      <w:r>
        <w:rPr>
          <w:rFonts w:ascii="Times New Roman" w:hAnsi="Times New Roman" w:cs="Times New Roman"/>
          <w:sz w:val="24"/>
          <w:szCs w:val="24"/>
        </w:rPr>
        <w:t>Qb——排污水量（m³</w:t>
      </w:r>
      <w:r>
        <w:rPr>
          <w:rFonts w:ascii="Times New Roman" w:hAnsi="Times New Roman" w:cs="Times New Roman"/>
          <w:bCs/>
          <w:sz w:val="24"/>
          <w:szCs w:val="24"/>
        </w:rPr>
        <w:t>/h</w:t>
      </w:r>
      <w:r>
        <w:rPr>
          <w:rFonts w:ascii="Times New Roman" w:hAnsi="Times New Roman" w:cs="Times New Roman"/>
          <w:sz w:val="24"/>
          <w:szCs w:val="24"/>
        </w:rPr>
        <w:t>）；</w:t>
      </w:r>
    </w:p>
    <w:p w14:paraId="44391E05">
      <w:pPr>
        <w:pStyle w:val="24"/>
        <w:spacing w:line="520" w:lineRule="exact"/>
        <w:ind w:firstLine="1200" w:firstLineChars="500"/>
        <w:rPr>
          <w:rFonts w:ascii="Times New Roman" w:hAnsi="Times New Roman" w:cs="Times New Roman"/>
          <w:sz w:val="24"/>
          <w:szCs w:val="24"/>
        </w:rPr>
      </w:pPr>
      <w:r>
        <w:rPr>
          <w:rFonts w:hint="eastAsia" w:ascii="Times New Roman" w:hAnsi="Times New Roman" w:cs="Times New Roman"/>
          <w:sz w:val="24"/>
          <w:szCs w:val="24"/>
        </w:rPr>
        <w:t>Q</w:t>
      </w:r>
      <w:r>
        <w:rPr>
          <w:rFonts w:ascii="Times New Roman" w:hAnsi="Times New Roman" w:cs="Times New Roman"/>
          <w:sz w:val="24"/>
          <w:szCs w:val="24"/>
        </w:rPr>
        <w:t>w</w:t>
      </w:r>
      <w:r>
        <w:rPr>
          <w:rFonts w:hint="eastAsia" w:ascii="Times New Roman" w:hAnsi="Times New Roman" w:cs="Times New Roman"/>
          <w:sz w:val="24"/>
          <w:szCs w:val="24"/>
        </w:rPr>
        <w:t>——风吹损失水量(m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/h)；Pw机械通风取0.1%，自然通风0.05%，本次取0</w:t>
      </w:r>
      <w:r>
        <w:rPr>
          <w:rFonts w:ascii="Times New Roman" w:hAnsi="Times New Roman" w:cs="Times New Roman"/>
          <w:sz w:val="24"/>
          <w:szCs w:val="24"/>
        </w:rPr>
        <w:t>.</w:t>
      </w:r>
      <w:r>
        <w:rPr>
          <w:rFonts w:hint="eastAsia" w:ascii="Times New Roman" w:hAnsi="Times New Roman" w:cs="Times New Roman"/>
          <w:sz w:val="24"/>
          <w:szCs w:val="24"/>
        </w:rPr>
        <w:t>05</w:t>
      </w:r>
      <w:r>
        <w:rPr>
          <w:rFonts w:ascii="Times New Roman" w:hAnsi="Times New Roman" w:cs="Times New Roman"/>
          <w:sz w:val="24"/>
          <w:szCs w:val="24"/>
        </w:rPr>
        <w:t>%</w:t>
      </w:r>
      <w:r>
        <w:rPr>
          <w:rFonts w:hint="eastAsia" w:ascii="Times New Roman" w:hAnsi="Times New Roman" w:cs="Times New Roman"/>
          <w:sz w:val="24"/>
          <w:szCs w:val="24"/>
        </w:rPr>
        <w:t>。</w:t>
      </w:r>
    </w:p>
    <w:p w14:paraId="5E416F18">
      <w:pPr>
        <w:pStyle w:val="24"/>
        <w:spacing w:line="520" w:lineRule="exact"/>
        <w:ind w:firstLine="1200" w:firstLineChars="500"/>
        <w:rPr>
          <w:rFonts w:ascii="Times New Roman" w:hAnsi="Times New Roman" w:cs="Times New Roman"/>
          <w:sz w:val="24"/>
          <w:szCs w:val="24"/>
        </w:rPr>
      </w:pPr>
      <w:r>
        <w:rPr>
          <w:rFonts w:ascii="Times New Roman" w:hAnsi="Times New Roman" w:cs="Times New Roman"/>
          <w:sz w:val="24"/>
          <w:szCs w:val="24"/>
        </w:rPr>
        <w:t>Qr——循环冷却水量（m³</w:t>
      </w:r>
      <w:r>
        <w:rPr>
          <w:rFonts w:ascii="Times New Roman" w:hAnsi="Times New Roman" w:cs="Times New Roman"/>
          <w:bCs/>
          <w:sz w:val="24"/>
          <w:szCs w:val="24"/>
        </w:rPr>
        <w:t>/h</w:t>
      </w:r>
      <w:r>
        <w:rPr>
          <w:rFonts w:ascii="Times New Roman" w:hAnsi="Times New Roman" w:cs="Times New Roman"/>
          <w:sz w:val="24"/>
          <w:szCs w:val="24"/>
        </w:rPr>
        <w:t>）；</w:t>
      </w:r>
      <w:r>
        <w:rPr>
          <w:rFonts w:hint="eastAsia" w:ascii="Times New Roman" w:hAnsi="Times New Roman" w:cs="Times New Roman"/>
          <w:sz w:val="24"/>
          <w:szCs w:val="24"/>
        </w:rPr>
        <w:t>即4</w:t>
      </w:r>
      <w:r>
        <w:rPr>
          <w:rFonts w:ascii="Times New Roman" w:hAnsi="Times New Roman" w:cs="Times New Roman"/>
          <w:sz w:val="24"/>
          <w:szCs w:val="24"/>
        </w:rPr>
        <w:t>0m³</w:t>
      </w:r>
      <w:r>
        <w:rPr>
          <w:rFonts w:ascii="Times New Roman" w:hAnsi="Times New Roman" w:cs="Times New Roman"/>
          <w:bCs/>
          <w:sz w:val="24"/>
          <w:szCs w:val="24"/>
        </w:rPr>
        <w:t>/h</w:t>
      </w:r>
      <w:r>
        <w:rPr>
          <w:rFonts w:hint="eastAsia" w:ascii="Times New Roman" w:hAnsi="Times New Roman" w:cs="Times New Roman"/>
          <w:bCs/>
          <w:sz w:val="24"/>
          <w:szCs w:val="24"/>
        </w:rPr>
        <w:t>。</w:t>
      </w:r>
    </w:p>
    <w:p w14:paraId="0F4FDE4A">
      <w:pPr>
        <w:pStyle w:val="24"/>
        <w:spacing w:line="520" w:lineRule="exact"/>
        <w:ind w:firstLine="1200" w:firstLineChars="500"/>
        <w:rPr>
          <w:rFonts w:ascii="Times New Roman" w:hAnsi="Times New Roman" w:cs="Times New Roman"/>
          <w:sz w:val="24"/>
          <w:szCs w:val="24"/>
        </w:rPr>
      </w:pPr>
      <w:r>
        <w:rPr>
          <w:rFonts w:hint="eastAsia" w:hAnsi="宋体" w:cs="Times New Roman"/>
          <w:sz w:val="24"/>
          <w:szCs w:val="24"/>
        </w:rPr>
        <w:t>△</w:t>
      </w:r>
      <w:r>
        <w:rPr>
          <w:rFonts w:hint="eastAsia" w:ascii="Times New Roman" w:hAnsi="Times New Roman" w:cs="Times New Roman"/>
          <w:sz w:val="24"/>
          <w:szCs w:val="24"/>
        </w:rPr>
        <w:t>t——循环冷却水进、出</w:t>
      </w:r>
      <w:r>
        <w:rPr>
          <w:rFonts w:ascii="Times New Roman" w:hAnsi="Times New Roman" w:cs="Times New Roman"/>
          <w:sz w:val="24"/>
          <w:szCs w:val="24"/>
        </w:rPr>
        <w:t>冷却塔温差（℃）；</w:t>
      </w:r>
      <w:r>
        <w:rPr>
          <w:rFonts w:hint="eastAsia" w:ascii="Times New Roman" w:hAnsi="Times New Roman" w:cs="Times New Roman"/>
          <w:sz w:val="24"/>
          <w:szCs w:val="24"/>
        </w:rPr>
        <w:t>本项目温差为6℃；</w:t>
      </w:r>
    </w:p>
    <w:p w14:paraId="060F65F3">
      <w:pPr>
        <w:ind w:firstLine="1200" w:firstLineChars="500"/>
        <w:rPr>
          <w:szCs w:val="24"/>
        </w:rPr>
      </w:pPr>
      <w:r>
        <w:rPr>
          <w:szCs w:val="24"/>
        </w:rPr>
        <w:t>k——蒸发损失系数(1/℃)。</w:t>
      </w:r>
      <w:r>
        <w:rPr>
          <w:rFonts w:hint="eastAsia"/>
          <w:szCs w:val="24"/>
        </w:rPr>
        <w:t>经查阅《工业循环水冷却设计规范》（GB/T50102-2014）中表3.1.20系数表，气温为中间值时采用内插法计算。本次取0</w:t>
      </w:r>
      <w:r>
        <w:rPr>
          <w:szCs w:val="24"/>
        </w:rPr>
        <w:t>.0015</w:t>
      </w:r>
      <w:r>
        <w:rPr>
          <w:rFonts w:hint="eastAsia"/>
          <w:szCs w:val="24"/>
        </w:rPr>
        <w:t>。</w:t>
      </w:r>
    </w:p>
    <w:p w14:paraId="4F1BC9C7">
      <w:pPr>
        <w:pStyle w:val="24"/>
        <w:spacing w:line="520" w:lineRule="exact"/>
        <w:ind w:firstLine="1200" w:firstLineChars="500"/>
        <w:rPr>
          <w:rFonts w:ascii="Times New Roman" w:hAnsi="Times New Roman" w:cs="Times New Roman"/>
          <w:kern w:val="0"/>
          <w:sz w:val="24"/>
          <w:szCs w:val="24"/>
        </w:rPr>
      </w:pPr>
      <w:r>
        <w:rPr>
          <w:rFonts w:hint="eastAsia" w:ascii="Times New Roman" w:hAnsi="Times New Roman" w:cs="Times New Roman"/>
          <w:kern w:val="0"/>
          <w:sz w:val="24"/>
          <w:szCs w:val="24"/>
        </w:rPr>
        <w:t>N——浓缩倍数；间冷开式系统的设计浓缩倍数不宜小于5.0，且不应小于3.0；直冷开式系统的设计浓缩倍数不应小于3.0。本次取3.0。</w:t>
      </w:r>
    </w:p>
    <w:p w14:paraId="0A76449E">
      <w:pPr>
        <w:pStyle w:val="24"/>
        <w:spacing w:line="52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经计算，本项目循环水站产生的蒸发水量</w:t>
      </w:r>
      <w:r>
        <w:rPr>
          <w:rFonts w:ascii="Times New Roman" w:hAnsi="Times New Roman" w:cs="Times New Roman"/>
          <w:kern w:val="0"/>
          <w:sz w:val="24"/>
          <w:szCs w:val="24"/>
        </w:rPr>
        <w:t>Qe</w:t>
      </w:r>
      <w:r>
        <w:rPr>
          <w:rFonts w:hint="eastAsia" w:ascii="Times New Roman" w:hAnsi="Times New Roman" w:cs="Times New Roman"/>
          <w:kern w:val="0"/>
          <w:sz w:val="24"/>
          <w:szCs w:val="24"/>
        </w:rPr>
        <w:t>为0.36</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hint="eastAsia" w:ascii="Times New Roman" w:hAnsi="Times New Roman" w:cs="Times New Roman"/>
          <w:kern w:val="0"/>
          <w:sz w:val="24"/>
          <w:szCs w:val="24"/>
        </w:rPr>
        <w:t>（即5.76</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hint="eastAsia" w:ascii="Times New Roman" w:hAnsi="Times New Roman" w:cs="Times New Roman"/>
          <w:kern w:val="0"/>
          <w:sz w:val="24"/>
          <w:szCs w:val="24"/>
        </w:rPr>
        <w:t>），</w:t>
      </w:r>
      <w:r>
        <w:rPr>
          <w:rFonts w:ascii="Times New Roman" w:hAnsi="Times New Roman" w:cs="Times New Roman"/>
          <w:kern w:val="0"/>
          <w:sz w:val="24"/>
          <w:szCs w:val="24"/>
        </w:rPr>
        <w:t>排污水量Qb</w:t>
      </w:r>
      <w:r>
        <w:rPr>
          <w:rFonts w:hint="eastAsia" w:ascii="Times New Roman" w:hAnsi="Times New Roman" w:cs="Times New Roman"/>
          <w:kern w:val="0"/>
          <w:sz w:val="24"/>
          <w:szCs w:val="24"/>
        </w:rPr>
        <w:t>为0.16m</w:t>
      </w:r>
      <w:r>
        <w:rPr>
          <w:rFonts w:hint="eastAsia" w:ascii="Times New Roman" w:hAnsi="Times New Roman" w:cs="Times New Roman"/>
          <w:kern w:val="0"/>
          <w:sz w:val="24"/>
          <w:szCs w:val="24"/>
          <w:vertAlign w:val="superscript"/>
        </w:rPr>
        <w:t>3</w:t>
      </w:r>
      <w:r>
        <w:rPr>
          <w:rFonts w:hint="eastAsia" w:ascii="Times New Roman" w:hAnsi="Times New Roman" w:cs="Times New Roman"/>
          <w:kern w:val="0"/>
          <w:sz w:val="24"/>
          <w:szCs w:val="24"/>
        </w:rPr>
        <w:t>/h（即2.56</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hint="eastAsia" w:ascii="Times New Roman" w:hAnsi="Times New Roman" w:cs="Times New Roman"/>
          <w:kern w:val="0"/>
          <w:sz w:val="24"/>
          <w:szCs w:val="24"/>
        </w:rPr>
        <w:t>），风吹损失水量Q</w:t>
      </w:r>
      <w:r>
        <w:rPr>
          <w:rFonts w:ascii="Times New Roman" w:hAnsi="Times New Roman" w:cs="Times New Roman"/>
          <w:kern w:val="0"/>
          <w:sz w:val="24"/>
          <w:szCs w:val="24"/>
        </w:rPr>
        <w:t>w</w:t>
      </w:r>
      <w:r>
        <w:rPr>
          <w:rFonts w:hint="eastAsia" w:ascii="Times New Roman" w:hAnsi="Times New Roman" w:cs="Times New Roman"/>
          <w:kern w:val="0"/>
          <w:sz w:val="24"/>
          <w:szCs w:val="24"/>
        </w:rPr>
        <w:t>为0</w:t>
      </w:r>
      <w:r>
        <w:rPr>
          <w:rFonts w:ascii="Times New Roman" w:hAnsi="Times New Roman" w:cs="Times New Roman"/>
          <w:kern w:val="0"/>
          <w:sz w:val="24"/>
          <w:szCs w:val="24"/>
        </w:rPr>
        <w:t>.</w:t>
      </w:r>
      <w:r>
        <w:rPr>
          <w:rFonts w:hint="eastAsia" w:ascii="Times New Roman" w:hAnsi="Times New Roman" w:cs="Times New Roman"/>
          <w:kern w:val="0"/>
          <w:sz w:val="24"/>
          <w:szCs w:val="24"/>
        </w:rPr>
        <w:t>02</w:t>
      </w:r>
      <w:r>
        <w:rPr>
          <w:rFonts w:ascii="Times New Roman" w:hAnsi="Times New Roman" w:cs="Times New Roman"/>
          <w:kern w:val="0"/>
          <w:sz w:val="24"/>
          <w:szCs w:val="24"/>
        </w:rPr>
        <w:t>m³</w:t>
      </w:r>
      <w:r>
        <w:rPr>
          <w:rFonts w:ascii="Times New Roman" w:hAnsi="Times New Roman" w:cs="Times New Roman"/>
          <w:bCs/>
          <w:kern w:val="0"/>
          <w:sz w:val="24"/>
          <w:szCs w:val="24"/>
        </w:rPr>
        <w:t>/h</w:t>
      </w:r>
      <w:r>
        <w:rPr>
          <w:rFonts w:hint="eastAsia" w:ascii="Times New Roman" w:hAnsi="Times New Roman" w:cs="Times New Roman"/>
          <w:bCs/>
          <w:kern w:val="0"/>
          <w:sz w:val="24"/>
          <w:szCs w:val="24"/>
        </w:rPr>
        <w:t>（0.32</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hint="eastAsia" w:ascii="Times New Roman" w:hAnsi="Times New Roman" w:cs="Times New Roman"/>
          <w:bCs/>
          <w:kern w:val="0"/>
          <w:sz w:val="24"/>
          <w:szCs w:val="24"/>
        </w:rPr>
        <w:t>）</w:t>
      </w:r>
      <w:r>
        <w:rPr>
          <w:rFonts w:hint="eastAsia" w:ascii="Times New Roman" w:hAnsi="Times New Roman" w:cs="Times New Roman"/>
          <w:kern w:val="0"/>
          <w:sz w:val="24"/>
          <w:szCs w:val="24"/>
        </w:rPr>
        <w:t>。本项目新鲜补充水量为0.54</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/h</w:t>
      </w:r>
      <w:r>
        <w:rPr>
          <w:rFonts w:hint="eastAsia" w:ascii="Times New Roman" w:hAnsi="Times New Roman" w:cs="Times New Roman"/>
          <w:kern w:val="0"/>
          <w:sz w:val="24"/>
          <w:szCs w:val="24"/>
        </w:rPr>
        <w:t>（即8.64</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hint="eastAsia" w:ascii="Times New Roman" w:hAnsi="Times New Roman" w:cs="Times New Roman"/>
          <w:kern w:val="0"/>
          <w:sz w:val="24"/>
          <w:szCs w:val="24"/>
        </w:rPr>
        <w:t>）。类比新乡拓新药业股份有限公司现有循环废水水质监测数据，</w:t>
      </w:r>
      <w:r>
        <w:rPr>
          <w:rFonts w:ascii="Times New Roman" w:hAnsi="Times New Roman" w:cs="Times New Roman"/>
          <w:bCs/>
          <w:kern w:val="0"/>
          <w:sz w:val="24"/>
          <w:szCs w:val="24"/>
        </w:rPr>
        <w:t>废水</w:t>
      </w:r>
      <w:r>
        <w:rPr>
          <w:rFonts w:ascii="Times New Roman" w:hAnsi="Times New Roman" w:cs="Times New Roman"/>
          <w:kern w:val="0"/>
          <w:sz w:val="24"/>
          <w:szCs w:val="24"/>
        </w:rPr>
        <w:t>主要污染物为pH</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6-9、COD</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60mg/L、BOD</w:t>
      </w:r>
      <w:r>
        <w:rPr>
          <w:rFonts w:hint="eastAsia" w:ascii="Times New Roman" w:hAnsi="Times New Roman" w:cs="Times New Roman"/>
          <w:kern w:val="0"/>
          <w:sz w:val="24"/>
          <w:szCs w:val="24"/>
          <w:vertAlign w:val="subscript"/>
        </w:rPr>
        <w:t>5</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15mg/L、SS</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80mg/L</w:t>
      </w:r>
      <w:r>
        <w:rPr>
          <w:rFonts w:hint="eastAsia" w:ascii="Times New Roman" w:hAnsi="Times New Roman" w:cs="Times New Roman"/>
          <w:kern w:val="0"/>
          <w:sz w:val="24"/>
          <w:szCs w:val="24"/>
        </w:rPr>
        <w:t>，该部分废水经厂区总排口排放。</w:t>
      </w:r>
    </w:p>
    <w:p w14:paraId="562DCD45">
      <w:pPr>
        <w:ind w:firstLine="480"/>
        <w:outlineLvl w:val="5"/>
      </w:pPr>
      <w:r>
        <w:rPr>
          <w:rFonts w:hint="eastAsia"/>
        </w:rPr>
        <w:t>（2）生活污水</w:t>
      </w:r>
    </w:p>
    <w:p w14:paraId="19B1B25C">
      <w:pPr>
        <w:ind w:firstLine="480"/>
        <w:rPr>
          <w:bCs/>
        </w:rPr>
      </w:pPr>
      <w:r>
        <w:rPr>
          <w:u w:val="single"/>
        </w:rPr>
        <w:t>本工程职工人数为</w:t>
      </w:r>
      <w:r>
        <w:rPr>
          <w:rFonts w:hint="eastAsia"/>
          <w:u w:val="single"/>
        </w:rPr>
        <w:t>20</w:t>
      </w:r>
      <w:r>
        <w:rPr>
          <w:u w:val="single"/>
        </w:rPr>
        <w:t>人。参照《</w:t>
      </w:r>
      <w:r>
        <w:rPr>
          <w:rFonts w:hint="eastAsia"/>
          <w:u w:val="single"/>
        </w:rPr>
        <w:t>工业与城镇生活用水定额</w:t>
      </w:r>
      <w:r>
        <w:rPr>
          <w:u w:val="single"/>
        </w:rPr>
        <w:t>》（DB41/T385- 2020）以及当地实际用水情况，办公、生活用水按照每人60L/d计。则职工生活用水量为</w:t>
      </w:r>
      <w:r>
        <w:rPr>
          <w:rFonts w:hint="eastAsia"/>
          <w:u w:val="single"/>
        </w:rPr>
        <w:t>1.2</w:t>
      </w:r>
      <w:r>
        <w:rPr>
          <w:u w:val="single"/>
        </w:rPr>
        <w:t>m</w:t>
      </w:r>
      <w:r>
        <w:rPr>
          <w:u w:val="single"/>
          <w:vertAlign w:val="superscript"/>
        </w:rPr>
        <w:t>3</w:t>
      </w:r>
      <w:r>
        <w:rPr>
          <w:u w:val="single"/>
        </w:rPr>
        <w:t>/d</w:t>
      </w:r>
      <w:r>
        <w:rPr>
          <w:rFonts w:hint="eastAsia"/>
          <w:u w:val="single"/>
        </w:rPr>
        <w:t>（</w:t>
      </w:r>
      <w:r>
        <w:rPr>
          <w:rFonts w:hint="eastAsia"/>
          <w:bCs/>
          <w:u w:val="single"/>
        </w:rPr>
        <w:t>300</w:t>
      </w:r>
      <w:r>
        <w:rPr>
          <w:u w:val="single"/>
        </w:rPr>
        <w:t>m³</w:t>
      </w:r>
      <w:r>
        <w:rPr>
          <w:bCs/>
          <w:u w:val="single"/>
        </w:rPr>
        <w:t>/a</w:t>
      </w:r>
      <w:r>
        <w:rPr>
          <w:rFonts w:hint="eastAsia"/>
          <w:u w:val="single"/>
        </w:rPr>
        <w:t>）</w:t>
      </w:r>
      <w:r>
        <w:rPr>
          <w:u w:val="single"/>
        </w:rPr>
        <w:t>，排污系数0.8计，则生活污水产生量为</w:t>
      </w:r>
      <w:r>
        <w:rPr>
          <w:rFonts w:hint="eastAsia"/>
          <w:u w:val="single"/>
        </w:rPr>
        <w:t>0.96</w:t>
      </w:r>
      <w:r>
        <w:rPr>
          <w:u w:val="single"/>
        </w:rPr>
        <w:t>m</w:t>
      </w:r>
      <w:r>
        <w:rPr>
          <w:u w:val="single"/>
          <w:vertAlign w:val="superscript"/>
        </w:rPr>
        <w:t>3</w:t>
      </w:r>
      <w:r>
        <w:rPr>
          <w:u w:val="single"/>
        </w:rPr>
        <w:t>/d</w:t>
      </w:r>
      <w:r>
        <w:rPr>
          <w:rFonts w:hint="eastAsia"/>
          <w:u w:val="single"/>
        </w:rPr>
        <w:t>（</w:t>
      </w:r>
      <w:r>
        <w:rPr>
          <w:rFonts w:hint="eastAsia"/>
          <w:bCs/>
          <w:u w:val="single"/>
        </w:rPr>
        <w:t>240</w:t>
      </w:r>
      <w:r>
        <w:rPr>
          <w:u w:val="single"/>
        </w:rPr>
        <w:t>m³</w:t>
      </w:r>
      <w:r>
        <w:rPr>
          <w:bCs/>
          <w:u w:val="single"/>
        </w:rPr>
        <w:t>/a</w:t>
      </w:r>
      <w:r>
        <w:rPr>
          <w:rFonts w:hint="eastAsia"/>
          <w:u w:val="single"/>
        </w:rPr>
        <w:t>）</w:t>
      </w:r>
      <w:r>
        <w:rPr>
          <w:bCs/>
          <w:u w:val="single"/>
        </w:rPr>
        <w:t>。</w:t>
      </w:r>
      <w:r>
        <w:rPr>
          <w:rFonts w:hint="eastAsia"/>
        </w:rPr>
        <w:t>生活污水</w:t>
      </w:r>
      <w:r>
        <w:t>主要污染物为pH</w:t>
      </w:r>
      <w:r>
        <w:rPr>
          <w:rFonts w:hint="eastAsia"/>
        </w:rPr>
        <w:t xml:space="preserve"> </w:t>
      </w:r>
      <w:r>
        <w:t>6-9、COD</w:t>
      </w:r>
      <w:r>
        <w:rPr>
          <w:rFonts w:hint="eastAsia"/>
        </w:rPr>
        <w:t xml:space="preserve"> </w:t>
      </w:r>
      <w:r>
        <w:t>3</w:t>
      </w:r>
      <w:r>
        <w:rPr>
          <w:rFonts w:hint="eastAsia"/>
        </w:rPr>
        <w:t>5</w:t>
      </w:r>
      <w:r>
        <w:t>0mg/L、BOD</w:t>
      </w:r>
      <w:r>
        <w:rPr>
          <w:vertAlign w:val="subscript"/>
        </w:rPr>
        <w:t>5</w:t>
      </w:r>
      <w:r>
        <w:rPr>
          <w:rFonts w:hint="eastAsia"/>
        </w:rPr>
        <w:t xml:space="preserve"> 20</w:t>
      </w:r>
      <w:r>
        <w:t>0mg/L、SS</w:t>
      </w:r>
      <w:r>
        <w:rPr>
          <w:rFonts w:hint="eastAsia"/>
        </w:rPr>
        <w:t xml:space="preserve"> </w:t>
      </w:r>
      <w:r>
        <w:t>250mg/L、</w:t>
      </w:r>
      <w:r>
        <w:rPr>
          <w:rFonts w:hint="eastAsia"/>
          <w:bCs/>
        </w:rPr>
        <w:t>NH</w:t>
      </w:r>
      <w:r>
        <w:rPr>
          <w:rFonts w:hint="eastAsia"/>
          <w:bCs/>
          <w:vertAlign w:val="subscript"/>
        </w:rPr>
        <w:t>3</w:t>
      </w:r>
      <w:r>
        <w:rPr>
          <w:rFonts w:hint="eastAsia"/>
          <w:bCs/>
        </w:rPr>
        <w:t>-N</w:t>
      </w:r>
      <w:r>
        <w:t xml:space="preserve"> 30mg/L、</w:t>
      </w:r>
      <w:r>
        <w:rPr>
          <w:rFonts w:hint="eastAsia"/>
          <w:bCs/>
        </w:rPr>
        <w:t>TN</w:t>
      </w:r>
      <w:r>
        <w:t xml:space="preserve"> 55mg/L、</w:t>
      </w:r>
      <w:r>
        <w:rPr>
          <w:rFonts w:hint="eastAsia"/>
          <w:bCs/>
        </w:rPr>
        <w:t>TP</w:t>
      </w:r>
      <w:r>
        <w:t xml:space="preserve"> 3.5mg/L</w:t>
      </w:r>
      <w:r>
        <w:rPr>
          <w:rFonts w:hint="eastAsia"/>
        </w:rPr>
        <w:t>，经化粪池处理后水质为</w:t>
      </w:r>
      <w:r>
        <w:rPr>
          <w:rFonts w:hint="eastAsia"/>
          <w:bCs/>
        </w:rPr>
        <w:t>COD 250mg/L、BOD</w:t>
      </w:r>
      <w:r>
        <w:rPr>
          <w:rFonts w:hint="eastAsia"/>
          <w:bCs/>
          <w:vertAlign w:val="subscript"/>
        </w:rPr>
        <w:t>5</w:t>
      </w:r>
      <w:r>
        <w:rPr>
          <w:rFonts w:hint="eastAsia"/>
          <w:bCs/>
        </w:rPr>
        <w:t xml:space="preserve"> 120mg/L、SS 200mg/L、NH</w:t>
      </w:r>
      <w:r>
        <w:rPr>
          <w:rFonts w:hint="eastAsia"/>
          <w:bCs/>
          <w:vertAlign w:val="subscript"/>
        </w:rPr>
        <w:t>3</w:t>
      </w:r>
      <w:r>
        <w:rPr>
          <w:rFonts w:hint="eastAsia"/>
          <w:bCs/>
        </w:rPr>
        <w:t>-N 30mg/L、TN 55mg/L、TP 3.5mg/L。</w:t>
      </w:r>
    </w:p>
    <w:p w14:paraId="5D79114F">
      <w:pPr>
        <w:ind w:firstLine="480"/>
        <w:outlineLvl w:val="5"/>
      </w:pPr>
      <w:r>
        <w:rPr>
          <w:rFonts w:hint="eastAsia"/>
        </w:rPr>
        <w:t>（3）喷淋废水</w:t>
      </w:r>
    </w:p>
    <w:p w14:paraId="5B5A9267">
      <w:pPr>
        <w:pStyle w:val="2"/>
        <w:spacing w:after="0"/>
        <w:ind w:firstLine="480"/>
        <w:rPr>
          <w:bCs/>
          <w:u w:val="single"/>
        </w:rPr>
      </w:pPr>
      <w:r>
        <w:rPr>
          <w:u w:val="single"/>
        </w:rPr>
        <w:t>项目废气治理设施中的</w:t>
      </w:r>
      <w:r>
        <w:rPr>
          <w:rFonts w:hint="eastAsia"/>
          <w:u w:val="single"/>
        </w:rPr>
        <w:t>“</w:t>
      </w:r>
      <w:r>
        <w:rPr>
          <w:u w:val="single"/>
        </w:rPr>
        <w:t>碱喷淋</w:t>
      </w:r>
      <w:r>
        <w:rPr>
          <w:rFonts w:hint="eastAsia"/>
          <w:u w:val="single"/>
        </w:rPr>
        <w:t>+水喷淋”</w:t>
      </w:r>
      <w:r>
        <w:rPr>
          <w:u w:val="single"/>
        </w:rPr>
        <w:t>塔</w:t>
      </w:r>
      <w:r>
        <w:rPr>
          <w:rFonts w:hint="eastAsia"/>
          <w:u w:val="single"/>
        </w:rPr>
        <w:t>内</w:t>
      </w:r>
      <w:r>
        <w:rPr>
          <w:u w:val="single"/>
        </w:rPr>
        <w:t>吸收液循环利用，</w:t>
      </w:r>
      <w:r>
        <w:rPr>
          <w:rFonts w:hint="eastAsia"/>
          <w:bCs/>
          <w:u w:val="single"/>
        </w:rPr>
        <w:t>每5</w:t>
      </w:r>
      <w:r>
        <w:rPr>
          <w:bCs/>
          <w:u w:val="single"/>
        </w:rPr>
        <w:t>天更换一次，每次更换量为</w:t>
      </w:r>
      <w:r>
        <w:rPr>
          <w:rFonts w:hint="eastAsia"/>
          <w:bCs/>
          <w:u w:val="single"/>
        </w:rPr>
        <w:t>3.6</w:t>
      </w:r>
      <w:r>
        <w:rPr>
          <w:u w:val="single"/>
        </w:rPr>
        <w:t>m</w:t>
      </w:r>
      <w:r>
        <w:rPr>
          <w:u w:val="single"/>
          <w:vertAlign w:val="superscript"/>
        </w:rPr>
        <w:t>3</w:t>
      </w:r>
      <w:r>
        <w:rPr>
          <w:bCs/>
          <w:u w:val="single"/>
        </w:rPr>
        <w:t>，按</w:t>
      </w:r>
      <w:r>
        <w:rPr>
          <w:rFonts w:hint="eastAsia"/>
          <w:bCs/>
          <w:u w:val="single"/>
        </w:rPr>
        <w:t>25</w:t>
      </w:r>
      <w:r>
        <w:rPr>
          <w:bCs/>
          <w:u w:val="single"/>
        </w:rPr>
        <w:t>0天</w:t>
      </w:r>
      <w:r>
        <w:rPr>
          <w:rFonts w:hint="eastAsia"/>
          <w:bCs/>
          <w:u w:val="single"/>
        </w:rPr>
        <w:t>计</w:t>
      </w:r>
      <w:r>
        <w:rPr>
          <w:bCs/>
          <w:u w:val="single"/>
        </w:rPr>
        <w:t>，</w:t>
      </w:r>
      <w:r>
        <w:rPr>
          <w:rFonts w:hint="eastAsia"/>
          <w:bCs/>
          <w:u w:val="single"/>
        </w:rPr>
        <w:t>则喷淋废水产生量为0.72</w:t>
      </w:r>
      <w:r>
        <w:rPr>
          <w:u w:val="single"/>
        </w:rPr>
        <w:t>m</w:t>
      </w:r>
      <w:r>
        <w:rPr>
          <w:u w:val="single"/>
          <w:vertAlign w:val="superscript"/>
        </w:rPr>
        <w:t>3</w:t>
      </w:r>
      <w:r>
        <w:rPr>
          <w:bCs/>
          <w:u w:val="single"/>
        </w:rPr>
        <w:t>/</w:t>
      </w:r>
      <w:r>
        <w:rPr>
          <w:rFonts w:hint="eastAsia"/>
          <w:bCs/>
          <w:u w:val="single"/>
        </w:rPr>
        <w:t>d、180</w:t>
      </w:r>
      <w:r>
        <w:rPr>
          <w:u w:val="single"/>
        </w:rPr>
        <w:t>m</w:t>
      </w:r>
      <w:r>
        <w:rPr>
          <w:u w:val="single"/>
          <w:vertAlign w:val="superscript"/>
        </w:rPr>
        <w:t>3</w:t>
      </w:r>
      <w:r>
        <w:rPr>
          <w:bCs/>
          <w:u w:val="single"/>
        </w:rPr>
        <w:t>/a。</w:t>
      </w:r>
      <w:r>
        <w:rPr>
          <w:rFonts w:hint="eastAsia"/>
          <w:bCs/>
          <w:u w:val="single"/>
        </w:rPr>
        <w:t>因碱喷淋采用氢氧化钠，故喷淋废水中含有硫酸钠。因原料中不涉及氮元素和磷元素，故不再考虑氨氮、总氮、总磷。喷淋废水中的主要污染物为COD、</w:t>
      </w:r>
      <w:r>
        <w:rPr>
          <w:u w:val="single"/>
        </w:rPr>
        <w:t>BOD</w:t>
      </w:r>
      <w:r>
        <w:rPr>
          <w:u w:val="single"/>
          <w:vertAlign w:val="subscript"/>
        </w:rPr>
        <w:t>5</w:t>
      </w:r>
      <w:r>
        <w:rPr>
          <w:rFonts w:hint="eastAsia"/>
          <w:u w:val="single"/>
        </w:rPr>
        <w:t>、</w:t>
      </w:r>
      <w:r>
        <w:rPr>
          <w:rFonts w:hint="eastAsia"/>
          <w:bCs/>
          <w:u w:val="single"/>
        </w:rPr>
        <w:t>硫酸钠、石油类、SS。</w:t>
      </w:r>
    </w:p>
    <w:p w14:paraId="0DDEA263">
      <w:pPr>
        <w:pStyle w:val="2"/>
        <w:spacing w:after="0"/>
        <w:ind w:firstLine="480"/>
        <w:rPr>
          <w:u w:val="single"/>
        </w:rPr>
      </w:pPr>
      <w:r>
        <mc:AlternateContent>
          <mc:Choice Requires="wps">
            <w:drawing>
              <wp:anchor distT="0" distB="0" distL="114300" distR="114300" simplePos="0" relativeHeight="251670528" behindDoc="0" locked="0" layoutInCell="1" allowOverlap="1">
                <wp:simplePos x="0" y="0"/>
                <wp:positionH relativeFrom="column">
                  <wp:posOffset>2966085</wp:posOffset>
                </wp:positionH>
                <wp:positionV relativeFrom="paragraph">
                  <wp:posOffset>549275</wp:posOffset>
                </wp:positionV>
                <wp:extent cx="325755" cy="0"/>
                <wp:effectExtent l="0" t="76200" r="17780" b="95250"/>
                <wp:wrapNone/>
                <wp:docPr id="2130390157" name="直接箭头连接符 16"/>
                <wp:cNvGraphicFramePr/>
                <a:graphic xmlns:a="http://schemas.openxmlformats.org/drawingml/2006/main">
                  <a:graphicData uri="http://schemas.microsoft.com/office/word/2010/wordprocessingShape">
                    <wps:wsp>
                      <wps:cNvCnPr/>
                      <wps:spPr>
                        <a:xfrm>
                          <a:off x="0" y="0"/>
                          <a:ext cx="32558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6" o:spid="_x0000_s1026" o:spt="32" type="#_x0000_t32" style="position:absolute;left:0pt;margin-left:233.55pt;margin-top:43.25pt;height:0pt;width:25.65pt;z-index:251670528;mso-width-relative:page;mso-height-relative:page;" filled="f" stroked="t" coordsize="21600,21600" o:gfxdata="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fxbO1gAAAAkBAAAPAAAAAAAAAAEAIAAAACIAAABkcnMvZG93&#10;bnJldi54bWxQSwECFAAUAAAACACHTuJACdV16AICAADUAwAADgAAAAAAAAABACAAAAAlAQAAZHJz&#10;L2Uyb0RvYy54bWxQSwUGAAAAAAYABgBZAQAAmQUAAAAA&#10;">
                <v:fill on="f" focussize="0,0"/>
                <v:stroke weight="1pt" color="#000000 [3213]" joinstyle="round" endarrow="block"/>
                <v:imagedata o:title=""/>
                <o:lock v:ext="edit" aspectratio="f"/>
              </v:shape>
            </w:pict>
          </mc:Fallback>
        </mc:AlternateContent>
      </w:r>
      <w:r>
        <w:rPr>
          <w:rFonts w:hint="eastAsia"/>
          <w:bCs/>
          <w:u w:val="single"/>
        </w:rPr>
        <w:t>根据废气工程分析中表3.2-1，碱喷淋吸收硫酸雾的量为0.1755t/a。根据硫酸和氢氧化钠的反应方程式：H</w:t>
      </w:r>
      <w:r>
        <w:rPr>
          <w:rFonts w:hint="eastAsia"/>
          <w:bCs/>
          <w:u w:val="single"/>
          <w:vertAlign w:val="subscript"/>
        </w:rPr>
        <w:t>2</w:t>
      </w:r>
      <w:r>
        <w:rPr>
          <w:rFonts w:hint="eastAsia"/>
          <w:bCs/>
          <w:u w:val="single"/>
        </w:rPr>
        <w:t>SO</w:t>
      </w:r>
      <w:r>
        <w:rPr>
          <w:rFonts w:hint="eastAsia"/>
          <w:bCs/>
          <w:u w:val="single"/>
          <w:vertAlign w:val="subscript"/>
        </w:rPr>
        <w:t>4</w:t>
      </w:r>
      <w:r>
        <w:rPr>
          <w:rFonts w:hint="eastAsia"/>
          <w:bCs/>
          <w:u w:val="single"/>
        </w:rPr>
        <w:t>+2NaOH     Na</w:t>
      </w:r>
      <w:r>
        <w:rPr>
          <w:rFonts w:hint="eastAsia"/>
          <w:bCs/>
          <w:u w:val="single"/>
          <w:vertAlign w:val="subscript"/>
        </w:rPr>
        <w:t>2</w:t>
      </w:r>
      <w:r>
        <w:rPr>
          <w:rFonts w:hint="eastAsia"/>
          <w:bCs/>
          <w:u w:val="single"/>
        </w:rPr>
        <w:t>SO</w:t>
      </w:r>
      <w:r>
        <w:rPr>
          <w:rFonts w:hint="eastAsia"/>
          <w:bCs/>
          <w:u w:val="single"/>
          <w:vertAlign w:val="subscript"/>
        </w:rPr>
        <w:t>4</w:t>
      </w:r>
      <w:r>
        <w:rPr>
          <w:rFonts w:hint="eastAsia"/>
          <w:bCs/>
          <w:u w:val="single"/>
        </w:rPr>
        <w:t>+2H</w:t>
      </w:r>
      <w:r>
        <w:rPr>
          <w:rFonts w:hint="eastAsia"/>
          <w:bCs/>
          <w:u w:val="single"/>
          <w:vertAlign w:val="subscript"/>
        </w:rPr>
        <w:t>2</w:t>
      </w:r>
      <w:r>
        <w:rPr>
          <w:rFonts w:hint="eastAsia"/>
          <w:bCs/>
          <w:u w:val="single"/>
        </w:rPr>
        <w:t>O，硫酸钠产生量为0.2543t/a，故更换喷淋水时碱喷淋废水中的硫酸钠含量为1413mg/L（在20℃条件下，硫酸钠水中的溶解度为195000mg/L）。根据物料平衡图3.2-5，废气中高含氢硅油（KF-99）和低含氢硅油总产生量为0.66kg/批次（0.165t/a），</w:t>
      </w:r>
      <w:r>
        <w:rPr>
          <w:rFonts w:hint="eastAsia"/>
          <w:u w:val="single"/>
        </w:rPr>
        <w:t>设备自带冷凝对其的去除效率以90%计，“碱喷淋和水喷淋”对其的去除效率以50%计，则喷淋废水中的硅油含量为0.0083t/a，以石油计，为46.1mg/L。</w:t>
      </w:r>
    </w:p>
    <w:p w14:paraId="04DD3439">
      <w:pPr>
        <w:ind w:firstLine="480"/>
        <w:rPr>
          <w:bCs/>
          <w:u w:val="single"/>
        </w:rPr>
      </w:pPr>
      <w:r>
        <w:rPr>
          <w:rFonts w:hint="eastAsia"/>
          <w:u w:val="single"/>
        </w:rPr>
        <w:t>因杭州崇耀科技发展有限公司、宣城硅鑫新材料有限公司、浙江新安化工集团杭州崇耀科技发展有限公司、山东依田新材料有限公司、肇庆市佳和化工有限公司均生产硅油系列产品，本项目生产硅油系列产品，故本项目参照上述公司生产硅油产生的喷淋废水污染物源强。经查阅《杭州崇耀科技发展有限公司年产24000吨高性能特种改性硅油及硅油二次加工品项目环境影响报告书》、《宣城硅鑫新材料有限公司年产1.17万吨特种硅油系列产品项目环境影响报告书》、《浙江新安化工集团杭州崇耀科技发展有限公司年产24000吨高性能特种改性硅油及硅油一次加工品项目》、《山东依田新材料有限公司5.6万吨/年聚醚改性硅油及水性漆新材料项目》、《肇庆市佳和化工有限公司年产5000吨改性硅油、12000吨硅油乳液建设项目环境影响报告书》，喷淋塔废水主要污染物为pH 9~10、</w:t>
      </w:r>
      <w:r>
        <w:rPr>
          <w:u w:val="single"/>
        </w:rPr>
        <w:t>COD</w:t>
      </w:r>
      <w:r>
        <w:rPr>
          <w:rFonts w:hint="eastAsia"/>
          <w:u w:val="single"/>
        </w:rPr>
        <w:t xml:space="preserve"> 1000~265</w:t>
      </w:r>
      <w:r>
        <w:rPr>
          <w:u w:val="single"/>
        </w:rPr>
        <w:t>00mg/L、BOD</w:t>
      </w:r>
      <w:r>
        <w:rPr>
          <w:u w:val="single"/>
          <w:vertAlign w:val="subscript"/>
        </w:rPr>
        <w:t>5</w:t>
      </w:r>
      <w:r>
        <w:rPr>
          <w:rFonts w:hint="eastAsia"/>
          <w:u w:val="single"/>
        </w:rPr>
        <w:t xml:space="preserve"> 300</w:t>
      </w:r>
      <w:r>
        <w:rPr>
          <w:u w:val="single"/>
        </w:rPr>
        <w:t>mg/L、SS</w:t>
      </w:r>
      <w:r>
        <w:rPr>
          <w:rFonts w:hint="eastAsia"/>
          <w:u w:val="single"/>
        </w:rPr>
        <w:t xml:space="preserve"> 30</w:t>
      </w:r>
      <w:r>
        <w:rPr>
          <w:u w:val="single"/>
        </w:rPr>
        <w:t>0mg/L</w:t>
      </w:r>
      <w:r>
        <w:rPr>
          <w:rFonts w:hint="eastAsia"/>
          <w:u w:val="single"/>
        </w:rPr>
        <w:t>。考虑环评最不利原则，</w:t>
      </w:r>
      <w:r>
        <w:rPr>
          <w:bCs/>
          <w:u w:val="single"/>
        </w:rPr>
        <w:t>喷淋塔废水</w:t>
      </w:r>
      <w:r>
        <w:rPr>
          <w:u w:val="single"/>
        </w:rPr>
        <w:t>主要污染物为</w:t>
      </w:r>
      <w:r>
        <w:rPr>
          <w:rFonts w:hint="eastAsia"/>
          <w:u w:val="single"/>
        </w:rPr>
        <w:t>pH 9~10、</w:t>
      </w:r>
      <w:r>
        <w:rPr>
          <w:u w:val="single"/>
        </w:rPr>
        <w:t>COD</w:t>
      </w:r>
      <w:r>
        <w:rPr>
          <w:rFonts w:hint="eastAsia"/>
          <w:u w:val="single"/>
        </w:rPr>
        <w:t xml:space="preserve"> 265</w:t>
      </w:r>
      <w:r>
        <w:rPr>
          <w:u w:val="single"/>
        </w:rPr>
        <w:t>00mg/L、BOD</w:t>
      </w:r>
      <w:r>
        <w:rPr>
          <w:u w:val="single"/>
          <w:vertAlign w:val="subscript"/>
        </w:rPr>
        <w:t>5</w:t>
      </w:r>
      <w:r>
        <w:rPr>
          <w:rFonts w:hint="eastAsia"/>
          <w:u w:val="single"/>
        </w:rPr>
        <w:t xml:space="preserve"> 300</w:t>
      </w:r>
      <w:r>
        <w:rPr>
          <w:u w:val="single"/>
        </w:rPr>
        <w:t>mg/L、SS</w:t>
      </w:r>
      <w:r>
        <w:rPr>
          <w:rFonts w:hint="eastAsia"/>
          <w:u w:val="single"/>
        </w:rPr>
        <w:t xml:space="preserve"> 30</w:t>
      </w:r>
      <w:r>
        <w:rPr>
          <w:u w:val="single"/>
        </w:rPr>
        <w:t>0mg/L、</w:t>
      </w:r>
      <w:r>
        <w:rPr>
          <w:rFonts w:hint="eastAsia"/>
          <w:u w:val="single"/>
        </w:rPr>
        <w:t>石油类46.1</w:t>
      </w:r>
      <w:r>
        <w:rPr>
          <w:u w:val="single"/>
        </w:rPr>
        <w:t>mg/L</w:t>
      </w:r>
      <w:r>
        <w:rPr>
          <w:rFonts w:hint="eastAsia"/>
          <w:u w:val="single"/>
        </w:rPr>
        <w:t>、</w:t>
      </w:r>
      <w:r>
        <w:rPr>
          <w:rFonts w:hint="eastAsia"/>
          <w:bCs/>
          <w:u w:val="single"/>
        </w:rPr>
        <w:t>硫酸钠1413mg/L。</w:t>
      </w:r>
      <w:r>
        <w:rPr>
          <w:rFonts w:hint="eastAsia"/>
          <w:u w:val="single"/>
        </w:rPr>
        <w:t>该部分废水</w:t>
      </w:r>
      <w:r>
        <w:rPr>
          <w:u w:val="single"/>
        </w:rPr>
        <w:t>通过管道进入厂区污水处理站进行处置。</w:t>
      </w:r>
    </w:p>
    <w:p w14:paraId="08C317B6">
      <w:pPr>
        <w:ind w:firstLine="480"/>
        <w:outlineLvl w:val="5"/>
      </w:pPr>
      <w:r>
        <w:rPr>
          <w:rFonts w:hint="eastAsia"/>
        </w:rPr>
        <w:t>（4）车间地面拖洗废水</w:t>
      </w:r>
    </w:p>
    <w:p w14:paraId="78F416D0">
      <w:pPr>
        <w:pStyle w:val="2"/>
        <w:spacing w:after="0"/>
        <w:ind w:firstLine="480"/>
        <w:rPr>
          <w:bCs/>
          <w:u w:val="single"/>
        </w:rPr>
      </w:pPr>
      <w:r>
        <w:rPr>
          <w:u w:val="single"/>
        </w:rPr>
        <w:t>项目需对车间地面进行</w:t>
      </w:r>
      <w:r>
        <w:rPr>
          <w:rFonts w:hint="eastAsia"/>
          <w:u w:val="single"/>
        </w:rPr>
        <w:t>拖洗</w:t>
      </w:r>
      <w:r>
        <w:rPr>
          <w:u w:val="single"/>
        </w:rPr>
        <w:t>，</w:t>
      </w:r>
      <w:r>
        <w:rPr>
          <w:rFonts w:hint="eastAsia"/>
          <w:u w:val="single"/>
        </w:rPr>
        <w:t>拖洗</w:t>
      </w:r>
      <w:r>
        <w:rPr>
          <w:u w:val="single"/>
        </w:rPr>
        <w:t>周期为每</w:t>
      </w:r>
      <w:r>
        <w:rPr>
          <w:rFonts w:hint="eastAsia"/>
          <w:u w:val="single"/>
        </w:rPr>
        <w:t>1</w:t>
      </w:r>
      <w:r>
        <w:rPr>
          <w:u w:val="single"/>
        </w:rPr>
        <w:t>天</w:t>
      </w:r>
      <w:r>
        <w:rPr>
          <w:rFonts w:hint="eastAsia"/>
          <w:u w:val="single"/>
        </w:rPr>
        <w:t>/</w:t>
      </w:r>
      <w:r>
        <w:rPr>
          <w:u w:val="single"/>
        </w:rPr>
        <w:t>次。本项目</w:t>
      </w:r>
      <w:r>
        <w:rPr>
          <w:rFonts w:hint="eastAsia"/>
          <w:u w:val="single"/>
        </w:rPr>
        <w:t>车间占地</w:t>
      </w:r>
      <w:r>
        <w:rPr>
          <w:u w:val="single"/>
        </w:rPr>
        <w:t>面积为</w:t>
      </w:r>
      <w:r>
        <w:rPr>
          <w:rFonts w:hint="eastAsia"/>
          <w:u w:val="single"/>
        </w:rPr>
        <w:t>2832</w:t>
      </w:r>
      <w:r>
        <w:rPr>
          <w:u w:val="single"/>
        </w:rPr>
        <w:t>m</w:t>
      </w:r>
      <w:r>
        <w:rPr>
          <w:u w:val="single"/>
          <w:vertAlign w:val="superscript"/>
        </w:rPr>
        <w:t>2</w:t>
      </w:r>
      <w:r>
        <w:rPr>
          <w:rFonts w:hint="eastAsia"/>
          <w:u w:val="single"/>
        </w:rPr>
        <w:t>，</w:t>
      </w:r>
      <w:r>
        <w:rPr>
          <w:u w:val="single"/>
        </w:rPr>
        <w:t>按照清洗水用水系数</w:t>
      </w:r>
      <w:r>
        <w:rPr>
          <w:rFonts w:hint="eastAsia"/>
          <w:u w:val="single"/>
        </w:rPr>
        <w:t>2</w:t>
      </w:r>
      <w:r>
        <w:rPr>
          <w:u w:val="single"/>
        </w:rPr>
        <w:t>L/m</w:t>
      </w:r>
      <w:r>
        <w:rPr>
          <w:u w:val="single"/>
          <w:vertAlign w:val="superscript"/>
        </w:rPr>
        <w:t>2</w:t>
      </w:r>
      <w:r>
        <w:rPr>
          <w:u w:val="single"/>
        </w:rPr>
        <w:t>进行核算，则车间</w:t>
      </w:r>
      <w:r>
        <w:rPr>
          <w:rFonts w:hint="eastAsia"/>
          <w:u w:val="single"/>
        </w:rPr>
        <w:t>地面拖洗</w:t>
      </w:r>
      <w:r>
        <w:rPr>
          <w:u w:val="single"/>
        </w:rPr>
        <w:t>用水量</w:t>
      </w:r>
      <w:r>
        <w:rPr>
          <w:rFonts w:hint="eastAsia"/>
          <w:u w:val="single"/>
        </w:rPr>
        <w:t>约</w:t>
      </w:r>
      <w:r>
        <w:rPr>
          <w:u w:val="single"/>
        </w:rPr>
        <w:t>为</w:t>
      </w:r>
      <w:r>
        <w:rPr>
          <w:rFonts w:hint="eastAsia"/>
          <w:u w:val="single"/>
        </w:rPr>
        <w:t>5.66</w:t>
      </w:r>
      <w:r>
        <w:rPr>
          <w:u w:val="single"/>
        </w:rPr>
        <w:t>m</w:t>
      </w:r>
      <w:r>
        <w:rPr>
          <w:u w:val="single"/>
          <w:vertAlign w:val="superscript"/>
        </w:rPr>
        <w:t>3</w:t>
      </w:r>
      <w:r>
        <w:rPr>
          <w:u w:val="single"/>
        </w:rPr>
        <w:t>/d，</w:t>
      </w:r>
      <w:r>
        <w:rPr>
          <w:rFonts w:hint="eastAsia"/>
          <w:u w:val="single"/>
        </w:rPr>
        <w:t>1415</w:t>
      </w:r>
      <w:r>
        <w:rPr>
          <w:u w:val="single"/>
        </w:rPr>
        <w:t>m</w:t>
      </w:r>
      <w:r>
        <w:rPr>
          <w:u w:val="single"/>
          <w:vertAlign w:val="superscript"/>
        </w:rPr>
        <w:t>3</w:t>
      </w:r>
      <w:r>
        <w:rPr>
          <w:u w:val="single"/>
        </w:rPr>
        <w:t>/a</w:t>
      </w:r>
      <w:r>
        <w:rPr>
          <w:rFonts w:hint="eastAsia"/>
          <w:u w:val="single"/>
        </w:rPr>
        <w:t>（按年工作250天计）；</w:t>
      </w:r>
      <w:r>
        <w:rPr>
          <w:u w:val="single"/>
        </w:rPr>
        <w:t>排放系数以0.8计，车间</w:t>
      </w:r>
      <w:r>
        <w:rPr>
          <w:rFonts w:hint="eastAsia"/>
          <w:u w:val="single"/>
        </w:rPr>
        <w:t>地面拖洗排</w:t>
      </w:r>
      <w:r>
        <w:rPr>
          <w:u w:val="single"/>
        </w:rPr>
        <w:t>水量为</w:t>
      </w:r>
      <w:r>
        <w:rPr>
          <w:rFonts w:hint="eastAsia"/>
          <w:u w:val="single"/>
        </w:rPr>
        <w:t>4.53</w:t>
      </w:r>
      <w:r>
        <w:rPr>
          <w:u w:val="single"/>
        </w:rPr>
        <w:t>m</w:t>
      </w:r>
      <w:r>
        <w:rPr>
          <w:u w:val="single"/>
          <w:vertAlign w:val="superscript"/>
        </w:rPr>
        <w:t>3</w:t>
      </w:r>
      <w:r>
        <w:rPr>
          <w:u w:val="single"/>
        </w:rPr>
        <w:t>/d，</w:t>
      </w:r>
      <w:r>
        <w:rPr>
          <w:rFonts w:hint="eastAsia"/>
          <w:u w:val="single"/>
        </w:rPr>
        <w:t>1132.5</w:t>
      </w:r>
      <w:r>
        <w:rPr>
          <w:u w:val="single"/>
        </w:rPr>
        <w:t>m</w:t>
      </w:r>
      <w:r>
        <w:rPr>
          <w:u w:val="single"/>
          <w:vertAlign w:val="superscript"/>
        </w:rPr>
        <w:t>3</w:t>
      </w:r>
      <w:r>
        <w:rPr>
          <w:u w:val="single"/>
        </w:rPr>
        <w:t>/a</w:t>
      </w:r>
      <w:r>
        <w:rPr>
          <w:rFonts w:hint="eastAsia"/>
          <w:u w:val="single"/>
        </w:rPr>
        <w:t>。</w:t>
      </w:r>
      <w:r>
        <w:rPr>
          <w:rFonts w:hint="eastAsia"/>
          <w:bCs/>
          <w:u w:val="single"/>
        </w:rPr>
        <w:t>因原料中不涉及氮元素和磷元素，故车间地面进行拖洗废水中不再考虑氨氮、总氮、总磷。车间地面拖洗废水中的主要污染物为COD、</w:t>
      </w:r>
      <w:r>
        <w:rPr>
          <w:u w:val="single"/>
        </w:rPr>
        <w:t>BOD</w:t>
      </w:r>
      <w:r>
        <w:rPr>
          <w:u w:val="single"/>
          <w:vertAlign w:val="subscript"/>
        </w:rPr>
        <w:t>5</w:t>
      </w:r>
      <w:r>
        <w:rPr>
          <w:rFonts w:hint="eastAsia"/>
          <w:u w:val="single"/>
        </w:rPr>
        <w:t>、</w:t>
      </w:r>
      <w:r>
        <w:rPr>
          <w:rFonts w:hint="eastAsia"/>
          <w:bCs/>
          <w:u w:val="single"/>
        </w:rPr>
        <w:t>石油类、SS。</w:t>
      </w:r>
    </w:p>
    <w:p w14:paraId="7DD91DE2">
      <w:pPr>
        <w:pStyle w:val="2"/>
        <w:spacing w:after="0"/>
        <w:ind w:firstLine="480"/>
        <w:rPr>
          <w:highlight w:val="yellow"/>
          <w:u w:val="single"/>
        </w:rPr>
      </w:pPr>
      <w:r>
        <w:rPr>
          <w:rFonts w:hint="eastAsia"/>
          <w:u w:val="single"/>
        </w:rPr>
        <w:t>因杭州崇耀科技发展有限公司、宣城硅鑫新材料有限公司、浙江新安化工集团杭州崇耀科技发展有限公司、山东依田新材料有限公司、肇庆市佳和化工有限公司均生产硅油系列产品本项目生产硅油系列产品，故本项目参照上述公司生产硅油产生的喷淋废水污染物源强。经查阅《杭州崇耀科技发展有限公司年产24000吨高性能特种改性硅油及硅油二次加工品项目环境影响报告书》、《宣城硅鑫新材料有限公司年产1.17万吨特种硅油系列产品项目环境影响报告书》、《浙江新安化工集团杭州崇耀科技发展有限公司年产24000吨高性能特种改性硅油及硅油一次加工品项目》、《山东依田新材料有限公司5.6万吨/年聚醚改性硅油及水性漆新材料项目》、《肇庆市佳和化工有限公司年产5000吨改性硅油、12000吨硅油乳液建设项目环境影响报告书》，车间清洗废水</w:t>
      </w:r>
      <w:r>
        <w:rPr>
          <w:u w:val="single"/>
        </w:rPr>
        <w:t>主要污染物为pH</w:t>
      </w:r>
      <w:r>
        <w:rPr>
          <w:rFonts w:hint="eastAsia"/>
          <w:u w:val="single"/>
        </w:rPr>
        <w:t xml:space="preserve"> </w:t>
      </w:r>
      <w:r>
        <w:rPr>
          <w:u w:val="single"/>
        </w:rPr>
        <w:t>6</w:t>
      </w:r>
      <w:r>
        <w:rPr>
          <w:rFonts w:hint="eastAsia"/>
          <w:u w:val="single"/>
        </w:rPr>
        <w:t>~</w:t>
      </w:r>
      <w:r>
        <w:rPr>
          <w:u w:val="single"/>
        </w:rPr>
        <w:t>9、</w:t>
      </w:r>
      <w:r>
        <w:rPr>
          <w:rFonts w:hint="eastAsia"/>
          <w:u w:val="single"/>
        </w:rPr>
        <w:t>色度500倍、</w:t>
      </w:r>
      <w:r>
        <w:rPr>
          <w:u w:val="single"/>
        </w:rPr>
        <w:t>COD</w:t>
      </w:r>
      <w:r>
        <w:rPr>
          <w:rFonts w:hint="eastAsia"/>
          <w:u w:val="single"/>
        </w:rPr>
        <w:t xml:space="preserve"> 25</w:t>
      </w:r>
      <w:r>
        <w:rPr>
          <w:u w:val="single"/>
        </w:rPr>
        <w:t>0</w:t>
      </w:r>
      <w:r>
        <w:rPr>
          <w:rFonts w:hint="eastAsia"/>
          <w:u w:val="single"/>
        </w:rPr>
        <w:t>~500</w:t>
      </w:r>
      <w:r>
        <w:rPr>
          <w:u w:val="single"/>
        </w:rPr>
        <w:t>mg/L、BOD</w:t>
      </w:r>
      <w:r>
        <w:rPr>
          <w:u w:val="single"/>
          <w:vertAlign w:val="subscript"/>
        </w:rPr>
        <w:t>5</w:t>
      </w:r>
      <w:r>
        <w:rPr>
          <w:rFonts w:hint="eastAsia"/>
          <w:u w:val="single"/>
        </w:rPr>
        <w:t xml:space="preserve"> 80~250</w:t>
      </w:r>
      <w:r>
        <w:rPr>
          <w:u w:val="single"/>
        </w:rPr>
        <w:t>mg/L、SS</w:t>
      </w:r>
      <w:r>
        <w:rPr>
          <w:rFonts w:hint="eastAsia"/>
          <w:u w:val="single"/>
        </w:rPr>
        <w:t xml:space="preserve"> 100~5</w:t>
      </w:r>
      <w:r>
        <w:rPr>
          <w:u w:val="single"/>
        </w:rPr>
        <w:t>00mg/L</w:t>
      </w:r>
      <w:r>
        <w:rPr>
          <w:rFonts w:hint="eastAsia"/>
          <w:u w:val="single"/>
        </w:rPr>
        <w:t>、石油类5</w:t>
      </w:r>
      <w:r>
        <w:rPr>
          <w:u w:val="single"/>
        </w:rPr>
        <w:t>0mg/L</w:t>
      </w:r>
      <w:r>
        <w:rPr>
          <w:rFonts w:hint="eastAsia"/>
          <w:u w:val="single"/>
        </w:rPr>
        <w:t>。考虑环评最不利原则，车间清洗废水</w:t>
      </w:r>
      <w:r>
        <w:rPr>
          <w:u w:val="single"/>
        </w:rPr>
        <w:t>主要污染物为pH</w:t>
      </w:r>
      <w:r>
        <w:rPr>
          <w:rFonts w:hint="eastAsia"/>
          <w:u w:val="single"/>
        </w:rPr>
        <w:t xml:space="preserve"> </w:t>
      </w:r>
      <w:r>
        <w:rPr>
          <w:u w:val="single"/>
        </w:rPr>
        <w:t>6-9、</w:t>
      </w:r>
      <w:r>
        <w:rPr>
          <w:rFonts w:hint="eastAsia"/>
          <w:u w:val="single"/>
        </w:rPr>
        <w:t>色度500倍、</w:t>
      </w:r>
      <w:r>
        <w:rPr>
          <w:u w:val="single"/>
        </w:rPr>
        <w:t>COD</w:t>
      </w:r>
      <w:r>
        <w:rPr>
          <w:rFonts w:hint="eastAsia"/>
          <w:u w:val="single"/>
        </w:rPr>
        <w:t xml:space="preserve"> 50</w:t>
      </w:r>
      <w:r>
        <w:rPr>
          <w:u w:val="single"/>
        </w:rPr>
        <w:t>0mg/L、BOD</w:t>
      </w:r>
      <w:r>
        <w:rPr>
          <w:u w:val="single"/>
          <w:vertAlign w:val="subscript"/>
        </w:rPr>
        <w:t>5</w:t>
      </w:r>
      <w:r>
        <w:rPr>
          <w:rFonts w:hint="eastAsia"/>
          <w:u w:val="single"/>
        </w:rPr>
        <w:t xml:space="preserve"> 250</w:t>
      </w:r>
      <w:r>
        <w:rPr>
          <w:u w:val="single"/>
        </w:rPr>
        <w:t>mg/L、SS</w:t>
      </w:r>
      <w:r>
        <w:rPr>
          <w:rFonts w:hint="eastAsia"/>
          <w:u w:val="single"/>
        </w:rPr>
        <w:t xml:space="preserve"> 5</w:t>
      </w:r>
      <w:r>
        <w:rPr>
          <w:u w:val="single"/>
        </w:rPr>
        <w:t>00mg/L、</w:t>
      </w:r>
      <w:r>
        <w:rPr>
          <w:rFonts w:hint="eastAsia"/>
          <w:u w:val="single"/>
        </w:rPr>
        <w:t>石油类5</w:t>
      </w:r>
      <w:r>
        <w:rPr>
          <w:u w:val="single"/>
        </w:rPr>
        <w:t>0mg/L，</w:t>
      </w:r>
      <w:r>
        <w:rPr>
          <w:rFonts w:hint="eastAsia"/>
          <w:u w:val="single"/>
        </w:rPr>
        <w:t>该部分废水</w:t>
      </w:r>
      <w:r>
        <w:rPr>
          <w:u w:val="single"/>
        </w:rPr>
        <w:t>通过管道进入厂区污水处理站进行处置。</w:t>
      </w:r>
    </w:p>
    <w:p w14:paraId="1D3EB773">
      <w:pPr>
        <w:ind w:firstLine="482"/>
        <w:outlineLvl w:val="4"/>
        <w:rPr>
          <w:b/>
          <w:bCs/>
        </w:rPr>
      </w:pPr>
      <w:r>
        <w:rPr>
          <w:b/>
          <w:bCs/>
        </w:rPr>
        <w:t>二、废水</w:t>
      </w:r>
      <w:r>
        <w:rPr>
          <w:rFonts w:hint="eastAsia"/>
          <w:b/>
          <w:bCs/>
        </w:rPr>
        <w:t>污染物</w:t>
      </w:r>
      <w:r>
        <w:rPr>
          <w:b/>
          <w:bCs/>
        </w:rPr>
        <w:t>排放</w:t>
      </w:r>
      <w:r>
        <w:rPr>
          <w:rFonts w:hint="eastAsia"/>
          <w:b/>
          <w:bCs/>
        </w:rPr>
        <w:t>汇总</w:t>
      </w:r>
    </w:p>
    <w:p w14:paraId="573EAD66">
      <w:pPr>
        <w:ind w:firstLine="480"/>
        <w:outlineLvl w:val="5"/>
      </w:pPr>
      <w:r>
        <w:rPr>
          <w:rFonts w:hint="eastAsia"/>
        </w:rPr>
        <w:t>（1）废水污染物达标情况</w:t>
      </w:r>
    </w:p>
    <w:p w14:paraId="22134D65">
      <w:pPr>
        <w:ind w:firstLine="480"/>
        <w:sectPr>
          <w:pgSz w:w="11906" w:h="16838"/>
          <w:pgMar w:top="1440" w:right="1797" w:bottom="1440" w:left="1797" w:header="851" w:footer="992" w:gutter="0"/>
          <w:cols w:space="425" w:num="1"/>
          <w:docGrid w:linePitch="312" w:charSpace="0"/>
        </w:sectPr>
      </w:pPr>
      <w:r>
        <w:rPr>
          <w:rFonts w:hint="eastAsia"/>
        </w:rPr>
        <w:t>本项目喷淋废水、车间地面清洗废水经厂区污水处理站处理后与经化粪池处理后的生活污水、循环冷却系统排水</w:t>
      </w:r>
      <w:r>
        <w:t>一起由厂区总排口排入园区污水管网，再</w:t>
      </w:r>
      <w:r>
        <w:rPr>
          <w:rFonts w:hint="eastAsia"/>
        </w:rPr>
        <w:t>进入唐庄</w:t>
      </w:r>
      <w:r>
        <w:t>污水处理厂进行进一步处理，处理后排入</w:t>
      </w:r>
      <w:r>
        <w:rPr>
          <w:rFonts w:hint="eastAsia"/>
        </w:rPr>
        <w:t>共产主义渠</w:t>
      </w:r>
      <w:r>
        <w:t>。</w:t>
      </w:r>
      <w:r>
        <w:rPr>
          <w:rFonts w:hint="eastAsia"/>
          <w:u w:val="single"/>
        </w:rPr>
        <w:t>本项目喷淋废水、车间地面清洗废水产生量为5.2</w:t>
      </w:r>
      <w:r>
        <w:rPr>
          <w:u w:val="single"/>
        </w:rPr>
        <w:t>m</w:t>
      </w:r>
      <w:r>
        <w:rPr>
          <w:u w:val="single"/>
          <w:vertAlign w:val="superscript"/>
        </w:rPr>
        <w:t>3</w:t>
      </w:r>
      <w:r>
        <w:rPr>
          <w:rFonts w:hint="eastAsia"/>
          <w:u w:val="single"/>
        </w:rPr>
        <w:t>/d，则</w:t>
      </w:r>
      <w:r>
        <w:rPr>
          <w:u w:val="single"/>
        </w:rPr>
        <w:t>污水处理站设计规模为</w:t>
      </w:r>
      <w:r>
        <w:rPr>
          <w:rFonts w:hint="eastAsia"/>
          <w:u w:val="single"/>
        </w:rPr>
        <w:t>8</w:t>
      </w:r>
      <w:r>
        <w:rPr>
          <w:u w:val="single"/>
        </w:rPr>
        <w:t>m</w:t>
      </w:r>
      <w:r>
        <w:rPr>
          <w:u w:val="single"/>
          <w:vertAlign w:val="superscript"/>
        </w:rPr>
        <w:t>3</w:t>
      </w:r>
      <w:r>
        <w:rPr>
          <w:u w:val="single"/>
        </w:rPr>
        <w:t>/d，</w:t>
      </w:r>
      <w:r>
        <w:rPr>
          <w:bCs/>
          <w:u w:val="single"/>
        </w:rPr>
        <w:t>处理工艺为“</w:t>
      </w:r>
      <w:r>
        <w:rPr>
          <w:rFonts w:hint="eastAsia"/>
          <w:bCs/>
          <w:u w:val="single"/>
        </w:rPr>
        <w:t>调节池+隔油池+气浮+水解酸化+</w:t>
      </w:r>
      <w:r>
        <w:rPr>
          <w:rFonts w:hint="eastAsia"/>
          <w:u w:val="single"/>
        </w:rPr>
        <w:t>接触氧化+沉淀</w:t>
      </w:r>
      <w:r>
        <w:rPr>
          <w:bCs/>
          <w:u w:val="single"/>
        </w:rPr>
        <w:t>”。</w:t>
      </w:r>
      <w:r>
        <w:rPr>
          <w:rFonts w:hint="eastAsia"/>
          <w:u w:val="single"/>
        </w:rPr>
        <w:t>本项目废水水质和水量汇总情况见下表。</w:t>
      </w:r>
    </w:p>
    <w:p w14:paraId="2090620D">
      <w:pPr>
        <w:pStyle w:val="99"/>
        <w:numPr>
          <w:ilvl w:val="4"/>
          <w:numId w:val="20"/>
        </w:numPr>
        <w:ind w:left="0" w:firstLine="480"/>
        <w:rPr>
          <w:rFonts w:eastAsia="黑体"/>
          <w:szCs w:val="24"/>
        </w:rPr>
      </w:pPr>
      <w:r>
        <w:rPr>
          <w:rFonts w:eastAsia="黑体"/>
          <w:szCs w:val="24"/>
        </w:rPr>
        <w:t xml:space="preserve">       </w:t>
      </w:r>
      <w:r>
        <w:rPr>
          <w:rFonts w:hint="eastAsia" w:eastAsia="黑体"/>
          <w:szCs w:val="24"/>
        </w:rPr>
        <w:t xml:space="preserve">                     </w:t>
      </w:r>
      <w:r>
        <w:rPr>
          <w:rFonts w:eastAsia="黑体"/>
          <w:szCs w:val="24"/>
        </w:rPr>
        <w:t>项目废水水质和水量汇总情况一览表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38"/>
        <w:gridCol w:w="1754"/>
        <w:gridCol w:w="995"/>
        <w:gridCol w:w="995"/>
        <w:gridCol w:w="1137"/>
        <w:gridCol w:w="995"/>
        <w:gridCol w:w="853"/>
        <w:gridCol w:w="995"/>
        <w:gridCol w:w="995"/>
        <w:gridCol w:w="996"/>
        <w:gridCol w:w="1117"/>
        <w:gridCol w:w="1117"/>
        <w:gridCol w:w="1091"/>
      </w:tblGrid>
      <w:tr w14:paraId="3CA5E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tblHeader/>
          <w:jc w:val="center"/>
        </w:trPr>
        <w:tc>
          <w:tcPr>
            <w:tcW w:w="2684" w:type="dxa"/>
            <w:gridSpan w:val="2"/>
            <w:vMerge w:val="restart"/>
            <w:vAlign w:val="center"/>
          </w:tcPr>
          <w:p w14:paraId="5E0E5C38">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废水种类</w:t>
            </w:r>
          </w:p>
        </w:tc>
        <w:tc>
          <w:tcPr>
            <w:tcW w:w="992" w:type="dxa"/>
            <w:vMerge w:val="restart"/>
            <w:vAlign w:val="center"/>
          </w:tcPr>
          <w:p w14:paraId="67F4C5D4">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废水量</w:t>
            </w:r>
          </w:p>
          <w:p w14:paraId="34564F07">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(m</w:t>
            </w:r>
            <w:r>
              <w:rPr>
                <w:rFonts w:ascii="Times New Roman" w:hAnsi="Times New Roman"/>
                <w:b/>
                <w:bCs/>
                <w:szCs w:val="21"/>
                <w:u w:val="single"/>
                <w:vertAlign w:val="superscript"/>
              </w:rPr>
              <w:t>3</w:t>
            </w:r>
            <w:r>
              <w:rPr>
                <w:rFonts w:ascii="Times New Roman" w:hAnsi="Times New Roman"/>
                <w:b/>
                <w:bCs/>
                <w:szCs w:val="21"/>
                <w:u w:val="single"/>
              </w:rPr>
              <w:t>/d)</w:t>
            </w:r>
          </w:p>
        </w:tc>
        <w:tc>
          <w:tcPr>
            <w:tcW w:w="10262" w:type="dxa"/>
            <w:gridSpan w:val="10"/>
            <w:vAlign w:val="center"/>
          </w:tcPr>
          <w:p w14:paraId="7117D1FA">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主要污染物浓度（mg/L，pH除外）</w:t>
            </w:r>
          </w:p>
        </w:tc>
      </w:tr>
      <w:tr w14:paraId="5C10E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tblHeader/>
          <w:jc w:val="center"/>
        </w:trPr>
        <w:tc>
          <w:tcPr>
            <w:tcW w:w="2684" w:type="dxa"/>
            <w:gridSpan w:val="2"/>
            <w:vMerge w:val="continue"/>
            <w:vAlign w:val="center"/>
          </w:tcPr>
          <w:p w14:paraId="42C2974E">
            <w:pPr>
              <w:spacing w:line="240" w:lineRule="exact"/>
              <w:ind w:firstLine="420"/>
              <w:rPr>
                <w:sz w:val="21"/>
                <w:szCs w:val="21"/>
                <w:u w:val="single"/>
              </w:rPr>
            </w:pPr>
          </w:p>
        </w:tc>
        <w:tc>
          <w:tcPr>
            <w:tcW w:w="992" w:type="dxa"/>
            <w:vMerge w:val="continue"/>
            <w:vAlign w:val="center"/>
          </w:tcPr>
          <w:p w14:paraId="3E3356DD">
            <w:pPr>
              <w:spacing w:line="240" w:lineRule="exact"/>
              <w:ind w:firstLine="420"/>
              <w:rPr>
                <w:sz w:val="21"/>
                <w:szCs w:val="21"/>
                <w:u w:val="single"/>
              </w:rPr>
            </w:pPr>
          </w:p>
        </w:tc>
        <w:tc>
          <w:tcPr>
            <w:tcW w:w="992" w:type="dxa"/>
            <w:vAlign w:val="center"/>
          </w:tcPr>
          <w:p w14:paraId="75C9A11B">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pH</w:t>
            </w:r>
          </w:p>
        </w:tc>
        <w:tc>
          <w:tcPr>
            <w:tcW w:w="1134" w:type="dxa"/>
            <w:vAlign w:val="center"/>
          </w:tcPr>
          <w:p w14:paraId="529839B8">
            <w:pPr>
              <w:pStyle w:val="13"/>
              <w:spacing w:line="240" w:lineRule="exact"/>
              <w:ind w:firstLine="0" w:firstLineChars="0"/>
              <w:jc w:val="center"/>
              <w:rPr>
                <w:rFonts w:ascii="Times New Roman" w:hAnsi="Times New Roman"/>
                <w:b/>
                <w:bCs/>
                <w:szCs w:val="21"/>
                <w:u w:val="single"/>
              </w:rPr>
            </w:pPr>
            <w:r>
              <w:rPr>
                <w:rFonts w:hint="eastAsia" w:ascii="Times New Roman" w:hAnsi="Times New Roman"/>
                <w:b/>
                <w:bCs/>
                <w:szCs w:val="21"/>
                <w:u w:val="single"/>
              </w:rPr>
              <w:t>色度（倍）</w:t>
            </w:r>
          </w:p>
        </w:tc>
        <w:tc>
          <w:tcPr>
            <w:tcW w:w="992" w:type="dxa"/>
            <w:vAlign w:val="center"/>
          </w:tcPr>
          <w:p w14:paraId="34EB3517">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COD</w:t>
            </w:r>
          </w:p>
        </w:tc>
        <w:tc>
          <w:tcPr>
            <w:tcW w:w="851" w:type="dxa"/>
            <w:vAlign w:val="center"/>
          </w:tcPr>
          <w:p w14:paraId="3E6086C0">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BOD</w:t>
            </w:r>
            <w:r>
              <w:rPr>
                <w:rFonts w:ascii="Times New Roman" w:hAnsi="Times New Roman"/>
                <w:b/>
                <w:bCs/>
                <w:szCs w:val="21"/>
                <w:u w:val="single"/>
                <w:vertAlign w:val="subscript"/>
              </w:rPr>
              <w:t>5</w:t>
            </w:r>
          </w:p>
        </w:tc>
        <w:tc>
          <w:tcPr>
            <w:tcW w:w="992" w:type="dxa"/>
            <w:vAlign w:val="center"/>
          </w:tcPr>
          <w:p w14:paraId="181E53F6">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氨氮</w:t>
            </w:r>
          </w:p>
        </w:tc>
        <w:tc>
          <w:tcPr>
            <w:tcW w:w="992" w:type="dxa"/>
            <w:vAlign w:val="center"/>
          </w:tcPr>
          <w:p w14:paraId="5E87C088">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SS</w:t>
            </w:r>
          </w:p>
        </w:tc>
        <w:tc>
          <w:tcPr>
            <w:tcW w:w="993" w:type="dxa"/>
            <w:vAlign w:val="center"/>
          </w:tcPr>
          <w:p w14:paraId="18F21C24">
            <w:pPr>
              <w:pStyle w:val="13"/>
              <w:spacing w:line="240" w:lineRule="exact"/>
              <w:ind w:firstLine="0" w:firstLineChars="0"/>
              <w:jc w:val="center"/>
              <w:rPr>
                <w:rFonts w:ascii="Times New Roman" w:hAnsi="Times New Roman"/>
                <w:b/>
                <w:bCs/>
                <w:szCs w:val="21"/>
                <w:u w:val="single"/>
              </w:rPr>
            </w:pPr>
            <w:r>
              <w:rPr>
                <w:rFonts w:hint="eastAsia" w:ascii="Times New Roman" w:hAnsi="Times New Roman"/>
                <w:b/>
                <w:bCs/>
                <w:szCs w:val="21"/>
                <w:u w:val="single"/>
              </w:rPr>
              <w:t>硫酸钠</w:t>
            </w:r>
          </w:p>
        </w:tc>
        <w:tc>
          <w:tcPr>
            <w:tcW w:w="1114" w:type="dxa"/>
            <w:vAlign w:val="center"/>
          </w:tcPr>
          <w:p w14:paraId="24790A35">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总氮</w:t>
            </w:r>
          </w:p>
        </w:tc>
        <w:tc>
          <w:tcPr>
            <w:tcW w:w="1114" w:type="dxa"/>
            <w:vAlign w:val="center"/>
          </w:tcPr>
          <w:p w14:paraId="1B2E58C9">
            <w:pPr>
              <w:pStyle w:val="13"/>
              <w:spacing w:line="240" w:lineRule="exact"/>
              <w:ind w:firstLine="0" w:firstLineChars="0"/>
              <w:jc w:val="center"/>
              <w:rPr>
                <w:rFonts w:ascii="Times New Roman" w:hAnsi="Times New Roman"/>
                <w:b/>
                <w:bCs/>
                <w:szCs w:val="21"/>
                <w:u w:val="single"/>
              </w:rPr>
            </w:pPr>
            <w:r>
              <w:rPr>
                <w:rFonts w:hint="eastAsia" w:ascii="Times New Roman" w:hAnsi="Times New Roman"/>
                <w:b/>
                <w:bCs/>
                <w:szCs w:val="21"/>
                <w:u w:val="single"/>
              </w:rPr>
              <w:t>总磷</w:t>
            </w:r>
          </w:p>
        </w:tc>
        <w:tc>
          <w:tcPr>
            <w:tcW w:w="1088" w:type="dxa"/>
            <w:vAlign w:val="center"/>
          </w:tcPr>
          <w:p w14:paraId="0A9ACED8">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石油类</w:t>
            </w:r>
          </w:p>
        </w:tc>
      </w:tr>
      <w:tr w14:paraId="442CB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restart"/>
            <w:vAlign w:val="center"/>
          </w:tcPr>
          <w:p w14:paraId="00A9E7C1">
            <w:pPr>
              <w:pStyle w:val="13"/>
              <w:spacing w:line="240" w:lineRule="exact"/>
              <w:ind w:firstLine="0" w:firstLineChars="0"/>
              <w:jc w:val="center"/>
              <w:rPr>
                <w:rFonts w:ascii="Times New Roman" w:hAnsi="Times New Roman"/>
                <w:szCs w:val="21"/>
                <w:highlight w:val="yellow"/>
                <w:u w:val="single"/>
              </w:rPr>
            </w:pPr>
            <w:r>
              <w:rPr>
                <w:rFonts w:ascii="Times New Roman" w:hAnsi="Times New Roman"/>
                <w:szCs w:val="21"/>
                <w:u w:val="single"/>
              </w:rPr>
              <w:t>工艺废水</w:t>
            </w:r>
          </w:p>
        </w:tc>
        <w:tc>
          <w:tcPr>
            <w:tcW w:w="1749" w:type="dxa"/>
            <w:vAlign w:val="center"/>
          </w:tcPr>
          <w:p w14:paraId="112C813A">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喷淋废水</w:t>
            </w:r>
          </w:p>
        </w:tc>
        <w:tc>
          <w:tcPr>
            <w:tcW w:w="992" w:type="dxa"/>
            <w:vAlign w:val="center"/>
          </w:tcPr>
          <w:p w14:paraId="736644B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0.72</w:t>
            </w:r>
          </w:p>
        </w:tc>
        <w:tc>
          <w:tcPr>
            <w:tcW w:w="992" w:type="dxa"/>
            <w:vAlign w:val="center"/>
          </w:tcPr>
          <w:p w14:paraId="0D75FE7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9</w:t>
            </w:r>
            <w:r>
              <w:rPr>
                <w:rFonts w:ascii="Times New Roman" w:hAnsi="Times New Roman"/>
                <w:szCs w:val="21"/>
                <w:u w:val="single"/>
              </w:rPr>
              <w:t>~</w:t>
            </w:r>
            <w:r>
              <w:rPr>
                <w:rFonts w:hint="eastAsia" w:ascii="Times New Roman" w:hAnsi="Times New Roman"/>
                <w:szCs w:val="21"/>
                <w:u w:val="single"/>
              </w:rPr>
              <w:t>10</w:t>
            </w:r>
          </w:p>
        </w:tc>
        <w:tc>
          <w:tcPr>
            <w:tcW w:w="1134" w:type="dxa"/>
            <w:vAlign w:val="center"/>
          </w:tcPr>
          <w:p w14:paraId="35662F9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2C3CFB64">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2650</w:t>
            </w:r>
            <w:r>
              <w:rPr>
                <w:rFonts w:ascii="Times New Roman" w:hAnsi="Times New Roman"/>
                <w:szCs w:val="21"/>
                <w:u w:val="single"/>
              </w:rPr>
              <w:t>0</w:t>
            </w:r>
          </w:p>
        </w:tc>
        <w:tc>
          <w:tcPr>
            <w:tcW w:w="851" w:type="dxa"/>
            <w:vAlign w:val="center"/>
          </w:tcPr>
          <w:p w14:paraId="3A84FA01">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30</w:t>
            </w:r>
            <w:r>
              <w:rPr>
                <w:rFonts w:ascii="Times New Roman" w:hAnsi="Times New Roman"/>
                <w:szCs w:val="21"/>
                <w:u w:val="single"/>
              </w:rPr>
              <w:t>0</w:t>
            </w:r>
          </w:p>
        </w:tc>
        <w:tc>
          <w:tcPr>
            <w:tcW w:w="992" w:type="dxa"/>
            <w:vAlign w:val="center"/>
          </w:tcPr>
          <w:p w14:paraId="1A77C791">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992" w:type="dxa"/>
            <w:vAlign w:val="center"/>
          </w:tcPr>
          <w:p w14:paraId="002FB8EE">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30</w:t>
            </w:r>
            <w:r>
              <w:rPr>
                <w:rFonts w:ascii="Times New Roman" w:hAnsi="Times New Roman"/>
                <w:szCs w:val="21"/>
                <w:u w:val="single"/>
              </w:rPr>
              <w:t>0</w:t>
            </w:r>
          </w:p>
        </w:tc>
        <w:tc>
          <w:tcPr>
            <w:tcW w:w="993" w:type="dxa"/>
            <w:vAlign w:val="center"/>
          </w:tcPr>
          <w:p w14:paraId="41D63F3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1413</w:t>
            </w:r>
          </w:p>
        </w:tc>
        <w:tc>
          <w:tcPr>
            <w:tcW w:w="1114" w:type="dxa"/>
            <w:vAlign w:val="center"/>
          </w:tcPr>
          <w:p w14:paraId="07135367">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534479D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05026F25">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46.1</w:t>
            </w:r>
          </w:p>
        </w:tc>
      </w:tr>
      <w:tr w14:paraId="0C90F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continue"/>
            <w:vAlign w:val="center"/>
          </w:tcPr>
          <w:p w14:paraId="129A6433">
            <w:pPr>
              <w:pStyle w:val="13"/>
              <w:spacing w:line="240" w:lineRule="exact"/>
              <w:ind w:firstLine="0" w:firstLineChars="0"/>
              <w:jc w:val="center"/>
              <w:rPr>
                <w:rFonts w:ascii="Times New Roman" w:hAnsi="Times New Roman"/>
                <w:szCs w:val="21"/>
                <w:highlight w:val="yellow"/>
                <w:u w:val="single"/>
              </w:rPr>
            </w:pPr>
          </w:p>
        </w:tc>
        <w:tc>
          <w:tcPr>
            <w:tcW w:w="1749" w:type="dxa"/>
            <w:vAlign w:val="center"/>
          </w:tcPr>
          <w:p w14:paraId="4802A5E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车间地面拖洗废水</w:t>
            </w:r>
          </w:p>
        </w:tc>
        <w:tc>
          <w:tcPr>
            <w:tcW w:w="992" w:type="dxa"/>
            <w:vAlign w:val="center"/>
          </w:tcPr>
          <w:p w14:paraId="28A49E8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4.53</w:t>
            </w:r>
          </w:p>
        </w:tc>
        <w:tc>
          <w:tcPr>
            <w:tcW w:w="992" w:type="dxa"/>
            <w:vAlign w:val="center"/>
          </w:tcPr>
          <w:p w14:paraId="4C3AE47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w:t>
            </w:r>
            <w:r>
              <w:rPr>
                <w:rFonts w:hint="eastAsia" w:ascii="Times New Roman" w:hAnsi="Times New Roman"/>
                <w:szCs w:val="21"/>
                <w:u w:val="single"/>
              </w:rPr>
              <w:t>9</w:t>
            </w:r>
          </w:p>
        </w:tc>
        <w:tc>
          <w:tcPr>
            <w:tcW w:w="1134" w:type="dxa"/>
            <w:vAlign w:val="center"/>
          </w:tcPr>
          <w:p w14:paraId="4E61D58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500</w:t>
            </w:r>
          </w:p>
        </w:tc>
        <w:tc>
          <w:tcPr>
            <w:tcW w:w="992" w:type="dxa"/>
            <w:vAlign w:val="center"/>
          </w:tcPr>
          <w:p w14:paraId="1A48FF33">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500</w:t>
            </w:r>
          </w:p>
        </w:tc>
        <w:tc>
          <w:tcPr>
            <w:tcW w:w="851" w:type="dxa"/>
            <w:vAlign w:val="center"/>
          </w:tcPr>
          <w:p w14:paraId="7D72FD9F">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25</w:t>
            </w:r>
            <w:r>
              <w:rPr>
                <w:rFonts w:ascii="Times New Roman" w:hAnsi="Times New Roman"/>
                <w:szCs w:val="21"/>
                <w:u w:val="single"/>
              </w:rPr>
              <w:t>0</w:t>
            </w:r>
          </w:p>
        </w:tc>
        <w:tc>
          <w:tcPr>
            <w:tcW w:w="992" w:type="dxa"/>
            <w:vAlign w:val="center"/>
          </w:tcPr>
          <w:p w14:paraId="3F78C282">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992" w:type="dxa"/>
            <w:vAlign w:val="center"/>
          </w:tcPr>
          <w:p w14:paraId="16CAD7E9">
            <w:pPr>
              <w:pStyle w:val="13"/>
              <w:spacing w:line="240" w:lineRule="exact"/>
              <w:ind w:firstLine="0" w:firstLineChars="0"/>
              <w:jc w:val="center"/>
              <w:rPr>
                <w:rFonts w:ascii="Times New Roman" w:hAnsi="Times New Roman"/>
                <w:szCs w:val="21"/>
                <w:highlight w:val="yellow"/>
                <w:u w:val="single"/>
              </w:rPr>
            </w:pPr>
            <w:r>
              <w:rPr>
                <w:rFonts w:ascii="Times New Roman" w:hAnsi="Times New Roman"/>
                <w:szCs w:val="21"/>
                <w:u w:val="single"/>
              </w:rPr>
              <w:t>500</w:t>
            </w:r>
          </w:p>
        </w:tc>
        <w:tc>
          <w:tcPr>
            <w:tcW w:w="993" w:type="dxa"/>
            <w:vAlign w:val="center"/>
          </w:tcPr>
          <w:p w14:paraId="7EC9C195">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1114" w:type="dxa"/>
            <w:vAlign w:val="center"/>
          </w:tcPr>
          <w:p w14:paraId="250F8F53">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1114" w:type="dxa"/>
            <w:vAlign w:val="center"/>
          </w:tcPr>
          <w:p w14:paraId="1D147D52">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1088" w:type="dxa"/>
            <w:vAlign w:val="center"/>
          </w:tcPr>
          <w:p w14:paraId="361886EF">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5</w:t>
            </w:r>
            <w:r>
              <w:rPr>
                <w:rFonts w:ascii="Times New Roman" w:hAnsi="Times New Roman"/>
                <w:szCs w:val="21"/>
                <w:u w:val="single"/>
              </w:rPr>
              <w:t>0</w:t>
            </w:r>
          </w:p>
        </w:tc>
      </w:tr>
      <w:tr w14:paraId="4FD60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Align w:val="center"/>
          </w:tcPr>
          <w:p w14:paraId="78F06686">
            <w:pPr>
              <w:pStyle w:val="13"/>
              <w:spacing w:line="240" w:lineRule="exact"/>
              <w:ind w:firstLine="0" w:firstLineChars="0"/>
              <w:jc w:val="center"/>
              <w:rPr>
                <w:rFonts w:ascii="Times New Roman" w:hAnsi="Times New Roman"/>
                <w:szCs w:val="21"/>
                <w:highlight w:val="yellow"/>
                <w:u w:val="single"/>
              </w:rPr>
            </w:pPr>
            <w:r>
              <w:rPr>
                <w:rFonts w:ascii="Times New Roman" w:hAnsi="Times New Roman"/>
                <w:szCs w:val="21"/>
                <w:u w:val="single"/>
              </w:rPr>
              <w:t>调节池</w:t>
            </w:r>
          </w:p>
        </w:tc>
        <w:tc>
          <w:tcPr>
            <w:tcW w:w="1749" w:type="dxa"/>
            <w:vAlign w:val="center"/>
          </w:tcPr>
          <w:p w14:paraId="496E73A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进出水</w:t>
            </w:r>
          </w:p>
        </w:tc>
        <w:tc>
          <w:tcPr>
            <w:tcW w:w="992" w:type="dxa"/>
            <w:vAlign w:val="center"/>
          </w:tcPr>
          <w:p w14:paraId="2D56A8F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5.25</w:t>
            </w:r>
          </w:p>
        </w:tc>
        <w:tc>
          <w:tcPr>
            <w:tcW w:w="992" w:type="dxa"/>
            <w:vAlign w:val="center"/>
          </w:tcPr>
          <w:p w14:paraId="3F2FDE7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709D4F37">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450</w:t>
            </w:r>
          </w:p>
        </w:tc>
        <w:tc>
          <w:tcPr>
            <w:tcW w:w="992" w:type="dxa"/>
            <w:vAlign w:val="center"/>
          </w:tcPr>
          <w:p w14:paraId="5DF4ED5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4066</w:t>
            </w:r>
          </w:p>
        </w:tc>
        <w:tc>
          <w:tcPr>
            <w:tcW w:w="851" w:type="dxa"/>
            <w:vAlign w:val="center"/>
          </w:tcPr>
          <w:p w14:paraId="1842D05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257</w:t>
            </w:r>
          </w:p>
        </w:tc>
        <w:tc>
          <w:tcPr>
            <w:tcW w:w="992" w:type="dxa"/>
            <w:vAlign w:val="center"/>
          </w:tcPr>
          <w:p w14:paraId="563F855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5DEBAF2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473</w:t>
            </w:r>
          </w:p>
        </w:tc>
        <w:tc>
          <w:tcPr>
            <w:tcW w:w="993" w:type="dxa"/>
            <w:vAlign w:val="center"/>
          </w:tcPr>
          <w:p w14:paraId="35AC3740">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7802DC9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2AD06D4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18FD7DF6">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49.5</w:t>
            </w:r>
          </w:p>
        </w:tc>
      </w:tr>
      <w:tr w14:paraId="657CF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restart"/>
            <w:vAlign w:val="center"/>
          </w:tcPr>
          <w:p w14:paraId="31D2FD07">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隔油池+气浮</w:t>
            </w:r>
          </w:p>
        </w:tc>
        <w:tc>
          <w:tcPr>
            <w:tcW w:w="1749" w:type="dxa"/>
            <w:vAlign w:val="center"/>
          </w:tcPr>
          <w:p w14:paraId="791F998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处理效率</w:t>
            </w:r>
          </w:p>
        </w:tc>
        <w:tc>
          <w:tcPr>
            <w:tcW w:w="992" w:type="dxa"/>
            <w:vAlign w:val="center"/>
          </w:tcPr>
          <w:p w14:paraId="4C50EC2A">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6C7D14BA">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5780DC4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05905609">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w:t>
            </w:r>
            <w:r>
              <w:rPr>
                <w:rFonts w:ascii="Times New Roman" w:hAnsi="Times New Roman"/>
                <w:szCs w:val="21"/>
                <w:u w:val="single"/>
              </w:rPr>
              <w:t>5%</w:t>
            </w:r>
          </w:p>
        </w:tc>
        <w:tc>
          <w:tcPr>
            <w:tcW w:w="851" w:type="dxa"/>
            <w:vAlign w:val="center"/>
          </w:tcPr>
          <w:p w14:paraId="0D41458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10%</w:t>
            </w:r>
          </w:p>
        </w:tc>
        <w:tc>
          <w:tcPr>
            <w:tcW w:w="992" w:type="dxa"/>
            <w:vAlign w:val="center"/>
          </w:tcPr>
          <w:p w14:paraId="1C141C1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4A874B7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50</w:t>
            </w:r>
            <w:r>
              <w:rPr>
                <w:rFonts w:ascii="Times New Roman" w:hAnsi="Times New Roman"/>
                <w:szCs w:val="21"/>
                <w:u w:val="single"/>
              </w:rPr>
              <w:t>%</w:t>
            </w:r>
          </w:p>
        </w:tc>
        <w:tc>
          <w:tcPr>
            <w:tcW w:w="993" w:type="dxa"/>
            <w:vAlign w:val="center"/>
          </w:tcPr>
          <w:p w14:paraId="4367FB23">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312C5B1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071A49C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168E206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85%</w:t>
            </w:r>
          </w:p>
        </w:tc>
      </w:tr>
      <w:tr w14:paraId="6A105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continue"/>
            <w:vAlign w:val="center"/>
          </w:tcPr>
          <w:p w14:paraId="64863F3D">
            <w:pPr>
              <w:pStyle w:val="13"/>
              <w:spacing w:line="240" w:lineRule="exact"/>
              <w:ind w:firstLine="0" w:firstLineChars="0"/>
              <w:jc w:val="center"/>
              <w:rPr>
                <w:rFonts w:ascii="Times New Roman" w:hAnsi="Times New Roman"/>
                <w:szCs w:val="21"/>
                <w:u w:val="single"/>
              </w:rPr>
            </w:pPr>
          </w:p>
        </w:tc>
        <w:tc>
          <w:tcPr>
            <w:tcW w:w="1749" w:type="dxa"/>
            <w:vAlign w:val="center"/>
          </w:tcPr>
          <w:p w14:paraId="53757F84">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处理后</w:t>
            </w:r>
          </w:p>
        </w:tc>
        <w:tc>
          <w:tcPr>
            <w:tcW w:w="992" w:type="dxa"/>
            <w:vAlign w:val="center"/>
          </w:tcPr>
          <w:p w14:paraId="5DA9BA9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5.25</w:t>
            </w:r>
          </w:p>
        </w:tc>
        <w:tc>
          <w:tcPr>
            <w:tcW w:w="992" w:type="dxa"/>
            <w:vAlign w:val="center"/>
          </w:tcPr>
          <w:p w14:paraId="2BD41C18">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5368830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400</w:t>
            </w:r>
          </w:p>
        </w:tc>
        <w:tc>
          <w:tcPr>
            <w:tcW w:w="992" w:type="dxa"/>
            <w:vAlign w:val="center"/>
          </w:tcPr>
          <w:p w14:paraId="6B76AE2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3050</w:t>
            </w:r>
          </w:p>
        </w:tc>
        <w:tc>
          <w:tcPr>
            <w:tcW w:w="851" w:type="dxa"/>
            <w:vAlign w:val="center"/>
          </w:tcPr>
          <w:p w14:paraId="43030FF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231</w:t>
            </w:r>
          </w:p>
        </w:tc>
        <w:tc>
          <w:tcPr>
            <w:tcW w:w="992" w:type="dxa"/>
            <w:vAlign w:val="center"/>
          </w:tcPr>
          <w:p w14:paraId="67893B3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16B2ADA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237</w:t>
            </w:r>
          </w:p>
        </w:tc>
        <w:tc>
          <w:tcPr>
            <w:tcW w:w="993" w:type="dxa"/>
            <w:vAlign w:val="center"/>
          </w:tcPr>
          <w:p w14:paraId="5FBD1B10">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686C30B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74C4198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2213BB97">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7.4</w:t>
            </w:r>
          </w:p>
        </w:tc>
      </w:tr>
      <w:tr w14:paraId="725EC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restart"/>
            <w:vAlign w:val="center"/>
          </w:tcPr>
          <w:p w14:paraId="23771ADC">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水解酸化</w:t>
            </w:r>
          </w:p>
        </w:tc>
        <w:tc>
          <w:tcPr>
            <w:tcW w:w="1749" w:type="dxa"/>
            <w:vAlign w:val="center"/>
          </w:tcPr>
          <w:p w14:paraId="2B4E28F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处理效率</w:t>
            </w:r>
          </w:p>
        </w:tc>
        <w:tc>
          <w:tcPr>
            <w:tcW w:w="992" w:type="dxa"/>
            <w:vAlign w:val="center"/>
          </w:tcPr>
          <w:p w14:paraId="70854FC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393810B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4553A31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34A5BDE5">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w:t>
            </w:r>
            <w:r>
              <w:rPr>
                <w:rFonts w:ascii="Times New Roman" w:hAnsi="Times New Roman"/>
                <w:szCs w:val="21"/>
                <w:u w:val="single"/>
              </w:rPr>
              <w:t>0%</w:t>
            </w:r>
          </w:p>
        </w:tc>
        <w:tc>
          <w:tcPr>
            <w:tcW w:w="851" w:type="dxa"/>
            <w:vAlign w:val="center"/>
          </w:tcPr>
          <w:p w14:paraId="5572C7AB">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w:t>
            </w:r>
            <w:r>
              <w:rPr>
                <w:rFonts w:ascii="Times New Roman" w:hAnsi="Times New Roman"/>
                <w:szCs w:val="21"/>
                <w:u w:val="single"/>
              </w:rPr>
              <w:t>0%</w:t>
            </w:r>
          </w:p>
        </w:tc>
        <w:tc>
          <w:tcPr>
            <w:tcW w:w="992" w:type="dxa"/>
            <w:vAlign w:val="center"/>
          </w:tcPr>
          <w:p w14:paraId="2F62BDEB">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7A1CAF3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3" w:type="dxa"/>
            <w:vAlign w:val="center"/>
          </w:tcPr>
          <w:p w14:paraId="3979EE4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104F3F5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15B7D16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47E9E0B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r>
      <w:tr w14:paraId="2E57C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continue"/>
            <w:vAlign w:val="center"/>
          </w:tcPr>
          <w:p w14:paraId="718B139F">
            <w:pPr>
              <w:pStyle w:val="13"/>
              <w:spacing w:line="240" w:lineRule="exact"/>
              <w:ind w:firstLine="0" w:firstLineChars="0"/>
              <w:jc w:val="center"/>
              <w:rPr>
                <w:rFonts w:ascii="Times New Roman" w:hAnsi="Times New Roman"/>
                <w:szCs w:val="21"/>
                <w:u w:val="single"/>
              </w:rPr>
            </w:pPr>
          </w:p>
        </w:tc>
        <w:tc>
          <w:tcPr>
            <w:tcW w:w="1749" w:type="dxa"/>
            <w:vAlign w:val="center"/>
          </w:tcPr>
          <w:p w14:paraId="7F7CB2D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处理后</w:t>
            </w:r>
          </w:p>
        </w:tc>
        <w:tc>
          <w:tcPr>
            <w:tcW w:w="992" w:type="dxa"/>
            <w:vAlign w:val="center"/>
          </w:tcPr>
          <w:p w14:paraId="6DE6F57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5.25</w:t>
            </w:r>
          </w:p>
        </w:tc>
        <w:tc>
          <w:tcPr>
            <w:tcW w:w="992" w:type="dxa"/>
            <w:vAlign w:val="center"/>
          </w:tcPr>
          <w:p w14:paraId="13E65AB8">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5062E790">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400</w:t>
            </w:r>
          </w:p>
        </w:tc>
        <w:tc>
          <w:tcPr>
            <w:tcW w:w="992" w:type="dxa"/>
            <w:vAlign w:val="center"/>
          </w:tcPr>
          <w:p w14:paraId="7D5A4E5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1830</w:t>
            </w:r>
          </w:p>
        </w:tc>
        <w:tc>
          <w:tcPr>
            <w:tcW w:w="851" w:type="dxa"/>
            <w:vAlign w:val="center"/>
          </w:tcPr>
          <w:p w14:paraId="0C7D1177">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185</w:t>
            </w:r>
          </w:p>
        </w:tc>
        <w:tc>
          <w:tcPr>
            <w:tcW w:w="992" w:type="dxa"/>
            <w:vAlign w:val="center"/>
          </w:tcPr>
          <w:p w14:paraId="3513C76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52D513E7">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237</w:t>
            </w:r>
          </w:p>
        </w:tc>
        <w:tc>
          <w:tcPr>
            <w:tcW w:w="993" w:type="dxa"/>
            <w:vAlign w:val="center"/>
          </w:tcPr>
          <w:p w14:paraId="5369772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5E4B6C8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100E1FF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08EE058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7.4</w:t>
            </w:r>
          </w:p>
        </w:tc>
      </w:tr>
      <w:tr w14:paraId="02205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restart"/>
            <w:vAlign w:val="center"/>
          </w:tcPr>
          <w:p w14:paraId="6D07AAD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接触氧化</w:t>
            </w:r>
            <w:r>
              <w:rPr>
                <w:rFonts w:hint="eastAsia" w:ascii="Times New Roman" w:hAnsi="Times New Roman"/>
                <w:szCs w:val="21"/>
                <w:u w:val="single"/>
              </w:rPr>
              <w:t>+二沉池</w:t>
            </w:r>
          </w:p>
        </w:tc>
        <w:tc>
          <w:tcPr>
            <w:tcW w:w="1749" w:type="dxa"/>
            <w:vAlign w:val="center"/>
          </w:tcPr>
          <w:p w14:paraId="5A30F27C">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处理效率</w:t>
            </w:r>
          </w:p>
        </w:tc>
        <w:tc>
          <w:tcPr>
            <w:tcW w:w="992" w:type="dxa"/>
            <w:vAlign w:val="center"/>
          </w:tcPr>
          <w:p w14:paraId="22D361E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6B39DDF9">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225EBE9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75%</w:t>
            </w:r>
          </w:p>
        </w:tc>
        <w:tc>
          <w:tcPr>
            <w:tcW w:w="992" w:type="dxa"/>
            <w:vAlign w:val="center"/>
          </w:tcPr>
          <w:p w14:paraId="27C390F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85</w:t>
            </w:r>
            <w:r>
              <w:rPr>
                <w:rFonts w:ascii="Times New Roman" w:hAnsi="Times New Roman"/>
                <w:szCs w:val="21"/>
                <w:u w:val="single"/>
              </w:rPr>
              <w:t>%</w:t>
            </w:r>
          </w:p>
        </w:tc>
        <w:tc>
          <w:tcPr>
            <w:tcW w:w="851" w:type="dxa"/>
            <w:vAlign w:val="center"/>
          </w:tcPr>
          <w:p w14:paraId="149DE85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7</w:t>
            </w:r>
            <w:r>
              <w:rPr>
                <w:rFonts w:hint="eastAsia" w:ascii="Times New Roman" w:hAnsi="Times New Roman"/>
                <w:szCs w:val="21"/>
                <w:u w:val="single"/>
              </w:rPr>
              <w:t>0</w:t>
            </w:r>
            <w:r>
              <w:rPr>
                <w:rFonts w:ascii="Times New Roman" w:hAnsi="Times New Roman"/>
                <w:szCs w:val="21"/>
                <w:u w:val="single"/>
              </w:rPr>
              <w:t>%</w:t>
            </w:r>
          </w:p>
        </w:tc>
        <w:tc>
          <w:tcPr>
            <w:tcW w:w="992" w:type="dxa"/>
            <w:vAlign w:val="center"/>
          </w:tcPr>
          <w:p w14:paraId="08E8294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4D854FE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70%</w:t>
            </w:r>
          </w:p>
        </w:tc>
        <w:tc>
          <w:tcPr>
            <w:tcW w:w="993" w:type="dxa"/>
            <w:vAlign w:val="center"/>
          </w:tcPr>
          <w:p w14:paraId="0E5838F4">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44ECC755">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698D93C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776BEAEC">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r>
      <w:tr w14:paraId="3A3EE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continue"/>
            <w:vAlign w:val="center"/>
          </w:tcPr>
          <w:p w14:paraId="38764611">
            <w:pPr>
              <w:pStyle w:val="13"/>
              <w:spacing w:line="240" w:lineRule="exact"/>
              <w:ind w:firstLine="0" w:firstLineChars="0"/>
              <w:jc w:val="center"/>
              <w:rPr>
                <w:rFonts w:ascii="Times New Roman" w:hAnsi="Times New Roman"/>
                <w:szCs w:val="21"/>
                <w:u w:val="single"/>
              </w:rPr>
            </w:pPr>
          </w:p>
        </w:tc>
        <w:tc>
          <w:tcPr>
            <w:tcW w:w="1749" w:type="dxa"/>
            <w:vAlign w:val="center"/>
          </w:tcPr>
          <w:p w14:paraId="2C6ACEEC">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处理后</w:t>
            </w:r>
          </w:p>
        </w:tc>
        <w:tc>
          <w:tcPr>
            <w:tcW w:w="992" w:type="dxa"/>
            <w:vAlign w:val="center"/>
          </w:tcPr>
          <w:p w14:paraId="1890F7E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5.25</w:t>
            </w:r>
          </w:p>
        </w:tc>
        <w:tc>
          <w:tcPr>
            <w:tcW w:w="992" w:type="dxa"/>
            <w:vAlign w:val="center"/>
          </w:tcPr>
          <w:p w14:paraId="7E2B667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0C83D77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100</w:t>
            </w:r>
          </w:p>
        </w:tc>
        <w:tc>
          <w:tcPr>
            <w:tcW w:w="992" w:type="dxa"/>
            <w:vAlign w:val="center"/>
          </w:tcPr>
          <w:p w14:paraId="38ED31E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275</w:t>
            </w:r>
          </w:p>
        </w:tc>
        <w:tc>
          <w:tcPr>
            <w:tcW w:w="851" w:type="dxa"/>
            <w:vAlign w:val="center"/>
          </w:tcPr>
          <w:p w14:paraId="7E9FCCD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55.5</w:t>
            </w:r>
          </w:p>
        </w:tc>
        <w:tc>
          <w:tcPr>
            <w:tcW w:w="992" w:type="dxa"/>
            <w:vAlign w:val="center"/>
          </w:tcPr>
          <w:p w14:paraId="5383671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7315F24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71.1</w:t>
            </w:r>
          </w:p>
        </w:tc>
        <w:tc>
          <w:tcPr>
            <w:tcW w:w="993" w:type="dxa"/>
            <w:vAlign w:val="center"/>
          </w:tcPr>
          <w:p w14:paraId="2BFC9EB5">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037BBF0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1561449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4F924A7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7.4</w:t>
            </w:r>
          </w:p>
        </w:tc>
      </w:tr>
      <w:tr w14:paraId="650D7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0BE8B55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化粪池处理后生活污水</w:t>
            </w:r>
          </w:p>
        </w:tc>
        <w:tc>
          <w:tcPr>
            <w:tcW w:w="992" w:type="dxa"/>
            <w:vAlign w:val="center"/>
          </w:tcPr>
          <w:p w14:paraId="7982A8D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0.</w:t>
            </w:r>
            <w:r>
              <w:rPr>
                <w:rFonts w:hint="eastAsia" w:ascii="Times New Roman" w:hAnsi="Times New Roman"/>
                <w:szCs w:val="21"/>
                <w:u w:val="single"/>
              </w:rPr>
              <w:t>96</w:t>
            </w:r>
          </w:p>
        </w:tc>
        <w:tc>
          <w:tcPr>
            <w:tcW w:w="992" w:type="dxa"/>
            <w:vAlign w:val="center"/>
          </w:tcPr>
          <w:p w14:paraId="05315E3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249359A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43E43683">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250</w:t>
            </w:r>
          </w:p>
        </w:tc>
        <w:tc>
          <w:tcPr>
            <w:tcW w:w="851" w:type="dxa"/>
            <w:vAlign w:val="center"/>
          </w:tcPr>
          <w:p w14:paraId="250C125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120</w:t>
            </w:r>
          </w:p>
        </w:tc>
        <w:tc>
          <w:tcPr>
            <w:tcW w:w="992" w:type="dxa"/>
            <w:vAlign w:val="center"/>
          </w:tcPr>
          <w:p w14:paraId="5B274EEB">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30</w:t>
            </w:r>
          </w:p>
        </w:tc>
        <w:tc>
          <w:tcPr>
            <w:tcW w:w="992" w:type="dxa"/>
            <w:vAlign w:val="center"/>
          </w:tcPr>
          <w:p w14:paraId="0E0B6EA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200</w:t>
            </w:r>
          </w:p>
        </w:tc>
        <w:tc>
          <w:tcPr>
            <w:tcW w:w="993" w:type="dxa"/>
            <w:vAlign w:val="center"/>
          </w:tcPr>
          <w:p w14:paraId="679FE77C">
            <w:pPr>
              <w:pStyle w:val="13"/>
              <w:spacing w:line="240" w:lineRule="exact"/>
              <w:ind w:firstLine="0" w:firstLineChars="0"/>
              <w:jc w:val="center"/>
              <w:rPr>
                <w:rFonts w:ascii="Times New Roman" w:hAnsi="Times New Roman"/>
                <w:szCs w:val="21"/>
                <w:u w:val="single"/>
              </w:rPr>
            </w:pPr>
          </w:p>
        </w:tc>
        <w:tc>
          <w:tcPr>
            <w:tcW w:w="1114" w:type="dxa"/>
            <w:vAlign w:val="center"/>
          </w:tcPr>
          <w:p w14:paraId="31980A08">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55</w:t>
            </w:r>
          </w:p>
        </w:tc>
        <w:tc>
          <w:tcPr>
            <w:tcW w:w="1114" w:type="dxa"/>
            <w:vAlign w:val="center"/>
          </w:tcPr>
          <w:p w14:paraId="7C80677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3.5</w:t>
            </w:r>
          </w:p>
        </w:tc>
        <w:tc>
          <w:tcPr>
            <w:tcW w:w="1088" w:type="dxa"/>
            <w:vAlign w:val="center"/>
          </w:tcPr>
          <w:p w14:paraId="0390CF4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r>
      <w:tr w14:paraId="19E86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23EACD0B">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循环冷却系统排水</w:t>
            </w:r>
          </w:p>
        </w:tc>
        <w:tc>
          <w:tcPr>
            <w:tcW w:w="992" w:type="dxa"/>
            <w:vAlign w:val="center"/>
          </w:tcPr>
          <w:p w14:paraId="01C8DDA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2.56</w:t>
            </w:r>
          </w:p>
        </w:tc>
        <w:tc>
          <w:tcPr>
            <w:tcW w:w="992" w:type="dxa"/>
            <w:vAlign w:val="center"/>
          </w:tcPr>
          <w:p w14:paraId="54A3ED5C">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11EB8A5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1427C49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60</w:t>
            </w:r>
          </w:p>
        </w:tc>
        <w:tc>
          <w:tcPr>
            <w:tcW w:w="851" w:type="dxa"/>
            <w:vAlign w:val="center"/>
          </w:tcPr>
          <w:p w14:paraId="54ADA52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15</w:t>
            </w:r>
          </w:p>
        </w:tc>
        <w:tc>
          <w:tcPr>
            <w:tcW w:w="992" w:type="dxa"/>
            <w:vAlign w:val="center"/>
          </w:tcPr>
          <w:p w14:paraId="24A6A4C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280B9885">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80</w:t>
            </w:r>
          </w:p>
        </w:tc>
        <w:tc>
          <w:tcPr>
            <w:tcW w:w="993" w:type="dxa"/>
            <w:vAlign w:val="center"/>
          </w:tcPr>
          <w:p w14:paraId="5FE6EB5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7141D5C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38DEB42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52B236A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r>
      <w:tr w14:paraId="60573B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6721FA9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合计</w:t>
            </w:r>
          </w:p>
        </w:tc>
        <w:tc>
          <w:tcPr>
            <w:tcW w:w="992" w:type="dxa"/>
            <w:vAlign w:val="center"/>
          </w:tcPr>
          <w:p w14:paraId="1D988E5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8.77</w:t>
            </w:r>
          </w:p>
        </w:tc>
        <w:tc>
          <w:tcPr>
            <w:tcW w:w="992" w:type="dxa"/>
            <w:vAlign w:val="center"/>
          </w:tcPr>
          <w:p w14:paraId="370FCAA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009A4F25">
            <w:pPr>
              <w:pStyle w:val="13"/>
              <w:spacing w:line="240" w:lineRule="exact"/>
              <w:ind w:firstLine="0" w:firstLineChars="0"/>
              <w:jc w:val="center"/>
              <w:rPr>
                <w:rFonts w:ascii="Times New Roman" w:hAnsi="Times New Roman"/>
                <w:spacing w:val="-6"/>
                <w:szCs w:val="21"/>
                <w:u w:val="single"/>
              </w:rPr>
            </w:pPr>
            <w:r>
              <w:rPr>
                <w:rFonts w:hint="eastAsia" w:ascii="Times New Roman" w:hAnsi="Times New Roman"/>
                <w:spacing w:val="-6"/>
                <w:szCs w:val="21"/>
                <w:u w:val="single"/>
              </w:rPr>
              <w:t>60</w:t>
            </w:r>
          </w:p>
        </w:tc>
        <w:tc>
          <w:tcPr>
            <w:tcW w:w="992" w:type="dxa"/>
            <w:vAlign w:val="center"/>
          </w:tcPr>
          <w:p w14:paraId="3ADAEB40">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210</w:t>
            </w:r>
          </w:p>
        </w:tc>
        <w:tc>
          <w:tcPr>
            <w:tcW w:w="851" w:type="dxa"/>
            <w:vAlign w:val="center"/>
          </w:tcPr>
          <w:p w14:paraId="7B7FC18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50.7</w:t>
            </w:r>
          </w:p>
        </w:tc>
        <w:tc>
          <w:tcPr>
            <w:tcW w:w="992" w:type="dxa"/>
            <w:vAlign w:val="center"/>
          </w:tcPr>
          <w:p w14:paraId="6F31389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3.3</w:t>
            </w:r>
          </w:p>
        </w:tc>
        <w:tc>
          <w:tcPr>
            <w:tcW w:w="992" w:type="dxa"/>
            <w:vAlign w:val="center"/>
          </w:tcPr>
          <w:p w14:paraId="4E54776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87.8</w:t>
            </w:r>
          </w:p>
        </w:tc>
        <w:tc>
          <w:tcPr>
            <w:tcW w:w="993" w:type="dxa"/>
            <w:vAlign w:val="center"/>
          </w:tcPr>
          <w:p w14:paraId="1976A5E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2268645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6</w:t>
            </w:r>
          </w:p>
        </w:tc>
        <w:tc>
          <w:tcPr>
            <w:tcW w:w="1114" w:type="dxa"/>
            <w:vAlign w:val="center"/>
          </w:tcPr>
          <w:p w14:paraId="77C875A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0.38</w:t>
            </w:r>
          </w:p>
        </w:tc>
        <w:tc>
          <w:tcPr>
            <w:tcW w:w="1088" w:type="dxa"/>
            <w:vAlign w:val="center"/>
          </w:tcPr>
          <w:p w14:paraId="111F9CC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4.4</w:t>
            </w:r>
          </w:p>
        </w:tc>
      </w:tr>
      <w:tr w14:paraId="1B503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164A777C">
            <w:pPr>
              <w:pStyle w:val="13"/>
              <w:spacing w:line="240" w:lineRule="exact"/>
              <w:ind w:firstLine="0" w:firstLineChars="0"/>
              <w:jc w:val="center"/>
              <w:rPr>
                <w:rFonts w:ascii="Times New Roman" w:hAnsi="Times New Roman"/>
                <w:szCs w:val="21"/>
                <w:highlight w:val="yellow"/>
                <w:u w:val="single"/>
              </w:rPr>
            </w:pPr>
            <w:r>
              <w:rPr>
                <w:rFonts w:ascii="Times New Roman" w:hAnsi="Times New Roman"/>
                <w:bCs/>
                <w:szCs w:val="21"/>
                <w:u w:val="single"/>
              </w:rPr>
              <w:t>唐庄污水处理厂收水标准</w:t>
            </w:r>
          </w:p>
        </w:tc>
        <w:tc>
          <w:tcPr>
            <w:tcW w:w="992" w:type="dxa"/>
            <w:vAlign w:val="center"/>
          </w:tcPr>
          <w:p w14:paraId="41D68E03">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7EAE720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5F12EB3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73D7A7C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360</w:t>
            </w:r>
          </w:p>
        </w:tc>
        <w:tc>
          <w:tcPr>
            <w:tcW w:w="851" w:type="dxa"/>
            <w:vAlign w:val="center"/>
          </w:tcPr>
          <w:p w14:paraId="334C599B">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200</w:t>
            </w:r>
          </w:p>
        </w:tc>
        <w:tc>
          <w:tcPr>
            <w:tcW w:w="992" w:type="dxa"/>
            <w:vAlign w:val="center"/>
          </w:tcPr>
          <w:p w14:paraId="131660C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30</w:t>
            </w:r>
          </w:p>
        </w:tc>
        <w:tc>
          <w:tcPr>
            <w:tcW w:w="992" w:type="dxa"/>
            <w:vAlign w:val="center"/>
          </w:tcPr>
          <w:p w14:paraId="5C8AB6F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280</w:t>
            </w:r>
          </w:p>
        </w:tc>
        <w:tc>
          <w:tcPr>
            <w:tcW w:w="993" w:type="dxa"/>
            <w:vAlign w:val="center"/>
          </w:tcPr>
          <w:p w14:paraId="5099D5F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1B409B4A">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40</w:t>
            </w:r>
          </w:p>
        </w:tc>
        <w:tc>
          <w:tcPr>
            <w:tcW w:w="1114" w:type="dxa"/>
            <w:vAlign w:val="center"/>
          </w:tcPr>
          <w:p w14:paraId="38B1E2A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w:t>
            </w:r>
          </w:p>
        </w:tc>
        <w:tc>
          <w:tcPr>
            <w:tcW w:w="1088" w:type="dxa"/>
            <w:vAlign w:val="center"/>
          </w:tcPr>
          <w:p w14:paraId="08AAA8B9">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r>
      <w:tr w14:paraId="5A638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45C3B903">
            <w:pPr>
              <w:pStyle w:val="13"/>
              <w:spacing w:line="240" w:lineRule="exact"/>
              <w:ind w:firstLine="0" w:firstLineChars="0"/>
              <w:jc w:val="center"/>
              <w:rPr>
                <w:rFonts w:ascii="Times New Roman" w:hAnsi="Times New Roman"/>
                <w:bCs/>
                <w:szCs w:val="21"/>
                <w:u w:val="single"/>
              </w:rPr>
            </w:pPr>
            <w:r>
              <w:rPr>
                <w:rFonts w:ascii="Times New Roman" w:hAnsi="Times New Roman"/>
                <w:bCs/>
                <w:szCs w:val="21"/>
                <w:u w:val="single"/>
              </w:rPr>
              <w:t>《化工行业水污染物间接排放标准》（DB41/1135-2016）</w:t>
            </w:r>
          </w:p>
        </w:tc>
        <w:tc>
          <w:tcPr>
            <w:tcW w:w="992" w:type="dxa"/>
            <w:vAlign w:val="center"/>
          </w:tcPr>
          <w:p w14:paraId="009D7D9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2BBB2B49">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34E7A0A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350A491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300</w:t>
            </w:r>
          </w:p>
        </w:tc>
        <w:tc>
          <w:tcPr>
            <w:tcW w:w="851" w:type="dxa"/>
            <w:vAlign w:val="center"/>
          </w:tcPr>
          <w:p w14:paraId="66A294F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150</w:t>
            </w:r>
          </w:p>
        </w:tc>
        <w:tc>
          <w:tcPr>
            <w:tcW w:w="992" w:type="dxa"/>
            <w:vAlign w:val="center"/>
          </w:tcPr>
          <w:p w14:paraId="063A94C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30</w:t>
            </w:r>
          </w:p>
        </w:tc>
        <w:tc>
          <w:tcPr>
            <w:tcW w:w="992" w:type="dxa"/>
            <w:vAlign w:val="center"/>
          </w:tcPr>
          <w:p w14:paraId="10695C0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150</w:t>
            </w:r>
          </w:p>
        </w:tc>
        <w:tc>
          <w:tcPr>
            <w:tcW w:w="993" w:type="dxa"/>
            <w:vAlign w:val="center"/>
          </w:tcPr>
          <w:p w14:paraId="34FC1697">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0AA219C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50</w:t>
            </w:r>
          </w:p>
        </w:tc>
        <w:tc>
          <w:tcPr>
            <w:tcW w:w="1114" w:type="dxa"/>
            <w:vAlign w:val="center"/>
          </w:tcPr>
          <w:p w14:paraId="45FB727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w:t>
            </w:r>
          </w:p>
        </w:tc>
        <w:tc>
          <w:tcPr>
            <w:tcW w:w="1088" w:type="dxa"/>
            <w:vAlign w:val="center"/>
          </w:tcPr>
          <w:p w14:paraId="3C44924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20</w:t>
            </w:r>
          </w:p>
        </w:tc>
      </w:tr>
      <w:tr w14:paraId="7880A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6D94B972">
            <w:pPr>
              <w:pStyle w:val="13"/>
              <w:spacing w:line="240" w:lineRule="exact"/>
              <w:ind w:firstLine="0" w:firstLineChars="0"/>
              <w:jc w:val="center"/>
              <w:rPr>
                <w:rFonts w:ascii="Times New Roman" w:hAnsi="Times New Roman"/>
                <w:bCs/>
                <w:szCs w:val="21"/>
                <w:u w:val="single"/>
              </w:rPr>
            </w:pPr>
            <w:r>
              <w:rPr>
                <w:rFonts w:ascii="Times New Roman" w:hAnsi="Times New Roman"/>
                <w:bCs/>
                <w:szCs w:val="21"/>
                <w:u w:val="single"/>
              </w:rPr>
              <w:t>达标情况</w:t>
            </w:r>
          </w:p>
        </w:tc>
        <w:tc>
          <w:tcPr>
            <w:tcW w:w="992" w:type="dxa"/>
            <w:vAlign w:val="center"/>
          </w:tcPr>
          <w:p w14:paraId="7D9B3928">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6DE139A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1134" w:type="dxa"/>
            <w:vAlign w:val="center"/>
          </w:tcPr>
          <w:p w14:paraId="46EC9F5A">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992" w:type="dxa"/>
            <w:vAlign w:val="center"/>
          </w:tcPr>
          <w:p w14:paraId="7EAA2837">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851" w:type="dxa"/>
            <w:vAlign w:val="center"/>
          </w:tcPr>
          <w:p w14:paraId="60D5D518">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992" w:type="dxa"/>
            <w:vAlign w:val="center"/>
          </w:tcPr>
          <w:p w14:paraId="065CD12A">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992" w:type="dxa"/>
            <w:vAlign w:val="center"/>
          </w:tcPr>
          <w:p w14:paraId="31D0EAC3">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993" w:type="dxa"/>
            <w:vAlign w:val="center"/>
          </w:tcPr>
          <w:p w14:paraId="36CAFEA7">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1114" w:type="dxa"/>
            <w:vAlign w:val="center"/>
          </w:tcPr>
          <w:p w14:paraId="151B504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1114" w:type="dxa"/>
            <w:vAlign w:val="center"/>
          </w:tcPr>
          <w:p w14:paraId="24980EE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达标</w:t>
            </w:r>
          </w:p>
        </w:tc>
        <w:tc>
          <w:tcPr>
            <w:tcW w:w="1088" w:type="dxa"/>
            <w:vAlign w:val="center"/>
          </w:tcPr>
          <w:p w14:paraId="369A0F6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r>
    </w:tbl>
    <w:p w14:paraId="17631604">
      <w:pPr>
        <w:ind w:firstLine="480"/>
      </w:pPr>
    </w:p>
    <w:p w14:paraId="03849103">
      <w:pPr>
        <w:spacing w:line="240" w:lineRule="auto"/>
        <w:ind w:firstLine="0" w:firstLineChars="0"/>
        <w:sectPr>
          <w:pgSz w:w="16838" w:h="11906" w:orient="landscape"/>
          <w:pgMar w:top="1797" w:right="1440" w:bottom="1797" w:left="1440" w:header="851" w:footer="992" w:gutter="0"/>
          <w:cols w:space="425" w:num="1"/>
          <w:docGrid w:linePitch="326" w:charSpace="0"/>
        </w:sectPr>
      </w:pPr>
    </w:p>
    <w:p w14:paraId="1D3EB8D4">
      <w:pPr>
        <w:ind w:firstLine="480"/>
        <w:rPr>
          <w:bCs/>
          <w:highlight w:val="yellow"/>
          <w:u w:val="single"/>
        </w:rPr>
      </w:pPr>
      <w:r>
        <w:rPr>
          <w:rFonts w:hint="eastAsia"/>
          <w:u w:val="single"/>
        </w:rPr>
        <w:t>根据上表，厂区总排口废水水质为</w:t>
      </w:r>
      <w:r>
        <w:rPr>
          <w:rFonts w:hint="eastAsia"/>
          <w:bCs/>
          <w:u w:val="single"/>
        </w:rPr>
        <w:t>pH 6~9、COD 210mg/L、BOD</w:t>
      </w:r>
      <w:r>
        <w:rPr>
          <w:rFonts w:hint="eastAsia"/>
          <w:bCs/>
          <w:u w:val="single"/>
          <w:vertAlign w:val="subscript"/>
        </w:rPr>
        <w:t>5</w:t>
      </w:r>
      <w:r>
        <w:rPr>
          <w:rFonts w:hint="eastAsia"/>
          <w:bCs/>
          <w:u w:val="single"/>
        </w:rPr>
        <w:t xml:space="preserve"> 50.7mg/L、SS 87.8mg/L、NH</w:t>
      </w:r>
      <w:r>
        <w:rPr>
          <w:rFonts w:hint="eastAsia"/>
          <w:bCs/>
          <w:u w:val="single"/>
          <w:vertAlign w:val="subscript"/>
        </w:rPr>
        <w:t>3</w:t>
      </w:r>
      <w:r>
        <w:rPr>
          <w:rFonts w:hint="eastAsia"/>
          <w:bCs/>
          <w:u w:val="single"/>
        </w:rPr>
        <w:t>-N 3.3mg/L、TN 6mg/L、TP 0.39mg/L、石油类4.4mg/L、硫酸钠194mg/L，能够满足</w:t>
      </w:r>
      <w:r>
        <w:rPr>
          <w:bCs/>
          <w:u w:val="single"/>
        </w:rPr>
        <w:t>《化工行业水污染物间接排放标准》（DB41/1</w:t>
      </w:r>
      <w:r>
        <w:rPr>
          <w:rFonts w:hint="eastAsia"/>
          <w:bCs/>
          <w:u w:val="single"/>
        </w:rPr>
        <w:t>135-2016</w:t>
      </w:r>
      <w:r>
        <w:rPr>
          <w:bCs/>
          <w:u w:val="single"/>
        </w:rPr>
        <w:t>）</w:t>
      </w:r>
      <w:r>
        <w:rPr>
          <w:rFonts w:hint="eastAsia"/>
          <w:bCs/>
          <w:u w:val="single"/>
        </w:rPr>
        <w:t>表1、表2间接排放限值要求（pH 6~9、COD 300mg/L、SS 150mg/L、NH</w:t>
      </w:r>
      <w:r>
        <w:rPr>
          <w:rFonts w:hint="eastAsia"/>
          <w:bCs/>
          <w:u w:val="single"/>
          <w:vertAlign w:val="subscript"/>
        </w:rPr>
        <w:t>3</w:t>
      </w:r>
      <w:r>
        <w:rPr>
          <w:rFonts w:hint="eastAsia"/>
          <w:bCs/>
          <w:u w:val="single"/>
        </w:rPr>
        <w:t>-N 30mg/L、TN 50mg/L、TP 5mg/L、石油类20</w:t>
      </w:r>
      <w:r>
        <w:rPr>
          <w:bCs/>
          <w:u w:val="single"/>
        </w:rPr>
        <w:t>mg/L</w:t>
      </w:r>
      <w:r>
        <w:rPr>
          <w:rFonts w:hint="eastAsia"/>
          <w:bCs/>
          <w:u w:val="single"/>
        </w:rPr>
        <w:t>），同时满足唐庄</w:t>
      </w:r>
      <w:r>
        <w:rPr>
          <w:bCs/>
          <w:u w:val="single"/>
        </w:rPr>
        <w:t>污水处理厂收水标准</w:t>
      </w:r>
      <w:r>
        <w:rPr>
          <w:rFonts w:hint="eastAsia"/>
          <w:bCs/>
          <w:u w:val="single"/>
        </w:rPr>
        <w:t>（pH 6~9、COD 360mg/L、BOD</w:t>
      </w:r>
      <w:r>
        <w:rPr>
          <w:rFonts w:hint="eastAsia"/>
          <w:bCs/>
          <w:u w:val="single"/>
          <w:vertAlign w:val="subscript"/>
        </w:rPr>
        <w:t>5</w:t>
      </w:r>
      <w:r>
        <w:rPr>
          <w:rFonts w:hint="eastAsia"/>
          <w:bCs/>
          <w:u w:val="single"/>
        </w:rPr>
        <w:t xml:space="preserve"> 200mg/L、SS 280mg/L、NH</w:t>
      </w:r>
      <w:r>
        <w:rPr>
          <w:rFonts w:hint="eastAsia"/>
          <w:bCs/>
          <w:u w:val="single"/>
          <w:vertAlign w:val="subscript"/>
        </w:rPr>
        <w:t>3</w:t>
      </w:r>
      <w:r>
        <w:rPr>
          <w:rFonts w:hint="eastAsia"/>
          <w:bCs/>
          <w:u w:val="single"/>
        </w:rPr>
        <w:t>-N 30mg/L、TN 40mg/L、TP 5mg/L）。</w:t>
      </w:r>
    </w:p>
    <w:p w14:paraId="294822F5">
      <w:pPr>
        <w:ind w:firstLine="480"/>
        <w:outlineLvl w:val="5"/>
      </w:pPr>
      <w:r>
        <w:rPr>
          <w:rFonts w:hint="eastAsia"/>
        </w:rPr>
        <w:t>（2）废水污染物排放情况</w:t>
      </w:r>
    </w:p>
    <w:p w14:paraId="48019C53">
      <w:pPr>
        <w:pStyle w:val="2"/>
        <w:spacing w:after="0"/>
        <w:ind w:firstLine="480"/>
        <w:rPr>
          <w:u w:val="single"/>
        </w:rPr>
      </w:pPr>
      <w:r>
        <w:rPr>
          <w:u w:val="single"/>
        </w:rPr>
        <w:t>本项目废水量为</w:t>
      </w:r>
      <w:r>
        <w:rPr>
          <w:rFonts w:hint="eastAsia"/>
          <w:bCs/>
          <w:szCs w:val="24"/>
          <w:u w:val="single"/>
        </w:rPr>
        <w:t>2192.5</w:t>
      </w:r>
      <w:r>
        <w:rPr>
          <w:bCs/>
          <w:szCs w:val="24"/>
          <w:u w:val="single"/>
        </w:rPr>
        <w:t>m</w:t>
      </w:r>
      <w:r>
        <w:rPr>
          <w:bCs/>
          <w:szCs w:val="24"/>
          <w:u w:val="single"/>
          <w:vertAlign w:val="superscript"/>
        </w:rPr>
        <w:t>3</w:t>
      </w:r>
      <w:r>
        <w:rPr>
          <w:bCs/>
          <w:szCs w:val="24"/>
          <w:u w:val="single"/>
        </w:rPr>
        <w:t>/a</w:t>
      </w:r>
      <w:r>
        <w:rPr>
          <w:rFonts w:hint="eastAsia" w:cs="宋体"/>
          <w:bCs/>
          <w:szCs w:val="24"/>
          <w:u w:val="single"/>
        </w:rPr>
        <w:t>（</w:t>
      </w:r>
      <w:r>
        <w:rPr>
          <w:rFonts w:hint="eastAsia"/>
          <w:bCs/>
          <w:szCs w:val="24"/>
          <w:u w:val="single"/>
        </w:rPr>
        <w:t>8.77</w:t>
      </w:r>
      <w:r>
        <w:rPr>
          <w:bCs/>
          <w:szCs w:val="24"/>
          <w:u w:val="single"/>
        </w:rPr>
        <w:t>m</w:t>
      </w:r>
      <w:r>
        <w:rPr>
          <w:bCs/>
          <w:szCs w:val="24"/>
          <w:u w:val="single"/>
          <w:vertAlign w:val="superscript"/>
        </w:rPr>
        <w:t>3</w:t>
      </w:r>
      <w:r>
        <w:rPr>
          <w:bCs/>
          <w:szCs w:val="24"/>
          <w:u w:val="single"/>
        </w:rPr>
        <w:t>/d）</w:t>
      </w:r>
      <w:r>
        <w:rPr>
          <w:szCs w:val="24"/>
          <w:u w:val="single"/>
        </w:rPr>
        <w:t>，</w:t>
      </w:r>
      <w:r>
        <w:rPr>
          <w:rFonts w:hint="eastAsia"/>
          <w:u w:val="single"/>
        </w:rPr>
        <w:t>喷淋废水、车间地面清洗废水经厂区污水处理站处理后与经化粪池处理后的生活污水、循环冷却系统排水</w:t>
      </w:r>
      <w:r>
        <w:rPr>
          <w:u w:val="single"/>
        </w:rPr>
        <w:t>一起由厂区总排口排入园区污水管网，再</w:t>
      </w:r>
      <w:r>
        <w:rPr>
          <w:rFonts w:hint="eastAsia"/>
          <w:u w:val="single"/>
        </w:rPr>
        <w:t>进入唐庄</w:t>
      </w:r>
      <w:r>
        <w:rPr>
          <w:u w:val="single"/>
        </w:rPr>
        <w:t>污水处理厂进行进一步处理，处理后排入</w:t>
      </w:r>
      <w:r>
        <w:rPr>
          <w:rFonts w:hint="eastAsia"/>
          <w:u w:val="single"/>
        </w:rPr>
        <w:t>共产主义渠</w:t>
      </w:r>
      <w:r>
        <w:rPr>
          <w:u w:val="single"/>
        </w:rPr>
        <w:t>。</w:t>
      </w:r>
      <w:r>
        <w:rPr>
          <w:rFonts w:hint="eastAsia"/>
          <w:u w:val="single"/>
        </w:rPr>
        <w:t>本项目厂区总排口</w:t>
      </w:r>
      <w:r>
        <w:rPr>
          <w:u w:val="single"/>
        </w:rPr>
        <w:t>出水浓度</w:t>
      </w:r>
      <w:r>
        <w:rPr>
          <w:rFonts w:hint="eastAsia"/>
          <w:u w:val="single"/>
        </w:rPr>
        <w:t>为</w:t>
      </w:r>
      <w:r>
        <w:rPr>
          <w:rFonts w:hint="eastAsia"/>
          <w:bCs/>
          <w:u w:val="single"/>
        </w:rPr>
        <w:t>COD 210mg/L、BOD</w:t>
      </w:r>
      <w:r>
        <w:rPr>
          <w:rFonts w:hint="eastAsia"/>
          <w:bCs/>
          <w:u w:val="single"/>
          <w:vertAlign w:val="subscript"/>
        </w:rPr>
        <w:t>5</w:t>
      </w:r>
      <w:r>
        <w:rPr>
          <w:rFonts w:hint="eastAsia"/>
          <w:bCs/>
          <w:u w:val="single"/>
        </w:rPr>
        <w:t xml:space="preserve"> 50.7mg/L、SS 87.8mg/L、NH</w:t>
      </w:r>
      <w:r>
        <w:rPr>
          <w:rFonts w:hint="eastAsia"/>
          <w:bCs/>
          <w:u w:val="single"/>
          <w:vertAlign w:val="subscript"/>
        </w:rPr>
        <w:t>3</w:t>
      </w:r>
      <w:r>
        <w:rPr>
          <w:rFonts w:hint="eastAsia"/>
          <w:bCs/>
          <w:u w:val="single"/>
        </w:rPr>
        <w:t>-N 3.3mg/L、TN 6mg/L、TP 0.39mg/L、石油类4.4mg/L</w:t>
      </w:r>
      <w:r>
        <w:rPr>
          <w:rFonts w:hint="eastAsia" w:eastAsiaTheme="minorEastAsia"/>
          <w:szCs w:val="24"/>
          <w:u w:val="single"/>
        </w:rPr>
        <w:t>，唐庄污水处理厂出水排放标准为</w:t>
      </w:r>
      <w:r>
        <w:rPr>
          <w:rFonts w:hint="eastAsia"/>
          <w:bCs/>
          <w:u w:val="single"/>
        </w:rPr>
        <w:t>COD 40mg/L、BOD</w:t>
      </w:r>
      <w:r>
        <w:rPr>
          <w:rFonts w:hint="eastAsia"/>
          <w:bCs/>
          <w:u w:val="single"/>
          <w:vertAlign w:val="subscript"/>
        </w:rPr>
        <w:t>5</w:t>
      </w:r>
      <w:r>
        <w:rPr>
          <w:rFonts w:hint="eastAsia"/>
          <w:bCs/>
          <w:u w:val="single"/>
        </w:rPr>
        <w:t xml:space="preserve"> 10mg/L、SS 10mg/L、NH</w:t>
      </w:r>
      <w:r>
        <w:rPr>
          <w:rFonts w:hint="eastAsia"/>
          <w:bCs/>
          <w:u w:val="single"/>
          <w:vertAlign w:val="subscript"/>
        </w:rPr>
        <w:t>3</w:t>
      </w:r>
      <w:r>
        <w:rPr>
          <w:rFonts w:hint="eastAsia"/>
          <w:bCs/>
          <w:u w:val="single"/>
        </w:rPr>
        <w:t>-N 2mg/L、TN 15mg/L、TP 0.4mg/L、石油类1mg/L。因厂区总排口废水污染物总氮、</w:t>
      </w:r>
      <w:r>
        <w:rPr>
          <w:bCs/>
          <w:u w:val="single"/>
        </w:rPr>
        <w:t>总磷</w:t>
      </w:r>
      <w:r>
        <w:rPr>
          <w:rFonts w:hint="eastAsia"/>
          <w:bCs/>
          <w:u w:val="single"/>
        </w:rPr>
        <w:t>小于唐庄污水处理厂排水浓度，故本项目排入外环境的废水污染物浓度为COD 40mg/L、BOD</w:t>
      </w:r>
      <w:r>
        <w:rPr>
          <w:rFonts w:hint="eastAsia"/>
          <w:bCs/>
          <w:u w:val="single"/>
          <w:vertAlign w:val="subscript"/>
        </w:rPr>
        <w:t>5</w:t>
      </w:r>
      <w:r>
        <w:rPr>
          <w:rFonts w:hint="eastAsia"/>
          <w:bCs/>
          <w:u w:val="single"/>
        </w:rPr>
        <w:t xml:space="preserve"> 10mg/L、SS 10mg/L、NH</w:t>
      </w:r>
      <w:r>
        <w:rPr>
          <w:rFonts w:hint="eastAsia"/>
          <w:bCs/>
          <w:u w:val="single"/>
          <w:vertAlign w:val="subscript"/>
        </w:rPr>
        <w:t>3</w:t>
      </w:r>
      <w:r>
        <w:rPr>
          <w:rFonts w:hint="eastAsia"/>
          <w:bCs/>
          <w:u w:val="single"/>
        </w:rPr>
        <w:t>-N 2mg/L、TN 6mg/L、TP 0.39mg/L、石油类1mg/L。</w:t>
      </w:r>
      <w:r>
        <w:rPr>
          <w:rFonts w:hint="eastAsia" w:eastAsiaTheme="minorEastAsia"/>
          <w:szCs w:val="24"/>
          <w:u w:val="single"/>
        </w:rPr>
        <w:t>则</w:t>
      </w:r>
      <w:r>
        <w:rPr>
          <w:u w:val="single"/>
        </w:rPr>
        <w:t>本项目</w:t>
      </w:r>
      <w:r>
        <w:rPr>
          <w:szCs w:val="24"/>
          <w:u w:val="single"/>
        </w:rPr>
        <w:t>废水污染物排放</w:t>
      </w:r>
      <w:r>
        <w:rPr>
          <w:rFonts w:hint="eastAsia"/>
          <w:szCs w:val="24"/>
          <w:u w:val="single"/>
        </w:rPr>
        <w:t>情况</w:t>
      </w:r>
      <w:r>
        <w:rPr>
          <w:szCs w:val="24"/>
          <w:u w:val="single"/>
        </w:rPr>
        <w:t>见下表：</w:t>
      </w:r>
    </w:p>
    <w:p w14:paraId="1A7FA6A2">
      <w:pPr>
        <w:pStyle w:val="99"/>
        <w:numPr>
          <w:ilvl w:val="4"/>
          <w:numId w:val="20"/>
        </w:numPr>
        <w:ind w:left="0" w:firstLine="480"/>
        <w:rPr>
          <w:rFonts w:eastAsia="黑体"/>
          <w:u w:val="single"/>
        </w:rPr>
      </w:pPr>
      <w:r>
        <w:rPr>
          <w:rFonts w:eastAsia="黑体"/>
          <w:u w:val="single"/>
        </w:rPr>
        <w:t xml:space="preserve">        本项目废水污染物排放情况一览表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09"/>
        <w:gridCol w:w="1180"/>
        <w:gridCol w:w="1710"/>
        <w:gridCol w:w="1423"/>
        <w:gridCol w:w="1772"/>
        <w:gridCol w:w="1448"/>
      </w:tblGrid>
      <w:tr w14:paraId="35610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pct"/>
            <w:vMerge w:val="restart"/>
            <w:noWrap/>
            <w:tcMar>
              <w:top w:w="15" w:type="dxa"/>
              <w:left w:w="15" w:type="dxa"/>
              <w:right w:w="15" w:type="dxa"/>
            </w:tcMar>
            <w:vAlign w:val="center"/>
          </w:tcPr>
          <w:p w14:paraId="587763A8">
            <w:pPr>
              <w:widowControl/>
              <w:spacing w:line="240" w:lineRule="auto"/>
              <w:ind w:firstLine="0" w:firstLineChars="0"/>
              <w:jc w:val="center"/>
              <w:textAlignment w:val="center"/>
              <w:rPr>
                <w:b/>
                <w:bCs/>
                <w:sz w:val="21"/>
                <w:szCs w:val="21"/>
                <w:u w:val="single"/>
              </w:rPr>
            </w:pPr>
            <w:r>
              <w:rPr>
                <w:b/>
                <w:bCs/>
                <w:sz w:val="21"/>
                <w:szCs w:val="21"/>
                <w:u w:val="single"/>
              </w:rPr>
              <w:t>类别</w:t>
            </w:r>
          </w:p>
        </w:tc>
        <w:tc>
          <w:tcPr>
            <w:tcW w:w="707" w:type="pct"/>
            <w:vMerge w:val="restart"/>
            <w:noWrap/>
            <w:tcMar>
              <w:top w:w="15" w:type="dxa"/>
              <w:left w:w="15" w:type="dxa"/>
              <w:right w:w="15" w:type="dxa"/>
            </w:tcMar>
            <w:vAlign w:val="center"/>
          </w:tcPr>
          <w:p w14:paraId="77371A44">
            <w:pPr>
              <w:widowControl/>
              <w:spacing w:line="240" w:lineRule="auto"/>
              <w:ind w:firstLine="0" w:firstLineChars="0"/>
              <w:jc w:val="center"/>
              <w:textAlignment w:val="center"/>
              <w:rPr>
                <w:b/>
                <w:bCs/>
                <w:sz w:val="21"/>
                <w:szCs w:val="21"/>
                <w:u w:val="single"/>
              </w:rPr>
            </w:pPr>
            <w:r>
              <w:rPr>
                <w:b/>
                <w:bCs/>
                <w:sz w:val="21"/>
                <w:szCs w:val="21"/>
                <w:u w:val="single"/>
              </w:rPr>
              <w:t>污染物</w:t>
            </w:r>
          </w:p>
        </w:tc>
        <w:tc>
          <w:tcPr>
            <w:tcW w:w="1878" w:type="pct"/>
            <w:gridSpan w:val="2"/>
            <w:noWrap/>
            <w:tcMar>
              <w:top w:w="15" w:type="dxa"/>
              <w:left w:w="15" w:type="dxa"/>
              <w:right w:w="15" w:type="dxa"/>
            </w:tcMar>
            <w:vAlign w:val="center"/>
          </w:tcPr>
          <w:p w14:paraId="17F794AC">
            <w:pPr>
              <w:widowControl/>
              <w:spacing w:line="240" w:lineRule="auto"/>
              <w:ind w:firstLine="0" w:firstLineChars="0"/>
              <w:jc w:val="center"/>
              <w:textAlignment w:val="center"/>
              <w:rPr>
                <w:b/>
                <w:bCs/>
                <w:sz w:val="21"/>
                <w:szCs w:val="21"/>
                <w:u w:val="single"/>
              </w:rPr>
            </w:pPr>
            <w:r>
              <w:rPr>
                <w:b/>
                <w:bCs/>
                <w:sz w:val="21"/>
                <w:szCs w:val="21"/>
                <w:u w:val="single"/>
              </w:rPr>
              <w:t>出厂</w:t>
            </w:r>
          </w:p>
        </w:tc>
        <w:tc>
          <w:tcPr>
            <w:tcW w:w="1930" w:type="pct"/>
            <w:gridSpan w:val="2"/>
            <w:noWrap/>
            <w:tcMar>
              <w:top w:w="15" w:type="dxa"/>
              <w:left w:w="15" w:type="dxa"/>
              <w:right w:w="15" w:type="dxa"/>
            </w:tcMar>
            <w:vAlign w:val="center"/>
          </w:tcPr>
          <w:p w14:paraId="100F489A">
            <w:pPr>
              <w:widowControl/>
              <w:spacing w:line="240" w:lineRule="auto"/>
              <w:ind w:firstLine="0" w:firstLineChars="0"/>
              <w:jc w:val="center"/>
              <w:textAlignment w:val="center"/>
              <w:rPr>
                <w:b/>
                <w:bCs/>
                <w:sz w:val="21"/>
                <w:szCs w:val="21"/>
                <w:u w:val="single"/>
              </w:rPr>
            </w:pPr>
            <w:r>
              <w:rPr>
                <w:b/>
                <w:bCs/>
                <w:sz w:val="21"/>
                <w:szCs w:val="21"/>
                <w:u w:val="single"/>
              </w:rPr>
              <w:t>排入外环境</w:t>
            </w:r>
          </w:p>
        </w:tc>
      </w:tr>
      <w:tr w14:paraId="3F421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pct"/>
            <w:vMerge w:val="continue"/>
            <w:shd w:val="clear" w:color="auto" w:fill="FFFFFF"/>
            <w:tcMar>
              <w:top w:w="15" w:type="dxa"/>
              <w:left w:w="15" w:type="dxa"/>
              <w:right w:w="15" w:type="dxa"/>
            </w:tcMar>
            <w:vAlign w:val="center"/>
          </w:tcPr>
          <w:p w14:paraId="66238D7F">
            <w:pPr>
              <w:widowControl/>
              <w:spacing w:line="240" w:lineRule="auto"/>
              <w:ind w:firstLine="0" w:firstLineChars="0"/>
              <w:jc w:val="center"/>
              <w:textAlignment w:val="center"/>
              <w:rPr>
                <w:b/>
                <w:bCs/>
                <w:sz w:val="21"/>
                <w:szCs w:val="21"/>
                <w:u w:val="single"/>
              </w:rPr>
            </w:pPr>
          </w:p>
        </w:tc>
        <w:tc>
          <w:tcPr>
            <w:tcW w:w="707" w:type="pct"/>
            <w:vMerge w:val="continue"/>
            <w:shd w:val="clear" w:color="auto" w:fill="FFFFFF"/>
            <w:tcMar>
              <w:top w:w="15" w:type="dxa"/>
              <w:left w:w="15" w:type="dxa"/>
              <w:right w:w="15" w:type="dxa"/>
            </w:tcMar>
            <w:vAlign w:val="center"/>
          </w:tcPr>
          <w:p w14:paraId="7CF81E32">
            <w:pPr>
              <w:widowControl/>
              <w:spacing w:line="240" w:lineRule="auto"/>
              <w:ind w:firstLine="0" w:firstLineChars="0"/>
              <w:jc w:val="center"/>
              <w:textAlignment w:val="center"/>
              <w:rPr>
                <w:b/>
                <w:bCs/>
                <w:sz w:val="21"/>
                <w:szCs w:val="21"/>
                <w:u w:val="single"/>
              </w:rPr>
            </w:pPr>
          </w:p>
        </w:tc>
        <w:tc>
          <w:tcPr>
            <w:tcW w:w="1025" w:type="pct"/>
            <w:noWrap/>
            <w:tcMar>
              <w:top w:w="15" w:type="dxa"/>
              <w:left w:w="15" w:type="dxa"/>
              <w:right w:w="15" w:type="dxa"/>
            </w:tcMar>
            <w:vAlign w:val="center"/>
          </w:tcPr>
          <w:p w14:paraId="55AB54EE">
            <w:pPr>
              <w:widowControl/>
              <w:spacing w:line="240" w:lineRule="auto"/>
              <w:ind w:firstLine="0" w:firstLineChars="0"/>
              <w:jc w:val="center"/>
              <w:textAlignment w:val="center"/>
              <w:rPr>
                <w:b/>
                <w:bCs/>
                <w:sz w:val="21"/>
                <w:szCs w:val="21"/>
                <w:u w:val="single"/>
              </w:rPr>
            </w:pPr>
            <w:r>
              <w:rPr>
                <w:b/>
                <w:bCs/>
                <w:sz w:val="21"/>
                <w:szCs w:val="21"/>
                <w:u w:val="single"/>
              </w:rPr>
              <w:t>排放浓度mg/L</w:t>
            </w:r>
          </w:p>
        </w:tc>
        <w:tc>
          <w:tcPr>
            <w:tcW w:w="853" w:type="pct"/>
            <w:vAlign w:val="center"/>
          </w:tcPr>
          <w:p w14:paraId="28E6168A">
            <w:pPr>
              <w:widowControl/>
              <w:spacing w:line="240" w:lineRule="auto"/>
              <w:ind w:firstLine="0" w:firstLineChars="0"/>
              <w:jc w:val="center"/>
              <w:textAlignment w:val="center"/>
              <w:rPr>
                <w:b/>
                <w:bCs/>
                <w:sz w:val="21"/>
                <w:szCs w:val="21"/>
                <w:u w:val="single"/>
              </w:rPr>
            </w:pPr>
            <w:r>
              <w:rPr>
                <w:b/>
                <w:bCs/>
                <w:sz w:val="21"/>
                <w:szCs w:val="21"/>
                <w:u w:val="single"/>
              </w:rPr>
              <w:t>排放量t/a</w:t>
            </w:r>
          </w:p>
        </w:tc>
        <w:tc>
          <w:tcPr>
            <w:tcW w:w="1062" w:type="pct"/>
            <w:noWrap/>
            <w:tcMar>
              <w:top w:w="15" w:type="dxa"/>
              <w:left w:w="15" w:type="dxa"/>
              <w:right w:w="15" w:type="dxa"/>
            </w:tcMar>
            <w:vAlign w:val="center"/>
          </w:tcPr>
          <w:p w14:paraId="1DFB6B13">
            <w:pPr>
              <w:widowControl/>
              <w:spacing w:line="240" w:lineRule="auto"/>
              <w:ind w:firstLine="0" w:firstLineChars="0"/>
              <w:jc w:val="center"/>
              <w:textAlignment w:val="center"/>
              <w:rPr>
                <w:b/>
                <w:bCs/>
                <w:sz w:val="21"/>
                <w:szCs w:val="21"/>
                <w:u w:val="single"/>
              </w:rPr>
            </w:pPr>
            <w:r>
              <w:rPr>
                <w:b/>
                <w:bCs/>
                <w:sz w:val="21"/>
                <w:szCs w:val="21"/>
                <w:u w:val="single"/>
              </w:rPr>
              <w:t>排放浓度mg/L</w:t>
            </w:r>
          </w:p>
        </w:tc>
        <w:tc>
          <w:tcPr>
            <w:tcW w:w="868" w:type="pct"/>
            <w:noWrap/>
            <w:tcMar>
              <w:top w:w="15" w:type="dxa"/>
              <w:left w:w="15" w:type="dxa"/>
              <w:right w:w="15" w:type="dxa"/>
            </w:tcMar>
            <w:vAlign w:val="center"/>
          </w:tcPr>
          <w:p w14:paraId="5147818E">
            <w:pPr>
              <w:widowControl/>
              <w:spacing w:line="240" w:lineRule="auto"/>
              <w:ind w:firstLine="0" w:firstLineChars="0"/>
              <w:jc w:val="center"/>
              <w:textAlignment w:val="center"/>
              <w:rPr>
                <w:sz w:val="21"/>
                <w:szCs w:val="21"/>
                <w:u w:val="single"/>
              </w:rPr>
            </w:pPr>
            <w:r>
              <w:rPr>
                <w:b/>
                <w:bCs/>
                <w:sz w:val="21"/>
                <w:szCs w:val="21"/>
                <w:u w:val="single"/>
              </w:rPr>
              <w:t>排放量t/a</w:t>
            </w:r>
          </w:p>
        </w:tc>
      </w:tr>
      <w:tr w14:paraId="0DB1D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pct"/>
            <w:vMerge w:val="restart"/>
            <w:shd w:val="clear" w:color="auto" w:fill="FFFFFF"/>
            <w:tcMar>
              <w:top w:w="15" w:type="dxa"/>
              <w:left w:w="15" w:type="dxa"/>
              <w:right w:w="15" w:type="dxa"/>
            </w:tcMar>
            <w:vAlign w:val="center"/>
          </w:tcPr>
          <w:p w14:paraId="64F7E8AB">
            <w:pPr>
              <w:widowControl/>
              <w:spacing w:line="240" w:lineRule="auto"/>
              <w:ind w:firstLine="0" w:firstLineChars="0"/>
              <w:jc w:val="center"/>
              <w:textAlignment w:val="center"/>
              <w:rPr>
                <w:sz w:val="21"/>
                <w:szCs w:val="21"/>
                <w:u w:val="single"/>
              </w:rPr>
            </w:pPr>
            <w:r>
              <w:rPr>
                <w:sz w:val="21"/>
                <w:szCs w:val="21"/>
                <w:u w:val="single"/>
              </w:rPr>
              <w:t>废水</w:t>
            </w:r>
          </w:p>
        </w:tc>
        <w:tc>
          <w:tcPr>
            <w:tcW w:w="707" w:type="pct"/>
            <w:shd w:val="clear" w:color="auto" w:fill="FFFFFF"/>
            <w:tcMar>
              <w:top w:w="15" w:type="dxa"/>
              <w:left w:w="15" w:type="dxa"/>
              <w:right w:w="15" w:type="dxa"/>
            </w:tcMar>
            <w:vAlign w:val="center"/>
          </w:tcPr>
          <w:p w14:paraId="15A5D884">
            <w:pPr>
              <w:widowControl/>
              <w:spacing w:line="240" w:lineRule="auto"/>
              <w:ind w:firstLine="0" w:firstLineChars="0"/>
              <w:jc w:val="center"/>
              <w:textAlignment w:val="center"/>
              <w:rPr>
                <w:sz w:val="21"/>
                <w:szCs w:val="21"/>
                <w:u w:val="single"/>
              </w:rPr>
            </w:pPr>
            <w:r>
              <w:rPr>
                <w:sz w:val="21"/>
                <w:szCs w:val="21"/>
                <w:u w:val="single"/>
              </w:rPr>
              <w:t>COD</w:t>
            </w:r>
          </w:p>
        </w:tc>
        <w:tc>
          <w:tcPr>
            <w:tcW w:w="1025" w:type="pct"/>
            <w:noWrap/>
            <w:tcMar>
              <w:top w:w="15" w:type="dxa"/>
              <w:left w:w="15" w:type="dxa"/>
              <w:right w:w="15" w:type="dxa"/>
            </w:tcMar>
            <w:vAlign w:val="center"/>
          </w:tcPr>
          <w:p w14:paraId="1670051D">
            <w:pPr>
              <w:widowControl/>
              <w:spacing w:line="240" w:lineRule="auto"/>
              <w:ind w:firstLine="0" w:firstLineChars="0"/>
              <w:jc w:val="center"/>
              <w:textAlignment w:val="center"/>
              <w:rPr>
                <w:sz w:val="21"/>
                <w:szCs w:val="21"/>
                <w:u w:val="single"/>
              </w:rPr>
            </w:pPr>
            <w:r>
              <w:rPr>
                <w:rFonts w:hint="eastAsia"/>
                <w:sz w:val="21"/>
                <w:szCs w:val="21"/>
                <w:u w:val="single"/>
              </w:rPr>
              <w:t>210</w:t>
            </w:r>
          </w:p>
        </w:tc>
        <w:tc>
          <w:tcPr>
            <w:tcW w:w="853" w:type="pct"/>
            <w:vAlign w:val="center"/>
          </w:tcPr>
          <w:p w14:paraId="6280F61C">
            <w:pPr>
              <w:widowControl/>
              <w:spacing w:line="240" w:lineRule="auto"/>
              <w:ind w:firstLine="0" w:firstLineChars="0"/>
              <w:jc w:val="center"/>
              <w:textAlignment w:val="center"/>
              <w:rPr>
                <w:sz w:val="21"/>
                <w:szCs w:val="21"/>
                <w:u w:val="single"/>
              </w:rPr>
            </w:pPr>
            <w:r>
              <w:rPr>
                <w:rFonts w:hint="eastAsia"/>
                <w:sz w:val="21"/>
                <w:szCs w:val="21"/>
                <w:u w:val="single"/>
              </w:rPr>
              <w:t>0.4604</w:t>
            </w:r>
          </w:p>
        </w:tc>
        <w:tc>
          <w:tcPr>
            <w:tcW w:w="1062" w:type="pct"/>
            <w:noWrap/>
            <w:tcMar>
              <w:top w:w="15" w:type="dxa"/>
              <w:left w:w="15" w:type="dxa"/>
              <w:right w:w="15" w:type="dxa"/>
            </w:tcMar>
            <w:vAlign w:val="center"/>
          </w:tcPr>
          <w:p w14:paraId="086E8271">
            <w:pPr>
              <w:widowControl/>
              <w:spacing w:line="240" w:lineRule="auto"/>
              <w:ind w:firstLine="0" w:firstLineChars="0"/>
              <w:jc w:val="center"/>
              <w:textAlignment w:val="center"/>
              <w:rPr>
                <w:sz w:val="21"/>
                <w:szCs w:val="21"/>
                <w:u w:val="single"/>
              </w:rPr>
            </w:pPr>
            <w:r>
              <w:rPr>
                <w:sz w:val="21"/>
                <w:szCs w:val="21"/>
                <w:u w:val="single"/>
              </w:rPr>
              <w:t>40</w:t>
            </w:r>
          </w:p>
        </w:tc>
        <w:tc>
          <w:tcPr>
            <w:tcW w:w="868" w:type="pct"/>
            <w:noWrap/>
            <w:tcMar>
              <w:top w:w="15" w:type="dxa"/>
              <w:left w:w="15" w:type="dxa"/>
              <w:right w:w="15" w:type="dxa"/>
            </w:tcMar>
            <w:vAlign w:val="center"/>
          </w:tcPr>
          <w:p w14:paraId="128EDC9B">
            <w:pPr>
              <w:widowControl/>
              <w:spacing w:line="240" w:lineRule="auto"/>
              <w:ind w:firstLine="0" w:firstLineChars="0"/>
              <w:jc w:val="center"/>
              <w:textAlignment w:val="center"/>
              <w:rPr>
                <w:sz w:val="21"/>
                <w:szCs w:val="21"/>
                <w:u w:val="single"/>
              </w:rPr>
            </w:pPr>
            <w:r>
              <w:rPr>
                <w:rFonts w:hint="eastAsia"/>
                <w:sz w:val="21"/>
                <w:szCs w:val="21"/>
                <w:u w:val="single"/>
              </w:rPr>
              <w:t>0.0877</w:t>
            </w:r>
          </w:p>
        </w:tc>
      </w:tr>
      <w:tr w14:paraId="74BD4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pct"/>
            <w:vMerge w:val="continue"/>
            <w:shd w:val="clear" w:color="auto" w:fill="FFFFFF"/>
            <w:tcMar>
              <w:top w:w="15" w:type="dxa"/>
              <w:left w:w="15" w:type="dxa"/>
              <w:right w:w="15" w:type="dxa"/>
            </w:tcMar>
            <w:vAlign w:val="center"/>
          </w:tcPr>
          <w:p w14:paraId="566B7B7F">
            <w:pPr>
              <w:widowControl/>
              <w:spacing w:line="240" w:lineRule="auto"/>
              <w:ind w:firstLine="0" w:firstLineChars="0"/>
              <w:jc w:val="center"/>
              <w:textAlignment w:val="center"/>
              <w:rPr>
                <w:sz w:val="21"/>
                <w:szCs w:val="21"/>
                <w:u w:val="single"/>
              </w:rPr>
            </w:pPr>
          </w:p>
        </w:tc>
        <w:tc>
          <w:tcPr>
            <w:tcW w:w="707" w:type="pct"/>
            <w:shd w:val="clear" w:color="auto" w:fill="FFFFFF"/>
            <w:tcMar>
              <w:top w:w="15" w:type="dxa"/>
              <w:left w:w="15" w:type="dxa"/>
              <w:right w:w="15" w:type="dxa"/>
            </w:tcMar>
            <w:vAlign w:val="center"/>
          </w:tcPr>
          <w:p w14:paraId="746DA487">
            <w:pPr>
              <w:widowControl/>
              <w:spacing w:line="240" w:lineRule="auto"/>
              <w:ind w:firstLine="0" w:firstLineChars="0"/>
              <w:jc w:val="center"/>
              <w:textAlignment w:val="center"/>
              <w:rPr>
                <w:sz w:val="21"/>
                <w:szCs w:val="21"/>
                <w:u w:val="single"/>
              </w:rPr>
            </w:pPr>
            <w:r>
              <w:rPr>
                <w:sz w:val="21"/>
                <w:szCs w:val="21"/>
                <w:u w:val="single"/>
              </w:rPr>
              <w:t>BOD</w:t>
            </w:r>
            <w:r>
              <w:rPr>
                <w:sz w:val="21"/>
                <w:szCs w:val="21"/>
                <w:u w:val="single"/>
                <w:vertAlign w:val="subscript"/>
              </w:rPr>
              <w:t>5</w:t>
            </w:r>
          </w:p>
        </w:tc>
        <w:tc>
          <w:tcPr>
            <w:tcW w:w="1025" w:type="pct"/>
            <w:noWrap/>
            <w:tcMar>
              <w:top w:w="15" w:type="dxa"/>
              <w:left w:w="15" w:type="dxa"/>
              <w:right w:w="15" w:type="dxa"/>
            </w:tcMar>
            <w:vAlign w:val="center"/>
          </w:tcPr>
          <w:p w14:paraId="2D4DD6BD">
            <w:pPr>
              <w:widowControl/>
              <w:spacing w:line="240" w:lineRule="auto"/>
              <w:ind w:firstLine="0" w:firstLineChars="0"/>
              <w:jc w:val="center"/>
              <w:textAlignment w:val="center"/>
              <w:rPr>
                <w:sz w:val="21"/>
                <w:szCs w:val="21"/>
                <w:u w:val="single"/>
              </w:rPr>
            </w:pPr>
            <w:r>
              <w:rPr>
                <w:rFonts w:hint="eastAsia"/>
                <w:sz w:val="21"/>
                <w:szCs w:val="21"/>
                <w:u w:val="single"/>
              </w:rPr>
              <w:t>50.7</w:t>
            </w:r>
          </w:p>
        </w:tc>
        <w:tc>
          <w:tcPr>
            <w:tcW w:w="853" w:type="pct"/>
            <w:vAlign w:val="center"/>
          </w:tcPr>
          <w:p w14:paraId="1E33E8B4">
            <w:pPr>
              <w:widowControl/>
              <w:spacing w:line="240" w:lineRule="auto"/>
              <w:ind w:firstLine="0" w:firstLineChars="0"/>
              <w:jc w:val="center"/>
              <w:textAlignment w:val="center"/>
              <w:rPr>
                <w:sz w:val="21"/>
                <w:szCs w:val="21"/>
                <w:u w:val="single"/>
              </w:rPr>
            </w:pPr>
            <w:r>
              <w:rPr>
                <w:rFonts w:hint="eastAsia"/>
                <w:sz w:val="21"/>
                <w:szCs w:val="21"/>
                <w:u w:val="single"/>
              </w:rPr>
              <w:t>0.1111</w:t>
            </w:r>
          </w:p>
        </w:tc>
        <w:tc>
          <w:tcPr>
            <w:tcW w:w="1062" w:type="pct"/>
            <w:noWrap/>
            <w:tcMar>
              <w:top w:w="15" w:type="dxa"/>
              <w:left w:w="15" w:type="dxa"/>
              <w:right w:w="15" w:type="dxa"/>
            </w:tcMar>
            <w:vAlign w:val="center"/>
          </w:tcPr>
          <w:p w14:paraId="48730547">
            <w:pPr>
              <w:widowControl/>
              <w:spacing w:line="240" w:lineRule="auto"/>
              <w:ind w:firstLine="0" w:firstLineChars="0"/>
              <w:jc w:val="center"/>
              <w:textAlignment w:val="center"/>
              <w:rPr>
                <w:sz w:val="21"/>
                <w:szCs w:val="21"/>
                <w:u w:val="single"/>
              </w:rPr>
            </w:pPr>
            <w:r>
              <w:rPr>
                <w:sz w:val="21"/>
                <w:szCs w:val="21"/>
                <w:u w:val="single"/>
              </w:rPr>
              <w:t>10</w:t>
            </w:r>
          </w:p>
        </w:tc>
        <w:tc>
          <w:tcPr>
            <w:tcW w:w="868" w:type="pct"/>
            <w:noWrap/>
            <w:tcMar>
              <w:top w:w="15" w:type="dxa"/>
              <w:left w:w="15" w:type="dxa"/>
              <w:right w:w="15" w:type="dxa"/>
            </w:tcMar>
            <w:vAlign w:val="center"/>
          </w:tcPr>
          <w:p w14:paraId="7F9E3DFF">
            <w:pPr>
              <w:widowControl/>
              <w:spacing w:line="240" w:lineRule="auto"/>
              <w:ind w:firstLine="0" w:firstLineChars="0"/>
              <w:jc w:val="center"/>
              <w:textAlignment w:val="center"/>
              <w:rPr>
                <w:sz w:val="21"/>
                <w:szCs w:val="21"/>
                <w:u w:val="single"/>
              </w:rPr>
            </w:pPr>
            <w:r>
              <w:rPr>
                <w:rFonts w:hint="eastAsia"/>
                <w:sz w:val="21"/>
                <w:szCs w:val="21"/>
                <w:u w:val="single"/>
              </w:rPr>
              <w:t>0.0219</w:t>
            </w:r>
          </w:p>
        </w:tc>
      </w:tr>
      <w:tr w14:paraId="46E21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pct"/>
            <w:vMerge w:val="continue"/>
            <w:shd w:val="clear" w:color="auto" w:fill="FFFFFF"/>
            <w:tcMar>
              <w:top w:w="15" w:type="dxa"/>
              <w:left w:w="15" w:type="dxa"/>
              <w:right w:w="15" w:type="dxa"/>
            </w:tcMar>
            <w:vAlign w:val="center"/>
          </w:tcPr>
          <w:p w14:paraId="7ACEC7C2">
            <w:pPr>
              <w:widowControl/>
              <w:spacing w:line="240" w:lineRule="auto"/>
              <w:ind w:firstLine="0" w:firstLineChars="0"/>
              <w:jc w:val="center"/>
              <w:textAlignment w:val="center"/>
              <w:rPr>
                <w:sz w:val="21"/>
                <w:szCs w:val="21"/>
                <w:u w:val="single"/>
              </w:rPr>
            </w:pPr>
          </w:p>
        </w:tc>
        <w:tc>
          <w:tcPr>
            <w:tcW w:w="707" w:type="pct"/>
            <w:shd w:val="clear" w:color="auto" w:fill="FFFFFF"/>
            <w:tcMar>
              <w:top w:w="15" w:type="dxa"/>
              <w:left w:w="15" w:type="dxa"/>
              <w:right w:w="15" w:type="dxa"/>
            </w:tcMar>
            <w:vAlign w:val="center"/>
          </w:tcPr>
          <w:p w14:paraId="69D25270">
            <w:pPr>
              <w:widowControl/>
              <w:spacing w:line="240" w:lineRule="auto"/>
              <w:ind w:firstLine="0" w:firstLineChars="0"/>
              <w:jc w:val="center"/>
              <w:textAlignment w:val="center"/>
              <w:rPr>
                <w:sz w:val="21"/>
                <w:szCs w:val="21"/>
                <w:u w:val="single"/>
              </w:rPr>
            </w:pPr>
            <w:r>
              <w:rPr>
                <w:sz w:val="21"/>
                <w:szCs w:val="21"/>
                <w:u w:val="single"/>
              </w:rPr>
              <w:t>氨氮</w:t>
            </w:r>
          </w:p>
        </w:tc>
        <w:tc>
          <w:tcPr>
            <w:tcW w:w="1025" w:type="pct"/>
            <w:noWrap/>
            <w:tcMar>
              <w:top w:w="15" w:type="dxa"/>
              <w:left w:w="15" w:type="dxa"/>
              <w:right w:w="15" w:type="dxa"/>
            </w:tcMar>
            <w:vAlign w:val="center"/>
          </w:tcPr>
          <w:p w14:paraId="44B1815B">
            <w:pPr>
              <w:widowControl/>
              <w:spacing w:line="240" w:lineRule="auto"/>
              <w:ind w:firstLine="0" w:firstLineChars="0"/>
              <w:jc w:val="center"/>
              <w:textAlignment w:val="center"/>
              <w:rPr>
                <w:sz w:val="21"/>
                <w:szCs w:val="21"/>
                <w:u w:val="single"/>
              </w:rPr>
            </w:pPr>
            <w:r>
              <w:rPr>
                <w:rFonts w:hint="eastAsia"/>
                <w:sz w:val="21"/>
                <w:szCs w:val="21"/>
                <w:u w:val="single"/>
              </w:rPr>
              <w:t>3.3</w:t>
            </w:r>
          </w:p>
        </w:tc>
        <w:tc>
          <w:tcPr>
            <w:tcW w:w="853" w:type="pct"/>
            <w:vAlign w:val="center"/>
          </w:tcPr>
          <w:p w14:paraId="68BC64C3">
            <w:pPr>
              <w:widowControl/>
              <w:spacing w:line="240" w:lineRule="auto"/>
              <w:ind w:firstLine="0" w:firstLineChars="0"/>
              <w:jc w:val="center"/>
              <w:textAlignment w:val="center"/>
              <w:rPr>
                <w:sz w:val="21"/>
                <w:szCs w:val="21"/>
                <w:u w:val="single"/>
              </w:rPr>
            </w:pPr>
            <w:r>
              <w:rPr>
                <w:rFonts w:hint="eastAsia"/>
                <w:sz w:val="21"/>
                <w:szCs w:val="21"/>
                <w:u w:val="single"/>
              </w:rPr>
              <w:t>0.0072</w:t>
            </w:r>
          </w:p>
        </w:tc>
        <w:tc>
          <w:tcPr>
            <w:tcW w:w="1062" w:type="pct"/>
            <w:noWrap/>
            <w:tcMar>
              <w:top w:w="15" w:type="dxa"/>
              <w:left w:w="15" w:type="dxa"/>
              <w:right w:w="15" w:type="dxa"/>
            </w:tcMar>
            <w:vAlign w:val="center"/>
          </w:tcPr>
          <w:p w14:paraId="1E726B7A">
            <w:pPr>
              <w:widowControl/>
              <w:spacing w:line="240" w:lineRule="auto"/>
              <w:ind w:firstLine="0" w:firstLineChars="0"/>
              <w:jc w:val="center"/>
              <w:textAlignment w:val="center"/>
              <w:rPr>
                <w:sz w:val="21"/>
                <w:szCs w:val="21"/>
                <w:u w:val="single"/>
              </w:rPr>
            </w:pPr>
            <w:r>
              <w:rPr>
                <w:rFonts w:hint="eastAsia"/>
                <w:sz w:val="21"/>
                <w:szCs w:val="21"/>
                <w:u w:val="single"/>
              </w:rPr>
              <w:t>2</w:t>
            </w:r>
          </w:p>
        </w:tc>
        <w:tc>
          <w:tcPr>
            <w:tcW w:w="868" w:type="pct"/>
            <w:noWrap/>
            <w:tcMar>
              <w:top w:w="15" w:type="dxa"/>
              <w:left w:w="15" w:type="dxa"/>
              <w:right w:w="15" w:type="dxa"/>
            </w:tcMar>
            <w:vAlign w:val="center"/>
          </w:tcPr>
          <w:p w14:paraId="2691EA9C">
            <w:pPr>
              <w:widowControl/>
              <w:spacing w:line="240" w:lineRule="auto"/>
              <w:ind w:firstLine="0" w:firstLineChars="0"/>
              <w:jc w:val="center"/>
              <w:textAlignment w:val="center"/>
              <w:rPr>
                <w:sz w:val="21"/>
                <w:szCs w:val="21"/>
                <w:u w:val="single"/>
              </w:rPr>
            </w:pPr>
            <w:r>
              <w:rPr>
                <w:rFonts w:hint="eastAsia"/>
                <w:sz w:val="21"/>
                <w:szCs w:val="21"/>
                <w:u w:val="single"/>
              </w:rPr>
              <w:t>0.0044</w:t>
            </w:r>
          </w:p>
        </w:tc>
      </w:tr>
      <w:tr w14:paraId="207FB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pct"/>
            <w:vMerge w:val="continue"/>
            <w:shd w:val="clear" w:color="auto" w:fill="FFFFFF"/>
            <w:tcMar>
              <w:top w:w="15" w:type="dxa"/>
              <w:left w:w="15" w:type="dxa"/>
              <w:right w:w="15" w:type="dxa"/>
            </w:tcMar>
            <w:vAlign w:val="center"/>
          </w:tcPr>
          <w:p w14:paraId="6B1F39F9">
            <w:pPr>
              <w:widowControl/>
              <w:spacing w:line="240" w:lineRule="auto"/>
              <w:ind w:firstLine="0" w:firstLineChars="0"/>
              <w:jc w:val="center"/>
              <w:textAlignment w:val="center"/>
              <w:rPr>
                <w:sz w:val="21"/>
                <w:szCs w:val="21"/>
                <w:u w:val="single"/>
              </w:rPr>
            </w:pPr>
          </w:p>
        </w:tc>
        <w:tc>
          <w:tcPr>
            <w:tcW w:w="707" w:type="pct"/>
            <w:shd w:val="clear" w:color="auto" w:fill="FFFFFF"/>
            <w:tcMar>
              <w:top w:w="15" w:type="dxa"/>
              <w:left w:w="15" w:type="dxa"/>
              <w:right w:w="15" w:type="dxa"/>
            </w:tcMar>
            <w:vAlign w:val="center"/>
          </w:tcPr>
          <w:p w14:paraId="27FFFC5F">
            <w:pPr>
              <w:widowControl/>
              <w:spacing w:line="240" w:lineRule="auto"/>
              <w:ind w:firstLine="0" w:firstLineChars="0"/>
              <w:jc w:val="center"/>
              <w:textAlignment w:val="center"/>
              <w:rPr>
                <w:sz w:val="21"/>
                <w:szCs w:val="21"/>
                <w:u w:val="single"/>
              </w:rPr>
            </w:pPr>
            <w:r>
              <w:rPr>
                <w:sz w:val="21"/>
                <w:szCs w:val="21"/>
                <w:u w:val="single"/>
              </w:rPr>
              <w:t>总氮</w:t>
            </w:r>
          </w:p>
        </w:tc>
        <w:tc>
          <w:tcPr>
            <w:tcW w:w="1025" w:type="pct"/>
            <w:noWrap/>
            <w:tcMar>
              <w:top w:w="15" w:type="dxa"/>
              <w:left w:w="15" w:type="dxa"/>
              <w:right w:w="15" w:type="dxa"/>
            </w:tcMar>
            <w:vAlign w:val="center"/>
          </w:tcPr>
          <w:p w14:paraId="2281862E">
            <w:pPr>
              <w:widowControl/>
              <w:spacing w:line="240" w:lineRule="auto"/>
              <w:ind w:firstLine="0" w:firstLineChars="0"/>
              <w:jc w:val="center"/>
              <w:textAlignment w:val="center"/>
              <w:rPr>
                <w:sz w:val="21"/>
                <w:szCs w:val="21"/>
                <w:u w:val="single"/>
              </w:rPr>
            </w:pPr>
            <w:r>
              <w:rPr>
                <w:rFonts w:hint="eastAsia"/>
                <w:sz w:val="21"/>
                <w:szCs w:val="21"/>
                <w:u w:val="single"/>
              </w:rPr>
              <w:t>6</w:t>
            </w:r>
          </w:p>
        </w:tc>
        <w:tc>
          <w:tcPr>
            <w:tcW w:w="853" w:type="pct"/>
            <w:vAlign w:val="center"/>
          </w:tcPr>
          <w:p w14:paraId="5E0558FE">
            <w:pPr>
              <w:widowControl/>
              <w:spacing w:line="240" w:lineRule="auto"/>
              <w:ind w:firstLine="0" w:firstLineChars="0"/>
              <w:jc w:val="center"/>
              <w:textAlignment w:val="center"/>
              <w:rPr>
                <w:sz w:val="21"/>
                <w:szCs w:val="21"/>
                <w:u w:val="single"/>
              </w:rPr>
            </w:pPr>
            <w:r>
              <w:rPr>
                <w:rFonts w:hint="eastAsia"/>
                <w:sz w:val="21"/>
                <w:szCs w:val="21"/>
                <w:u w:val="single"/>
              </w:rPr>
              <w:t>0.0132</w:t>
            </w:r>
          </w:p>
        </w:tc>
        <w:tc>
          <w:tcPr>
            <w:tcW w:w="1062" w:type="pct"/>
            <w:noWrap/>
            <w:tcMar>
              <w:top w:w="15" w:type="dxa"/>
              <w:left w:w="15" w:type="dxa"/>
              <w:right w:w="15" w:type="dxa"/>
            </w:tcMar>
            <w:vAlign w:val="center"/>
          </w:tcPr>
          <w:p w14:paraId="0E33F0A7">
            <w:pPr>
              <w:widowControl/>
              <w:spacing w:line="240" w:lineRule="auto"/>
              <w:ind w:firstLine="0" w:firstLineChars="0"/>
              <w:jc w:val="center"/>
              <w:textAlignment w:val="center"/>
              <w:rPr>
                <w:sz w:val="21"/>
                <w:szCs w:val="21"/>
                <w:u w:val="single"/>
              </w:rPr>
            </w:pPr>
            <w:r>
              <w:rPr>
                <w:rFonts w:hint="eastAsia"/>
                <w:sz w:val="21"/>
                <w:szCs w:val="21"/>
                <w:u w:val="single"/>
              </w:rPr>
              <w:t>6</w:t>
            </w:r>
          </w:p>
        </w:tc>
        <w:tc>
          <w:tcPr>
            <w:tcW w:w="868" w:type="pct"/>
            <w:noWrap/>
            <w:tcMar>
              <w:top w:w="15" w:type="dxa"/>
              <w:left w:w="15" w:type="dxa"/>
              <w:right w:w="15" w:type="dxa"/>
            </w:tcMar>
            <w:vAlign w:val="center"/>
          </w:tcPr>
          <w:p w14:paraId="79A3EB1D">
            <w:pPr>
              <w:widowControl/>
              <w:spacing w:line="240" w:lineRule="auto"/>
              <w:ind w:firstLine="0" w:firstLineChars="0"/>
              <w:jc w:val="center"/>
              <w:textAlignment w:val="center"/>
              <w:rPr>
                <w:sz w:val="21"/>
                <w:szCs w:val="21"/>
                <w:u w:val="single"/>
              </w:rPr>
            </w:pPr>
            <w:r>
              <w:rPr>
                <w:rFonts w:hint="eastAsia"/>
                <w:sz w:val="21"/>
                <w:szCs w:val="21"/>
                <w:u w:val="single"/>
              </w:rPr>
              <w:t>0.0132</w:t>
            </w:r>
          </w:p>
        </w:tc>
      </w:tr>
      <w:tr w14:paraId="5559A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pct"/>
            <w:vMerge w:val="continue"/>
            <w:shd w:val="clear" w:color="auto" w:fill="FFFFFF"/>
            <w:tcMar>
              <w:top w:w="15" w:type="dxa"/>
              <w:left w:w="15" w:type="dxa"/>
              <w:right w:w="15" w:type="dxa"/>
            </w:tcMar>
            <w:vAlign w:val="center"/>
          </w:tcPr>
          <w:p w14:paraId="5F931594">
            <w:pPr>
              <w:widowControl/>
              <w:spacing w:line="240" w:lineRule="auto"/>
              <w:ind w:firstLine="0" w:firstLineChars="0"/>
              <w:jc w:val="center"/>
              <w:textAlignment w:val="center"/>
              <w:rPr>
                <w:sz w:val="21"/>
                <w:szCs w:val="21"/>
                <w:u w:val="single"/>
              </w:rPr>
            </w:pPr>
          </w:p>
        </w:tc>
        <w:tc>
          <w:tcPr>
            <w:tcW w:w="707" w:type="pct"/>
            <w:shd w:val="clear" w:color="auto" w:fill="FFFFFF"/>
            <w:tcMar>
              <w:top w:w="15" w:type="dxa"/>
              <w:left w:w="15" w:type="dxa"/>
              <w:right w:w="15" w:type="dxa"/>
            </w:tcMar>
            <w:vAlign w:val="center"/>
          </w:tcPr>
          <w:p w14:paraId="28AFA8D5">
            <w:pPr>
              <w:widowControl/>
              <w:spacing w:line="240" w:lineRule="auto"/>
              <w:ind w:firstLine="0" w:firstLineChars="0"/>
              <w:jc w:val="center"/>
              <w:textAlignment w:val="center"/>
              <w:rPr>
                <w:sz w:val="21"/>
                <w:szCs w:val="21"/>
                <w:u w:val="single"/>
              </w:rPr>
            </w:pPr>
            <w:r>
              <w:rPr>
                <w:sz w:val="21"/>
                <w:szCs w:val="21"/>
                <w:u w:val="single"/>
              </w:rPr>
              <w:t>总磷</w:t>
            </w:r>
          </w:p>
        </w:tc>
        <w:tc>
          <w:tcPr>
            <w:tcW w:w="1025" w:type="pct"/>
            <w:noWrap/>
            <w:tcMar>
              <w:top w:w="15" w:type="dxa"/>
              <w:left w:w="15" w:type="dxa"/>
              <w:right w:w="15" w:type="dxa"/>
            </w:tcMar>
            <w:vAlign w:val="center"/>
          </w:tcPr>
          <w:p w14:paraId="75ECB397">
            <w:pPr>
              <w:widowControl/>
              <w:spacing w:line="240" w:lineRule="auto"/>
              <w:ind w:firstLine="0" w:firstLineChars="0"/>
              <w:jc w:val="center"/>
              <w:textAlignment w:val="center"/>
              <w:rPr>
                <w:sz w:val="21"/>
                <w:szCs w:val="21"/>
                <w:u w:val="single"/>
              </w:rPr>
            </w:pPr>
            <w:r>
              <w:rPr>
                <w:rFonts w:hint="eastAsia"/>
                <w:sz w:val="21"/>
                <w:szCs w:val="21"/>
                <w:u w:val="single"/>
              </w:rPr>
              <w:t>0.39</w:t>
            </w:r>
          </w:p>
        </w:tc>
        <w:tc>
          <w:tcPr>
            <w:tcW w:w="853" w:type="pct"/>
            <w:vAlign w:val="center"/>
          </w:tcPr>
          <w:p w14:paraId="14B29B3F">
            <w:pPr>
              <w:widowControl/>
              <w:spacing w:line="240" w:lineRule="auto"/>
              <w:ind w:firstLine="0" w:firstLineChars="0"/>
              <w:jc w:val="center"/>
              <w:textAlignment w:val="center"/>
              <w:rPr>
                <w:sz w:val="21"/>
                <w:szCs w:val="21"/>
                <w:u w:val="single"/>
              </w:rPr>
            </w:pPr>
            <w:r>
              <w:rPr>
                <w:rFonts w:hint="eastAsia"/>
                <w:sz w:val="21"/>
                <w:szCs w:val="21"/>
                <w:u w:val="single"/>
              </w:rPr>
              <w:t>0.0009</w:t>
            </w:r>
          </w:p>
        </w:tc>
        <w:tc>
          <w:tcPr>
            <w:tcW w:w="1062" w:type="pct"/>
            <w:noWrap/>
            <w:tcMar>
              <w:top w:w="15" w:type="dxa"/>
              <w:left w:w="15" w:type="dxa"/>
              <w:right w:w="15" w:type="dxa"/>
            </w:tcMar>
            <w:vAlign w:val="center"/>
          </w:tcPr>
          <w:p w14:paraId="22FA8F3D">
            <w:pPr>
              <w:widowControl/>
              <w:spacing w:line="240" w:lineRule="auto"/>
              <w:ind w:firstLine="0" w:firstLineChars="0"/>
              <w:jc w:val="center"/>
              <w:textAlignment w:val="center"/>
              <w:rPr>
                <w:sz w:val="21"/>
                <w:szCs w:val="21"/>
                <w:u w:val="single"/>
              </w:rPr>
            </w:pPr>
            <w:r>
              <w:rPr>
                <w:rFonts w:hint="eastAsia"/>
                <w:sz w:val="21"/>
                <w:szCs w:val="21"/>
                <w:u w:val="single"/>
              </w:rPr>
              <w:t>0.39</w:t>
            </w:r>
          </w:p>
        </w:tc>
        <w:tc>
          <w:tcPr>
            <w:tcW w:w="868" w:type="pct"/>
            <w:noWrap/>
            <w:tcMar>
              <w:top w:w="15" w:type="dxa"/>
              <w:left w:w="15" w:type="dxa"/>
              <w:right w:w="15" w:type="dxa"/>
            </w:tcMar>
            <w:vAlign w:val="center"/>
          </w:tcPr>
          <w:p w14:paraId="0155D85A">
            <w:pPr>
              <w:widowControl/>
              <w:spacing w:line="240" w:lineRule="auto"/>
              <w:ind w:firstLine="0" w:firstLineChars="0"/>
              <w:jc w:val="center"/>
              <w:textAlignment w:val="center"/>
              <w:rPr>
                <w:sz w:val="21"/>
                <w:szCs w:val="21"/>
                <w:u w:val="single"/>
              </w:rPr>
            </w:pPr>
            <w:r>
              <w:rPr>
                <w:rFonts w:hint="eastAsia"/>
                <w:sz w:val="21"/>
                <w:szCs w:val="21"/>
                <w:u w:val="single"/>
              </w:rPr>
              <w:t>0.0009</w:t>
            </w:r>
          </w:p>
        </w:tc>
      </w:tr>
      <w:tr w14:paraId="5B079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pct"/>
            <w:vMerge w:val="continue"/>
            <w:shd w:val="clear" w:color="auto" w:fill="FFFFFF"/>
            <w:tcMar>
              <w:top w:w="15" w:type="dxa"/>
              <w:left w:w="15" w:type="dxa"/>
              <w:right w:w="15" w:type="dxa"/>
            </w:tcMar>
            <w:vAlign w:val="center"/>
          </w:tcPr>
          <w:p w14:paraId="7BC36E9C">
            <w:pPr>
              <w:widowControl/>
              <w:spacing w:line="240" w:lineRule="auto"/>
              <w:ind w:firstLine="0" w:firstLineChars="0"/>
              <w:jc w:val="center"/>
              <w:textAlignment w:val="center"/>
              <w:rPr>
                <w:sz w:val="21"/>
                <w:szCs w:val="21"/>
                <w:u w:val="single"/>
              </w:rPr>
            </w:pPr>
          </w:p>
        </w:tc>
        <w:tc>
          <w:tcPr>
            <w:tcW w:w="707" w:type="pct"/>
            <w:shd w:val="clear" w:color="auto" w:fill="FFFFFF"/>
            <w:tcMar>
              <w:top w:w="15" w:type="dxa"/>
              <w:left w:w="15" w:type="dxa"/>
              <w:right w:w="15" w:type="dxa"/>
            </w:tcMar>
            <w:vAlign w:val="center"/>
          </w:tcPr>
          <w:p w14:paraId="1377632A">
            <w:pPr>
              <w:widowControl/>
              <w:spacing w:line="240" w:lineRule="auto"/>
              <w:ind w:firstLine="0" w:firstLineChars="0"/>
              <w:jc w:val="center"/>
              <w:textAlignment w:val="center"/>
              <w:rPr>
                <w:sz w:val="21"/>
                <w:szCs w:val="21"/>
                <w:u w:val="single"/>
              </w:rPr>
            </w:pPr>
            <w:r>
              <w:rPr>
                <w:sz w:val="21"/>
                <w:szCs w:val="21"/>
                <w:u w:val="single"/>
              </w:rPr>
              <w:t>SS</w:t>
            </w:r>
          </w:p>
        </w:tc>
        <w:tc>
          <w:tcPr>
            <w:tcW w:w="1025" w:type="pct"/>
            <w:noWrap/>
            <w:tcMar>
              <w:top w:w="15" w:type="dxa"/>
              <w:left w:w="15" w:type="dxa"/>
              <w:right w:w="15" w:type="dxa"/>
            </w:tcMar>
            <w:vAlign w:val="center"/>
          </w:tcPr>
          <w:p w14:paraId="66240BE9">
            <w:pPr>
              <w:widowControl/>
              <w:spacing w:line="240" w:lineRule="auto"/>
              <w:ind w:firstLine="0" w:firstLineChars="0"/>
              <w:jc w:val="center"/>
              <w:textAlignment w:val="center"/>
              <w:rPr>
                <w:sz w:val="21"/>
                <w:szCs w:val="21"/>
                <w:u w:val="single"/>
              </w:rPr>
            </w:pPr>
            <w:r>
              <w:rPr>
                <w:rFonts w:hint="eastAsia"/>
                <w:sz w:val="21"/>
                <w:szCs w:val="21"/>
                <w:u w:val="single"/>
              </w:rPr>
              <w:t>87.8</w:t>
            </w:r>
          </w:p>
        </w:tc>
        <w:tc>
          <w:tcPr>
            <w:tcW w:w="853" w:type="pct"/>
            <w:vAlign w:val="center"/>
          </w:tcPr>
          <w:p w14:paraId="0FE9D8B1">
            <w:pPr>
              <w:widowControl/>
              <w:spacing w:line="240" w:lineRule="auto"/>
              <w:ind w:firstLine="0" w:firstLineChars="0"/>
              <w:jc w:val="center"/>
              <w:textAlignment w:val="center"/>
              <w:rPr>
                <w:sz w:val="21"/>
                <w:szCs w:val="21"/>
                <w:u w:val="single"/>
              </w:rPr>
            </w:pPr>
            <w:r>
              <w:rPr>
                <w:rFonts w:hint="eastAsia"/>
                <w:sz w:val="21"/>
                <w:szCs w:val="21"/>
                <w:u w:val="single"/>
              </w:rPr>
              <w:t>0.1925</w:t>
            </w:r>
          </w:p>
        </w:tc>
        <w:tc>
          <w:tcPr>
            <w:tcW w:w="1062" w:type="pct"/>
            <w:noWrap/>
            <w:tcMar>
              <w:top w:w="15" w:type="dxa"/>
              <w:left w:w="15" w:type="dxa"/>
              <w:right w:w="15" w:type="dxa"/>
            </w:tcMar>
            <w:vAlign w:val="center"/>
          </w:tcPr>
          <w:p w14:paraId="192AB91F">
            <w:pPr>
              <w:widowControl/>
              <w:spacing w:line="240" w:lineRule="auto"/>
              <w:ind w:firstLine="0" w:firstLineChars="0"/>
              <w:jc w:val="center"/>
              <w:textAlignment w:val="center"/>
              <w:rPr>
                <w:sz w:val="21"/>
                <w:szCs w:val="21"/>
                <w:u w:val="single"/>
              </w:rPr>
            </w:pPr>
            <w:r>
              <w:rPr>
                <w:sz w:val="21"/>
                <w:szCs w:val="21"/>
                <w:u w:val="single"/>
              </w:rPr>
              <w:t>10</w:t>
            </w:r>
          </w:p>
        </w:tc>
        <w:tc>
          <w:tcPr>
            <w:tcW w:w="868" w:type="pct"/>
            <w:noWrap/>
            <w:tcMar>
              <w:top w:w="15" w:type="dxa"/>
              <w:left w:w="15" w:type="dxa"/>
              <w:right w:w="15" w:type="dxa"/>
            </w:tcMar>
            <w:vAlign w:val="center"/>
          </w:tcPr>
          <w:p w14:paraId="170CA44B">
            <w:pPr>
              <w:widowControl/>
              <w:spacing w:line="240" w:lineRule="auto"/>
              <w:ind w:firstLine="0" w:firstLineChars="0"/>
              <w:jc w:val="center"/>
              <w:textAlignment w:val="center"/>
              <w:rPr>
                <w:sz w:val="21"/>
                <w:szCs w:val="21"/>
                <w:u w:val="single"/>
              </w:rPr>
            </w:pPr>
            <w:r>
              <w:rPr>
                <w:rFonts w:hint="eastAsia"/>
                <w:sz w:val="21"/>
                <w:szCs w:val="21"/>
                <w:u w:val="single"/>
              </w:rPr>
              <w:t>0.0219</w:t>
            </w:r>
          </w:p>
        </w:tc>
      </w:tr>
      <w:tr w14:paraId="654A4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5" w:type="pct"/>
            <w:vMerge w:val="continue"/>
            <w:shd w:val="clear" w:color="auto" w:fill="FFFFFF"/>
            <w:tcMar>
              <w:top w:w="15" w:type="dxa"/>
              <w:left w:w="15" w:type="dxa"/>
              <w:right w:w="15" w:type="dxa"/>
            </w:tcMar>
            <w:vAlign w:val="center"/>
          </w:tcPr>
          <w:p w14:paraId="13189E27">
            <w:pPr>
              <w:widowControl/>
              <w:spacing w:line="240" w:lineRule="auto"/>
              <w:ind w:firstLine="0" w:firstLineChars="0"/>
              <w:jc w:val="center"/>
              <w:textAlignment w:val="center"/>
              <w:rPr>
                <w:sz w:val="21"/>
                <w:szCs w:val="21"/>
                <w:u w:val="single"/>
              </w:rPr>
            </w:pPr>
          </w:p>
        </w:tc>
        <w:tc>
          <w:tcPr>
            <w:tcW w:w="707" w:type="pct"/>
            <w:shd w:val="clear" w:color="auto" w:fill="FFFFFF"/>
            <w:tcMar>
              <w:top w:w="15" w:type="dxa"/>
              <w:left w:w="15" w:type="dxa"/>
              <w:right w:w="15" w:type="dxa"/>
            </w:tcMar>
            <w:vAlign w:val="center"/>
          </w:tcPr>
          <w:p w14:paraId="327801D4">
            <w:pPr>
              <w:widowControl/>
              <w:spacing w:line="240" w:lineRule="auto"/>
              <w:ind w:firstLine="0" w:firstLineChars="0"/>
              <w:jc w:val="center"/>
              <w:textAlignment w:val="center"/>
              <w:rPr>
                <w:sz w:val="21"/>
                <w:szCs w:val="21"/>
                <w:u w:val="single"/>
              </w:rPr>
            </w:pPr>
            <w:r>
              <w:rPr>
                <w:rFonts w:hint="eastAsia"/>
                <w:sz w:val="21"/>
                <w:szCs w:val="21"/>
                <w:u w:val="single"/>
              </w:rPr>
              <w:t>石油类</w:t>
            </w:r>
          </w:p>
        </w:tc>
        <w:tc>
          <w:tcPr>
            <w:tcW w:w="1025" w:type="pct"/>
            <w:noWrap/>
            <w:tcMar>
              <w:top w:w="15" w:type="dxa"/>
              <w:left w:w="15" w:type="dxa"/>
              <w:right w:w="15" w:type="dxa"/>
            </w:tcMar>
            <w:vAlign w:val="center"/>
          </w:tcPr>
          <w:p w14:paraId="40EAFCAE">
            <w:pPr>
              <w:widowControl/>
              <w:spacing w:line="240" w:lineRule="auto"/>
              <w:ind w:firstLine="0" w:firstLineChars="0"/>
              <w:jc w:val="center"/>
              <w:textAlignment w:val="center"/>
              <w:rPr>
                <w:sz w:val="21"/>
                <w:szCs w:val="21"/>
                <w:u w:val="single"/>
              </w:rPr>
            </w:pPr>
            <w:r>
              <w:rPr>
                <w:rFonts w:hint="eastAsia"/>
                <w:sz w:val="21"/>
                <w:szCs w:val="21"/>
                <w:u w:val="single"/>
              </w:rPr>
              <w:t>4.4</w:t>
            </w:r>
          </w:p>
        </w:tc>
        <w:tc>
          <w:tcPr>
            <w:tcW w:w="853" w:type="pct"/>
            <w:vAlign w:val="center"/>
          </w:tcPr>
          <w:p w14:paraId="11EC70D0">
            <w:pPr>
              <w:widowControl/>
              <w:spacing w:line="240" w:lineRule="auto"/>
              <w:ind w:firstLine="0" w:firstLineChars="0"/>
              <w:jc w:val="center"/>
              <w:textAlignment w:val="center"/>
              <w:rPr>
                <w:sz w:val="21"/>
                <w:szCs w:val="21"/>
                <w:u w:val="single"/>
              </w:rPr>
            </w:pPr>
            <w:r>
              <w:rPr>
                <w:rFonts w:hint="eastAsia"/>
                <w:sz w:val="21"/>
                <w:szCs w:val="21"/>
                <w:u w:val="single"/>
              </w:rPr>
              <w:t>0.0096</w:t>
            </w:r>
          </w:p>
        </w:tc>
        <w:tc>
          <w:tcPr>
            <w:tcW w:w="1062" w:type="pct"/>
            <w:noWrap/>
            <w:tcMar>
              <w:top w:w="15" w:type="dxa"/>
              <w:left w:w="15" w:type="dxa"/>
              <w:right w:w="15" w:type="dxa"/>
            </w:tcMar>
            <w:vAlign w:val="center"/>
          </w:tcPr>
          <w:p w14:paraId="36B0879F">
            <w:pPr>
              <w:widowControl/>
              <w:spacing w:line="240" w:lineRule="auto"/>
              <w:ind w:firstLine="0" w:firstLineChars="0"/>
              <w:jc w:val="center"/>
              <w:textAlignment w:val="center"/>
              <w:rPr>
                <w:sz w:val="21"/>
                <w:szCs w:val="21"/>
                <w:u w:val="single"/>
              </w:rPr>
            </w:pPr>
            <w:r>
              <w:rPr>
                <w:rFonts w:hint="eastAsia"/>
                <w:sz w:val="21"/>
                <w:szCs w:val="21"/>
                <w:u w:val="single"/>
              </w:rPr>
              <w:t>1</w:t>
            </w:r>
          </w:p>
        </w:tc>
        <w:tc>
          <w:tcPr>
            <w:tcW w:w="868" w:type="pct"/>
            <w:noWrap/>
            <w:tcMar>
              <w:top w:w="15" w:type="dxa"/>
              <w:left w:w="15" w:type="dxa"/>
              <w:right w:w="15" w:type="dxa"/>
            </w:tcMar>
            <w:vAlign w:val="center"/>
          </w:tcPr>
          <w:p w14:paraId="2D4FB11C">
            <w:pPr>
              <w:widowControl/>
              <w:spacing w:line="240" w:lineRule="auto"/>
              <w:ind w:firstLine="0" w:firstLineChars="0"/>
              <w:jc w:val="center"/>
              <w:textAlignment w:val="center"/>
              <w:rPr>
                <w:sz w:val="21"/>
                <w:szCs w:val="21"/>
                <w:u w:val="single"/>
              </w:rPr>
            </w:pPr>
            <w:r>
              <w:rPr>
                <w:rFonts w:hint="eastAsia"/>
                <w:sz w:val="21"/>
                <w:szCs w:val="21"/>
                <w:u w:val="single"/>
              </w:rPr>
              <w:t>0.0022</w:t>
            </w:r>
          </w:p>
        </w:tc>
      </w:tr>
    </w:tbl>
    <w:p w14:paraId="6A199639">
      <w:pPr>
        <w:ind w:firstLine="482"/>
        <w:outlineLvl w:val="4"/>
        <w:rPr>
          <w:b/>
          <w:bCs/>
        </w:rPr>
      </w:pPr>
      <w:r>
        <w:rPr>
          <w:b/>
          <w:bCs/>
        </w:rPr>
        <w:t>三、废水污染物排放信息</w:t>
      </w:r>
    </w:p>
    <w:p w14:paraId="72A4EA56">
      <w:pPr>
        <w:ind w:firstLine="480"/>
        <w:outlineLvl w:val="5"/>
      </w:pPr>
      <w:r>
        <w:t>（1）废水类别、污染物及污染治理设施信息表</w:t>
      </w:r>
    </w:p>
    <w:p w14:paraId="1D3EB926">
      <w:pPr>
        <w:pStyle w:val="99"/>
        <w:numPr>
          <w:ilvl w:val="4"/>
          <w:numId w:val="20"/>
        </w:numPr>
        <w:ind w:left="0" w:firstLine="480"/>
        <w:rPr>
          <w:rFonts w:eastAsia="黑体"/>
        </w:rPr>
      </w:pPr>
      <w:r>
        <w:rPr>
          <w:rFonts w:eastAsia="黑体"/>
        </w:rPr>
        <w:t xml:space="preserve">        废水类别、污染物及污染治理设施信息表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60"/>
        <w:gridCol w:w="1281"/>
        <w:gridCol w:w="570"/>
        <w:gridCol w:w="570"/>
        <w:gridCol w:w="713"/>
        <w:gridCol w:w="855"/>
        <w:gridCol w:w="1193"/>
        <w:gridCol w:w="538"/>
        <w:gridCol w:w="702"/>
        <w:gridCol w:w="1350"/>
      </w:tblGrid>
      <w:tr w14:paraId="1D3EB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6" w:type="pct"/>
            <w:vMerge w:val="restart"/>
            <w:tcMar>
              <w:top w:w="0" w:type="dxa"/>
              <w:left w:w="0" w:type="dxa"/>
              <w:bottom w:w="0" w:type="dxa"/>
              <w:right w:w="0" w:type="dxa"/>
            </w:tcMar>
            <w:vAlign w:val="center"/>
          </w:tcPr>
          <w:p w14:paraId="1D3EB927">
            <w:pPr>
              <w:pStyle w:val="67"/>
              <w:rPr>
                <w:rFonts w:cs="Times New Roman"/>
                <w:color w:val="auto"/>
              </w:rPr>
            </w:pPr>
            <w:r>
              <w:rPr>
                <w:rFonts w:cs="Times New Roman"/>
                <w:color w:val="auto"/>
              </w:rPr>
              <w:t>废水类别</w:t>
            </w:r>
          </w:p>
        </w:tc>
        <w:tc>
          <w:tcPr>
            <w:tcW w:w="769" w:type="pct"/>
            <w:vMerge w:val="restart"/>
            <w:tcMar>
              <w:top w:w="0" w:type="dxa"/>
              <w:left w:w="0" w:type="dxa"/>
              <w:bottom w:w="0" w:type="dxa"/>
              <w:right w:w="0" w:type="dxa"/>
            </w:tcMar>
            <w:vAlign w:val="center"/>
          </w:tcPr>
          <w:p w14:paraId="1D3EB928">
            <w:pPr>
              <w:pStyle w:val="67"/>
              <w:rPr>
                <w:rFonts w:cs="Times New Roman"/>
                <w:color w:val="auto"/>
              </w:rPr>
            </w:pPr>
            <w:r>
              <w:rPr>
                <w:rFonts w:cs="Times New Roman"/>
                <w:color w:val="auto"/>
              </w:rPr>
              <w:t>污染物种类</w:t>
            </w:r>
          </w:p>
        </w:tc>
        <w:tc>
          <w:tcPr>
            <w:tcW w:w="342" w:type="pct"/>
            <w:vMerge w:val="restart"/>
            <w:tcMar>
              <w:top w:w="0" w:type="dxa"/>
              <w:left w:w="0" w:type="dxa"/>
              <w:bottom w:w="0" w:type="dxa"/>
              <w:right w:w="0" w:type="dxa"/>
            </w:tcMar>
            <w:vAlign w:val="center"/>
          </w:tcPr>
          <w:p w14:paraId="1D3EB929">
            <w:pPr>
              <w:pStyle w:val="67"/>
              <w:rPr>
                <w:rFonts w:cs="Times New Roman"/>
                <w:color w:val="auto"/>
              </w:rPr>
            </w:pPr>
            <w:r>
              <w:rPr>
                <w:rFonts w:cs="Times New Roman"/>
                <w:color w:val="auto"/>
              </w:rPr>
              <w:t>排放去向</w:t>
            </w:r>
          </w:p>
        </w:tc>
        <w:tc>
          <w:tcPr>
            <w:tcW w:w="342" w:type="pct"/>
            <w:vMerge w:val="restart"/>
            <w:tcMar>
              <w:top w:w="0" w:type="dxa"/>
              <w:left w:w="0" w:type="dxa"/>
              <w:bottom w:w="0" w:type="dxa"/>
              <w:right w:w="0" w:type="dxa"/>
            </w:tcMar>
            <w:vAlign w:val="center"/>
          </w:tcPr>
          <w:p w14:paraId="1D3EB92A">
            <w:pPr>
              <w:pStyle w:val="67"/>
              <w:rPr>
                <w:rFonts w:cs="Times New Roman"/>
                <w:color w:val="auto"/>
              </w:rPr>
            </w:pPr>
            <w:r>
              <w:rPr>
                <w:rFonts w:cs="Times New Roman"/>
                <w:color w:val="auto"/>
              </w:rPr>
              <w:t>排放规律</w:t>
            </w:r>
          </w:p>
        </w:tc>
        <w:tc>
          <w:tcPr>
            <w:tcW w:w="1657" w:type="pct"/>
            <w:gridSpan w:val="3"/>
            <w:tcMar>
              <w:top w:w="0" w:type="dxa"/>
              <w:left w:w="0" w:type="dxa"/>
              <w:bottom w:w="0" w:type="dxa"/>
              <w:right w:w="0" w:type="dxa"/>
            </w:tcMar>
            <w:vAlign w:val="center"/>
          </w:tcPr>
          <w:p w14:paraId="1D3EB92B">
            <w:pPr>
              <w:pStyle w:val="67"/>
              <w:rPr>
                <w:rFonts w:cs="Times New Roman"/>
                <w:color w:val="auto"/>
              </w:rPr>
            </w:pPr>
            <w:r>
              <w:rPr>
                <w:rFonts w:cs="Times New Roman"/>
                <w:color w:val="auto"/>
              </w:rPr>
              <w:t>污染治理措施</w:t>
            </w:r>
          </w:p>
        </w:tc>
        <w:tc>
          <w:tcPr>
            <w:tcW w:w="323" w:type="pct"/>
            <w:vMerge w:val="restart"/>
            <w:tcMar>
              <w:top w:w="0" w:type="dxa"/>
              <w:left w:w="0" w:type="dxa"/>
              <w:bottom w:w="0" w:type="dxa"/>
              <w:right w:w="0" w:type="dxa"/>
            </w:tcMar>
            <w:vAlign w:val="center"/>
          </w:tcPr>
          <w:p w14:paraId="1D3EB92C">
            <w:pPr>
              <w:pStyle w:val="67"/>
              <w:rPr>
                <w:rFonts w:cs="Times New Roman"/>
                <w:color w:val="auto"/>
              </w:rPr>
            </w:pPr>
            <w:r>
              <w:rPr>
                <w:rFonts w:cs="Times New Roman"/>
                <w:color w:val="auto"/>
              </w:rPr>
              <w:t>排放口编号</w:t>
            </w:r>
          </w:p>
        </w:tc>
        <w:tc>
          <w:tcPr>
            <w:tcW w:w="421" w:type="pct"/>
            <w:vMerge w:val="restart"/>
            <w:tcMar>
              <w:top w:w="0" w:type="dxa"/>
              <w:left w:w="0" w:type="dxa"/>
              <w:bottom w:w="0" w:type="dxa"/>
              <w:right w:w="0" w:type="dxa"/>
            </w:tcMar>
            <w:vAlign w:val="center"/>
          </w:tcPr>
          <w:p w14:paraId="1D3EB92D">
            <w:pPr>
              <w:pStyle w:val="67"/>
              <w:rPr>
                <w:rFonts w:cs="Times New Roman"/>
                <w:color w:val="auto"/>
              </w:rPr>
            </w:pPr>
            <w:r>
              <w:rPr>
                <w:rFonts w:cs="Times New Roman"/>
                <w:color w:val="auto"/>
              </w:rPr>
              <w:t>排放口设置是否符合要求</w:t>
            </w:r>
          </w:p>
        </w:tc>
        <w:tc>
          <w:tcPr>
            <w:tcW w:w="810" w:type="pct"/>
            <w:vMerge w:val="restart"/>
            <w:tcMar>
              <w:top w:w="0" w:type="dxa"/>
              <w:left w:w="0" w:type="dxa"/>
              <w:bottom w:w="0" w:type="dxa"/>
              <w:right w:w="0" w:type="dxa"/>
            </w:tcMar>
            <w:vAlign w:val="center"/>
          </w:tcPr>
          <w:p w14:paraId="1D3EB92E">
            <w:pPr>
              <w:pStyle w:val="67"/>
              <w:rPr>
                <w:rFonts w:cs="Times New Roman"/>
                <w:color w:val="auto"/>
              </w:rPr>
            </w:pPr>
            <w:r>
              <w:rPr>
                <w:rFonts w:cs="Times New Roman"/>
                <w:color w:val="auto"/>
              </w:rPr>
              <w:t>排放口类型</w:t>
            </w:r>
          </w:p>
        </w:tc>
      </w:tr>
      <w:tr w14:paraId="1D3EB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6" w:type="pct"/>
            <w:vMerge w:val="continue"/>
            <w:vAlign w:val="center"/>
          </w:tcPr>
          <w:p w14:paraId="1D3EB930">
            <w:pPr>
              <w:pStyle w:val="67"/>
              <w:rPr>
                <w:rFonts w:cs="Times New Roman"/>
                <w:color w:val="auto"/>
              </w:rPr>
            </w:pPr>
          </w:p>
        </w:tc>
        <w:tc>
          <w:tcPr>
            <w:tcW w:w="769" w:type="pct"/>
            <w:vMerge w:val="continue"/>
            <w:vAlign w:val="center"/>
          </w:tcPr>
          <w:p w14:paraId="1D3EB931">
            <w:pPr>
              <w:pStyle w:val="67"/>
              <w:rPr>
                <w:rFonts w:cs="Times New Roman"/>
                <w:color w:val="auto"/>
              </w:rPr>
            </w:pPr>
          </w:p>
        </w:tc>
        <w:tc>
          <w:tcPr>
            <w:tcW w:w="342" w:type="pct"/>
            <w:vMerge w:val="continue"/>
            <w:vAlign w:val="center"/>
          </w:tcPr>
          <w:p w14:paraId="1D3EB932">
            <w:pPr>
              <w:pStyle w:val="67"/>
              <w:rPr>
                <w:rFonts w:cs="Times New Roman"/>
                <w:color w:val="auto"/>
              </w:rPr>
            </w:pPr>
          </w:p>
        </w:tc>
        <w:tc>
          <w:tcPr>
            <w:tcW w:w="342" w:type="pct"/>
            <w:vMerge w:val="continue"/>
            <w:vAlign w:val="center"/>
          </w:tcPr>
          <w:p w14:paraId="1D3EB933">
            <w:pPr>
              <w:pStyle w:val="67"/>
              <w:rPr>
                <w:rFonts w:cs="Times New Roman"/>
                <w:color w:val="auto"/>
              </w:rPr>
            </w:pPr>
          </w:p>
        </w:tc>
        <w:tc>
          <w:tcPr>
            <w:tcW w:w="428" w:type="pct"/>
            <w:tcMar>
              <w:top w:w="0" w:type="dxa"/>
              <w:left w:w="0" w:type="dxa"/>
              <w:bottom w:w="0" w:type="dxa"/>
              <w:right w:w="0" w:type="dxa"/>
            </w:tcMar>
            <w:vAlign w:val="center"/>
          </w:tcPr>
          <w:p w14:paraId="1D3EB934">
            <w:pPr>
              <w:pStyle w:val="67"/>
              <w:rPr>
                <w:rFonts w:cs="Times New Roman"/>
                <w:color w:val="auto"/>
              </w:rPr>
            </w:pPr>
            <w:r>
              <w:rPr>
                <w:rFonts w:cs="Times New Roman"/>
                <w:color w:val="auto"/>
              </w:rPr>
              <w:t>污染治理措施编号</w:t>
            </w:r>
          </w:p>
        </w:tc>
        <w:tc>
          <w:tcPr>
            <w:tcW w:w="513" w:type="pct"/>
            <w:tcMar>
              <w:top w:w="0" w:type="dxa"/>
              <w:left w:w="0" w:type="dxa"/>
              <w:bottom w:w="0" w:type="dxa"/>
              <w:right w:w="0" w:type="dxa"/>
            </w:tcMar>
            <w:vAlign w:val="center"/>
          </w:tcPr>
          <w:p w14:paraId="1D3EB935">
            <w:pPr>
              <w:pStyle w:val="67"/>
              <w:rPr>
                <w:rFonts w:cs="Times New Roman"/>
                <w:color w:val="auto"/>
              </w:rPr>
            </w:pPr>
            <w:r>
              <w:rPr>
                <w:rFonts w:cs="Times New Roman"/>
                <w:color w:val="auto"/>
              </w:rPr>
              <w:t>污染治理措施名称</w:t>
            </w:r>
          </w:p>
        </w:tc>
        <w:tc>
          <w:tcPr>
            <w:tcW w:w="716" w:type="pct"/>
            <w:tcMar>
              <w:top w:w="0" w:type="dxa"/>
              <w:left w:w="0" w:type="dxa"/>
              <w:bottom w:w="0" w:type="dxa"/>
              <w:right w:w="0" w:type="dxa"/>
            </w:tcMar>
            <w:vAlign w:val="center"/>
          </w:tcPr>
          <w:p w14:paraId="1D3EB936">
            <w:pPr>
              <w:pStyle w:val="67"/>
              <w:rPr>
                <w:rFonts w:cs="Times New Roman"/>
                <w:color w:val="auto"/>
              </w:rPr>
            </w:pPr>
            <w:r>
              <w:rPr>
                <w:rFonts w:cs="Times New Roman"/>
                <w:color w:val="auto"/>
              </w:rPr>
              <w:t>污染治理措施工艺</w:t>
            </w:r>
          </w:p>
        </w:tc>
        <w:tc>
          <w:tcPr>
            <w:tcW w:w="323" w:type="pct"/>
            <w:vMerge w:val="continue"/>
            <w:vAlign w:val="center"/>
          </w:tcPr>
          <w:p w14:paraId="1D3EB937">
            <w:pPr>
              <w:pStyle w:val="62"/>
              <w:rPr>
                <w:highlight w:val="yellow"/>
              </w:rPr>
            </w:pPr>
          </w:p>
        </w:tc>
        <w:tc>
          <w:tcPr>
            <w:tcW w:w="421" w:type="pct"/>
            <w:vMerge w:val="continue"/>
            <w:vAlign w:val="center"/>
          </w:tcPr>
          <w:p w14:paraId="1D3EB938">
            <w:pPr>
              <w:pStyle w:val="62"/>
              <w:rPr>
                <w:highlight w:val="yellow"/>
              </w:rPr>
            </w:pPr>
          </w:p>
        </w:tc>
        <w:tc>
          <w:tcPr>
            <w:tcW w:w="810" w:type="pct"/>
            <w:vMerge w:val="continue"/>
            <w:vAlign w:val="center"/>
          </w:tcPr>
          <w:p w14:paraId="1D3EB939">
            <w:pPr>
              <w:pStyle w:val="62"/>
              <w:rPr>
                <w:highlight w:val="yellow"/>
              </w:rPr>
            </w:pPr>
          </w:p>
        </w:tc>
      </w:tr>
      <w:tr w14:paraId="1D3EB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6" w:type="pct"/>
            <w:tcMar>
              <w:top w:w="0" w:type="dxa"/>
              <w:left w:w="0" w:type="dxa"/>
              <w:bottom w:w="0" w:type="dxa"/>
              <w:right w:w="0" w:type="dxa"/>
            </w:tcMar>
            <w:vAlign w:val="center"/>
          </w:tcPr>
          <w:p w14:paraId="1D3EB93B">
            <w:pPr>
              <w:pStyle w:val="62"/>
            </w:pPr>
            <w:r>
              <w:t>生活污水</w:t>
            </w:r>
          </w:p>
        </w:tc>
        <w:tc>
          <w:tcPr>
            <w:tcW w:w="769" w:type="pct"/>
            <w:tcMar>
              <w:top w:w="0" w:type="dxa"/>
              <w:left w:w="0" w:type="dxa"/>
              <w:bottom w:w="0" w:type="dxa"/>
              <w:right w:w="0" w:type="dxa"/>
            </w:tcMar>
            <w:vAlign w:val="center"/>
          </w:tcPr>
          <w:p w14:paraId="1D3EB93C">
            <w:pPr>
              <w:pStyle w:val="62"/>
            </w:pPr>
            <w:r>
              <w:t>COD、SS、NH</w:t>
            </w:r>
            <w:r>
              <w:rPr>
                <w:vertAlign w:val="subscript"/>
              </w:rPr>
              <w:t>3</w:t>
            </w:r>
            <w:r>
              <w:t>-N、TP、TN、BOD</w:t>
            </w:r>
            <w:r>
              <w:rPr>
                <w:vertAlign w:val="subscript"/>
              </w:rPr>
              <w:t>5</w:t>
            </w:r>
          </w:p>
        </w:tc>
        <w:tc>
          <w:tcPr>
            <w:tcW w:w="342" w:type="pct"/>
            <w:vMerge w:val="restart"/>
            <w:tcMar>
              <w:top w:w="0" w:type="dxa"/>
              <w:left w:w="0" w:type="dxa"/>
              <w:bottom w:w="0" w:type="dxa"/>
              <w:right w:w="0" w:type="dxa"/>
            </w:tcMar>
            <w:vAlign w:val="center"/>
          </w:tcPr>
          <w:p w14:paraId="1D3EB93D">
            <w:pPr>
              <w:pStyle w:val="62"/>
            </w:pPr>
            <w:r>
              <w:t>唐庄污水处理厂</w:t>
            </w:r>
          </w:p>
        </w:tc>
        <w:tc>
          <w:tcPr>
            <w:tcW w:w="342" w:type="pct"/>
            <w:vMerge w:val="restart"/>
            <w:tcMar>
              <w:top w:w="0" w:type="dxa"/>
              <w:left w:w="0" w:type="dxa"/>
              <w:bottom w:w="0" w:type="dxa"/>
              <w:right w:w="0" w:type="dxa"/>
            </w:tcMar>
            <w:vAlign w:val="center"/>
          </w:tcPr>
          <w:p w14:paraId="1D3EB93E">
            <w:pPr>
              <w:pStyle w:val="62"/>
            </w:pPr>
            <w:r>
              <w:t>连续排放</w:t>
            </w:r>
          </w:p>
        </w:tc>
        <w:tc>
          <w:tcPr>
            <w:tcW w:w="428" w:type="pct"/>
            <w:tcMar>
              <w:top w:w="0" w:type="dxa"/>
              <w:left w:w="0" w:type="dxa"/>
              <w:bottom w:w="0" w:type="dxa"/>
              <w:right w:w="0" w:type="dxa"/>
            </w:tcMar>
            <w:vAlign w:val="center"/>
          </w:tcPr>
          <w:p w14:paraId="1D3EB93F">
            <w:pPr>
              <w:pStyle w:val="62"/>
            </w:pPr>
            <w:r>
              <w:t>TW001</w:t>
            </w:r>
          </w:p>
        </w:tc>
        <w:tc>
          <w:tcPr>
            <w:tcW w:w="513" w:type="pct"/>
            <w:tcMar>
              <w:top w:w="0" w:type="dxa"/>
              <w:left w:w="0" w:type="dxa"/>
              <w:bottom w:w="0" w:type="dxa"/>
              <w:right w:w="0" w:type="dxa"/>
            </w:tcMar>
            <w:vAlign w:val="center"/>
          </w:tcPr>
          <w:p w14:paraId="1D3EB940">
            <w:pPr>
              <w:pStyle w:val="62"/>
            </w:pPr>
            <w:r>
              <w:t>生活污水处理系统</w:t>
            </w:r>
          </w:p>
        </w:tc>
        <w:tc>
          <w:tcPr>
            <w:tcW w:w="716" w:type="pct"/>
            <w:tcMar>
              <w:top w:w="0" w:type="dxa"/>
              <w:left w:w="0" w:type="dxa"/>
              <w:bottom w:w="0" w:type="dxa"/>
              <w:right w:w="0" w:type="dxa"/>
            </w:tcMar>
            <w:vAlign w:val="center"/>
          </w:tcPr>
          <w:p w14:paraId="1D3EB941">
            <w:pPr>
              <w:pStyle w:val="62"/>
              <w:rPr>
                <w:highlight w:val="yellow"/>
              </w:rPr>
            </w:pPr>
            <w:r>
              <w:t>化粪池</w:t>
            </w:r>
          </w:p>
        </w:tc>
        <w:tc>
          <w:tcPr>
            <w:tcW w:w="323" w:type="pct"/>
            <w:vMerge w:val="restart"/>
            <w:tcMar>
              <w:top w:w="0" w:type="dxa"/>
              <w:left w:w="0" w:type="dxa"/>
              <w:bottom w:w="0" w:type="dxa"/>
              <w:right w:w="0" w:type="dxa"/>
            </w:tcMar>
            <w:vAlign w:val="center"/>
          </w:tcPr>
          <w:p w14:paraId="1D3EB942">
            <w:pPr>
              <w:pStyle w:val="62"/>
            </w:pPr>
            <w:r>
              <w:t>DW</w:t>
            </w:r>
          </w:p>
          <w:p w14:paraId="1D3EB943">
            <w:pPr>
              <w:pStyle w:val="62"/>
            </w:pPr>
            <w:r>
              <w:t>001</w:t>
            </w:r>
          </w:p>
        </w:tc>
        <w:tc>
          <w:tcPr>
            <w:tcW w:w="421" w:type="pct"/>
            <w:vMerge w:val="restart"/>
            <w:tcMar>
              <w:top w:w="0" w:type="dxa"/>
              <w:left w:w="0" w:type="dxa"/>
              <w:bottom w:w="0" w:type="dxa"/>
              <w:right w:w="0" w:type="dxa"/>
            </w:tcMar>
            <w:vAlign w:val="center"/>
          </w:tcPr>
          <w:p w14:paraId="1D3EB944">
            <w:pPr>
              <w:pStyle w:val="62"/>
              <w:jc w:val="left"/>
            </w:pPr>
            <w:r>
              <w:rPr/>
              <w:sym w:font="Wingdings" w:char="00FE"/>
            </w:r>
            <w:r>
              <w:t>是</w:t>
            </w:r>
          </w:p>
          <w:p w14:paraId="1D3EB945">
            <w:pPr>
              <w:pStyle w:val="62"/>
              <w:jc w:val="left"/>
            </w:pPr>
            <w:r>
              <w:t>□否</w:t>
            </w:r>
          </w:p>
        </w:tc>
        <w:tc>
          <w:tcPr>
            <w:tcW w:w="810" w:type="pct"/>
            <w:vMerge w:val="restart"/>
            <w:tcMar>
              <w:top w:w="0" w:type="dxa"/>
              <w:left w:w="0" w:type="dxa"/>
              <w:bottom w:w="0" w:type="dxa"/>
              <w:right w:w="0" w:type="dxa"/>
            </w:tcMar>
            <w:vAlign w:val="center"/>
          </w:tcPr>
          <w:p w14:paraId="1D3EB946">
            <w:pPr>
              <w:pStyle w:val="62"/>
              <w:jc w:val="left"/>
            </w:pPr>
            <w:r>
              <w:rPr/>
              <w:sym w:font="Wingdings" w:char="00FE"/>
            </w:r>
            <w:r>
              <w:t>企业总排</w:t>
            </w:r>
          </w:p>
          <w:p w14:paraId="1D3EB947">
            <w:pPr>
              <w:pStyle w:val="62"/>
              <w:jc w:val="left"/>
            </w:pPr>
            <w:r>
              <w:t>□雨水排放</w:t>
            </w:r>
          </w:p>
          <w:p w14:paraId="1D3EB948">
            <w:pPr>
              <w:pStyle w:val="62"/>
              <w:jc w:val="left"/>
            </w:pPr>
            <w:r>
              <w:t>□清净下水排放</w:t>
            </w:r>
          </w:p>
          <w:p w14:paraId="1D3EB949">
            <w:pPr>
              <w:pStyle w:val="62"/>
              <w:jc w:val="left"/>
            </w:pPr>
            <w:r>
              <w:t>□温排水排放</w:t>
            </w:r>
          </w:p>
          <w:p w14:paraId="1D3EB94A">
            <w:pPr>
              <w:pStyle w:val="62"/>
              <w:jc w:val="left"/>
            </w:pPr>
            <w:r>
              <w:t>□车间或车间处理设施排放口排放</w:t>
            </w:r>
          </w:p>
        </w:tc>
      </w:tr>
      <w:tr w14:paraId="1D3EB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6" w:type="pct"/>
            <w:tcMar>
              <w:top w:w="0" w:type="dxa"/>
              <w:left w:w="0" w:type="dxa"/>
              <w:bottom w:w="0" w:type="dxa"/>
              <w:right w:w="0" w:type="dxa"/>
            </w:tcMar>
            <w:vAlign w:val="center"/>
          </w:tcPr>
          <w:p w14:paraId="1D3EB94C">
            <w:pPr>
              <w:pStyle w:val="62"/>
            </w:pPr>
            <w:r>
              <w:t>生产废水</w:t>
            </w:r>
          </w:p>
        </w:tc>
        <w:tc>
          <w:tcPr>
            <w:tcW w:w="769" w:type="pct"/>
            <w:tcMar>
              <w:top w:w="0" w:type="dxa"/>
              <w:left w:w="0" w:type="dxa"/>
              <w:bottom w:w="0" w:type="dxa"/>
              <w:right w:w="0" w:type="dxa"/>
            </w:tcMar>
            <w:vAlign w:val="center"/>
          </w:tcPr>
          <w:p w14:paraId="1D3EB94D">
            <w:pPr>
              <w:pStyle w:val="62"/>
            </w:pPr>
            <w:r>
              <w:t>COD、SS、NH</w:t>
            </w:r>
            <w:r>
              <w:rPr>
                <w:vertAlign w:val="subscript"/>
              </w:rPr>
              <w:t>3</w:t>
            </w:r>
            <w:r>
              <w:t>-N、TP、TN、BOD</w:t>
            </w:r>
            <w:r>
              <w:rPr>
                <w:vertAlign w:val="subscript"/>
              </w:rPr>
              <w:t>5</w:t>
            </w:r>
            <w:r>
              <w:t>、石油类</w:t>
            </w:r>
            <w:r>
              <w:rPr>
                <w:rFonts w:hint="eastAsia"/>
              </w:rPr>
              <w:t>、硫酸钠</w:t>
            </w:r>
          </w:p>
        </w:tc>
        <w:tc>
          <w:tcPr>
            <w:tcW w:w="342" w:type="pct"/>
            <w:vMerge w:val="continue"/>
            <w:tcMar>
              <w:top w:w="0" w:type="dxa"/>
              <w:left w:w="0" w:type="dxa"/>
              <w:bottom w:w="0" w:type="dxa"/>
              <w:right w:w="0" w:type="dxa"/>
            </w:tcMar>
            <w:vAlign w:val="center"/>
          </w:tcPr>
          <w:p w14:paraId="1D3EB94E">
            <w:pPr>
              <w:pStyle w:val="62"/>
            </w:pPr>
          </w:p>
        </w:tc>
        <w:tc>
          <w:tcPr>
            <w:tcW w:w="342" w:type="pct"/>
            <w:vMerge w:val="continue"/>
            <w:tcMar>
              <w:top w:w="0" w:type="dxa"/>
              <w:left w:w="0" w:type="dxa"/>
              <w:bottom w:w="0" w:type="dxa"/>
              <w:right w:w="0" w:type="dxa"/>
            </w:tcMar>
            <w:vAlign w:val="center"/>
          </w:tcPr>
          <w:p w14:paraId="1D3EB94F">
            <w:pPr>
              <w:pStyle w:val="62"/>
            </w:pPr>
          </w:p>
        </w:tc>
        <w:tc>
          <w:tcPr>
            <w:tcW w:w="428" w:type="pct"/>
            <w:tcMar>
              <w:top w:w="0" w:type="dxa"/>
              <w:left w:w="0" w:type="dxa"/>
              <w:bottom w:w="0" w:type="dxa"/>
              <w:right w:w="0" w:type="dxa"/>
            </w:tcMar>
            <w:vAlign w:val="center"/>
          </w:tcPr>
          <w:p w14:paraId="1174A038">
            <w:pPr>
              <w:pStyle w:val="62"/>
            </w:pPr>
            <w:r>
              <w:t>TW002</w:t>
            </w:r>
          </w:p>
        </w:tc>
        <w:tc>
          <w:tcPr>
            <w:tcW w:w="513" w:type="pct"/>
            <w:vAlign w:val="center"/>
          </w:tcPr>
          <w:p w14:paraId="42334921">
            <w:pPr>
              <w:pStyle w:val="62"/>
            </w:pPr>
            <w:r>
              <w:t>生产废水处理系统</w:t>
            </w:r>
          </w:p>
        </w:tc>
        <w:tc>
          <w:tcPr>
            <w:tcW w:w="716" w:type="pct"/>
            <w:vAlign w:val="center"/>
          </w:tcPr>
          <w:p w14:paraId="1D3EB952">
            <w:pPr>
              <w:pStyle w:val="62"/>
              <w:rPr>
                <w:highlight w:val="yellow"/>
                <w:u w:val="single"/>
              </w:rPr>
            </w:pPr>
            <w:r>
              <w:rPr>
                <w:u w:val="single"/>
              </w:rPr>
              <w:t>污水处理站（调节池+</w:t>
            </w:r>
            <w:r>
              <w:rPr>
                <w:rFonts w:hint="eastAsia"/>
                <w:u w:val="single"/>
              </w:rPr>
              <w:t>隔油池+气浮</w:t>
            </w:r>
            <w:r>
              <w:rPr>
                <w:u w:val="single"/>
              </w:rPr>
              <w:t>+水解酸化+接触氧化）</w:t>
            </w:r>
          </w:p>
        </w:tc>
        <w:tc>
          <w:tcPr>
            <w:tcW w:w="323" w:type="pct"/>
            <w:vMerge w:val="continue"/>
            <w:tcMar>
              <w:top w:w="0" w:type="dxa"/>
              <w:left w:w="0" w:type="dxa"/>
              <w:bottom w:w="0" w:type="dxa"/>
              <w:right w:w="0" w:type="dxa"/>
            </w:tcMar>
            <w:vAlign w:val="center"/>
          </w:tcPr>
          <w:p w14:paraId="1D3EB953">
            <w:pPr>
              <w:pStyle w:val="62"/>
              <w:rPr>
                <w:highlight w:val="yellow"/>
              </w:rPr>
            </w:pPr>
          </w:p>
        </w:tc>
        <w:tc>
          <w:tcPr>
            <w:tcW w:w="421" w:type="pct"/>
            <w:vMerge w:val="continue"/>
            <w:tcMar>
              <w:top w:w="0" w:type="dxa"/>
              <w:left w:w="0" w:type="dxa"/>
              <w:bottom w:w="0" w:type="dxa"/>
              <w:right w:w="0" w:type="dxa"/>
            </w:tcMar>
            <w:vAlign w:val="center"/>
          </w:tcPr>
          <w:p w14:paraId="1D3EB954">
            <w:pPr>
              <w:pStyle w:val="62"/>
              <w:jc w:val="left"/>
              <w:rPr>
                <w:highlight w:val="yellow"/>
              </w:rPr>
            </w:pPr>
          </w:p>
        </w:tc>
        <w:tc>
          <w:tcPr>
            <w:tcW w:w="810" w:type="pct"/>
            <w:vMerge w:val="continue"/>
            <w:tcMar>
              <w:top w:w="0" w:type="dxa"/>
              <w:left w:w="0" w:type="dxa"/>
              <w:bottom w:w="0" w:type="dxa"/>
              <w:right w:w="0" w:type="dxa"/>
            </w:tcMar>
            <w:vAlign w:val="center"/>
          </w:tcPr>
          <w:p w14:paraId="1D3EB955">
            <w:pPr>
              <w:pStyle w:val="62"/>
              <w:jc w:val="left"/>
              <w:rPr>
                <w:highlight w:val="yellow"/>
              </w:rPr>
            </w:pPr>
          </w:p>
        </w:tc>
      </w:tr>
    </w:tbl>
    <w:p w14:paraId="1D3EB957">
      <w:pPr>
        <w:ind w:firstLine="480"/>
        <w:outlineLvl w:val="5"/>
      </w:pPr>
      <w:r>
        <w:t>（2）废水间接排放口基本情况</w:t>
      </w:r>
    </w:p>
    <w:p w14:paraId="1D3EB95C">
      <w:pPr>
        <w:pStyle w:val="99"/>
        <w:numPr>
          <w:ilvl w:val="4"/>
          <w:numId w:val="20"/>
        </w:numPr>
        <w:ind w:left="0" w:firstLine="480"/>
        <w:rPr>
          <w:rFonts w:eastAsia="黑体"/>
        </w:rPr>
      </w:pPr>
      <w:r>
        <w:rPr>
          <w:rFonts w:eastAsia="黑体"/>
        </w:rPr>
        <w:t xml:space="preserve">            废水间接排放口基本情况表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213"/>
        <w:gridCol w:w="1121"/>
        <w:gridCol w:w="728"/>
        <w:gridCol w:w="570"/>
        <w:gridCol w:w="570"/>
        <w:gridCol w:w="570"/>
        <w:gridCol w:w="572"/>
        <w:gridCol w:w="712"/>
        <w:gridCol w:w="1503"/>
      </w:tblGrid>
      <w:tr w14:paraId="1D3EB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restart"/>
            <w:tcMar>
              <w:top w:w="0" w:type="dxa"/>
              <w:left w:w="0" w:type="dxa"/>
              <w:bottom w:w="0" w:type="dxa"/>
              <w:right w:w="0" w:type="dxa"/>
            </w:tcMar>
            <w:vAlign w:val="center"/>
          </w:tcPr>
          <w:p w14:paraId="1D3EB95D">
            <w:pPr>
              <w:pStyle w:val="67"/>
              <w:rPr>
                <w:rFonts w:cs="Times New Roman"/>
                <w:color w:val="auto"/>
              </w:rPr>
            </w:pPr>
            <w:r>
              <w:rPr>
                <w:rFonts w:cs="Times New Roman"/>
                <w:color w:val="auto"/>
              </w:rPr>
              <w:t>排放口编号</w:t>
            </w:r>
          </w:p>
        </w:tc>
        <w:tc>
          <w:tcPr>
            <w:tcW w:w="1401" w:type="pct"/>
            <w:gridSpan w:val="2"/>
            <w:tcMar>
              <w:top w:w="0" w:type="dxa"/>
              <w:left w:w="0" w:type="dxa"/>
              <w:bottom w:w="0" w:type="dxa"/>
              <w:right w:w="0" w:type="dxa"/>
            </w:tcMar>
            <w:vAlign w:val="center"/>
          </w:tcPr>
          <w:p w14:paraId="1D3EB95E">
            <w:pPr>
              <w:pStyle w:val="67"/>
              <w:rPr>
                <w:rFonts w:cs="Times New Roman"/>
                <w:color w:val="auto"/>
              </w:rPr>
            </w:pPr>
            <w:r>
              <w:rPr>
                <w:rFonts w:cs="Times New Roman"/>
                <w:color w:val="auto"/>
              </w:rPr>
              <w:t>排放口地理坐标</w:t>
            </w:r>
          </w:p>
        </w:tc>
        <w:tc>
          <w:tcPr>
            <w:tcW w:w="437" w:type="pct"/>
            <w:vMerge w:val="restart"/>
            <w:tcMar>
              <w:top w:w="0" w:type="dxa"/>
              <w:left w:w="0" w:type="dxa"/>
              <w:bottom w:w="0" w:type="dxa"/>
              <w:right w:w="0" w:type="dxa"/>
            </w:tcMar>
            <w:vAlign w:val="center"/>
          </w:tcPr>
          <w:p w14:paraId="1D3EB95F">
            <w:pPr>
              <w:pStyle w:val="67"/>
              <w:rPr>
                <w:rFonts w:cs="Times New Roman"/>
                <w:color w:val="auto"/>
              </w:rPr>
            </w:pPr>
            <w:r>
              <w:rPr>
                <w:rFonts w:cs="Times New Roman"/>
                <w:color w:val="auto"/>
              </w:rPr>
              <w:t>废水排放量/</w:t>
            </w:r>
          </w:p>
          <w:p w14:paraId="1D3EB960">
            <w:pPr>
              <w:pStyle w:val="67"/>
              <w:rPr>
                <w:rFonts w:cs="Times New Roman"/>
                <w:color w:val="auto"/>
              </w:rPr>
            </w:pPr>
            <w:r>
              <w:rPr>
                <w:rFonts w:cs="Times New Roman"/>
                <w:color w:val="auto"/>
              </w:rPr>
              <w:t>(万t/a)</w:t>
            </w:r>
          </w:p>
        </w:tc>
        <w:tc>
          <w:tcPr>
            <w:tcW w:w="342" w:type="pct"/>
            <w:vMerge w:val="restart"/>
            <w:tcMar>
              <w:top w:w="0" w:type="dxa"/>
              <w:left w:w="0" w:type="dxa"/>
              <w:bottom w:w="0" w:type="dxa"/>
              <w:right w:w="0" w:type="dxa"/>
            </w:tcMar>
            <w:vAlign w:val="center"/>
          </w:tcPr>
          <w:p w14:paraId="1D3EB961">
            <w:pPr>
              <w:pStyle w:val="67"/>
              <w:rPr>
                <w:rFonts w:cs="Times New Roman"/>
                <w:color w:val="auto"/>
              </w:rPr>
            </w:pPr>
            <w:r>
              <w:rPr>
                <w:rFonts w:cs="Times New Roman"/>
                <w:color w:val="auto"/>
              </w:rPr>
              <w:t>排放去向</w:t>
            </w:r>
          </w:p>
        </w:tc>
        <w:tc>
          <w:tcPr>
            <w:tcW w:w="342" w:type="pct"/>
            <w:vMerge w:val="restart"/>
            <w:tcMar>
              <w:top w:w="0" w:type="dxa"/>
              <w:left w:w="0" w:type="dxa"/>
              <w:bottom w:w="0" w:type="dxa"/>
              <w:right w:w="0" w:type="dxa"/>
            </w:tcMar>
            <w:vAlign w:val="center"/>
          </w:tcPr>
          <w:p w14:paraId="1D3EB962">
            <w:pPr>
              <w:pStyle w:val="67"/>
              <w:rPr>
                <w:rFonts w:cs="Times New Roman"/>
                <w:color w:val="auto"/>
              </w:rPr>
            </w:pPr>
            <w:r>
              <w:rPr>
                <w:rFonts w:cs="Times New Roman"/>
                <w:color w:val="auto"/>
              </w:rPr>
              <w:t>排放规律</w:t>
            </w:r>
          </w:p>
        </w:tc>
        <w:tc>
          <w:tcPr>
            <w:tcW w:w="342" w:type="pct"/>
            <w:vMerge w:val="restart"/>
            <w:tcMar>
              <w:top w:w="0" w:type="dxa"/>
              <w:left w:w="0" w:type="dxa"/>
              <w:bottom w:w="0" w:type="dxa"/>
              <w:right w:w="0" w:type="dxa"/>
            </w:tcMar>
            <w:vAlign w:val="center"/>
          </w:tcPr>
          <w:p w14:paraId="1D3EB963">
            <w:pPr>
              <w:pStyle w:val="67"/>
              <w:rPr>
                <w:rFonts w:cs="Times New Roman"/>
                <w:color w:val="auto"/>
              </w:rPr>
            </w:pPr>
            <w:r>
              <w:rPr>
                <w:rFonts w:cs="Times New Roman"/>
                <w:color w:val="auto"/>
              </w:rPr>
              <w:t>间歇排放时段</w:t>
            </w:r>
          </w:p>
        </w:tc>
        <w:tc>
          <w:tcPr>
            <w:tcW w:w="1672" w:type="pct"/>
            <w:gridSpan w:val="3"/>
            <w:tcMar>
              <w:top w:w="0" w:type="dxa"/>
              <w:left w:w="0" w:type="dxa"/>
              <w:bottom w:w="0" w:type="dxa"/>
              <w:right w:w="0" w:type="dxa"/>
            </w:tcMar>
            <w:vAlign w:val="center"/>
          </w:tcPr>
          <w:p w14:paraId="1D3EB964">
            <w:pPr>
              <w:pStyle w:val="67"/>
              <w:rPr>
                <w:rFonts w:cs="Times New Roman"/>
                <w:color w:val="auto"/>
              </w:rPr>
            </w:pPr>
            <w:r>
              <w:rPr>
                <w:rFonts w:cs="Times New Roman"/>
                <w:color w:val="auto"/>
              </w:rPr>
              <w:t>受纳污水处理厂信息</w:t>
            </w:r>
          </w:p>
        </w:tc>
      </w:tr>
      <w:tr w14:paraId="1D3EB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continue"/>
            <w:vAlign w:val="center"/>
          </w:tcPr>
          <w:p w14:paraId="1D3EB966">
            <w:pPr>
              <w:pStyle w:val="67"/>
              <w:rPr>
                <w:rFonts w:cs="Times New Roman"/>
                <w:color w:val="auto"/>
              </w:rPr>
            </w:pPr>
          </w:p>
        </w:tc>
        <w:tc>
          <w:tcPr>
            <w:tcW w:w="728" w:type="pct"/>
            <w:tcMar>
              <w:top w:w="0" w:type="dxa"/>
              <w:left w:w="0" w:type="dxa"/>
              <w:bottom w:w="0" w:type="dxa"/>
              <w:right w:w="0" w:type="dxa"/>
            </w:tcMar>
            <w:vAlign w:val="center"/>
          </w:tcPr>
          <w:p w14:paraId="1D3EB967">
            <w:pPr>
              <w:pStyle w:val="67"/>
              <w:rPr>
                <w:rFonts w:cs="Times New Roman"/>
                <w:color w:val="auto"/>
              </w:rPr>
            </w:pPr>
            <w:r>
              <w:rPr>
                <w:rFonts w:cs="Times New Roman"/>
                <w:color w:val="auto"/>
              </w:rPr>
              <w:t>经度</w:t>
            </w:r>
          </w:p>
        </w:tc>
        <w:tc>
          <w:tcPr>
            <w:tcW w:w="673" w:type="pct"/>
            <w:tcMar>
              <w:top w:w="0" w:type="dxa"/>
              <w:left w:w="0" w:type="dxa"/>
              <w:bottom w:w="0" w:type="dxa"/>
              <w:right w:w="0" w:type="dxa"/>
            </w:tcMar>
            <w:vAlign w:val="center"/>
          </w:tcPr>
          <w:p w14:paraId="1D3EB968">
            <w:pPr>
              <w:pStyle w:val="67"/>
              <w:rPr>
                <w:rFonts w:cs="Times New Roman"/>
                <w:color w:val="auto"/>
              </w:rPr>
            </w:pPr>
            <w:r>
              <w:rPr>
                <w:rFonts w:cs="Times New Roman"/>
                <w:color w:val="auto"/>
              </w:rPr>
              <w:t>纬度</w:t>
            </w:r>
          </w:p>
        </w:tc>
        <w:tc>
          <w:tcPr>
            <w:tcW w:w="437" w:type="pct"/>
            <w:vMerge w:val="continue"/>
            <w:tcMar>
              <w:top w:w="0" w:type="dxa"/>
              <w:left w:w="0" w:type="dxa"/>
              <w:bottom w:w="0" w:type="dxa"/>
              <w:right w:w="0" w:type="dxa"/>
            </w:tcMar>
            <w:vAlign w:val="center"/>
          </w:tcPr>
          <w:p w14:paraId="1D3EB969">
            <w:pPr>
              <w:pStyle w:val="67"/>
              <w:rPr>
                <w:rFonts w:cs="Times New Roman"/>
                <w:color w:val="auto"/>
              </w:rPr>
            </w:pPr>
          </w:p>
        </w:tc>
        <w:tc>
          <w:tcPr>
            <w:tcW w:w="342" w:type="pct"/>
            <w:vMerge w:val="continue"/>
            <w:tcMar>
              <w:top w:w="0" w:type="dxa"/>
              <w:left w:w="0" w:type="dxa"/>
              <w:bottom w:w="0" w:type="dxa"/>
              <w:right w:w="0" w:type="dxa"/>
            </w:tcMar>
            <w:vAlign w:val="center"/>
          </w:tcPr>
          <w:p w14:paraId="1D3EB96A">
            <w:pPr>
              <w:pStyle w:val="67"/>
              <w:rPr>
                <w:rFonts w:cs="Times New Roman"/>
                <w:color w:val="auto"/>
              </w:rPr>
            </w:pPr>
          </w:p>
        </w:tc>
        <w:tc>
          <w:tcPr>
            <w:tcW w:w="342" w:type="pct"/>
            <w:vMerge w:val="continue"/>
            <w:tcMar>
              <w:top w:w="0" w:type="dxa"/>
              <w:left w:w="0" w:type="dxa"/>
              <w:bottom w:w="0" w:type="dxa"/>
              <w:right w:w="0" w:type="dxa"/>
            </w:tcMar>
            <w:vAlign w:val="center"/>
          </w:tcPr>
          <w:p w14:paraId="1D3EB96B">
            <w:pPr>
              <w:pStyle w:val="67"/>
              <w:rPr>
                <w:rFonts w:cs="Times New Roman"/>
                <w:color w:val="auto"/>
              </w:rPr>
            </w:pPr>
          </w:p>
        </w:tc>
        <w:tc>
          <w:tcPr>
            <w:tcW w:w="342" w:type="pct"/>
            <w:vMerge w:val="continue"/>
            <w:tcMar>
              <w:top w:w="0" w:type="dxa"/>
              <w:left w:w="0" w:type="dxa"/>
              <w:bottom w:w="0" w:type="dxa"/>
              <w:right w:w="0" w:type="dxa"/>
            </w:tcMar>
            <w:vAlign w:val="center"/>
          </w:tcPr>
          <w:p w14:paraId="1D3EB96C">
            <w:pPr>
              <w:pStyle w:val="67"/>
              <w:rPr>
                <w:rFonts w:cs="Times New Roman"/>
                <w:color w:val="auto"/>
              </w:rPr>
            </w:pPr>
          </w:p>
        </w:tc>
        <w:tc>
          <w:tcPr>
            <w:tcW w:w="343" w:type="pct"/>
            <w:tcMar>
              <w:top w:w="0" w:type="dxa"/>
              <w:left w:w="0" w:type="dxa"/>
              <w:bottom w:w="0" w:type="dxa"/>
              <w:right w:w="0" w:type="dxa"/>
            </w:tcMar>
            <w:vAlign w:val="center"/>
          </w:tcPr>
          <w:p w14:paraId="1D3EB96D">
            <w:pPr>
              <w:pStyle w:val="67"/>
              <w:rPr>
                <w:rFonts w:cs="Times New Roman"/>
                <w:color w:val="auto"/>
              </w:rPr>
            </w:pPr>
            <w:r>
              <w:rPr>
                <w:rFonts w:cs="Times New Roman"/>
                <w:color w:val="auto"/>
              </w:rPr>
              <w:t>名称</w:t>
            </w:r>
          </w:p>
        </w:tc>
        <w:tc>
          <w:tcPr>
            <w:tcW w:w="427" w:type="pct"/>
            <w:tcMar>
              <w:top w:w="0" w:type="dxa"/>
              <w:left w:w="0" w:type="dxa"/>
              <w:bottom w:w="0" w:type="dxa"/>
              <w:right w:w="0" w:type="dxa"/>
            </w:tcMar>
            <w:vAlign w:val="center"/>
          </w:tcPr>
          <w:p w14:paraId="1D3EB96E">
            <w:pPr>
              <w:pStyle w:val="67"/>
              <w:rPr>
                <w:rFonts w:cs="Times New Roman"/>
                <w:color w:val="auto"/>
              </w:rPr>
            </w:pPr>
            <w:r>
              <w:rPr>
                <w:rFonts w:cs="Times New Roman"/>
                <w:color w:val="auto"/>
              </w:rPr>
              <w:t>污染物种类</w:t>
            </w:r>
          </w:p>
        </w:tc>
        <w:tc>
          <w:tcPr>
            <w:tcW w:w="902" w:type="pct"/>
            <w:tcMar>
              <w:top w:w="0" w:type="dxa"/>
              <w:left w:w="0" w:type="dxa"/>
              <w:bottom w:w="0" w:type="dxa"/>
              <w:right w:w="0" w:type="dxa"/>
            </w:tcMar>
            <w:vAlign w:val="center"/>
          </w:tcPr>
          <w:p w14:paraId="1D3EB96F">
            <w:pPr>
              <w:pStyle w:val="67"/>
              <w:rPr>
                <w:rFonts w:cs="Times New Roman"/>
                <w:color w:val="auto"/>
              </w:rPr>
            </w:pPr>
            <w:r>
              <w:rPr>
                <w:rFonts w:cs="Times New Roman"/>
                <w:color w:val="auto"/>
              </w:rPr>
              <w:t>国家或地方污染物排放标准浓度限值/（mg/L）</w:t>
            </w:r>
          </w:p>
        </w:tc>
      </w:tr>
      <w:tr w14:paraId="1D3EB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restart"/>
            <w:tcMar>
              <w:top w:w="0" w:type="dxa"/>
              <w:left w:w="0" w:type="dxa"/>
              <w:bottom w:w="0" w:type="dxa"/>
              <w:right w:w="0" w:type="dxa"/>
            </w:tcMar>
            <w:vAlign w:val="center"/>
          </w:tcPr>
          <w:p w14:paraId="1D3EB971">
            <w:pPr>
              <w:pStyle w:val="62"/>
            </w:pPr>
            <w:r>
              <w:t>DW001</w:t>
            </w:r>
          </w:p>
        </w:tc>
        <w:tc>
          <w:tcPr>
            <w:tcW w:w="728" w:type="pct"/>
            <w:vMerge w:val="restart"/>
            <w:tcMar>
              <w:top w:w="0" w:type="dxa"/>
              <w:left w:w="0" w:type="dxa"/>
              <w:bottom w:w="0" w:type="dxa"/>
              <w:right w:w="0" w:type="dxa"/>
            </w:tcMar>
            <w:vAlign w:val="center"/>
          </w:tcPr>
          <w:p w14:paraId="1D3EB972">
            <w:pPr>
              <w:pStyle w:val="62"/>
            </w:pPr>
            <w:r>
              <w:t>11</w:t>
            </w:r>
            <w:r>
              <w:rPr>
                <w:rFonts w:hint="eastAsia"/>
              </w:rPr>
              <w:t>4</w:t>
            </w:r>
            <w:r>
              <w:t>°</w:t>
            </w:r>
            <w:r>
              <w:rPr>
                <w:rFonts w:hint="eastAsia"/>
              </w:rPr>
              <w:t>2</w:t>
            </w:r>
            <w:r>
              <w:t>'</w:t>
            </w:r>
            <w:r>
              <w:rPr>
                <w:rFonts w:hint="eastAsia"/>
              </w:rPr>
              <w:t>2.39</w:t>
            </w:r>
            <w:r>
              <w:t>"</w:t>
            </w:r>
          </w:p>
        </w:tc>
        <w:tc>
          <w:tcPr>
            <w:tcW w:w="673" w:type="pct"/>
            <w:vMerge w:val="restart"/>
            <w:tcMar>
              <w:top w:w="0" w:type="dxa"/>
              <w:left w:w="0" w:type="dxa"/>
              <w:bottom w:w="0" w:type="dxa"/>
              <w:right w:w="0" w:type="dxa"/>
            </w:tcMar>
            <w:vAlign w:val="center"/>
          </w:tcPr>
          <w:p w14:paraId="1D3EB973">
            <w:pPr>
              <w:pStyle w:val="62"/>
            </w:pPr>
            <w:r>
              <w:t>35°</w:t>
            </w:r>
            <w:r>
              <w:rPr>
                <w:rFonts w:hint="eastAsia"/>
              </w:rPr>
              <w:t>25</w:t>
            </w:r>
            <w:r>
              <w:t>'</w:t>
            </w:r>
            <w:r>
              <w:rPr>
                <w:rFonts w:hint="eastAsia"/>
              </w:rPr>
              <w:t>33.22</w:t>
            </w:r>
            <w:r>
              <w:t>"</w:t>
            </w:r>
          </w:p>
        </w:tc>
        <w:tc>
          <w:tcPr>
            <w:tcW w:w="437" w:type="pct"/>
            <w:vMerge w:val="restart"/>
            <w:tcMar>
              <w:top w:w="0" w:type="dxa"/>
              <w:left w:w="0" w:type="dxa"/>
              <w:bottom w:w="0" w:type="dxa"/>
              <w:right w:w="0" w:type="dxa"/>
            </w:tcMar>
            <w:vAlign w:val="center"/>
          </w:tcPr>
          <w:p w14:paraId="1D3EB974">
            <w:pPr>
              <w:pStyle w:val="62"/>
              <w:rPr>
                <w:u w:val="single"/>
              </w:rPr>
            </w:pPr>
            <w:r>
              <w:rPr>
                <w:rFonts w:hint="eastAsia"/>
                <w:u w:val="single"/>
              </w:rPr>
              <w:t>0.2193</w:t>
            </w:r>
          </w:p>
        </w:tc>
        <w:tc>
          <w:tcPr>
            <w:tcW w:w="342" w:type="pct"/>
            <w:vMerge w:val="restart"/>
            <w:tcMar>
              <w:top w:w="0" w:type="dxa"/>
              <w:left w:w="0" w:type="dxa"/>
              <w:bottom w:w="0" w:type="dxa"/>
              <w:right w:w="0" w:type="dxa"/>
            </w:tcMar>
            <w:vAlign w:val="center"/>
          </w:tcPr>
          <w:p w14:paraId="1D3EB975">
            <w:pPr>
              <w:pStyle w:val="62"/>
            </w:pPr>
            <w:r>
              <w:t>城</w:t>
            </w:r>
            <w:r>
              <w:rPr>
                <w:rFonts w:hint="eastAsia"/>
              </w:rPr>
              <w:t>镇</w:t>
            </w:r>
            <w:r>
              <w:t>污水处理厂</w:t>
            </w:r>
          </w:p>
        </w:tc>
        <w:tc>
          <w:tcPr>
            <w:tcW w:w="342" w:type="pct"/>
            <w:vMerge w:val="restart"/>
            <w:tcMar>
              <w:top w:w="0" w:type="dxa"/>
              <w:left w:w="0" w:type="dxa"/>
              <w:bottom w:w="0" w:type="dxa"/>
              <w:right w:w="0" w:type="dxa"/>
            </w:tcMar>
            <w:vAlign w:val="center"/>
          </w:tcPr>
          <w:p w14:paraId="1D3EB976">
            <w:pPr>
              <w:pStyle w:val="62"/>
              <w:rPr>
                <w:highlight w:val="yellow"/>
              </w:rPr>
            </w:pPr>
            <w:r>
              <w:rPr>
                <w:rFonts w:hint="eastAsia"/>
              </w:rPr>
              <w:t>间断</w:t>
            </w:r>
            <w:r>
              <w:t>排放</w:t>
            </w:r>
          </w:p>
        </w:tc>
        <w:tc>
          <w:tcPr>
            <w:tcW w:w="342" w:type="pct"/>
            <w:vMerge w:val="restart"/>
            <w:tcMar>
              <w:top w:w="0" w:type="dxa"/>
              <w:left w:w="0" w:type="dxa"/>
              <w:bottom w:w="0" w:type="dxa"/>
              <w:right w:w="0" w:type="dxa"/>
            </w:tcMar>
            <w:vAlign w:val="center"/>
          </w:tcPr>
          <w:p w14:paraId="1D3EB977">
            <w:pPr>
              <w:pStyle w:val="62"/>
            </w:pPr>
            <w:r>
              <w:t>/</w:t>
            </w:r>
          </w:p>
        </w:tc>
        <w:tc>
          <w:tcPr>
            <w:tcW w:w="343" w:type="pct"/>
            <w:vMerge w:val="restart"/>
            <w:tcMar>
              <w:top w:w="0" w:type="dxa"/>
              <w:left w:w="0" w:type="dxa"/>
              <w:bottom w:w="0" w:type="dxa"/>
              <w:right w:w="0" w:type="dxa"/>
            </w:tcMar>
            <w:vAlign w:val="center"/>
          </w:tcPr>
          <w:p w14:paraId="1D3EB978">
            <w:pPr>
              <w:pStyle w:val="62"/>
            </w:pPr>
            <w:r>
              <w:rPr>
                <w:rFonts w:hint="eastAsia"/>
              </w:rPr>
              <w:t>唐庄</w:t>
            </w:r>
            <w:r>
              <w:t>污水处理厂</w:t>
            </w:r>
          </w:p>
        </w:tc>
        <w:tc>
          <w:tcPr>
            <w:tcW w:w="427" w:type="pct"/>
            <w:tcMar>
              <w:top w:w="0" w:type="dxa"/>
              <w:left w:w="0" w:type="dxa"/>
              <w:bottom w:w="0" w:type="dxa"/>
              <w:right w:w="0" w:type="dxa"/>
            </w:tcMar>
            <w:vAlign w:val="center"/>
          </w:tcPr>
          <w:p w14:paraId="1D3EB979">
            <w:pPr>
              <w:pStyle w:val="62"/>
            </w:pPr>
            <w:r>
              <w:t>COD</w:t>
            </w:r>
          </w:p>
        </w:tc>
        <w:tc>
          <w:tcPr>
            <w:tcW w:w="902" w:type="pct"/>
            <w:tcMar>
              <w:top w:w="0" w:type="dxa"/>
              <w:left w:w="0" w:type="dxa"/>
              <w:bottom w:w="0" w:type="dxa"/>
              <w:right w:w="0" w:type="dxa"/>
            </w:tcMar>
            <w:vAlign w:val="center"/>
          </w:tcPr>
          <w:p w14:paraId="1D3EB97A">
            <w:pPr>
              <w:pStyle w:val="62"/>
            </w:pPr>
            <w:r>
              <w:t>40</w:t>
            </w:r>
          </w:p>
        </w:tc>
      </w:tr>
      <w:tr w14:paraId="1D3EB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continue"/>
            <w:vAlign w:val="center"/>
          </w:tcPr>
          <w:p w14:paraId="1D3EB97C">
            <w:pPr>
              <w:pStyle w:val="62"/>
              <w:rPr>
                <w:highlight w:val="yellow"/>
              </w:rPr>
            </w:pPr>
          </w:p>
        </w:tc>
        <w:tc>
          <w:tcPr>
            <w:tcW w:w="728" w:type="pct"/>
            <w:vMerge w:val="continue"/>
            <w:vAlign w:val="center"/>
          </w:tcPr>
          <w:p w14:paraId="1D3EB97D">
            <w:pPr>
              <w:pStyle w:val="62"/>
              <w:rPr>
                <w:highlight w:val="yellow"/>
              </w:rPr>
            </w:pPr>
          </w:p>
        </w:tc>
        <w:tc>
          <w:tcPr>
            <w:tcW w:w="673" w:type="pct"/>
            <w:vMerge w:val="continue"/>
            <w:vAlign w:val="center"/>
          </w:tcPr>
          <w:p w14:paraId="1D3EB97E">
            <w:pPr>
              <w:pStyle w:val="62"/>
              <w:rPr>
                <w:highlight w:val="yellow"/>
              </w:rPr>
            </w:pPr>
          </w:p>
        </w:tc>
        <w:tc>
          <w:tcPr>
            <w:tcW w:w="437" w:type="pct"/>
            <w:vMerge w:val="continue"/>
            <w:vAlign w:val="center"/>
          </w:tcPr>
          <w:p w14:paraId="1D3EB97F">
            <w:pPr>
              <w:pStyle w:val="62"/>
              <w:rPr>
                <w:highlight w:val="yellow"/>
              </w:rPr>
            </w:pPr>
          </w:p>
        </w:tc>
        <w:tc>
          <w:tcPr>
            <w:tcW w:w="342" w:type="pct"/>
            <w:vMerge w:val="continue"/>
            <w:vAlign w:val="center"/>
          </w:tcPr>
          <w:p w14:paraId="1D3EB980">
            <w:pPr>
              <w:pStyle w:val="62"/>
              <w:rPr>
                <w:highlight w:val="yellow"/>
              </w:rPr>
            </w:pPr>
          </w:p>
        </w:tc>
        <w:tc>
          <w:tcPr>
            <w:tcW w:w="342" w:type="pct"/>
            <w:vMerge w:val="continue"/>
            <w:vAlign w:val="center"/>
          </w:tcPr>
          <w:p w14:paraId="1D3EB981">
            <w:pPr>
              <w:pStyle w:val="62"/>
              <w:rPr>
                <w:highlight w:val="yellow"/>
              </w:rPr>
            </w:pPr>
          </w:p>
        </w:tc>
        <w:tc>
          <w:tcPr>
            <w:tcW w:w="342" w:type="pct"/>
            <w:vMerge w:val="continue"/>
            <w:vAlign w:val="center"/>
          </w:tcPr>
          <w:p w14:paraId="1D3EB982">
            <w:pPr>
              <w:pStyle w:val="62"/>
            </w:pPr>
          </w:p>
        </w:tc>
        <w:tc>
          <w:tcPr>
            <w:tcW w:w="343" w:type="pct"/>
            <w:vMerge w:val="continue"/>
            <w:vAlign w:val="center"/>
          </w:tcPr>
          <w:p w14:paraId="1D3EB983">
            <w:pPr>
              <w:pStyle w:val="62"/>
            </w:pPr>
          </w:p>
        </w:tc>
        <w:tc>
          <w:tcPr>
            <w:tcW w:w="427" w:type="pct"/>
            <w:tcMar>
              <w:top w:w="0" w:type="dxa"/>
              <w:left w:w="0" w:type="dxa"/>
              <w:bottom w:w="0" w:type="dxa"/>
              <w:right w:w="0" w:type="dxa"/>
            </w:tcMar>
            <w:vAlign w:val="center"/>
          </w:tcPr>
          <w:p w14:paraId="1D3EB984">
            <w:pPr>
              <w:pStyle w:val="62"/>
            </w:pPr>
            <w:r>
              <w:t>BOD</w:t>
            </w:r>
            <w:r>
              <w:rPr>
                <w:vertAlign w:val="subscript"/>
              </w:rPr>
              <w:t>5</w:t>
            </w:r>
          </w:p>
        </w:tc>
        <w:tc>
          <w:tcPr>
            <w:tcW w:w="902" w:type="pct"/>
            <w:tcMar>
              <w:top w:w="0" w:type="dxa"/>
              <w:left w:w="0" w:type="dxa"/>
              <w:bottom w:w="0" w:type="dxa"/>
              <w:right w:w="0" w:type="dxa"/>
            </w:tcMar>
            <w:vAlign w:val="center"/>
          </w:tcPr>
          <w:p w14:paraId="1D3EB985">
            <w:pPr>
              <w:pStyle w:val="62"/>
            </w:pPr>
            <w:r>
              <w:t>10</w:t>
            </w:r>
          </w:p>
        </w:tc>
      </w:tr>
      <w:tr w14:paraId="1D3EB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continue"/>
            <w:vAlign w:val="center"/>
          </w:tcPr>
          <w:p w14:paraId="1D3EB987">
            <w:pPr>
              <w:pStyle w:val="62"/>
              <w:rPr>
                <w:highlight w:val="yellow"/>
              </w:rPr>
            </w:pPr>
          </w:p>
        </w:tc>
        <w:tc>
          <w:tcPr>
            <w:tcW w:w="728" w:type="pct"/>
            <w:vMerge w:val="continue"/>
            <w:vAlign w:val="center"/>
          </w:tcPr>
          <w:p w14:paraId="1D3EB988">
            <w:pPr>
              <w:pStyle w:val="62"/>
              <w:rPr>
                <w:highlight w:val="yellow"/>
              </w:rPr>
            </w:pPr>
          </w:p>
        </w:tc>
        <w:tc>
          <w:tcPr>
            <w:tcW w:w="673" w:type="pct"/>
            <w:vMerge w:val="continue"/>
            <w:vAlign w:val="center"/>
          </w:tcPr>
          <w:p w14:paraId="1D3EB989">
            <w:pPr>
              <w:pStyle w:val="62"/>
              <w:rPr>
                <w:highlight w:val="yellow"/>
              </w:rPr>
            </w:pPr>
          </w:p>
        </w:tc>
        <w:tc>
          <w:tcPr>
            <w:tcW w:w="437" w:type="pct"/>
            <w:vMerge w:val="continue"/>
            <w:vAlign w:val="center"/>
          </w:tcPr>
          <w:p w14:paraId="1D3EB98A">
            <w:pPr>
              <w:pStyle w:val="62"/>
              <w:rPr>
                <w:highlight w:val="yellow"/>
              </w:rPr>
            </w:pPr>
          </w:p>
        </w:tc>
        <w:tc>
          <w:tcPr>
            <w:tcW w:w="342" w:type="pct"/>
            <w:vMerge w:val="continue"/>
            <w:vAlign w:val="center"/>
          </w:tcPr>
          <w:p w14:paraId="1D3EB98B">
            <w:pPr>
              <w:pStyle w:val="62"/>
              <w:rPr>
                <w:highlight w:val="yellow"/>
              </w:rPr>
            </w:pPr>
          </w:p>
        </w:tc>
        <w:tc>
          <w:tcPr>
            <w:tcW w:w="342" w:type="pct"/>
            <w:vMerge w:val="continue"/>
            <w:vAlign w:val="center"/>
          </w:tcPr>
          <w:p w14:paraId="1D3EB98C">
            <w:pPr>
              <w:pStyle w:val="62"/>
              <w:rPr>
                <w:highlight w:val="yellow"/>
              </w:rPr>
            </w:pPr>
          </w:p>
        </w:tc>
        <w:tc>
          <w:tcPr>
            <w:tcW w:w="342" w:type="pct"/>
            <w:vMerge w:val="continue"/>
            <w:vAlign w:val="center"/>
          </w:tcPr>
          <w:p w14:paraId="1D3EB98D">
            <w:pPr>
              <w:pStyle w:val="62"/>
            </w:pPr>
          </w:p>
        </w:tc>
        <w:tc>
          <w:tcPr>
            <w:tcW w:w="343" w:type="pct"/>
            <w:vMerge w:val="continue"/>
            <w:vAlign w:val="center"/>
          </w:tcPr>
          <w:p w14:paraId="1D3EB98E">
            <w:pPr>
              <w:pStyle w:val="62"/>
            </w:pPr>
          </w:p>
        </w:tc>
        <w:tc>
          <w:tcPr>
            <w:tcW w:w="427" w:type="pct"/>
            <w:tcMar>
              <w:top w:w="0" w:type="dxa"/>
              <w:left w:w="0" w:type="dxa"/>
              <w:bottom w:w="0" w:type="dxa"/>
              <w:right w:w="0" w:type="dxa"/>
            </w:tcMar>
            <w:vAlign w:val="center"/>
          </w:tcPr>
          <w:p w14:paraId="1D3EB98F">
            <w:pPr>
              <w:pStyle w:val="62"/>
            </w:pPr>
            <w:r>
              <w:t>NH</w:t>
            </w:r>
            <w:r>
              <w:rPr>
                <w:vertAlign w:val="subscript"/>
              </w:rPr>
              <w:t>3</w:t>
            </w:r>
            <w:r>
              <w:t>-N</w:t>
            </w:r>
          </w:p>
        </w:tc>
        <w:tc>
          <w:tcPr>
            <w:tcW w:w="902" w:type="pct"/>
            <w:tcMar>
              <w:top w:w="0" w:type="dxa"/>
              <w:left w:w="0" w:type="dxa"/>
              <w:bottom w:w="0" w:type="dxa"/>
              <w:right w:w="0" w:type="dxa"/>
            </w:tcMar>
            <w:vAlign w:val="center"/>
          </w:tcPr>
          <w:p w14:paraId="1D3EB990">
            <w:pPr>
              <w:pStyle w:val="62"/>
            </w:pPr>
            <w:r>
              <w:t>2.0</w:t>
            </w:r>
          </w:p>
        </w:tc>
      </w:tr>
      <w:tr w14:paraId="1D3EB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continue"/>
            <w:vAlign w:val="center"/>
          </w:tcPr>
          <w:p w14:paraId="1D3EB992">
            <w:pPr>
              <w:pStyle w:val="62"/>
              <w:rPr>
                <w:highlight w:val="yellow"/>
              </w:rPr>
            </w:pPr>
          </w:p>
        </w:tc>
        <w:tc>
          <w:tcPr>
            <w:tcW w:w="728" w:type="pct"/>
            <w:vMerge w:val="continue"/>
            <w:vAlign w:val="center"/>
          </w:tcPr>
          <w:p w14:paraId="1D3EB993">
            <w:pPr>
              <w:pStyle w:val="62"/>
              <w:rPr>
                <w:highlight w:val="yellow"/>
              </w:rPr>
            </w:pPr>
          </w:p>
        </w:tc>
        <w:tc>
          <w:tcPr>
            <w:tcW w:w="673" w:type="pct"/>
            <w:vMerge w:val="continue"/>
            <w:vAlign w:val="center"/>
          </w:tcPr>
          <w:p w14:paraId="1D3EB994">
            <w:pPr>
              <w:pStyle w:val="62"/>
              <w:rPr>
                <w:highlight w:val="yellow"/>
              </w:rPr>
            </w:pPr>
          </w:p>
        </w:tc>
        <w:tc>
          <w:tcPr>
            <w:tcW w:w="437" w:type="pct"/>
            <w:vMerge w:val="continue"/>
            <w:vAlign w:val="center"/>
          </w:tcPr>
          <w:p w14:paraId="1D3EB995">
            <w:pPr>
              <w:pStyle w:val="62"/>
              <w:rPr>
                <w:highlight w:val="yellow"/>
              </w:rPr>
            </w:pPr>
          </w:p>
        </w:tc>
        <w:tc>
          <w:tcPr>
            <w:tcW w:w="342" w:type="pct"/>
            <w:vMerge w:val="continue"/>
            <w:vAlign w:val="center"/>
          </w:tcPr>
          <w:p w14:paraId="1D3EB996">
            <w:pPr>
              <w:pStyle w:val="62"/>
              <w:rPr>
                <w:highlight w:val="yellow"/>
              </w:rPr>
            </w:pPr>
          </w:p>
        </w:tc>
        <w:tc>
          <w:tcPr>
            <w:tcW w:w="342" w:type="pct"/>
            <w:vMerge w:val="continue"/>
            <w:vAlign w:val="center"/>
          </w:tcPr>
          <w:p w14:paraId="1D3EB997">
            <w:pPr>
              <w:pStyle w:val="62"/>
              <w:rPr>
                <w:highlight w:val="yellow"/>
              </w:rPr>
            </w:pPr>
          </w:p>
        </w:tc>
        <w:tc>
          <w:tcPr>
            <w:tcW w:w="342" w:type="pct"/>
            <w:vMerge w:val="continue"/>
            <w:vAlign w:val="center"/>
          </w:tcPr>
          <w:p w14:paraId="1D3EB998">
            <w:pPr>
              <w:pStyle w:val="62"/>
            </w:pPr>
          </w:p>
        </w:tc>
        <w:tc>
          <w:tcPr>
            <w:tcW w:w="343" w:type="pct"/>
            <w:vMerge w:val="continue"/>
            <w:vAlign w:val="center"/>
          </w:tcPr>
          <w:p w14:paraId="1D3EB999">
            <w:pPr>
              <w:pStyle w:val="62"/>
            </w:pPr>
          </w:p>
        </w:tc>
        <w:tc>
          <w:tcPr>
            <w:tcW w:w="427" w:type="pct"/>
            <w:tcMar>
              <w:top w:w="0" w:type="dxa"/>
              <w:left w:w="0" w:type="dxa"/>
              <w:bottom w:w="0" w:type="dxa"/>
              <w:right w:w="0" w:type="dxa"/>
            </w:tcMar>
            <w:vAlign w:val="center"/>
          </w:tcPr>
          <w:p w14:paraId="1D3EB99A">
            <w:pPr>
              <w:pStyle w:val="62"/>
            </w:pPr>
            <w:r>
              <w:t>TP</w:t>
            </w:r>
          </w:p>
        </w:tc>
        <w:tc>
          <w:tcPr>
            <w:tcW w:w="902" w:type="pct"/>
            <w:tcMar>
              <w:top w:w="0" w:type="dxa"/>
              <w:left w:w="0" w:type="dxa"/>
              <w:bottom w:w="0" w:type="dxa"/>
              <w:right w:w="0" w:type="dxa"/>
            </w:tcMar>
            <w:vAlign w:val="center"/>
          </w:tcPr>
          <w:p w14:paraId="1D3EB99B">
            <w:pPr>
              <w:pStyle w:val="62"/>
            </w:pPr>
            <w:r>
              <w:t>0.4</w:t>
            </w:r>
          </w:p>
        </w:tc>
      </w:tr>
      <w:tr w14:paraId="1D3EB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continue"/>
            <w:vAlign w:val="center"/>
          </w:tcPr>
          <w:p w14:paraId="1D3EB99D">
            <w:pPr>
              <w:pStyle w:val="62"/>
              <w:rPr>
                <w:highlight w:val="yellow"/>
              </w:rPr>
            </w:pPr>
          </w:p>
        </w:tc>
        <w:tc>
          <w:tcPr>
            <w:tcW w:w="728" w:type="pct"/>
            <w:vMerge w:val="continue"/>
            <w:vAlign w:val="center"/>
          </w:tcPr>
          <w:p w14:paraId="1D3EB99E">
            <w:pPr>
              <w:pStyle w:val="62"/>
              <w:rPr>
                <w:highlight w:val="yellow"/>
              </w:rPr>
            </w:pPr>
          </w:p>
        </w:tc>
        <w:tc>
          <w:tcPr>
            <w:tcW w:w="673" w:type="pct"/>
            <w:vMerge w:val="continue"/>
            <w:vAlign w:val="center"/>
          </w:tcPr>
          <w:p w14:paraId="1D3EB99F">
            <w:pPr>
              <w:pStyle w:val="62"/>
              <w:rPr>
                <w:highlight w:val="yellow"/>
              </w:rPr>
            </w:pPr>
          </w:p>
        </w:tc>
        <w:tc>
          <w:tcPr>
            <w:tcW w:w="437" w:type="pct"/>
            <w:vMerge w:val="continue"/>
            <w:vAlign w:val="center"/>
          </w:tcPr>
          <w:p w14:paraId="1D3EB9A0">
            <w:pPr>
              <w:pStyle w:val="62"/>
              <w:rPr>
                <w:highlight w:val="yellow"/>
              </w:rPr>
            </w:pPr>
          </w:p>
        </w:tc>
        <w:tc>
          <w:tcPr>
            <w:tcW w:w="342" w:type="pct"/>
            <w:vMerge w:val="continue"/>
            <w:vAlign w:val="center"/>
          </w:tcPr>
          <w:p w14:paraId="1D3EB9A1">
            <w:pPr>
              <w:pStyle w:val="62"/>
              <w:rPr>
                <w:highlight w:val="yellow"/>
              </w:rPr>
            </w:pPr>
          </w:p>
        </w:tc>
        <w:tc>
          <w:tcPr>
            <w:tcW w:w="342" w:type="pct"/>
            <w:vMerge w:val="continue"/>
            <w:vAlign w:val="center"/>
          </w:tcPr>
          <w:p w14:paraId="1D3EB9A2">
            <w:pPr>
              <w:pStyle w:val="62"/>
              <w:rPr>
                <w:highlight w:val="yellow"/>
              </w:rPr>
            </w:pPr>
          </w:p>
        </w:tc>
        <w:tc>
          <w:tcPr>
            <w:tcW w:w="342" w:type="pct"/>
            <w:vMerge w:val="continue"/>
            <w:vAlign w:val="center"/>
          </w:tcPr>
          <w:p w14:paraId="1D3EB9A3">
            <w:pPr>
              <w:pStyle w:val="62"/>
            </w:pPr>
          </w:p>
        </w:tc>
        <w:tc>
          <w:tcPr>
            <w:tcW w:w="343" w:type="pct"/>
            <w:vMerge w:val="continue"/>
            <w:vAlign w:val="center"/>
          </w:tcPr>
          <w:p w14:paraId="1D3EB9A4">
            <w:pPr>
              <w:pStyle w:val="62"/>
            </w:pPr>
          </w:p>
        </w:tc>
        <w:tc>
          <w:tcPr>
            <w:tcW w:w="427" w:type="pct"/>
            <w:tcMar>
              <w:top w:w="0" w:type="dxa"/>
              <w:left w:w="0" w:type="dxa"/>
              <w:bottom w:w="0" w:type="dxa"/>
              <w:right w:w="0" w:type="dxa"/>
            </w:tcMar>
            <w:vAlign w:val="center"/>
          </w:tcPr>
          <w:p w14:paraId="1D3EB9A5">
            <w:pPr>
              <w:pStyle w:val="62"/>
            </w:pPr>
            <w:r>
              <w:t>TN</w:t>
            </w:r>
          </w:p>
        </w:tc>
        <w:tc>
          <w:tcPr>
            <w:tcW w:w="902" w:type="pct"/>
            <w:tcMar>
              <w:top w:w="0" w:type="dxa"/>
              <w:left w:w="0" w:type="dxa"/>
              <w:bottom w:w="0" w:type="dxa"/>
              <w:right w:w="0" w:type="dxa"/>
            </w:tcMar>
            <w:vAlign w:val="center"/>
          </w:tcPr>
          <w:p w14:paraId="1D3EB9A6">
            <w:pPr>
              <w:pStyle w:val="62"/>
            </w:pPr>
            <w:r>
              <w:t>15</w:t>
            </w:r>
          </w:p>
        </w:tc>
      </w:tr>
      <w:tr w14:paraId="298CC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continue"/>
            <w:vAlign w:val="center"/>
          </w:tcPr>
          <w:p w14:paraId="6CDCFE15">
            <w:pPr>
              <w:pStyle w:val="62"/>
              <w:rPr>
                <w:highlight w:val="yellow"/>
              </w:rPr>
            </w:pPr>
          </w:p>
        </w:tc>
        <w:tc>
          <w:tcPr>
            <w:tcW w:w="728" w:type="pct"/>
            <w:vMerge w:val="continue"/>
            <w:vAlign w:val="center"/>
          </w:tcPr>
          <w:p w14:paraId="750C6216">
            <w:pPr>
              <w:pStyle w:val="62"/>
              <w:rPr>
                <w:highlight w:val="yellow"/>
              </w:rPr>
            </w:pPr>
          </w:p>
        </w:tc>
        <w:tc>
          <w:tcPr>
            <w:tcW w:w="673" w:type="pct"/>
            <w:vMerge w:val="continue"/>
            <w:vAlign w:val="center"/>
          </w:tcPr>
          <w:p w14:paraId="771BECEF">
            <w:pPr>
              <w:pStyle w:val="62"/>
              <w:rPr>
                <w:highlight w:val="yellow"/>
              </w:rPr>
            </w:pPr>
          </w:p>
        </w:tc>
        <w:tc>
          <w:tcPr>
            <w:tcW w:w="437" w:type="pct"/>
            <w:vMerge w:val="continue"/>
            <w:vAlign w:val="center"/>
          </w:tcPr>
          <w:p w14:paraId="055D9247">
            <w:pPr>
              <w:pStyle w:val="62"/>
              <w:rPr>
                <w:highlight w:val="yellow"/>
              </w:rPr>
            </w:pPr>
          </w:p>
        </w:tc>
        <w:tc>
          <w:tcPr>
            <w:tcW w:w="342" w:type="pct"/>
            <w:vMerge w:val="continue"/>
            <w:vAlign w:val="center"/>
          </w:tcPr>
          <w:p w14:paraId="71C14E3C">
            <w:pPr>
              <w:pStyle w:val="62"/>
              <w:rPr>
                <w:highlight w:val="yellow"/>
              </w:rPr>
            </w:pPr>
          </w:p>
        </w:tc>
        <w:tc>
          <w:tcPr>
            <w:tcW w:w="342" w:type="pct"/>
            <w:vMerge w:val="continue"/>
            <w:vAlign w:val="center"/>
          </w:tcPr>
          <w:p w14:paraId="1FE34697">
            <w:pPr>
              <w:pStyle w:val="62"/>
              <w:rPr>
                <w:highlight w:val="yellow"/>
              </w:rPr>
            </w:pPr>
          </w:p>
        </w:tc>
        <w:tc>
          <w:tcPr>
            <w:tcW w:w="342" w:type="pct"/>
            <w:vMerge w:val="continue"/>
            <w:vAlign w:val="center"/>
          </w:tcPr>
          <w:p w14:paraId="6D17CCD2">
            <w:pPr>
              <w:pStyle w:val="62"/>
            </w:pPr>
          </w:p>
        </w:tc>
        <w:tc>
          <w:tcPr>
            <w:tcW w:w="343" w:type="pct"/>
            <w:vMerge w:val="continue"/>
            <w:vAlign w:val="center"/>
          </w:tcPr>
          <w:p w14:paraId="45197672">
            <w:pPr>
              <w:pStyle w:val="62"/>
            </w:pPr>
          </w:p>
        </w:tc>
        <w:tc>
          <w:tcPr>
            <w:tcW w:w="427" w:type="pct"/>
            <w:tcMar>
              <w:top w:w="0" w:type="dxa"/>
              <w:left w:w="0" w:type="dxa"/>
              <w:bottom w:w="0" w:type="dxa"/>
              <w:right w:w="0" w:type="dxa"/>
            </w:tcMar>
            <w:vAlign w:val="center"/>
          </w:tcPr>
          <w:p w14:paraId="7CE1CB74">
            <w:pPr>
              <w:pStyle w:val="62"/>
            </w:pPr>
            <w:r>
              <w:t>SS</w:t>
            </w:r>
          </w:p>
        </w:tc>
        <w:tc>
          <w:tcPr>
            <w:tcW w:w="902" w:type="pct"/>
            <w:tcMar>
              <w:top w:w="0" w:type="dxa"/>
              <w:left w:w="0" w:type="dxa"/>
              <w:bottom w:w="0" w:type="dxa"/>
              <w:right w:w="0" w:type="dxa"/>
            </w:tcMar>
            <w:vAlign w:val="center"/>
          </w:tcPr>
          <w:p w14:paraId="7D470B63">
            <w:pPr>
              <w:pStyle w:val="62"/>
            </w:pPr>
            <w:r>
              <w:t>10</w:t>
            </w:r>
          </w:p>
        </w:tc>
      </w:tr>
      <w:tr w14:paraId="1D3EB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 w:type="pct"/>
            <w:vMerge w:val="continue"/>
            <w:vAlign w:val="center"/>
          </w:tcPr>
          <w:p w14:paraId="1D3EB9A8">
            <w:pPr>
              <w:pStyle w:val="62"/>
              <w:rPr>
                <w:highlight w:val="yellow"/>
              </w:rPr>
            </w:pPr>
          </w:p>
        </w:tc>
        <w:tc>
          <w:tcPr>
            <w:tcW w:w="728" w:type="pct"/>
            <w:vMerge w:val="continue"/>
            <w:vAlign w:val="center"/>
          </w:tcPr>
          <w:p w14:paraId="1D3EB9A9">
            <w:pPr>
              <w:pStyle w:val="62"/>
              <w:rPr>
                <w:highlight w:val="yellow"/>
              </w:rPr>
            </w:pPr>
          </w:p>
        </w:tc>
        <w:tc>
          <w:tcPr>
            <w:tcW w:w="673" w:type="pct"/>
            <w:vMerge w:val="continue"/>
            <w:vAlign w:val="center"/>
          </w:tcPr>
          <w:p w14:paraId="1D3EB9AA">
            <w:pPr>
              <w:pStyle w:val="62"/>
              <w:rPr>
                <w:highlight w:val="yellow"/>
              </w:rPr>
            </w:pPr>
          </w:p>
        </w:tc>
        <w:tc>
          <w:tcPr>
            <w:tcW w:w="437" w:type="pct"/>
            <w:vMerge w:val="continue"/>
            <w:vAlign w:val="center"/>
          </w:tcPr>
          <w:p w14:paraId="1D3EB9AB">
            <w:pPr>
              <w:pStyle w:val="62"/>
              <w:rPr>
                <w:highlight w:val="yellow"/>
              </w:rPr>
            </w:pPr>
          </w:p>
        </w:tc>
        <w:tc>
          <w:tcPr>
            <w:tcW w:w="342" w:type="pct"/>
            <w:vMerge w:val="continue"/>
            <w:vAlign w:val="center"/>
          </w:tcPr>
          <w:p w14:paraId="1D3EB9AC">
            <w:pPr>
              <w:pStyle w:val="62"/>
              <w:rPr>
                <w:highlight w:val="yellow"/>
              </w:rPr>
            </w:pPr>
          </w:p>
        </w:tc>
        <w:tc>
          <w:tcPr>
            <w:tcW w:w="342" w:type="pct"/>
            <w:vMerge w:val="continue"/>
            <w:vAlign w:val="center"/>
          </w:tcPr>
          <w:p w14:paraId="1D3EB9AD">
            <w:pPr>
              <w:pStyle w:val="62"/>
              <w:rPr>
                <w:highlight w:val="yellow"/>
              </w:rPr>
            </w:pPr>
          </w:p>
        </w:tc>
        <w:tc>
          <w:tcPr>
            <w:tcW w:w="342" w:type="pct"/>
            <w:vMerge w:val="continue"/>
            <w:vAlign w:val="center"/>
          </w:tcPr>
          <w:p w14:paraId="1D3EB9AE">
            <w:pPr>
              <w:pStyle w:val="62"/>
            </w:pPr>
          </w:p>
        </w:tc>
        <w:tc>
          <w:tcPr>
            <w:tcW w:w="343" w:type="pct"/>
            <w:vMerge w:val="continue"/>
            <w:vAlign w:val="center"/>
          </w:tcPr>
          <w:p w14:paraId="1D3EB9AF">
            <w:pPr>
              <w:pStyle w:val="62"/>
            </w:pPr>
          </w:p>
        </w:tc>
        <w:tc>
          <w:tcPr>
            <w:tcW w:w="427" w:type="pct"/>
            <w:tcMar>
              <w:top w:w="0" w:type="dxa"/>
              <w:left w:w="0" w:type="dxa"/>
              <w:bottom w:w="0" w:type="dxa"/>
              <w:right w:w="0" w:type="dxa"/>
            </w:tcMar>
            <w:vAlign w:val="center"/>
          </w:tcPr>
          <w:p w14:paraId="1D3EB9B0">
            <w:pPr>
              <w:pStyle w:val="62"/>
            </w:pPr>
            <w:r>
              <w:rPr>
                <w:rFonts w:hint="eastAsia"/>
              </w:rPr>
              <w:t>石油类</w:t>
            </w:r>
          </w:p>
        </w:tc>
        <w:tc>
          <w:tcPr>
            <w:tcW w:w="902" w:type="pct"/>
            <w:tcMar>
              <w:top w:w="0" w:type="dxa"/>
              <w:left w:w="0" w:type="dxa"/>
              <w:bottom w:w="0" w:type="dxa"/>
              <w:right w:w="0" w:type="dxa"/>
            </w:tcMar>
            <w:vAlign w:val="center"/>
          </w:tcPr>
          <w:p w14:paraId="1D3EB9B1">
            <w:pPr>
              <w:pStyle w:val="62"/>
            </w:pPr>
            <w:r>
              <w:rPr>
                <w:rFonts w:hint="eastAsia"/>
              </w:rPr>
              <w:t>1</w:t>
            </w:r>
          </w:p>
        </w:tc>
      </w:tr>
    </w:tbl>
    <w:p w14:paraId="1D3EB9B3">
      <w:pPr>
        <w:ind w:firstLine="480"/>
        <w:outlineLvl w:val="5"/>
      </w:pPr>
      <w:r>
        <w:t>（3）废水污染物排放执行标准表</w:t>
      </w:r>
    </w:p>
    <w:p w14:paraId="1D3EB9B4">
      <w:pPr>
        <w:pStyle w:val="99"/>
        <w:numPr>
          <w:ilvl w:val="4"/>
          <w:numId w:val="20"/>
        </w:numPr>
        <w:ind w:left="0" w:firstLine="480"/>
        <w:rPr>
          <w:rFonts w:eastAsia="黑体"/>
        </w:rPr>
      </w:pPr>
      <w:r>
        <w:rPr>
          <w:rFonts w:eastAsia="黑体"/>
        </w:rPr>
        <w:t xml:space="preserve">           废水污染物排放执行标准表</w:t>
      </w:r>
    </w:p>
    <w:tbl>
      <w:tblPr>
        <w:tblStyle w:val="41"/>
        <w:tblW w:w="491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917"/>
        <w:gridCol w:w="1021"/>
        <w:gridCol w:w="3205"/>
        <w:gridCol w:w="2564"/>
      </w:tblGrid>
      <w:tr w14:paraId="1D3EB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04" w:type="pct"/>
            <w:vMerge w:val="restart"/>
            <w:vAlign w:val="center"/>
          </w:tcPr>
          <w:p w14:paraId="1D3EB9B5">
            <w:pPr>
              <w:pStyle w:val="67"/>
              <w:rPr>
                <w:rFonts w:cs="Times New Roman"/>
                <w:color w:val="auto"/>
              </w:rPr>
            </w:pPr>
            <w:r>
              <w:rPr>
                <w:rFonts w:cs="Times New Roman"/>
                <w:color w:val="auto"/>
              </w:rPr>
              <w:t>序号</w:t>
            </w:r>
          </w:p>
        </w:tc>
        <w:tc>
          <w:tcPr>
            <w:tcW w:w="547" w:type="pct"/>
            <w:vMerge w:val="restart"/>
            <w:vAlign w:val="center"/>
          </w:tcPr>
          <w:p w14:paraId="1D3EB9B6">
            <w:pPr>
              <w:pStyle w:val="67"/>
              <w:rPr>
                <w:rFonts w:cs="Times New Roman"/>
                <w:color w:val="auto"/>
              </w:rPr>
            </w:pPr>
            <w:r>
              <w:rPr>
                <w:rFonts w:cs="Times New Roman"/>
                <w:color w:val="auto"/>
              </w:rPr>
              <w:t>排放口编号</w:t>
            </w:r>
          </w:p>
        </w:tc>
        <w:tc>
          <w:tcPr>
            <w:tcW w:w="609" w:type="pct"/>
            <w:vMerge w:val="restart"/>
            <w:vAlign w:val="center"/>
          </w:tcPr>
          <w:p w14:paraId="1D3EB9B7">
            <w:pPr>
              <w:pStyle w:val="67"/>
              <w:rPr>
                <w:rFonts w:cs="Times New Roman"/>
                <w:color w:val="auto"/>
              </w:rPr>
            </w:pPr>
            <w:r>
              <w:rPr>
                <w:rFonts w:cs="Times New Roman"/>
                <w:color w:val="auto"/>
              </w:rPr>
              <w:t>污染物种类</w:t>
            </w:r>
          </w:p>
        </w:tc>
        <w:tc>
          <w:tcPr>
            <w:tcW w:w="3440" w:type="pct"/>
            <w:gridSpan w:val="2"/>
            <w:vAlign w:val="center"/>
          </w:tcPr>
          <w:p w14:paraId="1D3EB9B8">
            <w:pPr>
              <w:pStyle w:val="67"/>
              <w:rPr>
                <w:rFonts w:cs="Times New Roman"/>
                <w:color w:val="auto"/>
              </w:rPr>
            </w:pPr>
            <w:r>
              <w:rPr>
                <w:rFonts w:cs="Times New Roman"/>
                <w:color w:val="auto"/>
              </w:rPr>
              <w:t>国家或地方污染物排放标准及其他按规定商定的排放协议</w:t>
            </w:r>
          </w:p>
        </w:tc>
      </w:tr>
      <w:tr w14:paraId="1D3EB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0" w:type="auto"/>
            <w:vMerge w:val="continue"/>
            <w:vAlign w:val="center"/>
          </w:tcPr>
          <w:p w14:paraId="1D3EB9BA">
            <w:pPr>
              <w:pStyle w:val="67"/>
              <w:rPr>
                <w:rFonts w:cs="Times New Roman"/>
                <w:color w:val="auto"/>
                <w:highlight w:val="yellow"/>
              </w:rPr>
            </w:pPr>
          </w:p>
        </w:tc>
        <w:tc>
          <w:tcPr>
            <w:tcW w:w="547" w:type="pct"/>
            <w:vMerge w:val="continue"/>
            <w:vAlign w:val="center"/>
          </w:tcPr>
          <w:p w14:paraId="1D3EB9BB">
            <w:pPr>
              <w:pStyle w:val="67"/>
              <w:rPr>
                <w:rFonts w:cs="Times New Roman"/>
                <w:color w:val="auto"/>
                <w:highlight w:val="yellow"/>
              </w:rPr>
            </w:pPr>
          </w:p>
        </w:tc>
        <w:tc>
          <w:tcPr>
            <w:tcW w:w="609" w:type="pct"/>
            <w:vMerge w:val="continue"/>
            <w:vAlign w:val="center"/>
          </w:tcPr>
          <w:p w14:paraId="1D3EB9BC">
            <w:pPr>
              <w:pStyle w:val="67"/>
              <w:rPr>
                <w:rFonts w:cs="Times New Roman"/>
                <w:color w:val="auto"/>
              </w:rPr>
            </w:pPr>
          </w:p>
        </w:tc>
        <w:tc>
          <w:tcPr>
            <w:tcW w:w="1911" w:type="pct"/>
            <w:vAlign w:val="center"/>
          </w:tcPr>
          <w:p w14:paraId="1D3EB9BD">
            <w:pPr>
              <w:pStyle w:val="67"/>
              <w:rPr>
                <w:rFonts w:cs="Times New Roman"/>
                <w:color w:val="auto"/>
                <w:highlight w:val="yellow"/>
              </w:rPr>
            </w:pPr>
            <w:r>
              <w:rPr>
                <w:rFonts w:cs="Times New Roman"/>
                <w:color w:val="auto"/>
              </w:rPr>
              <w:t>名称</w:t>
            </w:r>
          </w:p>
        </w:tc>
        <w:tc>
          <w:tcPr>
            <w:tcW w:w="1529" w:type="pct"/>
            <w:vAlign w:val="center"/>
          </w:tcPr>
          <w:p w14:paraId="1D3EB9BE">
            <w:pPr>
              <w:pStyle w:val="67"/>
              <w:rPr>
                <w:rFonts w:cs="Times New Roman"/>
                <w:color w:val="auto"/>
              </w:rPr>
            </w:pPr>
            <w:r>
              <w:rPr>
                <w:rFonts w:cs="Times New Roman"/>
                <w:color w:val="auto"/>
              </w:rPr>
              <w:t>浓度限值/（mg/L）</w:t>
            </w:r>
          </w:p>
        </w:tc>
      </w:tr>
      <w:tr w14:paraId="1D3EB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14:paraId="1D3EB9C0">
            <w:pPr>
              <w:pStyle w:val="62"/>
            </w:pPr>
            <w:r>
              <w:t>1</w:t>
            </w:r>
          </w:p>
        </w:tc>
        <w:tc>
          <w:tcPr>
            <w:tcW w:w="547" w:type="pct"/>
            <w:vMerge w:val="restart"/>
            <w:vAlign w:val="center"/>
          </w:tcPr>
          <w:p w14:paraId="1D3EB9C1">
            <w:pPr>
              <w:pStyle w:val="62"/>
              <w:rPr>
                <w:highlight w:val="yellow"/>
              </w:rPr>
            </w:pPr>
            <w:r>
              <w:t>DW001</w:t>
            </w:r>
          </w:p>
        </w:tc>
        <w:tc>
          <w:tcPr>
            <w:tcW w:w="609" w:type="pct"/>
            <w:vAlign w:val="center"/>
          </w:tcPr>
          <w:p w14:paraId="1D3EB9C2">
            <w:pPr>
              <w:pStyle w:val="62"/>
            </w:pPr>
            <w:r>
              <w:t>TN</w:t>
            </w:r>
          </w:p>
        </w:tc>
        <w:tc>
          <w:tcPr>
            <w:tcW w:w="1911" w:type="pct"/>
            <w:vAlign w:val="center"/>
          </w:tcPr>
          <w:p w14:paraId="1D3EB9C3">
            <w:pPr>
              <w:pStyle w:val="62"/>
              <w:rPr>
                <w:highlight w:val="yellow"/>
              </w:rPr>
            </w:pPr>
            <w:r>
              <w:rPr>
                <w:rFonts w:hint="eastAsia"/>
              </w:rPr>
              <w:t>唐庄</w:t>
            </w:r>
            <w:r>
              <w:t>污水处理厂收水指标</w:t>
            </w:r>
          </w:p>
        </w:tc>
        <w:tc>
          <w:tcPr>
            <w:tcW w:w="1529" w:type="pct"/>
            <w:vAlign w:val="center"/>
          </w:tcPr>
          <w:p w14:paraId="1D3EB9C4">
            <w:pPr>
              <w:pStyle w:val="62"/>
              <w:rPr>
                <w:highlight w:val="yellow"/>
              </w:rPr>
            </w:pPr>
            <w:r>
              <w:rPr>
                <w:rFonts w:hint="eastAsia"/>
              </w:rPr>
              <w:t>40</w:t>
            </w:r>
          </w:p>
        </w:tc>
      </w:tr>
      <w:tr w14:paraId="1D3EB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14:paraId="1D3EB9C6">
            <w:pPr>
              <w:pStyle w:val="62"/>
            </w:pPr>
            <w:r>
              <w:t>2</w:t>
            </w:r>
          </w:p>
        </w:tc>
        <w:tc>
          <w:tcPr>
            <w:tcW w:w="547" w:type="pct"/>
            <w:vMerge w:val="continue"/>
            <w:vAlign w:val="center"/>
          </w:tcPr>
          <w:p w14:paraId="1D3EB9C7">
            <w:pPr>
              <w:pStyle w:val="62"/>
              <w:rPr>
                <w:highlight w:val="yellow"/>
              </w:rPr>
            </w:pPr>
          </w:p>
        </w:tc>
        <w:tc>
          <w:tcPr>
            <w:tcW w:w="609" w:type="pct"/>
            <w:vAlign w:val="center"/>
          </w:tcPr>
          <w:p w14:paraId="1D3EB9C8">
            <w:pPr>
              <w:pStyle w:val="62"/>
              <w:rPr>
                <w:highlight w:val="yellow"/>
              </w:rPr>
            </w:pPr>
            <w:r>
              <w:t>COD</w:t>
            </w:r>
          </w:p>
        </w:tc>
        <w:tc>
          <w:tcPr>
            <w:tcW w:w="1911" w:type="pct"/>
            <w:vMerge w:val="restart"/>
            <w:vAlign w:val="center"/>
          </w:tcPr>
          <w:p w14:paraId="1D3EB9C9">
            <w:pPr>
              <w:pStyle w:val="62"/>
              <w:rPr>
                <w:highlight w:val="yellow"/>
              </w:rPr>
            </w:pPr>
            <w:r>
              <w:rPr>
                <w:bCs/>
              </w:rPr>
              <w:t>《化工行业水污染物间接排放标准》（DB41/1</w:t>
            </w:r>
            <w:r>
              <w:rPr>
                <w:rFonts w:hint="eastAsia"/>
                <w:bCs/>
              </w:rPr>
              <w:t>135-2016</w:t>
            </w:r>
            <w:r>
              <w:rPr>
                <w:bCs/>
              </w:rPr>
              <w:t>）</w:t>
            </w:r>
          </w:p>
        </w:tc>
        <w:tc>
          <w:tcPr>
            <w:tcW w:w="1529" w:type="pct"/>
            <w:vAlign w:val="center"/>
          </w:tcPr>
          <w:p w14:paraId="1D3EB9CA">
            <w:pPr>
              <w:pStyle w:val="62"/>
            </w:pPr>
            <w:r>
              <w:rPr>
                <w:rFonts w:hint="eastAsia"/>
              </w:rPr>
              <w:t>300</w:t>
            </w:r>
          </w:p>
        </w:tc>
      </w:tr>
      <w:tr w14:paraId="1D3EB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14:paraId="1D3EB9CC">
            <w:pPr>
              <w:pStyle w:val="62"/>
            </w:pPr>
            <w:r>
              <w:t>3</w:t>
            </w:r>
          </w:p>
        </w:tc>
        <w:tc>
          <w:tcPr>
            <w:tcW w:w="547" w:type="pct"/>
            <w:vMerge w:val="continue"/>
            <w:vAlign w:val="center"/>
          </w:tcPr>
          <w:p w14:paraId="1D3EB9CD">
            <w:pPr>
              <w:pStyle w:val="62"/>
              <w:rPr>
                <w:highlight w:val="yellow"/>
              </w:rPr>
            </w:pPr>
          </w:p>
        </w:tc>
        <w:tc>
          <w:tcPr>
            <w:tcW w:w="609" w:type="pct"/>
            <w:vAlign w:val="center"/>
          </w:tcPr>
          <w:p w14:paraId="1D3EB9CE">
            <w:pPr>
              <w:pStyle w:val="62"/>
              <w:rPr>
                <w:highlight w:val="yellow"/>
              </w:rPr>
            </w:pPr>
            <w:r>
              <w:t>BOD</w:t>
            </w:r>
            <w:r>
              <w:rPr>
                <w:vertAlign w:val="subscript"/>
              </w:rPr>
              <w:t>5</w:t>
            </w:r>
          </w:p>
        </w:tc>
        <w:tc>
          <w:tcPr>
            <w:tcW w:w="1911" w:type="pct"/>
            <w:vMerge w:val="continue"/>
            <w:vAlign w:val="center"/>
          </w:tcPr>
          <w:p w14:paraId="1D3EB9CF">
            <w:pPr>
              <w:pStyle w:val="62"/>
              <w:rPr>
                <w:highlight w:val="yellow"/>
              </w:rPr>
            </w:pPr>
          </w:p>
        </w:tc>
        <w:tc>
          <w:tcPr>
            <w:tcW w:w="1529" w:type="pct"/>
            <w:vAlign w:val="center"/>
          </w:tcPr>
          <w:p w14:paraId="1D3EB9D0">
            <w:pPr>
              <w:pStyle w:val="62"/>
            </w:pPr>
            <w:r>
              <w:rPr>
                <w:rFonts w:hint="eastAsia"/>
              </w:rPr>
              <w:t>150</w:t>
            </w:r>
          </w:p>
        </w:tc>
      </w:tr>
      <w:tr w14:paraId="1D3EB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14:paraId="1D3EB9D2">
            <w:pPr>
              <w:pStyle w:val="62"/>
            </w:pPr>
            <w:r>
              <w:t>4</w:t>
            </w:r>
          </w:p>
        </w:tc>
        <w:tc>
          <w:tcPr>
            <w:tcW w:w="547" w:type="pct"/>
            <w:vMerge w:val="continue"/>
            <w:vAlign w:val="center"/>
          </w:tcPr>
          <w:p w14:paraId="1D3EB9D3">
            <w:pPr>
              <w:pStyle w:val="62"/>
              <w:rPr>
                <w:highlight w:val="yellow"/>
              </w:rPr>
            </w:pPr>
          </w:p>
        </w:tc>
        <w:tc>
          <w:tcPr>
            <w:tcW w:w="609" w:type="pct"/>
            <w:vAlign w:val="center"/>
          </w:tcPr>
          <w:p w14:paraId="1D3EB9D4">
            <w:pPr>
              <w:pStyle w:val="62"/>
              <w:rPr>
                <w:highlight w:val="yellow"/>
              </w:rPr>
            </w:pPr>
            <w:r>
              <w:t>NH</w:t>
            </w:r>
            <w:r>
              <w:rPr>
                <w:vertAlign w:val="subscript"/>
              </w:rPr>
              <w:t>3</w:t>
            </w:r>
            <w:r>
              <w:t>-N</w:t>
            </w:r>
          </w:p>
        </w:tc>
        <w:tc>
          <w:tcPr>
            <w:tcW w:w="1911" w:type="pct"/>
            <w:vMerge w:val="continue"/>
            <w:vAlign w:val="center"/>
          </w:tcPr>
          <w:p w14:paraId="1D3EB9D5">
            <w:pPr>
              <w:pStyle w:val="62"/>
              <w:rPr>
                <w:highlight w:val="yellow"/>
              </w:rPr>
            </w:pPr>
          </w:p>
        </w:tc>
        <w:tc>
          <w:tcPr>
            <w:tcW w:w="1529" w:type="pct"/>
            <w:vAlign w:val="center"/>
          </w:tcPr>
          <w:p w14:paraId="1D3EB9D6">
            <w:pPr>
              <w:pStyle w:val="62"/>
            </w:pPr>
            <w:r>
              <w:rPr>
                <w:rFonts w:hint="eastAsia"/>
              </w:rPr>
              <w:t>30</w:t>
            </w:r>
          </w:p>
        </w:tc>
      </w:tr>
      <w:tr w14:paraId="1D3EB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14:paraId="1D3EB9D8">
            <w:pPr>
              <w:pStyle w:val="62"/>
            </w:pPr>
            <w:r>
              <w:t>5</w:t>
            </w:r>
          </w:p>
        </w:tc>
        <w:tc>
          <w:tcPr>
            <w:tcW w:w="547" w:type="pct"/>
            <w:vMerge w:val="continue"/>
            <w:vAlign w:val="center"/>
          </w:tcPr>
          <w:p w14:paraId="1D3EB9D9">
            <w:pPr>
              <w:pStyle w:val="62"/>
              <w:rPr>
                <w:highlight w:val="yellow"/>
              </w:rPr>
            </w:pPr>
          </w:p>
        </w:tc>
        <w:tc>
          <w:tcPr>
            <w:tcW w:w="609" w:type="pct"/>
            <w:vAlign w:val="center"/>
          </w:tcPr>
          <w:p w14:paraId="1D3EB9DA">
            <w:pPr>
              <w:pStyle w:val="62"/>
              <w:rPr>
                <w:highlight w:val="yellow"/>
              </w:rPr>
            </w:pPr>
            <w:r>
              <w:rPr>
                <w:rFonts w:hint="eastAsia"/>
              </w:rPr>
              <w:t>TP</w:t>
            </w:r>
          </w:p>
        </w:tc>
        <w:tc>
          <w:tcPr>
            <w:tcW w:w="1911" w:type="pct"/>
            <w:vMerge w:val="continue"/>
            <w:vAlign w:val="center"/>
          </w:tcPr>
          <w:p w14:paraId="1D3EB9DB">
            <w:pPr>
              <w:pStyle w:val="62"/>
              <w:rPr>
                <w:highlight w:val="yellow"/>
              </w:rPr>
            </w:pPr>
          </w:p>
        </w:tc>
        <w:tc>
          <w:tcPr>
            <w:tcW w:w="1529" w:type="pct"/>
            <w:vAlign w:val="center"/>
          </w:tcPr>
          <w:p w14:paraId="1D3EB9DC">
            <w:pPr>
              <w:pStyle w:val="62"/>
            </w:pPr>
            <w:r>
              <w:rPr>
                <w:rFonts w:hint="eastAsia"/>
              </w:rPr>
              <w:t>5</w:t>
            </w:r>
          </w:p>
        </w:tc>
      </w:tr>
      <w:tr w14:paraId="4BF35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14:paraId="50156F28">
            <w:pPr>
              <w:pStyle w:val="62"/>
            </w:pPr>
            <w:r>
              <w:t>6</w:t>
            </w:r>
          </w:p>
        </w:tc>
        <w:tc>
          <w:tcPr>
            <w:tcW w:w="547" w:type="pct"/>
            <w:vMerge w:val="continue"/>
            <w:vAlign w:val="center"/>
          </w:tcPr>
          <w:p w14:paraId="6156358F">
            <w:pPr>
              <w:pStyle w:val="62"/>
              <w:rPr>
                <w:highlight w:val="yellow"/>
              </w:rPr>
            </w:pPr>
          </w:p>
        </w:tc>
        <w:tc>
          <w:tcPr>
            <w:tcW w:w="609" w:type="pct"/>
            <w:vAlign w:val="center"/>
          </w:tcPr>
          <w:p w14:paraId="43519B98">
            <w:pPr>
              <w:pStyle w:val="62"/>
            </w:pPr>
            <w:r>
              <w:t>SS</w:t>
            </w:r>
          </w:p>
        </w:tc>
        <w:tc>
          <w:tcPr>
            <w:tcW w:w="1911" w:type="pct"/>
            <w:vMerge w:val="continue"/>
            <w:vAlign w:val="center"/>
          </w:tcPr>
          <w:p w14:paraId="2CCAFE98">
            <w:pPr>
              <w:pStyle w:val="62"/>
              <w:rPr>
                <w:highlight w:val="yellow"/>
              </w:rPr>
            </w:pPr>
          </w:p>
        </w:tc>
        <w:tc>
          <w:tcPr>
            <w:tcW w:w="1529" w:type="pct"/>
            <w:vAlign w:val="center"/>
          </w:tcPr>
          <w:p w14:paraId="0295E809">
            <w:pPr>
              <w:pStyle w:val="62"/>
            </w:pPr>
            <w:r>
              <w:rPr>
                <w:rFonts w:hint="eastAsia"/>
              </w:rPr>
              <w:t>150</w:t>
            </w:r>
          </w:p>
        </w:tc>
      </w:tr>
      <w:tr w14:paraId="1D3EB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14:paraId="1D3EB9DE">
            <w:pPr>
              <w:pStyle w:val="62"/>
            </w:pPr>
            <w:r>
              <w:rPr>
                <w:rFonts w:hint="eastAsia"/>
              </w:rPr>
              <w:t>7</w:t>
            </w:r>
          </w:p>
        </w:tc>
        <w:tc>
          <w:tcPr>
            <w:tcW w:w="547" w:type="pct"/>
            <w:vMerge w:val="continue"/>
            <w:vAlign w:val="center"/>
          </w:tcPr>
          <w:p w14:paraId="1D3EB9DF">
            <w:pPr>
              <w:pStyle w:val="62"/>
              <w:rPr>
                <w:highlight w:val="yellow"/>
              </w:rPr>
            </w:pPr>
          </w:p>
        </w:tc>
        <w:tc>
          <w:tcPr>
            <w:tcW w:w="609" w:type="pct"/>
            <w:vAlign w:val="center"/>
          </w:tcPr>
          <w:p w14:paraId="1D3EB9E0">
            <w:pPr>
              <w:pStyle w:val="62"/>
            </w:pPr>
            <w:r>
              <w:rPr>
                <w:rFonts w:hint="eastAsia"/>
              </w:rPr>
              <w:t>石油类</w:t>
            </w:r>
          </w:p>
        </w:tc>
        <w:tc>
          <w:tcPr>
            <w:tcW w:w="1911" w:type="pct"/>
            <w:vMerge w:val="continue"/>
            <w:vAlign w:val="center"/>
          </w:tcPr>
          <w:p w14:paraId="1D3EB9E1">
            <w:pPr>
              <w:pStyle w:val="62"/>
              <w:rPr>
                <w:highlight w:val="yellow"/>
              </w:rPr>
            </w:pPr>
          </w:p>
        </w:tc>
        <w:tc>
          <w:tcPr>
            <w:tcW w:w="1529" w:type="pct"/>
            <w:vAlign w:val="center"/>
          </w:tcPr>
          <w:p w14:paraId="1D3EB9E2">
            <w:pPr>
              <w:pStyle w:val="62"/>
              <w:rPr>
                <w:highlight w:val="yellow"/>
              </w:rPr>
            </w:pPr>
            <w:r>
              <w:rPr>
                <w:rFonts w:hint="eastAsia"/>
              </w:rPr>
              <w:t>20</w:t>
            </w:r>
          </w:p>
        </w:tc>
      </w:tr>
    </w:tbl>
    <w:p w14:paraId="1D3EB9E4">
      <w:pPr>
        <w:ind w:firstLine="480"/>
        <w:outlineLvl w:val="5"/>
      </w:pPr>
      <w:r>
        <w:t>（4）废水污染物排放信息表</w:t>
      </w:r>
    </w:p>
    <w:p w14:paraId="1D3EB9E5">
      <w:pPr>
        <w:pStyle w:val="99"/>
        <w:numPr>
          <w:ilvl w:val="4"/>
          <w:numId w:val="20"/>
        </w:numPr>
        <w:ind w:left="0" w:firstLine="480"/>
        <w:rPr>
          <w:rFonts w:eastAsia="黑体"/>
        </w:rPr>
      </w:pPr>
      <w:r>
        <w:rPr>
          <w:rFonts w:eastAsia="黑体"/>
        </w:rPr>
        <w:t xml:space="preserve">           废水污染物排放信息表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29"/>
        <w:gridCol w:w="1291"/>
        <w:gridCol w:w="1329"/>
        <w:gridCol w:w="1627"/>
        <w:gridCol w:w="1835"/>
        <w:gridCol w:w="1657"/>
      </w:tblGrid>
      <w:tr w14:paraId="1D3EB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6" w:type="pct"/>
            <w:vAlign w:val="center"/>
          </w:tcPr>
          <w:p w14:paraId="1D3EB9E6">
            <w:pPr>
              <w:pStyle w:val="67"/>
              <w:rPr>
                <w:rFonts w:cs="Times New Roman"/>
                <w:color w:val="auto"/>
                <w:u w:val="single"/>
              </w:rPr>
            </w:pPr>
            <w:r>
              <w:rPr>
                <w:rFonts w:cs="Times New Roman"/>
                <w:color w:val="auto"/>
                <w:u w:val="single"/>
              </w:rPr>
              <w:t>序号</w:t>
            </w:r>
          </w:p>
        </w:tc>
        <w:tc>
          <w:tcPr>
            <w:tcW w:w="771" w:type="pct"/>
            <w:vAlign w:val="center"/>
          </w:tcPr>
          <w:p w14:paraId="1D3EB9E7">
            <w:pPr>
              <w:pStyle w:val="67"/>
              <w:rPr>
                <w:rFonts w:cs="Times New Roman"/>
                <w:color w:val="auto"/>
                <w:u w:val="single"/>
              </w:rPr>
            </w:pPr>
            <w:r>
              <w:rPr>
                <w:rFonts w:cs="Times New Roman"/>
                <w:color w:val="auto"/>
                <w:u w:val="single"/>
              </w:rPr>
              <w:t>排放口编号</w:t>
            </w:r>
          </w:p>
        </w:tc>
        <w:tc>
          <w:tcPr>
            <w:tcW w:w="794" w:type="pct"/>
            <w:vAlign w:val="center"/>
          </w:tcPr>
          <w:p w14:paraId="1D3EB9E8">
            <w:pPr>
              <w:pStyle w:val="67"/>
              <w:rPr>
                <w:rFonts w:cs="Times New Roman"/>
                <w:color w:val="auto"/>
                <w:u w:val="single"/>
              </w:rPr>
            </w:pPr>
            <w:r>
              <w:rPr>
                <w:rFonts w:cs="Times New Roman"/>
                <w:color w:val="auto"/>
                <w:u w:val="single"/>
              </w:rPr>
              <w:t>污染物种类</w:t>
            </w:r>
          </w:p>
        </w:tc>
        <w:tc>
          <w:tcPr>
            <w:tcW w:w="972" w:type="pct"/>
            <w:vAlign w:val="center"/>
          </w:tcPr>
          <w:p w14:paraId="1D3EB9E9">
            <w:pPr>
              <w:pStyle w:val="67"/>
              <w:rPr>
                <w:rFonts w:cs="Times New Roman"/>
                <w:color w:val="auto"/>
                <w:u w:val="single"/>
              </w:rPr>
            </w:pPr>
            <w:r>
              <w:rPr>
                <w:rFonts w:cs="Times New Roman"/>
                <w:color w:val="auto"/>
                <w:u w:val="single"/>
              </w:rPr>
              <w:t>排放浓度/(mg/L)</w:t>
            </w:r>
          </w:p>
        </w:tc>
        <w:tc>
          <w:tcPr>
            <w:tcW w:w="1096" w:type="pct"/>
            <w:vAlign w:val="center"/>
          </w:tcPr>
          <w:p w14:paraId="1D3EB9EA">
            <w:pPr>
              <w:pStyle w:val="67"/>
              <w:rPr>
                <w:rFonts w:cs="Times New Roman"/>
                <w:color w:val="auto"/>
                <w:u w:val="single"/>
              </w:rPr>
            </w:pPr>
            <w:r>
              <w:rPr>
                <w:rFonts w:cs="Times New Roman"/>
                <w:color w:val="auto"/>
                <w:u w:val="single"/>
              </w:rPr>
              <w:t>日排放量/(kg/d)</w:t>
            </w:r>
          </w:p>
        </w:tc>
        <w:tc>
          <w:tcPr>
            <w:tcW w:w="990" w:type="pct"/>
            <w:vAlign w:val="center"/>
          </w:tcPr>
          <w:p w14:paraId="1D3EB9EB">
            <w:pPr>
              <w:pStyle w:val="67"/>
              <w:rPr>
                <w:rFonts w:cs="Times New Roman"/>
                <w:color w:val="auto"/>
                <w:u w:val="single"/>
              </w:rPr>
            </w:pPr>
            <w:r>
              <w:rPr>
                <w:rFonts w:cs="Times New Roman"/>
                <w:color w:val="auto"/>
                <w:u w:val="single"/>
              </w:rPr>
              <w:t>年排放量/(t/a)</w:t>
            </w:r>
          </w:p>
        </w:tc>
      </w:tr>
      <w:tr w14:paraId="1D3EB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6" w:type="pct"/>
            <w:vAlign w:val="center"/>
          </w:tcPr>
          <w:p w14:paraId="1D3EB9ED">
            <w:pPr>
              <w:pStyle w:val="62"/>
              <w:rPr>
                <w:bCs/>
                <w:u w:val="single"/>
              </w:rPr>
            </w:pPr>
            <w:r>
              <w:rPr>
                <w:bCs/>
                <w:u w:val="single"/>
              </w:rPr>
              <w:t>1</w:t>
            </w:r>
          </w:p>
        </w:tc>
        <w:tc>
          <w:tcPr>
            <w:tcW w:w="771" w:type="pct"/>
            <w:vMerge w:val="restart"/>
            <w:vAlign w:val="center"/>
          </w:tcPr>
          <w:p w14:paraId="1D3EB9EE">
            <w:pPr>
              <w:pStyle w:val="62"/>
              <w:rPr>
                <w:bCs/>
                <w:highlight w:val="yellow"/>
                <w:u w:val="single"/>
              </w:rPr>
            </w:pPr>
            <w:r>
              <w:rPr>
                <w:bCs/>
                <w:u w:val="single"/>
              </w:rPr>
              <w:t>DW001</w:t>
            </w:r>
          </w:p>
        </w:tc>
        <w:tc>
          <w:tcPr>
            <w:tcW w:w="794" w:type="pct"/>
            <w:vAlign w:val="center"/>
          </w:tcPr>
          <w:p w14:paraId="1D3EB9EF">
            <w:pPr>
              <w:pStyle w:val="62"/>
              <w:rPr>
                <w:bCs/>
                <w:u w:val="single"/>
              </w:rPr>
            </w:pPr>
            <w:r>
              <w:rPr>
                <w:bCs/>
                <w:u w:val="single"/>
              </w:rPr>
              <w:t>COD</w:t>
            </w:r>
          </w:p>
        </w:tc>
        <w:tc>
          <w:tcPr>
            <w:tcW w:w="972" w:type="pct"/>
            <w:vAlign w:val="center"/>
          </w:tcPr>
          <w:p w14:paraId="1D3EB9F0">
            <w:pPr>
              <w:pStyle w:val="62"/>
              <w:rPr>
                <w:bCs/>
                <w:u w:val="single"/>
              </w:rPr>
            </w:pPr>
            <w:r>
              <w:rPr>
                <w:rFonts w:hint="eastAsia"/>
                <w:bCs/>
                <w:u w:val="single"/>
              </w:rPr>
              <w:t>210</w:t>
            </w:r>
          </w:p>
        </w:tc>
        <w:tc>
          <w:tcPr>
            <w:tcW w:w="1096" w:type="pct"/>
            <w:vAlign w:val="center"/>
          </w:tcPr>
          <w:p w14:paraId="1D3EB9F1">
            <w:pPr>
              <w:pStyle w:val="62"/>
              <w:rPr>
                <w:bCs/>
                <w:u w:val="single"/>
              </w:rPr>
            </w:pPr>
            <w:r>
              <w:rPr>
                <w:rFonts w:hint="eastAsia"/>
                <w:bCs/>
                <w:u w:val="single"/>
              </w:rPr>
              <w:t>1.8417</w:t>
            </w:r>
          </w:p>
        </w:tc>
        <w:tc>
          <w:tcPr>
            <w:tcW w:w="990" w:type="pct"/>
            <w:vAlign w:val="center"/>
          </w:tcPr>
          <w:p w14:paraId="1D3EB9F2">
            <w:pPr>
              <w:pStyle w:val="62"/>
              <w:rPr>
                <w:bCs/>
                <w:u w:val="single"/>
              </w:rPr>
            </w:pPr>
            <w:r>
              <w:rPr>
                <w:rFonts w:hint="eastAsia"/>
                <w:bCs/>
                <w:u w:val="single"/>
              </w:rPr>
              <w:t>0.4604</w:t>
            </w:r>
          </w:p>
        </w:tc>
      </w:tr>
      <w:tr w14:paraId="1D3EB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6" w:type="pct"/>
            <w:vAlign w:val="center"/>
          </w:tcPr>
          <w:p w14:paraId="1D3EB9F4">
            <w:pPr>
              <w:pStyle w:val="62"/>
              <w:rPr>
                <w:bCs/>
                <w:u w:val="single"/>
              </w:rPr>
            </w:pPr>
            <w:r>
              <w:rPr>
                <w:bCs/>
                <w:u w:val="single"/>
              </w:rPr>
              <w:t>2</w:t>
            </w:r>
          </w:p>
        </w:tc>
        <w:tc>
          <w:tcPr>
            <w:tcW w:w="771" w:type="pct"/>
            <w:vMerge w:val="continue"/>
            <w:vAlign w:val="center"/>
          </w:tcPr>
          <w:p w14:paraId="1D3EB9F5">
            <w:pPr>
              <w:pStyle w:val="62"/>
              <w:rPr>
                <w:bCs/>
                <w:highlight w:val="yellow"/>
                <w:u w:val="single"/>
              </w:rPr>
            </w:pPr>
          </w:p>
        </w:tc>
        <w:tc>
          <w:tcPr>
            <w:tcW w:w="794" w:type="pct"/>
            <w:vAlign w:val="center"/>
          </w:tcPr>
          <w:p w14:paraId="1D3EB9F6">
            <w:pPr>
              <w:pStyle w:val="62"/>
              <w:rPr>
                <w:bCs/>
                <w:u w:val="single"/>
              </w:rPr>
            </w:pPr>
            <w:r>
              <w:rPr>
                <w:bCs/>
                <w:u w:val="single"/>
              </w:rPr>
              <w:t>NH</w:t>
            </w:r>
            <w:r>
              <w:rPr>
                <w:bCs/>
                <w:u w:val="single"/>
                <w:vertAlign w:val="subscript"/>
              </w:rPr>
              <w:t>3</w:t>
            </w:r>
            <w:r>
              <w:rPr>
                <w:bCs/>
                <w:u w:val="single"/>
              </w:rPr>
              <w:t>-N</w:t>
            </w:r>
          </w:p>
        </w:tc>
        <w:tc>
          <w:tcPr>
            <w:tcW w:w="972" w:type="pct"/>
            <w:vAlign w:val="center"/>
          </w:tcPr>
          <w:p w14:paraId="1D3EB9F7">
            <w:pPr>
              <w:pStyle w:val="62"/>
              <w:rPr>
                <w:bCs/>
                <w:u w:val="single"/>
              </w:rPr>
            </w:pPr>
            <w:r>
              <w:rPr>
                <w:rFonts w:hint="eastAsia"/>
                <w:bCs/>
                <w:u w:val="single"/>
              </w:rPr>
              <w:t>3.3</w:t>
            </w:r>
          </w:p>
        </w:tc>
        <w:tc>
          <w:tcPr>
            <w:tcW w:w="1096" w:type="pct"/>
            <w:vAlign w:val="center"/>
          </w:tcPr>
          <w:p w14:paraId="1D3EB9F8">
            <w:pPr>
              <w:pStyle w:val="62"/>
              <w:rPr>
                <w:bCs/>
                <w:u w:val="single"/>
              </w:rPr>
            </w:pPr>
            <w:r>
              <w:rPr>
                <w:rFonts w:hint="eastAsia"/>
                <w:bCs/>
                <w:u w:val="single"/>
              </w:rPr>
              <w:t>0.0289</w:t>
            </w:r>
          </w:p>
        </w:tc>
        <w:tc>
          <w:tcPr>
            <w:tcW w:w="990" w:type="pct"/>
            <w:vAlign w:val="center"/>
          </w:tcPr>
          <w:p w14:paraId="1D3EB9F9">
            <w:pPr>
              <w:pStyle w:val="62"/>
              <w:rPr>
                <w:bCs/>
                <w:u w:val="single"/>
              </w:rPr>
            </w:pPr>
            <w:r>
              <w:rPr>
                <w:rFonts w:hint="eastAsia"/>
                <w:bCs/>
                <w:u w:val="single"/>
              </w:rPr>
              <w:t>0.0072</w:t>
            </w:r>
          </w:p>
        </w:tc>
      </w:tr>
      <w:tr w14:paraId="1D3EB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6" w:type="pct"/>
            <w:vAlign w:val="center"/>
          </w:tcPr>
          <w:p w14:paraId="1D3EB9FB">
            <w:pPr>
              <w:pStyle w:val="62"/>
              <w:rPr>
                <w:bCs/>
                <w:u w:val="single"/>
              </w:rPr>
            </w:pPr>
            <w:r>
              <w:rPr>
                <w:bCs/>
                <w:u w:val="single"/>
              </w:rPr>
              <w:t>3</w:t>
            </w:r>
          </w:p>
        </w:tc>
        <w:tc>
          <w:tcPr>
            <w:tcW w:w="771" w:type="pct"/>
            <w:vMerge w:val="continue"/>
            <w:vAlign w:val="center"/>
          </w:tcPr>
          <w:p w14:paraId="1D3EB9FC">
            <w:pPr>
              <w:pStyle w:val="62"/>
              <w:rPr>
                <w:bCs/>
                <w:highlight w:val="yellow"/>
                <w:u w:val="single"/>
              </w:rPr>
            </w:pPr>
          </w:p>
        </w:tc>
        <w:tc>
          <w:tcPr>
            <w:tcW w:w="794" w:type="pct"/>
            <w:vAlign w:val="center"/>
          </w:tcPr>
          <w:p w14:paraId="1D3EB9FD">
            <w:pPr>
              <w:pStyle w:val="62"/>
              <w:rPr>
                <w:bCs/>
                <w:u w:val="single"/>
              </w:rPr>
            </w:pPr>
            <w:r>
              <w:rPr>
                <w:bCs/>
                <w:u w:val="single"/>
              </w:rPr>
              <w:t>TN</w:t>
            </w:r>
          </w:p>
        </w:tc>
        <w:tc>
          <w:tcPr>
            <w:tcW w:w="972" w:type="pct"/>
            <w:vAlign w:val="center"/>
          </w:tcPr>
          <w:p w14:paraId="1D3EB9FE">
            <w:pPr>
              <w:pStyle w:val="62"/>
              <w:rPr>
                <w:bCs/>
                <w:u w:val="single"/>
              </w:rPr>
            </w:pPr>
            <w:r>
              <w:rPr>
                <w:rFonts w:hint="eastAsia"/>
                <w:bCs/>
                <w:u w:val="single"/>
              </w:rPr>
              <w:t>6</w:t>
            </w:r>
          </w:p>
        </w:tc>
        <w:tc>
          <w:tcPr>
            <w:tcW w:w="1096" w:type="pct"/>
            <w:vAlign w:val="center"/>
          </w:tcPr>
          <w:p w14:paraId="1D3EB9FF">
            <w:pPr>
              <w:pStyle w:val="62"/>
              <w:rPr>
                <w:bCs/>
                <w:u w:val="single"/>
              </w:rPr>
            </w:pPr>
            <w:r>
              <w:rPr>
                <w:rFonts w:hint="eastAsia"/>
                <w:bCs/>
                <w:u w:val="single"/>
              </w:rPr>
              <w:t>0.0526</w:t>
            </w:r>
          </w:p>
        </w:tc>
        <w:tc>
          <w:tcPr>
            <w:tcW w:w="990" w:type="pct"/>
            <w:vAlign w:val="center"/>
          </w:tcPr>
          <w:p w14:paraId="1D3EBA00">
            <w:pPr>
              <w:pStyle w:val="62"/>
              <w:rPr>
                <w:bCs/>
                <w:u w:val="single"/>
              </w:rPr>
            </w:pPr>
            <w:r>
              <w:rPr>
                <w:rFonts w:hint="eastAsia"/>
                <w:bCs/>
                <w:u w:val="single"/>
              </w:rPr>
              <w:t>0.0132</w:t>
            </w:r>
          </w:p>
        </w:tc>
      </w:tr>
      <w:tr w14:paraId="0F323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6" w:type="pct"/>
            <w:vAlign w:val="center"/>
          </w:tcPr>
          <w:p w14:paraId="3763135F">
            <w:pPr>
              <w:pStyle w:val="62"/>
              <w:rPr>
                <w:bCs/>
                <w:u w:val="single"/>
              </w:rPr>
            </w:pPr>
            <w:r>
              <w:rPr>
                <w:bCs/>
                <w:u w:val="single"/>
              </w:rPr>
              <w:t>4</w:t>
            </w:r>
          </w:p>
        </w:tc>
        <w:tc>
          <w:tcPr>
            <w:tcW w:w="771" w:type="pct"/>
            <w:vMerge w:val="continue"/>
            <w:vAlign w:val="center"/>
          </w:tcPr>
          <w:p w14:paraId="6EEAE6CB">
            <w:pPr>
              <w:pStyle w:val="62"/>
              <w:rPr>
                <w:bCs/>
                <w:highlight w:val="yellow"/>
                <w:u w:val="single"/>
              </w:rPr>
            </w:pPr>
          </w:p>
        </w:tc>
        <w:tc>
          <w:tcPr>
            <w:tcW w:w="794" w:type="pct"/>
            <w:vAlign w:val="center"/>
          </w:tcPr>
          <w:p w14:paraId="44A4FE4B">
            <w:pPr>
              <w:pStyle w:val="62"/>
              <w:rPr>
                <w:bCs/>
                <w:u w:val="single"/>
              </w:rPr>
            </w:pPr>
            <w:r>
              <w:rPr>
                <w:bCs/>
                <w:u w:val="single"/>
              </w:rPr>
              <w:t>TP</w:t>
            </w:r>
          </w:p>
        </w:tc>
        <w:tc>
          <w:tcPr>
            <w:tcW w:w="972" w:type="pct"/>
            <w:vAlign w:val="center"/>
          </w:tcPr>
          <w:p w14:paraId="08BC6987">
            <w:pPr>
              <w:pStyle w:val="62"/>
              <w:rPr>
                <w:bCs/>
                <w:u w:val="single"/>
              </w:rPr>
            </w:pPr>
            <w:r>
              <w:rPr>
                <w:rFonts w:hint="eastAsia"/>
                <w:bCs/>
                <w:u w:val="single"/>
              </w:rPr>
              <w:t>0.39</w:t>
            </w:r>
          </w:p>
        </w:tc>
        <w:tc>
          <w:tcPr>
            <w:tcW w:w="1096" w:type="pct"/>
            <w:vAlign w:val="center"/>
          </w:tcPr>
          <w:p w14:paraId="3F291132">
            <w:pPr>
              <w:pStyle w:val="62"/>
              <w:rPr>
                <w:bCs/>
                <w:u w:val="single"/>
              </w:rPr>
            </w:pPr>
            <w:r>
              <w:rPr>
                <w:rFonts w:hint="eastAsia"/>
                <w:bCs/>
                <w:u w:val="single"/>
              </w:rPr>
              <w:t>0.0034</w:t>
            </w:r>
          </w:p>
        </w:tc>
        <w:tc>
          <w:tcPr>
            <w:tcW w:w="990" w:type="pct"/>
            <w:vAlign w:val="center"/>
          </w:tcPr>
          <w:p w14:paraId="25858B00">
            <w:pPr>
              <w:pStyle w:val="62"/>
              <w:rPr>
                <w:bCs/>
                <w:u w:val="single"/>
              </w:rPr>
            </w:pPr>
            <w:r>
              <w:rPr>
                <w:rFonts w:hint="eastAsia"/>
                <w:bCs/>
                <w:u w:val="single"/>
              </w:rPr>
              <w:t>0.0009</w:t>
            </w:r>
          </w:p>
        </w:tc>
      </w:tr>
    </w:tbl>
    <w:p w14:paraId="0B8260D0">
      <w:pPr>
        <w:ind w:firstLine="480"/>
        <w:rPr>
          <w:u w:val="single"/>
        </w:rPr>
      </w:pPr>
      <w:r>
        <w:rPr>
          <w:u w:val="single"/>
        </w:rPr>
        <w:t>由上表可知，本项目废水污染物出厂排放总量：COD 0.</w:t>
      </w:r>
      <w:r>
        <w:rPr>
          <w:rFonts w:hint="eastAsia"/>
          <w:u w:val="single"/>
        </w:rPr>
        <w:t>4604</w:t>
      </w:r>
      <w:r>
        <w:rPr>
          <w:u w:val="single"/>
        </w:rPr>
        <w:t>t/a、NH</w:t>
      </w:r>
      <w:r>
        <w:rPr>
          <w:u w:val="single"/>
          <w:vertAlign w:val="subscript"/>
        </w:rPr>
        <w:t>3</w:t>
      </w:r>
      <w:r>
        <w:rPr>
          <w:u w:val="single"/>
        </w:rPr>
        <w:t>-N 0.0</w:t>
      </w:r>
      <w:r>
        <w:rPr>
          <w:rFonts w:hint="eastAsia"/>
          <w:u w:val="single"/>
        </w:rPr>
        <w:t>072</w:t>
      </w:r>
      <w:r>
        <w:rPr>
          <w:u w:val="single"/>
        </w:rPr>
        <w:t>t/a、TN 0.0</w:t>
      </w:r>
      <w:r>
        <w:rPr>
          <w:rFonts w:hint="eastAsia"/>
          <w:u w:val="single"/>
        </w:rPr>
        <w:t>132</w:t>
      </w:r>
      <w:r>
        <w:rPr>
          <w:u w:val="single"/>
        </w:rPr>
        <w:t>t/a、TP 0.0</w:t>
      </w:r>
      <w:r>
        <w:rPr>
          <w:rFonts w:hint="eastAsia"/>
          <w:u w:val="single"/>
        </w:rPr>
        <w:t>009</w:t>
      </w:r>
      <w:r>
        <w:rPr>
          <w:u w:val="single"/>
        </w:rPr>
        <w:t>t/a，废水排入</w:t>
      </w:r>
      <w:r>
        <w:rPr>
          <w:rFonts w:hint="eastAsia"/>
          <w:u w:val="single"/>
        </w:rPr>
        <w:t>唐庄</w:t>
      </w:r>
      <w:r>
        <w:rPr>
          <w:u w:val="single"/>
        </w:rPr>
        <w:t>污水处理厂进一步处理，最终排入</w:t>
      </w:r>
      <w:r>
        <w:rPr>
          <w:rFonts w:hint="eastAsia"/>
          <w:u w:val="single"/>
        </w:rPr>
        <w:t>共产主义渠</w:t>
      </w:r>
      <w:r>
        <w:rPr>
          <w:u w:val="single"/>
        </w:rPr>
        <w:t>，排入外环境的污染物排放总量为COD 0.</w:t>
      </w:r>
      <w:r>
        <w:rPr>
          <w:rFonts w:hint="eastAsia"/>
          <w:u w:val="single"/>
        </w:rPr>
        <w:t>0877</w:t>
      </w:r>
      <w:r>
        <w:rPr>
          <w:u w:val="single"/>
        </w:rPr>
        <w:t>t/a、NH</w:t>
      </w:r>
      <w:r>
        <w:rPr>
          <w:u w:val="single"/>
          <w:vertAlign w:val="subscript"/>
        </w:rPr>
        <w:t>3</w:t>
      </w:r>
      <w:r>
        <w:rPr>
          <w:u w:val="single"/>
        </w:rPr>
        <w:t>-N 0.0</w:t>
      </w:r>
      <w:r>
        <w:rPr>
          <w:rFonts w:hint="eastAsia"/>
          <w:u w:val="single"/>
        </w:rPr>
        <w:t>044</w:t>
      </w:r>
      <w:r>
        <w:rPr>
          <w:u w:val="single"/>
        </w:rPr>
        <w:t>t/a、TP 0.0</w:t>
      </w:r>
      <w:r>
        <w:rPr>
          <w:rFonts w:hint="eastAsia"/>
          <w:u w:val="single"/>
        </w:rPr>
        <w:t>009</w:t>
      </w:r>
      <w:r>
        <w:rPr>
          <w:u w:val="single"/>
        </w:rPr>
        <w:t>t/a、TN 0.0</w:t>
      </w:r>
      <w:r>
        <w:rPr>
          <w:rFonts w:hint="eastAsia"/>
          <w:u w:val="single"/>
        </w:rPr>
        <w:t>132</w:t>
      </w:r>
      <w:r>
        <w:rPr>
          <w:u w:val="single"/>
        </w:rPr>
        <w:t>t/a。</w:t>
      </w:r>
    </w:p>
    <w:p w14:paraId="7D32B820">
      <w:pPr>
        <w:ind w:firstLine="480"/>
        <w:outlineLvl w:val="5"/>
      </w:pPr>
      <w:r>
        <w:t>（</w:t>
      </w:r>
      <w:r>
        <w:rPr>
          <w:rFonts w:hint="eastAsia"/>
        </w:rPr>
        <w:t>5</w:t>
      </w:r>
      <w:r>
        <w:t>）废水</w:t>
      </w:r>
      <w:r>
        <w:rPr>
          <w:rFonts w:hint="eastAsia"/>
        </w:rPr>
        <w:t>排放口设置</w:t>
      </w:r>
    </w:p>
    <w:p w14:paraId="4915E72A">
      <w:pPr>
        <w:pStyle w:val="2"/>
        <w:spacing w:after="0"/>
        <w:ind w:firstLine="480"/>
        <w:rPr>
          <w:highlight w:val="yellow"/>
        </w:rPr>
      </w:pPr>
      <w:r>
        <w:rPr>
          <w:rFonts w:hint="eastAsia"/>
          <w:u w:val="single"/>
        </w:rPr>
        <w:t>本项目租赁新乡市太行水泥粉磨有限公司现有空厂房进行生产，生产过程产生的喷淋废水、车间地面清洗废水经厂区污水处理站处理后与经化粪池处理后的生活污水、循环冷却系统排水</w:t>
      </w:r>
      <w:r>
        <w:rPr>
          <w:u w:val="single"/>
        </w:rPr>
        <w:t>一起由厂区总排口排入园区污水管网，再</w:t>
      </w:r>
      <w:r>
        <w:rPr>
          <w:rFonts w:hint="eastAsia"/>
          <w:u w:val="single"/>
        </w:rPr>
        <w:t>进入唐庄</w:t>
      </w:r>
      <w:r>
        <w:rPr>
          <w:u w:val="single"/>
        </w:rPr>
        <w:t>污水处理厂进行进一步处理，处理后排入</w:t>
      </w:r>
      <w:r>
        <w:rPr>
          <w:rFonts w:hint="eastAsia"/>
          <w:u w:val="single"/>
        </w:rPr>
        <w:t>共产主义渠</w:t>
      </w:r>
      <w:r>
        <w:rPr>
          <w:u w:val="single"/>
        </w:rPr>
        <w:t>。</w:t>
      </w:r>
      <w:r>
        <w:rPr>
          <w:rFonts w:hint="eastAsia"/>
          <w:u w:val="single"/>
        </w:rPr>
        <w:t>根据《河南省人民政府办公厅 关于印发河南省加强入河排污口监督管理工作方案的通知》（豫政办〔2023〕9号）中关于废水排放的要求，各类开发区（园区）内企业现有排污口要尽可能清理合并，企业处理达标后的污水排入开发区（园区）污水集中处理设施统一处理后排放；开发区（园区）外工矿企业原则上一个企业只保留一个排污口，确需设置两个以上排污口的，排污许可证核发单位应在排污许可证中注明，并完善排污口设置审核手续。故本项目废水排放口不依托新乡市太行水泥粉磨有限公司，单独建立排放口。</w:t>
      </w:r>
    </w:p>
    <w:p w14:paraId="6A6B4C1E">
      <w:pPr>
        <w:pStyle w:val="2"/>
        <w:ind w:firstLine="480"/>
        <w:rPr>
          <w:highlight w:val="yellow"/>
        </w:rPr>
        <w:sectPr>
          <w:pgSz w:w="11906" w:h="16838"/>
          <w:pgMar w:top="1440" w:right="1797" w:bottom="1440" w:left="1797" w:header="851" w:footer="992" w:gutter="0"/>
          <w:cols w:space="425" w:num="1"/>
          <w:docGrid w:linePitch="312" w:charSpace="0"/>
        </w:sectPr>
      </w:pPr>
    </w:p>
    <w:p w14:paraId="1D3EBA0A">
      <w:pPr>
        <w:pStyle w:val="6"/>
        <w:ind w:left="0" w:firstLine="482" w:firstLineChars="200"/>
      </w:pPr>
      <w:r>
        <w:t>噪声</w:t>
      </w:r>
      <w:r>
        <w:rPr>
          <w:rFonts w:hint="eastAsia"/>
        </w:rPr>
        <w:t>产生情况汇总</w:t>
      </w:r>
    </w:p>
    <w:p w14:paraId="4670779B">
      <w:pPr>
        <w:ind w:firstLine="480"/>
        <w:rPr>
          <w:u w:val="single"/>
        </w:rPr>
      </w:pPr>
      <w:r>
        <w:rPr>
          <w:u w:val="single"/>
        </w:rPr>
        <w:t>本项目高噪声源主要为</w:t>
      </w:r>
      <w:r>
        <w:rPr>
          <w:rFonts w:hint="eastAsia"/>
          <w:u w:val="single"/>
        </w:rPr>
        <w:t>真空上料机</w:t>
      </w:r>
      <w:r>
        <w:rPr>
          <w:u w:val="single"/>
        </w:rPr>
        <w:t>、</w:t>
      </w:r>
      <w:r>
        <w:rPr>
          <w:rFonts w:hint="eastAsia"/>
          <w:u w:val="single"/>
        </w:rPr>
        <w:t>离心机</w:t>
      </w:r>
      <w:r>
        <w:rPr>
          <w:u w:val="single"/>
        </w:rPr>
        <w:t>、</w:t>
      </w:r>
      <w:r>
        <w:rPr>
          <w:rFonts w:hint="eastAsia"/>
          <w:u w:val="single"/>
        </w:rPr>
        <w:t>自动灌装</w:t>
      </w:r>
      <w:r>
        <w:rPr>
          <w:u w:val="single"/>
        </w:rPr>
        <w:t>机、</w:t>
      </w:r>
      <w:r>
        <w:rPr>
          <w:rFonts w:hint="eastAsia"/>
          <w:u w:val="single"/>
        </w:rPr>
        <w:t>进料泵、循环水站</w:t>
      </w:r>
      <w:r>
        <w:rPr>
          <w:u w:val="single"/>
        </w:rPr>
        <w:t>等，其噪声声源值在8</w:t>
      </w:r>
      <w:r>
        <w:rPr>
          <w:rFonts w:hint="eastAsia"/>
          <w:u w:val="single"/>
        </w:rPr>
        <w:t>0</w:t>
      </w:r>
      <w:r>
        <w:rPr>
          <w:u w:val="single"/>
        </w:rPr>
        <w:t>~9</w:t>
      </w:r>
      <w:r>
        <w:rPr>
          <w:rFonts w:hint="eastAsia"/>
          <w:u w:val="single"/>
        </w:rPr>
        <w:t>0</w:t>
      </w:r>
      <w:r>
        <w:rPr>
          <w:u w:val="single"/>
        </w:rPr>
        <w:t>dB</w:t>
      </w:r>
      <w:r>
        <w:rPr>
          <w:rFonts w:hint="eastAsia"/>
          <w:u w:val="single"/>
        </w:rPr>
        <w:t>(</w:t>
      </w:r>
      <w:r>
        <w:rPr>
          <w:u w:val="single"/>
        </w:rPr>
        <w:t>A</w:t>
      </w:r>
      <w:r>
        <w:rPr>
          <w:rFonts w:hint="eastAsia"/>
          <w:u w:val="single"/>
        </w:rPr>
        <w:t>)</w:t>
      </w:r>
      <w:r>
        <w:rPr>
          <w:u w:val="single"/>
        </w:rPr>
        <w:t>之间，项目高噪声设备及其降噪措施见</w:t>
      </w:r>
      <w:r>
        <w:rPr>
          <w:rFonts w:hint="eastAsia"/>
          <w:u w:val="single"/>
        </w:rPr>
        <w:t>下表</w:t>
      </w:r>
      <w:r>
        <w:rPr>
          <w:u w:val="single"/>
        </w:rPr>
        <w:t>。</w:t>
      </w:r>
    </w:p>
    <w:p w14:paraId="56505395">
      <w:pPr>
        <w:pStyle w:val="2"/>
        <w:ind w:firstLine="480"/>
      </w:pPr>
    </w:p>
    <w:p w14:paraId="2DDD2CD4">
      <w:pPr>
        <w:ind w:firstLine="480"/>
      </w:pPr>
    </w:p>
    <w:p w14:paraId="64E17943">
      <w:pPr>
        <w:pStyle w:val="2"/>
        <w:ind w:firstLine="480"/>
        <w:sectPr>
          <w:pgSz w:w="11906" w:h="16838"/>
          <w:pgMar w:top="1440" w:right="1797" w:bottom="1440" w:left="1797" w:header="851" w:footer="992" w:gutter="0"/>
          <w:cols w:space="425" w:num="1"/>
          <w:docGrid w:linePitch="326" w:charSpace="0"/>
        </w:sectPr>
      </w:pPr>
    </w:p>
    <w:p w14:paraId="390BFFF7">
      <w:pPr>
        <w:pStyle w:val="99"/>
        <w:numPr>
          <w:ilvl w:val="4"/>
          <w:numId w:val="20"/>
        </w:numPr>
        <w:ind w:left="0" w:firstLine="480"/>
        <w:rPr>
          <w:rFonts w:eastAsia="黑体"/>
        </w:rPr>
      </w:pPr>
      <w:r>
        <w:rPr>
          <w:rFonts w:hint="eastAsia" w:eastAsia="黑体"/>
        </w:rPr>
        <w:t xml:space="preserve">                          </w:t>
      </w:r>
      <w:r>
        <w:rPr>
          <w:rFonts w:eastAsia="黑体"/>
        </w:rPr>
        <w:t>工业企业噪声源强调查清单（室</w:t>
      </w:r>
      <w:r>
        <w:rPr>
          <w:rFonts w:hint="eastAsia" w:eastAsia="黑体"/>
        </w:rPr>
        <w:t>外</w:t>
      </w:r>
      <w:r>
        <w:rPr>
          <w:rFonts w:eastAsia="黑体"/>
        </w:rPr>
        <w:t>声源）</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6"/>
        <w:gridCol w:w="1648"/>
        <w:gridCol w:w="1197"/>
        <w:gridCol w:w="1047"/>
        <w:gridCol w:w="2245"/>
        <w:gridCol w:w="1197"/>
        <w:gridCol w:w="1497"/>
        <w:gridCol w:w="1292"/>
        <w:gridCol w:w="772"/>
        <w:gridCol w:w="773"/>
        <w:gridCol w:w="645"/>
        <w:gridCol w:w="1059"/>
      </w:tblGrid>
      <w:tr w14:paraId="6FFA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5" w:type="dxa"/>
            <w:vMerge w:val="restart"/>
            <w:vAlign w:val="center"/>
          </w:tcPr>
          <w:p w14:paraId="19DB5B4A">
            <w:pPr>
              <w:pStyle w:val="14"/>
              <w:spacing w:line="240" w:lineRule="auto"/>
              <w:ind w:firstLine="0" w:firstLineChars="0"/>
              <w:jc w:val="center"/>
              <w:rPr>
                <w:szCs w:val="21"/>
                <w:u w:val="single"/>
              </w:rPr>
            </w:pPr>
            <w:r>
              <w:rPr>
                <w:szCs w:val="21"/>
                <w:u w:val="single"/>
              </w:rPr>
              <w:t>序号</w:t>
            </w:r>
          </w:p>
        </w:tc>
        <w:tc>
          <w:tcPr>
            <w:tcW w:w="1646" w:type="dxa"/>
            <w:vMerge w:val="restart"/>
            <w:vAlign w:val="center"/>
          </w:tcPr>
          <w:p w14:paraId="0F49E8A6">
            <w:pPr>
              <w:pStyle w:val="14"/>
              <w:spacing w:line="240" w:lineRule="auto"/>
              <w:ind w:firstLine="0" w:firstLineChars="0"/>
              <w:jc w:val="center"/>
              <w:rPr>
                <w:szCs w:val="21"/>
                <w:u w:val="single"/>
              </w:rPr>
            </w:pPr>
            <w:r>
              <w:rPr>
                <w:szCs w:val="21"/>
                <w:u w:val="single"/>
              </w:rPr>
              <w:t>建筑物名称</w:t>
            </w:r>
          </w:p>
        </w:tc>
        <w:tc>
          <w:tcPr>
            <w:tcW w:w="1195" w:type="dxa"/>
            <w:vMerge w:val="restart"/>
            <w:vAlign w:val="center"/>
          </w:tcPr>
          <w:p w14:paraId="216ED5B7">
            <w:pPr>
              <w:pStyle w:val="14"/>
              <w:spacing w:line="240" w:lineRule="auto"/>
              <w:ind w:firstLine="0" w:firstLineChars="0"/>
              <w:jc w:val="center"/>
              <w:rPr>
                <w:szCs w:val="21"/>
                <w:u w:val="single"/>
              </w:rPr>
            </w:pPr>
            <w:r>
              <w:rPr>
                <w:szCs w:val="21"/>
                <w:u w:val="single"/>
              </w:rPr>
              <w:t>声源名称</w:t>
            </w:r>
          </w:p>
        </w:tc>
        <w:tc>
          <w:tcPr>
            <w:tcW w:w="1046" w:type="dxa"/>
            <w:vMerge w:val="restart"/>
            <w:vAlign w:val="center"/>
          </w:tcPr>
          <w:p w14:paraId="340983CE">
            <w:pPr>
              <w:pStyle w:val="14"/>
              <w:spacing w:line="240" w:lineRule="auto"/>
              <w:ind w:firstLine="0" w:firstLineChars="0"/>
              <w:jc w:val="center"/>
              <w:rPr>
                <w:szCs w:val="21"/>
                <w:u w:val="single"/>
              </w:rPr>
            </w:pPr>
            <w:r>
              <w:rPr>
                <w:szCs w:val="21"/>
                <w:u w:val="single"/>
              </w:rPr>
              <w:t>型号</w:t>
            </w:r>
          </w:p>
        </w:tc>
        <w:tc>
          <w:tcPr>
            <w:tcW w:w="2242" w:type="dxa"/>
            <w:vMerge w:val="restart"/>
            <w:vAlign w:val="center"/>
          </w:tcPr>
          <w:p w14:paraId="6C1243C2">
            <w:pPr>
              <w:pStyle w:val="67"/>
              <w:adjustRightInd w:val="0"/>
              <w:snapToGrid w:val="0"/>
              <w:rPr>
                <w:rFonts w:cs="Times New Roman"/>
                <w:color w:val="auto"/>
                <w:szCs w:val="21"/>
                <w:u w:val="single"/>
              </w:rPr>
            </w:pPr>
            <w:r>
              <w:rPr>
                <w:rFonts w:cs="Times New Roman"/>
                <w:color w:val="auto"/>
                <w:szCs w:val="21"/>
                <w:u w:val="single"/>
              </w:rPr>
              <w:t>（声压级/距声源距离）/（[dB(A)]/m）</w:t>
            </w:r>
          </w:p>
        </w:tc>
        <w:tc>
          <w:tcPr>
            <w:tcW w:w="1195" w:type="dxa"/>
            <w:vMerge w:val="restart"/>
            <w:vAlign w:val="center"/>
          </w:tcPr>
          <w:p w14:paraId="13BE6616">
            <w:pPr>
              <w:pStyle w:val="67"/>
              <w:adjustRightInd w:val="0"/>
              <w:snapToGrid w:val="0"/>
              <w:rPr>
                <w:rFonts w:cs="Times New Roman"/>
                <w:color w:val="auto"/>
                <w:szCs w:val="21"/>
                <w:u w:val="single"/>
              </w:rPr>
            </w:pPr>
            <w:r>
              <w:rPr>
                <w:rFonts w:cs="Times New Roman"/>
                <w:color w:val="auto"/>
                <w:szCs w:val="21"/>
                <w:u w:val="single"/>
              </w:rPr>
              <w:t>数量（台）</w:t>
            </w:r>
          </w:p>
        </w:tc>
        <w:tc>
          <w:tcPr>
            <w:tcW w:w="1495" w:type="dxa"/>
            <w:vMerge w:val="restart"/>
            <w:vAlign w:val="center"/>
          </w:tcPr>
          <w:p w14:paraId="0A5F102B">
            <w:pPr>
              <w:pStyle w:val="67"/>
              <w:adjustRightInd w:val="0"/>
              <w:snapToGrid w:val="0"/>
              <w:rPr>
                <w:rFonts w:cs="Times New Roman"/>
                <w:color w:val="auto"/>
                <w:szCs w:val="21"/>
                <w:u w:val="single"/>
              </w:rPr>
            </w:pPr>
            <w:r>
              <w:rPr>
                <w:rFonts w:cs="Times New Roman"/>
                <w:color w:val="auto"/>
                <w:szCs w:val="21"/>
                <w:u w:val="single"/>
              </w:rPr>
              <w:t>声源控制措施</w:t>
            </w:r>
          </w:p>
        </w:tc>
        <w:tc>
          <w:tcPr>
            <w:tcW w:w="1290" w:type="dxa"/>
            <w:vMerge w:val="restart"/>
            <w:vAlign w:val="center"/>
          </w:tcPr>
          <w:p w14:paraId="7BFC019B">
            <w:pPr>
              <w:pStyle w:val="67"/>
              <w:adjustRightInd w:val="0"/>
              <w:snapToGrid w:val="0"/>
              <w:rPr>
                <w:rFonts w:cs="Times New Roman"/>
                <w:color w:val="auto"/>
                <w:szCs w:val="21"/>
                <w:u w:val="single"/>
              </w:rPr>
            </w:pPr>
            <w:r>
              <w:rPr>
                <w:rFonts w:cs="Times New Roman"/>
                <w:color w:val="auto"/>
                <w:szCs w:val="21"/>
                <w:u w:val="single"/>
              </w:rPr>
              <w:t>治理后声压级[dB(A)]</w:t>
            </w:r>
          </w:p>
        </w:tc>
        <w:tc>
          <w:tcPr>
            <w:tcW w:w="2187" w:type="dxa"/>
            <w:gridSpan w:val="3"/>
            <w:vAlign w:val="center"/>
          </w:tcPr>
          <w:p w14:paraId="0DD69C29">
            <w:pPr>
              <w:pStyle w:val="67"/>
              <w:adjustRightInd w:val="0"/>
              <w:snapToGrid w:val="0"/>
              <w:rPr>
                <w:rFonts w:cs="Times New Roman"/>
                <w:color w:val="auto"/>
                <w:szCs w:val="21"/>
                <w:u w:val="single"/>
              </w:rPr>
            </w:pPr>
            <w:r>
              <w:rPr>
                <w:rFonts w:cs="Times New Roman"/>
                <w:color w:val="auto"/>
                <w:szCs w:val="21"/>
                <w:u w:val="single"/>
              </w:rPr>
              <w:t>空间相对位置/m</w:t>
            </w:r>
          </w:p>
        </w:tc>
        <w:tc>
          <w:tcPr>
            <w:tcW w:w="1057" w:type="dxa"/>
            <w:vMerge w:val="restart"/>
            <w:vAlign w:val="center"/>
          </w:tcPr>
          <w:p w14:paraId="7D318651">
            <w:pPr>
              <w:pStyle w:val="67"/>
              <w:adjustRightInd w:val="0"/>
              <w:snapToGrid w:val="0"/>
              <w:rPr>
                <w:rFonts w:cs="Times New Roman"/>
                <w:color w:val="auto"/>
                <w:szCs w:val="21"/>
                <w:u w:val="single"/>
              </w:rPr>
            </w:pPr>
            <w:r>
              <w:rPr>
                <w:rFonts w:cs="Times New Roman"/>
                <w:color w:val="auto"/>
                <w:szCs w:val="21"/>
                <w:u w:val="single"/>
              </w:rPr>
              <w:t>运行时段</w:t>
            </w:r>
          </w:p>
        </w:tc>
      </w:tr>
      <w:tr w14:paraId="66BB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5" w:type="dxa"/>
            <w:vMerge w:val="continue"/>
            <w:vAlign w:val="center"/>
          </w:tcPr>
          <w:p w14:paraId="01775FA0">
            <w:pPr>
              <w:pStyle w:val="14"/>
              <w:spacing w:line="240" w:lineRule="auto"/>
              <w:ind w:firstLine="0" w:firstLineChars="0"/>
              <w:jc w:val="center"/>
              <w:rPr>
                <w:b w:val="0"/>
                <w:szCs w:val="21"/>
                <w:u w:val="single"/>
              </w:rPr>
            </w:pPr>
          </w:p>
        </w:tc>
        <w:tc>
          <w:tcPr>
            <w:tcW w:w="1646" w:type="dxa"/>
            <w:vMerge w:val="continue"/>
            <w:vAlign w:val="center"/>
          </w:tcPr>
          <w:p w14:paraId="5B9C2ECD">
            <w:pPr>
              <w:pStyle w:val="14"/>
              <w:spacing w:line="240" w:lineRule="auto"/>
              <w:ind w:firstLine="0" w:firstLineChars="0"/>
              <w:jc w:val="center"/>
              <w:rPr>
                <w:b w:val="0"/>
                <w:szCs w:val="21"/>
                <w:u w:val="single"/>
              </w:rPr>
            </w:pPr>
          </w:p>
        </w:tc>
        <w:tc>
          <w:tcPr>
            <w:tcW w:w="1195" w:type="dxa"/>
            <w:vMerge w:val="continue"/>
            <w:vAlign w:val="center"/>
          </w:tcPr>
          <w:p w14:paraId="11BC58BA">
            <w:pPr>
              <w:pStyle w:val="14"/>
              <w:spacing w:line="240" w:lineRule="auto"/>
              <w:ind w:firstLine="0" w:firstLineChars="0"/>
              <w:jc w:val="center"/>
              <w:rPr>
                <w:b w:val="0"/>
                <w:szCs w:val="21"/>
                <w:u w:val="single"/>
              </w:rPr>
            </w:pPr>
          </w:p>
        </w:tc>
        <w:tc>
          <w:tcPr>
            <w:tcW w:w="1046" w:type="dxa"/>
            <w:vMerge w:val="continue"/>
            <w:vAlign w:val="center"/>
          </w:tcPr>
          <w:p w14:paraId="01A485E1">
            <w:pPr>
              <w:pStyle w:val="14"/>
              <w:spacing w:line="240" w:lineRule="auto"/>
              <w:ind w:firstLine="0" w:firstLineChars="0"/>
              <w:jc w:val="center"/>
              <w:rPr>
                <w:b w:val="0"/>
                <w:szCs w:val="21"/>
                <w:u w:val="single"/>
              </w:rPr>
            </w:pPr>
          </w:p>
        </w:tc>
        <w:tc>
          <w:tcPr>
            <w:tcW w:w="2242" w:type="dxa"/>
            <w:vMerge w:val="continue"/>
            <w:vAlign w:val="center"/>
          </w:tcPr>
          <w:p w14:paraId="1FB0C5F5">
            <w:pPr>
              <w:pStyle w:val="67"/>
              <w:adjustRightInd w:val="0"/>
              <w:snapToGrid w:val="0"/>
              <w:rPr>
                <w:rFonts w:cs="Times New Roman"/>
                <w:b w:val="0"/>
                <w:color w:val="auto"/>
                <w:szCs w:val="21"/>
                <w:u w:val="single"/>
              </w:rPr>
            </w:pPr>
          </w:p>
        </w:tc>
        <w:tc>
          <w:tcPr>
            <w:tcW w:w="1195" w:type="dxa"/>
            <w:vMerge w:val="continue"/>
            <w:vAlign w:val="center"/>
          </w:tcPr>
          <w:p w14:paraId="5BA70AD7">
            <w:pPr>
              <w:pStyle w:val="67"/>
              <w:adjustRightInd w:val="0"/>
              <w:snapToGrid w:val="0"/>
              <w:rPr>
                <w:rFonts w:cs="Times New Roman"/>
                <w:b w:val="0"/>
                <w:color w:val="auto"/>
                <w:szCs w:val="21"/>
                <w:u w:val="single"/>
              </w:rPr>
            </w:pPr>
          </w:p>
        </w:tc>
        <w:tc>
          <w:tcPr>
            <w:tcW w:w="1495" w:type="dxa"/>
            <w:vMerge w:val="continue"/>
            <w:vAlign w:val="center"/>
          </w:tcPr>
          <w:p w14:paraId="3257C059">
            <w:pPr>
              <w:pStyle w:val="67"/>
              <w:adjustRightInd w:val="0"/>
              <w:snapToGrid w:val="0"/>
              <w:rPr>
                <w:rFonts w:cs="Times New Roman"/>
                <w:b w:val="0"/>
                <w:color w:val="auto"/>
                <w:szCs w:val="21"/>
                <w:u w:val="single"/>
              </w:rPr>
            </w:pPr>
          </w:p>
        </w:tc>
        <w:tc>
          <w:tcPr>
            <w:tcW w:w="1290" w:type="dxa"/>
            <w:vMerge w:val="continue"/>
            <w:vAlign w:val="center"/>
          </w:tcPr>
          <w:p w14:paraId="6B7AD738">
            <w:pPr>
              <w:pStyle w:val="67"/>
              <w:adjustRightInd w:val="0"/>
              <w:snapToGrid w:val="0"/>
              <w:rPr>
                <w:rFonts w:cs="Times New Roman"/>
                <w:b w:val="0"/>
                <w:color w:val="auto"/>
                <w:szCs w:val="21"/>
                <w:u w:val="single"/>
              </w:rPr>
            </w:pPr>
          </w:p>
        </w:tc>
        <w:tc>
          <w:tcPr>
            <w:tcW w:w="771" w:type="dxa"/>
            <w:vAlign w:val="center"/>
          </w:tcPr>
          <w:p w14:paraId="629F64B8">
            <w:pPr>
              <w:pStyle w:val="67"/>
              <w:adjustRightInd w:val="0"/>
              <w:snapToGrid w:val="0"/>
              <w:rPr>
                <w:rFonts w:cs="Times New Roman"/>
                <w:color w:val="auto"/>
                <w:szCs w:val="21"/>
                <w:u w:val="single"/>
              </w:rPr>
            </w:pPr>
            <w:r>
              <w:rPr>
                <w:rFonts w:cs="Times New Roman"/>
                <w:color w:val="auto"/>
                <w:szCs w:val="21"/>
                <w:u w:val="single"/>
              </w:rPr>
              <w:t>X</w:t>
            </w:r>
          </w:p>
        </w:tc>
        <w:tc>
          <w:tcPr>
            <w:tcW w:w="772" w:type="dxa"/>
            <w:vAlign w:val="center"/>
          </w:tcPr>
          <w:p w14:paraId="17E7DDE8">
            <w:pPr>
              <w:pStyle w:val="67"/>
              <w:adjustRightInd w:val="0"/>
              <w:snapToGrid w:val="0"/>
              <w:rPr>
                <w:rFonts w:cs="Times New Roman"/>
                <w:color w:val="auto"/>
                <w:szCs w:val="21"/>
                <w:u w:val="single"/>
              </w:rPr>
            </w:pPr>
            <w:r>
              <w:rPr>
                <w:rFonts w:cs="Times New Roman"/>
                <w:color w:val="auto"/>
                <w:szCs w:val="21"/>
                <w:u w:val="single"/>
              </w:rPr>
              <w:t>Y</w:t>
            </w:r>
          </w:p>
        </w:tc>
        <w:tc>
          <w:tcPr>
            <w:tcW w:w="644" w:type="dxa"/>
            <w:vAlign w:val="center"/>
          </w:tcPr>
          <w:p w14:paraId="3538D8CF">
            <w:pPr>
              <w:pStyle w:val="67"/>
              <w:adjustRightInd w:val="0"/>
              <w:snapToGrid w:val="0"/>
              <w:rPr>
                <w:rFonts w:cs="Times New Roman"/>
                <w:color w:val="auto"/>
                <w:szCs w:val="21"/>
                <w:u w:val="single"/>
              </w:rPr>
            </w:pPr>
            <w:r>
              <w:rPr>
                <w:rFonts w:cs="Times New Roman"/>
                <w:color w:val="auto"/>
                <w:szCs w:val="21"/>
                <w:u w:val="single"/>
              </w:rPr>
              <w:t>Z</w:t>
            </w:r>
          </w:p>
        </w:tc>
        <w:tc>
          <w:tcPr>
            <w:tcW w:w="1057" w:type="dxa"/>
            <w:vMerge w:val="continue"/>
            <w:vAlign w:val="center"/>
          </w:tcPr>
          <w:p w14:paraId="60E25AA2">
            <w:pPr>
              <w:pStyle w:val="67"/>
              <w:adjustRightInd w:val="0"/>
              <w:snapToGrid w:val="0"/>
              <w:rPr>
                <w:rFonts w:cs="Times New Roman"/>
                <w:b w:val="0"/>
                <w:color w:val="auto"/>
                <w:szCs w:val="21"/>
                <w:u w:val="single"/>
              </w:rPr>
            </w:pPr>
          </w:p>
        </w:tc>
      </w:tr>
      <w:tr w14:paraId="1058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5" w:type="dxa"/>
            <w:vAlign w:val="center"/>
          </w:tcPr>
          <w:p w14:paraId="32B557B2">
            <w:pPr>
              <w:pStyle w:val="14"/>
              <w:spacing w:line="240" w:lineRule="auto"/>
              <w:ind w:firstLine="0" w:firstLineChars="0"/>
              <w:jc w:val="center"/>
              <w:rPr>
                <w:b w:val="0"/>
                <w:szCs w:val="21"/>
                <w:u w:val="single"/>
              </w:rPr>
            </w:pPr>
            <w:r>
              <w:rPr>
                <w:rFonts w:hint="eastAsia"/>
                <w:b w:val="0"/>
                <w:szCs w:val="21"/>
                <w:u w:val="single"/>
              </w:rPr>
              <w:t>1</w:t>
            </w:r>
          </w:p>
        </w:tc>
        <w:tc>
          <w:tcPr>
            <w:tcW w:w="1646" w:type="dxa"/>
            <w:vAlign w:val="center"/>
          </w:tcPr>
          <w:p w14:paraId="71F22027">
            <w:pPr>
              <w:pStyle w:val="62"/>
              <w:adjustRightInd w:val="0"/>
              <w:snapToGrid w:val="0"/>
              <w:contextualSpacing w:val="0"/>
              <w:rPr>
                <w:u w:val="single"/>
              </w:rPr>
            </w:pPr>
            <w:r>
              <w:rPr>
                <w:rFonts w:hint="eastAsia"/>
                <w:u w:val="single"/>
              </w:rPr>
              <w:t>循环水站</w:t>
            </w:r>
          </w:p>
        </w:tc>
        <w:tc>
          <w:tcPr>
            <w:tcW w:w="1195" w:type="dxa"/>
            <w:vAlign w:val="center"/>
          </w:tcPr>
          <w:p w14:paraId="70C865DC">
            <w:pPr>
              <w:pStyle w:val="62"/>
              <w:adjustRightInd w:val="0"/>
              <w:snapToGrid w:val="0"/>
              <w:contextualSpacing w:val="0"/>
              <w:rPr>
                <w:u w:val="single"/>
              </w:rPr>
            </w:pPr>
            <w:r>
              <w:rPr>
                <w:rFonts w:hint="eastAsia"/>
                <w:u w:val="single"/>
              </w:rPr>
              <w:t>冷却塔</w:t>
            </w:r>
          </w:p>
        </w:tc>
        <w:tc>
          <w:tcPr>
            <w:tcW w:w="1046" w:type="dxa"/>
            <w:vAlign w:val="center"/>
          </w:tcPr>
          <w:p w14:paraId="52F8A620">
            <w:pPr>
              <w:pStyle w:val="62"/>
              <w:adjustRightInd w:val="0"/>
              <w:snapToGrid w:val="0"/>
              <w:contextualSpacing w:val="0"/>
              <w:rPr>
                <w:u w:val="single"/>
              </w:rPr>
            </w:pPr>
            <w:r>
              <w:rPr>
                <w:rFonts w:hint="eastAsia"/>
                <w:u w:val="single"/>
              </w:rPr>
              <w:t>/</w:t>
            </w:r>
          </w:p>
        </w:tc>
        <w:tc>
          <w:tcPr>
            <w:tcW w:w="2242" w:type="dxa"/>
            <w:vAlign w:val="center"/>
          </w:tcPr>
          <w:p w14:paraId="280A078C">
            <w:pPr>
              <w:pStyle w:val="62"/>
              <w:adjustRightInd w:val="0"/>
              <w:snapToGrid w:val="0"/>
              <w:contextualSpacing w:val="0"/>
              <w:rPr>
                <w:u w:val="single"/>
              </w:rPr>
            </w:pPr>
            <w:r>
              <w:rPr>
                <w:rFonts w:hint="eastAsia"/>
                <w:u w:val="single"/>
              </w:rPr>
              <w:t>90</w:t>
            </w:r>
            <w:r>
              <w:rPr>
                <w:u w:val="single"/>
              </w:rPr>
              <w:t>/1</w:t>
            </w:r>
          </w:p>
        </w:tc>
        <w:tc>
          <w:tcPr>
            <w:tcW w:w="1195" w:type="dxa"/>
            <w:vAlign w:val="center"/>
          </w:tcPr>
          <w:p w14:paraId="23D04B3F">
            <w:pPr>
              <w:pStyle w:val="62"/>
              <w:adjustRightInd w:val="0"/>
              <w:snapToGrid w:val="0"/>
              <w:contextualSpacing w:val="0"/>
              <w:rPr>
                <w:u w:val="single"/>
              </w:rPr>
            </w:pPr>
            <w:r>
              <w:rPr>
                <w:rFonts w:hint="eastAsia"/>
                <w:u w:val="single"/>
              </w:rPr>
              <w:t>1</w:t>
            </w:r>
          </w:p>
        </w:tc>
        <w:tc>
          <w:tcPr>
            <w:tcW w:w="1495" w:type="dxa"/>
            <w:vAlign w:val="center"/>
          </w:tcPr>
          <w:p w14:paraId="08E36B02">
            <w:pPr>
              <w:spacing w:line="240" w:lineRule="auto"/>
              <w:ind w:firstLine="0" w:firstLineChars="0"/>
              <w:jc w:val="center"/>
              <w:rPr>
                <w:sz w:val="21"/>
                <w:szCs w:val="21"/>
                <w:u w:val="single"/>
              </w:rPr>
            </w:pPr>
            <w:r>
              <w:rPr>
                <w:sz w:val="21"/>
                <w:szCs w:val="21"/>
                <w:u w:val="single"/>
              </w:rPr>
              <w:t>减振、隔声</w:t>
            </w:r>
          </w:p>
        </w:tc>
        <w:tc>
          <w:tcPr>
            <w:tcW w:w="1290" w:type="dxa"/>
            <w:vAlign w:val="center"/>
          </w:tcPr>
          <w:p w14:paraId="178CEB45">
            <w:pPr>
              <w:spacing w:line="240" w:lineRule="auto"/>
              <w:ind w:firstLine="0" w:firstLineChars="0"/>
              <w:jc w:val="center"/>
              <w:rPr>
                <w:sz w:val="21"/>
                <w:szCs w:val="21"/>
                <w:u w:val="single"/>
              </w:rPr>
            </w:pPr>
            <w:r>
              <w:rPr>
                <w:rFonts w:hint="eastAsia"/>
                <w:sz w:val="21"/>
                <w:szCs w:val="21"/>
                <w:u w:val="single"/>
              </w:rPr>
              <w:t>70</w:t>
            </w:r>
          </w:p>
        </w:tc>
        <w:tc>
          <w:tcPr>
            <w:tcW w:w="771" w:type="dxa"/>
            <w:vAlign w:val="center"/>
          </w:tcPr>
          <w:p w14:paraId="142A6ABE">
            <w:pPr>
              <w:widowControl/>
              <w:spacing w:line="240" w:lineRule="auto"/>
              <w:ind w:firstLine="0" w:firstLineChars="0"/>
              <w:jc w:val="center"/>
              <w:rPr>
                <w:sz w:val="21"/>
                <w:szCs w:val="21"/>
                <w:u w:val="single"/>
              </w:rPr>
            </w:pPr>
            <w:r>
              <w:rPr>
                <w:rFonts w:hint="eastAsia"/>
                <w:sz w:val="21"/>
                <w:szCs w:val="21"/>
                <w:u w:val="single"/>
              </w:rPr>
              <w:t>14</w:t>
            </w:r>
          </w:p>
        </w:tc>
        <w:tc>
          <w:tcPr>
            <w:tcW w:w="772" w:type="dxa"/>
            <w:vAlign w:val="center"/>
          </w:tcPr>
          <w:p w14:paraId="3A4DC919">
            <w:pPr>
              <w:widowControl/>
              <w:spacing w:line="240" w:lineRule="auto"/>
              <w:ind w:firstLine="0" w:firstLineChars="0"/>
              <w:jc w:val="center"/>
              <w:rPr>
                <w:sz w:val="21"/>
                <w:szCs w:val="21"/>
                <w:u w:val="single"/>
              </w:rPr>
            </w:pPr>
            <w:r>
              <w:rPr>
                <w:rFonts w:hint="eastAsia"/>
                <w:sz w:val="21"/>
                <w:szCs w:val="21"/>
                <w:u w:val="single"/>
              </w:rPr>
              <w:t>-49</w:t>
            </w:r>
          </w:p>
        </w:tc>
        <w:tc>
          <w:tcPr>
            <w:tcW w:w="644" w:type="dxa"/>
            <w:vAlign w:val="center"/>
          </w:tcPr>
          <w:p w14:paraId="5528A843">
            <w:pPr>
              <w:spacing w:line="240" w:lineRule="auto"/>
              <w:ind w:firstLine="0" w:firstLineChars="0"/>
              <w:jc w:val="center"/>
              <w:rPr>
                <w:sz w:val="21"/>
                <w:szCs w:val="21"/>
                <w:u w:val="single"/>
              </w:rPr>
            </w:pPr>
            <w:r>
              <w:rPr>
                <w:rFonts w:hint="eastAsia"/>
                <w:sz w:val="21"/>
                <w:szCs w:val="21"/>
                <w:u w:val="single"/>
              </w:rPr>
              <w:t>0.3</w:t>
            </w:r>
          </w:p>
        </w:tc>
        <w:tc>
          <w:tcPr>
            <w:tcW w:w="1057" w:type="dxa"/>
            <w:vAlign w:val="center"/>
          </w:tcPr>
          <w:p w14:paraId="13CBE690">
            <w:pPr>
              <w:pStyle w:val="14"/>
              <w:spacing w:line="240" w:lineRule="auto"/>
              <w:ind w:firstLine="0" w:firstLineChars="0"/>
              <w:jc w:val="center"/>
              <w:rPr>
                <w:b w:val="0"/>
                <w:szCs w:val="21"/>
                <w:u w:val="single"/>
              </w:rPr>
            </w:pPr>
            <w:r>
              <w:rPr>
                <w:b w:val="0"/>
                <w:szCs w:val="21"/>
                <w:u w:val="single"/>
              </w:rPr>
              <w:t>持续运行</w:t>
            </w:r>
          </w:p>
        </w:tc>
      </w:tr>
    </w:tbl>
    <w:p w14:paraId="1D3EBA0C">
      <w:pPr>
        <w:pStyle w:val="99"/>
        <w:numPr>
          <w:ilvl w:val="4"/>
          <w:numId w:val="20"/>
        </w:numPr>
        <w:ind w:left="0" w:firstLine="480"/>
        <w:rPr>
          <w:rFonts w:eastAsia="黑体"/>
        </w:rPr>
      </w:pPr>
      <w:r>
        <w:rPr>
          <w:rFonts w:eastAsia="黑体"/>
        </w:rPr>
        <w:t xml:space="preserve">    </w:t>
      </w:r>
      <w:r>
        <w:rPr>
          <w:rFonts w:hint="eastAsia" w:eastAsia="黑体"/>
        </w:rPr>
        <w:t xml:space="preserve">                   </w:t>
      </w:r>
      <w:r>
        <w:rPr>
          <w:rFonts w:eastAsia="黑体"/>
        </w:rPr>
        <w:t xml:space="preserve">  工业企业噪声源强调查清单（室内声源）</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302"/>
        <w:gridCol w:w="708"/>
        <w:gridCol w:w="645"/>
        <w:gridCol w:w="1124"/>
        <w:gridCol w:w="566"/>
        <w:gridCol w:w="917"/>
        <w:gridCol w:w="1049"/>
        <w:gridCol w:w="1049"/>
        <w:gridCol w:w="788"/>
        <w:gridCol w:w="785"/>
        <w:gridCol w:w="785"/>
        <w:gridCol w:w="1052"/>
        <w:gridCol w:w="1049"/>
        <w:gridCol w:w="864"/>
        <w:gridCol w:w="847"/>
        <w:gridCol w:w="735"/>
        <w:gridCol w:w="749"/>
      </w:tblGrid>
      <w:tr w14:paraId="05B724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top w:val="single" w:color="auto" w:sz="8" w:space="0"/>
              <w:bottom w:val="single" w:color="auto" w:sz="4" w:space="0"/>
              <w:right w:val="single" w:color="auto" w:sz="4" w:space="0"/>
            </w:tcBorders>
            <w:vAlign w:val="center"/>
          </w:tcPr>
          <w:p w14:paraId="4102EE23">
            <w:pPr>
              <w:adjustRightInd/>
              <w:snapToGrid/>
              <w:spacing w:line="240" w:lineRule="auto"/>
              <w:ind w:firstLine="0" w:firstLineChars="0"/>
              <w:jc w:val="center"/>
              <w:textAlignment w:val="auto"/>
              <w:rPr>
                <w:b/>
                <w:kern w:val="2"/>
                <w:sz w:val="21"/>
                <w:szCs w:val="21"/>
                <w:u w:val="single"/>
              </w:rPr>
            </w:pPr>
            <w:r>
              <w:rPr>
                <w:b/>
                <w:kern w:val="2"/>
                <w:sz w:val="21"/>
                <w:szCs w:val="21"/>
                <w:u w:val="single"/>
              </w:rPr>
              <w:t>序号</w:t>
            </w:r>
          </w:p>
        </w:tc>
        <w:tc>
          <w:tcPr>
            <w:tcW w:w="253" w:type="pct"/>
            <w:vMerge w:val="restart"/>
            <w:tcBorders>
              <w:top w:val="single" w:color="auto" w:sz="8" w:space="0"/>
              <w:left w:val="single" w:color="auto" w:sz="4" w:space="0"/>
              <w:bottom w:val="single" w:color="auto" w:sz="4" w:space="0"/>
              <w:right w:val="single" w:color="auto" w:sz="4" w:space="0"/>
            </w:tcBorders>
            <w:vAlign w:val="center"/>
          </w:tcPr>
          <w:p w14:paraId="28767CA6">
            <w:pPr>
              <w:adjustRightInd/>
              <w:snapToGrid/>
              <w:spacing w:line="240" w:lineRule="auto"/>
              <w:ind w:firstLine="0" w:firstLineChars="0"/>
              <w:jc w:val="center"/>
              <w:textAlignment w:val="auto"/>
              <w:rPr>
                <w:b/>
                <w:kern w:val="2"/>
                <w:sz w:val="21"/>
                <w:szCs w:val="21"/>
                <w:u w:val="single"/>
              </w:rPr>
            </w:pPr>
            <w:r>
              <w:rPr>
                <w:b/>
                <w:kern w:val="2"/>
                <w:sz w:val="21"/>
                <w:szCs w:val="21"/>
                <w:u w:val="single"/>
              </w:rPr>
              <w:t>建筑物名称</w:t>
            </w:r>
          </w:p>
        </w:tc>
        <w:tc>
          <w:tcPr>
            <w:tcW w:w="230" w:type="pct"/>
            <w:vMerge w:val="restart"/>
            <w:tcBorders>
              <w:top w:val="single" w:color="auto" w:sz="8" w:space="0"/>
              <w:left w:val="single" w:color="auto" w:sz="4" w:space="0"/>
              <w:bottom w:val="single" w:color="auto" w:sz="4" w:space="0"/>
              <w:right w:val="single" w:color="auto" w:sz="4" w:space="0"/>
            </w:tcBorders>
            <w:vAlign w:val="center"/>
          </w:tcPr>
          <w:p w14:paraId="6498AE2A">
            <w:pPr>
              <w:adjustRightInd/>
              <w:snapToGrid/>
              <w:spacing w:line="240" w:lineRule="auto"/>
              <w:ind w:firstLine="0" w:firstLineChars="0"/>
              <w:jc w:val="center"/>
              <w:textAlignment w:val="auto"/>
              <w:rPr>
                <w:b/>
                <w:kern w:val="2"/>
                <w:sz w:val="21"/>
                <w:szCs w:val="21"/>
                <w:u w:val="single"/>
              </w:rPr>
            </w:pPr>
            <w:r>
              <w:rPr>
                <w:b/>
                <w:kern w:val="2"/>
                <w:sz w:val="21"/>
                <w:szCs w:val="21"/>
                <w:u w:val="single"/>
              </w:rPr>
              <w:t>声源名称</w:t>
            </w:r>
          </w:p>
        </w:tc>
        <w:tc>
          <w:tcPr>
            <w:tcW w:w="401" w:type="pct"/>
            <w:vMerge w:val="restart"/>
            <w:tcBorders>
              <w:top w:val="single" w:color="auto" w:sz="8" w:space="0"/>
              <w:left w:val="single" w:color="auto" w:sz="4" w:space="0"/>
              <w:bottom w:val="single" w:color="auto" w:sz="4" w:space="0"/>
              <w:right w:val="single" w:color="auto" w:sz="4" w:space="0"/>
            </w:tcBorders>
            <w:vAlign w:val="center"/>
          </w:tcPr>
          <w:p w14:paraId="505E747F">
            <w:pPr>
              <w:adjustRightInd/>
              <w:snapToGrid/>
              <w:spacing w:line="240" w:lineRule="auto"/>
              <w:ind w:firstLine="0" w:firstLineChars="0"/>
              <w:jc w:val="center"/>
              <w:textAlignment w:val="auto"/>
              <w:rPr>
                <w:b/>
                <w:kern w:val="2"/>
                <w:sz w:val="21"/>
                <w:szCs w:val="21"/>
                <w:u w:val="single"/>
              </w:rPr>
            </w:pPr>
            <w:r>
              <w:rPr>
                <w:b/>
                <w:kern w:val="2"/>
                <w:sz w:val="21"/>
                <w:szCs w:val="21"/>
                <w:u w:val="single"/>
              </w:rPr>
              <w:t>(声压级/距声源距离)/ ([dB(A)]/m)</w:t>
            </w:r>
          </w:p>
        </w:tc>
        <w:tc>
          <w:tcPr>
            <w:tcW w:w="202" w:type="pct"/>
            <w:vMerge w:val="restart"/>
            <w:tcBorders>
              <w:top w:val="single" w:color="auto" w:sz="8" w:space="0"/>
              <w:left w:val="single" w:color="auto" w:sz="4" w:space="0"/>
              <w:right w:val="single" w:color="auto" w:sz="4" w:space="0"/>
            </w:tcBorders>
            <w:vAlign w:val="center"/>
          </w:tcPr>
          <w:p w14:paraId="52A813E9">
            <w:pPr>
              <w:adjustRightInd/>
              <w:snapToGrid/>
              <w:spacing w:line="240" w:lineRule="auto"/>
              <w:ind w:firstLine="0" w:firstLineChars="0"/>
              <w:jc w:val="center"/>
              <w:textAlignment w:val="auto"/>
              <w:rPr>
                <w:b/>
                <w:kern w:val="2"/>
                <w:sz w:val="21"/>
                <w:szCs w:val="21"/>
                <w:u w:val="single"/>
              </w:rPr>
            </w:pPr>
            <w:r>
              <w:rPr>
                <w:b/>
                <w:kern w:val="2"/>
                <w:sz w:val="21"/>
                <w:szCs w:val="21"/>
                <w:u w:val="single"/>
              </w:rPr>
              <w:t>数量(台)</w:t>
            </w:r>
          </w:p>
        </w:tc>
        <w:tc>
          <w:tcPr>
            <w:tcW w:w="327" w:type="pct"/>
            <w:vMerge w:val="restart"/>
            <w:tcBorders>
              <w:top w:val="single" w:color="auto" w:sz="8" w:space="0"/>
              <w:left w:val="single" w:color="auto" w:sz="4" w:space="0"/>
              <w:bottom w:val="single" w:color="auto" w:sz="4" w:space="0"/>
              <w:right w:val="single" w:color="auto" w:sz="4" w:space="0"/>
            </w:tcBorders>
            <w:vAlign w:val="center"/>
          </w:tcPr>
          <w:p w14:paraId="1510C171">
            <w:pPr>
              <w:adjustRightInd/>
              <w:snapToGrid/>
              <w:spacing w:line="240" w:lineRule="auto"/>
              <w:ind w:firstLine="0" w:firstLineChars="0"/>
              <w:jc w:val="center"/>
              <w:textAlignment w:val="auto"/>
              <w:rPr>
                <w:b/>
                <w:kern w:val="2"/>
                <w:sz w:val="21"/>
                <w:szCs w:val="21"/>
                <w:u w:val="single"/>
              </w:rPr>
            </w:pPr>
            <w:r>
              <w:rPr>
                <w:b/>
                <w:kern w:val="2"/>
                <w:sz w:val="21"/>
                <w:szCs w:val="21"/>
                <w:u w:val="single"/>
              </w:rPr>
              <w:t>声源控制措施</w:t>
            </w:r>
          </w:p>
        </w:tc>
        <w:tc>
          <w:tcPr>
            <w:tcW w:w="374" w:type="pct"/>
            <w:vMerge w:val="restart"/>
            <w:tcBorders>
              <w:top w:val="single" w:color="auto" w:sz="8" w:space="0"/>
              <w:left w:val="single" w:color="auto" w:sz="4" w:space="0"/>
              <w:right w:val="single" w:color="auto" w:sz="4" w:space="0"/>
            </w:tcBorders>
            <w:vAlign w:val="center"/>
          </w:tcPr>
          <w:p w14:paraId="3ED9BFD4">
            <w:pPr>
              <w:adjustRightInd/>
              <w:snapToGrid/>
              <w:spacing w:line="240" w:lineRule="auto"/>
              <w:ind w:firstLine="0" w:firstLineChars="0"/>
              <w:jc w:val="center"/>
              <w:textAlignment w:val="auto"/>
              <w:rPr>
                <w:b/>
                <w:kern w:val="2"/>
                <w:sz w:val="21"/>
                <w:szCs w:val="21"/>
                <w:u w:val="single"/>
              </w:rPr>
            </w:pPr>
            <w:r>
              <w:rPr>
                <w:rFonts w:hint="eastAsia"/>
                <w:b/>
                <w:kern w:val="2"/>
                <w:sz w:val="21"/>
                <w:szCs w:val="21"/>
                <w:u w:val="single"/>
              </w:rPr>
              <w:t>治理后声压级</w:t>
            </w:r>
            <w:r>
              <w:rPr>
                <w:b/>
                <w:kern w:val="2"/>
                <w:sz w:val="21"/>
                <w:szCs w:val="21"/>
                <w:u w:val="single"/>
              </w:rPr>
              <w:t>[dB(A)]</w:t>
            </w:r>
          </w:p>
        </w:tc>
        <w:tc>
          <w:tcPr>
            <w:tcW w:w="374" w:type="pct"/>
            <w:vMerge w:val="restart"/>
            <w:tcBorders>
              <w:top w:val="single" w:color="auto" w:sz="8" w:space="0"/>
              <w:left w:val="single" w:color="auto" w:sz="4" w:space="0"/>
              <w:right w:val="single" w:color="auto" w:sz="4" w:space="0"/>
            </w:tcBorders>
            <w:vAlign w:val="center"/>
          </w:tcPr>
          <w:p w14:paraId="42A0EF33">
            <w:pPr>
              <w:adjustRightInd/>
              <w:snapToGrid/>
              <w:spacing w:line="240" w:lineRule="auto"/>
              <w:ind w:firstLine="0" w:firstLineChars="0"/>
              <w:jc w:val="center"/>
              <w:textAlignment w:val="auto"/>
              <w:rPr>
                <w:b/>
                <w:kern w:val="2"/>
                <w:sz w:val="21"/>
                <w:szCs w:val="21"/>
                <w:u w:val="single"/>
              </w:rPr>
            </w:pPr>
            <w:r>
              <w:rPr>
                <w:rFonts w:hint="eastAsia"/>
                <w:b/>
                <w:kern w:val="2"/>
                <w:sz w:val="21"/>
                <w:szCs w:val="21"/>
                <w:u w:val="single"/>
              </w:rPr>
              <w:t>声压级叠加值</w:t>
            </w:r>
            <w:r>
              <w:rPr>
                <w:b/>
                <w:kern w:val="2"/>
                <w:sz w:val="21"/>
                <w:szCs w:val="21"/>
                <w:u w:val="single"/>
              </w:rPr>
              <w:t>[dB(A)]</w:t>
            </w:r>
          </w:p>
        </w:tc>
        <w:tc>
          <w:tcPr>
            <w:tcW w:w="841" w:type="pct"/>
            <w:gridSpan w:val="3"/>
            <w:tcBorders>
              <w:top w:val="single" w:color="auto" w:sz="8" w:space="0"/>
              <w:left w:val="single" w:color="auto" w:sz="4" w:space="0"/>
              <w:bottom w:val="single" w:color="auto" w:sz="4" w:space="0"/>
              <w:right w:val="single" w:color="auto" w:sz="4" w:space="0"/>
            </w:tcBorders>
            <w:vAlign w:val="center"/>
          </w:tcPr>
          <w:p w14:paraId="3305406F">
            <w:pPr>
              <w:adjustRightInd/>
              <w:snapToGrid/>
              <w:spacing w:line="240" w:lineRule="auto"/>
              <w:ind w:firstLine="0" w:firstLineChars="0"/>
              <w:jc w:val="center"/>
              <w:textAlignment w:val="auto"/>
              <w:rPr>
                <w:b/>
                <w:kern w:val="2"/>
                <w:sz w:val="21"/>
                <w:szCs w:val="21"/>
                <w:u w:val="single"/>
              </w:rPr>
            </w:pPr>
            <w:r>
              <w:rPr>
                <w:b/>
                <w:kern w:val="2"/>
                <w:sz w:val="21"/>
                <w:szCs w:val="21"/>
                <w:u w:val="single"/>
              </w:rPr>
              <w:t>空间相对位置/m</w:t>
            </w:r>
          </w:p>
        </w:tc>
        <w:tc>
          <w:tcPr>
            <w:tcW w:w="375" w:type="pct"/>
            <w:vMerge w:val="restart"/>
            <w:tcBorders>
              <w:top w:val="single" w:color="auto" w:sz="8" w:space="0"/>
              <w:left w:val="single" w:color="auto" w:sz="4" w:space="0"/>
              <w:bottom w:val="single" w:color="auto" w:sz="4" w:space="0"/>
              <w:right w:val="single" w:color="auto" w:sz="4" w:space="0"/>
            </w:tcBorders>
            <w:vAlign w:val="center"/>
          </w:tcPr>
          <w:p w14:paraId="6B85B20C">
            <w:pPr>
              <w:adjustRightInd/>
              <w:snapToGrid/>
              <w:spacing w:line="240" w:lineRule="auto"/>
              <w:ind w:firstLine="0" w:firstLineChars="0"/>
              <w:jc w:val="center"/>
              <w:textAlignment w:val="auto"/>
              <w:rPr>
                <w:b/>
                <w:kern w:val="2"/>
                <w:sz w:val="21"/>
                <w:szCs w:val="21"/>
                <w:u w:val="single"/>
              </w:rPr>
            </w:pPr>
            <w:r>
              <w:rPr>
                <w:b/>
                <w:kern w:val="2"/>
                <w:sz w:val="21"/>
                <w:szCs w:val="21"/>
                <w:u w:val="single"/>
              </w:rPr>
              <w:t>距室内边界距离/m</w:t>
            </w:r>
          </w:p>
        </w:tc>
        <w:tc>
          <w:tcPr>
            <w:tcW w:w="374" w:type="pct"/>
            <w:vMerge w:val="restart"/>
            <w:tcBorders>
              <w:top w:val="single" w:color="auto" w:sz="8" w:space="0"/>
              <w:left w:val="single" w:color="auto" w:sz="4" w:space="0"/>
              <w:bottom w:val="single" w:color="auto" w:sz="4" w:space="0"/>
              <w:right w:val="single" w:color="auto" w:sz="4" w:space="0"/>
            </w:tcBorders>
            <w:vAlign w:val="center"/>
          </w:tcPr>
          <w:p w14:paraId="030C5A65">
            <w:pPr>
              <w:adjustRightInd/>
              <w:snapToGrid/>
              <w:spacing w:line="240" w:lineRule="auto"/>
              <w:ind w:firstLine="0" w:firstLineChars="0"/>
              <w:jc w:val="center"/>
              <w:textAlignment w:val="auto"/>
              <w:rPr>
                <w:b/>
                <w:kern w:val="2"/>
                <w:sz w:val="21"/>
                <w:szCs w:val="21"/>
                <w:u w:val="single"/>
              </w:rPr>
            </w:pPr>
            <w:r>
              <w:rPr>
                <w:b/>
                <w:kern w:val="2"/>
                <w:sz w:val="21"/>
                <w:szCs w:val="21"/>
                <w:u w:val="single"/>
              </w:rPr>
              <w:t>室内边界声级/dB(A)</w:t>
            </w:r>
          </w:p>
        </w:tc>
        <w:tc>
          <w:tcPr>
            <w:tcW w:w="308" w:type="pct"/>
            <w:vMerge w:val="restart"/>
            <w:tcBorders>
              <w:top w:val="single" w:color="auto" w:sz="8" w:space="0"/>
              <w:left w:val="single" w:color="auto" w:sz="4" w:space="0"/>
              <w:bottom w:val="single" w:color="auto" w:sz="4" w:space="0"/>
              <w:right w:val="single" w:color="auto" w:sz="4" w:space="0"/>
            </w:tcBorders>
            <w:vAlign w:val="center"/>
          </w:tcPr>
          <w:p w14:paraId="0BF474B0">
            <w:pPr>
              <w:adjustRightInd/>
              <w:snapToGrid/>
              <w:spacing w:line="240" w:lineRule="auto"/>
              <w:ind w:firstLine="0" w:firstLineChars="0"/>
              <w:jc w:val="center"/>
              <w:textAlignment w:val="auto"/>
              <w:rPr>
                <w:b/>
                <w:kern w:val="2"/>
                <w:sz w:val="21"/>
                <w:szCs w:val="21"/>
                <w:u w:val="single"/>
              </w:rPr>
            </w:pPr>
            <w:r>
              <w:rPr>
                <w:b/>
                <w:kern w:val="2"/>
                <w:sz w:val="21"/>
                <w:szCs w:val="21"/>
                <w:u w:val="single"/>
              </w:rPr>
              <w:t>运行时段</w:t>
            </w:r>
          </w:p>
        </w:tc>
        <w:tc>
          <w:tcPr>
            <w:tcW w:w="302" w:type="pct"/>
            <w:vMerge w:val="restart"/>
            <w:tcBorders>
              <w:top w:val="single" w:color="auto" w:sz="8" w:space="0"/>
              <w:left w:val="single" w:color="auto" w:sz="4" w:space="0"/>
              <w:bottom w:val="single" w:color="auto" w:sz="4" w:space="0"/>
              <w:right w:val="single" w:color="auto" w:sz="4" w:space="0"/>
            </w:tcBorders>
            <w:vAlign w:val="center"/>
          </w:tcPr>
          <w:p w14:paraId="3C2D4CEC">
            <w:pPr>
              <w:adjustRightInd/>
              <w:snapToGrid/>
              <w:spacing w:line="240" w:lineRule="auto"/>
              <w:ind w:firstLine="0" w:firstLineChars="0"/>
              <w:jc w:val="center"/>
              <w:textAlignment w:val="auto"/>
              <w:rPr>
                <w:b/>
                <w:kern w:val="2"/>
                <w:sz w:val="21"/>
                <w:szCs w:val="21"/>
                <w:u w:val="single"/>
              </w:rPr>
            </w:pPr>
            <w:r>
              <w:rPr>
                <w:b/>
                <w:kern w:val="2"/>
                <w:sz w:val="21"/>
                <w:szCs w:val="21"/>
                <w:u w:val="single"/>
              </w:rPr>
              <w:t>建筑物插入损失/dB(A)</w:t>
            </w:r>
          </w:p>
        </w:tc>
        <w:tc>
          <w:tcPr>
            <w:tcW w:w="529" w:type="pct"/>
            <w:gridSpan w:val="2"/>
            <w:tcBorders>
              <w:top w:val="single" w:color="auto" w:sz="8" w:space="0"/>
              <w:left w:val="single" w:color="auto" w:sz="4" w:space="0"/>
              <w:bottom w:val="single" w:color="auto" w:sz="4" w:space="0"/>
            </w:tcBorders>
            <w:vAlign w:val="center"/>
          </w:tcPr>
          <w:p w14:paraId="30ECC10F">
            <w:pPr>
              <w:adjustRightInd/>
              <w:snapToGrid/>
              <w:spacing w:line="240" w:lineRule="auto"/>
              <w:ind w:firstLine="0" w:firstLineChars="0"/>
              <w:jc w:val="center"/>
              <w:textAlignment w:val="auto"/>
              <w:rPr>
                <w:b/>
                <w:kern w:val="2"/>
                <w:sz w:val="21"/>
                <w:szCs w:val="21"/>
                <w:u w:val="single"/>
              </w:rPr>
            </w:pPr>
            <w:r>
              <w:rPr>
                <w:b/>
                <w:kern w:val="2"/>
                <w:sz w:val="21"/>
                <w:szCs w:val="21"/>
                <w:u w:val="single"/>
              </w:rPr>
              <w:t>建筑物外噪声</w:t>
            </w:r>
          </w:p>
        </w:tc>
      </w:tr>
      <w:tr w14:paraId="5068AB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5DED261C">
            <w:pPr>
              <w:adjustRightInd/>
              <w:snapToGrid/>
              <w:spacing w:line="240" w:lineRule="auto"/>
              <w:ind w:firstLine="0" w:firstLineChars="0"/>
              <w:jc w:val="center"/>
              <w:textAlignment w:val="auto"/>
              <w:rPr>
                <w:b/>
                <w:kern w:val="2"/>
                <w:sz w:val="21"/>
                <w:szCs w:val="21"/>
                <w:u w:val="single"/>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6DDBE1A7">
            <w:pPr>
              <w:adjustRightInd/>
              <w:snapToGrid/>
              <w:spacing w:line="240" w:lineRule="auto"/>
              <w:ind w:firstLine="0" w:firstLineChars="0"/>
              <w:jc w:val="center"/>
              <w:textAlignment w:val="auto"/>
              <w:rPr>
                <w:b/>
                <w:kern w:val="2"/>
                <w:sz w:val="21"/>
                <w:szCs w:val="21"/>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276CA993">
            <w:pPr>
              <w:adjustRightInd/>
              <w:snapToGrid/>
              <w:spacing w:line="240" w:lineRule="auto"/>
              <w:ind w:firstLine="0" w:firstLineChars="0"/>
              <w:jc w:val="center"/>
              <w:textAlignment w:val="auto"/>
              <w:rPr>
                <w:b/>
                <w:kern w:val="2"/>
                <w:sz w:val="21"/>
                <w:szCs w:val="21"/>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0EB22115">
            <w:pPr>
              <w:adjustRightInd/>
              <w:snapToGrid/>
              <w:spacing w:line="240" w:lineRule="auto"/>
              <w:ind w:firstLine="0" w:firstLineChars="0"/>
              <w:jc w:val="center"/>
              <w:textAlignment w:val="auto"/>
              <w:rPr>
                <w:b/>
                <w:kern w:val="2"/>
                <w:sz w:val="21"/>
                <w:szCs w:val="21"/>
                <w:u w:val="single"/>
              </w:rPr>
            </w:pPr>
          </w:p>
        </w:tc>
        <w:tc>
          <w:tcPr>
            <w:tcW w:w="202" w:type="pct"/>
            <w:vMerge w:val="continue"/>
            <w:tcBorders>
              <w:left w:val="single" w:color="auto" w:sz="4" w:space="0"/>
              <w:bottom w:val="single" w:color="auto" w:sz="4" w:space="0"/>
              <w:right w:val="single" w:color="auto" w:sz="4" w:space="0"/>
            </w:tcBorders>
            <w:vAlign w:val="center"/>
          </w:tcPr>
          <w:p w14:paraId="62ABCA57">
            <w:pPr>
              <w:adjustRightInd/>
              <w:snapToGrid/>
              <w:spacing w:line="240" w:lineRule="auto"/>
              <w:ind w:firstLine="0" w:firstLineChars="0"/>
              <w:jc w:val="center"/>
              <w:textAlignment w:val="auto"/>
              <w:rPr>
                <w:b/>
                <w:kern w:val="2"/>
                <w:sz w:val="21"/>
                <w:szCs w:val="21"/>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737E4FC8">
            <w:pPr>
              <w:adjustRightInd/>
              <w:snapToGrid/>
              <w:spacing w:line="240" w:lineRule="auto"/>
              <w:ind w:firstLine="0" w:firstLineChars="0"/>
              <w:jc w:val="center"/>
              <w:textAlignment w:val="auto"/>
              <w:rPr>
                <w:b/>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4FC7A63D">
            <w:pPr>
              <w:adjustRightInd/>
              <w:snapToGrid/>
              <w:spacing w:line="240" w:lineRule="auto"/>
              <w:ind w:firstLine="0" w:firstLineChars="0"/>
              <w:jc w:val="center"/>
              <w:textAlignment w:val="auto"/>
              <w:rPr>
                <w:b/>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3941524B">
            <w:pPr>
              <w:adjustRightInd/>
              <w:snapToGrid/>
              <w:spacing w:line="240" w:lineRule="auto"/>
              <w:ind w:firstLine="0" w:firstLineChars="0"/>
              <w:jc w:val="center"/>
              <w:textAlignment w:val="auto"/>
              <w:rPr>
                <w:b/>
                <w:kern w:val="2"/>
                <w:sz w:val="21"/>
                <w:szCs w:val="21"/>
                <w:u w:val="single"/>
              </w:rPr>
            </w:pPr>
          </w:p>
        </w:tc>
        <w:tc>
          <w:tcPr>
            <w:tcW w:w="281" w:type="pct"/>
            <w:tcBorders>
              <w:top w:val="single" w:color="auto" w:sz="4" w:space="0"/>
              <w:left w:val="single" w:color="auto" w:sz="4" w:space="0"/>
              <w:bottom w:val="single" w:color="auto" w:sz="4" w:space="0"/>
              <w:right w:val="single" w:color="auto" w:sz="4" w:space="0"/>
            </w:tcBorders>
            <w:vAlign w:val="center"/>
          </w:tcPr>
          <w:p w14:paraId="19FEE2D0">
            <w:pPr>
              <w:adjustRightInd/>
              <w:snapToGrid/>
              <w:spacing w:line="240" w:lineRule="auto"/>
              <w:ind w:firstLine="0" w:firstLineChars="0"/>
              <w:jc w:val="center"/>
              <w:textAlignment w:val="auto"/>
              <w:rPr>
                <w:b/>
                <w:kern w:val="2"/>
                <w:sz w:val="21"/>
                <w:szCs w:val="21"/>
                <w:u w:val="single"/>
              </w:rPr>
            </w:pPr>
            <w:r>
              <w:rPr>
                <w:b/>
                <w:kern w:val="2"/>
                <w:sz w:val="21"/>
                <w:szCs w:val="21"/>
                <w:u w:val="single"/>
              </w:rPr>
              <w:t>X</w:t>
            </w:r>
          </w:p>
        </w:tc>
        <w:tc>
          <w:tcPr>
            <w:tcW w:w="280" w:type="pct"/>
            <w:tcBorders>
              <w:top w:val="single" w:color="auto" w:sz="4" w:space="0"/>
              <w:left w:val="single" w:color="auto" w:sz="4" w:space="0"/>
              <w:bottom w:val="single" w:color="auto" w:sz="4" w:space="0"/>
              <w:right w:val="single" w:color="auto" w:sz="4" w:space="0"/>
            </w:tcBorders>
            <w:vAlign w:val="center"/>
          </w:tcPr>
          <w:p w14:paraId="624FF7B0">
            <w:pPr>
              <w:adjustRightInd/>
              <w:snapToGrid/>
              <w:spacing w:line="240" w:lineRule="auto"/>
              <w:ind w:firstLine="0" w:firstLineChars="0"/>
              <w:jc w:val="center"/>
              <w:textAlignment w:val="auto"/>
              <w:rPr>
                <w:b/>
                <w:kern w:val="2"/>
                <w:sz w:val="21"/>
                <w:szCs w:val="21"/>
                <w:u w:val="single"/>
              </w:rPr>
            </w:pPr>
            <w:r>
              <w:rPr>
                <w:b/>
                <w:kern w:val="2"/>
                <w:sz w:val="21"/>
                <w:szCs w:val="21"/>
                <w:u w:val="single"/>
              </w:rPr>
              <w:t>Y</w:t>
            </w:r>
          </w:p>
        </w:tc>
        <w:tc>
          <w:tcPr>
            <w:tcW w:w="280" w:type="pct"/>
            <w:tcBorders>
              <w:top w:val="single" w:color="auto" w:sz="4" w:space="0"/>
              <w:left w:val="single" w:color="auto" w:sz="4" w:space="0"/>
              <w:bottom w:val="single" w:color="auto" w:sz="4" w:space="0"/>
              <w:right w:val="single" w:color="auto" w:sz="4" w:space="0"/>
            </w:tcBorders>
            <w:vAlign w:val="center"/>
          </w:tcPr>
          <w:p w14:paraId="30DE08A2">
            <w:pPr>
              <w:adjustRightInd/>
              <w:snapToGrid/>
              <w:spacing w:line="240" w:lineRule="auto"/>
              <w:ind w:firstLine="0" w:firstLineChars="0"/>
              <w:jc w:val="center"/>
              <w:textAlignment w:val="auto"/>
              <w:rPr>
                <w:b/>
                <w:kern w:val="2"/>
                <w:sz w:val="21"/>
                <w:szCs w:val="21"/>
                <w:u w:val="single"/>
              </w:rPr>
            </w:pPr>
            <w:r>
              <w:rPr>
                <w:b/>
                <w:kern w:val="2"/>
                <w:sz w:val="21"/>
                <w:szCs w:val="21"/>
                <w:u w:val="single"/>
              </w:rPr>
              <w:t>Z</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14:paraId="50FE05B1">
            <w:pPr>
              <w:adjustRightInd/>
              <w:snapToGrid/>
              <w:spacing w:line="240" w:lineRule="auto"/>
              <w:ind w:firstLine="0" w:firstLineChars="0"/>
              <w:jc w:val="center"/>
              <w:textAlignment w:val="auto"/>
              <w:rPr>
                <w:b/>
                <w:kern w:val="2"/>
                <w:sz w:val="21"/>
                <w:szCs w:val="21"/>
                <w:u w:val="single"/>
              </w:rPr>
            </w:pPr>
          </w:p>
        </w:tc>
        <w:tc>
          <w:tcPr>
            <w:tcW w:w="374" w:type="pct"/>
            <w:vMerge w:val="continue"/>
            <w:tcBorders>
              <w:top w:val="single" w:color="auto" w:sz="4" w:space="0"/>
              <w:left w:val="single" w:color="auto" w:sz="4" w:space="0"/>
              <w:bottom w:val="single" w:color="auto" w:sz="4" w:space="0"/>
              <w:right w:val="single" w:color="auto" w:sz="4" w:space="0"/>
            </w:tcBorders>
            <w:vAlign w:val="center"/>
          </w:tcPr>
          <w:p w14:paraId="3C2D4525">
            <w:pPr>
              <w:adjustRightInd/>
              <w:snapToGrid/>
              <w:spacing w:line="240" w:lineRule="auto"/>
              <w:ind w:firstLine="0" w:firstLineChars="0"/>
              <w:jc w:val="center"/>
              <w:textAlignment w:val="auto"/>
              <w:rPr>
                <w:b/>
                <w:kern w:val="2"/>
                <w:sz w:val="21"/>
                <w:szCs w:val="21"/>
                <w:u w:val="single"/>
              </w:rPr>
            </w:pP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2FC28139">
            <w:pPr>
              <w:adjustRightInd/>
              <w:snapToGrid/>
              <w:spacing w:line="240" w:lineRule="auto"/>
              <w:ind w:firstLine="0" w:firstLineChars="0"/>
              <w:jc w:val="center"/>
              <w:textAlignment w:val="auto"/>
              <w:rPr>
                <w:b/>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53E426F2">
            <w:pPr>
              <w:adjustRightInd/>
              <w:snapToGrid/>
              <w:spacing w:line="240" w:lineRule="auto"/>
              <w:ind w:firstLine="0" w:firstLineChars="0"/>
              <w:jc w:val="center"/>
              <w:textAlignment w:val="auto"/>
              <w:rPr>
                <w:b/>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2B6F770">
            <w:pPr>
              <w:adjustRightInd/>
              <w:snapToGrid/>
              <w:spacing w:line="240" w:lineRule="auto"/>
              <w:ind w:firstLine="0" w:firstLineChars="0"/>
              <w:jc w:val="center"/>
              <w:textAlignment w:val="auto"/>
              <w:rPr>
                <w:b/>
                <w:kern w:val="2"/>
                <w:sz w:val="21"/>
                <w:szCs w:val="21"/>
                <w:u w:val="single"/>
              </w:rPr>
            </w:pPr>
            <w:r>
              <w:rPr>
                <w:b/>
                <w:kern w:val="2"/>
                <w:sz w:val="21"/>
                <w:szCs w:val="21"/>
                <w:u w:val="single"/>
              </w:rPr>
              <w:t>声压级/dB(A)</w:t>
            </w:r>
          </w:p>
        </w:tc>
        <w:tc>
          <w:tcPr>
            <w:tcW w:w="267" w:type="pct"/>
            <w:tcBorders>
              <w:top w:val="single" w:color="auto" w:sz="4" w:space="0"/>
              <w:left w:val="single" w:color="auto" w:sz="4" w:space="0"/>
              <w:bottom w:val="single" w:color="auto" w:sz="4" w:space="0"/>
            </w:tcBorders>
            <w:vAlign w:val="center"/>
          </w:tcPr>
          <w:p w14:paraId="703F889C">
            <w:pPr>
              <w:adjustRightInd/>
              <w:snapToGrid/>
              <w:spacing w:line="240" w:lineRule="auto"/>
              <w:ind w:firstLine="0" w:firstLineChars="0"/>
              <w:jc w:val="center"/>
              <w:textAlignment w:val="auto"/>
              <w:rPr>
                <w:b/>
                <w:kern w:val="2"/>
                <w:sz w:val="21"/>
                <w:szCs w:val="21"/>
                <w:u w:val="single"/>
              </w:rPr>
            </w:pPr>
            <w:r>
              <w:rPr>
                <w:b/>
                <w:kern w:val="2"/>
                <w:sz w:val="21"/>
                <w:szCs w:val="21"/>
                <w:u w:val="single"/>
              </w:rPr>
              <w:t>建筑物外距离</w:t>
            </w:r>
          </w:p>
        </w:tc>
      </w:tr>
      <w:tr w14:paraId="62A16B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top w:val="single" w:color="auto" w:sz="4" w:space="0"/>
              <w:bottom w:val="single" w:color="auto" w:sz="4" w:space="0"/>
              <w:right w:val="single" w:color="auto" w:sz="4" w:space="0"/>
            </w:tcBorders>
            <w:vAlign w:val="center"/>
          </w:tcPr>
          <w:p w14:paraId="5A883DD1">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1</w:t>
            </w:r>
          </w:p>
        </w:tc>
        <w:tc>
          <w:tcPr>
            <w:tcW w:w="253" w:type="pct"/>
            <w:vMerge w:val="restart"/>
            <w:tcBorders>
              <w:top w:val="single" w:color="auto" w:sz="4" w:space="0"/>
              <w:left w:val="single" w:color="auto" w:sz="4" w:space="0"/>
              <w:bottom w:val="single" w:color="auto" w:sz="4" w:space="0"/>
              <w:right w:val="single" w:color="auto" w:sz="4" w:space="0"/>
            </w:tcBorders>
            <w:vAlign w:val="center"/>
          </w:tcPr>
          <w:p w14:paraId="37B85F7B">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反应釜区</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3733C262">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真空上料机</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57B4F521">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85</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542CD06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w:t>
            </w:r>
          </w:p>
        </w:tc>
        <w:tc>
          <w:tcPr>
            <w:tcW w:w="327" w:type="pct"/>
            <w:vMerge w:val="restart"/>
            <w:tcBorders>
              <w:top w:val="single" w:color="auto" w:sz="4" w:space="0"/>
              <w:left w:val="single" w:color="auto" w:sz="4" w:space="0"/>
              <w:bottom w:val="single" w:color="auto" w:sz="4" w:space="0"/>
              <w:right w:val="single" w:color="auto" w:sz="4" w:space="0"/>
            </w:tcBorders>
            <w:vAlign w:val="center"/>
          </w:tcPr>
          <w:p w14:paraId="5644AC7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2399BE1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5C1DE579">
            <w:pPr>
              <w:adjustRightInd/>
              <w:snapToGrid/>
              <w:spacing w:line="240" w:lineRule="auto"/>
              <w:ind w:firstLine="0" w:firstLineChars="0"/>
              <w:jc w:val="center"/>
              <w:textAlignment w:val="auto"/>
              <w:rPr>
                <w:bCs/>
                <w:kern w:val="2"/>
                <w:sz w:val="21"/>
                <w:szCs w:val="21"/>
                <w:highlight w:val="yellow"/>
                <w:u w:val="single"/>
              </w:rPr>
            </w:pPr>
            <w:r>
              <w:rPr>
                <w:rFonts w:hint="eastAsia"/>
                <w:bCs/>
                <w:kern w:val="2"/>
                <w:sz w:val="21"/>
                <w:szCs w:val="21"/>
                <w:u w:val="single"/>
              </w:rPr>
              <w:t>65</w:t>
            </w:r>
          </w:p>
        </w:tc>
        <w:tc>
          <w:tcPr>
            <w:tcW w:w="281" w:type="pct"/>
            <w:vMerge w:val="restart"/>
            <w:tcBorders>
              <w:top w:val="single" w:color="auto" w:sz="4" w:space="0"/>
              <w:left w:val="single" w:color="auto" w:sz="4" w:space="0"/>
              <w:bottom w:val="single" w:color="auto" w:sz="4" w:space="0"/>
              <w:right w:val="single" w:color="auto" w:sz="4" w:space="0"/>
            </w:tcBorders>
            <w:vAlign w:val="center"/>
          </w:tcPr>
          <w:p w14:paraId="01F9357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26</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5085D0C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-9</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38A7505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05C2EA1D">
            <w:pPr>
              <w:adjustRightInd/>
              <w:snapToGrid/>
              <w:spacing w:line="240" w:lineRule="auto"/>
              <w:ind w:firstLine="0" w:firstLineChars="0"/>
              <w:jc w:val="center"/>
              <w:textAlignment w:val="auto"/>
              <w:rPr>
                <w:bCs/>
                <w:kern w:val="2"/>
                <w:sz w:val="21"/>
                <w:szCs w:val="21"/>
                <w:u w:val="single"/>
              </w:rPr>
            </w:pPr>
            <w:r>
              <w:rPr>
                <w:bCs/>
                <w:kern w:val="2"/>
                <w:sz w:val="21"/>
                <w:szCs w:val="21"/>
                <w:u w:val="single"/>
              </w:rPr>
              <w:t>东</w:t>
            </w:r>
            <w:r>
              <w:rPr>
                <w:rFonts w:hint="eastAsia"/>
                <w:bCs/>
                <w:kern w:val="2"/>
                <w:sz w:val="21"/>
                <w:szCs w:val="21"/>
                <w:u w:val="single"/>
              </w:rPr>
              <w:t>24</w:t>
            </w:r>
          </w:p>
        </w:tc>
        <w:tc>
          <w:tcPr>
            <w:tcW w:w="374" w:type="pct"/>
            <w:tcBorders>
              <w:top w:val="single" w:color="auto" w:sz="4" w:space="0"/>
              <w:left w:val="single" w:color="auto" w:sz="4" w:space="0"/>
              <w:bottom w:val="single" w:color="auto" w:sz="4" w:space="0"/>
              <w:right w:val="single" w:color="auto" w:sz="4" w:space="0"/>
            </w:tcBorders>
            <w:vAlign w:val="center"/>
          </w:tcPr>
          <w:p w14:paraId="219C045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37.4</w:t>
            </w:r>
          </w:p>
        </w:tc>
        <w:tc>
          <w:tcPr>
            <w:tcW w:w="308" w:type="pct"/>
            <w:vMerge w:val="restart"/>
            <w:tcBorders>
              <w:top w:val="single" w:color="auto" w:sz="4" w:space="0"/>
              <w:left w:val="single" w:color="auto" w:sz="4" w:space="0"/>
              <w:bottom w:val="single" w:color="auto" w:sz="4" w:space="0"/>
              <w:right w:val="single" w:color="auto" w:sz="4" w:space="0"/>
            </w:tcBorders>
            <w:vAlign w:val="center"/>
          </w:tcPr>
          <w:p w14:paraId="795F8B71">
            <w:pPr>
              <w:adjustRightInd/>
              <w:snapToGrid/>
              <w:spacing w:line="240" w:lineRule="auto"/>
              <w:ind w:firstLine="0" w:firstLineChars="0"/>
              <w:contextualSpacing/>
              <w:jc w:val="center"/>
              <w:textAlignment w:val="auto"/>
              <w:rPr>
                <w:bCs/>
                <w:kern w:val="2"/>
                <w:sz w:val="21"/>
                <w:szCs w:val="21"/>
                <w:u w:val="single"/>
              </w:rPr>
            </w:pPr>
            <w:r>
              <w:rPr>
                <w:bCs/>
                <w:kern w:val="2"/>
                <w:sz w:val="21"/>
                <w:szCs w:val="21"/>
                <w:u w:val="single"/>
              </w:rPr>
              <w:t>昼夜全时段</w:t>
            </w:r>
          </w:p>
        </w:tc>
        <w:tc>
          <w:tcPr>
            <w:tcW w:w="302" w:type="pct"/>
            <w:vMerge w:val="restart"/>
            <w:tcBorders>
              <w:top w:val="single" w:color="auto" w:sz="4" w:space="0"/>
              <w:left w:val="single" w:color="auto" w:sz="4" w:space="0"/>
              <w:bottom w:val="single" w:color="auto" w:sz="4" w:space="0"/>
              <w:right w:val="single" w:color="auto" w:sz="4" w:space="0"/>
            </w:tcBorders>
            <w:vAlign w:val="center"/>
          </w:tcPr>
          <w:p w14:paraId="61756855">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70306F80">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31.4</w:t>
            </w:r>
          </w:p>
        </w:tc>
        <w:tc>
          <w:tcPr>
            <w:tcW w:w="267" w:type="pct"/>
            <w:tcBorders>
              <w:top w:val="single" w:color="auto" w:sz="4" w:space="0"/>
              <w:left w:val="single" w:color="auto" w:sz="4" w:space="0"/>
              <w:bottom w:val="single" w:color="auto" w:sz="4" w:space="0"/>
            </w:tcBorders>
            <w:vAlign w:val="center"/>
          </w:tcPr>
          <w:p w14:paraId="0D326D8D">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943D37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6592C25A">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4A36F15A">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38D5F0CC">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0283998E">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right w:val="single" w:color="auto" w:sz="4" w:space="0"/>
            </w:tcBorders>
            <w:vAlign w:val="center"/>
          </w:tcPr>
          <w:p w14:paraId="0DA68F17">
            <w:pPr>
              <w:adjustRightInd/>
              <w:snapToGrid/>
              <w:spacing w:line="240" w:lineRule="auto"/>
              <w:ind w:firstLine="0" w:firstLineChars="0"/>
              <w:jc w:val="center"/>
              <w:textAlignment w:val="auto"/>
              <w:rPr>
                <w:bCs/>
                <w:kern w:val="2"/>
                <w:sz w:val="21"/>
                <w:szCs w:val="21"/>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49CC292B">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38542FDD">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10BCF194">
            <w:pPr>
              <w:adjustRightInd/>
              <w:snapToGrid/>
              <w:spacing w:line="240" w:lineRule="auto"/>
              <w:ind w:firstLine="0" w:firstLineChars="0"/>
              <w:jc w:val="center"/>
              <w:textAlignment w:val="auto"/>
              <w:rPr>
                <w:bCs/>
                <w:kern w:val="2"/>
                <w:sz w:val="21"/>
                <w:szCs w:val="21"/>
                <w:highlight w:val="yellow"/>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3B8C686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48DDC49">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21489E16">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9E562FE">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西</w:t>
            </w:r>
            <w:r>
              <w:rPr>
                <w:rFonts w:hint="eastAsia"/>
                <w:bCs/>
                <w:kern w:val="2"/>
                <w:sz w:val="21"/>
                <w:szCs w:val="21"/>
                <w:u w:val="single"/>
              </w:rPr>
              <w:t>26</w:t>
            </w:r>
          </w:p>
        </w:tc>
        <w:tc>
          <w:tcPr>
            <w:tcW w:w="374" w:type="pct"/>
            <w:tcBorders>
              <w:top w:val="single" w:color="auto" w:sz="4" w:space="0"/>
              <w:left w:val="single" w:color="auto" w:sz="4" w:space="0"/>
              <w:bottom w:val="single" w:color="auto" w:sz="4" w:space="0"/>
              <w:right w:val="single" w:color="auto" w:sz="4" w:space="0"/>
            </w:tcBorders>
            <w:vAlign w:val="center"/>
          </w:tcPr>
          <w:p w14:paraId="7013A28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36.7</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3C4F29C7">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44028033">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EFCF441">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30.7</w:t>
            </w:r>
          </w:p>
        </w:tc>
        <w:tc>
          <w:tcPr>
            <w:tcW w:w="267" w:type="pct"/>
            <w:tcBorders>
              <w:top w:val="single" w:color="auto" w:sz="4" w:space="0"/>
              <w:left w:val="single" w:color="auto" w:sz="4" w:space="0"/>
              <w:bottom w:val="single" w:color="auto" w:sz="4" w:space="0"/>
            </w:tcBorders>
            <w:vAlign w:val="center"/>
          </w:tcPr>
          <w:p w14:paraId="39331F48">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FEAB4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3A135810">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132638B4">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3C5A1188">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665F5476">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right w:val="single" w:color="auto" w:sz="4" w:space="0"/>
            </w:tcBorders>
            <w:vAlign w:val="center"/>
          </w:tcPr>
          <w:p w14:paraId="72382CB3">
            <w:pPr>
              <w:adjustRightInd/>
              <w:snapToGrid/>
              <w:spacing w:line="240" w:lineRule="auto"/>
              <w:ind w:firstLine="0" w:firstLineChars="0"/>
              <w:jc w:val="center"/>
              <w:textAlignment w:val="auto"/>
              <w:rPr>
                <w:bCs/>
                <w:kern w:val="2"/>
                <w:sz w:val="21"/>
                <w:szCs w:val="21"/>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7017B633">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58B5C760">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50AE89A9">
            <w:pPr>
              <w:adjustRightInd/>
              <w:snapToGrid/>
              <w:spacing w:line="240" w:lineRule="auto"/>
              <w:ind w:firstLine="0" w:firstLineChars="0"/>
              <w:jc w:val="center"/>
              <w:textAlignment w:val="auto"/>
              <w:rPr>
                <w:bCs/>
                <w:kern w:val="2"/>
                <w:sz w:val="21"/>
                <w:szCs w:val="21"/>
                <w:highlight w:val="yellow"/>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52E405C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0BEF7B8">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0931FF73">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5E219BB1">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南</w:t>
            </w:r>
            <w:r>
              <w:rPr>
                <w:rFonts w:hint="eastAsia"/>
                <w:bCs/>
                <w:kern w:val="2"/>
                <w:sz w:val="21"/>
                <w:szCs w:val="21"/>
                <w:u w:val="single"/>
              </w:rPr>
              <w:t>39</w:t>
            </w:r>
          </w:p>
        </w:tc>
        <w:tc>
          <w:tcPr>
            <w:tcW w:w="374" w:type="pct"/>
            <w:tcBorders>
              <w:top w:val="single" w:color="auto" w:sz="4" w:space="0"/>
              <w:left w:val="single" w:color="auto" w:sz="4" w:space="0"/>
              <w:bottom w:val="single" w:color="auto" w:sz="4" w:space="0"/>
              <w:right w:val="single" w:color="auto" w:sz="4" w:space="0"/>
            </w:tcBorders>
            <w:vAlign w:val="center"/>
          </w:tcPr>
          <w:p w14:paraId="4A5EC8F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33.2</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31517D22">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1E3A586C">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3F5EDD42">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27.2</w:t>
            </w:r>
          </w:p>
        </w:tc>
        <w:tc>
          <w:tcPr>
            <w:tcW w:w="267" w:type="pct"/>
            <w:tcBorders>
              <w:top w:val="single" w:color="auto" w:sz="4" w:space="0"/>
              <w:left w:val="single" w:color="auto" w:sz="4" w:space="0"/>
              <w:bottom w:val="single" w:color="auto" w:sz="4" w:space="0"/>
            </w:tcBorders>
            <w:vAlign w:val="center"/>
          </w:tcPr>
          <w:p w14:paraId="355B0565">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2A6B82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6A0A580C">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29E0B1FB">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2C18BA0F">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4BA69D0D">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bottom w:val="single" w:color="auto" w:sz="4" w:space="0"/>
              <w:right w:val="single" w:color="auto" w:sz="4" w:space="0"/>
            </w:tcBorders>
            <w:vAlign w:val="center"/>
          </w:tcPr>
          <w:p w14:paraId="51E3E020">
            <w:pPr>
              <w:adjustRightInd/>
              <w:snapToGrid/>
              <w:spacing w:line="240" w:lineRule="auto"/>
              <w:ind w:firstLine="0" w:firstLineChars="0"/>
              <w:jc w:val="center"/>
              <w:textAlignment w:val="auto"/>
              <w:rPr>
                <w:bCs/>
                <w:kern w:val="2"/>
                <w:sz w:val="21"/>
                <w:szCs w:val="21"/>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2E1A14C0">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399ADD8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05311402">
            <w:pPr>
              <w:adjustRightInd/>
              <w:snapToGrid/>
              <w:spacing w:line="240" w:lineRule="auto"/>
              <w:ind w:firstLine="0" w:firstLineChars="0"/>
              <w:jc w:val="center"/>
              <w:textAlignment w:val="auto"/>
              <w:rPr>
                <w:bCs/>
                <w:kern w:val="2"/>
                <w:sz w:val="21"/>
                <w:szCs w:val="21"/>
                <w:highlight w:val="yellow"/>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46D9384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6514521">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46D5B916">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02A6061">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北</w:t>
            </w:r>
            <w:r>
              <w:rPr>
                <w:rFonts w:hint="eastAsia"/>
                <w:bCs/>
                <w:kern w:val="2"/>
                <w:sz w:val="21"/>
                <w:szCs w:val="21"/>
                <w:u w:val="single"/>
              </w:rPr>
              <w:t>9</w:t>
            </w:r>
          </w:p>
        </w:tc>
        <w:tc>
          <w:tcPr>
            <w:tcW w:w="374" w:type="pct"/>
            <w:tcBorders>
              <w:top w:val="single" w:color="auto" w:sz="4" w:space="0"/>
              <w:left w:val="single" w:color="auto" w:sz="4" w:space="0"/>
              <w:bottom w:val="single" w:color="auto" w:sz="4" w:space="0"/>
              <w:right w:val="single" w:color="auto" w:sz="4" w:space="0"/>
            </w:tcBorders>
            <w:vAlign w:val="center"/>
          </w:tcPr>
          <w:p w14:paraId="44C0257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45.9</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1A6ABB06">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0B9598C5">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05126AE7">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39.9</w:t>
            </w:r>
          </w:p>
        </w:tc>
        <w:tc>
          <w:tcPr>
            <w:tcW w:w="267" w:type="pct"/>
            <w:tcBorders>
              <w:top w:val="single" w:color="auto" w:sz="4" w:space="0"/>
              <w:left w:val="single" w:color="auto" w:sz="4" w:space="0"/>
              <w:bottom w:val="single" w:color="auto" w:sz="4" w:space="0"/>
            </w:tcBorders>
            <w:vAlign w:val="center"/>
          </w:tcPr>
          <w:p w14:paraId="2E9BCF46">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0D3CA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top w:val="single" w:color="auto" w:sz="4" w:space="0"/>
              <w:bottom w:val="single" w:color="auto" w:sz="4" w:space="0"/>
              <w:right w:val="single" w:color="auto" w:sz="4" w:space="0"/>
            </w:tcBorders>
            <w:vAlign w:val="center"/>
          </w:tcPr>
          <w:p w14:paraId="7979582F">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2</w:t>
            </w:r>
          </w:p>
        </w:tc>
        <w:tc>
          <w:tcPr>
            <w:tcW w:w="253" w:type="pct"/>
            <w:vMerge w:val="restart"/>
            <w:tcBorders>
              <w:top w:val="single" w:color="auto" w:sz="4" w:space="0"/>
              <w:left w:val="single" w:color="auto" w:sz="4" w:space="0"/>
              <w:right w:val="single" w:color="auto" w:sz="4" w:space="0"/>
            </w:tcBorders>
            <w:vAlign w:val="center"/>
          </w:tcPr>
          <w:p w14:paraId="3F39096C">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离心区</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0A2B41F0">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离心机</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388D5587">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80</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2116DE8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w:t>
            </w:r>
          </w:p>
        </w:tc>
        <w:tc>
          <w:tcPr>
            <w:tcW w:w="327" w:type="pct"/>
            <w:vMerge w:val="restart"/>
            <w:tcBorders>
              <w:top w:val="single" w:color="auto" w:sz="4" w:space="0"/>
              <w:left w:val="single" w:color="auto" w:sz="4" w:space="0"/>
              <w:bottom w:val="single" w:color="auto" w:sz="4" w:space="0"/>
              <w:right w:val="single" w:color="auto" w:sz="4" w:space="0"/>
            </w:tcBorders>
            <w:vAlign w:val="center"/>
          </w:tcPr>
          <w:p w14:paraId="0562D921">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3C30676F">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60</w:t>
            </w:r>
          </w:p>
        </w:tc>
        <w:tc>
          <w:tcPr>
            <w:tcW w:w="374" w:type="pct"/>
            <w:vMerge w:val="restart"/>
            <w:tcBorders>
              <w:top w:val="single" w:color="auto" w:sz="4" w:space="0"/>
              <w:left w:val="single" w:color="auto" w:sz="4" w:space="0"/>
              <w:right w:val="single" w:color="auto" w:sz="4" w:space="0"/>
            </w:tcBorders>
            <w:vAlign w:val="center"/>
          </w:tcPr>
          <w:p w14:paraId="27FCD9C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60</w:t>
            </w:r>
          </w:p>
        </w:tc>
        <w:tc>
          <w:tcPr>
            <w:tcW w:w="281" w:type="pct"/>
            <w:vMerge w:val="restart"/>
            <w:tcBorders>
              <w:top w:val="single" w:color="auto" w:sz="4" w:space="0"/>
              <w:left w:val="single" w:color="auto" w:sz="4" w:space="0"/>
              <w:bottom w:val="single" w:color="auto" w:sz="4" w:space="0"/>
              <w:right w:val="single" w:color="auto" w:sz="4" w:space="0"/>
            </w:tcBorders>
            <w:vAlign w:val="center"/>
          </w:tcPr>
          <w:p w14:paraId="2A3A7F1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16</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212A046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-25</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63F87B2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4E9856F0">
            <w:pPr>
              <w:adjustRightInd/>
              <w:snapToGrid/>
              <w:spacing w:line="240" w:lineRule="auto"/>
              <w:ind w:firstLine="0" w:firstLineChars="0"/>
              <w:jc w:val="center"/>
              <w:textAlignment w:val="auto"/>
              <w:rPr>
                <w:bCs/>
                <w:kern w:val="2"/>
                <w:sz w:val="21"/>
                <w:szCs w:val="21"/>
                <w:u w:val="single"/>
              </w:rPr>
            </w:pPr>
            <w:r>
              <w:rPr>
                <w:bCs/>
                <w:kern w:val="2"/>
                <w:sz w:val="21"/>
                <w:szCs w:val="21"/>
                <w:u w:val="single"/>
              </w:rPr>
              <w:t>东</w:t>
            </w:r>
            <w:r>
              <w:rPr>
                <w:rFonts w:hint="eastAsia"/>
                <w:bCs/>
                <w:kern w:val="2"/>
                <w:sz w:val="21"/>
                <w:szCs w:val="21"/>
                <w:u w:val="single"/>
              </w:rPr>
              <w:t>34</w:t>
            </w:r>
          </w:p>
        </w:tc>
        <w:tc>
          <w:tcPr>
            <w:tcW w:w="374" w:type="pct"/>
            <w:tcBorders>
              <w:top w:val="single" w:color="auto" w:sz="4" w:space="0"/>
              <w:left w:val="single" w:color="auto" w:sz="4" w:space="0"/>
              <w:bottom w:val="single" w:color="auto" w:sz="4" w:space="0"/>
              <w:right w:val="single" w:color="auto" w:sz="4" w:space="0"/>
            </w:tcBorders>
            <w:vAlign w:val="center"/>
          </w:tcPr>
          <w:p w14:paraId="454C06A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29.4</w:t>
            </w:r>
          </w:p>
        </w:tc>
        <w:tc>
          <w:tcPr>
            <w:tcW w:w="308" w:type="pct"/>
            <w:vMerge w:val="restart"/>
            <w:tcBorders>
              <w:top w:val="single" w:color="auto" w:sz="4" w:space="0"/>
              <w:left w:val="single" w:color="auto" w:sz="4" w:space="0"/>
              <w:bottom w:val="single" w:color="auto" w:sz="4" w:space="0"/>
              <w:right w:val="single" w:color="auto" w:sz="4" w:space="0"/>
            </w:tcBorders>
            <w:vAlign w:val="center"/>
          </w:tcPr>
          <w:p w14:paraId="10A75FB4">
            <w:pPr>
              <w:adjustRightInd/>
              <w:snapToGrid/>
              <w:spacing w:line="240" w:lineRule="auto"/>
              <w:ind w:firstLine="0" w:firstLineChars="0"/>
              <w:contextualSpacing/>
              <w:jc w:val="center"/>
              <w:textAlignment w:val="auto"/>
              <w:rPr>
                <w:bCs/>
                <w:kern w:val="2"/>
                <w:sz w:val="21"/>
                <w:szCs w:val="21"/>
                <w:u w:val="single"/>
              </w:rPr>
            </w:pPr>
            <w:r>
              <w:rPr>
                <w:bCs/>
                <w:kern w:val="2"/>
                <w:sz w:val="21"/>
                <w:szCs w:val="21"/>
                <w:u w:val="single"/>
              </w:rPr>
              <w:t>昼夜全时段</w:t>
            </w:r>
          </w:p>
        </w:tc>
        <w:tc>
          <w:tcPr>
            <w:tcW w:w="302" w:type="pct"/>
            <w:vMerge w:val="restart"/>
            <w:tcBorders>
              <w:top w:val="single" w:color="auto" w:sz="4" w:space="0"/>
              <w:left w:val="single" w:color="auto" w:sz="4" w:space="0"/>
              <w:bottom w:val="single" w:color="auto" w:sz="4" w:space="0"/>
              <w:right w:val="single" w:color="auto" w:sz="4" w:space="0"/>
            </w:tcBorders>
            <w:vAlign w:val="center"/>
          </w:tcPr>
          <w:p w14:paraId="000F309F">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61C8E806">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23.4</w:t>
            </w:r>
          </w:p>
        </w:tc>
        <w:tc>
          <w:tcPr>
            <w:tcW w:w="267" w:type="pct"/>
            <w:tcBorders>
              <w:top w:val="single" w:color="auto" w:sz="4" w:space="0"/>
              <w:left w:val="single" w:color="auto" w:sz="4" w:space="0"/>
              <w:bottom w:val="single" w:color="auto" w:sz="4" w:space="0"/>
            </w:tcBorders>
            <w:vAlign w:val="center"/>
          </w:tcPr>
          <w:p w14:paraId="737A2B15">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C5C78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48104718">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338432B2">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71999B5F">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2CEA7B02">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3A7DB9FE">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04551CF2">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504410F5">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5E4B64D0">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0D67694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533EFAAC">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32237A91">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621DD9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西</w:t>
            </w:r>
            <w:r>
              <w:rPr>
                <w:rFonts w:hint="eastAsia"/>
                <w:bCs/>
                <w:kern w:val="2"/>
                <w:sz w:val="21"/>
                <w:szCs w:val="21"/>
                <w:u w:val="single"/>
              </w:rPr>
              <w:t>16</w:t>
            </w:r>
          </w:p>
        </w:tc>
        <w:tc>
          <w:tcPr>
            <w:tcW w:w="374" w:type="pct"/>
            <w:tcBorders>
              <w:top w:val="single" w:color="auto" w:sz="4" w:space="0"/>
              <w:left w:val="single" w:color="auto" w:sz="4" w:space="0"/>
              <w:bottom w:val="single" w:color="auto" w:sz="4" w:space="0"/>
              <w:right w:val="single" w:color="auto" w:sz="4" w:space="0"/>
            </w:tcBorders>
            <w:vAlign w:val="center"/>
          </w:tcPr>
          <w:p w14:paraId="2C3F170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35.9</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0B62C587">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6740940C">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337C7F8E">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29.9</w:t>
            </w:r>
          </w:p>
        </w:tc>
        <w:tc>
          <w:tcPr>
            <w:tcW w:w="267" w:type="pct"/>
            <w:tcBorders>
              <w:top w:val="single" w:color="auto" w:sz="4" w:space="0"/>
              <w:left w:val="single" w:color="auto" w:sz="4" w:space="0"/>
              <w:bottom w:val="single" w:color="auto" w:sz="4" w:space="0"/>
            </w:tcBorders>
            <w:vAlign w:val="center"/>
          </w:tcPr>
          <w:p w14:paraId="4A363357">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6978C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22917063">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40914B80">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210A368F">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1FDBC340">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4CDE23AC">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010B6AE2">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2E101B12">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3AEB5982">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71D598A4">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2A4DCDF4">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05E2E595">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6C8E33B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南</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26638C6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27.3</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540D8AC1">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2690F152">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1869D26">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21.3</w:t>
            </w:r>
          </w:p>
        </w:tc>
        <w:tc>
          <w:tcPr>
            <w:tcW w:w="267" w:type="pct"/>
            <w:tcBorders>
              <w:top w:val="single" w:color="auto" w:sz="4" w:space="0"/>
              <w:left w:val="single" w:color="auto" w:sz="4" w:space="0"/>
              <w:bottom w:val="single" w:color="auto" w:sz="4" w:space="0"/>
            </w:tcBorders>
            <w:vAlign w:val="center"/>
          </w:tcPr>
          <w:p w14:paraId="444783C9">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0297F1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7EFE0206">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bottom w:val="single" w:color="auto" w:sz="4" w:space="0"/>
              <w:right w:val="single" w:color="auto" w:sz="4" w:space="0"/>
            </w:tcBorders>
            <w:vAlign w:val="center"/>
          </w:tcPr>
          <w:p w14:paraId="71A08D33">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3755C275">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7011CFC1">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765C035D">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42FA087C">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0D246713">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4892F834">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4948B47D">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0540F1D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278A4ABA">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F618CF2">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北</w:t>
            </w:r>
            <w:r>
              <w:rPr>
                <w:rFonts w:hint="eastAsia"/>
                <w:bCs/>
                <w:kern w:val="2"/>
                <w:sz w:val="21"/>
                <w:szCs w:val="21"/>
                <w:u w:val="single"/>
              </w:rPr>
              <w:t>25</w:t>
            </w:r>
          </w:p>
        </w:tc>
        <w:tc>
          <w:tcPr>
            <w:tcW w:w="374" w:type="pct"/>
            <w:tcBorders>
              <w:top w:val="single" w:color="auto" w:sz="4" w:space="0"/>
              <w:left w:val="single" w:color="auto" w:sz="4" w:space="0"/>
              <w:bottom w:val="single" w:color="auto" w:sz="4" w:space="0"/>
              <w:right w:val="single" w:color="auto" w:sz="4" w:space="0"/>
            </w:tcBorders>
            <w:vAlign w:val="center"/>
          </w:tcPr>
          <w:p w14:paraId="5C6915C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4675427E">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1B84B564">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4D2F7A18">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w:t>
            </w:r>
          </w:p>
        </w:tc>
        <w:tc>
          <w:tcPr>
            <w:tcW w:w="267" w:type="pct"/>
            <w:tcBorders>
              <w:top w:val="single" w:color="auto" w:sz="4" w:space="0"/>
              <w:left w:val="single" w:color="auto" w:sz="4" w:space="0"/>
              <w:bottom w:val="single" w:color="auto" w:sz="4" w:space="0"/>
            </w:tcBorders>
            <w:vAlign w:val="center"/>
          </w:tcPr>
          <w:p w14:paraId="316BD079">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B8C52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top w:val="single" w:color="auto" w:sz="4" w:space="0"/>
              <w:bottom w:val="single" w:color="auto" w:sz="4" w:space="0"/>
              <w:right w:val="single" w:color="auto" w:sz="4" w:space="0"/>
            </w:tcBorders>
            <w:vAlign w:val="center"/>
          </w:tcPr>
          <w:p w14:paraId="22FC38C5">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3</w:t>
            </w:r>
          </w:p>
        </w:tc>
        <w:tc>
          <w:tcPr>
            <w:tcW w:w="253" w:type="pct"/>
            <w:vMerge w:val="restart"/>
            <w:tcBorders>
              <w:top w:val="single" w:color="auto" w:sz="4" w:space="0"/>
              <w:left w:val="single" w:color="auto" w:sz="4" w:space="0"/>
              <w:right w:val="single" w:color="auto" w:sz="4" w:space="0"/>
            </w:tcBorders>
            <w:vAlign w:val="center"/>
          </w:tcPr>
          <w:p w14:paraId="411A9AA2">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灌装区</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34AB141E">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自动灌装机</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222F7F84">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133BC2C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w:t>
            </w:r>
          </w:p>
        </w:tc>
        <w:tc>
          <w:tcPr>
            <w:tcW w:w="327" w:type="pct"/>
            <w:vMerge w:val="restart"/>
            <w:tcBorders>
              <w:top w:val="single" w:color="auto" w:sz="4" w:space="0"/>
              <w:left w:val="single" w:color="auto" w:sz="4" w:space="0"/>
              <w:bottom w:val="single" w:color="auto" w:sz="4" w:space="0"/>
              <w:right w:val="single" w:color="auto" w:sz="4" w:space="0"/>
            </w:tcBorders>
            <w:vAlign w:val="center"/>
          </w:tcPr>
          <w:p w14:paraId="76ABD4E8">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3913C43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465B363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281" w:type="pct"/>
            <w:vMerge w:val="restart"/>
            <w:tcBorders>
              <w:top w:val="single" w:color="auto" w:sz="4" w:space="0"/>
              <w:left w:val="single" w:color="auto" w:sz="4" w:space="0"/>
              <w:bottom w:val="single" w:color="auto" w:sz="4" w:space="0"/>
              <w:right w:val="single" w:color="auto" w:sz="4" w:space="0"/>
            </w:tcBorders>
            <w:vAlign w:val="center"/>
          </w:tcPr>
          <w:p w14:paraId="343CAE3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46</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16F3FE4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-14</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296D8C4F">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6AAC68DF">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4</w:t>
            </w:r>
          </w:p>
        </w:tc>
        <w:tc>
          <w:tcPr>
            <w:tcW w:w="374" w:type="pct"/>
            <w:tcBorders>
              <w:top w:val="single" w:color="auto" w:sz="4" w:space="0"/>
              <w:left w:val="single" w:color="auto" w:sz="4" w:space="0"/>
              <w:bottom w:val="single" w:color="auto" w:sz="4" w:space="0"/>
              <w:right w:val="single" w:color="auto" w:sz="4" w:space="0"/>
            </w:tcBorders>
            <w:vAlign w:val="center"/>
          </w:tcPr>
          <w:p w14:paraId="7340195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53</w:t>
            </w:r>
          </w:p>
        </w:tc>
        <w:tc>
          <w:tcPr>
            <w:tcW w:w="308" w:type="pct"/>
            <w:vMerge w:val="restart"/>
            <w:tcBorders>
              <w:top w:val="single" w:color="auto" w:sz="4" w:space="0"/>
              <w:left w:val="single" w:color="auto" w:sz="4" w:space="0"/>
              <w:bottom w:val="single" w:color="auto" w:sz="4" w:space="0"/>
              <w:right w:val="single" w:color="auto" w:sz="4" w:space="0"/>
            </w:tcBorders>
            <w:vAlign w:val="center"/>
          </w:tcPr>
          <w:p w14:paraId="7D19E344">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bottom w:val="single" w:color="auto" w:sz="4" w:space="0"/>
              <w:right w:val="single" w:color="auto" w:sz="4" w:space="0"/>
            </w:tcBorders>
            <w:vAlign w:val="center"/>
          </w:tcPr>
          <w:p w14:paraId="6530A9DA">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16F0FDAB">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47</w:t>
            </w:r>
          </w:p>
        </w:tc>
        <w:tc>
          <w:tcPr>
            <w:tcW w:w="267" w:type="pct"/>
            <w:tcBorders>
              <w:top w:val="single" w:color="auto" w:sz="4" w:space="0"/>
              <w:left w:val="single" w:color="auto" w:sz="4" w:space="0"/>
              <w:bottom w:val="single" w:color="auto" w:sz="4" w:space="0"/>
            </w:tcBorders>
            <w:vAlign w:val="center"/>
          </w:tcPr>
          <w:p w14:paraId="36404B0F">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6AAA5A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313DEAE7">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2F6969B9">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7A09B4D2">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616ADB97">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5B772112">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043C9AFD">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2412A185">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79CB3B56">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04B0522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7B4C31AD">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351AAAB1">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5B13110E">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46</w:t>
            </w:r>
          </w:p>
        </w:tc>
        <w:tc>
          <w:tcPr>
            <w:tcW w:w="374" w:type="pct"/>
            <w:tcBorders>
              <w:top w:val="single" w:color="auto" w:sz="4" w:space="0"/>
              <w:left w:val="single" w:color="auto" w:sz="4" w:space="0"/>
              <w:bottom w:val="single" w:color="auto" w:sz="4" w:space="0"/>
              <w:right w:val="single" w:color="auto" w:sz="4" w:space="0"/>
            </w:tcBorders>
            <w:vAlign w:val="center"/>
          </w:tcPr>
          <w:p w14:paraId="05822E3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30.4</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6E34A011">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73ED9812">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CEFD9F4">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24.4</w:t>
            </w:r>
          </w:p>
        </w:tc>
        <w:tc>
          <w:tcPr>
            <w:tcW w:w="267" w:type="pct"/>
            <w:tcBorders>
              <w:top w:val="single" w:color="auto" w:sz="4" w:space="0"/>
              <w:left w:val="single" w:color="auto" w:sz="4" w:space="0"/>
              <w:bottom w:val="single" w:color="auto" w:sz="4" w:space="0"/>
            </w:tcBorders>
            <w:vAlign w:val="center"/>
          </w:tcPr>
          <w:p w14:paraId="188969BE">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96AFD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245E5DA8">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533BAD41">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33726B6F">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47904C7A">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05D2C548">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01E71049">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18686BAE">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78F7BDAA">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5334103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0F5F6973">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5A5D153A">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4004319B">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34</w:t>
            </w:r>
          </w:p>
        </w:tc>
        <w:tc>
          <w:tcPr>
            <w:tcW w:w="374" w:type="pct"/>
            <w:tcBorders>
              <w:top w:val="single" w:color="auto" w:sz="4" w:space="0"/>
              <w:left w:val="single" w:color="auto" w:sz="4" w:space="0"/>
              <w:bottom w:val="single" w:color="auto" w:sz="4" w:space="0"/>
              <w:right w:val="single" w:color="auto" w:sz="4" w:space="0"/>
            </w:tcBorders>
            <w:vAlign w:val="center"/>
          </w:tcPr>
          <w:p w14:paraId="7BEFD17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34.4</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3A447B82">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7042EEA2">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52C9B6D6">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34.4</w:t>
            </w:r>
          </w:p>
        </w:tc>
        <w:tc>
          <w:tcPr>
            <w:tcW w:w="267" w:type="pct"/>
            <w:tcBorders>
              <w:top w:val="single" w:color="auto" w:sz="4" w:space="0"/>
              <w:left w:val="single" w:color="auto" w:sz="4" w:space="0"/>
              <w:bottom w:val="single" w:color="auto" w:sz="4" w:space="0"/>
            </w:tcBorders>
            <w:vAlign w:val="center"/>
          </w:tcPr>
          <w:p w14:paraId="1F77FE7E">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2C4E2F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789CDC0A">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bottom w:val="single" w:color="auto" w:sz="4" w:space="0"/>
              <w:right w:val="single" w:color="auto" w:sz="4" w:space="0"/>
            </w:tcBorders>
            <w:vAlign w:val="center"/>
          </w:tcPr>
          <w:p w14:paraId="34B27580">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3D5291BB">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23AD91CB">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54BEF0F0">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3C2DF902">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4AB6A90D">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5C804411">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3FC0330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4B72F1EE">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3B81580">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81D8168">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14</w:t>
            </w:r>
          </w:p>
        </w:tc>
        <w:tc>
          <w:tcPr>
            <w:tcW w:w="374" w:type="pct"/>
            <w:tcBorders>
              <w:top w:val="single" w:color="auto" w:sz="4" w:space="0"/>
              <w:left w:val="single" w:color="auto" w:sz="4" w:space="0"/>
              <w:bottom w:val="single" w:color="auto" w:sz="4" w:space="0"/>
              <w:right w:val="single" w:color="auto" w:sz="4" w:space="0"/>
            </w:tcBorders>
            <w:vAlign w:val="center"/>
          </w:tcPr>
          <w:p w14:paraId="3EFA253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42.1</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1D724576">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43DF863A">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12D280C">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36.1</w:t>
            </w:r>
          </w:p>
        </w:tc>
        <w:tc>
          <w:tcPr>
            <w:tcW w:w="267" w:type="pct"/>
            <w:tcBorders>
              <w:top w:val="single" w:color="auto" w:sz="4" w:space="0"/>
              <w:left w:val="single" w:color="auto" w:sz="4" w:space="0"/>
              <w:bottom w:val="single" w:color="auto" w:sz="4" w:space="0"/>
            </w:tcBorders>
            <w:vAlign w:val="center"/>
          </w:tcPr>
          <w:p w14:paraId="6C66516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67ED6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top w:val="single" w:color="auto" w:sz="4" w:space="0"/>
              <w:right w:val="single" w:color="auto" w:sz="4" w:space="0"/>
            </w:tcBorders>
            <w:vAlign w:val="center"/>
          </w:tcPr>
          <w:p w14:paraId="4E80C279">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4</w:t>
            </w:r>
          </w:p>
        </w:tc>
        <w:tc>
          <w:tcPr>
            <w:tcW w:w="253" w:type="pct"/>
            <w:vMerge w:val="restart"/>
            <w:tcBorders>
              <w:top w:val="single" w:color="auto" w:sz="4" w:space="0"/>
              <w:left w:val="single" w:color="auto" w:sz="4" w:space="0"/>
              <w:right w:val="single" w:color="auto" w:sz="4" w:space="0"/>
            </w:tcBorders>
            <w:vAlign w:val="center"/>
          </w:tcPr>
          <w:p w14:paraId="3CB183A9">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反应釜区</w:t>
            </w:r>
          </w:p>
        </w:tc>
        <w:tc>
          <w:tcPr>
            <w:tcW w:w="230" w:type="pct"/>
            <w:vMerge w:val="restart"/>
            <w:tcBorders>
              <w:top w:val="single" w:color="auto" w:sz="4" w:space="0"/>
              <w:left w:val="single" w:color="auto" w:sz="4" w:space="0"/>
              <w:right w:val="single" w:color="auto" w:sz="4" w:space="0"/>
            </w:tcBorders>
            <w:vAlign w:val="center"/>
          </w:tcPr>
          <w:p w14:paraId="0114ACDC">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sz w:val="21"/>
                <w:szCs w:val="21"/>
                <w:u w:val="single"/>
              </w:rPr>
              <w:t>进料泵</w:t>
            </w:r>
          </w:p>
        </w:tc>
        <w:tc>
          <w:tcPr>
            <w:tcW w:w="401" w:type="pct"/>
            <w:vMerge w:val="restart"/>
            <w:tcBorders>
              <w:top w:val="single" w:color="auto" w:sz="4" w:space="0"/>
              <w:left w:val="single" w:color="auto" w:sz="4" w:space="0"/>
              <w:right w:val="single" w:color="auto" w:sz="4" w:space="0"/>
            </w:tcBorders>
            <w:vAlign w:val="center"/>
          </w:tcPr>
          <w:p w14:paraId="11382BD2">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top w:val="single" w:color="auto" w:sz="4" w:space="0"/>
              <w:left w:val="single" w:color="auto" w:sz="4" w:space="0"/>
              <w:right w:val="single" w:color="auto" w:sz="4" w:space="0"/>
            </w:tcBorders>
            <w:vAlign w:val="center"/>
          </w:tcPr>
          <w:p w14:paraId="32F5DE1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w:t>
            </w:r>
          </w:p>
        </w:tc>
        <w:tc>
          <w:tcPr>
            <w:tcW w:w="327" w:type="pct"/>
            <w:vMerge w:val="restart"/>
            <w:tcBorders>
              <w:top w:val="single" w:color="auto" w:sz="4" w:space="0"/>
              <w:left w:val="single" w:color="auto" w:sz="4" w:space="0"/>
              <w:right w:val="single" w:color="auto" w:sz="4" w:space="0"/>
            </w:tcBorders>
            <w:vAlign w:val="center"/>
          </w:tcPr>
          <w:p w14:paraId="1D563D03">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106F68B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1D10A3F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72.8</w:t>
            </w:r>
          </w:p>
        </w:tc>
        <w:tc>
          <w:tcPr>
            <w:tcW w:w="281" w:type="pct"/>
            <w:vMerge w:val="restart"/>
            <w:tcBorders>
              <w:top w:val="single" w:color="auto" w:sz="4" w:space="0"/>
              <w:left w:val="single" w:color="auto" w:sz="4" w:space="0"/>
              <w:right w:val="single" w:color="auto" w:sz="4" w:space="0"/>
            </w:tcBorders>
            <w:vAlign w:val="center"/>
          </w:tcPr>
          <w:p w14:paraId="226ED90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26</w:t>
            </w:r>
          </w:p>
        </w:tc>
        <w:tc>
          <w:tcPr>
            <w:tcW w:w="280" w:type="pct"/>
            <w:vMerge w:val="restart"/>
            <w:tcBorders>
              <w:top w:val="single" w:color="auto" w:sz="4" w:space="0"/>
              <w:left w:val="single" w:color="auto" w:sz="4" w:space="0"/>
              <w:right w:val="single" w:color="auto" w:sz="4" w:space="0"/>
            </w:tcBorders>
            <w:vAlign w:val="center"/>
          </w:tcPr>
          <w:p w14:paraId="11892D7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-9</w:t>
            </w:r>
          </w:p>
        </w:tc>
        <w:tc>
          <w:tcPr>
            <w:tcW w:w="280" w:type="pct"/>
            <w:vMerge w:val="restart"/>
            <w:tcBorders>
              <w:top w:val="single" w:color="auto" w:sz="4" w:space="0"/>
              <w:left w:val="single" w:color="auto" w:sz="4" w:space="0"/>
              <w:right w:val="single" w:color="auto" w:sz="4" w:space="0"/>
            </w:tcBorders>
            <w:vAlign w:val="center"/>
          </w:tcPr>
          <w:p w14:paraId="56A1DB6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1A69C95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东</w:t>
            </w:r>
            <w:r>
              <w:rPr>
                <w:rFonts w:hint="eastAsia"/>
                <w:bCs/>
                <w:kern w:val="2"/>
                <w:sz w:val="21"/>
                <w:szCs w:val="21"/>
                <w:u w:val="single"/>
              </w:rPr>
              <w:t>24</w:t>
            </w:r>
          </w:p>
        </w:tc>
        <w:tc>
          <w:tcPr>
            <w:tcW w:w="374" w:type="pct"/>
            <w:tcBorders>
              <w:top w:val="single" w:color="auto" w:sz="4" w:space="0"/>
              <w:left w:val="single" w:color="auto" w:sz="4" w:space="0"/>
              <w:bottom w:val="single" w:color="auto" w:sz="4" w:space="0"/>
              <w:right w:val="single" w:color="auto" w:sz="4" w:space="0"/>
            </w:tcBorders>
            <w:vAlign w:val="center"/>
          </w:tcPr>
          <w:p w14:paraId="675E713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45.2</w:t>
            </w:r>
          </w:p>
        </w:tc>
        <w:tc>
          <w:tcPr>
            <w:tcW w:w="308" w:type="pct"/>
            <w:vMerge w:val="restart"/>
            <w:tcBorders>
              <w:top w:val="single" w:color="auto" w:sz="4" w:space="0"/>
              <w:left w:val="single" w:color="auto" w:sz="4" w:space="0"/>
              <w:right w:val="single" w:color="auto" w:sz="4" w:space="0"/>
            </w:tcBorders>
            <w:vAlign w:val="center"/>
          </w:tcPr>
          <w:p w14:paraId="2D292311">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right w:val="single" w:color="auto" w:sz="4" w:space="0"/>
            </w:tcBorders>
            <w:vAlign w:val="center"/>
          </w:tcPr>
          <w:p w14:paraId="1E331AD8">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299997E1">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39.2</w:t>
            </w:r>
          </w:p>
        </w:tc>
        <w:tc>
          <w:tcPr>
            <w:tcW w:w="267" w:type="pct"/>
            <w:tcBorders>
              <w:top w:val="single" w:color="auto" w:sz="4" w:space="0"/>
              <w:left w:val="single" w:color="auto" w:sz="4" w:space="0"/>
              <w:bottom w:val="single" w:color="auto" w:sz="4" w:space="0"/>
            </w:tcBorders>
            <w:vAlign w:val="center"/>
          </w:tcPr>
          <w:p w14:paraId="04644A30">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993D6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1B033544">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651F2D6B">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781E5927">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3F4F33F7">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5C895BE0">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1C9695B7">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57FA5230">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392FEAEE">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7E54911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0D4EF70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296768BD">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F29E00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西</w:t>
            </w:r>
            <w:r>
              <w:rPr>
                <w:rFonts w:hint="eastAsia"/>
                <w:bCs/>
                <w:kern w:val="2"/>
                <w:sz w:val="21"/>
                <w:szCs w:val="21"/>
                <w:u w:val="single"/>
              </w:rPr>
              <w:t>26</w:t>
            </w:r>
          </w:p>
        </w:tc>
        <w:tc>
          <w:tcPr>
            <w:tcW w:w="374" w:type="pct"/>
            <w:tcBorders>
              <w:top w:val="single" w:color="auto" w:sz="4" w:space="0"/>
              <w:left w:val="single" w:color="auto" w:sz="4" w:space="0"/>
              <w:bottom w:val="single" w:color="auto" w:sz="4" w:space="0"/>
              <w:right w:val="single" w:color="auto" w:sz="4" w:space="0"/>
            </w:tcBorders>
            <w:vAlign w:val="center"/>
          </w:tcPr>
          <w:p w14:paraId="0484E77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44.5</w:t>
            </w:r>
          </w:p>
        </w:tc>
        <w:tc>
          <w:tcPr>
            <w:tcW w:w="308" w:type="pct"/>
            <w:vMerge w:val="continue"/>
            <w:tcBorders>
              <w:left w:val="single" w:color="auto" w:sz="4" w:space="0"/>
              <w:right w:val="single" w:color="auto" w:sz="4" w:space="0"/>
            </w:tcBorders>
            <w:vAlign w:val="center"/>
          </w:tcPr>
          <w:p w14:paraId="79B1194B">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1A245A9E">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FB52959">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38.5</w:t>
            </w:r>
          </w:p>
        </w:tc>
        <w:tc>
          <w:tcPr>
            <w:tcW w:w="267" w:type="pct"/>
            <w:tcBorders>
              <w:top w:val="single" w:color="auto" w:sz="4" w:space="0"/>
              <w:left w:val="single" w:color="auto" w:sz="4" w:space="0"/>
              <w:bottom w:val="single" w:color="auto" w:sz="4" w:space="0"/>
            </w:tcBorders>
            <w:vAlign w:val="center"/>
          </w:tcPr>
          <w:p w14:paraId="6400463F">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2C9948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3789568C">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2ACA0E34">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248FB676">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385790FA">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1261A4EF">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47011DB2">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10DD0A56">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0AE24276">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251C6BB5">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4E5CB321">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5550D18D">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88402E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南</w:t>
            </w:r>
            <w:r>
              <w:rPr>
                <w:rFonts w:hint="eastAsia"/>
                <w:bCs/>
                <w:kern w:val="2"/>
                <w:sz w:val="21"/>
                <w:szCs w:val="21"/>
                <w:u w:val="single"/>
              </w:rPr>
              <w:t>59</w:t>
            </w:r>
          </w:p>
        </w:tc>
        <w:tc>
          <w:tcPr>
            <w:tcW w:w="374" w:type="pct"/>
            <w:tcBorders>
              <w:top w:val="single" w:color="auto" w:sz="4" w:space="0"/>
              <w:left w:val="single" w:color="auto" w:sz="4" w:space="0"/>
              <w:bottom w:val="single" w:color="auto" w:sz="4" w:space="0"/>
              <w:right w:val="single" w:color="auto" w:sz="4" w:space="0"/>
            </w:tcBorders>
            <w:vAlign w:val="center"/>
          </w:tcPr>
          <w:p w14:paraId="1B6F913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29.6</w:t>
            </w:r>
          </w:p>
        </w:tc>
        <w:tc>
          <w:tcPr>
            <w:tcW w:w="308" w:type="pct"/>
            <w:vMerge w:val="continue"/>
            <w:tcBorders>
              <w:left w:val="single" w:color="auto" w:sz="4" w:space="0"/>
              <w:right w:val="single" w:color="auto" w:sz="4" w:space="0"/>
            </w:tcBorders>
            <w:vAlign w:val="center"/>
          </w:tcPr>
          <w:p w14:paraId="2221A64C">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7FF56C80">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055061DD">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23.6</w:t>
            </w:r>
          </w:p>
        </w:tc>
        <w:tc>
          <w:tcPr>
            <w:tcW w:w="267" w:type="pct"/>
            <w:tcBorders>
              <w:top w:val="single" w:color="auto" w:sz="4" w:space="0"/>
              <w:left w:val="single" w:color="auto" w:sz="4" w:space="0"/>
              <w:bottom w:val="single" w:color="auto" w:sz="4" w:space="0"/>
            </w:tcBorders>
            <w:vAlign w:val="center"/>
          </w:tcPr>
          <w:p w14:paraId="77C71C65">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7C88F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bottom w:val="single" w:color="auto" w:sz="4" w:space="0"/>
              <w:right w:val="single" w:color="auto" w:sz="4" w:space="0"/>
            </w:tcBorders>
            <w:vAlign w:val="center"/>
          </w:tcPr>
          <w:p w14:paraId="0F916315">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5792E250">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3900EE0E">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73B96480">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2A518567">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1477807C">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4788D423">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673F1A4E">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7AE10922">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262865A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76D0545D">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3141636E">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北</w:t>
            </w:r>
            <w:r>
              <w:rPr>
                <w:rFonts w:hint="eastAsia"/>
                <w:bCs/>
                <w:kern w:val="2"/>
                <w:sz w:val="21"/>
                <w:szCs w:val="21"/>
                <w:u w:val="single"/>
              </w:rPr>
              <w:t>9</w:t>
            </w:r>
          </w:p>
        </w:tc>
        <w:tc>
          <w:tcPr>
            <w:tcW w:w="374" w:type="pct"/>
            <w:tcBorders>
              <w:top w:val="single" w:color="auto" w:sz="4" w:space="0"/>
              <w:left w:val="single" w:color="auto" w:sz="4" w:space="0"/>
              <w:bottom w:val="single" w:color="auto" w:sz="4" w:space="0"/>
              <w:right w:val="single" w:color="auto" w:sz="4" w:space="0"/>
            </w:tcBorders>
            <w:vAlign w:val="center"/>
          </w:tcPr>
          <w:p w14:paraId="34903F5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53.7</w:t>
            </w:r>
          </w:p>
        </w:tc>
        <w:tc>
          <w:tcPr>
            <w:tcW w:w="308" w:type="pct"/>
            <w:vMerge w:val="continue"/>
            <w:tcBorders>
              <w:left w:val="single" w:color="auto" w:sz="4" w:space="0"/>
              <w:bottom w:val="single" w:color="auto" w:sz="4" w:space="0"/>
              <w:right w:val="single" w:color="auto" w:sz="4" w:space="0"/>
            </w:tcBorders>
            <w:vAlign w:val="center"/>
          </w:tcPr>
          <w:p w14:paraId="1CD9BD6D">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6844BE82">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304D7F1B">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47.7</w:t>
            </w:r>
          </w:p>
        </w:tc>
        <w:tc>
          <w:tcPr>
            <w:tcW w:w="267" w:type="pct"/>
            <w:tcBorders>
              <w:top w:val="single" w:color="auto" w:sz="4" w:space="0"/>
              <w:left w:val="single" w:color="auto" w:sz="4" w:space="0"/>
              <w:bottom w:val="single" w:color="auto" w:sz="4" w:space="0"/>
            </w:tcBorders>
            <w:vAlign w:val="center"/>
          </w:tcPr>
          <w:p w14:paraId="28120EA5">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AE0E6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right w:val="single" w:color="auto" w:sz="4" w:space="0"/>
            </w:tcBorders>
            <w:vAlign w:val="center"/>
          </w:tcPr>
          <w:p w14:paraId="2BCCC6D1">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5</w:t>
            </w:r>
          </w:p>
        </w:tc>
        <w:tc>
          <w:tcPr>
            <w:tcW w:w="253" w:type="pct"/>
            <w:vMerge w:val="continue"/>
            <w:tcBorders>
              <w:left w:val="single" w:color="auto" w:sz="4" w:space="0"/>
              <w:right w:val="single" w:color="auto" w:sz="4" w:space="0"/>
            </w:tcBorders>
            <w:vAlign w:val="center"/>
          </w:tcPr>
          <w:p w14:paraId="69F41112">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restart"/>
            <w:tcBorders>
              <w:left w:val="single" w:color="auto" w:sz="4" w:space="0"/>
              <w:right w:val="single" w:color="auto" w:sz="4" w:space="0"/>
            </w:tcBorders>
            <w:vAlign w:val="center"/>
          </w:tcPr>
          <w:p w14:paraId="533FD4E0">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出料泵</w:t>
            </w:r>
          </w:p>
        </w:tc>
        <w:tc>
          <w:tcPr>
            <w:tcW w:w="401" w:type="pct"/>
            <w:vMerge w:val="restart"/>
            <w:tcBorders>
              <w:left w:val="single" w:color="auto" w:sz="4" w:space="0"/>
              <w:right w:val="single" w:color="auto" w:sz="4" w:space="0"/>
            </w:tcBorders>
            <w:vAlign w:val="center"/>
          </w:tcPr>
          <w:p w14:paraId="52D68072">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85/1</w:t>
            </w:r>
          </w:p>
        </w:tc>
        <w:tc>
          <w:tcPr>
            <w:tcW w:w="202" w:type="pct"/>
            <w:vMerge w:val="restart"/>
            <w:tcBorders>
              <w:left w:val="single" w:color="auto" w:sz="4" w:space="0"/>
              <w:right w:val="single" w:color="auto" w:sz="4" w:space="0"/>
            </w:tcBorders>
            <w:vAlign w:val="center"/>
          </w:tcPr>
          <w:p w14:paraId="0A0A84E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w:t>
            </w:r>
          </w:p>
        </w:tc>
        <w:tc>
          <w:tcPr>
            <w:tcW w:w="327" w:type="pct"/>
            <w:vMerge w:val="restart"/>
            <w:tcBorders>
              <w:left w:val="single" w:color="auto" w:sz="4" w:space="0"/>
              <w:right w:val="single" w:color="auto" w:sz="4" w:space="0"/>
            </w:tcBorders>
            <w:vAlign w:val="center"/>
          </w:tcPr>
          <w:p w14:paraId="50999CE9">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减振、隔声</w:t>
            </w:r>
          </w:p>
        </w:tc>
        <w:tc>
          <w:tcPr>
            <w:tcW w:w="374" w:type="pct"/>
            <w:vMerge w:val="restart"/>
            <w:tcBorders>
              <w:left w:val="single" w:color="auto" w:sz="4" w:space="0"/>
              <w:right w:val="single" w:color="auto" w:sz="4" w:space="0"/>
            </w:tcBorders>
            <w:vAlign w:val="center"/>
          </w:tcPr>
          <w:p w14:paraId="30256E5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left w:val="single" w:color="auto" w:sz="4" w:space="0"/>
              <w:right w:val="single" w:color="auto" w:sz="4" w:space="0"/>
            </w:tcBorders>
            <w:vAlign w:val="center"/>
          </w:tcPr>
          <w:p w14:paraId="2705BA7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73.5</w:t>
            </w:r>
          </w:p>
        </w:tc>
        <w:tc>
          <w:tcPr>
            <w:tcW w:w="281" w:type="pct"/>
            <w:vMerge w:val="restart"/>
            <w:tcBorders>
              <w:left w:val="single" w:color="auto" w:sz="4" w:space="0"/>
              <w:right w:val="single" w:color="auto" w:sz="4" w:space="0"/>
            </w:tcBorders>
            <w:vAlign w:val="center"/>
          </w:tcPr>
          <w:p w14:paraId="21CF6B6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36</w:t>
            </w:r>
          </w:p>
        </w:tc>
        <w:tc>
          <w:tcPr>
            <w:tcW w:w="280" w:type="pct"/>
            <w:vMerge w:val="restart"/>
            <w:tcBorders>
              <w:left w:val="single" w:color="auto" w:sz="4" w:space="0"/>
              <w:right w:val="single" w:color="auto" w:sz="4" w:space="0"/>
            </w:tcBorders>
            <w:vAlign w:val="center"/>
          </w:tcPr>
          <w:p w14:paraId="2D58382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-9</w:t>
            </w:r>
          </w:p>
        </w:tc>
        <w:tc>
          <w:tcPr>
            <w:tcW w:w="280" w:type="pct"/>
            <w:vMerge w:val="restart"/>
            <w:tcBorders>
              <w:left w:val="single" w:color="auto" w:sz="4" w:space="0"/>
              <w:right w:val="single" w:color="auto" w:sz="4" w:space="0"/>
            </w:tcBorders>
            <w:vAlign w:val="center"/>
          </w:tcPr>
          <w:p w14:paraId="2C6EA23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2B52938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东</w:t>
            </w:r>
            <w:r>
              <w:rPr>
                <w:rFonts w:hint="eastAsia"/>
                <w:bCs/>
                <w:kern w:val="2"/>
                <w:sz w:val="21"/>
                <w:szCs w:val="21"/>
                <w:u w:val="single"/>
              </w:rPr>
              <w:t>14</w:t>
            </w:r>
          </w:p>
        </w:tc>
        <w:tc>
          <w:tcPr>
            <w:tcW w:w="374" w:type="pct"/>
            <w:tcBorders>
              <w:top w:val="single" w:color="auto" w:sz="4" w:space="0"/>
              <w:left w:val="single" w:color="auto" w:sz="4" w:space="0"/>
              <w:bottom w:val="single" w:color="auto" w:sz="4" w:space="0"/>
              <w:right w:val="single" w:color="auto" w:sz="4" w:space="0"/>
            </w:tcBorders>
            <w:vAlign w:val="center"/>
          </w:tcPr>
          <w:p w14:paraId="19F1FFE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50.6</w:t>
            </w:r>
          </w:p>
        </w:tc>
        <w:tc>
          <w:tcPr>
            <w:tcW w:w="308" w:type="pct"/>
            <w:vMerge w:val="restart"/>
            <w:tcBorders>
              <w:left w:val="single" w:color="auto" w:sz="4" w:space="0"/>
              <w:right w:val="single" w:color="auto" w:sz="4" w:space="0"/>
            </w:tcBorders>
            <w:vAlign w:val="center"/>
          </w:tcPr>
          <w:p w14:paraId="73F214CE">
            <w:pPr>
              <w:adjustRightInd/>
              <w:snapToGrid/>
              <w:spacing w:line="240" w:lineRule="auto"/>
              <w:ind w:firstLine="0" w:firstLineChars="0"/>
              <w:contextualSpacing/>
              <w:jc w:val="center"/>
              <w:textAlignment w:val="auto"/>
              <w:rPr>
                <w:bCs/>
                <w:kern w:val="2"/>
                <w:sz w:val="21"/>
                <w:szCs w:val="21"/>
                <w:u w:val="single"/>
              </w:rPr>
            </w:pPr>
            <w:r>
              <w:rPr>
                <w:bCs/>
                <w:kern w:val="2"/>
                <w:sz w:val="21"/>
                <w:szCs w:val="21"/>
                <w:u w:val="single"/>
              </w:rPr>
              <w:t>昼夜全时段</w:t>
            </w:r>
          </w:p>
        </w:tc>
        <w:tc>
          <w:tcPr>
            <w:tcW w:w="302" w:type="pct"/>
            <w:vMerge w:val="restart"/>
            <w:tcBorders>
              <w:left w:val="single" w:color="auto" w:sz="4" w:space="0"/>
              <w:right w:val="single" w:color="auto" w:sz="4" w:space="0"/>
            </w:tcBorders>
            <w:vAlign w:val="center"/>
          </w:tcPr>
          <w:p w14:paraId="29151A46">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299DB796">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44.6</w:t>
            </w:r>
          </w:p>
        </w:tc>
        <w:tc>
          <w:tcPr>
            <w:tcW w:w="267" w:type="pct"/>
            <w:tcBorders>
              <w:top w:val="single" w:color="auto" w:sz="4" w:space="0"/>
              <w:left w:val="single" w:color="auto" w:sz="4" w:space="0"/>
              <w:bottom w:val="single" w:color="auto" w:sz="4" w:space="0"/>
            </w:tcBorders>
            <w:vAlign w:val="center"/>
          </w:tcPr>
          <w:p w14:paraId="2298CC43">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38495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75B92041">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5A175D71">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4D688D65">
            <w:pPr>
              <w:adjustRightInd/>
              <w:snapToGrid/>
              <w:spacing w:line="240" w:lineRule="auto"/>
              <w:ind w:firstLine="0" w:firstLineChars="0"/>
              <w:contextualSpacing/>
              <w:jc w:val="center"/>
              <w:textAlignment w:val="auto"/>
              <w:rPr>
                <w:bCs/>
                <w:kern w:val="2"/>
                <w:sz w:val="21"/>
                <w:szCs w:val="21"/>
                <w:u w:val="single"/>
              </w:rPr>
            </w:pPr>
          </w:p>
        </w:tc>
        <w:tc>
          <w:tcPr>
            <w:tcW w:w="401" w:type="pct"/>
            <w:vMerge w:val="continue"/>
            <w:tcBorders>
              <w:left w:val="single" w:color="auto" w:sz="4" w:space="0"/>
              <w:right w:val="single" w:color="auto" w:sz="4" w:space="0"/>
            </w:tcBorders>
            <w:vAlign w:val="center"/>
          </w:tcPr>
          <w:p w14:paraId="3F053143">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right w:val="single" w:color="auto" w:sz="4" w:space="0"/>
            </w:tcBorders>
            <w:vAlign w:val="center"/>
          </w:tcPr>
          <w:p w14:paraId="453F9B73">
            <w:pPr>
              <w:adjustRightInd/>
              <w:snapToGrid/>
              <w:spacing w:line="240" w:lineRule="auto"/>
              <w:ind w:firstLine="0" w:firstLineChars="0"/>
              <w:jc w:val="center"/>
              <w:textAlignment w:val="auto"/>
              <w:rPr>
                <w:bCs/>
                <w:kern w:val="2"/>
                <w:sz w:val="21"/>
                <w:szCs w:val="21"/>
                <w:u w:val="single"/>
              </w:rPr>
            </w:pPr>
          </w:p>
        </w:tc>
        <w:tc>
          <w:tcPr>
            <w:tcW w:w="327" w:type="pct"/>
            <w:vMerge w:val="continue"/>
            <w:tcBorders>
              <w:left w:val="single" w:color="auto" w:sz="4" w:space="0"/>
              <w:right w:val="single" w:color="auto" w:sz="4" w:space="0"/>
            </w:tcBorders>
            <w:vAlign w:val="center"/>
          </w:tcPr>
          <w:p w14:paraId="343B68E3">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6633ABB2">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674EC6B2">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54297E3E">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56DCF9B9">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66508F1">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D15047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西</w:t>
            </w:r>
            <w:r>
              <w:rPr>
                <w:rFonts w:hint="eastAsia"/>
                <w:bCs/>
                <w:kern w:val="2"/>
                <w:sz w:val="21"/>
                <w:szCs w:val="21"/>
                <w:u w:val="single"/>
              </w:rPr>
              <w:t>36</w:t>
            </w:r>
          </w:p>
        </w:tc>
        <w:tc>
          <w:tcPr>
            <w:tcW w:w="374" w:type="pct"/>
            <w:tcBorders>
              <w:top w:val="single" w:color="auto" w:sz="4" w:space="0"/>
              <w:left w:val="single" w:color="auto" w:sz="4" w:space="0"/>
              <w:bottom w:val="single" w:color="auto" w:sz="4" w:space="0"/>
              <w:right w:val="single" w:color="auto" w:sz="4" w:space="0"/>
            </w:tcBorders>
            <w:vAlign w:val="center"/>
          </w:tcPr>
          <w:p w14:paraId="4A59B12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42.4</w:t>
            </w:r>
          </w:p>
        </w:tc>
        <w:tc>
          <w:tcPr>
            <w:tcW w:w="308" w:type="pct"/>
            <w:vMerge w:val="continue"/>
            <w:tcBorders>
              <w:left w:val="single" w:color="auto" w:sz="4" w:space="0"/>
              <w:right w:val="single" w:color="auto" w:sz="4" w:space="0"/>
            </w:tcBorders>
            <w:vAlign w:val="center"/>
          </w:tcPr>
          <w:p w14:paraId="6DED4602">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left w:val="single" w:color="auto" w:sz="4" w:space="0"/>
              <w:right w:val="single" w:color="auto" w:sz="4" w:space="0"/>
            </w:tcBorders>
            <w:vAlign w:val="center"/>
          </w:tcPr>
          <w:p w14:paraId="42A3A0B4">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1A58FB79">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36.4</w:t>
            </w:r>
          </w:p>
        </w:tc>
        <w:tc>
          <w:tcPr>
            <w:tcW w:w="267" w:type="pct"/>
            <w:tcBorders>
              <w:top w:val="single" w:color="auto" w:sz="4" w:space="0"/>
              <w:left w:val="single" w:color="auto" w:sz="4" w:space="0"/>
              <w:bottom w:val="single" w:color="auto" w:sz="4" w:space="0"/>
            </w:tcBorders>
            <w:vAlign w:val="center"/>
          </w:tcPr>
          <w:p w14:paraId="62B421E1">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61418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0653724D">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4A54AE57">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2DB12C8D">
            <w:pPr>
              <w:adjustRightInd/>
              <w:snapToGrid/>
              <w:spacing w:line="240" w:lineRule="auto"/>
              <w:ind w:firstLine="0" w:firstLineChars="0"/>
              <w:contextualSpacing/>
              <w:jc w:val="center"/>
              <w:textAlignment w:val="auto"/>
              <w:rPr>
                <w:bCs/>
                <w:kern w:val="2"/>
                <w:sz w:val="21"/>
                <w:szCs w:val="21"/>
                <w:u w:val="single"/>
              </w:rPr>
            </w:pPr>
          </w:p>
        </w:tc>
        <w:tc>
          <w:tcPr>
            <w:tcW w:w="401" w:type="pct"/>
            <w:vMerge w:val="continue"/>
            <w:tcBorders>
              <w:left w:val="single" w:color="auto" w:sz="4" w:space="0"/>
              <w:right w:val="single" w:color="auto" w:sz="4" w:space="0"/>
            </w:tcBorders>
            <w:vAlign w:val="center"/>
          </w:tcPr>
          <w:p w14:paraId="0106FB1D">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right w:val="single" w:color="auto" w:sz="4" w:space="0"/>
            </w:tcBorders>
            <w:vAlign w:val="center"/>
          </w:tcPr>
          <w:p w14:paraId="03DC2B81">
            <w:pPr>
              <w:adjustRightInd/>
              <w:snapToGrid/>
              <w:spacing w:line="240" w:lineRule="auto"/>
              <w:ind w:firstLine="0" w:firstLineChars="0"/>
              <w:jc w:val="center"/>
              <w:textAlignment w:val="auto"/>
              <w:rPr>
                <w:bCs/>
                <w:kern w:val="2"/>
                <w:sz w:val="21"/>
                <w:szCs w:val="21"/>
                <w:u w:val="single"/>
              </w:rPr>
            </w:pPr>
          </w:p>
        </w:tc>
        <w:tc>
          <w:tcPr>
            <w:tcW w:w="327" w:type="pct"/>
            <w:vMerge w:val="continue"/>
            <w:tcBorders>
              <w:left w:val="single" w:color="auto" w:sz="4" w:space="0"/>
              <w:right w:val="single" w:color="auto" w:sz="4" w:space="0"/>
            </w:tcBorders>
            <w:vAlign w:val="center"/>
          </w:tcPr>
          <w:p w14:paraId="307DAE89">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609D855B">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1611EED5">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4904196D">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3D503F58">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4A9AD727">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313CD83F">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南</w:t>
            </w:r>
            <w:r>
              <w:rPr>
                <w:rFonts w:hint="eastAsia"/>
                <w:bCs/>
                <w:kern w:val="2"/>
                <w:sz w:val="21"/>
                <w:szCs w:val="21"/>
                <w:u w:val="single"/>
              </w:rPr>
              <w:t>39</w:t>
            </w:r>
          </w:p>
        </w:tc>
        <w:tc>
          <w:tcPr>
            <w:tcW w:w="374" w:type="pct"/>
            <w:tcBorders>
              <w:top w:val="single" w:color="auto" w:sz="4" w:space="0"/>
              <w:left w:val="single" w:color="auto" w:sz="4" w:space="0"/>
              <w:bottom w:val="single" w:color="auto" w:sz="4" w:space="0"/>
              <w:right w:val="single" w:color="auto" w:sz="4" w:space="0"/>
            </w:tcBorders>
            <w:vAlign w:val="center"/>
          </w:tcPr>
          <w:p w14:paraId="0640C40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41.7</w:t>
            </w:r>
          </w:p>
        </w:tc>
        <w:tc>
          <w:tcPr>
            <w:tcW w:w="308" w:type="pct"/>
            <w:vMerge w:val="continue"/>
            <w:tcBorders>
              <w:left w:val="single" w:color="auto" w:sz="4" w:space="0"/>
              <w:right w:val="single" w:color="auto" w:sz="4" w:space="0"/>
            </w:tcBorders>
            <w:vAlign w:val="center"/>
          </w:tcPr>
          <w:p w14:paraId="7DAC090A">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left w:val="single" w:color="auto" w:sz="4" w:space="0"/>
              <w:right w:val="single" w:color="auto" w:sz="4" w:space="0"/>
            </w:tcBorders>
            <w:vAlign w:val="center"/>
          </w:tcPr>
          <w:p w14:paraId="4BE3CB0E">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CF1ACD4">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35.7</w:t>
            </w:r>
          </w:p>
        </w:tc>
        <w:tc>
          <w:tcPr>
            <w:tcW w:w="267" w:type="pct"/>
            <w:tcBorders>
              <w:top w:val="single" w:color="auto" w:sz="4" w:space="0"/>
              <w:left w:val="single" w:color="auto" w:sz="4" w:space="0"/>
              <w:bottom w:val="single" w:color="auto" w:sz="4" w:space="0"/>
            </w:tcBorders>
            <w:vAlign w:val="center"/>
          </w:tcPr>
          <w:p w14:paraId="5E802B90">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E97C5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bottom w:val="single" w:color="auto" w:sz="4" w:space="0"/>
              <w:right w:val="single" w:color="auto" w:sz="4" w:space="0"/>
            </w:tcBorders>
            <w:vAlign w:val="center"/>
          </w:tcPr>
          <w:p w14:paraId="5782C161">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4E419535">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4505EC78">
            <w:pPr>
              <w:adjustRightInd/>
              <w:snapToGrid/>
              <w:spacing w:line="240" w:lineRule="auto"/>
              <w:ind w:firstLine="0" w:firstLineChars="0"/>
              <w:contextualSpacing/>
              <w:jc w:val="center"/>
              <w:textAlignment w:val="auto"/>
              <w:rPr>
                <w:bCs/>
                <w:kern w:val="2"/>
                <w:sz w:val="21"/>
                <w:szCs w:val="21"/>
                <w:u w:val="single"/>
              </w:rPr>
            </w:pPr>
          </w:p>
        </w:tc>
        <w:tc>
          <w:tcPr>
            <w:tcW w:w="401" w:type="pct"/>
            <w:vMerge w:val="continue"/>
            <w:tcBorders>
              <w:left w:val="single" w:color="auto" w:sz="4" w:space="0"/>
              <w:bottom w:val="single" w:color="auto" w:sz="4" w:space="0"/>
              <w:right w:val="single" w:color="auto" w:sz="4" w:space="0"/>
            </w:tcBorders>
            <w:vAlign w:val="center"/>
          </w:tcPr>
          <w:p w14:paraId="0F4D85BF">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bottom w:val="single" w:color="auto" w:sz="4" w:space="0"/>
              <w:right w:val="single" w:color="auto" w:sz="4" w:space="0"/>
            </w:tcBorders>
            <w:vAlign w:val="center"/>
          </w:tcPr>
          <w:p w14:paraId="2C10B52C">
            <w:pPr>
              <w:adjustRightInd/>
              <w:snapToGrid/>
              <w:spacing w:line="240" w:lineRule="auto"/>
              <w:ind w:firstLine="0" w:firstLineChars="0"/>
              <w:jc w:val="center"/>
              <w:textAlignment w:val="auto"/>
              <w:rPr>
                <w:bCs/>
                <w:kern w:val="2"/>
                <w:sz w:val="21"/>
                <w:szCs w:val="21"/>
                <w:u w:val="single"/>
              </w:rPr>
            </w:pPr>
          </w:p>
        </w:tc>
        <w:tc>
          <w:tcPr>
            <w:tcW w:w="327" w:type="pct"/>
            <w:vMerge w:val="continue"/>
            <w:tcBorders>
              <w:left w:val="single" w:color="auto" w:sz="4" w:space="0"/>
              <w:bottom w:val="single" w:color="auto" w:sz="4" w:space="0"/>
              <w:right w:val="single" w:color="auto" w:sz="4" w:space="0"/>
            </w:tcBorders>
            <w:vAlign w:val="center"/>
          </w:tcPr>
          <w:p w14:paraId="18032916">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4C4BEB23">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178875C2">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691A575C">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329653FE">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4C20FC82">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2883DAC6">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北</w:t>
            </w:r>
            <w:r>
              <w:rPr>
                <w:rFonts w:hint="eastAsia"/>
                <w:bCs/>
                <w:kern w:val="2"/>
                <w:sz w:val="21"/>
                <w:szCs w:val="21"/>
                <w:u w:val="single"/>
              </w:rPr>
              <w:t>9</w:t>
            </w:r>
          </w:p>
        </w:tc>
        <w:tc>
          <w:tcPr>
            <w:tcW w:w="374" w:type="pct"/>
            <w:tcBorders>
              <w:top w:val="single" w:color="auto" w:sz="4" w:space="0"/>
              <w:left w:val="single" w:color="auto" w:sz="4" w:space="0"/>
              <w:bottom w:val="single" w:color="auto" w:sz="4" w:space="0"/>
              <w:right w:val="single" w:color="auto" w:sz="4" w:space="0"/>
            </w:tcBorders>
            <w:vAlign w:val="center"/>
          </w:tcPr>
          <w:p w14:paraId="656CA5B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54.4</w:t>
            </w:r>
          </w:p>
        </w:tc>
        <w:tc>
          <w:tcPr>
            <w:tcW w:w="308" w:type="pct"/>
            <w:vMerge w:val="continue"/>
            <w:tcBorders>
              <w:left w:val="single" w:color="auto" w:sz="4" w:space="0"/>
              <w:bottom w:val="single" w:color="auto" w:sz="4" w:space="0"/>
              <w:right w:val="single" w:color="auto" w:sz="4" w:space="0"/>
            </w:tcBorders>
            <w:vAlign w:val="center"/>
          </w:tcPr>
          <w:p w14:paraId="141E1169">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left w:val="single" w:color="auto" w:sz="4" w:space="0"/>
              <w:bottom w:val="single" w:color="auto" w:sz="4" w:space="0"/>
              <w:right w:val="single" w:color="auto" w:sz="4" w:space="0"/>
            </w:tcBorders>
            <w:vAlign w:val="center"/>
          </w:tcPr>
          <w:p w14:paraId="608E97E6">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59663994">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49.4</w:t>
            </w:r>
          </w:p>
        </w:tc>
        <w:tc>
          <w:tcPr>
            <w:tcW w:w="267" w:type="pct"/>
            <w:tcBorders>
              <w:top w:val="single" w:color="auto" w:sz="4" w:space="0"/>
              <w:left w:val="single" w:color="auto" w:sz="4" w:space="0"/>
              <w:bottom w:val="single" w:color="auto" w:sz="4" w:space="0"/>
            </w:tcBorders>
            <w:vAlign w:val="center"/>
          </w:tcPr>
          <w:p w14:paraId="41BBD99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8184D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top w:val="single" w:color="auto" w:sz="4" w:space="0"/>
              <w:right w:val="single" w:color="auto" w:sz="4" w:space="0"/>
            </w:tcBorders>
            <w:vAlign w:val="center"/>
          </w:tcPr>
          <w:p w14:paraId="443AFC76">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6</w:t>
            </w:r>
          </w:p>
        </w:tc>
        <w:tc>
          <w:tcPr>
            <w:tcW w:w="253" w:type="pct"/>
            <w:vMerge w:val="continue"/>
            <w:tcBorders>
              <w:left w:val="single" w:color="auto" w:sz="4" w:space="0"/>
              <w:right w:val="single" w:color="auto" w:sz="4" w:space="0"/>
            </w:tcBorders>
            <w:vAlign w:val="center"/>
          </w:tcPr>
          <w:p w14:paraId="25F42711">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restart"/>
            <w:tcBorders>
              <w:top w:val="single" w:color="auto" w:sz="4" w:space="0"/>
              <w:left w:val="single" w:color="auto" w:sz="4" w:space="0"/>
              <w:right w:val="single" w:color="auto" w:sz="4" w:space="0"/>
            </w:tcBorders>
            <w:vAlign w:val="center"/>
          </w:tcPr>
          <w:p w14:paraId="228B75BE">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sz w:val="21"/>
                <w:szCs w:val="21"/>
                <w:u w:val="single"/>
              </w:rPr>
              <w:t>真空泵</w:t>
            </w:r>
          </w:p>
        </w:tc>
        <w:tc>
          <w:tcPr>
            <w:tcW w:w="401" w:type="pct"/>
            <w:vMerge w:val="restart"/>
            <w:tcBorders>
              <w:top w:val="single" w:color="auto" w:sz="4" w:space="0"/>
              <w:left w:val="single" w:color="auto" w:sz="4" w:space="0"/>
              <w:right w:val="single" w:color="auto" w:sz="4" w:space="0"/>
            </w:tcBorders>
            <w:vAlign w:val="center"/>
          </w:tcPr>
          <w:p w14:paraId="5B30C733">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top w:val="single" w:color="auto" w:sz="4" w:space="0"/>
              <w:left w:val="single" w:color="auto" w:sz="4" w:space="0"/>
              <w:right w:val="single" w:color="auto" w:sz="4" w:space="0"/>
            </w:tcBorders>
            <w:vAlign w:val="center"/>
          </w:tcPr>
          <w:p w14:paraId="7956CCCF">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w:t>
            </w:r>
          </w:p>
        </w:tc>
        <w:tc>
          <w:tcPr>
            <w:tcW w:w="327" w:type="pct"/>
            <w:vMerge w:val="restart"/>
            <w:tcBorders>
              <w:top w:val="single" w:color="auto" w:sz="4" w:space="0"/>
              <w:left w:val="single" w:color="auto" w:sz="4" w:space="0"/>
              <w:right w:val="single" w:color="auto" w:sz="4" w:space="0"/>
            </w:tcBorders>
            <w:vAlign w:val="center"/>
          </w:tcPr>
          <w:p w14:paraId="11FC26E0">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116C14A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7A6103C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68</w:t>
            </w:r>
          </w:p>
        </w:tc>
        <w:tc>
          <w:tcPr>
            <w:tcW w:w="281" w:type="pct"/>
            <w:vMerge w:val="restart"/>
            <w:tcBorders>
              <w:top w:val="single" w:color="auto" w:sz="4" w:space="0"/>
              <w:left w:val="single" w:color="auto" w:sz="4" w:space="0"/>
              <w:right w:val="single" w:color="auto" w:sz="4" w:space="0"/>
            </w:tcBorders>
            <w:vAlign w:val="center"/>
          </w:tcPr>
          <w:p w14:paraId="76DA396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34</w:t>
            </w:r>
          </w:p>
        </w:tc>
        <w:tc>
          <w:tcPr>
            <w:tcW w:w="280" w:type="pct"/>
            <w:vMerge w:val="restart"/>
            <w:tcBorders>
              <w:top w:val="single" w:color="auto" w:sz="4" w:space="0"/>
              <w:left w:val="single" w:color="auto" w:sz="4" w:space="0"/>
              <w:right w:val="single" w:color="auto" w:sz="4" w:space="0"/>
            </w:tcBorders>
            <w:vAlign w:val="center"/>
          </w:tcPr>
          <w:p w14:paraId="2CD96EC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w:t>
            </w:r>
          </w:p>
        </w:tc>
        <w:tc>
          <w:tcPr>
            <w:tcW w:w="280" w:type="pct"/>
            <w:vMerge w:val="restart"/>
            <w:tcBorders>
              <w:top w:val="single" w:color="auto" w:sz="4" w:space="0"/>
              <w:left w:val="single" w:color="auto" w:sz="4" w:space="0"/>
              <w:right w:val="single" w:color="auto" w:sz="4" w:space="0"/>
            </w:tcBorders>
            <w:vAlign w:val="center"/>
          </w:tcPr>
          <w:p w14:paraId="2C7C797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3E4D105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东16</w:t>
            </w:r>
          </w:p>
        </w:tc>
        <w:tc>
          <w:tcPr>
            <w:tcW w:w="374" w:type="pct"/>
            <w:tcBorders>
              <w:top w:val="single" w:color="auto" w:sz="4" w:space="0"/>
              <w:left w:val="single" w:color="auto" w:sz="4" w:space="0"/>
              <w:bottom w:val="single" w:color="auto" w:sz="4" w:space="0"/>
              <w:right w:val="single" w:color="auto" w:sz="4" w:space="0"/>
            </w:tcBorders>
            <w:vAlign w:val="center"/>
          </w:tcPr>
          <w:p w14:paraId="2D78BD5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38.9</w:t>
            </w:r>
          </w:p>
        </w:tc>
        <w:tc>
          <w:tcPr>
            <w:tcW w:w="308" w:type="pct"/>
            <w:vMerge w:val="restart"/>
            <w:tcBorders>
              <w:top w:val="single" w:color="auto" w:sz="4" w:space="0"/>
              <w:left w:val="single" w:color="auto" w:sz="4" w:space="0"/>
              <w:right w:val="single" w:color="auto" w:sz="4" w:space="0"/>
            </w:tcBorders>
            <w:vAlign w:val="center"/>
          </w:tcPr>
          <w:p w14:paraId="0C045D05">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right w:val="single" w:color="auto" w:sz="4" w:space="0"/>
            </w:tcBorders>
            <w:vAlign w:val="center"/>
          </w:tcPr>
          <w:p w14:paraId="1E7134F4">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78092797">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32.9</w:t>
            </w:r>
          </w:p>
        </w:tc>
        <w:tc>
          <w:tcPr>
            <w:tcW w:w="267" w:type="pct"/>
            <w:tcBorders>
              <w:top w:val="single" w:color="auto" w:sz="4" w:space="0"/>
              <w:left w:val="single" w:color="auto" w:sz="4" w:space="0"/>
              <w:bottom w:val="single" w:color="auto" w:sz="4" w:space="0"/>
            </w:tcBorders>
            <w:vAlign w:val="center"/>
          </w:tcPr>
          <w:p w14:paraId="1240B97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38B33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375922A3">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7192A77F">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22309CA3">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3DF5E977">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1E0A4250">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0A9EC6DD">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083FD0EC">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133EAFE6">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66EECCF0">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23910D7">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1247F966">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6E378A1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西34</w:t>
            </w:r>
          </w:p>
        </w:tc>
        <w:tc>
          <w:tcPr>
            <w:tcW w:w="374" w:type="pct"/>
            <w:tcBorders>
              <w:top w:val="single" w:color="auto" w:sz="4" w:space="0"/>
              <w:left w:val="single" w:color="auto" w:sz="4" w:space="0"/>
              <w:bottom w:val="single" w:color="auto" w:sz="4" w:space="0"/>
              <w:right w:val="single" w:color="auto" w:sz="4" w:space="0"/>
            </w:tcBorders>
            <w:vAlign w:val="center"/>
          </w:tcPr>
          <w:p w14:paraId="63BA15A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32.4</w:t>
            </w:r>
          </w:p>
        </w:tc>
        <w:tc>
          <w:tcPr>
            <w:tcW w:w="308" w:type="pct"/>
            <w:vMerge w:val="continue"/>
            <w:tcBorders>
              <w:left w:val="single" w:color="auto" w:sz="4" w:space="0"/>
              <w:right w:val="single" w:color="auto" w:sz="4" w:space="0"/>
            </w:tcBorders>
            <w:vAlign w:val="center"/>
          </w:tcPr>
          <w:p w14:paraId="74DDC4F1">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7AD93580">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9E67BB0">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26.4</w:t>
            </w:r>
          </w:p>
        </w:tc>
        <w:tc>
          <w:tcPr>
            <w:tcW w:w="267" w:type="pct"/>
            <w:tcBorders>
              <w:top w:val="single" w:color="auto" w:sz="4" w:space="0"/>
              <w:left w:val="single" w:color="auto" w:sz="4" w:space="0"/>
              <w:bottom w:val="single" w:color="auto" w:sz="4" w:space="0"/>
            </w:tcBorders>
            <w:vAlign w:val="center"/>
          </w:tcPr>
          <w:p w14:paraId="1A240973">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41F7F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3E497452">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230041F0">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5BEE46FD">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5F263798">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582F9A55">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3540A019">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0B4AA42B">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4988CB3B">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1FE9667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580C700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0333228">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718126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南43</w:t>
            </w:r>
          </w:p>
        </w:tc>
        <w:tc>
          <w:tcPr>
            <w:tcW w:w="374" w:type="pct"/>
            <w:tcBorders>
              <w:top w:val="single" w:color="auto" w:sz="4" w:space="0"/>
              <w:left w:val="single" w:color="auto" w:sz="4" w:space="0"/>
              <w:bottom w:val="single" w:color="auto" w:sz="4" w:space="0"/>
              <w:right w:val="single" w:color="auto" w:sz="4" w:space="0"/>
            </w:tcBorders>
            <w:vAlign w:val="center"/>
          </w:tcPr>
          <w:p w14:paraId="7186EC9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35.3</w:t>
            </w:r>
          </w:p>
        </w:tc>
        <w:tc>
          <w:tcPr>
            <w:tcW w:w="308" w:type="pct"/>
            <w:vMerge w:val="continue"/>
            <w:tcBorders>
              <w:left w:val="single" w:color="auto" w:sz="4" w:space="0"/>
              <w:right w:val="single" w:color="auto" w:sz="4" w:space="0"/>
            </w:tcBorders>
            <w:vAlign w:val="center"/>
          </w:tcPr>
          <w:p w14:paraId="602EF102">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03E0D4B0">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634C1A2F">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29.3</w:t>
            </w:r>
          </w:p>
        </w:tc>
        <w:tc>
          <w:tcPr>
            <w:tcW w:w="267" w:type="pct"/>
            <w:tcBorders>
              <w:top w:val="single" w:color="auto" w:sz="4" w:space="0"/>
              <w:left w:val="single" w:color="auto" w:sz="4" w:space="0"/>
              <w:bottom w:val="single" w:color="auto" w:sz="4" w:space="0"/>
            </w:tcBorders>
            <w:vAlign w:val="center"/>
          </w:tcPr>
          <w:p w14:paraId="79956A6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40674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bottom w:val="single" w:color="auto" w:sz="4" w:space="0"/>
              <w:right w:val="single" w:color="auto" w:sz="4" w:space="0"/>
            </w:tcBorders>
            <w:vAlign w:val="center"/>
          </w:tcPr>
          <w:p w14:paraId="775A1852">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bottom w:val="single" w:color="auto" w:sz="4" w:space="0"/>
              <w:right w:val="single" w:color="auto" w:sz="4" w:space="0"/>
            </w:tcBorders>
            <w:vAlign w:val="center"/>
          </w:tcPr>
          <w:p w14:paraId="5663F2B4">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5362D967">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123B217B">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01803617">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2EA7D1FE">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772FDB9B">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0208C8F4">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2611E945">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182ED17D">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57277596">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FD6D8C8">
            <w:pPr>
              <w:adjustRightInd/>
              <w:snapToGrid/>
              <w:spacing w:line="240" w:lineRule="auto"/>
              <w:ind w:firstLine="0" w:firstLineChars="0"/>
              <w:jc w:val="center"/>
              <w:textAlignment w:val="auto"/>
              <w:rPr>
                <w:bCs/>
                <w:kern w:val="2"/>
                <w:sz w:val="21"/>
                <w:szCs w:val="21"/>
                <w:highlight w:val="yellow"/>
                <w:u w:val="single"/>
              </w:rPr>
            </w:pPr>
            <w:r>
              <w:rPr>
                <w:rFonts w:hint="eastAsia"/>
                <w:bCs/>
                <w:kern w:val="2"/>
                <w:sz w:val="21"/>
                <w:szCs w:val="21"/>
                <w:u w:val="single"/>
              </w:rPr>
              <w:t>北5</w:t>
            </w:r>
          </w:p>
        </w:tc>
        <w:tc>
          <w:tcPr>
            <w:tcW w:w="374" w:type="pct"/>
            <w:tcBorders>
              <w:top w:val="single" w:color="auto" w:sz="4" w:space="0"/>
              <w:left w:val="single" w:color="auto" w:sz="4" w:space="0"/>
              <w:bottom w:val="single" w:color="auto" w:sz="4" w:space="0"/>
              <w:right w:val="single" w:color="auto" w:sz="4" w:space="0"/>
            </w:tcBorders>
            <w:vAlign w:val="center"/>
          </w:tcPr>
          <w:p w14:paraId="1047299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49</w:t>
            </w:r>
          </w:p>
        </w:tc>
        <w:tc>
          <w:tcPr>
            <w:tcW w:w="308" w:type="pct"/>
            <w:vMerge w:val="continue"/>
            <w:tcBorders>
              <w:left w:val="single" w:color="auto" w:sz="4" w:space="0"/>
              <w:bottom w:val="single" w:color="auto" w:sz="4" w:space="0"/>
              <w:right w:val="single" w:color="auto" w:sz="4" w:space="0"/>
            </w:tcBorders>
            <w:vAlign w:val="center"/>
          </w:tcPr>
          <w:p w14:paraId="1513D496">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34CF3797">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0C945F12">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43</w:t>
            </w:r>
          </w:p>
        </w:tc>
        <w:tc>
          <w:tcPr>
            <w:tcW w:w="267" w:type="pct"/>
            <w:tcBorders>
              <w:top w:val="single" w:color="auto" w:sz="4" w:space="0"/>
              <w:left w:val="single" w:color="auto" w:sz="4" w:space="0"/>
              <w:bottom w:val="single" w:color="auto" w:sz="4" w:space="0"/>
            </w:tcBorders>
            <w:vAlign w:val="center"/>
          </w:tcPr>
          <w:p w14:paraId="330FE665">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73215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top w:val="single" w:color="auto" w:sz="4" w:space="0"/>
              <w:right w:val="single" w:color="auto" w:sz="4" w:space="0"/>
            </w:tcBorders>
            <w:vAlign w:val="center"/>
          </w:tcPr>
          <w:p w14:paraId="06B5FAD8">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7</w:t>
            </w:r>
          </w:p>
        </w:tc>
        <w:tc>
          <w:tcPr>
            <w:tcW w:w="253" w:type="pct"/>
            <w:vMerge w:val="restart"/>
            <w:tcBorders>
              <w:top w:val="single" w:color="auto" w:sz="4" w:space="0"/>
              <w:left w:val="single" w:color="auto" w:sz="4" w:space="0"/>
              <w:right w:val="single" w:color="auto" w:sz="4" w:space="0"/>
            </w:tcBorders>
            <w:vAlign w:val="center"/>
          </w:tcPr>
          <w:p w14:paraId="0E64F196">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色浆生产区</w:t>
            </w:r>
          </w:p>
        </w:tc>
        <w:tc>
          <w:tcPr>
            <w:tcW w:w="230" w:type="pct"/>
            <w:vMerge w:val="restart"/>
            <w:tcBorders>
              <w:top w:val="single" w:color="auto" w:sz="4" w:space="0"/>
              <w:left w:val="single" w:color="auto" w:sz="4" w:space="0"/>
              <w:right w:val="single" w:color="auto" w:sz="4" w:space="0"/>
            </w:tcBorders>
            <w:vAlign w:val="center"/>
          </w:tcPr>
          <w:p w14:paraId="5194B50C">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sz w:val="21"/>
                <w:szCs w:val="21"/>
                <w:u w:val="single"/>
              </w:rPr>
              <w:t>砂磨机</w:t>
            </w:r>
          </w:p>
        </w:tc>
        <w:tc>
          <w:tcPr>
            <w:tcW w:w="401" w:type="pct"/>
            <w:vMerge w:val="restart"/>
            <w:tcBorders>
              <w:top w:val="single" w:color="auto" w:sz="4" w:space="0"/>
              <w:left w:val="single" w:color="auto" w:sz="4" w:space="0"/>
              <w:right w:val="single" w:color="auto" w:sz="4" w:space="0"/>
            </w:tcBorders>
            <w:vAlign w:val="center"/>
          </w:tcPr>
          <w:p w14:paraId="50F277FB">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top w:val="single" w:color="auto" w:sz="4" w:space="0"/>
              <w:left w:val="single" w:color="auto" w:sz="4" w:space="0"/>
              <w:right w:val="single" w:color="auto" w:sz="4" w:space="0"/>
            </w:tcBorders>
            <w:vAlign w:val="center"/>
          </w:tcPr>
          <w:p w14:paraId="00F1C43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w:t>
            </w:r>
          </w:p>
        </w:tc>
        <w:tc>
          <w:tcPr>
            <w:tcW w:w="327" w:type="pct"/>
            <w:vMerge w:val="restart"/>
            <w:tcBorders>
              <w:top w:val="single" w:color="auto" w:sz="4" w:space="0"/>
              <w:left w:val="single" w:color="auto" w:sz="4" w:space="0"/>
              <w:right w:val="single" w:color="auto" w:sz="4" w:space="0"/>
            </w:tcBorders>
            <w:vAlign w:val="center"/>
          </w:tcPr>
          <w:p w14:paraId="5601E26D">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2158450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525C927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71</w:t>
            </w:r>
          </w:p>
        </w:tc>
        <w:tc>
          <w:tcPr>
            <w:tcW w:w="281" w:type="pct"/>
            <w:vMerge w:val="restart"/>
            <w:tcBorders>
              <w:top w:val="single" w:color="auto" w:sz="4" w:space="0"/>
              <w:left w:val="single" w:color="auto" w:sz="4" w:space="0"/>
              <w:right w:val="single" w:color="auto" w:sz="4" w:space="0"/>
            </w:tcBorders>
            <w:vAlign w:val="center"/>
          </w:tcPr>
          <w:p w14:paraId="446B4A7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173</w:t>
            </w:r>
          </w:p>
        </w:tc>
        <w:tc>
          <w:tcPr>
            <w:tcW w:w="280" w:type="pct"/>
            <w:vMerge w:val="restart"/>
            <w:tcBorders>
              <w:top w:val="single" w:color="auto" w:sz="4" w:space="0"/>
              <w:left w:val="single" w:color="auto" w:sz="4" w:space="0"/>
              <w:right w:val="single" w:color="auto" w:sz="4" w:space="0"/>
            </w:tcBorders>
            <w:vAlign w:val="center"/>
          </w:tcPr>
          <w:p w14:paraId="6314F81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-25</w:t>
            </w:r>
          </w:p>
        </w:tc>
        <w:tc>
          <w:tcPr>
            <w:tcW w:w="280" w:type="pct"/>
            <w:vMerge w:val="restart"/>
            <w:tcBorders>
              <w:top w:val="single" w:color="auto" w:sz="4" w:space="0"/>
              <w:left w:val="single" w:color="auto" w:sz="4" w:space="0"/>
              <w:right w:val="single" w:color="auto" w:sz="4" w:space="0"/>
            </w:tcBorders>
            <w:vAlign w:val="center"/>
          </w:tcPr>
          <w:p w14:paraId="367E9F6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32B57DAB">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33</w:t>
            </w:r>
          </w:p>
        </w:tc>
        <w:tc>
          <w:tcPr>
            <w:tcW w:w="374" w:type="pct"/>
            <w:tcBorders>
              <w:top w:val="single" w:color="auto" w:sz="4" w:space="0"/>
              <w:left w:val="single" w:color="auto" w:sz="4" w:space="0"/>
              <w:bottom w:val="single" w:color="auto" w:sz="4" w:space="0"/>
              <w:right w:val="single" w:color="auto" w:sz="4" w:space="0"/>
            </w:tcBorders>
            <w:vAlign w:val="center"/>
          </w:tcPr>
          <w:p w14:paraId="77A2E7C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40.6</w:t>
            </w:r>
          </w:p>
        </w:tc>
        <w:tc>
          <w:tcPr>
            <w:tcW w:w="308" w:type="pct"/>
            <w:vMerge w:val="restart"/>
            <w:tcBorders>
              <w:top w:val="single" w:color="auto" w:sz="4" w:space="0"/>
              <w:left w:val="single" w:color="auto" w:sz="4" w:space="0"/>
              <w:right w:val="single" w:color="auto" w:sz="4" w:space="0"/>
            </w:tcBorders>
            <w:vAlign w:val="center"/>
          </w:tcPr>
          <w:p w14:paraId="3FA1C0C3">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right w:val="single" w:color="auto" w:sz="4" w:space="0"/>
            </w:tcBorders>
            <w:vAlign w:val="center"/>
          </w:tcPr>
          <w:p w14:paraId="3B6CD72D">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5987A71F">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34.6</w:t>
            </w:r>
          </w:p>
        </w:tc>
        <w:tc>
          <w:tcPr>
            <w:tcW w:w="267" w:type="pct"/>
            <w:tcBorders>
              <w:top w:val="single" w:color="auto" w:sz="4" w:space="0"/>
              <w:left w:val="single" w:color="auto" w:sz="4" w:space="0"/>
              <w:bottom w:val="single" w:color="auto" w:sz="4" w:space="0"/>
            </w:tcBorders>
            <w:vAlign w:val="center"/>
          </w:tcPr>
          <w:p w14:paraId="44233EEE">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E917F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7762CAE4">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240E767B">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59E404A7">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1B936ECF">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020EC382">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0B6F1092">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3EDB6950">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0263FC59">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50D481CD">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03847A68">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0C58A59A">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3FD5B2CD">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17</w:t>
            </w:r>
          </w:p>
        </w:tc>
        <w:tc>
          <w:tcPr>
            <w:tcW w:w="374" w:type="pct"/>
            <w:tcBorders>
              <w:top w:val="single" w:color="auto" w:sz="4" w:space="0"/>
              <w:left w:val="single" w:color="auto" w:sz="4" w:space="0"/>
              <w:bottom w:val="single" w:color="auto" w:sz="4" w:space="0"/>
              <w:right w:val="single" w:color="auto" w:sz="4" w:space="0"/>
            </w:tcBorders>
            <w:vAlign w:val="center"/>
          </w:tcPr>
          <w:p w14:paraId="0439429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46.4</w:t>
            </w:r>
          </w:p>
        </w:tc>
        <w:tc>
          <w:tcPr>
            <w:tcW w:w="308" w:type="pct"/>
            <w:vMerge w:val="continue"/>
            <w:tcBorders>
              <w:left w:val="single" w:color="auto" w:sz="4" w:space="0"/>
              <w:right w:val="single" w:color="auto" w:sz="4" w:space="0"/>
            </w:tcBorders>
            <w:vAlign w:val="center"/>
          </w:tcPr>
          <w:p w14:paraId="23BD0FDF">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2716B681">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D643A32">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40.4</w:t>
            </w:r>
          </w:p>
        </w:tc>
        <w:tc>
          <w:tcPr>
            <w:tcW w:w="267" w:type="pct"/>
            <w:tcBorders>
              <w:top w:val="single" w:color="auto" w:sz="4" w:space="0"/>
              <w:left w:val="single" w:color="auto" w:sz="4" w:space="0"/>
              <w:bottom w:val="single" w:color="auto" w:sz="4" w:space="0"/>
            </w:tcBorders>
            <w:vAlign w:val="center"/>
          </w:tcPr>
          <w:p w14:paraId="79196701">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ECAF5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0EC9F930">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75694D3F">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63C56D89">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28080028">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55FABAC6">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0EDC194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2CC22FA7">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30AAED5D">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2860DE81">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2744CCE9">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1575DC84">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65996D92">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4A0D6E0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38.3</w:t>
            </w:r>
          </w:p>
        </w:tc>
        <w:tc>
          <w:tcPr>
            <w:tcW w:w="308" w:type="pct"/>
            <w:vMerge w:val="continue"/>
            <w:tcBorders>
              <w:left w:val="single" w:color="auto" w:sz="4" w:space="0"/>
              <w:right w:val="single" w:color="auto" w:sz="4" w:space="0"/>
            </w:tcBorders>
            <w:vAlign w:val="center"/>
          </w:tcPr>
          <w:p w14:paraId="0042E348">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2115E161">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5F73FDC3">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32.3</w:t>
            </w:r>
          </w:p>
        </w:tc>
        <w:tc>
          <w:tcPr>
            <w:tcW w:w="267" w:type="pct"/>
            <w:tcBorders>
              <w:top w:val="single" w:color="auto" w:sz="4" w:space="0"/>
              <w:left w:val="single" w:color="auto" w:sz="4" w:space="0"/>
              <w:bottom w:val="single" w:color="auto" w:sz="4" w:space="0"/>
            </w:tcBorders>
            <w:vAlign w:val="center"/>
          </w:tcPr>
          <w:p w14:paraId="7FDAFA8D">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63383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1B456A35">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510842D4">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44F8951C">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0F7D21B3">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4E82914A">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020CA5BE">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3A3F260B">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23A33A6F">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480574E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1462FE84">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34CAC8B3">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62823E16">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25</w:t>
            </w:r>
          </w:p>
        </w:tc>
        <w:tc>
          <w:tcPr>
            <w:tcW w:w="374" w:type="pct"/>
            <w:tcBorders>
              <w:top w:val="single" w:color="auto" w:sz="4" w:space="0"/>
              <w:left w:val="single" w:color="auto" w:sz="4" w:space="0"/>
              <w:bottom w:val="single" w:color="auto" w:sz="4" w:space="0"/>
              <w:right w:val="single" w:color="auto" w:sz="4" w:space="0"/>
            </w:tcBorders>
            <w:vAlign w:val="center"/>
          </w:tcPr>
          <w:p w14:paraId="3994C1A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43</w:t>
            </w:r>
          </w:p>
        </w:tc>
        <w:tc>
          <w:tcPr>
            <w:tcW w:w="308" w:type="pct"/>
            <w:vMerge w:val="continue"/>
            <w:tcBorders>
              <w:left w:val="single" w:color="auto" w:sz="4" w:space="0"/>
              <w:bottom w:val="single" w:color="auto" w:sz="4" w:space="0"/>
              <w:right w:val="single" w:color="auto" w:sz="4" w:space="0"/>
            </w:tcBorders>
            <w:vAlign w:val="center"/>
          </w:tcPr>
          <w:p w14:paraId="1AD5566B">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0561164D">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8A129C3">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37</w:t>
            </w:r>
          </w:p>
        </w:tc>
        <w:tc>
          <w:tcPr>
            <w:tcW w:w="267" w:type="pct"/>
            <w:tcBorders>
              <w:top w:val="single" w:color="auto" w:sz="4" w:space="0"/>
              <w:left w:val="single" w:color="auto" w:sz="4" w:space="0"/>
              <w:bottom w:val="single" w:color="auto" w:sz="4" w:space="0"/>
            </w:tcBorders>
            <w:vAlign w:val="center"/>
          </w:tcPr>
          <w:p w14:paraId="59CC1AF8">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CA4EA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right w:val="single" w:color="auto" w:sz="4" w:space="0"/>
            </w:tcBorders>
            <w:vAlign w:val="center"/>
          </w:tcPr>
          <w:p w14:paraId="013A0CBD">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8</w:t>
            </w:r>
          </w:p>
        </w:tc>
        <w:tc>
          <w:tcPr>
            <w:tcW w:w="253" w:type="pct"/>
            <w:vMerge w:val="continue"/>
            <w:tcBorders>
              <w:left w:val="single" w:color="auto" w:sz="4" w:space="0"/>
              <w:right w:val="single" w:color="auto" w:sz="4" w:space="0"/>
            </w:tcBorders>
            <w:vAlign w:val="center"/>
          </w:tcPr>
          <w:p w14:paraId="2B076549">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restart"/>
            <w:tcBorders>
              <w:left w:val="single" w:color="auto" w:sz="4" w:space="0"/>
              <w:right w:val="single" w:color="auto" w:sz="4" w:space="0"/>
            </w:tcBorders>
            <w:vAlign w:val="center"/>
          </w:tcPr>
          <w:p w14:paraId="55C564F5">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sz w:val="21"/>
                <w:szCs w:val="21"/>
                <w:u w:val="single"/>
              </w:rPr>
              <w:t>自动</w:t>
            </w:r>
            <w:r>
              <w:rPr>
                <w:rFonts w:hint="eastAsia"/>
                <w:sz w:val="21"/>
                <w:szCs w:val="21"/>
                <w:u w:val="single"/>
              </w:rPr>
              <w:t>灌装机</w:t>
            </w:r>
          </w:p>
        </w:tc>
        <w:tc>
          <w:tcPr>
            <w:tcW w:w="401" w:type="pct"/>
            <w:vMerge w:val="restart"/>
            <w:tcBorders>
              <w:left w:val="single" w:color="auto" w:sz="4" w:space="0"/>
              <w:right w:val="single" w:color="auto" w:sz="4" w:space="0"/>
            </w:tcBorders>
            <w:vAlign w:val="center"/>
          </w:tcPr>
          <w:p w14:paraId="10BEDC44">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left w:val="single" w:color="auto" w:sz="4" w:space="0"/>
              <w:right w:val="single" w:color="auto" w:sz="4" w:space="0"/>
            </w:tcBorders>
            <w:vAlign w:val="center"/>
          </w:tcPr>
          <w:p w14:paraId="0514E2F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w:t>
            </w:r>
          </w:p>
        </w:tc>
        <w:tc>
          <w:tcPr>
            <w:tcW w:w="327" w:type="pct"/>
            <w:vMerge w:val="restart"/>
            <w:tcBorders>
              <w:left w:val="single" w:color="auto" w:sz="4" w:space="0"/>
              <w:right w:val="single" w:color="auto" w:sz="4" w:space="0"/>
            </w:tcBorders>
            <w:vAlign w:val="center"/>
          </w:tcPr>
          <w:p w14:paraId="0D54C5ED">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left w:val="single" w:color="auto" w:sz="4" w:space="0"/>
              <w:right w:val="single" w:color="auto" w:sz="4" w:space="0"/>
            </w:tcBorders>
            <w:vAlign w:val="center"/>
          </w:tcPr>
          <w:p w14:paraId="0839C98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left w:val="single" w:color="auto" w:sz="4" w:space="0"/>
              <w:right w:val="single" w:color="auto" w:sz="4" w:space="0"/>
            </w:tcBorders>
            <w:vAlign w:val="center"/>
          </w:tcPr>
          <w:p w14:paraId="2BF5DF6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281" w:type="pct"/>
            <w:vMerge w:val="restart"/>
            <w:tcBorders>
              <w:left w:val="single" w:color="auto" w:sz="4" w:space="0"/>
              <w:right w:val="single" w:color="auto" w:sz="4" w:space="0"/>
            </w:tcBorders>
            <w:vAlign w:val="center"/>
          </w:tcPr>
          <w:p w14:paraId="1287EFE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23</w:t>
            </w:r>
          </w:p>
        </w:tc>
        <w:tc>
          <w:tcPr>
            <w:tcW w:w="280" w:type="pct"/>
            <w:vMerge w:val="restart"/>
            <w:tcBorders>
              <w:left w:val="single" w:color="auto" w:sz="4" w:space="0"/>
              <w:right w:val="single" w:color="auto" w:sz="4" w:space="0"/>
            </w:tcBorders>
            <w:vAlign w:val="center"/>
          </w:tcPr>
          <w:p w14:paraId="040A111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-25</w:t>
            </w:r>
          </w:p>
        </w:tc>
        <w:tc>
          <w:tcPr>
            <w:tcW w:w="280" w:type="pct"/>
            <w:vMerge w:val="restart"/>
            <w:tcBorders>
              <w:left w:val="single" w:color="auto" w:sz="4" w:space="0"/>
              <w:right w:val="single" w:color="auto" w:sz="4" w:space="0"/>
            </w:tcBorders>
            <w:vAlign w:val="center"/>
          </w:tcPr>
          <w:p w14:paraId="113F238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3E41FEE1">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27</w:t>
            </w:r>
          </w:p>
        </w:tc>
        <w:tc>
          <w:tcPr>
            <w:tcW w:w="374" w:type="pct"/>
            <w:tcBorders>
              <w:top w:val="single" w:color="auto" w:sz="4" w:space="0"/>
              <w:left w:val="single" w:color="auto" w:sz="4" w:space="0"/>
              <w:bottom w:val="single" w:color="auto" w:sz="4" w:space="0"/>
              <w:right w:val="single" w:color="auto" w:sz="4" w:space="0"/>
            </w:tcBorders>
            <w:vAlign w:val="center"/>
          </w:tcPr>
          <w:p w14:paraId="04DBD09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36.4</w:t>
            </w:r>
          </w:p>
        </w:tc>
        <w:tc>
          <w:tcPr>
            <w:tcW w:w="308" w:type="pct"/>
            <w:vMerge w:val="restart"/>
            <w:tcBorders>
              <w:left w:val="single" w:color="auto" w:sz="4" w:space="0"/>
              <w:right w:val="single" w:color="auto" w:sz="4" w:space="0"/>
            </w:tcBorders>
            <w:vAlign w:val="center"/>
          </w:tcPr>
          <w:p w14:paraId="7FDEC676">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left w:val="single" w:color="auto" w:sz="4" w:space="0"/>
              <w:right w:val="single" w:color="auto" w:sz="4" w:space="0"/>
            </w:tcBorders>
            <w:vAlign w:val="center"/>
          </w:tcPr>
          <w:p w14:paraId="20709C3F">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1B26EEA3">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30.4</w:t>
            </w:r>
          </w:p>
        </w:tc>
        <w:tc>
          <w:tcPr>
            <w:tcW w:w="267" w:type="pct"/>
            <w:tcBorders>
              <w:top w:val="single" w:color="auto" w:sz="4" w:space="0"/>
              <w:left w:val="single" w:color="auto" w:sz="4" w:space="0"/>
              <w:bottom w:val="single" w:color="auto" w:sz="4" w:space="0"/>
            </w:tcBorders>
            <w:vAlign w:val="center"/>
          </w:tcPr>
          <w:p w14:paraId="3F9D9D36">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B76C6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7DCD8755">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50CDB6B2">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7EE6BD60">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74FC0F99">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04EF4703">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6A83FD41">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6497852C">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23DCCBAB">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687E1B10">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48E11AA4">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EC7D9A5">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53F58780">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23</w:t>
            </w:r>
          </w:p>
        </w:tc>
        <w:tc>
          <w:tcPr>
            <w:tcW w:w="374" w:type="pct"/>
            <w:tcBorders>
              <w:top w:val="single" w:color="auto" w:sz="4" w:space="0"/>
              <w:left w:val="single" w:color="auto" w:sz="4" w:space="0"/>
              <w:bottom w:val="single" w:color="auto" w:sz="4" w:space="0"/>
              <w:right w:val="single" w:color="auto" w:sz="4" w:space="0"/>
            </w:tcBorders>
            <w:vAlign w:val="center"/>
          </w:tcPr>
          <w:p w14:paraId="0D5C1D6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37.8</w:t>
            </w:r>
          </w:p>
        </w:tc>
        <w:tc>
          <w:tcPr>
            <w:tcW w:w="308" w:type="pct"/>
            <w:vMerge w:val="continue"/>
            <w:tcBorders>
              <w:left w:val="single" w:color="auto" w:sz="4" w:space="0"/>
              <w:right w:val="single" w:color="auto" w:sz="4" w:space="0"/>
            </w:tcBorders>
            <w:vAlign w:val="center"/>
          </w:tcPr>
          <w:p w14:paraId="21DFF0F3">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272B6488">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46BC8F78">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31.8</w:t>
            </w:r>
          </w:p>
        </w:tc>
        <w:tc>
          <w:tcPr>
            <w:tcW w:w="267" w:type="pct"/>
            <w:tcBorders>
              <w:top w:val="single" w:color="auto" w:sz="4" w:space="0"/>
              <w:left w:val="single" w:color="auto" w:sz="4" w:space="0"/>
              <w:bottom w:val="single" w:color="auto" w:sz="4" w:space="0"/>
            </w:tcBorders>
            <w:vAlign w:val="center"/>
          </w:tcPr>
          <w:p w14:paraId="4AD8D52C">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FB2FD2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16973071">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412A2050">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08267EEC">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47DFDFC0">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7297B58B">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411C8BCF">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7F2C56D7">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630C83B8">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72260F5E">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39288E12">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63DF2B5E">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038FA565">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38C8CAE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32.3</w:t>
            </w:r>
          </w:p>
        </w:tc>
        <w:tc>
          <w:tcPr>
            <w:tcW w:w="308" w:type="pct"/>
            <w:vMerge w:val="continue"/>
            <w:tcBorders>
              <w:left w:val="single" w:color="auto" w:sz="4" w:space="0"/>
              <w:right w:val="single" w:color="auto" w:sz="4" w:space="0"/>
            </w:tcBorders>
            <w:vAlign w:val="center"/>
          </w:tcPr>
          <w:p w14:paraId="0A1D47D5">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20595B2C">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1F0B6195">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26.3</w:t>
            </w:r>
          </w:p>
        </w:tc>
        <w:tc>
          <w:tcPr>
            <w:tcW w:w="267" w:type="pct"/>
            <w:tcBorders>
              <w:top w:val="single" w:color="auto" w:sz="4" w:space="0"/>
              <w:left w:val="single" w:color="auto" w:sz="4" w:space="0"/>
              <w:bottom w:val="single" w:color="auto" w:sz="4" w:space="0"/>
            </w:tcBorders>
            <w:vAlign w:val="center"/>
          </w:tcPr>
          <w:p w14:paraId="12AB4642">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0E5A1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20A5F32B">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196E8F17">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4174305C">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21700C72">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629A2EC7">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50017F6E">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64827175">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7B476ED1">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7E73358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24DA0BCF">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5C03D6D8">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A5603B9">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25</w:t>
            </w:r>
          </w:p>
        </w:tc>
        <w:tc>
          <w:tcPr>
            <w:tcW w:w="374" w:type="pct"/>
            <w:tcBorders>
              <w:top w:val="single" w:color="auto" w:sz="4" w:space="0"/>
              <w:left w:val="single" w:color="auto" w:sz="4" w:space="0"/>
              <w:bottom w:val="single" w:color="auto" w:sz="4" w:space="0"/>
              <w:right w:val="single" w:color="auto" w:sz="4" w:space="0"/>
            </w:tcBorders>
            <w:vAlign w:val="center"/>
          </w:tcPr>
          <w:p w14:paraId="70D98F3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37</w:t>
            </w:r>
          </w:p>
        </w:tc>
        <w:tc>
          <w:tcPr>
            <w:tcW w:w="308" w:type="pct"/>
            <w:vMerge w:val="continue"/>
            <w:tcBorders>
              <w:left w:val="single" w:color="auto" w:sz="4" w:space="0"/>
              <w:bottom w:val="single" w:color="auto" w:sz="4" w:space="0"/>
              <w:right w:val="single" w:color="auto" w:sz="4" w:space="0"/>
            </w:tcBorders>
            <w:vAlign w:val="center"/>
          </w:tcPr>
          <w:p w14:paraId="65584E54">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07C1D771">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3272C53F">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31</w:t>
            </w:r>
          </w:p>
        </w:tc>
        <w:tc>
          <w:tcPr>
            <w:tcW w:w="267" w:type="pct"/>
            <w:tcBorders>
              <w:top w:val="single" w:color="auto" w:sz="4" w:space="0"/>
              <w:left w:val="single" w:color="auto" w:sz="4" w:space="0"/>
              <w:bottom w:val="single" w:color="auto" w:sz="4" w:space="0"/>
            </w:tcBorders>
            <w:vAlign w:val="center"/>
          </w:tcPr>
          <w:p w14:paraId="7805C86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5AD81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right w:val="single" w:color="auto" w:sz="4" w:space="0"/>
            </w:tcBorders>
            <w:vAlign w:val="center"/>
          </w:tcPr>
          <w:p w14:paraId="5475AC1F">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9</w:t>
            </w:r>
          </w:p>
        </w:tc>
        <w:tc>
          <w:tcPr>
            <w:tcW w:w="253" w:type="pct"/>
            <w:vMerge w:val="continue"/>
            <w:tcBorders>
              <w:left w:val="single" w:color="auto" w:sz="4" w:space="0"/>
              <w:right w:val="single" w:color="auto" w:sz="4" w:space="0"/>
            </w:tcBorders>
            <w:vAlign w:val="center"/>
          </w:tcPr>
          <w:p w14:paraId="415901EB">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restart"/>
            <w:tcBorders>
              <w:left w:val="single" w:color="auto" w:sz="4" w:space="0"/>
              <w:right w:val="single" w:color="auto" w:sz="4" w:space="0"/>
            </w:tcBorders>
            <w:vAlign w:val="center"/>
          </w:tcPr>
          <w:p w14:paraId="0EAB7A5A">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sz w:val="21"/>
                <w:szCs w:val="21"/>
                <w:u w:val="single"/>
              </w:rPr>
              <w:t>进料泵</w:t>
            </w:r>
          </w:p>
        </w:tc>
        <w:tc>
          <w:tcPr>
            <w:tcW w:w="401" w:type="pct"/>
            <w:vMerge w:val="restart"/>
            <w:tcBorders>
              <w:left w:val="single" w:color="auto" w:sz="4" w:space="0"/>
              <w:right w:val="single" w:color="auto" w:sz="4" w:space="0"/>
            </w:tcBorders>
            <w:vAlign w:val="center"/>
          </w:tcPr>
          <w:p w14:paraId="63818A56">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left w:val="single" w:color="auto" w:sz="4" w:space="0"/>
              <w:right w:val="single" w:color="auto" w:sz="4" w:space="0"/>
            </w:tcBorders>
            <w:vAlign w:val="center"/>
          </w:tcPr>
          <w:p w14:paraId="7BA4F58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w:t>
            </w:r>
          </w:p>
        </w:tc>
        <w:tc>
          <w:tcPr>
            <w:tcW w:w="327" w:type="pct"/>
            <w:vMerge w:val="restart"/>
            <w:tcBorders>
              <w:left w:val="single" w:color="auto" w:sz="4" w:space="0"/>
              <w:right w:val="single" w:color="auto" w:sz="4" w:space="0"/>
            </w:tcBorders>
            <w:vAlign w:val="center"/>
          </w:tcPr>
          <w:p w14:paraId="026D5382">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left w:val="single" w:color="auto" w:sz="4" w:space="0"/>
              <w:right w:val="single" w:color="auto" w:sz="4" w:space="0"/>
            </w:tcBorders>
            <w:vAlign w:val="center"/>
          </w:tcPr>
          <w:p w14:paraId="37294CB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left w:val="single" w:color="auto" w:sz="4" w:space="0"/>
              <w:right w:val="single" w:color="auto" w:sz="4" w:space="0"/>
            </w:tcBorders>
            <w:vAlign w:val="center"/>
          </w:tcPr>
          <w:p w14:paraId="4670BB9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71</w:t>
            </w:r>
          </w:p>
        </w:tc>
        <w:tc>
          <w:tcPr>
            <w:tcW w:w="281" w:type="pct"/>
            <w:vMerge w:val="restart"/>
            <w:tcBorders>
              <w:left w:val="single" w:color="auto" w:sz="4" w:space="0"/>
              <w:right w:val="single" w:color="auto" w:sz="4" w:space="0"/>
            </w:tcBorders>
            <w:vAlign w:val="center"/>
          </w:tcPr>
          <w:p w14:paraId="6DD92F5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17</w:t>
            </w:r>
          </w:p>
        </w:tc>
        <w:tc>
          <w:tcPr>
            <w:tcW w:w="280" w:type="pct"/>
            <w:vMerge w:val="restart"/>
            <w:tcBorders>
              <w:left w:val="single" w:color="auto" w:sz="4" w:space="0"/>
              <w:right w:val="single" w:color="auto" w:sz="4" w:space="0"/>
            </w:tcBorders>
            <w:vAlign w:val="center"/>
          </w:tcPr>
          <w:p w14:paraId="3FF9681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-25</w:t>
            </w:r>
          </w:p>
        </w:tc>
        <w:tc>
          <w:tcPr>
            <w:tcW w:w="280" w:type="pct"/>
            <w:vMerge w:val="restart"/>
            <w:tcBorders>
              <w:left w:val="single" w:color="auto" w:sz="4" w:space="0"/>
              <w:right w:val="single" w:color="auto" w:sz="4" w:space="0"/>
            </w:tcBorders>
            <w:vAlign w:val="center"/>
          </w:tcPr>
          <w:p w14:paraId="5E1ABAE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42802DFE">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33</w:t>
            </w:r>
          </w:p>
        </w:tc>
        <w:tc>
          <w:tcPr>
            <w:tcW w:w="374" w:type="pct"/>
            <w:tcBorders>
              <w:top w:val="single" w:color="auto" w:sz="4" w:space="0"/>
              <w:left w:val="single" w:color="auto" w:sz="4" w:space="0"/>
              <w:bottom w:val="single" w:color="auto" w:sz="4" w:space="0"/>
              <w:right w:val="single" w:color="auto" w:sz="4" w:space="0"/>
            </w:tcBorders>
            <w:vAlign w:val="center"/>
          </w:tcPr>
          <w:p w14:paraId="4A71447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40.6</w:t>
            </w:r>
          </w:p>
        </w:tc>
        <w:tc>
          <w:tcPr>
            <w:tcW w:w="308" w:type="pct"/>
            <w:vMerge w:val="restart"/>
            <w:tcBorders>
              <w:left w:val="single" w:color="auto" w:sz="4" w:space="0"/>
              <w:right w:val="single" w:color="auto" w:sz="4" w:space="0"/>
            </w:tcBorders>
            <w:vAlign w:val="center"/>
          </w:tcPr>
          <w:p w14:paraId="765C3EE0">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left w:val="single" w:color="auto" w:sz="4" w:space="0"/>
              <w:right w:val="single" w:color="auto" w:sz="4" w:space="0"/>
            </w:tcBorders>
            <w:vAlign w:val="center"/>
          </w:tcPr>
          <w:p w14:paraId="4BE519AD">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2F16D6E5">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34.6</w:t>
            </w:r>
          </w:p>
        </w:tc>
        <w:tc>
          <w:tcPr>
            <w:tcW w:w="267" w:type="pct"/>
            <w:tcBorders>
              <w:top w:val="single" w:color="auto" w:sz="4" w:space="0"/>
              <w:left w:val="single" w:color="auto" w:sz="4" w:space="0"/>
              <w:bottom w:val="single" w:color="auto" w:sz="4" w:space="0"/>
            </w:tcBorders>
            <w:vAlign w:val="center"/>
          </w:tcPr>
          <w:p w14:paraId="1A3EC8E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C2A69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1C3CF910">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6A2BA1C4">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26E9DCEF">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74CD728B">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08B047C5">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6DBDFB0C">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2C54FB30">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533535C8">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3B5D0F3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C1DE82D">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22610AD3">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FE8F985">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17</w:t>
            </w:r>
          </w:p>
        </w:tc>
        <w:tc>
          <w:tcPr>
            <w:tcW w:w="374" w:type="pct"/>
            <w:tcBorders>
              <w:top w:val="single" w:color="auto" w:sz="4" w:space="0"/>
              <w:left w:val="single" w:color="auto" w:sz="4" w:space="0"/>
              <w:bottom w:val="single" w:color="auto" w:sz="4" w:space="0"/>
              <w:right w:val="single" w:color="auto" w:sz="4" w:space="0"/>
            </w:tcBorders>
            <w:vAlign w:val="center"/>
          </w:tcPr>
          <w:p w14:paraId="27B95E5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46.4</w:t>
            </w:r>
          </w:p>
        </w:tc>
        <w:tc>
          <w:tcPr>
            <w:tcW w:w="308" w:type="pct"/>
            <w:vMerge w:val="continue"/>
            <w:tcBorders>
              <w:left w:val="single" w:color="auto" w:sz="4" w:space="0"/>
              <w:right w:val="single" w:color="auto" w:sz="4" w:space="0"/>
            </w:tcBorders>
            <w:vAlign w:val="center"/>
          </w:tcPr>
          <w:p w14:paraId="0D656011">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05231697">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E264AFD">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40.4</w:t>
            </w:r>
          </w:p>
        </w:tc>
        <w:tc>
          <w:tcPr>
            <w:tcW w:w="267" w:type="pct"/>
            <w:tcBorders>
              <w:top w:val="single" w:color="auto" w:sz="4" w:space="0"/>
              <w:left w:val="single" w:color="auto" w:sz="4" w:space="0"/>
              <w:bottom w:val="single" w:color="auto" w:sz="4" w:space="0"/>
            </w:tcBorders>
            <w:vAlign w:val="center"/>
          </w:tcPr>
          <w:p w14:paraId="0E17A53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644F6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42178B64">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1C4B46EF">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0EECFCDE">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34AD9369">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01FCF6EB">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60994BB1">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73F9B997">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4E51C31A">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31B68FFE">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43BECB0E">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0980B261">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2947E1FF">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45B5B44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38.2</w:t>
            </w:r>
          </w:p>
        </w:tc>
        <w:tc>
          <w:tcPr>
            <w:tcW w:w="308" w:type="pct"/>
            <w:vMerge w:val="continue"/>
            <w:tcBorders>
              <w:left w:val="single" w:color="auto" w:sz="4" w:space="0"/>
              <w:right w:val="single" w:color="auto" w:sz="4" w:space="0"/>
            </w:tcBorders>
            <w:vAlign w:val="center"/>
          </w:tcPr>
          <w:p w14:paraId="66D2BE72">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3DE0F867">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AA64ADA">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32.2</w:t>
            </w:r>
          </w:p>
        </w:tc>
        <w:tc>
          <w:tcPr>
            <w:tcW w:w="267" w:type="pct"/>
            <w:tcBorders>
              <w:top w:val="single" w:color="auto" w:sz="4" w:space="0"/>
              <w:left w:val="single" w:color="auto" w:sz="4" w:space="0"/>
              <w:bottom w:val="single" w:color="auto" w:sz="4" w:space="0"/>
            </w:tcBorders>
            <w:vAlign w:val="center"/>
          </w:tcPr>
          <w:p w14:paraId="58927951">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298A6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bottom w:val="single" w:color="auto" w:sz="4" w:space="0"/>
              <w:right w:val="single" w:color="auto" w:sz="4" w:space="0"/>
            </w:tcBorders>
            <w:vAlign w:val="center"/>
          </w:tcPr>
          <w:p w14:paraId="1EAFE523">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bottom w:val="single" w:color="auto" w:sz="4" w:space="0"/>
              <w:right w:val="single" w:color="auto" w:sz="4" w:space="0"/>
            </w:tcBorders>
            <w:vAlign w:val="center"/>
          </w:tcPr>
          <w:p w14:paraId="5CF62224">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6988A248">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39C690E1">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11B0D0B9">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4743F989">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15C8DCAE">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55C6C5DE">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45A1BA80">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687CAD12">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12086CF3">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68485ED9">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25</w:t>
            </w:r>
          </w:p>
        </w:tc>
        <w:tc>
          <w:tcPr>
            <w:tcW w:w="374" w:type="pct"/>
            <w:tcBorders>
              <w:top w:val="single" w:color="auto" w:sz="4" w:space="0"/>
              <w:left w:val="single" w:color="auto" w:sz="4" w:space="0"/>
              <w:bottom w:val="single" w:color="auto" w:sz="4" w:space="0"/>
              <w:right w:val="single" w:color="auto" w:sz="4" w:space="0"/>
            </w:tcBorders>
            <w:vAlign w:val="center"/>
          </w:tcPr>
          <w:p w14:paraId="3B6B89F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43</w:t>
            </w:r>
          </w:p>
        </w:tc>
        <w:tc>
          <w:tcPr>
            <w:tcW w:w="308" w:type="pct"/>
            <w:vMerge w:val="continue"/>
            <w:tcBorders>
              <w:left w:val="single" w:color="auto" w:sz="4" w:space="0"/>
              <w:bottom w:val="single" w:color="auto" w:sz="4" w:space="0"/>
              <w:right w:val="single" w:color="auto" w:sz="4" w:space="0"/>
            </w:tcBorders>
            <w:vAlign w:val="center"/>
          </w:tcPr>
          <w:p w14:paraId="2799A2FA">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4C0E1228">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52DB715B">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37</w:t>
            </w:r>
          </w:p>
        </w:tc>
        <w:tc>
          <w:tcPr>
            <w:tcW w:w="267" w:type="pct"/>
            <w:tcBorders>
              <w:top w:val="single" w:color="auto" w:sz="4" w:space="0"/>
              <w:left w:val="single" w:color="auto" w:sz="4" w:space="0"/>
              <w:bottom w:val="single" w:color="auto" w:sz="4" w:space="0"/>
            </w:tcBorders>
            <w:vAlign w:val="center"/>
          </w:tcPr>
          <w:p w14:paraId="47988E51">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42735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top w:val="single" w:color="auto" w:sz="4" w:space="0"/>
              <w:bottom w:val="single" w:color="auto" w:sz="4" w:space="0"/>
              <w:right w:val="single" w:color="auto" w:sz="4" w:space="0"/>
            </w:tcBorders>
            <w:vAlign w:val="center"/>
          </w:tcPr>
          <w:p w14:paraId="753C0802">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10</w:t>
            </w:r>
          </w:p>
        </w:tc>
        <w:tc>
          <w:tcPr>
            <w:tcW w:w="253" w:type="pct"/>
            <w:vMerge w:val="restart"/>
            <w:tcBorders>
              <w:top w:val="single" w:color="auto" w:sz="4" w:space="0"/>
              <w:left w:val="single" w:color="auto" w:sz="4" w:space="0"/>
              <w:right w:val="single" w:color="auto" w:sz="4" w:space="0"/>
            </w:tcBorders>
            <w:vAlign w:val="center"/>
          </w:tcPr>
          <w:p w14:paraId="1B0C190F">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有机废气治理设施处</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3A2A1051">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风机1</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7AC0D248">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90</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525012B6">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w:t>
            </w:r>
          </w:p>
        </w:tc>
        <w:tc>
          <w:tcPr>
            <w:tcW w:w="327" w:type="pct"/>
            <w:vMerge w:val="restart"/>
            <w:tcBorders>
              <w:top w:val="single" w:color="auto" w:sz="4" w:space="0"/>
              <w:left w:val="single" w:color="auto" w:sz="4" w:space="0"/>
              <w:bottom w:val="single" w:color="auto" w:sz="4" w:space="0"/>
              <w:right w:val="single" w:color="auto" w:sz="4" w:space="0"/>
            </w:tcBorders>
            <w:vAlign w:val="center"/>
          </w:tcPr>
          <w:p w14:paraId="64EAA203">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进风口消音器、管道外壳阻尼</w:t>
            </w:r>
            <w:r>
              <w:rPr>
                <w:rFonts w:hint="eastAsia"/>
                <w:bCs/>
                <w:kern w:val="2"/>
                <w:sz w:val="21"/>
                <w:szCs w:val="21"/>
                <w:u w:val="single"/>
              </w:rPr>
              <w:t>、</w:t>
            </w: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18563B6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3F3106D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281" w:type="pct"/>
            <w:vMerge w:val="restart"/>
            <w:tcBorders>
              <w:top w:val="single" w:color="auto" w:sz="4" w:space="0"/>
              <w:left w:val="single" w:color="auto" w:sz="4" w:space="0"/>
              <w:bottom w:val="single" w:color="auto" w:sz="4" w:space="0"/>
              <w:right w:val="single" w:color="auto" w:sz="4" w:space="0"/>
            </w:tcBorders>
            <w:vAlign w:val="center"/>
          </w:tcPr>
          <w:p w14:paraId="56DFBFE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60D1759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5E9984B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428620CD">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45</w:t>
            </w:r>
          </w:p>
        </w:tc>
        <w:tc>
          <w:tcPr>
            <w:tcW w:w="374" w:type="pct"/>
            <w:tcBorders>
              <w:top w:val="single" w:color="auto" w:sz="4" w:space="0"/>
              <w:left w:val="single" w:color="auto" w:sz="4" w:space="0"/>
              <w:bottom w:val="single" w:color="auto" w:sz="4" w:space="0"/>
              <w:right w:val="single" w:color="auto" w:sz="4" w:space="0"/>
            </w:tcBorders>
            <w:vAlign w:val="center"/>
          </w:tcPr>
          <w:p w14:paraId="2EA51FA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31.9</w:t>
            </w:r>
          </w:p>
        </w:tc>
        <w:tc>
          <w:tcPr>
            <w:tcW w:w="308" w:type="pct"/>
            <w:vMerge w:val="restart"/>
            <w:tcBorders>
              <w:top w:val="single" w:color="auto" w:sz="4" w:space="0"/>
              <w:left w:val="single" w:color="auto" w:sz="4" w:space="0"/>
              <w:bottom w:val="single" w:color="auto" w:sz="4" w:space="0"/>
              <w:right w:val="single" w:color="auto" w:sz="4" w:space="0"/>
            </w:tcBorders>
            <w:vAlign w:val="center"/>
          </w:tcPr>
          <w:p w14:paraId="0FBC38F1">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bottom w:val="single" w:color="auto" w:sz="4" w:space="0"/>
              <w:right w:val="single" w:color="auto" w:sz="4" w:space="0"/>
            </w:tcBorders>
            <w:vAlign w:val="center"/>
          </w:tcPr>
          <w:p w14:paraId="42E11EE9">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516BB4AC">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25.9</w:t>
            </w:r>
          </w:p>
        </w:tc>
        <w:tc>
          <w:tcPr>
            <w:tcW w:w="267" w:type="pct"/>
            <w:tcBorders>
              <w:top w:val="single" w:color="auto" w:sz="4" w:space="0"/>
              <w:left w:val="single" w:color="auto" w:sz="4" w:space="0"/>
              <w:bottom w:val="single" w:color="auto" w:sz="4" w:space="0"/>
            </w:tcBorders>
            <w:vAlign w:val="center"/>
          </w:tcPr>
          <w:p w14:paraId="2BFF1722">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3CD4D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1F370B9A">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1DC4CC1E">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21D76514">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5F4D835C">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3BB54B1F">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350FB0EA">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3602D3E1">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25873488">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4EF71E6C">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7956E6F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5E80B8B">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020F9DC1">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5</w:t>
            </w:r>
          </w:p>
        </w:tc>
        <w:tc>
          <w:tcPr>
            <w:tcW w:w="374" w:type="pct"/>
            <w:tcBorders>
              <w:top w:val="single" w:color="auto" w:sz="4" w:space="0"/>
              <w:left w:val="single" w:color="auto" w:sz="4" w:space="0"/>
              <w:bottom w:val="single" w:color="auto" w:sz="4" w:space="0"/>
              <w:right w:val="single" w:color="auto" w:sz="4" w:space="0"/>
            </w:tcBorders>
            <w:vAlign w:val="center"/>
          </w:tcPr>
          <w:p w14:paraId="2C23A8D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51</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6F101A24">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57C7BB1B">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461E788">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45</w:t>
            </w:r>
          </w:p>
        </w:tc>
        <w:tc>
          <w:tcPr>
            <w:tcW w:w="267" w:type="pct"/>
            <w:tcBorders>
              <w:top w:val="single" w:color="auto" w:sz="4" w:space="0"/>
              <w:left w:val="single" w:color="auto" w:sz="4" w:space="0"/>
              <w:bottom w:val="single" w:color="auto" w:sz="4" w:space="0"/>
            </w:tcBorders>
            <w:vAlign w:val="center"/>
          </w:tcPr>
          <w:p w14:paraId="5AFC1563">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F7C19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462905F0">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2ED5B536">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5795971B">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20D2D362">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530411A5">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5E25C5E0">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6A250188">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28B8B279">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50A38D4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2D705F12">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4AFC13CC">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43906648">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62</w:t>
            </w:r>
          </w:p>
        </w:tc>
        <w:tc>
          <w:tcPr>
            <w:tcW w:w="374" w:type="pct"/>
            <w:tcBorders>
              <w:top w:val="single" w:color="auto" w:sz="4" w:space="0"/>
              <w:left w:val="single" w:color="auto" w:sz="4" w:space="0"/>
              <w:bottom w:val="single" w:color="auto" w:sz="4" w:space="0"/>
              <w:right w:val="single" w:color="auto" w:sz="4" w:space="0"/>
            </w:tcBorders>
            <w:vAlign w:val="center"/>
          </w:tcPr>
          <w:p w14:paraId="15B0A49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29.2</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34A6CC75">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7DFE86A8">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880D94A">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23.2</w:t>
            </w:r>
          </w:p>
        </w:tc>
        <w:tc>
          <w:tcPr>
            <w:tcW w:w="267" w:type="pct"/>
            <w:tcBorders>
              <w:top w:val="single" w:color="auto" w:sz="4" w:space="0"/>
              <w:left w:val="single" w:color="auto" w:sz="4" w:space="0"/>
              <w:bottom w:val="single" w:color="auto" w:sz="4" w:space="0"/>
            </w:tcBorders>
            <w:vAlign w:val="center"/>
          </w:tcPr>
          <w:p w14:paraId="721CA1E7">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BA4B2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top w:val="single" w:color="auto" w:sz="4" w:space="0"/>
              <w:bottom w:val="single" w:color="auto" w:sz="4" w:space="0"/>
              <w:right w:val="single" w:color="auto" w:sz="4" w:space="0"/>
            </w:tcBorders>
            <w:vAlign w:val="center"/>
          </w:tcPr>
          <w:p w14:paraId="66F2A864">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bottom w:val="single" w:color="auto" w:sz="4" w:space="0"/>
              <w:right w:val="single" w:color="auto" w:sz="4" w:space="0"/>
            </w:tcBorders>
            <w:vAlign w:val="center"/>
          </w:tcPr>
          <w:p w14:paraId="0632DF4C">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68AD075A">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50FFEFFF">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05A6DD7C">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6D8B9B56">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1FD3226A">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01DBECD7">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6D19ADA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0D27A655">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4524BA02">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2D00C23C">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6</w:t>
            </w:r>
          </w:p>
        </w:tc>
        <w:tc>
          <w:tcPr>
            <w:tcW w:w="374" w:type="pct"/>
            <w:tcBorders>
              <w:top w:val="single" w:color="auto" w:sz="4" w:space="0"/>
              <w:left w:val="single" w:color="auto" w:sz="4" w:space="0"/>
              <w:bottom w:val="single" w:color="auto" w:sz="4" w:space="0"/>
              <w:right w:val="single" w:color="auto" w:sz="4" w:space="0"/>
            </w:tcBorders>
            <w:vAlign w:val="center"/>
          </w:tcPr>
          <w:p w14:paraId="112833A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49.4</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4E52DF9E">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5C598896">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1D9DAAD">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43.4</w:t>
            </w:r>
          </w:p>
        </w:tc>
        <w:tc>
          <w:tcPr>
            <w:tcW w:w="267" w:type="pct"/>
            <w:tcBorders>
              <w:top w:val="single" w:color="auto" w:sz="4" w:space="0"/>
              <w:left w:val="single" w:color="auto" w:sz="4" w:space="0"/>
              <w:bottom w:val="single" w:color="auto" w:sz="4" w:space="0"/>
            </w:tcBorders>
            <w:vAlign w:val="center"/>
          </w:tcPr>
          <w:p w14:paraId="4DA7062C">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3E116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restart"/>
            <w:tcBorders>
              <w:top w:val="single" w:color="auto" w:sz="4" w:space="0"/>
              <w:right w:val="single" w:color="auto" w:sz="4" w:space="0"/>
            </w:tcBorders>
            <w:vAlign w:val="center"/>
          </w:tcPr>
          <w:p w14:paraId="185D1341">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11</w:t>
            </w:r>
          </w:p>
        </w:tc>
        <w:tc>
          <w:tcPr>
            <w:tcW w:w="253" w:type="pct"/>
            <w:vMerge w:val="restart"/>
            <w:tcBorders>
              <w:top w:val="single" w:color="auto" w:sz="4" w:space="0"/>
              <w:left w:val="single" w:color="auto" w:sz="4" w:space="0"/>
              <w:right w:val="single" w:color="auto" w:sz="4" w:space="0"/>
            </w:tcBorders>
            <w:vAlign w:val="center"/>
          </w:tcPr>
          <w:p w14:paraId="45B8656D">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袋式除尘器治理设施处</w:t>
            </w:r>
          </w:p>
        </w:tc>
        <w:tc>
          <w:tcPr>
            <w:tcW w:w="230" w:type="pct"/>
            <w:vMerge w:val="restart"/>
            <w:tcBorders>
              <w:top w:val="single" w:color="auto" w:sz="4" w:space="0"/>
              <w:left w:val="single" w:color="auto" w:sz="4" w:space="0"/>
              <w:right w:val="single" w:color="auto" w:sz="4" w:space="0"/>
            </w:tcBorders>
            <w:vAlign w:val="center"/>
          </w:tcPr>
          <w:p w14:paraId="4E17E502">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风机2</w:t>
            </w:r>
          </w:p>
        </w:tc>
        <w:tc>
          <w:tcPr>
            <w:tcW w:w="401" w:type="pct"/>
            <w:vMerge w:val="restart"/>
            <w:tcBorders>
              <w:top w:val="single" w:color="auto" w:sz="4" w:space="0"/>
              <w:left w:val="single" w:color="auto" w:sz="4" w:space="0"/>
              <w:right w:val="single" w:color="auto" w:sz="4" w:space="0"/>
            </w:tcBorders>
            <w:vAlign w:val="center"/>
          </w:tcPr>
          <w:p w14:paraId="05B95279">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90</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319DB025">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w:t>
            </w:r>
          </w:p>
        </w:tc>
        <w:tc>
          <w:tcPr>
            <w:tcW w:w="327" w:type="pct"/>
            <w:vMerge w:val="restart"/>
            <w:tcBorders>
              <w:top w:val="single" w:color="auto" w:sz="4" w:space="0"/>
              <w:left w:val="single" w:color="auto" w:sz="4" w:space="0"/>
              <w:right w:val="single" w:color="auto" w:sz="4" w:space="0"/>
            </w:tcBorders>
            <w:vAlign w:val="center"/>
          </w:tcPr>
          <w:p w14:paraId="097B3A29">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进风口消音器、管道外壳阻尼</w:t>
            </w:r>
            <w:r>
              <w:rPr>
                <w:rFonts w:hint="eastAsia"/>
                <w:bCs/>
                <w:kern w:val="2"/>
                <w:sz w:val="21"/>
                <w:szCs w:val="21"/>
                <w:u w:val="single"/>
              </w:rPr>
              <w:t>、</w:t>
            </w: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5772EBA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6EC6EDF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281" w:type="pct"/>
            <w:vMerge w:val="restart"/>
            <w:tcBorders>
              <w:top w:val="single" w:color="auto" w:sz="4" w:space="0"/>
              <w:left w:val="single" w:color="auto" w:sz="4" w:space="0"/>
              <w:right w:val="single" w:color="auto" w:sz="4" w:space="0"/>
            </w:tcBorders>
            <w:vAlign w:val="center"/>
          </w:tcPr>
          <w:p w14:paraId="60A4BC9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w:t>
            </w:r>
          </w:p>
        </w:tc>
        <w:tc>
          <w:tcPr>
            <w:tcW w:w="280" w:type="pct"/>
            <w:vMerge w:val="restart"/>
            <w:tcBorders>
              <w:top w:val="single" w:color="auto" w:sz="4" w:space="0"/>
              <w:left w:val="single" w:color="auto" w:sz="4" w:space="0"/>
              <w:right w:val="single" w:color="auto" w:sz="4" w:space="0"/>
            </w:tcBorders>
            <w:vAlign w:val="center"/>
          </w:tcPr>
          <w:p w14:paraId="2AE45B0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-26</w:t>
            </w:r>
          </w:p>
        </w:tc>
        <w:tc>
          <w:tcPr>
            <w:tcW w:w="280" w:type="pct"/>
            <w:vMerge w:val="restart"/>
            <w:tcBorders>
              <w:top w:val="single" w:color="auto" w:sz="4" w:space="0"/>
              <w:left w:val="single" w:color="auto" w:sz="4" w:space="0"/>
              <w:right w:val="single" w:color="auto" w:sz="4" w:space="0"/>
            </w:tcBorders>
            <w:vAlign w:val="center"/>
          </w:tcPr>
          <w:p w14:paraId="1585EC4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4DC5F825">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3ECD7E8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32.3</w:t>
            </w:r>
          </w:p>
        </w:tc>
        <w:tc>
          <w:tcPr>
            <w:tcW w:w="308" w:type="pct"/>
            <w:vMerge w:val="restart"/>
            <w:tcBorders>
              <w:top w:val="single" w:color="auto" w:sz="4" w:space="0"/>
              <w:left w:val="single" w:color="auto" w:sz="4" w:space="0"/>
              <w:right w:val="single" w:color="auto" w:sz="4" w:space="0"/>
            </w:tcBorders>
            <w:vAlign w:val="center"/>
          </w:tcPr>
          <w:p w14:paraId="6C7CE2A1">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right w:val="single" w:color="auto" w:sz="4" w:space="0"/>
            </w:tcBorders>
            <w:vAlign w:val="center"/>
          </w:tcPr>
          <w:p w14:paraId="0E0F1A8D">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747A419A">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26.3</w:t>
            </w:r>
          </w:p>
        </w:tc>
        <w:tc>
          <w:tcPr>
            <w:tcW w:w="267" w:type="pct"/>
            <w:tcBorders>
              <w:top w:val="single" w:color="auto" w:sz="4" w:space="0"/>
              <w:left w:val="single" w:color="auto" w:sz="4" w:space="0"/>
              <w:bottom w:val="single" w:color="auto" w:sz="4" w:space="0"/>
            </w:tcBorders>
            <w:vAlign w:val="center"/>
          </w:tcPr>
          <w:p w14:paraId="11339B7F">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EDC81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6D15E70C">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7C4DAA85">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4A93B790">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1FF5E3E9">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373517E5">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0AE27327">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2C68532B">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394B74B5">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1EC926A9">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25DCF23E">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28460DFD">
            <w:pPr>
              <w:adjustRightInd/>
              <w:snapToGrid/>
              <w:spacing w:line="240" w:lineRule="auto"/>
              <w:ind w:firstLine="0" w:firstLineChars="0"/>
              <w:jc w:val="center"/>
              <w:textAlignment w:val="auto"/>
              <w:rPr>
                <w:bCs/>
                <w:kern w:val="2"/>
                <w:sz w:val="21"/>
                <w:szCs w:val="21"/>
                <w:highlight w:val="yellow"/>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2293781B">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7</w:t>
            </w:r>
          </w:p>
        </w:tc>
        <w:tc>
          <w:tcPr>
            <w:tcW w:w="374" w:type="pct"/>
            <w:tcBorders>
              <w:top w:val="single" w:color="auto" w:sz="4" w:space="0"/>
              <w:left w:val="single" w:color="auto" w:sz="4" w:space="0"/>
              <w:bottom w:val="single" w:color="auto" w:sz="4" w:space="0"/>
              <w:right w:val="single" w:color="auto" w:sz="4" w:space="0"/>
            </w:tcBorders>
            <w:vAlign w:val="center"/>
          </w:tcPr>
          <w:p w14:paraId="0E736B7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49.4</w:t>
            </w:r>
          </w:p>
        </w:tc>
        <w:tc>
          <w:tcPr>
            <w:tcW w:w="308" w:type="pct"/>
            <w:vMerge w:val="continue"/>
            <w:tcBorders>
              <w:left w:val="single" w:color="auto" w:sz="4" w:space="0"/>
              <w:right w:val="single" w:color="auto" w:sz="4" w:space="0"/>
            </w:tcBorders>
            <w:vAlign w:val="center"/>
          </w:tcPr>
          <w:p w14:paraId="7CED9A66">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42493EC7">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0EFA3EB9">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43.4</w:t>
            </w:r>
          </w:p>
        </w:tc>
        <w:tc>
          <w:tcPr>
            <w:tcW w:w="267" w:type="pct"/>
            <w:tcBorders>
              <w:top w:val="single" w:color="auto" w:sz="4" w:space="0"/>
              <w:left w:val="single" w:color="auto" w:sz="4" w:space="0"/>
              <w:bottom w:val="single" w:color="auto" w:sz="4" w:space="0"/>
            </w:tcBorders>
            <w:vAlign w:val="center"/>
          </w:tcPr>
          <w:p w14:paraId="3144FE4C">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F8852C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2C556855">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63904072">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30053EC4">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5445A784">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0F384348">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7C79C9D7">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67412F25">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4ABA89F7">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714B954E">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7BABC399">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077BC4F0">
            <w:pPr>
              <w:adjustRightInd/>
              <w:snapToGrid/>
              <w:spacing w:line="240" w:lineRule="auto"/>
              <w:ind w:firstLine="0" w:firstLineChars="0"/>
              <w:jc w:val="center"/>
              <w:textAlignment w:val="auto"/>
              <w:rPr>
                <w:bCs/>
                <w:kern w:val="2"/>
                <w:sz w:val="21"/>
                <w:szCs w:val="21"/>
                <w:highlight w:val="yellow"/>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323EE482">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42</w:t>
            </w:r>
          </w:p>
        </w:tc>
        <w:tc>
          <w:tcPr>
            <w:tcW w:w="374" w:type="pct"/>
            <w:tcBorders>
              <w:top w:val="single" w:color="auto" w:sz="4" w:space="0"/>
              <w:left w:val="single" w:color="auto" w:sz="4" w:space="0"/>
              <w:bottom w:val="single" w:color="auto" w:sz="4" w:space="0"/>
              <w:right w:val="single" w:color="auto" w:sz="4" w:space="0"/>
            </w:tcBorders>
            <w:vAlign w:val="center"/>
          </w:tcPr>
          <w:p w14:paraId="31D1275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32.5</w:t>
            </w:r>
          </w:p>
        </w:tc>
        <w:tc>
          <w:tcPr>
            <w:tcW w:w="308" w:type="pct"/>
            <w:vMerge w:val="continue"/>
            <w:tcBorders>
              <w:left w:val="single" w:color="auto" w:sz="4" w:space="0"/>
              <w:right w:val="single" w:color="auto" w:sz="4" w:space="0"/>
            </w:tcBorders>
            <w:vAlign w:val="center"/>
          </w:tcPr>
          <w:p w14:paraId="3FDF25D3">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6EBAD4BC">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10801C46">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26.5</w:t>
            </w:r>
          </w:p>
        </w:tc>
        <w:tc>
          <w:tcPr>
            <w:tcW w:w="267" w:type="pct"/>
            <w:tcBorders>
              <w:top w:val="single" w:color="auto" w:sz="4" w:space="0"/>
              <w:left w:val="single" w:color="auto" w:sz="4" w:space="0"/>
              <w:bottom w:val="single" w:color="auto" w:sz="4" w:space="0"/>
            </w:tcBorders>
            <w:vAlign w:val="center"/>
          </w:tcPr>
          <w:p w14:paraId="1DC9532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F9BBF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08" w:type="pct"/>
            <w:vMerge w:val="continue"/>
            <w:tcBorders>
              <w:right w:val="single" w:color="auto" w:sz="4" w:space="0"/>
            </w:tcBorders>
            <w:vAlign w:val="center"/>
          </w:tcPr>
          <w:p w14:paraId="3BDC013F">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bottom w:val="single" w:color="auto" w:sz="4" w:space="0"/>
              <w:right w:val="single" w:color="auto" w:sz="4" w:space="0"/>
            </w:tcBorders>
            <w:vAlign w:val="center"/>
          </w:tcPr>
          <w:p w14:paraId="022891C7">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696D2222">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1AC35DF4">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53F81DD3">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709D0CBA">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53FE3D0C">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5B78CA67">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43F9B17A">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5D1A69EA">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595E129E">
            <w:pPr>
              <w:adjustRightInd/>
              <w:snapToGrid/>
              <w:spacing w:line="240" w:lineRule="auto"/>
              <w:ind w:firstLine="0" w:firstLineChars="0"/>
              <w:jc w:val="center"/>
              <w:textAlignment w:val="auto"/>
              <w:rPr>
                <w:bCs/>
                <w:kern w:val="2"/>
                <w:sz w:val="21"/>
                <w:szCs w:val="21"/>
                <w:highlight w:val="yellow"/>
                <w:u w:val="single"/>
              </w:rPr>
            </w:pPr>
          </w:p>
        </w:tc>
        <w:tc>
          <w:tcPr>
            <w:tcW w:w="375" w:type="pct"/>
            <w:tcBorders>
              <w:top w:val="single" w:color="auto" w:sz="4" w:space="0"/>
              <w:left w:val="single" w:color="auto" w:sz="4" w:space="0"/>
              <w:right w:val="single" w:color="auto" w:sz="4" w:space="0"/>
            </w:tcBorders>
            <w:vAlign w:val="center"/>
          </w:tcPr>
          <w:p w14:paraId="08FD24B9">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26</w:t>
            </w:r>
          </w:p>
        </w:tc>
        <w:tc>
          <w:tcPr>
            <w:tcW w:w="374" w:type="pct"/>
            <w:tcBorders>
              <w:top w:val="single" w:color="auto" w:sz="4" w:space="0"/>
              <w:left w:val="single" w:color="auto" w:sz="4" w:space="0"/>
              <w:right w:val="single" w:color="auto" w:sz="4" w:space="0"/>
            </w:tcBorders>
            <w:vAlign w:val="center"/>
          </w:tcPr>
          <w:p w14:paraId="7276813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36.1</w:t>
            </w:r>
          </w:p>
        </w:tc>
        <w:tc>
          <w:tcPr>
            <w:tcW w:w="308" w:type="pct"/>
            <w:vMerge w:val="continue"/>
            <w:tcBorders>
              <w:left w:val="single" w:color="auto" w:sz="4" w:space="0"/>
              <w:right w:val="single" w:color="auto" w:sz="4" w:space="0"/>
            </w:tcBorders>
            <w:vAlign w:val="center"/>
          </w:tcPr>
          <w:p w14:paraId="4747AA57">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235EAE96">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right w:val="single" w:color="auto" w:sz="4" w:space="0"/>
            </w:tcBorders>
            <w:vAlign w:val="center"/>
          </w:tcPr>
          <w:p w14:paraId="025C8850">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30.1</w:t>
            </w:r>
          </w:p>
        </w:tc>
        <w:tc>
          <w:tcPr>
            <w:tcW w:w="267" w:type="pct"/>
            <w:tcBorders>
              <w:top w:val="single" w:color="auto" w:sz="4" w:space="0"/>
              <w:left w:val="single" w:color="auto" w:sz="4" w:space="0"/>
            </w:tcBorders>
            <w:vAlign w:val="center"/>
          </w:tcPr>
          <w:p w14:paraId="32E6140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bl>
    <w:p w14:paraId="6DF24BDF">
      <w:pPr>
        <w:pStyle w:val="2"/>
        <w:ind w:firstLine="480"/>
        <w:sectPr>
          <w:pgSz w:w="16838" w:h="11906" w:orient="landscape"/>
          <w:pgMar w:top="1797" w:right="1440" w:bottom="1797" w:left="1440" w:header="851" w:footer="992" w:gutter="0"/>
          <w:cols w:space="425" w:num="1"/>
          <w:docGrid w:linePitch="326" w:charSpace="0"/>
        </w:sectPr>
      </w:pPr>
      <w:r>
        <w:t>经预测（详见第5章），新增高噪声设备经减振、隔声等措施治理后，各厂界噪声均能够达到《工业企业厂界环境噪声排放标准》（GB12348-2008）</w:t>
      </w:r>
      <w:r>
        <w:rPr>
          <w:rFonts w:hint="eastAsia"/>
        </w:rPr>
        <w:t>3</w:t>
      </w:r>
      <w:r>
        <w:t>类昼间6</w:t>
      </w:r>
      <w:r>
        <w:rPr>
          <w:rFonts w:hint="eastAsia"/>
        </w:rPr>
        <w:t>5</w:t>
      </w:r>
      <w:r>
        <w:t>dB(A)、夜间5</w:t>
      </w:r>
      <w:r>
        <w:rPr>
          <w:rFonts w:hint="eastAsia"/>
        </w:rPr>
        <w:t>5</w:t>
      </w:r>
      <w:r>
        <w:t>dB(A)标准的要求。</w:t>
      </w:r>
    </w:p>
    <w:p w14:paraId="1D3EBA86">
      <w:pPr>
        <w:pStyle w:val="6"/>
        <w:ind w:left="0" w:firstLine="482" w:firstLineChars="200"/>
      </w:pPr>
      <w:r>
        <w:t>固废</w:t>
      </w:r>
    </w:p>
    <w:p w14:paraId="3FC1D6C2">
      <w:pPr>
        <w:ind w:firstLine="480"/>
        <w:rPr>
          <w:highlight w:val="yellow"/>
          <w:u w:val="single"/>
        </w:rPr>
      </w:pPr>
      <w:bookmarkStart w:id="187" w:name="_Toc428286858"/>
      <w:bookmarkStart w:id="188" w:name="_Toc429318402"/>
      <w:bookmarkStart w:id="189" w:name="_Toc428287219"/>
      <w:r>
        <w:rPr>
          <w:u w:val="single"/>
        </w:rPr>
        <w:t>本项目营运期间产生的固废主要为</w:t>
      </w:r>
      <w:r>
        <w:rPr>
          <w:rFonts w:hint="eastAsia"/>
          <w:u w:val="single"/>
        </w:rPr>
        <w:t>废原料包装袋、生产过程过滤和离心产生的废活性炭、废气治理设施产生的废活性炭、化验室废物、废溶剂包装桶、污水处理站产生的污泥和污油、加热制冷设施产生的废导热油。</w:t>
      </w:r>
    </w:p>
    <w:p w14:paraId="26729AD0">
      <w:pPr>
        <w:pStyle w:val="2"/>
        <w:spacing w:after="0"/>
        <w:ind w:firstLine="480"/>
      </w:pPr>
      <w:r>
        <w:rPr>
          <w:rFonts w:hint="eastAsia"/>
        </w:rPr>
        <w:t>（1）废原料包装袋</w:t>
      </w:r>
    </w:p>
    <w:p w14:paraId="2FED50FC">
      <w:pPr>
        <w:pStyle w:val="2"/>
        <w:spacing w:after="0"/>
        <w:ind w:firstLine="480"/>
        <w:rPr>
          <w:u w:val="single"/>
        </w:rPr>
      </w:pPr>
      <w:r>
        <w:rPr>
          <w:rFonts w:hint="eastAsia"/>
        </w:rPr>
        <w:t>本项目小苏打（碳酸氢钠）、椰壳活性炭和色粉均为袋装，生产过程会产生废包装袋。根据建设单位提供的生产资料，小苏打（碳酸氢钠）、椰壳活性炭包装规格为25kg/袋，色粉包装规格为1t/袋，25kg</w:t>
      </w:r>
      <w:r>
        <w:rPr>
          <w:rFonts w:hint="eastAsia"/>
          <w:szCs w:val="24"/>
        </w:rPr>
        <w:t>包装袋规格为0.1kg/个，</w:t>
      </w:r>
      <w:r>
        <w:rPr>
          <w:rFonts w:hint="eastAsia"/>
        </w:rPr>
        <w:t>1t</w:t>
      </w:r>
      <w:r>
        <w:rPr>
          <w:rFonts w:hint="eastAsia"/>
          <w:szCs w:val="24"/>
        </w:rPr>
        <w:t>包装袋规格为2kg/个。</w:t>
      </w:r>
      <w:r>
        <w:rPr>
          <w:rFonts w:hint="eastAsia"/>
          <w:szCs w:val="24"/>
          <w:u w:val="single"/>
        </w:rPr>
        <w:t>本项目</w:t>
      </w:r>
      <w:r>
        <w:rPr>
          <w:rFonts w:hint="eastAsia"/>
          <w:u w:val="single"/>
        </w:rPr>
        <w:t>小苏打（碳酸氢钠）、椰壳活性炭总用量为50t/a，色粉用量为700.12t/a，则废包装袋产生量约为1.6t/a。评价提出，废原料包装袋在一般固废暂存间暂存，定期出售。</w:t>
      </w:r>
    </w:p>
    <w:p w14:paraId="7CF51213">
      <w:pPr>
        <w:pStyle w:val="2"/>
        <w:spacing w:after="0"/>
        <w:ind w:firstLine="480"/>
      </w:pPr>
      <w:r>
        <w:rPr>
          <w:rFonts w:hint="eastAsia"/>
        </w:rPr>
        <w:t>（2）生产过程过滤和离心产生的废活性炭</w:t>
      </w:r>
    </w:p>
    <w:p w14:paraId="22CF4E07">
      <w:pPr>
        <w:ind w:firstLine="480"/>
      </w:pPr>
      <w:r>
        <w:rPr>
          <w:rFonts w:hint="eastAsia"/>
          <w:u w:val="single"/>
        </w:rPr>
        <w:t>根据物料平衡，项目生产过程过滤和离心产生的废活性炭的产生量为81.25t/a。</w:t>
      </w:r>
      <w:r>
        <w:t>根据《国家危险废物名录》（2021年版）可知，</w:t>
      </w:r>
      <w:r>
        <w:rPr>
          <w:rFonts w:hint="eastAsia"/>
        </w:rPr>
        <w:t>生产过程过滤和离心产生的废活性炭属于“HW49其他废物”中的“900-039-49烟气、VOCs治理过程（不包括餐饮行业油烟治理过程）产生的废活性炭，化学原料和化学制品脱色（不包括有机合成食品添加剂脱色）、除杂、净化过程产生的废活性炭（不包括900-405-06、772-005-18、261-053-29、265-002-29、384-003-29、387-001-29类废物）”，</w:t>
      </w:r>
      <w:r>
        <w:t>属于危险废物。</w:t>
      </w:r>
      <w:r>
        <w:rPr>
          <w:rFonts w:hint="eastAsia"/>
        </w:rPr>
        <w:t>废活性炭</w:t>
      </w:r>
      <w:r>
        <w:t>暂存于</w:t>
      </w:r>
      <w:r>
        <w:rPr>
          <w:rFonts w:hint="eastAsia"/>
        </w:rPr>
        <w:t>危险废物贮存库</w:t>
      </w:r>
      <w:r>
        <w:t>内，定期交由有资质单位处置。</w:t>
      </w:r>
    </w:p>
    <w:p w14:paraId="5FB57B5C">
      <w:pPr>
        <w:pStyle w:val="2"/>
        <w:spacing w:after="0"/>
        <w:ind w:firstLine="480"/>
      </w:pPr>
      <w:r>
        <w:rPr>
          <w:rFonts w:hint="eastAsia"/>
        </w:rPr>
        <w:t>（3）废气治理设施产生的废活性炭</w:t>
      </w:r>
    </w:p>
    <w:p w14:paraId="590BE782">
      <w:pPr>
        <w:ind w:firstLine="480"/>
        <w:rPr>
          <w:u w:val="single"/>
        </w:rPr>
      </w:pPr>
      <w:r>
        <w:rPr>
          <w:rFonts w:hint="eastAsia"/>
          <w:u w:val="single"/>
        </w:rPr>
        <w:t>本项目废气经废气治理设施处理后会产生废活性炭。根据废气工程分析，工艺废气进入“设备自带冷凝+碱喷淋+</w:t>
      </w:r>
      <w:r>
        <w:rPr>
          <w:u w:val="single"/>
        </w:rPr>
        <w:t>水喷淋</w:t>
      </w:r>
      <w:r>
        <w:rPr>
          <w:rFonts w:hint="eastAsia"/>
          <w:u w:val="single"/>
        </w:rPr>
        <w:t>+除雾器+</w:t>
      </w:r>
      <w:r>
        <w:rPr>
          <w:u w:val="single"/>
        </w:rPr>
        <w:t>活性炭吸附装置</w:t>
      </w:r>
      <w:r>
        <w:rPr>
          <w:rFonts w:hint="eastAsia"/>
          <w:u w:val="single"/>
        </w:rPr>
        <w:t>”的非甲烷总烃量为7.8t/a，设备自带冷凝对非甲烷总烃的去除效率以90%计， “碱喷淋和水喷淋”对非甲烷总烃的去除效率以50%计，活性炭对非甲烷总烃的去除效率以80%计，则活性炭对非甲烷总烃的吸附量为0.312t/a。</w:t>
      </w:r>
      <w:r>
        <w:rPr>
          <w:bCs/>
          <w:u w:val="single"/>
        </w:rPr>
        <w:t>经查阅相关资料，活性炭对有机废气的吸附容量约为0.3kg/kg（活性炭）</w:t>
      </w:r>
      <w:r>
        <w:rPr>
          <w:rFonts w:hint="eastAsia"/>
          <w:bCs/>
          <w:u w:val="single"/>
        </w:rPr>
        <w:t>，则需要活性炭量为1.04t/a。</w:t>
      </w:r>
    </w:p>
    <w:p w14:paraId="79847222">
      <w:pPr>
        <w:pStyle w:val="2"/>
        <w:spacing w:after="0"/>
        <w:ind w:firstLine="480"/>
        <w:rPr>
          <w:bCs/>
          <w:u w:val="single"/>
        </w:rPr>
      </w:pPr>
      <w:r>
        <w:rPr>
          <w:bCs/>
          <w:u w:val="single"/>
        </w:rPr>
        <w:t>为防止活性炭在后半期使用中吸附能力降低产生废气排放不达标以及活性炭更换时出现废气未经治理直接排放现象</w:t>
      </w:r>
      <w:r>
        <w:rPr>
          <w:rFonts w:hint="eastAsia"/>
          <w:bCs/>
          <w:u w:val="single"/>
        </w:rPr>
        <w:t>，</w:t>
      </w:r>
      <w:r>
        <w:rPr>
          <w:bCs/>
          <w:u w:val="single"/>
        </w:rPr>
        <w:t>评价提出活性炭吸附装置配备两个活性炭吸附罐</w:t>
      </w:r>
      <w:r>
        <w:rPr>
          <w:rFonts w:hint="eastAsia"/>
          <w:bCs/>
          <w:u w:val="single"/>
        </w:rPr>
        <w:t>。</w:t>
      </w:r>
      <w:r>
        <w:rPr>
          <w:bCs/>
          <w:u w:val="single"/>
        </w:rPr>
        <w:t>活性炭吸附装置1#活性炭储罐内活性炭吸附量达到</w:t>
      </w:r>
      <w:r>
        <w:rPr>
          <w:rFonts w:hint="eastAsia"/>
          <w:bCs/>
          <w:u w:val="single"/>
        </w:rPr>
        <w:t>8</w:t>
      </w:r>
      <w:r>
        <w:rPr>
          <w:bCs/>
          <w:u w:val="single"/>
        </w:rPr>
        <w:t>0%左右，此时活性炭吸附能力已减弱，为保证废气稳定达标排放，切换单独使用2#活性炭储罐，然后对1#活性炭储罐进行更换，以此类推，</w:t>
      </w:r>
      <w:r>
        <w:rPr>
          <w:rFonts w:hint="eastAsia"/>
          <w:bCs/>
          <w:u w:val="single"/>
        </w:rPr>
        <w:t>每</w:t>
      </w:r>
      <w:r>
        <w:rPr>
          <w:bCs/>
          <w:u w:val="single"/>
        </w:rPr>
        <w:t>个活性炭罐交替使用。因此</w:t>
      </w:r>
      <w:r>
        <w:rPr>
          <w:rFonts w:hint="eastAsia"/>
          <w:bCs/>
          <w:u w:val="single"/>
        </w:rPr>
        <w:t>“活性炭吸附装置”中单个活性炭</w:t>
      </w:r>
      <w:r>
        <w:rPr>
          <w:bCs/>
          <w:u w:val="single"/>
        </w:rPr>
        <w:t>罐储量为</w:t>
      </w:r>
      <w:r>
        <w:rPr>
          <w:rFonts w:hint="eastAsia"/>
          <w:bCs/>
          <w:u w:val="single"/>
        </w:rPr>
        <w:t>0.65t，</w:t>
      </w:r>
      <w:r>
        <w:rPr>
          <w:bCs/>
          <w:u w:val="single"/>
        </w:rPr>
        <w:t>两个活性炭罐每</w:t>
      </w:r>
      <w:r>
        <w:rPr>
          <w:rFonts w:hint="eastAsia"/>
          <w:bCs/>
          <w:u w:val="single"/>
        </w:rPr>
        <w:t>一年更换1次</w:t>
      </w:r>
      <w:r>
        <w:rPr>
          <w:bCs/>
          <w:u w:val="single"/>
        </w:rPr>
        <w:t>活性炭</w:t>
      </w:r>
      <w:r>
        <w:rPr>
          <w:rFonts w:hint="eastAsia"/>
          <w:bCs/>
          <w:u w:val="single"/>
        </w:rPr>
        <w:t>，</w:t>
      </w:r>
      <w:r>
        <w:rPr>
          <w:bCs/>
          <w:u w:val="single"/>
        </w:rPr>
        <w:t>每次更换量为</w:t>
      </w:r>
      <w:r>
        <w:rPr>
          <w:rFonts w:hint="eastAsia"/>
          <w:bCs/>
          <w:u w:val="single"/>
        </w:rPr>
        <w:t>0.65t，年更换量为1.3t/a。</w:t>
      </w:r>
    </w:p>
    <w:p w14:paraId="7200E835">
      <w:pPr>
        <w:pStyle w:val="2"/>
        <w:spacing w:after="0"/>
        <w:ind w:firstLine="480"/>
        <w:rPr>
          <w:u w:val="single"/>
        </w:rPr>
      </w:pPr>
      <w:r>
        <w:rPr>
          <w:rFonts w:hint="eastAsia"/>
          <w:bCs/>
          <w:u w:val="single"/>
        </w:rPr>
        <w:t>根据《国家危险废物名录》（2021年版）可知，废活性炭属于“HW49其他废物”中的“900-039-49烟气、VOCs治理过程（不包括餐饮行业油烟治理过程）产生的废活性炭，化学原料和化学制品脱色（不包括有机合成食品添加剂脱色）、除杂、净化过程产生的废活性炭（不包括900-405-06、772-005-18、261-053-29、265-002-29、384-003-29、387-001-29类废物）”，属于危险废物。废活性炭暂存于危险废物贮存库内，定期交由有资质危险单位处置。</w:t>
      </w:r>
    </w:p>
    <w:p w14:paraId="4E1A1816">
      <w:pPr>
        <w:ind w:firstLine="480"/>
      </w:pPr>
      <w:r>
        <w:rPr>
          <w:rFonts w:hint="eastAsia"/>
        </w:rPr>
        <w:t>（4）化验室废物</w:t>
      </w:r>
    </w:p>
    <w:p w14:paraId="5A1AF150">
      <w:pPr>
        <w:pStyle w:val="2"/>
        <w:spacing w:after="0"/>
        <w:ind w:firstLine="480"/>
      </w:pPr>
      <w:r>
        <w:t>本项目拟设置化验室，对产品质量进行检测，</w:t>
      </w:r>
      <w:r>
        <w:rPr>
          <w:rFonts w:hint="eastAsia"/>
        </w:rPr>
        <w:t>检测过程会产生废样品、废试剂、废试剂瓶等，产生量约为0.1t/a。另外，根据建设单位提供资料，本项目化验室清洗水产生量约为0.02t/d（5t/a）。根据</w:t>
      </w:r>
      <w:r>
        <w:t>《国家危险废物名录》（2021年版）可知，</w:t>
      </w:r>
      <w:r>
        <w:rPr>
          <w:rFonts w:hint="eastAsia"/>
        </w:rPr>
        <w:t>化验室验室废物</w:t>
      </w:r>
      <w:r>
        <w:t>属于“HW49其他废物”中的“900-047-49</w:t>
      </w:r>
      <w:r>
        <w:rPr>
          <w:rFonts w:hint="eastAsia"/>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t>”，属于危险废物。</w:t>
      </w:r>
      <w:r>
        <w:rPr>
          <w:rFonts w:hint="eastAsia"/>
        </w:rPr>
        <w:t>化验室废物</w:t>
      </w:r>
      <w:r>
        <w:t>暂存于危废贮存库内，定期委托有危废资质的单位处置。</w:t>
      </w:r>
    </w:p>
    <w:p w14:paraId="3A4BAAC1">
      <w:pPr>
        <w:ind w:firstLine="480"/>
      </w:pPr>
      <w:r>
        <w:rPr>
          <w:rFonts w:hint="eastAsia"/>
        </w:rPr>
        <w:t>（5）废溶剂包装桶</w:t>
      </w:r>
    </w:p>
    <w:p w14:paraId="19777FCA">
      <w:pPr>
        <w:pStyle w:val="2"/>
        <w:spacing w:after="0"/>
        <w:ind w:firstLine="480"/>
      </w:pPr>
      <w:r>
        <w:rPr>
          <w:rFonts w:hint="eastAsia"/>
          <w:u w:val="single"/>
        </w:rPr>
        <w:t>本项目硫酸、封端聚醚、二丙二醇、三羟基聚氧化丙烯氧化乙烯醚均为吨桶装，K</w:t>
      </w:r>
      <w:r>
        <w:rPr>
          <w:u w:val="single"/>
        </w:rPr>
        <w:t>F-99</w:t>
      </w:r>
      <w:r>
        <w:rPr>
          <w:rFonts w:hint="eastAsia"/>
          <w:u w:val="single"/>
        </w:rPr>
        <w:t>、D</w:t>
      </w:r>
      <w:r>
        <w:rPr>
          <w:u w:val="single"/>
        </w:rPr>
        <w:t>4</w:t>
      </w:r>
      <w:r>
        <w:rPr>
          <w:rFonts w:hint="eastAsia"/>
          <w:u w:val="single"/>
        </w:rPr>
        <w:t>均为200kg/桶，双氧水为25kg/桶，使用过后会产生废包装桶。本项目硫酸、封端聚醚、二丙二醇、三羟基聚氧化丙烯氧化乙烯醚年使用量总计为9315.3075t，年产生的废吨桶约为9115个；D</w:t>
      </w:r>
      <w:r>
        <w:rPr>
          <w:u w:val="single"/>
        </w:rPr>
        <w:t>4</w:t>
      </w:r>
      <w:r>
        <w:rPr>
          <w:rFonts w:hint="eastAsia"/>
          <w:u w:val="single"/>
        </w:rPr>
        <w:t>年用量为769.135t、K</w:t>
      </w:r>
      <w:r>
        <w:rPr>
          <w:u w:val="single"/>
        </w:rPr>
        <w:t>F-99</w:t>
      </w:r>
      <w:r>
        <w:rPr>
          <w:rFonts w:hint="eastAsia"/>
          <w:u w:val="single"/>
        </w:rPr>
        <w:t>年用量为256.5025t，年产生的废桶约为5128个；双氧水年用量为1.25t，则年产生的废桶为50个。</w:t>
      </w:r>
      <w:r>
        <w:t>根据《固体废物鉴别标准通则》（GB</w:t>
      </w:r>
      <w:r>
        <w:rPr>
          <w:rFonts w:hint="eastAsia"/>
        </w:rPr>
        <w:t xml:space="preserve"> </w:t>
      </w:r>
      <w:r>
        <w:t>34330-2017）第6.1条的a）类，任何不需要修复和加工即可用于其原始用途的物质，或者在产生点经过修复和加工后满足国家、地方制定或行业通行的产品质量标准并且用于原始用途的物质不作为固体废物管理。本项目产生的</w:t>
      </w:r>
      <w:r>
        <w:rPr>
          <w:rFonts w:hint="eastAsia"/>
        </w:rPr>
        <w:t>溶剂包装桶</w:t>
      </w:r>
      <w:r>
        <w:t>交由生产厂家回收并回用于原始用途，因此</w:t>
      </w:r>
      <w:r>
        <w:rPr>
          <w:rFonts w:hint="eastAsia"/>
        </w:rPr>
        <w:t>本项目产生的废溶剂包装桶不再作为固体废物管理。</w:t>
      </w:r>
      <w:r>
        <w:t>对于厂区内尚未转移出去的包装桶，建议在厂区内设置专门的暂存点，参照</w:t>
      </w:r>
      <w:r>
        <w:rPr>
          <w:rFonts w:hint="eastAsia"/>
        </w:rPr>
        <w:t>《危险废物贮存污染控制标准》（GB18597-2023）</w:t>
      </w:r>
      <w:r>
        <w:t>的相关要求对包装桶进行收集、暂存。</w:t>
      </w:r>
    </w:p>
    <w:p w14:paraId="43191132">
      <w:pPr>
        <w:ind w:firstLine="480"/>
        <w:rPr>
          <w:u w:val="single"/>
        </w:rPr>
      </w:pPr>
      <w:r>
        <w:rPr>
          <w:rFonts w:hint="eastAsia"/>
          <w:u w:val="single"/>
        </w:rPr>
        <w:t>（6）污水处理站污泥和污油</w:t>
      </w:r>
    </w:p>
    <w:p w14:paraId="2EAA8C5F">
      <w:pPr>
        <w:pStyle w:val="2"/>
        <w:spacing w:after="0"/>
        <w:ind w:firstLine="480"/>
        <w:rPr>
          <w:u w:val="single"/>
        </w:rPr>
      </w:pPr>
      <w:r>
        <w:rPr>
          <w:rFonts w:hint="eastAsia"/>
          <w:u w:val="single"/>
        </w:rPr>
        <w:t>①污泥</w:t>
      </w:r>
    </w:p>
    <w:p w14:paraId="67F9990B">
      <w:pPr>
        <w:pStyle w:val="2"/>
        <w:spacing w:after="0"/>
        <w:ind w:firstLine="480"/>
      </w:pPr>
      <w:r>
        <w:t>根据《集中式污染治理设施产排污系数手册》（2010修订），</w:t>
      </w:r>
      <w:r>
        <w:rPr>
          <w:rFonts w:hint="eastAsia"/>
        </w:rPr>
        <w:t>污泥产生量一般由物理污泥/生化污泥和化学污泥三部分组成。其中，工业废水集中处理设施核算污泥产生量可按下式计算：</w:t>
      </w:r>
    </w:p>
    <w:p w14:paraId="6D7124A4">
      <w:pPr>
        <w:pStyle w:val="2"/>
        <w:spacing w:before="120" w:beforeLines="50" w:after="0"/>
        <w:ind w:firstLine="480"/>
      </w:pPr>
      <w:r>
        <w:object>
          <v:shape id="_x0000_i1025" o:spt="75" alt="" type="#_x0000_t75" style="height:21.15pt;width:115.85pt;" o:ole="t" filled="f" o:preferrelative="t" stroked="f" coordsize="21600,21600">
            <v:path/>
            <v:fill on="f" focussize="0,0"/>
            <v:stroke on="f"/>
            <v:imagedata r:id="rId67" o:title=""/>
            <o:lock v:ext="edit" aspectratio="t"/>
            <w10:wrap type="none"/>
            <w10:anchorlock/>
          </v:shape>
          <o:OLEObject Type="Embed" ProgID="Equation.3" ShapeID="_x0000_i1025" DrawAspect="Content" ObjectID="_1468075725" r:id="rId66">
            <o:LockedField>false</o:LockedField>
          </o:OLEObject>
        </w:object>
      </w:r>
    </w:p>
    <w:p w14:paraId="2897AC21">
      <w:pPr>
        <w:pStyle w:val="2"/>
        <w:spacing w:after="0"/>
        <w:ind w:firstLine="480"/>
      </w:pPr>
      <w:r>
        <w:rPr>
          <w:rFonts w:hint="eastAsia"/>
        </w:rPr>
        <w:t>式中：</w:t>
      </w:r>
    </w:p>
    <w:p w14:paraId="5DB32DE7">
      <w:pPr>
        <w:pStyle w:val="2"/>
        <w:spacing w:after="0"/>
        <w:ind w:firstLine="480"/>
      </w:pPr>
      <w:r>
        <w:t>S：污水处理厂含水率80%的污泥产生量，t/a；</w:t>
      </w:r>
    </w:p>
    <w:p w14:paraId="3DF4CE6F">
      <w:pPr>
        <w:pStyle w:val="2"/>
        <w:spacing w:after="0"/>
        <w:ind w:firstLine="480"/>
      </w:pPr>
      <w:r>
        <w:t>K</w:t>
      </w:r>
      <w:r>
        <w:rPr>
          <w:vertAlign w:val="subscript"/>
        </w:rPr>
        <w:t>4</w:t>
      </w:r>
      <w:r>
        <w:t>：物理与生化污泥综合产生系数，t/万t—废水处理量，系数取值见《集中式污染治理设施产排污系数手册》（2010修订）中第一册“表4”，本项目取</w:t>
      </w:r>
      <w:r>
        <w:rPr>
          <w:rFonts w:hint="eastAsia"/>
        </w:rPr>
        <w:t>化工</w:t>
      </w:r>
      <w:r>
        <w:t>工业“</w:t>
      </w:r>
      <w:r>
        <w:rPr>
          <w:rFonts w:hint="eastAsia"/>
        </w:rPr>
        <w:t>7.5</w:t>
      </w:r>
      <w:r>
        <w:t>t/万t—废水处理量”；</w:t>
      </w:r>
    </w:p>
    <w:p w14:paraId="73A05828">
      <w:pPr>
        <w:pStyle w:val="2"/>
        <w:spacing w:after="0"/>
        <w:ind w:firstLine="480"/>
      </w:pPr>
      <w:r>
        <w:t>Q：污水处理量，万t/a；</w:t>
      </w:r>
    </w:p>
    <w:p w14:paraId="6962DC95">
      <w:pPr>
        <w:pStyle w:val="2"/>
        <w:spacing w:after="0"/>
        <w:ind w:firstLine="480"/>
      </w:pPr>
      <w:r>
        <w:t>K</w:t>
      </w:r>
      <w:r>
        <w:rPr>
          <w:rFonts w:hint="eastAsia"/>
          <w:vertAlign w:val="subscript"/>
        </w:rPr>
        <w:t>3</w:t>
      </w:r>
      <w:r>
        <w:t>：化学污泥产生系数，t/t—絮凝剂使用量，系数取值见《集中式污染治理设施产排污系数手册》（2010修订）中第一册“表3”，即4.53t/t—絮凝剂使用量；</w:t>
      </w:r>
    </w:p>
    <w:p w14:paraId="6DD59AE8">
      <w:pPr>
        <w:pStyle w:val="2"/>
        <w:spacing w:after="0"/>
        <w:ind w:firstLine="480"/>
      </w:pPr>
      <w:r>
        <w:rPr>
          <w:rFonts w:hint="eastAsia"/>
        </w:rPr>
        <w:t>C：无机絮凝剂使用总量，t/a，</w:t>
      </w:r>
      <w:r>
        <w:rPr>
          <w:rFonts w:hint="eastAsia"/>
          <w:u w:val="single"/>
        </w:rPr>
        <w:t>本项目无机絮凝剂使用总量约为2.2t/a。</w:t>
      </w:r>
    </w:p>
    <w:p w14:paraId="496C5C1F">
      <w:pPr>
        <w:pStyle w:val="2"/>
        <w:spacing w:after="0"/>
        <w:ind w:firstLine="480"/>
        <w:rPr>
          <w:u w:val="single"/>
        </w:rPr>
      </w:pPr>
      <w:r>
        <w:rPr>
          <w:rFonts w:hint="eastAsia"/>
          <w:u w:val="single"/>
        </w:rPr>
        <w:t>经计算，本项目含水率80%污泥产生量约为11.61t/a。污泥经压滤机压滤后含水率可达到60%，则含水率60%污泥产生量约为5.81t/a。根据</w:t>
      </w:r>
      <w:r>
        <w:rPr>
          <w:u w:val="single"/>
        </w:rPr>
        <w:t>《国家危险废物名录》（2021年版）可知，</w:t>
      </w:r>
      <w:r>
        <w:rPr>
          <w:rFonts w:hint="eastAsia"/>
          <w:u w:val="single"/>
        </w:rPr>
        <w:t>污水处理站污泥</w:t>
      </w:r>
      <w:r>
        <w:rPr>
          <w:u w:val="single"/>
        </w:rPr>
        <w:t>属于“HW49其他废物”中的“</w:t>
      </w:r>
      <w:r>
        <w:rPr>
          <w:rFonts w:hint="eastAsia"/>
          <w:u w:val="single"/>
        </w:rPr>
        <w:t>772-006-</w:t>
      </w:r>
      <w:r>
        <w:rPr>
          <w:u w:val="single"/>
        </w:rPr>
        <w:t>49</w:t>
      </w:r>
      <w:r>
        <w:rPr>
          <w:rFonts w:hint="eastAsia"/>
          <w:u w:val="single"/>
        </w:rPr>
        <w:t>采用物理、化学、物理化学或生物方法处理或处置毒性或感染性危险废物过程中产生的废水处理污泥、残渣（液）</w:t>
      </w:r>
      <w:r>
        <w:rPr>
          <w:u w:val="single"/>
        </w:rPr>
        <w:t>”，属于危险废物。</w:t>
      </w:r>
      <w:r>
        <w:rPr>
          <w:rFonts w:hint="eastAsia"/>
          <w:u w:val="single"/>
        </w:rPr>
        <w:t>污水处理站污泥</w:t>
      </w:r>
      <w:r>
        <w:rPr>
          <w:u w:val="single"/>
        </w:rPr>
        <w:t>暂存于危废贮存库内，定期委托有危废资质的单位处置。</w:t>
      </w:r>
    </w:p>
    <w:p w14:paraId="1E2F91AA">
      <w:pPr>
        <w:ind w:firstLine="480"/>
        <w:rPr>
          <w:u w:val="single"/>
        </w:rPr>
      </w:pPr>
      <w:r>
        <w:rPr>
          <w:rFonts w:hint="eastAsia"/>
          <w:u w:val="single"/>
        </w:rPr>
        <w:t>②污油</w:t>
      </w:r>
    </w:p>
    <w:p w14:paraId="6134D368">
      <w:pPr>
        <w:pStyle w:val="2"/>
        <w:spacing w:after="0"/>
        <w:ind w:firstLine="480"/>
        <w:rPr>
          <w:u w:val="single"/>
        </w:rPr>
      </w:pPr>
      <w:r>
        <w:rPr>
          <w:rFonts w:hint="eastAsia"/>
          <w:u w:val="single"/>
        </w:rPr>
        <w:t>根据第三章废水工程分析，“隔油池+气浮”去除掉的石油类量约为0.055t/a，则本项目产生的污油量0.055t/a。根据</w:t>
      </w:r>
      <w:r>
        <w:rPr>
          <w:u w:val="single"/>
        </w:rPr>
        <w:t>《国家危险废物名录》（2021年版）可知，</w:t>
      </w:r>
      <w:r>
        <w:rPr>
          <w:rFonts w:hint="eastAsia"/>
          <w:u w:val="single"/>
        </w:rPr>
        <w:t>污油属于</w:t>
      </w:r>
      <w:r>
        <w:rPr>
          <w:u w:val="single"/>
        </w:rPr>
        <w:t>“HW</w:t>
      </w:r>
      <w:r>
        <w:rPr>
          <w:rFonts w:hint="eastAsia"/>
          <w:u w:val="single"/>
        </w:rPr>
        <w:t>08废矿物油与含矿物油废物</w:t>
      </w:r>
      <w:r>
        <w:rPr>
          <w:u w:val="single"/>
        </w:rPr>
        <w:t>”中的“</w:t>
      </w:r>
      <w:r>
        <w:rPr>
          <w:rFonts w:hint="eastAsia"/>
          <w:u w:val="single"/>
        </w:rPr>
        <w:t>900-210-08 含油废水处理中隔油、气浮、沉淀等处理过程中产生的浮油、浮渣和污泥（不包括废水生化处理污泥）</w:t>
      </w:r>
      <w:r>
        <w:rPr>
          <w:u w:val="single"/>
        </w:rPr>
        <w:t>”，属于危险废物。</w:t>
      </w:r>
      <w:r>
        <w:rPr>
          <w:rFonts w:hint="eastAsia"/>
          <w:u w:val="single"/>
        </w:rPr>
        <w:t>污油</w:t>
      </w:r>
      <w:r>
        <w:rPr>
          <w:u w:val="single"/>
        </w:rPr>
        <w:t>暂存于危废贮存库内，定期委托有危废资质的单位处置。</w:t>
      </w:r>
    </w:p>
    <w:p w14:paraId="7C3B7C51">
      <w:pPr>
        <w:ind w:firstLine="480"/>
        <w:rPr>
          <w:u w:val="single"/>
        </w:rPr>
      </w:pPr>
      <w:r>
        <w:rPr>
          <w:rFonts w:hint="eastAsia"/>
          <w:u w:val="single"/>
        </w:rPr>
        <w:t>（7）废导热油</w:t>
      </w:r>
    </w:p>
    <w:p w14:paraId="3388A102">
      <w:pPr>
        <w:pStyle w:val="2"/>
        <w:spacing w:after="0"/>
        <w:ind w:firstLine="480"/>
      </w:pPr>
      <w:r>
        <w:rPr>
          <w:rFonts w:hint="eastAsia"/>
          <w:u w:val="single"/>
        </w:rPr>
        <w:t>本项目采用导热油对工艺中的反应釜进行升温和降温，每使用5年更换一次，每次更换量为17t。</w:t>
      </w:r>
      <w:r>
        <w:rPr>
          <w:rFonts w:hint="eastAsia"/>
        </w:rPr>
        <w:t>根据</w:t>
      </w:r>
      <w:r>
        <w:t>《国家危险废物名录》（2021年版）可知，</w:t>
      </w:r>
      <w:r>
        <w:rPr>
          <w:rFonts w:hint="eastAsia"/>
        </w:rPr>
        <w:t>废导热油属于</w:t>
      </w:r>
      <w:r>
        <w:t>“HW</w:t>
      </w:r>
      <w:r>
        <w:rPr>
          <w:rFonts w:hint="eastAsia"/>
        </w:rPr>
        <w:t>08废矿物油与含矿物油废物</w:t>
      </w:r>
      <w:r>
        <w:t>”中的“</w:t>
      </w:r>
      <w:r>
        <w:rPr>
          <w:rFonts w:hint="eastAsia"/>
        </w:rPr>
        <w:t>900-249-08 其他生产、销售、使用过程中产生的废矿物油及沾染矿物油的废弃包装物</w:t>
      </w:r>
      <w:r>
        <w:t>”，属于危险废物。</w:t>
      </w:r>
      <w:r>
        <w:rPr>
          <w:rFonts w:hint="eastAsia"/>
        </w:rPr>
        <w:t>废导热油</w:t>
      </w:r>
      <w:r>
        <w:t>暂存于危废贮存库内，定期委托有危废资质的单位处置。</w:t>
      </w:r>
    </w:p>
    <w:p w14:paraId="1D3EBA88">
      <w:pPr>
        <w:ind w:firstLine="480"/>
      </w:pPr>
      <w:r>
        <w:rPr>
          <w:rFonts w:hint="eastAsia"/>
        </w:rPr>
        <w:t>综上，</w:t>
      </w:r>
      <w:r>
        <w:t>本项目</w:t>
      </w:r>
      <w:r>
        <w:rPr>
          <w:snapToGrid w:val="0"/>
        </w:rPr>
        <w:t>固废产生及处置措施见下表</w:t>
      </w:r>
      <w:r>
        <w:t>：</w:t>
      </w:r>
    </w:p>
    <w:p w14:paraId="1D3EBA89">
      <w:pPr>
        <w:pStyle w:val="99"/>
        <w:numPr>
          <w:ilvl w:val="4"/>
          <w:numId w:val="20"/>
        </w:numPr>
        <w:ind w:left="0" w:firstLine="480"/>
        <w:rPr>
          <w:rFonts w:eastAsia="黑体"/>
        </w:rPr>
      </w:pPr>
      <w:r>
        <w:rPr>
          <w:rFonts w:eastAsia="黑体"/>
        </w:rPr>
        <w:t xml:space="preserve">          本项目固体废物产生及处置情况</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28" w:type="dxa"/>
          <w:bottom w:w="0" w:type="dxa"/>
          <w:right w:w="28" w:type="dxa"/>
        </w:tblCellMar>
      </w:tblPr>
      <w:tblGrid>
        <w:gridCol w:w="1421"/>
        <w:gridCol w:w="1573"/>
        <w:gridCol w:w="1573"/>
        <w:gridCol w:w="1526"/>
        <w:gridCol w:w="2275"/>
      </w:tblGrid>
      <w:tr w14:paraId="1D3EBA9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1D3EBA8B">
            <w:pPr>
              <w:pStyle w:val="67"/>
              <w:rPr>
                <w:rFonts w:cs="Times New Roman"/>
                <w:color w:val="auto"/>
                <w:u w:val="single"/>
              </w:rPr>
            </w:pPr>
            <w:r>
              <w:rPr>
                <w:rFonts w:cs="Times New Roman"/>
                <w:color w:val="auto"/>
                <w:u w:val="single"/>
              </w:rPr>
              <w:t>产污环节</w:t>
            </w:r>
          </w:p>
        </w:tc>
        <w:tc>
          <w:tcPr>
            <w:tcW w:w="940" w:type="pct"/>
            <w:shd w:val="clear" w:color="auto" w:fill="auto"/>
            <w:vAlign w:val="center"/>
          </w:tcPr>
          <w:p w14:paraId="1D3EBA8C">
            <w:pPr>
              <w:pStyle w:val="67"/>
              <w:rPr>
                <w:rFonts w:cs="Times New Roman"/>
                <w:color w:val="auto"/>
                <w:u w:val="single"/>
              </w:rPr>
            </w:pPr>
            <w:r>
              <w:rPr>
                <w:rFonts w:cs="Times New Roman"/>
                <w:color w:val="auto"/>
                <w:u w:val="single"/>
              </w:rPr>
              <w:t>固废名称</w:t>
            </w:r>
          </w:p>
        </w:tc>
        <w:tc>
          <w:tcPr>
            <w:tcW w:w="940" w:type="pct"/>
            <w:shd w:val="clear" w:color="auto" w:fill="auto"/>
            <w:vAlign w:val="center"/>
          </w:tcPr>
          <w:p w14:paraId="1D3EBA8D">
            <w:pPr>
              <w:pStyle w:val="67"/>
              <w:rPr>
                <w:rFonts w:cs="Times New Roman"/>
                <w:color w:val="auto"/>
                <w:u w:val="single"/>
              </w:rPr>
            </w:pPr>
            <w:r>
              <w:rPr>
                <w:rFonts w:cs="Times New Roman"/>
                <w:color w:val="auto"/>
                <w:u w:val="single"/>
              </w:rPr>
              <w:t>废物特性</w:t>
            </w:r>
          </w:p>
        </w:tc>
        <w:tc>
          <w:tcPr>
            <w:tcW w:w="912" w:type="pct"/>
            <w:shd w:val="clear" w:color="auto" w:fill="auto"/>
            <w:vAlign w:val="center"/>
          </w:tcPr>
          <w:p w14:paraId="1D3EBA8E">
            <w:pPr>
              <w:pStyle w:val="67"/>
              <w:rPr>
                <w:rFonts w:cs="Times New Roman"/>
                <w:color w:val="auto"/>
                <w:u w:val="single"/>
              </w:rPr>
            </w:pPr>
            <w:r>
              <w:rPr>
                <w:rFonts w:cs="Times New Roman"/>
                <w:color w:val="auto"/>
                <w:u w:val="single"/>
              </w:rPr>
              <w:t>产生量（t/a）</w:t>
            </w:r>
          </w:p>
        </w:tc>
        <w:tc>
          <w:tcPr>
            <w:tcW w:w="1359" w:type="pct"/>
            <w:shd w:val="clear" w:color="auto" w:fill="auto"/>
            <w:vAlign w:val="center"/>
          </w:tcPr>
          <w:p w14:paraId="1D3EBA8F">
            <w:pPr>
              <w:pStyle w:val="67"/>
              <w:rPr>
                <w:rFonts w:cs="Times New Roman"/>
                <w:color w:val="auto"/>
                <w:u w:val="single"/>
              </w:rPr>
            </w:pPr>
            <w:r>
              <w:rPr>
                <w:rFonts w:cs="Times New Roman"/>
                <w:color w:val="auto"/>
                <w:u w:val="single"/>
              </w:rPr>
              <w:t>治理措施</w:t>
            </w:r>
          </w:p>
        </w:tc>
      </w:tr>
      <w:tr w14:paraId="1D3EBA9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1D3EBA92">
            <w:pPr>
              <w:pStyle w:val="62"/>
              <w:rPr>
                <w:u w:val="single"/>
              </w:rPr>
            </w:pPr>
            <w:r>
              <w:rPr>
                <w:rFonts w:hint="eastAsia"/>
                <w:u w:val="single"/>
              </w:rPr>
              <w:t>原料包装</w:t>
            </w:r>
          </w:p>
        </w:tc>
        <w:tc>
          <w:tcPr>
            <w:tcW w:w="940" w:type="pct"/>
            <w:shd w:val="clear" w:color="auto" w:fill="auto"/>
            <w:vAlign w:val="center"/>
          </w:tcPr>
          <w:p w14:paraId="1D3EBA93">
            <w:pPr>
              <w:pStyle w:val="62"/>
              <w:rPr>
                <w:u w:val="single"/>
              </w:rPr>
            </w:pPr>
            <w:r>
              <w:rPr>
                <w:rFonts w:hint="eastAsia"/>
                <w:u w:val="single"/>
              </w:rPr>
              <w:t>废原料包装袋</w:t>
            </w:r>
          </w:p>
        </w:tc>
        <w:tc>
          <w:tcPr>
            <w:tcW w:w="940" w:type="pct"/>
            <w:shd w:val="clear" w:color="auto" w:fill="auto"/>
            <w:vAlign w:val="center"/>
          </w:tcPr>
          <w:p w14:paraId="1D3EBA94">
            <w:pPr>
              <w:pStyle w:val="62"/>
              <w:rPr>
                <w:u w:val="single"/>
              </w:rPr>
            </w:pPr>
            <w:r>
              <w:rPr>
                <w:u w:val="single"/>
              </w:rPr>
              <w:t>一般固废</w:t>
            </w:r>
          </w:p>
        </w:tc>
        <w:tc>
          <w:tcPr>
            <w:tcW w:w="912" w:type="pct"/>
            <w:shd w:val="clear" w:color="auto" w:fill="auto"/>
            <w:vAlign w:val="center"/>
          </w:tcPr>
          <w:p w14:paraId="1D3EBA95">
            <w:pPr>
              <w:pStyle w:val="62"/>
              <w:rPr>
                <w:rFonts w:eastAsia="等线"/>
                <w:u w:val="single"/>
              </w:rPr>
            </w:pPr>
            <w:r>
              <w:rPr>
                <w:rFonts w:hint="eastAsia" w:eastAsia="等线"/>
                <w:u w:val="single"/>
              </w:rPr>
              <w:t>1.6</w:t>
            </w:r>
          </w:p>
        </w:tc>
        <w:tc>
          <w:tcPr>
            <w:tcW w:w="1359" w:type="pct"/>
            <w:shd w:val="clear" w:color="auto" w:fill="auto"/>
            <w:vAlign w:val="center"/>
          </w:tcPr>
          <w:p w14:paraId="1D3EBA96">
            <w:pPr>
              <w:pStyle w:val="62"/>
              <w:rPr>
                <w:u w:val="single"/>
              </w:rPr>
            </w:pPr>
            <w:r>
              <w:rPr>
                <w:rFonts w:hint="eastAsia"/>
                <w:u w:val="single"/>
              </w:rPr>
              <w:t>在一般固废暂存间暂存，定期外售</w:t>
            </w:r>
          </w:p>
        </w:tc>
      </w:tr>
      <w:tr w14:paraId="3CBD7F03">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0A3CB90F">
            <w:pPr>
              <w:pStyle w:val="62"/>
              <w:rPr>
                <w:u w:val="single"/>
              </w:rPr>
            </w:pPr>
            <w:r>
              <w:rPr>
                <w:rFonts w:hint="eastAsia"/>
                <w:u w:val="single"/>
              </w:rPr>
              <w:t>生产过程过滤和离心</w:t>
            </w:r>
          </w:p>
        </w:tc>
        <w:tc>
          <w:tcPr>
            <w:tcW w:w="940" w:type="pct"/>
            <w:vMerge w:val="restart"/>
            <w:shd w:val="clear" w:color="auto" w:fill="auto"/>
            <w:vAlign w:val="center"/>
          </w:tcPr>
          <w:p w14:paraId="56942574">
            <w:pPr>
              <w:pStyle w:val="62"/>
              <w:rPr>
                <w:u w:val="single"/>
              </w:rPr>
            </w:pPr>
            <w:r>
              <w:rPr>
                <w:rFonts w:hint="eastAsia"/>
                <w:u w:val="single"/>
              </w:rPr>
              <w:t>废活性炭</w:t>
            </w:r>
          </w:p>
        </w:tc>
        <w:tc>
          <w:tcPr>
            <w:tcW w:w="940" w:type="pct"/>
            <w:vMerge w:val="restart"/>
            <w:shd w:val="clear" w:color="auto" w:fill="auto"/>
            <w:vAlign w:val="center"/>
          </w:tcPr>
          <w:p w14:paraId="0C6DA50A">
            <w:pPr>
              <w:pStyle w:val="62"/>
              <w:rPr>
                <w:u w:val="single"/>
              </w:rPr>
            </w:pPr>
            <w:r>
              <w:rPr>
                <w:u w:val="single"/>
              </w:rPr>
              <w:t>危险废物</w:t>
            </w:r>
          </w:p>
        </w:tc>
        <w:tc>
          <w:tcPr>
            <w:tcW w:w="912" w:type="pct"/>
            <w:shd w:val="clear" w:color="auto" w:fill="auto"/>
            <w:vAlign w:val="center"/>
          </w:tcPr>
          <w:p w14:paraId="65613890">
            <w:pPr>
              <w:pStyle w:val="62"/>
              <w:rPr>
                <w:rFonts w:eastAsia="等线"/>
                <w:u w:val="single"/>
              </w:rPr>
            </w:pPr>
            <w:r>
              <w:rPr>
                <w:rFonts w:hint="eastAsia"/>
                <w:u w:val="single"/>
              </w:rPr>
              <w:t>81.25</w:t>
            </w:r>
          </w:p>
        </w:tc>
        <w:tc>
          <w:tcPr>
            <w:tcW w:w="1359" w:type="pct"/>
            <w:vMerge w:val="restart"/>
            <w:shd w:val="clear" w:color="auto" w:fill="auto"/>
            <w:vAlign w:val="center"/>
          </w:tcPr>
          <w:p w14:paraId="5DC3D489">
            <w:pPr>
              <w:pStyle w:val="62"/>
              <w:rPr>
                <w:u w:val="single"/>
              </w:rPr>
            </w:pPr>
            <w:r>
              <w:rPr>
                <w:u w:val="single"/>
              </w:rPr>
              <w:t>暂存于危废贮存库内，定期委托有危废资质的单位处置</w:t>
            </w:r>
          </w:p>
        </w:tc>
      </w:tr>
      <w:tr w14:paraId="1D3EBA9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1D3EBA99">
            <w:pPr>
              <w:pStyle w:val="62"/>
              <w:rPr>
                <w:u w:val="single"/>
              </w:rPr>
            </w:pPr>
            <w:r>
              <w:rPr>
                <w:rFonts w:hint="eastAsia"/>
                <w:u w:val="single"/>
              </w:rPr>
              <w:t>废气治理设施</w:t>
            </w:r>
          </w:p>
        </w:tc>
        <w:tc>
          <w:tcPr>
            <w:tcW w:w="940" w:type="pct"/>
            <w:vMerge w:val="continue"/>
            <w:shd w:val="clear" w:color="auto" w:fill="auto"/>
            <w:vAlign w:val="center"/>
          </w:tcPr>
          <w:p w14:paraId="1D3EBA9A">
            <w:pPr>
              <w:pStyle w:val="62"/>
              <w:rPr>
                <w:u w:val="single"/>
              </w:rPr>
            </w:pPr>
          </w:p>
        </w:tc>
        <w:tc>
          <w:tcPr>
            <w:tcW w:w="940" w:type="pct"/>
            <w:vMerge w:val="continue"/>
            <w:shd w:val="clear" w:color="auto" w:fill="auto"/>
            <w:vAlign w:val="center"/>
          </w:tcPr>
          <w:p w14:paraId="1D3EBA9B">
            <w:pPr>
              <w:pStyle w:val="62"/>
              <w:rPr>
                <w:u w:val="single"/>
              </w:rPr>
            </w:pPr>
          </w:p>
        </w:tc>
        <w:tc>
          <w:tcPr>
            <w:tcW w:w="912" w:type="pct"/>
            <w:shd w:val="clear" w:color="auto" w:fill="auto"/>
            <w:vAlign w:val="center"/>
          </w:tcPr>
          <w:p w14:paraId="1D3EBA9C">
            <w:pPr>
              <w:pStyle w:val="62"/>
              <w:rPr>
                <w:rFonts w:eastAsia="等线"/>
                <w:u w:val="single"/>
              </w:rPr>
            </w:pPr>
            <w:r>
              <w:rPr>
                <w:rFonts w:hint="eastAsia" w:eastAsia="等线"/>
                <w:u w:val="single"/>
              </w:rPr>
              <w:t>1.3</w:t>
            </w:r>
          </w:p>
        </w:tc>
        <w:tc>
          <w:tcPr>
            <w:tcW w:w="1359" w:type="pct"/>
            <w:vMerge w:val="continue"/>
            <w:shd w:val="clear" w:color="auto" w:fill="auto"/>
            <w:vAlign w:val="center"/>
          </w:tcPr>
          <w:p w14:paraId="1D3EBA9D">
            <w:pPr>
              <w:pStyle w:val="62"/>
              <w:rPr>
                <w:u w:val="single"/>
              </w:rPr>
            </w:pPr>
          </w:p>
        </w:tc>
      </w:tr>
      <w:tr w14:paraId="1D3EBAA5">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1D3EBAA0">
            <w:pPr>
              <w:pStyle w:val="62"/>
              <w:rPr>
                <w:u w:val="single"/>
              </w:rPr>
            </w:pPr>
            <w:r>
              <w:rPr>
                <w:rFonts w:hint="eastAsia"/>
                <w:u w:val="single"/>
              </w:rPr>
              <w:t>化验室</w:t>
            </w:r>
          </w:p>
        </w:tc>
        <w:tc>
          <w:tcPr>
            <w:tcW w:w="940" w:type="pct"/>
            <w:shd w:val="clear" w:color="auto" w:fill="auto"/>
            <w:vAlign w:val="center"/>
          </w:tcPr>
          <w:p w14:paraId="1D3EBAA1">
            <w:pPr>
              <w:pStyle w:val="62"/>
              <w:rPr>
                <w:u w:val="single"/>
              </w:rPr>
            </w:pPr>
            <w:r>
              <w:rPr>
                <w:rFonts w:hint="eastAsia"/>
                <w:u w:val="single"/>
              </w:rPr>
              <w:t>化验室废物</w:t>
            </w:r>
          </w:p>
        </w:tc>
        <w:tc>
          <w:tcPr>
            <w:tcW w:w="940" w:type="pct"/>
            <w:shd w:val="clear" w:color="auto" w:fill="auto"/>
            <w:vAlign w:val="center"/>
          </w:tcPr>
          <w:p w14:paraId="1D3EBAA2">
            <w:pPr>
              <w:pStyle w:val="62"/>
              <w:rPr>
                <w:u w:val="single"/>
              </w:rPr>
            </w:pPr>
            <w:r>
              <w:rPr>
                <w:u w:val="single"/>
              </w:rPr>
              <w:t>危险废物</w:t>
            </w:r>
          </w:p>
        </w:tc>
        <w:tc>
          <w:tcPr>
            <w:tcW w:w="912" w:type="pct"/>
            <w:shd w:val="clear" w:color="auto" w:fill="auto"/>
            <w:vAlign w:val="center"/>
          </w:tcPr>
          <w:p w14:paraId="1D3EBAA3">
            <w:pPr>
              <w:pStyle w:val="62"/>
              <w:rPr>
                <w:rFonts w:eastAsia="等线"/>
                <w:u w:val="single"/>
              </w:rPr>
            </w:pPr>
            <w:r>
              <w:rPr>
                <w:rFonts w:hint="eastAsia" w:eastAsia="等线"/>
                <w:u w:val="single"/>
              </w:rPr>
              <w:t>5.1</w:t>
            </w:r>
          </w:p>
        </w:tc>
        <w:tc>
          <w:tcPr>
            <w:tcW w:w="1359" w:type="pct"/>
            <w:vMerge w:val="continue"/>
            <w:shd w:val="clear" w:color="auto" w:fill="auto"/>
            <w:vAlign w:val="center"/>
          </w:tcPr>
          <w:p w14:paraId="1D3EBAA4">
            <w:pPr>
              <w:pStyle w:val="62"/>
              <w:rPr>
                <w:u w:val="single"/>
              </w:rPr>
            </w:pPr>
          </w:p>
        </w:tc>
      </w:tr>
      <w:tr w14:paraId="0EA587D3">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vMerge w:val="restart"/>
            <w:shd w:val="clear" w:color="auto" w:fill="auto"/>
            <w:vAlign w:val="center"/>
          </w:tcPr>
          <w:p w14:paraId="729AA244">
            <w:pPr>
              <w:pStyle w:val="62"/>
              <w:rPr>
                <w:u w:val="single"/>
              </w:rPr>
            </w:pPr>
            <w:r>
              <w:rPr>
                <w:rFonts w:hint="eastAsia"/>
                <w:u w:val="single"/>
              </w:rPr>
              <w:t>污水处理站</w:t>
            </w:r>
          </w:p>
        </w:tc>
        <w:tc>
          <w:tcPr>
            <w:tcW w:w="940" w:type="pct"/>
            <w:shd w:val="clear" w:color="auto" w:fill="auto"/>
            <w:vAlign w:val="center"/>
          </w:tcPr>
          <w:p w14:paraId="314FF4E1">
            <w:pPr>
              <w:pStyle w:val="62"/>
              <w:rPr>
                <w:u w:val="single"/>
              </w:rPr>
            </w:pPr>
            <w:r>
              <w:rPr>
                <w:rFonts w:hint="eastAsia"/>
                <w:u w:val="single"/>
              </w:rPr>
              <w:t>污泥</w:t>
            </w:r>
          </w:p>
        </w:tc>
        <w:tc>
          <w:tcPr>
            <w:tcW w:w="940" w:type="pct"/>
            <w:shd w:val="clear" w:color="auto" w:fill="auto"/>
            <w:vAlign w:val="center"/>
          </w:tcPr>
          <w:p w14:paraId="63721E0C">
            <w:pPr>
              <w:pStyle w:val="62"/>
              <w:rPr>
                <w:u w:val="single"/>
              </w:rPr>
            </w:pPr>
            <w:r>
              <w:rPr>
                <w:u w:val="single"/>
              </w:rPr>
              <w:t>危险废物</w:t>
            </w:r>
          </w:p>
        </w:tc>
        <w:tc>
          <w:tcPr>
            <w:tcW w:w="912" w:type="pct"/>
            <w:shd w:val="clear" w:color="auto" w:fill="auto"/>
            <w:vAlign w:val="center"/>
          </w:tcPr>
          <w:p w14:paraId="2BF7A90C">
            <w:pPr>
              <w:pStyle w:val="62"/>
              <w:rPr>
                <w:rFonts w:eastAsia="等线"/>
                <w:u w:val="single"/>
              </w:rPr>
            </w:pPr>
            <w:r>
              <w:rPr>
                <w:rFonts w:hint="eastAsia" w:eastAsia="等线"/>
                <w:u w:val="single"/>
              </w:rPr>
              <w:t>5.81</w:t>
            </w:r>
          </w:p>
        </w:tc>
        <w:tc>
          <w:tcPr>
            <w:tcW w:w="1359" w:type="pct"/>
            <w:vMerge w:val="continue"/>
            <w:shd w:val="clear" w:color="auto" w:fill="auto"/>
            <w:vAlign w:val="center"/>
          </w:tcPr>
          <w:p w14:paraId="571D0068">
            <w:pPr>
              <w:pStyle w:val="62"/>
              <w:rPr>
                <w:u w:val="single"/>
              </w:rPr>
            </w:pPr>
          </w:p>
        </w:tc>
      </w:tr>
      <w:tr w14:paraId="2F6AD4C5">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vMerge w:val="continue"/>
            <w:shd w:val="clear" w:color="auto" w:fill="auto"/>
            <w:vAlign w:val="center"/>
          </w:tcPr>
          <w:p w14:paraId="618325EA">
            <w:pPr>
              <w:pStyle w:val="62"/>
              <w:rPr>
                <w:u w:val="single"/>
              </w:rPr>
            </w:pPr>
          </w:p>
        </w:tc>
        <w:tc>
          <w:tcPr>
            <w:tcW w:w="940" w:type="pct"/>
            <w:shd w:val="clear" w:color="auto" w:fill="auto"/>
            <w:vAlign w:val="center"/>
          </w:tcPr>
          <w:p w14:paraId="7F527B17">
            <w:pPr>
              <w:pStyle w:val="62"/>
              <w:rPr>
                <w:u w:val="single"/>
              </w:rPr>
            </w:pPr>
            <w:r>
              <w:rPr>
                <w:rFonts w:hint="eastAsia"/>
                <w:u w:val="single"/>
              </w:rPr>
              <w:t>污油</w:t>
            </w:r>
          </w:p>
        </w:tc>
        <w:tc>
          <w:tcPr>
            <w:tcW w:w="940" w:type="pct"/>
            <w:shd w:val="clear" w:color="auto" w:fill="auto"/>
            <w:vAlign w:val="center"/>
          </w:tcPr>
          <w:p w14:paraId="1A490F94">
            <w:pPr>
              <w:pStyle w:val="62"/>
              <w:rPr>
                <w:u w:val="single"/>
              </w:rPr>
            </w:pPr>
            <w:r>
              <w:rPr>
                <w:u w:val="single"/>
              </w:rPr>
              <w:t>危险废物</w:t>
            </w:r>
          </w:p>
        </w:tc>
        <w:tc>
          <w:tcPr>
            <w:tcW w:w="912" w:type="pct"/>
            <w:shd w:val="clear" w:color="auto" w:fill="auto"/>
            <w:vAlign w:val="center"/>
          </w:tcPr>
          <w:p w14:paraId="7FE75BBB">
            <w:pPr>
              <w:pStyle w:val="62"/>
              <w:rPr>
                <w:rFonts w:eastAsia="等线"/>
                <w:u w:val="single"/>
              </w:rPr>
            </w:pPr>
            <w:r>
              <w:rPr>
                <w:rFonts w:hint="eastAsia" w:eastAsia="等线"/>
                <w:u w:val="single"/>
              </w:rPr>
              <w:t>0.055</w:t>
            </w:r>
          </w:p>
        </w:tc>
        <w:tc>
          <w:tcPr>
            <w:tcW w:w="1359" w:type="pct"/>
            <w:vMerge w:val="continue"/>
            <w:shd w:val="clear" w:color="auto" w:fill="auto"/>
            <w:vAlign w:val="center"/>
          </w:tcPr>
          <w:p w14:paraId="69B71343">
            <w:pPr>
              <w:pStyle w:val="62"/>
              <w:rPr>
                <w:u w:val="single"/>
              </w:rPr>
            </w:pPr>
          </w:p>
        </w:tc>
      </w:tr>
      <w:tr w14:paraId="72311FF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62759A29">
            <w:pPr>
              <w:pStyle w:val="62"/>
              <w:rPr>
                <w:u w:val="single"/>
              </w:rPr>
            </w:pPr>
            <w:r>
              <w:rPr>
                <w:rFonts w:hint="eastAsia"/>
                <w:u w:val="single"/>
              </w:rPr>
              <w:t>加热制冷设施</w:t>
            </w:r>
          </w:p>
        </w:tc>
        <w:tc>
          <w:tcPr>
            <w:tcW w:w="940" w:type="pct"/>
            <w:shd w:val="clear" w:color="auto" w:fill="auto"/>
            <w:vAlign w:val="center"/>
          </w:tcPr>
          <w:p w14:paraId="54A80809">
            <w:pPr>
              <w:pStyle w:val="62"/>
              <w:rPr>
                <w:u w:val="single"/>
              </w:rPr>
            </w:pPr>
            <w:r>
              <w:rPr>
                <w:rFonts w:hint="eastAsia"/>
                <w:u w:val="single"/>
              </w:rPr>
              <w:t>废导热油</w:t>
            </w:r>
          </w:p>
        </w:tc>
        <w:tc>
          <w:tcPr>
            <w:tcW w:w="940" w:type="pct"/>
            <w:shd w:val="clear" w:color="auto" w:fill="auto"/>
            <w:vAlign w:val="center"/>
          </w:tcPr>
          <w:p w14:paraId="4D4925BF">
            <w:pPr>
              <w:pStyle w:val="62"/>
              <w:rPr>
                <w:u w:val="single"/>
              </w:rPr>
            </w:pPr>
            <w:r>
              <w:rPr>
                <w:rFonts w:hint="eastAsia"/>
                <w:u w:val="single"/>
              </w:rPr>
              <w:t>危险废物</w:t>
            </w:r>
          </w:p>
        </w:tc>
        <w:tc>
          <w:tcPr>
            <w:tcW w:w="912" w:type="pct"/>
            <w:shd w:val="clear" w:color="auto" w:fill="auto"/>
            <w:vAlign w:val="center"/>
          </w:tcPr>
          <w:p w14:paraId="0A3A007C">
            <w:pPr>
              <w:pStyle w:val="62"/>
              <w:rPr>
                <w:rFonts w:eastAsia="等线"/>
                <w:u w:val="single"/>
              </w:rPr>
            </w:pPr>
            <w:r>
              <w:rPr>
                <w:rFonts w:hint="eastAsia" w:eastAsia="等线"/>
                <w:u w:val="single"/>
              </w:rPr>
              <w:t>17t/5a</w:t>
            </w:r>
          </w:p>
        </w:tc>
        <w:tc>
          <w:tcPr>
            <w:tcW w:w="1359" w:type="pct"/>
            <w:vMerge w:val="continue"/>
            <w:shd w:val="clear" w:color="auto" w:fill="auto"/>
            <w:vAlign w:val="center"/>
          </w:tcPr>
          <w:p w14:paraId="6E313E54">
            <w:pPr>
              <w:pStyle w:val="62"/>
              <w:rPr>
                <w:u w:val="single"/>
              </w:rPr>
            </w:pPr>
          </w:p>
        </w:tc>
      </w:tr>
    </w:tbl>
    <w:p w14:paraId="1D3EBAD6">
      <w:pPr>
        <w:ind w:firstLine="480"/>
        <w:rPr>
          <w:snapToGrid w:val="0"/>
        </w:rPr>
      </w:pPr>
      <w:r>
        <w:rPr>
          <w:snapToGrid w:val="0"/>
        </w:rPr>
        <w:t>本项目一般固体废物基本情况见下表。</w:t>
      </w:r>
    </w:p>
    <w:p w14:paraId="1D3EBAD7">
      <w:pPr>
        <w:pStyle w:val="99"/>
        <w:numPr>
          <w:ilvl w:val="4"/>
          <w:numId w:val="20"/>
        </w:numPr>
        <w:ind w:left="0" w:firstLine="480"/>
        <w:rPr>
          <w:rFonts w:eastAsia="黑体"/>
        </w:rPr>
      </w:pPr>
      <w:r>
        <w:rPr>
          <w:rFonts w:eastAsia="黑体"/>
        </w:rPr>
        <w:t xml:space="preserve">            一般固体废物汇总表</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28" w:type="dxa"/>
          <w:bottom w:w="0" w:type="dxa"/>
          <w:right w:w="28" w:type="dxa"/>
        </w:tblCellMar>
      </w:tblPr>
      <w:tblGrid>
        <w:gridCol w:w="1135"/>
        <w:gridCol w:w="1002"/>
        <w:gridCol w:w="2147"/>
        <w:gridCol w:w="1001"/>
        <w:gridCol w:w="1429"/>
        <w:gridCol w:w="1654"/>
      </w:tblGrid>
      <w:tr w14:paraId="1D3EBAD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shd w:val="clear" w:color="auto" w:fill="auto"/>
            <w:vAlign w:val="center"/>
          </w:tcPr>
          <w:p w14:paraId="1D3EBAD9">
            <w:pPr>
              <w:pStyle w:val="67"/>
              <w:rPr>
                <w:rFonts w:cs="Times New Roman"/>
                <w:color w:val="auto"/>
                <w:u w:val="single"/>
              </w:rPr>
            </w:pPr>
            <w:r>
              <w:rPr>
                <w:rFonts w:cs="Times New Roman"/>
                <w:color w:val="auto"/>
                <w:u w:val="single"/>
              </w:rPr>
              <w:t>产污环节</w:t>
            </w:r>
          </w:p>
        </w:tc>
        <w:tc>
          <w:tcPr>
            <w:tcW w:w="599" w:type="pct"/>
            <w:shd w:val="clear" w:color="auto" w:fill="auto"/>
            <w:vAlign w:val="center"/>
          </w:tcPr>
          <w:p w14:paraId="1D3EBADA">
            <w:pPr>
              <w:pStyle w:val="67"/>
              <w:rPr>
                <w:rFonts w:cs="Times New Roman"/>
                <w:color w:val="auto"/>
                <w:u w:val="single"/>
              </w:rPr>
            </w:pPr>
            <w:r>
              <w:rPr>
                <w:rFonts w:cs="Times New Roman"/>
                <w:color w:val="auto"/>
                <w:u w:val="single"/>
              </w:rPr>
              <w:t>固废名称</w:t>
            </w:r>
          </w:p>
        </w:tc>
        <w:tc>
          <w:tcPr>
            <w:tcW w:w="1283" w:type="pct"/>
            <w:vAlign w:val="center"/>
          </w:tcPr>
          <w:p w14:paraId="1D3EBADB">
            <w:pPr>
              <w:pStyle w:val="67"/>
              <w:rPr>
                <w:rFonts w:cs="Times New Roman"/>
                <w:color w:val="auto"/>
                <w:u w:val="single"/>
              </w:rPr>
            </w:pPr>
            <w:r>
              <w:rPr>
                <w:rFonts w:cs="Times New Roman"/>
                <w:color w:val="auto"/>
                <w:u w:val="single"/>
              </w:rPr>
              <w:t>类别代码</w:t>
            </w:r>
          </w:p>
        </w:tc>
        <w:tc>
          <w:tcPr>
            <w:tcW w:w="598" w:type="pct"/>
            <w:shd w:val="clear" w:color="auto" w:fill="auto"/>
            <w:vAlign w:val="center"/>
          </w:tcPr>
          <w:p w14:paraId="1D3EBADC">
            <w:pPr>
              <w:pStyle w:val="67"/>
              <w:rPr>
                <w:rFonts w:cs="Times New Roman"/>
                <w:color w:val="auto"/>
                <w:u w:val="single"/>
              </w:rPr>
            </w:pPr>
            <w:r>
              <w:rPr>
                <w:rFonts w:cs="Times New Roman"/>
                <w:color w:val="auto"/>
                <w:u w:val="single"/>
              </w:rPr>
              <w:t>废物特性</w:t>
            </w:r>
          </w:p>
        </w:tc>
        <w:tc>
          <w:tcPr>
            <w:tcW w:w="854" w:type="pct"/>
            <w:shd w:val="clear" w:color="auto" w:fill="auto"/>
            <w:vAlign w:val="center"/>
          </w:tcPr>
          <w:p w14:paraId="1D3EBADD">
            <w:pPr>
              <w:pStyle w:val="67"/>
              <w:rPr>
                <w:rFonts w:cs="Times New Roman"/>
                <w:color w:val="auto"/>
                <w:u w:val="single"/>
              </w:rPr>
            </w:pPr>
            <w:r>
              <w:rPr>
                <w:rFonts w:cs="Times New Roman"/>
                <w:color w:val="auto"/>
                <w:u w:val="single"/>
              </w:rPr>
              <w:t>产生量（t/a）</w:t>
            </w:r>
          </w:p>
        </w:tc>
        <w:tc>
          <w:tcPr>
            <w:tcW w:w="988" w:type="pct"/>
            <w:shd w:val="clear" w:color="auto" w:fill="auto"/>
            <w:vAlign w:val="center"/>
          </w:tcPr>
          <w:p w14:paraId="1D3EBADE">
            <w:pPr>
              <w:pStyle w:val="67"/>
              <w:rPr>
                <w:rFonts w:cs="Times New Roman"/>
                <w:color w:val="auto"/>
                <w:u w:val="single"/>
              </w:rPr>
            </w:pPr>
            <w:r>
              <w:rPr>
                <w:rFonts w:cs="Times New Roman"/>
                <w:color w:val="auto"/>
                <w:u w:val="single"/>
              </w:rPr>
              <w:t>治理措施</w:t>
            </w:r>
          </w:p>
        </w:tc>
      </w:tr>
      <w:tr w14:paraId="1D3EBAF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78" w:type="pct"/>
            <w:shd w:val="clear" w:color="auto" w:fill="auto"/>
            <w:vAlign w:val="center"/>
          </w:tcPr>
          <w:p w14:paraId="1D3EBAF1">
            <w:pPr>
              <w:pStyle w:val="62"/>
              <w:rPr>
                <w:u w:val="single"/>
              </w:rPr>
            </w:pPr>
            <w:r>
              <w:rPr>
                <w:rFonts w:hint="eastAsia"/>
                <w:u w:val="single"/>
              </w:rPr>
              <w:t>原料包装</w:t>
            </w:r>
          </w:p>
        </w:tc>
        <w:tc>
          <w:tcPr>
            <w:tcW w:w="599" w:type="pct"/>
            <w:shd w:val="clear" w:color="auto" w:fill="auto"/>
            <w:vAlign w:val="center"/>
          </w:tcPr>
          <w:p w14:paraId="1D3EBAF2">
            <w:pPr>
              <w:pStyle w:val="62"/>
              <w:rPr>
                <w:u w:val="single"/>
              </w:rPr>
            </w:pPr>
            <w:r>
              <w:rPr>
                <w:rFonts w:hint="eastAsia"/>
                <w:u w:val="single"/>
              </w:rPr>
              <w:t>废原料包装袋</w:t>
            </w:r>
          </w:p>
        </w:tc>
        <w:tc>
          <w:tcPr>
            <w:tcW w:w="1283" w:type="pct"/>
            <w:vAlign w:val="center"/>
          </w:tcPr>
          <w:p w14:paraId="1D3EBAF3">
            <w:pPr>
              <w:pStyle w:val="62"/>
              <w:rPr>
                <w:u w:val="single"/>
              </w:rPr>
            </w:pPr>
            <w:r>
              <w:rPr>
                <w:u w:val="single"/>
              </w:rPr>
              <w:t>900-099-S59</w:t>
            </w:r>
          </w:p>
        </w:tc>
        <w:tc>
          <w:tcPr>
            <w:tcW w:w="598" w:type="pct"/>
            <w:shd w:val="clear" w:color="auto" w:fill="auto"/>
            <w:vAlign w:val="center"/>
          </w:tcPr>
          <w:p w14:paraId="1D3EBAF4">
            <w:pPr>
              <w:pStyle w:val="62"/>
              <w:rPr>
                <w:u w:val="single"/>
              </w:rPr>
            </w:pPr>
            <w:r>
              <w:rPr>
                <w:u w:val="single"/>
              </w:rPr>
              <w:t>一般固废</w:t>
            </w:r>
          </w:p>
        </w:tc>
        <w:tc>
          <w:tcPr>
            <w:tcW w:w="854" w:type="pct"/>
            <w:shd w:val="clear" w:color="auto" w:fill="auto"/>
            <w:vAlign w:val="center"/>
          </w:tcPr>
          <w:p w14:paraId="1D3EBAF5">
            <w:pPr>
              <w:pStyle w:val="62"/>
              <w:rPr>
                <w:rFonts w:eastAsia="等线"/>
                <w:u w:val="single"/>
              </w:rPr>
            </w:pPr>
            <w:r>
              <w:rPr>
                <w:rFonts w:hint="eastAsia" w:eastAsia="等线"/>
                <w:u w:val="single"/>
              </w:rPr>
              <w:t>1.6</w:t>
            </w:r>
          </w:p>
        </w:tc>
        <w:tc>
          <w:tcPr>
            <w:tcW w:w="988" w:type="pct"/>
            <w:shd w:val="clear" w:color="auto" w:fill="auto"/>
            <w:vAlign w:val="center"/>
          </w:tcPr>
          <w:p w14:paraId="1D3EBAF6">
            <w:pPr>
              <w:pStyle w:val="62"/>
              <w:rPr>
                <w:u w:val="single"/>
              </w:rPr>
            </w:pPr>
            <w:r>
              <w:rPr>
                <w:u w:val="single"/>
              </w:rPr>
              <w:t>收集至一般固废间暂存后，</w:t>
            </w:r>
            <w:r>
              <w:rPr>
                <w:rFonts w:hint="eastAsia"/>
                <w:u w:val="single"/>
              </w:rPr>
              <w:t>定期外售</w:t>
            </w:r>
          </w:p>
        </w:tc>
      </w:tr>
    </w:tbl>
    <w:p w14:paraId="1D3EBB10">
      <w:pPr>
        <w:ind w:firstLine="480"/>
        <w:rPr>
          <w:snapToGrid w:val="0"/>
        </w:rPr>
      </w:pPr>
      <w:r>
        <w:rPr>
          <w:snapToGrid w:val="0"/>
        </w:rPr>
        <w:t>本项目危险废物基本情况如下。</w:t>
      </w:r>
    </w:p>
    <w:p w14:paraId="1D3EBB12">
      <w:pPr>
        <w:pStyle w:val="99"/>
        <w:numPr>
          <w:ilvl w:val="4"/>
          <w:numId w:val="20"/>
        </w:numPr>
        <w:ind w:left="0" w:firstLine="480"/>
        <w:rPr>
          <w:b/>
          <w:bCs/>
        </w:rPr>
      </w:pPr>
      <w:r>
        <w:rPr>
          <w:rFonts w:eastAsia="黑体"/>
        </w:rPr>
        <w:t xml:space="preserve">             危险废物汇总表</w:t>
      </w:r>
    </w:p>
    <w:tbl>
      <w:tblPr>
        <w:tblStyle w:val="41"/>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21"/>
        <w:gridCol w:w="665"/>
        <w:gridCol w:w="990"/>
        <w:gridCol w:w="698"/>
        <w:gridCol w:w="1181"/>
        <w:gridCol w:w="644"/>
        <w:gridCol w:w="975"/>
        <w:gridCol w:w="850"/>
        <w:gridCol w:w="557"/>
        <w:gridCol w:w="648"/>
        <w:gridCol w:w="820"/>
      </w:tblGrid>
      <w:tr w14:paraId="1D3EBB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20" w:type="pct"/>
            <w:vAlign w:val="center"/>
          </w:tcPr>
          <w:p w14:paraId="1D3EBB14">
            <w:pPr>
              <w:pStyle w:val="67"/>
              <w:rPr>
                <w:rFonts w:cs="Times New Roman"/>
                <w:color w:val="auto"/>
                <w:u w:val="single"/>
              </w:rPr>
            </w:pPr>
            <w:r>
              <w:rPr>
                <w:rFonts w:cs="Times New Roman"/>
                <w:color w:val="auto"/>
                <w:u w:val="single"/>
              </w:rPr>
              <w:t>危险废物名称</w:t>
            </w:r>
          </w:p>
        </w:tc>
        <w:tc>
          <w:tcPr>
            <w:tcW w:w="388" w:type="pct"/>
            <w:vAlign w:val="center"/>
          </w:tcPr>
          <w:p w14:paraId="1D3EBB15">
            <w:pPr>
              <w:pStyle w:val="67"/>
              <w:rPr>
                <w:rFonts w:cs="Times New Roman"/>
                <w:color w:val="auto"/>
                <w:u w:val="single"/>
              </w:rPr>
            </w:pPr>
            <w:r>
              <w:rPr>
                <w:rFonts w:cs="Times New Roman"/>
                <w:color w:val="auto"/>
                <w:u w:val="single"/>
              </w:rPr>
              <w:t>危险废物类别</w:t>
            </w:r>
          </w:p>
        </w:tc>
        <w:tc>
          <w:tcPr>
            <w:tcW w:w="488" w:type="pct"/>
            <w:vAlign w:val="center"/>
          </w:tcPr>
          <w:p w14:paraId="1D3EBB16">
            <w:pPr>
              <w:pStyle w:val="67"/>
              <w:rPr>
                <w:rFonts w:cs="Times New Roman"/>
                <w:color w:val="auto"/>
                <w:u w:val="single"/>
              </w:rPr>
            </w:pPr>
            <w:r>
              <w:rPr>
                <w:rFonts w:cs="Times New Roman"/>
                <w:color w:val="auto"/>
                <w:u w:val="single"/>
              </w:rPr>
              <w:t>危险废物代码</w:t>
            </w:r>
          </w:p>
        </w:tc>
        <w:tc>
          <w:tcPr>
            <w:tcW w:w="407" w:type="pct"/>
            <w:vAlign w:val="center"/>
          </w:tcPr>
          <w:p w14:paraId="1D3EBB17">
            <w:pPr>
              <w:pStyle w:val="67"/>
              <w:rPr>
                <w:rFonts w:cs="Times New Roman"/>
                <w:color w:val="auto"/>
                <w:u w:val="single"/>
              </w:rPr>
            </w:pPr>
            <w:r>
              <w:rPr>
                <w:rFonts w:cs="Times New Roman"/>
                <w:color w:val="auto"/>
                <w:u w:val="single"/>
              </w:rPr>
              <w:t>产生量(t/a)</w:t>
            </w:r>
          </w:p>
        </w:tc>
        <w:tc>
          <w:tcPr>
            <w:tcW w:w="683" w:type="pct"/>
            <w:vAlign w:val="center"/>
          </w:tcPr>
          <w:p w14:paraId="1D3EBB18">
            <w:pPr>
              <w:pStyle w:val="67"/>
              <w:rPr>
                <w:rFonts w:cs="Times New Roman"/>
                <w:color w:val="auto"/>
                <w:u w:val="single"/>
              </w:rPr>
            </w:pPr>
            <w:r>
              <w:rPr>
                <w:rFonts w:cs="Times New Roman"/>
                <w:color w:val="auto"/>
                <w:u w:val="single"/>
              </w:rPr>
              <w:t>产生工序及装置</w:t>
            </w:r>
          </w:p>
        </w:tc>
        <w:tc>
          <w:tcPr>
            <w:tcW w:w="376" w:type="pct"/>
            <w:vAlign w:val="center"/>
          </w:tcPr>
          <w:p w14:paraId="1D3EBB19">
            <w:pPr>
              <w:pStyle w:val="67"/>
              <w:rPr>
                <w:rFonts w:cs="Times New Roman"/>
                <w:color w:val="auto"/>
                <w:u w:val="single"/>
              </w:rPr>
            </w:pPr>
            <w:r>
              <w:rPr>
                <w:rFonts w:cs="Times New Roman"/>
                <w:color w:val="auto"/>
                <w:u w:val="single"/>
              </w:rPr>
              <w:t>形态</w:t>
            </w:r>
          </w:p>
        </w:tc>
        <w:tc>
          <w:tcPr>
            <w:tcW w:w="565" w:type="pct"/>
            <w:vAlign w:val="center"/>
          </w:tcPr>
          <w:p w14:paraId="1D3EBB1A">
            <w:pPr>
              <w:pStyle w:val="67"/>
              <w:rPr>
                <w:rFonts w:cs="Times New Roman"/>
                <w:color w:val="auto"/>
                <w:u w:val="single"/>
              </w:rPr>
            </w:pPr>
            <w:r>
              <w:rPr>
                <w:rFonts w:cs="Times New Roman"/>
                <w:color w:val="auto"/>
                <w:u w:val="single"/>
              </w:rPr>
              <w:t>主要成分</w:t>
            </w:r>
          </w:p>
        </w:tc>
        <w:tc>
          <w:tcPr>
            <w:tcW w:w="493" w:type="pct"/>
            <w:vAlign w:val="center"/>
          </w:tcPr>
          <w:p w14:paraId="1D3EBB1B">
            <w:pPr>
              <w:pStyle w:val="67"/>
              <w:rPr>
                <w:rFonts w:cs="Times New Roman"/>
                <w:color w:val="auto"/>
                <w:u w:val="single"/>
              </w:rPr>
            </w:pPr>
            <w:r>
              <w:rPr>
                <w:rFonts w:cs="Times New Roman"/>
                <w:color w:val="auto"/>
                <w:u w:val="single"/>
              </w:rPr>
              <w:t>有害成分</w:t>
            </w:r>
          </w:p>
        </w:tc>
        <w:tc>
          <w:tcPr>
            <w:tcW w:w="326" w:type="pct"/>
            <w:vAlign w:val="center"/>
          </w:tcPr>
          <w:p w14:paraId="1D3EBB1C">
            <w:pPr>
              <w:pStyle w:val="67"/>
              <w:rPr>
                <w:rFonts w:cs="Times New Roman"/>
                <w:color w:val="auto"/>
                <w:u w:val="single"/>
              </w:rPr>
            </w:pPr>
            <w:r>
              <w:rPr>
                <w:rFonts w:cs="Times New Roman"/>
                <w:color w:val="auto"/>
                <w:u w:val="single"/>
              </w:rPr>
              <w:t>产废周期</w:t>
            </w:r>
          </w:p>
        </w:tc>
        <w:tc>
          <w:tcPr>
            <w:tcW w:w="378" w:type="pct"/>
            <w:vAlign w:val="center"/>
          </w:tcPr>
          <w:p w14:paraId="1D3EBB1D">
            <w:pPr>
              <w:pStyle w:val="67"/>
              <w:rPr>
                <w:rFonts w:cs="Times New Roman"/>
                <w:color w:val="auto"/>
                <w:u w:val="single"/>
              </w:rPr>
            </w:pPr>
            <w:r>
              <w:rPr>
                <w:rFonts w:cs="Times New Roman"/>
                <w:color w:val="auto"/>
                <w:u w:val="single"/>
              </w:rPr>
              <w:t>危险</w:t>
            </w:r>
          </w:p>
          <w:p w14:paraId="1D3EBB1E">
            <w:pPr>
              <w:pStyle w:val="67"/>
              <w:rPr>
                <w:rFonts w:cs="Times New Roman"/>
                <w:color w:val="auto"/>
                <w:u w:val="single"/>
              </w:rPr>
            </w:pPr>
            <w:r>
              <w:rPr>
                <w:rFonts w:cs="Times New Roman"/>
                <w:color w:val="auto"/>
                <w:u w:val="single"/>
              </w:rPr>
              <w:t>特性</w:t>
            </w:r>
          </w:p>
        </w:tc>
        <w:tc>
          <w:tcPr>
            <w:tcW w:w="476" w:type="pct"/>
            <w:vAlign w:val="center"/>
          </w:tcPr>
          <w:p w14:paraId="1D3EBB1F">
            <w:pPr>
              <w:pStyle w:val="67"/>
              <w:rPr>
                <w:rFonts w:cs="Times New Roman"/>
                <w:color w:val="auto"/>
                <w:u w:val="single"/>
              </w:rPr>
            </w:pPr>
            <w:r>
              <w:rPr>
                <w:rFonts w:cs="Times New Roman"/>
                <w:color w:val="auto"/>
                <w:u w:val="single"/>
              </w:rPr>
              <w:t>污染防治措施</w:t>
            </w:r>
          </w:p>
        </w:tc>
      </w:tr>
      <w:tr w14:paraId="474C7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20" w:type="pct"/>
            <w:vMerge w:val="restart"/>
            <w:vAlign w:val="center"/>
          </w:tcPr>
          <w:p w14:paraId="0598B141">
            <w:pPr>
              <w:pStyle w:val="67"/>
              <w:rPr>
                <w:rFonts w:cs="Times New Roman"/>
                <w:b w:val="0"/>
                <w:bCs/>
                <w:color w:val="auto"/>
                <w:u w:val="single"/>
              </w:rPr>
            </w:pPr>
            <w:r>
              <w:rPr>
                <w:rFonts w:hint="eastAsia" w:cs="Times New Roman"/>
                <w:b w:val="0"/>
                <w:bCs/>
                <w:color w:val="auto"/>
                <w:u w:val="single"/>
              </w:rPr>
              <w:t>废活性炭</w:t>
            </w:r>
          </w:p>
        </w:tc>
        <w:tc>
          <w:tcPr>
            <w:tcW w:w="388" w:type="pct"/>
            <w:vMerge w:val="restart"/>
            <w:vAlign w:val="center"/>
          </w:tcPr>
          <w:p w14:paraId="4DD4CC66">
            <w:pPr>
              <w:pStyle w:val="67"/>
              <w:rPr>
                <w:rFonts w:cs="Times New Roman"/>
                <w:b w:val="0"/>
                <w:bCs/>
                <w:color w:val="auto"/>
                <w:u w:val="single"/>
              </w:rPr>
            </w:pPr>
            <w:r>
              <w:rPr>
                <w:rFonts w:hint="eastAsia"/>
                <w:b w:val="0"/>
                <w:bCs/>
                <w:color w:val="auto"/>
                <w:spacing w:val="-6"/>
                <w:u w:val="single"/>
              </w:rPr>
              <w:t>HW49</w:t>
            </w:r>
          </w:p>
        </w:tc>
        <w:tc>
          <w:tcPr>
            <w:tcW w:w="488" w:type="pct"/>
            <w:vMerge w:val="restart"/>
            <w:vAlign w:val="center"/>
          </w:tcPr>
          <w:p w14:paraId="77B25153">
            <w:pPr>
              <w:pStyle w:val="67"/>
              <w:rPr>
                <w:rFonts w:cs="Times New Roman"/>
                <w:b w:val="0"/>
                <w:bCs/>
                <w:color w:val="auto"/>
                <w:u w:val="single"/>
              </w:rPr>
            </w:pPr>
            <w:r>
              <w:rPr>
                <w:rFonts w:cs="Times New Roman"/>
                <w:b w:val="0"/>
                <w:bCs/>
                <w:color w:val="auto"/>
                <w:u w:val="single"/>
              </w:rPr>
              <w:t>900-039-49</w:t>
            </w:r>
          </w:p>
        </w:tc>
        <w:tc>
          <w:tcPr>
            <w:tcW w:w="407" w:type="pct"/>
            <w:vAlign w:val="center"/>
          </w:tcPr>
          <w:p w14:paraId="0EE6C90D">
            <w:pPr>
              <w:pStyle w:val="67"/>
              <w:rPr>
                <w:rFonts w:cs="Times New Roman"/>
                <w:b w:val="0"/>
                <w:bCs/>
                <w:color w:val="auto"/>
                <w:highlight w:val="yellow"/>
                <w:u w:val="single"/>
              </w:rPr>
            </w:pPr>
            <w:r>
              <w:rPr>
                <w:rFonts w:hint="eastAsia"/>
                <w:b w:val="0"/>
                <w:bCs/>
                <w:color w:val="auto"/>
                <w:u w:val="single"/>
              </w:rPr>
              <w:t>81.25</w:t>
            </w:r>
          </w:p>
        </w:tc>
        <w:tc>
          <w:tcPr>
            <w:tcW w:w="683" w:type="pct"/>
            <w:vAlign w:val="center"/>
          </w:tcPr>
          <w:p w14:paraId="46BBC0C7">
            <w:pPr>
              <w:pStyle w:val="67"/>
              <w:rPr>
                <w:rFonts w:cs="Times New Roman"/>
                <w:b w:val="0"/>
                <w:bCs/>
                <w:color w:val="auto"/>
                <w:highlight w:val="yellow"/>
                <w:u w:val="single"/>
              </w:rPr>
            </w:pPr>
            <w:r>
              <w:rPr>
                <w:rFonts w:hint="eastAsia"/>
                <w:b w:val="0"/>
                <w:bCs/>
                <w:color w:val="auto"/>
                <w:u w:val="single"/>
              </w:rPr>
              <w:t>生产过程过滤和离心</w:t>
            </w:r>
          </w:p>
        </w:tc>
        <w:tc>
          <w:tcPr>
            <w:tcW w:w="376" w:type="pct"/>
            <w:vAlign w:val="center"/>
          </w:tcPr>
          <w:p w14:paraId="2BDF6FF4">
            <w:pPr>
              <w:pStyle w:val="67"/>
              <w:rPr>
                <w:rFonts w:cs="Times New Roman"/>
                <w:b w:val="0"/>
                <w:bCs/>
                <w:color w:val="auto"/>
                <w:highlight w:val="yellow"/>
                <w:u w:val="single"/>
              </w:rPr>
            </w:pPr>
            <w:r>
              <w:rPr>
                <w:rFonts w:hint="eastAsia" w:cs="Times New Roman"/>
                <w:b w:val="0"/>
                <w:bCs/>
                <w:color w:val="auto"/>
                <w:u w:val="single"/>
              </w:rPr>
              <w:t>半固态</w:t>
            </w:r>
          </w:p>
        </w:tc>
        <w:tc>
          <w:tcPr>
            <w:tcW w:w="565" w:type="pct"/>
            <w:vAlign w:val="center"/>
          </w:tcPr>
          <w:p w14:paraId="35D6BF6E">
            <w:pPr>
              <w:pStyle w:val="67"/>
              <w:rPr>
                <w:rFonts w:cs="Times New Roman"/>
                <w:b w:val="0"/>
                <w:bCs/>
                <w:color w:val="auto"/>
                <w:highlight w:val="yellow"/>
                <w:u w:val="single"/>
              </w:rPr>
            </w:pPr>
            <w:r>
              <w:rPr>
                <w:rFonts w:cs="Times New Roman"/>
                <w:b w:val="0"/>
                <w:bCs/>
                <w:color w:val="auto"/>
                <w:u w:val="single"/>
              </w:rPr>
              <w:t>废炭、有机溶剂</w:t>
            </w:r>
          </w:p>
        </w:tc>
        <w:tc>
          <w:tcPr>
            <w:tcW w:w="493" w:type="pct"/>
            <w:vAlign w:val="center"/>
          </w:tcPr>
          <w:p w14:paraId="0A7AA5FF">
            <w:pPr>
              <w:pStyle w:val="67"/>
              <w:rPr>
                <w:rFonts w:cs="Times New Roman"/>
                <w:b w:val="0"/>
                <w:bCs/>
                <w:color w:val="auto"/>
                <w:highlight w:val="yellow"/>
                <w:u w:val="single"/>
              </w:rPr>
            </w:pPr>
            <w:r>
              <w:rPr>
                <w:rFonts w:cs="Times New Roman"/>
                <w:b w:val="0"/>
                <w:bCs/>
                <w:color w:val="auto"/>
                <w:u w:val="single"/>
              </w:rPr>
              <w:t>有机溶剂</w:t>
            </w:r>
          </w:p>
        </w:tc>
        <w:tc>
          <w:tcPr>
            <w:tcW w:w="326" w:type="pct"/>
            <w:vAlign w:val="center"/>
          </w:tcPr>
          <w:p w14:paraId="1E3EE29C">
            <w:pPr>
              <w:pStyle w:val="67"/>
              <w:rPr>
                <w:rFonts w:cs="Times New Roman"/>
                <w:b w:val="0"/>
                <w:bCs/>
                <w:color w:val="auto"/>
                <w:highlight w:val="yellow"/>
                <w:u w:val="single"/>
              </w:rPr>
            </w:pPr>
            <w:r>
              <w:rPr>
                <w:rFonts w:hint="eastAsia" w:cs="Times New Roman"/>
                <w:b w:val="0"/>
                <w:bCs/>
                <w:color w:val="auto"/>
                <w:u w:val="single"/>
              </w:rPr>
              <w:t>每天</w:t>
            </w:r>
          </w:p>
        </w:tc>
        <w:tc>
          <w:tcPr>
            <w:tcW w:w="378" w:type="pct"/>
            <w:vMerge w:val="restart"/>
            <w:vAlign w:val="center"/>
          </w:tcPr>
          <w:p w14:paraId="6D882C46">
            <w:pPr>
              <w:pStyle w:val="67"/>
              <w:rPr>
                <w:rFonts w:cs="Times New Roman"/>
                <w:b w:val="0"/>
                <w:bCs/>
                <w:color w:val="auto"/>
                <w:highlight w:val="yellow"/>
                <w:u w:val="single"/>
              </w:rPr>
            </w:pPr>
            <w:r>
              <w:rPr>
                <w:rFonts w:hint="eastAsia" w:cs="Times New Roman"/>
                <w:b w:val="0"/>
                <w:bCs/>
                <w:color w:val="auto"/>
                <w:u w:val="single"/>
              </w:rPr>
              <w:t>T</w:t>
            </w:r>
          </w:p>
        </w:tc>
        <w:tc>
          <w:tcPr>
            <w:tcW w:w="476" w:type="pct"/>
            <w:vMerge w:val="restart"/>
            <w:vAlign w:val="center"/>
          </w:tcPr>
          <w:p w14:paraId="1C175CB6">
            <w:pPr>
              <w:pStyle w:val="62"/>
              <w:rPr>
                <w:b/>
                <w:bCs/>
                <w:highlight w:val="yellow"/>
                <w:u w:val="single"/>
              </w:rPr>
            </w:pPr>
            <w:r>
              <w:rPr>
                <w:kern w:val="2"/>
                <w:u w:val="single"/>
              </w:rPr>
              <w:t>危废贮存库贮存，定期送有相应危废处理资质单位处理</w:t>
            </w:r>
          </w:p>
        </w:tc>
      </w:tr>
      <w:tr w14:paraId="6414E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20" w:type="pct"/>
            <w:vMerge w:val="continue"/>
            <w:vAlign w:val="center"/>
          </w:tcPr>
          <w:p w14:paraId="2C233045">
            <w:pPr>
              <w:pStyle w:val="67"/>
              <w:rPr>
                <w:rFonts w:cs="Times New Roman"/>
                <w:b w:val="0"/>
                <w:bCs/>
                <w:color w:val="auto"/>
                <w:highlight w:val="yellow"/>
                <w:u w:val="single"/>
              </w:rPr>
            </w:pPr>
          </w:p>
        </w:tc>
        <w:tc>
          <w:tcPr>
            <w:tcW w:w="388" w:type="pct"/>
            <w:vMerge w:val="continue"/>
            <w:vAlign w:val="center"/>
          </w:tcPr>
          <w:p w14:paraId="5CFF93DE">
            <w:pPr>
              <w:pStyle w:val="67"/>
              <w:rPr>
                <w:b w:val="0"/>
                <w:bCs/>
                <w:color w:val="auto"/>
                <w:spacing w:val="-6"/>
                <w:highlight w:val="yellow"/>
                <w:u w:val="single"/>
              </w:rPr>
            </w:pPr>
          </w:p>
        </w:tc>
        <w:tc>
          <w:tcPr>
            <w:tcW w:w="488" w:type="pct"/>
            <w:vMerge w:val="continue"/>
            <w:vAlign w:val="center"/>
          </w:tcPr>
          <w:p w14:paraId="53D88C74">
            <w:pPr>
              <w:pStyle w:val="67"/>
              <w:rPr>
                <w:rFonts w:cs="Times New Roman"/>
                <w:b w:val="0"/>
                <w:bCs/>
                <w:color w:val="auto"/>
                <w:highlight w:val="yellow"/>
                <w:u w:val="single"/>
              </w:rPr>
            </w:pPr>
          </w:p>
        </w:tc>
        <w:tc>
          <w:tcPr>
            <w:tcW w:w="407" w:type="pct"/>
            <w:vAlign w:val="center"/>
          </w:tcPr>
          <w:p w14:paraId="3591320E">
            <w:pPr>
              <w:pStyle w:val="67"/>
              <w:rPr>
                <w:rFonts w:cs="Times New Roman"/>
                <w:b w:val="0"/>
                <w:bCs/>
                <w:color w:val="auto"/>
                <w:highlight w:val="yellow"/>
                <w:u w:val="single"/>
              </w:rPr>
            </w:pPr>
            <w:r>
              <w:rPr>
                <w:rFonts w:hint="eastAsia" w:eastAsia="等线"/>
                <w:b w:val="0"/>
                <w:bCs/>
                <w:color w:val="auto"/>
                <w:u w:val="single"/>
              </w:rPr>
              <w:t>1.6</w:t>
            </w:r>
          </w:p>
        </w:tc>
        <w:tc>
          <w:tcPr>
            <w:tcW w:w="683" w:type="pct"/>
            <w:vAlign w:val="center"/>
          </w:tcPr>
          <w:p w14:paraId="1E3A1CDA">
            <w:pPr>
              <w:pStyle w:val="67"/>
              <w:rPr>
                <w:rFonts w:cs="Times New Roman"/>
                <w:b w:val="0"/>
                <w:bCs/>
                <w:color w:val="auto"/>
                <w:highlight w:val="yellow"/>
                <w:u w:val="single"/>
              </w:rPr>
            </w:pPr>
            <w:r>
              <w:rPr>
                <w:rFonts w:hint="eastAsia"/>
                <w:b w:val="0"/>
                <w:bCs/>
                <w:color w:val="auto"/>
                <w:u w:val="single"/>
              </w:rPr>
              <w:t>废气治理设施</w:t>
            </w:r>
          </w:p>
        </w:tc>
        <w:tc>
          <w:tcPr>
            <w:tcW w:w="376" w:type="pct"/>
            <w:vAlign w:val="center"/>
          </w:tcPr>
          <w:p w14:paraId="3671A1E6">
            <w:pPr>
              <w:pStyle w:val="67"/>
              <w:rPr>
                <w:rFonts w:cs="Times New Roman"/>
                <w:b w:val="0"/>
                <w:bCs/>
                <w:color w:val="auto"/>
                <w:highlight w:val="yellow"/>
                <w:u w:val="single"/>
              </w:rPr>
            </w:pPr>
            <w:r>
              <w:rPr>
                <w:rFonts w:hint="eastAsia" w:cs="Times New Roman"/>
                <w:b w:val="0"/>
                <w:bCs/>
                <w:color w:val="auto"/>
                <w:u w:val="single"/>
              </w:rPr>
              <w:t>固态</w:t>
            </w:r>
          </w:p>
        </w:tc>
        <w:tc>
          <w:tcPr>
            <w:tcW w:w="565" w:type="pct"/>
            <w:vAlign w:val="center"/>
          </w:tcPr>
          <w:p w14:paraId="405CD211">
            <w:pPr>
              <w:pStyle w:val="67"/>
              <w:rPr>
                <w:rFonts w:cs="Times New Roman"/>
                <w:b w:val="0"/>
                <w:bCs/>
                <w:color w:val="auto"/>
                <w:highlight w:val="yellow"/>
                <w:u w:val="single"/>
              </w:rPr>
            </w:pPr>
            <w:r>
              <w:rPr>
                <w:rFonts w:cs="Times New Roman"/>
                <w:b w:val="0"/>
                <w:bCs/>
                <w:color w:val="auto"/>
                <w:u w:val="single"/>
              </w:rPr>
              <w:t>废炭、有机溶剂</w:t>
            </w:r>
          </w:p>
        </w:tc>
        <w:tc>
          <w:tcPr>
            <w:tcW w:w="493" w:type="pct"/>
            <w:vAlign w:val="center"/>
          </w:tcPr>
          <w:p w14:paraId="43F3A407">
            <w:pPr>
              <w:pStyle w:val="67"/>
              <w:rPr>
                <w:rFonts w:cs="Times New Roman"/>
                <w:b w:val="0"/>
                <w:bCs/>
                <w:color w:val="auto"/>
                <w:highlight w:val="yellow"/>
                <w:u w:val="single"/>
              </w:rPr>
            </w:pPr>
            <w:r>
              <w:rPr>
                <w:rFonts w:cs="Times New Roman"/>
                <w:b w:val="0"/>
                <w:bCs/>
                <w:color w:val="auto"/>
                <w:u w:val="single"/>
              </w:rPr>
              <w:t>有机溶剂</w:t>
            </w:r>
          </w:p>
        </w:tc>
        <w:tc>
          <w:tcPr>
            <w:tcW w:w="326" w:type="pct"/>
            <w:vAlign w:val="center"/>
          </w:tcPr>
          <w:p w14:paraId="74E86FD0">
            <w:pPr>
              <w:pStyle w:val="67"/>
              <w:rPr>
                <w:rFonts w:cs="Times New Roman"/>
                <w:b w:val="0"/>
                <w:bCs/>
                <w:color w:val="auto"/>
                <w:highlight w:val="yellow"/>
                <w:u w:val="single"/>
              </w:rPr>
            </w:pPr>
            <w:r>
              <w:rPr>
                <w:rFonts w:hint="eastAsia" w:cs="Times New Roman"/>
                <w:b w:val="0"/>
                <w:bCs/>
                <w:color w:val="auto"/>
                <w:u w:val="single"/>
              </w:rPr>
              <w:t>3个月</w:t>
            </w:r>
          </w:p>
        </w:tc>
        <w:tc>
          <w:tcPr>
            <w:tcW w:w="378" w:type="pct"/>
            <w:vMerge w:val="continue"/>
            <w:vAlign w:val="center"/>
          </w:tcPr>
          <w:p w14:paraId="14168583">
            <w:pPr>
              <w:pStyle w:val="67"/>
              <w:rPr>
                <w:rFonts w:cs="Times New Roman"/>
                <w:b w:val="0"/>
                <w:bCs/>
                <w:color w:val="auto"/>
                <w:highlight w:val="yellow"/>
                <w:u w:val="single"/>
              </w:rPr>
            </w:pPr>
          </w:p>
        </w:tc>
        <w:tc>
          <w:tcPr>
            <w:tcW w:w="476" w:type="pct"/>
            <w:vMerge w:val="continue"/>
            <w:vAlign w:val="center"/>
          </w:tcPr>
          <w:p w14:paraId="3F0CAB50">
            <w:pPr>
              <w:pStyle w:val="62"/>
              <w:rPr>
                <w:b/>
                <w:bCs/>
                <w:highlight w:val="yellow"/>
                <w:u w:val="single"/>
              </w:rPr>
            </w:pPr>
          </w:p>
        </w:tc>
      </w:tr>
      <w:tr w14:paraId="2761D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0" w:type="pct"/>
            <w:vAlign w:val="center"/>
          </w:tcPr>
          <w:p w14:paraId="65FECD43">
            <w:pPr>
              <w:pStyle w:val="62"/>
              <w:rPr>
                <w:u w:val="single"/>
              </w:rPr>
            </w:pPr>
            <w:r>
              <w:rPr>
                <w:rFonts w:hint="eastAsia"/>
                <w:u w:val="single"/>
              </w:rPr>
              <w:t>废导热油</w:t>
            </w:r>
          </w:p>
        </w:tc>
        <w:tc>
          <w:tcPr>
            <w:tcW w:w="388" w:type="pct"/>
            <w:vAlign w:val="center"/>
          </w:tcPr>
          <w:p w14:paraId="7B1574C7">
            <w:pPr>
              <w:pStyle w:val="62"/>
              <w:rPr>
                <w:spacing w:val="-6"/>
                <w:kern w:val="2"/>
                <w:u w:val="single"/>
              </w:rPr>
            </w:pPr>
            <w:r>
              <w:rPr>
                <w:rFonts w:hint="eastAsia"/>
                <w:spacing w:val="-6"/>
                <w:kern w:val="2"/>
                <w:u w:val="single"/>
              </w:rPr>
              <w:t>HW08</w:t>
            </w:r>
          </w:p>
        </w:tc>
        <w:tc>
          <w:tcPr>
            <w:tcW w:w="488" w:type="pct"/>
            <w:vAlign w:val="center"/>
          </w:tcPr>
          <w:p w14:paraId="012DF6A6">
            <w:pPr>
              <w:pStyle w:val="62"/>
              <w:rPr>
                <w:u w:val="single"/>
              </w:rPr>
            </w:pPr>
            <w:r>
              <w:rPr>
                <w:u w:val="single"/>
              </w:rPr>
              <w:t>900-249-08</w:t>
            </w:r>
          </w:p>
        </w:tc>
        <w:tc>
          <w:tcPr>
            <w:tcW w:w="407" w:type="pct"/>
            <w:vAlign w:val="center"/>
          </w:tcPr>
          <w:p w14:paraId="5B5BF7A0">
            <w:pPr>
              <w:pStyle w:val="62"/>
              <w:rPr>
                <w:u w:val="single"/>
              </w:rPr>
            </w:pPr>
            <w:r>
              <w:rPr>
                <w:rFonts w:hint="eastAsia"/>
                <w:u w:val="single"/>
              </w:rPr>
              <w:t>17</w:t>
            </w:r>
            <w:r>
              <w:rPr>
                <w:u w:val="single"/>
              </w:rPr>
              <w:t>t/</w:t>
            </w:r>
            <w:r>
              <w:rPr>
                <w:rFonts w:hint="eastAsia"/>
                <w:u w:val="single"/>
              </w:rPr>
              <w:t>5a</w:t>
            </w:r>
          </w:p>
        </w:tc>
        <w:tc>
          <w:tcPr>
            <w:tcW w:w="683" w:type="pct"/>
            <w:vAlign w:val="center"/>
          </w:tcPr>
          <w:p w14:paraId="72378D3D">
            <w:pPr>
              <w:pStyle w:val="62"/>
              <w:rPr>
                <w:kern w:val="2"/>
                <w:u w:val="single"/>
              </w:rPr>
            </w:pPr>
            <w:r>
              <w:rPr>
                <w:rFonts w:hint="eastAsia"/>
                <w:kern w:val="2"/>
                <w:u w:val="single"/>
              </w:rPr>
              <w:t>加热制冷设施</w:t>
            </w:r>
          </w:p>
        </w:tc>
        <w:tc>
          <w:tcPr>
            <w:tcW w:w="376" w:type="pct"/>
            <w:vAlign w:val="center"/>
          </w:tcPr>
          <w:p w14:paraId="583259D7">
            <w:pPr>
              <w:pStyle w:val="62"/>
              <w:rPr>
                <w:kern w:val="2"/>
                <w:u w:val="single"/>
              </w:rPr>
            </w:pPr>
            <w:r>
              <w:rPr>
                <w:rFonts w:hint="eastAsia"/>
                <w:kern w:val="2"/>
                <w:u w:val="single"/>
              </w:rPr>
              <w:t>液体</w:t>
            </w:r>
          </w:p>
        </w:tc>
        <w:tc>
          <w:tcPr>
            <w:tcW w:w="565" w:type="pct"/>
            <w:vAlign w:val="center"/>
          </w:tcPr>
          <w:p w14:paraId="1EAD708A">
            <w:pPr>
              <w:pStyle w:val="62"/>
              <w:rPr>
                <w:kern w:val="2"/>
                <w:u w:val="single"/>
              </w:rPr>
            </w:pPr>
            <w:r>
              <w:rPr>
                <w:rFonts w:hint="eastAsia"/>
                <w:kern w:val="2"/>
                <w:u w:val="single"/>
              </w:rPr>
              <w:t>导热油</w:t>
            </w:r>
          </w:p>
        </w:tc>
        <w:tc>
          <w:tcPr>
            <w:tcW w:w="493" w:type="pct"/>
            <w:vAlign w:val="center"/>
          </w:tcPr>
          <w:p w14:paraId="7EC31307">
            <w:pPr>
              <w:pStyle w:val="62"/>
              <w:rPr>
                <w:bCs/>
                <w:u w:val="single"/>
              </w:rPr>
            </w:pPr>
            <w:r>
              <w:rPr>
                <w:rFonts w:hint="eastAsia"/>
                <w:kern w:val="2"/>
                <w:u w:val="single"/>
              </w:rPr>
              <w:t>导热油</w:t>
            </w:r>
          </w:p>
        </w:tc>
        <w:tc>
          <w:tcPr>
            <w:tcW w:w="326" w:type="pct"/>
            <w:vAlign w:val="center"/>
          </w:tcPr>
          <w:p w14:paraId="1CBDFCE4">
            <w:pPr>
              <w:pStyle w:val="62"/>
              <w:rPr>
                <w:kern w:val="2"/>
                <w:u w:val="single"/>
              </w:rPr>
            </w:pPr>
            <w:r>
              <w:rPr>
                <w:rFonts w:hint="eastAsia"/>
                <w:kern w:val="2"/>
                <w:u w:val="single"/>
              </w:rPr>
              <w:t>10a</w:t>
            </w:r>
          </w:p>
        </w:tc>
        <w:tc>
          <w:tcPr>
            <w:tcW w:w="378" w:type="pct"/>
            <w:vAlign w:val="center"/>
          </w:tcPr>
          <w:p w14:paraId="3F9B685B">
            <w:pPr>
              <w:pStyle w:val="62"/>
              <w:rPr>
                <w:kern w:val="2"/>
                <w:u w:val="single"/>
              </w:rPr>
            </w:pPr>
            <w:r>
              <w:rPr>
                <w:rFonts w:hint="eastAsia"/>
                <w:kern w:val="2"/>
                <w:u w:val="single"/>
              </w:rPr>
              <w:t>T，I</w:t>
            </w:r>
          </w:p>
        </w:tc>
        <w:tc>
          <w:tcPr>
            <w:tcW w:w="476" w:type="pct"/>
            <w:vMerge w:val="continue"/>
            <w:vAlign w:val="center"/>
          </w:tcPr>
          <w:p w14:paraId="47FF475F">
            <w:pPr>
              <w:pStyle w:val="62"/>
              <w:rPr>
                <w:kern w:val="2"/>
                <w:u w:val="single"/>
              </w:rPr>
            </w:pPr>
          </w:p>
        </w:tc>
      </w:tr>
      <w:tr w14:paraId="1D3EBB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0" w:type="pct"/>
            <w:vAlign w:val="center"/>
          </w:tcPr>
          <w:p w14:paraId="1D3EBB22">
            <w:pPr>
              <w:pStyle w:val="62"/>
              <w:rPr>
                <w:u w:val="single"/>
              </w:rPr>
            </w:pPr>
            <w:r>
              <w:rPr>
                <w:rFonts w:hint="eastAsia"/>
                <w:u w:val="single"/>
              </w:rPr>
              <w:t>化验室废物</w:t>
            </w:r>
          </w:p>
        </w:tc>
        <w:tc>
          <w:tcPr>
            <w:tcW w:w="388" w:type="pct"/>
            <w:vAlign w:val="center"/>
          </w:tcPr>
          <w:p w14:paraId="1D3EBB23">
            <w:pPr>
              <w:pStyle w:val="62"/>
              <w:rPr>
                <w:spacing w:val="-6"/>
                <w:kern w:val="2"/>
                <w:u w:val="single"/>
              </w:rPr>
            </w:pPr>
            <w:r>
              <w:rPr>
                <w:rFonts w:hint="eastAsia"/>
                <w:spacing w:val="-6"/>
                <w:kern w:val="2"/>
                <w:u w:val="single"/>
              </w:rPr>
              <w:t>HW49</w:t>
            </w:r>
          </w:p>
        </w:tc>
        <w:tc>
          <w:tcPr>
            <w:tcW w:w="488" w:type="pct"/>
            <w:vAlign w:val="center"/>
          </w:tcPr>
          <w:p w14:paraId="1D3EBB24">
            <w:pPr>
              <w:pStyle w:val="62"/>
              <w:rPr>
                <w:kern w:val="2"/>
                <w:u w:val="single"/>
              </w:rPr>
            </w:pPr>
            <w:r>
              <w:rPr>
                <w:u w:val="single"/>
              </w:rPr>
              <w:t>900-047-49</w:t>
            </w:r>
          </w:p>
        </w:tc>
        <w:tc>
          <w:tcPr>
            <w:tcW w:w="407" w:type="pct"/>
            <w:vAlign w:val="center"/>
          </w:tcPr>
          <w:p w14:paraId="1D3EBB25">
            <w:pPr>
              <w:pStyle w:val="62"/>
              <w:rPr>
                <w:u w:val="single"/>
              </w:rPr>
            </w:pPr>
            <w:r>
              <w:rPr>
                <w:rFonts w:hint="eastAsia"/>
                <w:u w:val="single"/>
              </w:rPr>
              <w:t>5.1</w:t>
            </w:r>
          </w:p>
        </w:tc>
        <w:tc>
          <w:tcPr>
            <w:tcW w:w="683" w:type="pct"/>
            <w:vAlign w:val="center"/>
          </w:tcPr>
          <w:p w14:paraId="1D3EBB28">
            <w:pPr>
              <w:pStyle w:val="62"/>
              <w:rPr>
                <w:kern w:val="2"/>
                <w:u w:val="single"/>
              </w:rPr>
            </w:pPr>
            <w:r>
              <w:rPr>
                <w:rFonts w:hint="eastAsia"/>
                <w:kern w:val="2"/>
                <w:u w:val="single"/>
              </w:rPr>
              <w:t>化验室</w:t>
            </w:r>
          </w:p>
        </w:tc>
        <w:tc>
          <w:tcPr>
            <w:tcW w:w="376" w:type="pct"/>
            <w:vAlign w:val="center"/>
          </w:tcPr>
          <w:p w14:paraId="1D3EBB29">
            <w:pPr>
              <w:pStyle w:val="62"/>
              <w:rPr>
                <w:kern w:val="2"/>
                <w:u w:val="single"/>
              </w:rPr>
            </w:pPr>
            <w:r>
              <w:rPr>
                <w:rFonts w:hint="eastAsia"/>
                <w:kern w:val="2"/>
                <w:u w:val="single"/>
              </w:rPr>
              <w:t>液体、固态</w:t>
            </w:r>
          </w:p>
        </w:tc>
        <w:tc>
          <w:tcPr>
            <w:tcW w:w="565" w:type="pct"/>
            <w:vAlign w:val="center"/>
          </w:tcPr>
          <w:p w14:paraId="1D3EBB2A">
            <w:pPr>
              <w:pStyle w:val="62"/>
              <w:rPr>
                <w:kern w:val="2"/>
                <w:u w:val="single"/>
              </w:rPr>
            </w:pPr>
            <w:r>
              <w:rPr>
                <w:rFonts w:hint="eastAsia"/>
                <w:kern w:val="2"/>
                <w:u w:val="single"/>
              </w:rPr>
              <w:t>废试剂、废试剂瓶</w:t>
            </w:r>
          </w:p>
        </w:tc>
        <w:tc>
          <w:tcPr>
            <w:tcW w:w="493" w:type="pct"/>
            <w:vAlign w:val="center"/>
          </w:tcPr>
          <w:p w14:paraId="1D3EBB2B">
            <w:pPr>
              <w:pStyle w:val="62"/>
              <w:rPr>
                <w:kern w:val="2"/>
                <w:u w:val="single"/>
              </w:rPr>
            </w:pPr>
            <w:r>
              <w:rPr>
                <w:bCs/>
                <w:u w:val="single"/>
              </w:rPr>
              <w:t>有机溶剂</w:t>
            </w:r>
          </w:p>
        </w:tc>
        <w:tc>
          <w:tcPr>
            <w:tcW w:w="326" w:type="pct"/>
            <w:vAlign w:val="center"/>
          </w:tcPr>
          <w:p w14:paraId="1D3EBB2C">
            <w:pPr>
              <w:pStyle w:val="62"/>
              <w:rPr>
                <w:kern w:val="2"/>
                <w:u w:val="single"/>
              </w:rPr>
            </w:pPr>
            <w:r>
              <w:rPr>
                <w:rFonts w:hint="eastAsia"/>
                <w:kern w:val="2"/>
                <w:u w:val="single"/>
              </w:rPr>
              <w:t>每天</w:t>
            </w:r>
          </w:p>
        </w:tc>
        <w:tc>
          <w:tcPr>
            <w:tcW w:w="378" w:type="pct"/>
            <w:vAlign w:val="center"/>
          </w:tcPr>
          <w:p w14:paraId="1D3EBB2D">
            <w:pPr>
              <w:pStyle w:val="62"/>
              <w:rPr>
                <w:kern w:val="2"/>
                <w:u w:val="single"/>
              </w:rPr>
            </w:pPr>
            <w:r>
              <w:rPr>
                <w:kern w:val="2"/>
                <w:u w:val="single"/>
              </w:rPr>
              <w:t>T</w:t>
            </w:r>
          </w:p>
        </w:tc>
        <w:tc>
          <w:tcPr>
            <w:tcW w:w="476" w:type="pct"/>
            <w:vMerge w:val="continue"/>
            <w:vAlign w:val="center"/>
          </w:tcPr>
          <w:p w14:paraId="1D3EBB2E">
            <w:pPr>
              <w:pStyle w:val="62"/>
              <w:rPr>
                <w:kern w:val="2"/>
                <w:u w:val="single"/>
              </w:rPr>
            </w:pPr>
          </w:p>
        </w:tc>
      </w:tr>
      <w:tr w14:paraId="20C1C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0" w:type="pct"/>
            <w:vAlign w:val="center"/>
          </w:tcPr>
          <w:p w14:paraId="56994BC5">
            <w:pPr>
              <w:pStyle w:val="62"/>
              <w:rPr>
                <w:u w:val="single"/>
              </w:rPr>
            </w:pPr>
            <w:r>
              <w:rPr>
                <w:rFonts w:hint="eastAsia"/>
                <w:u w:val="single"/>
              </w:rPr>
              <w:t>污油</w:t>
            </w:r>
          </w:p>
        </w:tc>
        <w:tc>
          <w:tcPr>
            <w:tcW w:w="388" w:type="pct"/>
            <w:vAlign w:val="center"/>
          </w:tcPr>
          <w:p w14:paraId="51FCB795">
            <w:pPr>
              <w:pStyle w:val="62"/>
              <w:rPr>
                <w:spacing w:val="-6"/>
                <w:kern w:val="2"/>
                <w:u w:val="single"/>
              </w:rPr>
            </w:pPr>
            <w:r>
              <w:rPr>
                <w:spacing w:val="-6"/>
                <w:kern w:val="2"/>
                <w:u w:val="single"/>
              </w:rPr>
              <w:t>HW</w:t>
            </w:r>
            <w:r>
              <w:rPr>
                <w:rFonts w:hint="eastAsia"/>
                <w:spacing w:val="-6"/>
                <w:kern w:val="2"/>
                <w:u w:val="single"/>
              </w:rPr>
              <w:t>08</w:t>
            </w:r>
          </w:p>
        </w:tc>
        <w:tc>
          <w:tcPr>
            <w:tcW w:w="488" w:type="pct"/>
            <w:vAlign w:val="center"/>
          </w:tcPr>
          <w:p w14:paraId="671BA1FF">
            <w:pPr>
              <w:pStyle w:val="62"/>
              <w:rPr>
                <w:u w:val="single"/>
              </w:rPr>
            </w:pPr>
            <w:r>
              <w:rPr>
                <w:rFonts w:hint="eastAsia"/>
                <w:u w:val="single"/>
              </w:rPr>
              <w:t>900-210-08</w:t>
            </w:r>
          </w:p>
        </w:tc>
        <w:tc>
          <w:tcPr>
            <w:tcW w:w="407" w:type="pct"/>
            <w:vAlign w:val="center"/>
          </w:tcPr>
          <w:p w14:paraId="2A22AFCB">
            <w:pPr>
              <w:pStyle w:val="62"/>
              <w:rPr>
                <w:rFonts w:eastAsia="等线"/>
                <w:u w:val="single"/>
              </w:rPr>
            </w:pPr>
            <w:r>
              <w:rPr>
                <w:rFonts w:eastAsia="等线"/>
                <w:u w:val="single"/>
              </w:rPr>
              <w:t>0.055</w:t>
            </w:r>
          </w:p>
        </w:tc>
        <w:tc>
          <w:tcPr>
            <w:tcW w:w="683" w:type="pct"/>
            <w:vMerge w:val="restart"/>
            <w:vAlign w:val="center"/>
          </w:tcPr>
          <w:p w14:paraId="0FBED7C4">
            <w:pPr>
              <w:pStyle w:val="62"/>
              <w:rPr>
                <w:kern w:val="2"/>
                <w:u w:val="single"/>
              </w:rPr>
            </w:pPr>
            <w:r>
              <w:rPr>
                <w:rFonts w:hint="eastAsia"/>
                <w:kern w:val="2"/>
                <w:u w:val="single"/>
              </w:rPr>
              <w:t>污水处理站</w:t>
            </w:r>
          </w:p>
        </w:tc>
        <w:tc>
          <w:tcPr>
            <w:tcW w:w="376" w:type="pct"/>
            <w:vAlign w:val="center"/>
          </w:tcPr>
          <w:p w14:paraId="27682597">
            <w:pPr>
              <w:pStyle w:val="62"/>
              <w:rPr>
                <w:bCs/>
                <w:u w:val="single"/>
              </w:rPr>
            </w:pPr>
            <w:r>
              <w:rPr>
                <w:rFonts w:hint="eastAsia"/>
                <w:kern w:val="2"/>
                <w:u w:val="single"/>
              </w:rPr>
              <w:t>液体</w:t>
            </w:r>
          </w:p>
        </w:tc>
        <w:tc>
          <w:tcPr>
            <w:tcW w:w="565" w:type="pct"/>
            <w:vAlign w:val="center"/>
          </w:tcPr>
          <w:p w14:paraId="6176CBD9">
            <w:pPr>
              <w:pStyle w:val="62"/>
              <w:rPr>
                <w:bCs/>
                <w:u w:val="single"/>
              </w:rPr>
            </w:pPr>
            <w:r>
              <w:rPr>
                <w:rFonts w:hint="eastAsia"/>
                <w:bCs/>
                <w:u w:val="single"/>
              </w:rPr>
              <w:t>污油、有机溶剂</w:t>
            </w:r>
          </w:p>
        </w:tc>
        <w:tc>
          <w:tcPr>
            <w:tcW w:w="493" w:type="pct"/>
            <w:vAlign w:val="center"/>
          </w:tcPr>
          <w:p w14:paraId="2577344D">
            <w:pPr>
              <w:pStyle w:val="62"/>
              <w:rPr>
                <w:bCs/>
                <w:u w:val="single"/>
              </w:rPr>
            </w:pPr>
            <w:r>
              <w:rPr>
                <w:rFonts w:hint="eastAsia"/>
                <w:bCs/>
                <w:u w:val="single"/>
              </w:rPr>
              <w:t>污油、有机溶剂</w:t>
            </w:r>
          </w:p>
        </w:tc>
        <w:tc>
          <w:tcPr>
            <w:tcW w:w="326" w:type="pct"/>
            <w:vAlign w:val="center"/>
          </w:tcPr>
          <w:p w14:paraId="691E3A19">
            <w:pPr>
              <w:pStyle w:val="62"/>
              <w:rPr>
                <w:kern w:val="2"/>
                <w:u w:val="single"/>
              </w:rPr>
            </w:pPr>
            <w:r>
              <w:rPr>
                <w:rFonts w:hint="eastAsia"/>
                <w:kern w:val="2"/>
                <w:u w:val="single"/>
              </w:rPr>
              <w:t>每天</w:t>
            </w:r>
          </w:p>
        </w:tc>
        <w:tc>
          <w:tcPr>
            <w:tcW w:w="378" w:type="pct"/>
            <w:vAlign w:val="center"/>
          </w:tcPr>
          <w:p w14:paraId="47A7BFE7">
            <w:pPr>
              <w:pStyle w:val="62"/>
              <w:rPr>
                <w:kern w:val="2"/>
                <w:u w:val="single"/>
              </w:rPr>
            </w:pPr>
            <w:r>
              <w:rPr>
                <w:rFonts w:hint="eastAsia"/>
                <w:kern w:val="2"/>
                <w:u w:val="single"/>
              </w:rPr>
              <w:t>T，I</w:t>
            </w:r>
          </w:p>
        </w:tc>
        <w:tc>
          <w:tcPr>
            <w:tcW w:w="476" w:type="pct"/>
            <w:vMerge w:val="continue"/>
            <w:vAlign w:val="center"/>
          </w:tcPr>
          <w:p w14:paraId="0979CD33">
            <w:pPr>
              <w:pStyle w:val="62"/>
              <w:rPr>
                <w:kern w:val="2"/>
                <w:u w:val="single"/>
              </w:rPr>
            </w:pPr>
          </w:p>
        </w:tc>
      </w:tr>
      <w:tr w14:paraId="0E31D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20" w:type="pct"/>
            <w:vAlign w:val="center"/>
          </w:tcPr>
          <w:p w14:paraId="3B7FAB54">
            <w:pPr>
              <w:pStyle w:val="62"/>
              <w:rPr>
                <w:u w:val="single"/>
              </w:rPr>
            </w:pPr>
            <w:r>
              <w:rPr>
                <w:rFonts w:hint="eastAsia"/>
                <w:u w:val="single"/>
              </w:rPr>
              <w:t>污泥</w:t>
            </w:r>
          </w:p>
        </w:tc>
        <w:tc>
          <w:tcPr>
            <w:tcW w:w="388" w:type="pct"/>
            <w:vAlign w:val="center"/>
          </w:tcPr>
          <w:p w14:paraId="2BDC9281">
            <w:pPr>
              <w:pStyle w:val="62"/>
              <w:rPr>
                <w:spacing w:val="-6"/>
                <w:kern w:val="2"/>
                <w:u w:val="single"/>
              </w:rPr>
            </w:pPr>
            <w:r>
              <w:rPr>
                <w:rFonts w:hint="eastAsia"/>
                <w:spacing w:val="-6"/>
                <w:kern w:val="2"/>
                <w:u w:val="single"/>
              </w:rPr>
              <w:t>HW49</w:t>
            </w:r>
          </w:p>
        </w:tc>
        <w:tc>
          <w:tcPr>
            <w:tcW w:w="488" w:type="pct"/>
            <w:vAlign w:val="center"/>
          </w:tcPr>
          <w:p w14:paraId="47ED224C">
            <w:pPr>
              <w:pStyle w:val="62"/>
              <w:rPr>
                <w:u w:val="single"/>
              </w:rPr>
            </w:pPr>
            <w:r>
              <w:rPr>
                <w:u w:val="single"/>
              </w:rPr>
              <w:t>772-006-49</w:t>
            </w:r>
          </w:p>
        </w:tc>
        <w:tc>
          <w:tcPr>
            <w:tcW w:w="407" w:type="pct"/>
            <w:vAlign w:val="center"/>
          </w:tcPr>
          <w:p w14:paraId="6F49A9BA">
            <w:pPr>
              <w:pStyle w:val="62"/>
              <w:rPr>
                <w:u w:val="single"/>
              </w:rPr>
            </w:pPr>
            <w:r>
              <w:rPr>
                <w:rFonts w:hint="eastAsia"/>
                <w:u w:val="single"/>
              </w:rPr>
              <w:t>5.8</w:t>
            </w:r>
            <w:r>
              <w:rPr>
                <w:u w:val="single"/>
              </w:rPr>
              <w:t>1</w:t>
            </w:r>
          </w:p>
        </w:tc>
        <w:tc>
          <w:tcPr>
            <w:tcW w:w="683" w:type="pct"/>
            <w:vMerge w:val="continue"/>
            <w:vAlign w:val="center"/>
          </w:tcPr>
          <w:p w14:paraId="780148E4">
            <w:pPr>
              <w:pStyle w:val="62"/>
              <w:rPr>
                <w:kern w:val="2"/>
                <w:u w:val="single"/>
              </w:rPr>
            </w:pPr>
          </w:p>
        </w:tc>
        <w:tc>
          <w:tcPr>
            <w:tcW w:w="376" w:type="pct"/>
            <w:vAlign w:val="center"/>
          </w:tcPr>
          <w:p w14:paraId="64564AA3">
            <w:pPr>
              <w:pStyle w:val="62"/>
              <w:rPr>
                <w:kern w:val="2"/>
                <w:u w:val="single"/>
              </w:rPr>
            </w:pPr>
            <w:r>
              <w:rPr>
                <w:rFonts w:hint="eastAsia"/>
                <w:bCs/>
                <w:u w:val="single"/>
              </w:rPr>
              <w:t>半固态</w:t>
            </w:r>
          </w:p>
        </w:tc>
        <w:tc>
          <w:tcPr>
            <w:tcW w:w="565" w:type="pct"/>
            <w:vAlign w:val="center"/>
          </w:tcPr>
          <w:p w14:paraId="5D7A3A23">
            <w:pPr>
              <w:pStyle w:val="62"/>
              <w:rPr>
                <w:kern w:val="2"/>
                <w:u w:val="single"/>
              </w:rPr>
            </w:pPr>
            <w:r>
              <w:rPr>
                <w:bCs/>
                <w:u w:val="single"/>
              </w:rPr>
              <w:t>有机溶剂</w:t>
            </w:r>
          </w:p>
        </w:tc>
        <w:tc>
          <w:tcPr>
            <w:tcW w:w="493" w:type="pct"/>
            <w:vAlign w:val="center"/>
          </w:tcPr>
          <w:p w14:paraId="35153246">
            <w:pPr>
              <w:pStyle w:val="62"/>
              <w:rPr>
                <w:bCs/>
                <w:u w:val="single"/>
              </w:rPr>
            </w:pPr>
            <w:r>
              <w:rPr>
                <w:bCs/>
                <w:u w:val="single"/>
              </w:rPr>
              <w:t>有机溶剂</w:t>
            </w:r>
          </w:p>
        </w:tc>
        <w:tc>
          <w:tcPr>
            <w:tcW w:w="326" w:type="pct"/>
            <w:vAlign w:val="center"/>
          </w:tcPr>
          <w:p w14:paraId="09366DF1">
            <w:pPr>
              <w:pStyle w:val="62"/>
              <w:rPr>
                <w:kern w:val="2"/>
                <w:u w:val="single"/>
              </w:rPr>
            </w:pPr>
            <w:r>
              <w:rPr>
                <w:rFonts w:hint="eastAsia"/>
                <w:kern w:val="2"/>
                <w:u w:val="single"/>
              </w:rPr>
              <w:t>每5天</w:t>
            </w:r>
          </w:p>
        </w:tc>
        <w:tc>
          <w:tcPr>
            <w:tcW w:w="378" w:type="pct"/>
            <w:vAlign w:val="center"/>
          </w:tcPr>
          <w:p w14:paraId="0824671C">
            <w:pPr>
              <w:pStyle w:val="62"/>
              <w:rPr>
                <w:kern w:val="2"/>
                <w:u w:val="single"/>
              </w:rPr>
            </w:pPr>
            <w:r>
              <w:rPr>
                <w:rFonts w:hint="eastAsia"/>
                <w:kern w:val="2"/>
                <w:u w:val="single"/>
              </w:rPr>
              <w:t>T/In</w:t>
            </w:r>
          </w:p>
        </w:tc>
        <w:tc>
          <w:tcPr>
            <w:tcW w:w="476" w:type="pct"/>
            <w:vMerge w:val="continue"/>
            <w:vAlign w:val="center"/>
          </w:tcPr>
          <w:p w14:paraId="77944541">
            <w:pPr>
              <w:pStyle w:val="62"/>
              <w:rPr>
                <w:kern w:val="2"/>
                <w:u w:val="single"/>
              </w:rPr>
            </w:pPr>
          </w:p>
        </w:tc>
      </w:tr>
    </w:tbl>
    <w:p w14:paraId="5FBB544B">
      <w:pPr>
        <w:ind w:firstLine="480"/>
      </w:pPr>
      <w:r>
        <w:t>本项目</w:t>
      </w:r>
      <w:r>
        <w:rPr>
          <w:rFonts w:hint="eastAsia"/>
        </w:rPr>
        <w:t>拟在厂区建设</w:t>
      </w:r>
      <w:r>
        <w:t>1</w:t>
      </w:r>
      <w:r>
        <w:rPr>
          <w:rFonts w:hint="eastAsia"/>
        </w:rPr>
        <w:t>座一般固废暂存间，面积约5m</w:t>
      </w:r>
      <w:r>
        <w:rPr>
          <w:vertAlign w:val="superscript"/>
        </w:rPr>
        <w:t>2</w:t>
      </w:r>
      <w:r>
        <w:rPr>
          <w:rFonts w:hint="eastAsia"/>
        </w:rPr>
        <w:t>，用于暂存一般固废。评价要求，企业严格按照《一般工业固体废物贮存和填埋污染控制标准》（GB18599-2020）进行建设，并采取防渗漏、防雨淋、防扬尘等措施，满足相应的环境保护要求。拟在厂区建设</w:t>
      </w:r>
      <w:r>
        <w:t>1</w:t>
      </w:r>
      <w:r>
        <w:rPr>
          <w:rFonts w:hint="eastAsia"/>
        </w:rPr>
        <w:t>座危废贮存库，面积约50m</w:t>
      </w:r>
      <w:r>
        <w:rPr>
          <w:vertAlign w:val="superscript"/>
        </w:rPr>
        <w:t>2</w:t>
      </w:r>
      <w:r>
        <w:rPr>
          <w:rFonts w:hint="eastAsia"/>
        </w:rPr>
        <w:t>，用于暂存本工程危废化验室废物；建设1座废溶剂包装桶暂存点，面积约100m</w:t>
      </w:r>
      <w:r>
        <w:rPr>
          <w:rFonts w:hint="eastAsia"/>
          <w:vertAlign w:val="superscript"/>
        </w:rPr>
        <w:t>2</w:t>
      </w:r>
      <w:r>
        <w:rPr>
          <w:rFonts w:hint="eastAsia"/>
        </w:rPr>
        <w:t>，用于暂存本工程废溶剂包装桶。危废贮存库基本情况见下表。</w:t>
      </w:r>
    </w:p>
    <w:p w14:paraId="12B31DAB">
      <w:pPr>
        <w:pStyle w:val="2"/>
        <w:ind w:firstLine="480"/>
      </w:pPr>
    </w:p>
    <w:p w14:paraId="37331956">
      <w:pPr>
        <w:ind w:firstLine="480"/>
      </w:pPr>
    </w:p>
    <w:p w14:paraId="3AA97FDD">
      <w:pPr>
        <w:pStyle w:val="99"/>
        <w:numPr>
          <w:ilvl w:val="4"/>
          <w:numId w:val="20"/>
        </w:numPr>
        <w:ind w:left="0" w:firstLine="480"/>
        <w:rPr>
          <w:rFonts w:eastAsia="黑体"/>
        </w:rPr>
      </w:pPr>
      <w:r>
        <w:rPr>
          <w:rFonts w:eastAsia="黑体"/>
        </w:rPr>
        <w:t xml:space="preserve">       危险废物贮存场所（设施）基本情况表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20"/>
        <w:gridCol w:w="1064"/>
        <w:gridCol w:w="1081"/>
        <w:gridCol w:w="1118"/>
        <w:gridCol w:w="1170"/>
        <w:gridCol w:w="716"/>
        <w:gridCol w:w="715"/>
        <w:gridCol w:w="715"/>
        <w:gridCol w:w="716"/>
        <w:gridCol w:w="653"/>
      </w:tblGrid>
      <w:tr w14:paraId="760E9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51" w:type="pct"/>
            <w:vAlign w:val="center"/>
          </w:tcPr>
          <w:p w14:paraId="139B1A87">
            <w:pPr>
              <w:pStyle w:val="67"/>
              <w:rPr>
                <w:rFonts w:cs="Times New Roman"/>
                <w:color w:val="auto"/>
                <w:u w:val="single"/>
                <w:lang w:eastAsia="en-US"/>
              </w:rPr>
            </w:pPr>
            <w:r>
              <w:rPr>
                <w:rFonts w:cs="Times New Roman"/>
                <w:color w:val="auto"/>
                <w:u w:val="single"/>
              </w:rPr>
              <w:t>序号</w:t>
            </w:r>
          </w:p>
        </w:tc>
        <w:tc>
          <w:tcPr>
            <w:tcW w:w="636" w:type="pct"/>
            <w:vAlign w:val="center"/>
          </w:tcPr>
          <w:p w14:paraId="40556D55">
            <w:pPr>
              <w:pStyle w:val="67"/>
              <w:rPr>
                <w:rFonts w:cs="Times New Roman"/>
                <w:color w:val="auto"/>
                <w:u w:val="single"/>
              </w:rPr>
            </w:pPr>
            <w:r>
              <w:rPr>
                <w:rFonts w:cs="Times New Roman"/>
                <w:color w:val="auto"/>
                <w:u w:val="single"/>
              </w:rPr>
              <w:t>贮存场所(设施)名称</w:t>
            </w:r>
          </w:p>
        </w:tc>
        <w:tc>
          <w:tcPr>
            <w:tcW w:w="646" w:type="pct"/>
            <w:vAlign w:val="center"/>
          </w:tcPr>
          <w:p w14:paraId="285029E0">
            <w:pPr>
              <w:pStyle w:val="67"/>
              <w:rPr>
                <w:rFonts w:cs="Times New Roman"/>
                <w:color w:val="auto"/>
                <w:u w:val="single"/>
              </w:rPr>
            </w:pPr>
            <w:r>
              <w:rPr>
                <w:rFonts w:cs="Times New Roman"/>
                <w:color w:val="auto"/>
                <w:u w:val="single"/>
              </w:rPr>
              <w:t>危险废物</w:t>
            </w:r>
          </w:p>
          <w:p w14:paraId="2663419B">
            <w:pPr>
              <w:pStyle w:val="67"/>
              <w:rPr>
                <w:rFonts w:cs="Times New Roman"/>
                <w:color w:val="auto"/>
                <w:u w:val="single"/>
                <w:lang w:eastAsia="en-US"/>
              </w:rPr>
            </w:pPr>
            <w:r>
              <w:rPr>
                <w:rFonts w:cs="Times New Roman"/>
                <w:color w:val="auto"/>
                <w:u w:val="single"/>
              </w:rPr>
              <w:t>名称</w:t>
            </w:r>
          </w:p>
        </w:tc>
        <w:tc>
          <w:tcPr>
            <w:tcW w:w="668" w:type="pct"/>
            <w:vAlign w:val="center"/>
          </w:tcPr>
          <w:p w14:paraId="48D898DF">
            <w:pPr>
              <w:pStyle w:val="67"/>
              <w:rPr>
                <w:rFonts w:cs="Times New Roman"/>
                <w:color w:val="auto"/>
                <w:u w:val="single"/>
                <w:lang w:eastAsia="en-US"/>
              </w:rPr>
            </w:pPr>
            <w:r>
              <w:rPr>
                <w:rFonts w:cs="Times New Roman"/>
                <w:color w:val="auto"/>
                <w:u w:val="single"/>
              </w:rPr>
              <w:t>危险废物类别</w:t>
            </w:r>
          </w:p>
        </w:tc>
        <w:tc>
          <w:tcPr>
            <w:tcW w:w="699" w:type="pct"/>
            <w:vAlign w:val="center"/>
          </w:tcPr>
          <w:p w14:paraId="386D7A61">
            <w:pPr>
              <w:pStyle w:val="67"/>
              <w:rPr>
                <w:rFonts w:cs="Times New Roman"/>
                <w:color w:val="auto"/>
                <w:u w:val="single"/>
                <w:lang w:eastAsia="en-US"/>
              </w:rPr>
            </w:pPr>
            <w:r>
              <w:rPr>
                <w:rFonts w:cs="Times New Roman"/>
                <w:color w:val="auto"/>
                <w:u w:val="single"/>
              </w:rPr>
              <w:t>危险废物代码</w:t>
            </w:r>
          </w:p>
        </w:tc>
        <w:tc>
          <w:tcPr>
            <w:tcW w:w="428" w:type="pct"/>
            <w:vAlign w:val="center"/>
          </w:tcPr>
          <w:p w14:paraId="5AFCAD22">
            <w:pPr>
              <w:pStyle w:val="67"/>
              <w:rPr>
                <w:rFonts w:cs="Times New Roman"/>
                <w:color w:val="auto"/>
                <w:u w:val="single"/>
                <w:lang w:eastAsia="en-US"/>
              </w:rPr>
            </w:pPr>
            <w:r>
              <w:rPr>
                <w:rFonts w:cs="Times New Roman"/>
                <w:color w:val="auto"/>
                <w:u w:val="single"/>
              </w:rPr>
              <w:t>位置</w:t>
            </w:r>
          </w:p>
        </w:tc>
        <w:tc>
          <w:tcPr>
            <w:tcW w:w="427" w:type="pct"/>
            <w:vAlign w:val="center"/>
          </w:tcPr>
          <w:p w14:paraId="2A8ADFA6">
            <w:pPr>
              <w:pStyle w:val="67"/>
              <w:rPr>
                <w:rFonts w:cs="Times New Roman"/>
                <w:color w:val="auto"/>
                <w:u w:val="single"/>
              </w:rPr>
            </w:pPr>
            <w:r>
              <w:rPr>
                <w:rFonts w:cs="Times New Roman"/>
                <w:color w:val="auto"/>
                <w:u w:val="single"/>
              </w:rPr>
              <w:t>占地</w:t>
            </w:r>
          </w:p>
          <w:p w14:paraId="2CB2A52B">
            <w:pPr>
              <w:pStyle w:val="67"/>
              <w:rPr>
                <w:rFonts w:cs="Times New Roman"/>
                <w:color w:val="auto"/>
                <w:u w:val="single"/>
                <w:lang w:eastAsia="en-US"/>
              </w:rPr>
            </w:pPr>
            <w:r>
              <w:rPr>
                <w:rFonts w:cs="Times New Roman"/>
                <w:color w:val="auto"/>
                <w:u w:val="single"/>
              </w:rPr>
              <w:t>面积</w:t>
            </w:r>
          </w:p>
        </w:tc>
        <w:tc>
          <w:tcPr>
            <w:tcW w:w="427" w:type="pct"/>
            <w:vAlign w:val="center"/>
          </w:tcPr>
          <w:p w14:paraId="5C772F7F">
            <w:pPr>
              <w:pStyle w:val="67"/>
              <w:rPr>
                <w:rFonts w:cs="Times New Roman"/>
                <w:color w:val="auto"/>
                <w:u w:val="single"/>
                <w:lang w:eastAsia="en-US"/>
              </w:rPr>
            </w:pPr>
            <w:r>
              <w:rPr>
                <w:rFonts w:cs="Times New Roman"/>
                <w:color w:val="auto"/>
                <w:u w:val="single"/>
              </w:rPr>
              <w:t>贮存方式</w:t>
            </w:r>
          </w:p>
        </w:tc>
        <w:tc>
          <w:tcPr>
            <w:tcW w:w="428" w:type="pct"/>
            <w:vAlign w:val="center"/>
          </w:tcPr>
          <w:p w14:paraId="636602E9">
            <w:pPr>
              <w:pStyle w:val="67"/>
              <w:rPr>
                <w:rFonts w:cs="Times New Roman"/>
                <w:color w:val="auto"/>
                <w:u w:val="single"/>
              </w:rPr>
            </w:pPr>
            <w:r>
              <w:rPr>
                <w:rFonts w:cs="Times New Roman"/>
                <w:color w:val="auto"/>
                <w:u w:val="single"/>
              </w:rPr>
              <w:t>贮存能力</w:t>
            </w:r>
          </w:p>
        </w:tc>
        <w:tc>
          <w:tcPr>
            <w:tcW w:w="390" w:type="pct"/>
            <w:vAlign w:val="center"/>
          </w:tcPr>
          <w:p w14:paraId="5B8A9470">
            <w:pPr>
              <w:pStyle w:val="67"/>
              <w:rPr>
                <w:rFonts w:cs="Times New Roman"/>
                <w:color w:val="auto"/>
                <w:u w:val="single"/>
                <w:lang w:eastAsia="en-US"/>
              </w:rPr>
            </w:pPr>
            <w:r>
              <w:rPr>
                <w:rFonts w:cs="Times New Roman"/>
                <w:color w:val="auto"/>
                <w:u w:val="single"/>
              </w:rPr>
              <w:t>贮存</w:t>
            </w:r>
          </w:p>
          <w:p w14:paraId="6E6D66D3">
            <w:pPr>
              <w:pStyle w:val="67"/>
              <w:rPr>
                <w:rFonts w:cs="Times New Roman"/>
                <w:color w:val="auto"/>
                <w:u w:val="single"/>
                <w:lang w:eastAsia="en-US"/>
              </w:rPr>
            </w:pPr>
            <w:r>
              <w:rPr>
                <w:rFonts w:cs="Times New Roman"/>
                <w:color w:val="auto"/>
                <w:u w:val="single"/>
              </w:rPr>
              <w:t>周期</w:t>
            </w:r>
          </w:p>
        </w:tc>
      </w:tr>
      <w:tr w14:paraId="4E339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1" w:type="pct"/>
            <w:vMerge w:val="restart"/>
            <w:vAlign w:val="center"/>
          </w:tcPr>
          <w:p w14:paraId="293E5F96">
            <w:pPr>
              <w:pStyle w:val="62"/>
              <w:rPr>
                <w:kern w:val="2"/>
                <w:u w:val="single"/>
                <w:lang w:eastAsia="en-US"/>
              </w:rPr>
            </w:pPr>
            <w:r>
              <w:rPr>
                <w:kern w:val="2"/>
                <w:u w:val="single"/>
              </w:rPr>
              <w:t>1</w:t>
            </w:r>
          </w:p>
        </w:tc>
        <w:tc>
          <w:tcPr>
            <w:tcW w:w="636" w:type="pct"/>
            <w:vMerge w:val="restart"/>
            <w:vAlign w:val="center"/>
          </w:tcPr>
          <w:p w14:paraId="7F586509">
            <w:pPr>
              <w:pStyle w:val="62"/>
              <w:rPr>
                <w:kern w:val="2"/>
                <w:u w:val="single"/>
                <w:lang w:eastAsia="en-US"/>
              </w:rPr>
            </w:pPr>
            <w:r>
              <w:rPr>
                <w:rFonts w:hint="eastAsia"/>
                <w:kern w:val="2"/>
                <w:u w:val="single"/>
              </w:rPr>
              <w:t>危废贮存库</w:t>
            </w:r>
          </w:p>
        </w:tc>
        <w:tc>
          <w:tcPr>
            <w:tcW w:w="646" w:type="pct"/>
            <w:vAlign w:val="center"/>
          </w:tcPr>
          <w:p w14:paraId="7D2919E7">
            <w:pPr>
              <w:pStyle w:val="62"/>
              <w:rPr>
                <w:u w:val="single"/>
              </w:rPr>
            </w:pPr>
            <w:r>
              <w:rPr>
                <w:rFonts w:hint="eastAsia"/>
                <w:u w:val="single"/>
              </w:rPr>
              <w:t>化验室废物</w:t>
            </w:r>
          </w:p>
        </w:tc>
        <w:tc>
          <w:tcPr>
            <w:tcW w:w="668" w:type="pct"/>
            <w:vAlign w:val="center"/>
          </w:tcPr>
          <w:p w14:paraId="2CD3BB10">
            <w:pPr>
              <w:pStyle w:val="62"/>
              <w:rPr>
                <w:spacing w:val="-6"/>
                <w:kern w:val="2"/>
                <w:u w:val="single"/>
              </w:rPr>
            </w:pPr>
            <w:r>
              <w:rPr>
                <w:u w:val="single"/>
              </w:rPr>
              <w:t>HW49</w:t>
            </w:r>
            <w:r>
              <w:rPr>
                <w:rFonts w:hint="eastAsia"/>
                <w:u w:val="single"/>
              </w:rPr>
              <w:t>其他废物</w:t>
            </w:r>
          </w:p>
        </w:tc>
        <w:tc>
          <w:tcPr>
            <w:tcW w:w="699" w:type="pct"/>
            <w:vAlign w:val="center"/>
          </w:tcPr>
          <w:p w14:paraId="51BC304D">
            <w:pPr>
              <w:pStyle w:val="62"/>
              <w:rPr>
                <w:kern w:val="2"/>
                <w:u w:val="single"/>
              </w:rPr>
            </w:pPr>
            <w:r>
              <w:rPr>
                <w:bCs/>
                <w:u w:val="single"/>
              </w:rPr>
              <w:t>900-0</w:t>
            </w:r>
            <w:r>
              <w:rPr>
                <w:rFonts w:hint="eastAsia"/>
                <w:bCs/>
                <w:u w:val="single"/>
              </w:rPr>
              <w:t>47</w:t>
            </w:r>
            <w:r>
              <w:rPr>
                <w:bCs/>
                <w:u w:val="single"/>
              </w:rPr>
              <w:t>-49</w:t>
            </w:r>
          </w:p>
        </w:tc>
        <w:tc>
          <w:tcPr>
            <w:tcW w:w="428" w:type="pct"/>
            <w:vMerge w:val="restart"/>
            <w:vAlign w:val="center"/>
          </w:tcPr>
          <w:p w14:paraId="3B95CB7F">
            <w:pPr>
              <w:pStyle w:val="62"/>
              <w:rPr>
                <w:kern w:val="2"/>
                <w:u w:val="single"/>
              </w:rPr>
            </w:pPr>
            <w:r>
              <w:rPr>
                <w:kern w:val="2"/>
                <w:u w:val="single"/>
              </w:rPr>
              <w:t>厂区内</w:t>
            </w:r>
          </w:p>
        </w:tc>
        <w:tc>
          <w:tcPr>
            <w:tcW w:w="427" w:type="pct"/>
            <w:vMerge w:val="restart"/>
            <w:vAlign w:val="center"/>
          </w:tcPr>
          <w:p w14:paraId="7CAC9296">
            <w:pPr>
              <w:pStyle w:val="62"/>
              <w:rPr>
                <w:kern w:val="2"/>
                <w:u w:val="single"/>
              </w:rPr>
            </w:pPr>
            <w:r>
              <w:rPr>
                <w:rFonts w:hint="eastAsia"/>
                <w:kern w:val="2"/>
                <w:u w:val="single"/>
              </w:rPr>
              <w:t>50</w:t>
            </w:r>
            <w:r>
              <w:rPr>
                <w:kern w:val="2"/>
                <w:u w:val="single"/>
              </w:rPr>
              <w:t>m</w:t>
            </w:r>
            <w:r>
              <w:rPr>
                <w:kern w:val="2"/>
                <w:u w:val="single"/>
                <w:vertAlign w:val="superscript"/>
              </w:rPr>
              <w:t>2</w:t>
            </w:r>
          </w:p>
        </w:tc>
        <w:tc>
          <w:tcPr>
            <w:tcW w:w="427" w:type="pct"/>
            <w:vMerge w:val="restart"/>
            <w:vAlign w:val="center"/>
          </w:tcPr>
          <w:p w14:paraId="03808154">
            <w:pPr>
              <w:pStyle w:val="62"/>
              <w:rPr>
                <w:kern w:val="2"/>
                <w:u w:val="single"/>
              </w:rPr>
            </w:pPr>
            <w:r>
              <w:rPr>
                <w:kern w:val="2"/>
                <w:u w:val="single"/>
              </w:rPr>
              <w:t>桶装</w:t>
            </w:r>
          </w:p>
        </w:tc>
        <w:tc>
          <w:tcPr>
            <w:tcW w:w="428" w:type="pct"/>
            <w:vMerge w:val="restart"/>
            <w:vAlign w:val="center"/>
          </w:tcPr>
          <w:p w14:paraId="73EE184D">
            <w:pPr>
              <w:pStyle w:val="62"/>
              <w:rPr>
                <w:u w:val="single"/>
              </w:rPr>
            </w:pPr>
            <w:r>
              <w:rPr>
                <w:rFonts w:hint="eastAsia"/>
                <w:u w:val="single"/>
              </w:rPr>
              <w:t>30</w:t>
            </w:r>
            <w:r>
              <w:rPr>
                <w:u w:val="single"/>
              </w:rPr>
              <w:t>t</w:t>
            </w:r>
          </w:p>
        </w:tc>
        <w:tc>
          <w:tcPr>
            <w:tcW w:w="390" w:type="pct"/>
            <w:vMerge w:val="restart"/>
            <w:vAlign w:val="center"/>
          </w:tcPr>
          <w:p w14:paraId="1027494C">
            <w:pPr>
              <w:pStyle w:val="62"/>
              <w:rPr>
                <w:kern w:val="2"/>
                <w:u w:val="single"/>
              </w:rPr>
            </w:pPr>
            <w:r>
              <w:rPr>
                <w:rFonts w:hint="eastAsia"/>
                <w:kern w:val="2"/>
                <w:u w:val="single"/>
              </w:rPr>
              <w:t>3个月</w:t>
            </w:r>
          </w:p>
        </w:tc>
      </w:tr>
      <w:tr w14:paraId="641D3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1" w:type="pct"/>
            <w:vMerge w:val="continue"/>
            <w:vAlign w:val="center"/>
          </w:tcPr>
          <w:p w14:paraId="4487835F">
            <w:pPr>
              <w:pStyle w:val="62"/>
              <w:rPr>
                <w:kern w:val="2"/>
                <w:u w:val="single"/>
              </w:rPr>
            </w:pPr>
          </w:p>
        </w:tc>
        <w:tc>
          <w:tcPr>
            <w:tcW w:w="636" w:type="pct"/>
            <w:vMerge w:val="continue"/>
            <w:vAlign w:val="center"/>
          </w:tcPr>
          <w:p w14:paraId="1DC7B7D8">
            <w:pPr>
              <w:pStyle w:val="62"/>
              <w:rPr>
                <w:kern w:val="2"/>
                <w:u w:val="single"/>
              </w:rPr>
            </w:pPr>
          </w:p>
        </w:tc>
        <w:tc>
          <w:tcPr>
            <w:tcW w:w="646" w:type="pct"/>
            <w:vAlign w:val="center"/>
          </w:tcPr>
          <w:p w14:paraId="11E49544">
            <w:pPr>
              <w:pStyle w:val="62"/>
              <w:rPr>
                <w:u w:val="single"/>
              </w:rPr>
            </w:pPr>
            <w:r>
              <w:rPr>
                <w:rFonts w:hint="eastAsia"/>
                <w:u w:val="single"/>
              </w:rPr>
              <w:t>废活性炭</w:t>
            </w:r>
          </w:p>
        </w:tc>
        <w:tc>
          <w:tcPr>
            <w:tcW w:w="668" w:type="pct"/>
            <w:vAlign w:val="center"/>
          </w:tcPr>
          <w:p w14:paraId="093F033C">
            <w:pPr>
              <w:pStyle w:val="62"/>
              <w:rPr>
                <w:u w:val="single"/>
              </w:rPr>
            </w:pPr>
            <w:r>
              <w:rPr>
                <w:u w:val="single"/>
              </w:rPr>
              <w:t>HW49</w:t>
            </w:r>
            <w:r>
              <w:rPr>
                <w:rFonts w:hint="eastAsia"/>
                <w:u w:val="single"/>
              </w:rPr>
              <w:t>其他废物</w:t>
            </w:r>
          </w:p>
        </w:tc>
        <w:tc>
          <w:tcPr>
            <w:tcW w:w="699" w:type="pct"/>
            <w:vAlign w:val="center"/>
          </w:tcPr>
          <w:p w14:paraId="516BCABF">
            <w:pPr>
              <w:pStyle w:val="62"/>
              <w:rPr>
                <w:bCs/>
                <w:u w:val="single"/>
              </w:rPr>
            </w:pPr>
            <w:r>
              <w:rPr>
                <w:bCs/>
                <w:u w:val="single"/>
              </w:rPr>
              <w:t>900-039-49</w:t>
            </w:r>
          </w:p>
        </w:tc>
        <w:tc>
          <w:tcPr>
            <w:tcW w:w="428" w:type="pct"/>
            <w:vMerge w:val="continue"/>
            <w:vAlign w:val="center"/>
          </w:tcPr>
          <w:p w14:paraId="2F4DD2D6">
            <w:pPr>
              <w:pStyle w:val="62"/>
              <w:rPr>
                <w:kern w:val="2"/>
                <w:highlight w:val="yellow"/>
                <w:u w:val="single"/>
              </w:rPr>
            </w:pPr>
          </w:p>
        </w:tc>
        <w:tc>
          <w:tcPr>
            <w:tcW w:w="427" w:type="pct"/>
            <w:vMerge w:val="continue"/>
            <w:vAlign w:val="center"/>
          </w:tcPr>
          <w:p w14:paraId="579E203A">
            <w:pPr>
              <w:pStyle w:val="62"/>
              <w:rPr>
                <w:kern w:val="2"/>
                <w:highlight w:val="yellow"/>
                <w:u w:val="single"/>
              </w:rPr>
            </w:pPr>
          </w:p>
        </w:tc>
        <w:tc>
          <w:tcPr>
            <w:tcW w:w="427" w:type="pct"/>
            <w:vMerge w:val="continue"/>
            <w:vAlign w:val="center"/>
          </w:tcPr>
          <w:p w14:paraId="68472BA8">
            <w:pPr>
              <w:pStyle w:val="62"/>
              <w:rPr>
                <w:kern w:val="2"/>
                <w:highlight w:val="yellow"/>
                <w:u w:val="single"/>
              </w:rPr>
            </w:pPr>
          </w:p>
        </w:tc>
        <w:tc>
          <w:tcPr>
            <w:tcW w:w="428" w:type="pct"/>
            <w:vMerge w:val="continue"/>
            <w:vAlign w:val="center"/>
          </w:tcPr>
          <w:p w14:paraId="0D62BD07">
            <w:pPr>
              <w:pStyle w:val="62"/>
              <w:rPr>
                <w:highlight w:val="yellow"/>
                <w:u w:val="single"/>
              </w:rPr>
            </w:pPr>
          </w:p>
        </w:tc>
        <w:tc>
          <w:tcPr>
            <w:tcW w:w="390" w:type="pct"/>
            <w:vMerge w:val="continue"/>
            <w:vAlign w:val="center"/>
          </w:tcPr>
          <w:p w14:paraId="1FFA65B9">
            <w:pPr>
              <w:pStyle w:val="62"/>
              <w:rPr>
                <w:kern w:val="2"/>
                <w:highlight w:val="yellow"/>
                <w:u w:val="single"/>
              </w:rPr>
            </w:pPr>
          </w:p>
        </w:tc>
      </w:tr>
      <w:tr w14:paraId="4DB92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1" w:type="pct"/>
            <w:vMerge w:val="continue"/>
            <w:vAlign w:val="center"/>
          </w:tcPr>
          <w:p w14:paraId="4F9F3A83">
            <w:pPr>
              <w:pStyle w:val="62"/>
              <w:rPr>
                <w:kern w:val="2"/>
                <w:u w:val="single"/>
              </w:rPr>
            </w:pPr>
          </w:p>
        </w:tc>
        <w:tc>
          <w:tcPr>
            <w:tcW w:w="636" w:type="pct"/>
            <w:vMerge w:val="continue"/>
            <w:vAlign w:val="center"/>
          </w:tcPr>
          <w:p w14:paraId="2A949573">
            <w:pPr>
              <w:pStyle w:val="62"/>
              <w:rPr>
                <w:kern w:val="2"/>
                <w:u w:val="single"/>
              </w:rPr>
            </w:pPr>
          </w:p>
        </w:tc>
        <w:tc>
          <w:tcPr>
            <w:tcW w:w="646" w:type="pct"/>
            <w:vAlign w:val="center"/>
          </w:tcPr>
          <w:p w14:paraId="213618CC">
            <w:pPr>
              <w:pStyle w:val="62"/>
              <w:rPr>
                <w:u w:val="single"/>
              </w:rPr>
            </w:pPr>
            <w:r>
              <w:rPr>
                <w:rFonts w:hint="eastAsia"/>
                <w:u w:val="single"/>
              </w:rPr>
              <w:t>废导热油</w:t>
            </w:r>
          </w:p>
        </w:tc>
        <w:tc>
          <w:tcPr>
            <w:tcW w:w="668" w:type="pct"/>
            <w:vAlign w:val="center"/>
          </w:tcPr>
          <w:p w14:paraId="3362108B">
            <w:pPr>
              <w:pStyle w:val="62"/>
              <w:rPr>
                <w:spacing w:val="-6"/>
                <w:kern w:val="2"/>
                <w:u w:val="single"/>
              </w:rPr>
            </w:pPr>
            <w:r>
              <w:rPr>
                <w:rFonts w:hint="eastAsia"/>
                <w:spacing w:val="-6"/>
                <w:kern w:val="2"/>
                <w:u w:val="single"/>
              </w:rPr>
              <w:t>HW08废矿物油与含矿物油废物</w:t>
            </w:r>
          </w:p>
        </w:tc>
        <w:tc>
          <w:tcPr>
            <w:tcW w:w="699" w:type="pct"/>
            <w:vAlign w:val="center"/>
          </w:tcPr>
          <w:p w14:paraId="54217472">
            <w:pPr>
              <w:pStyle w:val="62"/>
              <w:rPr>
                <w:u w:val="single"/>
              </w:rPr>
            </w:pPr>
            <w:r>
              <w:rPr>
                <w:u w:val="single"/>
              </w:rPr>
              <w:t>900-249-08</w:t>
            </w:r>
          </w:p>
        </w:tc>
        <w:tc>
          <w:tcPr>
            <w:tcW w:w="428" w:type="pct"/>
            <w:vMerge w:val="continue"/>
            <w:vAlign w:val="center"/>
          </w:tcPr>
          <w:p w14:paraId="227D0BFD">
            <w:pPr>
              <w:pStyle w:val="62"/>
              <w:rPr>
                <w:kern w:val="2"/>
                <w:highlight w:val="yellow"/>
                <w:u w:val="single"/>
              </w:rPr>
            </w:pPr>
          </w:p>
        </w:tc>
        <w:tc>
          <w:tcPr>
            <w:tcW w:w="427" w:type="pct"/>
            <w:vMerge w:val="continue"/>
            <w:vAlign w:val="center"/>
          </w:tcPr>
          <w:p w14:paraId="3241A2D5">
            <w:pPr>
              <w:pStyle w:val="62"/>
              <w:rPr>
                <w:kern w:val="2"/>
                <w:highlight w:val="yellow"/>
                <w:u w:val="single"/>
              </w:rPr>
            </w:pPr>
          </w:p>
        </w:tc>
        <w:tc>
          <w:tcPr>
            <w:tcW w:w="427" w:type="pct"/>
            <w:vMerge w:val="continue"/>
            <w:vAlign w:val="center"/>
          </w:tcPr>
          <w:p w14:paraId="1B108884">
            <w:pPr>
              <w:pStyle w:val="62"/>
              <w:rPr>
                <w:kern w:val="2"/>
                <w:highlight w:val="yellow"/>
                <w:u w:val="single"/>
              </w:rPr>
            </w:pPr>
          </w:p>
        </w:tc>
        <w:tc>
          <w:tcPr>
            <w:tcW w:w="428" w:type="pct"/>
            <w:vMerge w:val="continue"/>
            <w:vAlign w:val="center"/>
          </w:tcPr>
          <w:p w14:paraId="64520033">
            <w:pPr>
              <w:pStyle w:val="62"/>
              <w:rPr>
                <w:highlight w:val="yellow"/>
                <w:u w:val="single"/>
              </w:rPr>
            </w:pPr>
          </w:p>
        </w:tc>
        <w:tc>
          <w:tcPr>
            <w:tcW w:w="390" w:type="pct"/>
            <w:vMerge w:val="continue"/>
            <w:vAlign w:val="center"/>
          </w:tcPr>
          <w:p w14:paraId="38DE92F9">
            <w:pPr>
              <w:pStyle w:val="62"/>
              <w:rPr>
                <w:kern w:val="2"/>
                <w:highlight w:val="yellow"/>
                <w:u w:val="single"/>
              </w:rPr>
            </w:pPr>
          </w:p>
        </w:tc>
      </w:tr>
      <w:tr w14:paraId="3A7DA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1" w:type="pct"/>
            <w:vMerge w:val="continue"/>
            <w:vAlign w:val="center"/>
          </w:tcPr>
          <w:p w14:paraId="4E8F051E">
            <w:pPr>
              <w:pStyle w:val="62"/>
              <w:rPr>
                <w:kern w:val="2"/>
                <w:u w:val="single"/>
              </w:rPr>
            </w:pPr>
          </w:p>
        </w:tc>
        <w:tc>
          <w:tcPr>
            <w:tcW w:w="636" w:type="pct"/>
            <w:vMerge w:val="continue"/>
            <w:vAlign w:val="center"/>
          </w:tcPr>
          <w:p w14:paraId="5FC42338">
            <w:pPr>
              <w:pStyle w:val="62"/>
              <w:rPr>
                <w:kern w:val="2"/>
                <w:u w:val="single"/>
              </w:rPr>
            </w:pPr>
          </w:p>
        </w:tc>
        <w:tc>
          <w:tcPr>
            <w:tcW w:w="646" w:type="pct"/>
            <w:vAlign w:val="center"/>
          </w:tcPr>
          <w:p w14:paraId="0287F496">
            <w:pPr>
              <w:pStyle w:val="62"/>
              <w:rPr>
                <w:u w:val="single"/>
              </w:rPr>
            </w:pPr>
            <w:r>
              <w:rPr>
                <w:rFonts w:hint="eastAsia"/>
                <w:u w:val="single"/>
              </w:rPr>
              <w:t>污油</w:t>
            </w:r>
          </w:p>
        </w:tc>
        <w:tc>
          <w:tcPr>
            <w:tcW w:w="668" w:type="pct"/>
            <w:vAlign w:val="center"/>
          </w:tcPr>
          <w:p w14:paraId="34BEDEC8">
            <w:pPr>
              <w:pStyle w:val="62"/>
              <w:rPr>
                <w:spacing w:val="-6"/>
                <w:kern w:val="2"/>
                <w:u w:val="single"/>
              </w:rPr>
            </w:pPr>
            <w:r>
              <w:rPr>
                <w:rFonts w:hint="eastAsia"/>
                <w:spacing w:val="-6"/>
                <w:kern w:val="2"/>
                <w:u w:val="single"/>
              </w:rPr>
              <w:t>HW08废矿物油与含矿物油废物</w:t>
            </w:r>
          </w:p>
        </w:tc>
        <w:tc>
          <w:tcPr>
            <w:tcW w:w="699" w:type="pct"/>
            <w:vAlign w:val="center"/>
          </w:tcPr>
          <w:p w14:paraId="197572A8">
            <w:pPr>
              <w:pStyle w:val="62"/>
              <w:rPr>
                <w:u w:val="single"/>
              </w:rPr>
            </w:pPr>
            <w:r>
              <w:rPr>
                <w:rFonts w:hint="eastAsia"/>
                <w:u w:val="single"/>
              </w:rPr>
              <w:t>900-210-08</w:t>
            </w:r>
          </w:p>
        </w:tc>
        <w:tc>
          <w:tcPr>
            <w:tcW w:w="428" w:type="pct"/>
            <w:vMerge w:val="continue"/>
            <w:vAlign w:val="center"/>
          </w:tcPr>
          <w:p w14:paraId="49BC52E6">
            <w:pPr>
              <w:pStyle w:val="62"/>
              <w:rPr>
                <w:kern w:val="2"/>
                <w:highlight w:val="yellow"/>
                <w:u w:val="single"/>
              </w:rPr>
            </w:pPr>
          </w:p>
        </w:tc>
        <w:tc>
          <w:tcPr>
            <w:tcW w:w="427" w:type="pct"/>
            <w:vMerge w:val="continue"/>
            <w:vAlign w:val="center"/>
          </w:tcPr>
          <w:p w14:paraId="58C5206A">
            <w:pPr>
              <w:pStyle w:val="62"/>
              <w:rPr>
                <w:kern w:val="2"/>
                <w:highlight w:val="yellow"/>
                <w:u w:val="single"/>
              </w:rPr>
            </w:pPr>
          </w:p>
        </w:tc>
        <w:tc>
          <w:tcPr>
            <w:tcW w:w="427" w:type="pct"/>
            <w:vMerge w:val="continue"/>
            <w:vAlign w:val="center"/>
          </w:tcPr>
          <w:p w14:paraId="1D795AB3">
            <w:pPr>
              <w:pStyle w:val="62"/>
              <w:rPr>
                <w:kern w:val="2"/>
                <w:highlight w:val="yellow"/>
                <w:u w:val="single"/>
              </w:rPr>
            </w:pPr>
          </w:p>
        </w:tc>
        <w:tc>
          <w:tcPr>
            <w:tcW w:w="428" w:type="pct"/>
            <w:vMerge w:val="continue"/>
            <w:vAlign w:val="center"/>
          </w:tcPr>
          <w:p w14:paraId="539956D9">
            <w:pPr>
              <w:pStyle w:val="62"/>
              <w:rPr>
                <w:highlight w:val="yellow"/>
                <w:u w:val="single"/>
              </w:rPr>
            </w:pPr>
          </w:p>
        </w:tc>
        <w:tc>
          <w:tcPr>
            <w:tcW w:w="390" w:type="pct"/>
            <w:vMerge w:val="continue"/>
            <w:vAlign w:val="center"/>
          </w:tcPr>
          <w:p w14:paraId="3CA5AA29">
            <w:pPr>
              <w:pStyle w:val="62"/>
              <w:rPr>
                <w:kern w:val="2"/>
                <w:highlight w:val="yellow"/>
                <w:u w:val="single"/>
              </w:rPr>
            </w:pPr>
          </w:p>
        </w:tc>
      </w:tr>
      <w:tr w14:paraId="6BCC5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1" w:type="pct"/>
            <w:vMerge w:val="continue"/>
            <w:vAlign w:val="center"/>
          </w:tcPr>
          <w:p w14:paraId="31F6BEE4">
            <w:pPr>
              <w:pStyle w:val="62"/>
              <w:rPr>
                <w:kern w:val="2"/>
                <w:u w:val="single"/>
              </w:rPr>
            </w:pPr>
          </w:p>
        </w:tc>
        <w:tc>
          <w:tcPr>
            <w:tcW w:w="636" w:type="pct"/>
            <w:vMerge w:val="continue"/>
            <w:vAlign w:val="center"/>
          </w:tcPr>
          <w:p w14:paraId="62060798">
            <w:pPr>
              <w:pStyle w:val="62"/>
              <w:rPr>
                <w:kern w:val="2"/>
                <w:u w:val="single"/>
              </w:rPr>
            </w:pPr>
          </w:p>
        </w:tc>
        <w:tc>
          <w:tcPr>
            <w:tcW w:w="646" w:type="pct"/>
            <w:vAlign w:val="center"/>
          </w:tcPr>
          <w:p w14:paraId="1C5E3919">
            <w:pPr>
              <w:pStyle w:val="62"/>
              <w:rPr>
                <w:u w:val="single"/>
              </w:rPr>
            </w:pPr>
            <w:r>
              <w:rPr>
                <w:rFonts w:hint="eastAsia"/>
                <w:u w:val="single"/>
              </w:rPr>
              <w:t>污泥</w:t>
            </w:r>
          </w:p>
        </w:tc>
        <w:tc>
          <w:tcPr>
            <w:tcW w:w="668" w:type="pct"/>
            <w:vAlign w:val="center"/>
          </w:tcPr>
          <w:p w14:paraId="65C1369E">
            <w:pPr>
              <w:pStyle w:val="62"/>
              <w:rPr>
                <w:u w:val="single"/>
              </w:rPr>
            </w:pPr>
            <w:r>
              <w:rPr>
                <w:rFonts w:hint="eastAsia"/>
                <w:spacing w:val="-6"/>
                <w:kern w:val="2"/>
                <w:u w:val="single"/>
              </w:rPr>
              <w:t>HW49</w:t>
            </w:r>
            <w:r>
              <w:rPr>
                <w:rFonts w:hint="eastAsia"/>
                <w:u w:val="single"/>
              </w:rPr>
              <w:t>其他废物</w:t>
            </w:r>
          </w:p>
        </w:tc>
        <w:tc>
          <w:tcPr>
            <w:tcW w:w="699" w:type="pct"/>
            <w:vAlign w:val="center"/>
          </w:tcPr>
          <w:p w14:paraId="405930A0">
            <w:pPr>
              <w:pStyle w:val="62"/>
              <w:rPr>
                <w:bCs/>
                <w:u w:val="single"/>
              </w:rPr>
            </w:pPr>
            <w:r>
              <w:rPr>
                <w:u w:val="single"/>
              </w:rPr>
              <w:t>772-006-49</w:t>
            </w:r>
          </w:p>
        </w:tc>
        <w:tc>
          <w:tcPr>
            <w:tcW w:w="428" w:type="pct"/>
            <w:vMerge w:val="continue"/>
            <w:vAlign w:val="center"/>
          </w:tcPr>
          <w:p w14:paraId="38AB532D">
            <w:pPr>
              <w:pStyle w:val="62"/>
              <w:rPr>
                <w:kern w:val="2"/>
                <w:highlight w:val="yellow"/>
                <w:u w:val="single"/>
              </w:rPr>
            </w:pPr>
          </w:p>
        </w:tc>
        <w:tc>
          <w:tcPr>
            <w:tcW w:w="427" w:type="pct"/>
            <w:vMerge w:val="continue"/>
            <w:vAlign w:val="center"/>
          </w:tcPr>
          <w:p w14:paraId="1FA2B227">
            <w:pPr>
              <w:pStyle w:val="62"/>
              <w:rPr>
                <w:kern w:val="2"/>
                <w:highlight w:val="yellow"/>
                <w:u w:val="single"/>
              </w:rPr>
            </w:pPr>
          </w:p>
        </w:tc>
        <w:tc>
          <w:tcPr>
            <w:tcW w:w="427" w:type="pct"/>
            <w:vMerge w:val="continue"/>
            <w:vAlign w:val="center"/>
          </w:tcPr>
          <w:p w14:paraId="3F993C9D">
            <w:pPr>
              <w:pStyle w:val="62"/>
              <w:rPr>
                <w:kern w:val="2"/>
                <w:highlight w:val="yellow"/>
                <w:u w:val="single"/>
              </w:rPr>
            </w:pPr>
          </w:p>
        </w:tc>
        <w:tc>
          <w:tcPr>
            <w:tcW w:w="428" w:type="pct"/>
            <w:vMerge w:val="continue"/>
            <w:vAlign w:val="center"/>
          </w:tcPr>
          <w:p w14:paraId="74B72095">
            <w:pPr>
              <w:pStyle w:val="62"/>
              <w:rPr>
                <w:highlight w:val="yellow"/>
                <w:u w:val="single"/>
              </w:rPr>
            </w:pPr>
          </w:p>
        </w:tc>
        <w:tc>
          <w:tcPr>
            <w:tcW w:w="390" w:type="pct"/>
            <w:vMerge w:val="continue"/>
            <w:vAlign w:val="center"/>
          </w:tcPr>
          <w:p w14:paraId="3069F442">
            <w:pPr>
              <w:pStyle w:val="62"/>
              <w:rPr>
                <w:kern w:val="2"/>
                <w:highlight w:val="yellow"/>
                <w:u w:val="single"/>
              </w:rPr>
            </w:pPr>
          </w:p>
        </w:tc>
      </w:tr>
    </w:tbl>
    <w:p w14:paraId="1D3EBB73">
      <w:pPr>
        <w:ind w:firstLine="480"/>
      </w:pPr>
      <w:r>
        <w:rPr>
          <w:rFonts w:hint="eastAsia"/>
        </w:rPr>
        <w:t>评价要求：企业严格按照《危险废物贮存污染控制标准》（GB18597-2023）进行建设。为避免危险废物在厂区收集、贮存等过程中对环境的影响，评价要求企业严格按照《危险废物收集 贮存 运输技术规范》（HJ 2025-2012）要求对危险废物进行收集、贮存、运输；在危废的转移和处置过程中，还应严格按照《中华人民共和国固体废物污染环境防治法》和《危险废物转移管理办法》等有关规定制定危险废物管理计划，建立危险废物管理台账，填写和运行危险废物电子转移联单，并依照国家有关规定公开危险废物转移相关污染环境防治信息。</w:t>
      </w:r>
    </w:p>
    <w:p w14:paraId="15ED7D6F">
      <w:pPr>
        <w:pStyle w:val="4"/>
      </w:pPr>
      <w:bookmarkStart w:id="190" w:name="_Toc428286859"/>
      <w:bookmarkStart w:id="191" w:name="_Toc176105860"/>
      <w:bookmarkStart w:id="192" w:name="_Toc429318403"/>
      <w:bookmarkStart w:id="193" w:name="_Toc428287220"/>
      <w:r>
        <w:t>污染物排放情况汇总</w:t>
      </w:r>
      <w:bookmarkEnd w:id="190"/>
      <w:bookmarkEnd w:id="191"/>
      <w:bookmarkEnd w:id="192"/>
      <w:bookmarkEnd w:id="193"/>
    </w:p>
    <w:p w14:paraId="45F595E7">
      <w:pPr>
        <w:pStyle w:val="5"/>
        <w:spacing w:before="240" w:after="240"/>
      </w:pPr>
      <w:r>
        <w:rPr>
          <w:rFonts w:hint="eastAsia"/>
        </w:rPr>
        <w:t>本次工程污染物产排量汇总</w:t>
      </w:r>
    </w:p>
    <w:p w14:paraId="52F1BD60">
      <w:pPr>
        <w:ind w:firstLine="480"/>
      </w:pPr>
      <w:r>
        <w:t>本项目污染物产排情况见下表。</w:t>
      </w:r>
    </w:p>
    <w:p w14:paraId="1EFAF29B">
      <w:pPr>
        <w:pStyle w:val="99"/>
        <w:numPr>
          <w:ilvl w:val="0"/>
          <w:numId w:val="21"/>
        </w:numPr>
        <w:ind w:left="0" w:firstLine="480"/>
        <w:rPr>
          <w:rFonts w:eastAsia="黑体"/>
        </w:rPr>
      </w:pPr>
      <w:r>
        <w:rPr>
          <w:rFonts w:hint="eastAsia" w:eastAsia="黑体"/>
        </w:rPr>
        <w:t xml:space="preserve">           </w:t>
      </w:r>
      <w:r>
        <w:rPr>
          <w:rFonts w:eastAsia="黑体"/>
        </w:rPr>
        <w:t>本项目污染物产排情况               单位：t/a</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750"/>
        <w:gridCol w:w="1458"/>
        <w:gridCol w:w="1467"/>
        <w:gridCol w:w="1407"/>
        <w:gridCol w:w="1728"/>
      </w:tblGrid>
      <w:tr w14:paraId="6AFC4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47" w:type="pct"/>
            <w:gridSpan w:val="2"/>
            <w:shd w:val="clear" w:color="auto" w:fill="auto"/>
            <w:vAlign w:val="center"/>
          </w:tcPr>
          <w:p w14:paraId="1C39D8E9">
            <w:pPr>
              <w:pStyle w:val="67"/>
              <w:rPr>
                <w:rFonts w:cs="Times New Roman"/>
                <w:color w:val="auto"/>
                <w:szCs w:val="21"/>
              </w:rPr>
            </w:pPr>
            <w:r>
              <w:rPr>
                <w:rFonts w:cs="Times New Roman"/>
                <w:color w:val="auto"/>
                <w:szCs w:val="21"/>
              </w:rPr>
              <w:t>污染物</w:t>
            </w:r>
          </w:p>
        </w:tc>
        <w:tc>
          <w:tcPr>
            <w:tcW w:w="855" w:type="pct"/>
            <w:shd w:val="clear" w:color="auto" w:fill="auto"/>
            <w:vAlign w:val="center"/>
          </w:tcPr>
          <w:p w14:paraId="724329C0">
            <w:pPr>
              <w:pStyle w:val="67"/>
              <w:rPr>
                <w:rFonts w:cs="Times New Roman"/>
                <w:color w:val="auto"/>
                <w:szCs w:val="21"/>
              </w:rPr>
            </w:pPr>
            <w:r>
              <w:rPr>
                <w:rFonts w:cs="Times New Roman"/>
                <w:color w:val="auto"/>
                <w:szCs w:val="21"/>
              </w:rPr>
              <w:t>工程产生量</w:t>
            </w:r>
          </w:p>
        </w:tc>
        <w:tc>
          <w:tcPr>
            <w:tcW w:w="860" w:type="pct"/>
            <w:shd w:val="clear" w:color="auto" w:fill="auto"/>
            <w:vAlign w:val="center"/>
          </w:tcPr>
          <w:p w14:paraId="15A5930E">
            <w:pPr>
              <w:pStyle w:val="67"/>
              <w:rPr>
                <w:rFonts w:cs="Times New Roman"/>
                <w:color w:val="auto"/>
                <w:szCs w:val="21"/>
              </w:rPr>
            </w:pPr>
            <w:r>
              <w:rPr>
                <w:rFonts w:cs="Times New Roman"/>
                <w:color w:val="auto"/>
                <w:szCs w:val="21"/>
              </w:rPr>
              <w:t>工程削减量</w:t>
            </w:r>
          </w:p>
        </w:tc>
        <w:tc>
          <w:tcPr>
            <w:tcW w:w="825" w:type="pct"/>
            <w:shd w:val="clear" w:color="auto" w:fill="auto"/>
            <w:vAlign w:val="center"/>
          </w:tcPr>
          <w:p w14:paraId="0C072D92">
            <w:pPr>
              <w:pStyle w:val="67"/>
              <w:rPr>
                <w:rFonts w:cs="Times New Roman"/>
                <w:color w:val="auto"/>
                <w:szCs w:val="21"/>
              </w:rPr>
            </w:pPr>
            <w:r>
              <w:rPr>
                <w:rFonts w:cs="Times New Roman"/>
                <w:color w:val="auto"/>
                <w:szCs w:val="21"/>
              </w:rPr>
              <w:t>工程排放量</w:t>
            </w:r>
          </w:p>
        </w:tc>
        <w:tc>
          <w:tcPr>
            <w:tcW w:w="1013" w:type="pct"/>
            <w:vAlign w:val="center"/>
          </w:tcPr>
          <w:p w14:paraId="0A6BF756">
            <w:pPr>
              <w:pStyle w:val="67"/>
              <w:rPr>
                <w:rFonts w:cs="Times New Roman"/>
                <w:color w:val="auto"/>
                <w:szCs w:val="21"/>
              </w:rPr>
            </w:pPr>
            <w:r>
              <w:rPr>
                <w:rFonts w:hint="eastAsia" w:cs="Times New Roman"/>
                <w:color w:val="auto"/>
                <w:szCs w:val="21"/>
              </w:rPr>
              <w:t>唐庄</w:t>
            </w:r>
            <w:r>
              <w:rPr>
                <w:rFonts w:cs="Times New Roman"/>
                <w:color w:val="auto"/>
                <w:szCs w:val="21"/>
              </w:rPr>
              <w:t>污水处理厂处理后的排放量</w:t>
            </w:r>
          </w:p>
        </w:tc>
      </w:tr>
      <w:tr w14:paraId="1958B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restart"/>
            <w:shd w:val="clear" w:color="auto" w:fill="auto"/>
            <w:vAlign w:val="center"/>
          </w:tcPr>
          <w:p w14:paraId="6A70AD30">
            <w:pPr>
              <w:pStyle w:val="62"/>
              <w:rPr>
                <w:bCs/>
                <w:highlight w:val="yellow"/>
              </w:rPr>
            </w:pPr>
            <w:r>
              <w:rPr>
                <w:bCs/>
              </w:rPr>
              <w:t>废水</w:t>
            </w:r>
          </w:p>
        </w:tc>
        <w:tc>
          <w:tcPr>
            <w:tcW w:w="1026" w:type="pct"/>
            <w:shd w:val="clear" w:color="auto" w:fill="auto"/>
            <w:vAlign w:val="center"/>
          </w:tcPr>
          <w:p w14:paraId="7FB109BD">
            <w:pPr>
              <w:pStyle w:val="62"/>
              <w:rPr>
                <w:bCs/>
              </w:rPr>
            </w:pPr>
            <w:r>
              <w:rPr>
                <w:bCs/>
              </w:rPr>
              <w:t>COD</w:t>
            </w:r>
          </w:p>
        </w:tc>
        <w:tc>
          <w:tcPr>
            <w:tcW w:w="855" w:type="pct"/>
            <w:shd w:val="clear" w:color="auto" w:fill="auto"/>
            <w:vAlign w:val="center"/>
          </w:tcPr>
          <w:p w14:paraId="45CF88CD">
            <w:pPr>
              <w:pStyle w:val="62"/>
              <w:rPr>
                <w:bCs/>
                <w:u w:val="single"/>
              </w:rPr>
            </w:pPr>
            <w:r>
              <w:rPr>
                <w:rFonts w:hint="eastAsia"/>
                <w:bCs/>
                <w:u w:val="single"/>
              </w:rPr>
              <w:t>5.459</w:t>
            </w:r>
          </w:p>
        </w:tc>
        <w:tc>
          <w:tcPr>
            <w:tcW w:w="860" w:type="pct"/>
            <w:shd w:val="clear" w:color="auto" w:fill="auto"/>
            <w:vAlign w:val="center"/>
          </w:tcPr>
          <w:p w14:paraId="45C0051A">
            <w:pPr>
              <w:pStyle w:val="62"/>
              <w:rPr>
                <w:bCs/>
                <w:u w:val="single"/>
              </w:rPr>
            </w:pPr>
            <w:r>
              <w:rPr>
                <w:rFonts w:hint="eastAsia"/>
                <w:bCs/>
                <w:u w:val="single"/>
              </w:rPr>
              <w:t>4.9986</w:t>
            </w:r>
          </w:p>
        </w:tc>
        <w:tc>
          <w:tcPr>
            <w:tcW w:w="825" w:type="pct"/>
            <w:shd w:val="clear" w:color="auto" w:fill="auto"/>
            <w:vAlign w:val="center"/>
          </w:tcPr>
          <w:p w14:paraId="72908E1C">
            <w:pPr>
              <w:pStyle w:val="62"/>
              <w:rPr>
                <w:bCs/>
                <w:u w:val="single"/>
              </w:rPr>
            </w:pPr>
            <w:r>
              <w:rPr>
                <w:rFonts w:hint="eastAsia"/>
                <w:bCs/>
                <w:u w:val="single"/>
              </w:rPr>
              <w:t>0.4604</w:t>
            </w:r>
          </w:p>
        </w:tc>
        <w:tc>
          <w:tcPr>
            <w:tcW w:w="1013" w:type="pct"/>
            <w:vAlign w:val="center"/>
          </w:tcPr>
          <w:p w14:paraId="2EA8B5F1">
            <w:pPr>
              <w:pStyle w:val="62"/>
              <w:rPr>
                <w:bCs/>
                <w:u w:val="single"/>
              </w:rPr>
            </w:pPr>
            <w:r>
              <w:rPr>
                <w:rFonts w:hint="eastAsia"/>
                <w:bCs/>
                <w:u w:val="single"/>
              </w:rPr>
              <w:t>0.0877</w:t>
            </w:r>
          </w:p>
        </w:tc>
      </w:tr>
      <w:tr w14:paraId="62C6B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7C41DF03">
            <w:pPr>
              <w:pStyle w:val="62"/>
              <w:rPr>
                <w:bCs/>
                <w:highlight w:val="yellow"/>
              </w:rPr>
            </w:pPr>
          </w:p>
        </w:tc>
        <w:tc>
          <w:tcPr>
            <w:tcW w:w="1026" w:type="pct"/>
            <w:shd w:val="clear" w:color="auto" w:fill="auto"/>
            <w:vAlign w:val="center"/>
          </w:tcPr>
          <w:p w14:paraId="06157D7D">
            <w:pPr>
              <w:pStyle w:val="62"/>
              <w:rPr>
                <w:bCs/>
              </w:rPr>
            </w:pPr>
            <w:r>
              <w:rPr>
                <w:bCs/>
              </w:rPr>
              <w:t>氨氮</w:t>
            </w:r>
          </w:p>
        </w:tc>
        <w:tc>
          <w:tcPr>
            <w:tcW w:w="855" w:type="pct"/>
            <w:shd w:val="clear" w:color="auto" w:fill="auto"/>
            <w:vAlign w:val="center"/>
          </w:tcPr>
          <w:p w14:paraId="017BE095">
            <w:pPr>
              <w:pStyle w:val="62"/>
              <w:rPr>
                <w:bCs/>
                <w:u w:val="single"/>
              </w:rPr>
            </w:pPr>
            <w:r>
              <w:rPr>
                <w:rFonts w:hint="eastAsia"/>
                <w:bCs/>
                <w:u w:val="single"/>
              </w:rPr>
              <w:t>0.0072</w:t>
            </w:r>
          </w:p>
        </w:tc>
        <w:tc>
          <w:tcPr>
            <w:tcW w:w="860" w:type="pct"/>
            <w:shd w:val="clear" w:color="auto" w:fill="auto"/>
            <w:vAlign w:val="center"/>
          </w:tcPr>
          <w:p w14:paraId="08636223">
            <w:pPr>
              <w:pStyle w:val="62"/>
              <w:rPr>
                <w:bCs/>
                <w:u w:val="single"/>
              </w:rPr>
            </w:pPr>
            <w:r>
              <w:rPr>
                <w:rFonts w:hint="eastAsia"/>
                <w:bCs/>
                <w:u w:val="single"/>
              </w:rPr>
              <w:t>0</w:t>
            </w:r>
          </w:p>
        </w:tc>
        <w:tc>
          <w:tcPr>
            <w:tcW w:w="825" w:type="pct"/>
            <w:shd w:val="clear" w:color="auto" w:fill="auto"/>
            <w:vAlign w:val="center"/>
          </w:tcPr>
          <w:p w14:paraId="67B8A06C">
            <w:pPr>
              <w:pStyle w:val="62"/>
              <w:rPr>
                <w:bCs/>
                <w:u w:val="single"/>
              </w:rPr>
            </w:pPr>
            <w:r>
              <w:rPr>
                <w:rFonts w:hint="eastAsia"/>
                <w:bCs/>
                <w:u w:val="single"/>
              </w:rPr>
              <w:t>0.0072</w:t>
            </w:r>
          </w:p>
        </w:tc>
        <w:tc>
          <w:tcPr>
            <w:tcW w:w="1013" w:type="pct"/>
            <w:vAlign w:val="center"/>
          </w:tcPr>
          <w:p w14:paraId="30EF2E0F">
            <w:pPr>
              <w:pStyle w:val="62"/>
              <w:rPr>
                <w:bCs/>
                <w:u w:val="single"/>
              </w:rPr>
            </w:pPr>
            <w:r>
              <w:rPr>
                <w:rFonts w:hint="eastAsia"/>
                <w:bCs/>
                <w:u w:val="single"/>
              </w:rPr>
              <w:t>0.0044</w:t>
            </w:r>
          </w:p>
        </w:tc>
      </w:tr>
      <w:tr w14:paraId="02507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7C64E595">
            <w:pPr>
              <w:pStyle w:val="62"/>
              <w:rPr>
                <w:bCs/>
                <w:highlight w:val="yellow"/>
              </w:rPr>
            </w:pPr>
          </w:p>
        </w:tc>
        <w:tc>
          <w:tcPr>
            <w:tcW w:w="1026" w:type="pct"/>
            <w:shd w:val="clear" w:color="auto" w:fill="auto"/>
            <w:vAlign w:val="center"/>
          </w:tcPr>
          <w:p w14:paraId="45C88183">
            <w:pPr>
              <w:pStyle w:val="62"/>
              <w:rPr>
                <w:bCs/>
              </w:rPr>
            </w:pPr>
            <w:r>
              <w:rPr>
                <w:bCs/>
              </w:rPr>
              <w:t>TP</w:t>
            </w:r>
          </w:p>
        </w:tc>
        <w:tc>
          <w:tcPr>
            <w:tcW w:w="855" w:type="pct"/>
            <w:shd w:val="clear" w:color="auto" w:fill="auto"/>
            <w:vAlign w:val="center"/>
          </w:tcPr>
          <w:p w14:paraId="381D4626">
            <w:pPr>
              <w:pStyle w:val="62"/>
              <w:rPr>
                <w:bCs/>
                <w:u w:val="single"/>
              </w:rPr>
            </w:pPr>
            <w:r>
              <w:rPr>
                <w:rFonts w:hint="eastAsia"/>
                <w:bCs/>
                <w:u w:val="single"/>
              </w:rPr>
              <w:t>0.0008</w:t>
            </w:r>
          </w:p>
        </w:tc>
        <w:tc>
          <w:tcPr>
            <w:tcW w:w="860" w:type="pct"/>
            <w:shd w:val="clear" w:color="auto" w:fill="auto"/>
            <w:vAlign w:val="center"/>
          </w:tcPr>
          <w:p w14:paraId="5618E530">
            <w:pPr>
              <w:pStyle w:val="62"/>
              <w:rPr>
                <w:bCs/>
                <w:u w:val="single"/>
              </w:rPr>
            </w:pPr>
            <w:r>
              <w:rPr>
                <w:rFonts w:hint="eastAsia"/>
                <w:bCs/>
                <w:u w:val="single"/>
              </w:rPr>
              <w:t>-0.0001</w:t>
            </w:r>
          </w:p>
        </w:tc>
        <w:tc>
          <w:tcPr>
            <w:tcW w:w="825" w:type="pct"/>
            <w:shd w:val="clear" w:color="auto" w:fill="auto"/>
            <w:vAlign w:val="center"/>
          </w:tcPr>
          <w:p w14:paraId="141D43EC">
            <w:pPr>
              <w:pStyle w:val="62"/>
              <w:rPr>
                <w:bCs/>
                <w:u w:val="single"/>
              </w:rPr>
            </w:pPr>
            <w:r>
              <w:rPr>
                <w:rFonts w:hint="eastAsia"/>
                <w:bCs/>
                <w:u w:val="single"/>
              </w:rPr>
              <w:t>0.0009</w:t>
            </w:r>
          </w:p>
        </w:tc>
        <w:tc>
          <w:tcPr>
            <w:tcW w:w="1013" w:type="pct"/>
            <w:vAlign w:val="center"/>
          </w:tcPr>
          <w:p w14:paraId="41C37446">
            <w:pPr>
              <w:pStyle w:val="62"/>
              <w:rPr>
                <w:bCs/>
                <w:u w:val="single"/>
              </w:rPr>
            </w:pPr>
            <w:r>
              <w:rPr>
                <w:rFonts w:hint="eastAsia"/>
                <w:bCs/>
                <w:u w:val="single"/>
              </w:rPr>
              <w:t>0.0009</w:t>
            </w:r>
          </w:p>
        </w:tc>
      </w:tr>
      <w:tr w14:paraId="33F1A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64C3D5AB">
            <w:pPr>
              <w:pStyle w:val="62"/>
              <w:rPr>
                <w:bCs/>
                <w:highlight w:val="yellow"/>
              </w:rPr>
            </w:pPr>
          </w:p>
        </w:tc>
        <w:tc>
          <w:tcPr>
            <w:tcW w:w="1026" w:type="pct"/>
            <w:shd w:val="clear" w:color="auto" w:fill="auto"/>
            <w:vAlign w:val="center"/>
          </w:tcPr>
          <w:p w14:paraId="47E8E54D">
            <w:pPr>
              <w:pStyle w:val="62"/>
              <w:rPr>
                <w:bCs/>
              </w:rPr>
            </w:pPr>
            <w:r>
              <w:rPr>
                <w:bCs/>
              </w:rPr>
              <w:t>TN</w:t>
            </w:r>
          </w:p>
        </w:tc>
        <w:tc>
          <w:tcPr>
            <w:tcW w:w="855" w:type="pct"/>
            <w:shd w:val="clear" w:color="auto" w:fill="auto"/>
            <w:vAlign w:val="center"/>
          </w:tcPr>
          <w:p w14:paraId="4CB1A632">
            <w:pPr>
              <w:pStyle w:val="62"/>
              <w:rPr>
                <w:bCs/>
                <w:u w:val="single"/>
              </w:rPr>
            </w:pPr>
            <w:r>
              <w:rPr>
                <w:rFonts w:hint="eastAsia"/>
                <w:bCs/>
                <w:u w:val="single"/>
              </w:rPr>
              <w:t>0.0008</w:t>
            </w:r>
          </w:p>
        </w:tc>
        <w:tc>
          <w:tcPr>
            <w:tcW w:w="860" w:type="pct"/>
            <w:shd w:val="clear" w:color="auto" w:fill="auto"/>
            <w:vAlign w:val="center"/>
          </w:tcPr>
          <w:p w14:paraId="5641A33B">
            <w:pPr>
              <w:pStyle w:val="62"/>
              <w:rPr>
                <w:bCs/>
                <w:u w:val="single"/>
              </w:rPr>
            </w:pPr>
            <w:r>
              <w:rPr>
                <w:rFonts w:hint="eastAsia"/>
                <w:bCs/>
                <w:u w:val="single"/>
              </w:rPr>
              <w:t>-0.0124</w:t>
            </w:r>
          </w:p>
        </w:tc>
        <w:tc>
          <w:tcPr>
            <w:tcW w:w="825" w:type="pct"/>
            <w:shd w:val="clear" w:color="auto" w:fill="auto"/>
            <w:vAlign w:val="center"/>
          </w:tcPr>
          <w:p w14:paraId="2F1FEAD2">
            <w:pPr>
              <w:pStyle w:val="62"/>
              <w:rPr>
                <w:bCs/>
                <w:u w:val="single"/>
              </w:rPr>
            </w:pPr>
            <w:r>
              <w:rPr>
                <w:rFonts w:hint="eastAsia"/>
                <w:bCs/>
                <w:u w:val="single"/>
              </w:rPr>
              <w:t>0.0132</w:t>
            </w:r>
          </w:p>
        </w:tc>
        <w:tc>
          <w:tcPr>
            <w:tcW w:w="1013" w:type="pct"/>
            <w:vAlign w:val="center"/>
          </w:tcPr>
          <w:p w14:paraId="768052B4">
            <w:pPr>
              <w:pStyle w:val="62"/>
              <w:rPr>
                <w:bCs/>
                <w:u w:val="single"/>
              </w:rPr>
            </w:pPr>
            <w:r>
              <w:rPr>
                <w:rFonts w:hint="eastAsia"/>
                <w:bCs/>
                <w:u w:val="single"/>
              </w:rPr>
              <w:t>0.0132</w:t>
            </w:r>
          </w:p>
        </w:tc>
      </w:tr>
      <w:tr w14:paraId="26644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59181BEF">
            <w:pPr>
              <w:pStyle w:val="62"/>
              <w:rPr>
                <w:bCs/>
                <w:highlight w:val="yellow"/>
              </w:rPr>
            </w:pPr>
          </w:p>
        </w:tc>
        <w:tc>
          <w:tcPr>
            <w:tcW w:w="1026" w:type="pct"/>
            <w:shd w:val="clear" w:color="auto" w:fill="auto"/>
            <w:vAlign w:val="center"/>
          </w:tcPr>
          <w:p w14:paraId="0CF49444">
            <w:pPr>
              <w:pStyle w:val="62"/>
              <w:rPr>
                <w:bCs/>
              </w:rPr>
            </w:pPr>
            <w:r>
              <w:rPr>
                <w:bCs/>
              </w:rPr>
              <w:t>水量（万t/a）</w:t>
            </w:r>
          </w:p>
        </w:tc>
        <w:tc>
          <w:tcPr>
            <w:tcW w:w="855" w:type="pct"/>
            <w:shd w:val="clear" w:color="auto" w:fill="auto"/>
            <w:vAlign w:val="center"/>
          </w:tcPr>
          <w:p w14:paraId="1DE8B285">
            <w:pPr>
              <w:pStyle w:val="62"/>
              <w:rPr>
                <w:bCs/>
                <w:u w:val="single"/>
              </w:rPr>
            </w:pPr>
            <w:r>
              <w:rPr>
                <w:rFonts w:hint="eastAsia"/>
                <w:bCs/>
                <w:u w:val="single"/>
              </w:rPr>
              <w:t>0.2193</w:t>
            </w:r>
          </w:p>
        </w:tc>
        <w:tc>
          <w:tcPr>
            <w:tcW w:w="860" w:type="pct"/>
            <w:shd w:val="clear" w:color="auto" w:fill="auto"/>
            <w:vAlign w:val="center"/>
          </w:tcPr>
          <w:p w14:paraId="03156C8A">
            <w:pPr>
              <w:pStyle w:val="62"/>
              <w:rPr>
                <w:bCs/>
                <w:u w:val="single"/>
              </w:rPr>
            </w:pPr>
            <w:r>
              <w:rPr>
                <w:rFonts w:hint="eastAsia"/>
                <w:bCs/>
                <w:u w:val="single"/>
              </w:rPr>
              <w:t>0</w:t>
            </w:r>
          </w:p>
        </w:tc>
        <w:tc>
          <w:tcPr>
            <w:tcW w:w="825" w:type="pct"/>
            <w:shd w:val="clear" w:color="auto" w:fill="auto"/>
            <w:vAlign w:val="center"/>
          </w:tcPr>
          <w:p w14:paraId="67F1A3E7">
            <w:pPr>
              <w:pStyle w:val="62"/>
              <w:rPr>
                <w:bCs/>
                <w:u w:val="single"/>
              </w:rPr>
            </w:pPr>
            <w:r>
              <w:rPr>
                <w:rFonts w:hint="eastAsia"/>
                <w:bCs/>
                <w:u w:val="single"/>
              </w:rPr>
              <w:t>0.2193</w:t>
            </w:r>
          </w:p>
        </w:tc>
        <w:tc>
          <w:tcPr>
            <w:tcW w:w="1013" w:type="pct"/>
            <w:vAlign w:val="center"/>
          </w:tcPr>
          <w:p w14:paraId="3C29B07C">
            <w:pPr>
              <w:pStyle w:val="62"/>
              <w:rPr>
                <w:bCs/>
                <w:u w:val="single"/>
              </w:rPr>
            </w:pPr>
            <w:r>
              <w:rPr>
                <w:rFonts w:hint="eastAsia"/>
                <w:bCs/>
                <w:u w:val="single"/>
              </w:rPr>
              <w:t>0.2193</w:t>
            </w:r>
          </w:p>
        </w:tc>
      </w:tr>
      <w:tr w14:paraId="1B9DF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restart"/>
            <w:shd w:val="clear" w:color="auto" w:fill="auto"/>
            <w:vAlign w:val="center"/>
          </w:tcPr>
          <w:p w14:paraId="7117F8F9">
            <w:pPr>
              <w:pStyle w:val="62"/>
              <w:rPr>
                <w:bCs/>
              </w:rPr>
            </w:pPr>
            <w:r>
              <w:rPr>
                <w:bCs/>
              </w:rPr>
              <w:t>废气</w:t>
            </w:r>
          </w:p>
        </w:tc>
        <w:tc>
          <w:tcPr>
            <w:tcW w:w="1026" w:type="pct"/>
            <w:shd w:val="clear" w:color="auto" w:fill="auto"/>
            <w:vAlign w:val="center"/>
          </w:tcPr>
          <w:p w14:paraId="79E390F7">
            <w:pPr>
              <w:pStyle w:val="62"/>
              <w:rPr>
                <w:bCs/>
              </w:rPr>
            </w:pPr>
            <w:r>
              <w:rPr>
                <w:bCs/>
              </w:rPr>
              <w:t>非甲烷总烃</w:t>
            </w:r>
          </w:p>
        </w:tc>
        <w:tc>
          <w:tcPr>
            <w:tcW w:w="855" w:type="pct"/>
            <w:shd w:val="clear" w:color="auto" w:fill="auto"/>
            <w:vAlign w:val="center"/>
          </w:tcPr>
          <w:p w14:paraId="2A3D3F7B">
            <w:pPr>
              <w:pStyle w:val="62"/>
              <w:rPr>
                <w:bCs/>
                <w:u w:val="single"/>
              </w:rPr>
            </w:pPr>
            <w:r>
              <w:rPr>
                <w:rFonts w:hint="eastAsia"/>
                <w:bCs/>
                <w:u w:val="single"/>
              </w:rPr>
              <w:t>7.8</w:t>
            </w:r>
          </w:p>
        </w:tc>
        <w:tc>
          <w:tcPr>
            <w:tcW w:w="860" w:type="pct"/>
            <w:shd w:val="clear" w:color="auto" w:fill="auto"/>
            <w:vAlign w:val="center"/>
          </w:tcPr>
          <w:p w14:paraId="0AB90CF5">
            <w:pPr>
              <w:pStyle w:val="62"/>
              <w:rPr>
                <w:bCs/>
                <w:u w:val="single"/>
              </w:rPr>
            </w:pPr>
            <w:r>
              <w:rPr>
                <w:rFonts w:hint="eastAsia"/>
                <w:bCs/>
                <w:u w:val="single"/>
              </w:rPr>
              <w:t>7.722</w:t>
            </w:r>
          </w:p>
        </w:tc>
        <w:tc>
          <w:tcPr>
            <w:tcW w:w="825" w:type="pct"/>
            <w:shd w:val="clear" w:color="auto" w:fill="auto"/>
            <w:vAlign w:val="center"/>
          </w:tcPr>
          <w:p w14:paraId="7832BA1D">
            <w:pPr>
              <w:pStyle w:val="62"/>
              <w:rPr>
                <w:bCs/>
                <w:u w:val="single"/>
              </w:rPr>
            </w:pPr>
            <w:r>
              <w:rPr>
                <w:rFonts w:hint="eastAsia"/>
                <w:bCs/>
                <w:u w:val="single"/>
              </w:rPr>
              <w:t>0.078</w:t>
            </w:r>
          </w:p>
        </w:tc>
        <w:tc>
          <w:tcPr>
            <w:tcW w:w="1013" w:type="pct"/>
            <w:vAlign w:val="center"/>
          </w:tcPr>
          <w:p w14:paraId="4D1AE3B2">
            <w:pPr>
              <w:pStyle w:val="62"/>
              <w:rPr>
                <w:bCs/>
              </w:rPr>
            </w:pPr>
            <w:r>
              <w:rPr>
                <w:bCs/>
              </w:rPr>
              <w:t>/</w:t>
            </w:r>
          </w:p>
        </w:tc>
      </w:tr>
      <w:tr w14:paraId="32D55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4661D582">
            <w:pPr>
              <w:pStyle w:val="62"/>
              <w:rPr>
                <w:bCs/>
              </w:rPr>
            </w:pPr>
          </w:p>
        </w:tc>
        <w:tc>
          <w:tcPr>
            <w:tcW w:w="1026" w:type="pct"/>
            <w:shd w:val="clear" w:color="auto" w:fill="auto"/>
            <w:vAlign w:val="center"/>
          </w:tcPr>
          <w:p w14:paraId="3248C3EE">
            <w:pPr>
              <w:pStyle w:val="62"/>
              <w:rPr>
                <w:bCs/>
              </w:rPr>
            </w:pPr>
            <w:r>
              <w:rPr>
                <w:bCs/>
              </w:rPr>
              <w:t>硫酸雾</w:t>
            </w:r>
          </w:p>
        </w:tc>
        <w:tc>
          <w:tcPr>
            <w:tcW w:w="855" w:type="pct"/>
            <w:shd w:val="clear" w:color="auto" w:fill="auto"/>
            <w:vAlign w:val="center"/>
          </w:tcPr>
          <w:p w14:paraId="2C9143ED">
            <w:pPr>
              <w:pStyle w:val="62"/>
              <w:rPr>
                <w:bCs/>
                <w:u w:val="single"/>
              </w:rPr>
            </w:pPr>
            <w:r>
              <w:rPr>
                <w:bCs/>
                <w:u w:val="single"/>
              </w:rPr>
              <w:t>0.</w:t>
            </w:r>
            <w:r>
              <w:rPr>
                <w:rFonts w:hint="eastAsia"/>
                <w:bCs/>
                <w:u w:val="single"/>
              </w:rPr>
              <w:t>19</w:t>
            </w:r>
            <w:r>
              <w:rPr>
                <w:bCs/>
                <w:u w:val="single"/>
              </w:rPr>
              <w:t>5</w:t>
            </w:r>
          </w:p>
        </w:tc>
        <w:tc>
          <w:tcPr>
            <w:tcW w:w="860" w:type="pct"/>
            <w:shd w:val="clear" w:color="auto" w:fill="auto"/>
            <w:vAlign w:val="center"/>
          </w:tcPr>
          <w:p w14:paraId="5BE792FE">
            <w:pPr>
              <w:pStyle w:val="62"/>
              <w:rPr>
                <w:bCs/>
                <w:u w:val="single"/>
              </w:rPr>
            </w:pPr>
            <w:r>
              <w:rPr>
                <w:rFonts w:hint="eastAsia"/>
                <w:bCs/>
                <w:u w:val="single"/>
              </w:rPr>
              <w:t>0.1755</w:t>
            </w:r>
          </w:p>
        </w:tc>
        <w:tc>
          <w:tcPr>
            <w:tcW w:w="825" w:type="pct"/>
            <w:shd w:val="clear" w:color="auto" w:fill="auto"/>
            <w:vAlign w:val="center"/>
          </w:tcPr>
          <w:p w14:paraId="5DFF0771">
            <w:pPr>
              <w:pStyle w:val="62"/>
              <w:rPr>
                <w:bCs/>
                <w:u w:val="single"/>
              </w:rPr>
            </w:pPr>
            <w:r>
              <w:rPr>
                <w:rFonts w:hint="eastAsia"/>
                <w:bCs/>
                <w:u w:val="single"/>
              </w:rPr>
              <w:t>0.0195</w:t>
            </w:r>
          </w:p>
        </w:tc>
        <w:tc>
          <w:tcPr>
            <w:tcW w:w="1013" w:type="pct"/>
            <w:vAlign w:val="center"/>
          </w:tcPr>
          <w:p w14:paraId="1BCD6CD8">
            <w:pPr>
              <w:pStyle w:val="62"/>
              <w:rPr>
                <w:bCs/>
              </w:rPr>
            </w:pPr>
            <w:r>
              <w:rPr>
                <w:bCs/>
              </w:rPr>
              <w:t>/</w:t>
            </w:r>
          </w:p>
        </w:tc>
      </w:tr>
      <w:tr w14:paraId="78D7E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03AE1399">
            <w:pPr>
              <w:pStyle w:val="62"/>
              <w:rPr>
                <w:bCs/>
              </w:rPr>
            </w:pPr>
          </w:p>
        </w:tc>
        <w:tc>
          <w:tcPr>
            <w:tcW w:w="1026" w:type="pct"/>
            <w:shd w:val="clear" w:color="auto" w:fill="auto"/>
            <w:vAlign w:val="center"/>
          </w:tcPr>
          <w:p w14:paraId="4832897B">
            <w:pPr>
              <w:pStyle w:val="62"/>
              <w:rPr>
                <w:bCs/>
                <w:highlight w:val="yellow"/>
              </w:rPr>
            </w:pPr>
            <w:r>
              <w:rPr>
                <w:bCs/>
              </w:rPr>
              <w:t>颗粒物</w:t>
            </w:r>
          </w:p>
        </w:tc>
        <w:tc>
          <w:tcPr>
            <w:tcW w:w="855" w:type="pct"/>
            <w:shd w:val="clear" w:color="auto" w:fill="auto"/>
            <w:vAlign w:val="center"/>
          </w:tcPr>
          <w:p w14:paraId="55D116AA">
            <w:pPr>
              <w:pStyle w:val="62"/>
              <w:rPr>
                <w:bCs/>
              </w:rPr>
            </w:pPr>
            <w:r>
              <w:rPr>
                <w:rFonts w:hint="eastAsia"/>
                <w:bCs/>
              </w:rPr>
              <w:t>12</w:t>
            </w:r>
          </w:p>
        </w:tc>
        <w:tc>
          <w:tcPr>
            <w:tcW w:w="860" w:type="pct"/>
            <w:shd w:val="clear" w:color="auto" w:fill="auto"/>
            <w:vAlign w:val="center"/>
          </w:tcPr>
          <w:p w14:paraId="515F4F93">
            <w:pPr>
              <w:pStyle w:val="62"/>
              <w:rPr>
                <w:bCs/>
              </w:rPr>
            </w:pPr>
            <w:r>
              <w:rPr>
                <w:rFonts w:hint="eastAsia"/>
                <w:bCs/>
              </w:rPr>
              <w:t>11.88</w:t>
            </w:r>
          </w:p>
        </w:tc>
        <w:tc>
          <w:tcPr>
            <w:tcW w:w="825" w:type="pct"/>
            <w:shd w:val="clear" w:color="auto" w:fill="auto"/>
            <w:vAlign w:val="center"/>
          </w:tcPr>
          <w:p w14:paraId="507C8FBF">
            <w:pPr>
              <w:pStyle w:val="62"/>
              <w:rPr>
                <w:bCs/>
              </w:rPr>
            </w:pPr>
            <w:r>
              <w:rPr>
                <w:rFonts w:hint="eastAsia"/>
                <w:bCs/>
              </w:rPr>
              <w:t>0.12</w:t>
            </w:r>
          </w:p>
        </w:tc>
        <w:tc>
          <w:tcPr>
            <w:tcW w:w="1013" w:type="pct"/>
            <w:vAlign w:val="center"/>
          </w:tcPr>
          <w:p w14:paraId="55A367F4">
            <w:pPr>
              <w:pStyle w:val="62"/>
              <w:rPr>
                <w:bCs/>
                <w:highlight w:val="yellow"/>
              </w:rPr>
            </w:pPr>
            <w:r>
              <w:rPr>
                <w:bCs/>
              </w:rPr>
              <w:t>/</w:t>
            </w:r>
          </w:p>
        </w:tc>
      </w:tr>
      <w:tr w14:paraId="6AEEE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restart"/>
            <w:shd w:val="clear" w:color="auto" w:fill="auto"/>
            <w:vAlign w:val="center"/>
          </w:tcPr>
          <w:p w14:paraId="5B1D3D79">
            <w:pPr>
              <w:pStyle w:val="62"/>
              <w:rPr>
                <w:bCs/>
              </w:rPr>
            </w:pPr>
            <w:r>
              <w:rPr>
                <w:bCs/>
              </w:rPr>
              <w:t>固废</w:t>
            </w:r>
          </w:p>
        </w:tc>
        <w:tc>
          <w:tcPr>
            <w:tcW w:w="1026" w:type="pct"/>
            <w:shd w:val="clear" w:color="auto" w:fill="auto"/>
            <w:vAlign w:val="center"/>
          </w:tcPr>
          <w:p w14:paraId="0BCC3249">
            <w:pPr>
              <w:pStyle w:val="62"/>
              <w:rPr>
                <w:bCs/>
              </w:rPr>
            </w:pPr>
            <w:r>
              <w:rPr>
                <w:bCs/>
              </w:rPr>
              <w:t>一般固废</w:t>
            </w:r>
          </w:p>
        </w:tc>
        <w:tc>
          <w:tcPr>
            <w:tcW w:w="855" w:type="pct"/>
            <w:shd w:val="clear" w:color="auto" w:fill="auto"/>
            <w:vAlign w:val="center"/>
          </w:tcPr>
          <w:p w14:paraId="33B1E081">
            <w:pPr>
              <w:pStyle w:val="62"/>
              <w:rPr>
                <w:bCs/>
                <w:u w:val="single"/>
              </w:rPr>
            </w:pPr>
            <w:r>
              <w:rPr>
                <w:bCs/>
                <w:u w:val="single"/>
              </w:rPr>
              <w:t>1.6</w:t>
            </w:r>
          </w:p>
        </w:tc>
        <w:tc>
          <w:tcPr>
            <w:tcW w:w="860" w:type="pct"/>
            <w:shd w:val="clear" w:color="auto" w:fill="auto"/>
            <w:vAlign w:val="center"/>
          </w:tcPr>
          <w:p w14:paraId="49FE815D">
            <w:pPr>
              <w:pStyle w:val="62"/>
              <w:rPr>
                <w:bCs/>
                <w:u w:val="single"/>
              </w:rPr>
            </w:pPr>
            <w:r>
              <w:rPr>
                <w:bCs/>
                <w:u w:val="single"/>
              </w:rPr>
              <w:t>1.6</w:t>
            </w:r>
          </w:p>
        </w:tc>
        <w:tc>
          <w:tcPr>
            <w:tcW w:w="825" w:type="pct"/>
            <w:shd w:val="clear" w:color="auto" w:fill="auto"/>
            <w:vAlign w:val="center"/>
          </w:tcPr>
          <w:p w14:paraId="43B5B815">
            <w:pPr>
              <w:pStyle w:val="62"/>
              <w:rPr>
                <w:bCs/>
                <w:u w:val="single"/>
              </w:rPr>
            </w:pPr>
            <w:r>
              <w:rPr>
                <w:bCs/>
                <w:u w:val="single"/>
              </w:rPr>
              <w:t>0</w:t>
            </w:r>
          </w:p>
        </w:tc>
        <w:tc>
          <w:tcPr>
            <w:tcW w:w="1013" w:type="pct"/>
            <w:vAlign w:val="center"/>
          </w:tcPr>
          <w:p w14:paraId="2D63DBAA">
            <w:pPr>
              <w:pStyle w:val="62"/>
              <w:rPr>
                <w:bCs/>
              </w:rPr>
            </w:pPr>
            <w:r>
              <w:rPr>
                <w:bCs/>
              </w:rPr>
              <w:t>/</w:t>
            </w:r>
          </w:p>
        </w:tc>
      </w:tr>
      <w:tr w14:paraId="45130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693B7BF8">
            <w:pPr>
              <w:pStyle w:val="62"/>
              <w:rPr>
                <w:bCs/>
                <w:highlight w:val="yellow"/>
              </w:rPr>
            </w:pPr>
          </w:p>
        </w:tc>
        <w:tc>
          <w:tcPr>
            <w:tcW w:w="1026" w:type="pct"/>
            <w:shd w:val="clear" w:color="auto" w:fill="auto"/>
            <w:vAlign w:val="center"/>
          </w:tcPr>
          <w:p w14:paraId="2A0FBC60">
            <w:pPr>
              <w:pStyle w:val="62"/>
              <w:rPr>
                <w:bCs/>
              </w:rPr>
            </w:pPr>
            <w:r>
              <w:rPr>
                <w:bCs/>
              </w:rPr>
              <w:t>危险废物</w:t>
            </w:r>
          </w:p>
        </w:tc>
        <w:tc>
          <w:tcPr>
            <w:tcW w:w="855" w:type="pct"/>
            <w:shd w:val="clear" w:color="auto" w:fill="auto"/>
            <w:vAlign w:val="center"/>
          </w:tcPr>
          <w:p w14:paraId="38BA7C34">
            <w:pPr>
              <w:pStyle w:val="62"/>
              <w:rPr>
                <w:bCs/>
                <w:u w:val="single"/>
              </w:rPr>
            </w:pPr>
            <w:r>
              <w:rPr>
                <w:rFonts w:hint="eastAsia"/>
                <w:bCs/>
                <w:u w:val="single"/>
              </w:rPr>
              <w:t>97.215</w:t>
            </w:r>
          </w:p>
        </w:tc>
        <w:tc>
          <w:tcPr>
            <w:tcW w:w="860" w:type="pct"/>
            <w:shd w:val="clear" w:color="auto" w:fill="auto"/>
            <w:vAlign w:val="center"/>
          </w:tcPr>
          <w:p w14:paraId="653B9BBF">
            <w:pPr>
              <w:pStyle w:val="62"/>
              <w:rPr>
                <w:bCs/>
                <w:u w:val="single"/>
              </w:rPr>
            </w:pPr>
            <w:r>
              <w:rPr>
                <w:rFonts w:hint="eastAsia"/>
                <w:bCs/>
                <w:u w:val="single"/>
              </w:rPr>
              <w:t>97.215</w:t>
            </w:r>
          </w:p>
        </w:tc>
        <w:tc>
          <w:tcPr>
            <w:tcW w:w="825" w:type="pct"/>
            <w:shd w:val="clear" w:color="auto" w:fill="auto"/>
            <w:vAlign w:val="center"/>
          </w:tcPr>
          <w:p w14:paraId="3AD2EBD1">
            <w:pPr>
              <w:pStyle w:val="62"/>
              <w:rPr>
                <w:bCs/>
                <w:u w:val="single"/>
              </w:rPr>
            </w:pPr>
            <w:r>
              <w:rPr>
                <w:bCs/>
                <w:u w:val="single"/>
              </w:rPr>
              <w:t>0</w:t>
            </w:r>
          </w:p>
        </w:tc>
        <w:tc>
          <w:tcPr>
            <w:tcW w:w="1013" w:type="pct"/>
            <w:vAlign w:val="center"/>
          </w:tcPr>
          <w:p w14:paraId="48AD8D50">
            <w:pPr>
              <w:pStyle w:val="62"/>
              <w:rPr>
                <w:bCs/>
              </w:rPr>
            </w:pPr>
            <w:r>
              <w:rPr>
                <w:bCs/>
              </w:rPr>
              <w:t>/</w:t>
            </w:r>
          </w:p>
        </w:tc>
      </w:tr>
    </w:tbl>
    <w:p w14:paraId="5E3C5C30">
      <w:pPr>
        <w:pStyle w:val="5"/>
        <w:spacing w:before="240" w:after="240"/>
      </w:pPr>
      <w:r>
        <w:rPr>
          <w:rFonts w:hint="eastAsia"/>
        </w:rPr>
        <w:t>污染物总量控制指标</w:t>
      </w:r>
    </w:p>
    <w:p w14:paraId="1BFB7459">
      <w:pPr>
        <w:ind w:firstLine="480"/>
      </w:pPr>
      <w:r>
        <w:t>根据新乡市生态环境局关于转发《河南省生态环境厅关于印发建设项目主要污染物排放总量指标管理工作内部规程的通知》和《新乡市建设项目新增总量指标替代管理指导意见（试行）》的要求，对新增重点污染物（化学需氧量、氨氮、二氧化硫、氮氧化物、挥发性有机物，重金属铅、铬、镉、汞、砷10类）排放量的项目，需要进行总量审核。</w:t>
      </w:r>
      <w:r>
        <w:rPr>
          <w:szCs w:val="24"/>
        </w:rPr>
        <w:t>本次工程污染物排放总量</w:t>
      </w:r>
      <w:r>
        <w:rPr>
          <w:rFonts w:hint="eastAsia"/>
          <w:szCs w:val="24"/>
        </w:rPr>
        <w:t>如下。</w:t>
      </w:r>
    </w:p>
    <w:p w14:paraId="7DAE5E2D">
      <w:pPr>
        <w:ind w:firstLine="480"/>
      </w:pPr>
      <w:r>
        <w:rPr>
          <w:rFonts w:hint="eastAsia"/>
          <w:u w:val="single"/>
        </w:rPr>
        <w:t>废水污染物：出厂量：</w:t>
      </w:r>
      <w:r>
        <w:rPr>
          <w:u w:val="single"/>
        </w:rPr>
        <w:t>COD 0.</w:t>
      </w:r>
      <w:r>
        <w:rPr>
          <w:rFonts w:hint="eastAsia"/>
          <w:u w:val="single"/>
        </w:rPr>
        <w:t>4604</w:t>
      </w:r>
      <w:r>
        <w:rPr>
          <w:u w:val="single"/>
        </w:rPr>
        <w:t>t/a、NH</w:t>
      </w:r>
      <w:r>
        <w:rPr>
          <w:u w:val="single"/>
          <w:vertAlign w:val="subscript"/>
        </w:rPr>
        <w:t>3</w:t>
      </w:r>
      <w:r>
        <w:rPr>
          <w:u w:val="single"/>
        </w:rPr>
        <w:t>-N 0.0</w:t>
      </w:r>
      <w:r>
        <w:rPr>
          <w:rFonts w:hint="eastAsia"/>
          <w:u w:val="single"/>
        </w:rPr>
        <w:t>072</w:t>
      </w:r>
      <w:r>
        <w:rPr>
          <w:u w:val="single"/>
        </w:rPr>
        <w:t>t/a、TN 0.0</w:t>
      </w:r>
      <w:r>
        <w:rPr>
          <w:rFonts w:hint="eastAsia"/>
          <w:u w:val="single"/>
        </w:rPr>
        <w:t>132</w:t>
      </w:r>
      <w:r>
        <w:rPr>
          <w:u w:val="single"/>
        </w:rPr>
        <w:t>t/a、TP 0.0</w:t>
      </w:r>
      <w:r>
        <w:rPr>
          <w:rFonts w:hint="eastAsia"/>
          <w:u w:val="single"/>
        </w:rPr>
        <w:t>009</w:t>
      </w:r>
      <w:r>
        <w:rPr>
          <w:u w:val="single"/>
        </w:rPr>
        <w:t>t/a</w:t>
      </w:r>
      <w:r>
        <w:rPr>
          <w:rFonts w:hint="eastAsia"/>
          <w:u w:val="single"/>
        </w:rPr>
        <w:t>；</w:t>
      </w:r>
    </w:p>
    <w:p w14:paraId="5DCCB379">
      <w:pPr>
        <w:ind w:firstLine="480"/>
        <w:rPr>
          <w:u w:val="single"/>
        </w:rPr>
      </w:pPr>
      <w:r>
        <w:rPr>
          <w:rFonts w:hint="eastAsia"/>
          <w:u w:val="single"/>
        </w:rPr>
        <w:t>排入环境量：</w:t>
      </w:r>
      <w:r>
        <w:rPr>
          <w:u w:val="single"/>
        </w:rPr>
        <w:t>COD 0.</w:t>
      </w:r>
      <w:r>
        <w:rPr>
          <w:rFonts w:hint="eastAsia"/>
          <w:u w:val="single"/>
        </w:rPr>
        <w:t>0877</w:t>
      </w:r>
      <w:r>
        <w:rPr>
          <w:u w:val="single"/>
        </w:rPr>
        <w:t>t/a、氨氮0.0</w:t>
      </w:r>
      <w:r>
        <w:rPr>
          <w:rFonts w:hint="eastAsia"/>
          <w:u w:val="single"/>
        </w:rPr>
        <w:t>044</w:t>
      </w:r>
      <w:r>
        <w:rPr>
          <w:u w:val="single"/>
        </w:rPr>
        <w:t>t/a、</w:t>
      </w:r>
      <w:r>
        <w:rPr>
          <w:rFonts w:hint="eastAsia"/>
          <w:u w:val="single"/>
        </w:rPr>
        <w:t>总磷0.0009t/a、总氮0.0132t/a；</w:t>
      </w:r>
    </w:p>
    <w:p w14:paraId="18D54381">
      <w:pPr>
        <w:pStyle w:val="2"/>
        <w:spacing w:after="0"/>
        <w:ind w:firstLine="480"/>
        <w:rPr>
          <w:u w:val="single"/>
        </w:rPr>
      </w:pPr>
      <w:r>
        <w:rPr>
          <w:rFonts w:hint="eastAsia"/>
          <w:u w:val="single"/>
        </w:rPr>
        <w:t>废气污染物：颗粒物</w:t>
      </w:r>
      <w:r>
        <w:rPr>
          <w:u w:val="single"/>
        </w:rPr>
        <w:t>0.</w:t>
      </w:r>
      <w:r>
        <w:rPr>
          <w:rFonts w:hint="eastAsia"/>
          <w:u w:val="single"/>
        </w:rPr>
        <w:t>12</w:t>
      </w:r>
      <w:r>
        <w:rPr>
          <w:u w:val="single"/>
        </w:rPr>
        <w:t>t/a</w:t>
      </w:r>
      <w:r>
        <w:rPr>
          <w:rFonts w:hint="eastAsia"/>
          <w:u w:val="single"/>
        </w:rPr>
        <w:t>、非甲烷总烃0.078t/a、硫酸雾0.0195t/a。</w:t>
      </w:r>
    </w:p>
    <w:p w14:paraId="1BBB1370">
      <w:pPr>
        <w:ind w:firstLine="480"/>
        <w:rPr>
          <w:highlight w:val="yellow"/>
          <w:u w:val="single"/>
        </w:rPr>
      </w:pPr>
      <w:r>
        <w:rPr>
          <w:u w:val="single"/>
        </w:rPr>
        <w:t>本项目新增重点污染物排放量为COD 0.</w:t>
      </w:r>
      <w:r>
        <w:rPr>
          <w:rFonts w:hint="eastAsia"/>
          <w:u w:val="single"/>
        </w:rPr>
        <w:t>0877</w:t>
      </w:r>
      <w:r>
        <w:rPr>
          <w:u w:val="single"/>
        </w:rPr>
        <w:t>t/a、氨氮0.0</w:t>
      </w:r>
      <w:r>
        <w:rPr>
          <w:rFonts w:hint="eastAsia"/>
          <w:u w:val="single"/>
        </w:rPr>
        <w:t>044</w:t>
      </w:r>
      <w:r>
        <w:rPr>
          <w:u w:val="single"/>
        </w:rPr>
        <w:t>t/a、</w:t>
      </w:r>
      <w:r>
        <w:rPr>
          <w:rFonts w:hint="eastAsia"/>
          <w:u w:val="single"/>
        </w:rPr>
        <w:t>颗粒物</w:t>
      </w:r>
      <w:r>
        <w:rPr>
          <w:u w:val="single"/>
        </w:rPr>
        <w:t>0.</w:t>
      </w:r>
      <w:r>
        <w:rPr>
          <w:rFonts w:hint="eastAsia"/>
          <w:u w:val="single"/>
        </w:rPr>
        <w:t>12</w:t>
      </w:r>
      <w:r>
        <w:rPr>
          <w:u w:val="single"/>
        </w:rPr>
        <w:t>t/a</w:t>
      </w:r>
      <w:r>
        <w:rPr>
          <w:rFonts w:hint="eastAsia"/>
          <w:u w:val="single"/>
        </w:rPr>
        <w:t>、非甲烷总烃0.078t/a</w:t>
      </w:r>
      <w:r>
        <w:rPr>
          <w:u w:val="single"/>
        </w:rPr>
        <w:t>。</w:t>
      </w:r>
      <w:r>
        <w:t>本项目建成后全厂重点污染物排放量为：</w:t>
      </w:r>
      <w:r>
        <w:rPr>
          <w:u w:val="single"/>
        </w:rPr>
        <w:t>COD 0.</w:t>
      </w:r>
      <w:r>
        <w:rPr>
          <w:rFonts w:hint="eastAsia"/>
          <w:u w:val="single"/>
        </w:rPr>
        <w:t>0877</w:t>
      </w:r>
      <w:r>
        <w:rPr>
          <w:u w:val="single"/>
        </w:rPr>
        <w:t>t/a、氨氮0.0</w:t>
      </w:r>
      <w:r>
        <w:rPr>
          <w:rFonts w:hint="eastAsia"/>
          <w:u w:val="single"/>
        </w:rPr>
        <w:t>044</w:t>
      </w:r>
      <w:r>
        <w:rPr>
          <w:u w:val="single"/>
        </w:rPr>
        <w:t>t/a、</w:t>
      </w:r>
      <w:r>
        <w:rPr>
          <w:rFonts w:hint="eastAsia"/>
          <w:u w:val="single"/>
        </w:rPr>
        <w:t>颗粒物</w:t>
      </w:r>
      <w:r>
        <w:rPr>
          <w:u w:val="single"/>
        </w:rPr>
        <w:t>0.</w:t>
      </w:r>
      <w:r>
        <w:rPr>
          <w:rFonts w:hint="eastAsia"/>
          <w:u w:val="single"/>
        </w:rPr>
        <w:t>12</w:t>
      </w:r>
      <w:r>
        <w:rPr>
          <w:u w:val="single"/>
        </w:rPr>
        <w:t>t/a</w:t>
      </w:r>
      <w:r>
        <w:rPr>
          <w:rFonts w:hint="eastAsia"/>
          <w:u w:val="single"/>
        </w:rPr>
        <w:t>、非甲烷总烃0.078t/a</w:t>
      </w:r>
      <w:r>
        <w:rPr>
          <w:u w:val="single"/>
        </w:rPr>
        <w:t>。</w:t>
      </w:r>
      <w:r>
        <w:rPr>
          <w:rFonts w:hint="eastAsia"/>
          <w:u w:val="single"/>
        </w:rPr>
        <w:t>其中COD、</w:t>
      </w:r>
      <w:r>
        <w:rPr>
          <w:u w:val="single"/>
        </w:rPr>
        <w:t>氨氮</w:t>
      </w:r>
      <w:r>
        <w:rPr>
          <w:rFonts w:hint="eastAsia"/>
          <w:u w:val="single"/>
        </w:rPr>
        <w:t>总量替代来自倒闭的卫辉市凌峰特种纸有限公司减排量剩余量COD 11.2843t、氨氮0.32422t。颗粒物来自河南世纪新峰水泥有限公司无组织排放治理剩余的48.1594吨；VOCs来自卫辉市鑫虎家具厂关停剩余的0.3344吨。</w:t>
      </w:r>
    </w:p>
    <w:p w14:paraId="62725BD7">
      <w:pPr>
        <w:ind w:firstLine="480"/>
        <w:rPr>
          <w:highlight w:val="yellow"/>
        </w:rPr>
        <w:sectPr>
          <w:pgSz w:w="11906" w:h="16838"/>
          <w:pgMar w:top="1440" w:right="1797" w:bottom="1440" w:left="1797" w:header="851" w:footer="992" w:gutter="0"/>
          <w:cols w:space="425" w:num="1"/>
          <w:docGrid w:linePitch="326" w:charSpace="0"/>
        </w:sectPr>
      </w:pPr>
    </w:p>
    <w:p w14:paraId="1D3EBB74">
      <w:pPr>
        <w:pStyle w:val="4"/>
      </w:pPr>
      <w:bookmarkStart w:id="194" w:name="_Toc176105861"/>
      <w:r>
        <w:t>非正常工况污染因素分析</w:t>
      </w:r>
      <w:bookmarkEnd w:id="187"/>
      <w:bookmarkEnd w:id="188"/>
      <w:bookmarkEnd w:id="189"/>
      <w:bookmarkEnd w:id="194"/>
    </w:p>
    <w:p w14:paraId="2F138F6A">
      <w:pPr>
        <w:ind w:firstLine="480"/>
      </w:pPr>
      <w:r>
        <w:rPr>
          <w:rFonts w:hint="eastAsia"/>
        </w:rPr>
        <w:t>1、</w:t>
      </w:r>
      <w:r>
        <w:rPr>
          <w:bCs/>
          <w:iCs/>
        </w:rPr>
        <w:t>假定</w:t>
      </w:r>
      <w:r>
        <w:rPr>
          <w:rFonts w:hint="eastAsia"/>
        </w:rPr>
        <w:t>袋式除尘器</w:t>
      </w:r>
      <w:r>
        <w:rPr>
          <w:bCs/>
          <w:iCs/>
        </w:rPr>
        <w:t>措施故障</w:t>
      </w:r>
    </w:p>
    <w:p w14:paraId="1798CF6D">
      <w:pPr>
        <w:ind w:firstLine="480"/>
      </w:pPr>
      <w:r>
        <w:rPr>
          <w:bCs/>
          <w:iCs/>
        </w:rPr>
        <w:t>假定本项目“</w:t>
      </w:r>
      <w:r>
        <w:rPr>
          <w:rFonts w:hint="eastAsia"/>
        </w:rPr>
        <w:t>袋式除尘器</w:t>
      </w:r>
      <w:r>
        <w:rPr>
          <w:bCs/>
          <w:iCs/>
        </w:rPr>
        <w:t>”系统发生故障，</w:t>
      </w:r>
      <w:r>
        <w:rPr>
          <w:rFonts w:hint="eastAsia"/>
          <w:bCs/>
        </w:rPr>
        <w:t>处理效率为</w:t>
      </w:r>
      <w:r>
        <w:rPr>
          <w:bCs/>
        </w:rPr>
        <w:t>0</w:t>
      </w:r>
      <w:r>
        <w:rPr>
          <w:rFonts w:hint="eastAsia"/>
          <w:bCs/>
        </w:rPr>
        <w:t>时的情况进行分析。事故排放时间最大为</w:t>
      </w:r>
      <w:r>
        <w:rPr>
          <w:bCs/>
        </w:rPr>
        <w:t>15</w:t>
      </w:r>
      <w:r>
        <w:rPr>
          <w:rFonts w:hint="eastAsia"/>
          <w:bCs/>
        </w:rPr>
        <w:t>分钟</w:t>
      </w:r>
      <w:r>
        <w:rPr>
          <w:bCs/>
          <w:iCs/>
        </w:rPr>
        <w:t>，全年故障发生概率小于0.5%，本次评价按照每年1次进行考虑，非正常工况下“</w:t>
      </w:r>
      <w:r>
        <w:rPr>
          <w:rFonts w:hint="eastAsia"/>
        </w:rPr>
        <w:t>袋式除尘器</w:t>
      </w:r>
      <w:r>
        <w:rPr>
          <w:bCs/>
          <w:iCs/>
        </w:rPr>
        <w:t>”措施尾气污染物排放源强见下表。</w:t>
      </w:r>
    </w:p>
    <w:p w14:paraId="1D3EBB7A">
      <w:pPr>
        <w:pStyle w:val="64"/>
        <w:spacing w:before="120"/>
        <w:ind w:firstLine="240"/>
      </w:pPr>
      <w:r>
        <w:t>表</w:t>
      </w:r>
      <w:r>
        <w:fldChar w:fldCharType="begin"/>
      </w:r>
      <w:r>
        <w:instrText xml:space="preserve"> STYLEREF 1 \s </w:instrText>
      </w:r>
      <w:r>
        <w:fldChar w:fldCharType="separate"/>
      </w:r>
      <w:r>
        <w:t>3</w:t>
      </w:r>
      <w:r>
        <w:fldChar w:fldCharType="end"/>
      </w:r>
      <w:r>
        <w:t>.4-1       非正常工况时污染物排放情况一览表</w:t>
      </w:r>
      <w:r>
        <w:rPr>
          <w:rFonts w:hint="eastAsia"/>
        </w:rPr>
        <w:t>1</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28" w:type="dxa"/>
          <w:bottom w:w="0" w:type="dxa"/>
          <w:right w:w="28" w:type="dxa"/>
        </w:tblCellMar>
      </w:tblPr>
      <w:tblGrid>
        <w:gridCol w:w="276"/>
        <w:gridCol w:w="716"/>
        <w:gridCol w:w="1001"/>
        <w:gridCol w:w="1001"/>
        <w:gridCol w:w="1145"/>
        <w:gridCol w:w="1111"/>
        <w:gridCol w:w="996"/>
        <w:gridCol w:w="797"/>
        <w:gridCol w:w="1325"/>
      </w:tblGrid>
      <w:tr w14:paraId="1D3EBB85">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65" w:type="pct"/>
            <w:vAlign w:val="center"/>
          </w:tcPr>
          <w:p w14:paraId="1D3EBB7B">
            <w:pPr>
              <w:pStyle w:val="67"/>
              <w:rPr>
                <w:rFonts w:cs="Times New Roman"/>
                <w:color w:val="auto"/>
                <w:szCs w:val="21"/>
              </w:rPr>
            </w:pPr>
            <w:r>
              <w:rPr>
                <w:rFonts w:hint="eastAsia" w:cs="Times New Roman"/>
                <w:color w:val="auto"/>
                <w:szCs w:val="21"/>
              </w:rPr>
              <w:t>序号</w:t>
            </w:r>
          </w:p>
        </w:tc>
        <w:tc>
          <w:tcPr>
            <w:tcW w:w="428" w:type="pct"/>
            <w:vAlign w:val="center"/>
          </w:tcPr>
          <w:p w14:paraId="1D3EBB7D">
            <w:pPr>
              <w:pStyle w:val="67"/>
              <w:rPr>
                <w:rFonts w:cs="Times New Roman"/>
                <w:color w:val="auto"/>
                <w:szCs w:val="21"/>
              </w:rPr>
            </w:pPr>
            <w:r>
              <w:rPr>
                <w:rFonts w:cs="Times New Roman"/>
                <w:color w:val="auto"/>
                <w:szCs w:val="21"/>
              </w:rPr>
              <w:t>污染物</w:t>
            </w:r>
          </w:p>
        </w:tc>
        <w:tc>
          <w:tcPr>
            <w:tcW w:w="598" w:type="pct"/>
            <w:vAlign w:val="center"/>
          </w:tcPr>
          <w:p w14:paraId="70E4986E">
            <w:pPr>
              <w:pStyle w:val="67"/>
              <w:rPr>
                <w:rFonts w:cs="Times New Roman"/>
                <w:color w:val="auto"/>
                <w:szCs w:val="21"/>
              </w:rPr>
            </w:pPr>
            <w:r>
              <w:rPr>
                <w:bCs/>
                <w:color w:val="auto"/>
                <w:szCs w:val="21"/>
              </w:rPr>
              <w:t>排放源强（kg/h）</w:t>
            </w:r>
          </w:p>
        </w:tc>
        <w:tc>
          <w:tcPr>
            <w:tcW w:w="598" w:type="pct"/>
            <w:vAlign w:val="center"/>
          </w:tcPr>
          <w:p w14:paraId="1D3EBB7E">
            <w:pPr>
              <w:pStyle w:val="62"/>
              <w:rPr>
                <w:b/>
                <w:bCs/>
              </w:rPr>
            </w:pPr>
            <w:r>
              <w:rPr>
                <w:rFonts w:hint="eastAsia"/>
                <w:b/>
                <w:bCs/>
              </w:rPr>
              <w:t>排放</w:t>
            </w:r>
            <w:r>
              <w:rPr>
                <w:b/>
                <w:bCs/>
              </w:rPr>
              <w:t>浓度(mg/m</w:t>
            </w:r>
            <w:r>
              <w:rPr>
                <w:b/>
                <w:bCs/>
                <w:vertAlign w:val="superscript"/>
              </w:rPr>
              <w:t>3</w:t>
            </w:r>
            <w:r>
              <w:rPr>
                <w:b/>
                <w:bCs/>
              </w:rPr>
              <w:t>)</w:t>
            </w:r>
          </w:p>
        </w:tc>
        <w:tc>
          <w:tcPr>
            <w:tcW w:w="684" w:type="pct"/>
            <w:vAlign w:val="center"/>
          </w:tcPr>
          <w:p w14:paraId="32D6EA85">
            <w:pPr>
              <w:pStyle w:val="67"/>
              <w:rPr>
                <w:bCs/>
                <w:color w:val="auto"/>
                <w:szCs w:val="21"/>
              </w:rPr>
            </w:pPr>
            <w:r>
              <w:rPr>
                <w:bCs/>
                <w:color w:val="auto"/>
                <w:szCs w:val="21"/>
              </w:rPr>
              <w:t>排放量/次</w:t>
            </w:r>
          </w:p>
          <w:p w14:paraId="350FBE9C">
            <w:pPr>
              <w:pStyle w:val="67"/>
              <w:rPr>
                <w:rFonts w:cs="Times New Roman"/>
                <w:color w:val="auto"/>
                <w:szCs w:val="21"/>
              </w:rPr>
            </w:pPr>
            <w:r>
              <w:rPr>
                <w:rFonts w:cs="Times New Roman"/>
                <w:bCs/>
                <w:color w:val="auto"/>
                <w:szCs w:val="21"/>
              </w:rPr>
              <w:t>（kg）</w:t>
            </w:r>
          </w:p>
        </w:tc>
        <w:tc>
          <w:tcPr>
            <w:tcW w:w="664" w:type="pct"/>
            <w:vAlign w:val="center"/>
          </w:tcPr>
          <w:p w14:paraId="1D3EBB7F">
            <w:pPr>
              <w:pStyle w:val="62"/>
            </w:pPr>
            <w:r>
              <w:rPr>
                <w:b/>
                <w:bCs/>
              </w:rPr>
              <w:t>全年排放量（kg/a）</w:t>
            </w:r>
          </w:p>
        </w:tc>
        <w:tc>
          <w:tcPr>
            <w:tcW w:w="595" w:type="pct"/>
            <w:vAlign w:val="center"/>
          </w:tcPr>
          <w:p w14:paraId="1D3EBB80">
            <w:pPr>
              <w:pStyle w:val="67"/>
              <w:rPr>
                <w:rFonts w:cs="Times New Roman"/>
                <w:color w:val="auto"/>
                <w:szCs w:val="21"/>
              </w:rPr>
            </w:pPr>
            <w:r>
              <w:rPr>
                <w:rFonts w:cs="Times New Roman"/>
                <w:color w:val="auto"/>
                <w:szCs w:val="21"/>
              </w:rPr>
              <w:t>单次持续时间(h)</w:t>
            </w:r>
          </w:p>
        </w:tc>
        <w:tc>
          <w:tcPr>
            <w:tcW w:w="476" w:type="pct"/>
            <w:vAlign w:val="center"/>
          </w:tcPr>
          <w:p w14:paraId="511D47C4">
            <w:pPr>
              <w:pStyle w:val="67"/>
              <w:rPr>
                <w:rFonts w:cs="Times New Roman"/>
                <w:color w:val="auto"/>
                <w:szCs w:val="21"/>
              </w:rPr>
            </w:pPr>
            <w:r>
              <w:rPr>
                <w:rFonts w:cs="Times New Roman"/>
                <w:color w:val="auto"/>
                <w:szCs w:val="21"/>
              </w:rPr>
              <w:t>发生</w:t>
            </w:r>
          </w:p>
          <w:p w14:paraId="1D3EBB81">
            <w:pPr>
              <w:pStyle w:val="67"/>
              <w:rPr>
                <w:rFonts w:cs="Times New Roman"/>
                <w:color w:val="auto"/>
                <w:szCs w:val="21"/>
              </w:rPr>
            </w:pPr>
            <w:r>
              <w:rPr>
                <w:rFonts w:cs="Times New Roman"/>
                <w:color w:val="auto"/>
                <w:szCs w:val="21"/>
              </w:rPr>
              <w:t>频次</w:t>
            </w:r>
          </w:p>
        </w:tc>
        <w:tc>
          <w:tcPr>
            <w:tcW w:w="792" w:type="pct"/>
            <w:vAlign w:val="center"/>
          </w:tcPr>
          <w:p w14:paraId="1D3EBB84">
            <w:pPr>
              <w:pStyle w:val="67"/>
              <w:rPr>
                <w:rFonts w:cs="Times New Roman"/>
                <w:color w:val="auto"/>
                <w:szCs w:val="21"/>
              </w:rPr>
            </w:pPr>
            <w:r>
              <w:rPr>
                <w:rFonts w:cs="Times New Roman"/>
                <w:color w:val="auto"/>
                <w:szCs w:val="21"/>
              </w:rPr>
              <w:t>应对措施</w:t>
            </w:r>
          </w:p>
        </w:tc>
      </w:tr>
      <w:tr w14:paraId="1D3EBB9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65" w:type="pct"/>
            <w:vAlign w:val="center"/>
          </w:tcPr>
          <w:p w14:paraId="1D3EBB86">
            <w:pPr>
              <w:pStyle w:val="62"/>
              <w:rPr>
                <w:bCs/>
              </w:rPr>
            </w:pPr>
            <w:r>
              <w:rPr>
                <w:rFonts w:hint="eastAsia"/>
                <w:bCs/>
              </w:rPr>
              <w:t>1</w:t>
            </w:r>
          </w:p>
        </w:tc>
        <w:tc>
          <w:tcPr>
            <w:tcW w:w="428" w:type="pct"/>
            <w:vAlign w:val="center"/>
          </w:tcPr>
          <w:p w14:paraId="1D3EBB88">
            <w:pPr>
              <w:pStyle w:val="62"/>
              <w:rPr>
                <w:bCs/>
              </w:rPr>
            </w:pPr>
            <w:r>
              <w:rPr>
                <w:rFonts w:hint="eastAsia"/>
                <w:bCs/>
              </w:rPr>
              <w:t>颗粒物</w:t>
            </w:r>
          </w:p>
        </w:tc>
        <w:tc>
          <w:tcPr>
            <w:tcW w:w="598" w:type="pct"/>
            <w:vAlign w:val="center"/>
          </w:tcPr>
          <w:p w14:paraId="45ED3677">
            <w:pPr>
              <w:pStyle w:val="62"/>
              <w:rPr>
                <w:bCs/>
              </w:rPr>
            </w:pPr>
            <w:r>
              <w:rPr>
                <w:rFonts w:hint="eastAsia"/>
                <w:bCs/>
              </w:rPr>
              <w:t>3</w:t>
            </w:r>
          </w:p>
        </w:tc>
        <w:tc>
          <w:tcPr>
            <w:tcW w:w="598" w:type="pct"/>
            <w:vAlign w:val="center"/>
          </w:tcPr>
          <w:p w14:paraId="1D3EBB89">
            <w:pPr>
              <w:pStyle w:val="62"/>
              <w:rPr>
                <w:bCs/>
              </w:rPr>
            </w:pPr>
            <w:r>
              <w:rPr>
                <w:rFonts w:hint="eastAsia"/>
                <w:bCs/>
              </w:rPr>
              <w:t>600</w:t>
            </w:r>
          </w:p>
        </w:tc>
        <w:tc>
          <w:tcPr>
            <w:tcW w:w="684" w:type="pct"/>
            <w:vAlign w:val="center"/>
          </w:tcPr>
          <w:p w14:paraId="0F447FD9">
            <w:pPr>
              <w:pStyle w:val="62"/>
              <w:rPr>
                <w:bCs/>
              </w:rPr>
            </w:pPr>
            <w:r>
              <w:rPr>
                <w:rFonts w:hint="eastAsia"/>
                <w:bCs/>
              </w:rPr>
              <w:t>0.75</w:t>
            </w:r>
          </w:p>
        </w:tc>
        <w:tc>
          <w:tcPr>
            <w:tcW w:w="664" w:type="pct"/>
            <w:vAlign w:val="center"/>
          </w:tcPr>
          <w:p w14:paraId="1D3EBB8A">
            <w:pPr>
              <w:pStyle w:val="62"/>
              <w:rPr>
                <w:bCs/>
              </w:rPr>
            </w:pPr>
            <w:r>
              <w:rPr>
                <w:rFonts w:hint="eastAsia"/>
                <w:bCs/>
              </w:rPr>
              <w:t>0.75</w:t>
            </w:r>
          </w:p>
        </w:tc>
        <w:tc>
          <w:tcPr>
            <w:tcW w:w="595" w:type="pct"/>
            <w:vAlign w:val="center"/>
          </w:tcPr>
          <w:p w14:paraId="1D3EBB8B">
            <w:pPr>
              <w:pStyle w:val="62"/>
              <w:rPr>
                <w:bCs/>
                <w:spacing w:val="-4"/>
              </w:rPr>
            </w:pPr>
            <w:r>
              <w:rPr>
                <w:bCs/>
                <w:spacing w:val="-4"/>
              </w:rPr>
              <w:t>0.</w:t>
            </w:r>
            <w:r>
              <w:rPr>
                <w:rFonts w:hint="eastAsia"/>
                <w:bCs/>
                <w:spacing w:val="-4"/>
              </w:rPr>
              <w:t>25</w:t>
            </w:r>
            <w:r>
              <w:rPr>
                <w:bCs/>
                <w:spacing w:val="-4"/>
              </w:rPr>
              <w:t>h</w:t>
            </w:r>
          </w:p>
        </w:tc>
        <w:tc>
          <w:tcPr>
            <w:tcW w:w="476" w:type="pct"/>
            <w:vAlign w:val="center"/>
          </w:tcPr>
          <w:p w14:paraId="1D3EBB8C">
            <w:pPr>
              <w:pStyle w:val="62"/>
              <w:rPr>
                <w:bCs/>
                <w:spacing w:val="-4"/>
              </w:rPr>
            </w:pPr>
            <w:r>
              <w:rPr>
                <w:rFonts w:hint="eastAsia"/>
                <w:bCs/>
                <w:spacing w:val="-4"/>
              </w:rPr>
              <w:t>1</w:t>
            </w:r>
            <w:r>
              <w:rPr>
                <w:bCs/>
                <w:spacing w:val="-4"/>
              </w:rPr>
              <w:t>次/年</w:t>
            </w:r>
          </w:p>
        </w:tc>
        <w:tc>
          <w:tcPr>
            <w:tcW w:w="792" w:type="pct"/>
            <w:vAlign w:val="center"/>
          </w:tcPr>
          <w:p w14:paraId="1D3EBB8F">
            <w:pPr>
              <w:pStyle w:val="62"/>
              <w:rPr>
                <w:bCs/>
              </w:rPr>
            </w:pPr>
            <w:r>
              <w:rPr>
                <w:bCs/>
              </w:rPr>
              <w:t>定期维护保养，保证环保设施正常运行；生产出现异常情况立即停车检修</w:t>
            </w:r>
          </w:p>
        </w:tc>
      </w:tr>
    </w:tbl>
    <w:p w14:paraId="38B7F278">
      <w:pPr>
        <w:ind w:firstLine="480"/>
        <w:rPr>
          <w:u w:val="single"/>
        </w:rPr>
      </w:pPr>
      <w:r>
        <w:rPr>
          <w:rFonts w:hint="eastAsia"/>
          <w:u w:val="single"/>
        </w:rPr>
        <w:t>2、假定“设备自带冷凝+碱喷淋+</w:t>
      </w:r>
      <w:r>
        <w:rPr>
          <w:u w:val="single"/>
        </w:rPr>
        <w:t>水喷淋</w:t>
      </w:r>
      <w:r>
        <w:rPr>
          <w:rFonts w:hint="eastAsia"/>
          <w:u w:val="single"/>
        </w:rPr>
        <w:t>+除雾器+</w:t>
      </w:r>
      <w:r>
        <w:rPr>
          <w:u w:val="single"/>
        </w:rPr>
        <w:t>活性炭吸附装置</w:t>
      </w:r>
      <w:r>
        <w:rPr>
          <w:rFonts w:hint="eastAsia"/>
          <w:u w:val="single"/>
        </w:rPr>
        <w:t>”故障</w:t>
      </w:r>
    </w:p>
    <w:p w14:paraId="6D423447">
      <w:pPr>
        <w:ind w:firstLine="480"/>
        <w:rPr>
          <w:bCs/>
          <w:iCs/>
          <w:u w:val="single"/>
        </w:rPr>
      </w:pPr>
      <w:r>
        <w:rPr>
          <w:rFonts w:hint="eastAsia"/>
          <w:u w:val="single"/>
        </w:rPr>
        <w:t>假定本项目“设备自带冷凝+碱喷淋+</w:t>
      </w:r>
      <w:r>
        <w:rPr>
          <w:u w:val="single"/>
        </w:rPr>
        <w:t>水喷淋</w:t>
      </w:r>
      <w:r>
        <w:rPr>
          <w:rFonts w:hint="eastAsia"/>
          <w:u w:val="single"/>
        </w:rPr>
        <w:t>+除雾器+</w:t>
      </w:r>
      <w:r>
        <w:rPr>
          <w:u w:val="single"/>
        </w:rPr>
        <w:t>活性炭吸附装置</w:t>
      </w:r>
      <w:r>
        <w:rPr>
          <w:rFonts w:hint="eastAsia"/>
          <w:u w:val="single"/>
        </w:rPr>
        <w:t>”</w:t>
      </w:r>
      <w:r>
        <w:rPr>
          <w:bCs/>
          <w:iCs/>
          <w:u w:val="single"/>
        </w:rPr>
        <w:t>系统发生故障，</w:t>
      </w:r>
      <w:r>
        <w:rPr>
          <w:rFonts w:hint="eastAsia"/>
          <w:bCs/>
          <w:u w:val="single"/>
        </w:rPr>
        <w:t>处理效率为</w:t>
      </w:r>
      <w:r>
        <w:rPr>
          <w:bCs/>
          <w:u w:val="single"/>
        </w:rPr>
        <w:t>0</w:t>
      </w:r>
      <w:r>
        <w:rPr>
          <w:rFonts w:hint="eastAsia"/>
          <w:bCs/>
          <w:u w:val="single"/>
        </w:rPr>
        <w:t>时的情况进行分析。事故排放时间最大为</w:t>
      </w:r>
      <w:r>
        <w:rPr>
          <w:bCs/>
          <w:u w:val="single"/>
        </w:rPr>
        <w:t>15</w:t>
      </w:r>
      <w:r>
        <w:rPr>
          <w:rFonts w:hint="eastAsia"/>
          <w:bCs/>
          <w:u w:val="single"/>
        </w:rPr>
        <w:t>分钟</w:t>
      </w:r>
      <w:r>
        <w:rPr>
          <w:bCs/>
          <w:iCs/>
          <w:u w:val="single"/>
        </w:rPr>
        <w:t>，全年故障发生概率小于0.5%，本次评价按照每年1次进行考虑，非正常工况下“</w:t>
      </w:r>
      <w:r>
        <w:rPr>
          <w:rFonts w:hint="eastAsia"/>
          <w:u w:val="single"/>
        </w:rPr>
        <w:t>设备自带冷凝+碱喷淋+</w:t>
      </w:r>
      <w:r>
        <w:rPr>
          <w:u w:val="single"/>
        </w:rPr>
        <w:t>水喷淋</w:t>
      </w:r>
      <w:r>
        <w:rPr>
          <w:rFonts w:hint="eastAsia"/>
          <w:u w:val="single"/>
        </w:rPr>
        <w:t>+除雾器+</w:t>
      </w:r>
      <w:r>
        <w:rPr>
          <w:u w:val="single"/>
        </w:rPr>
        <w:t>活性炭吸附装置</w:t>
      </w:r>
      <w:r>
        <w:rPr>
          <w:bCs/>
          <w:iCs/>
          <w:u w:val="single"/>
        </w:rPr>
        <w:t>”措施尾气污染物排放源强见下表。</w:t>
      </w:r>
    </w:p>
    <w:p w14:paraId="02CA3CEB">
      <w:pPr>
        <w:pStyle w:val="64"/>
        <w:spacing w:before="120"/>
        <w:ind w:firstLine="240"/>
      </w:pPr>
      <w:r>
        <w:t>表</w:t>
      </w:r>
      <w:r>
        <w:fldChar w:fldCharType="begin"/>
      </w:r>
      <w:r>
        <w:instrText xml:space="preserve"> STYLEREF 1 \s </w:instrText>
      </w:r>
      <w:r>
        <w:fldChar w:fldCharType="separate"/>
      </w:r>
      <w:r>
        <w:t>3</w:t>
      </w:r>
      <w:r>
        <w:fldChar w:fldCharType="end"/>
      </w:r>
      <w:r>
        <w:t>.4-</w:t>
      </w:r>
      <w:r>
        <w:rPr>
          <w:rFonts w:hint="eastAsia"/>
        </w:rPr>
        <w:t>2</w:t>
      </w:r>
      <w:r>
        <w:t xml:space="preserve">     </w:t>
      </w:r>
      <w:r>
        <w:rPr>
          <w:rFonts w:hint="eastAsia"/>
        </w:rPr>
        <w:t xml:space="preserve">  </w:t>
      </w:r>
      <w:r>
        <w:t xml:space="preserve"> 非正常工况时污染物排放情况一览表</w:t>
      </w:r>
      <w:r>
        <w:rPr>
          <w:rFonts w:hint="eastAsia"/>
        </w:rPr>
        <w:t>2</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28" w:type="dxa"/>
          <w:bottom w:w="0" w:type="dxa"/>
          <w:right w:w="28" w:type="dxa"/>
        </w:tblCellMar>
      </w:tblPr>
      <w:tblGrid>
        <w:gridCol w:w="276"/>
        <w:gridCol w:w="716"/>
        <w:gridCol w:w="1001"/>
        <w:gridCol w:w="1001"/>
        <w:gridCol w:w="1145"/>
        <w:gridCol w:w="1111"/>
        <w:gridCol w:w="996"/>
        <w:gridCol w:w="797"/>
        <w:gridCol w:w="1325"/>
      </w:tblGrid>
      <w:tr w14:paraId="333FB20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65" w:type="pct"/>
            <w:vAlign w:val="center"/>
          </w:tcPr>
          <w:p w14:paraId="77D68DF4">
            <w:pPr>
              <w:pStyle w:val="67"/>
              <w:rPr>
                <w:rFonts w:cs="Times New Roman"/>
                <w:color w:val="auto"/>
                <w:szCs w:val="21"/>
                <w:u w:val="single"/>
              </w:rPr>
            </w:pPr>
            <w:r>
              <w:rPr>
                <w:rFonts w:hint="eastAsia" w:cs="Times New Roman"/>
                <w:color w:val="auto"/>
                <w:szCs w:val="21"/>
                <w:u w:val="single"/>
              </w:rPr>
              <w:t>序号</w:t>
            </w:r>
          </w:p>
        </w:tc>
        <w:tc>
          <w:tcPr>
            <w:tcW w:w="428" w:type="pct"/>
            <w:vAlign w:val="center"/>
          </w:tcPr>
          <w:p w14:paraId="7D10C438">
            <w:pPr>
              <w:pStyle w:val="67"/>
              <w:rPr>
                <w:rFonts w:cs="Times New Roman"/>
                <w:color w:val="auto"/>
                <w:szCs w:val="21"/>
                <w:u w:val="single"/>
              </w:rPr>
            </w:pPr>
            <w:r>
              <w:rPr>
                <w:rFonts w:cs="Times New Roman"/>
                <w:color w:val="auto"/>
                <w:szCs w:val="21"/>
                <w:u w:val="single"/>
              </w:rPr>
              <w:t>污染物</w:t>
            </w:r>
          </w:p>
        </w:tc>
        <w:tc>
          <w:tcPr>
            <w:tcW w:w="598" w:type="pct"/>
            <w:vAlign w:val="center"/>
          </w:tcPr>
          <w:p w14:paraId="07449ED8">
            <w:pPr>
              <w:pStyle w:val="67"/>
              <w:rPr>
                <w:rFonts w:cs="Times New Roman"/>
                <w:color w:val="auto"/>
                <w:szCs w:val="21"/>
                <w:u w:val="single"/>
              </w:rPr>
            </w:pPr>
            <w:r>
              <w:rPr>
                <w:bCs/>
                <w:color w:val="auto"/>
                <w:szCs w:val="21"/>
                <w:u w:val="single"/>
              </w:rPr>
              <w:t>排放源强（kg/h）</w:t>
            </w:r>
          </w:p>
        </w:tc>
        <w:tc>
          <w:tcPr>
            <w:tcW w:w="598" w:type="pct"/>
            <w:vAlign w:val="center"/>
          </w:tcPr>
          <w:p w14:paraId="6E8E79BE">
            <w:pPr>
              <w:pStyle w:val="62"/>
              <w:rPr>
                <w:b/>
                <w:bCs/>
                <w:u w:val="single"/>
              </w:rPr>
            </w:pPr>
            <w:r>
              <w:rPr>
                <w:rFonts w:hint="eastAsia"/>
                <w:b/>
                <w:bCs/>
                <w:u w:val="single"/>
              </w:rPr>
              <w:t>排放</w:t>
            </w:r>
            <w:r>
              <w:rPr>
                <w:b/>
                <w:bCs/>
                <w:u w:val="single"/>
              </w:rPr>
              <w:t>浓度(mg/m</w:t>
            </w:r>
            <w:r>
              <w:rPr>
                <w:b/>
                <w:bCs/>
                <w:u w:val="single"/>
                <w:vertAlign w:val="superscript"/>
              </w:rPr>
              <w:t>3</w:t>
            </w:r>
            <w:r>
              <w:rPr>
                <w:b/>
                <w:bCs/>
                <w:u w:val="single"/>
              </w:rPr>
              <w:t>)</w:t>
            </w:r>
          </w:p>
        </w:tc>
        <w:tc>
          <w:tcPr>
            <w:tcW w:w="684" w:type="pct"/>
            <w:vAlign w:val="center"/>
          </w:tcPr>
          <w:p w14:paraId="6AE14D7B">
            <w:pPr>
              <w:pStyle w:val="67"/>
              <w:rPr>
                <w:bCs/>
                <w:color w:val="auto"/>
                <w:szCs w:val="21"/>
                <w:u w:val="single"/>
              </w:rPr>
            </w:pPr>
            <w:r>
              <w:rPr>
                <w:bCs/>
                <w:color w:val="auto"/>
                <w:szCs w:val="21"/>
                <w:u w:val="single"/>
              </w:rPr>
              <w:t>排放量/次</w:t>
            </w:r>
          </w:p>
          <w:p w14:paraId="60665168">
            <w:pPr>
              <w:pStyle w:val="67"/>
              <w:rPr>
                <w:rFonts w:cs="Times New Roman"/>
                <w:color w:val="auto"/>
                <w:szCs w:val="21"/>
                <w:u w:val="single"/>
              </w:rPr>
            </w:pPr>
            <w:r>
              <w:rPr>
                <w:rFonts w:cs="Times New Roman"/>
                <w:bCs/>
                <w:color w:val="auto"/>
                <w:szCs w:val="21"/>
                <w:u w:val="single"/>
              </w:rPr>
              <w:t>（kg）</w:t>
            </w:r>
          </w:p>
        </w:tc>
        <w:tc>
          <w:tcPr>
            <w:tcW w:w="664" w:type="pct"/>
            <w:vAlign w:val="center"/>
          </w:tcPr>
          <w:p w14:paraId="504DE802">
            <w:pPr>
              <w:pStyle w:val="62"/>
              <w:rPr>
                <w:u w:val="single"/>
              </w:rPr>
            </w:pPr>
            <w:r>
              <w:rPr>
                <w:b/>
                <w:bCs/>
                <w:u w:val="single"/>
              </w:rPr>
              <w:t>全年排放量（kg/a）</w:t>
            </w:r>
          </w:p>
        </w:tc>
        <w:tc>
          <w:tcPr>
            <w:tcW w:w="595" w:type="pct"/>
            <w:vAlign w:val="center"/>
          </w:tcPr>
          <w:p w14:paraId="57CA7DC6">
            <w:pPr>
              <w:pStyle w:val="67"/>
              <w:rPr>
                <w:rFonts w:cs="Times New Roman"/>
                <w:color w:val="auto"/>
                <w:szCs w:val="21"/>
                <w:u w:val="single"/>
              </w:rPr>
            </w:pPr>
            <w:r>
              <w:rPr>
                <w:rFonts w:cs="Times New Roman"/>
                <w:color w:val="auto"/>
                <w:szCs w:val="21"/>
                <w:u w:val="single"/>
              </w:rPr>
              <w:t>单次持续时间(h)</w:t>
            </w:r>
          </w:p>
        </w:tc>
        <w:tc>
          <w:tcPr>
            <w:tcW w:w="476" w:type="pct"/>
            <w:vAlign w:val="center"/>
          </w:tcPr>
          <w:p w14:paraId="0E480819">
            <w:pPr>
              <w:pStyle w:val="67"/>
              <w:rPr>
                <w:rFonts w:cs="Times New Roman"/>
                <w:color w:val="auto"/>
                <w:szCs w:val="21"/>
                <w:u w:val="single"/>
              </w:rPr>
            </w:pPr>
            <w:r>
              <w:rPr>
                <w:rFonts w:cs="Times New Roman"/>
                <w:color w:val="auto"/>
                <w:szCs w:val="21"/>
                <w:u w:val="single"/>
              </w:rPr>
              <w:t>发生</w:t>
            </w:r>
          </w:p>
          <w:p w14:paraId="7C6B6186">
            <w:pPr>
              <w:pStyle w:val="67"/>
              <w:rPr>
                <w:rFonts w:cs="Times New Roman"/>
                <w:color w:val="auto"/>
                <w:szCs w:val="21"/>
                <w:u w:val="single"/>
              </w:rPr>
            </w:pPr>
            <w:r>
              <w:rPr>
                <w:rFonts w:cs="Times New Roman"/>
                <w:color w:val="auto"/>
                <w:szCs w:val="21"/>
                <w:u w:val="single"/>
              </w:rPr>
              <w:t>频次</w:t>
            </w:r>
          </w:p>
        </w:tc>
        <w:tc>
          <w:tcPr>
            <w:tcW w:w="792" w:type="pct"/>
            <w:vAlign w:val="center"/>
          </w:tcPr>
          <w:p w14:paraId="3E894598">
            <w:pPr>
              <w:pStyle w:val="67"/>
              <w:rPr>
                <w:rFonts w:cs="Times New Roman"/>
                <w:color w:val="auto"/>
                <w:szCs w:val="21"/>
                <w:u w:val="single"/>
              </w:rPr>
            </w:pPr>
            <w:r>
              <w:rPr>
                <w:rFonts w:cs="Times New Roman"/>
                <w:color w:val="auto"/>
                <w:szCs w:val="21"/>
                <w:u w:val="single"/>
              </w:rPr>
              <w:t>应对措施</w:t>
            </w:r>
          </w:p>
        </w:tc>
      </w:tr>
      <w:tr w14:paraId="4CFBE03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65" w:type="pct"/>
            <w:vAlign w:val="center"/>
          </w:tcPr>
          <w:p w14:paraId="2D9EBB1F">
            <w:pPr>
              <w:pStyle w:val="62"/>
              <w:rPr>
                <w:bCs/>
                <w:u w:val="single"/>
              </w:rPr>
            </w:pPr>
            <w:r>
              <w:rPr>
                <w:rFonts w:hint="eastAsia"/>
                <w:bCs/>
                <w:u w:val="single"/>
              </w:rPr>
              <w:t>1</w:t>
            </w:r>
          </w:p>
        </w:tc>
        <w:tc>
          <w:tcPr>
            <w:tcW w:w="428" w:type="pct"/>
            <w:vAlign w:val="center"/>
          </w:tcPr>
          <w:p w14:paraId="3D7D6DA7">
            <w:pPr>
              <w:pStyle w:val="62"/>
              <w:rPr>
                <w:bCs/>
                <w:u w:val="single"/>
              </w:rPr>
            </w:pPr>
            <w:r>
              <w:rPr>
                <w:rFonts w:hint="eastAsia"/>
                <w:bCs/>
                <w:u w:val="single"/>
              </w:rPr>
              <w:t>非甲烷总烃</w:t>
            </w:r>
          </w:p>
        </w:tc>
        <w:tc>
          <w:tcPr>
            <w:tcW w:w="598" w:type="pct"/>
            <w:vAlign w:val="center"/>
          </w:tcPr>
          <w:p w14:paraId="0FE46DE5">
            <w:pPr>
              <w:pStyle w:val="62"/>
              <w:rPr>
                <w:bCs/>
                <w:u w:val="single"/>
              </w:rPr>
            </w:pPr>
            <w:r>
              <w:rPr>
                <w:rFonts w:hint="eastAsia"/>
                <w:bCs/>
                <w:u w:val="single"/>
              </w:rPr>
              <w:t>7.098</w:t>
            </w:r>
          </w:p>
        </w:tc>
        <w:tc>
          <w:tcPr>
            <w:tcW w:w="598" w:type="pct"/>
            <w:vAlign w:val="center"/>
          </w:tcPr>
          <w:p w14:paraId="4958B5F2">
            <w:pPr>
              <w:pStyle w:val="62"/>
              <w:rPr>
                <w:bCs/>
                <w:u w:val="single"/>
              </w:rPr>
            </w:pPr>
            <w:r>
              <w:rPr>
                <w:rFonts w:hint="eastAsia"/>
                <w:bCs/>
                <w:u w:val="single"/>
              </w:rPr>
              <w:t>1420</w:t>
            </w:r>
          </w:p>
        </w:tc>
        <w:tc>
          <w:tcPr>
            <w:tcW w:w="684" w:type="pct"/>
            <w:vAlign w:val="center"/>
          </w:tcPr>
          <w:p w14:paraId="6B48D0E4">
            <w:pPr>
              <w:pStyle w:val="62"/>
              <w:rPr>
                <w:bCs/>
                <w:u w:val="single"/>
              </w:rPr>
            </w:pPr>
            <w:r>
              <w:rPr>
                <w:rFonts w:hint="eastAsia"/>
                <w:bCs/>
                <w:u w:val="single"/>
              </w:rPr>
              <w:t>1.7745</w:t>
            </w:r>
          </w:p>
        </w:tc>
        <w:tc>
          <w:tcPr>
            <w:tcW w:w="664" w:type="pct"/>
            <w:vAlign w:val="center"/>
          </w:tcPr>
          <w:p w14:paraId="63829BB5">
            <w:pPr>
              <w:pStyle w:val="62"/>
              <w:rPr>
                <w:bCs/>
                <w:u w:val="single"/>
              </w:rPr>
            </w:pPr>
            <w:r>
              <w:rPr>
                <w:rFonts w:hint="eastAsia"/>
                <w:bCs/>
                <w:u w:val="single"/>
              </w:rPr>
              <w:t>1.7745</w:t>
            </w:r>
          </w:p>
        </w:tc>
        <w:tc>
          <w:tcPr>
            <w:tcW w:w="595" w:type="pct"/>
            <w:vMerge w:val="restart"/>
            <w:vAlign w:val="center"/>
          </w:tcPr>
          <w:p w14:paraId="249C69B7">
            <w:pPr>
              <w:pStyle w:val="62"/>
              <w:rPr>
                <w:bCs/>
                <w:spacing w:val="-4"/>
                <w:u w:val="single"/>
              </w:rPr>
            </w:pPr>
            <w:r>
              <w:rPr>
                <w:bCs/>
                <w:spacing w:val="-4"/>
                <w:u w:val="single"/>
              </w:rPr>
              <w:t>0.</w:t>
            </w:r>
            <w:r>
              <w:rPr>
                <w:rFonts w:hint="eastAsia"/>
                <w:bCs/>
                <w:spacing w:val="-4"/>
                <w:u w:val="single"/>
              </w:rPr>
              <w:t>25</w:t>
            </w:r>
            <w:r>
              <w:rPr>
                <w:bCs/>
                <w:spacing w:val="-4"/>
                <w:u w:val="single"/>
              </w:rPr>
              <w:t>h</w:t>
            </w:r>
          </w:p>
        </w:tc>
        <w:tc>
          <w:tcPr>
            <w:tcW w:w="476" w:type="pct"/>
            <w:vMerge w:val="restart"/>
            <w:vAlign w:val="center"/>
          </w:tcPr>
          <w:p w14:paraId="1F9047BB">
            <w:pPr>
              <w:pStyle w:val="62"/>
              <w:rPr>
                <w:bCs/>
                <w:spacing w:val="-4"/>
                <w:u w:val="single"/>
              </w:rPr>
            </w:pPr>
            <w:r>
              <w:rPr>
                <w:rFonts w:hint="eastAsia"/>
                <w:bCs/>
                <w:spacing w:val="-4"/>
                <w:u w:val="single"/>
              </w:rPr>
              <w:t>1</w:t>
            </w:r>
            <w:r>
              <w:rPr>
                <w:bCs/>
                <w:spacing w:val="-4"/>
                <w:u w:val="single"/>
              </w:rPr>
              <w:t>次/年</w:t>
            </w:r>
          </w:p>
        </w:tc>
        <w:tc>
          <w:tcPr>
            <w:tcW w:w="792" w:type="pct"/>
            <w:vMerge w:val="restart"/>
            <w:vAlign w:val="center"/>
          </w:tcPr>
          <w:p w14:paraId="7D1C97E3">
            <w:pPr>
              <w:pStyle w:val="62"/>
              <w:rPr>
                <w:bCs/>
                <w:u w:val="single"/>
              </w:rPr>
            </w:pPr>
            <w:r>
              <w:rPr>
                <w:bCs/>
                <w:u w:val="single"/>
              </w:rPr>
              <w:t>定期维护保养，保证环保设施正常运行；生产出现异常情况立即停车检修</w:t>
            </w:r>
          </w:p>
        </w:tc>
      </w:tr>
      <w:tr w14:paraId="14C183D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65" w:type="pct"/>
            <w:vAlign w:val="center"/>
          </w:tcPr>
          <w:p w14:paraId="4A1B5E48">
            <w:pPr>
              <w:pStyle w:val="62"/>
              <w:rPr>
                <w:bCs/>
                <w:u w:val="single"/>
              </w:rPr>
            </w:pPr>
            <w:r>
              <w:rPr>
                <w:rFonts w:hint="eastAsia"/>
                <w:bCs/>
                <w:u w:val="single"/>
              </w:rPr>
              <w:t>2</w:t>
            </w:r>
          </w:p>
        </w:tc>
        <w:tc>
          <w:tcPr>
            <w:tcW w:w="428" w:type="pct"/>
            <w:vAlign w:val="center"/>
          </w:tcPr>
          <w:p w14:paraId="16FCBAB6">
            <w:pPr>
              <w:pStyle w:val="62"/>
              <w:rPr>
                <w:bCs/>
                <w:u w:val="single"/>
              </w:rPr>
            </w:pPr>
            <w:r>
              <w:rPr>
                <w:rFonts w:hint="eastAsia"/>
                <w:bCs/>
                <w:u w:val="single"/>
              </w:rPr>
              <w:t>硫酸雾</w:t>
            </w:r>
          </w:p>
        </w:tc>
        <w:tc>
          <w:tcPr>
            <w:tcW w:w="598" w:type="pct"/>
            <w:vAlign w:val="center"/>
          </w:tcPr>
          <w:p w14:paraId="7893A7B0">
            <w:pPr>
              <w:pStyle w:val="62"/>
              <w:rPr>
                <w:bCs/>
                <w:u w:val="single"/>
              </w:rPr>
            </w:pPr>
            <w:r>
              <w:rPr>
                <w:rFonts w:hint="eastAsia"/>
                <w:bCs/>
                <w:u w:val="single"/>
              </w:rPr>
              <w:t>0.078</w:t>
            </w:r>
          </w:p>
        </w:tc>
        <w:tc>
          <w:tcPr>
            <w:tcW w:w="598" w:type="pct"/>
            <w:vAlign w:val="center"/>
          </w:tcPr>
          <w:p w14:paraId="53950764">
            <w:pPr>
              <w:pStyle w:val="62"/>
              <w:rPr>
                <w:bCs/>
                <w:u w:val="single"/>
              </w:rPr>
            </w:pPr>
            <w:r>
              <w:rPr>
                <w:rFonts w:hint="eastAsia"/>
                <w:bCs/>
                <w:u w:val="single"/>
              </w:rPr>
              <w:t>15.6</w:t>
            </w:r>
          </w:p>
        </w:tc>
        <w:tc>
          <w:tcPr>
            <w:tcW w:w="684" w:type="pct"/>
            <w:vAlign w:val="center"/>
          </w:tcPr>
          <w:p w14:paraId="17497C4B">
            <w:pPr>
              <w:pStyle w:val="62"/>
              <w:rPr>
                <w:bCs/>
                <w:u w:val="single"/>
              </w:rPr>
            </w:pPr>
            <w:r>
              <w:rPr>
                <w:rFonts w:hint="eastAsia"/>
                <w:bCs/>
                <w:u w:val="single"/>
              </w:rPr>
              <w:t>0.0195</w:t>
            </w:r>
          </w:p>
        </w:tc>
        <w:tc>
          <w:tcPr>
            <w:tcW w:w="664" w:type="pct"/>
            <w:vAlign w:val="center"/>
          </w:tcPr>
          <w:p w14:paraId="79321179">
            <w:pPr>
              <w:pStyle w:val="62"/>
              <w:rPr>
                <w:bCs/>
                <w:u w:val="single"/>
              </w:rPr>
            </w:pPr>
            <w:r>
              <w:rPr>
                <w:rFonts w:hint="eastAsia"/>
                <w:bCs/>
                <w:u w:val="single"/>
              </w:rPr>
              <w:t>0.0195</w:t>
            </w:r>
          </w:p>
        </w:tc>
        <w:tc>
          <w:tcPr>
            <w:tcW w:w="595" w:type="pct"/>
            <w:vMerge w:val="continue"/>
            <w:vAlign w:val="center"/>
          </w:tcPr>
          <w:p w14:paraId="10D5530F">
            <w:pPr>
              <w:pStyle w:val="62"/>
              <w:rPr>
                <w:bCs/>
                <w:spacing w:val="-4"/>
                <w:u w:val="single"/>
              </w:rPr>
            </w:pPr>
          </w:p>
        </w:tc>
        <w:tc>
          <w:tcPr>
            <w:tcW w:w="476" w:type="pct"/>
            <w:vMerge w:val="continue"/>
            <w:vAlign w:val="center"/>
          </w:tcPr>
          <w:p w14:paraId="62E022EA">
            <w:pPr>
              <w:pStyle w:val="62"/>
              <w:rPr>
                <w:bCs/>
                <w:spacing w:val="-4"/>
                <w:u w:val="single"/>
              </w:rPr>
            </w:pPr>
          </w:p>
        </w:tc>
        <w:tc>
          <w:tcPr>
            <w:tcW w:w="792" w:type="pct"/>
            <w:vMerge w:val="continue"/>
            <w:vAlign w:val="center"/>
          </w:tcPr>
          <w:p w14:paraId="4BA85B40">
            <w:pPr>
              <w:pStyle w:val="62"/>
              <w:rPr>
                <w:bCs/>
                <w:u w:val="single"/>
              </w:rPr>
            </w:pPr>
          </w:p>
        </w:tc>
      </w:tr>
    </w:tbl>
    <w:p w14:paraId="1E6724C5">
      <w:pPr>
        <w:spacing w:line="500" w:lineRule="exact"/>
        <w:ind w:firstLine="480"/>
        <w:sectPr>
          <w:pgSz w:w="11906" w:h="16838"/>
          <w:pgMar w:top="1440" w:right="1797" w:bottom="1440" w:left="1797" w:header="851" w:footer="992" w:gutter="0"/>
          <w:cols w:space="425" w:num="1"/>
          <w:docGrid w:linePitch="312" w:charSpace="0"/>
        </w:sectPr>
      </w:pPr>
      <w:r>
        <w:t>由上表可知：当环保设施管理不善、处理效率达不到设计指标的非正常工况时，</w:t>
      </w:r>
      <w:r>
        <w:rPr>
          <w:rFonts w:hint="eastAsia"/>
          <w:szCs w:val="24"/>
        </w:rPr>
        <w:t>颗粒物、非甲烷总烃、硫酸雾排放量均极少</w:t>
      </w:r>
      <w:r>
        <w:t>。评价建议工程在运行过程中，应严格按照设备操作规范进行操作，废气治理设备</w:t>
      </w:r>
      <w:r>
        <w:rPr>
          <w:rFonts w:hint="eastAsia"/>
        </w:rPr>
        <w:t>及生产设备</w:t>
      </w:r>
      <w:r>
        <w:t>需定期进行维护保养，保证</w:t>
      </w:r>
      <w:r>
        <w:rPr>
          <w:rFonts w:hint="eastAsia"/>
        </w:rPr>
        <w:t>生产及</w:t>
      </w:r>
      <w:r>
        <w:t>环保设施正常运行。</w:t>
      </w:r>
    </w:p>
    <w:p w14:paraId="4506B33A">
      <w:pPr>
        <w:pStyle w:val="4"/>
      </w:pPr>
      <w:bookmarkStart w:id="195" w:name="_Toc176105862"/>
      <w:r>
        <w:rPr>
          <w:rFonts w:hint="eastAsia"/>
        </w:rPr>
        <w:t>碳排放环境影响评价</w:t>
      </w:r>
    </w:p>
    <w:p w14:paraId="3BD9E9BE">
      <w:pPr>
        <w:ind w:firstLine="480"/>
      </w:pPr>
      <w:r>
        <w:rPr>
          <w:rFonts w:hint="eastAsia"/>
        </w:rPr>
        <w:t>为实现“减污降碳、协同增效”，生态环境部印发了《关于统筹和加强应对气候变化与生态环境保护相关工作的指导意见》（环综合(2021)4号）、《关于加强高耗能、高排放建设项目生态环境源头防控的指导意见》（环环评[2021]45号）等文件，加快推进绿色转型和高质量发展。根据《生态环境部关于加强高耗能、高排放建设项目生态环境源头防控的指导意见》（环环评[2021]45号）：将碳排放影响评价纳入环境影响评价体系。在环评工作中，统筹开展污染物和碳排放的源项识别、源强核算、减污降碳措施可行性论证及方案比选，提出协同控制最优方案。</w:t>
      </w:r>
    </w:p>
    <w:p w14:paraId="127A6828">
      <w:pPr>
        <w:ind w:firstLine="480"/>
      </w:pPr>
      <w:r>
        <w:rPr>
          <w:rFonts w:hint="eastAsia"/>
        </w:rPr>
        <w:t>本次参照《重点行业建设项目碳排放环境影响评价试点技术指南（试行）》及《中国化工生产企业温室气体排放核算方法与报告指南（试行）》相关要求对本项目碳排放情况进行环境影响评价。</w:t>
      </w:r>
    </w:p>
    <w:p w14:paraId="0BF56332">
      <w:pPr>
        <w:pStyle w:val="5"/>
        <w:spacing w:before="240" w:after="240"/>
      </w:pPr>
      <w:r>
        <w:rPr>
          <w:rFonts w:hint="eastAsia"/>
        </w:rPr>
        <w:t>评价目的、程序及思路</w:t>
      </w:r>
    </w:p>
    <w:p w14:paraId="6DD87DD1">
      <w:pPr>
        <w:pStyle w:val="2"/>
        <w:spacing w:after="0"/>
        <w:ind w:firstLine="480"/>
      </w:pPr>
      <w:r>
        <w:rPr>
          <w:rFonts w:hint="eastAsia"/>
        </w:rPr>
        <w:t>1、评价目的</w:t>
      </w:r>
    </w:p>
    <w:p w14:paraId="255FBB48">
      <w:pPr>
        <w:pStyle w:val="2"/>
        <w:spacing w:after="0"/>
        <w:ind w:firstLine="480"/>
      </w:pPr>
      <w:r>
        <w:rPr>
          <w:rFonts w:hint="eastAsia"/>
        </w:rPr>
        <w:t>通过分析建设项目碳排放是否满足相关政策要求，明确建设项目二氧化碳产生节点，开展碳减排及二氧化碳与污染物协同控制措施可行性论证，核算二氧化碳产生和排放量，分析建设项目二氧化碳排放水平，提出建设项目碳排放环境影响评价结论。</w:t>
      </w:r>
    </w:p>
    <w:p w14:paraId="64A07279">
      <w:pPr>
        <w:pStyle w:val="2"/>
        <w:spacing w:after="0"/>
        <w:ind w:firstLine="480"/>
      </w:pPr>
      <w:r>
        <w:rPr>
          <w:rFonts w:hint="eastAsia"/>
        </w:rPr>
        <w:t>2、评价思路</w:t>
      </w:r>
    </w:p>
    <w:p w14:paraId="2F279BE9">
      <w:pPr>
        <w:pStyle w:val="2"/>
        <w:spacing w:after="0"/>
        <w:ind w:firstLine="480"/>
      </w:pPr>
      <w:r>
        <w:rPr>
          <w:rFonts w:hint="eastAsia"/>
        </w:rPr>
        <w:t>本项目为河南欣姣芬化工有限公司年产10000吨聚醚改性硅油、1000吨色浆项目，建设项目性质为新建，项目建成后生产规模为年产10000吨聚醚改性硅油和1000吨色浆。根据《重点行业建设项目碳排放环境影响评价试点技术指南（试行）》：碳排放评价本次工程二氧化碳排放情况</w:t>
      </w:r>
    </w:p>
    <w:p w14:paraId="3D5749EB">
      <w:pPr>
        <w:pStyle w:val="5"/>
        <w:spacing w:before="240" w:after="240"/>
        <w:ind w:firstLine="480"/>
      </w:pPr>
      <w:r>
        <w:rPr>
          <w:rFonts w:hint="eastAsia"/>
        </w:rPr>
        <w:t>本次工程碳排放分析</w:t>
      </w:r>
    </w:p>
    <w:p w14:paraId="1FB7AA3C">
      <w:pPr>
        <w:ind w:firstLine="482"/>
        <w:outlineLvl w:val="3"/>
        <w:rPr>
          <w:b/>
          <w:bCs/>
        </w:rPr>
      </w:pPr>
      <w:r>
        <w:rPr>
          <w:rFonts w:hint="eastAsia"/>
          <w:b/>
          <w:bCs/>
        </w:rPr>
        <w:t>1、化石燃料燃烧</w:t>
      </w:r>
      <w:r>
        <w:rPr>
          <w:b/>
          <w:bCs/>
        </w:rPr>
        <w:t>CO</w:t>
      </w:r>
      <w:r>
        <w:rPr>
          <w:b/>
          <w:bCs/>
          <w:vertAlign w:val="subscript"/>
        </w:rPr>
        <w:t>2</w:t>
      </w:r>
      <w:r>
        <w:rPr>
          <w:rFonts w:hint="eastAsia"/>
          <w:b/>
          <w:bCs/>
        </w:rPr>
        <w:t>排放</w:t>
      </w:r>
    </w:p>
    <w:p w14:paraId="640A76CB">
      <w:pPr>
        <w:ind w:firstLine="480"/>
        <w:rPr>
          <w:bCs/>
        </w:rPr>
      </w:pPr>
      <w:r>
        <w:rPr>
          <w:bCs/>
          <w:position w:val="2"/>
        </w:rPr>
        <w:t>燃料燃烧</w:t>
      </w:r>
      <w:r>
        <w:rPr>
          <w:rFonts w:eastAsia="Times New Roman"/>
          <w:bCs/>
          <w:position w:val="2"/>
        </w:rPr>
        <w:t>CO</w:t>
      </w:r>
      <w:r>
        <w:rPr>
          <w:rFonts w:eastAsia="Times New Roman"/>
          <w:bCs/>
          <w:position w:val="2"/>
          <w:vertAlign w:val="subscript"/>
        </w:rPr>
        <w:t>2</w:t>
      </w:r>
      <w:r>
        <w:rPr>
          <w:bCs/>
          <w:position w:val="2"/>
        </w:rPr>
        <w:t>排放量主要基于企业边界各个燃料设施分品种的化石燃料燃烧量，乘</w:t>
      </w:r>
      <w:r>
        <w:rPr>
          <w:bCs/>
        </w:rPr>
        <w:t>以相应的燃料含碳量和碳氧化率，再逐层累加汇总得到，公式如下：</w:t>
      </w:r>
    </w:p>
    <w:p w14:paraId="007C3007">
      <w:pPr>
        <w:spacing w:line="276" w:lineRule="auto"/>
        <w:ind w:firstLine="0" w:firstLineChars="0"/>
        <w:jc w:val="center"/>
        <w:rPr>
          <w:bCs/>
        </w:rPr>
      </w:pPr>
      <w:r>
        <w:rPr>
          <w:bCs/>
        </w:rPr>
        <w:drawing>
          <wp:inline distT="0" distB="0" distL="0" distR="0">
            <wp:extent cx="2476500" cy="428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8"/>
                    <a:stretch>
                      <a:fillRect/>
                    </a:stretch>
                  </pic:blipFill>
                  <pic:spPr>
                    <a:xfrm>
                      <a:off x="0" y="0"/>
                      <a:ext cx="2476500" cy="428625"/>
                    </a:xfrm>
                    <a:prstGeom prst="rect">
                      <a:avLst/>
                    </a:prstGeom>
                  </pic:spPr>
                </pic:pic>
              </a:graphicData>
            </a:graphic>
          </wp:inline>
        </w:drawing>
      </w:r>
    </w:p>
    <w:p w14:paraId="374B2DB2">
      <w:pPr>
        <w:ind w:firstLine="480"/>
        <w:rPr>
          <w:bCs/>
        </w:rPr>
      </w:pPr>
      <w:r>
        <w:rPr>
          <w:bCs/>
        </w:rPr>
        <w:t>式中：</w:t>
      </w:r>
      <w:r>
        <w:rPr>
          <w:rFonts w:eastAsia="Times New Roman"/>
          <w:bCs/>
        </w:rPr>
        <w:t>E</w:t>
      </w:r>
      <w:r>
        <w:rPr>
          <w:rFonts w:eastAsia="Times New Roman"/>
          <w:bCs/>
          <w:szCs w:val="24"/>
          <w:vertAlign w:val="subscript"/>
        </w:rPr>
        <w:t>CO2</w:t>
      </w:r>
      <w:r>
        <w:rPr>
          <w:rFonts w:eastAsia="Times New Roman"/>
          <w:bCs/>
          <w:sz w:val="18"/>
          <w:szCs w:val="18"/>
        </w:rPr>
        <w:t>-</w:t>
      </w:r>
      <w:r>
        <w:rPr>
          <w:bCs/>
          <w:position w:val="-2"/>
          <w:sz w:val="18"/>
          <w:szCs w:val="18"/>
        </w:rPr>
        <w:t>燃烧</w:t>
      </w:r>
      <w:r>
        <w:rPr>
          <w:bCs/>
          <w:position w:val="-2"/>
        </w:rPr>
        <w:t>——</w:t>
      </w:r>
      <w:r>
        <w:rPr>
          <w:bCs/>
        </w:rPr>
        <w:t>企业边界内化石燃料燃烧产生的</w:t>
      </w:r>
      <w:r>
        <w:rPr>
          <w:rFonts w:eastAsia="Times New Roman"/>
          <w:bCs/>
        </w:rPr>
        <w:t>CO</w:t>
      </w:r>
      <w:r>
        <w:rPr>
          <w:rFonts w:eastAsia="Times New Roman"/>
          <w:bCs/>
          <w:vertAlign w:val="subscript"/>
        </w:rPr>
        <w:t>2</w:t>
      </w:r>
      <w:r>
        <w:rPr>
          <w:bCs/>
        </w:rPr>
        <w:t>排放量，单位为吨；</w:t>
      </w:r>
    </w:p>
    <w:p w14:paraId="5A24E57F">
      <w:pPr>
        <w:ind w:firstLine="1274" w:firstLineChars="531"/>
        <w:rPr>
          <w:bCs/>
        </w:rPr>
      </w:pPr>
      <w:r>
        <w:rPr>
          <w:rFonts w:eastAsia="Times New Roman"/>
          <w:bCs/>
        </w:rPr>
        <w:t>i</w:t>
      </w:r>
      <w:r>
        <w:rPr>
          <w:bCs/>
          <w:position w:val="-2"/>
        </w:rPr>
        <w:t>——</w:t>
      </w:r>
      <w:r>
        <w:rPr>
          <w:bCs/>
        </w:rPr>
        <w:t>化石燃料的种类；</w:t>
      </w:r>
    </w:p>
    <w:p w14:paraId="54852AA7">
      <w:pPr>
        <w:ind w:firstLine="1274" w:firstLineChars="531"/>
        <w:rPr>
          <w:bCs/>
        </w:rPr>
      </w:pPr>
      <w:r>
        <w:rPr>
          <w:rFonts w:eastAsia="Times New Roman"/>
          <w:bCs/>
          <w:position w:val="2"/>
        </w:rPr>
        <w:t>AD</w:t>
      </w:r>
      <w:r>
        <w:rPr>
          <w:rFonts w:eastAsia="Times New Roman"/>
          <w:bCs/>
          <w:position w:val="2"/>
          <w:vertAlign w:val="subscript"/>
        </w:rPr>
        <w:t>i</w:t>
      </w:r>
      <w:r>
        <w:rPr>
          <w:bCs/>
          <w:position w:val="-2"/>
        </w:rPr>
        <w:t>——</w:t>
      </w:r>
      <w:r>
        <w:rPr>
          <w:bCs/>
          <w:spacing w:val="-7"/>
          <w:position w:val="2"/>
        </w:rPr>
        <w:t>化石燃料品种</w:t>
      </w:r>
      <w:r>
        <w:rPr>
          <w:rFonts w:eastAsia="Times New Roman"/>
          <w:bCs/>
          <w:position w:val="2"/>
        </w:rPr>
        <w:t>i</w:t>
      </w:r>
      <w:r>
        <w:rPr>
          <w:bCs/>
          <w:position w:val="2"/>
        </w:rPr>
        <w:t>明确用作燃料燃烧的消费量，对固体或液体以吨为单位，</w:t>
      </w:r>
      <w:r>
        <w:rPr>
          <w:bCs/>
        </w:rPr>
        <w:t>对气体燃料以万</w:t>
      </w:r>
      <w:r>
        <w:rPr>
          <w:rFonts w:hint="eastAsia"/>
          <w:bCs/>
        </w:rPr>
        <w:t>Nm</w:t>
      </w:r>
      <w:r>
        <w:rPr>
          <w:rFonts w:hint="eastAsia"/>
          <w:bCs/>
          <w:vertAlign w:val="superscript"/>
        </w:rPr>
        <w:t>3</w:t>
      </w:r>
      <w:r>
        <w:rPr>
          <w:bCs/>
        </w:rPr>
        <w:t>为单位；</w:t>
      </w:r>
    </w:p>
    <w:p w14:paraId="13C229A1">
      <w:pPr>
        <w:ind w:firstLine="1274" w:firstLineChars="531"/>
        <w:rPr>
          <w:bCs/>
        </w:rPr>
      </w:pPr>
      <w:r>
        <w:rPr>
          <w:rFonts w:eastAsia="Times New Roman"/>
          <w:bCs/>
        </w:rPr>
        <w:t>CC</w:t>
      </w:r>
      <w:r>
        <w:rPr>
          <w:rFonts w:eastAsia="Times New Roman"/>
          <w:bCs/>
          <w:vertAlign w:val="subscript"/>
        </w:rPr>
        <w:t>i</w:t>
      </w:r>
      <w:r>
        <w:rPr>
          <w:bCs/>
          <w:position w:val="-2"/>
        </w:rPr>
        <w:t>——</w:t>
      </w:r>
      <w:r>
        <w:rPr>
          <w:bCs/>
          <w:spacing w:val="-8"/>
        </w:rPr>
        <w:t>化石燃料</w:t>
      </w:r>
      <w:r>
        <w:rPr>
          <w:rFonts w:eastAsia="Times New Roman"/>
          <w:bCs/>
        </w:rPr>
        <w:t>i</w:t>
      </w:r>
      <w:r>
        <w:rPr>
          <w:bCs/>
        </w:rPr>
        <w:t>的含碳量，对固体和液体燃料以“吨碳</w:t>
      </w:r>
      <w:r>
        <w:rPr>
          <w:rFonts w:eastAsia="Times New Roman"/>
          <w:bCs/>
        </w:rPr>
        <w:t>/</w:t>
      </w:r>
      <w:r>
        <w:rPr>
          <w:bCs/>
        </w:rPr>
        <w:t>吨”燃料为单位，对气体燃料以“吨碳</w:t>
      </w:r>
      <w:r>
        <w:rPr>
          <w:rFonts w:eastAsia="Times New Roman"/>
          <w:bCs/>
        </w:rPr>
        <w:t>/</w:t>
      </w:r>
      <w:r>
        <w:rPr>
          <w:bCs/>
        </w:rPr>
        <w:t>万</w:t>
      </w:r>
      <w:r>
        <w:rPr>
          <w:rFonts w:hint="eastAsia" w:eastAsiaTheme="minorEastAsia"/>
          <w:bCs/>
        </w:rPr>
        <w:t>Nm</w:t>
      </w:r>
      <w:r>
        <w:rPr>
          <w:rFonts w:hint="eastAsia" w:eastAsiaTheme="minorEastAsia"/>
          <w:bCs/>
          <w:vertAlign w:val="superscript"/>
        </w:rPr>
        <w:t>3</w:t>
      </w:r>
      <w:r>
        <w:rPr>
          <w:bCs/>
        </w:rPr>
        <w:t>”为单位；</w:t>
      </w:r>
      <w:r>
        <w:t>根据《中国化工生产企业温室气体排放核算方法与报告指南（试行）》附录二表</w:t>
      </w:r>
      <w:r>
        <w:rPr>
          <w:rFonts w:eastAsia="Times New Roman"/>
        </w:rPr>
        <w:t>2.1</w:t>
      </w:r>
      <w:r>
        <w:t>，天然气含碳量取</w:t>
      </w:r>
      <w:r>
        <w:rPr>
          <w:rFonts w:eastAsia="Times New Roman"/>
        </w:rPr>
        <w:t>5.9564</w:t>
      </w:r>
      <w:r>
        <w:t>吨碳</w:t>
      </w:r>
      <w:r>
        <w:rPr>
          <w:rFonts w:eastAsia="Times New Roman"/>
        </w:rPr>
        <w:t>/</w:t>
      </w:r>
      <w:r>
        <w:t>万</w:t>
      </w:r>
      <w:r>
        <w:rPr>
          <w:rFonts w:hint="eastAsia" w:eastAsiaTheme="minorEastAsia"/>
        </w:rPr>
        <w:t>m</w:t>
      </w:r>
      <w:r>
        <w:rPr>
          <w:rFonts w:hint="eastAsia" w:eastAsiaTheme="minorEastAsia"/>
          <w:vertAlign w:val="superscript"/>
        </w:rPr>
        <w:t>3</w:t>
      </w:r>
      <w:r>
        <w:t>。</w:t>
      </w:r>
    </w:p>
    <w:p w14:paraId="1AC3BA9D">
      <w:pPr>
        <w:ind w:firstLine="1274" w:firstLineChars="531"/>
        <w:rPr>
          <w:bCs/>
        </w:rPr>
      </w:pPr>
      <w:r>
        <w:rPr>
          <w:rFonts w:eastAsia="Times New Roman"/>
          <w:bCs/>
        </w:rPr>
        <w:t>OF</w:t>
      </w:r>
      <w:r>
        <w:rPr>
          <w:rFonts w:eastAsia="Times New Roman"/>
          <w:bCs/>
          <w:vertAlign w:val="subscript"/>
        </w:rPr>
        <w:t>i</w:t>
      </w:r>
      <w:r>
        <w:rPr>
          <w:bCs/>
          <w:position w:val="-2"/>
        </w:rPr>
        <w:t>——</w:t>
      </w:r>
      <w:r>
        <w:rPr>
          <w:bCs/>
          <w:spacing w:val="-10"/>
        </w:rPr>
        <w:t>化石燃料</w:t>
      </w:r>
      <w:r>
        <w:rPr>
          <w:rFonts w:eastAsia="Times New Roman"/>
          <w:bCs/>
        </w:rPr>
        <w:t>i</w:t>
      </w:r>
      <w:r>
        <w:rPr>
          <w:bCs/>
        </w:rPr>
        <w:t>的碳氧化率，单位为</w:t>
      </w:r>
      <w:r>
        <w:rPr>
          <w:rFonts w:eastAsia="Times New Roman"/>
          <w:bCs/>
        </w:rPr>
        <w:t>%</w:t>
      </w:r>
      <w:r>
        <w:rPr>
          <w:bCs/>
        </w:rPr>
        <w:t>。</w:t>
      </w:r>
    </w:p>
    <w:p w14:paraId="2DB27BFC">
      <w:pPr>
        <w:pStyle w:val="2"/>
        <w:ind w:firstLine="480"/>
      </w:pPr>
      <w:r>
        <w:rPr>
          <w:rFonts w:hint="eastAsia"/>
        </w:rPr>
        <w:t>本项目不使用化石燃料，故</w:t>
      </w:r>
      <w:r>
        <w:rPr>
          <w:rFonts w:eastAsia="Times New Roman"/>
          <w:bCs/>
        </w:rPr>
        <w:t>E</w:t>
      </w:r>
      <w:r>
        <w:rPr>
          <w:rFonts w:eastAsia="Times New Roman"/>
          <w:bCs/>
          <w:szCs w:val="24"/>
          <w:vertAlign w:val="subscript"/>
        </w:rPr>
        <w:t>CO2</w:t>
      </w:r>
      <w:r>
        <w:rPr>
          <w:rFonts w:eastAsia="Times New Roman"/>
          <w:bCs/>
          <w:sz w:val="18"/>
          <w:szCs w:val="18"/>
        </w:rPr>
        <w:t>-</w:t>
      </w:r>
      <w:r>
        <w:rPr>
          <w:bCs/>
          <w:position w:val="-2"/>
          <w:sz w:val="18"/>
          <w:szCs w:val="18"/>
        </w:rPr>
        <w:t>燃烧</w:t>
      </w:r>
      <w:r>
        <w:rPr>
          <w:rFonts w:eastAsia="Times New Roman"/>
          <w:bCs/>
        </w:rPr>
        <w:t>=</w:t>
      </w:r>
      <w:r>
        <w:rPr>
          <w:rFonts w:hint="eastAsia" w:eastAsiaTheme="minorEastAsia"/>
          <w:bCs/>
        </w:rPr>
        <w:t>0。</w:t>
      </w:r>
    </w:p>
    <w:p w14:paraId="01306376">
      <w:pPr>
        <w:ind w:firstLine="482"/>
        <w:outlineLvl w:val="3"/>
        <w:rPr>
          <w:b/>
          <w:bCs/>
        </w:rPr>
      </w:pPr>
      <w:r>
        <w:rPr>
          <w:rFonts w:hint="eastAsia"/>
          <w:b/>
          <w:bCs/>
        </w:rPr>
        <w:t>2、工业生产过程</w:t>
      </w:r>
      <w:r>
        <w:rPr>
          <w:b/>
          <w:bCs/>
        </w:rPr>
        <w:t>CO</w:t>
      </w:r>
      <w:r>
        <w:rPr>
          <w:b/>
          <w:bCs/>
          <w:vertAlign w:val="subscript"/>
        </w:rPr>
        <w:t>2</w:t>
      </w:r>
      <w:r>
        <w:rPr>
          <w:rFonts w:hint="eastAsia"/>
          <w:b/>
          <w:bCs/>
        </w:rPr>
        <w:t>排放</w:t>
      </w:r>
    </w:p>
    <w:p w14:paraId="38645838">
      <w:pPr>
        <w:ind w:firstLine="480"/>
        <w:rPr>
          <w:bCs/>
        </w:rPr>
      </w:pPr>
      <w:r>
        <w:rPr>
          <w:bCs/>
        </w:rPr>
        <w:t>工业生产过程温室气体排放量等于工业生产过程中不同种类的温室气体排放折算成</w:t>
      </w:r>
      <w:r>
        <w:rPr>
          <w:rFonts w:eastAsia="Times New Roman"/>
          <w:bCs/>
          <w:position w:val="2"/>
        </w:rPr>
        <w:t>CO</w:t>
      </w:r>
      <w:r>
        <w:rPr>
          <w:rFonts w:eastAsia="Times New Roman"/>
          <w:bCs/>
          <w:position w:val="2"/>
          <w:vertAlign w:val="subscript"/>
        </w:rPr>
        <w:t>2</w:t>
      </w:r>
      <w:r>
        <w:rPr>
          <w:bCs/>
          <w:position w:val="2"/>
        </w:rPr>
        <w:t>当量后的和</w:t>
      </w:r>
      <w:r>
        <w:rPr>
          <w:rFonts w:hint="eastAsia"/>
          <w:bCs/>
          <w:position w:val="2"/>
        </w:rPr>
        <w:t>。</w:t>
      </w:r>
    </w:p>
    <w:p w14:paraId="62F9FCEA">
      <w:pPr>
        <w:ind w:firstLine="480"/>
        <w:jc w:val="center"/>
        <w:rPr>
          <w:rFonts w:eastAsia="Times New Roman"/>
          <w:bCs/>
          <w:szCs w:val="24"/>
        </w:rPr>
      </w:pPr>
      <w:r>
        <w:rPr>
          <w:rFonts w:eastAsia="Times New Roman"/>
          <w:bCs/>
          <w:position w:val="4"/>
          <w:szCs w:val="24"/>
        </w:rPr>
        <w:t>E</w:t>
      </w:r>
      <w:r>
        <w:rPr>
          <w:rFonts w:eastAsia="Times New Roman"/>
          <w:bCs/>
          <w:position w:val="2"/>
          <w:sz w:val="18"/>
          <w:szCs w:val="18"/>
        </w:rPr>
        <w:t>GHG-</w:t>
      </w:r>
      <w:r>
        <w:rPr>
          <w:bCs/>
          <w:sz w:val="18"/>
          <w:szCs w:val="18"/>
        </w:rPr>
        <w:t>过程</w:t>
      </w:r>
      <w:r>
        <w:rPr>
          <w:rFonts w:eastAsia="Times New Roman"/>
          <w:bCs/>
          <w:position w:val="4"/>
          <w:szCs w:val="24"/>
        </w:rPr>
        <w:t>=E</w:t>
      </w:r>
      <w:r>
        <w:rPr>
          <w:rFonts w:eastAsia="Times New Roman"/>
          <w:bCs/>
          <w:position w:val="2"/>
          <w:sz w:val="18"/>
          <w:szCs w:val="18"/>
        </w:rPr>
        <w:t>CO</w:t>
      </w:r>
      <w:r>
        <w:rPr>
          <w:rFonts w:eastAsia="Times New Roman"/>
          <w:bCs/>
          <w:position w:val="2"/>
          <w:sz w:val="18"/>
          <w:szCs w:val="18"/>
          <w:vertAlign w:val="subscript"/>
        </w:rPr>
        <w:t>2</w:t>
      </w:r>
      <w:r>
        <w:rPr>
          <w:rFonts w:eastAsia="Times New Roman"/>
          <w:bCs/>
          <w:position w:val="2"/>
          <w:sz w:val="18"/>
          <w:szCs w:val="18"/>
        </w:rPr>
        <w:t>-</w:t>
      </w:r>
      <w:r>
        <w:rPr>
          <w:bCs/>
          <w:sz w:val="18"/>
          <w:szCs w:val="18"/>
        </w:rPr>
        <w:t>过程</w:t>
      </w:r>
      <w:r>
        <w:rPr>
          <w:rFonts w:eastAsia="Times New Roman"/>
          <w:bCs/>
          <w:position w:val="4"/>
          <w:szCs w:val="24"/>
        </w:rPr>
        <w:t>+E</w:t>
      </w:r>
      <w:r>
        <w:rPr>
          <w:rFonts w:eastAsia="Times New Roman"/>
          <w:bCs/>
          <w:position w:val="2"/>
          <w:sz w:val="18"/>
          <w:szCs w:val="18"/>
        </w:rPr>
        <w:t>N</w:t>
      </w:r>
      <w:r>
        <w:rPr>
          <w:rFonts w:eastAsia="Times New Roman"/>
          <w:bCs/>
          <w:position w:val="2"/>
          <w:sz w:val="18"/>
          <w:szCs w:val="18"/>
          <w:vertAlign w:val="subscript"/>
        </w:rPr>
        <w:t>2</w:t>
      </w:r>
      <w:r>
        <w:rPr>
          <w:rFonts w:eastAsia="Times New Roman"/>
          <w:bCs/>
          <w:position w:val="2"/>
          <w:sz w:val="18"/>
          <w:szCs w:val="18"/>
        </w:rPr>
        <w:t>O-</w:t>
      </w:r>
      <w:r>
        <w:rPr>
          <w:bCs/>
          <w:sz w:val="18"/>
          <w:szCs w:val="18"/>
        </w:rPr>
        <w:t>过程</w:t>
      </w:r>
      <w:r>
        <w:rPr>
          <w:rFonts w:eastAsia="Arial"/>
          <w:bCs/>
          <w:position w:val="4"/>
          <w:szCs w:val="24"/>
        </w:rPr>
        <w:t>×</w:t>
      </w:r>
      <w:r>
        <w:rPr>
          <w:rFonts w:eastAsia="Times New Roman"/>
          <w:bCs/>
          <w:position w:val="4"/>
          <w:szCs w:val="24"/>
        </w:rPr>
        <w:t>GWP</w:t>
      </w:r>
      <w:r>
        <w:rPr>
          <w:rFonts w:eastAsia="Times New Roman"/>
          <w:bCs/>
          <w:position w:val="2"/>
          <w:sz w:val="18"/>
          <w:szCs w:val="18"/>
        </w:rPr>
        <w:t>N</w:t>
      </w:r>
      <w:r>
        <w:rPr>
          <w:rFonts w:eastAsia="Times New Roman"/>
          <w:bCs/>
          <w:position w:val="2"/>
          <w:sz w:val="18"/>
          <w:szCs w:val="18"/>
          <w:vertAlign w:val="subscript"/>
        </w:rPr>
        <w:t>2</w:t>
      </w:r>
      <w:r>
        <w:rPr>
          <w:rFonts w:eastAsia="Times New Roman"/>
          <w:bCs/>
          <w:position w:val="2"/>
          <w:sz w:val="18"/>
          <w:szCs w:val="18"/>
        </w:rPr>
        <w:t>O</w:t>
      </w:r>
    </w:p>
    <w:p w14:paraId="2B6899D7">
      <w:pPr>
        <w:ind w:firstLine="480"/>
        <w:rPr>
          <w:bCs/>
        </w:rPr>
      </w:pPr>
      <w:r>
        <w:rPr>
          <w:bCs/>
        </w:rPr>
        <w:t>其中：</w:t>
      </w:r>
    </w:p>
    <w:p w14:paraId="66E2981B">
      <w:pPr>
        <w:ind w:firstLine="480"/>
        <w:jc w:val="center"/>
        <w:rPr>
          <w:bCs/>
          <w:szCs w:val="24"/>
        </w:rPr>
      </w:pPr>
      <w:r>
        <w:rPr>
          <w:rFonts w:eastAsia="Times New Roman"/>
          <w:bCs/>
          <w:position w:val="4"/>
          <w:szCs w:val="24"/>
        </w:rPr>
        <w:t>E</w:t>
      </w:r>
      <w:r>
        <w:rPr>
          <w:rFonts w:eastAsia="Times New Roman"/>
          <w:bCs/>
          <w:position w:val="2"/>
          <w:sz w:val="18"/>
          <w:szCs w:val="18"/>
        </w:rPr>
        <w:t>CO</w:t>
      </w:r>
      <w:r>
        <w:rPr>
          <w:rFonts w:eastAsia="Times New Roman"/>
          <w:bCs/>
          <w:position w:val="2"/>
          <w:sz w:val="18"/>
          <w:szCs w:val="18"/>
          <w:vertAlign w:val="subscript"/>
        </w:rPr>
        <w:t>2</w:t>
      </w:r>
      <w:r>
        <w:rPr>
          <w:rFonts w:eastAsia="Times New Roman"/>
          <w:bCs/>
          <w:position w:val="2"/>
          <w:sz w:val="18"/>
          <w:szCs w:val="18"/>
        </w:rPr>
        <w:t>-</w:t>
      </w:r>
      <w:r>
        <w:rPr>
          <w:bCs/>
          <w:sz w:val="18"/>
          <w:szCs w:val="18"/>
        </w:rPr>
        <w:t>过程</w:t>
      </w:r>
      <w:r>
        <w:rPr>
          <w:rFonts w:eastAsia="Times New Roman"/>
          <w:bCs/>
          <w:position w:val="4"/>
          <w:szCs w:val="24"/>
        </w:rPr>
        <w:t>=E</w:t>
      </w:r>
      <w:r>
        <w:rPr>
          <w:rFonts w:eastAsia="Times New Roman"/>
          <w:bCs/>
          <w:position w:val="2"/>
          <w:sz w:val="18"/>
          <w:szCs w:val="18"/>
        </w:rPr>
        <w:t>CO</w:t>
      </w:r>
      <w:r>
        <w:rPr>
          <w:rFonts w:eastAsia="Times New Roman"/>
          <w:bCs/>
          <w:position w:val="2"/>
          <w:sz w:val="18"/>
          <w:szCs w:val="18"/>
          <w:vertAlign w:val="subscript"/>
        </w:rPr>
        <w:t>2</w:t>
      </w:r>
      <w:r>
        <w:rPr>
          <w:rFonts w:eastAsia="Times New Roman"/>
          <w:bCs/>
          <w:position w:val="2"/>
          <w:sz w:val="18"/>
          <w:szCs w:val="18"/>
        </w:rPr>
        <w:t>-</w:t>
      </w:r>
      <w:r>
        <w:rPr>
          <w:bCs/>
          <w:sz w:val="18"/>
          <w:szCs w:val="18"/>
        </w:rPr>
        <w:t>原料</w:t>
      </w:r>
      <w:r>
        <w:rPr>
          <w:rFonts w:eastAsia="Times New Roman"/>
          <w:bCs/>
          <w:position w:val="4"/>
          <w:szCs w:val="24"/>
        </w:rPr>
        <w:t>+E</w:t>
      </w:r>
      <w:r>
        <w:rPr>
          <w:rFonts w:eastAsia="Times New Roman"/>
          <w:bCs/>
          <w:position w:val="2"/>
          <w:sz w:val="18"/>
          <w:szCs w:val="18"/>
        </w:rPr>
        <w:t>CO</w:t>
      </w:r>
      <w:r>
        <w:rPr>
          <w:rFonts w:eastAsia="Times New Roman"/>
          <w:bCs/>
          <w:position w:val="2"/>
          <w:sz w:val="18"/>
          <w:szCs w:val="18"/>
          <w:vertAlign w:val="subscript"/>
        </w:rPr>
        <w:t>2</w:t>
      </w:r>
      <w:r>
        <w:rPr>
          <w:rFonts w:eastAsia="Times New Roman"/>
          <w:bCs/>
          <w:position w:val="2"/>
          <w:sz w:val="18"/>
          <w:szCs w:val="18"/>
        </w:rPr>
        <w:t>-</w:t>
      </w:r>
      <w:r>
        <w:rPr>
          <w:bCs/>
          <w:sz w:val="18"/>
          <w:szCs w:val="18"/>
        </w:rPr>
        <w:t>碳酸盐</w:t>
      </w:r>
    </w:p>
    <w:p w14:paraId="1DF23D32">
      <w:pPr>
        <w:ind w:firstLine="480"/>
        <w:jc w:val="center"/>
        <w:rPr>
          <w:bCs/>
          <w:sz w:val="18"/>
          <w:szCs w:val="18"/>
        </w:rPr>
      </w:pPr>
      <w:r>
        <w:rPr>
          <w:rFonts w:eastAsia="Times New Roman"/>
          <w:bCs/>
          <w:position w:val="3"/>
          <w:szCs w:val="24"/>
        </w:rPr>
        <w:t>E</w:t>
      </w:r>
      <w:r>
        <w:rPr>
          <w:rFonts w:eastAsia="Times New Roman"/>
          <w:bCs/>
          <w:position w:val="2"/>
          <w:sz w:val="18"/>
          <w:szCs w:val="18"/>
        </w:rPr>
        <w:t>N</w:t>
      </w:r>
      <w:r>
        <w:rPr>
          <w:rFonts w:eastAsia="Times New Roman"/>
          <w:bCs/>
          <w:position w:val="2"/>
          <w:sz w:val="18"/>
          <w:szCs w:val="18"/>
          <w:vertAlign w:val="subscript"/>
        </w:rPr>
        <w:t>2</w:t>
      </w:r>
      <w:r>
        <w:rPr>
          <w:rFonts w:eastAsia="Times New Roman"/>
          <w:bCs/>
          <w:position w:val="2"/>
          <w:sz w:val="18"/>
          <w:szCs w:val="18"/>
        </w:rPr>
        <w:t>O-</w:t>
      </w:r>
      <w:r>
        <w:rPr>
          <w:bCs/>
          <w:sz w:val="18"/>
          <w:szCs w:val="18"/>
        </w:rPr>
        <w:t>过程</w:t>
      </w:r>
      <w:r>
        <w:rPr>
          <w:rFonts w:eastAsia="Times New Roman"/>
          <w:bCs/>
          <w:position w:val="3"/>
          <w:szCs w:val="24"/>
        </w:rPr>
        <w:t>=E</w:t>
      </w:r>
      <w:r>
        <w:rPr>
          <w:rFonts w:eastAsia="Times New Roman"/>
          <w:bCs/>
          <w:position w:val="2"/>
          <w:sz w:val="18"/>
          <w:szCs w:val="18"/>
        </w:rPr>
        <w:t>N</w:t>
      </w:r>
      <w:r>
        <w:rPr>
          <w:rFonts w:eastAsia="Times New Roman"/>
          <w:bCs/>
          <w:position w:val="2"/>
          <w:sz w:val="18"/>
          <w:szCs w:val="18"/>
          <w:vertAlign w:val="subscript"/>
        </w:rPr>
        <w:t>2</w:t>
      </w:r>
      <w:r>
        <w:rPr>
          <w:rFonts w:eastAsia="Times New Roman"/>
          <w:bCs/>
          <w:position w:val="2"/>
          <w:sz w:val="18"/>
          <w:szCs w:val="18"/>
        </w:rPr>
        <w:t>O-</w:t>
      </w:r>
      <w:r>
        <w:rPr>
          <w:bCs/>
          <w:sz w:val="18"/>
          <w:szCs w:val="18"/>
        </w:rPr>
        <w:t>硝酸</w:t>
      </w:r>
      <w:r>
        <w:rPr>
          <w:rFonts w:eastAsia="Times New Roman"/>
          <w:bCs/>
          <w:position w:val="3"/>
          <w:szCs w:val="24"/>
        </w:rPr>
        <w:t>+E</w:t>
      </w:r>
      <w:r>
        <w:rPr>
          <w:rFonts w:eastAsia="Times New Roman"/>
          <w:bCs/>
          <w:position w:val="2"/>
          <w:sz w:val="18"/>
          <w:szCs w:val="18"/>
        </w:rPr>
        <w:t>N</w:t>
      </w:r>
      <w:r>
        <w:rPr>
          <w:rFonts w:eastAsia="Times New Roman"/>
          <w:bCs/>
          <w:position w:val="2"/>
          <w:sz w:val="18"/>
          <w:szCs w:val="18"/>
          <w:vertAlign w:val="subscript"/>
        </w:rPr>
        <w:t>2</w:t>
      </w:r>
      <w:r>
        <w:rPr>
          <w:rFonts w:eastAsia="Times New Roman"/>
          <w:bCs/>
          <w:position w:val="2"/>
          <w:sz w:val="18"/>
          <w:szCs w:val="18"/>
        </w:rPr>
        <w:t>O-</w:t>
      </w:r>
      <w:r>
        <w:rPr>
          <w:bCs/>
          <w:sz w:val="18"/>
          <w:szCs w:val="18"/>
        </w:rPr>
        <w:t>己二酸</w:t>
      </w:r>
    </w:p>
    <w:p w14:paraId="71226487">
      <w:pPr>
        <w:ind w:firstLine="480"/>
        <w:rPr>
          <w:bCs/>
        </w:rPr>
      </w:pPr>
      <w:r>
        <w:rPr>
          <w:bCs/>
        </w:rPr>
        <w:t>式中：</w:t>
      </w:r>
      <w:r>
        <w:rPr>
          <w:rFonts w:eastAsia="Times New Roman"/>
          <w:bCs/>
          <w:position w:val="4"/>
        </w:rPr>
        <w:t>E</w:t>
      </w:r>
      <w:r>
        <w:rPr>
          <w:rFonts w:eastAsia="Times New Roman"/>
          <w:bCs/>
          <w:position w:val="2"/>
          <w:sz w:val="18"/>
          <w:szCs w:val="18"/>
        </w:rPr>
        <w:t>CO</w:t>
      </w:r>
      <w:r>
        <w:rPr>
          <w:rFonts w:eastAsia="Times New Roman"/>
          <w:bCs/>
          <w:position w:val="2"/>
          <w:sz w:val="18"/>
          <w:szCs w:val="18"/>
          <w:vertAlign w:val="subscript"/>
        </w:rPr>
        <w:t>2</w:t>
      </w:r>
      <w:r>
        <w:rPr>
          <w:rFonts w:eastAsia="Times New Roman"/>
          <w:bCs/>
          <w:position w:val="2"/>
          <w:sz w:val="18"/>
          <w:szCs w:val="18"/>
        </w:rPr>
        <w:t>-</w:t>
      </w:r>
      <w:r>
        <w:rPr>
          <w:bCs/>
          <w:sz w:val="18"/>
          <w:szCs w:val="18"/>
        </w:rPr>
        <w:t>原料</w:t>
      </w:r>
      <w:r>
        <w:rPr>
          <w:bCs/>
          <w:position w:val="-2"/>
        </w:rPr>
        <w:t>——</w:t>
      </w:r>
      <w:r>
        <w:rPr>
          <w:bCs/>
        </w:rPr>
        <w:t>化石燃料和其它碳氢化合物用作原材料产生的</w:t>
      </w:r>
      <w:r>
        <w:rPr>
          <w:rFonts w:eastAsia="Times New Roman"/>
          <w:bCs/>
        </w:rPr>
        <w:t>CO</w:t>
      </w:r>
      <w:r>
        <w:rPr>
          <w:rFonts w:eastAsia="Times New Roman"/>
          <w:bCs/>
          <w:vertAlign w:val="subscript"/>
        </w:rPr>
        <w:t>2</w:t>
      </w:r>
      <w:r>
        <w:rPr>
          <w:bCs/>
        </w:rPr>
        <w:t>排放；</w:t>
      </w:r>
    </w:p>
    <w:p w14:paraId="4F77862E">
      <w:pPr>
        <w:ind w:firstLine="1132" w:firstLineChars="472"/>
        <w:rPr>
          <w:bCs/>
        </w:rPr>
      </w:pPr>
      <w:r>
        <w:rPr>
          <w:rFonts w:eastAsia="Times New Roman"/>
          <w:bCs/>
          <w:position w:val="4"/>
        </w:rPr>
        <w:t>E</w:t>
      </w:r>
      <w:r>
        <w:rPr>
          <w:rFonts w:eastAsia="Times New Roman"/>
          <w:bCs/>
          <w:position w:val="2"/>
          <w:sz w:val="18"/>
          <w:szCs w:val="18"/>
        </w:rPr>
        <w:t>CO</w:t>
      </w:r>
      <w:r>
        <w:rPr>
          <w:rFonts w:eastAsia="Times New Roman"/>
          <w:bCs/>
          <w:position w:val="2"/>
          <w:sz w:val="18"/>
          <w:szCs w:val="18"/>
          <w:vertAlign w:val="subscript"/>
        </w:rPr>
        <w:t>2</w:t>
      </w:r>
      <w:r>
        <w:rPr>
          <w:rFonts w:eastAsia="Times New Roman"/>
          <w:bCs/>
          <w:position w:val="2"/>
          <w:sz w:val="18"/>
          <w:szCs w:val="18"/>
        </w:rPr>
        <w:t>-</w:t>
      </w:r>
      <w:r>
        <w:rPr>
          <w:bCs/>
          <w:sz w:val="18"/>
          <w:szCs w:val="18"/>
        </w:rPr>
        <w:t>碳酸盐</w:t>
      </w:r>
      <w:r>
        <w:rPr>
          <w:bCs/>
          <w:position w:val="-2"/>
        </w:rPr>
        <w:t>——</w:t>
      </w:r>
      <w:r>
        <w:rPr>
          <w:bCs/>
        </w:rPr>
        <w:t>碳酸盐使用过程产生的</w:t>
      </w:r>
      <w:r>
        <w:rPr>
          <w:rFonts w:eastAsia="Times New Roman"/>
          <w:bCs/>
        </w:rPr>
        <w:t>CO</w:t>
      </w:r>
      <w:r>
        <w:rPr>
          <w:rFonts w:eastAsia="Times New Roman"/>
          <w:bCs/>
          <w:vertAlign w:val="subscript"/>
        </w:rPr>
        <w:t>2</w:t>
      </w:r>
      <w:r>
        <w:rPr>
          <w:bCs/>
        </w:rPr>
        <w:t>排放；</w:t>
      </w:r>
    </w:p>
    <w:p w14:paraId="3763655C">
      <w:pPr>
        <w:ind w:firstLine="1132" w:firstLineChars="472"/>
        <w:rPr>
          <w:bCs/>
        </w:rPr>
      </w:pPr>
      <w:r>
        <w:rPr>
          <w:rFonts w:eastAsia="Times New Roman"/>
          <w:bCs/>
          <w:position w:val="3"/>
        </w:rPr>
        <w:t>E</w:t>
      </w:r>
      <w:r>
        <w:rPr>
          <w:rFonts w:eastAsia="Times New Roman"/>
          <w:bCs/>
          <w:position w:val="2"/>
          <w:sz w:val="18"/>
          <w:szCs w:val="18"/>
        </w:rPr>
        <w:t>N</w:t>
      </w:r>
      <w:r>
        <w:rPr>
          <w:rFonts w:eastAsia="Times New Roman"/>
          <w:bCs/>
          <w:position w:val="2"/>
          <w:sz w:val="18"/>
          <w:szCs w:val="18"/>
          <w:vertAlign w:val="subscript"/>
        </w:rPr>
        <w:t>2</w:t>
      </w:r>
      <w:r>
        <w:rPr>
          <w:rFonts w:eastAsia="Times New Roman"/>
          <w:bCs/>
          <w:position w:val="2"/>
          <w:sz w:val="18"/>
          <w:szCs w:val="18"/>
        </w:rPr>
        <w:t>O-</w:t>
      </w:r>
      <w:r>
        <w:rPr>
          <w:bCs/>
          <w:sz w:val="18"/>
          <w:szCs w:val="18"/>
        </w:rPr>
        <w:t>硝酸</w:t>
      </w:r>
      <w:r>
        <w:rPr>
          <w:bCs/>
          <w:position w:val="-2"/>
        </w:rPr>
        <w:t>——</w:t>
      </w:r>
      <w:r>
        <w:rPr>
          <w:bCs/>
        </w:rPr>
        <w:t>硝酸生产过程的</w:t>
      </w:r>
      <w:r>
        <w:rPr>
          <w:rFonts w:eastAsia="Times New Roman"/>
          <w:bCs/>
        </w:rPr>
        <w:t>N</w:t>
      </w:r>
      <w:r>
        <w:rPr>
          <w:rFonts w:eastAsia="Times New Roman"/>
          <w:bCs/>
          <w:vertAlign w:val="subscript"/>
        </w:rPr>
        <w:t>2</w:t>
      </w:r>
      <w:r>
        <w:rPr>
          <w:rFonts w:eastAsia="Times New Roman"/>
          <w:bCs/>
        </w:rPr>
        <w:t>O</w:t>
      </w:r>
      <w:r>
        <w:rPr>
          <w:bCs/>
        </w:rPr>
        <w:t>排放；</w:t>
      </w:r>
    </w:p>
    <w:p w14:paraId="7B343B4E">
      <w:pPr>
        <w:ind w:firstLine="1132" w:firstLineChars="472"/>
        <w:rPr>
          <w:bCs/>
        </w:rPr>
      </w:pPr>
      <w:r>
        <w:rPr>
          <w:rFonts w:eastAsia="Times New Roman"/>
          <w:bCs/>
          <w:position w:val="3"/>
        </w:rPr>
        <w:t>E</w:t>
      </w:r>
      <w:r>
        <w:rPr>
          <w:rFonts w:eastAsia="Times New Roman"/>
          <w:bCs/>
          <w:position w:val="2"/>
          <w:sz w:val="18"/>
          <w:szCs w:val="18"/>
        </w:rPr>
        <w:t>N</w:t>
      </w:r>
      <w:r>
        <w:rPr>
          <w:rFonts w:eastAsia="Times New Roman"/>
          <w:bCs/>
          <w:position w:val="2"/>
          <w:sz w:val="18"/>
          <w:szCs w:val="18"/>
          <w:vertAlign w:val="subscript"/>
        </w:rPr>
        <w:t>2</w:t>
      </w:r>
      <w:r>
        <w:rPr>
          <w:rFonts w:eastAsia="Times New Roman"/>
          <w:bCs/>
          <w:position w:val="2"/>
          <w:sz w:val="18"/>
          <w:szCs w:val="18"/>
        </w:rPr>
        <w:t>O-</w:t>
      </w:r>
      <w:r>
        <w:rPr>
          <w:bCs/>
          <w:sz w:val="18"/>
          <w:szCs w:val="18"/>
        </w:rPr>
        <w:t>己二酸</w:t>
      </w:r>
      <w:r>
        <w:rPr>
          <w:bCs/>
          <w:position w:val="-2"/>
        </w:rPr>
        <w:t>——</w:t>
      </w:r>
      <w:r>
        <w:rPr>
          <w:bCs/>
        </w:rPr>
        <w:t>己二酸生产过程的</w:t>
      </w:r>
      <w:r>
        <w:rPr>
          <w:rFonts w:eastAsia="Times New Roman"/>
          <w:bCs/>
        </w:rPr>
        <w:t>N</w:t>
      </w:r>
      <w:r>
        <w:rPr>
          <w:rFonts w:eastAsia="Times New Roman"/>
          <w:bCs/>
          <w:vertAlign w:val="subscript"/>
        </w:rPr>
        <w:t>2</w:t>
      </w:r>
      <w:r>
        <w:rPr>
          <w:rFonts w:eastAsia="Times New Roman"/>
          <w:bCs/>
        </w:rPr>
        <w:t>O</w:t>
      </w:r>
      <w:r>
        <w:rPr>
          <w:bCs/>
        </w:rPr>
        <w:t>排放；</w:t>
      </w:r>
    </w:p>
    <w:p w14:paraId="067F99F7">
      <w:pPr>
        <w:ind w:firstLine="480"/>
      </w:pPr>
      <w:r>
        <w:rPr>
          <w:rFonts w:eastAsia="Times New Roman"/>
          <w:bCs/>
        </w:rPr>
        <w:t>GWP</w:t>
      </w:r>
      <w:r>
        <w:rPr>
          <w:rFonts w:eastAsia="Times New Roman"/>
          <w:bCs/>
          <w:vertAlign w:val="subscript"/>
        </w:rPr>
        <w:t>N2O</w:t>
      </w:r>
      <w:r>
        <w:rPr>
          <w:bCs/>
          <w:position w:val="-2"/>
        </w:rPr>
        <w:t>——</w:t>
      </w:r>
      <w:r>
        <w:rPr>
          <w:rFonts w:eastAsia="Times New Roman"/>
          <w:bCs/>
        </w:rPr>
        <w:t>N</w:t>
      </w:r>
      <w:r>
        <w:rPr>
          <w:rFonts w:eastAsia="Times New Roman"/>
          <w:bCs/>
          <w:vertAlign w:val="subscript"/>
        </w:rPr>
        <w:t>2</w:t>
      </w:r>
      <w:r>
        <w:rPr>
          <w:rFonts w:eastAsia="Times New Roman"/>
          <w:bCs/>
        </w:rPr>
        <w:t>O</w:t>
      </w:r>
      <w:r>
        <w:rPr>
          <w:bCs/>
        </w:rPr>
        <w:t>相比</w:t>
      </w:r>
      <w:r>
        <w:rPr>
          <w:rFonts w:eastAsia="Times New Roman"/>
          <w:bCs/>
        </w:rPr>
        <w:t>CO</w:t>
      </w:r>
      <w:r>
        <w:rPr>
          <w:rFonts w:eastAsia="Times New Roman"/>
          <w:bCs/>
          <w:vertAlign w:val="subscript"/>
        </w:rPr>
        <w:t>2</w:t>
      </w:r>
      <w:r>
        <w:rPr>
          <w:bCs/>
        </w:rPr>
        <w:t>的全球变暖潜势（</w:t>
      </w:r>
      <w:r>
        <w:rPr>
          <w:rFonts w:eastAsia="Times New Roman"/>
          <w:bCs/>
        </w:rPr>
        <w:t>GWP</w:t>
      </w:r>
      <w:r>
        <w:rPr>
          <w:bCs/>
        </w:rPr>
        <w:t>）值。根据</w:t>
      </w:r>
      <w:r>
        <w:rPr>
          <w:rFonts w:eastAsia="Times New Roman"/>
          <w:bCs/>
        </w:rPr>
        <w:t>IPCC</w:t>
      </w:r>
      <w:r>
        <w:rPr>
          <w:bCs/>
        </w:rPr>
        <w:t>第二次评估报告，</w:t>
      </w:r>
      <w:r>
        <w:rPr>
          <w:rFonts w:eastAsia="Times New Roman"/>
          <w:bCs/>
        </w:rPr>
        <w:t>100</w:t>
      </w:r>
      <w:r>
        <w:rPr>
          <w:bCs/>
        </w:rPr>
        <w:t>年时间尺度内</w:t>
      </w:r>
      <w:r>
        <w:rPr>
          <w:rFonts w:eastAsia="Times New Roman"/>
          <w:bCs/>
        </w:rPr>
        <w:t>1</w:t>
      </w:r>
      <w:r>
        <w:rPr>
          <w:bCs/>
        </w:rPr>
        <w:t>吨</w:t>
      </w:r>
      <w:r>
        <w:rPr>
          <w:rFonts w:eastAsia="Times New Roman"/>
          <w:bCs/>
        </w:rPr>
        <w:t>N</w:t>
      </w:r>
      <w:r>
        <w:rPr>
          <w:rFonts w:eastAsia="Times New Roman"/>
          <w:bCs/>
          <w:vertAlign w:val="subscript"/>
        </w:rPr>
        <w:t>2</w:t>
      </w:r>
      <w:r>
        <w:rPr>
          <w:rFonts w:eastAsia="Times New Roman"/>
          <w:bCs/>
        </w:rPr>
        <w:t>O</w:t>
      </w:r>
      <w:r>
        <w:rPr>
          <w:bCs/>
        </w:rPr>
        <w:t>相当于</w:t>
      </w:r>
      <w:r>
        <w:rPr>
          <w:rFonts w:eastAsia="Times New Roman"/>
          <w:bCs/>
        </w:rPr>
        <w:t>310</w:t>
      </w:r>
      <w:r>
        <w:rPr>
          <w:bCs/>
        </w:rPr>
        <w:t>吨</w:t>
      </w:r>
      <w:r>
        <w:rPr>
          <w:rFonts w:eastAsia="Times New Roman"/>
          <w:bCs/>
        </w:rPr>
        <w:t>CO</w:t>
      </w:r>
      <w:r>
        <w:rPr>
          <w:rFonts w:eastAsia="Times New Roman"/>
          <w:bCs/>
          <w:vertAlign w:val="subscript"/>
        </w:rPr>
        <w:t>2</w:t>
      </w:r>
      <w:r>
        <w:rPr>
          <w:bCs/>
        </w:rPr>
        <w:t>的增温能力，因此等于</w:t>
      </w:r>
      <w:r>
        <w:rPr>
          <w:rFonts w:eastAsia="Times New Roman"/>
          <w:bCs/>
        </w:rPr>
        <w:t>310</w:t>
      </w:r>
      <w:r>
        <w:rPr>
          <w:bCs/>
        </w:rPr>
        <w:t>。</w:t>
      </w:r>
    </w:p>
    <w:p w14:paraId="43FB2CE9">
      <w:pPr>
        <w:ind w:firstLine="480"/>
      </w:pPr>
      <w:r>
        <w:t>（1）原材料消耗产生的CO</w:t>
      </w:r>
      <w:r>
        <w:rPr>
          <w:vertAlign w:val="subscript"/>
        </w:rPr>
        <w:t>2</w:t>
      </w:r>
      <w:r>
        <w:t>排放</w:t>
      </w:r>
    </w:p>
    <w:p w14:paraId="15F6B133">
      <w:pPr>
        <w:ind w:firstLine="480"/>
      </w:pPr>
      <w:r>
        <w:t>化石燃料和其它碳氢化合物用作原材料产生的</w:t>
      </w:r>
      <w:r>
        <w:rPr>
          <w:rFonts w:eastAsia="Times New Roman"/>
        </w:rPr>
        <w:t>CO</w:t>
      </w:r>
      <w:r>
        <w:rPr>
          <w:rFonts w:eastAsia="Times New Roman"/>
          <w:vertAlign w:val="subscript"/>
        </w:rPr>
        <w:t>2</w:t>
      </w:r>
      <w:r>
        <w:t>排放，根据原材料输入的碳量以及产品输出的碳量按碳质量平衡法计算：</w:t>
      </w:r>
    </w:p>
    <w:p w14:paraId="33F8C11A">
      <w:pPr>
        <w:ind w:firstLine="480"/>
      </w:pPr>
      <w:r>
        <w:rPr>
          <w:rFonts w:eastAsia="Times New Roman"/>
          <w:position w:val="4"/>
        </w:rPr>
        <w:t>E</w:t>
      </w:r>
      <w:r>
        <w:rPr>
          <w:rFonts w:eastAsia="Times New Roman"/>
          <w:sz w:val="18"/>
          <w:szCs w:val="18"/>
        </w:rPr>
        <w:t>CO</w:t>
      </w:r>
      <w:r>
        <w:rPr>
          <w:rFonts w:eastAsia="Times New Roman"/>
          <w:sz w:val="18"/>
          <w:szCs w:val="18"/>
          <w:vertAlign w:val="subscript"/>
        </w:rPr>
        <w:t>2</w:t>
      </w:r>
      <w:r>
        <w:rPr>
          <w:rFonts w:eastAsia="Times New Roman"/>
          <w:sz w:val="18"/>
          <w:szCs w:val="18"/>
        </w:rPr>
        <w:t>-</w:t>
      </w:r>
      <w:r>
        <w:rPr>
          <w:sz w:val="18"/>
          <w:szCs w:val="18"/>
        </w:rPr>
        <w:t>原料</w:t>
      </w:r>
      <w:r>
        <w:t>={∑</w:t>
      </w:r>
      <w:r>
        <w:rPr>
          <w:vertAlign w:val="subscript"/>
        </w:rPr>
        <w:t>r</w:t>
      </w:r>
      <w:r>
        <w:t>（AD</w:t>
      </w:r>
      <w:r>
        <w:rPr>
          <w:vertAlign w:val="subscript"/>
        </w:rPr>
        <w:t>r</w:t>
      </w:r>
      <w:r>
        <w:t>×CC</w:t>
      </w:r>
      <w:r>
        <w:rPr>
          <w:vertAlign w:val="subscript"/>
        </w:rPr>
        <w:t>r</w:t>
      </w:r>
      <w:r>
        <w:t>）</w:t>
      </w:r>
      <w:r>
        <w:rPr>
          <w:rFonts w:eastAsia="微软雅黑"/>
        </w:rPr>
        <w:t>-</w:t>
      </w:r>
      <w:r>
        <w:t>[∑</w:t>
      </w:r>
      <w:r>
        <w:rPr>
          <w:vertAlign w:val="subscript"/>
        </w:rPr>
        <w:t>p</w:t>
      </w:r>
      <w:r>
        <w:t>（AD</w:t>
      </w:r>
      <w:r>
        <w:rPr>
          <w:vertAlign w:val="subscript"/>
        </w:rPr>
        <w:t>p</w:t>
      </w:r>
      <w:r>
        <w:t>×CC</w:t>
      </w:r>
      <w:r>
        <w:rPr>
          <w:vertAlign w:val="subscript"/>
        </w:rPr>
        <w:t>p</w:t>
      </w:r>
      <w:r>
        <w:t>）</w:t>
      </w:r>
      <w:r>
        <w:rPr>
          <w:rFonts w:eastAsia="微软雅黑"/>
        </w:rPr>
        <w:t>+</w:t>
      </w:r>
      <w:r>
        <w:t>∑</w:t>
      </w:r>
      <w:r>
        <w:rPr>
          <w:vertAlign w:val="subscript"/>
        </w:rPr>
        <w:t>w</w:t>
      </w:r>
      <w:r>
        <w:t>（AD</w:t>
      </w:r>
      <w:r>
        <w:rPr>
          <w:vertAlign w:val="subscript"/>
        </w:rPr>
        <w:t>w</w:t>
      </w:r>
      <w:r>
        <w:t>×CC</w:t>
      </w:r>
      <w:r>
        <w:rPr>
          <w:vertAlign w:val="subscript"/>
        </w:rPr>
        <w:t>w</w:t>
      </w:r>
      <w:r>
        <w:t>）]}×44/12</w:t>
      </w:r>
    </w:p>
    <w:p w14:paraId="6914D889">
      <w:pPr>
        <w:ind w:firstLine="480"/>
      </w:pPr>
      <w:r>
        <w:t>式中</w:t>
      </w:r>
      <w:r>
        <w:rPr>
          <w:rFonts w:hint="eastAsia"/>
        </w:rPr>
        <w:t>：</w:t>
      </w:r>
      <w:r>
        <w:rPr>
          <w:rFonts w:eastAsia="Times New Roman"/>
          <w:position w:val="4"/>
        </w:rPr>
        <w:t>E</w:t>
      </w:r>
      <w:r>
        <w:rPr>
          <w:rFonts w:eastAsia="Times New Roman"/>
          <w:position w:val="2"/>
          <w:sz w:val="18"/>
          <w:szCs w:val="18"/>
        </w:rPr>
        <w:t>CO</w:t>
      </w:r>
      <w:r>
        <w:rPr>
          <w:rFonts w:eastAsia="Times New Roman"/>
          <w:position w:val="2"/>
          <w:sz w:val="18"/>
          <w:szCs w:val="18"/>
          <w:vertAlign w:val="subscript"/>
        </w:rPr>
        <w:t>2</w:t>
      </w:r>
      <w:r>
        <w:rPr>
          <w:rFonts w:eastAsia="Times New Roman"/>
          <w:position w:val="2"/>
          <w:sz w:val="18"/>
          <w:szCs w:val="18"/>
        </w:rPr>
        <w:t>-</w:t>
      </w:r>
      <w:r>
        <w:rPr>
          <w:sz w:val="18"/>
          <w:szCs w:val="18"/>
        </w:rPr>
        <w:t>原料</w:t>
      </w:r>
      <w:r>
        <w:rPr>
          <w:position w:val="-2"/>
        </w:rPr>
        <w:t>——</w:t>
      </w:r>
      <w:r>
        <w:t>化石燃料和其它碳氢化合物用作原材料产生的</w:t>
      </w:r>
      <w:r>
        <w:rPr>
          <w:rFonts w:eastAsia="Times New Roman"/>
        </w:rPr>
        <w:t>CO</w:t>
      </w:r>
      <w:r>
        <w:rPr>
          <w:rFonts w:eastAsia="Times New Roman"/>
          <w:vertAlign w:val="subscript"/>
        </w:rPr>
        <w:t>2</w:t>
      </w:r>
      <w:r>
        <w:t>排放，单位为吨；</w:t>
      </w:r>
    </w:p>
    <w:p w14:paraId="5FC3F4A8">
      <w:pPr>
        <w:ind w:firstLine="1132" w:firstLineChars="472"/>
      </w:pPr>
      <w:r>
        <w:rPr>
          <w:rFonts w:eastAsia="Times New Roman"/>
        </w:rPr>
        <w:t>r</w:t>
      </w:r>
      <w:r>
        <w:rPr>
          <w:position w:val="-2"/>
        </w:rPr>
        <w:t>——</w:t>
      </w:r>
      <w:r>
        <w:t>进入企业边界的原材料种类，如具体品种的化石燃料、具体名称的碳氢化合</w:t>
      </w:r>
      <w:r>
        <w:rPr>
          <w:position w:val="2"/>
        </w:rPr>
        <w:t>物、碳电极以及</w:t>
      </w:r>
      <w:r>
        <w:rPr>
          <w:rFonts w:eastAsia="Times New Roman"/>
          <w:position w:val="2"/>
        </w:rPr>
        <w:t>CO</w:t>
      </w:r>
      <w:r>
        <w:rPr>
          <w:rFonts w:eastAsia="Times New Roman"/>
          <w:position w:val="2"/>
          <w:vertAlign w:val="subscript"/>
        </w:rPr>
        <w:t>2</w:t>
      </w:r>
      <w:r>
        <w:rPr>
          <w:position w:val="2"/>
        </w:rPr>
        <w:t>原料；</w:t>
      </w:r>
      <w:r>
        <w:rPr>
          <w:rFonts w:hint="eastAsia"/>
          <w:position w:val="2"/>
        </w:rPr>
        <w:t>本项目使用碳酸氢钠产生二氧化碳，r=1。</w:t>
      </w:r>
    </w:p>
    <w:p w14:paraId="7B8DB8A7">
      <w:pPr>
        <w:ind w:firstLine="991" w:firstLineChars="413"/>
        <w:rPr>
          <w:rFonts w:eastAsiaTheme="minorEastAsia"/>
          <w:bCs/>
        </w:rPr>
      </w:pPr>
      <w:r>
        <w:t>ADr——原材料r的投入量，对固体或液体原料以吨为单位，对气体原</w:t>
      </w:r>
      <w:r>
        <w:rPr>
          <w:bCs/>
          <w:spacing w:val="-2"/>
          <w:position w:val="2"/>
        </w:rPr>
        <w:t>料以万</w:t>
      </w:r>
      <w:r>
        <w:rPr>
          <w:rFonts w:eastAsia="Times New Roman"/>
          <w:bCs/>
          <w:position w:val="2"/>
        </w:rPr>
        <w:t>Nm</w:t>
      </w:r>
      <w:r>
        <w:rPr>
          <w:rFonts w:eastAsia="Times New Roman"/>
          <w:bCs/>
          <w:position w:val="2"/>
          <w:vertAlign w:val="superscript"/>
        </w:rPr>
        <w:t>3</w:t>
      </w:r>
      <w:r>
        <w:rPr>
          <w:bCs/>
        </w:rPr>
        <w:t>为单位；</w:t>
      </w:r>
      <w:r>
        <w:rPr>
          <w:rFonts w:hint="eastAsia"/>
          <w:bCs/>
        </w:rPr>
        <w:t>本项目碳酸氢钠投入量为25吨/年。</w:t>
      </w:r>
    </w:p>
    <w:p w14:paraId="06F1E6E4">
      <w:pPr>
        <w:ind w:firstLine="991" w:firstLineChars="413"/>
        <w:rPr>
          <w:bCs/>
        </w:rPr>
      </w:pPr>
      <w:r>
        <w:rPr>
          <w:rFonts w:eastAsia="Times New Roman"/>
          <w:bCs/>
          <w:position w:val="2"/>
        </w:rPr>
        <w:t>CC</w:t>
      </w:r>
      <w:r>
        <w:rPr>
          <w:rFonts w:eastAsia="Times New Roman"/>
          <w:bCs/>
          <w:position w:val="2"/>
          <w:vertAlign w:val="subscript"/>
        </w:rPr>
        <w:t>r</w:t>
      </w:r>
      <w:r>
        <w:rPr>
          <w:bCs/>
          <w:position w:val="-2"/>
        </w:rPr>
        <w:t>——</w:t>
      </w:r>
      <w:r>
        <w:rPr>
          <w:bCs/>
          <w:spacing w:val="-11"/>
          <w:position w:val="2"/>
        </w:rPr>
        <w:t>原材料</w:t>
      </w:r>
      <w:r>
        <w:rPr>
          <w:rFonts w:eastAsia="Times New Roman"/>
          <w:bCs/>
          <w:position w:val="2"/>
        </w:rPr>
        <w:t>r</w:t>
      </w:r>
      <w:r>
        <w:rPr>
          <w:bCs/>
          <w:position w:val="2"/>
        </w:rPr>
        <w:t>的含碳量，对固体或液体原料以吨碳碱原料为单位，对气体原料</w:t>
      </w:r>
      <w:r>
        <w:rPr>
          <w:bCs/>
        </w:rPr>
        <w:t>以吨碳</w:t>
      </w:r>
      <w:r>
        <w:rPr>
          <w:rFonts w:eastAsia="Times New Roman"/>
          <w:bCs/>
        </w:rPr>
        <w:t>/</w:t>
      </w:r>
      <w:r>
        <w:rPr>
          <w:bCs/>
        </w:rPr>
        <w:t>万</w:t>
      </w:r>
      <w:r>
        <w:rPr>
          <w:rFonts w:eastAsia="Times New Roman"/>
          <w:bCs/>
          <w:position w:val="2"/>
        </w:rPr>
        <w:t>Nm</w:t>
      </w:r>
      <w:r>
        <w:rPr>
          <w:rFonts w:eastAsia="Times New Roman"/>
          <w:bCs/>
          <w:position w:val="2"/>
          <w:vertAlign w:val="superscript"/>
        </w:rPr>
        <w:t>3</w:t>
      </w:r>
      <w:r>
        <w:rPr>
          <w:bCs/>
        </w:rPr>
        <w:t>为单位；</w:t>
      </w:r>
      <w:r>
        <w:rPr>
          <w:rFonts w:hint="eastAsia"/>
          <w:bCs/>
        </w:rPr>
        <w:t>本项目碳酸氢钠含碳量约为3.57吨。</w:t>
      </w:r>
    </w:p>
    <w:p w14:paraId="09337500">
      <w:pPr>
        <w:ind w:firstLine="991" w:firstLineChars="413"/>
        <w:rPr>
          <w:bCs/>
        </w:rPr>
      </w:pPr>
      <w:r>
        <w:rPr>
          <w:rFonts w:eastAsia="Times New Roman"/>
          <w:bCs/>
        </w:rPr>
        <w:t>p</w:t>
      </w:r>
      <w:r>
        <w:rPr>
          <w:bCs/>
          <w:position w:val="-2"/>
        </w:rPr>
        <w:t>——</w:t>
      </w:r>
      <w:r>
        <w:rPr>
          <w:bCs/>
        </w:rPr>
        <w:t>流出企业边界的含碳产品种类，包括各种具体名称的主产品、联产产品、副产品等</w:t>
      </w:r>
      <w:r>
        <w:rPr>
          <w:rFonts w:hint="eastAsia"/>
          <w:bCs/>
        </w:rPr>
        <w:t>；本项目p=1。</w:t>
      </w:r>
    </w:p>
    <w:p w14:paraId="161C2F02">
      <w:pPr>
        <w:ind w:firstLine="991" w:firstLineChars="413"/>
        <w:rPr>
          <w:bCs/>
        </w:rPr>
      </w:pPr>
      <w:r>
        <w:rPr>
          <w:rFonts w:eastAsia="Times New Roman"/>
          <w:bCs/>
          <w:position w:val="2"/>
        </w:rPr>
        <w:t>AD</w:t>
      </w:r>
      <w:r>
        <w:rPr>
          <w:rFonts w:eastAsia="Times New Roman"/>
          <w:bCs/>
          <w:position w:val="2"/>
          <w:vertAlign w:val="subscript"/>
        </w:rPr>
        <w:t>p</w:t>
      </w:r>
      <w:r>
        <w:rPr>
          <w:bCs/>
          <w:position w:val="-2"/>
        </w:rPr>
        <w:t>——</w:t>
      </w:r>
      <w:r>
        <w:rPr>
          <w:bCs/>
          <w:spacing w:val="-7"/>
          <w:position w:val="2"/>
        </w:rPr>
        <w:t>含碳产品</w:t>
      </w:r>
      <w:r>
        <w:rPr>
          <w:rFonts w:eastAsia="Times New Roman"/>
          <w:bCs/>
          <w:position w:val="2"/>
        </w:rPr>
        <w:t>p</w:t>
      </w:r>
      <w:r>
        <w:rPr>
          <w:bCs/>
          <w:position w:val="2"/>
        </w:rPr>
        <w:t>的产量，对固体或液体产品以吨为单位，对气体产品以万</w:t>
      </w:r>
      <w:r>
        <w:rPr>
          <w:rFonts w:eastAsia="Times New Roman"/>
          <w:bCs/>
          <w:position w:val="2"/>
        </w:rPr>
        <w:t>m</w:t>
      </w:r>
      <w:r>
        <w:rPr>
          <w:rFonts w:eastAsia="Times New Roman"/>
          <w:bCs/>
          <w:position w:val="2"/>
          <w:vertAlign w:val="superscript"/>
        </w:rPr>
        <w:t>3</w:t>
      </w:r>
      <w:r>
        <w:rPr>
          <w:bCs/>
        </w:rPr>
        <w:t>为单位；</w:t>
      </w:r>
      <w:r>
        <w:rPr>
          <w:rFonts w:hint="eastAsia"/>
          <w:bCs/>
        </w:rPr>
        <w:t>本项目</w:t>
      </w:r>
      <w:r>
        <w:rPr>
          <w:rFonts w:eastAsia="Times New Roman"/>
          <w:bCs/>
          <w:position w:val="2"/>
        </w:rPr>
        <w:t>AD</w:t>
      </w:r>
      <w:r>
        <w:rPr>
          <w:rFonts w:eastAsia="Times New Roman"/>
          <w:bCs/>
          <w:position w:val="2"/>
          <w:vertAlign w:val="subscript"/>
        </w:rPr>
        <w:t>p</w:t>
      </w:r>
      <w:r>
        <w:rPr>
          <w:rFonts w:hint="eastAsia"/>
          <w:bCs/>
        </w:rPr>
        <w:t xml:space="preserve"> =0.0775吨。</w:t>
      </w:r>
    </w:p>
    <w:p w14:paraId="5244276F">
      <w:pPr>
        <w:ind w:firstLine="991" w:firstLineChars="413"/>
        <w:rPr>
          <w:bCs/>
        </w:rPr>
      </w:pPr>
      <w:r>
        <w:rPr>
          <w:rFonts w:eastAsia="Times New Roman"/>
          <w:bCs/>
        </w:rPr>
        <w:t>w</w:t>
      </w:r>
      <w:r>
        <w:rPr>
          <w:bCs/>
          <w:position w:val="-2"/>
        </w:rPr>
        <w:t>——</w:t>
      </w:r>
      <w:r>
        <w:rPr>
          <w:bCs/>
        </w:rPr>
        <w:t>为流出企业边界且没有计入产品范畴的其它含碳输出物种类，如炉渣、粉尘、污泥等含碳的废物；</w:t>
      </w:r>
      <w:r>
        <w:rPr>
          <w:rFonts w:hint="eastAsia"/>
          <w:bCs/>
        </w:rPr>
        <w:t>本项目w=2。</w:t>
      </w:r>
    </w:p>
    <w:p w14:paraId="1BA9A0A6">
      <w:pPr>
        <w:ind w:firstLine="991" w:firstLineChars="413"/>
        <w:rPr>
          <w:rFonts w:eastAsiaTheme="minorEastAsia"/>
          <w:bCs/>
        </w:rPr>
      </w:pPr>
      <w:r>
        <w:rPr>
          <w:rFonts w:eastAsia="Times New Roman"/>
          <w:bCs/>
          <w:position w:val="2"/>
        </w:rPr>
        <w:t>AD</w:t>
      </w:r>
      <w:r>
        <w:rPr>
          <w:rFonts w:eastAsia="Times New Roman"/>
          <w:bCs/>
          <w:position w:val="2"/>
          <w:vertAlign w:val="subscript"/>
        </w:rPr>
        <w:t>w</w:t>
      </w:r>
      <w:r>
        <w:rPr>
          <w:bCs/>
          <w:position w:val="-2"/>
        </w:rPr>
        <w:t>——</w:t>
      </w:r>
      <w:r>
        <w:rPr>
          <w:bCs/>
          <w:spacing w:val="-10"/>
          <w:position w:val="2"/>
        </w:rPr>
        <w:t>为含碳废物</w:t>
      </w:r>
      <w:r>
        <w:rPr>
          <w:rFonts w:eastAsia="Times New Roman"/>
          <w:bCs/>
          <w:position w:val="2"/>
        </w:rPr>
        <w:t>w</w:t>
      </w:r>
      <w:r>
        <w:rPr>
          <w:bCs/>
          <w:position w:val="2"/>
        </w:rPr>
        <w:t>的输出量，单位为吨；</w:t>
      </w:r>
      <w:r>
        <w:rPr>
          <w:rFonts w:hint="eastAsia"/>
          <w:bCs/>
        </w:rPr>
        <w:t>本项目</w:t>
      </w:r>
      <w:r>
        <w:rPr>
          <w:rFonts w:eastAsia="Times New Roman"/>
          <w:bCs/>
          <w:position w:val="2"/>
        </w:rPr>
        <w:t>AD</w:t>
      </w:r>
      <w:r>
        <w:rPr>
          <w:rFonts w:eastAsia="Times New Roman"/>
          <w:bCs/>
          <w:position w:val="2"/>
          <w:vertAlign w:val="subscript"/>
        </w:rPr>
        <w:t>w</w:t>
      </w:r>
      <w:r>
        <w:rPr>
          <w:rFonts w:hint="eastAsia" w:eastAsiaTheme="minorEastAsia"/>
          <w:bCs/>
          <w:position w:val="2"/>
          <w:vertAlign w:val="subscript"/>
        </w:rPr>
        <w:t>1</w:t>
      </w:r>
      <w:r>
        <w:rPr>
          <w:rFonts w:hint="eastAsia" w:eastAsiaTheme="minorEastAsia"/>
          <w:bCs/>
          <w:position w:val="2"/>
        </w:rPr>
        <w:t>=8.68吨，</w:t>
      </w:r>
      <w:r>
        <w:rPr>
          <w:rFonts w:eastAsia="Times New Roman"/>
          <w:bCs/>
          <w:position w:val="2"/>
        </w:rPr>
        <w:t>AD</w:t>
      </w:r>
      <w:r>
        <w:rPr>
          <w:rFonts w:eastAsia="Times New Roman"/>
          <w:bCs/>
          <w:position w:val="2"/>
          <w:vertAlign w:val="subscript"/>
        </w:rPr>
        <w:t>w</w:t>
      </w:r>
      <w:r>
        <w:rPr>
          <w:rFonts w:hint="eastAsia" w:eastAsiaTheme="minorEastAsia"/>
          <w:bCs/>
          <w:position w:val="2"/>
          <w:vertAlign w:val="subscript"/>
        </w:rPr>
        <w:t>2</w:t>
      </w:r>
      <w:r>
        <w:rPr>
          <w:rFonts w:hint="eastAsia" w:eastAsiaTheme="minorEastAsia"/>
          <w:bCs/>
          <w:position w:val="2"/>
        </w:rPr>
        <w:t>=8.3525吨。</w:t>
      </w:r>
    </w:p>
    <w:p w14:paraId="282B0054">
      <w:pPr>
        <w:ind w:firstLine="991" w:firstLineChars="413"/>
        <w:rPr>
          <w:rFonts w:eastAsiaTheme="minorEastAsia"/>
          <w:bCs/>
        </w:rPr>
      </w:pPr>
      <w:r>
        <w:rPr>
          <w:rFonts w:eastAsia="Times New Roman"/>
          <w:bCs/>
          <w:position w:val="2"/>
        </w:rPr>
        <w:t>CC</w:t>
      </w:r>
      <w:r>
        <w:rPr>
          <w:rFonts w:eastAsia="Times New Roman"/>
          <w:bCs/>
          <w:position w:val="2"/>
          <w:vertAlign w:val="subscript"/>
        </w:rPr>
        <w:t>w</w:t>
      </w:r>
      <w:r>
        <w:rPr>
          <w:bCs/>
          <w:position w:val="-2"/>
        </w:rPr>
        <w:t>——</w:t>
      </w:r>
      <w:r>
        <w:rPr>
          <w:bCs/>
          <w:spacing w:val="-11"/>
          <w:position w:val="2"/>
        </w:rPr>
        <w:t>为含碳废物</w:t>
      </w:r>
      <w:r>
        <w:rPr>
          <w:rFonts w:eastAsia="Times New Roman"/>
          <w:bCs/>
          <w:position w:val="2"/>
        </w:rPr>
        <w:t>w</w:t>
      </w:r>
      <w:r>
        <w:rPr>
          <w:bCs/>
          <w:position w:val="2"/>
        </w:rPr>
        <w:t>的含碳量，单位为吨碳</w:t>
      </w:r>
      <w:r>
        <w:rPr>
          <w:rFonts w:eastAsia="Times New Roman"/>
          <w:bCs/>
          <w:position w:val="2"/>
        </w:rPr>
        <w:t>/</w:t>
      </w:r>
      <w:r>
        <w:rPr>
          <w:bCs/>
          <w:position w:val="2"/>
        </w:rPr>
        <w:t>吨废物。</w:t>
      </w:r>
      <w:r>
        <w:rPr>
          <w:rFonts w:hint="eastAsia"/>
          <w:bCs/>
        </w:rPr>
        <w:t>本项目</w:t>
      </w:r>
      <w:r>
        <w:rPr>
          <w:rFonts w:hint="eastAsia" w:eastAsiaTheme="minorEastAsia"/>
          <w:bCs/>
          <w:position w:val="2"/>
        </w:rPr>
        <w:t>CC</w:t>
      </w:r>
      <w:r>
        <w:rPr>
          <w:rFonts w:eastAsia="Times New Roman"/>
          <w:bCs/>
          <w:position w:val="2"/>
          <w:vertAlign w:val="subscript"/>
        </w:rPr>
        <w:t>w</w:t>
      </w:r>
      <w:r>
        <w:rPr>
          <w:rFonts w:hint="eastAsia" w:eastAsiaTheme="minorEastAsia"/>
          <w:bCs/>
          <w:position w:val="2"/>
          <w:vertAlign w:val="subscript"/>
        </w:rPr>
        <w:t>1</w:t>
      </w:r>
      <w:r>
        <w:rPr>
          <w:rFonts w:hint="eastAsia" w:eastAsiaTheme="minorEastAsia"/>
          <w:bCs/>
          <w:position w:val="2"/>
        </w:rPr>
        <w:t>=2.3673吨，CC</w:t>
      </w:r>
      <w:r>
        <w:rPr>
          <w:rFonts w:eastAsia="Times New Roman"/>
          <w:bCs/>
          <w:position w:val="2"/>
          <w:vertAlign w:val="subscript"/>
        </w:rPr>
        <w:t>w</w:t>
      </w:r>
      <w:r>
        <w:rPr>
          <w:rFonts w:hint="eastAsia" w:eastAsiaTheme="minorEastAsia"/>
          <w:bCs/>
          <w:position w:val="2"/>
          <w:vertAlign w:val="subscript"/>
        </w:rPr>
        <w:t>2</w:t>
      </w:r>
      <w:r>
        <w:rPr>
          <w:rFonts w:hint="eastAsia" w:eastAsiaTheme="minorEastAsia"/>
          <w:bCs/>
          <w:position w:val="2"/>
        </w:rPr>
        <w:t>=1.1932吨。</w:t>
      </w:r>
    </w:p>
    <w:p w14:paraId="5584B32E">
      <w:pPr>
        <w:ind w:firstLine="743" w:firstLineChars="413"/>
        <w:rPr>
          <w:bCs/>
          <w:sz w:val="18"/>
        </w:rPr>
      </w:pPr>
    </w:p>
    <w:p w14:paraId="51FF6419">
      <w:pPr>
        <w:pStyle w:val="2"/>
        <w:ind w:firstLine="480"/>
      </w:pPr>
      <w:r>
        <w:t>根据前文分析，项目</w:t>
      </w:r>
      <w:r>
        <w:rPr>
          <w:rFonts w:hint="eastAsia"/>
        </w:rPr>
        <w:t>无化石燃料，</w:t>
      </w:r>
      <w:r>
        <w:t>本项为</w:t>
      </w:r>
      <w:r>
        <w:rPr>
          <w:rFonts w:eastAsia="Times New Roman"/>
          <w:position w:val="4"/>
        </w:rPr>
        <w:t>E</w:t>
      </w:r>
      <w:r>
        <w:rPr>
          <w:rFonts w:eastAsia="Times New Roman"/>
          <w:sz w:val="18"/>
          <w:szCs w:val="18"/>
        </w:rPr>
        <w:t>CO</w:t>
      </w:r>
      <w:r>
        <w:rPr>
          <w:rFonts w:eastAsia="Times New Roman"/>
          <w:sz w:val="18"/>
          <w:szCs w:val="18"/>
          <w:vertAlign w:val="subscript"/>
        </w:rPr>
        <w:t>2</w:t>
      </w:r>
      <w:r>
        <w:rPr>
          <w:rFonts w:eastAsia="Times New Roman"/>
          <w:sz w:val="18"/>
          <w:szCs w:val="18"/>
        </w:rPr>
        <w:t>-</w:t>
      </w:r>
      <w:r>
        <w:rPr>
          <w:sz w:val="18"/>
          <w:szCs w:val="18"/>
        </w:rPr>
        <w:t>原料</w:t>
      </w:r>
      <w:r>
        <w:t>=</w:t>
      </w:r>
      <w:r>
        <w:rPr>
          <w:rFonts w:hint="eastAsia"/>
        </w:rPr>
        <w:t>（25</w:t>
      </w:r>
      <w:r>
        <w:rPr>
          <w:szCs w:val="24"/>
        </w:rPr>
        <w:t>×</w:t>
      </w:r>
      <w:r>
        <w:rPr>
          <w:rFonts w:hint="eastAsia"/>
          <w:szCs w:val="24"/>
        </w:rPr>
        <w:t>3.75-（0.0775</w:t>
      </w:r>
      <w:r>
        <w:rPr>
          <w:szCs w:val="24"/>
        </w:rPr>
        <w:t>×</w:t>
      </w:r>
      <w:r>
        <w:rPr>
          <w:rFonts w:hint="eastAsia"/>
          <w:szCs w:val="24"/>
        </w:rPr>
        <w:t>0.0111+8.68</w:t>
      </w:r>
      <w:r>
        <w:rPr>
          <w:szCs w:val="24"/>
        </w:rPr>
        <w:t>×</w:t>
      </w:r>
      <w:r>
        <w:rPr>
          <w:rFonts w:hint="eastAsia"/>
          <w:szCs w:val="24"/>
        </w:rPr>
        <w:t>2.3673+8.3525</w:t>
      </w:r>
      <w:r>
        <w:rPr>
          <w:szCs w:val="24"/>
        </w:rPr>
        <w:t>×</w:t>
      </w:r>
      <w:r>
        <w:rPr>
          <w:rFonts w:hint="eastAsia"/>
          <w:szCs w:val="24"/>
        </w:rPr>
        <w:t>1.1932））</w:t>
      </w:r>
      <w:r>
        <w:t>×44/12</w:t>
      </w:r>
      <w:r>
        <w:rPr>
          <w:rFonts w:hint="eastAsia"/>
          <w:szCs w:val="24"/>
        </w:rPr>
        <w:t>=231.9吨</w:t>
      </w:r>
      <w:r>
        <w:t>。</w:t>
      </w:r>
    </w:p>
    <w:p w14:paraId="0D507C70">
      <w:pPr>
        <w:ind w:firstLine="480"/>
        <w:rPr>
          <w:bCs/>
          <w14:ligatures w14:val="standardContextual"/>
        </w:rPr>
      </w:pPr>
      <w:r>
        <w:rPr>
          <w:bCs/>
          <w:position w:val="2"/>
          <w14:ligatures w14:val="standardContextual"/>
        </w:rPr>
        <w:t>（</w:t>
      </w:r>
      <w:r>
        <w:rPr>
          <w:rFonts w:hint="eastAsia"/>
          <w:bCs/>
          <w:position w:val="2"/>
          <w14:ligatures w14:val="standardContextual"/>
        </w:rPr>
        <w:t>2</w:t>
      </w:r>
      <w:r>
        <w:rPr>
          <w:bCs/>
          <w:position w:val="2"/>
          <w14:ligatures w14:val="standardContextual"/>
        </w:rPr>
        <w:t>）碳酸盐使用过程产生的CO</w:t>
      </w:r>
      <w:r>
        <w:rPr>
          <w:bCs/>
          <w:position w:val="2"/>
          <w:vertAlign w:val="subscript"/>
          <w14:ligatures w14:val="standardContextual"/>
        </w:rPr>
        <w:t>2</w:t>
      </w:r>
      <w:r>
        <w:rPr>
          <w:bCs/>
          <w:position w:val="2"/>
          <w14:ligatures w14:val="standardContextual"/>
        </w:rPr>
        <w:t>排放</w:t>
      </w:r>
    </w:p>
    <w:p w14:paraId="63C28012">
      <w:pPr>
        <w:ind w:firstLine="480"/>
        <w:rPr>
          <w:bCs/>
          <w14:ligatures w14:val="standardContextual"/>
        </w:rPr>
      </w:pPr>
      <w:r>
        <w:rPr>
          <w:rFonts w:hint="eastAsia"/>
          <w:bCs/>
          <w14:ligatures w14:val="standardContextual"/>
        </w:rPr>
        <w:t>碳酸盐使用过程产生的</w:t>
      </w:r>
      <w:r>
        <w:rPr>
          <w:bCs/>
          <w:position w:val="2"/>
          <w14:ligatures w14:val="standardContextual"/>
        </w:rPr>
        <w:t>CO</w:t>
      </w:r>
      <w:r>
        <w:rPr>
          <w:bCs/>
          <w:position w:val="2"/>
          <w:vertAlign w:val="subscript"/>
          <w14:ligatures w14:val="standardContextual"/>
        </w:rPr>
        <w:t>2</w:t>
      </w:r>
      <w:r>
        <w:rPr>
          <w:bCs/>
          <w:position w:val="2"/>
          <w14:ligatures w14:val="standardContextual"/>
        </w:rPr>
        <w:t>排放根据每种碳酸盐的使用量及其CO</w:t>
      </w:r>
      <w:r>
        <w:rPr>
          <w:bCs/>
          <w:position w:val="2"/>
          <w:vertAlign w:val="subscript"/>
          <w14:ligatures w14:val="standardContextual"/>
        </w:rPr>
        <w:t>2</w:t>
      </w:r>
      <w:r>
        <w:rPr>
          <w:bCs/>
          <w:position w:val="2"/>
          <w14:ligatures w14:val="standardContextual"/>
        </w:rPr>
        <w:t>排放因子计算：</w:t>
      </w:r>
    </w:p>
    <w:p w14:paraId="37B812E6">
      <w:pPr>
        <w:ind w:firstLine="0" w:firstLineChars="0"/>
        <w:jc w:val="center"/>
        <w:rPr>
          <w:bCs/>
          <w14:ligatures w14:val="standardContextual"/>
        </w:rPr>
      </w:pPr>
      <w:r>
        <w:rPr>
          <w:rFonts w:eastAsia="Times New Roman"/>
          <w:bCs/>
          <w:position w:val="4"/>
          <w14:ligatures w14:val="standardContextual"/>
        </w:rPr>
        <w:t>E</w:t>
      </w:r>
      <w:r>
        <w:rPr>
          <w:rFonts w:eastAsia="Times New Roman"/>
          <w:bCs/>
          <w:position w:val="2"/>
          <w:sz w:val="18"/>
          <w:szCs w:val="18"/>
          <w14:ligatures w14:val="standardContextual"/>
        </w:rPr>
        <w:t>CO</w:t>
      </w:r>
      <w:r>
        <w:rPr>
          <w:rFonts w:eastAsia="Times New Roman"/>
          <w:bCs/>
          <w:position w:val="2"/>
          <w:sz w:val="18"/>
          <w:szCs w:val="18"/>
          <w:vertAlign w:val="subscript"/>
          <w14:ligatures w14:val="standardContextual"/>
        </w:rPr>
        <w:t>2</w:t>
      </w:r>
      <w:r>
        <w:rPr>
          <w:rFonts w:eastAsia="Times New Roman"/>
          <w:bCs/>
          <w:position w:val="2"/>
          <w:sz w:val="18"/>
          <w:szCs w:val="18"/>
          <w14:ligatures w14:val="standardContextual"/>
        </w:rPr>
        <w:t>-</w:t>
      </w:r>
      <w:r>
        <w:rPr>
          <w:bCs/>
          <w:sz w:val="18"/>
          <w:szCs w:val="18"/>
          <w14:ligatures w14:val="standardContextual"/>
        </w:rPr>
        <w:t>碳酸盐</w:t>
      </w:r>
      <w:r>
        <w:rPr>
          <w:bCs/>
          <w14:ligatures w14:val="standardContextual"/>
        </w:rPr>
        <w:t>=∑</w:t>
      </w:r>
      <w:r>
        <w:rPr>
          <w:rFonts w:hint="eastAsia"/>
          <w:bCs/>
          <w:vertAlign w:val="subscript"/>
          <w14:ligatures w14:val="standardContextual"/>
        </w:rPr>
        <w:t>i</w:t>
      </w:r>
      <w:r>
        <w:rPr>
          <w:bCs/>
          <w14:ligatures w14:val="standardContextual"/>
        </w:rPr>
        <w:t>（AD</w:t>
      </w:r>
      <w:r>
        <w:rPr>
          <w:rFonts w:hint="eastAsia"/>
          <w:bCs/>
          <w:vertAlign w:val="subscript"/>
          <w14:ligatures w14:val="standardContextual"/>
        </w:rPr>
        <w:t>i</w:t>
      </w:r>
      <w:r>
        <w:rPr>
          <w:bCs/>
          <w14:ligatures w14:val="standardContextual"/>
        </w:rPr>
        <w:t>×</w:t>
      </w:r>
      <w:r>
        <w:rPr>
          <w:rFonts w:hint="eastAsia"/>
          <w:bCs/>
          <w14:ligatures w14:val="standardContextual"/>
        </w:rPr>
        <w:t>EF</w:t>
      </w:r>
      <w:r>
        <w:rPr>
          <w:rFonts w:hint="eastAsia"/>
          <w:bCs/>
          <w:vertAlign w:val="subscript"/>
          <w14:ligatures w14:val="standardContextual"/>
        </w:rPr>
        <w:t>i</w:t>
      </w:r>
      <w:r>
        <w:rPr>
          <w:bCs/>
          <w14:ligatures w14:val="standardContextual"/>
        </w:rPr>
        <w:t>×</w:t>
      </w:r>
      <w:r>
        <w:rPr>
          <w:rFonts w:hint="eastAsia"/>
          <w:bCs/>
          <w14:ligatures w14:val="standardContextual"/>
        </w:rPr>
        <w:t>PUR</w:t>
      </w:r>
      <w:r>
        <w:rPr>
          <w:rFonts w:hint="eastAsia"/>
          <w:bCs/>
          <w:vertAlign w:val="subscript"/>
          <w14:ligatures w14:val="standardContextual"/>
        </w:rPr>
        <w:t>i</w:t>
      </w:r>
      <w:r>
        <w:rPr>
          <w:bCs/>
          <w14:ligatures w14:val="standardContextual"/>
        </w:rPr>
        <w:t>）</w:t>
      </w:r>
    </w:p>
    <w:p w14:paraId="2BB9CBA9">
      <w:pPr>
        <w:ind w:firstLine="480"/>
        <w:rPr>
          <w:bCs/>
          <w14:ligatures w14:val="standardContextual"/>
        </w:rPr>
      </w:pPr>
      <w:r>
        <w:rPr>
          <w:rFonts w:hint="eastAsia"/>
          <w:bCs/>
          <w14:ligatures w14:val="standardContextual"/>
        </w:rPr>
        <w:t>式中：</w:t>
      </w:r>
      <w:r>
        <w:rPr>
          <w:rFonts w:eastAsia="Times New Roman"/>
          <w:bCs/>
          <w:position w:val="4"/>
          <w14:ligatures w14:val="standardContextual"/>
        </w:rPr>
        <w:t>E</w:t>
      </w:r>
      <w:r>
        <w:rPr>
          <w:rFonts w:eastAsia="Times New Roman"/>
          <w:bCs/>
          <w:position w:val="2"/>
          <w:sz w:val="18"/>
          <w:szCs w:val="18"/>
          <w14:ligatures w14:val="standardContextual"/>
        </w:rPr>
        <w:t>CO</w:t>
      </w:r>
      <w:r>
        <w:rPr>
          <w:rFonts w:eastAsia="Times New Roman"/>
          <w:bCs/>
          <w:position w:val="2"/>
          <w:sz w:val="18"/>
          <w:szCs w:val="18"/>
          <w:vertAlign w:val="subscript"/>
          <w14:ligatures w14:val="standardContextual"/>
        </w:rPr>
        <w:t>2</w:t>
      </w:r>
      <w:r>
        <w:rPr>
          <w:rFonts w:eastAsia="Times New Roman"/>
          <w:bCs/>
          <w:position w:val="2"/>
          <w:sz w:val="18"/>
          <w:szCs w:val="18"/>
          <w14:ligatures w14:val="standardContextual"/>
        </w:rPr>
        <w:t>-</w:t>
      </w:r>
      <w:r>
        <w:rPr>
          <w:bCs/>
          <w:sz w:val="18"/>
          <w:szCs w:val="18"/>
          <w14:ligatures w14:val="standardContextual"/>
        </w:rPr>
        <w:t>碳酸盐</w:t>
      </w:r>
      <w:r>
        <w:rPr>
          <w:bCs/>
          <w:position w:val="-2"/>
          <w14:ligatures w14:val="standardContextual"/>
        </w:rPr>
        <w:t>——碳酸盐使用过程中产生的</w:t>
      </w:r>
      <w:r>
        <w:rPr>
          <w:rFonts w:eastAsia="Times New Roman"/>
          <w:bCs/>
          <w14:ligatures w14:val="standardContextual"/>
        </w:rPr>
        <w:t>CO</w:t>
      </w:r>
      <w:r>
        <w:rPr>
          <w:rFonts w:eastAsia="Times New Roman"/>
          <w:bCs/>
          <w:vertAlign w:val="subscript"/>
          <w14:ligatures w14:val="standardContextual"/>
        </w:rPr>
        <w:t>2</w:t>
      </w:r>
      <w:r>
        <w:rPr>
          <w:bCs/>
          <w14:ligatures w14:val="standardContextual"/>
        </w:rPr>
        <w:t>排放量，单位为吨；</w:t>
      </w:r>
    </w:p>
    <w:p w14:paraId="11C6DE86">
      <w:pPr>
        <w:ind w:firstLine="1132" w:firstLineChars="472"/>
        <w:rPr>
          <w:bCs/>
          <w14:ligatures w14:val="standardContextual"/>
        </w:rPr>
      </w:pPr>
      <w:r>
        <w:rPr>
          <w:bCs/>
          <w14:ligatures w14:val="standardContextual"/>
        </w:rPr>
        <w:t>i</w:t>
      </w:r>
      <w:r>
        <w:rPr>
          <w:bCs/>
          <w:position w:val="-2"/>
          <w14:ligatures w14:val="standardContextual"/>
        </w:rPr>
        <w:t>——</w:t>
      </w:r>
      <w:r>
        <w:rPr>
          <w:bCs/>
          <w14:ligatures w14:val="standardContextual"/>
        </w:rPr>
        <w:t>碳酸盐的种类</w:t>
      </w:r>
      <w:r>
        <w:rPr>
          <w:bCs/>
          <w:position w:val="2"/>
          <w14:ligatures w14:val="standardContextual"/>
        </w:rPr>
        <w:t>；</w:t>
      </w:r>
    </w:p>
    <w:p w14:paraId="15538323">
      <w:pPr>
        <w:ind w:firstLine="1132" w:firstLineChars="472"/>
        <w:rPr>
          <w:bCs/>
          <w14:ligatures w14:val="standardContextual"/>
        </w:rPr>
      </w:pPr>
      <w:r>
        <w:rPr>
          <w:rFonts w:eastAsia="Times New Roman"/>
          <w:bCs/>
          <w:position w:val="2"/>
          <w14:ligatures w14:val="standardContextual"/>
        </w:rPr>
        <w:t>AD</w:t>
      </w:r>
      <w:r>
        <w:rPr>
          <w:bCs/>
          <w:position w:val="2"/>
          <w:vertAlign w:val="subscript"/>
          <w14:ligatures w14:val="standardContextual"/>
        </w:rPr>
        <w:t>i</w:t>
      </w:r>
      <w:r>
        <w:rPr>
          <w:bCs/>
          <w:position w:val="-2"/>
          <w14:ligatures w14:val="standardContextual"/>
        </w:rPr>
        <w:t>——</w:t>
      </w:r>
      <w:r>
        <w:rPr>
          <w:bCs/>
          <w:spacing w:val="-12"/>
          <w:position w:val="2"/>
          <w14:ligatures w14:val="standardContextual"/>
        </w:rPr>
        <w:t>碳酸盐i用于原材料、助熔剂和脱硫剂的总消费量，</w:t>
      </w:r>
      <w:r>
        <w:rPr>
          <w:bCs/>
          <w14:ligatures w14:val="standardContextual"/>
        </w:rPr>
        <w:t>单位为吨；</w:t>
      </w:r>
    </w:p>
    <w:p w14:paraId="3FDAA1FE">
      <w:pPr>
        <w:ind w:firstLine="1132" w:firstLineChars="472"/>
        <w:rPr>
          <w:bCs/>
          <w14:ligatures w14:val="standardContextual"/>
        </w:rPr>
      </w:pPr>
      <w:r>
        <w:rPr>
          <w:rFonts w:hint="eastAsia"/>
          <w:bCs/>
          <w14:ligatures w14:val="standardContextual"/>
        </w:rPr>
        <w:t>EF</w:t>
      </w:r>
      <w:r>
        <w:rPr>
          <w:rFonts w:hint="eastAsia"/>
          <w:bCs/>
          <w:vertAlign w:val="subscript"/>
          <w14:ligatures w14:val="standardContextual"/>
        </w:rPr>
        <w:t>i</w:t>
      </w:r>
      <w:r>
        <w:rPr>
          <w:bCs/>
          <w:position w:val="-2"/>
          <w14:ligatures w14:val="standardContextual"/>
        </w:rPr>
        <w:t>——</w:t>
      </w:r>
      <w:r>
        <w:rPr>
          <w:bCs/>
          <w:spacing w:val="-12"/>
          <w:position w:val="2"/>
          <w14:ligatures w14:val="standardContextual"/>
        </w:rPr>
        <w:t>碳酸盐i的</w:t>
      </w:r>
      <w:r>
        <w:rPr>
          <w:rFonts w:eastAsia="Times New Roman"/>
          <w:bCs/>
          <w14:ligatures w14:val="standardContextual"/>
        </w:rPr>
        <w:t>CO</w:t>
      </w:r>
      <w:r>
        <w:rPr>
          <w:rFonts w:eastAsia="Times New Roman"/>
          <w:bCs/>
          <w:vertAlign w:val="subscript"/>
          <w14:ligatures w14:val="standardContextual"/>
        </w:rPr>
        <w:t>2</w:t>
      </w:r>
      <w:r>
        <w:rPr>
          <w:bCs/>
          <w14:ligatures w14:val="standardContextual"/>
        </w:rPr>
        <w:t>排放因子，单位为吨</w:t>
      </w:r>
      <w:r>
        <w:rPr>
          <w:rFonts w:eastAsia="Times New Roman"/>
          <w:bCs/>
          <w14:ligatures w14:val="standardContextual"/>
        </w:rPr>
        <w:t>CO</w:t>
      </w:r>
      <w:r>
        <w:rPr>
          <w:rFonts w:eastAsia="Times New Roman"/>
          <w:bCs/>
          <w:vertAlign w:val="subscript"/>
          <w14:ligatures w14:val="standardContextual"/>
        </w:rPr>
        <w:t>2</w:t>
      </w:r>
      <w:r>
        <w:rPr>
          <w:rFonts w:hint="eastAsia"/>
          <w:bCs/>
          <w14:ligatures w14:val="standardContextual"/>
        </w:rPr>
        <w:t>/吨碳酸盐i</w:t>
      </w:r>
      <w:r>
        <w:rPr>
          <w:bCs/>
          <w14:ligatures w14:val="standardContextual"/>
        </w:rPr>
        <w:t>；</w:t>
      </w:r>
      <w:r>
        <w:rPr>
          <w:rFonts w:hint="eastAsia"/>
          <w:bCs/>
          <w14:ligatures w14:val="standardContextual"/>
        </w:rPr>
        <w:t>本项目不产生碳酸盐；</w:t>
      </w:r>
    </w:p>
    <w:p w14:paraId="418563AA">
      <w:pPr>
        <w:ind w:firstLine="1132" w:firstLineChars="472"/>
        <w:rPr>
          <w:bCs/>
          <w14:ligatures w14:val="standardContextual"/>
        </w:rPr>
      </w:pPr>
      <w:r>
        <w:rPr>
          <w:rFonts w:hint="eastAsia"/>
          <w:bCs/>
          <w14:ligatures w14:val="standardContextual"/>
        </w:rPr>
        <w:t>PUR</w:t>
      </w:r>
      <w:r>
        <w:rPr>
          <w:rFonts w:hint="eastAsia"/>
          <w:bCs/>
          <w:vertAlign w:val="subscript"/>
          <w14:ligatures w14:val="standardContextual"/>
        </w:rPr>
        <w:t>i</w:t>
      </w:r>
      <w:r>
        <w:rPr>
          <w:bCs/>
          <w:position w:val="-2"/>
          <w14:ligatures w14:val="standardContextual"/>
        </w:rPr>
        <w:t>——</w:t>
      </w:r>
      <w:r>
        <w:rPr>
          <w:bCs/>
          <w:spacing w:val="-12"/>
          <w:position w:val="2"/>
          <w14:ligatures w14:val="standardContextual"/>
        </w:rPr>
        <w:t>碳酸盐i</w:t>
      </w:r>
      <w:r>
        <w:rPr>
          <w:rFonts w:hint="eastAsia"/>
          <w:bCs/>
          <w:spacing w:val="-12"/>
          <w:position w:val="2"/>
          <w14:ligatures w14:val="standardContextual"/>
        </w:rPr>
        <w:t>纯度</w:t>
      </w:r>
      <w:r>
        <w:rPr>
          <w:bCs/>
          <w:spacing w:val="-12"/>
          <w:position w:val="2"/>
          <w14:ligatures w14:val="standardContextual"/>
        </w:rPr>
        <w:t>，</w:t>
      </w:r>
      <w:r>
        <w:rPr>
          <w:bCs/>
          <w14:ligatures w14:val="standardContextual"/>
        </w:rPr>
        <w:t>单位为</w:t>
      </w:r>
      <w:r>
        <w:rPr>
          <w:rFonts w:hint="eastAsia"/>
          <w:bCs/>
          <w14:ligatures w14:val="standardContextual"/>
        </w:rPr>
        <w:t>%</w:t>
      </w:r>
      <w:r>
        <w:rPr>
          <w:bCs/>
          <w14:ligatures w14:val="standardContextual"/>
        </w:rPr>
        <w:t>；</w:t>
      </w:r>
    </w:p>
    <w:p w14:paraId="72C49886">
      <w:pPr>
        <w:ind w:firstLine="480"/>
      </w:pPr>
      <w:r>
        <w:rPr>
          <w:position w:val="2"/>
          <w:szCs w:val="24"/>
          <w14:ligatures w14:val="standardContextual"/>
        </w:rPr>
        <w:t>因此，本项目</w:t>
      </w:r>
      <w:r>
        <w:rPr>
          <w:rFonts w:hint="eastAsia"/>
          <w:position w:val="2"/>
          <w:szCs w:val="24"/>
          <w14:ligatures w14:val="standardContextual"/>
        </w:rPr>
        <w:t>不使用碳酸盐，故</w:t>
      </w:r>
      <w:r>
        <w:rPr>
          <w:rFonts w:eastAsia="Times New Roman"/>
          <w:position w:val="4"/>
          <w:szCs w:val="24"/>
          <w14:ligatures w14:val="standardContextual"/>
        </w:rPr>
        <w:t>E</w:t>
      </w:r>
      <w:r>
        <w:rPr>
          <w:rFonts w:eastAsia="Times New Roman"/>
          <w:position w:val="2"/>
          <w:szCs w:val="24"/>
          <w14:ligatures w14:val="standardContextual"/>
        </w:rPr>
        <w:t>CO</w:t>
      </w:r>
      <w:r>
        <w:rPr>
          <w:rFonts w:eastAsia="Times New Roman"/>
          <w:position w:val="2"/>
          <w:szCs w:val="24"/>
          <w:vertAlign w:val="subscript"/>
          <w14:ligatures w14:val="standardContextual"/>
        </w:rPr>
        <w:t>2</w:t>
      </w:r>
      <w:r>
        <w:rPr>
          <w:rFonts w:eastAsia="Times New Roman"/>
          <w:position w:val="2"/>
          <w:szCs w:val="24"/>
          <w14:ligatures w14:val="standardContextual"/>
        </w:rPr>
        <w:t>-</w:t>
      </w:r>
      <w:r>
        <w:rPr>
          <w:szCs w:val="24"/>
          <w14:ligatures w14:val="standardContextual"/>
        </w:rPr>
        <w:t>碳酸盐=</w:t>
      </w:r>
      <w:r>
        <w:rPr>
          <w:rFonts w:hint="eastAsia"/>
          <w:szCs w:val="24"/>
          <w14:ligatures w14:val="standardContextual"/>
        </w:rPr>
        <w:t>0</w:t>
      </w:r>
      <w:r>
        <w:rPr>
          <w:szCs w:val="24"/>
          <w14:ligatures w14:val="standardContextual"/>
        </w:rPr>
        <w:t>吨</w:t>
      </w:r>
      <w:r>
        <w:rPr>
          <w:rFonts w:eastAsia="Times New Roman"/>
          <w:szCs w:val="24"/>
          <w14:ligatures w14:val="standardContextual"/>
        </w:rPr>
        <w:t>CO</w:t>
      </w:r>
      <w:r>
        <w:rPr>
          <w:rFonts w:eastAsia="Times New Roman"/>
          <w:szCs w:val="24"/>
          <w:vertAlign w:val="subscript"/>
          <w14:ligatures w14:val="standardContextual"/>
        </w:rPr>
        <w:t>2</w:t>
      </w:r>
      <w:r>
        <w:rPr>
          <w:rFonts w:hint="eastAsia"/>
          <w:szCs w:val="24"/>
          <w14:ligatures w14:val="standardContextual"/>
        </w:rPr>
        <w:t>/年。</w:t>
      </w:r>
    </w:p>
    <w:p w14:paraId="4BF5AC7B">
      <w:pPr>
        <w:ind w:firstLine="480"/>
        <w:rPr>
          <w:bCs/>
          <w:position w:val="2"/>
        </w:rPr>
      </w:pPr>
      <w:r>
        <w:rPr>
          <w:rFonts w:hint="eastAsia" w:eastAsiaTheme="minorEastAsia"/>
          <w:bCs/>
          <w:szCs w:val="24"/>
        </w:rPr>
        <w:t>（3）</w:t>
      </w:r>
      <w:r>
        <w:rPr>
          <w:rFonts w:hint="eastAsia"/>
          <w:bCs/>
          <w:position w:val="2"/>
        </w:rPr>
        <w:t>硝酸生产</w:t>
      </w:r>
      <w:r>
        <w:rPr>
          <w:bCs/>
          <w:position w:val="2"/>
        </w:rPr>
        <w:t>过程的</w:t>
      </w:r>
      <w:r>
        <w:rPr>
          <w:rFonts w:hint="eastAsia"/>
          <w:bCs/>
          <w:position w:val="2"/>
        </w:rPr>
        <w:t>N</w:t>
      </w:r>
      <w:r>
        <w:rPr>
          <w:bCs/>
          <w:position w:val="2"/>
          <w:vertAlign w:val="subscript"/>
        </w:rPr>
        <w:t>2</w:t>
      </w:r>
      <w:r>
        <w:rPr>
          <w:bCs/>
          <w:position w:val="2"/>
        </w:rPr>
        <w:t>O排放</w:t>
      </w:r>
    </w:p>
    <w:p w14:paraId="2AE6D23C">
      <w:pPr>
        <w:ind w:firstLine="480"/>
        <w:rPr>
          <w:rFonts w:eastAsiaTheme="minorEastAsia"/>
          <w:bCs/>
          <w:szCs w:val="24"/>
        </w:rPr>
      </w:pPr>
      <w:r>
        <w:rPr>
          <w:rFonts w:hint="eastAsia"/>
          <w:bCs/>
        </w:rPr>
        <w:t>硝酸生产过程中氨气高温催化氧化会生成副产品N</w:t>
      </w:r>
      <w:r>
        <w:rPr>
          <w:bCs/>
          <w:vertAlign w:val="subscript"/>
        </w:rPr>
        <w:t>2</w:t>
      </w:r>
      <w:r>
        <w:rPr>
          <w:bCs/>
        </w:rPr>
        <w:t>O，</w:t>
      </w:r>
      <w:r>
        <w:rPr>
          <w:rFonts w:hint="eastAsia"/>
          <w:bCs/>
        </w:rPr>
        <w:t>N</w:t>
      </w:r>
      <w:r>
        <w:rPr>
          <w:bCs/>
          <w:vertAlign w:val="subscript"/>
        </w:rPr>
        <w:t>2</w:t>
      </w:r>
      <w:r>
        <w:rPr>
          <w:bCs/>
        </w:rPr>
        <w:t>O排放量根据硝酸产量、不同生产技术的</w:t>
      </w:r>
      <w:r>
        <w:rPr>
          <w:rFonts w:hint="eastAsia"/>
          <w:bCs/>
        </w:rPr>
        <w:t>N</w:t>
      </w:r>
      <w:r>
        <w:rPr>
          <w:bCs/>
          <w:vertAlign w:val="subscript"/>
        </w:rPr>
        <w:t>2</w:t>
      </w:r>
      <w:r>
        <w:rPr>
          <w:bCs/>
        </w:rPr>
        <w:t>O生成因子、所安装的</w:t>
      </w:r>
      <w:r>
        <w:rPr>
          <w:rFonts w:hint="eastAsia"/>
          <w:bCs/>
        </w:rPr>
        <w:t>N</w:t>
      </w:r>
      <w:r>
        <w:rPr>
          <w:bCs/>
        </w:rPr>
        <w:t>O</w:t>
      </w:r>
      <w:r>
        <w:rPr>
          <w:rFonts w:hint="eastAsia"/>
          <w:bCs/>
          <w:vertAlign w:val="subscript"/>
        </w:rPr>
        <w:t>X</w:t>
      </w:r>
      <w:r>
        <w:rPr>
          <w:rFonts w:hint="eastAsia"/>
          <w:bCs/>
        </w:rPr>
        <w:t>/N</w:t>
      </w:r>
      <w:r>
        <w:rPr>
          <w:bCs/>
          <w:vertAlign w:val="subscript"/>
        </w:rPr>
        <w:t>2</w:t>
      </w:r>
      <w:r>
        <w:rPr>
          <w:bCs/>
        </w:rPr>
        <w:t>O尾气处理设备的</w:t>
      </w:r>
      <w:r>
        <w:rPr>
          <w:rFonts w:hint="eastAsia"/>
          <w:bCs/>
        </w:rPr>
        <w:t>N</w:t>
      </w:r>
      <w:r>
        <w:rPr>
          <w:bCs/>
          <w:vertAlign w:val="subscript"/>
        </w:rPr>
        <w:t>2</w:t>
      </w:r>
      <w:r>
        <w:rPr>
          <w:bCs/>
        </w:rPr>
        <w:t>O的去除效率以及尾气处理设备使用率计算：</w:t>
      </w:r>
    </w:p>
    <w:p w14:paraId="741C22AF">
      <w:pPr>
        <w:ind w:firstLine="0" w:firstLineChars="0"/>
        <w:jc w:val="center"/>
        <w:rPr>
          <w:rFonts w:eastAsiaTheme="minorEastAsia"/>
          <w:bCs/>
          <w:szCs w:val="24"/>
        </w:rPr>
      </w:pPr>
      <w:r>
        <w:rPr>
          <w:rFonts w:eastAsia="Times New Roman"/>
          <w:bCs/>
          <w:position w:val="3"/>
          <w:szCs w:val="24"/>
        </w:rPr>
        <w:t>E</w:t>
      </w:r>
      <w:r>
        <w:rPr>
          <w:rFonts w:eastAsia="Times New Roman"/>
          <w:bCs/>
          <w:sz w:val="18"/>
          <w:szCs w:val="18"/>
        </w:rPr>
        <w:t>N</w:t>
      </w:r>
      <w:r>
        <w:rPr>
          <w:rFonts w:eastAsia="Times New Roman"/>
          <w:bCs/>
          <w:sz w:val="18"/>
          <w:szCs w:val="18"/>
          <w:vertAlign w:val="subscript"/>
        </w:rPr>
        <w:t>2</w:t>
      </w:r>
      <w:r>
        <w:rPr>
          <w:rFonts w:eastAsia="Times New Roman"/>
          <w:bCs/>
          <w:sz w:val="18"/>
          <w:szCs w:val="18"/>
        </w:rPr>
        <w:t>O-</w:t>
      </w:r>
      <w:r>
        <w:rPr>
          <w:bCs/>
          <w:sz w:val="18"/>
          <w:szCs w:val="18"/>
        </w:rPr>
        <w:t>硝酸</w:t>
      </w:r>
      <w:r>
        <w:rPr>
          <w:bCs/>
          <w:szCs w:val="24"/>
        </w:rPr>
        <w:t>=∑</w:t>
      </w:r>
      <w:r>
        <w:rPr>
          <w:rFonts w:hint="eastAsia"/>
          <w:bCs/>
          <w:szCs w:val="24"/>
          <w:vertAlign w:val="subscript"/>
        </w:rPr>
        <w:t>j，k</w:t>
      </w:r>
      <w:r>
        <w:rPr>
          <w:rFonts w:hint="eastAsia"/>
          <w:bCs/>
          <w:szCs w:val="24"/>
        </w:rPr>
        <w:t>[</w:t>
      </w:r>
      <w:r>
        <w:rPr>
          <w:bCs/>
          <w:szCs w:val="24"/>
        </w:rPr>
        <w:t>AD</w:t>
      </w:r>
      <w:r>
        <w:rPr>
          <w:rFonts w:hint="eastAsia"/>
          <w:bCs/>
          <w:szCs w:val="24"/>
          <w:vertAlign w:val="subscript"/>
        </w:rPr>
        <w:t>j</w:t>
      </w:r>
      <w:r>
        <w:rPr>
          <w:bCs/>
          <w:szCs w:val="24"/>
        </w:rPr>
        <w:t>×</w:t>
      </w:r>
      <w:r>
        <w:rPr>
          <w:rFonts w:hint="eastAsia"/>
          <w:bCs/>
          <w:szCs w:val="24"/>
        </w:rPr>
        <w:t>EF</w:t>
      </w:r>
      <w:r>
        <w:rPr>
          <w:rFonts w:hint="eastAsia"/>
          <w:bCs/>
          <w:szCs w:val="24"/>
          <w:vertAlign w:val="subscript"/>
        </w:rPr>
        <w:t>j</w:t>
      </w:r>
      <w:r>
        <w:rPr>
          <w:bCs/>
          <w:szCs w:val="24"/>
        </w:rPr>
        <w:t>×（</w:t>
      </w:r>
      <w:r>
        <w:rPr>
          <w:rFonts w:hint="eastAsia"/>
          <w:bCs/>
          <w:szCs w:val="24"/>
        </w:rPr>
        <w:t>1-</w:t>
      </w:r>
      <w:r>
        <w:rPr>
          <w:bCs/>
          <w:sz w:val="28"/>
          <w:szCs w:val="28"/>
        </w:rPr>
        <w:t>η</w:t>
      </w:r>
      <w:r>
        <w:rPr>
          <w:rFonts w:hint="eastAsia"/>
          <w:bCs/>
          <w:sz w:val="28"/>
          <w:szCs w:val="28"/>
          <w:vertAlign w:val="subscript"/>
        </w:rPr>
        <w:t>k</w:t>
      </w:r>
      <w:r>
        <w:rPr>
          <w:bCs/>
          <w:szCs w:val="24"/>
        </w:rPr>
        <w:t>×</w:t>
      </w:r>
      <w:r>
        <w:rPr>
          <w:bCs/>
          <w:sz w:val="28"/>
          <w:szCs w:val="24"/>
        </w:rPr>
        <w:t>μ</w:t>
      </w:r>
      <w:r>
        <w:rPr>
          <w:rFonts w:hint="eastAsia"/>
          <w:bCs/>
          <w:sz w:val="28"/>
          <w:szCs w:val="28"/>
          <w:vertAlign w:val="subscript"/>
        </w:rPr>
        <w:t>k</w:t>
      </w:r>
      <w:r>
        <w:rPr>
          <w:bCs/>
          <w:szCs w:val="24"/>
        </w:rPr>
        <w:t>）×</w:t>
      </w:r>
      <w:r>
        <w:rPr>
          <w:rFonts w:hint="eastAsia"/>
          <w:bCs/>
          <w:szCs w:val="24"/>
        </w:rPr>
        <w:t>10</w:t>
      </w:r>
      <w:r>
        <w:rPr>
          <w:rFonts w:hint="eastAsia"/>
          <w:bCs/>
          <w:szCs w:val="24"/>
          <w:vertAlign w:val="superscript"/>
        </w:rPr>
        <w:t>-3</w:t>
      </w:r>
      <w:r>
        <w:rPr>
          <w:bCs/>
          <w:szCs w:val="24"/>
        </w:rPr>
        <w:t>）</w:t>
      </w:r>
      <w:r>
        <w:rPr>
          <w:rFonts w:hint="eastAsia"/>
          <w:bCs/>
          <w:szCs w:val="24"/>
        </w:rPr>
        <w:t>]</w:t>
      </w:r>
    </w:p>
    <w:p w14:paraId="766B7A13">
      <w:pPr>
        <w:ind w:firstLine="480"/>
        <w:rPr>
          <w:bCs/>
        </w:rPr>
      </w:pPr>
      <w:r>
        <w:rPr>
          <w:rFonts w:hint="eastAsia"/>
          <w:bCs/>
        </w:rPr>
        <w:t>式中：</w:t>
      </w:r>
      <w:r>
        <w:rPr>
          <w:rFonts w:eastAsia="Times New Roman"/>
          <w:bCs/>
          <w:position w:val="3"/>
        </w:rPr>
        <w:t>E</w:t>
      </w:r>
      <w:r>
        <w:rPr>
          <w:rFonts w:eastAsia="Times New Roman"/>
          <w:bCs/>
          <w:sz w:val="18"/>
          <w:szCs w:val="18"/>
        </w:rPr>
        <w:t>N</w:t>
      </w:r>
      <w:r>
        <w:rPr>
          <w:rFonts w:eastAsia="Times New Roman"/>
          <w:bCs/>
          <w:sz w:val="18"/>
          <w:szCs w:val="18"/>
          <w:vertAlign w:val="subscript"/>
        </w:rPr>
        <w:t>2</w:t>
      </w:r>
      <w:r>
        <w:rPr>
          <w:rFonts w:eastAsia="Times New Roman"/>
          <w:bCs/>
          <w:sz w:val="18"/>
          <w:szCs w:val="18"/>
        </w:rPr>
        <w:t>O-</w:t>
      </w:r>
      <w:r>
        <w:rPr>
          <w:bCs/>
          <w:sz w:val="18"/>
          <w:szCs w:val="18"/>
        </w:rPr>
        <w:t>硝酸</w:t>
      </w:r>
      <w:r>
        <w:rPr>
          <w:bCs/>
          <w:position w:val="-2"/>
        </w:rPr>
        <w:t>——</w:t>
      </w:r>
      <w:r>
        <w:rPr>
          <w:rFonts w:hint="eastAsia"/>
          <w:bCs/>
          <w:position w:val="-2"/>
        </w:rPr>
        <w:t>硝酸</w:t>
      </w:r>
      <w:r>
        <w:rPr>
          <w:bCs/>
          <w:position w:val="-2"/>
        </w:rPr>
        <w:t>生产过程</w:t>
      </w:r>
      <w:r>
        <w:rPr>
          <w:bCs/>
        </w:rPr>
        <w:t>N</w:t>
      </w:r>
      <w:r>
        <w:rPr>
          <w:bCs/>
          <w:vertAlign w:val="subscript"/>
        </w:rPr>
        <w:t>2</w:t>
      </w:r>
      <w:r>
        <w:rPr>
          <w:bCs/>
        </w:rPr>
        <w:t>O排放量，单位为吨；</w:t>
      </w:r>
    </w:p>
    <w:p w14:paraId="14371754">
      <w:pPr>
        <w:ind w:firstLine="1274" w:firstLineChars="531"/>
        <w:rPr>
          <w:bCs/>
        </w:rPr>
      </w:pPr>
      <w:r>
        <w:rPr>
          <w:rFonts w:hint="eastAsia" w:eastAsiaTheme="minorEastAsia"/>
          <w:bCs/>
        </w:rPr>
        <w:t>j</w:t>
      </w:r>
      <w:r>
        <w:rPr>
          <w:bCs/>
          <w:position w:val="-2"/>
        </w:rPr>
        <w:t>——</w:t>
      </w:r>
      <w:r>
        <w:rPr>
          <w:rFonts w:hint="eastAsia"/>
          <w:bCs/>
        </w:rPr>
        <w:t>硝酸</w:t>
      </w:r>
      <w:r>
        <w:rPr>
          <w:bCs/>
        </w:rPr>
        <w:t>生产技术类型；</w:t>
      </w:r>
    </w:p>
    <w:p w14:paraId="20869EB3">
      <w:pPr>
        <w:ind w:firstLine="1274" w:firstLineChars="531"/>
        <w:rPr>
          <w:bCs/>
        </w:rPr>
      </w:pPr>
      <w:r>
        <w:rPr>
          <w:rFonts w:eastAsiaTheme="minorEastAsia"/>
          <w:bCs/>
        </w:rPr>
        <w:t>k</w:t>
      </w:r>
      <w:r>
        <w:rPr>
          <w:bCs/>
          <w:position w:val="-2"/>
        </w:rPr>
        <w:t>——</w:t>
      </w:r>
      <w:r>
        <w:rPr>
          <w:bCs/>
        </w:rPr>
        <w:t>NO</w:t>
      </w:r>
      <w:r>
        <w:rPr>
          <w:bCs/>
          <w:vertAlign w:val="subscript"/>
        </w:rPr>
        <w:t>X</w:t>
      </w:r>
      <w:r>
        <w:rPr>
          <w:bCs/>
        </w:rPr>
        <w:t>/ N</w:t>
      </w:r>
      <w:r>
        <w:rPr>
          <w:bCs/>
          <w:vertAlign w:val="subscript"/>
        </w:rPr>
        <w:t>2</w:t>
      </w:r>
      <w:r>
        <w:rPr>
          <w:bCs/>
        </w:rPr>
        <w:t>O尾气处理设备类型；</w:t>
      </w:r>
    </w:p>
    <w:p w14:paraId="678300CE">
      <w:pPr>
        <w:ind w:firstLine="1274" w:firstLineChars="531"/>
        <w:rPr>
          <w:bCs/>
        </w:rPr>
      </w:pPr>
      <w:r>
        <w:rPr>
          <w:rFonts w:eastAsia="Times New Roman"/>
          <w:bCs/>
          <w:szCs w:val="24"/>
        </w:rPr>
        <w:t>AD</w:t>
      </w:r>
      <w:r>
        <w:rPr>
          <w:rFonts w:hint="eastAsia" w:eastAsiaTheme="minorEastAsia"/>
          <w:bCs/>
          <w:szCs w:val="24"/>
          <w:vertAlign w:val="subscript"/>
        </w:rPr>
        <w:t>j</w:t>
      </w:r>
      <w:r>
        <w:rPr>
          <w:bCs/>
          <w:position w:val="-2"/>
          <w:szCs w:val="24"/>
        </w:rPr>
        <w:t>——生产技术类型j的硝酸产生量，</w:t>
      </w:r>
      <w:r>
        <w:rPr>
          <w:bCs/>
          <w:szCs w:val="24"/>
        </w:rPr>
        <w:t>单位为吨；</w:t>
      </w:r>
    </w:p>
    <w:p w14:paraId="27C2DF7D">
      <w:pPr>
        <w:ind w:firstLine="1274" w:firstLineChars="531"/>
        <w:rPr>
          <w:bCs/>
          <w:szCs w:val="24"/>
        </w:rPr>
      </w:pPr>
      <w:r>
        <w:rPr>
          <w:rFonts w:hint="eastAsia"/>
          <w:bCs/>
          <w:szCs w:val="24"/>
        </w:rPr>
        <w:t>EF</w:t>
      </w:r>
      <w:r>
        <w:rPr>
          <w:rFonts w:hint="eastAsia"/>
          <w:bCs/>
          <w:szCs w:val="24"/>
          <w:vertAlign w:val="subscript"/>
        </w:rPr>
        <w:t>j</w:t>
      </w:r>
      <w:r>
        <w:rPr>
          <w:bCs/>
          <w:position w:val="-2"/>
          <w:szCs w:val="24"/>
        </w:rPr>
        <w:t>——生产技术类型j</w:t>
      </w:r>
      <w:r>
        <w:rPr>
          <w:bCs/>
          <w:spacing w:val="-12"/>
          <w:szCs w:val="24"/>
        </w:rPr>
        <w:t>的</w:t>
      </w:r>
      <w:r>
        <w:rPr>
          <w:bCs/>
        </w:rPr>
        <w:t>N</w:t>
      </w:r>
      <w:r>
        <w:rPr>
          <w:bCs/>
          <w:vertAlign w:val="subscript"/>
        </w:rPr>
        <w:t>2</w:t>
      </w:r>
      <w:r>
        <w:rPr>
          <w:bCs/>
        </w:rPr>
        <w:t>O</w:t>
      </w:r>
      <w:r>
        <w:rPr>
          <w:rFonts w:hint="eastAsia"/>
          <w:bCs/>
          <w:szCs w:val="24"/>
        </w:rPr>
        <w:t>生成</w:t>
      </w:r>
      <w:r>
        <w:rPr>
          <w:bCs/>
          <w:szCs w:val="24"/>
        </w:rPr>
        <w:t>因子，单位为</w:t>
      </w:r>
      <w:r>
        <w:rPr>
          <w:rFonts w:hint="eastAsia"/>
          <w:bCs/>
          <w:szCs w:val="24"/>
        </w:rPr>
        <w:t>kg</w:t>
      </w:r>
      <w:r>
        <w:rPr>
          <w:bCs/>
        </w:rPr>
        <w:t>N</w:t>
      </w:r>
      <w:r>
        <w:rPr>
          <w:bCs/>
          <w:vertAlign w:val="subscript"/>
        </w:rPr>
        <w:t>2</w:t>
      </w:r>
      <w:r>
        <w:rPr>
          <w:bCs/>
        </w:rPr>
        <w:t>O</w:t>
      </w:r>
      <w:r>
        <w:rPr>
          <w:rFonts w:hint="eastAsia" w:eastAsiaTheme="minorEastAsia"/>
          <w:bCs/>
          <w:szCs w:val="24"/>
        </w:rPr>
        <w:t>/吨硝酸</w:t>
      </w:r>
      <w:r>
        <w:rPr>
          <w:bCs/>
          <w:szCs w:val="24"/>
        </w:rPr>
        <w:t>；</w:t>
      </w:r>
    </w:p>
    <w:p w14:paraId="7A049387">
      <w:pPr>
        <w:ind w:firstLine="1274" w:firstLineChars="455"/>
        <w:rPr>
          <w:bCs/>
        </w:rPr>
      </w:pPr>
      <w:r>
        <w:rPr>
          <w:bCs/>
          <w:sz w:val="28"/>
          <w:szCs w:val="28"/>
        </w:rPr>
        <w:t>η</w:t>
      </w:r>
      <w:r>
        <w:rPr>
          <w:rFonts w:hint="eastAsia"/>
          <w:bCs/>
          <w:sz w:val="28"/>
          <w:szCs w:val="28"/>
          <w:vertAlign w:val="subscript"/>
        </w:rPr>
        <w:t>k</w:t>
      </w:r>
      <w:r>
        <w:rPr>
          <w:bCs/>
          <w:position w:val="-2"/>
          <w:szCs w:val="24"/>
        </w:rPr>
        <w:t>——尾气处理设备类型k的</w:t>
      </w:r>
      <w:r>
        <w:rPr>
          <w:bCs/>
        </w:rPr>
        <w:t>N</w:t>
      </w:r>
      <w:r>
        <w:rPr>
          <w:bCs/>
          <w:vertAlign w:val="subscript"/>
        </w:rPr>
        <w:t>2</w:t>
      </w:r>
      <w:r>
        <w:rPr>
          <w:bCs/>
        </w:rPr>
        <w:t>O去除效率，单位%；</w:t>
      </w:r>
    </w:p>
    <w:p w14:paraId="1C9C8912">
      <w:pPr>
        <w:ind w:firstLine="1274" w:firstLineChars="455"/>
        <w:rPr>
          <w:bCs/>
          <w:szCs w:val="24"/>
        </w:rPr>
      </w:pPr>
      <w:r>
        <w:rPr>
          <w:bCs/>
          <w:sz w:val="28"/>
          <w:szCs w:val="24"/>
        </w:rPr>
        <w:t>μ</w:t>
      </w:r>
      <w:r>
        <w:rPr>
          <w:rFonts w:hint="eastAsia"/>
          <w:bCs/>
          <w:sz w:val="28"/>
          <w:szCs w:val="28"/>
          <w:vertAlign w:val="subscript"/>
        </w:rPr>
        <w:t>k</w:t>
      </w:r>
      <w:r>
        <w:rPr>
          <w:bCs/>
          <w:position w:val="-2"/>
          <w:szCs w:val="24"/>
        </w:rPr>
        <w:t>——尾气处理设备类型k的</w:t>
      </w:r>
      <w:r>
        <w:rPr>
          <w:rFonts w:hint="eastAsia"/>
          <w:bCs/>
        </w:rPr>
        <w:t>使用率</w:t>
      </w:r>
      <w:r>
        <w:rPr>
          <w:bCs/>
        </w:rPr>
        <w:t>，单位%；</w:t>
      </w:r>
    </w:p>
    <w:p w14:paraId="3C434816">
      <w:pPr>
        <w:ind w:firstLine="480"/>
        <w:rPr>
          <w:bCs/>
          <w:szCs w:val="24"/>
        </w:rPr>
      </w:pPr>
      <w:r>
        <w:rPr>
          <w:bCs/>
          <w:szCs w:val="24"/>
        </w:rPr>
        <w:t>本项目不涉及硝酸生产，故</w:t>
      </w:r>
      <w:r>
        <w:rPr>
          <w:rFonts w:eastAsia="Times New Roman"/>
          <w:bCs/>
          <w:position w:val="3"/>
          <w:szCs w:val="24"/>
        </w:rPr>
        <w:t>E</w:t>
      </w:r>
      <w:r>
        <w:rPr>
          <w:rFonts w:eastAsia="Times New Roman"/>
          <w:bCs/>
          <w:sz w:val="18"/>
          <w:szCs w:val="18"/>
        </w:rPr>
        <w:t>N</w:t>
      </w:r>
      <w:r>
        <w:rPr>
          <w:rFonts w:eastAsia="Times New Roman"/>
          <w:bCs/>
          <w:sz w:val="18"/>
          <w:szCs w:val="18"/>
          <w:vertAlign w:val="subscript"/>
        </w:rPr>
        <w:t>2</w:t>
      </w:r>
      <w:r>
        <w:rPr>
          <w:rFonts w:eastAsia="Times New Roman"/>
          <w:bCs/>
          <w:sz w:val="18"/>
          <w:szCs w:val="18"/>
        </w:rPr>
        <w:t>O-</w:t>
      </w:r>
      <w:r>
        <w:rPr>
          <w:bCs/>
          <w:sz w:val="18"/>
          <w:szCs w:val="18"/>
        </w:rPr>
        <w:t>硝酸</w:t>
      </w:r>
      <w:r>
        <w:rPr>
          <w:bCs/>
          <w:szCs w:val="24"/>
        </w:rPr>
        <w:t>=</w:t>
      </w:r>
      <w:r>
        <w:rPr>
          <w:rFonts w:hint="eastAsia"/>
          <w:bCs/>
          <w:szCs w:val="24"/>
        </w:rPr>
        <w:t>0。</w:t>
      </w:r>
    </w:p>
    <w:p w14:paraId="6F33C17A">
      <w:pPr>
        <w:ind w:firstLine="480"/>
        <w:rPr>
          <w:bCs/>
        </w:rPr>
      </w:pPr>
      <w:r>
        <w:rPr>
          <w:rFonts w:hint="eastAsia"/>
          <w:bCs/>
          <w:szCs w:val="24"/>
        </w:rPr>
        <w:t>（4）己二酸</w:t>
      </w:r>
      <w:r>
        <w:rPr>
          <w:rFonts w:hint="eastAsia"/>
          <w:bCs/>
        </w:rPr>
        <w:t>生产</w:t>
      </w:r>
      <w:r>
        <w:rPr>
          <w:bCs/>
        </w:rPr>
        <w:t>过程的</w:t>
      </w:r>
      <w:r>
        <w:rPr>
          <w:rFonts w:hint="eastAsia"/>
          <w:bCs/>
        </w:rPr>
        <w:t>N</w:t>
      </w:r>
      <w:r>
        <w:rPr>
          <w:bCs/>
          <w:vertAlign w:val="subscript"/>
        </w:rPr>
        <w:t>2</w:t>
      </w:r>
      <w:r>
        <w:rPr>
          <w:bCs/>
        </w:rPr>
        <w:t>O排放</w:t>
      </w:r>
    </w:p>
    <w:p w14:paraId="2F925989">
      <w:pPr>
        <w:ind w:firstLine="480"/>
        <w:rPr>
          <w:rFonts w:eastAsiaTheme="minorEastAsia"/>
          <w:bCs/>
          <w:szCs w:val="24"/>
        </w:rPr>
      </w:pPr>
      <w:r>
        <w:rPr>
          <w:rFonts w:hint="eastAsia"/>
          <w:bCs/>
        </w:rPr>
        <w:t>环己酮/环己醇混合物经硝酸氧化制取己二酸会生成副产品N</w:t>
      </w:r>
      <w:r>
        <w:rPr>
          <w:bCs/>
          <w:vertAlign w:val="subscript"/>
        </w:rPr>
        <w:t>2</w:t>
      </w:r>
      <w:r>
        <w:rPr>
          <w:bCs/>
        </w:rPr>
        <w:t>O，</w:t>
      </w:r>
      <w:r>
        <w:rPr>
          <w:rFonts w:hint="eastAsia"/>
          <w:bCs/>
        </w:rPr>
        <w:t>N</w:t>
      </w:r>
      <w:r>
        <w:rPr>
          <w:bCs/>
          <w:vertAlign w:val="subscript"/>
        </w:rPr>
        <w:t>2</w:t>
      </w:r>
      <w:r>
        <w:rPr>
          <w:bCs/>
        </w:rPr>
        <w:t>O排放量根据</w:t>
      </w:r>
      <w:r>
        <w:rPr>
          <w:rFonts w:hint="eastAsia"/>
          <w:bCs/>
          <w:szCs w:val="24"/>
        </w:rPr>
        <w:t>己二酸</w:t>
      </w:r>
      <w:r>
        <w:rPr>
          <w:bCs/>
        </w:rPr>
        <w:t>产量、不同生产技术的</w:t>
      </w:r>
      <w:r>
        <w:rPr>
          <w:rFonts w:hint="eastAsia"/>
          <w:bCs/>
        </w:rPr>
        <w:t>N</w:t>
      </w:r>
      <w:r>
        <w:rPr>
          <w:bCs/>
          <w:vertAlign w:val="subscript"/>
        </w:rPr>
        <w:t>2</w:t>
      </w:r>
      <w:r>
        <w:rPr>
          <w:bCs/>
        </w:rPr>
        <w:t>O生成因子、所安装的</w:t>
      </w:r>
      <w:r>
        <w:rPr>
          <w:rFonts w:hint="eastAsia"/>
          <w:bCs/>
        </w:rPr>
        <w:t>N</w:t>
      </w:r>
      <w:r>
        <w:rPr>
          <w:bCs/>
        </w:rPr>
        <w:t>O</w:t>
      </w:r>
      <w:r>
        <w:rPr>
          <w:rFonts w:hint="eastAsia"/>
          <w:bCs/>
          <w:vertAlign w:val="subscript"/>
        </w:rPr>
        <w:t>X</w:t>
      </w:r>
      <w:r>
        <w:rPr>
          <w:rFonts w:hint="eastAsia"/>
          <w:bCs/>
        </w:rPr>
        <w:t>/N</w:t>
      </w:r>
      <w:r>
        <w:rPr>
          <w:bCs/>
          <w:vertAlign w:val="subscript"/>
        </w:rPr>
        <w:t>2</w:t>
      </w:r>
      <w:r>
        <w:rPr>
          <w:bCs/>
        </w:rPr>
        <w:t>O尾气处理设备的</w:t>
      </w:r>
      <w:r>
        <w:rPr>
          <w:rFonts w:hint="eastAsia"/>
          <w:bCs/>
        </w:rPr>
        <w:t>N</w:t>
      </w:r>
      <w:r>
        <w:rPr>
          <w:bCs/>
          <w:vertAlign w:val="subscript"/>
        </w:rPr>
        <w:t>2</w:t>
      </w:r>
      <w:r>
        <w:rPr>
          <w:bCs/>
        </w:rPr>
        <w:t>O的去除效率以及尾气处理设备使用率计算：</w:t>
      </w:r>
    </w:p>
    <w:p w14:paraId="1C81AC1F">
      <w:pPr>
        <w:ind w:firstLine="0" w:firstLineChars="0"/>
        <w:jc w:val="center"/>
        <w:rPr>
          <w:rFonts w:eastAsiaTheme="minorEastAsia"/>
          <w:bCs/>
          <w:szCs w:val="24"/>
        </w:rPr>
      </w:pPr>
      <w:r>
        <w:rPr>
          <w:rFonts w:eastAsia="Times New Roman"/>
          <w:bCs/>
          <w:position w:val="3"/>
          <w:szCs w:val="24"/>
        </w:rPr>
        <w:t>E</w:t>
      </w:r>
      <w:r>
        <w:rPr>
          <w:rFonts w:eastAsia="Times New Roman"/>
          <w:bCs/>
          <w:sz w:val="18"/>
          <w:szCs w:val="18"/>
        </w:rPr>
        <w:t>N</w:t>
      </w:r>
      <w:r>
        <w:rPr>
          <w:rFonts w:eastAsia="Times New Roman"/>
          <w:bCs/>
          <w:sz w:val="18"/>
          <w:szCs w:val="18"/>
          <w:vertAlign w:val="subscript"/>
        </w:rPr>
        <w:t>2</w:t>
      </w:r>
      <w:r>
        <w:rPr>
          <w:rFonts w:eastAsia="Times New Roman"/>
          <w:bCs/>
          <w:sz w:val="18"/>
          <w:szCs w:val="18"/>
        </w:rPr>
        <w:t>O-</w:t>
      </w:r>
      <w:r>
        <w:rPr>
          <w:bCs/>
          <w:sz w:val="18"/>
          <w:szCs w:val="18"/>
        </w:rPr>
        <w:t>己二酸</w:t>
      </w:r>
      <w:r>
        <w:rPr>
          <w:bCs/>
          <w:szCs w:val="24"/>
        </w:rPr>
        <w:t>=∑</w:t>
      </w:r>
      <w:r>
        <w:rPr>
          <w:rFonts w:hint="eastAsia"/>
          <w:bCs/>
          <w:szCs w:val="24"/>
          <w:vertAlign w:val="subscript"/>
        </w:rPr>
        <w:t>j，k</w:t>
      </w:r>
      <w:r>
        <w:rPr>
          <w:rFonts w:hint="eastAsia"/>
          <w:bCs/>
          <w:szCs w:val="24"/>
        </w:rPr>
        <w:t>[</w:t>
      </w:r>
      <w:r>
        <w:rPr>
          <w:bCs/>
          <w:szCs w:val="24"/>
        </w:rPr>
        <w:t>AD</w:t>
      </w:r>
      <w:r>
        <w:rPr>
          <w:rFonts w:hint="eastAsia"/>
          <w:bCs/>
          <w:szCs w:val="24"/>
          <w:vertAlign w:val="subscript"/>
        </w:rPr>
        <w:t>j</w:t>
      </w:r>
      <w:r>
        <w:rPr>
          <w:bCs/>
          <w:szCs w:val="24"/>
        </w:rPr>
        <w:t>×</w:t>
      </w:r>
      <w:r>
        <w:rPr>
          <w:rFonts w:hint="eastAsia"/>
          <w:bCs/>
          <w:szCs w:val="24"/>
        </w:rPr>
        <w:t>EF</w:t>
      </w:r>
      <w:r>
        <w:rPr>
          <w:rFonts w:hint="eastAsia"/>
          <w:bCs/>
          <w:szCs w:val="24"/>
          <w:vertAlign w:val="subscript"/>
        </w:rPr>
        <w:t>j</w:t>
      </w:r>
      <w:r>
        <w:rPr>
          <w:bCs/>
          <w:szCs w:val="24"/>
        </w:rPr>
        <w:t>×（</w:t>
      </w:r>
      <w:r>
        <w:rPr>
          <w:rFonts w:hint="eastAsia"/>
          <w:bCs/>
          <w:szCs w:val="24"/>
        </w:rPr>
        <w:t>1-</w:t>
      </w:r>
      <w:r>
        <w:rPr>
          <w:bCs/>
          <w:sz w:val="28"/>
          <w:szCs w:val="28"/>
        </w:rPr>
        <w:t>η</w:t>
      </w:r>
      <w:r>
        <w:rPr>
          <w:rFonts w:hint="eastAsia"/>
          <w:bCs/>
          <w:sz w:val="28"/>
          <w:szCs w:val="28"/>
          <w:vertAlign w:val="subscript"/>
        </w:rPr>
        <w:t>k</w:t>
      </w:r>
      <w:r>
        <w:rPr>
          <w:bCs/>
          <w:szCs w:val="24"/>
        </w:rPr>
        <w:t>×</w:t>
      </w:r>
      <w:r>
        <w:rPr>
          <w:bCs/>
          <w:sz w:val="28"/>
          <w:szCs w:val="24"/>
        </w:rPr>
        <w:t>μ</w:t>
      </w:r>
      <w:r>
        <w:rPr>
          <w:rFonts w:hint="eastAsia"/>
          <w:bCs/>
          <w:sz w:val="28"/>
          <w:szCs w:val="28"/>
          <w:vertAlign w:val="subscript"/>
        </w:rPr>
        <w:t>k</w:t>
      </w:r>
      <w:r>
        <w:rPr>
          <w:bCs/>
          <w:szCs w:val="24"/>
        </w:rPr>
        <w:t>）×</w:t>
      </w:r>
      <w:r>
        <w:rPr>
          <w:rFonts w:hint="eastAsia"/>
          <w:bCs/>
          <w:szCs w:val="24"/>
        </w:rPr>
        <w:t>10</w:t>
      </w:r>
      <w:r>
        <w:rPr>
          <w:rFonts w:hint="eastAsia"/>
          <w:bCs/>
          <w:szCs w:val="24"/>
          <w:vertAlign w:val="superscript"/>
        </w:rPr>
        <w:t>-3</w:t>
      </w:r>
      <w:r>
        <w:rPr>
          <w:bCs/>
          <w:szCs w:val="24"/>
        </w:rPr>
        <w:t>）</w:t>
      </w:r>
      <w:r>
        <w:rPr>
          <w:rFonts w:hint="eastAsia"/>
          <w:bCs/>
          <w:szCs w:val="24"/>
        </w:rPr>
        <w:t>]</w:t>
      </w:r>
    </w:p>
    <w:p w14:paraId="35B4E273">
      <w:pPr>
        <w:ind w:firstLine="480"/>
        <w:rPr>
          <w:bCs/>
        </w:rPr>
      </w:pPr>
      <w:r>
        <w:rPr>
          <w:rFonts w:hint="eastAsia"/>
          <w:bCs/>
        </w:rPr>
        <w:t>式中：</w:t>
      </w:r>
      <w:r>
        <w:rPr>
          <w:rFonts w:eastAsia="Times New Roman"/>
          <w:bCs/>
          <w:position w:val="3"/>
        </w:rPr>
        <w:t>E</w:t>
      </w:r>
      <w:r>
        <w:rPr>
          <w:rFonts w:eastAsia="Times New Roman"/>
          <w:bCs/>
          <w:sz w:val="18"/>
          <w:szCs w:val="18"/>
        </w:rPr>
        <w:t>N</w:t>
      </w:r>
      <w:r>
        <w:rPr>
          <w:rFonts w:eastAsia="Times New Roman"/>
          <w:bCs/>
          <w:sz w:val="18"/>
          <w:szCs w:val="18"/>
          <w:vertAlign w:val="subscript"/>
        </w:rPr>
        <w:t>2</w:t>
      </w:r>
      <w:r>
        <w:rPr>
          <w:rFonts w:eastAsia="Times New Roman"/>
          <w:bCs/>
          <w:sz w:val="18"/>
          <w:szCs w:val="18"/>
        </w:rPr>
        <w:t>O-</w:t>
      </w:r>
      <w:r>
        <w:rPr>
          <w:bCs/>
          <w:sz w:val="18"/>
          <w:szCs w:val="18"/>
        </w:rPr>
        <w:t>己二酸</w:t>
      </w:r>
      <w:r>
        <w:rPr>
          <w:bCs/>
          <w:position w:val="-2"/>
        </w:rPr>
        <w:t>——</w:t>
      </w:r>
      <w:r>
        <w:rPr>
          <w:rFonts w:hint="eastAsia"/>
          <w:bCs/>
        </w:rPr>
        <w:t>己二酸</w:t>
      </w:r>
      <w:r>
        <w:rPr>
          <w:bCs/>
          <w:position w:val="-2"/>
        </w:rPr>
        <w:t>生产过程</w:t>
      </w:r>
      <w:r>
        <w:rPr>
          <w:bCs/>
        </w:rPr>
        <w:t>N</w:t>
      </w:r>
      <w:r>
        <w:rPr>
          <w:bCs/>
          <w:vertAlign w:val="subscript"/>
        </w:rPr>
        <w:t>2</w:t>
      </w:r>
      <w:r>
        <w:rPr>
          <w:bCs/>
        </w:rPr>
        <w:t>O排放量，单位为吨；</w:t>
      </w:r>
    </w:p>
    <w:p w14:paraId="776030AA">
      <w:pPr>
        <w:ind w:firstLine="1132" w:firstLineChars="472"/>
        <w:rPr>
          <w:bCs/>
        </w:rPr>
      </w:pPr>
      <w:r>
        <w:rPr>
          <w:rFonts w:hint="eastAsia" w:eastAsiaTheme="minorEastAsia"/>
          <w:bCs/>
        </w:rPr>
        <w:t>j</w:t>
      </w:r>
      <w:r>
        <w:rPr>
          <w:bCs/>
          <w:position w:val="-2"/>
        </w:rPr>
        <w:t>——</w:t>
      </w:r>
      <w:r>
        <w:rPr>
          <w:rFonts w:hint="eastAsia"/>
          <w:bCs/>
        </w:rPr>
        <w:t>己二酸生成工艺，分为硝酸氧化工艺、其它工艺两类</w:t>
      </w:r>
      <w:r>
        <w:rPr>
          <w:bCs/>
        </w:rPr>
        <w:t>；</w:t>
      </w:r>
    </w:p>
    <w:p w14:paraId="4037D043">
      <w:pPr>
        <w:ind w:firstLine="1132" w:firstLineChars="472"/>
        <w:rPr>
          <w:bCs/>
        </w:rPr>
      </w:pPr>
      <w:r>
        <w:rPr>
          <w:rFonts w:eastAsiaTheme="minorEastAsia"/>
          <w:bCs/>
        </w:rPr>
        <w:t>k</w:t>
      </w:r>
      <w:r>
        <w:rPr>
          <w:bCs/>
          <w:position w:val="-2"/>
        </w:rPr>
        <w:t>——</w:t>
      </w:r>
      <w:r>
        <w:rPr>
          <w:bCs/>
        </w:rPr>
        <w:t>NO</w:t>
      </w:r>
      <w:r>
        <w:rPr>
          <w:bCs/>
          <w:vertAlign w:val="subscript"/>
        </w:rPr>
        <w:t>X</w:t>
      </w:r>
      <w:r>
        <w:rPr>
          <w:bCs/>
        </w:rPr>
        <w:t>/ N</w:t>
      </w:r>
      <w:r>
        <w:rPr>
          <w:bCs/>
          <w:vertAlign w:val="subscript"/>
        </w:rPr>
        <w:t>2</w:t>
      </w:r>
      <w:r>
        <w:rPr>
          <w:bCs/>
        </w:rPr>
        <w:t>O尾气处理设备类型；</w:t>
      </w:r>
    </w:p>
    <w:p w14:paraId="383D6066">
      <w:pPr>
        <w:ind w:firstLine="1132" w:firstLineChars="472"/>
        <w:rPr>
          <w:bCs/>
        </w:rPr>
      </w:pPr>
      <w:r>
        <w:rPr>
          <w:rFonts w:eastAsia="Times New Roman"/>
          <w:bCs/>
          <w:szCs w:val="24"/>
        </w:rPr>
        <w:t>AD</w:t>
      </w:r>
      <w:r>
        <w:rPr>
          <w:rFonts w:hint="eastAsia" w:eastAsiaTheme="minorEastAsia"/>
          <w:bCs/>
          <w:szCs w:val="24"/>
          <w:vertAlign w:val="subscript"/>
        </w:rPr>
        <w:t>j</w:t>
      </w:r>
      <w:r>
        <w:rPr>
          <w:bCs/>
          <w:position w:val="-2"/>
          <w:szCs w:val="24"/>
        </w:rPr>
        <w:t>——生产</w:t>
      </w:r>
      <w:r>
        <w:rPr>
          <w:rFonts w:hint="eastAsia"/>
          <w:bCs/>
          <w:position w:val="-2"/>
          <w:szCs w:val="24"/>
        </w:rPr>
        <w:t>工艺</w:t>
      </w:r>
      <w:r>
        <w:rPr>
          <w:bCs/>
          <w:position w:val="-2"/>
          <w:szCs w:val="24"/>
        </w:rPr>
        <w:t>j的</w:t>
      </w:r>
      <w:r>
        <w:rPr>
          <w:rFonts w:hint="eastAsia"/>
          <w:bCs/>
          <w:szCs w:val="24"/>
        </w:rPr>
        <w:t>己二酸</w:t>
      </w:r>
      <w:r>
        <w:rPr>
          <w:bCs/>
          <w:position w:val="-2"/>
          <w:szCs w:val="24"/>
        </w:rPr>
        <w:t>产生量，</w:t>
      </w:r>
      <w:r>
        <w:rPr>
          <w:bCs/>
          <w:szCs w:val="24"/>
        </w:rPr>
        <w:t>单位为吨；</w:t>
      </w:r>
    </w:p>
    <w:p w14:paraId="25A7FC87">
      <w:pPr>
        <w:ind w:firstLine="1132" w:firstLineChars="472"/>
        <w:rPr>
          <w:bCs/>
          <w:szCs w:val="24"/>
        </w:rPr>
      </w:pPr>
      <w:r>
        <w:rPr>
          <w:rFonts w:hint="eastAsia"/>
          <w:bCs/>
          <w:szCs w:val="24"/>
        </w:rPr>
        <w:t>EF</w:t>
      </w:r>
      <w:r>
        <w:rPr>
          <w:rFonts w:hint="eastAsia"/>
          <w:bCs/>
          <w:szCs w:val="24"/>
          <w:vertAlign w:val="subscript"/>
        </w:rPr>
        <w:t>j</w:t>
      </w:r>
      <w:r>
        <w:rPr>
          <w:bCs/>
          <w:position w:val="-2"/>
          <w:szCs w:val="24"/>
        </w:rPr>
        <w:t>——生产</w:t>
      </w:r>
      <w:r>
        <w:rPr>
          <w:rFonts w:hint="eastAsia"/>
          <w:bCs/>
          <w:position w:val="-2"/>
          <w:szCs w:val="24"/>
        </w:rPr>
        <w:t>工艺</w:t>
      </w:r>
      <w:r>
        <w:rPr>
          <w:bCs/>
          <w:position w:val="-2"/>
          <w:szCs w:val="24"/>
        </w:rPr>
        <w:t>j</w:t>
      </w:r>
      <w:r>
        <w:rPr>
          <w:bCs/>
          <w:spacing w:val="-12"/>
          <w:szCs w:val="24"/>
        </w:rPr>
        <w:t>的</w:t>
      </w:r>
      <w:r>
        <w:rPr>
          <w:bCs/>
        </w:rPr>
        <w:t>N</w:t>
      </w:r>
      <w:r>
        <w:rPr>
          <w:bCs/>
          <w:vertAlign w:val="subscript"/>
        </w:rPr>
        <w:t>2</w:t>
      </w:r>
      <w:r>
        <w:rPr>
          <w:bCs/>
        </w:rPr>
        <w:t>O</w:t>
      </w:r>
      <w:r>
        <w:rPr>
          <w:rFonts w:hint="eastAsia"/>
          <w:bCs/>
          <w:szCs w:val="24"/>
        </w:rPr>
        <w:t>生成</w:t>
      </w:r>
      <w:r>
        <w:rPr>
          <w:bCs/>
          <w:szCs w:val="24"/>
        </w:rPr>
        <w:t>因子，单位为</w:t>
      </w:r>
      <w:r>
        <w:rPr>
          <w:rFonts w:hint="eastAsia"/>
          <w:bCs/>
          <w:szCs w:val="24"/>
        </w:rPr>
        <w:t>kg</w:t>
      </w:r>
      <w:r>
        <w:rPr>
          <w:bCs/>
        </w:rPr>
        <w:t>N</w:t>
      </w:r>
      <w:r>
        <w:rPr>
          <w:bCs/>
          <w:vertAlign w:val="subscript"/>
        </w:rPr>
        <w:t>2</w:t>
      </w:r>
      <w:r>
        <w:rPr>
          <w:bCs/>
        </w:rPr>
        <w:t>O</w:t>
      </w:r>
      <w:r>
        <w:rPr>
          <w:rFonts w:hint="eastAsia" w:eastAsiaTheme="minorEastAsia"/>
          <w:bCs/>
          <w:szCs w:val="24"/>
        </w:rPr>
        <w:t>/吨</w:t>
      </w:r>
      <w:r>
        <w:rPr>
          <w:rFonts w:hint="eastAsia"/>
          <w:bCs/>
          <w:szCs w:val="24"/>
        </w:rPr>
        <w:t>己二酸</w:t>
      </w:r>
      <w:r>
        <w:rPr>
          <w:bCs/>
          <w:szCs w:val="24"/>
        </w:rPr>
        <w:t>；</w:t>
      </w:r>
    </w:p>
    <w:p w14:paraId="388F87DB">
      <w:pPr>
        <w:ind w:firstLine="1134" w:firstLineChars="405"/>
        <w:rPr>
          <w:bCs/>
        </w:rPr>
      </w:pPr>
      <w:r>
        <w:rPr>
          <w:bCs/>
          <w:sz w:val="28"/>
          <w:szCs w:val="28"/>
        </w:rPr>
        <w:t>η</w:t>
      </w:r>
      <w:r>
        <w:rPr>
          <w:rFonts w:hint="eastAsia"/>
          <w:bCs/>
          <w:sz w:val="28"/>
          <w:szCs w:val="28"/>
          <w:vertAlign w:val="subscript"/>
        </w:rPr>
        <w:t>k</w:t>
      </w:r>
      <w:r>
        <w:rPr>
          <w:bCs/>
          <w:position w:val="-2"/>
          <w:szCs w:val="24"/>
        </w:rPr>
        <w:t>——尾气处理设备类型k的</w:t>
      </w:r>
      <w:r>
        <w:rPr>
          <w:bCs/>
        </w:rPr>
        <w:t>N</w:t>
      </w:r>
      <w:r>
        <w:rPr>
          <w:bCs/>
          <w:vertAlign w:val="subscript"/>
        </w:rPr>
        <w:t>2</w:t>
      </w:r>
      <w:r>
        <w:rPr>
          <w:bCs/>
        </w:rPr>
        <w:t>O去除效率，单位%；</w:t>
      </w:r>
    </w:p>
    <w:p w14:paraId="755BBAF7">
      <w:pPr>
        <w:ind w:firstLine="1134" w:firstLineChars="405"/>
        <w:rPr>
          <w:bCs/>
          <w:szCs w:val="24"/>
        </w:rPr>
      </w:pPr>
      <w:r>
        <w:rPr>
          <w:bCs/>
          <w:sz w:val="28"/>
          <w:szCs w:val="24"/>
        </w:rPr>
        <w:t>μ</w:t>
      </w:r>
      <w:r>
        <w:rPr>
          <w:rFonts w:hint="eastAsia"/>
          <w:bCs/>
          <w:sz w:val="28"/>
          <w:szCs w:val="28"/>
          <w:vertAlign w:val="subscript"/>
        </w:rPr>
        <w:t>k</w:t>
      </w:r>
      <w:r>
        <w:rPr>
          <w:bCs/>
          <w:position w:val="-2"/>
          <w:szCs w:val="24"/>
        </w:rPr>
        <w:t>——尾气处理设备类型k的</w:t>
      </w:r>
      <w:r>
        <w:rPr>
          <w:rFonts w:hint="eastAsia"/>
          <w:bCs/>
        </w:rPr>
        <w:t>使用率</w:t>
      </w:r>
      <w:r>
        <w:rPr>
          <w:bCs/>
        </w:rPr>
        <w:t>，单位%；</w:t>
      </w:r>
    </w:p>
    <w:p w14:paraId="5B2090D6">
      <w:pPr>
        <w:ind w:firstLine="480"/>
        <w:rPr>
          <w:bCs/>
          <w:szCs w:val="24"/>
        </w:rPr>
      </w:pPr>
      <w:r>
        <w:rPr>
          <w:bCs/>
          <w:szCs w:val="24"/>
        </w:rPr>
        <w:t>本项目不涉及</w:t>
      </w:r>
      <w:r>
        <w:rPr>
          <w:rFonts w:hint="eastAsia"/>
          <w:bCs/>
          <w:szCs w:val="24"/>
        </w:rPr>
        <w:t>己二酸</w:t>
      </w:r>
      <w:r>
        <w:rPr>
          <w:bCs/>
          <w:szCs w:val="24"/>
        </w:rPr>
        <w:t>生产，故</w:t>
      </w:r>
      <w:r>
        <w:rPr>
          <w:rFonts w:eastAsia="Times New Roman"/>
          <w:bCs/>
          <w:position w:val="3"/>
          <w:szCs w:val="24"/>
        </w:rPr>
        <w:t>E</w:t>
      </w:r>
      <w:r>
        <w:rPr>
          <w:rFonts w:eastAsia="Times New Roman"/>
          <w:bCs/>
          <w:sz w:val="18"/>
          <w:szCs w:val="18"/>
        </w:rPr>
        <w:t>N</w:t>
      </w:r>
      <w:r>
        <w:rPr>
          <w:rFonts w:eastAsia="Times New Roman"/>
          <w:bCs/>
          <w:sz w:val="18"/>
          <w:szCs w:val="18"/>
          <w:vertAlign w:val="subscript"/>
        </w:rPr>
        <w:t>2</w:t>
      </w:r>
      <w:r>
        <w:rPr>
          <w:rFonts w:eastAsia="Times New Roman"/>
          <w:bCs/>
          <w:sz w:val="18"/>
          <w:szCs w:val="18"/>
        </w:rPr>
        <w:t>O-</w:t>
      </w:r>
      <w:r>
        <w:rPr>
          <w:bCs/>
          <w:sz w:val="18"/>
          <w:szCs w:val="18"/>
        </w:rPr>
        <w:t>己二酸</w:t>
      </w:r>
      <w:r>
        <w:rPr>
          <w:bCs/>
          <w:szCs w:val="24"/>
        </w:rPr>
        <w:t>=</w:t>
      </w:r>
      <w:r>
        <w:rPr>
          <w:rFonts w:hint="eastAsia"/>
          <w:bCs/>
          <w:szCs w:val="24"/>
        </w:rPr>
        <w:t>0。</w:t>
      </w:r>
    </w:p>
    <w:p w14:paraId="03BEF9E4">
      <w:pPr>
        <w:pStyle w:val="2"/>
        <w:spacing w:after="0"/>
        <w:ind w:firstLine="480"/>
      </w:pPr>
      <w:r>
        <w:rPr>
          <w:bCs/>
        </w:rPr>
        <w:t>综上叙述，则</w:t>
      </w:r>
      <w:r>
        <w:rPr>
          <w:rFonts w:eastAsia="Times New Roman"/>
          <w:bCs/>
          <w:position w:val="4"/>
        </w:rPr>
        <w:t>E</w:t>
      </w:r>
      <w:r>
        <w:rPr>
          <w:rFonts w:eastAsia="Times New Roman"/>
          <w:bCs/>
          <w:sz w:val="18"/>
          <w:szCs w:val="18"/>
        </w:rPr>
        <w:t>GHG-</w:t>
      </w:r>
      <w:r>
        <w:rPr>
          <w:bCs/>
          <w:sz w:val="18"/>
          <w:szCs w:val="18"/>
        </w:rPr>
        <w:t>过程</w:t>
      </w:r>
      <w:r>
        <w:rPr>
          <w:bCs/>
        </w:rPr>
        <w:t>为</w:t>
      </w:r>
      <w:r>
        <w:rPr>
          <w:rFonts w:hint="eastAsia"/>
          <w:bCs/>
          <w:szCs w:val="24"/>
        </w:rPr>
        <w:t>231.9</w:t>
      </w:r>
      <w:r>
        <w:rPr>
          <w:bCs/>
          <w:szCs w:val="24"/>
        </w:rPr>
        <w:t>吨</w:t>
      </w:r>
      <w:r>
        <w:rPr>
          <w:rFonts w:eastAsia="Times New Roman"/>
          <w:bCs/>
          <w:szCs w:val="24"/>
        </w:rPr>
        <w:t>CO</w:t>
      </w:r>
      <w:r>
        <w:rPr>
          <w:rFonts w:eastAsia="Times New Roman"/>
          <w:bCs/>
          <w:szCs w:val="24"/>
          <w:vertAlign w:val="subscript"/>
        </w:rPr>
        <w:t>2</w:t>
      </w:r>
      <w:r>
        <w:rPr>
          <w:bCs/>
        </w:rPr>
        <w:t>。</w:t>
      </w:r>
    </w:p>
    <w:p w14:paraId="774490F0">
      <w:pPr>
        <w:ind w:firstLine="482"/>
        <w:outlineLvl w:val="3"/>
        <w:rPr>
          <w:b/>
          <w:bCs/>
        </w:rPr>
      </w:pPr>
      <w:r>
        <w:rPr>
          <w:rFonts w:hint="eastAsia"/>
          <w:b/>
          <w:bCs/>
        </w:rPr>
        <w:t>3、</w:t>
      </w:r>
      <w:r>
        <w:rPr>
          <w:b/>
          <w:bCs/>
        </w:rPr>
        <w:t>CO</w:t>
      </w:r>
      <w:r>
        <w:rPr>
          <w:b/>
          <w:bCs/>
          <w:vertAlign w:val="subscript"/>
        </w:rPr>
        <w:t>2</w:t>
      </w:r>
      <w:r>
        <w:rPr>
          <w:rFonts w:hint="eastAsia"/>
          <w:b/>
          <w:bCs/>
        </w:rPr>
        <w:t>回收利用量</w:t>
      </w:r>
    </w:p>
    <w:p w14:paraId="1C793064">
      <w:pPr>
        <w:ind w:firstLine="480"/>
        <w:rPr>
          <w:bCs/>
        </w:rPr>
      </w:pPr>
      <w:r>
        <w:rPr>
          <w:rFonts w:hint="eastAsia"/>
          <w:bCs/>
        </w:rPr>
        <w:t>每个企业边界回收且外供的</w:t>
      </w:r>
      <w:r>
        <w:rPr>
          <w:bCs/>
        </w:rPr>
        <w:t>CO</w:t>
      </w:r>
      <w:r>
        <w:rPr>
          <w:bCs/>
          <w:vertAlign w:val="subscript"/>
        </w:rPr>
        <w:t>2</w:t>
      </w:r>
      <w:r>
        <w:rPr>
          <w:rFonts w:hint="eastAsia"/>
          <w:bCs/>
        </w:rPr>
        <w:t>量按如下式计算</w:t>
      </w:r>
      <w:r>
        <w:rPr>
          <w:bCs/>
        </w:rPr>
        <w:t>：</w:t>
      </w:r>
    </w:p>
    <w:p w14:paraId="704220B3">
      <w:pPr>
        <w:ind w:firstLine="0" w:firstLineChars="0"/>
        <w:jc w:val="center"/>
        <w:rPr>
          <w:bCs/>
        </w:rPr>
      </w:pPr>
      <w:r>
        <w:rPr>
          <w:rFonts w:hint="eastAsia"/>
          <w:bCs/>
        </w:rPr>
        <w:t>R</w:t>
      </w:r>
      <w:r>
        <w:rPr>
          <w:bCs/>
          <w:vertAlign w:val="subscript"/>
        </w:rPr>
        <w:t>CO2-</w:t>
      </w:r>
      <w:r>
        <w:rPr>
          <w:rFonts w:hint="eastAsia"/>
          <w:bCs/>
          <w:vertAlign w:val="subscript"/>
        </w:rPr>
        <w:t>回收</w:t>
      </w:r>
      <w:r>
        <w:rPr>
          <w:bCs/>
        </w:rPr>
        <w:t>=</w:t>
      </w:r>
      <w:r>
        <w:rPr>
          <w:rFonts w:hint="eastAsia"/>
          <w:bCs/>
          <w:szCs w:val="24"/>
        </w:rPr>
        <w:t>Q</w:t>
      </w:r>
      <w:r>
        <w:rPr>
          <w:rFonts w:ascii="Arial" w:hAnsi="Arial" w:cs="Arial"/>
          <w:bCs/>
          <w:szCs w:val="24"/>
        </w:rPr>
        <w:t>×</w:t>
      </w:r>
      <w:r>
        <w:rPr>
          <w:rFonts w:hint="eastAsia"/>
          <w:bCs/>
          <w:szCs w:val="24"/>
        </w:rPr>
        <w:t>PUR</w:t>
      </w:r>
      <w:r>
        <w:rPr>
          <w:bCs/>
          <w:vertAlign w:val="subscript"/>
        </w:rPr>
        <w:t>CO2</w:t>
      </w:r>
      <w:r>
        <w:rPr>
          <w:rFonts w:ascii="Arial" w:hAnsi="Arial" w:cs="Arial"/>
          <w:bCs/>
        </w:rPr>
        <w:t>×</w:t>
      </w:r>
      <w:r>
        <w:rPr>
          <w:bCs/>
        </w:rPr>
        <w:t>19.7</w:t>
      </w:r>
    </w:p>
    <w:p w14:paraId="33ED71F5">
      <w:pPr>
        <w:ind w:firstLine="480"/>
        <w:rPr>
          <w:bCs/>
        </w:rPr>
      </w:pPr>
      <w:r>
        <w:rPr>
          <w:bCs/>
        </w:rPr>
        <w:t>式中：</w:t>
      </w:r>
      <w:r>
        <w:rPr>
          <w:rFonts w:hint="eastAsia"/>
          <w:bCs/>
        </w:rPr>
        <w:t>R</w:t>
      </w:r>
      <w:r>
        <w:rPr>
          <w:bCs/>
          <w:vertAlign w:val="subscript"/>
        </w:rPr>
        <w:t>CO2-</w:t>
      </w:r>
      <w:r>
        <w:rPr>
          <w:rFonts w:hint="eastAsia"/>
          <w:bCs/>
          <w:vertAlign w:val="subscript"/>
        </w:rPr>
        <w:t>回收</w:t>
      </w:r>
      <w:r>
        <w:rPr>
          <w:bCs/>
          <w:position w:val="-2"/>
          <w:szCs w:val="24"/>
        </w:rPr>
        <w:t>——</w:t>
      </w:r>
      <w:r>
        <w:rPr>
          <w:rFonts w:hint="eastAsia"/>
          <w:bCs/>
        </w:rPr>
        <w:t>企业边界的</w:t>
      </w:r>
      <w:r>
        <w:rPr>
          <w:bCs/>
        </w:rPr>
        <w:t>CO</w:t>
      </w:r>
      <w:r>
        <w:rPr>
          <w:bCs/>
          <w:vertAlign w:val="subscript"/>
        </w:rPr>
        <w:t>2</w:t>
      </w:r>
      <w:r>
        <w:rPr>
          <w:rFonts w:hint="eastAsia"/>
          <w:bCs/>
        </w:rPr>
        <w:t>回收利用量</w:t>
      </w:r>
      <w:r>
        <w:rPr>
          <w:bCs/>
        </w:rPr>
        <w:t>，单位为吨；</w:t>
      </w:r>
    </w:p>
    <w:p w14:paraId="37399274">
      <w:pPr>
        <w:ind w:firstLine="1274" w:firstLineChars="531"/>
        <w:rPr>
          <w:bCs/>
        </w:rPr>
      </w:pPr>
      <w:r>
        <w:rPr>
          <w:rFonts w:hint="eastAsia"/>
          <w:bCs/>
        </w:rPr>
        <w:t>Q</w:t>
      </w:r>
      <w:r>
        <w:rPr>
          <w:bCs/>
          <w:position w:val="-2"/>
          <w:szCs w:val="24"/>
        </w:rPr>
        <w:t>——</w:t>
      </w:r>
      <w:r>
        <w:rPr>
          <w:rFonts w:hint="eastAsia"/>
          <w:bCs/>
        </w:rPr>
        <w:t>企业边界回收且外供的</w:t>
      </w:r>
      <w:r>
        <w:rPr>
          <w:bCs/>
        </w:rPr>
        <w:t>CO</w:t>
      </w:r>
      <w:r>
        <w:rPr>
          <w:bCs/>
          <w:vertAlign w:val="subscript"/>
        </w:rPr>
        <w:t>2</w:t>
      </w:r>
      <w:r>
        <w:rPr>
          <w:rFonts w:hint="eastAsia"/>
          <w:bCs/>
        </w:rPr>
        <w:t>气体体积，单位为万Nm</w:t>
      </w:r>
      <w:r>
        <w:rPr>
          <w:rFonts w:hint="eastAsia"/>
          <w:bCs/>
          <w:vertAlign w:val="superscript"/>
        </w:rPr>
        <w:t>3</w:t>
      </w:r>
      <w:r>
        <w:rPr>
          <w:bCs/>
        </w:rPr>
        <w:t>；</w:t>
      </w:r>
    </w:p>
    <w:p w14:paraId="36B44CCD">
      <w:pPr>
        <w:ind w:firstLine="1274" w:firstLineChars="531"/>
        <w:rPr>
          <w:bCs/>
        </w:rPr>
      </w:pPr>
      <w:r>
        <w:rPr>
          <w:rFonts w:hint="eastAsia"/>
          <w:bCs/>
          <w:szCs w:val="24"/>
        </w:rPr>
        <w:t>PUR</w:t>
      </w:r>
      <w:r>
        <w:rPr>
          <w:bCs/>
          <w:vertAlign w:val="subscript"/>
        </w:rPr>
        <w:t>CO2</w:t>
      </w:r>
      <w:r>
        <w:rPr>
          <w:bCs/>
          <w:position w:val="-2"/>
          <w:szCs w:val="24"/>
        </w:rPr>
        <w:t>——</w:t>
      </w:r>
      <w:r>
        <w:rPr>
          <w:bCs/>
        </w:rPr>
        <w:t>CO</w:t>
      </w:r>
      <w:r>
        <w:rPr>
          <w:bCs/>
          <w:vertAlign w:val="subscript"/>
        </w:rPr>
        <w:t>2</w:t>
      </w:r>
      <w:r>
        <w:rPr>
          <w:rFonts w:hint="eastAsia"/>
          <w:bCs/>
        </w:rPr>
        <w:t>外供气体的纯度</w:t>
      </w:r>
      <w:r>
        <w:rPr>
          <w:bCs/>
        </w:rPr>
        <w:t>，单位为</w:t>
      </w:r>
      <w:r>
        <w:rPr>
          <w:rFonts w:hint="eastAsia"/>
          <w:bCs/>
        </w:rPr>
        <w:t>%</w:t>
      </w:r>
      <w:r>
        <w:rPr>
          <w:bCs/>
        </w:rPr>
        <w:t>；</w:t>
      </w:r>
    </w:p>
    <w:p w14:paraId="3DF31416">
      <w:pPr>
        <w:ind w:firstLine="1274" w:firstLineChars="531"/>
        <w:rPr>
          <w:bCs/>
        </w:rPr>
      </w:pPr>
      <w:r>
        <w:rPr>
          <w:rFonts w:hint="eastAsia"/>
          <w:bCs/>
        </w:rPr>
        <w:t>19.7</w:t>
      </w:r>
      <w:r>
        <w:rPr>
          <w:bCs/>
          <w:position w:val="-2"/>
          <w:szCs w:val="24"/>
        </w:rPr>
        <w:t>——</w:t>
      </w:r>
      <w:r>
        <w:rPr>
          <w:bCs/>
        </w:rPr>
        <w:t>CO</w:t>
      </w:r>
      <w:r>
        <w:rPr>
          <w:bCs/>
          <w:vertAlign w:val="subscript"/>
        </w:rPr>
        <w:t>2</w:t>
      </w:r>
      <w:r>
        <w:rPr>
          <w:rFonts w:hint="eastAsia"/>
          <w:bCs/>
        </w:rPr>
        <w:t>气体的密度，单位为吨/万Nm</w:t>
      </w:r>
      <w:r>
        <w:rPr>
          <w:rFonts w:hint="eastAsia"/>
          <w:bCs/>
          <w:vertAlign w:val="superscript"/>
        </w:rPr>
        <w:t>3</w:t>
      </w:r>
      <w:r>
        <w:rPr>
          <w:rFonts w:hint="eastAsia"/>
          <w:bCs/>
        </w:rPr>
        <w:t>。</w:t>
      </w:r>
    </w:p>
    <w:p w14:paraId="31567200">
      <w:pPr>
        <w:ind w:firstLine="480"/>
        <w:rPr>
          <w:bCs/>
        </w:rPr>
      </w:pPr>
      <w:r>
        <w:rPr>
          <w:bCs/>
        </w:rPr>
        <w:t>本项目不涉及CO</w:t>
      </w:r>
      <w:r>
        <w:rPr>
          <w:bCs/>
          <w:vertAlign w:val="subscript"/>
        </w:rPr>
        <w:t>2</w:t>
      </w:r>
      <w:r>
        <w:rPr>
          <w:rFonts w:hint="eastAsia"/>
          <w:bCs/>
        </w:rPr>
        <w:t>回收利用量，故R</w:t>
      </w:r>
      <w:r>
        <w:rPr>
          <w:bCs/>
          <w:vertAlign w:val="subscript"/>
        </w:rPr>
        <w:t>CO2-</w:t>
      </w:r>
      <w:r>
        <w:rPr>
          <w:rFonts w:hint="eastAsia"/>
          <w:bCs/>
          <w:vertAlign w:val="subscript"/>
        </w:rPr>
        <w:t>回收</w:t>
      </w:r>
      <w:r>
        <w:rPr>
          <w:bCs/>
        </w:rPr>
        <w:t>=</w:t>
      </w:r>
      <w:r>
        <w:rPr>
          <w:rFonts w:hint="eastAsia"/>
          <w:bCs/>
        </w:rPr>
        <w:t>0</w:t>
      </w:r>
      <w:r>
        <w:rPr>
          <w:bCs/>
        </w:rPr>
        <w:t>。</w:t>
      </w:r>
    </w:p>
    <w:p w14:paraId="1709CA6C">
      <w:pPr>
        <w:ind w:firstLine="482"/>
        <w:outlineLvl w:val="3"/>
        <w:rPr>
          <w:b/>
          <w:bCs/>
        </w:rPr>
      </w:pPr>
      <w:r>
        <w:rPr>
          <w:rFonts w:hint="eastAsia"/>
          <w:b/>
          <w:bCs/>
        </w:rPr>
        <w:t>4、</w:t>
      </w:r>
      <w:r>
        <w:rPr>
          <w:b/>
          <w:bCs/>
        </w:rPr>
        <w:t>净购入的电力和热力</w:t>
      </w:r>
      <w:r>
        <w:rPr>
          <w:rFonts w:hint="eastAsia"/>
          <w:b/>
          <w:bCs/>
        </w:rPr>
        <w:t>消费</w:t>
      </w:r>
      <w:r>
        <w:rPr>
          <w:b/>
          <w:bCs/>
        </w:rPr>
        <w:t>引起的CO</w:t>
      </w:r>
      <w:r>
        <w:rPr>
          <w:b/>
          <w:bCs/>
          <w:vertAlign w:val="subscript"/>
        </w:rPr>
        <w:t>2</w:t>
      </w:r>
      <w:r>
        <w:rPr>
          <w:b/>
          <w:bCs/>
        </w:rPr>
        <w:t>排放</w:t>
      </w:r>
    </w:p>
    <w:p w14:paraId="6DA76022">
      <w:pPr>
        <w:ind w:firstLine="480"/>
        <w:rPr>
          <w:bCs/>
        </w:rPr>
      </w:pPr>
      <w:r>
        <w:rPr>
          <w:bCs/>
        </w:rPr>
        <w:t>企业净购入的电力消费引起的CO</w:t>
      </w:r>
      <w:r>
        <w:rPr>
          <w:bCs/>
          <w:vertAlign w:val="subscript"/>
        </w:rPr>
        <w:t>2</w:t>
      </w:r>
      <w:r>
        <w:rPr>
          <w:bCs/>
        </w:rPr>
        <w:t>排放以及净购入的热力消费引起的CO</w:t>
      </w:r>
      <w:r>
        <w:rPr>
          <w:bCs/>
          <w:vertAlign w:val="subscript"/>
        </w:rPr>
        <w:t>2</w:t>
      </w:r>
      <w:r>
        <w:rPr>
          <w:bCs/>
        </w:rPr>
        <w:t>排放按下述公式计算：</w:t>
      </w:r>
    </w:p>
    <w:p w14:paraId="491FDC75">
      <w:pPr>
        <w:ind w:firstLine="0" w:firstLineChars="0"/>
        <w:jc w:val="center"/>
        <w:rPr>
          <w:bCs/>
          <w:szCs w:val="24"/>
        </w:rPr>
      </w:pPr>
      <w:r>
        <w:rPr>
          <w:bCs/>
          <w:szCs w:val="24"/>
        </w:rPr>
        <w:t>E</w:t>
      </w:r>
      <w:r>
        <w:rPr>
          <w:bCs/>
          <w:szCs w:val="24"/>
          <w:vertAlign w:val="subscript"/>
        </w:rPr>
        <w:t>CO2净电</w:t>
      </w:r>
      <w:r>
        <w:rPr>
          <w:bCs/>
          <w:szCs w:val="24"/>
        </w:rPr>
        <w:t>=AD</w:t>
      </w:r>
      <w:r>
        <w:rPr>
          <w:bCs/>
          <w:szCs w:val="24"/>
          <w:vertAlign w:val="subscript"/>
        </w:rPr>
        <w:t>电力</w:t>
      </w:r>
      <w:r>
        <w:rPr>
          <w:bCs/>
          <w:szCs w:val="24"/>
        </w:rPr>
        <w:t>×EF</w:t>
      </w:r>
      <w:r>
        <w:rPr>
          <w:bCs/>
          <w:szCs w:val="24"/>
          <w:vertAlign w:val="subscript"/>
        </w:rPr>
        <w:t>电力</w:t>
      </w:r>
    </w:p>
    <w:p w14:paraId="665941C1">
      <w:pPr>
        <w:ind w:firstLine="0" w:firstLineChars="0"/>
        <w:jc w:val="center"/>
        <w:rPr>
          <w:bCs/>
        </w:rPr>
      </w:pPr>
      <w:r>
        <w:rPr>
          <w:bCs/>
          <w:szCs w:val="24"/>
        </w:rPr>
        <w:t>E</w:t>
      </w:r>
      <w:r>
        <w:rPr>
          <w:bCs/>
          <w:szCs w:val="24"/>
          <w:vertAlign w:val="subscript"/>
        </w:rPr>
        <w:t>CO2净热</w:t>
      </w:r>
      <w:r>
        <w:rPr>
          <w:bCs/>
          <w:szCs w:val="24"/>
        </w:rPr>
        <w:t>=AD</w:t>
      </w:r>
      <w:r>
        <w:rPr>
          <w:bCs/>
          <w:szCs w:val="24"/>
          <w:vertAlign w:val="subscript"/>
        </w:rPr>
        <w:t>热力</w:t>
      </w:r>
      <w:r>
        <w:rPr>
          <w:bCs/>
          <w:szCs w:val="24"/>
        </w:rPr>
        <w:t>×EF</w:t>
      </w:r>
      <w:r>
        <w:rPr>
          <w:bCs/>
          <w:szCs w:val="24"/>
          <w:vertAlign w:val="subscript"/>
        </w:rPr>
        <w:t>热力</w:t>
      </w:r>
    </w:p>
    <w:p w14:paraId="093C6D5F">
      <w:pPr>
        <w:ind w:firstLine="480"/>
        <w:rPr>
          <w:bCs/>
        </w:rPr>
      </w:pPr>
      <w:r>
        <w:rPr>
          <w:bCs/>
        </w:rPr>
        <w:t>式中：E</w:t>
      </w:r>
      <w:r>
        <w:rPr>
          <w:bCs/>
          <w:vertAlign w:val="subscript"/>
        </w:rPr>
        <w:t>CO2净电</w:t>
      </w:r>
      <w:r>
        <w:rPr>
          <w:bCs/>
          <w:position w:val="-2"/>
          <w:szCs w:val="24"/>
        </w:rPr>
        <w:t>——</w:t>
      </w:r>
      <w:r>
        <w:rPr>
          <w:bCs/>
        </w:rPr>
        <w:t>企业净购入的电力消费引起的CO</w:t>
      </w:r>
      <w:r>
        <w:rPr>
          <w:bCs/>
          <w:vertAlign w:val="subscript"/>
        </w:rPr>
        <w:t>2</w:t>
      </w:r>
      <w:r>
        <w:rPr>
          <w:bCs/>
        </w:rPr>
        <w:t>排放，单位为吨CO</w:t>
      </w:r>
      <w:r>
        <w:rPr>
          <w:bCs/>
          <w:vertAlign w:val="subscript"/>
        </w:rPr>
        <w:t>2</w:t>
      </w:r>
      <w:r>
        <w:rPr>
          <w:bCs/>
        </w:rPr>
        <w:t>；</w:t>
      </w:r>
    </w:p>
    <w:p w14:paraId="6E3C8A55">
      <w:pPr>
        <w:ind w:firstLine="1132" w:firstLineChars="472"/>
        <w:rPr>
          <w:bCs/>
        </w:rPr>
      </w:pPr>
      <w:r>
        <w:rPr>
          <w:bCs/>
        </w:rPr>
        <w:t>E</w:t>
      </w:r>
      <w:r>
        <w:rPr>
          <w:bCs/>
          <w:vertAlign w:val="subscript"/>
        </w:rPr>
        <w:t>CO2净热</w:t>
      </w:r>
      <w:r>
        <w:rPr>
          <w:bCs/>
          <w:position w:val="-2"/>
          <w:szCs w:val="24"/>
        </w:rPr>
        <w:t>——</w:t>
      </w:r>
      <w:r>
        <w:rPr>
          <w:bCs/>
        </w:rPr>
        <w:t>企业净购入的热力消费引起的CO</w:t>
      </w:r>
      <w:r>
        <w:rPr>
          <w:bCs/>
          <w:vertAlign w:val="subscript"/>
        </w:rPr>
        <w:t>2</w:t>
      </w:r>
      <w:r>
        <w:rPr>
          <w:bCs/>
        </w:rPr>
        <w:t>排放，单位为吨CO</w:t>
      </w:r>
      <w:r>
        <w:rPr>
          <w:bCs/>
          <w:vertAlign w:val="subscript"/>
        </w:rPr>
        <w:t>2</w:t>
      </w:r>
      <w:r>
        <w:rPr>
          <w:bCs/>
        </w:rPr>
        <w:t>；</w:t>
      </w:r>
    </w:p>
    <w:p w14:paraId="2393E142">
      <w:pPr>
        <w:ind w:firstLine="1132" w:firstLineChars="472"/>
        <w:rPr>
          <w:bCs/>
        </w:rPr>
      </w:pPr>
      <w:r>
        <w:rPr>
          <w:bCs/>
        </w:rPr>
        <w:t>AD</w:t>
      </w:r>
      <w:r>
        <w:rPr>
          <w:bCs/>
          <w:vertAlign w:val="subscript"/>
        </w:rPr>
        <w:t>电力</w:t>
      </w:r>
      <w:r>
        <w:rPr>
          <w:bCs/>
          <w:position w:val="-2"/>
          <w:szCs w:val="24"/>
        </w:rPr>
        <w:t>——</w:t>
      </w:r>
      <w:r>
        <w:rPr>
          <w:bCs/>
        </w:rPr>
        <w:t>企业净购入的电力消费，单位为MWh；</w:t>
      </w:r>
    </w:p>
    <w:p w14:paraId="7B35568C">
      <w:pPr>
        <w:ind w:firstLine="1132" w:firstLineChars="472"/>
        <w:rPr>
          <w:bCs/>
        </w:rPr>
      </w:pPr>
      <w:r>
        <w:rPr>
          <w:bCs/>
        </w:rPr>
        <w:t>AD</w:t>
      </w:r>
      <w:r>
        <w:rPr>
          <w:bCs/>
          <w:vertAlign w:val="subscript"/>
        </w:rPr>
        <w:t>热力</w:t>
      </w:r>
      <w:r>
        <w:rPr>
          <w:bCs/>
          <w:position w:val="-2"/>
          <w:szCs w:val="24"/>
        </w:rPr>
        <w:t>——</w:t>
      </w:r>
      <w:r>
        <w:rPr>
          <w:bCs/>
        </w:rPr>
        <w:t>企业净购入的热力消费，单位为GJ；</w:t>
      </w:r>
    </w:p>
    <w:p w14:paraId="48463431">
      <w:pPr>
        <w:ind w:firstLine="1132" w:firstLineChars="472"/>
        <w:rPr>
          <w:bCs/>
        </w:rPr>
      </w:pPr>
      <w:r>
        <w:rPr>
          <w:bCs/>
        </w:rPr>
        <w:t>EF</w:t>
      </w:r>
      <w:r>
        <w:rPr>
          <w:bCs/>
          <w:vertAlign w:val="subscript"/>
        </w:rPr>
        <w:t>电力</w:t>
      </w:r>
      <w:r>
        <w:rPr>
          <w:bCs/>
          <w:position w:val="-2"/>
          <w:szCs w:val="24"/>
        </w:rPr>
        <w:t>——</w:t>
      </w:r>
      <w:r>
        <w:rPr>
          <w:bCs/>
        </w:rPr>
        <w:t>电力供应的CO</w:t>
      </w:r>
      <w:r>
        <w:rPr>
          <w:bCs/>
          <w:vertAlign w:val="subscript"/>
        </w:rPr>
        <w:t>2</w:t>
      </w:r>
      <w:r>
        <w:rPr>
          <w:bCs/>
        </w:rPr>
        <w:t>排放因子，单位为吨CO</w:t>
      </w:r>
      <w:r>
        <w:rPr>
          <w:bCs/>
          <w:vertAlign w:val="subscript"/>
        </w:rPr>
        <w:t>2</w:t>
      </w:r>
      <w:r>
        <w:rPr>
          <w:bCs/>
        </w:rPr>
        <w:t>/MWh；</w:t>
      </w:r>
    </w:p>
    <w:p w14:paraId="484D150A">
      <w:pPr>
        <w:ind w:firstLine="1132" w:firstLineChars="472"/>
        <w:rPr>
          <w:bCs/>
        </w:rPr>
      </w:pPr>
      <w:r>
        <w:rPr>
          <w:bCs/>
        </w:rPr>
        <w:t>EF</w:t>
      </w:r>
      <w:r>
        <w:rPr>
          <w:bCs/>
          <w:vertAlign w:val="subscript"/>
        </w:rPr>
        <w:t>热力</w:t>
      </w:r>
      <w:r>
        <w:rPr>
          <w:bCs/>
          <w:position w:val="-2"/>
          <w:szCs w:val="24"/>
        </w:rPr>
        <w:t>——</w:t>
      </w:r>
      <w:r>
        <w:rPr>
          <w:bCs/>
        </w:rPr>
        <w:t>热力供应的CO</w:t>
      </w:r>
      <w:r>
        <w:rPr>
          <w:bCs/>
          <w:vertAlign w:val="subscript"/>
        </w:rPr>
        <w:t>2</w:t>
      </w:r>
      <w:r>
        <w:rPr>
          <w:bCs/>
        </w:rPr>
        <w:t>排放因子，单位为吨CO</w:t>
      </w:r>
      <w:r>
        <w:rPr>
          <w:bCs/>
          <w:vertAlign w:val="subscript"/>
        </w:rPr>
        <w:t>2</w:t>
      </w:r>
      <w:r>
        <w:rPr>
          <w:bCs/>
        </w:rPr>
        <w:t>/GJ</w:t>
      </w:r>
      <w:r>
        <w:rPr>
          <w:rFonts w:hint="eastAsia"/>
          <w:bCs/>
        </w:rPr>
        <w:t>，取0.11吨</w:t>
      </w:r>
      <w:r>
        <w:rPr>
          <w:bCs/>
        </w:rPr>
        <w:t>CO</w:t>
      </w:r>
      <w:r>
        <w:rPr>
          <w:bCs/>
          <w:vertAlign w:val="subscript"/>
        </w:rPr>
        <w:t>2</w:t>
      </w:r>
      <w:r>
        <w:rPr>
          <w:rFonts w:hint="eastAsia"/>
          <w:bCs/>
        </w:rPr>
        <w:t>/GJ</w:t>
      </w:r>
      <w:r>
        <w:rPr>
          <w:bCs/>
        </w:rPr>
        <w:t>；</w:t>
      </w:r>
    </w:p>
    <w:p w14:paraId="238567FD">
      <w:pPr>
        <w:ind w:firstLine="480"/>
        <w:rPr>
          <w:bCs/>
          <w:szCs w:val="24"/>
        </w:rPr>
      </w:pPr>
      <w:r>
        <w:rPr>
          <w:bCs/>
          <w:szCs w:val="24"/>
        </w:rPr>
        <w:t>根据工程动力消耗情况，本项目用电量为</w:t>
      </w:r>
      <w:r>
        <w:rPr>
          <w:rFonts w:hint="eastAsia"/>
          <w:bCs/>
          <w:szCs w:val="24"/>
        </w:rPr>
        <w:t>300</w:t>
      </w:r>
      <w:r>
        <w:rPr>
          <w:bCs/>
          <w:szCs w:val="24"/>
        </w:rPr>
        <w:t>MWh</w:t>
      </w:r>
      <w:r>
        <w:rPr>
          <w:bCs/>
        </w:rPr>
        <w:t>，电力供应的CO</w:t>
      </w:r>
      <w:r>
        <w:rPr>
          <w:bCs/>
          <w:vertAlign w:val="subscript"/>
        </w:rPr>
        <w:t>2</w:t>
      </w:r>
      <w:r>
        <w:rPr>
          <w:bCs/>
        </w:rPr>
        <w:t>排放因子</w:t>
      </w:r>
      <w:r>
        <w:rPr>
          <w:bCs/>
          <w:szCs w:val="24"/>
        </w:rPr>
        <w:t>取值来源于</w:t>
      </w:r>
      <w:r>
        <w:rPr>
          <w:rFonts w:hint="eastAsia"/>
          <w:bCs/>
          <w:szCs w:val="24"/>
        </w:rPr>
        <w:t>《企业温室气体排放核算方法与报告指南 发电设施》（环办气候〔2021〕9号）中电网排放因子调整为0.5810 tCO</w:t>
      </w:r>
      <w:r>
        <w:rPr>
          <w:rFonts w:hint="eastAsia"/>
          <w:bCs/>
          <w:szCs w:val="24"/>
          <w:vertAlign w:val="subscript"/>
        </w:rPr>
        <w:t>2</w:t>
      </w:r>
      <w:r>
        <w:rPr>
          <w:rFonts w:hint="eastAsia"/>
          <w:bCs/>
          <w:szCs w:val="24"/>
        </w:rPr>
        <w:t>/MWh的要求，</w:t>
      </w:r>
      <w:r>
        <w:rPr>
          <w:bCs/>
          <w:szCs w:val="24"/>
        </w:rPr>
        <w:t>即EF</w:t>
      </w:r>
      <w:r>
        <w:rPr>
          <w:bCs/>
          <w:szCs w:val="24"/>
          <w:vertAlign w:val="subscript"/>
        </w:rPr>
        <w:t>电力</w:t>
      </w:r>
      <w:r>
        <w:rPr>
          <w:bCs/>
          <w:szCs w:val="24"/>
        </w:rPr>
        <w:t>=0.5810吨CO</w:t>
      </w:r>
      <w:r>
        <w:rPr>
          <w:bCs/>
          <w:szCs w:val="24"/>
          <w:vertAlign w:val="subscript"/>
        </w:rPr>
        <w:t>2</w:t>
      </w:r>
      <w:r>
        <w:rPr>
          <w:bCs/>
          <w:szCs w:val="24"/>
        </w:rPr>
        <w:t>/MWh。</w:t>
      </w:r>
      <w:r>
        <w:rPr>
          <w:bCs/>
        </w:rPr>
        <w:t>则计算可知：本项目净购入的电力消费引起的CO</w:t>
      </w:r>
      <w:r>
        <w:rPr>
          <w:bCs/>
          <w:vertAlign w:val="subscript"/>
        </w:rPr>
        <w:t>2</w:t>
      </w:r>
      <w:r>
        <w:rPr>
          <w:bCs/>
        </w:rPr>
        <w:t>排放量为EF</w:t>
      </w:r>
      <w:r>
        <w:rPr>
          <w:bCs/>
          <w:vertAlign w:val="subscript"/>
        </w:rPr>
        <w:t>电力</w:t>
      </w:r>
      <w:r>
        <w:rPr>
          <w:bCs/>
          <w:position w:val="-2"/>
          <w:szCs w:val="24"/>
        </w:rPr>
        <w:t>=</w:t>
      </w:r>
      <w:r>
        <w:rPr>
          <w:rFonts w:hint="eastAsia"/>
          <w:bCs/>
          <w:szCs w:val="24"/>
        </w:rPr>
        <w:t>30</w:t>
      </w:r>
      <w:r>
        <w:rPr>
          <w:bCs/>
          <w:szCs w:val="24"/>
        </w:rPr>
        <w:t>0MWh×0.5810吨CO</w:t>
      </w:r>
      <w:r>
        <w:rPr>
          <w:bCs/>
          <w:szCs w:val="24"/>
          <w:vertAlign w:val="subscript"/>
        </w:rPr>
        <w:t>2</w:t>
      </w:r>
      <w:r>
        <w:rPr>
          <w:bCs/>
          <w:szCs w:val="24"/>
        </w:rPr>
        <w:t>/MWh=</w:t>
      </w:r>
      <w:r>
        <w:rPr>
          <w:rFonts w:hint="eastAsia"/>
          <w:bCs/>
          <w:szCs w:val="24"/>
        </w:rPr>
        <w:t>174.3</w:t>
      </w:r>
      <w:r>
        <w:rPr>
          <w:bCs/>
          <w:szCs w:val="24"/>
        </w:rPr>
        <w:t>吨CO</w:t>
      </w:r>
      <w:r>
        <w:rPr>
          <w:bCs/>
          <w:szCs w:val="24"/>
          <w:vertAlign w:val="subscript"/>
        </w:rPr>
        <w:t>2</w:t>
      </w:r>
      <w:r>
        <w:rPr>
          <w:b/>
        </w:rPr>
        <w:t>。</w:t>
      </w:r>
      <w:r>
        <w:rPr>
          <w:rFonts w:hint="eastAsia"/>
          <w:bCs/>
          <w:szCs w:val="24"/>
        </w:rPr>
        <w:t>本项目不使用蒸汽，即</w:t>
      </w:r>
      <w:r>
        <w:rPr>
          <w:bCs/>
        </w:rPr>
        <w:t>EF</w:t>
      </w:r>
      <w:r>
        <w:rPr>
          <w:bCs/>
          <w:vertAlign w:val="subscript"/>
        </w:rPr>
        <w:t>热力</w:t>
      </w:r>
      <w:r>
        <w:rPr>
          <w:bCs/>
          <w:position w:val="-2"/>
          <w:szCs w:val="24"/>
        </w:rPr>
        <w:t>=</w:t>
      </w:r>
      <w:r>
        <w:rPr>
          <w:rFonts w:hint="eastAsia"/>
          <w:bCs/>
          <w:position w:val="-2"/>
          <w:szCs w:val="24"/>
        </w:rPr>
        <w:t>0</w:t>
      </w:r>
      <w:r>
        <w:rPr>
          <w:bCs/>
          <w:szCs w:val="24"/>
        </w:rPr>
        <w:t>吨CO</w:t>
      </w:r>
      <w:r>
        <w:rPr>
          <w:bCs/>
          <w:szCs w:val="24"/>
          <w:vertAlign w:val="subscript"/>
        </w:rPr>
        <w:t>2</w:t>
      </w:r>
      <w:r>
        <w:rPr>
          <w:bCs/>
        </w:rPr>
        <w:t>。</w:t>
      </w:r>
    </w:p>
    <w:p w14:paraId="4FF31A25">
      <w:pPr>
        <w:ind w:firstLine="480"/>
        <w:rPr>
          <w:bCs/>
        </w:rPr>
      </w:pPr>
      <w:r>
        <w:rPr>
          <w:bCs/>
        </w:rPr>
        <w:t>综上，本项目</w:t>
      </w:r>
      <w:r>
        <w:rPr>
          <w:bCs/>
          <w:szCs w:val="24"/>
        </w:rPr>
        <w:t>净购入的电力和热力</w:t>
      </w:r>
      <w:r>
        <w:rPr>
          <w:rFonts w:hint="eastAsia"/>
          <w:bCs/>
          <w:szCs w:val="24"/>
        </w:rPr>
        <w:t>消费</w:t>
      </w:r>
      <w:r>
        <w:rPr>
          <w:bCs/>
          <w:szCs w:val="24"/>
        </w:rPr>
        <w:t>引起的CO</w:t>
      </w:r>
      <w:r>
        <w:rPr>
          <w:bCs/>
          <w:szCs w:val="24"/>
          <w:vertAlign w:val="subscript"/>
        </w:rPr>
        <w:t>2</w:t>
      </w:r>
      <w:r>
        <w:rPr>
          <w:bCs/>
          <w:szCs w:val="24"/>
        </w:rPr>
        <w:t>排放量为</w:t>
      </w:r>
      <w:r>
        <w:rPr>
          <w:rFonts w:hint="eastAsia"/>
          <w:bCs/>
          <w:szCs w:val="24"/>
        </w:rPr>
        <w:t>174.3</w:t>
      </w:r>
      <w:r>
        <w:rPr>
          <w:bCs/>
          <w:szCs w:val="24"/>
        </w:rPr>
        <w:t>吨CO</w:t>
      </w:r>
      <w:r>
        <w:rPr>
          <w:bCs/>
          <w:szCs w:val="24"/>
          <w:vertAlign w:val="subscript"/>
        </w:rPr>
        <w:t>2</w:t>
      </w:r>
      <w:r>
        <w:rPr>
          <w:bCs/>
        </w:rPr>
        <w:t>。</w:t>
      </w:r>
    </w:p>
    <w:p w14:paraId="3656F806">
      <w:pPr>
        <w:ind w:firstLine="482"/>
        <w:outlineLvl w:val="3"/>
        <w:rPr>
          <w:b/>
          <w:bCs/>
        </w:rPr>
      </w:pPr>
      <w:r>
        <w:rPr>
          <w:rFonts w:hint="eastAsia"/>
          <w:b/>
          <w:bCs/>
        </w:rPr>
        <w:t>5、本次</w:t>
      </w:r>
      <w:r>
        <w:rPr>
          <w:b/>
          <w:bCs/>
        </w:rPr>
        <w:t>工程二氧化碳总排放量</w:t>
      </w:r>
    </w:p>
    <w:p w14:paraId="4175BBEC">
      <w:pPr>
        <w:ind w:firstLine="0" w:firstLineChars="0"/>
        <w:jc w:val="center"/>
        <w:rPr>
          <w:bCs/>
          <w:sz w:val="12"/>
        </w:rPr>
      </w:pPr>
      <w:r>
        <w:rPr>
          <w:rFonts w:eastAsia="Times New Roman"/>
          <w:bCs/>
          <w:position w:val="4"/>
        </w:rPr>
        <w:t>E</w:t>
      </w:r>
      <w:r>
        <w:rPr>
          <w:rFonts w:eastAsia="Times New Roman"/>
          <w:bCs/>
          <w:position w:val="2"/>
          <w:sz w:val="15"/>
        </w:rPr>
        <w:t>GHG</w:t>
      </w:r>
      <w:r>
        <w:rPr>
          <w:rFonts w:eastAsia="Times New Roman"/>
          <w:bCs/>
          <w:position w:val="4"/>
        </w:rPr>
        <w:t>=E</w:t>
      </w:r>
      <w:r>
        <w:rPr>
          <w:rFonts w:eastAsia="Times New Roman"/>
          <w:bCs/>
          <w:position w:val="2"/>
          <w:sz w:val="15"/>
        </w:rPr>
        <w:t>CO2-</w:t>
      </w:r>
      <w:r>
        <w:rPr>
          <w:bCs/>
          <w:sz w:val="12"/>
        </w:rPr>
        <w:t>燃烧</w:t>
      </w:r>
      <w:r>
        <w:rPr>
          <w:rFonts w:eastAsia="Times New Roman"/>
          <w:bCs/>
          <w:position w:val="4"/>
        </w:rPr>
        <w:t>+E</w:t>
      </w:r>
      <w:r>
        <w:rPr>
          <w:rFonts w:eastAsia="Times New Roman"/>
          <w:bCs/>
          <w:position w:val="2"/>
          <w:sz w:val="15"/>
        </w:rPr>
        <w:t>GHG-</w:t>
      </w:r>
      <w:r>
        <w:rPr>
          <w:bCs/>
          <w:sz w:val="12"/>
        </w:rPr>
        <w:t>过程</w:t>
      </w:r>
      <w:r>
        <w:rPr>
          <w:rFonts w:eastAsia="Times New Roman"/>
          <w:bCs/>
          <w:position w:val="4"/>
        </w:rPr>
        <w:t>-R</w:t>
      </w:r>
      <w:r>
        <w:rPr>
          <w:rFonts w:eastAsia="Times New Roman"/>
          <w:bCs/>
          <w:position w:val="2"/>
          <w:sz w:val="15"/>
        </w:rPr>
        <w:t>CO2-</w:t>
      </w:r>
      <w:r>
        <w:rPr>
          <w:bCs/>
          <w:sz w:val="12"/>
        </w:rPr>
        <w:t>回收</w:t>
      </w:r>
      <w:r>
        <w:rPr>
          <w:rFonts w:eastAsia="Times New Roman"/>
          <w:bCs/>
          <w:position w:val="4"/>
        </w:rPr>
        <w:t>+E</w:t>
      </w:r>
      <w:r>
        <w:rPr>
          <w:rFonts w:eastAsia="Times New Roman"/>
          <w:bCs/>
          <w:position w:val="2"/>
          <w:sz w:val="15"/>
        </w:rPr>
        <w:t>CO2-</w:t>
      </w:r>
      <w:r>
        <w:rPr>
          <w:bCs/>
          <w:sz w:val="12"/>
        </w:rPr>
        <w:t>净电</w:t>
      </w:r>
      <w:r>
        <w:rPr>
          <w:rFonts w:eastAsia="Times New Roman"/>
          <w:bCs/>
          <w:position w:val="4"/>
        </w:rPr>
        <w:t>+E</w:t>
      </w:r>
      <w:r>
        <w:rPr>
          <w:rFonts w:eastAsia="Times New Roman"/>
          <w:bCs/>
          <w:position w:val="2"/>
          <w:sz w:val="15"/>
        </w:rPr>
        <w:t>CO2-</w:t>
      </w:r>
      <w:r>
        <w:rPr>
          <w:bCs/>
          <w:sz w:val="12"/>
        </w:rPr>
        <w:t>净热</w:t>
      </w:r>
    </w:p>
    <w:p w14:paraId="5CB719FC">
      <w:pPr>
        <w:ind w:firstLine="480"/>
        <w:rPr>
          <w:bCs/>
        </w:rPr>
      </w:pPr>
      <w:r>
        <w:rPr>
          <w:bCs/>
        </w:rPr>
        <w:t>式中：</w:t>
      </w:r>
      <w:r>
        <w:rPr>
          <w:rFonts w:eastAsia="Times New Roman"/>
          <w:bCs/>
          <w:position w:val="2"/>
        </w:rPr>
        <w:t>E</w:t>
      </w:r>
      <w:r>
        <w:rPr>
          <w:rFonts w:eastAsia="Times New Roman"/>
          <w:bCs/>
          <w:sz w:val="15"/>
        </w:rPr>
        <w:t>GHG</w:t>
      </w:r>
      <w:r>
        <w:rPr>
          <w:bCs/>
          <w:position w:val="-2"/>
        </w:rPr>
        <w:t>——</w:t>
      </w:r>
      <w:r>
        <w:rPr>
          <w:bCs/>
          <w:spacing w:val="-3"/>
          <w:position w:val="2"/>
        </w:rPr>
        <w:t>报告主体的温室气体排放总量，单位为吨</w:t>
      </w:r>
      <w:r>
        <w:rPr>
          <w:rFonts w:eastAsia="Times New Roman"/>
          <w:bCs/>
          <w:position w:val="2"/>
        </w:rPr>
        <w:t>CO</w:t>
      </w:r>
      <w:r>
        <w:rPr>
          <w:rFonts w:eastAsia="Times New Roman"/>
          <w:bCs/>
          <w:position w:val="2"/>
          <w:vertAlign w:val="subscript"/>
        </w:rPr>
        <w:t>2</w:t>
      </w:r>
      <w:r>
        <w:rPr>
          <w:bCs/>
          <w:position w:val="2"/>
        </w:rPr>
        <w:t>当量；</w:t>
      </w:r>
    </w:p>
    <w:p w14:paraId="776CBCCC">
      <w:pPr>
        <w:ind w:firstLine="1132" w:firstLineChars="472"/>
        <w:rPr>
          <w:bCs/>
        </w:rPr>
      </w:pPr>
      <w:r>
        <w:rPr>
          <w:rFonts w:eastAsia="Times New Roman"/>
          <w:bCs/>
        </w:rPr>
        <w:t>E</w:t>
      </w:r>
      <w:r>
        <w:rPr>
          <w:rFonts w:eastAsia="Times New Roman"/>
          <w:bCs/>
          <w:vertAlign w:val="subscript"/>
        </w:rPr>
        <w:t>CO2-</w:t>
      </w:r>
      <w:r>
        <w:rPr>
          <w:bCs/>
          <w:position w:val="-2"/>
          <w:sz w:val="12"/>
        </w:rPr>
        <w:t>燃烧</w:t>
      </w:r>
      <w:r>
        <w:rPr>
          <w:bCs/>
          <w:position w:val="-2"/>
        </w:rPr>
        <w:t>——</w:t>
      </w:r>
      <w:r>
        <w:rPr>
          <w:bCs/>
        </w:rPr>
        <w:t>企业边界内化石燃料燃烧产生的</w:t>
      </w:r>
      <w:r>
        <w:rPr>
          <w:rFonts w:eastAsia="Times New Roman"/>
          <w:bCs/>
        </w:rPr>
        <w:t>CO</w:t>
      </w:r>
      <w:r>
        <w:rPr>
          <w:rFonts w:eastAsia="Times New Roman"/>
          <w:bCs/>
          <w:vertAlign w:val="subscript"/>
        </w:rPr>
        <w:t>2</w:t>
      </w:r>
      <w:r>
        <w:rPr>
          <w:bCs/>
        </w:rPr>
        <w:t>排放；</w:t>
      </w:r>
    </w:p>
    <w:p w14:paraId="2193DFAA">
      <w:pPr>
        <w:ind w:firstLine="1132" w:firstLineChars="472"/>
        <w:rPr>
          <w:bCs/>
          <w:sz w:val="17"/>
        </w:rPr>
      </w:pPr>
      <w:r>
        <w:rPr>
          <w:rFonts w:eastAsia="Times New Roman"/>
          <w:bCs/>
        </w:rPr>
        <w:t>E</w:t>
      </w:r>
      <w:r>
        <w:rPr>
          <w:rFonts w:eastAsia="Times New Roman"/>
          <w:bCs/>
          <w:vertAlign w:val="subscript"/>
        </w:rPr>
        <w:t>GHG-</w:t>
      </w:r>
      <w:r>
        <w:rPr>
          <w:bCs/>
          <w:position w:val="-3"/>
          <w:sz w:val="12"/>
        </w:rPr>
        <w:t>过程</w:t>
      </w:r>
      <w:r>
        <w:rPr>
          <w:bCs/>
          <w:position w:val="-2"/>
        </w:rPr>
        <w:t>——</w:t>
      </w:r>
      <w:r>
        <w:rPr>
          <w:bCs/>
        </w:rPr>
        <w:t>企业边界内工业生产过程产生的各种温室气体</w:t>
      </w:r>
      <w:r>
        <w:rPr>
          <w:rFonts w:eastAsia="Times New Roman"/>
          <w:bCs/>
        </w:rPr>
        <w:t>CO</w:t>
      </w:r>
      <w:r>
        <w:rPr>
          <w:rFonts w:eastAsia="Times New Roman"/>
          <w:bCs/>
          <w:vertAlign w:val="subscript"/>
        </w:rPr>
        <w:t>2</w:t>
      </w:r>
      <w:r>
        <w:rPr>
          <w:bCs/>
        </w:rPr>
        <w:t>当量排放；</w:t>
      </w:r>
    </w:p>
    <w:p w14:paraId="40F8327B">
      <w:pPr>
        <w:ind w:firstLine="1132" w:firstLineChars="472"/>
        <w:rPr>
          <w:bCs/>
        </w:rPr>
      </w:pPr>
      <w:r>
        <w:rPr>
          <w:rFonts w:eastAsia="Times New Roman"/>
          <w:bCs/>
        </w:rPr>
        <w:t>R</w:t>
      </w:r>
      <w:r>
        <w:rPr>
          <w:rFonts w:eastAsia="Times New Roman"/>
          <w:bCs/>
          <w:vertAlign w:val="subscript"/>
        </w:rPr>
        <w:t>CO2-</w:t>
      </w:r>
      <w:r>
        <w:rPr>
          <w:bCs/>
          <w:position w:val="-2"/>
          <w:sz w:val="12"/>
        </w:rPr>
        <w:t>回收</w:t>
      </w:r>
      <w:r>
        <w:rPr>
          <w:bCs/>
          <w:position w:val="-2"/>
        </w:rPr>
        <w:t>——</w:t>
      </w:r>
      <w:r>
        <w:rPr>
          <w:bCs/>
        </w:rPr>
        <w:t>企业回收且外供的</w:t>
      </w:r>
      <w:r>
        <w:rPr>
          <w:rFonts w:eastAsia="Times New Roman"/>
          <w:bCs/>
        </w:rPr>
        <w:t>CO</w:t>
      </w:r>
      <w:r>
        <w:rPr>
          <w:rFonts w:eastAsia="Times New Roman"/>
          <w:bCs/>
          <w:vertAlign w:val="subscript"/>
        </w:rPr>
        <w:t>2</w:t>
      </w:r>
      <w:r>
        <w:rPr>
          <w:bCs/>
        </w:rPr>
        <w:t>量：</w:t>
      </w:r>
    </w:p>
    <w:p w14:paraId="0CB57B98">
      <w:pPr>
        <w:ind w:firstLine="1132" w:firstLineChars="472"/>
        <w:rPr>
          <w:bCs/>
        </w:rPr>
      </w:pPr>
      <w:r>
        <w:rPr>
          <w:rFonts w:eastAsia="Times New Roman"/>
          <w:bCs/>
        </w:rPr>
        <w:t>E</w:t>
      </w:r>
      <w:r>
        <w:rPr>
          <w:rFonts w:eastAsia="Times New Roman"/>
          <w:bCs/>
          <w:vertAlign w:val="subscript"/>
        </w:rPr>
        <w:t>CO2-</w:t>
      </w:r>
      <w:r>
        <w:rPr>
          <w:bCs/>
          <w:position w:val="-2"/>
          <w:sz w:val="12"/>
        </w:rPr>
        <w:t>净电</w:t>
      </w:r>
      <w:r>
        <w:rPr>
          <w:bCs/>
          <w:position w:val="-2"/>
        </w:rPr>
        <w:t>——</w:t>
      </w:r>
      <w:r>
        <w:rPr>
          <w:bCs/>
        </w:rPr>
        <w:t>企业净购入的电力消费引起的</w:t>
      </w:r>
      <w:r>
        <w:rPr>
          <w:rFonts w:eastAsia="Times New Roman"/>
          <w:bCs/>
        </w:rPr>
        <w:t>CO</w:t>
      </w:r>
      <w:r>
        <w:rPr>
          <w:rFonts w:eastAsia="Times New Roman"/>
          <w:bCs/>
          <w:vertAlign w:val="subscript"/>
        </w:rPr>
        <w:t>2</w:t>
      </w:r>
      <w:r>
        <w:rPr>
          <w:bCs/>
        </w:rPr>
        <w:t>排放；</w:t>
      </w:r>
    </w:p>
    <w:p w14:paraId="295320B4">
      <w:pPr>
        <w:ind w:firstLine="1132" w:firstLineChars="472"/>
        <w:rPr>
          <w:bCs/>
        </w:rPr>
      </w:pPr>
      <w:r>
        <w:rPr>
          <w:rFonts w:eastAsia="Times New Roman"/>
          <w:bCs/>
        </w:rPr>
        <w:t>E</w:t>
      </w:r>
      <w:r>
        <w:rPr>
          <w:rFonts w:eastAsia="Times New Roman"/>
          <w:bCs/>
          <w:vertAlign w:val="subscript"/>
        </w:rPr>
        <w:t>CO2-</w:t>
      </w:r>
      <w:r>
        <w:rPr>
          <w:bCs/>
          <w:position w:val="-2"/>
          <w:sz w:val="12"/>
        </w:rPr>
        <w:t>净热</w:t>
      </w:r>
      <w:r>
        <w:rPr>
          <w:bCs/>
          <w:position w:val="-2"/>
        </w:rPr>
        <w:t>——</w:t>
      </w:r>
      <w:r>
        <w:rPr>
          <w:bCs/>
        </w:rPr>
        <w:t>企业净购入的热力消费引起的</w:t>
      </w:r>
      <w:r>
        <w:rPr>
          <w:rFonts w:eastAsia="Times New Roman"/>
          <w:bCs/>
        </w:rPr>
        <w:t>CO</w:t>
      </w:r>
      <w:r>
        <w:rPr>
          <w:rFonts w:eastAsia="Times New Roman"/>
          <w:bCs/>
          <w:vertAlign w:val="subscript"/>
        </w:rPr>
        <w:t>2</w:t>
      </w:r>
      <w:r>
        <w:rPr>
          <w:bCs/>
        </w:rPr>
        <w:t>排放。</w:t>
      </w:r>
    </w:p>
    <w:p w14:paraId="751A72DA">
      <w:pPr>
        <w:ind w:firstLine="480"/>
        <w:rPr>
          <w:bCs/>
        </w:rPr>
      </w:pPr>
      <w:r>
        <w:rPr>
          <w:bCs/>
        </w:rPr>
        <w:t>本</w:t>
      </w:r>
      <w:r>
        <w:rPr>
          <w:rFonts w:hint="eastAsia"/>
          <w:bCs/>
        </w:rPr>
        <w:t>次</w:t>
      </w:r>
      <w:r>
        <w:rPr>
          <w:bCs/>
        </w:rPr>
        <w:t>工程二氧化碳产生量见下表。</w:t>
      </w:r>
    </w:p>
    <w:p w14:paraId="1E75B43F">
      <w:pPr>
        <w:pStyle w:val="2"/>
        <w:ind w:firstLine="480"/>
      </w:pPr>
    </w:p>
    <w:p w14:paraId="02D5C42E">
      <w:pPr>
        <w:pStyle w:val="64"/>
        <w:spacing w:before="0" w:beforeLines="0" w:line="520" w:lineRule="exact"/>
        <w:ind w:firstLine="241"/>
        <w:rPr>
          <w:rFonts w:eastAsiaTheme="minorEastAsia"/>
          <w:b/>
          <w:bCs/>
        </w:rPr>
      </w:pPr>
      <w:r>
        <w:rPr>
          <w:rFonts w:eastAsiaTheme="minorEastAsia"/>
          <w:b/>
          <w:bCs/>
        </w:rPr>
        <w:t>表3.</w:t>
      </w:r>
      <w:r>
        <w:rPr>
          <w:rFonts w:hint="eastAsia" w:eastAsiaTheme="minorEastAsia"/>
          <w:b/>
          <w:bCs/>
        </w:rPr>
        <w:t>5</w:t>
      </w:r>
      <w:r>
        <w:rPr>
          <w:rFonts w:eastAsiaTheme="minorEastAsia"/>
          <w:b/>
          <w:bCs/>
        </w:rPr>
        <w:t>-1           本次工程二氧化碳排放量一览表</w:t>
      </w:r>
    </w:p>
    <w:tbl>
      <w:tblPr>
        <w:tblStyle w:val="41"/>
        <w:tblW w:w="4999"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778"/>
        <w:gridCol w:w="4455"/>
        <w:gridCol w:w="3097"/>
      </w:tblGrid>
      <w:tr w14:paraId="7CD2FB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67" w:type="pct"/>
            <w:vAlign w:val="center"/>
          </w:tcPr>
          <w:p w14:paraId="55A9F993">
            <w:pPr>
              <w:pStyle w:val="67"/>
              <w:rPr>
                <w:color w:val="auto"/>
              </w:rPr>
            </w:pPr>
            <w:r>
              <w:rPr>
                <w:color w:val="auto"/>
              </w:rPr>
              <w:t>序号</w:t>
            </w:r>
          </w:p>
        </w:tc>
        <w:tc>
          <w:tcPr>
            <w:tcW w:w="2674" w:type="pct"/>
            <w:vAlign w:val="center"/>
          </w:tcPr>
          <w:p w14:paraId="74D85FD4">
            <w:pPr>
              <w:pStyle w:val="67"/>
              <w:rPr>
                <w:color w:val="auto"/>
              </w:rPr>
            </w:pPr>
            <w:r>
              <w:rPr>
                <w:color w:val="auto"/>
              </w:rPr>
              <w:t>类别</w:t>
            </w:r>
          </w:p>
        </w:tc>
        <w:tc>
          <w:tcPr>
            <w:tcW w:w="1859" w:type="pct"/>
            <w:vAlign w:val="center"/>
          </w:tcPr>
          <w:p w14:paraId="2BE149A5">
            <w:pPr>
              <w:pStyle w:val="67"/>
              <w:rPr>
                <w:color w:val="auto"/>
              </w:rPr>
            </w:pPr>
            <w:r>
              <w:rPr>
                <w:color w:val="auto"/>
              </w:rPr>
              <w:t>碳排放量（tCO</w:t>
            </w:r>
            <w:r>
              <w:rPr>
                <w:color w:val="auto"/>
                <w:vertAlign w:val="subscript"/>
              </w:rPr>
              <w:t>2</w:t>
            </w:r>
            <w:r>
              <w:rPr>
                <w:color w:val="auto"/>
              </w:rPr>
              <w:t>）</w:t>
            </w:r>
          </w:p>
        </w:tc>
      </w:tr>
      <w:tr w14:paraId="056A6A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67" w:type="pct"/>
            <w:vAlign w:val="center"/>
          </w:tcPr>
          <w:p w14:paraId="450F3482">
            <w:pPr>
              <w:pStyle w:val="62"/>
            </w:pPr>
            <w:r>
              <w:rPr>
                <w:rFonts w:hint="eastAsia"/>
              </w:rPr>
              <w:t>1</w:t>
            </w:r>
          </w:p>
        </w:tc>
        <w:tc>
          <w:tcPr>
            <w:tcW w:w="2674" w:type="pct"/>
            <w:vAlign w:val="center"/>
          </w:tcPr>
          <w:p w14:paraId="735E2C7A">
            <w:pPr>
              <w:pStyle w:val="62"/>
            </w:pPr>
            <w:r>
              <w:rPr>
                <w:rFonts w:hint="eastAsia"/>
              </w:rPr>
              <w:t>化石燃料燃烧</w:t>
            </w:r>
          </w:p>
        </w:tc>
        <w:tc>
          <w:tcPr>
            <w:tcW w:w="1859" w:type="pct"/>
            <w:vAlign w:val="center"/>
          </w:tcPr>
          <w:p w14:paraId="7EDD2892">
            <w:pPr>
              <w:pStyle w:val="62"/>
            </w:pPr>
            <w:r>
              <w:rPr>
                <w:rFonts w:hint="eastAsia"/>
              </w:rPr>
              <w:t>0</w:t>
            </w:r>
          </w:p>
        </w:tc>
      </w:tr>
      <w:tr w14:paraId="7B294F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67" w:type="pct"/>
            <w:vAlign w:val="center"/>
          </w:tcPr>
          <w:p w14:paraId="5E8DBEAF">
            <w:pPr>
              <w:pStyle w:val="62"/>
            </w:pPr>
            <w:r>
              <w:rPr>
                <w:rFonts w:hint="eastAsia"/>
              </w:rPr>
              <w:t>2</w:t>
            </w:r>
          </w:p>
        </w:tc>
        <w:tc>
          <w:tcPr>
            <w:tcW w:w="2674" w:type="pct"/>
            <w:vAlign w:val="center"/>
          </w:tcPr>
          <w:p w14:paraId="7ED91A3C">
            <w:pPr>
              <w:pStyle w:val="62"/>
            </w:pPr>
            <w:r>
              <w:rPr>
                <w:rFonts w:hint="eastAsia"/>
              </w:rPr>
              <w:t>工业生产过程</w:t>
            </w:r>
          </w:p>
        </w:tc>
        <w:tc>
          <w:tcPr>
            <w:tcW w:w="1859" w:type="pct"/>
            <w:vAlign w:val="center"/>
          </w:tcPr>
          <w:p w14:paraId="69D067C1">
            <w:pPr>
              <w:pStyle w:val="62"/>
            </w:pPr>
            <w:r>
              <w:rPr>
                <w:rFonts w:hint="eastAsia"/>
              </w:rPr>
              <w:t>231.9</w:t>
            </w:r>
          </w:p>
        </w:tc>
      </w:tr>
      <w:tr w14:paraId="70469C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67" w:type="pct"/>
            <w:vAlign w:val="center"/>
          </w:tcPr>
          <w:p w14:paraId="7AEDDCC5">
            <w:pPr>
              <w:pStyle w:val="62"/>
            </w:pPr>
            <w:r>
              <w:rPr>
                <w:rFonts w:hint="eastAsia"/>
              </w:rPr>
              <w:t>3</w:t>
            </w:r>
          </w:p>
        </w:tc>
        <w:tc>
          <w:tcPr>
            <w:tcW w:w="2674" w:type="pct"/>
            <w:vAlign w:val="center"/>
          </w:tcPr>
          <w:p w14:paraId="123B5F31">
            <w:pPr>
              <w:pStyle w:val="62"/>
            </w:pPr>
            <w:r>
              <w:rPr>
                <w:rFonts w:hint="eastAsia"/>
              </w:rPr>
              <w:t>回收利用量</w:t>
            </w:r>
          </w:p>
        </w:tc>
        <w:tc>
          <w:tcPr>
            <w:tcW w:w="1859" w:type="pct"/>
            <w:vAlign w:val="center"/>
          </w:tcPr>
          <w:p w14:paraId="0ABF8464">
            <w:pPr>
              <w:pStyle w:val="62"/>
            </w:pPr>
            <w:r>
              <w:t>0</w:t>
            </w:r>
          </w:p>
        </w:tc>
      </w:tr>
      <w:tr w14:paraId="51FCBA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67" w:type="pct"/>
            <w:vAlign w:val="center"/>
          </w:tcPr>
          <w:p w14:paraId="5FF0140D">
            <w:pPr>
              <w:pStyle w:val="62"/>
            </w:pPr>
            <w:r>
              <w:rPr>
                <w:rFonts w:hint="eastAsia"/>
              </w:rPr>
              <w:t>4</w:t>
            </w:r>
          </w:p>
        </w:tc>
        <w:tc>
          <w:tcPr>
            <w:tcW w:w="2674" w:type="pct"/>
            <w:vAlign w:val="center"/>
          </w:tcPr>
          <w:p w14:paraId="183E204D">
            <w:pPr>
              <w:pStyle w:val="62"/>
            </w:pPr>
            <w:r>
              <w:t>净购入的电力和热力</w:t>
            </w:r>
            <w:r>
              <w:rPr>
                <w:rFonts w:hint="eastAsia"/>
              </w:rPr>
              <w:t>消费</w:t>
            </w:r>
            <w:r>
              <w:t>引起</w:t>
            </w:r>
          </w:p>
        </w:tc>
        <w:tc>
          <w:tcPr>
            <w:tcW w:w="1859" w:type="pct"/>
            <w:vAlign w:val="center"/>
          </w:tcPr>
          <w:p w14:paraId="2269DAD4">
            <w:pPr>
              <w:pStyle w:val="62"/>
            </w:pPr>
            <w:r>
              <w:rPr>
                <w:rFonts w:hint="eastAsia"/>
              </w:rPr>
              <w:t>174.3</w:t>
            </w:r>
          </w:p>
        </w:tc>
      </w:tr>
      <w:tr w14:paraId="18BDEC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41" w:type="pct"/>
            <w:gridSpan w:val="2"/>
            <w:vAlign w:val="center"/>
          </w:tcPr>
          <w:p w14:paraId="679DD8FE">
            <w:pPr>
              <w:pStyle w:val="62"/>
            </w:pPr>
            <w:r>
              <w:t>合计</w:t>
            </w:r>
          </w:p>
        </w:tc>
        <w:tc>
          <w:tcPr>
            <w:tcW w:w="1859" w:type="pct"/>
            <w:vAlign w:val="center"/>
          </w:tcPr>
          <w:p w14:paraId="2D9A6FC0">
            <w:pPr>
              <w:widowControl/>
              <w:adjustRightInd/>
              <w:snapToGrid/>
              <w:spacing w:line="240" w:lineRule="auto"/>
              <w:ind w:firstLine="0" w:firstLineChars="0"/>
              <w:jc w:val="center"/>
              <w:textAlignment w:val="auto"/>
              <w:rPr>
                <w:sz w:val="21"/>
                <w:szCs w:val="21"/>
              </w:rPr>
            </w:pPr>
            <w:r>
              <w:rPr>
                <w:rFonts w:hint="eastAsia"/>
                <w:sz w:val="21"/>
                <w:szCs w:val="21"/>
              </w:rPr>
              <w:t>406.2</w:t>
            </w:r>
          </w:p>
        </w:tc>
      </w:tr>
    </w:tbl>
    <w:p w14:paraId="302E9C8E">
      <w:pPr>
        <w:pStyle w:val="5"/>
        <w:spacing w:before="240" w:after="240"/>
        <w:rPr>
          <w:szCs w:val="24"/>
        </w:rPr>
      </w:pPr>
      <w:r>
        <w:t>碳减排潜力分析及建议</w:t>
      </w:r>
    </w:p>
    <w:p w14:paraId="6BACE368">
      <w:pPr>
        <w:ind w:firstLine="480"/>
      </w:pPr>
      <w:r>
        <w:rPr>
          <w:rFonts w:hint="eastAsia"/>
        </w:rPr>
        <w:t>1、碳减排潜力分析</w:t>
      </w:r>
    </w:p>
    <w:p w14:paraId="629CF288">
      <w:pPr>
        <w:ind w:firstLine="480"/>
      </w:pPr>
      <w:r>
        <w:rPr>
          <w:rFonts w:hint="eastAsia"/>
        </w:rPr>
        <w:t>本项目主要生产设施、设备不属于《产业结构调整指导目录（2019年本）》及2021修改单中落后生产工艺装备，符合清洁生产要求。</w:t>
      </w:r>
    </w:p>
    <w:p w14:paraId="3A113F05">
      <w:pPr>
        <w:ind w:firstLine="480"/>
      </w:pPr>
      <w:r>
        <w:rPr>
          <w:rFonts w:hint="eastAsia"/>
        </w:rPr>
        <w:t>项目的碳排放源主要包括原材料消耗、电力消耗等引起的碳排放，根据碳排放核算分析，对碳排放结果影响最大的为原材料消耗。评价建议可以进一步开展节能评估、清洁生产审核工作，挖掘节能减排潜力，进一步完善生产管理，降低单位产品综合能耗，以达到二氧化碳的减排效果。</w:t>
      </w:r>
    </w:p>
    <w:p w14:paraId="42AB8712">
      <w:pPr>
        <w:ind w:firstLine="480"/>
      </w:pPr>
      <w:r>
        <w:rPr>
          <w:rFonts w:hint="eastAsia"/>
        </w:rPr>
        <w:t>2、碳减排措施及建议</w:t>
      </w:r>
    </w:p>
    <w:p w14:paraId="496998BA">
      <w:pPr>
        <w:ind w:firstLine="480"/>
      </w:pPr>
      <w:r>
        <w:rPr>
          <w:rFonts w:hint="eastAsia"/>
        </w:rPr>
        <w:t>依靠科技，加快技术开发。化工行业应加快节能减排技术研发，加快节能减排技术产业化示范和推广，加快建立节能减排技术服务体系，推进环保产业健康发展。本项目建设单位应加强行业技术交流，为加快培育节能技术服务体系、促进节能服务产业化发展贡献力量。</w:t>
      </w:r>
    </w:p>
    <w:p w14:paraId="7314F394">
      <w:pPr>
        <w:ind w:firstLine="480"/>
      </w:pPr>
      <w:r>
        <w:rPr>
          <w:rFonts w:hint="eastAsia"/>
        </w:rPr>
        <w:t>节水管理措施。建设单位应制定好企业用水管理计划，施工和项目运营用水，由兼职人员负责检査与维修管线，减少跑、冒、滴、漏的浪费现象。根据厂区实际情况，逐步实行水表计量，减少水资源浪费。</w:t>
      </w:r>
    </w:p>
    <w:p w14:paraId="05D17712">
      <w:pPr>
        <w:ind w:firstLine="480"/>
      </w:pPr>
      <w:r>
        <w:rPr>
          <w:rFonts w:hint="eastAsia"/>
        </w:rPr>
        <w:t>节电管理措施。项目现场各用电场所的配电室，都必须有专业人员负责，健全岗位责任制，认真填写运行记录，并对供电质量、安全用电负有责任。办公楼、会议室等动力负荷应使用单独开关控制。上述场所用电负责人应随时检査人离机停、人走灯灭的节电情况。管理处各部门在设备更新时，要考虑淘汰耗能高的机电设备，努力更换使用节能科技新产品。</w:t>
      </w:r>
    </w:p>
    <w:p w14:paraId="4FD19C38">
      <w:pPr>
        <w:ind w:firstLine="480"/>
      </w:pPr>
      <w:r>
        <w:rPr>
          <w:rFonts w:hint="eastAsia"/>
        </w:rPr>
        <w:t>配合好地方能源部门，通过采用产业结构优化、能效提升、能源结构调整、加强区绿化率等碳减排措施的实施，为实现全球气候目标和工业绿色发展贡献一份力量。</w:t>
      </w:r>
    </w:p>
    <w:p w14:paraId="78842B76">
      <w:pPr>
        <w:ind w:firstLine="480"/>
      </w:pPr>
      <w:r>
        <w:rPr>
          <w:rFonts w:hint="eastAsia"/>
        </w:rPr>
        <w:t>为规范企业碳管理工作，建议企业建立碳排放管理工作体系。根据《中国化工生产企业温室气体排放核算方法与报告指南（试行）》开展碳排放核査，并规范相关管理工作</w:t>
      </w:r>
    </w:p>
    <w:p w14:paraId="1D3EBD4F">
      <w:pPr>
        <w:pStyle w:val="4"/>
      </w:pPr>
      <w:r>
        <w:t>清洁生产</w:t>
      </w:r>
      <w:bookmarkEnd w:id="195"/>
    </w:p>
    <w:p w14:paraId="1D3EBD51">
      <w:pPr>
        <w:pStyle w:val="5"/>
        <w:spacing w:before="240" w:after="240"/>
      </w:pPr>
      <w:r>
        <w:t>清洁</w:t>
      </w:r>
      <w:r>
        <w:rPr>
          <w:rFonts w:hint="eastAsia"/>
        </w:rPr>
        <w:t>生产目的</w:t>
      </w:r>
    </w:p>
    <w:p w14:paraId="05C1B639">
      <w:pPr>
        <w:ind w:firstLine="480"/>
      </w:pPr>
      <w:r>
        <w:rPr>
          <w:rFonts w:hint="eastAsia"/>
        </w:rPr>
        <w:t>清洁生产是指企业在不断采取改进设计、使用清洁原辅料和燃料、采用先进工艺技术和设备、改善管理、提高综合利用等措施基础上，从源头削减污染、提高资源利用率，减少或避免生产、服务和产品使用过程中环境污染，促进经济和社会可持续发展。根据我国《清洁生产促进法》，项目在建设中应采取以下的清洁生产措施：</w:t>
      </w:r>
    </w:p>
    <w:p w14:paraId="73786685">
      <w:pPr>
        <w:ind w:firstLine="480"/>
      </w:pPr>
      <w:r>
        <w:rPr>
          <w:rFonts w:hint="eastAsia"/>
        </w:rPr>
        <w:t>（1）采用资源利用率高、污染物产生量少的工艺和设备，替代资源利用率低、污染物产生量多的工艺和设备；</w:t>
      </w:r>
    </w:p>
    <w:p w14:paraId="6D01F6E6">
      <w:pPr>
        <w:ind w:firstLine="480"/>
      </w:pPr>
      <w:r>
        <w:rPr>
          <w:rFonts w:hint="eastAsia"/>
        </w:rPr>
        <w:t>（2）对生产过程中产生的废物、废水等进行综合利用或者循环使用；</w:t>
      </w:r>
    </w:p>
    <w:p w14:paraId="7F69B5AF">
      <w:pPr>
        <w:ind w:firstLine="480"/>
      </w:pPr>
      <w:r>
        <w:rPr>
          <w:rFonts w:hint="eastAsia"/>
        </w:rPr>
        <w:t>（3）采用能够达到国家或者地方规定的污染物排放标准和污染物排放总量控制指标的污染防治技术。</w:t>
      </w:r>
    </w:p>
    <w:p w14:paraId="34237FE0">
      <w:pPr>
        <w:ind w:firstLine="480"/>
      </w:pPr>
      <w:r>
        <w:rPr>
          <w:rFonts w:hint="eastAsia"/>
        </w:rPr>
        <w:t>本评价将根据这些原则，结合项目特点，从项目生产工艺与装备、节能减排措施、污染物控制措施、国内同行业对比、持续清洁生产等方面进行分析评价。</w:t>
      </w:r>
    </w:p>
    <w:p w14:paraId="4AF11E0C">
      <w:pPr>
        <w:pStyle w:val="5"/>
        <w:spacing w:before="240" w:after="240"/>
      </w:pPr>
      <w:r>
        <w:rPr>
          <w:rFonts w:hint="eastAsia"/>
        </w:rPr>
        <w:t>原材料</w:t>
      </w:r>
    </w:p>
    <w:p w14:paraId="3E3519AE">
      <w:pPr>
        <w:ind w:firstLine="480"/>
      </w:pPr>
      <w:r>
        <w:rPr>
          <w:rFonts w:hint="eastAsia"/>
        </w:rPr>
        <w:t>本次工程聚醚改性硅油主要原辅料包括D</w:t>
      </w:r>
      <w:r>
        <w:t>4</w:t>
      </w:r>
      <w:r>
        <w:rPr>
          <w:rFonts w:hint="eastAsia"/>
        </w:rPr>
        <w:t>（八甲基环四硅氧烷）、K</w:t>
      </w:r>
      <w:r>
        <w:t>F-99</w:t>
      </w:r>
      <w:r>
        <w:rPr>
          <w:rFonts w:hint="eastAsia"/>
        </w:rPr>
        <w:t>（</w:t>
      </w:r>
      <w:r>
        <w:t>高含氢硅油</w:t>
      </w:r>
      <w:r>
        <w:rPr>
          <w:rFonts w:hint="eastAsia"/>
        </w:rPr>
        <w:t>）、封端聚醚、二丙二醇等，色浆主要原辅材料包括色粉、三羟基聚氧化丙烯氧化乙烯醚等，原辅料均从市场购进，具有较为广泛的原料市场运输方便，供应充足。项目所用物质均属于常规物质，不含有和不使用国家法律、法规、标准中禁用的物质以及我国签署的国际公约中禁用的物质情况。</w:t>
      </w:r>
    </w:p>
    <w:p w14:paraId="1626FDC8">
      <w:pPr>
        <w:ind w:firstLine="480"/>
      </w:pPr>
      <w:r>
        <w:rPr>
          <w:rFonts w:hint="eastAsia"/>
        </w:rPr>
        <w:t>企业建成营运后，不仅在生产中注重原料供给和提高利用率，还对消耗材料制定严格的定额、保管和领料制度。从原料购进、检验、标注、储存到每月安全检查记录以及化学品的转移都有严格的规定，应有专门的环境工程监督员管理有一套完善的组织机构负责管理。在使用液体原料的作业场所，设置有废液收集容器，避免污染物流失。</w:t>
      </w:r>
    </w:p>
    <w:p w14:paraId="40398A54">
      <w:pPr>
        <w:ind w:firstLine="480"/>
      </w:pPr>
      <w:r>
        <w:rPr>
          <w:rFonts w:hint="eastAsia"/>
        </w:rPr>
        <w:t>因此，本项目外购原辅料符合清洁生产的要求。</w:t>
      </w:r>
    </w:p>
    <w:p w14:paraId="567EC959">
      <w:pPr>
        <w:pStyle w:val="5"/>
        <w:spacing w:before="240" w:after="240"/>
      </w:pPr>
      <w:r>
        <w:rPr>
          <w:rFonts w:hint="eastAsia"/>
        </w:rPr>
        <w:t>生产工艺与装备</w:t>
      </w:r>
    </w:p>
    <w:p w14:paraId="196068AF">
      <w:pPr>
        <w:ind w:firstLine="480"/>
      </w:pPr>
      <w:r>
        <w:rPr>
          <w:rFonts w:hint="eastAsia"/>
        </w:rPr>
        <w:t>项目生产工艺、设备不涉及《产业结构调整指导目录（2024年本）》、《部分工业行业淘汰落后生产工艺装备和产品指导目录（2010年本）》（工产业（2010）第122号）等相关产业政策中明令禁止的重污染、高能耗的落后技术装备和生产工艺。</w:t>
      </w:r>
    </w:p>
    <w:p w14:paraId="5BFDE00B">
      <w:pPr>
        <w:pStyle w:val="2"/>
        <w:spacing w:after="0"/>
        <w:ind w:firstLine="480"/>
      </w:pPr>
      <w:r>
        <w:rPr>
          <w:rFonts w:hint="eastAsia"/>
        </w:rPr>
        <w:t>1、工艺技术</w:t>
      </w:r>
    </w:p>
    <w:p w14:paraId="4F74F4F7">
      <w:pPr>
        <w:pStyle w:val="2"/>
        <w:spacing w:after="0"/>
        <w:ind w:firstLine="480"/>
      </w:pPr>
      <w:r>
        <w:rPr>
          <w:rFonts w:hint="eastAsia"/>
        </w:rPr>
        <w:t>本项目采用国内外先进技术工艺，技术成熟可靠，生产过程部分设备连续化、自动化、密闭化生产，减少了物料与外界环境的接触。项目生产过程中通过合理控制反应温度、时间、压力等参数，有效地提高了主反应的转化率，减少副反应的发生，同时显著增加了产品的收率。并且项目配备必要的火灾报警系统，可有效防止危险的发生。</w:t>
      </w:r>
    </w:p>
    <w:p w14:paraId="6023FAD4">
      <w:pPr>
        <w:ind w:firstLine="480"/>
      </w:pPr>
      <w:r>
        <w:t>经调查，本项目生产</w:t>
      </w:r>
      <w:r>
        <w:rPr>
          <w:rFonts w:hint="eastAsia"/>
        </w:rPr>
        <w:t>的产品聚醚改性硅油</w:t>
      </w:r>
      <w:r>
        <w:t>企业主要集中在</w:t>
      </w:r>
      <w:r>
        <w:rPr>
          <w:rFonts w:hint="eastAsia"/>
        </w:rPr>
        <w:t>山东、上海等</w:t>
      </w:r>
      <w:r>
        <w:t>，生产工艺与本项目大体相同。本项目采用目前成熟、稳定、可大规模化生产的生产技术，通过自动化、密闭化、管道化建设，提高了生产效率高，降低了污染物排放，符合清洁生产要求。</w:t>
      </w:r>
    </w:p>
    <w:p w14:paraId="2031A5F8">
      <w:pPr>
        <w:pStyle w:val="2"/>
        <w:spacing w:after="0"/>
        <w:ind w:firstLine="480"/>
      </w:pPr>
      <w:r>
        <w:rPr>
          <w:rFonts w:hint="eastAsia"/>
        </w:rPr>
        <w:t>2、生产装备</w:t>
      </w:r>
    </w:p>
    <w:p w14:paraId="2D5D3F93">
      <w:pPr>
        <w:pStyle w:val="2"/>
        <w:spacing w:after="0"/>
        <w:ind w:firstLine="480"/>
      </w:pPr>
      <w:r>
        <w:rPr>
          <w:rFonts w:hint="eastAsia"/>
        </w:rPr>
        <w:t>本次工程生产装备要求达到国内先进水平，做到生产设备密闭化、料液输送管道化，生产过程中关键点设控制室集中报警、连锁。委托专业单位对厂区进行整体设计，充分考虑对循环经济和清洁生产，从源头上最大量的减少三废产生量。</w:t>
      </w:r>
    </w:p>
    <w:p w14:paraId="10672445">
      <w:pPr>
        <w:spacing w:line="500" w:lineRule="atLeast"/>
        <w:ind w:firstLine="480"/>
      </w:pPr>
      <w:r>
        <w:rPr>
          <w:rFonts w:hint="eastAsia"/>
        </w:rPr>
        <w:t>（1）仪表控制</w:t>
      </w:r>
    </w:p>
    <w:p w14:paraId="5FE71C38">
      <w:pPr>
        <w:spacing w:line="500" w:lineRule="atLeast"/>
        <w:ind w:firstLine="480"/>
      </w:pPr>
      <w:r>
        <w:rPr>
          <w:rFonts w:hint="eastAsia"/>
        </w:rPr>
        <w:t>本项目采用质量流量计测量液体物料总量，热电阻测量反应釜温度，电子称重计测量固体物料重量，气动薄膜调节阀控制反应釜温度，气动隔膜开关阀控制工艺物料的流动状态，气动开关阀控制一般液体、蒸汽的流动状态。</w:t>
      </w:r>
    </w:p>
    <w:p w14:paraId="4032702D">
      <w:pPr>
        <w:spacing w:line="500" w:lineRule="atLeast"/>
        <w:ind w:firstLine="480"/>
      </w:pPr>
      <w:r>
        <w:rPr>
          <w:rFonts w:hint="eastAsia"/>
        </w:rPr>
        <w:t>（2）投料方式</w:t>
      </w:r>
    </w:p>
    <w:p w14:paraId="6A065466">
      <w:pPr>
        <w:spacing w:line="500" w:lineRule="atLeast"/>
        <w:ind w:firstLine="480"/>
      </w:pPr>
      <w:r>
        <w:rPr>
          <w:rFonts w:hint="eastAsia"/>
        </w:rPr>
        <w:t>项目涉及的桶装液体物料均采用隔膜泵正压输送；固体投料采用真空上料系统。</w:t>
      </w:r>
    </w:p>
    <w:p w14:paraId="0FE0B608">
      <w:pPr>
        <w:spacing w:line="500" w:lineRule="atLeast"/>
        <w:ind w:firstLine="480"/>
      </w:pPr>
      <w:r>
        <w:rPr>
          <w:rFonts w:hint="eastAsia"/>
        </w:rPr>
        <w:t>（3）固液分离设备：在生产过程采用自动下卸料离心机和密闭式、自动化程度较高的压滤机。</w:t>
      </w:r>
    </w:p>
    <w:p w14:paraId="7BECA330">
      <w:pPr>
        <w:pStyle w:val="2"/>
        <w:spacing w:after="0"/>
        <w:ind w:firstLine="480"/>
      </w:pPr>
      <w:r>
        <w:rPr>
          <w:rFonts w:hint="eastAsia"/>
        </w:rPr>
        <w:t>（4）冷凝系统：本项目采用耐腐蚀的片式冷凝器，在产生有机废气的点位均采用了冷凝。</w:t>
      </w:r>
    </w:p>
    <w:p w14:paraId="0FB603D0">
      <w:pPr>
        <w:ind w:firstLine="480"/>
      </w:pPr>
      <w:r>
        <w:rPr>
          <w:rFonts w:hint="eastAsia"/>
        </w:rPr>
        <w:t>（5）根据国家安监总局下发的《重点监管的危险化工工艺目录》，本项目涉及的聚合反应为重点监管的危险化工工艺之一。涉及重点监管的危险化工工艺和重点监管危险化学品的生产装置或储存设施配备自动控制系统，选用安全可靠的自动控制仪表、联锁保护系统，配备有毒有害、易燃易爆气体泄漏检测报警系统和火灾报警系统。在实现自动控制的基础上配置紧急停车系统。</w:t>
      </w:r>
    </w:p>
    <w:p w14:paraId="54BCFBA8">
      <w:pPr>
        <w:ind w:firstLine="480"/>
      </w:pPr>
      <w:r>
        <w:rPr>
          <w:rFonts w:hint="eastAsia"/>
        </w:rPr>
        <w:t>3、过程控制</w:t>
      </w:r>
    </w:p>
    <w:p w14:paraId="71EE2286">
      <w:pPr>
        <w:ind w:firstLine="480"/>
      </w:pPr>
      <w:r>
        <w:rPr>
          <w:rFonts w:hint="eastAsia"/>
        </w:rPr>
        <w:t>本项目生产装置合理布局，减少管线长度和数量，降低能耗。设备的各类计量、检测控制仪表其适用范围和精度应符合生产要求，达到国家规定的计量标准。</w:t>
      </w:r>
    </w:p>
    <w:p w14:paraId="18ED26B3">
      <w:pPr>
        <w:ind w:firstLine="480"/>
      </w:pPr>
      <w:r>
        <w:rPr>
          <w:rFonts w:hint="eastAsia"/>
        </w:rPr>
        <w:t>在过程控制上减少人工操作中间环节，机械或自动控制各段流程速度，以充分发挥工艺、设备的潜在能力，稳定工艺操作，提高精度，减少人为误差，使故障率降低，一方面有利于强化生产管理，提高产品质量，降低能耗，另一方面使操作简便，减轻操作人员的劳动强度。</w:t>
      </w:r>
    </w:p>
    <w:p w14:paraId="52E6BC4D">
      <w:pPr>
        <w:pStyle w:val="5"/>
        <w:spacing w:before="240" w:after="240"/>
      </w:pPr>
      <w:r>
        <w:rPr>
          <w:rFonts w:hint="eastAsia"/>
        </w:rPr>
        <w:t>自动化控制水平</w:t>
      </w:r>
    </w:p>
    <w:p w14:paraId="70427213">
      <w:pPr>
        <w:ind w:firstLine="480"/>
      </w:pPr>
      <w:r>
        <w:rPr>
          <w:rFonts w:hint="eastAsia"/>
        </w:rPr>
        <w:t>本次工程较难实现全过程自动控制，仅在主要反应工段和溶剂加料过程自动化。反应釜反应过程一律采用自动控制，反应釜夹套冷、热媒配备切断阀、调节阀，可与釜内远传温度计联锁实现温度自控，以尽可能的减少现场操作人员。</w:t>
      </w:r>
    </w:p>
    <w:p w14:paraId="6146E84D">
      <w:pPr>
        <w:pStyle w:val="5"/>
        <w:spacing w:before="240" w:after="240"/>
      </w:pPr>
      <w:r>
        <w:rPr>
          <w:rFonts w:hint="eastAsia"/>
        </w:rPr>
        <w:t>污染物控制措施</w:t>
      </w:r>
    </w:p>
    <w:p w14:paraId="417B5343">
      <w:pPr>
        <w:ind w:firstLine="480"/>
      </w:pPr>
      <w:r>
        <w:t>本项目采取了完善的全过程控制措施，将污染物排放降到最低，主要措施如下：</w:t>
      </w:r>
    </w:p>
    <w:p w14:paraId="3DA7DABE">
      <w:pPr>
        <w:ind w:firstLine="480"/>
      </w:pPr>
      <w:r>
        <w:t>1、废气处理：</w:t>
      </w:r>
      <w:r>
        <w:rPr>
          <w:rFonts w:hint="eastAsia"/>
          <w:u w:val="single"/>
        </w:rPr>
        <w:t>生产聚醚改性硅油过程聚合、中和工序和硅氢化反应、脱色工序产生的有机废气引入废气处理装置（设备自带冷凝+碱喷淋+水喷淋+除雾器）处理，处理后与危险废物贮存库废气、化验室废气一起引入废气处理装置（活性炭吸附装置）后经1根15m高排气筒DA001排放。</w:t>
      </w:r>
      <w:r>
        <w:rPr>
          <w:rFonts w:hint="eastAsia"/>
        </w:rPr>
        <w:t>生产色浆过程投料工序产生的粉尘引入废气治理装置（袋式除尘器）中处理，处理后经1根15m高排气筒DA002排放。袋式除尘器回收粉尘作为原料使用，</w:t>
      </w:r>
      <w:r>
        <w:t>节省原料消耗，降低污染污染物排放。</w:t>
      </w:r>
    </w:p>
    <w:p w14:paraId="1549ED45">
      <w:pPr>
        <w:ind w:firstLine="480"/>
      </w:pPr>
      <w:r>
        <w:t>2、无组织控制措施：本项目对生产环节中可能存在无组织排放的污染节点均采取了污染控制措施。对于物料储存过程：本项目</w:t>
      </w:r>
      <w:r>
        <w:rPr>
          <w:rFonts w:hint="eastAsia"/>
        </w:rPr>
        <w:t>原料均位于车间原料区密闭储存。</w:t>
      </w:r>
      <w:r>
        <w:t>管理措施：规范厂区内部物料运输、储存操作规章，加强对无组织排放废气的控制监管，匹配专业设备管理员，建立相对完善和严格管理制度，确保设备完好率达到100%，最大程度降减少跑冒滴漏等。</w:t>
      </w:r>
    </w:p>
    <w:p w14:paraId="50203F6A">
      <w:pPr>
        <w:ind w:firstLine="480"/>
      </w:pPr>
      <w:r>
        <w:t>3、废水处理：</w:t>
      </w:r>
      <w:r>
        <w:rPr>
          <w:rFonts w:hint="eastAsia" w:cs="宋体"/>
          <w:spacing w:val="-5"/>
          <w:szCs w:val="24"/>
        </w:rPr>
        <w:t>本次工程废水主要为</w:t>
      </w:r>
      <w:r>
        <w:rPr>
          <w:rFonts w:hint="eastAsia"/>
        </w:rPr>
        <w:t>喷淋废水、车间地面清洗废水</w:t>
      </w:r>
      <w:r>
        <w:rPr>
          <w:rFonts w:hint="eastAsia" w:cs="宋体"/>
          <w:spacing w:val="-5"/>
          <w:szCs w:val="24"/>
        </w:rPr>
        <w:t>、循环冷却水排水、生活污水等。</w:t>
      </w:r>
      <w:r>
        <w:rPr>
          <w:rFonts w:hint="eastAsia"/>
        </w:rPr>
        <w:t>喷淋废水、车间地面清洗废水</w:t>
      </w:r>
      <w:r>
        <w:rPr>
          <w:rFonts w:hint="eastAsia" w:cs="宋体"/>
          <w:spacing w:val="-5"/>
          <w:szCs w:val="24"/>
        </w:rPr>
        <w:t>排入厂区污水处理站处理，</w:t>
      </w:r>
      <w:r>
        <w:rPr>
          <w:rFonts w:hint="eastAsia"/>
        </w:rPr>
        <w:t>处理后与经化粪池处理后的生活污水、</w:t>
      </w:r>
      <w:r>
        <w:rPr>
          <w:rFonts w:hint="eastAsia" w:cs="宋体"/>
          <w:spacing w:val="-5"/>
          <w:szCs w:val="24"/>
        </w:rPr>
        <w:t>循环冷却水排水</w:t>
      </w:r>
      <w:r>
        <w:t>一起</w:t>
      </w:r>
      <w:r>
        <w:rPr>
          <w:rFonts w:hint="eastAsia" w:cs="宋体"/>
          <w:spacing w:val="-5"/>
          <w:szCs w:val="24"/>
        </w:rPr>
        <w:t>于厂区总排口排放</w:t>
      </w:r>
      <w:r>
        <w:rPr>
          <w:rFonts w:hint="eastAsia" w:cs="宋体"/>
          <w:spacing w:val="-5"/>
        </w:rPr>
        <w:t>。</w:t>
      </w:r>
      <w:r>
        <w:rPr>
          <w:rFonts w:hint="eastAsia"/>
        </w:rPr>
        <w:t>工程外排达标废水进入唐庄</w:t>
      </w:r>
      <w:r>
        <w:t>污水处理厂进行进一步处理，处理后排入</w:t>
      </w:r>
      <w:r>
        <w:rPr>
          <w:rFonts w:hint="eastAsia"/>
        </w:rPr>
        <w:t>共产主义渠。</w:t>
      </w:r>
    </w:p>
    <w:p w14:paraId="002DAD10">
      <w:pPr>
        <w:ind w:firstLine="480"/>
      </w:pPr>
      <w:r>
        <w:t>4、各固体废物均采取有效的治理措施，处置率100%</w:t>
      </w:r>
      <w:r>
        <w:rPr>
          <w:rFonts w:hint="eastAsia"/>
        </w:rPr>
        <w:t>；</w:t>
      </w:r>
      <w:r>
        <w:rPr>
          <w:szCs w:val="24"/>
        </w:rPr>
        <w:t>一般固废</w:t>
      </w:r>
      <w:r>
        <w:t>贮存过程应满足相应防渗漏、防雨淋、防扬尘等环境保护要求。</w:t>
      </w:r>
      <w:r>
        <w:rPr>
          <w:szCs w:val="24"/>
        </w:rPr>
        <w:t>危废</w:t>
      </w:r>
      <w:r>
        <w:rPr>
          <w:rFonts w:hint="eastAsia"/>
          <w:szCs w:val="24"/>
        </w:rPr>
        <w:t>贮存库</w:t>
      </w:r>
      <w:r>
        <w:rPr>
          <w:szCs w:val="24"/>
        </w:rPr>
        <w:t>严格按《危险废物贮存污染控制标准》（GB18597-2023</w:t>
      </w:r>
      <w:r>
        <w:rPr>
          <w:rFonts w:hint="eastAsia"/>
          <w:szCs w:val="24"/>
        </w:rPr>
        <w:t>）</w:t>
      </w:r>
      <w:r>
        <w:t>的规定</w:t>
      </w:r>
      <w:r>
        <w:rPr>
          <w:rFonts w:hint="eastAsia"/>
        </w:rPr>
        <w:t>建设。</w:t>
      </w:r>
    </w:p>
    <w:p w14:paraId="7354F356">
      <w:pPr>
        <w:ind w:firstLine="480"/>
      </w:pPr>
      <w:r>
        <w:t>5、防渗：本项目参考</w:t>
      </w:r>
      <w:r>
        <w:rPr>
          <w:rFonts w:hint="eastAsia"/>
        </w:rPr>
        <w:t>《石油化工防渗工程技术规范》</w:t>
      </w:r>
      <w:r>
        <w:t>，厂内相应区域防渗设计分别按照</w:t>
      </w:r>
      <w:r>
        <w:rPr>
          <w:rFonts w:hint="eastAsia"/>
        </w:rPr>
        <w:t>重点防渗区、一般防渗区、简单防渗区</w:t>
      </w:r>
      <w:r>
        <w:t>的要求进行设计。</w:t>
      </w:r>
    </w:p>
    <w:p w14:paraId="0CDA6686">
      <w:pPr>
        <w:ind w:firstLine="480"/>
      </w:pPr>
      <w:r>
        <w:t>本项目采取了行之有效的全过程控制，尽量减少污染物产、排量，符合清洁生产要求。</w:t>
      </w:r>
    </w:p>
    <w:p w14:paraId="65ADC536">
      <w:pPr>
        <w:pStyle w:val="5"/>
        <w:spacing w:before="240" w:after="240"/>
      </w:pPr>
      <w:r>
        <w:rPr>
          <w:rFonts w:hint="eastAsia"/>
        </w:rPr>
        <w:t>资源能源利用</w:t>
      </w:r>
    </w:p>
    <w:p w14:paraId="545D9365">
      <w:pPr>
        <w:ind w:firstLine="480"/>
      </w:pPr>
      <w:r>
        <w:rPr>
          <w:rFonts w:hint="eastAsia"/>
        </w:rPr>
        <w:t>本次工程冷却循环水站排水回用于车间地面清洗，节约水资源。本工程资源能源综合利用后，有效提高了资源能源利用率，降低了污染物的排放。</w:t>
      </w:r>
    </w:p>
    <w:p w14:paraId="2D5CDAC2">
      <w:pPr>
        <w:pStyle w:val="5"/>
        <w:spacing w:before="240" w:after="240"/>
      </w:pPr>
      <w:r>
        <w:rPr>
          <w:rFonts w:hint="eastAsia"/>
        </w:rPr>
        <w:t>产品</w:t>
      </w:r>
    </w:p>
    <w:p w14:paraId="3053879D">
      <w:pPr>
        <w:ind w:firstLine="480"/>
      </w:pPr>
      <w:r>
        <w:rPr>
          <w:rFonts w:hint="eastAsia"/>
        </w:rPr>
        <w:t>本次工程产品</w:t>
      </w:r>
      <w:r>
        <w:rPr>
          <w:rFonts w:hint="eastAsia"/>
          <w:bCs/>
        </w:rPr>
        <w:t>聚醚改性硅油</w:t>
      </w:r>
      <w:r>
        <w:rPr>
          <w:rFonts w:hint="eastAsia"/>
        </w:rPr>
        <w:t>主要用于海绵稳定剂等；色浆主要用于海绵上色。产品及生产符合国家产业政策要求，产品附加值高，是国家重点支持和发展的行业，具有较好的社会效益。</w:t>
      </w:r>
    </w:p>
    <w:p w14:paraId="183D6B00">
      <w:pPr>
        <w:ind w:firstLine="480"/>
      </w:pPr>
      <w:r>
        <w:rPr>
          <w:rFonts w:hint="eastAsia"/>
        </w:rPr>
        <w:t>综上，本工工程注重生产全过程的“三废”控制，清洁生产处于国内同行业先进水平，符合国家对清洁生产的有关要求。</w:t>
      </w:r>
    </w:p>
    <w:p w14:paraId="605173C5">
      <w:pPr>
        <w:pStyle w:val="5"/>
        <w:spacing w:before="240" w:after="240"/>
      </w:pPr>
      <w:r>
        <w:rPr>
          <w:rFonts w:hint="eastAsia"/>
        </w:rPr>
        <w:t>持续清洁生产</w:t>
      </w:r>
    </w:p>
    <w:p w14:paraId="40E49EC2">
      <w:pPr>
        <w:pStyle w:val="6"/>
        <w:ind w:left="0" w:firstLine="482" w:firstLineChars="200"/>
      </w:pPr>
      <w:r>
        <w:rPr>
          <w:rFonts w:hint="eastAsia"/>
        </w:rPr>
        <w:t>持续清洁生产的必要性</w:t>
      </w:r>
    </w:p>
    <w:bookmarkEnd w:id="161"/>
    <w:p w14:paraId="5306FF73">
      <w:pPr>
        <w:ind w:firstLine="480"/>
        <w:rPr>
          <w:rFonts w:hint="eastAsia" w:ascii="宋体" w:hAnsi="宋体"/>
          <w:szCs w:val="24"/>
        </w:rPr>
      </w:pPr>
      <w:bookmarkStart w:id="196" w:name="_Toc428287221"/>
      <w:bookmarkStart w:id="197" w:name="_Toc428286860"/>
      <w:bookmarkStart w:id="198" w:name="_Toc429318404"/>
      <w:r>
        <w:rPr>
          <w:rFonts w:hint="eastAsia" w:ascii="宋体" w:hAnsi="宋体"/>
          <w:szCs w:val="24"/>
        </w:rPr>
        <w:t>持续清洁生产的必要性见下表。</w:t>
      </w:r>
    </w:p>
    <w:p w14:paraId="07DA88DE">
      <w:pPr>
        <w:pStyle w:val="14"/>
        <w:spacing w:line="520" w:lineRule="exact"/>
        <w:ind w:firstLine="480"/>
        <w:rPr>
          <w:rFonts w:eastAsia="黑体"/>
          <w:b w:val="0"/>
          <w:bCs/>
          <w:sz w:val="24"/>
          <w:szCs w:val="24"/>
        </w:rPr>
      </w:pPr>
      <w:r>
        <w:rPr>
          <w:rFonts w:eastAsia="黑体"/>
          <w:b w:val="0"/>
          <w:bCs/>
          <w:sz w:val="24"/>
          <w:szCs w:val="24"/>
        </w:rPr>
        <w:t>表3.</w:t>
      </w:r>
      <w:r>
        <w:rPr>
          <w:rFonts w:hint="eastAsia" w:eastAsia="黑体"/>
          <w:b w:val="0"/>
          <w:bCs/>
          <w:sz w:val="24"/>
          <w:szCs w:val="24"/>
        </w:rPr>
        <w:t>6</w:t>
      </w:r>
      <w:r>
        <w:rPr>
          <w:rFonts w:eastAsia="黑体"/>
          <w:b w:val="0"/>
          <w:bCs/>
          <w:sz w:val="24"/>
          <w:szCs w:val="24"/>
        </w:rPr>
        <w:t>-</w:t>
      </w:r>
      <w:r>
        <w:rPr>
          <w:rFonts w:hint="eastAsia" w:eastAsia="黑体"/>
          <w:b w:val="0"/>
          <w:bCs/>
          <w:sz w:val="24"/>
          <w:szCs w:val="24"/>
        </w:rPr>
        <w:t>1</w:t>
      </w:r>
      <w:r>
        <w:rPr>
          <w:rFonts w:eastAsia="黑体"/>
          <w:b w:val="0"/>
          <w:bCs/>
          <w:sz w:val="24"/>
          <w:szCs w:val="24"/>
        </w:rPr>
        <w:t xml:space="preserve">         企业实行持续清洁生产的必要性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60"/>
        <w:gridCol w:w="7772"/>
      </w:tblGrid>
      <w:tr w14:paraId="0F9A4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6" w:type="pct"/>
            <w:vAlign w:val="center"/>
          </w:tcPr>
          <w:p w14:paraId="65C1606C">
            <w:pPr>
              <w:pStyle w:val="67"/>
              <w:rPr>
                <w:rFonts w:cs="Times New Roman"/>
                <w:color w:val="auto"/>
              </w:rPr>
            </w:pPr>
            <w:r>
              <w:rPr>
                <w:rFonts w:cs="Times New Roman"/>
                <w:color w:val="auto"/>
              </w:rPr>
              <w:t>序号</w:t>
            </w:r>
          </w:p>
        </w:tc>
        <w:tc>
          <w:tcPr>
            <w:tcW w:w="4664" w:type="pct"/>
            <w:vAlign w:val="center"/>
          </w:tcPr>
          <w:p w14:paraId="469CFCC8">
            <w:pPr>
              <w:pStyle w:val="67"/>
              <w:rPr>
                <w:rFonts w:cs="Times New Roman"/>
                <w:color w:val="auto"/>
              </w:rPr>
            </w:pPr>
            <w:r>
              <w:rPr>
                <w:rFonts w:cs="Times New Roman"/>
                <w:color w:val="auto"/>
              </w:rPr>
              <w:t>企业实行持续清洁生产的必要性</w:t>
            </w:r>
          </w:p>
        </w:tc>
      </w:tr>
      <w:tr w14:paraId="2B527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6" w:type="pct"/>
            <w:vAlign w:val="center"/>
          </w:tcPr>
          <w:p w14:paraId="2D9E5D0A">
            <w:pPr>
              <w:pStyle w:val="62"/>
            </w:pPr>
            <w:r>
              <w:t>1</w:t>
            </w:r>
          </w:p>
        </w:tc>
        <w:tc>
          <w:tcPr>
            <w:tcW w:w="4664" w:type="pct"/>
            <w:vAlign w:val="center"/>
          </w:tcPr>
          <w:p w14:paraId="2F64064D">
            <w:pPr>
              <w:pStyle w:val="62"/>
            </w:pPr>
            <w:r>
              <w:t>为最大限度地节约资源，减少排污，企业应该有领导、有组织、有计划地按照《清洁生产促进法》中的规定和《工业企业清洁生产手册》上推荐的清洁生产内容开展清洁生产工作。</w:t>
            </w:r>
          </w:p>
        </w:tc>
      </w:tr>
      <w:tr w14:paraId="4256C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6" w:type="pct"/>
            <w:vAlign w:val="center"/>
          </w:tcPr>
          <w:p w14:paraId="16C26BFE">
            <w:pPr>
              <w:pStyle w:val="62"/>
            </w:pPr>
            <w:r>
              <w:t>2</w:t>
            </w:r>
          </w:p>
        </w:tc>
        <w:tc>
          <w:tcPr>
            <w:tcW w:w="4664" w:type="pct"/>
            <w:vAlign w:val="center"/>
          </w:tcPr>
          <w:p w14:paraId="3BB5A3B9">
            <w:pPr>
              <w:pStyle w:val="62"/>
            </w:pPr>
            <w:r>
              <w:t>评价清洁生产分析中所确定的清洁生产方案，应给以逐步实施。</w:t>
            </w:r>
          </w:p>
        </w:tc>
      </w:tr>
      <w:tr w14:paraId="02445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6" w:type="pct"/>
            <w:vAlign w:val="center"/>
          </w:tcPr>
          <w:p w14:paraId="176C7635">
            <w:pPr>
              <w:pStyle w:val="62"/>
            </w:pPr>
            <w:r>
              <w:t>3</w:t>
            </w:r>
          </w:p>
        </w:tc>
        <w:tc>
          <w:tcPr>
            <w:tcW w:w="4664" w:type="pct"/>
            <w:vAlign w:val="center"/>
          </w:tcPr>
          <w:p w14:paraId="36FF7BFD">
            <w:pPr>
              <w:pStyle w:val="62"/>
            </w:pPr>
            <w:r>
              <w:t>企业在发展过程中会不断出现新问题，需要一个不断的清洁生产过程，针对企业在每一个新的发展阶段出现的问题都能发现和解决，并不断减少企业资源消耗和废物排放，进一步提高企业清洁生产水平。</w:t>
            </w:r>
          </w:p>
        </w:tc>
      </w:tr>
    </w:tbl>
    <w:p w14:paraId="2031E01C">
      <w:pPr>
        <w:pStyle w:val="6"/>
        <w:ind w:left="0" w:firstLine="482" w:firstLineChars="200"/>
      </w:pPr>
      <w:r>
        <w:rPr>
          <w:rFonts w:hint="eastAsia"/>
        </w:rPr>
        <w:t>建立和完善清洁生产组织</w:t>
      </w:r>
    </w:p>
    <w:p w14:paraId="6233DED4">
      <w:pPr>
        <w:ind w:firstLine="480"/>
      </w:pPr>
      <w:r>
        <w:rPr>
          <w:rFonts w:hint="eastAsia" w:ascii="宋体" w:hAnsi="宋体"/>
        </w:rPr>
        <w:t>清洁生产是一个动态的、相对的概念，是一个连续的过程，因而需有一个固定的机构和工作人员来组织协调这方面的工作，以巩固已取得的清洁生产成果，并使企业清洁生产工作持续地开展下去。</w:t>
      </w:r>
    </w:p>
    <w:p w14:paraId="7AF85DF4">
      <w:pPr>
        <w:ind w:firstLine="480"/>
      </w:pPr>
      <w:r>
        <w:t>1、成立清洁生产组织</w:t>
      </w:r>
    </w:p>
    <w:p w14:paraId="25394BE9">
      <w:pPr>
        <w:ind w:firstLine="480"/>
      </w:pPr>
      <w:r>
        <w:t>评价建议该企业单独设立清洁生产办公室，直接归属厂长领导，实行专人负责制，配备人员须具备以下能力：熟练掌握清洁生产知识，熟悉企业环保情况，了解企业生产工艺和国内最先进技术动态和发展方向，具有较强的工作协调能力、有较好的工作责任心和敬业精神。</w:t>
      </w:r>
    </w:p>
    <w:p w14:paraId="2221DD46">
      <w:pPr>
        <w:ind w:firstLine="480"/>
      </w:pPr>
      <w:r>
        <w:t>2、清洁生产组织的任务</w:t>
      </w:r>
    </w:p>
    <w:p w14:paraId="08327FAE">
      <w:pPr>
        <w:ind w:firstLine="480"/>
      </w:pPr>
      <w:r>
        <w:t>（1）组织协调并监督管理各项清洁生产方案的实施；（2）定期组织对企业职工的清洁生产教育和培训；（3）制定清洁生产相关制度及激励机制；（4）收集并宣传相关清洁生产信息，为下一轮清洁生产做好准备；（5）负责清洁生产活动的日常管理。</w:t>
      </w:r>
    </w:p>
    <w:p w14:paraId="1458E0FF">
      <w:pPr>
        <w:ind w:firstLine="480"/>
      </w:pPr>
      <w:r>
        <w:rPr>
          <w:rFonts w:hint="eastAsia"/>
        </w:rPr>
        <w:t>3</w:t>
      </w:r>
      <w:r>
        <w:t>、建立和完善清洁生产管理制度</w:t>
      </w:r>
    </w:p>
    <w:p w14:paraId="30BC659D">
      <w:pPr>
        <w:ind w:firstLine="480"/>
      </w:pPr>
      <w:r>
        <w:t>主要是把清洁生产方案纳入企业的日常管理轨道，建立资金管理制度以保证稳定的清洁生产资金来源，建立激励机制提高企业员工的自主清洁生产意识。</w:t>
      </w:r>
    </w:p>
    <w:p w14:paraId="4692FCBF">
      <w:pPr>
        <w:ind w:firstLine="480"/>
      </w:pPr>
      <w:r>
        <w:rPr>
          <w:rFonts w:hint="eastAsia"/>
        </w:rPr>
        <w:t>4</w:t>
      </w:r>
      <w:r>
        <w:t>、把清洁生产纳入企业的日常管理</w:t>
      </w:r>
    </w:p>
    <w:p w14:paraId="0FF6F485">
      <w:pPr>
        <w:ind w:firstLine="480"/>
      </w:pPr>
      <w:r>
        <w:t>把清洁生产的成果及时纳入企业的日常管理轨道，是巩固清洁生产成效的重要手段，特别是把清洁生产分析产生的一些无、低费方案及时纳入企业的日常管理轨道。</w:t>
      </w:r>
    </w:p>
    <w:p w14:paraId="100F5096">
      <w:pPr>
        <w:ind w:firstLine="480"/>
      </w:pPr>
      <w:r>
        <w:t>（1）加强管理措施，形成清洁生产分析制度；</w:t>
      </w:r>
    </w:p>
    <w:p w14:paraId="36933BCC">
      <w:pPr>
        <w:ind w:firstLine="480"/>
      </w:pPr>
      <w:r>
        <w:t>（2）把清洁生产分析提出的岗位操作改进措施写进岗位的操作规程，并要求严格遵照执行；</w:t>
      </w:r>
    </w:p>
    <w:p w14:paraId="4969C884">
      <w:pPr>
        <w:ind w:firstLine="480"/>
      </w:pPr>
      <w:r>
        <w:t>（3）把清洁生产分析提出的工艺过程控制的改进措施写入企业技术规范。</w:t>
      </w:r>
    </w:p>
    <w:p w14:paraId="7A3E4DC3">
      <w:pPr>
        <w:ind w:firstLine="480"/>
      </w:pPr>
      <w:r>
        <w:rPr>
          <w:rFonts w:hint="eastAsia"/>
        </w:rPr>
        <w:t>5</w:t>
      </w:r>
      <w:r>
        <w:t>、保证稳定的清洁生产资金来源</w:t>
      </w:r>
    </w:p>
    <w:p w14:paraId="433A1B90">
      <w:pPr>
        <w:ind w:firstLine="480"/>
      </w:pPr>
      <w:r>
        <w:t>清洁生产的资金来源可以有多种渠道，但是清洁生产管理制度的一项重要作用是保证实施清洁生产所产生的经济效益，全部或部分地用于清洁生产，持续滚动地推进清洁生产，建议企业对清洁生产的投资和效益单独建帐。</w:t>
      </w:r>
    </w:p>
    <w:p w14:paraId="2740488B">
      <w:pPr>
        <w:ind w:firstLine="480"/>
      </w:pPr>
      <w:r>
        <w:rPr>
          <w:rFonts w:hint="eastAsia"/>
        </w:rPr>
        <w:t>6</w:t>
      </w:r>
      <w:r>
        <w:t>、建立和完善清洁生产奖惩机制</w:t>
      </w:r>
    </w:p>
    <w:p w14:paraId="45EF15F6">
      <w:pPr>
        <w:ind w:firstLine="480"/>
      </w:pPr>
      <w:r>
        <w:t>在企业奖惩方面与清洁生产挂钩，建立清洁生产奖惩激励机制，以调动全体职工参与清洁生产的积极性，将清洁生产变为职工的自觉行为。</w:t>
      </w:r>
    </w:p>
    <w:p w14:paraId="7313C019">
      <w:pPr>
        <w:pStyle w:val="6"/>
        <w:ind w:left="0" w:firstLine="482" w:firstLineChars="200"/>
      </w:pPr>
      <w:r>
        <w:rPr>
          <w:rFonts w:hint="eastAsia"/>
        </w:rPr>
        <w:t>搞好职工培训工作</w:t>
      </w:r>
    </w:p>
    <w:p w14:paraId="17ACE2FD">
      <w:pPr>
        <w:ind w:firstLine="480"/>
      </w:pPr>
      <w:r>
        <w:rPr>
          <w:rFonts w:hint="eastAsia"/>
        </w:rPr>
        <w:t>清洁生产措施能否顺利落实，清洁生产目标能否达到与企业每个职工的素质有很大关系，评价建议企业应对职工加强关于清洁生产方面的培训工作，不仅对操作工人进行培训，也要对各层干部、工程技术人员、车间班主任培训，并把实现清洁生产目标具体分配到每一个人，每一个环节都有专人负责，以利于清洁生产目标的实现，针对培训内容，制订出合理的培训计划。</w:t>
      </w:r>
    </w:p>
    <w:p w14:paraId="5977EAB6">
      <w:pPr>
        <w:pStyle w:val="6"/>
        <w:ind w:left="0" w:firstLine="482" w:firstLineChars="200"/>
      </w:pPr>
      <w:r>
        <w:rPr>
          <w:rFonts w:hint="eastAsia"/>
        </w:rPr>
        <w:t>制定持续清洁生产计划</w:t>
      </w:r>
    </w:p>
    <w:p w14:paraId="136D5897">
      <w:pPr>
        <w:pStyle w:val="2"/>
        <w:spacing w:after="0"/>
        <w:ind w:firstLine="480"/>
        <w:rPr>
          <w:rFonts w:hint="eastAsia" w:ascii="宋体" w:hAnsi="宋体"/>
        </w:rPr>
      </w:pPr>
      <w:r>
        <w:rPr>
          <w:rFonts w:hint="eastAsia" w:ascii="宋体" w:hAnsi="宋体"/>
        </w:rPr>
        <w:t>清洁生产是长期、动态的发展过程，因此应考虑企业的发展情况，制定长期的清洁生产方案。根据本项目具体情况，评价建议企业执行如下清洁生产计划。</w:t>
      </w:r>
    </w:p>
    <w:p w14:paraId="295D6ED6">
      <w:pPr>
        <w:pStyle w:val="14"/>
        <w:spacing w:line="520" w:lineRule="exact"/>
        <w:ind w:firstLine="480"/>
        <w:rPr>
          <w:rFonts w:eastAsia="黑体"/>
          <w:b w:val="0"/>
          <w:bCs/>
          <w:sz w:val="24"/>
          <w:szCs w:val="24"/>
        </w:rPr>
      </w:pPr>
      <w:r>
        <w:rPr>
          <w:rFonts w:eastAsia="黑体"/>
          <w:b w:val="0"/>
          <w:bCs/>
          <w:sz w:val="24"/>
          <w:szCs w:val="24"/>
        </w:rPr>
        <w:t>表3</w:t>
      </w:r>
      <w:r>
        <w:rPr>
          <w:rFonts w:hint="eastAsia" w:eastAsia="黑体"/>
          <w:b w:val="0"/>
          <w:bCs/>
          <w:sz w:val="24"/>
          <w:szCs w:val="24"/>
        </w:rPr>
        <w:t>.6</w:t>
      </w:r>
      <w:r>
        <w:rPr>
          <w:rFonts w:eastAsia="黑体"/>
          <w:b w:val="0"/>
          <w:bCs/>
          <w:sz w:val="24"/>
          <w:szCs w:val="24"/>
        </w:rPr>
        <w:t>-</w:t>
      </w:r>
      <w:r>
        <w:rPr>
          <w:rFonts w:hint="eastAsia" w:eastAsia="黑体"/>
          <w:b w:val="0"/>
          <w:bCs/>
          <w:sz w:val="24"/>
          <w:szCs w:val="24"/>
        </w:rPr>
        <w:t>2</w:t>
      </w:r>
      <w:r>
        <w:rPr>
          <w:rFonts w:eastAsia="黑体"/>
          <w:b w:val="0"/>
          <w:bCs/>
          <w:sz w:val="24"/>
          <w:szCs w:val="24"/>
        </w:rPr>
        <w:t xml:space="preserve">       </w:t>
      </w:r>
      <w:r>
        <w:rPr>
          <w:rFonts w:hint="eastAsia" w:eastAsia="黑体"/>
          <w:b w:val="0"/>
          <w:bCs/>
          <w:sz w:val="24"/>
          <w:szCs w:val="24"/>
        </w:rPr>
        <w:t xml:space="preserve"> </w:t>
      </w:r>
      <w:r>
        <w:rPr>
          <w:rFonts w:eastAsia="黑体"/>
          <w:b w:val="0"/>
          <w:bCs/>
          <w:sz w:val="24"/>
          <w:szCs w:val="24"/>
        </w:rPr>
        <w:t xml:space="preserve">    企业清洁生产计划一览表</w:t>
      </w:r>
    </w:p>
    <w:tbl>
      <w:tblPr>
        <w:tblStyle w:val="41"/>
        <w:tblW w:w="500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60"/>
        <w:gridCol w:w="1854"/>
        <w:gridCol w:w="5928"/>
      </w:tblGrid>
      <w:tr w14:paraId="4E673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6" w:type="pct"/>
            <w:vAlign w:val="center"/>
          </w:tcPr>
          <w:p w14:paraId="0071D380">
            <w:pPr>
              <w:pStyle w:val="67"/>
              <w:rPr>
                <w:color w:val="auto"/>
              </w:rPr>
            </w:pPr>
            <w:r>
              <w:rPr>
                <w:rFonts w:hint="eastAsia"/>
                <w:color w:val="auto"/>
              </w:rPr>
              <w:t>序号</w:t>
            </w:r>
          </w:p>
        </w:tc>
        <w:tc>
          <w:tcPr>
            <w:tcW w:w="1111" w:type="pct"/>
            <w:vAlign w:val="center"/>
          </w:tcPr>
          <w:p w14:paraId="29CB7B1E">
            <w:pPr>
              <w:pStyle w:val="67"/>
              <w:rPr>
                <w:color w:val="auto"/>
              </w:rPr>
            </w:pPr>
            <w:r>
              <w:rPr>
                <w:rFonts w:hint="eastAsia"/>
                <w:color w:val="auto"/>
              </w:rPr>
              <w:t>项目</w:t>
            </w:r>
          </w:p>
        </w:tc>
        <w:tc>
          <w:tcPr>
            <w:tcW w:w="3554" w:type="pct"/>
            <w:vAlign w:val="center"/>
          </w:tcPr>
          <w:p w14:paraId="7E3EE86A">
            <w:pPr>
              <w:pStyle w:val="67"/>
              <w:rPr>
                <w:color w:val="auto"/>
              </w:rPr>
            </w:pPr>
            <w:r>
              <w:rPr>
                <w:rFonts w:hint="eastAsia"/>
                <w:color w:val="auto"/>
              </w:rPr>
              <w:t>内容</w:t>
            </w:r>
          </w:p>
        </w:tc>
      </w:tr>
      <w:tr w14:paraId="4AF8F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6" w:type="pct"/>
            <w:vAlign w:val="center"/>
          </w:tcPr>
          <w:p w14:paraId="67CB7F28">
            <w:pPr>
              <w:pStyle w:val="62"/>
            </w:pPr>
            <w:r>
              <w:t>1</w:t>
            </w:r>
          </w:p>
        </w:tc>
        <w:tc>
          <w:tcPr>
            <w:tcW w:w="1111" w:type="pct"/>
            <w:vAlign w:val="center"/>
          </w:tcPr>
          <w:p w14:paraId="04DA03B1">
            <w:pPr>
              <w:pStyle w:val="62"/>
            </w:pPr>
            <w:r>
              <w:rPr>
                <w:rFonts w:hint="eastAsia"/>
              </w:rPr>
              <w:t>组建清洁生产机构</w:t>
            </w:r>
          </w:p>
        </w:tc>
        <w:tc>
          <w:tcPr>
            <w:tcW w:w="3554" w:type="pct"/>
            <w:vAlign w:val="center"/>
          </w:tcPr>
          <w:p w14:paraId="3ACC4ED4">
            <w:pPr>
              <w:pStyle w:val="62"/>
            </w:pPr>
            <w:r>
              <w:rPr>
                <w:rFonts w:hint="eastAsia"/>
              </w:rPr>
              <w:t>建立清洁生产办公室，全面开展企业的清洁生产工作。建立下属分支机构，例如新技术研究与开发、清洁生产管理等。</w:t>
            </w:r>
          </w:p>
        </w:tc>
      </w:tr>
      <w:tr w14:paraId="6BB41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6" w:type="pct"/>
            <w:vAlign w:val="center"/>
          </w:tcPr>
          <w:p w14:paraId="4C3522F6">
            <w:pPr>
              <w:pStyle w:val="62"/>
            </w:pPr>
            <w:r>
              <w:t>2</w:t>
            </w:r>
          </w:p>
        </w:tc>
        <w:tc>
          <w:tcPr>
            <w:tcW w:w="1111" w:type="pct"/>
            <w:vAlign w:val="center"/>
          </w:tcPr>
          <w:p w14:paraId="2D8B2237">
            <w:pPr>
              <w:pStyle w:val="62"/>
            </w:pPr>
            <w:r>
              <w:rPr>
                <w:rFonts w:hint="eastAsia"/>
              </w:rPr>
              <w:t>清洁生产方案实施</w:t>
            </w:r>
          </w:p>
        </w:tc>
        <w:tc>
          <w:tcPr>
            <w:tcW w:w="3554" w:type="pct"/>
            <w:vAlign w:val="center"/>
          </w:tcPr>
          <w:p w14:paraId="4DAC7291">
            <w:pPr>
              <w:pStyle w:val="62"/>
            </w:pPr>
            <w:r>
              <w:rPr>
                <w:rFonts w:hint="eastAsia"/>
              </w:rPr>
              <w:t>在企业内部各个生产环节推行清洁生产</w:t>
            </w:r>
          </w:p>
        </w:tc>
      </w:tr>
      <w:tr w14:paraId="5A9B7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6" w:type="pct"/>
            <w:vAlign w:val="center"/>
          </w:tcPr>
          <w:p w14:paraId="76B017A9">
            <w:pPr>
              <w:pStyle w:val="62"/>
            </w:pPr>
            <w:r>
              <w:t>3</w:t>
            </w:r>
          </w:p>
        </w:tc>
        <w:tc>
          <w:tcPr>
            <w:tcW w:w="1111" w:type="pct"/>
            <w:vAlign w:val="center"/>
          </w:tcPr>
          <w:p w14:paraId="5C88A6CE">
            <w:pPr>
              <w:pStyle w:val="62"/>
            </w:pPr>
            <w:r>
              <w:rPr>
                <w:rFonts w:hint="eastAsia"/>
              </w:rPr>
              <w:t>清洁生产培训</w:t>
            </w:r>
          </w:p>
        </w:tc>
        <w:tc>
          <w:tcPr>
            <w:tcW w:w="3554" w:type="pct"/>
            <w:vAlign w:val="center"/>
          </w:tcPr>
          <w:p w14:paraId="017402C8">
            <w:pPr>
              <w:pStyle w:val="62"/>
            </w:pPr>
            <w:r>
              <w:rPr>
                <w:rFonts w:hint="eastAsia"/>
              </w:rPr>
              <w:t>分层次对企业工作人员进行清洁生产培训</w:t>
            </w:r>
          </w:p>
        </w:tc>
      </w:tr>
      <w:tr w14:paraId="1492E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6" w:type="pct"/>
            <w:vAlign w:val="center"/>
          </w:tcPr>
          <w:p w14:paraId="18A10165">
            <w:pPr>
              <w:pStyle w:val="62"/>
            </w:pPr>
            <w:r>
              <w:t>4</w:t>
            </w:r>
          </w:p>
        </w:tc>
        <w:tc>
          <w:tcPr>
            <w:tcW w:w="1111" w:type="pct"/>
            <w:vAlign w:val="center"/>
          </w:tcPr>
          <w:p w14:paraId="73BF45E5">
            <w:pPr>
              <w:pStyle w:val="62"/>
            </w:pPr>
            <w:r>
              <w:rPr>
                <w:rFonts w:hint="eastAsia"/>
              </w:rPr>
              <w:t>清洁生产审计</w:t>
            </w:r>
          </w:p>
        </w:tc>
        <w:tc>
          <w:tcPr>
            <w:tcW w:w="3554" w:type="pct"/>
            <w:vAlign w:val="center"/>
          </w:tcPr>
          <w:p w14:paraId="0BE969F7">
            <w:pPr>
              <w:pStyle w:val="62"/>
            </w:pPr>
            <w:r>
              <w:rPr>
                <w:rFonts w:hint="eastAsia"/>
              </w:rPr>
              <w:t>开展清洁生产审计工作，积极进行</w:t>
            </w:r>
            <w:r>
              <w:t>ISO14001</w:t>
            </w:r>
            <w:r>
              <w:rPr>
                <w:rFonts w:hint="eastAsia"/>
              </w:rPr>
              <w:t>认证</w:t>
            </w:r>
          </w:p>
        </w:tc>
      </w:tr>
    </w:tbl>
    <w:p w14:paraId="3BC143FC">
      <w:pPr>
        <w:ind w:firstLine="480"/>
      </w:pPr>
    </w:p>
    <w:p w14:paraId="6122AA5F">
      <w:pPr>
        <w:ind w:firstLine="480"/>
      </w:pPr>
    </w:p>
    <w:p w14:paraId="6D7F2479">
      <w:pPr>
        <w:pStyle w:val="2"/>
        <w:ind w:firstLine="480"/>
        <w:rPr>
          <w:highlight w:val="yellow"/>
        </w:rPr>
      </w:pPr>
    </w:p>
    <w:p w14:paraId="0002262C">
      <w:pPr>
        <w:pStyle w:val="2"/>
        <w:ind w:firstLine="480"/>
        <w:rPr>
          <w:highlight w:val="yellow"/>
        </w:rPr>
      </w:pPr>
    </w:p>
    <w:p w14:paraId="1D3EBD61">
      <w:pPr>
        <w:pStyle w:val="3"/>
      </w:pPr>
      <w:bookmarkStart w:id="199" w:name="_Toc176105863"/>
      <w:r>
        <w:t>环境现状调查与</w:t>
      </w:r>
      <w:bookmarkEnd w:id="196"/>
      <w:bookmarkEnd w:id="197"/>
      <w:bookmarkEnd w:id="198"/>
      <w:r>
        <w:t>评价</w:t>
      </w:r>
      <w:bookmarkEnd w:id="199"/>
    </w:p>
    <w:p w14:paraId="1D3EBD62">
      <w:pPr>
        <w:pStyle w:val="4"/>
      </w:pPr>
      <w:bookmarkStart w:id="200" w:name="_Toc428286782"/>
      <w:bookmarkStart w:id="201" w:name="_Toc428287176"/>
      <w:bookmarkStart w:id="202" w:name="_Toc176105864"/>
      <w:bookmarkStart w:id="203" w:name="_Toc429318390"/>
      <w:bookmarkStart w:id="204" w:name="_Toc429318405"/>
      <w:bookmarkStart w:id="205" w:name="_Toc428287222"/>
      <w:bookmarkStart w:id="206" w:name="_Toc428286861"/>
      <w:bookmarkStart w:id="207" w:name="_Toc410051662"/>
      <w:bookmarkStart w:id="208" w:name="_Toc310408269"/>
      <w:r>
        <w:t>区域环境概况</w:t>
      </w:r>
      <w:bookmarkEnd w:id="200"/>
      <w:bookmarkEnd w:id="201"/>
      <w:bookmarkEnd w:id="202"/>
      <w:bookmarkEnd w:id="203"/>
    </w:p>
    <w:p w14:paraId="1D3EBD63">
      <w:pPr>
        <w:pStyle w:val="5"/>
        <w:spacing w:before="240" w:after="240"/>
      </w:pPr>
      <w:bookmarkStart w:id="209" w:name="_Toc428287529"/>
      <w:bookmarkStart w:id="210" w:name="_Toc428287177"/>
      <w:bookmarkStart w:id="211" w:name="_Toc428286783"/>
      <w:r>
        <w:t>地理位置</w:t>
      </w:r>
      <w:bookmarkEnd w:id="209"/>
      <w:bookmarkEnd w:id="210"/>
      <w:bookmarkEnd w:id="211"/>
    </w:p>
    <w:p w14:paraId="1D3EBD64">
      <w:pPr>
        <w:ind w:firstLine="480"/>
        <w:rPr>
          <w:highlight w:val="yellow"/>
        </w:rPr>
      </w:pPr>
      <w:r>
        <w:rPr>
          <w:rFonts w:hint="eastAsia"/>
        </w:rPr>
        <w:t>卫辉市位于河南省北部，新乡市东北部，东连鹤壁市，西接辉县市、新乡市，北临安阳市，南与延津县接壤。地理位置东经113°51</w:t>
      </w:r>
      <w:r>
        <w:t>’</w:t>
      </w:r>
      <w:r>
        <w:rPr>
          <w:rFonts w:hint="eastAsia"/>
        </w:rPr>
        <w:t>至114°19</w:t>
      </w:r>
      <w:r>
        <w:t>’</w:t>
      </w:r>
      <w:r>
        <w:rPr>
          <w:rFonts w:hint="eastAsia"/>
        </w:rPr>
        <w:t>，北纬35°19</w:t>
      </w:r>
      <w:r>
        <w:t>’</w:t>
      </w:r>
      <w:r>
        <w:rPr>
          <w:rFonts w:hint="eastAsia"/>
        </w:rPr>
        <w:t>至35°42</w:t>
      </w:r>
      <w:r>
        <w:t>’</w:t>
      </w:r>
      <w:r>
        <w:rPr>
          <w:rFonts w:hint="eastAsia"/>
        </w:rPr>
        <w:t>之间，总面积862平方公里，山区、丘陵、平原面积分别为258、158、452平方公里，其中耕地面积37600公顷，城市建成区面积18.9平方公里。</w:t>
      </w:r>
    </w:p>
    <w:p w14:paraId="11DF6334">
      <w:pPr>
        <w:ind w:firstLine="480"/>
        <w:rPr>
          <w:highlight w:val="yellow"/>
        </w:rPr>
      </w:pPr>
      <w:r>
        <w:rPr>
          <w:rFonts w:hint="eastAsia"/>
        </w:rPr>
        <w:t>卫辉市铁西（化工）专业园区位于卫辉市中心城区西部，规划用地总面积 1.70平方公里，分南、北两个园区：其中北园具体范围：东至京广大道，西至卫辉市化工有限公司西边界，南到濮卫高速入口绿化带边界，北到熔金股份北边界，规划用地面积0.33平方公里；南园具体范围：东到工业大道，西至香泉路和翟阳路与卫辉产业集聚区相邻，南到京广大道和康迪粉业南边界，北至天瑞路，规划用地面积1.37平方公里。</w:t>
      </w:r>
    </w:p>
    <w:p w14:paraId="1D3EBD66">
      <w:pPr>
        <w:ind w:firstLine="480"/>
        <w:rPr>
          <w:highlight w:val="yellow"/>
        </w:rPr>
      </w:pPr>
      <w:r>
        <w:t>本项目位于</w:t>
      </w:r>
      <w:r>
        <w:rPr>
          <w:rFonts w:hint="eastAsia"/>
        </w:rPr>
        <w:t>新乡市卫辉市唐庄镇代庄村99号卫辉市铁西（化工）园区内，</w:t>
      </w:r>
      <w:r>
        <w:t>厂址周围多为园区内企业，近距离环境的敏感点主要为：</w:t>
      </w:r>
      <w:r>
        <w:rPr>
          <w:rFonts w:hint="eastAsia"/>
        </w:rPr>
        <w:t>东南580</w:t>
      </w:r>
      <w:r>
        <w:t>m</w:t>
      </w:r>
      <w:r>
        <w:rPr>
          <w:rFonts w:hint="eastAsia"/>
        </w:rPr>
        <w:t>处</w:t>
      </w:r>
      <w:r>
        <w:t>的</w:t>
      </w:r>
      <w:r>
        <w:rPr>
          <w:rFonts w:hint="eastAsia"/>
          <w:bCs/>
        </w:rPr>
        <w:t>下园村，</w:t>
      </w:r>
      <w:r>
        <w:t>东南侧</w:t>
      </w:r>
      <w:r>
        <w:rPr>
          <w:rFonts w:hint="eastAsia"/>
        </w:rPr>
        <w:t>770m</w:t>
      </w:r>
      <w:r>
        <w:t>处的</w:t>
      </w:r>
      <w:r>
        <w:rPr>
          <w:rFonts w:hint="eastAsia"/>
        </w:rPr>
        <w:t>龙王庙村，西南640m</w:t>
      </w:r>
      <w:r>
        <w:t>处的仁里屯村，西北</w:t>
      </w:r>
      <w:r>
        <w:rPr>
          <w:rFonts w:hint="eastAsia"/>
        </w:rPr>
        <w:t>800m</w:t>
      </w:r>
      <w:r>
        <w:t>处的郭全屯村。项目地理位置见附图一，项目厂址周边环境示意图见下图。</w:t>
      </w:r>
    </w:p>
    <w:p w14:paraId="1D3EBD67">
      <w:pPr>
        <w:pStyle w:val="68"/>
        <w:rPr>
          <w:rFonts w:eastAsiaTheme="minorEastAsia"/>
          <w:highlight w:val="yellow"/>
        </w:rPr>
      </w:pPr>
      <w:r>
        <w:drawing>
          <wp:inline distT="0" distB="0" distL="0" distR="0">
            <wp:extent cx="5278120" cy="3318510"/>
            <wp:effectExtent l="0" t="0" r="17780" b="15240"/>
            <wp:docPr id="1999878296"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78296" name="图片 1" descr="地图&#10;&#10;描述已自动生成"/>
                    <pic:cNvPicPr>
                      <a:picLocks noChangeAspect="1"/>
                    </pic:cNvPicPr>
                  </pic:nvPicPr>
                  <pic:blipFill>
                    <a:blip r:embed="rId69"/>
                    <a:stretch>
                      <a:fillRect/>
                    </a:stretch>
                  </pic:blipFill>
                  <pic:spPr>
                    <a:xfrm>
                      <a:off x="0" y="0"/>
                      <a:ext cx="5278120" cy="3318510"/>
                    </a:xfrm>
                    <a:prstGeom prst="rect">
                      <a:avLst/>
                    </a:prstGeom>
                  </pic:spPr>
                </pic:pic>
              </a:graphicData>
            </a:graphic>
          </wp:inline>
        </w:drawing>
      </w:r>
    </w:p>
    <w:p w14:paraId="1D3EBD68">
      <w:pPr>
        <w:pStyle w:val="68"/>
        <w:numPr>
          <w:ilvl w:val="0"/>
          <w:numId w:val="22"/>
        </w:numPr>
        <w:rPr>
          <w:rFonts w:eastAsia="黑体"/>
          <w:b w:val="0"/>
          <w:bCs/>
        </w:rPr>
      </w:pPr>
      <w:r>
        <w:rPr>
          <w:rFonts w:eastAsia="黑体"/>
          <w:b w:val="0"/>
          <w:bCs/>
        </w:rPr>
        <w:t xml:space="preserve">  项目周围环境情况图</w:t>
      </w:r>
    </w:p>
    <w:p w14:paraId="1D3EBD69">
      <w:pPr>
        <w:pStyle w:val="5"/>
        <w:spacing w:before="240" w:after="240"/>
      </w:pPr>
      <w:r>
        <w:rPr>
          <w:rFonts w:hint="eastAsia"/>
        </w:rPr>
        <w:t>地形、地貌、地质</w:t>
      </w:r>
    </w:p>
    <w:p w14:paraId="77FAFE14">
      <w:pPr>
        <w:ind w:firstLine="480"/>
        <w:rPr>
          <w:kern w:val="28"/>
        </w:rPr>
      </w:pPr>
      <w:r>
        <w:rPr>
          <w:rFonts w:hint="eastAsia"/>
          <w:kern w:val="28"/>
        </w:rPr>
        <w:t>卫辉市地形分为三大类：一是太行山缓慢上升，形成太行山基岩山丘区；二是山洪堆积形成山前倾斜平原；三是黄河与卫河冲积形成黄河、卫河冲积平原。总的地势西高东低，中部低洼，高差显著分明。海拔高程63m～1069m。地貌自西北向东南分为：</w:t>
      </w:r>
    </w:p>
    <w:p w14:paraId="3A3C975B">
      <w:pPr>
        <w:ind w:firstLine="480"/>
        <w:rPr>
          <w:kern w:val="28"/>
        </w:rPr>
      </w:pPr>
      <w:r>
        <w:rPr>
          <w:rFonts w:hint="eastAsia"/>
          <w:kern w:val="28"/>
        </w:rPr>
        <w:t>（1）太行山基岩山丘区</w:t>
      </w:r>
    </w:p>
    <w:p w14:paraId="3B00AB01">
      <w:pPr>
        <w:ind w:firstLine="480"/>
        <w:rPr>
          <w:kern w:val="28"/>
        </w:rPr>
      </w:pPr>
      <w:r>
        <w:rPr>
          <w:rFonts w:hint="eastAsia"/>
          <w:kern w:val="28"/>
        </w:rPr>
        <w:t>市域西部、西北部。包括狮豹头乡全部及安都乡、太公泉镇、唐庄镇三乡镇西北部为太行山基岩山丘区。面积25.8平方公里，占总面积29.29%。海拔高程 200 米以上。地势自北向南呈梯级下降，地面坡度 3.9%。</w:t>
      </w:r>
    </w:p>
    <w:p w14:paraId="45700A18">
      <w:pPr>
        <w:ind w:firstLine="480"/>
        <w:rPr>
          <w:kern w:val="28"/>
        </w:rPr>
      </w:pPr>
      <w:r>
        <w:rPr>
          <w:rFonts w:hint="eastAsia"/>
          <w:kern w:val="28"/>
        </w:rPr>
        <w:t>（2）山前倾斜平原区</w:t>
      </w:r>
    </w:p>
    <w:p w14:paraId="14477947">
      <w:pPr>
        <w:pStyle w:val="2"/>
        <w:spacing w:after="0"/>
        <w:ind w:firstLine="480"/>
      </w:pPr>
      <w:r>
        <w:t>位于京广铁路以西，太行山脚下。包括安都、太公泉乡大部分和唐庄镇一部分，面积157.7平方公里，占全市面积的17.88%，海拔高程81至200米。地势由西北向东南倾斜，坡降为5-20‰。</w:t>
      </w:r>
    </w:p>
    <w:p w14:paraId="60E17220">
      <w:pPr>
        <w:ind w:firstLine="480"/>
        <w:rPr>
          <w:kern w:val="28"/>
        </w:rPr>
      </w:pPr>
      <w:r>
        <w:rPr>
          <w:rFonts w:hint="eastAsia"/>
          <w:kern w:val="28"/>
        </w:rPr>
        <w:t>（3）平原区</w:t>
      </w:r>
    </w:p>
    <w:p w14:paraId="073DACF9">
      <w:pPr>
        <w:pStyle w:val="2"/>
        <w:spacing w:after="0"/>
        <w:ind w:firstLine="480"/>
      </w:pPr>
      <w:r>
        <w:rPr>
          <w:rFonts w:hint="eastAsia"/>
        </w:rPr>
        <w:t>以古阳堤为分界线，分为卫河冲积平原和黄河冲积平原两大部分。卫河冲积平原位于京广铁路以东、古阳堤以北以西，包括城郊、顿坊店两个乡全部和孙杏村镇、唐庄镇、李源屯镇、庞寨乡一部分。黄河冲积平原位于古阳堤以南、引黄七支以北，包括柳庄乡、后河镇全部和李源屯镇、庞寨乡、孙杏村镇一部分。平原总面积466平方公里，占土地总面积52.83%。海拔高程63至80米。</w:t>
      </w:r>
    </w:p>
    <w:p w14:paraId="650FA449">
      <w:pPr>
        <w:pStyle w:val="2"/>
        <w:spacing w:after="0"/>
        <w:ind w:firstLine="480"/>
      </w:pPr>
      <w:r>
        <w:rPr>
          <w:rFonts w:hint="eastAsia"/>
        </w:rPr>
        <w:t>卫辉市地层露出有太古界，元古界震旦系，古生界寒武系、奥陶系、石炭系、二迭系，新生代上第三系和第四系。</w:t>
      </w:r>
    </w:p>
    <w:p w14:paraId="4272EEAF">
      <w:pPr>
        <w:ind w:firstLine="480"/>
      </w:pPr>
      <w:r>
        <w:rPr>
          <w:rFonts w:hint="eastAsia"/>
        </w:rPr>
        <w:t>卫辉地质构造处于华北陷带的南部，次级构造太行山复背斜的东南翼。北西部是太行山断块隆起，中部是汤阴地堑，东部是内黄隆起的断陷带。区内断裂比较发育，大小记有20多条，其中对该区构造起到控制作用的大断裂有青羊口断裂、汤东断裂、卧羊湾断裂和汲县断裂。</w:t>
      </w:r>
    </w:p>
    <w:p w14:paraId="1D3EBD70">
      <w:pPr>
        <w:pStyle w:val="2"/>
        <w:spacing w:after="0"/>
        <w:ind w:firstLine="480"/>
        <w:rPr>
          <w:kern w:val="28"/>
          <w:highlight w:val="yellow"/>
        </w:rPr>
      </w:pPr>
      <w:r>
        <w:rPr>
          <w:rFonts w:hint="eastAsia"/>
        </w:rPr>
        <w:t>卫辉市位于太行山断块隆起东南翼，青羊口断裂、汤阴断裂切割的汤阴地堑南端，距峪河口断裂与古盘寺至新乡断裂交汇处以北25公里，境内存在发生里氏6级以上地震地质构造背景，是全国重点监视区之一。</w:t>
      </w:r>
    </w:p>
    <w:p w14:paraId="1D3EBD73">
      <w:pPr>
        <w:pStyle w:val="5"/>
        <w:spacing w:before="240" w:after="240"/>
      </w:pPr>
      <w:bookmarkStart w:id="212" w:name="_Toc428287180"/>
      <w:bookmarkStart w:id="213" w:name="_Toc428287532"/>
      <w:bookmarkStart w:id="214" w:name="_Toc428286786"/>
      <w:r>
        <w:t>气候气象</w:t>
      </w:r>
      <w:bookmarkEnd w:id="212"/>
      <w:bookmarkEnd w:id="213"/>
      <w:bookmarkEnd w:id="214"/>
    </w:p>
    <w:p w14:paraId="321040C0">
      <w:pPr>
        <w:ind w:firstLine="480"/>
      </w:pPr>
      <w:bookmarkStart w:id="215" w:name="_Toc428287533"/>
      <w:bookmarkStart w:id="216" w:name="_Toc428286787"/>
      <w:bookmarkStart w:id="217" w:name="_Toc428287181"/>
      <w:r>
        <w:t>卫辉市地处中纬度地区，属暖带大陆性季风气候，四季分明，春季干燥少雨，冷暖多变，多春旱；夏季炎热高温，降水集中；秋季天高气爽，气候宜人；冬季寒冷寡照，较少雨雪。冬春季多东北风，夏季多西南风。年均气温13.8℃，年均日照时数2446.9小时，年均降水量576.5毫米，无霜期209天。气候温和，光照充足，雨热同步，寒暑适中。</w:t>
      </w:r>
    </w:p>
    <w:p w14:paraId="3490C85D">
      <w:pPr>
        <w:ind w:firstLine="480"/>
      </w:pPr>
      <w:r>
        <w:t>1、日照</w:t>
      </w:r>
    </w:p>
    <w:p w14:paraId="458DC093">
      <w:pPr>
        <w:ind w:firstLine="480"/>
      </w:pPr>
      <w:r>
        <w:t>卫辉市年平均日照2052.2小时，日照百分率为46%。大于等于0℃日照时数2024小时，大于等于10摄氏度日照时数1484.2小时。5月份最多，1月份最少，7月份处于雨季，云量多，日照时数相对减少。大田作物生长季节（5-8月份），各月日照时数在180-230小时之间，平均每天实照7-8小时，对春播短日照作物，如玉米、棉花等较适宜。长日照作物小麦的生长旺季（4-5月），各月日照在200小时以上，平均每天实照7小时以上，亦能满足其生长需要。</w:t>
      </w:r>
    </w:p>
    <w:p w14:paraId="3CD9957A">
      <w:pPr>
        <w:ind w:firstLine="480"/>
      </w:pPr>
      <w:r>
        <w:t>2、气温</w:t>
      </w:r>
    </w:p>
    <w:p w14:paraId="28A388A5">
      <w:pPr>
        <w:ind w:firstLine="480"/>
      </w:pPr>
      <w:r>
        <w:t>卫辉市年平均气温14.3℃。暖年 15℃（1999 年），冷年13.8摄氏度，1月为全年最冷月，平均气温为27.1℃，平均年较差为27.4℃，平均每年出现大于等于35℃高温日10天，大于等于40℃高温0天，小于等于-10摄氏度低温日1天。年平均最高气温28.4℃，极端最高温39.7℃；年平均最低温9.3℃，极端最低温-15℃。极端年较差51.7℃。卫辉的气温春季上升剧烈，秋季下降迅速。全年气温变化较大，尤以春末夏初为最。</w:t>
      </w:r>
    </w:p>
    <w:p w14:paraId="3376BA96">
      <w:pPr>
        <w:pStyle w:val="2"/>
        <w:ind w:firstLine="480"/>
      </w:pPr>
      <w:r>
        <w:t>山丘区由于地形较为复杂，造成水平和垂直方向上气温的差异。山区逆温层高度在150-300米，平均为240米，逆温在秋冬春三季较为明显。气温的垂直递减率为0.7℃/100米。山前由于接受太阳辐射多，山脉屏蔽偏北冷空气的侵袭，气温较高；而山后太阳辐射少，且易受冷空气侵袭，故气温偏低。</w:t>
      </w:r>
    </w:p>
    <w:p w14:paraId="4BEE5F20">
      <w:pPr>
        <w:ind w:firstLine="480"/>
      </w:pPr>
      <w:r>
        <w:rPr>
          <w:rFonts w:hint="eastAsia"/>
        </w:rPr>
        <w:t>3、降水</w:t>
      </w:r>
    </w:p>
    <w:p w14:paraId="15F534CE">
      <w:pPr>
        <w:ind w:firstLine="480"/>
      </w:pPr>
      <w:r>
        <w:rPr>
          <w:rFonts w:hint="eastAsia"/>
        </w:rPr>
        <w:t>卫辉市年雨量分配不均，高度集中于夏季。近10年最多降水量791.8毫米，最少降水量442.8毫米，平均降水量556.99毫米，全年降水量分配以夏季为最多，近5年平均夏季降水282.2毫米，占全年降水量的62.25%，夏季又以7月份降水量为最多，平均184.5毫米，占年降水量的40.70%。秋季降水量72.45毫米。春季降水量75.8毫米。冬季是全年降水量最少的季节，仅22.9毫米，占年降水量5.05%。</w:t>
      </w:r>
    </w:p>
    <w:p w14:paraId="3E151992">
      <w:pPr>
        <w:ind w:firstLine="480"/>
      </w:pPr>
      <w:r>
        <w:rPr>
          <w:rFonts w:hint="eastAsia"/>
        </w:rPr>
        <w:t>干旱和雨涝是卫辉的主要气象灾害，旱涝不仅次数频繁，而且在一年中往往先旱后涝，旱涝交替，给农业生产和人民生活造成很大危害。旱涝形成的原因，主要是降水变率大，降水过于集中。暴雨日次数不多，但降水强度大，卫辉市暴雨出现时间一般在4至9月份，7月下旬到8月上旬为高度集中时段，北部多于南部，山区多于平原。冰雹是一种破坏性较大的灾害性天气，主要集中在5至7月份。卫辉一年四季均有大风出现，以春季最多，夏秋季最少，受地形影响，东部地区大风多于西部，平原多于山区，且偏大1-2级。</w:t>
      </w:r>
    </w:p>
    <w:p w14:paraId="14687F34">
      <w:pPr>
        <w:pStyle w:val="2"/>
        <w:ind w:firstLine="480"/>
      </w:pPr>
    </w:p>
    <w:p w14:paraId="5B35BCCB">
      <w:pPr>
        <w:pStyle w:val="5"/>
        <w:spacing w:before="240" w:after="240"/>
      </w:pPr>
      <w:r>
        <w:rPr>
          <w:rFonts w:hint="eastAsia"/>
        </w:rPr>
        <w:t>水文地质</w:t>
      </w:r>
    </w:p>
    <w:p w14:paraId="34197BCC">
      <w:pPr>
        <w:pStyle w:val="6"/>
        <w:ind w:left="0" w:firstLine="482" w:firstLineChars="200"/>
      </w:pPr>
      <w:r>
        <w:rPr>
          <w:rFonts w:hint="eastAsia"/>
        </w:rPr>
        <w:t>地表水</w:t>
      </w:r>
    </w:p>
    <w:p w14:paraId="79DD6AD3">
      <w:pPr>
        <w:ind w:firstLine="480"/>
      </w:pPr>
      <w:r>
        <w:rPr>
          <w:rFonts w:hint="eastAsia"/>
        </w:rPr>
        <w:t>新乡市位于河南省北部，华北平原的南端。新乡市地跨海河和黄河两大流域，其中海河流域主要分布在西北部地区，为太行山丘区和海河平原区。主要河流是卫河、共产主义渠以及其支流东孟姜女河、西孟姜女河、北排水河、百泉河等，接纳了新乡市区、卫辉市、辉县市、新乡县、获嘉县、凤泉区等区域的工业废水、生活污水和农田退水。</w:t>
      </w:r>
    </w:p>
    <w:p w14:paraId="08B4F75A">
      <w:pPr>
        <w:ind w:firstLine="480"/>
      </w:pPr>
      <w:r>
        <w:t>流经卫辉市区的地表水有卫河、共产主义渠、东孟姜女河、沧河、香泉河、十里河和大沙河等七条主要河流，除大沙河属黄河流域金堤河水系外，其它均为海河流域南运河水系。</w:t>
      </w:r>
    </w:p>
    <w:p w14:paraId="0F2FC081">
      <w:pPr>
        <w:ind w:firstLine="480"/>
      </w:pPr>
      <w:r>
        <w:t>卫辉市铁西（化工）专业园区废水最终纳污水体为共产主义渠。</w:t>
      </w:r>
    </w:p>
    <w:p w14:paraId="384A0AE9">
      <w:pPr>
        <w:ind w:firstLine="480"/>
      </w:pPr>
      <w:r>
        <w:t>（1）共产主义渠</w:t>
      </w:r>
    </w:p>
    <w:p w14:paraId="1BD0064D">
      <w:pPr>
        <w:ind w:firstLine="480"/>
      </w:pPr>
      <w:r>
        <w:t>共产主义渠开挖于1958年，主要是为发展灌溉和减轻卫河防洪负担兴修。以河南发扬共产主义风格，向华北地区送水而得名。全长192公里，境内长44公里，由东曲里入境，在卫河北侧并列东行，至小河口村入浚县境。流域面积5529平方公里。渠底宽60-70米，边坡1:2，比降1/6000-1/1000。境内渠道无左堤。该渠除汛期短时间排泄大量山洪外，枯水季节基本断流，属于季节性河流。十四五末，河流规划功能区为Ⅳ类功能区。园区污水通过唐庄污水处理厂处理排入共产主义渠。</w:t>
      </w:r>
    </w:p>
    <w:p w14:paraId="168E6D79">
      <w:pPr>
        <w:ind w:firstLine="480"/>
      </w:pPr>
      <w:r>
        <w:t>（2）卫河</w:t>
      </w:r>
    </w:p>
    <w:p w14:paraId="6A2A205A">
      <w:pPr>
        <w:ind w:firstLine="480"/>
      </w:pPr>
      <w:r>
        <w:rPr>
          <w:u w:val="single"/>
        </w:rPr>
        <w:t>卫河是中国海河水系</w:t>
      </w:r>
      <w:r>
        <w:rPr>
          <w:rFonts w:eastAsia="MS Mincho"/>
          <w:u w:val="single"/>
        </w:rPr>
        <w:t>‌</w:t>
      </w:r>
      <w:r>
        <w:rPr>
          <w:u w:val="single"/>
        </w:rPr>
        <w:t>南运河的支流，发源于山西省</w:t>
      </w:r>
      <w:r>
        <w:rPr>
          <w:rFonts w:eastAsia="MS Mincho"/>
          <w:u w:val="single"/>
        </w:rPr>
        <w:t>‌</w:t>
      </w:r>
      <w:r>
        <w:rPr>
          <w:u w:val="single"/>
        </w:rPr>
        <w:t>陵川县的</w:t>
      </w:r>
      <w:r>
        <w:rPr>
          <w:rFonts w:eastAsia="MS Mincho"/>
          <w:u w:val="single"/>
        </w:rPr>
        <w:t>‌</w:t>
      </w:r>
      <w:r>
        <w:rPr>
          <w:u w:val="single"/>
        </w:rPr>
        <w:t>夺火乡，流经山西南部、河南北部、河北及山东小部分，最终在</w:t>
      </w:r>
      <w:r>
        <w:rPr>
          <w:rFonts w:eastAsia="MS Mincho"/>
          <w:u w:val="single"/>
        </w:rPr>
        <w:t>‌</w:t>
      </w:r>
      <w:r>
        <w:rPr>
          <w:u w:val="single"/>
        </w:rPr>
        <w:t>天津入海河。卫河的全长超过400公里，其中干流河道长344.5公里，流域面积达到14970平方公</w:t>
      </w:r>
      <w:r>
        <w:rPr>
          <w:rFonts w:hint="eastAsia" w:ascii="宋体" w:hAnsi="宋体" w:cs="宋体"/>
          <w:u w:val="single"/>
        </w:rPr>
        <w:t>里。</w:t>
      </w:r>
      <w:r>
        <w:t>流域面积：淇河</w:t>
      </w:r>
      <w:r>
        <w:rPr>
          <w:rFonts w:hint="eastAsia"/>
        </w:rPr>
        <w:t>口以上844.4平方公里，东孟姜女河口以上814.6平方公里。河床底宽10-15米，边坡1:25-1:3，比降 1/2000-1/8000。平均流量为每秒27.4立方米，最大泄洪能力每秒160立方米，大旱时几乎干涸。河流规划功能为自然水域及输水沟渠。</w:t>
      </w:r>
    </w:p>
    <w:p w14:paraId="6D281AA6">
      <w:pPr>
        <w:ind w:firstLine="480"/>
      </w:pPr>
      <w:r>
        <w:rPr>
          <w:rFonts w:hint="eastAsia"/>
        </w:rPr>
        <w:t>（3）东孟姜女河</w:t>
      </w:r>
    </w:p>
    <w:p w14:paraId="2C4F42A8">
      <w:pPr>
        <w:ind w:firstLine="480"/>
      </w:pPr>
      <w:r>
        <w:rPr>
          <w:rFonts w:hint="eastAsia"/>
        </w:rPr>
        <w:t>东孟姜女河是孟姜女河的东支。孟姜女河是古阳堤形成后，由于武陟圪店至卫辉一带洼地坡水多年冲刷而形成的一条自然河流。光绪三十二年（1906）平汉铁路建成，把孟姜女河拦为东西二支，其东支即为东孟姜女河。东孟姜女河起源于新乡县郎公庙以西小河村，经新乡县的洪门，延津县的堤湾村，至孙杏村乡上焦庄村入境，于市区西关吕公堂流入卫河。全长34.6公里，境内长14公里。河底宽8米，边坡1:2，比降1/5000。雨季可以排水，枯水季节灌溉，补给地下水。河流规划功能为自然水域及输水沟渠。</w:t>
      </w:r>
    </w:p>
    <w:p w14:paraId="77BCF301">
      <w:pPr>
        <w:ind w:firstLine="480"/>
      </w:pPr>
      <w:r>
        <w:rPr>
          <w:rFonts w:hint="eastAsia"/>
        </w:rPr>
        <w:t>（4）沧河</w:t>
      </w:r>
    </w:p>
    <w:p w14:paraId="2A7A48D2">
      <w:pPr>
        <w:ind w:firstLine="480"/>
      </w:pPr>
      <w:r>
        <w:rPr>
          <w:rFonts w:hint="eastAsia"/>
        </w:rPr>
        <w:t>原称苍河，发源于林县石崖水和辉县市横岭村，在西拴马村汇合，经龙卧岩、正面、狮豹头、塔岗，到口头村出山后潜入地下，下游分为三支复出地表，分别流入共产主义渠。该河无堤防，全长70公里，境内流域面积215.5平方公里。最大洪水流量每秒2.4万立方米（1956年7月21日），正常流量塔岗水库以上每秒1立方米，截岗水库以下每秒0.5立方米。1958年后，因塔岗、狮豹头、正面水库先后建成，该河灌溉与防洪能力大大提高。</w:t>
      </w:r>
    </w:p>
    <w:p w14:paraId="30485CE8">
      <w:pPr>
        <w:ind w:firstLine="480"/>
      </w:pPr>
      <w:r>
        <w:rPr>
          <w:rFonts w:hint="eastAsia"/>
        </w:rPr>
        <w:t>（5）香泉河</w:t>
      </w:r>
    </w:p>
    <w:p w14:paraId="083B30BC">
      <w:pPr>
        <w:ind w:firstLine="480"/>
      </w:pPr>
      <w:r>
        <w:rPr>
          <w:rFonts w:hint="eastAsia"/>
        </w:rPr>
        <w:t>起源于大池山乡花园村，经猴梯、王寺沟、香泉寺，由东寺庄北出山，过田湾、彭窑、南关村、小屯、小谷驼折而向南，到甘庄东注入共产主义渠。全长约26.5公里，流域面积132.3平方公里。最大洪水流量每秒1470立方米，正常流量每秒0.1立方米。该河无堤防。河流规划功能为泄洪。</w:t>
      </w:r>
    </w:p>
    <w:p w14:paraId="61C9540B">
      <w:pPr>
        <w:ind w:firstLine="480"/>
      </w:pPr>
      <w:r>
        <w:rPr>
          <w:rFonts w:hint="eastAsia"/>
        </w:rPr>
        <w:t>（6）大沙河</w:t>
      </w:r>
    </w:p>
    <w:p w14:paraId="2BA3E746">
      <w:pPr>
        <w:ind w:firstLine="480"/>
        <w:rPr>
          <w:u w:val="single"/>
        </w:rPr>
      </w:pPr>
      <w:r>
        <w:rPr>
          <w:rFonts w:hint="eastAsia"/>
          <w:u w:val="single"/>
        </w:rPr>
        <w:t>大沙河发源于山西省陵川县夺火镇，全长115.5公里，流域面积2688平方公里，其中山西省716平方公里，河南省1972平方公里。大沙河最大流量 650 立方米/秒。卫辉境内长18.7公里，流域面积37.7公里，无堤防，河流规划功能为泄洪。</w:t>
      </w:r>
    </w:p>
    <w:p w14:paraId="49EC3CB9">
      <w:pPr>
        <w:ind w:firstLine="480"/>
      </w:pPr>
      <w:r>
        <w:rPr>
          <w:rFonts w:hint="eastAsia"/>
        </w:rPr>
        <w:t>（7）十里河</w:t>
      </w:r>
    </w:p>
    <w:p w14:paraId="3ADAF1A7">
      <w:pPr>
        <w:ind w:firstLine="480"/>
      </w:pPr>
      <w:r>
        <w:rPr>
          <w:rFonts w:hint="eastAsia"/>
        </w:rPr>
        <w:t>起源于辉县市杨圪垱村，由太公泉乡韩窑村西入境，到虎掌沟村出山，于唐庄乡田庄村南流入共产主义渠，全长17公里，流域面积44.2平方公里。为季节性河流，无堤防。</w:t>
      </w:r>
    </w:p>
    <w:p w14:paraId="626D13F3">
      <w:pPr>
        <w:ind w:firstLine="480"/>
      </w:pPr>
      <w:r>
        <w:rPr>
          <w:rFonts w:hint="eastAsia"/>
        </w:rPr>
        <w:t>喷淋废水、车间地面清洗废水经厂区污水处理站处理后与经化粪池处理后的生活污水、</w:t>
      </w:r>
      <w:r>
        <w:t>循环冷却水系统排水</w:t>
      </w:r>
      <w:r>
        <w:rPr>
          <w:rFonts w:hint="eastAsia"/>
        </w:rPr>
        <w:t>一起由厂区总排口排入园区污水管网，再进入唐庄污水处理厂进行进一步处理，处理后排入共产主义渠。唐庄污水处理厂入共产主义渠排污口下游为新乡市控共渠下马营断面。</w:t>
      </w:r>
    </w:p>
    <w:p w14:paraId="052793C1">
      <w:pPr>
        <w:pStyle w:val="6"/>
        <w:ind w:left="0" w:firstLine="482" w:firstLineChars="200"/>
      </w:pPr>
      <w:r>
        <w:rPr>
          <w:rFonts w:hint="eastAsia"/>
        </w:rPr>
        <w:t>地下水</w:t>
      </w:r>
    </w:p>
    <w:p w14:paraId="052F6B3D">
      <w:pPr>
        <w:pStyle w:val="2"/>
        <w:spacing w:after="0"/>
        <w:ind w:firstLine="480"/>
      </w:pPr>
      <w:r>
        <w:rPr>
          <w:rFonts w:hint="eastAsia"/>
        </w:rPr>
        <w:t>根据地形地貌、水文、地质构造和含水岩性的不同，卫辉市大致分为三个水文地质区：山区丘陵基岩溶裂隙型水文地质区；山前倾斜平原孔隙型水文地质区；黄河冲积平原孔隙型水文地质区。多年平均地下水总资源量1.39亿m</w:t>
      </w:r>
      <w:r>
        <w:rPr>
          <w:rFonts w:hint="eastAsia"/>
          <w:vertAlign w:val="superscript"/>
        </w:rPr>
        <w:t>3</w:t>
      </w:r>
      <w:r>
        <w:rPr>
          <w:rFonts w:hint="eastAsia"/>
        </w:rPr>
        <w:t>，可利用量1.17亿m</w:t>
      </w:r>
      <w:r>
        <w:rPr>
          <w:rFonts w:hint="eastAsia"/>
          <w:vertAlign w:val="superscript"/>
        </w:rPr>
        <w:t>3</w:t>
      </w:r>
      <w:r>
        <w:rPr>
          <w:rFonts w:hint="eastAsia"/>
        </w:rPr>
        <w:t>。</w:t>
      </w:r>
    </w:p>
    <w:p w14:paraId="0731B78A">
      <w:pPr>
        <w:pStyle w:val="2"/>
        <w:spacing w:after="0"/>
        <w:ind w:firstLine="480"/>
      </w:pPr>
      <w:r>
        <w:rPr>
          <w:rFonts w:hint="eastAsia"/>
        </w:rPr>
        <w:t>（1）评价区地质条件</w:t>
      </w:r>
    </w:p>
    <w:p w14:paraId="62EA552E">
      <w:pPr>
        <w:pStyle w:val="2"/>
        <w:spacing w:after="0"/>
        <w:ind w:firstLine="480"/>
      </w:pPr>
      <w:r>
        <w:rPr>
          <w:rFonts w:hint="eastAsia"/>
        </w:rPr>
        <w:t>调查评价区地表第四系覆盖，主要为全新统冲积层和中更新统冲洪积层，基底为太古宇林山岩群变质岩系，盖层由中元古界蓟县系云梦山组陆源碎屑岩、寒武系-中奥陶统潮坪-鲕状滩相碳酸盐岩夹泥质岩系、石炭系-二叠系海陆交互相- 陆相含煤岩系，以及古近系陆相碎屑岩组成。在山间断陷盆地内和山前地带堆积了新近系-第四系陆相碎屑岩。缺失元古界大部分、上奥陶统-下石炭统和侏罗系-白垩系等地层。矿产类型以沉积矿产为主，与地层关系密切。</w:t>
      </w:r>
    </w:p>
    <w:p w14:paraId="5CCF08E6">
      <w:pPr>
        <w:pStyle w:val="2"/>
        <w:ind w:firstLine="480"/>
      </w:pPr>
      <w:r>
        <w:rPr>
          <w:rFonts w:hint="eastAsia"/>
        </w:rPr>
        <w:t>（2）评价区水文地质条件</w:t>
      </w:r>
    </w:p>
    <w:p w14:paraId="0D954CF4">
      <w:pPr>
        <w:pStyle w:val="2"/>
        <w:ind w:firstLine="480"/>
      </w:pPr>
      <w:r>
        <w:rPr>
          <w:rFonts w:hint="eastAsia"/>
        </w:rPr>
        <w:t>A、含水层特征</w:t>
      </w:r>
    </w:p>
    <w:p w14:paraId="6B170829">
      <w:pPr>
        <w:pStyle w:val="2"/>
        <w:ind w:firstLine="480"/>
      </w:pPr>
      <w:r>
        <w:rPr>
          <w:rFonts w:hint="eastAsia"/>
        </w:rPr>
        <w:t>项目区含水层主要为第四系松散岩类孔隙含水层组，岩性以卵石为主，部分地段为强风化泥岩，致使含水层富水性变差，地下水类型为潜-中深层水，导水系数大于1500m/d，单位涌水量大于30m</w:t>
      </w:r>
      <w:r>
        <w:rPr>
          <w:rFonts w:hint="eastAsia"/>
          <w:vertAlign w:val="superscript"/>
        </w:rPr>
        <w:t>3</w:t>
      </w:r>
      <w:r>
        <w:rPr>
          <w:rFonts w:hint="eastAsia"/>
        </w:rPr>
        <w:t>/h·m。</w:t>
      </w:r>
    </w:p>
    <w:p w14:paraId="61CCA609">
      <w:pPr>
        <w:ind w:firstLine="480"/>
      </w:pPr>
      <w:r>
        <w:rPr>
          <w:rFonts w:hint="eastAsia"/>
        </w:rPr>
        <w:t>B、地下水补径排条件</w:t>
      </w:r>
    </w:p>
    <w:p w14:paraId="63CC0C2E">
      <w:pPr>
        <w:ind w:firstLine="480"/>
      </w:pPr>
      <w:r>
        <w:rPr>
          <w:rFonts w:hint="eastAsia"/>
        </w:rPr>
        <w:t>项目区为冲洪积平原，地下水埋深较大，地表及包气带岩性一般为微含泥卵石，地下水埋深较大，降雨入渗补给较小，含水层组的补给源主要为山区径流补给。地下水的排泄途径为农田灌溉开采和径流排泄。项目区地下水整体由西北向东南方向径流。</w:t>
      </w:r>
    </w:p>
    <w:p w14:paraId="25FC1CA6">
      <w:pPr>
        <w:ind w:firstLine="480"/>
      </w:pPr>
      <w:r>
        <w:rPr>
          <w:rFonts w:hint="eastAsia"/>
        </w:rPr>
        <w:t>C、地下水动态特征</w:t>
      </w:r>
    </w:p>
    <w:p w14:paraId="1D3EBD84">
      <w:pPr>
        <w:ind w:firstLine="480"/>
        <w:rPr>
          <w:highlight w:val="yellow"/>
        </w:rPr>
      </w:pPr>
      <w:r>
        <w:rPr>
          <w:rFonts w:hint="eastAsia"/>
        </w:rPr>
        <w:t>项目区地下水动态类型属“径流-开采型”，地下水埋深较大，地下水动态主要受降水和开采控制。该地带降水入渗补给条件较差，主要接受来自山区的径流补给。在开采季节，地下水位下降；7月下旬进入雨季后，随着降水补给，地下水位上升，但不明显，之后在山区降水转化为径流补给后，地下水位大幅度上升；在10月至次年3月，在山区径流补给下，均处于高水位期；随后随着区域农业开采的加大和山区径流补给的减弱，水位开始下降，6月底、7月初水位下降至最低点。年内变幅可达2～3m。</w:t>
      </w:r>
      <w:bookmarkEnd w:id="215"/>
      <w:bookmarkEnd w:id="216"/>
      <w:bookmarkEnd w:id="217"/>
      <w:bookmarkStart w:id="218" w:name="_Toc245634107"/>
      <w:bookmarkStart w:id="219" w:name="_Toc249411650"/>
      <w:bookmarkStart w:id="220" w:name="_Toc245630714"/>
      <w:bookmarkStart w:id="221" w:name="_Toc242350681"/>
      <w:bookmarkStart w:id="222" w:name="_Toc251338304"/>
    </w:p>
    <w:p w14:paraId="1D3EBD85">
      <w:pPr>
        <w:pStyle w:val="5"/>
        <w:spacing w:before="240" w:after="240"/>
      </w:pPr>
      <w:bookmarkStart w:id="223" w:name="_Toc428287535"/>
      <w:bookmarkStart w:id="224" w:name="_Toc428286789"/>
      <w:bookmarkStart w:id="225" w:name="_Toc428287183"/>
      <w:r>
        <w:t>土壤</w:t>
      </w:r>
      <w:bookmarkEnd w:id="223"/>
      <w:bookmarkEnd w:id="224"/>
      <w:bookmarkEnd w:id="225"/>
    </w:p>
    <w:p w14:paraId="18FAB3DF">
      <w:pPr>
        <w:ind w:firstLine="480"/>
      </w:pPr>
      <w:r>
        <w:rPr>
          <w:rFonts w:hint="eastAsia"/>
        </w:rPr>
        <w:t>卫辉市总土地面积 132.3 万亩，其中山区 38.8 万亩，丘陵 23.7 万亩，土壤可分为褐土、潮土、风沙土类。</w:t>
      </w:r>
    </w:p>
    <w:p w14:paraId="13240027">
      <w:pPr>
        <w:ind w:firstLine="480"/>
      </w:pPr>
      <w:r>
        <w:rPr>
          <w:rFonts w:hint="eastAsia"/>
        </w:rPr>
        <w:t>1、褐土：分布在卫河以北山丘，山前倾斜平原和山前洼地，面积 80.78 万亩，约占总土地面积 61%。</w:t>
      </w:r>
    </w:p>
    <w:p w14:paraId="50D89BCC">
      <w:pPr>
        <w:ind w:firstLine="480"/>
      </w:pPr>
      <w:r>
        <w:rPr>
          <w:rFonts w:hint="eastAsia"/>
        </w:rPr>
        <w:t>2、潮土：分布在卫河以南到黄河故道以北冲积平原，面积共 48.76 万亩，约占总土地面积 37%。</w:t>
      </w:r>
    </w:p>
    <w:p w14:paraId="20DDBED9">
      <w:pPr>
        <w:ind w:firstLine="480"/>
      </w:pPr>
      <w:r>
        <w:rPr>
          <w:rFonts w:hint="eastAsia"/>
        </w:rPr>
        <w:t>3、风沙土：主要分布在黄河故道地区，面积 1.55 万亩，约占总土地面积 1%。</w:t>
      </w:r>
    </w:p>
    <w:p w14:paraId="1D3EBD86">
      <w:pPr>
        <w:ind w:firstLine="480"/>
      </w:pPr>
      <w:r>
        <w:rPr>
          <w:rFonts w:hint="eastAsia"/>
        </w:rPr>
        <w:t>全市土壤分布状况属于弱碱性，有机质含量低，速效氮含量中等，速效磷含量不足，速效钾含量丰富。</w:t>
      </w:r>
    </w:p>
    <w:bookmarkEnd w:id="218"/>
    <w:bookmarkEnd w:id="219"/>
    <w:bookmarkEnd w:id="220"/>
    <w:bookmarkEnd w:id="221"/>
    <w:bookmarkEnd w:id="222"/>
    <w:p w14:paraId="4C33AC3A">
      <w:pPr>
        <w:pStyle w:val="5"/>
        <w:spacing w:before="240" w:after="240"/>
      </w:pPr>
      <w:r>
        <w:rPr>
          <w:rFonts w:hint="eastAsia"/>
        </w:rPr>
        <w:t>矿产资源</w:t>
      </w:r>
    </w:p>
    <w:p w14:paraId="7FFC5904">
      <w:pPr>
        <w:ind w:firstLine="480"/>
      </w:pPr>
      <w:r>
        <w:rPr>
          <w:rFonts w:hint="eastAsia"/>
        </w:rPr>
        <w:t>卫辉市矿产品种较为丰富，有黑色金属矿、有色金属矿、化工原料矿、建材矿、燃料矿，但黑色金属矿、有色金属矿、化工原料矿矿点分散，储量较小，不适合工业开采。建材矿和燃料矿较为丰富，已探明水泥灰岩储量5.3亿吨、煤储量2.7亿吨、白云岩储量1亿吨。</w:t>
      </w:r>
    </w:p>
    <w:p w14:paraId="7143DEE0">
      <w:pPr>
        <w:ind w:firstLine="480"/>
      </w:pPr>
      <w:r>
        <w:rPr>
          <w:rFonts w:hint="eastAsia"/>
        </w:rPr>
        <w:t>卫辉市铁西（化工）专业园区内尚未发现具有开采价值的矿产资源。</w:t>
      </w:r>
    </w:p>
    <w:p w14:paraId="423526BC">
      <w:pPr>
        <w:pStyle w:val="5"/>
        <w:spacing w:before="240" w:after="240"/>
      </w:pPr>
      <w:r>
        <w:rPr>
          <w:rFonts w:hint="eastAsia"/>
        </w:rPr>
        <w:t>动植物资源</w:t>
      </w:r>
    </w:p>
    <w:p w14:paraId="2D64F83C">
      <w:pPr>
        <w:ind w:firstLine="480"/>
      </w:pPr>
      <w:r>
        <w:rPr>
          <w:rFonts w:hint="eastAsia"/>
        </w:rPr>
        <w:t>产业园区内植被分为自然植被和栽培植被。前者呈自然或半自然状态，包括常绿针叶林、落叶阔叶林、灌木丛等，主要分布在市北丘陵地区、公路两侧、园陵、荒滩、路边等地。后者均系栽培植被，包括大田作物，蔬菜作物，果园等，主要分布在市郊耕作区。</w:t>
      </w:r>
    </w:p>
    <w:p w14:paraId="2395B568">
      <w:pPr>
        <w:ind w:firstLine="480"/>
      </w:pPr>
      <w:r>
        <w:rPr>
          <w:rFonts w:hint="eastAsia"/>
        </w:rPr>
        <w:t>评价区域动物主要以牛、羊、犬等为主；水生鱼类主要为草鱼、链鱼等鱼种；农作物主要有小麦、玉米等，以及蔬菜、果树、种植树苗等人工植物。</w:t>
      </w:r>
    </w:p>
    <w:p w14:paraId="22234A3C">
      <w:pPr>
        <w:pStyle w:val="5"/>
        <w:spacing w:before="240" w:after="240"/>
      </w:pPr>
      <w:r>
        <w:rPr>
          <w:rFonts w:hint="eastAsia"/>
        </w:rPr>
        <w:t>旅游资源</w:t>
      </w:r>
    </w:p>
    <w:p w14:paraId="473F878F">
      <w:pPr>
        <w:ind w:firstLine="480"/>
      </w:pPr>
      <w:r>
        <w:rPr>
          <w:rFonts w:hint="eastAsia"/>
        </w:rPr>
        <w:t>新乡市历史悠久，文化底蕴丰厚，文物古迹、人文景观众多。新乡市委、市政府以创建中国优秀旅游城市为契机，充分利用独具特色的红色旅游资源，一手抓旅游精品景区建设，一手抓对外宣传促销，大力开发建设农业旅游示范点，全市共启动农业旅游建设项目近20个，投入资金近亿元，初步形成了名人名村（刘庄、唐庄、京华、回龙）、林业风光（白云寺、延津林场、原阳林场）、高效农业（龙泉、耿庄）等名牌农业旅游景区。农业旅游点的成功对外开放，大大提高和扩大了新乡旅游的对外影响，而且还促进了农业和旅游业的结合，深化了经济社会的发展模式，实现了城市和农村的共同发展。</w:t>
      </w:r>
    </w:p>
    <w:p w14:paraId="6D730FC8">
      <w:pPr>
        <w:ind w:firstLine="480"/>
      </w:pPr>
      <w:r>
        <w:rPr>
          <w:rFonts w:hint="eastAsia"/>
        </w:rPr>
        <w:t>目前，新乡市已有4个景区被命名为全国农业旅游示范点。全市拥有各类自然景观数百处，现有比干庙、潞王陵、孟庄遗址、百泉4处国家级文物保护单位，白云寺国家森林公园1处，豫北黄河故道湿地鸟类国家级自然保护区1处，万仙山、八里沟、京华园等省级风景名胜区和文物保护单位52处；市级文物保护单位500余处，历史文化名城1处，历史文化名镇1处。比干庙、潞王陵、白云寺、百泉、万仙山、八里沟、京华园等人文景观与自然景观交相辉映，使新乡成为旅游度假的绝佳去处。现已开发三条旅游热线。</w:t>
      </w:r>
    </w:p>
    <w:p w14:paraId="48A98753">
      <w:pPr>
        <w:ind w:firstLine="480"/>
        <w:rPr>
          <w:highlight w:val="yellow"/>
        </w:rPr>
      </w:pPr>
      <w:r>
        <w:rPr>
          <w:rFonts w:hint="eastAsia"/>
        </w:rPr>
        <w:t>产业园区范围不涉及风景名胜区等旅游资源。</w:t>
      </w:r>
    </w:p>
    <w:p w14:paraId="13898027">
      <w:pPr>
        <w:pStyle w:val="4"/>
      </w:pPr>
      <w:bookmarkStart w:id="226" w:name="_Toc176105865"/>
      <w:r>
        <w:rPr>
          <w:rFonts w:hint="eastAsia"/>
        </w:rPr>
        <w:t>项目所在地环境功能区划</w:t>
      </w:r>
      <w:bookmarkEnd w:id="226"/>
    </w:p>
    <w:p w14:paraId="463B4205">
      <w:pPr>
        <w:pStyle w:val="5"/>
        <w:spacing w:before="240" w:after="240"/>
        <w:ind w:firstLine="562"/>
      </w:pPr>
      <w:r>
        <w:rPr>
          <w:rFonts w:hint="eastAsia"/>
        </w:rPr>
        <w:t>环境空气</w:t>
      </w:r>
    </w:p>
    <w:p w14:paraId="6A60A423">
      <w:pPr>
        <w:pStyle w:val="2"/>
        <w:ind w:firstLine="480"/>
      </w:pPr>
      <w:r>
        <w:t>本项目位于</w:t>
      </w:r>
      <w:r>
        <w:rPr>
          <w:rFonts w:hint="eastAsia"/>
        </w:rPr>
        <w:t>新乡市卫辉市唐庄镇代庄村99号卫辉市铁西（化工）园区内</w:t>
      </w:r>
      <w:r>
        <w:t>，按照当地环境功能区划，本项目所在区域环境空气质量执行《环境空气质量标准》（GB3096-2012）二级标准。</w:t>
      </w:r>
    </w:p>
    <w:p w14:paraId="1885C941">
      <w:pPr>
        <w:pStyle w:val="5"/>
        <w:spacing w:before="240" w:after="240"/>
        <w:ind w:firstLine="562"/>
      </w:pPr>
      <w:r>
        <w:rPr>
          <w:rFonts w:hint="eastAsia"/>
        </w:rPr>
        <w:t>地表水</w:t>
      </w:r>
    </w:p>
    <w:p w14:paraId="5F8683B9">
      <w:pPr>
        <w:ind w:firstLine="480"/>
      </w:pPr>
      <w:r>
        <w:t>本项目所在区域纳污河流为</w:t>
      </w:r>
      <w:r>
        <w:rPr>
          <w:rFonts w:hint="eastAsia"/>
          <w:bCs/>
        </w:rPr>
        <w:t>共产主义渠</w:t>
      </w:r>
      <w:r>
        <w:t>。根据</w:t>
      </w:r>
      <w:r>
        <w:rPr>
          <w:rFonts w:hint="eastAsia"/>
        </w:rPr>
        <w:t>《新乡市生态环境局关于下达2023年地表水环境质量暂定目标的函》、</w:t>
      </w:r>
      <w:r>
        <w:rPr>
          <w:szCs w:val="24"/>
        </w:rPr>
        <w:t>《新乡市生态环境局关于</w:t>
      </w:r>
      <w:r>
        <w:rPr>
          <w:rFonts w:hint="eastAsia"/>
          <w:szCs w:val="24"/>
        </w:rPr>
        <w:t>印发</w:t>
      </w:r>
      <w:r>
        <w:rPr>
          <w:szCs w:val="24"/>
        </w:rPr>
        <w:t>202</w:t>
      </w:r>
      <w:r>
        <w:rPr>
          <w:rFonts w:hint="eastAsia"/>
          <w:szCs w:val="24"/>
        </w:rPr>
        <w:t>4</w:t>
      </w:r>
      <w:r>
        <w:rPr>
          <w:szCs w:val="24"/>
        </w:rPr>
        <w:t>年地表水环境质量目标的函》</w:t>
      </w:r>
      <w:r>
        <w:t>，</w:t>
      </w:r>
      <w:r>
        <w:rPr>
          <w:rFonts w:hint="eastAsia"/>
          <w:bCs/>
        </w:rPr>
        <w:t>共产主义渠下马营断面2023年、</w:t>
      </w:r>
      <w:r>
        <w:rPr>
          <w:rFonts w:hint="eastAsia"/>
        </w:rPr>
        <w:t>2024年</w:t>
      </w:r>
      <w:r>
        <w:t>目标</w:t>
      </w:r>
      <w:r>
        <w:rPr>
          <w:rFonts w:hint="eastAsia"/>
        </w:rPr>
        <w:t>均</w:t>
      </w:r>
      <w:r>
        <w:t>为IV类水环境功能区。</w:t>
      </w:r>
    </w:p>
    <w:p w14:paraId="46784A7D">
      <w:pPr>
        <w:pStyle w:val="5"/>
        <w:spacing w:before="240" w:after="240"/>
        <w:ind w:firstLine="562"/>
      </w:pPr>
      <w:r>
        <w:rPr>
          <w:rFonts w:hint="eastAsia"/>
        </w:rPr>
        <w:t>地下水</w:t>
      </w:r>
    </w:p>
    <w:p w14:paraId="0FCE8809">
      <w:pPr>
        <w:pStyle w:val="2"/>
        <w:ind w:firstLine="480"/>
      </w:pPr>
      <w:r>
        <w:t>根据当地环境功能区划，本项目所在区域地下水环境质量执行《地下水质量标准》（GB/T14848-2017）III类标准。</w:t>
      </w:r>
    </w:p>
    <w:p w14:paraId="014586F5">
      <w:pPr>
        <w:pStyle w:val="5"/>
        <w:spacing w:before="240" w:after="240"/>
        <w:ind w:firstLine="562"/>
      </w:pPr>
      <w:r>
        <w:rPr>
          <w:rFonts w:hint="eastAsia"/>
        </w:rPr>
        <w:t>声环境</w:t>
      </w:r>
    </w:p>
    <w:p w14:paraId="635715A1">
      <w:pPr>
        <w:ind w:firstLine="480"/>
      </w:pPr>
      <w:r>
        <w:t>本项目位于</w:t>
      </w:r>
      <w:r>
        <w:rPr>
          <w:rFonts w:hint="eastAsia"/>
        </w:rPr>
        <w:t>新乡市卫辉市唐庄镇代庄村99号卫辉市铁西（化工）园区内</w:t>
      </w:r>
      <w:r>
        <w:t>，本项目所在区域声环境执行《声环境质量标准》（GB3096-2008）</w:t>
      </w:r>
      <w:r>
        <w:rPr>
          <w:rFonts w:hint="eastAsia"/>
        </w:rPr>
        <w:t>3</w:t>
      </w:r>
      <w:r>
        <w:t>类标准。</w:t>
      </w:r>
    </w:p>
    <w:p w14:paraId="1EE5BD46">
      <w:pPr>
        <w:pStyle w:val="5"/>
        <w:spacing w:before="240" w:after="240"/>
        <w:ind w:firstLine="562"/>
      </w:pPr>
      <w:r>
        <w:rPr>
          <w:rFonts w:hint="eastAsia"/>
        </w:rPr>
        <w:t>土壤</w:t>
      </w:r>
    </w:p>
    <w:p w14:paraId="689A1530">
      <w:pPr>
        <w:pStyle w:val="2"/>
        <w:ind w:firstLine="480"/>
      </w:pPr>
      <w:r>
        <w:t>本项目位于</w:t>
      </w:r>
      <w:r>
        <w:rPr>
          <w:rFonts w:hint="eastAsia"/>
        </w:rPr>
        <w:t>新乡市卫辉市唐庄镇代庄村99号卫辉市铁西（化工）园区内</w:t>
      </w:r>
      <w:r>
        <w:t>，建设用地土壤执行《土壤环境质量 建设用地土壤污染风险管控标准（试行）》（GB36600-2018）表</w:t>
      </w:r>
      <w:r>
        <w:rPr>
          <w:rFonts w:hint="eastAsia"/>
        </w:rPr>
        <w:t>1</w:t>
      </w:r>
      <w:r>
        <w:t>第二类用地筛选值。</w:t>
      </w:r>
    </w:p>
    <w:p w14:paraId="1D3EBD8A">
      <w:pPr>
        <w:pStyle w:val="4"/>
      </w:pPr>
      <w:bookmarkStart w:id="227" w:name="_Toc176105866"/>
      <w:r>
        <w:t>环境质量现状监测与评价</w:t>
      </w:r>
      <w:bookmarkEnd w:id="227"/>
    </w:p>
    <w:p w14:paraId="1D3EBD8B">
      <w:pPr>
        <w:pStyle w:val="5"/>
        <w:spacing w:before="240" w:after="240"/>
      </w:pPr>
      <w:r>
        <w:t>现状监测数据来源</w:t>
      </w:r>
      <w:bookmarkEnd w:id="204"/>
      <w:bookmarkEnd w:id="205"/>
      <w:bookmarkEnd w:id="206"/>
      <w:bookmarkEnd w:id="207"/>
    </w:p>
    <w:bookmarkEnd w:id="208"/>
    <w:p w14:paraId="1D3EBD92">
      <w:pPr>
        <w:ind w:firstLine="480"/>
      </w:pPr>
      <w:bookmarkStart w:id="228" w:name="_Toc199566844"/>
      <w:bookmarkStart w:id="229" w:name="_Toc199565748"/>
      <w:bookmarkStart w:id="230" w:name="_Toc311812644"/>
      <w:bookmarkStart w:id="231" w:name="_Toc324839303"/>
      <w:bookmarkStart w:id="232" w:name="_Toc324839600"/>
      <w:bookmarkStart w:id="233" w:name="_Toc502244697"/>
      <w:bookmarkStart w:id="234" w:name="_Toc429318407"/>
      <w:bookmarkStart w:id="235" w:name="_Toc428287224"/>
      <w:bookmarkStart w:id="236" w:name="_Toc428286863"/>
      <w:bookmarkStart w:id="237" w:name="_Toc310408270"/>
      <w:r>
        <w:t>环境质量现状调查与评价将充分利用已有监测数据，同时结合近期现状监测数据，对区域环境质量现状进行客观评价。环境质量现状调查数据来源详见</w:t>
      </w:r>
      <w:r>
        <w:rPr>
          <w:rFonts w:hint="eastAsia"/>
        </w:rPr>
        <w:t>下</w:t>
      </w:r>
      <w:r>
        <w:t>表。</w:t>
      </w:r>
    </w:p>
    <w:p w14:paraId="58BD258B">
      <w:pPr>
        <w:numPr>
          <w:ilvl w:val="0"/>
          <w:numId w:val="23"/>
        </w:numPr>
        <w:adjustRightInd/>
        <w:snapToGrid/>
        <w:ind w:firstLineChars="0"/>
        <w:textAlignment w:val="auto"/>
        <w:rPr>
          <w:rFonts w:eastAsia="黑体"/>
        </w:rPr>
      </w:pPr>
      <w:r>
        <w:rPr>
          <w:rFonts w:eastAsia="黑体"/>
        </w:rPr>
        <w:t xml:space="preserve">              区域环境质量现状调查来源</w:t>
      </w:r>
    </w:p>
    <w:tbl>
      <w:tblPr>
        <w:tblStyle w:val="41"/>
        <w:tblW w:w="894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88"/>
        <w:gridCol w:w="2404"/>
        <w:gridCol w:w="3261"/>
        <w:gridCol w:w="2293"/>
      </w:tblGrid>
      <w:tr w14:paraId="1EBC7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shd w:val="clear" w:color="auto" w:fill="auto"/>
            <w:vAlign w:val="center"/>
          </w:tcPr>
          <w:p w14:paraId="6B562CBF">
            <w:pPr>
              <w:spacing w:line="240" w:lineRule="auto"/>
              <w:ind w:firstLine="0" w:firstLineChars="0"/>
              <w:jc w:val="center"/>
              <w:rPr>
                <w:rFonts w:eastAsia="黑体"/>
                <w:sz w:val="21"/>
                <w:szCs w:val="21"/>
              </w:rPr>
            </w:pPr>
            <w:r>
              <w:rPr>
                <w:rFonts w:hint="eastAsia" w:ascii="宋体" w:hAnsi="宋体" w:cs="宋体"/>
                <w:b/>
                <w:sz w:val="21"/>
                <w:szCs w:val="21"/>
              </w:rPr>
              <w:t>环境</w:t>
            </w:r>
            <w:r>
              <w:rPr>
                <w:b/>
                <w:sz w:val="21"/>
                <w:szCs w:val="21"/>
              </w:rPr>
              <w:t>因素</w:t>
            </w:r>
          </w:p>
        </w:tc>
        <w:tc>
          <w:tcPr>
            <w:tcW w:w="2404" w:type="dxa"/>
            <w:shd w:val="clear" w:color="auto" w:fill="auto"/>
            <w:vAlign w:val="center"/>
          </w:tcPr>
          <w:p w14:paraId="63FF80C3">
            <w:pPr>
              <w:spacing w:line="240" w:lineRule="auto"/>
              <w:ind w:firstLine="0" w:firstLineChars="0"/>
              <w:jc w:val="center"/>
              <w:rPr>
                <w:rFonts w:eastAsia="黑体"/>
                <w:sz w:val="21"/>
                <w:szCs w:val="21"/>
              </w:rPr>
            </w:pPr>
            <w:r>
              <w:rPr>
                <w:rFonts w:eastAsia="Times New Roman"/>
                <w:b/>
                <w:sz w:val="21"/>
                <w:szCs w:val="21"/>
              </w:rPr>
              <w:t>监测点位</w:t>
            </w:r>
          </w:p>
        </w:tc>
        <w:tc>
          <w:tcPr>
            <w:tcW w:w="3261" w:type="dxa"/>
            <w:shd w:val="clear" w:color="auto" w:fill="auto"/>
            <w:vAlign w:val="center"/>
          </w:tcPr>
          <w:p w14:paraId="5BFBAFE6">
            <w:pPr>
              <w:spacing w:line="240" w:lineRule="auto"/>
              <w:ind w:firstLine="0" w:firstLineChars="0"/>
              <w:jc w:val="center"/>
              <w:rPr>
                <w:rFonts w:eastAsia="黑体"/>
                <w:sz w:val="21"/>
                <w:szCs w:val="21"/>
              </w:rPr>
            </w:pPr>
            <w:r>
              <w:rPr>
                <w:rFonts w:eastAsia="Times New Roman"/>
                <w:b/>
                <w:sz w:val="21"/>
                <w:szCs w:val="21"/>
              </w:rPr>
              <w:t>监测因子</w:t>
            </w:r>
          </w:p>
        </w:tc>
        <w:tc>
          <w:tcPr>
            <w:tcW w:w="2293" w:type="dxa"/>
            <w:shd w:val="clear" w:color="auto" w:fill="auto"/>
            <w:vAlign w:val="center"/>
          </w:tcPr>
          <w:p w14:paraId="6197FC72">
            <w:pPr>
              <w:spacing w:line="240" w:lineRule="auto"/>
              <w:ind w:firstLine="0" w:firstLineChars="0"/>
              <w:jc w:val="center"/>
              <w:rPr>
                <w:rFonts w:eastAsia="黑体"/>
                <w:sz w:val="21"/>
                <w:szCs w:val="21"/>
              </w:rPr>
            </w:pPr>
            <w:r>
              <w:rPr>
                <w:rFonts w:eastAsia="Times New Roman"/>
                <w:b/>
                <w:sz w:val="21"/>
                <w:szCs w:val="21"/>
              </w:rPr>
              <w:t>监测数据来源</w:t>
            </w:r>
          </w:p>
        </w:tc>
      </w:tr>
      <w:tr w14:paraId="16B85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vMerge w:val="restart"/>
            <w:shd w:val="clear" w:color="auto" w:fill="auto"/>
            <w:vAlign w:val="center"/>
          </w:tcPr>
          <w:p w14:paraId="405B3814">
            <w:pPr>
              <w:spacing w:line="240" w:lineRule="auto"/>
              <w:ind w:firstLine="0" w:firstLineChars="0"/>
              <w:jc w:val="center"/>
              <w:rPr>
                <w:rFonts w:eastAsia="Times New Roman"/>
                <w:sz w:val="21"/>
                <w:szCs w:val="21"/>
              </w:rPr>
            </w:pPr>
            <w:r>
              <w:rPr>
                <w:sz w:val="21"/>
                <w:szCs w:val="21"/>
              </w:rPr>
              <w:t>环境空气</w:t>
            </w:r>
          </w:p>
        </w:tc>
        <w:tc>
          <w:tcPr>
            <w:tcW w:w="2404" w:type="dxa"/>
            <w:shd w:val="clear" w:color="auto" w:fill="auto"/>
            <w:vAlign w:val="center"/>
          </w:tcPr>
          <w:p w14:paraId="06832AAA">
            <w:pPr>
              <w:spacing w:line="240" w:lineRule="auto"/>
              <w:ind w:firstLine="0" w:firstLineChars="0"/>
              <w:jc w:val="center"/>
              <w:rPr>
                <w:rFonts w:eastAsia="黑体"/>
                <w:sz w:val="21"/>
                <w:szCs w:val="21"/>
              </w:rPr>
            </w:pPr>
            <w:r>
              <w:rPr>
                <w:rFonts w:eastAsia="Times New Roman"/>
                <w:sz w:val="21"/>
                <w:szCs w:val="21"/>
              </w:rPr>
              <w:t>新乡市常规监测点位</w:t>
            </w:r>
          </w:p>
        </w:tc>
        <w:tc>
          <w:tcPr>
            <w:tcW w:w="3261" w:type="dxa"/>
            <w:shd w:val="clear" w:color="auto" w:fill="auto"/>
            <w:vAlign w:val="center"/>
          </w:tcPr>
          <w:p w14:paraId="7108759A">
            <w:pPr>
              <w:spacing w:line="240" w:lineRule="auto"/>
              <w:ind w:firstLine="0" w:firstLineChars="0"/>
              <w:jc w:val="center"/>
              <w:rPr>
                <w:rFonts w:eastAsia="黑体"/>
                <w:sz w:val="21"/>
                <w:szCs w:val="21"/>
              </w:rPr>
            </w:pPr>
            <w:r>
              <w:rPr>
                <w:rFonts w:eastAsia="Times New Roman"/>
                <w:sz w:val="21"/>
                <w:szCs w:val="21"/>
              </w:rPr>
              <w:t>PM</w:t>
            </w:r>
            <w:r>
              <w:rPr>
                <w:rFonts w:eastAsia="Times New Roman"/>
                <w:sz w:val="21"/>
                <w:szCs w:val="21"/>
                <w:vertAlign w:val="subscript"/>
              </w:rPr>
              <w:t>10</w:t>
            </w:r>
            <w:r>
              <w:rPr>
                <w:rFonts w:eastAsia="Times New Roman"/>
                <w:sz w:val="21"/>
                <w:szCs w:val="21"/>
              </w:rPr>
              <w:t>、PM</w:t>
            </w:r>
            <w:r>
              <w:rPr>
                <w:rFonts w:eastAsia="Times New Roman"/>
                <w:sz w:val="21"/>
                <w:szCs w:val="21"/>
                <w:vertAlign w:val="subscript"/>
              </w:rPr>
              <w:t>2.5</w:t>
            </w:r>
            <w:r>
              <w:rPr>
                <w:rFonts w:eastAsia="Times New Roman"/>
                <w:sz w:val="21"/>
                <w:szCs w:val="21"/>
              </w:rPr>
              <w:t>、SO</w:t>
            </w:r>
            <w:r>
              <w:rPr>
                <w:rFonts w:eastAsia="Times New Roman"/>
                <w:sz w:val="21"/>
                <w:szCs w:val="21"/>
                <w:vertAlign w:val="subscript"/>
              </w:rPr>
              <w:t>2</w:t>
            </w:r>
            <w:r>
              <w:rPr>
                <w:rFonts w:eastAsia="Times New Roman"/>
                <w:sz w:val="21"/>
                <w:szCs w:val="21"/>
              </w:rPr>
              <w:t>、NO</w:t>
            </w:r>
            <w:r>
              <w:rPr>
                <w:rFonts w:eastAsia="Times New Roman"/>
                <w:sz w:val="21"/>
                <w:szCs w:val="21"/>
                <w:vertAlign w:val="subscript"/>
              </w:rPr>
              <w:t>2</w:t>
            </w:r>
            <w:r>
              <w:rPr>
                <w:rFonts w:eastAsia="Times New Roman"/>
                <w:sz w:val="21"/>
                <w:szCs w:val="21"/>
              </w:rPr>
              <w:t>、CO、O</w:t>
            </w:r>
            <w:r>
              <w:rPr>
                <w:rFonts w:eastAsia="Times New Roman"/>
                <w:sz w:val="21"/>
                <w:szCs w:val="21"/>
                <w:vertAlign w:val="subscript"/>
              </w:rPr>
              <w:t>3</w:t>
            </w:r>
          </w:p>
        </w:tc>
        <w:tc>
          <w:tcPr>
            <w:tcW w:w="2293" w:type="dxa"/>
            <w:shd w:val="clear" w:color="auto" w:fill="auto"/>
            <w:vAlign w:val="center"/>
          </w:tcPr>
          <w:p w14:paraId="6C947779">
            <w:pPr>
              <w:spacing w:line="240" w:lineRule="auto"/>
              <w:ind w:firstLine="0" w:firstLineChars="0"/>
              <w:jc w:val="center"/>
              <w:rPr>
                <w:rFonts w:eastAsia="黑体"/>
                <w:sz w:val="21"/>
                <w:szCs w:val="21"/>
              </w:rPr>
            </w:pPr>
            <w:r>
              <w:rPr>
                <w:rFonts w:eastAsia="Times New Roman"/>
                <w:sz w:val="21"/>
                <w:szCs w:val="21"/>
              </w:rPr>
              <w:t>新乡市202</w:t>
            </w:r>
            <w:r>
              <w:rPr>
                <w:rFonts w:hint="eastAsia" w:eastAsiaTheme="minorEastAsia"/>
                <w:sz w:val="21"/>
                <w:szCs w:val="21"/>
              </w:rPr>
              <w:t>3</w:t>
            </w:r>
            <w:r>
              <w:rPr>
                <w:rFonts w:eastAsia="Times New Roman"/>
                <w:sz w:val="21"/>
                <w:szCs w:val="21"/>
              </w:rPr>
              <w:t>年环境质量年报</w:t>
            </w:r>
          </w:p>
        </w:tc>
      </w:tr>
      <w:tr w14:paraId="19158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vMerge w:val="continue"/>
            <w:shd w:val="clear" w:color="auto" w:fill="auto"/>
            <w:vAlign w:val="center"/>
          </w:tcPr>
          <w:p w14:paraId="76EDAEB4">
            <w:pPr>
              <w:spacing w:line="240" w:lineRule="auto"/>
              <w:ind w:firstLine="0" w:firstLineChars="0"/>
              <w:jc w:val="center"/>
              <w:rPr>
                <w:sz w:val="21"/>
                <w:szCs w:val="21"/>
                <w:highlight w:val="yellow"/>
              </w:rPr>
            </w:pPr>
          </w:p>
        </w:tc>
        <w:tc>
          <w:tcPr>
            <w:tcW w:w="2404" w:type="dxa"/>
            <w:shd w:val="clear" w:color="auto" w:fill="auto"/>
            <w:vAlign w:val="center"/>
          </w:tcPr>
          <w:p w14:paraId="17543391">
            <w:pPr>
              <w:spacing w:line="240" w:lineRule="auto"/>
              <w:ind w:firstLine="0" w:firstLineChars="0"/>
              <w:jc w:val="center"/>
              <w:rPr>
                <w:rFonts w:eastAsia="Times New Roman"/>
                <w:sz w:val="21"/>
                <w:szCs w:val="21"/>
              </w:rPr>
            </w:pPr>
            <w:r>
              <w:rPr>
                <w:rFonts w:hint="eastAsia" w:ascii="宋体" w:hAnsi="宋体" w:cs="宋体"/>
                <w:sz w:val="21"/>
                <w:szCs w:val="21"/>
              </w:rPr>
              <w:t>厂区</w:t>
            </w:r>
          </w:p>
        </w:tc>
        <w:tc>
          <w:tcPr>
            <w:tcW w:w="3261" w:type="dxa"/>
            <w:shd w:val="clear" w:color="auto" w:fill="auto"/>
            <w:vAlign w:val="center"/>
          </w:tcPr>
          <w:p w14:paraId="144B050A">
            <w:pPr>
              <w:spacing w:line="240" w:lineRule="auto"/>
              <w:ind w:firstLine="0" w:firstLineChars="0"/>
              <w:jc w:val="center"/>
              <w:rPr>
                <w:rFonts w:eastAsia="Times New Roman"/>
                <w:sz w:val="21"/>
                <w:szCs w:val="21"/>
              </w:rPr>
            </w:pPr>
            <w:r>
              <w:rPr>
                <w:sz w:val="21"/>
                <w:szCs w:val="21"/>
              </w:rPr>
              <w:t>硫酸、非甲烷总烃、氨、硫化氢、臭气浓度、TVOC</w:t>
            </w:r>
          </w:p>
        </w:tc>
        <w:tc>
          <w:tcPr>
            <w:tcW w:w="2293" w:type="dxa"/>
            <w:vMerge w:val="restart"/>
            <w:shd w:val="clear" w:color="auto" w:fill="auto"/>
            <w:vAlign w:val="center"/>
          </w:tcPr>
          <w:p w14:paraId="1D0D0F6D">
            <w:pPr>
              <w:spacing w:line="240" w:lineRule="auto"/>
              <w:ind w:firstLine="0" w:firstLineChars="0"/>
              <w:jc w:val="center"/>
              <w:rPr>
                <w:rFonts w:eastAsia="Times New Roman"/>
                <w:sz w:val="21"/>
                <w:szCs w:val="21"/>
              </w:rPr>
            </w:pPr>
            <w:r>
              <w:rPr>
                <w:rFonts w:hint="eastAsia" w:ascii="宋体" w:hAnsi="宋体" w:cs="宋体"/>
                <w:sz w:val="21"/>
                <w:szCs w:val="21"/>
              </w:rPr>
              <w:t>河南平原山水检测有限公司新乡分公司于</w:t>
            </w:r>
            <w:r>
              <w:rPr>
                <w:rFonts w:hint="eastAsia" w:eastAsia="Times New Roman"/>
                <w:sz w:val="21"/>
                <w:szCs w:val="21"/>
              </w:rPr>
              <w:t>2024</w:t>
            </w:r>
            <w:r>
              <w:rPr>
                <w:rFonts w:hint="eastAsia" w:ascii="宋体" w:hAnsi="宋体" w:cs="宋体"/>
                <w:sz w:val="21"/>
                <w:szCs w:val="21"/>
              </w:rPr>
              <w:t>年</w:t>
            </w:r>
            <w:r>
              <w:rPr>
                <w:rFonts w:hint="eastAsia" w:eastAsiaTheme="minorEastAsia"/>
                <w:sz w:val="21"/>
                <w:szCs w:val="21"/>
              </w:rPr>
              <w:t>8</w:t>
            </w:r>
            <w:r>
              <w:rPr>
                <w:rFonts w:hint="eastAsia" w:ascii="宋体" w:hAnsi="宋体" w:cs="宋体"/>
                <w:sz w:val="21"/>
                <w:szCs w:val="21"/>
              </w:rPr>
              <w:t>月进行的现状检测</w:t>
            </w:r>
          </w:p>
        </w:tc>
      </w:tr>
      <w:tr w14:paraId="381CA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vMerge w:val="continue"/>
            <w:shd w:val="clear" w:color="auto" w:fill="auto"/>
            <w:vAlign w:val="center"/>
          </w:tcPr>
          <w:p w14:paraId="42B6D481">
            <w:pPr>
              <w:spacing w:line="240" w:lineRule="auto"/>
              <w:ind w:firstLine="0" w:firstLineChars="0"/>
              <w:jc w:val="center"/>
              <w:rPr>
                <w:sz w:val="21"/>
                <w:szCs w:val="21"/>
                <w:highlight w:val="yellow"/>
              </w:rPr>
            </w:pPr>
          </w:p>
        </w:tc>
        <w:tc>
          <w:tcPr>
            <w:tcW w:w="2404" w:type="dxa"/>
            <w:shd w:val="clear" w:color="auto" w:fill="auto"/>
            <w:vAlign w:val="center"/>
          </w:tcPr>
          <w:p w14:paraId="7B031FD1">
            <w:pPr>
              <w:spacing w:line="240" w:lineRule="auto"/>
              <w:ind w:firstLine="0" w:firstLineChars="0"/>
              <w:jc w:val="center"/>
              <w:rPr>
                <w:rFonts w:hint="eastAsia" w:ascii="宋体" w:hAnsi="宋体" w:cs="宋体"/>
                <w:sz w:val="21"/>
                <w:szCs w:val="21"/>
                <w:highlight w:val="yellow"/>
              </w:rPr>
            </w:pPr>
            <w:r>
              <w:rPr>
                <w:rFonts w:hint="eastAsia" w:ascii="宋体" w:hAnsi="宋体" w:cs="宋体"/>
                <w:sz w:val="21"/>
                <w:szCs w:val="21"/>
              </w:rPr>
              <w:t>仁里屯村</w:t>
            </w:r>
          </w:p>
        </w:tc>
        <w:tc>
          <w:tcPr>
            <w:tcW w:w="3261" w:type="dxa"/>
            <w:shd w:val="clear" w:color="auto" w:fill="auto"/>
            <w:vAlign w:val="center"/>
          </w:tcPr>
          <w:p w14:paraId="41E895A7">
            <w:pPr>
              <w:spacing w:line="240" w:lineRule="auto"/>
              <w:ind w:firstLine="0" w:firstLineChars="0"/>
              <w:jc w:val="center"/>
              <w:rPr>
                <w:rFonts w:hint="eastAsia" w:ascii="宋体" w:hAnsi="宋体" w:cs="宋体"/>
                <w:sz w:val="21"/>
                <w:szCs w:val="21"/>
                <w:highlight w:val="yellow"/>
              </w:rPr>
            </w:pPr>
            <w:r>
              <w:rPr>
                <w:sz w:val="21"/>
                <w:szCs w:val="21"/>
              </w:rPr>
              <w:t>硫酸、非甲烷总烃、氨、硫化氢、臭气浓度、TVOC</w:t>
            </w:r>
          </w:p>
        </w:tc>
        <w:tc>
          <w:tcPr>
            <w:tcW w:w="2293" w:type="dxa"/>
            <w:vMerge w:val="continue"/>
            <w:shd w:val="clear" w:color="auto" w:fill="auto"/>
            <w:vAlign w:val="center"/>
          </w:tcPr>
          <w:p w14:paraId="12C203E8">
            <w:pPr>
              <w:spacing w:line="240" w:lineRule="auto"/>
              <w:ind w:firstLine="0" w:firstLineChars="0"/>
              <w:jc w:val="center"/>
              <w:rPr>
                <w:rFonts w:hint="eastAsia" w:ascii="宋体" w:hAnsi="宋体" w:cs="宋体"/>
                <w:sz w:val="21"/>
                <w:szCs w:val="21"/>
                <w:highlight w:val="yellow"/>
              </w:rPr>
            </w:pPr>
          </w:p>
        </w:tc>
      </w:tr>
      <w:tr w14:paraId="59B89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shd w:val="clear" w:color="auto" w:fill="auto"/>
            <w:vAlign w:val="center"/>
          </w:tcPr>
          <w:p w14:paraId="6C62A908">
            <w:pPr>
              <w:spacing w:line="240" w:lineRule="auto"/>
              <w:ind w:firstLine="0" w:firstLineChars="0"/>
              <w:jc w:val="center"/>
              <w:rPr>
                <w:rFonts w:eastAsia="Times New Roman"/>
                <w:sz w:val="21"/>
                <w:szCs w:val="21"/>
                <w:highlight w:val="yellow"/>
              </w:rPr>
            </w:pPr>
            <w:r>
              <w:rPr>
                <w:sz w:val="21"/>
                <w:szCs w:val="21"/>
              </w:rPr>
              <w:t>地表水环境</w:t>
            </w:r>
          </w:p>
        </w:tc>
        <w:tc>
          <w:tcPr>
            <w:tcW w:w="2404" w:type="dxa"/>
            <w:shd w:val="clear" w:color="auto" w:fill="auto"/>
            <w:vAlign w:val="center"/>
          </w:tcPr>
          <w:p w14:paraId="1FFB9676">
            <w:pPr>
              <w:spacing w:line="240" w:lineRule="auto"/>
              <w:ind w:firstLine="0" w:firstLineChars="0"/>
              <w:jc w:val="center"/>
              <w:rPr>
                <w:rFonts w:eastAsia="Times New Roman"/>
                <w:sz w:val="21"/>
                <w:szCs w:val="21"/>
                <w:highlight w:val="yellow"/>
              </w:rPr>
            </w:pPr>
            <w:r>
              <w:rPr>
                <w:rFonts w:hint="eastAsia" w:ascii="宋体" w:hAnsi="宋体" w:cs="宋体"/>
                <w:sz w:val="21"/>
                <w:szCs w:val="21"/>
              </w:rPr>
              <w:t>共产主义渠下马营断面</w:t>
            </w:r>
          </w:p>
        </w:tc>
        <w:tc>
          <w:tcPr>
            <w:tcW w:w="3261" w:type="dxa"/>
            <w:shd w:val="clear" w:color="auto" w:fill="auto"/>
            <w:vAlign w:val="center"/>
          </w:tcPr>
          <w:p w14:paraId="11C7FEC4">
            <w:pPr>
              <w:spacing w:line="240" w:lineRule="auto"/>
              <w:ind w:firstLine="0" w:firstLineChars="0"/>
              <w:jc w:val="center"/>
              <w:rPr>
                <w:rFonts w:eastAsia="Times New Roman"/>
                <w:sz w:val="21"/>
                <w:szCs w:val="21"/>
              </w:rPr>
            </w:pPr>
            <w:r>
              <w:rPr>
                <w:rFonts w:hint="eastAsia" w:ascii="宋体" w:hAnsi="宋体" w:cs="宋体"/>
                <w:sz w:val="21"/>
                <w:szCs w:val="21"/>
              </w:rPr>
              <w:t>高锰酸盐指数</w:t>
            </w:r>
            <w:r>
              <w:rPr>
                <w:rFonts w:eastAsia="Times New Roman"/>
                <w:sz w:val="21"/>
                <w:szCs w:val="21"/>
              </w:rPr>
              <w:t>、NH</w:t>
            </w:r>
            <w:r>
              <w:rPr>
                <w:rFonts w:eastAsia="Times New Roman"/>
                <w:sz w:val="21"/>
                <w:szCs w:val="21"/>
                <w:vertAlign w:val="subscript"/>
              </w:rPr>
              <w:t>3</w:t>
            </w:r>
            <w:r>
              <w:rPr>
                <w:rFonts w:eastAsia="Times New Roman"/>
                <w:sz w:val="21"/>
                <w:szCs w:val="21"/>
              </w:rPr>
              <w:t>-N、TP</w:t>
            </w:r>
          </w:p>
        </w:tc>
        <w:tc>
          <w:tcPr>
            <w:tcW w:w="2293" w:type="dxa"/>
            <w:shd w:val="clear" w:color="auto" w:fill="auto"/>
            <w:vAlign w:val="center"/>
          </w:tcPr>
          <w:p w14:paraId="40856D22">
            <w:pPr>
              <w:spacing w:line="240" w:lineRule="auto"/>
              <w:ind w:firstLine="0" w:firstLineChars="0"/>
              <w:jc w:val="center"/>
              <w:rPr>
                <w:rFonts w:eastAsia="Times New Roman"/>
                <w:sz w:val="21"/>
                <w:szCs w:val="21"/>
              </w:rPr>
            </w:pPr>
            <w:r>
              <w:rPr>
                <w:rFonts w:eastAsia="Times New Roman"/>
                <w:sz w:val="21"/>
                <w:szCs w:val="21"/>
              </w:rPr>
              <w:t>202</w:t>
            </w:r>
            <w:r>
              <w:rPr>
                <w:rFonts w:hint="eastAsia" w:eastAsiaTheme="minorEastAsia"/>
                <w:sz w:val="21"/>
                <w:szCs w:val="21"/>
              </w:rPr>
              <w:t>3</w:t>
            </w:r>
            <w:r>
              <w:rPr>
                <w:rFonts w:eastAsia="Times New Roman"/>
                <w:sz w:val="21"/>
                <w:szCs w:val="21"/>
              </w:rPr>
              <w:t>年1月～12月常规监测资料</w:t>
            </w:r>
          </w:p>
        </w:tc>
      </w:tr>
      <w:tr w14:paraId="2605B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vMerge w:val="restart"/>
            <w:shd w:val="clear" w:color="auto" w:fill="auto"/>
            <w:vAlign w:val="center"/>
          </w:tcPr>
          <w:p w14:paraId="0BF58DB1">
            <w:pPr>
              <w:spacing w:line="240" w:lineRule="auto"/>
              <w:ind w:firstLine="0" w:firstLineChars="0"/>
              <w:jc w:val="center"/>
              <w:rPr>
                <w:rFonts w:eastAsia="Times New Roman"/>
                <w:sz w:val="21"/>
                <w:szCs w:val="21"/>
                <w:highlight w:val="yellow"/>
              </w:rPr>
            </w:pPr>
            <w:r>
              <w:rPr>
                <w:sz w:val="21"/>
                <w:szCs w:val="21"/>
              </w:rPr>
              <w:t>地下水环境</w:t>
            </w:r>
          </w:p>
        </w:tc>
        <w:tc>
          <w:tcPr>
            <w:tcW w:w="2404" w:type="dxa"/>
            <w:shd w:val="clear" w:color="auto" w:fill="auto"/>
            <w:vAlign w:val="center"/>
          </w:tcPr>
          <w:p w14:paraId="23B298D4">
            <w:pPr>
              <w:pStyle w:val="62"/>
              <w:rPr>
                <w:rFonts w:eastAsia="Times New Roman"/>
                <w:highlight w:val="yellow"/>
              </w:rPr>
            </w:pPr>
            <w:r>
              <w:rPr>
                <w:rFonts w:hint="eastAsia"/>
                <w:szCs w:val="24"/>
              </w:rPr>
              <w:t>厂区、</w:t>
            </w:r>
            <w:r>
              <w:rPr>
                <w:rFonts w:hint="eastAsia"/>
              </w:rPr>
              <w:t>郭全屯村、仁里屯村、八里屯村、龙王庙、仁里屯村东南、下园村东北</w:t>
            </w:r>
          </w:p>
        </w:tc>
        <w:tc>
          <w:tcPr>
            <w:tcW w:w="3261" w:type="dxa"/>
            <w:shd w:val="clear" w:color="auto" w:fill="auto"/>
            <w:vAlign w:val="center"/>
          </w:tcPr>
          <w:p w14:paraId="159DD01D">
            <w:pPr>
              <w:spacing w:line="240" w:lineRule="auto"/>
              <w:ind w:firstLine="0" w:firstLineChars="0"/>
              <w:jc w:val="center"/>
              <w:rPr>
                <w:rFonts w:eastAsia="Times New Roman"/>
                <w:sz w:val="21"/>
                <w:szCs w:val="21"/>
                <w:highlight w:val="yellow"/>
              </w:rPr>
            </w:pPr>
            <w:r>
              <w:rPr>
                <w:rFonts w:hint="eastAsia"/>
                <w:sz w:val="21"/>
                <w:szCs w:val="21"/>
              </w:rPr>
              <w:t>K</w:t>
            </w:r>
            <w:r>
              <w:rPr>
                <w:rFonts w:hint="eastAsia"/>
                <w:sz w:val="21"/>
                <w:szCs w:val="21"/>
                <w:vertAlign w:val="superscript"/>
              </w:rPr>
              <w:t>+</w:t>
            </w:r>
            <w:r>
              <w:rPr>
                <w:rFonts w:hint="eastAsia"/>
                <w:sz w:val="21"/>
                <w:szCs w:val="21"/>
              </w:rPr>
              <w:t>、Na</w:t>
            </w:r>
            <w:r>
              <w:rPr>
                <w:rFonts w:hint="eastAsia"/>
                <w:sz w:val="21"/>
                <w:szCs w:val="21"/>
                <w:vertAlign w:val="superscript"/>
              </w:rPr>
              <w:t>+</w:t>
            </w:r>
            <w:r>
              <w:rPr>
                <w:rFonts w:hint="eastAsia"/>
                <w:sz w:val="21"/>
                <w:szCs w:val="21"/>
              </w:rPr>
              <w:t>、Ca</w:t>
            </w:r>
            <w:r>
              <w:rPr>
                <w:rFonts w:hint="eastAsia"/>
                <w:sz w:val="21"/>
                <w:szCs w:val="21"/>
                <w:vertAlign w:val="superscript"/>
              </w:rPr>
              <w:t>2+</w:t>
            </w:r>
            <w:r>
              <w:rPr>
                <w:rFonts w:hint="eastAsia"/>
                <w:sz w:val="21"/>
                <w:szCs w:val="21"/>
              </w:rPr>
              <w:t>、Mg</w:t>
            </w:r>
            <w:r>
              <w:rPr>
                <w:rFonts w:hint="eastAsia"/>
                <w:sz w:val="21"/>
                <w:szCs w:val="21"/>
                <w:vertAlign w:val="superscript"/>
              </w:rPr>
              <w:t>2+</w:t>
            </w:r>
            <w:r>
              <w:rPr>
                <w:rFonts w:hint="eastAsia"/>
                <w:sz w:val="21"/>
                <w:szCs w:val="21"/>
              </w:rPr>
              <w:t>、CO</w:t>
            </w:r>
            <w:r>
              <w:rPr>
                <w:rFonts w:hint="eastAsia"/>
                <w:sz w:val="21"/>
                <w:szCs w:val="21"/>
                <w:vertAlign w:val="subscript"/>
              </w:rPr>
              <w:t>3</w:t>
            </w:r>
            <w:r>
              <w:rPr>
                <w:rFonts w:hint="eastAsia"/>
                <w:sz w:val="21"/>
                <w:szCs w:val="21"/>
                <w:vertAlign w:val="superscript"/>
              </w:rPr>
              <w:t>2-</w:t>
            </w:r>
            <w:r>
              <w:rPr>
                <w:rFonts w:hint="eastAsia"/>
                <w:sz w:val="21"/>
                <w:szCs w:val="21"/>
              </w:rPr>
              <w:t>、HCO</w:t>
            </w:r>
            <w:r>
              <w:rPr>
                <w:rFonts w:hint="eastAsia"/>
                <w:sz w:val="21"/>
                <w:szCs w:val="21"/>
                <w:vertAlign w:val="subscript"/>
              </w:rPr>
              <w:t>3</w:t>
            </w:r>
            <w:r>
              <w:rPr>
                <w:rFonts w:hint="eastAsia"/>
                <w:sz w:val="21"/>
                <w:szCs w:val="21"/>
                <w:vertAlign w:val="superscript"/>
              </w:rPr>
              <w:t>-</w:t>
            </w:r>
            <w:r>
              <w:rPr>
                <w:rFonts w:hint="eastAsia"/>
                <w:sz w:val="21"/>
                <w:szCs w:val="21"/>
              </w:rPr>
              <w:t>、Cl</w:t>
            </w:r>
            <w:r>
              <w:rPr>
                <w:rFonts w:hint="eastAsia"/>
                <w:sz w:val="21"/>
                <w:szCs w:val="21"/>
                <w:vertAlign w:val="superscript"/>
              </w:rPr>
              <w:t>-</w:t>
            </w:r>
            <w:r>
              <w:rPr>
                <w:rFonts w:hint="eastAsia"/>
                <w:sz w:val="21"/>
                <w:szCs w:val="21"/>
              </w:rPr>
              <w:t>、SO</w:t>
            </w:r>
            <w:r>
              <w:rPr>
                <w:rFonts w:hint="eastAsia"/>
                <w:sz w:val="21"/>
                <w:szCs w:val="21"/>
                <w:vertAlign w:val="subscript"/>
              </w:rPr>
              <w:t>4</w:t>
            </w:r>
            <w:r>
              <w:rPr>
                <w:rFonts w:hint="eastAsia"/>
                <w:sz w:val="21"/>
                <w:szCs w:val="21"/>
                <w:vertAlign w:val="superscript"/>
              </w:rPr>
              <w:t>2-</w:t>
            </w:r>
            <w:r>
              <w:rPr>
                <w:rFonts w:hint="eastAsia"/>
                <w:sz w:val="21"/>
                <w:szCs w:val="21"/>
              </w:rPr>
              <w:t>、pH、氨氮、硝酸盐、亚硝酸盐、挥发性酚类、氰化物、砷、汞、铬（六价）、总硬度、铅、氟化物、镉、铁、锰、溶解性总固体、高锰酸盐指数、硫酸盐、氯化物、总大肠菌群、菌落总数、色度、石油类</w:t>
            </w:r>
            <w:r>
              <w:rPr>
                <w:rFonts w:hint="eastAsia" w:ascii="宋体" w:hAnsi="宋体" w:cs="宋体"/>
                <w:sz w:val="21"/>
                <w:szCs w:val="21"/>
              </w:rPr>
              <w:t>。</w:t>
            </w:r>
          </w:p>
        </w:tc>
        <w:tc>
          <w:tcPr>
            <w:tcW w:w="2293" w:type="dxa"/>
            <w:shd w:val="clear" w:color="auto" w:fill="auto"/>
            <w:vAlign w:val="center"/>
          </w:tcPr>
          <w:p w14:paraId="6245ACDE">
            <w:pPr>
              <w:spacing w:line="240" w:lineRule="auto"/>
              <w:ind w:firstLine="0" w:firstLineChars="0"/>
              <w:jc w:val="center"/>
              <w:rPr>
                <w:rFonts w:eastAsia="Times New Roman"/>
                <w:sz w:val="21"/>
                <w:szCs w:val="21"/>
                <w:highlight w:val="yellow"/>
              </w:rPr>
            </w:pPr>
            <w:r>
              <w:rPr>
                <w:rFonts w:hint="eastAsia" w:ascii="宋体" w:hAnsi="宋体" w:cs="宋体"/>
                <w:sz w:val="21"/>
                <w:szCs w:val="21"/>
              </w:rPr>
              <w:t>河南平原山水检测有限公司新乡分公司于</w:t>
            </w:r>
            <w:r>
              <w:rPr>
                <w:rFonts w:hint="eastAsia" w:eastAsia="Times New Roman"/>
                <w:sz w:val="21"/>
                <w:szCs w:val="21"/>
              </w:rPr>
              <w:t>2024</w:t>
            </w:r>
            <w:r>
              <w:rPr>
                <w:rFonts w:hint="eastAsia" w:ascii="宋体" w:hAnsi="宋体" w:cs="宋体"/>
                <w:sz w:val="21"/>
                <w:szCs w:val="21"/>
              </w:rPr>
              <w:t>年</w:t>
            </w:r>
            <w:r>
              <w:rPr>
                <w:rFonts w:hint="eastAsia" w:eastAsiaTheme="minorEastAsia"/>
                <w:sz w:val="21"/>
                <w:szCs w:val="21"/>
              </w:rPr>
              <w:t>5</w:t>
            </w:r>
            <w:r>
              <w:rPr>
                <w:rFonts w:hint="eastAsia" w:ascii="宋体" w:hAnsi="宋体" w:cs="宋体"/>
                <w:sz w:val="21"/>
                <w:szCs w:val="21"/>
              </w:rPr>
              <w:t>月进行的现状检测</w:t>
            </w:r>
          </w:p>
        </w:tc>
      </w:tr>
      <w:tr w14:paraId="36813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vMerge w:val="continue"/>
            <w:shd w:val="clear" w:color="auto" w:fill="auto"/>
            <w:vAlign w:val="center"/>
          </w:tcPr>
          <w:p w14:paraId="54A31FF9">
            <w:pPr>
              <w:spacing w:line="240" w:lineRule="auto"/>
              <w:ind w:firstLine="0" w:firstLineChars="0"/>
              <w:jc w:val="center"/>
              <w:rPr>
                <w:sz w:val="21"/>
                <w:szCs w:val="21"/>
                <w:highlight w:val="yellow"/>
              </w:rPr>
            </w:pPr>
          </w:p>
        </w:tc>
        <w:tc>
          <w:tcPr>
            <w:tcW w:w="2404" w:type="dxa"/>
            <w:shd w:val="clear" w:color="auto" w:fill="auto"/>
            <w:vAlign w:val="center"/>
          </w:tcPr>
          <w:p w14:paraId="110E8833">
            <w:pPr>
              <w:pStyle w:val="62"/>
              <w:rPr>
                <w:szCs w:val="24"/>
                <w:highlight w:val="yellow"/>
              </w:rPr>
            </w:pPr>
            <w:r>
              <w:rPr>
                <w:rFonts w:hint="eastAsia"/>
                <w:szCs w:val="24"/>
              </w:rPr>
              <w:t>厂区、</w:t>
            </w:r>
            <w:r>
              <w:rPr>
                <w:rFonts w:hint="eastAsia"/>
              </w:rPr>
              <w:t>郭全屯村、仁里屯村、八里屯村、龙王庙、仁里屯村东南、下园村东北、辛庄村、阮庄村西、薛庄村、东寺门村、岗曹村、河洼村、班庄北</w:t>
            </w:r>
          </w:p>
        </w:tc>
        <w:tc>
          <w:tcPr>
            <w:tcW w:w="3261" w:type="dxa"/>
            <w:shd w:val="clear" w:color="auto" w:fill="auto"/>
            <w:vAlign w:val="center"/>
          </w:tcPr>
          <w:p w14:paraId="758BBFDA">
            <w:pPr>
              <w:spacing w:line="240" w:lineRule="auto"/>
              <w:ind w:firstLine="0" w:firstLineChars="0"/>
              <w:jc w:val="center"/>
              <w:rPr>
                <w:rFonts w:eastAsia="Times New Roman"/>
                <w:sz w:val="21"/>
                <w:szCs w:val="21"/>
                <w:highlight w:val="yellow"/>
              </w:rPr>
            </w:pPr>
            <w:r>
              <w:rPr>
                <w:rFonts w:hint="eastAsia" w:ascii="宋体" w:hAnsi="宋体" w:cs="宋体"/>
                <w:sz w:val="21"/>
                <w:szCs w:val="21"/>
              </w:rPr>
              <w:t>井深、水位和水温</w:t>
            </w:r>
          </w:p>
        </w:tc>
        <w:tc>
          <w:tcPr>
            <w:tcW w:w="2293" w:type="dxa"/>
            <w:shd w:val="clear" w:color="auto" w:fill="auto"/>
            <w:vAlign w:val="center"/>
          </w:tcPr>
          <w:p w14:paraId="0D4BF84C">
            <w:pPr>
              <w:spacing w:line="240" w:lineRule="auto"/>
              <w:ind w:firstLine="0" w:firstLineChars="0"/>
              <w:jc w:val="center"/>
              <w:rPr>
                <w:rFonts w:hint="eastAsia" w:ascii="宋体" w:hAnsi="宋体" w:cs="宋体"/>
                <w:sz w:val="21"/>
                <w:szCs w:val="21"/>
                <w:highlight w:val="yellow"/>
              </w:rPr>
            </w:pPr>
            <w:r>
              <w:rPr>
                <w:rFonts w:hint="eastAsia" w:ascii="宋体" w:hAnsi="宋体" w:cs="宋体"/>
                <w:sz w:val="21"/>
                <w:szCs w:val="21"/>
              </w:rPr>
              <w:t>河南平原山水检测有限公司新乡分公司于</w:t>
            </w:r>
            <w:r>
              <w:rPr>
                <w:rFonts w:hint="eastAsia" w:eastAsia="Times New Roman"/>
                <w:sz w:val="21"/>
                <w:szCs w:val="21"/>
              </w:rPr>
              <w:t>2024</w:t>
            </w:r>
            <w:r>
              <w:rPr>
                <w:rFonts w:hint="eastAsia" w:ascii="宋体" w:hAnsi="宋体" w:cs="宋体"/>
                <w:sz w:val="21"/>
                <w:szCs w:val="21"/>
              </w:rPr>
              <w:t>年</w:t>
            </w:r>
            <w:r>
              <w:rPr>
                <w:rFonts w:hint="eastAsia" w:eastAsiaTheme="minorEastAsia"/>
                <w:sz w:val="21"/>
                <w:szCs w:val="21"/>
              </w:rPr>
              <w:t>5</w:t>
            </w:r>
            <w:r>
              <w:rPr>
                <w:rFonts w:hint="eastAsia" w:ascii="宋体" w:hAnsi="宋体" w:cs="宋体"/>
                <w:sz w:val="21"/>
                <w:szCs w:val="21"/>
              </w:rPr>
              <w:t>月、8月进行的现状检测</w:t>
            </w:r>
          </w:p>
        </w:tc>
      </w:tr>
      <w:tr w14:paraId="1BB00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vMerge w:val="restart"/>
            <w:shd w:val="clear" w:color="auto" w:fill="auto"/>
            <w:vAlign w:val="center"/>
          </w:tcPr>
          <w:p w14:paraId="5C5E0699">
            <w:pPr>
              <w:spacing w:line="240" w:lineRule="auto"/>
              <w:ind w:firstLine="0" w:firstLineChars="0"/>
              <w:jc w:val="center"/>
              <w:rPr>
                <w:rFonts w:eastAsia="Times New Roman"/>
                <w:sz w:val="21"/>
                <w:szCs w:val="21"/>
              </w:rPr>
            </w:pPr>
            <w:r>
              <w:rPr>
                <w:rFonts w:hint="eastAsia" w:ascii="宋体" w:hAnsi="宋体" w:cs="宋体"/>
                <w:sz w:val="21"/>
                <w:szCs w:val="21"/>
              </w:rPr>
              <w:t>土壤环境</w:t>
            </w:r>
          </w:p>
        </w:tc>
        <w:tc>
          <w:tcPr>
            <w:tcW w:w="2404" w:type="dxa"/>
            <w:shd w:val="clear" w:color="auto" w:fill="auto"/>
            <w:vAlign w:val="center"/>
          </w:tcPr>
          <w:p w14:paraId="3E8A1EB2">
            <w:pPr>
              <w:pStyle w:val="62"/>
              <w:rPr>
                <w:rFonts w:eastAsia="Times New Roman"/>
                <w:highlight w:val="yellow"/>
              </w:rPr>
            </w:pPr>
            <w:r>
              <w:rPr>
                <w:rFonts w:hint="eastAsia"/>
              </w:rPr>
              <w:t>厂房内西北角、厂房内中间西侧</w:t>
            </w:r>
          </w:p>
        </w:tc>
        <w:tc>
          <w:tcPr>
            <w:tcW w:w="3261" w:type="dxa"/>
            <w:shd w:val="clear" w:color="auto" w:fill="auto"/>
            <w:vAlign w:val="center"/>
          </w:tcPr>
          <w:p w14:paraId="53C85F77">
            <w:pPr>
              <w:spacing w:line="240" w:lineRule="auto"/>
              <w:ind w:firstLine="0" w:firstLineChars="0"/>
              <w:jc w:val="center"/>
              <w:rPr>
                <w:rFonts w:eastAsia="Times New Roman"/>
                <w:sz w:val="21"/>
                <w:szCs w:val="21"/>
                <w:highlight w:val="yellow"/>
              </w:rPr>
            </w:pPr>
            <w:r>
              <w:rPr>
                <w:rFonts w:eastAsia="Times New Roman"/>
                <w:sz w:val="21"/>
                <w:szCs w:val="21"/>
              </w:rPr>
              <w:t>GB</w:t>
            </w:r>
            <w:r>
              <w:rPr>
                <w:rFonts w:hint="eastAsia" w:eastAsia="Times New Roman"/>
                <w:sz w:val="21"/>
                <w:szCs w:val="21"/>
              </w:rPr>
              <w:t>15618</w:t>
            </w:r>
            <w:r>
              <w:rPr>
                <w:rFonts w:eastAsia="Times New Roman"/>
                <w:sz w:val="21"/>
                <w:szCs w:val="21"/>
              </w:rPr>
              <w:t>-2018</w:t>
            </w:r>
            <w:r>
              <w:rPr>
                <w:rFonts w:hint="eastAsia" w:ascii="宋体" w:hAnsi="宋体" w:cs="宋体"/>
                <w:sz w:val="21"/>
                <w:szCs w:val="21"/>
              </w:rPr>
              <w:t>表</w:t>
            </w:r>
            <w:r>
              <w:rPr>
                <w:rFonts w:eastAsia="Times New Roman"/>
                <w:sz w:val="21"/>
                <w:szCs w:val="21"/>
              </w:rPr>
              <w:t>1</w:t>
            </w:r>
            <w:r>
              <w:rPr>
                <w:rFonts w:hint="eastAsia" w:ascii="宋体" w:hAnsi="宋体" w:cs="宋体"/>
                <w:sz w:val="21"/>
                <w:szCs w:val="21"/>
              </w:rPr>
              <w:t>中</w:t>
            </w:r>
            <w:r>
              <w:rPr>
                <w:rFonts w:hint="eastAsia" w:eastAsia="Times New Roman"/>
                <w:sz w:val="21"/>
                <w:szCs w:val="21"/>
              </w:rPr>
              <w:t>8</w:t>
            </w:r>
            <w:r>
              <w:rPr>
                <w:rFonts w:hint="eastAsia" w:ascii="宋体" w:hAnsi="宋体" w:cs="宋体"/>
                <w:sz w:val="21"/>
                <w:szCs w:val="21"/>
              </w:rPr>
              <w:t>项基本因子、</w:t>
            </w:r>
            <w:r>
              <w:rPr>
                <w:rFonts w:hint="eastAsia" w:eastAsia="Times New Roman"/>
                <w:sz w:val="21"/>
                <w:szCs w:val="21"/>
              </w:rPr>
              <w:t>pH</w:t>
            </w:r>
            <w:r>
              <w:rPr>
                <w:rFonts w:hint="eastAsia" w:ascii="宋体" w:hAnsi="宋体" w:cs="宋体"/>
                <w:sz w:val="21"/>
                <w:szCs w:val="21"/>
              </w:rPr>
              <w:t>、石油烃</w:t>
            </w:r>
          </w:p>
        </w:tc>
        <w:tc>
          <w:tcPr>
            <w:tcW w:w="2293" w:type="dxa"/>
            <w:vMerge w:val="restart"/>
            <w:shd w:val="clear" w:color="auto" w:fill="auto"/>
            <w:vAlign w:val="center"/>
          </w:tcPr>
          <w:p w14:paraId="4903390A">
            <w:pPr>
              <w:spacing w:line="240" w:lineRule="auto"/>
              <w:ind w:firstLine="0" w:firstLineChars="0"/>
              <w:jc w:val="center"/>
              <w:rPr>
                <w:rFonts w:eastAsia="Times New Roman"/>
                <w:sz w:val="21"/>
                <w:szCs w:val="21"/>
                <w:highlight w:val="yellow"/>
              </w:rPr>
            </w:pPr>
            <w:r>
              <w:rPr>
                <w:rFonts w:hint="eastAsia" w:ascii="宋体" w:hAnsi="宋体" w:cs="宋体"/>
                <w:sz w:val="21"/>
                <w:szCs w:val="21"/>
              </w:rPr>
              <w:t>河南平原山水检测有限公司新乡分公司于</w:t>
            </w:r>
            <w:r>
              <w:rPr>
                <w:rFonts w:hint="eastAsia" w:eastAsia="Times New Roman"/>
                <w:sz w:val="21"/>
                <w:szCs w:val="21"/>
              </w:rPr>
              <w:t>2024</w:t>
            </w:r>
            <w:r>
              <w:rPr>
                <w:rFonts w:hint="eastAsia" w:ascii="宋体" w:hAnsi="宋体" w:cs="宋体"/>
                <w:sz w:val="21"/>
                <w:szCs w:val="21"/>
              </w:rPr>
              <w:t>年</w:t>
            </w:r>
            <w:r>
              <w:rPr>
                <w:rFonts w:hint="eastAsia" w:eastAsiaTheme="minorEastAsia"/>
                <w:sz w:val="21"/>
                <w:szCs w:val="21"/>
              </w:rPr>
              <w:t>8</w:t>
            </w:r>
            <w:r>
              <w:rPr>
                <w:rFonts w:hint="eastAsia" w:ascii="宋体" w:hAnsi="宋体" w:cs="宋体"/>
                <w:sz w:val="21"/>
                <w:szCs w:val="21"/>
              </w:rPr>
              <w:t>月进行的现状检测</w:t>
            </w:r>
          </w:p>
        </w:tc>
      </w:tr>
      <w:tr w14:paraId="7B4DE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vMerge w:val="continue"/>
            <w:shd w:val="clear" w:color="auto" w:fill="auto"/>
            <w:vAlign w:val="center"/>
          </w:tcPr>
          <w:p w14:paraId="4A509ED7">
            <w:pPr>
              <w:spacing w:line="240" w:lineRule="auto"/>
              <w:ind w:firstLine="0" w:firstLineChars="0"/>
              <w:jc w:val="center"/>
              <w:rPr>
                <w:rFonts w:eastAsia="Times New Roman"/>
                <w:b/>
                <w:bCs/>
                <w:sz w:val="21"/>
                <w:szCs w:val="21"/>
                <w:u w:val="single"/>
              </w:rPr>
            </w:pPr>
          </w:p>
        </w:tc>
        <w:tc>
          <w:tcPr>
            <w:tcW w:w="2404" w:type="dxa"/>
            <w:shd w:val="clear" w:color="auto" w:fill="auto"/>
            <w:vAlign w:val="center"/>
          </w:tcPr>
          <w:p w14:paraId="3578D5F8">
            <w:pPr>
              <w:pStyle w:val="62"/>
              <w:rPr>
                <w:rFonts w:eastAsia="Times New Roman"/>
                <w:b/>
                <w:bCs/>
                <w:highlight w:val="yellow"/>
                <w:u w:val="single"/>
              </w:rPr>
            </w:pPr>
            <w:r>
              <w:rPr>
                <w:rFonts w:hint="eastAsia"/>
              </w:rPr>
              <w:t>反应釜区附近、厂房内东南角</w:t>
            </w:r>
          </w:p>
        </w:tc>
        <w:tc>
          <w:tcPr>
            <w:tcW w:w="3261" w:type="dxa"/>
            <w:shd w:val="clear" w:color="auto" w:fill="auto"/>
            <w:vAlign w:val="center"/>
          </w:tcPr>
          <w:p w14:paraId="77B55A5D">
            <w:pPr>
              <w:spacing w:line="240" w:lineRule="auto"/>
              <w:ind w:firstLine="0" w:firstLineChars="0"/>
              <w:jc w:val="center"/>
              <w:rPr>
                <w:rFonts w:eastAsia="Times New Roman"/>
                <w:sz w:val="21"/>
                <w:szCs w:val="21"/>
                <w:highlight w:val="yellow"/>
              </w:rPr>
            </w:pPr>
            <w:r>
              <w:rPr>
                <w:rFonts w:hint="eastAsia" w:eastAsia="Times New Roman"/>
                <w:sz w:val="21"/>
                <w:szCs w:val="21"/>
              </w:rPr>
              <w:t>pH</w:t>
            </w:r>
            <w:r>
              <w:rPr>
                <w:rFonts w:hint="eastAsia" w:ascii="宋体" w:hAnsi="宋体" w:cs="宋体"/>
                <w:sz w:val="21"/>
                <w:szCs w:val="21"/>
              </w:rPr>
              <w:t>、石油烃</w:t>
            </w:r>
          </w:p>
        </w:tc>
        <w:tc>
          <w:tcPr>
            <w:tcW w:w="2293" w:type="dxa"/>
            <w:vMerge w:val="continue"/>
            <w:shd w:val="clear" w:color="auto" w:fill="auto"/>
            <w:vAlign w:val="center"/>
          </w:tcPr>
          <w:p w14:paraId="0358A8BC">
            <w:pPr>
              <w:spacing w:line="240" w:lineRule="auto"/>
              <w:ind w:firstLine="0" w:firstLineChars="0"/>
              <w:jc w:val="center"/>
              <w:rPr>
                <w:rFonts w:eastAsia="Times New Roman"/>
                <w:sz w:val="21"/>
                <w:szCs w:val="21"/>
                <w:highlight w:val="yellow"/>
              </w:rPr>
            </w:pPr>
          </w:p>
        </w:tc>
      </w:tr>
      <w:tr w14:paraId="10303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vMerge w:val="continue"/>
            <w:shd w:val="clear" w:color="auto" w:fill="auto"/>
            <w:vAlign w:val="center"/>
          </w:tcPr>
          <w:p w14:paraId="69ECB409">
            <w:pPr>
              <w:spacing w:line="240" w:lineRule="auto"/>
              <w:ind w:firstLine="0" w:firstLineChars="0"/>
              <w:jc w:val="center"/>
              <w:rPr>
                <w:rFonts w:eastAsia="Times New Roman"/>
                <w:b/>
                <w:bCs/>
                <w:sz w:val="21"/>
                <w:szCs w:val="21"/>
                <w:u w:val="single"/>
              </w:rPr>
            </w:pPr>
          </w:p>
        </w:tc>
        <w:tc>
          <w:tcPr>
            <w:tcW w:w="2404" w:type="dxa"/>
            <w:shd w:val="clear" w:color="auto" w:fill="auto"/>
            <w:vAlign w:val="center"/>
          </w:tcPr>
          <w:p w14:paraId="38C39CA7">
            <w:pPr>
              <w:pStyle w:val="62"/>
              <w:rPr>
                <w:rFonts w:hint="eastAsia" w:ascii="宋体" w:hAnsi="宋体" w:cs="宋体"/>
                <w:highlight w:val="yellow"/>
              </w:rPr>
            </w:pPr>
            <w:r>
              <w:t>厂界外</w:t>
            </w:r>
            <w:r>
              <w:rPr>
                <w:rFonts w:hint="eastAsia"/>
              </w:rPr>
              <w:t>西北</w:t>
            </w:r>
            <w:r>
              <w:t>侧</w:t>
            </w:r>
            <w:r>
              <w:rPr>
                <w:rFonts w:hint="eastAsia"/>
              </w:rPr>
              <w:t>农田、厂界外东南侧农田</w:t>
            </w:r>
          </w:p>
        </w:tc>
        <w:tc>
          <w:tcPr>
            <w:tcW w:w="3261" w:type="dxa"/>
            <w:shd w:val="clear" w:color="auto" w:fill="auto"/>
            <w:vAlign w:val="center"/>
          </w:tcPr>
          <w:p w14:paraId="435D9546">
            <w:pPr>
              <w:spacing w:line="240" w:lineRule="auto"/>
              <w:ind w:firstLine="0" w:firstLineChars="0"/>
              <w:jc w:val="center"/>
              <w:rPr>
                <w:rFonts w:eastAsia="Times New Roman"/>
                <w:sz w:val="21"/>
                <w:szCs w:val="21"/>
                <w:highlight w:val="yellow"/>
              </w:rPr>
            </w:pPr>
            <w:r>
              <w:rPr>
                <w:rFonts w:hint="eastAsia" w:eastAsia="Times New Roman"/>
                <w:sz w:val="21"/>
                <w:szCs w:val="21"/>
              </w:rPr>
              <w:t>pH</w:t>
            </w:r>
            <w:r>
              <w:rPr>
                <w:rFonts w:hint="eastAsia" w:ascii="宋体" w:hAnsi="宋体" w:cs="宋体"/>
                <w:sz w:val="21"/>
                <w:szCs w:val="21"/>
              </w:rPr>
              <w:t>、石油烃</w:t>
            </w:r>
          </w:p>
        </w:tc>
        <w:tc>
          <w:tcPr>
            <w:tcW w:w="2293" w:type="dxa"/>
            <w:vMerge w:val="continue"/>
            <w:shd w:val="clear" w:color="auto" w:fill="auto"/>
            <w:vAlign w:val="center"/>
          </w:tcPr>
          <w:p w14:paraId="783479C4">
            <w:pPr>
              <w:spacing w:line="240" w:lineRule="auto"/>
              <w:ind w:firstLine="0" w:firstLineChars="0"/>
              <w:jc w:val="center"/>
              <w:rPr>
                <w:rFonts w:eastAsia="Times New Roman"/>
                <w:sz w:val="21"/>
                <w:szCs w:val="21"/>
                <w:highlight w:val="yellow"/>
              </w:rPr>
            </w:pPr>
          </w:p>
        </w:tc>
      </w:tr>
      <w:tr w14:paraId="4381A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8" w:type="dxa"/>
            <w:shd w:val="clear" w:color="auto" w:fill="auto"/>
            <w:vAlign w:val="center"/>
          </w:tcPr>
          <w:p w14:paraId="778A9F8C">
            <w:pPr>
              <w:spacing w:line="240" w:lineRule="auto"/>
              <w:ind w:firstLine="0" w:firstLineChars="0"/>
              <w:jc w:val="center"/>
              <w:rPr>
                <w:rFonts w:eastAsia="Times New Roman"/>
                <w:sz w:val="21"/>
                <w:szCs w:val="21"/>
              </w:rPr>
            </w:pPr>
            <w:r>
              <w:rPr>
                <w:rFonts w:hint="eastAsia" w:ascii="宋体" w:hAnsi="宋体" w:cs="宋体"/>
                <w:sz w:val="21"/>
                <w:szCs w:val="21"/>
              </w:rPr>
              <w:t>声环境</w:t>
            </w:r>
          </w:p>
        </w:tc>
        <w:tc>
          <w:tcPr>
            <w:tcW w:w="2404" w:type="dxa"/>
            <w:shd w:val="clear" w:color="auto" w:fill="auto"/>
            <w:vAlign w:val="center"/>
          </w:tcPr>
          <w:p w14:paraId="1C17A9AF">
            <w:pPr>
              <w:pStyle w:val="62"/>
              <w:rPr>
                <w:rFonts w:eastAsia="Times New Roman"/>
              </w:rPr>
            </w:pPr>
            <w:r>
              <w:t>东厂界、南厂界、西厂界、北厂界</w:t>
            </w:r>
          </w:p>
        </w:tc>
        <w:tc>
          <w:tcPr>
            <w:tcW w:w="3261" w:type="dxa"/>
            <w:shd w:val="clear" w:color="auto" w:fill="auto"/>
            <w:vAlign w:val="center"/>
          </w:tcPr>
          <w:p w14:paraId="52D560BC">
            <w:pPr>
              <w:spacing w:line="240" w:lineRule="auto"/>
              <w:ind w:firstLine="0" w:firstLineChars="0"/>
              <w:jc w:val="center"/>
              <w:rPr>
                <w:rFonts w:eastAsia="Times New Roman"/>
                <w:sz w:val="21"/>
                <w:szCs w:val="21"/>
              </w:rPr>
            </w:pPr>
            <w:r>
              <w:rPr>
                <w:sz w:val="21"/>
                <w:szCs w:val="21"/>
              </w:rPr>
              <w:t>等效</w:t>
            </w:r>
            <w:r>
              <w:rPr>
                <w:rFonts w:hint="eastAsia"/>
                <w:sz w:val="21"/>
                <w:szCs w:val="21"/>
              </w:rPr>
              <w:t>连续</w:t>
            </w:r>
            <w:r>
              <w:rPr>
                <w:sz w:val="21"/>
                <w:szCs w:val="21"/>
              </w:rPr>
              <w:t>A声级</w:t>
            </w:r>
          </w:p>
        </w:tc>
        <w:tc>
          <w:tcPr>
            <w:tcW w:w="2293" w:type="dxa"/>
            <w:shd w:val="clear" w:color="auto" w:fill="auto"/>
            <w:vAlign w:val="center"/>
          </w:tcPr>
          <w:p w14:paraId="5EECF50C">
            <w:pPr>
              <w:spacing w:line="240" w:lineRule="auto"/>
              <w:ind w:firstLine="0" w:firstLineChars="0"/>
              <w:jc w:val="center"/>
              <w:rPr>
                <w:rFonts w:eastAsia="Times New Roman"/>
                <w:sz w:val="21"/>
                <w:szCs w:val="21"/>
                <w:highlight w:val="yellow"/>
              </w:rPr>
            </w:pPr>
            <w:r>
              <w:rPr>
                <w:rFonts w:hint="eastAsia" w:ascii="宋体" w:hAnsi="宋体" w:cs="宋体"/>
                <w:sz w:val="21"/>
                <w:szCs w:val="21"/>
              </w:rPr>
              <w:t>河南平原山水检测有限公司新乡分公司于</w:t>
            </w:r>
            <w:r>
              <w:rPr>
                <w:rFonts w:hint="eastAsia" w:eastAsia="Times New Roman"/>
                <w:sz w:val="21"/>
                <w:szCs w:val="21"/>
              </w:rPr>
              <w:t>2024</w:t>
            </w:r>
            <w:r>
              <w:rPr>
                <w:rFonts w:hint="eastAsia" w:ascii="宋体" w:hAnsi="宋体" w:cs="宋体"/>
                <w:sz w:val="21"/>
                <w:szCs w:val="21"/>
              </w:rPr>
              <w:t>年</w:t>
            </w:r>
            <w:r>
              <w:rPr>
                <w:rFonts w:hint="eastAsia" w:eastAsiaTheme="minorEastAsia"/>
                <w:sz w:val="21"/>
                <w:szCs w:val="21"/>
              </w:rPr>
              <w:t>8</w:t>
            </w:r>
            <w:r>
              <w:rPr>
                <w:rFonts w:hint="eastAsia" w:ascii="宋体" w:hAnsi="宋体" w:cs="宋体"/>
                <w:sz w:val="21"/>
                <w:szCs w:val="21"/>
              </w:rPr>
              <w:t>月进行的现状检测</w:t>
            </w:r>
          </w:p>
        </w:tc>
      </w:tr>
    </w:tbl>
    <w:p w14:paraId="1D3EBD95">
      <w:pPr>
        <w:ind w:firstLine="480"/>
        <w:rPr>
          <w:highlight w:val="yellow"/>
        </w:rPr>
      </w:pPr>
    </w:p>
    <w:p w14:paraId="1D3EBD96">
      <w:pPr>
        <w:pStyle w:val="5"/>
        <w:spacing w:before="240" w:after="240"/>
      </w:pPr>
      <w:r>
        <w:t>环境空气质量现状</w:t>
      </w:r>
      <w:bookmarkEnd w:id="228"/>
      <w:bookmarkEnd w:id="229"/>
      <w:r>
        <w:t>评价</w:t>
      </w:r>
      <w:bookmarkEnd w:id="230"/>
      <w:bookmarkEnd w:id="231"/>
      <w:bookmarkEnd w:id="232"/>
      <w:bookmarkEnd w:id="233"/>
    </w:p>
    <w:p w14:paraId="1D3EBD97">
      <w:pPr>
        <w:pStyle w:val="6"/>
        <w:ind w:left="0" w:firstLine="482" w:firstLineChars="200"/>
      </w:pPr>
      <w:bookmarkStart w:id="238" w:name="_Toc324839601"/>
      <w:bookmarkStart w:id="239" w:name="_Toc324839304"/>
      <w:r>
        <w:t>基本污染物环境质量现状评价</w:t>
      </w:r>
    </w:p>
    <w:p w14:paraId="34665F68">
      <w:pPr>
        <w:ind w:firstLine="480"/>
        <w:rPr>
          <w:bCs/>
          <w:u w:val="single"/>
        </w:rPr>
      </w:pPr>
      <w:r>
        <w:rPr>
          <w:rFonts w:hint="eastAsia"/>
          <w:bCs/>
        </w:rPr>
        <w:t>根据大气功能区划分原则，项目所在区域为二类功能区，环境空气质量应执行《环境空气质量标准》（</w:t>
      </w:r>
      <w:r>
        <w:rPr>
          <w:bCs/>
        </w:rPr>
        <w:t>GB 3095-2012</w:t>
      </w:r>
      <w:r>
        <w:rPr>
          <w:rFonts w:hint="eastAsia"/>
          <w:bCs/>
        </w:rPr>
        <w:t>）二级标准。</w:t>
      </w:r>
      <w:r>
        <w:rPr>
          <w:rFonts w:hint="eastAsia"/>
          <w:bCs/>
          <w:u w:val="single"/>
        </w:rPr>
        <w:t>根据新乡市生态环境局发布的《2023年新乡市环境质量公报》，</w:t>
      </w:r>
      <w:r>
        <w:rPr>
          <w:bCs/>
          <w:u w:val="single"/>
        </w:rPr>
        <w:t>区域空气质量现状数据如下表所示。</w:t>
      </w:r>
    </w:p>
    <w:p w14:paraId="1D3EBD99">
      <w:pPr>
        <w:numPr>
          <w:ilvl w:val="0"/>
          <w:numId w:val="23"/>
        </w:numPr>
        <w:adjustRightInd/>
        <w:snapToGrid/>
        <w:ind w:firstLineChars="0"/>
        <w:textAlignment w:val="auto"/>
        <w:rPr>
          <w:rFonts w:eastAsia="黑体"/>
          <w:u w:val="single"/>
        </w:rPr>
      </w:pPr>
      <w:r>
        <w:rPr>
          <w:rFonts w:eastAsia="黑体"/>
          <w:u w:val="single"/>
        </w:rPr>
        <w:t xml:space="preserve">            区域空气质量现状评价表</w:t>
      </w: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13"/>
        <w:gridCol w:w="853"/>
        <w:gridCol w:w="1584"/>
        <w:gridCol w:w="1725"/>
        <w:gridCol w:w="1479"/>
        <w:gridCol w:w="989"/>
        <w:gridCol w:w="989"/>
      </w:tblGrid>
      <w:tr w14:paraId="4AA38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10" w:type="dxa"/>
            <w:vAlign w:val="center"/>
          </w:tcPr>
          <w:p w14:paraId="350F96C7">
            <w:pPr>
              <w:pStyle w:val="203"/>
              <w:rPr>
                <w:b/>
                <w:color w:val="auto"/>
                <w:kern w:val="2"/>
                <w:u w:val="single"/>
              </w:rPr>
            </w:pPr>
            <w:r>
              <w:rPr>
                <w:rFonts w:hint="eastAsia"/>
                <w:b/>
                <w:color w:val="auto"/>
                <w:kern w:val="2"/>
                <w:u w:val="single"/>
              </w:rPr>
              <w:t>来源</w:t>
            </w:r>
          </w:p>
        </w:tc>
        <w:tc>
          <w:tcPr>
            <w:tcW w:w="849" w:type="dxa"/>
            <w:vAlign w:val="center"/>
          </w:tcPr>
          <w:p w14:paraId="32181826">
            <w:pPr>
              <w:pStyle w:val="203"/>
              <w:rPr>
                <w:b/>
                <w:color w:val="auto"/>
                <w:kern w:val="2"/>
                <w:u w:val="single"/>
              </w:rPr>
            </w:pPr>
            <w:r>
              <w:rPr>
                <w:b/>
                <w:color w:val="auto"/>
                <w:kern w:val="2"/>
                <w:u w:val="single"/>
              </w:rPr>
              <w:t>污染物</w:t>
            </w:r>
          </w:p>
        </w:tc>
        <w:tc>
          <w:tcPr>
            <w:tcW w:w="1576" w:type="dxa"/>
            <w:vAlign w:val="center"/>
          </w:tcPr>
          <w:p w14:paraId="61634B0F">
            <w:pPr>
              <w:pStyle w:val="203"/>
              <w:rPr>
                <w:b/>
                <w:color w:val="auto"/>
                <w:kern w:val="2"/>
                <w:u w:val="single"/>
              </w:rPr>
            </w:pPr>
            <w:r>
              <w:rPr>
                <w:b/>
                <w:color w:val="auto"/>
                <w:kern w:val="2"/>
                <w:u w:val="single"/>
              </w:rPr>
              <w:t>年评价指标</w:t>
            </w:r>
          </w:p>
        </w:tc>
        <w:tc>
          <w:tcPr>
            <w:tcW w:w="1717" w:type="dxa"/>
            <w:vAlign w:val="center"/>
          </w:tcPr>
          <w:p w14:paraId="394375D0">
            <w:pPr>
              <w:pStyle w:val="203"/>
              <w:rPr>
                <w:b/>
                <w:color w:val="auto"/>
                <w:kern w:val="2"/>
                <w:u w:val="single"/>
              </w:rPr>
            </w:pPr>
            <w:r>
              <w:rPr>
                <w:b/>
                <w:color w:val="auto"/>
                <w:kern w:val="2"/>
                <w:u w:val="single"/>
              </w:rPr>
              <w:t>现状浓度/（μg/m</w:t>
            </w:r>
            <w:r>
              <w:rPr>
                <w:b/>
                <w:color w:val="auto"/>
                <w:kern w:val="2"/>
                <w:u w:val="single"/>
                <w:vertAlign w:val="superscript"/>
              </w:rPr>
              <w:t>3</w:t>
            </w:r>
            <w:r>
              <w:rPr>
                <w:b/>
                <w:color w:val="auto"/>
                <w:kern w:val="2"/>
                <w:u w:val="single"/>
              </w:rPr>
              <w:t>）</w:t>
            </w:r>
          </w:p>
        </w:tc>
        <w:tc>
          <w:tcPr>
            <w:tcW w:w="1472" w:type="dxa"/>
            <w:vAlign w:val="center"/>
          </w:tcPr>
          <w:p w14:paraId="6C0B6D99">
            <w:pPr>
              <w:pStyle w:val="203"/>
              <w:rPr>
                <w:b/>
                <w:color w:val="auto"/>
                <w:kern w:val="2"/>
                <w:u w:val="single"/>
              </w:rPr>
            </w:pPr>
            <w:r>
              <w:rPr>
                <w:b/>
                <w:color w:val="auto"/>
                <w:kern w:val="2"/>
                <w:u w:val="single"/>
              </w:rPr>
              <w:t>标准值/（</w:t>
            </w:r>
            <w:r>
              <w:rPr>
                <w:b/>
                <w:bCs/>
                <w:color w:val="auto"/>
                <w:kern w:val="2"/>
                <w:u w:val="single"/>
              </w:rPr>
              <w:t>μ</w:t>
            </w:r>
            <w:r>
              <w:rPr>
                <w:b/>
                <w:color w:val="auto"/>
                <w:kern w:val="2"/>
                <w:u w:val="single"/>
              </w:rPr>
              <w:t>g/m</w:t>
            </w:r>
            <w:r>
              <w:rPr>
                <w:b/>
                <w:color w:val="auto"/>
                <w:kern w:val="2"/>
                <w:u w:val="single"/>
                <w:vertAlign w:val="superscript"/>
              </w:rPr>
              <w:t>3</w:t>
            </w:r>
            <w:r>
              <w:rPr>
                <w:b/>
                <w:color w:val="auto"/>
                <w:kern w:val="2"/>
                <w:u w:val="single"/>
              </w:rPr>
              <w:t>）</w:t>
            </w:r>
          </w:p>
        </w:tc>
        <w:tc>
          <w:tcPr>
            <w:tcW w:w="984" w:type="dxa"/>
            <w:vAlign w:val="center"/>
          </w:tcPr>
          <w:p w14:paraId="0D7879E6">
            <w:pPr>
              <w:pStyle w:val="203"/>
              <w:rPr>
                <w:b/>
                <w:color w:val="auto"/>
                <w:kern w:val="2"/>
                <w:u w:val="single"/>
              </w:rPr>
            </w:pPr>
            <w:r>
              <w:rPr>
                <w:b/>
                <w:color w:val="auto"/>
                <w:kern w:val="2"/>
                <w:u w:val="single"/>
              </w:rPr>
              <w:t>占标率/%</w:t>
            </w:r>
          </w:p>
        </w:tc>
        <w:tc>
          <w:tcPr>
            <w:tcW w:w="984" w:type="dxa"/>
            <w:vAlign w:val="center"/>
          </w:tcPr>
          <w:p w14:paraId="61E93502">
            <w:pPr>
              <w:pStyle w:val="203"/>
              <w:rPr>
                <w:b/>
                <w:color w:val="auto"/>
                <w:kern w:val="2"/>
                <w:u w:val="single"/>
              </w:rPr>
            </w:pPr>
            <w:r>
              <w:rPr>
                <w:b/>
                <w:color w:val="auto"/>
                <w:kern w:val="2"/>
                <w:u w:val="single"/>
              </w:rPr>
              <w:t>达标情况</w:t>
            </w:r>
          </w:p>
        </w:tc>
      </w:tr>
      <w:tr w14:paraId="3E4E0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0" w:type="dxa"/>
            <w:vMerge w:val="restart"/>
            <w:vAlign w:val="center"/>
          </w:tcPr>
          <w:p w14:paraId="12828130">
            <w:pPr>
              <w:pStyle w:val="203"/>
              <w:rPr>
                <w:color w:val="auto"/>
                <w:kern w:val="2"/>
                <w:highlight w:val="yellow"/>
                <w:u w:val="single"/>
              </w:rPr>
            </w:pPr>
            <w:r>
              <w:rPr>
                <w:color w:val="auto"/>
                <w:u w:val="single"/>
              </w:rPr>
              <w:t>新乡市202</w:t>
            </w:r>
            <w:r>
              <w:rPr>
                <w:rFonts w:hint="eastAsia"/>
                <w:color w:val="auto"/>
                <w:u w:val="single"/>
              </w:rPr>
              <w:t>3</w:t>
            </w:r>
            <w:r>
              <w:rPr>
                <w:color w:val="auto"/>
                <w:u w:val="single"/>
              </w:rPr>
              <w:t>年环境质量年报</w:t>
            </w:r>
          </w:p>
        </w:tc>
        <w:tc>
          <w:tcPr>
            <w:tcW w:w="849" w:type="dxa"/>
            <w:vAlign w:val="center"/>
          </w:tcPr>
          <w:p w14:paraId="33A2BDB8">
            <w:pPr>
              <w:pStyle w:val="203"/>
              <w:rPr>
                <w:color w:val="auto"/>
                <w:kern w:val="2"/>
                <w:highlight w:val="yellow"/>
                <w:u w:val="single"/>
              </w:rPr>
            </w:pPr>
            <w:r>
              <w:rPr>
                <w:color w:val="auto"/>
                <w:kern w:val="2"/>
                <w:u w:val="single"/>
              </w:rPr>
              <w:t>PM</w:t>
            </w:r>
            <w:r>
              <w:rPr>
                <w:color w:val="auto"/>
                <w:kern w:val="2"/>
                <w:u w:val="single"/>
                <w:vertAlign w:val="subscript"/>
              </w:rPr>
              <w:t>10</w:t>
            </w:r>
          </w:p>
        </w:tc>
        <w:tc>
          <w:tcPr>
            <w:tcW w:w="1576" w:type="dxa"/>
            <w:vAlign w:val="center"/>
          </w:tcPr>
          <w:p w14:paraId="055506ED">
            <w:pPr>
              <w:pStyle w:val="203"/>
              <w:rPr>
                <w:color w:val="auto"/>
                <w:kern w:val="2"/>
                <w:highlight w:val="yellow"/>
                <w:u w:val="single"/>
              </w:rPr>
            </w:pPr>
            <w:r>
              <w:rPr>
                <w:color w:val="auto"/>
                <w:kern w:val="2"/>
                <w:u w:val="single"/>
              </w:rPr>
              <w:t>年平均质量浓度</w:t>
            </w:r>
          </w:p>
        </w:tc>
        <w:tc>
          <w:tcPr>
            <w:tcW w:w="1717" w:type="dxa"/>
            <w:vAlign w:val="center"/>
          </w:tcPr>
          <w:p w14:paraId="29F765BA">
            <w:pPr>
              <w:pStyle w:val="203"/>
              <w:rPr>
                <w:color w:val="auto"/>
                <w:highlight w:val="yellow"/>
                <w:u w:val="single"/>
              </w:rPr>
            </w:pPr>
            <w:r>
              <w:rPr>
                <w:rFonts w:hint="eastAsia"/>
                <w:color w:val="auto"/>
                <w:kern w:val="2"/>
                <w:u w:val="single"/>
              </w:rPr>
              <w:t>80</w:t>
            </w:r>
          </w:p>
        </w:tc>
        <w:tc>
          <w:tcPr>
            <w:tcW w:w="1472" w:type="dxa"/>
            <w:vAlign w:val="center"/>
          </w:tcPr>
          <w:p w14:paraId="130649D2">
            <w:pPr>
              <w:pStyle w:val="203"/>
              <w:rPr>
                <w:color w:val="auto"/>
                <w:highlight w:val="yellow"/>
                <w:u w:val="single"/>
              </w:rPr>
            </w:pPr>
            <w:r>
              <w:rPr>
                <w:color w:val="auto"/>
                <w:kern w:val="2"/>
                <w:u w:val="single"/>
              </w:rPr>
              <w:t>70</w:t>
            </w:r>
          </w:p>
        </w:tc>
        <w:tc>
          <w:tcPr>
            <w:tcW w:w="984" w:type="dxa"/>
            <w:vAlign w:val="center"/>
          </w:tcPr>
          <w:p w14:paraId="734AA812">
            <w:pPr>
              <w:pStyle w:val="203"/>
              <w:rPr>
                <w:color w:val="auto"/>
                <w:highlight w:val="yellow"/>
                <w:u w:val="single"/>
              </w:rPr>
            </w:pPr>
            <w:r>
              <w:rPr>
                <w:rFonts w:hint="eastAsia"/>
                <w:color w:val="auto"/>
                <w:kern w:val="2"/>
                <w:u w:val="single"/>
              </w:rPr>
              <w:t>114</w:t>
            </w:r>
          </w:p>
        </w:tc>
        <w:tc>
          <w:tcPr>
            <w:tcW w:w="984" w:type="dxa"/>
            <w:vAlign w:val="center"/>
          </w:tcPr>
          <w:p w14:paraId="121EAFE1">
            <w:pPr>
              <w:pStyle w:val="203"/>
              <w:rPr>
                <w:color w:val="auto"/>
                <w:highlight w:val="yellow"/>
                <w:u w:val="single"/>
              </w:rPr>
            </w:pPr>
            <w:r>
              <w:rPr>
                <w:rFonts w:hint="eastAsia"/>
                <w:color w:val="auto"/>
                <w:kern w:val="2"/>
                <w:u w:val="single"/>
              </w:rPr>
              <w:t>超标</w:t>
            </w:r>
          </w:p>
        </w:tc>
      </w:tr>
      <w:tr w14:paraId="66722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0" w:type="dxa"/>
            <w:vMerge w:val="continue"/>
            <w:vAlign w:val="center"/>
          </w:tcPr>
          <w:p w14:paraId="53B937A6">
            <w:pPr>
              <w:pStyle w:val="203"/>
              <w:rPr>
                <w:color w:val="auto"/>
                <w:kern w:val="2"/>
                <w:highlight w:val="yellow"/>
                <w:u w:val="single"/>
              </w:rPr>
            </w:pPr>
          </w:p>
        </w:tc>
        <w:tc>
          <w:tcPr>
            <w:tcW w:w="849" w:type="dxa"/>
            <w:vAlign w:val="center"/>
          </w:tcPr>
          <w:p w14:paraId="0398B7B2">
            <w:pPr>
              <w:pStyle w:val="203"/>
              <w:rPr>
                <w:color w:val="auto"/>
                <w:kern w:val="2"/>
                <w:highlight w:val="yellow"/>
                <w:u w:val="single"/>
              </w:rPr>
            </w:pPr>
            <w:r>
              <w:rPr>
                <w:color w:val="auto"/>
                <w:kern w:val="2"/>
                <w:u w:val="single"/>
              </w:rPr>
              <w:t>PM</w:t>
            </w:r>
            <w:r>
              <w:rPr>
                <w:color w:val="auto"/>
                <w:kern w:val="2"/>
                <w:u w:val="single"/>
                <w:vertAlign w:val="subscript"/>
              </w:rPr>
              <w:t>2.5</w:t>
            </w:r>
          </w:p>
        </w:tc>
        <w:tc>
          <w:tcPr>
            <w:tcW w:w="1576" w:type="dxa"/>
            <w:vAlign w:val="center"/>
          </w:tcPr>
          <w:p w14:paraId="14CBD9B8">
            <w:pPr>
              <w:pStyle w:val="203"/>
              <w:rPr>
                <w:color w:val="auto"/>
                <w:kern w:val="2"/>
                <w:highlight w:val="yellow"/>
                <w:u w:val="single"/>
              </w:rPr>
            </w:pPr>
            <w:r>
              <w:rPr>
                <w:color w:val="auto"/>
                <w:kern w:val="2"/>
                <w:u w:val="single"/>
              </w:rPr>
              <w:t>年平均质量浓度</w:t>
            </w:r>
          </w:p>
        </w:tc>
        <w:tc>
          <w:tcPr>
            <w:tcW w:w="1717" w:type="dxa"/>
            <w:vAlign w:val="center"/>
          </w:tcPr>
          <w:p w14:paraId="6B6C2834">
            <w:pPr>
              <w:pStyle w:val="203"/>
              <w:rPr>
                <w:color w:val="auto"/>
                <w:highlight w:val="yellow"/>
                <w:u w:val="single"/>
              </w:rPr>
            </w:pPr>
            <w:r>
              <w:rPr>
                <w:rFonts w:hint="eastAsia"/>
                <w:color w:val="auto"/>
                <w:kern w:val="2"/>
                <w:u w:val="single"/>
              </w:rPr>
              <w:t>47</w:t>
            </w:r>
          </w:p>
        </w:tc>
        <w:tc>
          <w:tcPr>
            <w:tcW w:w="1472" w:type="dxa"/>
            <w:vAlign w:val="center"/>
          </w:tcPr>
          <w:p w14:paraId="2F4F5438">
            <w:pPr>
              <w:pStyle w:val="203"/>
              <w:rPr>
                <w:color w:val="auto"/>
                <w:highlight w:val="yellow"/>
                <w:u w:val="single"/>
              </w:rPr>
            </w:pPr>
            <w:r>
              <w:rPr>
                <w:color w:val="auto"/>
                <w:kern w:val="2"/>
                <w:u w:val="single"/>
              </w:rPr>
              <w:t>35</w:t>
            </w:r>
          </w:p>
        </w:tc>
        <w:tc>
          <w:tcPr>
            <w:tcW w:w="984" w:type="dxa"/>
            <w:vAlign w:val="center"/>
          </w:tcPr>
          <w:p w14:paraId="115EAF9B">
            <w:pPr>
              <w:pStyle w:val="203"/>
              <w:rPr>
                <w:color w:val="auto"/>
                <w:highlight w:val="yellow"/>
                <w:u w:val="single"/>
              </w:rPr>
            </w:pPr>
            <w:r>
              <w:rPr>
                <w:rFonts w:hint="eastAsia"/>
                <w:color w:val="auto"/>
                <w:kern w:val="2"/>
                <w:u w:val="single"/>
              </w:rPr>
              <w:t>134</w:t>
            </w:r>
          </w:p>
        </w:tc>
        <w:tc>
          <w:tcPr>
            <w:tcW w:w="984" w:type="dxa"/>
            <w:vAlign w:val="center"/>
          </w:tcPr>
          <w:p w14:paraId="788376D1">
            <w:pPr>
              <w:pStyle w:val="203"/>
              <w:rPr>
                <w:color w:val="auto"/>
                <w:highlight w:val="yellow"/>
                <w:u w:val="single"/>
              </w:rPr>
            </w:pPr>
            <w:r>
              <w:rPr>
                <w:rFonts w:hint="eastAsia"/>
                <w:color w:val="auto"/>
                <w:kern w:val="2"/>
                <w:u w:val="single"/>
              </w:rPr>
              <w:t>超标</w:t>
            </w:r>
          </w:p>
        </w:tc>
      </w:tr>
      <w:tr w14:paraId="13564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0" w:type="dxa"/>
            <w:vMerge w:val="continue"/>
            <w:vAlign w:val="center"/>
          </w:tcPr>
          <w:p w14:paraId="438B0C4F">
            <w:pPr>
              <w:pStyle w:val="203"/>
              <w:rPr>
                <w:color w:val="auto"/>
                <w:kern w:val="2"/>
                <w:highlight w:val="yellow"/>
                <w:u w:val="single"/>
              </w:rPr>
            </w:pPr>
          </w:p>
        </w:tc>
        <w:tc>
          <w:tcPr>
            <w:tcW w:w="849" w:type="dxa"/>
            <w:vAlign w:val="center"/>
          </w:tcPr>
          <w:p w14:paraId="4863FC6E">
            <w:pPr>
              <w:pStyle w:val="203"/>
              <w:rPr>
                <w:color w:val="auto"/>
                <w:kern w:val="2"/>
                <w:highlight w:val="yellow"/>
                <w:u w:val="single"/>
              </w:rPr>
            </w:pPr>
            <w:r>
              <w:rPr>
                <w:color w:val="auto"/>
                <w:kern w:val="2"/>
                <w:u w:val="single"/>
              </w:rPr>
              <w:t>SO</w:t>
            </w:r>
            <w:r>
              <w:rPr>
                <w:color w:val="auto"/>
                <w:kern w:val="2"/>
                <w:u w:val="single"/>
                <w:vertAlign w:val="subscript"/>
              </w:rPr>
              <w:t>2</w:t>
            </w:r>
          </w:p>
        </w:tc>
        <w:tc>
          <w:tcPr>
            <w:tcW w:w="1576" w:type="dxa"/>
            <w:vAlign w:val="center"/>
          </w:tcPr>
          <w:p w14:paraId="3ED7D79C">
            <w:pPr>
              <w:pStyle w:val="203"/>
              <w:rPr>
                <w:color w:val="auto"/>
                <w:kern w:val="2"/>
                <w:highlight w:val="yellow"/>
                <w:u w:val="single"/>
              </w:rPr>
            </w:pPr>
            <w:r>
              <w:rPr>
                <w:color w:val="auto"/>
                <w:kern w:val="2"/>
                <w:u w:val="single"/>
              </w:rPr>
              <w:t>年平均质量浓度</w:t>
            </w:r>
          </w:p>
        </w:tc>
        <w:tc>
          <w:tcPr>
            <w:tcW w:w="1717" w:type="dxa"/>
            <w:vAlign w:val="center"/>
          </w:tcPr>
          <w:p w14:paraId="797758BB">
            <w:pPr>
              <w:pStyle w:val="203"/>
              <w:rPr>
                <w:color w:val="auto"/>
                <w:highlight w:val="yellow"/>
                <w:u w:val="single"/>
              </w:rPr>
            </w:pPr>
            <w:r>
              <w:rPr>
                <w:rFonts w:hint="eastAsia"/>
                <w:color w:val="auto"/>
                <w:kern w:val="2"/>
                <w:u w:val="single"/>
              </w:rPr>
              <w:t>9</w:t>
            </w:r>
          </w:p>
        </w:tc>
        <w:tc>
          <w:tcPr>
            <w:tcW w:w="1472" w:type="dxa"/>
            <w:vAlign w:val="center"/>
          </w:tcPr>
          <w:p w14:paraId="7293EEB3">
            <w:pPr>
              <w:pStyle w:val="203"/>
              <w:rPr>
                <w:color w:val="auto"/>
                <w:highlight w:val="yellow"/>
                <w:u w:val="single"/>
              </w:rPr>
            </w:pPr>
            <w:r>
              <w:rPr>
                <w:color w:val="auto"/>
                <w:kern w:val="2"/>
                <w:u w:val="single"/>
              </w:rPr>
              <w:t>60</w:t>
            </w:r>
          </w:p>
        </w:tc>
        <w:tc>
          <w:tcPr>
            <w:tcW w:w="984" w:type="dxa"/>
            <w:vAlign w:val="center"/>
          </w:tcPr>
          <w:p w14:paraId="3039311B">
            <w:pPr>
              <w:pStyle w:val="203"/>
              <w:rPr>
                <w:color w:val="auto"/>
                <w:highlight w:val="yellow"/>
                <w:u w:val="single"/>
              </w:rPr>
            </w:pPr>
            <w:r>
              <w:rPr>
                <w:rFonts w:hint="eastAsia"/>
                <w:color w:val="auto"/>
                <w:kern w:val="2"/>
                <w:u w:val="single"/>
              </w:rPr>
              <w:t>15</w:t>
            </w:r>
          </w:p>
        </w:tc>
        <w:tc>
          <w:tcPr>
            <w:tcW w:w="984" w:type="dxa"/>
            <w:vAlign w:val="center"/>
          </w:tcPr>
          <w:p w14:paraId="1D1D97D3">
            <w:pPr>
              <w:pStyle w:val="203"/>
              <w:rPr>
                <w:color w:val="auto"/>
                <w:highlight w:val="yellow"/>
                <w:u w:val="single"/>
              </w:rPr>
            </w:pPr>
            <w:r>
              <w:rPr>
                <w:rFonts w:hint="eastAsia"/>
                <w:color w:val="auto"/>
                <w:kern w:val="2"/>
                <w:u w:val="single"/>
              </w:rPr>
              <w:t>达标</w:t>
            </w:r>
          </w:p>
        </w:tc>
      </w:tr>
      <w:tr w14:paraId="0108F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0" w:type="dxa"/>
            <w:vMerge w:val="continue"/>
            <w:vAlign w:val="center"/>
          </w:tcPr>
          <w:p w14:paraId="706C4A5A">
            <w:pPr>
              <w:pStyle w:val="203"/>
              <w:rPr>
                <w:color w:val="auto"/>
                <w:kern w:val="2"/>
                <w:highlight w:val="yellow"/>
                <w:u w:val="single"/>
              </w:rPr>
            </w:pPr>
          </w:p>
        </w:tc>
        <w:tc>
          <w:tcPr>
            <w:tcW w:w="849" w:type="dxa"/>
            <w:vAlign w:val="center"/>
          </w:tcPr>
          <w:p w14:paraId="056D4042">
            <w:pPr>
              <w:pStyle w:val="203"/>
              <w:rPr>
                <w:color w:val="auto"/>
                <w:kern w:val="2"/>
                <w:highlight w:val="yellow"/>
                <w:u w:val="single"/>
              </w:rPr>
            </w:pPr>
            <w:r>
              <w:rPr>
                <w:color w:val="auto"/>
                <w:kern w:val="2"/>
                <w:u w:val="single"/>
              </w:rPr>
              <w:t>NO</w:t>
            </w:r>
            <w:r>
              <w:rPr>
                <w:color w:val="auto"/>
                <w:kern w:val="2"/>
                <w:u w:val="single"/>
                <w:vertAlign w:val="subscript"/>
              </w:rPr>
              <w:t>2</w:t>
            </w:r>
          </w:p>
        </w:tc>
        <w:tc>
          <w:tcPr>
            <w:tcW w:w="1576" w:type="dxa"/>
            <w:vAlign w:val="center"/>
          </w:tcPr>
          <w:p w14:paraId="4B46C445">
            <w:pPr>
              <w:pStyle w:val="203"/>
              <w:rPr>
                <w:color w:val="auto"/>
                <w:kern w:val="2"/>
                <w:highlight w:val="yellow"/>
                <w:u w:val="single"/>
              </w:rPr>
            </w:pPr>
            <w:r>
              <w:rPr>
                <w:color w:val="auto"/>
                <w:kern w:val="2"/>
                <w:u w:val="single"/>
              </w:rPr>
              <w:t>年平均质量浓度</w:t>
            </w:r>
          </w:p>
        </w:tc>
        <w:tc>
          <w:tcPr>
            <w:tcW w:w="1717" w:type="dxa"/>
            <w:vAlign w:val="center"/>
          </w:tcPr>
          <w:p w14:paraId="74E46FEB">
            <w:pPr>
              <w:pStyle w:val="203"/>
              <w:rPr>
                <w:color w:val="auto"/>
                <w:highlight w:val="yellow"/>
                <w:u w:val="single"/>
              </w:rPr>
            </w:pPr>
            <w:r>
              <w:rPr>
                <w:rFonts w:hint="eastAsia"/>
                <w:color w:val="auto"/>
                <w:kern w:val="2"/>
                <w:u w:val="single"/>
              </w:rPr>
              <w:t>3</w:t>
            </w:r>
            <w:r>
              <w:rPr>
                <w:color w:val="auto"/>
                <w:kern w:val="2"/>
                <w:u w:val="single"/>
              </w:rPr>
              <w:t>0</w:t>
            </w:r>
          </w:p>
        </w:tc>
        <w:tc>
          <w:tcPr>
            <w:tcW w:w="1472" w:type="dxa"/>
            <w:vAlign w:val="center"/>
          </w:tcPr>
          <w:p w14:paraId="7AA676F0">
            <w:pPr>
              <w:pStyle w:val="203"/>
              <w:rPr>
                <w:color w:val="auto"/>
                <w:highlight w:val="yellow"/>
                <w:u w:val="single"/>
              </w:rPr>
            </w:pPr>
            <w:r>
              <w:rPr>
                <w:color w:val="auto"/>
                <w:kern w:val="2"/>
                <w:u w:val="single"/>
              </w:rPr>
              <w:t>40</w:t>
            </w:r>
          </w:p>
        </w:tc>
        <w:tc>
          <w:tcPr>
            <w:tcW w:w="984" w:type="dxa"/>
            <w:vAlign w:val="center"/>
          </w:tcPr>
          <w:p w14:paraId="5F2DDD08">
            <w:pPr>
              <w:pStyle w:val="203"/>
              <w:rPr>
                <w:color w:val="auto"/>
                <w:highlight w:val="yellow"/>
                <w:u w:val="single"/>
              </w:rPr>
            </w:pPr>
            <w:r>
              <w:rPr>
                <w:color w:val="auto"/>
                <w:kern w:val="2"/>
                <w:u w:val="single"/>
              </w:rPr>
              <w:t>75</w:t>
            </w:r>
          </w:p>
        </w:tc>
        <w:tc>
          <w:tcPr>
            <w:tcW w:w="984" w:type="dxa"/>
            <w:vAlign w:val="center"/>
          </w:tcPr>
          <w:p w14:paraId="7D8561E1">
            <w:pPr>
              <w:pStyle w:val="203"/>
              <w:rPr>
                <w:color w:val="auto"/>
                <w:highlight w:val="yellow"/>
                <w:u w:val="single"/>
              </w:rPr>
            </w:pPr>
            <w:r>
              <w:rPr>
                <w:rFonts w:hint="eastAsia"/>
                <w:color w:val="auto"/>
                <w:kern w:val="2"/>
                <w:u w:val="single"/>
              </w:rPr>
              <w:t>达标</w:t>
            </w:r>
          </w:p>
        </w:tc>
      </w:tr>
      <w:tr w14:paraId="22194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0" w:type="dxa"/>
            <w:vMerge w:val="continue"/>
            <w:vAlign w:val="center"/>
          </w:tcPr>
          <w:p w14:paraId="50E2E520">
            <w:pPr>
              <w:pStyle w:val="203"/>
              <w:rPr>
                <w:color w:val="auto"/>
                <w:kern w:val="2"/>
                <w:highlight w:val="yellow"/>
                <w:u w:val="single"/>
              </w:rPr>
            </w:pPr>
          </w:p>
        </w:tc>
        <w:tc>
          <w:tcPr>
            <w:tcW w:w="849" w:type="dxa"/>
            <w:vAlign w:val="center"/>
          </w:tcPr>
          <w:p w14:paraId="2B7CE12E">
            <w:pPr>
              <w:pStyle w:val="203"/>
              <w:rPr>
                <w:color w:val="auto"/>
                <w:kern w:val="2"/>
                <w:highlight w:val="yellow"/>
                <w:u w:val="single"/>
              </w:rPr>
            </w:pPr>
            <w:r>
              <w:rPr>
                <w:color w:val="auto"/>
                <w:kern w:val="2"/>
                <w:u w:val="single"/>
              </w:rPr>
              <w:t>CO</w:t>
            </w:r>
          </w:p>
        </w:tc>
        <w:tc>
          <w:tcPr>
            <w:tcW w:w="1576" w:type="dxa"/>
            <w:vAlign w:val="center"/>
          </w:tcPr>
          <w:p w14:paraId="70D77DDF">
            <w:pPr>
              <w:pStyle w:val="203"/>
              <w:rPr>
                <w:color w:val="auto"/>
                <w:kern w:val="2"/>
                <w:highlight w:val="yellow"/>
                <w:u w:val="single"/>
              </w:rPr>
            </w:pPr>
            <w:r>
              <w:rPr>
                <w:color w:val="auto"/>
                <w:kern w:val="2"/>
                <w:u w:val="single"/>
              </w:rPr>
              <w:t>第95百分位浓度</w:t>
            </w:r>
          </w:p>
        </w:tc>
        <w:tc>
          <w:tcPr>
            <w:tcW w:w="1717" w:type="dxa"/>
            <w:vAlign w:val="center"/>
          </w:tcPr>
          <w:p w14:paraId="1604BDE3">
            <w:pPr>
              <w:pStyle w:val="203"/>
              <w:rPr>
                <w:color w:val="auto"/>
                <w:highlight w:val="yellow"/>
                <w:u w:val="single"/>
              </w:rPr>
            </w:pPr>
            <w:r>
              <w:rPr>
                <w:color w:val="auto"/>
                <w:kern w:val="2"/>
                <w:u w:val="single"/>
              </w:rPr>
              <w:t>1.</w:t>
            </w:r>
            <w:r>
              <w:rPr>
                <w:rFonts w:hint="eastAsia"/>
                <w:color w:val="auto"/>
                <w:kern w:val="2"/>
                <w:u w:val="single"/>
              </w:rPr>
              <w:t>4</w:t>
            </w:r>
            <w:r>
              <w:rPr>
                <w:color w:val="auto"/>
                <w:kern w:val="2"/>
                <w:u w:val="single"/>
              </w:rPr>
              <w:t>mg/m</w:t>
            </w:r>
            <w:r>
              <w:rPr>
                <w:color w:val="auto"/>
                <w:kern w:val="2"/>
                <w:u w:val="single"/>
                <w:vertAlign w:val="superscript"/>
              </w:rPr>
              <w:t>3</w:t>
            </w:r>
          </w:p>
        </w:tc>
        <w:tc>
          <w:tcPr>
            <w:tcW w:w="1472" w:type="dxa"/>
            <w:vAlign w:val="center"/>
          </w:tcPr>
          <w:p w14:paraId="4EF57A44">
            <w:pPr>
              <w:pStyle w:val="203"/>
              <w:rPr>
                <w:color w:val="auto"/>
                <w:highlight w:val="yellow"/>
                <w:u w:val="single"/>
              </w:rPr>
            </w:pPr>
            <w:r>
              <w:rPr>
                <w:color w:val="auto"/>
                <w:kern w:val="2"/>
                <w:u w:val="single"/>
              </w:rPr>
              <w:t>4mg/m</w:t>
            </w:r>
            <w:r>
              <w:rPr>
                <w:color w:val="auto"/>
                <w:kern w:val="2"/>
                <w:u w:val="single"/>
                <w:vertAlign w:val="superscript"/>
              </w:rPr>
              <w:t>3</w:t>
            </w:r>
          </w:p>
        </w:tc>
        <w:tc>
          <w:tcPr>
            <w:tcW w:w="984" w:type="dxa"/>
            <w:vAlign w:val="center"/>
          </w:tcPr>
          <w:p w14:paraId="3A606383">
            <w:pPr>
              <w:pStyle w:val="203"/>
              <w:rPr>
                <w:color w:val="auto"/>
                <w:highlight w:val="yellow"/>
                <w:u w:val="single"/>
              </w:rPr>
            </w:pPr>
            <w:r>
              <w:rPr>
                <w:rFonts w:hint="eastAsia"/>
                <w:color w:val="auto"/>
                <w:kern w:val="2"/>
                <w:u w:val="single"/>
              </w:rPr>
              <w:t>35</w:t>
            </w:r>
          </w:p>
        </w:tc>
        <w:tc>
          <w:tcPr>
            <w:tcW w:w="984" w:type="dxa"/>
            <w:vAlign w:val="center"/>
          </w:tcPr>
          <w:p w14:paraId="1ED66625">
            <w:pPr>
              <w:pStyle w:val="203"/>
              <w:rPr>
                <w:color w:val="auto"/>
                <w:highlight w:val="yellow"/>
                <w:u w:val="single"/>
              </w:rPr>
            </w:pPr>
            <w:r>
              <w:rPr>
                <w:rFonts w:hint="eastAsia"/>
                <w:color w:val="auto"/>
                <w:kern w:val="2"/>
                <w:u w:val="single"/>
              </w:rPr>
              <w:t>达标</w:t>
            </w:r>
          </w:p>
        </w:tc>
      </w:tr>
      <w:tr w14:paraId="53308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0" w:type="dxa"/>
            <w:vMerge w:val="continue"/>
            <w:vAlign w:val="center"/>
          </w:tcPr>
          <w:p w14:paraId="3FA5C52C">
            <w:pPr>
              <w:pStyle w:val="203"/>
              <w:rPr>
                <w:color w:val="auto"/>
                <w:kern w:val="2"/>
                <w:highlight w:val="yellow"/>
                <w:u w:val="single"/>
              </w:rPr>
            </w:pPr>
          </w:p>
        </w:tc>
        <w:tc>
          <w:tcPr>
            <w:tcW w:w="849" w:type="dxa"/>
            <w:vAlign w:val="center"/>
          </w:tcPr>
          <w:p w14:paraId="558A067E">
            <w:pPr>
              <w:pStyle w:val="203"/>
              <w:rPr>
                <w:color w:val="auto"/>
                <w:kern w:val="2"/>
                <w:highlight w:val="yellow"/>
                <w:u w:val="single"/>
              </w:rPr>
            </w:pPr>
            <w:r>
              <w:rPr>
                <w:color w:val="auto"/>
                <w:kern w:val="2"/>
                <w:u w:val="single"/>
              </w:rPr>
              <w:t>O</w:t>
            </w:r>
            <w:r>
              <w:rPr>
                <w:color w:val="auto"/>
                <w:kern w:val="2"/>
                <w:u w:val="single"/>
                <w:vertAlign w:val="subscript"/>
              </w:rPr>
              <w:t>3</w:t>
            </w:r>
          </w:p>
        </w:tc>
        <w:tc>
          <w:tcPr>
            <w:tcW w:w="1576" w:type="dxa"/>
            <w:vAlign w:val="center"/>
          </w:tcPr>
          <w:p w14:paraId="2B2803FD">
            <w:pPr>
              <w:pStyle w:val="203"/>
              <w:rPr>
                <w:color w:val="auto"/>
                <w:kern w:val="2"/>
                <w:highlight w:val="yellow"/>
                <w:u w:val="single"/>
              </w:rPr>
            </w:pPr>
            <w:r>
              <w:rPr>
                <w:color w:val="auto"/>
                <w:kern w:val="2"/>
                <w:u w:val="single"/>
              </w:rPr>
              <w:t>第90百分位浓度</w:t>
            </w:r>
          </w:p>
        </w:tc>
        <w:tc>
          <w:tcPr>
            <w:tcW w:w="1717" w:type="dxa"/>
            <w:vAlign w:val="center"/>
          </w:tcPr>
          <w:p w14:paraId="392DD02F">
            <w:pPr>
              <w:pStyle w:val="203"/>
              <w:rPr>
                <w:color w:val="auto"/>
                <w:highlight w:val="yellow"/>
                <w:u w:val="single"/>
              </w:rPr>
            </w:pPr>
            <w:r>
              <w:rPr>
                <w:color w:val="auto"/>
                <w:kern w:val="2"/>
                <w:u w:val="single"/>
              </w:rPr>
              <w:t>18</w:t>
            </w:r>
            <w:r>
              <w:rPr>
                <w:rFonts w:hint="eastAsia"/>
                <w:color w:val="auto"/>
                <w:kern w:val="2"/>
                <w:u w:val="single"/>
              </w:rPr>
              <w:t>3</w:t>
            </w:r>
          </w:p>
        </w:tc>
        <w:tc>
          <w:tcPr>
            <w:tcW w:w="1472" w:type="dxa"/>
            <w:vAlign w:val="center"/>
          </w:tcPr>
          <w:p w14:paraId="2D987BA9">
            <w:pPr>
              <w:pStyle w:val="203"/>
              <w:rPr>
                <w:color w:val="auto"/>
                <w:highlight w:val="yellow"/>
                <w:u w:val="single"/>
              </w:rPr>
            </w:pPr>
            <w:r>
              <w:rPr>
                <w:color w:val="auto"/>
                <w:kern w:val="2"/>
                <w:u w:val="single"/>
              </w:rPr>
              <w:t>160</w:t>
            </w:r>
          </w:p>
        </w:tc>
        <w:tc>
          <w:tcPr>
            <w:tcW w:w="984" w:type="dxa"/>
            <w:vAlign w:val="center"/>
          </w:tcPr>
          <w:p w14:paraId="4DCCBB0A">
            <w:pPr>
              <w:pStyle w:val="203"/>
              <w:rPr>
                <w:color w:val="auto"/>
                <w:highlight w:val="yellow"/>
                <w:u w:val="single"/>
              </w:rPr>
            </w:pPr>
            <w:r>
              <w:rPr>
                <w:color w:val="auto"/>
                <w:kern w:val="2"/>
                <w:u w:val="single"/>
              </w:rPr>
              <w:t>114</w:t>
            </w:r>
          </w:p>
        </w:tc>
        <w:tc>
          <w:tcPr>
            <w:tcW w:w="984" w:type="dxa"/>
            <w:vAlign w:val="center"/>
          </w:tcPr>
          <w:p w14:paraId="423054C3">
            <w:pPr>
              <w:pStyle w:val="203"/>
              <w:rPr>
                <w:color w:val="auto"/>
                <w:highlight w:val="yellow"/>
                <w:u w:val="single"/>
              </w:rPr>
            </w:pPr>
            <w:r>
              <w:rPr>
                <w:rFonts w:hint="eastAsia"/>
                <w:color w:val="auto"/>
                <w:kern w:val="2"/>
                <w:u w:val="single"/>
              </w:rPr>
              <w:t>超标</w:t>
            </w:r>
          </w:p>
        </w:tc>
      </w:tr>
    </w:tbl>
    <w:p w14:paraId="39C19198">
      <w:pPr>
        <w:ind w:firstLine="480"/>
        <w:rPr>
          <w:u w:val="single"/>
        </w:rPr>
      </w:pPr>
      <w:r>
        <w:rPr>
          <w:u w:val="single"/>
        </w:rPr>
        <w:t>由上表可知，</w:t>
      </w:r>
      <w:r>
        <w:rPr>
          <w:rFonts w:hint="eastAsia"/>
          <w:u w:val="single"/>
        </w:rPr>
        <w:t>2023年</w:t>
      </w:r>
      <w:r>
        <w:rPr>
          <w:u w:val="single"/>
        </w:rPr>
        <w:t>PM</w:t>
      </w:r>
      <w:r>
        <w:rPr>
          <w:u w:val="single"/>
          <w:vertAlign w:val="subscript"/>
        </w:rPr>
        <w:t>10</w:t>
      </w:r>
      <w:r>
        <w:rPr>
          <w:u w:val="single"/>
        </w:rPr>
        <w:t>、PM</w:t>
      </w:r>
      <w:r>
        <w:rPr>
          <w:u w:val="single"/>
          <w:vertAlign w:val="subscript"/>
        </w:rPr>
        <w:t>2.5</w:t>
      </w:r>
      <w:r>
        <w:rPr>
          <w:u w:val="single"/>
        </w:rPr>
        <w:t>和O</w:t>
      </w:r>
      <w:r>
        <w:rPr>
          <w:u w:val="single"/>
          <w:vertAlign w:val="subscript"/>
        </w:rPr>
        <w:t>3</w:t>
      </w:r>
      <w:r>
        <w:rPr>
          <w:u w:val="single"/>
        </w:rPr>
        <w:t>均不能够满足《环境空气质量标准》（GB3095 -2012）及其2018年修改单二级标准要求。根据《环境影响评价技术导则 大气环境》(HJ2.2-2018)，本项目所在区域属于未达标区。</w:t>
      </w:r>
    </w:p>
    <w:p w14:paraId="1D3EBDCF">
      <w:pPr>
        <w:ind w:firstLine="480"/>
        <w:rPr>
          <w:b/>
          <w:bCs/>
          <w:u w:val="single"/>
        </w:rPr>
      </w:pPr>
      <w:r>
        <w:rPr>
          <w:rFonts w:hint="eastAsia"/>
          <w:u w:val="single"/>
        </w:rPr>
        <w:t>目前，新乡市正在实施新乡市生态环境保护委员会办公室关于印发《新乡市2024年蓝天保卫战实施方案》《新乡市2024年碧水保卫战实施方案》《新乡市2024年净土保卫战实施方案》《新乡市2024年柴油货车污染治理攻坚战实施方案》的通知（新环委办〔2024〕49号）、</w:t>
      </w:r>
      <w:r>
        <w:rPr>
          <w:u w:val="single"/>
        </w:rPr>
        <w:t>《</w:t>
      </w:r>
      <w:r>
        <w:rPr>
          <w:rFonts w:hint="eastAsia"/>
          <w:u w:val="single"/>
        </w:rPr>
        <w:t>河南省</w:t>
      </w:r>
      <w:r>
        <w:rPr>
          <w:u w:val="single"/>
        </w:rPr>
        <w:t>空气质量持续改善行动计划》</w:t>
      </w:r>
      <w:r>
        <w:rPr>
          <w:rFonts w:hint="eastAsia"/>
          <w:u w:val="single"/>
        </w:rPr>
        <w:t>（豫政</w:t>
      </w:r>
      <w:r>
        <w:rPr>
          <w:u w:val="single"/>
        </w:rPr>
        <w:t>〔202</w:t>
      </w:r>
      <w:r>
        <w:rPr>
          <w:rFonts w:hint="eastAsia"/>
          <w:u w:val="single"/>
        </w:rPr>
        <w:t>4</w:t>
      </w:r>
      <w:r>
        <w:rPr>
          <w:u w:val="single"/>
        </w:rPr>
        <w:t>〕</w:t>
      </w:r>
      <w:r>
        <w:rPr>
          <w:rFonts w:hint="eastAsia"/>
          <w:u w:val="single"/>
        </w:rPr>
        <w:t>12</w:t>
      </w:r>
      <w:r>
        <w:rPr>
          <w:u w:val="single"/>
        </w:rPr>
        <w:t>号</w:t>
      </w:r>
      <w:r>
        <w:rPr>
          <w:rFonts w:hint="eastAsia"/>
          <w:u w:val="single"/>
        </w:rPr>
        <w:t>）</w:t>
      </w:r>
      <w:r>
        <w:rPr>
          <w:u w:val="single"/>
        </w:rPr>
        <w:t>等一系列措施，将不断改善区域大气环境质量。</w:t>
      </w:r>
    </w:p>
    <w:p w14:paraId="1D3EBDD0">
      <w:pPr>
        <w:pStyle w:val="6"/>
        <w:ind w:left="0" w:firstLine="482" w:firstLineChars="200"/>
      </w:pPr>
      <w:r>
        <w:t>其他因子监测点位</w:t>
      </w:r>
      <w:bookmarkEnd w:id="238"/>
      <w:bookmarkEnd w:id="239"/>
      <w:r>
        <w:t>及监测因子</w:t>
      </w:r>
    </w:p>
    <w:p w14:paraId="1D3EBDD2">
      <w:pPr>
        <w:ind w:firstLine="480"/>
      </w:pPr>
      <w:bookmarkStart w:id="240" w:name="_Toc324839307"/>
      <w:bookmarkStart w:id="241" w:name="_Toc324839604"/>
      <w:r>
        <w:t>本次环境空气质量具体监测点位布设及监测因子情况见下表。</w:t>
      </w:r>
    </w:p>
    <w:p w14:paraId="1D3EBDD3">
      <w:pPr>
        <w:numPr>
          <w:ilvl w:val="0"/>
          <w:numId w:val="23"/>
        </w:numPr>
        <w:adjustRightInd/>
        <w:snapToGrid/>
        <w:ind w:firstLineChars="0"/>
        <w:textAlignment w:val="auto"/>
        <w:rPr>
          <w:rFonts w:eastAsia="黑体"/>
        </w:rPr>
      </w:pPr>
      <w:r>
        <w:rPr>
          <w:rFonts w:eastAsia="黑体"/>
        </w:rPr>
        <w:t xml:space="preserve">          环境空气监测布点及监测因子一览表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69"/>
        <w:gridCol w:w="1324"/>
        <w:gridCol w:w="859"/>
        <w:gridCol w:w="1859"/>
        <w:gridCol w:w="3657"/>
      </w:tblGrid>
      <w:tr w14:paraId="1D3EB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0" w:type="pct"/>
            <w:vAlign w:val="center"/>
          </w:tcPr>
          <w:p w14:paraId="1D3EBDD4">
            <w:pPr>
              <w:pStyle w:val="67"/>
              <w:rPr>
                <w:rFonts w:cs="Times New Roman"/>
                <w:color w:val="auto"/>
              </w:rPr>
            </w:pPr>
            <w:r>
              <w:rPr>
                <w:rFonts w:cs="Times New Roman"/>
                <w:color w:val="auto"/>
              </w:rPr>
              <w:t>编号</w:t>
            </w:r>
          </w:p>
        </w:tc>
        <w:tc>
          <w:tcPr>
            <w:tcW w:w="791" w:type="pct"/>
            <w:vAlign w:val="center"/>
          </w:tcPr>
          <w:p w14:paraId="1D3EBDD5">
            <w:pPr>
              <w:pStyle w:val="67"/>
              <w:rPr>
                <w:rFonts w:cs="Times New Roman"/>
                <w:color w:val="auto"/>
              </w:rPr>
            </w:pPr>
            <w:r>
              <w:rPr>
                <w:rFonts w:cs="Times New Roman"/>
                <w:color w:val="auto"/>
              </w:rPr>
              <w:t>监测点名称</w:t>
            </w:r>
          </w:p>
        </w:tc>
        <w:tc>
          <w:tcPr>
            <w:tcW w:w="513" w:type="pct"/>
            <w:vAlign w:val="center"/>
          </w:tcPr>
          <w:p w14:paraId="1D3EBDD6">
            <w:pPr>
              <w:pStyle w:val="67"/>
              <w:rPr>
                <w:rFonts w:cs="Times New Roman"/>
                <w:color w:val="auto"/>
              </w:rPr>
            </w:pPr>
            <w:r>
              <w:rPr>
                <w:rFonts w:cs="Times New Roman"/>
                <w:color w:val="auto"/>
              </w:rPr>
              <w:t>方位</w:t>
            </w:r>
          </w:p>
        </w:tc>
        <w:tc>
          <w:tcPr>
            <w:tcW w:w="1111" w:type="pct"/>
            <w:vAlign w:val="center"/>
          </w:tcPr>
          <w:p w14:paraId="1D3EBDD7">
            <w:pPr>
              <w:pStyle w:val="67"/>
              <w:rPr>
                <w:rFonts w:cs="Times New Roman"/>
                <w:color w:val="auto"/>
              </w:rPr>
            </w:pPr>
            <w:r>
              <w:rPr>
                <w:rFonts w:cs="Times New Roman"/>
                <w:color w:val="auto"/>
              </w:rPr>
              <w:t>距厂界距离（m）</w:t>
            </w:r>
          </w:p>
        </w:tc>
        <w:tc>
          <w:tcPr>
            <w:tcW w:w="2185" w:type="pct"/>
            <w:vAlign w:val="center"/>
          </w:tcPr>
          <w:p w14:paraId="1D3EBDD8">
            <w:pPr>
              <w:pStyle w:val="67"/>
              <w:rPr>
                <w:rFonts w:cs="Times New Roman"/>
                <w:color w:val="auto"/>
                <w:highlight w:val="yellow"/>
              </w:rPr>
            </w:pPr>
            <w:r>
              <w:rPr>
                <w:rFonts w:cs="Times New Roman"/>
                <w:color w:val="auto"/>
              </w:rPr>
              <w:t>监测因子</w:t>
            </w:r>
          </w:p>
        </w:tc>
      </w:tr>
      <w:tr w14:paraId="1D3EB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0" w:type="pct"/>
            <w:vAlign w:val="center"/>
          </w:tcPr>
          <w:p w14:paraId="1D3EBDDA">
            <w:pPr>
              <w:pStyle w:val="62"/>
            </w:pPr>
            <w:r>
              <w:t>1#</w:t>
            </w:r>
          </w:p>
        </w:tc>
        <w:tc>
          <w:tcPr>
            <w:tcW w:w="791" w:type="pct"/>
            <w:vAlign w:val="center"/>
          </w:tcPr>
          <w:p w14:paraId="1D3EBDDB">
            <w:pPr>
              <w:pStyle w:val="62"/>
              <w:rPr>
                <w:iCs/>
              </w:rPr>
            </w:pPr>
            <w:r>
              <w:rPr>
                <w:kern w:val="2"/>
                <w:szCs w:val="24"/>
              </w:rPr>
              <w:t>厂区</w:t>
            </w:r>
          </w:p>
        </w:tc>
        <w:tc>
          <w:tcPr>
            <w:tcW w:w="513" w:type="pct"/>
            <w:vAlign w:val="center"/>
          </w:tcPr>
          <w:p w14:paraId="1D3EBDDC">
            <w:pPr>
              <w:pStyle w:val="62"/>
              <w:rPr>
                <w:iCs/>
              </w:rPr>
            </w:pPr>
            <w:r>
              <w:rPr>
                <w:kern w:val="2"/>
                <w:szCs w:val="24"/>
              </w:rPr>
              <w:t>/</w:t>
            </w:r>
          </w:p>
        </w:tc>
        <w:tc>
          <w:tcPr>
            <w:tcW w:w="1111" w:type="pct"/>
            <w:vAlign w:val="center"/>
          </w:tcPr>
          <w:p w14:paraId="1D3EBDDD">
            <w:pPr>
              <w:pStyle w:val="62"/>
              <w:rPr>
                <w:iCs/>
              </w:rPr>
            </w:pPr>
            <w:r>
              <w:rPr>
                <w:kern w:val="2"/>
                <w:szCs w:val="24"/>
              </w:rPr>
              <w:t>/</w:t>
            </w:r>
          </w:p>
        </w:tc>
        <w:tc>
          <w:tcPr>
            <w:tcW w:w="2185" w:type="pct"/>
            <w:vMerge w:val="restart"/>
            <w:vAlign w:val="center"/>
          </w:tcPr>
          <w:p w14:paraId="1D3EBDDE">
            <w:pPr>
              <w:pStyle w:val="62"/>
              <w:rPr>
                <w:iCs/>
                <w:highlight w:val="yellow"/>
              </w:rPr>
            </w:pPr>
            <w:r>
              <w:rPr>
                <w:rFonts w:hint="eastAsia"/>
                <w:iCs/>
              </w:rPr>
              <w:t>硫酸、TVOC、氨、硫化氢、臭气浓度、非甲烷总烃</w:t>
            </w:r>
          </w:p>
        </w:tc>
      </w:tr>
      <w:tr w14:paraId="1D3EB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0" w:type="pct"/>
            <w:vAlign w:val="center"/>
          </w:tcPr>
          <w:p w14:paraId="1D3EBDE0">
            <w:pPr>
              <w:pStyle w:val="62"/>
              <w:rPr>
                <w:highlight w:val="yellow"/>
              </w:rPr>
            </w:pPr>
            <w:r>
              <w:t>2#</w:t>
            </w:r>
          </w:p>
        </w:tc>
        <w:tc>
          <w:tcPr>
            <w:tcW w:w="791" w:type="pct"/>
            <w:vAlign w:val="center"/>
          </w:tcPr>
          <w:p w14:paraId="1D3EBDE1">
            <w:pPr>
              <w:pStyle w:val="62"/>
              <w:rPr>
                <w:iCs/>
                <w:highlight w:val="yellow"/>
              </w:rPr>
            </w:pPr>
            <w:r>
              <w:rPr>
                <w:rFonts w:hint="eastAsia"/>
                <w:szCs w:val="24"/>
              </w:rPr>
              <w:t>仁里屯村</w:t>
            </w:r>
          </w:p>
        </w:tc>
        <w:tc>
          <w:tcPr>
            <w:tcW w:w="513" w:type="pct"/>
            <w:vAlign w:val="center"/>
          </w:tcPr>
          <w:p w14:paraId="1D3EBDE2">
            <w:pPr>
              <w:pStyle w:val="62"/>
              <w:rPr>
                <w:iCs/>
              </w:rPr>
            </w:pPr>
            <w:r>
              <w:rPr>
                <w:szCs w:val="24"/>
              </w:rPr>
              <w:t>西南</w:t>
            </w:r>
          </w:p>
        </w:tc>
        <w:tc>
          <w:tcPr>
            <w:tcW w:w="1111" w:type="pct"/>
            <w:vAlign w:val="center"/>
          </w:tcPr>
          <w:p w14:paraId="1D3EBDE3">
            <w:pPr>
              <w:pStyle w:val="62"/>
              <w:rPr>
                <w:iCs/>
              </w:rPr>
            </w:pPr>
            <w:r>
              <w:rPr>
                <w:rFonts w:hint="eastAsia"/>
                <w:kern w:val="2"/>
                <w:szCs w:val="24"/>
              </w:rPr>
              <w:t>640</w:t>
            </w:r>
          </w:p>
        </w:tc>
        <w:tc>
          <w:tcPr>
            <w:tcW w:w="2185" w:type="pct"/>
            <w:vMerge w:val="continue"/>
            <w:vAlign w:val="center"/>
          </w:tcPr>
          <w:p w14:paraId="1D3EBDE4">
            <w:pPr>
              <w:pStyle w:val="62"/>
              <w:rPr>
                <w:iCs/>
                <w:highlight w:val="yellow"/>
              </w:rPr>
            </w:pPr>
          </w:p>
        </w:tc>
      </w:tr>
    </w:tbl>
    <w:p w14:paraId="1D3EBDEE">
      <w:pPr>
        <w:pStyle w:val="6"/>
        <w:ind w:left="0" w:firstLine="482" w:firstLineChars="200"/>
      </w:pPr>
      <w:r>
        <w:t>监测时间和频率</w:t>
      </w:r>
    </w:p>
    <w:p w14:paraId="1D3EBDEF">
      <w:pPr>
        <w:ind w:firstLine="480"/>
      </w:pPr>
      <w:r>
        <w:t>监测因子及频率见下表。</w:t>
      </w:r>
    </w:p>
    <w:p w14:paraId="1D3EBDF0">
      <w:pPr>
        <w:numPr>
          <w:ilvl w:val="0"/>
          <w:numId w:val="23"/>
        </w:numPr>
        <w:adjustRightInd/>
        <w:snapToGrid/>
        <w:ind w:firstLineChars="0"/>
        <w:textAlignment w:val="auto"/>
        <w:rPr>
          <w:rFonts w:eastAsia="黑体"/>
        </w:rPr>
      </w:pPr>
      <w:r>
        <w:rPr>
          <w:rFonts w:eastAsia="黑体"/>
        </w:rPr>
        <w:t xml:space="preserve">               监测因子及频率一览表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1312"/>
        <w:gridCol w:w="5332"/>
      </w:tblGrid>
      <w:tr w14:paraId="1D3EB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05" w:type="pct"/>
            <w:vAlign w:val="center"/>
          </w:tcPr>
          <w:p w14:paraId="1D3EBDF1">
            <w:pPr>
              <w:pStyle w:val="67"/>
              <w:rPr>
                <w:rFonts w:cs="Times New Roman"/>
                <w:color w:val="auto"/>
              </w:rPr>
            </w:pPr>
            <w:r>
              <w:rPr>
                <w:rFonts w:cs="Times New Roman"/>
                <w:color w:val="auto"/>
              </w:rPr>
              <w:t>监测因子</w:t>
            </w:r>
          </w:p>
        </w:tc>
        <w:tc>
          <w:tcPr>
            <w:tcW w:w="769" w:type="pct"/>
            <w:vAlign w:val="center"/>
          </w:tcPr>
          <w:p w14:paraId="1D3EBDF2">
            <w:pPr>
              <w:pStyle w:val="67"/>
              <w:rPr>
                <w:rFonts w:cs="Times New Roman"/>
                <w:color w:val="auto"/>
              </w:rPr>
            </w:pPr>
            <w:r>
              <w:rPr>
                <w:rFonts w:cs="Times New Roman"/>
                <w:color w:val="auto"/>
              </w:rPr>
              <w:t>监测项目</w:t>
            </w:r>
          </w:p>
        </w:tc>
        <w:tc>
          <w:tcPr>
            <w:tcW w:w="3126" w:type="pct"/>
            <w:vAlign w:val="center"/>
          </w:tcPr>
          <w:p w14:paraId="1D3EBDF3">
            <w:pPr>
              <w:pStyle w:val="67"/>
              <w:rPr>
                <w:rFonts w:cs="Times New Roman"/>
                <w:color w:val="auto"/>
              </w:rPr>
            </w:pPr>
            <w:r>
              <w:rPr>
                <w:rFonts w:cs="Times New Roman"/>
                <w:color w:val="auto"/>
              </w:rPr>
              <w:t>监测频率</w:t>
            </w:r>
          </w:p>
        </w:tc>
      </w:tr>
      <w:tr w14:paraId="1D3EB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5" w:type="pct"/>
            <w:vAlign w:val="center"/>
          </w:tcPr>
          <w:p w14:paraId="1D3EBDF5">
            <w:pPr>
              <w:tabs>
                <w:tab w:val="center" w:pos="4153"/>
                <w:tab w:val="right" w:pos="8306"/>
              </w:tabs>
              <w:autoSpaceDE w:val="0"/>
              <w:autoSpaceDN w:val="0"/>
              <w:snapToGrid/>
              <w:spacing w:line="240" w:lineRule="auto"/>
              <w:ind w:firstLine="0" w:firstLineChars="0"/>
              <w:jc w:val="center"/>
              <w:textAlignment w:val="auto"/>
              <w:rPr>
                <w:sz w:val="22"/>
                <w:szCs w:val="22"/>
                <w:lang w:val="zh-CN"/>
              </w:rPr>
            </w:pPr>
            <w:r>
              <w:rPr>
                <w:rFonts w:hint="eastAsia"/>
                <w:sz w:val="22"/>
                <w:szCs w:val="22"/>
                <w:lang w:val="zh-CN"/>
              </w:rPr>
              <w:t>非甲烷总烃、氨、硫化氢、臭气浓度</w:t>
            </w:r>
          </w:p>
        </w:tc>
        <w:tc>
          <w:tcPr>
            <w:tcW w:w="769" w:type="pct"/>
            <w:vAlign w:val="center"/>
          </w:tcPr>
          <w:p w14:paraId="1D3EBDF6">
            <w:pPr>
              <w:tabs>
                <w:tab w:val="center" w:pos="4153"/>
                <w:tab w:val="right" w:pos="8306"/>
              </w:tabs>
              <w:autoSpaceDE w:val="0"/>
              <w:autoSpaceDN w:val="0"/>
              <w:snapToGrid/>
              <w:spacing w:line="240" w:lineRule="auto"/>
              <w:ind w:firstLine="0" w:firstLineChars="0"/>
              <w:jc w:val="center"/>
              <w:textAlignment w:val="auto"/>
              <w:rPr>
                <w:sz w:val="22"/>
                <w:szCs w:val="22"/>
                <w:lang w:val="zh-CN"/>
              </w:rPr>
            </w:pPr>
            <w:r>
              <w:rPr>
                <w:kern w:val="2"/>
                <w:sz w:val="21"/>
                <w:szCs w:val="24"/>
              </w:rPr>
              <w:t>1h浓度值</w:t>
            </w:r>
          </w:p>
        </w:tc>
        <w:tc>
          <w:tcPr>
            <w:tcW w:w="3126" w:type="pct"/>
            <w:vAlign w:val="center"/>
          </w:tcPr>
          <w:p w14:paraId="1D3EBDF7">
            <w:pPr>
              <w:tabs>
                <w:tab w:val="center" w:pos="4153"/>
                <w:tab w:val="right" w:pos="8306"/>
              </w:tabs>
              <w:autoSpaceDE w:val="0"/>
              <w:autoSpaceDN w:val="0"/>
              <w:snapToGrid/>
              <w:spacing w:line="240" w:lineRule="auto"/>
              <w:ind w:firstLine="0" w:firstLineChars="0"/>
              <w:jc w:val="center"/>
              <w:textAlignment w:val="auto"/>
              <w:rPr>
                <w:sz w:val="22"/>
                <w:szCs w:val="22"/>
                <w:lang w:val="zh-CN"/>
              </w:rPr>
            </w:pPr>
            <w:r>
              <w:rPr>
                <w:kern w:val="2"/>
                <w:sz w:val="21"/>
                <w:szCs w:val="24"/>
              </w:rPr>
              <w:t>连续监测7天，每天02、08、14、20时采样4次，每次采样时间不少于45min，取每次监测时段的1h浓度值</w:t>
            </w:r>
          </w:p>
        </w:tc>
      </w:tr>
      <w:tr w14:paraId="1D3EB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5" w:type="pct"/>
            <w:vAlign w:val="center"/>
          </w:tcPr>
          <w:p w14:paraId="1D3EBE1D">
            <w:pPr>
              <w:tabs>
                <w:tab w:val="center" w:pos="4153"/>
                <w:tab w:val="right" w:pos="8306"/>
              </w:tabs>
              <w:autoSpaceDE w:val="0"/>
              <w:autoSpaceDN w:val="0"/>
              <w:snapToGrid/>
              <w:spacing w:line="240" w:lineRule="auto"/>
              <w:ind w:firstLine="0" w:firstLineChars="0"/>
              <w:jc w:val="center"/>
              <w:textAlignment w:val="auto"/>
              <w:rPr>
                <w:kern w:val="2"/>
                <w:sz w:val="21"/>
                <w:szCs w:val="24"/>
              </w:rPr>
            </w:pPr>
            <w:r>
              <w:rPr>
                <w:rFonts w:hint="eastAsia"/>
                <w:kern w:val="2"/>
                <w:sz w:val="21"/>
                <w:szCs w:val="24"/>
              </w:rPr>
              <w:t>TVOC</w:t>
            </w:r>
          </w:p>
        </w:tc>
        <w:tc>
          <w:tcPr>
            <w:tcW w:w="769" w:type="pct"/>
            <w:vAlign w:val="center"/>
          </w:tcPr>
          <w:p w14:paraId="1D3EBE1E">
            <w:pPr>
              <w:tabs>
                <w:tab w:val="center" w:pos="4153"/>
                <w:tab w:val="right" w:pos="8306"/>
              </w:tabs>
              <w:autoSpaceDE w:val="0"/>
              <w:autoSpaceDN w:val="0"/>
              <w:snapToGrid/>
              <w:spacing w:line="240" w:lineRule="auto"/>
              <w:ind w:firstLine="0" w:firstLineChars="0"/>
              <w:jc w:val="center"/>
              <w:textAlignment w:val="auto"/>
              <w:rPr>
                <w:kern w:val="2"/>
                <w:sz w:val="21"/>
                <w:szCs w:val="24"/>
              </w:rPr>
            </w:pPr>
            <w:r>
              <w:rPr>
                <w:rFonts w:hint="eastAsia"/>
                <w:kern w:val="2"/>
                <w:sz w:val="21"/>
                <w:szCs w:val="24"/>
              </w:rPr>
              <w:t>8</w:t>
            </w:r>
            <w:r>
              <w:rPr>
                <w:kern w:val="2"/>
                <w:sz w:val="21"/>
                <w:szCs w:val="24"/>
              </w:rPr>
              <w:t>h</w:t>
            </w:r>
            <w:r>
              <w:rPr>
                <w:rFonts w:hint="eastAsia"/>
                <w:kern w:val="2"/>
                <w:sz w:val="21"/>
                <w:szCs w:val="24"/>
              </w:rPr>
              <w:t>平均</w:t>
            </w:r>
            <w:r>
              <w:rPr>
                <w:kern w:val="2"/>
                <w:sz w:val="21"/>
                <w:szCs w:val="24"/>
              </w:rPr>
              <w:t>值</w:t>
            </w:r>
          </w:p>
        </w:tc>
        <w:tc>
          <w:tcPr>
            <w:tcW w:w="3126" w:type="pct"/>
            <w:vAlign w:val="center"/>
          </w:tcPr>
          <w:p w14:paraId="1D3EBE1F">
            <w:pPr>
              <w:tabs>
                <w:tab w:val="center" w:pos="4153"/>
                <w:tab w:val="right" w:pos="8306"/>
              </w:tabs>
              <w:autoSpaceDE w:val="0"/>
              <w:autoSpaceDN w:val="0"/>
              <w:snapToGrid/>
              <w:spacing w:line="240" w:lineRule="auto"/>
              <w:ind w:firstLine="0" w:firstLineChars="0"/>
              <w:jc w:val="center"/>
              <w:textAlignment w:val="auto"/>
              <w:rPr>
                <w:kern w:val="2"/>
                <w:sz w:val="21"/>
                <w:szCs w:val="24"/>
                <w:highlight w:val="yellow"/>
              </w:rPr>
            </w:pPr>
            <w:r>
              <w:rPr>
                <w:rFonts w:hint="eastAsia"/>
                <w:kern w:val="2"/>
                <w:sz w:val="21"/>
                <w:szCs w:val="24"/>
              </w:rPr>
              <w:t>连续监测7天，每8小时至少6小时平均浓度值</w:t>
            </w:r>
          </w:p>
        </w:tc>
      </w:tr>
      <w:tr w14:paraId="66F4A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5" w:type="pct"/>
            <w:vAlign w:val="center"/>
          </w:tcPr>
          <w:p w14:paraId="0E788B81">
            <w:pPr>
              <w:tabs>
                <w:tab w:val="center" w:pos="4153"/>
                <w:tab w:val="right" w:pos="8306"/>
              </w:tabs>
              <w:autoSpaceDE w:val="0"/>
              <w:autoSpaceDN w:val="0"/>
              <w:snapToGrid/>
              <w:spacing w:line="240" w:lineRule="auto"/>
              <w:ind w:firstLine="0" w:firstLineChars="0"/>
              <w:jc w:val="center"/>
              <w:textAlignment w:val="auto"/>
              <w:rPr>
                <w:kern w:val="2"/>
                <w:sz w:val="21"/>
                <w:szCs w:val="24"/>
              </w:rPr>
            </w:pPr>
            <w:r>
              <w:rPr>
                <w:rFonts w:hint="eastAsia"/>
                <w:sz w:val="22"/>
                <w:szCs w:val="22"/>
                <w:lang w:val="zh-CN"/>
              </w:rPr>
              <w:t>硫酸雾</w:t>
            </w:r>
          </w:p>
        </w:tc>
        <w:tc>
          <w:tcPr>
            <w:tcW w:w="769" w:type="pct"/>
            <w:vAlign w:val="center"/>
          </w:tcPr>
          <w:p w14:paraId="418C94AD">
            <w:pPr>
              <w:tabs>
                <w:tab w:val="center" w:pos="4153"/>
                <w:tab w:val="right" w:pos="8306"/>
              </w:tabs>
              <w:autoSpaceDE w:val="0"/>
              <w:autoSpaceDN w:val="0"/>
              <w:snapToGrid/>
              <w:spacing w:line="240" w:lineRule="auto"/>
              <w:ind w:firstLine="0" w:firstLineChars="0"/>
              <w:jc w:val="center"/>
              <w:textAlignment w:val="auto"/>
              <w:rPr>
                <w:kern w:val="2"/>
                <w:sz w:val="21"/>
                <w:szCs w:val="24"/>
              </w:rPr>
            </w:pPr>
            <w:r>
              <w:rPr>
                <w:kern w:val="2"/>
                <w:sz w:val="21"/>
                <w:szCs w:val="24"/>
              </w:rPr>
              <w:t>24h浓度值</w:t>
            </w:r>
          </w:p>
        </w:tc>
        <w:tc>
          <w:tcPr>
            <w:tcW w:w="3126" w:type="pct"/>
            <w:vAlign w:val="center"/>
          </w:tcPr>
          <w:p w14:paraId="49308F42">
            <w:pPr>
              <w:tabs>
                <w:tab w:val="center" w:pos="4153"/>
                <w:tab w:val="right" w:pos="8306"/>
              </w:tabs>
              <w:autoSpaceDE w:val="0"/>
              <w:autoSpaceDN w:val="0"/>
              <w:snapToGrid/>
              <w:spacing w:line="240" w:lineRule="auto"/>
              <w:ind w:firstLine="0" w:firstLineChars="0"/>
              <w:jc w:val="center"/>
              <w:textAlignment w:val="auto"/>
              <w:rPr>
                <w:kern w:val="2"/>
                <w:sz w:val="21"/>
                <w:szCs w:val="24"/>
              </w:rPr>
            </w:pPr>
            <w:r>
              <w:rPr>
                <w:kern w:val="2"/>
                <w:sz w:val="21"/>
                <w:szCs w:val="24"/>
              </w:rPr>
              <w:t>连续监测7天，每天24h</w:t>
            </w:r>
          </w:p>
        </w:tc>
      </w:tr>
    </w:tbl>
    <w:p w14:paraId="1D3EBE26">
      <w:pPr>
        <w:pStyle w:val="6"/>
        <w:ind w:left="0" w:firstLine="482" w:firstLineChars="200"/>
      </w:pPr>
      <w:r>
        <w:t>监测分析方法</w:t>
      </w:r>
    </w:p>
    <w:p w14:paraId="1D3EBE27">
      <w:pPr>
        <w:ind w:firstLine="480"/>
      </w:pPr>
      <w:r>
        <w:t>环境空气监测中的采样点、采样环境、采样高度及采样频率的要求，按《环境监测技术规范》（大气部分）和《空气和废气监测分析方法》执行。各项监测因子分析方法见下表。</w:t>
      </w:r>
    </w:p>
    <w:p w14:paraId="1D3EBE28">
      <w:pPr>
        <w:numPr>
          <w:ilvl w:val="0"/>
          <w:numId w:val="23"/>
        </w:numPr>
        <w:adjustRightInd/>
        <w:snapToGrid/>
        <w:ind w:firstLineChars="0"/>
        <w:textAlignment w:val="auto"/>
        <w:rPr>
          <w:rFonts w:eastAsia="黑体"/>
        </w:rPr>
      </w:pPr>
      <w:r>
        <w:rPr>
          <w:rFonts w:eastAsia="黑体"/>
        </w:rPr>
        <w:t xml:space="preserve">           环境空气监测分析方法一览表</w:t>
      </w:r>
    </w:p>
    <w:tbl>
      <w:tblPr>
        <w:tblStyle w:val="4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735"/>
        <w:gridCol w:w="2443"/>
        <w:gridCol w:w="2620"/>
        <w:gridCol w:w="1570"/>
      </w:tblGrid>
      <w:tr w14:paraId="1D3EB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9" w:type="dxa"/>
            <w:vAlign w:val="center"/>
          </w:tcPr>
          <w:p w14:paraId="1D3EBE2A">
            <w:pPr>
              <w:pStyle w:val="67"/>
              <w:rPr>
                <w:rFonts w:cs="Times New Roman"/>
                <w:color w:val="auto"/>
              </w:rPr>
            </w:pPr>
            <w:r>
              <w:rPr>
                <w:rFonts w:cs="Times New Roman"/>
                <w:color w:val="auto"/>
              </w:rPr>
              <w:t>检测因子</w:t>
            </w:r>
          </w:p>
        </w:tc>
        <w:tc>
          <w:tcPr>
            <w:tcW w:w="2421" w:type="dxa"/>
            <w:vAlign w:val="center"/>
          </w:tcPr>
          <w:p w14:paraId="1D3EBE2B">
            <w:pPr>
              <w:pStyle w:val="67"/>
              <w:rPr>
                <w:rFonts w:cs="Times New Roman"/>
                <w:color w:val="auto"/>
              </w:rPr>
            </w:pPr>
            <w:r>
              <w:rPr>
                <w:rFonts w:cs="Times New Roman"/>
                <w:color w:val="auto"/>
              </w:rPr>
              <w:t>检测方法及编号</w:t>
            </w:r>
          </w:p>
        </w:tc>
        <w:tc>
          <w:tcPr>
            <w:tcW w:w="2596" w:type="dxa"/>
            <w:vAlign w:val="center"/>
          </w:tcPr>
          <w:p w14:paraId="1D3EBE2C">
            <w:pPr>
              <w:pStyle w:val="67"/>
              <w:rPr>
                <w:rFonts w:cs="Times New Roman"/>
                <w:color w:val="auto"/>
              </w:rPr>
            </w:pPr>
            <w:r>
              <w:rPr>
                <w:rFonts w:cs="Times New Roman"/>
                <w:color w:val="auto"/>
              </w:rPr>
              <w:t>检测仪器及型号/编号</w:t>
            </w:r>
          </w:p>
        </w:tc>
        <w:tc>
          <w:tcPr>
            <w:tcW w:w="1556" w:type="dxa"/>
            <w:vAlign w:val="center"/>
          </w:tcPr>
          <w:p w14:paraId="1D3EBE2D">
            <w:pPr>
              <w:pStyle w:val="67"/>
              <w:rPr>
                <w:rFonts w:cs="Times New Roman"/>
                <w:color w:val="auto"/>
              </w:rPr>
            </w:pPr>
            <w:r>
              <w:rPr>
                <w:rFonts w:cs="Times New Roman"/>
                <w:color w:val="auto"/>
              </w:rPr>
              <w:t>检出限</w:t>
            </w:r>
          </w:p>
        </w:tc>
      </w:tr>
      <w:tr w14:paraId="1D3EB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9" w:type="dxa"/>
            <w:vAlign w:val="center"/>
          </w:tcPr>
          <w:p w14:paraId="1D3EBE30">
            <w:pPr>
              <w:pStyle w:val="67"/>
              <w:rPr>
                <w:rFonts w:cs="Times New Roman"/>
                <w:b w:val="0"/>
                <w:bCs/>
                <w:color w:val="auto"/>
                <w:highlight w:val="yellow"/>
              </w:rPr>
            </w:pPr>
            <w:r>
              <w:rPr>
                <w:rFonts w:hint="eastAsia" w:cs="Times New Roman"/>
                <w:b w:val="0"/>
                <w:bCs/>
                <w:color w:val="auto"/>
              </w:rPr>
              <w:t>硫酸雾</w:t>
            </w:r>
          </w:p>
        </w:tc>
        <w:tc>
          <w:tcPr>
            <w:tcW w:w="2421" w:type="dxa"/>
            <w:vAlign w:val="center"/>
          </w:tcPr>
          <w:p w14:paraId="1D3EBE31">
            <w:pPr>
              <w:pStyle w:val="67"/>
              <w:rPr>
                <w:rFonts w:cs="Times New Roman"/>
                <w:b w:val="0"/>
                <w:bCs/>
                <w:color w:val="auto"/>
                <w:highlight w:val="yellow"/>
              </w:rPr>
            </w:pPr>
            <w:r>
              <w:rPr>
                <w:rFonts w:hint="eastAsia" w:cs="Times New Roman"/>
                <w:b w:val="0"/>
                <w:bCs/>
                <w:color w:val="auto"/>
              </w:rPr>
              <w:t>固定污染源废气 硫酸雾的测定离子色谱法 HJ544-2016</w:t>
            </w:r>
          </w:p>
        </w:tc>
        <w:tc>
          <w:tcPr>
            <w:tcW w:w="2596" w:type="dxa"/>
            <w:vAlign w:val="center"/>
          </w:tcPr>
          <w:p w14:paraId="451E22EB">
            <w:pPr>
              <w:pStyle w:val="67"/>
              <w:rPr>
                <w:rFonts w:cs="Times New Roman"/>
                <w:b w:val="0"/>
                <w:bCs/>
                <w:color w:val="auto"/>
              </w:rPr>
            </w:pPr>
            <w:r>
              <w:rPr>
                <w:rFonts w:hint="eastAsia" w:cs="Times New Roman"/>
                <w:b w:val="0"/>
                <w:bCs/>
                <w:color w:val="auto"/>
              </w:rPr>
              <w:t>离子色谱仪</w:t>
            </w:r>
          </w:p>
          <w:p w14:paraId="1D3EBE33">
            <w:pPr>
              <w:pStyle w:val="67"/>
              <w:rPr>
                <w:rFonts w:cs="Times New Roman"/>
                <w:b w:val="0"/>
                <w:bCs/>
                <w:color w:val="auto"/>
                <w:highlight w:val="yellow"/>
              </w:rPr>
            </w:pPr>
            <w:r>
              <w:rPr>
                <w:rFonts w:cs="Times New Roman"/>
                <w:b w:val="0"/>
                <w:bCs/>
                <w:color w:val="auto"/>
              </w:rPr>
              <w:t>iCR900</w:t>
            </w:r>
          </w:p>
        </w:tc>
        <w:tc>
          <w:tcPr>
            <w:tcW w:w="1556" w:type="dxa"/>
            <w:vAlign w:val="center"/>
          </w:tcPr>
          <w:p w14:paraId="1D3EBE34">
            <w:pPr>
              <w:pStyle w:val="67"/>
              <w:rPr>
                <w:rFonts w:cs="Times New Roman"/>
                <w:b w:val="0"/>
                <w:bCs/>
                <w:color w:val="auto"/>
                <w:highlight w:val="yellow"/>
              </w:rPr>
            </w:pPr>
            <w:r>
              <w:rPr>
                <w:rFonts w:cs="Times New Roman"/>
                <w:b w:val="0"/>
                <w:bCs/>
                <w:color w:val="auto"/>
              </w:rPr>
              <w:t>0.0</w:t>
            </w:r>
            <w:r>
              <w:rPr>
                <w:rFonts w:hint="eastAsia" w:cs="Times New Roman"/>
                <w:b w:val="0"/>
                <w:bCs/>
                <w:color w:val="auto"/>
              </w:rPr>
              <w:t>5</w:t>
            </w:r>
            <w:r>
              <w:rPr>
                <w:rFonts w:cs="Times New Roman"/>
                <w:b w:val="0"/>
                <w:bCs/>
                <w:color w:val="auto"/>
              </w:rPr>
              <w:t>mg/m</w:t>
            </w:r>
            <w:r>
              <w:rPr>
                <w:rFonts w:cs="Times New Roman"/>
                <w:b w:val="0"/>
                <w:bCs/>
                <w:color w:val="auto"/>
                <w:vertAlign w:val="superscript"/>
              </w:rPr>
              <w:t>3</w:t>
            </w:r>
          </w:p>
        </w:tc>
      </w:tr>
      <w:tr w14:paraId="77DF1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9" w:type="dxa"/>
            <w:vAlign w:val="center"/>
          </w:tcPr>
          <w:p w14:paraId="409E3C5F">
            <w:pPr>
              <w:pStyle w:val="67"/>
              <w:rPr>
                <w:rFonts w:cs="Times New Roman"/>
                <w:b w:val="0"/>
                <w:bCs/>
                <w:color w:val="auto"/>
              </w:rPr>
            </w:pPr>
            <w:r>
              <w:rPr>
                <w:rFonts w:hint="eastAsia" w:cs="Times New Roman"/>
                <w:b w:val="0"/>
                <w:bCs/>
                <w:color w:val="auto"/>
              </w:rPr>
              <w:t>氨气</w:t>
            </w:r>
          </w:p>
        </w:tc>
        <w:tc>
          <w:tcPr>
            <w:tcW w:w="2421" w:type="dxa"/>
            <w:vAlign w:val="center"/>
          </w:tcPr>
          <w:p w14:paraId="117ED9F6">
            <w:pPr>
              <w:pStyle w:val="67"/>
              <w:rPr>
                <w:rFonts w:cs="Times New Roman"/>
                <w:b w:val="0"/>
                <w:bCs/>
                <w:color w:val="auto"/>
              </w:rPr>
            </w:pPr>
            <w:r>
              <w:rPr>
                <w:rFonts w:cs="Times New Roman"/>
                <w:b w:val="0"/>
                <w:bCs/>
                <w:color w:val="auto"/>
              </w:rPr>
              <w:t>环境空气和废气  氨的测定</w:t>
            </w:r>
            <w:r>
              <w:rPr>
                <w:rFonts w:hint="eastAsia" w:cs="Times New Roman"/>
                <w:b w:val="0"/>
                <w:bCs/>
                <w:color w:val="auto"/>
              </w:rPr>
              <w:t xml:space="preserve"> </w:t>
            </w:r>
            <w:r>
              <w:rPr>
                <w:rFonts w:cs="Times New Roman"/>
                <w:b w:val="0"/>
                <w:bCs/>
                <w:color w:val="auto"/>
              </w:rPr>
              <w:t>纳氏试剂分光光度法</w:t>
            </w:r>
            <w:r>
              <w:rPr>
                <w:rFonts w:hint="eastAsia" w:cs="Times New Roman"/>
                <w:b w:val="0"/>
                <w:bCs/>
                <w:color w:val="auto"/>
              </w:rPr>
              <w:t xml:space="preserve"> </w:t>
            </w:r>
            <w:r>
              <w:rPr>
                <w:rFonts w:cs="Times New Roman"/>
                <w:b w:val="0"/>
                <w:bCs/>
                <w:color w:val="auto"/>
              </w:rPr>
              <w:t xml:space="preserve"> HJ533-2009</w:t>
            </w:r>
          </w:p>
        </w:tc>
        <w:tc>
          <w:tcPr>
            <w:tcW w:w="2596" w:type="dxa"/>
            <w:vAlign w:val="center"/>
          </w:tcPr>
          <w:p w14:paraId="7F9390BF">
            <w:pPr>
              <w:pStyle w:val="67"/>
              <w:rPr>
                <w:rFonts w:cs="Times New Roman"/>
                <w:b w:val="0"/>
                <w:bCs/>
                <w:color w:val="auto"/>
              </w:rPr>
            </w:pPr>
            <w:r>
              <w:rPr>
                <w:rFonts w:cs="Times New Roman"/>
                <w:b w:val="0"/>
                <w:bCs/>
                <w:color w:val="auto"/>
              </w:rPr>
              <w:t>可见分光光度计</w:t>
            </w:r>
          </w:p>
          <w:p w14:paraId="4A7C76DA">
            <w:pPr>
              <w:pStyle w:val="67"/>
              <w:rPr>
                <w:rFonts w:cs="Times New Roman"/>
                <w:b w:val="0"/>
                <w:bCs/>
                <w:color w:val="auto"/>
              </w:rPr>
            </w:pPr>
            <w:r>
              <w:rPr>
                <w:rFonts w:hint="eastAsia" w:cs="Times New Roman"/>
                <w:b w:val="0"/>
                <w:bCs/>
                <w:color w:val="auto"/>
              </w:rPr>
              <w:t>上海佑科 721/3级</w:t>
            </w:r>
          </w:p>
        </w:tc>
        <w:tc>
          <w:tcPr>
            <w:tcW w:w="1556" w:type="dxa"/>
            <w:vAlign w:val="center"/>
          </w:tcPr>
          <w:p w14:paraId="23E863C9">
            <w:pPr>
              <w:pStyle w:val="67"/>
              <w:rPr>
                <w:rFonts w:cs="Times New Roman"/>
                <w:b w:val="0"/>
                <w:bCs/>
                <w:color w:val="auto"/>
              </w:rPr>
            </w:pPr>
            <w:r>
              <w:rPr>
                <w:rFonts w:cs="Times New Roman"/>
                <w:b w:val="0"/>
                <w:bCs/>
                <w:color w:val="auto"/>
              </w:rPr>
              <w:t>0.01mg/m</w:t>
            </w:r>
            <w:r>
              <w:rPr>
                <w:rFonts w:cs="Times New Roman"/>
                <w:b w:val="0"/>
                <w:bCs/>
                <w:color w:val="auto"/>
                <w:vertAlign w:val="superscript"/>
              </w:rPr>
              <w:t>3</w:t>
            </w:r>
          </w:p>
        </w:tc>
      </w:tr>
      <w:tr w14:paraId="75238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9" w:type="dxa"/>
            <w:vAlign w:val="center"/>
          </w:tcPr>
          <w:p w14:paraId="2080BDD5">
            <w:pPr>
              <w:pStyle w:val="67"/>
              <w:rPr>
                <w:rFonts w:cs="Times New Roman"/>
                <w:b w:val="0"/>
                <w:bCs/>
                <w:color w:val="auto"/>
              </w:rPr>
            </w:pPr>
            <w:r>
              <w:rPr>
                <w:rFonts w:hint="eastAsia" w:cs="Times New Roman"/>
                <w:b w:val="0"/>
                <w:bCs/>
                <w:color w:val="auto"/>
              </w:rPr>
              <w:t>硫化氢</w:t>
            </w:r>
          </w:p>
        </w:tc>
        <w:tc>
          <w:tcPr>
            <w:tcW w:w="2421" w:type="dxa"/>
            <w:vAlign w:val="center"/>
          </w:tcPr>
          <w:p w14:paraId="65BD15B6">
            <w:pPr>
              <w:pStyle w:val="67"/>
              <w:rPr>
                <w:rFonts w:cs="Times New Roman"/>
                <w:b w:val="0"/>
                <w:bCs/>
                <w:color w:val="auto"/>
              </w:rPr>
            </w:pPr>
            <w:r>
              <w:rPr>
                <w:rFonts w:cs="Times New Roman"/>
                <w:b w:val="0"/>
                <w:bCs/>
                <w:color w:val="auto"/>
              </w:rPr>
              <w:t>亚甲蓝分光光度法</w:t>
            </w:r>
          </w:p>
          <w:p w14:paraId="05FF5B7D">
            <w:pPr>
              <w:pStyle w:val="67"/>
              <w:rPr>
                <w:rFonts w:cs="Times New Roman"/>
                <w:b w:val="0"/>
                <w:bCs/>
                <w:color w:val="auto"/>
              </w:rPr>
            </w:pPr>
            <w:r>
              <w:rPr>
                <w:rFonts w:cs="Times New Roman"/>
                <w:b w:val="0"/>
                <w:bCs/>
                <w:color w:val="auto"/>
              </w:rPr>
              <w:t>《空气和废气监测分析方法》（第四版增补版）国家环保总局（2003年）</w:t>
            </w:r>
          </w:p>
        </w:tc>
        <w:tc>
          <w:tcPr>
            <w:tcW w:w="2596" w:type="dxa"/>
            <w:vAlign w:val="center"/>
          </w:tcPr>
          <w:p w14:paraId="16B90140">
            <w:pPr>
              <w:pStyle w:val="67"/>
              <w:rPr>
                <w:rFonts w:cs="Times New Roman"/>
                <w:b w:val="0"/>
                <w:bCs/>
                <w:color w:val="auto"/>
              </w:rPr>
            </w:pPr>
            <w:r>
              <w:rPr>
                <w:rFonts w:cs="Times New Roman"/>
                <w:b w:val="0"/>
                <w:bCs/>
                <w:color w:val="auto"/>
              </w:rPr>
              <w:t>可见分光光度计</w:t>
            </w:r>
          </w:p>
          <w:p w14:paraId="30658C59">
            <w:pPr>
              <w:pStyle w:val="67"/>
              <w:rPr>
                <w:rFonts w:cs="Times New Roman"/>
                <w:b w:val="0"/>
                <w:bCs/>
                <w:color w:val="auto"/>
              </w:rPr>
            </w:pPr>
            <w:r>
              <w:rPr>
                <w:rFonts w:hint="eastAsia" w:cs="Times New Roman"/>
                <w:b w:val="0"/>
                <w:bCs/>
                <w:color w:val="auto"/>
              </w:rPr>
              <w:t>上海佑科 721/3级</w:t>
            </w:r>
          </w:p>
        </w:tc>
        <w:tc>
          <w:tcPr>
            <w:tcW w:w="1556" w:type="dxa"/>
            <w:vAlign w:val="center"/>
          </w:tcPr>
          <w:p w14:paraId="42C6062D">
            <w:pPr>
              <w:pStyle w:val="67"/>
              <w:rPr>
                <w:rFonts w:cs="Times New Roman"/>
                <w:b w:val="0"/>
                <w:bCs/>
                <w:color w:val="auto"/>
              </w:rPr>
            </w:pPr>
            <w:r>
              <w:rPr>
                <w:rFonts w:cs="Times New Roman"/>
                <w:b w:val="0"/>
                <w:bCs/>
                <w:color w:val="auto"/>
              </w:rPr>
              <w:t>0.001mg/m</w:t>
            </w:r>
            <w:r>
              <w:rPr>
                <w:rFonts w:cs="Times New Roman"/>
                <w:b w:val="0"/>
                <w:bCs/>
                <w:color w:val="auto"/>
                <w:vertAlign w:val="superscript"/>
              </w:rPr>
              <w:t>3</w:t>
            </w:r>
          </w:p>
        </w:tc>
      </w:tr>
      <w:tr w14:paraId="015D8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9" w:type="dxa"/>
            <w:vAlign w:val="center"/>
          </w:tcPr>
          <w:p w14:paraId="6D5CA3B2">
            <w:pPr>
              <w:pStyle w:val="67"/>
              <w:rPr>
                <w:rFonts w:cs="Times New Roman"/>
                <w:b w:val="0"/>
                <w:bCs/>
                <w:color w:val="auto"/>
                <w:highlight w:val="yellow"/>
              </w:rPr>
            </w:pPr>
            <w:r>
              <w:rPr>
                <w:rFonts w:hint="eastAsia" w:cs="Times New Roman"/>
                <w:b w:val="0"/>
                <w:bCs/>
                <w:color w:val="auto"/>
              </w:rPr>
              <w:t>臭气浓度</w:t>
            </w:r>
          </w:p>
        </w:tc>
        <w:tc>
          <w:tcPr>
            <w:tcW w:w="2421" w:type="dxa"/>
            <w:vAlign w:val="center"/>
          </w:tcPr>
          <w:p w14:paraId="1600C380">
            <w:pPr>
              <w:pStyle w:val="67"/>
              <w:rPr>
                <w:rFonts w:cs="Times New Roman"/>
                <w:b w:val="0"/>
                <w:bCs/>
                <w:color w:val="auto"/>
                <w:highlight w:val="yellow"/>
              </w:rPr>
            </w:pPr>
            <w:r>
              <w:rPr>
                <w:rFonts w:hint="eastAsia" w:cs="Times New Roman"/>
                <w:b w:val="0"/>
                <w:bCs/>
                <w:color w:val="auto"/>
              </w:rPr>
              <w:t>环境空气和废气 臭气的测定 三点比较式臭袋法 HJ1262-2022</w:t>
            </w:r>
          </w:p>
        </w:tc>
        <w:tc>
          <w:tcPr>
            <w:tcW w:w="2596" w:type="dxa"/>
            <w:vAlign w:val="center"/>
          </w:tcPr>
          <w:p w14:paraId="3658C544">
            <w:pPr>
              <w:pStyle w:val="67"/>
              <w:rPr>
                <w:rFonts w:cs="Times New Roman"/>
                <w:b w:val="0"/>
                <w:bCs/>
                <w:color w:val="auto"/>
              </w:rPr>
            </w:pPr>
            <w:r>
              <w:rPr>
                <w:rFonts w:hint="eastAsia" w:cs="Times New Roman"/>
                <w:b w:val="0"/>
                <w:bCs/>
                <w:color w:val="auto"/>
              </w:rPr>
              <w:t>/</w:t>
            </w:r>
          </w:p>
        </w:tc>
        <w:tc>
          <w:tcPr>
            <w:tcW w:w="1556" w:type="dxa"/>
            <w:vAlign w:val="center"/>
          </w:tcPr>
          <w:p w14:paraId="06948B49">
            <w:pPr>
              <w:pStyle w:val="67"/>
              <w:rPr>
                <w:rFonts w:cs="Times New Roman"/>
                <w:b w:val="0"/>
                <w:bCs/>
                <w:color w:val="auto"/>
              </w:rPr>
            </w:pPr>
            <w:r>
              <w:rPr>
                <w:rFonts w:hint="eastAsia" w:cs="Times New Roman"/>
                <w:b w:val="0"/>
                <w:bCs/>
                <w:color w:val="auto"/>
              </w:rPr>
              <w:t>10</w:t>
            </w:r>
          </w:p>
        </w:tc>
      </w:tr>
      <w:tr w14:paraId="2E49E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9" w:type="dxa"/>
            <w:vAlign w:val="center"/>
          </w:tcPr>
          <w:p w14:paraId="2CA866C2">
            <w:pPr>
              <w:pStyle w:val="67"/>
              <w:rPr>
                <w:rFonts w:cs="Times New Roman"/>
                <w:b w:val="0"/>
                <w:bCs/>
                <w:color w:val="auto"/>
                <w:highlight w:val="yellow"/>
              </w:rPr>
            </w:pPr>
            <w:r>
              <w:rPr>
                <w:rFonts w:hint="eastAsia" w:cs="Times New Roman"/>
                <w:b w:val="0"/>
                <w:bCs/>
                <w:color w:val="auto"/>
              </w:rPr>
              <w:t>非甲烷总烃</w:t>
            </w:r>
          </w:p>
        </w:tc>
        <w:tc>
          <w:tcPr>
            <w:tcW w:w="2421" w:type="dxa"/>
            <w:vAlign w:val="center"/>
          </w:tcPr>
          <w:p w14:paraId="11F9EA99">
            <w:pPr>
              <w:pStyle w:val="67"/>
              <w:rPr>
                <w:rFonts w:cs="Times New Roman"/>
                <w:b w:val="0"/>
                <w:bCs/>
                <w:color w:val="auto"/>
              </w:rPr>
            </w:pPr>
            <w:r>
              <w:rPr>
                <w:rFonts w:hint="eastAsia" w:cs="Times New Roman"/>
                <w:b w:val="0"/>
                <w:bCs/>
                <w:color w:val="auto"/>
              </w:rPr>
              <w:t>环境空气 总烃、甲烷和非甲烷总烃的测定 直接进样-气相色谱法</w:t>
            </w:r>
          </w:p>
          <w:p w14:paraId="537AE5B6">
            <w:pPr>
              <w:pStyle w:val="67"/>
              <w:rPr>
                <w:rFonts w:cs="Times New Roman"/>
                <w:b w:val="0"/>
                <w:bCs/>
                <w:color w:val="auto"/>
                <w:highlight w:val="yellow"/>
              </w:rPr>
            </w:pPr>
            <w:r>
              <w:rPr>
                <w:rFonts w:cs="Times New Roman"/>
                <w:b w:val="0"/>
                <w:bCs/>
                <w:color w:val="auto"/>
              </w:rPr>
              <w:t>HJ 604-2017</w:t>
            </w:r>
          </w:p>
        </w:tc>
        <w:tc>
          <w:tcPr>
            <w:tcW w:w="2596" w:type="dxa"/>
            <w:vAlign w:val="center"/>
          </w:tcPr>
          <w:p w14:paraId="287891D4">
            <w:pPr>
              <w:pStyle w:val="67"/>
              <w:rPr>
                <w:rFonts w:cs="Times New Roman"/>
                <w:b w:val="0"/>
                <w:bCs/>
                <w:color w:val="auto"/>
              </w:rPr>
            </w:pPr>
            <w:r>
              <w:rPr>
                <w:rFonts w:hint="eastAsia" w:cs="Times New Roman"/>
                <w:b w:val="0"/>
                <w:bCs/>
                <w:color w:val="auto"/>
              </w:rPr>
              <w:t>气相色谱仪</w:t>
            </w:r>
          </w:p>
          <w:p w14:paraId="2CCB4AAA">
            <w:pPr>
              <w:pStyle w:val="67"/>
              <w:rPr>
                <w:rFonts w:cs="Times New Roman"/>
                <w:b w:val="0"/>
                <w:bCs/>
                <w:color w:val="auto"/>
                <w:highlight w:val="yellow"/>
              </w:rPr>
            </w:pPr>
            <w:r>
              <w:rPr>
                <w:rFonts w:hint="eastAsia" w:cs="Times New Roman"/>
                <w:b w:val="0"/>
                <w:bCs/>
                <w:color w:val="auto"/>
              </w:rPr>
              <w:t>GC112N/FID</w:t>
            </w:r>
          </w:p>
        </w:tc>
        <w:tc>
          <w:tcPr>
            <w:tcW w:w="1556" w:type="dxa"/>
            <w:vAlign w:val="center"/>
          </w:tcPr>
          <w:p w14:paraId="67AC6EA8">
            <w:pPr>
              <w:pStyle w:val="67"/>
              <w:rPr>
                <w:rFonts w:cs="Times New Roman"/>
                <w:b w:val="0"/>
                <w:bCs/>
                <w:color w:val="auto"/>
              </w:rPr>
            </w:pPr>
            <w:r>
              <w:rPr>
                <w:rFonts w:cs="Times New Roman"/>
                <w:b w:val="0"/>
                <w:bCs/>
                <w:color w:val="auto"/>
              </w:rPr>
              <w:t>0.07mg/m³</w:t>
            </w:r>
          </w:p>
          <w:p w14:paraId="0DFC238B">
            <w:pPr>
              <w:pStyle w:val="67"/>
              <w:rPr>
                <w:rFonts w:cs="Times New Roman"/>
                <w:b w:val="0"/>
                <w:bCs/>
                <w:color w:val="auto"/>
                <w:highlight w:val="yellow"/>
              </w:rPr>
            </w:pPr>
            <w:r>
              <w:rPr>
                <w:rFonts w:hint="eastAsia" w:cs="Times New Roman"/>
                <w:b w:val="0"/>
                <w:bCs/>
                <w:color w:val="auto"/>
              </w:rPr>
              <w:t>(以碳计)</w:t>
            </w:r>
          </w:p>
        </w:tc>
      </w:tr>
      <w:tr w14:paraId="60EA0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19" w:type="dxa"/>
            <w:vAlign w:val="center"/>
          </w:tcPr>
          <w:p w14:paraId="0D9E6273">
            <w:pPr>
              <w:pStyle w:val="67"/>
              <w:rPr>
                <w:rFonts w:cs="Times New Roman"/>
                <w:b w:val="0"/>
                <w:bCs/>
                <w:color w:val="auto"/>
                <w:highlight w:val="yellow"/>
              </w:rPr>
            </w:pPr>
            <w:r>
              <w:rPr>
                <w:rFonts w:hint="eastAsia" w:cs="Times New Roman"/>
                <w:b w:val="0"/>
                <w:bCs/>
                <w:color w:val="auto"/>
              </w:rPr>
              <w:t>TVOC</w:t>
            </w:r>
          </w:p>
        </w:tc>
        <w:tc>
          <w:tcPr>
            <w:tcW w:w="2421" w:type="dxa"/>
            <w:vAlign w:val="center"/>
          </w:tcPr>
          <w:p w14:paraId="3578A914">
            <w:pPr>
              <w:pStyle w:val="67"/>
              <w:rPr>
                <w:rFonts w:cs="Times New Roman"/>
                <w:b w:val="0"/>
                <w:bCs/>
                <w:color w:val="auto"/>
              </w:rPr>
            </w:pPr>
            <w:r>
              <w:rPr>
                <w:rFonts w:hint="eastAsia" w:cs="Times New Roman"/>
                <w:b w:val="0"/>
                <w:bCs/>
                <w:color w:val="auto"/>
              </w:rPr>
              <w:t>室内空气质量标准(附录D室内空气中总挥发性有机物(TVOC)的检验方法 热解吸毛细管 质谱法)</w:t>
            </w:r>
          </w:p>
          <w:p w14:paraId="103398C5">
            <w:pPr>
              <w:pStyle w:val="67"/>
              <w:rPr>
                <w:rFonts w:cs="Times New Roman"/>
                <w:b w:val="0"/>
                <w:bCs/>
                <w:color w:val="auto"/>
                <w:highlight w:val="yellow"/>
              </w:rPr>
            </w:pPr>
            <w:r>
              <w:rPr>
                <w:rFonts w:cs="Times New Roman"/>
                <w:b w:val="0"/>
                <w:bCs/>
                <w:color w:val="auto"/>
              </w:rPr>
              <w:t>GB/T 18883-2022</w:t>
            </w:r>
          </w:p>
        </w:tc>
        <w:tc>
          <w:tcPr>
            <w:tcW w:w="2596" w:type="dxa"/>
            <w:vAlign w:val="center"/>
          </w:tcPr>
          <w:p w14:paraId="4CCFDCA8">
            <w:pPr>
              <w:pStyle w:val="67"/>
              <w:rPr>
                <w:rFonts w:cs="Times New Roman"/>
                <w:b w:val="0"/>
                <w:bCs/>
                <w:color w:val="auto"/>
              </w:rPr>
            </w:pPr>
            <w:r>
              <w:rPr>
                <w:rFonts w:hint="eastAsia" w:cs="Times New Roman"/>
                <w:b w:val="0"/>
                <w:bCs/>
                <w:color w:val="auto"/>
              </w:rPr>
              <w:t>气相色谱仪</w:t>
            </w:r>
          </w:p>
          <w:p w14:paraId="26786505">
            <w:pPr>
              <w:pStyle w:val="67"/>
              <w:rPr>
                <w:rFonts w:cs="Times New Roman"/>
                <w:b w:val="0"/>
                <w:bCs/>
                <w:color w:val="auto"/>
                <w:highlight w:val="yellow"/>
              </w:rPr>
            </w:pPr>
            <w:r>
              <w:rPr>
                <w:rFonts w:hint="eastAsia" w:cs="Times New Roman"/>
                <w:b w:val="0"/>
                <w:bCs/>
                <w:color w:val="auto"/>
              </w:rPr>
              <w:t>GC112N/FID</w:t>
            </w:r>
          </w:p>
        </w:tc>
        <w:tc>
          <w:tcPr>
            <w:tcW w:w="1556" w:type="dxa"/>
            <w:vAlign w:val="center"/>
          </w:tcPr>
          <w:p w14:paraId="73C8296C">
            <w:pPr>
              <w:pStyle w:val="67"/>
              <w:rPr>
                <w:rFonts w:cs="Times New Roman"/>
                <w:b w:val="0"/>
                <w:bCs/>
                <w:color w:val="auto"/>
                <w:highlight w:val="yellow"/>
              </w:rPr>
            </w:pPr>
            <w:r>
              <w:rPr>
                <w:rFonts w:hint="eastAsia" w:cs="Times New Roman"/>
                <w:b w:val="0"/>
                <w:bCs/>
                <w:color w:val="auto"/>
              </w:rPr>
              <w:t>/</w:t>
            </w:r>
          </w:p>
        </w:tc>
      </w:tr>
    </w:tbl>
    <w:p w14:paraId="1D3EBE6F">
      <w:pPr>
        <w:pStyle w:val="6"/>
        <w:ind w:left="0" w:firstLine="482" w:firstLineChars="200"/>
      </w:pPr>
      <w:r>
        <w:t>评价标准</w:t>
      </w:r>
    </w:p>
    <w:p w14:paraId="1D3EBE70">
      <w:pPr>
        <w:ind w:firstLine="480"/>
      </w:pPr>
      <w:r>
        <w:t>本次评价标准执行情况见下表。</w:t>
      </w:r>
    </w:p>
    <w:p w14:paraId="1D3EBE71">
      <w:pPr>
        <w:numPr>
          <w:ilvl w:val="0"/>
          <w:numId w:val="23"/>
        </w:numPr>
        <w:adjustRightInd/>
        <w:snapToGrid/>
        <w:ind w:firstLineChars="0"/>
        <w:textAlignment w:val="auto"/>
        <w:rPr>
          <w:rFonts w:eastAsia="黑体"/>
        </w:rPr>
      </w:pPr>
      <w:r>
        <w:rPr>
          <w:rFonts w:eastAsia="黑体"/>
        </w:rPr>
        <w:t xml:space="preserve">               环境空气质量评价标准</w:t>
      </w:r>
    </w:p>
    <w:tbl>
      <w:tblPr>
        <w:tblStyle w:val="41"/>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961"/>
        <w:gridCol w:w="1701"/>
        <w:gridCol w:w="3169"/>
      </w:tblGrid>
      <w:tr w14:paraId="1D3EB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91" w:type="dxa"/>
            <w:vAlign w:val="center"/>
          </w:tcPr>
          <w:p w14:paraId="1D3EBE72">
            <w:pPr>
              <w:pStyle w:val="67"/>
              <w:rPr>
                <w:rFonts w:cs="Times New Roman"/>
                <w:color w:val="auto"/>
              </w:rPr>
            </w:pPr>
            <w:r>
              <w:rPr>
                <w:rFonts w:cs="Times New Roman"/>
                <w:color w:val="auto"/>
              </w:rPr>
              <w:t>污染物名称</w:t>
            </w:r>
          </w:p>
        </w:tc>
        <w:tc>
          <w:tcPr>
            <w:tcW w:w="1961" w:type="dxa"/>
            <w:vAlign w:val="center"/>
          </w:tcPr>
          <w:p w14:paraId="1D3EBE73">
            <w:pPr>
              <w:pStyle w:val="67"/>
              <w:rPr>
                <w:rFonts w:cs="Times New Roman"/>
                <w:color w:val="auto"/>
              </w:rPr>
            </w:pPr>
            <w:r>
              <w:rPr>
                <w:rFonts w:cs="Times New Roman"/>
                <w:color w:val="auto"/>
              </w:rPr>
              <w:t>取值时间</w:t>
            </w:r>
          </w:p>
        </w:tc>
        <w:tc>
          <w:tcPr>
            <w:tcW w:w="1701" w:type="dxa"/>
            <w:vAlign w:val="center"/>
          </w:tcPr>
          <w:p w14:paraId="1D3EBE74">
            <w:pPr>
              <w:pStyle w:val="67"/>
              <w:rPr>
                <w:rFonts w:cs="Times New Roman"/>
                <w:color w:val="auto"/>
              </w:rPr>
            </w:pPr>
            <w:r>
              <w:rPr>
                <w:rFonts w:cs="Times New Roman"/>
                <w:color w:val="auto"/>
              </w:rPr>
              <w:t>标准浓度限值</w:t>
            </w:r>
          </w:p>
        </w:tc>
        <w:tc>
          <w:tcPr>
            <w:tcW w:w="3169" w:type="dxa"/>
            <w:vAlign w:val="center"/>
          </w:tcPr>
          <w:p w14:paraId="1D3EBE75">
            <w:pPr>
              <w:pStyle w:val="67"/>
              <w:rPr>
                <w:rFonts w:cs="Times New Roman"/>
                <w:color w:val="auto"/>
              </w:rPr>
            </w:pPr>
            <w:r>
              <w:rPr>
                <w:rFonts w:cs="Times New Roman"/>
                <w:color w:val="auto"/>
              </w:rPr>
              <w:t>标准出处</w:t>
            </w:r>
          </w:p>
        </w:tc>
      </w:tr>
      <w:tr w14:paraId="1D3EB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91" w:type="dxa"/>
            <w:vMerge w:val="restart"/>
            <w:vAlign w:val="center"/>
          </w:tcPr>
          <w:p w14:paraId="1D3EBE77">
            <w:pPr>
              <w:pStyle w:val="62"/>
              <w:rPr>
                <w:highlight w:val="yellow"/>
              </w:rPr>
            </w:pPr>
            <w:r>
              <w:rPr>
                <w:rFonts w:hint="eastAsia"/>
                <w:kern w:val="2"/>
                <w:szCs w:val="22"/>
              </w:rPr>
              <w:t>硫酸雾</w:t>
            </w:r>
          </w:p>
        </w:tc>
        <w:tc>
          <w:tcPr>
            <w:tcW w:w="1961" w:type="dxa"/>
            <w:vAlign w:val="center"/>
          </w:tcPr>
          <w:p w14:paraId="1D3EBE78">
            <w:pPr>
              <w:pStyle w:val="62"/>
            </w:pPr>
            <w:r>
              <w:rPr>
                <w:kern w:val="2"/>
                <w:szCs w:val="24"/>
              </w:rPr>
              <w:t>1h浓度值</w:t>
            </w:r>
          </w:p>
        </w:tc>
        <w:tc>
          <w:tcPr>
            <w:tcW w:w="1701" w:type="dxa"/>
            <w:vAlign w:val="center"/>
          </w:tcPr>
          <w:p w14:paraId="1D3EBE79">
            <w:pPr>
              <w:pStyle w:val="62"/>
            </w:pPr>
            <w:r>
              <w:rPr>
                <w:rFonts w:hint="eastAsia"/>
              </w:rPr>
              <w:t>300</w:t>
            </w:r>
            <w:r>
              <w:t>μg/m</w:t>
            </w:r>
            <w:r>
              <w:rPr>
                <w:vertAlign w:val="superscript"/>
              </w:rPr>
              <w:t>3</w:t>
            </w:r>
          </w:p>
        </w:tc>
        <w:tc>
          <w:tcPr>
            <w:tcW w:w="3169" w:type="dxa"/>
            <w:vMerge w:val="restart"/>
            <w:vAlign w:val="center"/>
          </w:tcPr>
          <w:p w14:paraId="1D3EBE7A">
            <w:pPr>
              <w:pStyle w:val="62"/>
            </w:pPr>
            <w:r>
              <w:t>《环境影响评价技术导则大气环境》（HJ2.2-2018）附录D</w:t>
            </w:r>
          </w:p>
        </w:tc>
      </w:tr>
      <w:tr w14:paraId="1D3EB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91" w:type="dxa"/>
            <w:vMerge w:val="continue"/>
            <w:vAlign w:val="center"/>
          </w:tcPr>
          <w:p w14:paraId="1D3EBE7C">
            <w:pPr>
              <w:pStyle w:val="62"/>
              <w:rPr>
                <w:highlight w:val="yellow"/>
              </w:rPr>
            </w:pPr>
          </w:p>
        </w:tc>
        <w:tc>
          <w:tcPr>
            <w:tcW w:w="1961" w:type="dxa"/>
            <w:vAlign w:val="center"/>
          </w:tcPr>
          <w:p w14:paraId="1D3EBE7D">
            <w:pPr>
              <w:pStyle w:val="62"/>
            </w:pPr>
            <w:r>
              <w:rPr>
                <w:kern w:val="2"/>
                <w:szCs w:val="24"/>
              </w:rPr>
              <w:t>24h浓度值</w:t>
            </w:r>
          </w:p>
        </w:tc>
        <w:tc>
          <w:tcPr>
            <w:tcW w:w="1701" w:type="dxa"/>
            <w:vAlign w:val="center"/>
          </w:tcPr>
          <w:p w14:paraId="1D3EBE7E">
            <w:pPr>
              <w:pStyle w:val="62"/>
            </w:pPr>
            <w:r>
              <w:t>1</w:t>
            </w:r>
            <w:r>
              <w:rPr>
                <w:rFonts w:hint="eastAsia"/>
              </w:rPr>
              <w:t>00</w:t>
            </w:r>
            <w:r>
              <w:t>μg/m</w:t>
            </w:r>
            <w:r>
              <w:rPr>
                <w:vertAlign w:val="superscript"/>
              </w:rPr>
              <w:t>3</w:t>
            </w:r>
          </w:p>
        </w:tc>
        <w:tc>
          <w:tcPr>
            <w:tcW w:w="3169" w:type="dxa"/>
            <w:vMerge w:val="continue"/>
            <w:vAlign w:val="center"/>
          </w:tcPr>
          <w:p w14:paraId="1D3EBE7F">
            <w:pPr>
              <w:pStyle w:val="62"/>
              <w:rPr>
                <w:highlight w:val="yellow"/>
              </w:rPr>
            </w:pPr>
          </w:p>
        </w:tc>
      </w:tr>
      <w:tr w14:paraId="4D960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91" w:type="dxa"/>
            <w:vAlign w:val="center"/>
          </w:tcPr>
          <w:p w14:paraId="1246C916">
            <w:pPr>
              <w:pStyle w:val="62"/>
              <w:rPr>
                <w:highlight w:val="yellow"/>
              </w:rPr>
            </w:pPr>
            <w:r>
              <w:rPr>
                <w:rFonts w:hint="eastAsia"/>
              </w:rPr>
              <w:t>硫化氢</w:t>
            </w:r>
          </w:p>
        </w:tc>
        <w:tc>
          <w:tcPr>
            <w:tcW w:w="1961" w:type="dxa"/>
            <w:vAlign w:val="center"/>
          </w:tcPr>
          <w:p w14:paraId="409D0E82">
            <w:pPr>
              <w:pStyle w:val="62"/>
              <w:rPr>
                <w:kern w:val="2"/>
                <w:szCs w:val="24"/>
              </w:rPr>
            </w:pPr>
            <w:r>
              <w:t>1小时均值</w:t>
            </w:r>
          </w:p>
        </w:tc>
        <w:tc>
          <w:tcPr>
            <w:tcW w:w="1701" w:type="dxa"/>
            <w:vAlign w:val="center"/>
          </w:tcPr>
          <w:p w14:paraId="64426FEF">
            <w:pPr>
              <w:pStyle w:val="62"/>
            </w:pPr>
            <w:r>
              <w:t>10μg/m</w:t>
            </w:r>
            <w:r>
              <w:rPr>
                <w:vertAlign w:val="superscript"/>
              </w:rPr>
              <w:t>3</w:t>
            </w:r>
          </w:p>
        </w:tc>
        <w:tc>
          <w:tcPr>
            <w:tcW w:w="3169" w:type="dxa"/>
            <w:vMerge w:val="continue"/>
            <w:vAlign w:val="center"/>
          </w:tcPr>
          <w:p w14:paraId="63CD1471">
            <w:pPr>
              <w:pStyle w:val="62"/>
              <w:rPr>
                <w:highlight w:val="yellow"/>
              </w:rPr>
            </w:pPr>
          </w:p>
        </w:tc>
      </w:tr>
      <w:tr w14:paraId="0B0CE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91" w:type="dxa"/>
            <w:vAlign w:val="center"/>
          </w:tcPr>
          <w:p w14:paraId="7EAD700C">
            <w:pPr>
              <w:pStyle w:val="62"/>
              <w:rPr>
                <w:highlight w:val="yellow"/>
              </w:rPr>
            </w:pPr>
            <w:r>
              <w:rPr>
                <w:rFonts w:hint="eastAsia"/>
              </w:rPr>
              <w:t>氨</w:t>
            </w:r>
          </w:p>
        </w:tc>
        <w:tc>
          <w:tcPr>
            <w:tcW w:w="1961" w:type="dxa"/>
            <w:vAlign w:val="center"/>
          </w:tcPr>
          <w:p w14:paraId="5EB06EC6">
            <w:pPr>
              <w:pStyle w:val="62"/>
              <w:rPr>
                <w:kern w:val="2"/>
                <w:szCs w:val="24"/>
              </w:rPr>
            </w:pPr>
            <w:r>
              <w:t>1小时均值</w:t>
            </w:r>
          </w:p>
        </w:tc>
        <w:tc>
          <w:tcPr>
            <w:tcW w:w="1701" w:type="dxa"/>
            <w:vAlign w:val="center"/>
          </w:tcPr>
          <w:p w14:paraId="319689DB">
            <w:pPr>
              <w:pStyle w:val="62"/>
            </w:pPr>
            <w:r>
              <w:t>200μg/m</w:t>
            </w:r>
            <w:r>
              <w:rPr>
                <w:vertAlign w:val="superscript"/>
              </w:rPr>
              <w:t>3</w:t>
            </w:r>
          </w:p>
        </w:tc>
        <w:tc>
          <w:tcPr>
            <w:tcW w:w="3169" w:type="dxa"/>
            <w:vMerge w:val="continue"/>
            <w:vAlign w:val="center"/>
          </w:tcPr>
          <w:p w14:paraId="77336DEC">
            <w:pPr>
              <w:pStyle w:val="62"/>
              <w:rPr>
                <w:highlight w:val="yellow"/>
              </w:rPr>
            </w:pPr>
          </w:p>
        </w:tc>
      </w:tr>
      <w:tr w14:paraId="1DADF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91" w:type="dxa"/>
            <w:vAlign w:val="center"/>
          </w:tcPr>
          <w:p w14:paraId="62E81CF3">
            <w:pPr>
              <w:pStyle w:val="62"/>
              <w:rPr>
                <w:highlight w:val="yellow"/>
              </w:rPr>
            </w:pPr>
            <w:r>
              <w:t>TVOC</w:t>
            </w:r>
          </w:p>
        </w:tc>
        <w:tc>
          <w:tcPr>
            <w:tcW w:w="1961" w:type="dxa"/>
            <w:vAlign w:val="center"/>
          </w:tcPr>
          <w:p w14:paraId="7DAB8AB6">
            <w:pPr>
              <w:pStyle w:val="62"/>
              <w:rPr>
                <w:kern w:val="2"/>
                <w:szCs w:val="24"/>
              </w:rPr>
            </w:pPr>
            <w:r>
              <w:t>8小时均值</w:t>
            </w:r>
          </w:p>
        </w:tc>
        <w:tc>
          <w:tcPr>
            <w:tcW w:w="1701" w:type="dxa"/>
            <w:vAlign w:val="center"/>
          </w:tcPr>
          <w:p w14:paraId="38F572A9">
            <w:pPr>
              <w:pStyle w:val="62"/>
            </w:pPr>
            <w:r>
              <w:t>600μg/m</w:t>
            </w:r>
            <w:r>
              <w:rPr>
                <w:vertAlign w:val="superscript"/>
              </w:rPr>
              <w:t>3</w:t>
            </w:r>
          </w:p>
        </w:tc>
        <w:tc>
          <w:tcPr>
            <w:tcW w:w="3169" w:type="dxa"/>
            <w:vMerge w:val="continue"/>
            <w:vAlign w:val="center"/>
          </w:tcPr>
          <w:p w14:paraId="3B3C91B1">
            <w:pPr>
              <w:pStyle w:val="62"/>
              <w:rPr>
                <w:highlight w:val="yellow"/>
              </w:rPr>
            </w:pPr>
          </w:p>
        </w:tc>
      </w:tr>
      <w:tr w14:paraId="1D3EB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91" w:type="dxa"/>
            <w:vAlign w:val="center"/>
          </w:tcPr>
          <w:p w14:paraId="1D3EBE81">
            <w:pPr>
              <w:pStyle w:val="62"/>
              <w:rPr>
                <w:highlight w:val="yellow"/>
              </w:rPr>
            </w:pPr>
            <w:r>
              <w:rPr>
                <w:rFonts w:hint="eastAsia"/>
              </w:rPr>
              <w:t>非甲烷总烃</w:t>
            </w:r>
          </w:p>
        </w:tc>
        <w:tc>
          <w:tcPr>
            <w:tcW w:w="1961" w:type="dxa"/>
            <w:vAlign w:val="center"/>
          </w:tcPr>
          <w:p w14:paraId="1D3EBE82">
            <w:pPr>
              <w:pStyle w:val="62"/>
              <w:rPr>
                <w:kern w:val="2"/>
                <w:szCs w:val="24"/>
                <w:highlight w:val="yellow"/>
              </w:rPr>
            </w:pPr>
            <w:r>
              <w:rPr>
                <w:kern w:val="2"/>
                <w:szCs w:val="24"/>
              </w:rPr>
              <w:t>1h浓度值</w:t>
            </w:r>
          </w:p>
        </w:tc>
        <w:tc>
          <w:tcPr>
            <w:tcW w:w="1701" w:type="dxa"/>
            <w:vAlign w:val="center"/>
          </w:tcPr>
          <w:p w14:paraId="1D3EBE83">
            <w:pPr>
              <w:pStyle w:val="62"/>
              <w:rPr>
                <w:highlight w:val="yellow"/>
              </w:rPr>
            </w:pPr>
            <w:r>
              <w:t>2.0</w:t>
            </w:r>
            <w:r>
              <w:rPr>
                <w:rFonts w:hint="eastAsia"/>
              </w:rPr>
              <w:t>mg/m</w:t>
            </w:r>
            <w:r>
              <w:rPr>
                <w:rFonts w:hint="eastAsia"/>
                <w:vertAlign w:val="superscript"/>
              </w:rPr>
              <w:t>3</w:t>
            </w:r>
          </w:p>
        </w:tc>
        <w:tc>
          <w:tcPr>
            <w:tcW w:w="3169" w:type="dxa"/>
            <w:vAlign w:val="center"/>
          </w:tcPr>
          <w:p w14:paraId="1D3EBE84">
            <w:pPr>
              <w:pStyle w:val="62"/>
              <w:rPr>
                <w:highlight w:val="yellow"/>
              </w:rPr>
            </w:pPr>
            <w:bookmarkStart w:id="242" w:name="_Hlk175503798"/>
            <w:r>
              <w:rPr>
                <w:rFonts w:hint="eastAsia"/>
              </w:rPr>
              <w:t>《大气综合污染物排放标准详解》第四章标准值说明</w:t>
            </w:r>
            <w:bookmarkEnd w:id="242"/>
          </w:p>
        </w:tc>
      </w:tr>
    </w:tbl>
    <w:p w14:paraId="1D3EBEB3">
      <w:pPr>
        <w:pStyle w:val="64"/>
        <w:spacing w:before="120" w:after="120"/>
        <w:ind w:firstLine="241"/>
        <w:rPr>
          <w:rFonts w:eastAsia="宋体"/>
          <w:b/>
          <w:bCs/>
          <w:highlight w:val="yellow"/>
        </w:rPr>
      </w:pPr>
    </w:p>
    <w:p w14:paraId="1D3EBEB4">
      <w:pPr>
        <w:pStyle w:val="6"/>
        <w:ind w:left="0" w:firstLine="482" w:firstLineChars="200"/>
      </w:pPr>
      <w:r>
        <w:t>评价方法</w:t>
      </w:r>
    </w:p>
    <w:p w14:paraId="1D3EBEB5">
      <w:pPr>
        <w:ind w:firstLine="480"/>
      </w:pPr>
      <w:r>
        <w:t>环境空气质量现状评价方法采用统计监测浓度范围，同时计算其超标率及最大值超标倍数。采用单因子污染指数法进行评价，计算公式如下：</w:t>
      </w:r>
    </w:p>
    <w:p w14:paraId="1D3EBEB6">
      <w:pPr>
        <w:pStyle w:val="66"/>
      </w:pPr>
      <w:r>
        <w:t>P</w:t>
      </w:r>
      <w:r>
        <w:rPr>
          <w:vertAlign w:val="subscript"/>
        </w:rPr>
        <w:t>i</w:t>
      </w:r>
      <w:r>
        <w:t>=C</w:t>
      </w:r>
      <w:r>
        <w:rPr>
          <w:vertAlign w:val="subscript"/>
        </w:rPr>
        <w:t>i</w:t>
      </w:r>
      <w:r>
        <w:t>/S</w:t>
      </w:r>
      <w:r>
        <w:rPr>
          <w:vertAlign w:val="subscript"/>
        </w:rPr>
        <w:t>i</w:t>
      </w:r>
    </w:p>
    <w:p w14:paraId="1D3EBEB7">
      <w:pPr>
        <w:ind w:firstLine="480"/>
      </w:pPr>
      <w:r>
        <w:t>P</w:t>
      </w:r>
      <w:r>
        <w:rPr>
          <w:kern w:val="2"/>
          <w:szCs w:val="28"/>
          <w:vertAlign w:val="subscript"/>
        </w:rPr>
        <w:t>i</w:t>
      </w:r>
      <w:r>
        <w:t>:i种污染物的单因子污染指数</w:t>
      </w:r>
    </w:p>
    <w:p w14:paraId="1D3EBEB8">
      <w:pPr>
        <w:ind w:firstLine="480"/>
      </w:pPr>
      <w:r>
        <w:t>C</w:t>
      </w:r>
      <w:r>
        <w:rPr>
          <w:kern w:val="2"/>
          <w:szCs w:val="28"/>
          <w:vertAlign w:val="subscript"/>
        </w:rPr>
        <w:t>i</w:t>
      </w:r>
      <w:r>
        <w:t>:i种污染物的实测浓度（μg/m</w:t>
      </w:r>
      <w:r>
        <w:rPr>
          <w:vertAlign w:val="superscript"/>
        </w:rPr>
        <w:t>3</w:t>
      </w:r>
      <w:r>
        <w:t>）</w:t>
      </w:r>
    </w:p>
    <w:p w14:paraId="1D3EBEB9">
      <w:pPr>
        <w:ind w:firstLine="480"/>
      </w:pPr>
      <w:r>
        <w:t>Si:i种污染物的评价标准（μg/m</w:t>
      </w:r>
      <w:r>
        <w:rPr>
          <w:vertAlign w:val="superscript"/>
        </w:rPr>
        <w:t>3</w:t>
      </w:r>
      <w:r>
        <w:t>）</w:t>
      </w:r>
    </w:p>
    <w:p w14:paraId="1D3EBEBA">
      <w:pPr>
        <w:pStyle w:val="6"/>
        <w:ind w:left="0" w:firstLine="482" w:firstLineChars="200"/>
      </w:pPr>
      <w:r>
        <w:t>监测结果统计分析</w:t>
      </w:r>
    </w:p>
    <w:p w14:paraId="1D3EBEBB">
      <w:pPr>
        <w:ind w:firstLine="480"/>
      </w:pPr>
      <w:r>
        <w:t>各污染物浓度监测</w:t>
      </w:r>
      <w:r>
        <w:rPr>
          <w:bCs/>
        </w:rPr>
        <w:t>数据</w:t>
      </w:r>
      <w:r>
        <w:t>统计见下列表格。</w:t>
      </w:r>
    </w:p>
    <w:p w14:paraId="212D38D8">
      <w:pPr>
        <w:numPr>
          <w:ilvl w:val="0"/>
          <w:numId w:val="23"/>
        </w:numPr>
        <w:adjustRightInd/>
        <w:snapToGrid/>
        <w:ind w:firstLineChars="0"/>
        <w:textAlignment w:val="auto"/>
        <w:rPr>
          <w:rFonts w:eastAsia="黑体"/>
        </w:rPr>
      </w:pPr>
      <w:r>
        <w:rPr>
          <w:rFonts w:eastAsia="黑体"/>
        </w:rPr>
        <w:t xml:space="preserve">        </w:t>
      </w:r>
      <w:r>
        <w:rPr>
          <w:rFonts w:hint="eastAsia" w:eastAsia="黑体"/>
        </w:rPr>
        <w:t>硫酸</w:t>
      </w:r>
      <w:r>
        <w:rPr>
          <w:rFonts w:eastAsia="黑体"/>
        </w:rPr>
        <w:t>24小时平均浓度统计结果           单位：μg/m</w:t>
      </w:r>
      <w:r>
        <w:rPr>
          <w:rFonts w:eastAsia="黑体"/>
          <w:vertAlign w:val="superscript"/>
        </w:rPr>
        <w:t>3</w:t>
      </w:r>
    </w:p>
    <w:tbl>
      <w:tblPr>
        <w:tblStyle w:val="41"/>
        <w:tblW w:w="852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0"/>
        <w:gridCol w:w="1512"/>
        <w:gridCol w:w="1403"/>
        <w:gridCol w:w="1508"/>
        <w:gridCol w:w="864"/>
        <w:gridCol w:w="1508"/>
        <w:gridCol w:w="1077"/>
      </w:tblGrid>
      <w:tr w14:paraId="415A8B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5EEA8092">
            <w:pPr>
              <w:pStyle w:val="62"/>
              <w:rPr>
                <w:b/>
                <w:bCs/>
              </w:rPr>
            </w:pPr>
            <w:r>
              <w:rPr>
                <w:b/>
                <w:bCs/>
              </w:rPr>
              <w:t>序号</w:t>
            </w:r>
          </w:p>
        </w:tc>
        <w:tc>
          <w:tcPr>
            <w:tcW w:w="1512" w:type="dxa"/>
            <w:vAlign w:val="center"/>
          </w:tcPr>
          <w:p w14:paraId="65535387">
            <w:pPr>
              <w:pStyle w:val="62"/>
              <w:rPr>
                <w:b/>
                <w:bCs/>
              </w:rPr>
            </w:pPr>
            <w:r>
              <w:rPr>
                <w:b/>
                <w:bCs/>
              </w:rPr>
              <w:t>点位</w:t>
            </w:r>
          </w:p>
        </w:tc>
        <w:tc>
          <w:tcPr>
            <w:tcW w:w="1403" w:type="dxa"/>
            <w:vAlign w:val="center"/>
          </w:tcPr>
          <w:p w14:paraId="48B850DD">
            <w:pPr>
              <w:pStyle w:val="62"/>
              <w:rPr>
                <w:b/>
                <w:bCs/>
              </w:rPr>
            </w:pPr>
            <w:r>
              <w:rPr>
                <w:b/>
                <w:bCs/>
              </w:rPr>
              <w:t>监测值范围</w:t>
            </w:r>
          </w:p>
        </w:tc>
        <w:tc>
          <w:tcPr>
            <w:tcW w:w="1508" w:type="dxa"/>
            <w:vAlign w:val="center"/>
          </w:tcPr>
          <w:p w14:paraId="6202FA8F">
            <w:pPr>
              <w:pStyle w:val="62"/>
              <w:rPr>
                <w:b/>
                <w:bCs/>
              </w:rPr>
            </w:pPr>
            <w:r>
              <w:rPr>
                <w:b/>
                <w:bCs/>
              </w:rPr>
              <w:t>标准指数范围</w:t>
            </w:r>
          </w:p>
        </w:tc>
        <w:tc>
          <w:tcPr>
            <w:tcW w:w="864" w:type="dxa"/>
            <w:vAlign w:val="center"/>
          </w:tcPr>
          <w:p w14:paraId="27533CB5">
            <w:pPr>
              <w:pStyle w:val="62"/>
              <w:rPr>
                <w:b/>
                <w:bCs/>
              </w:rPr>
            </w:pPr>
            <w:r>
              <w:rPr>
                <w:b/>
                <w:bCs/>
              </w:rPr>
              <w:t>超标率</w:t>
            </w:r>
          </w:p>
        </w:tc>
        <w:tc>
          <w:tcPr>
            <w:tcW w:w="1508" w:type="dxa"/>
            <w:vAlign w:val="center"/>
          </w:tcPr>
          <w:p w14:paraId="3F4CAFCA">
            <w:pPr>
              <w:pStyle w:val="62"/>
              <w:rPr>
                <w:b/>
                <w:bCs/>
              </w:rPr>
            </w:pPr>
            <w:r>
              <w:rPr>
                <w:b/>
                <w:bCs/>
              </w:rPr>
              <w:t>最大超标倍数</w:t>
            </w:r>
          </w:p>
        </w:tc>
        <w:tc>
          <w:tcPr>
            <w:tcW w:w="1077" w:type="dxa"/>
            <w:vAlign w:val="center"/>
          </w:tcPr>
          <w:p w14:paraId="7C00AF85">
            <w:pPr>
              <w:pStyle w:val="62"/>
              <w:rPr>
                <w:b/>
                <w:bCs/>
              </w:rPr>
            </w:pPr>
            <w:r>
              <w:rPr>
                <w:b/>
                <w:bCs/>
              </w:rPr>
              <w:t>标准限值</w:t>
            </w:r>
          </w:p>
        </w:tc>
      </w:tr>
      <w:tr w14:paraId="33B0CB5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4994ACB7">
            <w:pPr>
              <w:pStyle w:val="62"/>
            </w:pPr>
            <w:r>
              <w:t>1</w:t>
            </w:r>
          </w:p>
        </w:tc>
        <w:tc>
          <w:tcPr>
            <w:tcW w:w="1512" w:type="dxa"/>
            <w:vAlign w:val="center"/>
          </w:tcPr>
          <w:p w14:paraId="67B2B727">
            <w:pPr>
              <w:pStyle w:val="62"/>
              <w:rPr>
                <w:iCs/>
                <w:highlight w:val="yellow"/>
              </w:rPr>
            </w:pPr>
            <w:r>
              <w:rPr>
                <w:kern w:val="2"/>
                <w:szCs w:val="24"/>
              </w:rPr>
              <w:t>厂区</w:t>
            </w:r>
          </w:p>
        </w:tc>
        <w:tc>
          <w:tcPr>
            <w:tcW w:w="1403" w:type="dxa"/>
            <w:vAlign w:val="center"/>
          </w:tcPr>
          <w:p w14:paraId="4E2948BB">
            <w:pPr>
              <w:pStyle w:val="62"/>
            </w:pPr>
            <w:r>
              <w:t>未检出</w:t>
            </w:r>
          </w:p>
        </w:tc>
        <w:tc>
          <w:tcPr>
            <w:tcW w:w="1508" w:type="dxa"/>
            <w:vAlign w:val="center"/>
          </w:tcPr>
          <w:p w14:paraId="20D8078D">
            <w:pPr>
              <w:pStyle w:val="62"/>
            </w:pPr>
            <w:r>
              <w:t>/</w:t>
            </w:r>
          </w:p>
        </w:tc>
        <w:tc>
          <w:tcPr>
            <w:tcW w:w="864" w:type="dxa"/>
            <w:vAlign w:val="center"/>
          </w:tcPr>
          <w:p w14:paraId="1AA668FE">
            <w:pPr>
              <w:pStyle w:val="62"/>
            </w:pPr>
            <w:r>
              <w:t>0</w:t>
            </w:r>
          </w:p>
        </w:tc>
        <w:tc>
          <w:tcPr>
            <w:tcW w:w="1508" w:type="dxa"/>
            <w:vAlign w:val="center"/>
          </w:tcPr>
          <w:p w14:paraId="7D1697A9">
            <w:pPr>
              <w:pStyle w:val="62"/>
            </w:pPr>
            <w:r>
              <w:t>未超标</w:t>
            </w:r>
          </w:p>
        </w:tc>
        <w:tc>
          <w:tcPr>
            <w:tcW w:w="1077" w:type="dxa"/>
            <w:vMerge w:val="restart"/>
            <w:vAlign w:val="center"/>
          </w:tcPr>
          <w:p w14:paraId="66C521DB">
            <w:pPr>
              <w:pStyle w:val="62"/>
              <w:rPr>
                <w:highlight w:val="yellow"/>
              </w:rPr>
            </w:pPr>
            <w:r>
              <w:rPr>
                <w:rFonts w:hint="eastAsia"/>
              </w:rPr>
              <w:t>100</w:t>
            </w:r>
          </w:p>
        </w:tc>
      </w:tr>
      <w:tr w14:paraId="40175A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2074A677">
            <w:pPr>
              <w:pStyle w:val="62"/>
            </w:pPr>
            <w:r>
              <w:t>2</w:t>
            </w:r>
          </w:p>
        </w:tc>
        <w:tc>
          <w:tcPr>
            <w:tcW w:w="1512" w:type="dxa"/>
            <w:vAlign w:val="center"/>
          </w:tcPr>
          <w:p w14:paraId="3622D402">
            <w:pPr>
              <w:pStyle w:val="62"/>
              <w:rPr>
                <w:iCs/>
                <w:highlight w:val="yellow"/>
              </w:rPr>
            </w:pPr>
            <w:r>
              <w:rPr>
                <w:rFonts w:hint="eastAsia"/>
              </w:rPr>
              <w:t>仁里屯村</w:t>
            </w:r>
          </w:p>
        </w:tc>
        <w:tc>
          <w:tcPr>
            <w:tcW w:w="1403" w:type="dxa"/>
            <w:vAlign w:val="center"/>
          </w:tcPr>
          <w:p w14:paraId="712C3414">
            <w:pPr>
              <w:pStyle w:val="62"/>
            </w:pPr>
            <w:r>
              <w:t>未检出</w:t>
            </w:r>
          </w:p>
        </w:tc>
        <w:tc>
          <w:tcPr>
            <w:tcW w:w="1508" w:type="dxa"/>
            <w:vAlign w:val="center"/>
          </w:tcPr>
          <w:p w14:paraId="47D6DDEC">
            <w:pPr>
              <w:pStyle w:val="62"/>
            </w:pPr>
            <w:r>
              <w:t>/</w:t>
            </w:r>
          </w:p>
        </w:tc>
        <w:tc>
          <w:tcPr>
            <w:tcW w:w="864" w:type="dxa"/>
            <w:vAlign w:val="center"/>
          </w:tcPr>
          <w:p w14:paraId="190C8DEA">
            <w:pPr>
              <w:pStyle w:val="62"/>
            </w:pPr>
            <w:r>
              <w:t>0</w:t>
            </w:r>
          </w:p>
        </w:tc>
        <w:tc>
          <w:tcPr>
            <w:tcW w:w="1508" w:type="dxa"/>
            <w:vAlign w:val="center"/>
          </w:tcPr>
          <w:p w14:paraId="11AD020F">
            <w:pPr>
              <w:pStyle w:val="62"/>
            </w:pPr>
            <w:r>
              <w:t>未超标</w:t>
            </w:r>
          </w:p>
        </w:tc>
        <w:tc>
          <w:tcPr>
            <w:tcW w:w="1077" w:type="dxa"/>
            <w:vMerge w:val="continue"/>
            <w:vAlign w:val="center"/>
          </w:tcPr>
          <w:p w14:paraId="3534A7D5">
            <w:pPr>
              <w:pStyle w:val="62"/>
              <w:rPr>
                <w:highlight w:val="yellow"/>
              </w:rPr>
            </w:pPr>
          </w:p>
        </w:tc>
      </w:tr>
    </w:tbl>
    <w:p w14:paraId="1C397372">
      <w:pPr>
        <w:numPr>
          <w:ilvl w:val="0"/>
          <w:numId w:val="23"/>
        </w:numPr>
        <w:adjustRightInd/>
        <w:snapToGrid/>
        <w:ind w:firstLineChars="0"/>
        <w:textAlignment w:val="auto"/>
        <w:rPr>
          <w:rFonts w:eastAsia="黑体"/>
        </w:rPr>
      </w:pPr>
      <w:r>
        <w:rPr>
          <w:rFonts w:eastAsia="黑体"/>
        </w:rPr>
        <w:t xml:space="preserve">      </w:t>
      </w:r>
      <w:r>
        <w:rPr>
          <w:rFonts w:hint="eastAsia" w:eastAsia="黑体"/>
        </w:rPr>
        <w:t>非甲烷总烃</w:t>
      </w:r>
      <w:r>
        <w:rPr>
          <w:rFonts w:eastAsia="黑体"/>
        </w:rPr>
        <w:t>1小时平均浓度统计结果       单位：</w:t>
      </w:r>
      <w:r>
        <w:rPr>
          <w:rFonts w:hint="eastAsia" w:eastAsia="黑体"/>
        </w:rPr>
        <w:t>m</w:t>
      </w:r>
      <w:r>
        <w:rPr>
          <w:rFonts w:eastAsia="黑体"/>
        </w:rPr>
        <w:t>g/m</w:t>
      </w:r>
      <w:r>
        <w:rPr>
          <w:rFonts w:eastAsia="黑体"/>
          <w:vertAlign w:val="superscript"/>
        </w:rPr>
        <w:t>3</w:t>
      </w:r>
    </w:p>
    <w:tbl>
      <w:tblPr>
        <w:tblStyle w:val="41"/>
        <w:tblW w:w="852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0"/>
        <w:gridCol w:w="1512"/>
        <w:gridCol w:w="1403"/>
        <w:gridCol w:w="1508"/>
        <w:gridCol w:w="864"/>
        <w:gridCol w:w="1508"/>
        <w:gridCol w:w="1077"/>
      </w:tblGrid>
      <w:tr w14:paraId="11800B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69FA4BD5">
            <w:pPr>
              <w:pStyle w:val="67"/>
              <w:rPr>
                <w:rFonts w:cs="Times New Roman"/>
                <w:color w:val="auto"/>
              </w:rPr>
            </w:pPr>
            <w:r>
              <w:rPr>
                <w:rFonts w:cs="Times New Roman"/>
                <w:color w:val="auto"/>
              </w:rPr>
              <w:t>序号</w:t>
            </w:r>
          </w:p>
        </w:tc>
        <w:tc>
          <w:tcPr>
            <w:tcW w:w="1512" w:type="dxa"/>
            <w:vAlign w:val="center"/>
          </w:tcPr>
          <w:p w14:paraId="423C1082">
            <w:pPr>
              <w:pStyle w:val="67"/>
              <w:rPr>
                <w:rFonts w:cs="Times New Roman"/>
                <w:color w:val="auto"/>
              </w:rPr>
            </w:pPr>
            <w:r>
              <w:rPr>
                <w:rFonts w:cs="Times New Roman"/>
                <w:color w:val="auto"/>
              </w:rPr>
              <w:t>点位</w:t>
            </w:r>
          </w:p>
        </w:tc>
        <w:tc>
          <w:tcPr>
            <w:tcW w:w="1403" w:type="dxa"/>
            <w:vAlign w:val="center"/>
          </w:tcPr>
          <w:p w14:paraId="155214CF">
            <w:pPr>
              <w:pStyle w:val="67"/>
              <w:rPr>
                <w:rFonts w:cs="Times New Roman"/>
                <w:color w:val="auto"/>
              </w:rPr>
            </w:pPr>
            <w:r>
              <w:rPr>
                <w:rFonts w:cs="Times New Roman"/>
                <w:color w:val="auto"/>
              </w:rPr>
              <w:t>监测值范围</w:t>
            </w:r>
          </w:p>
        </w:tc>
        <w:tc>
          <w:tcPr>
            <w:tcW w:w="1508" w:type="dxa"/>
            <w:vAlign w:val="center"/>
          </w:tcPr>
          <w:p w14:paraId="08F50AEA">
            <w:pPr>
              <w:pStyle w:val="67"/>
              <w:rPr>
                <w:rFonts w:cs="Times New Roman"/>
                <w:color w:val="auto"/>
              </w:rPr>
            </w:pPr>
            <w:r>
              <w:rPr>
                <w:rFonts w:cs="Times New Roman"/>
                <w:color w:val="auto"/>
              </w:rPr>
              <w:t>标准指数范围</w:t>
            </w:r>
          </w:p>
        </w:tc>
        <w:tc>
          <w:tcPr>
            <w:tcW w:w="864" w:type="dxa"/>
            <w:vAlign w:val="center"/>
          </w:tcPr>
          <w:p w14:paraId="3BB071F3">
            <w:pPr>
              <w:pStyle w:val="67"/>
              <w:rPr>
                <w:rFonts w:cs="Times New Roman"/>
                <w:color w:val="auto"/>
              </w:rPr>
            </w:pPr>
            <w:r>
              <w:rPr>
                <w:rFonts w:cs="Times New Roman"/>
                <w:color w:val="auto"/>
              </w:rPr>
              <w:t>超标率</w:t>
            </w:r>
          </w:p>
        </w:tc>
        <w:tc>
          <w:tcPr>
            <w:tcW w:w="1508" w:type="dxa"/>
            <w:vAlign w:val="center"/>
          </w:tcPr>
          <w:p w14:paraId="7B1040EE">
            <w:pPr>
              <w:pStyle w:val="67"/>
              <w:rPr>
                <w:rFonts w:cs="Times New Roman"/>
                <w:color w:val="auto"/>
              </w:rPr>
            </w:pPr>
            <w:r>
              <w:rPr>
                <w:rFonts w:cs="Times New Roman"/>
                <w:color w:val="auto"/>
              </w:rPr>
              <w:t>最大超标倍数</w:t>
            </w:r>
          </w:p>
        </w:tc>
        <w:tc>
          <w:tcPr>
            <w:tcW w:w="1077" w:type="dxa"/>
            <w:vAlign w:val="center"/>
          </w:tcPr>
          <w:p w14:paraId="3997D981">
            <w:pPr>
              <w:pStyle w:val="67"/>
              <w:rPr>
                <w:rFonts w:cs="Times New Roman"/>
                <w:color w:val="auto"/>
              </w:rPr>
            </w:pPr>
            <w:r>
              <w:rPr>
                <w:rFonts w:cs="Times New Roman"/>
                <w:color w:val="auto"/>
              </w:rPr>
              <w:t>标准限值</w:t>
            </w:r>
          </w:p>
        </w:tc>
      </w:tr>
      <w:tr w14:paraId="5EDE3D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783A5520">
            <w:pPr>
              <w:pStyle w:val="62"/>
            </w:pPr>
            <w:r>
              <w:t>1</w:t>
            </w:r>
          </w:p>
        </w:tc>
        <w:tc>
          <w:tcPr>
            <w:tcW w:w="1512" w:type="dxa"/>
            <w:vAlign w:val="center"/>
          </w:tcPr>
          <w:p w14:paraId="70E0B644">
            <w:pPr>
              <w:pStyle w:val="62"/>
              <w:rPr>
                <w:iCs/>
                <w:highlight w:val="yellow"/>
              </w:rPr>
            </w:pPr>
            <w:r>
              <w:rPr>
                <w:kern w:val="2"/>
                <w:szCs w:val="24"/>
              </w:rPr>
              <w:t>厂区</w:t>
            </w:r>
          </w:p>
        </w:tc>
        <w:tc>
          <w:tcPr>
            <w:tcW w:w="1403" w:type="dxa"/>
            <w:vAlign w:val="center"/>
          </w:tcPr>
          <w:p w14:paraId="77BD4277">
            <w:pPr>
              <w:pStyle w:val="62"/>
              <w:rPr>
                <w:highlight w:val="yellow"/>
              </w:rPr>
            </w:pPr>
            <w:r>
              <w:rPr>
                <w:rFonts w:hint="eastAsia"/>
              </w:rPr>
              <w:t>0.21~0.45</w:t>
            </w:r>
          </w:p>
        </w:tc>
        <w:tc>
          <w:tcPr>
            <w:tcW w:w="1508" w:type="dxa"/>
            <w:vAlign w:val="center"/>
          </w:tcPr>
          <w:p w14:paraId="32ABC17F">
            <w:pPr>
              <w:pStyle w:val="62"/>
            </w:pPr>
            <w:r>
              <w:rPr>
                <w:rFonts w:hint="eastAsia"/>
              </w:rPr>
              <w:t>0.105~0.225</w:t>
            </w:r>
          </w:p>
        </w:tc>
        <w:tc>
          <w:tcPr>
            <w:tcW w:w="864" w:type="dxa"/>
            <w:vAlign w:val="center"/>
          </w:tcPr>
          <w:p w14:paraId="022AFF21">
            <w:pPr>
              <w:pStyle w:val="62"/>
            </w:pPr>
            <w:r>
              <w:t>0</w:t>
            </w:r>
          </w:p>
        </w:tc>
        <w:tc>
          <w:tcPr>
            <w:tcW w:w="1508" w:type="dxa"/>
            <w:vAlign w:val="center"/>
          </w:tcPr>
          <w:p w14:paraId="468A4E3C">
            <w:pPr>
              <w:pStyle w:val="62"/>
            </w:pPr>
            <w:r>
              <w:t>未超标</w:t>
            </w:r>
          </w:p>
        </w:tc>
        <w:tc>
          <w:tcPr>
            <w:tcW w:w="1077" w:type="dxa"/>
            <w:vMerge w:val="restart"/>
            <w:vAlign w:val="center"/>
          </w:tcPr>
          <w:p w14:paraId="42E824F2">
            <w:pPr>
              <w:pStyle w:val="62"/>
              <w:rPr>
                <w:highlight w:val="yellow"/>
              </w:rPr>
            </w:pPr>
            <w:r>
              <w:rPr>
                <w:rFonts w:hint="eastAsia"/>
              </w:rPr>
              <w:t>2.0</w:t>
            </w:r>
          </w:p>
        </w:tc>
      </w:tr>
      <w:tr w14:paraId="2AF1AD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0EF935D6">
            <w:pPr>
              <w:pStyle w:val="62"/>
            </w:pPr>
            <w:r>
              <w:t>2</w:t>
            </w:r>
          </w:p>
        </w:tc>
        <w:tc>
          <w:tcPr>
            <w:tcW w:w="1512" w:type="dxa"/>
            <w:vAlign w:val="center"/>
          </w:tcPr>
          <w:p w14:paraId="09931CB3">
            <w:pPr>
              <w:pStyle w:val="62"/>
              <w:rPr>
                <w:iCs/>
                <w:highlight w:val="yellow"/>
              </w:rPr>
            </w:pPr>
            <w:r>
              <w:rPr>
                <w:rFonts w:hint="eastAsia"/>
              </w:rPr>
              <w:t>仁里屯村</w:t>
            </w:r>
          </w:p>
        </w:tc>
        <w:tc>
          <w:tcPr>
            <w:tcW w:w="1403" w:type="dxa"/>
            <w:vAlign w:val="center"/>
          </w:tcPr>
          <w:p w14:paraId="6BC0BD37">
            <w:pPr>
              <w:pStyle w:val="62"/>
            </w:pPr>
            <w:r>
              <w:rPr>
                <w:rFonts w:hint="eastAsia"/>
              </w:rPr>
              <w:t>0.22~0.34</w:t>
            </w:r>
          </w:p>
        </w:tc>
        <w:tc>
          <w:tcPr>
            <w:tcW w:w="1508" w:type="dxa"/>
            <w:vAlign w:val="center"/>
          </w:tcPr>
          <w:p w14:paraId="5C27DE0A">
            <w:pPr>
              <w:pStyle w:val="62"/>
            </w:pPr>
            <w:r>
              <w:rPr>
                <w:rFonts w:hint="eastAsia"/>
              </w:rPr>
              <w:t>0.11~0.17</w:t>
            </w:r>
          </w:p>
        </w:tc>
        <w:tc>
          <w:tcPr>
            <w:tcW w:w="864" w:type="dxa"/>
            <w:vAlign w:val="center"/>
          </w:tcPr>
          <w:p w14:paraId="007E179A">
            <w:pPr>
              <w:pStyle w:val="62"/>
            </w:pPr>
            <w:r>
              <w:t>0</w:t>
            </w:r>
          </w:p>
        </w:tc>
        <w:tc>
          <w:tcPr>
            <w:tcW w:w="1508" w:type="dxa"/>
            <w:vAlign w:val="center"/>
          </w:tcPr>
          <w:p w14:paraId="005C2CFD">
            <w:pPr>
              <w:pStyle w:val="62"/>
            </w:pPr>
            <w:r>
              <w:t>未超标</w:t>
            </w:r>
          </w:p>
        </w:tc>
        <w:tc>
          <w:tcPr>
            <w:tcW w:w="1077" w:type="dxa"/>
            <w:vMerge w:val="continue"/>
            <w:vAlign w:val="center"/>
          </w:tcPr>
          <w:p w14:paraId="6B36A8AC">
            <w:pPr>
              <w:pStyle w:val="62"/>
              <w:rPr>
                <w:highlight w:val="yellow"/>
              </w:rPr>
            </w:pPr>
          </w:p>
        </w:tc>
      </w:tr>
    </w:tbl>
    <w:p w14:paraId="198AC3CB">
      <w:pPr>
        <w:numPr>
          <w:ilvl w:val="0"/>
          <w:numId w:val="23"/>
        </w:numPr>
        <w:adjustRightInd/>
        <w:snapToGrid/>
        <w:ind w:firstLineChars="0"/>
        <w:textAlignment w:val="auto"/>
        <w:rPr>
          <w:rFonts w:eastAsia="黑体"/>
        </w:rPr>
      </w:pPr>
      <w:r>
        <w:rPr>
          <w:rFonts w:eastAsia="黑体"/>
        </w:rPr>
        <w:t xml:space="preserve">     </w:t>
      </w:r>
      <w:r>
        <w:rPr>
          <w:rFonts w:hint="eastAsia" w:eastAsia="黑体"/>
        </w:rPr>
        <w:t xml:space="preserve">     氨1</w:t>
      </w:r>
      <w:r>
        <w:rPr>
          <w:rFonts w:eastAsia="黑体"/>
        </w:rPr>
        <w:t xml:space="preserve">小时平均浓度统计结果    </w:t>
      </w:r>
      <w:r>
        <w:rPr>
          <w:rFonts w:hint="eastAsia" w:eastAsia="黑体"/>
        </w:rPr>
        <w:t xml:space="preserve">    </w:t>
      </w:r>
      <w:r>
        <w:rPr>
          <w:rFonts w:eastAsia="黑体"/>
        </w:rPr>
        <w:t xml:space="preserve">   单位：μg/m</w:t>
      </w:r>
      <w:r>
        <w:rPr>
          <w:rFonts w:eastAsia="黑体"/>
          <w:vertAlign w:val="superscript"/>
        </w:rPr>
        <w:t>3</w:t>
      </w:r>
    </w:p>
    <w:tbl>
      <w:tblPr>
        <w:tblStyle w:val="41"/>
        <w:tblW w:w="852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0"/>
        <w:gridCol w:w="1512"/>
        <w:gridCol w:w="1403"/>
        <w:gridCol w:w="1508"/>
        <w:gridCol w:w="864"/>
        <w:gridCol w:w="1508"/>
        <w:gridCol w:w="1077"/>
      </w:tblGrid>
      <w:tr w14:paraId="444D48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3A11CC8A">
            <w:pPr>
              <w:pStyle w:val="67"/>
              <w:rPr>
                <w:rFonts w:cs="Times New Roman"/>
                <w:color w:val="auto"/>
              </w:rPr>
            </w:pPr>
            <w:r>
              <w:rPr>
                <w:rFonts w:cs="Times New Roman"/>
                <w:color w:val="auto"/>
              </w:rPr>
              <w:t>序号</w:t>
            </w:r>
          </w:p>
        </w:tc>
        <w:tc>
          <w:tcPr>
            <w:tcW w:w="1512" w:type="dxa"/>
            <w:vAlign w:val="center"/>
          </w:tcPr>
          <w:p w14:paraId="57E09AAE">
            <w:pPr>
              <w:pStyle w:val="67"/>
              <w:rPr>
                <w:rFonts w:cs="Times New Roman"/>
                <w:color w:val="auto"/>
              </w:rPr>
            </w:pPr>
            <w:r>
              <w:rPr>
                <w:rFonts w:cs="Times New Roman"/>
                <w:color w:val="auto"/>
              </w:rPr>
              <w:t>点位</w:t>
            </w:r>
          </w:p>
        </w:tc>
        <w:tc>
          <w:tcPr>
            <w:tcW w:w="1403" w:type="dxa"/>
            <w:vAlign w:val="center"/>
          </w:tcPr>
          <w:p w14:paraId="5E9AE92A">
            <w:pPr>
              <w:pStyle w:val="67"/>
              <w:rPr>
                <w:rFonts w:cs="Times New Roman"/>
                <w:color w:val="auto"/>
              </w:rPr>
            </w:pPr>
            <w:r>
              <w:rPr>
                <w:rFonts w:cs="Times New Roman"/>
                <w:color w:val="auto"/>
              </w:rPr>
              <w:t>监测值范围</w:t>
            </w:r>
          </w:p>
        </w:tc>
        <w:tc>
          <w:tcPr>
            <w:tcW w:w="1508" w:type="dxa"/>
            <w:vAlign w:val="center"/>
          </w:tcPr>
          <w:p w14:paraId="77EFD5EF">
            <w:pPr>
              <w:pStyle w:val="67"/>
              <w:rPr>
                <w:rFonts w:cs="Times New Roman"/>
                <w:color w:val="auto"/>
              </w:rPr>
            </w:pPr>
            <w:r>
              <w:rPr>
                <w:rFonts w:cs="Times New Roman"/>
                <w:color w:val="auto"/>
              </w:rPr>
              <w:t>标准指数范围</w:t>
            </w:r>
          </w:p>
        </w:tc>
        <w:tc>
          <w:tcPr>
            <w:tcW w:w="864" w:type="dxa"/>
            <w:vAlign w:val="center"/>
          </w:tcPr>
          <w:p w14:paraId="46EF1E52">
            <w:pPr>
              <w:pStyle w:val="67"/>
              <w:rPr>
                <w:rFonts w:cs="Times New Roman"/>
                <w:color w:val="auto"/>
              </w:rPr>
            </w:pPr>
            <w:r>
              <w:rPr>
                <w:rFonts w:cs="Times New Roman"/>
                <w:color w:val="auto"/>
              </w:rPr>
              <w:t>超标率</w:t>
            </w:r>
          </w:p>
        </w:tc>
        <w:tc>
          <w:tcPr>
            <w:tcW w:w="1508" w:type="dxa"/>
            <w:vAlign w:val="center"/>
          </w:tcPr>
          <w:p w14:paraId="5E6B0A3A">
            <w:pPr>
              <w:pStyle w:val="67"/>
              <w:rPr>
                <w:rFonts w:cs="Times New Roman"/>
                <w:color w:val="auto"/>
              </w:rPr>
            </w:pPr>
            <w:r>
              <w:rPr>
                <w:rFonts w:cs="Times New Roman"/>
                <w:color w:val="auto"/>
              </w:rPr>
              <w:t>最大超标倍数</w:t>
            </w:r>
          </w:p>
        </w:tc>
        <w:tc>
          <w:tcPr>
            <w:tcW w:w="1077" w:type="dxa"/>
            <w:vAlign w:val="center"/>
          </w:tcPr>
          <w:p w14:paraId="4B743620">
            <w:pPr>
              <w:pStyle w:val="67"/>
              <w:rPr>
                <w:rFonts w:cs="Times New Roman"/>
                <w:color w:val="auto"/>
              </w:rPr>
            </w:pPr>
            <w:r>
              <w:rPr>
                <w:rFonts w:cs="Times New Roman"/>
                <w:color w:val="auto"/>
              </w:rPr>
              <w:t>标准限值</w:t>
            </w:r>
          </w:p>
        </w:tc>
      </w:tr>
      <w:tr w14:paraId="3A9A15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63DFB55D">
            <w:pPr>
              <w:pStyle w:val="62"/>
              <w:rPr>
                <w:highlight w:val="yellow"/>
              </w:rPr>
            </w:pPr>
            <w:r>
              <w:t>1</w:t>
            </w:r>
          </w:p>
        </w:tc>
        <w:tc>
          <w:tcPr>
            <w:tcW w:w="1512" w:type="dxa"/>
            <w:vAlign w:val="center"/>
          </w:tcPr>
          <w:p w14:paraId="183DAD18">
            <w:pPr>
              <w:pStyle w:val="62"/>
              <w:rPr>
                <w:iCs/>
                <w:highlight w:val="yellow"/>
              </w:rPr>
            </w:pPr>
            <w:r>
              <w:rPr>
                <w:kern w:val="2"/>
                <w:szCs w:val="24"/>
              </w:rPr>
              <w:t>厂区</w:t>
            </w:r>
          </w:p>
        </w:tc>
        <w:tc>
          <w:tcPr>
            <w:tcW w:w="1403" w:type="dxa"/>
            <w:vAlign w:val="center"/>
          </w:tcPr>
          <w:p w14:paraId="1126324F">
            <w:pPr>
              <w:pStyle w:val="62"/>
            </w:pPr>
            <w:r>
              <w:t>未检出</w:t>
            </w:r>
          </w:p>
        </w:tc>
        <w:tc>
          <w:tcPr>
            <w:tcW w:w="1508" w:type="dxa"/>
            <w:vAlign w:val="center"/>
          </w:tcPr>
          <w:p w14:paraId="0164CA35">
            <w:pPr>
              <w:pStyle w:val="62"/>
            </w:pPr>
            <w:r>
              <w:t>/</w:t>
            </w:r>
          </w:p>
        </w:tc>
        <w:tc>
          <w:tcPr>
            <w:tcW w:w="864" w:type="dxa"/>
            <w:vAlign w:val="center"/>
          </w:tcPr>
          <w:p w14:paraId="12AE0E00">
            <w:pPr>
              <w:pStyle w:val="62"/>
            </w:pPr>
            <w:r>
              <w:t>0</w:t>
            </w:r>
          </w:p>
        </w:tc>
        <w:tc>
          <w:tcPr>
            <w:tcW w:w="1508" w:type="dxa"/>
            <w:vAlign w:val="center"/>
          </w:tcPr>
          <w:p w14:paraId="3A5BD910">
            <w:pPr>
              <w:pStyle w:val="62"/>
            </w:pPr>
            <w:r>
              <w:t>未超标</w:t>
            </w:r>
          </w:p>
        </w:tc>
        <w:tc>
          <w:tcPr>
            <w:tcW w:w="1077" w:type="dxa"/>
            <w:vMerge w:val="restart"/>
            <w:vAlign w:val="center"/>
          </w:tcPr>
          <w:p w14:paraId="70A30F97">
            <w:pPr>
              <w:pStyle w:val="62"/>
              <w:rPr>
                <w:highlight w:val="yellow"/>
              </w:rPr>
            </w:pPr>
            <w:r>
              <w:rPr>
                <w:rFonts w:hint="eastAsia"/>
              </w:rPr>
              <w:t>200</w:t>
            </w:r>
          </w:p>
        </w:tc>
      </w:tr>
      <w:tr w14:paraId="576D8C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4425B371">
            <w:pPr>
              <w:pStyle w:val="62"/>
              <w:rPr>
                <w:highlight w:val="yellow"/>
              </w:rPr>
            </w:pPr>
            <w:r>
              <w:t>2</w:t>
            </w:r>
          </w:p>
        </w:tc>
        <w:tc>
          <w:tcPr>
            <w:tcW w:w="1512" w:type="dxa"/>
            <w:vAlign w:val="center"/>
          </w:tcPr>
          <w:p w14:paraId="7561C03A">
            <w:pPr>
              <w:pStyle w:val="62"/>
              <w:rPr>
                <w:iCs/>
                <w:highlight w:val="yellow"/>
              </w:rPr>
            </w:pPr>
            <w:r>
              <w:rPr>
                <w:rFonts w:hint="eastAsia"/>
              </w:rPr>
              <w:t>仁里屯村</w:t>
            </w:r>
          </w:p>
        </w:tc>
        <w:tc>
          <w:tcPr>
            <w:tcW w:w="1403" w:type="dxa"/>
            <w:vAlign w:val="center"/>
          </w:tcPr>
          <w:p w14:paraId="42186A87">
            <w:pPr>
              <w:pStyle w:val="62"/>
            </w:pPr>
            <w:r>
              <w:t>未检出</w:t>
            </w:r>
          </w:p>
        </w:tc>
        <w:tc>
          <w:tcPr>
            <w:tcW w:w="1508" w:type="dxa"/>
            <w:vAlign w:val="center"/>
          </w:tcPr>
          <w:p w14:paraId="3DBBA7D1">
            <w:pPr>
              <w:pStyle w:val="62"/>
            </w:pPr>
            <w:r>
              <w:t>/</w:t>
            </w:r>
          </w:p>
        </w:tc>
        <w:tc>
          <w:tcPr>
            <w:tcW w:w="864" w:type="dxa"/>
            <w:vAlign w:val="center"/>
          </w:tcPr>
          <w:p w14:paraId="6321D08B">
            <w:pPr>
              <w:pStyle w:val="62"/>
            </w:pPr>
            <w:r>
              <w:t>0</w:t>
            </w:r>
          </w:p>
        </w:tc>
        <w:tc>
          <w:tcPr>
            <w:tcW w:w="1508" w:type="dxa"/>
            <w:vAlign w:val="center"/>
          </w:tcPr>
          <w:p w14:paraId="234A599C">
            <w:pPr>
              <w:pStyle w:val="62"/>
            </w:pPr>
            <w:r>
              <w:t>未超标</w:t>
            </w:r>
          </w:p>
        </w:tc>
        <w:tc>
          <w:tcPr>
            <w:tcW w:w="1077" w:type="dxa"/>
            <w:vMerge w:val="continue"/>
            <w:vAlign w:val="center"/>
          </w:tcPr>
          <w:p w14:paraId="765C8BD6">
            <w:pPr>
              <w:pStyle w:val="62"/>
              <w:rPr>
                <w:highlight w:val="yellow"/>
              </w:rPr>
            </w:pPr>
          </w:p>
        </w:tc>
      </w:tr>
    </w:tbl>
    <w:p w14:paraId="5D26FBAC">
      <w:pPr>
        <w:numPr>
          <w:ilvl w:val="0"/>
          <w:numId w:val="23"/>
        </w:numPr>
        <w:adjustRightInd/>
        <w:snapToGrid/>
        <w:ind w:firstLineChars="0"/>
        <w:textAlignment w:val="auto"/>
        <w:rPr>
          <w:rFonts w:eastAsia="黑体"/>
        </w:rPr>
      </w:pPr>
      <w:r>
        <w:rPr>
          <w:rFonts w:eastAsia="黑体"/>
        </w:rPr>
        <w:t xml:space="preserve">      </w:t>
      </w:r>
      <w:r>
        <w:rPr>
          <w:rFonts w:hint="eastAsia" w:eastAsia="黑体"/>
        </w:rPr>
        <w:t xml:space="preserve">   硫化氢</w:t>
      </w:r>
      <w:r>
        <w:rPr>
          <w:rFonts w:eastAsia="黑体"/>
        </w:rPr>
        <w:t xml:space="preserve">1小时平均浓度统计结果    </w:t>
      </w:r>
      <w:r>
        <w:rPr>
          <w:rFonts w:hint="eastAsia" w:eastAsia="黑体"/>
        </w:rPr>
        <w:t xml:space="preserve">  </w:t>
      </w:r>
      <w:r>
        <w:rPr>
          <w:rFonts w:eastAsia="黑体"/>
        </w:rPr>
        <w:t xml:space="preserve">   单位：μg/m</w:t>
      </w:r>
      <w:r>
        <w:rPr>
          <w:rFonts w:eastAsia="黑体"/>
          <w:vertAlign w:val="superscript"/>
        </w:rPr>
        <w:t>3</w:t>
      </w:r>
    </w:p>
    <w:tbl>
      <w:tblPr>
        <w:tblStyle w:val="41"/>
        <w:tblW w:w="852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0"/>
        <w:gridCol w:w="1512"/>
        <w:gridCol w:w="1403"/>
        <w:gridCol w:w="1508"/>
        <w:gridCol w:w="864"/>
        <w:gridCol w:w="1508"/>
        <w:gridCol w:w="1077"/>
      </w:tblGrid>
      <w:tr w14:paraId="60E3C6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54295717">
            <w:pPr>
              <w:pStyle w:val="67"/>
              <w:rPr>
                <w:rFonts w:cs="Times New Roman"/>
                <w:color w:val="auto"/>
              </w:rPr>
            </w:pPr>
            <w:r>
              <w:rPr>
                <w:rFonts w:cs="Times New Roman"/>
                <w:color w:val="auto"/>
              </w:rPr>
              <w:t>序号</w:t>
            </w:r>
          </w:p>
        </w:tc>
        <w:tc>
          <w:tcPr>
            <w:tcW w:w="1512" w:type="dxa"/>
            <w:vAlign w:val="center"/>
          </w:tcPr>
          <w:p w14:paraId="50FEEC24">
            <w:pPr>
              <w:pStyle w:val="67"/>
              <w:rPr>
                <w:rFonts w:cs="Times New Roman"/>
                <w:color w:val="auto"/>
              </w:rPr>
            </w:pPr>
            <w:r>
              <w:rPr>
                <w:rFonts w:cs="Times New Roman"/>
                <w:color w:val="auto"/>
              </w:rPr>
              <w:t>点位</w:t>
            </w:r>
          </w:p>
        </w:tc>
        <w:tc>
          <w:tcPr>
            <w:tcW w:w="1403" w:type="dxa"/>
            <w:vAlign w:val="center"/>
          </w:tcPr>
          <w:p w14:paraId="5EB5F24D">
            <w:pPr>
              <w:pStyle w:val="67"/>
              <w:rPr>
                <w:rFonts w:cs="Times New Roman"/>
                <w:color w:val="auto"/>
              </w:rPr>
            </w:pPr>
            <w:r>
              <w:rPr>
                <w:rFonts w:cs="Times New Roman"/>
                <w:color w:val="auto"/>
              </w:rPr>
              <w:t>监测值范围</w:t>
            </w:r>
          </w:p>
        </w:tc>
        <w:tc>
          <w:tcPr>
            <w:tcW w:w="1508" w:type="dxa"/>
            <w:vAlign w:val="center"/>
          </w:tcPr>
          <w:p w14:paraId="051D49EB">
            <w:pPr>
              <w:pStyle w:val="67"/>
              <w:rPr>
                <w:rFonts w:cs="Times New Roman"/>
                <w:color w:val="auto"/>
              </w:rPr>
            </w:pPr>
            <w:r>
              <w:rPr>
                <w:rFonts w:cs="Times New Roman"/>
                <w:color w:val="auto"/>
              </w:rPr>
              <w:t>标准指数范围</w:t>
            </w:r>
          </w:p>
        </w:tc>
        <w:tc>
          <w:tcPr>
            <w:tcW w:w="864" w:type="dxa"/>
            <w:vAlign w:val="center"/>
          </w:tcPr>
          <w:p w14:paraId="4FA97CF5">
            <w:pPr>
              <w:pStyle w:val="67"/>
              <w:rPr>
                <w:rFonts w:cs="Times New Roman"/>
                <w:color w:val="auto"/>
              </w:rPr>
            </w:pPr>
            <w:r>
              <w:rPr>
                <w:rFonts w:cs="Times New Roman"/>
                <w:color w:val="auto"/>
              </w:rPr>
              <w:t>超标率</w:t>
            </w:r>
          </w:p>
        </w:tc>
        <w:tc>
          <w:tcPr>
            <w:tcW w:w="1508" w:type="dxa"/>
            <w:vAlign w:val="center"/>
          </w:tcPr>
          <w:p w14:paraId="342BB2DF">
            <w:pPr>
              <w:pStyle w:val="67"/>
              <w:rPr>
                <w:rFonts w:cs="Times New Roman"/>
                <w:color w:val="auto"/>
              </w:rPr>
            </w:pPr>
            <w:r>
              <w:rPr>
                <w:rFonts w:cs="Times New Roman"/>
                <w:color w:val="auto"/>
              </w:rPr>
              <w:t>最大超标倍数</w:t>
            </w:r>
          </w:p>
        </w:tc>
        <w:tc>
          <w:tcPr>
            <w:tcW w:w="1077" w:type="dxa"/>
            <w:vAlign w:val="center"/>
          </w:tcPr>
          <w:p w14:paraId="0B79F61F">
            <w:pPr>
              <w:pStyle w:val="67"/>
              <w:rPr>
                <w:rFonts w:cs="Times New Roman"/>
                <w:color w:val="auto"/>
              </w:rPr>
            </w:pPr>
            <w:r>
              <w:rPr>
                <w:rFonts w:cs="Times New Roman"/>
                <w:color w:val="auto"/>
              </w:rPr>
              <w:t>标准限值</w:t>
            </w:r>
          </w:p>
        </w:tc>
      </w:tr>
      <w:tr w14:paraId="359FDF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1D3C276F">
            <w:pPr>
              <w:pStyle w:val="62"/>
              <w:rPr>
                <w:highlight w:val="yellow"/>
              </w:rPr>
            </w:pPr>
            <w:r>
              <w:t>1</w:t>
            </w:r>
          </w:p>
        </w:tc>
        <w:tc>
          <w:tcPr>
            <w:tcW w:w="1512" w:type="dxa"/>
            <w:vAlign w:val="center"/>
          </w:tcPr>
          <w:p w14:paraId="27C19987">
            <w:pPr>
              <w:pStyle w:val="62"/>
              <w:rPr>
                <w:iCs/>
                <w:highlight w:val="yellow"/>
              </w:rPr>
            </w:pPr>
            <w:r>
              <w:rPr>
                <w:kern w:val="2"/>
                <w:szCs w:val="24"/>
              </w:rPr>
              <w:t>厂区</w:t>
            </w:r>
          </w:p>
        </w:tc>
        <w:tc>
          <w:tcPr>
            <w:tcW w:w="1403" w:type="dxa"/>
            <w:vAlign w:val="center"/>
          </w:tcPr>
          <w:p w14:paraId="492B9F77">
            <w:pPr>
              <w:pStyle w:val="62"/>
            </w:pPr>
            <w:r>
              <w:t>未检出</w:t>
            </w:r>
          </w:p>
        </w:tc>
        <w:tc>
          <w:tcPr>
            <w:tcW w:w="1508" w:type="dxa"/>
            <w:vAlign w:val="center"/>
          </w:tcPr>
          <w:p w14:paraId="299186C0">
            <w:pPr>
              <w:pStyle w:val="62"/>
            </w:pPr>
            <w:r>
              <w:t>/</w:t>
            </w:r>
          </w:p>
        </w:tc>
        <w:tc>
          <w:tcPr>
            <w:tcW w:w="864" w:type="dxa"/>
            <w:vAlign w:val="center"/>
          </w:tcPr>
          <w:p w14:paraId="4EEB4A84">
            <w:pPr>
              <w:pStyle w:val="62"/>
            </w:pPr>
            <w:r>
              <w:t>0</w:t>
            </w:r>
          </w:p>
        </w:tc>
        <w:tc>
          <w:tcPr>
            <w:tcW w:w="1508" w:type="dxa"/>
            <w:vAlign w:val="center"/>
          </w:tcPr>
          <w:p w14:paraId="339690D5">
            <w:pPr>
              <w:pStyle w:val="62"/>
            </w:pPr>
            <w:r>
              <w:t>未超标</w:t>
            </w:r>
          </w:p>
        </w:tc>
        <w:tc>
          <w:tcPr>
            <w:tcW w:w="1077" w:type="dxa"/>
            <w:vMerge w:val="restart"/>
            <w:vAlign w:val="center"/>
          </w:tcPr>
          <w:p w14:paraId="323EFDEB">
            <w:pPr>
              <w:pStyle w:val="62"/>
              <w:rPr>
                <w:highlight w:val="yellow"/>
              </w:rPr>
            </w:pPr>
            <w:r>
              <w:rPr>
                <w:rFonts w:hint="eastAsia"/>
              </w:rPr>
              <w:t>10</w:t>
            </w:r>
          </w:p>
        </w:tc>
      </w:tr>
      <w:tr w14:paraId="6A39991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5143E9D8">
            <w:pPr>
              <w:pStyle w:val="62"/>
              <w:rPr>
                <w:highlight w:val="yellow"/>
              </w:rPr>
            </w:pPr>
            <w:r>
              <w:t>2</w:t>
            </w:r>
          </w:p>
        </w:tc>
        <w:tc>
          <w:tcPr>
            <w:tcW w:w="1512" w:type="dxa"/>
            <w:vAlign w:val="center"/>
          </w:tcPr>
          <w:p w14:paraId="356EF6A2">
            <w:pPr>
              <w:pStyle w:val="62"/>
              <w:rPr>
                <w:iCs/>
                <w:highlight w:val="yellow"/>
              </w:rPr>
            </w:pPr>
            <w:r>
              <w:rPr>
                <w:rFonts w:hint="eastAsia"/>
              </w:rPr>
              <w:t>仁里屯村</w:t>
            </w:r>
          </w:p>
        </w:tc>
        <w:tc>
          <w:tcPr>
            <w:tcW w:w="1403" w:type="dxa"/>
            <w:vAlign w:val="center"/>
          </w:tcPr>
          <w:p w14:paraId="7CF885A8">
            <w:pPr>
              <w:pStyle w:val="62"/>
            </w:pPr>
            <w:r>
              <w:t>未检出</w:t>
            </w:r>
          </w:p>
        </w:tc>
        <w:tc>
          <w:tcPr>
            <w:tcW w:w="1508" w:type="dxa"/>
            <w:vAlign w:val="center"/>
          </w:tcPr>
          <w:p w14:paraId="652C71F2">
            <w:pPr>
              <w:pStyle w:val="62"/>
            </w:pPr>
            <w:r>
              <w:t>/</w:t>
            </w:r>
          </w:p>
        </w:tc>
        <w:tc>
          <w:tcPr>
            <w:tcW w:w="864" w:type="dxa"/>
            <w:vAlign w:val="center"/>
          </w:tcPr>
          <w:p w14:paraId="751C2AC0">
            <w:pPr>
              <w:pStyle w:val="62"/>
            </w:pPr>
            <w:r>
              <w:t>0</w:t>
            </w:r>
          </w:p>
        </w:tc>
        <w:tc>
          <w:tcPr>
            <w:tcW w:w="1508" w:type="dxa"/>
            <w:vAlign w:val="center"/>
          </w:tcPr>
          <w:p w14:paraId="54A0FFC9">
            <w:pPr>
              <w:pStyle w:val="62"/>
            </w:pPr>
            <w:r>
              <w:t>未超标</w:t>
            </w:r>
          </w:p>
        </w:tc>
        <w:tc>
          <w:tcPr>
            <w:tcW w:w="1077" w:type="dxa"/>
            <w:vMerge w:val="continue"/>
            <w:vAlign w:val="center"/>
          </w:tcPr>
          <w:p w14:paraId="3F819B8F">
            <w:pPr>
              <w:pStyle w:val="62"/>
              <w:rPr>
                <w:highlight w:val="yellow"/>
              </w:rPr>
            </w:pPr>
          </w:p>
        </w:tc>
      </w:tr>
    </w:tbl>
    <w:p w14:paraId="5464B945">
      <w:pPr>
        <w:numPr>
          <w:ilvl w:val="0"/>
          <w:numId w:val="23"/>
        </w:numPr>
        <w:adjustRightInd/>
        <w:snapToGrid/>
        <w:ind w:firstLineChars="0"/>
        <w:textAlignment w:val="auto"/>
        <w:rPr>
          <w:rFonts w:eastAsia="黑体"/>
        </w:rPr>
      </w:pPr>
      <w:r>
        <w:rPr>
          <w:rFonts w:eastAsia="黑体"/>
        </w:rPr>
        <w:t xml:space="preserve">     </w:t>
      </w:r>
      <w:r>
        <w:rPr>
          <w:rFonts w:hint="eastAsia" w:eastAsia="黑体"/>
        </w:rPr>
        <w:t xml:space="preserve">    </w:t>
      </w:r>
      <w:r>
        <w:rPr>
          <w:rFonts w:eastAsia="黑体"/>
        </w:rPr>
        <w:t xml:space="preserve"> </w:t>
      </w:r>
      <w:r>
        <w:rPr>
          <w:rFonts w:hint="eastAsia" w:eastAsia="黑体"/>
        </w:rPr>
        <w:t>TVOC 8</w:t>
      </w:r>
      <w:r>
        <w:rPr>
          <w:rFonts w:eastAsia="黑体"/>
        </w:rPr>
        <w:t xml:space="preserve">小时平均浓度统计结果    </w:t>
      </w:r>
      <w:r>
        <w:rPr>
          <w:rFonts w:hint="eastAsia" w:eastAsia="黑体"/>
        </w:rPr>
        <w:t xml:space="preserve">   </w:t>
      </w:r>
      <w:r>
        <w:rPr>
          <w:rFonts w:eastAsia="黑体"/>
        </w:rPr>
        <w:t xml:space="preserve">   单位：μg/m</w:t>
      </w:r>
      <w:r>
        <w:rPr>
          <w:rFonts w:eastAsia="黑体"/>
          <w:vertAlign w:val="superscript"/>
        </w:rPr>
        <w:t>3</w:t>
      </w:r>
    </w:p>
    <w:tbl>
      <w:tblPr>
        <w:tblStyle w:val="41"/>
        <w:tblW w:w="852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0"/>
        <w:gridCol w:w="1512"/>
        <w:gridCol w:w="1403"/>
        <w:gridCol w:w="1508"/>
        <w:gridCol w:w="864"/>
        <w:gridCol w:w="1508"/>
        <w:gridCol w:w="1077"/>
      </w:tblGrid>
      <w:tr w14:paraId="7FCDC0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0DD6B3D6">
            <w:pPr>
              <w:pStyle w:val="67"/>
              <w:rPr>
                <w:rFonts w:cs="Times New Roman"/>
                <w:color w:val="auto"/>
              </w:rPr>
            </w:pPr>
            <w:r>
              <w:rPr>
                <w:rFonts w:cs="Times New Roman"/>
                <w:color w:val="auto"/>
              </w:rPr>
              <w:t>序号</w:t>
            </w:r>
          </w:p>
        </w:tc>
        <w:tc>
          <w:tcPr>
            <w:tcW w:w="1512" w:type="dxa"/>
            <w:vAlign w:val="center"/>
          </w:tcPr>
          <w:p w14:paraId="00BDC40E">
            <w:pPr>
              <w:pStyle w:val="67"/>
              <w:rPr>
                <w:rFonts w:cs="Times New Roman"/>
                <w:color w:val="auto"/>
              </w:rPr>
            </w:pPr>
            <w:r>
              <w:rPr>
                <w:rFonts w:cs="Times New Roman"/>
                <w:color w:val="auto"/>
              </w:rPr>
              <w:t>点位</w:t>
            </w:r>
          </w:p>
        </w:tc>
        <w:tc>
          <w:tcPr>
            <w:tcW w:w="1403" w:type="dxa"/>
            <w:vAlign w:val="center"/>
          </w:tcPr>
          <w:p w14:paraId="0B17001E">
            <w:pPr>
              <w:pStyle w:val="67"/>
              <w:rPr>
                <w:rFonts w:cs="Times New Roman"/>
                <w:color w:val="auto"/>
              </w:rPr>
            </w:pPr>
            <w:r>
              <w:rPr>
                <w:rFonts w:cs="Times New Roman"/>
                <w:color w:val="auto"/>
              </w:rPr>
              <w:t>监测值范围</w:t>
            </w:r>
          </w:p>
        </w:tc>
        <w:tc>
          <w:tcPr>
            <w:tcW w:w="1508" w:type="dxa"/>
            <w:vAlign w:val="center"/>
          </w:tcPr>
          <w:p w14:paraId="0C6C26C4">
            <w:pPr>
              <w:pStyle w:val="67"/>
              <w:rPr>
                <w:rFonts w:cs="Times New Roman"/>
                <w:color w:val="auto"/>
              </w:rPr>
            </w:pPr>
            <w:r>
              <w:rPr>
                <w:rFonts w:cs="Times New Roman"/>
                <w:color w:val="auto"/>
              </w:rPr>
              <w:t>标准指数范围</w:t>
            </w:r>
          </w:p>
        </w:tc>
        <w:tc>
          <w:tcPr>
            <w:tcW w:w="864" w:type="dxa"/>
            <w:vAlign w:val="center"/>
          </w:tcPr>
          <w:p w14:paraId="2C17DE18">
            <w:pPr>
              <w:pStyle w:val="67"/>
              <w:rPr>
                <w:rFonts w:cs="Times New Roman"/>
                <w:color w:val="auto"/>
              </w:rPr>
            </w:pPr>
            <w:r>
              <w:rPr>
                <w:rFonts w:cs="Times New Roman"/>
                <w:color w:val="auto"/>
              </w:rPr>
              <w:t>超标率</w:t>
            </w:r>
          </w:p>
        </w:tc>
        <w:tc>
          <w:tcPr>
            <w:tcW w:w="1508" w:type="dxa"/>
            <w:vAlign w:val="center"/>
          </w:tcPr>
          <w:p w14:paraId="2AB01959">
            <w:pPr>
              <w:pStyle w:val="67"/>
              <w:rPr>
                <w:rFonts w:cs="Times New Roman"/>
                <w:color w:val="auto"/>
              </w:rPr>
            </w:pPr>
            <w:r>
              <w:rPr>
                <w:rFonts w:cs="Times New Roman"/>
                <w:color w:val="auto"/>
              </w:rPr>
              <w:t>最大超标倍数</w:t>
            </w:r>
          </w:p>
        </w:tc>
        <w:tc>
          <w:tcPr>
            <w:tcW w:w="1077" w:type="dxa"/>
            <w:vAlign w:val="center"/>
          </w:tcPr>
          <w:p w14:paraId="40C92643">
            <w:pPr>
              <w:pStyle w:val="67"/>
              <w:rPr>
                <w:rFonts w:cs="Times New Roman"/>
                <w:color w:val="auto"/>
              </w:rPr>
            </w:pPr>
            <w:r>
              <w:rPr>
                <w:rFonts w:cs="Times New Roman"/>
                <w:color w:val="auto"/>
              </w:rPr>
              <w:t>标准限值</w:t>
            </w:r>
          </w:p>
        </w:tc>
      </w:tr>
      <w:tr w14:paraId="7BBB24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134BB87D">
            <w:pPr>
              <w:pStyle w:val="62"/>
              <w:rPr>
                <w:highlight w:val="yellow"/>
              </w:rPr>
            </w:pPr>
            <w:r>
              <w:t>1</w:t>
            </w:r>
          </w:p>
        </w:tc>
        <w:tc>
          <w:tcPr>
            <w:tcW w:w="1512" w:type="dxa"/>
            <w:vAlign w:val="center"/>
          </w:tcPr>
          <w:p w14:paraId="5AF149E2">
            <w:pPr>
              <w:pStyle w:val="62"/>
              <w:rPr>
                <w:iCs/>
                <w:highlight w:val="yellow"/>
              </w:rPr>
            </w:pPr>
            <w:r>
              <w:rPr>
                <w:kern w:val="2"/>
                <w:szCs w:val="24"/>
              </w:rPr>
              <w:t>厂区</w:t>
            </w:r>
          </w:p>
        </w:tc>
        <w:tc>
          <w:tcPr>
            <w:tcW w:w="1403" w:type="dxa"/>
            <w:vAlign w:val="center"/>
          </w:tcPr>
          <w:p w14:paraId="75AC3EF6">
            <w:pPr>
              <w:pStyle w:val="62"/>
            </w:pPr>
            <w:r>
              <w:rPr>
                <w:rFonts w:hint="eastAsia"/>
              </w:rPr>
              <w:t>0.35~0.42</w:t>
            </w:r>
          </w:p>
        </w:tc>
        <w:tc>
          <w:tcPr>
            <w:tcW w:w="1508" w:type="dxa"/>
            <w:vAlign w:val="center"/>
          </w:tcPr>
          <w:p w14:paraId="6BF857BA">
            <w:pPr>
              <w:pStyle w:val="62"/>
            </w:pPr>
            <w:r>
              <w:t>/</w:t>
            </w:r>
          </w:p>
        </w:tc>
        <w:tc>
          <w:tcPr>
            <w:tcW w:w="864" w:type="dxa"/>
            <w:vAlign w:val="center"/>
          </w:tcPr>
          <w:p w14:paraId="314A7E38">
            <w:pPr>
              <w:pStyle w:val="62"/>
            </w:pPr>
            <w:r>
              <w:t>0</w:t>
            </w:r>
          </w:p>
        </w:tc>
        <w:tc>
          <w:tcPr>
            <w:tcW w:w="1508" w:type="dxa"/>
            <w:vAlign w:val="center"/>
          </w:tcPr>
          <w:p w14:paraId="11D909BB">
            <w:pPr>
              <w:pStyle w:val="62"/>
            </w:pPr>
            <w:r>
              <w:t>未超标</w:t>
            </w:r>
          </w:p>
        </w:tc>
        <w:tc>
          <w:tcPr>
            <w:tcW w:w="1077" w:type="dxa"/>
            <w:vMerge w:val="restart"/>
            <w:vAlign w:val="center"/>
          </w:tcPr>
          <w:p w14:paraId="4E57072D">
            <w:pPr>
              <w:pStyle w:val="62"/>
              <w:rPr>
                <w:highlight w:val="yellow"/>
              </w:rPr>
            </w:pPr>
            <w:r>
              <w:rPr>
                <w:rFonts w:hint="eastAsia"/>
              </w:rPr>
              <w:t>600</w:t>
            </w:r>
          </w:p>
        </w:tc>
      </w:tr>
      <w:tr w14:paraId="1E15D8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557B3786">
            <w:pPr>
              <w:pStyle w:val="62"/>
              <w:rPr>
                <w:highlight w:val="yellow"/>
              </w:rPr>
            </w:pPr>
            <w:r>
              <w:t>2</w:t>
            </w:r>
          </w:p>
        </w:tc>
        <w:tc>
          <w:tcPr>
            <w:tcW w:w="1512" w:type="dxa"/>
            <w:vAlign w:val="center"/>
          </w:tcPr>
          <w:p w14:paraId="730DE386">
            <w:pPr>
              <w:pStyle w:val="62"/>
              <w:rPr>
                <w:iCs/>
                <w:highlight w:val="yellow"/>
              </w:rPr>
            </w:pPr>
            <w:r>
              <w:rPr>
                <w:rFonts w:hint="eastAsia"/>
              </w:rPr>
              <w:t>仁里屯村</w:t>
            </w:r>
          </w:p>
        </w:tc>
        <w:tc>
          <w:tcPr>
            <w:tcW w:w="1403" w:type="dxa"/>
            <w:vAlign w:val="center"/>
          </w:tcPr>
          <w:p w14:paraId="76DE6F55">
            <w:pPr>
              <w:pStyle w:val="62"/>
            </w:pPr>
            <w:r>
              <w:rPr>
                <w:rFonts w:hint="eastAsia"/>
              </w:rPr>
              <w:t>0.35~0.44</w:t>
            </w:r>
          </w:p>
        </w:tc>
        <w:tc>
          <w:tcPr>
            <w:tcW w:w="1508" w:type="dxa"/>
            <w:vAlign w:val="center"/>
          </w:tcPr>
          <w:p w14:paraId="4E620032">
            <w:pPr>
              <w:pStyle w:val="62"/>
            </w:pPr>
            <w:r>
              <w:t>/</w:t>
            </w:r>
          </w:p>
        </w:tc>
        <w:tc>
          <w:tcPr>
            <w:tcW w:w="864" w:type="dxa"/>
            <w:vAlign w:val="center"/>
          </w:tcPr>
          <w:p w14:paraId="20AE62CC">
            <w:pPr>
              <w:pStyle w:val="62"/>
            </w:pPr>
            <w:r>
              <w:t>0</w:t>
            </w:r>
          </w:p>
        </w:tc>
        <w:tc>
          <w:tcPr>
            <w:tcW w:w="1508" w:type="dxa"/>
            <w:vAlign w:val="center"/>
          </w:tcPr>
          <w:p w14:paraId="5D10DD69">
            <w:pPr>
              <w:pStyle w:val="62"/>
            </w:pPr>
            <w:r>
              <w:t>未超标</w:t>
            </w:r>
          </w:p>
        </w:tc>
        <w:tc>
          <w:tcPr>
            <w:tcW w:w="1077" w:type="dxa"/>
            <w:vMerge w:val="continue"/>
            <w:vAlign w:val="center"/>
          </w:tcPr>
          <w:p w14:paraId="6B0AF2EA">
            <w:pPr>
              <w:pStyle w:val="62"/>
              <w:rPr>
                <w:highlight w:val="yellow"/>
              </w:rPr>
            </w:pPr>
          </w:p>
        </w:tc>
      </w:tr>
    </w:tbl>
    <w:p w14:paraId="46B789D4">
      <w:pPr>
        <w:numPr>
          <w:ilvl w:val="0"/>
          <w:numId w:val="23"/>
        </w:numPr>
        <w:adjustRightInd/>
        <w:snapToGrid/>
        <w:ind w:firstLineChars="0"/>
        <w:textAlignment w:val="auto"/>
        <w:rPr>
          <w:rFonts w:eastAsia="黑体"/>
        </w:rPr>
      </w:pPr>
      <w:r>
        <w:rPr>
          <w:rFonts w:eastAsia="黑体"/>
        </w:rPr>
        <w:t xml:space="preserve">    </w:t>
      </w:r>
      <w:r>
        <w:rPr>
          <w:rFonts w:hint="eastAsia" w:eastAsia="黑体"/>
        </w:rPr>
        <w:t xml:space="preserve">    </w:t>
      </w:r>
      <w:r>
        <w:rPr>
          <w:rFonts w:eastAsia="黑体"/>
        </w:rPr>
        <w:t xml:space="preserve"> </w:t>
      </w:r>
      <w:r>
        <w:rPr>
          <w:rFonts w:hint="eastAsia" w:eastAsia="黑体"/>
        </w:rPr>
        <w:t>臭气浓度1</w:t>
      </w:r>
      <w:r>
        <w:rPr>
          <w:rFonts w:eastAsia="黑体"/>
        </w:rPr>
        <w:t xml:space="preserve">小时平均浓度统计结果   </w:t>
      </w:r>
      <w:r>
        <w:rPr>
          <w:rFonts w:hint="eastAsia" w:eastAsia="黑体"/>
        </w:rPr>
        <w:t xml:space="preserve"> </w:t>
      </w:r>
      <w:r>
        <w:rPr>
          <w:rFonts w:eastAsia="黑体"/>
        </w:rPr>
        <w:t xml:space="preserve">   单位：</w:t>
      </w:r>
      <w:r>
        <w:rPr>
          <w:rFonts w:hint="eastAsia" w:eastAsia="黑体"/>
        </w:rPr>
        <w:t>无量纲</w:t>
      </w:r>
    </w:p>
    <w:tbl>
      <w:tblPr>
        <w:tblStyle w:val="41"/>
        <w:tblW w:w="852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0"/>
        <w:gridCol w:w="1512"/>
        <w:gridCol w:w="1403"/>
        <w:gridCol w:w="1508"/>
        <w:gridCol w:w="864"/>
        <w:gridCol w:w="1508"/>
        <w:gridCol w:w="1077"/>
      </w:tblGrid>
      <w:tr w14:paraId="792E7D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0B4A21AD">
            <w:pPr>
              <w:pStyle w:val="67"/>
              <w:rPr>
                <w:rFonts w:cs="Times New Roman"/>
                <w:color w:val="auto"/>
              </w:rPr>
            </w:pPr>
            <w:r>
              <w:rPr>
                <w:rFonts w:cs="Times New Roman"/>
                <w:color w:val="auto"/>
              </w:rPr>
              <w:t>序号</w:t>
            </w:r>
          </w:p>
        </w:tc>
        <w:tc>
          <w:tcPr>
            <w:tcW w:w="1512" w:type="dxa"/>
            <w:vAlign w:val="center"/>
          </w:tcPr>
          <w:p w14:paraId="35FA9575">
            <w:pPr>
              <w:pStyle w:val="67"/>
              <w:rPr>
                <w:rFonts w:cs="Times New Roman"/>
                <w:color w:val="auto"/>
              </w:rPr>
            </w:pPr>
            <w:r>
              <w:rPr>
                <w:rFonts w:cs="Times New Roman"/>
                <w:color w:val="auto"/>
              </w:rPr>
              <w:t>点位</w:t>
            </w:r>
          </w:p>
        </w:tc>
        <w:tc>
          <w:tcPr>
            <w:tcW w:w="1403" w:type="dxa"/>
            <w:vAlign w:val="center"/>
          </w:tcPr>
          <w:p w14:paraId="69447867">
            <w:pPr>
              <w:pStyle w:val="67"/>
              <w:rPr>
                <w:rFonts w:cs="Times New Roman"/>
                <w:color w:val="auto"/>
              </w:rPr>
            </w:pPr>
            <w:r>
              <w:rPr>
                <w:rFonts w:cs="Times New Roman"/>
                <w:color w:val="auto"/>
              </w:rPr>
              <w:t>监测值范围</w:t>
            </w:r>
          </w:p>
        </w:tc>
        <w:tc>
          <w:tcPr>
            <w:tcW w:w="1508" w:type="dxa"/>
            <w:vAlign w:val="center"/>
          </w:tcPr>
          <w:p w14:paraId="02CBEB87">
            <w:pPr>
              <w:pStyle w:val="67"/>
              <w:rPr>
                <w:rFonts w:cs="Times New Roman"/>
                <w:color w:val="auto"/>
              </w:rPr>
            </w:pPr>
            <w:r>
              <w:rPr>
                <w:rFonts w:cs="Times New Roman"/>
                <w:color w:val="auto"/>
              </w:rPr>
              <w:t>标准指数范围</w:t>
            </w:r>
          </w:p>
        </w:tc>
        <w:tc>
          <w:tcPr>
            <w:tcW w:w="864" w:type="dxa"/>
            <w:vAlign w:val="center"/>
          </w:tcPr>
          <w:p w14:paraId="641740EE">
            <w:pPr>
              <w:pStyle w:val="67"/>
              <w:rPr>
                <w:rFonts w:cs="Times New Roman"/>
                <w:color w:val="auto"/>
              </w:rPr>
            </w:pPr>
            <w:r>
              <w:rPr>
                <w:rFonts w:cs="Times New Roman"/>
                <w:color w:val="auto"/>
              </w:rPr>
              <w:t>超标率</w:t>
            </w:r>
          </w:p>
        </w:tc>
        <w:tc>
          <w:tcPr>
            <w:tcW w:w="1508" w:type="dxa"/>
            <w:vAlign w:val="center"/>
          </w:tcPr>
          <w:p w14:paraId="6B22CEB7">
            <w:pPr>
              <w:pStyle w:val="67"/>
              <w:rPr>
                <w:rFonts w:cs="Times New Roman"/>
                <w:color w:val="auto"/>
              </w:rPr>
            </w:pPr>
            <w:r>
              <w:rPr>
                <w:rFonts w:cs="Times New Roman"/>
                <w:color w:val="auto"/>
              </w:rPr>
              <w:t>最大超标倍数</w:t>
            </w:r>
          </w:p>
        </w:tc>
        <w:tc>
          <w:tcPr>
            <w:tcW w:w="1077" w:type="dxa"/>
            <w:vAlign w:val="center"/>
          </w:tcPr>
          <w:p w14:paraId="316134AC">
            <w:pPr>
              <w:pStyle w:val="67"/>
              <w:rPr>
                <w:rFonts w:cs="Times New Roman"/>
                <w:color w:val="auto"/>
              </w:rPr>
            </w:pPr>
            <w:r>
              <w:rPr>
                <w:rFonts w:cs="Times New Roman"/>
                <w:color w:val="auto"/>
              </w:rPr>
              <w:t>标准限值</w:t>
            </w:r>
          </w:p>
        </w:tc>
      </w:tr>
      <w:tr w14:paraId="2693EF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078EC1BA">
            <w:pPr>
              <w:pStyle w:val="62"/>
              <w:rPr>
                <w:highlight w:val="yellow"/>
              </w:rPr>
            </w:pPr>
            <w:r>
              <w:t>1</w:t>
            </w:r>
          </w:p>
        </w:tc>
        <w:tc>
          <w:tcPr>
            <w:tcW w:w="1512" w:type="dxa"/>
            <w:vAlign w:val="center"/>
          </w:tcPr>
          <w:p w14:paraId="0AAAAB41">
            <w:pPr>
              <w:pStyle w:val="62"/>
              <w:rPr>
                <w:iCs/>
                <w:highlight w:val="yellow"/>
              </w:rPr>
            </w:pPr>
            <w:r>
              <w:rPr>
                <w:kern w:val="2"/>
                <w:szCs w:val="24"/>
              </w:rPr>
              <w:t>厂区</w:t>
            </w:r>
          </w:p>
        </w:tc>
        <w:tc>
          <w:tcPr>
            <w:tcW w:w="1403" w:type="dxa"/>
            <w:vAlign w:val="center"/>
          </w:tcPr>
          <w:p w14:paraId="5078964F">
            <w:pPr>
              <w:pStyle w:val="62"/>
            </w:pPr>
            <w:r>
              <w:rPr>
                <w:rFonts w:hint="eastAsia"/>
              </w:rPr>
              <w:t>＜10</w:t>
            </w:r>
          </w:p>
        </w:tc>
        <w:tc>
          <w:tcPr>
            <w:tcW w:w="1508" w:type="dxa"/>
            <w:vAlign w:val="center"/>
          </w:tcPr>
          <w:p w14:paraId="3D2B294B">
            <w:pPr>
              <w:pStyle w:val="62"/>
            </w:pPr>
            <w:r>
              <w:t>/</w:t>
            </w:r>
          </w:p>
        </w:tc>
        <w:tc>
          <w:tcPr>
            <w:tcW w:w="864" w:type="dxa"/>
            <w:vAlign w:val="center"/>
          </w:tcPr>
          <w:p w14:paraId="3BDBFEDC">
            <w:pPr>
              <w:pStyle w:val="62"/>
            </w:pPr>
            <w:r>
              <w:t>0</w:t>
            </w:r>
          </w:p>
        </w:tc>
        <w:tc>
          <w:tcPr>
            <w:tcW w:w="1508" w:type="dxa"/>
            <w:vAlign w:val="center"/>
          </w:tcPr>
          <w:p w14:paraId="01CD04E2">
            <w:pPr>
              <w:pStyle w:val="62"/>
            </w:pPr>
            <w:r>
              <w:t>未超标</w:t>
            </w:r>
          </w:p>
        </w:tc>
        <w:tc>
          <w:tcPr>
            <w:tcW w:w="1077" w:type="dxa"/>
            <w:vMerge w:val="restart"/>
            <w:vAlign w:val="center"/>
          </w:tcPr>
          <w:p w14:paraId="3141061A">
            <w:pPr>
              <w:pStyle w:val="62"/>
              <w:rPr>
                <w:highlight w:val="yellow"/>
              </w:rPr>
            </w:pPr>
            <w:r>
              <w:rPr>
                <w:rFonts w:hint="eastAsia"/>
              </w:rPr>
              <w:t>/</w:t>
            </w:r>
          </w:p>
        </w:tc>
      </w:tr>
      <w:tr w14:paraId="355EA4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dxa"/>
            <w:vAlign w:val="center"/>
          </w:tcPr>
          <w:p w14:paraId="14592E51">
            <w:pPr>
              <w:pStyle w:val="62"/>
              <w:rPr>
                <w:highlight w:val="yellow"/>
              </w:rPr>
            </w:pPr>
            <w:r>
              <w:t>2</w:t>
            </w:r>
          </w:p>
        </w:tc>
        <w:tc>
          <w:tcPr>
            <w:tcW w:w="1512" w:type="dxa"/>
            <w:vAlign w:val="center"/>
          </w:tcPr>
          <w:p w14:paraId="3C52A135">
            <w:pPr>
              <w:pStyle w:val="62"/>
              <w:rPr>
                <w:iCs/>
                <w:highlight w:val="yellow"/>
              </w:rPr>
            </w:pPr>
            <w:r>
              <w:rPr>
                <w:rFonts w:hint="eastAsia"/>
              </w:rPr>
              <w:t>仁里屯村</w:t>
            </w:r>
          </w:p>
        </w:tc>
        <w:tc>
          <w:tcPr>
            <w:tcW w:w="1403" w:type="dxa"/>
            <w:vAlign w:val="center"/>
          </w:tcPr>
          <w:p w14:paraId="48FF488B">
            <w:pPr>
              <w:pStyle w:val="62"/>
            </w:pPr>
            <w:r>
              <w:rPr>
                <w:rFonts w:hint="eastAsia"/>
              </w:rPr>
              <w:t>＜10</w:t>
            </w:r>
          </w:p>
        </w:tc>
        <w:tc>
          <w:tcPr>
            <w:tcW w:w="1508" w:type="dxa"/>
            <w:vAlign w:val="center"/>
          </w:tcPr>
          <w:p w14:paraId="048ED19E">
            <w:pPr>
              <w:pStyle w:val="62"/>
            </w:pPr>
            <w:r>
              <w:t>/</w:t>
            </w:r>
          </w:p>
        </w:tc>
        <w:tc>
          <w:tcPr>
            <w:tcW w:w="864" w:type="dxa"/>
            <w:vAlign w:val="center"/>
          </w:tcPr>
          <w:p w14:paraId="760C5B0F">
            <w:pPr>
              <w:pStyle w:val="62"/>
            </w:pPr>
            <w:r>
              <w:t>0</w:t>
            </w:r>
          </w:p>
        </w:tc>
        <w:tc>
          <w:tcPr>
            <w:tcW w:w="1508" w:type="dxa"/>
            <w:vAlign w:val="center"/>
          </w:tcPr>
          <w:p w14:paraId="530E4549">
            <w:pPr>
              <w:pStyle w:val="62"/>
            </w:pPr>
            <w:r>
              <w:t>未超标</w:t>
            </w:r>
          </w:p>
        </w:tc>
        <w:tc>
          <w:tcPr>
            <w:tcW w:w="1077" w:type="dxa"/>
            <w:vMerge w:val="continue"/>
            <w:vAlign w:val="center"/>
          </w:tcPr>
          <w:p w14:paraId="6584DEA7">
            <w:pPr>
              <w:pStyle w:val="62"/>
              <w:rPr>
                <w:highlight w:val="yellow"/>
              </w:rPr>
            </w:pPr>
          </w:p>
        </w:tc>
      </w:tr>
    </w:tbl>
    <w:p w14:paraId="0C9E9E2B">
      <w:pPr>
        <w:ind w:firstLine="480"/>
        <w:rPr>
          <w:highlight w:val="yellow"/>
        </w:rPr>
      </w:pPr>
    </w:p>
    <w:p w14:paraId="1D3EBFEE">
      <w:pPr>
        <w:pStyle w:val="6"/>
        <w:ind w:left="0" w:firstLine="482" w:firstLineChars="200"/>
      </w:pPr>
      <w:r>
        <w:t>监测统计结果分析</w:t>
      </w:r>
    </w:p>
    <w:bookmarkEnd w:id="240"/>
    <w:bookmarkEnd w:id="241"/>
    <w:p w14:paraId="1D3EBFEF">
      <w:pPr>
        <w:ind w:firstLine="480"/>
      </w:pPr>
      <w:r>
        <w:t>根据环境空气现状监测统计结果可知，</w:t>
      </w:r>
    </w:p>
    <w:p w14:paraId="6282C889">
      <w:pPr>
        <w:ind w:firstLine="480"/>
        <w:rPr>
          <w:highlight w:val="yellow"/>
        </w:rPr>
      </w:pPr>
      <w:r>
        <w:rPr>
          <w:rFonts w:hint="eastAsia"/>
        </w:rPr>
        <w:t>硫酸雾24</w:t>
      </w:r>
      <w:r>
        <w:t>小时浓度范围</w:t>
      </w:r>
      <w:r>
        <w:rPr>
          <w:rFonts w:hint="eastAsia"/>
        </w:rPr>
        <w:t>均</w:t>
      </w:r>
      <w:r>
        <w:t>未检出，</w:t>
      </w:r>
      <w:r>
        <w:rPr>
          <w:rFonts w:hint="eastAsia"/>
        </w:rPr>
        <w:t>氨、硫化氢</w:t>
      </w:r>
      <w:r>
        <w:t>1小时浓度范围</w:t>
      </w:r>
      <w:r>
        <w:rPr>
          <w:rFonts w:hint="eastAsia"/>
        </w:rPr>
        <w:t>均</w:t>
      </w:r>
      <w:r>
        <w:t>未检出，</w:t>
      </w:r>
      <w:r>
        <w:rPr>
          <w:rFonts w:hint="eastAsia"/>
        </w:rPr>
        <w:t>臭气浓度1小时浓度范围＜10，TVOC 8小时均值</w:t>
      </w:r>
      <w:r>
        <w:t>浓度范围</w:t>
      </w:r>
      <w:r>
        <w:rPr>
          <w:rFonts w:hint="eastAsia"/>
        </w:rPr>
        <w:t>为0.35~0.44mg/m</w:t>
      </w:r>
      <w:r>
        <w:rPr>
          <w:rFonts w:hint="eastAsia"/>
          <w:vertAlign w:val="superscript"/>
        </w:rPr>
        <w:t>3</w:t>
      </w:r>
      <w:r>
        <w:rPr>
          <w:rFonts w:hint="eastAsia"/>
        </w:rPr>
        <w:t>，</w:t>
      </w:r>
      <w:r>
        <w:t>能够满足《环境影响评价技术导则大气环境》（HJ2.2-2018）附录D的限值要求。</w:t>
      </w:r>
      <w:r>
        <w:rPr>
          <w:rFonts w:hint="eastAsia"/>
        </w:rPr>
        <w:t>非甲烷总烃1小时浓度范围为0.21~0.45mg/m</w:t>
      </w:r>
      <w:r>
        <w:rPr>
          <w:rFonts w:hint="eastAsia"/>
          <w:vertAlign w:val="superscript"/>
        </w:rPr>
        <w:t>3</w:t>
      </w:r>
      <w:r>
        <w:rPr>
          <w:rFonts w:hint="eastAsia"/>
        </w:rPr>
        <w:t>，能够满足《大气综合污染物排放标准详解》第四章标准值说明中限值要求。</w:t>
      </w:r>
    </w:p>
    <w:p w14:paraId="1D3EBFF7">
      <w:pPr>
        <w:pStyle w:val="5"/>
        <w:spacing w:before="240" w:after="240"/>
      </w:pPr>
      <w:r>
        <w:t>地表水环境质量现状评价</w:t>
      </w:r>
      <w:bookmarkEnd w:id="234"/>
      <w:bookmarkEnd w:id="235"/>
      <w:bookmarkEnd w:id="236"/>
      <w:bookmarkEnd w:id="237"/>
    </w:p>
    <w:p w14:paraId="1D3EBFF9">
      <w:pPr>
        <w:pStyle w:val="6"/>
        <w:ind w:left="0" w:firstLine="482" w:firstLineChars="200"/>
      </w:pPr>
      <w:r>
        <w:rPr>
          <w:rFonts w:hint="eastAsia"/>
        </w:rPr>
        <w:t>共产主义渠</w:t>
      </w:r>
      <w:r>
        <w:t>水质现状</w:t>
      </w:r>
    </w:p>
    <w:p w14:paraId="51A298D5">
      <w:pPr>
        <w:ind w:firstLine="480"/>
      </w:pPr>
      <w:r>
        <w:rPr>
          <w:rFonts w:hint="eastAsia"/>
          <w:u w:val="single"/>
        </w:rPr>
        <w:t>为反映本项目纳污水体共产主义渠的环境质量现状，本次评价引用新乡市环境监测站编制的监测通报中2023年1-12月及2024年1-9月</w:t>
      </w:r>
      <w:r>
        <w:rPr>
          <w:rFonts w:hint="eastAsia"/>
          <w:bCs/>
          <w:u w:val="single"/>
        </w:rPr>
        <w:t>共产主义渠下马营断面</w:t>
      </w:r>
      <w:r>
        <w:rPr>
          <w:rFonts w:hint="eastAsia"/>
          <w:u w:val="single"/>
        </w:rPr>
        <w:t>监测数据，并对项目区域地表水环境现状进行对比分析。</w:t>
      </w:r>
      <w:r>
        <w:rPr>
          <w:rFonts w:hint="eastAsia"/>
        </w:rPr>
        <w:t>本项目地表水监测点位图见下图。</w:t>
      </w:r>
    </w:p>
    <w:p w14:paraId="33C15839">
      <w:pPr>
        <w:spacing w:line="360" w:lineRule="auto"/>
        <w:ind w:firstLine="0" w:firstLineChars="0"/>
      </w:pPr>
      <w:r>
        <w:drawing>
          <wp:inline distT="0" distB="0" distL="0" distR="0">
            <wp:extent cx="5278120" cy="3283585"/>
            <wp:effectExtent l="0" t="0" r="17780" b="12065"/>
            <wp:docPr id="100569096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0967" name="图片 1" descr="地图&#10;&#10;描述已自动生成"/>
                    <pic:cNvPicPr>
                      <a:picLocks noChangeAspect="1"/>
                    </pic:cNvPicPr>
                  </pic:nvPicPr>
                  <pic:blipFill>
                    <a:blip r:embed="rId70"/>
                    <a:stretch>
                      <a:fillRect/>
                    </a:stretch>
                  </pic:blipFill>
                  <pic:spPr>
                    <a:xfrm>
                      <a:off x="0" y="0"/>
                      <a:ext cx="5278120" cy="3283585"/>
                    </a:xfrm>
                    <a:prstGeom prst="rect">
                      <a:avLst/>
                    </a:prstGeom>
                  </pic:spPr>
                </pic:pic>
              </a:graphicData>
            </a:graphic>
          </wp:inline>
        </w:drawing>
      </w:r>
    </w:p>
    <w:p w14:paraId="2B38B65A">
      <w:pPr>
        <w:pStyle w:val="136"/>
        <w:numPr>
          <w:ilvl w:val="4"/>
          <w:numId w:val="24"/>
        </w:numPr>
        <w:spacing w:before="120" w:beforeLines="50" w:after="120" w:afterLines="50" w:line="240" w:lineRule="auto"/>
        <w:ind w:left="0" w:firstLine="0"/>
        <w:jc w:val="center"/>
        <w:rPr>
          <w:b/>
          <w:sz w:val="24"/>
        </w:rPr>
      </w:pPr>
      <w:r>
        <w:rPr>
          <w:rFonts w:hint="eastAsia"/>
          <w:b/>
          <w:sz w:val="24"/>
        </w:rPr>
        <w:t xml:space="preserve">    </w:t>
      </w:r>
      <w:r>
        <w:rPr>
          <w:b/>
          <w:sz w:val="24"/>
        </w:rPr>
        <w:t>项目附近地表水体分布示意图</w:t>
      </w:r>
    </w:p>
    <w:p w14:paraId="39B86C85">
      <w:pPr>
        <w:ind w:firstLine="480" w:firstLineChars="0"/>
      </w:pPr>
      <w:r>
        <w:t>新乡市环境监测站编制的例行监测中</w:t>
      </w:r>
      <w:r>
        <w:rPr>
          <w:rFonts w:hint="eastAsia"/>
          <w:bCs/>
        </w:rPr>
        <w:t>共产主义渠下马营断面</w:t>
      </w:r>
      <w:r>
        <w:rPr>
          <w:rFonts w:hint="eastAsia"/>
          <w:szCs w:val="24"/>
        </w:rPr>
        <w:t>202</w:t>
      </w:r>
      <w:r>
        <w:rPr>
          <w:szCs w:val="24"/>
        </w:rPr>
        <w:t>3</w:t>
      </w:r>
      <w:r>
        <w:rPr>
          <w:rFonts w:hint="eastAsia"/>
          <w:szCs w:val="24"/>
        </w:rPr>
        <w:t>年1-12月及2024年1-9月</w:t>
      </w:r>
      <w:r>
        <w:t>监测结果统计详见下表。</w:t>
      </w:r>
    </w:p>
    <w:p w14:paraId="7327EB47">
      <w:pPr>
        <w:numPr>
          <w:ilvl w:val="0"/>
          <w:numId w:val="23"/>
        </w:numPr>
        <w:adjustRightInd/>
        <w:snapToGrid/>
        <w:ind w:firstLineChars="0"/>
        <w:textAlignment w:val="auto"/>
        <w:rPr>
          <w:rFonts w:eastAsia="黑体"/>
          <w:u w:val="single"/>
        </w:rPr>
      </w:pPr>
      <w:r>
        <w:rPr>
          <w:rFonts w:hint="eastAsia" w:eastAsia="黑体"/>
          <w:bCs/>
          <w:u w:val="single"/>
        </w:rPr>
        <w:t xml:space="preserve">  下马营断面</w:t>
      </w:r>
      <w:r>
        <w:rPr>
          <w:rFonts w:hint="eastAsia" w:eastAsia="黑体"/>
          <w:u w:val="single"/>
        </w:rPr>
        <w:t>202</w:t>
      </w:r>
      <w:r>
        <w:rPr>
          <w:rFonts w:eastAsia="黑体"/>
          <w:u w:val="single"/>
        </w:rPr>
        <w:t>3</w:t>
      </w:r>
      <w:r>
        <w:rPr>
          <w:rFonts w:hint="eastAsia" w:eastAsia="黑体"/>
          <w:u w:val="single"/>
        </w:rPr>
        <w:t>年及2024年</w:t>
      </w:r>
      <w:r>
        <w:rPr>
          <w:rFonts w:eastAsia="黑体"/>
          <w:u w:val="single"/>
        </w:rPr>
        <w:t>水质例行监测结果统计一览表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1050"/>
        <w:gridCol w:w="1241"/>
        <w:gridCol w:w="985"/>
        <w:gridCol w:w="993"/>
        <w:gridCol w:w="993"/>
        <w:gridCol w:w="993"/>
        <w:gridCol w:w="1133"/>
        <w:gridCol w:w="944"/>
      </w:tblGrid>
      <w:tr w14:paraId="799F09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630" w:type="pct"/>
            <w:vMerge w:val="restart"/>
            <w:tcBorders>
              <w:top w:val="single" w:color="auto" w:sz="8" w:space="0"/>
              <w:left w:val="single" w:color="auto" w:sz="8" w:space="0"/>
              <w:bottom w:val="single" w:color="auto" w:sz="6" w:space="0"/>
              <w:right w:val="single" w:color="auto" w:sz="6" w:space="0"/>
            </w:tcBorders>
            <w:vAlign w:val="center"/>
          </w:tcPr>
          <w:p w14:paraId="5D79EF23">
            <w:pPr>
              <w:pStyle w:val="67"/>
              <w:adjustRightInd w:val="0"/>
              <w:snapToGrid w:val="0"/>
              <w:rPr>
                <w:rFonts w:cs="Times New Roman"/>
                <w:color w:val="auto"/>
                <w:szCs w:val="21"/>
                <w:u w:val="single"/>
              </w:rPr>
            </w:pPr>
            <w:r>
              <w:rPr>
                <w:rFonts w:cs="Times New Roman"/>
                <w:color w:val="auto"/>
                <w:szCs w:val="21"/>
                <w:u w:val="single"/>
              </w:rPr>
              <w:t>监测项目</w:t>
            </w:r>
          </w:p>
        </w:tc>
        <w:tc>
          <w:tcPr>
            <w:tcW w:w="745" w:type="pct"/>
            <w:vMerge w:val="restart"/>
            <w:tcBorders>
              <w:top w:val="single" w:color="auto" w:sz="8" w:space="0"/>
              <w:left w:val="single" w:color="auto" w:sz="6" w:space="0"/>
              <w:bottom w:val="single" w:color="auto" w:sz="6" w:space="0"/>
              <w:right w:val="single" w:color="auto" w:sz="6" w:space="0"/>
            </w:tcBorders>
            <w:vAlign w:val="center"/>
          </w:tcPr>
          <w:p w14:paraId="29D804BB">
            <w:pPr>
              <w:pStyle w:val="67"/>
              <w:adjustRightInd w:val="0"/>
              <w:snapToGrid w:val="0"/>
              <w:rPr>
                <w:rFonts w:cs="Times New Roman"/>
                <w:color w:val="auto"/>
                <w:szCs w:val="21"/>
                <w:u w:val="single"/>
              </w:rPr>
            </w:pPr>
            <w:r>
              <w:rPr>
                <w:rFonts w:cs="Times New Roman"/>
                <w:color w:val="auto"/>
                <w:szCs w:val="21"/>
                <w:u w:val="single"/>
              </w:rPr>
              <w:t>监测时间</w:t>
            </w:r>
          </w:p>
        </w:tc>
        <w:tc>
          <w:tcPr>
            <w:tcW w:w="1782" w:type="pct"/>
            <w:gridSpan w:val="3"/>
            <w:tcBorders>
              <w:top w:val="single" w:color="auto" w:sz="8" w:space="0"/>
              <w:left w:val="single" w:color="auto" w:sz="6" w:space="0"/>
              <w:bottom w:val="single" w:color="auto" w:sz="6" w:space="0"/>
              <w:right w:val="single" w:color="auto" w:sz="6" w:space="0"/>
            </w:tcBorders>
            <w:vAlign w:val="center"/>
          </w:tcPr>
          <w:p w14:paraId="5F3A4CCD">
            <w:pPr>
              <w:pStyle w:val="67"/>
              <w:adjustRightInd w:val="0"/>
              <w:snapToGrid w:val="0"/>
              <w:rPr>
                <w:rFonts w:cs="Times New Roman"/>
                <w:color w:val="auto"/>
                <w:szCs w:val="21"/>
                <w:u w:val="single"/>
              </w:rPr>
            </w:pPr>
            <w:r>
              <w:rPr>
                <w:rFonts w:cs="Times New Roman"/>
                <w:color w:val="auto"/>
                <w:szCs w:val="21"/>
                <w:u w:val="single"/>
              </w:rPr>
              <w:t>监测结果（mg/L）</w:t>
            </w:r>
          </w:p>
        </w:tc>
        <w:tc>
          <w:tcPr>
            <w:tcW w:w="1842" w:type="pct"/>
            <w:gridSpan w:val="3"/>
            <w:tcBorders>
              <w:top w:val="single" w:color="auto" w:sz="8" w:space="0"/>
              <w:left w:val="single" w:color="auto" w:sz="6" w:space="0"/>
              <w:bottom w:val="single" w:color="auto" w:sz="6" w:space="0"/>
              <w:right w:val="single" w:color="auto" w:sz="8" w:space="0"/>
            </w:tcBorders>
            <w:vAlign w:val="center"/>
          </w:tcPr>
          <w:p w14:paraId="5AA150A1">
            <w:pPr>
              <w:pStyle w:val="67"/>
              <w:adjustRightInd w:val="0"/>
              <w:snapToGrid w:val="0"/>
              <w:rPr>
                <w:rFonts w:cs="Times New Roman"/>
                <w:color w:val="auto"/>
                <w:szCs w:val="21"/>
                <w:u w:val="single"/>
              </w:rPr>
            </w:pPr>
            <w:r>
              <w:rPr>
                <w:rFonts w:cs="Times New Roman"/>
                <w:color w:val="auto"/>
                <w:szCs w:val="21"/>
                <w:u w:val="single"/>
              </w:rPr>
              <w:t>污染指数</w:t>
            </w:r>
          </w:p>
        </w:tc>
      </w:tr>
      <w:tr w14:paraId="25D9EF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0" w:type="auto"/>
            <w:vMerge w:val="continue"/>
            <w:tcBorders>
              <w:top w:val="single" w:color="auto" w:sz="8" w:space="0"/>
              <w:left w:val="single" w:color="auto" w:sz="8" w:space="0"/>
              <w:bottom w:val="single" w:color="auto" w:sz="6" w:space="0"/>
              <w:right w:val="single" w:color="auto" w:sz="6" w:space="0"/>
            </w:tcBorders>
            <w:vAlign w:val="center"/>
          </w:tcPr>
          <w:p w14:paraId="653C6B9C">
            <w:pPr>
              <w:widowControl/>
              <w:spacing w:line="240" w:lineRule="auto"/>
              <w:ind w:firstLine="0" w:firstLineChars="0"/>
              <w:jc w:val="center"/>
              <w:rPr>
                <w:b/>
                <w:sz w:val="21"/>
                <w:szCs w:val="21"/>
                <w:u w:val="single"/>
              </w:rPr>
            </w:pPr>
          </w:p>
        </w:tc>
        <w:tc>
          <w:tcPr>
            <w:tcW w:w="0" w:type="auto"/>
            <w:vMerge w:val="continue"/>
            <w:tcBorders>
              <w:top w:val="single" w:color="auto" w:sz="8" w:space="0"/>
              <w:left w:val="single" w:color="auto" w:sz="6" w:space="0"/>
              <w:bottom w:val="single" w:color="auto" w:sz="6" w:space="0"/>
              <w:right w:val="single" w:color="auto" w:sz="6" w:space="0"/>
            </w:tcBorders>
            <w:vAlign w:val="center"/>
          </w:tcPr>
          <w:p w14:paraId="59F9201A">
            <w:pPr>
              <w:widowControl/>
              <w:spacing w:line="240" w:lineRule="auto"/>
              <w:ind w:firstLine="0" w:firstLineChars="0"/>
              <w:jc w:val="center"/>
              <w:rPr>
                <w:b/>
                <w:sz w:val="21"/>
                <w:szCs w:val="21"/>
                <w:u w:val="single"/>
              </w:rPr>
            </w:pPr>
          </w:p>
        </w:tc>
        <w:tc>
          <w:tcPr>
            <w:tcW w:w="591" w:type="pct"/>
            <w:tcBorders>
              <w:top w:val="single" w:color="auto" w:sz="6" w:space="0"/>
              <w:left w:val="single" w:color="auto" w:sz="6" w:space="0"/>
              <w:bottom w:val="single" w:color="auto" w:sz="6" w:space="0"/>
              <w:right w:val="single" w:color="auto" w:sz="6" w:space="0"/>
            </w:tcBorders>
            <w:vAlign w:val="center"/>
          </w:tcPr>
          <w:p w14:paraId="45517CE2">
            <w:pPr>
              <w:pStyle w:val="67"/>
              <w:adjustRightInd w:val="0"/>
              <w:snapToGrid w:val="0"/>
              <w:rPr>
                <w:rFonts w:cs="Times New Roman"/>
                <w:color w:val="auto"/>
                <w:szCs w:val="21"/>
                <w:u w:val="single"/>
              </w:rPr>
            </w:pPr>
            <w:r>
              <w:rPr>
                <w:rFonts w:hint="eastAsia" w:cs="Times New Roman"/>
                <w:color w:val="auto"/>
                <w:szCs w:val="21"/>
                <w:u w:val="single"/>
              </w:rPr>
              <w:t>高锰酸盐指数</w:t>
            </w:r>
          </w:p>
        </w:tc>
        <w:tc>
          <w:tcPr>
            <w:tcW w:w="596" w:type="pct"/>
            <w:tcBorders>
              <w:top w:val="single" w:color="auto" w:sz="6" w:space="0"/>
              <w:left w:val="single" w:color="auto" w:sz="6" w:space="0"/>
              <w:bottom w:val="single" w:color="auto" w:sz="6" w:space="0"/>
              <w:right w:val="single" w:color="auto" w:sz="6" w:space="0"/>
            </w:tcBorders>
            <w:vAlign w:val="center"/>
          </w:tcPr>
          <w:p w14:paraId="6230B21B">
            <w:pPr>
              <w:pStyle w:val="67"/>
              <w:adjustRightInd w:val="0"/>
              <w:snapToGrid w:val="0"/>
              <w:rPr>
                <w:rFonts w:cs="Times New Roman"/>
                <w:color w:val="auto"/>
                <w:szCs w:val="21"/>
                <w:u w:val="single"/>
              </w:rPr>
            </w:pPr>
            <w:r>
              <w:rPr>
                <w:rFonts w:cs="Times New Roman"/>
                <w:color w:val="auto"/>
                <w:szCs w:val="21"/>
                <w:u w:val="single"/>
              </w:rPr>
              <w:t>NH</w:t>
            </w:r>
            <w:r>
              <w:rPr>
                <w:rFonts w:cs="Times New Roman"/>
                <w:color w:val="auto"/>
                <w:szCs w:val="21"/>
                <w:u w:val="single"/>
                <w:vertAlign w:val="subscript"/>
              </w:rPr>
              <w:t>3</w:t>
            </w:r>
            <w:r>
              <w:rPr>
                <w:rFonts w:cs="Times New Roman"/>
                <w:color w:val="auto"/>
                <w:szCs w:val="21"/>
                <w:u w:val="single"/>
              </w:rPr>
              <w:t>-N</w:t>
            </w:r>
          </w:p>
        </w:tc>
        <w:tc>
          <w:tcPr>
            <w:tcW w:w="596" w:type="pct"/>
            <w:tcBorders>
              <w:top w:val="single" w:color="auto" w:sz="6" w:space="0"/>
              <w:left w:val="single" w:color="auto" w:sz="6" w:space="0"/>
              <w:bottom w:val="single" w:color="auto" w:sz="6" w:space="0"/>
              <w:right w:val="single" w:color="auto" w:sz="6" w:space="0"/>
            </w:tcBorders>
            <w:vAlign w:val="center"/>
          </w:tcPr>
          <w:p w14:paraId="012DA502">
            <w:pPr>
              <w:pStyle w:val="67"/>
              <w:adjustRightInd w:val="0"/>
              <w:snapToGrid w:val="0"/>
              <w:rPr>
                <w:rFonts w:cs="Times New Roman"/>
                <w:color w:val="auto"/>
                <w:szCs w:val="21"/>
                <w:u w:val="single"/>
              </w:rPr>
            </w:pPr>
            <w:r>
              <w:rPr>
                <w:rFonts w:cs="Times New Roman"/>
                <w:color w:val="auto"/>
                <w:szCs w:val="21"/>
                <w:u w:val="single"/>
              </w:rPr>
              <w:t>TP</w:t>
            </w:r>
          </w:p>
        </w:tc>
        <w:tc>
          <w:tcPr>
            <w:tcW w:w="596" w:type="pct"/>
            <w:tcBorders>
              <w:top w:val="single" w:color="auto" w:sz="6" w:space="0"/>
              <w:left w:val="single" w:color="auto" w:sz="6" w:space="0"/>
              <w:bottom w:val="single" w:color="auto" w:sz="6" w:space="0"/>
              <w:right w:val="single" w:color="auto" w:sz="6" w:space="0"/>
            </w:tcBorders>
            <w:vAlign w:val="center"/>
          </w:tcPr>
          <w:p w14:paraId="4F1FE01E">
            <w:pPr>
              <w:pStyle w:val="67"/>
              <w:adjustRightInd w:val="0"/>
              <w:snapToGrid w:val="0"/>
              <w:rPr>
                <w:rFonts w:cs="Times New Roman"/>
                <w:color w:val="auto"/>
                <w:szCs w:val="21"/>
                <w:u w:val="single"/>
              </w:rPr>
            </w:pPr>
            <w:r>
              <w:rPr>
                <w:rFonts w:hint="eastAsia" w:cs="Times New Roman"/>
                <w:color w:val="auto"/>
                <w:szCs w:val="21"/>
                <w:u w:val="single"/>
              </w:rPr>
              <w:t>高锰酸盐指数</w:t>
            </w:r>
          </w:p>
        </w:tc>
        <w:tc>
          <w:tcPr>
            <w:tcW w:w="680" w:type="pct"/>
            <w:tcBorders>
              <w:top w:val="single" w:color="auto" w:sz="6" w:space="0"/>
              <w:left w:val="single" w:color="auto" w:sz="6" w:space="0"/>
              <w:bottom w:val="single" w:color="auto" w:sz="6" w:space="0"/>
              <w:right w:val="single" w:color="auto" w:sz="6" w:space="0"/>
            </w:tcBorders>
            <w:vAlign w:val="center"/>
          </w:tcPr>
          <w:p w14:paraId="14E5C70E">
            <w:pPr>
              <w:pStyle w:val="67"/>
              <w:adjustRightInd w:val="0"/>
              <w:snapToGrid w:val="0"/>
              <w:rPr>
                <w:rFonts w:cs="Times New Roman"/>
                <w:color w:val="auto"/>
                <w:szCs w:val="21"/>
                <w:u w:val="single"/>
              </w:rPr>
            </w:pPr>
            <w:r>
              <w:rPr>
                <w:rFonts w:cs="Times New Roman"/>
                <w:color w:val="auto"/>
                <w:szCs w:val="21"/>
                <w:u w:val="single"/>
              </w:rPr>
              <w:t>NH</w:t>
            </w:r>
            <w:r>
              <w:rPr>
                <w:rFonts w:cs="Times New Roman"/>
                <w:color w:val="auto"/>
                <w:szCs w:val="21"/>
                <w:u w:val="single"/>
                <w:vertAlign w:val="subscript"/>
              </w:rPr>
              <w:t>3</w:t>
            </w:r>
            <w:r>
              <w:rPr>
                <w:rFonts w:cs="Times New Roman"/>
                <w:color w:val="auto"/>
                <w:szCs w:val="21"/>
                <w:u w:val="single"/>
              </w:rPr>
              <w:t>-N</w:t>
            </w:r>
          </w:p>
        </w:tc>
        <w:tc>
          <w:tcPr>
            <w:tcW w:w="566" w:type="pct"/>
            <w:tcBorders>
              <w:top w:val="single" w:color="auto" w:sz="6" w:space="0"/>
              <w:left w:val="single" w:color="auto" w:sz="6" w:space="0"/>
              <w:bottom w:val="single" w:color="auto" w:sz="6" w:space="0"/>
              <w:right w:val="single" w:color="auto" w:sz="8" w:space="0"/>
            </w:tcBorders>
            <w:vAlign w:val="center"/>
          </w:tcPr>
          <w:p w14:paraId="4E120F18">
            <w:pPr>
              <w:pStyle w:val="67"/>
              <w:adjustRightInd w:val="0"/>
              <w:snapToGrid w:val="0"/>
              <w:rPr>
                <w:rFonts w:cs="Times New Roman"/>
                <w:color w:val="auto"/>
                <w:szCs w:val="21"/>
                <w:u w:val="single"/>
              </w:rPr>
            </w:pPr>
            <w:r>
              <w:rPr>
                <w:rFonts w:cs="Times New Roman"/>
                <w:color w:val="auto"/>
                <w:szCs w:val="21"/>
                <w:u w:val="single"/>
              </w:rPr>
              <w:t>TP</w:t>
            </w:r>
          </w:p>
        </w:tc>
      </w:tr>
      <w:tr w14:paraId="34E332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630" w:type="pct"/>
            <w:vMerge w:val="restart"/>
            <w:tcBorders>
              <w:top w:val="single" w:color="auto" w:sz="6" w:space="0"/>
              <w:left w:val="single" w:color="auto" w:sz="8" w:space="0"/>
              <w:right w:val="single" w:color="auto" w:sz="6" w:space="0"/>
            </w:tcBorders>
            <w:vAlign w:val="center"/>
          </w:tcPr>
          <w:p w14:paraId="34C99F4B">
            <w:pPr>
              <w:pStyle w:val="62"/>
              <w:adjustRightInd w:val="0"/>
              <w:snapToGrid w:val="0"/>
              <w:contextualSpacing w:val="0"/>
              <w:rPr>
                <w:u w:val="single"/>
              </w:rPr>
            </w:pPr>
            <w:r>
              <w:rPr>
                <w:rFonts w:hint="eastAsia"/>
                <w:u w:val="single"/>
              </w:rPr>
              <w:t>下马营</w:t>
            </w:r>
            <w:r>
              <w:rPr>
                <w:u w:val="single"/>
              </w:rPr>
              <w:t>断面</w:t>
            </w:r>
          </w:p>
        </w:tc>
        <w:tc>
          <w:tcPr>
            <w:tcW w:w="745" w:type="pct"/>
            <w:tcBorders>
              <w:top w:val="single" w:color="auto" w:sz="6" w:space="0"/>
              <w:left w:val="single" w:color="auto" w:sz="6" w:space="0"/>
              <w:bottom w:val="single" w:color="auto" w:sz="6" w:space="0"/>
              <w:right w:val="single" w:color="auto" w:sz="6" w:space="0"/>
            </w:tcBorders>
            <w:vAlign w:val="center"/>
          </w:tcPr>
          <w:p w14:paraId="35F0CA80">
            <w:pPr>
              <w:pStyle w:val="62"/>
              <w:adjustRightInd w:val="0"/>
              <w:snapToGrid w:val="0"/>
              <w:contextualSpacing w:val="0"/>
              <w:rPr>
                <w:u w:val="single"/>
              </w:rPr>
            </w:pPr>
            <w:r>
              <w:rPr>
                <w:u w:val="single"/>
              </w:rPr>
              <w:t>2023.1</w:t>
            </w:r>
          </w:p>
        </w:tc>
        <w:tc>
          <w:tcPr>
            <w:tcW w:w="591" w:type="pct"/>
            <w:tcBorders>
              <w:top w:val="single" w:color="auto" w:sz="6" w:space="0"/>
              <w:left w:val="single" w:color="auto" w:sz="6" w:space="0"/>
              <w:bottom w:val="single" w:color="auto" w:sz="6" w:space="0"/>
              <w:right w:val="single" w:color="auto" w:sz="6" w:space="0"/>
            </w:tcBorders>
            <w:vAlign w:val="center"/>
          </w:tcPr>
          <w:p w14:paraId="71956A90">
            <w:pPr>
              <w:pStyle w:val="62"/>
              <w:adjustRightInd w:val="0"/>
              <w:snapToGrid w:val="0"/>
              <w:contextualSpacing w:val="0"/>
              <w:rPr>
                <w:u w:val="single"/>
              </w:rPr>
            </w:pPr>
            <w:r>
              <w:rPr>
                <w:u w:val="single"/>
              </w:rPr>
              <w:t>4.4</w:t>
            </w:r>
          </w:p>
        </w:tc>
        <w:tc>
          <w:tcPr>
            <w:tcW w:w="596" w:type="pct"/>
            <w:tcBorders>
              <w:top w:val="single" w:color="auto" w:sz="6" w:space="0"/>
              <w:left w:val="single" w:color="auto" w:sz="6" w:space="0"/>
              <w:bottom w:val="single" w:color="auto" w:sz="6" w:space="0"/>
              <w:right w:val="single" w:color="auto" w:sz="6" w:space="0"/>
            </w:tcBorders>
            <w:vAlign w:val="center"/>
          </w:tcPr>
          <w:p w14:paraId="0C25FCE5">
            <w:pPr>
              <w:pStyle w:val="62"/>
              <w:adjustRightInd w:val="0"/>
              <w:snapToGrid w:val="0"/>
              <w:contextualSpacing w:val="0"/>
              <w:rPr>
                <w:u w:val="single"/>
              </w:rPr>
            </w:pPr>
            <w:r>
              <w:rPr>
                <w:u w:val="single"/>
              </w:rPr>
              <w:t>0.82</w:t>
            </w:r>
          </w:p>
        </w:tc>
        <w:tc>
          <w:tcPr>
            <w:tcW w:w="596" w:type="pct"/>
            <w:tcBorders>
              <w:top w:val="single" w:color="auto" w:sz="6" w:space="0"/>
              <w:left w:val="single" w:color="auto" w:sz="6" w:space="0"/>
              <w:bottom w:val="single" w:color="auto" w:sz="6" w:space="0"/>
              <w:right w:val="single" w:color="auto" w:sz="6" w:space="0"/>
            </w:tcBorders>
            <w:vAlign w:val="center"/>
          </w:tcPr>
          <w:p w14:paraId="286383EE">
            <w:pPr>
              <w:pStyle w:val="62"/>
              <w:adjustRightInd w:val="0"/>
              <w:snapToGrid w:val="0"/>
              <w:contextualSpacing w:val="0"/>
              <w:rPr>
                <w:u w:val="single"/>
              </w:rPr>
            </w:pPr>
            <w:r>
              <w:rPr>
                <w:u w:val="single"/>
              </w:rPr>
              <w:t>0.302</w:t>
            </w:r>
          </w:p>
        </w:tc>
        <w:tc>
          <w:tcPr>
            <w:tcW w:w="596" w:type="pct"/>
            <w:tcBorders>
              <w:top w:val="single" w:color="auto" w:sz="6" w:space="0"/>
              <w:left w:val="single" w:color="auto" w:sz="6" w:space="0"/>
              <w:bottom w:val="single" w:color="auto" w:sz="6" w:space="0"/>
              <w:right w:val="single" w:color="auto" w:sz="6" w:space="0"/>
            </w:tcBorders>
            <w:vAlign w:val="bottom"/>
          </w:tcPr>
          <w:p w14:paraId="0CC917C8">
            <w:pPr>
              <w:spacing w:line="240" w:lineRule="auto"/>
              <w:ind w:firstLine="0" w:firstLineChars="0"/>
              <w:jc w:val="center"/>
              <w:rPr>
                <w:sz w:val="21"/>
                <w:szCs w:val="21"/>
                <w:u w:val="single"/>
              </w:rPr>
            </w:pPr>
            <w:r>
              <w:rPr>
                <w:rFonts w:hint="eastAsia"/>
                <w:sz w:val="21"/>
                <w:szCs w:val="21"/>
                <w:u w:val="single"/>
              </w:rPr>
              <w:t>0.44</w:t>
            </w:r>
          </w:p>
        </w:tc>
        <w:tc>
          <w:tcPr>
            <w:tcW w:w="680" w:type="pct"/>
            <w:tcBorders>
              <w:top w:val="single" w:color="auto" w:sz="6" w:space="0"/>
              <w:left w:val="single" w:color="auto" w:sz="6" w:space="0"/>
              <w:bottom w:val="single" w:color="auto" w:sz="6" w:space="0"/>
              <w:right w:val="single" w:color="auto" w:sz="6" w:space="0"/>
            </w:tcBorders>
            <w:vAlign w:val="bottom"/>
          </w:tcPr>
          <w:p w14:paraId="19A210BA">
            <w:pPr>
              <w:spacing w:line="240" w:lineRule="auto"/>
              <w:ind w:firstLine="0" w:firstLineChars="0"/>
              <w:jc w:val="center"/>
              <w:rPr>
                <w:sz w:val="21"/>
                <w:szCs w:val="21"/>
                <w:u w:val="single"/>
              </w:rPr>
            </w:pPr>
            <w:r>
              <w:rPr>
                <w:rFonts w:hint="eastAsia"/>
                <w:sz w:val="21"/>
                <w:szCs w:val="21"/>
                <w:u w:val="single"/>
              </w:rPr>
              <w:t>0.55</w:t>
            </w:r>
          </w:p>
        </w:tc>
        <w:tc>
          <w:tcPr>
            <w:tcW w:w="566" w:type="pct"/>
            <w:tcBorders>
              <w:top w:val="single" w:color="auto" w:sz="6" w:space="0"/>
              <w:left w:val="single" w:color="auto" w:sz="6" w:space="0"/>
              <w:bottom w:val="single" w:color="auto" w:sz="6" w:space="0"/>
              <w:right w:val="single" w:color="auto" w:sz="8" w:space="0"/>
            </w:tcBorders>
            <w:vAlign w:val="bottom"/>
          </w:tcPr>
          <w:p w14:paraId="79686477">
            <w:pPr>
              <w:spacing w:line="240" w:lineRule="auto"/>
              <w:ind w:firstLine="0" w:firstLineChars="0"/>
              <w:jc w:val="center"/>
              <w:rPr>
                <w:sz w:val="21"/>
                <w:szCs w:val="21"/>
                <w:u w:val="single"/>
              </w:rPr>
            </w:pPr>
            <w:r>
              <w:rPr>
                <w:rFonts w:hint="eastAsia"/>
                <w:sz w:val="21"/>
                <w:szCs w:val="21"/>
                <w:u w:val="single"/>
              </w:rPr>
              <w:t>1.01</w:t>
            </w:r>
          </w:p>
        </w:tc>
      </w:tr>
      <w:tr w14:paraId="22C4CF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0B18094C">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34295E8F">
            <w:pPr>
              <w:pStyle w:val="62"/>
              <w:adjustRightInd w:val="0"/>
              <w:snapToGrid w:val="0"/>
              <w:contextualSpacing w:val="0"/>
              <w:rPr>
                <w:u w:val="single"/>
              </w:rPr>
            </w:pPr>
            <w:r>
              <w:rPr>
                <w:u w:val="single"/>
              </w:rPr>
              <w:t>2023.2</w:t>
            </w:r>
          </w:p>
        </w:tc>
        <w:tc>
          <w:tcPr>
            <w:tcW w:w="591" w:type="pct"/>
            <w:tcBorders>
              <w:top w:val="single" w:color="auto" w:sz="6" w:space="0"/>
              <w:left w:val="single" w:color="auto" w:sz="6" w:space="0"/>
              <w:bottom w:val="single" w:color="auto" w:sz="6" w:space="0"/>
              <w:right w:val="single" w:color="auto" w:sz="6" w:space="0"/>
            </w:tcBorders>
            <w:vAlign w:val="center"/>
          </w:tcPr>
          <w:p w14:paraId="321D6566">
            <w:pPr>
              <w:pStyle w:val="62"/>
              <w:adjustRightInd w:val="0"/>
              <w:snapToGrid w:val="0"/>
              <w:contextualSpacing w:val="0"/>
              <w:rPr>
                <w:u w:val="single"/>
              </w:rPr>
            </w:pPr>
            <w:r>
              <w:rPr>
                <w:u w:val="single"/>
              </w:rPr>
              <w:t>3.7</w:t>
            </w:r>
          </w:p>
        </w:tc>
        <w:tc>
          <w:tcPr>
            <w:tcW w:w="596" w:type="pct"/>
            <w:tcBorders>
              <w:top w:val="single" w:color="auto" w:sz="6" w:space="0"/>
              <w:left w:val="single" w:color="auto" w:sz="6" w:space="0"/>
              <w:bottom w:val="single" w:color="auto" w:sz="6" w:space="0"/>
              <w:right w:val="single" w:color="auto" w:sz="6" w:space="0"/>
            </w:tcBorders>
            <w:vAlign w:val="center"/>
          </w:tcPr>
          <w:p w14:paraId="2CC7BE8A">
            <w:pPr>
              <w:pStyle w:val="62"/>
              <w:adjustRightInd w:val="0"/>
              <w:snapToGrid w:val="0"/>
              <w:contextualSpacing w:val="0"/>
              <w:rPr>
                <w:u w:val="single"/>
              </w:rPr>
            </w:pPr>
            <w:r>
              <w:rPr>
                <w:u w:val="single"/>
              </w:rPr>
              <w:t>0.51</w:t>
            </w:r>
          </w:p>
        </w:tc>
        <w:tc>
          <w:tcPr>
            <w:tcW w:w="596" w:type="pct"/>
            <w:tcBorders>
              <w:top w:val="single" w:color="auto" w:sz="6" w:space="0"/>
              <w:left w:val="single" w:color="auto" w:sz="6" w:space="0"/>
              <w:bottom w:val="single" w:color="auto" w:sz="6" w:space="0"/>
              <w:right w:val="single" w:color="auto" w:sz="6" w:space="0"/>
            </w:tcBorders>
            <w:vAlign w:val="center"/>
          </w:tcPr>
          <w:p w14:paraId="05E58EBA">
            <w:pPr>
              <w:pStyle w:val="62"/>
              <w:adjustRightInd w:val="0"/>
              <w:snapToGrid w:val="0"/>
              <w:contextualSpacing w:val="0"/>
              <w:rPr>
                <w:u w:val="single"/>
              </w:rPr>
            </w:pPr>
            <w:r>
              <w:rPr>
                <w:u w:val="single"/>
              </w:rPr>
              <w:t>0.152</w:t>
            </w:r>
          </w:p>
        </w:tc>
        <w:tc>
          <w:tcPr>
            <w:tcW w:w="596" w:type="pct"/>
            <w:tcBorders>
              <w:top w:val="single" w:color="auto" w:sz="6" w:space="0"/>
              <w:left w:val="single" w:color="auto" w:sz="6" w:space="0"/>
              <w:bottom w:val="single" w:color="auto" w:sz="6" w:space="0"/>
              <w:right w:val="single" w:color="auto" w:sz="6" w:space="0"/>
            </w:tcBorders>
            <w:vAlign w:val="bottom"/>
          </w:tcPr>
          <w:p w14:paraId="52A119D6">
            <w:pPr>
              <w:spacing w:line="240" w:lineRule="auto"/>
              <w:ind w:firstLine="0" w:firstLineChars="0"/>
              <w:jc w:val="center"/>
              <w:rPr>
                <w:sz w:val="21"/>
                <w:szCs w:val="21"/>
                <w:u w:val="single"/>
              </w:rPr>
            </w:pPr>
            <w:r>
              <w:rPr>
                <w:rFonts w:hint="eastAsia"/>
                <w:sz w:val="21"/>
                <w:szCs w:val="21"/>
                <w:u w:val="single"/>
              </w:rPr>
              <w:t>0.37</w:t>
            </w:r>
          </w:p>
        </w:tc>
        <w:tc>
          <w:tcPr>
            <w:tcW w:w="680" w:type="pct"/>
            <w:tcBorders>
              <w:top w:val="single" w:color="auto" w:sz="6" w:space="0"/>
              <w:left w:val="single" w:color="auto" w:sz="6" w:space="0"/>
              <w:bottom w:val="single" w:color="auto" w:sz="6" w:space="0"/>
              <w:right w:val="single" w:color="auto" w:sz="6" w:space="0"/>
            </w:tcBorders>
            <w:vAlign w:val="bottom"/>
          </w:tcPr>
          <w:p w14:paraId="0968FD4A">
            <w:pPr>
              <w:spacing w:line="240" w:lineRule="auto"/>
              <w:ind w:firstLine="0" w:firstLineChars="0"/>
              <w:jc w:val="center"/>
              <w:rPr>
                <w:sz w:val="21"/>
                <w:szCs w:val="21"/>
                <w:u w:val="single"/>
              </w:rPr>
            </w:pPr>
            <w:r>
              <w:rPr>
                <w:rFonts w:hint="eastAsia"/>
                <w:sz w:val="21"/>
                <w:szCs w:val="21"/>
                <w:u w:val="single"/>
              </w:rPr>
              <w:t>0.34</w:t>
            </w:r>
          </w:p>
        </w:tc>
        <w:tc>
          <w:tcPr>
            <w:tcW w:w="566" w:type="pct"/>
            <w:tcBorders>
              <w:top w:val="single" w:color="auto" w:sz="6" w:space="0"/>
              <w:left w:val="single" w:color="auto" w:sz="6" w:space="0"/>
              <w:bottom w:val="single" w:color="auto" w:sz="6" w:space="0"/>
              <w:right w:val="single" w:color="auto" w:sz="8" w:space="0"/>
            </w:tcBorders>
            <w:vAlign w:val="bottom"/>
          </w:tcPr>
          <w:p w14:paraId="1BC9AB7E">
            <w:pPr>
              <w:spacing w:line="240" w:lineRule="auto"/>
              <w:ind w:firstLine="0" w:firstLineChars="0"/>
              <w:jc w:val="center"/>
              <w:rPr>
                <w:sz w:val="21"/>
                <w:szCs w:val="21"/>
                <w:u w:val="single"/>
              </w:rPr>
            </w:pPr>
            <w:r>
              <w:rPr>
                <w:rFonts w:hint="eastAsia"/>
                <w:sz w:val="21"/>
                <w:szCs w:val="21"/>
                <w:u w:val="single"/>
              </w:rPr>
              <w:t>0.51</w:t>
            </w:r>
          </w:p>
        </w:tc>
      </w:tr>
      <w:tr w14:paraId="6E851C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735FDD96">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3FC4B71B">
            <w:pPr>
              <w:pStyle w:val="62"/>
              <w:adjustRightInd w:val="0"/>
              <w:snapToGrid w:val="0"/>
              <w:contextualSpacing w:val="0"/>
              <w:rPr>
                <w:u w:val="single"/>
              </w:rPr>
            </w:pPr>
            <w:r>
              <w:rPr>
                <w:u w:val="single"/>
              </w:rPr>
              <w:t>2023.3</w:t>
            </w:r>
          </w:p>
        </w:tc>
        <w:tc>
          <w:tcPr>
            <w:tcW w:w="591" w:type="pct"/>
            <w:tcBorders>
              <w:top w:val="single" w:color="auto" w:sz="6" w:space="0"/>
              <w:left w:val="single" w:color="auto" w:sz="6" w:space="0"/>
              <w:bottom w:val="single" w:color="auto" w:sz="6" w:space="0"/>
              <w:right w:val="single" w:color="auto" w:sz="6" w:space="0"/>
            </w:tcBorders>
            <w:vAlign w:val="center"/>
          </w:tcPr>
          <w:p w14:paraId="78B16B22">
            <w:pPr>
              <w:pStyle w:val="62"/>
              <w:adjustRightInd w:val="0"/>
              <w:snapToGrid w:val="0"/>
              <w:contextualSpacing w:val="0"/>
              <w:rPr>
                <w:u w:val="single"/>
              </w:rPr>
            </w:pPr>
            <w:r>
              <w:rPr>
                <w:u w:val="single"/>
              </w:rPr>
              <w:t>4.6</w:t>
            </w:r>
          </w:p>
        </w:tc>
        <w:tc>
          <w:tcPr>
            <w:tcW w:w="596" w:type="pct"/>
            <w:tcBorders>
              <w:top w:val="single" w:color="auto" w:sz="6" w:space="0"/>
              <w:left w:val="single" w:color="auto" w:sz="6" w:space="0"/>
              <w:bottom w:val="single" w:color="auto" w:sz="6" w:space="0"/>
              <w:right w:val="single" w:color="auto" w:sz="6" w:space="0"/>
            </w:tcBorders>
            <w:vAlign w:val="center"/>
          </w:tcPr>
          <w:p w14:paraId="4967FFDF">
            <w:pPr>
              <w:pStyle w:val="62"/>
              <w:adjustRightInd w:val="0"/>
              <w:snapToGrid w:val="0"/>
              <w:contextualSpacing w:val="0"/>
              <w:rPr>
                <w:u w:val="single"/>
              </w:rPr>
            </w:pPr>
            <w:r>
              <w:rPr>
                <w:u w:val="single"/>
              </w:rPr>
              <w:t>0.3</w:t>
            </w:r>
          </w:p>
        </w:tc>
        <w:tc>
          <w:tcPr>
            <w:tcW w:w="596" w:type="pct"/>
            <w:tcBorders>
              <w:top w:val="single" w:color="auto" w:sz="6" w:space="0"/>
              <w:left w:val="single" w:color="auto" w:sz="6" w:space="0"/>
              <w:bottom w:val="single" w:color="auto" w:sz="6" w:space="0"/>
              <w:right w:val="single" w:color="auto" w:sz="6" w:space="0"/>
            </w:tcBorders>
            <w:vAlign w:val="center"/>
          </w:tcPr>
          <w:p w14:paraId="35CFE60E">
            <w:pPr>
              <w:pStyle w:val="62"/>
              <w:adjustRightInd w:val="0"/>
              <w:snapToGrid w:val="0"/>
              <w:contextualSpacing w:val="0"/>
              <w:rPr>
                <w:u w:val="single"/>
              </w:rPr>
            </w:pPr>
            <w:r>
              <w:rPr>
                <w:u w:val="single"/>
              </w:rPr>
              <w:t>0.13</w:t>
            </w:r>
          </w:p>
        </w:tc>
        <w:tc>
          <w:tcPr>
            <w:tcW w:w="596" w:type="pct"/>
            <w:tcBorders>
              <w:top w:val="single" w:color="auto" w:sz="6" w:space="0"/>
              <w:left w:val="single" w:color="auto" w:sz="6" w:space="0"/>
              <w:bottom w:val="single" w:color="auto" w:sz="6" w:space="0"/>
              <w:right w:val="single" w:color="auto" w:sz="6" w:space="0"/>
            </w:tcBorders>
            <w:vAlign w:val="bottom"/>
          </w:tcPr>
          <w:p w14:paraId="03B96AFA">
            <w:pPr>
              <w:spacing w:line="240" w:lineRule="auto"/>
              <w:ind w:firstLine="0" w:firstLineChars="0"/>
              <w:jc w:val="center"/>
              <w:rPr>
                <w:sz w:val="21"/>
                <w:szCs w:val="21"/>
                <w:u w:val="single"/>
              </w:rPr>
            </w:pPr>
            <w:r>
              <w:rPr>
                <w:rFonts w:hint="eastAsia"/>
                <w:sz w:val="21"/>
                <w:szCs w:val="21"/>
                <w:u w:val="single"/>
              </w:rPr>
              <w:t>0.46</w:t>
            </w:r>
          </w:p>
        </w:tc>
        <w:tc>
          <w:tcPr>
            <w:tcW w:w="680" w:type="pct"/>
            <w:tcBorders>
              <w:top w:val="single" w:color="auto" w:sz="6" w:space="0"/>
              <w:left w:val="single" w:color="auto" w:sz="6" w:space="0"/>
              <w:bottom w:val="single" w:color="auto" w:sz="6" w:space="0"/>
              <w:right w:val="single" w:color="auto" w:sz="6" w:space="0"/>
            </w:tcBorders>
            <w:vAlign w:val="bottom"/>
          </w:tcPr>
          <w:p w14:paraId="7B499BA9">
            <w:pPr>
              <w:spacing w:line="240" w:lineRule="auto"/>
              <w:ind w:firstLine="0" w:firstLineChars="0"/>
              <w:jc w:val="center"/>
              <w:rPr>
                <w:sz w:val="21"/>
                <w:szCs w:val="21"/>
                <w:u w:val="single"/>
              </w:rPr>
            </w:pPr>
            <w:r>
              <w:rPr>
                <w:rFonts w:hint="eastAsia"/>
                <w:sz w:val="21"/>
                <w:szCs w:val="21"/>
                <w:u w:val="single"/>
              </w:rPr>
              <w:t>0.2</w:t>
            </w:r>
          </w:p>
        </w:tc>
        <w:tc>
          <w:tcPr>
            <w:tcW w:w="566" w:type="pct"/>
            <w:tcBorders>
              <w:top w:val="single" w:color="auto" w:sz="6" w:space="0"/>
              <w:left w:val="single" w:color="auto" w:sz="6" w:space="0"/>
              <w:bottom w:val="single" w:color="auto" w:sz="6" w:space="0"/>
              <w:right w:val="single" w:color="auto" w:sz="8" w:space="0"/>
            </w:tcBorders>
            <w:vAlign w:val="bottom"/>
          </w:tcPr>
          <w:p w14:paraId="51E58DFE">
            <w:pPr>
              <w:spacing w:line="240" w:lineRule="auto"/>
              <w:ind w:firstLine="0" w:firstLineChars="0"/>
              <w:jc w:val="center"/>
              <w:rPr>
                <w:sz w:val="21"/>
                <w:szCs w:val="21"/>
                <w:u w:val="single"/>
              </w:rPr>
            </w:pPr>
            <w:r>
              <w:rPr>
                <w:rFonts w:hint="eastAsia"/>
                <w:sz w:val="21"/>
                <w:szCs w:val="21"/>
                <w:u w:val="single"/>
              </w:rPr>
              <w:t>0.43</w:t>
            </w:r>
          </w:p>
        </w:tc>
      </w:tr>
      <w:tr w14:paraId="500BE3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03AF6C13">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7BD1C8F9">
            <w:pPr>
              <w:pStyle w:val="62"/>
              <w:adjustRightInd w:val="0"/>
              <w:snapToGrid w:val="0"/>
              <w:contextualSpacing w:val="0"/>
              <w:rPr>
                <w:u w:val="single"/>
              </w:rPr>
            </w:pPr>
            <w:r>
              <w:rPr>
                <w:u w:val="single"/>
              </w:rPr>
              <w:t>2023.4</w:t>
            </w:r>
          </w:p>
        </w:tc>
        <w:tc>
          <w:tcPr>
            <w:tcW w:w="591" w:type="pct"/>
            <w:tcBorders>
              <w:top w:val="single" w:color="auto" w:sz="6" w:space="0"/>
              <w:left w:val="single" w:color="auto" w:sz="6" w:space="0"/>
              <w:bottom w:val="single" w:color="auto" w:sz="6" w:space="0"/>
              <w:right w:val="single" w:color="auto" w:sz="6" w:space="0"/>
            </w:tcBorders>
            <w:vAlign w:val="center"/>
          </w:tcPr>
          <w:p w14:paraId="3A1801E0">
            <w:pPr>
              <w:pStyle w:val="62"/>
              <w:adjustRightInd w:val="0"/>
              <w:snapToGrid w:val="0"/>
              <w:contextualSpacing w:val="0"/>
              <w:rPr>
                <w:u w:val="single"/>
              </w:rPr>
            </w:pPr>
            <w:r>
              <w:rPr>
                <w:u w:val="single"/>
              </w:rPr>
              <w:t>6.3</w:t>
            </w:r>
          </w:p>
        </w:tc>
        <w:tc>
          <w:tcPr>
            <w:tcW w:w="596" w:type="pct"/>
            <w:tcBorders>
              <w:top w:val="single" w:color="auto" w:sz="6" w:space="0"/>
              <w:left w:val="single" w:color="auto" w:sz="6" w:space="0"/>
              <w:bottom w:val="single" w:color="auto" w:sz="6" w:space="0"/>
              <w:right w:val="single" w:color="auto" w:sz="6" w:space="0"/>
            </w:tcBorders>
            <w:vAlign w:val="center"/>
          </w:tcPr>
          <w:p w14:paraId="460CCD4F">
            <w:pPr>
              <w:pStyle w:val="62"/>
              <w:adjustRightInd w:val="0"/>
              <w:snapToGrid w:val="0"/>
              <w:contextualSpacing w:val="0"/>
              <w:rPr>
                <w:u w:val="single"/>
              </w:rPr>
            </w:pPr>
            <w:r>
              <w:rPr>
                <w:u w:val="single"/>
              </w:rPr>
              <w:t>0.4</w:t>
            </w:r>
          </w:p>
        </w:tc>
        <w:tc>
          <w:tcPr>
            <w:tcW w:w="596" w:type="pct"/>
            <w:tcBorders>
              <w:top w:val="single" w:color="auto" w:sz="6" w:space="0"/>
              <w:left w:val="single" w:color="auto" w:sz="6" w:space="0"/>
              <w:bottom w:val="single" w:color="auto" w:sz="6" w:space="0"/>
              <w:right w:val="single" w:color="auto" w:sz="6" w:space="0"/>
            </w:tcBorders>
            <w:vAlign w:val="center"/>
          </w:tcPr>
          <w:p w14:paraId="742D2EDB">
            <w:pPr>
              <w:pStyle w:val="62"/>
              <w:adjustRightInd w:val="0"/>
              <w:snapToGrid w:val="0"/>
              <w:contextualSpacing w:val="0"/>
              <w:rPr>
                <w:u w:val="single"/>
              </w:rPr>
            </w:pPr>
            <w:r>
              <w:rPr>
                <w:u w:val="single"/>
              </w:rPr>
              <w:t>0.10</w:t>
            </w:r>
          </w:p>
        </w:tc>
        <w:tc>
          <w:tcPr>
            <w:tcW w:w="596" w:type="pct"/>
            <w:tcBorders>
              <w:top w:val="single" w:color="auto" w:sz="6" w:space="0"/>
              <w:left w:val="single" w:color="auto" w:sz="6" w:space="0"/>
              <w:bottom w:val="single" w:color="auto" w:sz="6" w:space="0"/>
              <w:right w:val="single" w:color="auto" w:sz="6" w:space="0"/>
            </w:tcBorders>
            <w:vAlign w:val="bottom"/>
          </w:tcPr>
          <w:p w14:paraId="046B7BA0">
            <w:pPr>
              <w:spacing w:line="240" w:lineRule="auto"/>
              <w:ind w:firstLine="0" w:firstLineChars="0"/>
              <w:jc w:val="center"/>
              <w:rPr>
                <w:sz w:val="21"/>
                <w:szCs w:val="21"/>
                <w:u w:val="single"/>
              </w:rPr>
            </w:pPr>
            <w:r>
              <w:rPr>
                <w:rFonts w:hint="eastAsia"/>
                <w:sz w:val="21"/>
                <w:szCs w:val="21"/>
                <w:u w:val="single"/>
              </w:rPr>
              <w:t>0.63</w:t>
            </w:r>
          </w:p>
        </w:tc>
        <w:tc>
          <w:tcPr>
            <w:tcW w:w="680" w:type="pct"/>
            <w:tcBorders>
              <w:top w:val="single" w:color="auto" w:sz="6" w:space="0"/>
              <w:left w:val="single" w:color="auto" w:sz="6" w:space="0"/>
              <w:bottom w:val="single" w:color="auto" w:sz="6" w:space="0"/>
              <w:right w:val="single" w:color="auto" w:sz="6" w:space="0"/>
            </w:tcBorders>
            <w:vAlign w:val="bottom"/>
          </w:tcPr>
          <w:p w14:paraId="2A726A8A">
            <w:pPr>
              <w:spacing w:line="240" w:lineRule="auto"/>
              <w:ind w:firstLine="0" w:firstLineChars="0"/>
              <w:jc w:val="center"/>
              <w:rPr>
                <w:sz w:val="21"/>
                <w:szCs w:val="21"/>
                <w:u w:val="single"/>
              </w:rPr>
            </w:pPr>
            <w:r>
              <w:rPr>
                <w:rFonts w:hint="eastAsia"/>
                <w:sz w:val="21"/>
                <w:szCs w:val="21"/>
                <w:u w:val="single"/>
              </w:rPr>
              <w:t>0.27</w:t>
            </w:r>
          </w:p>
        </w:tc>
        <w:tc>
          <w:tcPr>
            <w:tcW w:w="566" w:type="pct"/>
            <w:tcBorders>
              <w:top w:val="single" w:color="auto" w:sz="6" w:space="0"/>
              <w:left w:val="single" w:color="auto" w:sz="6" w:space="0"/>
              <w:bottom w:val="single" w:color="auto" w:sz="6" w:space="0"/>
              <w:right w:val="single" w:color="auto" w:sz="8" w:space="0"/>
            </w:tcBorders>
            <w:vAlign w:val="bottom"/>
          </w:tcPr>
          <w:p w14:paraId="026DF991">
            <w:pPr>
              <w:spacing w:line="240" w:lineRule="auto"/>
              <w:ind w:firstLine="0" w:firstLineChars="0"/>
              <w:jc w:val="center"/>
              <w:rPr>
                <w:sz w:val="21"/>
                <w:szCs w:val="21"/>
                <w:u w:val="single"/>
              </w:rPr>
            </w:pPr>
            <w:r>
              <w:rPr>
                <w:rFonts w:hint="eastAsia"/>
                <w:sz w:val="21"/>
                <w:szCs w:val="21"/>
                <w:u w:val="single"/>
              </w:rPr>
              <w:t>0.33</w:t>
            </w:r>
          </w:p>
        </w:tc>
      </w:tr>
      <w:tr w14:paraId="7D5A3A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7321A052">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6C10700F">
            <w:pPr>
              <w:pStyle w:val="62"/>
              <w:adjustRightInd w:val="0"/>
              <w:snapToGrid w:val="0"/>
              <w:contextualSpacing w:val="0"/>
              <w:rPr>
                <w:u w:val="single"/>
              </w:rPr>
            </w:pPr>
            <w:r>
              <w:rPr>
                <w:u w:val="single"/>
              </w:rPr>
              <w:t>2023.5</w:t>
            </w:r>
          </w:p>
        </w:tc>
        <w:tc>
          <w:tcPr>
            <w:tcW w:w="591" w:type="pct"/>
            <w:tcBorders>
              <w:top w:val="single" w:color="auto" w:sz="6" w:space="0"/>
              <w:left w:val="single" w:color="auto" w:sz="6" w:space="0"/>
              <w:bottom w:val="single" w:color="auto" w:sz="6" w:space="0"/>
              <w:right w:val="single" w:color="auto" w:sz="6" w:space="0"/>
            </w:tcBorders>
            <w:vAlign w:val="center"/>
          </w:tcPr>
          <w:p w14:paraId="4DA7DC78">
            <w:pPr>
              <w:pStyle w:val="62"/>
              <w:adjustRightInd w:val="0"/>
              <w:snapToGrid w:val="0"/>
              <w:contextualSpacing w:val="0"/>
              <w:rPr>
                <w:u w:val="single"/>
              </w:rPr>
            </w:pPr>
            <w:r>
              <w:rPr>
                <w:u w:val="single"/>
              </w:rPr>
              <w:t>4.4</w:t>
            </w:r>
          </w:p>
        </w:tc>
        <w:tc>
          <w:tcPr>
            <w:tcW w:w="596" w:type="pct"/>
            <w:tcBorders>
              <w:top w:val="single" w:color="auto" w:sz="6" w:space="0"/>
              <w:left w:val="single" w:color="auto" w:sz="6" w:space="0"/>
              <w:bottom w:val="single" w:color="auto" w:sz="6" w:space="0"/>
              <w:right w:val="single" w:color="auto" w:sz="6" w:space="0"/>
            </w:tcBorders>
            <w:vAlign w:val="center"/>
          </w:tcPr>
          <w:p w14:paraId="3BC1CC86">
            <w:pPr>
              <w:pStyle w:val="62"/>
              <w:adjustRightInd w:val="0"/>
              <w:snapToGrid w:val="0"/>
              <w:contextualSpacing w:val="0"/>
              <w:rPr>
                <w:u w:val="single"/>
              </w:rPr>
            </w:pPr>
            <w:r>
              <w:rPr>
                <w:u w:val="single"/>
              </w:rPr>
              <w:t>0.7</w:t>
            </w:r>
          </w:p>
        </w:tc>
        <w:tc>
          <w:tcPr>
            <w:tcW w:w="596" w:type="pct"/>
            <w:tcBorders>
              <w:top w:val="single" w:color="auto" w:sz="6" w:space="0"/>
              <w:left w:val="single" w:color="auto" w:sz="6" w:space="0"/>
              <w:bottom w:val="single" w:color="auto" w:sz="6" w:space="0"/>
              <w:right w:val="single" w:color="auto" w:sz="6" w:space="0"/>
            </w:tcBorders>
            <w:vAlign w:val="center"/>
          </w:tcPr>
          <w:p w14:paraId="14CFFDDC">
            <w:pPr>
              <w:pStyle w:val="62"/>
              <w:adjustRightInd w:val="0"/>
              <w:snapToGrid w:val="0"/>
              <w:contextualSpacing w:val="0"/>
              <w:rPr>
                <w:u w:val="single"/>
              </w:rPr>
            </w:pPr>
            <w:r>
              <w:rPr>
                <w:u w:val="single"/>
              </w:rPr>
              <w:t>0.32</w:t>
            </w:r>
          </w:p>
        </w:tc>
        <w:tc>
          <w:tcPr>
            <w:tcW w:w="596" w:type="pct"/>
            <w:tcBorders>
              <w:top w:val="single" w:color="auto" w:sz="6" w:space="0"/>
              <w:left w:val="single" w:color="auto" w:sz="6" w:space="0"/>
              <w:bottom w:val="single" w:color="auto" w:sz="6" w:space="0"/>
              <w:right w:val="single" w:color="auto" w:sz="6" w:space="0"/>
            </w:tcBorders>
            <w:vAlign w:val="bottom"/>
          </w:tcPr>
          <w:p w14:paraId="0A4A97D9">
            <w:pPr>
              <w:spacing w:line="240" w:lineRule="auto"/>
              <w:ind w:firstLine="0" w:firstLineChars="0"/>
              <w:jc w:val="center"/>
              <w:rPr>
                <w:sz w:val="21"/>
                <w:szCs w:val="21"/>
                <w:u w:val="single"/>
              </w:rPr>
            </w:pPr>
            <w:r>
              <w:rPr>
                <w:rFonts w:hint="eastAsia"/>
                <w:sz w:val="21"/>
                <w:szCs w:val="21"/>
                <w:u w:val="single"/>
              </w:rPr>
              <w:t>0.44</w:t>
            </w:r>
          </w:p>
        </w:tc>
        <w:tc>
          <w:tcPr>
            <w:tcW w:w="680" w:type="pct"/>
            <w:tcBorders>
              <w:top w:val="single" w:color="auto" w:sz="6" w:space="0"/>
              <w:left w:val="single" w:color="auto" w:sz="6" w:space="0"/>
              <w:bottom w:val="single" w:color="auto" w:sz="6" w:space="0"/>
              <w:right w:val="single" w:color="auto" w:sz="6" w:space="0"/>
            </w:tcBorders>
            <w:vAlign w:val="bottom"/>
          </w:tcPr>
          <w:p w14:paraId="6AB018C6">
            <w:pPr>
              <w:spacing w:line="240" w:lineRule="auto"/>
              <w:ind w:firstLine="0" w:firstLineChars="0"/>
              <w:jc w:val="center"/>
              <w:rPr>
                <w:sz w:val="21"/>
                <w:szCs w:val="21"/>
                <w:u w:val="single"/>
              </w:rPr>
            </w:pPr>
            <w:r>
              <w:rPr>
                <w:rFonts w:hint="eastAsia"/>
                <w:sz w:val="21"/>
                <w:szCs w:val="21"/>
                <w:u w:val="single"/>
              </w:rPr>
              <w:t>0.47</w:t>
            </w:r>
          </w:p>
        </w:tc>
        <w:tc>
          <w:tcPr>
            <w:tcW w:w="566" w:type="pct"/>
            <w:tcBorders>
              <w:top w:val="single" w:color="auto" w:sz="6" w:space="0"/>
              <w:left w:val="single" w:color="auto" w:sz="6" w:space="0"/>
              <w:bottom w:val="single" w:color="auto" w:sz="6" w:space="0"/>
              <w:right w:val="single" w:color="auto" w:sz="8" w:space="0"/>
            </w:tcBorders>
            <w:vAlign w:val="bottom"/>
          </w:tcPr>
          <w:p w14:paraId="00B365EF">
            <w:pPr>
              <w:spacing w:line="240" w:lineRule="auto"/>
              <w:ind w:firstLine="0" w:firstLineChars="0"/>
              <w:jc w:val="center"/>
              <w:rPr>
                <w:sz w:val="21"/>
                <w:szCs w:val="21"/>
                <w:u w:val="single"/>
              </w:rPr>
            </w:pPr>
            <w:r>
              <w:rPr>
                <w:rFonts w:hint="eastAsia"/>
                <w:sz w:val="21"/>
                <w:szCs w:val="21"/>
                <w:u w:val="single"/>
              </w:rPr>
              <w:t>1.06</w:t>
            </w:r>
          </w:p>
        </w:tc>
      </w:tr>
      <w:tr w14:paraId="155D9E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099332F3">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6F1650BE">
            <w:pPr>
              <w:pStyle w:val="62"/>
              <w:adjustRightInd w:val="0"/>
              <w:snapToGrid w:val="0"/>
              <w:contextualSpacing w:val="0"/>
              <w:rPr>
                <w:u w:val="single"/>
              </w:rPr>
            </w:pPr>
            <w:r>
              <w:rPr>
                <w:u w:val="single"/>
              </w:rPr>
              <w:t>2023.6</w:t>
            </w:r>
          </w:p>
        </w:tc>
        <w:tc>
          <w:tcPr>
            <w:tcW w:w="591" w:type="pct"/>
            <w:tcBorders>
              <w:top w:val="single" w:color="auto" w:sz="6" w:space="0"/>
              <w:left w:val="single" w:color="auto" w:sz="6" w:space="0"/>
              <w:bottom w:val="single" w:color="auto" w:sz="6" w:space="0"/>
              <w:right w:val="single" w:color="auto" w:sz="6" w:space="0"/>
            </w:tcBorders>
            <w:vAlign w:val="center"/>
          </w:tcPr>
          <w:p w14:paraId="46247944">
            <w:pPr>
              <w:pStyle w:val="62"/>
              <w:adjustRightInd w:val="0"/>
              <w:snapToGrid w:val="0"/>
              <w:contextualSpacing w:val="0"/>
              <w:rPr>
                <w:u w:val="single"/>
              </w:rPr>
            </w:pPr>
            <w:r>
              <w:rPr>
                <w:u w:val="single"/>
              </w:rPr>
              <w:t>6.1</w:t>
            </w:r>
          </w:p>
        </w:tc>
        <w:tc>
          <w:tcPr>
            <w:tcW w:w="596" w:type="pct"/>
            <w:tcBorders>
              <w:top w:val="single" w:color="auto" w:sz="6" w:space="0"/>
              <w:left w:val="single" w:color="auto" w:sz="6" w:space="0"/>
              <w:bottom w:val="single" w:color="auto" w:sz="6" w:space="0"/>
              <w:right w:val="single" w:color="auto" w:sz="6" w:space="0"/>
            </w:tcBorders>
            <w:vAlign w:val="center"/>
          </w:tcPr>
          <w:p w14:paraId="004D0371">
            <w:pPr>
              <w:pStyle w:val="62"/>
              <w:adjustRightInd w:val="0"/>
              <w:snapToGrid w:val="0"/>
              <w:contextualSpacing w:val="0"/>
              <w:rPr>
                <w:u w:val="single"/>
              </w:rPr>
            </w:pPr>
            <w:r>
              <w:rPr>
                <w:u w:val="single"/>
              </w:rPr>
              <w:t>0.5</w:t>
            </w:r>
          </w:p>
        </w:tc>
        <w:tc>
          <w:tcPr>
            <w:tcW w:w="596" w:type="pct"/>
            <w:tcBorders>
              <w:top w:val="single" w:color="auto" w:sz="6" w:space="0"/>
              <w:left w:val="single" w:color="auto" w:sz="6" w:space="0"/>
              <w:bottom w:val="single" w:color="auto" w:sz="6" w:space="0"/>
              <w:right w:val="single" w:color="auto" w:sz="6" w:space="0"/>
            </w:tcBorders>
            <w:vAlign w:val="center"/>
          </w:tcPr>
          <w:p w14:paraId="2589C272">
            <w:pPr>
              <w:pStyle w:val="62"/>
              <w:adjustRightInd w:val="0"/>
              <w:snapToGrid w:val="0"/>
              <w:contextualSpacing w:val="0"/>
              <w:rPr>
                <w:u w:val="single"/>
              </w:rPr>
            </w:pPr>
            <w:r>
              <w:rPr>
                <w:u w:val="single"/>
              </w:rPr>
              <w:t>0.29</w:t>
            </w:r>
          </w:p>
        </w:tc>
        <w:tc>
          <w:tcPr>
            <w:tcW w:w="596" w:type="pct"/>
            <w:tcBorders>
              <w:top w:val="single" w:color="auto" w:sz="6" w:space="0"/>
              <w:left w:val="single" w:color="auto" w:sz="6" w:space="0"/>
              <w:bottom w:val="single" w:color="auto" w:sz="6" w:space="0"/>
              <w:right w:val="single" w:color="auto" w:sz="6" w:space="0"/>
            </w:tcBorders>
            <w:vAlign w:val="center"/>
          </w:tcPr>
          <w:p w14:paraId="30F55254">
            <w:pPr>
              <w:spacing w:line="240" w:lineRule="auto"/>
              <w:ind w:firstLine="0" w:firstLineChars="0"/>
              <w:jc w:val="center"/>
              <w:rPr>
                <w:sz w:val="21"/>
                <w:szCs w:val="21"/>
                <w:u w:val="single"/>
              </w:rPr>
            </w:pPr>
            <w:r>
              <w:rPr>
                <w:rFonts w:hint="eastAsia"/>
                <w:sz w:val="21"/>
                <w:szCs w:val="21"/>
                <w:u w:val="single"/>
              </w:rPr>
              <w:t>0.61</w:t>
            </w:r>
          </w:p>
        </w:tc>
        <w:tc>
          <w:tcPr>
            <w:tcW w:w="680" w:type="pct"/>
            <w:tcBorders>
              <w:top w:val="single" w:color="auto" w:sz="6" w:space="0"/>
              <w:left w:val="single" w:color="auto" w:sz="6" w:space="0"/>
              <w:bottom w:val="single" w:color="auto" w:sz="6" w:space="0"/>
              <w:right w:val="single" w:color="auto" w:sz="6" w:space="0"/>
            </w:tcBorders>
            <w:vAlign w:val="center"/>
          </w:tcPr>
          <w:p w14:paraId="4E642A3F">
            <w:pPr>
              <w:spacing w:line="240" w:lineRule="auto"/>
              <w:ind w:firstLine="0" w:firstLineChars="0"/>
              <w:jc w:val="center"/>
              <w:rPr>
                <w:sz w:val="21"/>
                <w:szCs w:val="21"/>
                <w:u w:val="single"/>
              </w:rPr>
            </w:pPr>
            <w:r>
              <w:rPr>
                <w:rFonts w:hint="eastAsia"/>
                <w:sz w:val="21"/>
                <w:szCs w:val="21"/>
                <w:u w:val="single"/>
              </w:rPr>
              <w:t>0.33</w:t>
            </w:r>
          </w:p>
        </w:tc>
        <w:tc>
          <w:tcPr>
            <w:tcW w:w="566" w:type="pct"/>
            <w:tcBorders>
              <w:top w:val="single" w:color="auto" w:sz="6" w:space="0"/>
              <w:left w:val="single" w:color="auto" w:sz="6" w:space="0"/>
              <w:bottom w:val="single" w:color="auto" w:sz="6" w:space="0"/>
              <w:right w:val="single" w:color="auto" w:sz="8" w:space="0"/>
            </w:tcBorders>
            <w:vAlign w:val="center"/>
          </w:tcPr>
          <w:p w14:paraId="73B58288">
            <w:pPr>
              <w:spacing w:line="240" w:lineRule="auto"/>
              <w:ind w:firstLine="0" w:firstLineChars="0"/>
              <w:jc w:val="center"/>
              <w:rPr>
                <w:sz w:val="21"/>
                <w:szCs w:val="21"/>
                <w:u w:val="single"/>
              </w:rPr>
            </w:pPr>
            <w:r>
              <w:rPr>
                <w:rFonts w:hint="eastAsia"/>
                <w:sz w:val="21"/>
                <w:szCs w:val="21"/>
                <w:u w:val="single"/>
              </w:rPr>
              <w:t>0.97</w:t>
            </w:r>
          </w:p>
        </w:tc>
      </w:tr>
      <w:tr w14:paraId="651DE7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43A31BEF">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63736F65">
            <w:pPr>
              <w:pStyle w:val="62"/>
              <w:adjustRightInd w:val="0"/>
              <w:snapToGrid w:val="0"/>
              <w:contextualSpacing w:val="0"/>
              <w:rPr>
                <w:u w:val="single"/>
              </w:rPr>
            </w:pPr>
            <w:r>
              <w:rPr>
                <w:u w:val="single"/>
              </w:rPr>
              <w:t>2023.7</w:t>
            </w:r>
          </w:p>
        </w:tc>
        <w:tc>
          <w:tcPr>
            <w:tcW w:w="591" w:type="pct"/>
            <w:tcBorders>
              <w:top w:val="single" w:color="auto" w:sz="6" w:space="0"/>
              <w:left w:val="single" w:color="auto" w:sz="6" w:space="0"/>
              <w:bottom w:val="single" w:color="auto" w:sz="6" w:space="0"/>
              <w:right w:val="single" w:color="auto" w:sz="6" w:space="0"/>
            </w:tcBorders>
            <w:vAlign w:val="center"/>
          </w:tcPr>
          <w:p w14:paraId="5E857225">
            <w:pPr>
              <w:pStyle w:val="62"/>
              <w:adjustRightInd w:val="0"/>
              <w:snapToGrid w:val="0"/>
              <w:contextualSpacing w:val="0"/>
              <w:rPr>
                <w:u w:val="single"/>
              </w:rPr>
            </w:pPr>
            <w:r>
              <w:rPr>
                <w:u w:val="single"/>
              </w:rPr>
              <w:t>4.9</w:t>
            </w:r>
          </w:p>
        </w:tc>
        <w:tc>
          <w:tcPr>
            <w:tcW w:w="596" w:type="pct"/>
            <w:tcBorders>
              <w:top w:val="single" w:color="auto" w:sz="6" w:space="0"/>
              <w:left w:val="single" w:color="auto" w:sz="6" w:space="0"/>
              <w:bottom w:val="single" w:color="auto" w:sz="6" w:space="0"/>
              <w:right w:val="single" w:color="auto" w:sz="6" w:space="0"/>
            </w:tcBorders>
            <w:vAlign w:val="center"/>
          </w:tcPr>
          <w:p w14:paraId="4078EA54">
            <w:pPr>
              <w:pStyle w:val="62"/>
              <w:adjustRightInd w:val="0"/>
              <w:snapToGrid w:val="0"/>
              <w:contextualSpacing w:val="0"/>
              <w:rPr>
                <w:u w:val="single"/>
              </w:rPr>
            </w:pPr>
            <w:r>
              <w:rPr>
                <w:u w:val="single"/>
              </w:rPr>
              <w:t>0.6</w:t>
            </w:r>
          </w:p>
        </w:tc>
        <w:tc>
          <w:tcPr>
            <w:tcW w:w="596" w:type="pct"/>
            <w:tcBorders>
              <w:top w:val="single" w:color="auto" w:sz="6" w:space="0"/>
              <w:left w:val="single" w:color="auto" w:sz="6" w:space="0"/>
              <w:bottom w:val="single" w:color="auto" w:sz="6" w:space="0"/>
              <w:right w:val="single" w:color="auto" w:sz="6" w:space="0"/>
            </w:tcBorders>
            <w:vAlign w:val="center"/>
          </w:tcPr>
          <w:p w14:paraId="79C28023">
            <w:pPr>
              <w:pStyle w:val="62"/>
              <w:adjustRightInd w:val="0"/>
              <w:snapToGrid w:val="0"/>
              <w:contextualSpacing w:val="0"/>
              <w:rPr>
                <w:u w:val="single"/>
              </w:rPr>
            </w:pPr>
            <w:r>
              <w:rPr>
                <w:u w:val="single"/>
              </w:rPr>
              <w:t>0.33</w:t>
            </w:r>
          </w:p>
        </w:tc>
        <w:tc>
          <w:tcPr>
            <w:tcW w:w="596" w:type="pct"/>
            <w:tcBorders>
              <w:top w:val="single" w:color="auto" w:sz="6" w:space="0"/>
              <w:left w:val="single" w:color="auto" w:sz="6" w:space="0"/>
              <w:bottom w:val="single" w:color="auto" w:sz="6" w:space="0"/>
              <w:right w:val="single" w:color="auto" w:sz="6" w:space="0"/>
            </w:tcBorders>
            <w:vAlign w:val="center"/>
          </w:tcPr>
          <w:p w14:paraId="35BAC6EF">
            <w:pPr>
              <w:spacing w:line="240" w:lineRule="auto"/>
              <w:ind w:firstLine="0" w:firstLineChars="0"/>
              <w:jc w:val="center"/>
              <w:rPr>
                <w:sz w:val="21"/>
                <w:szCs w:val="21"/>
                <w:u w:val="single"/>
              </w:rPr>
            </w:pPr>
            <w:r>
              <w:rPr>
                <w:rFonts w:hint="eastAsia"/>
                <w:sz w:val="21"/>
                <w:szCs w:val="21"/>
                <w:u w:val="single"/>
              </w:rPr>
              <w:t>0.49</w:t>
            </w:r>
          </w:p>
        </w:tc>
        <w:tc>
          <w:tcPr>
            <w:tcW w:w="680" w:type="pct"/>
            <w:tcBorders>
              <w:top w:val="single" w:color="auto" w:sz="6" w:space="0"/>
              <w:left w:val="single" w:color="auto" w:sz="6" w:space="0"/>
              <w:bottom w:val="single" w:color="auto" w:sz="6" w:space="0"/>
              <w:right w:val="single" w:color="auto" w:sz="6" w:space="0"/>
            </w:tcBorders>
            <w:vAlign w:val="center"/>
          </w:tcPr>
          <w:p w14:paraId="596EA15B">
            <w:pPr>
              <w:spacing w:line="240" w:lineRule="auto"/>
              <w:ind w:firstLine="0" w:firstLineChars="0"/>
              <w:jc w:val="center"/>
              <w:rPr>
                <w:sz w:val="21"/>
                <w:szCs w:val="21"/>
                <w:u w:val="single"/>
              </w:rPr>
            </w:pPr>
            <w:r>
              <w:rPr>
                <w:rFonts w:hint="eastAsia"/>
                <w:sz w:val="21"/>
                <w:szCs w:val="21"/>
                <w:u w:val="single"/>
              </w:rPr>
              <w:t>0.4</w:t>
            </w:r>
          </w:p>
        </w:tc>
        <w:tc>
          <w:tcPr>
            <w:tcW w:w="566" w:type="pct"/>
            <w:tcBorders>
              <w:top w:val="single" w:color="auto" w:sz="6" w:space="0"/>
              <w:left w:val="single" w:color="auto" w:sz="6" w:space="0"/>
              <w:bottom w:val="single" w:color="auto" w:sz="6" w:space="0"/>
              <w:right w:val="single" w:color="auto" w:sz="8" w:space="0"/>
            </w:tcBorders>
            <w:vAlign w:val="center"/>
          </w:tcPr>
          <w:p w14:paraId="0430F46F">
            <w:pPr>
              <w:spacing w:line="240" w:lineRule="auto"/>
              <w:ind w:firstLine="0" w:firstLineChars="0"/>
              <w:jc w:val="center"/>
              <w:rPr>
                <w:sz w:val="21"/>
                <w:szCs w:val="21"/>
                <w:u w:val="single"/>
              </w:rPr>
            </w:pPr>
            <w:r>
              <w:rPr>
                <w:rFonts w:hint="eastAsia"/>
                <w:sz w:val="21"/>
                <w:szCs w:val="21"/>
                <w:u w:val="single"/>
              </w:rPr>
              <w:t>1.1</w:t>
            </w:r>
          </w:p>
        </w:tc>
      </w:tr>
      <w:tr w14:paraId="3FA740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474D5E71">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7E2CEE49">
            <w:pPr>
              <w:pStyle w:val="62"/>
              <w:adjustRightInd w:val="0"/>
              <w:snapToGrid w:val="0"/>
              <w:contextualSpacing w:val="0"/>
              <w:rPr>
                <w:u w:val="single"/>
              </w:rPr>
            </w:pPr>
            <w:r>
              <w:rPr>
                <w:u w:val="single"/>
              </w:rPr>
              <w:t>2023.8</w:t>
            </w:r>
          </w:p>
        </w:tc>
        <w:tc>
          <w:tcPr>
            <w:tcW w:w="591" w:type="pct"/>
            <w:tcBorders>
              <w:top w:val="single" w:color="auto" w:sz="6" w:space="0"/>
              <w:left w:val="single" w:color="auto" w:sz="6" w:space="0"/>
              <w:bottom w:val="single" w:color="auto" w:sz="6" w:space="0"/>
              <w:right w:val="single" w:color="auto" w:sz="6" w:space="0"/>
            </w:tcBorders>
            <w:vAlign w:val="center"/>
          </w:tcPr>
          <w:p w14:paraId="1CBE7389">
            <w:pPr>
              <w:pStyle w:val="62"/>
              <w:adjustRightInd w:val="0"/>
              <w:snapToGrid w:val="0"/>
              <w:contextualSpacing w:val="0"/>
              <w:rPr>
                <w:u w:val="single"/>
              </w:rPr>
            </w:pPr>
            <w:r>
              <w:rPr>
                <w:u w:val="single"/>
              </w:rPr>
              <w:t>4.0</w:t>
            </w:r>
          </w:p>
        </w:tc>
        <w:tc>
          <w:tcPr>
            <w:tcW w:w="596" w:type="pct"/>
            <w:tcBorders>
              <w:top w:val="single" w:color="auto" w:sz="6" w:space="0"/>
              <w:left w:val="single" w:color="auto" w:sz="6" w:space="0"/>
              <w:bottom w:val="single" w:color="auto" w:sz="6" w:space="0"/>
              <w:right w:val="single" w:color="auto" w:sz="6" w:space="0"/>
            </w:tcBorders>
            <w:vAlign w:val="center"/>
          </w:tcPr>
          <w:p w14:paraId="516322EA">
            <w:pPr>
              <w:pStyle w:val="62"/>
              <w:adjustRightInd w:val="0"/>
              <w:snapToGrid w:val="0"/>
              <w:contextualSpacing w:val="0"/>
              <w:rPr>
                <w:u w:val="single"/>
              </w:rPr>
            </w:pPr>
            <w:r>
              <w:rPr>
                <w:u w:val="single"/>
              </w:rPr>
              <w:t>0.5</w:t>
            </w:r>
          </w:p>
        </w:tc>
        <w:tc>
          <w:tcPr>
            <w:tcW w:w="596" w:type="pct"/>
            <w:tcBorders>
              <w:top w:val="single" w:color="auto" w:sz="6" w:space="0"/>
              <w:left w:val="single" w:color="auto" w:sz="6" w:space="0"/>
              <w:bottom w:val="single" w:color="auto" w:sz="6" w:space="0"/>
              <w:right w:val="single" w:color="auto" w:sz="6" w:space="0"/>
            </w:tcBorders>
            <w:vAlign w:val="center"/>
          </w:tcPr>
          <w:p w14:paraId="633F442C">
            <w:pPr>
              <w:pStyle w:val="62"/>
              <w:adjustRightInd w:val="0"/>
              <w:snapToGrid w:val="0"/>
              <w:contextualSpacing w:val="0"/>
              <w:rPr>
                <w:u w:val="single"/>
              </w:rPr>
            </w:pPr>
            <w:r>
              <w:rPr>
                <w:u w:val="single"/>
              </w:rPr>
              <w:t>0.29</w:t>
            </w:r>
          </w:p>
        </w:tc>
        <w:tc>
          <w:tcPr>
            <w:tcW w:w="596" w:type="pct"/>
            <w:tcBorders>
              <w:top w:val="single" w:color="auto" w:sz="6" w:space="0"/>
              <w:left w:val="single" w:color="auto" w:sz="6" w:space="0"/>
              <w:bottom w:val="single" w:color="auto" w:sz="6" w:space="0"/>
              <w:right w:val="single" w:color="auto" w:sz="6" w:space="0"/>
            </w:tcBorders>
            <w:vAlign w:val="center"/>
          </w:tcPr>
          <w:p w14:paraId="0D272BAC">
            <w:pPr>
              <w:spacing w:line="240" w:lineRule="auto"/>
              <w:ind w:firstLine="0" w:firstLineChars="0"/>
              <w:jc w:val="center"/>
              <w:rPr>
                <w:sz w:val="21"/>
                <w:szCs w:val="21"/>
                <w:u w:val="single"/>
              </w:rPr>
            </w:pPr>
            <w:r>
              <w:rPr>
                <w:rFonts w:hint="eastAsia"/>
                <w:sz w:val="21"/>
                <w:szCs w:val="21"/>
                <w:u w:val="single"/>
              </w:rPr>
              <w:t>0.4</w:t>
            </w:r>
          </w:p>
        </w:tc>
        <w:tc>
          <w:tcPr>
            <w:tcW w:w="680" w:type="pct"/>
            <w:tcBorders>
              <w:top w:val="single" w:color="auto" w:sz="6" w:space="0"/>
              <w:left w:val="single" w:color="auto" w:sz="6" w:space="0"/>
              <w:bottom w:val="single" w:color="auto" w:sz="6" w:space="0"/>
              <w:right w:val="single" w:color="auto" w:sz="6" w:space="0"/>
            </w:tcBorders>
            <w:vAlign w:val="center"/>
          </w:tcPr>
          <w:p w14:paraId="32C3173D">
            <w:pPr>
              <w:spacing w:line="240" w:lineRule="auto"/>
              <w:ind w:firstLine="0" w:firstLineChars="0"/>
              <w:jc w:val="center"/>
              <w:rPr>
                <w:sz w:val="21"/>
                <w:szCs w:val="21"/>
                <w:u w:val="single"/>
              </w:rPr>
            </w:pPr>
            <w:r>
              <w:rPr>
                <w:rFonts w:hint="eastAsia"/>
                <w:sz w:val="21"/>
                <w:szCs w:val="21"/>
                <w:u w:val="single"/>
              </w:rPr>
              <w:t>0.33</w:t>
            </w:r>
          </w:p>
        </w:tc>
        <w:tc>
          <w:tcPr>
            <w:tcW w:w="566" w:type="pct"/>
            <w:tcBorders>
              <w:top w:val="single" w:color="auto" w:sz="6" w:space="0"/>
              <w:left w:val="single" w:color="auto" w:sz="6" w:space="0"/>
              <w:bottom w:val="single" w:color="auto" w:sz="6" w:space="0"/>
              <w:right w:val="single" w:color="auto" w:sz="8" w:space="0"/>
            </w:tcBorders>
            <w:vAlign w:val="center"/>
          </w:tcPr>
          <w:p w14:paraId="015F4A05">
            <w:pPr>
              <w:spacing w:line="240" w:lineRule="auto"/>
              <w:ind w:firstLine="0" w:firstLineChars="0"/>
              <w:jc w:val="center"/>
              <w:rPr>
                <w:sz w:val="21"/>
                <w:szCs w:val="21"/>
                <w:u w:val="single"/>
              </w:rPr>
            </w:pPr>
            <w:r>
              <w:rPr>
                <w:rFonts w:hint="eastAsia"/>
                <w:sz w:val="21"/>
                <w:szCs w:val="21"/>
                <w:u w:val="single"/>
              </w:rPr>
              <w:t>0.97</w:t>
            </w:r>
          </w:p>
        </w:tc>
      </w:tr>
      <w:tr w14:paraId="09133C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0E63B3BF">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21F35B83">
            <w:pPr>
              <w:pStyle w:val="62"/>
              <w:adjustRightInd w:val="0"/>
              <w:snapToGrid w:val="0"/>
              <w:contextualSpacing w:val="0"/>
              <w:rPr>
                <w:u w:val="single"/>
              </w:rPr>
            </w:pPr>
            <w:r>
              <w:rPr>
                <w:u w:val="single"/>
              </w:rPr>
              <w:t>2023.9</w:t>
            </w:r>
          </w:p>
        </w:tc>
        <w:tc>
          <w:tcPr>
            <w:tcW w:w="591" w:type="pct"/>
            <w:tcBorders>
              <w:top w:val="single" w:color="auto" w:sz="6" w:space="0"/>
              <w:left w:val="single" w:color="auto" w:sz="6" w:space="0"/>
              <w:bottom w:val="single" w:color="auto" w:sz="6" w:space="0"/>
              <w:right w:val="single" w:color="auto" w:sz="6" w:space="0"/>
            </w:tcBorders>
            <w:vAlign w:val="center"/>
          </w:tcPr>
          <w:p w14:paraId="100A821D">
            <w:pPr>
              <w:pStyle w:val="62"/>
              <w:adjustRightInd w:val="0"/>
              <w:snapToGrid w:val="0"/>
              <w:contextualSpacing w:val="0"/>
              <w:rPr>
                <w:u w:val="single"/>
              </w:rPr>
            </w:pPr>
            <w:r>
              <w:rPr>
                <w:u w:val="single"/>
              </w:rPr>
              <w:t>3.3</w:t>
            </w:r>
          </w:p>
        </w:tc>
        <w:tc>
          <w:tcPr>
            <w:tcW w:w="596" w:type="pct"/>
            <w:tcBorders>
              <w:top w:val="single" w:color="auto" w:sz="6" w:space="0"/>
              <w:left w:val="single" w:color="auto" w:sz="6" w:space="0"/>
              <w:bottom w:val="single" w:color="auto" w:sz="6" w:space="0"/>
              <w:right w:val="single" w:color="auto" w:sz="6" w:space="0"/>
            </w:tcBorders>
            <w:vAlign w:val="center"/>
          </w:tcPr>
          <w:p w14:paraId="7E2E5DFC">
            <w:pPr>
              <w:pStyle w:val="62"/>
              <w:adjustRightInd w:val="0"/>
              <w:snapToGrid w:val="0"/>
              <w:contextualSpacing w:val="0"/>
              <w:rPr>
                <w:u w:val="single"/>
              </w:rPr>
            </w:pPr>
            <w:r>
              <w:rPr>
                <w:u w:val="single"/>
              </w:rPr>
              <w:t>0.6</w:t>
            </w:r>
          </w:p>
        </w:tc>
        <w:tc>
          <w:tcPr>
            <w:tcW w:w="596" w:type="pct"/>
            <w:tcBorders>
              <w:top w:val="single" w:color="auto" w:sz="6" w:space="0"/>
              <w:left w:val="single" w:color="auto" w:sz="6" w:space="0"/>
              <w:bottom w:val="single" w:color="auto" w:sz="6" w:space="0"/>
              <w:right w:val="single" w:color="auto" w:sz="6" w:space="0"/>
            </w:tcBorders>
            <w:vAlign w:val="center"/>
          </w:tcPr>
          <w:p w14:paraId="53D88960">
            <w:pPr>
              <w:pStyle w:val="62"/>
              <w:adjustRightInd w:val="0"/>
              <w:snapToGrid w:val="0"/>
              <w:contextualSpacing w:val="0"/>
              <w:rPr>
                <w:u w:val="single"/>
              </w:rPr>
            </w:pPr>
            <w:r>
              <w:rPr>
                <w:u w:val="single"/>
              </w:rPr>
              <w:t>0.28</w:t>
            </w:r>
          </w:p>
        </w:tc>
        <w:tc>
          <w:tcPr>
            <w:tcW w:w="596" w:type="pct"/>
            <w:tcBorders>
              <w:top w:val="single" w:color="auto" w:sz="6" w:space="0"/>
              <w:left w:val="single" w:color="auto" w:sz="6" w:space="0"/>
              <w:bottom w:val="single" w:color="auto" w:sz="6" w:space="0"/>
              <w:right w:val="single" w:color="auto" w:sz="6" w:space="0"/>
            </w:tcBorders>
            <w:vAlign w:val="center"/>
          </w:tcPr>
          <w:p w14:paraId="351B1964">
            <w:pPr>
              <w:spacing w:line="240" w:lineRule="auto"/>
              <w:ind w:firstLine="0" w:firstLineChars="0"/>
              <w:jc w:val="center"/>
              <w:rPr>
                <w:sz w:val="21"/>
                <w:szCs w:val="21"/>
                <w:u w:val="single"/>
              </w:rPr>
            </w:pPr>
            <w:r>
              <w:rPr>
                <w:rFonts w:hint="eastAsia"/>
                <w:sz w:val="21"/>
                <w:szCs w:val="21"/>
                <w:u w:val="single"/>
              </w:rPr>
              <w:t>0.33</w:t>
            </w:r>
          </w:p>
        </w:tc>
        <w:tc>
          <w:tcPr>
            <w:tcW w:w="680" w:type="pct"/>
            <w:tcBorders>
              <w:top w:val="single" w:color="auto" w:sz="6" w:space="0"/>
              <w:left w:val="single" w:color="auto" w:sz="6" w:space="0"/>
              <w:bottom w:val="single" w:color="auto" w:sz="6" w:space="0"/>
              <w:right w:val="single" w:color="auto" w:sz="6" w:space="0"/>
            </w:tcBorders>
            <w:vAlign w:val="center"/>
          </w:tcPr>
          <w:p w14:paraId="6BA9F248">
            <w:pPr>
              <w:spacing w:line="240" w:lineRule="auto"/>
              <w:ind w:firstLine="0" w:firstLineChars="0"/>
              <w:jc w:val="center"/>
              <w:rPr>
                <w:sz w:val="21"/>
                <w:szCs w:val="21"/>
                <w:u w:val="single"/>
              </w:rPr>
            </w:pPr>
            <w:r>
              <w:rPr>
                <w:rFonts w:hint="eastAsia"/>
                <w:sz w:val="21"/>
                <w:szCs w:val="21"/>
                <w:u w:val="single"/>
              </w:rPr>
              <w:t>0.4</w:t>
            </w:r>
          </w:p>
        </w:tc>
        <w:tc>
          <w:tcPr>
            <w:tcW w:w="566" w:type="pct"/>
            <w:tcBorders>
              <w:top w:val="single" w:color="auto" w:sz="6" w:space="0"/>
              <w:left w:val="single" w:color="auto" w:sz="6" w:space="0"/>
              <w:bottom w:val="single" w:color="auto" w:sz="6" w:space="0"/>
              <w:right w:val="single" w:color="auto" w:sz="8" w:space="0"/>
            </w:tcBorders>
            <w:vAlign w:val="center"/>
          </w:tcPr>
          <w:p w14:paraId="71C0B601">
            <w:pPr>
              <w:spacing w:line="240" w:lineRule="auto"/>
              <w:ind w:firstLine="0" w:firstLineChars="0"/>
              <w:jc w:val="center"/>
              <w:rPr>
                <w:sz w:val="21"/>
                <w:szCs w:val="21"/>
                <w:u w:val="single"/>
              </w:rPr>
            </w:pPr>
            <w:r>
              <w:rPr>
                <w:rFonts w:hint="eastAsia"/>
                <w:sz w:val="21"/>
                <w:szCs w:val="21"/>
                <w:u w:val="single"/>
              </w:rPr>
              <w:t>0.93</w:t>
            </w:r>
          </w:p>
        </w:tc>
      </w:tr>
      <w:tr w14:paraId="6522F0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41FE0EA6">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4A84CF9E">
            <w:pPr>
              <w:pStyle w:val="62"/>
              <w:adjustRightInd w:val="0"/>
              <w:snapToGrid w:val="0"/>
              <w:contextualSpacing w:val="0"/>
              <w:rPr>
                <w:u w:val="single"/>
              </w:rPr>
            </w:pPr>
            <w:r>
              <w:rPr>
                <w:u w:val="single"/>
              </w:rPr>
              <w:t>2023.10</w:t>
            </w:r>
          </w:p>
        </w:tc>
        <w:tc>
          <w:tcPr>
            <w:tcW w:w="591" w:type="pct"/>
            <w:tcBorders>
              <w:top w:val="single" w:color="auto" w:sz="6" w:space="0"/>
              <w:left w:val="single" w:color="auto" w:sz="6" w:space="0"/>
              <w:bottom w:val="single" w:color="auto" w:sz="6" w:space="0"/>
              <w:right w:val="single" w:color="auto" w:sz="6" w:space="0"/>
            </w:tcBorders>
            <w:vAlign w:val="center"/>
          </w:tcPr>
          <w:p w14:paraId="641DCE04">
            <w:pPr>
              <w:pStyle w:val="62"/>
              <w:adjustRightInd w:val="0"/>
              <w:snapToGrid w:val="0"/>
              <w:contextualSpacing w:val="0"/>
              <w:rPr>
                <w:u w:val="single"/>
              </w:rPr>
            </w:pPr>
            <w:r>
              <w:rPr>
                <w:u w:val="single"/>
              </w:rPr>
              <w:t>2.8</w:t>
            </w:r>
          </w:p>
        </w:tc>
        <w:tc>
          <w:tcPr>
            <w:tcW w:w="596" w:type="pct"/>
            <w:tcBorders>
              <w:top w:val="single" w:color="auto" w:sz="6" w:space="0"/>
              <w:left w:val="single" w:color="auto" w:sz="6" w:space="0"/>
              <w:bottom w:val="single" w:color="auto" w:sz="6" w:space="0"/>
              <w:right w:val="single" w:color="auto" w:sz="6" w:space="0"/>
            </w:tcBorders>
            <w:vAlign w:val="center"/>
          </w:tcPr>
          <w:p w14:paraId="667565B0">
            <w:pPr>
              <w:pStyle w:val="62"/>
              <w:adjustRightInd w:val="0"/>
              <w:snapToGrid w:val="0"/>
              <w:contextualSpacing w:val="0"/>
              <w:rPr>
                <w:u w:val="single"/>
              </w:rPr>
            </w:pPr>
            <w:r>
              <w:rPr>
                <w:u w:val="single"/>
              </w:rPr>
              <w:t>0.2</w:t>
            </w:r>
          </w:p>
        </w:tc>
        <w:tc>
          <w:tcPr>
            <w:tcW w:w="596" w:type="pct"/>
            <w:tcBorders>
              <w:top w:val="single" w:color="auto" w:sz="6" w:space="0"/>
              <w:left w:val="single" w:color="auto" w:sz="6" w:space="0"/>
              <w:bottom w:val="single" w:color="auto" w:sz="6" w:space="0"/>
              <w:right w:val="single" w:color="auto" w:sz="6" w:space="0"/>
            </w:tcBorders>
            <w:vAlign w:val="center"/>
          </w:tcPr>
          <w:p w14:paraId="40CB02E7">
            <w:pPr>
              <w:pStyle w:val="62"/>
              <w:adjustRightInd w:val="0"/>
              <w:snapToGrid w:val="0"/>
              <w:contextualSpacing w:val="0"/>
              <w:rPr>
                <w:u w:val="single"/>
              </w:rPr>
            </w:pPr>
            <w:r>
              <w:rPr>
                <w:u w:val="single"/>
              </w:rPr>
              <w:t>0.18</w:t>
            </w:r>
          </w:p>
        </w:tc>
        <w:tc>
          <w:tcPr>
            <w:tcW w:w="596" w:type="pct"/>
            <w:tcBorders>
              <w:top w:val="single" w:color="auto" w:sz="6" w:space="0"/>
              <w:left w:val="single" w:color="auto" w:sz="6" w:space="0"/>
              <w:bottom w:val="single" w:color="auto" w:sz="6" w:space="0"/>
              <w:right w:val="single" w:color="auto" w:sz="6" w:space="0"/>
            </w:tcBorders>
            <w:vAlign w:val="center"/>
          </w:tcPr>
          <w:p w14:paraId="473B3C52">
            <w:pPr>
              <w:spacing w:line="240" w:lineRule="auto"/>
              <w:ind w:firstLine="0" w:firstLineChars="0"/>
              <w:jc w:val="center"/>
              <w:rPr>
                <w:sz w:val="21"/>
                <w:szCs w:val="21"/>
                <w:u w:val="single"/>
              </w:rPr>
            </w:pPr>
            <w:r>
              <w:rPr>
                <w:rFonts w:hint="eastAsia"/>
                <w:sz w:val="21"/>
                <w:szCs w:val="21"/>
                <w:u w:val="single"/>
              </w:rPr>
              <w:t>0.28</w:t>
            </w:r>
          </w:p>
        </w:tc>
        <w:tc>
          <w:tcPr>
            <w:tcW w:w="680" w:type="pct"/>
            <w:tcBorders>
              <w:top w:val="single" w:color="auto" w:sz="6" w:space="0"/>
              <w:left w:val="single" w:color="auto" w:sz="6" w:space="0"/>
              <w:bottom w:val="single" w:color="auto" w:sz="6" w:space="0"/>
              <w:right w:val="single" w:color="auto" w:sz="6" w:space="0"/>
            </w:tcBorders>
            <w:vAlign w:val="center"/>
          </w:tcPr>
          <w:p w14:paraId="4685FEEA">
            <w:pPr>
              <w:spacing w:line="240" w:lineRule="auto"/>
              <w:ind w:firstLine="0" w:firstLineChars="0"/>
              <w:jc w:val="center"/>
              <w:rPr>
                <w:sz w:val="21"/>
                <w:szCs w:val="21"/>
                <w:u w:val="single"/>
              </w:rPr>
            </w:pPr>
            <w:r>
              <w:rPr>
                <w:rFonts w:hint="eastAsia"/>
                <w:sz w:val="21"/>
                <w:szCs w:val="21"/>
                <w:u w:val="single"/>
              </w:rPr>
              <w:t>0.13</w:t>
            </w:r>
          </w:p>
        </w:tc>
        <w:tc>
          <w:tcPr>
            <w:tcW w:w="566" w:type="pct"/>
            <w:tcBorders>
              <w:top w:val="single" w:color="auto" w:sz="6" w:space="0"/>
              <w:left w:val="single" w:color="auto" w:sz="6" w:space="0"/>
              <w:bottom w:val="single" w:color="auto" w:sz="6" w:space="0"/>
              <w:right w:val="single" w:color="auto" w:sz="8" w:space="0"/>
            </w:tcBorders>
            <w:vAlign w:val="center"/>
          </w:tcPr>
          <w:p w14:paraId="1D912AC8">
            <w:pPr>
              <w:spacing w:line="240" w:lineRule="auto"/>
              <w:ind w:firstLine="0" w:firstLineChars="0"/>
              <w:jc w:val="center"/>
              <w:rPr>
                <w:sz w:val="21"/>
                <w:szCs w:val="21"/>
                <w:u w:val="single"/>
              </w:rPr>
            </w:pPr>
            <w:r>
              <w:rPr>
                <w:rFonts w:hint="eastAsia"/>
                <w:sz w:val="21"/>
                <w:szCs w:val="21"/>
                <w:u w:val="single"/>
              </w:rPr>
              <w:t>0.6</w:t>
            </w:r>
          </w:p>
        </w:tc>
      </w:tr>
      <w:tr w14:paraId="0DC813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08839B1D">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3BE2576A">
            <w:pPr>
              <w:pStyle w:val="62"/>
              <w:adjustRightInd w:val="0"/>
              <w:snapToGrid w:val="0"/>
              <w:contextualSpacing w:val="0"/>
              <w:rPr>
                <w:u w:val="single"/>
              </w:rPr>
            </w:pPr>
            <w:r>
              <w:rPr>
                <w:u w:val="single"/>
              </w:rPr>
              <w:t>2023.11</w:t>
            </w:r>
          </w:p>
        </w:tc>
        <w:tc>
          <w:tcPr>
            <w:tcW w:w="591" w:type="pct"/>
            <w:tcBorders>
              <w:top w:val="single" w:color="auto" w:sz="6" w:space="0"/>
              <w:left w:val="single" w:color="auto" w:sz="6" w:space="0"/>
              <w:bottom w:val="single" w:color="auto" w:sz="6" w:space="0"/>
              <w:right w:val="single" w:color="auto" w:sz="6" w:space="0"/>
            </w:tcBorders>
            <w:vAlign w:val="center"/>
          </w:tcPr>
          <w:p w14:paraId="754059F7">
            <w:pPr>
              <w:pStyle w:val="62"/>
              <w:adjustRightInd w:val="0"/>
              <w:snapToGrid w:val="0"/>
              <w:contextualSpacing w:val="0"/>
              <w:rPr>
                <w:u w:val="single"/>
              </w:rPr>
            </w:pPr>
            <w:r>
              <w:rPr>
                <w:u w:val="single"/>
              </w:rPr>
              <w:t>2.7</w:t>
            </w:r>
          </w:p>
        </w:tc>
        <w:tc>
          <w:tcPr>
            <w:tcW w:w="596" w:type="pct"/>
            <w:tcBorders>
              <w:top w:val="single" w:color="auto" w:sz="6" w:space="0"/>
              <w:left w:val="single" w:color="auto" w:sz="6" w:space="0"/>
              <w:bottom w:val="single" w:color="auto" w:sz="6" w:space="0"/>
              <w:right w:val="single" w:color="auto" w:sz="6" w:space="0"/>
            </w:tcBorders>
            <w:vAlign w:val="center"/>
          </w:tcPr>
          <w:p w14:paraId="40C85E7A">
            <w:pPr>
              <w:pStyle w:val="62"/>
              <w:adjustRightInd w:val="0"/>
              <w:snapToGrid w:val="0"/>
              <w:contextualSpacing w:val="0"/>
              <w:rPr>
                <w:u w:val="single"/>
              </w:rPr>
            </w:pPr>
            <w:r>
              <w:rPr>
                <w:u w:val="single"/>
              </w:rPr>
              <w:t>0.3</w:t>
            </w:r>
          </w:p>
        </w:tc>
        <w:tc>
          <w:tcPr>
            <w:tcW w:w="596" w:type="pct"/>
            <w:tcBorders>
              <w:top w:val="single" w:color="auto" w:sz="6" w:space="0"/>
              <w:left w:val="single" w:color="auto" w:sz="6" w:space="0"/>
              <w:bottom w:val="single" w:color="auto" w:sz="6" w:space="0"/>
              <w:right w:val="single" w:color="auto" w:sz="6" w:space="0"/>
            </w:tcBorders>
            <w:vAlign w:val="center"/>
          </w:tcPr>
          <w:p w14:paraId="61DD5100">
            <w:pPr>
              <w:pStyle w:val="62"/>
              <w:adjustRightInd w:val="0"/>
              <w:snapToGrid w:val="0"/>
              <w:contextualSpacing w:val="0"/>
              <w:rPr>
                <w:u w:val="single"/>
              </w:rPr>
            </w:pPr>
            <w:r>
              <w:rPr>
                <w:u w:val="single"/>
              </w:rPr>
              <w:t>0.15</w:t>
            </w:r>
          </w:p>
        </w:tc>
        <w:tc>
          <w:tcPr>
            <w:tcW w:w="596" w:type="pct"/>
            <w:tcBorders>
              <w:top w:val="single" w:color="auto" w:sz="6" w:space="0"/>
              <w:left w:val="single" w:color="auto" w:sz="6" w:space="0"/>
              <w:bottom w:val="single" w:color="auto" w:sz="6" w:space="0"/>
              <w:right w:val="single" w:color="auto" w:sz="6" w:space="0"/>
            </w:tcBorders>
            <w:vAlign w:val="center"/>
          </w:tcPr>
          <w:p w14:paraId="02794F4F">
            <w:pPr>
              <w:spacing w:line="240" w:lineRule="auto"/>
              <w:ind w:firstLine="0" w:firstLineChars="0"/>
              <w:jc w:val="center"/>
              <w:rPr>
                <w:sz w:val="21"/>
                <w:szCs w:val="21"/>
                <w:u w:val="single"/>
              </w:rPr>
            </w:pPr>
            <w:r>
              <w:rPr>
                <w:rFonts w:hint="eastAsia"/>
                <w:sz w:val="21"/>
                <w:szCs w:val="21"/>
                <w:u w:val="single"/>
              </w:rPr>
              <w:t>0.27</w:t>
            </w:r>
          </w:p>
        </w:tc>
        <w:tc>
          <w:tcPr>
            <w:tcW w:w="680" w:type="pct"/>
            <w:tcBorders>
              <w:top w:val="single" w:color="auto" w:sz="6" w:space="0"/>
              <w:left w:val="single" w:color="auto" w:sz="6" w:space="0"/>
              <w:bottom w:val="single" w:color="auto" w:sz="6" w:space="0"/>
              <w:right w:val="single" w:color="auto" w:sz="6" w:space="0"/>
            </w:tcBorders>
            <w:vAlign w:val="center"/>
          </w:tcPr>
          <w:p w14:paraId="02E4492B">
            <w:pPr>
              <w:spacing w:line="240" w:lineRule="auto"/>
              <w:ind w:firstLine="0" w:firstLineChars="0"/>
              <w:jc w:val="center"/>
              <w:rPr>
                <w:sz w:val="21"/>
                <w:szCs w:val="21"/>
                <w:u w:val="single"/>
              </w:rPr>
            </w:pPr>
            <w:r>
              <w:rPr>
                <w:rFonts w:hint="eastAsia"/>
                <w:sz w:val="21"/>
                <w:szCs w:val="21"/>
                <w:u w:val="single"/>
              </w:rPr>
              <w:t>0.2</w:t>
            </w:r>
          </w:p>
        </w:tc>
        <w:tc>
          <w:tcPr>
            <w:tcW w:w="566" w:type="pct"/>
            <w:tcBorders>
              <w:top w:val="single" w:color="auto" w:sz="6" w:space="0"/>
              <w:left w:val="single" w:color="auto" w:sz="6" w:space="0"/>
              <w:bottom w:val="single" w:color="auto" w:sz="6" w:space="0"/>
              <w:right w:val="single" w:color="auto" w:sz="8" w:space="0"/>
            </w:tcBorders>
            <w:vAlign w:val="center"/>
          </w:tcPr>
          <w:p w14:paraId="0AD7A455">
            <w:pPr>
              <w:spacing w:line="240" w:lineRule="auto"/>
              <w:ind w:firstLine="0" w:firstLineChars="0"/>
              <w:jc w:val="center"/>
              <w:rPr>
                <w:sz w:val="21"/>
                <w:szCs w:val="21"/>
                <w:u w:val="single"/>
              </w:rPr>
            </w:pPr>
            <w:r>
              <w:rPr>
                <w:rFonts w:hint="eastAsia"/>
                <w:sz w:val="21"/>
                <w:szCs w:val="21"/>
                <w:u w:val="single"/>
              </w:rPr>
              <w:t>0.5</w:t>
            </w:r>
          </w:p>
        </w:tc>
      </w:tr>
      <w:tr w14:paraId="520FFB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4FA9003B">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217ABA49">
            <w:pPr>
              <w:pStyle w:val="62"/>
              <w:adjustRightInd w:val="0"/>
              <w:snapToGrid w:val="0"/>
              <w:contextualSpacing w:val="0"/>
              <w:rPr>
                <w:u w:val="single"/>
              </w:rPr>
            </w:pPr>
            <w:r>
              <w:rPr>
                <w:u w:val="single"/>
              </w:rPr>
              <w:t>2023.12</w:t>
            </w:r>
          </w:p>
        </w:tc>
        <w:tc>
          <w:tcPr>
            <w:tcW w:w="591" w:type="pct"/>
            <w:tcBorders>
              <w:top w:val="single" w:color="auto" w:sz="6" w:space="0"/>
              <w:left w:val="single" w:color="auto" w:sz="6" w:space="0"/>
              <w:bottom w:val="single" w:color="auto" w:sz="6" w:space="0"/>
              <w:right w:val="single" w:color="auto" w:sz="6" w:space="0"/>
            </w:tcBorders>
            <w:vAlign w:val="center"/>
          </w:tcPr>
          <w:p w14:paraId="7C494487">
            <w:pPr>
              <w:pStyle w:val="62"/>
              <w:adjustRightInd w:val="0"/>
              <w:snapToGrid w:val="0"/>
              <w:contextualSpacing w:val="0"/>
              <w:rPr>
                <w:u w:val="single"/>
              </w:rPr>
            </w:pPr>
            <w:r>
              <w:rPr>
                <w:u w:val="single"/>
              </w:rPr>
              <w:t>2.3</w:t>
            </w:r>
          </w:p>
        </w:tc>
        <w:tc>
          <w:tcPr>
            <w:tcW w:w="596" w:type="pct"/>
            <w:tcBorders>
              <w:top w:val="single" w:color="auto" w:sz="6" w:space="0"/>
              <w:left w:val="single" w:color="auto" w:sz="6" w:space="0"/>
              <w:bottom w:val="single" w:color="auto" w:sz="6" w:space="0"/>
              <w:right w:val="single" w:color="auto" w:sz="6" w:space="0"/>
            </w:tcBorders>
            <w:vAlign w:val="center"/>
          </w:tcPr>
          <w:p w14:paraId="21D6F039">
            <w:pPr>
              <w:pStyle w:val="62"/>
              <w:adjustRightInd w:val="0"/>
              <w:snapToGrid w:val="0"/>
              <w:contextualSpacing w:val="0"/>
              <w:rPr>
                <w:u w:val="single"/>
              </w:rPr>
            </w:pPr>
            <w:r>
              <w:rPr>
                <w:u w:val="single"/>
              </w:rPr>
              <w:t>0.3</w:t>
            </w:r>
          </w:p>
        </w:tc>
        <w:tc>
          <w:tcPr>
            <w:tcW w:w="596" w:type="pct"/>
            <w:tcBorders>
              <w:top w:val="single" w:color="auto" w:sz="6" w:space="0"/>
              <w:left w:val="single" w:color="auto" w:sz="6" w:space="0"/>
              <w:bottom w:val="single" w:color="auto" w:sz="6" w:space="0"/>
              <w:right w:val="single" w:color="auto" w:sz="6" w:space="0"/>
            </w:tcBorders>
            <w:vAlign w:val="center"/>
          </w:tcPr>
          <w:p w14:paraId="4DCA73E0">
            <w:pPr>
              <w:pStyle w:val="62"/>
              <w:adjustRightInd w:val="0"/>
              <w:snapToGrid w:val="0"/>
              <w:contextualSpacing w:val="0"/>
              <w:rPr>
                <w:u w:val="single"/>
              </w:rPr>
            </w:pPr>
            <w:r>
              <w:rPr>
                <w:u w:val="single"/>
              </w:rPr>
              <w:t>0.13</w:t>
            </w:r>
          </w:p>
        </w:tc>
        <w:tc>
          <w:tcPr>
            <w:tcW w:w="596" w:type="pct"/>
            <w:tcBorders>
              <w:top w:val="single" w:color="auto" w:sz="6" w:space="0"/>
              <w:left w:val="single" w:color="auto" w:sz="6" w:space="0"/>
              <w:bottom w:val="single" w:color="auto" w:sz="6" w:space="0"/>
              <w:right w:val="single" w:color="auto" w:sz="6" w:space="0"/>
            </w:tcBorders>
            <w:vAlign w:val="center"/>
          </w:tcPr>
          <w:p w14:paraId="6ACC48EA">
            <w:pPr>
              <w:spacing w:line="240" w:lineRule="auto"/>
              <w:ind w:firstLine="0" w:firstLineChars="0"/>
              <w:jc w:val="center"/>
              <w:rPr>
                <w:sz w:val="21"/>
                <w:szCs w:val="21"/>
                <w:u w:val="single"/>
              </w:rPr>
            </w:pPr>
            <w:r>
              <w:rPr>
                <w:rFonts w:hint="eastAsia"/>
                <w:sz w:val="21"/>
                <w:szCs w:val="21"/>
                <w:u w:val="single"/>
              </w:rPr>
              <w:t>0.23</w:t>
            </w:r>
          </w:p>
        </w:tc>
        <w:tc>
          <w:tcPr>
            <w:tcW w:w="680" w:type="pct"/>
            <w:tcBorders>
              <w:top w:val="single" w:color="auto" w:sz="6" w:space="0"/>
              <w:left w:val="single" w:color="auto" w:sz="6" w:space="0"/>
              <w:bottom w:val="single" w:color="auto" w:sz="6" w:space="0"/>
              <w:right w:val="single" w:color="auto" w:sz="6" w:space="0"/>
            </w:tcBorders>
            <w:vAlign w:val="center"/>
          </w:tcPr>
          <w:p w14:paraId="3A163278">
            <w:pPr>
              <w:spacing w:line="240" w:lineRule="auto"/>
              <w:ind w:firstLine="0" w:firstLineChars="0"/>
              <w:jc w:val="center"/>
              <w:rPr>
                <w:sz w:val="21"/>
                <w:szCs w:val="21"/>
                <w:u w:val="single"/>
              </w:rPr>
            </w:pPr>
            <w:r>
              <w:rPr>
                <w:rFonts w:hint="eastAsia"/>
                <w:sz w:val="21"/>
                <w:szCs w:val="21"/>
                <w:u w:val="single"/>
              </w:rPr>
              <w:t>0.2</w:t>
            </w:r>
          </w:p>
        </w:tc>
        <w:tc>
          <w:tcPr>
            <w:tcW w:w="566" w:type="pct"/>
            <w:tcBorders>
              <w:top w:val="single" w:color="auto" w:sz="6" w:space="0"/>
              <w:left w:val="single" w:color="auto" w:sz="6" w:space="0"/>
              <w:bottom w:val="single" w:color="auto" w:sz="6" w:space="0"/>
              <w:right w:val="single" w:color="auto" w:sz="8" w:space="0"/>
            </w:tcBorders>
            <w:vAlign w:val="center"/>
          </w:tcPr>
          <w:p w14:paraId="009AEA02">
            <w:pPr>
              <w:spacing w:line="240" w:lineRule="auto"/>
              <w:ind w:firstLine="0" w:firstLineChars="0"/>
              <w:jc w:val="center"/>
              <w:rPr>
                <w:sz w:val="21"/>
                <w:szCs w:val="21"/>
                <w:u w:val="single"/>
              </w:rPr>
            </w:pPr>
            <w:r>
              <w:rPr>
                <w:rFonts w:hint="eastAsia"/>
                <w:sz w:val="21"/>
                <w:szCs w:val="21"/>
                <w:u w:val="single"/>
              </w:rPr>
              <w:t>0.43</w:t>
            </w:r>
          </w:p>
        </w:tc>
      </w:tr>
      <w:tr w14:paraId="6161DB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4A42C14C">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7DFE623D">
            <w:pPr>
              <w:pStyle w:val="62"/>
              <w:adjustRightInd w:val="0"/>
              <w:snapToGrid w:val="0"/>
              <w:contextualSpacing w:val="0"/>
              <w:rPr>
                <w:u w:val="single"/>
              </w:rPr>
            </w:pPr>
            <w:r>
              <w:rPr>
                <w:u w:val="single"/>
              </w:rPr>
              <w:t>年均值</w:t>
            </w:r>
          </w:p>
        </w:tc>
        <w:tc>
          <w:tcPr>
            <w:tcW w:w="591" w:type="pct"/>
            <w:tcBorders>
              <w:top w:val="single" w:color="auto" w:sz="6" w:space="0"/>
              <w:left w:val="single" w:color="auto" w:sz="6" w:space="0"/>
              <w:bottom w:val="single" w:color="auto" w:sz="6" w:space="0"/>
              <w:right w:val="single" w:color="auto" w:sz="6" w:space="0"/>
            </w:tcBorders>
            <w:vAlign w:val="center"/>
          </w:tcPr>
          <w:p w14:paraId="230BB200">
            <w:pPr>
              <w:pStyle w:val="62"/>
              <w:adjustRightInd w:val="0"/>
              <w:snapToGrid w:val="0"/>
              <w:contextualSpacing w:val="0"/>
              <w:rPr>
                <w:u w:val="single"/>
              </w:rPr>
            </w:pPr>
            <w:r>
              <w:rPr>
                <w:u w:val="single"/>
              </w:rPr>
              <w:t>3.9</w:t>
            </w:r>
          </w:p>
        </w:tc>
        <w:tc>
          <w:tcPr>
            <w:tcW w:w="596" w:type="pct"/>
            <w:tcBorders>
              <w:top w:val="single" w:color="auto" w:sz="6" w:space="0"/>
              <w:left w:val="single" w:color="auto" w:sz="6" w:space="0"/>
              <w:bottom w:val="single" w:color="auto" w:sz="6" w:space="0"/>
              <w:right w:val="single" w:color="auto" w:sz="6" w:space="0"/>
            </w:tcBorders>
            <w:vAlign w:val="center"/>
          </w:tcPr>
          <w:p w14:paraId="12B87CF3">
            <w:pPr>
              <w:pStyle w:val="62"/>
              <w:adjustRightInd w:val="0"/>
              <w:snapToGrid w:val="0"/>
              <w:contextualSpacing w:val="0"/>
              <w:rPr>
                <w:u w:val="single"/>
              </w:rPr>
            </w:pPr>
            <w:r>
              <w:rPr>
                <w:u w:val="single"/>
              </w:rPr>
              <w:t>0.4</w:t>
            </w:r>
          </w:p>
        </w:tc>
        <w:tc>
          <w:tcPr>
            <w:tcW w:w="596" w:type="pct"/>
            <w:tcBorders>
              <w:top w:val="single" w:color="auto" w:sz="6" w:space="0"/>
              <w:left w:val="single" w:color="auto" w:sz="6" w:space="0"/>
              <w:bottom w:val="single" w:color="auto" w:sz="6" w:space="0"/>
              <w:right w:val="single" w:color="auto" w:sz="6" w:space="0"/>
            </w:tcBorders>
            <w:vAlign w:val="center"/>
          </w:tcPr>
          <w:p w14:paraId="4A9E2CAD">
            <w:pPr>
              <w:pStyle w:val="62"/>
              <w:adjustRightInd w:val="0"/>
              <w:snapToGrid w:val="0"/>
              <w:contextualSpacing w:val="0"/>
              <w:rPr>
                <w:u w:val="single"/>
              </w:rPr>
            </w:pPr>
            <w:r>
              <w:rPr>
                <w:u w:val="single"/>
              </w:rPr>
              <w:t>0.2</w:t>
            </w:r>
          </w:p>
        </w:tc>
        <w:tc>
          <w:tcPr>
            <w:tcW w:w="596" w:type="pct"/>
            <w:tcBorders>
              <w:top w:val="single" w:color="auto" w:sz="6" w:space="0"/>
              <w:left w:val="single" w:color="auto" w:sz="6" w:space="0"/>
              <w:bottom w:val="single" w:color="auto" w:sz="6" w:space="0"/>
              <w:right w:val="single" w:color="auto" w:sz="6" w:space="0"/>
            </w:tcBorders>
            <w:vAlign w:val="center"/>
          </w:tcPr>
          <w:p w14:paraId="3124BDBE">
            <w:pPr>
              <w:spacing w:line="240" w:lineRule="auto"/>
              <w:ind w:firstLine="0" w:firstLineChars="0"/>
              <w:jc w:val="center"/>
              <w:rPr>
                <w:sz w:val="21"/>
                <w:szCs w:val="21"/>
                <w:u w:val="single"/>
              </w:rPr>
            </w:pPr>
            <w:r>
              <w:rPr>
                <w:rFonts w:hint="eastAsia"/>
                <w:sz w:val="21"/>
                <w:szCs w:val="21"/>
                <w:u w:val="single"/>
              </w:rPr>
              <w:t>0.39</w:t>
            </w:r>
          </w:p>
        </w:tc>
        <w:tc>
          <w:tcPr>
            <w:tcW w:w="680" w:type="pct"/>
            <w:tcBorders>
              <w:top w:val="single" w:color="auto" w:sz="6" w:space="0"/>
              <w:left w:val="single" w:color="auto" w:sz="6" w:space="0"/>
              <w:bottom w:val="single" w:color="auto" w:sz="6" w:space="0"/>
              <w:right w:val="single" w:color="auto" w:sz="6" w:space="0"/>
            </w:tcBorders>
            <w:vAlign w:val="center"/>
          </w:tcPr>
          <w:p w14:paraId="698FF425">
            <w:pPr>
              <w:spacing w:line="240" w:lineRule="auto"/>
              <w:ind w:firstLine="0" w:firstLineChars="0"/>
              <w:jc w:val="center"/>
              <w:rPr>
                <w:sz w:val="21"/>
                <w:szCs w:val="21"/>
                <w:u w:val="single"/>
              </w:rPr>
            </w:pPr>
            <w:r>
              <w:rPr>
                <w:rFonts w:hint="eastAsia"/>
                <w:sz w:val="21"/>
                <w:szCs w:val="21"/>
                <w:u w:val="single"/>
              </w:rPr>
              <w:t>0.27</w:t>
            </w:r>
          </w:p>
        </w:tc>
        <w:tc>
          <w:tcPr>
            <w:tcW w:w="566" w:type="pct"/>
            <w:tcBorders>
              <w:top w:val="single" w:color="auto" w:sz="6" w:space="0"/>
              <w:left w:val="single" w:color="auto" w:sz="6" w:space="0"/>
              <w:bottom w:val="single" w:color="auto" w:sz="6" w:space="0"/>
              <w:right w:val="single" w:color="auto" w:sz="8" w:space="0"/>
            </w:tcBorders>
            <w:vAlign w:val="center"/>
          </w:tcPr>
          <w:p w14:paraId="52960C47">
            <w:pPr>
              <w:spacing w:line="240" w:lineRule="auto"/>
              <w:ind w:firstLine="0" w:firstLineChars="0"/>
              <w:jc w:val="center"/>
              <w:rPr>
                <w:sz w:val="21"/>
                <w:szCs w:val="21"/>
                <w:u w:val="single"/>
              </w:rPr>
            </w:pPr>
            <w:r>
              <w:rPr>
                <w:rFonts w:hint="eastAsia"/>
                <w:sz w:val="21"/>
                <w:szCs w:val="21"/>
                <w:u w:val="single"/>
              </w:rPr>
              <w:t>0.67</w:t>
            </w:r>
          </w:p>
        </w:tc>
      </w:tr>
      <w:tr w14:paraId="15074C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71DBC51B">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172591B3">
            <w:pPr>
              <w:pStyle w:val="62"/>
              <w:adjustRightInd w:val="0"/>
              <w:snapToGrid w:val="0"/>
              <w:contextualSpacing w:val="0"/>
              <w:rPr>
                <w:u w:val="single"/>
              </w:rPr>
            </w:pPr>
            <w:r>
              <w:rPr>
                <w:u w:val="single"/>
              </w:rPr>
              <w:t>202</w:t>
            </w:r>
            <w:r>
              <w:rPr>
                <w:rFonts w:hint="eastAsia"/>
                <w:u w:val="single"/>
              </w:rPr>
              <w:t>4</w:t>
            </w:r>
            <w:r>
              <w:rPr>
                <w:u w:val="single"/>
              </w:rPr>
              <w:t>.1</w:t>
            </w:r>
          </w:p>
        </w:tc>
        <w:tc>
          <w:tcPr>
            <w:tcW w:w="591" w:type="pct"/>
            <w:tcBorders>
              <w:top w:val="single" w:color="auto" w:sz="6" w:space="0"/>
              <w:left w:val="single" w:color="auto" w:sz="6" w:space="0"/>
              <w:bottom w:val="single" w:color="auto" w:sz="6" w:space="0"/>
              <w:right w:val="single" w:color="auto" w:sz="6" w:space="0"/>
            </w:tcBorders>
            <w:vAlign w:val="center"/>
          </w:tcPr>
          <w:p w14:paraId="1753414B">
            <w:pPr>
              <w:pStyle w:val="62"/>
              <w:adjustRightInd w:val="0"/>
              <w:snapToGrid w:val="0"/>
              <w:contextualSpacing w:val="0"/>
              <w:rPr>
                <w:u w:val="single"/>
              </w:rPr>
            </w:pPr>
            <w:r>
              <w:rPr>
                <w:rFonts w:hint="eastAsia"/>
                <w:u w:val="single"/>
              </w:rPr>
              <w:t>2.8</w:t>
            </w:r>
          </w:p>
        </w:tc>
        <w:tc>
          <w:tcPr>
            <w:tcW w:w="596" w:type="pct"/>
            <w:tcBorders>
              <w:top w:val="single" w:color="auto" w:sz="6" w:space="0"/>
              <w:left w:val="single" w:color="auto" w:sz="6" w:space="0"/>
              <w:bottom w:val="single" w:color="auto" w:sz="6" w:space="0"/>
              <w:right w:val="single" w:color="auto" w:sz="6" w:space="0"/>
            </w:tcBorders>
            <w:vAlign w:val="center"/>
          </w:tcPr>
          <w:p w14:paraId="6FFC95BD">
            <w:pPr>
              <w:pStyle w:val="62"/>
              <w:adjustRightInd w:val="0"/>
              <w:snapToGrid w:val="0"/>
              <w:contextualSpacing w:val="0"/>
              <w:rPr>
                <w:u w:val="single"/>
              </w:rPr>
            </w:pPr>
            <w:r>
              <w:rPr>
                <w:rFonts w:hint="eastAsia"/>
                <w:u w:val="single"/>
              </w:rPr>
              <w:t>0.4</w:t>
            </w:r>
          </w:p>
        </w:tc>
        <w:tc>
          <w:tcPr>
            <w:tcW w:w="596" w:type="pct"/>
            <w:tcBorders>
              <w:top w:val="single" w:color="auto" w:sz="6" w:space="0"/>
              <w:left w:val="single" w:color="auto" w:sz="6" w:space="0"/>
              <w:bottom w:val="single" w:color="auto" w:sz="6" w:space="0"/>
              <w:right w:val="single" w:color="auto" w:sz="6" w:space="0"/>
            </w:tcBorders>
            <w:vAlign w:val="center"/>
          </w:tcPr>
          <w:p w14:paraId="4809560A">
            <w:pPr>
              <w:pStyle w:val="62"/>
              <w:adjustRightInd w:val="0"/>
              <w:snapToGrid w:val="0"/>
              <w:contextualSpacing w:val="0"/>
              <w:rPr>
                <w:u w:val="single"/>
              </w:rPr>
            </w:pPr>
            <w:r>
              <w:rPr>
                <w:rFonts w:hint="eastAsia"/>
                <w:u w:val="single"/>
              </w:rPr>
              <w:t>0.13</w:t>
            </w:r>
          </w:p>
        </w:tc>
        <w:tc>
          <w:tcPr>
            <w:tcW w:w="596" w:type="pct"/>
            <w:tcBorders>
              <w:top w:val="single" w:color="auto" w:sz="6" w:space="0"/>
              <w:left w:val="single" w:color="auto" w:sz="6" w:space="0"/>
              <w:bottom w:val="single" w:color="auto" w:sz="6" w:space="0"/>
              <w:right w:val="single" w:color="auto" w:sz="6" w:space="0"/>
            </w:tcBorders>
            <w:vAlign w:val="center"/>
          </w:tcPr>
          <w:p w14:paraId="2936AA81">
            <w:pPr>
              <w:spacing w:line="240" w:lineRule="auto"/>
              <w:ind w:firstLine="0" w:firstLineChars="0"/>
              <w:jc w:val="center"/>
              <w:rPr>
                <w:sz w:val="21"/>
                <w:szCs w:val="21"/>
                <w:u w:val="single"/>
              </w:rPr>
            </w:pPr>
            <w:r>
              <w:rPr>
                <w:rFonts w:hint="eastAsia"/>
                <w:sz w:val="21"/>
                <w:szCs w:val="21"/>
                <w:u w:val="single"/>
              </w:rPr>
              <w:t>0.28</w:t>
            </w:r>
          </w:p>
        </w:tc>
        <w:tc>
          <w:tcPr>
            <w:tcW w:w="680" w:type="pct"/>
            <w:tcBorders>
              <w:top w:val="single" w:color="auto" w:sz="6" w:space="0"/>
              <w:left w:val="single" w:color="auto" w:sz="6" w:space="0"/>
              <w:bottom w:val="single" w:color="auto" w:sz="6" w:space="0"/>
              <w:right w:val="single" w:color="auto" w:sz="6" w:space="0"/>
            </w:tcBorders>
            <w:vAlign w:val="center"/>
          </w:tcPr>
          <w:p w14:paraId="3137EDC8">
            <w:pPr>
              <w:spacing w:line="240" w:lineRule="auto"/>
              <w:ind w:firstLine="0" w:firstLineChars="0"/>
              <w:jc w:val="center"/>
              <w:rPr>
                <w:sz w:val="21"/>
                <w:szCs w:val="21"/>
                <w:u w:val="single"/>
              </w:rPr>
            </w:pPr>
            <w:r>
              <w:rPr>
                <w:rFonts w:hint="eastAsia"/>
                <w:sz w:val="21"/>
                <w:szCs w:val="21"/>
                <w:u w:val="single"/>
              </w:rPr>
              <w:t>0.27</w:t>
            </w:r>
          </w:p>
        </w:tc>
        <w:tc>
          <w:tcPr>
            <w:tcW w:w="566" w:type="pct"/>
            <w:tcBorders>
              <w:top w:val="single" w:color="auto" w:sz="6" w:space="0"/>
              <w:left w:val="single" w:color="auto" w:sz="6" w:space="0"/>
              <w:bottom w:val="single" w:color="auto" w:sz="6" w:space="0"/>
              <w:right w:val="single" w:color="auto" w:sz="8" w:space="0"/>
            </w:tcBorders>
            <w:vAlign w:val="center"/>
          </w:tcPr>
          <w:p w14:paraId="49A9E01B">
            <w:pPr>
              <w:spacing w:line="240" w:lineRule="auto"/>
              <w:ind w:firstLine="0" w:firstLineChars="0"/>
              <w:jc w:val="center"/>
              <w:rPr>
                <w:sz w:val="21"/>
                <w:szCs w:val="21"/>
                <w:u w:val="single"/>
              </w:rPr>
            </w:pPr>
            <w:r>
              <w:rPr>
                <w:rFonts w:hint="eastAsia"/>
                <w:sz w:val="21"/>
                <w:szCs w:val="21"/>
                <w:u w:val="single"/>
              </w:rPr>
              <w:t>0.43</w:t>
            </w:r>
          </w:p>
        </w:tc>
      </w:tr>
      <w:tr w14:paraId="62DBC4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33C995FE">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578C117B">
            <w:pPr>
              <w:pStyle w:val="62"/>
              <w:adjustRightInd w:val="0"/>
              <w:snapToGrid w:val="0"/>
              <w:contextualSpacing w:val="0"/>
              <w:rPr>
                <w:u w:val="single"/>
              </w:rPr>
            </w:pPr>
            <w:r>
              <w:rPr>
                <w:u w:val="single"/>
              </w:rPr>
              <w:t>202</w:t>
            </w:r>
            <w:r>
              <w:rPr>
                <w:rFonts w:hint="eastAsia"/>
                <w:u w:val="single"/>
              </w:rPr>
              <w:t>4</w:t>
            </w:r>
            <w:r>
              <w:rPr>
                <w:u w:val="single"/>
              </w:rPr>
              <w:t>.2</w:t>
            </w:r>
          </w:p>
        </w:tc>
        <w:tc>
          <w:tcPr>
            <w:tcW w:w="591" w:type="pct"/>
            <w:tcBorders>
              <w:top w:val="single" w:color="auto" w:sz="6" w:space="0"/>
              <w:left w:val="single" w:color="auto" w:sz="6" w:space="0"/>
              <w:bottom w:val="single" w:color="auto" w:sz="6" w:space="0"/>
              <w:right w:val="single" w:color="auto" w:sz="6" w:space="0"/>
            </w:tcBorders>
            <w:vAlign w:val="center"/>
          </w:tcPr>
          <w:p w14:paraId="33877E37">
            <w:pPr>
              <w:pStyle w:val="62"/>
              <w:adjustRightInd w:val="0"/>
              <w:snapToGrid w:val="0"/>
              <w:contextualSpacing w:val="0"/>
              <w:rPr>
                <w:u w:val="single"/>
              </w:rPr>
            </w:pPr>
            <w:r>
              <w:rPr>
                <w:rFonts w:hint="eastAsia"/>
                <w:u w:val="single"/>
              </w:rPr>
              <w:t>3.3</w:t>
            </w:r>
          </w:p>
        </w:tc>
        <w:tc>
          <w:tcPr>
            <w:tcW w:w="596" w:type="pct"/>
            <w:tcBorders>
              <w:top w:val="single" w:color="auto" w:sz="6" w:space="0"/>
              <w:left w:val="single" w:color="auto" w:sz="6" w:space="0"/>
              <w:bottom w:val="single" w:color="auto" w:sz="6" w:space="0"/>
              <w:right w:val="single" w:color="auto" w:sz="6" w:space="0"/>
            </w:tcBorders>
            <w:vAlign w:val="center"/>
          </w:tcPr>
          <w:p w14:paraId="7001D859">
            <w:pPr>
              <w:pStyle w:val="62"/>
              <w:adjustRightInd w:val="0"/>
              <w:snapToGrid w:val="0"/>
              <w:contextualSpacing w:val="0"/>
              <w:rPr>
                <w:u w:val="single"/>
              </w:rPr>
            </w:pPr>
            <w:r>
              <w:rPr>
                <w:rFonts w:hint="eastAsia"/>
                <w:u w:val="single"/>
              </w:rPr>
              <w:t>0.5</w:t>
            </w:r>
          </w:p>
        </w:tc>
        <w:tc>
          <w:tcPr>
            <w:tcW w:w="596" w:type="pct"/>
            <w:tcBorders>
              <w:top w:val="single" w:color="auto" w:sz="6" w:space="0"/>
              <w:left w:val="single" w:color="auto" w:sz="6" w:space="0"/>
              <w:bottom w:val="single" w:color="auto" w:sz="6" w:space="0"/>
              <w:right w:val="single" w:color="auto" w:sz="6" w:space="0"/>
            </w:tcBorders>
            <w:vAlign w:val="center"/>
          </w:tcPr>
          <w:p w14:paraId="11D5BC68">
            <w:pPr>
              <w:pStyle w:val="62"/>
              <w:adjustRightInd w:val="0"/>
              <w:snapToGrid w:val="0"/>
              <w:contextualSpacing w:val="0"/>
              <w:rPr>
                <w:u w:val="single"/>
              </w:rPr>
            </w:pPr>
            <w:r>
              <w:rPr>
                <w:rFonts w:hint="eastAsia"/>
                <w:u w:val="single"/>
              </w:rPr>
              <w:t>0.13</w:t>
            </w:r>
          </w:p>
        </w:tc>
        <w:tc>
          <w:tcPr>
            <w:tcW w:w="596" w:type="pct"/>
            <w:tcBorders>
              <w:top w:val="single" w:color="auto" w:sz="6" w:space="0"/>
              <w:left w:val="single" w:color="auto" w:sz="6" w:space="0"/>
              <w:bottom w:val="single" w:color="auto" w:sz="6" w:space="0"/>
              <w:right w:val="single" w:color="auto" w:sz="6" w:space="0"/>
            </w:tcBorders>
            <w:vAlign w:val="center"/>
          </w:tcPr>
          <w:p w14:paraId="4FA98ED0">
            <w:pPr>
              <w:spacing w:line="240" w:lineRule="auto"/>
              <w:ind w:firstLine="0" w:firstLineChars="0"/>
              <w:jc w:val="center"/>
              <w:rPr>
                <w:sz w:val="21"/>
                <w:szCs w:val="21"/>
                <w:u w:val="single"/>
              </w:rPr>
            </w:pPr>
            <w:r>
              <w:rPr>
                <w:rFonts w:hint="eastAsia"/>
                <w:sz w:val="21"/>
                <w:szCs w:val="21"/>
                <w:u w:val="single"/>
              </w:rPr>
              <w:t>0.33</w:t>
            </w:r>
          </w:p>
        </w:tc>
        <w:tc>
          <w:tcPr>
            <w:tcW w:w="680" w:type="pct"/>
            <w:tcBorders>
              <w:top w:val="single" w:color="auto" w:sz="6" w:space="0"/>
              <w:left w:val="single" w:color="auto" w:sz="6" w:space="0"/>
              <w:bottom w:val="single" w:color="auto" w:sz="6" w:space="0"/>
              <w:right w:val="single" w:color="auto" w:sz="6" w:space="0"/>
            </w:tcBorders>
            <w:vAlign w:val="center"/>
          </w:tcPr>
          <w:p w14:paraId="36D8A1C5">
            <w:pPr>
              <w:spacing w:line="240" w:lineRule="auto"/>
              <w:ind w:firstLine="0" w:firstLineChars="0"/>
              <w:jc w:val="center"/>
              <w:rPr>
                <w:sz w:val="21"/>
                <w:szCs w:val="21"/>
                <w:u w:val="single"/>
              </w:rPr>
            </w:pPr>
            <w:r>
              <w:rPr>
                <w:rFonts w:hint="eastAsia"/>
                <w:sz w:val="21"/>
                <w:szCs w:val="21"/>
                <w:u w:val="single"/>
              </w:rPr>
              <w:t>0.33</w:t>
            </w:r>
          </w:p>
        </w:tc>
        <w:tc>
          <w:tcPr>
            <w:tcW w:w="566" w:type="pct"/>
            <w:tcBorders>
              <w:top w:val="single" w:color="auto" w:sz="6" w:space="0"/>
              <w:left w:val="single" w:color="auto" w:sz="6" w:space="0"/>
              <w:bottom w:val="single" w:color="auto" w:sz="6" w:space="0"/>
              <w:right w:val="single" w:color="auto" w:sz="8" w:space="0"/>
            </w:tcBorders>
            <w:vAlign w:val="center"/>
          </w:tcPr>
          <w:p w14:paraId="2FC2E519">
            <w:pPr>
              <w:spacing w:line="240" w:lineRule="auto"/>
              <w:ind w:firstLine="0" w:firstLineChars="0"/>
              <w:jc w:val="center"/>
              <w:rPr>
                <w:sz w:val="21"/>
                <w:szCs w:val="21"/>
                <w:u w:val="single"/>
              </w:rPr>
            </w:pPr>
            <w:r>
              <w:rPr>
                <w:rFonts w:hint="eastAsia"/>
                <w:sz w:val="21"/>
                <w:szCs w:val="21"/>
                <w:u w:val="single"/>
              </w:rPr>
              <w:t>0.43</w:t>
            </w:r>
          </w:p>
        </w:tc>
      </w:tr>
      <w:tr w14:paraId="7D84EE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63CABE34">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73EFBF2F">
            <w:pPr>
              <w:pStyle w:val="62"/>
              <w:adjustRightInd w:val="0"/>
              <w:snapToGrid w:val="0"/>
              <w:contextualSpacing w:val="0"/>
              <w:rPr>
                <w:u w:val="single"/>
              </w:rPr>
            </w:pPr>
            <w:r>
              <w:rPr>
                <w:u w:val="single"/>
              </w:rPr>
              <w:t>202</w:t>
            </w:r>
            <w:r>
              <w:rPr>
                <w:rFonts w:hint="eastAsia"/>
                <w:u w:val="single"/>
              </w:rPr>
              <w:t>4</w:t>
            </w:r>
            <w:r>
              <w:rPr>
                <w:u w:val="single"/>
              </w:rPr>
              <w:t>.3</w:t>
            </w:r>
          </w:p>
        </w:tc>
        <w:tc>
          <w:tcPr>
            <w:tcW w:w="591" w:type="pct"/>
            <w:tcBorders>
              <w:top w:val="single" w:color="auto" w:sz="6" w:space="0"/>
              <w:left w:val="single" w:color="auto" w:sz="6" w:space="0"/>
              <w:bottom w:val="single" w:color="auto" w:sz="6" w:space="0"/>
              <w:right w:val="single" w:color="auto" w:sz="6" w:space="0"/>
            </w:tcBorders>
            <w:vAlign w:val="center"/>
          </w:tcPr>
          <w:p w14:paraId="4F86564D">
            <w:pPr>
              <w:pStyle w:val="62"/>
              <w:adjustRightInd w:val="0"/>
              <w:snapToGrid w:val="0"/>
              <w:contextualSpacing w:val="0"/>
              <w:rPr>
                <w:u w:val="single"/>
              </w:rPr>
            </w:pPr>
            <w:r>
              <w:rPr>
                <w:rFonts w:hint="eastAsia"/>
                <w:u w:val="single"/>
              </w:rPr>
              <w:t>4.6</w:t>
            </w:r>
          </w:p>
        </w:tc>
        <w:tc>
          <w:tcPr>
            <w:tcW w:w="596" w:type="pct"/>
            <w:tcBorders>
              <w:top w:val="single" w:color="auto" w:sz="6" w:space="0"/>
              <w:left w:val="single" w:color="auto" w:sz="6" w:space="0"/>
              <w:bottom w:val="single" w:color="auto" w:sz="6" w:space="0"/>
              <w:right w:val="single" w:color="auto" w:sz="6" w:space="0"/>
            </w:tcBorders>
            <w:vAlign w:val="center"/>
          </w:tcPr>
          <w:p w14:paraId="6FA994EC">
            <w:pPr>
              <w:pStyle w:val="62"/>
              <w:adjustRightInd w:val="0"/>
              <w:snapToGrid w:val="0"/>
              <w:contextualSpacing w:val="0"/>
              <w:rPr>
                <w:u w:val="single"/>
              </w:rPr>
            </w:pPr>
            <w:r>
              <w:rPr>
                <w:rFonts w:hint="eastAsia"/>
                <w:u w:val="single"/>
              </w:rPr>
              <w:t>0.3</w:t>
            </w:r>
          </w:p>
        </w:tc>
        <w:tc>
          <w:tcPr>
            <w:tcW w:w="596" w:type="pct"/>
            <w:tcBorders>
              <w:top w:val="single" w:color="auto" w:sz="6" w:space="0"/>
              <w:left w:val="single" w:color="auto" w:sz="6" w:space="0"/>
              <w:bottom w:val="single" w:color="auto" w:sz="6" w:space="0"/>
              <w:right w:val="single" w:color="auto" w:sz="6" w:space="0"/>
            </w:tcBorders>
            <w:vAlign w:val="center"/>
          </w:tcPr>
          <w:p w14:paraId="57C3107A">
            <w:pPr>
              <w:pStyle w:val="62"/>
              <w:adjustRightInd w:val="0"/>
              <w:snapToGrid w:val="0"/>
              <w:contextualSpacing w:val="0"/>
              <w:rPr>
                <w:u w:val="single"/>
              </w:rPr>
            </w:pPr>
            <w:r>
              <w:rPr>
                <w:rFonts w:hint="eastAsia"/>
                <w:u w:val="single"/>
              </w:rPr>
              <w:t>0.11</w:t>
            </w:r>
          </w:p>
        </w:tc>
        <w:tc>
          <w:tcPr>
            <w:tcW w:w="596" w:type="pct"/>
            <w:tcBorders>
              <w:top w:val="single" w:color="auto" w:sz="6" w:space="0"/>
              <w:left w:val="single" w:color="auto" w:sz="6" w:space="0"/>
              <w:bottom w:val="single" w:color="auto" w:sz="6" w:space="0"/>
              <w:right w:val="single" w:color="auto" w:sz="6" w:space="0"/>
            </w:tcBorders>
            <w:vAlign w:val="center"/>
          </w:tcPr>
          <w:p w14:paraId="715C0424">
            <w:pPr>
              <w:spacing w:line="240" w:lineRule="auto"/>
              <w:ind w:firstLine="0" w:firstLineChars="0"/>
              <w:jc w:val="center"/>
              <w:rPr>
                <w:sz w:val="21"/>
                <w:szCs w:val="21"/>
                <w:u w:val="single"/>
              </w:rPr>
            </w:pPr>
            <w:r>
              <w:rPr>
                <w:rFonts w:hint="eastAsia"/>
                <w:sz w:val="21"/>
                <w:szCs w:val="21"/>
                <w:u w:val="single"/>
              </w:rPr>
              <w:t>0.46</w:t>
            </w:r>
          </w:p>
        </w:tc>
        <w:tc>
          <w:tcPr>
            <w:tcW w:w="680" w:type="pct"/>
            <w:tcBorders>
              <w:top w:val="single" w:color="auto" w:sz="6" w:space="0"/>
              <w:left w:val="single" w:color="auto" w:sz="6" w:space="0"/>
              <w:bottom w:val="single" w:color="auto" w:sz="6" w:space="0"/>
              <w:right w:val="single" w:color="auto" w:sz="6" w:space="0"/>
            </w:tcBorders>
            <w:vAlign w:val="center"/>
          </w:tcPr>
          <w:p w14:paraId="7217C187">
            <w:pPr>
              <w:spacing w:line="240" w:lineRule="auto"/>
              <w:ind w:firstLine="0" w:firstLineChars="0"/>
              <w:jc w:val="center"/>
              <w:rPr>
                <w:sz w:val="21"/>
                <w:szCs w:val="21"/>
                <w:u w:val="single"/>
              </w:rPr>
            </w:pPr>
            <w:r>
              <w:rPr>
                <w:rFonts w:hint="eastAsia"/>
                <w:sz w:val="21"/>
                <w:szCs w:val="21"/>
                <w:u w:val="single"/>
              </w:rPr>
              <w:t>0.2</w:t>
            </w:r>
          </w:p>
        </w:tc>
        <w:tc>
          <w:tcPr>
            <w:tcW w:w="566" w:type="pct"/>
            <w:tcBorders>
              <w:top w:val="single" w:color="auto" w:sz="6" w:space="0"/>
              <w:left w:val="single" w:color="auto" w:sz="6" w:space="0"/>
              <w:bottom w:val="single" w:color="auto" w:sz="6" w:space="0"/>
              <w:right w:val="single" w:color="auto" w:sz="8" w:space="0"/>
            </w:tcBorders>
            <w:vAlign w:val="center"/>
          </w:tcPr>
          <w:p w14:paraId="146839FA">
            <w:pPr>
              <w:spacing w:line="240" w:lineRule="auto"/>
              <w:ind w:firstLine="0" w:firstLineChars="0"/>
              <w:jc w:val="center"/>
              <w:rPr>
                <w:sz w:val="21"/>
                <w:szCs w:val="21"/>
                <w:u w:val="single"/>
              </w:rPr>
            </w:pPr>
            <w:r>
              <w:rPr>
                <w:rFonts w:hint="eastAsia"/>
                <w:sz w:val="21"/>
                <w:szCs w:val="21"/>
                <w:u w:val="single"/>
              </w:rPr>
              <w:t>0.37</w:t>
            </w:r>
          </w:p>
        </w:tc>
      </w:tr>
      <w:tr w14:paraId="1C69F0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7F3573C3">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40A6F660">
            <w:pPr>
              <w:pStyle w:val="62"/>
              <w:adjustRightInd w:val="0"/>
              <w:snapToGrid w:val="0"/>
              <w:contextualSpacing w:val="0"/>
              <w:rPr>
                <w:u w:val="single"/>
              </w:rPr>
            </w:pPr>
            <w:r>
              <w:rPr>
                <w:u w:val="single"/>
              </w:rPr>
              <w:t>202</w:t>
            </w:r>
            <w:r>
              <w:rPr>
                <w:rFonts w:hint="eastAsia"/>
                <w:u w:val="single"/>
              </w:rPr>
              <w:t>4</w:t>
            </w:r>
            <w:r>
              <w:rPr>
                <w:u w:val="single"/>
              </w:rPr>
              <w:t>.4</w:t>
            </w:r>
          </w:p>
        </w:tc>
        <w:tc>
          <w:tcPr>
            <w:tcW w:w="591" w:type="pct"/>
            <w:tcBorders>
              <w:top w:val="single" w:color="auto" w:sz="6" w:space="0"/>
              <w:left w:val="single" w:color="auto" w:sz="6" w:space="0"/>
              <w:bottom w:val="single" w:color="auto" w:sz="6" w:space="0"/>
              <w:right w:val="single" w:color="auto" w:sz="6" w:space="0"/>
            </w:tcBorders>
            <w:vAlign w:val="center"/>
          </w:tcPr>
          <w:p w14:paraId="6046A880">
            <w:pPr>
              <w:pStyle w:val="62"/>
              <w:adjustRightInd w:val="0"/>
              <w:snapToGrid w:val="0"/>
              <w:contextualSpacing w:val="0"/>
              <w:rPr>
                <w:u w:val="single"/>
              </w:rPr>
            </w:pPr>
            <w:r>
              <w:rPr>
                <w:rFonts w:hint="eastAsia"/>
                <w:u w:val="single"/>
              </w:rPr>
              <w:t>6.2</w:t>
            </w:r>
          </w:p>
        </w:tc>
        <w:tc>
          <w:tcPr>
            <w:tcW w:w="596" w:type="pct"/>
            <w:tcBorders>
              <w:top w:val="single" w:color="auto" w:sz="6" w:space="0"/>
              <w:left w:val="single" w:color="auto" w:sz="6" w:space="0"/>
              <w:bottom w:val="single" w:color="auto" w:sz="6" w:space="0"/>
              <w:right w:val="single" w:color="auto" w:sz="6" w:space="0"/>
            </w:tcBorders>
            <w:vAlign w:val="center"/>
          </w:tcPr>
          <w:p w14:paraId="11BB185C">
            <w:pPr>
              <w:pStyle w:val="62"/>
              <w:adjustRightInd w:val="0"/>
              <w:snapToGrid w:val="0"/>
              <w:contextualSpacing w:val="0"/>
              <w:rPr>
                <w:u w:val="single"/>
              </w:rPr>
            </w:pPr>
            <w:r>
              <w:rPr>
                <w:rFonts w:hint="eastAsia"/>
                <w:u w:val="single"/>
              </w:rPr>
              <w:t>0.6</w:t>
            </w:r>
          </w:p>
        </w:tc>
        <w:tc>
          <w:tcPr>
            <w:tcW w:w="596" w:type="pct"/>
            <w:tcBorders>
              <w:top w:val="single" w:color="auto" w:sz="6" w:space="0"/>
              <w:left w:val="single" w:color="auto" w:sz="6" w:space="0"/>
              <w:bottom w:val="single" w:color="auto" w:sz="6" w:space="0"/>
              <w:right w:val="single" w:color="auto" w:sz="6" w:space="0"/>
            </w:tcBorders>
            <w:vAlign w:val="center"/>
          </w:tcPr>
          <w:p w14:paraId="51A23D70">
            <w:pPr>
              <w:pStyle w:val="62"/>
              <w:adjustRightInd w:val="0"/>
              <w:snapToGrid w:val="0"/>
              <w:contextualSpacing w:val="0"/>
              <w:rPr>
                <w:u w:val="single"/>
              </w:rPr>
            </w:pPr>
            <w:r>
              <w:rPr>
                <w:rFonts w:hint="eastAsia"/>
                <w:u w:val="single"/>
              </w:rPr>
              <w:t>0.16</w:t>
            </w:r>
          </w:p>
        </w:tc>
        <w:tc>
          <w:tcPr>
            <w:tcW w:w="596" w:type="pct"/>
            <w:tcBorders>
              <w:top w:val="single" w:color="auto" w:sz="6" w:space="0"/>
              <w:left w:val="single" w:color="auto" w:sz="6" w:space="0"/>
              <w:bottom w:val="single" w:color="auto" w:sz="6" w:space="0"/>
              <w:right w:val="single" w:color="auto" w:sz="6" w:space="0"/>
            </w:tcBorders>
            <w:vAlign w:val="center"/>
          </w:tcPr>
          <w:p w14:paraId="581BDE7B">
            <w:pPr>
              <w:spacing w:line="240" w:lineRule="auto"/>
              <w:ind w:firstLine="0" w:firstLineChars="0"/>
              <w:jc w:val="center"/>
              <w:rPr>
                <w:sz w:val="21"/>
                <w:szCs w:val="21"/>
                <w:u w:val="single"/>
              </w:rPr>
            </w:pPr>
            <w:r>
              <w:rPr>
                <w:rFonts w:hint="eastAsia"/>
                <w:sz w:val="21"/>
                <w:szCs w:val="21"/>
                <w:u w:val="single"/>
              </w:rPr>
              <w:t>0.62</w:t>
            </w:r>
          </w:p>
        </w:tc>
        <w:tc>
          <w:tcPr>
            <w:tcW w:w="680" w:type="pct"/>
            <w:tcBorders>
              <w:top w:val="single" w:color="auto" w:sz="6" w:space="0"/>
              <w:left w:val="single" w:color="auto" w:sz="6" w:space="0"/>
              <w:bottom w:val="single" w:color="auto" w:sz="6" w:space="0"/>
              <w:right w:val="single" w:color="auto" w:sz="6" w:space="0"/>
            </w:tcBorders>
            <w:vAlign w:val="center"/>
          </w:tcPr>
          <w:p w14:paraId="40330AFF">
            <w:pPr>
              <w:spacing w:line="240" w:lineRule="auto"/>
              <w:ind w:firstLine="0" w:firstLineChars="0"/>
              <w:jc w:val="center"/>
              <w:rPr>
                <w:sz w:val="21"/>
                <w:szCs w:val="21"/>
                <w:u w:val="single"/>
              </w:rPr>
            </w:pPr>
            <w:r>
              <w:rPr>
                <w:rFonts w:hint="eastAsia"/>
                <w:sz w:val="21"/>
                <w:szCs w:val="21"/>
                <w:u w:val="single"/>
              </w:rPr>
              <w:t>0.4</w:t>
            </w:r>
          </w:p>
        </w:tc>
        <w:tc>
          <w:tcPr>
            <w:tcW w:w="566" w:type="pct"/>
            <w:tcBorders>
              <w:top w:val="single" w:color="auto" w:sz="6" w:space="0"/>
              <w:left w:val="single" w:color="auto" w:sz="6" w:space="0"/>
              <w:bottom w:val="single" w:color="auto" w:sz="6" w:space="0"/>
              <w:right w:val="single" w:color="auto" w:sz="8" w:space="0"/>
            </w:tcBorders>
            <w:vAlign w:val="center"/>
          </w:tcPr>
          <w:p w14:paraId="0139AB36">
            <w:pPr>
              <w:spacing w:line="240" w:lineRule="auto"/>
              <w:ind w:firstLine="0" w:firstLineChars="0"/>
              <w:jc w:val="center"/>
              <w:rPr>
                <w:sz w:val="21"/>
                <w:szCs w:val="21"/>
                <w:u w:val="single"/>
              </w:rPr>
            </w:pPr>
            <w:r>
              <w:rPr>
                <w:rFonts w:hint="eastAsia"/>
                <w:sz w:val="21"/>
                <w:szCs w:val="21"/>
                <w:u w:val="single"/>
              </w:rPr>
              <w:t>0.53</w:t>
            </w:r>
          </w:p>
        </w:tc>
      </w:tr>
      <w:tr w14:paraId="578338C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272A9D93">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28EBE200">
            <w:pPr>
              <w:pStyle w:val="62"/>
              <w:adjustRightInd w:val="0"/>
              <w:snapToGrid w:val="0"/>
              <w:contextualSpacing w:val="0"/>
              <w:rPr>
                <w:u w:val="single"/>
              </w:rPr>
            </w:pPr>
            <w:r>
              <w:rPr>
                <w:u w:val="single"/>
              </w:rPr>
              <w:t>202</w:t>
            </w:r>
            <w:r>
              <w:rPr>
                <w:rFonts w:hint="eastAsia"/>
                <w:u w:val="single"/>
              </w:rPr>
              <w:t>4</w:t>
            </w:r>
            <w:r>
              <w:rPr>
                <w:u w:val="single"/>
              </w:rPr>
              <w:t>.5</w:t>
            </w:r>
          </w:p>
        </w:tc>
        <w:tc>
          <w:tcPr>
            <w:tcW w:w="591" w:type="pct"/>
            <w:tcBorders>
              <w:top w:val="single" w:color="auto" w:sz="6" w:space="0"/>
              <w:left w:val="single" w:color="auto" w:sz="6" w:space="0"/>
              <w:bottom w:val="single" w:color="auto" w:sz="6" w:space="0"/>
              <w:right w:val="single" w:color="auto" w:sz="6" w:space="0"/>
            </w:tcBorders>
            <w:vAlign w:val="center"/>
          </w:tcPr>
          <w:p w14:paraId="7C49EC6B">
            <w:pPr>
              <w:pStyle w:val="62"/>
              <w:adjustRightInd w:val="0"/>
              <w:snapToGrid w:val="0"/>
              <w:contextualSpacing w:val="0"/>
              <w:rPr>
                <w:u w:val="single"/>
              </w:rPr>
            </w:pPr>
            <w:r>
              <w:rPr>
                <w:rFonts w:hint="eastAsia"/>
                <w:u w:val="single"/>
              </w:rPr>
              <w:t>4.9</w:t>
            </w:r>
          </w:p>
        </w:tc>
        <w:tc>
          <w:tcPr>
            <w:tcW w:w="596" w:type="pct"/>
            <w:tcBorders>
              <w:top w:val="single" w:color="auto" w:sz="6" w:space="0"/>
              <w:left w:val="single" w:color="auto" w:sz="6" w:space="0"/>
              <w:bottom w:val="single" w:color="auto" w:sz="6" w:space="0"/>
              <w:right w:val="single" w:color="auto" w:sz="6" w:space="0"/>
            </w:tcBorders>
            <w:vAlign w:val="center"/>
          </w:tcPr>
          <w:p w14:paraId="3AFFBD95">
            <w:pPr>
              <w:pStyle w:val="62"/>
              <w:adjustRightInd w:val="0"/>
              <w:snapToGrid w:val="0"/>
              <w:contextualSpacing w:val="0"/>
              <w:rPr>
                <w:u w:val="single"/>
              </w:rPr>
            </w:pPr>
            <w:r>
              <w:rPr>
                <w:rFonts w:hint="eastAsia"/>
                <w:u w:val="single"/>
              </w:rPr>
              <w:t>0.5</w:t>
            </w:r>
          </w:p>
        </w:tc>
        <w:tc>
          <w:tcPr>
            <w:tcW w:w="596" w:type="pct"/>
            <w:tcBorders>
              <w:top w:val="single" w:color="auto" w:sz="6" w:space="0"/>
              <w:left w:val="single" w:color="auto" w:sz="6" w:space="0"/>
              <w:bottom w:val="single" w:color="auto" w:sz="6" w:space="0"/>
              <w:right w:val="single" w:color="auto" w:sz="6" w:space="0"/>
            </w:tcBorders>
            <w:vAlign w:val="center"/>
          </w:tcPr>
          <w:p w14:paraId="0018C896">
            <w:pPr>
              <w:pStyle w:val="62"/>
              <w:adjustRightInd w:val="0"/>
              <w:snapToGrid w:val="0"/>
              <w:contextualSpacing w:val="0"/>
              <w:rPr>
                <w:u w:val="single"/>
              </w:rPr>
            </w:pPr>
            <w:r>
              <w:rPr>
                <w:rFonts w:hint="eastAsia"/>
                <w:u w:val="single"/>
              </w:rPr>
              <w:t>0.13</w:t>
            </w:r>
          </w:p>
        </w:tc>
        <w:tc>
          <w:tcPr>
            <w:tcW w:w="596" w:type="pct"/>
            <w:tcBorders>
              <w:top w:val="single" w:color="auto" w:sz="6" w:space="0"/>
              <w:left w:val="single" w:color="auto" w:sz="6" w:space="0"/>
              <w:bottom w:val="single" w:color="auto" w:sz="6" w:space="0"/>
              <w:right w:val="single" w:color="auto" w:sz="6" w:space="0"/>
            </w:tcBorders>
            <w:vAlign w:val="center"/>
          </w:tcPr>
          <w:p w14:paraId="51D3D298">
            <w:pPr>
              <w:spacing w:line="240" w:lineRule="auto"/>
              <w:ind w:firstLine="0" w:firstLineChars="0"/>
              <w:jc w:val="center"/>
              <w:rPr>
                <w:sz w:val="21"/>
                <w:szCs w:val="21"/>
                <w:u w:val="single"/>
              </w:rPr>
            </w:pPr>
            <w:r>
              <w:rPr>
                <w:rFonts w:hint="eastAsia"/>
                <w:sz w:val="21"/>
                <w:szCs w:val="21"/>
                <w:u w:val="single"/>
              </w:rPr>
              <w:t>0.49</w:t>
            </w:r>
          </w:p>
        </w:tc>
        <w:tc>
          <w:tcPr>
            <w:tcW w:w="680" w:type="pct"/>
            <w:tcBorders>
              <w:top w:val="single" w:color="auto" w:sz="6" w:space="0"/>
              <w:left w:val="single" w:color="auto" w:sz="6" w:space="0"/>
              <w:bottom w:val="single" w:color="auto" w:sz="6" w:space="0"/>
              <w:right w:val="single" w:color="auto" w:sz="6" w:space="0"/>
            </w:tcBorders>
            <w:vAlign w:val="center"/>
          </w:tcPr>
          <w:p w14:paraId="46430296">
            <w:pPr>
              <w:spacing w:line="240" w:lineRule="auto"/>
              <w:ind w:firstLine="0" w:firstLineChars="0"/>
              <w:jc w:val="center"/>
              <w:rPr>
                <w:sz w:val="21"/>
                <w:szCs w:val="21"/>
                <w:u w:val="single"/>
              </w:rPr>
            </w:pPr>
            <w:r>
              <w:rPr>
                <w:rFonts w:hint="eastAsia"/>
                <w:sz w:val="21"/>
                <w:szCs w:val="21"/>
                <w:u w:val="single"/>
              </w:rPr>
              <w:t>0.33</w:t>
            </w:r>
          </w:p>
        </w:tc>
        <w:tc>
          <w:tcPr>
            <w:tcW w:w="566" w:type="pct"/>
            <w:tcBorders>
              <w:top w:val="single" w:color="auto" w:sz="6" w:space="0"/>
              <w:left w:val="single" w:color="auto" w:sz="6" w:space="0"/>
              <w:bottom w:val="single" w:color="auto" w:sz="6" w:space="0"/>
              <w:right w:val="single" w:color="auto" w:sz="8" w:space="0"/>
            </w:tcBorders>
            <w:vAlign w:val="center"/>
          </w:tcPr>
          <w:p w14:paraId="13C71527">
            <w:pPr>
              <w:spacing w:line="240" w:lineRule="auto"/>
              <w:ind w:firstLine="0" w:firstLineChars="0"/>
              <w:jc w:val="center"/>
              <w:rPr>
                <w:sz w:val="21"/>
                <w:szCs w:val="21"/>
                <w:u w:val="single"/>
              </w:rPr>
            </w:pPr>
            <w:r>
              <w:rPr>
                <w:rFonts w:hint="eastAsia"/>
                <w:sz w:val="21"/>
                <w:szCs w:val="21"/>
                <w:u w:val="single"/>
              </w:rPr>
              <w:t>0.43</w:t>
            </w:r>
          </w:p>
        </w:tc>
      </w:tr>
      <w:tr w14:paraId="7E15D7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209B7E43">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08478C83">
            <w:pPr>
              <w:pStyle w:val="62"/>
              <w:adjustRightInd w:val="0"/>
              <w:snapToGrid w:val="0"/>
              <w:contextualSpacing w:val="0"/>
              <w:rPr>
                <w:u w:val="single"/>
              </w:rPr>
            </w:pPr>
            <w:r>
              <w:rPr>
                <w:u w:val="single"/>
              </w:rPr>
              <w:t>202</w:t>
            </w:r>
            <w:r>
              <w:rPr>
                <w:rFonts w:hint="eastAsia"/>
                <w:u w:val="single"/>
              </w:rPr>
              <w:t>4</w:t>
            </w:r>
            <w:r>
              <w:rPr>
                <w:u w:val="single"/>
              </w:rPr>
              <w:t>.6</w:t>
            </w:r>
          </w:p>
        </w:tc>
        <w:tc>
          <w:tcPr>
            <w:tcW w:w="591" w:type="pct"/>
            <w:tcBorders>
              <w:top w:val="single" w:color="auto" w:sz="6" w:space="0"/>
              <w:left w:val="single" w:color="auto" w:sz="6" w:space="0"/>
              <w:bottom w:val="single" w:color="auto" w:sz="6" w:space="0"/>
              <w:right w:val="single" w:color="auto" w:sz="6" w:space="0"/>
            </w:tcBorders>
            <w:vAlign w:val="center"/>
          </w:tcPr>
          <w:p w14:paraId="3BE62B99">
            <w:pPr>
              <w:pStyle w:val="62"/>
              <w:adjustRightInd w:val="0"/>
              <w:snapToGrid w:val="0"/>
              <w:contextualSpacing w:val="0"/>
              <w:rPr>
                <w:u w:val="single"/>
              </w:rPr>
            </w:pPr>
            <w:r>
              <w:rPr>
                <w:rFonts w:hint="eastAsia"/>
                <w:u w:val="single"/>
              </w:rPr>
              <w:t>7.0</w:t>
            </w:r>
          </w:p>
        </w:tc>
        <w:tc>
          <w:tcPr>
            <w:tcW w:w="596" w:type="pct"/>
            <w:tcBorders>
              <w:top w:val="single" w:color="auto" w:sz="6" w:space="0"/>
              <w:left w:val="single" w:color="auto" w:sz="6" w:space="0"/>
              <w:bottom w:val="single" w:color="auto" w:sz="6" w:space="0"/>
              <w:right w:val="single" w:color="auto" w:sz="6" w:space="0"/>
            </w:tcBorders>
            <w:vAlign w:val="center"/>
          </w:tcPr>
          <w:p w14:paraId="0823544B">
            <w:pPr>
              <w:pStyle w:val="62"/>
              <w:adjustRightInd w:val="0"/>
              <w:snapToGrid w:val="0"/>
              <w:contextualSpacing w:val="0"/>
              <w:rPr>
                <w:u w:val="single"/>
              </w:rPr>
            </w:pPr>
            <w:r>
              <w:rPr>
                <w:rFonts w:hint="eastAsia"/>
                <w:u w:val="single"/>
              </w:rPr>
              <w:t>0.2</w:t>
            </w:r>
          </w:p>
        </w:tc>
        <w:tc>
          <w:tcPr>
            <w:tcW w:w="596" w:type="pct"/>
            <w:tcBorders>
              <w:top w:val="single" w:color="auto" w:sz="6" w:space="0"/>
              <w:left w:val="single" w:color="auto" w:sz="6" w:space="0"/>
              <w:bottom w:val="single" w:color="auto" w:sz="6" w:space="0"/>
              <w:right w:val="single" w:color="auto" w:sz="6" w:space="0"/>
            </w:tcBorders>
            <w:vAlign w:val="center"/>
          </w:tcPr>
          <w:p w14:paraId="4E656E34">
            <w:pPr>
              <w:pStyle w:val="62"/>
              <w:adjustRightInd w:val="0"/>
              <w:snapToGrid w:val="0"/>
              <w:contextualSpacing w:val="0"/>
              <w:rPr>
                <w:u w:val="single"/>
              </w:rPr>
            </w:pPr>
            <w:r>
              <w:rPr>
                <w:rFonts w:hint="eastAsia"/>
                <w:u w:val="single"/>
              </w:rPr>
              <w:t>0.17</w:t>
            </w:r>
          </w:p>
        </w:tc>
        <w:tc>
          <w:tcPr>
            <w:tcW w:w="596" w:type="pct"/>
            <w:tcBorders>
              <w:top w:val="single" w:color="auto" w:sz="6" w:space="0"/>
              <w:left w:val="single" w:color="auto" w:sz="6" w:space="0"/>
              <w:bottom w:val="single" w:color="auto" w:sz="6" w:space="0"/>
              <w:right w:val="single" w:color="auto" w:sz="6" w:space="0"/>
            </w:tcBorders>
            <w:vAlign w:val="center"/>
          </w:tcPr>
          <w:p w14:paraId="24419A22">
            <w:pPr>
              <w:spacing w:line="240" w:lineRule="auto"/>
              <w:ind w:firstLine="0" w:firstLineChars="0"/>
              <w:jc w:val="center"/>
              <w:rPr>
                <w:sz w:val="21"/>
                <w:szCs w:val="21"/>
                <w:u w:val="single"/>
              </w:rPr>
            </w:pPr>
            <w:r>
              <w:rPr>
                <w:rFonts w:hint="eastAsia"/>
                <w:sz w:val="21"/>
                <w:szCs w:val="21"/>
                <w:u w:val="single"/>
              </w:rPr>
              <w:t>0.7</w:t>
            </w:r>
          </w:p>
        </w:tc>
        <w:tc>
          <w:tcPr>
            <w:tcW w:w="680" w:type="pct"/>
            <w:tcBorders>
              <w:top w:val="single" w:color="auto" w:sz="6" w:space="0"/>
              <w:left w:val="single" w:color="auto" w:sz="6" w:space="0"/>
              <w:bottom w:val="single" w:color="auto" w:sz="6" w:space="0"/>
              <w:right w:val="single" w:color="auto" w:sz="6" w:space="0"/>
            </w:tcBorders>
            <w:vAlign w:val="center"/>
          </w:tcPr>
          <w:p w14:paraId="03C2CAA5">
            <w:pPr>
              <w:spacing w:line="240" w:lineRule="auto"/>
              <w:ind w:firstLine="0" w:firstLineChars="0"/>
              <w:jc w:val="center"/>
              <w:rPr>
                <w:sz w:val="21"/>
                <w:szCs w:val="21"/>
                <w:u w:val="single"/>
              </w:rPr>
            </w:pPr>
            <w:r>
              <w:rPr>
                <w:rFonts w:hint="eastAsia"/>
                <w:sz w:val="21"/>
                <w:szCs w:val="21"/>
                <w:u w:val="single"/>
              </w:rPr>
              <w:t>0.13</w:t>
            </w:r>
          </w:p>
        </w:tc>
        <w:tc>
          <w:tcPr>
            <w:tcW w:w="566" w:type="pct"/>
            <w:tcBorders>
              <w:top w:val="single" w:color="auto" w:sz="6" w:space="0"/>
              <w:left w:val="single" w:color="auto" w:sz="6" w:space="0"/>
              <w:bottom w:val="single" w:color="auto" w:sz="6" w:space="0"/>
              <w:right w:val="single" w:color="auto" w:sz="8" w:space="0"/>
            </w:tcBorders>
            <w:vAlign w:val="center"/>
          </w:tcPr>
          <w:p w14:paraId="62E4C992">
            <w:pPr>
              <w:spacing w:line="240" w:lineRule="auto"/>
              <w:ind w:firstLine="0" w:firstLineChars="0"/>
              <w:jc w:val="center"/>
              <w:rPr>
                <w:sz w:val="21"/>
                <w:szCs w:val="21"/>
                <w:u w:val="single"/>
              </w:rPr>
            </w:pPr>
            <w:r>
              <w:rPr>
                <w:rFonts w:hint="eastAsia"/>
                <w:sz w:val="21"/>
                <w:szCs w:val="21"/>
                <w:u w:val="single"/>
              </w:rPr>
              <w:t>0.57</w:t>
            </w:r>
          </w:p>
        </w:tc>
      </w:tr>
      <w:tr w14:paraId="3FB750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32BC6321">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0033B0B3">
            <w:pPr>
              <w:pStyle w:val="62"/>
              <w:adjustRightInd w:val="0"/>
              <w:snapToGrid w:val="0"/>
              <w:contextualSpacing w:val="0"/>
              <w:rPr>
                <w:u w:val="single"/>
              </w:rPr>
            </w:pPr>
            <w:r>
              <w:rPr>
                <w:u w:val="single"/>
              </w:rPr>
              <w:t>202</w:t>
            </w:r>
            <w:r>
              <w:rPr>
                <w:rFonts w:hint="eastAsia"/>
                <w:u w:val="single"/>
              </w:rPr>
              <w:t>4</w:t>
            </w:r>
            <w:r>
              <w:rPr>
                <w:u w:val="single"/>
              </w:rPr>
              <w:t>.7</w:t>
            </w:r>
          </w:p>
        </w:tc>
        <w:tc>
          <w:tcPr>
            <w:tcW w:w="591" w:type="pct"/>
            <w:tcBorders>
              <w:top w:val="single" w:color="auto" w:sz="6" w:space="0"/>
              <w:left w:val="single" w:color="auto" w:sz="6" w:space="0"/>
              <w:bottom w:val="single" w:color="auto" w:sz="6" w:space="0"/>
              <w:right w:val="single" w:color="auto" w:sz="6" w:space="0"/>
            </w:tcBorders>
            <w:vAlign w:val="center"/>
          </w:tcPr>
          <w:p w14:paraId="5A0E6FFC">
            <w:pPr>
              <w:pStyle w:val="62"/>
              <w:adjustRightInd w:val="0"/>
              <w:snapToGrid w:val="0"/>
              <w:contextualSpacing w:val="0"/>
              <w:rPr>
                <w:u w:val="single"/>
              </w:rPr>
            </w:pPr>
            <w:r>
              <w:rPr>
                <w:rFonts w:hint="eastAsia"/>
                <w:u w:val="single"/>
              </w:rPr>
              <w:t>6.1</w:t>
            </w:r>
          </w:p>
        </w:tc>
        <w:tc>
          <w:tcPr>
            <w:tcW w:w="596" w:type="pct"/>
            <w:tcBorders>
              <w:top w:val="single" w:color="auto" w:sz="6" w:space="0"/>
              <w:left w:val="single" w:color="auto" w:sz="6" w:space="0"/>
              <w:bottom w:val="single" w:color="auto" w:sz="6" w:space="0"/>
              <w:right w:val="single" w:color="auto" w:sz="6" w:space="0"/>
            </w:tcBorders>
            <w:vAlign w:val="center"/>
          </w:tcPr>
          <w:p w14:paraId="76EAEFC9">
            <w:pPr>
              <w:pStyle w:val="62"/>
              <w:adjustRightInd w:val="0"/>
              <w:snapToGrid w:val="0"/>
              <w:contextualSpacing w:val="0"/>
              <w:rPr>
                <w:u w:val="single"/>
              </w:rPr>
            </w:pPr>
            <w:r>
              <w:rPr>
                <w:rFonts w:hint="eastAsia"/>
                <w:u w:val="single"/>
              </w:rPr>
              <w:t>0.4</w:t>
            </w:r>
          </w:p>
        </w:tc>
        <w:tc>
          <w:tcPr>
            <w:tcW w:w="596" w:type="pct"/>
            <w:tcBorders>
              <w:top w:val="single" w:color="auto" w:sz="6" w:space="0"/>
              <w:left w:val="single" w:color="auto" w:sz="6" w:space="0"/>
              <w:bottom w:val="single" w:color="auto" w:sz="6" w:space="0"/>
              <w:right w:val="single" w:color="auto" w:sz="6" w:space="0"/>
            </w:tcBorders>
            <w:vAlign w:val="center"/>
          </w:tcPr>
          <w:p w14:paraId="2DFDE70F">
            <w:pPr>
              <w:pStyle w:val="62"/>
              <w:adjustRightInd w:val="0"/>
              <w:snapToGrid w:val="0"/>
              <w:contextualSpacing w:val="0"/>
              <w:rPr>
                <w:u w:val="single"/>
              </w:rPr>
            </w:pPr>
            <w:r>
              <w:rPr>
                <w:rFonts w:hint="eastAsia"/>
                <w:u w:val="single"/>
              </w:rPr>
              <w:t>0.21</w:t>
            </w:r>
          </w:p>
        </w:tc>
        <w:tc>
          <w:tcPr>
            <w:tcW w:w="596" w:type="pct"/>
            <w:tcBorders>
              <w:top w:val="single" w:color="auto" w:sz="6" w:space="0"/>
              <w:left w:val="single" w:color="auto" w:sz="6" w:space="0"/>
              <w:bottom w:val="single" w:color="auto" w:sz="6" w:space="0"/>
              <w:right w:val="single" w:color="auto" w:sz="6" w:space="0"/>
            </w:tcBorders>
            <w:vAlign w:val="center"/>
          </w:tcPr>
          <w:p w14:paraId="0095F9CD">
            <w:pPr>
              <w:spacing w:line="240" w:lineRule="auto"/>
              <w:ind w:firstLine="0" w:firstLineChars="0"/>
              <w:jc w:val="center"/>
              <w:rPr>
                <w:sz w:val="21"/>
                <w:szCs w:val="21"/>
                <w:u w:val="single"/>
              </w:rPr>
            </w:pPr>
            <w:r>
              <w:rPr>
                <w:rFonts w:hint="eastAsia"/>
                <w:sz w:val="21"/>
                <w:szCs w:val="21"/>
                <w:u w:val="single"/>
              </w:rPr>
              <w:t>0.61</w:t>
            </w:r>
          </w:p>
        </w:tc>
        <w:tc>
          <w:tcPr>
            <w:tcW w:w="680" w:type="pct"/>
            <w:tcBorders>
              <w:top w:val="single" w:color="auto" w:sz="6" w:space="0"/>
              <w:left w:val="single" w:color="auto" w:sz="6" w:space="0"/>
              <w:bottom w:val="single" w:color="auto" w:sz="6" w:space="0"/>
              <w:right w:val="single" w:color="auto" w:sz="6" w:space="0"/>
            </w:tcBorders>
            <w:vAlign w:val="center"/>
          </w:tcPr>
          <w:p w14:paraId="149CEEAA">
            <w:pPr>
              <w:spacing w:line="240" w:lineRule="auto"/>
              <w:ind w:firstLine="0" w:firstLineChars="0"/>
              <w:jc w:val="center"/>
              <w:rPr>
                <w:sz w:val="21"/>
                <w:szCs w:val="21"/>
                <w:u w:val="single"/>
              </w:rPr>
            </w:pPr>
            <w:r>
              <w:rPr>
                <w:rFonts w:hint="eastAsia"/>
                <w:sz w:val="21"/>
                <w:szCs w:val="21"/>
                <w:u w:val="single"/>
              </w:rPr>
              <w:t>0.17</w:t>
            </w:r>
          </w:p>
        </w:tc>
        <w:tc>
          <w:tcPr>
            <w:tcW w:w="566" w:type="pct"/>
            <w:tcBorders>
              <w:top w:val="single" w:color="auto" w:sz="6" w:space="0"/>
              <w:left w:val="single" w:color="auto" w:sz="6" w:space="0"/>
              <w:bottom w:val="single" w:color="auto" w:sz="6" w:space="0"/>
              <w:right w:val="single" w:color="auto" w:sz="8" w:space="0"/>
            </w:tcBorders>
            <w:vAlign w:val="center"/>
          </w:tcPr>
          <w:p w14:paraId="637CA448">
            <w:pPr>
              <w:spacing w:line="240" w:lineRule="auto"/>
              <w:ind w:firstLine="0" w:firstLineChars="0"/>
              <w:jc w:val="center"/>
              <w:rPr>
                <w:sz w:val="21"/>
                <w:szCs w:val="21"/>
                <w:u w:val="single"/>
              </w:rPr>
            </w:pPr>
            <w:r>
              <w:rPr>
                <w:rFonts w:hint="eastAsia"/>
                <w:sz w:val="21"/>
                <w:szCs w:val="21"/>
                <w:u w:val="single"/>
              </w:rPr>
              <w:t>0.7</w:t>
            </w:r>
          </w:p>
        </w:tc>
      </w:tr>
      <w:tr w14:paraId="771F12E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1D5758A3">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3AF0207C">
            <w:pPr>
              <w:pStyle w:val="62"/>
              <w:adjustRightInd w:val="0"/>
              <w:snapToGrid w:val="0"/>
              <w:contextualSpacing w:val="0"/>
              <w:rPr>
                <w:u w:val="single"/>
              </w:rPr>
            </w:pPr>
            <w:r>
              <w:rPr>
                <w:u w:val="single"/>
              </w:rPr>
              <w:t>202</w:t>
            </w:r>
            <w:r>
              <w:rPr>
                <w:rFonts w:hint="eastAsia"/>
                <w:u w:val="single"/>
              </w:rPr>
              <w:t>4</w:t>
            </w:r>
            <w:r>
              <w:rPr>
                <w:u w:val="single"/>
              </w:rPr>
              <w:t>.8</w:t>
            </w:r>
          </w:p>
        </w:tc>
        <w:tc>
          <w:tcPr>
            <w:tcW w:w="591" w:type="pct"/>
            <w:tcBorders>
              <w:top w:val="single" w:color="auto" w:sz="6" w:space="0"/>
              <w:left w:val="single" w:color="auto" w:sz="6" w:space="0"/>
              <w:bottom w:val="single" w:color="auto" w:sz="6" w:space="0"/>
              <w:right w:val="single" w:color="auto" w:sz="6" w:space="0"/>
            </w:tcBorders>
            <w:vAlign w:val="center"/>
          </w:tcPr>
          <w:p w14:paraId="291B0286">
            <w:pPr>
              <w:pStyle w:val="62"/>
              <w:adjustRightInd w:val="0"/>
              <w:snapToGrid w:val="0"/>
              <w:contextualSpacing w:val="0"/>
              <w:rPr>
                <w:u w:val="single"/>
              </w:rPr>
            </w:pPr>
            <w:r>
              <w:rPr>
                <w:rFonts w:hint="eastAsia"/>
                <w:u w:val="single"/>
              </w:rPr>
              <w:t>5.0</w:t>
            </w:r>
          </w:p>
        </w:tc>
        <w:tc>
          <w:tcPr>
            <w:tcW w:w="596" w:type="pct"/>
            <w:tcBorders>
              <w:top w:val="single" w:color="auto" w:sz="6" w:space="0"/>
              <w:left w:val="single" w:color="auto" w:sz="6" w:space="0"/>
              <w:bottom w:val="single" w:color="auto" w:sz="6" w:space="0"/>
              <w:right w:val="single" w:color="auto" w:sz="6" w:space="0"/>
            </w:tcBorders>
            <w:vAlign w:val="center"/>
          </w:tcPr>
          <w:p w14:paraId="0C3CA17B">
            <w:pPr>
              <w:pStyle w:val="62"/>
              <w:adjustRightInd w:val="0"/>
              <w:snapToGrid w:val="0"/>
              <w:contextualSpacing w:val="0"/>
              <w:rPr>
                <w:u w:val="single"/>
              </w:rPr>
            </w:pPr>
            <w:r>
              <w:rPr>
                <w:rFonts w:hint="eastAsia"/>
                <w:u w:val="single"/>
              </w:rPr>
              <w:t>0.3</w:t>
            </w:r>
          </w:p>
        </w:tc>
        <w:tc>
          <w:tcPr>
            <w:tcW w:w="596" w:type="pct"/>
            <w:tcBorders>
              <w:top w:val="single" w:color="auto" w:sz="6" w:space="0"/>
              <w:left w:val="single" w:color="auto" w:sz="6" w:space="0"/>
              <w:bottom w:val="single" w:color="auto" w:sz="6" w:space="0"/>
              <w:right w:val="single" w:color="auto" w:sz="6" w:space="0"/>
            </w:tcBorders>
            <w:vAlign w:val="center"/>
          </w:tcPr>
          <w:p w14:paraId="0D0B9426">
            <w:pPr>
              <w:pStyle w:val="62"/>
              <w:adjustRightInd w:val="0"/>
              <w:snapToGrid w:val="0"/>
              <w:contextualSpacing w:val="0"/>
              <w:rPr>
                <w:u w:val="single"/>
              </w:rPr>
            </w:pPr>
            <w:r>
              <w:rPr>
                <w:rFonts w:hint="eastAsia"/>
                <w:u w:val="single"/>
              </w:rPr>
              <w:t>0.17</w:t>
            </w:r>
          </w:p>
        </w:tc>
        <w:tc>
          <w:tcPr>
            <w:tcW w:w="596" w:type="pct"/>
            <w:tcBorders>
              <w:top w:val="single" w:color="auto" w:sz="6" w:space="0"/>
              <w:left w:val="single" w:color="auto" w:sz="6" w:space="0"/>
              <w:bottom w:val="single" w:color="auto" w:sz="6" w:space="0"/>
              <w:right w:val="single" w:color="auto" w:sz="6" w:space="0"/>
            </w:tcBorders>
            <w:vAlign w:val="center"/>
          </w:tcPr>
          <w:p w14:paraId="103F2C95">
            <w:pPr>
              <w:spacing w:line="240" w:lineRule="auto"/>
              <w:ind w:firstLine="0" w:firstLineChars="0"/>
              <w:jc w:val="center"/>
              <w:rPr>
                <w:sz w:val="21"/>
                <w:szCs w:val="21"/>
                <w:u w:val="single"/>
              </w:rPr>
            </w:pPr>
            <w:r>
              <w:rPr>
                <w:rFonts w:hint="eastAsia"/>
                <w:sz w:val="21"/>
                <w:szCs w:val="21"/>
                <w:u w:val="single"/>
              </w:rPr>
              <w:t>0.5</w:t>
            </w:r>
          </w:p>
        </w:tc>
        <w:tc>
          <w:tcPr>
            <w:tcW w:w="680" w:type="pct"/>
            <w:tcBorders>
              <w:top w:val="single" w:color="auto" w:sz="6" w:space="0"/>
              <w:left w:val="single" w:color="auto" w:sz="6" w:space="0"/>
              <w:bottom w:val="single" w:color="auto" w:sz="6" w:space="0"/>
              <w:right w:val="single" w:color="auto" w:sz="6" w:space="0"/>
            </w:tcBorders>
            <w:vAlign w:val="center"/>
          </w:tcPr>
          <w:p w14:paraId="629DFB23">
            <w:pPr>
              <w:spacing w:line="240" w:lineRule="auto"/>
              <w:ind w:firstLine="0" w:firstLineChars="0"/>
              <w:jc w:val="center"/>
              <w:rPr>
                <w:sz w:val="21"/>
                <w:szCs w:val="21"/>
                <w:u w:val="single"/>
              </w:rPr>
            </w:pPr>
            <w:r>
              <w:rPr>
                <w:rFonts w:hint="eastAsia"/>
                <w:sz w:val="21"/>
                <w:szCs w:val="21"/>
                <w:u w:val="single"/>
              </w:rPr>
              <w:t>0.2</w:t>
            </w:r>
          </w:p>
        </w:tc>
        <w:tc>
          <w:tcPr>
            <w:tcW w:w="566" w:type="pct"/>
            <w:tcBorders>
              <w:top w:val="single" w:color="auto" w:sz="6" w:space="0"/>
              <w:left w:val="single" w:color="auto" w:sz="6" w:space="0"/>
              <w:bottom w:val="single" w:color="auto" w:sz="6" w:space="0"/>
              <w:right w:val="single" w:color="auto" w:sz="8" w:space="0"/>
            </w:tcBorders>
            <w:vAlign w:val="center"/>
          </w:tcPr>
          <w:p w14:paraId="61B85198">
            <w:pPr>
              <w:spacing w:line="240" w:lineRule="auto"/>
              <w:ind w:firstLine="0" w:firstLineChars="0"/>
              <w:jc w:val="center"/>
              <w:rPr>
                <w:sz w:val="21"/>
                <w:szCs w:val="21"/>
                <w:u w:val="single"/>
              </w:rPr>
            </w:pPr>
            <w:r>
              <w:rPr>
                <w:rFonts w:hint="eastAsia"/>
                <w:sz w:val="21"/>
                <w:szCs w:val="21"/>
                <w:u w:val="single"/>
              </w:rPr>
              <w:t>0.57</w:t>
            </w:r>
          </w:p>
        </w:tc>
      </w:tr>
      <w:tr w14:paraId="7856CC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267971FB">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1C16839D">
            <w:pPr>
              <w:pStyle w:val="62"/>
              <w:adjustRightInd w:val="0"/>
              <w:snapToGrid w:val="0"/>
              <w:contextualSpacing w:val="0"/>
              <w:rPr>
                <w:u w:val="single"/>
              </w:rPr>
            </w:pPr>
            <w:r>
              <w:rPr>
                <w:u w:val="single"/>
              </w:rPr>
              <w:t>202</w:t>
            </w:r>
            <w:r>
              <w:rPr>
                <w:rFonts w:hint="eastAsia"/>
                <w:u w:val="single"/>
              </w:rPr>
              <w:t>4</w:t>
            </w:r>
            <w:r>
              <w:rPr>
                <w:u w:val="single"/>
              </w:rPr>
              <w:t>.9</w:t>
            </w:r>
          </w:p>
        </w:tc>
        <w:tc>
          <w:tcPr>
            <w:tcW w:w="591" w:type="pct"/>
            <w:tcBorders>
              <w:top w:val="single" w:color="auto" w:sz="6" w:space="0"/>
              <w:left w:val="single" w:color="auto" w:sz="6" w:space="0"/>
              <w:bottom w:val="single" w:color="auto" w:sz="6" w:space="0"/>
              <w:right w:val="single" w:color="auto" w:sz="6" w:space="0"/>
            </w:tcBorders>
            <w:vAlign w:val="center"/>
          </w:tcPr>
          <w:p w14:paraId="26C3DC91">
            <w:pPr>
              <w:pStyle w:val="62"/>
              <w:adjustRightInd w:val="0"/>
              <w:snapToGrid w:val="0"/>
              <w:contextualSpacing w:val="0"/>
              <w:rPr>
                <w:u w:val="single"/>
              </w:rPr>
            </w:pPr>
            <w:r>
              <w:rPr>
                <w:rFonts w:hint="eastAsia"/>
                <w:u w:val="single"/>
              </w:rPr>
              <w:t>4.9</w:t>
            </w:r>
          </w:p>
        </w:tc>
        <w:tc>
          <w:tcPr>
            <w:tcW w:w="596" w:type="pct"/>
            <w:tcBorders>
              <w:top w:val="single" w:color="auto" w:sz="6" w:space="0"/>
              <w:left w:val="single" w:color="auto" w:sz="6" w:space="0"/>
              <w:bottom w:val="single" w:color="auto" w:sz="6" w:space="0"/>
              <w:right w:val="single" w:color="auto" w:sz="6" w:space="0"/>
            </w:tcBorders>
            <w:vAlign w:val="center"/>
          </w:tcPr>
          <w:p w14:paraId="42F15D30">
            <w:pPr>
              <w:pStyle w:val="62"/>
              <w:adjustRightInd w:val="0"/>
              <w:snapToGrid w:val="0"/>
              <w:contextualSpacing w:val="0"/>
              <w:rPr>
                <w:u w:val="single"/>
              </w:rPr>
            </w:pPr>
            <w:r>
              <w:rPr>
                <w:rFonts w:hint="eastAsia"/>
                <w:u w:val="single"/>
              </w:rPr>
              <w:t>0.2</w:t>
            </w:r>
          </w:p>
        </w:tc>
        <w:tc>
          <w:tcPr>
            <w:tcW w:w="596" w:type="pct"/>
            <w:tcBorders>
              <w:top w:val="single" w:color="auto" w:sz="6" w:space="0"/>
              <w:left w:val="single" w:color="auto" w:sz="6" w:space="0"/>
              <w:bottom w:val="single" w:color="auto" w:sz="6" w:space="0"/>
              <w:right w:val="single" w:color="auto" w:sz="6" w:space="0"/>
            </w:tcBorders>
            <w:vAlign w:val="center"/>
          </w:tcPr>
          <w:p w14:paraId="4090C69A">
            <w:pPr>
              <w:pStyle w:val="62"/>
              <w:adjustRightInd w:val="0"/>
              <w:snapToGrid w:val="0"/>
              <w:contextualSpacing w:val="0"/>
              <w:rPr>
                <w:u w:val="single"/>
              </w:rPr>
            </w:pPr>
            <w:r>
              <w:rPr>
                <w:rFonts w:hint="eastAsia"/>
                <w:u w:val="single"/>
              </w:rPr>
              <w:t>0.18</w:t>
            </w:r>
          </w:p>
        </w:tc>
        <w:tc>
          <w:tcPr>
            <w:tcW w:w="596" w:type="pct"/>
            <w:tcBorders>
              <w:top w:val="single" w:color="auto" w:sz="6" w:space="0"/>
              <w:left w:val="single" w:color="auto" w:sz="6" w:space="0"/>
              <w:bottom w:val="single" w:color="auto" w:sz="6" w:space="0"/>
              <w:right w:val="single" w:color="auto" w:sz="6" w:space="0"/>
            </w:tcBorders>
            <w:vAlign w:val="center"/>
          </w:tcPr>
          <w:p w14:paraId="0D1FE11C">
            <w:pPr>
              <w:spacing w:line="240" w:lineRule="auto"/>
              <w:ind w:firstLine="0" w:firstLineChars="0"/>
              <w:jc w:val="center"/>
              <w:rPr>
                <w:sz w:val="21"/>
                <w:szCs w:val="21"/>
                <w:u w:val="single"/>
              </w:rPr>
            </w:pPr>
            <w:r>
              <w:rPr>
                <w:rFonts w:hint="eastAsia"/>
                <w:sz w:val="21"/>
                <w:szCs w:val="21"/>
                <w:u w:val="single"/>
              </w:rPr>
              <w:t>0.49</w:t>
            </w:r>
          </w:p>
        </w:tc>
        <w:tc>
          <w:tcPr>
            <w:tcW w:w="680" w:type="pct"/>
            <w:tcBorders>
              <w:top w:val="single" w:color="auto" w:sz="6" w:space="0"/>
              <w:left w:val="single" w:color="auto" w:sz="6" w:space="0"/>
              <w:bottom w:val="single" w:color="auto" w:sz="6" w:space="0"/>
              <w:right w:val="single" w:color="auto" w:sz="6" w:space="0"/>
            </w:tcBorders>
            <w:vAlign w:val="center"/>
          </w:tcPr>
          <w:p w14:paraId="1B0B9683">
            <w:pPr>
              <w:spacing w:line="240" w:lineRule="auto"/>
              <w:ind w:firstLine="0" w:firstLineChars="0"/>
              <w:jc w:val="center"/>
              <w:rPr>
                <w:sz w:val="21"/>
                <w:szCs w:val="21"/>
                <w:u w:val="single"/>
              </w:rPr>
            </w:pPr>
            <w:r>
              <w:rPr>
                <w:rFonts w:hint="eastAsia"/>
                <w:sz w:val="21"/>
                <w:szCs w:val="21"/>
                <w:u w:val="single"/>
              </w:rPr>
              <w:t>0.13</w:t>
            </w:r>
          </w:p>
        </w:tc>
        <w:tc>
          <w:tcPr>
            <w:tcW w:w="566" w:type="pct"/>
            <w:tcBorders>
              <w:top w:val="single" w:color="auto" w:sz="6" w:space="0"/>
              <w:left w:val="single" w:color="auto" w:sz="6" w:space="0"/>
              <w:bottom w:val="single" w:color="auto" w:sz="6" w:space="0"/>
              <w:right w:val="single" w:color="auto" w:sz="8" w:space="0"/>
            </w:tcBorders>
            <w:vAlign w:val="center"/>
          </w:tcPr>
          <w:p w14:paraId="2699E0EE">
            <w:pPr>
              <w:spacing w:line="240" w:lineRule="auto"/>
              <w:ind w:firstLine="0" w:firstLineChars="0"/>
              <w:jc w:val="center"/>
              <w:rPr>
                <w:sz w:val="21"/>
                <w:szCs w:val="21"/>
                <w:u w:val="single"/>
              </w:rPr>
            </w:pPr>
            <w:r>
              <w:rPr>
                <w:rFonts w:hint="eastAsia"/>
                <w:sz w:val="21"/>
                <w:szCs w:val="21"/>
                <w:u w:val="single"/>
              </w:rPr>
              <w:t>0.6</w:t>
            </w:r>
          </w:p>
        </w:tc>
      </w:tr>
      <w:tr w14:paraId="185BE8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0" w:type="auto"/>
            <w:vMerge w:val="continue"/>
            <w:tcBorders>
              <w:left w:val="single" w:color="auto" w:sz="8" w:space="0"/>
              <w:right w:val="single" w:color="auto" w:sz="6" w:space="0"/>
            </w:tcBorders>
            <w:vAlign w:val="center"/>
          </w:tcPr>
          <w:p w14:paraId="2BF5DDEA">
            <w:pPr>
              <w:widowControl/>
              <w:spacing w:line="240" w:lineRule="auto"/>
              <w:ind w:firstLine="0" w:firstLineChars="0"/>
              <w:jc w:val="center"/>
              <w:rPr>
                <w:sz w:val="21"/>
                <w:szCs w:val="21"/>
                <w:u w:val="single"/>
              </w:rPr>
            </w:pPr>
          </w:p>
        </w:tc>
        <w:tc>
          <w:tcPr>
            <w:tcW w:w="745" w:type="pct"/>
            <w:tcBorders>
              <w:top w:val="single" w:color="auto" w:sz="6" w:space="0"/>
              <w:left w:val="single" w:color="auto" w:sz="6" w:space="0"/>
              <w:bottom w:val="single" w:color="auto" w:sz="6" w:space="0"/>
              <w:right w:val="single" w:color="auto" w:sz="6" w:space="0"/>
            </w:tcBorders>
            <w:vAlign w:val="center"/>
          </w:tcPr>
          <w:p w14:paraId="124F24F0">
            <w:pPr>
              <w:pStyle w:val="62"/>
              <w:adjustRightInd w:val="0"/>
              <w:snapToGrid w:val="0"/>
              <w:contextualSpacing w:val="0"/>
              <w:rPr>
                <w:u w:val="single"/>
              </w:rPr>
            </w:pPr>
            <w:r>
              <w:rPr>
                <w:rFonts w:hint="eastAsia"/>
                <w:u w:val="single"/>
              </w:rPr>
              <w:t>均值</w:t>
            </w:r>
          </w:p>
        </w:tc>
        <w:tc>
          <w:tcPr>
            <w:tcW w:w="591" w:type="pct"/>
            <w:tcBorders>
              <w:top w:val="single" w:color="auto" w:sz="6" w:space="0"/>
              <w:left w:val="single" w:color="auto" w:sz="6" w:space="0"/>
              <w:bottom w:val="single" w:color="auto" w:sz="6" w:space="0"/>
              <w:right w:val="single" w:color="auto" w:sz="6" w:space="0"/>
            </w:tcBorders>
            <w:vAlign w:val="center"/>
          </w:tcPr>
          <w:p w14:paraId="0148D73E">
            <w:pPr>
              <w:pStyle w:val="62"/>
              <w:adjustRightInd w:val="0"/>
              <w:snapToGrid w:val="0"/>
              <w:contextualSpacing w:val="0"/>
              <w:rPr>
                <w:u w:val="single"/>
              </w:rPr>
            </w:pPr>
            <w:r>
              <w:rPr>
                <w:rFonts w:hint="eastAsia"/>
                <w:u w:val="single"/>
              </w:rPr>
              <w:t>5.0</w:t>
            </w:r>
          </w:p>
        </w:tc>
        <w:tc>
          <w:tcPr>
            <w:tcW w:w="596" w:type="pct"/>
            <w:tcBorders>
              <w:top w:val="single" w:color="auto" w:sz="6" w:space="0"/>
              <w:left w:val="single" w:color="auto" w:sz="6" w:space="0"/>
              <w:bottom w:val="single" w:color="auto" w:sz="6" w:space="0"/>
              <w:right w:val="single" w:color="auto" w:sz="6" w:space="0"/>
            </w:tcBorders>
            <w:vAlign w:val="center"/>
          </w:tcPr>
          <w:p w14:paraId="62762702">
            <w:pPr>
              <w:pStyle w:val="62"/>
              <w:adjustRightInd w:val="0"/>
              <w:snapToGrid w:val="0"/>
              <w:contextualSpacing w:val="0"/>
              <w:rPr>
                <w:u w:val="single"/>
              </w:rPr>
            </w:pPr>
            <w:r>
              <w:rPr>
                <w:rFonts w:hint="eastAsia"/>
                <w:u w:val="single"/>
              </w:rPr>
              <w:t>0.38</w:t>
            </w:r>
          </w:p>
        </w:tc>
        <w:tc>
          <w:tcPr>
            <w:tcW w:w="596" w:type="pct"/>
            <w:tcBorders>
              <w:top w:val="single" w:color="auto" w:sz="6" w:space="0"/>
              <w:left w:val="single" w:color="auto" w:sz="6" w:space="0"/>
              <w:bottom w:val="single" w:color="auto" w:sz="6" w:space="0"/>
              <w:right w:val="single" w:color="auto" w:sz="6" w:space="0"/>
            </w:tcBorders>
            <w:vAlign w:val="center"/>
          </w:tcPr>
          <w:p w14:paraId="69C36E7D">
            <w:pPr>
              <w:pStyle w:val="62"/>
              <w:adjustRightInd w:val="0"/>
              <w:snapToGrid w:val="0"/>
              <w:contextualSpacing w:val="0"/>
              <w:rPr>
                <w:u w:val="single"/>
              </w:rPr>
            </w:pPr>
            <w:r>
              <w:rPr>
                <w:rFonts w:hint="eastAsia"/>
                <w:u w:val="single"/>
              </w:rPr>
              <w:t>0.15</w:t>
            </w:r>
          </w:p>
        </w:tc>
        <w:tc>
          <w:tcPr>
            <w:tcW w:w="596" w:type="pct"/>
            <w:tcBorders>
              <w:top w:val="single" w:color="auto" w:sz="6" w:space="0"/>
              <w:left w:val="single" w:color="auto" w:sz="6" w:space="0"/>
              <w:bottom w:val="single" w:color="auto" w:sz="6" w:space="0"/>
              <w:right w:val="single" w:color="auto" w:sz="6" w:space="0"/>
            </w:tcBorders>
            <w:vAlign w:val="center"/>
          </w:tcPr>
          <w:p w14:paraId="097292E5">
            <w:pPr>
              <w:spacing w:line="240" w:lineRule="auto"/>
              <w:ind w:firstLine="0" w:firstLineChars="0"/>
              <w:jc w:val="center"/>
              <w:rPr>
                <w:sz w:val="21"/>
                <w:szCs w:val="21"/>
                <w:u w:val="single"/>
              </w:rPr>
            </w:pPr>
            <w:r>
              <w:rPr>
                <w:rFonts w:hint="eastAsia"/>
                <w:sz w:val="21"/>
                <w:szCs w:val="21"/>
                <w:u w:val="single"/>
              </w:rPr>
              <w:t>0.5</w:t>
            </w:r>
          </w:p>
        </w:tc>
        <w:tc>
          <w:tcPr>
            <w:tcW w:w="680" w:type="pct"/>
            <w:tcBorders>
              <w:top w:val="single" w:color="auto" w:sz="6" w:space="0"/>
              <w:left w:val="single" w:color="auto" w:sz="6" w:space="0"/>
              <w:bottom w:val="single" w:color="auto" w:sz="6" w:space="0"/>
              <w:right w:val="single" w:color="auto" w:sz="6" w:space="0"/>
            </w:tcBorders>
            <w:vAlign w:val="center"/>
          </w:tcPr>
          <w:p w14:paraId="0B7A1ABC">
            <w:pPr>
              <w:spacing w:line="240" w:lineRule="auto"/>
              <w:ind w:firstLine="0" w:firstLineChars="0"/>
              <w:jc w:val="center"/>
              <w:rPr>
                <w:sz w:val="21"/>
                <w:szCs w:val="21"/>
                <w:u w:val="single"/>
              </w:rPr>
            </w:pPr>
            <w:r>
              <w:rPr>
                <w:rFonts w:hint="eastAsia"/>
                <w:sz w:val="21"/>
                <w:szCs w:val="21"/>
                <w:u w:val="single"/>
              </w:rPr>
              <w:t>0.25</w:t>
            </w:r>
          </w:p>
        </w:tc>
        <w:tc>
          <w:tcPr>
            <w:tcW w:w="566" w:type="pct"/>
            <w:tcBorders>
              <w:top w:val="single" w:color="auto" w:sz="6" w:space="0"/>
              <w:left w:val="single" w:color="auto" w:sz="6" w:space="0"/>
              <w:bottom w:val="single" w:color="auto" w:sz="6" w:space="0"/>
              <w:right w:val="single" w:color="auto" w:sz="8" w:space="0"/>
            </w:tcBorders>
            <w:vAlign w:val="center"/>
          </w:tcPr>
          <w:p w14:paraId="666052F8">
            <w:pPr>
              <w:spacing w:line="240" w:lineRule="auto"/>
              <w:ind w:firstLine="0" w:firstLineChars="0"/>
              <w:jc w:val="center"/>
              <w:rPr>
                <w:sz w:val="21"/>
                <w:szCs w:val="21"/>
                <w:u w:val="single"/>
              </w:rPr>
            </w:pPr>
            <w:r>
              <w:rPr>
                <w:rFonts w:hint="eastAsia"/>
                <w:sz w:val="21"/>
                <w:szCs w:val="21"/>
                <w:u w:val="single"/>
              </w:rPr>
              <w:t>0.5</w:t>
            </w:r>
          </w:p>
        </w:tc>
      </w:tr>
      <w:tr w14:paraId="704B1F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375" w:type="pct"/>
            <w:gridSpan w:val="2"/>
            <w:tcBorders>
              <w:top w:val="single" w:color="auto" w:sz="6" w:space="0"/>
              <w:left w:val="single" w:color="auto" w:sz="8" w:space="0"/>
              <w:bottom w:val="single" w:color="auto" w:sz="8" w:space="0"/>
              <w:right w:val="single" w:color="auto" w:sz="6" w:space="0"/>
            </w:tcBorders>
            <w:vAlign w:val="center"/>
          </w:tcPr>
          <w:p w14:paraId="02348A09">
            <w:pPr>
              <w:pStyle w:val="62"/>
              <w:adjustRightInd w:val="0"/>
              <w:snapToGrid w:val="0"/>
              <w:contextualSpacing w:val="0"/>
              <w:rPr>
                <w:u w:val="single"/>
              </w:rPr>
            </w:pPr>
            <w:r>
              <w:rPr>
                <w:u w:val="single"/>
              </w:rPr>
              <w:t>《地表水环境质量标准》（GB3838-2002）IV类</w:t>
            </w:r>
          </w:p>
        </w:tc>
        <w:tc>
          <w:tcPr>
            <w:tcW w:w="591" w:type="pct"/>
            <w:tcBorders>
              <w:top w:val="single" w:color="auto" w:sz="6" w:space="0"/>
              <w:left w:val="single" w:color="auto" w:sz="6" w:space="0"/>
              <w:bottom w:val="single" w:color="auto" w:sz="8" w:space="0"/>
              <w:right w:val="single" w:color="auto" w:sz="6" w:space="0"/>
            </w:tcBorders>
            <w:vAlign w:val="center"/>
          </w:tcPr>
          <w:p w14:paraId="34A0321E">
            <w:pPr>
              <w:pStyle w:val="62"/>
              <w:adjustRightInd w:val="0"/>
              <w:snapToGrid w:val="0"/>
              <w:contextualSpacing w:val="0"/>
              <w:rPr>
                <w:u w:val="single"/>
              </w:rPr>
            </w:pPr>
            <w:r>
              <w:rPr>
                <w:u w:val="single"/>
              </w:rPr>
              <w:t>≤</w:t>
            </w:r>
            <w:r>
              <w:rPr>
                <w:rFonts w:hint="eastAsia"/>
                <w:u w:val="single"/>
              </w:rPr>
              <w:t>10</w:t>
            </w:r>
          </w:p>
        </w:tc>
        <w:tc>
          <w:tcPr>
            <w:tcW w:w="596" w:type="pct"/>
            <w:tcBorders>
              <w:top w:val="single" w:color="auto" w:sz="6" w:space="0"/>
              <w:left w:val="single" w:color="auto" w:sz="6" w:space="0"/>
              <w:bottom w:val="single" w:color="auto" w:sz="8" w:space="0"/>
              <w:right w:val="single" w:color="auto" w:sz="6" w:space="0"/>
            </w:tcBorders>
            <w:vAlign w:val="center"/>
          </w:tcPr>
          <w:p w14:paraId="00AF813F">
            <w:pPr>
              <w:pStyle w:val="62"/>
              <w:adjustRightInd w:val="0"/>
              <w:snapToGrid w:val="0"/>
              <w:contextualSpacing w:val="0"/>
              <w:rPr>
                <w:u w:val="single"/>
              </w:rPr>
            </w:pPr>
            <w:r>
              <w:rPr>
                <w:u w:val="single"/>
              </w:rPr>
              <w:t>≤1.5</w:t>
            </w:r>
          </w:p>
        </w:tc>
        <w:tc>
          <w:tcPr>
            <w:tcW w:w="596" w:type="pct"/>
            <w:tcBorders>
              <w:top w:val="single" w:color="auto" w:sz="6" w:space="0"/>
              <w:left w:val="single" w:color="auto" w:sz="6" w:space="0"/>
              <w:bottom w:val="single" w:color="auto" w:sz="8" w:space="0"/>
              <w:right w:val="single" w:color="auto" w:sz="6" w:space="0"/>
            </w:tcBorders>
            <w:vAlign w:val="center"/>
          </w:tcPr>
          <w:p w14:paraId="67FDF7EB">
            <w:pPr>
              <w:pStyle w:val="62"/>
              <w:adjustRightInd w:val="0"/>
              <w:snapToGrid w:val="0"/>
              <w:contextualSpacing w:val="0"/>
              <w:rPr>
                <w:u w:val="single"/>
              </w:rPr>
            </w:pPr>
            <w:r>
              <w:rPr>
                <w:u w:val="single"/>
              </w:rPr>
              <w:t>≤0.3</w:t>
            </w:r>
          </w:p>
        </w:tc>
        <w:tc>
          <w:tcPr>
            <w:tcW w:w="596" w:type="pct"/>
            <w:tcBorders>
              <w:top w:val="single" w:color="auto" w:sz="6" w:space="0"/>
              <w:left w:val="single" w:color="auto" w:sz="6" w:space="0"/>
              <w:bottom w:val="single" w:color="auto" w:sz="8" w:space="0"/>
              <w:right w:val="single" w:color="auto" w:sz="6" w:space="0"/>
            </w:tcBorders>
            <w:vAlign w:val="center"/>
          </w:tcPr>
          <w:p w14:paraId="151CEEC2">
            <w:pPr>
              <w:pStyle w:val="62"/>
              <w:adjustRightInd w:val="0"/>
              <w:snapToGrid w:val="0"/>
              <w:contextualSpacing w:val="0"/>
              <w:rPr>
                <w:u w:val="single"/>
              </w:rPr>
            </w:pPr>
            <w:r>
              <w:rPr>
                <w:u w:val="single"/>
              </w:rPr>
              <w:t>/</w:t>
            </w:r>
          </w:p>
        </w:tc>
        <w:tc>
          <w:tcPr>
            <w:tcW w:w="680" w:type="pct"/>
            <w:tcBorders>
              <w:top w:val="single" w:color="auto" w:sz="6" w:space="0"/>
              <w:left w:val="single" w:color="auto" w:sz="6" w:space="0"/>
              <w:bottom w:val="single" w:color="auto" w:sz="8" w:space="0"/>
              <w:right w:val="single" w:color="auto" w:sz="6" w:space="0"/>
            </w:tcBorders>
            <w:vAlign w:val="center"/>
          </w:tcPr>
          <w:p w14:paraId="12003523">
            <w:pPr>
              <w:pStyle w:val="62"/>
              <w:adjustRightInd w:val="0"/>
              <w:snapToGrid w:val="0"/>
              <w:contextualSpacing w:val="0"/>
              <w:rPr>
                <w:u w:val="single"/>
              </w:rPr>
            </w:pPr>
            <w:r>
              <w:rPr>
                <w:u w:val="single"/>
              </w:rPr>
              <w:t>/</w:t>
            </w:r>
          </w:p>
        </w:tc>
        <w:tc>
          <w:tcPr>
            <w:tcW w:w="566" w:type="pct"/>
            <w:tcBorders>
              <w:top w:val="single" w:color="auto" w:sz="6" w:space="0"/>
              <w:left w:val="single" w:color="auto" w:sz="6" w:space="0"/>
              <w:bottom w:val="single" w:color="auto" w:sz="8" w:space="0"/>
              <w:right w:val="single" w:color="auto" w:sz="8" w:space="0"/>
            </w:tcBorders>
            <w:vAlign w:val="center"/>
          </w:tcPr>
          <w:p w14:paraId="2D033D15">
            <w:pPr>
              <w:pStyle w:val="62"/>
              <w:adjustRightInd w:val="0"/>
              <w:snapToGrid w:val="0"/>
              <w:contextualSpacing w:val="0"/>
              <w:rPr>
                <w:u w:val="single"/>
              </w:rPr>
            </w:pPr>
            <w:r>
              <w:rPr>
                <w:u w:val="single"/>
              </w:rPr>
              <w:t>/</w:t>
            </w:r>
          </w:p>
        </w:tc>
      </w:tr>
    </w:tbl>
    <w:p w14:paraId="0D0084EB">
      <w:pPr>
        <w:ind w:firstLine="480" w:firstLineChars="0"/>
        <w:rPr>
          <w:u w:val="single"/>
        </w:rPr>
      </w:pPr>
      <w:r>
        <w:rPr>
          <w:u w:val="single"/>
        </w:rPr>
        <w:t>由上表可知，</w:t>
      </w:r>
      <w:r>
        <w:rPr>
          <w:rFonts w:hint="eastAsia"/>
          <w:bCs/>
          <w:szCs w:val="24"/>
          <w:u w:val="single"/>
        </w:rPr>
        <w:t>共产主义渠下马营断面</w:t>
      </w:r>
      <w:r>
        <w:rPr>
          <w:szCs w:val="24"/>
          <w:u w:val="single"/>
        </w:rPr>
        <w:t>2023年</w:t>
      </w:r>
      <w:r>
        <w:rPr>
          <w:rFonts w:hint="eastAsia"/>
          <w:szCs w:val="24"/>
          <w:u w:val="single"/>
        </w:rPr>
        <w:t>高锰酸盐指数</w:t>
      </w:r>
      <w:r>
        <w:rPr>
          <w:szCs w:val="24"/>
          <w:u w:val="single"/>
        </w:rPr>
        <w:t>均值</w:t>
      </w:r>
      <w:r>
        <w:rPr>
          <w:rFonts w:hint="eastAsia"/>
          <w:szCs w:val="24"/>
          <w:u w:val="single"/>
        </w:rPr>
        <w:t>3.9</w:t>
      </w:r>
      <w:r>
        <w:rPr>
          <w:szCs w:val="24"/>
          <w:u w:val="single"/>
        </w:rPr>
        <w:t>mg/L、NH</w:t>
      </w:r>
      <w:r>
        <w:rPr>
          <w:szCs w:val="24"/>
          <w:u w:val="single"/>
          <w:vertAlign w:val="subscript"/>
        </w:rPr>
        <w:t>3</w:t>
      </w:r>
      <w:r>
        <w:rPr>
          <w:szCs w:val="24"/>
          <w:u w:val="single"/>
        </w:rPr>
        <w:t>-N均值0.4mg/L、TP均值0.</w:t>
      </w:r>
      <w:r>
        <w:rPr>
          <w:rFonts w:hint="eastAsia"/>
          <w:szCs w:val="24"/>
          <w:u w:val="single"/>
        </w:rPr>
        <w:t>2</w:t>
      </w:r>
      <w:r>
        <w:rPr>
          <w:szCs w:val="24"/>
          <w:u w:val="single"/>
        </w:rPr>
        <w:t>mg/L，</w:t>
      </w:r>
      <w:r>
        <w:rPr>
          <w:rFonts w:hint="eastAsia"/>
          <w:szCs w:val="24"/>
          <w:u w:val="single"/>
        </w:rPr>
        <w:t>2024年1-9月高锰酸盐指数</w:t>
      </w:r>
      <w:r>
        <w:rPr>
          <w:szCs w:val="24"/>
          <w:u w:val="single"/>
        </w:rPr>
        <w:t>均值</w:t>
      </w:r>
      <w:r>
        <w:rPr>
          <w:rFonts w:hint="eastAsia"/>
          <w:szCs w:val="24"/>
          <w:u w:val="single"/>
        </w:rPr>
        <w:t>5.0</w:t>
      </w:r>
      <w:r>
        <w:rPr>
          <w:szCs w:val="24"/>
          <w:u w:val="single"/>
        </w:rPr>
        <w:t>mg/L、NH</w:t>
      </w:r>
      <w:r>
        <w:rPr>
          <w:szCs w:val="24"/>
          <w:u w:val="single"/>
          <w:vertAlign w:val="subscript"/>
        </w:rPr>
        <w:t>3</w:t>
      </w:r>
      <w:r>
        <w:rPr>
          <w:szCs w:val="24"/>
          <w:u w:val="single"/>
        </w:rPr>
        <w:t>-N均值0.</w:t>
      </w:r>
      <w:r>
        <w:rPr>
          <w:rFonts w:hint="eastAsia"/>
          <w:szCs w:val="24"/>
          <w:u w:val="single"/>
        </w:rPr>
        <w:t>38</w:t>
      </w:r>
      <w:r>
        <w:rPr>
          <w:szCs w:val="24"/>
          <w:u w:val="single"/>
        </w:rPr>
        <w:t>mg/L、TP均值0.</w:t>
      </w:r>
      <w:r>
        <w:rPr>
          <w:rFonts w:hint="eastAsia"/>
          <w:szCs w:val="24"/>
          <w:u w:val="single"/>
        </w:rPr>
        <w:t>15</w:t>
      </w:r>
      <w:r>
        <w:rPr>
          <w:szCs w:val="24"/>
          <w:u w:val="single"/>
        </w:rPr>
        <w:t>mg/L</w:t>
      </w:r>
      <w:r>
        <w:rPr>
          <w:rFonts w:hint="eastAsia"/>
          <w:szCs w:val="24"/>
          <w:u w:val="single"/>
        </w:rPr>
        <w:t>，均</w:t>
      </w:r>
      <w:r>
        <w:rPr>
          <w:szCs w:val="24"/>
          <w:u w:val="single"/>
        </w:rPr>
        <w:t>能够满足《地表水环境质量标准》（GB3838-2002）</w:t>
      </w:r>
      <w:r>
        <w:rPr>
          <w:u w:val="single"/>
        </w:rPr>
        <w:t>IV类标准（</w:t>
      </w:r>
      <w:r>
        <w:rPr>
          <w:rFonts w:hint="eastAsia"/>
          <w:u w:val="single"/>
        </w:rPr>
        <w:t>高锰酸盐指数1</w:t>
      </w:r>
      <w:r>
        <w:rPr>
          <w:u w:val="single"/>
        </w:rPr>
        <w:t>0mg/L、</w:t>
      </w:r>
      <w:r>
        <w:rPr>
          <w:szCs w:val="24"/>
          <w:u w:val="single"/>
        </w:rPr>
        <w:t>NH</w:t>
      </w:r>
      <w:r>
        <w:rPr>
          <w:szCs w:val="24"/>
          <w:u w:val="single"/>
          <w:vertAlign w:val="subscript"/>
        </w:rPr>
        <w:t>3</w:t>
      </w:r>
      <w:r>
        <w:rPr>
          <w:szCs w:val="24"/>
          <w:u w:val="single"/>
        </w:rPr>
        <w:t>-N</w:t>
      </w:r>
      <w:r>
        <w:rPr>
          <w:u w:val="single"/>
        </w:rPr>
        <w:t>1.5mg/L、</w:t>
      </w:r>
      <w:r>
        <w:rPr>
          <w:szCs w:val="24"/>
          <w:u w:val="single"/>
        </w:rPr>
        <w:t>TP</w:t>
      </w:r>
      <w:r>
        <w:rPr>
          <w:u w:val="single"/>
        </w:rPr>
        <w:t>0.3mg/L）。</w:t>
      </w:r>
    </w:p>
    <w:p w14:paraId="1D3EC0F5">
      <w:pPr>
        <w:ind w:firstLine="480"/>
      </w:pPr>
      <w:r>
        <w:t>目前新乡市正在推进实施</w:t>
      </w:r>
      <w:r>
        <w:rPr>
          <w:rFonts w:hint="eastAsia"/>
          <w:szCs w:val="24"/>
        </w:rPr>
        <w:t>新乡市生态环境保护委员会办公室关于印发《新乡市2024年蓝天保卫战实施方案》《新乡市2024年碧水保卫战实施方案》《新乡市2024年净土保卫战实施方案》《新乡市2024年柴油货车污染治理攻坚战实施方案》的通知（新环委办〔2024〕49号）</w:t>
      </w:r>
      <w:r>
        <w:t>等文件，将继续改善新乡市水环境质量。</w:t>
      </w:r>
    </w:p>
    <w:p w14:paraId="1D3EC0F8">
      <w:pPr>
        <w:pStyle w:val="6"/>
        <w:ind w:left="0" w:firstLine="482" w:firstLineChars="200"/>
      </w:pPr>
      <w:r>
        <w:t>依托污水处理设施稳定达标排放分析</w:t>
      </w:r>
    </w:p>
    <w:p w14:paraId="638A3F5A">
      <w:pPr>
        <w:ind w:firstLine="480"/>
        <w:rPr>
          <w:highlight w:val="yellow"/>
          <w:u w:val="single"/>
        </w:rPr>
      </w:pPr>
      <w:r>
        <w:rPr>
          <w:rFonts w:hint="eastAsia"/>
          <w:u w:val="single"/>
        </w:rPr>
        <w:t>唐庄污水处理厂处理后废水排入共产主义渠，共产主义渠功能规划为IV类。根据唐庄污水处理厂2024年1-6月在线监测数据，出水数量及水质见下表。</w:t>
      </w:r>
    </w:p>
    <w:p w14:paraId="1D3EC0FA">
      <w:pPr>
        <w:numPr>
          <w:ilvl w:val="0"/>
          <w:numId w:val="23"/>
        </w:numPr>
        <w:adjustRightInd/>
        <w:snapToGrid/>
        <w:ind w:firstLineChars="0"/>
        <w:textAlignment w:val="auto"/>
        <w:rPr>
          <w:rFonts w:eastAsia="黑体"/>
          <w:u w:val="single"/>
        </w:rPr>
      </w:pPr>
      <w:r>
        <w:rPr>
          <w:rFonts w:eastAsia="黑体"/>
          <w:u w:val="single"/>
        </w:rPr>
        <w:t xml:space="preserve">      </w:t>
      </w:r>
      <w:r>
        <w:rPr>
          <w:rFonts w:hint="eastAsia" w:eastAsia="黑体"/>
          <w:u w:val="single"/>
        </w:rPr>
        <w:t xml:space="preserve">    唐庄</w:t>
      </w:r>
      <w:r>
        <w:rPr>
          <w:rFonts w:eastAsia="黑体"/>
          <w:u w:val="single"/>
        </w:rPr>
        <w:t>污水处理厂出水一览表</w:t>
      </w:r>
    </w:p>
    <w:tbl>
      <w:tblPr>
        <w:tblStyle w:val="41"/>
        <w:tblpPr w:leftFromText="180" w:rightFromText="180" w:vertAnchor="text" w:tblpXSpec="center" w:tblpY="1"/>
        <w:tblOverlap w:val="never"/>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76"/>
        <w:gridCol w:w="1450"/>
        <w:gridCol w:w="1450"/>
        <w:gridCol w:w="1450"/>
        <w:gridCol w:w="1450"/>
        <w:gridCol w:w="1456"/>
      </w:tblGrid>
      <w:tr w14:paraId="22451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Merge w:val="restart"/>
            <w:noWrap/>
            <w:vAlign w:val="center"/>
          </w:tcPr>
          <w:p w14:paraId="3F001C7F">
            <w:pPr>
              <w:spacing w:line="360" w:lineRule="exact"/>
              <w:ind w:firstLine="0" w:firstLineChars="0"/>
              <w:jc w:val="center"/>
              <w:rPr>
                <w:b/>
                <w:bCs/>
                <w:sz w:val="21"/>
                <w:szCs w:val="21"/>
                <w:u w:val="single"/>
              </w:rPr>
            </w:pPr>
            <w:r>
              <w:rPr>
                <w:b/>
                <w:bCs/>
                <w:sz w:val="21"/>
                <w:szCs w:val="21"/>
                <w:u w:val="single"/>
              </w:rPr>
              <w:t>时间</w:t>
            </w:r>
          </w:p>
        </w:tc>
        <w:tc>
          <w:tcPr>
            <w:tcW w:w="4354" w:type="pct"/>
            <w:gridSpan w:val="5"/>
            <w:vAlign w:val="center"/>
          </w:tcPr>
          <w:p w14:paraId="025216E5">
            <w:pPr>
              <w:spacing w:line="360" w:lineRule="exact"/>
              <w:ind w:firstLine="0" w:firstLineChars="0"/>
              <w:jc w:val="center"/>
              <w:rPr>
                <w:b/>
                <w:bCs/>
                <w:sz w:val="21"/>
                <w:szCs w:val="21"/>
                <w:u w:val="single"/>
              </w:rPr>
            </w:pPr>
            <w:r>
              <w:rPr>
                <w:b/>
                <w:bCs/>
                <w:sz w:val="21"/>
                <w:szCs w:val="21"/>
                <w:u w:val="single"/>
              </w:rPr>
              <w:t>污水处理厂202</w:t>
            </w:r>
            <w:r>
              <w:rPr>
                <w:rFonts w:hint="eastAsia"/>
                <w:b/>
                <w:bCs/>
                <w:sz w:val="21"/>
                <w:szCs w:val="21"/>
                <w:u w:val="single"/>
              </w:rPr>
              <w:t>4</w:t>
            </w:r>
            <w:r>
              <w:rPr>
                <w:b/>
                <w:bCs/>
                <w:sz w:val="21"/>
                <w:szCs w:val="21"/>
                <w:u w:val="single"/>
              </w:rPr>
              <w:t>年</w:t>
            </w:r>
            <w:r>
              <w:rPr>
                <w:rFonts w:hint="eastAsia"/>
                <w:b/>
                <w:bCs/>
                <w:sz w:val="21"/>
                <w:szCs w:val="21"/>
                <w:u w:val="single"/>
              </w:rPr>
              <w:t>1</w:t>
            </w:r>
            <w:r>
              <w:rPr>
                <w:b/>
                <w:bCs/>
                <w:sz w:val="21"/>
                <w:szCs w:val="21"/>
                <w:u w:val="single"/>
              </w:rPr>
              <w:t>-</w:t>
            </w:r>
            <w:r>
              <w:rPr>
                <w:rFonts w:hint="eastAsia"/>
                <w:b/>
                <w:bCs/>
                <w:sz w:val="21"/>
                <w:szCs w:val="21"/>
                <w:u w:val="single"/>
              </w:rPr>
              <w:t>6</w:t>
            </w:r>
            <w:r>
              <w:rPr>
                <w:b/>
                <w:bCs/>
                <w:sz w:val="21"/>
                <w:szCs w:val="21"/>
                <w:u w:val="single"/>
              </w:rPr>
              <w:t>月运行情况</w:t>
            </w:r>
          </w:p>
        </w:tc>
      </w:tr>
      <w:tr w14:paraId="672B8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Merge w:val="continue"/>
            <w:vAlign w:val="center"/>
          </w:tcPr>
          <w:p w14:paraId="4ED45127">
            <w:pPr>
              <w:widowControl/>
              <w:spacing w:line="360" w:lineRule="exact"/>
              <w:ind w:firstLine="0" w:firstLineChars="0"/>
              <w:jc w:val="center"/>
              <w:rPr>
                <w:b/>
                <w:bCs/>
                <w:sz w:val="21"/>
                <w:szCs w:val="21"/>
                <w:u w:val="single"/>
              </w:rPr>
            </w:pPr>
          </w:p>
        </w:tc>
        <w:tc>
          <w:tcPr>
            <w:tcW w:w="870" w:type="pct"/>
            <w:vAlign w:val="center"/>
          </w:tcPr>
          <w:p w14:paraId="423A309E">
            <w:pPr>
              <w:widowControl/>
              <w:spacing w:line="360" w:lineRule="exact"/>
              <w:ind w:firstLine="0" w:firstLineChars="0"/>
              <w:jc w:val="center"/>
              <w:rPr>
                <w:b/>
                <w:bCs/>
                <w:sz w:val="21"/>
                <w:szCs w:val="21"/>
                <w:u w:val="single"/>
              </w:rPr>
            </w:pPr>
            <w:r>
              <w:rPr>
                <w:b/>
                <w:bCs/>
                <w:sz w:val="21"/>
                <w:szCs w:val="21"/>
                <w:u w:val="single"/>
              </w:rPr>
              <w:t>水量均值（m</w:t>
            </w:r>
            <w:r>
              <w:rPr>
                <w:b/>
                <w:bCs/>
                <w:sz w:val="21"/>
                <w:szCs w:val="21"/>
                <w:u w:val="single"/>
                <w:vertAlign w:val="superscript"/>
              </w:rPr>
              <w:t>3</w:t>
            </w:r>
            <w:r>
              <w:rPr>
                <w:b/>
                <w:bCs/>
                <w:sz w:val="21"/>
                <w:szCs w:val="21"/>
                <w:u w:val="single"/>
              </w:rPr>
              <w:t>/d）</w:t>
            </w:r>
          </w:p>
        </w:tc>
        <w:tc>
          <w:tcPr>
            <w:tcW w:w="870" w:type="pct"/>
            <w:noWrap/>
            <w:vAlign w:val="center"/>
          </w:tcPr>
          <w:p w14:paraId="4D67E302">
            <w:pPr>
              <w:widowControl/>
              <w:spacing w:line="360" w:lineRule="exact"/>
              <w:ind w:firstLine="0" w:firstLineChars="0"/>
              <w:jc w:val="center"/>
              <w:rPr>
                <w:b/>
                <w:bCs/>
                <w:sz w:val="21"/>
                <w:szCs w:val="21"/>
                <w:u w:val="single"/>
              </w:rPr>
            </w:pPr>
            <w:r>
              <w:rPr>
                <w:b/>
                <w:bCs/>
                <w:sz w:val="21"/>
                <w:szCs w:val="21"/>
                <w:u w:val="single"/>
              </w:rPr>
              <w:t>COD均值(mg/L)</w:t>
            </w:r>
          </w:p>
        </w:tc>
        <w:tc>
          <w:tcPr>
            <w:tcW w:w="870" w:type="pct"/>
            <w:noWrap/>
            <w:vAlign w:val="center"/>
          </w:tcPr>
          <w:p w14:paraId="257C93C0">
            <w:pPr>
              <w:widowControl/>
              <w:spacing w:line="360" w:lineRule="exact"/>
              <w:ind w:firstLine="0" w:firstLineChars="0"/>
              <w:jc w:val="center"/>
              <w:rPr>
                <w:b/>
                <w:bCs/>
                <w:sz w:val="21"/>
                <w:szCs w:val="21"/>
                <w:u w:val="single"/>
              </w:rPr>
            </w:pPr>
            <w:r>
              <w:rPr>
                <w:b/>
                <w:bCs/>
                <w:sz w:val="21"/>
                <w:szCs w:val="21"/>
                <w:u w:val="single"/>
              </w:rPr>
              <w:t>氨氮均值(mg/L)</w:t>
            </w:r>
          </w:p>
        </w:tc>
        <w:tc>
          <w:tcPr>
            <w:tcW w:w="870" w:type="pct"/>
            <w:noWrap/>
            <w:vAlign w:val="center"/>
          </w:tcPr>
          <w:p w14:paraId="373D064A">
            <w:pPr>
              <w:widowControl/>
              <w:spacing w:line="360" w:lineRule="exact"/>
              <w:ind w:firstLine="0" w:firstLineChars="0"/>
              <w:jc w:val="center"/>
              <w:rPr>
                <w:b/>
                <w:bCs/>
                <w:sz w:val="21"/>
                <w:szCs w:val="21"/>
                <w:u w:val="single"/>
              </w:rPr>
            </w:pPr>
            <w:r>
              <w:rPr>
                <w:b/>
                <w:bCs/>
                <w:sz w:val="21"/>
                <w:szCs w:val="21"/>
                <w:u w:val="single"/>
              </w:rPr>
              <w:t>总氮均值(mg/L)</w:t>
            </w:r>
          </w:p>
        </w:tc>
        <w:tc>
          <w:tcPr>
            <w:tcW w:w="874" w:type="pct"/>
            <w:noWrap/>
            <w:vAlign w:val="center"/>
          </w:tcPr>
          <w:p w14:paraId="3B27210C">
            <w:pPr>
              <w:widowControl/>
              <w:spacing w:line="360" w:lineRule="exact"/>
              <w:ind w:firstLine="0" w:firstLineChars="0"/>
              <w:jc w:val="center"/>
              <w:rPr>
                <w:b/>
                <w:bCs/>
                <w:sz w:val="21"/>
                <w:szCs w:val="21"/>
                <w:u w:val="single"/>
              </w:rPr>
            </w:pPr>
            <w:r>
              <w:rPr>
                <w:b/>
                <w:bCs/>
                <w:sz w:val="21"/>
                <w:szCs w:val="21"/>
                <w:u w:val="single"/>
              </w:rPr>
              <w:t>总磷均值(mg/L)</w:t>
            </w:r>
          </w:p>
        </w:tc>
      </w:tr>
      <w:tr w14:paraId="362FF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0CC813BE">
            <w:pPr>
              <w:widowControl/>
              <w:spacing w:line="360" w:lineRule="exact"/>
              <w:ind w:firstLine="0" w:firstLineChars="0"/>
              <w:jc w:val="center"/>
              <w:rPr>
                <w:sz w:val="21"/>
                <w:szCs w:val="21"/>
                <w:u w:val="single"/>
              </w:rPr>
            </w:pPr>
            <w:r>
              <w:rPr>
                <w:rFonts w:hint="eastAsia"/>
                <w:sz w:val="21"/>
                <w:szCs w:val="21"/>
                <w:u w:val="single"/>
              </w:rPr>
              <w:t>2024.1</w:t>
            </w:r>
          </w:p>
        </w:tc>
        <w:tc>
          <w:tcPr>
            <w:tcW w:w="870" w:type="pct"/>
            <w:noWrap/>
            <w:vAlign w:val="center"/>
          </w:tcPr>
          <w:p w14:paraId="72AA137F">
            <w:pPr>
              <w:widowControl/>
              <w:spacing w:line="360" w:lineRule="exact"/>
              <w:ind w:firstLine="0" w:firstLineChars="0"/>
              <w:jc w:val="center"/>
              <w:rPr>
                <w:sz w:val="21"/>
                <w:szCs w:val="21"/>
                <w:u w:val="single"/>
              </w:rPr>
            </w:pPr>
            <w:r>
              <w:rPr>
                <w:rFonts w:hint="eastAsia"/>
                <w:sz w:val="21"/>
                <w:szCs w:val="21"/>
                <w:u w:val="single"/>
              </w:rPr>
              <w:t>10237.37</w:t>
            </w:r>
          </w:p>
        </w:tc>
        <w:tc>
          <w:tcPr>
            <w:tcW w:w="870" w:type="pct"/>
            <w:noWrap/>
            <w:vAlign w:val="bottom"/>
          </w:tcPr>
          <w:p w14:paraId="01BAE72D">
            <w:pPr>
              <w:widowControl/>
              <w:spacing w:line="360" w:lineRule="exact"/>
              <w:ind w:firstLine="0" w:firstLineChars="0"/>
              <w:jc w:val="center"/>
              <w:rPr>
                <w:sz w:val="21"/>
                <w:szCs w:val="21"/>
                <w:u w:val="single"/>
              </w:rPr>
            </w:pPr>
            <w:r>
              <w:rPr>
                <w:sz w:val="21"/>
                <w:szCs w:val="21"/>
                <w:u w:val="single"/>
              </w:rPr>
              <w:t>19.513</w:t>
            </w:r>
          </w:p>
        </w:tc>
        <w:tc>
          <w:tcPr>
            <w:tcW w:w="870" w:type="pct"/>
            <w:noWrap/>
            <w:vAlign w:val="bottom"/>
          </w:tcPr>
          <w:p w14:paraId="7A435C85">
            <w:pPr>
              <w:widowControl/>
              <w:spacing w:line="360" w:lineRule="exact"/>
              <w:ind w:firstLine="0" w:firstLineChars="0"/>
              <w:jc w:val="center"/>
              <w:rPr>
                <w:sz w:val="21"/>
                <w:szCs w:val="21"/>
                <w:u w:val="single"/>
              </w:rPr>
            </w:pPr>
            <w:r>
              <w:rPr>
                <w:sz w:val="21"/>
                <w:szCs w:val="21"/>
                <w:u w:val="single"/>
              </w:rPr>
              <w:t>0.419</w:t>
            </w:r>
          </w:p>
        </w:tc>
        <w:tc>
          <w:tcPr>
            <w:tcW w:w="870" w:type="pct"/>
            <w:noWrap/>
            <w:vAlign w:val="bottom"/>
          </w:tcPr>
          <w:p w14:paraId="05415CD9">
            <w:pPr>
              <w:widowControl/>
              <w:spacing w:line="360" w:lineRule="exact"/>
              <w:ind w:firstLine="0" w:firstLineChars="0"/>
              <w:jc w:val="center"/>
              <w:rPr>
                <w:sz w:val="21"/>
                <w:szCs w:val="21"/>
                <w:u w:val="single"/>
              </w:rPr>
            </w:pPr>
            <w:r>
              <w:rPr>
                <w:sz w:val="21"/>
                <w:szCs w:val="21"/>
                <w:u w:val="single"/>
              </w:rPr>
              <w:t>4.458</w:t>
            </w:r>
          </w:p>
        </w:tc>
        <w:tc>
          <w:tcPr>
            <w:tcW w:w="874" w:type="pct"/>
            <w:noWrap/>
            <w:vAlign w:val="bottom"/>
          </w:tcPr>
          <w:p w14:paraId="3793A50F">
            <w:pPr>
              <w:widowControl/>
              <w:spacing w:line="360" w:lineRule="exact"/>
              <w:ind w:firstLine="0" w:firstLineChars="0"/>
              <w:jc w:val="center"/>
              <w:rPr>
                <w:sz w:val="21"/>
                <w:szCs w:val="21"/>
                <w:u w:val="single"/>
              </w:rPr>
            </w:pPr>
            <w:r>
              <w:rPr>
                <w:sz w:val="21"/>
                <w:szCs w:val="21"/>
                <w:u w:val="single"/>
              </w:rPr>
              <w:t>0.189</w:t>
            </w:r>
          </w:p>
        </w:tc>
      </w:tr>
      <w:tr w14:paraId="189FB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69C004CE">
            <w:pPr>
              <w:widowControl/>
              <w:spacing w:line="360" w:lineRule="exact"/>
              <w:ind w:firstLine="0" w:firstLineChars="0"/>
              <w:jc w:val="center"/>
              <w:rPr>
                <w:sz w:val="21"/>
                <w:szCs w:val="21"/>
                <w:u w:val="single"/>
              </w:rPr>
            </w:pPr>
            <w:r>
              <w:rPr>
                <w:rFonts w:hint="eastAsia"/>
                <w:sz w:val="21"/>
                <w:szCs w:val="21"/>
                <w:u w:val="single"/>
              </w:rPr>
              <w:t>2024.2</w:t>
            </w:r>
          </w:p>
        </w:tc>
        <w:tc>
          <w:tcPr>
            <w:tcW w:w="870" w:type="pct"/>
            <w:noWrap/>
            <w:vAlign w:val="center"/>
          </w:tcPr>
          <w:p w14:paraId="06854B2D">
            <w:pPr>
              <w:widowControl/>
              <w:spacing w:line="360" w:lineRule="exact"/>
              <w:ind w:firstLine="0" w:firstLineChars="0"/>
              <w:jc w:val="center"/>
              <w:rPr>
                <w:sz w:val="21"/>
                <w:szCs w:val="21"/>
                <w:u w:val="single"/>
              </w:rPr>
            </w:pPr>
            <w:r>
              <w:rPr>
                <w:rFonts w:hint="eastAsia"/>
                <w:sz w:val="21"/>
                <w:szCs w:val="21"/>
                <w:u w:val="single"/>
              </w:rPr>
              <w:t>8878.51</w:t>
            </w:r>
          </w:p>
        </w:tc>
        <w:tc>
          <w:tcPr>
            <w:tcW w:w="870" w:type="pct"/>
            <w:noWrap/>
            <w:vAlign w:val="bottom"/>
          </w:tcPr>
          <w:p w14:paraId="42A1A5E2">
            <w:pPr>
              <w:widowControl/>
              <w:spacing w:line="360" w:lineRule="exact"/>
              <w:ind w:firstLine="0" w:firstLineChars="0"/>
              <w:jc w:val="center"/>
              <w:rPr>
                <w:sz w:val="21"/>
                <w:szCs w:val="21"/>
                <w:u w:val="single"/>
              </w:rPr>
            </w:pPr>
            <w:r>
              <w:rPr>
                <w:sz w:val="21"/>
                <w:szCs w:val="21"/>
                <w:u w:val="single"/>
              </w:rPr>
              <w:t>25.094</w:t>
            </w:r>
          </w:p>
        </w:tc>
        <w:tc>
          <w:tcPr>
            <w:tcW w:w="870" w:type="pct"/>
            <w:noWrap/>
            <w:vAlign w:val="bottom"/>
          </w:tcPr>
          <w:p w14:paraId="4E65B335">
            <w:pPr>
              <w:widowControl/>
              <w:spacing w:line="360" w:lineRule="exact"/>
              <w:ind w:firstLine="0" w:firstLineChars="0"/>
              <w:jc w:val="center"/>
              <w:rPr>
                <w:sz w:val="21"/>
                <w:szCs w:val="21"/>
                <w:u w:val="single"/>
              </w:rPr>
            </w:pPr>
            <w:r>
              <w:rPr>
                <w:sz w:val="21"/>
                <w:szCs w:val="21"/>
                <w:u w:val="single"/>
              </w:rPr>
              <w:t>0.684</w:t>
            </w:r>
          </w:p>
        </w:tc>
        <w:tc>
          <w:tcPr>
            <w:tcW w:w="870" w:type="pct"/>
            <w:noWrap/>
            <w:vAlign w:val="bottom"/>
          </w:tcPr>
          <w:p w14:paraId="2E98C582">
            <w:pPr>
              <w:widowControl/>
              <w:spacing w:line="360" w:lineRule="exact"/>
              <w:ind w:firstLine="0" w:firstLineChars="0"/>
              <w:jc w:val="center"/>
              <w:rPr>
                <w:sz w:val="21"/>
                <w:szCs w:val="21"/>
                <w:u w:val="single"/>
              </w:rPr>
            </w:pPr>
            <w:r>
              <w:rPr>
                <w:sz w:val="21"/>
                <w:szCs w:val="21"/>
                <w:u w:val="single"/>
              </w:rPr>
              <w:t>5.159</w:t>
            </w:r>
          </w:p>
        </w:tc>
        <w:tc>
          <w:tcPr>
            <w:tcW w:w="874" w:type="pct"/>
            <w:noWrap/>
            <w:vAlign w:val="bottom"/>
          </w:tcPr>
          <w:p w14:paraId="35DDCA1E">
            <w:pPr>
              <w:widowControl/>
              <w:spacing w:line="360" w:lineRule="exact"/>
              <w:ind w:firstLine="0" w:firstLineChars="0"/>
              <w:jc w:val="center"/>
              <w:rPr>
                <w:sz w:val="21"/>
                <w:szCs w:val="21"/>
                <w:u w:val="single"/>
              </w:rPr>
            </w:pPr>
            <w:r>
              <w:rPr>
                <w:sz w:val="21"/>
                <w:szCs w:val="21"/>
                <w:u w:val="single"/>
              </w:rPr>
              <w:t>0.226</w:t>
            </w:r>
          </w:p>
        </w:tc>
      </w:tr>
      <w:tr w14:paraId="1444F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42FF7401">
            <w:pPr>
              <w:widowControl/>
              <w:spacing w:line="360" w:lineRule="exact"/>
              <w:ind w:firstLine="0" w:firstLineChars="0"/>
              <w:jc w:val="center"/>
              <w:rPr>
                <w:sz w:val="21"/>
                <w:szCs w:val="21"/>
                <w:u w:val="single"/>
              </w:rPr>
            </w:pPr>
            <w:r>
              <w:rPr>
                <w:rFonts w:hint="eastAsia"/>
                <w:sz w:val="21"/>
                <w:szCs w:val="21"/>
                <w:u w:val="single"/>
              </w:rPr>
              <w:t>2024.3</w:t>
            </w:r>
          </w:p>
        </w:tc>
        <w:tc>
          <w:tcPr>
            <w:tcW w:w="870" w:type="pct"/>
            <w:noWrap/>
            <w:vAlign w:val="center"/>
          </w:tcPr>
          <w:p w14:paraId="5D12264D">
            <w:pPr>
              <w:widowControl/>
              <w:spacing w:line="360" w:lineRule="exact"/>
              <w:ind w:firstLine="0" w:firstLineChars="0"/>
              <w:jc w:val="center"/>
              <w:rPr>
                <w:sz w:val="21"/>
                <w:szCs w:val="21"/>
                <w:u w:val="single"/>
              </w:rPr>
            </w:pPr>
            <w:r>
              <w:rPr>
                <w:rFonts w:hint="eastAsia"/>
                <w:sz w:val="21"/>
                <w:szCs w:val="21"/>
                <w:u w:val="single"/>
              </w:rPr>
              <w:t>11573.54</w:t>
            </w:r>
          </w:p>
        </w:tc>
        <w:tc>
          <w:tcPr>
            <w:tcW w:w="870" w:type="pct"/>
            <w:noWrap/>
            <w:vAlign w:val="bottom"/>
          </w:tcPr>
          <w:p w14:paraId="1C542CF2">
            <w:pPr>
              <w:widowControl/>
              <w:spacing w:line="360" w:lineRule="exact"/>
              <w:ind w:firstLine="0" w:firstLineChars="0"/>
              <w:jc w:val="center"/>
              <w:rPr>
                <w:sz w:val="21"/>
                <w:szCs w:val="21"/>
                <w:u w:val="single"/>
              </w:rPr>
            </w:pPr>
            <w:r>
              <w:rPr>
                <w:sz w:val="21"/>
                <w:szCs w:val="21"/>
                <w:u w:val="single"/>
              </w:rPr>
              <w:t>24.58</w:t>
            </w:r>
          </w:p>
        </w:tc>
        <w:tc>
          <w:tcPr>
            <w:tcW w:w="870" w:type="pct"/>
            <w:noWrap/>
            <w:vAlign w:val="bottom"/>
          </w:tcPr>
          <w:p w14:paraId="644CF2A3">
            <w:pPr>
              <w:widowControl/>
              <w:spacing w:line="360" w:lineRule="exact"/>
              <w:ind w:firstLine="0" w:firstLineChars="0"/>
              <w:jc w:val="center"/>
              <w:rPr>
                <w:sz w:val="21"/>
                <w:szCs w:val="21"/>
                <w:u w:val="single"/>
              </w:rPr>
            </w:pPr>
            <w:r>
              <w:rPr>
                <w:sz w:val="21"/>
                <w:szCs w:val="21"/>
                <w:u w:val="single"/>
              </w:rPr>
              <w:t>0.864</w:t>
            </w:r>
          </w:p>
        </w:tc>
        <w:tc>
          <w:tcPr>
            <w:tcW w:w="870" w:type="pct"/>
            <w:noWrap/>
            <w:vAlign w:val="bottom"/>
          </w:tcPr>
          <w:p w14:paraId="7705564A">
            <w:pPr>
              <w:widowControl/>
              <w:spacing w:line="360" w:lineRule="exact"/>
              <w:ind w:firstLine="0" w:firstLineChars="0"/>
              <w:jc w:val="center"/>
              <w:rPr>
                <w:sz w:val="21"/>
                <w:szCs w:val="21"/>
                <w:u w:val="single"/>
              </w:rPr>
            </w:pPr>
            <w:r>
              <w:rPr>
                <w:sz w:val="21"/>
                <w:szCs w:val="21"/>
                <w:u w:val="single"/>
              </w:rPr>
              <w:t>3.832</w:t>
            </w:r>
          </w:p>
        </w:tc>
        <w:tc>
          <w:tcPr>
            <w:tcW w:w="874" w:type="pct"/>
            <w:noWrap/>
            <w:vAlign w:val="bottom"/>
          </w:tcPr>
          <w:p w14:paraId="22CC577C">
            <w:pPr>
              <w:widowControl/>
              <w:spacing w:line="360" w:lineRule="exact"/>
              <w:ind w:firstLine="0" w:firstLineChars="0"/>
              <w:jc w:val="center"/>
              <w:rPr>
                <w:sz w:val="21"/>
                <w:szCs w:val="21"/>
                <w:u w:val="single"/>
              </w:rPr>
            </w:pPr>
            <w:r>
              <w:rPr>
                <w:sz w:val="21"/>
                <w:szCs w:val="21"/>
                <w:u w:val="single"/>
              </w:rPr>
              <w:t>0.223</w:t>
            </w:r>
          </w:p>
        </w:tc>
      </w:tr>
      <w:tr w14:paraId="4DA93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354EB585">
            <w:pPr>
              <w:widowControl/>
              <w:spacing w:line="360" w:lineRule="exact"/>
              <w:ind w:firstLine="0" w:firstLineChars="0"/>
              <w:jc w:val="center"/>
              <w:rPr>
                <w:sz w:val="21"/>
                <w:szCs w:val="21"/>
                <w:u w:val="single"/>
              </w:rPr>
            </w:pPr>
            <w:r>
              <w:rPr>
                <w:rFonts w:hint="eastAsia"/>
                <w:sz w:val="21"/>
                <w:szCs w:val="21"/>
                <w:u w:val="single"/>
              </w:rPr>
              <w:t>2024.4</w:t>
            </w:r>
          </w:p>
        </w:tc>
        <w:tc>
          <w:tcPr>
            <w:tcW w:w="870" w:type="pct"/>
            <w:noWrap/>
            <w:vAlign w:val="center"/>
          </w:tcPr>
          <w:p w14:paraId="27968569">
            <w:pPr>
              <w:widowControl/>
              <w:spacing w:line="360" w:lineRule="exact"/>
              <w:ind w:firstLine="0" w:firstLineChars="0"/>
              <w:jc w:val="center"/>
              <w:rPr>
                <w:sz w:val="21"/>
                <w:szCs w:val="21"/>
                <w:u w:val="single"/>
              </w:rPr>
            </w:pPr>
            <w:r>
              <w:rPr>
                <w:rFonts w:hint="eastAsia"/>
                <w:sz w:val="21"/>
                <w:szCs w:val="21"/>
                <w:u w:val="single"/>
              </w:rPr>
              <w:t>9938.91</w:t>
            </w:r>
          </w:p>
        </w:tc>
        <w:tc>
          <w:tcPr>
            <w:tcW w:w="870" w:type="pct"/>
            <w:noWrap/>
            <w:vAlign w:val="bottom"/>
          </w:tcPr>
          <w:p w14:paraId="5488DBAB">
            <w:pPr>
              <w:widowControl/>
              <w:spacing w:line="360" w:lineRule="exact"/>
              <w:ind w:firstLine="0" w:firstLineChars="0"/>
              <w:jc w:val="center"/>
              <w:rPr>
                <w:sz w:val="21"/>
                <w:szCs w:val="21"/>
                <w:u w:val="single"/>
              </w:rPr>
            </w:pPr>
            <w:r>
              <w:rPr>
                <w:sz w:val="21"/>
                <w:szCs w:val="21"/>
                <w:u w:val="single"/>
              </w:rPr>
              <w:t>20.953</w:t>
            </w:r>
          </w:p>
        </w:tc>
        <w:tc>
          <w:tcPr>
            <w:tcW w:w="870" w:type="pct"/>
            <w:noWrap/>
            <w:vAlign w:val="bottom"/>
          </w:tcPr>
          <w:p w14:paraId="216016C0">
            <w:pPr>
              <w:widowControl/>
              <w:spacing w:line="360" w:lineRule="exact"/>
              <w:ind w:firstLine="0" w:firstLineChars="0"/>
              <w:jc w:val="center"/>
              <w:rPr>
                <w:sz w:val="21"/>
                <w:szCs w:val="21"/>
                <w:u w:val="single"/>
              </w:rPr>
            </w:pPr>
            <w:r>
              <w:rPr>
                <w:sz w:val="21"/>
                <w:szCs w:val="21"/>
                <w:u w:val="single"/>
              </w:rPr>
              <w:t>0.28</w:t>
            </w:r>
          </w:p>
        </w:tc>
        <w:tc>
          <w:tcPr>
            <w:tcW w:w="870" w:type="pct"/>
            <w:noWrap/>
            <w:vAlign w:val="bottom"/>
          </w:tcPr>
          <w:p w14:paraId="7E557F3D">
            <w:pPr>
              <w:widowControl/>
              <w:spacing w:line="360" w:lineRule="exact"/>
              <w:ind w:firstLine="0" w:firstLineChars="0"/>
              <w:jc w:val="center"/>
              <w:rPr>
                <w:sz w:val="21"/>
                <w:szCs w:val="21"/>
                <w:u w:val="single"/>
              </w:rPr>
            </w:pPr>
            <w:r>
              <w:rPr>
                <w:sz w:val="21"/>
                <w:szCs w:val="21"/>
                <w:u w:val="single"/>
              </w:rPr>
              <w:t>6.953</w:t>
            </w:r>
          </w:p>
        </w:tc>
        <w:tc>
          <w:tcPr>
            <w:tcW w:w="874" w:type="pct"/>
            <w:noWrap/>
            <w:vAlign w:val="bottom"/>
          </w:tcPr>
          <w:p w14:paraId="30FF4FE8">
            <w:pPr>
              <w:widowControl/>
              <w:spacing w:line="360" w:lineRule="exact"/>
              <w:ind w:firstLine="0" w:firstLineChars="0"/>
              <w:jc w:val="center"/>
              <w:rPr>
                <w:sz w:val="21"/>
                <w:szCs w:val="21"/>
                <w:u w:val="single"/>
              </w:rPr>
            </w:pPr>
            <w:r>
              <w:rPr>
                <w:sz w:val="21"/>
                <w:szCs w:val="21"/>
                <w:u w:val="single"/>
              </w:rPr>
              <w:t>0.223</w:t>
            </w:r>
          </w:p>
        </w:tc>
      </w:tr>
      <w:tr w14:paraId="6030F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70B4454C">
            <w:pPr>
              <w:widowControl/>
              <w:spacing w:line="360" w:lineRule="exact"/>
              <w:ind w:firstLine="0" w:firstLineChars="0"/>
              <w:jc w:val="center"/>
              <w:rPr>
                <w:sz w:val="21"/>
                <w:szCs w:val="21"/>
                <w:u w:val="single"/>
              </w:rPr>
            </w:pPr>
            <w:r>
              <w:rPr>
                <w:rFonts w:hint="eastAsia"/>
                <w:sz w:val="21"/>
                <w:szCs w:val="21"/>
                <w:u w:val="single"/>
              </w:rPr>
              <w:t>2024.5</w:t>
            </w:r>
          </w:p>
        </w:tc>
        <w:tc>
          <w:tcPr>
            <w:tcW w:w="870" w:type="pct"/>
            <w:noWrap/>
            <w:vAlign w:val="center"/>
          </w:tcPr>
          <w:p w14:paraId="4ED3696C">
            <w:pPr>
              <w:widowControl/>
              <w:spacing w:line="360" w:lineRule="exact"/>
              <w:ind w:firstLine="0" w:firstLineChars="0"/>
              <w:jc w:val="center"/>
              <w:rPr>
                <w:sz w:val="21"/>
                <w:szCs w:val="21"/>
                <w:u w:val="single"/>
              </w:rPr>
            </w:pPr>
            <w:r>
              <w:rPr>
                <w:rFonts w:hint="eastAsia"/>
                <w:sz w:val="21"/>
                <w:szCs w:val="21"/>
                <w:u w:val="single"/>
              </w:rPr>
              <w:t>14635.69</w:t>
            </w:r>
          </w:p>
        </w:tc>
        <w:tc>
          <w:tcPr>
            <w:tcW w:w="870" w:type="pct"/>
            <w:noWrap/>
            <w:vAlign w:val="bottom"/>
          </w:tcPr>
          <w:p w14:paraId="1F8034F8">
            <w:pPr>
              <w:widowControl/>
              <w:spacing w:line="360" w:lineRule="exact"/>
              <w:ind w:firstLine="0" w:firstLineChars="0"/>
              <w:jc w:val="center"/>
              <w:rPr>
                <w:sz w:val="21"/>
                <w:szCs w:val="21"/>
                <w:u w:val="single"/>
              </w:rPr>
            </w:pPr>
            <w:r>
              <w:rPr>
                <w:sz w:val="21"/>
                <w:szCs w:val="21"/>
                <w:u w:val="single"/>
              </w:rPr>
              <w:t>16.673</w:t>
            </w:r>
          </w:p>
        </w:tc>
        <w:tc>
          <w:tcPr>
            <w:tcW w:w="870" w:type="pct"/>
            <w:noWrap/>
            <w:vAlign w:val="bottom"/>
          </w:tcPr>
          <w:p w14:paraId="147CD4AE">
            <w:pPr>
              <w:widowControl/>
              <w:spacing w:line="360" w:lineRule="exact"/>
              <w:ind w:firstLine="0" w:firstLineChars="0"/>
              <w:jc w:val="center"/>
              <w:rPr>
                <w:sz w:val="21"/>
                <w:szCs w:val="21"/>
                <w:u w:val="single"/>
              </w:rPr>
            </w:pPr>
            <w:r>
              <w:rPr>
                <w:sz w:val="21"/>
                <w:szCs w:val="21"/>
                <w:u w:val="single"/>
              </w:rPr>
              <w:t>0.277</w:t>
            </w:r>
          </w:p>
        </w:tc>
        <w:tc>
          <w:tcPr>
            <w:tcW w:w="870" w:type="pct"/>
            <w:noWrap/>
            <w:vAlign w:val="bottom"/>
          </w:tcPr>
          <w:p w14:paraId="13F7CEBC">
            <w:pPr>
              <w:widowControl/>
              <w:spacing w:line="360" w:lineRule="exact"/>
              <w:ind w:firstLine="0" w:firstLineChars="0"/>
              <w:jc w:val="center"/>
              <w:rPr>
                <w:sz w:val="21"/>
                <w:szCs w:val="21"/>
                <w:u w:val="single"/>
              </w:rPr>
            </w:pPr>
            <w:r>
              <w:rPr>
                <w:sz w:val="21"/>
                <w:szCs w:val="21"/>
                <w:u w:val="single"/>
              </w:rPr>
              <w:t>5.165</w:t>
            </w:r>
          </w:p>
        </w:tc>
        <w:tc>
          <w:tcPr>
            <w:tcW w:w="874" w:type="pct"/>
            <w:noWrap/>
            <w:vAlign w:val="bottom"/>
          </w:tcPr>
          <w:p w14:paraId="24C2CCA1">
            <w:pPr>
              <w:widowControl/>
              <w:spacing w:line="360" w:lineRule="exact"/>
              <w:ind w:firstLine="0" w:firstLineChars="0"/>
              <w:jc w:val="center"/>
              <w:rPr>
                <w:sz w:val="21"/>
                <w:szCs w:val="21"/>
                <w:u w:val="single"/>
              </w:rPr>
            </w:pPr>
            <w:r>
              <w:rPr>
                <w:sz w:val="21"/>
                <w:szCs w:val="21"/>
                <w:u w:val="single"/>
              </w:rPr>
              <w:t>0.221</w:t>
            </w:r>
          </w:p>
        </w:tc>
      </w:tr>
      <w:tr w14:paraId="0867A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51869BFC">
            <w:pPr>
              <w:widowControl/>
              <w:spacing w:line="360" w:lineRule="exact"/>
              <w:ind w:firstLine="0" w:firstLineChars="0"/>
              <w:jc w:val="center"/>
              <w:rPr>
                <w:sz w:val="21"/>
                <w:szCs w:val="21"/>
                <w:u w:val="single"/>
              </w:rPr>
            </w:pPr>
            <w:r>
              <w:rPr>
                <w:rFonts w:hint="eastAsia"/>
                <w:sz w:val="21"/>
                <w:szCs w:val="21"/>
                <w:u w:val="single"/>
              </w:rPr>
              <w:t>2024.6</w:t>
            </w:r>
          </w:p>
        </w:tc>
        <w:tc>
          <w:tcPr>
            <w:tcW w:w="870" w:type="pct"/>
            <w:noWrap/>
            <w:vAlign w:val="center"/>
          </w:tcPr>
          <w:p w14:paraId="341B0650">
            <w:pPr>
              <w:widowControl/>
              <w:spacing w:line="360" w:lineRule="exact"/>
              <w:ind w:firstLine="0" w:firstLineChars="0"/>
              <w:jc w:val="center"/>
              <w:rPr>
                <w:sz w:val="21"/>
                <w:szCs w:val="21"/>
                <w:u w:val="single"/>
              </w:rPr>
            </w:pPr>
            <w:r>
              <w:rPr>
                <w:rFonts w:hint="eastAsia"/>
                <w:sz w:val="21"/>
                <w:szCs w:val="21"/>
                <w:u w:val="single"/>
              </w:rPr>
              <w:t>15687.04</w:t>
            </w:r>
          </w:p>
        </w:tc>
        <w:tc>
          <w:tcPr>
            <w:tcW w:w="870" w:type="pct"/>
            <w:noWrap/>
            <w:vAlign w:val="bottom"/>
          </w:tcPr>
          <w:p w14:paraId="0BCDF6E5">
            <w:pPr>
              <w:widowControl/>
              <w:spacing w:line="360" w:lineRule="exact"/>
              <w:ind w:firstLine="0" w:firstLineChars="0"/>
              <w:jc w:val="center"/>
              <w:rPr>
                <w:sz w:val="21"/>
                <w:szCs w:val="21"/>
                <w:u w:val="single"/>
              </w:rPr>
            </w:pPr>
            <w:r>
              <w:rPr>
                <w:sz w:val="21"/>
                <w:szCs w:val="21"/>
                <w:u w:val="single"/>
              </w:rPr>
              <w:t>25.369</w:t>
            </w:r>
          </w:p>
        </w:tc>
        <w:tc>
          <w:tcPr>
            <w:tcW w:w="870" w:type="pct"/>
            <w:noWrap/>
            <w:vAlign w:val="bottom"/>
          </w:tcPr>
          <w:p w14:paraId="77855BC5">
            <w:pPr>
              <w:widowControl/>
              <w:spacing w:line="360" w:lineRule="exact"/>
              <w:ind w:firstLine="0" w:firstLineChars="0"/>
              <w:jc w:val="center"/>
              <w:rPr>
                <w:sz w:val="21"/>
                <w:szCs w:val="21"/>
                <w:u w:val="single"/>
              </w:rPr>
            </w:pPr>
            <w:r>
              <w:rPr>
                <w:sz w:val="21"/>
                <w:szCs w:val="21"/>
                <w:u w:val="single"/>
              </w:rPr>
              <w:t>0.27</w:t>
            </w:r>
          </w:p>
        </w:tc>
        <w:tc>
          <w:tcPr>
            <w:tcW w:w="870" w:type="pct"/>
            <w:noWrap/>
            <w:vAlign w:val="bottom"/>
          </w:tcPr>
          <w:p w14:paraId="521E97B1">
            <w:pPr>
              <w:widowControl/>
              <w:spacing w:line="360" w:lineRule="exact"/>
              <w:ind w:firstLine="0" w:firstLineChars="0"/>
              <w:jc w:val="center"/>
              <w:rPr>
                <w:sz w:val="21"/>
                <w:szCs w:val="21"/>
                <w:u w:val="single"/>
              </w:rPr>
            </w:pPr>
            <w:r>
              <w:rPr>
                <w:sz w:val="21"/>
                <w:szCs w:val="21"/>
                <w:u w:val="single"/>
              </w:rPr>
              <w:t>3.772</w:t>
            </w:r>
          </w:p>
        </w:tc>
        <w:tc>
          <w:tcPr>
            <w:tcW w:w="874" w:type="pct"/>
            <w:noWrap/>
            <w:vAlign w:val="bottom"/>
          </w:tcPr>
          <w:p w14:paraId="7AAE3657">
            <w:pPr>
              <w:widowControl/>
              <w:spacing w:line="360" w:lineRule="exact"/>
              <w:ind w:firstLine="0" w:firstLineChars="0"/>
              <w:jc w:val="center"/>
              <w:rPr>
                <w:sz w:val="21"/>
                <w:szCs w:val="21"/>
                <w:u w:val="single"/>
              </w:rPr>
            </w:pPr>
            <w:r>
              <w:rPr>
                <w:sz w:val="21"/>
                <w:szCs w:val="21"/>
                <w:u w:val="single"/>
              </w:rPr>
              <w:t>0.225</w:t>
            </w:r>
          </w:p>
        </w:tc>
      </w:tr>
      <w:tr w14:paraId="538B1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noWrap/>
            <w:vAlign w:val="center"/>
          </w:tcPr>
          <w:p w14:paraId="0C8C174A">
            <w:pPr>
              <w:widowControl/>
              <w:spacing w:line="360" w:lineRule="exact"/>
              <w:ind w:firstLine="0" w:firstLineChars="0"/>
              <w:jc w:val="center"/>
              <w:rPr>
                <w:sz w:val="21"/>
                <w:szCs w:val="21"/>
                <w:u w:val="single"/>
              </w:rPr>
            </w:pPr>
            <w:r>
              <w:rPr>
                <w:sz w:val="21"/>
                <w:szCs w:val="21"/>
                <w:u w:val="single"/>
              </w:rPr>
              <w:t>平均值</w:t>
            </w:r>
          </w:p>
        </w:tc>
        <w:tc>
          <w:tcPr>
            <w:tcW w:w="870" w:type="pct"/>
            <w:noWrap/>
            <w:vAlign w:val="center"/>
          </w:tcPr>
          <w:p w14:paraId="75663611">
            <w:pPr>
              <w:widowControl/>
              <w:spacing w:line="360" w:lineRule="exact"/>
              <w:ind w:firstLine="0" w:firstLineChars="0"/>
              <w:jc w:val="center"/>
              <w:rPr>
                <w:sz w:val="21"/>
                <w:szCs w:val="21"/>
                <w:u w:val="single"/>
              </w:rPr>
            </w:pPr>
            <w:r>
              <w:rPr>
                <w:rFonts w:hint="eastAsia"/>
                <w:sz w:val="21"/>
                <w:szCs w:val="21"/>
                <w:u w:val="single"/>
              </w:rPr>
              <w:t>11825.177</w:t>
            </w:r>
          </w:p>
        </w:tc>
        <w:tc>
          <w:tcPr>
            <w:tcW w:w="870" w:type="pct"/>
            <w:noWrap/>
            <w:vAlign w:val="center"/>
          </w:tcPr>
          <w:p w14:paraId="6D350F40">
            <w:pPr>
              <w:widowControl/>
              <w:spacing w:line="360" w:lineRule="exact"/>
              <w:ind w:firstLine="0" w:firstLineChars="0"/>
              <w:jc w:val="center"/>
              <w:rPr>
                <w:sz w:val="21"/>
                <w:szCs w:val="21"/>
                <w:u w:val="single"/>
              </w:rPr>
            </w:pPr>
            <w:r>
              <w:rPr>
                <w:rFonts w:hint="eastAsia"/>
                <w:sz w:val="21"/>
                <w:szCs w:val="21"/>
                <w:u w:val="single"/>
              </w:rPr>
              <w:t>22.03</w:t>
            </w:r>
          </w:p>
        </w:tc>
        <w:tc>
          <w:tcPr>
            <w:tcW w:w="870" w:type="pct"/>
            <w:noWrap/>
            <w:vAlign w:val="center"/>
          </w:tcPr>
          <w:p w14:paraId="27970BCE">
            <w:pPr>
              <w:widowControl/>
              <w:spacing w:line="360" w:lineRule="exact"/>
              <w:ind w:firstLine="0" w:firstLineChars="0"/>
              <w:jc w:val="center"/>
              <w:rPr>
                <w:sz w:val="21"/>
                <w:szCs w:val="21"/>
                <w:u w:val="single"/>
              </w:rPr>
            </w:pPr>
            <w:r>
              <w:rPr>
                <w:rFonts w:hint="eastAsia"/>
                <w:sz w:val="21"/>
                <w:szCs w:val="21"/>
                <w:u w:val="single"/>
              </w:rPr>
              <w:t>0.466</w:t>
            </w:r>
          </w:p>
        </w:tc>
        <w:tc>
          <w:tcPr>
            <w:tcW w:w="870" w:type="pct"/>
            <w:noWrap/>
            <w:vAlign w:val="center"/>
          </w:tcPr>
          <w:p w14:paraId="68AC938F">
            <w:pPr>
              <w:widowControl/>
              <w:spacing w:line="360" w:lineRule="exact"/>
              <w:ind w:firstLine="0" w:firstLineChars="0"/>
              <w:jc w:val="center"/>
              <w:rPr>
                <w:sz w:val="21"/>
                <w:szCs w:val="21"/>
                <w:u w:val="single"/>
              </w:rPr>
            </w:pPr>
            <w:r>
              <w:rPr>
                <w:rFonts w:hint="eastAsia"/>
                <w:sz w:val="21"/>
                <w:szCs w:val="21"/>
                <w:u w:val="single"/>
              </w:rPr>
              <w:t>4.89</w:t>
            </w:r>
          </w:p>
        </w:tc>
        <w:tc>
          <w:tcPr>
            <w:tcW w:w="874" w:type="pct"/>
            <w:noWrap/>
            <w:vAlign w:val="center"/>
          </w:tcPr>
          <w:p w14:paraId="3FA5B7DB">
            <w:pPr>
              <w:widowControl/>
              <w:spacing w:line="360" w:lineRule="exact"/>
              <w:ind w:firstLine="0" w:firstLineChars="0"/>
              <w:jc w:val="center"/>
              <w:rPr>
                <w:sz w:val="21"/>
                <w:szCs w:val="21"/>
                <w:u w:val="single"/>
              </w:rPr>
            </w:pPr>
            <w:r>
              <w:rPr>
                <w:rFonts w:hint="eastAsia"/>
                <w:sz w:val="21"/>
                <w:szCs w:val="21"/>
                <w:u w:val="single"/>
              </w:rPr>
              <w:t>0.218</w:t>
            </w:r>
          </w:p>
        </w:tc>
      </w:tr>
      <w:tr w14:paraId="7EDAB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noWrap/>
            <w:vAlign w:val="center"/>
          </w:tcPr>
          <w:p w14:paraId="1AF3F840">
            <w:pPr>
              <w:widowControl/>
              <w:spacing w:line="360" w:lineRule="exact"/>
              <w:ind w:firstLine="0" w:firstLineChars="0"/>
              <w:jc w:val="center"/>
              <w:rPr>
                <w:sz w:val="21"/>
                <w:szCs w:val="21"/>
                <w:u w:val="single"/>
              </w:rPr>
            </w:pPr>
            <w:r>
              <w:rPr>
                <w:sz w:val="21"/>
                <w:szCs w:val="21"/>
                <w:u w:val="single"/>
              </w:rPr>
              <w:t>标准值</w:t>
            </w:r>
          </w:p>
        </w:tc>
        <w:tc>
          <w:tcPr>
            <w:tcW w:w="870" w:type="pct"/>
            <w:noWrap/>
            <w:vAlign w:val="center"/>
          </w:tcPr>
          <w:p w14:paraId="1C875E15">
            <w:pPr>
              <w:widowControl/>
              <w:spacing w:line="360" w:lineRule="exact"/>
              <w:ind w:firstLine="0" w:firstLineChars="0"/>
              <w:jc w:val="center"/>
              <w:rPr>
                <w:sz w:val="21"/>
                <w:szCs w:val="21"/>
                <w:u w:val="single"/>
              </w:rPr>
            </w:pPr>
            <w:r>
              <w:rPr>
                <w:rFonts w:hint="eastAsia"/>
                <w:sz w:val="21"/>
                <w:szCs w:val="21"/>
                <w:u w:val="single"/>
              </w:rPr>
              <w:t>/</w:t>
            </w:r>
          </w:p>
        </w:tc>
        <w:tc>
          <w:tcPr>
            <w:tcW w:w="870" w:type="pct"/>
            <w:noWrap/>
            <w:vAlign w:val="center"/>
          </w:tcPr>
          <w:p w14:paraId="10311343">
            <w:pPr>
              <w:widowControl/>
              <w:spacing w:line="360" w:lineRule="exact"/>
              <w:ind w:firstLine="0" w:firstLineChars="0"/>
              <w:jc w:val="center"/>
              <w:rPr>
                <w:sz w:val="21"/>
                <w:szCs w:val="21"/>
                <w:u w:val="single"/>
              </w:rPr>
            </w:pPr>
            <w:r>
              <w:rPr>
                <w:rFonts w:hint="eastAsia"/>
                <w:sz w:val="21"/>
                <w:szCs w:val="21"/>
                <w:u w:val="single"/>
              </w:rPr>
              <w:t>40</w:t>
            </w:r>
          </w:p>
        </w:tc>
        <w:tc>
          <w:tcPr>
            <w:tcW w:w="870" w:type="pct"/>
            <w:noWrap/>
            <w:vAlign w:val="center"/>
          </w:tcPr>
          <w:p w14:paraId="45BCBDB1">
            <w:pPr>
              <w:widowControl/>
              <w:spacing w:line="360" w:lineRule="exact"/>
              <w:ind w:firstLine="0" w:firstLineChars="0"/>
              <w:jc w:val="center"/>
              <w:rPr>
                <w:sz w:val="21"/>
                <w:szCs w:val="21"/>
                <w:u w:val="single"/>
              </w:rPr>
            </w:pPr>
            <w:r>
              <w:rPr>
                <w:rFonts w:hint="eastAsia"/>
                <w:sz w:val="21"/>
                <w:szCs w:val="21"/>
                <w:u w:val="single"/>
              </w:rPr>
              <w:t>2</w:t>
            </w:r>
          </w:p>
        </w:tc>
        <w:tc>
          <w:tcPr>
            <w:tcW w:w="870" w:type="pct"/>
            <w:noWrap/>
            <w:vAlign w:val="center"/>
          </w:tcPr>
          <w:p w14:paraId="74C60CA9">
            <w:pPr>
              <w:widowControl/>
              <w:spacing w:line="360" w:lineRule="exact"/>
              <w:ind w:firstLine="0" w:firstLineChars="0"/>
              <w:jc w:val="center"/>
              <w:rPr>
                <w:sz w:val="21"/>
                <w:szCs w:val="21"/>
                <w:u w:val="single"/>
              </w:rPr>
            </w:pPr>
            <w:r>
              <w:rPr>
                <w:rFonts w:hint="eastAsia"/>
                <w:sz w:val="21"/>
                <w:szCs w:val="21"/>
                <w:u w:val="single"/>
              </w:rPr>
              <w:t>15</w:t>
            </w:r>
          </w:p>
        </w:tc>
        <w:tc>
          <w:tcPr>
            <w:tcW w:w="874" w:type="pct"/>
            <w:noWrap/>
            <w:vAlign w:val="center"/>
          </w:tcPr>
          <w:p w14:paraId="6CE095AB">
            <w:pPr>
              <w:widowControl/>
              <w:spacing w:line="360" w:lineRule="exact"/>
              <w:ind w:firstLine="0" w:firstLineChars="0"/>
              <w:jc w:val="center"/>
              <w:rPr>
                <w:sz w:val="21"/>
                <w:szCs w:val="21"/>
                <w:u w:val="single"/>
              </w:rPr>
            </w:pPr>
            <w:r>
              <w:rPr>
                <w:rFonts w:hint="eastAsia"/>
                <w:sz w:val="21"/>
                <w:szCs w:val="21"/>
                <w:u w:val="single"/>
              </w:rPr>
              <w:t>0.4</w:t>
            </w:r>
          </w:p>
        </w:tc>
      </w:tr>
    </w:tbl>
    <w:p w14:paraId="1D3EC13D">
      <w:pPr>
        <w:ind w:firstLine="480"/>
        <w:rPr>
          <w:highlight w:val="yellow"/>
          <w:u w:val="single"/>
        </w:rPr>
      </w:pPr>
      <w:r>
        <w:rPr>
          <w:u w:val="single"/>
        </w:rPr>
        <w:t>根据上表数据，</w:t>
      </w:r>
      <w:r>
        <w:rPr>
          <w:rFonts w:hint="eastAsia"/>
          <w:u w:val="single"/>
        </w:rPr>
        <w:t>唐庄</w:t>
      </w:r>
      <w:r>
        <w:rPr>
          <w:u w:val="single"/>
        </w:rPr>
        <w:t>污水处理厂出水水质能够满足</w:t>
      </w:r>
      <w:r>
        <w:rPr>
          <w:bCs/>
          <w:u w:val="single"/>
        </w:rPr>
        <w:t>《城镇污水处理厂污染物排放标准》（GB18918-2002）的一级A标准</w:t>
      </w:r>
      <w:r>
        <w:rPr>
          <w:rFonts w:hint="eastAsia"/>
          <w:bCs/>
          <w:u w:val="single"/>
        </w:rPr>
        <w:t>（</w:t>
      </w:r>
      <w:r>
        <w:rPr>
          <w:bCs/>
          <w:u w:val="single"/>
        </w:rPr>
        <w:t>TN</w:t>
      </w:r>
      <w:r>
        <w:rPr>
          <w:rFonts w:hint="eastAsia"/>
          <w:bCs/>
          <w:u w:val="single"/>
        </w:rPr>
        <w:t xml:space="preserve"> </w:t>
      </w:r>
      <w:r>
        <w:rPr>
          <w:bCs/>
          <w:u w:val="single"/>
        </w:rPr>
        <w:t>15mg/L</w:t>
      </w:r>
      <w:r>
        <w:rPr>
          <w:rFonts w:hint="eastAsia"/>
          <w:bCs/>
          <w:u w:val="single"/>
        </w:rPr>
        <w:t>）及</w:t>
      </w:r>
      <w:r>
        <w:rPr>
          <w:bCs/>
          <w:u w:val="single"/>
        </w:rPr>
        <w:t>COD 40mg/L</w:t>
      </w:r>
      <w:r>
        <w:rPr>
          <w:rFonts w:hint="eastAsia"/>
          <w:bCs/>
          <w:u w:val="single"/>
        </w:rPr>
        <w:t>、</w:t>
      </w:r>
      <w:r>
        <w:rPr>
          <w:bCs/>
          <w:u w:val="single"/>
        </w:rPr>
        <w:t>氨氮2mg/L</w:t>
      </w:r>
      <w:r>
        <w:rPr>
          <w:rFonts w:hint="eastAsia"/>
          <w:bCs/>
          <w:u w:val="single"/>
        </w:rPr>
        <w:t>、总磷0.4mg/L</w:t>
      </w:r>
      <w:r>
        <w:rPr>
          <w:bCs/>
          <w:u w:val="single"/>
        </w:rPr>
        <w:t>的限值要求</w:t>
      </w:r>
      <w:r>
        <w:rPr>
          <w:u w:val="single"/>
        </w:rPr>
        <w:t>。因此依托污水处理设施可以实现稳定达标排放。</w:t>
      </w:r>
    </w:p>
    <w:p w14:paraId="1D3EC13E">
      <w:pPr>
        <w:pStyle w:val="5"/>
        <w:spacing w:before="240" w:after="240"/>
      </w:pPr>
      <w:bookmarkStart w:id="243" w:name="_Toc502244696"/>
      <w:bookmarkStart w:id="244" w:name="_Toc428286865"/>
      <w:bookmarkStart w:id="245" w:name="_Toc429318409"/>
      <w:bookmarkStart w:id="246" w:name="_Toc428287226"/>
      <w:r>
        <w:t>地下水环境现状评价</w:t>
      </w:r>
      <w:bookmarkEnd w:id="243"/>
    </w:p>
    <w:p w14:paraId="1D3EC13F">
      <w:pPr>
        <w:pStyle w:val="6"/>
        <w:ind w:left="0" w:firstLine="482" w:firstLineChars="200"/>
      </w:pPr>
      <w:r>
        <w:t>地下水</w:t>
      </w:r>
      <w:r>
        <w:rPr>
          <w:rFonts w:hint="eastAsia"/>
        </w:rPr>
        <w:t>调查范围</w:t>
      </w:r>
    </w:p>
    <w:p w14:paraId="7910FA8E">
      <w:pPr>
        <w:ind w:firstLine="480"/>
      </w:pPr>
      <w:bookmarkStart w:id="247" w:name="_Toc324839301"/>
      <w:bookmarkStart w:id="248" w:name="_Toc324839598"/>
      <w:r>
        <w:t>项目地下水环境影响工作等级为</w:t>
      </w:r>
      <w:r>
        <w:rPr>
          <w:rFonts w:hint="eastAsia"/>
        </w:rPr>
        <w:t>一</w:t>
      </w:r>
      <w:r>
        <w:t>级评价，根据《环境影响评价技术导则（地下水环境）》（HJ610-2016）规定：“8.2.2.1.b”查表法，确定本项目的地下水环境现状调查评价范围，详见下表。</w:t>
      </w:r>
    </w:p>
    <w:p w14:paraId="12968F1A">
      <w:pPr>
        <w:numPr>
          <w:ilvl w:val="0"/>
          <w:numId w:val="23"/>
        </w:numPr>
        <w:adjustRightInd/>
        <w:snapToGrid/>
        <w:ind w:firstLineChars="0"/>
        <w:textAlignment w:val="auto"/>
        <w:rPr>
          <w:rFonts w:eastAsia="黑体"/>
        </w:rPr>
      </w:pPr>
      <w:r>
        <w:rPr>
          <w:rFonts w:hint="eastAsia" w:eastAsia="黑体"/>
        </w:rPr>
        <w:t xml:space="preserve">    地下水环境现状调查评价范围参照表</w:t>
      </w:r>
    </w:p>
    <w:tbl>
      <w:tblPr>
        <w:tblStyle w:val="41"/>
        <w:tblpPr w:leftFromText="180" w:rightFromText="180" w:vertAnchor="text" w:tblpXSpec="center" w:tblpY="1"/>
        <w:tblOverlap w:val="never"/>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787"/>
        <w:gridCol w:w="2790"/>
        <w:gridCol w:w="2790"/>
      </w:tblGrid>
      <w:tr w14:paraId="2983D8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2" w:type="dxa"/>
            <w:tcBorders>
              <w:top w:val="single" w:color="auto" w:sz="8" w:space="0"/>
              <w:left w:val="single" w:color="auto" w:sz="8" w:space="0"/>
              <w:bottom w:val="single" w:color="auto" w:sz="6" w:space="0"/>
              <w:right w:val="single" w:color="auto" w:sz="6" w:space="0"/>
            </w:tcBorders>
            <w:tcMar>
              <w:top w:w="0" w:type="dxa"/>
              <w:left w:w="28" w:type="dxa"/>
              <w:bottom w:w="0" w:type="dxa"/>
              <w:right w:w="28" w:type="dxa"/>
            </w:tcMar>
            <w:vAlign w:val="center"/>
          </w:tcPr>
          <w:p w14:paraId="0D879425">
            <w:pPr>
              <w:spacing w:line="360" w:lineRule="exact"/>
              <w:ind w:firstLine="0" w:firstLineChars="0"/>
              <w:jc w:val="center"/>
              <w:rPr>
                <w:b/>
                <w:bCs/>
                <w:sz w:val="21"/>
                <w:szCs w:val="21"/>
              </w:rPr>
            </w:pPr>
            <w:r>
              <w:rPr>
                <w:b/>
                <w:bCs/>
                <w:sz w:val="21"/>
                <w:szCs w:val="21"/>
              </w:rPr>
              <w:t>评价等级</w:t>
            </w:r>
          </w:p>
        </w:tc>
        <w:tc>
          <w:tcPr>
            <w:tcW w:w="2765" w:type="dxa"/>
            <w:tcBorders>
              <w:top w:val="single" w:color="auto" w:sz="8" w:space="0"/>
              <w:left w:val="single" w:color="auto" w:sz="6" w:space="0"/>
              <w:bottom w:val="single" w:color="auto" w:sz="6" w:space="0"/>
              <w:right w:val="single" w:color="auto" w:sz="6" w:space="0"/>
            </w:tcBorders>
            <w:tcMar>
              <w:top w:w="0" w:type="dxa"/>
              <w:left w:w="28" w:type="dxa"/>
              <w:bottom w:w="0" w:type="dxa"/>
              <w:right w:w="28" w:type="dxa"/>
            </w:tcMar>
            <w:vAlign w:val="center"/>
          </w:tcPr>
          <w:p w14:paraId="254B06D1">
            <w:pPr>
              <w:spacing w:line="360" w:lineRule="exact"/>
              <w:ind w:firstLine="0" w:firstLineChars="0"/>
              <w:jc w:val="center"/>
              <w:rPr>
                <w:b/>
                <w:bCs/>
                <w:sz w:val="21"/>
                <w:szCs w:val="21"/>
              </w:rPr>
            </w:pPr>
            <w:r>
              <w:rPr>
                <w:b/>
                <w:bCs/>
                <w:sz w:val="21"/>
                <w:szCs w:val="21"/>
              </w:rPr>
              <w:t>调查评价面积（km</w:t>
            </w:r>
            <w:r>
              <w:rPr>
                <w:b/>
                <w:bCs/>
                <w:sz w:val="21"/>
                <w:szCs w:val="21"/>
                <w:vertAlign w:val="superscript"/>
              </w:rPr>
              <w:t>2</w:t>
            </w:r>
            <w:r>
              <w:rPr>
                <w:b/>
                <w:bCs/>
                <w:sz w:val="21"/>
                <w:szCs w:val="21"/>
              </w:rPr>
              <w:t>）</w:t>
            </w:r>
          </w:p>
        </w:tc>
        <w:tc>
          <w:tcPr>
            <w:tcW w:w="2765" w:type="dxa"/>
            <w:tcBorders>
              <w:top w:val="single" w:color="auto" w:sz="8" w:space="0"/>
              <w:left w:val="single" w:color="auto" w:sz="6" w:space="0"/>
              <w:bottom w:val="single" w:color="auto" w:sz="6" w:space="0"/>
              <w:right w:val="single" w:color="auto" w:sz="8" w:space="0"/>
            </w:tcBorders>
            <w:tcMar>
              <w:top w:w="0" w:type="dxa"/>
              <w:left w:w="28" w:type="dxa"/>
              <w:bottom w:w="0" w:type="dxa"/>
              <w:right w:w="28" w:type="dxa"/>
            </w:tcMar>
            <w:vAlign w:val="center"/>
          </w:tcPr>
          <w:p w14:paraId="4A513C51">
            <w:pPr>
              <w:spacing w:line="360" w:lineRule="exact"/>
              <w:ind w:firstLine="0" w:firstLineChars="0"/>
              <w:jc w:val="center"/>
              <w:rPr>
                <w:b/>
                <w:bCs/>
                <w:sz w:val="21"/>
                <w:szCs w:val="21"/>
              </w:rPr>
            </w:pPr>
            <w:r>
              <w:rPr>
                <w:b/>
                <w:bCs/>
                <w:sz w:val="21"/>
                <w:szCs w:val="21"/>
              </w:rPr>
              <w:t>备注</w:t>
            </w:r>
          </w:p>
        </w:tc>
      </w:tr>
      <w:tr w14:paraId="0AD349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2" w:type="dxa"/>
            <w:tcBorders>
              <w:top w:val="single" w:color="auto" w:sz="6" w:space="0"/>
              <w:left w:val="single" w:color="auto" w:sz="8" w:space="0"/>
              <w:bottom w:val="single" w:color="auto" w:sz="6" w:space="0"/>
              <w:right w:val="single" w:color="auto" w:sz="6" w:space="0"/>
            </w:tcBorders>
            <w:tcMar>
              <w:top w:w="0" w:type="dxa"/>
              <w:left w:w="28" w:type="dxa"/>
              <w:bottom w:w="0" w:type="dxa"/>
              <w:right w:w="28" w:type="dxa"/>
            </w:tcMar>
            <w:vAlign w:val="center"/>
          </w:tcPr>
          <w:p w14:paraId="421D2CBC">
            <w:pPr>
              <w:spacing w:line="360" w:lineRule="exact"/>
              <w:ind w:firstLine="0" w:firstLineChars="0"/>
              <w:jc w:val="center"/>
              <w:rPr>
                <w:sz w:val="21"/>
                <w:szCs w:val="21"/>
              </w:rPr>
            </w:pPr>
            <w:r>
              <w:rPr>
                <w:sz w:val="21"/>
                <w:szCs w:val="21"/>
              </w:rPr>
              <w:t>一级</w:t>
            </w:r>
          </w:p>
        </w:tc>
        <w:tc>
          <w:tcPr>
            <w:tcW w:w="2765"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14:paraId="7449FCBD">
            <w:pPr>
              <w:spacing w:line="360" w:lineRule="exact"/>
              <w:ind w:firstLine="0" w:firstLineChars="0"/>
              <w:jc w:val="center"/>
              <w:rPr>
                <w:sz w:val="21"/>
                <w:szCs w:val="21"/>
              </w:rPr>
            </w:pPr>
            <w:r>
              <w:rPr>
                <w:sz w:val="21"/>
                <w:szCs w:val="21"/>
              </w:rPr>
              <w:t>≥20</w:t>
            </w:r>
          </w:p>
        </w:tc>
        <w:tc>
          <w:tcPr>
            <w:tcW w:w="2765" w:type="dxa"/>
            <w:vMerge w:val="restart"/>
            <w:tcBorders>
              <w:top w:val="single" w:color="auto" w:sz="6" w:space="0"/>
              <w:left w:val="single" w:color="auto" w:sz="6" w:space="0"/>
              <w:bottom w:val="single" w:color="auto" w:sz="8" w:space="0"/>
              <w:right w:val="single" w:color="auto" w:sz="8" w:space="0"/>
            </w:tcBorders>
            <w:tcMar>
              <w:top w:w="0" w:type="dxa"/>
              <w:left w:w="28" w:type="dxa"/>
              <w:bottom w:w="0" w:type="dxa"/>
              <w:right w:w="28" w:type="dxa"/>
            </w:tcMar>
            <w:vAlign w:val="center"/>
          </w:tcPr>
          <w:p w14:paraId="5571D3B2">
            <w:pPr>
              <w:spacing w:line="360" w:lineRule="exact"/>
              <w:ind w:firstLine="0" w:firstLineChars="0"/>
              <w:jc w:val="center"/>
              <w:rPr>
                <w:sz w:val="21"/>
                <w:szCs w:val="21"/>
              </w:rPr>
            </w:pPr>
            <w:r>
              <w:rPr>
                <w:sz w:val="21"/>
                <w:szCs w:val="21"/>
              </w:rPr>
              <w:t>应包括重要的地下水环境保护目标，必要时适当扩大范围</w:t>
            </w:r>
          </w:p>
        </w:tc>
      </w:tr>
      <w:tr w14:paraId="186451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2" w:type="dxa"/>
            <w:tcBorders>
              <w:top w:val="single" w:color="auto" w:sz="6" w:space="0"/>
              <w:left w:val="single" w:color="auto" w:sz="8" w:space="0"/>
              <w:bottom w:val="single" w:color="auto" w:sz="6" w:space="0"/>
              <w:right w:val="single" w:color="auto" w:sz="6" w:space="0"/>
            </w:tcBorders>
            <w:tcMar>
              <w:top w:w="0" w:type="dxa"/>
              <w:left w:w="28" w:type="dxa"/>
              <w:bottom w:w="0" w:type="dxa"/>
              <w:right w:w="28" w:type="dxa"/>
            </w:tcMar>
            <w:vAlign w:val="center"/>
          </w:tcPr>
          <w:p w14:paraId="66B2CF6D">
            <w:pPr>
              <w:spacing w:line="360" w:lineRule="exact"/>
              <w:ind w:firstLine="0" w:firstLineChars="0"/>
              <w:jc w:val="center"/>
              <w:rPr>
                <w:sz w:val="21"/>
                <w:szCs w:val="21"/>
              </w:rPr>
            </w:pPr>
            <w:r>
              <w:rPr>
                <w:sz w:val="21"/>
                <w:szCs w:val="21"/>
              </w:rPr>
              <w:t>二级</w:t>
            </w:r>
          </w:p>
        </w:tc>
        <w:tc>
          <w:tcPr>
            <w:tcW w:w="2765"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14:paraId="74CC637C">
            <w:pPr>
              <w:spacing w:line="360" w:lineRule="exact"/>
              <w:ind w:firstLine="0" w:firstLineChars="0"/>
              <w:jc w:val="center"/>
              <w:rPr>
                <w:sz w:val="21"/>
                <w:szCs w:val="21"/>
              </w:rPr>
            </w:pPr>
            <w:r>
              <w:rPr>
                <w:sz w:val="21"/>
                <w:szCs w:val="21"/>
              </w:rPr>
              <w:t>6~20</w:t>
            </w:r>
          </w:p>
        </w:tc>
        <w:tc>
          <w:tcPr>
            <w:tcW w:w="2765" w:type="dxa"/>
            <w:vMerge w:val="continue"/>
            <w:tcBorders>
              <w:top w:val="single" w:color="auto" w:sz="6" w:space="0"/>
              <w:left w:val="single" w:color="auto" w:sz="6" w:space="0"/>
              <w:bottom w:val="single" w:color="auto" w:sz="8" w:space="0"/>
              <w:right w:val="single" w:color="auto" w:sz="8" w:space="0"/>
            </w:tcBorders>
            <w:vAlign w:val="center"/>
          </w:tcPr>
          <w:p w14:paraId="6011728C">
            <w:pPr>
              <w:widowControl/>
              <w:spacing w:line="360" w:lineRule="exact"/>
              <w:ind w:firstLine="0" w:firstLineChars="0"/>
              <w:jc w:val="left"/>
              <w:rPr>
                <w:sz w:val="21"/>
                <w:szCs w:val="21"/>
                <w:highlight w:val="yellow"/>
              </w:rPr>
            </w:pPr>
          </w:p>
        </w:tc>
      </w:tr>
      <w:tr w14:paraId="431627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2" w:type="dxa"/>
            <w:tcBorders>
              <w:top w:val="single" w:color="auto" w:sz="6" w:space="0"/>
              <w:left w:val="single" w:color="auto" w:sz="8" w:space="0"/>
              <w:bottom w:val="single" w:color="auto" w:sz="8" w:space="0"/>
              <w:right w:val="single" w:color="auto" w:sz="6" w:space="0"/>
            </w:tcBorders>
            <w:tcMar>
              <w:top w:w="0" w:type="dxa"/>
              <w:left w:w="28" w:type="dxa"/>
              <w:bottom w:w="0" w:type="dxa"/>
              <w:right w:w="28" w:type="dxa"/>
            </w:tcMar>
            <w:vAlign w:val="center"/>
          </w:tcPr>
          <w:p w14:paraId="5B8F0AA0">
            <w:pPr>
              <w:spacing w:line="360" w:lineRule="exact"/>
              <w:ind w:firstLine="0" w:firstLineChars="0"/>
              <w:jc w:val="center"/>
              <w:rPr>
                <w:sz w:val="21"/>
                <w:szCs w:val="21"/>
              </w:rPr>
            </w:pPr>
            <w:r>
              <w:rPr>
                <w:sz w:val="21"/>
                <w:szCs w:val="21"/>
              </w:rPr>
              <w:t>三级</w:t>
            </w:r>
          </w:p>
        </w:tc>
        <w:tc>
          <w:tcPr>
            <w:tcW w:w="2765" w:type="dxa"/>
            <w:tcBorders>
              <w:top w:val="single" w:color="auto" w:sz="6" w:space="0"/>
              <w:left w:val="single" w:color="auto" w:sz="6" w:space="0"/>
              <w:bottom w:val="single" w:color="auto" w:sz="8" w:space="0"/>
              <w:right w:val="single" w:color="auto" w:sz="6" w:space="0"/>
            </w:tcBorders>
            <w:tcMar>
              <w:top w:w="0" w:type="dxa"/>
              <w:left w:w="28" w:type="dxa"/>
              <w:bottom w:w="0" w:type="dxa"/>
              <w:right w:w="28" w:type="dxa"/>
            </w:tcMar>
            <w:vAlign w:val="center"/>
          </w:tcPr>
          <w:p w14:paraId="1997834E">
            <w:pPr>
              <w:spacing w:line="360" w:lineRule="exact"/>
              <w:ind w:firstLine="0" w:firstLineChars="0"/>
              <w:jc w:val="center"/>
              <w:rPr>
                <w:sz w:val="21"/>
                <w:szCs w:val="21"/>
              </w:rPr>
            </w:pPr>
            <w:r>
              <w:rPr>
                <w:sz w:val="21"/>
                <w:szCs w:val="21"/>
              </w:rPr>
              <w:t>≤6</w:t>
            </w:r>
          </w:p>
        </w:tc>
        <w:tc>
          <w:tcPr>
            <w:tcW w:w="2765" w:type="dxa"/>
            <w:vMerge w:val="continue"/>
            <w:tcBorders>
              <w:top w:val="single" w:color="auto" w:sz="6" w:space="0"/>
              <w:left w:val="single" w:color="auto" w:sz="6" w:space="0"/>
              <w:bottom w:val="single" w:color="auto" w:sz="8" w:space="0"/>
              <w:right w:val="single" w:color="auto" w:sz="8" w:space="0"/>
            </w:tcBorders>
            <w:vAlign w:val="center"/>
          </w:tcPr>
          <w:p w14:paraId="6494FF61">
            <w:pPr>
              <w:widowControl/>
              <w:spacing w:line="360" w:lineRule="exact"/>
              <w:ind w:firstLine="0" w:firstLineChars="0"/>
              <w:jc w:val="left"/>
              <w:rPr>
                <w:sz w:val="21"/>
                <w:szCs w:val="21"/>
                <w:highlight w:val="yellow"/>
              </w:rPr>
            </w:pPr>
          </w:p>
        </w:tc>
      </w:tr>
    </w:tbl>
    <w:p w14:paraId="4EF647F8">
      <w:pPr>
        <w:pStyle w:val="2"/>
        <w:spacing w:after="0"/>
        <w:ind w:firstLine="480"/>
        <w:rPr>
          <w:szCs w:val="24"/>
        </w:rPr>
      </w:pPr>
      <w:r>
        <w:rPr>
          <w:szCs w:val="24"/>
        </w:rPr>
        <w:t>根据上表，本项目勘察范围≥20km</w:t>
      </w:r>
      <w:r>
        <w:rPr>
          <w:szCs w:val="24"/>
          <w:vertAlign w:val="superscript"/>
        </w:rPr>
        <w:t>2</w:t>
      </w:r>
      <w:r>
        <w:rPr>
          <w:szCs w:val="24"/>
        </w:rPr>
        <w:t>。结合项目区范围、地形地貌特征、区域水文地质条件、地下水流场特征和地下水保护目标等，为了说明地下水环境的基本状况，水文地质调查范围如下：</w:t>
      </w:r>
    </w:p>
    <w:p w14:paraId="01CA6266">
      <w:pPr>
        <w:pStyle w:val="2"/>
        <w:spacing w:after="0"/>
        <w:ind w:firstLine="480"/>
      </w:pPr>
      <w:r>
        <w:rPr>
          <w:rFonts w:hint="eastAsia"/>
        </w:rPr>
        <w:t>北边界：厂界上游西北侧3.22km河洼村-侯庄村-东寺门村一线为上游补给边界；</w:t>
      </w:r>
    </w:p>
    <w:p w14:paraId="4C2D9FE5">
      <w:pPr>
        <w:pStyle w:val="2"/>
        <w:spacing w:after="0"/>
        <w:ind w:firstLine="480"/>
      </w:pPr>
      <w:r>
        <w:rPr>
          <w:rFonts w:hint="eastAsia"/>
        </w:rPr>
        <w:t>西边界：厂界西侧十里河一线为评价区西部边界，为侧向边界；</w:t>
      </w:r>
    </w:p>
    <w:p w14:paraId="0D5C00EB">
      <w:pPr>
        <w:pStyle w:val="2"/>
        <w:spacing w:after="0"/>
        <w:ind w:firstLine="480"/>
      </w:pPr>
      <w:r>
        <w:rPr>
          <w:rFonts w:hint="eastAsia"/>
        </w:rPr>
        <w:t>南边界：厂界下游南侧的共产主义渠一线为评价区南部边界，为下游排泄边界；</w:t>
      </w:r>
    </w:p>
    <w:p w14:paraId="24A2E2D8">
      <w:pPr>
        <w:pStyle w:val="2"/>
        <w:spacing w:after="0"/>
        <w:ind w:firstLine="480"/>
        <w:rPr>
          <w:u w:val="single"/>
        </w:rPr>
      </w:pPr>
      <w:r>
        <w:rPr>
          <w:rFonts w:hint="eastAsia"/>
        </w:rPr>
        <w:t>东边界：</w:t>
      </w:r>
      <w:r>
        <w:rPr>
          <w:rFonts w:hint="eastAsia"/>
          <w:u w:val="single"/>
        </w:rPr>
        <w:t>厂界东北侧井岗村-薛屯村东-黄土岗村西一线为评价区东部边界，为侧向边界。</w:t>
      </w:r>
    </w:p>
    <w:p w14:paraId="0E466C51">
      <w:pPr>
        <w:ind w:firstLine="480"/>
        <w:rPr>
          <w:szCs w:val="24"/>
        </w:rPr>
        <w:sectPr>
          <w:pgSz w:w="11906" w:h="16838"/>
          <w:pgMar w:top="1440" w:right="1797" w:bottom="1440" w:left="1797" w:header="851" w:footer="992" w:gutter="0"/>
          <w:cols w:space="425" w:num="1"/>
          <w:docGrid w:linePitch="312" w:charSpace="0"/>
        </w:sectPr>
      </w:pPr>
      <w:r>
        <w:rPr>
          <w:rFonts w:hint="eastAsia"/>
          <w:u w:val="single"/>
        </w:rPr>
        <w:t>调查评价面积约为29km</w:t>
      </w:r>
      <w:r>
        <w:rPr>
          <w:rFonts w:hint="eastAsia"/>
          <w:u w:val="single"/>
          <w:vertAlign w:val="superscript"/>
        </w:rPr>
        <w:t>2</w:t>
      </w:r>
      <w:r>
        <w:rPr>
          <w:u w:val="single"/>
        </w:rPr>
        <w:t>。</w:t>
      </w:r>
      <w:r>
        <w:rPr>
          <w:rFonts w:hint="eastAsia"/>
          <w:u w:val="single"/>
        </w:rPr>
        <w:t>项目地下水评价调查范围见下图</w:t>
      </w:r>
      <w:r>
        <w:rPr>
          <w:szCs w:val="24"/>
        </w:rPr>
        <w:t>。</w:t>
      </w:r>
    </w:p>
    <w:p w14:paraId="27F1B811">
      <w:pPr>
        <w:pStyle w:val="2"/>
        <w:spacing w:after="0" w:line="240" w:lineRule="auto"/>
        <w:ind w:firstLine="0" w:firstLineChars="0"/>
        <w:jc w:val="center"/>
        <w:rPr>
          <w:highlight w:val="yellow"/>
        </w:rPr>
      </w:pPr>
      <w:r>
        <w:drawing>
          <wp:inline distT="0" distB="0" distL="0" distR="0">
            <wp:extent cx="6123940" cy="5183505"/>
            <wp:effectExtent l="0" t="0" r="10160" b="17145"/>
            <wp:docPr id="105455456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54561" name="图片 1" descr="地图&#10;&#10;描述已自动生成"/>
                    <pic:cNvPicPr>
                      <a:picLocks noChangeAspect="1"/>
                    </pic:cNvPicPr>
                  </pic:nvPicPr>
                  <pic:blipFill>
                    <a:blip r:embed="rId71"/>
                    <a:stretch>
                      <a:fillRect/>
                    </a:stretch>
                  </pic:blipFill>
                  <pic:spPr>
                    <a:xfrm>
                      <a:off x="0" y="0"/>
                      <a:ext cx="6123940" cy="5184000"/>
                    </a:xfrm>
                    <a:prstGeom prst="rect">
                      <a:avLst/>
                    </a:prstGeom>
                  </pic:spPr>
                </pic:pic>
              </a:graphicData>
            </a:graphic>
          </wp:inline>
        </w:drawing>
      </w:r>
    </w:p>
    <w:p w14:paraId="59052585">
      <w:pPr>
        <w:pStyle w:val="136"/>
        <w:numPr>
          <w:ilvl w:val="4"/>
          <w:numId w:val="24"/>
        </w:numPr>
        <w:spacing w:before="120" w:beforeLines="50" w:after="120" w:afterLines="50" w:line="240" w:lineRule="auto"/>
        <w:ind w:left="0" w:firstLine="0"/>
        <w:jc w:val="center"/>
        <w:rPr>
          <w:b/>
          <w:sz w:val="24"/>
          <w:u w:val="single"/>
        </w:rPr>
        <w:sectPr>
          <w:pgSz w:w="16838" w:h="11906" w:orient="landscape"/>
          <w:pgMar w:top="1644" w:right="1247" w:bottom="1644" w:left="1247" w:header="851" w:footer="992" w:gutter="0"/>
          <w:cols w:space="425" w:num="1"/>
          <w:docGrid w:linePitch="326" w:charSpace="0"/>
        </w:sectPr>
      </w:pPr>
      <w:r>
        <w:rPr>
          <w:b/>
          <w:sz w:val="24"/>
          <w:u w:val="single"/>
        </w:rPr>
        <w:t>项目</w:t>
      </w:r>
      <w:r>
        <w:rPr>
          <w:rFonts w:hint="eastAsia"/>
          <w:b/>
          <w:sz w:val="24"/>
          <w:u w:val="single"/>
        </w:rPr>
        <w:t>地下水</w:t>
      </w:r>
      <w:r>
        <w:rPr>
          <w:b/>
          <w:sz w:val="24"/>
          <w:u w:val="single"/>
        </w:rPr>
        <w:t>调查评价范围示意图</w:t>
      </w:r>
    </w:p>
    <w:p w14:paraId="3F5AF023">
      <w:pPr>
        <w:pStyle w:val="6"/>
        <w:ind w:left="0" w:firstLine="482" w:firstLineChars="200"/>
      </w:pPr>
      <w:r>
        <w:rPr>
          <w:rFonts w:hint="eastAsia"/>
        </w:rPr>
        <w:t>监测点位布设</w:t>
      </w:r>
    </w:p>
    <w:p w14:paraId="2E1726FA">
      <w:pPr>
        <w:ind w:firstLine="480"/>
      </w:pPr>
      <w:r>
        <w:rPr>
          <w:rFonts w:hint="eastAsia"/>
        </w:rPr>
        <w:t>为了解区域地下水水质现状，本次评价设置了7个地下水水质监测点位和14个水位监测点位，对调查区内的水质现状进行监测与评价。本次工程委托河南平原山水检测有限公司新乡分公司对地下水水质、水位进行监测，连续监测2天，每天采样一次。</w:t>
      </w:r>
    </w:p>
    <w:p w14:paraId="1D3EC142">
      <w:pPr>
        <w:ind w:firstLine="480"/>
      </w:pPr>
      <w:r>
        <w:rPr>
          <w:rFonts w:hint="eastAsia"/>
        </w:rPr>
        <w:t>水质及水位监测点位详见下表。</w:t>
      </w:r>
    </w:p>
    <w:p w14:paraId="0413DF4E">
      <w:pPr>
        <w:numPr>
          <w:ilvl w:val="0"/>
          <w:numId w:val="23"/>
        </w:numPr>
        <w:adjustRightInd/>
        <w:snapToGrid/>
        <w:ind w:firstLineChars="0"/>
        <w:textAlignment w:val="auto"/>
        <w:rPr>
          <w:rFonts w:eastAsia="黑体"/>
        </w:rPr>
      </w:pPr>
      <w:r>
        <w:rPr>
          <w:rFonts w:eastAsia="黑体"/>
        </w:rPr>
        <w:t xml:space="preserve">        地下水环境现状水质监测点位一览表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578"/>
        <w:gridCol w:w="1418"/>
        <w:gridCol w:w="1276"/>
        <w:gridCol w:w="1276"/>
        <w:gridCol w:w="1138"/>
        <w:gridCol w:w="2646"/>
      </w:tblGrid>
      <w:tr w14:paraId="282805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347" w:type="pct"/>
            <w:vAlign w:val="center"/>
          </w:tcPr>
          <w:p w14:paraId="7FD56924">
            <w:pPr>
              <w:pStyle w:val="67"/>
              <w:rPr>
                <w:rFonts w:cs="Times New Roman"/>
                <w:color w:val="auto"/>
                <w:szCs w:val="21"/>
              </w:rPr>
            </w:pPr>
            <w:r>
              <w:rPr>
                <w:rFonts w:cs="Times New Roman"/>
                <w:color w:val="auto"/>
                <w:szCs w:val="21"/>
              </w:rPr>
              <w:t>编号</w:t>
            </w:r>
          </w:p>
        </w:tc>
        <w:tc>
          <w:tcPr>
            <w:tcW w:w="851" w:type="pct"/>
            <w:vAlign w:val="center"/>
          </w:tcPr>
          <w:p w14:paraId="392F79CC">
            <w:pPr>
              <w:pStyle w:val="67"/>
              <w:rPr>
                <w:rFonts w:cs="Times New Roman"/>
                <w:color w:val="auto"/>
                <w:szCs w:val="21"/>
              </w:rPr>
            </w:pPr>
            <w:r>
              <w:rPr>
                <w:rFonts w:cs="Times New Roman"/>
                <w:color w:val="auto"/>
                <w:szCs w:val="21"/>
              </w:rPr>
              <w:t>监测点</w:t>
            </w:r>
          </w:p>
        </w:tc>
        <w:tc>
          <w:tcPr>
            <w:tcW w:w="766" w:type="pct"/>
            <w:vAlign w:val="center"/>
          </w:tcPr>
          <w:p w14:paraId="6D605A5A">
            <w:pPr>
              <w:pStyle w:val="67"/>
              <w:adjustRightInd w:val="0"/>
              <w:snapToGrid w:val="0"/>
              <w:rPr>
                <w:rFonts w:cs="Times New Roman"/>
                <w:color w:val="auto"/>
                <w:szCs w:val="21"/>
              </w:rPr>
            </w:pPr>
            <w:r>
              <w:rPr>
                <w:rFonts w:hint="eastAsia"/>
                <w:color w:val="auto"/>
                <w:szCs w:val="21"/>
              </w:rPr>
              <w:t>方位/距厂界</w:t>
            </w:r>
          </w:p>
        </w:tc>
        <w:tc>
          <w:tcPr>
            <w:tcW w:w="766" w:type="pct"/>
            <w:vAlign w:val="center"/>
          </w:tcPr>
          <w:p w14:paraId="24772755">
            <w:pPr>
              <w:pStyle w:val="67"/>
              <w:adjustRightInd w:val="0"/>
              <w:snapToGrid w:val="0"/>
              <w:rPr>
                <w:rFonts w:cs="Times New Roman"/>
                <w:color w:val="auto"/>
                <w:szCs w:val="21"/>
              </w:rPr>
            </w:pPr>
            <w:r>
              <w:rPr>
                <w:rFonts w:hint="eastAsia"/>
                <w:color w:val="auto"/>
                <w:szCs w:val="21"/>
              </w:rPr>
              <w:t>距厂界（m）</w:t>
            </w:r>
          </w:p>
        </w:tc>
        <w:tc>
          <w:tcPr>
            <w:tcW w:w="683" w:type="pct"/>
            <w:vAlign w:val="center"/>
          </w:tcPr>
          <w:p w14:paraId="0A2CAC71">
            <w:pPr>
              <w:pStyle w:val="67"/>
              <w:adjustRightInd w:val="0"/>
              <w:snapToGrid w:val="0"/>
              <w:rPr>
                <w:rFonts w:cs="Times New Roman"/>
                <w:color w:val="auto"/>
                <w:szCs w:val="21"/>
              </w:rPr>
            </w:pPr>
            <w:r>
              <w:rPr>
                <w:rFonts w:cs="Times New Roman"/>
                <w:color w:val="auto"/>
                <w:szCs w:val="21"/>
              </w:rPr>
              <w:t>点位属性</w:t>
            </w:r>
          </w:p>
        </w:tc>
        <w:tc>
          <w:tcPr>
            <w:tcW w:w="1587" w:type="pct"/>
            <w:vAlign w:val="center"/>
          </w:tcPr>
          <w:p w14:paraId="6EE0263E">
            <w:pPr>
              <w:pStyle w:val="67"/>
              <w:rPr>
                <w:rFonts w:cs="Times New Roman"/>
                <w:color w:val="auto"/>
                <w:szCs w:val="21"/>
              </w:rPr>
            </w:pPr>
            <w:r>
              <w:rPr>
                <w:rFonts w:cs="Times New Roman"/>
                <w:color w:val="auto"/>
                <w:szCs w:val="21"/>
              </w:rPr>
              <w:t>监测因子</w:t>
            </w:r>
          </w:p>
        </w:tc>
      </w:tr>
      <w:tr w14:paraId="012414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7" w:type="pct"/>
            <w:vAlign w:val="center"/>
          </w:tcPr>
          <w:p w14:paraId="2263CAAF">
            <w:pPr>
              <w:pStyle w:val="62"/>
            </w:pPr>
            <w:r>
              <w:rPr>
                <w:szCs w:val="24"/>
              </w:rPr>
              <w:t>1</w:t>
            </w:r>
            <w:r>
              <w:rPr>
                <w:rFonts w:hint="eastAsia"/>
                <w:szCs w:val="24"/>
              </w:rPr>
              <w:t>#</w:t>
            </w:r>
          </w:p>
        </w:tc>
        <w:tc>
          <w:tcPr>
            <w:tcW w:w="851" w:type="pct"/>
            <w:vAlign w:val="center"/>
          </w:tcPr>
          <w:p w14:paraId="696370FE">
            <w:pPr>
              <w:pStyle w:val="62"/>
              <w:rPr>
                <w:highlight w:val="yellow"/>
              </w:rPr>
            </w:pPr>
            <w:r>
              <w:rPr>
                <w:rFonts w:hint="eastAsia"/>
                <w:szCs w:val="24"/>
              </w:rPr>
              <w:t>厂区</w:t>
            </w:r>
          </w:p>
        </w:tc>
        <w:tc>
          <w:tcPr>
            <w:tcW w:w="766" w:type="pct"/>
            <w:vAlign w:val="center"/>
          </w:tcPr>
          <w:p w14:paraId="26F29CD0">
            <w:pPr>
              <w:pStyle w:val="62"/>
              <w:rPr>
                <w:highlight w:val="yellow"/>
              </w:rPr>
            </w:pPr>
            <w:r>
              <w:rPr>
                <w:rFonts w:hint="eastAsia"/>
              </w:rPr>
              <w:t>/</w:t>
            </w:r>
          </w:p>
        </w:tc>
        <w:tc>
          <w:tcPr>
            <w:tcW w:w="766" w:type="pct"/>
            <w:vAlign w:val="center"/>
          </w:tcPr>
          <w:p w14:paraId="4476978D">
            <w:pPr>
              <w:pStyle w:val="62"/>
              <w:rPr>
                <w:highlight w:val="yellow"/>
              </w:rPr>
            </w:pPr>
            <w:r>
              <w:t>/</w:t>
            </w:r>
          </w:p>
        </w:tc>
        <w:tc>
          <w:tcPr>
            <w:tcW w:w="683" w:type="pct"/>
            <w:vMerge w:val="restart"/>
            <w:vAlign w:val="center"/>
          </w:tcPr>
          <w:p w14:paraId="14A0DAB6">
            <w:pPr>
              <w:pStyle w:val="62"/>
              <w:rPr>
                <w:highlight w:val="yellow"/>
              </w:rPr>
            </w:pPr>
            <w:r>
              <w:t>水质监测点</w:t>
            </w:r>
          </w:p>
        </w:tc>
        <w:tc>
          <w:tcPr>
            <w:tcW w:w="1587" w:type="pct"/>
            <w:vMerge w:val="restart"/>
            <w:vAlign w:val="center"/>
          </w:tcPr>
          <w:p w14:paraId="79F32D77">
            <w:pPr>
              <w:pStyle w:val="62"/>
              <w:rPr>
                <w:highlight w:val="yellow"/>
              </w:rPr>
            </w:pPr>
            <w:r>
              <w:rPr>
                <w:rFonts w:hint="eastAsia"/>
              </w:rPr>
              <w:t>K</w:t>
            </w:r>
            <w:r>
              <w:rPr>
                <w:rFonts w:hint="eastAsia"/>
                <w:vertAlign w:val="superscript"/>
              </w:rPr>
              <w:t>+</w:t>
            </w:r>
            <w:r>
              <w:rPr>
                <w:rFonts w:hint="eastAsia"/>
              </w:rPr>
              <w:t>、Na</w:t>
            </w:r>
            <w:r>
              <w:rPr>
                <w:rFonts w:hint="eastAsia"/>
                <w:vertAlign w:val="superscript"/>
              </w:rPr>
              <w:t>+</w:t>
            </w:r>
            <w:r>
              <w:rPr>
                <w:rFonts w:hint="eastAsia"/>
              </w:rPr>
              <w:t>、Ca</w:t>
            </w:r>
            <w:r>
              <w:rPr>
                <w:rFonts w:hint="eastAsia"/>
                <w:vertAlign w:val="superscript"/>
              </w:rPr>
              <w:t>2+</w:t>
            </w:r>
            <w:r>
              <w:rPr>
                <w:rFonts w:hint="eastAsia"/>
              </w:rPr>
              <w:t>、Mg</w:t>
            </w:r>
            <w:r>
              <w:rPr>
                <w:rFonts w:hint="eastAsia"/>
                <w:vertAlign w:val="superscript"/>
              </w:rPr>
              <w:t>2+</w:t>
            </w:r>
            <w:r>
              <w:rPr>
                <w:rFonts w:hint="eastAsia"/>
              </w:rPr>
              <w:t>、CO</w:t>
            </w:r>
            <w:r>
              <w:rPr>
                <w:rFonts w:hint="eastAsia"/>
                <w:vertAlign w:val="subscript"/>
              </w:rPr>
              <w:t>3</w:t>
            </w:r>
            <w:r>
              <w:rPr>
                <w:rFonts w:hint="eastAsia"/>
                <w:vertAlign w:val="superscript"/>
              </w:rPr>
              <w:t>2-</w:t>
            </w:r>
            <w:r>
              <w:rPr>
                <w:rFonts w:hint="eastAsia"/>
              </w:rPr>
              <w:t>、HCO</w:t>
            </w:r>
            <w:r>
              <w:rPr>
                <w:rFonts w:hint="eastAsia"/>
                <w:vertAlign w:val="subscript"/>
              </w:rPr>
              <w:t>3</w:t>
            </w:r>
            <w:r>
              <w:rPr>
                <w:rFonts w:hint="eastAsia"/>
                <w:vertAlign w:val="superscript"/>
              </w:rPr>
              <w:t>-</w:t>
            </w:r>
            <w:r>
              <w:rPr>
                <w:rFonts w:hint="eastAsia"/>
              </w:rPr>
              <w:t>、Cl</w:t>
            </w:r>
            <w:r>
              <w:rPr>
                <w:rFonts w:hint="eastAsia"/>
                <w:vertAlign w:val="superscript"/>
              </w:rPr>
              <w:t>-</w:t>
            </w:r>
            <w:r>
              <w:rPr>
                <w:rFonts w:hint="eastAsia"/>
              </w:rPr>
              <w:t>、SO</w:t>
            </w:r>
            <w:r>
              <w:rPr>
                <w:rFonts w:hint="eastAsia"/>
                <w:vertAlign w:val="subscript"/>
              </w:rPr>
              <w:t>4</w:t>
            </w:r>
            <w:r>
              <w:rPr>
                <w:rFonts w:hint="eastAsia"/>
                <w:vertAlign w:val="superscript"/>
              </w:rPr>
              <w:t>2-</w:t>
            </w:r>
            <w:r>
              <w:rPr>
                <w:rFonts w:hint="eastAsia"/>
              </w:rPr>
              <w:t>、pH、氨氮、硝酸盐、亚硝酸盐、挥发性酚类、氰化物、砷、汞、铬（六价）、总硬度、铅、氟化物、镉、铁、锰、溶解性总固体、高锰酸盐指数、硫酸盐、氯化物、总大肠菌群、菌落总数、色度、石油类</w:t>
            </w:r>
            <w:r>
              <w:t>等</w:t>
            </w:r>
          </w:p>
        </w:tc>
      </w:tr>
      <w:tr w14:paraId="2EE157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7" w:type="pct"/>
            <w:vAlign w:val="center"/>
          </w:tcPr>
          <w:p w14:paraId="6039568F">
            <w:pPr>
              <w:pStyle w:val="62"/>
            </w:pPr>
            <w:r>
              <w:rPr>
                <w:szCs w:val="24"/>
              </w:rPr>
              <w:t>2</w:t>
            </w:r>
            <w:r>
              <w:rPr>
                <w:rFonts w:hint="eastAsia"/>
                <w:szCs w:val="24"/>
              </w:rPr>
              <w:t>#</w:t>
            </w:r>
          </w:p>
        </w:tc>
        <w:tc>
          <w:tcPr>
            <w:tcW w:w="851" w:type="pct"/>
            <w:vAlign w:val="center"/>
          </w:tcPr>
          <w:p w14:paraId="12BA8A83">
            <w:pPr>
              <w:pStyle w:val="62"/>
              <w:rPr>
                <w:highlight w:val="yellow"/>
              </w:rPr>
            </w:pPr>
            <w:r>
              <w:rPr>
                <w:rFonts w:hint="eastAsia"/>
              </w:rPr>
              <w:t>郭全屯村</w:t>
            </w:r>
          </w:p>
        </w:tc>
        <w:tc>
          <w:tcPr>
            <w:tcW w:w="766" w:type="pct"/>
            <w:vAlign w:val="center"/>
          </w:tcPr>
          <w:p w14:paraId="19608B60">
            <w:pPr>
              <w:pStyle w:val="62"/>
              <w:rPr>
                <w:highlight w:val="yellow"/>
              </w:rPr>
            </w:pPr>
            <w:r>
              <w:rPr>
                <w:rFonts w:hint="eastAsia"/>
              </w:rPr>
              <w:t>西北</w:t>
            </w:r>
          </w:p>
        </w:tc>
        <w:tc>
          <w:tcPr>
            <w:tcW w:w="766" w:type="pct"/>
            <w:vAlign w:val="center"/>
          </w:tcPr>
          <w:p w14:paraId="27CF95CD">
            <w:pPr>
              <w:pStyle w:val="62"/>
            </w:pPr>
            <w:r>
              <w:rPr>
                <w:rFonts w:hint="eastAsia"/>
              </w:rPr>
              <w:t>1310</w:t>
            </w:r>
          </w:p>
        </w:tc>
        <w:tc>
          <w:tcPr>
            <w:tcW w:w="683" w:type="pct"/>
            <w:vMerge w:val="continue"/>
            <w:vAlign w:val="center"/>
          </w:tcPr>
          <w:p w14:paraId="61B2AE97">
            <w:pPr>
              <w:pStyle w:val="62"/>
              <w:rPr>
                <w:highlight w:val="yellow"/>
              </w:rPr>
            </w:pPr>
          </w:p>
        </w:tc>
        <w:tc>
          <w:tcPr>
            <w:tcW w:w="1587" w:type="pct"/>
            <w:vMerge w:val="continue"/>
            <w:vAlign w:val="center"/>
          </w:tcPr>
          <w:p w14:paraId="1EE0BDE2">
            <w:pPr>
              <w:pStyle w:val="62"/>
              <w:rPr>
                <w:highlight w:val="yellow"/>
              </w:rPr>
            </w:pPr>
          </w:p>
        </w:tc>
      </w:tr>
      <w:tr w14:paraId="2A3010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7" w:type="pct"/>
            <w:vAlign w:val="center"/>
          </w:tcPr>
          <w:p w14:paraId="15E97F64">
            <w:pPr>
              <w:pStyle w:val="62"/>
            </w:pPr>
            <w:r>
              <w:rPr>
                <w:szCs w:val="24"/>
              </w:rPr>
              <w:t>3</w:t>
            </w:r>
            <w:r>
              <w:rPr>
                <w:rFonts w:hint="eastAsia"/>
                <w:szCs w:val="24"/>
              </w:rPr>
              <w:t>#</w:t>
            </w:r>
          </w:p>
        </w:tc>
        <w:tc>
          <w:tcPr>
            <w:tcW w:w="851" w:type="pct"/>
            <w:vAlign w:val="center"/>
          </w:tcPr>
          <w:p w14:paraId="39C8E2C4">
            <w:pPr>
              <w:pStyle w:val="62"/>
              <w:rPr>
                <w:highlight w:val="yellow"/>
              </w:rPr>
            </w:pPr>
            <w:r>
              <w:rPr>
                <w:rFonts w:hint="eastAsia"/>
              </w:rPr>
              <w:t>仁里屯村</w:t>
            </w:r>
          </w:p>
        </w:tc>
        <w:tc>
          <w:tcPr>
            <w:tcW w:w="766" w:type="pct"/>
            <w:vAlign w:val="center"/>
          </w:tcPr>
          <w:p w14:paraId="6AB03EF6">
            <w:pPr>
              <w:pStyle w:val="62"/>
              <w:rPr>
                <w:highlight w:val="yellow"/>
              </w:rPr>
            </w:pPr>
            <w:r>
              <w:rPr>
                <w:rFonts w:hint="eastAsia"/>
              </w:rPr>
              <w:t>西南</w:t>
            </w:r>
          </w:p>
        </w:tc>
        <w:tc>
          <w:tcPr>
            <w:tcW w:w="766" w:type="pct"/>
            <w:vAlign w:val="center"/>
          </w:tcPr>
          <w:p w14:paraId="066C4155">
            <w:pPr>
              <w:pStyle w:val="62"/>
            </w:pPr>
            <w:r>
              <w:rPr>
                <w:rFonts w:hint="eastAsia"/>
              </w:rPr>
              <w:t>960</w:t>
            </w:r>
          </w:p>
        </w:tc>
        <w:tc>
          <w:tcPr>
            <w:tcW w:w="683" w:type="pct"/>
            <w:vMerge w:val="continue"/>
            <w:vAlign w:val="center"/>
          </w:tcPr>
          <w:p w14:paraId="021304D1">
            <w:pPr>
              <w:pStyle w:val="62"/>
              <w:rPr>
                <w:highlight w:val="yellow"/>
              </w:rPr>
            </w:pPr>
          </w:p>
        </w:tc>
        <w:tc>
          <w:tcPr>
            <w:tcW w:w="1587" w:type="pct"/>
            <w:vMerge w:val="continue"/>
            <w:vAlign w:val="center"/>
          </w:tcPr>
          <w:p w14:paraId="2EAC7C7A">
            <w:pPr>
              <w:pStyle w:val="62"/>
              <w:rPr>
                <w:highlight w:val="yellow"/>
              </w:rPr>
            </w:pPr>
          </w:p>
        </w:tc>
      </w:tr>
      <w:tr w14:paraId="6F19DD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7" w:type="pct"/>
            <w:vAlign w:val="center"/>
          </w:tcPr>
          <w:p w14:paraId="1100F645">
            <w:pPr>
              <w:pStyle w:val="62"/>
            </w:pPr>
            <w:r>
              <w:rPr>
                <w:szCs w:val="24"/>
              </w:rPr>
              <w:t>4</w:t>
            </w:r>
            <w:r>
              <w:rPr>
                <w:rFonts w:hint="eastAsia"/>
                <w:szCs w:val="24"/>
              </w:rPr>
              <w:t>#</w:t>
            </w:r>
          </w:p>
        </w:tc>
        <w:tc>
          <w:tcPr>
            <w:tcW w:w="851" w:type="pct"/>
            <w:vAlign w:val="center"/>
          </w:tcPr>
          <w:p w14:paraId="6CF46338">
            <w:pPr>
              <w:pStyle w:val="62"/>
              <w:rPr>
                <w:highlight w:val="yellow"/>
              </w:rPr>
            </w:pPr>
            <w:r>
              <w:rPr>
                <w:rFonts w:hint="eastAsia"/>
              </w:rPr>
              <w:t>八里屯村</w:t>
            </w:r>
          </w:p>
        </w:tc>
        <w:tc>
          <w:tcPr>
            <w:tcW w:w="766" w:type="pct"/>
            <w:vAlign w:val="center"/>
          </w:tcPr>
          <w:p w14:paraId="768F5759">
            <w:pPr>
              <w:pStyle w:val="62"/>
              <w:rPr>
                <w:highlight w:val="yellow"/>
              </w:rPr>
            </w:pPr>
            <w:r>
              <w:rPr>
                <w:rFonts w:hint="eastAsia"/>
              </w:rPr>
              <w:t>东北</w:t>
            </w:r>
          </w:p>
        </w:tc>
        <w:tc>
          <w:tcPr>
            <w:tcW w:w="766" w:type="pct"/>
            <w:vAlign w:val="center"/>
          </w:tcPr>
          <w:p w14:paraId="7416E2D8">
            <w:pPr>
              <w:pStyle w:val="62"/>
            </w:pPr>
            <w:r>
              <w:rPr>
                <w:rFonts w:hint="eastAsia"/>
              </w:rPr>
              <w:t>2120</w:t>
            </w:r>
          </w:p>
        </w:tc>
        <w:tc>
          <w:tcPr>
            <w:tcW w:w="683" w:type="pct"/>
            <w:vMerge w:val="continue"/>
            <w:vAlign w:val="center"/>
          </w:tcPr>
          <w:p w14:paraId="2D097FDE">
            <w:pPr>
              <w:pStyle w:val="62"/>
              <w:rPr>
                <w:highlight w:val="yellow"/>
              </w:rPr>
            </w:pPr>
          </w:p>
        </w:tc>
        <w:tc>
          <w:tcPr>
            <w:tcW w:w="1587" w:type="pct"/>
            <w:vMerge w:val="continue"/>
            <w:vAlign w:val="center"/>
          </w:tcPr>
          <w:p w14:paraId="607B23D0">
            <w:pPr>
              <w:pStyle w:val="62"/>
              <w:rPr>
                <w:highlight w:val="yellow"/>
              </w:rPr>
            </w:pPr>
          </w:p>
        </w:tc>
      </w:tr>
      <w:tr w14:paraId="1AF837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7" w:type="pct"/>
            <w:vAlign w:val="center"/>
          </w:tcPr>
          <w:p w14:paraId="4E4B7451">
            <w:pPr>
              <w:pStyle w:val="62"/>
            </w:pPr>
            <w:r>
              <w:rPr>
                <w:szCs w:val="24"/>
              </w:rPr>
              <w:t>5</w:t>
            </w:r>
            <w:r>
              <w:rPr>
                <w:rFonts w:hint="eastAsia"/>
                <w:szCs w:val="24"/>
              </w:rPr>
              <w:t>#</w:t>
            </w:r>
          </w:p>
        </w:tc>
        <w:tc>
          <w:tcPr>
            <w:tcW w:w="851" w:type="pct"/>
            <w:vAlign w:val="center"/>
          </w:tcPr>
          <w:p w14:paraId="3FBA1AD2">
            <w:pPr>
              <w:pStyle w:val="62"/>
              <w:rPr>
                <w:highlight w:val="yellow"/>
              </w:rPr>
            </w:pPr>
            <w:r>
              <w:rPr>
                <w:rFonts w:hint="eastAsia"/>
              </w:rPr>
              <w:t>龙王庙</w:t>
            </w:r>
          </w:p>
        </w:tc>
        <w:tc>
          <w:tcPr>
            <w:tcW w:w="766" w:type="pct"/>
            <w:vAlign w:val="center"/>
          </w:tcPr>
          <w:p w14:paraId="61A3CA7F">
            <w:pPr>
              <w:pStyle w:val="62"/>
              <w:rPr>
                <w:highlight w:val="yellow"/>
              </w:rPr>
            </w:pPr>
            <w:r>
              <w:rPr>
                <w:rFonts w:hint="eastAsia"/>
              </w:rPr>
              <w:t>东南</w:t>
            </w:r>
          </w:p>
        </w:tc>
        <w:tc>
          <w:tcPr>
            <w:tcW w:w="766" w:type="pct"/>
            <w:vAlign w:val="center"/>
          </w:tcPr>
          <w:p w14:paraId="639C4CAA">
            <w:pPr>
              <w:pStyle w:val="62"/>
            </w:pPr>
            <w:r>
              <w:rPr>
                <w:rFonts w:hint="eastAsia"/>
              </w:rPr>
              <w:t>900</w:t>
            </w:r>
          </w:p>
        </w:tc>
        <w:tc>
          <w:tcPr>
            <w:tcW w:w="683" w:type="pct"/>
            <w:vMerge w:val="continue"/>
            <w:vAlign w:val="center"/>
          </w:tcPr>
          <w:p w14:paraId="7E36107D">
            <w:pPr>
              <w:pStyle w:val="62"/>
              <w:rPr>
                <w:highlight w:val="yellow"/>
              </w:rPr>
            </w:pPr>
          </w:p>
        </w:tc>
        <w:tc>
          <w:tcPr>
            <w:tcW w:w="1587" w:type="pct"/>
            <w:vMerge w:val="continue"/>
            <w:vAlign w:val="center"/>
          </w:tcPr>
          <w:p w14:paraId="7B23797A">
            <w:pPr>
              <w:pStyle w:val="62"/>
              <w:rPr>
                <w:highlight w:val="yellow"/>
              </w:rPr>
            </w:pPr>
          </w:p>
        </w:tc>
      </w:tr>
      <w:tr w14:paraId="281A3C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7" w:type="pct"/>
            <w:vAlign w:val="center"/>
          </w:tcPr>
          <w:p w14:paraId="3F65DA8D">
            <w:pPr>
              <w:pStyle w:val="62"/>
            </w:pPr>
            <w:r>
              <w:rPr>
                <w:szCs w:val="24"/>
              </w:rPr>
              <w:t>6</w:t>
            </w:r>
            <w:r>
              <w:rPr>
                <w:rFonts w:hint="eastAsia"/>
                <w:szCs w:val="24"/>
              </w:rPr>
              <w:t>#</w:t>
            </w:r>
          </w:p>
        </w:tc>
        <w:tc>
          <w:tcPr>
            <w:tcW w:w="851" w:type="pct"/>
            <w:vAlign w:val="center"/>
          </w:tcPr>
          <w:p w14:paraId="417E165C">
            <w:pPr>
              <w:pStyle w:val="62"/>
              <w:rPr>
                <w:highlight w:val="yellow"/>
              </w:rPr>
            </w:pPr>
            <w:r>
              <w:rPr>
                <w:rFonts w:hint="eastAsia"/>
              </w:rPr>
              <w:t>仁里屯村东南</w:t>
            </w:r>
          </w:p>
        </w:tc>
        <w:tc>
          <w:tcPr>
            <w:tcW w:w="766" w:type="pct"/>
            <w:vAlign w:val="center"/>
          </w:tcPr>
          <w:p w14:paraId="1D2C97AC">
            <w:pPr>
              <w:pStyle w:val="62"/>
              <w:rPr>
                <w:highlight w:val="yellow"/>
              </w:rPr>
            </w:pPr>
            <w:r>
              <w:rPr>
                <w:rFonts w:hint="eastAsia"/>
              </w:rPr>
              <w:t>西南</w:t>
            </w:r>
          </w:p>
        </w:tc>
        <w:tc>
          <w:tcPr>
            <w:tcW w:w="766" w:type="pct"/>
            <w:vAlign w:val="center"/>
          </w:tcPr>
          <w:p w14:paraId="52C36991">
            <w:pPr>
              <w:pStyle w:val="62"/>
            </w:pPr>
            <w:r>
              <w:rPr>
                <w:rFonts w:hint="eastAsia"/>
              </w:rPr>
              <w:t>1580</w:t>
            </w:r>
          </w:p>
        </w:tc>
        <w:tc>
          <w:tcPr>
            <w:tcW w:w="683" w:type="pct"/>
            <w:vMerge w:val="continue"/>
            <w:vAlign w:val="center"/>
          </w:tcPr>
          <w:p w14:paraId="2DB5AF7A">
            <w:pPr>
              <w:pStyle w:val="62"/>
              <w:rPr>
                <w:highlight w:val="yellow"/>
              </w:rPr>
            </w:pPr>
          </w:p>
        </w:tc>
        <w:tc>
          <w:tcPr>
            <w:tcW w:w="1587" w:type="pct"/>
            <w:vMerge w:val="continue"/>
            <w:vAlign w:val="center"/>
          </w:tcPr>
          <w:p w14:paraId="2E199FF5">
            <w:pPr>
              <w:pStyle w:val="62"/>
              <w:rPr>
                <w:highlight w:val="yellow"/>
              </w:rPr>
            </w:pPr>
          </w:p>
        </w:tc>
      </w:tr>
      <w:tr w14:paraId="20A502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7" w:type="pct"/>
            <w:vAlign w:val="center"/>
          </w:tcPr>
          <w:p w14:paraId="11830003">
            <w:pPr>
              <w:pStyle w:val="62"/>
            </w:pPr>
            <w:r>
              <w:rPr>
                <w:szCs w:val="24"/>
              </w:rPr>
              <w:t>7</w:t>
            </w:r>
            <w:r>
              <w:rPr>
                <w:rFonts w:hint="eastAsia"/>
                <w:szCs w:val="24"/>
              </w:rPr>
              <w:t>#</w:t>
            </w:r>
          </w:p>
        </w:tc>
        <w:tc>
          <w:tcPr>
            <w:tcW w:w="851" w:type="pct"/>
            <w:vAlign w:val="center"/>
          </w:tcPr>
          <w:p w14:paraId="69A42404">
            <w:pPr>
              <w:pStyle w:val="62"/>
              <w:rPr>
                <w:highlight w:val="yellow"/>
              </w:rPr>
            </w:pPr>
            <w:r>
              <w:rPr>
                <w:rFonts w:hint="eastAsia"/>
              </w:rPr>
              <w:t>下园村东北</w:t>
            </w:r>
          </w:p>
        </w:tc>
        <w:tc>
          <w:tcPr>
            <w:tcW w:w="766" w:type="pct"/>
            <w:vAlign w:val="center"/>
          </w:tcPr>
          <w:p w14:paraId="59069EBE">
            <w:pPr>
              <w:pStyle w:val="62"/>
              <w:rPr>
                <w:highlight w:val="yellow"/>
              </w:rPr>
            </w:pPr>
            <w:r>
              <w:rPr>
                <w:rFonts w:hint="eastAsia"/>
              </w:rPr>
              <w:t>东南</w:t>
            </w:r>
          </w:p>
        </w:tc>
        <w:tc>
          <w:tcPr>
            <w:tcW w:w="766" w:type="pct"/>
            <w:vAlign w:val="center"/>
          </w:tcPr>
          <w:p w14:paraId="6E04D170">
            <w:pPr>
              <w:pStyle w:val="62"/>
            </w:pPr>
            <w:r>
              <w:rPr>
                <w:rFonts w:hint="eastAsia"/>
              </w:rPr>
              <w:t>990</w:t>
            </w:r>
          </w:p>
        </w:tc>
        <w:tc>
          <w:tcPr>
            <w:tcW w:w="683" w:type="pct"/>
            <w:vMerge w:val="continue"/>
            <w:vAlign w:val="center"/>
          </w:tcPr>
          <w:p w14:paraId="49E39D8A">
            <w:pPr>
              <w:pStyle w:val="62"/>
              <w:rPr>
                <w:highlight w:val="yellow"/>
              </w:rPr>
            </w:pPr>
          </w:p>
        </w:tc>
        <w:tc>
          <w:tcPr>
            <w:tcW w:w="1587" w:type="pct"/>
            <w:vMerge w:val="continue"/>
            <w:vAlign w:val="center"/>
          </w:tcPr>
          <w:p w14:paraId="3C1F87AE">
            <w:pPr>
              <w:pStyle w:val="62"/>
              <w:rPr>
                <w:highlight w:val="yellow"/>
              </w:rPr>
            </w:pPr>
          </w:p>
        </w:tc>
      </w:tr>
    </w:tbl>
    <w:p w14:paraId="1D3EC186">
      <w:pPr>
        <w:numPr>
          <w:ilvl w:val="0"/>
          <w:numId w:val="23"/>
        </w:numPr>
        <w:adjustRightInd/>
        <w:snapToGrid/>
        <w:ind w:firstLineChars="0"/>
        <w:textAlignment w:val="auto"/>
        <w:rPr>
          <w:rFonts w:eastAsia="黑体"/>
        </w:rPr>
      </w:pPr>
      <w:r>
        <w:rPr>
          <w:rFonts w:eastAsia="黑体"/>
        </w:rPr>
        <w:t xml:space="preserve">      地下水环境现状水位监测点位一览表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191"/>
        <w:gridCol w:w="1694"/>
        <w:gridCol w:w="2401"/>
      </w:tblGrid>
      <w:tr w14:paraId="1D3EC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28" w:type="pct"/>
            <w:vAlign w:val="center"/>
          </w:tcPr>
          <w:p w14:paraId="1D3EC187">
            <w:pPr>
              <w:adjustRightInd/>
              <w:snapToGrid/>
              <w:spacing w:line="240" w:lineRule="auto"/>
              <w:ind w:firstLine="0" w:firstLineChars="0"/>
              <w:jc w:val="center"/>
              <w:textAlignment w:val="auto"/>
              <w:rPr>
                <w:b/>
                <w:kern w:val="2"/>
                <w:sz w:val="21"/>
                <w:szCs w:val="21"/>
              </w:rPr>
            </w:pPr>
            <w:r>
              <w:rPr>
                <w:b/>
                <w:kern w:val="2"/>
                <w:sz w:val="21"/>
                <w:szCs w:val="21"/>
              </w:rPr>
              <w:t>监测点</w:t>
            </w:r>
          </w:p>
        </w:tc>
        <w:tc>
          <w:tcPr>
            <w:tcW w:w="1871" w:type="pct"/>
            <w:vAlign w:val="center"/>
          </w:tcPr>
          <w:p w14:paraId="1D3EC188">
            <w:pPr>
              <w:adjustRightInd/>
              <w:snapToGrid/>
              <w:spacing w:line="240" w:lineRule="auto"/>
              <w:ind w:firstLine="0" w:firstLineChars="0"/>
              <w:jc w:val="center"/>
              <w:textAlignment w:val="auto"/>
              <w:rPr>
                <w:b/>
                <w:kern w:val="2"/>
                <w:sz w:val="21"/>
                <w:szCs w:val="21"/>
              </w:rPr>
            </w:pPr>
            <w:r>
              <w:rPr>
                <w:b/>
                <w:kern w:val="2"/>
                <w:sz w:val="21"/>
                <w:szCs w:val="21"/>
              </w:rPr>
              <w:t>监测井位</w:t>
            </w:r>
          </w:p>
        </w:tc>
        <w:tc>
          <w:tcPr>
            <w:tcW w:w="993" w:type="pct"/>
            <w:vAlign w:val="center"/>
          </w:tcPr>
          <w:p w14:paraId="1D3EC189">
            <w:pPr>
              <w:adjustRightInd/>
              <w:snapToGrid/>
              <w:spacing w:line="240" w:lineRule="auto"/>
              <w:ind w:firstLine="0" w:firstLineChars="0"/>
              <w:jc w:val="center"/>
              <w:textAlignment w:val="auto"/>
              <w:rPr>
                <w:b/>
                <w:kern w:val="2"/>
                <w:sz w:val="21"/>
                <w:szCs w:val="21"/>
              </w:rPr>
            </w:pPr>
            <w:r>
              <w:rPr>
                <w:b/>
                <w:kern w:val="2"/>
                <w:sz w:val="21"/>
                <w:szCs w:val="21"/>
              </w:rPr>
              <w:t>方位</w:t>
            </w:r>
          </w:p>
        </w:tc>
        <w:tc>
          <w:tcPr>
            <w:tcW w:w="1408" w:type="pct"/>
            <w:vAlign w:val="center"/>
          </w:tcPr>
          <w:p w14:paraId="1D3EC18A">
            <w:pPr>
              <w:adjustRightInd/>
              <w:snapToGrid/>
              <w:spacing w:line="240" w:lineRule="auto"/>
              <w:ind w:firstLine="0" w:firstLineChars="0"/>
              <w:jc w:val="center"/>
              <w:textAlignment w:val="auto"/>
              <w:rPr>
                <w:b/>
                <w:kern w:val="2"/>
                <w:sz w:val="21"/>
                <w:szCs w:val="21"/>
              </w:rPr>
            </w:pPr>
            <w:r>
              <w:rPr>
                <w:rFonts w:hint="eastAsia"/>
                <w:b/>
                <w:kern w:val="2"/>
                <w:sz w:val="21"/>
                <w:szCs w:val="21"/>
              </w:rPr>
              <w:t>备注</w:t>
            </w:r>
          </w:p>
        </w:tc>
      </w:tr>
      <w:tr w14:paraId="1D3EC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8C">
            <w:pPr>
              <w:autoSpaceDE w:val="0"/>
              <w:autoSpaceDN w:val="0"/>
              <w:snapToGrid/>
              <w:spacing w:line="240" w:lineRule="auto"/>
              <w:ind w:firstLine="0" w:firstLineChars="0"/>
              <w:jc w:val="center"/>
              <w:textAlignment w:val="auto"/>
              <w:rPr>
                <w:sz w:val="21"/>
                <w:szCs w:val="21"/>
                <w:lang w:val="zh-CN"/>
              </w:rPr>
            </w:pPr>
            <w:r>
              <w:rPr>
                <w:sz w:val="21"/>
                <w:szCs w:val="21"/>
              </w:rPr>
              <w:t>1#</w:t>
            </w:r>
          </w:p>
        </w:tc>
        <w:tc>
          <w:tcPr>
            <w:tcW w:w="1871" w:type="pct"/>
            <w:vAlign w:val="center"/>
          </w:tcPr>
          <w:p w14:paraId="1D3EC18D">
            <w:pPr>
              <w:adjustRightInd/>
              <w:snapToGrid/>
              <w:spacing w:line="240" w:lineRule="auto"/>
              <w:ind w:firstLine="0" w:firstLineChars="0"/>
              <w:contextualSpacing/>
              <w:jc w:val="center"/>
              <w:rPr>
                <w:sz w:val="21"/>
                <w:szCs w:val="21"/>
                <w:lang w:val="zh-CN"/>
              </w:rPr>
            </w:pPr>
            <w:r>
              <w:rPr>
                <w:rFonts w:hint="eastAsia"/>
                <w:sz w:val="21"/>
                <w:szCs w:val="21"/>
              </w:rPr>
              <w:t>厂区</w:t>
            </w:r>
          </w:p>
        </w:tc>
        <w:tc>
          <w:tcPr>
            <w:tcW w:w="993" w:type="pct"/>
            <w:vAlign w:val="center"/>
          </w:tcPr>
          <w:p w14:paraId="1D3EC18E">
            <w:pPr>
              <w:adjustRightInd/>
              <w:snapToGrid/>
              <w:spacing w:line="240" w:lineRule="auto"/>
              <w:ind w:firstLine="0" w:firstLineChars="0"/>
              <w:contextualSpacing/>
              <w:jc w:val="center"/>
              <w:rPr>
                <w:sz w:val="21"/>
                <w:szCs w:val="21"/>
                <w:lang w:val="zh-CN"/>
              </w:rPr>
            </w:pPr>
            <w:r>
              <w:rPr>
                <w:rFonts w:hint="eastAsia"/>
                <w:sz w:val="21"/>
                <w:szCs w:val="21"/>
              </w:rPr>
              <w:t>/</w:t>
            </w:r>
          </w:p>
        </w:tc>
        <w:tc>
          <w:tcPr>
            <w:tcW w:w="1408" w:type="pct"/>
            <w:vAlign w:val="center"/>
          </w:tcPr>
          <w:p w14:paraId="1D3EC18F">
            <w:pPr>
              <w:adjustRightInd/>
              <w:snapToGrid/>
              <w:spacing w:line="240" w:lineRule="auto"/>
              <w:ind w:firstLine="0" w:firstLineChars="0"/>
              <w:contextualSpacing/>
              <w:jc w:val="center"/>
              <w:rPr>
                <w:sz w:val="21"/>
                <w:szCs w:val="21"/>
                <w:lang w:val="zh-CN"/>
              </w:rPr>
            </w:pPr>
            <w:r>
              <w:rPr>
                <w:rFonts w:hint="eastAsia"/>
                <w:sz w:val="21"/>
                <w:szCs w:val="21"/>
              </w:rPr>
              <w:t>/</w:t>
            </w:r>
          </w:p>
        </w:tc>
      </w:tr>
      <w:tr w14:paraId="1D3EC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91">
            <w:pPr>
              <w:autoSpaceDE w:val="0"/>
              <w:autoSpaceDN w:val="0"/>
              <w:snapToGrid/>
              <w:spacing w:line="240" w:lineRule="auto"/>
              <w:ind w:firstLine="0" w:firstLineChars="0"/>
              <w:jc w:val="center"/>
              <w:textAlignment w:val="auto"/>
              <w:rPr>
                <w:sz w:val="21"/>
                <w:szCs w:val="21"/>
                <w:lang w:val="zh-CN"/>
              </w:rPr>
            </w:pPr>
            <w:r>
              <w:rPr>
                <w:sz w:val="21"/>
                <w:szCs w:val="21"/>
              </w:rPr>
              <w:t>2#</w:t>
            </w:r>
          </w:p>
        </w:tc>
        <w:tc>
          <w:tcPr>
            <w:tcW w:w="1871" w:type="pct"/>
            <w:vAlign w:val="center"/>
          </w:tcPr>
          <w:p w14:paraId="1D3EC192">
            <w:pPr>
              <w:adjustRightInd/>
              <w:snapToGrid/>
              <w:spacing w:line="240" w:lineRule="auto"/>
              <w:ind w:firstLine="0" w:firstLineChars="0"/>
              <w:contextualSpacing/>
              <w:jc w:val="center"/>
              <w:rPr>
                <w:sz w:val="21"/>
                <w:szCs w:val="21"/>
                <w:lang w:val="zh-CN"/>
              </w:rPr>
            </w:pPr>
            <w:r>
              <w:rPr>
                <w:rFonts w:hint="eastAsia"/>
                <w:sz w:val="21"/>
                <w:szCs w:val="21"/>
              </w:rPr>
              <w:t>郭全屯村</w:t>
            </w:r>
          </w:p>
        </w:tc>
        <w:tc>
          <w:tcPr>
            <w:tcW w:w="993" w:type="pct"/>
            <w:vAlign w:val="center"/>
          </w:tcPr>
          <w:p w14:paraId="1D3EC193">
            <w:pPr>
              <w:adjustRightInd/>
              <w:snapToGrid/>
              <w:spacing w:line="240" w:lineRule="auto"/>
              <w:ind w:firstLine="0" w:firstLineChars="0"/>
              <w:contextualSpacing/>
              <w:jc w:val="center"/>
              <w:rPr>
                <w:sz w:val="21"/>
                <w:szCs w:val="21"/>
                <w:lang w:val="zh-CN"/>
              </w:rPr>
            </w:pPr>
            <w:r>
              <w:rPr>
                <w:rFonts w:hint="eastAsia"/>
                <w:sz w:val="21"/>
                <w:szCs w:val="21"/>
              </w:rPr>
              <w:t>西北</w:t>
            </w:r>
          </w:p>
        </w:tc>
        <w:tc>
          <w:tcPr>
            <w:tcW w:w="1408" w:type="pct"/>
            <w:vAlign w:val="center"/>
          </w:tcPr>
          <w:p w14:paraId="1D3EC194">
            <w:pPr>
              <w:adjustRightInd/>
              <w:snapToGrid/>
              <w:spacing w:line="240" w:lineRule="auto"/>
              <w:ind w:firstLine="0" w:firstLineChars="0"/>
              <w:contextualSpacing/>
              <w:jc w:val="center"/>
              <w:rPr>
                <w:sz w:val="21"/>
                <w:szCs w:val="21"/>
                <w:lang w:val="zh-CN"/>
              </w:rPr>
            </w:pPr>
            <w:r>
              <w:rPr>
                <w:rFonts w:hint="eastAsia"/>
                <w:sz w:val="21"/>
                <w:szCs w:val="21"/>
              </w:rPr>
              <w:t>上游</w:t>
            </w:r>
          </w:p>
        </w:tc>
      </w:tr>
      <w:tr w14:paraId="1D3EC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96">
            <w:pPr>
              <w:autoSpaceDE w:val="0"/>
              <w:autoSpaceDN w:val="0"/>
              <w:snapToGrid/>
              <w:spacing w:line="240" w:lineRule="auto"/>
              <w:ind w:firstLine="0" w:firstLineChars="0"/>
              <w:jc w:val="center"/>
              <w:textAlignment w:val="auto"/>
              <w:rPr>
                <w:sz w:val="21"/>
                <w:szCs w:val="21"/>
                <w:lang w:val="zh-CN"/>
              </w:rPr>
            </w:pPr>
            <w:r>
              <w:rPr>
                <w:sz w:val="21"/>
                <w:szCs w:val="21"/>
              </w:rPr>
              <w:t>3#</w:t>
            </w:r>
          </w:p>
        </w:tc>
        <w:tc>
          <w:tcPr>
            <w:tcW w:w="1871" w:type="pct"/>
            <w:vAlign w:val="center"/>
          </w:tcPr>
          <w:p w14:paraId="1D3EC197">
            <w:pPr>
              <w:adjustRightInd/>
              <w:snapToGrid/>
              <w:spacing w:line="240" w:lineRule="auto"/>
              <w:ind w:firstLine="0" w:firstLineChars="0"/>
              <w:contextualSpacing/>
              <w:jc w:val="center"/>
              <w:rPr>
                <w:sz w:val="21"/>
                <w:szCs w:val="21"/>
                <w:lang w:val="zh-CN"/>
              </w:rPr>
            </w:pPr>
            <w:r>
              <w:rPr>
                <w:rFonts w:hint="eastAsia"/>
                <w:sz w:val="21"/>
                <w:szCs w:val="21"/>
              </w:rPr>
              <w:t>仁里屯村</w:t>
            </w:r>
          </w:p>
        </w:tc>
        <w:tc>
          <w:tcPr>
            <w:tcW w:w="993" w:type="pct"/>
            <w:vAlign w:val="center"/>
          </w:tcPr>
          <w:p w14:paraId="1D3EC198">
            <w:pPr>
              <w:adjustRightInd/>
              <w:snapToGrid/>
              <w:spacing w:line="240" w:lineRule="auto"/>
              <w:ind w:firstLine="0" w:firstLineChars="0"/>
              <w:contextualSpacing/>
              <w:jc w:val="center"/>
              <w:rPr>
                <w:sz w:val="21"/>
                <w:szCs w:val="21"/>
                <w:lang w:val="zh-CN"/>
              </w:rPr>
            </w:pPr>
            <w:r>
              <w:rPr>
                <w:rFonts w:hint="eastAsia"/>
                <w:sz w:val="21"/>
                <w:szCs w:val="21"/>
              </w:rPr>
              <w:t>西南</w:t>
            </w:r>
          </w:p>
        </w:tc>
        <w:tc>
          <w:tcPr>
            <w:tcW w:w="1408" w:type="pct"/>
            <w:vAlign w:val="center"/>
          </w:tcPr>
          <w:p w14:paraId="1D3EC199">
            <w:pPr>
              <w:adjustRightInd/>
              <w:snapToGrid/>
              <w:spacing w:line="240" w:lineRule="auto"/>
              <w:ind w:firstLine="0" w:firstLineChars="0"/>
              <w:contextualSpacing/>
              <w:jc w:val="center"/>
              <w:rPr>
                <w:sz w:val="21"/>
                <w:szCs w:val="21"/>
                <w:lang w:val="zh-CN"/>
              </w:rPr>
            </w:pPr>
            <w:r>
              <w:rPr>
                <w:rFonts w:hint="eastAsia"/>
                <w:sz w:val="21"/>
                <w:szCs w:val="21"/>
              </w:rPr>
              <w:t>侧向</w:t>
            </w:r>
          </w:p>
        </w:tc>
      </w:tr>
      <w:tr w14:paraId="1D3EC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9B">
            <w:pPr>
              <w:autoSpaceDE w:val="0"/>
              <w:autoSpaceDN w:val="0"/>
              <w:snapToGrid/>
              <w:spacing w:line="240" w:lineRule="auto"/>
              <w:ind w:firstLine="0" w:firstLineChars="0"/>
              <w:jc w:val="center"/>
              <w:textAlignment w:val="auto"/>
              <w:rPr>
                <w:sz w:val="21"/>
                <w:szCs w:val="21"/>
                <w:lang w:val="zh-CN"/>
              </w:rPr>
            </w:pPr>
            <w:r>
              <w:rPr>
                <w:sz w:val="21"/>
                <w:szCs w:val="21"/>
              </w:rPr>
              <w:t>4#</w:t>
            </w:r>
          </w:p>
        </w:tc>
        <w:tc>
          <w:tcPr>
            <w:tcW w:w="1871" w:type="pct"/>
            <w:vAlign w:val="center"/>
          </w:tcPr>
          <w:p w14:paraId="1D3EC19C">
            <w:pPr>
              <w:adjustRightInd/>
              <w:snapToGrid/>
              <w:spacing w:line="240" w:lineRule="auto"/>
              <w:ind w:firstLine="0" w:firstLineChars="0"/>
              <w:contextualSpacing/>
              <w:jc w:val="center"/>
              <w:rPr>
                <w:sz w:val="21"/>
                <w:szCs w:val="21"/>
                <w:lang w:val="zh-CN"/>
              </w:rPr>
            </w:pPr>
            <w:r>
              <w:rPr>
                <w:rFonts w:hint="eastAsia"/>
                <w:sz w:val="21"/>
                <w:szCs w:val="21"/>
              </w:rPr>
              <w:t>八里屯村</w:t>
            </w:r>
          </w:p>
        </w:tc>
        <w:tc>
          <w:tcPr>
            <w:tcW w:w="993" w:type="pct"/>
            <w:vAlign w:val="center"/>
          </w:tcPr>
          <w:p w14:paraId="1D3EC19D">
            <w:pPr>
              <w:adjustRightInd/>
              <w:snapToGrid/>
              <w:spacing w:line="240" w:lineRule="auto"/>
              <w:ind w:firstLine="0" w:firstLineChars="0"/>
              <w:contextualSpacing/>
              <w:jc w:val="center"/>
              <w:rPr>
                <w:sz w:val="21"/>
                <w:szCs w:val="21"/>
                <w:lang w:val="zh-CN"/>
              </w:rPr>
            </w:pPr>
            <w:r>
              <w:rPr>
                <w:rFonts w:hint="eastAsia"/>
                <w:sz w:val="21"/>
                <w:szCs w:val="21"/>
              </w:rPr>
              <w:t>东北</w:t>
            </w:r>
          </w:p>
        </w:tc>
        <w:tc>
          <w:tcPr>
            <w:tcW w:w="1408" w:type="pct"/>
            <w:vAlign w:val="center"/>
          </w:tcPr>
          <w:p w14:paraId="1D3EC19E">
            <w:pPr>
              <w:adjustRightInd/>
              <w:snapToGrid/>
              <w:spacing w:line="240" w:lineRule="auto"/>
              <w:ind w:firstLine="0" w:firstLineChars="0"/>
              <w:contextualSpacing/>
              <w:jc w:val="center"/>
              <w:rPr>
                <w:sz w:val="21"/>
                <w:szCs w:val="21"/>
                <w:lang w:val="zh-CN"/>
              </w:rPr>
            </w:pPr>
            <w:r>
              <w:rPr>
                <w:rFonts w:hint="eastAsia"/>
                <w:sz w:val="21"/>
                <w:szCs w:val="21"/>
              </w:rPr>
              <w:t>侧向</w:t>
            </w:r>
          </w:p>
        </w:tc>
      </w:tr>
      <w:tr w14:paraId="1D3EC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A0">
            <w:pPr>
              <w:autoSpaceDE w:val="0"/>
              <w:autoSpaceDN w:val="0"/>
              <w:snapToGrid/>
              <w:spacing w:line="240" w:lineRule="auto"/>
              <w:ind w:firstLine="0" w:firstLineChars="0"/>
              <w:jc w:val="center"/>
              <w:textAlignment w:val="auto"/>
              <w:rPr>
                <w:sz w:val="21"/>
                <w:szCs w:val="21"/>
                <w:lang w:val="zh-CN"/>
              </w:rPr>
            </w:pPr>
            <w:r>
              <w:rPr>
                <w:sz w:val="21"/>
                <w:szCs w:val="21"/>
              </w:rPr>
              <w:t>5#</w:t>
            </w:r>
          </w:p>
        </w:tc>
        <w:tc>
          <w:tcPr>
            <w:tcW w:w="1871" w:type="pct"/>
            <w:vAlign w:val="center"/>
          </w:tcPr>
          <w:p w14:paraId="1D3EC1A1">
            <w:pPr>
              <w:adjustRightInd/>
              <w:snapToGrid/>
              <w:spacing w:line="240" w:lineRule="auto"/>
              <w:ind w:firstLine="0" w:firstLineChars="0"/>
              <w:contextualSpacing/>
              <w:jc w:val="center"/>
              <w:rPr>
                <w:sz w:val="21"/>
                <w:szCs w:val="21"/>
                <w:lang w:val="zh-CN"/>
              </w:rPr>
            </w:pPr>
            <w:r>
              <w:rPr>
                <w:rFonts w:hint="eastAsia"/>
                <w:sz w:val="21"/>
                <w:szCs w:val="21"/>
              </w:rPr>
              <w:t>龙王庙</w:t>
            </w:r>
          </w:p>
        </w:tc>
        <w:tc>
          <w:tcPr>
            <w:tcW w:w="993" w:type="pct"/>
            <w:vAlign w:val="center"/>
          </w:tcPr>
          <w:p w14:paraId="1D3EC1A2">
            <w:pPr>
              <w:adjustRightInd/>
              <w:snapToGrid/>
              <w:spacing w:line="240" w:lineRule="auto"/>
              <w:ind w:firstLine="0" w:firstLineChars="0"/>
              <w:contextualSpacing/>
              <w:jc w:val="center"/>
              <w:rPr>
                <w:sz w:val="21"/>
                <w:szCs w:val="21"/>
                <w:lang w:val="zh-CN"/>
              </w:rPr>
            </w:pPr>
            <w:r>
              <w:rPr>
                <w:rFonts w:hint="eastAsia"/>
                <w:sz w:val="21"/>
                <w:szCs w:val="21"/>
              </w:rPr>
              <w:t>东南</w:t>
            </w:r>
          </w:p>
        </w:tc>
        <w:tc>
          <w:tcPr>
            <w:tcW w:w="1408" w:type="pct"/>
            <w:vAlign w:val="center"/>
          </w:tcPr>
          <w:p w14:paraId="1D3EC1A3">
            <w:pPr>
              <w:adjustRightInd/>
              <w:snapToGrid/>
              <w:spacing w:line="240" w:lineRule="auto"/>
              <w:ind w:firstLine="0" w:firstLineChars="0"/>
              <w:contextualSpacing/>
              <w:jc w:val="center"/>
              <w:rPr>
                <w:sz w:val="21"/>
                <w:szCs w:val="21"/>
                <w:lang w:val="zh-CN"/>
              </w:rPr>
            </w:pPr>
            <w:r>
              <w:rPr>
                <w:rFonts w:hint="eastAsia"/>
                <w:sz w:val="21"/>
                <w:szCs w:val="21"/>
              </w:rPr>
              <w:t>下游</w:t>
            </w:r>
          </w:p>
        </w:tc>
      </w:tr>
      <w:tr w14:paraId="1D3EC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A5">
            <w:pPr>
              <w:autoSpaceDE w:val="0"/>
              <w:autoSpaceDN w:val="0"/>
              <w:snapToGrid/>
              <w:spacing w:line="240" w:lineRule="auto"/>
              <w:ind w:firstLine="0" w:firstLineChars="0"/>
              <w:jc w:val="center"/>
              <w:textAlignment w:val="auto"/>
              <w:rPr>
                <w:sz w:val="21"/>
                <w:szCs w:val="21"/>
                <w:lang w:val="zh-CN"/>
              </w:rPr>
            </w:pPr>
            <w:r>
              <w:rPr>
                <w:sz w:val="21"/>
                <w:szCs w:val="21"/>
              </w:rPr>
              <w:t>6#</w:t>
            </w:r>
          </w:p>
        </w:tc>
        <w:tc>
          <w:tcPr>
            <w:tcW w:w="1871" w:type="pct"/>
            <w:vAlign w:val="center"/>
          </w:tcPr>
          <w:p w14:paraId="1D3EC1A6">
            <w:pPr>
              <w:adjustRightInd/>
              <w:snapToGrid/>
              <w:spacing w:line="240" w:lineRule="auto"/>
              <w:ind w:firstLine="0" w:firstLineChars="0"/>
              <w:contextualSpacing/>
              <w:jc w:val="center"/>
              <w:rPr>
                <w:sz w:val="21"/>
                <w:szCs w:val="21"/>
                <w:lang w:val="zh-CN"/>
              </w:rPr>
            </w:pPr>
            <w:r>
              <w:rPr>
                <w:rFonts w:hint="eastAsia"/>
                <w:sz w:val="21"/>
                <w:szCs w:val="21"/>
              </w:rPr>
              <w:t>仁里屯村东南</w:t>
            </w:r>
          </w:p>
        </w:tc>
        <w:tc>
          <w:tcPr>
            <w:tcW w:w="993" w:type="pct"/>
            <w:vAlign w:val="center"/>
          </w:tcPr>
          <w:p w14:paraId="1D3EC1A7">
            <w:pPr>
              <w:adjustRightInd/>
              <w:snapToGrid/>
              <w:spacing w:line="240" w:lineRule="auto"/>
              <w:ind w:firstLine="0" w:firstLineChars="0"/>
              <w:contextualSpacing/>
              <w:jc w:val="center"/>
              <w:rPr>
                <w:sz w:val="21"/>
                <w:szCs w:val="21"/>
                <w:lang w:val="zh-CN"/>
              </w:rPr>
            </w:pPr>
            <w:r>
              <w:rPr>
                <w:rFonts w:hint="eastAsia"/>
                <w:sz w:val="21"/>
                <w:szCs w:val="21"/>
              </w:rPr>
              <w:t>西南</w:t>
            </w:r>
          </w:p>
        </w:tc>
        <w:tc>
          <w:tcPr>
            <w:tcW w:w="1408" w:type="pct"/>
            <w:vAlign w:val="center"/>
          </w:tcPr>
          <w:p w14:paraId="1D3EC1A8">
            <w:pPr>
              <w:adjustRightInd/>
              <w:snapToGrid/>
              <w:spacing w:line="240" w:lineRule="auto"/>
              <w:ind w:firstLine="0" w:firstLineChars="0"/>
              <w:contextualSpacing/>
              <w:jc w:val="center"/>
              <w:rPr>
                <w:sz w:val="21"/>
                <w:szCs w:val="21"/>
                <w:lang w:val="zh-CN"/>
              </w:rPr>
            </w:pPr>
            <w:r>
              <w:rPr>
                <w:rFonts w:hint="eastAsia"/>
                <w:sz w:val="21"/>
                <w:szCs w:val="21"/>
              </w:rPr>
              <w:t>下游偏侧向</w:t>
            </w:r>
          </w:p>
        </w:tc>
      </w:tr>
      <w:tr w14:paraId="1D3EC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AA">
            <w:pPr>
              <w:autoSpaceDE w:val="0"/>
              <w:autoSpaceDN w:val="0"/>
              <w:snapToGrid/>
              <w:spacing w:line="240" w:lineRule="auto"/>
              <w:ind w:firstLine="0" w:firstLineChars="0"/>
              <w:jc w:val="center"/>
              <w:textAlignment w:val="auto"/>
              <w:rPr>
                <w:sz w:val="21"/>
                <w:szCs w:val="21"/>
                <w:lang w:val="zh-CN"/>
              </w:rPr>
            </w:pPr>
            <w:r>
              <w:rPr>
                <w:sz w:val="21"/>
                <w:szCs w:val="21"/>
              </w:rPr>
              <w:t>7#</w:t>
            </w:r>
          </w:p>
        </w:tc>
        <w:tc>
          <w:tcPr>
            <w:tcW w:w="1871" w:type="pct"/>
            <w:vAlign w:val="center"/>
          </w:tcPr>
          <w:p w14:paraId="1D3EC1AB">
            <w:pPr>
              <w:adjustRightInd/>
              <w:snapToGrid/>
              <w:spacing w:line="240" w:lineRule="auto"/>
              <w:ind w:firstLine="0" w:firstLineChars="0"/>
              <w:contextualSpacing/>
              <w:jc w:val="center"/>
              <w:rPr>
                <w:sz w:val="21"/>
                <w:szCs w:val="21"/>
                <w:lang w:val="zh-CN"/>
              </w:rPr>
            </w:pPr>
            <w:r>
              <w:rPr>
                <w:rFonts w:hint="eastAsia"/>
                <w:sz w:val="21"/>
                <w:szCs w:val="21"/>
              </w:rPr>
              <w:t>下园村东北</w:t>
            </w:r>
          </w:p>
        </w:tc>
        <w:tc>
          <w:tcPr>
            <w:tcW w:w="993" w:type="pct"/>
            <w:vAlign w:val="center"/>
          </w:tcPr>
          <w:p w14:paraId="1D3EC1AC">
            <w:pPr>
              <w:adjustRightInd/>
              <w:snapToGrid/>
              <w:spacing w:line="240" w:lineRule="auto"/>
              <w:ind w:firstLine="0" w:firstLineChars="0"/>
              <w:contextualSpacing/>
              <w:jc w:val="center"/>
              <w:rPr>
                <w:sz w:val="21"/>
                <w:szCs w:val="21"/>
                <w:lang w:val="zh-CN"/>
              </w:rPr>
            </w:pPr>
            <w:r>
              <w:rPr>
                <w:rFonts w:hint="eastAsia"/>
                <w:sz w:val="21"/>
                <w:szCs w:val="21"/>
              </w:rPr>
              <w:t>东南</w:t>
            </w:r>
          </w:p>
        </w:tc>
        <w:tc>
          <w:tcPr>
            <w:tcW w:w="1408" w:type="pct"/>
            <w:vAlign w:val="center"/>
          </w:tcPr>
          <w:p w14:paraId="1D3EC1AD">
            <w:pPr>
              <w:adjustRightInd/>
              <w:snapToGrid/>
              <w:spacing w:line="240" w:lineRule="auto"/>
              <w:ind w:firstLine="0" w:firstLineChars="0"/>
              <w:contextualSpacing/>
              <w:jc w:val="center"/>
              <w:rPr>
                <w:sz w:val="21"/>
                <w:szCs w:val="21"/>
                <w:lang w:val="zh-CN"/>
              </w:rPr>
            </w:pPr>
            <w:r>
              <w:rPr>
                <w:rFonts w:hint="eastAsia"/>
                <w:sz w:val="21"/>
                <w:szCs w:val="21"/>
              </w:rPr>
              <w:t>下游偏侧向</w:t>
            </w:r>
          </w:p>
        </w:tc>
      </w:tr>
      <w:tr w14:paraId="1D3EC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AF">
            <w:pPr>
              <w:autoSpaceDE w:val="0"/>
              <w:autoSpaceDN w:val="0"/>
              <w:snapToGrid/>
              <w:spacing w:line="240" w:lineRule="auto"/>
              <w:ind w:firstLine="0" w:firstLineChars="0"/>
              <w:jc w:val="center"/>
              <w:textAlignment w:val="auto"/>
              <w:rPr>
                <w:sz w:val="21"/>
                <w:szCs w:val="21"/>
                <w:lang w:val="zh-CN"/>
              </w:rPr>
            </w:pPr>
            <w:r>
              <w:rPr>
                <w:sz w:val="21"/>
                <w:szCs w:val="21"/>
              </w:rPr>
              <w:t>8#</w:t>
            </w:r>
          </w:p>
        </w:tc>
        <w:tc>
          <w:tcPr>
            <w:tcW w:w="1871" w:type="pct"/>
            <w:vAlign w:val="center"/>
          </w:tcPr>
          <w:p w14:paraId="1D3EC1B0">
            <w:pPr>
              <w:adjustRightInd/>
              <w:snapToGrid/>
              <w:spacing w:line="240" w:lineRule="auto"/>
              <w:ind w:firstLine="0" w:firstLineChars="0"/>
              <w:contextualSpacing/>
              <w:jc w:val="center"/>
              <w:rPr>
                <w:sz w:val="21"/>
                <w:szCs w:val="21"/>
                <w:lang w:val="zh-CN"/>
              </w:rPr>
            </w:pPr>
            <w:r>
              <w:rPr>
                <w:rFonts w:hint="eastAsia"/>
                <w:sz w:val="21"/>
                <w:szCs w:val="21"/>
              </w:rPr>
              <w:t>辛庄村</w:t>
            </w:r>
          </w:p>
        </w:tc>
        <w:tc>
          <w:tcPr>
            <w:tcW w:w="993" w:type="pct"/>
            <w:vAlign w:val="center"/>
          </w:tcPr>
          <w:p w14:paraId="1D3EC1B1">
            <w:pPr>
              <w:adjustRightInd/>
              <w:snapToGrid/>
              <w:spacing w:line="240" w:lineRule="auto"/>
              <w:ind w:firstLine="0" w:firstLineChars="0"/>
              <w:contextualSpacing/>
              <w:jc w:val="center"/>
              <w:rPr>
                <w:sz w:val="21"/>
                <w:szCs w:val="21"/>
                <w:lang w:val="zh-CN"/>
              </w:rPr>
            </w:pPr>
            <w:r>
              <w:rPr>
                <w:rFonts w:hint="eastAsia"/>
                <w:sz w:val="21"/>
                <w:szCs w:val="21"/>
              </w:rPr>
              <w:t>东南</w:t>
            </w:r>
          </w:p>
        </w:tc>
        <w:tc>
          <w:tcPr>
            <w:tcW w:w="1408" w:type="pct"/>
            <w:vAlign w:val="center"/>
          </w:tcPr>
          <w:p w14:paraId="1D3EC1B2">
            <w:pPr>
              <w:adjustRightInd/>
              <w:snapToGrid/>
              <w:spacing w:line="240" w:lineRule="auto"/>
              <w:ind w:firstLine="0" w:firstLineChars="0"/>
              <w:contextualSpacing/>
              <w:jc w:val="center"/>
              <w:rPr>
                <w:sz w:val="21"/>
                <w:szCs w:val="21"/>
                <w:lang w:val="zh-CN"/>
              </w:rPr>
            </w:pPr>
            <w:r>
              <w:rPr>
                <w:rFonts w:hint="eastAsia"/>
                <w:sz w:val="21"/>
                <w:szCs w:val="21"/>
              </w:rPr>
              <w:t>下游偏侧向</w:t>
            </w:r>
          </w:p>
        </w:tc>
      </w:tr>
      <w:tr w14:paraId="1D3EC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B4">
            <w:pPr>
              <w:autoSpaceDE w:val="0"/>
              <w:autoSpaceDN w:val="0"/>
              <w:snapToGrid/>
              <w:spacing w:line="240" w:lineRule="auto"/>
              <w:ind w:firstLine="0" w:firstLineChars="0"/>
              <w:jc w:val="center"/>
              <w:textAlignment w:val="auto"/>
              <w:rPr>
                <w:sz w:val="21"/>
                <w:szCs w:val="21"/>
                <w:lang w:val="zh-CN"/>
              </w:rPr>
            </w:pPr>
            <w:r>
              <w:rPr>
                <w:sz w:val="21"/>
                <w:szCs w:val="21"/>
              </w:rPr>
              <w:t>9#</w:t>
            </w:r>
          </w:p>
        </w:tc>
        <w:tc>
          <w:tcPr>
            <w:tcW w:w="1871" w:type="pct"/>
            <w:vAlign w:val="center"/>
          </w:tcPr>
          <w:p w14:paraId="1D3EC1B5">
            <w:pPr>
              <w:adjustRightInd/>
              <w:snapToGrid/>
              <w:spacing w:line="240" w:lineRule="auto"/>
              <w:ind w:firstLine="0" w:firstLineChars="0"/>
              <w:contextualSpacing/>
              <w:jc w:val="center"/>
              <w:rPr>
                <w:sz w:val="21"/>
                <w:szCs w:val="21"/>
                <w:lang w:val="zh-CN"/>
              </w:rPr>
            </w:pPr>
            <w:r>
              <w:rPr>
                <w:rFonts w:hint="eastAsia"/>
                <w:sz w:val="21"/>
                <w:szCs w:val="21"/>
              </w:rPr>
              <w:t>阮庄村西</w:t>
            </w:r>
          </w:p>
        </w:tc>
        <w:tc>
          <w:tcPr>
            <w:tcW w:w="993" w:type="pct"/>
            <w:vAlign w:val="center"/>
          </w:tcPr>
          <w:p w14:paraId="1D3EC1B6">
            <w:pPr>
              <w:adjustRightInd/>
              <w:snapToGrid/>
              <w:spacing w:line="240" w:lineRule="auto"/>
              <w:ind w:firstLine="0" w:firstLineChars="0"/>
              <w:contextualSpacing/>
              <w:jc w:val="center"/>
              <w:rPr>
                <w:sz w:val="21"/>
                <w:szCs w:val="21"/>
                <w:lang w:val="zh-CN"/>
              </w:rPr>
            </w:pPr>
            <w:r>
              <w:rPr>
                <w:rFonts w:hint="eastAsia"/>
                <w:sz w:val="21"/>
                <w:szCs w:val="21"/>
              </w:rPr>
              <w:t>东北</w:t>
            </w:r>
          </w:p>
        </w:tc>
        <w:tc>
          <w:tcPr>
            <w:tcW w:w="1408" w:type="pct"/>
            <w:vAlign w:val="center"/>
          </w:tcPr>
          <w:p w14:paraId="1D3EC1B7">
            <w:pPr>
              <w:adjustRightInd/>
              <w:snapToGrid/>
              <w:spacing w:line="240" w:lineRule="auto"/>
              <w:ind w:firstLine="0" w:firstLineChars="0"/>
              <w:contextualSpacing/>
              <w:jc w:val="center"/>
              <w:rPr>
                <w:sz w:val="21"/>
                <w:szCs w:val="21"/>
                <w:lang w:val="zh-CN"/>
              </w:rPr>
            </w:pPr>
            <w:r>
              <w:rPr>
                <w:rFonts w:hint="eastAsia"/>
                <w:sz w:val="21"/>
                <w:szCs w:val="21"/>
              </w:rPr>
              <w:t>上游偏侧向</w:t>
            </w:r>
          </w:p>
        </w:tc>
      </w:tr>
      <w:tr w14:paraId="1D3EC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B9">
            <w:pPr>
              <w:autoSpaceDE w:val="0"/>
              <w:autoSpaceDN w:val="0"/>
              <w:snapToGrid/>
              <w:spacing w:line="240" w:lineRule="auto"/>
              <w:ind w:firstLine="0" w:firstLineChars="0"/>
              <w:jc w:val="center"/>
              <w:textAlignment w:val="auto"/>
              <w:rPr>
                <w:sz w:val="21"/>
                <w:szCs w:val="21"/>
                <w:lang w:val="zh-CN"/>
              </w:rPr>
            </w:pPr>
            <w:r>
              <w:rPr>
                <w:sz w:val="21"/>
                <w:szCs w:val="21"/>
              </w:rPr>
              <w:t>10#</w:t>
            </w:r>
          </w:p>
        </w:tc>
        <w:tc>
          <w:tcPr>
            <w:tcW w:w="1871" w:type="pct"/>
            <w:vAlign w:val="center"/>
          </w:tcPr>
          <w:p w14:paraId="1D3EC1BA">
            <w:pPr>
              <w:adjustRightInd/>
              <w:snapToGrid/>
              <w:spacing w:line="240" w:lineRule="auto"/>
              <w:ind w:firstLine="0" w:firstLineChars="0"/>
              <w:contextualSpacing/>
              <w:jc w:val="center"/>
              <w:rPr>
                <w:sz w:val="21"/>
                <w:szCs w:val="21"/>
                <w:lang w:val="zh-CN"/>
              </w:rPr>
            </w:pPr>
            <w:r>
              <w:rPr>
                <w:rFonts w:hint="eastAsia"/>
                <w:sz w:val="21"/>
                <w:szCs w:val="21"/>
              </w:rPr>
              <w:t>薛庄村</w:t>
            </w:r>
          </w:p>
        </w:tc>
        <w:tc>
          <w:tcPr>
            <w:tcW w:w="993" w:type="pct"/>
            <w:vAlign w:val="center"/>
          </w:tcPr>
          <w:p w14:paraId="1D3EC1BB">
            <w:pPr>
              <w:adjustRightInd/>
              <w:snapToGrid/>
              <w:spacing w:line="240" w:lineRule="auto"/>
              <w:ind w:firstLine="0" w:firstLineChars="0"/>
              <w:contextualSpacing/>
              <w:jc w:val="center"/>
              <w:rPr>
                <w:sz w:val="21"/>
                <w:szCs w:val="21"/>
                <w:lang w:val="zh-CN"/>
              </w:rPr>
            </w:pPr>
            <w:r>
              <w:rPr>
                <w:rFonts w:hint="eastAsia"/>
                <w:sz w:val="21"/>
                <w:szCs w:val="21"/>
              </w:rPr>
              <w:t>东北</w:t>
            </w:r>
          </w:p>
        </w:tc>
        <w:tc>
          <w:tcPr>
            <w:tcW w:w="1408" w:type="pct"/>
            <w:vAlign w:val="center"/>
          </w:tcPr>
          <w:p w14:paraId="1D3EC1BC">
            <w:pPr>
              <w:adjustRightInd/>
              <w:snapToGrid/>
              <w:spacing w:line="240" w:lineRule="auto"/>
              <w:ind w:firstLine="0" w:firstLineChars="0"/>
              <w:contextualSpacing/>
              <w:jc w:val="center"/>
              <w:rPr>
                <w:sz w:val="21"/>
                <w:szCs w:val="21"/>
                <w:lang w:val="zh-CN"/>
              </w:rPr>
            </w:pPr>
            <w:r>
              <w:rPr>
                <w:rFonts w:hint="eastAsia"/>
                <w:sz w:val="21"/>
                <w:szCs w:val="21"/>
              </w:rPr>
              <w:t>侧向</w:t>
            </w:r>
          </w:p>
        </w:tc>
      </w:tr>
      <w:tr w14:paraId="1D3EC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BE">
            <w:pPr>
              <w:autoSpaceDE w:val="0"/>
              <w:autoSpaceDN w:val="0"/>
              <w:snapToGrid/>
              <w:spacing w:line="240" w:lineRule="auto"/>
              <w:ind w:firstLine="0" w:firstLineChars="0"/>
              <w:jc w:val="center"/>
              <w:textAlignment w:val="auto"/>
              <w:rPr>
                <w:sz w:val="21"/>
                <w:szCs w:val="21"/>
              </w:rPr>
            </w:pPr>
            <w:r>
              <w:rPr>
                <w:sz w:val="21"/>
                <w:szCs w:val="21"/>
              </w:rPr>
              <w:t>11#</w:t>
            </w:r>
          </w:p>
        </w:tc>
        <w:tc>
          <w:tcPr>
            <w:tcW w:w="1871" w:type="pct"/>
            <w:vAlign w:val="center"/>
          </w:tcPr>
          <w:p w14:paraId="1D3EC1BF">
            <w:pPr>
              <w:adjustRightInd/>
              <w:snapToGrid/>
              <w:spacing w:line="240" w:lineRule="auto"/>
              <w:ind w:firstLine="0" w:firstLineChars="0"/>
              <w:contextualSpacing/>
              <w:jc w:val="center"/>
              <w:rPr>
                <w:sz w:val="21"/>
                <w:szCs w:val="21"/>
              </w:rPr>
            </w:pPr>
            <w:r>
              <w:rPr>
                <w:rFonts w:hint="eastAsia"/>
                <w:sz w:val="21"/>
                <w:szCs w:val="21"/>
              </w:rPr>
              <w:t>东寺门村</w:t>
            </w:r>
          </w:p>
        </w:tc>
        <w:tc>
          <w:tcPr>
            <w:tcW w:w="993" w:type="pct"/>
            <w:vAlign w:val="center"/>
          </w:tcPr>
          <w:p w14:paraId="1D3EC1C0">
            <w:pPr>
              <w:adjustRightInd/>
              <w:snapToGrid/>
              <w:spacing w:line="240" w:lineRule="auto"/>
              <w:ind w:firstLine="0" w:firstLineChars="0"/>
              <w:contextualSpacing/>
              <w:jc w:val="center"/>
              <w:rPr>
                <w:sz w:val="21"/>
                <w:szCs w:val="21"/>
              </w:rPr>
            </w:pPr>
            <w:r>
              <w:rPr>
                <w:rFonts w:hint="eastAsia"/>
                <w:sz w:val="21"/>
                <w:szCs w:val="21"/>
              </w:rPr>
              <w:t>东北</w:t>
            </w:r>
          </w:p>
        </w:tc>
        <w:tc>
          <w:tcPr>
            <w:tcW w:w="1408" w:type="pct"/>
            <w:vAlign w:val="center"/>
          </w:tcPr>
          <w:p w14:paraId="1D3EC1C1">
            <w:pPr>
              <w:adjustRightInd/>
              <w:snapToGrid/>
              <w:spacing w:line="240" w:lineRule="auto"/>
              <w:ind w:firstLine="0" w:firstLineChars="0"/>
              <w:contextualSpacing/>
              <w:jc w:val="center"/>
              <w:rPr>
                <w:kern w:val="2"/>
                <w:sz w:val="21"/>
                <w:szCs w:val="21"/>
              </w:rPr>
            </w:pPr>
            <w:r>
              <w:rPr>
                <w:rFonts w:hint="eastAsia"/>
                <w:sz w:val="21"/>
                <w:szCs w:val="21"/>
              </w:rPr>
              <w:t>上游偏侧向</w:t>
            </w:r>
          </w:p>
        </w:tc>
      </w:tr>
      <w:tr w14:paraId="1D3EC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C3">
            <w:pPr>
              <w:autoSpaceDE w:val="0"/>
              <w:autoSpaceDN w:val="0"/>
              <w:snapToGrid/>
              <w:spacing w:line="240" w:lineRule="auto"/>
              <w:ind w:firstLine="0" w:firstLineChars="0"/>
              <w:jc w:val="center"/>
              <w:textAlignment w:val="auto"/>
              <w:rPr>
                <w:sz w:val="21"/>
                <w:szCs w:val="21"/>
              </w:rPr>
            </w:pPr>
            <w:r>
              <w:rPr>
                <w:sz w:val="21"/>
                <w:szCs w:val="21"/>
              </w:rPr>
              <w:t>12#</w:t>
            </w:r>
          </w:p>
        </w:tc>
        <w:tc>
          <w:tcPr>
            <w:tcW w:w="1871" w:type="pct"/>
            <w:vAlign w:val="center"/>
          </w:tcPr>
          <w:p w14:paraId="1D3EC1C4">
            <w:pPr>
              <w:adjustRightInd/>
              <w:snapToGrid/>
              <w:spacing w:line="240" w:lineRule="auto"/>
              <w:ind w:firstLine="0" w:firstLineChars="0"/>
              <w:contextualSpacing/>
              <w:jc w:val="center"/>
              <w:rPr>
                <w:sz w:val="21"/>
                <w:szCs w:val="21"/>
              </w:rPr>
            </w:pPr>
            <w:r>
              <w:rPr>
                <w:rFonts w:hint="eastAsia"/>
                <w:sz w:val="21"/>
                <w:szCs w:val="21"/>
              </w:rPr>
              <w:t>岗曹村</w:t>
            </w:r>
          </w:p>
        </w:tc>
        <w:tc>
          <w:tcPr>
            <w:tcW w:w="993" w:type="pct"/>
            <w:vAlign w:val="center"/>
          </w:tcPr>
          <w:p w14:paraId="1D3EC1C5">
            <w:pPr>
              <w:adjustRightInd/>
              <w:snapToGrid/>
              <w:spacing w:line="240" w:lineRule="auto"/>
              <w:ind w:firstLine="0" w:firstLineChars="0"/>
              <w:contextualSpacing/>
              <w:jc w:val="center"/>
              <w:rPr>
                <w:sz w:val="21"/>
                <w:szCs w:val="21"/>
              </w:rPr>
            </w:pPr>
            <w:r>
              <w:rPr>
                <w:rFonts w:hint="eastAsia"/>
                <w:sz w:val="21"/>
                <w:szCs w:val="21"/>
              </w:rPr>
              <w:t>东北</w:t>
            </w:r>
          </w:p>
        </w:tc>
        <w:tc>
          <w:tcPr>
            <w:tcW w:w="1408" w:type="pct"/>
            <w:vAlign w:val="center"/>
          </w:tcPr>
          <w:p w14:paraId="1D3EC1C6">
            <w:pPr>
              <w:adjustRightInd/>
              <w:snapToGrid/>
              <w:spacing w:line="240" w:lineRule="auto"/>
              <w:ind w:firstLine="0" w:firstLineChars="0"/>
              <w:contextualSpacing/>
              <w:jc w:val="center"/>
              <w:rPr>
                <w:kern w:val="2"/>
                <w:sz w:val="21"/>
                <w:szCs w:val="21"/>
              </w:rPr>
            </w:pPr>
            <w:r>
              <w:rPr>
                <w:rFonts w:hint="eastAsia"/>
                <w:sz w:val="21"/>
                <w:szCs w:val="21"/>
              </w:rPr>
              <w:t>上游偏侧向</w:t>
            </w:r>
          </w:p>
        </w:tc>
      </w:tr>
      <w:tr w14:paraId="1D3EC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C8">
            <w:pPr>
              <w:autoSpaceDE w:val="0"/>
              <w:autoSpaceDN w:val="0"/>
              <w:snapToGrid/>
              <w:spacing w:line="240" w:lineRule="auto"/>
              <w:ind w:firstLine="0" w:firstLineChars="0"/>
              <w:jc w:val="center"/>
              <w:textAlignment w:val="auto"/>
              <w:rPr>
                <w:sz w:val="21"/>
                <w:szCs w:val="21"/>
              </w:rPr>
            </w:pPr>
            <w:r>
              <w:rPr>
                <w:sz w:val="21"/>
                <w:szCs w:val="21"/>
              </w:rPr>
              <w:t>13#</w:t>
            </w:r>
          </w:p>
        </w:tc>
        <w:tc>
          <w:tcPr>
            <w:tcW w:w="1871" w:type="pct"/>
            <w:vAlign w:val="center"/>
          </w:tcPr>
          <w:p w14:paraId="1D3EC1C9">
            <w:pPr>
              <w:adjustRightInd/>
              <w:snapToGrid/>
              <w:spacing w:line="240" w:lineRule="auto"/>
              <w:ind w:firstLine="0" w:firstLineChars="0"/>
              <w:contextualSpacing/>
              <w:jc w:val="center"/>
              <w:rPr>
                <w:sz w:val="21"/>
                <w:szCs w:val="21"/>
              </w:rPr>
            </w:pPr>
            <w:r>
              <w:rPr>
                <w:rFonts w:hint="eastAsia"/>
                <w:sz w:val="21"/>
                <w:szCs w:val="21"/>
              </w:rPr>
              <w:t>河洼村</w:t>
            </w:r>
          </w:p>
        </w:tc>
        <w:tc>
          <w:tcPr>
            <w:tcW w:w="993" w:type="pct"/>
            <w:vAlign w:val="center"/>
          </w:tcPr>
          <w:p w14:paraId="1D3EC1CA">
            <w:pPr>
              <w:adjustRightInd/>
              <w:snapToGrid/>
              <w:spacing w:line="240" w:lineRule="auto"/>
              <w:ind w:firstLine="0" w:firstLineChars="0"/>
              <w:contextualSpacing/>
              <w:jc w:val="center"/>
              <w:rPr>
                <w:sz w:val="21"/>
                <w:szCs w:val="21"/>
              </w:rPr>
            </w:pPr>
            <w:r>
              <w:rPr>
                <w:rFonts w:hint="eastAsia"/>
                <w:sz w:val="21"/>
                <w:szCs w:val="21"/>
              </w:rPr>
              <w:t>西北</w:t>
            </w:r>
          </w:p>
        </w:tc>
        <w:tc>
          <w:tcPr>
            <w:tcW w:w="1408" w:type="pct"/>
            <w:vAlign w:val="center"/>
          </w:tcPr>
          <w:p w14:paraId="1D3EC1CB">
            <w:pPr>
              <w:adjustRightInd/>
              <w:snapToGrid/>
              <w:spacing w:line="240" w:lineRule="auto"/>
              <w:ind w:firstLine="0" w:firstLineChars="0"/>
              <w:contextualSpacing/>
              <w:jc w:val="center"/>
              <w:rPr>
                <w:kern w:val="2"/>
                <w:sz w:val="21"/>
                <w:szCs w:val="21"/>
              </w:rPr>
            </w:pPr>
            <w:r>
              <w:rPr>
                <w:rFonts w:hint="eastAsia"/>
                <w:sz w:val="21"/>
                <w:szCs w:val="21"/>
              </w:rPr>
              <w:t>上游偏侧向</w:t>
            </w:r>
          </w:p>
        </w:tc>
      </w:tr>
      <w:tr w14:paraId="1D3EC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pct"/>
            <w:vAlign w:val="center"/>
          </w:tcPr>
          <w:p w14:paraId="1D3EC1CD">
            <w:pPr>
              <w:autoSpaceDE w:val="0"/>
              <w:autoSpaceDN w:val="0"/>
              <w:snapToGrid/>
              <w:spacing w:line="240" w:lineRule="auto"/>
              <w:ind w:firstLine="0" w:firstLineChars="0"/>
              <w:jc w:val="center"/>
              <w:textAlignment w:val="auto"/>
              <w:rPr>
                <w:sz w:val="21"/>
                <w:szCs w:val="21"/>
              </w:rPr>
            </w:pPr>
            <w:r>
              <w:rPr>
                <w:sz w:val="21"/>
                <w:szCs w:val="21"/>
              </w:rPr>
              <w:t>14#</w:t>
            </w:r>
          </w:p>
        </w:tc>
        <w:tc>
          <w:tcPr>
            <w:tcW w:w="1871" w:type="pct"/>
            <w:vAlign w:val="center"/>
          </w:tcPr>
          <w:p w14:paraId="1D3EC1CE">
            <w:pPr>
              <w:adjustRightInd/>
              <w:snapToGrid/>
              <w:spacing w:line="240" w:lineRule="auto"/>
              <w:ind w:firstLine="0" w:firstLineChars="0"/>
              <w:contextualSpacing/>
              <w:jc w:val="center"/>
              <w:rPr>
                <w:sz w:val="21"/>
                <w:szCs w:val="21"/>
              </w:rPr>
            </w:pPr>
            <w:r>
              <w:rPr>
                <w:rFonts w:hint="eastAsia"/>
                <w:sz w:val="21"/>
                <w:szCs w:val="21"/>
              </w:rPr>
              <w:t>班庄北</w:t>
            </w:r>
          </w:p>
        </w:tc>
        <w:tc>
          <w:tcPr>
            <w:tcW w:w="993" w:type="pct"/>
            <w:vAlign w:val="center"/>
          </w:tcPr>
          <w:p w14:paraId="1D3EC1CF">
            <w:pPr>
              <w:adjustRightInd/>
              <w:snapToGrid/>
              <w:spacing w:line="240" w:lineRule="auto"/>
              <w:ind w:firstLine="0" w:firstLineChars="0"/>
              <w:contextualSpacing/>
              <w:jc w:val="center"/>
              <w:rPr>
                <w:sz w:val="21"/>
                <w:szCs w:val="21"/>
              </w:rPr>
            </w:pPr>
            <w:r>
              <w:rPr>
                <w:rFonts w:hint="eastAsia"/>
                <w:sz w:val="21"/>
                <w:szCs w:val="21"/>
              </w:rPr>
              <w:t>西北</w:t>
            </w:r>
          </w:p>
        </w:tc>
        <w:tc>
          <w:tcPr>
            <w:tcW w:w="1408" w:type="pct"/>
            <w:vAlign w:val="center"/>
          </w:tcPr>
          <w:p w14:paraId="1D3EC1D0">
            <w:pPr>
              <w:adjustRightInd/>
              <w:snapToGrid/>
              <w:spacing w:line="240" w:lineRule="auto"/>
              <w:ind w:firstLine="0" w:firstLineChars="0"/>
              <w:contextualSpacing/>
              <w:jc w:val="center"/>
              <w:rPr>
                <w:kern w:val="2"/>
                <w:sz w:val="21"/>
                <w:szCs w:val="21"/>
              </w:rPr>
            </w:pPr>
            <w:r>
              <w:rPr>
                <w:rFonts w:hint="eastAsia"/>
                <w:sz w:val="21"/>
                <w:szCs w:val="21"/>
              </w:rPr>
              <w:t>上游偏侧向</w:t>
            </w:r>
          </w:p>
        </w:tc>
      </w:tr>
    </w:tbl>
    <w:p w14:paraId="1D3EC1D3">
      <w:pPr>
        <w:pStyle w:val="6"/>
        <w:ind w:left="0" w:firstLine="482" w:firstLineChars="200"/>
      </w:pPr>
      <w:r>
        <w:t>监测因子</w:t>
      </w:r>
      <w:r>
        <w:rPr>
          <w:rFonts w:hint="eastAsia"/>
        </w:rPr>
        <w:t>及分析方法</w:t>
      </w:r>
    </w:p>
    <w:p w14:paraId="1D3EC1D4">
      <w:pPr>
        <w:ind w:firstLine="480"/>
        <w:rPr>
          <w:kern w:val="2"/>
          <w:szCs w:val="28"/>
        </w:rPr>
      </w:pPr>
      <w:r>
        <w:rPr>
          <w:kern w:val="2"/>
          <w:szCs w:val="28"/>
        </w:rPr>
        <w:t>根据当地环境状况及工程特点，本次地下水环境质量现状监测因子包括</w:t>
      </w:r>
      <w:r>
        <w:rPr>
          <w:rFonts w:hint="eastAsia"/>
          <w:szCs w:val="28"/>
        </w:rPr>
        <w:t>K</w:t>
      </w:r>
      <w:r>
        <w:rPr>
          <w:rFonts w:hint="eastAsia"/>
          <w:szCs w:val="28"/>
          <w:vertAlign w:val="superscript"/>
        </w:rPr>
        <w:t>+</w:t>
      </w:r>
      <w:r>
        <w:rPr>
          <w:rFonts w:hint="eastAsia"/>
          <w:szCs w:val="28"/>
        </w:rPr>
        <w:t>、Na</w:t>
      </w:r>
      <w:r>
        <w:rPr>
          <w:rFonts w:hint="eastAsia"/>
          <w:szCs w:val="28"/>
          <w:vertAlign w:val="superscript"/>
        </w:rPr>
        <w:t>+</w:t>
      </w:r>
      <w:r>
        <w:rPr>
          <w:rFonts w:hint="eastAsia"/>
          <w:szCs w:val="28"/>
        </w:rPr>
        <w:t>、Ca</w:t>
      </w:r>
      <w:r>
        <w:rPr>
          <w:rFonts w:hint="eastAsia"/>
          <w:szCs w:val="28"/>
          <w:vertAlign w:val="superscript"/>
        </w:rPr>
        <w:t>2+</w:t>
      </w:r>
      <w:r>
        <w:rPr>
          <w:rFonts w:hint="eastAsia"/>
          <w:szCs w:val="28"/>
        </w:rPr>
        <w:t>、Mg</w:t>
      </w:r>
      <w:r>
        <w:rPr>
          <w:rFonts w:hint="eastAsia"/>
          <w:szCs w:val="28"/>
          <w:vertAlign w:val="superscript"/>
        </w:rPr>
        <w:t>2+</w:t>
      </w:r>
      <w:r>
        <w:rPr>
          <w:rFonts w:hint="eastAsia"/>
          <w:szCs w:val="28"/>
        </w:rPr>
        <w:t>、CO</w:t>
      </w:r>
      <w:r>
        <w:rPr>
          <w:rFonts w:hint="eastAsia"/>
          <w:szCs w:val="28"/>
          <w:vertAlign w:val="subscript"/>
        </w:rPr>
        <w:t>3</w:t>
      </w:r>
      <w:r>
        <w:rPr>
          <w:rFonts w:hint="eastAsia"/>
          <w:szCs w:val="28"/>
          <w:vertAlign w:val="superscript"/>
        </w:rPr>
        <w:t>2-</w:t>
      </w:r>
      <w:r>
        <w:rPr>
          <w:rFonts w:hint="eastAsia"/>
          <w:szCs w:val="28"/>
        </w:rPr>
        <w:t>、HCO</w:t>
      </w:r>
      <w:r>
        <w:rPr>
          <w:rFonts w:hint="eastAsia"/>
          <w:szCs w:val="28"/>
          <w:vertAlign w:val="subscript"/>
        </w:rPr>
        <w:t>3</w:t>
      </w:r>
      <w:r>
        <w:rPr>
          <w:rFonts w:hint="eastAsia"/>
          <w:szCs w:val="28"/>
          <w:vertAlign w:val="superscript"/>
        </w:rPr>
        <w:t>-</w:t>
      </w:r>
      <w:r>
        <w:rPr>
          <w:rFonts w:hint="eastAsia"/>
          <w:szCs w:val="28"/>
        </w:rPr>
        <w:t>、Cl</w:t>
      </w:r>
      <w:r>
        <w:rPr>
          <w:rFonts w:hint="eastAsia"/>
          <w:szCs w:val="28"/>
          <w:vertAlign w:val="superscript"/>
        </w:rPr>
        <w:t>-</w:t>
      </w:r>
      <w:r>
        <w:rPr>
          <w:rFonts w:hint="eastAsia"/>
          <w:szCs w:val="28"/>
        </w:rPr>
        <w:t>、SO</w:t>
      </w:r>
      <w:r>
        <w:rPr>
          <w:rFonts w:hint="eastAsia"/>
          <w:szCs w:val="28"/>
          <w:vertAlign w:val="subscript"/>
        </w:rPr>
        <w:t>4</w:t>
      </w:r>
      <w:r>
        <w:rPr>
          <w:rFonts w:hint="eastAsia"/>
          <w:szCs w:val="28"/>
          <w:vertAlign w:val="superscript"/>
        </w:rPr>
        <w:t>2-</w:t>
      </w:r>
      <w:r>
        <w:rPr>
          <w:rFonts w:hint="eastAsia"/>
          <w:szCs w:val="28"/>
        </w:rPr>
        <w:t>、pH、氨氮、硝酸盐、亚硝酸盐、挥发性酚类、氰化物、砷、汞、铬（六价）、总硬度、铅、氟化物、镉、铁、锰、溶解性总固体、高锰酸盐指数、硫酸盐、氯化物、总大肠菌群、菌落总数、色度、石油类</w:t>
      </w:r>
      <w:r>
        <w:rPr>
          <w:kern w:val="2"/>
          <w:szCs w:val="28"/>
        </w:rPr>
        <w:t>。各监测因子分析方法见下表。</w:t>
      </w:r>
    </w:p>
    <w:bookmarkEnd w:id="247"/>
    <w:bookmarkEnd w:id="248"/>
    <w:p w14:paraId="1D3EC1D7">
      <w:pPr>
        <w:numPr>
          <w:ilvl w:val="0"/>
          <w:numId w:val="23"/>
        </w:numPr>
        <w:adjustRightInd/>
        <w:snapToGrid/>
        <w:ind w:firstLineChars="0"/>
        <w:textAlignment w:val="auto"/>
        <w:rPr>
          <w:rFonts w:eastAsia="黑体"/>
        </w:rPr>
      </w:pPr>
      <w:r>
        <w:rPr>
          <w:rFonts w:eastAsia="黑体"/>
        </w:rPr>
        <w:t xml:space="preserve">        </w:t>
      </w:r>
      <w:r>
        <w:rPr>
          <w:rFonts w:hint="eastAsia" w:eastAsia="黑体"/>
        </w:rPr>
        <w:t xml:space="preserve">   </w:t>
      </w:r>
      <w:r>
        <w:rPr>
          <w:rFonts w:eastAsia="黑体"/>
        </w:rPr>
        <w:t xml:space="preserve"> 监测方法及监测频次一览表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432"/>
        <w:gridCol w:w="1118"/>
        <w:gridCol w:w="3067"/>
        <w:gridCol w:w="1883"/>
        <w:gridCol w:w="1166"/>
        <w:gridCol w:w="666"/>
      </w:tblGrid>
      <w:tr w14:paraId="1D3EC1E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274" w:type="pct"/>
            <w:vAlign w:val="center"/>
          </w:tcPr>
          <w:p w14:paraId="1D3EC1D8">
            <w:pPr>
              <w:adjustRightInd/>
              <w:snapToGrid/>
              <w:spacing w:line="240" w:lineRule="auto"/>
              <w:ind w:firstLine="0" w:firstLineChars="0"/>
              <w:jc w:val="center"/>
              <w:textAlignment w:val="auto"/>
              <w:rPr>
                <w:b/>
                <w:kern w:val="2"/>
                <w:sz w:val="21"/>
                <w:szCs w:val="21"/>
              </w:rPr>
            </w:pPr>
            <w:r>
              <w:rPr>
                <w:b/>
                <w:kern w:val="2"/>
                <w:sz w:val="21"/>
                <w:szCs w:val="21"/>
              </w:rPr>
              <w:t>序号</w:t>
            </w:r>
          </w:p>
        </w:tc>
        <w:tc>
          <w:tcPr>
            <w:tcW w:w="686" w:type="pct"/>
            <w:vAlign w:val="center"/>
          </w:tcPr>
          <w:p w14:paraId="1D3EC1D9">
            <w:pPr>
              <w:adjustRightInd/>
              <w:snapToGrid/>
              <w:spacing w:line="240" w:lineRule="auto"/>
              <w:ind w:firstLine="0" w:firstLineChars="0"/>
              <w:jc w:val="center"/>
              <w:textAlignment w:val="auto"/>
              <w:rPr>
                <w:b/>
                <w:kern w:val="2"/>
                <w:sz w:val="21"/>
                <w:szCs w:val="21"/>
              </w:rPr>
            </w:pPr>
            <w:r>
              <w:rPr>
                <w:b/>
                <w:kern w:val="2"/>
                <w:sz w:val="21"/>
                <w:szCs w:val="21"/>
              </w:rPr>
              <w:t>监测因子</w:t>
            </w:r>
          </w:p>
        </w:tc>
        <w:tc>
          <w:tcPr>
            <w:tcW w:w="1855" w:type="pct"/>
            <w:vAlign w:val="center"/>
          </w:tcPr>
          <w:p w14:paraId="1D3EC1DA">
            <w:pPr>
              <w:adjustRightInd/>
              <w:snapToGrid/>
              <w:spacing w:line="240" w:lineRule="auto"/>
              <w:ind w:firstLine="0" w:firstLineChars="0"/>
              <w:jc w:val="center"/>
              <w:textAlignment w:val="auto"/>
              <w:rPr>
                <w:b/>
                <w:kern w:val="2"/>
                <w:sz w:val="21"/>
                <w:szCs w:val="21"/>
              </w:rPr>
            </w:pPr>
            <w:r>
              <w:rPr>
                <w:b/>
                <w:kern w:val="2"/>
                <w:sz w:val="21"/>
                <w:szCs w:val="21"/>
              </w:rPr>
              <w:t>检测方法及编号</w:t>
            </w:r>
          </w:p>
        </w:tc>
        <w:tc>
          <w:tcPr>
            <w:tcW w:w="1057" w:type="pct"/>
            <w:vAlign w:val="center"/>
          </w:tcPr>
          <w:p w14:paraId="1D3EC1DB">
            <w:pPr>
              <w:adjustRightInd/>
              <w:snapToGrid/>
              <w:spacing w:line="240" w:lineRule="auto"/>
              <w:ind w:firstLine="0" w:firstLineChars="0"/>
              <w:jc w:val="center"/>
              <w:textAlignment w:val="auto"/>
              <w:rPr>
                <w:b/>
                <w:kern w:val="2"/>
                <w:sz w:val="21"/>
                <w:szCs w:val="21"/>
              </w:rPr>
            </w:pPr>
            <w:r>
              <w:rPr>
                <w:b/>
                <w:kern w:val="2"/>
                <w:sz w:val="21"/>
                <w:szCs w:val="21"/>
              </w:rPr>
              <w:t>检测仪器及型号/编号</w:t>
            </w:r>
          </w:p>
        </w:tc>
        <w:tc>
          <w:tcPr>
            <w:tcW w:w="714" w:type="pct"/>
            <w:vAlign w:val="center"/>
          </w:tcPr>
          <w:p w14:paraId="1D3EC1DC">
            <w:pPr>
              <w:adjustRightInd/>
              <w:snapToGrid/>
              <w:spacing w:line="240" w:lineRule="auto"/>
              <w:ind w:firstLine="0" w:firstLineChars="0"/>
              <w:jc w:val="center"/>
              <w:textAlignment w:val="auto"/>
              <w:rPr>
                <w:b/>
                <w:kern w:val="2"/>
                <w:sz w:val="21"/>
                <w:szCs w:val="21"/>
              </w:rPr>
            </w:pPr>
            <w:r>
              <w:rPr>
                <w:b/>
                <w:kern w:val="2"/>
                <w:sz w:val="21"/>
                <w:szCs w:val="21"/>
              </w:rPr>
              <w:t>检出限</w:t>
            </w:r>
          </w:p>
        </w:tc>
        <w:tc>
          <w:tcPr>
            <w:tcW w:w="414" w:type="pct"/>
            <w:vAlign w:val="center"/>
          </w:tcPr>
          <w:p w14:paraId="1D3EC1DE">
            <w:pPr>
              <w:adjustRightInd/>
              <w:snapToGrid/>
              <w:spacing w:line="240" w:lineRule="auto"/>
              <w:ind w:firstLine="0" w:firstLineChars="0"/>
              <w:jc w:val="center"/>
              <w:textAlignment w:val="auto"/>
              <w:rPr>
                <w:b/>
                <w:kern w:val="2"/>
                <w:sz w:val="21"/>
                <w:szCs w:val="21"/>
              </w:rPr>
            </w:pPr>
            <w:r>
              <w:rPr>
                <w:b/>
                <w:kern w:val="2"/>
                <w:sz w:val="21"/>
                <w:szCs w:val="21"/>
              </w:rPr>
              <w:t>监测</w:t>
            </w:r>
          </w:p>
          <w:p w14:paraId="1D3EC1DF">
            <w:pPr>
              <w:adjustRightInd/>
              <w:snapToGrid/>
              <w:spacing w:line="240" w:lineRule="auto"/>
              <w:ind w:firstLine="0" w:firstLineChars="0"/>
              <w:jc w:val="center"/>
              <w:textAlignment w:val="auto"/>
              <w:rPr>
                <w:b/>
                <w:kern w:val="2"/>
                <w:sz w:val="21"/>
                <w:szCs w:val="21"/>
              </w:rPr>
            </w:pPr>
            <w:r>
              <w:rPr>
                <w:b/>
                <w:kern w:val="2"/>
                <w:sz w:val="21"/>
                <w:szCs w:val="21"/>
              </w:rPr>
              <w:t>频率</w:t>
            </w:r>
          </w:p>
        </w:tc>
      </w:tr>
      <w:tr w14:paraId="1D3EC1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vAlign w:val="center"/>
          </w:tcPr>
          <w:p w14:paraId="1D3EC1E1">
            <w:pPr>
              <w:adjustRightInd/>
              <w:snapToGrid/>
              <w:spacing w:line="240" w:lineRule="auto"/>
              <w:ind w:firstLine="0" w:firstLineChars="0"/>
              <w:contextualSpacing/>
              <w:jc w:val="center"/>
              <w:rPr>
                <w:sz w:val="21"/>
                <w:szCs w:val="21"/>
              </w:rPr>
            </w:pPr>
            <w:r>
              <w:rPr>
                <w:sz w:val="21"/>
                <w:szCs w:val="21"/>
              </w:rPr>
              <w:t>1</w:t>
            </w:r>
          </w:p>
        </w:tc>
        <w:tc>
          <w:tcPr>
            <w:tcW w:w="686" w:type="pct"/>
            <w:vAlign w:val="center"/>
          </w:tcPr>
          <w:p w14:paraId="1D3EC1E2">
            <w:pPr>
              <w:adjustRightInd/>
              <w:snapToGrid/>
              <w:spacing w:line="240" w:lineRule="auto"/>
              <w:ind w:firstLine="0" w:firstLineChars="0"/>
              <w:contextualSpacing/>
              <w:jc w:val="center"/>
              <w:rPr>
                <w:sz w:val="21"/>
                <w:szCs w:val="21"/>
              </w:rPr>
            </w:pPr>
            <w:r>
              <w:rPr>
                <w:sz w:val="21"/>
                <w:szCs w:val="21"/>
              </w:rPr>
              <w:t>pH值</w:t>
            </w:r>
          </w:p>
        </w:tc>
        <w:tc>
          <w:tcPr>
            <w:tcW w:w="1855" w:type="pct"/>
            <w:vAlign w:val="center"/>
          </w:tcPr>
          <w:p w14:paraId="1D3EC1E3">
            <w:pPr>
              <w:adjustRightInd/>
              <w:snapToGrid/>
              <w:spacing w:line="240" w:lineRule="auto"/>
              <w:ind w:firstLine="0" w:firstLineChars="0"/>
              <w:contextualSpacing/>
              <w:jc w:val="center"/>
              <w:rPr>
                <w:sz w:val="21"/>
                <w:szCs w:val="21"/>
              </w:rPr>
            </w:pPr>
            <w:r>
              <w:rPr>
                <w:sz w:val="21"/>
                <w:szCs w:val="21"/>
              </w:rPr>
              <w:t>《水质 pH值的测定电极法》HJ 1147-2020</w:t>
            </w:r>
          </w:p>
        </w:tc>
        <w:tc>
          <w:tcPr>
            <w:tcW w:w="1057" w:type="pct"/>
            <w:vAlign w:val="center"/>
          </w:tcPr>
          <w:p w14:paraId="1B481C07">
            <w:pPr>
              <w:adjustRightInd/>
              <w:snapToGrid/>
              <w:spacing w:line="240" w:lineRule="auto"/>
              <w:ind w:firstLine="0" w:firstLineChars="0"/>
              <w:contextualSpacing/>
              <w:jc w:val="center"/>
              <w:rPr>
                <w:sz w:val="21"/>
                <w:szCs w:val="21"/>
              </w:rPr>
            </w:pPr>
            <w:r>
              <w:rPr>
                <w:rFonts w:hint="eastAsia"/>
                <w:sz w:val="21"/>
                <w:szCs w:val="21"/>
              </w:rPr>
              <w:t>可见分光光度计</w:t>
            </w:r>
          </w:p>
          <w:p w14:paraId="1D3EC1E5">
            <w:pPr>
              <w:adjustRightInd/>
              <w:snapToGrid/>
              <w:spacing w:line="240" w:lineRule="auto"/>
              <w:ind w:firstLine="0" w:firstLineChars="0"/>
              <w:contextualSpacing/>
              <w:jc w:val="center"/>
              <w:rPr>
                <w:sz w:val="21"/>
                <w:szCs w:val="21"/>
              </w:rPr>
            </w:pPr>
            <w:r>
              <w:rPr>
                <w:rFonts w:hint="eastAsia"/>
                <w:sz w:val="21"/>
                <w:szCs w:val="21"/>
              </w:rPr>
              <w:t>上海佑科721/3级</w:t>
            </w:r>
          </w:p>
        </w:tc>
        <w:tc>
          <w:tcPr>
            <w:tcW w:w="714" w:type="pct"/>
            <w:vAlign w:val="center"/>
          </w:tcPr>
          <w:p w14:paraId="1D3EC1E6">
            <w:pPr>
              <w:adjustRightInd/>
              <w:snapToGrid/>
              <w:spacing w:line="240" w:lineRule="auto"/>
              <w:ind w:firstLine="0" w:firstLineChars="0"/>
              <w:contextualSpacing/>
              <w:jc w:val="center"/>
              <w:rPr>
                <w:sz w:val="21"/>
                <w:szCs w:val="21"/>
                <w:highlight w:val="yellow"/>
              </w:rPr>
            </w:pPr>
            <w:r>
              <w:rPr>
                <w:sz w:val="21"/>
                <w:szCs w:val="21"/>
              </w:rPr>
              <w:t>/</w:t>
            </w:r>
          </w:p>
        </w:tc>
        <w:tc>
          <w:tcPr>
            <w:tcW w:w="414" w:type="pct"/>
            <w:vMerge w:val="restart"/>
            <w:vAlign w:val="center"/>
          </w:tcPr>
          <w:p w14:paraId="1D3EC1E8">
            <w:pPr>
              <w:adjustRightInd/>
              <w:snapToGrid/>
              <w:spacing w:line="240" w:lineRule="auto"/>
              <w:ind w:firstLine="0" w:firstLineChars="0"/>
              <w:contextualSpacing/>
              <w:jc w:val="center"/>
              <w:rPr>
                <w:sz w:val="21"/>
                <w:szCs w:val="21"/>
                <w:highlight w:val="yellow"/>
              </w:rPr>
            </w:pPr>
            <w:r>
              <w:rPr>
                <w:sz w:val="21"/>
                <w:szCs w:val="21"/>
              </w:rPr>
              <w:t>连续监测2天，每天2次</w:t>
            </w:r>
          </w:p>
        </w:tc>
      </w:tr>
      <w:tr w14:paraId="1D3EC1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vAlign w:val="center"/>
          </w:tcPr>
          <w:p w14:paraId="1D3EC1EA">
            <w:pPr>
              <w:adjustRightInd/>
              <w:snapToGrid/>
              <w:spacing w:line="240" w:lineRule="auto"/>
              <w:ind w:firstLine="0" w:firstLineChars="0"/>
              <w:contextualSpacing/>
              <w:jc w:val="center"/>
              <w:rPr>
                <w:sz w:val="21"/>
                <w:szCs w:val="21"/>
              </w:rPr>
            </w:pPr>
            <w:r>
              <w:rPr>
                <w:sz w:val="21"/>
                <w:szCs w:val="21"/>
              </w:rPr>
              <w:t>2</w:t>
            </w:r>
          </w:p>
        </w:tc>
        <w:tc>
          <w:tcPr>
            <w:tcW w:w="686" w:type="pct"/>
            <w:vAlign w:val="center"/>
          </w:tcPr>
          <w:p w14:paraId="1D3EC1EB">
            <w:pPr>
              <w:adjustRightInd/>
              <w:snapToGrid/>
              <w:spacing w:line="240" w:lineRule="auto"/>
              <w:ind w:firstLine="0" w:firstLineChars="0"/>
              <w:contextualSpacing/>
              <w:jc w:val="center"/>
              <w:rPr>
                <w:sz w:val="21"/>
                <w:szCs w:val="21"/>
              </w:rPr>
            </w:pPr>
            <w:r>
              <w:rPr>
                <w:sz w:val="21"/>
                <w:szCs w:val="21"/>
              </w:rPr>
              <w:t>K</w:t>
            </w:r>
            <w:r>
              <w:rPr>
                <w:sz w:val="21"/>
                <w:szCs w:val="21"/>
                <w:vertAlign w:val="superscript"/>
              </w:rPr>
              <w:t>+</w:t>
            </w:r>
          </w:p>
        </w:tc>
        <w:tc>
          <w:tcPr>
            <w:tcW w:w="1855" w:type="pct"/>
            <w:vMerge w:val="restart"/>
            <w:vAlign w:val="center"/>
          </w:tcPr>
          <w:p w14:paraId="1D3EC1EC">
            <w:pPr>
              <w:adjustRightInd/>
              <w:snapToGrid/>
              <w:spacing w:line="240" w:lineRule="auto"/>
              <w:ind w:firstLine="0" w:firstLineChars="0"/>
              <w:contextualSpacing/>
              <w:jc w:val="center"/>
              <w:rPr>
                <w:sz w:val="21"/>
                <w:szCs w:val="21"/>
              </w:rPr>
            </w:pPr>
            <w:r>
              <w:rPr>
                <w:sz w:val="21"/>
                <w:szCs w:val="21"/>
              </w:rPr>
              <w:t>《水质 钾和钠的测定火焰原子吸收分光光度法》GB/T 11904-1989</w:t>
            </w:r>
          </w:p>
        </w:tc>
        <w:tc>
          <w:tcPr>
            <w:tcW w:w="1057" w:type="pct"/>
            <w:vMerge w:val="restart"/>
            <w:vAlign w:val="center"/>
          </w:tcPr>
          <w:p w14:paraId="6C9D8EB4">
            <w:pPr>
              <w:adjustRightInd/>
              <w:snapToGrid/>
              <w:spacing w:line="240" w:lineRule="auto"/>
              <w:ind w:firstLine="0" w:firstLineChars="0"/>
              <w:contextualSpacing/>
              <w:jc w:val="center"/>
              <w:rPr>
                <w:sz w:val="21"/>
                <w:szCs w:val="21"/>
              </w:rPr>
            </w:pPr>
            <w:r>
              <w:rPr>
                <w:rFonts w:hint="eastAsia"/>
                <w:sz w:val="21"/>
                <w:szCs w:val="21"/>
              </w:rPr>
              <w:t>火焰石墨炉一体化原子吸收分光光度计</w:t>
            </w:r>
          </w:p>
          <w:p w14:paraId="1D3EC1EE">
            <w:pPr>
              <w:adjustRightInd/>
              <w:snapToGrid/>
              <w:spacing w:line="240" w:lineRule="auto"/>
              <w:ind w:firstLine="0" w:firstLineChars="0"/>
              <w:contextualSpacing/>
              <w:jc w:val="center"/>
              <w:rPr>
                <w:sz w:val="21"/>
                <w:szCs w:val="21"/>
                <w:highlight w:val="yellow"/>
              </w:rPr>
            </w:pPr>
            <w:r>
              <w:rPr>
                <w:sz w:val="21"/>
                <w:szCs w:val="21"/>
              </w:rPr>
              <w:t>GGX-830</w:t>
            </w:r>
          </w:p>
        </w:tc>
        <w:tc>
          <w:tcPr>
            <w:tcW w:w="714" w:type="pct"/>
            <w:vAlign w:val="center"/>
          </w:tcPr>
          <w:p w14:paraId="1D3EC1EF">
            <w:pPr>
              <w:adjustRightInd/>
              <w:snapToGrid/>
              <w:spacing w:line="240" w:lineRule="auto"/>
              <w:ind w:firstLine="0" w:firstLineChars="0"/>
              <w:contextualSpacing/>
              <w:jc w:val="center"/>
              <w:rPr>
                <w:sz w:val="21"/>
                <w:szCs w:val="21"/>
              </w:rPr>
            </w:pPr>
            <w:r>
              <w:rPr>
                <w:sz w:val="21"/>
                <w:szCs w:val="21"/>
              </w:rPr>
              <w:t>0.05mg/L</w:t>
            </w:r>
          </w:p>
        </w:tc>
        <w:tc>
          <w:tcPr>
            <w:tcW w:w="414" w:type="pct"/>
            <w:vMerge w:val="continue"/>
            <w:vAlign w:val="center"/>
          </w:tcPr>
          <w:p w14:paraId="1D3EC1F2">
            <w:pPr>
              <w:adjustRightInd/>
              <w:snapToGrid/>
              <w:spacing w:line="240" w:lineRule="auto"/>
              <w:ind w:firstLine="0" w:firstLineChars="0"/>
              <w:contextualSpacing/>
              <w:jc w:val="center"/>
              <w:rPr>
                <w:sz w:val="21"/>
                <w:szCs w:val="21"/>
                <w:highlight w:val="yellow"/>
              </w:rPr>
            </w:pPr>
          </w:p>
        </w:tc>
      </w:tr>
      <w:tr w14:paraId="1D3EC1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vAlign w:val="center"/>
          </w:tcPr>
          <w:p w14:paraId="1D3EC1F4">
            <w:pPr>
              <w:adjustRightInd/>
              <w:snapToGrid/>
              <w:spacing w:line="240" w:lineRule="auto"/>
              <w:ind w:firstLine="0" w:firstLineChars="0"/>
              <w:contextualSpacing/>
              <w:jc w:val="center"/>
              <w:rPr>
                <w:sz w:val="21"/>
                <w:szCs w:val="21"/>
              </w:rPr>
            </w:pPr>
            <w:r>
              <w:rPr>
                <w:sz w:val="21"/>
                <w:szCs w:val="21"/>
              </w:rPr>
              <w:t>3</w:t>
            </w:r>
          </w:p>
        </w:tc>
        <w:tc>
          <w:tcPr>
            <w:tcW w:w="686" w:type="pct"/>
            <w:vAlign w:val="center"/>
          </w:tcPr>
          <w:p w14:paraId="1D3EC1F5">
            <w:pPr>
              <w:adjustRightInd/>
              <w:snapToGrid/>
              <w:spacing w:line="240" w:lineRule="auto"/>
              <w:ind w:firstLine="0" w:firstLineChars="0"/>
              <w:contextualSpacing/>
              <w:jc w:val="center"/>
              <w:rPr>
                <w:sz w:val="21"/>
                <w:szCs w:val="21"/>
              </w:rPr>
            </w:pPr>
            <w:r>
              <w:rPr>
                <w:sz w:val="21"/>
                <w:szCs w:val="21"/>
              </w:rPr>
              <w:t>Na</w:t>
            </w:r>
            <w:r>
              <w:rPr>
                <w:sz w:val="21"/>
                <w:szCs w:val="21"/>
                <w:vertAlign w:val="superscript"/>
              </w:rPr>
              <w:t>+</w:t>
            </w:r>
          </w:p>
        </w:tc>
        <w:tc>
          <w:tcPr>
            <w:tcW w:w="1855" w:type="pct"/>
            <w:vMerge w:val="continue"/>
            <w:vAlign w:val="center"/>
          </w:tcPr>
          <w:p w14:paraId="1D3EC1F6">
            <w:pPr>
              <w:adjustRightInd/>
              <w:snapToGrid/>
              <w:spacing w:line="240" w:lineRule="auto"/>
              <w:ind w:firstLine="0" w:firstLineChars="0"/>
              <w:contextualSpacing/>
              <w:jc w:val="center"/>
              <w:rPr>
                <w:sz w:val="21"/>
                <w:szCs w:val="21"/>
                <w:highlight w:val="yellow"/>
              </w:rPr>
            </w:pPr>
          </w:p>
        </w:tc>
        <w:tc>
          <w:tcPr>
            <w:tcW w:w="1057" w:type="pct"/>
            <w:vMerge w:val="continue"/>
            <w:vAlign w:val="center"/>
          </w:tcPr>
          <w:p w14:paraId="1D3EC1F7">
            <w:pPr>
              <w:adjustRightInd/>
              <w:snapToGrid/>
              <w:spacing w:line="240" w:lineRule="auto"/>
              <w:ind w:firstLine="0" w:firstLineChars="0"/>
              <w:contextualSpacing/>
              <w:jc w:val="center"/>
              <w:rPr>
                <w:sz w:val="21"/>
                <w:szCs w:val="21"/>
                <w:highlight w:val="yellow"/>
              </w:rPr>
            </w:pPr>
          </w:p>
        </w:tc>
        <w:tc>
          <w:tcPr>
            <w:tcW w:w="714" w:type="pct"/>
            <w:vAlign w:val="center"/>
          </w:tcPr>
          <w:p w14:paraId="1D3EC1F8">
            <w:pPr>
              <w:adjustRightInd/>
              <w:snapToGrid/>
              <w:spacing w:line="240" w:lineRule="auto"/>
              <w:ind w:firstLine="0" w:firstLineChars="0"/>
              <w:contextualSpacing/>
              <w:jc w:val="center"/>
              <w:rPr>
                <w:sz w:val="21"/>
                <w:szCs w:val="21"/>
              </w:rPr>
            </w:pPr>
            <w:r>
              <w:rPr>
                <w:sz w:val="21"/>
                <w:szCs w:val="21"/>
              </w:rPr>
              <w:t>0.01mg/L</w:t>
            </w:r>
          </w:p>
        </w:tc>
        <w:tc>
          <w:tcPr>
            <w:tcW w:w="414" w:type="pct"/>
            <w:vMerge w:val="continue"/>
            <w:vAlign w:val="center"/>
          </w:tcPr>
          <w:p w14:paraId="1D3EC1FB">
            <w:pPr>
              <w:adjustRightInd/>
              <w:snapToGrid/>
              <w:spacing w:line="240" w:lineRule="auto"/>
              <w:ind w:firstLine="0" w:firstLineChars="0"/>
              <w:contextualSpacing/>
              <w:jc w:val="center"/>
              <w:rPr>
                <w:sz w:val="21"/>
                <w:szCs w:val="21"/>
                <w:highlight w:val="yellow"/>
              </w:rPr>
            </w:pPr>
          </w:p>
        </w:tc>
      </w:tr>
      <w:tr w14:paraId="1D3EC2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vAlign w:val="center"/>
          </w:tcPr>
          <w:p w14:paraId="1D3EC1FD">
            <w:pPr>
              <w:adjustRightInd/>
              <w:snapToGrid/>
              <w:spacing w:line="240" w:lineRule="auto"/>
              <w:ind w:firstLine="0" w:firstLineChars="0"/>
              <w:contextualSpacing/>
              <w:jc w:val="center"/>
              <w:rPr>
                <w:sz w:val="21"/>
                <w:szCs w:val="21"/>
              </w:rPr>
            </w:pPr>
            <w:r>
              <w:rPr>
                <w:sz w:val="21"/>
                <w:szCs w:val="21"/>
              </w:rPr>
              <w:t>4</w:t>
            </w:r>
          </w:p>
        </w:tc>
        <w:tc>
          <w:tcPr>
            <w:tcW w:w="686" w:type="pct"/>
            <w:vAlign w:val="center"/>
          </w:tcPr>
          <w:p w14:paraId="1D3EC1FE">
            <w:pPr>
              <w:adjustRightInd/>
              <w:snapToGrid/>
              <w:spacing w:line="240" w:lineRule="auto"/>
              <w:ind w:firstLine="0" w:firstLineChars="0"/>
              <w:contextualSpacing/>
              <w:jc w:val="center"/>
              <w:rPr>
                <w:sz w:val="21"/>
                <w:szCs w:val="21"/>
              </w:rPr>
            </w:pPr>
            <w:r>
              <w:rPr>
                <w:sz w:val="21"/>
                <w:szCs w:val="21"/>
              </w:rPr>
              <w:t>Ca</w:t>
            </w:r>
            <w:r>
              <w:rPr>
                <w:sz w:val="21"/>
                <w:szCs w:val="21"/>
                <w:vertAlign w:val="superscript"/>
              </w:rPr>
              <w:t>2+</w:t>
            </w:r>
          </w:p>
        </w:tc>
        <w:tc>
          <w:tcPr>
            <w:tcW w:w="1855" w:type="pct"/>
            <w:vMerge w:val="restart"/>
            <w:vAlign w:val="center"/>
          </w:tcPr>
          <w:p w14:paraId="1D3EC1FF">
            <w:pPr>
              <w:adjustRightInd/>
              <w:snapToGrid/>
              <w:spacing w:line="240" w:lineRule="auto"/>
              <w:ind w:firstLine="0" w:firstLineChars="0"/>
              <w:contextualSpacing/>
              <w:jc w:val="center"/>
              <w:rPr>
                <w:sz w:val="21"/>
                <w:szCs w:val="21"/>
              </w:rPr>
            </w:pPr>
            <w:r>
              <w:rPr>
                <w:sz w:val="21"/>
                <w:szCs w:val="21"/>
              </w:rPr>
              <w:t>《水质 钙和镁的测定原子吸收分光光度法》</w:t>
            </w:r>
          </w:p>
          <w:p w14:paraId="1D3EC200">
            <w:pPr>
              <w:adjustRightInd/>
              <w:snapToGrid/>
              <w:spacing w:line="240" w:lineRule="auto"/>
              <w:ind w:firstLine="0" w:firstLineChars="0"/>
              <w:contextualSpacing/>
              <w:jc w:val="center"/>
              <w:rPr>
                <w:sz w:val="21"/>
                <w:szCs w:val="21"/>
              </w:rPr>
            </w:pPr>
            <w:r>
              <w:rPr>
                <w:sz w:val="21"/>
                <w:szCs w:val="21"/>
              </w:rPr>
              <w:t>GB/T 11905-1989</w:t>
            </w:r>
          </w:p>
        </w:tc>
        <w:tc>
          <w:tcPr>
            <w:tcW w:w="1057" w:type="pct"/>
            <w:vMerge w:val="restart"/>
            <w:vAlign w:val="center"/>
          </w:tcPr>
          <w:p w14:paraId="188DC16E">
            <w:pPr>
              <w:adjustRightInd/>
              <w:snapToGrid/>
              <w:spacing w:line="240" w:lineRule="auto"/>
              <w:ind w:firstLine="0" w:firstLineChars="0"/>
              <w:contextualSpacing/>
              <w:jc w:val="center"/>
              <w:rPr>
                <w:sz w:val="21"/>
                <w:szCs w:val="21"/>
              </w:rPr>
            </w:pPr>
            <w:r>
              <w:rPr>
                <w:rFonts w:hint="eastAsia"/>
                <w:sz w:val="21"/>
                <w:szCs w:val="21"/>
              </w:rPr>
              <w:t>火焰石墨炉一体化原子吸收分光光度计</w:t>
            </w:r>
          </w:p>
          <w:p w14:paraId="1D3EC202">
            <w:pPr>
              <w:adjustRightInd/>
              <w:snapToGrid/>
              <w:spacing w:line="240" w:lineRule="auto"/>
              <w:ind w:firstLine="0" w:firstLineChars="0"/>
              <w:contextualSpacing/>
              <w:jc w:val="center"/>
              <w:rPr>
                <w:sz w:val="21"/>
                <w:szCs w:val="21"/>
                <w:highlight w:val="yellow"/>
              </w:rPr>
            </w:pPr>
            <w:r>
              <w:rPr>
                <w:sz w:val="21"/>
                <w:szCs w:val="21"/>
              </w:rPr>
              <w:t>GGX-830</w:t>
            </w:r>
          </w:p>
        </w:tc>
        <w:tc>
          <w:tcPr>
            <w:tcW w:w="714" w:type="pct"/>
            <w:vAlign w:val="center"/>
          </w:tcPr>
          <w:p w14:paraId="1D3EC203">
            <w:pPr>
              <w:adjustRightInd/>
              <w:snapToGrid/>
              <w:spacing w:line="240" w:lineRule="auto"/>
              <w:ind w:firstLine="0" w:firstLineChars="0"/>
              <w:contextualSpacing/>
              <w:jc w:val="center"/>
              <w:rPr>
                <w:sz w:val="21"/>
                <w:szCs w:val="21"/>
              </w:rPr>
            </w:pPr>
            <w:r>
              <w:rPr>
                <w:sz w:val="21"/>
                <w:szCs w:val="21"/>
              </w:rPr>
              <w:t>0.02mg/L</w:t>
            </w:r>
          </w:p>
        </w:tc>
        <w:tc>
          <w:tcPr>
            <w:tcW w:w="414" w:type="pct"/>
            <w:vMerge w:val="continue"/>
            <w:vAlign w:val="center"/>
          </w:tcPr>
          <w:p w14:paraId="1D3EC206">
            <w:pPr>
              <w:adjustRightInd/>
              <w:snapToGrid/>
              <w:spacing w:line="240" w:lineRule="auto"/>
              <w:ind w:firstLine="0" w:firstLineChars="0"/>
              <w:contextualSpacing/>
              <w:jc w:val="center"/>
              <w:rPr>
                <w:sz w:val="21"/>
                <w:szCs w:val="21"/>
                <w:highlight w:val="yellow"/>
              </w:rPr>
            </w:pPr>
          </w:p>
        </w:tc>
      </w:tr>
      <w:tr w14:paraId="1D3EC21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vAlign w:val="center"/>
          </w:tcPr>
          <w:p w14:paraId="1D3EC208">
            <w:pPr>
              <w:adjustRightInd/>
              <w:snapToGrid/>
              <w:spacing w:line="240" w:lineRule="auto"/>
              <w:ind w:firstLine="0" w:firstLineChars="0"/>
              <w:contextualSpacing/>
              <w:jc w:val="center"/>
              <w:rPr>
                <w:sz w:val="21"/>
                <w:szCs w:val="21"/>
              </w:rPr>
            </w:pPr>
            <w:r>
              <w:rPr>
                <w:sz w:val="21"/>
                <w:szCs w:val="21"/>
              </w:rPr>
              <w:t>5</w:t>
            </w:r>
          </w:p>
        </w:tc>
        <w:tc>
          <w:tcPr>
            <w:tcW w:w="686" w:type="pct"/>
            <w:vAlign w:val="center"/>
          </w:tcPr>
          <w:p w14:paraId="1D3EC209">
            <w:pPr>
              <w:adjustRightInd/>
              <w:snapToGrid/>
              <w:spacing w:line="240" w:lineRule="auto"/>
              <w:ind w:firstLine="0" w:firstLineChars="0"/>
              <w:contextualSpacing/>
              <w:jc w:val="center"/>
              <w:rPr>
                <w:sz w:val="21"/>
                <w:szCs w:val="21"/>
              </w:rPr>
            </w:pPr>
            <w:r>
              <w:rPr>
                <w:sz w:val="21"/>
                <w:szCs w:val="21"/>
              </w:rPr>
              <w:t>Mg</w:t>
            </w:r>
            <w:r>
              <w:rPr>
                <w:sz w:val="21"/>
                <w:szCs w:val="21"/>
                <w:vertAlign w:val="superscript"/>
              </w:rPr>
              <w:t>2+</w:t>
            </w:r>
          </w:p>
        </w:tc>
        <w:tc>
          <w:tcPr>
            <w:tcW w:w="1855" w:type="pct"/>
            <w:vMerge w:val="continue"/>
            <w:vAlign w:val="center"/>
          </w:tcPr>
          <w:p w14:paraId="1D3EC20A">
            <w:pPr>
              <w:adjustRightInd/>
              <w:snapToGrid/>
              <w:spacing w:line="240" w:lineRule="auto"/>
              <w:ind w:firstLine="0" w:firstLineChars="0"/>
              <w:contextualSpacing/>
              <w:jc w:val="center"/>
              <w:rPr>
                <w:sz w:val="21"/>
                <w:szCs w:val="21"/>
              </w:rPr>
            </w:pPr>
          </w:p>
        </w:tc>
        <w:tc>
          <w:tcPr>
            <w:tcW w:w="1057" w:type="pct"/>
            <w:vMerge w:val="continue"/>
            <w:vAlign w:val="center"/>
          </w:tcPr>
          <w:p w14:paraId="1D3EC20B">
            <w:pPr>
              <w:adjustRightInd/>
              <w:snapToGrid/>
              <w:spacing w:line="240" w:lineRule="auto"/>
              <w:ind w:firstLine="0" w:firstLineChars="0"/>
              <w:contextualSpacing/>
              <w:jc w:val="center"/>
              <w:rPr>
                <w:sz w:val="21"/>
                <w:szCs w:val="21"/>
                <w:highlight w:val="yellow"/>
              </w:rPr>
            </w:pPr>
          </w:p>
        </w:tc>
        <w:tc>
          <w:tcPr>
            <w:tcW w:w="714" w:type="pct"/>
            <w:vAlign w:val="center"/>
          </w:tcPr>
          <w:p w14:paraId="1D3EC20C">
            <w:pPr>
              <w:adjustRightInd/>
              <w:snapToGrid/>
              <w:spacing w:line="240" w:lineRule="auto"/>
              <w:ind w:firstLine="0" w:firstLineChars="0"/>
              <w:contextualSpacing/>
              <w:jc w:val="center"/>
              <w:rPr>
                <w:sz w:val="21"/>
                <w:szCs w:val="21"/>
              </w:rPr>
            </w:pPr>
            <w:r>
              <w:rPr>
                <w:sz w:val="21"/>
                <w:szCs w:val="21"/>
              </w:rPr>
              <w:t>0.002mg/L</w:t>
            </w:r>
          </w:p>
        </w:tc>
        <w:tc>
          <w:tcPr>
            <w:tcW w:w="414" w:type="pct"/>
            <w:vMerge w:val="continue"/>
            <w:vAlign w:val="center"/>
          </w:tcPr>
          <w:p w14:paraId="1D3EC20F">
            <w:pPr>
              <w:adjustRightInd/>
              <w:snapToGrid/>
              <w:spacing w:line="240" w:lineRule="auto"/>
              <w:ind w:firstLine="0" w:firstLineChars="0"/>
              <w:contextualSpacing/>
              <w:jc w:val="center"/>
              <w:rPr>
                <w:sz w:val="21"/>
                <w:szCs w:val="21"/>
                <w:highlight w:val="yellow"/>
              </w:rPr>
            </w:pPr>
          </w:p>
        </w:tc>
      </w:tr>
      <w:tr w14:paraId="1D3EC2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vAlign w:val="center"/>
          </w:tcPr>
          <w:p w14:paraId="1D3EC211">
            <w:pPr>
              <w:adjustRightInd/>
              <w:snapToGrid/>
              <w:spacing w:line="240" w:lineRule="auto"/>
              <w:ind w:firstLine="0" w:firstLineChars="0"/>
              <w:contextualSpacing/>
              <w:jc w:val="center"/>
              <w:rPr>
                <w:sz w:val="21"/>
                <w:szCs w:val="21"/>
              </w:rPr>
            </w:pPr>
            <w:r>
              <w:rPr>
                <w:sz w:val="21"/>
                <w:szCs w:val="21"/>
              </w:rPr>
              <w:t>6</w:t>
            </w:r>
          </w:p>
        </w:tc>
        <w:tc>
          <w:tcPr>
            <w:tcW w:w="686" w:type="pct"/>
            <w:vAlign w:val="center"/>
          </w:tcPr>
          <w:p w14:paraId="1D3EC212">
            <w:pPr>
              <w:adjustRightInd/>
              <w:snapToGrid/>
              <w:spacing w:line="240" w:lineRule="auto"/>
              <w:ind w:firstLine="0" w:firstLineChars="0"/>
              <w:contextualSpacing/>
              <w:jc w:val="center"/>
              <w:rPr>
                <w:sz w:val="21"/>
                <w:szCs w:val="21"/>
              </w:rPr>
            </w:pPr>
            <w:r>
              <w:rPr>
                <w:sz w:val="21"/>
                <w:szCs w:val="21"/>
              </w:rPr>
              <w:t>CO</w:t>
            </w:r>
            <w:r>
              <w:rPr>
                <w:sz w:val="21"/>
                <w:szCs w:val="21"/>
                <w:vertAlign w:val="subscript"/>
              </w:rPr>
              <w:t>3</w:t>
            </w:r>
            <w:r>
              <w:rPr>
                <w:sz w:val="21"/>
                <w:szCs w:val="21"/>
                <w:vertAlign w:val="superscript"/>
              </w:rPr>
              <w:t>2-</w:t>
            </w:r>
          </w:p>
        </w:tc>
        <w:tc>
          <w:tcPr>
            <w:tcW w:w="1855" w:type="pct"/>
            <w:vMerge w:val="restart"/>
            <w:vAlign w:val="center"/>
          </w:tcPr>
          <w:p w14:paraId="1D3EC213">
            <w:pPr>
              <w:adjustRightInd/>
              <w:snapToGrid/>
              <w:spacing w:line="240" w:lineRule="auto"/>
              <w:ind w:firstLine="0" w:firstLineChars="0"/>
              <w:contextualSpacing/>
              <w:jc w:val="center"/>
              <w:rPr>
                <w:sz w:val="21"/>
                <w:szCs w:val="21"/>
                <w:highlight w:val="yellow"/>
              </w:rPr>
            </w:pPr>
            <w:r>
              <w:rPr>
                <w:rFonts w:hint="eastAsia"/>
                <w:sz w:val="21"/>
                <w:szCs w:val="21"/>
              </w:rPr>
              <w:t>地下水质检验方法滴定法测定碳酸根、重碳酸根和氢氧根DZ/T 0064.49-2021</w:t>
            </w:r>
          </w:p>
        </w:tc>
        <w:tc>
          <w:tcPr>
            <w:tcW w:w="1057" w:type="pct"/>
            <w:vMerge w:val="restart"/>
            <w:vAlign w:val="center"/>
          </w:tcPr>
          <w:p w14:paraId="1D3EC214">
            <w:pPr>
              <w:adjustRightInd/>
              <w:snapToGrid/>
              <w:spacing w:line="240" w:lineRule="auto"/>
              <w:ind w:firstLine="0" w:firstLineChars="0"/>
              <w:contextualSpacing/>
              <w:jc w:val="center"/>
              <w:rPr>
                <w:sz w:val="21"/>
                <w:szCs w:val="21"/>
              </w:rPr>
            </w:pPr>
            <w:r>
              <w:rPr>
                <w:rFonts w:hint="eastAsia"/>
                <w:sz w:val="21"/>
                <w:szCs w:val="21"/>
              </w:rPr>
              <w:t>50mL</w:t>
            </w:r>
            <w:r>
              <w:rPr>
                <w:sz w:val="21"/>
                <w:szCs w:val="21"/>
              </w:rPr>
              <w:t>酸式滴定管</w:t>
            </w:r>
          </w:p>
        </w:tc>
        <w:tc>
          <w:tcPr>
            <w:tcW w:w="714" w:type="pct"/>
            <w:vAlign w:val="center"/>
          </w:tcPr>
          <w:p w14:paraId="1D3EC215">
            <w:pPr>
              <w:adjustRightInd/>
              <w:snapToGrid/>
              <w:spacing w:line="240" w:lineRule="auto"/>
              <w:ind w:firstLine="0" w:firstLineChars="0"/>
              <w:contextualSpacing/>
              <w:jc w:val="center"/>
              <w:rPr>
                <w:sz w:val="21"/>
                <w:szCs w:val="21"/>
              </w:rPr>
            </w:pPr>
            <w:r>
              <w:rPr>
                <w:rFonts w:hint="eastAsia"/>
                <w:sz w:val="21"/>
                <w:szCs w:val="21"/>
              </w:rPr>
              <w:t>5mL</w:t>
            </w:r>
          </w:p>
        </w:tc>
        <w:tc>
          <w:tcPr>
            <w:tcW w:w="414" w:type="pct"/>
            <w:vMerge w:val="continue"/>
            <w:vAlign w:val="center"/>
          </w:tcPr>
          <w:p w14:paraId="1D3EC217">
            <w:pPr>
              <w:adjustRightInd/>
              <w:snapToGrid/>
              <w:spacing w:line="240" w:lineRule="auto"/>
              <w:ind w:firstLine="0" w:firstLineChars="0"/>
              <w:contextualSpacing/>
              <w:jc w:val="center"/>
              <w:rPr>
                <w:sz w:val="21"/>
                <w:szCs w:val="21"/>
                <w:highlight w:val="yellow"/>
              </w:rPr>
            </w:pPr>
          </w:p>
        </w:tc>
      </w:tr>
      <w:tr w14:paraId="1D3EC2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vAlign w:val="center"/>
          </w:tcPr>
          <w:p w14:paraId="1D3EC219">
            <w:pPr>
              <w:adjustRightInd/>
              <w:snapToGrid/>
              <w:spacing w:line="240" w:lineRule="auto"/>
              <w:ind w:firstLine="0" w:firstLineChars="0"/>
              <w:contextualSpacing/>
              <w:jc w:val="center"/>
              <w:rPr>
                <w:sz w:val="21"/>
                <w:szCs w:val="21"/>
              </w:rPr>
            </w:pPr>
            <w:r>
              <w:rPr>
                <w:sz w:val="21"/>
                <w:szCs w:val="21"/>
              </w:rPr>
              <w:t>7</w:t>
            </w:r>
          </w:p>
        </w:tc>
        <w:tc>
          <w:tcPr>
            <w:tcW w:w="686" w:type="pct"/>
            <w:vAlign w:val="center"/>
          </w:tcPr>
          <w:p w14:paraId="1D3EC21A">
            <w:pPr>
              <w:adjustRightInd/>
              <w:snapToGrid/>
              <w:spacing w:line="240" w:lineRule="auto"/>
              <w:ind w:firstLine="0" w:firstLineChars="0"/>
              <w:contextualSpacing/>
              <w:jc w:val="center"/>
              <w:rPr>
                <w:sz w:val="21"/>
                <w:szCs w:val="21"/>
              </w:rPr>
            </w:pPr>
            <w:r>
              <w:rPr>
                <w:sz w:val="21"/>
                <w:szCs w:val="21"/>
              </w:rPr>
              <w:t>HCO</w:t>
            </w:r>
            <w:r>
              <w:rPr>
                <w:sz w:val="21"/>
                <w:szCs w:val="21"/>
                <w:vertAlign w:val="subscript"/>
              </w:rPr>
              <w:t>3</w:t>
            </w:r>
            <w:r>
              <w:rPr>
                <w:sz w:val="21"/>
                <w:szCs w:val="21"/>
                <w:vertAlign w:val="superscript"/>
              </w:rPr>
              <w:t>-</w:t>
            </w:r>
          </w:p>
        </w:tc>
        <w:tc>
          <w:tcPr>
            <w:tcW w:w="1855" w:type="pct"/>
            <w:vMerge w:val="continue"/>
            <w:vAlign w:val="center"/>
          </w:tcPr>
          <w:p w14:paraId="1D3EC21B">
            <w:pPr>
              <w:adjustRightInd/>
              <w:snapToGrid/>
              <w:spacing w:line="240" w:lineRule="auto"/>
              <w:ind w:firstLine="0" w:firstLineChars="0"/>
              <w:contextualSpacing/>
              <w:jc w:val="center"/>
              <w:rPr>
                <w:sz w:val="21"/>
                <w:szCs w:val="21"/>
                <w:highlight w:val="yellow"/>
              </w:rPr>
            </w:pPr>
          </w:p>
        </w:tc>
        <w:tc>
          <w:tcPr>
            <w:tcW w:w="1057" w:type="pct"/>
            <w:vMerge w:val="continue"/>
            <w:vAlign w:val="center"/>
          </w:tcPr>
          <w:p w14:paraId="1D3EC21C">
            <w:pPr>
              <w:adjustRightInd/>
              <w:snapToGrid/>
              <w:spacing w:line="240" w:lineRule="auto"/>
              <w:ind w:firstLine="0" w:firstLineChars="0"/>
              <w:contextualSpacing/>
              <w:jc w:val="center"/>
              <w:rPr>
                <w:sz w:val="21"/>
                <w:szCs w:val="21"/>
              </w:rPr>
            </w:pPr>
          </w:p>
        </w:tc>
        <w:tc>
          <w:tcPr>
            <w:tcW w:w="714" w:type="pct"/>
            <w:vAlign w:val="center"/>
          </w:tcPr>
          <w:p w14:paraId="1D3EC21D">
            <w:pPr>
              <w:adjustRightInd/>
              <w:snapToGrid/>
              <w:spacing w:line="240" w:lineRule="auto"/>
              <w:ind w:firstLine="0" w:firstLineChars="0"/>
              <w:contextualSpacing/>
              <w:jc w:val="center"/>
              <w:rPr>
                <w:sz w:val="21"/>
                <w:szCs w:val="21"/>
              </w:rPr>
            </w:pPr>
            <w:r>
              <w:rPr>
                <w:rFonts w:hint="eastAsia"/>
                <w:sz w:val="21"/>
                <w:szCs w:val="21"/>
              </w:rPr>
              <w:t>5mL</w:t>
            </w:r>
          </w:p>
        </w:tc>
        <w:tc>
          <w:tcPr>
            <w:tcW w:w="414" w:type="pct"/>
            <w:vMerge w:val="continue"/>
            <w:vAlign w:val="center"/>
          </w:tcPr>
          <w:p w14:paraId="1D3EC21F">
            <w:pPr>
              <w:adjustRightInd/>
              <w:snapToGrid/>
              <w:spacing w:line="240" w:lineRule="auto"/>
              <w:ind w:firstLine="0" w:firstLineChars="0"/>
              <w:contextualSpacing/>
              <w:jc w:val="center"/>
              <w:rPr>
                <w:sz w:val="21"/>
                <w:szCs w:val="21"/>
                <w:highlight w:val="yellow"/>
              </w:rPr>
            </w:pPr>
          </w:p>
        </w:tc>
      </w:tr>
      <w:tr w14:paraId="1D3EC2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vAlign w:val="center"/>
          </w:tcPr>
          <w:p w14:paraId="1D3EC221">
            <w:pPr>
              <w:adjustRightInd/>
              <w:snapToGrid/>
              <w:spacing w:line="240" w:lineRule="auto"/>
              <w:ind w:firstLine="0" w:firstLineChars="0"/>
              <w:contextualSpacing/>
              <w:jc w:val="center"/>
              <w:rPr>
                <w:sz w:val="21"/>
                <w:szCs w:val="21"/>
              </w:rPr>
            </w:pPr>
            <w:r>
              <w:rPr>
                <w:sz w:val="21"/>
                <w:szCs w:val="21"/>
              </w:rPr>
              <w:t>8</w:t>
            </w:r>
          </w:p>
        </w:tc>
        <w:tc>
          <w:tcPr>
            <w:tcW w:w="686" w:type="pct"/>
            <w:vAlign w:val="center"/>
          </w:tcPr>
          <w:p w14:paraId="1D3EC222">
            <w:pPr>
              <w:adjustRightInd/>
              <w:snapToGrid/>
              <w:spacing w:line="240" w:lineRule="auto"/>
              <w:ind w:firstLine="0" w:firstLineChars="0"/>
              <w:contextualSpacing/>
              <w:jc w:val="center"/>
              <w:rPr>
                <w:sz w:val="21"/>
                <w:szCs w:val="21"/>
              </w:rPr>
            </w:pPr>
            <w:r>
              <w:rPr>
                <w:sz w:val="21"/>
                <w:szCs w:val="21"/>
              </w:rPr>
              <w:t>Cl</w:t>
            </w:r>
            <w:r>
              <w:rPr>
                <w:sz w:val="21"/>
                <w:szCs w:val="21"/>
                <w:vertAlign w:val="superscript"/>
              </w:rPr>
              <w:t>-</w:t>
            </w:r>
          </w:p>
        </w:tc>
        <w:tc>
          <w:tcPr>
            <w:tcW w:w="1855" w:type="pct"/>
            <w:vMerge w:val="restart"/>
            <w:vAlign w:val="center"/>
          </w:tcPr>
          <w:p w14:paraId="1D3EC224">
            <w:pPr>
              <w:adjustRightInd/>
              <w:snapToGrid/>
              <w:spacing w:line="240" w:lineRule="auto"/>
              <w:ind w:firstLine="0" w:firstLineChars="0"/>
              <w:contextualSpacing/>
              <w:jc w:val="center"/>
              <w:rPr>
                <w:sz w:val="21"/>
                <w:szCs w:val="21"/>
              </w:rPr>
            </w:pPr>
            <w:r>
              <w:rPr>
                <w:sz w:val="21"/>
                <w:szCs w:val="21"/>
              </w:rPr>
              <w:t>《水质 无机阴离子（F</w:t>
            </w:r>
            <w:r>
              <w:rPr>
                <w:sz w:val="21"/>
                <w:szCs w:val="21"/>
                <w:vertAlign w:val="superscript"/>
              </w:rPr>
              <w:t>-</w:t>
            </w:r>
            <w:r>
              <w:rPr>
                <w:sz w:val="21"/>
                <w:szCs w:val="21"/>
              </w:rPr>
              <w:t>、Cl</w:t>
            </w:r>
            <w:r>
              <w:rPr>
                <w:sz w:val="21"/>
                <w:szCs w:val="21"/>
                <w:vertAlign w:val="superscript"/>
              </w:rPr>
              <w:t>-</w:t>
            </w:r>
            <w:r>
              <w:rPr>
                <w:sz w:val="21"/>
                <w:szCs w:val="21"/>
              </w:rPr>
              <w:t>、NO</w:t>
            </w:r>
            <w:r>
              <w:rPr>
                <w:sz w:val="21"/>
                <w:szCs w:val="21"/>
                <w:vertAlign w:val="subscript"/>
              </w:rPr>
              <w:t>2</w:t>
            </w:r>
            <w:r>
              <w:rPr>
                <w:sz w:val="21"/>
                <w:szCs w:val="21"/>
                <w:vertAlign w:val="superscript"/>
              </w:rPr>
              <w:t>-</w:t>
            </w:r>
            <w:r>
              <w:rPr>
                <w:sz w:val="21"/>
                <w:szCs w:val="21"/>
              </w:rPr>
              <w:t>、Br</w:t>
            </w:r>
            <w:r>
              <w:rPr>
                <w:sz w:val="21"/>
                <w:szCs w:val="21"/>
                <w:vertAlign w:val="superscript"/>
              </w:rPr>
              <w:t>-</w:t>
            </w:r>
            <w:r>
              <w:rPr>
                <w:sz w:val="21"/>
                <w:szCs w:val="21"/>
              </w:rPr>
              <w:t>、NO</w:t>
            </w:r>
            <w:r>
              <w:rPr>
                <w:sz w:val="21"/>
                <w:szCs w:val="21"/>
                <w:vertAlign w:val="subscript"/>
              </w:rPr>
              <w:t>3</w:t>
            </w:r>
            <w:r>
              <w:rPr>
                <w:sz w:val="21"/>
                <w:szCs w:val="21"/>
                <w:vertAlign w:val="superscript"/>
              </w:rPr>
              <w:t>-</w:t>
            </w:r>
            <w:r>
              <w:rPr>
                <w:sz w:val="21"/>
                <w:szCs w:val="21"/>
              </w:rPr>
              <w:t>、PO</w:t>
            </w:r>
            <w:r>
              <w:rPr>
                <w:sz w:val="21"/>
                <w:szCs w:val="21"/>
                <w:vertAlign w:val="subscript"/>
              </w:rPr>
              <w:t>4</w:t>
            </w:r>
            <w:r>
              <w:rPr>
                <w:sz w:val="21"/>
                <w:szCs w:val="21"/>
                <w:vertAlign w:val="superscript"/>
              </w:rPr>
              <w:t>3-</w:t>
            </w:r>
            <w:r>
              <w:rPr>
                <w:sz w:val="21"/>
                <w:szCs w:val="21"/>
              </w:rPr>
              <w:t>、SO</w:t>
            </w:r>
            <w:r>
              <w:rPr>
                <w:sz w:val="21"/>
                <w:szCs w:val="21"/>
                <w:vertAlign w:val="subscript"/>
              </w:rPr>
              <w:t>3</w:t>
            </w:r>
            <w:r>
              <w:rPr>
                <w:sz w:val="21"/>
                <w:szCs w:val="21"/>
                <w:vertAlign w:val="superscript"/>
              </w:rPr>
              <w:t>2-</w:t>
            </w:r>
            <w:r>
              <w:rPr>
                <w:sz w:val="21"/>
                <w:szCs w:val="21"/>
              </w:rPr>
              <w:t>、SO</w:t>
            </w:r>
            <w:r>
              <w:rPr>
                <w:sz w:val="21"/>
                <w:szCs w:val="21"/>
                <w:vertAlign w:val="subscript"/>
              </w:rPr>
              <w:t>4</w:t>
            </w:r>
            <w:r>
              <w:rPr>
                <w:sz w:val="21"/>
                <w:szCs w:val="21"/>
                <w:vertAlign w:val="superscript"/>
              </w:rPr>
              <w:t>2-</w:t>
            </w:r>
            <w:r>
              <w:rPr>
                <w:sz w:val="21"/>
                <w:szCs w:val="21"/>
              </w:rPr>
              <w:t>）的测定离子色谱法》</w:t>
            </w:r>
            <w:r>
              <w:rPr>
                <w:rFonts w:hint="eastAsia"/>
                <w:sz w:val="21"/>
                <w:szCs w:val="21"/>
              </w:rPr>
              <w:t>（</w:t>
            </w:r>
            <w:r>
              <w:rPr>
                <w:sz w:val="21"/>
                <w:szCs w:val="21"/>
              </w:rPr>
              <w:t>HJ 84-2016</w:t>
            </w:r>
            <w:r>
              <w:rPr>
                <w:rFonts w:hint="eastAsia"/>
                <w:sz w:val="21"/>
                <w:szCs w:val="21"/>
              </w:rPr>
              <w:t>）</w:t>
            </w:r>
          </w:p>
        </w:tc>
        <w:tc>
          <w:tcPr>
            <w:tcW w:w="1057" w:type="pct"/>
            <w:vMerge w:val="restart"/>
            <w:vAlign w:val="center"/>
          </w:tcPr>
          <w:p w14:paraId="1D3EC225">
            <w:pPr>
              <w:adjustRightInd/>
              <w:snapToGrid/>
              <w:spacing w:line="240" w:lineRule="auto"/>
              <w:ind w:firstLine="0" w:firstLineChars="0"/>
              <w:contextualSpacing/>
              <w:jc w:val="center"/>
              <w:rPr>
                <w:sz w:val="21"/>
                <w:szCs w:val="21"/>
              </w:rPr>
            </w:pPr>
            <w:r>
              <w:rPr>
                <w:sz w:val="21"/>
                <w:szCs w:val="21"/>
              </w:rPr>
              <w:t>离子色谱仪</w:t>
            </w:r>
          </w:p>
          <w:p w14:paraId="1D3EC226">
            <w:pPr>
              <w:adjustRightInd/>
              <w:snapToGrid/>
              <w:spacing w:line="240" w:lineRule="auto"/>
              <w:ind w:firstLine="0" w:firstLineChars="0"/>
              <w:contextualSpacing/>
              <w:jc w:val="center"/>
              <w:rPr>
                <w:sz w:val="21"/>
                <w:szCs w:val="21"/>
              </w:rPr>
            </w:pPr>
            <w:r>
              <w:rPr>
                <w:sz w:val="21"/>
                <w:szCs w:val="21"/>
              </w:rPr>
              <w:t>IC</w:t>
            </w:r>
            <w:r>
              <w:rPr>
                <w:rFonts w:hint="eastAsia"/>
                <w:sz w:val="21"/>
                <w:szCs w:val="21"/>
              </w:rPr>
              <w:t>6210</w:t>
            </w:r>
          </w:p>
          <w:p w14:paraId="1D3EC227">
            <w:pPr>
              <w:adjustRightInd/>
              <w:snapToGrid/>
              <w:spacing w:line="240" w:lineRule="auto"/>
              <w:ind w:firstLine="0" w:firstLineChars="0"/>
              <w:contextualSpacing/>
              <w:jc w:val="center"/>
              <w:rPr>
                <w:sz w:val="21"/>
                <w:szCs w:val="21"/>
              </w:rPr>
            </w:pPr>
            <w:r>
              <w:rPr>
                <w:sz w:val="21"/>
                <w:szCs w:val="21"/>
              </w:rPr>
              <w:t>（YFYQ-007-2020）</w:t>
            </w:r>
          </w:p>
        </w:tc>
        <w:tc>
          <w:tcPr>
            <w:tcW w:w="714" w:type="pct"/>
            <w:vAlign w:val="center"/>
          </w:tcPr>
          <w:p w14:paraId="1D3EC229">
            <w:pPr>
              <w:adjustRightInd/>
              <w:snapToGrid/>
              <w:spacing w:line="240" w:lineRule="auto"/>
              <w:ind w:firstLine="0" w:firstLineChars="0"/>
              <w:contextualSpacing/>
              <w:jc w:val="center"/>
              <w:rPr>
                <w:sz w:val="21"/>
                <w:szCs w:val="21"/>
              </w:rPr>
            </w:pPr>
            <w:r>
              <w:rPr>
                <w:sz w:val="21"/>
                <w:szCs w:val="21"/>
              </w:rPr>
              <w:t>0.007mg/L</w:t>
            </w:r>
          </w:p>
        </w:tc>
        <w:tc>
          <w:tcPr>
            <w:tcW w:w="414" w:type="pct"/>
            <w:vMerge w:val="continue"/>
            <w:vAlign w:val="center"/>
          </w:tcPr>
          <w:p w14:paraId="1D3EC22B">
            <w:pPr>
              <w:adjustRightInd/>
              <w:snapToGrid/>
              <w:spacing w:line="240" w:lineRule="auto"/>
              <w:ind w:firstLine="0" w:firstLineChars="0"/>
              <w:contextualSpacing/>
              <w:jc w:val="center"/>
              <w:rPr>
                <w:sz w:val="21"/>
                <w:szCs w:val="21"/>
                <w:highlight w:val="yellow"/>
              </w:rPr>
            </w:pPr>
          </w:p>
        </w:tc>
      </w:tr>
      <w:tr w14:paraId="1D3EC2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2D">
            <w:pPr>
              <w:adjustRightInd/>
              <w:snapToGrid/>
              <w:spacing w:line="240" w:lineRule="auto"/>
              <w:ind w:firstLine="0" w:firstLineChars="0"/>
              <w:contextualSpacing/>
              <w:jc w:val="center"/>
              <w:rPr>
                <w:sz w:val="21"/>
                <w:szCs w:val="21"/>
              </w:rPr>
            </w:pPr>
            <w:r>
              <w:rPr>
                <w:sz w:val="21"/>
                <w:szCs w:val="21"/>
              </w:rPr>
              <w:t>9</w:t>
            </w:r>
          </w:p>
        </w:tc>
        <w:tc>
          <w:tcPr>
            <w:tcW w:w="686" w:type="pct"/>
            <w:vAlign w:val="center"/>
          </w:tcPr>
          <w:p w14:paraId="1D3EC22E">
            <w:pPr>
              <w:adjustRightInd/>
              <w:snapToGrid/>
              <w:spacing w:line="240" w:lineRule="auto"/>
              <w:ind w:firstLine="0" w:firstLineChars="0"/>
              <w:contextualSpacing/>
              <w:jc w:val="center"/>
              <w:rPr>
                <w:sz w:val="21"/>
                <w:szCs w:val="21"/>
              </w:rPr>
            </w:pPr>
            <w:r>
              <w:rPr>
                <w:sz w:val="21"/>
                <w:szCs w:val="21"/>
              </w:rPr>
              <w:t>SO</w:t>
            </w:r>
            <w:r>
              <w:rPr>
                <w:sz w:val="21"/>
                <w:szCs w:val="21"/>
                <w:vertAlign w:val="subscript"/>
              </w:rPr>
              <w:t>4</w:t>
            </w:r>
            <w:r>
              <w:rPr>
                <w:sz w:val="21"/>
                <w:szCs w:val="21"/>
                <w:vertAlign w:val="superscript"/>
              </w:rPr>
              <w:t>2-</w:t>
            </w:r>
          </w:p>
        </w:tc>
        <w:tc>
          <w:tcPr>
            <w:tcW w:w="1855" w:type="pct"/>
            <w:vMerge w:val="continue"/>
            <w:vAlign w:val="center"/>
          </w:tcPr>
          <w:p w14:paraId="1D3EC22F">
            <w:pPr>
              <w:adjustRightInd/>
              <w:snapToGrid/>
              <w:spacing w:line="240" w:lineRule="auto"/>
              <w:ind w:firstLine="0" w:firstLineChars="0"/>
              <w:contextualSpacing/>
              <w:jc w:val="center"/>
              <w:rPr>
                <w:bCs/>
                <w:kern w:val="2"/>
                <w:sz w:val="21"/>
                <w:szCs w:val="21"/>
              </w:rPr>
            </w:pPr>
          </w:p>
        </w:tc>
        <w:tc>
          <w:tcPr>
            <w:tcW w:w="1057" w:type="pct"/>
            <w:vMerge w:val="continue"/>
            <w:vAlign w:val="center"/>
          </w:tcPr>
          <w:p w14:paraId="1D3EC230">
            <w:pPr>
              <w:adjustRightInd/>
              <w:snapToGrid/>
              <w:spacing w:line="240" w:lineRule="auto"/>
              <w:ind w:firstLine="0" w:firstLineChars="0"/>
              <w:contextualSpacing/>
              <w:jc w:val="center"/>
              <w:rPr>
                <w:kern w:val="2"/>
                <w:sz w:val="21"/>
                <w:szCs w:val="21"/>
              </w:rPr>
            </w:pPr>
          </w:p>
        </w:tc>
        <w:tc>
          <w:tcPr>
            <w:tcW w:w="714" w:type="pct"/>
            <w:vAlign w:val="center"/>
          </w:tcPr>
          <w:p w14:paraId="1D3EC232">
            <w:pPr>
              <w:adjustRightInd/>
              <w:snapToGrid/>
              <w:spacing w:line="240" w:lineRule="auto"/>
              <w:ind w:firstLine="0" w:firstLineChars="0"/>
              <w:contextualSpacing/>
              <w:jc w:val="center"/>
              <w:rPr>
                <w:sz w:val="21"/>
                <w:szCs w:val="21"/>
              </w:rPr>
            </w:pPr>
            <w:r>
              <w:rPr>
                <w:sz w:val="21"/>
                <w:szCs w:val="21"/>
              </w:rPr>
              <w:t>0.018mg/L</w:t>
            </w:r>
          </w:p>
        </w:tc>
        <w:tc>
          <w:tcPr>
            <w:tcW w:w="414" w:type="pct"/>
            <w:vMerge w:val="continue"/>
            <w:vAlign w:val="center"/>
          </w:tcPr>
          <w:p w14:paraId="1D3EC234">
            <w:pPr>
              <w:adjustRightInd/>
              <w:snapToGrid/>
              <w:spacing w:line="240" w:lineRule="auto"/>
              <w:ind w:firstLine="0" w:firstLineChars="0"/>
              <w:contextualSpacing/>
              <w:jc w:val="center"/>
              <w:rPr>
                <w:sz w:val="21"/>
                <w:szCs w:val="21"/>
                <w:highlight w:val="yellow"/>
              </w:rPr>
            </w:pPr>
          </w:p>
        </w:tc>
      </w:tr>
      <w:tr w14:paraId="1D3EC2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36">
            <w:pPr>
              <w:adjustRightInd/>
              <w:snapToGrid/>
              <w:spacing w:line="240" w:lineRule="auto"/>
              <w:ind w:firstLine="0" w:firstLineChars="0"/>
              <w:contextualSpacing/>
              <w:jc w:val="center"/>
              <w:rPr>
                <w:sz w:val="21"/>
                <w:szCs w:val="21"/>
              </w:rPr>
            </w:pPr>
            <w:r>
              <w:rPr>
                <w:sz w:val="21"/>
                <w:szCs w:val="21"/>
              </w:rPr>
              <w:t>10</w:t>
            </w:r>
          </w:p>
        </w:tc>
        <w:tc>
          <w:tcPr>
            <w:tcW w:w="686" w:type="pct"/>
            <w:vAlign w:val="center"/>
          </w:tcPr>
          <w:p w14:paraId="1D3EC237">
            <w:pPr>
              <w:adjustRightInd/>
              <w:snapToGrid/>
              <w:spacing w:line="240" w:lineRule="auto"/>
              <w:ind w:firstLine="0" w:firstLineChars="0"/>
              <w:contextualSpacing/>
              <w:jc w:val="center"/>
              <w:rPr>
                <w:sz w:val="21"/>
                <w:szCs w:val="21"/>
              </w:rPr>
            </w:pPr>
            <w:r>
              <w:rPr>
                <w:sz w:val="21"/>
                <w:szCs w:val="21"/>
              </w:rPr>
              <w:t>氨氮</w:t>
            </w:r>
          </w:p>
        </w:tc>
        <w:tc>
          <w:tcPr>
            <w:tcW w:w="1855" w:type="pct"/>
            <w:vAlign w:val="center"/>
          </w:tcPr>
          <w:p w14:paraId="1D3EC239">
            <w:pPr>
              <w:adjustRightInd/>
              <w:snapToGrid/>
              <w:spacing w:line="240" w:lineRule="auto"/>
              <w:ind w:firstLine="0" w:firstLineChars="0"/>
              <w:contextualSpacing/>
              <w:jc w:val="center"/>
              <w:rPr>
                <w:bCs/>
                <w:kern w:val="2"/>
                <w:sz w:val="21"/>
                <w:szCs w:val="21"/>
              </w:rPr>
            </w:pPr>
            <w:r>
              <w:rPr>
                <w:sz w:val="21"/>
                <w:szCs w:val="21"/>
              </w:rPr>
              <w:t>《水质 氨氮的测定纳氏试剂分光光度法》</w:t>
            </w:r>
            <w:r>
              <w:rPr>
                <w:rFonts w:hint="eastAsia"/>
                <w:sz w:val="21"/>
                <w:szCs w:val="21"/>
              </w:rPr>
              <w:t>（</w:t>
            </w:r>
            <w:r>
              <w:rPr>
                <w:sz w:val="21"/>
                <w:szCs w:val="21"/>
              </w:rPr>
              <w:t>HJ 535-2009</w:t>
            </w:r>
            <w:r>
              <w:rPr>
                <w:rFonts w:hint="eastAsia"/>
                <w:sz w:val="21"/>
                <w:szCs w:val="21"/>
              </w:rPr>
              <w:t>）</w:t>
            </w:r>
          </w:p>
        </w:tc>
        <w:tc>
          <w:tcPr>
            <w:tcW w:w="1057" w:type="pct"/>
            <w:vAlign w:val="center"/>
          </w:tcPr>
          <w:p w14:paraId="064548C0">
            <w:pPr>
              <w:adjustRightInd/>
              <w:snapToGrid/>
              <w:spacing w:line="240" w:lineRule="auto"/>
              <w:ind w:firstLine="0" w:firstLineChars="0"/>
              <w:contextualSpacing/>
              <w:jc w:val="center"/>
              <w:rPr>
                <w:sz w:val="21"/>
                <w:szCs w:val="21"/>
              </w:rPr>
            </w:pPr>
            <w:r>
              <w:rPr>
                <w:rFonts w:hint="eastAsia"/>
                <w:sz w:val="21"/>
                <w:szCs w:val="21"/>
              </w:rPr>
              <w:t>可见分光光度计</w:t>
            </w:r>
          </w:p>
          <w:p w14:paraId="1D3EC23B">
            <w:pPr>
              <w:adjustRightInd/>
              <w:snapToGrid/>
              <w:spacing w:line="240" w:lineRule="auto"/>
              <w:ind w:firstLine="0" w:firstLineChars="0"/>
              <w:contextualSpacing/>
              <w:jc w:val="center"/>
              <w:rPr>
                <w:kern w:val="2"/>
                <w:sz w:val="21"/>
                <w:szCs w:val="21"/>
                <w:highlight w:val="yellow"/>
              </w:rPr>
            </w:pPr>
            <w:r>
              <w:rPr>
                <w:rFonts w:hint="eastAsia"/>
                <w:sz w:val="21"/>
                <w:szCs w:val="21"/>
              </w:rPr>
              <w:t>上海佑科721/3级</w:t>
            </w:r>
          </w:p>
        </w:tc>
        <w:tc>
          <w:tcPr>
            <w:tcW w:w="714" w:type="pct"/>
            <w:vAlign w:val="center"/>
          </w:tcPr>
          <w:p w14:paraId="1D3EC23D">
            <w:pPr>
              <w:adjustRightInd/>
              <w:snapToGrid/>
              <w:spacing w:line="240" w:lineRule="auto"/>
              <w:ind w:firstLine="0" w:firstLineChars="0"/>
              <w:contextualSpacing/>
              <w:jc w:val="center"/>
              <w:rPr>
                <w:sz w:val="21"/>
                <w:szCs w:val="21"/>
              </w:rPr>
            </w:pPr>
            <w:r>
              <w:rPr>
                <w:sz w:val="21"/>
                <w:szCs w:val="21"/>
              </w:rPr>
              <w:t>0.025mg/L</w:t>
            </w:r>
          </w:p>
        </w:tc>
        <w:tc>
          <w:tcPr>
            <w:tcW w:w="414" w:type="pct"/>
            <w:vMerge w:val="continue"/>
            <w:vAlign w:val="center"/>
          </w:tcPr>
          <w:p w14:paraId="1D3EC23F">
            <w:pPr>
              <w:adjustRightInd/>
              <w:snapToGrid/>
              <w:spacing w:line="240" w:lineRule="auto"/>
              <w:ind w:firstLine="0" w:firstLineChars="0"/>
              <w:contextualSpacing/>
              <w:jc w:val="center"/>
              <w:rPr>
                <w:sz w:val="21"/>
                <w:szCs w:val="21"/>
                <w:highlight w:val="yellow"/>
              </w:rPr>
            </w:pPr>
          </w:p>
        </w:tc>
      </w:tr>
      <w:tr w14:paraId="1D3EC2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41">
            <w:pPr>
              <w:adjustRightInd/>
              <w:snapToGrid/>
              <w:spacing w:line="240" w:lineRule="auto"/>
              <w:ind w:firstLine="0" w:firstLineChars="0"/>
              <w:contextualSpacing/>
              <w:jc w:val="center"/>
              <w:rPr>
                <w:sz w:val="21"/>
                <w:szCs w:val="21"/>
              </w:rPr>
            </w:pPr>
            <w:r>
              <w:rPr>
                <w:sz w:val="21"/>
                <w:szCs w:val="21"/>
              </w:rPr>
              <w:t>11</w:t>
            </w:r>
          </w:p>
        </w:tc>
        <w:tc>
          <w:tcPr>
            <w:tcW w:w="686" w:type="pct"/>
            <w:vAlign w:val="center"/>
          </w:tcPr>
          <w:p w14:paraId="1D3EC242">
            <w:pPr>
              <w:adjustRightInd/>
              <w:snapToGrid/>
              <w:spacing w:line="240" w:lineRule="auto"/>
              <w:ind w:firstLine="0" w:firstLineChars="0"/>
              <w:contextualSpacing/>
              <w:jc w:val="center"/>
              <w:rPr>
                <w:sz w:val="21"/>
                <w:szCs w:val="21"/>
              </w:rPr>
            </w:pPr>
            <w:r>
              <w:rPr>
                <w:sz w:val="21"/>
                <w:szCs w:val="21"/>
              </w:rPr>
              <w:t>硝酸盐</w:t>
            </w:r>
          </w:p>
        </w:tc>
        <w:tc>
          <w:tcPr>
            <w:tcW w:w="1855" w:type="pct"/>
            <w:vAlign w:val="center"/>
          </w:tcPr>
          <w:p w14:paraId="579AF413">
            <w:pPr>
              <w:adjustRightInd/>
              <w:snapToGrid/>
              <w:spacing w:line="240" w:lineRule="auto"/>
              <w:ind w:firstLine="0" w:firstLineChars="0"/>
              <w:contextualSpacing/>
              <w:jc w:val="center"/>
              <w:rPr>
                <w:sz w:val="21"/>
                <w:szCs w:val="21"/>
              </w:rPr>
            </w:pPr>
            <w:r>
              <w:rPr>
                <w:sz w:val="21"/>
                <w:szCs w:val="21"/>
              </w:rPr>
              <w:t>《水质 硝酸盐氮的测定酚二磺酸分光光度法》</w:t>
            </w:r>
          </w:p>
          <w:p w14:paraId="1D3EC243">
            <w:pPr>
              <w:adjustRightInd/>
              <w:snapToGrid/>
              <w:spacing w:line="240" w:lineRule="auto"/>
              <w:ind w:firstLine="0" w:firstLineChars="0"/>
              <w:contextualSpacing/>
              <w:jc w:val="center"/>
              <w:rPr>
                <w:sz w:val="21"/>
                <w:szCs w:val="21"/>
              </w:rPr>
            </w:pPr>
            <w:r>
              <w:rPr>
                <w:rFonts w:hint="eastAsia"/>
                <w:sz w:val="21"/>
                <w:szCs w:val="21"/>
              </w:rPr>
              <w:t>（</w:t>
            </w:r>
            <w:r>
              <w:rPr>
                <w:sz w:val="21"/>
                <w:szCs w:val="21"/>
              </w:rPr>
              <w:t>GB/T 7480-1987</w:t>
            </w:r>
            <w:r>
              <w:rPr>
                <w:rFonts w:hint="eastAsia"/>
                <w:sz w:val="21"/>
                <w:szCs w:val="21"/>
              </w:rPr>
              <w:t>）</w:t>
            </w:r>
          </w:p>
        </w:tc>
        <w:tc>
          <w:tcPr>
            <w:tcW w:w="1057" w:type="pct"/>
            <w:vAlign w:val="center"/>
          </w:tcPr>
          <w:p w14:paraId="0461979F">
            <w:pPr>
              <w:adjustRightInd/>
              <w:snapToGrid/>
              <w:spacing w:line="240" w:lineRule="auto"/>
              <w:ind w:firstLine="0" w:firstLineChars="0"/>
              <w:contextualSpacing/>
              <w:jc w:val="center"/>
              <w:rPr>
                <w:sz w:val="21"/>
                <w:szCs w:val="21"/>
              </w:rPr>
            </w:pPr>
            <w:r>
              <w:rPr>
                <w:rFonts w:hint="eastAsia"/>
                <w:sz w:val="21"/>
                <w:szCs w:val="21"/>
              </w:rPr>
              <w:t>可见分光光度计</w:t>
            </w:r>
          </w:p>
          <w:p w14:paraId="1D3EC245">
            <w:pPr>
              <w:adjustRightInd/>
              <w:snapToGrid/>
              <w:spacing w:line="240" w:lineRule="auto"/>
              <w:ind w:firstLine="0" w:firstLineChars="0"/>
              <w:contextualSpacing/>
              <w:jc w:val="center"/>
              <w:rPr>
                <w:sz w:val="21"/>
                <w:szCs w:val="21"/>
                <w:highlight w:val="yellow"/>
              </w:rPr>
            </w:pPr>
            <w:r>
              <w:rPr>
                <w:rFonts w:hint="eastAsia"/>
                <w:sz w:val="21"/>
                <w:szCs w:val="21"/>
              </w:rPr>
              <w:t>上海佑科721/3级</w:t>
            </w:r>
          </w:p>
        </w:tc>
        <w:tc>
          <w:tcPr>
            <w:tcW w:w="714" w:type="pct"/>
            <w:vAlign w:val="center"/>
          </w:tcPr>
          <w:p w14:paraId="1D3EC246">
            <w:pPr>
              <w:adjustRightInd/>
              <w:snapToGrid/>
              <w:spacing w:line="240" w:lineRule="auto"/>
              <w:ind w:firstLine="0" w:firstLineChars="0"/>
              <w:contextualSpacing/>
              <w:jc w:val="center"/>
              <w:rPr>
                <w:sz w:val="21"/>
                <w:szCs w:val="21"/>
              </w:rPr>
            </w:pPr>
            <w:r>
              <w:rPr>
                <w:sz w:val="21"/>
                <w:szCs w:val="21"/>
              </w:rPr>
              <w:t>0.02mg/L</w:t>
            </w:r>
          </w:p>
        </w:tc>
        <w:tc>
          <w:tcPr>
            <w:tcW w:w="414" w:type="pct"/>
            <w:vMerge w:val="continue"/>
            <w:vAlign w:val="center"/>
          </w:tcPr>
          <w:p w14:paraId="1D3EC249">
            <w:pPr>
              <w:adjustRightInd/>
              <w:snapToGrid/>
              <w:spacing w:line="240" w:lineRule="auto"/>
              <w:ind w:firstLine="0" w:firstLineChars="0"/>
              <w:contextualSpacing/>
              <w:jc w:val="center"/>
              <w:rPr>
                <w:sz w:val="21"/>
                <w:szCs w:val="21"/>
                <w:highlight w:val="yellow"/>
              </w:rPr>
            </w:pPr>
          </w:p>
        </w:tc>
      </w:tr>
      <w:tr w14:paraId="1D3EC2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4B">
            <w:pPr>
              <w:adjustRightInd/>
              <w:snapToGrid/>
              <w:spacing w:line="240" w:lineRule="auto"/>
              <w:ind w:firstLine="0" w:firstLineChars="0"/>
              <w:contextualSpacing/>
              <w:jc w:val="center"/>
              <w:rPr>
                <w:sz w:val="21"/>
                <w:szCs w:val="21"/>
              </w:rPr>
            </w:pPr>
            <w:r>
              <w:rPr>
                <w:sz w:val="21"/>
                <w:szCs w:val="21"/>
              </w:rPr>
              <w:t>12</w:t>
            </w:r>
          </w:p>
        </w:tc>
        <w:tc>
          <w:tcPr>
            <w:tcW w:w="686" w:type="pct"/>
            <w:vAlign w:val="center"/>
          </w:tcPr>
          <w:p w14:paraId="1D3EC24C">
            <w:pPr>
              <w:adjustRightInd/>
              <w:snapToGrid/>
              <w:spacing w:line="240" w:lineRule="auto"/>
              <w:ind w:firstLine="0" w:firstLineChars="0"/>
              <w:contextualSpacing/>
              <w:jc w:val="center"/>
              <w:rPr>
                <w:sz w:val="21"/>
                <w:szCs w:val="21"/>
              </w:rPr>
            </w:pPr>
            <w:r>
              <w:rPr>
                <w:sz w:val="21"/>
                <w:szCs w:val="21"/>
              </w:rPr>
              <w:t>亚硝酸盐</w:t>
            </w:r>
          </w:p>
        </w:tc>
        <w:tc>
          <w:tcPr>
            <w:tcW w:w="1855" w:type="pct"/>
            <w:vAlign w:val="center"/>
          </w:tcPr>
          <w:p w14:paraId="1D3EC24E">
            <w:pPr>
              <w:adjustRightInd/>
              <w:snapToGrid/>
              <w:spacing w:line="240" w:lineRule="auto"/>
              <w:ind w:firstLine="0" w:firstLineChars="0"/>
              <w:contextualSpacing/>
              <w:jc w:val="center"/>
              <w:rPr>
                <w:sz w:val="21"/>
                <w:szCs w:val="21"/>
              </w:rPr>
            </w:pPr>
            <w:r>
              <w:rPr>
                <w:sz w:val="21"/>
                <w:szCs w:val="21"/>
              </w:rPr>
              <w:t>《水质 亚硝酸盐氮的测定分光光度法》</w:t>
            </w:r>
            <w:r>
              <w:rPr>
                <w:rFonts w:hint="eastAsia"/>
                <w:sz w:val="21"/>
                <w:szCs w:val="21"/>
              </w:rPr>
              <w:t>（</w:t>
            </w:r>
            <w:r>
              <w:rPr>
                <w:sz w:val="21"/>
                <w:szCs w:val="21"/>
              </w:rPr>
              <w:t>GB/T 7493-1987</w:t>
            </w:r>
            <w:r>
              <w:rPr>
                <w:rFonts w:hint="eastAsia"/>
                <w:sz w:val="21"/>
                <w:szCs w:val="21"/>
              </w:rPr>
              <w:t>）</w:t>
            </w:r>
          </w:p>
        </w:tc>
        <w:tc>
          <w:tcPr>
            <w:tcW w:w="1057" w:type="pct"/>
            <w:vAlign w:val="center"/>
          </w:tcPr>
          <w:p w14:paraId="630FA7DC">
            <w:pPr>
              <w:adjustRightInd/>
              <w:snapToGrid/>
              <w:spacing w:line="240" w:lineRule="auto"/>
              <w:ind w:firstLine="0" w:firstLineChars="0"/>
              <w:contextualSpacing/>
              <w:jc w:val="center"/>
              <w:rPr>
                <w:sz w:val="21"/>
                <w:szCs w:val="21"/>
              </w:rPr>
            </w:pPr>
            <w:r>
              <w:rPr>
                <w:rFonts w:hint="eastAsia"/>
                <w:sz w:val="21"/>
                <w:szCs w:val="21"/>
              </w:rPr>
              <w:t>可见分光光度计</w:t>
            </w:r>
          </w:p>
          <w:p w14:paraId="1D3EC250">
            <w:pPr>
              <w:adjustRightInd/>
              <w:snapToGrid/>
              <w:spacing w:line="240" w:lineRule="auto"/>
              <w:ind w:firstLine="0" w:firstLineChars="0"/>
              <w:contextualSpacing/>
              <w:jc w:val="center"/>
              <w:rPr>
                <w:sz w:val="21"/>
                <w:szCs w:val="21"/>
                <w:highlight w:val="yellow"/>
              </w:rPr>
            </w:pPr>
            <w:r>
              <w:rPr>
                <w:rFonts w:hint="eastAsia"/>
                <w:sz w:val="21"/>
                <w:szCs w:val="21"/>
              </w:rPr>
              <w:t>上海佑科721/3级</w:t>
            </w:r>
          </w:p>
        </w:tc>
        <w:tc>
          <w:tcPr>
            <w:tcW w:w="714" w:type="pct"/>
            <w:vAlign w:val="center"/>
          </w:tcPr>
          <w:p w14:paraId="1D3EC251">
            <w:pPr>
              <w:adjustRightInd/>
              <w:snapToGrid/>
              <w:spacing w:line="240" w:lineRule="auto"/>
              <w:ind w:firstLine="0" w:firstLineChars="0"/>
              <w:contextualSpacing/>
              <w:jc w:val="center"/>
              <w:rPr>
                <w:sz w:val="21"/>
                <w:szCs w:val="21"/>
              </w:rPr>
            </w:pPr>
            <w:r>
              <w:rPr>
                <w:sz w:val="21"/>
                <w:szCs w:val="21"/>
              </w:rPr>
              <w:t>0.003mg/L</w:t>
            </w:r>
          </w:p>
        </w:tc>
        <w:tc>
          <w:tcPr>
            <w:tcW w:w="414" w:type="pct"/>
            <w:vMerge w:val="continue"/>
            <w:vAlign w:val="center"/>
          </w:tcPr>
          <w:p w14:paraId="1D3EC254">
            <w:pPr>
              <w:adjustRightInd/>
              <w:snapToGrid/>
              <w:spacing w:line="240" w:lineRule="auto"/>
              <w:ind w:firstLine="0" w:firstLineChars="0"/>
              <w:contextualSpacing/>
              <w:jc w:val="center"/>
              <w:rPr>
                <w:sz w:val="21"/>
                <w:szCs w:val="21"/>
                <w:highlight w:val="yellow"/>
              </w:rPr>
            </w:pPr>
          </w:p>
        </w:tc>
      </w:tr>
      <w:tr w14:paraId="1D3EC2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56">
            <w:pPr>
              <w:adjustRightInd/>
              <w:snapToGrid/>
              <w:spacing w:line="240" w:lineRule="auto"/>
              <w:ind w:firstLine="0" w:firstLineChars="0"/>
              <w:contextualSpacing/>
              <w:jc w:val="center"/>
              <w:rPr>
                <w:sz w:val="21"/>
                <w:szCs w:val="21"/>
              </w:rPr>
            </w:pPr>
            <w:r>
              <w:rPr>
                <w:sz w:val="21"/>
                <w:szCs w:val="21"/>
              </w:rPr>
              <w:t>13</w:t>
            </w:r>
          </w:p>
        </w:tc>
        <w:tc>
          <w:tcPr>
            <w:tcW w:w="686" w:type="pct"/>
            <w:vAlign w:val="center"/>
          </w:tcPr>
          <w:p w14:paraId="1D3EC257">
            <w:pPr>
              <w:adjustRightInd/>
              <w:snapToGrid/>
              <w:spacing w:line="240" w:lineRule="auto"/>
              <w:ind w:firstLine="0" w:firstLineChars="0"/>
              <w:contextualSpacing/>
              <w:jc w:val="center"/>
              <w:rPr>
                <w:sz w:val="21"/>
                <w:szCs w:val="21"/>
              </w:rPr>
            </w:pPr>
            <w:r>
              <w:rPr>
                <w:sz w:val="21"/>
                <w:szCs w:val="21"/>
              </w:rPr>
              <w:t>挥发</w:t>
            </w:r>
            <w:r>
              <w:rPr>
                <w:rFonts w:hint="eastAsia"/>
                <w:sz w:val="21"/>
                <w:szCs w:val="21"/>
              </w:rPr>
              <w:t>性</w:t>
            </w:r>
            <w:r>
              <w:rPr>
                <w:sz w:val="21"/>
                <w:szCs w:val="21"/>
              </w:rPr>
              <w:t>酚</w:t>
            </w:r>
            <w:r>
              <w:rPr>
                <w:rFonts w:hint="eastAsia"/>
                <w:sz w:val="21"/>
                <w:szCs w:val="21"/>
              </w:rPr>
              <w:t>类</w:t>
            </w:r>
          </w:p>
        </w:tc>
        <w:tc>
          <w:tcPr>
            <w:tcW w:w="1855" w:type="pct"/>
            <w:vAlign w:val="center"/>
          </w:tcPr>
          <w:p w14:paraId="5FE33BD0">
            <w:pPr>
              <w:adjustRightInd/>
              <w:snapToGrid/>
              <w:spacing w:line="240" w:lineRule="auto"/>
              <w:ind w:firstLine="0" w:firstLineChars="0"/>
              <w:contextualSpacing/>
              <w:jc w:val="center"/>
              <w:rPr>
                <w:sz w:val="21"/>
                <w:szCs w:val="21"/>
              </w:rPr>
            </w:pPr>
            <w:r>
              <w:rPr>
                <w:sz w:val="21"/>
                <w:szCs w:val="21"/>
              </w:rPr>
              <w:t>《水质 挥发酚的测定 4-氨基安替比林分光光度法》</w:t>
            </w:r>
          </w:p>
          <w:p w14:paraId="1D3EC258">
            <w:pPr>
              <w:adjustRightInd/>
              <w:snapToGrid/>
              <w:spacing w:line="240" w:lineRule="auto"/>
              <w:ind w:firstLine="0" w:firstLineChars="0"/>
              <w:contextualSpacing/>
              <w:jc w:val="center"/>
              <w:rPr>
                <w:sz w:val="21"/>
                <w:szCs w:val="21"/>
              </w:rPr>
            </w:pPr>
            <w:r>
              <w:rPr>
                <w:rFonts w:hint="eastAsia"/>
                <w:sz w:val="21"/>
                <w:szCs w:val="21"/>
              </w:rPr>
              <w:t>（</w:t>
            </w:r>
            <w:r>
              <w:rPr>
                <w:sz w:val="21"/>
                <w:szCs w:val="21"/>
              </w:rPr>
              <w:t>HJ 503-2009</w:t>
            </w:r>
            <w:r>
              <w:rPr>
                <w:rFonts w:hint="eastAsia"/>
                <w:sz w:val="21"/>
                <w:szCs w:val="21"/>
              </w:rPr>
              <w:t>）</w:t>
            </w:r>
          </w:p>
        </w:tc>
        <w:tc>
          <w:tcPr>
            <w:tcW w:w="1057" w:type="pct"/>
            <w:vAlign w:val="center"/>
          </w:tcPr>
          <w:p w14:paraId="5EB6699B">
            <w:pPr>
              <w:adjustRightInd/>
              <w:snapToGrid/>
              <w:spacing w:line="240" w:lineRule="auto"/>
              <w:ind w:firstLine="0" w:firstLineChars="0"/>
              <w:contextualSpacing/>
              <w:jc w:val="center"/>
              <w:rPr>
                <w:sz w:val="21"/>
                <w:szCs w:val="21"/>
              </w:rPr>
            </w:pPr>
            <w:r>
              <w:rPr>
                <w:rFonts w:hint="eastAsia"/>
                <w:sz w:val="21"/>
                <w:szCs w:val="21"/>
              </w:rPr>
              <w:t>可见分光光度计</w:t>
            </w:r>
          </w:p>
          <w:p w14:paraId="1D3EC25A">
            <w:pPr>
              <w:adjustRightInd/>
              <w:snapToGrid/>
              <w:spacing w:line="240" w:lineRule="auto"/>
              <w:ind w:firstLine="0" w:firstLineChars="0"/>
              <w:contextualSpacing/>
              <w:jc w:val="center"/>
              <w:rPr>
                <w:sz w:val="21"/>
                <w:szCs w:val="21"/>
                <w:highlight w:val="yellow"/>
              </w:rPr>
            </w:pPr>
            <w:r>
              <w:rPr>
                <w:rFonts w:hint="eastAsia"/>
                <w:sz w:val="21"/>
                <w:szCs w:val="21"/>
              </w:rPr>
              <w:t>上海佑科721/3级</w:t>
            </w:r>
          </w:p>
        </w:tc>
        <w:tc>
          <w:tcPr>
            <w:tcW w:w="714" w:type="pct"/>
            <w:vAlign w:val="center"/>
          </w:tcPr>
          <w:p w14:paraId="1D3EC25C">
            <w:pPr>
              <w:adjustRightInd/>
              <w:snapToGrid/>
              <w:spacing w:line="240" w:lineRule="auto"/>
              <w:ind w:firstLine="0" w:firstLineChars="0"/>
              <w:contextualSpacing/>
              <w:jc w:val="center"/>
              <w:rPr>
                <w:sz w:val="21"/>
                <w:szCs w:val="21"/>
              </w:rPr>
            </w:pPr>
            <w:r>
              <w:rPr>
                <w:sz w:val="21"/>
                <w:szCs w:val="21"/>
              </w:rPr>
              <w:t>0.0003mg/L</w:t>
            </w:r>
          </w:p>
        </w:tc>
        <w:tc>
          <w:tcPr>
            <w:tcW w:w="414" w:type="pct"/>
            <w:vMerge w:val="continue"/>
            <w:vAlign w:val="center"/>
          </w:tcPr>
          <w:p w14:paraId="1D3EC25E">
            <w:pPr>
              <w:adjustRightInd/>
              <w:snapToGrid/>
              <w:spacing w:line="240" w:lineRule="auto"/>
              <w:ind w:firstLine="0" w:firstLineChars="0"/>
              <w:contextualSpacing/>
              <w:jc w:val="center"/>
              <w:rPr>
                <w:sz w:val="21"/>
                <w:szCs w:val="21"/>
                <w:highlight w:val="yellow"/>
              </w:rPr>
            </w:pPr>
          </w:p>
        </w:tc>
      </w:tr>
      <w:tr w14:paraId="1D3EC2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60">
            <w:pPr>
              <w:adjustRightInd/>
              <w:snapToGrid/>
              <w:spacing w:line="240" w:lineRule="auto"/>
              <w:ind w:firstLine="0" w:firstLineChars="0"/>
              <w:contextualSpacing/>
              <w:jc w:val="center"/>
              <w:rPr>
                <w:sz w:val="21"/>
                <w:szCs w:val="21"/>
              </w:rPr>
            </w:pPr>
            <w:r>
              <w:rPr>
                <w:sz w:val="21"/>
                <w:szCs w:val="21"/>
              </w:rPr>
              <w:t>14</w:t>
            </w:r>
          </w:p>
        </w:tc>
        <w:tc>
          <w:tcPr>
            <w:tcW w:w="686" w:type="pct"/>
            <w:vAlign w:val="center"/>
          </w:tcPr>
          <w:p w14:paraId="1D3EC261">
            <w:pPr>
              <w:adjustRightInd/>
              <w:snapToGrid/>
              <w:spacing w:line="240" w:lineRule="auto"/>
              <w:ind w:firstLine="0" w:firstLineChars="0"/>
              <w:contextualSpacing/>
              <w:jc w:val="center"/>
              <w:rPr>
                <w:sz w:val="21"/>
                <w:szCs w:val="21"/>
              </w:rPr>
            </w:pPr>
            <w:r>
              <w:rPr>
                <w:sz w:val="21"/>
                <w:szCs w:val="21"/>
              </w:rPr>
              <w:t>氰化物</w:t>
            </w:r>
          </w:p>
        </w:tc>
        <w:tc>
          <w:tcPr>
            <w:tcW w:w="1855" w:type="pct"/>
            <w:vAlign w:val="center"/>
          </w:tcPr>
          <w:p w14:paraId="1D3EC262">
            <w:pPr>
              <w:adjustRightInd/>
              <w:snapToGrid/>
              <w:spacing w:line="240" w:lineRule="auto"/>
              <w:ind w:firstLine="0" w:firstLineChars="0"/>
              <w:contextualSpacing/>
              <w:jc w:val="center"/>
              <w:rPr>
                <w:sz w:val="21"/>
                <w:szCs w:val="21"/>
              </w:rPr>
            </w:pPr>
            <w:r>
              <w:rPr>
                <w:sz w:val="21"/>
                <w:szCs w:val="21"/>
              </w:rPr>
              <w:t>《生活饮用水标准检验方法无机非金属指标》（4.1氰化物 异烟酸-吡唑酮分光光度法）（GB/T5750.5-2006）</w:t>
            </w:r>
          </w:p>
        </w:tc>
        <w:tc>
          <w:tcPr>
            <w:tcW w:w="1057" w:type="pct"/>
            <w:vAlign w:val="center"/>
          </w:tcPr>
          <w:p w14:paraId="4730BA53">
            <w:pPr>
              <w:adjustRightInd/>
              <w:snapToGrid/>
              <w:spacing w:line="240" w:lineRule="auto"/>
              <w:ind w:firstLine="0" w:firstLineChars="0"/>
              <w:contextualSpacing/>
              <w:jc w:val="center"/>
              <w:rPr>
                <w:sz w:val="21"/>
                <w:szCs w:val="21"/>
              </w:rPr>
            </w:pPr>
            <w:r>
              <w:rPr>
                <w:rFonts w:hint="eastAsia"/>
                <w:sz w:val="21"/>
                <w:szCs w:val="21"/>
              </w:rPr>
              <w:t>可见分光光度计</w:t>
            </w:r>
          </w:p>
          <w:p w14:paraId="1D3EC264">
            <w:pPr>
              <w:adjustRightInd/>
              <w:snapToGrid/>
              <w:spacing w:line="240" w:lineRule="auto"/>
              <w:ind w:firstLine="0" w:firstLineChars="0"/>
              <w:contextualSpacing/>
              <w:jc w:val="center"/>
              <w:rPr>
                <w:sz w:val="21"/>
                <w:szCs w:val="21"/>
                <w:highlight w:val="yellow"/>
              </w:rPr>
            </w:pPr>
            <w:r>
              <w:rPr>
                <w:rFonts w:hint="eastAsia"/>
                <w:sz w:val="21"/>
                <w:szCs w:val="21"/>
              </w:rPr>
              <w:t>上海佑科721/3级</w:t>
            </w:r>
          </w:p>
        </w:tc>
        <w:tc>
          <w:tcPr>
            <w:tcW w:w="714" w:type="pct"/>
            <w:vAlign w:val="center"/>
          </w:tcPr>
          <w:p w14:paraId="1D3EC265">
            <w:pPr>
              <w:adjustRightInd/>
              <w:snapToGrid/>
              <w:spacing w:line="240" w:lineRule="auto"/>
              <w:ind w:firstLine="0" w:firstLineChars="0"/>
              <w:contextualSpacing/>
              <w:jc w:val="center"/>
              <w:rPr>
                <w:sz w:val="21"/>
                <w:szCs w:val="21"/>
              </w:rPr>
            </w:pPr>
            <w:r>
              <w:rPr>
                <w:sz w:val="21"/>
                <w:szCs w:val="21"/>
              </w:rPr>
              <w:t>0.002mg/L</w:t>
            </w:r>
          </w:p>
        </w:tc>
        <w:tc>
          <w:tcPr>
            <w:tcW w:w="414" w:type="pct"/>
            <w:vMerge w:val="continue"/>
            <w:vAlign w:val="center"/>
          </w:tcPr>
          <w:p w14:paraId="1D3EC267">
            <w:pPr>
              <w:adjustRightInd/>
              <w:snapToGrid/>
              <w:spacing w:line="240" w:lineRule="auto"/>
              <w:ind w:firstLine="0" w:firstLineChars="0"/>
              <w:contextualSpacing/>
              <w:jc w:val="center"/>
              <w:rPr>
                <w:sz w:val="21"/>
                <w:szCs w:val="21"/>
                <w:highlight w:val="yellow"/>
              </w:rPr>
            </w:pPr>
          </w:p>
        </w:tc>
      </w:tr>
      <w:tr w14:paraId="1D3EC27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69">
            <w:pPr>
              <w:adjustRightInd/>
              <w:snapToGrid/>
              <w:spacing w:line="240" w:lineRule="auto"/>
              <w:ind w:firstLine="0" w:firstLineChars="0"/>
              <w:contextualSpacing/>
              <w:jc w:val="center"/>
              <w:rPr>
                <w:sz w:val="21"/>
                <w:szCs w:val="21"/>
              </w:rPr>
            </w:pPr>
            <w:r>
              <w:rPr>
                <w:sz w:val="21"/>
                <w:szCs w:val="21"/>
              </w:rPr>
              <w:t>15</w:t>
            </w:r>
          </w:p>
        </w:tc>
        <w:tc>
          <w:tcPr>
            <w:tcW w:w="686" w:type="pct"/>
            <w:vAlign w:val="center"/>
          </w:tcPr>
          <w:p w14:paraId="1D3EC26A">
            <w:pPr>
              <w:adjustRightInd/>
              <w:snapToGrid/>
              <w:spacing w:line="240" w:lineRule="auto"/>
              <w:ind w:firstLine="0" w:firstLineChars="0"/>
              <w:contextualSpacing/>
              <w:jc w:val="center"/>
              <w:rPr>
                <w:sz w:val="21"/>
                <w:szCs w:val="21"/>
              </w:rPr>
            </w:pPr>
            <w:r>
              <w:rPr>
                <w:sz w:val="21"/>
                <w:szCs w:val="21"/>
              </w:rPr>
              <w:t>砷</w:t>
            </w:r>
          </w:p>
        </w:tc>
        <w:tc>
          <w:tcPr>
            <w:tcW w:w="1855" w:type="pct"/>
            <w:vMerge w:val="restart"/>
            <w:vAlign w:val="center"/>
          </w:tcPr>
          <w:p w14:paraId="7844BB3A">
            <w:pPr>
              <w:adjustRightInd/>
              <w:snapToGrid/>
              <w:spacing w:line="240" w:lineRule="auto"/>
              <w:ind w:firstLine="0" w:firstLineChars="0"/>
              <w:contextualSpacing/>
              <w:jc w:val="center"/>
              <w:rPr>
                <w:sz w:val="21"/>
                <w:szCs w:val="21"/>
              </w:rPr>
            </w:pPr>
            <w:r>
              <w:rPr>
                <w:sz w:val="21"/>
                <w:szCs w:val="21"/>
              </w:rPr>
              <w:t>《水质 汞、砷、硒、铋、锑的测定原子荧光法》</w:t>
            </w:r>
          </w:p>
          <w:p w14:paraId="1D3EC26B">
            <w:pPr>
              <w:adjustRightInd/>
              <w:snapToGrid/>
              <w:spacing w:line="240" w:lineRule="auto"/>
              <w:ind w:firstLine="0" w:firstLineChars="0"/>
              <w:contextualSpacing/>
              <w:jc w:val="center"/>
              <w:rPr>
                <w:sz w:val="21"/>
                <w:szCs w:val="21"/>
              </w:rPr>
            </w:pPr>
            <w:r>
              <w:rPr>
                <w:rFonts w:hint="eastAsia"/>
                <w:sz w:val="21"/>
                <w:szCs w:val="21"/>
              </w:rPr>
              <w:t>（</w:t>
            </w:r>
            <w:r>
              <w:rPr>
                <w:sz w:val="21"/>
                <w:szCs w:val="21"/>
              </w:rPr>
              <w:t>HJ 694-2014</w:t>
            </w:r>
            <w:r>
              <w:rPr>
                <w:rFonts w:hint="eastAsia"/>
                <w:sz w:val="21"/>
                <w:szCs w:val="21"/>
              </w:rPr>
              <w:t>）</w:t>
            </w:r>
          </w:p>
        </w:tc>
        <w:tc>
          <w:tcPr>
            <w:tcW w:w="1057" w:type="pct"/>
            <w:vMerge w:val="restart"/>
            <w:vAlign w:val="center"/>
          </w:tcPr>
          <w:p w14:paraId="1D3EC26D">
            <w:pPr>
              <w:adjustRightInd/>
              <w:snapToGrid/>
              <w:spacing w:line="240" w:lineRule="auto"/>
              <w:ind w:firstLine="0" w:firstLineChars="0"/>
              <w:contextualSpacing/>
              <w:jc w:val="center"/>
              <w:rPr>
                <w:sz w:val="21"/>
                <w:szCs w:val="21"/>
              </w:rPr>
            </w:pPr>
            <w:r>
              <w:rPr>
                <w:sz w:val="21"/>
                <w:szCs w:val="21"/>
              </w:rPr>
              <w:t>原子荧光光度计AFS-</w:t>
            </w:r>
            <w:r>
              <w:rPr>
                <w:rFonts w:hint="eastAsia"/>
                <w:sz w:val="21"/>
                <w:szCs w:val="21"/>
              </w:rPr>
              <w:t>923</w:t>
            </w:r>
            <w:r>
              <w:rPr>
                <w:sz w:val="21"/>
                <w:szCs w:val="21"/>
              </w:rPr>
              <w:t>0</w:t>
            </w:r>
          </w:p>
        </w:tc>
        <w:tc>
          <w:tcPr>
            <w:tcW w:w="714" w:type="pct"/>
            <w:vAlign w:val="center"/>
          </w:tcPr>
          <w:p w14:paraId="1D3EC26E">
            <w:pPr>
              <w:adjustRightInd/>
              <w:snapToGrid/>
              <w:spacing w:line="240" w:lineRule="auto"/>
              <w:ind w:firstLine="0" w:firstLineChars="0"/>
              <w:contextualSpacing/>
              <w:jc w:val="center"/>
              <w:rPr>
                <w:sz w:val="21"/>
                <w:szCs w:val="21"/>
              </w:rPr>
            </w:pPr>
            <w:r>
              <w:rPr>
                <w:sz w:val="21"/>
                <w:szCs w:val="21"/>
              </w:rPr>
              <w:t>0.3μg/L</w:t>
            </w:r>
          </w:p>
        </w:tc>
        <w:tc>
          <w:tcPr>
            <w:tcW w:w="414" w:type="pct"/>
            <w:vMerge w:val="continue"/>
            <w:vAlign w:val="center"/>
          </w:tcPr>
          <w:p w14:paraId="1D3EC270">
            <w:pPr>
              <w:adjustRightInd/>
              <w:snapToGrid/>
              <w:spacing w:line="240" w:lineRule="auto"/>
              <w:ind w:firstLine="0" w:firstLineChars="0"/>
              <w:contextualSpacing/>
              <w:jc w:val="center"/>
              <w:rPr>
                <w:sz w:val="21"/>
                <w:szCs w:val="21"/>
                <w:highlight w:val="yellow"/>
              </w:rPr>
            </w:pPr>
          </w:p>
        </w:tc>
      </w:tr>
      <w:tr w14:paraId="1D3EC2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72">
            <w:pPr>
              <w:adjustRightInd/>
              <w:snapToGrid/>
              <w:spacing w:line="240" w:lineRule="auto"/>
              <w:ind w:firstLine="0" w:firstLineChars="0"/>
              <w:contextualSpacing/>
              <w:jc w:val="center"/>
              <w:rPr>
                <w:sz w:val="21"/>
                <w:szCs w:val="21"/>
              </w:rPr>
            </w:pPr>
            <w:r>
              <w:rPr>
                <w:sz w:val="21"/>
                <w:szCs w:val="21"/>
              </w:rPr>
              <w:t>16</w:t>
            </w:r>
          </w:p>
        </w:tc>
        <w:tc>
          <w:tcPr>
            <w:tcW w:w="686" w:type="pct"/>
            <w:vAlign w:val="center"/>
          </w:tcPr>
          <w:p w14:paraId="1D3EC273">
            <w:pPr>
              <w:adjustRightInd/>
              <w:snapToGrid/>
              <w:spacing w:line="240" w:lineRule="auto"/>
              <w:ind w:firstLine="0" w:firstLineChars="0"/>
              <w:contextualSpacing/>
              <w:jc w:val="center"/>
              <w:rPr>
                <w:sz w:val="21"/>
                <w:szCs w:val="21"/>
              </w:rPr>
            </w:pPr>
            <w:r>
              <w:rPr>
                <w:sz w:val="21"/>
                <w:szCs w:val="21"/>
              </w:rPr>
              <w:t>汞</w:t>
            </w:r>
          </w:p>
        </w:tc>
        <w:tc>
          <w:tcPr>
            <w:tcW w:w="1855" w:type="pct"/>
            <w:vMerge w:val="continue"/>
            <w:vAlign w:val="center"/>
          </w:tcPr>
          <w:p w14:paraId="1D3EC274">
            <w:pPr>
              <w:adjustRightInd/>
              <w:snapToGrid/>
              <w:spacing w:line="240" w:lineRule="auto"/>
              <w:ind w:firstLine="0" w:firstLineChars="0"/>
              <w:contextualSpacing/>
              <w:jc w:val="center"/>
              <w:rPr>
                <w:sz w:val="21"/>
                <w:szCs w:val="21"/>
              </w:rPr>
            </w:pPr>
          </w:p>
        </w:tc>
        <w:tc>
          <w:tcPr>
            <w:tcW w:w="1057" w:type="pct"/>
            <w:vMerge w:val="continue"/>
            <w:vAlign w:val="center"/>
          </w:tcPr>
          <w:p w14:paraId="1D3EC275">
            <w:pPr>
              <w:adjustRightInd/>
              <w:snapToGrid/>
              <w:spacing w:line="240" w:lineRule="auto"/>
              <w:ind w:firstLine="0" w:firstLineChars="0"/>
              <w:contextualSpacing/>
              <w:jc w:val="center"/>
              <w:rPr>
                <w:sz w:val="21"/>
                <w:szCs w:val="21"/>
              </w:rPr>
            </w:pPr>
          </w:p>
        </w:tc>
        <w:tc>
          <w:tcPr>
            <w:tcW w:w="714" w:type="pct"/>
            <w:vAlign w:val="center"/>
          </w:tcPr>
          <w:p w14:paraId="1D3EC276">
            <w:pPr>
              <w:adjustRightInd/>
              <w:snapToGrid/>
              <w:spacing w:line="240" w:lineRule="auto"/>
              <w:ind w:firstLine="0" w:firstLineChars="0"/>
              <w:contextualSpacing/>
              <w:jc w:val="center"/>
              <w:rPr>
                <w:sz w:val="21"/>
                <w:szCs w:val="21"/>
              </w:rPr>
            </w:pPr>
            <w:r>
              <w:rPr>
                <w:sz w:val="21"/>
                <w:szCs w:val="21"/>
              </w:rPr>
              <w:t>0.04μg/L</w:t>
            </w:r>
          </w:p>
        </w:tc>
        <w:tc>
          <w:tcPr>
            <w:tcW w:w="414" w:type="pct"/>
            <w:vMerge w:val="continue"/>
            <w:vAlign w:val="center"/>
          </w:tcPr>
          <w:p w14:paraId="1D3EC278">
            <w:pPr>
              <w:adjustRightInd/>
              <w:snapToGrid/>
              <w:spacing w:line="240" w:lineRule="auto"/>
              <w:ind w:firstLine="0" w:firstLineChars="0"/>
              <w:contextualSpacing/>
              <w:jc w:val="center"/>
              <w:rPr>
                <w:sz w:val="21"/>
                <w:szCs w:val="21"/>
                <w:highlight w:val="yellow"/>
              </w:rPr>
            </w:pPr>
          </w:p>
        </w:tc>
      </w:tr>
      <w:tr w14:paraId="1D3EC2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7A">
            <w:pPr>
              <w:adjustRightInd/>
              <w:snapToGrid/>
              <w:spacing w:line="240" w:lineRule="auto"/>
              <w:ind w:firstLine="0" w:firstLineChars="0"/>
              <w:contextualSpacing/>
              <w:jc w:val="center"/>
              <w:rPr>
                <w:sz w:val="21"/>
                <w:szCs w:val="21"/>
              </w:rPr>
            </w:pPr>
            <w:r>
              <w:rPr>
                <w:sz w:val="21"/>
                <w:szCs w:val="21"/>
              </w:rPr>
              <w:t>17</w:t>
            </w:r>
          </w:p>
        </w:tc>
        <w:tc>
          <w:tcPr>
            <w:tcW w:w="686" w:type="pct"/>
            <w:vAlign w:val="center"/>
          </w:tcPr>
          <w:p w14:paraId="1D3EC27B">
            <w:pPr>
              <w:adjustRightInd/>
              <w:snapToGrid/>
              <w:spacing w:line="240" w:lineRule="auto"/>
              <w:ind w:firstLine="0" w:firstLineChars="0"/>
              <w:contextualSpacing/>
              <w:jc w:val="center"/>
              <w:rPr>
                <w:sz w:val="21"/>
                <w:szCs w:val="21"/>
              </w:rPr>
            </w:pPr>
            <w:r>
              <w:rPr>
                <w:sz w:val="21"/>
                <w:szCs w:val="21"/>
              </w:rPr>
              <w:t>六价铬</w:t>
            </w:r>
          </w:p>
        </w:tc>
        <w:tc>
          <w:tcPr>
            <w:tcW w:w="1855" w:type="pct"/>
            <w:vAlign w:val="center"/>
          </w:tcPr>
          <w:p w14:paraId="1D3EC27C">
            <w:pPr>
              <w:adjustRightInd/>
              <w:snapToGrid/>
              <w:spacing w:line="240" w:lineRule="auto"/>
              <w:ind w:firstLine="0" w:firstLineChars="0"/>
              <w:contextualSpacing/>
              <w:jc w:val="center"/>
              <w:rPr>
                <w:sz w:val="21"/>
                <w:szCs w:val="21"/>
                <w:highlight w:val="yellow"/>
              </w:rPr>
            </w:pPr>
            <w:r>
              <w:rPr>
                <w:rFonts w:hint="eastAsia"/>
                <w:sz w:val="21"/>
                <w:szCs w:val="21"/>
              </w:rPr>
              <w:t>《生活饮用水标准检验方法第6部分:金属和类金属指标(13.1铬(六价)二苯碳酰二分光光度法)》（GB/T 5750.6-2023）</w:t>
            </w:r>
          </w:p>
        </w:tc>
        <w:tc>
          <w:tcPr>
            <w:tcW w:w="1057" w:type="pct"/>
            <w:vAlign w:val="center"/>
          </w:tcPr>
          <w:p w14:paraId="2F36A0FE">
            <w:pPr>
              <w:adjustRightInd/>
              <w:snapToGrid/>
              <w:spacing w:line="240" w:lineRule="auto"/>
              <w:ind w:firstLine="0" w:firstLineChars="0"/>
              <w:contextualSpacing/>
              <w:jc w:val="center"/>
              <w:rPr>
                <w:sz w:val="21"/>
                <w:szCs w:val="21"/>
              </w:rPr>
            </w:pPr>
            <w:r>
              <w:rPr>
                <w:rFonts w:hint="eastAsia"/>
                <w:sz w:val="21"/>
                <w:szCs w:val="21"/>
              </w:rPr>
              <w:t>可见分光光度计</w:t>
            </w:r>
          </w:p>
          <w:p w14:paraId="1D3EC27E">
            <w:pPr>
              <w:adjustRightInd/>
              <w:snapToGrid/>
              <w:spacing w:line="240" w:lineRule="auto"/>
              <w:ind w:firstLine="0" w:firstLineChars="0"/>
              <w:contextualSpacing/>
              <w:jc w:val="center"/>
              <w:rPr>
                <w:sz w:val="21"/>
                <w:szCs w:val="21"/>
                <w:highlight w:val="yellow"/>
              </w:rPr>
            </w:pPr>
            <w:r>
              <w:rPr>
                <w:rFonts w:hint="eastAsia"/>
                <w:sz w:val="21"/>
                <w:szCs w:val="21"/>
              </w:rPr>
              <w:t>上海佑科721/3级</w:t>
            </w:r>
          </w:p>
        </w:tc>
        <w:tc>
          <w:tcPr>
            <w:tcW w:w="714" w:type="pct"/>
            <w:vAlign w:val="center"/>
          </w:tcPr>
          <w:p w14:paraId="1D3EC27F">
            <w:pPr>
              <w:adjustRightInd/>
              <w:snapToGrid/>
              <w:spacing w:line="240" w:lineRule="auto"/>
              <w:ind w:firstLine="0" w:firstLineChars="0"/>
              <w:contextualSpacing/>
              <w:jc w:val="center"/>
              <w:rPr>
                <w:sz w:val="21"/>
                <w:szCs w:val="21"/>
              </w:rPr>
            </w:pPr>
            <w:r>
              <w:rPr>
                <w:sz w:val="21"/>
                <w:szCs w:val="21"/>
              </w:rPr>
              <w:t>0.004mg/L</w:t>
            </w:r>
          </w:p>
        </w:tc>
        <w:tc>
          <w:tcPr>
            <w:tcW w:w="414" w:type="pct"/>
            <w:vMerge w:val="continue"/>
            <w:vAlign w:val="center"/>
          </w:tcPr>
          <w:p w14:paraId="1D3EC282">
            <w:pPr>
              <w:adjustRightInd/>
              <w:snapToGrid/>
              <w:spacing w:line="240" w:lineRule="auto"/>
              <w:ind w:firstLine="0" w:firstLineChars="0"/>
              <w:contextualSpacing/>
              <w:jc w:val="center"/>
              <w:rPr>
                <w:sz w:val="21"/>
                <w:szCs w:val="21"/>
                <w:highlight w:val="yellow"/>
              </w:rPr>
            </w:pPr>
          </w:p>
        </w:tc>
      </w:tr>
      <w:tr w14:paraId="1D3EC2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84">
            <w:pPr>
              <w:adjustRightInd/>
              <w:snapToGrid/>
              <w:spacing w:line="240" w:lineRule="auto"/>
              <w:ind w:firstLine="0" w:firstLineChars="0"/>
              <w:contextualSpacing/>
              <w:jc w:val="center"/>
              <w:rPr>
                <w:sz w:val="21"/>
                <w:szCs w:val="21"/>
              </w:rPr>
            </w:pPr>
            <w:r>
              <w:rPr>
                <w:sz w:val="21"/>
                <w:szCs w:val="21"/>
              </w:rPr>
              <w:t>18</w:t>
            </w:r>
          </w:p>
        </w:tc>
        <w:tc>
          <w:tcPr>
            <w:tcW w:w="686" w:type="pct"/>
            <w:vAlign w:val="center"/>
          </w:tcPr>
          <w:p w14:paraId="1D3EC285">
            <w:pPr>
              <w:adjustRightInd/>
              <w:snapToGrid/>
              <w:spacing w:line="240" w:lineRule="auto"/>
              <w:ind w:firstLine="0" w:firstLineChars="0"/>
              <w:contextualSpacing/>
              <w:jc w:val="center"/>
              <w:rPr>
                <w:sz w:val="21"/>
                <w:szCs w:val="21"/>
              </w:rPr>
            </w:pPr>
            <w:r>
              <w:rPr>
                <w:sz w:val="21"/>
                <w:szCs w:val="21"/>
              </w:rPr>
              <w:t>总硬度</w:t>
            </w:r>
          </w:p>
        </w:tc>
        <w:tc>
          <w:tcPr>
            <w:tcW w:w="1855" w:type="pct"/>
            <w:vAlign w:val="center"/>
          </w:tcPr>
          <w:p w14:paraId="1D3EC286">
            <w:pPr>
              <w:adjustRightInd/>
              <w:snapToGrid/>
              <w:spacing w:line="240" w:lineRule="auto"/>
              <w:ind w:firstLine="0" w:firstLineChars="0"/>
              <w:contextualSpacing/>
              <w:jc w:val="center"/>
              <w:rPr>
                <w:sz w:val="21"/>
                <w:szCs w:val="21"/>
              </w:rPr>
            </w:pPr>
            <w:r>
              <w:rPr>
                <w:rFonts w:hint="eastAsia"/>
                <w:sz w:val="21"/>
                <w:szCs w:val="21"/>
              </w:rPr>
              <w:t>生活饮用水标准检验方法第4部分:感官性状和物理指标(10.1总硬度 乙二胺四乙酸 二钠滴定法)GB/T 5750.4-2023</w:t>
            </w:r>
          </w:p>
        </w:tc>
        <w:tc>
          <w:tcPr>
            <w:tcW w:w="1057" w:type="pct"/>
            <w:vAlign w:val="center"/>
          </w:tcPr>
          <w:p w14:paraId="1D3EC287">
            <w:pPr>
              <w:adjustRightInd/>
              <w:snapToGrid/>
              <w:spacing w:line="240" w:lineRule="auto"/>
              <w:ind w:firstLine="0" w:firstLineChars="0"/>
              <w:contextualSpacing/>
              <w:jc w:val="center"/>
              <w:rPr>
                <w:sz w:val="21"/>
                <w:szCs w:val="21"/>
                <w:highlight w:val="yellow"/>
              </w:rPr>
            </w:pPr>
            <w:r>
              <w:rPr>
                <w:rFonts w:hint="eastAsia"/>
                <w:sz w:val="21"/>
                <w:szCs w:val="21"/>
              </w:rPr>
              <w:t>碱式滴定管葵花/25mL/A级</w:t>
            </w:r>
          </w:p>
        </w:tc>
        <w:tc>
          <w:tcPr>
            <w:tcW w:w="714" w:type="pct"/>
            <w:vAlign w:val="center"/>
          </w:tcPr>
          <w:p w14:paraId="1D3EC288">
            <w:pPr>
              <w:adjustRightInd/>
              <w:snapToGrid/>
              <w:spacing w:line="240" w:lineRule="auto"/>
              <w:ind w:firstLine="0" w:firstLineChars="0"/>
              <w:contextualSpacing/>
              <w:jc w:val="center"/>
              <w:rPr>
                <w:sz w:val="21"/>
                <w:szCs w:val="21"/>
                <w:highlight w:val="yellow"/>
              </w:rPr>
            </w:pPr>
            <w:r>
              <w:rPr>
                <w:sz w:val="21"/>
                <w:szCs w:val="21"/>
              </w:rPr>
              <w:t>1.0mg/L</w:t>
            </w:r>
          </w:p>
        </w:tc>
        <w:tc>
          <w:tcPr>
            <w:tcW w:w="414" w:type="pct"/>
            <w:vMerge w:val="continue"/>
            <w:vAlign w:val="center"/>
          </w:tcPr>
          <w:p w14:paraId="1D3EC28B">
            <w:pPr>
              <w:adjustRightInd/>
              <w:snapToGrid/>
              <w:spacing w:line="240" w:lineRule="auto"/>
              <w:ind w:firstLine="0" w:firstLineChars="0"/>
              <w:contextualSpacing/>
              <w:jc w:val="center"/>
              <w:rPr>
                <w:sz w:val="21"/>
                <w:szCs w:val="21"/>
                <w:highlight w:val="yellow"/>
              </w:rPr>
            </w:pPr>
          </w:p>
        </w:tc>
      </w:tr>
      <w:tr w14:paraId="167836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49A0654D">
            <w:pPr>
              <w:adjustRightInd/>
              <w:snapToGrid/>
              <w:spacing w:line="240" w:lineRule="auto"/>
              <w:ind w:firstLine="0" w:firstLineChars="0"/>
              <w:contextualSpacing/>
              <w:jc w:val="center"/>
              <w:rPr>
                <w:sz w:val="21"/>
                <w:szCs w:val="21"/>
              </w:rPr>
            </w:pPr>
            <w:r>
              <w:rPr>
                <w:sz w:val="21"/>
                <w:szCs w:val="21"/>
              </w:rPr>
              <w:t>19</w:t>
            </w:r>
          </w:p>
        </w:tc>
        <w:tc>
          <w:tcPr>
            <w:tcW w:w="686" w:type="pct"/>
            <w:vAlign w:val="center"/>
          </w:tcPr>
          <w:p w14:paraId="295B2719">
            <w:pPr>
              <w:adjustRightInd/>
              <w:snapToGrid/>
              <w:spacing w:line="240" w:lineRule="auto"/>
              <w:ind w:firstLine="0" w:firstLineChars="0"/>
              <w:contextualSpacing/>
              <w:jc w:val="center"/>
              <w:rPr>
                <w:sz w:val="21"/>
                <w:szCs w:val="21"/>
              </w:rPr>
            </w:pPr>
            <w:r>
              <w:rPr>
                <w:rFonts w:hint="eastAsia"/>
                <w:sz w:val="21"/>
                <w:szCs w:val="21"/>
              </w:rPr>
              <w:t>铅</w:t>
            </w:r>
          </w:p>
        </w:tc>
        <w:tc>
          <w:tcPr>
            <w:tcW w:w="1855" w:type="pct"/>
            <w:vAlign w:val="center"/>
          </w:tcPr>
          <w:p w14:paraId="28F7A1AE">
            <w:pPr>
              <w:adjustRightInd/>
              <w:snapToGrid/>
              <w:spacing w:line="240" w:lineRule="auto"/>
              <w:ind w:firstLine="0" w:firstLineChars="0"/>
              <w:contextualSpacing/>
              <w:jc w:val="center"/>
              <w:rPr>
                <w:sz w:val="21"/>
                <w:szCs w:val="21"/>
              </w:rPr>
            </w:pPr>
            <w:r>
              <w:rPr>
                <w:rFonts w:hint="eastAsia"/>
                <w:sz w:val="21"/>
                <w:szCs w:val="21"/>
              </w:rPr>
              <w:t>《</w:t>
            </w:r>
            <w:r>
              <w:rPr>
                <w:sz w:val="21"/>
                <w:szCs w:val="21"/>
              </w:rPr>
              <w:t>水质 铜、锌、铅、镉的测定 原子吸收分光光度法</w:t>
            </w:r>
            <w:r>
              <w:rPr>
                <w:rFonts w:hint="eastAsia"/>
                <w:sz w:val="21"/>
                <w:szCs w:val="21"/>
              </w:rPr>
              <w:t>》（</w:t>
            </w:r>
            <w:r>
              <w:rPr>
                <w:sz w:val="21"/>
                <w:szCs w:val="21"/>
              </w:rPr>
              <w:t>GB/T 7475-1987</w:t>
            </w:r>
            <w:r>
              <w:rPr>
                <w:rFonts w:hint="eastAsia"/>
                <w:sz w:val="21"/>
                <w:szCs w:val="21"/>
              </w:rPr>
              <w:t>）</w:t>
            </w:r>
          </w:p>
        </w:tc>
        <w:tc>
          <w:tcPr>
            <w:tcW w:w="1057" w:type="pct"/>
            <w:vAlign w:val="center"/>
          </w:tcPr>
          <w:p w14:paraId="3F026182">
            <w:pPr>
              <w:adjustRightInd/>
              <w:snapToGrid/>
              <w:spacing w:line="240" w:lineRule="auto"/>
              <w:ind w:firstLine="0" w:firstLineChars="0"/>
              <w:contextualSpacing/>
              <w:jc w:val="center"/>
              <w:rPr>
                <w:sz w:val="21"/>
                <w:szCs w:val="21"/>
                <w:highlight w:val="yellow"/>
              </w:rPr>
            </w:pPr>
            <w:r>
              <w:rPr>
                <w:rFonts w:hint="eastAsia"/>
                <w:sz w:val="21"/>
                <w:szCs w:val="21"/>
              </w:rPr>
              <w:t>火焰石墨炉一体化原子吸收分光光度计GGX-830</w:t>
            </w:r>
          </w:p>
        </w:tc>
        <w:tc>
          <w:tcPr>
            <w:tcW w:w="714" w:type="pct"/>
            <w:vAlign w:val="center"/>
          </w:tcPr>
          <w:p w14:paraId="59639523">
            <w:pPr>
              <w:adjustRightInd/>
              <w:snapToGrid/>
              <w:spacing w:line="240" w:lineRule="auto"/>
              <w:ind w:firstLine="0" w:firstLineChars="0"/>
              <w:contextualSpacing/>
              <w:jc w:val="center"/>
              <w:rPr>
                <w:sz w:val="21"/>
                <w:szCs w:val="21"/>
              </w:rPr>
            </w:pPr>
            <w:r>
              <w:rPr>
                <w:sz w:val="21"/>
                <w:szCs w:val="21"/>
              </w:rPr>
              <w:t>0.01mg/L</w:t>
            </w:r>
          </w:p>
        </w:tc>
        <w:tc>
          <w:tcPr>
            <w:tcW w:w="414" w:type="pct"/>
            <w:vMerge w:val="continue"/>
            <w:vAlign w:val="center"/>
          </w:tcPr>
          <w:p w14:paraId="00CEBEBE">
            <w:pPr>
              <w:adjustRightInd/>
              <w:snapToGrid/>
              <w:spacing w:line="240" w:lineRule="auto"/>
              <w:ind w:firstLine="0" w:firstLineChars="0"/>
              <w:contextualSpacing/>
              <w:jc w:val="center"/>
              <w:rPr>
                <w:sz w:val="21"/>
                <w:szCs w:val="21"/>
                <w:highlight w:val="yellow"/>
              </w:rPr>
            </w:pPr>
          </w:p>
        </w:tc>
      </w:tr>
      <w:tr w14:paraId="1D3EC2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8D">
            <w:pPr>
              <w:adjustRightInd/>
              <w:snapToGrid/>
              <w:spacing w:line="240" w:lineRule="auto"/>
              <w:ind w:firstLine="0" w:firstLineChars="0"/>
              <w:contextualSpacing/>
              <w:jc w:val="center"/>
              <w:rPr>
                <w:sz w:val="21"/>
                <w:szCs w:val="21"/>
                <w:highlight w:val="yellow"/>
              </w:rPr>
            </w:pPr>
            <w:r>
              <w:rPr>
                <w:sz w:val="21"/>
                <w:szCs w:val="21"/>
              </w:rPr>
              <w:t>20</w:t>
            </w:r>
          </w:p>
        </w:tc>
        <w:tc>
          <w:tcPr>
            <w:tcW w:w="686" w:type="pct"/>
            <w:vAlign w:val="center"/>
          </w:tcPr>
          <w:p w14:paraId="1D3EC28E">
            <w:pPr>
              <w:adjustRightInd/>
              <w:snapToGrid/>
              <w:spacing w:line="240" w:lineRule="auto"/>
              <w:ind w:firstLine="0" w:firstLineChars="0"/>
              <w:contextualSpacing/>
              <w:jc w:val="center"/>
              <w:rPr>
                <w:sz w:val="21"/>
                <w:szCs w:val="21"/>
              </w:rPr>
            </w:pPr>
            <w:r>
              <w:rPr>
                <w:rFonts w:hint="eastAsia"/>
                <w:sz w:val="21"/>
                <w:szCs w:val="21"/>
              </w:rPr>
              <w:t>高锰酸盐指数（以O2计）</w:t>
            </w:r>
          </w:p>
        </w:tc>
        <w:tc>
          <w:tcPr>
            <w:tcW w:w="1855" w:type="pct"/>
            <w:vAlign w:val="center"/>
          </w:tcPr>
          <w:p w14:paraId="1D3EC290">
            <w:pPr>
              <w:adjustRightInd/>
              <w:snapToGrid/>
              <w:spacing w:line="240" w:lineRule="auto"/>
              <w:ind w:firstLine="0" w:firstLineChars="0"/>
              <w:contextualSpacing/>
              <w:jc w:val="center"/>
              <w:rPr>
                <w:sz w:val="21"/>
                <w:szCs w:val="21"/>
              </w:rPr>
            </w:pPr>
            <w:r>
              <w:rPr>
                <w:rFonts w:hint="eastAsia"/>
                <w:sz w:val="21"/>
                <w:szCs w:val="21"/>
              </w:rPr>
              <w:t>生活饮用水标准检验方法第7部分：有机物综合指标（4.2碱性高锰酸钾 滴定法）（GB/T 5750.7-2023）</w:t>
            </w:r>
          </w:p>
        </w:tc>
        <w:tc>
          <w:tcPr>
            <w:tcW w:w="1057" w:type="pct"/>
            <w:vAlign w:val="center"/>
          </w:tcPr>
          <w:p w14:paraId="1D3EC292">
            <w:pPr>
              <w:adjustRightInd/>
              <w:snapToGrid/>
              <w:spacing w:line="240" w:lineRule="auto"/>
              <w:ind w:firstLine="0" w:firstLineChars="0"/>
              <w:contextualSpacing/>
              <w:jc w:val="center"/>
              <w:rPr>
                <w:sz w:val="21"/>
                <w:szCs w:val="21"/>
                <w:highlight w:val="yellow"/>
              </w:rPr>
            </w:pPr>
            <w:r>
              <w:rPr>
                <w:rFonts w:hint="eastAsia"/>
                <w:sz w:val="21"/>
                <w:szCs w:val="21"/>
              </w:rPr>
              <w:t>碱式滴定管葵花/50mL/A级</w:t>
            </w:r>
          </w:p>
        </w:tc>
        <w:tc>
          <w:tcPr>
            <w:tcW w:w="714" w:type="pct"/>
            <w:vAlign w:val="center"/>
          </w:tcPr>
          <w:p w14:paraId="1D3EC293">
            <w:pPr>
              <w:adjustRightInd/>
              <w:snapToGrid/>
              <w:spacing w:line="240" w:lineRule="auto"/>
              <w:ind w:firstLine="0" w:firstLineChars="0"/>
              <w:contextualSpacing/>
              <w:jc w:val="center"/>
              <w:rPr>
                <w:sz w:val="21"/>
                <w:szCs w:val="21"/>
              </w:rPr>
            </w:pPr>
            <w:r>
              <w:rPr>
                <w:rFonts w:hint="eastAsia"/>
                <w:sz w:val="21"/>
                <w:szCs w:val="21"/>
              </w:rPr>
              <w:t>/</w:t>
            </w:r>
          </w:p>
        </w:tc>
        <w:tc>
          <w:tcPr>
            <w:tcW w:w="414" w:type="pct"/>
            <w:vMerge w:val="continue"/>
            <w:vAlign w:val="center"/>
          </w:tcPr>
          <w:p w14:paraId="1D3EC296">
            <w:pPr>
              <w:adjustRightInd/>
              <w:snapToGrid/>
              <w:spacing w:line="240" w:lineRule="auto"/>
              <w:ind w:firstLine="0" w:firstLineChars="0"/>
              <w:contextualSpacing/>
              <w:jc w:val="center"/>
              <w:rPr>
                <w:sz w:val="21"/>
                <w:szCs w:val="21"/>
                <w:highlight w:val="yellow"/>
              </w:rPr>
            </w:pPr>
          </w:p>
        </w:tc>
      </w:tr>
      <w:tr w14:paraId="1D3EC2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98">
            <w:pPr>
              <w:adjustRightInd/>
              <w:snapToGrid/>
              <w:spacing w:line="240" w:lineRule="auto"/>
              <w:ind w:firstLine="0" w:firstLineChars="0"/>
              <w:contextualSpacing/>
              <w:jc w:val="center"/>
              <w:rPr>
                <w:sz w:val="21"/>
                <w:szCs w:val="21"/>
              </w:rPr>
            </w:pPr>
            <w:r>
              <w:rPr>
                <w:sz w:val="21"/>
                <w:szCs w:val="21"/>
              </w:rPr>
              <w:t>21</w:t>
            </w:r>
          </w:p>
        </w:tc>
        <w:tc>
          <w:tcPr>
            <w:tcW w:w="686" w:type="pct"/>
            <w:vAlign w:val="center"/>
          </w:tcPr>
          <w:p w14:paraId="1D3EC299">
            <w:pPr>
              <w:adjustRightInd/>
              <w:snapToGrid/>
              <w:spacing w:line="240" w:lineRule="auto"/>
              <w:ind w:firstLine="0" w:firstLineChars="0"/>
              <w:contextualSpacing/>
              <w:jc w:val="center"/>
              <w:rPr>
                <w:sz w:val="21"/>
                <w:szCs w:val="21"/>
              </w:rPr>
            </w:pPr>
            <w:r>
              <w:rPr>
                <w:sz w:val="21"/>
                <w:szCs w:val="21"/>
              </w:rPr>
              <w:t>氟化物</w:t>
            </w:r>
          </w:p>
        </w:tc>
        <w:tc>
          <w:tcPr>
            <w:tcW w:w="1855" w:type="pct"/>
            <w:vAlign w:val="center"/>
          </w:tcPr>
          <w:p w14:paraId="1D3EC29B">
            <w:pPr>
              <w:adjustRightInd/>
              <w:snapToGrid/>
              <w:spacing w:line="240" w:lineRule="auto"/>
              <w:ind w:firstLine="0" w:firstLineChars="0"/>
              <w:contextualSpacing/>
              <w:jc w:val="center"/>
              <w:rPr>
                <w:sz w:val="21"/>
                <w:szCs w:val="21"/>
                <w:highlight w:val="yellow"/>
              </w:rPr>
            </w:pPr>
            <w:r>
              <w:rPr>
                <w:sz w:val="21"/>
                <w:szCs w:val="21"/>
              </w:rPr>
              <w:t>《</w:t>
            </w:r>
            <w:r>
              <w:rPr>
                <w:rFonts w:hint="eastAsia"/>
                <w:sz w:val="21"/>
                <w:szCs w:val="21"/>
              </w:rPr>
              <w:t>水质 氟化物的测定 氟试剂分光光度法</w:t>
            </w:r>
            <w:r>
              <w:rPr>
                <w:sz w:val="21"/>
                <w:szCs w:val="21"/>
              </w:rPr>
              <w:t>》</w:t>
            </w:r>
            <w:r>
              <w:rPr>
                <w:rFonts w:hint="eastAsia"/>
                <w:sz w:val="21"/>
                <w:szCs w:val="21"/>
              </w:rPr>
              <w:t>（HJ488-2009）</w:t>
            </w:r>
          </w:p>
        </w:tc>
        <w:tc>
          <w:tcPr>
            <w:tcW w:w="1057" w:type="pct"/>
            <w:vAlign w:val="center"/>
          </w:tcPr>
          <w:p w14:paraId="0493D73B">
            <w:pPr>
              <w:adjustRightInd/>
              <w:snapToGrid/>
              <w:spacing w:line="240" w:lineRule="auto"/>
              <w:ind w:firstLine="0" w:firstLineChars="0"/>
              <w:contextualSpacing/>
              <w:jc w:val="center"/>
              <w:rPr>
                <w:sz w:val="21"/>
                <w:szCs w:val="21"/>
              </w:rPr>
            </w:pPr>
            <w:r>
              <w:rPr>
                <w:rFonts w:hint="eastAsia"/>
                <w:sz w:val="21"/>
                <w:szCs w:val="21"/>
              </w:rPr>
              <w:t>可见分光光度计</w:t>
            </w:r>
          </w:p>
          <w:p w14:paraId="1D3EC29D">
            <w:pPr>
              <w:adjustRightInd/>
              <w:snapToGrid/>
              <w:spacing w:line="240" w:lineRule="auto"/>
              <w:ind w:firstLine="0" w:firstLineChars="0"/>
              <w:contextualSpacing/>
              <w:jc w:val="center"/>
              <w:rPr>
                <w:sz w:val="21"/>
                <w:szCs w:val="21"/>
                <w:highlight w:val="yellow"/>
              </w:rPr>
            </w:pPr>
            <w:r>
              <w:rPr>
                <w:rFonts w:hint="eastAsia"/>
                <w:sz w:val="21"/>
                <w:szCs w:val="21"/>
              </w:rPr>
              <w:t>上海佑科721/3级</w:t>
            </w:r>
          </w:p>
        </w:tc>
        <w:tc>
          <w:tcPr>
            <w:tcW w:w="714" w:type="pct"/>
            <w:vAlign w:val="center"/>
          </w:tcPr>
          <w:p w14:paraId="1D3EC29E">
            <w:pPr>
              <w:adjustRightInd/>
              <w:snapToGrid/>
              <w:spacing w:line="240" w:lineRule="auto"/>
              <w:ind w:firstLine="0" w:firstLineChars="0"/>
              <w:contextualSpacing/>
              <w:jc w:val="center"/>
              <w:rPr>
                <w:sz w:val="21"/>
                <w:szCs w:val="21"/>
                <w:highlight w:val="yellow"/>
              </w:rPr>
            </w:pPr>
            <w:r>
              <w:rPr>
                <w:sz w:val="21"/>
                <w:szCs w:val="21"/>
              </w:rPr>
              <w:t>0.0</w:t>
            </w:r>
            <w:r>
              <w:rPr>
                <w:rFonts w:hint="eastAsia"/>
                <w:sz w:val="21"/>
                <w:szCs w:val="21"/>
              </w:rPr>
              <w:t>2</w:t>
            </w:r>
            <w:r>
              <w:rPr>
                <w:sz w:val="21"/>
                <w:szCs w:val="21"/>
              </w:rPr>
              <w:t>mg/L</w:t>
            </w:r>
          </w:p>
        </w:tc>
        <w:tc>
          <w:tcPr>
            <w:tcW w:w="414" w:type="pct"/>
            <w:vMerge w:val="continue"/>
            <w:vAlign w:val="center"/>
          </w:tcPr>
          <w:p w14:paraId="1D3EC2A1">
            <w:pPr>
              <w:adjustRightInd/>
              <w:snapToGrid/>
              <w:spacing w:line="240" w:lineRule="auto"/>
              <w:ind w:firstLine="0" w:firstLineChars="0"/>
              <w:contextualSpacing/>
              <w:jc w:val="center"/>
              <w:rPr>
                <w:sz w:val="21"/>
                <w:szCs w:val="21"/>
                <w:highlight w:val="yellow"/>
              </w:rPr>
            </w:pPr>
          </w:p>
        </w:tc>
      </w:tr>
      <w:tr w14:paraId="1D3EC2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A3">
            <w:pPr>
              <w:adjustRightInd/>
              <w:snapToGrid/>
              <w:spacing w:line="240" w:lineRule="auto"/>
              <w:ind w:firstLine="0" w:firstLineChars="0"/>
              <w:contextualSpacing/>
              <w:jc w:val="center"/>
              <w:rPr>
                <w:sz w:val="21"/>
                <w:szCs w:val="21"/>
              </w:rPr>
            </w:pPr>
            <w:r>
              <w:rPr>
                <w:sz w:val="21"/>
                <w:szCs w:val="21"/>
              </w:rPr>
              <w:t>22</w:t>
            </w:r>
          </w:p>
        </w:tc>
        <w:tc>
          <w:tcPr>
            <w:tcW w:w="686" w:type="pct"/>
            <w:vAlign w:val="center"/>
          </w:tcPr>
          <w:p w14:paraId="1D3EC2A4">
            <w:pPr>
              <w:adjustRightInd/>
              <w:snapToGrid/>
              <w:spacing w:line="240" w:lineRule="auto"/>
              <w:ind w:firstLine="0" w:firstLineChars="0"/>
              <w:contextualSpacing/>
              <w:jc w:val="center"/>
              <w:rPr>
                <w:sz w:val="21"/>
                <w:szCs w:val="21"/>
              </w:rPr>
            </w:pPr>
            <w:r>
              <w:rPr>
                <w:sz w:val="21"/>
                <w:szCs w:val="21"/>
              </w:rPr>
              <w:t>镉</w:t>
            </w:r>
          </w:p>
        </w:tc>
        <w:tc>
          <w:tcPr>
            <w:tcW w:w="1855" w:type="pct"/>
            <w:vAlign w:val="center"/>
          </w:tcPr>
          <w:p w14:paraId="1D3EC2A5">
            <w:pPr>
              <w:adjustRightInd/>
              <w:snapToGrid/>
              <w:spacing w:line="240" w:lineRule="auto"/>
              <w:ind w:firstLine="0" w:firstLineChars="0"/>
              <w:contextualSpacing/>
              <w:jc w:val="center"/>
              <w:rPr>
                <w:sz w:val="21"/>
                <w:szCs w:val="21"/>
                <w:highlight w:val="yellow"/>
              </w:rPr>
            </w:pPr>
            <w:r>
              <w:rPr>
                <w:rFonts w:hint="eastAsia"/>
                <w:sz w:val="21"/>
                <w:szCs w:val="21"/>
              </w:rPr>
              <w:t>《</w:t>
            </w:r>
            <w:r>
              <w:rPr>
                <w:sz w:val="21"/>
                <w:szCs w:val="21"/>
              </w:rPr>
              <w:t>水质 铜、锌、铅、镉的测定 原子吸收分光光度法</w:t>
            </w:r>
            <w:r>
              <w:rPr>
                <w:rFonts w:hint="eastAsia"/>
                <w:sz w:val="21"/>
                <w:szCs w:val="21"/>
              </w:rPr>
              <w:t>》（</w:t>
            </w:r>
            <w:r>
              <w:rPr>
                <w:sz w:val="21"/>
                <w:szCs w:val="21"/>
              </w:rPr>
              <w:t>GB/T 7475-1987</w:t>
            </w:r>
            <w:r>
              <w:rPr>
                <w:rFonts w:hint="eastAsia"/>
                <w:sz w:val="21"/>
                <w:szCs w:val="21"/>
              </w:rPr>
              <w:t>）</w:t>
            </w:r>
          </w:p>
        </w:tc>
        <w:tc>
          <w:tcPr>
            <w:tcW w:w="1057" w:type="pct"/>
            <w:vAlign w:val="center"/>
          </w:tcPr>
          <w:p w14:paraId="1D3EC2A7">
            <w:pPr>
              <w:adjustRightInd/>
              <w:snapToGrid/>
              <w:spacing w:line="240" w:lineRule="auto"/>
              <w:ind w:firstLine="0" w:firstLineChars="0"/>
              <w:contextualSpacing/>
              <w:jc w:val="center"/>
              <w:rPr>
                <w:sz w:val="21"/>
                <w:szCs w:val="21"/>
                <w:highlight w:val="yellow"/>
              </w:rPr>
            </w:pPr>
            <w:r>
              <w:rPr>
                <w:rFonts w:hint="eastAsia"/>
                <w:sz w:val="21"/>
                <w:szCs w:val="21"/>
              </w:rPr>
              <w:t>火焰石墨炉一体化原子吸收分光光度计GGX-830</w:t>
            </w:r>
          </w:p>
        </w:tc>
        <w:tc>
          <w:tcPr>
            <w:tcW w:w="714" w:type="pct"/>
            <w:vAlign w:val="center"/>
          </w:tcPr>
          <w:p w14:paraId="1D3EC2A8">
            <w:pPr>
              <w:adjustRightInd/>
              <w:snapToGrid/>
              <w:spacing w:line="240" w:lineRule="auto"/>
              <w:ind w:firstLine="0" w:firstLineChars="0"/>
              <w:contextualSpacing/>
              <w:jc w:val="center"/>
              <w:rPr>
                <w:sz w:val="21"/>
                <w:szCs w:val="21"/>
                <w:highlight w:val="yellow"/>
              </w:rPr>
            </w:pPr>
            <w:r>
              <w:rPr>
                <w:sz w:val="21"/>
                <w:szCs w:val="21"/>
              </w:rPr>
              <w:t>0.05mg/L</w:t>
            </w:r>
          </w:p>
        </w:tc>
        <w:tc>
          <w:tcPr>
            <w:tcW w:w="414" w:type="pct"/>
            <w:vMerge w:val="continue"/>
            <w:vAlign w:val="center"/>
          </w:tcPr>
          <w:p w14:paraId="1D3EC2AB">
            <w:pPr>
              <w:adjustRightInd/>
              <w:snapToGrid/>
              <w:spacing w:line="240" w:lineRule="auto"/>
              <w:ind w:firstLine="0" w:firstLineChars="0"/>
              <w:contextualSpacing/>
              <w:jc w:val="center"/>
              <w:rPr>
                <w:sz w:val="21"/>
                <w:szCs w:val="21"/>
                <w:highlight w:val="yellow"/>
              </w:rPr>
            </w:pPr>
          </w:p>
        </w:tc>
      </w:tr>
      <w:tr w14:paraId="1D3EC2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AD">
            <w:pPr>
              <w:adjustRightInd/>
              <w:snapToGrid/>
              <w:spacing w:line="240" w:lineRule="auto"/>
              <w:ind w:firstLine="0" w:firstLineChars="0"/>
              <w:contextualSpacing/>
              <w:jc w:val="center"/>
              <w:rPr>
                <w:sz w:val="21"/>
                <w:szCs w:val="21"/>
              </w:rPr>
            </w:pPr>
            <w:r>
              <w:rPr>
                <w:sz w:val="21"/>
                <w:szCs w:val="21"/>
              </w:rPr>
              <w:t>23</w:t>
            </w:r>
          </w:p>
        </w:tc>
        <w:tc>
          <w:tcPr>
            <w:tcW w:w="686" w:type="pct"/>
            <w:vAlign w:val="center"/>
          </w:tcPr>
          <w:p w14:paraId="1D3EC2AE">
            <w:pPr>
              <w:adjustRightInd/>
              <w:snapToGrid/>
              <w:spacing w:line="240" w:lineRule="auto"/>
              <w:ind w:firstLine="0" w:firstLineChars="0"/>
              <w:contextualSpacing/>
              <w:jc w:val="center"/>
              <w:rPr>
                <w:sz w:val="21"/>
                <w:szCs w:val="21"/>
              </w:rPr>
            </w:pPr>
            <w:r>
              <w:rPr>
                <w:sz w:val="21"/>
                <w:szCs w:val="21"/>
              </w:rPr>
              <w:t>铁</w:t>
            </w:r>
          </w:p>
        </w:tc>
        <w:tc>
          <w:tcPr>
            <w:tcW w:w="1855" w:type="pct"/>
            <w:vMerge w:val="restart"/>
            <w:vAlign w:val="center"/>
          </w:tcPr>
          <w:p w14:paraId="1D3EC2AF">
            <w:pPr>
              <w:adjustRightInd/>
              <w:snapToGrid/>
              <w:spacing w:line="240" w:lineRule="auto"/>
              <w:ind w:firstLine="0" w:firstLineChars="0"/>
              <w:contextualSpacing/>
              <w:jc w:val="center"/>
              <w:rPr>
                <w:sz w:val="21"/>
                <w:szCs w:val="21"/>
              </w:rPr>
            </w:pPr>
            <w:r>
              <w:rPr>
                <w:sz w:val="21"/>
                <w:szCs w:val="21"/>
              </w:rPr>
              <w:t>《水质 铁、锰的测定火焰原子吸收分光光度法》GBT 11911-1989</w:t>
            </w:r>
          </w:p>
        </w:tc>
        <w:tc>
          <w:tcPr>
            <w:tcW w:w="1057" w:type="pct"/>
            <w:vMerge w:val="restart"/>
            <w:vAlign w:val="center"/>
          </w:tcPr>
          <w:p w14:paraId="1D3EC2B1">
            <w:pPr>
              <w:adjustRightInd/>
              <w:snapToGrid/>
              <w:spacing w:line="240" w:lineRule="auto"/>
              <w:ind w:firstLine="0" w:firstLineChars="0"/>
              <w:contextualSpacing/>
              <w:jc w:val="center"/>
              <w:rPr>
                <w:sz w:val="21"/>
                <w:szCs w:val="21"/>
                <w:highlight w:val="yellow"/>
              </w:rPr>
            </w:pPr>
            <w:r>
              <w:rPr>
                <w:rFonts w:hint="eastAsia"/>
                <w:sz w:val="21"/>
                <w:szCs w:val="21"/>
              </w:rPr>
              <w:t>火焰石墨炉一体化原子吸收分光光度计GGX-830</w:t>
            </w:r>
          </w:p>
        </w:tc>
        <w:tc>
          <w:tcPr>
            <w:tcW w:w="714" w:type="pct"/>
            <w:vAlign w:val="center"/>
          </w:tcPr>
          <w:p w14:paraId="1D3EC2B3">
            <w:pPr>
              <w:adjustRightInd/>
              <w:snapToGrid/>
              <w:spacing w:line="240" w:lineRule="auto"/>
              <w:ind w:firstLine="0" w:firstLineChars="0"/>
              <w:contextualSpacing/>
              <w:jc w:val="center"/>
              <w:rPr>
                <w:sz w:val="21"/>
                <w:szCs w:val="21"/>
              </w:rPr>
            </w:pPr>
            <w:r>
              <w:rPr>
                <w:sz w:val="21"/>
                <w:szCs w:val="21"/>
              </w:rPr>
              <w:t>0.03mg/L</w:t>
            </w:r>
          </w:p>
        </w:tc>
        <w:tc>
          <w:tcPr>
            <w:tcW w:w="414" w:type="pct"/>
            <w:vMerge w:val="continue"/>
            <w:vAlign w:val="center"/>
          </w:tcPr>
          <w:p w14:paraId="1D3EC2B5">
            <w:pPr>
              <w:adjustRightInd/>
              <w:snapToGrid/>
              <w:spacing w:line="240" w:lineRule="auto"/>
              <w:ind w:firstLine="0" w:firstLineChars="0"/>
              <w:contextualSpacing/>
              <w:jc w:val="center"/>
              <w:rPr>
                <w:sz w:val="21"/>
                <w:szCs w:val="21"/>
                <w:highlight w:val="yellow"/>
              </w:rPr>
            </w:pPr>
          </w:p>
        </w:tc>
      </w:tr>
      <w:tr w14:paraId="1D3EC2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B7">
            <w:pPr>
              <w:adjustRightInd/>
              <w:snapToGrid/>
              <w:spacing w:line="240" w:lineRule="auto"/>
              <w:ind w:firstLine="0" w:firstLineChars="0"/>
              <w:contextualSpacing/>
              <w:jc w:val="center"/>
              <w:rPr>
                <w:sz w:val="21"/>
                <w:szCs w:val="21"/>
              </w:rPr>
            </w:pPr>
            <w:r>
              <w:rPr>
                <w:rFonts w:hint="eastAsia"/>
                <w:sz w:val="21"/>
                <w:szCs w:val="21"/>
              </w:rPr>
              <w:t>24</w:t>
            </w:r>
          </w:p>
        </w:tc>
        <w:tc>
          <w:tcPr>
            <w:tcW w:w="686" w:type="pct"/>
            <w:vAlign w:val="center"/>
          </w:tcPr>
          <w:p w14:paraId="1D3EC2B8">
            <w:pPr>
              <w:adjustRightInd/>
              <w:snapToGrid/>
              <w:spacing w:line="240" w:lineRule="auto"/>
              <w:ind w:firstLine="0" w:firstLineChars="0"/>
              <w:contextualSpacing/>
              <w:jc w:val="center"/>
              <w:rPr>
                <w:sz w:val="21"/>
                <w:szCs w:val="21"/>
              </w:rPr>
            </w:pPr>
            <w:r>
              <w:rPr>
                <w:sz w:val="21"/>
                <w:szCs w:val="21"/>
              </w:rPr>
              <w:t>锰</w:t>
            </w:r>
          </w:p>
        </w:tc>
        <w:tc>
          <w:tcPr>
            <w:tcW w:w="1855" w:type="pct"/>
            <w:vMerge w:val="continue"/>
            <w:vAlign w:val="center"/>
          </w:tcPr>
          <w:p w14:paraId="1D3EC2B9">
            <w:pPr>
              <w:adjustRightInd/>
              <w:snapToGrid/>
              <w:spacing w:line="240" w:lineRule="auto"/>
              <w:ind w:firstLine="0" w:firstLineChars="0"/>
              <w:contextualSpacing/>
              <w:jc w:val="center"/>
              <w:rPr>
                <w:sz w:val="21"/>
                <w:szCs w:val="21"/>
                <w:highlight w:val="yellow"/>
              </w:rPr>
            </w:pPr>
          </w:p>
        </w:tc>
        <w:tc>
          <w:tcPr>
            <w:tcW w:w="1057" w:type="pct"/>
            <w:vMerge w:val="continue"/>
            <w:vAlign w:val="center"/>
          </w:tcPr>
          <w:p w14:paraId="1D3EC2BA">
            <w:pPr>
              <w:adjustRightInd/>
              <w:snapToGrid/>
              <w:spacing w:line="240" w:lineRule="auto"/>
              <w:ind w:firstLine="0" w:firstLineChars="0"/>
              <w:contextualSpacing/>
              <w:jc w:val="center"/>
              <w:rPr>
                <w:sz w:val="21"/>
                <w:szCs w:val="21"/>
                <w:highlight w:val="yellow"/>
              </w:rPr>
            </w:pPr>
          </w:p>
        </w:tc>
        <w:tc>
          <w:tcPr>
            <w:tcW w:w="714" w:type="pct"/>
            <w:vAlign w:val="center"/>
          </w:tcPr>
          <w:p w14:paraId="1D3EC2BC">
            <w:pPr>
              <w:adjustRightInd/>
              <w:snapToGrid/>
              <w:spacing w:line="240" w:lineRule="auto"/>
              <w:ind w:firstLine="0" w:firstLineChars="0"/>
              <w:contextualSpacing/>
              <w:jc w:val="center"/>
              <w:rPr>
                <w:sz w:val="21"/>
                <w:szCs w:val="21"/>
              </w:rPr>
            </w:pPr>
            <w:r>
              <w:rPr>
                <w:sz w:val="21"/>
                <w:szCs w:val="21"/>
              </w:rPr>
              <w:t>0.01mg/L</w:t>
            </w:r>
          </w:p>
        </w:tc>
        <w:tc>
          <w:tcPr>
            <w:tcW w:w="414" w:type="pct"/>
            <w:vMerge w:val="continue"/>
            <w:vAlign w:val="center"/>
          </w:tcPr>
          <w:p w14:paraId="1D3EC2BE">
            <w:pPr>
              <w:adjustRightInd/>
              <w:snapToGrid/>
              <w:spacing w:line="240" w:lineRule="auto"/>
              <w:ind w:firstLine="0" w:firstLineChars="0"/>
              <w:contextualSpacing/>
              <w:jc w:val="center"/>
              <w:rPr>
                <w:sz w:val="21"/>
                <w:szCs w:val="21"/>
                <w:highlight w:val="yellow"/>
              </w:rPr>
            </w:pPr>
          </w:p>
        </w:tc>
      </w:tr>
      <w:tr w14:paraId="611586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7108BF17">
            <w:pPr>
              <w:adjustRightInd/>
              <w:snapToGrid/>
              <w:spacing w:line="240" w:lineRule="auto"/>
              <w:ind w:firstLine="0" w:firstLineChars="0"/>
              <w:contextualSpacing/>
              <w:jc w:val="center"/>
              <w:rPr>
                <w:sz w:val="21"/>
                <w:szCs w:val="21"/>
              </w:rPr>
            </w:pPr>
            <w:r>
              <w:rPr>
                <w:rFonts w:hint="eastAsia"/>
                <w:sz w:val="21"/>
                <w:szCs w:val="21"/>
              </w:rPr>
              <w:t>25</w:t>
            </w:r>
          </w:p>
        </w:tc>
        <w:tc>
          <w:tcPr>
            <w:tcW w:w="686" w:type="pct"/>
            <w:vAlign w:val="center"/>
          </w:tcPr>
          <w:p w14:paraId="7797C166">
            <w:pPr>
              <w:adjustRightInd/>
              <w:snapToGrid/>
              <w:spacing w:line="240" w:lineRule="auto"/>
              <w:ind w:firstLine="0" w:firstLineChars="0"/>
              <w:contextualSpacing/>
              <w:jc w:val="center"/>
              <w:rPr>
                <w:sz w:val="21"/>
                <w:szCs w:val="21"/>
                <w:highlight w:val="yellow"/>
              </w:rPr>
            </w:pPr>
            <w:r>
              <w:rPr>
                <w:sz w:val="21"/>
                <w:szCs w:val="21"/>
              </w:rPr>
              <w:t>溶解性总固体</w:t>
            </w:r>
          </w:p>
        </w:tc>
        <w:tc>
          <w:tcPr>
            <w:tcW w:w="1855" w:type="pct"/>
            <w:vAlign w:val="center"/>
          </w:tcPr>
          <w:p w14:paraId="13E36390">
            <w:pPr>
              <w:adjustRightInd/>
              <w:snapToGrid/>
              <w:spacing w:line="240" w:lineRule="auto"/>
              <w:ind w:firstLine="0" w:firstLineChars="0"/>
              <w:contextualSpacing/>
              <w:jc w:val="center"/>
              <w:rPr>
                <w:sz w:val="21"/>
                <w:szCs w:val="21"/>
                <w:highlight w:val="yellow"/>
              </w:rPr>
            </w:pPr>
            <w:r>
              <w:rPr>
                <w:rFonts w:hint="eastAsia"/>
                <w:sz w:val="21"/>
                <w:szCs w:val="21"/>
              </w:rPr>
              <w:t>生活饮用水标准检测方法第4部分:感官性状和物理指标(11.1溶解性总固体称量法GB/T 5750.4-2023</w:t>
            </w:r>
          </w:p>
        </w:tc>
        <w:tc>
          <w:tcPr>
            <w:tcW w:w="1057" w:type="pct"/>
            <w:vAlign w:val="center"/>
          </w:tcPr>
          <w:p w14:paraId="156F4862">
            <w:pPr>
              <w:adjustRightInd/>
              <w:snapToGrid/>
              <w:spacing w:line="240" w:lineRule="auto"/>
              <w:ind w:firstLine="0" w:firstLineChars="0"/>
              <w:contextualSpacing/>
              <w:jc w:val="center"/>
              <w:rPr>
                <w:sz w:val="21"/>
                <w:szCs w:val="21"/>
                <w:highlight w:val="yellow"/>
              </w:rPr>
            </w:pPr>
            <w:r>
              <w:rPr>
                <w:rFonts w:hint="eastAsia"/>
                <w:sz w:val="21"/>
                <w:szCs w:val="21"/>
              </w:rPr>
              <w:t>万分之一电子天平JJ224BC</w:t>
            </w:r>
          </w:p>
        </w:tc>
        <w:tc>
          <w:tcPr>
            <w:tcW w:w="714" w:type="pct"/>
            <w:vAlign w:val="center"/>
          </w:tcPr>
          <w:p w14:paraId="69388C80">
            <w:pPr>
              <w:adjustRightInd/>
              <w:snapToGrid/>
              <w:spacing w:line="240" w:lineRule="auto"/>
              <w:ind w:firstLine="0" w:firstLineChars="0"/>
              <w:contextualSpacing/>
              <w:jc w:val="center"/>
              <w:rPr>
                <w:sz w:val="21"/>
                <w:szCs w:val="21"/>
                <w:highlight w:val="yellow"/>
              </w:rPr>
            </w:pPr>
            <w:r>
              <w:rPr>
                <w:sz w:val="21"/>
                <w:szCs w:val="21"/>
              </w:rPr>
              <w:t>/</w:t>
            </w:r>
          </w:p>
        </w:tc>
        <w:tc>
          <w:tcPr>
            <w:tcW w:w="414" w:type="pct"/>
            <w:vMerge w:val="continue"/>
            <w:vAlign w:val="center"/>
          </w:tcPr>
          <w:p w14:paraId="090D5F81">
            <w:pPr>
              <w:adjustRightInd/>
              <w:snapToGrid/>
              <w:spacing w:line="240" w:lineRule="auto"/>
              <w:ind w:firstLine="0" w:firstLineChars="0"/>
              <w:contextualSpacing/>
              <w:jc w:val="center"/>
              <w:rPr>
                <w:sz w:val="21"/>
                <w:szCs w:val="21"/>
                <w:highlight w:val="yellow"/>
              </w:rPr>
            </w:pPr>
          </w:p>
        </w:tc>
      </w:tr>
      <w:tr w14:paraId="03B2D3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6EA1F244">
            <w:pPr>
              <w:adjustRightInd/>
              <w:snapToGrid/>
              <w:spacing w:line="240" w:lineRule="auto"/>
              <w:ind w:firstLine="0" w:firstLineChars="0"/>
              <w:contextualSpacing/>
              <w:jc w:val="center"/>
              <w:rPr>
                <w:sz w:val="21"/>
                <w:szCs w:val="21"/>
              </w:rPr>
            </w:pPr>
            <w:r>
              <w:rPr>
                <w:rFonts w:hint="eastAsia"/>
                <w:sz w:val="21"/>
                <w:szCs w:val="21"/>
              </w:rPr>
              <w:t>26</w:t>
            </w:r>
          </w:p>
        </w:tc>
        <w:tc>
          <w:tcPr>
            <w:tcW w:w="686" w:type="pct"/>
            <w:vAlign w:val="center"/>
          </w:tcPr>
          <w:p w14:paraId="55D819B5">
            <w:pPr>
              <w:adjustRightInd/>
              <w:snapToGrid/>
              <w:spacing w:line="240" w:lineRule="auto"/>
              <w:ind w:firstLine="0" w:firstLineChars="0"/>
              <w:contextualSpacing/>
              <w:jc w:val="center"/>
              <w:rPr>
                <w:sz w:val="21"/>
                <w:szCs w:val="21"/>
                <w:highlight w:val="yellow"/>
              </w:rPr>
            </w:pPr>
            <w:r>
              <w:rPr>
                <w:sz w:val="21"/>
                <w:szCs w:val="21"/>
              </w:rPr>
              <w:t>氯化物</w:t>
            </w:r>
          </w:p>
        </w:tc>
        <w:tc>
          <w:tcPr>
            <w:tcW w:w="1855" w:type="pct"/>
            <w:vAlign w:val="center"/>
          </w:tcPr>
          <w:p w14:paraId="5E5F0A19">
            <w:pPr>
              <w:adjustRightInd/>
              <w:snapToGrid/>
              <w:spacing w:line="240" w:lineRule="auto"/>
              <w:ind w:firstLine="0" w:firstLineChars="0"/>
              <w:contextualSpacing/>
              <w:jc w:val="center"/>
              <w:rPr>
                <w:sz w:val="21"/>
                <w:szCs w:val="21"/>
                <w:highlight w:val="yellow"/>
              </w:rPr>
            </w:pPr>
            <w:r>
              <w:rPr>
                <w:rFonts w:hint="eastAsia"/>
                <w:sz w:val="21"/>
                <w:szCs w:val="21"/>
              </w:rPr>
              <w:t>《生活饮用水标准检验方法第5部分:无机非金属指标(5.1氯化物硝酸银容量法)》（GB/T 5750.5-2023）</w:t>
            </w:r>
          </w:p>
        </w:tc>
        <w:tc>
          <w:tcPr>
            <w:tcW w:w="1057" w:type="pct"/>
            <w:vAlign w:val="center"/>
          </w:tcPr>
          <w:p w14:paraId="3EF7C2D9">
            <w:pPr>
              <w:adjustRightInd/>
              <w:snapToGrid/>
              <w:spacing w:line="240" w:lineRule="auto"/>
              <w:ind w:firstLine="0" w:firstLineChars="0"/>
              <w:contextualSpacing/>
              <w:jc w:val="center"/>
              <w:rPr>
                <w:sz w:val="21"/>
                <w:szCs w:val="21"/>
              </w:rPr>
            </w:pPr>
            <w:r>
              <w:rPr>
                <w:rFonts w:hint="eastAsia"/>
                <w:sz w:val="21"/>
                <w:szCs w:val="21"/>
              </w:rPr>
              <w:t>棕色酸式滴定管</w:t>
            </w:r>
          </w:p>
          <w:p w14:paraId="7F1336A6">
            <w:pPr>
              <w:adjustRightInd/>
              <w:snapToGrid/>
              <w:spacing w:line="240" w:lineRule="auto"/>
              <w:ind w:firstLine="0" w:firstLineChars="0"/>
              <w:contextualSpacing/>
              <w:jc w:val="center"/>
              <w:rPr>
                <w:sz w:val="21"/>
                <w:szCs w:val="21"/>
                <w:highlight w:val="yellow"/>
              </w:rPr>
            </w:pPr>
            <w:r>
              <w:rPr>
                <w:rFonts w:hint="eastAsia"/>
                <w:sz w:val="21"/>
                <w:szCs w:val="21"/>
              </w:rPr>
              <w:t>葵花/50mL/A级</w:t>
            </w:r>
          </w:p>
        </w:tc>
        <w:tc>
          <w:tcPr>
            <w:tcW w:w="714" w:type="pct"/>
            <w:vAlign w:val="center"/>
          </w:tcPr>
          <w:p w14:paraId="1F2468C8">
            <w:pPr>
              <w:adjustRightInd/>
              <w:snapToGrid/>
              <w:spacing w:line="240" w:lineRule="auto"/>
              <w:ind w:firstLine="0" w:firstLineChars="0"/>
              <w:contextualSpacing/>
              <w:jc w:val="center"/>
              <w:rPr>
                <w:sz w:val="21"/>
                <w:szCs w:val="21"/>
                <w:highlight w:val="yellow"/>
              </w:rPr>
            </w:pPr>
            <w:r>
              <w:rPr>
                <w:sz w:val="21"/>
                <w:szCs w:val="21"/>
              </w:rPr>
              <w:t>1</w:t>
            </w:r>
            <w:r>
              <w:rPr>
                <w:rFonts w:hint="eastAsia"/>
                <w:sz w:val="21"/>
                <w:szCs w:val="21"/>
              </w:rPr>
              <w:t>.</w:t>
            </w:r>
            <w:r>
              <w:rPr>
                <w:sz w:val="21"/>
                <w:szCs w:val="21"/>
              </w:rPr>
              <w:t>0mg/L</w:t>
            </w:r>
          </w:p>
        </w:tc>
        <w:tc>
          <w:tcPr>
            <w:tcW w:w="414" w:type="pct"/>
            <w:vMerge w:val="continue"/>
            <w:vAlign w:val="center"/>
          </w:tcPr>
          <w:p w14:paraId="3C1EC686">
            <w:pPr>
              <w:adjustRightInd/>
              <w:snapToGrid/>
              <w:spacing w:line="240" w:lineRule="auto"/>
              <w:ind w:firstLine="0" w:firstLineChars="0"/>
              <w:contextualSpacing/>
              <w:jc w:val="center"/>
              <w:rPr>
                <w:sz w:val="21"/>
                <w:szCs w:val="21"/>
                <w:highlight w:val="yellow"/>
              </w:rPr>
            </w:pPr>
          </w:p>
        </w:tc>
      </w:tr>
      <w:tr w14:paraId="1D3EC2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C0">
            <w:pPr>
              <w:adjustRightInd/>
              <w:snapToGrid/>
              <w:spacing w:line="240" w:lineRule="auto"/>
              <w:ind w:firstLine="0" w:firstLineChars="0"/>
              <w:contextualSpacing/>
              <w:jc w:val="center"/>
              <w:rPr>
                <w:sz w:val="21"/>
                <w:szCs w:val="21"/>
              </w:rPr>
            </w:pPr>
            <w:r>
              <w:rPr>
                <w:sz w:val="21"/>
                <w:szCs w:val="21"/>
              </w:rPr>
              <w:t>2</w:t>
            </w:r>
            <w:r>
              <w:rPr>
                <w:rFonts w:hint="eastAsia"/>
                <w:sz w:val="21"/>
                <w:szCs w:val="21"/>
              </w:rPr>
              <w:t>7</w:t>
            </w:r>
          </w:p>
        </w:tc>
        <w:tc>
          <w:tcPr>
            <w:tcW w:w="686" w:type="pct"/>
            <w:vAlign w:val="center"/>
          </w:tcPr>
          <w:p w14:paraId="1D3EC2C2">
            <w:pPr>
              <w:adjustRightInd/>
              <w:snapToGrid/>
              <w:spacing w:line="240" w:lineRule="auto"/>
              <w:ind w:firstLine="0" w:firstLineChars="0"/>
              <w:contextualSpacing/>
              <w:jc w:val="center"/>
              <w:rPr>
                <w:sz w:val="21"/>
                <w:szCs w:val="21"/>
              </w:rPr>
            </w:pPr>
            <w:r>
              <w:rPr>
                <w:rFonts w:hint="eastAsia"/>
                <w:sz w:val="21"/>
                <w:szCs w:val="21"/>
              </w:rPr>
              <w:t>硫酸盐</w:t>
            </w:r>
          </w:p>
        </w:tc>
        <w:tc>
          <w:tcPr>
            <w:tcW w:w="1855" w:type="pct"/>
            <w:vAlign w:val="center"/>
          </w:tcPr>
          <w:p w14:paraId="1D3EC2C3">
            <w:pPr>
              <w:adjustRightInd/>
              <w:snapToGrid/>
              <w:spacing w:line="240" w:lineRule="auto"/>
              <w:ind w:firstLine="0" w:firstLineChars="0"/>
              <w:contextualSpacing/>
              <w:jc w:val="center"/>
              <w:rPr>
                <w:sz w:val="21"/>
                <w:szCs w:val="21"/>
                <w:highlight w:val="yellow"/>
              </w:rPr>
            </w:pPr>
            <w:r>
              <w:rPr>
                <w:rFonts w:hint="eastAsia"/>
                <w:sz w:val="21"/>
                <w:szCs w:val="21"/>
              </w:rPr>
              <w:t>《水质 硫酸盐的测定 铬酸钡分光光度法(试行)》（HJ/T342-2007）</w:t>
            </w:r>
          </w:p>
        </w:tc>
        <w:tc>
          <w:tcPr>
            <w:tcW w:w="1057" w:type="pct"/>
            <w:vAlign w:val="center"/>
          </w:tcPr>
          <w:p w14:paraId="2F119366">
            <w:pPr>
              <w:adjustRightInd/>
              <w:snapToGrid/>
              <w:spacing w:line="240" w:lineRule="auto"/>
              <w:ind w:firstLine="0" w:firstLineChars="0"/>
              <w:contextualSpacing/>
              <w:jc w:val="center"/>
              <w:rPr>
                <w:sz w:val="21"/>
                <w:szCs w:val="21"/>
              </w:rPr>
            </w:pPr>
            <w:r>
              <w:rPr>
                <w:rFonts w:hint="eastAsia"/>
                <w:sz w:val="21"/>
                <w:szCs w:val="21"/>
              </w:rPr>
              <w:t>可见分光光度计</w:t>
            </w:r>
          </w:p>
          <w:p w14:paraId="1D3EC2C6">
            <w:pPr>
              <w:adjustRightInd/>
              <w:snapToGrid/>
              <w:spacing w:line="240" w:lineRule="auto"/>
              <w:ind w:firstLine="0" w:firstLineChars="0"/>
              <w:contextualSpacing/>
              <w:jc w:val="center"/>
              <w:rPr>
                <w:sz w:val="21"/>
                <w:szCs w:val="21"/>
                <w:highlight w:val="yellow"/>
              </w:rPr>
            </w:pPr>
            <w:r>
              <w:rPr>
                <w:rFonts w:hint="eastAsia"/>
                <w:sz w:val="21"/>
                <w:szCs w:val="21"/>
              </w:rPr>
              <w:t>上海佑科721/3级</w:t>
            </w:r>
          </w:p>
        </w:tc>
        <w:tc>
          <w:tcPr>
            <w:tcW w:w="714" w:type="pct"/>
            <w:vAlign w:val="center"/>
          </w:tcPr>
          <w:p w14:paraId="1D3EC2C7">
            <w:pPr>
              <w:adjustRightInd/>
              <w:snapToGrid/>
              <w:spacing w:line="240" w:lineRule="auto"/>
              <w:ind w:firstLine="0" w:firstLineChars="0"/>
              <w:contextualSpacing/>
              <w:jc w:val="center"/>
              <w:rPr>
                <w:sz w:val="21"/>
                <w:szCs w:val="21"/>
              </w:rPr>
            </w:pPr>
            <w:r>
              <w:rPr>
                <w:rFonts w:hint="eastAsia"/>
                <w:sz w:val="21"/>
                <w:szCs w:val="21"/>
              </w:rPr>
              <w:t>8</w:t>
            </w:r>
            <w:r>
              <w:rPr>
                <w:sz w:val="21"/>
                <w:szCs w:val="21"/>
              </w:rPr>
              <w:t>mg/L</w:t>
            </w:r>
          </w:p>
        </w:tc>
        <w:tc>
          <w:tcPr>
            <w:tcW w:w="414" w:type="pct"/>
            <w:vMerge w:val="continue"/>
            <w:vAlign w:val="center"/>
          </w:tcPr>
          <w:p w14:paraId="1D3EC2C9">
            <w:pPr>
              <w:adjustRightInd/>
              <w:snapToGrid/>
              <w:spacing w:line="240" w:lineRule="auto"/>
              <w:ind w:firstLine="0" w:firstLineChars="0"/>
              <w:contextualSpacing/>
              <w:jc w:val="center"/>
              <w:rPr>
                <w:sz w:val="21"/>
                <w:szCs w:val="21"/>
                <w:highlight w:val="yellow"/>
              </w:rPr>
            </w:pPr>
          </w:p>
        </w:tc>
      </w:tr>
      <w:tr w14:paraId="1D3EC2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CB">
            <w:pPr>
              <w:adjustRightInd/>
              <w:snapToGrid/>
              <w:spacing w:line="240" w:lineRule="auto"/>
              <w:ind w:firstLine="0" w:firstLineChars="0"/>
              <w:contextualSpacing/>
              <w:jc w:val="center"/>
              <w:rPr>
                <w:sz w:val="21"/>
                <w:szCs w:val="21"/>
              </w:rPr>
            </w:pPr>
            <w:r>
              <w:rPr>
                <w:sz w:val="21"/>
                <w:szCs w:val="21"/>
              </w:rPr>
              <w:t>2</w:t>
            </w:r>
            <w:r>
              <w:rPr>
                <w:rFonts w:hint="eastAsia"/>
                <w:sz w:val="21"/>
                <w:szCs w:val="21"/>
              </w:rPr>
              <w:t>8</w:t>
            </w:r>
          </w:p>
        </w:tc>
        <w:tc>
          <w:tcPr>
            <w:tcW w:w="686" w:type="pct"/>
            <w:vAlign w:val="center"/>
          </w:tcPr>
          <w:p w14:paraId="6D88A21C">
            <w:pPr>
              <w:adjustRightInd/>
              <w:snapToGrid/>
              <w:spacing w:line="240" w:lineRule="auto"/>
              <w:ind w:firstLine="0" w:firstLineChars="0"/>
              <w:contextualSpacing/>
              <w:jc w:val="center"/>
              <w:rPr>
                <w:sz w:val="21"/>
                <w:szCs w:val="21"/>
              </w:rPr>
            </w:pPr>
            <w:r>
              <w:rPr>
                <w:sz w:val="21"/>
                <w:szCs w:val="21"/>
              </w:rPr>
              <w:t>总大肠</w:t>
            </w:r>
          </w:p>
          <w:p w14:paraId="1D3EC2CC">
            <w:pPr>
              <w:adjustRightInd/>
              <w:snapToGrid/>
              <w:spacing w:line="240" w:lineRule="auto"/>
              <w:ind w:firstLine="0" w:firstLineChars="0"/>
              <w:contextualSpacing/>
              <w:jc w:val="center"/>
              <w:rPr>
                <w:sz w:val="21"/>
                <w:szCs w:val="21"/>
              </w:rPr>
            </w:pPr>
            <w:r>
              <w:rPr>
                <w:sz w:val="21"/>
                <w:szCs w:val="21"/>
              </w:rPr>
              <w:t>菌群</w:t>
            </w:r>
          </w:p>
        </w:tc>
        <w:tc>
          <w:tcPr>
            <w:tcW w:w="1855" w:type="pct"/>
            <w:vAlign w:val="center"/>
          </w:tcPr>
          <w:p w14:paraId="1D3EC2CD">
            <w:pPr>
              <w:adjustRightInd/>
              <w:snapToGrid/>
              <w:spacing w:line="240" w:lineRule="auto"/>
              <w:ind w:firstLine="0" w:firstLineChars="0"/>
              <w:contextualSpacing/>
              <w:jc w:val="center"/>
              <w:rPr>
                <w:sz w:val="21"/>
                <w:szCs w:val="21"/>
                <w:highlight w:val="yellow"/>
              </w:rPr>
            </w:pPr>
            <w:r>
              <w:rPr>
                <w:sz w:val="21"/>
                <w:szCs w:val="21"/>
              </w:rPr>
              <w:t>《</w:t>
            </w:r>
            <w:r>
              <w:rPr>
                <w:rFonts w:hint="eastAsia"/>
                <w:sz w:val="21"/>
                <w:szCs w:val="21"/>
              </w:rPr>
              <w:t>水质 总大肠菌群和粪大肠菌群的测定 纸片快速法</w:t>
            </w:r>
            <w:r>
              <w:rPr>
                <w:sz w:val="21"/>
                <w:szCs w:val="21"/>
              </w:rPr>
              <w:t>》</w:t>
            </w:r>
            <w:r>
              <w:rPr>
                <w:rFonts w:hint="eastAsia"/>
                <w:sz w:val="21"/>
                <w:szCs w:val="21"/>
              </w:rPr>
              <w:t>（HJ 755-2015）</w:t>
            </w:r>
          </w:p>
        </w:tc>
        <w:tc>
          <w:tcPr>
            <w:tcW w:w="1057" w:type="pct"/>
            <w:vAlign w:val="center"/>
          </w:tcPr>
          <w:p w14:paraId="79AC9DCB">
            <w:pPr>
              <w:adjustRightInd/>
              <w:snapToGrid/>
              <w:spacing w:line="240" w:lineRule="auto"/>
              <w:ind w:firstLine="0" w:firstLineChars="0"/>
              <w:contextualSpacing/>
              <w:jc w:val="center"/>
              <w:rPr>
                <w:sz w:val="21"/>
                <w:szCs w:val="21"/>
              </w:rPr>
            </w:pPr>
            <w:r>
              <w:rPr>
                <w:sz w:val="21"/>
                <w:szCs w:val="21"/>
              </w:rPr>
              <w:t>生化培养箱</w:t>
            </w:r>
          </w:p>
          <w:p w14:paraId="1D3EC2CE">
            <w:pPr>
              <w:adjustRightInd/>
              <w:snapToGrid/>
              <w:spacing w:line="240" w:lineRule="auto"/>
              <w:ind w:firstLine="0" w:firstLineChars="0"/>
              <w:contextualSpacing/>
              <w:jc w:val="center"/>
              <w:rPr>
                <w:sz w:val="21"/>
                <w:szCs w:val="21"/>
                <w:highlight w:val="yellow"/>
              </w:rPr>
            </w:pPr>
            <w:r>
              <w:rPr>
                <w:sz w:val="21"/>
                <w:szCs w:val="21"/>
              </w:rPr>
              <w:t>S</w:t>
            </w:r>
            <w:r>
              <w:rPr>
                <w:rFonts w:hint="eastAsia"/>
                <w:sz w:val="21"/>
                <w:szCs w:val="21"/>
              </w:rPr>
              <w:t>HP-80</w:t>
            </w:r>
          </w:p>
        </w:tc>
        <w:tc>
          <w:tcPr>
            <w:tcW w:w="714" w:type="pct"/>
            <w:vAlign w:val="center"/>
          </w:tcPr>
          <w:p w14:paraId="1D3EC2CF">
            <w:pPr>
              <w:adjustRightInd/>
              <w:snapToGrid/>
              <w:spacing w:line="240" w:lineRule="auto"/>
              <w:ind w:firstLine="0" w:firstLineChars="0"/>
              <w:contextualSpacing/>
              <w:jc w:val="center"/>
              <w:rPr>
                <w:sz w:val="21"/>
                <w:szCs w:val="21"/>
                <w:highlight w:val="yellow"/>
              </w:rPr>
            </w:pPr>
            <w:r>
              <w:rPr>
                <w:sz w:val="21"/>
                <w:szCs w:val="21"/>
              </w:rPr>
              <w:t>2</w:t>
            </w:r>
            <w:r>
              <w:rPr>
                <w:rFonts w:hint="eastAsia"/>
                <w:sz w:val="21"/>
                <w:szCs w:val="21"/>
              </w:rPr>
              <w:t>0</w:t>
            </w:r>
            <w:r>
              <w:rPr>
                <w:sz w:val="21"/>
                <w:szCs w:val="21"/>
              </w:rPr>
              <w:t>MPN/L</w:t>
            </w:r>
          </w:p>
        </w:tc>
        <w:tc>
          <w:tcPr>
            <w:tcW w:w="414" w:type="pct"/>
            <w:vMerge w:val="continue"/>
            <w:vAlign w:val="center"/>
          </w:tcPr>
          <w:p w14:paraId="1D3EC2D2">
            <w:pPr>
              <w:adjustRightInd/>
              <w:snapToGrid/>
              <w:spacing w:line="240" w:lineRule="auto"/>
              <w:ind w:firstLine="0" w:firstLineChars="0"/>
              <w:contextualSpacing/>
              <w:jc w:val="center"/>
              <w:rPr>
                <w:sz w:val="21"/>
                <w:szCs w:val="21"/>
                <w:highlight w:val="yellow"/>
              </w:rPr>
            </w:pPr>
          </w:p>
        </w:tc>
      </w:tr>
      <w:tr w14:paraId="1D3EC2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D4">
            <w:pPr>
              <w:adjustRightInd/>
              <w:snapToGrid/>
              <w:spacing w:line="240" w:lineRule="auto"/>
              <w:ind w:firstLine="0" w:firstLineChars="0"/>
              <w:contextualSpacing/>
              <w:jc w:val="center"/>
              <w:rPr>
                <w:sz w:val="21"/>
                <w:szCs w:val="21"/>
              </w:rPr>
            </w:pPr>
            <w:r>
              <w:rPr>
                <w:sz w:val="21"/>
                <w:szCs w:val="21"/>
              </w:rPr>
              <w:t>2</w:t>
            </w:r>
            <w:r>
              <w:rPr>
                <w:rFonts w:hint="eastAsia"/>
                <w:sz w:val="21"/>
                <w:szCs w:val="21"/>
              </w:rPr>
              <w:t>9</w:t>
            </w:r>
          </w:p>
        </w:tc>
        <w:tc>
          <w:tcPr>
            <w:tcW w:w="686" w:type="pct"/>
            <w:vAlign w:val="center"/>
          </w:tcPr>
          <w:p w14:paraId="1D3EC2D6">
            <w:pPr>
              <w:adjustRightInd/>
              <w:snapToGrid/>
              <w:spacing w:line="240" w:lineRule="auto"/>
              <w:ind w:firstLine="0" w:firstLineChars="0"/>
              <w:contextualSpacing/>
              <w:jc w:val="center"/>
              <w:rPr>
                <w:sz w:val="21"/>
                <w:szCs w:val="21"/>
              </w:rPr>
            </w:pPr>
            <w:r>
              <w:rPr>
                <w:sz w:val="21"/>
                <w:szCs w:val="21"/>
              </w:rPr>
              <w:t>菌落总数</w:t>
            </w:r>
          </w:p>
        </w:tc>
        <w:tc>
          <w:tcPr>
            <w:tcW w:w="1855" w:type="pct"/>
            <w:vAlign w:val="center"/>
          </w:tcPr>
          <w:p w14:paraId="1D3EC2D7">
            <w:pPr>
              <w:adjustRightInd/>
              <w:snapToGrid/>
              <w:spacing w:line="240" w:lineRule="auto"/>
              <w:ind w:firstLine="0" w:firstLineChars="0"/>
              <w:contextualSpacing/>
              <w:jc w:val="center"/>
              <w:rPr>
                <w:sz w:val="21"/>
                <w:szCs w:val="21"/>
                <w:highlight w:val="yellow"/>
              </w:rPr>
            </w:pPr>
            <w:r>
              <w:rPr>
                <w:sz w:val="21"/>
                <w:szCs w:val="21"/>
              </w:rPr>
              <w:t>《水质 细菌总数的测定平皿计数法》</w:t>
            </w:r>
            <w:r>
              <w:rPr>
                <w:rFonts w:hint="eastAsia"/>
                <w:sz w:val="21"/>
                <w:szCs w:val="21"/>
              </w:rPr>
              <w:t>（</w:t>
            </w:r>
            <w:r>
              <w:rPr>
                <w:sz w:val="21"/>
                <w:szCs w:val="21"/>
              </w:rPr>
              <w:t>HJ 1000-2018</w:t>
            </w:r>
            <w:r>
              <w:rPr>
                <w:rFonts w:hint="eastAsia"/>
                <w:sz w:val="21"/>
                <w:szCs w:val="21"/>
              </w:rPr>
              <w:t>）</w:t>
            </w:r>
          </w:p>
        </w:tc>
        <w:tc>
          <w:tcPr>
            <w:tcW w:w="1057" w:type="pct"/>
            <w:vAlign w:val="center"/>
          </w:tcPr>
          <w:p w14:paraId="0C4E3F37">
            <w:pPr>
              <w:adjustRightInd/>
              <w:snapToGrid/>
              <w:spacing w:line="240" w:lineRule="auto"/>
              <w:ind w:firstLine="0" w:firstLineChars="0"/>
              <w:contextualSpacing/>
              <w:jc w:val="center"/>
              <w:rPr>
                <w:sz w:val="21"/>
                <w:szCs w:val="21"/>
              </w:rPr>
            </w:pPr>
            <w:r>
              <w:rPr>
                <w:sz w:val="21"/>
                <w:szCs w:val="21"/>
              </w:rPr>
              <w:t>生化培养箱</w:t>
            </w:r>
          </w:p>
          <w:p w14:paraId="1D3EC2D9">
            <w:pPr>
              <w:adjustRightInd/>
              <w:snapToGrid/>
              <w:spacing w:line="240" w:lineRule="auto"/>
              <w:ind w:firstLine="0" w:firstLineChars="0"/>
              <w:contextualSpacing/>
              <w:jc w:val="center"/>
              <w:rPr>
                <w:sz w:val="21"/>
                <w:szCs w:val="21"/>
              </w:rPr>
            </w:pPr>
            <w:r>
              <w:rPr>
                <w:sz w:val="21"/>
                <w:szCs w:val="21"/>
              </w:rPr>
              <w:t>S</w:t>
            </w:r>
            <w:r>
              <w:rPr>
                <w:rFonts w:hint="eastAsia"/>
                <w:sz w:val="21"/>
                <w:szCs w:val="21"/>
              </w:rPr>
              <w:t>HP-80</w:t>
            </w:r>
          </w:p>
        </w:tc>
        <w:tc>
          <w:tcPr>
            <w:tcW w:w="714" w:type="pct"/>
            <w:vAlign w:val="center"/>
          </w:tcPr>
          <w:p w14:paraId="1D3EC2DA">
            <w:pPr>
              <w:adjustRightInd/>
              <w:snapToGrid/>
              <w:spacing w:line="240" w:lineRule="auto"/>
              <w:ind w:firstLine="0" w:firstLineChars="0"/>
              <w:contextualSpacing/>
              <w:jc w:val="center"/>
              <w:rPr>
                <w:sz w:val="21"/>
                <w:szCs w:val="21"/>
              </w:rPr>
            </w:pPr>
            <w:r>
              <w:rPr>
                <w:sz w:val="21"/>
                <w:szCs w:val="21"/>
              </w:rPr>
              <w:t>/</w:t>
            </w:r>
          </w:p>
        </w:tc>
        <w:tc>
          <w:tcPr>
            <w:tcW w:w="414" w:type="pct"/>
            <w:vMerge w:val="continue"/>
            <w:vAlign w:val="center"/>
          </w:tcPr>
          <w:p w14:paraId="1D3EC2DD">
            <w:pPr>
              <w:adjustRightInd/>
              <w:snapToGrid/>
              <w:spacing w:line="240" w:lineRule="auto"/>
              <w:ind w:firstLine="0" w:firstLineChars="0"/>
              <w:contextualSpacing/>
              <w:jc w:val="center"/>
              <w:rPr>
                <w:sz w:val="21"/>
                <w:szCs w:val="21"/>
                <w:highlight w:val="yellow"/>
              </w:rPr>
            </w:pPr>
          </w:p>
        </w:tc>
      </w:tr>
      <w:tr w14:paraId="1D3EC2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tcBorders>
            <w:vAlign w:val="center"/>
          </w:tcPr>
          <w:p w14:paraId="1D3EC2DF">
            <w:pPr>
              <w:adjustRightInd/>
              <w:snapToGrid/>
              <w:spacing w:line="240" w:lineRule="auto"/>
              <w:ind w:firstLine="0" w:firstLineChars="0"/>
              <w:contextualSpacing/>
              <w:jc w:val="center"/>
              <w:rPr>
                <w:sz w:val="21"/>
                <w:szCs w:val="21"/>
              </w:rPr>
            </w:pPr>
            <w:r>
              <w:rPr>
                <w:rFonts w:hint="eastAsia"/>
                <w:sz w:val="21"/>
                <w:szCs w:val="21"/>
              </w:rPr>
              <w:t>30</w:t>
            </w:r>
          </w:p>
        </w:tc>
        <w:tc>
          <w:tcPr>
            <w:tcW w:w="686" w:type="pct"/>
            <w:vAlign w:val="center"/>
          </w:tcPr>
          <w:p w14:paraId="1D3EC2E0">
            <w:pPr>
              <w:adjustRightInd/>
              <w:snapToGrid/>
              <w:spacing w:line="240" w:lineRule="auto"/>
              <w:ind w:firstLine="0" w:firstLineChars="0"/>
              <w:contextualSpacing/>
              <w:jc w:val="center"/>
              <w:rPr>
                <w:sz w:val="21"/>
                <w:szCs w:val="21"/>
              </w:rPr>
            </w:pPr>
            <w:r>
              <w:rPr>
                <w:rFonts w:hint="eastAsia"/>
                <w:sz w:val="21"/>
                <w:szCs w:val="21"/>
              </w:rPr>
              <w:t>色度</w:t>
            </w:r>
          </w:p>
        </w:tc>
        <w:tc>
          <w:tcPr>
            <w:tcW w:w="1855" w:type="pct"/>
            <w:vAlign w:val="center"/>
          </w:tcPr>
          <w:p w14:paraId="1D3EC2E1">
            <w:pPr>
              <w:adjustRightInd/>
              <w:snapToGrid/>
              <w:spacing w:line="240" w:lineRule="auto"/>
              <w:ind w:firstLine="0" w:firstLineChars="0"/>
              <w:contextualSpacing/>
              <w:jc w:val="center"/>
              <w:rPr>
                <w:sz w:val="21"/>
                <w:szCs w:val="21"/>
              </w:rPr>
            </w:pPr>
            <w:r>
              <w:rPr>
                <w:rFonts w:hint="eastAsia"/>
                <w:sz w:val="21"/>
                <w:szCs w:val="21"/>
              </w:rPr>
              <w:t>《水质色度的测定(铂钴比色法)（GB 11903-89）</w:t>
            </w:r>
          </w:p>
        </w:tc>
        <w:tc>
          <w:tcPr>
            <w:tcW w:w="1057" w:type="pct"/>
            <w:vAlign w:val="center"/>
          </w:tcPr>
          <w:p w14:paraId="1D3EC2E3">
            <w:pPr>
              <w:adjustRightInd/>
              <w:snapToGrid/>
              <w:spacing w:line="240" w:lineRule="auto"/>
              <w:ind w:firstLine="0" w:firstLineChars="0"/>
              <w:contextualSpacing/>
              <w:jc w:val="center"/>
              <w:rPr>
                <w:sz w:val="21"/>
                <w:szCs w:val="21"/>
              </w:rPr>
            </w:pPr>
            <w:r>
              <w:rPr>
                <w:rFonts w:hint="eastAsia"/>
                <w:sz w:val="21"/>
                <w:szCs w:val="21"/>
              </w:rPr>
              <w:t>具塞比色管博美/50m1/B级</w:t>
            </w:r>
          </w:p>
        </w:tc>
        <w:tc>
          <w:tcPr>
            <w:tcW w:w="714" w:type="pct"/>
            <w:vAlign w:val="center"/>
          </w:tcPr>
          <w:p w14:paraId="1D3EC2E4">
            <w:pPr>
              <w:adjustRightInd/>
              <w:snapToGrid/>
              <w:spacing w:line="240" w:lineRule="auto"/>
              <w:ind w:firstLine="0" w:firstLineChars="0"/>
              <w:contextualSpacing/>
              <w:jc w:val="center"/>
              <w:rPr>
                <w:sz w:val="21"/>
                <w:szCs w:val="21"/>
              </w:rPr>
            </w:pPr>
            <w:r>
              <w:rPr>
                <w:rFonts w:hint="eastAsia"/>
                <w:sz w:val="21"/>
                <w:szCs w:val="21"/>
              </w:rPr>
              <w:t>/</w:t>
            </w:r>
          </w:p>
        </w:tc>
        <w:tc>
          <w:tcPr>
            <w:tcW w:w="414" w:type="pct"/>
            <w:vMerge w:val="continue"/>
            <w:vAlign w:val="center"/>
          </w:tcPr>
          <w:p w14:paraId="1D3EC2E6">
            <w:pPr>
              <w:adjustRightInd/>
              <w:snapToGrid/>
              <w:spacing w:line="240" w:lineRule="auto"/>
              <w:ind w:firstLine="0" w:firstLineChars="0"/>
              <w:contextualSpacing/>
              <w:jc w:val="center"/>
              <w:rPr>
                <w:sz w:val="21"/>
                <w:szCs w:val="21"/>
                <w:highlight w:val="yellow"/>
              </w:rPr>
            </w:pPr>
          </w:p>
        </w:tc>
      </w:tr>
      <w:tr w14:paraId="1D3EC2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74" w:type="pct"/>
            <w:tcBorders>
              <w:top w:val="single" w:color="auto" w:sz="4" w:space="0"/>
              <w:bottom w:val="single" w:color="auto" w:sz="4" w:space="0"/>
            </w:tcBorders>
            <w:vAlign w:val="center"/>
          </w:tcPr>
          <w:p w14:paraId="1D3EC2E8">
            <w:pPr>
              <w:adjustRightInd/>
              <w:snapToGrid/>
              <w:spacing w:line="240" w:lineRule="auto"/>
              <w:ind w:firstLine="0" w:firstLineChars="0"/>
              <w:contextualSpacing/>
              <w:jc w:val="center"/>
              <w:rPr>
                <w:sz w:val="21"/>
                <w:szCs w:val="21"/>
              </w:rPr>
            </w:pPr>
            <w:r>
              <w:rPr>
                <w:rFonts w:hint="eastAsia"/>
                <w:sz w:val="21"/>
                <w:szCs w:val="21"/>
              </w:rPr>
              <w:t>31</w:t>
            </w:r>
          </w:p>
        </w:tc>
        <w:tc>
          <w:tcPr>
            <w:tcW w:w="686" w:type="pct"/>
            <w:vAlign w:val="center"/>
          </w:tcPr>
          <w:p w14:paraId="1D3EC2E9">
            <w:pPr>
              <w:adjustRightInd/>
              <w:snapToGrid/>
              <w:spacing w:line="240" w:lineRule="auto"/>
              <w:ind w:firstLine="0" w:firstLineChars="0"/>
              <w:contextualSpacing/>
              <w:jc w:val="center"/>
              <w:rPr>
                <w:sz w:val="21"/>
                <w:szCs w:val="21"/>
              </w:rPr>
            </w:pPr>
            <w:r>
              <w:rPr>
                <w:rFonts w:hint="eastAsia"/>
                <w:sz w:val="21"/>
                <w:szCs w:val="21"/>
              </w:rPr>
              <w:t>石油类</w:t>
            </w:r>
          </w:p>
        </w:tc>
        <w:tc>
          <w:tcPr>
            <w:tcW w:w="1855" w:type="pct"/>
            <w:vAlign w:val="center"/>
          </w:tcPr>
          <w:p w14:paraId="12CD6D42">
            <w:pPr>
              <w:adjustRightInd/>
              <w:snapToGrid/>
              <w:spacing w:line="240" w:lineRule="auto"/>
              <w:ind w:firstLine="0" w:firstLineChars="0"/>
              <w:contextualSpacing/>
              <w:jc w:val="center"/>
              <w:rPr>
                <w:sz w:val="21"/>
                <w:szCs w:val="21"/>
              </w:rPr>
            </w:pPr>
            <w:r>
              <w:rPr>
                <w:rFonts w:hint="eastAsia"/>
                <w:sz w:val="21"/>
                <w:szCs w:val="21"/>
              </w:rPr>
              <w:t>《水质石油类的测定紫外分光光度法(试行)》</w:t>
            </w:r>
          </w:p>
          <w:p w14:paraId="1D3EC2EB">
            <w:pPr>
              <w:adjustRightInd/>
              <w:snapToGrid/>
              <w:spacing w:line="240" w:lineRule="auto"/>
              <w:ind w:firstLine="0" w:firstLineChars="0"/>
              <w:contextualSpacing/>
              <w:jc w:val="center"/>
              <w:rPr>
                <w:sz w:val="21"/>
                <w:szCs w:val="21"/>
              </w:rPr>
            </w:pPr>
            <w:r>
              <w:rPr>
                <w:rFonts w:hint="eastAsia"/>
                <w:sz w:val="21"/>
                <w:szCs w:val="21"/>
              </w:rPr>
              <w:t>（HJ970-2018）</w:t>
            </w:r>
          </w:p>
        </w:tc>
        <w:tc>
          <w:tcPr>
            <w:tcW w:w="1057" w:type="pct"/>
            <w:vAlign w:val="center"/>
          </w:tcPr>
          <w:p w14:paraId="1D3EC2EC">
            <w:pPr>
              <w:adjustRightInd/>
              <w:snapToGrid/>
              <w:spacing w:line="240" w:lineRule="auto"/>
              <w:ind w:firstLine="0" w:firstLineChars="0"/>
              <w:contextualSpacing/>
              <w:jc w:val="center"/>
              <w:rPr>
                <w:sz w:val="21"/>
                <w:szCs w:val="21"/>
              </w:rPr>
            </w:pPr>
            <w:r>
              <w:rPr>
                <w:rFonts w:hint="eastAsia"/>
                <w:sz w:val="21"/>
                <w:szCs w:val="21"/>
              </w:rPr>
              <w:t>紫外可见分光光度计UV-1500pc/3级</w:t>
            </w:r>
          </w:p>
        </w:tc>
        <w:tc>
          <w:tcPr>
            <w:tcW w:w="714" w:type="pct"/>
            <w:vAlign w:val="center"/>
          </w:tcPr>
          <w:p w14:paraId="1D3EC2EE">
            <w:pPr>
              <w:adjustRightInd/>
              <w:snapToGrid/>
              <w:spacing w:line="240" w:lineRule="auto"/>
              <w:ind w:firstLine="0" w:firstLineChars="0"/>
              <w:contextualSpacing/>
              <w:jc w:val="center"/>
              <w:rPr>
                <w:sz w:val="21"/>
                <w:szCs w:val="21"/>
              </w:rPr>
            </w:pPr>
            <w:r>
              <w:rPr>
                <w:rFonts w:hint="eastAsia"/>
                <w:sz w:val="21"/>
                <w:szCs w:val="21"/>
              </w:rPr>
              <w:t>0.01</w:t>
            </w:r>
            <w:r>
              <w:rPr>
                <w:sz w:val="21"/>
                <w:szCs w:val="21"/>
              </w:rPr>
              <w:t>mg/L</w:t>
            </w:r>
          </w:p>
        </w:tc>
        <w:tc>
          <w:tcPr>
            <w:tcW w:w="414" w:type="pct"/>
            <w:vMerge w:val="continue"/>
            <w:vAlign w:val="center"/>
          </w:tcPr>
          <w:p w14:paraId="1D3EC2F0">
            <w:pPr>
              <w:adjustRightInd/>
              <w:snapToGrid/>
              <w:spacing w:line="240" w:lineRule="auto"/>
              <w:ind w:firstLine="0" w:firstLineChars="0"/>
              <w:contextualSpacing/>
              <w:jc w:val="center"/>
              <w:rPr>
                <w:sz w:val="21"/>
                <w:szCs w:val="21"/>
                <w:highlight w:val="yellow"/>
              </w:rPr>
            </w:pPr>
          </w:p>
        </w:tc>
      </w:tr>
    </w:tbl>
    <w:p w14:paraId="1D3EC2FD">
      <w:pPr>
        <w:pStyle w:val="6"/>
        <w:ind w:left="0" w:firstLine="482" w:firstLineChars="200"/>
      </w:pPr>
      <w:r>
        <w:t>评价标准</w:t>
      </w:r>
    </w:p>
    <w:p w14:paraId="579200AB">
      <w:pPr>
        <w:ind w:firstLine="480"/>
      </w:pPr>
      <w:r>
        <w:t>本项目地下水现状质量评价执行《地下水质量标准》（GB/T14848-2017）中的Ⅲ类标准，见下表。</w:t>
      </w:r>
    </w:p>
    <w:p w14:paraId="1D3EC2FF">
      <w:pPr>
        <w:numPr>
          <w:ilvl w:val="0"/>
          <w:numId w:val="23"/>
        </w:numPr>
        <w:adjustRightInd/>
        <w:snapToGrid/>
        <w:ind w:firstLineChars="0"/>
        <w:textAlignment w:val="auto"/>
        <w:rPr>
          <w:rFonts w:eastAsia="黑体"/>
        </w:rPr>
      </w:pPr>
      <w:r>
        <w:rPr>
          <w:rFonts w:eastAsia="黑体"/>
        </w:rPr>
        <w:t xml:space="preserve">           地下水质量标准                单位：mg/L</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1569"/>
        <w:gridCol w:w="1075"/>
        <w:gridCol w:w="1344"/>
        <w:gridCol w:w="1231"/>
        <w:gridCol w:w="1769"/>
        <w:gridCol w:w="1540"/>
      </w:tblGrid>
      <w:tr w14:paraId="1D3EC30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920" w:type="pct"/>
            <w:vAlign w:val="center"/>
          </w:tcPr>
          <w:p w14:paraId="1D3EC300">
            <w:pPr>
              <w:adjustRightInd/>
              <w:snapToGrid/>
              <w:spacing w:line="240" w:lineRule="auto"/>
              <w:ind w:firstLine="0" w:firstLineChars="0"/>
              <w:jc w:val="center"/>
              <w:textAlignment w:val="auto"/>
              <w:rPr>
                <w:b/>
                <w:kern w:val="2"/>
                <w:sz w:val="21"/>
              </w:rPr>
            </w:pPr>
            <w:r>
              <w:rPr>
                <w:b/>
                <w:kern w:val="2"/>
                <w:sz w:val="21"/>
              </w:rPr>
              <w:t>项目</w:t>
            </w:r>
          </w:p>
        </w:tc>
        <w:tc>
          <w:tcPr>
            <w:tcW w:w="630" w:type="pct"/>
            <w:tcMar>
              <w:left w:w="0" w:type="dxa"/>
              <w:right w:w="0" w:type="dxa"/>
            </w:tcMar>
            <w:vAlign w:val="center"/>
          </w:tcPr>
          <w:p w14:paraId="1D3EC301">
            <w:pPr>
              <w:adjustRightInd/>
              <w:snapToGrid/>
              <w:spacing w:line="240" w:lineRule="auto"/>
              <w:ind w:firstLine="0" w:firstLineChars="0"/>
              <w:jc w:val="center"/>
              <w:textAlignment w:val="auto"/>
              <w:rPr>
                <w:b/>
                <w:kern w:val="2"/>
                <w:sz w:val="21"/>
              </w:rPr>
            </w:pPr>
            <w:r>
              <w:rPr>
                <w:b/>
                <w:kern w:val="2"/>
                <w:sz w:val="21"/>
              </w:rPr>
              <w:t>Ⅲ类标准</w:t>
            </w:r>
          </w:p>
          <w:p w14:paraId="1D3EC302">
            <w:pPr>
              <w:adjustRightInd/>
              <w:snapToGrid/>
              <w:spacing w:line="240" w:lineRule="auto"/>
              <w:ind w:firstLine="0" w:firstLineChars="0"/>
              <w:jc w:val="center"/>
              <w:textAlignment w:val="auto"/>
              <w:rPr>
                <w:b/>
                <w:kern w:val="2"/>
                <w:sz w:val="21"/>
              </w:rPr>
            </w:pPr>
            <w:r>
              <w:rPr>
                <w:b/>
                <w:kern w:val="2"/>
                <w:sz w:val="21"/>
              </w:rPr>
              <w:t>限值</w:t>
            </w:r>
          </w:p>
        </w:tc>
        <w:tc>
          <w:tcPr>
            <w:tcW w:w="788" w:type="pct"/>
            <w:vAlign w:val="center"/>
          </w:tcPr>
          <w:p w14:paraId="1D3EC303">
            <w:pPr>
              <w:adjustRightInd/>
              <w:snapToGrid/>
              <w:spacing w:line="240" w:lineRule="auto"/>
              <w:ind w:firstLine="0" w:firstLineChars="0"/>
              <w:jc w:val="center"/>
              <w:textAlignment w:val="auto"/>
              <w:rPr>
                <w:b/>
                <w:kern w:val="2"/>
                <w:sz w:val="21"/>
              </w:rPr>
            </w:pPr>
            <w:r>
              <w:rPr>
                <w:b/>
                <w:kern w:val="2"/>
                <w:sz w:val="21"/>
              </w:rPr>
              <w:t>项目</w:t>
            </w:r>
          </w:p>
        </w:tc>
        <w:tc>
          <w:tcPr>
            <w:tcW w:w="722" w:type="pct"/>
            <w:vAlign w:val="center"/>
          </w:tcPr>
          <w:p w14:paraId="1D3EC304">
            <w:pPr>
              <w:adjustRightInd/>
              <w:snapToGrid/>
              <w:spacing w:line="240" w:lineRule="auto"/>
              <w:ind w:firstLine="0" w:firstLineChars="0"/>
              <w:jc w:val="center"/>
              <w:textAlignment w:val="auto"/>
              <w:rPr>
                <w:b/>
                <w:kern w:val="2"/>
                <w:sz w:val="21"/>
              </w:rPr>
            </w:pPr>
            <w:r>
              <w:rPr>
                <w:b/>
                <w:kern w:val="2"/>
                <w:sz w:val="21"/>
              </w:rPr>
              <w:t>Ⅲ类标</w:t>
            </w:r>
          </w:p>
          <w:p w14:paraId="1D3EC305">
            <w:pPr>
              <w:adjustRightInd/>
              <w:snapToGrid/>
              <w:spacing w:line="240" w:lineRule="auto"/>
              <w:ind w:firstLine="0" w:firstLineChars="0"/>
              <w:jc w:val="center"/>
              <w:textAlignment w:val="auto"/>
              <w:rPr>
                <w:b/>
                <w:kern w:val="2"/>
                <w:sz w:val="21"/>
              </w:rPr>
            </w:pPr>
            <w:r>
              <w:rPr>
                <w:b/>
                <w:kern w:val="2"/>
                <w:sz w:val="21"/>
              </w:rPr>
              <w:t>准限值</w:t>
            </w:r>
          </w:p>
        </w:tc>
        <w:tc>
          <w:tcPr>
            <w:tcW w:w="1037" w:type="pct"/>
            <w:vAlign w:val="center"/>
          </w:tcPr>
          <w:p w14:paraId="1D3EC306">
            <w:pPr>
              <w:adjustRightInd/>
              <w:snapToGrid/>
              <w:spacing w:line="240" w:lineRule="auto"/>
              <w:ind w:firstLine="0" w:firstLineChars="0"/>
              <w:jc w:val="center"/>
              <w:textAlignment w:val="auto"/>
              <w:rPr>
                <w:b/>
                <w:kern w:val="2"/>
                <w:sz w:val="21"/>
              </w:rPr>
            </w:pPr>
            <w:r>
              <w:rPr>
                <w:b/>
                <w:kern w:val="2"/>
                <w:sz w:val="21"/>
              </w:rPr>
              <w:t>项目</w:t>
            </w:r>
          </w:p>
        </w:tc>
        <w:tc>
          <w:tcPr>
            <w:tcW w:w="903" w:type="pct"/>
            <w:vAlign w:val="center"/>
          </w:tcPr>
          <w:p w14:paraId="1D3EC307">
            <w:pPr>
              <w:adjustRightInd/>
              <w:snapToGrid/>
              <w:spacing w:line="240" w:lineRule="auto"/>
              <w:ind w:firstLine="0" w:firstLineChars="0"/>
              <w:jc w:val="center"/>
              <w:textAlignment w:val="auto"/>
              <w:rPr>
                <w:b/>
                <w:kern w:val="2"/>
                <w:sz w:val="21"/>
              </w:rPr>
            </w:pPr>
            <w:r>
              <w:rPr>
                <w:b/>
                <w:kern w:val="2"/>
                <w:sz w:val="21"/>
              </w:rPr>
              <w:t>Ⅲ类标准</w:t>
            </w:r>
          </w:p>
          <w:p w14:paraId="1D3EC308">
            <w:pPr>
              <w:adjustRightInd/>
              <w:snapToGrid/>
              <w:spacing w:line="240" w:lineRule="auto"/>
              <w:ind w:firstLine="0" w:firstLineChars="0"/>
              <w:jc w:val="center"/>
              <w:textAlignment w:val="auto"/>
              <w:rPr>
                <w:b/>
                <w:kern w:val="2"/>
                <w:sz w:val="21"/>
              </w:rPr>
            </w:pPr>
            <w:r>
              <w:rPr>
                <w:b/>
                <w:kern w:val="2"/>
                <w:sz w:val="21"/>
              </w:rPr>
              <w:t>限值</w:t>
            </w:r>
          </w:p>
        </w:tc>
      </w:tr>
      <w:tr w14:paraId="1D3EC31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D3EC30A">
            <w:pPr>
              <w:adjustRightInd/>
              <w:snapToGrid/>
              <w:spacing w:line="240" w:lineRule="auto"/>
              <w:ind w:firstLine="0" w:firstLineChars="0"/>
              <w:contextualSpacing/>
              <w:jc w:val="center"/>
              <w:rPr>
                <w:sz w:val="21"/>
                <w:szCs w:val="21"/>
              </w:rPr>
            </w:pPr>
            <w:r>
              <w:rPr>
                <w:sz w:val="21"/>
                <w:szCs w:val="21"/>
              </w:rPr>
              <w:t>pH（无量纲）</w:t>
            </w:r>
          </w:p>
        </w:tc>
        <w:tc>
          <w:tcPr>
            <w:tcW w:w="630" w:type="pct"/>
            <w:vAlign w:val="center"/>
          </w:tcPr>
          <w:p w14:paraId="1D3EC30B">
            <w:pPr>
              <w:adjustRightInd/>
              <w:snapToGrid/>
              <w:spacing w:line="240" w:lineRule="auto"/>
              <w:ind w:firstLine="0" w:firstLineChars="0"/>
              <w:contextualSpacing/>
              <w:jc w:val="center"/>
              <w:rPr>
                <w:sz w:val="21"/>
                <w:szCs w:val="21"/>
              </w:rPr>
            </w:pPr>
            <w:r>
              <w:rPr>
                <w:sz w:val="21"/>
                <w:szCs w:val="21"/>
              </w:rPr>
              <w:t>6.5~8.5</w:t>
            </w:r>
          </w:p>
        </w:tc>
        <w:tc>
          <w:tcPr>
            <w:tcW w:w="788" w:type="pct"/>
            <w:vAlign w:val="center"/>
          </w:tcPr>
          <w:p w14:paraId="1D3EC30C">
            <w:pPr>
              <w:adjustRightInd/>
              <w:snapToGrid/>
              <w:spacing w:line="240" w:lineRule="auto"/>
              <w:ind w:firstLine="0" w:firstLineChars="0"/>
              <w:contextualSpacing/>
              <w:jc w:val="center"/>
              <w:rPr>
                <w:sz w:val="21"/>
                <w:szCs w:val="21"/>
              </w:rPr>
            </w:pPr>
            <w:r>
              <w:rPr>
                <w:sz w:val="21"/>
                <w:szCs w:val="21"/>
              </w:rPr>
              <w:t>亚硝酸盐</w:t>
            </w:r>
          </w:p>
        </w:tc>
        <w:tc>
          <w:tcPr>
            <w:tcW w:w="722" w:type="pct"/>
            <w:vAlign w:val="center"/>
          </w:tcPr>
          <w:p w14:paraId="1D3EC30D">
            <w:pPr>
              <w:adjustRightInd/>
              <w:snapToGrid/>
              <w:spacing w:line="240" w:lineRule="auto"/>
              <w:ind w:firstLine="0" w:firstLineChars="0"/>
              <w:contextualSpacing/>
              <w:jc w:val="center"/>
              <w:rPr>
                <w:sz w:val="21"/>
                <w:szCs w:val="21"/>
              </w:rPr>
            </w:pPr>
            <w:r>
              <w:rPr>
                <w:sz w:val="21"/>
                <w:szCs w:val="21"/>
              </w:rPr>
              <w:t>1</w:t>
            </w:r>
          </w:p>
        </w:tc>
        <w:tc>
          <w:tcPr>
            <w:tcW w:w="1037" w:type="pct"/>
            <w:vAlign w:val="center"/>
          </w:tcPr>
          <w:p w14:paraId="1D3EC30E">
            <w:pPr>
              <w:adjustRightInd/>
              <w:snapToGrid/>
              <w:spacing w:line="240" w:lineRule="auto"/>
              <w:ind w:firstLine="0" w:firstLineChars="0"/>
              <w:contextualSpacing/>
              <w:jc w:val="center"/>
              <w:rPr>
                <w:sz w:val="21"/>
                <w:szCs w:val="21"/>
              </w:rPr>
            </w:pPr>
            <w:r>
              <w:rPr>
                <w:sz w:val="21"/>
                <w:szCs w:val="21"/>
              </w:rPr>
              <w:t>镉</w:t>
            </w:r>
          </w:p>
        </w:tc>
        <w:tc>
          <w:tcPr>
            <w:tcW w:w="903" w:type="pct"/>
            <w:vAlign w:val="center"/>
          </w:tcPr>
          <w:p w14:paraId="1D3EC30F">
            <w:pPr>
              <w:adjustRightInd/>
              <w:snapToGrid/>
              <w:spacing w:line="240" w:lineRule="auto"/>
              <w:ind w:firstLine="0" w:firstLineChars="0"/>
              <w:contextualSpacing/>
              <w:jc w:val="center"/>
              <w:rPr>
                <w:sz w:val="21"/>
                <w:szCs w:val="21"/>
              </w:rPr>
            </w:pPr>
            <w:r>
              <w:rPr>
                <w:sz w:val="21"/>
                <w:szCs w:val="21"/>
              </w:rPr>
              <w:t>0.005</w:t>
            </w:r>
          </w:p>
        </w:tc>
      </w:tr>
      <w:tr w14:paraId="1D3EC31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D3EC311">
            <w:pPr>
              <w:adjustRightInd/>
              <w:snapToGrid/>
              <w:spacing w:line="240" w:lineRule="auto"/>
              <w:ind w:firstLine="0" w:firstLineChars="0"/>
              <w:contextualSpacing/>
              <w:jc w:val="center"/>
              <w:rPr>
                <w:sz w:val="21"/>
                <w:szCs w:val="21"/>
              </w:rPr>
            </w:pPr>
            <w:r>
              <w:rPr>
                <w:sz w:val="21"/>
                <w:szCs w:val="21"/>
              </w:rPr>
              <w:t>K</w:t>
            </w:r>
            <w:r>
              <w:rPr>
                <w:sz w:val="21"/>
                <w:szCs w:val="21"/>
                <w:vertAlign w:val="superscript"/>
              </w:rPr>
              <w:t>+</w:t>
            </w:r>
          </w:p>
        </w:tc>
        <w:tc>
          <w:tcPr>
            <w:tcW w:w="630" w:type="pct"/>
            <w:vAlign w:val="center"/>
          </w:tcPr>
          <w:p w14:paraId="1D3EC312">
            <w:pPr>
              <w:adjustRightInd/>
              <w:snapToGrid/>
              <w:spacing w:line="240" w:lineRule="auto"/>
              <w:ind w:firstLine="0" w:firstLineChars="0"/>
              <w:contextualSpacing/>
              <w:jc w:val="center"/>
              <w:rPr>
                <w:sz w:val="21"/>
                <w:szCs w:val="21"/>
              </w:rPr>
            </w:pPr>
            <w:r>
              <w:rPr>
                <w:sz w:val="21"/>
                <w:szCs w:val="21"/>
              </w:rPr>
              <w:t>/</w:t>
            </w:r>
          </w:p>
        </w:tc>
        <w:tc>
          <w:tcPr>
            <w:tcW w:w="788" w:type="pct"/>
            <w:vAlign w:val="center"/>
          </w:tcPr>
          <w:p w14:paraId="1D3EC313">
            <w:pPr>
              <w:adjustRightInd/>
              <w:snapToGrid/>
              <w:spacing w:line="240" w:lineRule="auto"/>
              <w:ind w:firstLine="0" w:firstLineChars="0"/>
              <w:contextualSpacing/>
              <w:jc w:val="center"/>
              <w:rPr>
                <w:sz w:val="21"/>
                <w:szCs w:val="21"/>
              </w:rPr>
            </w:pPr>
            <w:r>
              <w:rPr>
                <w:sz w:val="21"/>
                <w:szCs w:val="21"/>
              </w:rPr>
              <w:t>挥发性酚类</w:t>
            </w:r>
          </w:p>
        </w:tc>
        <w:tc>
          <w:tcPr>
            <w:tcW w:w="722" w:type="pct"/>
            <w:vAlign w:val="center"/>
          </w:tcPr>
          <w:p w14:paraId="1D3EC314">
            <w:pPr>
              <w:adjustRightInd/>
              <w:snapToGrid/>
              <w:spacing w:line="240" w:lineRule="auto"/>
              <w:ind w:firstLine="0" w:firstLineChars="0"/>
              <w:contextualSpacing/>
              <w:jc w:val="center"/>
              <w:rPr>
                <w:sz w:val="21"/>
                <w:szCs w:val="21"/>
              </w:rPr>
            </w:pPr>
            <w:r>
              <w:rPr>
                <w:sz w:val="21"/>
                <w:szCs w:val="21"/>
              </w:rPr>
              <w:t>0.002</w:t>
            </w:r>
          </w:p>
        </w:tc>
        <w:tc>
          <w:tcPr>
            <w:tcW w:w="1037" w:type="pct"/>
            <w:vAlign w:val="center"/>
          </w:tcPr>
          <w:p w14:paraId="1D3EC315">
            <w:pPr>
              <w:adjustRightInd/>
              <w:snapToGrid/>
              <w:spacing w:line="240" w:lineRule="auto"/>
              <w:ind w:firstLine="0" w:firstLineChars="0"/>
              <w:contextualSpacing/>
              <w:jc w:val="center"/>
              <w:rPr>
                <w:sz w:val="21"/>
                <w:szCs w:val="24"/>
                <w:lang w:val="zh-CN"/>
              </w:rPr>
            </w:pPr>
            <w:r>
              <w:rPr>
                <w:sz w:val="21"/>
                <w:szCs w:val="24"/>
                <w:lang w:val="zh-CN"/>
              </w:rPr>
              <w:t>铁</w:t>
            </w:r>
          </w:p>
        </w:tc>
        <w:tc>
          <w:tcPr>
            <w:tcW w:w="903" w:type="pct"/>
            <w:vAlign w:val="center"/>
          </w:tcPr>
          <w:p w14:paraId="1D3EC316">
            <w:pPr>
              <w:adjustRightInd/>
              <w:snapToGrid/>
              <w:spacing w:line="240" w:lineRule="auto"/>
              <w:ind w:firstLine="0" w:firstLineChars="0"/>
              <w:contextualSpacing/>
              <w:jc w:val="center"/>
              <w:rPr>
                <w:sz w:val="21"/>
                <w:szCs w:val="21"/>
              </w:rPr>
            </w:pPr>
            <w:r>
              <w:rPr>
                <w:sz w:val="21"/>
                <w:szCs w:val="21"/>
              </w:rPr>
              <w:t>0.3</w:t>
            </w:r>
          </w:p>
        </w:tc>
      </w:tr>
      <w:tr w14:paraId="1D3EC31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D3EC318">
            <w:pPr>
              <w:adjustRightInd/>
              <w:snapToGrid/>
              <w:spacing w:line="240" w:lineRule="auto"/>
              <w:ind w:firstLine="0" w:firstLineChars="0"/>
              <w:contextualSpacing/>
              <w:jc w:val="center"/>
              <w:rPr>
                <w:sz w:val="21"/>
                <w:szCs w:val="21"/>
              </w:rPr>
            </w:pPr>
            <w:r>
              <w:rPr>
                <w:sz w:val="21"/>
                <w:szCs w:val="21"/>
              </w:rPr>
              <w:t>Na</w:t>
            </w:r>
            <w:r>
              <w:rPr>
                <w:sz w:val="21"/>
                <w:szCs w:val="21"/>
                <w:vertAlign w:val="superscript"/>
              </w:rPr>
              <w:t>+</w:t>
            </w:r>
          </w:p>
        </w:tc>
        <w:tc>
          <w:tcPr>
            <w:tcW w:w="630" w:type="pct"/>
            <w:vAlign w:val="center"/>
          </w:tcPr>
          <w:p w14:paraId="1D3EC319">
            <w:pPr>
              <w:adjustRightInd/>
              <w:snapToGrid/>
              <w:spacing w:line="240" w:lineRule="auto"/>
              <w:ind w:firstLine="0" w:firstLineChars="0"/>
              <w:contextualSpacing/>
              <w:jc w:val="center"/>
              <w:rPr>
                <w:sz w:val="21"/>
                <w:szCs w:val="21"/>
              </w:rPr>
            </w:pPr>
            <w:r>
              <w:rPr>
                <w:sz w:val="21"/>
                <w:szCs w:val="21"/>
              </w:rPr>
              <w:t>200</w:t>
            </w:r>
          </w:p>
        </w:tc>
        <w:tc>
          <w:tcPr>
            <w:tcW w:w="788" w:type="pct"/>
            <w:vAlign w:val="center"/>
          </w:tcPr>
          <w:p w14:paraId="1D3EC31A">
            <w:pPr>
              <w:adjustRightInd/>
              <w:snapToGrid/>
              <w:spacing w:line="240" w:lineRule="auto"/>
              <w:ind w:firstLine="0" w:firstLineChars="0"/>
              <w:contextualSpacing/>
              <w:jc w:val="center"/>
              <w:rPr>
                <w:sz w:val="21"/>
                <w:szCs w:val="21"/>
              </w:rPr>
            </w:pPr>
            <w:r>
              <w:rPr>
                <w:sz w:val="21"/>
                <w:szCs w:val="21"/>
              </w:rPr>
              <w:t>氰化物</w:t>
            </w:r>
          </w:p>
        </w:tc>
        <w:tc>
          <w:tcPr>
            <w:tcW w:w="722" w:type="pct"/>
            <w:vAlign w:val="center"/>
          </w:tcPr>
          <w:p w14:paraId="1D3EC31B">
            <w:pPr>
              <w:adjustRightInd/>
              <w:snapToGrid/>
              <w:spacing w:line="240" w:lineRule="auto"/>
              <w:ind w:firstLine="0" w:firstLineChars="0"/>
              <w:contextualSpacing/>
              <w:jc w:val="center"/>
              <w:rPr>
                <w:sz w:val="21"/>
                <w:szCs w:val="21"/>
              </w:rPr>
            </w:pPr>
            <w:r>
              <w:rPr>
                <w:sz w:val="21"/>
                <w:szCs w:val="21"/>
              </w:rPr>
              <w:t>0.05</w:t>
            </w:r>
          </w:p>
        </w:tc>
        <w:tc>
          <w:tcPr>
            <w:tcW w:w="1037" w:type="pct"/>
            <w:vAlign w:val="center"/>
          </w:tcPr>
          <w:p w14:paraId="1D3EC31C">
            <w:pPr>
              <w:adjustRightInd/>
              <w:snapToGrid/>
              <w:spacing w:line="240" w:lineRule="auto"/>
              <w:ind w:firstLine="0" w:firstLineChars="0"/>
              <w:contextualSpacing/>
              <w:jc w:val="center"/>
              <w:rPr>
                <w:sz w:val="21"/>
                <w:szCs w:val="24"/>
                <w:lang w:val="zh-CN"/>
              </w:rPr>
            </w:pPr>
            <w:r>
              <w:rPr>
                <w:sz w:val="21"/>
                <w:szCs w:val="24"/>
                <w:lang w:val="zh-CN"/>
              </w:rPr>
              <w:t>锰</w:t>
            </w:r>
          </w:p>
        </w:tc>
        <w:tc>
          <w:tcPr>
            <w:tcW w:w="903" w:type="pct"/>
            <w:vAlign w:val="center"/>
          </w:tcPr>
          <w:p w14:paraId="1D3EC31D">
            <w:pPr>
              <w:adjustRightInd/>
              <w:snapToGrid/>
              <w:spacing w:line="240" w:lineRule="auto"/>
              <w:ind w:firstLine="0" w:firstLineChars="0"/>
              <w:contextualSpacing/>
              <w:jc w:val="center"/>
              <w:rPr>
                <w:sz w:val="21"/>
                <w:szCs w:val="21"/>
              </w:rPr>
            </w:pPr>
            <w:r>
              <w:rPr>
                <w:sz w:val="21"/>
                <w:szCs w:val="21"/>
              </w:rPr>
              <w:t>0.1</w:t>
            </w:r>
          </w:p>
        </w:tc>
      </w:tr>
      <w:tr w14:paraId="1D3EC32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D3EC31F">
            <w:pPr>
              <w:adjustRightInd/>
              <w:snapToGrid/>
              <w:spacing w:line="240" w:lineRule="auto"/>
              <w:ind w:firstLine="0" w:firstLineChars="0"/>
              <w:contextualSpacing/>
              <w:jc w:val="center"/>
              <w:rPr>
                <w:sz w:val="21"/>
                <w:szCs w:val="21"/>
              </w:rPr>
            </w:pPr>
            <w:r>
              <w:rPr>
                <w:sz w:val="21"/>
                <w:szCs w:val="21"/>
              </w:rPr>
              <w:t>Ca</w:t>
            </w:r>
            <w:r>
              <w:rPr>
                <w:sz w:val="21"/>
                <w:szCs w:val="21"/>
                <w:vertAlign w:val="superscript"/>
              </w:rPr>
              <w:t>2+</w:t>
            </w:r>
          </w:p>
        </w:tc>
        <w:tc>
          <w:tcPr>
            <w:tcW w:w="630" w:type="pct"/>
            <w:vAlign w:val="center"/>
          </w:tcPr>
          <w:p w14:paraId="1D3EC320">
            <w:pPr>
              <w:adjustRightInd/>
              <w:snapToGrid/>
              <w:spacing w:line="240" w:lineRule="auto"/>
              <w:ind w:firstLine="0" w:firstLineChars="0"/>
              <w:contextualSpacing/>
              <w:jc w:val="center"/>
              <w:rPr>
                <w:sz w:val="21"/>
                <w:szCs w:val="21"/>
              </w:rPr>
            </w:pPr>
            <w:r>
              <w:rPr>
                <w:sz w:val="21"/>
                <w:szCs w:val="21"/>
              </w:rPr>
              <w:t>/</w:t>
            </w:r>
          </w:p>
        </w:tc>
        <w:tc>
          <w:tcPr>
            <w:tcW w:w="788" w:type="pct"/>
            <w:vAlign w:val="center"/>
          </w:tcPr>
          <w:p w14:paraId="1D3EC321">
            <w:pPr>
              <w:adjustRightInd/>
              <w:snapToGrid/>
              <w:spacing w:line="240" w:lineRule="auto"/>
              <w:ind w:firstLine="0" w:firstLineChars="0"/>
              <w:contextualSpacing/>
              <w:jc w:val="center"/>
              <w:rPr>
                <w:sz w:val="21"/>
                <w:szCs w:val="21"/>
              </w:rPr>
            </w:pPr>
            <w:r>
              <w:rPr>
                <w:sz w:val="21"/>
                <w:szCs w:val="24"/>
                <w:lang w:val="zh-CN"/>
              </w:rPr>
              <w:t>砷</w:t>
            </w:r>
          </w:p>
        </w:tc>
        <w:tc>
          <w:tcPr>
            <w:tcW w:w="722" w:type="pct"/>
            <w:vAlign w:val="center"/>
          </w:tcPr>
          <w:p w14:paraId="1D3EC322">
            <w:pPr>
              <w:adjustRightInd/>
              <w:snapToGrid/>
              <w:spacing w:line="240" w:lineRule="auto"/>
              <w:ind w:firstLine="0" w:firstLineChars="0"/>
              <w:contextualSpacing/>
              <w:jc w:val="center"/>
              <w:rPr>
                <w:sz w:val="21"/>
                <w:szCs w:val="21"/>
              </w:rPr>
            </w:pPr>
            <w:r>
              <w:rPr>
                <w:sz w:val="21"/>
                <w:szCs w:val="21"/>
              </w:rPr>
              <w:t>0.01</w:t>
            </w:r>
          </w:p>
        </w:tc>
        <w:tc>
          <w:tcPr>
            <w:tcW w:w="1037" w:type="pct"/>
            <w:vAlign w:val="center"/>
          </w:tcPr>
          <w:p w14:paraId="1D3EC323">
            <w:pPr>
              <w:adjustRightInd/>
              <w:snapToGrid/>
              <w:spacing w:line="240" w:lineRule="auto"/>
              <w:ind w:firstLine="0" w:firstLineChars="0"/>
              <w:contextualSpacing/>
              <w:jc w:val="center"/>
              <w:rPr>
                <w:sz w:val="21"/>
                <w:szCs w:val="24"/>
                <w:lang w:val="zh-CN"/>
              </w:rPr>
            </w:pPr>
            <w:r>
              <w:rPr>
                <w:sz w:val="21"/>
                <w:szCs w:val="21"/>
              </w:rPr>
              <w:t>溶解性总固体</w:t>
            </w:r>
          </w:p>
        </w:tc>
        <w:tc>
          <w:tcPr>
            <w:tcW w:w="903" w:type="pct"/>
            <w:vAlign w:val="center"/>
          </w:tcPr>
          <w:p w14:paraId="1D3EC324">
            <w:pPr>
              <w:adjustRightInd/>
              <w:snapToGrid/>
              <w:spacing w:line="240" w:lineRule="auto"/>
              <w:ind w:firstLine="0" w:firstLineChars="0"/>
              <w:contextualSpacing/>
              <w:jc w:val="center"/>
              <w:rPr>
                <w:sz w:val="21"/>
                <w:szCs w:val="21"/>
              </w:rPr>
            </w:pPr>
            <w:r>
              <w:rPr>
                <w:sz w:val="21"/>
                <w:szCs w:val="21"/>
              </w:rPr>
              <w:t>1000</w:t>
            </w:r>
          </w:p>
        </w:tc>
      </w:tr>
      <w:tr w14:paraId="1D3EC32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D3EC326">
            <w:pPr>
              <w:adjustRightInd/>
              <w:snapToGrid/>
              <w:spacing w:line="240" w:lineRule="auto"/>
              <w:ind w:firstLine="0" w:firstLineChars="0"/>
              <w:contextualSpacing/>
              <w:jc w:val="center"/>
              <w:rPr>
                <w:sz w:val="21"/>
                <w:szCs w:val="21"/>
              </w:rPr>
            </w:pPr>
            <w:r>
              <w:rPr>
                <w:sz w:val="21"/>
                <w:szCs w:val="21"/>
              </w:rPr>
              <w:t>CO</w:t>
            </w:r>
            <w:r>
              <w:rPr>
                <w:sz w:val="21"/>
                <w:szCs w:val="21"/>
                <w:vertAlign w:val="subscript"/>
              </w:rPr>
              <w:t>3</w:t>
            </w:r>
            <w:r>
              <w:rPr>
                <w:sz w:val="21"/>
                <w:szCs w:val="21"/>
                <w:vertAlign w:val="superscript"/>
              </w:rPr>
              <w:t>2-</w:t>
            </w:r>
          </w:p>
        </w:tc>
        <w:tc>
          <w:tcPr>
            <w:tcW w:w="630" w:type="pct"/>
            <w:vAlign w:val="center"/>
          </w:tcPr>
          <w:p w14:paraId="1D3EC327">
            <w:pPr>
              <w:adjustRightInd/>
              <w:snapToGrid/>
              <w:spacing w:line="240" w:lineRule="auto"/>
              <w:ind w:firstLine="0" w:firstLineChars="0"/>
              <w:contextualSpacing/>
              <w:jc w:val="center"/>
              <w:rPr>
                <w:sz w:val="21"/>
                <w:szCs w:val="21"/>
              </w:rPr>
            </w:pPr>
            <w:r>
              <w:rPr>
                <w:sz w:val="21"/>
                <w:szCs w:val="21"/>
              </w:rPr>
              <w:t>/</w:t>
            </w:r>
          </w:p>
        </w:tc>
        <w:tc>
          <w:tcPr>
            <w:tcW w:w="788" w:type="pct"/>
            <w:vAlign w:val="center"/>
          </w:tcPr>
          <w:p w14:paraId="1D3EC328">
            <w:pPr>
              <w:adjustRightInd/>
              <w:snapToGrid/>
              <w:spacing w:line="240" w:lineRule="auto"/>
              <w:ind w:firstLine="0" w:firstLineChars="0"/>
              <w:contextualSpacing/>
              <w:jc w:val="center"/>
              <w:rPr>
                <w:sz w:val="21"/>
                <w:szCs w:val="21"/>
              </w:rPr>
            </w:pPr>
            <w:r>
              <w:rPr>
                <w:sz w:val="21"/>
                <w:szCs w:val="24"/>
                <w:lang w:val="zh-CN"/>
              </w:rPr>
              <w:t>汞</w:t>
            </w:r>
          </w:p>
        </w:tc>
        <w:tc>
          <w:tcPr>
            <w:tcW w:w="722" w:type="pct"/>
            <w:vAlign w:val="center"/>
          </w:tcPr>
          <w:p w14:paraId="1D3EC329">
            <w:pPr>
              <w:adjustRightInd/>
              <w:snapToGrid/>
              <w:spacing w:line="240" w:lineRule="auto"/>
              <w:ind w:firstLine="0" w:firstLineChars="0"/>
              <w:contextualSpacing/>
              <w:jc w:val="center"/>
              <w:rPr>
                <w:sz w:val="21"/>
                <w:szCs w:val="21"/>
              </w:rPr>
            </w:pPr>
            <w:r>
              <w:rPr>
                <w:sz w:val="21"/>
                <w:szCs w:val="21"/>
              </w:rPr>
              <w:t>0.001</w:t>
            </w:r>
          </w:p>
        </w:tc>
        <w:tc>
          <w:tcPr>
            <w:tcW w:w="1037" w:type="pct"/>
            <w:vAlign w:val="center"/>
          </w:tcPr>
          <w:p w14:paraId="1D3EC32A">
            <w:pPr>
              <w:adjustRightInd/>
              <w:snapToGrid/>
              <w:spacing w:line="240" w:lineRule="auto"/>
              <w:ind w:firstLine="0" w:firstLineChars="0"/>
              <w:contextualSpacing/>
              <w:jc w:val="center"/>
              <w:rPr>
                <w:sz w:val="21"/>
                <w:szCs w:val="24"/>
                <w:lang w:val="zh-CN"/>
              </w:rPr>
            </w:pPr>
            <w:r>
              <w:rPr>
                <w:sz w:val="21"/>
                <w:szCs w:val="21"/>
              </w:rPr>
              <w:t>耗氧量</w:t>
            </w:r>
          </w:p>
        </w:tc>
        <w:tc>
          <w:tcPr>
            <w:tcW w:w="903" w:type="pct"/>
            <w:vAlign w:val="center"/>
          </w:tcPr>
          <w:p w14:paraId="1D3EC32B">
            <w:pPr>
              <w:adjustRightInd/>
              <w:snapToGrid/>
              <w:spacing w:line="240" w:lineRule="auto"/>
              <w:ind w:firstLine="0" w:firstLineChars="0"/>
              <w:contextualSpacing/>
              <w:jc w:val="center"/>
              <w:rPr>
                <w:sz w:val="21"/>
                <w:szCs w:val="21"/>
              </w:rPr>
            </w:pPr>
            <w:r>
              <w:rPr>
                <w:sz w:val="21"/>
                <w:szCs w:val="21"/>
              </w:rPr>
              <w:t>3.0</w:t>
            </w:r>
          </w:p>
        </w:tc>
      </w:tr>
      <w:tr w14:paraId="1D3EC33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96" w:hRule="atLeast"/>
          <w:jc w:val="center"/>
        </w:trPr>
        <w:tc>
          <w:tcPr>
            <w:tcW w:w="920" w:type="pct"/>
            <w:vAlign w:val="center"/>
          </w:tcPr>
          <w:p w14:paraId="1D3EC32D">
            <w:pPr>
              <w:adjustRightInd/>
              <w:snapToGrid/>
              <w:spacing w:line="240" w:lineRule="auto"/>
              <w:ind w:firstLine="0" w:firstLineChars="0"/>
              <w:contextualSpacing/>
              <w:jc w:val="center"/>
              <w:rPr>
                <w:sz w:val="21"/>
                <w:szCs w:val="21"/>
              </w:rPr>
            </w:pPr>
            <w:r>
              <w:rPr>
                <w:sz w:val="21"/>
                <w:szCs w:val="21"/>
              </w:rPr>
              <w:t>HCO</w:t>
            </w:r>
            <w:r>
              <w:rPr>
                <w:sz w:val="21"/>
                <w:szCs w:val="21"/>
                <w:vertAlign w:val="subscript"/>
              </w:rPr>
              <w:t>3</w:t>
            </w:r>
            <w:r>
              <w:rPr>
                <w:sz w:val="21"/>
                <w:szCs w:val="21"/>
                <w:vertAlign w:val="superscript"/>
              </w:rPr>
              <w:t>2-</w:t>
            </w:r>
          </w:p>
        </w:tc>
        <w:tc>
          <w:tcPr>
            <w:tcW w:w="630" w:type="pct"/>
            <w:vAlign w:val="center"/>
          </w:tcPr>
          <w:p w14:paraId="1D3EC32E">
            <w:pPr>
              <w:adjustRightInd/>
              <w:snapToGrid/>
              <w:spacing w:line="240" w:lineRule="auto"/>
              <w:ind w:firstLine="0" w:firstLineChars="0"/>
              <w:contextualSpacing/>
              <w:jc w:val="center"/>
              <w:rPr>
                <w:sz w:val="21"/>
                <w:szCs w:val="21"/>
              </w:rPr>
            </w:pPr>
            <w:r>
              <w:rPr>
                <w:sz w:val="21"/>
                <w:szCs w:val="21"/>
              </w:rPr>
              <w:t>/</w:t>
            </w:r>
          </w:p>
        </w:tc>
        <w:tc>
          <w:tcPr>
            <w:tcW w:w="788" w:type="pct"/>
            <w:vAlign w:val="center"/>
          </w:tcPr>
          <w:p w14:paraId="1D3EC32F">
            <w:pPr>
              <w:adjustRightInd/>
              <w:snapToGrid/>
              <w:spacing w:line="240" w:lineRule="auto"/>
              <w:ind w:firstLine="0" w:firstLineChars="0"/>
              <w:contextualSpacing/>
              <w:jc w:val="center"/>
              <w:rPr>
                <w:sz w:val="21"/>
                <w:szCs w:val="21"/>
              </w:rPr>
            </w:pPr>
            <w:r>
              <w:rPr>
                <w:sz w:val="21"/>
                <w:szCs w:val="24"/>
                <w:lang w:val="zh-CN"/>
              </w:rPr>
              <w:t>铬</w:t>
            </w:r>
            <w:r>
              <w:rPr>
                <w:sz w:val="21"/>
                <w:szCs w:val="24"/>
              </w:rPr>
              <w:t>(</w:t>
            </w:r>
            <w:r>
              <w:rPr>
                <w:sz w:val="21"/>
                <w:szCs w:val="24"/>
                <w:lang w:val="zh-CN"/>
              </w:rPr>
              <w:t>六价</w:t>
            </w:r>
            <w:r>
              <w:rPr>
                <w:sz w:val="21"/>
                <w:szCs w:val="24"/>
              </w:rPr>
              <w:t>)</w:t>
            </w:r>
          </w:p>
        </w:tc>
        <w:tc>
          <w:tcPr>
            <w:tcW w:w="722" w:type="pct"/>
            <w:vAlign w:val="center"/>
          </w:tcPr>
          <w:p w14:paraId="1D3EC330">
            <w:pPr>
              <w:adjustRightInd/>
              <w:snapToGrid/>
              <w:spacing w:line="240" w:lineRule="auto"/>
              <w:ind w:firstLine="0" w:firstLineChars="0"/>
              <w:contextualSpacing/>
              <w:jc w:val="center"/>
              <w:rPr>
                <w:sz w:val="21"/>
                <w:szCs w:val="21"/>
              </w:rPr>
            </w:pPr>
            <w:r>
              <w:rPr>
                <w:sz w:val="21"/>
                <w:szCs w:val="21"/>
              </w:rPr>
              <w:t>0.05</w:t>
            </w:r>
          </w:p>
        </w:tc>
        <w:tc>
          <w:tcPr>
            <w:tcW w:w="1037" w:type="pct"/>
            <w:vAlign w:val="center"/>
          </w:tcPr>
          <w:p w14:paraId="1D3EC331">
            <w:pPr>
              <w:adjustRightInd/>
              <w:snapToGrid/>
              <w:spacing w:line="240" w:lineRule="auto"/>
              <w:ind w:firstLine="0" w:firstLineChars="0"/>
              <w:contextualSpacing/>
              <w:jc w:val="center"/>
              <w:rPr>
                <w:sz w:val="21"/>
                <w:szCs w:val="24"/>
                <w:lang w:val="zh-CN"/>
              </w:rPr>
            </w:pPr>
            <w:r>
              <w:rPr>
                <w:sz w:val="21"/>
                <w:szCs w:val="21"/>
              </w:rPr>
              <w:t>总大肠菌群（MPN/100ml）</w:t>
            </w:r>
          </w:p>
        </w:tc>
        <w:tc>
          <w:tcPr>
            <w:tcW w:w="903" w:type="pct"/>
            <w:vAlign w:val="center"/>
          </w:tcPr>
          <w:p w14:paraId="1D3EC332">
            <w:pPr>
              <w:adjustRightInd/>
              <w:snapToGrid/>
              <w:spacing w:line="240" w:lineRule="auto"/>
              <w:ind w:firstLine="0" w:firstLineChars="0"/>
              <w:contextualSpacing/>
              <w:jc w:val="center"/>
              <w:rPr>
                <w:sz w:val="21"/>
                <w:szCs w:val="21"/>
              </w:rPr>
            </w:pPr>
            <w:r>
              <w:rPr>
                <w:sz w:val="21"/>
                <w:szCs w:val="21"/>
              </w:rPr>
              <w:t>3</w:t>
            </w:r>
          </w:p>
        </w:tc>
      </w:tr>
      <w:tr w14:paraId="1D3EC33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D3EC334">
            <w:pPr>
              <w:adjustRightInd/>
              <w:snapToGrid/>
              <w:spacing w:line="240" w:lineRule="auto"/>
              <w:ind w:firstLine="0" w:firstLineChars="0"/>
              <w:contextualSpacing/>
              <w:jc w:val="center"/>
              <w:rPr>
                <w:sz w:val="21"/>
                <w:szCs w:val="21"/>
              </w:rPr>
            </w:pPr>
            <w:r>
              <w:rPr>
                <w:sz w:val="21"/>
                <w:szCs w:val="21"/>
              </w:rPr>
              <w:t>Cl</w:t>
            </w:r>
            <w:r>
              <w:rPr>
                <w:sz w:val="21"/>
                <w:szCs w:val="21"/>
                <w:vertAlign w:val="superscript"/>
              </w:rPr>
              <w:t>-</w:t>
            </w:r>
          </w:p>
        </w:tc>
        <w:tc>
          <w:tcPr>
            <w:tcW w:w="630" w:type="pct"/>
            <w:vAlign w:val="center"/>
          </w:tcPr>
          <w:p w14:paraId="1D3EC335">
            <w:pPr>
              <w:adjustRightInd/>
              <w:snapToGrid/>
              <w:spacing w:line="240" w:lineRule="auto"/>
              <w:ind w:firstLine="0" w:firstLineChars="0"/>
              <w:contextualSpacing/>
              <w:jc w:val="center"/>
              <w:rPr>
                <w:sz w:val="21"/>
                <w:szCs w:val="21"/>
              </w:rPr>
            </w:pPr>
            <w:r>
              <w:rPr>
                <w:sz w:val="21"/>
                <w:szCs w:val="21"/>
              </w:rPr>
              <w:t>250</w:t>
            </w:r>
          </w:p>
        </w:tc>
        <w:tc>
          <w:tcPr>
            <w:tcW w:w="788" w:type="pct"/>
            <w:vAlign w:val="center"/>
          </w:tcPr>
          <w:p w14:paraId="1D3EC336">
            <w:pPr>
              <w:adjustRightInd/>
              <w:snapToGrid/>
              <w:spacing w:line="240" w:lineRule="auto"/>
              <w:ind w:firstLine="0" w:firstLineChars="0"/>
              <w:contextualSpacing/>
              <w:jc w:val="center"/>
              <w:rPr>
                <w:sz w:val="21"/>
                <w:szCs w:val="21"/>
              </w:rPr>
            </w:pPr>
            <w:r>
              <w:rPr>
                <w:sz w:val="21"/>
                <w:szCs w:val="21"/>
              </w:rPr>
              <w:t>总硬度</w:t>
            </w:r>
          </w:p>
        </w:tc>
        <w:tc>
          <w:tcPr>
            <w:tcW w:w="722" w:type="pct"/>
            <w:vAlign w:val="center"/>
          </w:tcPr>
          <w:p w14:paraId="1D3EC337">
            <w:pPr>
              <w:adjustRightInd/>
              <w:snapToGrid/>
              <w:spacing w:line="240" w:lineRule="auto"/>
              <w:ind w:firstLine="0" w:firstLineChars="0"/>
              <w:contextualSpacing/>
              <w:jc w:val="center"/>
              <w:rPr>
                <w:sz w:val="21"/>
                <w:szCs w:val="21"/>
              </w:rPr>
            </w:pPr>
            <w:r>
              <w:rPr>
                <w:sz w:val="21"/>
                <w:szCs w:val="21"/>
              </w:rPr>
              <w:t>450</w:t>
            </w:r>
          </w:p>
        </w:tc>
        <w:tc>
          <w:tcPr>
            <w:tcW w:w="1037" w:type="pct"/>
            <w:shd w:val="clear" w:color="auto" w:fill="auto"/>
            <w:vAlign w:val="center"/>
          </w:tcPr>
          <w:p w14:paraId="1D3EC338">
            <w:pPr>
              <w:adjustRightInd/>
              <w:snapToGrid/>
              <w:spacing w:line="240" w:lineRule="auto"/>
              <w:ind w:firstLine="0" w:firstLineChars="0"/>
              <w:contextualSpacing/>
              <w:jc w:val="center"/>
              <w:rPr>
                <w:sz w:val="21"/>
                <w:szCs w:val="24"/>
                <w:lang w:val="zh-CN"/>
              </w:rPr>
            </w:pPr>
            <w:r>
              <w:rPr>
                <w:sz w:val="21"/>
                <w:szCs w:val="21"/>
              </w:rPr>
              <w:t>菌落总数（CFU/ml）</w:t>
            </w:r>
          </w:p>
        </w:tc>
        <w:tc>
          <w:tcPr>
            <w:tcW w:w="903" w:type="pct"/>
            <w:shd w:val="clear" w:color="auto" w:fill="auto"/>
            <w:vAlign w:val="center"/>
          </w:tcPr>
          <w:p w14:paraId="1D3EC339">
            <w:pPr>
              <w:adjustRightInd/>
              <w:snapToGrid/>
              <w:spacing w:line="240" w:lineRule="auto"/>
              <w:ind w:firstLine="0" w:firstLineChars="0"/>
              <w:contextualSpacing/>
              <w:jc w:val="center"/>
              <w:rPr>
                <w:sz w:val="21"/>
                <w:szCs w:val="21"/>
              </w:rPr>
            </w:pPr>
            <w:r>
              <w:rPr>
                <w:sz w:val="21"/>
                <w:szCs w:val="21"/>
              </w:rPr>
              <w:t>100</w:t>
            </w:r>
          </w:p>
        </w:tc>
      </w:tr>
      <w:tr w14:paraId="1D3EC34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D3EC33B">
            <w:pPr>
              <w:adjustRightInd/>
              <w:snapToGrid/>
              <w:spacing w:line="240" w:lineRule="auto"/>
              <w:ind w:firstLine="0" w:firstLineChars="0"/>
              <w:contextualSpacing/>
              <w:jc w:val="center"/>
              <w:rPr>
                <w:sz w:val="21"/>
                <w:szCs w:val="21"/>
              </w:rPr>
            </w:pPr>
            <w:r>
              <w:rPr>
                <w:sz w:val="21"/>
                <w:szCs w:val="21"/>
              </w:rPr>
              <w:t>SO</w:t>
            </w:r>
            <w:r>
              <w:rPr>
                <w:sz w:val="21"/>
                <w:szCs w:val="21"/>
                <w:vertAlign w:val="subscript"/>
              </w:rPr>
              <w:t>4</w:t>
            </w:r>
            <w:r>
              <w:rPr>
                <w:sz w:val="21"/>
                <w:szCs w:val="21"/>
                <w:vertAlign w:val="superscript"/>
              </w:rPr>
              <w:t>2-</w:t>
            </w:r>
          </w:p>
        </w:tc>
        <w:tc>
          <w:tcPr>
            <w:tcW w:w="630" w:type="pct"/>
            <w:vAlign w:val="center"/>
          </w:tcPr>
          <w:p w14:paraId="1D3EC33C">
            <w:pPr>
              <w:adjustRightInd/>
              <w:snapToGrid/>
              <w:spacing w:line="240" w:lineRule="auto"/>
              <w:ind w:firstLine="0" w:firstLineChars="0"/>
              <w:contextualSpacing/>
              <w:jc w:val="center"/>
              <w:rPr>
                <w:sz w:val="21"/>
                <w:szCs w:val="21"/>
              </w:rPr>
            </w:pPr>
            <w:r>
              <w:rPr>
                <w:sz w:val="21"/>
                <w:szCs w:val="21"/>
              </w:rPr>
              <w:t>250</w:t>
            </w:r>
          </w:p>
        </w:tc>
        <w:tc>
          <w:tcPr>
            <w:tcW w:w="788" w:type="pct"/>
            <w:vAlign w:val="center"/>
          </w:tcPr>
          <w:p w14:paraId="1D3EC33D">
            <w:pPr>
              <w:adjustRightInd/>
              <w:snapToGrid/>
              <w:spacing w:line="240" w:lineRule="auto"/>
              <w:ind w:firstLine="0" w:firstLineChars="0"/>
              <w:contextualSpacing/>
              <w:jc w:val="center"/>
              <w:rPr>
                <w:sz w:val="21"/>
                <w:szCs w:val="21"/>
              </w:rPr>
            </w:pPr>
            <w:r>
              <w:rPr>
                <w:sz w:val="21"/>
                <w:szCs w:val="24"/>
                <w:lang w:val="zh-CN"/>
              </w:rPr>
              <w:t>铅</w:t>
            </w:r>
          </w:p>
        </w:tc>
        <w:tc>
          <w:tcPr>
            <w:tcW w:w="722" w:type="pct"/>
            <w:vAlign w:val="center"/>
          </w:tcPr>
          <w:p w14:paraId="1D3EC33E">
            <w:pPr>
              <w:adjustRightInd/>
              <w:snapToGrid/>
              <w:spacing w:line="240" w:lineRule="auto"/>
              <w:ind w:firstLine="0" w:firstLineChars="0"/>
              <w:contextualSpacing/>
              <w:jc w:val="center"/>
              <w:rPr>
                <w:sz w:val="21"/>
                <w:szCs w:val="21"/>
              </w:rPr>
            </w:pPr>
            <w:r>
              <w:rPr>
                <w:sz w:val="21"/>
                <w:szCs w:val="21"/>
              </w:rPr>
              <w:t>0.01</w:t>
            </w:r>
          </w:p>
        </w:tc>
        <w:tc>
          <w:tcPr>
            <w:tcW w:w="1037" w:type="pct"/>
            <w:vAlign w:val="center"/>
          </w:tcPr>
          <w:p w14:paraId="1D3EC33F">
            <w:pPr>
              <w:adjustRightInd/>
              <w:snapToGrid/>
              <w:spacing w:line="240" w:lineRule="auto"/>
              <w:ind w:firstLine="0" w:firstLineChars="0"/>
              <w:contextualSpacing/>
              <w:jc w:val="center"/>
              <w:rPr>
                <w:sz w:val="21"/>
                <w:szCs w:val="24"/>
                <w:lang w:val="zh-CN"/>
              </w:rPr>
            </w:pPr>
            <w:r>
              <w:rPr>
                <w:sz w:val="21"/>
                <w:szCs w:val="24"/>
                <w:lang w:val="zh-CN"/>
              </w:rPr>
              <w:t>Mg</w:t>
            </w:r>
            <w:r>
              <w:rPr>
                <w:sz w:val="21"/>
                <w:szCs w:val="24"/>
                <w:vertAlign w:val="superscript"/>
                <w:lang w:val="zh-CN"/>
              </w:rPr>
              <w:t>2+</w:t>
            </w:r>
          </w:p>
        </w:tc>
        <w:tc>
          <w:tcPr>
            <w:tcW w:w="903" w:type="pct"/>
            <w:vAlign w:val="center"/>
          </w:tcPr>
          <w:p w14:paraId="1D3EC340">
            <w:pPr>
              <w:adjustRightInd/>
              <w:snapToGrid/>
              <w:spacing w:line="240" w:lineRule="auto"/>
              <w:ind w:firstLine="0" w:firstLineChars="0"/>
              <w:contextualSpacing/>
              <w:jc w:val="center"/>
              <w:rPr>
                <w:sz w:val="21"/>
                <w:szCs w:val="21"/>
                <w:highlight w:val="yellow"/>
              </w:rPr>
            </w:pPr>
            <w:r>
              <w:rPr>
                <w:sz w:val="21"/>
                <w:szCs w:val="21"/>
              </w:rPr>
              <w:t>/</w:t>
            </w:r>
          </w:p>
        </w:tc>
      </w:tr>
      <w:tr w14:paraId="1D3EC34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D3EC342">
            <w:pPr>
              <w:adjustRightInd/>
              <w:snapToGrid/>
              <w:spacing w:line="240" w:lineRule="auto"/>
              <w:ind w:firstLine="0" w:firstLineChars="0"/>
              <w:contextualSpacing/>
              <w:jc w:val="center"/>
              <w:rPr>
                <w:sz w:val="21"/>
                <w:szCs w:val="21"/>
              </w:rPr>
            </w:pPr>
            <w:r>
              <w:rPr>
                <w:sz w:val="21"/>
                <w:szCs w:val="21"/>
              </w:rPr>
              <w:t>氨氮</w:t>
            </w:r>
          </w:p>
        </w:tc>
        <w:tc>
          <w:tcPr>
            <w:tcW w:w="630" w:type="pct"/>
            <w:vAlign w:val="center"/>
          </w:tcPr>
          <w:p w14:paraId="1D3EC343">
            <w:pPr>
              <w:adjustRightInd/>
              <w:snapToGrid/>
              <w:spacing w:line="240" w:lineRule="auto"/>
              <w:ind w:firstLine="0" w:firstLineChars="0"/>
              <w:contextualSpacing/>
              <w:jc w:val="center"/>
              <w:rPr>
                <w:sz w:val="21"/>
                <w:szCs w:val="21"/>
              </w:rPr>
            </w:pPr>
            <w:r>
              <w:rPr>
                <w:sz w:val="21"/>
                <w:szCs w:val="21"/>
              </w:rPr>
              <w:t>0.5</w:t>
            </w:r>
          </w:p>
        </w:tc>
        <w:tc>
          <w:tcPr>
            <w:tcW w:w="788" w:type="pct"/>
            <w:vAlign w:val="center"/>
          </w:tcPr>
          <w:p w14:paraId="1D3EC344">
            <w:pPr>
              <w:adjustRightInd/>
              <w:snapToGrid/>
              <w:spacing w:line="240" w:lineRule="auto"/>
              <w:ind w:firstLine="0" w:firstLineChars="0"/>
              <w:contextualSpacing/>
              <w:jc w:val="center"/>
              <w:rPr>
                <w:sz w:val="21"/>
                <w:szCs w:val="21"/>
              </w:rPr>
            </w:pPr>
            <w:r>
              <w:rPr>
                <w:sz w:val="21"/>
                <w:szCs w:val="21"/>
              </w:rPr>
              <w:t>氟化物</w:t>
            </w:r>
          </w:p>
        </w:tc>
        <w:tc>
          <w:tcPr>
            <w:tcW w:w="722" w:type="pct"/>
            <w:vAlign w:val="center"/>
          </w:tcPr>
          <w:p w14:paraId="1D3EC345">
            <w:pPr>
              <w:adjustRightInd/>
              <w:snapToGrid/>
              <w:spacing w:line="240" w:lineRule="auto"/>
              <w:ind w:firstLine="0" w:firstLineChars="0"/>
              <w:contextualSpacing/>
              <w:jc w:val="center"/>
              <w:rPr>
                <w:sz w:val="21"/>
                <w:szCs w:val="21"/>
              </w:rPr>
            </w:pPr>
            <w:r>
              <w:rPr>
                <w:sz w:val="21"/>
                <w:szCs w:val="21"/>
              </w:rPr>
              <w:t>1</w:t>
            </w:r>
          </w:p>
        </w:tc>
        <w:tc>
          <w:tcPr>
            <w:tcW w:w="1037" w:type="pct"/>
            <w:vAlign w:val="center"/>
          </w:tcPr>
          <w:p w14:paraId="1D3EC346">
            <w:pPr>
              <w:adjustRightInd/>
              <w:snapToGrid/>
              <w:spacing w:line="240" w:lineRule="auto"/>
              <w:ind w:firstLine="0" w:firstLineChars="0"/>
              <w:contextualSpacing/>
              <w:jc w:val="center"/>
              <w:rPr>
                <w:sz w:val="21"/>
                <w:szCs w:val="24"/>
                <w:lang w:val="zh-CN"/>
              </w:rPr>
            </w:pPr>
            <w:r>
              <w:rPr>
                <w:sz w:val="21"/>
                <w:szCs w:val="21"/>
              </w:rPr>
              <w:t>氯化物</w:t>
            </w:r>
          </w:p>
        </w:tc>
        <w:tc>
          <w:tcPr>
            <w:tcW w:w="903" w:type="pct"/>
            <w:vAlign w:val="center"/>
          </w:tcPr>
          <w:p w14:paraId="1D3EC347">
            <w:pPr>
              <w:adjustRightInd/>
              <w:snapToGrid/>
              <w:spacing w:line="240" w:lineRule="auto"/>
              <w:ind w:firstLine="0" w:firstLineChars="0"/>
              <w:contextualSpacing/>
              <w:jc w:val="center"/>
              <w:rPr>
                <w:sz w:val="21"/>
                <w:szCs w:val="21"/>
              </w:rPr>
            </w:pPr>
            <w:r>
              <w:rPr>
                <w:sz w:val="21"/>
                <w:szCs w:val="21"/>
              </w:rPr>
              <w:t>250</w:t>
            </w:r>
          </w:p>
        </w:tc>
      </w:tr>
      <w:tr w14:paraId="1D3EC34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D3EC349">
            <w:pPr>
              <w:adjustRightInd/>
              <w:snapToGrid/>
              <w:spacing w:line="240" w:lineRule="auto"/>
              <w:ind w:firstLine="0" w:firstLineChars="0"/>
              <w:contextualSpacing/>
              <w:jc w:val="center"/>
              <w:rPr>
                <w:sz w:val="21"/>
                <w:szCs w:val="21"/>
              </w:rPr>
            </w:pPr>
            <w:r>
              <w:rPr>
                <w:sz w:val="21"/>
                <w:szCs w:val="21"/>
              </w:rPr>
              <w:t>硝酸盐</w:t>
            </w:r>
          </w:p>
        </w:tc>
        <w:tc>
          <w:tcPr>
            <w:tcW w:w="630" w:type="pct"/>
            <w:vAlign w:val="center"/>
          </w:tcPr>
          <w:p w14:paraId="1D3EC34A">
            <w:pPr>
              <w:adjustRightInd/>
              <w:snapToGrid/>
              <w:spacing w:line="240" w:lineRule="auto"/>
              <w:ind w:firstLine="0" w:firstLineChars="0"/>
              <w:contextualSpacing/>
              <w:jc w:val="center"/>
              <w:rPr>
                <w:sz w:val="21"/>
                <w:szCs w:val="21"/>
              </w:rPr>
            </w:pPr>
            <w:r>
              <w:rPr>
                <w:sz w:val="21"/>
                <w:szCs w:val="21"/>
              </w:rPr>
              <w:t>20</w:t>
            </w:r>
          </w:p>
        </w:tc>
        <w:tc>
          <w:tcPr>
            <w:tcW w:w="788" w:type="pct"/>
            <w:vAlign w:val="center"/>
          </w:tcPr>
          <w:p w14:paraId="1D3EC34B">
            <w:pPr>
              <w:adjustRightInd/>
              <w:snapToGrid/>
              <w:spacing w:line="240" w:lineRule="auto"/>
              <w:ind w:firstLine="0" w:firstLineChars="0"/>
              <w:contextualSpacing/>
              <w:jc w:val="center"/>
              <w:rPr>
                <w:sz w:val="21"/>
                <w:szCs w:val="21"/>
              </w:rPr>
            </w:pPr>
            <w:r>
              <w:rPr>
                <w:rFonts w:hint="eastAsia"/>
                <w:sz w:val="21"/>
                <w:szCs w:val="21"/>
              </w:rPr>
              <w:t>硫酸盐</w:t>
            </w:r>
          </w:p>
        </w:tc>
        <w:tc>
          <w:tcPr>
            <w:tcW w:w="722" w:type="pct"/>
            <w:vAlign w:val="center"/>
          </w:tcPr>
          <w:p w14:paraId="1D3EC34C">
            <w:pPr>
              <w:adjustRightInd/>
              <w:snapToGrid/>
              <w:spacing w:line="240" w:lineRule="auto"/>
              <w:ind w:firstLine="0" w:firstLineChars="0"/>
              <w:contextualSpacing/>
              <w:jc w:val="center"/>
              <w:rPr>
                <w:sz w:val="21"/>
                <w:szCs w:val="21"/>
              </w:rPr>
            </w:pPr>
            <w:r>
              <w:rPr>
                <w:rFonts w:hint="eastAsia"/>
                <w:sz w:val="21"/>
                <w:szCs w:val="21"/>
              </w:rPr>
              <w:t>250</w:t>
            </w:r>
          </w:p>
        </w:tc>
        <w:tc>
          <w:tcPr>
            <w:tcW w:w="1037" w:type="pct"/>
            <w:tcBorders>
              <w:right w:val="single" w:color="auto" w:sz="4" w:space="0"/>
            </w:tcBorders>
            <w:vAlign w:val="center"/>
          </w:tcPr>
          <w:p w14:paraId="1D3EC34D">
            <w:pPr>
              <w:adjustRightInd/>
              <w:snapToGrid/>
              <w:spacing w:line="240" w:lineRule="auto"/>
              <w:ind w:firstLine="0" w:firstLineChars="0"/>
              <w:contextualSpacing/>
              <w:jc w:val="center"/>
              <w:rPr>
                <w:sz w:val="21"/>
                <w:szCs w:val="21"/>
                <w:highlight w:val="yellow"/>
              </w:rPr>
            </w:pPr>
            <w:r>
              <w:rPr>
                <w:rFonts w:hint="eastAsia"/>
                <w:sz w:val="21"/>
                <w:szCs w:val="21"/>
              </w:rPr>
              <w:t>色度</w:t>
            </w:r>
          </w:p>
        </w:tc>
        <w:tc>
          <w:tcPr>
            <w:tcW w:w="903" w:type="pct"/>
            <w:tcBorders>
              <w:left w:val="single" w:color="auto" w:sz="4" w:space="0"/>
            </w:tcBorders>
            <w:vAlign w:val="center"/>
          </w:tcPr>
          <w:p w14:paraId="1D3EC34E">
            <w:pPr>
              <w:adjustRightInd/>
              <w:snapToGrid/>
              <w:spacing w:line="240" w:lineRule="auto"/>
              <w:ind w:firstLine="0" w:firstLineChars="0"/>
              <w:contextualSpacing/>
              <w:jc w:val="center"/>
              <w:rPr>
                <w:sz w:val="21"/>
                <w:szCs w:val="21"/>
                <w:highlight w:val="yellow"/>
              </w:rPr>
            </w:pPr>
            <w:r>
              <w:rPr>
                <w:sz w:val="21"/>
                <w:szCs w:val="21"/>
              </w:rPr>
              <w:t>≤15</w:t>
            </w:r>
          </w:p>
        </w:tc>
      </w:tr>
      <w:tr w14:paraId="747F3F5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920" w:type="pct"/>
            <w:vAlign w:val="center"/>
          </w:tcPr>
          <w:p w14:paraId="132E1D68">
            <w:pPr>
              <w:adjustRightInd/>
              <w:snapToGrid/>
              <w:spacing w:line="240" w:lineRule="auto"/>
              <w:ind w:firstLine="0" w:firstLineChars="0"/>
              <w:contextualSpacing/>
              <w:jc w:val="center"/>
              <w:rPr>
                <w:sz w:val="21"/>
                <w:szCs w:val="21"/>
              </w:rPr>
            </w:pPr>
            <w:r>
              <w:rPr>
                <w:rFonts w:hint="eastAsia"/>
                <w:sz w:val="21"/>
                <w:szCs w:val="21"/>
              </w:rPr>
              <w:t>石油类</w:t>
            </w:r>
          </w:p>
        </w:tc>
        <w:tc>
          <w:tcPr>
            <w:tcW w:w="630" w:type="pct"/>
            <w:vAlign w:val="center"/>
          </w:tcPr>
          <w:p w14:paraId="6B2AE9A2">
            <w:pPr>
              <w:adjustRightInd/>
              <w:snapToGrid/>
              <w:spacing w:line="240" w:lineRule="auto"/>
              <w:ind w:firstLine="0" w:firstLineChars="0"/>
              <w:contextualSpacing/>
              <w:jc w:val="center"/>
              <w:rPr>
                <w:sz w:val="21"/>
                <w:szCs w:val="21"/>
              </w:rPr>
            </w:pPr>
            <w:r>
              <w:rPr>
                <w:rFonts w:hint="eastAsia"/>
                <w:sz w:val="21"/>
                <w:szCs w:val="21"/>
              </w:rPr>
              <w:t>/</w:t>
            </w:r>
          </w:p>
        </w:tc>
        <w:tc>
          <w:tcPr>
            <w:tcW w:w="788" w:type="pct"/>
            <w:vAlign w:val="center"/>
          </w:tcPr>
          <w:p w14:paraId="6851D74C">
            <w:pPr>
              <w:adjustRightInd/>
              <w:snapToGrid/>
              <w:spacing w:line="240" w:lineRule="auto"/>
              <w:ind w:firstLine="0" w:firstLineChars="0"/>
              <w:contextualSpacing/>
              <w:jc w:val="center"/>
              <w:rPr>
                <w:sz w:val="21"/>
                <w:szCs w:val="21"/>
              </w:rPr>
            </w:pPr>
          </w:p>
        </w:tc>
        <w:tc>
          <w:tcPr>
            <w:tcW w:w="722" w:type="pct"/>
            <w:vAlign w:val="center"/>
          </w:tcPr>
          <w:p w14:paraId="26BD6ABC">
            <w:pPr>
              <w:adjustRightInd/>
              <w:snapToGrid/>
              <w:spacing w:line="240" w:lineRule="auto"/>
              <w:ind w:firstLine="0" w:firstLineChars="0"/>
              <w:contextualSpacing/>
              <w:jc w:val="center"/>
              <w:rPr>
                <w:sz w:val="21"/>
                <w:szCs w:val="21"/>
              </w:rPr>
            </w:pPr>
          </w:p>
        </w:tc>
        <w:tc>
          <w:tcPr>
            <w:tcW w:w="1037" w:type="pct"/>
            <w:tcBorders>
              <w:right w:val="single" w:color="auto" w:sz="4" w:space="0"/>
            </w:tcBorders>
            <w:vAlign w:val="center"/>
          </w:tcPr>
          <w:p w14:paraId="4BB465E5">
            <w:pPr>
              <w:adjustRightInd/>
              <w:snapToGrid/>
              <w:spacing w:line="240" w:lineRule="auto"/>
              <w:ind w:firstLine="0" w:firstLineChars="0"/>
              <w:contextualSpacing/>
              <w:jc w:val="center"/>
              <w:rPr>
                <w:sz w:val="21"/>
                <w:szCs w:val="21"/>
                <w:highlight w:val="yellow"/>
              </w:rPr>
            </w:pPr>
          </w:p>
        </w:tc>
        <w:tc>
          <w:tcPr>
            <w:tcW w:w="903" w:type="pct"/>
            <w:tcBorders>
              <w:left w:val="single" w:color="auto" w:sz="4" w:space="0"/>
            </w:tcBorders>
            <w:vAlign w:val="center"/>
          </w:tcPr>
          <w:p w14:paraId="62B5D37D">
            <w:pPr>
              <w:adjustRightInd/>
              <w:snapToGrid/>
              <w:spacing w:line="240" w:lineRule="auto"/>
              <w:ind w:firstLine="0" w:firstLineChars="0"/>
              <w:contextualSpacing/>
              <w:jc w:val="center"/>
              <w:rPr>
                <w:sz w:val="21"/>
                <w:szCs w:val="21"/>
                <w:highlight w:val="yellow"/>
              </w:rPr>
            </w:pPr>
          </w:p>
        </w:tc>
      </w:tr>
    </w:tbl>
    <w:p w14:paraId="1D3EC350">
      <w:pPr>
        <w:pStyle w:val="6"/>
        <w:ind w:left="0" w:firstLine="482" w:firstLineChars="200"/>
      </w:pPr>
      <w:r>
        <w:rPr>
          <w:rFonts w:hint="eastAsia"/>
        </w:rPr>
        <w:t>检测时间及频率</w:t>
      </w:r>
    </w:p>
    <w:p w14:paraId="1D1DD2DF">
      <w:pPr>
        <w:pStyle w:val="2"/>
        <w:ind w:firstLine="480"/>
      </w:pPr>
      <w:r>
        <w:t>本项目地下水环境现状监测工作由</w:t>
      </w:r>
      <w:r>
        <w:rPr>
          <w:rFonts w:hint="eastAsia"/>
        </w:rPr>
        <w:t>河南平原山水检测有限公司新乡分公司</w:t>
      </w:r>
      <w:r>
        <w:t>承担，地下水监测时间为</w:t>
      </w:r>
      <w:r>
        <w:rPr>
          <w:rFonts w:hint="eastAsia"/>
        </w:rPr>
        <w:t>2</w:t>
      </w:r>
      <w:r>
        <w:t>02</w:t>
      </w:r>
      <w:r>
        <w:rPr>
          <w:rFonts w:hint="eastAsia"/>
        </w:rPr>
        <w:t>4年5月20日-5月21</w:t>
      </w:r>
      <w:r>
        <w:t>日</w:t>
      </w:r>
      <w:r>
        <w:rPr>
          <w:rFonts w:hint="eastAsia"/>
        </w:rPr>
        <w:t>、2</w:t>
      </w:r>
      <w:r>
        <w:t>02</w:t>
      </w:r>
      <w:r>
        <w:rPr>
          <w:rFonts w:hint="eastAsia"/>
        </w:rPr>
        <w:t>4年8月1</w:t>
      </w:r>
      <w:r>
        <w:t>5</w:t>
      </w:r>
      <w:r>
        <w:rPr>
          <w:rFonts w:hint="eastAsia"/>
        </w:rPr>
        <w:t>日</w:t>
      </w:r>
      <w:r>
        <w:t>，每天采样</w:t>
      </w:r>
      <w:r>
        <w:rPr>
          <w:rFonts w:hint="eastAsia"/>
        </w:rPr>
        <w:t>一</w:t>
      </w:r>
      <w:r>
        <w:t>次</w:t>
      </w:r>
      <w:r>
        <w:rPr>
          <w:rFonts w:hint="eastAsia"/>
        </w:rPr>
        <w:t>。</w:t>
      </w:r>
    </w:p>
    <w:p w14:paraId="22267771">
      <w:pPr>
        <w:pStyle w:val="6"/>
        <w:ind w:left="0" w:firstLine="482" w:firstLineChars="200"/>
      </w:pPr>
      <w:r>
        <w:rPr>
          <w:rFonts w:hint="eastAsia"/>
        </w:rPr>
        <w:t>评价方法</w:t>
      </w:r>
    </w:p>
    <w:p w14:paraId="36E69917">
      <w:pPr>
        <w:ind w:firstLine="480"/>
      </w:pPr>
      <w:r>
        <w:t>根据地下水环境质量现状监测结果，采用单项标准指数法对地下水环境质量现状进行评价。单项标准指数法计算公式如下：</w:t>
      </w:r>
    </w:p>
    <w:p w14:paraId="478BDFFF">
      <w:pPr>
        <w:ind w:firstLine="480"/>
      </w:pPr>
      <w:r>
        <w:t>（1）对于一般污染物</w:t>
      </w:r>
    </w:p>
    <w:p w14:paraId="5C1D0EE7">
      <w:pPr>
        <w:ind w:firstLine="1440" w:firstLineChars="600"/>
        <w:rPr>
          <w:sz w:val="36"/>
          <w:szCs w:val="28"/>
        </w:rPr>
      </w:pPr>
      <w:r>
        <w:t>S</w:t>
      </w:r>
      <w:r>
        <w:rPr>
          <w:vertAlign w:val="subscript"/>
        </w:rPr>
        <w:t>i,j=</w:t>
      </w:r>
      <w:r>
        <w:t>c</w:t>
      </w:r>
      <w:r>
        <w:rPr>
          <w:vertAlign w:val="subscript"/>
        </w:rPr>
        <w:t>i,j /</w:t>
      </w:r>
      <w:r>
        <w:t>c</w:t>
      </w:r>
      <w:r>
        <w:rPr>
          <w:vertAlign w:val="subscript"/>
        </w:rPr>
        <w:t>s,i</w:t>
      </w:r>
    </w:p>
    <w:p w14:paraId="61D1A8E1">
      <w:pPr>
        <w:ind w:firstLine="480"/>
      </w:pPr>
      <w:r>
        <w:t>式中，S</w:t>
      </w:r>
      <w:r>
        <w:rPr>
          <w:vertAlign w:val="subscript"/>
        </w:rPr>
        <w:t>i,j</w:t>
      </w:r>
      <w:r>
        <w:t>——标准指数；</w:t>
      </w:r>
    </w:p>
    <w:p w14:paraId="4348AE55">
      <w:pPr>
        <w:ind w:firstLine="1200" w:firstLineChars="500"/>
      </w:pPr>
      <w:r>
        <w:t>c</w:t>
      </w:r>
      <w:r>
        <w:rPr>
          <w:vertAlign w:val="subscript"/>
        </w:rPr>
        <w:t>i,j</w:t>
      </w:r>
      <w:r>
        <w:t>——评价因子i在j点时的实测统计代表值，mg/L；</w:t>
      </w:r>
    </w:p>
    <w:p w14:paraId="5654D09D">
      <w:pPr>
        <w:ind w:firstLine="1200" w:firstLineChars="500"/>
      </w:pPr>
      <w:r>
        <w:t>c</w:t>
      </w:r>
      <w:r>
        <w:rPr>
          <w:vertAlign w:val="subscript"/>
        </w:rPr>
        <w:t>s,i</w:t>
      </w:r>
      <w:r>
        <w:t>——评价因子i的评价标准限值，mg/L。</w:t>
      </w:r>
    </w:p>
    <w:p w14:paraId="0ED3F9CB">
      <w:pPr>
        <w:ind w:firstLine="480"/>
        <w:rPr>
          <w:rFonts w:hint="eastAsia" w:hAnsi="宋体"/>
        </w:rPr>
      </w:pPr>
      <w:r>
        <w:t>（2）pH的标准指数计算公式为：</w:t>
      </w:r>
    </w:p>
    <w:p w14:paraId="7522A3A7">
      <w:pPr>
        <w:spacing w:line="240" w:lineRule="auto"/>
        <w:ind w:firstLine="720" w:firstLineChars="300"/>
      </w:pPr>
      <w:r>
        <w:rPr>
          <w:rFonts w:hint="eastAsia"/>
          <w:szCs w:val="28"/>
        </w:rPr>
        <w:t>当</w:t>
      </w:r>
      <w:r>
        <w:rPr>
          <w:position w:val="-14"/>
        </w:rPr>
        <w:object>
          <v:shape id="_x0000_i1026" o:spt="75" alt="" type="#_x0000_t75" style="height:18pt;width:65.75pt;" o:ole="t" filled="f" o:preferrelative="t" stroked="f" coordsize="21600,21600">
            <v:path/>
            <v:fill on="f" focussize="0,0"/>
            <v:stroke on="f"/>
            <v:imagedata r:id="rId73" o:title=""/>
            <o:lock v:ext="edit" aspectratio="t"/>
            <w10:wrap type="none"/>
            <w10:anchorlock/>
          </v:shape>
          <o:OLEObject Type="Embed" ProgID="Equation.3" ShapeID="_x0000_i1026" DrawAspect="Content" ObjectID="_1468075726" r:id="rId72">
            <o:LockedField>false</o:LockedField>
          </o:OLEObject>
        </w:object>
      </w:r>
      <w:r>
        <w:rPr>
          <w:rFonts w:hint="eastAsia"/>
        </w:rPr>
        <w:t>，</w:t>
      </w:r>
      <w:r>
        <w:rPr>
          <w:position w:val="-30"/>
        </w:rPr>
        <w:object>
          <v:shape id="_x0000_i1027" o:spt="75" alt="" type="#_x0000_t75" style="height:36pt;width:90pt;" o:ole="t" filled="f" o:preferrelative="t" stroked="f" coordsize="21600,21600">
            <v:path/>
            <v:fill on="f" focussize="0,0"/>
            <v:stroke on="f"/>
            <v:imagedata r:id="rId75" o:title=""/>
            <o:lock v:ext="edit" aspectratio="t"/>
            <w10:wrap type="none"/>
            <w10:anchorlock/>
          </v:shape>
          <o:OLEObject Type="Embed" ProgID="Equation.3" ShapeID="_x0000_i1027" DrawAspect="Content" ObjectID="_1468075727" r:id="rId74">
            <o:LockedField>false</o:LockedField>
          </o:OLEObject>
        </w:object>
      </w:r>
      <w:r>
        <w:rPr>
          <w:rFonts w:hint="eastAsia"/>
        </w:rPr>
        <w:t>；</w:t>
      </w:r>
    </w:p>
    <w:p w14:paraId="4CED45BD">
      <w:pPr>
        <w:spacing w:line="360" w:lineRule="auto"/>
        <w:ind w:firstLine="720" w:firstLineChars="300"/>
      </w:pPr>
      <w:r>
        <w:rPr>
          <w:rFonts w:hint="eastAsia"/>
          <w:szCs w:val="28"/>
        </w:rPr>
        <w:t>当</w:t>
      </w:r>
      <w:r>
        <w:rPr>
          <w:position w:val="-14"/>
        </w:rPr>
        <w:object>
          <v:shape id="_x0000_i1028" o:spt="75" alt="" type="#_x0000_t75" style="height:18pt;width:65.75pt;" o:ole="t" filled="f" o:preferrelative="t" stroked="f" coordsize="21600,21600">
            <v:path/>
            <v:fill on="f" focussize="0,0"/>
            <v:stroke on="f"/>
            <v:imagedata r:id="rId77" o:title=""/>
            <o:lock v:ext="edit" aspectratio="t"/>
            <w10:wrap type="none"/>
            <w10:anchorlock/>
          </v:shape>
          <o:OLEObject Type="Embed" ProgID="Equation.3" ShapeID="_x0000_i1028" DrawAspect="Content" ObjectID="_1468075728" r:id="rId76">
            <o:LockedField>false</o:LockedField>
          </o:OLEObject>
        </w:object>
      </w:r>
      <w:r>
        <w:rPr>
          <w:rFonts w:hint="eastAsia"/>
        </w:rPr>
        <w:t>，</w:t>
      </w:r>
      <w:r>
        <w:rPr>
          <w:position w:val="-30"/>
        </w:rPr>
        <w:object>
          <v:shape id="_x0000_i1029" o:spt="75" alt="" type="#_x0000_t75" style="height:36pt;width:90pt;" o:ole="t" filled="f" o:preferrelative="t" stroked="f" coordsize="21600,21600">
            <v:path/>
            <v:fill on="f" focussize="0,0"/>
            <v:stroke on="f"/>
            <v:imagedata r:id="rId79" o:title=""/>
            <o:lock v:ext="edit" aspectratio="t"/>
            <w10:wrap type="none"/>
            <w10:anchorlock/>
          </v:shape>
          <o:OLEObject Type="Embed" ProgID="Equation.3" ShapeID="_x0000_i1029" DrawAspect="Content" ObjectID="_1468075729" r:id="rId78">
            <o:LockedField>false</o:LockedField>
          </o:OLEObject>
        </w:object>
      </w:r>
      <w:r>
        <w:rPr>
          <w:rFonts w:hint="eastAsia"/>
        </w:rPr>
        <w:t>。</w:t>
      </w:r>
    </w:p>
    <w:p w14:paraId="4599381B">
      <w:pPr>
        <w:ind w:firstLine="480"/>
      </w:pPr>
      <w:r>
        <w:t>式中，S</w:t>
      </w:r>
      <w:r>
        <w:rPr>
          <w:vertAlign w:val="subscript"/>
        </w:rPr>
        <w:t>pH,j</w:t>
      </w:r>
      <w:r>
        <w:t>——pH的标准指数；</w:t>
      </w:r>
    </w:p>
    <w:p w14:paraId="220A327C">
      <w:pPr>
        <w:ind w:firstLine="1200" w:firstLineChars="500"/>
      </w:pPr>
      <w:r>
        <w:t>pH</w:t>
      </w:r>
      <w:r>
        <w:rPr>
          <w:vertAlign w:val="subscript"/>
        </w:rPr>
        <w:t>j</w:t>
      </w:r>
      <w:r>
        <w:t>——pH实测统计代表值；</w:t>
      </w:r>
    </w:p>
    <w:p w14:paraId="7C3F8E3E">
      <w:pPr>
        <w:ind w:firstLine="1200" w:firstLineChars="500"/>
      </w:pPr>
      <w:r>
        <w:t>pH</w:t>
      </w:r>
      <w:r>
        <w:rPr>
          <w:vertAlign w:val="subscript"/>
        </w:rPr>
        <w:t>sd</w:t>
      </w:r>
      <w:r>
        <w:t>——评价标准中pH的下限值；</w:t>
      </w:r>
    </w:p>
    <w:p w14:paraId="2D40E081">
      <w:pPr>
        <w:ind w:firstLine="1200" w:firstLineChars="500"/>
      </w:pPr>
      <w:r>
        <w:t>pH</w:t>
      </w:r>
      <w:r>
        <w:rPr>
          <w:vertAlign w:val="subscript"/>
        </w:rPr>
        <w:t>su</w:t>
      </w:r>
      <w:r>
        <w:t>——评价标准中pH的上限值。</w:t>
      </w:r>
    </w:p>
    <w:p w14:paraId="6690DDFD">
      <w:pPr>
        <w:ind w:firstLine="480"/>
      </w:pPr>
      <w:r>
        <w:t>对现状监测数据进行统计整理，列表统计各监测点测值范围、标准指数范围、超标率、最大超标倍数。</w:t>
      </w:r>
    </w:p>
    <w:p w14:paraId="60C2A5F3">
      <w:pPr>
        <w:pStyle w:val="6"/>
        <w:ind w:left="0" w:firstLine="482" w:firstLineChars="200"/>
      </w:pPr>
      <w:r>
        <w:rPr>
          <w:rFonts w:hint="eastAsia"/>
        </w:rPr>
        <w:t>检测结果统计及评价</w:t>
      </w:r>
    </w:p>
    <w:p w14:paraId="1D3EC352">
      <w:pPr>
        <w:ind w:firstLine="480"/>
      </w:pPr>
      <w:r>
        <w:t>本次评价地下水现状统计结果如下：</w:t>
      </w:r>
    </w:p>
    <w:p w14:paraId="2B95A19B">
      <w:pPr>
        <w:ind w:firstLine="480"/>
        <w:rPr>
          <w:highlight w:val="yellow"/>
        </w:rPr>
        <w:sectPr>
          <w:pgSz w:w="11906" w:h="16838"/>
          <w:pgMar w:top="1440" w:right="1797" w:bottom="1440" w:left="1797" w:header="851" w:footer="992" w:gutter="0"/>
          <w:cols w:space="425" w:num="1"/>
          <w:docGrid w:linePitch="312" w:charSpace="0"/>
        </w:sectPr>
      </w:pPr>
    </w:p>
    <w:p w14:paraId="1D3EC354">
      <w:pPr>
        <w:numPr>
          <w:ilvl w:val="0"/>
          <w:numId w:val="23"/>
        </w:numPr>
        <w:adjustRightInd/>
        <w:snapToGrid/>
        <w:ind w:firstLineChars="0"/>
        <w:textAlignment w:val="auto"/>
        <w:rPr>
          <w:rFonts w:eastAsia="黑体"/>
        </w:rPr>
      </w:pPr>
      <w:r>
        <w:rPr>
          <w:rFonts w:eastAsia="黑体"/>
        </w:rPr>
        <w:t>表                                    地下水现状结果统计表1                                  单位：mg/L</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00"/>
        <w:gridCol w:w="955"/>
        <w:gridCol w:w="873"/>
        <w:gridCol w:w="378"/>
        <w:gridCol w:w="1130"/>
        <w:gridCol w:w="511"/>
        <w:gridCol w:w="569"/>
        <w:gridCol w:w="846"/>
        <w:gridCol w:w="846"/>
        <w:gridCol w:w="482"/>
        <w:gridCol w:w="1235"/>
        <w:gridCol w:w="920"/>
        <w:gridCol w:w="920"/>
        <w:gridCol w:w="739"/>
        <w:gridCol w:w="739"/>
        <w:gridCol w:w="611"/>
        <w:gridCol w:w="717"/>
        <w:gridCol w:w="807"/>
      </w:tblGrid>
      <w:tr w14:paraId="1D3EC3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87" w:type="pct"/>
            <w:vAlign w:val="center"/>
          </w:tcPr>
          <w:p w14:paraId="1D3EC355">
            <w:pPr>
              <w:adjustRightInd/>
              <w:snapToGrid/>
              <w:spacing w:line="240" w:lineRule="auto"/>
              <w:ind w:firstLine="0" w:firstLineChars="0"/>
              <w:jc w:val="center"/>
              <w:textAlignment w:val="auto"/>
              <w:rPr>
                <w:b/>
                <w:kern w:val="2"/>
                <w:sz w:val="21"/>
              </w:rPr>
            </w:pPr>
            <w:r>
              <w:rPr>
                <w:b/>
                <w:kern w:val="2"/>
                <w:sz w:val="21"/>
              </w:rPr>
              <w:t>检测点位</w:t>
            </w:r>
          </w:p>
        </w:tc>
        <w:tc>
          <w:tcPr>
            <w:tcW w:w="371" w:type="pct"/>
            <w:vAlign w:val="center"/>
          </w:tcPr>
          <w:p w14:paraId="1D3EC356">
            <w:pPr>
              <w:adjustRightInd/>
              <w:snapToGrid/>
              <w:spacing w:line="240" w:lineRule="auto"/>
              <w:ind w:firstLine="0" w:firstLineChars="0"/>
              <w:jc w:val="center"/>
              <w:textAlignment w:val="auto"/>
              <w:rPr>
                <w:b/>
                <w:kern w:val="2"/>
                <w:sz w:val="21"/>
              </w:rPr>
            </w:pPr>
            <w:r>
              <w:rPr>
                <w:b/>
                <w:kern w:val="2"/>
                <w:sz w:val="21"/>
              </w:rPr>
              <w:t>采样时间</w:t>
            </w:r>
          </w:p>
        </w:tc>
        <w:tc>
          <w:tcPr>
            <w:tcW w:w="356" w:type="pct"/>
            <w:vAlign w:val="center"/>
          </w:tcPr>
          <w:p w14:paraId="1D3EC357">
            <w:pPr>
              <w:adjustRightInd/>
              <w:snapToGrid/>
              <w:spacing w:line="240" w:lineRule="auto"/>
              <w:ind w:firstLine="0" w:firstLineChars="0"/>
              <w:jc w:val="center"/>
              <w:textAlignment w:val="auto"/>
              <w:rPr>
                <w:b/>
                <w:kern w:val="2"/>
                <w:sz w:val="21"/>
              </w:rPr>
            </w:pPr>
            <w:r>
              <w:rPr>
                <w:b/>
                <w:kern w:val="2"/>
                <w:sz w:val="21"/>
              </w:rPr>
              <w:t>pH值</w:t>
            </w:r>
          </w:p>
          <w:p w14:paraId="1D3EC358">
            <w:pPr>
              <w:adjustRightInd/>
              <w:snapToGrid/>
              <w:spacing w:line="240" w:lineRule="auto"/>
              <w:ind w:firstLine="0" w:firstLineChars="0"/>
              <w:jc w:val="center"/>
              <w:textAlignment w:val="auto"/>
              <w:rPr>
                <w:b/>
                <w:kern w:val="2"/>
                <w:sz w:val="21"/>
              </w:rPr>
            </w:pPr>
            <w:r>
              <w:rPr>
                <w:b/>
                <w:kern w:val="2"/>
                <w:sz w:val="18"/>
                <w:szCs w:val="18"/>
              </w:rPr>
              <w:t>（无量纲）</w:t>
            </w:r>
          </w:p>
        </w:tc>
        <w:tc>
          <w:tcPr>
            <w:tcW w:w="168" w:type="pct"/>
            <w:vAlign w:val="center"/>
          </w:tcPr>
          <w:p w14:paraId="1D3EC359">
            <w:pPr>
              <w:adjustRightInd/>
              <w:snapToGrid/>
              <w:spacing w:line="240" w:lineRule="auto"/>
              <w:ind w:firstLine="0" w:firstLineChars="0"/>
              <w:jc w:val="center"/>
              <w:textAlignment w:val="auto"/>
              <w:rPr>
                <w:b/>
                <w:kern w:val="2"/>
                <w:sz w:val="21"/>
              </w:rPr>
            </w:pPr>
            <w:r>
              <w:rPr>
                <w:b/>
                <w:kern w:val="2"/>
                <w:sz w:val="21"/>
              </w:rPr>
              <w:t>K</w:t>
            </w:r>
            <w:r>
              <w:rPr>
                <w:b/>
                <w:kern w:val="2"/>
                <w:sz w:val="21"/>
                <w:vertAlign w:val="superscript"/>
              </w:rPr>
              <w:t>+</w:t>
            </w:r>
          </w:p>
        </w:tc>
        <w:tc>
          <w:tcPr>
            <w:tcW w:w="214" w:type="pct"/>
            <w:vAlign w:val="center"/>
          </w:tcPr>
          <w:p w14:paraId="1D3EC35A">
            <w:pPr>
              <w:adjustRightInd/>
              <w:snapToGrid/>
              <w:spacing w:line="240" w:lineRule="auto"/>
              <w:ind w:firstLine="0" w:firstLineChars="0"/>
              <w:jc w:val="center"/>
              <w:textAlignment w:val="auto"/>
              <w:rPr>
                <w:b/>
                <w:kern w:val="2"/>
                <w:sz w:val="21"/>
              </w:rPr>
            </w:pPr>
            <w:r>
              <w:rPr>
                <w:b/>
                <w:kern w:val="2"/>
                <w:sz w:val="21"/>
              </w:rPr>
              <w:t>Na</w:t>
            </w:r>
            <w:r>
              <w:rPr>
                <w:b/>
                <w:kern w:val="2"/>
                <w:sz w:val="21"/>
                <w:vertAlign w:val="superscript"/>
              </w:rPr>
              <w:t>+</w:t>
            </w:r>
          </w:p>
        </w:tc>
        <w:tc>
          <w:tcPr>
            <w:tcW w:w="223" w:type="pct"/>
            <w:vAlign w:val="center"/>
          </w:tcPr>
          <w:p w14:paraId="1D3EC35B">
            <w:pPr>
              <w:adjustRightInd/>
              <w:snapToGrid/>
              <w:spacing w:line="240" w:lineRule="auto"/>
              <w:ind w:firstLine="0" w:firstLineChars="0"/>
              <w:jc w:val="center"/>
              <w:textAlignment w:val="auto"/>
              <w:rPr>
                <w:b/>
                <w:kern w:val="2"/>
                <w:sz w:val="21"/>
              </w:rPr>
            </w:pPr>
            <w:r>
              <w:rPr>
                <w:b/>
                <w:kern w:val="2"/>
                <w:sz w:val="21"/>
              </w:rPr>
              <w:t>Ca</w:t>
            </w:r>
            <w:r>
              <w:rPr>
                <w:b/>
                <w:kern w:val="2"/>
                <w:sz w:val="21"/>
                <w:vertAlign w:val="superscript"/>
              </w:rPr>
              <w:t>2+</w:t>
            </w:r>
          </w:p>
        </w:tc>
        <w:tc>
          <w:tcPr>
            <w:tcW w:w="240" w:type="pct"/>
            <w:vAlign w:val="center"/>
          </w:tcPr>
          <w:p w14:paraId="1D3EC35C">
            <w:pPr>
              <w:adjustRightInd/>
              <w:snapToGrid/>
              <w:spacing w:line="240" w:lineRule="auto"/>
              <w:ind w:firstLine="0" w:firstLineChars="0"/>
              <w:jc w:val="center"/>
              <w:textAlignment w:val="auto"/>
              <w:rPr>
                <w:b/>
                <w:kern w:val="2"/>
                <w:sz w:val="21"/>
              </w:rPr>
            </w:pPr>
            <w:r>
              <w:rPr>
                <w:b/>
                <w:kern w:val="2"/>
                <w:sz w:val="21"/>
              </w:rPr>
              <w:t>Mg</w:t>
            </w:r>
            <w:r>
              <w:rPr>
                <w:b/>
                <w:kern w:val="2"/>
                <w:sz w:val="21"/>
                <w:vertAlign w:val="superscript"/>
              </w:rPr>
              <w:t>2+</w:t>
            </w:r>
          </w:p>
        </w:tc>
        <w:tc>
          <w:tcPr>
            <w:tcW w:w="339" w:type="pct"/>
            <w:vAlign w:val="center"/>
          </w:tcPr>
          <w:p w14:paraId="1D3EC35E">
            <w:pPr>
              <w:adjustRightInd/>
              <w:snapToGrid/>
              <w:spacing w:line="240" w:lineRule="auto"/>
              <w:ind w:firstLine="0" w:firstLineChars="0"/>
              <w:jc w:val="center"/>
              <w:textAlignment w:val="auto"/>
              <w:rPr>
                <w:b/>
                <w:kern w:val="2"/>
                <w:sz w:val="21"/>
              </w:rPr>
            </w:pPr>
            <w:r>
              <w:rPr>
                <w:b/>
                <w:kern w:val="2"/>
                <w:sz w:val="21"/>
              </w:rPr>
              <w:t>CO</w:t>
            </w:r>
            <w:r>
              <w:rPr>
                <w:b/>
                <w:kern w:val="2"/>
                <w:sz w:val="21"/>
                <w:vertAlign w:val="subscript"/>
              </w:rPr>
              <w:t>3</w:t>
            </w:r>
            <w:r>
              <w:rPr>
                <w:b/>
                <w:kern w:val="2"/>
                <w:sz w:val="21"/>
                <w:vertAlign w:val="superscript"/>
              </w:rPr>
              <w:t>2-</w:t>
            </w:r>
          </w:p>
        </w:tc>
        <w:tc>
          <w:tcPr>
            <w:tcW w:w="339" w:type="pct"/>
            <w:vAlign w:val="center"/>
          </w:tcPr>
          <w:p w14:paraId="1D3EC35F">
            <w:pPr>
              <w:adjustRightInd/>
              <w:snapToGrid/>
              <w:spacing w:line="240" w:lineRule="auto"/>
              <w:ind w:firstLine="0" w:firstLineChars="0"/>
              <w:jc w:val="center"/>
              <w:textAlignment w:val="auto"/>
              <w:rPr>
                <w:b/>
                <w:kern w:val="2"/>
                <w:sz w:val="21"/>
              </w:rPr>
            </w:pPr>
            <w:r>
              <w:rPr>
                <w:b/>
                <w:kern w:val="2"/>
                <w:sz w:val="21"/>
              </w:rPr>
              <w:t>HCO</w:t>
            </w:r>
            <w:r>
              <w:rPr>
                <w:b/>
                <w:kern w:val="2"/>
                <w:sz w:val="21"/>
                <w:vertAlign w:val="subscript"/>
              </w:rPr>
              <w:t>3</w:t>
            </w:r>
            <w:r>
              <w:rPr>
                <w:b/>
                <w:kern w:val="2"/>
                <w:sz w:val="21"/>
                <w:vertAlign w:val="superscript"/>
              </w:rPr>
              <w:t>-</w:t>
            </w:r>
          </w:p>
        </w:tc>
        <w:tc>
          <w:tcPr>
            <w:tcW w:w="209" w:type="pct"/>
            <w:vAlign w:val="center"/>
          </w:tcPr>
          <w:p w14:paraId="1D3EC360">
            <w:pPr>
              <w:adjustRightInd/>
              <w:snapToGrid/>
              <w:spacing w:line="240" w:lineRule="auto"/>
              <w:ind w:firstLine="0" w:firstLineChars="0"/>
              <w:jc w:val="center"/>
              <w:textAlignment w:val="auto"/>
              <w:rPr>
                <w:b/>
                <w:kern w:val="2"/>
                <w:sz w:val="21"/>
                <w:lang w:bidi="ar"/>
              </w:rPr>
            </w:pPr>
            <w:r>
              <w:rPr>
                <w:b/>
                <w:kern w:val="2"/>
                <w:sz w:val="21"/>
              </w:rPr>
              <w:t>Cl</w:t>
            </w:r>
            <w:r>
              <w:rPr>
                <w:b/>
                <w:kern w:val="2"/>
                <w:sz w:val="21"/>
                <w:vertAlign w:val="superscript"/>
              </w:rPr>
              <w:t>-</w:t>
            </w:r>
          </w:p>
        </w:tc>
        <w:tc>
          <w:tcPr>
            <w:tcW w:w="245" w:type="pct"/>
            <w:vAlign w:val="center"/>
          </w:tcPr>
          <w:p w14:paraId="1D3EC361">
            <w:pPr>
              <w:adjustRightInd/>
              <w:snapToGrid/>
              <w:spacing w:line="240" w:lineRule="auto"/>
              <w:ind w:firstLine="0" w:firstLineChars="0"/>
              <w:jc w:val="center"/>
              <w:textAlignment w:val="auto"/>
              <w:rPr>
                <w:b/>
                <w:kern w:val="2"/>
                <w:sz w:val="21"/>
                <w:lang w:bidi="ar"/>
              </w:rPr>
            </w:pPr>
            <w:r>
              <w:rPr>
                <w:b/>
                <w:kern w:val="2"/>
                <w:sz w:val="21"/>
              </w:rPr>
              <w:t>SO</w:t>
            </w:r>
            <w:r>
              <w:rPr>
                <w:b/>
                <w:kern w:val="2"/>
                <w:sz w:val="21"/>
                <w:vertAlign w:val="subscript"/>
              </w:rPr>
              <w:t>4</w:t>
            </w:r>
            <w:r>
              <w:rPr>
                <w:b/>
                <w:kern w:val="2"/>
                <w:sz w:val="21"/>
                <w:vertAlign w:val="superscript"/>
              </w:rPr>
              <w:t>2-</w:t>
            </w:r>
          </w:p>
        </w:tc>
        <w:tc>
          <w:tcPr>
            <w:tcW w:w="247" w:type="pct"/>
            <w:vAlign w:val="center"/>
          </w:tcPr>
          <w:p w14:paraId="1D3EC362">
            <w:pPr>
              <w:adjustRightInd/>
              <w:snapToGrid/>
              <w:spacing w:line="240" w:lineRule="auto"/>
              <w:ind w:firstLine="0" w:firstLineChars="0"/>
              <w:jc w:val="center"/>
              <w:textAlignment w:val="auto"/>
              <w:rPr>
                <w:b/>
                <w:kern w:val="2"/>
                <w:sz w:val="21"/>
              </w:rPr>
            </w:pPr>
            <w:r>
              <w:rPr>
                <w:b/>
                <w:kern w:val="2"/>
                <w:sz w:val="21"/>
                <w:lang w:bidi="ar"/>
              </w:rPr>
              <w:t>氨氮</w:t>
            </w:r>
          </w:p>
        </w:tc>
        <w:tc>
          <w:tcPr>
            <w:tcW w:w="287" w:type="pct"/>
            <w:vAlign w:val="center"/>
          </w:tcPr>
          <w:p w14:paraId="1D3EC363">
            <w:pPr>
              <w:adjustRightInd/>
              <w:snapToGrid/>
              <w:spacing w:line="240" w:lineRule="auto"/>
              <w:ind w:firstLine="0" w:firstLineChars="0"/>
              <w:jc w:val="center"/>
              <w:textAlignment w:val="auto"/>
              <w:rPr>
                <w:b/>
                <w:kern w:val="2"/>
                <w:sz w:val="21"/>
                <w:lang w:bidi="ar"/>
              </w:rPr>
            </w:pPr>
            <w:r>
              <w:rPr>
                <w:b/>
                <w:kern w:val="2"/>
                <w:sz w:val="21"/>
              </w:rPr>
              <w:t>硝酸盐</w:t>
            </w:r>
          </w:p>
        </w:tc>
        <w:tc>
          <w:tcPr>
            <w:tcW w:w="301" w:type="pct"/>
            <w:vAlign w:val="center"/>
          </w:tcPr>
          <w:p w14:paraId="1D3EC365">
            <w:pPr>
              <w:adjustRightInd/>
              <w:snapToGrid/>
              <w:spacing w:line="240" w:lineRule="auto"/>
              <w:ind w:firstLine="0" w:firstLineChars="0"/>
              <w:jc w:val="center"/>
              <w:textAlignment w:val="auto"/>
              <w:rPr>
                <w:b/>
                <w:kern w:val="2"/>
                <w:sz w:val="21"/>
                <w:lang w:bidi="ar"/>
              </w:rPr>
            </w:pPr>
            <w:r>
              <w:rPr>
                <w:b/>
                <w:kern w:val="2"/>
                <w:sz w:val="21"/>
              </w:rPr>
              <w:t>亚硝酸盐</w:t>
            </w:r>
          </w:p>
        </w:tc>
        <w:tc>
          <w:tcPr>
            <w:tcW w:w="301" w:type="pct"/>
            <w:vAlign w:val="center"/>
          </w:tcPr>
          <w:p w14:paraId="1D3EC366">
            <w:pPr>
              <w:adjustRightInd/>
              <w:snapToGrid/>
              <w:spacing w:line="240" w:lineRule="auto"/>
              <w:ind w:firstLine="0" w:firstLineChars="0"/>
              <w:jc w:val="center"/>
              <w:textAlignment w:val="auto"/>
              <w:rPr>
                <w:b/>
                <w:kern w:val="2"/>
                <w:sz w:val="21"/>
              </w:rPr>
            </w:pPr>
            <w:r>
              <w:rPr>
                <w:b/>
                <w:kern w:val="2"/>
                <w:sz w:val="21"/>
              </w:rPr>
              <w:t>挥发酚</w:t>
            </w:r>
          </w:p>
        </w:tc>
        <w:tc>
          <w:tcPr>
            <w:tcW w:w="255" w:type="pct"/>
            <w:vAlign w:val="center"/>
          </w:tcPr>
          <w:p w14:paraId="1D3EC367">
            <w:pPr>
              <w:adjustRightInd/>
              <w:snapToGrid/>
              <w:spacing w:line="240" w:lineRule="auto"/>
              <w:ind w:firstLine="0" w:firstLineChars="0"/>
              <w:jc w:val="center"/>
              <w:textAlignment w:val="auto"/>
              <w:rPr>
                <w:b/>
                <w:kern w:val="2"/>
                <w:sz w:val="21"/>
              </w:rPr>
            </w:pPr>
            <w:r>
              <w:rPr>
                <w:b/>
                <w:kern w:val="2"/>
                <w:sz w:val="21"/>
              </w:rPr>
              <w:t>氰化物</w:t>
            </w:r>
          </w:p>
        </w:tc>
        <w:tc>
          <w:tcPr>
            <w:tcW w:w="293" w:type="pct"/>
            <w:vAlign w:val="center"/>
          </w:tcPr>
          <w:p w14:paraId="1D3EC368">
            <w:pPr>
              <w:adjustRightInd/>
              <w:snapToGrid/>
              <w:spacing w:line="240" w:lineRule="auto"/>
              <w:ind w:firstLine="0" w:firstLineChars="0"/>
              <w:jc w:val="center"/>
              <w:textAlignment w:val="auto"/>
              <w:rPr>
                <w:b/>
                <w:kern w:val="2"/>
                <w:sz w:val="21"/>
              </w:rPr>
            </w:pPr>
            <w:r>
              <w:rPr>
                <w:b/>
                <w:kern w:val="2"/>
                <w:sz w:val="21"/>
              </w:rPr>
              <w:t>砷</w:t>
            </w:r>
          </w:p>
          <w:p w14:paraId="1D3EC369">
            <w:pPr>
              <w:adjustRightInd/>
              <w:snapToGrid/>
              <w:spacing w:line="240" w:lineRule="auto"/>
              <w:ind w:firstLine="0" w:firstLineChars="0"/>
              <w:jc w:val="center"/>
              <w:textAlignment w:val="auto"/>
              <w:rPr>
                <w:b/>
                <w:kern w:val="2"/>
                <w:sz w:val="21"/>
              </w:rPr>
            </w:pPr>
            <w:r>
              <w:rPr>
                <w:b/>
                <w:kern w:val="2"/>
                <w:sz w:val="21"/>
              </w:rPr>
              <w:t>(μg/L)</w:t>
            </w:r>
          </w:p>
        </w:tc>
        <w:tc>
          <w:tcPr>
            <w:tcW w:w="325" w:type="pct"/>
            <w:vAlign w:val="center"/>
          </w:tcPr>
          <w:p w14:paraId="1D3EC36A">
            <w:pPr>
              <w:adjustRightInd/>
              <w:snapToGrid/>
              <w:spacing w:line="240" w:lineRule="auto"/>
              <w:ind w:firstLine="0" w:firstLineChars="0"/>
              <w:jc w:val="center"/>
              <w:textAlignment w:val="auto"/>
              <w:rPr>
                <w:b/>
                <w:kern w:val="2"/>
                <w:sz w:val="21"/>
              </w:rPr>
            </w:pPr>
            <w:r>
              <w:rPr>
                <w:b/>
                <w:kern w:val="2"/>
                <w:sz w:val="21"/>
              </w:rPr>
              <w:t>汞</w:t>
            </w:r>
          </w:p>
          <w:p w14:paraId="1D3EC36B">
            <w:pPr>
              <w:adjustRightInd/>
              <w:snapToGrid/>
              <w:spacing w:line="240" w:lineRule="auto"/>
              <w:ind w:firstLine="0" w:firstLineChars="0"/>
              <w:jc w:val="center"/>
              <w:textAlignment w:val="auto"/>
              <w:rPr>
                <w:b/>
                <w:kern w:val="2"/>
                <w:sz w:val="21"/>
              </w:rPr>
            </w:pPr>
            <w:r>
              <w:rPr>
                <w:b/>
                <w:kern w:val="2"/>
                <w:sz w:val="21"/>
              </w:rPr>
              <w:t>(μg/L)</w:t>
            </w:r>
          </w:p>
        </w:tc>
      </w:tr>
      <w:tr w14:paraId="1D3EC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restart"/>
            <w:vAlign w:val="center"/>
          </w:tcPr>
          <w:p w14:paraId="1D3EC36D">
            <w:pPr>
              <w:adjustRightInd/>
              <w:snapToGrid/>
              <w:spacing w:line="240" w:lineRule="auto"/>
              <w:ind w:firstLine="0" w:firstLineChars="0"/>
              <w:contextualSpacing/>
              <w:jc w:val="center"/>
              <w:rPr>
                <w:sz w:val="21"/>
                <w:szCs w:val="21"/>
              </w:rPr>
            </w:pPr>
            <w:r>
              <w:rPr>
                <w:sz w:val="21"/>
                <w:szCs w:val="21"/>
              </w:rPr>
              <w:t>1#厂区</w:t>
            </w:r>
          </w:p>
        </w:tc>
        <w:tc>
          <w:tcPr>
            <w:tcW w:w="371" w:type="pct"/>
            <w:vAlign w:val="center"/>
          </w:tcPr>
          <w:p w14:paraId="1D3EC36E">
            <w:pPr>
              <w:adjustRightInd/>
              <w:snapToGrid/>
              <w:spacing w:line="240" w:lineRule="auto"/>
              <w:ind w:firstLine="0" w:firstLineChars="0"/>
              <w:contextualSpacing/>
              <w:jc w:val="center"/>
              <w:rPr>
                <w:sz w:val="21"/>
                <w:szCs w:val="21"/>
                <w:lang w:bidi="ar"/>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356" w:type="pct"/>
            <w:vAlign w:val="center"/>
          </w:tcPr>
          <w:p w14:paraId="1D3EC36F">
            <w:pPr>
              <w:adjustRightInd/>
              <w:snapToGrid/>
              <w:spacing w:line="240" w:lineRule="auto"/>
              <w:ind w:firstLine="0" w:firstLineChars="0"/>
              <w:contextualSpacing/>
              <w:jc w:val="center"/>
              <w:rPr>
                <w:sz w:val="21"/>
                <w:szCs w:val="21"/>
                <w:highlight w:val="yellow"/>
              </w:rPr>
            </w:pPr>
            <w:r>
              <w:rPr>
                <w:sz w:val="21"/>
                <w:szCs w:val="21"/>
              </w:rPr>
              <w:t>7.</w:t>
            </w:r>
            <w:r>
              <w:rPr>
                <w:rFonts w:hint="eastAsia"/>
                <w:sz w:val="21"/>
                <w:szCs w:val="21"/>
              </w:rPr>
              <w:t>3</w:t>
            </w:r>
          </w:p>
        </w:tc>
        <w:tc>
          <w:tcPr>
            <w:tcW w:w="168" w:type="pct"/>
            <w:vAlign w:val="center"/>
          </w:tcPr>
          <w:p w14:paraId="1D3EC370">
            <w:pPr>
              <w:adjustRightInd/>
              <w:snapToGrid/>
              <w:spacing w:line="240" w:lineRule="auto"/>
              <w:ind w:firstLine="0" w:firstLineChars="0"/>
              <w:contextualSpacing/>
              <w:jc w:val="center"/>
              <w:rPr>
                <w:sz w:val="21"/>
                <w:szCs w:val="21"/>
              </w:rPr>
            </w:pPr>
            <w:r>
              <w:rPr>
                <w:rFonts w:hint="eastAsia"/>
                <w:sz w:val="21"/>
                <w:szCs w:val="21"/>
              </w:rPr>
              <w:t>13.2</w:t>
            </w:r>
          </w:p>
        </w:tc>
        <w:tc>
          <w:tcPr>
            <w:tcW w:w="214" w:type="pct"/>
            <w:vAlign w:val="center"/>
          </w:tcPr>
          <w:p w14:paraId="1D3EC371">
            <w:pPr>
              <w:adjustRightInd/>
              <w:snapToGrid/>
              <w:spacing w:line="240" w:lineRule="auto"/>
              <w:ind w:firstLine="0" w:firstLineChars="0"/>
              <w:contextualSpacing/>
              <w:jc w:val="center"/>
              <w:rPr>
                <w:sz w:val="21"/>
                <w:szCs w:val="21"/>
              </w:rPr>
            </w:pPr>
            <w:r>
              <w:rPr>
                <w:rFonts w:hint="eastAsia"/>
                <w:sz w:val="21"/>
                <w:szCs w:val="21"/>
              </w:rPr>
              <w:t>17.3</w:t>
            </w:r>
          </w:p>
        </w:tc>
        <w:tc>
          <w:tcPr>
            <w:tcW w:w="223" w:type="pct"/>
            <w:vAlign w:val="center"/>
          </w:tcPr>
          <w:p w14:paraId="1D3EC372">
            <w:pPr>
              <w:adjustRightInd/>
              <w:snapToGrid/>
              <w:spacing w:line="240" w:lineRule="auto"/>
              <w:ind w:firstLine="0" w:firstLineChars="0"/>
              <w:contextualSpacing/>
              <w:jc w:val="center"/>
              <w:rPr>
                <w:sz w:val="21"/>
                <w:szCs w:val="21"/>
              </w:rPr>
            </w:pPr>
            <w:r>
              <w:rPr>
                <w:rFonts w:hint="eastAsia"/>
                <w:sz w:val="21"/>
                <w:szCs w:val="21"/>
              </w:rPr>
              <w:t>61.3</w:t>
            </w:r>
          </w:p>
        </w:tc>
        <w:tc>
          <w:tcPr>
            <w:tcW w:w="240" w:type="pct"/>
            <w:vAlign w:val="center"/>
          </w:tcPr>
          <w:p w14:paraId="1D3EC373">
            <w:pPr>
              <w:adjustRightInd/>
              <w:snapToGrid/>
              <w:spacing w:line="240" w:lineRule="auto"/>
              <w:ind w:firstLine="0" w:firstLineChars="0"/>
              <w:contextualSpacing/>
              <w:jc w:val="center"/>
              <w:rPr>
                <w:sz w:val="21"/>
                <w:szCs w:val="21"/>
              </w:rPr>
            </w:pPr>
            <w:r>
              <w:rPr>
                <w:rFonts w:hint="eastAsia"/>
                <w:sz w:val="21"/>
                <w:szCs w:val="21"/>
              </w:rPr>
              <w:t>26.5</w:t>
            </w:r>
          </w:p>
        </w:tc>
        <w:tc>
          <w:tcPr>
            <w:tcW w:w="339" w:type="pct"/>
            <w:vAlign w:val="center"/>
          </w:tcPr>
          <w:p w14:paraId="1D3EC374">
            <w:pPr>
              <w:adjustRightInd/>
              <w:snapToGrid/>
              <w:spacing w:line="240" w:lineRule="auto"/>
              <w:ind w:firstLine="0" w:firstLineChars="0"/>
              <w:contextualSpacing/>
              <w:jc w:val="center"/>
              <w:rPr>
                <w:sz w:val="21"/>
                <w:szCs w:val="21"/>
              </w:rPr>
            </w:pPr>
            <w:r>
              <w:rPr>
                <w:rFonts w:hint="eastAsia"/>
                <w:sz w:val="21"/>
                <w:szCs w:val="21"/>
              </w:rPr>
              <w:t>87.5</w:t>
            </w:r>
          </w:p>
        </w:tc>
        <w:tc>
          <w:tcPr>
            <w:tcW w:w="339" w:type="pct"/>
            <w:vAlign w:val="center"/>
          </w:tcPr>
          <w:p w14:paraId="1D3EC375">
            <w:pPr>
              <w:adjustRightInd/>
              <w:snapToGrid/>
              <w:spacing w:line="240" w:lineRule="auto"/>
              <w:ind w:firstLine="0" w:firstLineChars="0"/>
              <w:contextualSpacing/>
              <w:jc w:val="center"/>
              <w:rPr>
                <w:sz w:val="21"/>
                <w:szCs w:val="21"/>
              </w:rPr>
            </w:pPr>
            <w:r>
              <w:rPr>
                <w:rFonts w:hint="eastAsia"/>
                <w:sz w:val="21"/>
                <w:szCs w:val="21"/>
              </w:rPr>
              <w:t>58.2</w:t>
            </w:r>
          </w:p>
        </w:tc>
        <w:tc>
          <w:tcPr>
            <w:tcW w:w="209" w:type="pct"/>
            <w:vAlign w:val="center"/>
          </w:tcPr>
          <w:p w14:paraId="1D3EC376">
            <w:pPr>
              <w:adjustRightInd/>
              <w:snapToGrid/>
              <w:spacing w:line="240" w:lineRule="auto"/>
              <w:ind w:firstLine="0" w:firstLineChars="0"/>
              <w:contextualSpacing/>
              <w:jc w:val="center"/>
              <w:rPr>
                <w:sz w:val="21"/>
                <w:szCs w:val="21"/>
              </w:rPr>
            </w:pPr>
            <w:r>
              <w:rPr>
                <w:rFonts w:hint="eastAsia"/>
                <w:sz w:val="21"/>
                <w:szCs w:val="21"/>
              </w:rPr>
              <w:t>36.4</w:t>
            </w:r>
          </w:p>
        </w:tc>
        <w:tc>
          <w:tcPr>
            <w:tcW w:w="245" w:type="pct"/>
            <w:vAlign w:val="center"/>
          </w:tcPr>
          <w:p w14:paraId="1D3EC377">
            <w:pPr>
              <w:adjustRightInd/>
              <w:snapToGrid/>
              <w:spacing w:line="240" w:lineRule="auto"/>
              <w:ind w:firstLine="0" w:firstLineChars="0"/>
              <w:contextualSpacing/>
              <w:jc w:val="center"/>
              <w:rPr>
                <w:sz w:val="21"/>
                <w:szCs w:val="21"/>
              </w:rPr>
            </w:pPr>
            <w:r>
              <w:rPr>
                <w:rFonts w:hint="eastAsia"/>
                <w:sz w:val="21"/>
                <w:szCs w:val="21"/>
              </w:rPr>
              <w:t>52.3</w:t>
            </w:r>
          </w:p>
        </w:tc>
        <w:tc>
          <w:tcPr>
            <w:tcW w:w="247" w:type="pct"/>
            <w:vAlign w:val="center"/>
          </w:tcPr>
          <w:p w14:paraId="1D3EC378">
            <w:pPr>
              <w:adjustRightInd/>
              <w:snapToGrid/>
              <w:spacing w:line="240" w:lineRule="auto"/>
              <w:ind w:firstLine="0" w:firstLineChars="0"/>
              <w:contextualSpacing/>
              <w:jc w:val="center"/>
              <w:rPr>
                <w:sz w:val="21"/>
                <w:szCs w:val="21"/>
              </w:rPr>
            </w:pPr>
            <w:r>
              <w:rPr>
                <w:rFonts w:hint="eastAsia"/>
                <w:sz w:val="21"/>
                <w:szCs w:val="21"/>
              </w:rPr>
              <w:t>0.216</w:t>
            </w:r>
          </w:p>
        </w:tc>
        <w:tc>
          <w:tcPr>
            <w:tcW w:w="287" w:type="pct"/>
            <w:vAlign w:val="center"/>
          </w:tcPr>
          <w:p w14:paraId="1D3EC379">
            <w:pPr>
              <w:adjustRightInd/>
              <w:snapToGrid/>
              <w:spacing w:line="240" w:lineRule="auto"/>
              <w:ind w:firstLine="0" w:firstLineChars="0"/>
              <w:contextualSpacing/>
              <w:jc w:val="center"/>
              <w:rPr>
                <w:sz w:val="21"/>
                <w:szCs w:val="21"/>
              </w:rPr>
            </w:pPr>
            <w:r>
              <w:rPr>
                <w:rFonts w:hint="eastAsia"/>
                <w:sz w:val="21"/>
                <w:szCs w:val="21"/>
              </w:rPr>
              <w:t>6.5</w:t>
            </w:r>
          </w:p>
        </w:tc>
        <w:tc>
          <w:tcPr>
            <w:tcW w:w="301" w:type="pct"/>
            <w:vAlign w:val="center"/>
          </w:tcPr>
          <w:p w14:paraId="1D3EC37A">
            <w:pPr>
              <w:adjustRightInd/>
              <w:snapToGrid/>
              <w:spacing w:line="240" w:lineRule="auto"/>
              <w:ind w:firstLine="0" w:firstLineChars="0"/>
              <w:contextualSpacing/>
              <w:jc w:val="center"/>
              <w:rPr>
                <w:sz w:val="21"/>
                <w:szCs w:val="21"/>
                <w:lang w:bidi="ar"/>
              </w:rPr>
            </w:pPr>
            <w:r>
              <w:rPr>
                <w:sz w:val="21"/>
                <w:szCs w:val="21"/>
              </w:rPr>
              <w:t>未检出</w:t>
            </w:r>
          </w:p>
        </w:tc>
        <w:tc>
          <w:tcPr>
            <w:tcW w:w="301" w:type="pct"/>
            <w:vAlign w:val="center"/>
          </w:tcPr>
          <w:p w14:paraId="1D3EC37B">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37C">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37D">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37E">
            <w:pPr>
              <w:adjustRightInd/>
              <w:snapToGrid/>
              <w:spacing w:line="240" w:lineRule="auto"/>
              <w:ind w:firstLine="0" w:firstLineChars="0"/>
              <w:contextualSpacing/>
              <w:jc w:val="center"/>
              <w:rPr>
                <w:sz w:val="21"/>
                <w:szCs w:val="21"/>
              </w:rPr>
            </w:pPr>
            <w:r>
              <w:rPr>
                <w:sz w:val="21"/>
                <w:szCs w:val="21"/>
              </w:rPr>
              <w:t>未检出</w:t>
            </w:r>
          </w:p>
        </w:tc>
      </w:tr>
      <w:tr w14:paraId="1D3EC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continue"/>
            <w:vAlign w:val="center"/>
          </w:tcPr>
          <w:p w14:paraId="1D3EC393">
            <w:pPr>
              <w:adjustRightInd/>
              <w:snapToGrid/>
              <w:spacing w:line="240" w:lineRule="auto"/>
              <w:ind w:firstLine="0" w:firstLineChars="0"/>
              <w:contextualSpacing/>
              <w:jc w:val="center"/>
              <w:rPr>
                <w:sz w:val="21"/>
                <w:szCs w:val="21"/>
                <w:highlight w:val="yellow"/>
              </w:rPr>
            </w:pPr>
          </w:p>
        </w:tc>
        <w:tc>
          <w:tcPr>
            <w:tcW w:w="371" w:type="pct"/>
            <w:vAlign w:val="center"/>
          </w:tcPr>
          <w:p w14:paraId="1D3EC394">
            <w:pPr>
              <w:adjustRightInd/>
              <w:snapToGrid/>
              <w:spacing w:line="240" w:lineRule="auto"/>
              <w:ind w:firstLine="0" w:firstLineChars="0"/>
              <w:contextualSpacing/>
              <w:jc w:val="center"/>
              <w:rPr>
                <w:sz w:val="21"/>
                <w:szCs w:val="21"/>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356" w:type="pct"/>
            <w:vAlign w:val="center"/>
          </w:tcPr>
          <w:p w14:paraId="1D3EC395">
            <w:pPr>
              <w:adjustRightInd/>
              <w:snapToGrid/>
              <w:spacing w:line="240" w:lineRule="auto"/>
              <w:ind w:firstLine="0" w:firstLineChars="0"/>
              <w:contextualSpacing/>
              <w:jc w:val="center"/>
              <w:rPr>
                <w:sz w:val="21"/>
                <w:szCs w:val="21"/>
                <w:lang w:bidi="ar"/>
              </w:rPr>
            </w:pPr>
            <w:r>
              <w:rPr>
                <w:rFonts w:hint="eastAsia"/>
                <w:sz w:val="21"/>
                <w:szCs w:val="21"/>
                <w:lang w:bidi="ar"/>
              </w:rPr>
              <w:t>7.3</w:t>
            </w:r>
          </w:p>
        </w:tc>
        <w:tc>
          <w:tcPr>
            <w:tcW w:w="168" w:type="pct"/>
            <w:vAlign w:val="center"/>
          </w:tcPr>
          <w:p w14:paraId="1D3EC396">
            <w:pPr>
              <w:adjustRightInd/>
              <w:snapToGrid/>
              <w:spacing w:line="240" w:lineRule="auto"/>
              <w:ind w:firstLine="0" w:firstLineChars="0"/>
              <w:contextualSpacing/>
              <w:jc w:val="center"/>
              <w:rPr>
                <w:sz w:val="21"/>
                <w:szCs w:val="21"/>
              </w:rPr>
            </w:pPr>
            <w:r>
              <w:rPr>
                <w:rFonts w:hint="eastAsia"/>
                <w:sz w:val="21"/>
                <w:szCs w:val="21"/>
              </w:rPr>
              <w:t>13.4</w:t>
            </w:r>
          </w:p>
        </w:tc>
        <w:tc>
          <w:tcPr>
            <w:tcW w:w="214" w:type="pct"/>
            <w:vAlign w:val="center"/>
          </w:tcPr>
          <w:p w14:paraId="1D3EC397">
            <w:pPr>
              <w:adjustRightInd/>
              <w:snapToGrid/>
              <w:spacing w:line="240" w:lineRule="auto"/>
              <w:ind w:firstLine="0" w:firstLineChars="0"/>
              <w:contextualSpacing/>
              <w:jc w:val="center"/>
              <w:rPr>
                <w:sz w:val="21"/>
                <w:szCs w:val="21"/>
              </w:rPr>
            </w:pPr>
            <w:r>
              <w:rPr>
                <w:rFonts w:hint="eastAsia"/>
                <w:sz w:val="21"/>
                <w:szCs w:val="21"/>
              </w:rPr>
              <w:t>23.8</w:t>
            </w:r>
          </w:p>
        </w:tc>
        <w:tc>
          <w:tcPr>
            <w:tcW w:w="223" w:type="pct"/>
            <w:vAlign w:val="center"/>
          </w:tcPr>
          <w:p w14:paraId="1D3EC398">
            <w:pPr>
              <w:adjustRightInd/>
              <w:snapToGrid/>
              <w:spacing w:line="240" w:lineRule="auto"/>
              <w:ind w:firstLine="0" w:firstLineChars="0"/>
              <w:contextualSpacing/>
              <w:jc w:val="center"/>
              <w:rPr>
                <w:sz w:val="21"/>
                <w:szCs w:val="21"/>
              </w:rPr>
            </w:pPr>
            <w:r>
              <w:rPr>
                <w:rFonts w:hint="eastAsia"/>
                <w:sz w:val="21"/>
                <w:szCs w:val="21"/>
              </w:rPr>
              <w:t>56.3</w:t>
            </w:r>
          </w:p>
        </w:tc>
        <w:tc>
          <w:tcPr>
            <w:tcW w:w="240" w:type="pct"/>
            <w:vAlign w:val="center"/>
          </w:tcPr>
          <w:p w14:paraId="1D3EC399">
            <w:pPr>
              <w:adjustRightInd/>
              <w:snapToGrid/>
              <w:spacing w:line="240" w:lineRule="auto"/>
              <w:ind w:firstLine="0" w:firstLineChars="0"/>
              <w:contextualSpacing/>
              <w:jc w:val="center"/>
              <w:rPr>
                <w:sz w:val="21"/>
                <w:szCs w:val="21"/>
              </w:rPr>
            </w:pPr>
            <w:r>
              <w:rPr>
                <w:rFonts w:hint="eastAsia"/>
                <w:sz w:val="21"/>
                <w:szCs w:val="21"/>
              </w:rPr>
              <w:t>26.1</w:t>
            </w:r>
          </w:p>
        </w:tc>
        <w:tc>
          <w:tcPr>
            <w:tcW w:w="339" w:type="pct"/>
            <w:vAlign w:val="center"/>
          </w:tcPr>
          <w:p w14:paraId="1D3EC39A">
            <w:pPr>
              <w:adjustRightInd/>
              <w:snapToGrid/>
              <w:spacing w:line="240" w:lineRule="auto"/>
              <w:ind w:firstLine="0" w:firstLineChars="0"/>
              <w:contextualSpacing/>
              <w:jc w:val="center"/>
              <w:rPr>
                <w:sz w:val="21"/>
                <w:szCs w:val="21"/>
              </w:rPr>
            </w:pPr>
            <w:r>
              <w:rPr>
                <w:rFonts w:hint="eastAsia"/>
                <w:sz w:val="21"/>
                <w:szCs w:val="21"/>
              </w:rPr>
              <w:t>91.3</w:t>
            </w:r>
          </w:p>
        </w:tc>
        <w:tc>
          <w:tcPr>
            <w:tcW w:w="339" w:type="pct"/>
            <w:vAlign w:val="center"/>
          </w:tcPr>
          <w:p w14:paraId="1D3EC39B">
            <w:pPr>
              <w:adjustRightInd/>
              <w:snapToGrid/>
              <w:spacing w:line="240" w:lineRule="auto"/>
              <w:ind w:firstLine="0" w:firstLineChars="0"/>
              <w:contextualSpacing/>
              <w:jc w:val="center"/>
              <w:rPr>
                <w:sz w:val="21"/>
                <w:szCs w:val="21"/>
              </w:rPr>
            </w:pPr>
            <w:r>
              <w:rPr>
                <w:rFonts w:hint="eastAsia"/>
                <w:sz w:val="21"/>
                <w:szCs w:val="21"/>
              </w:rPr>
              <w:t>60.7</w:t>
            </w:r>
          </w:p>
        </w:tc>
        <w:tc>
          <w:tcPr>
            <w:tcW w:w="209" w:type="pct"/>
            <w:vAlign w:val="center"/>
          </w:tcPr>
          <w:p w14:paraId="1D3EC39C">
            <w:pPr>
              <w:adjustRightInd/>
              <w:snapToGrid/>
              <w:spacing w:line="240" w:lineRule="auto"/>
              <w:ind w:firstLine="0" w:firstLineChars="0"/>
              <w:contextualSpacing/>
              <w:jc w:val="center"/>
              <w:rPr>
                <w:sz w:val="21"/>
                <w:szCs w:val="21"/>
              </w:rPr>
            </w:pPr>
            <w:r>
              <w:rPr>
                <w:rFonts w:hint="eastAsia"/>
                <w:sz w:val="21"/>
                <w:szCs w:val="21"/>
              </w:rPr>
              <w:t>36.2</w:t>
            </w:r>
          </w:p>
        </w:tc>
        <w:tc>
          <w:tcPr>
            <w:tcW w:w="245" w:type="pct"/>
            <w:vAlign w:val="center"/>
          </w:tcPr>
          <w:p w14:paraId="1D3EC39D">
            <w:pPr>
              <w:adjustRightInd/>
              <w:snapToGrid/>
              <w:spacing w:line="240" w:lineRule="auto"/>
              <w:ind w:firstLine="0" w:firstLineChars="0"/>
              <w:contextualSpacing/>
              <w:jc w:val="center"/>
              <w:rPr>
                <w:sz w:val="21"/>
                <w:szCs w:val="21"/>
              </w:rPr>
            </w:pPr>
            <w:r>
              <w:rPr>
                <w:rFonts w:hint="eastAsia"/>
                <w:sz w:val="21"/>
                <w:szCs w:val="21"/>
              </w:rPr>
              <w:t>52.3</w:t>
            </w:r>
          </w:p>
        </w:tc>
        <w:tc>
          <w:tcPr>
            <w:tcW w:w="247" w:type="pct"/>
            <w:vAlign w:val="center"/>
          </w:tcPr>
          <w:p w14:paraId="1D3EC39E">
            <w:pPr>
              <w:adjustRightInd/>
              <w:snapToGrid/>
              <w:spacing w:line="240" w:lineRule="auto"/>
              <w:ind w:firstLine="0" w:firstLineChars="0"/>
              <w:contextualSpacing/>
              <w:jc w:val="center"/>
              <w:rPr>
                <w:sz w:val="21"/>
                <w:szCs w:val="21"/>
              </w:rPr>
            </w:pPr>
            <w:r>
              <w:rPr>
                <w:rFonts w:hint="eastAsia"/>
                <w:sz w:val="21"/>
                <w:szCs w:val="21"/>
              </w:rPr>
              <w:t>0.234</w:t>
            </w:r>
          </w:p>
        </w:tc>
        <w:tc>
          <w:tcPr>
            <w:tcW w:w="287" w:type="pct"/>
            <w:vAlign w:val="center"/>
          </w:tcPr>
          <w:p w14:paraId="1D3EC39F">
            <w:pPr>
              <w:adjustRightInd/>
              <w:snapToGrid/>
              <w:spacing w:line="240" w:lineRule="auto"/>
              <w:ind w:firstLine="0" w:firstLineChars="0"/>
              <w:contextualSpacing/>
              <w:jc w:val="center"/>
              <w:rPr>
                <w:sz w:val="21"/>
                <w:szCs w:val="21"/>
              </w:rPr>
            </w:pPr>
            <w:r>
              <w:rPr>
                <w:rFonts w:hint="eastAsia"/>
                <w:sz w:val="21"/>
                <w:szCs w:val="21"/>
              </w:rPr>
              <w:t>6.5</w:t>
            </w:r>
          </w:p>
        </w:tc>
        <w:tc>
          <w:tcPr>
            <w:tcW w:w="301" w:type="pct"/>
            <w:vAlign w:val="center"/>
          </w:tcPr>
          <w:p w14:paraId="1D3EC3A0">
            <w:pPr>
              <w:adjustRightInd/>
              <w:snapToGrid/>
              <w:spacing w:line="240" w:lineRule="auto"/>
              <w:ind w:firstLine="0" w:firstLineChars="0"/>
              <w:contextualSpacing/>
              <w:jc w:val="center"/>
              <w:rPr>
                <w:sz w:val="21"/>
                <w:szCs w:val="21"/>
                <w:lang w:bidi="ar"/>
              </w:rPr>
            </w:pPr>
            <w:r>
              <w:rPr>
                <w:sz w:val="21"/>
                <w:szCs w:val="21"/>
              </w:rPr>
              <w:t>未检出</w:t>
            </w:r>
          </w:p>
        </w:tc>
        <w:tc>
          <w:tcPr>
            <w:tcW w:w="301" w:type="pct"/>
            <w:vAlign w:val="center"/>
          </w:tcPr>
          <w:p w14:paraId="1D3EC3A1">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3A2">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3A3">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3A4">
            <w:pPr>
              <w:adjustRightInd/>
              <w:snapToGrid/>
              <w:spacing w:line="240" w:lineRule="auto"/>
              <w:ind w:firstLine="0" w:firstLineChars="0"/>
              <w:contextualSpacing/>
              <w:jc w:val="center"/>
              <w:rPr>
                <w:sz w:val="21"/>
                <w:szCs w:val="21"/>
                <w:lang w:bidi="ar"/>
              </w:rPr>
            </w:pPr>
            <w:r>
              <w:rPr>
                <w:sz w:val="21"/>
                <w:szCs w:val="21"/>
              </w:rPr>
              <w:t>未检出</w:t>
            </w:r>
          </w:p>
        </w:tc>
      </w:tr>
      <w:tr w14:paraId="1D3EC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restart"/>
            <w:vAlign w:val="center"/>
          </w:tcPr>
          <w:p w14:paraId="1D3EC3B9">
            <w:pPr>
              <w:adjustRightInd/>
              <w:snapToGrid/>
              <w:spacing w:line="240" w:lineRule="auto"/>
              <w:ind w:firstLine="0" w:firstLineChars="0"/>
              <w:contextualSpacing/>
              <w:jc w:val="center"/>
              <w:rPr>
                <w:sz w:val="21"/>
                <w:szCs w:val="21"/>
                <w:highlight w:val="yellow"/>
              </w:rPr>
            </w:pPr>
            <w:r>
              <w:rPr>
                <w:sz w:val="21"/>
                <w:szCs w:val="21"/>
              </w:rPr>
              <w:t>2#</w:t>
            </w:r>
            <w:r>
              <w:rPr>
                <w:rFonts w:hint="eastAsia"/>
                <w:sz w:val="21"/>
                <w:szCs w:val="21"/>
              </w:rPr>
              <w:t>郭全屯村</w:t>
            </w:r>
          </w:p>
        </w:tc>
        <w:tc>
          <w:tcPr>
            <w:tcW w:w="371" w:type="pct"/>
            <w:vAlign w:val="center"/>
          </w:tcPr>
          <w:p w14:paraId="1D3EC3BA">
            <w:pPr>
              <w:adjustRightInd/>
              <w:snapToGrid/>
              <w:spacing w:line="240" w:lineRule="auto"/>
              <w:ind w:firstLine="0" w:firstLineChars="0"/>
              <w:contextualSpacing/>
              <w:jc w:val="center"/>
              <w:rPr>
                <w:sz w:val="21"/>
                <w:szCs w:val="21"/>
                <w:highlight w:val="yellow"/>
                <w:lang w:bidi="ar"/>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356" w:type="pct"/>
            <w:vAlign w:val="center"/>
          </w:tcPr>
          <w:p w14:paraId="1D3EC3BB">
            <w:pPr>
              <w:adjustRightInd/>
              <w:snapToGrid/>
              <w:spacing w:line="240" w:lineRule="auto"/>
              <w:ind w:firstLine="0" w:firstLineChars="0"/>
              <w:contextualSpacing/>
              <w:jc w:val="center"/>
              <w:rPr>
                <w:sz w:val="21"/>
                <w:szCs w:val="21"/>
                <w:lang w:bidi="ar"/>
              </w:rPr>
            </w:pPr>
            <w:r>
              <w:rPr>
                <w:sz w:val="21"/>
                <w:szCs w:val="21"/>
                <w:lang w:bidi="ar"/>
              </w:rPr>
              <w:t>7.</w:t>
            </w:r>
            <w:r>
              <w:rPr>
                <w:rFonts w:hint="eastAsia"/>
                <w:sz w:val="21"/>
                <w:szCs w:val="21"/>
                <w:lang w:bidi="ar"/>
              </w:rPr>
              <w:t>3</w:t>
            </w:r>
          </w:p>
        </w:tc>
        <w:tc>
          <w:tcPr>
            <w:tcW w:w="168" w:type="pct"/>
            <w:vAlign w:val="center"/>
          </w:tcPr>
          <w:p w14:paraId="1D3EC3BC">
            <w:pPr>
              <w:adjustRightInd/>
              <w:snapToGrid/>
              <w:spacing w:line="240" w:lineRule="auto"/>
              <w:ind w:firstLine="0" w:firstLineChars="0"/>
              <w:contextualSpacing/>
              <w:jc w:val="center"/>
              <w:rPr>
                <w:sz w:val="21"/>
                <w:szCs w:val="21"/>
              </w:rPr>
            </w:pPr>
            <w:r>
              <w:rPr>
                <w:rFonts w:hint="eastAsia"/>
                <w:sz w:val="21"/>
                <w:szCs w:val="21"/>
              </w:rPr>
              <w:t>14.6</w:t>
            </w:r>
          </w:p>
        </w:tc>
        <w:tc>
          <w:tcPr>
            <w:tcW w:w="214" w:type="pct"/>
            <w:vAlign w:val="center"/>
          </w:tcPr>
          <w:p w14:paraId="1D3EC3BD">
            <w:pPr>
              <w:adjustRightInd/>
              <w:snapToGrid/>
              <w:spacing w:line="240" w:lineRule="auto"/>
              <w:ind w:firstLine="0" w:firstLineChars="0"/>
              <w:contextualSpacing/>
              <w:jc w:val="center"/>
              <w:rPr>
                <w:sz w:val="21"/>
                <w:szCs w:val="21"/>
              </w:rPr>
            </w:pPr>
            <w:r>
              <w:rPr>
                <w:rFonts w:hint="eastAsia"/>
                <w:sz w:val="21"/>
                <w:szCs w:val="21"/>
              </w:rPr>
              <w:t>18.2</w:t>
            </w:r>
          </w:p>
        </w:tc>
        <w:tc>
          <w:tcPr>
            <w:tcW w:w="223" w:type="pct"/>
            <w:vAlign w:val="center"/>
          </w:tcPr>
          <w:p w14:paraId="1D3EC3BE">
            <w:pPr>
              <w:adjustRightInd/>
              <w:snapToGrid/>
              <w:spacing w:line="240" w:lineRule="auto"/>
              <w:ind w:firstLine="0" w:firstLineChars="0"/>
              <w:contextualSpacing/>
              <w:jc w:val="center"/>
              <w:rPr>
                <w:sz w:val="21"/>
                <w:szCs w:val="21"/>
              </w:rPr>
            </w:pPr>
            <w:r>
              <w:rPr>
                <w:rFonts w:hint="eastAsia"/>
                <w:sz w:val="21"/>
                <w:szCs w:val="21"/>
              </w:rPr>
              <w:t>53.4</w:t>
            </w:r>
          </w:p>
        </w:tc>
        <w:tc>
          <w:tcPr>
            <w:tcW w:w="240" w:type="pct"/>
            <w:vAlign w:val="center"/>
          </w:tcPr>
          <w:p w14:paraId="1D3EC3BF">
            <w:pPr>
              <w:adjustRightInd/>
              <w:snapToGrid/>
              <w:spacing w:line="240" w:lineRule="auto"/>
              <w:ind w:firstLine="0" w:firstLineChars="0"/>
              <w:contextualSpacing/>
              <w:jc w:val="center"/>
              <w:rPr>
                <w:sz w:val="21"/>
                <w:szCs w:val="21"/>
              </w:rPr>
            </w:pPr>
            <w:r>
              <w:rPr>
                <w:rFonts w:hint="eastAsia"/>
                <w:sz w:val="21"/>
                <w:szCs w:val="21"/>
              </w:rPr>
              <w:t>34.5</w:t>
            </w:r>
          </w:p>
        </w:tc>
        <w:tc>
          <w:tcPr>
            <w:tcW w:w="339" w:type="pct"/>
            <w:vAlign w:val="center"/>
          </w:tcPr>
          <w:p w14:paraId="1D3EC3C0">
            <w:pPr>
              <w:adjustRightInd/>
              <w:snapToGrid/>
              <w:spacing w:line="240" w:lineRule="auto"/>
              <w:ind w:firstLine="0" w:firstLineChars="0"/>
              <w:contextualSpacing/>
              <w:jc w:val="center"/>
              <w:rPr>
                <w:sz w:val="21"/>
                <w:szCs w:val="21"/>
              </w:rPr>
            </w:pPr>
            <w:r>
              <w:rPr>
                <w:rFonts w:hint="eastAsia"/>
                <w:sz w:val="21"/>
                <w:szCs w:val="21"/>
              </w:rPr>
              <w:t>89.6</w:t>
            </w:r>
          </w:p>
        </w:tc>
        <w:tc>
          <w:tcPr>
            <w:tcW w:w="339" w:type="pct"/>
            <w:vAlign w:val="center"/>
          </w:tcPr>
          <w:p w14:paraId="1D3EC3C1">
            <w:pPr>
              <w:adjustRightInd/>
              <w:snapToGrid/>
              <w:spacing w:line="240" w:lineRule="auto"/>
              <w:ind w:firstLine="0" w:firstLineChars="0"/>
              <w:contextualSpacing/>
              <w:jc w:val="center"/>
              <w:rPr>
                <w:sz w:val="21"/>
                <w:szCs w:val="21"/>
              </w:rPr>
            </w:pPr>
            <w:r>
              <w:rPr>
                <w:rFonts w:hint="eastAsia"/>
                <w:sz w:val="21"/>
                <w:szCs w:val="21"/>
              </w:rPr>
              <w:t>68.8</w:t>
            </w:r>
          </w:p>
        </w:tc>
        <w:tc>
          <w:tcPr>
            <w:tcW w:w="209" w:type="pct"/>
            <w:vAlign w:val="center"/>
          </w:tcPr>
          <w:p w14:paraId="1D3EC3C2">
            <w:pPr>
              <w:adjustRightInd/>
              <w:snapToGrid/>
              <w:spacing w:line="240" w:lineRule="auto"/>
              <w:ind w:firstLine="0" w:firstLineChars="0"/>
              <w:contextualSpacing/>
              <w:jc w:val="center"/>
              <w:rPr>
                <w:sz w:val="21"/>
                <w:szCs w:val="21"/>
              </w:rPr>
            </w:pPr>
            <w:r>
              <w:rPr>
                <w:rFonts w:hint="eastAsia"/>
                <w:sz w:val="21"/>
                <w:szCs w:val="21"/>
              </w:rPr>
              <w:t>37.2</w:t>
            </w:r>
          </w:p>
        </w:tc>
        <w:tc>
          <w:tcPr>
            <w:tcW w:w="245" w:type="pct"/>
            <w:vAlign w:val="center"/>
          </w:tcPr>
          <w:p w14:paraId="1D3EC3C3">
            <w:pPr>
              <w:adjustRightInd/>
              <w:snapToGrid/>
              <w:spacing w:line="240" w:lineRule="auto"/>
              <w:ind w:firstLine="0" w:firstLineChars="0"/>
              <w:contextualSpacing/>
              <w:jc w:val="center"/>
              <w:rPr>
                <w:sz w:val="21"/>
                <w:szCs w:val="21"/>
              </w:rPr>
            </w:pPr>
            <w:r>
              <w:rPr>
                <w:rFonts w:hint="eastAsia"/>
                <w:sz w:val="21"/>
                <w:szCs w:val="21"/>
              </w:rPr>
              <w:t>54.6</w:t>
            </w:r>
          </w:p>
        </w:tc>
        <w:tc>
          <w:tcPr>
            <w:tcW w:w="247" w:type="pct"/>
            <w:vAlign w:val="center"/>
          </w:tcPr>
          <w:p w14:paraId="1D3EC3C4">
            <w:pPr>
              <w:adjustRightInd/>
              <w:snapToGrid/>
              <w:spacing w:line="240" w:lineRule="auto"/>
              <w:ind w:firstLine="0" w:firstLineChars="0"/>
              <w:contextualSpacing/>
              <w:jc w:val="center"/>
              <w:rPr>
                <w:sz w:val="21"/>
                <w:szCs w:val="21"/>
              </w:rPr>
            </w:pPr>
            <w:r>
              <w:rPr>
                <w:rFonts w:hint="eastAsia"/>
                <w:sz w:val="21"/>
                <w:szCs w:val="21"/>
              </w:rPr>
              <w:t>0.213</w:t>
            </w:r>
          </w:p>
        </w:tc>
        <w:tc>
          <w:tcPr>
            <w:tcW w:w="287" w:type="pct"/>
            <w:vAlign w:val="center"/>
          </w:tcPr>
          <w:p w14:paraId="1D3EC3C5">
            <w:pPr>
              <w:adjustRightInd/>
              <w:snapToGrid/>
              <w:spacing w:line="240" w:lineRule="auto"/>
              <w:ind w:firstLine="0" w:firstLineChars="0"/>
              <w:contextualSpacing/>
              <w:jc w:val="center"/>
              <w:rPr>
                <w:sz w:val="21"/>
                <w:szCs w:val="21"/>
              </w:rPr>
            </w:pPr>
            <w:r>
              <w:rPr>
                <w:rFonts w:hint="eastAsia"/>
                <w:sz w:val="21"/>
                <w:szCs w:val="21"/>
              </w:rPr>
              <w:t>7.3</w:t>
            </w:r>
          </w:p>
        </w:tc>
        <w:tc>
          <w:tcPr>
            <w:tcW w:w="301" w:type="pct"/>
            <w:vAlign w:val="center"/>
          </w:tcPr>
          <w:p w14:paraId="1D3EC3C6">
            <w:pPr>
              <w:adjustRightInd/>
              <w:snapToGrid/>
              <w:spacing w:line="240" w:lineRule="auto"/>
              <w:ind w:firstLine="0" w:firstLineChars="0"/>
              <w:contextualSpacing/>
              <w:jc w:val="center"/>
              <w:rPr>
                <w:sz w:val="21"/>
                <w:szCs w:val="21"/>
                <w:lang w:bidi="ar"/>
              </w:rPr>
            </w:pPr>
            <w:r>
              <w:rPr>
                <w:sz w:val="21"/>
                <w:szCs w:val="21"/>
              </w:rPr>
              <w:t>未检出</w:t>
            </w:r>
          </w:p>
        </w:tc>
        <w:tc>
          <w:tcPr>
            <w:tcW w:w="301" w:type="pct"/>
            <w:vAlign w:val="center"/>
          </w:tcPr>
          <w:p w14:paraId="1D3EC3C7">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3C8">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3C9">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3CA">
            <w:pPr>
              <w:adjustRightInd/>
              <w:snapToGrid/>
              <w:spacing w:line="240" w:lineRule="auto"/>
              <w:ind w:firstLine="0" w:firstLineChars="0"/>
              <w:contextualSpacing/>
              <w:jc w:val="center"/>
              <w:rPr>
                <w:sz w:val="21"/>
                <w:szCs w:val="21"/>
              </w:rPr>
            </w:pPr>
            <w:r>
              <w:rPr>
                <w:sz w:val="21"/>
                <w:szCs w:val="21"/>
              </w:rPr>
              <w:t>未检出</w:t>
            </w:r>
          </w:p>
        </w:tc>
      </w:tr>
      <w:tr w14:paraId="1D3EC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continue"/>
            <w:vAlign w:val="center"/>
          </w:tcPr>
          <w:p w14:paraId="1D3EC3DF">
            <w:pPr>
              <w:adjustRightInd/>
              <w:snapToGrid/>
              <w:spacing w:line="240" w:lineRule="auto"/>
              <w:ind w:firstLine="0" w:firstLineChars="0"/>
              <w:contextualSpacing/>
              <w:jc w:val="center"/>
              <w:rPr>
                <w:sz w:val="21"/>
                <w:szCs w:val="21"/>
                <w:highlight w:val="yellow"/>
              </w:rPr>
            </w:pPr>
          </w:p>
        </w:tc>
        <w:tc>
          <w:tcPr>
            <w:tcW w:w="371" w:type="pct"/>
            <w:vAlign w:val="center"/>
          </w:tcPr>
          <w:p w14:paraId="1D3EC3E0">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356" w:type="pct"/>
            <w:vAlign w:val="center"/>
          </w:tcPr>
          <w:p w14:paraId="1D3EC3E1">
            <w:pPr>
              <w:adjustRightInd/>
              <w:snapToGrid/>
              <w:spacing w:line="240" w:lineRule="auto"/>
              <w:ind w:firstLine="0" w:firstLineChars="0"/>
              <w:contextualSpacing/>
              <w:jc w:val="center"/>
              <w:rPr>
                <w:sz w:val="21"/>
                <w:szCs w:val="21"/>
                <w:lang w:bidi="ar"/>
              </w:rPr>
            </w:pPr>
            <w:r>
              <w:rPr>
                <w:rFonts w:hint="eastAsia"/>
                <w:sz w:val="21"/>
                <w:szCs w:val="21"/>
                <w:lang w:bidi="ar"/>
              </w:rPr>
              <w:t>7.4</w:t>
            </w:r>
          </w:p>
        </w:tc>
        <w:tc>
          <w:tcPr>
            <w:tcW w:w="168" w:type="pct"/>
            <w:vAlign w:val="center"/>
          </w:tcPr>
          <w:p w14:paraId="1D3EC3E2">
            <w:pPr>
              <w:adjustRightInd/>
              <w:snapToGrid/>
              <w:spacing w:line="240" w:lineRule="auto"/>
              <w:ind w:firstLine="0" w:firstLineChars="0"/>
              <w:contextualSpacing/>
              <w:jc w:val="center"/>
              <w:rPr>
                <w:sz w:val="21"/>
                <w:szCs w:val="21"/>
              </w:rPr>
            </w:pPr>
            <w:r>
              <w:rPr>
                <w:rFonts w:hint="eastAsia"/>
                <w:sz w:val="21"/>
                <w:szCs w:val="21"/>
              </w:rPr>
              <w:t>14.2</w:t>
            </w:r>
          </w:p>
        </w:tc>
        <w:tc>
          <w:tcPr>
            <w:tcW w:w="214" w:type="pct"/>
            <w:vAlign w:val="center"/>
          </w:tcPr>
          <w:p w14:paraId="1D3EC3E3">
            <w:pPr>
              <w:adjustRightInd/>
              <w:snapToGrid/>
              <w:spacing w:line="240" w:lineRule="auto"/>
              <w:ind w:firstLine="0" w:firstLineChars="0"/>
              <w:contextualSpacing/>
              <w:jc w:val="center"/>
              <w:rPr>
                <w:sz w:val="21"/>
                <w:szCs w:val="21"/>
              </w:rPr>
            </w:pPr>
            <w:r>
              <w:rPr>
                <w:rFonts w:hint="eastAsia"/>
                <w:sz w:val="21"/>
                <w:szCs w:val="21"/>
              </w:rPr>
              <w:t>19.6</w:t>
            </w:r>
          </w:p>
        </w:tc>
        <w:tc>
          <w:tcPr>
            <w:tcW w:w="223" w:type="pct"/>
            <w:vAlign w:val="center"/>
          </w:tcPr>
          <w:p w14:paraId="1D3EC3E4">
            <w:pPr>
              <w:adjustRightInd/>
              <w:snapToGrid/>
              <w:spacing w:line="240" w:lineRule="auto"/>
              <w:ind w:firstLine="0" w:firstLineChars="0"/>
              <w:contextualSpacing/>
              <w:jc w:val="center"/>
              <w:rPr>
                <w:sz w:val="21"/>
                <w:szCs w:val="21"/>
              </w:rPr>
            </w:pPr>
            <w:r>
              <w:rPr>
                <w:rFonts w:hint="eastAsia"/>
                <w:sz w:val="21"/>
                <w:szCs w:val="21"/>
              </w:rPr>
              <w:t>54.2</w:t>
            </w:r>
          </w:p>
        </w:tc>
        <w:tc>
          <w:tcPr>
            <w:tcW w:w="240" w:type="pct"/>
            <w:vAlign w:val="center"/>
          </w:tcPr>
          <w:p w14:paraId="1D3EC3E5">
            <w:pPr>
              <w:adjustRightInd/>
              <w:snapToGrid/>
              <w:spacing w:line="240" w:lineRule="auto"/>
              <w:ind w:firstLine="0" w:firstLineChars="0"/>
              <w:contextualSpacing/>
              <w:jc w:val="center"/>
              <w:rPr>
                <w:sz w:val="21"/>
                <w:szCs w:val="21"/>
              </w:rPr>
            </w:pPr>
            <w:r>
              <w:rPr>
                <w:rFonts w:hint="eastAsia"/>
                <w:sz w:val="21"/>
                <w:szCs w:val="21"/>
              </w:rPr>
              <w:t>23.5</w:t>
            </w:r>
          </w:p>
        </w:tc>
        <w:tc>
          <w:tcPr>
            <w:tcW w:w="339" w:type="pct"/>
            <w:vAlign w:val="center"/>
          </w:tcPr>
          <w:p w14:paraId="1D3EC3E6">
            <w:pPr>
              <w:adjustRightInd/>
              <w:snapToGrid/>
              <w:spacing w:line="240" w:lineRule="auto"/>
              <w:ind w:firstLine="0" w:firstLineChars="0"/>
              <w:contextualSpacing/>
              <w:jc w:val="center"/>
              <w:rPr>
                <w:sz w:val="21"/>
                <w:szCs w:val="21"/>
              </w:rPr>
            </w:pPr>
            <w:r>
              <w:rPr>
                <w:rFonts w:hint="eastAsia"/>
                <w:sz w:val="21"/>
                <w:szCs w:val="21"/>
              </w:rPr>
              <w:t>86.9</w:t>
            </w:r>
          </w:p>
        </w:tc>
        <w:tc>
          <w:tcPr>
            <w:tcW w:w="339" w:type="pct"/>
            <w:vAlign w:val="center"/>
          </w:tcPr>
          <w:p w14:paraId="1D3EC3E7">
            <w:pPr>
              <w:adjustRightInd/>
              <w:snapToGrid/>
              <w:spacing w:line="240" w:lineRule="auto"/>
              <w:ind w:firstLine="0" w:firstLineChars="0"/>
              <w:contextualSpacing/>
              <w:jc w:val="center"/>
              <w:rPr>
                <w:sz w:val="21"/>
                <w:szCs w:val="21"/>
                <w:lang w:bidi="ar"/>
              </w:rPr>
            </w:pPr>
            <w:r>
              <w:rPr>
                <w:rFonts w:hint="eastAsia"/>
                <w:sz w:val="21"/>
                <w:szCs w:val="21"/>
                <w:lang w:bidi="ar"/>
              </w:rPr>
              <w:t>65.1</w:t>
            </w:r>
          </w:p>
        </w:tc>
        <w:tc>
          <w:tcPr>
            <w:tcW w:w="209" w:type="pct"/>
            <w:vAlign w:val="center"/>
          </w:tcPr>
          <w:p w14:paraId="1D3EC3E8">
            <w:pPr>
              <w:adjustRightInd/>
              <w:snapToGrid/>
              <w:spacing w:line="240" w:lineRule="auto"/>
              <w:ind w:firstLine="0" w:firstLineChars="0"/>
              <w:contextualSpacing/>
              <w:jc w:val="center"/>
              <w:rPr>
                <w:sz w:val="21"/>
                <w:szCs w:val="21"/>
              </w:rPr>
            </w:pPr>
            <w:r>
              <w:rPr>
                <w:rFonts w:hint="eastAsia"/>
                <w:sz w:val="21"/>
                <w:szCs w:val="21"/>
              </w:rPr>
              <w:t>35.3</w:t>
            </w:r>
          </w:p>
        </w:tc>
        <w:tc>
          <w:tcPr>
            <w:tcW w:w="245" w:type="pct"/>
            <w:vAlign w:val="center"/>
          </w:tcPr>
          <w:p w14:paraId="1D3EC3E9">
            <w:pPr>
              <w:adjustRightInd/>
              <w:snapToGrid/>
              <w:spacing w:line="240" w:lineRule="auto"/>
              <w:ind w:firstLine="0" w:firstLineChars="0"/>
              <w:contextualSpacing/>
              <w:jc w:val="center"/>
              <w:rPr>
                <w:sz w:val="21"/>
                <w:szCs w:val="21"/>
              </w:rPr>
            </w:pPr>
            <w:r>
              <w:rPr>
                <w:rFonts w:hint="eastAsia"/>
                <w:sz w:val="21"/>
                <w:szCs w:val="21"/>
              </w:rPr>
              <w:t>61.3</w:t>
            </w:r>
          </w:p>
        </w:tc>
        <w:tc>
          <w:tcPr>
            <w:tcW w:w="247" w:type="pct"/>
            <w:vAlign w:val="center"/>
          </w:tcPr>
          <w:p w14:paraId="1D3EC3EA">
            <w:pPr>
              <w:adjustRightInd/>
              <w:snapToGrid/>
              <w:spacing w:line="240" w:lineRule="auto"/>
              <w:ind w:firstLine="0" w:firstLineChars="0"/>
              <w:contextualSpacing/>
              <w:jc w:val="center"/>
              <w:rPr>
                <w:sz w:val="21"/>
                <w:szCs w:val="21"/>
              </w:rPr>
            </w:pPr>
            <w:r>
              <w:rPr>
                <w:rFonts w:hint="eastAsia"/>
                <w:sz w:val="21"/>
                <w:szCs w:val="21"/>
              </w:rPr>
              <w:t>0.281</w:t>
            </w:r>
          </w:p>
        </w:tc>
        <w:tc>
          <w:tcPr>
            <w:tcW w:w="287" w:type="pct"/>
            <w:vAlign w:val="center"/>
          </w:tcPr>
          <w:p w14:paraId="1D3EC3EB">
            <w:pPr>
              <w:adjustRightInd/>
              <w:snapToGrid/>
              <w:spacing w:line="240" w:lineRule="auto"/>
              <w:ind w:firstLine="0" w:firstLineChars="0"/>
              <w:contextualSpacing/>
              <w:jc w:val="center"/>
              <w:rPr>
                <w:sz w:val="21"/>
                <w:szCs w:val="21"/>
              </w:rPr>
            </w:pPr>
            <w:r>
              <w:rPr>
                <w:rFonts w:hint="eastAsia"/>
                <w:sz w:val="21"/>
                <w:szCs w:val="21"/>
              </w:rPr>
              <w:t>7.3</w:t>
            </w:r>
          </w:p>
        </w:tc>
        <w:tc>
          <w:tcPr>
            <w:tcW w:w="301" w:type="pct"/>
            <w:vAlign w:val="center"/>
          </w:tcPr>
          <w:p w14:paraId="1D3EC3EC">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3ED">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3EE">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3EF">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3F0">
            <w:pPr>
              <w:adjustRightInd/>
              <w:snapToGrid/>
              <w:spacing w:line="240" w:lineRule="auto"/>
              <w:ind w:firstLine="0" w:firstLineChars="0"/>
              <w:contextualSpacing/>
              <w:jc w:val="center"/>
              <w:rPr>
                <w:sz w:val="21"/>
                <w:szCs w:val="21"/>
              </w:rPr>
            </w:pPr>
            <w:r>
              <w:rPr>
                <w:sz w:val="21"/>
                <w:szCs w:val="21"/>
              </w:rPr>
              <w:t>未检出</w:t>
            </w:r>
          </w:p>
        </w:tc>
      </w:tr>
      <w:tr w14:paraId="1D3EC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restart"/>
            <w:vAlign w:val="center"/>
          </w:tcPr>
          <w:p w14:paraId="1D3EC405">
            <w:pPr>
              <w:adjustRightInd/>
              <w:snapToGrid/>
              <w:spacing w:line="240" w:lineRule="auto"/>
              <w:ind w:firstLine="0" w:firstLineChars="0"/>
              <w:contextualSpacing/>
              <w:jc w:val="center"/>
              <w:rPr>
                <w:sz w:val="21"/>
                <w:szCs w:val="21"/>
                <w:highlight w:val="yellow"/>
              </w:rPr>
            </w:pPr>
            <w:r>
              <w:rPr>
                <w:sz w:val="21"/>
                <w:szCs w:val="21"/>
              </w:rPr>
              <w:t>3#</w:t>
            </w:r>
            <w:r>
              <w:rPr>
                <w:rFonts w:hint="eastAsia"/>
                <w:sz w:val="21"/>
                <w:szCs w:val="21"/>
              </w:rPr>
              <w:t>仁里屯村</w:t>
            </w:r>
          </w:p>
        </w:tc>
        <w:tc>
          <w:tcPr>
            <w:tcW w:w="371" w:type="pct"/>
            <w:vAlign w:val="center"/>
          </w:tcPr>
          <w:p w14:paraId="1D3EC406">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356" w:type="pct"/>
            <w:vAlign w:val="center"/>
          </w:tcPr>
          <w:p w14:paraId="1D3EC407">
            <w:pPr>
              <w:adjustRightInd/>
              <w:snapToGrid/>
              <w:spacing w:line="240" w:lineRule="auto"/>
              <w:ind w:firstLine="0" w:firstLineChars="0"/>
              <w:contextualSpacing/>
              <w:jc w:val="center"/>
              <w:rPr>
                <w:sz w:val="21"/>
                <w:szCs w:val="21"/>
                <w:lang w:bidi="ar"/>
              </w:rPr>
            </w:pPr>
            <w:r>
              <w:rPr>
                <w:rFonts w:hint="eastAsia"/>
                <w:sz w:val="21"/>
                <w:szCs w:val="21"/>
                <w:lang w:bidi="ar"/>
              </w:rPr>
              <w:t>7.4</w:t>
            </w:r>
          </w:p>
        </w:tc>
        <w:tc>
          <w:tcPr>
            <w:tcW w:w="168" w:type="pct"/>
            <w:vAlign w:val="center"/>
          </w:tcPr>
          <w:p w14:paraId="1D3EC408">
            <w:pPr>
              <w:adjustRightInd/>
              <w:snapToGrid/>
              <w:spacing w:line="240" w:lineRule="auto"/>
              <w:ind w:firstLine="0" w:firstLineChars="0"/>
              <w:contextualSpacing/>
              <w:jc w:val="center"/>
              <w:rPr>
                <w:sz w:val="21"/>
                <w:szCs w:val="21"/>
              </w:rPr>
            </w:pPr>
            <w:r>
              <w:rPr>
                <w:rFonts w:hint="eastAsia"/>
                <w:sz w:val="21"/>
                <w:szCs w:val="21"/>
              </w:rPr>
              <w:t>15.4</w:t>
            </w:r>
          </w:p>
        </w:tc>
        <w:tc>
          <w:tcPr>
            <w:tcW w:w="214" w:type="pct"/>
            <w:vAlign w:val="center"/>
          </w:tcPr>
          <w:p w14:paraId="1D3EC409">
            <w:pPr>
              <w:adjustRightInd/>
              <w:snapToGrid/>
              <w:spacing w:line="240" w:lineRule="auto"/>
              <w:ind w:firstLine="0" w:firstLineChars="0"/>
              <w:contextualSpacing/>
              <w:jc w:val="center"/>
              <w:rPr>
                <w:sz w:val="21"/>
                <w:szCs w:val="21"/>
              </w:rPr>
            </w:pPr>
            <w:r>
              <w:rPr>
                <w:rFonts w:hint="eastAsia"/>
                <w:sz w:val="21"/>
                <w:szCs w:val="21"/>
              </w:rPr>
              <w:t>16.1</w:t>
            </w:r>
          </w:p>
        </w:tc>
        <w:tc>
          <w:tcPr>
            <w:tcW w:w="223" w:type="pct"/>
            <w:vAlign w:val="center"/>
          </w:tcPr>
          <w:p w14:paraId="1D3EC40A">
            <w:pPr>
              <w:adjustRightInd/>
              <w:snapToGrid/>
              <w:spacing w:line="240" w:lineRule="auto"/>
              <w:ind w:firstLine="0" w:firstLineChars="0"/>
              <w:contextualSpacing/>
              <w:jc w:val="center"/>
              <w:rPr>
                <w:sz w:val="21"/>
                <w:szCs w:val="21"/>
              </w:rPr>
            </w:pPr>
            <w:r>
              <w:rPr>
                <w:rFonts w:hint="eastAsia"/>
                <w:sz w:val="21"/>
                <w:szCs w:val="21"/>
              </w:rPr>
              <w:t>57.4</w:t>
            </w:r>
          </w:p>
        </w:tc>
        <w:tc>
          <w:tcPr>
            <w:tcW w:w="240" w:type="pct"/>
            <w:vAlign w:val="center"/>
          </w:tcPr>
          <w:p w14:paraId="1D3EC40B">
            <w:pPr>
              <w:adjustRightInd/>
              <w:snapToGrid/>
              <w:spacing w:line="240" w:lineRule="auto"/>
              <w:ind w:firstLine="0" w:firstLineChars="0"/>
              <w:contextualSpacing/>
              <w:jc w:val="center"/>
              <w:rPr>
                <w:sz w:val="21"/>
                <w:szCs w:val="21"/>
              </w:rPr>
            </w:pPr>
            <w:r>
              <w:rPr>
                <w:rFonts w:hint="eastAsia"/>
                <w:sz w:val="21"/>
                <w:szCs w:val="21"/>
              </w:rPr>
              <w:t>31.2</w:t>
            </w:r>
          </w:p>
        </w:tc>
        <w:tc>
          <w:tcPr>
            <w:tcW w:w="339" w:type="pct"/>
            <w:vAlign w:val="center"/>
          </w:tcPr>
          <w:p w14:paraId="1D3EC40C">
            <w:pPr>
              <w:adjustRightInd/>
              <w:snapToGrid/>
              <w:spacing w:line="240" w:lineRule="auto"/>
              <w:ind w:firstLine="0" w:firstLineChars="0"/>
              <w:contextualSpacing/>
              <w:jc w:val="center"/>
              <w:rPr>
                <w:sz w:val="21"/>
                <w:szCs w:val="21"/>
              </w:rPr>
            </w:pPr>
            <w:r>
              <w:rPr>
                <w:rFonts w:hint="eastAsia"/>
                <w:sz w:val="21"/>
                <w:szCs w:val="21"/>
              </w:rPr>
              <w:t>106.3</w:t>
            </w:r>
          </w:p>
        </w:tc>
        <w:tc>
          <w:tcPr>
            <w:tcW w:w="339" w:type="pct"/>
            <w:vAlign w:val="center"/>
          </w:tcPr>
          <w:p w14:paraId="1D3EC40D">
            <w:pPr>
              <w:adjustRightInd/>
              <w:snapToGrid/>
              <w:spacing w:line="240" w:lineRule="auto"/>
              <w:ind w:firstLine="0" w:firstLineChars="0"/>
              <w:contextualSpacing/>
              <w:jc w:val="center"/>
              <w:rPr>
                <w:sz w:val="21"/>
                <w:szCs w:val="21"/>
                <w:lang w:bidi="ar"/>
              </w:rPr>
            </w:pPr>
            <w:r>
              <w:rPr>
                <w:rFonts w:hint="eastAsia"/>
                <w:sz w:val="21"/>
                <w:szCs w:val="21"/>
                <w:lang w:bidi="ar"/>
              </w:rPr>
              <w:t>76.4</w:t>
            </w:r>
          </w:p>
        </w:tc>
        <w:tc>
          <w:tcPr>
            <w:tcW w:w="209" w:type="pct"/>
            <w:vAlign w:val="center"/>
          </w:tcPr>
          <w:p w14:paraId="1D3EC40E">
            <w:pPr>
              <w:adjustRightInd/>
              <w:snapToGrid/>
              <w:spacing w:line="240" w:lineRule="auto"/>
              <w:ind w:firstLine="0" w:firstLineChars="0"/>
              <w:contextualSpacing/>
              <w:jc w:val="center"/>
              <w:rPr>
                <w:sz w:val="21"/>
                <w:szCs w:val="21"/>
              </w:rPr>
            </w:pPr>
            <w:r>
              <w:rPr>
                <w:rFonts w:hint="eastAsia"/>
                <w:sz w:val="21"/>
                <w:szCs w:val="21"/>
              </w:rPr>
              <w:t>39.5</w:t>
            </w:r>
          </w:p>
        </w:tc>
        <w:tc>
          <w:tcPr>
            <w:tcW w:w="245" w:type="pct"/>
            <w:vAlign w:val="center"/>
          </w:tcPr>
          <w:p w14:paraId="1D3EC40F">
            <w:pPr>
              <w:adjustRightInd/>
              <w:snapToGrid/>
              <w:spacing w:line="240" w:lineRule="auto"/>
              <w:ind w:firstLine="0" w:firstLineChars="0"/>
              <w:contextualSpacing/>
              <w:jc w:val="center"/>
              <w:rPr>
                <w:sz w:val="21"/>
                <w:szCs w:val="21"/>
              </w:rPr>
            </w:pPr>
            <w:r>
              <w:rPr>
                <w:rFonts w:hint="eastAsia"/>
                <w:sz w:val="21"/>
                <w:szCs w:val="21"/>
              </w:rPr>
              <w:t>58.7</w:t>
            </w:r>
          </w:p>
        </w:tc>
        <w:tc>
          <w:tcPr>
            <w:tcW w:w="247" w:type="pct"/>
            <w:vAlign w:val="center"/>
          </w:tcPr>
          <w:p w14:paraId="1D3EC410">
            <w:pPr>
              <w:adjustRightInd/>
              <w:snapToGrid/>
              <w:spacing w:line="240" w:lineRule="auto"/>
              <w:ind w:firstLine="0" w:firstLineChars="0"/>
              <w:contextualSpacing/>
              <w:jc w:val="center"/>
              <w:rPr>
                <w:sz w:val="21"/>
                <w:szCs w:val="21"/>
              </w:rPr>
            </w:pPr>
            <w:r>
              <w:rPr>
                <w:rFonts w:hint="eastAsia"/>
                <w:sz w:val="21"/>
                <w:szCs w:val="21"/>
              </w:rPr>
              <w:t>0.205</w:t>
            </w:r>
          </w:p>
        </w:tc>
        <w:tc>
          <w:tcPr>
            <w:tcW w:w="287" w:type="pct"/>
            <w:vAlign w:val="center"/>
          </w:tcPr>
          <w:p w14:paraId="1D3EC411">
            <w:pPr>
              <w:adjustRightInd/>
              <w:snapToGrid/>
              <w:spacing w:line="240" w:lineRule="auto"/>
              <w:ind w:firstLine="0" w:firstLineChars="0"/>
              <w:contextualSpacing/>
              <w:jc w:val="center"/>
              <w:rPr>
                <w:sz w:val="21"/>
                <w:szCs w:val="21"/>
              </w:rPr>
            </w:pPr>
            <w:r>
              <w:rPr>
                <w:rFonts w:hint="eastAsia"/>
                <w:sz w:val="21"/>
                <w:szCs w:val="21"/>
              </w:rPr>
              <w:t>7.6</w:t>
            </w:r>
          </w:p>
        </w:tc>
        <w:tc>
          <w:tcPr>
            <w:tcW w:w="301" w:type="pct"/>
            <w:vAlign w:val="center"/>
          </w:tcPr>
          <w:p w14:paraId="1D3EC412">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413">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414">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415">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416">
            <w:pPr>
              <w:adjustRightInd/>
              <w:snapToGrid/>
              <w:spacing w:line="240" w:lineRule="auto"/>
              <w:ind w:firstLine="0" w:firstLineChars="0"/>
              <w:contextualSpacing/>
              <w:jc w:val="center"/>
              <w:rPr>
                <w:sz w:val="21"/>
                <w:szCs w:val="21"/>
              </w:rPr>
            </w:pPr>
            <w:r>
              <w:rPr>
                <w:sz w:val="21"/>
                <w:szCs w:val="21"/>
              </w:rPr>
              <w:t>未检出</w:t>
            </w:r>
          </w:p>
        </w:tc>
      </w:tr>
      <w:tr w14:paraId="1D3EC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continue"/>
            <w:vAlign w:val="center"/>
          </w:tcPr>
          <w:p w14:paraId="1D3EC42B">
            <w:pPr>
              <w:adjustRightInd/>
              <w:snapToGrid/>
              <w:spacing w:line="240" w:lineRule="auto"/>
              <w:ind w:firstLine="0" w:firstLineChars="0"/>
              <w:contextualSpacing/>
              <w:jc w:val="center"/>
              <w:rPr>
                <w:sz w:val="21"/>
                <w:szCs w:val="21"/>
                <w:highlight w:val="yellow"/>
              </w:rPr>
            </w:pPr>
          </w:p>
        </w:tc>
        <w:tc>
          <w:tcPr>
            <w:tcW w:w="371" w:type="pct"/>
            <w:vAlign w:val="center"/>
          </w:tcPr>
          <w:p w14:paraId="1D3EC42C">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356" w:type="pct"/>
            <w:vAlign w:val="center"/>
          </w:tcPr>
          <w:p w14:paraId="1D3EC42D">
            <w:pPr>
              <w:adjustRightInd/>
              <w:snapToGrid/>
              <w:spacing w:line="240" w:lineRule="auto"/>
              <w:ind w:firstLine="0" w:firstLineChars="0"/>
              <w:contextualSpacing/>
              <w:jc w:val="center"/>
              <w:rPr>
                <w:sz w:val="21"/>
                <w:szCs w:val="21"/>
                <w:lang w:bidi="ar"/>
              </w:rPr>
            </w:pPr>
            <w:r>
              <w:rPr>
                <w:rFonts w:hint="eastAsia"/>
                <w:sz w:val="21"/>
                <w:szCs w:val="21"/>
                <w:lang w:bidi="ar"/>
              </w:rPr>
              <w:t>7.4</w:t>
            </w:r>
          </w:p>
        </w:tc>
        <w:tc>
          <w:tcPr>
            <w:tcW w:w="168" w:type="pct"/>
            <w:vAlign w:val="center"/>
          </w:tcPr>
          <w:p w14:paraId="1D3EC42E">
            <w:pPr>
              <w:adjustRightInd/>
              <w:snapToGrid/>
              <w:spacing w:line="240" w:lineRule="auto"/>
              <w:ind w:firstLine="0" w:firstLineChars="0"/>
              <w:contextualSpacing/>
              <w:jc w:val="center"/>
              <w:rPr>
                <w:sz w:val="21"/>
                <w:szCs w:val="21"/>
              </w:rPr>
            </w:pPr>
            <w:r>
              <w:rPr>
                <w:rFonts w:hint="eastAsia"/>
                <w:sz w:val="21"/>
                <w:szCs w:val="21"/>
              </w:rPr>
              <w:t>14.3</w:t>
            </w:r>
          </w:p>
        </w:tc>
        <w:tc>
          <w:tcPr>
            <w:tcW w:w="214" w:type="pct"/>
            <w:vAlign w:val="center"/>
          </w:tcPr>
          <w:p w14:paraId="1D3EC42F">
            <w:pPr>
              <w:adjustRightInd/>
              <w:snapToGrid/>
              <w:spacing w:line="240" w:lineRule="auto"/>
              <w:ind w:firstLine="0" w:firstLineChars="0"/>
              <w:contextualSpacing/>
              <w:jc w:val="center"/>
              <w:rPr>
                <w:sz w:val="21"/>
                <w:szCs w:val="21"/>
              </w:rPr>
            </w:pPr>
            <w:r>
              <w:rPr>
                <w:rFonts w:hint="eastAsia"/>
                <w:sz w:val="21"/>
                <w:szCs w:val="21"/>
              </w:rPr>
              <w:t>25.4</w:t>
            </w:r>
          </w:p>
        </w:tc>
        <w:tc>
          <w:tcPr>
            <w:tcW w:w="223" w:type="pct"/>
            <w:vAlign w:val="center"/>
          </w:tcPr>
          <w:p w14:paraId="1D3EC430">
            <w:pPr>
              <w:adjustRightInd/>
              <w:snapToGrid/>
              <w:spacing w:line="240" w:lineRule="auto"/>
              <w:ind w:firstLine="0" w:firstLineChars="0"/>
              <w:contextualSpacing/>
              <w:jc w:val="center"/>
              <w:rPr>
                <w:sz w:val="21"/>
                <w:szCs w:val="21"/>
              </w:rPr>
            </w:pPr>
            <w:r>
              <w:rPr>
                <w:rFonts w:hint="eastAsia"/>
                <w:sz w:val="21"/>
                <w:szCs w:val="21"/>
              </w:rPr>
              <w:t>61.3</w:t>
            </w:r>
          </w:p>
        </w:tc>
        <w:tc>
          <w:tcPr>
            <w:tcW w:w="240" w:type="pct"/>
            <w:vAlign w:val="center"/>
          </w:tcPr>
          <w:p w14:paraId="1D3EC431">
            <w:pPr>
              <w:adjustRightInd/>
              <w:snapToGrid/>
              <w:spacing w:line="240" w:lineRule="auto"/>
              <w:ind w:firstLine="0" w:firstLineChars="0"/>
              <w:contextualSpacing/>
              <w:jc w:val="center"/>
              <w:rPr>
                <w:sz w:val="21"/>
                <w:szCs w:val="21"/>
              </w:rPr>
            </w:pPr>
            <w:r>
              <w:rPr>
                <w:rFonts w:hint="eastAsia"/>
                <w:sz w:val="21"/>
                <w:szCs w:val="21"/>
              </w:rPr>
              <w:t>24.5</w:t>
            </w:r>
          </w:p>
        </w:tc>
        <w:tc>
          <w:tcPr>
            <w:tcW w:w="339" w:type="pct"/>
            <w:vAlign w:val="center"/>
          </w:tcPr>
          <w:p w14:paraId="1D3EC432">
            <w:pPr>
              <w:adjustRightInd/>
              <w:snapToGrid/>
              <w:spacing w:line="240" w:lineRule="auto"/>
              <w:ind w:firstLine="0" w:firstLineChars="0"/>
              <w:contextualSpacing/>
              <w:jc w:val="center"/>
              <w:rPr>
                <w:sz w:val="21"/>
                <w:szCs w:val="21"/>
              </w:rPr>
            </w:pPr>
            <w:r>
              <w:rPr>
                <w:rFonts w:hint="eastAsia"/>
                <w:sz w:val="21"/>
                <w:szCs w:val="21"/>
              </w:rPr>
              <w:t>109.1</w:t>
            </w:r>
          </w:p>
        </w:tc>
        <w:tc>
          <w:tcPr>
            <w:tcW w:w="339" w:type="pct"/>
            <w:vAlign w:val="center"/>
          </w:tcPr>
          <w:p w14:paraId="1D3EC433">
            <w:pPr>
              <w:adjustRightInd/>
              <w:snapToGrid/>
              <w:spacing w:line="240" w:lineRule="auto"/>
              <w:ind w:firstLine="0" w:firstLineChars="0"/>
              <w:contextualSpacing/>
              <w:jc w:val="center"/>
              <w:rPr>
                <w:sz w:val="21"/>
                <w:szCs w:val="21"/>
                <w:lang w:bidi="ar"/>
              </w:rPr>
            </w:pPr>
            <w:r>
              <w:rPr>
                <w:rFonts w:hint="eastAsia"/>
                <w:sz w:val="21"/>
                <w:szCs w:val="21"/>
                <w:lang w:bidi="ar"/>
              </w:rPr>
              <w:t>78.2</w:t>
            </w:r>
          </w:p>
        </w:tc>
        <w:tc>
          <w:tcPr>
            <w:tcW w:w="209" w:type="pct"/>
            <w:vAlign w:val="center"/>
          </w:tcPr>
          <w:p w14:paraId="1D3EC434">
            <w:pPr>
              <w:adjustRightInd/>
              <w:snapToGrid/>
              <w:spacing w:line="240" w:lineRule="auto"/>
              <w:ind w:firstLine="0" w:firstLineChars="0"/>
              <w:contextualSpacing/>
              <w:jc w:val="center"/>
              <w:rPr>
                <w:sz w:val="21"/>
                <w:szCs w:val="21"/>
              </w:rPr>
            </w:pPr>
            <w:r>
              <w:rPr>
                <w:rFonts w:hint="eastAsia"/>
                <w:sz w:val="21"/>
                <w:szCs w:val="21"/>
              </w:rPr>
              <w:t>42.5</w:t>
            </w:r>
          </w:p>
        </w:tc>
        <w:tc>
          <w:tcPr>
            <w:tcW w:w="245" w:type="pct"/>
            <w:vAlign w:val="center"/>
          </w:tcPr>
          <w:p w14:paraId="1D3EC435">
            <w:pPr>
              <w:adjustRightInd/>
              <w:snapToGrid/>
              <w:spacing w:line="240" w:lineRule="auto"/>
              <w:ind w:firstLine="0" w:firstLineChars="0"/>
              <w:contextualSpacing/>
              <w:jc w:val="center"/>
              <w:rPr>
                <w:sz w:val="21"/>
                <w:szCs w:val="21"/>
              </w:rPr>
            </w:pPr>
            <w:r>
              <w:rPr>
                <w:rFonts w:hint="eastAsia"/>
                <w:sz w:val="21"/>
                <w:szCs w:val="21"/>
              </w:rPr>
              <w:t>54.3</w:t>
            </w:r>
          </w:p>
        </w:tc>
        <w:tc>
          <w:tcPr>
            <w:tcW w:w="247" w:type="pct"/>
            <w:vAlign w:val="center"/>
          </w:tcPr>
          <w:p w14:paraId="1D3EC436">
            <w:pPr>
              <w:adjustRightInd/>
              <w:snapToGrid/>
              <w:spacing w:line="240" w:lineRule="auto"/>
              <w:ind w:firstLine="0" w:firstLineChars="0"/>
              <w:contextualSpacing/>
              <w:jc w:val="center"/>
              <w:rPr>
                <w:sz w:val="21"/>
                <w:szCs w:val="21"/>
              </w:rPr>
            </w:pPr>
            <w:r>
              <w:rPr>
                <w:rFonts w:hint="eastAsia"/>
                <w:sz w:val="21"/>
                <w:szCs w:val="21"/>
              </w:rPr>
              <w:t>0.273</w:t>
            </w:r>
          </w:p>
        </w:tc>
        <w:tc>
          <w:tcPr>
            <w:tcW w:w="287" w:type="pct"/>
            <w:vAlign w:val="center"/>
          </w:tcPr>
          <w:p w14:paraId="1D3EC437">
            <w:pPr>
              <w:adjustRightInd/>
              <w:snapToGrid/>
              <w:spacing w:line="240" w:lineRule="auto"/>
              <w:ind w:firstLine="0" w:firstLineChars="0"/>
              <w:contextualSpacing/>
              <w:jc w:val="center"/>
              <w:rPr>
                <w:sz w:val="21"/>
                <w:szCs w:val="21"/>
              </w:rPr>
            </w:pPr>
            <w:r>
              <w:rPr>
                <w:rFonts w:hint="eastAsia"/>
                <w:sz w:val="21"/>
                <w:szCs w:val="21"/>
              </w:rPr>
              <w:t>7.5</w:t>
            </w:r>
          </w:p>
        </w:tc>
        <w:tc>
          <w:tcPr>
            <w:tcW w:w="301" w:type="pct"/>
            <w:vAlign w:val="center"/>
          </w:tcPr>
          <w:p w14:paraId="1D3EC438">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439">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43A">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43B">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43C">
            <w:pPr>
              <w:adjustRightInd/>
              <w:snapToGrid/>
              <w:spacing w:line="240" w:lineRule="auto"/>
              <w:ind w:firstLine="0" w:firstLineChars="0"/>
              <w:contextualSpacing/>
              <w:jc w:val="center"/>
              <w:rPr>
                <w:sz w:val="21"/>
                <w:szCs w:val="21"/>
              </w:rPr>
            </w:pPr>
            <w:r>
              <w:rPr>
                <w:sz w:val="21"/>
                <w:szCs w:val="21"/>
              </w:rPr>
              <w:t>未检出</w:t>
            </w:r>
          </w:p>
        </w:tc>
      </w:tr>
      <w:tr w14:paraId="1D3EC4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restart"/>
            <w:vAlign w:val="center"/>
          </w:tcPr>
          <w:p w14:paraId="1D3EC451">
            <w:pPr>
              <w:adjustRightInd/>
              <w:snapToGrid/>
              <w:spacing w:line="240" w:lineRule="auto"/>
              <w:ind w:firstLine="0" w:firstLineChars="0"/>
              <w:contextualSpacing/>
              <w:jc w:val="center"/>
              <w:rPr>
                <w:sz w:val="21"/>
                <w:szCs w:val="21"/>
                <w:highlight w:val="yellow"/>
              </w:rPr>
            </w:pPr>
            <w:r>
              <w:rPr>
                <w:sz w:val="21"/>
                <w:szCs w:val="21"/>
              </w:rPr>
              <w:t>4#</w:t>
            </w:r>
            <w:r>
              <w:rPr>
                <w:rFonts w:hint="eastAsia"/>
                <w:sz w:val="21"/>
                <w:szCs w:val="21"/>
              </w:rPr>
              <w:t>八里屯村</w:t>
            </w:r>
          </w:p>
        </w:tc>
        <w:tc>
          <w:tcPr>
            <w:tcW w:w="371" w:type="pct"/>
            <w:vAlign w:val="center"/>
          </w:tcPr>
          <w:p w14:paraId="1D3EC452">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356" w:type="pct"/>
            <w:vAlign w:val="center"/>
          </w:tcPr>
          <w:p w14:paraId="1D3EC453">
            <w:pPr>
              <w:adjustRightInd/>
              <w:snapToGrid/>
              <w:spacing w:line="240" w:lineRule="auto"/>
              <w:ind w:firstLine="0" w:firstLineChars="0"/>
              <w:contextualSpacing/>
              <w:jc w:val="center"/>
              <w:rPr>
                <w:sz w:val="21"/>
                <w:szCs w:val="21"/>
                <w:lang w:bidi="ar"/>
              </w:rPr>
            </w:pPr>
            <w:r>
              <w:rPr>
                <w:rFonts w:hint="eastAsia"/>
                <w:sz w:val="21"/>
                <w:szCs w:val="21"/>
                <w:lang w:bidi="ar"/>
              </w:rPr>
              <w:t>7.4</w:t>
            </w:r>
          </w:p>
        </w:tc>
        <w:tc>
          <w:tcPr>
            <w:tcW w:w="168" w:type="pct"/>
            <w:vAlign w:val="center"/>
          </w:tcPr>
          <w:p w14:paraId="1D3EC454">
            <w:pPr>
              <w:adjustRightInd/>
              <w:snapToGrid/>
              <w:spacing w:line="240" w:lineRule="auto"/>
              <w:ind w:firstLine="0" w:firstLineChars="0"/>
              <w:contextualSpacing/>
              <w:jc w:val="center"/>
              <w:rPr>
                <w:sz w:val="21"/>
                <w:szCs w:val="21"/>
              </w:rPr>
            </w:pPr>
            <w:r>
              <w:rPr>
                <w:rFonts w:hint="eastAsia"/>
                <w:sz w:val="21"/>
                <w:szCs w:val="21"/>
              </w:rPr>
              <w:t>16.2</w:t>
            </w:r>
          </w:p>
        </w:tc>
        <w:tc>
          <w:tcPr>
            <w:tcW w:w="214" w:type="pct"/>
            <w:vAlign w:val="center"/>
          </w:tcPr>
          <w:p w14:paraId="1D3EC455">
            <w:pPr>
              <w:adjustRightInd/>
              <w:snapToGrid/>
              <w:spacing w:line="240" w:lineRule="auto"/>
              <w:ind w:firstLine="0" w:firstLineChars="0"/>
              <w:contextualSpacing/>
              <w:jc w:val="center"/>
              <w:rPr>
                <w:sz w:val="21"/>
                <w:szCs w:val="21"/>
              </w:rPr>
            </w:pPr>
            <w:r>
              <w:rPr>
                <w:rFonts w:hint="eastAsia"/>
                <w:sz w:val="21"/>
                <w:szCs w:val="21"/>
              </w:rPr>
              <w:t>20.4</w:t>
            </w:r>
          </w:p>
        </w:tc>
        <w:tc>
          <w:tcPr>
            <w:tcW w:w="223" w:type="pct"/>
            <w:vAlign w:val="center"/>
          </w:tcPr>
          <w:p w14:paraId="1D3EC456">
            <w:pPr>
              <w:adjustRightInd/>
              <w:snapToGrid/>
              <w:spacing w:line="240" w:lineRule="auto"/>
              <w:ind w:firstLine="0" w:firstLineChars="0"/>
              <w:contextualSpacing/>
              <w:jc w:val="center"/>
              <w:rPr>
                <w:sz w:val="21"/>
                <w:szCs w:val="21"/>
              </w:rPr>
            </w:pPr>
            <w:r>
              <w:rPr>
                <w:rFonts w:hint="eastAsia"/>
                <w:sz w:val="21"/>
                <w:szCs w:val="21"/>
              </w:rPr>
              <w:t>43.4</w:t>
            </w:r>
          </w:p>
        </w:tc>
        <w:tc>
          <w:tcPr>
            <w:tcW w:w="240" w:type="pct"/>
            <w:vAlign w:val="center"/>
          </w:tcPr>
          <w:p w14:paraId="1D3EC457">
            <w:pPr>
              <w:adjustRightInd/>
              <w:snapToGrid/>
              <w:spacing w:line="240" w:lineRule="auto"/>
              <w:ind w:firstLine="0" w:firstLineChars="0"/>
              <w:contextualSpacing/>
              <w:jc w:val="center"/>
              <w:rPr>
                <w:sz w:val="21"/>
                <w:szCs w:val="21"/>
              </w:rPr>
            </w:pPr>
            <w:r>
              <w:rPr>
                <w:rFonts w:hint="eastAsia"/>
                <w:sz w:val="21"/>
                <w:szCs w:val="21"/>
              </w:rPr>
              <w:t>37.3</w:t>
            </w:r>
          </w:p>
        </w:tc>
        <w:tc>
          <w:tcPr>
            <w:tcW w:w="339" w:type="pct"/>
            <w:vAlign w:val="center"/>
          </w:tcPr>
          <w:p w14:paraId="1D3EC458">
            <w:pPr>
              <w:adjustRightInd/>
              <w:snapToGrid/>
              <w:spacing w:line="240" w:lineRule="auto"/>
              <w:ind w:firstLine="0" w:firstLineChars="0"/>
              <w:contextualSpacing/>
              <w:jc w:val="center"/>
              <w:rPr>
                <w:sz w:val="21"/>
                <w:szCs w:val="21"/>
              </w:rPr>
            </w:pPr>
            <w:r>
              <w:rPr>
                <w:rFonts w:hint="eastAsia"/>
                <w:sz w:val="21"/>
                <w:szCs w:val="21"/>
              </w:rPr>
              <w:t>94.5</w:t>
            </w:r>
          </w:p>
        </w:tc>
        <w:tc>
          <w:tcPr>
            <w:tcW w:w="339" w:type="pct"/>
            <w:vAlign w:val="center"/>
          </w:tcPr>
          <w:p w14:paraId="1D3EC459">
            <w:pPr>
              <w:adjustRightInd/>
              <w:snapToGrid/>
              <w:spacing w:line="240" w:lineRule="auto"/>
              <w:ind w:firstLine="0" w:firstLineChars="0"/>
              <w:contextualSpacing/>
              <w:jc w:val="center"/>
              <w:rPr>
                <w:sz w:val="21"/>
                <w:szCs w:val="21"/>
                <w:lang w:bidi="ar"/>
              </w:rPr>
            </w:pPr>
            <w:r>
              <w:rPr>
                <w:rFonts w:hint="eastAsia"/>
                <w:sz w:val="21"/>
                <w:szCs w:val="21"/>
                <w:lang w:bidi="ar"/>
              </w:rPr>
              <w:t>72.7</w:t>
            </w:r>
          </w:p>
        </w:tc>
        <w:tc>
          <w:tcPr>
            <w:tcW w:w="209" w:type="pct"/>
            <w:vAlign w:val="center"/>
          </w:tcPr>
          <w:p w14:paraId="1D3EC45A">
            <w:pPr>
              <w:adjustRightInd/>
              <w:snapToGrid/>
              <w:spacing w:line="240" w:lineRule="auto"/>
              <w:ind w:firstLine="0" w:firstLineChars="0"/>
              <w:contextualSpacing/>
              <w:jc w:val="center"/>
              <w:rPr>
                <w:sz w:val="21"/>
                <w:szCs w:val="21"/>
              </w:rPr>
            </w:pPr>
            <w:r>
              <w:rPr>
                <w:rFonts w:hint="eastAsia"/>
                <w:sz w:val="21"/>
                <w:szCs w:val="21"/>
              </w:rPr>
              <w:t>41.2</w:t>
            </w:r>
          </w:p>
        </w:tc>
        <w:tc>
          <w:tcPr>
            <w:tcW w:w="245" w:type="pct"/>
            <w:vAlign w:val="center"/>
          </w:tcPr>
          <w:p w14:paraId="1D3EC45B">
            <w:pPr>
              <w:adjustRightInd/>
              <w:snapToGrid/>
              <w:spacing w:line="240" w:lineRule="auto"/>
              <w:ind w:firstLine="0" w:firstLineChars="0"/>
              <w:contextualSpacing/>
              <w:jc w:val="center"/>
              <w:rPr>
                <w:sz w:val="21"/>
                <w:szCs w:val="21"/>
              </w:rPr>
            </w:pPr>
            <w:r>
              <w:rPr>
                <w:rFonts w:hint="eastAsia"/>
                <w:sz w:val="21"/>
                <w:szCs w:val="21"/>
              </w:rPr>
              <w:t>61.3</w:t>
            </w:r>
          </w:p>
        </w:tc>
        <w:tc>
          <w:tcPr>
            <w:tcW w:w="247" w:type="pct"/>
            <w:vAlign w:val="center"/>
          </w:tcPr>
          <w:p w14:paraId="1D3EC45C">
            <w:pPr>
              <w:adjustRightInd/>
              <w:snapToGrid/>
              <w:spacing w:line="240" w:lineRule="auto"/>
              <w:ind w:firstLine="0" w:firstLineChars="0"/>
              <w:contextualSpacing/>
              <w:jc w:val="center"/>
              <w:rPr>
                <w:sz w:val="21"/>
                <w:szCs w:val="21"/>
              </w:rPr>
            </w:pPr>
            <w:r>
              <w:rPr>
                <w:rFonts w:hint="eastAsia"/>
                <w:sz w:val="21"/>
                <w:szCs w:val="21"/>
              </w:rPr>
              <w:t>0.234</w:t>
            </w:r>
          </w:p>
        </w:tc>
        <w:tc>
          <w:tcPr>
            <w:tcW w:w="287" w:type="pct"/>
            <w:vAlign w:val="center"/>
          </w:tcPr>
          <w:p w14:paraId="1D3EC45D">
            <w:pPr>
              <w:adjustRightInd/>
              <w:snapToGrid/>
              <w:spacing w:line="240" w:lineRule="auto"/>
              <w:ind w:firstLine="0" w:firstLineChars="0"/>
              <w:contextualSpacing/>
              <w:jc w:val="center"/>
              <w:rPr>
                <w:sz w:val="21"/>
                <w:szCs w:val="21"/>
              </w:rPr>
            </w:pPr>
            <w:r>
              <w:rPr>
                <w:rFonts w:hint="eastAsia"/>
                <w:sz w:val="21"/>
                <w:szCs w:val="21"/>
              </w:rPr>
              <w:t>7.7</w:t>
            </w:r>
          </w:p>
        </w:tc>
        <w:tc>
          <w:tcPr>
            <w:tcW w:w="301" w:type="pct"/>
            <w:vAlign w:val="center"/>
          </w:tcPr>
          <w:p w14:paraId="1D3EC45E">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45F">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460">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461">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462">
            <w:pPr>
              <w:adjustRightInd/>
              <w:snapToGrid/>
              <w:spacing w:line="240" w:lineRule="auto"/>
              <w:ind w:firstLine="0" w:firstLineChars="0"/>
              <w:contextualSpacing/>
              <w:jc w:val="center"/>
              <w:rPr>
                <w:sz w:val="21"/>
                <w:szCs w:val="21"/>
              </w:rPr>
            </w:pPr>
            <w:r>
              <w:rPr>
                <w:sz w:val="21"/>
                <w:szCs w:val="21"/>
              </w:rPr>
              <w:t>未检出</w:t>
            </w:r>
          </w:p>
        </w:tc>
      </w:tr>
      <w:tr w14:paraId="1D3EC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continue"/>
            <w:vAlign w:val="center"/>
          </w:tcPr>
          <w:p w14:paraId="1D3EC477">
            <w:pPr>
              <w:adjustRightInd/>
              <w:snapToGrid/>
              <w:spacing w:line="240" w:lineRule="auto"/>
              <w:ind w:firstLine="0" w:firstLineChars="0"/>
              <w:contextualSpacing/>
              <w:jc w:val="center"/>
              <w:rPr>
                <w:sz w:val="21"/>
                <w:szCs w:val="21"/>
                <w:highlight w:val="yellow"/>
              </w:rPr>
            </w:pPr>
          </w:p>
        </w:tc>
        <w:tc>
          <w:tcPr>
            <w:tcW w:w="371" w:type="pct"/>
            <w:vAlign w:val="center"/>
          </w:tcPr>
          <w:p w14:paraId="1D3EC478">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356" w:type="pct"/>
            <w:vAlign w:val="center"/>
          </w:tcPr>
          <w:p w14:paraId="1D3EC479">
            <w:pPr>
              <w:adjustRightInd/>
              <w:snapToGrid/>
              <w:spacing w:line="240" w:lineRule="auto"/>
              <w:ind w:firstLine="0" w:firstLineChars="0"/>
              <w:contextualSpacing/>
              <w:jc w:val="center"/>
              <w:rPr>
                <w:sz w:val="21"/>
                <w:szCs w:val="21"/>
                <w:lang w:bidi="ar"/>
              </w:rPr>
            </w:pPr>
            <w:r>
              <w:rPr>
                <w:rFonts w:hint="eastAsia"/>
                <w:sz w:val="21"/>
                <w:szCs w:val="21"/>
                <w:lang w:bidi="ar"/>
              </w:rPr>
              <w:t>7.3</w:t>
            </w:r>
          </w:p>
        </w:tc>
        <w:tc>
          <w:tcPr>
            <w:tcW w:w="168" w:type="pct"/>
            <w:vAlign w:val="center"/>
          </w:tcPr>
          <w:p w14:paraId="1D3EC47A">
            <w:pPr>
              <w:adjustRightInd/>
              <w:snapToGrid/>
              <w:spacing w:line="240" w:lineRule="auto"/>
              <w:ind w:firstLine="0" w:firstLineChars="0"/>
              <w:contextualSpacing/>
              <w:jc w:val="center"/>
              <w:rPr>
                <w:sz w:val="21"/>
                <w:szCs w:val="21"/>
              </w:rPr>
            </w:pPr>
            <w:r>
              <w:rPr>
                <w:rFonts w:hint="eastAsia"/>
                <w:sz w:val="21"/>
                <w:szCs w:val="21"/>
              </w:rPr>
              <w:t>14.6</w:t>
            </w:r>
          </w:p>
        </w:tc>
        <w:tc>
          <w:tcPr>
            <w:tcW w:w="214" w:type="pct"/>
            <w:vAlign w:val="center"/>
          </w:tcPr>
          <w:p w14:paraId="1D3EC47B">
            <w:pPr>
              <w:adjustRightInd/>
              <w:snapToGrid/>
              <w:spacing w:line="240" w:lineRule="auto"/>
              <w:ind w:firstLine="0" w:firstLineChars="0"/>
              <w:contextualSpacing/>
              <w:jc w:val="center"/>
              <w:rPr>
                <w:sz w:val="21"/>
                <w:szCs w:val="21"/>
              </w:rPr>
            </w:pPr>
            <w:r>
              <w:rPr>
                <w:rFonts w:hint="eastAsia"/>
                <w:sz w:val="21"/>
                <w:szCs w:val="21"/>
              </w:rPr>
              <w:t>21.6</w:t>
            </w:r>
          </w:p>
        </w:tc>
        <w:tc>
          <w:tcPr>
            <w:tcW w:w="223" w:type="pct"/>
            <w:vAlign w:val="center"/>
          </w:tcPr>
          <w:p w14:paraId="1D3EC47C">
            <w:pPr>
              <w:adjustRightInd/>
              <w:snapToGrid/>
              <w:spacing w:line="240" w:lineRule="auto"/>
              <w:ind w:firstLine="0" w:firstLineChars="0"/>
              <w:contextualSpacing/>
              <w:jc w:val="center"/>
              <w:rPr>
                <w:sz w:val="21"/>
                <w:szCs w:val="21"/>
              </w:rPr>
            </w:pPr>
            <w:r>
              <w:rPr>
                <w:rFonts w:hint="eastAsia"/>
                <w:sz w:val="21"/>
                <w:szCs w:val="21"/>
              </w:rPr>
              <w:t>54.9</w:t>
            </w:r>
          </w:p>
        </w:tc>
        <w:tc>
          <w:tcPr>
            <w:tcW w:w="240" w:type="pct"/>
            <w:vAlign w:val="center"/>
          </w:tcPr>
          <w:p w14:paraId="1D3EC47D">
            <w:pPr>
              <w:adjustRightInd/>
              <w:snapToGrid/>
              <w:spacing w:line="240" w:lineRule="auto"/>
              <w:ind w:firstLine="0" w:firstLineChars="0"/>
              <w:contextualSpacing/>
              <w:jc w:val="center"/>
              <w:rPr>
                <w:sz w:val="21"/>
                <w:szCs w:val="21"/>
              </w:rPr>
            </w:pPr>
            <w:r>
              <w:rPr>
                <w:rFonts w:hint="eastAsia"/>
                <w:sz w:val="21"/>
                <w:szCs w:val="21"/>
              </w:rPr>
              <w:t>22.3</w:t>
            </w:r>
          </w:p>
        </w:tc>
        <w:tc>
          <w:tcPr>
            <w:tcW w:w="339" w:type="pct"/>
            <w:vAlign w:val="center"/>
          </w:tcPr>
          <w:p w14:paraId="1D3EC47E">
            <w:pPr>
              <w:adjustRightInd/>
              <w:snapToGrid/>
              <w:spacing w:line="240" w:lineRule="auto"/>
              <w:ind w:firstLine="0" w:firstLineChars="0"/>
              <w:contextualSpacing/>
              <w:jc w:val="center"/>
              <w:rPr>
                <w:sz w:val="21"/>
                <w:szCs w:val="21"/>
              </w:rPr>
            </w:pPr>
            <w:r>
              <w:rPr>
                <w:rFonts w:hint="eastAsia"/>
                <w:sz w:val="21"/>
                <w:szCs w:val="21"/>
              </w:rPr>
              <w:t>90.8</w:t>
            </w:r>
          </w:p>
        </w:tc>
        <w:tc>
          <w:tcPr>
            <w:tcW w:w="339" w:type="pct"/>
            <w:vAlign w:val="center"/>
          </w:tcPr>
          <w:p w14:paraId="1D3EC47F">
            <w:pPr>
              <w:adjustRightInd/>
              <w:snapToGrid/>
              <w:spacing w:line="240" w:lineRule="auto"/>
              <w:ind w:firstLine="0" w:firstLineChars="0"/>
              <w:contextualSpacing/>
              <w:jc w:val="center"/>
              <w:rPr>
                <w:sz w:val="21"/>
                <w:szCs w:val="21"/>
                <w:lang w:bidi="ar"/>
              </w:rPr>
            </w:pPr>
            <w:r>
              <w:rPr>
                <w:rFonts w:hint="eastAsia"/>
                <w:sz w:val="21"/>
                <w:szCs w:val="21"/>
                <w:lang w:bidi="ar"/>
              </w:rPr>
              <w:t>70.1</w:t>
            </w:r>
          </w:p>
        </w:tc>
        <w:tc>
          <w:tcPr>
            <w:tcW w:w="209" w:type="pct"/>
            <w:vAlign w:val="center"/>
          </w:tcPr>
          <w:p w14:paraId="1D3EC480">
            <w:pPr>
              <w:adjustRightInd/>
              <w:snapToGrid/>
              <w:spacing w:line="240" w:lineRule="auto"/>
              <w:ind w:firstLine="0" w:firstLineChars="0"/>
              <w:contextualSpacing/>
              <w:jc w:val="center"/>
              <w:rPr>
                <w:sz w:val="21"/>
                <w:szCs w:val="21"/>
              </w:rPr>
            </w:pPr>
            <w:r>
              <w:rPr>
                <w:rFonts w:hint="eastAsia"/>
                <w:sz w:val="21"/>
                <w:szCs w:val="21"/>
              </w:rPr>
              <w:t>43.6</w:t>
            </w:r>
          </w:p>
        </w:tc>
        <w:tc>
          <w:tcPr>
            <w:tcW w:w="245" w:type="pct"/>
            <w:vAlign w:val="center"/>
          </w:tcPr>
          <w:p w14:paraId="1D3EC481">
            <w:pPr>
              <w:adjustRightInd/>
              <w:snapToGrid/>
              <w:spacing w:line="240" w:lineRule="auto"/>
              <w:ind w:firstLine="0" w:firstLineChars="0"/>
              <w:contextualSpacing/>
              <w:jc w:val="center"/>
              <w:rPr>
                <w:sz w:val="21"/>
                <w:szCs w:val="21"/>
              </w:rPr>
            </w:pPr>
            <w:r>
              <w:rPr>
                <w:rFonts w:hint="eastAsia"/>
                <w:sz w:val="21"/>
                <w:szCs w:val="21"/>
              </w:rPr>
              <w:t>54.8</w:t>
            </w:r>
          </w:p>
        </w:tc>
        <w:tc>
          <w:tcPr>
            <w:tcW w:w="247" w:type="pct"/>
            <w:vAlign w:val="center"/>
          </w:tcPr>
          <w:p w14:paraId="1D3EC482">
            <w:pPr>
              <w:adjustRightInd/>
              <w:snapToGrid/>
              <w:spacing w:line="240" w:lineRule="auto"/>
              <w:ind w:firstLine="0" w:firstLineChars="0"/>
              <w:contextualSpacing/>
              <w:jc w:val="center"/>
              <w:rPr>
                <w:sz w:val="21"/>
                <w:szCs w:val="21"/>
              </w:rPr>
            </w:pPr>
            <w:r>
              <w:rPr>
                <w:rFonts w:hint="eastAsia"/>
                <w:sz w:val="21"/>
                <w:szCs w:val="21"/>
              </w:rPr>
              <w:t>0.251</w:t>
            </w:r>
          </w:p>
        </w:tc>
        <w:tc>
          <w:tcPr>
            <w:tcW w:w="287" w:type="pct"/>
            <w:vAlign w:val="center"/>
          </w:tcPr>
          <w:p w14:paraId="1D3EC483">
            <w:pPr>
              <w:adjustRightInd/>
              <w:snapToGrid/>
              <w:spacing w:line="240" w:lineRule="auto"/>
              <w:ind w:firstLine="0" w:firstLineChars="0"/>
              <w:contextualSpacing/>
              <w:jc w:val="center"/>
              <w:rPr>
                <w:sz w:val="21"/>
                <w:szCs w:val="21"/>
              </w:rPr>
            </w:pPr>
            <w:r>
              <w:rPr>
                <w:rFonts w:hint="eastAsia"/>
                <w:sz w:val="21"/>
                <w:szCs w:val="21"/>
              </w:rPr>
              <w:t>7.6</w:t>
            </w:r>
          </w:p>
        </w:tc>
        <w:tc>
          <w:tcPr>
            <w:tcW w:w="301" w:type="pct"/>
            <w:vAlign w:val="center"/>
          </w:tcPr>
          <w:p w14:paraId="1D3EC484">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485">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486">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487">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488">
            <w:pPr>
              <w:adjustRightInd/>
              <w:snapToGrid/>
              <w:spacing w:line="240" w:lineRule="auto"/>
              <w:ind w:firstLine="0" w:firstLineChars="0"/>
              <w:contextualSpacing/>
              <w:jc w:val="center"/>
              <w:rPr>
                <w:sz w:val="21"/>
                <w:szCs w:val="21"/>
              </w:rPr>
            </w:pPr>
            <w:r>
              <w:rPr>
                <w:sz w:val="21"/>
                <w:szCs w:val="21"/>
              </w:rPr>
              <w:t>未检出</w:t>
            </w:r>
          </w:p>
        </w:tc>
      </w:tr>
      <w:tr w14:paraId="1D3EC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restart"/>
            <w:vAlign w:val="center"/>
          </w:tcPr>
          <w:p w14:paraId="1D3EC49D">
            <w:pPr>
              <w:adjustRightInd/>
              <w:snapToGrid/>
              <w:spacing w:line="240" w:lineRule="auto"/>
              <w:ind w:firstLine="0" w:firstLineChars="0"/>
              <w:contextualSpacing/>
              <w:jc w:val="center"/>
              <w:rPr>
                <w:sz w:val="21"/>
                <w:szCs w:val="21"/>
              </w:rPr>
            </w:pPr>
            <w:r>
              <w:rPr>
                <w:sz w:val="21"/>
                <w:szCs w:val="21"/>
              </w:rPr>
              <w:t>5#</w:t>
            </w:r>
            <w:r>
              <w:rPr>
                <w:rFonts w:hint="eastAsia"/>
                <w:sz w:val="21"/>
                <w:szCs w:val="21"/>
              </w:rPr>
              <w:t>龙王庙</w:t>
            </w:r>
          </w:p>
        </w:tc>
        <w:tc>
          <w:tcPr>
            <w:tcW w:w="371" w:type="pct"/>
            <w:vAlign w:val="center"/>
          </w:tcPr>
          <w:p w14:paraId="1D3EC49E">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356" w:type="pct"/>
            <w:vAlign w:val="center"/>
          </w:tcPr>
          <w:p w14:paraId="1D3EC49F">
            <w:pPr>
              <w:adjustRightInd/>
              <w:snapToGrid/>
              <w:spacing w:line="240" w:lineRule="auto"/>
              <w:ind w:firstLine="0" w:firstLineChars="0"/>
              <w:contextualSpacing/>
              <w:jc w:val="center"/>
              <w:rPr>
                <w:sz w:val="21"/>
                <w:szCs w:val="21"/>
                <w:lang w:bidi="ar"/>
              </w:rPr>
            </w:pPr>
            <w:r>
              <w:rPr>
                <w:rFonts w:hint="eastAsia"/>
                <w:sz w:val="21"/>
                <w:szCs w:val="21"/>
                <w:lang w:bidi="ar"/>
              </w:rPr>
              <w:t>7.3</w:t>
            </w:r>
          </w:p>
        </w:tc>
        <w:tc>
          <w:tcPr>
            <w:tcW w:w="168" w:type="pct"/>
            <w:vAlign w:val="center"/>
          </w:tcPr>
          <w:p w14:paraId="1D3EC4A0">
            <w:pPr>
              <w:adjustRightInd/>
              <w:snapToGrid/>
              <w:spacing w:line="240" w:lineRule="auto"/>
              <w:ind w:firstLine="0" w:firstLineChars="0"/>
              <w:contextualSpacing/>
              <w:jc w:val="center"/>
              <w:rPr>
                <w:sz w:val="21"/>
                <w:szCs w:val="21"/>
              </w:rPr>
            </w:pPr>
            <w:r>
              <w:rPr>
                <w:rFonts w:hint="eastAsia"/>
                <w:sz w:val="21"/>
                <w:szCs w:val="21"/>
              </w:rPr>
              <w:t>14.8</w:t>
            </w:r>
          </w:p>
        </w:tc>
        <w:tc>
          <w:tcPr>
            <w:tcW w:w="214" w:type="pct"/>
            <w:vAlign w:val="center"/>
          </w:tcPr>
          <w:p w14:paraId="1D3EC4A1">
            <w:pPr>
              <w:adjustRightInd/>
              <w:snapToGrid/>
              <w:spacing w:line="240" w:lineRule="auto"/>
              <w:ind w:firstLine="0" w:firstLineChars="0"/>
              <w:contextualSpacing/>
              <w:jc w:val="center"/>
              <w:rPr>
                <w:sz w:val="21"/>
                <w:szCs w:val="21"/>
              </w:rPr>
            </w:pPr>
            <w:r>
              <w:rPr>
                <w:rFonts w:hint="eastAsia"/>
                <w:sz w:val="21"/>
                <w:szCs w:val="21"/>
              </w:rPr>
              <w:t>23.5</w:t>
            </w:r>
          </w:p>
        </w:tc>
        <w:tc>
          <w:tcPr>
            <w:tcW w:w="223" w:type="pct"/>
            <w:vAlign w:val="center"/>
          </w:tcPr>
          <w:p w14:paraId="1D3EC4A2">
            <w:pPr>
              <w:adjustRightInd/>
              <w:snapToGrid/>
              <w:spacing w:line="240" w:lineRule="auto"/>
              <w:ind w:firstLine="0" w:firstLineChars="0"/>
              <w:contextualSpacing/>
              <w:jc w:val="center"/>
              <w:rPr>
                <w:sz w:val="21"/>
                <w:szCs w:val="21"/>
              </w:rPr>
            </w:pPr>
            <w:r>
              <w:rPr>
                <w:rFonts w:hint="eastAsia"/>
                <w:sz w:val="21"/>
                <w:szCs w:val="21"/>
              </w:rPr>
              <w:t>61.7</w:t>
            </w:r>
          </w:p>
        </w:tc>
        <w:tc>
          <w:tcPr>
            <w:tcW w:w="240" w:type="pct"/>
            <w:vAlign w:val="center"/>
          </w:tcPr>
          <w:p w14:paraId="1D3EC4A3">
            <w:pPr>
              <w:adjustRightInd/>
              <w:snapToGrid/>
              <w:spacing w:line="240" w:lineRule="auto"/>
              <w:ind w:firstLine="0" w:firstLineChars="0"/>
              <w:contextualSpacing/>
              <w:jc w:val="center"/>
              <w:rPr>
                <w:sz w:val="21"/>
                <w:szCs w:val="21"/>
              </w:rPr>
            </w:pPr>
            <w:r>
              <w:rPr>
                <w:rFonts w:hint="eastAsia"/>
                <w:sz w:val="21"/>
                <w:szCs w:val="21"/>
              </w:rPr>
              <w:t>21.6</w:t>
            </w:r>
          </w:p>
        </w:tc>
        <w:tc>
          <w:tcPr>
            <w:tcW w:w="339" w:type="pct"/>
            <w:vAlign w:val="center"/>
          </w:tcPr>
          <w:p w14:paraId="1D3EC4A4">
            <w:pPr>
              <w:adjustRightInd/>
              <w:snapToGrid/>
              <w:spacing w:line="240" w:lineRule="auto"/>
              <w:ind w:firstLine="0" w:firstLineChars="0"/>
              <w:contextualSpacing/>
              <w:jc w:val="center"/>
              <w:rPr>
                <w:sz w:val="21"/>
                <w:szCs w:val="21"/>
              </w:rPr>
            </w:pPr>
            <w:r>
              <w:rPr>
                <w:rFonts w:hint="eastAsia"/>
                <w:sz w:val="21"/>
                <w:szCs w:val="21"/>
              </w:rPr>
              <w:t>78.8</w:t>
            </w:r>
          </w:p>
        </w:tc>
        <w:tc>
          <w:tcPr>
            <w:tcW w:w="339" w:type="pct"/>
            <w:vAlign w:val="center"/>
          </w:tcPr>
          <w:p w14:paraId="1D3EC4A5">
            <w:pPr>
              <w:adjustRightInd/>
              <w:snapToGrid/>
              <w:spacing w:line="240" w:lineRule="auto"/>
              <w:ind w:firstLine="0" w:firstLineChars="0"/>
              <w:contextualSpacing/>
              <w:jc w:val="center"/>
              <w:rPr>
                <w:sz w:val="21"/>
                <w:szCs w:val="21"/>
                <w:lang w:bidi="ar"/>
              </w:rPr>
            </w:pPr>
            <w:r>
              <w:rPr>
                <w:rFonts w:hint="eastAsia"/>
                <w:sz w:val="21"/>
                <w:szCs w:val="21"/>
                <w:lang w:bidi="ar"/>
              </w:rPr>
              <w:t>60.1</w:t>
            </w:r>
          </w:p>
        </w:tc>
        <w:tc>
          <w:tcPr>
            <w:tcW w:w="209" w:type="pct"/>
            <w:vAlign w:val="center"/>
          </w:tcPr>
          <w:p w14:paraId="1D3EC4A6">
            <w:pPr>
              <w:adjustRightInd/>
              <w:snapToGrid/>
              <w:spacing w:line="240" w:lineRule="auto"/>
              <w:ind w:firstLine="0" w:firstLineChars="0"/>
              <w:contextualSpacing/>
              <w:jc w:val="center"/>
              <w:rPr>
                <w:sz w:val="21"/>
                <w:szCs w:val="21"/>
              </w:rPr>
            </w:pPr>
            <w:r>
              <w:rPr>
                <w:rFonts w:hint="eastAsia"/>
                <w:sz w:val="21"/>
                <w:szCs w:val="21"/>
              </w:rPr>
              <w:t>43.5</w:t>
            </w:r>
          </w:p>
        </w:tc>
        <w:tc>
          <w:tcPr>
            <w:tcW w:w="245" w:type="pct"/>
            <w:vAlign w:val="center"/>
          </w:tcPr>
          <w:p w14:paraId="1D3EC4A7">
            <w:pPr>
              <w:adjustRightInd/>
              <w:snapToGrid/>
              <w:spacing w:line="240" w:lineRule="auto"/>
              <w:ind w:firstLine="0" w:firstLineChars="0"/>
              <w:contextualSpacing/>
              <w:jc w:val="center"/>
              <w:rPr>
                <w:sz w:val="21"/>
                <w:szCs w:val="21"/>
              </w:rPr>
            </w:pPr>
            <w:r>
              <w:rPr>
                <w:rFonts w:hint="eastAsia"/>
                <w:sz w:val="21"/>
                <w:szCs w:val="21"/>
              </w:rPr>
              <w:t>64.5</w:t>
            </w:r>
          </w:p>
        </w:tc>
        <w:tc>
          <w:tcPr>
            <w:tcW w:w="247" w:type="pct"/>
            <w:vAlign w:val="center"/>
          </w:tcPr>
          <w:p w14:paraId="1D3EC4A8">
            <w:pPr>
              <w:adjustRightInd/>
              <w:snapToGrid/>
              <w:spacing w:line="240" w:lineRule="auto"/>
              <w:ind w:firstLine="0" w:firstLineChars="0"/>
              <w:contextualSpacing/>
              <w:jc w:val="center"/>
              <w:rPr>
                <w:sz w:val="21"/>
                <w:szCs w:val="21"/>
              </w:rPr>
            </w:pPr>
            <w:r>
              <w:rPr>
                <w:rFonts w:hint="eastAsia"/>
                <w:sz w:val="21"/>
                <w:szCs w:val="21"/>
              </w:rPr>
              <w:t>0.256</w:t>
            </w:r>
          </w:p>
        </w:tc>
        <w:tc>
          <w:tcPr>
            <w:tcW w:w="287" w:type="pct"/>
            <w:vAlign w:val="center"/>
          </w:tcPr>
          <w:p w14:paraId="1D3EC4A9">
            <w:pPr>
              <w:adjustRightInd/>
              <w:snapToGrid/>
              <w:spacing w:line="240" w:lineRule="auto"/>
              <w:ind w:firstLine="0" w:firstLineChars="0"/>
              <w:contextualSpacing/>
              <w:jc w:val="center"/>
              <w:rPr>
                <w:sz w:val="21"/>
                <w:szCs w:val="21"/>
              </w:rPr>
            </w:pPr>
            <w:r>
              <w:rPr>
                <w:rFonts w:hint="eastAsia"/>
                <w:sz w:val="21"/>
                <w:szCs w:val="21"/>
              </w:rPr>
              <w:t>6.8</w:t>
            </w:r>
          </w:p>
        </w:tc>
        <w:tc>
          <w:tcPr>
            <w:tcW w:w="301" w:type="pct"/>
            <w:vAlign w:val="center"/>
          </w:tcPr>
          <w:p w14:paraId="1D3EC4AA">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4AB">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4AC">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4AD">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4AE">
            <w:pPr>
              <w:adjustRightInd/>
              <w:snapToGrid/>
              <w:spacing w:line="240" w:lineRule="auto"/>
              <w:ind w:firstLine="0" w:firstLineChars="0"/>
              <w:contextualSpacing/>
              <w:jc w:val="center"/>
              <w:rPr>
                <w:sz w:val="21"/>
                <w:szCs w:val="21"/>
              </w:rPr>
            </w:pPr>
            <w:r>
              <w:rPr>
                <w:sz w:val="21"/>
                <w:szCs w:val="21"/>
              </w:rPr>
              <w:t>未检出</w:t>
            </w:r>
          </w:p>
        </w:tc>
      </w:tr>
      <w:tr w14:paraId="1D3EC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continue"/>
            <w:vAlign w:val="center"/>
          </w:tcPr>
          <w:p w14:paraId="1D3EC4C3">
            <w:pPr>
              <w:adjustRightInd/>
              <w:snapToGrid/>
              <w:spacing w:line="240" w:lineRule="auto"/>
              <w:ind w:firstLine="0" w:firstLineChars="0"/>
              <w:contextualSpacing/>
              <w:jc w:val="center"/>
              <w:rPr>
                <w:sz w:val="21"/>
                <w:szCs w:val="21"/>
              </w:rPr>
            </w:pPr>
          </w:p>
        </w:tc>
        <w:tc>
          <w:tcPr>
            <w:tcW w:w="371" w:type="pct"/>
            <w:vAlign w:val="center"/>
          </w:tcPr>
          <w:p w14:paraId="1D3EC4C4">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356" w:type="pct"/>
            <w:vAlign w:val="center"/>
          </w:tcPr>
          <w:p w14:paraId="1D3EC4C5">
            <w:pPr>
              <w:adjustRightInd/>
              <w:snapToGrid/>
              <w:spacing w:line="240" w:lineRule="auto"/>
              <w:ind w:firstLine="0" w:firstLineChars="0"/>
              <w:contextualSpacing/>
              <w:jc w:val="center"/>
              <w:rPr>
                <w:sz w:val="21"/>
                <w:szCs w:val="21"/>
                <w:lang w:bidi="ar"/>
              </w:rPr>
            </w:pPr>
            <w:r>
              <w:rPr>
                <w:rFonts w:hint="eastAsia"/>
                <w:sz w:val="21"/>
                <w:szCs w:val="21"/>
                <w:lang w:bidi="ar"/>
              </w:rPr>
              <w:t>7.4</w:t>
            </w:r>
          </w:p>
        </w:tc>
        <w:tc>
          <w:tcPr>
            <w:tcW w:w="168" w:type="pct"/>
            <w:vAlign w:val="center"/>
          </w:tcPr>
          <w:p w14:paraId="1D3EC4C6">
            <w:pPr>
              <w:adjustRightInd/>
              <w:snapToGrid/>
              <w:spacing w:line="240" w:lineRule="auto"/>
              <w:ind w:firstLine="0" w:firstLineChars="0"/>
              <w:contextualSpacing/>
              <w:jc w:val="center"/>
              <w:rPr>
                <w:sz w:val="21"/>
                <w:szCs w:val="21"/>
              </w:rPr>
            </w:pPr>
            <w:r>
              <w:rPr>
                <w:rFonts w:hint="eastAsia"/>
                <w:sz w:val="21"/>
                <w:szCs w:val="21"/>
              </w:rPr>
              <w:t>13.8</w:t>
            </w:r>
          </w:p>
        </w:tc>
        <w:tc>
          <w:tcPr>
            <w:tcW w:w="214" w:type="pct"/>
            <w:vAlign w:val="center"/>
          </w:tcPr>
          <w:p w14:paraId="1D3EC4C7">
            <w:pPr>
              <w:adjustRightInd/>
              <w:snapToGrid/>
              <w:spacing w:line="240" w:lineRule="auto"/>
              <w:ind w:firstLine="0" w:firstLineChars="0"/>
              <w:contextualSpacing/>
              <w:jc w:val="center"/>
              <w:rPr>
                <w:sz w:val="21"/>
                <w:szCs w:val="21"/>
              </w:rPr>
            </w:pPr>
            <w:r>
              <w:rPr>
                <w:rFonts w:hint="eastAsia"/>
                <w:sz w:val="21"/>
                <w:szCs w:val="21"/>
              </w:rPr>
              <w:t>22.5</w:t>
            </w:r>
          </w:p>
        </w:tc>
        <w:tc>
          <w:tcPr>
            <w:tcW w:w="223" w:type="pct"/>
            <w:vAlign w:val="center"/>
          </w:tcPr>
          <w:p w14:paraId="1D3EC4C8">
            <w:pPr>
              <w:adjustRightInd/>
              <w:snapToGrid/>
              <w:spacing w:line="240" w:lineRule="auto"/>
              <w:ind w:firstLine="0" w:firstLineChars="0"/>
              <w:contextualSpacing/>
              <w:jc w:val="center"/>
              <w:rPr>
                <w:sz w:val="21"/>
                <w:szCs w:val="21"/>
              </w:rPr>
            </w:pPr>
            <w:r>
              <w:rPr>
                <w:rFonts w:hint="eastAsia"/>
                <w:sz w:val="21"/>
                <w:szCs w:val="21"/>
              </w:rPr>
              <w:t>41.6</w:t>
            </w:r>
          </w:p>
        </w:tc>
        <w:tc>
          <w:tcPr>
            <w:tcW w:w="240" w:type="pct"/>
            <w:vAlign w:val="center"/>
          </w:tcPr>
          <w:p w14:paraId="1D3EC4C9">
            <w:pPr>
              <w:adjustRightInd/>
              <w:snapToGrid/>
              <w:spacing w:line="240" w:lineRule="auto"/>
              <w:ind w:firstLine="0" w:firstLineChars="0"/>
              <w:contextualSpacing/>
              <w:jc w:val="center"/>
              <w:rPr>
                <w:sz w:val="21"/>
                <w:szCs w:val="21"/>
              </w:rPr>
            </w:pPr>
            <w:r>
              <w:rPr>
                <w:rFonts w:hint="eastAsia"/>
                <w:sz w:val="21"/>
                <w:szCs w:val="21"/>
              </w:rPr>
              <w:t>27.6</w:t>
            </w:r>
          </w:p>
        </w:tc>
        <w:tc>
          <w:tcPr>
            <w:tcW w:w="339" w:type="pct"/>
            <w:vAlign w:val="center"/>
          </w:tcPr>
          <w:p w14:paraId="1D3EC4CA">
            <w:pPr>
              <w:adjustRightInd/>
              <w:snapToGrid/>
              <w:spacing w:line="240" w:lineRule="auto"/>
              <w:ind w:firstLine="0" w:firstLineChars="0"/>
              <w:contextualSpacing/>
              <w:jc w:val="center"/>
              <w:rPr>
                <w:sz w:val="21"/>
                <w:szCs w:val="21"/>
              </w:rPr>
            </w:pPr>
            <w:r>
              <w:rPr>
                <w:rFonts w:hint="eastAsia"/>
                <w:sz w:val="21"/>
                <w:szCs w:val="21"/>
              </w:rPr>
              <w:t>75.4</w:t>
            </w:r>
          </w:p>
        </w:tc>
        <w:tc>
          <w:tcPr>
            <w:tcW w:w="339" w:type="pct"/>
            <w:vAlign w:val="center"/>
          </w:tcPr>
          <w:p w14:paraId="1D3EC4CB">
            <w:pPr>
              <w:adjustRightInd/>
              <w:snapToGrid/>
              <w:spacing w:line="240" w:lineRule="auto"/>
              <w:ind w:firstLine="0" w:firstLineChars="0"/>
              <w:contextualSpacing/>
              <w:jc w:val="center"/>
              <w:rPr>
                <w:sz w:val="21"/>
                <w:szCs w:val="21"/>
                <w:lang w:bidi="ar"/>
              </w:rPr>
            </w:pPr>
            <w:r>
              <w:rPr>
                <w:rFonts w:hint="eastAsia"/>
                <w:sz w:val="21"/>
                <w:szCs w:val="21"/>
                <w:lang w:bidi="ar"/>
              </w:rPr>
              <w:t>58.6</w:t>
            </w:r>
          </w:p>
        </w:tc>
        <w:tc>
          <w:tcPr>
            <w:tcW w:w="209" w:type="pct"/>
            <w:vAlign w:val="center"/>
          </w:tcPr>
          <w:p w14:paraId="1D3EC4CC">
            <w:pPr>
              <w:adjustRightInd/>
              <w:snapToGrid/>
              <w:spacing w:line="240" w:lineRule="auto"/>
              <w:ind w:firstLine="0" w:firstLineChars="0"/>
              <w:contextualSpacing/>
              <w:jc w:val="center"/>
              <w:rPr>
                <w:sz w:val="21"/>
                <w:szCs w:val="21"/>
              </w:rPr>
            </w:pPr>
            <w:r>
              <w:rPr>
                <w:rFonts w:hint="eastAsia"/>
                <w:sz w:val="21"/>
                <w:szCs w:val="21"/>
              </w:rPr>
              <w:t>44.7</w:t>
            </w:r>
          </w:p>
        </w:tc>
        <w:tc>
          <w:tcPr>
            <w:tcW w:w="245" w:type="pct"/>
            <w:vAlign w:val="center"/>
          </w:tcPr>
          <w:p w14:paraId="1D3EC4CD">
            <w:pPr>
              <w:adjustRightInd/>
              <w:snapToGrid/>
              <w:spacing w:line="240" w:lineRule="auto"/>
              <w:ind w:firstLine="0" w:firstLineChars="0"/>
              <w:contextualSpacing/>
              <w:jc w:val="center"/>
              <w:rPr>
                <w:sz w:val="21"/>
                <w:szCs w:val="21"/>
              </w:rPr>
            </w:pPr>
            <w:r>
              <w:rPr>
                <w:rFonts w:hint="eastAsia"/>
                <w:sz w:val="21"/>
                <w:szCs w:val="21"/>
              </w:rPr>
              <w:t>67.2</w:t>
            </w:r>
          </w:p>
        </w:tc>
        <w:tc>
          <w:tcPr>
            <w:tcW w:w="247" w:type="pct"/>
            <w:vAlign w:val="center"/>
          </w:tcPr>
          <w:p w14:paraId="1D3EC4CE">
            <w:pPr>
              <w:adjustRightInd/>
              <w:snapToGrid/>
              <w:spacing w:line="240" w:lineRule="auto"/>
              <w:ind w:firstLine="0" w:firstLineChars="0"/>
              <w:contextualSpacing/>
              <w:jc w:val="center"/>
              <w:rPr>
                <w:sz w:val="21"/>
                <w:szCs w:val="21"/>
              </w:rPr>
            </w:pPr>
            <w:r>
              <w:rPr>
                <w:rFonts w:hint="eastAsia"/>
                <w:sz w:val="21"/>
                <w:szCs w:val="21"/>
              </w:rPr>
              <w:t>0.267</w:t>
            </w:r>
          </w:p>
        </w:tc>
        <w:tc>
          <w:tcPr>
            <w:tcW w:w="287" w:type="pct"/>
            <w:vAlign w:val="center"/>
          </w:tcPr>
          <w:p w14:paraId="1D3EC4CF">
            <w:pPr>
              <w:adjustRightInd/>
              <w:snapToGrid/>
              <w:spacing w:line="240" w:lineRule="auto"/>
              <w:ind w:firstLine="0" w:firstLineChars="0"/>
              <w:contextualSpacing/>
              <w:jc w:val="center"/>
              <w:rPr>
                <w:sz w:val="21"/>
                <w:szCs w:val="21"/>
              </w:rPr>
            </w:pPr>
            <w:r>
              <w:rPr>
                <w:rFonts w:hint="eastAsia"/>
                <w:sz w:val="21"/>
                <w:szCs w:val="21"/>
              </w:rPr>
              <w:t>7.4</w:t>
            </w:r>
          </w:p>
        </w:tc>
        <w:tc>
          <w:tcPr>
            <w:tcW w:w="301" w:type="pct"/>
            <w:vAlign w:val="center"/>
          </w:tcPr>
          <w:p w14:paraId="1D3EC4D0">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4D1">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4D2">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4D3">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4D4">
            <w:pPr>
              <w:adjustRightInd/>
              <w:snapToGrid/>
              <w:spacing w:line="240" w:lineRule="auto"/>
              <w:ind w:firstLine="0" w:firstLineChars="0"/>
              <w:contextualSpacing/>
              <w:jc w:val="center"/>
              <w:rPr>
                <w:sz w:val="21"/>
                <w:szCs w:val="21"/>
              </w:rPr>
            </w:pPr>
            <w:r>
              <w:rPr>
                <w:sz w:val="21"/>
                <w:szCs w:val="21"/>
              </w:rPr>
              <w:t>未检出</w:t>
            </w:r>
          </w:p>
        </w:tc>
      </w:tr>
      <w:tr w14:paraId="1D3EC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restart"/>
            <w:vAlign w:val="center"/>
          </w:tcPr>
          <w:p w14:paraId="1D3EC4E9">
            <w:pPr>
              <w:adjustRightInd/>
              <w:snapToGrid/>
              <w:spacing w:line="240" w:lineRule="auto"/>
              <w:ind w:firstLine="0" w:firstLineChars="0"/>
              <w:contextualSpacing/>
              <w:jc w:val="center"/>
              <w:rPr>
                <w:sz w:val="21"/>
                <w:szCs w:val="21"/>
              </w:rPr>
            </w:pPr>
            <w:r>
              <w:rPr>
                <w:sz w:val="21"/>
                <w:szCs w:val="21"/>
              </w:rPr>
              <w:t>6#</w:t>
            </w:r>
            <w:r>
              <w:rPr>
                <w:rFonts w:hint="eastAsia"/>
                <w:sz w:val="21"/>
                <w:szCs w:val="21"/>
              </w:rPr>
              <w:t>仁里屯村东南</w:t>
            </w:r>
          </w:p>
        </w:tc>
        <w:tc>
          <w:tcPr>
            <w:tcW w:w="371" w:type="pct"/>
            <w:vAlign w:val="center"/>
          </w:tcPr>
          <w:p w14:paraId="1D3EC4EA">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356" w:type="pct"/>
            <w:vAlign w:val="center"/>
          </w:tcPr>
          <w:p w14:paraId="1D3EC4EB">
            <w:pPr>
              <w:adjustRightInd/>
              <w:snapToGrid/>
              <w:spacing w:line="240" w:lineRule="auto"/>
              <w:ind w:firstLine="0" w:firstLineChars="0"/>
              <w:contextualSpacing/>
              <w:jc w:val="center"/>
              <w:rPr>
                <w:sz w:val="21"/>
                <w:szCs w:val="21"/>
                <w:lang w:bidi="ar"/>
              </w:rPr>
            </w:pPr>
            <w:r>
              <w:rPr>
                <w:rFonts w:hint="eastAsia"/>
                <w:sz w:val="21"/>
                <w:szCs w:val="21"/>
                <w:lang w:bidi="ar"/>
              </w:rPr>
              <w:t>7.3</w:t>
            </w:r>
          </w:p>
        </w:tc>
        <w:tc>
          <w:tcPr>
            <w:tcW w:w="168" w:type="pct"/>
            <w:vAlign w:val="center"/>
          </w:tcPr>
          <w:p w14:paraId="1D3EC4EC">
            <w:pPr>
              <w:adjustRightInd/>
              <w:snapToGrid/>
              <w:spacing w:line="240" w:lineRule="auto"/>
              <w:ind w:firstLine="0" w:firstLineChars="0"/>
              <w:contextualSpacing/>
              <w:jc w:val="center"/>
              <w:rPr>
                <w:sz w:val="21"/>
                <w:szCs w:val="21"/>
              </w:rPr>
            </w:pPr>
            <w:r>
              <w:rPr>
                <w:rFonts w:hint="eastAsia"/>
                <w:sz w:val="21"/>
                <w:szCs w:val="21"/>
              </w:rPr>
              <w:t>15.2</w:t>
            </w:r>
          </w:p>
        </w:tc>
        <w:tc>
          <w:tcPr>
            <w:tcW w:w="214" w:type="pct"/>
            <w:vAlign w:val="center"/>
          </w:tcPr>
          <w:p w14:paraId="1D3EC4ED">
            <w:pPr>
              <w:adjustRightInd/>
              <w:snapToGrid/>
              <w:spacing w:line="240" w:lineRule="auto"/>
              <w:ind w:firstLine="0" w:firstLineChars="0"/>
              <w:contextualSpacing/>
              <w:jc w:val="center"/>
              <w:rPr>
                <w:sz w:val="21"/>
                <w:szCs w:val="21"/>
              </w:rPr>
            </w:pPr>
            <w:r>
              <w:rPr>
                <w:rFonts w:hint="eastAsia"/>
                <w:sz w:val="21"/>
                <w:szCs w:val="21"/>
              </w:rPr>
              <w:t>22.1</w:t>
            </w:r>
          </w:p>
        </w:tc>
        <w:tc>
          <w:tcPr>
            <w:tcW w:w="223" w:type="pct"/>
            <w:vAlign w:val="center"/>
          </w:tcPr>
          <w:p w14:paraId="1D3EC4EE">
            <w:pPr>
              <w:adjustRightInd/>
              <w:snapToGrid/>
              <w:spacing w:line="240" w:lineRule="auto"/>
              <w:ind w:firstLine="0" w:firstLineChars="0"/>
              <w:contextualSpacing/>
              <w:jc w:val="center"/>
              <w:rPr>
                <w:sz w:val="21"/>
                <w:szCs w:val="21"/>
              </w:rPr>
            </w:pPr>
            <w:r>
              <w:rPr>
                <w:rFonts w:hint="eastAsia"/>
                <w:sz w:val="21"/>
                <w:szCs w:val="21"/>
              </w:rPr>
              <w:t>62.4</w:t>
            </w:r>
          </w:p>
        </w:tc>
        <w:tc>
          <w:tcPr>
            <w:tcW w:w="240" w:type="pct"/>
            <w:vAlign w:val="center"/>
          </w:tcPr>
          <w:p w14:paraId="1D3EC4EF">
            <w:pPr>
              <w:adjustRightInd/>
              <w:snapToGrid/>
              <w:spacing w:line="240" w:lineRule="auto"/>
              <w:ind w:firstLine="0" w:firstLineChars="0"/>
              <w:contextualSpacing/>
              <w:jc w:val="center"/>
              <w:rPr>
                <w:sz w:val="21"/>
                <w:szCs w:val="21"/>
              </w:rPr>
            </w:pPr>
            <w:r>
              <w:rPr>
                <w:rFonts w:hint="eastAsia"/>
                <w:sz w:val="21"/>
                <w:szCs w:val="21"/>
              </w:rPr>
              <w:t>36.2</w:t>
            </w:r>
          </w:p>
        </w:tc>
        <w:tc>
          <w:tcPr>
            <w:tcW w:w="339" w:type="pct"/>
            <w:vAlign w:val="center"/>
          </w:tcPr>
          <w:p w14:paraId="1D3EC4F0">
            <w:pPr>
              <w:adjustRightInd/>
              <w:snapToGrid/>
              <w:spacing w:line="240" w:lineRule="auto"/>
              <w:ind w:firstLine="0" w:firstLineChars="0"/>
              <w:contextualSpacing/>
              <w:jc w:val="center"/>
              <w:rPr>
                <w:sz w:val="21"/>
                <w:szCs w:val="21"/>
              </w:rPr>
            </w:pPr>
            <w:r>
              <w:rPr>
                <w:rFonts w:hint="eastAsia"/>
                <w:sz w:val="21"/>
                <w:szCs w:val="21"/>
              </w:rPr>
              <w:t>115.4</w:t>
            </w:r>
          </w:p>
        </w:tc>
        <w:tc>
          <w:tcPr>
            <w:tcW w:w="339" w:type="pct"/>
            <w:vAlign w:val="center"/>
          </w:tcPr>
          <w:p w14:paraId="1D3EC4F1">
            <w:pPr>
              <w:adjustRightInd/>
              <w:snapToGrid/>
              <w:spacing w:line="240" w:lineRule="auto"/>
              <w:ind w:firstLine="0" w:firstLineChars="0"/>
              <w:contextualSpacing/>
              <w:jc w:val="center"/>
              <w:rPr>
                <w:sz w:val="21"/>
                <w:szCs w:val="21"/>
                <w:lang w:bidi="ar"/>
              </w:rPr>
            </w:pPr>
            <w:r>
              <w:rPr>
                <w:rFonts w:hint="eastAsia"/>
                <w:sz w:val="21"/>
                <w:szCs w:val="21"/>
                <w:lang w:bidi="ar"/>
              </w:rPr>
              <w:t>68.7</w:t>
            </w:r>
          </w:p>
        </w:tc>
        <w:tc>
          <w:tcPr>
            <w:tcW w:w="209" w:type="pct"/>
            <w:vAlign w:val="center"/>
          </w:tcPr>
          <w:p w14:paraId="1D3EC4F2">
            <w:pPr>
              <w:adjustRightInd/>
              <w:snapToGrid/>
              <w:spacing w:line="240" w:lineRule="auto"/>
              <w:ind w:firstLine="0" w:firstLineChars="0"/>
              <w:contextualSpacing/>
              <w:jc w:val="center"/>
              <w:rPr>
                <w:sz w:val="21"/>
                <w:szCs w:val="21"/>
              </w:rPr>
            </w:pPr>
            <w:r>
              <w:rPr>
                <w:rFonts w:hint="eastAsia"/>
                <w:sz w:val="21"/>
                <w:szCs w:val="21"/>
              </w:rPr>
              <w:t>51.6</w:t>
            </w:r>
          </w:p>
        </w:tc>
        <w:tc>
          <w:tcPr>
            <w:tcW w:w="245" w:type="pct"/>
            <w:vAlign w:val="center"/>
          </w:tcPr>
          <w:p w14:paraId="1D3EC4F3">
            <w:pPr>
              <w:adjustRightInd/>
              <w:snapToGrid/>
              <w:spacing w:line="240" w:lineRule="auto"/>
              <w:ind w:firstLine="0" w:firstLineChars="0"/>
              <w:contextualSpacing/>
              <w:jc w:val="center"/>
              <w:rPr>
                <w:sz w:val="21"/>
                <w:szCs w:val="21"/>
              </w:rPr>
            </w:pPr>
            <w:r>
              <w:rPr>
                <w:rFonts w:hint="eastAsia"/>
                <w:sz w:val="21"/>
                <w:szCs w:val="21"/>
              </w:rPr>
              <w:t>56.1</w:t>
            </w:r>
          </w:p>
        </w:tc>
        <w:tc>
          <w:tcPr>
            <w:tcW w:w="247" w:type="pct"/>
            <w:vAlign w:val="center"/>
          </w:tcPr>
          <w:p w14:paraId="1D3EC4F4">
            <w:pPr>
              <w:adjustRightInd/>
              <w:snapToGrid/>
              <w:spacing w:line="240" w:lineRule="auto"/>
              <w:ind w:firstLine="0" w:firstLineChars="0"/>
              <w:contextualSpacing/>
              <w:jc w:val="center"/>
              <w:rPr>
                <w:sz w:val="21"/>
                <w:szCs w:val="21"/>
              </w:rPr>
            </w:pPr>
            <w:r>
              <w:rPr>
                <w:rFonts w:hint="eastAsia"/>
                <w:sz w:val="21"/>
                <w:szCs w:val="21"/>
              </w:rPr>
              <w:t>0.241</w:t>
            </w:r>
          </w:p>
        </w:tc>
        <w:tc>
          <w:tcPr>
            <w:tcW w:w="287" w:type="pct"/>
            <w:vAlign w:val="center"/>
          </w:tcPr>
          <w:p w14:paraId="1D3EC4F5">
            <w:pPr>
              <w:adjustRightInd/>
              <w:snapToGrid/>
              <w:spacing w:line="240" w:lineRule="auto"/>
              <w:ind w:firstLine="0" w:firstLineChars="0"/>
              <w:contextualSpacing/>
              <w:jc w:val="center"/>
              <w:rPr>
                <w:sz w:val="21"/>
                <w:szCs w:val="21"/>
              </w:rPr>
            </w:pPr>
            <w:r>
              <w:rPr>
                <w:rFonts w:hint="eastAsia"/>
                <w:sz w:val="21"/>
                <w:szCs w:val="21"/>
              </w:rPr>
              <w:t>6.4</w:t>
            </w:r>
          </w:p>
        </w:tc>
        <w:tc>
          <w:tcPr>
            <w:tcW w:w="301" w:type="pct"/>
            <w:vAlign w:val="center"/>
          </w:tcPr>
          <w:p w14:paraId="1D3EC4F6">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4F7">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4F8">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4F9">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4FA">
            <w:pPr>
              <w:adjustRightInd/>
              <w:snapToGrid/>
              <w:spacing w:line="240" w:lineRule="auto"/>
              <w:ind w:firstLine="0" w:firstLineChars="0"/>
              <w:contextualSpacing/>
              <w:jc w:val="center"/>
              <w:rPr>
                <w:sz w:val="21"/>
                <w:szCs w:val="21"/>
              </w:rPr>
            </w:pPr>
            <w:r>
              <w:rPr>
                <w:sz w:val="21"/>
                <w:szCs w:val="21"/>
              </w:rPr>
              <w:t>未检出</w:t>
            </w:r>
          </w:p>
        </w:tc>
      </w:tr>
      <w:tr w14:paraId="1D3EC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continue"/>
            <w:vAlign w:val="center"/>
          </w:tcPr>
          <w:p w14:paraId="1D3EC50F">
            <w:pPr>
              <w:adjustRightInd/>
              <w:snapToGrid/>
              <w:spacing w:line="240" w:lineRule="auto"/>
              <w:ind w:firstLine="0" w:firstLineChars="0"/>
              <w:contextualSpacing/>
              <w:jc w:val="center"/>
              <w:rPr>
                <w:sz w:val="21"/>
                <w:szCs w:val="21"/>
              </w:rPr>
            </w:pPr>
          </w:p>
        </w:tc>
        <w:tc>
          <w:tcPr>
            <w:tcW w:w="371" w:type="pct"/>
            <w:vAlign w:val="center"/>
          </w:tcPr>
          <w:p w14:paraId="1D3EC510">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356" w:type="pct"/>
            <w:vAlign w:val="center"/>
          </w:tcPr>
          <w:p w14:paraId="1D3EC511">
            <w:pPr>
              <w:adjustRightInd/>
              <w:snapToGrid/>
              <w:spacing w:line="240" w:lineRule="auto"/>
              <w:ind w:firstLine="0" w:firstLineChars="0"/>
              <w:contextualSpacing/>
              <w:jc w:val="center"/>
              <w:rPr>
                <w:sz w:val="21"/>
                <w:szCs w:val="21"/>
                <w:lang w:bidi="ar"/>
              </w:rPr>
            </w:pPr>
            <w:r>
              <w:rPr>
                <w:rFonts w:hint="eastAsia"/>
                <w:sz w:val="21"/>
                <w:szCs w:val="21"/>
                <w:lang w:bidi="ar"/>
              </w:rPr>
              <w:t>7.3</w:t>
            </w:r>
          </w:p>
        </w:tc>
        <w:tc>
          <w:tcPr>
            <w:tcW w:w="168" w:type="pct"/>
            <w:vAlign w:val="center"/>
          </w:tcPr>
          <w:p w14:paraId="1D3EC512">
            <w:pPr>
              <w:adjustRightInd/>
              <w:snapToGrid/>
              <w:spacing w:line="240" w:lineRule="auto"/>
              <w:ind w:firstLine="0" w:firstLineChars="0"/>
              <w:contextualSpacing/>
              <w:jc w:val="center"/>
              <w:rPr>
                <w:sz w:val="21"/>
                <w:szCs w:val="21"/>
              </w:rPr>
            </w:pPr>
            <w:r>
              <w:rPr>
                <w:rFonts w:hint="eastAsia"/>
                <w:sz w:val="21"/>
                <w:szCs w:val="21"/>
              </w:rPr>
              <w:t>13.7</w:t>
            </w:r>
          </w:p>
        </w:tc>
        <w:tc>
          <w:tcPr>
            <w:tcW w:w="214" w:type="pct"/>
            <w:vAlign w:val="center"/>
          </w:tcPr>
          <w:p w14:paraId="1D3EC513">
            <w:pPr>
              <w:adjustRightInd/>
              <w:snapToGrid/>
              <w:spacing w:line="240" w:lineRule="auto"/>
              <w:ind w:firstLine="0" w:firstLineChars="0"/>
              <w:contextualSpacing/>
              <w:jc w:val="center"/>
              <w:rPr>
                <w:sz w:val="21"/>
                <w:szCs w:val="21"/>
              </w:rPr>
            </w:pPr>
            <w:r>
              <w:rPr>
                <w:rFonts w:hint="eastAsia"/>
                <w:sz w:val="21"/>
                <w:szCs w:val="21"/>
              </w:rPr>
              <w:t>24.8</w:t>
            </w:r>
          </w:p>
        </w:tc>
        <w:tc>
          <w:tcPr>
            <w:tcW w:w="223" w:type="pct"/>
            <w:vAlign w:val="center"/>
          </w:tcPr>
          <w:p w14:paraId="1D3EC514">
            <w:pPr>
              <w:adjustRightInd/>
              <w:snapToGrid/>
              <w:spacing w:line="240" w:lineRule="auto"/>
              <w:ind w:firstLine="0" w:firstLineChars="0"/>
              <w:contextualSpacing/>
              <w:jc w:val="center"/>
              <w:rPr>
                <w:sz w:val="21"/>
                <w:szCs w:val="21"/>
              </w:rPr>
            </w:pPr>
            <w:r>
              <w:rPr>
                <w:rFonts w:hint="eastAsia"/>
                <w:sz w:val="21"/>
                <w:szCs w:val="21"/>
              </w:rPr>
              <w:t>44.7</w:t>
            </w:r>
          </w:p>
        </w:tc>
        <w:tc>
          <w:tcPr>
            <w:tcW w:w="240" w:type="pct"/>
            <w:vAlign w:val="center"/>
          </w:tcPr>
          <w:p w14:paraId="1D3EC515">
            <w:pPr>
              <w:adjustRightInd/>
              <w:snapToGrid/>
              <w:spacing w:line="240" w:lineRule="auto"/>
              <w:ind w:firstLine="0" w:firstLineChars="0"/>
              <w:contextualSpacing/>
              <w:jc w:val="center"/>
              <w:rPr>
                <w:sz w:val="21"/>
                <w:szCs w:val="21"/>
              </w:rPr>
            </w:pPr>
            <w:r>
              <w:rPr>
                <w:rFonts w:hint="eastAsia"/>
                <w:sz w:val="21"/>
                <w:szCs w:val="21"/>
              </w:rPr>
              <w:t>24.5</w:t>
            </w:r>
          </w:p>
        </w:tc>
        <w:tc>
          <w:tcPr>
            <w:tcW w:w="339" w:type="pct"/>
            <w:vAlign w:val="center"/>
          </w:tcPr>
          <w:p w14:paraId="1D3EC516">
            <w:pPr>
              <w:adjustRightInd/>
              <w:snapToGrid/>
              <w:spacing w:line="240" w:lineRule="auto"/>
              <w:ind w:firstLine="0" w:firstLineChars="0"/>
              <w:contextualSpacing/>
              <w:jc w:val="center"/>
              <w:rPr>
                <w:sz w:val="21"/>
                <w:szCs w:val="21"/>
              </w:rPr>
            </w:pPr>
            <w:r>
              <w:rPr>
                <w:rFonts w:hint="eastAsia"/>
                <w:sz w:val="21"/>
                <w:szCs w:val="21"/>
              </w:rPr>
              <w:t>84.9</w:t>
            </w:r>
          </w:p>
        </w:tc>
        <w:tc>
          <w:tcPr>
            <w:tcW w:w="339" w:type="pct"/>
            <w:vAlign w:val="center"/>
          </w:tcPr>
          <w:p w14:paraId="1D3EC517">
            <w:pPr>
              <w:adjustRightInd/>
              <w:snapToGrid/>
              <w:spacing w:line="240" w:lineRule="auto"/>
              <w:ind w:firstLine="0" w:firstLineChars="0"/>
              <w:contextualSpacing/>
              <w:jc w:val="center"/>
              <w:rPr>
                <w:sz w:val="21"/>
                <w:szCs w:val="21"/>
                <w:lang w:bidi="ar"/>
              </w:rPr>
            </w:pPr>
            <w:r>
              <w:rPr>
                <w:rFonts w:hint="eastAsia"/>
                <w:sz w:val="21"/>
                <w:szCs w:val="21"/>
                <w:lang w:bidi="ar"/>
              </w:rPr>
              <w:t>49.6</w:t>
            </w:r>
          </w:p>
        </w:tc>
        <w:tc>
          <w:tcPr>
            <w:tcW w:w="209" w:type="pct"/>
            <w:vAlign w:val="center"/>
          </w:tcPr>
          <w:p w14:paraId="1D3EC518">
            <w:pPr>
              <w:adjustRightInd/>
              <w:snapToGrid/>
              <w:spacing w:line="240" w:lineRule="auto"/>
              <w:ind w:firstLine="0" w:firstLineChars="0"/>
              <w:contextualSpacing/>
              <w:jc w:val="center"/>
              <w:rPr>
                <w:sz w:val="21"/>
                <w:szCs w:val="21"/>
              </w:rPr>
            </w:pPr>
            <w:r>
              <w:rPr>
                <w:rFonts w:hint="eastAsia"/>
                <w:sz w:val="21"/>
                <w:szCs w:val="21"/>
              </w:rPr>
              <w:t>48.2</w:t>
            </w:r>
          </w:p>
        </w:tc>
        <w:tc>
          <w:tcPr>
            <w:tcW w:w="245" w:type="pct"/>
            <w:vAlign w:val="center"/>
          </w:tcPr>
          <w:p w14:paraId="1D3EC519">
            <w:pPr>
              <w:adjustRightInd/>
              <w:snapToGrid/>
              <w:spacing w:line="240" w:lineRule="auto"/>
              <w:ind w:firstLine="0" w:firstLineChars="0"/>
              <w:contextualSpacing/>
              <w:jc w:val="center"/>
              <w:rPr>
                <w:sz w:val="21"/>
                <w:szCs w:val="21"/>
              </w:rPr>
            </w:pPr>
            <w:r>
              <w:rPr>
                <w:rFonts w:hint="eastAsia"/>
                <w:sz w:val="21"/>
                <w:szCs w:val="21"/>
              </w:rPr>
              <w:t>62.3</w:t>
            </w:r>
          </w:p>
        </w:tc>
        <w:tc>
          <w:tcPr>
            <w:tcW w:w="247" w:type="pct"/>
            <w:vAlign w:val="center"/>
          </w:tcPr>
          <w:p w14:paraId="1D3EC51A">
            <w:pPr>
              <w:adjustRightInd/>
              <w:snapToGrid/>
              <w:spacing w:line="240" w:lineRule="auto"/>
              <w:ind w:firstLine="0" w:firstLineChars="0"/>
              <w:contextualSpacing/>
              <w:jc w:val="center"/>
              <w:rPr>
                <w:sz w:val="21"/>
                <w:szCs w:val="21"/>
              </w:rPr>
            </w:pPr>
            <w:r>
              <w:rPr>
                <w:rFonts w:hint="eastAsia"/>
                <w:sz w:val="21"/>
                <w:szCs w:val="21"/>
              </w:rPr>
              <w:t>0.245</w:t>
            </w:r>
          </w:p>
        </w:tc>
        <w:tc>
          <w:tcPr>
            <w:tcW w:w="287" w:type="pct"/>
            <w:vAlign w:val="center"/>
          </w:tcPr>
          <w:p w14:paraId="1D3EC51B">
            <w:pPr>
              <w:adjustRightInd/>
              <w:snapToGrid/>
              <w:spacing w:line="240" w:lineRule="auto"/>
              <w:ind w:firstLine="0" w:firstLineChars="0"/>
              <w:contextualSpacing/>
              <w:jc w:val="center"/>
              <w:rPr>
                <w:sz w:val="21"/>
                <w:szCs w:val="21"/>
              </w:rPr>
            </w:pPr>
            <w:r>
              <w:rPr>
                <w:rFonts w:hint="eastAsia"/>
                <w:sz w:val="21"/>
                <w:szCs w:val="21"/>
              </w:rPr>
              <w:t>6.8</w:t>
            </w:r>
          </w:p>
        </w:tc>
        <w:tc>
          <w:tcPr>
            <w:tcW w:w="301" w:type="pct"/>
            <w:vAlign w:val="center"/>
          </w:tcPr>
          <w:p w14:paraId="1D3EC51C">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51D">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51E">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51F">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520">
            <w:pPr>
              <w:adjustRightInd/>
              <w:snapToGrid/>
              <w:spacing w:line="240" w:lineRule="auto"/>
              <w:ind w:firstLine="0" w:firstLineChars="0"/>
              <w:contextualSpacing/>
              <w:jc w:val="center"/>
              <w:rPr>
                <w:sz w:val="21"/>
                <w:szCs w:val="21"/>
              </w:rPr>
            </w:pPr>
            <w:r>
              <w:rPr>
                <w:sz w:val="21"/>
                <w:szCs w:val="21"/>
              </w:rPr>
              <w:t>未检出</w:t>
            </w:r>
          </w:p>
        </w:tc>
      </w:tr>
      <w:tr w14:paraId="1D3EC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restart"/>
            <w:vAlign w:val="center"/>
          </w:tcPr>
          <w:p w14:paraId="1D3EC535">
            <w:pPr>
              <w:adjustRightInd/>
              <w:snapToGrid/>
              <w:spacing w:line="240" w:lineRule="auto"/>
              <w:ind w:firstLine="0" w:firstLineChars="0"/>
              <w:contextualSpacing/>
              <w:jc w:val="center"/>
              <w:rPr>
                <w:sz w:val="21"/>
                <w:szCs w:val="21"/>
              </w:rPr>
            </w:pPr>
            <w:r>
              <w:rPr>
                <w:sz w:val="21"/>
                <w:szCs w:val="21"/>
              </w:rPr>
              <w:t>7#</w:t>
            </w:r>
            <w:r>
              <w:rPr>
                <w:rFonts w:hint="eastAsia"/>
                <w:sz w:val="21"/>
                <w:szCs w:val="21"/>
              </w:rPr>
              <w:t>下园村东北</w:t>
            </w:r>
          </w:p>
        </w:tc>
        <w:tc>
          <w:tcPr>
            <w:tcW w:w="371" w:type="pct"/>
            <w:vAlign w:val="center"/>
          </w:tcPr>
          <w:p w14:paraId="1D3EC536">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356" w:type="pct"/>
            <w:vAlign w:val="center"/>
          </w:tcPr>
          <w:p w14:paraId="1D3EC537">
            <w:pPr>
              <w:adjustRightInd/>
              <w:snapToGrid/>
              <w:spacing w:line="240" w:lineRule="auto"/>
              <w:ind w:firstLine="0" w:firstLineChars="0"/>
              <w:contextualSpacing/>
              <w:jc w:val="center"/>
              <w:rPr>
                <w:sz w:val="21"/>
                <w:szCs w:val="21"/>
                <w:lang w:bidi="ar"/>
              </w:rPr>
            </w:pPr>
            <w:r>
              <w:rPr>
                <w:rFonts w:hint="eastAsia"/>
                <w:sz w:val="21"/>
                <w:szCs w:val="21"/>
                <w:lang w:bidi="ar"/>
              </w:rPr>
              <w:t>7.4</w:t>
            </w:r>
          </w:p>
        </w:tc>
        <w:tc>
          <w:tcPr>
            <w:tcW w:w="168" w:type="pct"/>
            <w:vAlign w:val="center"/>
          </w:tcPr>
          <w:p w14:paraId="1D3EC538">
            <w:pPr>
              <w:adjustRightInd/>
              <w:snapToGrid/>
              <w:spacing w:line="240" w:lineRule="auto"/>
              <w:ind w:firstLine="0" w:firstLineChars="0"/>
              <w:contextualSpacing/>
              <w:jc w:val="center"/>
              <w:rPr>
                <w:sz w:val="21"/>
                <w:szCs w:val="21"/>
              </w:rPr>
            </w:pPr>
            <w:r>
              <w:rPr>
                <w:rFonts w:hint="eastAsia"/>
                <w:sz w:val="21"/>
                <w:szCs w:val="21"/>
              </w:rPr>
              <w:t>14.6</w:t>
            </w:r>
          </w:p>
        </w:tc>
        <w:tc>
          <w:tcPr>
            <w:tcW w:w="214" w:type="pct"/>
            <w:vAlign w:val="center"/>
          </w:tcPr>
          <w:p w14:paraId="1D3EC539">
            <w:pPr>
              <w:adjustRightInd/>
              <w:snapToGrid/>
              <w:spacing w:line="240" w:lineRule="auto"/>
              <w:ind w:firstLine="0" w:firstLineChars="0"/>
              <w:contextualSpacing/>
              <w:jc w:val="center"/>
              <w:rPr>
                <w:sz w:val="21"/>
                <w:szCs w:val="21"/>
              </w:rPr>
            </w:pPr>
            <w:r>
              <w:rPr>
                <w:rFonts w:hint="eastAsia"/>
                <w:sz w:val="21"/>
                <w:szCs w:val="21"/>
              </w:rPr>
              <w:t>24.3</w:t>
            </w:r>
          </w:p>
        </w:tc>
        <w:tc>
          <w:tcPr>
            <w:tcW w:w="223" w:type="pct"/>
            <w:vAlign w:val="center"/>
          </w:tcPr>
          <w:p w14:paraId="1D3EC53A">
            <w:pPr>
              <w:adjustRightInd/>
              <w:snapToGrid/>
              <w:spacing w:line="240" w:lineRule="auto"/>
              <w:ind w:firstLine="0" w:firstLineChars="0"/>
              <w:contextualSpacing/>
              <w:jc w:val="center"/>
              <w:rPr>
                <w:sz w:val="21"/>
                <w:szCs w:val="21"/>
              </w:rPr>
            </w:pPr>
            <w:r>
              <w:rPr>
                <w:rFonts w:hint="eastAsia"/>
                <w:sz w:val="21"/>
                <w:szCs w:val="21"/>
              </w:rPr>
              <w:t>58.3</w:t>
            </w:r>
          </w:p>
        </w:tc>
        <w:tc>
          <w:tcPr>
            <w:tcW w:w="240" w:type="pct"/>
            <w:vAlign w:val="center"/>
          </w:tcPr>
          <w:p w14:paraId="1D3EC53B">
            <w:pPr>
              <w:adjustRightInd/>
              <w:snapToGrid/>
              <w:spacing w:line="240" w:lineRule="auto"/>
              <w:ind w:firstLine="0" w:firstLineChars="0"/>
              <w:contextualSpacing/>
              <w:jc w:val="center"/>
              <w:rPr>
                <w:sz w:val="21"/>
                <w:szCs w:val="21"/>
              </w:rPr>
            </w:pPr>
            <w:r>
              <w:rPr>
                <w:rFonts w:hint="eastAsia"/>
                <w:sz w:val="21"/>
                <w:szCs w:val="21"/>
              </w:rPr>
              <w:t>25.7</w:t>
            </w:r>
          </w:p>
        </w:tc>
        <w:tc>
          <w:tcPr>
            <w:tcW w:w="339" w:type="pct"/>
            <w:vAlign w:val="center"/>
          </w:tcPr>
          <w:p w14:paraId="1D3EC53C">
            <w:pPr>
              <w:adjustRightInd/>
              <w:snapToGrid/>
              <w:spacing w:line="240" w:lineRule="auto"/>
              <w:ind w:firstLine="0" w:firstLineChars="0"/>
              <w:contextualSpacing/>
              <w:jc w:val="center"/>
              <w:rPr>
                <w:sz w:val="21"/>
                <w:szCs w:val="21"/>
              </w:rPr>
            </w:pPr>
            <w:r>
              <w:rPr>
                <w:rFonts w:hint="eastAsia"/>
                <w:sz w:val="21"/>
                <w:szCs w:val="21"/>
              </w:rPr>
              <w:t>94.7</w:t>
            </w:r>
          </w:p>
        </w:tc>
        <w:tc>
          <w:tcPr>
            <w:tcW w:w="339" w:type="pct"/>
            <w:vAlign w:val="center"/>
          </w:tcPr>
          <w:p w14:paraId="1D3EC53D">
            <w:pPr>
              <w:adjustRightInd/>
              <w:snapToGrid/>
              <w:spacing w:line="240" w:lineRule="auto"/>
              <w:ind w:firstLine="0" w:firstLineChars="0"/>
              <w:contextualSpacing/>
              <w:jc w:val="center"/>
              <w:rPr>
                <w:sz w:val="21"/>
                <w:szCs w:val="21"/>
                <w:lang w:bidi="ar"/>
              </w:rPr>
            </w:pPr>
            <w:r>
              <w:rPr>
                <w:rFonts w:hint="eastAsia"/>
                <w:sz w:val="21"/>
                <w:szCs w:val="21"/>
                <w:lang w:bidi="ar"/>
              </w:rPr>
              <w:t>59.6</w:t>
            </w:r>
          </w:p>
        </w:tc>
        <w:tc>
          <w:tcPr>
            <w:tcW w:w="209" w:type="pct"/>
            <w:vAlign w:val="center"/>
          </w:tcPr>
          <w:p w14:paraId="1D3EC53E">
            <w:pPr>
              <w:adjustRightInd/>
              <w:snapToGrid/>
              <w:spacing w:line="240" w:lineRule="auto"/>
              <w:ind w:firstLine="0" w:firstLineChars="0"/>
              <w:contextualSpacing/>
              <w:jc w:val="center"/>
              <w:rPr>
                <w:sz w:val="21"/>
                <w:szCs w:val="21"/>
              </w:rPr>
            </w:pPr>
            <w:r>
              <w:rPr>
                <w:rFonts w:hint="eastAsia"/>
                <w:sz w:val="21"/>
                <w:szCs w:val="21"/>
              </w:rPr>
              <w:t>52.4</w:t>
            </w:r>
          </w:p>
        </w:tc>
        <w:tc>
          <w:tcPr>
            <w:tcW w:w="245" w:type="pct"/>
            <w:vAlign w:val="center"/>
          </w:tcPr>
          <w:p w14:paraId="1D3EC53F">
            <w:pPr>
              <w:adjustRightInd/>
              <w:snapToGrid/>
              <w:spacing w:line="240" w:lineRule="auto"/>
              <w:ind w:firstLine="0" w:firstLineChars="0"/>
              <w:contextualSpacing/>
              <w:jc w:val="center"/>
              <w:rPr>
                <w:sz w:val="21"/>
                <w:szCs w:val="21"/>
              </w:rPr>
            </w:pPr>
            <w:r>
              <w:rPr>
                <w:rFonts w:hint="eastAsia"/>
                <w:sz w:val="21"/>
                <w:szCs w:val="21"/>
              </w:rPr>
              <w:t>66.5</w:t>
            </w:r>
          </w:p>
        </w:tc>
        <w:tc>
          <w:tcPr>
            <w:tcW w:w="247" w:type="pct"/>
            <w:vAlign w:val="center"/>
          </w:tcPr>
          <w:p w14:paraId="1D3EC540">
            <w:pPr>
              <w:adjustRightInd/>
              <w:snapToGrid/>
              <w:spacing w:line="240" w:lineRule="auto"/>
              <w:ind w:firstLine="0" w:firstLineChars="0"/>
              <w:contextualSpacing/>
              <w:jc w:val="center"/>
              <w:rPr>
                <w:sz w:val="21"/>
                <w:szCs w:val="21"/>
              </w:rPr>
            </w:pPr>
            <w:r>
              <w:rPr>
                <w:rFonts w:hint="eastAsia"/>
                <w:sz w:val="21"/>
                <w:szCs w:val="21"/>
              </w:rPr>
              <w:t>0.253</w:t>
            </w:r>
          </w:p>
        </w:tc>
        <w:tc>
          <w:tcPr>
            <w:tcW w:w="287" w:type="pct"/>
            <w:vAlign w:val="center"/>
          </w:tcPr>
          <w:p w14:paraId="1D3EC541">
            <w:pPr>
              <w:adjustRightInd/>
              <w:snapToGrid/>
              <w:spacing w:line="240" w:lineRule="auto"/>
              <w:ind w:firstLine="0" w:firstLineChars="0"/>
              <w:contextualSpacing/>
              <w:jc w:val="center"/>
              <w:rPr>
                <w:sz w:val="21"/>
                <w:szCs w:val="21"/>
              </w:rPr>
            </w:pPr>
            <w:r>
              <w:rPr>
                <w:rFonts w:hint="eastAsia"/>
                <w:sz w:val="21"/>
                <w:szCs w:val="21"/>
              </w:rPr>
              <w:t>7.3</w:t>
            </w:r>
          </w:p>
        </w:tc>
        <w:tc>
          <w:tcPr>
            <w:tcW w:w="301" w:type="pct"/>
            <w:vAlign w:val="center"/>
          </w:tcPr>
          <w:p w14:paraId="1D3EC542">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543">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544">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545">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546">
            <w:pPr>
              <w:adjustRightInd/>
              <w:snapToGrid/>
              <w:spacing w:line="240" w:lineRule="auto"/>
              <w:ind w:firstLine="0" w:firstLineChars="0"/>
              <w:contextualSpacing/>
              <w:jc w:val="center"/>
              <w:rPr>
                <w:sz w:val="21"/>
                <w:szCs w:val="21"/>
              </w:rPr>
            </w:pPr>
            <w:r>
              <w:rPr>
                <w:sz w:val="21"/>
                <w:szCs w:val="21"/>
              </w:rPr>
              <w:t>未检出</w:t>
            </w:r>
          </w:p>
        </w:tc>
      </w:tr>
      <w:tr w14:paraId="1D3EC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87" w:type="pct"/>
            <w:vMerge w:val="continue"/>
            <w:vAlign w:val="center"/>
          </w:tcPr>
          <w:p w14:paraId="1D3EC55B">
            <w:pPr>
              <w:adjustRightInd/>
              <w:snapToGrid/>
              <w:spacing w:line="240" w:lineRule="auto"/>
              <w:ind w:firstLine="0" w:firstLineChars="0"/>
              <w:contextualSpacing/>
              <w:jc w:val="center"/>
              <w:rPr>
                <w:sz w:val="21"/>
                <w:szCs w:val="21"/>
                <w:highlight w:val="yellow"/>
              </w:rPr>
            </w:pPr>
          </w:p>
        </w:tc>
        <w:tc>
          <w:tcPr>
            <w:tcW w:w="371" w:type="pct"/>
            <w:vAlign w:val="center"/>
          </w:tcPr>
          <w:p w14:paraId="1D3EC55C">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356" w:type="pct"/>
            <w:vAlign w:val="center"/>
          </w:tcPr>
          <w:p w14:paraId="1D3EC55D">
            <w:pPr>
              <w:adjustRightInd/>
              <w:snapToGrid/>
              <w:spacing w:line="240" w:lineRule="auto"/>
              <w:ind w:firstLine="0" w:firstLineChars="0"/>
              <w:contextualSpacing/>
              <w:jc w:val="center"/>
              <w:rPr>
                <w:sz w:val="21"/>
                <w:szCs w:val="21"/>
                <w:lang w:bidi="ar"/>
              </w:rPr>
            </w:pPr>
            <w:r>
              <w:rPr>
                <w:rFonts w:hint="eastAsia"/>
                <w:sz w:val="21"/>
                <w:szCs w:val="21"/>
                <w:lang w:bidi="ar"/>
              </w:rPr>
              <w:t>7.3</w:t>
            </w:r>
          </w:p>
        </w:tc>
        <w:tc>
          <w:tcPr>
            <w:tcW w:w="168" w:type="pct"/>
            <w:vAlign w:val="center"/>
          </w:tcPr>
          <w:p w14:paraId="1D3EC55E">
            <w:pPr>
              <w:adjustRightInd/>
              <w:snapToGrid/>
              <w:spacing w:line="240" w:lineRule="auto"/>
              <w:ind w:firstLine="0" w:firstLineChars="0"/>
              <w:contextualSpacing/>
              <w:jc w:val="center"/>
              <w:rPr>
                <w:sz w:val="21"/>
                <w:szCs w:val="21"/>
              </w:rPr>
            </w:pPr>
            <w:r>
              <w:rPr>
                <w:rFonts w:hint="eastAsia"/>
                <w:sz w:val="21"/>
                <w:szCs w:val="21"/>
              </w:rPr>
              <w:t>14.1</w:t>
            </w:r>
          </w:p>
        </w:tc>
        <w:tc>
          <w:tcPr>
            <w:tcW w:w="214" w:type="pct"/>
            <w:vAlign w:val="center"/>
          </w:tcPr>
          <w:p w14:paraId="1D3EC55F">
            <w:pPr>
              <w:adjustRightInd/>
              <w:snapToGrid/>
              <w:spacing w:line="240" w:lineRule="auto"/>
              <w:ind w:firstLine="0" w:firstLineChars="0"/>
              <w:contextualSpacing/>
              <w:jc w:val="center"/>
              <w:rPr>
                <w:sz w:val="21"/>
                <w:szCs w:val="21"/>
              </w:rPr>
            </w:pPr>
            <w:r>
              <w:rPr>
                <w:rFonts w:hint="eastAsia"/>
                <w:sz w:val="21"/>
                <w:szCs w:val="21"/>
              </w:rPr>
              <w:t>23.6</w:t>
            </w:r>
          </w:p>
        </w:tc>
        <w:tc>
          <w:tcPr>
            <w:tcW w:w="223" w:type="pct"/>
            <w:vAlign w:val="center"/>
          </w:tcPr>
          <w:p w14:paraId="1D3EC560">
            <w:pPr>
              <w:adjustRightInd/>
              <w:snapToGrid/>
              <w:spacing w:line="240" w:lineRule="auto"/>
              <w:ind w:firstLine="0" w:firstLineChars="0"/>
              <w:contextualSpacing/>
              <w:jc w:val="center"/>
              <w:rPr>
                <w:sz w:val="21"/>
                <w:szCs w:val="21"/>
              </w:rPr>
            </w:pPr>
            <w:r>
              <w:rPr>
                <w:rFonts w:hint="eastAsia"/>
                <w:sz w:val="21"/>
                <w:szCs w:val="21"/>
              </w:rPr>
              <w:t>46.3</w:t>
            </w:r>
          </w:p>
        </w:tc>
        <w:tc>
          <w:tcPr>
            <w:tcW w:w="240" w:type="pct"/>
            <w:vAlign w:val="center"/>
          </w:tcPr>
          <w:p w14:paraId="1D3EC561">
            <w:pPr>
              <w:adjustRightInd/>
              <w:snapToGrid/>
              <w:spacing w:line="240" w:lineRule="auto"/>
              <w:ind w:firstLine="0" w:firstLineChars="0"/>
              <w:contextualSpacing/>
              <w:jc w:val="center"/>
              <w:rPr>
                <w:sz w:val="21"/>
                <w:szCs w:val="21"/>
              </w:rPr>
            </w:pPr>
            <w:r>
              <w:rPr>
                <w:rFonts w:hint="eastAsia"/>
                <w:sz w:val="21"/>
                <w:szCs w:val="21"/>
              </w:rPr>
              <w:t>26.3</w:t>
            </w:r>
          </w:p>
        </w:tc>
        <w:tc>
          <w:tcPr>
            <w:tcW w:w="339" w:type="pct"/>
            <w:vAlign w:val="center"/>
          </w:tcPr>
          <w:p w14:paraId="1D3EC562">
            <w:pPr>
              <w:adjustRightInd/>
              <w:snapToGrid/>
              <w:spacing w:line="240" w:lineRule="auto"/>
              <w:ind w:firstLine="0" w:firstLineChars="0"/>
              <w:contextualSpacing/>
              <w:jc w:val="center"/>
              <w:rPr>
                <w:sz w:val="21"/>
                <w:szCs w:val="21"/>
              </w:rPr>
            </w:pPr>
            <w:r>
              <w:rPr>
                <w:rFonts w:hint="eastAsia"/>
                <w:sz w:val="21"/>
                <w:szCs w:val="21"/>
              </w:rPr>
              <w:t>90.3</w:t>
            </w:r>
          </w:p>
        </w:tc>
        <w:tc>
          <w:tcPr>
            <w:tcW w:w="339" w:type="pct"/>
            <w:vAlign w:val="center"/>
          </w:tcPr>
          <w:p w14:paraId="1D3EC563">
            <w:pPr>
              <w:adjustRightInd/>
              <w:snapToGrid/>
              <w:spacing w:line="240" w:lineRule="auto"/>
              <w:ind w:firstLine="0" w:firstLineChars="0"/>
              <w:contextualSpacing/>
              <w:jc w:val="center"/>
              <w:rPr>
                <w:sz w:val="21"/>
                <w:szCs w:val="21"/>
                <w:lang w:bidi="ar"/>
              </w:rPr>
            </w:pPr>
            <w:r>
              <w:rPr>
                <w:rFonts w:hint="eastAsia"/>
                <w:sz w:val="21"/>
                <w:szCs w:val="21"/>
                <w:lang w:bidi="ar"/>
              </w:rPr>
              <w:t>57.2</w:t>
            </w:r>
          </w:p>
        </w:tc>
        <w:tc>
          <w:tcPr>
            <w:tcW w:w="209" w:type="pct"/>
            <w:vAlign w:val="center"/>
          </w:tcPr>
          <w:p w14:paraId="1D3EC564">
            <w:pPr>
              <w:adjustRightInd/>
              <w:snapToGrid/>
              <w:spacing w:line="240" w:lineRule="auto"/>
              <w:ind w:firstLine="0" w:firstLineChars="0"/>
              <w:contextualSpacing/>
              <w:jc w:val="center"/>
              <w:rPr>
                <w:sz w:val="21"/>
                <w:szCs w:val="21"/>
              </w:rPr>
            </w:pPr>
            <w:r>
              <w:rPr>
                <w:rFonts w:hint="eastAsia"/>
                <w:sz w:val="21"/>
                <w:szCs w:val="21"/>
              </w:rPr>
              <w:t>32.6</w:t>
            </w:r>
          </w:p>
        </w:tc>
        <w:tc>
          <w:tcPr>
            <w:tcW w:w="245" w:type="pct"/>
            <w:vAlign w:val="center"/>
          </w:tcPr>
          <w:p w14:paraId="1D3EC565">
            <w:pPr>
              <w:adjustRightInd/>
              <w:snapToGrid/>
              <w:spacing w:line="240" w:lineRule="auto"/>
              <w:ind w:firstLine="0" w:firstLineChars="0"/>
              <w:contextualSpacing/>
              <w:jc w:val="center"/>
              <w:rPr>
                <w:sz w:val="21"/>
                <w:szCs w:val="21"/>
              </w:rPr>
            </w:pPr>
            <w:r>
              <w:rPr>
                <w:rFonts w:hint="eastAsia"/>
                <w:sz w:val="21"/>
                <w:szCs w:val="21"/>
              </w:rPr>
              <w:t>54.3</w:t>
            </w:r>
          </w:p>
        </w:tc>
        <w:tc>
          <w:tcPr>
            <w:tcW w:w="247" w:type="pct"/>
            <w:vAlign w:val="center"/>
          </w:tcPr>
          <w:p w14:paraId="1D3EC566">
            <w:pPr>
              <w:adjustRightInd/>
              <w:snapToGrid/>
              <w:spacing w:line="240" w:lineRule="auto"/>
              <w:ind w:firstLine="0" w:firstLineChars="0"/>
              <w:contextualSpacing/>
              <w:jc w:val="center"/>
              <w:rPr>
                <w:sz w:val="21"/>
                <w:szCs w:val="21"/>
              </w:rPr>
            </w:pPr>
            <w:r>
              <w:rPr>
                <w:rFonts w:hint="eastAsia"/>
                <w:sz w:val="21"/>
                <w:szCs w:val="21"/>
              </w:rPr>
              <w:t>0.225</w:t>
            </w:r>
          </w:p>
        </w:tc>
        <w:tc>
          <w:tcPr>
            <w:tcW w:w="287" w:type="pct"/>
            <w:vAlign w:val="center"/>
          </w:tcPr>
          <w:p w14:paraId="1D3EC567">
            <w:pPr>
              <w:adjustRightInd/>
              <w:snapToGrid/>
              <w:spacing w:line="240" w:lineRule="auto"/>
              <w:ind w:firstLine="0" w:firstLineChars="0"/>
              <w:contextualSpacing/>
              <w:jc w:val="center"/>
              <w:rPr>
                <w:sz w:val="21"/>
                <w:szCs w:val="21"/>
              </w:rPr>
            </w:pPr>
            <w:r>
              <w:rPr>
                <w:rFonts w:hint="eastAsia"/>
                <w:sz w:val="21"/>
                <w:szCs w:val="21"/>
              </w:rPr>
              <w:t>6.2</w:t>
            </w:r>
          </w:p>
        </w:tc>
        <w:tc>
          <w:tcPr>
            <w:tcW w:w="301" w:type="pct"/>
            <w:vAlign w:val="center"/>
          </w:tcPr>
          <w:p w14:paraId="1D3EC568">
            <w:pPr>
              <w:adjustRightInd/>
              <w:snapToGrid/>
              <w:spacing w:line="240" w:lineRule="auto"/>
              <w:ind w:firstLine="0" w:firstLineChars="0"/>
              <w:contextualSpacing/>
              <w:jc w:val="center"/>
              <w:rPr>
                <w:sz w:val="21"/>
                <w:szCs w:val="21"/>
              </w:rPr>
            </w:pPr>
            <w:r>
              <w:rPr>
                <w:sz w:val="21"/>
                <w:szCs w:val="21"/>
              </w:rPr>
              <w:t>未检出</w:t>
            </w:r>
          </w:p>
        </w:tc>
        <w:tc>
          <w:tcPr>
            <w:tcW w:w="301" w:type="pct"/>
            <w:vAlign w:val="center"/>
          </w:tcPr>
          <w:p w14:paraId="1D3EC569">
            <w:pPr>
              <w:adjustRightInd/>
              <w:snapToGrid/>
              <w:spacing w:line="240" w:lineRule="auto"/>
              <w:ind w:firstLine="0" w:firstLineChars="0"/>
              <w:contextualSpacing/>
              <w:jc w:val="center"/>
              <w:rPr>
                <w:sz w:val="21"/>
                <w:szCs w:val="21"/>
              </w:rPr>
            </w:pPr>
            <w:r>
              <w:rPr>
                <w:sz w:val="21"/>
                <w:szCs w:val="21"/>
              </w:rPr>
              <w:t>未检出</w:t>
            </w:r>
          </w:p>
        </w:tc>
        <w:tc>
          <w:tcPr>
            <w:tcW w:w="255" w:type="pct"/>
            <w:vAlign w:val="center"/>
          </w:tcPr>
          <w:p w14:paraId="1D3EC56A">
            <w:pPr>
              <w:adjustRightInd/>
              <w:snapToGrid/>
              <w:spacing w:line="240" w:lineRule="auto"/>
              <w:ind w:firstLine="0" w:firstLineChars="0"/>
              <w:contextualSpacing/>
              <w:jc w:val="center"/>
              <w:rPr>
                <w:sz w:val="21"/>
                <w:szCs w:val="21"/>
              </w:rPr>
            </w:pPr>
            <w:r>
              <w:rPr>
                <w:sz w:val="21"/>
                <w:szCs w:val="21"/>
              </w:rPr>
              <w:t>未检出</w:t>
            </w:r>
          </w:p>
        </w:tc>
        <w:tc>
          <w:tcPr>
            <w:tcW w:w="293" w:type="pct"/>
            <w:vAlign w:val="center"/>
          </w:tcPr>
          <w:p w14:paraId="1D3EC56B">
            <w:pPr>
              <w:adjustRightInd/>
              <w:snapToGrid/>
              <w:spacing w:line="240" w:lineRule="auto"/>
              <w:ind w:firstLine="0" w:firstLineChars="0"/>
              <w:contextualSpacing/>
              <w:jc w:val="center"/>
              <w:rPr>
                <w:sz w:val="21"/>
                <w:szCs w:val="21"/>
              </w:rPr>
            </w:pPr>
            <w:r>
              <w:rPr>
                <w:sz w:val="21"/>
                <w:szCs w:val="21"/>
              </w:rPr>
              <w:t>未检出</w:t>
            </w:r>
          </w:p>
        </w:tc>
        <w:tc>
          <w:tcPr>
            <w:tcW w:w="325" w:type="pct"/>
            <w:vAlign w:val="center"/>
          </w:tcPr>
          <w:p w14:paraId="1D3EC56C">
            <w:pPr>
              <w:adjustRightInd/>
              <w:snapToGrid/>
              <w:spacing w:line="240" w:lineRule="auto"/>
              <w:ind w:firstLine="0" w:firstLineChars="0"/>
              <w:contextualSpacing/>
              <w:jc w:val="center"/>
              <w:rPr>
                <w:sz w:val="21"/>
                <w:szCs w:val="21"/>
              </w:rPr>
            </w:pPr>
            <w:r>
              <w:rPr>
                <w:sz w:val="21"/>
                <w:szCs w:val="21"/>
              </w:rPr>
              <w:t>未检出</w:t>
            </w:r>
          </w:p>
        </w:tc>
      </w:tr>
      <w:tr w14:paraId="1D3EC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gridSpan w:val="2"/>
            <w:vAlign w:val="center"/>
          </w:tcPr>
          <w:p w14:paraId="1D3EC665">
            <w:pPr>
              <w:adjustRightInd/>
              <w:snapToGrid/>
              <w:spacing w:line="240" w:lineRule="auto"/>
              <w:ind w:firstLine="0" w:firstLineChars="0"/>
              <w:contextualSpacing/>
              <w:jc w:val="center"/>
              <w:rPr>
                <w:sz w:val="21"/>
                <w:szCs w:val="21"/>
              </w:rPr>
            </w:pPr>
            <w:r>
              <w:rPr>
                <w:sz w:val="21"/>
                <w:szCs w:val="21"/>
              </w:rPr>
              <w:t>标准值</w:t>
            </w:r>
          </w:p>
        </w:tc>
        <w:tc>
          <w:tcPr>
            <w:tcW w:w="356" w:type="pct"/>
            <w:vAlign w:val="center"/>
          </w:tcPr>
          <w:p w14:paraId="1D3EC667">
            <w:pPr>
              <w:adjustRightInd/>
              <w:snapToGrid/>
              <w:spacing w:line="240" w:lineRule="auto"/>
              <w:ind w:firstLine="0" w:firstLineChars="0"/>
              <w:contextualSpacing/>
              <w:jc w:val="center"/>
              <w:rPr>
                <w:sz w:val="21"/>
                <w:szCs w:val="21"/>
                <w:lang w:bidi="ar"/>
              </w:rPr>
            </w:pPr>
            <w:r>
              <w:rPr>
                <w:sz w:val="21"/>
                <w:szCs w:val="21"/>
                <w:lang w:bidi="ar"/>
              </w:rPr>
              <w:t>6.5~8.5</w:t>
            </w:r>
          </w:p>
        </w:tc>
        <w:tc>
          <w:tcPr>
            <w:tcW w:w="168" w:type="pct"/>
            <w:vAlign w:val="center"/>
          </w:tcPr>
          <w:p w14:paraId="1D3EC668">
            <w:pPr>
              <w:adjustRightInd/>
              <w:snapToGrid/>
              <w:spacing w:line="240" w:lineRule="auto"/>
              <w:ind w:firstLine="0" w:firstLineChars="0"/>
              <w:contextualSpacing/>
              <w:jc w:val="center"/>
              <w:rPr>
                <w:sz w:val="21"/>
                <w:szCs w:val="21"/>
              </w:rPr>
            </w:pPr>
            <w:r>
              <w:rPr>
                <w:sz w:val="21"/>
                <w:szCs w:val="21"/>
              </w:rPr>
              <w:t>/</w:t>
            </w:r>
          </w:p>
        </w:tc>
        <w:tc>
          <w:tcPr>
            <w:tcW w:w="214" w:type="pct"/>
            <w:vAlign w:val="center"/>
          </w:tcPr>
          <w:p w14:paraId="1D3EC669">
            <w:pPr>
              <w:adjustRightInd/>
              <w:snapToGrid/>
              <w:spacing w:line="240" w:lineRule="auto"/>
              <w:ind w:firstLine="0" w:firstLineChars="0"/>
              <w:contextualSpacing/>
              <w:jc w:val="center"/>
              <w:rPr>
                <w:sz w:val="21"/>
                <w:szCs w:val="21"/>
              </w:rPr>
            </w:pPr>
            <w:r>
              <w:rPr>
                <w:sz w:val="21"/>
                <w:szCs w:val="21"/>
              </w:rPr>
              <w:t>200</w:t>
            </w:r>
          </w:p>
        </w:tc>
        <w:tc>
          <w:tcPr>
            <w:tcW w:w="223" w:type="pct"/>
            <w:vAlign w:val="center"/>
          </w:tcPr>
          <w:p w14:paraId="1D3EC66A">
            <w:pPr>
              <w:adjustRightInd/>
              <w:snapToGrid/>
              <w:spacing w:line="240" w:lineRule="auto"/>
              <w:ind w:firstLine="0" w:firstLineChars="0"/>
              <w:contextualSpacing/>
              <w:jc w:val="center"/>
              <w:rPr>
                <w:sz w:val="21"/>
                <w:szCs w:val="21"/>
              </w:rPr>
            </w:pPr>
            <w:r>
              <w:rPr>
                <w:sz w:val="21"/>
                <w:szCs w:val="21"/>
              </w:rPr>
              <w:t>/</w:t>
            </w:r>
          </w:p>
        </w:tc>
        <w:tc>
          <w:tcPr>
            <w:tcW w:w="240" w:type="pct"/>
            <w:vAlign w:val="center"/>
          </w:tcPr>
          <w:p w14:paraId="1D3EC66B">
            <w:pPr>
              <w:adjustRightInd/>
              <w:snapToGrid/>
              <w:spacing w:line="240" w:lineRule="auto"/>
              <w:ind w:firstLine="0" w:firstLineChars="0"/>
              <w:contextualSpacing/>
              <w:jc w:val="center"/>
              <w:rPr>
                <w:sz w:val="21"/>
                <w:szCs w:val="21"/>
              </w:rPr>
            </w:pPr>
            <w:r>
              <w:rPr>
                <w:sz w:val="21"/>
                <w:szCs w:val="21"/>
              </w:rPr>
              <w:t>/</w:t>
            </w:r>
          </w:p>
        </w:tc>
        <w:tc>
          <w:tcPr>
            <w:tcW w:w="339" w:type="pct"/>
            <w:vAlign w:val="center"/>
          </w:tcPr>
          <w:p w14:paraId="1D3EC66C">
            <w:pPr>
              <w:adjustRightInd/>
              <w:snapToGrid/>
              <w:spacing w:line="240" w:lineRule="auto"/>
              <w:ind w:firstLine="0" w:firstLineChars="0"/>
              <w:contextualSpacing/>
              <w:jc w:val="center"/>
              <w:rPr>
                <w:sz w:val="21"/>
                <w:szCs w:val="21"/>
              </w:rPr>
            </w:pPr>
            <w:r>
              <w:rPr>
                <w:sz w:val="21"/>
                <w:szCs w:val="21"/>
              </w:rPr>
              <w:t>/</w:t>
            </w:r>
          </w:p>
        </w:tc>
        <w:tc>
          <w:tcPr>
            <w:tcW w:w="339" w:type="pct"/>
            <w:vAlign w:val="center"/>
          </w:tcPr>
          <w:p w14:paraId="1D3EC66D">
            <w:pPr>
              <w:adjustRightInd/>
              <w:snapToGrid/>
              <w:spacing w:line="240" w:lineRule="auto"/>
              <w:ind w:firstLine="0" w:firstLineChars="0"/>
              <w:contextualSpacing/>
              <w:jc w:val="center"/>
              <w:rPr>
                <w:sz w:val="21"/>
                <w:szCs w:val="21"/>
                <w:lang w:bidi="ar"/>
              </w:rPr>
            </w:pPr>
            <w:r>
              <w:rPr>
                <w:sz w:val="21"/>
                <w:szCs w:val="21"/>
                <w:lang w:bidi="ar"/>
              </w:rPr>
              <w:t>/</w:t>
            </w:r>
          </w:p>
        </w:tc>
        <w:tc>
          <w:tcPr>
            <w:tcW w:w="209" w:type="pct"/>
            <w:vAlign w:val="center"/>
          </w:tcPr>
          <w:p w14:paraId="1D3EC66E">
            <w:pPr>
              <w:adjustRightInd/>
              <w:snapToGrid/>
              <w:spacing w:line="240" w:lineRule="auto"/>
              <w:ind w:firstLine="0" w:firstLineChars="0"/>
              <w:contextualSpacing/>
              <w:jc w:val="center"/>
              <w:rPr>
                <w:sz w:val="21"/>
                <w:szCs w:val="21"/>
              </w:rPr>
            </w:pPr>
            <w:r>
              <w:rPr>
                <w:sz w:val="21"/>
                <w:szCs w:val="21"/>
              </w:rPr>
              <w:t>250</w:t>
            </w:r>
          </w:p>
        </w:tc>
        <w:tc>
          <w:tcPr>
            <w:tcW w:w="245" w:type="pct"/>
            <w:vAlign w:val="center"/>
          </w:tcPr>
          <w:p w14:paraId="1D3EC66F">
            <w:pPr>
              <w:adjustRightInd/>
              <w:snapToGrid/>
              <w:spacing w:line="240" w:lineRule="auto"/>
              <w:ind w:firstLine="0" w:firstLineChars="0"/>
              <w:contextualSpacing/>
              <w:jc w:val="center"/>
              <w:rPr>
                <w:sz w:val="21"/>
                <w:szCs w:val="21"/>
              </w:rPr>
            </w:pPr>
            <w:r>
              <w:rPr>
                <w:sz w:val="21"/>
                <w:szCs w:val="21"/>
              </w:rPr>
              <w:t>250</w:t>
            </w:r>
          </w:p>
        </w:tc>
        <w:tc>
          <w:tcPr>
            <w:tcW w:w="247" w:type="pct"/>
            <w:vAlign w:val="center"/>
          </w:tcPr>
          <w:p w14:paraId="1D3EC670">
            <w:pPr>
              <w:adjustRightInd/>
              <w:snapToGrid/>
              <w:spacing w:line="240" w:lineRule="auto"/>
              <w:ind w:firstLine="0" w:firstLineChars="0"/>
              <w:contextualSpacing/>
              <w:jc w:val="center"/>
              <w:rPr>
                <w:sz w:val="21"/>
                <w:szCs w:val="21"/>
              </w:rPr>
            </w:pPr>
            <w:r>
              <w:rPr>
                <w:sz w:val="21"/>
                <w:szCs w:val="21"/>
              </w:rPr>
              <w:t>0.5</w:t>
            </w:r>
          </w:p>
        </w:tc>
        <w:tc>
          <w:tcPr>
            <w:tcW w:w="287" w:type="pct"/>
            <w:vAlign w:val="center"/>
          </w:tcPr>
          <w:p w14:paraId="1D3EC671">
            <w:pPr>
              <w:adjustRightInd/>
              <w:snapToGrid/>
              <w:spacing w:line="240" w:lineRule="auto"/>
              <w:ind w:firstLine="0" w:firstLineChars="0"/>
              <w:contextualSpacing/>
              <w:jc w:val="center"/>
              <w:rPr>
                <w:sz w:val="21"/>
                <w:szCs w:val="21"/>
              </w:rPr>
            </w:pPr>
            <w:r>
              <w:rPr>
                <w:sz w:val="21"/>
                <w:szCs w:val="21"/>
              </w:rPr>
              <w:t>20</w:t>
            </w:r>
          </w:p>
        </w:tc>
        <w:tc>
          <w:tcPr>
            <w:tcW w:w="301" w:type="pct"/>
            <w:vAlign w:val="center"/>
          </w:tcPr>
          <w:p w14:paraId="1D3EC672">
            <w:pPr>
              <w:adjustRightInd/>
              <w:snapToGrid/>
              <w:spacing w:line="240" w:lineRule="auto"/>
              <w:ind w:firstLine="0" w:firstLineChars="0"/>
              <w:contextualSpacing/>
              <w:jc w:val="center"/>
              <w:rPr>
                <w:sz w:val="21"/>
                <w:szCs w:val="21"/>
              </w:rPr>
            </w:pPr>
            <w:r>
              <w:rPr>
                <w:sz w:val="21"/>
                <w:szCs w:val="21"/>
              </w:rPr>
              <w:t>1</w:t>
            </w:r>
          </w:p>
        </w:tc>
        <w:tc>
          <w:tcPr>
            <w:tcW w:w="301" w:type="pct"/>
            <w:vAlign w:val="center"/>
          </w:tcPr>
          <w:p w14:paraId="1D3EC673">
            <w:pPr>
              <w:adjustRightInd/>
              <w:snapToGrid/>
              <w:spacing w:line="240" w:lineRule="auto"/>
              <w:ind w:firstLine="0" w:firstLineChars="0"/>
              <w:contextualSpacing/>
              <w:jc w:val="center"/>
              <w:rPr>
                <w:sz w:val="21"/>
                <w:szCs w:val="21"/>
              </w:rPr>
            </w:pPr>
            <w:r>
              <w:rPr>
                <w:sz w:val="21"/>
                <w:szCs w:val="21"/>
              </w:rPr>
              <w:t>0.002</w:t>
            </w:r>
          </w:p>
        </w:tc>
        <w:tc>
          <w:tcPr>
            <w:tcW w:w="255" w:type="pct"/>
            <w:vAlign w:val="center"/>
          </w:tcPr>
          <w:p w14:paraId="1D3EC674">
            <w:pPr>
              <w:adjustRightInd/>
              <w:snapToGrid/>
              <w:spacing w:line="240" w:lineRule="auto"/>
              <w:ind w:firstLine="0" w:firstLineChars="0"/>
              <w:contextualSpacing/>
              <w:jc w:val="center"/>
              <w:rPr>
                <w:sz w:val="21"/>
                <w:szCs w:val="21"/>
              </w:rPr>
            </w:pPr>
            <w:r>
              <w:rPr>
                <w:sz w:val="21"/>
                <w:szCs w:val="21"/>
              </w:rPr>
              <w:t>0.05</w:t>
            </w:r>
          </w:p>
        </w:tc>
        <w:tc>
          <w:tcPr>
            <w:tcW w:w="293" w:type="pct"/>
            <w:vAlign w:val="center"/>
          </w:tcPr>
          <w:p w14:paraId="1D3EC675">
            <w:pPr>
              <w:adjustRightInd/>
              <w:snapToGrid/>
              <w:spacing w:line="240" w:lineRule="auto"/>
              <w:ind w:firstLine="0" w:firstLineChars="0"/>
              <w:contextualSpacing/>
              <w:jc w:val="center"/>
              <w:rPr>
                <w:sz w:val="21"/>
                <w:szCs w:val="21"/>
              </w:rPr>
            </w:pPr>
            <w:r>
              <w:rPr>
                <w:sz w:val="21"/>
                <w:szCs w:val="21"/>
              </w:rPr>
              <w:t>10</w:t>
            </w:r>
          </w:p>
        </w:tc>
        <w:tc>
          <w:tcPr>
            <w:tcW w:w="325" w:type="pct"/>
            <w:vAlign w:val="center"/>
          </w:tcPr>
          <w:p w14:paraId="1D3EC676">
            <w:pPr>
              <w:adjustRightInd/>
              <w:snapToGrid/>
              <w:spacing w:line="240" w:lineRule="auto"/>
              <w:ind w:firstLine="0" w:firstLineChars="0"/>
              <w:contextualSpacing/>
              <w:jc w:val="center"/>
              <w:rPr>
                <w:sz w:val="21"/>
                <w:szCs w:val="21"/>
              </w:rPr>
            </w:pPr>
            <w:r>
              <w:rPr>
                <w:sz w:val="21"/>
                <w:szCs w:val="21"/>
              </w:rPr>
              <w:t>0.1</w:t>
            </w:r>
          </w:p>
        </w:tc>
      </w:tr>
      <w:tr w14:paraId="5EE4F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gridSpan w:val="2"/>
            <w:vAlign w:val="center"/>
          </w:tcPr>
          <w:p w14:paraId="1BD2D2C8">
            <w:pPr>
              <w:adjustRightInd/>
              <w:snapToGrid/>
              <w:spacing w:line="240" w:lineRule="auto"/>
              <w:ind w:firstLine="0" w:firstLineChars="0"/>
              <w:contextualSpacing/>
              <w:jc w:val="center"/>
              <w:rPr>
                <w:sz w:val="21"/>
                <w:szCs w:val="21"/>
              </w:rPr>
            </w:pPr>
            <w:r>
              <w:rPr>
                <w:rFonts w:hint="eastAsia"/>
                <w:sz w:val="21"/>
                <w:szCs w:val="21"/>
              </w:rPr>
              <w:t>标准指数</w:t>
            </w:r>
          </w:p>
        </w:tc>
        <w:tc>
          <w:tcPr>
            <w:tcW w:w="356" w:type="pct"/>
            <w:vAlign w:val="center"/>
          </w:tcPr>
          <w:p w14:paraId="01ECFD54">
            <w:pPr>
              <w:adjustRightInd/>
              <w:snapToGrid/>
              <w:spacing w:line="240" w:lineRule="auto"/>
              <w:ind w:firstLine="0" w:firstLineChars="0"/>
              <w:contextualSpacing/>
              <w:jc w:val="center"/>
              <w:rPr>
                <w:sz w:val="21"/>
                <w:szCs w:val="21"/>
                <w:highlight w:val="yellow"/>
                <w:lang w:bidi="ar"/>
              </w:rPr>
            </w:pPr>
            <w:r>
              <w:rPr>
                <w:rFonts w:hint="eastAsia"/>
                <w:sz w:val="21"/>
                <w:szCs w:val="21"/>
                <w:lang w:bidi="ar"/>
              </w:rPr>
              <w:t>0.86~0.87</w:t>
            </w:r>
          </w:p>
        </w:tc>
        <w:tc>
          <w:tcPr>
            <w:tcW w:w="168" w:type="pct"/>
            <w:vAlign w:val="center"/>
          </w:tcPr>
          <w:p w14:paraId="7BBF3B9B">
            <w:pPr>
              <w:adjustRightInd/>
              <w:snapToGrid/>
              <w:spacing w:line="240" w:lineRule="auto"/>
              <w:ind w:firstLine="0" w:firstLineChars="0"/>
              <w:contextualSpacing/>
              <w:jc w:val="center"/>
              <w:rPr>
                <w:sz w:val="21"/>
                <w:szCs w:val="21"/>
              </w:rPr>
            </w:pPr>
            <w:r>
              <w:rPr>
                <w:rFonts w:hint="eastAsia"/>
                <w:sz w:val="21"/>
                <w:szCs w:val="21"/>
              </w:rPr>
              <w:t>/</w:t>
            </w:r>
          </w:p>
        </w:tc>
        <w:tc>
          <w:tcPr>
            <w:tcW w:w="214" w:type="pct"/>
            <w:vAlign w:val="center"/>
          </w:tcPr>
          <w:p w14:paraId="725E9D13">
            <w:pPr>
              <w:adjustRightInd/>
              <w:snapToGrid/>
              <w:spacing w:line="240" w:lineRule="auto"/>
              <w:ind w:firstLine="0" w:firstLineChars="0"/>
              <w:contextualSpacing/>
              <w:jc w:val="center"/>
              <w:rPr>
                <w:sz w:val="21"/>
                <w:szCs w:val="21"/>
              </w:rPr>
            </w:pPr>
            <w:r>
              <w:rPr>
                <w:rFonts w:hint="eastAsia"/>
                <w:sz w:val="21"/>
                <w:szCs w:val="21"/>
              </w:rPr>
              <w:t>0.0805-0.129</w:t>
            </w:r>
          </w:p>
        </w:tc>
        <w:tc>
          <w:tcPr>
            <w:tcW w:w="223" w:type="pct"/>
            <w:vAlign w:val="center"/>
          </w:tcPr>
          <w:p w14:paraId="32BCC4BC">
            <w:pPr>
              <w:adjustRightInd/>
              <w:snapToGrid/>
              <w:spacing w:line="240" w:lineRule="auto"/>
              <w:ind w:firstLine="0" w:firstLineChars="0"/>
              <w:contextualSpacing/>
              <w:jc w:val="center"/>
              <w:rPr>
                <w:sz w:val="21"/>
                <w:szCs w:val="21"/>
              </w:rPr>
            </w:pPr>
            <w:r>
              <w:rPr>
                <w:rFonts w:hint="eastAsia"/>
                <w:sz w:val="21"/>
                <w:szCs w:val="21"/>
              </w:rPr>
              <w:t>/</w:t>
            </w:r>
          </w:p>
        </w:tc>
        <w:tc>
          <w:tcPr>
            <w:tcW w:w="240" w:type="pct"/>
            <w:vAlign w:val="center"/>
          </w:tcPr>
          <w:p w14:paraId="0ED42A41">
            <w:pPr>
              <w:adjustRightInd/>
              <w:snapToGrid/>
              <w:spacing w:line="240" w:lineRule="auto"/>
              <w:ind w:firstLine="0" w:firstLineChars="0"/>
              <w:contextualSpacing/>
              <w:jc w:val="center"/>
              <w:rPr>
                <w:sz w:val="21"/>
                <w:szCs w:val="21"/>
              </w:rPr>
            </w:pPr>
            <w:r>
              <w:rPr>
                <w:rFonts w:hint="eastAsia"/>
                <w:sz w:val="21"/>
                <w:szCs w:val="21"/>
              </w:rPr>
              <w:t>/</w:t>
            </w:r>
          </w:p>
        </w:tc>
        <w:tc>
          <w:tcPr>
            <w:tcW w:w="339" w:type="pct"/>
            <w:vAlign w:val="center"/>
          </w:tcPr>
          <w:p w14:paraId="7C65BDCD">
            <w:pPr>
              <w:adjustRightInd/>
              <w:snapToGrid/>
              <w:spacing w:line="240" w:lineRule="auto"/>
              <w:ind w:firstLine="0" w:firstLineChars="0"/>
              <w:contextualSpacing/>
              <w:jc w:val="center"/>
              <w:rPr>
                <w:sz w:val="21"/>
                <w:szCs w:val="21"/>
              </w:rPr>
            </w:pPr>
            <w:r>
              <w:rPr>
                <w:rFonts w:hint="eastAsia"/>
                <w:sz w:val="21"/>
                <w:szCs w:val="21"/>
              </w:rPr>
              <w:t>/</w:t>
            </w:r>
          </w:p>
        </w:tc>
        <w:tc>
          <w:tcPr>
            <w:tcW w:w="339" w:type="pct"/>
            <w:vAlign w:val="center"/>
          </w:tcPr>
          <w:p w14:paraId="662F5888">
            <w:pPr>
              <w:adjustRightInd/>
              <w:snapToGrid/>
              <w:spacing w:line="240" w:lineRule="auto"/>
              <w:ind w:firstLine="0" w:firstLineChars="0"/>
              <w:contextualSpacing/>
              <w:jc w:val="center"/>
              <w:rPr>
                <w:sz w:val="21"/>
                <w:szCs w:val="21"/>
                <w:lang w:bidi="ar"/>
              </w:rPr>
            </w:pPr>
            <w:r>
              <w:rPr>
                <w:rFonts w:hint="eastAsia"/>
                <w:sz w:val="21"/>
                <w:szCs w:val="21"/>
                <w:lang w:bidi="ar"/>
              </w:rPr>
              <w:t>/</w:t>
            </w:r>
          </w:p>
        </w:tc>
        <w:tc>
          <w:tcPr>
            <w:tcW w:w="209" w:type="pct"/>
            <w:vAlign w:val="center"/>
          </w:tcPr>
          <w:p w14:paraId="41644B5F">
            <w:pPr>
              <w:adjustRightInd/>
              <w:snapToGrid/>
              <w:spacing w:line="240" w:lineRule="auto"/>
              <w:ind w:firstLine="0" w:firstLineChars="0"/>
              <w:contextualSpacing/>
              <w:jc w:val="center"/>
              <w:rPr>
                <w:sz w:val="21"/>
                <w:szCs w:val="21"/>
              </w:rPr>
            </w:pPr>
            <w:r>
              <w:rPr>
                <w:rFonts w:hint="eastAsia"/>
                <w:sz w:val="21"/>
                <w:szCs w:val="21"/>
              </w:rPr>
              <w:t>/</w:t>
            </w:r>
          </w:p>
        </w:tc>
        <w:tc>
          <w:tcPr>
            <w:tcW w:w="245" w:type="pct"/>
            <w:vAlign w:val="center"/>
          </w:tcPr>
          <w:p w14:paraId="3FAC5FEA">
            <w:pPr>
              <w:adjustRightInd/>
              <w:snapToGrid/>
              <w:spacing w:line="240" w:lineRule="auto"/>
              <w:ind w:firstLine="0" w:firstLineChars="0"/>
              <w:contextualSpacing/>
              <w:jc w:val="center"/>
              <w:rPr>
                <w:sz w:val="21"/>
                <w:szCs w:val="21"/>
              </w:rPr>
            </w:pPr>
            <w:r>
              <w:rPr>
                <w:rFonts w:hint="eastAsia"/>
                <w:sz w:val="21"/>
                <w:szCs w:val="21"/>
              </w:rPr>
              <w:t>0.2092-0.2688</w:t>
            </w:r>
          </w:p>
        </w:tc>
        <w:tc>
          <w:tcPr>
            <w:tcW w:w="247" w:type="pct"/>
            <w:vAlign w:val="center"/>
          </w:tcPr>
          <w:p w14:paraId="52E87D22">
            <w:pPr>
              <w:adjustRightInd/>
              <w:snapToGrid/>
              <w:spacing w:line="240" w:lineRule="auto"/>
              <w:ind w:firstLine="0" w:firstLineChars="0"/>
              <w:contextualSpacing/>
              <w:jc w:val="center"/>
              <w:rPr>
                <w:sz w:val="21"/>
                <w:szCs w:val="21"/>
              </w:rPr>
            </w:pPr>
            <w:r>
              <w:rPr>
                <w:rFonts w:hint="eastAsia"/>
                <w:sz w:val="21"/>
                <w:szCs w:val="21"/>
              </w:rPr>
              <w:t>0.41-0.562</w:t>
            </w:r>
          </w:p>
        </w:tc>
        <w:tc>
          <w:tcPr>
            <w:tcW w:w="287" w:type="pct"/>
            <w:vAlign w:val="center"/>
          </w:tcPr>
          <w:p w14:paraId="3C15551F">
            <w:pPr>
              <w:adjustRightInd/>
              <w:snapToGrid/>
              <w:spacing w:line="240" w:lineRule="auto"/>
              <w:ind w:firstLine="0" w:firstLineChars="0"/>
              <w:contextualSpacing/>
              <w:jc w:val="center"/>
              <w:rPr>
                <w:sz w:val="21"/>
                <w:szCs w:val="21"/>
              </w:rPr>
            </w:pPr>
            <w:r>
              <w:rPr>
                <w:rFonts w:hint="eastAsia"/>
                <w:sz w:val="21"/>
                <w:szCs w:val="21"/>
              </w:rPr>
              <w:t>0.31-0.385</w:t>
            </w:r>
          </w:p>
        </w:tc>
        <w:tc>
          <w:tcPr>
            <w:tcW w:w="301" w:type="pct"/>
            <w:vAlign w:val="center"/>
          </w:tcPr>
          <w:p w14:paraId="196F62F3">
            <w:pPr>
              <w:adjustRightInd/>
              <w:snapToGrid/>
              <w:spacing w:line="240" w:lineRule="auto"/>
              <w:ind w:firstLine="0" w:firstLineChars="0"/>
              <w:contextualSpacing/>
              <w:jc w:val="center"/>
              <w:rPr>
                <w:sz w:val="21"/>
                <w:szCs w:val="21"/>
              </w:rPr>
            </w:pPr>
            <w:r>
              <w:rPr>
                <w:rFonts w:hint="eastAsia"/>
                <w:sz w:val="21"/>
                <w:szCs w:val="21"/>
              </w:rPr>
              <w:t>/</w:t>
            </w:r>
          </w:p>
        </w:tc>
        <w:tc>
          <w:tcPr>
            <w:tcW w:w="301" w:type="pct"/>
            <w:vAlign w:val="center"/>
          </w:tcPr>
          <w:p w14:paraId="6133D233">
            <w:pPr>
              <w:adjustRightInd/>
              <w:snapToGrid/>
              <w:spacing w:line="240" w:lineRule="auto"/>
              <w:ind w:firstLine="0" w:firstLineChars="0"/>
              <w:contextualSpacing/>
              <w:jc w:val="center"/>
              <w:rPr>
                <w:sz w:val="21"/>
                <w:szCs w:val="21"/>
              </w:rPr>
            </w:pPr>
            <w:r>
              <w:rPr>
                <w:rFonts w:hint="eastAsia"/>
                <w:sz w:val="21"/>
                <w:szCs w:val="21"/>
              </w:rPr>
              <w:t>/</w:t>
            </w:r>
          </w:p>
        </w:tc>
        <w:tc>
          <w:tcPr>
            <w:tcW w:w="255" w:type="pct"/>
            <w:vAlign w:val="center"/>
          </w:tcPr>
          <w:p w14:paraId="1C13EB23">
            <w:pPr>
              <w:adjustRightInd/>
              <w:snapToGrid/>
              <w:spacing w:line="240" w:lineRule="auto"/>
              <w:ind w:firstLine="0" w:firstLineChars="0"/>
              <w:contextualSpacing/>
              <w:jc w:val="center"/>
              <w:rPr>
                <w:sz w:val="21"/>
                <w:szCs w:val="21"/>
              </w:rPr>
            </w:pPr>
            <w:r>
              <w:rPr>
                <w:rFonts w:hint="eastAsia"/>
                <w:sz w:val="21"/>
                <w:szCs w:val="21"/>
              </w:rPr>
              <w:t>/</w:t>
            </w:r>
          </w:p>
        </w:tc>
        <w:tc>
          <w:tcPr>
            <w:tcW w:w="293" w:type="pct"/>
            <w:vAlign w:val="center"/>
          </w:tcPr>
          <w:p w14:paraId="433053D0">
            <w:pPr>
              <w:adjustRightInd/>
              <w:snapToGrid/>
              <w:spacing w:line="240" w:lineRule="auto"/>
              <w:ind w:firstLine="0" w:firstLineChars="0"/>
              <w:contextualSpacing/>
              <w:jc w:val="center"/>
              <w:rPr>
                <w:sz w:val="21"/>
                <w:szCs w:val="21"/>
              </w:rPr>
            </w:pPr>
            <w:r>
              <w:rPr>
                <w:rFonts w:hint="eastAsia"/>
                <w:sz w:val="21"/>
                <w:szCs w:val="21"/>
              </w:rPr>
              <w:t>/</w:t>
            </w:r>
          </w:p>
        </w:tc>
        <w:tc>
          <w:tcPr>
            <w:tcW w:w="325" w:type="pct"/>
            <w:vAlign w:val="center"/>
          </w:tcPr>
          <w:p w14:paraId="300C31F3">
            <w:pPr>
              <w:adjustRightInd/>
              <w:snapToGrid/>
              <w:spacing w:line="240" w:lineRule="auto"/>
              <w:ind w:firstLine="0" w:firstLineChars="0"/>
              <w:contextualSpacing/>
              <w:jc w:val="center"/>
              <w:rPr>
                <w:sz w:val="21"/>
                <w:szCs w:val="21"/>
              </w:rPr>
            </w:pPr>
            <w:r>
              <w:rPr>
                <w:rFonts w:hint="eastAsia"/>
                <w:sz w:val="21"/>
                <w:szCs w:val="21"/>
              </w:rPr>
              <w:t>/</w:t>
            </w:r>
          </w:p>
        </w:tc>
      </w:tr>
      <w:tr w14:paraId="58B96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gridSpan w:val="2"/>
            <w:vAlign w:val="center"/>
          </w:tcPr>
          <w:p w14:paraId="36FBFDAD">
            <w:pPr>
              <w:adjustRightInd/>
              <w:snapToGrid/>
              <w:spacing w:line="240" w:lineRule="auto"/>
              <w:ind w:firstLine="0" w:firstLineChars="0"/>
              <w:contextualSpacing/>
              <w:jc w:val="center"/>
              <w:rPr>
                <w:sz w:val="21"/>
                <w:szCs w:val="21"/>
              </w:rPr>
            </w:pPr>
            <w:r>
              <w:rPr>
                <w:rFonts w:hint="eastAsia"/>
                <w:sz w:val="21"/>
                <w:szCs w:val="21"/>
              </w:rPr>
              <w:t>超标率</w:t>
            </w:r>
          </w:p>
        </w:tc>
        <w:tc>
          <w:tcPr>
            <w:tcW w:w="356" w:type="pct"/>
            <w:vAlign w:val="center"/>
          </w:tcPr>
          <w:p w14:paraId="7C3FB109">
            <w:pPr>
              <w:adjustRightInd/>
              <w:snapToGrid/>
              <w:spacing w:line="240" w:lineRule="auto"/>
              <w:ind w:firstLine="0" w:firstLineChars="0"/>
              <w:contextualSpacing/>
              <w:jc w:val="center"/>
              <w:rPr>
                <w:sz w:val="21"/>
                <w:szCs w:val="21"/>
                <w:lang w:bidi="ar"/>
              </w:rPr>
            </w:pPr>
            <w:r>
              <w:rPr>
                <w:rFonts w:hint="eastAsia"/>
                <w:sz w:val="21"/>
                <w:szCs w:val="21"/>
                <w:lang w:bidi="ar"/>
              </w:rPr>
              <w:t>0</w:t>
            </w:r>
          </w:p>
        </w:tc>
        <w:tc>
          <w:tcPr>
            <w:tcW w:w="168" w:type="pct"/>
            <w:vAlign w:val="center"/>
          </w:tcPr>
          <w:p w14:paraId="32778DBF">
            <w:pPr>
              <w:adjustRightInd/>
              <w:snapToGrid/>
              <w:spacing w:line="240" w:lineRule="auto"/>
              <w:ind w:firstLine="0" w:firstLineChars="0"/>
              <w:contextualSpacing/>
              <w:jc w:val="center"/>
              <w:rPr>
                <w:sz w:val="21"/>
                <w:szCs w:val="21"/>
              </w:rPr>
            </w:pPr>
            <w:r>
              <w:rPr>
                <w:rFonts w:hint="eastAsia"/>
                <w:sz w:val="21"/>
                <w:szCs w:val="21"/>
              </w:rPr>
              <w:t>0</w:t>
            </w:r>
          </w:p>
        </w:tc>
        <w:tc>
          <w:tcPr>
            <w:tcW w:w="214" w:type="pct"/>
            <w:vAlign w:val="center"/>
          </w:tcPr>
          <w:p w14:paraId="2F85AC62">
            <w:pPr>
              <w:adjustRightInd/>
              <w:snapToGrid/>
              <w:spacing w:line="240" w:lineRule="auto"/>
              <w:ind w:firstLine="0" w:firstLineChars="0"/>
              <w:contextualSpacing/>
              <w:jc w:val="center"/>
              <w:rPr>
                <w:sz w:val="21"/>
                <w:szCs w:val="21"/>
              </w:rPr>
            </w:pPr>
            <w:r>
              <w:rPr>
                <w:rFonts w:hint="eastAsia"/>
                <w:sz w:val="21"/>
                <w:szCs w:val="21"/>
              </w:rPr>
              <w:t>0</w:t>
            </w:r>
          </w:p>
        </w:tc>
        <w:tc>
          <w:tcPr>
            <w:tcW w:w="223" w:type="pct"/>
            <w:vAlign w:val="center"/>
          </w:tcPr>
          <w:p w14:paraId="3632F6D5">
            <w:pPr>
              <w:adjustRightInd/>
              <w:snapToGrid/>
              <w:spacing w:line="240" w:lineRule="auto"/>
              <w:ind w:firstLine="0" w:firstLineChars="0"/>
              <w:contextualSpacing/>
              <w:jc w:val="center"/>
              <w:rPr>
                <w:sz w:val="21"/>
                <w:szCs w:val="21"/>
              </w:rPr>
            </w:pPr>
            <w:r>
              <w:rPr>
                <w:rFonts w:hint="eastAsia"/>
                <w:sz w:val="21"/>
                <w:szCs w:val="21"/>
              </w:rPr>
              <w:t>0</w:t>
            </w:r>
          </w:p>
        </w:tc>
        <w:tc>
          <w:tcPr>
            <w:tcW w:w="240" w:type="pct"/>
            <w:vAlign w:val="center"/>
          </w:tcPr>
          <w:p w14:paraId="5C340AF1">
            <w:pPr>
              <w:adjustRightInd/>
              <w:snapToGrid/>
              <w:spacing w:line="240" w:lineRule="auto"/>
              <w:ind w:firstLine="0" w:firstLineChars="0"/>
              <w:contextualSpacing/>
              <w:jc w:val="center"/>
              <w:rPr>
                <w:sz w:val="21"/>
                <w:szCs w:val="21"/>
              </w:rPr>
            </w:pPr>
            <w:r>
              <w:rPr>
                <w:rFonts w:hint="eastAsia"/>
                <w:sz w:val="21"/>
                <w:szCs w:val="21"/>
              </w:rPr>
              <w:t>0</w:t>
            </w:r>
          </w:p>
        </w:tc>
        <w:tc>
          <w:tcPr>
            <w:tcW w:w="339" w:type="pct"/>
            <w:vAlign w:val="center"/>
          </w:tcPr>
          <w:p w14:paraId="539496EB">
            <w:pPr>
              <w:adjustRightInd/>
              <w:snapToGrid/>
              <w:spacing w:line="240" w:lineRule="auto"/>
              <w:ind w:firstLine="0" w:firstLineChars="0"/>
              <w:contextualSpacing/>
              <w:jc w:val="center"/>
              <w:rPr>
                <w:sz w:val="21"/>
                <w:szCs w:val="21"/>
              </w:rPr>
            </w:pPr>
            <w:r>
              <w:rPr>
                <w:rFonts w:hint="eastAsia"/>
                <w:sz w:val="21"/>
                <w:szCs w:val="21"/>
              </w:rPr>
              <w:t>0</w:t>
            </w:r>
          </w:p>
        </w:tc>
        <w:tc>
          <w:tcPr>
            <w:tcW w:w="339" w:type="pct"/>
            <w:vAlign w:val="center"/>
          </w:tcPr>
          <w:p w14:paraId="066E8746">
            <w:pPr>
              <w:adjustRightInd/>
              <w:snapToGrid/>
              <w:spacing w:line="240" w:lineRule="auto"/>
              <w:ind w:firstLine="0" w:firstLineChars="0"/>
              <w:contextualSpacing/>
              <w:jc w:val="center"/>
              <w:rPr>
                <w:sz w:val="21"/>
                <w:szCs w:val="21"/>
                <w:lang w:bidi="ar"/>
              </w:rPr>
            </w:pPr>
            <w:r>
              <w:rPr>
                <w:rFonts w:hint="eastAsia"/>
                <w:sz w:val="21"/>
                <w:szCs w:val="21"/>
                <w:lang w:bidi="ar"/>
              </w:rPr>
              <w:t>0</w:t>
            </w:r>
          </w:p>
        </w:tc>
        <w:tc>
          <w:tcPr>
            <w:tcW w:w="209" w:type="pct"/>
            <w:vAlign w:val="center"/>
          </w:tcPr>
          <w:p w14:paraId="594829FF">
            <w:pPr>
              <w:adjustRightInd/>
              <w:snapToGrid/>
              <w:spacing w:line="240" w:lineRule="auto"/>
              <w:ind w:firstLine="0" w:firstLineChars="0"/>
              <w:contextualSpacing/>
              <w:jc w:val="center"/>
              <w:rPr>
                <w:sz w:val="21"/>
                <w:szCs w:val="21"/>
              </w:rPr>
            </w:pPr>
            <w:r>
              <w:rPr>
                <w:rFonts w:hint="eastAsia"/>
                <w:sz w:val="21"/>
                <w:szCs w:val="21"/>
              </w:rPr>
              <w:t>0</w:t>
            </w:r>
          </w:p>
        </w:tc>
        <w:tc>
          <w:tcPr>
            <w:tcW w:w="245" w:type="pct"/>
            <w:vAlign w:val="center"/>
          </w:tcPr>
          <w:p w14:paraId="408003DD">
            <w:pPr>
              <w:adjustRightInd/>
              <w:snapToGrid/>
              <w:spacing w:line="240" w:lineRule="auto"/>
              <w:ind w:firstLine="0" w:firstLineChars="0"/>
              <w:contextualSpacing/>
              <w:jc w:val="center"/>
              <w:rPr>
                <w:sz w:val="21"/>
                <w:szCs w:val="21"/>
              </w:rPr>
            </w:pPr>
            <w:r>
              <w:rPr>
                <w:rFonts w:hint="eastAsia"/>
                <w:sz w:val="21"/>
                <w:szCs w:val="21"/>
              </w:rPr>
              <w:t>0</w:t>
            </w:r>
          </w:p>
        </w:tc>
        <w:tc>
          <w:tcPr>
            <w:tcW w:w="247" w:type="pct"/>
            <w:vAlign w:val="center"/>
          </w:tcPr>
          <w:p w14:paraId="0A21022A">
            <w:pPr>
              <w:adjustRightInd/>
              <w:snapToGrid/>
              <w:spacing w:line="240" w:lineRule="auto"/>
              <w:ind w:firstLine="0" w:firstLineChars="0"/>
              <w:contextualSpacing/>
              <w:jc w:val="center"/>
              <w:rPr>
                <w:sz w:val="21"/>
                <w:szCs w:val="21"/>
              </w:rPr>
            </w:pPr>
            <w:r>
              <w:rPr>
                <w:rFonts w:hint="eastAsia"/>
                <w:sz w:val="21"/>
                <w:szCs w:val="21"/>
              </w:rPr>
              <w:t>0</w:t>
            </w:r>
          </w:p>
        </w:tc>
        <w:tc>
          <w:tcPr>
            <w:tcW w:w="287" w:type="pct"/>
            <w:vAlign w:val="center"/>
          </w:tcPr>
          <w:p w14:paraId="2F5CC6AC">
            <w:pPr>
              <w:adjustRightInd/>
              <w:snapToGrid/>
              <w:spacing w:line="240" w:lineRule="auto"/>
              <w:ind w:firstLine="0" w:firstLineChars="0"/>
              <w:contextualSpacing/>
              <w:jc w:val="center"/>
              <w:rPr>
                <w:sz w:val="21"/>
                <w:szCs w:val="21"/>
              </w:rPr>
            </w:pPr>
            <w:r>
              <w:rPr>
                <w:rFonts w:hint="eastAsia"/>
                <w:sz w:val="21"/>
                <w:szCs w:val="21"/>
              </w:rPr>
              <w:t>0</w:t>
            </w:r>
          </w:p>
        </w:tc>
        <w:tc>
          <w:tcPr>
            <w:tcW w:w="301" w:type="pct"/>
            <w:vAlign w:val="center"/>
          </w:tcPr>
          <w:p w14:paraId="153E7DEB">
            <w:pPr>
              <w:adjustRightInd/>
              <w:snapToGrid/>
              <w:spacing w:line="240" w:lineRule="auto"/>
              <w:ind w:firstLine="0" w:firstLineChars="0"/>
              <w:contextualSpacing/>
              <w:jc w:val="center"/>
              <w:rPr>
                <w:sz w:val="21"/>
                <w:szCs w:val="21"/>
              </w:rPr>
            </w:pPr>
            <w:r>
              <w:rPr>
                <w:rFonts w:hint="eastAsia"/>
                <w:sz w:val="21"/>
                <w:szCs w:val="21"/>
              </w:rPr>
              <w:t>0</w:t>
            </w:r>
          </w:p>
        </w:tc>
        <w:tc>
          <w:tcPr>
            <w:tcW w:w="301" w:type="pct"/>
            <w:vAlign w:val="center"/>
          </w:tcPr>
          <w:p w14:paraId="19715426">
            <w:pPr>
              <w:adjustRightInd/>
              <w:snapToGrid/>
              <w:spacing w:line="240" w:lineRule="auto"/>
              <w:ind w:firstLine="0" w:firstLineChars="0"/>
              <w:contextualSpacing/>
              <w:jc w:val="center"/>
              <w:rPr>
                <w:sz w:val="21"/>
                <w:szCs w:val="21"/>
              </w:rPr>
            </w:pPr>
            <w:r>
              <w:rPr>
                <w:rFonts w:hint="eastAsia"/>
                <w:sz w:val="21"/>
                <w:szCs w:val="21"/>
              </w:rPr>
              <w:t>0</w:t>
            </w:r>
          </w:p>
        </w:tc>
        <w:tc>
          <w:tcPr>
            <w:tcW w:w="255" w:type="pct"/>
            <w:vAlign w:val="center"/>
          </w:tcPr>
          <w:p w14:paraId="2BB5FCFD">
            <w:pPr>
              <w:adjustRightInd/>
              <w:snapToGrid/>
              <w:spacing w:line="240" w:lineRule="auto"/>
              <w:ind w:firstLine="0" w:firstLineChars="0"/>
              <w:contextualSpacing/>
              <w:jc w:val="center"/>
              <w:rPr>
                <w:sz w:val="21"/>
                <w:szCs w:val="21"/>
              </w:rPr>
            </w:pPr>
            <w:r>
              <w:rPr>
                <w:rFonts w:hint="eastAsia"/>
                <w:sz w:val="21"/>
                <w:szCs w:val="21"/>
              </w:rPr>
              <w:t>0</w:t>
            </w:r>
          </w:p>
        </w:tc>
        <w:tc>
          <w:tcPr>
            <w:tcW w:w="293" w:type="pct"/>
            <w:vAlign w:val="center"/>
          </w:tcPr>
          <w:p w14:paraId="7FB73ED0">
            <w:pPr>
              <w:adjustRightInd/>
              <w:snapToGrid/>
              <w:spacing w:line="240" w:lineRule="auto"/>
              <w:ind w:firstLine="0" w:firstLineChars="0"/>
              <w:contextualSpacing/>
              <w:jc w:val="center"/>
              <w:rPr>
                <w:sz w:val="21"/>
                <w:szCs w:val="21"/>
              </w:rPr>
            </w:pPr>
            <w:r>
              <w:rPr>
                <w:rFonts w:hint="eastAsia"/>
                <w:sz w:val="21"/>
                <w:szCs w:val="21"/>
              </w:rPr>
              <w:t>0</w:t>
            </w:r>
          </w:p>
        </w:tc>
        <w:tc>
          <w:tcPr>
            <w:tcW w:w="325" w:type="pct"/>
            <w:vAlign w:val="center"/>
          </w:tcPr>
          <w:p w14:paraId="33F1A7A7">
            <w:pPr>
              <w:adjustRightInd/>
              <w:snapToGrid/>
              <w:spacing w:line="240" w:lineRule="auto"/>
              <w:ind w:firstLine="0" w:firstLineChars="0"/>
              <w:contextualSpacing/>
              <w:jc w:val="center"/>
              <w:rPr>
                <w:sz w:val="21"/>
                <w:szCs w:val="21"/>
              </w:rPr>
            </w:pPr>
            <w:r>
              <w:rPr>
                <w:rFonts w:hint="eastAsia"/>
                <w:sz w:val="21"/>
                <w:szCs w:val="21"/>
              </w:rPr>
              <w:t>0</w:t>
            </w:r>
          </w:p>
        </w:tc>
      </w:tr>
      <w:tr w14:paraId="58114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gridSpan w:val="2"/>
            <w:vAlign w:val="center"/>
          </w:tcPr>
          <w:p w14:paraId="38E03312">
            <w:pPr>
              <w:adjustRightInd/>
              <w:snapToGrid/>
              <w:spacing w:line="240" w:lineRule="auto"/>
              <w:ind w:firstLine="0" w:firstLineChars="0"/>
              <w:contextualSpacing/>
              <w:jc w:val="center"/>
              <w:rPr>
                <w:sz w:val="21"/>
                <w:szCs w:val="21"/>
              </w:rPr>
            </w:pPr>
            <w:r>
              <w:rPr>
                <w:rFonts w:hint="eastAsia"/>
                <w:sz w:val="21"/>
                <w:szCs w:val="21"/>
              </w:rPr>
              <w:t>最大超标倍数</w:t>
            </w:r>
          </w:p>
        </w:tc>
        <w:tc>
          <w:tcPr>
            <w:tcW w:w="356" w:type="pct"/>
            <w:vAlign w:val="center"/>
          </w:tcPr>
          <w:p w14:paraId="0C1409B7">
            <w:pPr>
              <w:adjustRightInd/>
              <w:snapToGrid/>
              <w:spacing w:line="240" w:lineRule="auto"/>
              <w:ind w:firstLine="0" w:firstLineChars="0"/>
              <w:contextualSpacing/>
              <w:jc w:val="center"/>
              <w:rPr>
                <w:sz w:val="21"/>
                <w:szCs w:val="21"/>
                <w:lang w:bidi="ar"/>
              </w:rPr>
            </w:pPr>
            <w:r>
              <w:rPr>
                <w:rFonts w:hint="eastAsia"/>
                <w:sz w:val="21"/>
                <w:szCs w:val="21"/>
                <w:lang w:bidi="ar"/>
              </w:rPr>
              <w:t>0</w:t>
            </w:r>
          </w:p>
        </w:tc>
        <w:tc>
          <w:tcPr>
            <w:tcW w:w="168" w:type="pct"/>
            <w:vAlign w:val="center"/>
          </w:tcPr>
          <w:p w14:paraId="77C57297">
            <w:pPr>
              <w:adjustRightInd/>
              <w:snapToGrid/>
              <w:spacing w:line="240" w:lineRule="auto"/>
              <w:ind w:firstLine="0" w:firstLineChars="0"/>
              <w:contextualSpacing/>
              <w:jc w:val="center"/>
              <w:rPr>
                <w:sz w:val="21"/>
                <w:szCs w:val="21"/>
              </w:rPr>
            </w:pPr>
            <w:r>
              <w:rPr>
                <w:rFonts w:hint="eastAsia"/>
                <w:sz w:val="21"/>
                <w:szCs w:val="21"/>
              </w:rPr>
              <w:t>0</w:t>
            </w:r>
          </w:p>
        </w:tc>
        <w:tc>
          <w:tcPr>
            <w:tcW w:w="214" w:type="pct"/>
            <w:vAlign w:val="center"/>
          </w:tcPr>
          <w:p w14:paraId="6CCA0523">
            <w:pPr>
              <w:adjustRightInd/>
              <w:snapToGrid/>
              <w:spacing w:line="240" w:lineRule="auto"/>
              <w:ind w:firstLine="0" w:firstLineChars="0"/>
              <w:contextualSpacing/>
              <w:jc w:val="center"/>
              <w:rPr>
                <w:sz w:val="21"/>
                <w:szCs w:val="21"/>
              </w:rPr>
            </w:pPr>
            <w:r>
              <w:rPr>
                <w:rFonts w:hint="eastAsia"/>
                <w:sz w:val="21"/>
                <w:szCs w:val="21"/>
              </w:rPr>
              <w:t>0</w:t>
            </w:r>
          </w:p>
        </w:tc>
        <w:tc>
          <w:tcPr>
            <w:tcW w:w="223" w:type="pct"/>
            <w:vAlign w:val="center"/>
          </w:tcPr>
          <w:p w14:paraId="1D33FA57">
            <w:pPr>
              <w:adjustRightInd/>
              <w:snapToGrid/>
              <w:spacing w:line="240" w:lineRule="auto"/>
              <w:ind w:firstLine="0" w:firstLineChars="0"/>
              <w:contextualSpacing/>
              <w:jc w:val="center"/>
              <w:rPr>
                <w:sz w:val="21"/>
                <w:szCs w:val="21"/>
              </w:rPr>
            </w:pPr>
            <w:r>
              <w:rPr>
                <w:rFonts w:hint="eastAsia"/>
                <w:sz w:val="21"/>
                <w:szCs w:val="21"/>
              </w:rPr>
              <w:t>0</w:t>
            </w:r>
          </w:p>
        </w:tc>
        <w:tc>
          <w:tcPr>
            <w:tcW w:w="240" w:type="pct"/>
            <w:vAlign w:val="center"/>
          </w:tcPr>
          <w:p w14:paraId="6E17A15C">
            <w:pPr>
              <w:adjustRightInd/>
              <w:snapToGrid/>
              <w:spacing w:line="240" w:lineRule="auto"/>
              <w:ind w:firstLine="0" w:firstLineChars="0"/>
              <w:contextualSpacing/>
              <w:jc w:val="center"/>
              <w:rPr>
                <w:sz w:val="21"/>
                <w:szCs w:val="21"/>
              </w:rPr>
            </w:pPr>
            <w:r>
              <w:rPr>
                <w:rFonts w:hint="eastAsia"/>
                <w:sz w:val="21"/>
                <w:szCs w:val="21"/>
              </w:rPr>
              <w:t>0</w:t>
            </w:r>
          </w:p>
        </w:tc>
        <w:tc>
          <w:tcPr>
            <w:tcW w:w="339" w:type="pct"/>
            <w:vAlign w:val="center"/>
          </w:tcPr>
          <w:p w14:paraId="1B964ABF">
            <w:pPr>
              <w:adjustRightInd/>
              <w:snapToGrid/>
              <w:spacing w:line="240" w:lineRule="auto"/>
              <w:ind w:firstLine="0" w:firstLineChars="0"/>
              <w:contextualSpacing/>
              <w:jc w:val="center"/>
              <w:rPr>
                <w:sz w:val="21"/>
                <w:szCs w:val="21"/>
              </w:rPr>
            </w:pPr>
            <w:r>
              <w:rPr>
                <w:rFonts w:hint="eastAsia"/>
                <w:sz w:val="21"/>
                <w:szCs w:val="21"/>
              </w:rPr>
              <w:t>0</w:t>
            </w:r>
          </w:p>
        </w:tc>
        <w:tc>
          <w:tcPr>
            <w:tcW w:w="339" w:type="pct"/>
            <w:vAlign w:val="center"/>
          </w:tcPr>
          <w:p w14:paraId="6FBE52D5">
            <w:pPr>
              <w:adjustRightInd/>
              <w:snapToGrid/>
              <w:spacing w:line="240" w:lineRule="auto"/>
              <w:ind w:firstLine="0" w:firstLineChars="0"/>
              <w:contextualSpacing/>
              <w:jc w:val="center"/>
              <w:rPr>
                <w:sz w:val="21"/>
                <w:szCs w:val="21"/>
                <w:lang w:bidi="ar"/>
              </w:rPr>
            </w:pPr>
            <w:r>
              <w:rPr>
                <w:rFonts w:hint="eastAsia"/>
                <w:sz w:val="21"/>
                <w:szCs w:val="21"/>
                <w:lang w:bidi="ar"/>
              </w:rPr>
              <w:t>0</w:t>
            </w:r>
          </w:p>
        </w:tc>
        <w:tc>
          <w:tcPr>
            <w:tcW w:w="209" w:type="pct"/>
            <w:vAlign w:val="center"/>
          </w:tcPr>
          <w:p w14:paraId="737CA039">
            <w:pPr>
              <w:adjustRightInd/>
              <w:snapToGrid/>
              <w:spacing w:line="240" w:lineRule="auto"/>
              <w:ind w:firstLine="0" w:firstLineChars="0"/>
              <w:contextualSpacing/>
              <w:jc w:val="center"/>
              <w:rPr>
                <w:sz w:val="21"/>
                <w:szCs w:val="21"/>
              </w:rPr>
            </w:pPr>
            <w:r>
              <w:rPr>
                <w:rFonts w:hint="eastAsia"/>
                <w:sz w:val="21"/>
                <w:szCs w:val="21"/>
              </w:rPr>
              <w:t>0</w:t>
            </w:r>
          </w:p>
        </w:tc>
        <w:tc>
          <w:tcPr>
            <w:tcW w:w="245" w:type="pct"/>
            <w:vAlign w:val="center"/>
          </w:tcPr>
          <w:p w14:paraId="0F1BABD0">
            <w:pPr>
              <w:adjustRightInd/>
              <w:snapToGrid/>
              <w:spacing w:line="240" w:lineRule="auto"/>
              <w:ind w:firstLine="0" w:firstLineChars="0"/>
              <w:contextualSpacing/>
              <w:jc w:val="center"/>
              <w:rPr>
                <w:sz w:val="21"/>
                <w:szCs w:val="21"/>
              </w:rPr>
            </w:pPr>
            <w:r>
              <w:rPr>
                <w:rFonts w:hint="eastAsia"/>
                <w:sz w:val="21"/>
                <w:szCs w:val="21"/>
              </w:rPr>
              <w:t>0</w:t>
            </w:r>
          </w:p>
        </w:tc>
        <w:tc>
          <w:tcPr>
            <w:tcW w:w="247" w:type="pct"/>
            <w:vAlign w:val="center"/>
          </w:tcPr>
          <w:p w14:paraId="339AFCD7">
            <w:pPr>
              <w:adjustRightInd/>
              <w:snapToGrid/>
              <w:spacing w:line="240" w:lineRule="auto"/>
              <w:ind w:firstLine="0" w:firstLineChars="0"/>
              <w:contextualSpacing/>
              <w:jc w:val="center"/>
              <w:rPr>
                <w:sz w:val="21"/>
                <w:szCs w:val="21"/>
              </w:rPr>
            </w:pPr>
            <w:r>
              <w:rPr>
                <w:rFonts w:hint="eastAsia"/>
                <w:sz w:val="21"/>
                <w:szCs w:val="21"/>
              </w:rPr>
              <w:t>0</w:t>
            </w:r>
          </w:p>
        </w:tc>
        <w:tc>
          <w:tcPr>
            <w:tcW w:w="287" w:type="pct"/>
            <w:vAlign w:val="center"/>
          </w:tcPr>
          <w:p w14:paraId="5BE2995F">
            <w:pPr>
              <w:adjustRightInd/>
              <w:snapToGrid/>
              <w:spacing w:line="240" w:lineRule="auto"/>
              <w:ind w:firstLine="0" w:firstLineChars="0"/>
              <w:contextualSpacing/>
              <w:jc w:val="center"/>
              <w:rPr>
                <w:sz w:val="21"/>
                <w:szCs w:val="21"/>
              </w:rPr>
            </w:pPr>
            <w:r>
              <w:rPr>
                <w:rFonts w:hint="eastAsia"/>
                <w:sz w:val="21"/>
                <w:szCs w:val="21"/>
              </w:rPr>
              <w:t>0</w:t>
            </w:r>
          </w:p>
        </w:tc>
        <w:tc>
          <w:tcPr>
            <w:tcW w:w="301" w:type="pct"/>
            <w:vAlign w:val="center"/>
          </w:tcPr>
          <w:p w14:paraId="1F22C67A">
            <w:pPr>
              <w:adjustRightInd/>
              <w:snapToGrid/>
              <w:spacing w:line="240" w:lineRule="auto"/>
              <w:ind w:firstLine="0" w:firstLineChars="0"/>
              <w:contextualSpacing/>
              <w:jc w:val="center"/>
              <w:rPr>
                <w:sz w:val="21"/>
                <w:szCs w:val="21"/>
              </w:rPr>
            </w:pPr>
            <w:r>
              <w:rPr>
                <w:rFonts w:hint="eastAsia"/>
                <w:sz w:val="21"/>
                <w:szCs w:val="21"/>
              </w:rPr>
              <w:t>0</w:t>
            </w:r>
          </w:p>
        </w:tc>
        <w:tc>
          <w:tcPr>
            <w:tcW w:w="301" w:type="pct"/>
            <w:vAlign w:val="center"/>
          </w:tcPr>
          <w:p w14:paraId="1424FE8E">
            <w:pPr>
              <w:adjustRightInd/>
              <w:snapToGrid/>
              <w:spacing w:line="240" w:lineRule="auto"/>
              <w:ind w:firstLine="0" w:firstLineChars="0"/>
              <w:contextualSpacing/>
              <w:jc w:val="center"/>
              <w:rPr>
                <w:sz w:val="21"/>
                <w:szCs w:val="21"/>
              </w:rPr>
            </w:pPr>
            <w:r>
              <w:rPr>
                <w:rFonts w:hint="eastAsia"/>
                <w:sz w:val="21"/>
                <w:szCs w:val="21"/>
              </w:rPr>
              <w:t>0</w:t>
            </w:r>
          </w:p>
        </w:tc>
        <w:tc>
          <w:tcPr>
            <w:tcW w:w="255" w:type="pct"/>
            <w:vAlign w:val="center"/>
          </w:tcPr>
          <w:p w14:paraId="6A4644F5">
            <w:pPr>
              <w:adjustRightInd/>
              <w:snapToGrid/>
              <w:spacing w:line="240" w:lineRule="auto"/>
              <w:ind w:firstLine="0" w:firstLineChars="0"/>
              <w:contextualSpacing/>
              <w:jc w:val="center"/>
              <w:rPr>
                <w:sz w:val="21"/>
                <w:szCs w:val="21"/>
              </w:rPr>
            </w:pPr>
            <w:r>
              <w:rPr>
                <w:rFonts w:hint="eastAsia"/>
                <w:sz w:val="21"/>
                <w:szCs w:val="21"/>
              </w:rPr>
              <w:t>0</w:t>
            </w:r>
          </w:p>
        </w:tc>
        <w:tc>
          <w:tcPr>
            <w:tcW w:w="293" w:type="pct"/>
            <w:vAlign w:val="center"/>
          </w:tcPr>
          <w:p w14:paraId="24D04DC3">
            <w:pPr>
              <w:adjustRightInd/>
              <w:snapToGrid/>
              <w:spacing w:line="240" w:lineRule="auto"/>
              <w:ind w:firstLine="0" w:firstLineChars="0"/>
              <w:contextualSpacing/>
              <w:jc w:val="center"/>
              <w:rPr>
                <w:sz w:val="21"/>
                <w:szCs w:val="21"/>
              </w:rPr>
            </w:pPr>
            <w:r>
              <w:rPr>
                <w:rFonts w:hint="eastAsia"/>
                <w:sz w:val="21"/>
                <w:szCs w:val="21"/>
              </w:rPr>
              <w:t>0</w:t>
            </w:r>
          </w:p>
        </w:tc>
        <w:tc>
          <w:tcPr>
            <w:tcW w:w="325" w:type="pct"/>
            <w:vAlign w:val="center"/>
          </w:tcPr>
          <w:p w14:paraId="6643F4C0">
            <w:pPr>
              <w:adjustRightInd/>
              <w:snapToGrid/>
              <w:spacing w:line="240" w:lineRule="auto"/>
              <w:ind w:firstLine="0" w:firstLineChars="0"/>
              <w:contextualSpacing/>
              <w:jc w:val="center"/>
              <w:rPr>
                <w:sz w:val="21"/>
                <w:szCs w:val="21"/>
              </w:rPr>
            </w:pPr>
            <w:r>
              <w:rPr>
                <w:rFonts w:hint="eastAsia"/>
                <w:sz w:val="21"/>
                <w:szCs w:val="21"/>
              </w:rPr>
              <w:t>0</w:t>
            </w:r>
          </w:p>
        </w:tc>
      </w:tr>
      <w:tr w14:paraId="1D3EC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58" w:type="pct"/>
            <w:gridSpan w:val="2"/>
            <w:vAlign w:val="center"/>
          </w:tcPr>
          <w:p w14:paraId="1D3EC678">
            <w:pPr>
              <w:adjustRightInd/>
              <w:snapToGrid/>
              <w:spacing w:line="240" w:lineRule="auto"/>
              <w:ind w:firstLine="0" w:firstLineChars="0"/>
              <w:contextualSpacing/>
              <w:jc w:val="center"/>
              <w:rPr>
                <w:sz w:val="21"/>
                <w:szCs w:val="21"/>
              </w:rPr>
            </w:pPr>
            <w:r>
              <w:rPr>
                <w:sz w:val="21"/>
                <w:szCs w:val="21"/>
              </w:rPr>
              <w:t>达标情况</w:t>
            </w:r>
          </w:p>
        </w:tc>
        <w:tc>
          <w:tcPr>
            <w:tcW w:w="356" w:type="pct"/>
            <w:vAlign w:val="center"/>
          </w:tcPr>
          <w:p w14:paraId="1D3EC679">
            <w:pPr>
              <w:adjustRightInd/>
              <w:snapToGrid/>
              <w:spacing w:line="240" w:lineRule="auto"/>
              <w:ind w:firstLine="0" w:firstLineChars="0"/>
              <w:contextualSpacing/>
              <w:jc w:val="center"/>
              <w:rPr>
                <w:sz w:val="21"/>
                <w:szCs w:val="21"/>
                <w:lang w:bidi="ar"/>
              </w:rPr>
            </w:pPr>
            <w:r>
              <w:rPr>
                <w:sz w:val="21"/>
                <w:szCs w:val="21"/>
                <w:lang w:bidi="ar"/>
              </w:rPr>
              <w:t>达标</w:t>
            </w:r>
          </w:p>
        </w:tc>
        <w:tc>
          <w:tcPr>
            <w:tcW w:w="168" w:type="pct"/>
            <w:vAlign w:val="center"/>
          </w:tcPr>
          <w:p w14:paraId="1D3EC67A">
            <w:pPr>
              <w:adjustRightInd/>
              <w:snapToGrid/>
              <w:spacing w:line="240" w:lineRule="auto"/>
              <w:ind w:firstLine="0" w:firstLineChars="0"/>
              <w:contextualSpacing/>
              <w:jc w:val="center"/>
              <w:rPr>
                <w:sz w:val="21"/>
                <w:szCs w:val="21"/>
              </w:rPr>
            </w:pPr>
            <w:r>
              <w:rPr>
                <w:sz w:val="21"/>
                <w:szCs w:val="21"/>
                <w:lang w:bidi="ar"/>
              </w:rPr>
              <w:t>达标</w:t>
            </w:r>
          </w:p>
        </w:tc>
        <w:tc>
          <w:tcPr>
            <w:tcW w:w="214" w:type="pct"/>
            <w:vAlign w:val="center"/>
          </w:tcPr>
          <w:p w14:paraId="1D3EC67B">
            <w:pPr>
              <w:adjustRightInd/>
              <w:snapToGrid/>
              <w:spacing w:line="240" w:lineRule="auto"/>
              <w:ind w:firstLine="0" w:firstLineChars="0"/>
              <w:contextualSpacing/>
              <w:jc w:val="center"/>
              <w:rPr>
                <w:sz w:val="21"/>
                <w:szCs w:val="21"/>
                <w:lang w:bidi="ar"/>
              </w:rPr>
            </w:pPr>
            <w:r>
              <w:rPr>
                <w:sz w:val="21"/>
                <w:szCs w:val="21"/>
                <w:lang w:bidi="ar"/>
              </w:rPr>
              <w:t>达标</w:t>
            </w:r>
          </w:p>
        </w:tc>
        <w:tc>
          <w:tcPr>
            <w:tcW w:w="223" w:type="pct"/>
            <w:vAlign w:val="center"/>
          </w:tcPr>
          <w:p w14:paraId="1D3EC67C">
            <w:pPr>
              <w:adjustRightInd/>
              <w:snapToGrid/>
              <w:spacing w:line="240" w:lineRule="auto"/>
              <w:ind w:firstLine="0" w:firstLineChars="0"/>
              <w:contextualSpacing/>
              <w:jc w:val="center"/>
              <w:rPr>
                <w:sz w:val="21"/>
                <w:szCs w:val="21"/>
              </w:rPr>
            </w:pPr>
            <w:r>
              <w:rPr>
                <w:sz w:val="21"/>
                <w:szCs w:val="21"/>
                <w:lang w:bidi="ar"/>
              </w:rPr>
              <w:t>达标</w:t>
            </w:r>
          </w:p>
        </w:tc>
        <w:tc>
          <w:tcPr>
            <w:tcW w:w="240" w:type="pct"/>
            <w:vAlign w:val="center"/>
          </w:tcPr>
          <w:p w14:paraId="1D3EC67D">
            <w:pPr>
              <w:adjustRightInd/>
              <w:snapToGrid/>
              <w:spacing w:line="240" w:lineRule="auto"/>
              <w:ind w:firstLine="0" w:firstLineChars="0"/>
              <w:contextualSpacing/>
              <w:jc w:val="center"/>
              <w:rPr>
                <w:sz w:val="21"/>
                <w:szCs w:val="21"/>
              </w:rPr>
            </w:pPr>
            <w:r>
              <w:rPr>
                <w:sz w:val="21"/>
                <w:szCs w:val="21"/>
                <w:lang w:bidi="ar"/>
              </w:rPr>
              <w:t>达标</w:t>
            </w:r>
          </w:p>
        </w:tc>
        <w:tc>
          <w:tcPr>
            <w:tcW w:w="339" w:type="pct"/>
            <w:vAlign w:val="center"/>
          </w:tcPr>
          <w:p w14:paraId="1D3EC67E">
            <w:pPr>
              <w:adjustRightInd/>
              <w:snapToGrid/>
              <w:spacing w:line="240" w:lineRule="auto"/>
              <w:ind w:firstLine="0" w:firstLineChars="0"/>
              <w:contextualSpacing/>
              <w:jc w:val="center"/>
              <w:rPr>
                <w:sz w:val="21"/>
                <w:szCs w:val="21"/>
              </w:rPr>
            </w:pPr>
            <w:r>
              <w:rPr>
                <w:sz w:val="21"/>
                <w:szCs w:val="21"/>
                <w:lang w:bidi="ar"/>
              </w:rPr>
              <w:t>达标</w:t>
            </w:r>
          </w:p>
        </w:tc>
        <w:tc>
          <w:tcPr>
            <w:tcW w:w="339" w:type="pct"/>
            <w:vAlign w:val="center"/>
          </w:tcPr>
          <w:p w14:paraId="1D3EC67F">
            <w:pPr>
              <w:adjustRightInd/>
              <w:snapToGrid/>
              <w:spacing w:line="240" w:lineRule="auto"/>
              <w:ind w:firstLine="0" w:firstLineChars="0"/>
              <w:contextualSpacing/>
              <w:jc w:val="center"/>
              <w:rPr>
                <w:sz w:val="21"/>
                <w:szCs w:val="21"/>
                <w:lang w:bidi="ar"/>
              </w:rPr>
            </w:pPr>
            <w:r>
              <w:rPr>
                <w:sz w:val="21"/>
                <w:szCs w:val="21"/>
                <w:lang w:bidi="ar"/>
              </w:rPr>
              <w:t>达标</w:t>
            </w:r>
          </w:p>
        </w:tc>
        <w:tc>
          <w:tcPr>
            <w:tcW w:w="209" w:type="pct"/>
            <w:vAlign w:val="center"/>
          </w:tcPr>
          <w:p w14:paraId="1D3EC680">
            <w:pPr>
              <w:adjustRightInd/>
              <w:snapToGrid/>
              <w:spacing w:line="240" w:lineRule="auto"/>
              <w:ind w:firstLine="0" w:firstLineChars="0"/>
              <w:contextualSpacing/>
              <w:jc w:val="center"/>
              <w:rPr>
                <w:sz w:val="21"/>
                <w:szCs w:val="21"/>
              </w:rPr>
            </w:pPr>
            <w:r>
              <w:rPr>
                <w:sz w:val="21"/>
                <w:szCs w:val="21"/>
                <w:lang w:bidi="ar"/>
              </w:rPr>
              <w:t>达标</w:t>
            </w:r>
          </w:p>
        </w:tc>
        <w:tc>
          <w:tcPr>
            <w:tcW w:w="245" w:type="pct"/>
            <w:vAlign w:val="center"/>
          </w:tcPr>
          <w:p w14:paraId="1D3EC681">
            <w:pPr>
              <w:adjustRightInd/>
              <w:snapToGrid/>
              <w:spacing w:line="240" w:lineRule="auto"/>
              <w:ind w:firstLine="0" w:firstLineChars="0"/>
              <w:contextualSpacing/>
              <w:jc w:val="center"/>
              <w:rPr>
                <w:sz w:val="21"/>
                <w:szCs w:val="21"/>
              </w:rPr>
            </w:pPr>
            <w:r>
              <w:rPr>
                <w:sz w:val="21"/>
                <w:szCs w:val="21"/>
                <w:lang w:bidi="ar"/>
              </w:rPr>
              <w:t>达标</w:t>
            </w:r>
          </w:p>
        </w:tc>
        <w:tc>
          <w:tcPr>
            <w:tcW w:w="247" w:type="pct"/>
            <w:vAlign w:val="center"/>
          </w:tcPr>
          <w:p w14:paraId="1D3EC682">
            <w:pPr>
              <w:adjustRightInd/>
              <w:snapToGrid/>
              <w:spacing w:line="240" w:lineRule="auto"/>
              <w:ind w:firstLine="0" w:firstLineChars="0"/>
              <w:contextualSpacing/>
              <w:jc w:val="center"/>
              <w:rPr>
                <w:sz w:val="21"/>
                <w:szCs w:val="21"/>
              </w:rPr>
            </w:pPr>
            <w:r>
              <w:rPr>
                <w:sz w:val="21"/>
                <w:szCs w:val="21"/>
                <w:lang w:bidi="ar"/>
              </w:rPr>
              <w:t>达标</w:t>
            </w:r>
          </w:p>
        </w:tc>
        <w:tc>
          <w:tcPr>
            <w:tcW w:w="287" w:type="pct"/>
            <w:vAlign w:val="center"/>
          </w:tcPr>
          <w:p w14:paraId="1D3EC683">
            <w:pPr>
              <w:adjustRightInd/>
              <w:snapToGrid/>
              <w:spacing w:line="240" w:lineRule="auto"/>
              <w:ind w:firstLine="0" w:firstLineChars="0"/>
              <w:contextualSpacing/>
              <w:jc w:val="center"/>
              <w:rPr>
                <w:sz w:val="21"/>
                <w:szCs w:val="21"/>
              </w:rPr>
            </w:pPr>
            <w:r>
              <w:rPr>
                <w:sz w:val="21"/>
                <w:szCs w:val="21"/>
                <w:lang w:bidi="ar"/>
              </w:rPr>
              <w:t>达标</w:t>
            </w:r>
          </w:p>
        </w:tc>
        <w:tc>
          <w:tcPr>
            <w:tcW w:w="301" w:type="pct"/>
            <w:vAlign w:val="center"/>
          </w:tcPr>
          <w:p w14:paraId="1D3EC684">
            <w:pPr>
              <w:adjustRightInd/>
              <w:snapToGrid/>
              <w:spacing w:line="240" w:lineRule="auto"/>
              <w:ind w:firstLine="0" w:firstLineChars="0"/>
              <w:contextualSpacing/>
              <w:jc w:val="center"/>
              <w:rPr>
                <w:sz w:val="21"/>
                <w:szCs w:val="21"/>
              </w:rPr>
            </w:pPr>
            <w:r>
              <w:rPr>
                <w:sz w:val="21"/>
                <w:szCs w:val="21"/>
                <w:lang w:bidi="ar"/>
              </w:rPr>
              <w:t>达标</w:t>
            </w:r>
          </w:p>
        </w:tc>
        <w:tc>
          <w:tcPr>
            <w:tcW w:w="301" w:type="pct"/>
            <w:vAlign w:val="center"/>
          </w:tcPr>
          <w:p w14:paraId="1D3EC685">
            <w:pPr>
              <w:adjustRightInd/>
              <w:snapToGrid/>
              <w:spacing w:line="240" w:lineRule="auto"/>
              <w:ind w:firstLine="0" w:firstLineChars="0"/>
              <w:contextualSpacing/>
              <w:jc w:val="center"/>
              <w:rPr>
                <w:sz w:val="21"/>
                <w:szCs w:val="21"/>
              </w:rPr>
            </w:pPr>
            <w:r>
              <w:rPr>
                <w:sz w:val="21"/>
                <w:szCs w:val="21"/>
                <w:lang w:bidi="ar"/>
              </w:rPr>
              <w:t>达标</w:t>
            </w:r>
          </w:p>
        </w:tc>
        <w:tc>
          <w:tcPr>
            <w:tcW w:w="255" w:type="pct"/>
            <w:vAlign w:val="center"/>
          </w:tcPr>
          <w:p w14:paraId="1D3EC686">
            <w:pPr>
              <w:adjustRightInd/>
              <w:snapToGrid/>
              <w:spacing w:line="240" w:lineRule="auto"/>
              <w:ind w:firstLine="0" w:firstLineChars="0"/>
              <w:contextualSpacing/>
              <w:jc w:val="center"/>
              <w:rPr>
                <w:sz w:val="21"/>
                <w:szCs w:val="21"/>
              </w:rPr>
            </w:pPr>
            <w:r>
              <w:rPr>
                <w:sz w:val="21"/>
                <w:szCs w:val="21"/>
                <w:lang w:bidi="ar"/>
              </w:rPr>
              <w:t>达标</w:t>
            </w:r>
          </w:p>
        </w:tc>
        <w:tc>
          <w:tcPr>
            <w:tcW w:w="293" w:type="pct"/>
            <w:vAlign w:val="center"/>
          </w:tcPr>
          <w:p w14:paraId="1D3EC687">
            <w:pPr>
              <w:adjustRightInd/>
              <w:snapToGrid/>
              <w:spacing w:line="240" w:lineRule="auto"/>
              <w:ind w:firstLine="0" w:firstLineChars="0"/>
              <w:contextualSpacing/>
              <w:jc w:val="center"/>
              <w:rPr>
                <w:sz w:val="21"/>
                <w:szCs w:val="21"/>
              </w:rPr>
            </w:pPr>
            <w:r>
              <w:rPr>
                <w:sz w:val="21"/>
                <w:szCs w:val="21"/>
                <w:lang w:bidi="ar"/>
              </w:rPr>
              <w:t>达标</w:t>
            </w:r>
          </w:p>
        </w:tc>
        <w:tc>
          <w:tcPr>
            <w:tcW w:w="325" w:type="pct"/>
            <w:vAlign w:val="center"/>
          </w:tcPr>
          <w:p w14:paraId="1D3EC688">
            <w:pPr>
              <w:adjustRightInd/>
              <w:snapToGrid/>
              <w:spacing w:line="240" w:lineRule="auto"/>
              <w:ind w:firstLine="0" w:firstLineChars="0"/>
              <w:contextualSpacing/>
              <w:jc w:val="center"/>
              <w:rPr>
                <w:sz w:val="21"/>
                <w:szCs w:val="21"/>
              </w:rPr>
            </w:pPr>
            <w:r>
              <w:rPr>
                <w:sz w:val="21"/>
                <w:szCs w:val="21"/>
                <w:lang w:bidi="ar"/>
              </w:rPr>
              <w:t>达标</w:t>
            </w:r>
          </w:p>
        </w:tc>
      </w:tr>
    </w:tbl>
    <w:p w14:paraId="1D3EC68A">
      <w:pPr>
        <w:numPr>
          <w:ilvl w:val="0"/>
          <w:numId w:val="23"/>
        </w:numPr>
        <w:adjustRightInd/>
        <w:snapToGrid/>
        <w:ind w:firstLineChars="0"/>
        <w:textAlignment w:val="auto"/>
        <w:rPr>
          <w:rFonts w:eastAsia="黑体"/>
        </w:rPr>
      </w:pPr>
      <w:r>
        <w:rPr>
          <w:rFonts w:eastAsia="黑体"/>
        </w:rPr>
        <w:t xml:space="preserve">                                  地下水现状结果统计表2                                  单位：mg/L</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63"/>
        <w:gridCol w:w="1300"/>
        <w:gridCol w:w="1458"/>
        <w:gridCol w:w="1135"/>
        <w:gridCol w:w="1629"/>
        <w:gridCol w:w="1256"/>
        <w:gridCol w:w="1256"/>
        <w:gridCol w:w="1256"/>
        <w:gridCol w:w="1256"/>
        <w:gridCol w:w="1256"/>
        <w:gridCol w:w="1250"/>
      </w:tblGrid>
      <w:tr w14:paraId="1D3EC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344" w:type="pct"/>
            <w:vAlign w:val="center"/>
          </w:tcPr>
          <w:p w14:paraId="1D3EC68B">
            <w:pPr>
              <w:adjustRightInd/>
              <w:snapToGrid/>
              <w:spacing w:line="240" w:lineRule="auto"/>
              <w:ind w:firstLine="0" w:firstLineChars="0"/>
              <w:jc w:val="center"/>
              <w:textAlignment w:val="auto"/>
              <w:rPr>
                <w:b/>
                <w:kern w:val="2"/>
                <w:sz w:val="21"/>
              </w:rPr>
            </w:pPr>
            <w:r>
              <w:rPr>
                <w:b/>
                <w:kern w:val="2"/>
                <w:sz w:val="21"/>
              </w:rPr>
              <w:t>检测点位</w:t>
            </w:r>
          </w:p>
        </w:tc>
        <w:tc>
          <w:tcPr>
            <w:tcW w:w="464" w:type="pct"/>
            <w:vAlign w:val="center"/>
          </w:tcPr>
          <w:p w14:paraId="1D3EC68C">
            <w:pPr>
              <w:adjustRightInd/>
              <w:snapToGrid/>
              <w:spacing w:line="240" w:lineRule="auto"/>
              <w:ind w:firstLine="0" w:firstLineChars="0"/>
              <w:jc w:val="center"/>
              <w:textAlignment w:val="auto"/>
              <w:rPr>
                <w:b/>
                <w:kern w:val="2"/>
                <w:sz w:val="21"/>
              </w:rPr>
            </w:pPr>
            <w:r>
              <w:rPr>
                <w:b/>
                <w:kern w:val="2"/>
                <w:sz w:val="21"/>
              </w:rPr>
              <w:t>采样时间</w:t>
            </w:r>
          </w:p>
        </w:tc>
        <w:tc>
          <w:tcPr>
            <w:tcW w:w="520" w:type="pct"/>
            <w:vAlign w:val="center"/>
          </w:tcPr>
          <w:p w14:paraId="1D3EC68D">
            <w:pPr>
              <w:adjustRightInd/>
              <w:snapToGrid/>
              <w:spacing w:line="240" w:lineRule="auto"/>
              <w:ind w:firstLine="0" w:firstLineChars="0"/>
              <w:jc w:val="center"/>
              <w:textAlignment w:val="auto"/>
              <w:rPr>
                <w:b/>
                <w:kern w:val="2"/>
                <w:sz w:val="21"/>
              </w:rPr>
            </w:pPr>
            <w:r>
              <w:rPr>
                <w:b/>
                <w:kern w:val="2"/>
                <w:sz w:val="21"/>
              </w:rPr>
              <w:t>六价铬</w:t>
            </w:r>
          </w:p>
        </w:tc>
        <w:tc>
          <w:tcPr>
            <w:tcW w:w="405" w:type="pct"/>
            <w:vAlign w:val="center"/>
          </w:tcPr>
          <w:p w14:paraId="1D3EC68E">
            <w:pPr>
              <w:adjustRightInd/>
              <w:snapToGrid/>
              <w:spacing w:line="240" w:lineRule="auto"/>
              <w:ind w:firstLine="0" w:firstLineChars="0"/>
              <w:jc w:val="center"/>
              <w:textAlignment w:val="auto"/>
              <w:rPr>
                <w:b/>
                <w:kern w:val="2"/>
                <w:sz w:val="21"/>
              </w:rPr>
            </w:pPr>
            <w:r>
              <w:rPr>
                <w:b/>
                <w:kern w:val="2"/>
                <w:sz w:val="21"/>
              </w:rPr>
              <w:t>总硬度</w:t>
            </w:r>
          </w:p>
        </w:tc>
        <w:tc>
          <w:tcPr>
            <w:tcW w:w="581" w:type="pct"/>
            <w:vAlign w:val="center"/>
          </w:tcPr>
          <w:p w14:paraId="1D3EC68F">
            <w:pPr>
              <w:adjustRightInd/>
              <w:snapToGrid/>
              <w:spacing w:line="240" w:lineRule="auto"/>
              <w:ind w:firstLine="0" w:firstLineChars="0"/>
              <w:jc w:val="center"/>
              <w:textAlignment w:val="auto"/>
              <w:rPr>
                <w:b/>
                <w:kern w:val="2"/>
                <w:sz w:val="21"/>
              </w:rPr>
            </w:pPr>
            <w:r>
              <w:rPr>
                <w:b/>
                <w:kern w:val="2"/>
                <w:sz w:val="21"/>
              </w:rPr>
              <w:t>铅(μg/L)</w:t>
            </w:r>
          </w:p>
        </w:tc>
        <w:tc>
          <w:tcPr>
            <w:tcW w:w="448" w:type="pct"/>
            <w:vAlign w:val="center"/>
          </w:tcPr>
          <w:p w14:paraId="1D3EC690">
            <w:pPr>
              <w:adjustRightInd/>
              <w:snapToGrid/>
              <w:spacing w:line="240" w:lineRule="auto"/>
              <w:ind w:firstLine="0" w:firstLineChars="0"/>
              <w:jc w:val="center"/>
              <w:textAlignment w:val="auto"/>
              <w:rPr>
                <w:b/>
                <w:kern w:val="2"/>
                <w:sz w:val="21"/>
              </w:rPr>
            </w:pPr>
            <w:r>
              <w:rPr>
                <w:b/>
                <w:kern w:val="2"/>
                <w:sz w:val="21"/>
              </w:rPr>
              <w:t>氟化物</w:t>
            </w:r>
          </w:p>
        </w:tc>
        <w:tc>
          <w:tcPr>
            <w:tcW w:w="448" w:type="pct"/>
            <w:vAlign w:val="center"/>
          </w:tcPr>
          <w:p w14:paraId="1D3EC691">
            <w:pPr>
              <w:adjustRightInd/>
              <w:snapToGrid/>
              <w:spacing w:line="240" w:lineRule="auto"/>
              <w:ind w:firstLine="0" w:firstLineChars="0"/>
              <w:jc w:val="center"/>
              <w:textAlignment w:val="auto"/>
              <w:rPr>
                <w:b/>
                <w:kern w:val="2"/>
                <w:sz w:val="21"/>
              </w:rPr>
            </w:pPr>
            <w:r>
              <w:rPr>
                <w:b/>
                <w:kern w:val="2"/>
                <w:sz w:val="21"/>
              </w:rPr>
              <w:t>镉(μg/L)</w:t>
            </w:r>
          </w:p>
        </w:tc>
        <w:tc>
          <w:tcPr>
            <w:tcW w:w="448" w:type="pct"/>
            <w:vAlign w:val="center"/>
          </w:tcPr>
          <w:p w14:paraId="1D3EC692">
            <w:pPr>
              <w:adjustRightInd/>
              <w:snapToGrid/>
              <w:spacing w:line="240" w:lineRule="auto"/>
              <w:ind w:firstLine="0" w:firstLineChars="0"/>
              <w:jc w:val="center"/>
              <w:textAlignment w:val="auto"/>
              <w:rPr>
                <w:b/>
                <w:kern w:val="2"/>
                <w:sz w:val="21"/>
                <w:lang w:bidi="ar"/>
              </w:rPr>
            </w:pPr>
            <w:r>
              <w:rPr>
                <w:b/>
                <w:kern w:val="2"/>
                <w:sz w:val="21"/>
                <w:lang w:bidi="ar"/>
              </w:rPr>
              <w:t>铁</w:t>
            </w:r>
          </w:p>
        </w:tc>
        <w:tc>
          <w:tcPr>
            <w:tcW w:w="448" w:type="pct"/>
            <w:vAlign w:val="center"/>
          </w:tcPr>
          <w:p w14:paraId="1D3EC693">
            <w:pPr>
              <w:adjustRightInd/>
              <w:snapToGrid/>
              <w:spacing w:line="240" w:lineRule="auto"/>
              <w:ind w:firstLine="0" w:firstLineChars="0"/>
              <w:jc w:val="center"/>
              <w:textAlignment w:val="auto"/>
              <w:rPr>
                <w:b/>
                <w:kern w:val="2"/>
                <w:sz w:val="21"/>
              </w:rPr>
            </w:pPr>
            <w:r>
              <w:rPr>
                <w:b/>
                <w:kern w:val="2"/>
                <w:sz w:val="21"/>
              </w:rPr>
              <w:t>锰</w:t>
            </w:r>
          </w:p>
        </w:tc>
        <w:tc>
          <w:tcPr>
            <w:tcW w:w="448" w:type="pct"/>
            <w:vAlign w:val="center"/>
          </w:tcPr>
          <w:p w14:paraId="1D3EC694">
            <w:pPr>
              <w:adjustRightInd/>
              <w:snapToGrid/>
              <w:spacing w:line="240" w:lineRule="auto"/>
              <w:ind w:firstLine="0" w:firstLineChars="0"/>
              <w:jc w:val="center"/>
              <w:textAlignment w:val="auto"/>
              <w:rPr>
                <w:b/>
                <w:kern w:val="2"/>
                <w:sz w:val="21"/>
              </w:rPr>
            </w:pPr>
            <w:r>
              <w:rPr>
                <w:b/>
                <w:kern w:val="2"/>
                <w:sz w:val="21"/>
              </w:rPr>
              <w:t>溶解性总固体</w:t>
            </w:r>
          </w:p>
        </w:tc>
        <w:tc>
          <w:tcPr>
            <w:tcW w:w="446" w:type="pct"/>
            <w:vAlign w:val="center"/>
          </w:tcPr>
          <w:p w14:paraId="1D3EC695">
            <w:pPr>
              <w:adjustRightInd/>
              <w:snapToGrid/>
              <w:spacing w:line="240" w:lineRule="auto"/>
              <w:ind w:firstLine="0" w:firstLineChars="0"/>
              <w:jc w:val="center"/>
              <w:textAlignment w:val="auto"/>
              <w:rPr>
                <w:b/>
                <w:kern w:val="2"/>
                <w:sz w:val="21"/>
              </w:rPr>
            </w:pPr>
            <w:r>
              <w:rPr>
                <w:rFonts w:hint="eastAsia"/>
                <w:b/>
                <w:kern w:val="2"/>
                <w:sz w:val="21"/>
              </w:rPr>
              <w:t>高锰酸盐指数</w:t>
            </w:r>
          </w:p>
        </w:tc>
      </w:tr>
      <w:tr w14:paraId="1D3EC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restart"/>
            <w:vAlign w:val="center"/>
          </w:tcPr>
          <w:p w14:paraId="1D3EC69A">
            <w:pPr>
              <w:adjustRightInd/>
              <w:snapToGrid/>
              <w:spacing w:line="240" w:lineRule="auto"/>
              <w:ind w:firstLine="0" w:firstLineChars="0"/>
              <w:contextualSpacing/>
              <w:jc w:val="center"/>
              <w:rPr>
                <w:sz w:val="21"/>
                <w:szCs w:val="21"/>
                <w:highlight w:val="yellow"/>
              </w:rPr>
            </w:pPr>
            <w:r>
              <w:rPr>
                <w:sz w:val="21"/>
                <w:szCs w:val="21"/>
              </w:rPr>
              <w:t>1#厂区</w:t>
            </w:r>
          </w:p>
        </w:tc>
        <w:tc>
          <w:tcPr>
            <w:tcW w:w="464" w:type="pct"/>
            <w:vAlign w:val="center"/>
          </w:tcPr>
          <w:p w14:paraId="1D3EC69B">
            <w:pPr>
              <w:adjustRightInd/>
              <w:snapToGrid/>
              <w:spacing w:line="240" w:lineRule="auto"/>
              <w:ind w:firstLine="0" w:firstLineChars="0"/>
              <w:contextualSpacing/>
              <w:jc w:val="center"/>
              <w:rPr>
                <w:sz w:val="21"/>
                <w:szCs w:val="21"/>
                <w:highlight w:val="yellow"/>
                <w:lang w:bidi="ar"/>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20" w:type="pct"/>
            <w:vAlign w:val="center"/>
          </w:tcPr>
          <w:p w14:paraId="1D3EC69C">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69D">
            <w:pPr>
              <w:adjustRightInd/>
              <w:snapToGrid/>
              <w:spacing w:line="240" w:lineRule="auto"/>
              <w:ind w:firstLine="0" w:firstLineChars="0"/>
              <w:contextualSpacing/>
              <w:jc w:val="center"/>
              <w:rPr>
                <w:sz w:val="21"/>
                <w:szCs w:val="21"/>
              </w:rPr>
            </w:pPr>
            <w:r>
              <w:rPr>
                <w:rFonts w:hint="eastAsia"/>
                <w:sz w:val="21"/>
                <w:szCs w:val="21"/>
              </w:rPr>
              <w:t>226</w:t>
            </w:r>
          </w:p>
        </w:tc>
        <w:tc>
          <w:tcPr>
            <w:tcW w:w="581" w:type="pct"/>
            <w:vAlign w:val="center"/>
          </w:tcPr>
          <w:p w14:paraId="1D3EC69E">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9F">
            <w:pPr>
              <w:adjustRightInd/>
              <w:snapToGrid/>
              <w:spacing w:line="240" w:lineRule="auto"/>
              <w:ind w:firstLine="0" w:firstLineChars="0"/>
              <w:contextualSpacing/>
              <w:jc w:val="center"/>
              <w:rPr>
                <w:sz w:val="21"/>
                <w:szCs w:val="21"/>
                <w:lang w:bidi="ar"/>
              </w:rPr>
            </w:pPr>
            <w:r>
              <w:rPr>
                <w:rFonts w:hint="eastAsia"/>
                <w:sz w:val="21"/>
                <w:szCs w:val="21"/>
                <w:lang w:bidi="ar"/>
              </w:rPr>
              <w:t>0.63</w:t>
            </w:r>
          </w:p>
        </w:tc>
        <w:tc>
          <w:tcPr>
            <w:tcW w:w="448" w:type="pct"/>
            <w:vAlign w:val="center"/>
          </w:tcPr>
          <w:p w14:paraId="1D3EC6A0">
            <w:pPr>
              <w:adjustRightInd/>
              <w:snapToGrid/>
              <w:spacing w:line="240" w:lineRule="auto"/>
              <w:ind w:firstLine="0" w:firstLineChars="0"/>
              <w:contextualSpacing/>
              <w:jc w:val="center"/>
              <w:rPr>
                <w:sz w:val="21"/>
                <w:szCs w:val="21"/>
                <w:lang w:bidi="ar"/>
              </w:rPr>
            </w:pPr>
            <w:r>
              <w:rPr>
                <w:sz w:val="21"/>
                <w:szCs w:val="21"/>
              </w:rPr>
              <w:t>未检出</w:t>
            </w:r>
          </w:p>
        </w:tc>
        <w:tc>
          <w:tcPr>
            <w:tcW w:w="448" w:type="pct"/>
            <w:vAlign w:val="center"/>
          </w:tcPr>
          <w:p w14:paraId="1D3EC6A1">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A2">
            <w:pPr>
              <w:adjustRightInd/>
              <w:snapToGrid/>
              <w:spacing w:line="240" w:lineRule="auto"/>
              <w:ind w:firstLine="0" w:firstLineChars="0"/>
              <w:contextualSpacing/>
              <w:jc w:val="center"/>
              <w:rPr>
                <w:sz w:val="21"/>
                <w:szCs w:val="21"/>
                <w:lang w:bidi="ar"/>
              </w:rPr>
            </w:pPr>
            <w:r>
              <w:rPr>
                <w:sz w:val="21"/>
                <w:szCs w:val="21"/>
              </w:rPr>
              <w:t>未检出</w:t>
            </w:r>
          </w:p>
        </w:tc>
        <w:tc>
          <w:tcPr>
            <w:tcW w:w="448" w:type="pct"/>
            <w:vAlign w:val="center"/>
          </w:tcPr>
          <w:p w14:paraId="1D3EC6A3">
            <w:pPr>
              <w:adjustRightInd/>
              <w:snapToGrid/>
              <w:spacing w:line="240" w:lineRule="auto"/>
              <w:ind w:firstLine="0" w:firstLineChars="0"/>
              <w:contextualSpacing/>
              <w:jc w:val="center"/>
              <w:rPr>
                <w:sz w:val="21"/>
                <w:szCs w:val="21"/>
              </w:rPr>
            </w:pPr>
            <w:r>
              <w:rPr>
                <w:rFonts w:hint="eastAsia"/>
                <w:sz w:val="21"/>
                <w:szCs w:val="21"/>
              </w:rPr>
              <w:t>361</w:t>
            </w:r>
          </w:p>
        </w:tc>
        <w:tc>
          <w:tcPr>
            <w:tcW w:w="446" w:type="pct"/>
            <w:vAlign w:val="center"/>
          </w:tcPr>
          <w:p w14:paraId="1D3EC6A4">
            <w:pPr>
              <w:adjustRightInd/>
              <w:snapToGrid/>
              <w:spacing w:line="240" w:lineRule="auto"/>
              <w:ind w:firstLine="0" w:firstLineChars="0"/>
              <w:contextualSpacing/>
              <w:jc w:val="center"/>
              <w:rPr>
                <w:sz w:val="21"/>
                <w:szCs w:val="21"/>
              </w:rPr>
            </w:pPr>
            <w:r>
              <w:rPr>
                <w:rFonts w:hint="eastAsia"/>
                <w:sz w:val="21"/>
                <w:szCs w:val="21"/>
              </w:rPr>
              <w:t>1.46</w:t>
            </w:r>
          </w:p>
        </w:tc>
      </w:tr>
      <w:tr w14:paraId="1D3EC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continue"/>
            <w:vAlign w:val="center"/>
          </w:tcPr>
          <w:p w14:paraId="1D3EC6B8">
            <w:pPr>
              <w:adjustRightInd/>
              <w:snapToGrid/>
              <w:spacing w:line="240" w:lineRule="auto"/>
              <w:ind w:firstLine="0" w:firstLineChars="0"/>
              <w:contextualSpacing/>
              <w:jc w:val="center"/>
              <w:rPr>
                <w:sz w:val="21"/>
                <w:szCs w:val="21"/>
                <w:highlight w:val="yellow"/>
              </w:rPr>
            </w:pPr>
          </w:p>
        </w:tc>
        <w:tc>
          <w:tcPr>
            <w:tcW w:w="464" w:type="pct"/>
            <w:vAlign w:val="center"/>
          </w:tcPr>
          <w:p w14:paraId="1D3EC6B9">
            <w:pPr>
              <w:adjustRightInd/>
              <w:snapToGrid/>
              <w:spacing w:line="240" w:lineRule="auto"/>
              <w:ind w:firstLine="0" w:firstLineChars="0"/>
              <w:contextualSpacing/>
              <w:jc w:val="center"/>
              <w:rPr>
                <w:sz w:val="21"/>
                <w:szCs w:val="21"/>
                <w:highlight w:val="yellow"/>
                <w:lang w:bidi="ar"/>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20" w:type="pct"/>
            <w:vAlign w:val="center"/>
          </w:tcPr>
          <w:p w14:paraId="1D3EC6BA">
            <w:pPr>
              <w:adjustRightInd/>
              <w:snapToGrid/>
              <w:spacing w:line="240" w:lineRule="auto"/>
              <w:ind w:firstLine="0" w:firstLineChars="0"/>
              <w:contextualSpacing/>
              <w:jc w:val="center"/>
              <w:rPr>
                <w:sz w:val="21"/>
                <w:szCs w:val="21"/>
                <w:lang w:bidi="ar"/>
              </w:rPr>
            </w:pPr>
            <w:r>
              <w:rPr>
                <w:sz w:val="21"/>
                <w:szCs w:val="21"/>
              </w:rPr>
              <w:t>未检出</w:t>
            </w:r>
          </w:p>
        </w:tc>
        <w:tc>
          <w:tcPr>
            <w:tcW w:w="405" w:type="pct"/>
            <w:vAlign w:val="center"/>
          </w:tcPr>
          <w:p w14:paraId="1D3EC6BB">
            <w:pPr>
              <w:adjustRightInd/>
              <w:snapToGrid/>
              <w:spacing w:line="240" w:lineRule="auto"/>
              <w:ind w:firstLine="0" w:firstLineChars="0"/>
              <w:contextualSpacing/>
              <w:jc w:val="center"/>
              <w:rPr>
                <w:sz w:val="21"/>
                <w:szCs w:val="21"/>
                <w:lang w:bidi="ar"/>
              </w:rPr>
            </w:pPr>
            <w:r>
              <w:rPr>
                <w:rFonts w:hint="eastAsia"/>
                <w:sz w:val="21"/>
                <w:szCs w:val="21"/>
                <w:lang w:bidi="ar"/>
              </w:rPr>
              <w:t>226</w:t>
            </w:r>
          </w:p>
        </w:tc>
        <w:tc>
          <w:tcPr>
            <w:tcW w:w="581" w:type="pct"/>
            <w:vAlign w:val="center"/>
          </w:tcPr>
          <w:p w14:paraId="1D3EC6BC">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BD">
            <w:pPr>
              <w:adjustRightInd/>
              <w:snapToGrid/>
              <w:spacing w:line="240" w:lineRule="auto"/>
              <w:ind w:firstLine="0" w:firstLineChars="0"/>
              <w:contextualSpacing/>
              <w:jc w:val="center"/>
              <w:rPr>
                <w:sz w:val="21"/>
                <w:szCs w:val="21"/>
                <w:lang w:bidi="ar"/>
              </w:rPr>
            </w:pPr>
            <w:r>
              <w:rPr>
                <w:rFonts w:hint="eastAsia"/>
                <w:sz w:val="21"/>
                <w:szCs w:val="21"/>
                <w:lang w:bidi="ar"/>
              </w:rPr>
              <w:t>0.75</w:t>
            </w:r>
          </w:p>
        </w:tc>
        <w:tc>
          <w:tcPr>
            <w:tcW w:w="448" w:type="pct"/>
            <w:vAlign w:val="center"/>
          </w:tcPr>
          <w:p w14:paraId="1D3EC6BE">
            <w:pPr>
              <w:adjustRightInd/>
              <w:snapToGrid/>
              <w:spacing w:line="240" w:lineRule="auto"/>
              <w:ind w:firstLine="0" w:firstLineChars="0"/>
              <w:contextualSpacing/>
              <w:jc w:val="center"/>
              <w:rPr>
                <w:sz w:val="21"/>
                <w:szCs w:val="21"/>
                <w:lang w:bidi="ar"/>
              </w:rPr>
            </w:pPr>
            <w:r>
              <w:rPr>
                <w:sz w:val="21"/>
                <w:szCs w:val="21"/>
              </w:rPr>
              <w:t>未检出</w:t>
            </w:r>
          </w:p>
        </w:tc>
        <w:tc>
          <w:tcPr>
            <w:tcW w:w="448" w:type="pct"/>
            <w:vAlign w:val="center"/>
          </w:tcPr>
          <w:p w14:paraId="1D3EC6BF">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C0">
            <w:pPr>
              <w:adjustRightInd/>
              <w:snapToGrid/>
              <w:spacing w:line="240" w:lineRule="auto"/>
              <w:ind w:firstLine="0" w:firstLineChars="0"/>
              <w:contextualSpacing/>
              <w:jc w:val="center"/>
              <w:rPr>
                <w:sz w:val="21"/>
                <w:szCs w:val="21"/>
                <w:lang w:bidi="ar"/>
              </w:rPr>
            </w:pPr>
            <w:r>
              <w:rPr>
                <w:sz w:val="21"/>
                <w:szCs w:val="21"/>
              </w:rPr>
              <w:t>未检出</w:t>
            </w:r>
          </w:p>
        </w:tc>
        <w:tc>
          <w:tcPr>
            <w:tcW w:w="448" w:type="pct"/>
            <w:vAlign w:val="center"/>
          </w:tcPr>
          <w:p w14:paraId="1D3EC6C1">
            <w:pPr>
              <w:adjustRightInd/>
              <w:snapToGrid/>
              <w:spacing w:line="240" w:lineRule="auto"/>
              <w:ind w:firstLine="0" w:firstLineChars="0"/>
              <w:contextualSpacing/>
              <w:jc w:val="center"/>
              <w:rPr>
                <w:sz w:val="21"/>
                <w:szCs w:val="21"/>
              </w:rPr>
            </w:pPr>
            <w:r>
              <w:rPr>
                <w:rFonts w:hint="eastAsia"/>
                <w:sz w:val="21"/>
                <w:szCs w:val="21"/>
              </w:rPr>
              <w:t>433</w:t>
            </w:r>
          </w:p>
        </w:tc>
        <w:tc>
          <w:tcPr>
            <w:tcW w:w="446" w:type="pct"/>
            <w:vAlign w:val="center"/>
          </w:tcPr>
          <w:p w14:paraId="1D3EC6C2">
            <w:pPr>
              <w:adjustRightInd/>
              <w:snapToGrid/>
              <w:spacing w:line="240" w:lineRule="auto"/>
              <w:ind w:firstLine="0" w:firstLineChars="0"/>
              <w:contextualSpacing/>
              <w:jc w:val="center"/>
              <w:rPr>
                <w:sz w:val="21"/>
                <w:szCs w:val="21"/>
                <w:lang w:bidi="ar"/>
              </w:rPr>
            </w:pPr>
            <w:r>
              <w:rPr>
                <w:rFonts w:hint="eastAsia"/>
                <w:sz w:val="21"/>
                <w:szCs w:val="21"/>
                <w:lang w:bidi="ar"/>
              </w:rPr>
              <w:t>1.49</w:t>
            </w:r>
          </w:p>
        </w:tc>
      </w:tr>
      <w:tr w14:paraId="1D3EC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restart"/>
            <w:vAlign w:val="center"/>
          </w:tcPr>
          <w:p w14:paraId="1D3EC6D6">
            <w:pPr>
              <w:adjustRightInd/>
              <w:snapToGrid/>
              <w:spacing w:line="240" w:lineRule="auto"/>
              <w:ind w:firstLine="0" w:firstLineChars="0"/>
              <w:contextualSpacing/>
              <w:jc w:val="center"/>
              <w:rPr>
                <w:sz w:val="21"/>
                <w:szCs w:val="21"/>
                <w:highlight w:val="yellow"/>
              </w:rPr>
            </w:pPr>
            <w:r>
              <w:rPr>
                <w:sz w:val="21"/>
                <w:szCs w:val="21"/>
              </w:rPr>
              <w:t>2#</w:t>
            </w:r>
            <w:r>
              <w:rPr>
                <w:rFonts w:hint="eastAsia"/>
                <w:sz w:val="21"/>
                <w:szCs w:val="21"/>
              </w:rPr>
              <w:t>郭全屯村</w:t>
            </w:r>
          </w:p>
        </w:tc>
        <w:tc>
          <w:tcPr>
            <w:tcW w:w="464" w:type="pct"/>
            <w:vAlign w:val="center"/>
          </w:tcPr>
          <w:p w14:paraId="1D3EC6D7">
            <w:pPr>
              <w:adjustRightInd/>
              <w:snapToGrid/>
              <w:spacing w:line="240" w:lineRule="auto"/>
              <w:ind w:firstLine="0" w:firstLineChars="0"/>
              <w:contextualSpacing/>
              <w:jc w:val="center"/>
              <w:rPr>
                <w:sz w:val="21"/>
                <w:szCs w:val="21"/>
                <w:highlight w:val="yellow"/>
                <w:lang w:bidi="ar"/>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20" w:type="pct"/>
            <w:vAlign w:val="center"/>
          </w:tcPr>
          <w:p w14:paraId="1D3EC6D8">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6D9">
            <w:pPr>
              <w:adjustRightInd/>
              <w:snapToGrid/>
              <w:spacing w:line="240" w:lineRule="auto"/>
              <w:ind w:firstLine="0" w:firstLineChars="0"/>
              <w:contextualSpacing/>
              <w:jc w:val="center"/>
              <w:rPr>
                <w:sz w:val="21"/>
                <w:szCs w:val="21"/>
              </w:rPr>
            </w:pPr>
            <w:r>
              <w:rPr>
                <w:rFonts w:hint="eastAsia"/>
                <w:sz w:val="21"/>
                <w:szCs w:val="21"/>
              </w:rPr>
              <w:t>214</w:t>
            </w:r>
          </w:p>
        </w:tc>
        <w:tc>
          <w:tcPr>
            <w:tcW w:w="581" w:type="pct"/>
            <w:vAlign w:val="center"/>
          </w:tcPr>
          <w:p w14:paraId="1D3EC6DA">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DB">
            <w:pPr>
              <w:adjustRightInd/>
              <w:snapToGrid/>
              <w:spacing w:line="240" w:lineRule="auto"/>
              <w:ind w:firstLine="0" w:firstLineChars="0"/>
              <w:contextualSpacing/>
              <w:jc w:val="center"/>
              <w:rPr>
                <w:sz w:val="21"/>
                <w:szCs w:val="21"/>
              </w:rPr>
            </w:pPr>
            <w:r>
              <w:rPr>
                <w:rFonts w:hint="eastAsia"/>
                <w:sz w:val="21"/>
                <w:szCs w:val="21"/>
              </w:rPr>
              <w:t>0.68</w:t>
            </w:r>
          </w:p>
        </w:tc>
        <w:tc>
          <w:tcPr>
            <w:tcW w:w="448" w:type="pct"/>
            <w:vAlign w:val="center"/>
          </w:tcPr>
          <w:p w14:paraId="1D3EC6DC">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DD">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DE">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DF">
            <w:pPr>
              <w:adjustRightInd/>
              <w:snapToGrid/>
              <w:spacing w:line="240" w:lineRule="auto"/>
              <w:ind w:firstLine="0" w:firstLineChars="0"/>
              <w:contextualSpacing/>
              <w:jc w:val="center"/>
              <w:rPr>
                <w:sz w:val="21"/>
                <w:szCs w:val="21"/>
              </w:rPr>
            </w:pPr>
            <w:r>
              <w:rPr>
                <w:rFonts w:hint="eastAsia"/>
                <w:sz w:val="21"/>
                <w:szCs w:val="21"/>
              </w:rPr>
              <w:t>254</w:t>
            </w:r>
          </w:p>
        </w:tc>
        <w:tc>
          <w:tcPr>
            <w:tcW w:w="446" w:type="pct"/>
            <w:vAlign w:val="center"/>
          </w:tcPr>
          <w:p w14:paraId="1D3EC6E0">
            <w:pPr>
              <w:adjustRightInd/>
              <w:snapToGrid/>
              <w:spacing w:line="240" w:lineRule="auto"/>
              <w:ind w:firstLine="0" w:firstLineChars="0"/>
              <w:contextualSpacing/>
              <w:jc w:val="center"/>
              <w:rPr>
                <w:sz w:val="21"/>
                <w:szCs w:val="21"/>
              </w:rPr>
            </w:pPr>
            <w:r>
              <w:rPr>
                <w:rFonts w:hint="eastAsia"/>
                <w:sz w:val="21"/>
                <w:szCs w:val="21"/>
              </w:rPr>
              <w:t>1.43</w:t>
            </w:r>
          </w:p>
        </w:tc>
      </w:tr>
      <w:tr w14:paraId="1D3EC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continue"/>
            <w:vAlign w:val="center"/>
          </w:tcPr>
          <w:p w14:paraId="1D3EC6F4">
            <w:pPr>
              <w:adjustRightInd/>
              <w:snapToGrid/>
              <w:spacing w:line="240" w:lineRule="auto"/>
              <w:ind w:firstLine="0" w:firstLineChars="0"/>
              <w:contextualSpacing/>
              <w:jc w:val="center"/>
              <w:rPr>
                <w:sz w:val="21"/>
                <w:szCs w:val="21"/>
                <w:highlight w:val="yellow"/>
              </w:rPr>
            </w:pPr>
          </w:p>
        </w:tc>
        <w:tc>
          <w:tcPr>
            <w:tcW w:w="464" w:type="pct"/>
            <w:vAlign w:val="center"/>
          </w:tcPr>
          <w:p w14:paraId="1D3EC6F5">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20" w:type="pct"/>
            <w:vAlign w:val="center"/>
          </w:tcPr>
          <w:p w14:paraId="1D3EC6F6">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6F7">
            <w:pPr>
              <w:adjustRightInd/>
              <w:snapToGrid/>
              <w:spacing w:line="240" w:lineRule="auto"/>
              <w:ind w:firstLine="0" w:firstLineChars="0"/>
              <w:contextualSpacing/>
              <w:jc w:val="center"/>
              <w:rPr>
                <w:sz w:val="21"/>
                <w:szCs w:val="21"/>
              </w:rPr>
            </w:pPr>
            <w:r>
              <w:rPr>
                <w:rFonts w:hint="eastAsia"/>
                <w:sz w:val="21"/>
                <w:szCs w:val="21"/>
              </w:rPr>
              <w:t>246</w:t>
            </w:r>
          </w:p>
        </w:tc>
        <w:tc>
          <w:tcPr>
            <w:tcW w:w="581" w:type="pct"/>
            <w:vAlign w:val="center"/>
          </w:tcPr>
          <w:p w14:paraId="1D3EC6F8">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F9">
            <w:pPr>
              <w:adjustRightInd/>
              <w:snapToGrid/>
              <w:spacing w:line="240" w:lineRule="auto"/>
              <w:ind w:firstLine="0" w:firstLineChars="0"/>
              <w:contextualSpacing/>
              <w:jc w:val="center"/>
              <w:rPr>
                <w:sz w:val="21"/>
                <w:szCs w:val="21"/>
              </w:rPr>
            </w:pPr>
            <w:r>
              <w:rPr>
                <w:rFonts w:hint="eastAsia"/>
                <w:sz w:val="21"/>
                <w:szCs w:val="21"/>
              </w:rPr>
              <w:t>0.84</w:t>
            </w:r>
          </w:p>
        </w:tc>
        <w:tc>
          <w:tcPr>
            <w:tcW w:w="448" w:type="pct"/>
            <w:vAlign w:val="center"/>
          </w:tcPr>
          <w:p w14:paraId="1D3EC6FA">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FB">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FC">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6FD">
            <w:pPr>
              <w:adjustRightInd/>
              <w:snapToGrid/>
              <w:spacing w:line="240" w:lineRule="auto"/>
              <w:ind w:firstLine="0" w:firstLineChars="0"/>
              <w:contextualSpacing/>
              <w:jc w:val="center"/>
              <w:rPr>
                <w:sz w:val="21"/>
                <w:szCs w:val="21"/>
              </w:rPr>
            </w:pPr>
            <w:r>
              <w:rPr>
                <w:rFonts w:hint="eastAsia"/>
                <w:sz w:val="21"/>
                <w:szCs w:val="21"/>
              </w:rPr>
              <w:t>326</w:t>
            </w:r>
          </w:p>
        </w:tc>
        <w:tc>
          <w:tcPr>
            <w:tcW w:w="446" w:type="pct"/>
            <w:vAlign w:val="center"/>
          </w:tcPr>
          <w:p w14:paraId="1D3EC6FE">
            <w:pPr>
              <w:adjustRightInd/>
              <w:snapToGrid/>
              <w:spacing w:line="240" w:lineRule="auto"/>
              <w:ind w:firstLine="0" w:firstLineChars="0"/>
              <w:contextualSpacing/>
              <w:jc w:val="center"/>
              <w:rPr>
                <w:sz w:val="21"/>
                <w:szCs w:val="21"/>
              </w:rPr>
            </w:pPr>
            <w:r>
              <w:rPr>
                <w:rFonts w:hint="eastAsia"/>
                <w:sz w:val="21"/>
                <w:szCs w:val="21"/>
              </w:rPr>
              <w:t>1.46</w:t>
            </w:r>
          </w:p>
        </w:tc>
      </w:tr>
      <w:tr w14:paraId="1D3EC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restart"/>
            <w:vAlign w:val="center"/>
          </w:tcPr>
          <w:p w14:paraId="1D3EC712">
            <w:pPr>
              <w:adjustRightInd/>
              <w:snapToGrid/>
              <w:spacing w:line="240" w:lineRule="auto"/>
              <w:ind w:firstLine="0" w:firstLineChars="0"/>
              <w:contextualSpacing/>
              <w:jc w:val="center"/>
              <w:rPr>
                <w:sz w:val="21"/>
                <w:szCs w:val="21"/>
                <w:highlight w:val="yellow"/>
              </w:rPr>
            </w:pPr>
            <w:r>
              <w:rPr>
                <w:sz w:val="21"/>
                <w:szCs w:val="21"/>
              </w:rPr>
              <w:t>3#</w:t>
            </w:r>
            <w:r>
              <w:rPr>
                <w:rFonts w:hint="eastAsia"/>
                <w:sz w:val="21"/>
                <w:szCs w:val="21"/>
              </w:rPr>
              <w:t>仁里屯村</w:t>
            </w:r>
          </w:p>
        </w:tc>
        <w:tc>
          <w:tcPr>
            <w:tcW w:w="464" w:type="pct"/>
            <w:vAlign w:val="center"/>
          </w:tcPr>
          <w:p w14:paraId="1D3EC713">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20" w:type="pct"/>
            <w:vAlign w:val="center"/>
          </w:tcPr>
          <w:p w14:paraId="1D3EC714">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715">
            <w:pPr>
              <w:adjustRightInd/>
              <w:snapToGrid/>
              <w:spacing w:line="240" w:lineRule="auto"/>
              <w:ind w:firstLine="0" w:firstLineChars="0"/>
              <w:contextualSpacing/>
              <w:jc w:val="center"/>
              <w:rPr>
                <w:sz w:val="21"/>
                <w:szCs w:val="21"/>
              </w:rPr>
            </w:pPr>
            <w:r>
              <w:rPr>
                <w:rFonts w:hint="eastAsia"/>
                <w:sz w:val="21"/>
                <w:szCs w:val="21"/>
              </w:rPr>
              <w:t>205</w:t>
            </w:r>
          </w:p>
        </w:tc>
        <w:tc>
          <w:tcPr>
            <w:tcW w:w="581" w:type="pct"/>
            <w:vAlign w:val="center"/>
          </w:tcPr>
          <w:p w14:paraId="1D3EC716">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17">
            <w:pPr>
              <w:adjustRightInd/>
              <w:snapToGrid/>
              <w:spacing w:line="240" w:lineRule="auto"/>
              <w:ind w:firstLine="0" w:firstLineChars="0"/>
              <w:contextualSpacing/>
              <w:jc w:val="center"/>
              <w:rPr>
                <w:sz w:val="21"/>
                <w:szCs w:val="21"/>
              </w:rPr>
            </w:pPr>
            <w:r>
              <w:rPr>
                <w:rFonts w:hint="eastAsia"/>
                <w:sz w:val="21"/>
                <w:szCs w:val="21"/>
              </w:rPr>
              <w:t>0.75</w:t>
            </w:r>
          </w:p>
        </w:tc>
        <w:tc>
          <w:tcPr>
            <w:tcW w:w="448" w:type="pct"/>
            <w:vAlign w:val="center"/>
          </w:tcPr>
          <w:p w14:paraId="1D3EC718">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19">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1A">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1B">
            <w:pPr>
              <w:adjustRightInd/>
              <w:snapToGrid/>
              <w:spacing w:line="240" w:lineRule="auto"/>
              <w:ind w:firstLine="0" w:firstLineChars="0"/>
              <w:contextualSpacing/>
              <w:jc w:val="center"/>
              <w:rPr>
                <w:sz w:val="21"/>
                <w:szCs w:val="21"/>
              </w:rPr>
            </w:pPr>
            <w:r>
              <w:rPr>
                <w:rFonts w:hint="eastAsia"/>
                <w:sz w:val="21"/>
                <w:szCs w:val="21"/>
              </w:rPr>
              <w:t>281</w:t>
            </w:r>
          </w:p>
        </w:tc>
        <w:tc>
          <w:tcPr>
            <w:tcW w:w="446" w:type="pct"/>
            <w:vAlign w:val="center"/>
          </w:tcPr>
          <w:p w14:paraId="1D3EC71C">
            <w:pPr>
              <w:adjustRightInd/>
              <w:snapToGrid/>
              <w:spacing w:line="240" w:lineRule="auto"/>
              <w:ind w:firstLine="0" w:firstLineChars="0"/>
              <w:contextualSpacing/>
              <w:jc w:val="center"/>
              <w:rPr>
                <w:sz w:val="21"/>
                <w:szCs w:val="21"/>
              </w:rPr>
            </w:pPr>
            <w:r>
              <w:rPr>
                <w:rFonts w:hint="eastAsia"/>
                <w:sz w:val="21"/>
                <w:szCs w:val="21"/>
              </w:rPr>
              <w:t>1.52</w:t>
            </w:r>
          </w:p>
        </w:tc>
      </w:tr>
      <w:tr w14:paraId="1D3EC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continue"/>
            <w:vAlign w:val="center"/>
          </w:tcPr>
          <w:p w14:paraId="1D3EC730">
            <w:pPr>
              <w:adjustRightInd/>
              <w:snapToGrid/>
              <w:spacing w:line="240" w:lineRule="auto"/>
              <w:ind w:firstLine="0" w:firstLineChars="0"/>
              <w:contextualSpacing/>
              <w:jc w:val="center"/>
              <w:rPr>
                <w:sz w:val="21"/>
                <w:szCs w:val="21"/>
                <w:highlight w:val="yellow"/>
              </w:rPr>
            </w:pPr>
          </w:p>
        </w:tc>
        <w:tc>
          <w:tcPr>
            <w:tcW w:w="464" w:type="pct"/>
            <w:vAlign w:val="center"/>
          </w:tcPr>
          <w:p w14:paraId="1D3EC731">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20" w:type="pct"/>
            <w:vAlign w:val="center"/>
          </w:tcPr>
          <w:p w14:paraId="1D3EC732">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733">
            <w:pPr>
              <w:adjustRightInd/>
              <w:snapToGrid/>
              <w:spacing w:line="240" w:lineRule="auto"/>
              <w:ind w:firstLine="0" w:firstLineChars="0"/>
              <w:contextualSpacing/>
              <w:jc w:val="center"/>
              <w:rPr>
                <w:sz w:val="21"/>
                <w:szCs w:val="21"/>
              </w:rPr>
            </w:pPr>
            <w:r>
              <w:rPr>
                <w:rFonts w:hint="eastAsia"/>
                <w:sz w:val="21"/>
                <w:szCs w:val="21"/>
              </w:rPr>
              <w:t>223</w:t>
            </w:r>
          </w:p>
        </w:tc>
        <w:tc>
          <w:tcPr>
            <w:tcW w:w="581" w:type="pct"/>
            <w:vAlign w:val="center"/>
          </w:tcPr>
          <w:p w14:paraId="1D3EC734">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35">
            <w:pPr>
              <w:adjustRightInd/>
              <w:snapToGrid/>
              <w:spacing w:line="240" w:lineRule="auto"/>
              <w:ind w:firstLine="0" w:firstLineChars="0"/>
              <w:contextualSpacing/>
              <w:jc w:val="center"/>
              <w:rPr>
                <w:sz w:val="21"/>
                <w:szCs w:val="21"/>
              </w:rPr>
            </w:pPr>
            <w:r>
              <w:rPr>
                <w:rFonts w:hint="eastAsia"/>
                <w:sz w:val="21"/>
                <w:szCs w:val="21"/>
              </w:rPr>
              <w:t>0.73</w:t>
            </w:r>
          </w:p>
        </w:tc>
        <w:tc>
          <w:tcPr>
            <w:tcW w:w="448" w:type="pct"/>
            <w:vAlign w:val="center"/>
          </w:tcPr>
          <w:p w14:paraId="1D3EC736">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37">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38">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39">
            <w:pPr>
              <w:adjustRightInd/>
              <w:snapToGrid/>
              <w:spacing w:line="240" w:lineRule="auto"/>
              <w:ind w:firstLine="0" w:firstLineChars="0"/>
              <w:contextualSpacing/>
              <w:jc w:val="center"/>
              <w:rPr>
                <w:sz w:val="21"/>
                <w:szCs w:val="21"/>
              </w:rPr>
            </w:pPr>
            <w:r>
              <w:rPr>
                <w:rFonts w:hint="eastAsia"/>
                <w:sz w:val="21"/>
                <w:szCs w:val="21"/>
              </w:rPr>
              <w:t>351</w:t>
            </w:r>
          </w:p>
        </w:tc>
        <w:tc>
          <w:tcPr>
            <w:tcW w:w="446" w:type="pct"/>
            <w:vAlign w:val="center"/>
          </w:tcPr>
          <w:p w14:paraId="1D3EC73A">
            <w:pPr>
              <w:adjustRightInd/>
              <w:snapToGrid/>
              <w:spacing w:line="240" w:lineRule="auto"/>
              <w:ind w:firstLine="0" w:firstLineChars="0"/>
              <w:contextualSpacing/>
              <w:jc w:val="center"/>
              <w:rPr>
                <w:sz w:val="21"/>
                <w:szCs w:val="21"/>
              </w:rPr>
            </w:pPr>
            <w:r>
              <w:rPr>
                <w:rFonts w:hint="eastAsia"/>
                <w:sz w:val="21"/>
                <w:szCs w:val="21"/>
              </w:rPr>
              <w:t>1.51</w:t>
            </w:r>
          </w:p>
        </w:tc>
      </w:tr>
      <w:tr w14:paraId="1D3EC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restart"/>
            <w:vAlign w:val="center"/>
          </w:tcPr>
          <w:p w14:paraId="1D3EC74E">
            <w:pPr>
              <w:adjustRightInd/>
              <w:snapToGrid/>
              <w:spacing w:line="240" w:lineRule="auto"/>
              <w:ind w:firstLine="0" w:firstLineChars="0"/>
              <w:contextualSpacing/>
              <w:jc w:val="center"/>
              <w:rPr>
                <w:sz w:val="21"/>
                <w:szCs w:val="21"/>
                <w:highlight w:val="yellow"/>
              </w:rPr>
            </w:pPr>
            <w:r>
              <w:rPr>
                <w:sz w:val="21"/>
                <w:szCs w:val="21"/>
              </w:rPr>
              <w:t>4#</w:t>
            </w:r>
            <w:r>
              <w:rPr>
                <w:rFonts w:hint="eastAsia"/>
                <w:sz w:val="21"/>
                <w:szCs w:val="21"/>
              </w:rPr>
              <w:t>八里屯村</w:t>
            </w:r>
          </w:p>
        </w:tc>
        <w:tc>
          <w:tcPr>
            <w:tcW w:w="464" w:type="pct"/>
            <w:vAlign w:val="center"/>
          </w:tcPr>
          <w:p w14:paraId="1D3EC74F">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20" w:type="pct"/>
            <w:vAlign w:val="center"/>
          </w:tcPr>
          <w:p w14:paraId="1D3EC750">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751">
            <w:pPr>
              <w:adjustRightInd/>
              <w:snapToGrid/>
              <w:spacing w:line="240" w:lineRule="auto"/>
              <w:ind w:firstLine="0" w:firstLineChars="0"/>
              <w:contextualSpacing/>
              <w:jc w:val="center"/>
              <w:rPr>
                <w:sz w:val="21"/>
                <w:szCs w:val="21"/>
              </w:rPr>
            </w:pPr>
            <w:r>
              <w:rPr>
                <w:rFonts w:hint="eastAsia"/>
                <w:sz w:val="21"/>
                <w:szCs w:val="21"/>
              </w:rPr>
              <w:t>231</w:t>
            </w:r>
          </w:p>
        </w:tc>
        <w:tc>
          <w:tcPr>
            <w:tcW w:w="581" w:type="pct"/>
            <w:vAlign w:val="center"/>
          </w:tcPr>
          <w:p w14:paraId="1D3EC752">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53">
            <w:pPr>
              <w:adjustRightInd/>
              <w:snapToGrid/>
              <w:spacing w:line="240" w:lineRule="auto"/>
              <w:ind w:firstLine="0" w:firstLineChars="0"/>
              <w:contextualSpacing/>
              <w:jc w:val="center"/>
              <w:rPr>
                <w:sz w:val="21"/>
                <w:szCs w:val="21"/>
              </w:rPr>
            </w:pPr>
            <w:r>
              <w:rPr>
                <w:rFonts w:hint="eastAsia"/>
                <w:sz w:val="21"/>
                <w:szCs w:val="21"/>
              </w:rPr>
              <w:t>0.73</w:t>
            </w:r>
          </w:p>
        </w:tc>
        <w:tc>
          <w:tcPr>
            <w:tcW w:w="448" w:type="pct"/>
            <w:vAlign w:val="center"/>
          </w:tcPr>
          <w:p w14:paraId="1D3EC754">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55">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56">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57">
            <w:pPr>
              <w:adjustRightInd/>
              <w:snapToGrid/>
              <w:spacing w:line="240" w:lineRule="auto"/>
              <w:ind w:firstLine="0" w:firstLineChars="0"/>
              <w:contextualSpacing/>
              <w:jc w:val="center"/>
              <w:rPr>
                <w:sz w:val="21"/>
                <w:szCs w:val="21"/>
              </w:rPr>
            </w:pPr>
            <w:r>
              <w:rPr>
                <w:rFonts w:hint="eastAsia"/>
                <w:sz w:val="21"/>
                <w:szCs w:val="21"/>
              </w:rPr>
              <w:t>273</w:t>
            </w:r>
          </w:p>
        </w:tc>
        <w:tc>
          <w:tcPr>
            <w:tcW w:w="446" w:type="pct"/>
            <w:vAlign w:val="center"/>
          </w:tcPr>
          <w:p w14:paraId="1D3EC758">
            <w:pPr>
              <w:adjustRightInd/>
              <w:snapToGrid/>
              <w:spacing w:line="240" w:lineRule="auto"/>
              <w:ind w:firstLine="0" w:firstLineChars="0"/>
              <w:contextualSpacing/>
              <w:jc w:val="center"/>
              <w:rPr>
                <w:sz w:val="21"/>
                <w:szCs w:val="21"/>
              </w:rPr>
            </w:pPr>
            <w:r>
              <w:rPr>
                <w:rFonts w:hint="eastAsia"/>
                <w:sz w:val="21"/>
                <w:szCs w:val="21"/>
              </w:rPr>
              <w:t>1.61</w:t>
            </w:r>
          </w:p>
        </w:tc>
      </w:tr>
      <w:tr w14:paraId="1D3EC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continue"/>
            <w:vAlign w:val="center"/>
          </w:tcPr>
          <w:p w14:paraId="1D3EC76C">
            <w:pPr>
              <w:adjustRightInd/>
              <w:snapToGrid/>
              <w:spacing w:line="240" w:lineRule="auto"/>
              <w:ind w:firstLine="0" w:firstLineChars="0"/>
              <w:contextualSpacing/>
              <w:jc w:val="center"/>
              <w:rPr>
                <w:sz w:val="21"/>
                <w:szCs w:val="21"/>
                <w:highlight w:val="yellow"/>
              </w:rPr>
            </w:pPr>
          </w:p>
        </w:tc>
        <w:tc>
          <w:tcPr>
            <w:tcW w:w="464" w:type="pct"/>
            <w:vAlign w:val="center"/>
          </w:tcPr>
          <w:p w14:paraId="1D3EC76D">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20" w:type="pct"/>
            <w:vAlign w:val="center"/>
          </w:tcPr>
          <w:p w14:paraId="1D3EC76E">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76F">
            <w:pPr>
              <w:adjustRightInd/>
              <w:snapToGrid/>
              <w:spacing w:line="240" w:lineRule="auto"/>
              <w:ind w:firstLine="0" w:firstLineChars="0"/>
              <w:contextualSpacing/>
              <w:jc w:val="center"/>
              <w:rPr>
                <w:sz w:val="21"/>
                <w:szCs w:val="21"/>
              </w:rPr>
            </w:pPr>
            <w:r>
              <w:rPr>
                <w:rFonts w:hint="eastAsia"/>
                <w:sz w:val="21"/>
                <w:szCs w:val="21"/>
              </w:rPr>
              <w:t>284</w:t>
            </w:r>
          </w:p>
        </w:tc>
        <w:tc>
          <w:tcPr>
            <w:tcW w:w="581" w:type="pct"/>
            <w:vAlign w:val="center"/>
          </w:tcPr>
          <w:p w14:paraId="1D3EC770">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71">
            <w:pPr>
              <w:adjustRightInd/>
              <w:snapToGrid/>
              <w:spacing w:line="240" w:lineRule="auto"/>
              <w:ind w:firstLine="0" w:firstLineChars="0"/>
              <w:contextualSpacing/>
              <w:jc w:val="center"/>
              <w:rPr>
                <w:sz w:val="21"/>
                <w:szCs w:val="21"/>
              </w:rPr>
            </w:pPr>
            <w:r>
              <w:rPr>
                <w:rFonts w:hint="eastAsia"/>
                <w:sz w:val="21"/>
                <w:szCs w:val="21"/>
              </w:rPr>
              <w:t>0.81</w:t>
            </w:r>
          </w:p>
        </w:tc>
        <w:tc>
          <w:tcPr>
            <w:tcW w:w="448" w:type="pct"/>
            <w:vAlign w:val="center"/>
          </w:tcPr>
          <w:p w14:paraId="1D3EC772">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73">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74">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75">
            <w:pPr>
              <w:adjustRightInd/>
              <w:snapToGrid/>
              <w:spacing w:line="240" w:lineRule="auto"/>
              <w:ind w:firstLine="0" w:firstLineChars="0"/>
              <w:contextualSpacing/>
              <w:jc w:val="center"/>
              <w:rPr>
                <w:sz w:val="21"/>
                <w:szCs w:val="21"/>
              </w:rPr>
            </w:pPr>
            <w:r>
              <w:rPr>
                <w:rFonts w:hint="eastAsia"/>
                <w:sz w:val="21"/>
                <w:szCs w:val="21"/>
              </w:rPr>
              <w:t>328</w:t>
            </w:r>
          </w:p>
        </w:tc>
        <w:tc>
          <w:tcPr>
            <w:tcW w:w="446" w:type="pct"/>
            <w:vAlign w:val="center"/>
          </w:tcPr>
          <w:p w14:paraId="1D3EC776">
            <w:pPr>
              <w:adjustRightInd/>
              <w:snapToGrid/>
              <w:spacing w:line="240" w:lineRule="auto"/>
              <w:ind w:firstLine="0" w:firstLineChars="0"/>
              <w:contextualSpacing/>
              <w:jc w:val="center"/>
              <w:rPr>
                <w:sz w:val="21"/>
                <w:szCs w:val="21"/>
              </w:rPr>
            </w:pPr>
            <w:r>
              <w:rPr>
                <w:rFonts w:hint="eastAsia"/>
                <w:sz w:val="21"/>
                <w:szCs w:val="21"/>
              </w:rPr>
              <w:t>1.53</w:t>
            </w:r>
          </w:p>
        </w:tc>
      </w:tr>
      <w:tr w14:paraId="1D3EC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restart"/>
            <w:vAlign w:val="center"/>
          </w:tcPr>
          <w:p w14:paraId="1D3EC78A">
            <w:pPr>
              <w:adjustRightInd/>
              <w:snapToGrid/>
              <w:spacing w:line="240" w:lineRule="auto"/>
              <w:ind w:firstLine="0" w:firstLineChars="0"/>
              <w:contextualSpacing/>
              <w:jc w:val="center"/>
              <w:rPr>
                <w:sz w:val="21"/>
                <w:szCs w:val="21"/>
                <w:highlight w:val="yellow"/>
              </w:rPr>
            </w:pPr>
            <w:r>
              <w:rPr>
                <w:sz w:val="21"/>
                <w:szCs w:val="21"/>
              </w:rPr>
              <w:t>5#</w:t>
            </w:r>
            <w:r>
              <w:rPr>
                <w:rFonts w:hint="eastAsia"/>
                <w:sz w:val="21"/>
                <w:szCs w:val="21"/>
              </w:rPr>
              <w:t>龙王庙</w:t>
            </w:r>
          </w:p>
        </w:tc>
        <w:tc>
          <w:tcPr>
            <w:tcW w:w="464" w:type="pct"/>
            <w:vAlign w:val="center"/>
          </w:tcPr>
          <w:p w14:paraId="1D3EC78B">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20" w:type="pct"/>
            <w:vAlign w:val="center"/>
          </w:tcPr>
          <w:p w14:paraId="1D3EC78C">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78D">
            <w:pPr>
              <w:adjustRightInd/>
              <w:snapToGrid/>
              <w:spacing w:line="240" w:lineRule="auto"/>
              <w:ind w:firstLine="0" w:firstLineChars="0"/>
              <w:contextualSpacing/>
              <w:jc w:val="center"/>
              <w:rPr>
                <w:sz w:val="21"/>
                <w:szCs w:val="21"/>
              </w:rPr>
            </w:pPr>
            <w:r>
              <w:rPr>
                <w:rFonts w:hint="eastAsia"/>
                <w:sz w:val="21"/>
                <w:szCs w:val="21"/>
              </w:rPr>
              <w:t>275</w:t>
            </w:r>
          </w:p>
        </w:tc>
        <w:tc>
          <w:tcPr>
            <w:tcW w:w="581" w:type="pct"/>
            <w:vAlign w:val="center"/>
          </w:tcPr>
          <w:p w14:paraId="1D3EC78E">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8F">
            <w:pPr>
              <w:adjustRightInd/>
              <w:snapToGrid/>
              <w:spacing w:line="240" w:lineRule="auto"/>
              <w:ind w:firstLine="0" w:firstLineChars="0"/>
              <w:contextualSpacing/>
              <w:jc w:val="center"/>
              <w:rPr>
                <w:sz w:val="21"/>
                <w:szCs w:val="21"/>
              </w:rPr>
            </w:pPr>
            <w:r>
              <w:rPr>
                <w:rFonts w:hint="eastAsia"/>
                <w:sz w:val="21"/>
                <w:szCs w:val="21"/>
              </w:rPr>
              <w:t>0.78</w:t>
            </w:r>
          </w:p>
        </w:tc>
        <w:tc>
          <w:tcPr>
            <w:tcW w:w="448" w:type="pct"/>
            <w:vAlign w:val="center"/>
          </w:tcPr>
          <w:p w14:paraId="1D3EC790">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91">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92">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93">
            <w:pPr>
              <w:adjustRightInd/>
              <w:snapToGrid/>
              <w:spacing w:line="240" w:lineRule="auto"/>
              <w:ind w:firstLine="0" w:firstLineChars="0"/>
              <w:contextualSpacing/>
              <w:jc w:val="center"/>
              <w:rPr>
                <w:sz w:val="21"/>
                <w:szCs w:val="21"/>
              </w:rPr>
            </w:pPr>
            <w:r>
              <w:rPr>
                <w:rFonts w:hint="eastAsia"/>
                <w:sz w:val="21"/>
                <w:szCs w:val="21"/>
              </w:rPr>
              <w:t>358</w:t>
            </w:r>
          </w:p>
        </w:tc>
        <w:tc>
          <w:tcPr>
            <w:tcW w:w="446" w:type="pct"/>
            <w:vAlign w:val="center"/>
          </w:tcPr>
          <w:p w14:paraId="1D3EC794">
            <w:pPr>
              <w:adjustRightInd/>
              <w:snapToGrid/>
              <w:spacing w:line="240" w:lineRule="auto"/>
              <w:ind w:firstLine="0" w:firstLineChars="0"/>
              <w:contextualSpacing/>
              <w:jc w:val="center"/>
              <w:rPr>
                <w:sz w:val="21"/>
                <w:szCs w:val="21"/>
              </w:rPr>
            </w:pPr>
            <w:r>
              <w:rPr>
                <w:rFonts w:hint="eastAsia"/>
                <w:sz w:val="21"/>
                <w:szCs w:val="21"/>
              </w:rPr>
              <w:t>1.57</w:t>
            </w:r>
          </w:p>
        </w:tc>
      </w:tr>
      <w:tr w14:paraId="1D3EC7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continue"/>
            <w:vAlign w:val="center"/>
          </w:tcPr>
          <w:p w14:paraId="1D3EC7A8">
            <w:pPr>
              <w:adjustRightInd/>
              <w:snapToGrid/>
              <w:spacing w:line="240" w:lineRule="auto"/>
              <w:ind w:firstLine="0" w:firstLineChars="0"/>
              <w:contextualSpacing/>
              <w:jc w:val="center"/>
              <w:rPr>
                <w:sz w:val="21"/>
                <w:szCs w:val="21"/>
                <w:highlight w:val="yellow"/>
              </w:rPr>
            </w:pPr>
          </w:p>
        </w:tc>
        <w:tc>
          <w:tcPr>
            <w:tcW w:w="464" w:type="pct"/>
            <w:vAlign w:val="center"/>
          </w:tcPr>
          <w:p w14:paraId="1D3EC7A9">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20" w:type="pct"/>
            <w:vAlign w:val="center"/>
          </w:tcPr>
          <w:p w14:paraId="1D3EC7AA">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7AB">
            <w:pPr>
              <w:adjustRightInd/>
              <w:snapToGrid/>
              <w:spacing w:line="240" w:lineRule="auto"/>
              <w:ind w:firstLine="0" w:firstLineChars="0"/>
              <w:contextualSpacing/>
              <w:jc w:val="center"/>
              <w:rPr>
                <w:sz w:val="21"/>
                <w:szCs w:val="21"/>
              </w:rPr>
            </w:pPr>
            <w:r>
              <w:rPr>
                <w:rFonts w:hint="eastAsia"/>
                <w:sz w:val="21"/>
                <w:szCs w:val="21"/>
              </w:rPr>
              <w:t>219</w:t>
            </w:r>
          </w:p>
        </w:tc>
        <w:tc>
          <w:tcPr>
            <w:tcW w:w="581" w:type="pct"/>
            <w:vAlign w:val="center"/>
          </w:tcPr>
          <w:p w14:paraId="1D3EC7AC">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AD">
            <w:pPr>
              <w:adjustRightInd/>
              <w:snapToGrid/>
              <w:spacing w:line="240" w:lineRule="auto"/>
              <w:ind w:firstLine="0" w:firstLineChars="0"/>
              <w:contextualSpacing/>
              <w:jc w:val="center"/>
              <w:rPr>
                <w:sz w:val="21"/>
                <w:szCs w:val="21"/>
              </w:rPr>
            </w:pPr>
            <w:r>
              <w:rPr>
                <w:rFonts w:hint="eastAsia"/>
                <w:sz w:val="21"/>
                <w:szCs w:val="21"/>
              </w:rPr>
              <w:t>0.84</w:t>
            </w:r>
          </w:p>
        </w:tc>
        <w:tc>
          <w:tcPr>
            <w:tcW w:w="448" w:type="pct"/>
            <w:vAlign w:val="center"/>
          </w:tcPr>
          <w:p w14:paraId="1D3EC7AE">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AF">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B0">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B1">
            <w:pPr>
              <w:adjustRightInd/>
              <w:snapToGrid/>
              <w:spacing w:line="240" w:lineRule="auto"/>
              <w:ind w:firstLine="0" w:firstLineChars="0"/>
              <w:contextualSpacing/>
              <w:jc w:val="center"/>
              <w:rPr>
                <w:sz w:val="21"/>
                <w:szCs w:val="21"/>
              </w:rPr>
            </w:pPr>
            <w:r>
              <w:rPr>
                <w:rFonts w:hint="eastAsia"/>
                <w:sz w:val="21"/>
                <w:szCs w:val="21"/>
              </w:rPr>
              <w:t>425</w:t>
            </w:r>
          </w:p>
        </w:tc>
        <w:tc>
          <w:tcPr>
            <w:tcW w:w="446" w:type="pct"/>
            <w:vAlign w:val="center"/>
          </w:tcPr>
          <w:p w14:paraId="1D3EC7B2">
            <w:pPr>
              <w:adjustRightInd/>
              <w:snapToGrid/>
              <w:spacing w:line="240" w:lineRule="auto"/>
              <w:ind w:firstLine="0" w:firstLineChars="0"/>
              <w:contextualSpacing/>
              <w:jc w:val="center"/>
              <w:rPr>
                <w:sz w:val="21"/>
                <w:szCs w:val="21"/>
              </w:rPr>
            </w:pPr>
            <w:r>
              <w:rPr>
                <w:rFonts w:hint="eastAsia"/>
                <w:sz w:val="21"/>
                <w:szCs w:val="21"/>
              </w:rPr>
              <w:t>1.57</w:t>
            </w:r>
          </w:p>
        </w:tc>
      </w:tr>
      <w:tr w14:paraId="1D3EC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restart"/>
            <w:vAlign w:val="center"/>
          </w:tcPr>
          <w:p w14:paraId="1D3EC7C6">
            <w:pPr>
              <w:adjustRightInd/>
              <w:snapToGrid/>
              <w:spacing w:line="240" w:lineRule="auto"/>
              <w:ind w:firstLine="0" w:firstLineChars="0"/>
              <w:contextualSpacing/>
              <w:jc w:val="center"/>
              <w:rPr>
                <w:sz w:val="21"/>
                <w:szCs w:val="21"/>
                <w:highlight w:val="yellow"/>
              </w:rPr>
            </w:pPr>
            <w:r>
              <w:rPr>
                <w:sz w:val="21"/>
                <w:szCs w:val="21"/>
              </w:rPr>
              <w:t>6#</w:t>
            </w:r>
            <w:r>
              <w:rPr>
                <w:rFonts w:hint="eastAsia"/>
                <w:sz w:val="21"/>
                <w:szCs w:val="21"/>
              </w:rPr>
              <w:t>仁里屯村东南</w:t>
            </w:r>
          </w:p>
        </w:tc>
        <w:tc>
          <w:tcPr>
            <w:tcW w:w="464" w:type="pct"/>
            <w:vAlign w:val="center"/>
          </w:tcPr>
          <w:p w14:paraId="1D3EC7C7">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20" w:type="pct"/>
            <w:vAlign w:val="center"/>
          </w:tcPr>
          <w:p w14:paraId="1D3EC7C8">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7C9">
            <w:pPr>
              <w:adjustRightInd/>
              <w:snapToGrid/>
              <w:spacing w:line="240" w:lineRule="auto"/>
              <w:ind w:firstLine="0" w:firstLineChars="0"/>
              <w:contextualSpacing/>
              <w:jc w:val="center"/>
              <w:rPr>
                <w:sz w:val="21"/>
                <w:szCs w:val="21"/>
              </w:rPr>
            </w:pPr>
            <w:r>
              <w:rPr>
                <w:rFonts w:hint="eastAsia"/>
                <w:sz w:val="21"/>
                <w:szCs w:val="21"/>
              </w:rPr>
              <w:t>217</w:t>
            </w:r>
          </w:p>
        </w:tc>
        <w:tc>
          <w:tcPr>
            <w:tcW w:w="581" w:type="pct"/>
            <w:vAlign w:val="center"/>
          </w:tcPr>
          <w:p w14:paraId="1D3EC7CA">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CB">
            <w:pPr>
              <w:adjustRightInd/>
              <w:snapToGrid/>
              <w:spacing w:line="240" w:lineRule="auto"/>
              <w:ind w:firstLine="0" w:firstLineChars="0"/>
              <w:contextualSpacing/>
              <w:jc w:val="center"/>
              <w:rPr>
                <w:sz w:val="21"/>
                <w:szCs w:val="21"/>
              </w:rPr>
            </w:pPr>
            <w:r>
              <w:rPr>
                <w:rFonts w:hint="eastAsia"/>
                <w:sz w:val="21"/>
                <w:szCs w:val="21"/>
              </w:rPr>
              <w:t>0.69</w:t>
            </w:r>
          </w:p>
        </w:tc>
        <w:tc>
          <w:tcPr>
            <w:tcW w:w="448" w:type="pct"/>
            <w:vAlign w:val="center"/>
          </w:tcPr>
          <w:p w14:paraId="1D3EC7CC">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CD">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CE">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CF">
            <w:pPr>
              <w:adjustRightInd/>
              <w:snapToGrid/>
              <w:spacing w:line="240" w:lineRule="auto"/>
              <w:ind w:firstLine="0" w:firstLineChars="0"/>
              <w:contextualSpacing/>
              <w:jc w:val="center"/>
              <w:rPr>
                <w:sz w:val="21"/>
                <w:szCs w:val="21"/>
              </w:rPr>
            </w:pPr>
            <w:r>
              <w:rPr>
                <w:rFonts w:hint="eastAsia"/>
                <w:sz w:val="21"/>
                <w:szCs w:val="21"/>
              </w:rPr>
              <w:t>268</w:t>
            </w:r>
          </w:p>
        </w:tc>
        <w:tc>
          <w:tcPr>
            <w:tcW w:w="446" w:type="pct"/>
            <w:vAlign w:val="center"/>
          </w:tcPr>
          <w:p w14:paraId="1D3EC7D0">
            <w:pPr>
              <w:adjustRightInd/>
              <w:snapToGrid/>
              <w:spacing w:line="240" w:lineRule="auto"/>
              <w:ind w:firstLine="0" w:firstLineChars="0"/>
              <w:contextualSpacing/>
              <w:jc w:val="center"/>
              <w:rPr>
                <w:sz w:val="21"/>
                <w:szCs w:val="21"/>
              </w:rPr>
            </w:pPr>
            <w:r>
              <w:rPr>
                <w:rFonts w:hint="eastAsia"/>
                <w:sz w:val="21"/>
                <w:szCs w:val="21"/>
              </w:rPr>
              <w:t>1.56</w:t>
            </w:r>
          </w:p>
        </w:tc>
      </w:tr>
      <w:tr w14:paraId="1D3EC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continue"/>
            <w:vAlign w:val="center"/>
          </w:tcPr>
          <w:p w14:paraId="1D3EC7E4">
            <w:pPr>
              <w:adjustRightInd/>
              <w:snapToGrid/>
              <w:spacing w:line="240" w:lineRule="auto"/>
              <w:ind w:firstLine="0" w:firstLineChars="0"/>
              <w:contextualSpacing/>
              <w:jc w:val="center"/>
              <w:rPr>
                <w:sz w:val="21"/>
                <w:szCs w:val="21"/>
                <w:highlight w:val="yellow"/>
              </w:rPr>
            </w:pPr>
          </w:p>
        </w:tc>
        <w:tc>
          <w:tcPr>
            <w:tcW w:w="464" w:type="pct"/>
            <w:vAlign w:val="center"/>
          </w:tcPr>
          <w:p w14:paraId="1D3EC7E5">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20" w:type="pct"/>
            <w:vAlign w:val="center"/>
          </w:tcPr>
          <w:p w14:paraId="1D3EC7E6">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7E7">
            <w:pPr>
              <w:adjustRightInd/>
              <w:snapToGrid/>
              <w:spacing w:line="240" w:lineRule="auto"/>
              <w:ind w:firstLine="0" w:firstLineChars="0"/>
              <w:contextualSpacing/>
              <w:jc w:val="center"/>
              <w:rPr>
                <w:sz w:val="21"/>
                <w:szCs w:val="21"/>
              </w:rPr>
            </w:pPr>
            <w:r>
              <w:rPr>
                <w:rFonts w:hint="eastAsia"/>
                <w:sz w:val="21"/>
                <w:szCs w:val="21"/>
              </w:rPr>
              <w:t>246</w:t>
            </w:r>
          </w:p>
        </w:tc>
        <w:tc>
          <w:tcPr>
            <w:tcW w:w="581" w:type="pct"/>
            <w:vAlign w:val="center"/>
          </w:tcPr>
          <w:p w14:paraId="1D3EC7E8">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E9">
            <w:pPr>
              <w:adjustRightInd/>
              <w:snapToGrid/>
              <w:spacing w:line="240" w:lineRule="auto"/>
              <w:ind w:firstLine="0" w:firstLineChars="0"/>
              <w:contextualSpacing/>
              <w:jc w:val="center"/>
              <w:rPr>
                <w:sz w:val="21"/>
                <w:szCs w:val="21"/>
              </w:rPr>
            </w:pPr>
            <w:r>
              <w:rPr>
                <w:rFonts w:hint="eastAsia"/>
                <w:sz w:val="21"/>
                <w:szCs w:val="21"/>
              </w:rPr>
              <w:t>0.74</w:t>
            </w:r>
          </w:p>
        </w:tc>
        <w:tc>
          <w:tcPr>
            <w:tcW w:w="448" w:type="pct"/>
            <w:vAlign w:val="center"/>
          </w:tcPr>
          <w:p w14:paraId="1D3EC7EA">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EB">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EC">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7ED">
            <w:pPr>
              <w:adjustRightInd/>
              <w:snapToGrid/>
              <w:spacing w:line="240" w:lineRule="auto"/>
              <w:ind w:firstLine="0" w:firstLineChars="0"/>
              <w:contextualSpacing/>
              <w:jc w:val="center"/>
              <w:rPr>
                <w:sz w:val="21"/>
                <w:szCs w:val="21"/>
              </w:rPr>
            </w:pPr>
            <w:r>
              <w:rPr>
                <w:rFonts w:hint="eastAsia"/>
                <w:sz w:val="21"/>
                <w:szCs w:val="21"/>
              </w:rPr>
              <w:t>256</w:t>
            </w:r>
          </w:p>
        </w:tc>
        <w:tc>
          <w:tcPr>
            <w:tcW w:w="446" w:type="pct"/>
            <w:vAlign w:val="center"/>
          </w:tcPr>
          <w:p w14:paraId="1D3EC7EE">
            <w:pPr>
              <w:adjustRightInd/>
              <w:snapToGrid/>
              <w:spacing w:line="240" w:lineRule="auto"/>
              <w:ind w:firstLine="0" w:firstLineChars="0"/>
              <w:contextualSpacing/>
              <w:jc w:val="center"/>
              <w:rPr>
                <w:sz w:val="21"/>
                <w:szCs w:val="21"/>
              </w:rPr>
            </w:pPr>
            <w:r>
              <w:rPr>
                <w:rFonts w:hint="eastAsia"/>
                <w:sz w:val="21"/>
                <w:szCs w:val="21"/>
              </w:rPr>
              <w:t>1.42</w:t>
            </w:r>
          </w:p>
        </w:tc>
      </w:tr>
      <w:tr w14:paraId="1D3EC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restart"/>
            <w:vAlign w:val="center"/>
          </w:tcPr>
          <w:p w14:paraId="1D3EC802">
            <w:pPr>
              <w:adjustRightInd/>
              <w:snapToGrid/>
              <w:spacing w:line="240" w:lineRule="auto"/>
              <w:ind w:firstLine="0" w:firstLineChars="0"/>
              <w:contextualSpacing/>
              <w:jc w:val="center"/>
              <w:rPr>
                <w:sz w:val="21"/>
                <w:szCs w:val="21"/>
                <w:highlight w:val="yellow"/>
              </w:rPr>
            </w:pPr>
            <w:r>
              <w:rPr>
                <w:sz w:val="21"/>
                <w:szCs w:val="21"/>
              </w:rPr>
              <w:t>7#</w:t>
            </w:r>
            <w:r>
              <w:rPr>
                <w:rFonts w:hint="eastAsia"/>
                <w:sz w:val="21"/>
                <w:szCs w:val="21"/>
              </w:rPr>
              <w:t>下园村东北</w:t>
            </w:r>
          </w:p>
        </w:tc>
        <w:tc>
          <w:tcPr>
            <w:tcW w:w="464" w:type="pct"/>
            <w:vAlign w:val="center"/>
          </w:tcPr>
          <w:p w14:paraId="1D3EC803">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20" w:type="pct"/>
            <w:vAlign w:val="center"/>
          </w:tcPr>
          <w:p w14:paraId="1D3EC804">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805">
            <w:pPr>
              <w:adjustRightInd/>
              <w:snapToGrid/>
              <w:spacing w:line="240" w:lineRule="auto"/>
              <w:ind w:firstLine="0" w:firstLineChars="0"/>
              <w:contextualSpacing/>
              <w:jc w:val="center"/>
              <w:rPr>
                <w:sz w:val="21"/>
                <w:szCs w:val="21"/>
              </w:rPr>
            </w:pPr>
            <w:r>
              <w:rPr>
                <w:rFonts w:hint="eastAsia"/>
                <w:sz w:val="21"/>
                <w:szCs w:val="21"/>
              </w:rPr>
              <w:t>229</w:t>
            </w:r>
          </w:p>
        </w:tc>
        <w:tc>
          <w:tcPr>
            <w:tcW w:w="581" w:type="pct"/>
            <w:vAlign w:val="center"/>
          </w:tcPr>
          <w:p w14:paraId="1D3EC806">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807">
            <w:pPr>
              <w:adjustRightInd/>
              <w:snapToGrid/>
              <w:spacing w:line="240" w:lineRule="auto"/>
              <w:ind w:firstLine="0" w:firstLineChars="0"/>
              <w:contextualSpacing/>
              <w:jc w:val="center"/>
              <w:rPr>
                <w:sz w:val="21"/>
                <w:szCs w:val="21"/>
              </w:rPr>
            </w:pPr>
            <w:r>
              <w:rPr>
                <w:rFonts w:hint="eastAsia"/>
                <w:sz w:val="21"/>
                <w:szCs w:val="21"/>
              </w:rPr>
              <w:t>0.74</w:t>
            </w:r>
          </w:p>
        </w:tc>
        <w:tc>
          <w:tcPr>
            <w:tcW w:w="448" w:type="pct"/>
            <w:vAlign w:val="center"/>
          </w:tcPr>
          <w:p w14:paraId="1D3EC808">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809">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80A">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80B">
            <w:pPr>
              <w:adjustRightInd/>
              <w:snapToGrid/>
              <w:spacing w:line="240" w:lineRule="auto"/>
              <w:ind w:firstLine="0" w:firstLineChars="0"/>
              <w:contextualSpacing/>
              <w:jc w:val="center"/>
              <w:rPr>
                <w:sz w:val="21"/>
                <w:szCs w:val="21"/>
              </w:rPr>
            </w:pPr>
            <w:r>
              <w:rPr>
                <w:rFonts w:hint="eastAsia"/>
                <w:sz w:val="21"/>
                <w:szCs w:val="21"/>
              </w:rPr>
              <w:t>421</w:t>
            </w:r>
          </w:p>
        </w:tc>
        <w:tc>
          <w:tcPr>
            <w:tcW w:w="446" w:type="pct"/>
            <w:vAlign w:val="center"/>
          </w:tcPr>
          <w:p w14:paraId="1D3EC80C">
            <w:pPr>
              <w:adjustRightInd/>
              <w:snapToGrid/>
              <w:spacing w:line="240" w:lineRule="auto"/>
              <w:ind w:firstLine="0" w:firstLineChars="0"/>
              <w:contextualSpacing/>
              <w:jc w:val="center"/>
              <w:rPr>
                <w:sz w:val="21"/>
                <w:szCs w:val="21"/>
              </w:rPr>
            </w:pPr>
            <w:r>
              <w:rPr>
                <w:rFonts w:hint="eastAsia"/>
                <w:sz w:val="21"/>
                <w:szCs w:val="21"/>
              </w:rPr>
              <w:t>1.41</w:t>
            </w:r>
          </w:p>
        </w:tc>
      </w:tr>
      <w:tr w14:paraId="1D3EC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44" w:type="pct"/>
            <w:vMerge w:val="continue"/>
            <w:vAlign w:val="center"/>
          </w:tcPr>
          <w:p w14:paraId="1D3EC820">
            <w:pPr>
              <w:adjustRightInd/>
              <w:snapToGrid/>
              <w:spacing w:line="240" w:lineRule="auto"/>
              <w:ind w:firstLine="0" w:firstLineChars="0"/>
              <w:contextualSpacing/>
              <w:jc w:val="center"/>
              <w:rPr>
                <w:sz w:val="21"/>
                <w:szCs w:val="21"/>
                <w:highlight w:val="yellow"/>
              </w:rPr>
            </w:pPr>
          </w:p>
        </w:tc>
        <w:tc>
          <w:tcPr>
            <w:tcW w:w="464" w:type="pct"/>
            <w:vAlign w:val="center"/>
          </w:tcPr>
          <w:p w14:paraId="1D3EC821">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20" w:type="pct"/>
            <w:vAlign w:val="center"/>
          </w:tcPr>
          <w:p w14:paraId="1D3EC822">
            <w:pPr>
              <w:adjustRightInd/>
              <w:snapToGrid/>
              <w:spacing w:line="240" w:lineRule="auto"/>
              <w:ind w:firstLine="0" w:firstLineChars="0"/>
              <w:contextualSpacing/>
              <w:jc w:val="center"/>
              <w:rPr>
                <w:sz w:val="21"/>
                <w:szCs w:val="21"/>
              </w:rPr>
            </w:pPr>
            <w:r>
              <w:rPr>
                <w:sz w:val="21"/>
                <w:szCs w:val="21"/>
              </w:rPr>
              <w:t>未检出</w:t>
            </w:r>
          </w:p>
        </w:tc>
        <w:tc>
          <w:tcPr>
            <w:tcW w:w="405" w:type="pct"/>
            <w:vAlign w:val="center"/>
          </w:tcPr>
          <w:p w14:paraId="1D3EC823">
            <w:pPr>
              <w:adjustRightInd/>
              <w:snapToGrid/>
              <w:spacing w:line="240" w:lineRule="auto"/>
              <w:ind w:firstLine="0" w:firstLineChars="0"/>
              <w:contextualSpacing/>
              <w:jc w:val="center"/>
              <w:rPr>
                <w:sz w:val="21"/>
                <w:szCs w:val="21"/>
              </w:rPr>
            </w:pPr>
            <w:r>
              <w:rPr>
                <w:rFonts w:hint="eastAsia"/>
                <w:sz w:val="21"/>
                <w:szCs w:val="21"/>
              </w:rPr>
              <w:t>253</w:t>
            </w:r>
          </w:p>
        </w:tc>
        <w:tc>
          <w:tcPr>
            <w:tcW w:w="581" w:type="pct"/>
            <w:vAlign w:val="center"/>
          </w:tcPr>
          <w:p w14:paraId="1D3EC824">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825">
            <w:pPr>
              <w:adjustRightInd/>
              <w:snapToGrid/>
              <w:spacing w:line="240" w:lineRule="auto"/>
              <w:ind w:firstLine="0" w:firstLineChars="0"/>
              <w:contextualSpacing/>
              <w:jc w:val="center"/>
              <w:rPr>
                <w:sz w:val="21"/>
                <w:szCs w:val="21"/>
              </w:rPr>
            </w:pPr>
            <w:r>
              <w:rPr>
                <w:rFonts w:hint="eastAsia"/>
                <w:sz w:val="21"/>
                <w:szCs w:val="21"/>
              </w:rPr>
              <w:t>0.76</w:t>
            </w:r>
          </w:p>
        </w:tc>
        <w:tc>
          <w:tcPr>
            <w:tcW w:w="448" w:type="pct"/>
            <w:vAlign w:val="center"/>
          </w:tcPr>
          <w:p w14:paraId="1D3EC826">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827">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828">
            <w:pPr>
              <w:adjustRightInd/>
              <w:snapToGrid/>
              <w:spacing w:line="240" w:lineRule="auto"/>
              <w:ind w:firstLine="0" w:firstLineChars="0"/>
              <w:contextualSpacing/>
              <w:jc w:val="center"/>
              <w:rPr>
                <w:sz w:val="21"/>
                <w:szCs w:val="21"/>
              </w:rPr>
            </w:pPr>
            <w:r>
              <w:rPr>
                <w:sz w:val="21"/>
                <w:szCs w:val="21"/>
              </w:rPr>
              <w:t>未检出</w:t>
            </w:r>
          </w:p>
        </w:tc>
        <w:tc>
          <w:tcPr>
            <w:tcW w:w="448" w:type="pct"/>
            <w:vAlign w:val="center"/>
          </w:tcPr>
          <w:p w14:paraId="1D3EC829">
            <w:pPr>
              <w:adjustRightInd/>
              <w:snapToGrid/>
              <w:spacing w:line="240" w:lineRule="auto"/>
              <w:ind w:firstLine="0" w:firstLineChars="0"/>
              <w:contextualSpacing/>
              <w:jc w:val="center"/>
              <w:rPr>
                <w:sz w:val="21"/>
                <w:szCs w:val="21"/>
              </w:rPr>
            </w:pPr>
            <w:r>
              <w:rPr>
                <w:rFonts w:hint="eastAsia"/>
                <w:sz w:val="21"/>
                <w:szCs w:val="21"/>
              </w:rPr>
              <w:t>247</w:t>
            </w:r>
          </w:p>
        </w:tc>
        <w:tc>
          <w:tcPr>
            <w:tcW w:w="446" w:type="pct"/>
            <w:vAlign w:val="center"/>
          </w:tcPr>
          <w:p w14:paraId="1D3EC82A">
            <w:pPr>
              <w:adjustRightInd/>
              <w:snapToGrid/>
              <w:spacing w:line="240" w:lineRule="auto"/>
              <w:ind w:firstLine="0" w:firstLineChars="0"/>
              <w:contextualSpacing/>
              <w:jc w:val="center"/>
              <w:rPr>
                <w:sz w:val="21"/>
                <w:szCs w:val="21"/>
              </w:rPr>
            </w:pPr>
            <w:r>
              <w:rPr>
                <w:rFonts w:hint="eastAsia"/>
                <w:sz w:val="21"/>
                <w:szCs w:val="21"/>
              </w:rPr>
              <w:t>1.48</w:t>
            </w:r>
          </w:p>
        </w:tc>
      </w:tr>
      <w:tr w14:paraId="1D3EC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gridSpan w:val="2"/>
            <w:vAlign w:val="center"/>
          </w:tcPr>
          <w:p w14:paraId="1D3EC8F2">
            <w:pPr>
              <w:adjustRightInd/>
              <w:snapToGrid/>
              <w:spacing w:line="240" w:lineRule="auto"/>
              <w:ind w:firstLine="0" w:firstLineChars="0"/>
              <w:contextualSpacing/>
              <w:jc w:val="center"/>
              <w:rPr>
                <w:sz w:val="21"/>
                <w:szCs w:val="21"/>
              </w:rPr>
            </w:pPr>
            <w:r>
              <w:rPr>
                <w:sz w:val="21"/>
                <w:szCs w:val="21"/>
              </w:rPr>
              <w:t>标准值</w:t>
            </w:r>
          </w:p>
        </w:tc>
        <w:tc>
          <w:tcPr>
            <w:tcW w:w="520" w:type="pct"/>
            <w:vAlign w:val="center"/>
          </w:tcPr>
          <w:p w14:paraId="1D3EC8F3">
            <w:pPr>
              <w:adjustRightInd/>
              <w:snapToGrid/>
              <w:spacing w:line="240" w:lineRule="auto"/>
              <w:ind w:firstLine="0" w:firstLineChars="0"/>
              <w:contextualSpacing/>
              <w:jc w:val="center"/>
              <w:rPr>
                <w:sz w:val="21"/>
                <w:szCs w:val="21"/>
              </w:rPr>
            </w:pPr>
            <w:r>
              <w:rPr>
                <w:sz w:val="21"/>
                <w:szCs w:val="21"/>
              </w:rPr>
              <w:t>0.05</w:t>
            </w:r>
          </w:p>
        </w:tc>
        <w:tc>
          <w:tcPr>
            <w:tcW w:w="405" w:type="pct"/>
            <w:vAlign w:val="center"/>
          </w:tcPr>
          <w:p w14:paraId="1D3EC8F4">
            <w:pPr>
              <w:adjustRightInd/>
              <w:snapToGrid/>
              <w:spacing w:line="240" w:lineRule="auto"/>
              <w:ind w:firstLine="0" w:firstLineChars="0"/>
              <w:contextualSpacing/>
              <w:jc w:val="center"/>
              <w:rPr>
                <w:sz w:val="21"/>
                <w:szCs w:val="21"/>
              </w:rPr>
            </w:pPr>
            <w:r>
              <w:rPr>
                <w:sz w:val="21"/>
                <w:szCs w:val="21"/>
              </w:rPr>
              <w:t>450</w:t>
            </w:r>
          </w:p>
        </w:tc>
        <w:tc>
          <w:tcPr>
            <w:tcW w:w="581" w:type="pct"/>
            <w:vAlign w:val="center"/>
          </w:tcPr>
          <w:p w14:paraId="1D3EC8F5">
            <w:pPr>
              <w:adjustRightInd/>
              <w:snapToGrid/>
              <w:spacing w:line="240" w:lineRule="auto"/>
              <w:ind w:firstLine="0" w:firstLineChars="0"/>
              <w:contextualSpacing/>
              <w:jc w:val="center"/>
              <w:rPr>
                <w:sz w:val="21"/>
                <w:szCs w:val="21"/>
              </w:rPr>
            </w:pPr>
            <w:r>
              <w:rPr>
                <w:sz w:val="21"/>
                <w:szCs w:val="21"/>
              </w:rPr>
              <w:t>10</w:t>
            </w:r>
          </w:p>
        </w:tc>
        <w:tc>
          <w:tcPr>
            <w:tcW w:w="448" w:type="pct"/>
            <w:vAlign w:val="center"/>
          </w:tcPr>
          <w:p w14:paraId="1D3EC8F6">
            <w:pPr>
              <w:adjustRightInd/>
              <w:snapToGrid/>
              <w:spacing w:line="240" w:lineRule="auto"/>
              <w:ind w:firstLine="0" w:firstLineChars="0"/>
              <w:contextualSpacing/>
              <w:jc w:val="center"/>
              <w:rPr>
                <w:sz w:val="21"/>
                <w:szCs w:val="21"/>
              </w:rPr>
            </w:pPr>
            <w:r>
              <w:rPr>
                <w:sz w:val="21"/>
                <w:szCs w:val="21"/>
              </w:rPr>
              <w:t>1.0</w:t>
            </w:r>
          </w:p>
        </w:tc>
        <w:tc>
          <w:tcPr>
            <w:tcW w:w="448" w:type="pct"/>
            <w:vAlign w:val="center"/>
          </w:tcPr>
          <w:p w14:paraId="1D3EC8F7">
            <w:pPr>
              <w:adjustRightInd/>
              <w:snapToGrid/>
              <w:spacing w:line="240" w:lineRule="auto"/>
              <w:ind w:firstLine="0" w:firstLineChars="0"/>
              <w:contextualSpacing/>
              <w:jc w:val="center"/>
              <w:rPr>
                <w:sz w:val="21"/>
                <w:szCs w:val="21"/>
              </w:rPr>
            </w:pPr>
            <w:r>
              <w:rPr>
                <w:sz w:val="21"/>
                <w:szCs w:val="21"/>
              </w:rPr>
              <w:t>5</w:t>
            </w:r>
          </w:p>
        </w:tc>
        <w:tc>
          <w:tcPr>
            <w:tcW w:w="448" w:type="pct"/>
            <w:vAlign w:val="center"/>
          </w:tcPr>
          <w:p w14:paraId="1D3EC8F8">
            <w:pPr>
              <w:adjustRightInd/>
              <w:snapToGrid/>
              <w:spacing w:line="240" w:lineRule="auto"/>
              <w:ind w:firstLine="0" w:firstLineChars="0"/>
              <w:contextualSpacing/>
              <w:jc w:val="center"/>
              <w:rPr>
                <w:sz w:val="21"/>
                <w:szCs w:val="21"/>
              </w:rPr>
            </w:pPr>
            <w:r>
              <w:rPr>
                <w:sz w:val="21"/>
                <w:szCs w:val="21"/>
              </w:rPr>
              <w:t>0.3</w:t>
            </w:r>
          </w:p>
        </w:tc>
        <w:tc>
          <w:tcPr>
            <w:tcW w:w="448" w:type="pct"/>
            <w:vAlign w:val="center"/>
          </w:tcPr>
          <w:p w14:paraId="1D3EC8F9">
            <w:pPr>
              <w:adjustRightInd/>
              <w:snapToGrid/>
              <w:spacing w:line="240" w:lineRule="auto"/>
              <w:ind w:firstLine="0" w:firstLineChars="0"/>
              <w:contextualSpacing/>
              <w:jc w:val="center"/>
              <w:rPr>
                <w:sz w:val="21"/>
                <w:szCs w:val="21"/>
              </w:rPr>
            </w:pPr>
            <w:r>
              <w:rPr>
                <w:sz w:val="21"/>
                <w:szCs w:val="21"/>
              </w:rPr>
              <w:t>0.1</w:t>
            </w:r>
          </w:p>
        </w:tc>
        <w:tc>
          <w:tcPr>
            <w:tcW w:w="448" w:type="pct"/>
            <w:vAlign w:val="center"/>
          </w:tcPr>
          <w:p w14:paraId="1D3EC8FA">
            <w:pPr>
              <w:adjustRightInd/>
              <w:snapToGrid/>
              <w:spacing w:line="240" w:lineRule="auto"/>
              <w:ind w:firstLine="0" w:firstLineChars="0"/>
              <w:contextualSpacing/>
              <w:jc w:val="center"/>
              <w:rPr>
                <w:sz w:val="21"/>
                <w:szCs w:val="21"/>
              </w:rPr>
            </w:pPr>
            <w:r>
              <w:rPr>
                <w:sz w:val="21"/>
                <w:szCs w:val="21"/>
              </w:rPr>
              <w:t>1000</w:t>
            </w:r>
          </w:p>
        </w:tc>
        <w:tc>
          <w:tcPr>
            <w:tcW w:w="446" w:type="pct"/>
            <w:vAlign w:val="center"/>
          </w:tcPr>
          <w:p w14:paraId="1D3EC8FB">
            <w:pPr>
              <w:adjustRightInd/>
              <w:snapToGrid/>
              <w:spacing w:line="240" w:lineRule="auto"/>
              <w:ind w:firstLine="0" w:firstLineChars="0"/>
              <w:contextualSpacing/>
              <w:jc w:val="center"/>
              <w:rPr>
                <w:sz w:val="21"/>
                <w:szCs w:val="21"/>
              </w:rPr>
            </w:pPr>
            <w:r>
              <w:rPr>
                <w:sz w:val="21"/>
                <w:szCs w:val="21"/>
              </w:rPr>
              <w:t>3.0</w:t>
            </w:r>
          </w:p>
        </w:tc>
      </w:tr>
      <w:tr w14:paraId="32136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gridSpan w:val="2"/>
            <w:vAlign w:val="center"/>
          </w:tcPr>
          <w:p w14:paraId="0BF39EB2">
            <w:pPr>
              <w:adjustRightInd/>
              <w:snapToGrid/>
              <w:spacing w:line="240" w:lineRule="auto"/>
              <w:ind w:firstLine="0" w:firstLineChars="0"/>
              <w:contextualSpacing/>
              <w:jc w:val="center"/>
              <w:rPr>
                <w:sz w:val="21"/>
                <w:szCs w:val="21"/>
              </w:rPr>
            </w:pPr>
            <w:r>
              <w:rPr>
                <w:rFonts w:hint="eastAsia"/>
                <w:sz w:val="21"/>
                <w:szCs w:val="21"/>
              </w:rPr>
              <w:t>标准指数</w:t>
            </w:r>
          </w:p>
        </w:tc>
        <w:tc>
          <w:tcPr>
            <w:tcW w:w="520" w:type="pct"/>
            <w:vAlign w:val="center"/>
          </w:tcPr>
          <w:p w14:paraId="1C1BB715">
            <w:pPr>
              <w:adjustRightInd/>
              <w:snapToGrid/>
              <w:spacing w:line="240" w:lineRule="auto"/>
              <w:ind w:firstLine="0" w:firstLineChars="0"/>
              <w:contextualSpacing/>
              <w:jc w:val="center"/>
              <w:rPr>
                <w:sz w:val="21"/>
                <w:szCs w:val="21"/>
              </w:rPr>
            </w:pPr>
            <w:r>
              <w:rPr>
                <w:rFonts w:hint="eastAsia"/>
                <w:sz w:val="21"/>
                <w:szCs w:val="21"/>
              </w:rPr>
              <w:t>/</w:t>
            </w:r>
          </w:p>
        </w:tc>
        <w:tc>
          <w:tcPr>
            <w:tcW w:w="405" w:type="pct"/>
            <w:vAlign w:val="center"/>
          </w:tcPr>
          <w:p w14:paraId="6E4B5EBE">
            <w:pPr>
              <w:adjustRightInd/>
              <w:snapToGrid/>
              <w:spacing w:line="240" w:lineRule="auto"/>
              <w:ind w:firstLine="0" w:firstLineChars="0"/>
              <w:contextualSpacing/>
              <w:jc w:val="center"/>
              <w:rPr>
                <w:sz w:val="21"/>
                <w:szCs w:val="21"/>
              </w:rPr>
            </w:pPr>
            <w:r>
              <w:rPr>
                <w:rFonts w:hint="eastAsia"/>
                <w:sz w:val="21"/>
                <w:szCs w:val="21"/>
              </w:rPr>
              <w:t>0.456-0.631</w:t>
            </w:r>
          </w:p>
        </w:tc>
        <w:tc>
          <w:tcPr>
            <w:tcW w:w="581" w:type="pct"/>
            <w:vAlign w:val="center"/>
          </w:tcPr>
          <w:p w14:paraId="5C7E8F1D">
            <w:pPr>
              <w:adjustRightInd/>
              <w:snapToGrid/>
              <w:spacing w:line="240" w:lineRule="auto"/>
              <w:ind w:firstLine="0" w:firstLineChars="0"/>
              <w:contextualSpacing/>
              <w:jc w:val="center"/>
              <w:rPr>
                <w:sz w:val="21"/>
                <w:szCs w:val="21"/>
              </w:rPr>
            </w:pPr>
            <w:r>
              <w:rPr>
                <w:rFonts w:hint="eastAsia"/>
                <w:sz w:val="21"/>
                <w:szCs w:val="21"/>
              </w:rPr>
              <w:t>/</w:t>
            </w:r>
          </w:p>
        </w:tc>
        <w:tc>
          <w:tcPr>
            <w:tcW w:w="448" w:type="pct"/>
            <w:vAlign w:val="center"/>
          </w:tcPr>
          <w:p w14:paraId="7E45418B">
            <w:pPr>
              <w:adjustRightInd/>
              <w:snapToGrid/>
              <w:spacing w:line="240" w:lineRule="auto"/>
              <w:ind w:firstLine="0" w:firstLineChars="0"/>
              <w:contextualSpacing/>
              <w:jc w:val="center"/>
              <w:rPr>
                <w:sz w:val="21"/>
                <w:szCs w:val="21"/>
              </w:rPr>
            </w:pPr>
            <w:r>
              <w:rPr>
                <w:rFonts w:hint="eastAsia"/>
                <w:sz w:val="21"/>
                <w:szCs w:val="21"/>
              </w:rPr>
              <w:t>0.63-0.84</w:t>
            </w:r>
          </w:p>
        </w:tc>
        <w:tc>
          <w:tcPr>
            <w:tcW w:w="448" w:type="pct"/>
            <w:vAlign w:val="center"/>
          </w:tcPr>
          <w:p w14:paraId="41F074EC">
            <w:pPr>
              <w:adjustRightInd/>
              <w:snapToGrid/>
              <w:spacing w:line="240" w:lineRule="auto"/>
              <w:ind w:firstLine="0" w:firstLineChars="0"/>
              <w:contextualSpacing/>
              <w:jc w:val="center"/>
              <w:rPr>
                <w:sz w:val="21"/>
                <w:szCs w:val="21"/>
              </w:rPr>
            </w:pPr>
            <w:r>
              <w:rPr>
                <w:rFonts w:hint="eastAsia"/>
                <w:sz w:val="21"/>
                <w:szCs w:val="21"/>
              </w:rPr>
              <w:t>/</w:t>
            </w:r>
          </w:p>
        </w:tc>
        <w:tc>
          <w:tcPr>
            <w:tcW w:w="448" w:type="pct"/>
            <w:vAlign w:val="center"/>
          </w:tcPr>
          <w:p w14:paraId="40C24C4A">
            <w:pPr>
              <w:adjustRightInd/>
              <w:snapToGrid/>
              <w:spacing w:line="240" w:lineRule="auto"/>
              <w:ind w:firstLine="0" w:firstLineChars="0"/>
              <w:contextualSpacing/>
              <w:jc w:val="center"/>
              <w:rPr>
                <w:sz w:val="21"/>
                <w:szCs w:val="21"/>
              </w:rPr>
            </w:pPr>
            <w:r>
              <w:rPr>
                <w:rFonts w:hint="eastAsia"/>
                <w:sz w:val="21"/>
                <w:szCs w:val="21"/>
              </w:rPr>
              <w:t>/</w:t>
            </w:r>
          </w:p>
        </w:tc>
        <w:tc>
          <w:tcPr>
            <w:tcW w:w="448" w:type="pct"/>
            <w:vAlign w:val="center"/>
          </w:tcPr>
          <w:p w14:paraId="78F58274">
            <w:pPr>
              <w:adjustRightInd/>
              <w:snapToGrid/>
              <w:spacing w:line="240" w:lineRule="auto"/>
              <w:ind w:firstLine="0" w:firstLineChars="0"/>
              <w:contextualSpacing/>
              <w:jc w:val="center"/>
              <w:rPr>
                <w:sz w:val="21"/>
                <w:szCs w:val="21"/>
              </w:rPr>
            </w:pPr>
            <w:r>
              <w:rPr>
                <w:rFonts w:hint="eastAsia"/>
                <w:sz w:val="21"/>
                <w:szCs w:val="21"/>
              </w:rPr>
              <w:t>/</w:t>
            </w:r>
          </w:p>
        </w:tc>
        <w:tc>
          <w:tcPr>
            <w:tcW w:w="448" w:type="pct"/>
            <w:vAlign w:val="center"/>
          </w:tcPr>
          <w:p w14:paraId="7D9A9898">
            <w:pPr>
              <w:adjustRightInd/>
              <w:snapToGrid/>
              <w:spacing w:line="240" w:lineRule="auto"/>
              <w:ind w:firstLine="0" w:firstLineChars="0"/>
              <w:contextualSpacing/>
              <w:jc w:val="center"/>
              <w:rPr>
                <w:sz w:val="21"/>
                <w:szCs w:val="21"/>
              </w:rPr>
            </w:pPr>
            <w:r>
              <w:rPr>
                <w:rFonts w:hint="eastAsia"/>
                <w:sz w:val="21"/>
                <w:szCs w:val="21"/>
              </w:rPr>
              <w:t>0.247-0.433</w:t>
            </w:r>
          </w:p>
        </w:tc>
        <w:tc>
          <w:tcPr>
            <w:tcW w:w="446" w:type="pct"/>
            <w:vAlign w:val="center"/>
          </w:tcPr>
          <w:p w14:paraId="2EDCF42F">
            <w:pPr>
              <w:adjustRightInd/>
              <w:snapToGrid/>
              <w:spacing w:line="240" w:lineRule="auto"/>
              <w:ind w:firstLine="0" w:firstLineChars="0"/>
              <w:contextualSpacing/>
              <w:jc w:val="center"/>
              <w:rPr>
                <w:sz w:val="21"/>
                <w:szCs w:val="21"/>
                <w:highlight w:val="yellow"/>
              </w:rPr>
            </w:pPr>
            <w:r>
              <w:rPr>
                <w:rFonts w:hint="eastAsia"/>
                <w:sz w:val="21"/>
                <w:szCs w:val="21"/>
              </w:rPr>
              <w:t>0.47-0.537</w:t>
            </w:r>
          </w:p>
        </w:tc>
      </w:tr>
      <w:tr w14:paraId="10B13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gridSpan w:val="2"/>
            <w:vAlign w:val="center"/>
          </w:tcPr>
          <w:p w14:paraId="2089683A">
            <w:pPr>
              <w:adjustRightInd/>
              <w:snapToGrid/>
              <w:spacing w:line="240" w:lineRule="auto"/>
              <w:ind w:firstLine="0" w:firstLineChars="0"/>
              <w:contextualSpacing/>
              <w:jc w:val="center"/>
              <w:rPr>
                <w:sz w:val="21"/>
                <w:szCs w:val="21"/>
              </w:rPr>
            </w:pPr>
            <w:r>
              <w:rPr>
                <w:rFonts w:hint="eastAsia"/>
                <w:sz w:val="21"/>
                <w:szCs w:val="21"/>
              </w:rPr>
              <w:t>超标率</w:t>
            </w:r>
          </w:p>
        </w:tc>
        <w:tc>
          <w:tcPr>
            <w:tcW w:w="520" w:type="pct"/>
            <w:vAlign w:val="center"/>
          </w:tcPr>
          <w:p w14:paraId="52704EDD">
            <w:pPr>
              <w:adjustRightInd/>
              <w:snapToGrid/>
              <w:spacing w:line="240" w:lineRule="auto"/>
              <w:ind w:firstLine="0" w:firstLineChars="0"/>
              <w:contextualSpacing/>
              <w:jc w:val="center"/>
              <w:rPr>
                <w:sz w:val="21"/>
                <w:szCs w:val="21"/>
              </w:rPr>
            </w:pPr>
            <w:r>
              <w:rPr>
                <w:rFonts w:hint="eastAsia"/>
                <w:sz w:val="21"/>
                <w:szCs w:val="21"/>
              </w:rPr>
              <w:t>0</w:t>
            </w:r>
          </w:p>
        </w:tc>
        <w:tc>
          <w:tcPr>
            <w:tcW w:w="405" w:type="pct"/>
            <w:vAlign w:val="center"/>
          </w:tcPr>
          <w:p w14:paraId="398E4D4D">
            <w:pPr>
              <w:adjustRightInd/>
              <w:snapToGrid/>
              <w:spacing w:line="240" w:lineRule="auto"/>
              <w:ind w:firstLine="0" w:firstLineChars="0"/>
              <w:contextualSpacing/>
              <w:jc w:val="center"/>
              <w:rPr>
                <w:sz w:val="21"/>
                <w:szCs w:val="21"/>
              </w:rPr>
            </w:pPr>
            <w:r>
              <w:rPr>
                <w:rFonts w:hint="eastAsia"/>
                <w:sz w:val="21"/>
                <w:szCs w:val="21"/>
              </w:rPr>
              <w:t>0</w:t>
            </w:r>
          </w:p>
        </w:tc>
        <w:tc>
          <w:tcPr>
            <w:tcW w:w="581" w:type="pct"/>
            <w:vAlign w:val="center"/>
          </w:tcPr>
          <w:p w14:paraId="233854B9">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4316F734">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63164FFE">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6A07B5C3">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44D4E8A9">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36EE67AC">
            <w:pPr>
              <w:adjustRightInd/>
              <w:snapToGrid/>
              <w:spacing w:line="240" w:lineRule="auto"/>
              <w:ind w:firstLine="0" w:firstLineChars="0"/>
              <w:contextualSpacing/>
              <w:jc w:val="center"/>
              <w:rPr>
                <w:sz w:val="21"/>
                <w:szCs w:val="21"/>
              </w:rPr>
            </w:pPr>
            <w:r>
              <w:rPr>
                <w:rFonts w:hint="eastAsia"/>
                <w:sz w:val="21"/>
                <w:szCs w:val="21"/>
              </w:rPr>
              <w:t>0</w:t>
            </w:r>
          </w:p>
        </w:tc>
        <w:tc>
          <w:tcPr>
            <w:tcW w:w="446" w:type="pct"/>
            <w:vAlign w:val="center"/>
          </w:tcPr>
          <w:p w14:paraId="730C07E0">
            <w:pPr>
              <w:adjustRightInd/>
              <w:snapToGrid/>
              <w:spacing w:line="240" w:lineRule="auto"/>
              <w:ind w:firstLine="0" w:firstLineChars="0"/>
              <w:contextualSpacing/>
              <w:jc w:val="center"/>
              <w:rPr>
                <w:sz w:val="21"/>
                <w:szCs w:val="21"/>
              </w:rPr>
            </w:pPr>
            <w:r>
              <w:rPr>
                <w:rFonts w:hint="eastAsia"/>
                <w:sz w:val="21"/>
                <w:szCs w:val="21"/>
              </w:rPr>
              <w:t>0</w:t>
            </w:r>
          </w:p>
        </w:tc>
      </w:tr>
      <w:tr w14:paraId="7105C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gridSpan w:val="2"/>
            <w:vAlign w:val="center"/>
          </w:tcPr>
          <w:p w14:paraId="2FB37980">
            <w:pPr>
              <w:adjustRightInd/>
              <w:snapToGrid/>
              <w:spacing w:line="240" w:lineRule="auto"/>
              <w:ind w:firstLine="0" w:firstLineChars="0"/>
              <w:contextualSpacing/>
              <w:jc w:val="center"/>
              <w:rPr>
                <w:sz w:val="21"/>
                <w:szCs w:val="21"/>
              </w:rPr>
            </w:pPr>
            <w:r>
              <w:rPr>
                <w:rFonts w:hint="eastAsia"/>
                <w:sz w:val="21"/>
                <w:szCs w:val="21"/>
              </w:rPr>
              <w:t>最大超标倍数</w:t>
            </w:r>
          </w:p>
        </w:tc>
        <w:tc>
          <w:tcPr>
            <w:tcW w:w="520" w:type="pct"/>
            <w:vAlign w:val="center"/>
          </w:tcPr>
          <w:p w14:paraId="13490343">
            <w:pPr>
              <w:adjustRightInd/>
              <w:snapToGrid/>
              <w:spacing w:line="240" w:lineRule="auto"/>
              <w:ind w:firstLine="0" w:firstLineChars="0"/>
              <w:contextualSpacing/>
              <w:jc w:val="center"/>
              <w:rPr>
                <w:sz w:val="21"/>
                <w:szCs w:val="21"/>
              </w:rPr>
            </w:pPr>
            <w:r>
              <w:rPr>
                <w:rFonts w:hint="eastAsia"/>
                <w:sz w:val="21"/>
                <w:szCs w:val="21"/>
              </w:rPr>
              <w:t>0</w:t>
            </w:r>
          </w:p>
        </w:tc>
        <w:tc>
          <w:tcPr>
            <w:tcW w:w="405" w:type="pct"/>
            <w:vAlign w:val="center"/>
          </w:tcPr>
          <w:p w14:paraId="730EDA0F">
            <w:pPr>
              <w:adjustRightInd/>
              <w:snapToGrid/>
              <w:spacing w:line="240" w:lineRule="auto"/>
              <w:ind w:firstLine="0" w:firstLineChars="0"/>
              <w:contextualSpacing/>
              <w:jc w:val="center"/>
              <w:rPr>
                <w:sz w:val="21"/>
                <w:szCs w:val="21"/>
              </w:rPr>
            </w:pPr>
            <w:r>
              <w:rPr>
                <w:rFonts w:hint="eastAsia"/>
                <w:sz w:val="21"/>
                <w:szCs w:val="21"/>
              </w:rPr>
              <w:t>0</w:t>
            </w:r>
          </w:p>
        </w:tc>
        <w:tc>
          <w:tcPr>
            <w:tcW w:w="581" w:type="pct"/>
            <w:vAlign w:val="center"/>
          </w:tcPr>
          <w:p w14:paraId="1BD05E8C">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23C7E652">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46DB99E0">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71AB0827">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4964C1F2">
            <w:pPr>
              <w:adjustRightInd/>
              <w:snapToGrid/>
              <w:spacing w:line="240" w:lineRule="auto"/>
              <w:ind w:firstLine="0" w:firstLineChars="0"/>
              <w:contextualSpacing/>
              <w:jc w:val="center"/>
              <w:rPr>
                <w:sz w:val="21"/>
                <w:szCs w:val="21"/>
              </w:rPr>
            </w:pPr>
            <w:r>
              <w:rPr>
                <w:rFonts w:hint="eastAsia"/>
                <w:sz w:val="21"/>
                <w:szCs w:val="21"/>
              </w:rPr>
              <w:t>0</w:t>
            </w:r>
          </w:p>
        </w:tc>
        <w:tc>
          <w:tcPr>
            <w:tcW w:w="448" w:type="pct"/>
            <w:vAlign w:val="center"/>
          </w:tcPr>
          <w:p w14:paraId="39712B78">
            <w:pPr>
              <w:adjustRightInd/>
              <w:snapToGrid/>
              <w:spacing w:line="240" w:lineRule="auto"/>
              <w:ind w:firstLine="0" w:firstLineChars="0"/>
              <w:contextualSpacing/>
              <w:jc w:val="center"/>
              <w:rPr>
                <w:sz w:val="21"/>
                <w:szCs w:val="21"/>
              </w:rPr>
            </w:pPr>
            <w:r>
              <w:rPr>
                <w:rFonts w:hint="eastAsia"/>
                <w:sz w:val="21"/>
                <w:szCs w:val="21"/>
              </w:rPr>
              <w:t>0</w:t>
            </w:r>
          </w:p>
        </w:tc>
        <w:tc>
          <w:tcPr>
            <w:tcW w:w="446" w:type="pct"/>
            <w:vAlign w:val="center"/>
          </w:tcPr>
          <w:p w14:paraId="459D6A2B">
            <w:pPr>
              <w:adjustRightInd/>
              <w:snapToGrid/>
              <w:spacing w:line="240" w:lineRule="auto"/>
              <w:ind w:firstLine="0" w:firstLineChars="0"/>
              <w:contextualSpacing/>
              <w:jc w:val="center"/>
              <w:rPr>
                <w:sz w:val="21"/>
                <w:szCs w:val="21"/>
              </w:rPr>
            </w:pPr>
            <w:r>
              <w:rPr>
                <w:rFonts w:hint="eastAsia"/>
                <w:sz w:val="21"/>
                <w:szCs w:val="21"/>
              </w:rPr>
              <w:t>0</w:t>
            </w:r>
          </w:p>
        </w:tc>
      </w:tr>
      <w:tr w14:paraId="1D3EC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gridSpan w:val="2"/>
            <w:vAlign w:val="center"/>
          </w:tcPr>
          <w:p w14:paraId="1D3EC900">
            <w:pPr>
              <w:adjustRightInd/>
              <w:snapToGrid/>
              <w:spacing w:line="240" w:lineRule="auto"/>
              <w:ind w:firstLine="0" w:firstLineChars="0"/>
              <w:contextualSpacing/>
              <w:jc w:val="center"/>
              <w:rPr>
                <w:sz w:val="21"/>
                <w:szCs w:val="21"/>
              </w:rPr>
            </w:pPr>
            <w:r>
              <w:rPr>
                <w:sz w:val="21"/>
                <w:szCs w:val="21"/>
              </w:rPr>
              <w:t>达标情况</w:t>
            </w:r>
          </w:p>
        </w:tc>
        <w:tc>
          <w:tcPr>
            <w:tcW w:w="520" w:type="pct"/>
            <w:vAlign w:val="center"/>
          </w:tcPr>
          <w:p w14:paraId="1D3EC901">
            <w:pPr>
              <w:adjustRightInd/>
              <w:snapToGrid/>
              <w:spacing w:line="240" w:lineRule="auto"/>
              <w:ind w:firstLine="0" w:firstLineChars="0"/>
              <w:contextualSpacing/>
              <w:jc w:val="center"/>
              <w:rPr>
                <w:sz w:val="21"/>
                <w:szCs w:val="21"/>
              </w:rPr>
            </w:pPr>
            <w:r>
              <w:rPr>
                <w:sz w:val="21"/>
                <w:szCs w:val="21"/>
                <w:lang w:bidi="ar"/>
              </w:rPr>
              <w:t>达标</w:t>
            </w:r>
          </w:p>
        </w:tc>
        <w:tc>
          <w:tcPr>
            <w:tcW w:w="405" w:type="pct"/>
            <w:vAlign w:val="center"/>
          </w:tcPr>
          <w:p w14:paraId="1D3EC902">
            <w:pPr>
              <w:adjustRightInd/>
              <w:snapToGrid/>
              <w:spacing w:line="240" w:lineRule="auto"/>
              <w:ind w:firstLine="0" w:firstLineChars="0"/>
              <w:contextualSpacing/>
              <w:jc w:val="center"/>
              <w:rPr>
                <w:sz w:val="21"/>
                <w:szCs w:val="21"/>
              </w:rPr>
            </w:pPr>
            <w:r>
              <w:rPr>
                <w:sz w:val="21"/>
                <w:szCs w:val="21"/>
                <w:lang w:bidi="ar"/>
              </w:rPr>
              <w:t>达标</w:t>
            </w:r>
          </w:p>
        </w:tc>
        <w:tc>
          <w:tcPr>
            <w:tcW w:w="581" w:type="pct"/>
            <w:vAlign w:val="center"/>
          </w:tcPr>
          <w:p w14:paraId="1D3EC903">
            <w:pPr>
              <w:adjustRightInd/>
              <w:snapToGrid/>
              <w:spacing w:line="240" w:lineRule="auto"/>
              <w:ind w:firstLine="0" w:firstLineChars="0"/>
              <w:contextualSpacing/>
              <w:jc w:val="center"/>
              <w:rPr>
                <w:sz w:val="21"/>
                <w:szCs w:val="21"/>
              </w:rPr>
            </w:pPr>
            <w:r>
              <w:rPr>
                <w:sz w:val="21"/>
                <w:szCs w:val="21"/>
                <w:lang w:bidi="ar"/>
              </w:rPr>
              <w:t>达标</w:t>
            </w:r>
          </w:p>
        </w:tc>
        <w:tc>
          <w:tcPr>
            <w:tcW w:w="448" w:type="pct"/>
            <w:vAlign w:val="center"/>
          </w:tcPr>
          <w:p w14:paraId="1D3EC904">
            <w:pPr>
              <w:adjustRightInd/>
              <w:snapToGrid/>
              <w:spacing w:line="240" w:lineRule="auto"/>
              <w:ind w:firstLine="0" w:firstLineChars="0"/>
              <w:contextualSpacing/>
              <w:jc w:val="center"/>
              <w:rPr>
                <w:sz w:val="21"/>
                <w:szCs w:val="21"/>
              </w:rPr>
            </w:pPr>
            <w:r>
              <w:rPr>
                <w:sz w:val="21"/>
                <w:szCs w:val="21"/>
                <w:lang w:bidi="ar"/>
              </w:rPr>
              <w:t>达标</w:t>
            </w:r>
          </w:p>
        </w:tc>
        <w:tc>
          <w:tcPr>
            <w:tcW w:w="448" w:type="pct"/>
            <w:vAlign w:val="center"/>
          </w:tcPr>
          <w:p w14:paraId="1D3EC905">
            <w:pPr>
              <w:adjustRightInd/>
              <w:snapToGrid/>
              <w:spacing w:line="240" w:lineRule="auto"/>
              <w:ind w:firstLine="0" w:firstLineChars="0"/>
              <w:contextualSpacing/>
              <w:jc w:val="center"/>
              <w:rPr>
                <w:sz w:val="21"/>
                <w:szCs w:val="21"/>
              </w:rPr>
            </w:pPr>
            <w:r>
              <w:rPr>
                <w:sz w:val="21"/>
                <w:szCs w:val="21"/>
                <w:lang w:bidi="ar"/>
              </w:rPr>
              <w:t>达标</w:t>
            </w:r>
          </w:p>
        </w:tc>
        <w:tc>
          <w:tcPr>
            <w:tcW w:w="448" w:type="pct"/>
            <w:vAlign w:val="center"/>
          </w:tcPr>
          <w:p w14:paraId="1D3EC906">
            <w:pPr>
              <w:adjustRightInd/>
              <w:snapToGrid/>
              <w:spacing w:line="240" w:lineRule="auto"/>
              <w:ind w:firstLine="0" w:firstLineChars="0"/>
              <w:contextualSpacing/>
              <w:jc w:val="center"/>
              <w:rPr>
                <w:sz w:val="21"/>
                <w:szCs w:val="21"/>
              </w:rPr>
            </w:pPr>
            <w:r>
              <w:rPr>
                <w:sz w:val="21"/>
                <w:szCs w:val="21"/>
                <w:lang w:bidi="ar"/>
              </w:rPr>
              <w:t>达标</w:t>
            </w:r>
          </w:p>
        </w:tc>
        <w:tc>
          <w:tcPr>
            <w:tcW w:w="448" w:type="pct"/>
            <w:vAlign w:val="center"/>
          </w:tcPr>
          <w:p w14:paraId="1D3EC907">
            <w:pPr>
              <w:adjustRightInd/>
              <w:snapToGrid/>
              <w:spacing w:line="240" w:lineRule="auto"/>
              <w:ind w:firstLine="0" w:firstLineChars="0"/>
              <w:contextualSpacing/>
              <w:jc w:val="center"/>
              <w:rPr>
                <w:sz w:val="21"/>
                <w:szCs w:val="21"/>
              </w:rPr>
            </w:pPr>
            <w:r>
              <w:rPr>
                <w:sz w:val="21"/>
                <w:szCs w:val="21"/>
                <w:lang w:bidi="ar"/>
              </w:rPr>
              <w:t>达标</w:t>
            </w:r>
          </w:p>
        </w:tc>
        <w:tc>
          <w:tcPr>
            <w:tcW w:w="448" w:type="pct"/>
            <w:vAlign w:val="center"/>
          </w:tcPr>
          <w:p w14:paraId="1D3EC908">
            <w:pPr>
              <w:adjustRightInd/>
              <w:snapToGrid/>
              <w:spacing w:line="240" w:lineRule="auto"/>
              <w:ind w:firstLine="0" w:firstLineChars="0"/>
              <w:contextualSpacing/>
              <w:jc w:val="center"/>
              <w:rPr>
                <w:sz w:val="21"/>
                <w:szCs w:val="21"/>
              </w:rPr>
            </w:pPr>
            <w:r>
              <w:rPr>
                <w:sz w:val="21"/>
                <w:szCs w:val="21"/>
                <w:lang w:bidi="ar"/>
              </w:rPr>
              <w:t>达标</w:t>
            </w:r>
          </w:p>
        </w:tc>
        <w:tc>
          <w:tcPr>
            <w:tcW w:w="446" w:type="pct"/>
            <w:vAlign w:val="center"/>
          </w:tcPr>
          <w:p w14:paraId="1D3EC909">
            <w:pPr>
              <w:adjustRightInd/>
              <w:snapToGrid/>
              <w:spacing w:line="240" w:lineRule="auto"/>
              <w:ind w:firstLine="0" w:firstLineChars="0"/>
              <w:contextualSpacing/>
              <w:jc w:val="center"/>
              <w:rPr>
                <w:sz w:val="21"/>
                <w:szCs w:val="21"/>
              </w:rPr>
            </w:pPr>
            <w:r>
              <w:rPr>
                <w:sz w:val="21"/>
                <w:szCs w:val="21"/>
                <w:lang w:bidi="ar"/>
              </w:rPr>
              <w:t>达标</w:t>
            </w:r>
          </w:p>
        </w:tc>
      </w:tr>
    </w:tbl>
    <w:p w14:paraId="1D3EC90E">
      <w:pPr>
        <w:numPr>
          <w:ilvl w:val="0"/>
          <w:numId w:val="23"/>
        </w:numPr>
        <w:adjustRightInd/>
        <w:snapToGrid/>
        <w:ind w:firstLineChars="0"/>
        <w:textAlignment w:val="auto"/>
        <w:rPr>
          <w:rFonts w:eastAsia="黑体"/>
        </w:rPr>
      </w:pPr>
      <w:r>
        <w:rPr>
          <w:rFonts w:eastAsia="黑体"/>
        </w:rPr>
        <w:t xml:space="preserve">                                  地下水现状结果统计表3                                  单位：mg/L</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695"/>
        <w:gridCol w:w="1707"/>
        <w:gridCol w:w="1662"/>
        <w:gridCol w:w="2310"/>
        <w:gridCol w:w="2310"/>
        <w:gridCol w:w="1550"/>
        <w:gridCol w:w="1544"/>
        <w:gridCol w:w="1236"/>
      </w:tblGrid>
      <w:tr w14:paraId="579A1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605" w:type="pct"/>
            <w:vAlign w:val="center"/>
          </w:tcPr>
          <w:p w14:paraId="1996674F">
            <w:pPr>
              <w:adjustRightInd/>
              <w:snapToGrid/>
              <w:spacing w:line="240" w:lineRule="auto"/>
              <w:ind w:firstLine="0" w:firstLineChars="0"/>
              <w:jc w:val="center"/>
              <w:textAlignment w:val="auto"/>
              <w:rPr>
                <w:b/>
                <w:kern w:val="2"/>
                <w:sz w:val="21"/>
              </w:rPr>
            </w:pPr>
            <w:r>
              <w:rPr>
                <w:b/>
                <w:kern w:val="2"/>
                <w:sz w:val="21"/>
              </w:rPr>
              <w:t>检测点位</w:t>
            </w:r>
          </w:p>
        </w:tc>
        <w:tc>
          <w:tcPr>
            <w:tcW w:w="609" w:type="pct"/>
            <w:vAlign w:val="center"/>
          </w:tcPr>
          <w:p w14:paraId="3A05FF97">
            <w:pPr>
              <w:adjustRightInd/>
              <w:snapToGrid/>
              <w:spacing w:line="240" w:lineRule="auto"/>
              <w:ind w:firstLine="0" w:firstLineChars="0"/>
              <w:jc w:val="center"/>
              <w:textAlignment w:val="auto"/>
              <w:rPr>
                <w:b/>
                <w:kern w:val="2"/>
                <w:sz w:val="21"/>
              </w:rPr>
            </w:pPr>
            <w:r>
              <w:rPr>
                <w:b/>
                <w:kern w:val="2"/>
                <w:sz w:val="21"/>
              </w:rPr>
              <w:t>采样时间</w:t>
            </w:r>
          </w:p>
        </w:tc>
        <w:tc>
          <w:tcPr>
            <w:tcW w:w="593" w:type="pct"/>
            <w:vAlign w:val="center"/>
          </w:tcPr>
          <w:p w14:paraId="7EAE7276">
            <w:pPr>
              <w:adjustRightInd/>
              <w:snapToGrid/>
              <w:spacing w:line="240" w:lineRule="auto"/>
              <w:ind w:firstLine="0" w:firstLineChars="0"/>
              <w:jc w:val="center"/>
              <w:textAlignment w:val="auto"/>
              <w:rPr>
                <w:b/>
                <w:kern w:val="2"/>
                <w:sz w:val="21"/>
                <w:highlight w:val="yellow"/>
              </w:rPr>
            </w:pPr>
            <w:r>
              <w:rPr>
                <w:b/>
                <w:kern w:val="2"/>
                <w:sz w:val="21"/>
              </w:rPr>
              <w:t>菌落总数(CPU/ml)</w:t>
            </w:r>
          </w:p>
        </w:tc>
        <w:tc>
          <w:tcPr>
            <w:tcW w:w="824" w:type="pct"/>
            <w:vAlign w:val="center"/>
          </w:tcPr>
          <w:p w14:paraId="5C451585">
            <w:pPr>
              <w:adjustRightInd/>
              <w:snapToGrid/>
              <w:spacing w:line="240" w:lineRule="auto"/>
              <w:ind w:firstLine="0" w:firstLineChars="0"/>
              <w:jc w:val="center"/>
              <w:textAlignment w:val="auto"/>
              <w:rPr>
                <w:b/>
                <w:kern w:val="2"/>
                <w:sz w:val="21"/>
              </w:rPr>
            </w:pPr>
            <w:r>
              <w:rPr>
                <w:b/>
                <w:kern w:val="2"/>
                <w:sz w:val="21"/>
              </w:rPr>
              <w:t>总大肠菌群(MPN/100ml)</w:t>
            </w:r>
          </w:p>
        </w:tc>
        <w:tc>
          <w:tcPr>
            <w:tcW w:w="824" w:type="pct"/>
            <w:vAlign w:val="center"/>
          </w:tcPr>
          <w:p w14:paraId="724B83CC">
            <w:pPr>
              <w:adjustRightInd/>
              <w:snapToGrid/>
              <w:spacing w:line="240" w:lineRule="auto"/>
              <w:ind w:firstLine="0" w:firstLineChars="0"/>
              <w:jc w:val="center"/>
              <w:textAlignment w:val="auto"/>
              <w:rPr>
                <w:b/>
                <w:kern w:val="2"/>
                <w:sz w:val="21"/>
              </w:rPr>
            </w:pPr>
            <w:r>
              <w:rPr>
                <w:rFonts w:hint="eastAsia"/>
                <w:b/>
                <w:kern w:val="2"/>
                <w:sz w:val="21"/>
              </w:rPr>
              <w:t>硫酸盐</w:t>
            </w:r>
          </w:p>
        </w:tc>
        <w:tc>
          <w:tcPr>
            <w:tcW w:w="553" w:type="pct"/>
            <w:vAlign w:val="center"/>
          </w:tcPr>
          <w:p w14:paraId="560C2F88">
            <w:pPr>
              <w:adjustRightInd/>
              <w:snapToGrid/>
              <w:spacing w:line="240" w:lineRule="auto"/>
              <w:ind w:firstLine="0" w:firstLineChars="0"/>
              <w:jc w:val="center"/>
              <w:textAlignment w:val="auto"/>
              <w:rPr>
                <w:b/>
                <w:kern w:val="2"/>
                <w:sz w:val="21"/>
              </w:rPr>
            </w:pPr>
            <w:r>
              <w:rPr>
                <w:rFonts w:hint="eastAsia"/>
                <w:b/>
                <w:kern w:val="2"/>
                <w:sz w:val="21"/>
              </w:rPr>
              <w:t>氯化物</w:t>
            </w:r>
          </w:p>
        </w:tc>
        <w:tc>
          <w:tcPr>
            <w:tcW w:w="551" w:type="pct"/>
            <w:vAlign w:val="center"/>
          </w:tcPr>
          <w:p w14:paraId="2C884927">
            <w:pPr>
              <w:adjustRightInd/>
              <w:snapToGrid/>
              <w:spacing w:line="240" w:lineRule="auto"/>
              <w:ind w:firstLine="0" w:firstLineChars="0"/>
              <w:jc w:val="center"/>
              <w:textAlignment w:val="auto"/>
              <w:rPr>
                <w:b/>
                <w:kern w:val="2"/>
                <w:sz w:val="21"/>
                <w:lang w:bidi="ar"/>
              </w:rPr>
            </w:pPr>
            <w:r>
              <w:rPr>
                <w:rFonts w:hint="eastAsia"/>
                <w:b/>
                <w:kern w:val="2"/>
                <w:sz w:val="21"/>
                <w:lang w:bidi="ar"/>
              </w:rPr>
              <w:t>石油类</w:t>
            </w:r>
          </w:p>
        </w:tc>
        <w:tc>
          <w:tcPr>
            <w:tcW w:w="441" w:type="pct"/>
            <w:vAlign w:val="center"/>
          </w:tcPr>
          <w:p w14:paraId="036B215B">
            <w:pPr>
              <w:adjustRightInd/>
              <w:snapToGrid/>
              <w:spacing w:line="240" w:lineRule="auto"/>
              <w:ind w:firstLine="0" w:firstLineChars="0"/>
              <w:jc w:val="center"/>
              <w:textAlignment w:val="auto"/>
              <w:rPr>
                <w:b/>
                <w:kern w:val="2"/>
                <w:sz w:val="21"/>
              </w:rPr>
            </w:pPr>
            <w:r>
              <w:rPr>
                <w:rFonts w:hint="eastAsia"/>
                <w:b/>
                <w:kern w:val="2"/>
                <w:sz w:val="21"/>
              </w:rPr>
              <w:t>色度</w:t>
            </w:r>
          </w:p>
        </w:tc>
      </w:tr>
      <w:tr w14:paraId="05BB8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restart"/>
            <w:vAlign w:val="center"/>
          </w:tcPr>
          <w:p w14:paraId="4E0317CB">
            <w:pPr>
              <w:adjustRightInd/>
              <w:snapToGrid/>
              <w:spacing w:line="240" w:lineRule="auto"/>
              <w:ind w:firstLine="0" w:firstLineChars="0"/>
              <w:contextualSpacing/>
              <w:jc w:val="center"/>
              <w:rPr>
                <w:sz w:val="21"/>
                <w:szCs w:val="21"/>
                <w:highlight w:val="yellow"/>
              </w:rPr>
            </w:pPr>
            <w:r>
              <w:rPr>
                <w:sz w:val="21"/>
                <w:szCs w:val="21"/>
              </w:rPr>
              <w:t>1#厂区</w:t>
            </w:r>
          </w:p>
        </w:tc>
        <w:tc>
          <w:tcPr>
            <w:tcW w:w="609" w:type="pct"/>
            <w:vAlign w:val="center"/>
          </w:tcPr>
          <w:p w14:paraId="67B4A11C">
            <w:pPr>
              <w:adjustRightInd/>
              <w:snapToGrid/>
              <w:spacing w:line="240" w:lineRule="auto"/>
              <w:ind w:firstLine="0" w:firstLineChars="0"/>
              <w:contextualSpacing/>
              <w:jc w:val="center"/>
              <w:rPr>
                <w:sz w:val="21"/>
                <w:szCs w:val="21"/>
                <w:highlight w:val="yellow"/>
                <w:lang w:bidi="ar"/>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93" w:type="pct"/>
            <w:vAlign w:val="center"/>
          </w:tcPr>
          <w:p w14:paraId="79E26EBF">
            <w:pPr>
              <w:adjustRightInd/>
              <w:snapToGrid/>
              <w:spacing w:line="240" w:lineRule="auto"/>
              <w:ind w:firstLine="0" w:firstLineChars="0"/>
              <w:contextualSpacing/>
              <w:jc w:val="center"/>
              <w:rPr>
                <w:sz w:val="21"/>
                <w:szCs w:val="21"/>
              </w:rPr>
            </w:pPr>
            <w:r>
              <w:rPr>
                <w:rFonts w:hint="eastAsia"/>
                <w:sz w:val="21"/>
                <w:szCs w:val="21"/>
              </w:rPr>
              <w:t>25</w:t>
            </w:r>
          </w:p>
        </w:tc>
        <w:tc>
          <w:tcPr>
            <w:tcW w:w="824" w:type="pct"/>
            <w:vAlign w:val="center"/>
          </w:tcPr>
          <w:p w14:paraId="178E4967">
            <w:pPr>
              <w:adjustRightInd/>
              <w:snapToGrid/>
              <w:spacing w:line="240" w:lineRule="auto"/>
              <w:ind w:firstLine="0" w:firstLineChars="0"/>
              <w:contextualSpacing/>
              <w:jc w:val="center"/>
              <w:rPr>
                <w:sz w:val="21"/>
                <w:szCs w:val="21"/>
                <w:lang w:bidi="ar"/>
              </w:rPr>
            </w:pPr>
            <w:r>
              <w:rPr>
                <w:sz w:val="21"/>
                <w:szCs w:val="21"/>
              </w:rPr>
              <w:t>未检出</w:t>
            </w:r>
          </w:p>
        </w:tc>
        <w:tc>
          <w:tcPr>
            <w:tcW w:w="824" w:type="pct"/>
            <w:vAlign w:val="center"/>
          </w:tcPr>
          <w:p w14:paraId="138DA6BF">
            <w:pPr>
              <w:adjustRightInd/>
              <w:snapToGrid/>
              <w:spacing w:line="240" w:lineRule="auto"/>
              <w:ind w:firstLine="0" w:firstLineChars="0"/>
              <w:contextualSpacing/>
              <w:jc w:val="center"/>
              <w:rPr>
                <w:sz w:val="21"/>
                <w:szCs w:val="21"/>
                <w:lang w:bidi="ar"/>
              </w:rPr>
            </w:pPr>
            <w:r>
              <w:rPr>
                <w:rFonts w:hint="eastAsia"/>
                <w:sz w:val="21"/>
                <w:szCs w:val="21"/>
                <w:lang w:bidi="ar"/>
              </w:rPr>
              <w:t>63.2</w:t>
            </w:r>
          </w:p>
        </w:tc>
        <w:tc>
          <w:tcPr>
            <w:tcW w:w="553" w:type="pct"/>
            <w:vAlign w:val="center"/>
          </w:tcPr>
          <w:p w14:paraId="3C429C5E">
            <w:pPr>
              <w:adjustRightInd/>
              <w:snapToGrid/>
              <w:spacing w:line="240" w:lineRule="auto"/>
              <w:ind w:firstLine="0" w:firstLineChars="0"/>
              <w:contextualSpacing/>
              <w:jc w:val="center"/>
              <w:rPr>
                <w:sz w:val="21"/>
                <w:szCs w:val="21"/>
                <w:lang w:bidi="ar"/>
              </w:rPr>
            </w:pPr>
            <w:r>
              <w:rPr>
                <w:rFonts w:hint="eastAsia"/>
                <w:sz w:val="21"/>
                <w:szCs w:val="21"/>
                <w:lang w:bidi="ar"/>
              </w:rPr>
              <w:t>41</w:t>
            </w:r>
          </w:p>
        </w:tc>
        <w:tc>
          <w:tcPr>
            <w:tcW w:w="551" w:type="pct"/>
            <w:vAlign w:val="center"/>
          </w:tcPr>
          <w:p w14:paraId="627597B7">
            <w:pPr>
              <w:adjustRightInd/>
              <w:snapToGrid/>
              <w:spacing w:line="240" w:lineRule="auto"/>
              <w:ind w:firstLine="0" w:firstLineChars="0"/>
              <w:contextualSpacing/>
              <w:jc w:val="center"/>
              <w:rPr>
                <w:sz w:val="21"/>
                <w:szCs w:val="21"/>
              </w:rPr>
            </w:pPr>
            <w:r>
              <w:rPr>
                <w:rFonts w:hint="eastAsia"/>
                <w:sz w:val="21"/>
                <w:szCs w:val="21"/>
              </w:rPr>
              <w:t>0.26</w:t>
            </w:r>
          </w:p>
        </w:tc>
        <w:tc>
          <w:tcPr>
            <w:tcW w:w="441" w:type="pct"/>
            <w:vAlign w:val="center"/>
          </w:tcPr>
          <w:p w14:paraId="544A31F4">
            <w:pPr>
              <w:adjustRightInd/>
              <w:snapToGrid/>
              <w:spacing w:line="240" w:lineRule="auto"/>
              <w:ind w:firstLine="0" w:firstLineChars="0"/>
              <w:contextualSpacing/>
              <w:jc w:val="center"/>
              <w:rPr>
                <w:sz w:val="21"/>
                <w:szCs w:val="21"/>
                <w:lang w:bidi="ar"/>
              </w:rPr>
            </w:pPr>
            <w:r>
              <w:rPr>
                <w:rFonts w:hint="eastAsia"/>
                <w:sz w:val="21"/>
                <w:szCs w:val="21"/>
                <w:lang w:bidi="ar"/>
              </w:rPr>
              <w:t>5</w:t>
            </w:r>
          </w:p>
        </w:tc>
      </w:tr>
      <w:tr w14:paraId="3E4FA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continue"/>
            <w:vAlign w:val="center"/>
          </w:tcPr>
          <w:p w14:paraId="4D225554">
            <w:pPr>
              <w:adjustRightInd/>
              <w:snapToGrid/>
              <w:spacing w:line="240" w:lineRule="auto"/>
              <w:ind w:firstLine="0" w:firstLineChars="0"/>
              <w:contextualSpacing/>
              <w:jc w:val="center"/>
              <w:rPr>
                <w:sz w:val="21"/>
                <w:szCs w:val="21"/>
                <w:highlight w:val="yellow"/>
              </w:rPr>
            </w:pPr>
          </w:p>
        </w:tc>
        <w:tc>
          <w:tcPr>
            <w:tcW w:w="609" w:type="pct"/>
            <w:vAlign w:val="center"/>
          </w:tcPr>
          <w:p w14:paraId="39305DF1">
            <w:pPr>
              <w:adjustRightInd/>
              <w:snapToGrid/>
              <w:spacing w:line="240" w:lineRule="auto"/>
              <w:ind w:firstLine="0" w:firstLineChars="0"/>
              <w:contextualSpacing/>
              <w:jc w:val="center"/>
              <w:rPr>
                <w:sz w:val="21"/>
                <w:szCs w:val="21"/>
                <w:highlight w:val="yellow"/>
                <w:lang w:bidi="ar"/>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93" w:type="pct"/>
            <w:vAlign w:val="center"/>
          </w:tcPr>
          <w:p w14:paraId="1B1F0161">
            <w:pPr>
              <w:adjustRightInd/>
              <w:snapToGrid/>
              <w:spacing w:line="240" w:lineRule="auto"/>
              <w:ind w:firstLine="0" w:firstLineChars="0"/>
              <w:contextualSpacing/>
              <w:jc w:val="center"/>
              <w:rPr>
                <w:sz w:val="21"/>
                <w:szCs w:val="21"/>
              </w:rPr>
            </w:pPr>
            <w:r>
              <w:rPr>
                <w:rFonts w:hint="eastAsia"/>
                <w:sz w:val="21"/>
                <w:szCs w:val="21"/>
              </w:rPr>
              <w:t>28</w:t>
            </w:r>
          </w:p>
        </w:tc>
        <w:tc>
          <w:tcPr>
            <w:tcW w:w="824" w:type="pct"/>
            <w:vAlign w:val="center"/>
          </w:tcPr>
          <w:p w14:paraId="7565829C">
            <w:pPr>
              <w:adjustRightInd/>
              <w:snapToGrid/>
              <w:spacing w:line="240" w:lineRule="auto"/>
              <w:ind w:firstLine="0" w:firstLineChars="0"/>
              <w:contextualSpacing/>
              <w:jc w:val="center"/>
              <w:rPr>
                <w:sz w:val="21"/>
                <w:szCs w:val="21"/>
                <w:lang w:bidi="ar"/>
              </w:rPr>
            </w:pPr>
            <w:r>
              <w:rPr>
                <w:sz w:val="21"/>
                <w:szCs w:val="21"/>
              </w:rPr>
              <w:t>未检出</w:t>
            </w:r>
          </w:p>
        </w:tc>
        <w:tc>
          <w:tcPr>
            <w:tcW w:w="824" w:type="pct"/>
            <w:vAlign w:val="center"/>
          </w:tcPr>
          <w:p w14:paraId="7BEFACFB">
            <w:pPr>
              <w:adjustRightInd/>
              <w:snapToGrid/>
              <w:spacing w:line="240" w:lineRule="auto"/>
              <w:ind w:firstLine="0" w:firstLineChars="0"/>
              <w:contextualSpacing/>
              <w:jc w:val="center"/>
              <w:rPr>
                <w:sz w:val="21"/>
                <w:szCs w:val="21"/>
                <w:lang w:bidi="ar"/>
              </w:rPr>
            </w:pPr>
            <w:r>
              <w:rPr>
                <w:rFonts w:hint="eastAsia"/>
                <w:sz w:val="21"/>
                <w:szCs w:val="21"/>
                <w:lang w:bidi="ar"/>
              </w:rPr>
              <w:t>69.3</w:t>
            </w:r>
          </w:p>
        </w:tc>
        <w:tc>
          <w:tcPr>
            <w:tcW w:w="553" w:type="pct"/>
            <w:vAlign w:val="center"/>
          </w:tcPr>
          <w:p w14:paraId="34CC0289">
            <w:pPr>
              <w:adjustRightInd/>
              <w:snapToGrid/>
              <w:spacing w:line="240" w:lineRule="auto"/>
              <w:ind w:firstLine="0" w:firstLineChars="0"/>
              <w:contextualSpacing/>
              <w:jc w:val="center"/>
              <w:rPr>
                <w:sz w:val="21"/>
                <w:szCs w:val="21"/>
                <w:lang w:bidi="ar"/>
              </w:rPr>
            </w:pPr>
            <w:r>
              <w:rPr>
                <w:rFonts w:hint="eastAsia"/>
                <w:sz w:val="21"/>
                <w:szCs w:val="21"/>
                <w:lang w:bidi="ar"/>
              </w:rPr>
              <w:t>39</w:t>
            </w:r>
          </w:p>
        </w:tc>
        <w:tc>
          <w:tcPr>
            <w:tcW w:w="551" w:type="pct"/>
            <w:vAlign w:val="center"/>
          </w:tcPr>
          <w:p w14:paraId="118A043C">
            <w:pPr>
              <w:adjustRightInd/>
              <w:snapToGrid/>
              <w:spacing w:line="240" w:lineRule="auto"/>
              <w:ind w:firstLine="0" w:firstLineChars="0"/>
              <w:contextualSpacing/>
              <w:jc w:val="center"/>
              <w:rPr>
                <w:sz w:val="21"/>
                <w:szCs w:val="21"/>
              </w:rPr>
            </w:pPr>
            <w:r>
              <w:rPr>
                <w:rFonts w:hint="eastAsia"/>
                <w:sz w:val="21"/>
                <w:szCs w:val="21"/>
              </w:rPr>
              <w:t>0.26</w:t>
            </w:r>
          </w:p>
        </w:tc>
        <w:tc>
          <w:tcPr>
            <w:tcW w:w="441" w:type="pct"/>
            <w:vAlign w:val="center"/>
          </w:tcPr>
          <w:p w14:paraId="76D129B1">
            <w:pPr>
              <w:adjustRightInd/>
              <w:snapToGrid/>
              <w:spacing w:line="240" w:lineRule="auto"/>
              <w:ind w:firstLine="0" w:firstLineChars="0"/>
              <w:contextualSpacing/>
              <w:jc w:val="center"/>
              <w:rPr>
                <w:sz w:val="21"/>
                <w:szCs w:val="21"/>
                <w:lang w:bidi="ar"/>
              </w:rPr>
            </w:pPr>
            <w:r>
              <w:rPr>
                <w:rFonts w:hint="eastAsia"/>
                <w:sz w:val="21"/>
                <w:szCs w:val="21"/>
                <w:lang w:bidi="ar"/>
              </w:rPr>
              <w:t>5</w:t>
            </w:r>
          </w:p>
        </w:tc>
      </w:tr>
      <w:tr w14:paraId="399DA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restart"/>
            <w:vAlign w:val="center"/>
          </w:tcPr>
          <w:p w14:paraId="7545BAEC">
            <w:pPr>
              <w:adjustRightInd/>
              <w:snapToGrid/>
              <w:spacing w:line="240" w:lineRule="auto"/>
              <w:ind w:firstLine="0" w:firstLineChars="0"/>
              <w:contextualSpacing/>
              <w:jc w:val="center"/>
              <w:rPr>
                <w:sz w:val="21"/>
                <w:szCs w:val="21"/>
                <w:highlight w:val="yellow"/>
              </w:rPr>
            </w:pPr>
            <w:r>
              <w:rPr>
                <w:sz w:val="21"/>
                <w:szCs w:val="21"/>
              </w:rPr>
              <w:t>2#</w:t>
            </w:r>
            <w:r>
              <w:rPr>
                <w:rFonts w:hint="eastAsia"/>
                <w:sz w:val="21"/>
                <w:szCs w:val="21"/>
              </w:rPr>
              <w:t>郭全屯村</w:t>
            </w:r>
          </w:p>
        </w:tc>
        <w:tc>
          <w:tcPr>
            <w:tcW w:w="609" w:type="pct"/>
            <w:vAlign w:val="center"/>
          </w:tcPr>
          <w:p w14:paraId="0F20E945">
            <w:pPr>
              <w:adjustRightInd/>
              <w:snapToGrid/>
              <w:spacing w:line="240" w:lineRule="auto"/>
              <w:ind w:firstLine="0" w:firstLineChars="0"/>
              <w:contextualSpacing/>
              <w:jc w:val="center"/>
              <w:rPr>
                <w:sz w:val="21"/>
                <w:szCs w:val="21"/>
                <w:highlight w:val="yellow"/>
                <w:lang w:bidi="ar"/>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93" w:type="pct"/>
            <w:vAlign w:val="center"/>
          </w:tcPr>
          <w:p w14:paraId="7AEC5B2D">
            <w:pPr>
              <w:adjustRightInd/>
              <w:snapToGrid/>
              <w:spacing w:line="240" w:lineRule="auto"/>
              <w:ind w:firstLine="0" w:firstLineChars="0"/>
              <w:contextualSpacing/>
              <w:jc w:val="center"/>
              <w:rPr>
                <w:sz w:val="21"/>
                <w:szCs w:val="21"/>
              </w:rPr>
            </w:pPr>
            <w:r>
              <w:rPr>
                <w:rFonts w:hint="eastAsia"/>
                <w:sz w:val="21"/>
                <w:szCs w:val="21"/>
              </w:rPr>
              <w:t>24</w:t>
            </w:r>
          </w:p>
        </w:tc>
        <w:tc>
          <w:tcPr>
            <w:tcW w:w="824" w:type="pct"/>
            <w:vAlign w:val="center"/>
          </w:tcPr>
          <w:p w14:paraId="2A152A21">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697541F0">
            <w:pPr>
              <w:adjustRightInd/>
              <w:snapToGrid/>
              <w:spacing w:line="240" w:lineRule="auto"/>
              <w:ind w:firstLine="0" w:firstLineChars="0"/>
              <w:contextualSpacing/>
              <w:jc w:val="center"/>
              <w:rPr>
                <w:sz w:val="21"/>
                <w:szCs w:val="21"/>
              </w:rPr>
            </w:pPr>
            <w:r>
              <w:rPr>
                <w:rFonts w:hint="eastAsia"/>
                <w:sz w:val="21"/>
                <w:szCs w:val="21"/>
              </w:rPr>
              <w:t>67.8</w:t>
            </w:r>
          </w:p>
        </w:tc>
        <w:tc>
          <w:tcPr>
            <w:tcW w:w="553" w:type="pct"/>
            <w:vAlign w:val="center"/>
          </w:tcPr>
          <w:p w14:paraId="526F960A">
            <w:pPr>
              <w:adjustRightInd/>
              <w:snapToGrid/>
              <w:spacing w:line="240" w:lineRule="auto"/>
              <w:ind w:firstLine="0" w:firstLineChars="0"/>
              <w:contextualSpacing/>
              <w:jc w:val="center"/>
              <w:rPr>
                <w:sz w:val="21"/>
                <w:szCs w:val="21"/>
              </w:rPr>
            </w:pPr>
            <w:r>
              <w:rPr>
                <w:rFonts w:hint="eastAsia"/>
                <w:sz w:val="21"/>
                <w:szCs w:val="21"/>
              </w:rPr>
              <w:t>34</w:t>
            </w:r>
          </w:p>
        </w:tc>
        <w:tc>
          <w:tcPr>
            <w:tcW w:w="551" w:type="pct"/>
            <w:vAlign w:val="center"/>
          </w:tcPr>
          <w:p w14:paraId="1DDBCF28">
            <w:pPr>
              <w:adjustRightInd/>
              <w:snapToGrid/>
              <w:spacing w:line="240" w:lineRule="auto"/>
              <w:ind w:firstLine="0" w:firstLineChars="0"/>
              <w:contextualSpacing/>
              <w:jc w:val="center"/>
              <w:rPr>
                <w:sz w:val="21"/>
                <w:szCs w:val="21"/>
              </w:rPr>
            </w:pPr>
            <w:r>
              <w:rPr>
                <w:rFonts w:hint="eastAsia"/>
                <w:sz w:val="21"/>
                <w:szCs w:val="21"/>
              </w:rPr>
              <w:t>0.22</w:t>
            </w:r>
          </w:p>
        </w:tc>
        <w:tc>
          <w:tcPr>
            <w:tcW w:w="441" w:type="pct"/>
            <w:vAlign w:val="center"/>
          </w:tcPr>
          <w:p w14:paraId="14A6FCFD">
            <w:pPr>
              <w:adjustRightInd/>
              <w:snapToGrid/>
              <w:spacing w:line="240" w:lineRule="auto"/>
              <w:ind w:firstLine="0" w:firstLineChars="0"/>
              <w:contextualSpacing/>
              <w:jc w:val="center"/>
              <w:rPr>
                <w:sz w:val="21"/>
                <w:szCs w:val="21"/>
              </w:rPr>
            </w:pPr>
            <w:r>
              <w:rPr>
                <w:rFonts w:hint="eastAsia"/>
                <w:sz w:val="21"/>
                <w:szCs w:val="21"/>
              </w:rPr>
              <w:t>5</w:t>
            </w:r>
          </w:p>
        </w:tc>
      </w:tr>
      <w:tr w14:paraId="15E7E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continue"/>
            <w:vAlign w:val="center"/>
          </w:tcPr>
          <w:p w14:paraId="4803F701">
            <w:pPr>
              <w:adjustRightInd/>
              <w:snapToGrid/>
              <w:spacing w:line="240" w:lineRule="auto"/>
              <w:ind w:firstLine="0" w:firstLineChars="0"/>
              <w:contextualSpacing/>
              <w:jc w:val="center"/>
              <w:rPr>
                <w:sz w:val="21"/>
                <w:szCs w:val="21"/>
                <w:highlight w:val="yellow"/>
              </w:rPr>
            </w:pPr>
          </w:p>
        </w:tc>
        <w:tc>
          <w:tcPr>
            <w:tcW w:w="609" w:type="pct"/>
            <w:vAlign w:val="center"/>
          </w:tcPr>
          <w:p w14:paraId="5B27C3AB">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93" w:type="pct"/>
            <w:vAlign w:val="center"/>
          </w:tcPr>
          <w:p w14:paraId="0822CB07">
            <w:pPr>
              <w:adjustRightInd/>
              <w:snapToGrid/>
              <w:spacing w:line="240" w:lineRule="auto"/>
              <w:ind w:firstLine="0" w:firstLineChars="0"/>
              <w:contextualSpacing/>
              <w:jc w:val="center"/>
              <w:rPr>
                <w:sz w:val="21"/>
                <w:szCs w:val="21"/>
              </w:rPr>
            </w:pPr>
            <w:r>
              <w:rPr>
                <w:rFonts w:hint="eastAsia"/>
                <w:sz w:val="21"/>
                <w:szCs w:val="21"/>
              </w:rPr>
              <w:t>37</w:t>
            </w:r>
          </w:p>
        </w:tc>
        <w:tc>
          <w:tcPr>
            <w:tcW w:w="824" w:type="pct"/>
            <w:vAlign w:val="center"/>
          </w:tcPr>
          <w:p w14:paraId="225FA65D">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559520D9">
            <w:pPr>
              <w:adjustRightInd/>
              <w:snapToGrid/>
              <w:spacing w:line="240" w:lineRule="auto"/>
              <w:ind w:firstLine="0" w:firstLineChars="0"/>
              <w:contextualSpacing/>
              <w:jc w:val="center"/>
              <w:rPr>
                <w:sz w:val="21"/>
                <w:szCs w:val="21"/>
              </w:rPr>
            </w:pPr>
            <w:r>
              <w:rPr>
                <w:rFonts w:hint="eastAsia"/>
                <w:sz w:val="21"/>
                <w:szCs w:val="21"/>
              </w:rPr>
              <w:t>72.6</w:t>
            </w:r>
          </w:p>
        </w:tc>
        <w:tc>
          <w:tcPr>
            <w:tcW w:w="553" w:type="pct"/>
            <w:vAlign w:val="center"/>
          </w:tcPr>
          <w:p w14:paraId="5519FC92">
            <w:pPr>
              <w:adjustRightInd/>
              <w:snapToGrid/>
              <w:spacing w:line="240" w:lineRule="auto"/>
              <w:ind w:firstLine="0" w:firstLineChars="0"/>
              <w:contextualSpacing/>
              <w:jc w:val="center"/>
              <w:rPr>
                <w:sz w:val="21"/>
                <w:szCs w:val="21"/>
              </w:rPr>
            </w:pPr>
            <w:r>
              <w:rPr>
                <w:rFonts w:hint="eastAsia"/>
                <w:sz w:val="21"/>
                <w:szCs w:val="21"/>
              </w:rPr>
              <w:t>42</w:t>
            </w:r>
          </w:p>
        </w:tc>
        <w:tc>
          <w:tcPr>
            <w:tcW w:w="551" w:type="pct"/>
            <w:vAlign w:val="center"/>
          </w:tcPr>
          <w:p w14:paraId="60FB61C7">
            <w:pPr>
              <w:adjustRightInd/>
              <w:snapToGrid/>
              <w:spacing w:line="240" w:lineRule="auto"/>
              <w:ind w:firstLine="0" w:firstLineChars="0"/>
              <w:contextualSpacing/>
              <w:jc w:val="center"/>
              <w:rPr>
                <w:sz w:val="21"/>
                <w:szCs w:val="21"/>
              </w:rPr>
            </w:pPr>
            <w:r>
              <w:rPr>
                <w:rFonts w:hint="eastAsia"/>
                <w:sz w:val="21"/>
                <w:szCs w:val="21"/>
              </w:rPr>
              <w:t>0.23</w:t>
            </w:r>
          </w:p>
        </w:tc>
        <w:tc>
          <w:tcPr>
            <w:tcW w:w="441" w:type="pct"/>
            <w:vAlign w:val="center"/>
          </w:tcPr>
          <w:p w14:paraId="26E2E8FC">
            <w:pPr>
              <w:adjustRightInd/>
              <w:snapToGrid/>
              <w:spacing w:line="240" w:lineRule="auto"/>
              <w:ind w:firstLine="0" w:firstLineChars="0"/>
              <w:contextualSpacing/>
              <w:jc w:val="center"/>
              <w:rPr>
                <w:sz w:val="21"/>
                <w:szCs w:val="21"/>
              </w:rPr>
            </w:pPr>
            <w:r>
              <w:rPr>
                <w:rFonts w:hint="eastAsia"/>
                <w:sz w:val="21"/>
                <w:szCs w:val="21"/>
              </w:rPr>
              <w:t>5</w:t>
            </w:r>
          </w:p>
        </w:tc>
      </w:tr>
      <w:tr w14:paraId="37F3D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restart"/>
            <w:vAlign w:val="center"/>
          </w:tcPr>
          <w:p w14:paraId="1648A352">
            <w:pPr>
              <w:adjustRightInd/>
              <w:snapToGrid/>
              <w:spacing w:line="240" w:lineRule="auto"/>
              <w:ind w:firstLine="0" w:firstLineChars="0"/>
              <w:contextualSpacing/>
              <w:jc w:val="center"/>
              <w:rPr>
                <w:sz w:val="21"/>
                <w:szCs w:val="21"/>
                <w:highlight w:val="yellow"/>
              </w:rPr>
            </w:pPr>
            <w:r>
              <w:rPr>
                <w:sz w:val="21"/>
                <w:szCs w:val="21"/>
              </w:rPr>
              <w:t>3#</w:t>
            </w:r>
            <w:r>
              <w:rPr>
                <w:rFonts w:hint="eastAsia"/>
                <w:sz w:val="21"/>
                <w:szCs w:val="21"/>
              </w:rPr>
              <w:t>仁里屯村</w:t>
            </w:r>
          </w:p>
        </w:tc>
        <w:tc>
          <w:tcPr>
            <w:tcW w:w="609" w:type="pct"/>
            <w:vAlign w:val="center"/>
          </w:tcPr>
          <w:p w14:paraId="7BAE457F">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93" w:type="pct"/>
            <w:vAlign w:val="center"/>
          </w:tcPr>
          <w:p w14:paraId="588662B7">
            <w:pPr>
              <w:adjustRightInd/>
              <w:snapToGrid/>
              <w:spacing w:line="240" w:lineRule="auto"/>
              <w:ind w:firstLine="0" w:firstLineChars="0"/>
              <w:contextualSpacing/>
              <w:jc w:val="center"/>
              <w:rPr>
                <w:sz w:val="21"/>
                <w:szCs w:val="21"/>
              </w:rPr>
            </w:pPr>
            <w:r>
              <w:rPr>
                <w:rFonts w:hint="eastAsia"/>
                <w:sz w:val="21"/>
                <w:szCs w:val="21"/>
              </w:rPr>
              <w:t>22</w:t>
            </w:r>
          </w:p>
        </w:tc>
        <w:tc>
          <w:tcPr>
            <w:tcW w:w="824" w:type="pct"/>
            <w:vAlign w:val="center"/>
          </w:tcPr>
          <w:p w14:paraId="133F8EDF">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2F95D53C">
            <w:pPr>
              <w:adjustRightInd/>
              <w:snapToGrid/>
              <w:spacing w:line="240" w:lineRule="auto"/>
              <w:ind w:firstLine="0" w:firstLineChars="0"/>
              <w:contextualSpacing/>
              <w:jc w:val="center"/>
              <w:rPr>
                <w:sz w:val="21"/>
                <w:szCs w:val="21"/>
              </w:rPr>
            </w:pPr>
            <w:r>
              <w:rPr>
                <w:rFonts w:hint="eastAsia"/>
                <w:sz w:val="21"/>
                <w:szCs w:val="21"/>
              </w:rPr>
              <w:t>64.9</w:t>
            </w:r>
          </w:p>
        </w:tc>
        <w:tc>
          <w:tcPr>
            <w:tcW w:w="553" w:type="pct"/>
            <w:vAlign w:val="center"/>
          </w:tcPr>
          <w:p w14:paraId="2222242F">
            <w:pPr>
              <w:adjustRightInd/>
              <w:snapToGrid/>
              <w:spacing w:line="240" w:lineRule="auto"/>
              <w:ind w:firstLine="0" w:firstLineChars="0"/>
              <w:contextualSpacing/>
              <w:jc w:val="center"/>
              <w:rPr>
                <w:sz w:val="21"/>
                <w:szCs w:val="21"/>
              </w:rPr>
            </w:pPr>
            <w:r>
              <w:rPr>
                <w:rFonts w:hint="eastAsia"/>
                <w:sz w:val="21"/>
                <w:szCs w:val="21"/>
              </w:rPr>
              <w:t>38</w:t>
            </w:r>
          </w:p>
        </w:tc>
        <w:tc>
          <w:tcPr>
            <w:tcW w:w="551" w:type="pct"/>
            <w:vAlign w:val="center"/>
          </w:tcPr>
          <w:p w14:paraId="12D2DA32">
            <w:pPr>
              <w:adjustRightInd/>
              <w:snapToGrid/>
              <w:spacing w:line="240" w:lineRule="auto"/>
              <w:ind w:firstLine="0" w:firstLineChars="0"/>
              <w:contextualSpacing/>
              <w:jc w:val="center"/>
              <w:rPr>
                <w:sz w:val="21"/>
                <w:szCs w:val="21"/>
              </w:rPr>
            </w:pPr>
            <w:r>
              <w:rPr>
                <w:rFonts w:hint="eastAsia"/>
                <w:sz w:val="21"/>
                <w:szCs w:val="21"/>
              </w:rPr>
              <w:t>0.23</w:t>
            </w:r>
          </w:p>
        </w:tc>
        <w:tc>
          <w:tcPr>
            <w:tcW w:w="441" w:type="pct"/>
            <w:vAlign w:val="center"/>
          </w:tcPr>
          <w:p w14:paraId="3E096FB4">
            <w:pPr>
              <w:adjustRightInd/>
              <w:snapToGrid/>
              <w:spacing w:line="240" w:lineRule="auto"/>
              <w:ind w:firstLine="0" w:firstLineChars="0"/>
              <w:contextualSpacing/>
              <w:jc w:val="center"/>
              <w:rPr>
                <w:sz w:val="21"/>
                <w:szCs w:val="21"/>
              </w:rPr>
            </w:pPr>
            <w:r>
              <w:rPr>
                <w:rFonts w:hint="eastAsia"/>
                <w:sz w:val="21"/>
                <w:szCs w:val="21"/>
              </w:rPr>
              <w:t>5</w:t>
            </w:r>
          </w:p>
        </w:tc>
      </w:tr>
      <w:tr w14:paraId="5E91E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continue"/>
            <w:vAlign w:val="center"/>
          </w:tcPr>
          <w:p w14:paraId="4730ABE6">
            <w:pPr>
              <w:adjustRightInd/>
              <w:snapToGrid/>
              <w:spacing w:line="240" w:lineRule="auto"/>
              <w:ind w:firstLine="0" w:firstLineChars="0"/>
              <w:contextualSpacing/>
              <w:jc w:val="center"/>
              <w:rPr>
                <w:sz w:val="21"/>
                <w:szCs w:val="21"/>
                <w:highlight w:val="yellow"/>
              </w:rPr>
            </w:pPr>
          </w:p>
        </w:tc>
        <w:tc>
          <w:tcPr>
            <w:tcW w:w="609" w:type="pct"/>
            <w:vAlign w:val="center"/>
          </w:tcPr>
          <w:p w14:paraId="313F703F">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93" w:type="pct"/>
            <w:vAlign w:val="center"/>
          </w:tcPr>
          <w:p w14:paraId="2EC5135C">
            <w:pPr>
              <w:adjustRightInd/>
              <w:snapToGrid/>
              <w:spacing w:line="240" w:lineRule="auto"/>
              <w:ind w:firstLine="0" w:firstLineChars="0"/>
              <w:contextualSpacing/>
              <w:jc w:val="center"/>
              <w:rPr>
                <w:sz w:val="21"/>
                <w:szCs w:val="21"/>
              </w:rPr>
            </w:pPr>
            <w:r>
              <w:rPr>
                <w:rFonts w:hint="eastAsia"/>
                <w:sz w:val="21"/>
                <w:szCs w:val="21"/>
              </w:rPr>
              <w:t>29</w:t>
            </w:r>
          </w:p>
        </w:tc>
        <w:tc>
          <w:tcPr>
            <w:tcW w:w="824" w:type="pct"/>
            <w:vAlign w:val="center"/>
          </w:tcPr>
          <w:p w14:paraId="0AE0ABB0">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0536056C">
            <w:pPr>
              <w:adjustRightInd/>
              <w:snapToGrid/>
              <w:spacing w:line="240" w:lineRule="auto"/>
              <w:ind w:firstLine="0" w:firstLineChars="0"/>
              <w:contextualSpacing/>
              <w:jc w:val="center"/>
              <w:rPr>
                <w:sz w:val="21"/>
                <w:szCs w:val="21"/>
              </w:rPr>
            </w:pPr>
            <w:r>
              <w:rPr>
                <w:rFonts w:hint="eastAsia"/>
                <w:sz w:val="21"/>
                <w:szCs w:val="21"/>
              </w:rPr>
              <w:t>74.3</w:t>
            </w:r>
          </w:p>
        </w:tc>
        <w:tc>
          <w:tcPr>
            <w:tcW w:w="553" w:type="pct"/>
            <w:vAlign w:val="center"/>
          </w:tcPr>
          <w:p w14:paraId="047AA8B3">
            <w:pPr>
              <w:adjustRightInd/>
              <w:snapToGrid/>
              <w:spacing w:line="240" w:lineRule="auto"/>
              <w:ind w:firstLine="0" w:firstLineChars="0"/>
              <w:contextualSpacing/>
              <w:jc w:val="center"/>
              <w:rPr>
                <w:sz w:val="21"/>
                <w:szCs w:val="21"/>
              </w:rPr>
            </w:pPr>
            <w:r>
              <w:rPr>
                <w:rFonts w:hint="eastAsia"/>
                <w:sz w:val="21"/>
                <w:szCs w:val="21"/>
              </w:rPr>
              <w:t>37</w:t>
            </w:r>
          </w:p>
        </w:tc>
        <w:tc>
          <w:tcPr>
            <w:tcW w:w="551" w:type="pct"/>
            <w:vAlign w:val="center"/>
          </w:tcPr>
          <w:p w14:paraId="70A691CC">
            <w:pPr>
              <w:adjustRightInd/>
              <w:snapToGrid/>
              <w:spacing w:line="240" w:lineRule="auto"/>
              <w:ind w:firstLine="0" w:firstLineChars="0"/>
              <w:contextualSpacing/>
              <w:jc w:val="center"/>
              <w:rPr>
                <w:sz w:val="21"/>
                <w:szCs w:val="21"/>
              </w:rPr>
            </w:pPr>
            <w:r>
              <w:rPr>
                <w:rFonts w:hint="eastAsia"/>
                <w:sz w:val="21"/>
                <w:szCs w:val="21"/>
              </w:rPr>
              <w:t>0.34</w:t>
            </w:r>
          </w:p>
        </w:tc>
        <w:tc>
          <w:tcPr>
            <w:tcW w:w="441" w:type="pct"/>
            <w:vAlign w:val="center"/>
          </w:tcPr>
          <w:p w14:paraId="413436D8">
            <w:pPr>
              <w:adjustRightInd/>
              <w:snapToGrid/>
              <w:spacing w:line="240" w:lineRule="auto"/>
              <w:ind w:firstLine="0" w:firstLineChars="0"/>
              <w:contextualSpacing/>
              <w:jc w:val="center"/>
              <w:rPr>
                <w:sz w:val="21"/>
                <w:szCs w:val="21"/>
              </w:rPr>
            </w:pPr>
            <w:r>
              <w:rPr>
                <w:rFonts w:hint="eastAsia"/>
                <w:sz w:val="21"/>
                <w:szCs w:val="21"/>
              </w:rPr>
              <w:t>5</w:t>
            </w:r>
          </w:p>
        </w:tc>
      </w:tr>
      <w:tr w14:paraId="797E7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restart"/>
            <w:vAlign w:val="center"/>
          </w:tcPr>
          <w:p w14:paraId="23A87D44">
            <w:pPr>
              <w:adjustRightInd/>
              <w:snapToGrid/>
              <w:spacing w:line="240" w:lineRule="auto"/>
              <w:ind w:firstLine="0" w:firstLineChars="0"/>
              <w:contextualSpacing/>
              <w:jc w:val="center"/>
              <w:rPr>
                <w:sz w:val="21"/>
                <w:szCs w:val="21"/>
                <w:highlight w:val="yellow"/>
              </w:rPr>
            </w:pPr>
            <w:r>
              <w:rPr>
                <w:sz w:val="21"/>
                <w:szCs w:val="21"/>
              </w:rPr>
              <w:t>4#</w:t>
            </w:r>
            <w:r>
              <w:rPr>
                <w:rFonts w:hint="eastAsia"/>
                <w:sz w:val="21"/>
                <w:szCs w:val="21"/>
              </w:rPr>
              <w:t>八里屯村</w:t>
            </w:r>
          </w:p>
        </w:tc>
        <w:tc>
          <w:tcPr>
            <w:tcW w:w="609" w:type="pct"/>
            <w:vAlign w:val="center"/>
          </w:tcPr>
          <w:p w14:paraId="11DA543A">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93" w:type="pct"/>
            <w:vAlign w:val="center"/>
          </w:tcPr>
          <w:p w14:paraId="67ED39EE">
            <w:pPr>
              <w:adjustRightInd/>
              <w:snapToGrid/>
              <w:spacing w:line="240" w:lineRule="auto"/>
              <w:ind w:firstLine="0" w:firstLineChars="0"/>
              <w:contextualSpacing/>
              <w:jc w:val="center"/>
              <w:rPr>
                <w:sz w:val="21"/>
                <w:szCs w:val="21"/>
              </w:rPr>
            </w:pPr>
            <w:r>
              <w:rPr>
                <w:rFonts w:hint="eastAsia"/>
                <w:sz w:val="21"/>
                <w:szCs w:val="21"/>
              </w:rPr>
              <w:t>31</w:t>
            </w:r>
          </w:p>
        </w:tc>
        <w:tc>
          <w:tcPr>
            <w:tcW w:w="824" w:type="pct"/>
            <w:vAlign w:val="center"/>
          </w:tcPr>
          <w:p w14:paraId="3209A32C">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046CC7E3">
            <w:pPr>
              <w:adjustRightInd/>
              <w:snapToGrid/>
              <w:spacing w:line="240" w:lineRule="auto"/>
              <w:ind w:firstLine="0" w:firstLineChars="0"/>
              <w:contextualSpacing/>
              <w:jc w:val="center"/>
              <w:rPr>
                <w:sz w:val="21"/>
                <w:szCs w:val="21"/>
              </w:rPr>
            </w:pPr>
            <w:r>
              <w:rPr>
                <w:rFonts w:hint="eastAsia"/>
                <w:sz w:val="21"/>
                <w:szCs w:val="21"/>
              </w:rPr>
              <w:t>72.3</w:t>
            </w:r>
          </w:p>
        </w:tc>
        <w:tc>
          <w:tcPr>
            <w:tcW w:w="553" w:type="pct"/>
            <w:vAlign w:val="center"/>
          </w:tcPr>
          <w:p w14:paraId="5C3D0B8E">
            <w:pPr>
              <w:adjustRightInd/>
              <w:snapToGrid/>
              <w:spacing w:line="240" w:lineRule="auto"/>
              <w:ind w:firstLine="0" w:firstLineChars="0"/>
              <w:contextualSpacing/>
              <w:jc w:val="center"/>
              <w:rPr>
                <w:sz w:val="21"/>
                <w:szCs w:val="21"/>
              </w:rPr>
            </w:pPr>
            <w:r>
              <w:rPr>
                <w:rFonts w:hint="eastAsia"/>
                <w:sz w:val="21"/>
                <w:szCs w:val="21"/>
              </w:rPr>
              <w:t>42</w:t>
            </w:r>
          </w:p>
        </w:tc>
        <w:tc>
          <w:tcPr>
            <w:tcW w:w="551" w:type="pct"/>
            <w:vAlign w:val="center"/>
          </w:tcPr>
          <w:p w14:paraId="2CF13A5A">
            <w:pPr>
              <w:adjustRightInd/>
              <w:snapToGrid/>
              <w:spacing w:line="240" w:lineRule="auto"/>
              <w:ind w:firstLine="0" w:firstLineChars="0"/>
              <w:contextualSpacing/>
              <w:jc w:val="center"/>
              <w:rPr>
                <w:sz w:val="21"/>
                <w:szCs w:val="21"/>
              </w:rPr>
            </w:pPr>
            <w:r>
              <w:rPr>
                <w:rFonts w:hint="eastAsia"/>
                <w:sz w:val="21"/>
                <w:szCs w:val="21"/>
              </w:rPr>
              <w:t>0.24</w:t>
            </w:r>
          </w:p>
        </w:tc>
        <w:tc>
          <w:tcPr>
            <w:tcW w:w="441" w:type="pct"/>
            <w:vAlign w:val="center"/>
          </w:tcPr>
          <w:p w14:paraId="3D585A86">
            <w:pPr>
              <w:adjustRightInd/>
              <w:snapToGrid/>
              <w:spacing w:line="240" w:lineRule="auto"/>
              <w:ind w:firstLine="0" w:firstLineChars="0"/>
              <w:contextualSpacing/>
              <w:jc w:val="center"/>
              <w:rPr>
                <w:sz w:val="21"/>
                <w:szCs w:val="21"/>
              </w:rPr>
            </w:pPr>
            <w:r>
              <w:rPr>
                <w:rFonts w:hint="eastAsia"/>
                <w:sz w:val="21"/>
                <w:szCs w:val="21"/>
              </w:rPr>
              <w:t>5</w:t>
            </w:r>
          </w:p>
        </w:tc>
      </w:tr>
      <w:tr w14:paraId="324AF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continue"/>
            <w:vAlign w:val="center"/>
          </w:tcPr>
          <w:p w14:paraId="7560C759">
            <w:pPr>
              <w:adjustRightInd/>
              <w:snapToGrid/>
              <w:spacing w:line="240" w:lineRule="auto"/>
              <w:ind w:firstLine="0" w:firstLineChars="0"/>
              <w:contextualSpacing/>
              <w:jc w:val="center"/>
              <w:rPr>
                <w:sz w:val="21"/>
                <w:szCs w:val="21"/>
                <w:highlight w:val="yellow"/>
              </w:rPr>
            </w:pPr>
          </w:p>
        </w:tc>
        <w:tc>
          <w:tcPr>
            <w:tcW w:w="609" w:type="pct"/>
            <w:vAlign w:val="center"/>
          </w:tcPr>
          <w:p w14:paraId="1CCC891C">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93" w:type="pct"/>
            <w:vAlign w:val="center"/>
          </w:tcPr>
          <w:p w14:paraId="310EF6E6">
            <w:pPr>
              <w:adjustRightInd/>
              <w:snapToGrid/>
              <w:spacing w:line="240" w:lineRule="auto"/>
              <w:ind w:firstLine="0" w:firstLineChars="0"/>
              <w:contextualSpacing/>
              <w:jc w:val="center"/>
              <w:rPr>
                <w:sz w:val="21"/>
                <w:szCs w:val="21"/>
              </w:rPr>
            </w:pPr>
            <w:r>
              <w:rPr>
                <w:rFonts w:hint="eastAsia"/>
                <w:sz w:val="21"/>
                <w:szCs w:val="21"/>
              </w:rPr>
              <w:t>35</w:t>
            </w:r>
          </w:p>
        </w:tc>
        <w:tc>
          <w:tcPr>
            <w:tcW w:w="824" w:type="pct"/>
            <w:vAlign w:val="center"/>
          </w:tcPr>
          <w:p w14:paraId="65B06FF1">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587C5C74">
            <w:pPr>
              <w:adjustRightInd/>
              <w:snapToGrid/>
              <w:spacing w:line="240" w:lineRule="auto"/>
              <w:ind w:firstLine="0" w:firstLineChars="0"/>
              <w:contextualSpacing/>
              <w:jc w:val="center"/>
              <w:rPr>
                <w:sz w:val="21"/>
                <w:szCs w:val="21"/>
              </w:rPr>
            </w:pPr>
            <w:r>
              <w:rPr>
                <w:rFonts w:hint="eastAsia"/>
                <w:sz w:val="21"/>
                <w:szCs w:val="21"/>
              </w:rPr>
              <w:t>65.8</w:t>
            </w:r>
          </w:p>
        </w:tc>
        <w:tc>
          <w:tcPr>
            <w:tcW w:w="553" w:type="pct"/>
            <w:vAlign w:val="center"/>
          </w:tcPr>
          <w:p w14:paraId="35F3C0B5">
            <w:pPr>
              <w:adjustRightInd/>
              <w:snapToGrid/>
              <w:spacing w:line="240" w:lineRule="auto"/>
              <w:ind w:firstLine="0" w:firstLineChars="0"/>
              <w:contextualSpacing/>
              <w:jc w:val="center"/>
              <w:rPr>
                <w:sz w:val="21"/>
                <w:szCs w:val="21"/>
              </w:rPr>
            </w:pPr>
            <w:r>
              <w:rPr>
                <w:rFonts w:hint="eastAsia"/>
                <w:sz w:val="21"/>
                <w:szCs w:val="21"/>
              </w:rPr>
              <w:t>41</w:t>
            </w:r>
          </w:p>
        </w:tc>
        <w:tc>
          <w:tcPr>
            <w:tcW w:w="551" w:type="pct"/>
            <w:vAlign w:val="center"/>
          </w:tcPr>
          <w:p w14:paraId="6334AF2D">
            <w:pPr>
              <w:adjustRightInd/>
              <w:snapToGrid/>
              <w:spacing w:line="240" w:lineRule="auto"/>
              <w:ind w:firstLine="0" w:firstLineChars="0"/>
              <w:contextualSpacing/>
              <w:jc w:val="center"/>
              <w:rPr>
                <w:sz w:val="21"/>
                <w:szCs w:val="21"/>
              </w:rPr>
            </w:pPr>
            <w:r>
              <w:rPr>
                <w:rFonts w:hint="eastAsia"/>
                <w:sz w:val="21"/>
                <w:szCs w:val="21"/>
              </w:rPr>
              <w:t>0.27</w:t>
            </w:r>
          </w:p>
        </w:tc>
        <w:tc>
          <w:tcPr>
            <w:tcW w:w="441" w:type="pct"/>
            <w:vAlign w:val="center"/>
          </w:tcPr>
          <w:p w14:paraId="77313FDD">
            <w:pPr>
              <w:adjustRightInd/>
              <w:snapToGrid/>
              <w:spacing w:line="240" w:lineRule="auto"/>
              <w:ind w:firstLine="0" w:firstLineChars="0"/>
              <w:contextualSpacing/>
              <w:jc w:val="center"/>
              <w:rPr>
                <w:sz w:val="21"/>
                <w:szCs w:val="21"/>
              </w:rPr>
            </w:pPr>
            <w:r>
              <w:rPr>
                <w:rFonts w:hint="eastAsia"/>
                <w:sz w:val="21"/>
                <w:szCs w:val="21"/>
              </w:rPr>
              <w:t>5</w:t>
            </w:r>
          </w:p>
        </w:tc>
      </w:tr>
      <w:tr w14:paraId="705C4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restart"/>
            <w:vAlign w:val="center"/>
          </w:tcPr>
          <w:p w14:paraId="102177AD">
            <w:pPr>
              <w:adjustRightInd/>
              <w:snapToGrid/>
              <w:spacing w:line="240" w:lineRule="auto"/>
              <w:ind w:firstLine="0" w:firstLineChars="0"/>
              <w:contextualSpacing/>
              <w:jc w:val="center"/>
              <w:rPr>
                <w:sz w:val="21"/>
                <w:szCs w:val="21"/>
                <w:highlight w:val="yellow"/>
              </w:rPr>
            </w:pPr>
            <w:r>
              <w:rPr>
                <w:sz w:val="21"/>
                <w:szCs w:val="21"/>
              </w:rPr>
              <w:t>5#</w:t>
            </w:r>
            <w:r>
              <w:rPr>
                <w:rFonts w:hint="eastAsia"/>
                <w:sz w:val="21"/>
                <w:szCs w:val="21"/>
              </w:rPr>
              <w:t>龙王庙</w:t>
            </w:r>
          </w:p>
        </w:tc>
        <w:tc>
          <w:tcPr>
            <w:tcW w:w="609" w:type="pct"/>
            <w:vAlign w:val="center"/>
          </w:tcPr>
          <w:p w14:paraId="6EF8F2B3">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93" w:type="pct"/>
            <w:vAlign w:val="center"/>
          </w:tcPr>
          <w:p w14:paraId="21141B1A">
            <w:pPr>
              <w:adjustRightInd/>
              <w:snapToGrid/>
              <w:spacing w:line="240" w:lineRule="auto"/>
              <w:ind w:firstLine="0" w:firstLineChars="0"/>
              <w:contextualSpacing/>
              <w:jc w:val="center"/>
              <w:rPr>
                <w:sz w:val="21"/>
                <w:szCs w:val="21"/>
              </w:rPr>
            </w:pPr>
            <w:r>
              <w:rPr>
                <w:rFonts w:hint="eastAsia"/>
                <w:sz w:val="21"/>
                <w:szCs w:val="21"/>
              </w:rPr>
              <w:t>26</w:t>
            </w:r>
          </w:p>
        </w:tc>
        <w:tc>
          <w:tcPr>
            <w:tcW w:w="824" w:type="pct"/>
            <w:vAlign w:val="center"/>
          </w:tcPr>
          <w:p w14:paraId="00A62D91">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2631115F">
            <w:pPr>
              <w:adjustRightInd/>
              <w:snapToGrid/>
              <w:spacing w:line="240" w:lineRule="auto"/>
              <w:ind w:firstLine="0" w:firstLineChars="0"/>
              <w:contextualSpacing/>
              <w:jc w:val="center"/>
              <w:rPr>
                <w:sz w:val="21"/>
                <w:szCs w:val="21"/>
              </w:rPr>
            </w:pPr>
            <w:r>
              <w:rPr>
                <w:rFonts w:hint="eastAsia"/>
                <w:sz w:val="21"/>
                <w:szCs w:val="21"/>
              </w:rPr>
              <w:t>71.4</w:t>
            </w:r>
          </w:p>
        </w:tc>
        <w:tc>
          <w:tcPr>
            <w:tcW w:w="553" w:type="pct"/>
            <w:vAlign w:val="center"/>
          </w:tcPr>
          <w:p w14:paraId="4374200F">
            <w:pPr>
              <w:adjustRightInd/>
              <w:snapToGrid/>
              <w:spacing w:line="240" w:lineRule="auto"/>
              <w:ind w:firstLine="0" w:firstLineChars="0"/>
              <w:contextualSpacing/>
              <w:jc w:val="center"/>
              <w:rPr>
                <w:sz w:val="21"/>
                <w:szCs w:val="21"/>
              </w:rPr>
            </w:pPr>
            <w:r>
              <w:rPr>
                <w:rFonts w:hint="eastAsia"/>
                <w:sz w:val="21"/>
                <w:szCs w:val="21"/>
              </w:rPr>
              <w:t>45</w:t>
            </w:r>
          </w:p>
        </w:tc>
        <w:tc>
          <w:tcPr>
            <w:tcW w:w="551" w:type="pct"/>
            <w:vAlign w:val="center"/>
          </w:tcPr>
          <w:p w14:paraId="58FEC247">
            <w:pPr>
              <w:adjustRightInd/>
              <w:snapToGrid/>
              <w:spacing w:line="240" w:lineRule="auto"/>
              <w:ind w:firstLine="0" w:firstLineChars="0"/>
              <w:contextualSpacing/>
              <w:jc w:val="center"/>
              <w:rPr>
                <w:sz w:val="21"/>
                <w:szCs w:val="21"/>
              </w:rPr>
            </w:pPr>
            <w:r>
              <w:rPr>
                <w:rFonts w:hint="eastAsia"/>
                <w:sz w:val="21"/>
                <w:szCs w:val="21"/>
              </w:rPr>
              <w:t>0.28</w:t>
            </w:r>
          </w:p>
        </w:tc>
        <w:tc>
          <w:tcPr>
            <w:tcW w:w="441" w:type="pct"/>
            <w:vAlign w:val="center"/>
          </w:tcPr>
          <w:p w14:paraId="40700E09">
            <w:pPr>
              <w:adjustRightInd/>
              <w:snapToGrid/>
              <w:spacing w:line="240" w:lineRule="auto"/>
              <w:ind w:firstLine="0" w:firstLineChars="0"/>
              <w:contextualSpacing/>
              <w:jc w:val="center"/>
              <w:rPr>
                <w:sz w:val="21"/>
                <w:szCs w:val="21"/>
              </w:rPr>
            </w:pPr>
            <w:r>
              <w:rPr>
                <w:rFonts w:hint="eastAsia"/>
                <w:sz w:val="21"/>
                <w:szCs w:val="21"/>
              </w:rPr>
              <w:t>5</w:t>
            </w:r>
          </w:p>
        </w:tc>
      </w:tr>
      <w:tr w14:paraId="4F7D3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continue"/>
            <w:vAlign w:val="center"/>
          </w:tcPr>
          <w:p w14:paraId="251918A0">
            <w:pPr>
              <w:adjustRightInd/>
              <w:snapToGrid/>
              <w:spacing w:line="240" w:lineRule="auto"/>
              <w:ind w:firstLine="0" w:firstLineChars="0"/>
              <w:contextualSpacing/>
              <w:jc w:val="center"/>
              <w:rPr>
                <w:sz w:val="21"/>
                <w:szCs w:val="21"/>
                <w:highlight w:val="yellow"/>
              </w:rPr>
            </w:pPr>
          </w:p>
        </w:tc>
        <w:tc>
          <w:tcPr>
            <w:tcW w:w="609" w:type="pct"/>
            <w:vAlign w:val="center"/>
          </w:tcPr>
          <w:p w14:paraId="4ED27D47">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93" w:type="pct"/>
            <w:vAlign w:val="center"/>
          </w:tcPr>
          <w:p w14:paraId="23C17EC5">
            <w:pPr>
              <w:adjustRightInd/>
              <w:snapToGrid/>
              <w:spacing w:line="240" w:lineRule="auto"/>
              <w:ind w:firstLine="0" w:firstLineChars="0"/>
              <w:contextualSpacing/>
              <w:jc w:val="center"/>
              <w:rPr>
                <w:sz w:val="21"/>
                <w:szCs w:val="21"/>
              </w:rPr>
            </w:pPr>
            <w:r>
              <w:rPr>
                <w:rFonts w:hint="eastAsia"/>
                <w:sz w:val="21"/>
                <w:szCs w:val="21"/>
              </w:rPr>
              <w:t>34</w:t>
            </w:r>
          </w:p>
        </w:tc>
        <w:tc>
          <w:tcPr>
            <w:tcW w:w="824" w:type="pct"/>
            <w:vAlign w:val="center"/>
          </w:tcPr>
          <w:p w14:paraId="36B34169">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3FC6EFF9">
            <w:pPr>
              <w:adjustRightInd/>
              <w:snapToGrid/>
              <w:spacing w:line="240" w:lineRule="auto"/>
              <w:ind w:firstLine="0" w:firstLineChars="0"/>
              <w:contextualSpacing/>
              <w:jc w:val="center"/>
              <w:rPr>
                <w:sz w:val="21"/>
                <w:szCs w:val="21"/>
              </w:rPr>
            </w:pPr>
            <w:r>
              <w:rPr>
                <w:rFonts w:hint="eastAsia"/>
                <w:sz w:val="21"/>
                <w:szCs w:val="21"/>
              </w:rPr>
              <w:t>65.3</w:t>
            </w:r>
          </w:p>
        </w:tc>
        <w:tc>
          <w:tcPr>
            <w:tcW w:w="553" w:type="pct"/>
            <w:vAlign w:val="center"/>
          </w:tcPr>
          <w:p w14:paraId="4DF0FCC5">
            <w:pPr>
              <w:adjustRightInd/>
              <w:snapToGrid/>
              <w:spacing w:line="240" w:lineRule="auto"/>
              <w:ind w:firstLine="0" w:firstLineChars="0"/>
              <w:contextualSpacing/>
              <w:jc w:val="center"/>
              <w:rPr>
                <w:sz w:val="21"/>
                <w:szCs w:val="21"/>
              </w:rPr>
            </w:pPr>
            <w:r>
              <w:rPr>
                <w:rFonts w:hint="eastAsia"/>
                <w:sz w:val="21"/>
                <w:szCs w:val="21"/>
              </w:rPr>
              <w:t>43.6</w:t>
            </w:r>
          </w:p>
        </w:tc>
        <w:tc>
          <w:tcPr>
            <w:tcW w:w="551" w:type="pct"/>
            <w:vAlign w:val="center"/>
          </w:tcPr>
          <w:p w14:paraId="311DFF30">
            <w:pPr>
              <w:adjustRightInd/>
              <w:snapToGrid/>
              <w:spacing w:line="240" w:lineRule="auto"/>
              <w:ind w:firstLine="0" w:firstLineChars="0"/>
              <w:contextualSpacing/>
              <w:jc w:val="center"/>
              <w:rPr>
                <w:sz w:val="21"/>
                <w:szCs w:val="21"/>
              </w:rPr>
            </w:pPr>
            <w:r>
              <w:rPr>
                <w:rFonts w:hint="eastAsia"/>
                <w:sz w:val="21"/>
                <w:szCs w:val="21"/>
              </w:rPr>
              <w:t>0.31</w:t>
            </w:r>
          </w:p>
        </w:tc>
        <w:tc>
          <w:tcPr>
            <w:tcW w:w="441" w:type="pct"/>
            <w:vAlign w:val="center"/>
          </w:tcPr>
          <w:p w14:paraId="66D3A44F">
            <w:pPr>
              <w:adjustRightInd/>
              <w:snapToGrid/>
              <w:spacing w:line="240" w:lineRule="auto"/>
              <w:ind w:firstLine="0" w:firstLineChars="0"/>
              <w:contextualSpacing/>
              <w:jc w:val="center"/>
              <w:rPr>
                <w:sz w:val="21"/>
                <w:szCs w:val="21"/>
              </w:rPr>
            </w:pPr>
            <w:r>
              <w:rPr>
                <w:rFonts w:hint="eastAsia"/>
                <w:sz w:val="21"/>
                <w:szCs w:val="21"/>
              </w:rPr>
              <w:t>5</w:t>
            </w:r>
          </w:p>
        </w:tc>
      </w:tr>
      <w:tr w14:paraId="412D4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restart"/>
            <w:vAlign w:val="center"/>
          </w:tcPr>
          <w:p w14:paraId="669AE92C">
            <w:pPr>
              <w:adjustRightInd/>
              <w:snapToGrid/>
              <w:spacing w:line="240" w:lineRule="auto"/>
              <w:ind w:firstLine="0" w:firstLineChars="0"/>
              <w:contextualSpacing/>
              <w:jc w:val="center"/>
              <w:rPr>
                <w:sz w:val="21"/>
                <w:szCs w:val="21"/>
                <w:highlight w:val="yellow"/>
              </w:rPr>
            </w:pPr>
            <w:r>
              <w:rPr>
                <w:sz w:val="21"/>
                <w:szCs w:val="21"/>
              </w:rPr>
              <w:t>6#</w:t>
            </w:r>
            <w:r>
              <w:rPr>
                <w:rFonts w:hint="eastAsia"/>
                <w:sz w:val="21"/>
                <w:szCs w:val="21"/>
              </w:rPr>
              <w:t>仁里屯村东南</w:t>
            </w:r>
          </w:p>
        </w:tc>
        <w:tc>
          <w:tcPr>
            <w:tcW w:w="609" w:type="pct"/>
            <w:vAlign w:val="center"/>
          </w:tcPr>
          <w:p w14:paraId="5FF017B9">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93" w:type="pct"/>
            <w:vAlign w:val="center"/>
          </w:tcPr>
          <w:p w14:paraId="51680862">
            <w:pPr>
              <w:adjustRightInd/>
              <w:snapToGrid/>
              <w:spacing w:line="240" w:lineRule="auto"/>
              <w:ind w:firstLine="0" w:firstLineChars="0"/>
              <w:contextualSpacing/>
              <w:jc w:val="center"/>
              <w:rPr>
                <w:sz w:val="21"/>
                <w:szCs w:val="21"/>
              </w:rPr>
            </w:pPr>
            <w:r>
              <w:rPr>
                <w:rFonts w:hint="eastAsia"/>
                <w:sz w:val="21"/>
                <w:szCs w:val="21"/>
              </w:rPr>
              <w:t>34</w:t>
            </w:r>
          </w:p>
        </w:tc>
        <w:tc>
          <w:tcPr>
            <w:tcW w:w="824" w:type="pct"/>
            <w:vAlign w:val="center"/>
          </w:tcPr>
          <w:p w14:paraId="4CF30673">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67EFEE63">
            <w:pPr>
              <w:adjustRightInd/>
              <w:snapToGrid/>
              <w:spacing w:line="240" w:lineRule="auto"/>
              <w:ind w:firstLine="0" w:firstLineChars="0"/>
              <w:contextualSpacing/>
              <w:jc w:val="center"/>
              <w:rPr>
                <w:sz w:val="21"/>
                <w:szCs w:val="21"/>
              </w:rPr>
            </w:pPr>
            <w:r>
              <w:rPr>
                <w:rFonts w:hint="eastAsia"/>
                <w:sz w:val="21"/>
                <w:szCs w:val="21"/>
              </w:rPr>
              <w:t>82.1</w:t>
            </w:r>
          </w:p>
        </w:tc>
        <w:tc>
          <w:tcPr>
            <w:tcW w:w="553" w:type="pct"/>
            <w:vAlign w:val="center"/>
          </w:tcPr>
          <w:p w14:paraId="7A992D38">
            <w:pPr>
              <w:adjustRightInd/>
              <w:snapToGrid/>
              <w:spacing w:line="240" w:lineRule="auto"/>
              <w:ind w:firstLine="0" w:firstLineChars="0"/>
              <w:contextualSpacing/>
              <w:jc w:val="center"/>
              <w:rPr>
                <w:sz w:val="21"/>
                <w:szCs w:val="21"/>
              </w:rPr>
            </w:pPr>
            <w:r>
              <w:rPr>
                <w:rFonts w:hint="eastAsia"/>
                <w:sz w:val="21"/>
                <w:szCs w:val="21"/>
              </w:rPr>
              <w:t>36</w:t>
            </w:r>
          </w:p>
        </w:tc>
        <w:tc>
          <w:tcPr>
            <w:tcW w:w="551" w:type="pct"/>
            <w:vAlign w:val="center"/>
          </w:tcPr>
          <w:p w14:paraId="6168B4B4">
            <w:pPr>
              <w:adjustRightInd/>
              <w:snapToGrid/>
              <w:spacing w:line="240" w:lineRule="auto"/>
              <w:ind w:firstLine="0" w:firstLineChars="0"/>
              <w:contextualSpacing/>
              <w:jc w:val="center"/>
              <w:rPr>
                <w:sz w:val="21"/>
                <w:szCs w:val="21"/>
              </w:rPr>
            </w:pPr>
            <w:r>
              <w:rPr>
                <w:rFonts w:hint="eastAsia"/>
                <w:sz w:val="21"/>
                <w:szCs w:val="21"/>
              </w:rPr>
              <w:t>0.25</w:t>
            </w:r>
          </w:p>
        </w:tc>
        <w:tc>
          <w:tcPr>
            <w:tcW w:w="441" w:type="pct"/>
            <w:vAlign w:val="center"/>
          </w:tcPr>
          <w:p w14:paraId="08E944DF">
            <w:pPr>
              <w:adjustRightInd/>
              <w:snapToGrid/>
              <w:spacing w:line="240" w:lineRule="auto"/>
              <w:ind w:firstLine="0" w:firstLineChars="0"/>
              <w:contextualSpacing/>
              <w:jc w:val="center"/>
              <w:rPr>
                <w:sz w:val="21"/>
                <w:szCs w:val="21"/>
              </w:rPr>
            </w:pPr>
            <w:r>
              <w:rPr>
                <w:rFonts w:hint="eastAsia"/>
                <w:sz w:val="21"/>
                <w:szCs w:val="21"/>
              </w:rPr>
              <w:t>5</w:t>
            </w:r>
          </w:p>
        </w:tc>
      </w:tr>
      <w:tr w14:paraId="6537E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continue"/>
            <w:vAlign w:val="center"/>
          </w:tcPr>
          <w:p w14:paraId="24793231">
            <w:pPr>
              <w:adjustRightInd/>
              <w:snapToGrid/>
              <w:spacing w:line="240" w:lineRule="auto"/>
              <w:ind w:firstLine="0" w:firstLineChars="0"/>
              <w:contextualSpacing/>
              <w:jc w:val="center"/>
              <w:rPr>
                <w:sz w:val="21"/>
                <w:szCs w:val="21"/>
                <w:highlight w:val="yellow"/>
              </w:rPr>
            </w:pPr>
          </w:p>
        </w:tc>
        <w:tc>
          <w:tcPr>
            <w:tcW w:w="609" w:type="pct"/>
            <w:vAlign w:val="center"/>
          </w:tcPr>
          <w:p w14:paraId="588740BD">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93" w:type="pct"/>
            <w:vAlign w:val="center"/>
          </w:tcPr>
          <w:p w14:paraId="0D0EF78C">
            <w:pPr>
              <w:adjustRightInd/>
              <w:snapToGrid/>
              <w:spacing w:line="240" w:lineRule="auto"/>
              <w:ind w:firstLine="0" w:firstLineChars="0"/>
              <w:contextualSpacing/>
              <w:jc w:val="center"/>
              <w:rPr>
                <w:sz w:val="21"/>
                <w:szCs w:val="21"/>
              </w:rPr>
            </w:pPr>
            <w:r>
              <w:rPr>
                <w:rFonts w:hint="eastAsia"/>
                <w:sz w:val="21"/>
                <w:szCs w:val="21"/>
              </w:rPr>
              <w:t>36</w:t>
            </w:r>
          </w:p>
        </w:tc>
        <w:tc>
          <w:tcPr>
            <w:tcW w:w="824" w:type="pct"/>
            <w:vAlign w:val="center"/>
          </w:tcPr>
          <w:p w14:paraId="36CA5948">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37A7161F">
            <w:pPr>
              <w:adjustRightInd/>
              <w:snapToGrid/>
              <w:spacing w:line="240" w:lineRule="auto"/>
              <w:ind w:firstLine="0" w:firstLineChars="0"/>
              <w:contextualSpacing/>
              <w:jc w:val="center"/>
              <w:rPr>
                <w:sz w:val="21"/>
                <w:szCs w:val="21"/>
              </w:rPr>
            </w:pPr>
            <w:r>
              <w:rPr>
                <w:rFonts w:hint="eastAsia"/>
                <w:sz w:val="21"/>
                <w:szCs w:val="21"/>
              </w:rPr>
              <w:t>67.5</w:t>
            </w:r>
          </w:p>
        </w:tc>
        <w:tc>
          <w:tcPr>
            <w:tcW w:w="553" w:type="pct"/>
            <w:vAlign w:val="center"/>
          </w:tcPr>
          <w:p w14:paraId="2008686C">
            <w:pPr>
              <w:adjustRightInd/>
              <w:snapToGrid/>
              <w:spacing w:line="240" w:lineRule="auto"/>
              <w:ind w:firstLine="0" w:firstLineChars="0"/>
              <w:contextualSpacing/>
              <w:jc w:val="center"/>
              <w:rPr>
                <w:sz w:val="21"/>
                <w:szCs w:val="21"/>
              </w:rPr>
            </w:pPr>
            <w:r>
              <w:rPr>
                <w:rFonts w:hint="eastAsia"/>
                <w:sz w:val="21"/>
                <w:szCs w:val="21"/>
              </w:rPr>
              <w:t>38.6</w:t>
            </w:r>
          </w:p>
        </w:tc>
        <w:tc>
          <w:tcPr>
            <w:tcW w:w="551" w:type="pct"/>
            <w:vAlign w:val="center"/>
          </w:tcPr>
          <w:p w14:paraId="7D9AC3CF">
            <w:pPr>
              <w:adjustRightInd/>
              <w:snapToGrid/>
              <w:spacing w:line="240" w:lineRule="auto"/>
              <w:ind w:firstLine="0" w:firstLineChars="0"/>
              <w:contextualSpacing/>
              <w:jc w:val="center"/>
              <w:rPr>
                <w:sz w:val="21"/>
                <w:szCs w:val="21"/>
              </w:rPr>
            </w:pPr>
            <w:r>
              <w:rPr>
                <w:rFonts w:hint="eastAsia"/>
                <w:sz w:val="21"/>
                <w:szCs w:val="21"/>
              </w:rPr>
              <w:t>0.28</w:t>
            </w:r>
          </w:p>
        </w:tc>
        <w:tc>
          <w:tcPr>
            <w:tcW w:w="441" w:type="pct"/>
            <w:vAlign w:val="center"/>
          </w:tcPr>
          <w:p w14:paraId="3556CE77">
            <w:pPr>
              <w:adjustRightInd/>
              <w:snapToGrid/>
              <w:spacing w:line="240" w:lineRule="auto"/>
              <w:ind w:firstLine="0" w:firstLineChars="0"/>
              <w:contextualSpacing/>
              <w:jc w:val="center"/>
              <w:rPr>
                <w:sz w:val="21"/>
                <w:szCs w:val="21"/>
              </w:rPr>
            </w:pPr>
            <w:r>
              <w:rPr>
                <w:rFonts w:hint="eastAsia"/>
                <w:sz w:val="21"/>
                <w:szCs w:val="21"/>
              </w:rPr>
              <w:t>5</w:t>
            </w:r>
          </w:p>
        </w:tc>
      </w:tr>
      <w:tr w14:paraId="62479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restart"/>
            <w:vAlign w:val="center"/>
          </w:tcPr>
          <w:p w14:paraId="0B1472AA">
            <w:pPr>
              <w:adjustRightInd/>
              <w:snapToGrid/>
              <w:spacing w:line="240" w:lineRule="auto"/>
              <w:ind w:firstLine="0" w:firstLineChars="0"/>
              <w:contextualSpacing/>
              <w:jc w:val="center"/>
              <w:rPr>
                <w:sz w:val="21"/>
                <w:szCs w:val="21"/>
                <w:highlight w:val="yellow"/>
              </w:rPr>
            </w:pPr>
            <w:r>
              <w:rPr>
                <w:sz w:val="21"/>
                <w:szCs w:val="21"/>
              </w:rPr>
              <w:t>7#</w:t>
            </w:r>
            <w:r>
              <w:rPr>
                <w:rFonts w:hint="eastAsia"/>
                <w:sz w:val="21"/>
                <w:szCs w:val="21"/>
              </w:rPr>
              <w:t>下园村东北</w:t>
            </w:r>
          </w:p>
        </w:tc>
        <w:tc>
          <w:tcPr>
            <w:tcW w:w="609" w:type="pct"/>
            <w:vAlign w:val="center"/>
          </w:tcPr>
          <w:p w14:paraId="2A7F9211">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.20</w:t>
            </w:r>
          </w:p>
        </w:tc>
        <w:tc>
          <w:tcPr>
            <w:tcW w:w="593" w:type="pct"/>
            <w:vAlign w:val="center"/>
          </w:tcPr>
          <w:p w14:paraId="4A782EFB">
            <w:pPr>
              <w:adjustRightInd/>
              <w:snapToGrid/>
              <w:spacing w:line="240" w:lineRule="auto"/>
              <w:ind w:firstLine="0" w:firstLineChars="0"/>
              <w:contextualSpacing/>
              <w:jc w:val="center"/>
              <w:rPr>
                <w:sz w:val="21"/>
                <w:szCs w:val="21"/>
              </w:rPr>
            </w:pPr>
            <w:r>
              <w:rPr>
                <w:rFonts w:hint="eastAsia"/>
                <w:sz w:val="21"/>
                <w:szCs w:val="21"/>
              </w:rPr>
              <w:t>25</w:t>
            </w:r>
          </w:p>
        </w:tc>
        <w:tc>
          <w:tcPr>
            <w:tcW w:w="824" w:type="pct"/>
            <w:vAlign w:val="center"/>
          </w:tcPr>
          <w:p w14:paraId="0E71060A">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047DDE3A">
            <w:pPr>
              <w:adjustRightInd/>
              <w:snapToGrid/>
              <w:spacing w:line="240" w:lineRule="auto"/>
              <w:ind w:firstLine="0" w:firstLineChars="0"/>
              <w:contextualSpacing/>
              <w:jc w:val="center"/>
              <w:rPr>
                <w:sz w:val="21"/>
                <w:szCs w:val="21"/>
              </w:rPr>
            </w:pPr>
            <w:r>
              <w:rPr>
                <w:rFonts w:hint="eastAsia"/>
                <w:sz w:val="21"/>
                <w:szCs w:val="21"/>
              </w:rPr>
              <w:t>83.6</w:t>
            </w:r>
          </w:p>
        </w:tc>
        <w:tc>
          <w:tcPr>
            <w:tcW w:w="553" w:type="pct"/>
            <w:vAlign w:val="center"/>
          </w:tcPr>
          <w:p w14:paraId="6BC2FF28">
            <w:pPr>
              <w:adjustRightInd/>
              <w:snapToGrid/>
              <w:spacing w:line="240" w:lineRule="auto"/>
              <w:ind w:firstLine="0" w:firstLineChars="0"/>
              <w:contextualSpacing/>
              <w:jc w:val="center"/>
              <w:rPr>
                <w:sz w:val="21"/>
                <w:szCs w:val="21"/>
              </w:rPr>
            </w:pPr>
            <w:r>
              <w:rPr>
                <w:rFonts w:hint="eastAsia"/>
                <w:sz w:val="21"/>
                <w:szCs w:val="21"/>
              </w:rPr>
              <w:t>48</w:t>
            </w:r>
          </w:p>
        </w:tc>
        <w:tc>
          <w:tcPr>
            <w:tcW w:w="551" w:type="pct"/>
            <w:vAlign w:val="center"/>
          </w:tcPr>
          <w:p w14:paraId="32C38231">
            <w:pPr>
              <w:adjustRightInd/>
              <w:snapToGrid/>
              <w:spacing w:line="240" w:lineRule="auto"/>
              <w:ind w:firstLine="0" w:firstLineChars="0"/>
              <w:contextualSpacing/>
              <w:jc w:val="center"/>
              <w:rPr>
                <w:sz w:val="21"/>
                <w:szCs w:val="21"/>
              </w:rPr>
            </w:pPr>
            <w:r>
              <w:rPr>
                <w:rFonts w:hint="eastAsia"/>
                <w:sz w:val="21"/>
                <w:szCs w:val="21"/>
              </w:rPr>
              <w:t>0.3</w:t>
            </w:r>
          </w:p>
        </w:tc>
        <w:tc>
          <w:tcPr>
            <w:tcW w:w="441" w:type="pct"/>
            <w:vAlign w:val="center"/>
          </w:tcPr>
          <w:p w14:paraId="11665191">
            <w:pPr>
              <w:adjustRightInd/>
              <w:snapToGrid/>
              <w:spacing w:line="240" w:lineRule="auto"/>
              <w:ind w:firstLine="0" w:firstLineChars="0"/>
              <w:contextualSpacing/>
              <w:jc w:val="center"/>
              <w:rPr>
                <w:sz w:val="21"/>
                <w:szCs w:val="21"/>
              </w:rPr>
            </w:pPr>
            <w:r>
              <w:rPr>
                <w:rFonts w:hint="eastAsia"/>
                <w:sz w:val="21"/>
                <w:szCs w:val="21"/>
              </w:rPr>
              <w:t>5</w:t>
            </w:r>
          </w:p>
        </w:tc>
      </w:tr>
      <w:tr w14:paraId="387D1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5" w:type="pct"/>
            <w:vMerge w:val="continue"/>
            <w:vAlign w:val="center"/>
          </w:tcPr>
          <w:p w14:paraId="0CB7F14C">
            <w:pPr>
              <w:adjustRightInd/>
              <w:snapToGrid/>
              <w:spacing w:line="240" w:lineRule="auto"/>
              <w:ind w:firstLine="0" w:firstLineChars="0"/>
              <w:contextualSpacing/>
              <w:jc w:val="center"/>
              <w:rPr>
                <w:sz w:val="21"/>
                <w:szCs w:val="21"/>
                <w:highlight w:val="yellow"/>
              </w:rPr>
            </w:pPr>
          </w:p>
        </w:tc>
        <w:tc>
          <w:tcPr>
            <w:tcW w:w="609" w:type="pct"/>
            <w:vAlign w:val="center"/>
          </w:tcPr>
          <w:p w14:paraId="07B0AC55">
            <w:pPr>
              <w:adjustRightInd/>
              <w:snapToGrid/>
              <w:spacing w:line="240" w:lineRule="auto"/>
              <w:ind w:firstLine="0" w:firstLineChars="0"/>
              <w:contextualSpacing/>
              <w:jc w:val="center"/>
              <w:rPr>
                <w:sz w:val="21"/>
                <w:szCs w:val="21"/>
                <w:highlight w:val="yellow"/>
              </w:rPr>
            </w:pPr>
            <w:r>
              <w:rPr>
                <w:sz w:val="21"/>
                <w:szCs w:val="21"/>
              </w:rPr>
              <w:t>202</w:t>
            </w:r>
            <w:r>
              <w:rPr>
                <w:rFonts w:hint="eastAsia"/>
                <w:sz w:val="21"/>
                <w:szCs w:val="21"/>
              </w:rPr>
              <w:t>4</w:t>
            </w:r>
            <w:r>
              <w:rPr>
                <w:sz w:val="21"/>
                <w:szCs w:val="21"/>
              </w:rPr>
              <w:t>.0</w:t>
            </w:r>
            <w:r>
              <w:rPr>
                <w:rFonts w:hint="eastAsia"/>
                <w:sz w:val="21"/>
                <w:szCs w:val="21"/>
              </w:rPr>
              <w:t>5</w:t>
            </w:r>
            <w:r>
              <w:rPr>
                <w:sz w:val="21"/>
                <w:szCs w:val="21"/>
              </w:rPr>
              <w:t>.21</w:t>
            </w:r>
          </w:p>
        </w:tc>
        <w:tc>
          <w:tcPr>
            <w:tcW w:w="593" w:type="pct"/>
            <w:vAlign w:val="center"/>
          </w:tcPr>
          <w:p w14:paraId="31697E7D">
            <w:pPr>
              <w:adjustRightInd/>
              <w:snapToGrid/>
              <w:spacing w:line="240" w:lineRule="auto"/>
              <w:ind w:firstLine="0" w:firstLineChars="0"/>
              <w:contextualSpacing/>
              <w:jc w:val="center"/>
              <w:rPr>
                <w:sz w:val="21"/>
                <w:szCs w:val="21"/>
              </w:rPr>
            </w:pPr>
            <w:r>
              <w:rPr>
                <w:rFonts w:hint="eastAsia"/>
                <w:sz w:val="21"/>
                <w:szCs w:val="21"/>
              </w:rPr>
              <w:t>38</w:t>
            </w:r>
          </w:p>
        </w:tc>
        <w:tc>
          <w:tcPr>
            <w:tcW w:w="824" w:type="pct"/>
            <w:vAlign w:val="center"/>
          </w:tcPr>
          <w:p w14:paraId="559827C1">
            <w:pPr>
              <w:adjustRightInd/>
              <w:snapToGrid/>
              <w:spacing w:line="240" w:lineRule="auto"/>
              <w:ind w:firstLine="0" w:firstLineChars="0"/>
              <w:contextualSpacing/>
              <w:jc w:val="center"/>
              <w:rPr>
                <w:sz w:val="21"/>
                <w:szCs w:val="21"/>
              </w:rPr>
            </w:pPr>
            <w:r>
              <w:rPr>
                <w:sz w:val="21"/>
                <w:szCs w:val="21"/>
              </w:rPr>
              <w:t>未检出</w:t>
            </w:r>
          </w:p>
        </w:tc>
        <w:tc>
          <w:tcPr>
            <w:tcW w:w="824" w:type="pct"/>
            <w:vAlign w:val="center"/>
          </w:tcPr>
          <w:p w14:paraId="706BA93F">
            <w:pPr>
              <w:adjustRightInd/>
              <w:snapToGrid/>
              <w:spacing w:line="240" w:lineRule="auto"/>
              <w:ind w:firstLine="0" w:firstLineChars="0"/>
              <w:contextualSpacing/>
              <w:jc w:val="center"/>
              <w:rPr>
                <w:sz w:val="21"/>
                <w:szCs w:val="21"/>
              </w:rPr>
            </w:pPr>
            <w:r>
              <w:rPr>
                <w:rFonts w:hint="eastAsia"/>
                <w:sz w:val="21"/>
                <w:szCs w:val="21"/>
              </w:rPr>
              <w:t>72.6</w:t>
            </w:r>
          </w:p>
        </w:tc>
        <w:tc>
          <w:tcPr>
            <w:tcW w:w="553" w:type="pct"/>
            <w:vAlign w:val="center"/>
          </w:tcPr>
          <w:p w14:paraId="6D48C514">
            <w:pPr>
              <w:adjustRightInd/>
              <w:snapToGrid/>
              <w:spacing w:line="240" w:lineRule="auto"/>
              <w:ind w:firstLine="0" w:firstLineChars="0"/>
              <w:contextualSpacing/>
              <w:jc w:val="center"/>
              <w:rPr>
                <w:sz w:val="21"/>
                <w:szCs w:val="21"/>
              </w:rPr>
            </w:pPr>
            <w:r>
              <w:rPr>
                <w:rFonts w:hint="eastAsia"/>
                <w:sz w:val="21"/>
                <w:szCs w:val="21"/>
              </w:rPr>
              <w:t>42.5</w:t>
            </w:r>
          </w:p>
        </w:tc>
        <w:tc>
          <w:tcPr>
            <w:tcW w:w="551" w:type="pct"/>
            <w:vAlign w:val="center"/>
          </w:tcPr>
          <w:p w14:paraId="1BBD7F63">
            <w:pPr>
              <w:adjustRightInd/>
              <w:snapToGrid/>
              <w:spacing w:line="240" w:lineRule="auto"/>
              <w:ind w:firstLine="0" w:firstLineChars="0"/>
              <w:contextualSpacing/>
              <w:jc w:val="center"/>
              <w:rPr>
                <w:sz w:val="21"/>
                <w:szCs w:val="21"/>
              </w:rPr>
            </w:pPr>
            <w:r>
              <w:rPr>
                <w:rFonts w:hint="eastAsia"/>
                <w:sz w:val="21"/>
                <w:szCs w:val="21"/>
              </w:rPr>
              <w:t>0.27</w:t>
            </w:r>
          </w:p>
        </w:tc>
        <w:tc>
          <w:tcPr>
            <w:tcW w:w="441" w:type="pct"/>
            <w:vAlign w:val="center"/>
          </w:tcPr>
          <w:p w14:paraId="4FCCBAD4">
            <w:pPr>
              <w:adjustRightInd/>
              <w:snapToGrid/>
              <w:spacing w:line="240" w:lineRule="auto"/>
              <w:ind w:firstLine="0" w:firstLineChars="0"/>
              <w:contextualSpacing/>
              <w:jc w:val="center"/>
              <w:rPr>
                <w:sz w:val="21"/>
                <w:szCs w:val="21"/>
              </w:rPr>
            </w:pPr>
            <w:r>
              <w:rPr>
                <w:rFonts w:hint="eastAsia"/>
                <w:sz w:val="21"/>
                <w:szCs w:val="21"/>
              </w:rPr>
              <w:t>5</w:t>
            </w:r>
          </w:p>
        </w:tc>
      </w:tr>
      <w:tr w14:paraId="136AD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14" w:type="pct"/>
            <w:gridSpan w:val="2"/>
            <w:vAlign w:val="center"/>
          </w:tcPr>
          <w:p w14:paraId="793DDE95">
            <w:pPr>
              <w:adjustRightInd/>
              <w:snapToGrid/>
              <w:spacing w:line="240" w:lineRule="auto"/>
              <w:ind w:firstLine="0" w:firstLineChars="0"/>
              <w:contextualSpacing/>
              <w:jc w:val="center"/>
              <w:rPr>
                <w:sz w:val="21"/>
                <w:szCs w:val="21"/>
              </w:rPr>
            </w:pPr>
            <w:r>
              <w:rPr>
                <w:rFonts w:hint="eastAsia"/>
                <w:sz w:val="21"/>
                <w:szCs w:val="21"/>
              </w:rPr>
              <w:t>标准指数</w:t>
            </w:r>
          </w:p>
        </w:tc>
        <w:tc>
          <w:tcPr>
            <w:tcW w:w="593" w:type="pct"/>
            <w:vAlign w:val="center"/>
          </w:tcPr>
          <w:p w14:paraId="6D01D5A2">
            <w:pPr>
              <w:adjustRightInd/>
              <w:snapToGrid/>
              <w:spacing w:line="240" w:lineRule="auto"/>
              <w:ind w:firstLine="0" w:firstLineChars="0"/>
              <w:contextualSpacing/>
              <w:jc w:val="center"/>
              <w:rPr>
                <w:sz w:val="21"/>
                <w:szCs w:val="21"/>
              </w:rPr>
            </w:pPr>
            <w:r>
              <w:rPr>
                <w:rFonts w:hint="eastAsia"/>
                <w:sz w:val="21"/>
                <w:szCs w:val="21"/>
              </w:rPr>
              <w:t>0.22-0.38</w:t>
            </w:r>
          </w:p>
        </w:tc>
        <w:tc>
          <w:tcPr>
            <w:tcW w:w="824" w:type="pct"/>
            <w:vAlign w:val="center"/>
          </w:tcPr>
          <w:p w14:paraId="701740CB">
            <w:pPr>
              <w:adjustRightInd/>
              <w:snapToGrid/>
              <w:spacing w:line="240" w:lineRule="auto"/>
              <w:ind w:firstLine="0" w:firstLineChars="0"/>
              <w:contextualSpacing/>
              <w:jc w:val="center"/>
              <w:rPr>
                <w:sz w:val="21"/>
                <w:szCs w:val="21"/>
              </w:rPr>
            </w:pPr>
            <w:r>
              <w:rPr>
                <w:rFonts w:hint="eastAsia"/>
                <w:sz w:val="21"/>
                <w:szCs w:val="21"/>
              </w:rPr>
              <w:t>/</w:t>
            </w:r>
          </w:p>
        </w:tc>
        <w:tc>
          <w:tcPr>
            <w:tcW w:w="824" w:type="pct"/>
            <w:vAlign w:val="center"/>
          </w:tcPr>
          <w:p w14:paraId="1677CD46">
            <w:pPr>
              <w:adjustRightInd/>
              <w:snapToGrid/>
              <w:spacing w:line="240" w:lineRule="auto"/>
              <w:ind w:firstLine="0" w:firstLineChars="0"/>
              <w:contextualSpacing/>
              <w:jc w:val="center"/>
              <w:rPr>
                <w:sz w:val="21"/>
                <w:szCs w:val="21"/>
              </w:rPr>
            </w:pPr>
            <w:r>
              <w:rPr>
                <w:rFonts w:hint="eastAsia"/>
                <w:sz w:val="21"/>
                <w:szCs w:val="21"/>
              </w:rPr>
              <w:t>0.2596-0.3344</w:t>
            </w:r>
          </w:p>
        </w:tc>
        <w:tc>
          <w:tcPr>
            <w:tcW w:w="553" w:type="pct"/>
            <w:vAlign w:val="center"/>
          </w:tcPr>
          <w:p w14:paraId="0D0AC28F">
            <w:pPr>
              <w:adjustRightInd/>
              <w:snapToGrid/>
              <w:spacing w:line="240" w:lineRule="auto"/>
              <w:ind w:firstLine="0" w:firstLineChars="0"/>
              <w:contextualSpacing/>
              <w:jc w:val="center"/>
              <w:rPr>
                <w:sz w:val="21"/>
                <w:szCs w:val="21"/>
              </w:rPr>
            </w:pPr>
            <w:r>
              <w:rPr>
                <w:rFonts w:hint="eastAsia"/>
                <w:sz w:val="21"/>
                <w:szCs w:val="21"/>
              </w:rPr>
              <w:t>0.136-0.192</w:t>
            </w:r>
          </w:p>
        </w:tc>
        <w:tc>
          <w:tcPr>
            <w:tcW w:w="551" w:type="pct"/>
            <w:vAlign w:val="center"/>
          </w:tcPr>
          <w:p w14:paraId="70D6B067">
            <w:pPr>
              <w:adjustRightInd/>
              <w:snapToGrid/>
              <w:spacing w:line="240" w:lineRule="auto"/>
              <w:ind w:firstLine="0" w:firstLineChars="0"/>
              <w:contextualSpacing/>
              <w:jc w:val="center"/>
              <w:rPr>
                <w:sz w:val="21"/>
                <w:szCs w:val="21"/>
              </w:rPr>
            </w:pPr>
            <w:r>
              <w:rPr>
                <w:rFonts w:hint="eastAsia"/>
                <w:sz w:val="21"/>
                <w:szCs w:val="21"/>
              </w:rPr>
              <w:t>/</w:t>
            </w:r>
          </w:p>
        </w:tc>
        <w:tc>
          <w:tcPr>
            <w:tcW w:w="441" w:type="pct"/>
            <w:vAlign w:val="center"/>
          </w:tcPr>
          <w:p w14:paraId="773A520E">
            <w:pPr>
              <w:adjustRightInd/>
              <w:snapToGrid/>
              <w:spacing w:line="240" w:lineRule="auto"/>
              <w:ind w:firstLine="0" w:firstLineChars="0"/>
              <w:contextualSpacing/>
              <w:jc w:val="center"/>
              <w:rPr>
                <w:sz w:val="21"/>
                <w:szCs w:val="21"/>
              </w:rPr>
            </w:pPr>
            <w:r>
              <w:rPr>
                <w:rFonts w:hint="eastAsia"/>
                <w:sz w:val="21"/>
                <w:szCs w:val="21"/>
              </w:rPr>
              <w:t>0.33</w:t>
            </w:r>
          </w:p>
        </w:tc>
      </w:tr>
      <w:tr w14:paraId="24D9C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14" w:type="pct"/>
            <w:gridSpan w:val="2"/>
            <w:vAlign w:val="center"/>
          </w:tcPr>
          <w:p w14:paraId="46E1B64E">
            <w:pPr>
              <w:adjustRightInd/>
              <w:snapToGrid/>
              <w:spacing w:line="240" w:lineRule="auto"/>
              <w:ind w:firstLine="0" w:firstLineChars="0"/>
              <w:contextualSpacing/>
              <w:jc w:val="center"/>
              <w:rPr>
                <w:sz w:val="21"/>
                <w:szCs w:val="21"/>
              </w:rPr>
            </w:pPr>
            <w:r>
              <w:rPr>
                <w:rFonts w:hint="eastAsia"/>
                <w:sz w:val="21"/>
                <w:szCs w:val="21"/>
              </w:rPr>
              <w:t>超标率</w:t>
            </w:r>
          </w:p>
        </w:tc>
        <w:tc>
          <w:tcPr>
            <w:tcW w:w="593" w:type="pct"/>
            <w:vAlign w:val="center"/>
          </w:tcPr>
          <w:p w14:paraId="0136422A">
            <w:pPr>
              <w:adjustRightInd/>
              <w:snapToGrid/>
              <w:spacing w:line="240" w:lineRule="auto"/>
              <w:ind w:firstLine="0" w:firstLineChars="0"/>
              <w:contextualSpacing/>
              <w:jc w:val="center"/>
              <w:rPr>
                <w:sz w:val="21"/>
                <w:szCs w:val="21"/>
              </w:rPr>
            </w:pPr>
            <w:r>
              <w:rPr>
                <w:rFonts w:hint="eastAsia"/>
                <w:sz w:val="21"/>
                <w:szCs w:val="21"/>
              </w:rPr>
              <w:t>0</w:t>
            </w:r>
          </w:p>
        </w:tc>
        <w:tc>
          <w:tcPr>
            <w:tcW w:w="824" w:type="pct"/>
            <w:vAlign w:val="center"/>
          </w:tcPr>
          <w:p w14:paraId="482223F9">
            <w:pPr>
              <w:adjustRightInd/>
              <w:snapToGrid/>
              <w:spacing w:line="240" w:lineRule="auto"/>
              <w:ind w:firstLine="0" w:firstLineChars="0"/>
              <w:contextualSpacing/>
              <w:jc w:val="center"/>
              <w:rPr>
                <w:sz w:val="21"/>
                <w:szCs w:val="21"/>
              </w:rPr>
            </w:pPr>
            <w:r>
              <w:rPr>
                <w:rFonts w:hint="eastAsia"/>
                <w:sz w:val="21"/>
                <w:szCs w:val="21"/>
              </w:rPr>
              <w:t>0</w:t>
            </w:r>
          </w:p>
        </w:tc>
        <w:tc>
          <w:tcPr>
            <w:tcW w:w="824" w:type="pct"/>
            <w:vAlign w:val="center"/>
          </w:tcPr>
          <w:p w14:paraId="4799A129">
            <w:pPr>
              <w:adjustRightInd/>
              <w:snapToGrid/>
              <w:spacing w:line="240" w:lineRule="auto"/>
              <w:ind w:firstLine="0" w:firstLineChars="0"/>
              <w:contextualSpacing/>
              <w:jc w:val="center"/>
              <w:rPr>
                <w:sz w:val="21"/>
                <w:szCs w:val="21"/>
              </w:rPr>
            </w:pPr>
            <w:r>
              <w:rPr>
                <w:rFonts w:hint="eastAsia"/>
                <w:sz w:val="21"/>
                <w:szCs w:val="21"/>
              </w:rPr>
              <w:t>0</w:t>
            </w:r>
          </w:p>
        </w:tc>
        <w:tc>
          <w:tcPr>
            <w:tcW w:w="553" w:type="pct"/>
            <w:vAlign w:val="center"/>
          </w:tcPr>
          <w:p w14:paraId="6BC88612">
            <w:pPr>
              <w:adjustRightInd/>
              <w:snapToGrid/>
              <w:spacing w:line="240" w:lineRule="auto"/>
              <w:ind w:firstLine="0" w:firstLineChars="0"/>
              <w:contextualSpacing/>
              <w:jc w:val="center"/>
              <w:rPr>
                <w:sz w:val="21"/>
                <w:szCs w:val="21"/>
              </w:rPr>
            </w:pPr>
            <w:r>
              <w:rPr>
                <w:rFonts w:hint="eastAsia"/>
                <w:sz w:val="21"/>
                <w:szCs w:val="21"/>
              </w:rPr>
              <w:t>0</w:t>
            </w:r>
          </w:p>
        </w:tc>
        <w:tc>
          <w:tcPr>
            <w:tcW w:w="551" w:type="pct"/>
            <w:vAlign w:val="center"/>
          </w:tcPr>
          <w:p w14:paraId="06CC5B20">
            <w:pPr>
              <w:adjustRightInd/>
              <w:snapToGrid/>
              <w:spacing w:line="240" w:lineRule="auto"/>
              <w:ind w:firstLine="0" w:firstLineChars="0"/>
              <w:contextualSpacing/>
              <w:jc w:val="center"/>
              <w:rPr>
                <w:sz w:val="21"/>
                <w:szCs w:val="21"/>
              </w:rPr>
            </w:pPr>
            <w:r>
              <w:rPr>
                <w:rFonts w:hint="eastAsia"/>
                <w:sz w:val="21"/>
                <w:szCs w:val="21"/>
              </w:rPr>
              <w:t>0</w:t>
            </w:r>
          </w:p>
        </w:tc>
        <w:tc>
          <w:tcPr>
            <w:tcW w:w="441" w:type="pct"/>
            <w:vAlign w:val="center"/>
          </w:tcPr>
          <w:p w14:paraId="68D09464">
            <w:pPr>
              <w:adjustRightInd/>
              <w:snapToGrid/>
              <w:spacing w:line="240" w:lineRule="auto"/>
              <w:ind w:firstLine="0" w:firstLineChars="0"/>
              <w:contextualSpacing/>
              <w:jc w:val="center"/>
              <w:rPr>
                <w:sz w:val="21"/>
                <w:szCs w:val="21"/>
              </w:rPr>
            </w:pPr>
            <w:r>
              <w:rPr>
                <w:rFonts w:hint="eastAsia"/>
                <w:sz w:val="21"/>
                <w:szCs w:val="21"/>
              </w:rPr>
              <w:t>0</w:t>
            </w:r>
          </w:p>
        </w:tc>
      </w:tr>
      <w:tr w14:paraId="4821F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14" w:type="pct"/>
            <w:gridSpan w:val="2"/>
            <w:vAlign w:val="center"/>
          </w:tcPr>
          <w:p w14:paraId="10EEB050">
            <w:pPr>
              <w:adjustRightInd/>
              <w:snapToGrid/>
              <w:spacing w:line="240" w:lineRule="auto"/>
              <w:ind w:firstLine="0" w:firstLineChars="0"/>
              <w:contextualSpacing/>
              <w:jc w:val="center"/>
              <w:rPr>
                <w:sz w:val="21"/>
                <w:szCs w:val="21"/>
              </w:rPr>
            </w:pPr>
            <w:r>
              <w:rPr>
                <w:rFonts w:hint="eastAsia"/>
                <w:sz w:val="21"/>
                <w:szCs w:val="21"/>
              </w:rPr>
              <w:t>最大超标倍数</w:t>
            </w:r>
          </w:p>
        </w:tc>
        <w:tc>
          <w:tcPr>
            <w:tcW w:w="593" w:type="pct"/>
            <w:vAlign w:val="center"/>
          </w:tcPr>
          <w:p w14:paraId="504CE74A">
            <w:pPr>
              <w:adjustRightInd/>
              <w:snapToGrid/>
              <w:spacing w:line="240" w:lineRule="auto"/>
              <w:ind w:firstLine="0" w:firstLineChars="0"/>
              <w:contextualSpacing/>
              <w:jc w:val="center"/>
              <w:rPr>
                <w:sz w:val="21"/>
                <w:szCs w:val="21"/>
              </w:rPr>
            </w:pPr>
            <w:r>
              <w:rPr>
                <w:rFonts w:hint="eastAsia"/>
                <w:sz w:val="21"/>
                <w:szCs w:val="21"/>
              </w:rPr>
              <w:t>0</w:t>
            </w:r>
          </w:p>
        </w:tc>
        <w:tc>
          <w:tcPr>
            <w:tcW w:w="824" w:type="pct"/>
            <w:vAlign w:val="center"/>
          </w:tcPr>
          <w:p w14:paraId="29F764ED">
            <w:pPr>
              <w:adjustRightInd/>
              <w:snapToGrid/>
              <w:spacing w:line="240" w:lineRule="auto"/>
              <w:ind w:firstLine="0" w:firstLineChars="0"/>
              <w:contextualSpacing/>
              <w:jc w:val="center"/>
              <w:rPr>
                <w:sz w:val="21"/>
                <w:szCs w:val="21"/>
              </w:rPr>
            </w:pPr>
            <w:r>
              <w:rPr>
                <w:rFonts w:hint="eastAsia"/>
                <w:sz w:val="21"/>
                <w:szCs w:val="21"/>
              </w:rPr>
              <w:t>0</w:t>
            </w:r>
          </w:p>
        </w:tc>
        <w:tc>
          <w:tcPr>
            <w:tcW w:w="824" w:type="pct"/>
            <w:vAlign w:val="center"/>
          </w:tcPr>
          <w:p w14:paraId="44236A5A">
            <w:pPr>
              <w:adjustRightInd/>
              <w:snapToGrid/>
              <w:spacing w:line="240" w:lineRule="auto"/>
              <w:ind w:firstLine="0" w:firstLineChars="0"/>
              <w:contextualSpacing/>
              <w:jc w:val="center"/>
              <w:rPr>
                <w:sz w:val="21"/>
                <w:szCs w:val="21"/>
              </w:rPr>
            </w:pPr>
            <w:r>
              <w:rPr>
                <w:rFonts w:hint="eastAsia"/>
                <w:sz w:val="21"/>
                <w:szCs w:val="21"/>
              </w:rPr>
              <w:t>0</w:t>
            </w:r>
          </w:p>
        </w:tc>
        <w:tc>
          <w:tcPr>
            <w:tcW w:w="553" w:type="pct"/>
            <w:vAlign w:val="center"/>
          </w:tcPr>
          <w:p w14:paraId="1DB3DE28">
            <w:pPr>
              <w:adjustRightInd/>
              <w:snapToGrid/>
              <w:spacing w:line="240" w:lineRule="auto"/>
              <w:ind w:firstLine="0" w:firstLineChars="0"/>
              <w:contextualSpacing/>
              <w:jc w:val="center"/>
              <w:rPr>
                <w:sz w:val="21"/>
                <w:szCs w:val="21"/>
              </w:rPr>
            </w:pPr>
            <w:r>
              <w:rPr>
                <w:rFonts w:hint="eastAsia"/>
                <w:sz w:val="21"/>
                <w:szCs w:val="21"/>
              </w:rPr>
              <w:t>0</w:t>
            </w:r>
          </w:p>
        </w:tc>
        <w:tc>
          <w:tcPr>
            <w:tcW w:w="551" w:type="pct"/>
            <w:vAlign w:val="center"/>
          </w:tcPr>
          <w:p w14:paraId="185E67BF">
            <w:pPr>
              <w:adjustRightInd/>
              <w:snapToGrid/>
              <w:spacing w:line="240" w:lineRule="auto"/>
              <w:ind w:firstLine="0" w:firstLineChars="0"/>
              <w:contextualSpacing/>
              <w:jc w:val="center"/>
              <w:rPr>
                <w:sz w:val="21"/>
                <w:szCs w:val="21"/>
              </w:rPr>
            </w:pPr>
            <w:r>
              <w:rPr>
                <w:rFonts w:hint="eastAsia"/>
                <w:sz w:val="21"/>
                <w:szCs w:val="21"/>
              </w:rPr>
              <w:t>0</w:t>
            </w:r>
          </w:p>
        </w:tc>
        <w:tc>
          <w:tcPr>
            <w:tcW w:w="441" w:type="pct"/>
            <w:vAlign w:val="center"/>
          </w:tcPr>
          <w:p w14:paraId="78BEBB3D">
            <w:pPr>
              <w:adjustRightInd/>
              <w:snapToGrid/>
              <w:spacing w:line="240" w:lineRule="auto"/>
              <w:ind w:firstLine="0" w:firstLineChars="0"/>
              <w:contextualSpacing/>
              <w:jc w:val="center"/>
              <w:rPr>
                <w:sz w:val="21"/>
                <w:szCs w:val="21"/>
              </w:rPr>
            </w:pPr>
            <w:r>
              <w:rPr>
                <w:rFonts w:hint="eastAsia"/>
                <w:sz w:val="21"/>
                <w:szCs w:val="21"/>
              </w:rPr>
              <w:t>0</w:t>
            </w:r>
          </w:p>
        </w:tc>
      </w:tr>
      <w:tr w14:paraId="7C0BD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14" w:type="pct"/>
            <w:gridSpan w:val="2"/>
            <w:vAlign w:val="center"/>
          </w:tcPr>
          <w:p w14:paraId="5C0877A0">
            <w:pPr>
              <w:adjustRightInd/>
              <w:snapToGrid/>
              <w:spacing w:line="240" w:lineRule="auto"/>
              <w:ind w:firstLine="0" w:firstLineChars="0"/>
              <w:contextualSpacing/>
              <w:jc w:val="center"/>
              <w:rPr>
                <w:sz w:val="21"/>
                <w:szCs w:val="21"/>
              </w:rPr>
            </w:pPr>
            <w:r>
              <w:rPr>
                <w:sz w:val="21"/>
                <w:szCs w:val="21"/>
              </w:rPr>
              <w:t>标准值</w:t>
            </w:r>
          </w:p>
        </w:tc>
        <w:tc>
          <w:tcPr>
            <w:tcW w:w="593" w:type="pct"/>
            <w:vAlign w:val="center"/>
          </w:tcPr>
          <w:p w14:paraId="26120CA5">
            <w:pPr>
              <w:adjustRightInd/>
              <w:snapToGrid/>
              <w:spacing w:line="240" w:lineRule="auto"/>
              <w:ind w:firstLine="0" w:firstLineChars="0"/>
              <w:contextualSpacing/>
              <w:jc w:val="center"/>
              <w:rPr>
                <w:sz w:val="21"/>
                <w:szCs w:val="21"/>
              </w:rPr>
            </w:pPr>
            <w:r>
              <w:rPr>
                <w:sz w:val="21"/>
                <w:szCs w:val="21"/>
              </w:rPr>
              <w:t>100</w:t>
            </w:r>
          </w:p>
        </w:tc>
        <w:tc>
          <w:tcPr>
            <w:tcW w:w="824" w:type="pct"/>
            <w:vAlign w:val="center"/>
          </w:tcPr>
          <w:p w14:paraId="52F69190">
            <w:pPr>
              <w:adjustRightInd/>
              <w:snapToGrid/>
              <w:spacing w:line="240" w:lineRule="auto"/>
              <w:ind w:firstLine="0" w:firstLineChars="0"/>
              <w:contextualSpacing/>
              <w:jc w:val="center"/>
              <w:rPr>
                <w:sz w:val="21"/>
                <w:szCs w:val="21"/>
              </w:rPr>
            </w:pPr>
            <w:r>
              <w:rPr>
                <w:sz w:val="21"/>
                <w:szCs w:val="21"/>
              </w:rPr>
              <w:t>3.0</w:t>
            </w:r>
          </w:p>
        </w:tc>
        <w:tc>
          <w:tcPr>
            <w:tcW w:w="824" w:type="pct"/>
            <w:vAlign w:val="center"/>
          </w:tcPr>
          <w:p w14:paraId="3C248B7A">
            <w:pPr>
              <w:adjustRightInd/>
              <w:snapToGrid/>
              <w:spacing w:line="240" w:lineRule="auto"/>
              <w:ind w:firstLine="0" w:firstLineChars="0"/>
              <w:contextualSpacing/>
              <w:jc w:val="center"/>
              <w:rPr>
                <w:sz w:val="21"/>
                <w:szCs w:val="21"/>
              </w:rPr>
            </w:pPr>
            <w:r>
              <w:rPr>
                <w:rFonts w:hint="eastAsia"/>
                <w:sz w:val="21"/>
                <w:szCs w:val="21"/>
              </w:rPr>
              <w:t>250</w:t>
            </w:r>
          </w:p>
        </w:tc>
        <w:tc>
          <w:tcPr>
            <w:tcW w:w="553" w:type="pct"/>
            <w:vAlign w:val="center"/>
          </w:tcPr>
          <w:p w14:paraId="61079791">
            <w:pPr>
              <w:adjustRightInd/>
              <w:snapToGrid/>
              <w:spacing w:line="240" w:lineRule="auto"/>
              <w:ind w:firstLine="0" w:firstLineChars="0"/>
              <w:contextualSpacing/>
              <w:jc w:val="center"/>
              <w:rPr>
                <w:sz w:val="21"/>
                <w:szCs w:val="21"/>
              </w:rPr>
            </w:pPr>
            <w:r>
              <w:rPr>
                <w:rFonts w:hint="eastAsia"/>
                <w:sz w:val="21"/>
                <w:szCs w:val="21"/>
              </w:rPr>
              <w:t>250</w:t>
            </w:r>
          </w:p>
        </w:tc>
        <w:tc>
          <w:tcPr>
            <w:tcW w:w="551" w:type="pct"/>
            <w:vAlign w:val="center"/>
          </w:tcPr>
          <w:p w14:paraId="7B4E841E">
            <w:pPr>
              <w:adjustRightInd/>
              <w:snapToGrid/>
              <w:spacing w:line="240" w:lineRule="auto"/>
              <w:ind w:firstLine="0" w:firstLineChars="0"/>
              <w:contextualSpacing/>
              <w:jc w:val="center"/>
              <w:rPr>
                <w:sz w:val="21"/>
                <w:szCs w:val="21"/>
              </w:rPr>
            </w:pPr>
            <w:r>
              <w:rPr>
                <w:rFonts w:hint="eastAsia"/>
                <w:sz w:val="21"/>
                <w:szCs w:val="21"/>
              </w:rPr>
              <w:t>/</w:t>
            </w:r>
          </w:p>
        </w:tc>
        <w:tc>
          <w:tcPr>
            <w:tcW w:w="441" w:type="pct"/>
            <w:vAlign w:val="center"/>
          </w:tcPr>
          <w:p w14:paraId="0E2F6910">
            <w:pPr>
              <w:adjustRightInd/>
              <w:snapToGrid/>
              <w:spacing w:line="240" w:lineRule="auto"/>
              <w:ind w:firstLine="0" w:firstLineChars="0"/>
              <w:contextualSpacing/>
              <w:jc w:val="center"/>
              <w:rPr>
                <w:sz w:val="21"/>
                <w:szCs w:val="21"/>
              </w:rPr>
            </w:pPr>
            <w:r>
              <w:rPr>
                <w:rFonts w:hint="eastAsia"/>
                <w:sz w:val="21"/>
                <w:szCs w:val="21"/>
              </w:rPr>
              <w:t>15</w:t>
            </w:r>
          </w:p>
        </w:tc>
      </w:tr>
      <w:tr w14:paraId="76A50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14" w:type="pct"/>
            <w:gridSpan w:val="2"/>
            <w:vAlign w:val="center"/>
          </w:tcPr>
          <w:p w14:paraId="6CC6B4C7">
            <w:pPr>
              <w:adjustRightInd/>
              <w:snapToGrid/>
              <w:spacing w:line="240" w:lineRule="auto"/>
              <w:ind w:firstLine="0" w:firstLineChars="0"/>
              <w:contextualSpacing/>
              <w:jc w:val="center"/>
              <w:rPr>
                <w:sz w:val="21"/>
                <w:szCs w:val="21"/>
              </w:rPr>
            </w:pPr>
            <w:r>
              <w:rPr>
                <w:sz w:val="21"/>
                <w:szCs w:val="21"/>
              </w:rPr>
              <w:t>达标情况</w:t>
            </w:r>
          </w:p>
        </w:tc>
        <w:tc>
          <w:tcPr>
            <w:tcW w:w="593" w:type="pct"/>
            <w:vAlign w:val="center"/>
          </w:tcPr>
          <w:p w14:paraId="7E65C797">
            <w:pPr>
              <w:adjustRightInd/>
              <w:snapToGrid/>
              <w:spacing w:line="240" w:lineRule="auto"/>
              <w:ind w:firstLine="0" w:firstLineChars="0"/>
              <w:contextualSpacing/>
              <w:jc w:val="center"/>
              <w:rPr>
                <w:sz w:val="21"/>
                <w:szCs w:val="21"/>
                <w:lang w:bidi="ar"/>
              </w:rPr>
            </w:pPr>
            <w:r>
              <w:rPr>
                <w:sz w:val="21"/>
                <w:szCs w:val="21"/>
                <w:lang w:bidi="ar"/>
              </w:rPr>
              <w:t>达标</w:t>
            </w:r>
          </w:p>
        </w:tc>
        <w:tc>
          <w:tcPr>
            <w:tcW w:w="824" w:type="pct"/>
            <w:vAlign w:val="center"/>
          </w:tcPr>
          <w:p w14:paraId="606739DA">
            <w:pPr>
              <w:adjustRightInd/>
              <w:snapToGrid/>
              <w:spacing w:line="240" w:lineRule="auto"/>
              <w:ind w:firstLine="0" w:firstLineChars="0"/>
              <w:contextualSpacing/>
              <w:jc w:val="center"/>
              <w:rPr>
                <w:sz w:val="21"/>
                <w:szCs w:val="21"/>
                <w:lang w:bidi="ar"/>
              </w:rPr>
            </w:pPr>
            <w:r>
              <w:rPr>
                <w:sz w:val="21"/>
                <w:szCs w:val="21"/>
                <w:lang w:bidi="ar"/>
              </w:rPr>
              <w:t>达标</w:t>
            </w:r>
          </w:p>
        </w:tc>
        <w:tc>
          <w:tcPr>
            <w:tcW w:w="824" w:type="pct"/>
            <w:vAlign w:val="center"/>
          </w:tcPr>
          <w:p w14:paraId="71B94700">
            <w:pPr>
              <w:adjustRightInd/>
              <w:snapToGrid/>
              <w:spacing w:line="240" w:lineRule="auto"/>
              <w:ind w:firstLine="0" w:firstLineChars="0"/>
              <w:contextualSpacing/>
              <w:jc w:val="center"/>
              <w:rPr>
                <w:sz w:val="21"/>
                <w:szCs w:val="21"/>
              </w:rPr>
            </w:pPr>
            <w:r>
              <w:rPr>
                <w:sz w:val="21"/>
                <w:szCs w:val="21"/>
                <w:lang w:bidi="ar"/>
              </w:rPr>
              <w:t>达标</w:t>
            </w:r>
          </w:p>
        </w:tc>
        <w:tc>
          <w:tcPr>
            <w:tcW w:w="553" w:type="pct"/>
            <w:vAlign w:val="center"/>
          </w:tcPr>
          <w:p w14:paraId="6BE5C26F">
            <w:pPr>
              <w:adjustRightInd/>
              <w:snapToGrid/>
              <w:spacing w:line="240" w:lineRule="auto"/>
              <w:ind w:firstLine="0" w:firstLineChars="0"/>
              <w:contextualSpacing/>
              <w:jc w:val="center"/>
              <w:rPr>
                <w:sz w:val="21"/>
                <w:szCs w:val="21"/>
              </w:rPr>
            </w:pPr>
            <w:r>
              <w:rPr>
                <w:sz w:val="21"/>
                <w:szCs w:val="21"/>
                <w:lang w:bidi="ar"/>
              </w:rPr>
              <w:t>达标</w:t>
            </w:r>
          </w:p>
        </w:tc>
        <w:tc>
          <w:tcPr>
            <w:tcW w:w="551" w:type="pct"/>
            <w:vAlign w:val="center"/>
          </w:tcPr>
          <w:p w14:paraId="68610AD7">
            <w:pPr>
              <w:adjustRightInd/>
              <w:snapToGrid/>
              <w:spacing w:line="240" w:lineRule="auto"/>
              <w:ind w:firstLine="0" w:firstLineChars="0"/>
              <w:contextualSpacing/>
              <w:jc w:val="center"/>
              <w:rPr>
                <w:sz w:val="21"/>
                <w:szCs w:val="21"/>
              </w:rPr>
            </w:pPr>
            <w:r>
              <w:rPr>
                <w:sz w:val="21"/>
                <w:szCs w:val="21"/>
                <w:lang w:bidi="ar"/>
              </w:rPr>
              <w:t>达标</w:t>
            </w:r>
          </w:p>
        </w:tc>
        <w:tc>
          <w:tcPr>
            <w:tcW w:w="441" w:type="pct"/>
            <w:vAlign w:val="center"/>
          </w:tcPr>
          <w:p w14:paraId="6DE9D74F">
            <w:pPr>
              <w:adjustRightInd/>
              <w:snapToGrid/>
              <w:spacing w:line="240" w:lineRule="auto"/>
              <w:ind w:firstLine="0" w:firstLineChars="0"/>
              <w:contextualSpacing/>
              <w:jc w:val="center"/>
              <w:rPr>
                <w:sz w:val="21"/>
                <w:szCs w:val="21"/>
              </w:rPr>
            </w:pPr>
            <w:r>
              <w:rPr>
                <w:sz w:val="21"/>
                <w:szCs w:val="21"/>
                <w:lang w:bidi="ar"/>
              </w:rPr>
              <w:t>达标</w:t>
            </w:r>
          </w:p>
        </w:tc>
      </w:tr>
    </w:tbl>
    <w:p w14:paraId="1D3EC955">
      <w:pPr>
        <w:pStyle w:val="64"/>
        <w:spacing w:before="120" w:after="120"/>
        <w:ind w:firstLine="0" w:firstLineChars="0"/>
        <w:rPr>
          <w:sz w:val="21"/>
          <w:szCs w:val="21"/>
          <w:highlight w:val="yellow"/>
        </w:rPr>
      </w:pPr>
    </w:p>
    <w:p w14:paraId="69699725">
      <w:pPr>
        <w:ind w:firstLine="0" w:firstLineChars="0"/>
        <w:rPr>
          <w:highlight w:val="yellow"/>
        </w:rPr>
        <w:sectPr>
          <w:pgSz w:w="16838" w:h="11906" w:orient="landscape"/>
          <w:pgMar w:top="1797" w:right="1440" w:bottom="1797" w:left="1440" w:header="851" w:footer="992" w:gutter="0"/>
          <w:cols w:space="425" w:num="1"/>
          <w:docGrid w:linePitch="326" w:charSpace="0"/>
        </w:sectPr>
      </w:pPr>
    </w:p>
    <w:p w14:paraId="1D3EC957">
      <w:pPr>
        <w:ind w:firstLine="480"/>
      </w:pPr>
      <w:r>
        <w:t>由以上监测统计结果分析可知，评价区域内</w:t>
      </w:r>
      <w:r>
        <w:rPr>
          <w:rFonts w:hint="eastAsia"/>
        </w:rPr>
        <w:t>各</w:t>
      </w:r>
      <w:r>
        <w:t>监测点位的地下水水质因子pH、总硬度、氨氮、耗氧量、溶解性总固体、Cl</w:t>
      </w:r>
      <w:r>
        <w:rPr>
          <w:vertAlign w:val="superscript"/>
        </w:rPr>
        <w:t>-</w:t>
      </w:r>
      <w:r>
        <w:t>、SO</w:t>
      </w:r>
      <w:r>
        <w:rPr>
          <w:vertAlign w:val="subscript"/>
        </w:rPr>
        <w:t>4</w:t>
      </w:r>
      <w:r>
        <w:rPr>
          <w:vertAlign w:val="superscript"/>
        </w:rPr>
        <w:t>2-</w:t>
      </w:r>
      <w:r>
        <w:t>等监测因子均能满足《地下水质量标准》（GB/T1484</w:t>
      </w:r>
      <w:r>
        <w:rPr>
          <w:rFonts w:hint="eastAsia"/>
        </w:rPr>
        <w:t>8</w:t>
      </w:r>
      <w:r>
        <w:t>-2017）Ⅲ类标准的要求。</w:t>
      </w:r>
    </w:p>
    <w:p w14:paraId="440E943E">
      <w:pPr>
        <w:pStyle w:val="2"/>
        <w:spacing w:after="0"/>
        <w:ind w:firstLine="480"/>
      </w:pPr>
      <w:r>
        <w:rPr>
          <w:rFonts w:hint="eastAsia"/>
        </w:rPr>
        <w:t>根据核算，项目所在区域地下水化学类型主要为HCO</w:t>
      </w:r>
      <w:r>
        <w:rPr>
          <w:rFonts w:hint="eastAsia"/>
          <w:vertAlign w:val="subscript"/>
        </w:rPr>
        <w:t>3</w:t>
      </w:r>
      <w:r>
        <w:rPr>
          <w:rFonts w:hint="eastAsia"/>
        </w:rPr>
        <w:t>-Mg·Ca型水。</w:t>
      </w:r>
    </w:p>
    <w:p w14:paraId="1D3EC958">
      <w:pPr>
        <w:ind w:firstLine="480"/>
      </w:pPr>
      <w:r>
        <w:t>监测期间实测的地下水水位结果见下表。</w:t>
      </w:r>
    </w:p>
    <w:p w14:paraId="1D3EC959">
      <w:pPr>
        <w:numPr>
          <w:ilvl w:val="0"/>
          <w:numId w:val="23"/>
        </w:numPr>
        <w:adjustRightInd/>
        <w:snapToGrid/>
        <w:ind w:firstLineChars="0"/>
        <w:textAlignment w:val="auto"/>
        <w:rPr>
          <w:rFonts w:eastAsia="黑体"/>
        </w:rPr>
      </w:pPr>
      <w:r>
        <w:rPr>
          <w:rFonts w:eastAsia="黑体"/>
        </w:rPr>
        <w:t xml:space="preserve">     </w:t>
      </w:r>
      <w:r>
        <w:rPr>
          <w:rFonts w:hint="eastAsia" w:eastAsia="黑体"/>
        </w:rPr>
        <w:t xml:space="preserve"> </w:t>
      </w:r>
      <w:r>
        <w:rPr>
          <w:rFonts w:eastAsia="黑体"/>
        </w:rPr>
        <w:t xml:space="preserve">   地下水水位现状监测结果统计表   </w:t>
      </w:r>
      <w:r>
        <w:rPr>
          <w:rFonts w:hint="eastAsia" w:eastAsia="黑体"/>
        </w:rPr>
        <w:t xml:space="preserve"> </w:t>
      </w:r>
      <w:r>
        <w:rPr>
          <w:rFonts w:eastAsia="黑体"/>
        </w:rPr>
        <w:t xml:space="preserve">    单位：mg/L</w:t>
      </w: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1708"/>
        <w:gridCol w:w="859"/>
        <w:gridCol w:w="934"/>
        <w:gridCol w:w="1213"/>
        <w:gridCol w:w="1287"/>
        <w:gridCol w:w="1145"/>
        <w:gridCol w:w="1222"/>
      </w:tblGrid>
      <w:tr w14:paraId="1D3EC9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Merge w:val="restart"/>
            <w:vAlign w:val="center"/>
          </w:tcPr>
          <w:p w14:paraId="1D3EC95A">
            <w:pPr>
              <w:adjustRightInd/>
              <w:snapToGrid/>
              <w:spacing w:line="240" w:lineRule="auto"/>
              <w:ind w:firstLine="0" w:firstLineChars="0"/>
              <w:jc w:val="center"/>
              <w:textAlignment w:val="auto"/>
              <w:rPr>
                <w:b/>
                <w:kern w:val="2"/>
                <w:sz w:val="21"/>
                <w:szCs w:val="21"/>
              </w:rPr>
            </w:pPr>
            <w:r>
              <w:rPr>
                <w:b/>
                <w:kern w:val="2"/>
                <w:sz w:val="21"/>
                <w:szCs w:val="21"/>
              </w:rPr>
              <w:t>检测点位</w:t>
            </w:r>
          </w:p>
        </w:tc>
        <w:tc>
          <w:tcPr>
            <w:tcW w:w="3979" w:type="pct"/>
            <w:gridSpan w:val="6"/>
            <w:vAlign w:val="center"/>
          </w:tcPr>
          <w:p w14:paraId="359BA2EC">
            <w:pPr>
              <w:adjustRightInd/>
              <w:snapToGrid/>
              <w:spacing w:line="240" w:lineRule="auto"/>
              <w:ind w:firstLine="0" w:firstLineChars="0"/>
              <w:jc w:val="center"/>
              <w:textAlignment w:val="auto"/>
              <w:rPr>
                <w:b/>
                <w:kern w:val="2"/>
                <w:sz w:val="21"/>
                <w:szCs w:val="21"/>
              </w:rPr>
            </w:pPr>
            <w:r>
              <w:rPr>
                <w:b/>
                <w:kern w:val="2"/>
                <w:sz w:val="21"/>
                <w:szCs w:val="21"/>
              </w:rPr>
              <w:t>检测项目</w:t>
            </w:r>
          </w:p>
        </w:tc>
      </w:tr>
      <w:tr w14:paraId="481E06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Merge w:val="continue"/>
            <w:vAlign w:val="center"/>
          </w:tcPr>
          <w:p w14:paraId="62F4ECC1">
            <w:pPr>
              <w:adjustRightInd/>
              <w:snapToGrid/>
              <w:spacing w:line="240" w:lineRule="auto"/>
              <w:ind w:firstLine="0" w:firstLineChars="0"/>
              <w:jc w:val="center"/>
              <w:textAlignment w:val="auto"/>
              <w:rPr>
                <w:b/>
                <w:kern w:val="2"/>
                <w:sz w:val="21"/>
                <w:szCs w:val="21"/>
              </w:rPr>
            </w:pPr>
          </w:p>
        </w:tc>
        <w:tc>
          <w:tcPr>
            <w:tcW w:w="513" w:type="pct"/>
            <w:vMerge w:val="restart"/>
            <w:vAlign w:val="center"/>
          </w:tcPr>
          <w:p w14:paraId="692BA0E5">
            <w:pPr>
              <w:spacing w:line="240" w:lineRule="auto"/>
              <w:ind w:firstLine="0" w:firstLineChars="0"/>
              <w:jc w:val="center"/>
              <w:rPr>
                <w:b/>
                <w:kern w:val="2"/>
                <w:sz w:val="21"/>
                <w:szCs w:val="21"/>
              </w:rPr>
            </w:pPr>
            <w:r>
              <w:rPr>
                <w:b/>
                <w:kern w:val="2"/>
                <w:sz w:val="21"/>
                <w:szCs w:val="21"/>
              </w:rPr>
              <w:t>井深（m）</w:t>
            </w:r>
          </w:p>
        </w:tc>
        <w:tc>
          <w:tcPr>
            <w:tcW w:w="558" w:type="pct"/>
            <w:vMerge w:val="restart"/>
            <w:vAlign w:val="center"/>
          </w:tcPr>
          <w:p w14:paraId="49C869E7">
            <w:pPr>
              <w:spacing w:line="240" w:lineRule="auto"/>
              <w:ind w:firstLine="0" w:firstLineChars="0"/>
              <w:jc w:val="center"/>
              <w:rPr>
                <w:b/>
                <w:kern w:val="2"/>
                <w:sz w:val="21"/>
                <w:szCs w:val="21"/>
              </w:rPr>
            </w:pPr>
            <w:r>
              <w:rPr>
                <w:b/>
                <w:kern w:val="2"/>
                <w:sz w:val="21"/>
                <w:szCs w:val="21"/>
              </w:rPr>
              <w:t>水温（℃）</w:t>
            </w:r>
          </w:p>
        </w:tc>
        <w:tc>
          <w:tcPr>
            <w:tcW w:w="1494" w:type="pct"/>
            <w:gridSpan w:val="2"/>
            <w:vAlign w:val="center"/>
          </w:tcPr>
          <w:p w14:paraId="3FC6C91C">
            <w:pPr>
              <w:adjustRightInd/>
              <w:snapToGrid/>
              <w:spacing w:line="240" w:lineRule="auto"/>
              <w:ind w:firstLine="0" w:firstLineChars="0"/>
              <w:jc w:val="center"/>
              <w:textAlignment w:val="auto"/>
              <w:rPr>
                <w:b/>
                <w:kern w:val="2"/>
                <w:sz w:val="21"/>
                <w:szCs w:val="21"/>
              </w:rPr>
            </w:pPr>
            <w:r>
              <w:rPr>
                <w:rFonts w:hint="eastAsia"/>
                <w:b/>
                <w:kern w:val="2"/>
                <w:sz w:val="21"/>
                <w:szCs w:val="21"/>
              </w:rPr>
              <w:t>丰水期（8月）</w:t>
            </w:r>
          </w:p>
        </w:tc>
        <w:tc>
          <w:tcPr>
            <w:tcW w:w="1414" w:type="pct"/>
            <w:gridSpan w:val="2"/>
            <w:vAlign w:val="center"/>
          </w:tcPr>
          <w:p w14:paraId="75059CE3">
            <w:pPr>
              <w:adjustRightInd/>
              <w:snapToGrid/>
              <w:spacing w:line="240" w:lineRule="auto"/>
              <w:ind w:firstLine="0" w:firstLineChars="0"/>
              <w:jc w:val="center"/>
              <w:textAlignment w:val="auto"/>
              <w:rPr>
                <w:b/>
                <w:kern w:val="2"/>
                <w:sz w:val="21"/>
                <w:szCs w:val="21"/>
              </w:rPr>
            </w:pPr>
            <w:r>
              <w:rPr>
                <w:rFonts w:hint="eastAsia"/>
                <w:b/>
                <w:kern w:val="2"/>
                <w:sz w:val="21"/>
                <w:szCs w:val="21"/>
              </w:rPr>
              <w:t>枯水期（5月）</w:t>
            </w:r>
          </w:p>
        </w:tc>
      </w:tr>
      <w:tr w14:paraId="1D3EC9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Merge w:val="continue"/>
            <w:vAlign w:val="center"/>
          </w:tcPr>
          <w:p w14:paraId="1D3EC95D">
            <w:pPr>
              <w:adjustRightInd/>
              <w:snapToGrid/>
              <w:spacing w:line="240" w:lineRule="auto"/>
              <w:ind w:firstLine="0" w:firstLineChars="0"/>
              <w:jc w:val="center"/>
              <w:textAlignment w:val="auto"/>
              <w:rPr>
                <w:b/>
                <w:kern w:val="2"/>
                <w:sz w:val="21"/>
                <w:szCs w:val="21"/>
              </w:rPr>
            </w:pPr>
          </w:p>
        </w:tc>
        <w:tc>
          <w:tcPr>
            <w:tcW w:w="513" w:type="pct"/>
            <w:vMerge w:val="continue"/>
            <w:vAlign w:val="center"/>
          </w:tcPr>
          <w:p w14:paraId="26082A8F">
            <w:pPr>
              <w:adjustRightInd/>
              <w:snapToGrid/>
              <w:spacing w:line="240" w:lineRule="auto"/>
              <w:ind w:firstLine="0" w:firstLineChars="0"/>
              <w:jc w:val="center"/>
              <w:textAlignment w:val="auto"/>
              <w:rPr>
                <w:b/>
                <w:kern w:val="2"/>
                <w:sz w:val="21"/>
                <w:szCs w:val="21"/>
              </w:rPr>
            </w:pPr>
          </w:p>
        </w:tc>
        <w:tc>
          <w:tcPr>
            <w:tcW w:w="558" w:type="pct"/>
            <w:vMerge w:val="continue"/>
            <w:vAlign w:val="center"/>
          </w:tcPr>
          <w:p w14:paraId="1D3EC95E">
            <w:pPr>
              <w:adjustRightInd/>
              <w:snapToGrid/>
              <w:spacing w:line="240" w:lineRule="auto"/>
              <w:ind w:firstLine="0" w:firstLineChars="0"/>
              <w:jc w:val="center"/>
              <w:textAlignment w:val="auto"/>
              <w:rPr>
                <w:b/>
                <w:kern w:val="2"/>
                <w:sz w:val="21"/>
                <w:szCs w:val="21"/>
              </w:rPr>
            </w:pPr>
          </w:p>
        </w:tc>
        <w:tc>
          <w:tcPr>
            <w:tcW w:w="725" w:type="pct"/>
            <w:tcBorders>
              <w:right w:val="single" w:color="auto" w:sz="4" w:space="0"/>
            </w:tcBorders>
            <w:vAlign w:val="center"/>
          </w:tcPr>
          <w:p w14:paraId="1D3EC95F">
            <w:pPr>
              <w:adjustRightInd/>
              <w:snapToGrid/>
              <w:spacing w:line="240" w:lineRule="auto"/>
              <w:ind w:firstLine="0" w:firstLineChars="0"/>
              <w:jc w:val="center"/>
              <w:textAlignment w:val="auto"/>
              <w:rPr>
                <w:b/>
                <w:kern w:val="2"/>
                <w:sz w:val="21"/>
                <w:szCs w:val="21"/>
              </w:rPr>
            </w:pPr>
            <w:r>
              <w:rPr>
                <w:b/>
                <w:kern w:val="2"/>
                <w:sz w:val="21"/>
                <w:szCs w:val="21"/>
              </w:rPr>
              <w:t>水位（m）</w:t>
            </w:r>
          </w:p>
        </w:tc>
        <w:tc>
          <w:tcPr>
            <w:tcW w:w="769" w:type="pct"/>
            <w:tcBorders>
              <w:left w:val="single" w:color="auto" w:sz="4" w:space="0"/>
            </w:tcBorders>
            <w:vAlign w:val="center"/>
          </w:tcPr>
          <w:p w14:paraId="1D3EC960">
            <w:pPr>
              <w:adjustRightInd/>
              <w:snapToGrid/>
              <w:spacing w:line="240" w:lineRule="auto"/>
              <w:ind w:firstLine="0" w:firstLineChars="0"/>
              <w:jc w:val="center"/>
              <w:textAlignment w:val="auto"/>
              <w:rPr>
                <w:b/>
                <w:kern w:val="2"/>
                <w:sz w:val="21"/>
                <w:szCs w:val="21"/>
              </w:rPr>
            </w:pPr>
            <w:r>
              <w:rPr>
                <w:b/>
                <w:kern w:val="2"/>
                <w:sz w:val="21"/>
                <w:szCs w:val="21"/>
              </w:rPr>
              <w:t>埋深*（m）</w:t>
            </w:r>
          </w:p>
        </w:tc>
        <w:tc>
          <w:tcPr>
            <w:tcW w:w="684" w:type="pct"/>
            <w:tcBorders>
              <w:left w:val="single" w:color="auto" w:sz="4" w:space="0"/>
            </w:tcBorders>
            <w:vAlign w:val="center"/>
          </w:tcPr>
          <w:p w14:paraId="578FF5AB">
            <w:pPr>
              <w:adjustRightInd/>
              <w:snapToGrid/>
              <w:spacing w:line="240" w:lineRule="auto"/>
              <w:ind w:firstLine="0" w:firstLineChars="0"/>
              <w:jc w:val="center"/>
              <w:textAlignment w:val="auto"/>
              <w:rPr>
                <w:b/>
                <w:kern w:val="2"/>
                <w:sz w:val="21"/>
                <w:szCs w:val="21"/>
              </w:rPr>
            </w:pPr>
            <w:r>
              <w:rPr>
                <w:b/>
                <w:kern w:val="2"/>
                <w:sz w:val="21"/>
                <w:szCs w:val="21"/>
              </w:rPr>
              <w:t>水位（m）</w:t>
            </w:r>
          </w:p>
        </w:tc>
        <w:tc>
          <w:tcPr>
            <w:tcW w:w="730" w:type="pct"/>
            <w:tcBorders>
              <w:left w:val="single" w:color="auto" w:sz="4" w:space="0"/>
            </w:tcBorders>
            <w:vAlign w:val="center"/>
          </w:tcPr>
          <w:p w14:paraId="0E196995">
            <w:pPr>
              <w:adjustRightInd/>
              <w:snapToGrid/>
              <w:spacing w:line="240" w:lineRule="auto"/>
              <w:ind w:firstLine="0" w:firstLineChars="0"/>
              <w:jc w:val="center"/>
              <w:textAlignment w:val="auto"/>
              <w:rPr>
                <w:b/>
                <w:kern w:val="2"/>
                <w:sz w:val="21"/>
                <w:szCs w:val="21"/>
              </w:rPr>
            </w:pPr>
            <w:r>
              <w:rPr>
                <w:b/>
                <w:kern w:val="2"/>
                <w:sz w:val="21"/>
                <w:szCs w:val="21"/>
              </w:rPr>
              <w:t>埋深*（m）</w:t>
            </w:r>
          </w:p>
        </w:tc>
      </w:tr>
      <w:tr w14:paraId="1D3EC9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63">
            <w:pPr>
              <w:adjustRightInd/>
              <w:snapToGrid/>
              <w:spacing w:line="240" w:lineRule="auto"/>
              <w:ind w:firstLine="0" w:firstLineChars="0"/>
              <w:contextualSpacing/>
              <w:jc w:val="center"/>
              <w:rPr>
                <w:sz w:val="21"/>
                <w:szCs w:val="21"/>
                <w:highlight w:val="yellow"/>
              </w:rPr>
            </w:pPr>
            <w:r>
              <w:rPr>
                <w:rFonts w:hint="eastAsia"/>
                <w:sz w:val="21"/>
                <w:szCs w:val="21"/>
              </w:rPr>
              <w:t>厂区</w:t>
            </w:r>
          </w:p>
        </w:tc>
        <w:tc>
          <w:tcPr>
            <w:tcW w:w="513" w:type="pct"/>
            <w:vAlign w:val="center"/>
          </w:tcPr>
          <w:p w14:paraId="28571194">
            <w:pPr>
              <w:adjustRightInd/>
              <w:snapToGrid/>
              <w:spacing w:line="240" w:lineRule="auto"/>
              <w:ind w:firstLine="0" w:firstLineChars="0"/>
              <w:contextualSpacing/>
              <w:jc w:val="center"/>
              <w:rPr>
                <w:sz w:val="21"/>
                <w:szCs w:val="21"/>
                <w:lang w:bidi="ar"/>
              </w:rPr>
            </w:pPr>
            <w:r>
              <w:rPr>
                <w:rFonts w:hint="eastAsia"/>
                <w:sz w:val="21"/>
                <w:szCs w:val="21"/>
                <w:lang w:bidi="ar"/>
              </w:rPr>
              <w:t>73.04</w:t>
            </w:r>
          </w:p>
        </w:tc>
        <w:tc>
          <w:tcPr>
            <w:tcW w:w="558" w:type="pct"/>
            <w:vAlign w:val="center"/>
          </w:tcPr>
          <w:p w14:paraId="1D3EC964">
            <w:pPr>
              <w:adjustRightInd/>
              <w:snapToGrid/>
              <w:spacing w:line="240" w:lineRule="auto"/>
              <w:ind w:firstLine="0" w:firstLineChars="0"/>
              <w:contextualSpacing/>
              <w:jc w:val="center"/>
              <w:rPr>
                <w:sz w:val="21"/>
                <w:szCs w:val="21"/>
              </w:rPr>
            </w:pPr>
            <w:r>
              <w:rPr>
                <w:rFonts w:hint="eastAsia"/>
                <w:sz w:val="21"/>
                <w:szCs w:val="21"/>
              </w:rPr>
              <w:t>12.3</w:t>
            </w:r>
          </w:p>
        </w:tc>
        <w:tc>
          <w:tcPr>
            <w:tcW w:w="725" w:type="pct"/>
            <w:tcBorders>
              <w:right w:val="single" w:color="auto" w:sz="4" w:space="0"/>
            </w:tcBorders>
            <w:vAlign w:val="center"/>
          </w:tcPr>
          <w:p w14:paraId="1D3EC965">
            <w:pPr>
              <w:adjustRightInd/>
              <w:snapToGrid/>
              <w:spacing w:line="240" w:lineRule="auto"/>
              <w:ind w:firstLine="0" w:firstLineChars="0"/>
              <w:contextualSpacing/>
              <w:jc w:val="center"/>
              <w:rPr>
                <w:b/>
                <w:bCs/>
                <w:sz w:val="21"/>
                <w:szCs w:val="21"/>
                <w:u w:val="single"/>
              </w:rPr>
            </w:pPr>
            <w:r>
              <w:rPr>
                <w:rFonts w:eastAsia="等线"/>
                <w:sz w:val="21"/>
                <w:szCs w:val="21"/>
              </w:rPr>
              <w:t>44.52</w:t>
            </w:r>
          </w:p>
        </w:tc>
        <w:tc>
          <w:tcPr>
            <w:tcW w:w="769" w:type="pct"/>
            <w:tcBorders>
              <w:left w:val="single" w:color="auto" w:sz="4" w:space="0"/>
              <w:bottom w:val="single" w:color="auto" w:sz="4" w:space="0"/>
            </w:tcBorders>
            <w:vAlign w:val="center"/>
          </w:tcPr>
          <w:p w14:paraId="1D3EC966">
            <w:pPr>
              <w:adjustRightInd/>
              <w:snapToGrid/>
              <w:spacing w:line="240" w:lineRule="auto"/>
              <w:ind w:firstLine="0" w:firstLineChars="0"/>
              <w:contextualSpacing/>
              <w:jc w:val="center"/>
              <w:rPr>
                <w:sz w:val="21"/>
                <w:szCs w:val="21"/>
                <w:lang w:bidi="ar"/>
              </w:rPr>
            </w:pPr>
            <w:r>
              <w:rPr>
                <w:rFonts w:eastAsia="等线"/>
                <w:sz w:val="21"/>
                <w:szCs w:val="21"/>
              </w:rPr>
              <w:t>28.52</w:t>
            </w:r>
          </w:p>
        </w:tc>
        <w:tc>
          <w:tcPr>
            <w:tcW w:w="684" w:type="pct"/>
            <w:tcBorders>
              <w:left w:val="single" w:color="auto" w:sz="4" w:space="0"/>
              <w:bottom w:val="single" w:color="auto" w:sz="4" w:space="0"/>
            </w:tcBorders>
            <w:vAlign w:val="center"/>
          </w:tcPr>
          <w:p w14:paraId="7153D193">
            <w:pPr>
              <w:adjustRightInd/>
              <w:snapToGrid/>
              <w:spacing w:line="240" w:lineRule="auto"/>
              <w:ind w:firstLine="0" w:firstLineChars="0"/>
              <w:contextualSpacing/>
              <w:jc w:val="center"/>
              <w:rPr>
                <w:sz w:val="21"/>
                <w:szCs w:val="21"/>
                <w:lang w:bidi="ar"/>
              </w:rPr>
            </w:pPr>
            <w:r>
              <w:rPr>
                <w:rFonts w:hint="eastAsia" w:eastAsia="等线"/>
                <w:sz w:val="21"/>
                <w:szCs w:val="21"/>
              </w:rPr>
              <w:t>43.33</w:t>
            </w:r>
          </w:p>
        </w:tc>
        <w:tc>
          <w:tcPr>
            <w:tcW w:w="730" w:type="pct"/>
            <w:tcBorders>
              <w:left w:val="single" w:color="auto" w:sz="4" w:space="0"/>
              <w:bottom w:val="single" w:color="auto" w:sz="4" w:space="0"/>
            </w:tcBorders>
            <w:vAlign w:val="center"/>
          </w:tcPr>
          <w:p w14:paraId="2724D309">
            <w:pPr>
              <w:adjustRightInd/>
              <w:snapToGrid/>
              <w:spacing w:line="240" w:lineRule="auto"/>
              <w:ind w:firstLine="0" w:firstLineChars="0"/>
              <w:contextualSpacing/>
              <w:jc w:val="center"/>
              <w:rPr>
                <w:sz w:val="21"/>
                <w:szCs w:val="21"/>
                <w:lang w:bidi="ar"/>
              </w:rPr>
            </w:pPr>
            <w:r>
              <w:rPr>
                <w:rFonts w:hint="eastAsia" w:eastAsia="等线"/>
                <w:sz w:val="21"/>
                <w:szCs w:val="21"/>
              </w:rPr>
              <w:t>29.71</w:t>
            </w:r>
          </w:p>
        </w:tc>
      </w:tr>
      <w:tr w14:paraId="1D3EC9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69">
            <w:pPr>
              <w:adjustRightInd/>
              <w:snapToGrid/>
              <w:spacing w:line="240" w:lineRule="auto"/>
              <w:ind w:firstLine="0" w:firstLineChars="0"/>
              <w:contextualSpacing/>
              <w:jc w:val="center"/>
              <w:rPr>
                <w:sz w:val="21"/>
                <w:szCs w:val="21"/>
                <w:highlight w:val="yellow"/>
              </w:rPr>
            </w:pPr>
            <w:r>
              <w:rPr>
                <w:rFonts w:hint="eastAsia"/>
                <w:sz w:val="21"/>
                <w:szCs w:val="21"/>
              </w:rPr>
              <w:t>郭全屯村</w:t>
            </w:r>
          </w:p>
        </w:tc>
        <w:tc>
          <w:tcPr>
            <w:tcW w:w="513" w:type="pct"/>
            <w:vAlign w:val="center"/>
          </w:tcPr>
          <w:p w14:paraId="5054FA34">
            <w:pPr>
              <w:adjustRightInd/>
              <w:snapToGrid/>
              <w:spacing w:line="240" w:lineRule="auto"/>
              <w:ind w:firstLine="0" w:firstLineChars="0"/>
              <w:contextualSpacing/>
              <w:jc w:val="center"/>
              <w:rPr>
                <w:sz w:val="21"/>
                <w:szCs w:val="21"/>
                <w:lang w:bidi="ar"/>
              </w:rPr>
            </w:pPr>
            <w:r>
              <w:rPr>
                <w:rFonts w:hint="eastAsia"/>
                <w:sz w:val="21"/>
                <w:szCs w:val="21"/>
                <w:lang w:bidi="ar"/>
              </w:rPr>
              <w:t>74.04</w:t>
            </w:r>
          </w:p>
        </w:tc>
        <w:tc>
          <w:tcPr>
            <w:tcW w:w="558" w:type="pct"/>
            <w:vAlign w:val="center"/>
          </w:tcPr>
          <w:p w14:paraId="1D3EC96A">
            <w:pPr>
              <w:adjustRightInd/>
              <w:snapToGrid/>
              <w:spacing w:line="240" w:lineRule="auto"/>
              <w:ind w:firstLine="0" w:firstLineChars="0"/>
              <w:contextualSpacing/>
              <w:jc w:val="center"/>
              <w:rPr>
                <w:sz w:val="21"/>
                <w:szCs w:val="21"/>
              </w:rPr>
            </w:pPr>
            <w:r>
              <w:rPr>
                <w:rFonts w:hint="eastAsia"/>
                <w:sz w:val="21"/>
                <w:szCs w:val="21"/>
              </w:rPr>
              <w:t>11.3</w:t>
            </w:r>
          </w:p>
        </w:tc>
        <w:tc>
          <w:tcPr>
            <w:tcW w:w="725" w:type="pct"/>
            <w:tcBorders>
              <w:right w:val="single" w:color="auto" w:sz="4" w:space="0"/>
            </w:tcBorders>
            <w:vAlign w:val="center"/>
          </w:tcPr>
          <w:p w14:paraId="1D3EC96B">
            <w:pPr>
              <w:adjustRightInd/>
              <w:snapToGrid/>
              <w:spacing w:line="240" w:lineRule="auto"/>
              <w:ind w:firstLine="0" w:firstLineChars="0"/>
              <w:contextualSpacing/>
              <w:jc w:val="center"/>
              <w:rPr>
                <w:b/>
                <w:bCs/>
                <w:sz w:val="21"/>
                <w:szCs w:val="21"/>
                <w:u w:val="single"/>
              </w:rPr>
            </w:pPr>
            <w:r>
              <w:rPr>
                <w:rFonts w:eastAsia="等线"/>
                <w:sz w:val="21"/>
                <w:szCs w:val="21"/>
              </w:rPr>
              <w:t>49.43</w:t>
            </w:r>
          </w:p>
        </w:tc>
        <w:tc>
          <w:tcPr>
            <w:tcW w:w="769" w:type="pct"/>
            <w:tcBorders>
              <w:top w:val="single" w:color="auto" w:sz="4" w:space="0"/>
              <w:left w:val="single" w:color="auto" w:sz="4" w:space="0"/>
            </w:tcBorders>
            <w:vAlign w:val="center"/>
          </w:tcPr>
          <w:p w14:paraId="1D3EC96C">
            <w:pPr>
              <w:adjustRightInd/>
              <w:snapToGrid/>
              <w:spacing w:line="240" w:lineRule="auto"/>
              <w:ind w:firstLine="0" w:firstLineChars="0"/>
              <w:contextualSpacing/>
              <w:jc w:val="center"/>
              <w:rPr>
                <w:sz w:val="21"/>
                <w:szCs w:val="21"/>
                <w:lang w:bidi="ar"/>
              </w:rPr>
            </w:pPr>
            <w:r>
              <w:rPr>
                <w:rFonts w:eastAsia="等线"/>
                <w:sz w:val="21"/>
                <w:szCs w:val="21"/>
              </w:rPr>
              <w:t>24.61</w:t>
            </w:r>
          </w:p>
        </w:tc>
        <w:tc>
          <w:tcPr>
            <w:tcW w:w="684" w:type="pct"/>
            <w:tcBorders>
              <w:top w:val="single" w:color="auto" w:sz="4" w:space="0"/>
              <w:left w:val="single" w:color="auto" w:sz="4" w:space="0"/>
            </w:tcBorders>
            <w:vAlign w:val="center"/>
          </w:tcPr>
          <w:p w14:paraId="2D23440D">
            <w:pPr>
              <w:adjustRightInd/>
              <w:snapToGrid/>
              <w:spacing w:line="240" w:lineRule="auto"/>
              <w:ind w:firstLine="0" w:firstLineChars="0"/>
              <w:contextualSpacing/>
              <w:jc w:val="center"/>
              <w:rPr>
                <w:sz w:val="21"/>
                <w:szCs w:val="21"/>
                <w:lang w:bidi="ar"/>
              </w:rPr>
            </w:pPr>
            <w:r>
              <w:rPr>
                <w:rFonts w:hint="eastAsia" w:eastAsia="等线"/>
                <w:sz w:val="21"/>
                <w:szCs w:val="21"/>
              </w:rPr>
              <w:t>47.29</w:t>
            </w:r>
          </w:p>
        </w:tc>
        <w:tc>
          <w:tcPr>
            <w:tcW w:w="730" w:type="pct"/>
            <w:tcBorders>
              <w:top w:val="single" w:color="auto" w:sz="4" w:space="0"/>
              <w:left w:val="single" w:color="auto" w:sz="4" w:space="0"/>
            </w:tcBorders>
            <w:vAlign w:val="center"/>
          </w:tcPr>
          <w:p w14:paraId="695B04F7">
            <w:pPr>
              <w:adjustRightInd/>
              <w:snapToGrid/>
              <w:spacing w:line="240" w:lineRule="auto"/>
              <w:ind w:firstLine="0" w:firstLineChars="0"/>
              <w:contextualSpacing/>
              <w:jc w:val="center"/>
              <w:rPr>
                <w:sz w:val="21"/>
                <w:szCs w:val="21"/>
                <w:lang w:bidi="ar"/>
              </w:rPr>
            </w:pPr>
            <w:r>
              <w:rPr>
                <w:rFonts w:hint="eastAsia" w:eastAsia="等线"/>
                <w:sz w:val="21"/>
                <w:szCs w:val="21"/>
              </w:rPr>
              <w:t>26.75</w:t>
            </w:r>
          </w:p>
        </w:tc>
      </w:tr>
      <w:tr w14:paraId="1D3EC9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6F">
            <w:pPr>
              <w:adjustRightInd/>
              <w:snapToGrid/>
              <w:spacing w:line="240" w:lineRule="auto"/>
              <w:ind w:firstLine="0" w:firstLineChars="0"/>
              <w:contextualSpacing/>
              <w:jc w:val="center"/>
              <w:rPr>
                <w:sz w:val="21"/>
                <w:szCs w:val="21"/>
                <w:highlight w:val="yellow"/>
              </w:rPr>
            </w:pPr>
            <w:r>
              <w:rPr>
                <w:rFonts w:hint="eastAsia"/>
                <w:sz w:val="21"/>
                <w:szCs w:val="21"/>
              </w:rPr>
              <w:t>仁里屯村</w:t>
            </w:r>
          </w:p>
        </w:tc>
        <w:tc>
          <w:tcPr>
            <w:tcW w:w="513" w:type="pct"/>
            <w:vAlign w:val="center"/>
          </w:tcPr>
          <w:p w14:paraId="01CC9C5A">
            <w:pPr>
              <w:adjustRightInd/>
              <w:snapToGrid/>
              <w:spacing w:line="240" w:lineRule="auto"/>
              <w:ind w:firstLine="0" w:firstLineChars="0"/>
              <w:contextualSpacing/>
              <w:jc w:val="center"/>
              <w:rPr>
                <w:sz w:val="21"/>
                <w:szCs w:val="21"/>
                <w:lang w:bidi="ar"/>
              </w:rPr>
            </w:pPr>
            <w:r>
              <w:rPr>
                <w:rFonts w:hint="eastAsia"/>
                <w:sz w:val="21"/>
                <w:szCs w:val="21"/>
                <w:lang w:bidi="ar"/>
              </w:rPr>
              <w:t>69.4</w:t>
            </w:r>
          </w:p>
        </w:tc>
        <w:tc>
          <w:tcPr>
            <w:tcW w:w="558" w:type="pct"/>
            <w:vAlign w:val="center"/>
          </w:tcPr>
          <w:p w14:paraId="1D3EC970">
            <w:pPr>
              <w:adjustRightInd/>
              <w:snapToGrid/>
              <w:spacing w:line="240" w:lineRule="auto"/>
              <w:ind w:firstLine="0" w:firstLineChars="0"/>
              <w:contextualSpacing/>
              <w:jc w:val="center"/>
              <w:rPr>
                <w:sz w:val="21"/>
                <w:szCs w:val="21"/>
              </w:rPr>
            </w:pPr>
            <w:r>
              <w:rPr>
                <w:rFonts w:hint="eastAsia"/>
                <w:sz w:val="21"/>
                <w:szCs w:val="21"/>
              </w:rPr>
              <w:t>14.2</w:t>
            </w:r>
          </w:p>
        </w:tc>
        <w:tc>
          <w:tcPr>
            <w:tcW w:w="725" w:type="pct"/>
            <w:tcBorders>
              <w:right w:val="single" w:color="auto" w:sz="4" w:space="0"/>
            </w:tcBorders>
            <w:vAlign w:val="center"/>
          </w:tcPr>
          <w:p w14:paraId="1D3EC971">
            <w:pPr>
              <w:adjustRightInd/>
              <w:snapToGrid/>
              <w:spacing w:line="240" w:lineRule="auto"/>
              <w:ind w:firstLine="0" w:firstLineChars="0"/>
              <w:contextualSpacing/>
              <w:jc w:val="center"/>
              <w:rPr>
                <w:b/>
                <w:bCs/>
                <w:sz w:val="21"/>
                <w:szCs w:val="21"/>
                <w:u w:val="single"/>
              </w:rPr>
            </w:pPr>
            <w:r>
              <w:rPr>
                <w:rFonts w:eastAsia="等线"/>
                <w:sz w:val="21"/>
                <w:szCs w:val="21"/>
              </w:rPr>
              <w:t>43.58</w:t>
            </w:r>
          </w:p>
        </w:tc>
        <w:tc>
          <w:tcPr>
            <w:tcW w:w="769" w:type="pct"/>
            <w:tcBorders>
              <w:left w:val="single" w:color="auto" w:sz="4" w:space="0"/>
            </w:tcBorders>
            <w:vAlign w:val="center"/>
          </w:tcPr>
          <w:p w14:paraId="1D3EC972">
            <w:pPr>
              <w:adjustRightInd/>
              <w:snapToGrid/>
              <w:spacing w:line="240" w:lineRule="auto"/>
              <w:ind w:firstLine="0" w:firstLineChars="0"/>
              <w:contextualSpacing/>
              <w:jc w:val="center"/>
              <w:rPr>
                <w:sz w:val="21"/>
                <w:szCs w:val="21"/>
                <w:lang w:bidi="ar"/>
              </w:rPr>
            </w:pPr>
            <w:r>
              <w:rPr>
                <w:rFonts w:eastAsia="等线"/>
                <w:sz w:val="21"/>
                <w:szCs w:val="21"/>
              </w:rPr>
              <w:t>25.82</w:t>
            </w:r>
          </w:p>
        </w:tc>
        <w:tc>
          <w:tcPr>
            <w:tcW w:w="684" w:type="pct"/>
            <w:tcBorders>
              <w:left w:val="single" w:color="auto" w:sz="4" w:space="0"/>
            </w:tcBorders>
            <w:vAlign w:val="center"/>
          </w:tcPr>
          <w:p w14:paraId="3746BD8C">
            <w:pPr>
              <w:adjustRightInd/>
              <w:snapToGrid/>
              <w:spacing w:line="240" w:lineRule="auto"/>
              <w:ind w:firstLine="0" w:firstLineChars="0"/>
              <w:contextualSpacing/>
              <w:jc w:val="center"/>
              <w:rPr>
                <w:sz w:val="21"/>
                <w:szCs w:val="21"/>
                <w:lang w:bidi="ar"/>
              </w:rPr>
            </w:pPr>
            <w:r>
              <w:rPr>
                <w:rFonts w:hint="eastAsia" w:eastAsia="等线"/>
                <w:sz w:val="21"/>
                <w:szCs w:val="21"/>
              </w:rPr>
              <w:t>42.96</w:t>
            </w:r>
          </w:p>
        </w:tc>
        <w:tc>
          <w:tcPr>
            <w:tcW w:w="730" w:type="pct"/>
            <w:tcBorders>
              <w:left w:val="single" w:color="auto" w:sz="4" w:space="0"/>
            </w:tcBorders>
            <w:vAlign w:val="center"/>
          </w:tcPr>
          <w:p w14:paraId="59CC3963">
            <w:pPr>
              <w:adjustRightInd/>
              <w:snapToGrid/>
              <w:spacing w:line="240" w:lineRule="auto"/>
              <w:ind w:firstLine="0" w:firstLineChars="0"/>
              <w:contextualSpacing/>
              <w:jc w:val="center"/>
              <w:rPr>
                <w:sz w:val="21"/>
                <w:szCs w:val="21"/>
                <w:lang w:bidi="ar"/>
              </w:rPr>
            </w:pPr>
            <w:r>
              <w:rPr>
                <w:rFonts w:hint="eastAsia" w:eastAsia="等线"/>
                <w:sz w:val="21"/>
                <w:szCs w:val="21"/>
              </w:rPr>
              <w:t>26.44</w:t>
            </w:r>
          </w:p>
        </w:tc>
      </w:tr>
      <w:tr w14:paraId="1D3EC9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75">
            <w:pPr>
              <w:adjustRightInd/>
              <w:snapToGrid/>
              <w:spacing w:line="240" w:lineRule="auto"/>
              <w:ind w:firstLine="0" w:firstLineChars="0"/>
              <w:contextualSpacing/>
              <w:jc w:val="center"/>
              <w:rPr>
                <w:sz w:val="21"/>
                <w:szCs w:val="21"/>
                <w:highlight w:val="yellow"/>
              </w:rPr>
            </w:pPr>
            <w:r>
              <w:rPr>
                <w:rFonts w:hint="eastAsia"/>
                <w:sz w:val="21"/>
                <w:szCs w:val="21"/>
              </w:rPr>
              <w:t>八里屯村</w:t>
            </w:r>
          </w:p>
        </w:tc>
        <w:tc>
          <w:tcPr>
            <w:tcW w:w="513" w:type="pct"/>
            <w:vAlign w:val="center"/>
          </w:tcPr>
          <w:p w14:paraId="2E3C0C8E">
            <w:pPr>
              <w:adjustRightInd/>
              <w:snapToGrid/>
              <w:spacing w:line="240" w:lineRule="auto"/>
              <w:ind w:firstLine="0" w:firstLineChars="0"/>
              <w:contextualSpacing/>
              <w:jc w:val="center"/>
              <w:rPr>
                <w:sz w:val="21"/>
                <w:szCs w:val="21"/>
                <w:lang w:bidi="ar"/>
              </w:rPr>
            </w:pPr>
            <w:r>
              <w:rPr>
                <w:rFonts w:hint="eastAsia"/>
                <w:sz w:val="21"/>
                <w:szCs w:val="21"/>
                <w:lang w:bidi="ar"/>
              </w:rPr>
              <w:t>74</w:t>
            </w:r>
          </w:p>
        </w:tc>
        <w:tc>
          <w:tcPr>
            <w:tcW w:w="558" w:type="pct"/>
            <w:vAlign w:val="center"/>
          </w:tcPr>
          <w:p w14:paraId="1D3EC976">
            <w:pPr>
              <w:adjustRightInd/>
              <w:snapToGrid/>
              <w:spacing w:line="240" w:lineRule="auto"/>
              <w:ind w:firstLine="0" w:firstLineChars="0"/>
              <w:contextualSpacing/>
              <w:jc w:val="center"/>
              <w:rPr>
                <w:sz w:val="21"/>
                <w:szCs w:val="21"/>
              </w:rPr>
            </w:pPr>
            <w:r>
              <w:rPr>
                <w:rFonts w:hint="eastAsia"/>
                <w:sz w:val="21"/>
                <w:szCs w:val="21"/>
              </w:rPr>
              <w:t>13.5</w:t>
            </w:r>
          </w:p>
        </w:tc>
        <w:tc>
          <w:tcPr>
            <w:tcW w:w="725" w:type="pct"/>
            <w:tcBorders>
              <w:right w:val="single" w:color="auto" w:sz="4" w:space="0"/>
            </w:tcBorders>
            <w:vAlign w:val="center"/>
          </w:tcPr>
          <w:p w14:paraId="1D3EC977">
            <w:pPr>
              <w:adjustRightInd/>
              <w:snapToGrid/>
              <w:spacing w:line="240" w:lineRule="auto"/>
              <w:ind w:firstLine="0" w:firstLineChars="0"/>
              <w:contextualSpacing/>
              <w:jc w:val="center"/>
              <w:rPr>
                <w:b/>
                <w:bCs/>
                <w:sz w:val="21"/>
                <w:szCs w:val="21"/>
                <w:u w:val="single"/>
              </w:rPr>
            </w:pPr>
            <w:r>
              <w:rPr>
                <w:rFonts w:eastAsia="等线"/>
                <w:sz w:val="21"/>
                <w:szCs w:val="21"/>
              </w:rPr>
              <w:t>46.83</w:t>
            </w:r>
          </w:p>
        </w:tc>
        <w:tc>
          <w:tcPr>
            <w:tcW w:w="769" w:type="pct"/>
            <w:tcBorders>
              <w:left w:val="single" w:color="auto" w:sz="4" w:space="0"/>
            </w:tcBorders>
            <w:vAlign w:val="center"/>
          </w:tcPr>
          <w:p w14:paraId="1D3EC978">
            <w:pPr>
              <w:adjustRightInd/>
              <w:snapToGrid/>
              <w:spacing w:line="240" w:lineRule="auto"/>
              <w:ind w:firstLine="0" w:firstLineChars="0"/>
              <w:contextualSpacing/>
              <w:jc w:val="center"/>
              <w:rPr>
                <w:sz w:val="21"/>
                <w:szCs w:val="21"/>
                <w:lang w:bidi="ar"/>
              </w:rPr>
            </w:pPr>
            <w:r>
              <w:rPr>
                <w:rFonts w:eastAsia="等线"/>
                <w:sz w:val="21"/>
                <w:szCs w:val="21"/>
              </w:rPr>
              <w:t>27.17</w:t>
            </w:r>
          </w:p>
        </w:tc>
        <w:tc>
          <w:tcPr>
            <w:tcW w:w="684" w:type="pct"/>
            <w:tcBorders>
              <w:left w:val="single" w:color="auto" w:sz="4" w:space="0"/>
            </w:tcBorders>
            <w:vAlign w:val="center"/>
          </w:tcPr>
          <w:p w14:paraId="1A135EC1">
            <w:pPr>
              <w:adjustRightInd/>
              <w:snapToGrid/>
              <w:spacing w:line="240" w:lineRule="auto"/>
              <w:ind w:firstLine="0" w:firstLineChars="0"/>
              <w:contextualSpacing/>
              <w:jc w:val="center"/>
              <w:rPr>
                <w:sz w:val="21"/>
                <w:szCs w:val="21"/>
                <w:lang w:bidi="ar"/>
              </w:rPr>
            </w:pPr>
            <w:r>
              <w:rPr>
                <w:rFonts w:hint="eastAsia" w:eastAsia="等线"/>
                <w:sz w:val="21"/>
                <w:szCs w:val="21"/>
              </w:rPr>
              <w:t>45.97</w:t>
            </w:r>
          </w:p>
        </w:tc>
        <w:tc>
          <w:tcPr>
            <w:tcW w:w="730" w:type="pct"/>
            <w:tcBorders>
              <w:left w:val="single" w:color="auto" w:sz="4" w:space="0"/>
            </w:tcBorders>
            <w:vAlign w:val="center"/>
          </w:tcPr>
          <w:p w14:paraId="134E99EE">
            <w:pPr>
              <w:adjustRightInd/>
              <w:snapToGrid/>
              <w:spacing w:line="240" w:lineRule="auto"/>
              <w:ind w:firstLine="0" w:firstLineChars="0"/>
              <w:contextualSpacing/>
              <w:jc w:val="center"/>
              <w:rPr>
                <w:sz w:val="21"/>
                <w:szCs w:val="21"/>
                <w:lang w:bidi="ar"/>
              </w:rPr>
            </w:pPr>
            <w:r>
              <w:rPr>
                <w:rFonts w:hint="eastAsia" w:eastAsia="等线"/>
                <w:sz w:val="21"/>
                <w:szCs w:val="21"/>
              </w:rPr>
              <w:t>28.03</w:t>
            </w:r>
          </w:p>
        </w:tc>
      </w:tr>
      <w:tr w14:paraId="1D3EC9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7B">
            <w:pPr>
              <w:adjustRightInd/>
              <w:snapToGrid/>
              <w:spacing w:line="240" w:lineRule="auto"/>
              <w:ind w:firstLine="0" w:firstLineChars="0"/>
              <w:contextualSpacing/>
              <w:jc w:val="center"/>
              <w:rPr>
                <w:sz w:val="21"/>
                <w:szCs w:val="21"/>
                <w:highlight w:val="yellow"/>
              </w:rPr>
            </w:pPr>
            <w:r>
              <w:rPr>
                <w:rFonts w:hint="eastAsia"/>
                <w:sz w:val="21"/>
                <w:szCs w:val="21"/>
              </w:rPr>
              <w:t>龙王庙</w:t>
            </w:r>
          </w:p>
        </w:tc>
        <w:tc>
          <w:tcPr>
            <w:tcW w:w="513" w:type="pct"/>
            <w:vAlign w:val="center"/>
          </w:tcPr>
          <w:p w14:paraId="731DF4AE">
            <w:pPr>
              <w:adjustRightInd/>
              <w:snapToGrid/>
              <w:spacing w:line="240" w:lineRule="auto"/>
              <w:ind w:firstLine="0" w:firstLineChars="0"/>
              <w:contextualSpacing/>
              <w:jc w:val="center"/>
              <w:rPr>
                <w:sz w:val="21"/>
                <w:szCs w:val="21"/>
                <w:lang w:bidi="ar"/>
              </w:rPr>
            </w:pPr>
            <w:r>
              <w:rPr>
                <w:rFonts w:hint="eastAsia"/>
                <w:sz w:val="21"/>
                <w:szCs w:val="21"/>
                <w:lang w:bidi="ar"/>
              </w:rPr>
              <w:t>68.12</w:t>
            </w:r>
          </w:p>
        </w:tc>
        <w:tc>
          <w:tcPr>
            <w:tcW w:w="558" w:type="pct"/>
            <w:vAlign w:val="center"/>
          </w:tcPr>
          <w:p w14:paraId="1D3EC97C">
            <w:pPr>
              <w:adjustRightInd/>
              <w:snapToGrid/>
              <w:spacing w:line="240" w:lineRule="auto"/>
              <w:ind w:firstLine="0" w:firstLineChars="0"/>
              <w:contextualSpacing/>
              <w:jc w:val="center"/>
              <w:rPr>
                <w:sz w:val="21"/>
                <w:szCs w:val="21"/>
              </w:rPr>
            </w:pPr>
            <w:r>
              <w:rPr>
                <w:rFonts w:hint="eastAsia"/>
                <w:sz w:val="21"/>
                <w:szCs w:val="21"/>
              </w:rPr>
              <w:t>12.1</w:t>
            </w:r>
          </w:p>
        </w:tc>
        <w:tc>
          <w:tcPr>
            <w:tcW w:w="725" w:type="pct"/>
            <w:tcBorders>
              <w:right w:val="single" w:color="auto" w:sz="4" w:space="0"/>
            </w:tcBorders>
            <w:vAlign w:val="center"/>
          </w:tcPr>
          <w:p w14:paraId="1D3EC97D">
            <w:pPr>
              <w:adjustRightInd/>
              <w:snapToGrid/>
              <w:spacing w:line="240" w:lineRule="auto"/>
              <w:ind w:firstLine="0" w:firstLineChars="0"/>
              <w:contextualSpacing/>
              <w:jc w:val="center"/>
              <w:rPr>
                <w:b/>
                <w:bCs/>
                <w:sz w:val="21"/>
                <w:szCs w:val="21"/>
                <w:u w:val="single"/>
              </w:rPr>
            </w:pPr>
            <w:r>
              <w:rPr>
                <w:rFonts w:eastAsia="等线"/>
                <w:sz w:val="21"/>
                <w:szCs w:val="21"/>
              </w:rPr>
              <w:t>42</w:t>
            </w:r>
          </w:p>
        </w:tc>
        <w:tc>
          <w:tcPr>
            <w:tcW w:w="769" w:type="pct"/>
            <w:tcBorders>
              <w:left w:val="single" w:color="auto" w:sz="4" w:space="0"/>
            </w:tcBorders>
            <w:vAlign w:val="center"/>
          </w:tcPr>
          <w:p w14:paraId="1D3EC97E">
            <w:pPr>
              <w:adjustRightInd/>
              <w:snapToGrid/>
              <w:spacing w:line="240" w:lineRule="auto"/>
              <w:ind w:firstLine="0" w:firstLineChars="0"/>
              <w:contextualSpacing/>
              <w:jc w:val="center"/>
              <w:rPr>
                <w:sz w:val="21"/>
                <w:szCs w:val="21"/>
                <w:lang w:bidi="ar"/>
              </w:rPr>
            </w:pPr>
            <w:r>
              <w:rPr>
                <w:rFonts w:eastAsia="等线"/>
                <w:sz w:val="21"/>
                <w:szCs w:val="21"/>
              </w:rPr>
              <w:t>26.12</w:t>
            </w:r>
          </w:p>
        </w:tc>
        <w:tc>
          <w:tcPr>
            <w:tcW w:w="684" w:type="pct"/>
            <w:tcBorders>
              <w:left w:val="single" w:color="auto" w:sz="4" w:space="0"/>
            </w:tcBorders>
            <w:vAlign w:val="center"/>
          </w:tcPr>
          <w:p w14:paraId="0A2A2A93">
            <w:pPr>
              <w:adjustRightInd/>
              <w:snapToGrid/>
              <w:spacing w:line="240" w:lineRule="auto"/>
              <w:ind w:firstLine="0" w:firstLineChars="0"/>
              <w:contextualSpacing/>
              <w:jc w:val="center"/>
              <w:rPr>
                <w:sz w:val="21"/>
                <w:szCs w:val="21"/>
                <w:lang w:bidi="ar"/>
              </w:rPr>
            </w:pPr>
            <w:r>
              <w:rPr>
                <w:rFonts w:hint="eastAsia" w:eastAsia="等线"/>
                <w:sz w:val="21"/>
                <w:szCs w:val="21"/>
              </w:rPr>
              <w:t>41.6</w:t>
            </w:r>
          </w:p>
        </w:tc>
        <w:tc>
          <w:tcPr>
            <w:tcW w:w="730" w:type="pct"/>
            <w:tcBorders>
              <w:left w:val="single" w:color="auto" w:sz="4" w:space="0"/>
            </w:tcBorders>
            <w:vAlign w:val="center"/>
          </w:tcPr>
          <w:p w14:paraId="6552F240">
            <w:pPr>
              <w:adjustRightInd/>
              <w:snapToGrid/>
              <w:spacing w:line="240" w:lineRule="auto"/>
              <w:ind w:firstLine="0" w:firstLineChars="0"/>
              <w:contextualSpacing/>
              <w:jc w:val="center"/>
              <w:rPr>
                <w:sz w:val="21"/>
                <w:szCs w:val="21"/>
                <w:lang w:bidi="ar"/>
              </w:rPr>
            </w:pPr>
            <w:r>
              <w:rPr>
                <w:rFonts w:hint="eastAsia" w:eastAsia="等线"/>
                <w:sz w:val="21"/>
                <w:szCs w:val="21"/>
              </w:rPr>
              <w:t>26.52</w:t>
            </w:r>
          </w:p>
        </w:tc>
      </w:tr>
      <w:tr w14:paraId="1D3EC9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81">
            <w:pPr>
              <w:adjustRightInd/>
              <w:snapToGrid/>
              <w:spacing w:line="240" w:lineRule="auto"/>
              <w:ind w:firstLine="0" w:firstLineChars="0"/>
              <w:contextualSpacing/>
              <w:jc w:val="center"/>
              <w:rPr>
                <w:sz w:val="21"/>
                <w:szCs w:val="21"/>
                <w:highlight w:val="yellow"/>
              </w:rPr>
            </w:pPr>
            <w:r>
              <w:rPr>
                <w:rFonts w:hint="eastAsia"/>
                <w:sz w:val="21"/>
                <w:szCs w:val="21"/>
              </w:rPr>
              <w:t>仁里屯村东南</w:t>
            </w:r>
          </w:p>
        </w:tc>
        <w:tc>
          <w:tcPr>
            <w:tcW w:w="513" w:type="pct"/>
            <w:vAlign w:val="center"/>
          </w:tcPr>
          <w:p w14:paraId="758ACFF8">
            <w:pPr>
              <w:adjustRightInd/>
              <w:snapToGrid/>
              <w:spacing w:line="240" w:lineRule="auto"/>
              <w:ind w:firstLine="0" w:firstLineChars="0"/>
              <w:contextualSpacing/>
              <w:jc w:val="center"/>
              <w:rPr>
                <w:sz w:val="21"/>
                <w:szCs w:val="21"/>
                <w:lang w:bidi="ar"/>
              </w:rPr>
            </w:pPr>
            <w:r>
              <w:rPr>
                <w:rFonts w:hint="eastAsia"/>
                <w:sz w:val="21"/>
                <w:szCs w:val="21"/>
                <w:lang w:bidi="ar"/>
              </w:rPr>
              <w:t>68.31</w:t>
            </w:r>
          </w:p>
        </w:tc>
        <w:tc>
          <w:tcPr>
            <w:tcW w:w="558" w:type="pct"/>
            <w:vAlign w:val="center"/>
          </w:tcPr>
          <w:p w14:paraId="1D3EC982">
            <w:pPr>
              <w:adjustRightInd/>
              <w:snapToGrid/>
              <w:spacing w:line="240" w:lineRule="auto"/>
              <w:ind w:firstLine="0" w:firstLineChars="0"/>
              <w:contextualSpacing/>
              <w:jc w:val="center"/>
              <w:rPr>
                <w:sz w:val="21"/>
                <w:szCs w:val="21"/>
              </w:rPr>
            </w:pPr>
            <w:r>
              <w:rPr>
                <w:rFonts w:hint="eastAsia"/>
                <w:sz w:val="21"/>
                <w:szCs w:val="21"/>
              </w:rPr>
              <w:t>12.4</w:t>
            </w:r>
          </w:p>
        </w:tc>
        <w:tc>
          <w:tcPr>
            <w:tcW w:w="725" w:type="pct"/>
            <w:tcBorders>
              <w:right w:val="single" w:color="auto" w:sz="4" w:space="0"/>
            </w:tcBorders>
            <w:vAlign w:val="center"/>
          </w:tcPr>
          <w:p w14:paraId="1D3EC983">
            <w:pPr>
              <w:adjustRightInd/>
              <w:snapToGrid/>
              <w:spacing w:line="240" w:lineRule="auto"/>
              <w:ind w:firstLine="0" w:firstLineChars="0"/>
              <w:contextualSpacing/>
              <w:jc w:val="center"/>
              <w:rPr>
                <w:b/>
                <w:bCs/>
                <w:sz w:val="21"/>
                <w:szCs w:val="21"/>
                <w:u w:val="single"/>
              </w:rPr>
            </w:pPr>
            <w:r>
              <w:rPr>
                <w:rFonts w:eastAsia="等线"/>
                <w:sz w:val="21"/>
                <w:szCs w:val="21"/>
              </w:rPr>
              <w:t>41.69</w:t>
            </w:r>
          </w:p>
        </w:tc>
        <w:tc>
          <w:tcPr>
            <w:tcW w:w="769" w:type="pct"/>
            <w:tcBorders>
              <w:left w:val="single" w:color="auto" w:sz="4" w:space="0"/>
            </w:tcBorders>
            <w:vAlign w:val="center"/>
          </w:tcPr>
          <w:p w14:paraId="1D3EC984">
            <w:pPr>
              <w:adjustRightInd/>
              <w:snapToGrid/>
              <w:spacing w:line="240" w:lineRule="auto"/>
              <w:ind w:firstLine="0" w:firstLineChars="0"/>
              <w:contextualSpacing/>
              <w:jc w:val="center"/>
              <w:rPr>
                <w:sz w:val="21"/>
                <w:szCs w:val="21"/>
                <w:lang w:bidi="ar"/>
              </w:rPr>
            </w:pPr>
            <w:r>
              <w:rPr>
                <w:rFonts w:eastAsia="等线"/>
                <w:sz w:val="21"/>
                <w:szCs w:val="21"/>
              </w:rPr>
              <w:t>26.62</w:t>
            </w:r>
          </w:p>
        </w:tc>
        <w:tc>
          <w:tcPr>
            <w:tcW w:w="684" w:type="pct"/>
            <w:tcBorders>
              <w:left w:val="single" w:color="auto" w:sz="4" w:space="0"/>
            </w:tcBorders>
            <w:vAlign w:val="center"/>
          </w:tcPr>
          <w:p w14:paraId="3B5C6578">
            <w:pPr>
              <w:adjustRightInd/>
              <w:snapToGrid/>
              <w:spacing w:line="240" w:lineRule="auto"/>
              <w:ind w:firstLine="0" w:firstLineChars="0"/>
              <w:contextualSpacing/>
              <w:jc w:val="center"/>
              <w:rPr>
                <w:sz w:val="21"/>
                <w:szCs w:val="21"/>
                <w:lang w:bidi="ar"/>
              </w:rPr>
            </w:pPr>
            <w:r>
              <w:rPr>
                <w:rFonts w:hint="eastAsia" w:eastAsia="等线"/>
                <w:sz w:val="21"/>
                <w:szCs w:val="21"/>
              </w:rPr>
              <w:t>41.15</w:t>
            </w:r>
          </w:p>
        </w:tc>
        <w:tc>
          <w:tcPr>
            <w:tcW w:w="730" w:type="pct"/>
            <w:tcBorders>
              <w:left w:val="single" w:color="auto" w:sz="4" w:space="0"/>
            </w:tcBorders>
            <w:vAlign w:val="center"/>
          </w:tcPr>
          <w:p w14:paraId="75221852">
            <w:pPr>
              <w:adjustRightInd/>
              <w:snapToGrid/>
              <w:spacing w:line="240" w:lineRule="auto"/>
              <w:ind w:firstLine="0" w:firstLineChars="0"/>
              <w:contextualSpacing/>
              <w:jc w:val="center"/>
              <w:rPr>
                <w:sz w:val="21"/>
                <w:szCs w:val="21"/>
                <w:lang w:bidi="ar"/>
              </w:rPr>
            </w:pPr>
            <w:r>
              <w:rPr>
                <w:rFonts w:hint="eastAsia" w:eastAsia="等线"/>
                <w:sz w:val="21"/>
                <w:szCs w:val="21"/>
              </w:rPr>
              <w:t>27.16</w:t>
            </w:r>
          </w:p>
        </w:tc>
      </w:tr>
      <w:tr w14:paraId="1D3EC9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87">
            <w:pPr>
              <w:adjustRightInd/>
              <w:snapToGrid/>
              <w:spacing w:line="240" w:lineRule="auto"/>
              <w:ind w:firstLine="0" w:firstLineChars="0"/>
              <w:contextualSpacing/>
              <w:jc w:val="center"/>
              <w:rPr>
                <w:sz w:val="21"/>
                <w:szCs w:val="21"/>
                <w:highlight w:val="yellow"/>
              </w:rPr>
            </w:pPr>
            <w:r>
              <w:rPr>
                <w:rFonts w:hint="eastAsia"/>
                <w:sz w:val="21"/>
                <w:szCs w:val="21"/>
              </w:rPr>
              <w:t>下园村东北</w:t>
            </w:r>
          </w:p>
        </w:tc>
        <w:tc>
          <w:tcPr>
            <w:tcW w:w="513" w:type="pct"/>
            <w:vAlign w:val="center"/>
          </w:tcPr>
          <w:p w14:paraId="2AD3362E">
            <w:pPr>
              <w:adjustRightInd/>
              <w:snapToGrid/>
              <w:spacing w:line="240" w:lineRule="auto"/>
              <w:ind w:firstLine="0" w:firstLineChars="0"/>
              <w:contextualSpacing/>
              <w:jc w:val="center"/>
              <w:rPr>
                <w:sz w:val="21"/>
                <w:szCs w:val="21"/>
                <w:lang w:bidi="ar"/>
              </w:rPr>
            </w:pPr>
            <w:r>
              <w:rPr>
                <w:rFonts w:hint="eastAsia"/>
                <w:sz w:val="21"/>
                <w:szCs w:val="21"/>
                <w:lang w:bidi="ar"/>
              </w:rPr>
              <w:t>68.1</w:t>
            </w:r>
          </w:p>
        </w:tc>
        <w:tc>
          <w:tcPr>
            <w:tcW w:w="558" w:type="pct"/>
            <w:vAlign w:val="center"/>
          </w:tcPr>
          <w:p w14:paraId="1D3EC988">
            <w:pPr>
              <w:adjustRightInd/>
              <w:snapToGrid/>
              <w:spacing w:line="240" w:lineRule="auto"/>
              <w:ind w:firstLine="0" w:firstLineChars="0"/>
              <w:contextualSpacing/>
              <w:jc w:val="center"/>
              <w:rPr>
                <w:sz w:val="21"/>
                <w:szCs w:val="21"/>
              </w:rPr>
            </w:pPr>
            <w:r>
              <w:rPr>
                <w:rFonts w:hint="eastAsia"/>
                <w:sz w:val="21"/>
                <w:szCs w:val="21"/>
              </w:rPr>
              <w:t>14.2</w:t>
            </w:r>
          </w:p>
        </w:tc>
        <w:tc>
          <w:tcPr>
            <w:tcW w:w="725" w:type="pct"/>
            <w:tcBorders>
              <w:right w:val="single" w:color="auto" w:sz="4" w:space="0"/>
            </w:tcBorders>
            <w:vAlign w:val="center"/>
          </w:tcPr>
          <w:p w14:paraId="1D3EC989">
            <w:pPr>
              <w:adjustRightInd/>
              <w:snapToGrid/>
              <w:spacing w:line="240" w:lineRule="auto"/>
              <w:ind w:firstLine="0" w:firstLineChars="0"/>
              <w:contextualSpacing/>
              <w:jc w:val="center"/>
              <w:rPr>
                <w:b/>
                <w:bCs/>
                <w:sz w:val="21"/>
                <w:szCs w:val="21"/>
                <w:u w:val="single"/>
              </w:rPr>
            </w:pPr>
            <w:r>
              <w:rPr>
                <w:rFonts w:eastAsia="等线"/>
                <w:sz w:val="21"/>
                <w:szCs w:val="21"/>
              </w:rPr>
              <w:t>42.89</w:t>
            </w:r>
          </w:p>
        </w:tc>
        <w:tc>
          <w:tcPr>
            <w:tcW w:w="769" w:type="pct"/>
            <w:tcBorders>
              <w:left w:val="single" w:color="auto" w:sz="4" w:space="0"/>
            </w:tcBorders>
            <w:vAlign w:val="center"/>
          </w:tcPr>
          <w:p w14:paraId="1D3EC98A">
            <w:pPr>
              <w:adjustRightInd/>
              <w:snapToGrid/>
              <w:spacing w:line="240" w:lineRule="auto"/>
              <w:ind w:firstLine="0" w:firstLineChars="0"/>
              <w:contextualSpacing/>
              <w:jc w:val="center"/>
              <w:rPr>
                <w:sz w:val="21"/>
                <w:szCs w:val="21"/>
                <w:lang w:bidi="ar"/>
              </w:rPr>
            </w:pPr>
            <w:r>
              <w:rPr>
                <w:rFonts w:eastAsia="等线"/>
                <w:sz w:val="21"/>
                <w:szCs w:val="21"/>
              </w:rPr>
              <w:t>25.21</w:t>
            </w:r>
          </w:p>
        </w:tc>
        <w:tc>
          <w:tcPr>
            <w:tcW w:w="684" w:type="pct"/>
            <w:tcBorders>
              <w:left w:val="single" w:color="auto" w:sz="4" w:space="0"/>
            </w:tcBorders>
            <w:vAlign w:val="center"/>
          </w:tcPr>
          <w:p w14:paraId="61DA2C19">
            <w:pPr>
              <w:adjustRightInd/>
              <w:snapToGrid/>
              <w:spacing w:line="240" w:lineRule="auto"/>
              <w:ind w:firstLine="0" w:firstLineChars="0"/>
              <w:contextualSpacing/>
              <w:jc w:val="center"/>
              <w:rPr>
                <w:sz w:val="21"/>
                <w:szCs w:val="21"/>
                <w:lang w:bidi="ar"/>
              </w:rPr>
            </w:pPr>
            <w:r>
              <w:rPr>
                <w:rFonts w:hint="eastAsia" w:eastAsia="等线"/>
                <w:sz w:val="21"/>
                <w:szCs w:val="21"/>
              </w:rPr>
              <w:t>42.18</w:t>
            </w:r>
          </w:p>
        </w:tc>
        <w:tc>
          <w:tcPr>
            <w:tcW w:w="730" w:type="pct"/>
            <w:tcBorders>
              <w:left w:val="single" w:color="auto" w:sz="4" w:space="0"/>
            </w:tcBorders>
            <w:vAlign w:val="center"/>
          </w:tcPr>
          <w:p w14:paraId="5FF8E1CF">
            <w:pPr>
              <w:adjustRightInd/>
              <w:snapToGrid/>
              <w:spacing w:line="240" w:lineRule="auto"/>
              <w:ind w:firstLine="0" w:firstLineChars="0"/>
              <w:contextualSpacing/>
              <w:jc w:val="center"/>
              <w:rPr>
                <w:sz w:val="21"/>
                <w:szCs w:val="21"/>
                <w:lang w:bidi="ar"/>
              </w:rPr>
            </w:pPr>
            <w:r>
              <w:rPr>
                <w:rFonts w:hint="eastAsia" w:eastAsia="等线"/>
                <w:sz w:val="21"/>
                <w:szCs w:val="21"/>
              </w:rPr>
              <w:t>25.92</w:t>
            </w:r>
          </w:p>
        </w:tc>
      </w:tr>
      <w:tr w14:paraId="1D3EC9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8D">
            <w:pPr>
              <w:adjustRightInd/>
              <w:snapToGrid/>
              <w:spacing w:line="240" w:lineRule="auto"/>
              <w:ind w:firstLine="0" w:firstLineChars="0"/>
              <w:contextualSpacing/>
              <w:jc w:val="center"/>
              <w:rPr>
                <w:sz w:val="21"/>
                <w:szCs w:val="21"/>
                <w:highlight w:val="yellow"/>
              </w:rPr>
            </w:pPr>
            <w:r>
              <w:rPr>
                <w:rFonts w:hint="eastAsia"/>
                <w:sz w:val="21"/>
                <w:szCs w:val="21"/>
              </w:rPr>
              <w:t>辛庄村</w:t>
            </w:r>
          </w:p>
        </w:tc>
        <w:tc>
          <w:tcPr>
            <w:tcW w:w="513" w:type="pct"/>
            <w:vAlign w:val="center"/>
          </w:tcPr>
          <w:p w14:paraId="74ABF0A3">
            <w:pPr>
              <w:adjustRightInd/>
              <w:snapToGrid/>
              <w:spacing w:line="240" w:lineRule="auto"/>
              <w:ind w:firstLine="0" w:firstLineChars="0"/>
              <w:contextualSpacing/>
              <w:jc w:val="center"/>
              <w:rPr>
                <w:sz w:val="21"/>
                <w:szCs w:val="21"/>
                <w:lang w:bidi="ar"/>
              </w:rPr>
            </w:pPr>
            <w:r>
              <w:rPr>
                <w:rFonts w:hint="eastAsia"/>
                <w:sz w:val="21"/>
                <w:szCs w:val="21"/>
                <w:lang w:bidi="ar"/>
              </w:rPr>
              <w:t>70.25</w:t>
            </w:r>
          </w:p>
        </w:tc>
        <w:tc>
          <w:tcPr>
            <w:tcW w:w="558" w:type="pct"/>
            <w:vAlign w:val="center"/>
          </w:tcPr>
          <w:p w14:paraId="1D3EC98E">
            <w:pPr>
              <w:adjustRightInd/>
              <w:snapToGrid/>
              <w:spacing w:line="240" w:lineRule="auto"/>
              <w:ind w:firstLine="0" w:firstLineChars="0"/>
              <w:contextualSpacing/>
              <w:jc w:val="center"/>
              <w:rPr>
                <w:sz w:val="21"/>
                <w:szCs w:val="21"/>
              </w:rPr>
            </w:pPr>
            <w:r>
              <w:rPr>
                <w:rFonts w:hint="eastAsia"/>
                <w:sz w:val="21"/>
                <w:szCs w:val="21"/>
              </w:rPr>
              <w:t>13.6</w:t>
            </w:r>
          </w:p>
        </w:tc>
        <w:tc>
          <w:tcPr>
            <w:tcW w:w="725" w:type="pct"/>
            <w:tcBorders>
              <w:right w:val="single" w:color="auto" w:sz="4" w:space="0"/>
            </w:tcBorders>
            <w:vAlign w:val="center"/>
          </w:tcPr>
          <w:p w14:paraId="1D3EC98F">
            <w:pPr>
              <w:adjustRightInd/>
              <w:snapToGrid/>
              <w:spacing w:line="240" w:lineRule="auto"/>
              <w:ind w:firstLine="0" w:firstLineChars="0"/>
              <w:contextualSpacing/>
              <w:jc w:val="center"/>
              <w:rPr>
                <w:b/>
                <w:bCs/>
                <w:sz w:val="21"/>
                <w:szCs w:val="21"/>
                <w:u w:val="single"/>
              </w:rPr>
            </w:pPr>
            <w:r>
              <w:rPr>
                <w:rFonts w:eastAsia="等线"/>
                <w:sz w:val="21"/>
                <w:szCs w:val="21"/>
              </w:rPr>
              <w:t>42.11</w:t>
            </w:r>
          </w:p>
        </w:tc>
        <w:tc>
          <w:tcPr>
            <w:tcW w:w="769" w:type="pct"/>
            <w:tcBorders>
              <w:left w:val="single" w:color="auto" w:sz="4" w:space="0"/>
            </w:tcBorders>
            <w:vAlign w:val="center"/>
          </w:tcPr>
          <w:p w14:paraId="1D3EC990">
            <w:pPr>
              <w:adjustRightInd/>
              <w:snapToGrid/>
              <w:spacing w:line="240" w:lineRule="auto"/>
              <w:ind w:firstLine="0" w:firstLineChars="0"/>
              <w:contextualSpacing/>
              <w:jc w:val="center"/>
              <w:rPr>
                <w:sz w:val="21"/>
                <w:szCs w:val="21"/>
                <w:lang w:bidi="ar"/>
              </w:rPr>
            </w:pPr>
            <w:r>
              <w:rPr>
                <w:rFonts w:eastAsia="等线"/>
                <w:sz w:val="21"/>
                <w:szCs w:val="21"/>
              </w:rPr>
              <w:t>28.14</w:t>
            </w:r>
          </w:p>
        </w:tc>
        <w:tc>
          <w:tcPr>
            <w:tcW w:w="684" w:type="pct"/>
            <w:tcBorders>
              <w:left w:val="single" w:color="auto" w:sz="4" w:space="0"/>
            </w:tcBorders>
            <w:vAlign w:val="center"/>
          </w:tcPr>
          <w:p w14:paraId="2C818449">
            <w:pPr>
              <w:adjustRightInd/>
              <w:snapToGrid/>
              <w:spacing w:line="240" w:lineRule="auto"/>
              <w:ind w:firstLine="0" w:firstLineChars="0"/>
              <w:contextualSpacing/>
              <w:jc w:val="center"/>
              <w:rPr>
                <w:sz w:val="21"/>
                <w:szCs w:val="21"/>
                <w:lang w:bidi="ar"/>
              </w:rPr>
            </w:pPr>
            <w:r>
              <w:rPr>
                <w:rFonts w:hint="eastAsia" w:eastAsia="等线"/>
                <w:sz w:val="21"/>
                <w:szCs w:val="21"/>
              </w:rPr>
              <w:t>41.73</w:t>
            </w:r>
          </w:p>
        </w:tc>
        <w:tc>
          <w:tcPr>
            <w:tcW w:w="730" w:type="pct"/>
            <w:tcBorders>
              <w:left w:val="single" w:color="auto" w:sz="4" w:space="0"/>
            </w:tcBorders>
            <w:vAlign w:val="center"/>
          </w:tcPr>
          <w:p w14:paraId="2D0120ED">
            <w:pPr>
              <w:adjustRightInd/>
              <w:snapToGrid/>
              <w:spacing w:line="240" w:lineRule="auto"/>
              <w:ind w:firstLine="0" w:firstLineChars="0"/>
              <w:contextualSpacing/>
              <w:jc w:val="center"/>
              <w:rPr>
                <w:sz w:val="21"/>
                <w:szCs w:val="21"/>
                <w:lang w:bidi="ar"/>
              </w:rPr>
            </w:pPr>
            <w:r>
              <w:rPr>
                <w:rFonts w:hint="eastAsia" w:eastAsia="等线"/>
                <w:sz w:val="21"/>
                <w:szCs w:val="21"/>
              </w:rPr>
              <w:t>28.52</w:t>
            </w:r>
          </w:p>
        </w:tc>
      </w:tr>
      <w:tr w14:paraId="1D3EC9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93">
            <w:pPr>
              <w:adjustRightInd/>
              <w:snapToGrid/>
              <w:spacing w:line="240" w:lineRule="auto"/>
              <w:ind w:firstLine="0" w:firstLineChars="0"/>
              <w:contextualSpacing/>
              <w:jc w:val="center"/>
              <w:rPr>
                <w:sz w:val="21"/>
                <w:szCs w:val="21"/>
                <w:highlight w:val="yellow"/>
              </w:rPr>
            </w:pPr>
            <w:r>
              <w:rPr>
                <w:rFonts w:hint="eastAsia"/>
                <w:sz w:val="21"/>
                <w:szCs w:val="21"/>
              </w:rPr>
              <w:t>阮庄村西</w:t>
            </w:r>
          </w:p>
        </w:tc>
        <w:tc>
          <w:tcPr>
            <w:tcW w:w="513" w:type="pct"/>
            <w:vAlign w:val="center"/>
          </w:tcPr>
          <w:p w14:paraId="469426F7">
            <w:pPr>
              <w:adjustRightInd/>
              <w:snapToGrid/>
              <w:spacing w:line="240" w:lineRule="auto"/>
              <w:ind w:firstLine="0" w:firstLineChars="0"/>
              <w:contextualSpacing/>
              <w:jc w:val="center"/>
              <w:rPr>
                <w:sz w:val="21"/>
                <w:szCs w:val="21"/>
                <w:lang w:bidi="ar"/>
              </w:rPr>
            </w:pPr>
            <w:r>
              <w:rPr>
                <w:rFonts w:hint="eastAsia"/>
                <w:sz w:val="21"/>
                <w:szCs w:val="21"/>
                <w:lang w:bidi="ar"/>
              </w:rPr>
              <w:t>74.72</w:t>
            </w:r>
          </w:p>
        </w:tc>
        <w:tc>
          <w:tcPr>
            <w:tcW w:w="558" w:type="pct"/>
            <w:vAlign w:val="center"/>
          </w:tcPr>
          <w:p w14:paraId="1D3EC994">
            <w:pPr>
              <w:adjustRightInd/>
              <w:snapToGrid/>
              <w:spacing w:line="240" w:lineRule="auto"/>
              <w:ind w:firstLine="0" w:firstLineChars="0"/>
              <w:contextualSpacing/>
              <w:jc w:val="center"/>
              <w:rPr>
                <w:sz w:val="21"/>
                <w:szCs w:val="21"/>
              </w:rPr>
            </w:pPr>
            <w:r>
              <w:rPr>
                <w:rFonts w:hint="eastAsia"/>
                <w:sz w:val="21"/>
                <w:szCs w:val="21"/>
              </w:rPr>
              <w:t>14.2</w:t>
            </w:r>
          </w:p>
        </w:tc>
        <w:tc>
          <w:tcPr>
            <w:tcW w:w="725" w:type="pct"/>
            <w:tcBorders>
              <w:right w:val="single" w:color="auto" w:sz="4" w:space="0"/>
            </w:tcBorders>
            <w:vAlign w:val="center"/>
          </w:tcPr>
          <w:p w14:paraId="1D3EC995">
            <w:pPr>
              <w:adjustRightInd/>
              <w:snapToGrid/>
              <w:spacing w:line="240" w:lineRule="auto"/>
              <w:ind w:firstLine="0" w:firstLineChars="0"/>
              <w:contextualSpacing/>
              <w:jc w:val="center"/>
              <w:rPr>
                <w:b/>
                <w:bCs/>
                <w:sz w:val="21"/>
                <w:szCs w:val="21"/>
                <w:u w:val="single"/>
              </w:rPr>
            </w:pPr>
            <w:r>
              <w:rPr>
                <w:rFonts w:eastAsia="等线"/>
                <w:sz w:val="21"/>
                <w:szCs w:val="21"/>
              </w:rPr>
              <w:t>51.02</w:t>
            </w:r>
          </w:p>
        </w:tc>
        <w:tc>
          <w:tcPr>
            <w:tcW w:w="769" w:type="pct"/>
            <w:tcBorders>
              <w:left w:val="single" w:color="auto" w:sz="4" w:space="0"/>
            </w:tcBorders>
            <w:vAlign w:val="center"/>
          </w:tcPr>
          <w:p w14:paraId="1D3EC996">
            <w:pPr>
              <w:adjustRightInd/>
              <w:snapToGrid/>
              <w:spacing w:line="240" w:lineRule="auto"/>
              <w:ind w:firstLine="0" w:firstLineChars="0"/>
              <w:contextualSpacing/>
              <w:jc w:val="center"/>
              <w:rPr>
                <w:sz w:val="21"/>
                <w:szCs w:val="21"/>
                <w:lang w:bidi="ar"/>
              </w:rPr>
            </w:pPr>
            <w:r>
              <w:rPr>
                <w:rFonts w:eastAsia="等线"/>
                <w:sz w:val="21"/>
                <w:szCs w:val="21"/>
              </w:rPr>
              <w:t>23.7</w:t>
            </w:r>
          </w:p>
        </w:tc>
        <w:tc>
          <w:tcPr>
            <w:tcW w:w="684" w:type="pct"/>
            <w:tcBorders>
              <w:left w:val="single" w:color="auto" w:sz="4" w:space="0"/>
            </w:tcBorders>
            <w:vAlign w:val="center"/>
          </w:tcPr>
          <w:p w14:paraId="06326C36">
            <w:pPr>
              <w:adjustRightInd/>
              <w:snapToGrid/>
              <w:spacing w:line="240" w:lineRule="auto"/>
              <w:ind w:firstLine="0" w:firstLineChars="0"/>
              <w:contextualSpacing/>
              <w:jc w:val="center"/>
              <w:rPr>
                <w:sz w:val="21"/>
                <w:szCs w:val="21"/>
                <w:lang w:bidi="ar"/>
              </w:rPr>
            </w:pPr>
            <w:r>
              <w:rPr>
                <w:rFonts w:hint="eastAsia" w:eastAsia="等线"/>
                <w:sz w:val="21"/>
                <w:szCs w:val="21"/>
              </w:rPr>
              <w:t>50.43</w:t>
            </w:r>
          </w:p>
        </w:tc>
        <w:tc>
          <w:tcPr>
            <w:tcW w:w="730" w:type="pct"/>
            <w:tcBorders>
              <w:left w:val="single" w:color="auto" w:sz="4" w:space="0"/>
            </w:tcBorders>
            <w:vAlign w:val="center"/>
          </w:tcPr>
          <w:p w14:paraId="447DDE8F">
            <w:pPr>
              <w:adjustRightInd/>
              <w:snapToGrid/>
              <w:spacing w:line="240" w:lineRule="auto"/>
              <w:ind w:firstLine="0" w:firstLineChars="0"/>
              <w:contextualSpacing/>
              <w:jc w:val="center"/>
              <w:rPr>
                <w:sz w:val="21"/>
                <w:szCs w:val="21"/>
                <w:lang w:bidi="ar"/>
              </w:rPr>
            </w:pPr>
            <w:r>
              <w:rPr>
                <w:rFonts w:hint="eastAsia" w:eastAsia="等线"/>
                <w:sz w:val="21"/>
                <w:szCs w:val="21"/>
              </w:rPr>
              <w:t>24.29</w:t>
            </w:r>
          </w:p>
        </w:tc>
      </w:tr>
      <w:tr w14:paraId="1D3EC9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99">
            <w:pPr>
              <w:adjustRightInd/>
              <w:snapToGrid/>
              <w:spacing w:line="240" w:lineRule="auto"/>
              <w:ind w:firstLine="0" w:firstLineChars="0"/>
              <w:contextualSpacing/>
              <w:jc w:val="center"/>
              <w:rPr>
                <w:sz w:val="21"/>
                <w:szCs w:val="21"/>
                <w:highlight w:val="yellow"/>
              </w:rPr>
            </w:pPr>
            <w:r>
              <w:rPr>
                <w:rFonts w:hint="eastAsia"/>
                <w:sz w:val="21"/>
                <w:szCs w:val="21"/>
              </w:rPr>
              <w:t>薛庄村</w:t>
            </w:r>
          </w:p>
        </w:tc>
        <w:tc>
          <w:tcPr>
            <w:tcW w:w="513" w:type="pct"/>
            <w:vAlign w:val="center"/>
          </w:tcPr>
          <w:p w14:paraId="4E185E27">
            <w:pPr>
              <w:adjustRightInd/>
              <w:snapToGrid/>
              <w:spacing w:line="240" w:lineRule="auto"/>
              <w:ind w:firstLine="0" w:firstLineChars="0"/>
              <w:contextualSpacing/>
              <w:jc w:val="center"/>
              <w:rPr>
                <w:sz w:val="21"/>
                <w:szCs w:val="21"/>
                <w:lang w:bidi="ar"/>
              </w:rPr>
            </w:pPr>
            <w:r>
              <w:rPr>
                <w:rFonts w:hint="eastAsia"/>
                <w:sz w:val="21"/>
                <w:szCs w:val="21"/>
                <w:lang w:bidi="ar"/>
              </w:rPr>
              <w:t>73.44</w:t>
            </w:r>
          </w:p>
        </w:tc>
        <w:tc>
          <w:tcPr>
            <w:tcW w:w="558" w:type="pct"/>
            <w:vAlign w:val="center"/>
          </w:tcPr>
          <w:p w14:paraId="1D3EC99A">
            <w:pPr>
              <w:adjustRightInd/>
              <w:snapToGrid/>
              <w:spacing w:line="240" w:lineRule="auto"/>
              <w:ind w:firstLine="0" w:firstLineChars="0"/>
              <w:contextualSpacing/>
              <w:jc w:val="center"/>
              <w:rPr>
                <w:sz w:val="21"/>
                <w:szCs w:val="21"/>
              </w:rPr>
            </w:pPr>
            <w:r>
              <w:rPr>
                <w:rFonts w:hint="eastAsia"/>
                <w:sz w:val="21"/>
                <w:szCs w:val="21"/>
              </w:rPr>
              <w:t>12.1</w:t>
            </w:r>
          </w:p>
        </w:tc>
        <w:tc>
          <w:tcPr>
            <w:tcW w:w="725" w:type="pct"/>
            <w:tcBorders>
              <w:right w:val="single" w:color="auto" w:sz="4" w:space="0"/>
            </w:tcBorders>
            <w:vAlign w:val="center"/>
          </w:tcPr>
          <w:p w14:paraId="1D3EC99B">
            <w:pPr>
              <w:adjustRightInd/>
              <w:snapToGrid/>
              <w:spacing w:line="240" w:lineRule="auto"/>
              <w:ind w:firstLine="0" w:firstLineChars="0"/>
              <w:contextualSpacing/>
              <w:jc w:val="center"/>
              <w:rPr>
                <w:b/>
                <w:bCs/>
                <w:sz w:val="21"/>
                <w:szCs w:val="21"/>
                <w:u w:val="single"/>
              </w:rPr>
            </w:pPr>
            <w:r>
              <w:rPr>
                <w:rFonts w:eastAsia="等线"/>
                <w:sz w:val="21"/>
                <w:szCs w:val="21"/>
              </w:rPr>
              <w:t>48.71</w:t>
            </w:r>
          </w:p>
        </w:tc>
        <w:tc>
          <w:tcPr>
            <w:tcW w:w="769" w:type="pct"/>
            <w:tcBorders>
              <w:left w:val="single" w:color="auto" w:sz="4" w:space="0"/>
            </w:tcBorders>
            <w:vAlign w:val="center"/>
          </w:tcPr>
          <w:p w14:paraId="1D3EC99C">
            <w:pPr>
              <w:adjustRightInd/>
              <w:snapToGrid/>
              <w:spacing w:line="240" w:lineRule="auto"/>
              <w:ind w:firstLine="0" w:firstLineChars="0"/>
              <w:contextualSpacing/>
              <w:jc w:val="center"/>
              <w:rPr>
                <w:sz w:val="21"/>
                <w:szCs w:val="21"/>
                <w:lang w:bidi="ar"/>
              </w:rPr>
            </w:pPr>
            <w:r>
              <w:rPr>
                <w:rFonts w:eastAsia="等线"/>
                <w:sz w:val="21"/>
                <w:szCs w:val="21"/>
              </w:rPr>
              <w:t>24.73</w:t>
            </w:r>
          </w:p>
        </w:tc>
        <w:tc>
          <w:tcPr>
            <w:tcW w:w="684" w:type="pct"/>
            <w:tcBorders>
              <w:left w:val="single" w:color="auto" w:sz="4" w:space="0"/>
            </w:tcBorders>
            <w:vAlign w:val="center"/>
          </w:tcPr>
          <w:p w14:paraId="42350388">
            <w:pPr>
              <w:adjustRightInd/>
              <w:snapToGrid/>
              <w:spacing w:line="240" w:lineRule="auto"/>
              <w:ind w:firstLine="0" w:firstLineChars="0"/>
              <w:contextualSpacing/>
              <w:jc w:val="center"/>
              <w:rPr>
                <w:sz w:val="21"/>
                <w:szCs w:val="21"/>
                <w:lang w:bidi="ar"/>
              </w:rPr>
            </w:pPr>
            <w:r>
              <w:rPr>
                <w:rFonts w:hint="eastAsia" w:eastAsia="等线"/>
                <w:sz w:val="21"/>
                <w:szCs w:val="21"/>
              </w:rPr>
              <w:t>47.68</w:t>
            </w:r>
          </w:p>
        </w:tc>
        <w:tc>
          <w:tcPr>
            <w:tcW w:w="730" w:type="pct"/>
            <w:tcBorders>
              <w:left w:val="single" w:color="auto" w:sz="4" w:space="0"/>
            </w:tcBorders>
            <w:vAlign w:val="center"/>
          </w:tcPr>
          <w:p w14:paraId="299E7978">
            <w:pPr>
              <w:adjustRightInd/>
              <w:snapToGrid/>
              <w:spacing w:line="240" w:lineRule="auto"/>
              <w:ind w:firstLine="0" w:firstLineChars="0"/>
              <w:contextualSpacing/>
              <w:jc w:val="center"/>
              <w:rPr>
                <w:sz w:val="21"/>
                <w:szCs w:val="21"/>
                <w:lang w:bidi="ar"/>
              </w:rPr>
            </w:pPr>
            <w:r>
              <w:rPr>
                <w:rFonts w:hint="eastAsia" w:eastAsia="等线"/>
                <w:sz w:val="21"/>
                <w:szCs w:val="21"/>
              </w:rPr>
              <w:t>25.76</w:t>
            </w:r>
          </w:p>
        </w:tc>
      </w:tr>
      <w:tr w14:paraId="1D3EC9A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9F">
            <w:pPr>
              <w:adjustRightInd/>
              <w:snapToGrid/>
              <w:spacing w:line="240" w:lineRule="auto"/>
              <w:ind w:firstLine="0" w:firstLineChars="0"/>
              <w:contextualSpacing/>
              <w:jc w:val="center"/>
              <w:rPr>
                <w:sz w:val="21"/>
                <w:szCs w:val="21"/>
                <w:highlight w:val="yellow"/>
              </w:rPr>
            </w:pPr>
            <w:r>
              <w:rPr>
                <w:rFonts w:hint="eastAsia"/>
                <w:sz w:val="21"/>
                <w:szCs w:val="21"/>
              </w:rPr>
              <w:t>东寺门村</w:t>
            </w:r>
          </w:p>
        </w:tc>
        <w:tc>
          <w:tcPr>
            <w:tcW w:w="513" w:type="pct"/>
            <w:vAlign w:val="center"/>
          </w:tcPr>
          <w:p w14:paraId="2E6EFD27">
            <w:pPr>
              <w:adjustRightInd/>
              <w:snapToGrid/>
              <w:spacing w:line="240" w:lineRule="auto"/>
              <w:ind w:firstLine="0" w:firstLineChars="0"/>
              <w:contextualSpacing/>
              <w:jc w:val="center"/>
              <w:rPr>
                <w:sz w:val="21"/>
                <w:szCs w:val="21"/>
                <w:lang w:bidi="ar"/>
              </w:rPr>
            </w:pPr>
            <w:r>
              <w:rPr>
                <w:rFonts w:hint="eastAsia"/>
                <w:sz w:val="21"/>
                <w:szCs w:val="21"/>
                <w:lang w:bidi="ar"/>
              </w:rPr>
              <w:t>82.03</w:t>
            </w:r>
          </w:p>
        </w:tc>
        <w:tc>
          <w:tcPr>
            <w:tcW w:w="558" w:type="pct"/>
            <w:vAlign w:val="center"/>
          </w:tcPr>
          <w:p w14:paraId="1D3EC9A0">
            <w:pPr>
              <w:adjustRightInd/>
              <w:snapToGrid/>
              <w:spacing w:line="240" w:lineRule="auto"/>
              <w:ind w:firstLine="0" w:firstLineChars="0"/>
              <w:contextualSpacing/>
              <w:jc w:val="center"/>
              <w:rPr>
                <w:sz w:val="21"/>
                <w:szCs w:val="21"/>
                <w:lang w:bidi="ar"/>
              </w:rPr>
            </w:pPr>
            <w:r>
              <w:rPr>
                <w:rFonts w:hint="eastAsia"/>
                <w:sz w:val="21"/>
                <w:szCs w:val="21"/>
                <w:lang w:bidi="ar"/>
              </w:rPr>
              <w:t>11.5</w:t>
            </w:r>
          </w:p>
        </w:tc>
        <w:tc>
          <w:tcPr>
            <w:tcW w:w="725" w:type="pct"/>
            <w:tcBorders>
              <w:right w:val="single" w:color="auto" w:sz="4" w:space="0"/>
            </w:tcBorders>
            <w:vAlign w:val="center"/>
          </w:tcPr>
          <w:p w14:paraId="1D3EC9A1">
            <w:pPr>
              <w:adjustRightInd/>
              <w:snapToGrid/>
              <w:spacing w:line="240" w:lineRule="auto"/>
              <w:ind w:firstLine="0" w:firstLineChars="0"/>
              <w:contextualSpacing/>
              <w:jc w:val="center"/>
              <w:rPr>
                <w:sz w:val="21"/>
                <w:szCs w:val="21"/>
                <w:lang w:bidi="ar"/>
              </w:rPr>
            </w:pPr>
            <w:r>
              <w:rPr>
                <w:rFonts w:eastAsia="等线"/>
                <w:sz w:val="21"/>
                <w:szCs w:val="21"/>
              </w:rPr>
              <w:t>62.34</w:t>
            </w:r>
          </w:p>
        </w:tc>
        <w:tc>
          <w:tcPr>
            <w:tcW w:w="769" w:type="pct"/>
            <w:tcBorders>
              <w:left w:val="single" w:color="auto" w:sz="4" w:space="0"/>
            </w:tcBorders>
            <w:vAlign w:val="center"/>
          </w:tcPr>
          <w:p w14:paraId="1D3EC9A2">
            <w:pPr>
              <w:adjustRightInd/>
              <w:snapToGrid/>
              <w:spacing w:line="240" w:lineRule="auto"/>
              <w:ind w:firstLine="0" w:firstLineChars="0"/>
              <w:contextualSpacing/>
              <w:jc w:val="center"/>
              <w:rPr>
                <w:sz w:val="21"/>
                <w:szCs w:val="21"/>
                <w:lang w:bidi="ar"/>
              </w:rPr>
            </w:pPr>
            <w:r>
              <w:rPr>
                <w:rFonts w:eastAsia="等线"/>
                <w:sz w:val="21"/>
                <w:szCs w:val="21"/>
              </w:rPr>
              <w:t>19.69</w:t>
            </w:r>
          </w:p>
        </w:tc>
        <w:tc>
          <w:tcPr>
            <w:tcW w:w="684" w:type="pct"/>
            <w:tcBorders>
              <w:left w:val="single" w:color="auto" w:sz="4" w:space="0"/>
            </w:tcBorders>
            <w:vAlign w:val="center"/>
          </w:tcPr>
          <w:p w14:paraId="5818A716">
            <w:pPr>
              <w:adjustRightInd/>
              <w:snapToGrid/>
              <w:spacing w:line="240" w:lineRule="auto"/>
              <w:ind w:firstLine="0" w:firstLineChars="0"/>
              <w:contextualSpacing/>
              <w:jc w:val="center"/>
              <w:rPr>
                <w:sz w:val="21"/>
                <w:szCs w:val="21"/>
                <w:lang w:bidi="ar"/>
              </w:rPr>
            </w:pPr>
            <w:r>
              <w:rPr>
                <w:rFonts w:hint="eastAsia" w:eastAsia="等线"/>
                <w:sz w:val="21"/>
                <w:szCs w:val="21"/>
              </w:rPr>
              <w:t>61.83</w:t>
            </w:r>
          </w:p>
        </w:tc>
        <w:tc>
          <w:tcPr>
            <w:tcW w:w="730" w:type="pct"/>
            <w:tcBorders>
              <w:left w:val="single" w:color="auto" w:sz="4" w:space="0"/>
            </w:tcBorders>
            <w:vAlign w:val="center"/>
          </w:tcPr>
          <w:p w14:paraId="4211BDAB">
            <w:pPr>
              <w:adjustRightInd/>
              <w:snapToGrid/>
              <w:spacing w:line="240" w:lineRule="auto"/>
              <w:ind w:firstLine="0" w:firstLineChars="0"/>
              <w:contextualSpacing/>
              <w:jc w:val="center"/>
              <w:rPr>
                <w:sz w:val="21"/>
                <w:szCs w:val="21"/>
                <w:lang w:bidi="ar"/>
              </w:rPr>
            </w:pPr>
            <w:r>
              <w:rPr>
                <w:rFonts w:hint="eastAsia" w:eastAsia="等线"/>
                <w:sz w:val="21"/>
                <w:szCs w:val="21"/>
              </w:rPr>
              <w:t>20.2</w:t>
            </w:r>
          </w:p>
        </w:tc>
      </w:tr>
      <w:tr w14:paraId="1D3EC9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A5">
            <w:pPr>
              <w:adjustRightInd/>
              <w:snapToGrid/>
              <w:spacing w:line="240" w:lineRule="auto"/>
              <w:ind w:firstLine="0" w:firstLineChars="0"/>
              <w:contextualSpacing/>
              <w:jc w:val="center"/>
              <w:rPr>
                <w:sz w:val="21"/>
                <w:szCs w:val="21"/>
                <w:highlight w:val="yellow"/>
              </w:rPr>
            </w:pPr>
            <w:r>
              <w:rPr>
                <w:rFonts w:hint="eastAsia"/>
                <w:sz w:val="21"/>
                <w:szCs w:val="21"/>
              </w:rPr>
              <w:t>岗曹村</w:t>
            </w:r>
          </w:p>
        </w:tc>
        <w:tc>
          <w:tcPr>
            <w:tcW w:w="513" w:type="pct"/>
            <w:vAlign w:val="center"/>
          </w:tcPr>
          <w:p w14:paraId="231AA5C6">
            <w:pPr>
              <w:adjustRightInd/>
              <w:snapToGrid/>
              <w:spacing w:line="240" w:lineRule="auto"/>
              <w:ind w:firstLine="0" w:firstLineChars="0"/>
              <w:contextualSpacing/>
              <w:jc w:val="center"/>
              <w:rPr>
                <w:sz w:val="21"/>
                <w:szCs w:val="21"/>
                <w:lang w:bidi="ar"/>
              </w:rPr>
            </w:pPr>
            <w:r>
              <w:rPr>
                <w:rFonts w:hint="eastAsia"/>
                <w:sz w:val="21"/>
                <w:szCs w:val="21"/>
                <w:lang w:bidi="ar"/>
              </w:rPr>
              <w:t>79.08</w:t>
            </w:r>
          </w:p>
        </w:tc>
        <w:tc>
          <w:tcPr>
            <w:tcW w:w="558" w:type="pct"/>
            <w:vAlign w:val="center"/>
          </w:tcPr>
          <w:p w14:paraId="1D3EC9A6">
            <w:pPr>
              <w:adjustRightInd/>
              <w:snapToGrid/>
              <w:spacing w:line="240" w:lineRule="auto"/>
              <w:ind w:firstLine="0" w:firstLineChars="0"/>
              <w:contextualSpacing/>
              <w:jc w:val="center"/>
              <w:rPr>
                <w:sz w:val="21"/>
                <w:szCs w:val="21"/>
                <w:lang w:bidi="ar"/>
              </w:rPr>
            </w:pPr>
            <w:r>
              <w:rPr>
                <w:rFonts w:hint="eastAsia"/>
                <w:sz w:val="21"/>
                <w:szCs w:val="21"/>
                <w:lang w:bidi="ar"/>
              </w:rPr>
              <w:t>12.7</w:t>
            </w:r>
          </w:p>
        </w:tc>
        <w:tc>
          <w:tcPr>
            <w:tcW w:w="725" w:type="pct"/>
            <w:tcBorders>
              <w:right w:val="single" w:color="auto" w:sz="4" w:space="0"/>
            </w:tcBorders>
            <w:vAlign w:val="center"/>
          </w:tcPr>
          <w:p w14:paraId="1D3EC9A7">
            <w:pPr>
              <w:adjustRightInd/>
              <w:snapToGrid/>
              <w:spacing w:line="240" w:lineRule="auto"/>
              <w:ind w:firstLine="0" w:firstLineChars="0"/>
              <w:contextualSpacing/>
              <w:jc w:val="center"/>
              <w:rPr>
                <w:sz w:val="21"/>
                <w:szCs w:val="21"/>
                <w:lang w:bidi="ar"/>
              </w:rPr>
            </w:pPr>
            <w:r>
              <w:rPr>
                <w:rFonts w:eastAsia="等线"/>
                <w:sz w:val="21"/>
                <w:szCs w:val="21"/>
              </w:rPr>
              <w:t>60.93</w:t>
            </w:r>
          </w:p>
        </w:tc>
        <w:tc>
          <w:tcPr>
            <w:tcW w:w="769" w:type="pct"/>
            <w:tcBorders>
              <w:left w:val="single" w:color="auto" w:sz="4" w:space="0"/>
            </w:tcBorders>
            <w:vAlign w:val="center"/>
          </w:tcPr>
          <w:p w14:paraId="1D3EC9A8">
            <w:pPr>
              <w:adjustRightInd/>
              <w:snapToGrid/>
              <w:spacing w:line="240" w:lineRule="auto"/>
              <w:ind w:firstLine="0" w:firstLineChars="0"/>
              <w:contextualSpacing/>
              <w:jc w:val="center"/>
              <w:rPr>
                <w:sz w:val="21"/>
                <w:szCs w:val="21"/>
                <w:lang w:bidi="ar"/>
              </w:rPr>
            </w:pPr>
            <w:r>
              <w:rPr>
                <w:rFonts w:eastAsia="等线"/>
                <w:sz w:val="21"/>
                <w:szCs w:val="21"/>
              </w:rPr>
              <w:t>18.15</w:t>
            </w:r>
          </w:p>
        </w:tc>
        <w:tc>
          <w:tcPr>
            <w:tcW w:w="684" w:type="pct"/>
            <w:tcBorders>
              <w:left w:val="single" w:color="auto" w:sz="4" w:space="0"/>
            </w:tcBorders>
            <w:vAlign w:val="center"/>
          </w:tcPr>
          <w:p w14:paraId="7C50F8A4">
            <w:pPr>
              <w:adjustRightInd/>
              <w:snapToGrid/>
              <w:spacing w:line="240" w:lineRule="auto"/>
              <w:ind w:firstLine="0" w:firstLineChars="0"/>
              <w:contextualSpacing/>
              <w:jc w:val="center"/>
              <w:rPr>
                <w:sz w:val="21"/>
                <w:szCs w:val="21"/>
                <w:lang w:bidi="ar"/>
              </w:rPr>
            </w:pPr>
            <w:r>
              <w:rPr>
                <w:rFonts w:hint="eastAsia" w:eastAsia="等线"/>
                <w:sz w:val="21"/>
                <w:szCs w:val="21"/>
              </w:rPr>
              <w:t>59.08</w:t>
            </w:r>
          </w:p>
        </w:tc>
        <w:tc>
          <w:tcPr>
            <w:tcW w:w="730" w:type="pct"/>
            <w:tcBorders>
              <w:left w:val="single" w:color="auto" w:sz="4" w:space="0"/>
            </w:tcBorders>
            <w:vAlign w:val="center"/>
          </w:tcPr>
          <w:p w14:paraId="137B60E1">
            <w:pPr>
              <w:adjustRightInd/>
              <w:snapToGrid/>
              <w:spacing w:line="240" w:lineRule="auto"/>
              <w:ind w:firstLine="0" w:firstLineChars="0"/>
              <w:contextualSpacing/>
              <w:jc w:val="center"/>
              <w:rPr>
                <w:sz w:val="21"/>
                <w:szCs w:val="21"/>
                <w:lang w:bidi="ar"/>
              </w:rPr>
            </w:pPr>
            <w:r>
              <w:rPr>
                <w:rFonts w:hint="eastAsia" w:eastAsia="等线"/>
                <w:sz w:val="21"/>
                <w:szCs w:val="21"/>
              </w:rPr>
              <w:t>20</w:t>
            </w:r>
          </w:p>
        </w:tc>
      </w:tr>
      <w:tr w14:paraId="1D3EC9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AB">
            <w:pPr>
              <w:adjustRightInd/>
              <w:snapToGrid/>
              <w:spacing w:line="240" w:lineRule="auto"/>
              <w:ind w:firstLine="0" w:firstLineChars="0"/>
              <w:contextualSpacing/>
              <w:jc w:val="center"/>
              <w:rPr>
                <w:sz w:val="21"/>
                <w:szCs w:val="21"/>
                <w:highlight w:val="yellow"/>
              </w:rPr>
            </w:pPr>
            <w:r>
              <w:rPr>
                <w:rFonts w:hint="eastAsia"/>
                <w:sz w:val="21"/>
                <w:szCs w:val="21"/>
              </w:rPr>
              <w:t>河洼村</w:t>
            </w:r>
          </w:p>
        </w:tc>
        <w:tc>
          <w:tcPr>
            <w:tcW w:w="513" w:type="pct"/>
            <w:vAlign w:val="center"/>
          </w:tcPr>
          <w:p w14:paraId="08006D4E">
            <w:pPr>
              <w:adjustRightInd/>
              <w:snapToGrid/>
              <w:spacing w:line="240" w:lineRule="auto"/>
              <w:ind w:firstLine="0" w:firstLineChars="0"/>
              <w:contextualSpacing/>
              <w:jc w:val="center"/>
              <w:rPr>
                <w:sz w:val="21"/>
                <w:szCs w:val="21"/>
                <w:lang w:bidi="ar"/>
              </w:rPr>
            </w:pPr>
            <w:r>
              <w:rPr>
                <w:rFonts w:hint="eastAsia"/>
                <w:sz w:val="21"/>
                <w:szCs w:val="21"/>
                <w:lang w:bidi="ar"/>
              </w:rPr>
              <w:t>79.67</w:t>
            </w:r>
          </w:p>
        </w:tc>
        <w:tc>
          <w:tcPr>
            <w:tcW w:w="558" w:type="pct"/>
            <w:vAlign w:val="center"/>
          </w:tcPr>
          <w:p w14:paraId="1D3EC9AC">
            <w:pPr>
              <w:adjustRightInd/>
              <w:snapToGrid/>
              <w:spacing w:line="240" w:lineRule="auto"/>
              <w:ind w:firstLine="0" w:firstLineChars="0"/>
              <w:contextualSpacing/>
              <w:jc w:val="center"/>
              <w:rPr>
                <w:sz w:val="21"/>
                <w:szCs w:val="21"/>
                <w:lang w:bidi="ar"/>
              </w:rPr>
            </w:pPr>
            <w:r>
              <w:rPr>
                <w:rFonts w:hint="eastAsia"/>
                <w:sz w:val="21"/>
                <w:szCs w:val="21"/>
                <w:lang w:bidi="ar"/>
              </w:rPr>
              <w:t>12.6</w:t>
            </w:r>
          </w:p>
        </w:tc>
        <w:tc>
          <w:tcPr>
            <w:tcW w:w="725" w:type="pct"/>
            <w:tcBorders>
              <w:right w:val="single" w:color="auto" w:sz="4" w:space="0"/>
            </w:tcBorders>
            <w:vAlign w:val="center"/>
          </w:tcPr>
          <w:p w14:paraId="1D3EC9AD">
            <w:pPr>
              <w:adjustRightInd/>
              <w:snapToGrid/>
              <w:spacing w:line="240" w:lineRule="auto"/>
              <w:ind w:firstLine="0" w:firstLineChars="0"/>
              <w:contextualSpacing/>
              <w:jc w:val="center"/>
              <w:rPr>
                <w:sz w:val="21"/>
                <w:szCs w:val="21"/>
                <w:lang w:bidi="ar"/>
              </w:rPr>
            </w:pPr>
            <w:r>
              <w:rPr>
                <w:rFonts w:eastAsia="等线"/>
                <w:sz w:val="21"/>
                <w:szCs w:val="21"/>
              </w:rPr>
              <w:t>60.78</w:t>
            </w:r>
          </w:p>
        </w:tc>
        <w:tc>
          <w:tcPr>
            <w:tcW w:w="769" w:type="pct"/>
            <w:tcBorders>
              <w:left w:val="single" w:color="auto" w:sz="4" w:space="0"/>
            </w:tcBorders>
            <w:vAlign w:val="center"/>
          </w:tcPr>
          <w:p w14:paraId="1D3EC9AE">
            <w:pPr>
              <w:adjustRightInd/>
              <w:snapToGrid/>
              <w:spacing w:line="240" w:lineRule="auto"/>
              <w:ind w:firstLine="0" w:firstLineChars="0"/>
              <w:contextualSpacing/>
              <w:jc w:val="center"/>
              <w:rPr>
                <w:sz w:val="21"/>
                <w:szCs w:val="21"/>
                <w:lang w:bidi="ar"/>
              </w:rPr>
            </w:pPr>
            <w:r>
              <w:rPr>
                <w:rFonts w:eastAsia="等线"/>
                <w:sz w:val="21"/>
                <w:szCs w:val="21"/>
              </w:rPr>
              <w:t>18.89</w:t>
            </w:r>
          </w:p>
        </w:tc>
        <w:tc>
          <w:tcPr>
            <w:tcW w:w="684" w:type="pct"/>
            <w:tcBorders>
              <w:left w:val="single" w:color="auto" w:sz="4" w:space="0"/>
            </w:tcBorders>
            <w:vAlign w:val="center"/>
          </w:tcPr>
          <w:p w14:paraId="1AB79B51">
            <w:pPr>
              <w:adjustRightInd/>
              <w:snapToGrid/>
              <w:spacing w:line="240" w:lineRule="auto"/>
              <w:ind w:firstLine="0" w:firstLineChars="0"/>
              <w:contextualSpacing/>
              <w:jc w:val="center"/>
              <w:rPr>
                <w:sz w:val="21"/>
                <w:szCs w:val="21"/>
                <w:lang w:bidi="ar"/>
              </w:rPr>
            </w:pPr>
            <w:r>
              <w:rPr>
                <w:rFonts w:hint="eastAsia" w:eastAsia="等线"/>
                <w:sz w:val="21"/>
                <w:szCs w:val="21"/>
              </w:rPr>
              <w:t>60.14</w:t>
            </w:r>
          </w:p>
        </w:tc>
        <w:tc>
          <w:tcPr>
            <w:tcW w:w="730" w:type="pct"/>
            <w:tcBorders>
              <w:left w:val="single" w:color="auto" w:sz="4" w:space="0"/>
            </w:tcBorders>
            <w:vAlign w:val="center"/>
          </w:tcPr>
          <w:p w14:paraId="467D1612">
            <w:pPr>
              <w:adjustRightInd/>
              <w:snapToGrid/>
              <w:spacing w:line="240" w:lineRule="auto"/>
              <w:ind w:firstLine="0" w:firstLineChars="0"/>
              <w:contextualSpacing/>
              <w:jc w:val="center"/>
              <w:rPr>
                <w:sz w:val="21"/>
                <w:szCs w:val="21"/>
                <w:lang w:bidi="ar"/>
              </w:rPr>
            </w:pPr>
            <w:r>
              <w:rPr>
                <w:rFonts w:hint="eastAsia" w:eastAsia="等线"/>
                <w:sz w:val="21"/>
                <w:szCs w:val="21"/>
              </w:rPr>
              <w:t>19.53</w:t>
            </w:r>
          </w:p>
        </w:tc>
      </w:tr>
      <w:tr w14:paraId="1D3EC9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21" w:type="pct"/>
            <w:vAlign w:val="center"/>
          </w:tcPr>
          <w:p w14:paraId="1D3EC9B1">
            <w:pPr>
              <w:adjustRightInd/>
              <w:snapToGrid/>
              <w:spacing w:line="240" w:lineRule="auto"/>
              <w:ind w:firstLine="0" w:firstLineChars="0"/>
              <w:contextualSpacing/>
              <w:jc w:val="center"/>
              <w:rPr>
                <w:sz w:val="21"/>
                <w:szCs w:val="21"/>
                <w:highlight w:val="yellow"/>
              </w:rPr>
            </w:pPr>
            <w:r>
              <w:rPr>
                <w:rFonts w:hint="eastAsia"/>
                <w:sz w:val="21"/>
                <w:szCs w:val="21"/>
              </w:rPr>
              <w:t>班庄北</w:t>
            </w:r>
          </w:p>
        </w:tc>
        <w:tc>
          <w:tcPr>
            <w:tcW w:w="513" w:type="pct"/>
            <w:vAlign w:val="center"/>
          </w:tcPr>
          <w:p w14:paraId="07A79847">
            <w:pPr>
              <w:adjustRightInd/>
              <w:snapToGrid/>
              <w:spacing w:line="240" w:lineRule="auto"/>
              <w:ind w:firstLine="0" w:firstLineChars="0"/>
              <w:contextualSpacing/>
              <w:jc w:val="center"/>
              <w:rPr>
                <w:sz w:val="21"/>
                <w:szCs w:val="21"/>
                <w:lang w:bidi="ar"/>
              </w:rPr>
            </w:pPr>
            <w:r>
              <w:rPr>
                <w:rFonts w:hint="eastAsia"/>
                <w:sz w:val="21"/>
                <w:szCs w:val="21"/>
                <w:lang w:bidi="ar"/>
              </w:rPr>
              <w:t>77.21</w:t>
            </w:r>
          </w:p>
        </w:tc>
        <w:tc>
          <w:tcPr>
            <w:tcW w:w="558" w:type="pct"/>
            <w:vAlign w:val="center"/>
          </w:tcPr>
          <w:p w14:paraId="1D3EC9B2">
            <w:pPr>
              <w:adjustRightInd/>
              <w:snapToGrid/>
              <w:spacing w:line="240" w:lineRule="auto"/>
              <w:ind w:firstLine="0" w:firstLineChars="0"/>
              <w:contextualSpacing/>
              <w:jc w:val="center"/>
              <w:rPr>
                <w:sz w:val="21"/>
                <w:szCs w:val="21"/>
                <w:lang w:bidi="ar"/>
              </w:rPr>
            </w:pPr>
            <w:r>
              <w:rPr>
                <w:rFonts w:hint="eastAsia"/>
                <w:sz w:val="21"/>
                <w:szCs w:val="21"/>
                <w:lang w:bidi="ar"/>
              </w:rPr>
              <w:t>11.8</w:t>
            </w:r>
          </w:p>
        </w:tc>
        <w:tc>
          <w:tcPr>
            <w:tcW w:w="725" w:type="pct"/>
            <w:tcBorders>
              <w:right w:val="single" w:color="auto" w:sz="4" w:space="0"/>
            </w:tcBorders>
            <w:vAlign w:val="center"/>
          </w:tcPr>
          <w:p w14:paraId="1D3EC9B3">
            <w:pPr>
              <w:adjustRightInd/>
              <w:snapToGrid/>
              <w:spacing w:line="240" w:lineRule="auto"/>
              <w:ind w:firstLine="0" w:firstLineChars="0"/>
              <w:contextualSpacing/>
              <w:jc w:val="center"/>
              <w:rPr>
                <w:sz w:val="21"/>
                <w:szCs w:val="21"/>
                <w:lang w:bidi="ar"/>
              </w:rPr>
            </w:pPr>
            <w:r>
              <w:rPr>
                <w:rFonts w:eastAsia="等线"/>
                <w:sz w:val="21"/>
                <w:szCs w:val="21"/>
              </w:rPr>
              <w:t>53.58</w:t>
            </w:r>
          </w:p>
        </w:tc>
        <w:tc>
          <w:tcPr>
            <w:tcW w:w="769" w:type="pct"/>
            <w:tcBorders>
              <w:left w:val="single" w:color="auto" w:sz="4" w:space="0"/>
            </w:tcBorders>
            <w:vAlign w:val="center"/>
          </w:tcPr>
          <w:p w14:paraId="1D3EC9B4">
            <w:pPr>
              <w:adjustRightInd/>
              <w:snapToGrid/>
              <w:spacing w:line="240" w:lineRule="auto"/>
              <w:ind w:firstLine="0" w:firstLineChars="0"/>
              <w:contextualSpacing/>
              <w:jc w:val="center"/>
              <w:rPr>
                <w:sz w:val="21"/>
                <w:szCs w:val="21"/>
                <w:lang w:bidi="ar"/>
              </w:rPr>
            </w:pPr>
            <w:r>
              <w:rPr>
                <w:rFonts w:eastAsia="等线"/>
                <w:sz w:val="21"/>
                <w:szCs w:val="21"/>
              </w:rPr>
              <w:t>23.63</w:t>
            </w:r>
          </w:p>
        </w:tc>
        <w:tc>
          <w:tcPr>
            <w:tcW w:w="684" w:type="pct"/>
            <w:tcBorders>
              <w:left w:val="single" w:color="auto" w:sz="4" w:space="0"/>
            </w:tcBorders>
            <w:vAlign w:val="center"/>
          </w:tcPr>
          <w:p w14:paraId="4BA891FD">
            <w:pPr>
              <w:adjustRightInd/>
              <w:snapToGrid/>
              <w:spacing w:line="240" w:lineRule="auto"/>
              <w:ind w:firstLine="0" w:firstLineChars="0"/>
              <w:contextualSpacing/>
              <w:jc w:val="center"/>
              <w:rPr>
                <w:sz w:val="21"/>
                <w:szCs w:val="21"/>
                <w:lang w:bidi="ar"/>
              </w:rPr>
            </w:pPr>
            <w:r>
              <w:rPr>
                <w:rFonts w:hint="eastAsia" w:eastAsia="等线"/>
                <w:sz w:val="21"/>
                <w:szCs w:val="21"/>
              </w:rPr>
              <w:t>53.2</w:t>
            </w:r>
          </w:p>
        </w:tc>
        <w:tc>
          <w:tcPr>
            <w:tcW w:w="730" w:type="pct"/>
            <w:tcBorders>
              <w:left w:val="single" w:color="auto" w:sz="4" w:space="0"/>
            </w:tcBorders>
            <w:vAlign w:val="center"/>
          </w:tcPr>
          <w:p w14:paraId="69AB57E6">
            <w:pPr>
              <w:adjustRightInd/>
              <w:snapToGrid/>
              <w:spacing w:line="240" w:lineRule="auto"/>
              <w:ind w:firstLine="0" w:firstLineChars="0"/>
              <w:contextualSpacing/>
              <w:jc w:val="center"/>
              <w:rPr>
                <w:sz w:val="21"/>
                <w:szCs w:val="21"/>
                <w:lang w:bidi="ar"/>
              </w:rPr>
            </w:pPr>
            <w:r>
              <w:rPr>
                <w:rFonts w:hint="eastAsia" w:eastAsia="等线"/>
                <w:sz w:val="21"/>
                <w:szCs w:val="21"/>
              </w:rPr>
              <w:t>24.01</w:t>
            </w:r>
          </w:p>
        </w:tc>
      </w:tr>
    </w:tbl>
    <w:p w14:paraId="4345D151">
      <w:pPr>
        <w:pStyle w:val="96"/>
        <w:ind w:firstLine="482"/>
        <w:rPr>
          <w:sz w:val="24"/>
          <w:szCs w:val="24"/>
        </w:rPr>
        <w:sectPr>
          <w:pgSz w:w="11906" w:h="16838"/>
          <w:pgMar w:top="1440" w:right="1797" w:bottom="1440" w:left="1797" w:header="851" w:footer="992" w:gutter="0"/>
          <w:cols w:space="425" w:num="1"/>
          <w:docGrid w:linePitch="312" w:charSpace="0"/>
        </w:sectPr>
      </w:pPr>
      <w:r>
        <w:rPr>
          <w:sz w:val="24"/>
          <w:szCs w:val="24"/>
        </w:rPr>
        <w:t>注*：埋深由水位和地面高程计算得出。</w:t>
      </w:r>
    </w:p>
    <w:p w14:paraId="1D3ECA93">
      <w:pPr>
        <w:pStyle w:val="5"/>
        <w:spacing w:before="240" w:after="240"/>
      </w:pPr>
      <w:r>
        <w:t>声环境质量现状监测</w:t>
      </w:r>
      <w:bookmarkEnd w:id="244"/>
      <w:bookmarkEnd w:id="245"/>
      <w:bookmarkEnd w:id="246"/>
    </w:p>
    <w:p w14:paraId="1D3ECA94">
      <w:pPr>
        <w:pStyle w:val="6"/>
        <w:ind w:left="0" w:firstLine="482" w:firstLineChars="200"/>
      </w:pPr>
      <w:r>
        <w:t>监测布点、监测方法和频率</w:t>
      </w:r>
    </w:p>
    <w:p w14:paraId="1D3ECA96">
      <w:pPr>
        <w:ind w:firstLine="480"/>
      </w:pPr>
      <w:r>
        <w:rPr>
          <w:rFonts w:hint="eastAsia"/>
        </w:rPr>
        <w:t>本次声环境质量现状监测在厂区四个厂界布设4个噪声监测点，取连续两天的监测数据。声环境现状监测情况见下表。</w:t>
      </w:r>
    </w:p>
    <w:p w14:paraId="1D3ECA97">
      <w:pPr>
        <w:numPr>
          <w:ilvl w:val="0"/>
          <w:numId w:val="23"/>
        </w:numPr>
        <w:adjustRightInd/>
        <w:snapToGrid/>
        <w:ind w:firstLineChars="0"/>
        <w:textAlignment w:val="auto"/>
        <w:rPr>
          <w:rFonts w:eastAsia="黑体"/>
        </w:rPr>
      </w:pPr>
      <w:r>
        <w:rPr>
          <w:rFonts w:eastAsia="黑体"/>
        </w:rPr>
        <w:t xml:space="preserve">        声环境现状监测点位及监测时间表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1703"/>
        <w:gridCol w:w="1713"/>
        <w:gridCol w:w="2427"/>
        <w:gridCol w:w="2507"/>
      </w:tblGrid>
      <w:tr w14:paraId="1D3ECA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20" w:type="pct"/>
            <w:tcMar>
              <w:top w:w="57" w:type="dxa"/>
              <w:left w:w="0" w:type="dxa"/>
              <w:bottom w:w="57" w:type="dxa"/>
              <w:right w:w="0" w:type="dxa"/>
            </w:tcMar>
            <w:vAlign w:val="center"/>
          </w:tcPr>
          <w:p w14:paraId="1D3ECA98">
            <w:pPr>
              <w:adjustRightInd/>
              <w:snapToGrid/>
              <w:spacing w:line="240" w:lineRule="auto"/>
              <w:ind w:firstLine="0" w:firstLineChars="0"/>
              <w:jc w:val="center"/>
              <w:textAlignment w:val="auto"/>
              <w:rPr>
                <w:b/>
                <w:kern w:val="2"/>
                <w:sz w:val="21"/>
              </w:rPr>
            </w:pPr>
            <w:r>
              <w:rPr>
                <w:b/>
                <w:kern w:val="2"/>
                <w:sz w:val="21"/>
              </w:rPr>
              <w:t>监测点位置</w:t>
            </w:r>
          </w:p>
        </w:tc>
        <w:tc>
          <w:tcPr>
            <w:tcW w:w="1026" w:type="pct"/>
            <w:vAlign w:val="center"/>
          </w:tcPr>
          <w:p w14:paraId="1D3ECA99">
            <w:pPr>
              <w:adjustRightInd/>
              <w:snapToGrid/>
              <w:spacing w:line="240" w:lineRule="auto"/>
              <w:ind w:firstLine="0" w:firstLineChars="0"/>
              <w:jc w:val="center"/>
              <w:textAlignment w:val="auto"/>
              <w:rPr>
                <w:b/>
                <w:kern w:val="2"/>
                <w:sz w:val="21"/>
              </w:rPr>
            </w:pPr>
            <w:r>
              <w:rPr>
                <w:b/>
                <w:kern w:val="2"/>
                <w:sz w:val="21"/>
              </w:rPr>
              <w:t>监测因子</w:t>
            </w:r>
          </w:p>
        </w:tc>
        <w:tc>
          <w:tcPr>
            <w:tcW w:w="1453" w:type="pct"/>
            <w:vAlign w:val="center"/>
          </w:tcPr>
          <w:p w14:paraId="1D3ECA9A">
            <w:pPr>
              <w:adjustRightInd/>
              <w:snapToGrid/>
              <w:spacing w:line="240" w:lineRule="auto"/>
              <w:ind w:firstLine="0" w:firstLineChars="0"/>
              <w:jc w:val="center"/>
              <w:textAlignment w:val="auto"/>
              <w:rPr>
                <w:b/>
                <w:kern w:val="2"/>
                <w:sz w:val="21"/>
              </w:rPr>
            </w:pPr>
            <w:r>
              <w:rPr>
                <w:b/>
                <w:kern w:val="2"/>
                <w:sz w:val="21"/>
              </w:rPr>
              <w:t>监测频率</w:t>
            </w:r>
          </w:p>
        </w:tc>
        <w:tc>
          <w:tcPr>
            <w:tcW w:w="1501" w:type="pct"/>
            <w:vAlign w:val="center"/>
          </w:tcPr>
          <w:p w14:paraId="1D3ECA9B">
            <w:pPr>
              <w:adjustRightInd/>
              <w:snapToGrid/>
              <w:spacing w:line="240" w:lineRule="auto"/>
              <w:ind w:firstLine="0" w:firstLineChars="0"/>
              <w:jc w:val="center"/>
              <w:textAlignment w:val="auto"/>
              <w:rPr>
                <w:b/>
                <w:kern w:val="2"/>
                <w:sz w:val="21"/>
              </w:rPr>
            </w:pPr>
            <w:r>
              <w:rPr>
                <w:b/>
                <w:kern w:val="2"/>
                <w:sz w:val="21"/>
              </w:rPr>
              <w:t>监测方法</w:t>
            </w:r>
          </w:p>
        </w:tc>
      </w:tr>
      <w:tr w14:paraId="1D3ECA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20" w:type="pct"/>
            <w:tcMar>
              <w:top w:w="57" w:type="dxa"/>
              <w:left w:w="0" w:type="dxa"/>
              <w:bottom w:w="57" w:type="dxa"/>
              <w:right w:w="0" w:type="dxa"/>
            </w:tcMar>
            <w:vAlign w:val="center"/>
          </w:tcPr>
          <w:p w14:paraId="1D3ECA9D">
            <w:pPr>
              <w:adjustRightInd/>
              <w:snapToGrid/>
              <w:spacing w:line="240" w:lineRule="auto"/>
              <w:ind w:firstLine="0" w:firstLineChars="0"/>
              <w:contextualSpacing/>
              <w:jc w:val="center"/>
              <w:rPr>
                <w:bCs/>
                <w:sz w:val="21"/>
                <w:szCs w:val="21"/>
              </w:rPr>
            </w:pPr>
            <w:r>
              <w:rPr>
                <w:bCs/>
                <w:sz w:val="21"/>
                <w:szCs w:val="21"/>
              </w:rPr>
              <w:t>四周厂界外1m处</w:t>
            </w:r>
          </w:p>
        </w:tc>
        <w:tc>
          <w:tcPr>
            <w:tcW w:w="1026" w:type="pct"/>
            <w:vAlign w:val="center"/>
          </w:tcPr>
          <w:p w14:paraId="1D3ECA9E">
            <w:pPr>
              <w:adjustRightInd/>
              <w:snapToGrid/>
              <w:spacing w:line="240" w:lineRule="auto"/>
              <w:ind w:firstLine="0" w:firstLineChars="0"/>
              <w:contextualSpacing/>
              <w:jc w:val="center"/>
              <w:rPr>
                <w:sz w:val="21"/>
                <w:szCs w:val="21"/>
              </w:rPr>
            </w:pPr>
            <w:r>
              <w:rPr>
                <w:sz w:val="21"/>
                <w:szCs w:val="21"/>
              </w:rPr>
              <w:t>等效连续A声级</w:t>
            </w:r>
          </w:p>
        </w:tc>
        <w:tc>
          <w:tcPr>
            <w:tcW w:w="1453" w:type="pct"/>
            <w:vAlign w:val="center"/>
          </w:tcPr>
          <w:p w14:paraId="1D3ECA9F">
            <w:pPr>
              <w:adjustRightInd/>
              <w:snapToGrid/>
              <w:spacing w:line="240" w:lineRule="auto"/>
              <w:ind w:firstLine="0" w:firstLineChars="0"/>
              <w:contextualSpacing/>
              <w:jc w:val="center"/>
              <w:rPr>
                <w:sz w:val="21"/>
                <w:szCs w:val="21"/>
              </w:rPr>
            </w:pPr>
            <w:r>
              <w:rPr>
                <w:sz w:val="21"/>
                <w:szCs w:val="21"/>
              </w:rPr>
              <w:t>连续监测2天，每天昼夜各监测一次</w:t>
            </w:r>
          </w:p>
        </w:tc>
        <w:tc>
          <w:tcPr>
            <w:tcW w:w="1501" w:type="pct"/>
            <w:vAlign w:val="center"/>
          </w:tcPr>
          <w:p w14:paraId="1D3ECAA0">
            <w:pPr>
              <w:adjustRightInd/>
              <w:snapToGrid/>
              <w:spacing w:line="240" w:lineRule="auto"/>
              <w:ind w:firstLine="0" w:firstLineChars="0"/>
              <w:contextualSpacing/>
              <w:jc w:val="center"/>
              <w:rPr>
                <w:sz w:val="21"/>
                <w:szCs w:val="21"/>
              </w:rPr>
            </w:pPr>
            <w:r>
              <w:rPr>
                <w:sz w:val="21"/>
                <w:szCs w:val="21"/>
              </w:rPr>
              <w:t>《声环境质量标准》GB3096-2008附录B《声环境功能区监测方法》</w:t>
            </w:r>
          </w:p>
        </w:tc>
      </w:tr>
    </w:tbl>
    <w:p w14:paraId="1D3ECAB2">
      <w:pPr>
        <w:pStyle w:val="6"/>
        <w:ind w:left="0" w:firstLine="482" w:firstLineChars="200"/>
      </w:pPr>
      <w:r>
        <w:t>评价标准</w:t>
      </w:r>
    </w:p>
    <w:p w14:paraId="1D3ECAB3">
      <w:pPr>
        <w:ind w:firstLine="480"/>
      </w:pPr>
      <w:r>
        <w:rPr>
          <w:rFonts w:hint="eastAsia"/>
        </w:rPr>
        <w:t>按照区域环境功能，本项目区域内声环境质量执行《声环境质量标准》（GB3096-2008）3类标准。</w:t>
      </w:r>
    </w:p>
    <w:p w14:paraId="1D3ECAB4">
      <w:pPr>
        <w:numPr>
          <w:ilvl w:val="0"/>
          <w:numId w:val="23"/>
        </w:numPr>
        <w:adjustRightInd/>
        <w:snapToGrid/>
        <w:ind w:firstLineChars="0"/>
        <w:textAlignment w:val="auto"/>
        <w:rPr>
          <w:rFonts w:eastAsia="黑体"/>
        </w:rPr>
      </w:pPr>
      <w:r>
        <w:rPr>
          <w:rFonts w:eastAsia="黑体"/>
        </w:rPr>
        <w:t xml:space="preserve">            声环境现状监测评价标准</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1883"/>
        <w:gridCol w:w="4354"/>
      </w:tblGrid>
      <w:tr w14:paraId="1D3EC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43" w:type="pct"/>
            <w:vAlign w:val="center"/>
          </w:tcPr>
          <w:p w14:paraId="1D3ECAB5">
            <w:pPr>
              <w:pStyle w:val="67"/>
              <w:rPr>
                <w:rFonts w:cs="Times New Roman"/>
                <w:color w:val="auto"/>
              </w:rPr>
            </w:pPr>
            <w:r>
              <w:rPr>
                <w:rFonts w:cs="Times New Roman"/>
                <w:color w:val="auto"/>
              </w:rPr>
              <w:t>位置</w:t>
            </w:r>
          </w:p>
        </w:tc>
        <w:tc>
          <w:tcPr>
            <w:tcW w:w="1104" w:type="pct"/>
            <w:vAlign w:val="center"/>
          </w:tcPr>
          <w:p w14:paraId="1D3ECAB6">
            <w:pPr>
              <w:pStyle w:val="67"/>
              <w:rPr>
                <w:rFonts w:cs="Times New Roman"/>
                <w:color w:val="auto"/>
              </w:rPr>
            </w:pPr>
            <w:r>
              <w:rPr>
                <w:rFonts w:cs="Times New Roman"/>
                <w:color w:val="auto"/>
              </w:rPr>
              <w:t>标准值dB（A）</w:t>
            </w:r>
          </w:p>
        </w:tc>
        <w:tc>
          <w:tcPr>
            <w:tcW w:w="2553" w:type="pct"/>
            <w:vAlign w:val="center"/>
          </w:tcPr>
          <w:p w14:paraId="1D3ECAB7">
            <w:pPr>
              <w:pStyle w:val="67"/>
              <w:rPr>
                <w:rFonts w:cs="Times New Roman"/>
                <w:color w:val="auto"/>
              </w:rPr>
            </w:pPr>
            <w:r>
              <w:rPr>
                <w:rFonts w:cs="Times New Roman"/>
                <w:color w:val="auto"/>
              </w:rPr>
              <w:t>标准来源</w:t>
            </w:r>
          </w:p>
        </w:tc>
      </w:tr>
      <w:tr w14:paraId="1D3EC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43" w:type="pct"/>
            <w:vAlign w:val="center"/>
          </w:tcPr>
          <w:p w14:paraId="1D3ECAB9">
            <w:pPr>
              <w:pStyle w:val="62"/>
            </w:pPr>
            <w:r>
              <w:t>东、西、南、北厂界</w:t>
            </w:r>
          </w:p>
        </w:tc>
        <w:tc>
          <w:tcPr>
            <w:tcW w:w="1104" w:type="pct"/>
            <w:vAlign w:val="center"/>
          </w:tcPr>
          <w:p w14:paraId="1D3ECABA">
            <w:pPr>
              <w:pStyle w:val="62"/>
            </w:pPr>
            <w:r>
              <w:t>昼6</w:t>
            </w:r>
            <w:r>
              <w:rPr>
                <w:rFonts w:hint="eastAsia"/>
              </w:rPr>
              <w:t>5</w:t>
            </w:r>
            <w:r>
              <w:t>、夜5</w:t>
            </w:r>
            <w:r>
              <w:rPr>
                <w:rFonts w:hint="eastAsia"/>
              </w:rPr>
              <w:t>5</w:t>
            </w:r>
          </w:p>
        </w:tc>
        <w:tc>
          <w:tcPr>
            <w:tcW w:w="2553" w:type="pct"/>
            <w:vAlign w:val="center"/>
          </w:tcPr>
          <w:p w14:paraId="1D3ECABB">
            <w:pPr>
              <w:pStyle w:val="62"/>
            </w:pPr>
            <w:r>
              <w:t>《声环境质量标准》（GB3096-2008）</w:t>
            </w:r>
            <w:r>
              <w:rPr>
                <w:rFonts w:hint="eastAsia"/>
              </w:rPr>
              <w:t>3</w:t>
            </w:r>
            <w:r>
              <w:t>类</w:t>
            </w:r>
          </w:p>
        </w:tc>
      </w:tr>
    </w:tbl>
    <w:p w14:paraId="1D3ECABD">
      <w:pPr>
        <w:pStyle w:val="6"/>
        <w:ind w:left="0" w:firstLine="482" w:firstLineChars="200"/>
      </w:pPr>
      <w:r>
        <w:t>评价方法</w:t>
      </w:r>
    </w:p>
    <w:p w14:paraId="1D3ECABE">
      <w:pPr>
        <w:ind w:firstLine="480"/>
      </w:pPr>
      <w:r>
        <w:t>根据噪声现状监测统计结果的等效声级，采用与评价标准直接比较的方法，对评价范围内的声环境现状进行评价。</w:t>
      </w:r>
    </w:p>
    <w:p w14:paraId="1D3ECABF">
      <w:pPr>
        <w:pStyle w:val="6"/>
        <w:ind w:left="0" w:firstLine="482" w:firstLineChars="200"/>
      </w:pPr>
      <w:r>
        <w:t>监测结果统计和评价结果</w:t>
      </w:r>
    </w:p>
    <w:p w14:paraId="1D3ECAC0">
      <w:pPr>
        <w:ind w:firstLine="480"/>
      </w:pPr>
      <w:r>
        <w:t>各监测点现状监测统计结果见下表。</w:t>
      </w:r>
    </w:p>
    <w:p w14:paraId="1D3ECAC1">
      <w:pPr>
        <w:numPr>
          <w:ilvl w:val="0"/>
          <w:numId w:val="23"/>
        </w:numPr>
        <w:adjustRightInd/>
        <w:snapToGrid/>
        <w:ind w:firstLineChars="0"/>
        <w:textAlignment w:val="auto"/>
        <w:rPr>
          <w:rFonts w:eastAsia="黑体"/>
        </w:rPr>
      </w:pPr>
      <w:r>
        <w:rPr>
          <w:rFonts w:eastAsia="黑体"/>
        </w:rPr>
        <w:t xml:space="preserve">               噪声监测结果                单位：dB(A)</w:t>
      </w:r>
    </w:p>
    <w:tbl>
      <w:tblPr>
        <w:tblStyle w:val="41"/>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1586"/>
        <w:gridCol w:w="1685"/>
        <w:gridCol w:w="1687"/>
        <w:gridCol w:w="1687"/>
        <w:gridCol w:w="1687"/>
      </w:tblGrid>
      <w:tr w14:paraId="348C3A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blHeader/>
        </w:trPr>
        <w:tc>
          <w:tcPr>
            <w:tcW w:w="1578" w:type="dxa"/>
            <w:vMerge w:val="restart"/>
            <w:tcBorders>
              <w:top w:val="single" w:color="auto" w:sz="8" w:space="0"/>
              <w:bottom w:val="single" w:color="auto" w:sz="4" w:space="0"/>
              <w:right w:val="single" w:color="auto" w:sz="4" w:space="0"/>
              <w:tl2br w:val="single" w:color="auto" w:sz="8" w:space="0"/>
            </w:tcBorders>
            <w:vAlign w:val="center"/>
          </w:tcPr>
          <w:p w14:paraId="1E489890">
            <w:pPr>
              <w:pStyle w:val="62"/>
              <w:jc w:val="right"/>
              <w:rPr>
                <w:b/>
              </w:rPr>
            </w:pPr>
            <w:r>
              <w:rPr>
                <w:b/>
              </w:rPr>
              <w:t>监测日期</w:t>
            </w:r>
          </w:p>
          <w:p w14:paraId="62117FB6">
            <w:pPr>
              <w:pStyle w:val="62"/>
              <w:jc w:val="left"/>
              <w:rPr>
                <w:b/>
              </w:rPr>
            </w:pPr>
            <w:r>
              <w:rPr>
                <w:b/>
              </w:rPr>
              <w:t>监测点位</w:t>
            </w:r>
          </w:p>
        </w:tc>
        <w:tc>
          <w:tcPr>
            <w:tcW w:w="3356" w:type="dxa"/>
            <w:gridSpan w:val="2"/>
            <w:tcBorders>
              <w:top w:val="single" w:color="auto" w:sz="8" w:space="0"/>
              <w:left w:val="single" w:color="auto" w:sz="4" w:space="0"/>
              <w:bottom w:val="single" w:color="auto" w:sz="4" w:space="0"/>
              <w:right w:val="single" w:color="auto" w:sz="4" w:space="0"/>
            </w:tcBorders>
            <w:vAlign w:val="center"/>
          </w:tcPr>
          <w:p w14:paraId="545D5A2F">
            <w:pPr>
              <w:pStyle w:val="62"/>
              <w:rPr>
                <w:b/>
              </w:rPr>
            </w:pPr>
            <w:r>
              <w:rPr>
                <w:b/>
              </w:rPr>
              <w:t>202</w:t>
            </w:r>
            <w:r>
              <w:rPr>
                <w:rFonts w:hint="eastAsia"/>
                <w:b/>
              </w:rPr>
              <w:t>4.8.15</w:t>
            </w:r>
          </w:p>
        </w:tc>
        <w:tc>
          <w:tcPr>
            <w:tcW w:w="3358" w:type="dxa"/>
            <w:gridSpan w:val="2"/>
            <w:tcBorders>
              <w:top w:val="single" w:color="auto" w:sz="8" w:space="0"/>
              <w:left w:val="single" w:color="auto" w:sz="4" w:space="0"/>
              <w:bottom w:val="single" w:color="auto" w:sz="4" w:space="0"/>
            </w:tcBorders>
            <w:vAlign w:val="center"/>
          </w:tcPr>
          <w:p w14:paraId="1C599A96">
            <w:pPr>
              <w:pStyle w:val="62"/>
              <w:rPr>
                <w:b/>
              </w:rPr>
            </w:pPr>
            <w:r>
              <w:rPr>
                <w:b/>
              </w:rPr>
              <w:t>202</w:t>
            </w:r>
            <w:r>
              <w:rPr>
                <w:rFonts w:hint="eastAsia"/>
                <w:b/>
              </w:rPr>
              <w:t>4.8.16</w:t>
            </w:r>
          </w:p>
        </w:tc>
      </w:tr>
      <w:tr w14:paraId="5E4CDA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blHeader/>
        </w:trPr>
        <w:tc>
          <w:tcPr>
            <w:tcW w:w="1578" w:type="dxa"/>
            <w:vMerge w:val="continue"/>
            <w:tcBorders>
              <w:top w:val="single" w:color="auto" w:sz="4" w:space="0"/>
              <w:bottom w:val="single" w:color="auto" w:sz="4" w:space="0"/>
              <w:right w:val="single" w:color="auto" w:sz="4" w:space="0"/>
            </w:tcBorders>
            <w:vAlign w:val="center"/>
          </w:tcPr>
          <w:p w14:paraId="02A7113F">
            <w:pPr>
              <w:pStyle w:val="62"/>
              <w:rPr>
                <w:b/>
              </w:rPr>
            </w:pPr>
          </w:p>
        </w:tc>
        <w:tc>
          <w:tcPr>
            <w:tcW w:w="1677" w:type="dxa"/>
            <w:tcBorders>
              <w:top w:val="single" w:color="auto" w:sz="4" w:space="0"/>
              <w:left w:val="single" w:color="auto" w:sz="4" w:space="0"/>
              <w:bottom w:val="single" w:color="auto" w:sz="4" w:space="0"/>
              <w:right w:val="single" w:color="auto" w:sz="4" w:space="0"/>
            </w:tcBorders>
            <w:vAlign w:val="center"/>
          </w:tcPr>
          <w:p w14:paraId="5E4D581B">
            <w:pPr>
              <w:pStyle w:val="62"/>
              <w:rPr>
                <w:b/>
              </w:rPr>
            </w:pPr>
            <w:r>
              <w:rPr>
                <w:b/>
              </w:rPr>
              <w:t>昼间</w:t>
            </w:r>
          </w:p>
        </w:tc>
        <w:tc>
          <w:tcPr>
            <w:tcW w:w="1679" w:type="dxa"/>
            <w:tcBorders>
              <w:top w:val="single" w:color="auto" w:sz="4" w:space="0"/>
              <w:left w:val="single" w:color="auto" w:sz="4" w:space="0"/>
              <w:bottom w:val="single" w:color="auto" w:sz="4" w:space="0"/>
              <w:right w:val="single" w:color="auto" w:sz="4" w:space="0"/>
            </w:tcBorders>
            <w:vAlign w:val="center"/>
          </w:tcPr>
          <w:p w14:paraId="5839E2D2">
            <w:pPr>
              <w:pStyle w:val="62"/>
              <w:rPr>
                <w:b/>
              </w:rPr>
            </w:pPr>
            <w:r>
              <w:rPr>
                <w:b/>
              </w:rPr>
              <w:t>夜间</w:t>
            </w:r>
          </w:p>
        </w:tc>
        <w:tc>
          <w:tcPr>
            <w:tcW w:w="1679" w:type="dxa"/>
            <w:tcBorders>
              <w:top w:val="single" w:color="auto" w:sz="4" w:space="0"/>
              <w:left w:val="single" w:color="auto" w:sz="4" w:space="0"/>
              <w:bottom w:val="single" w:color="auto" w:sz="4" w:space="0"/>
              <w:right w:val="single" w:color="auto" w:sz="4" w:space="0"/>
            </w:tcBorders>
            <w:vAlign w:val="center"/>
          </w:tcPr>
          <w:p w14:paraId="3FBF690E">
            <w:pPr>
              <w:pStyle w:val="62"/>
              <w:rPr>
                <w:b/>
              </w:rPr>
            </w:pPr>
            <w:r>
              <w:rPr>
                <w:b/>
              </w:rPr>
              <w:t>昼间</w:t>
            </w:r>
          </w:p>
        </w:tc>
        <w:tc>
          <w:tcPr>
            <w:tcW w:w="1679" w:type="dxa"/>
            <w:tcBorders>
              <w:top w:val="single" w:color="auto" w:sz="4" w:space="0"/>
              <w:left w:val="single" w:color="auto" w:sz="4" w:space="0"/>
              <w:bottom w:val="single" w:color="auto" w:sz="4" w:space="0"/>
            </w:tcBorders>
            <w:vAlign w:val="center"/>
          </w:tcPr>
          <w:p w14:paraId="2D2E24F7">
            <w:pPr>
              <w:pStyle w:val="62"/>
              <w:rPr>
                <w:b/>
              </w:rPr>
            </w:pPr>
            <w:r>
              <w:rPr>
                <w:b/>
              </w:rPr>
              <w:t>夜间</w:t>
            </w:r>
          </w:p>
        </w:tc>
      </w:tr>
      <w:tr w14:paraId="3841CF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78" w:type="dxa"/>
            <w:tcBorders>
              <w:top w:val="single" w:color="auto" w:sz="4" w:space="0"/>
              <w:bottom w:val="single" w:color="auto" w:sz="4" w:space="0"/>
              <w:right w:val="single" w:color="auto" w:sz="4" w:space="0"/>
            </w:tcBorders>
            <w:vAlign w:val="center"/>
          </w:tcPr>
          <w:p w14:paraId="455E47EE">
            <w:pPr>
              <w:pStyle w:val="62"/>
            </w:pPr>
            <w:r>
              <w:t>东</w:t>
            </w:r>
            <w:r>
              <w:rPr>
                <w:rFonts w:hint="eastAsia"/>
              </w:rPr>
              <w:t>厂</w:t>
            </w:r>
            <w:r>
              <w:t>界</w:t>
            </w:r>
          </w:p>
        </w:tc>
        <w:tc>
          <w:tcPr>
            <w:tcW w:w="1677" w:type="dxa"/>
            <w:tcBorders>
              <w:top w:val="single" w:color="auto" w:sz="4" w:space="0"/>
              <w:left w:val="single" w:color="auto" w:sz="4" w:space="0"/>
              <w:bottom w:val="single" w:color="auto" w:sz="4" w:space="0"/>
              <w:right w:val="single" w:color="auto" w:sz="4" w:space="0"/>
            </w:tcBorders>
            <w:vAlign w:val="center"/>
          </w:tcPr>
          <w:p w14:paraId="4CFA5E83">
            <w:pPr>
              <w:pStyle w:val="62"/>
            </w:pPr>
            <w:r>
              <w:rPr>
                <w:rFonts w:hint="eastAsia"/>
              </w:rPr>
              <w:t>53</w:t>
            </w:r>
          </w:p>
        </w:tc>
        <w:tc>
          <w:tcPr>
            <w:tcW w:w="1679" w:type="dxa"/>
            <w:tcBorders>
              <w:top w:val="single" w:color="auto" w:sz="4" w:space="0"/>
              <w:left w:val="single" w:color="auto" w:sz="4" w:space="0"/>
              <w:bottom w:val="single" w:color="auto" w:sz="4" w:space="0"/>
              <w:right w:val="single" w:color="auto" w:sz="4" w:space="0"/>
            </w:tcBorders>
            <w:vAlign w:val="center"/>
          </w:tcPr>
          <w:p w14:paraId="3C089464">
            <w:pPr>
              <w:pStyle w:val="62"/>
            </w:pPr>
            <w:r>
              <w:rPr>
                <w:rFonts w:hint="eastAsia"/>
              </w:rPr>
              <w:t>42</w:t>
            </w:r>
          </w:p>
        </w:tc>
        <w:tc>
          <w:tcPr>
            <w:tcW w:w="1679" w:type="dxa"/>
            <w:tcBorders>
              <w:top w:val="single" w:color="auto" w:sz="4" w:space="0"/>
              <w:left w:val="single" w:color="auto" w:sz="4" w:space="0"/>
              <w:bottom w:val="single" w:color="auto" w:sz="4" w:space="0"/>
              <w:right w:val="single" w:color="auto" w:sz="4" w:space="0"/>
            </w:tcBorders>
            <w:vAlign w:val="center"/>
          </w:tcPr>
          <w:p w14:paraId="3031A123">
            <w:pPr>
              <w:pStyle w:val="62"/>
            </w:pPr>
            <w:r>
              <w:rPr>
                <w:rFonts w:hint="eastAsia"/>
              </w:rPr>
              <w:t>54</w:t>
            </w:r>
          </w:p>
        </w:tc>
        <w:tc>
          <w:tcPr>
            <w:tcW w:w="1679" w:type="dxa"/>
            <w:tcBorders>
              <w:top w:val="single" w:color="auto" w:sz="4" w:space="0"/>
              <w:left w:val="single" w:color="auto" w:sz="4" w:space="0"/>
              <w:bottom w:val="single" w:color="auto" w:sz="4" w:space="0"/>
            </w:tcBorders>
            <w:vAlign w:val="center"/>
          </w:tcPr>
          <w:p w14:paraId="7AFF8943">
            <w:pPr>
              <w:pStyle w:val="62"/>
            </w:pPr>
            <w:r>
              <w:rPr>
                <w:rFonts w:hint="eastAsia"/>
              </w:rPr>
              <w:t>47</w:t>
            </w:r>
          </w:p>
        </w:tc>
      </w:tr>
      <w:tr w14:paraId="4FD002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78" w:type="dxa"/>
            <w:tcBorders>
              <w:top w:val="single" w:color="auto" w:sz="4" w:space="0"/>
              <w:bottom w:val="single" w:color="auto" w:sz="4" w:space="0"/>
              <w:right w:val="single" w:color="auto" w:sz="4" w:space="0"/>
            </w:tcBorders>
            <w:vAlign w:val="center"/>
          </w:tcPr>
          <w:p w14:paraId="4FC0F972">
            <w:pPr>
              <w:pStyle w:val="62"/>
            </w:pPr>
            <w:r>
              <w:rPr>
                <w:rFonts w:hint="eastAsia"/>
              </w:rPr>
              <w:t>南厂</w:t>
            </w:r>
            <w:r>
              <w:t>界</w:t>
            </w:r>
          </w:p>
        </w:tc>
        <w:tc>
          <w:tcPr>
            <w:tcW w:w="1677" w:type="dxa"/>
            <w:tcBorders>
              <w:top w:val="single" w:color="auto" w:sz="4" w:space="0"/>
              <w:left w:val="single" w:color="auto" w:sz="4" w:space="0"/>
              <w:bottom w:val="single" w:color="auto" w:sz="4" w:space="0"/>
              <w:right w:val="single" w:color="auto" w:sz="4" w:space="0"/>
            </w:tcBorders>
            <w:vAlign w:val="center"/>
          </w:tcPr>
          <w:p w14:paraId="392E75DD">
            <w:pPr>
              <w:pStyle w:val="62"/>
            </w:pPr>
            <w:r>
              <w:rPr>
                <w:rFonts w:hint="eastAsia"/>
              </w:rPr>
              <w:t>57</w:t>
            </w:r>
          </w:p>
        </w:tc>
        <w:tc>
          <w:tcPr>
            <w:tcW w:w="1679" w:type="dxa"/>
            <w:tcBorders>
              <w:top w:val="single" w:color="auto" w:sz="4" w:space="0"/>
              <w:left w:val="single" w:color="auto" w:sz="4" w:space="0"/>
              <w:bottom w:val="single" w:color="auto" w:sz="4" w:space="0"/>
              <w:right w:val="single" w:color="auto" w:sz="4" w:space="0"/>
            </w:tcBorders>
            <w:vAlign w:val="center"/>
          </w:tcPr>
          <w:p w14:paraId="466C64E5">
            <w:pPr>
              <w:pStyle w:val="62"/>
            </w:pPr>
            <w:r>
              <w:rPr>
                <w:rFonts w:hint="eastAsia"/>
              </w:rPr>
              <w:t>46</w:t>
            </w:r>
          </w:p>
        </w:tc>
        <w:tc>
          <w:tcPr>
            <w:tcW w:w="1679" w:type="dxa"/>
            <w:tcBorders>
              <w:top w:val="single" w:color="auto" w:sz="4" w:space="0"/>
              <w:left w:val="single" w:color="auto" w:sz="4" w:space="0"/>
              <w:bottom w:val="single" w:color="auto" w:sz="4" w:space="0"/>
              <w:right w:val="single" w:color="auto" w:sz="4" w:space="0"/>
            </w:tcBorders>
            <w:vAlign w:val="center"/>
          </w:tcPr>
          <w:p w14:paraId="47677537">
            <w:pPr>
              <w:pStyle w:val="62"/>
            </w:pPr>
            <w:r>
              <w:rPr>
                <w:rFonts w:hint="eastAsia"/>
              </w:rPr>
              <w:t>51</w:t>
            </w:r>
          </w:p>
        </w:tc>
        <w:tc>
          <w:tcPr>
            <w:tcW w:w="1679" w:type="dxa"/>
            <w:tcBorders>
              <w:top w:val="single" w:color="auto" w:sz="4" w:space="0"/>
              <w:left w:val="single" w:color="auto" w:sz="4" w:space="0"/>
              <w:bottom w:val="single" w:color="auto" w:sz="4" w:space="0"/>
            </w:tcBorders>
            <w:vAlign w:val="center"/>
          </w:tcPr>
          <w:p w14:paraId="67089885">
            <w:pPr>
              <w:pStyle w:val="62"/>
            </w:pPr>
            <w:r>
              <w:rPr>
                <w:rFonts w:hint="eastAsia"/>
              </w:rPr>
              <w:t>43</w:t>
            </w:r>
          </w:p>
        </w:tc>
      </w:tr>
      <w:tr w14:paraId="538ED0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78" w:type="dxa"/>
            <w:tcBorders>
              <w:top w:val="single" w:color="auto" w:sz="4" w:space="0"/>
              <w:bottom w:val="single" w:color="auto" w:sz="4" w:space="0"/>
              <w:right w:val="single" w:color="auto" w:sz="4" w:space="0"/>
            </w:tcBorders>
            <w:vAlign w:val="center"/>
          </w:tcPr>
          <w:p w14:paraId="79FBEC31">
            <w:pPr>
              <w:pStyle w:val="62"/>
            </w:pPr>
            <w:r>
              <w:rPr>
                <w:rFonts w:hint="eastAsia"/>
              </w:rPr>
              <w:t>西厂</w:t>
            </w:r>
            <w:r>
              <w:t>界</w:t>
            </w:r>
          </w:p>
        </w:tc>
        <w:tc>
          <w:tcPr>
            <w:tcW w:w="1677" w:type="dxa"/>
            <w:tcBorders>
              <w:top w:val="single" w:color="auto" w:sz="4" w:space="0"/>
              <w:left w:val="single" w:color="auto" w:sz="4" w:space="0"/>
              <w:bottom w:val="single" w:color="auto" w:sz="4" w:space="0"/>
              <w:right w:val="single" w:color="auto" w:sz="4" w:space="0"/>
            </w:tcBorders>
            <w:vAlign w:val="center"/>
          </w:tcPr>
          <w:p w14:paraId="50A106E4">
            <w:pPr>
              <w:pStyle w:val="62"/>
            </w:pPr>
            <w:r>
              <w:rPr>
                <w:rFonts w:hint="eastAsia"/>
              </w:rPr>
              <w:t>52</w:t>
            </w:r>
          </w:p>
        </w:tc>
        <w:tc>
          <w:tcPr>
            <w:tcW w:w="1679" w:type="dxa"/>
            <w:tcBorders>
              <w:top w:val="single" w:color="auto" w:sz="4" w:space="0"/>
              <w:left w:val="single" w:color="auto" w:sz="4" w:space="0"/>
              <w:bottom w:val="single" w:color="auto" w:sz="4" w:space="0"/>
              <w:right w:val="single" w:color="auto" w:sz="4" w:space="0"/>
            </w:tcBorders>
            <w:vAlign w:val="center"/>
          </w:tcPr>
          <w:p w14:paraId="4C9232AB">
            <w:pPr>
              <w:pStyle w:val="62"/>
            </w:pPr>
            <w:r>
              <w:rPr>
                <w:rFonts w:hint="eastAsia"/>
              </w:rPr>
              <w:t>43</w:t>
            </w:r>
          </w:p>
        </w:tc>
        <w:tc>
          <w:tcPr>
            <w:tcW w:w="1679" w:type="dxa"/>
            <w:tcBorders>
              <w:top w:val="single" w:color="auto" w:sz="4" w:space="0"/>
              <w:left w:val="single" w:color="auto" w:sz="4" w:space="0"/>
              <w:bottom w:val="single" w:color="auto" w:sz="4" w:space="0"/>
              <w:right w:val="single" w:color="auto" w:sz="4" w:space="0"/>
            </w:tcBorders>
            <w:vAlign w:val="center"/>
          </w:tcPr>
          <w:p w14:paraId="1FAE9BCC">
            <w:pPr>
              <w:pStyle w:val="62"/>
            </w:pPr>
            <w:r>
              <w:rPr>
                <w:rFonts w:hint="eastAsia"/>
              </w:rPr>
              <w:t>52</w:t>
            </w:r>
          </w:p>
        </w:tc>
        <w:tc>
          <w:tcPr>
            <w:tcW w:w="1679" w:type="dxa"/>
            <w:tcBorders>
              <w:top w:val="single" w:color="auto" w:sz="4" w:space="0"/>
              <w:left w:val="single" w:color="auto" w:sz="4" w:space="0"/>
              <w:bottom w:val="single" w:color="auto" w:sz="4" w:space="0"/>
            </w:tcBorders>
            <w:vAlign w:val="center"/>
          </w:tcPr>
          <w:p w14:paraId="089B9424">
            <w:pPr>
              <w:pStyle w:val="62"/>
            </w:pPr>
            <w:r>
              <w:rPr>
                <w:rFonts w:hint="eastAsia"/>
              </w:rPr>
              <w:t>42</w:t>
            </w:r>
          </w:p>
        </w:tc>
      </w:tr>
      <w:tr w14:paraId="0E7604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578" w:type="dxa"/>
            <w:tcBorders>
              <w:top w:val="single" w:color="auto" w:sz="4" w:space="0"/>
              <w:bottom w:val="single" w:color="auto" w:sz="8" w:space="0"/>
              <w:right w:val="single" w:color="auto" w:sz="4" w:space="0"/>
            </w:tcBorders>
            <w:vAlign w:val="center"/>
          </w:tcPr>
          <w:p w14:paraId="28F2794E">
            <w:pPr>
              <w:pStyle w:val="62"/>
            </w:pPr>
            <w:r>
              <w:t>北</w:t>
            </w:r>
            <w:r>
              <w:rPr>
                <w:rFonts w:hint="eastAsia"/>
              </w:rPr>
              <w:t>厂</w:t>
            </w:r>
            <w:r>
              <w:t>界</w:t>
            </w:r>
          </w:p>
        </w:tc>
        <w:tc>
          <w:tcPr>
            <w:tcW w:w="1677" w:type="dxa"/>
            <w:tcBorders>
              <w:top w:val="single" w:color="auto" w:sz="4" w:space="0"/>
              <w:left w:val="single" w:color="auto" w:sz="4" w:space="0"/>
              <w:bottom w:val="single" w:color="auto" w:sz="8" w:space="0"/>
              <w:right w:val="single" w:color="auto" w:sz="4" w:space="0"/>
            </w:tcBorders>
            <w:vAlign w:val="center"/>
          </w:tcPr>
          <w:p w14:paraId="7924714F">
            <w:pPr>
              <w:pStyle w:val="62"/>
            </w:pPr>
            <w:r>
              <w:rPr>
                <w:rFonts w:hint="eastAsia"/>
              </w:rPr>
              <w:t>54</w:t>
            </w:r>
          </w:p>
        </w:tc>
        <w:tc>
          <w:tcPr>
            <w:tcW w:w="1679" w:type="dxa"/>
            <w:tcBorders>
              <w:top w:val="single" w:color="auto" w:sz="4" w:space="0"/>
              <w:left w:val="single" w:color="auto" w:sz="4" w:space="0"/>
              <w:bottom w:val="single" w:color="auto" w:sz="8" w:space="0"/>
              <w:right w:val="single" w:color="auto" w:sz="4" w:space="0"/>
            </w:tcBorders>
            <w:vAlign w:val="center"/>
          </w:tcPr>
          <w:p w14:paraId="061BEAF3">
            <w:pPr>
              <w:pStyle w:val="62"/>
            </w:pPr>
            <w:r>
              <w:rPr>
                <w:rFonts w:hint="eastAsia"/>
              </w:rPr>
              <w:t>46</w:t>
            </w:r>
          </w:p>
        </w:tc>
        <w:tc>
          <w:tcPr>
            <w:tcW w:w="1679" w:type="dxa"/>
            <w:tcBorders>
              <w:top w:val="single" w:color="auto" w:sz="4" w:space="0"/>
              <w:left w:val="single" w:color="auto" w:sz="4" w:space="0"/>
              <w:bottom w:val="single" w:color="auto" w:sz="8" w:space="0"/>
              <w:right w:val="single" w:color="auto" w:sz="4" w:space="0"/>
            </w:tcBorders>
            <w:vAlign w:val="center"/>
          </w:tcPr>
          <w:p w14:paraId="78111A81">
            <w:pPr>
              <w:pStyle w:val="62"/>
            </w:pPr>
            <w:r>
              <w:rPr>
                <w:rFonts w:hint="eastAsia"/>
              </w:rPr>
              <w:t>52</w:t>
            </w:r>
          </w:p>
        </w:tc>
        <w:tc>
          <w:tcPr>
            <w:tcW w:w="1679" w:type="dxa"/>
            <w:tcBorders>
              <w:top w:val="single" w:color="auto" w:sz="4" w:space="0"/>
              <w:left w:val="single" w:color="auto" w:sz="4" w:space="0"/>
              <w:bottom w:val="single" w:color="auto" w:sz="8" w:space="0"/>
            </w:tcBorders>
            <w:vAlign w:val="center"/>
          </w:tcPr>
          <w:p w14:paraId="4332C9D7">
            <w:pPr>
              <w:pStyle w:val="62"/>
            </w:pPr>
            <w:r>
              <w:rPr>
                <w:rFonts w:hint="eastAsia"/>
              </w:rPr>
              <w:t>41</w:t>
            </w:r>
          </w:p>
        </w:tc>
      </w:tr>
    </w:tbl>
    <w:p w14:paraId="1D3ECADD">
      <w:pPr>
        <w:ind w:firstLine="480"/>
      </w:pPr>
      <w:r>
        <w:t>由监测结果可知：东、南、西、北四厂界昼间噪声值为5</w:t>
      </w:r>
      <w:r>
        <w:rPr>
          <w:rFonts w:hint="eastAsia"/>
        </w:rPr>
        <w:t>1</w:t>
      </w:r>
      <w:r>
        <w:t>~5</w:t>
      </w:r>
      <w:r>
        <w:rPr>
          <w:rFonts w:hint="eastAsia"/>
        </w:rPr>
        <w:t>7</w:t>
      </w:r>
      <w:r>
        <w:t>dB(A)、夜间噪声值为4</w:t>
      </w:r>
      <w:r>
        <w:rPr>
          <w:rFonts w:hint="eastAsia"/>
        </w:rPr>
        <w:t>2</w:t>
      </w:r>
      <w:r>
        <w:t>~4</w:t>
      </w:r>
      <w:r>
        <w:rPr>
          <w:rFonts w:hint="eastAsia"/>
        </w:rPr>
        <w:t>7</w:t>
      </w:r>
      <w:r>
        <w:t>dB(A)，均可以满足《声环境质量标准》</w:t>
      </w:r>
      <w:r>
        <w:rPr>
          <w:rFonts w:hint="eastAsia"/>
        </w:rPr>
        <w:t>3</w:t>
      </w:r>
      <w:r>
        <w:t>类标准的要求。</w:t>
      </w:r>
    </w:p>
    <w:p w14:paraId="1D3ECADE">
      <w:pPr>
        <w:pStyle w:val="5"/>
        <w:spacing w:before="240" w:after="240"/>
      </w:pPr>
      <w:bookmarkStart w:id="249" w:name="_Toc535836888"/>
      <w:bookmarkStart w:id="250" w:name="_Toc428287207"/>
      <w:bookmarkStart w:id="251" w:name="_Toc428286813"/>
      <w:bookmarkStart w:id="252" w:name="_Toc429318397"/>
      <w:r>
        <w:t>土壤环境质量现状监测与评价</w:t>
      </w:r>
      <w:bookmarkEnd w:id="249"/>
    </w:p>
    <w:p w14:paraId="1D3ECADF">
      <w:pPr>
        <w:ind w:firstLine="480"/>
      </w:pPr>
      <w:r>
        <w:t>根据《环境影响评价技术导则 土壤环境（试行）》（HJ 964-2018）相关规定，本项目属于污染影响型项目，评价工作等级为二级。</w:t>
      </w:r>
    </w:p>
    <w:p w14:paraId="1D3ECAE0">
      <w:pPr>
        <w:pStyle w:val="6"/>
        <w:ind w:left="0" w:firstLine="482" w:firstLineChars="200"/>
      </w:pPr>
      <w:r>
        <w:t>监测点位</w:t>
      </w:r>
    </w:p>
    <w:p w14:paraId="1D3ECAE1">
      <w:pPr>
        <w:ind w:firstLine="480"/>
      </w:pPr>
      <w:r>
        <w:t>根据《环境影响评价技术导则  土壤环境（试行）》（HJ964-2018）相关规定，本项目属于污染影响型项目，评价工作等级为二级。项目在厂址及附近共设置了6个土壤监测点位，其中厂区内设置4个点位（3个柱状样及1个表层样），厂区范围外设置2个点位（2个表层样）。详见下表。</w:t>
      </w:r>
    </w:p>
    <w:p w14:paraId="1D3ECAE3">
      <w:pPr>
        <w:numPr>
          <w:ilvl w:val="0"/>
          <w:numId w:val="23"/>
        </w:numPr>
        <w:adjustRightInd/>
        <w:snapToGrid/>
        <w:ind w:firstLineChars="0"/>
        <w:textAlignment w:val="auto"/>
        <w:rPr>
          <w:rFonts w:eastAsia="黑体"/>
        </w:rPr>
      </w:pPr>
      <w:r>
        <w:rPr>
          <w:rFonts w:eastAsia="黑体"/>
        </w:rPr>
        <w:t xml:space="preserve">   土壤环境现状监测点位及监测因子情况一览表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50"/>
        <w:gridCol w:w="1906"/>
        <w:gridCol w:w="1013"/>
        <w:gridCol w:w="3613"/>
        <w:gridCol w:w="1150"/>
      </w:tblGrid>
      <w:tr w14:paraId="75A7ED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390" w:type="pct"/>
            <w:tcMar>
              <w:left w:w="0" w:type="dxa"/>
              <w:right w:w="0" w:type="dxa"/>
            </w:tcMar>
            <w:vAlign w:val="center"/>
          </w:tcPr>
          <w:p w14:paraId="03BFD95A">
            <w:pPr>
              <w:pStyle w:val="62"/>
              <w:adjustRightInd w:val="0"/>
              <w:snapToGrid w:val="0"/>
              <w:contextualSpacing w:val="0"/>
              <w:rPr>
                <w:b/>
              </w:rPr>
            </w:pPr>
            <w:r>
              <w:rPr>
                <w:b/>
              </w:rPr>
              <w:t>序号</w:t>
            </w:r>
          </w:p>
        </w:tc>
        <w:tc>
          <w:tcPr>
            <w:tcW w:w="1752" w:type="pct"/>
            <w:gridSpan w:val="2"/>
            <w:tcMar>
              <w:left w:w="0" w:type="dxa"/>
              <w:right w:w="0" w:type="dxa"/>
            </w:tcMar>
            <w:vAlign w:val="center"/>
          </w:tcPr>
          <w:p w14:paraId="7201FC67">
            <w:pPr>
              <w:pStyle w:val="62"/>
              <w:adjustRightInd w:val="0"/>
              <w:snapToGrid w:val="0"/>
              <w:contextualSpacing w:val="0"/>
              <w:rPr>
                <w:b/>
              </w:rPr>
            </w:pPr>
            <w:r>
              <w:rPr>
                <w:b/>
              </w:rPr>
              <w:t>检测点位</w:t>
            </w:r>
          </w:p>
        </w:tc>
        <w:tc>
          <w:tcPr>
            <w:tcW w:w="2168" w:type="pct"/>
            <w:tcMar>
              <w:left w:w="0" w:type="dxa"/>
              <w:right w:w="0" w:type="dxa"/>
            </w:tcMar>
            <w:vAlign w:val="center"/>
          </w:tcPr>
          <w:p w14:paraId="513CE9C9">
            <w:pPr>
              <w:pStyle w:val="62"/>
              <w:adjustRightInd w:val="0"/>
              <w:snapToGrid w:val="0"/>
              <w:contextualSpacing w:val="0"/>
              <w:rPr>
                <w:b/>
              </w:rPr>
            </w:pPr>
            <w:r>
              <w:rPr>
                <w:b/>
              </w:rPr>
              <w:t>检测项目</w:t>
            </w:r>
          </w:p>
        </w:tc>
        <w:tc>
          <w:tcPr>
            <w:tcW w:w="691" w:type="pct"/>
            <w:tcMar>
              <w:left w:w="0" w:type="dxa"/>
              <w:right w:w="0" w:type="dxa"/>
            </w:tcMar>
            <w:vAlign w:val="center"/>
          </w:tcPr>
          <w:p w14:paraId="28E1B34A">
            <w:pPr>
              <w:pStyle w:val="62"/>
              <w:adjustRightInd w:val="0"/>
              <w:snapToGrid w:val="0"/>
              <w:contextualSpacing w:val="0"/>
              <w:rPr>
                <w:b/>
              </w:rPr>
            </w:pPr>
            <w:r>
              <w:rPr>
                <w:b/>
              </w:rPr>
              <w:t>检测频次</w:t>
            </w:r>
          </w:p>
        </w:tc>
      </w:tr>
      <w:tr w14:paraId="4B6DC5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tcMar>
              <w:left w:w="0" w:type="dxa"/>
              <w:right w:w="0" w:type="dxa"/>
            </w:tcMar>
            <w:vAlign w:val="center"/>
          </w:tcPr>
          <w:p w14:paraId="46533756">
            <w:pPr>
              <w:pStyle w:val="62"/>
              <w:adjustRightInd w:val="0"/>
              <w:snapToGrid w:val="0"/>
              <w:contextualSpacing w:val="0"/>
            </w:pPr>
            <w:r>
              <w:t>1</w:t>
            </w:r>
          </w:p>
        </w:tc>
        <w:tc>
          <w:tcPr>
            <w:tcW w:w="1144" w:type="pct"/>
            <w:tcBorders>
              <w:right w:val="single" w:color="auto" w:sz="4" w:space="0"/>
            </w:tcBorders>
            <w:tcMar>
              <w:left w:w="0" w:type="dxa"/>
              <w:right w:w="0" w:type="dxa"/>
            </w:tcMar>
            <w:vAlign w:val="center"/>
          </w:tcPr>
          <w:p w14:paraId="017ECAF8">
            <w:pPr>
              <w:pStyle w:val="62"/>
              <w:adjustRightInd w:val="0"/>
              <w:snapToGrid w:val="0"/>
              <w:contextualSpacing w:val="0"/>
              <w:rPr>
                <w:highlight w:val="yellow"/>
              </w:rPr>
            </w:pPr>
            <w:r>
              <w:rPr>
                <w:rFonts w:hint="eastAsia"/>
              </w:rPr>
              <w:t>厂房内西北角</w:t>
            </w:r>
          </w:p>
        </w:tc>
        <w:tc>
          <w:tcPr>
            <w:tcW w:w="608" w:type="pct"/>
            <w:tcBorders>
              <w:left w:val="single" w:color="auto" w:sz="4" w:space="0"/>
            </w:tcBorders>
            <w:tcMar>
              <w:left w:w="0" w:type="dxa"/>
              <w:right w:w="0" w:type="dxa"/>
            </w:tcMar>
            <w:vAlign w:val="center"/>
          </w:tcPr>
          <w:p w14:paraId="783D2EB5">
            <w:pPr>
              <w:pStyle w:val="62"/>
              <w:adjustRightInd w:val="0"/>
              <w:snapToGrid w:val="0"/>
              <w:contextualSpacing w:val="0"/>
            </w:pPr>
            <w:r>
              <w:t>0-0.2m</w:t>
            </w:r>
          </w:p>
        </w:tc>
        <w:tc>
          <w:tcPr>
            <w:tcW w:w="2168" w:type="pct"/>
            <w:tcMar>
              <w:left w:w="0" w:type="dxa"/>
              <w:right w:w="0" w:type="dxa"/>
            </w:tcMar>
            <w:vAlign w:val="center"/>
          </w:tcPr>
          <w:p w14:paraId="5E35D2CF">
            <w:pPr>
              <w:pStyle w:val="62"/>
              <w:adjustRightInd w:val="0"/>
              <w:snapToGrid w:val="0"/>
              <w:contextualSpacing w:val="0"/>
            </w:pPr>
            <w:r>
              <w:t>GB36600-2018表1基本45个基本项目+ pH</w:t>
            </w:r>
            <w:r>
              <w:rPr>
                <w:rFonts w:hint="eastAsia"/>
              </w:rPr>
              <w:t>、石油烃</w:t>
            </w:r>
          </w:p>
        </w:tc>
        <w:tc>
          <w:tcPr>
            <w:tcW w:w="691" w:type="pct"/>
            <w:vMerge w:val="restart"/>
            <w:tcMar>
              <w:left w:w="0" w:type="dxa"/>
              <w:right w:w="0" w:type="dxa"/>
            </w:tcMar>
            <w:vAlign w:val="center"/>
          </w:tcPr>
          <w:p w14:paraId="51E53AB8">
            <w:pPr>
              <w:pStyle w:val="62"/>
              <w:adjustRightInd w:val="0"/>
              <w:snapToGrid w:val="0"/>
              <w:contextualSpacing w:val="0"/>
            </w:pPr>
            <w:r>
              <w:t>检测1天</w:t>
            </w:r>
          </w:p>
          <w:p w14:paraId="620A97C8">
            <w:pPr>
              <w:pStyle w:val="62"/>
              <w:adjustRightInd w:val="0"/>
              <w:snapToGrid w:val="0"/>
              <w:contextualSpacing w:val="0"/>
            </w:pPr>
            <w:r>
              <w:t>检测1次</w:t>
            </w:r>
          </w:p>
        </w:tc>
      </w:tr>
      <w:tr w14:paraId="39E7DC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vMerge w:val="restart"/>
            <w:tcMar>
              <w:left w:w="0" w:type="dxa"/>
              <w:right w:w="0" w:type="dxa"/>
            </w:tcMar>
            <w:vAlign w:val="center"/>
          </w:tcPr>
          <w:p w14:paraId="4D4EC8A6">
            <w:pPr>
              <w:pStyle w:val="62"/>
              <w:adjustRightInd w:val="0"/>
              <w:snapToGrid w:val="0"/>
              <w:contextualSpacing w:val="0"/>
            </w:pPr>
            <w:r>
              <w:t>2</w:t>
            </w:r>
          </w:p>
        </w:tc>
        <w:tc>
          <w:tcPr>
            <w:tcW w:w="1144" w:type="pct"/>
            <w:vMerge w:val="restart"/>
            <w:tcBorders>
              <w:right w:val="single" w:color="auto" w:sz="4" w:space="0"/>
            </w:tcBorders>
            <w:tcMar>
              <w:left w:w="0" w:type="dxa"/>
              <w:right w:w="0" w:type="dxa"/>
            </w:tcMar>
            <w:vAlign w:val="center"/>
          </w:tcPr>
          <w:p w14:paraId="627460F1">
            <w:pPr>
              <w:pStyle w:val="62"/>
              <w:adjustRightInd w:val="0"/>
              <w:snapToGrid w:val="0"/>
              <w:contextualSpacing w:val="0"/>
              <w:rPr>
                <w:highlight w:val="yellow"/>
              </w:rPr>
            </w:pPr>
            <w:r>
              <w:rPr>
                <w:rFonts w:hint="eastAsia"/>
              </w:rPr>
              <w:t>污水处理站拟建处</w:t>
            </w:r>
          </w:p>
        </w:tc>
        <w:tc>
          <w:tcPr>
            <w:tcW w:w="608" w:type="pct"/>
            <w:tcBorders>
              <w:left w:val="single" w:color="auto" w:sz="4" w:space="0"/>
            </w:tcBorders>
            <w:tcMar>
              <w:left w:w="0" w:type="dxa"/>
              <w:right w:w="0" w:type="dxa"/>
            </w:tcMar>
            <w:vAlign w:val="center"/>
          </w:tcPr>
          <w:p w14:paraId="25B7F92F">
            <w:pPr>
              <w:pStyle w:val="62"/>
              <w:adjustRightInd w:val="0"/>
              <w:snapToGrid w:val="0"/>
              <w:contextualSpacing w:val="0"/>
            </w:pPr>
            <w:r>
              <w:t>0~0.5m</w:t>
            </w:r>
          </w:p>
        </w:tc>
        <w:tc>
          <w:tcPr>
            <w:tcW w:w="2168" w:type="pct"/>
            <w:vMerge w:val="restart"/>
            <w:tcMar>
              <w:left w:w="0" w:type="dxa"/>
              <w:right w:w="0" w:type="dxa"/>
            </w:tcMar>
            <w:vAlign w:val="center"/>
          </w:tcPr>
          <w:p w14:paraId="1DDF4EAD">
            <w:pPr>
              <w:pStyle w:val="62"/>
              <w:adjustRightInd w:val="0"/>
              <w:snapToGrid w:val="0"/>
              <w:contextualSpacing w:val="0"/>
            </w:pPr>
            <w:r>
              <w:t>GB36600-2018表1基本45个基本项目+ pH</w:t>
            </w:r>
            <w:r>
              <w:rPr>
                <w:rFonts w:hint="eastAsia"/>
              </w:rPr>
              <w:t>、石油烃</w:t>
            </w:r>
          </w:p>
        </w:tc>
        <w:tc>
          <w:tcPr>
            <w:tcW w:w="691" w:type="pct"/>
            <w:vMerge w:val="continue"/>
            <w:tcMar>
              <w:left w:w="0" w:type="dxa"/>
              <w:right w:w="0" w:type="dxa"/>
            </w:tcMar>
            <w:vAlign w:val="center"/>
          </w:tcPr>
          <w:p w14:paraId="1ADA0B15">
            <w:pPr>
              <w:pStyle w:val="62"/>
              <w:adjustRightInd w:val="0"/>
              <w:snapToGrid w:val="0"/>
              <w:contextualSpacing w:val="0"/>
              <w:rPr>
                <w:highlight w:val="yellow"/>
              </w:rPr>
            </w:pPr>
          </w:p>
        </w:tc>
      </w:tr>
      <w:tr w14:paraId="7D4B1A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vMerge w:val="continue"/>
            <w:tcMar>
              <w:left w:w="0" w:type="dxa"/>
              <w:right w:w="0" w:type="dxa"/>
            </w:tcMar>
            <w:vAlign w:val="center"/>
          </w:tcPr>
          <w:p w14:paraId="0EEFCEC2">
            <w:pPr>
              <w:pStyle w:val="62"/>
              <w:adjustRightInd w:val="0"/>
              <w:snapToGrid w:val="0"/>
              <w:contextualSpacing w:val="0"/>
            </w:pPr>
          </w:p>
        </w:tc>
        <w:tc>
          <w:tcPr>
            <w:tcW w:w="1144" w:type="pct"/>
            <w:vMerge w:val="continue"/>
            <w:tcBorders>
              <w:right w:val="single" w:color="auto" w:sz="4" w:space="0"/>
            </w:tcBorders>
            <w:tcMar>
              <w:left w:w="0" w:type="dxa"/>
              <w:right w:w="0" w:type="dxa"/>
            </w:tcMar>
            <w:vAlign w:val="center"/>
          </w:tcPr>
          <w:p w14:paraId="20DBAB64">
            <w:pPr>
              <w:pStyle w:val="62"/>
              <w:adjustRightInd w:val="0"/>
              <w:snapToGrid w:val="0"/>
              <w:contextualSpacing w:val="0"/>
              <w:rPr>
                <w:highlight w:val="yellow"/>
              </w:rPr>
            </w:pPr>
          </w:p>
        </w:tc>
        <w:tc>
          <w:tcPr>
            <w:tcW w:w="608" w:type="pct"/>
            <w:tcBorders>
              <w:left w:val="single" w:color="auto" w:sz="4" w:space="0"/>
            </w:tcBorders>
            <w:tcMar>
              <w:left w:w="0" w:type="dxa"/>
              <w:right w:w="0" w:type="dxa"/>
            </w:tcMar>
            <w:vAlign w:val="center"/>
          </w:tcPr>
          <w:p w14:paraId="264AD6AC">
            <w:pPr>
              <w:pStyle w:val="62"/>
              <w:adjustRightInd w:val="0"/>
              <w:snapToGrid w:val="0"/>
              <w:contextualSpacing w:val="0"/>
            </w:pPr>
            <w:r>
              <w:t>0.5m~1.5m</w:t>
            </w:r>
          </w:p>
        </w:tc>
        <w:tc>
          <w:tcPr>
            <w:tcW w:w="2168" w:type="pct"/>
            <w:vMerge w:val="continue"/>
            <w:tcMar>
              <w:left w:w="0" w:type="dxa"/>
              <w:right w:w="0" w:type="dxa"/>
            </w:tcMar>
            <w:vAlign w:val="center"/>
          </w:tcPr>
          <w:p w14:paraId="201A58EE">
            <w:pPr>
              <w:pStyle w:val="62"/>
              <w:adjustRightInd w:val="0"/>
              <w:snapToGrid w:val="0"/>
              <w:contextualSpacing w:val="0"/>
            </w:pPr>
          </w:p>
        </w:tc>
        <w:tc>
          <w:tcPr>
            <w:tcW w:w="691" w:type="pct"/>
            <w:vMerge w:val="continue"/>
            <w:tcMar>
              <w:left w:w="0" w:type="dxa"/>
              <w:right w:w="0" w:type="dxa"/>
            </w:tcMar>
            <w:vAlign w:val="center"/>
          </w:tcPr>
          <w:p w14:paraId="2DD27123">
            <w:pPr>
              <w:pStyle w:val="62"/>
              <w:adjustRightInd w:val="0"/>
              <w:snapToGrid w:val="0"/>
              <w:contextualSpacing w:val="0"/>
              <w:rPr>
                <w:highlight w:val="yellow"/>
              </w:rPr>
            </w:pPr>
          </w:p>
        </w:tc>
      </w:tr>
      <w:tr w14:paraId="5BF07D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vMerge w:val="continue"/>
            <w:tcMar>
              <w:left w:w="0" w:type="dxa"/>
              <w:right w:w="0" w:type="dxa"/>
            </w:tcMar>
            <w:vAlign w:val="center"/>
          </w:tcPr>
          <w:p w14:paraId="45545C9F">
            <w:pPr>
              <w:pStyle w:val="62"/>
              <w:adjustRightInd w:val="0"/>
              <w:snapToGrid w:val="0"/>
              <w:contextualSpacing w:val="0"/>
            </w:pPr>
          </w:p>
        </w:tc>
        <w:tc>
          <w:tcPr>
            <w:tcW w:w="1144" w:type="pct"/>
            <w:vMerge w:val="continue"/>
            <w:tcBorders>
              <w:right w:val="single" w:color="auto" w:sz="4" w:space="0"/>
            </w:tcBorders>
            <w:tcMar>
              <w:left w:w="0" w:type="dxa"/>
              <w:right w:w="0" w:type="dxa"/>
            </w:tcMar>
            <w:vAlign w:val="center"/>
          </w:tcPr>
          <w:p w14:paraId="507222E4">
            <w:pPr>
              <w:pStyle w:val="62"/>
              <w:adjustRightInd w:val="0"/>
              <w:snapToGrid w:val="0"/>
              <w:contextualSpacing w:val="0"/>
              <w:rPr>
                <w:highlight w:val="yellow"/>
              </w:rPr>
            </w:pPr>
          </w:p>
        </w:tc>
        <w:tc>
          <w:tcPr>
            <w:tcW w:w="608" w:type="pct"/>
            <w:tcBorders>
              <w:left w:val="single" w:color="auto" w:sz="4" w:space="0"/>
              <w:bottom w:val="single" w:color="auto" w:sz="4" w:space="0"/>
            </w:tcBorders>
            <w:tcMar>
              <w:left w:w="0" w:type="dxa"/>
              <w:right w:w="0" w:type="dxa"/>
            </w:tcMar>
            <w:vAlign w:val="center"/>
          </w:tcPr>
          <w:p w14:paraId="45B16A95">
            <w:pPr>
              <w:pStyle w:val="62"/>
              <w:adjustRightInd w:val="0"/>
              <w:snapToGrid w:val="0"/>
              <w:contextualSpacing w:val="0"/>
            </w:pPr>
            <w:r>
              <w:t>1.5~3m</w:t>
            </w:r>
          </w:p>
        </w:tc>
        <w:tc>
          <w:tcPr>
            <w:tcW w:w="2168" w:type="pct"/>
            <w:vMerge w:val="continue"/>
            <w:tcBorders>
              <w:bottom w:val="single" w:color="auto" w:sz="4" w:space="0"/>
            </w:tcBorders>
            <w:tcMar>
              <w:left w:w="0" w:type="dxa"/>
              <w:right w:w="0" w:type="dxa"/>
            </w:tcMar>
            <w:vAlign w:val="center"/>
          </w:tcPr>
          <w:p w14:paraId="4252A33B">
            <w:pPr>
              <w:pStyle w:val="62"/>
              <w:adjustRightInd w:val="0"/>
              <w:snapToGrid w:val="0"/>
              <w:contextualSpacing w:val="0"/>
            </w:pPr>
          </w:p>
        </w:tc>
        <w:tc>
          <w:tcPr>
            <w:tcW w:w="691" w:type="pct"/>
            <w:vMerge w:val="continue"/>
            <w:tcMar>
              <w:left w:w="0" w:type="dxa"/>
              <w:right w:w="0" w:type="dxa"/>
            </w:tcMar>
            <w:vAlign w:val="center"/>
          </w:tcPr>
          <w:p w14:paraId="774CE4BF">
            <w:pPr>
              <w:pStyle w:val="62"/>
              <w:adjustRightInd w:val="0"/>
              <w:snapToGrid w:val="0"/>
              <w:contextualSpacing w:val="0"/>
              <w:rPr>
                <w:highlight w:val="yellow"/>
              </w:rPr>
            </w:pPr>
          </w:p>
        </w:tc>
      </w:tr>
      <w:tr w14:paraId="387258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vMerge w:val="restart"/>
            <w:tcMar>
              <w:left w:w="0" w:type="dxa"/>
              <w:right w:w="0" w:type="dxa"/>
            </w:tcMar>
            <w:vAlign w:val="center"/>
          </w:tcPr>
          <w:p w14:paraId="33FF290D">
            <w:pPr>
              <w:pStyle w:val="62"/>
              <w:adjustRightInd w:val="0"/>
              <w:snapToGrid w:val="0"/>
              <w:contextualSpacing w:val="0"/>
            </w:pPr>
            <w:r>
              <w:t>3</w:t>
            </w:r>
          </w:p>
        </w:tc>
        <w:tc>
          <w:tcPr>
            <w:tcW w:w="1144" w:type="pct"/>
            <w:vMerge w:val="restart"/>
            <w:tcMar>
              <w:left w:w="0" w:type="dxa"/>
              <w:right w:w="0" w:type="dxa"/>
            </w:tcMar>
            <w:vAlign w:val="center"/>
          </w:tcPr>
          <w:p w14:paraId="5ED69B4E">
            <w:pPr>
              <w:pStyle w:val="62"/>
              <w:adjustRightInd w:val="0"/>
              <w:snapToGrid w:val="0"/>
              <w:contextualSpacing w:val="0"/>
              <w:rPr>
                <w:highlight w:val="yellow"/>
              </w:rPr>
            </w:pPr>
            <w:r>
              <w:rPr>
                <w:rFonts w:hint="eastAsia"/>
              </w:rPr>
              <w:t>反应釜区附近</w:t>
            </w:r>
          </w:p>
        </w:tc>
        <w:tc>
          <w:tcPr>
            <w:tcW w:w="608" w:type="pct"/>
            <w:tcBorders>
              <w:top w:val="single" w:color="auto" w:sz="4" w:space="0"/>
            </w:tcBorders>
            <w:tcMar>
              <w:left w:w="0" w:type="dxa"/>
              <w:right w:w="0" w:type="dxa"/>
            </w:tcMar>
            <w:vAlign w:val="center"/>
          </w:tcPr>
          <w:p w14:paraId="6A10F964">
            <w:pPr>
              <w:pStyle w:val="62"/>
              <w:adjustRightInd w:val="0"/>
              <w:snapToGrid w:val="0"/>
              <w:contextualSpacing w:val="0"/>
            </w:pPr>
            <w:r>
              <w:t>0~0.5m</w:t>
            </w:r>
          </w:p>
        </w:tc>
        <w:tc>
          <w:tcPr>
            <w:tcW w:w="2168" w:type="pct"/>
            <w:vMerge w:val="restart"/>
            <w:tcBorders>
              <w:top w:val="single" w:color="auto" w:sz="4" w:space="0"/>
            </w:tcBorders>
            <w:tcMar>
              <w:left w:w="0" w:type="dxa"/>
              <w:right w:w="0" w:type="dxa"/>
            </w:tcMar>
            <w:vAlign w:val="center"/>
          </w:tcPr>
          <w:p w14:paraId="283C6D69">
            <w:pPr>
              <w:pStyle w:val="62"/>
              <w:adjustRightInd w:val="0"/>
              <w:snapToGrid w:val="0"/>
              <w:contextualSpacing w:val="0"/>
            </w:pPr>
            <w:r>
              <w:rPr>
                <w:rFonts w:hint="eastAsia"/>
              </w:rPr>
              <w:t>pH、石油烃</w:t>
            </w:r>
          </w:p>
        </w:tc>
        <w:tc>
          <w:tcPr>
            <w:tcW w:w="691" w:type="pct"/>
            <w:vMerge w:val="continue"/>
            <w:tcMar>
              <w:left w:w="0" w:type="dxa"/>
              <w:right w:w="0" w:type="dxa"/>
            </w:tcMar>
            <w:vAlign w:val="center"/>
          </w:tcPr>
          <w:p w14:paraId="313E2731">
            <w:pPr>
              <w:pStyle w:val="62"/>
              <w:adjustRightInd w:val="0"/>
              <w:snapToGrid w:val="0"/>
              <w:contextualSpacing w:val="0"/>
              <w:rPr>
                <w:highlight w:val="yellow"/>
              </w:rPr>
            </w:pPr>
          </w:p>
        </w:tc>
      </w:tr>
      <w:tr w14:paraId="702B8C1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vMerge w:val="continue"/>
            <w:tcMar>
              <w:left w:w="0" w:type="dxa"/>
              <w:right w:w="0" w:type="dxa"/>
            </w:tcMar>
            <w:vAlign w:val="center"/>
          </w:tcPr>
          <w:p w14:paraId="15C0781B">
            <w:pPr>
              <w:pStyle w:val="62"/>
              <w:adjustRightInd w:val="0"/>
              <w:snapToGrid w:val="0"/>
              <w:contextualSpacing w:val="0"/>
            </w:pPr>
          </w:p>
        </w:tc>
        <w:tc>
          <w:tcPr>
            <w:tcW w:w="1144" w:type="pct"/>
            <w:vMerge w:val="continue"/>
            <w:tcMar>
              <w:left w:w="0" w:type="dxa"/>
              <w:right w:w="0" w:type="dxa"/>
            </w:tcMar>
            <w:vAlign w:val="center"/>
          </w:tcPr>
          <w:p w14:paraId="13CC7170">
            <w:pPr>
              <w:pStyle w:val="62"/>
              <w:adjustRightInd w:val="0"/>
              <w:snapToGrid w:val="0"/>
              <w:contextualSpacing w:val="0"/>
              <w:rPr>
                <w:highlight w:val="yellow"/>
              </w:rPr>
            </w:pPr>
          </w:p>
        </w:tc>
        <w:tc>
          <w:tcPr>
            <w:tcW w:w="608" w:type="pct"/>
            <w:tcMar>
              <w:left w:w="0" w:type="dxa"/>
              <w:right w:w="0" w:type="dxa"/>
            </w:tcMar>
            <w:vAlign w:val="center"/>
          </w:tcPr>
          <w:p w14:paraId="2528900F">
            <w:pPr>
              <w:pStyle w:val="62"/>
              <w:adjustRightInd w:val="0"/>
              <w:snapToGrid w:val="0"/>
              <w:contextualSpacing w:val="0"/>
            </w:pPr>
            <w:r>
              <w:t>0.5m~1.5m</w:t>
            </w:r>
          </w:p>
        </w:tc>
        <w:tc>
          <w:tcPr>
            <w:tcW w:w="2168" w:type="pct"/>
            <w:vMerge w:val="continue"/>
            <w:tcMar>
              <w:left w:w="0" w:type="dxa"/>
              <w:right w:w="0" w:type="dxa"/>
            </w:tcMar>
            <w:vAlign w:val="center"/>
          </w:tcPr>
          <w:p w14:paraId="202B5609">
            <w:pPr>
              <w:pStyle w:val="62"/>
              <w:adjustRightInd w:val="0"/>
              <w:snapToGrid w:val="0"/>
              <w:contextualSpacing w:val="0"/>
            </w:pPr>
          </w:p>
        </w:tc>
        <w:tc>
          <w:tcPr>
            <w:tcW w:w="691" w:type="pct"/>
            <w:vMerge w:val="continue"/>
            <w:tcMar>
              <w:left w:w="0" w:type="dxa"/>
              <w:right w:w="0" w:type="dxa"/>
            </w:tcMar>
            <w:vAlign w:val="center"/>
          </w:tcPr>
          <w:p w14:paraId="39904ECB">
            <w:pPr>
              <w:pStyle w:val="62"/>
              <w:adjustRightInd w:val="0"/>
              <w:snapToGrid w:val="0"/>
              <w:contextualSpacing w:val="0"/>
              <w:rPr>
                <w:highlight w:val="yellow"/>
              </w:rPr>
            </w:pPr>
          </w:p>
        </w:tc>
      </w:tr>
      <w:tr w14:paraId="48D365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vMerge w:val="continue"/>
            <w:tcMar>
              <w:left w:w="0" w:type="dxa"/>
              <w:right w:w="0" w:type="dxa"/>
            </w:tcMar>
            <w:vAlign w:val="center"/>
          </w:tcPr>
          <w:p w14:paraId="51A995EF">
            <w:pPr>
              <w:pStyle w:val="62"/>
              <w:adjustRightInd w:val="0"/>
              <w:snapToGrid w:val="0"/>
              <w:contextualSpacing w:val="0"/>
            </w:pPr>
          </w:p>
        </w:tc>
        <w:tc>
          <w:tcPr>
            <w:tcW w:w="1144" w:type="pct"/>
            <w:vMerge w:val="continue"/>
            <w:tcMar>
              <w:left w:w="0" w:type="dxa"/>
              <w:right w:w="0" w:type="dxa"/>
            </w:tcMar>
            <w:vAlign w:val="center"/>
          </w:tcPr>
          <w:p w14:paraId="71E9D45A">
            <w:pPr>
              <w:pStyle w:val="62"/>
              <w:adjustRightInd w:val="0"/>
              <w:snapToGrid w:val="0"/>
              <w:contextualSpacing w:val="0"/>
              <w:rPr>
                <w:highlight w:val="yellow"/>
              </w:rPr>
            </w:pPr>
          </w:p>
        </w:tc>
        <w:tc>
          <w:tcPr>
            <w:tcW w:w="608" w:type="pct"/>
            <w:tcBorders>
              <w:bottom w:val="single" w:color="auto" w:sz="4" w:space="0"/>
            </w:tcBorders>
            <w:tcMar>
              <w:left w:w="0" w:type="dxa"/>
              <w:right w:w="0" w:type="dxa"/>
            </w:tcMar>
            <w:vAlign w:val="center"/>
          </w:tcPr>
          <w:p w14:paraId="32847B6E">
            <w:pPr>
              <w:pStyle w:val="62"/>
              <w:adjustRightInd w:val="0"/>
              <w:snapToGrid w:val="0"/>
              <w:contextualSpacing w:val="0"/>
            </w:pPr>
            <w:r>
              <w:t>1.5~3m</w:t>
            </w:r>
          </w:p>
        </w:tc>
        <w:tc>
          <w:tcPr>
            <w:tcW w:w="2168" w:type="pct"/>
            <w:vMerge w:val="continue"/>
            <w:tcBorders>
              <w:bottom w:val="single" w:color="auto" w:sz="4" w:space="0"/>
            </w:tcBorders>
            <w:tcMar>
              <w:left w:w="0" w:type="dxa"/>
              <w:right w:w="0" w:type="dxa"/>
            </w:tcMar>
            <w:vAlign w:val="center"/>
          </w:tcPr>
          <w:p w14:paraId="1F7FF2D2">
            <w:pPr>
              <w:pStyle w:val="62"/>
              <w:adjustRightInd w:val="0"/>
              <w:snapToGrid w:val="0"/>
              <w:contextualSpacing w:val="0"/>
            </w:pPr>
          </w:p>
        </w:tc>
        <w:tc>
          <w:tcPr>
            <w:tcW w:w="691" w:type="pct"/>
            <w:vMerge w:val="continue"/>
            <w:tcMar>
              <w:left w:w="0" w:type="dxa"/>
              <w:right w:w="0" w:type="dxa"/>
            </w:tcMar>
            <w:vAlign w:val="center"/>
          </w:tcPr>
          <w:p w14:paraId="0A931D30">
            <w:pPr>
              <w:pStyle w:val="62"/>
              <w:adjustRightInd w:val="0"/>
              <w:snapToGrid w:val="0"/>
              <w:contextualSpacing w:val="0"/>
              <w:rPr>
                <w:highlight w:val="yellow"/>
              </w:rPr>
            </w:pPr>
          </w:p>
        </w:tc>
      </w:tr>
      <w:tr w14:paraId="6C1A61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vMerge w:val="restart"/>
            <w:tcMar>
              <w:left w:w="0" w:type="dxa"/>
              <w:right w:w="0" w:type="dxa"/>
            </w:tcMar>
            <w:vAlign w:val="center"/>
          </w:tcPr>
          <w:p w14:paraId="70D94AF0">
            <w:pPr>
              <w:pStyle w:val="62"/>
              <w:adjustRightInd w:val="0"/>
              <w:snapToGrid w:val="0"/>
              <w:contextualSpacing w:val="0"/>
            </w:pPr>
            <w:r>
              <w:t>4</w:t>
            </w:r>
          </w:p>
        </w:tc>
        <w:tc>
          <w:tcPr>
            <w:tcW w:w="1144" w:type="pct"/>
            <w:vMerge w:val="restart"/>
            <w:tcBorders>
              <w:right w:val="single" w:color="auto" w:sz="4" w:space="0"/>
            </w:tcBorders>
            <w:tcMar>
              <w:left w:w="0" w:type="dxa"/>
              <w:right w:w="0" w:type="dxa"/>
            </w:tcMar>
            <w:vAlign w:val="center"/>
          </w:tcPr>
          <w:p w14:paraId="5B1CCC80">
            <w:pPr>
              <w:pStyle w:val="62"/>
              <w:adjustRightInd w:val="0"/>
              <w:snapToGrid w:val="0"/>
              <w:contextualSpacing w:val="0"/>
              <w:rPr>
                <w:highlight w:val="yellow"/>
              </w:rPr>
            </w:pPr>
            <w:r>
              <w:rPr>
                <w:rFonts w:hint="eastAsia"/>
              </w:rPr>
              <w:t>厂房内东南角</w:t>
            </w:r>
          </w:p>
        </w:tc>
        <w:tc>
          <w:tcPr>
            <w:tcW w:w="608" w:type="pct"/>
            <w:tcBorders>
              <w:top w:val="single" w:color="auto" w:sz="4" w:space="0"/>
              <w:left w:val="single" w:color="auto" w:sz="4" w:space="0"/>
            </w:tcBorders>
            <w:tcMar>
              <w:left w:w="0" w:type="dxa"/>
              <w:right w:w="0" w:type="dxa"/>
            </w:tcMar>
            <w:vAlign w:val="center"/>
          </w:tcPr>
          <w:p w14:paraId="7ADE3951">
            <w:pPr>
              <w:pStyle w:val="62"/>
              <w:adjustRightInd w:val="0"/>
              <w:snapToGrid w:val="0"/>
              <w:contextualSpacing w:val="0"/>
            </w:pPr>
            <w:r>
              <w:t>0~0.5m</w:t>
            </w:r>
          </w:p>
        </w:tc>
        <w:tc>
          <w:tcPr>
            <w:tcW w:w="2168" w:type="pct"/>
            <w:vMerge w:val="restart"/>
            <w:tcBorders>
              <w:top w:val="single" w:color="auto" w:sz="4" w:space="0"/>
            </w:tcBorders>
            <w:tcMar>
              <w:left w:w="0" w:type="dxa"/>
              <w:right w:w="0" w:type="dxa"/>
            </w:tcMar>
            <w:vAlign w:val="center"/>
          </w:tcPr>
          <w:p w14:paraId="3A49CB11">
            <w:pPr>
              <w:pStyle w:val="62"/>
              <w:adjustRightInd w:val="0"/>
              <w:snapToGrid w:val="0"/>
              <w:contextualSpacing w:val="0"/>
            </w:pPr>
            <w:r>
              <w:rPr>
                <w:rFonts w:hint="eastAsia"/>
              </w:rPr>
              <w:t>pH、石油烃</w:t>
            </w:r>
          </w:p>
        </w:tc>
        <w:tc>
          <w:tcPr>
            <w:tcW w:w="691" w:type="pct"/>
            <w:vMerge w:val="continue"/>
            <w:tcMar>
              <w:left w:w="0" w:type="dxa"/>
              <w:right w:w="0" w:type="dxa"/>
            </w:tcMar>
            <w:vAlign w:val="center"/>
          </w:tcPr>
          <w:p w14:paraId="3C0021B8">
            <w:pPr>
              <w:pStyle w:val="62"/>
              <w:adjustRightInd w:val="0"/>
              <w:snapToGrid w:val="0"/>
              <w:contextualSpacing w:val="0"/>
              <w:rPr>
                <w:highlight w:val="yellow"/>
              </w:rPr>
            </w:pPr>
          </w:p>
        </w:tc>
      </w:tr>
      <w:tr w14:paraId="174E91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vMerge w:val="continue"/>
            <w:tcMar>
              <w:left w:w="0" w:type="dxa"/>
              <w:right w:w="0" w:type="dxa"/>
            </w:tcMar>
            <w:vAlign w:val="center"/>
          </w:tcPr>
          <w:p w14:paraId="4B275DD3">
            <w:pPr>
              <w:pStyle w:val="62"/>
              <w:adjustRightInd w:val="0"/>
              <w:snapToGrid w:val="0"/>
              <w:contextualSpacing w:val="0"/>
            </w:pPr>
          </w:p>
        </w:tc>
        <w:tc>
          <w:tcPr>
            <w:tcW w:w="1144" w:type="pct"/>
            <w:vMerge w:val="continue"/>
            <w:tcBorders>
              <w:right w:val="single" w:color="auto" w:sz="4" w:space="0"/>
            </w:tcBorders>
            <w:tcMar>
              <w:left w:w="0" w:type="dxa"/>
              <w:right w:w="0" w:type="dxa"/>
            </w:tcMar>
            <w:vAlign w:val="center"/>
          </w:tcPr>
          <w:p w14:paraId="40474BD5">
            <w:pPr>
              <w:pStyle w:val="62"/>
              <w:adjustRightInd w:val="0"/>
              <w:snapToGrid w:val="0"/>
              <w:contextualSpacing w:val="0"/>
              <w:rPr>
                <w:highlight w:val="yellow"/>
              </w:rPr>
            </w:pPr>
          </w:p>
        </w:tc>
        <w:tc>
          <w:tcPr>
            <w:tcW w:w="608" w:type="pct"/>
            <w:tcBorders>
              <w:top w:val="single" w:color="auto" w:sz="4" w:space="0"/>
              <w:left w:val="single" w:color="auto" w:sz="4" w:space="0"/>
            </w:tcBorders>
            <w:tcMar>
              <w:left w:w="0" w:type="dxa"/>
              <w:right w:w="0" w:type="dxa"/>
            </w:tcMar>
            <w:vAlign w:val="center"/>
          </w:tcPr>
          <w:p w14:paraId="0A34FE9A">
            <w:pPr>
              <w:pStyle w:val="62"/>
              <w:adjustRightInd w:val="0"/>
              <w:snapToGrid w:val="0"/>
              <w:contextualSpacing w:val="0"/>
            </w:pPr>
            <w:r>
              <w:t>0.5m~1.5m</w:t>
            </w:r>
          </w:p>
        </w:tc>
        <w:tc>
          <w:tcPr>
            <w:tcW w:w="2168" w:type="pct"/>
            <w:vMerge w:val="continue"/>
            <w:tcMar>
              <w:left w:w="0" w:type="dxa"/>
              <w:right w:w="0" w:type="dxa"/>
            </w:tcMar>
            <w:vAlign w:val="center"/>
          </w:tcPr>
          <w:p w14:paraId="2E1813B7">
            <w:pPr>
              <w:pStyle w:val="62"/>
              <w:adjustRightInd w:val="0"/>
              <w:snapToGrid w:val="0"/>
              <w:contextualSpacing w:val="0"/>
            </w:pPr>
          </w:p>
        </w:tc>
        <w:tc>
          <w:tcPr>
            <w:tcW w:w="691" w:type="pct"/>
            <w:vMerge w:val="continue"/>
            <w:tcMar>
              <w:left w:w="0" w:type="dxa"/>
              <w:right w:w="0" w:type="dxa"/>
            </w:tcMar>
            <w:vAlign w:val="center"/>
          </w:tcPr>
          <w:p w14:paraId="6CB92F0A">
            <w:pPr>
              <w:pStyle w:val="62"/>
              <w:adjustRightInd w:val="0"/>
              <w:snapToGrid w:val="0"/>
              <w:contextualSpacing w:val="0"/>
              <w:rPr>
                <w:highlight w:val="yellow"/>
              </w:rPr>
            </w:pPr>
          </w:p>
        </w:tc>
      </w:tr>
      <w:tr w14:paraId="3BF1BF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vMerge w:val="continue"/>
            <w:tcMar>
              <w:left w:w="0" w:type="dxa"/>
              <w:right w:w="0" w:type="dxa"/>
            </w:tcMar>
            <w:vAlign w:val="center"/>
          </w:tcPr>
          <w:p w14:paraId="3C302FD1">
            <w:pPr>
              <w:pStyle w:val="62"/>
              <w:adjustRightInd w:val="0"/>
              <w:snapToGrid w:val="0"/>
              <w:contextualSpacing w:val="0"/>
            </w:pPr>
          </w:p>
        </w:tc>
        <w:tc>
          <w:tcPr>
            <w:tcW w:w="1144" w:type="pct"/>
            <w:vMerge w:val="continue"/>
            <w:tcBorders>
              <w:right w:val="single" w:color="auto" w:sz="4" w:space="0"/>
            </w:tcBorders>
            <w:tcMar>
              <w:left w:w="0" w:type="dxa"/>
              <w:right w:w="0" w:type="dxa"/>
            </w:tcMar>
            <w:vAlign w:val="center"/>
          </w:tcPr>
          <w:p w14:paraId="1FA742BD">
            <w:pPr>
              <w:pStyle w:val="62"/>
              <w:adjustRightInd w:val="0"/>
              <w:snapToGrid w:val="0"/>
              <w:contextualSpacing w:val="0"/>
              <w:rPr>
                <w:highlight w:val="yellow"/>
              </w:rPr>
            </w:pPr>
          </w:p>
        </w:tc>
        <w:tc>
          <w:tcPr>
            <w:tcW w:w="608" w:type="pct"/>
            <w:tcBorders>
              <w:top w:val="single" w:color="auto" w:sz="4" w:space="0"/>
              <w:left w:val="single" w:color="auto" w:sz="4" w:space="0"/>
            </w:tcBorders>
            <w:tcMar>
              <w:left w:w="0" w:type="dxa"/>
              <w:right w:w="0" w:type="dxa"/>
            </w:tcMar>
            <w:vAlign w:val="center"/>
          </w:tcPr>
          <w:p w14:paraId="6EB81005">
            <w:pPr>
              <w:pStyle w:val="62"/>
              <w:adjustRightInd w:val="0"/>
              <w:snapToGrid w:val="0"/>
              <w:contextualSpacing w:val="0"/>
            </w:pPr>
            <w:r>
              <w:t>1.5~3m</w:t>
            </w:r>
          </w:p>
        </w:tc>
        <w:tc>
          <w:tcPr>
            <w:tcW w:w="2168" w:type="pct"/>
            <w:vMerge w:val="continue"/>
            <w:tcMar>
              <w:left w:w="0" w:type="dxa"/>
              <w:right w:w="0" w:type="dxa"/>
            </w:tcMar>
            <w:vAlign w:val="center"/>
          </w:tcPr>
          <w:p w14:paraId="264B74F9">
            <w:pPr>
              <w:pStyle w:val="62"/>
              <w:adjustRightInd w:val="0"/>
              <w:snapToGrid w:val="0"/>
              <w:contextualSpacing w:val="0"/>
            </w:pPr>
          </w:p>
        </w:tc>
        <w:tc>
          <w:tcPr>
            <w:tcW w:w="691" w:type="pct"/>
            <w:vMerge w:val="continue"/>
            <w:tcMar>
              <w:left w:w="0" w:type="dxa"/>
              <w:right w:w="0" w:type="dxa"/>
            </w:tcMar>
            <w:vAlign w:val="center"/>
          </w:tcPr>
          <w:p w14:paraId="37D33053">
            <w:pPr>
              <w:pStyle w:val="62"/>
              <w:adjustRightInd w:val="0"/>
              <w:snapToGrid w:val="0"/>
              <w:contextualSpacing w:val="0"/>
              <w:rPr>
                <w:highlight w:val="yellow"/>
              </w:rPr>
            </w:pPr>
          </w:p>
        </w:tc>
      </w:tr>
      <w:tr w14:paraId="1B3A26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tcMar>
              <w:left w:w="0" w:type="dxa"/>
              <w:right w:w="0" w:type="dxa"/>
            </w:tcMar>
            <w:vAlign w:val="center"/>
          </w:tcPr>
          <w:p w14:paraId="4439AE48">
            <w:pPr>
              <w:pStyle w:val="62"/>
              <w:adjustRightInd w:val="0"/>
              <w:snapToGrid w:val="0"/>
              <w:contextualSpacing w:val="0"/>
            </w:pPr>
            <w:r>
              <w:t>5</w:t>
            </w:r>
          </w:p>
        </w:tc>
        <w:tc>
          <w:tcPr>
            <w:tcW w:w="1144" w:type="pct"/>
            <w:tcBorders>
              <w:right w:val="single" w:color="auto" w:sz="4" w:space="0"/>
            </w:tcBorders>
            <w:tcMar>
              <w:left w:w="0" w:type="dxa"/>
              <w:right w:w="0" w:type="dxa"/>
            </w:tcMar>
            <w:vAlign w:val="center"/>
          </w:tcPr>
          <w:p w14:paraId="73DFD1FA">
            <w:pPr>
              <w:pStyle w:val="62"/>
              <w:adjustRightInd w:val="0"/>
              <w:snapToGrid w:val="0"/>
              <w:contextualSpacing w:val="0"/>
            </w:pPr>
            <w:r>
              <w:t>厂界外</w:t>
            </w:r>
            <w:r>
              <w:rPr>
                <w:rFonts w:hint="eastAsia"/>
              </w:rPr>
              <w:t>西北</w:t>
            </w:r>
            <w:r>
              <w:t>侧</w:t>
            </w:r>
            <w:r>
              <w:rPr>
                <w:rFonts w:hint="eastAsia"/>
              </w:rPr>
              <w:t>农田</w:t>
            </w:r>
          </w:p>
        </w:tc>
        <w:tc>
          <w:tcPr>
            <w:tcW w:w="608" w:type="pct"/>
            <w:tcBorders>
              <w:left w:val="single" w:color="auto" w:sz="4" w:space="0"/>
            </w:tcBorders>
            <w:vAlign w:val="center"/>
          </w:tcPr>
          <w:p w14:paraId="6C874B25">
            <w:pPr>
              <w:pStyle w:val="62"/>
              <w:adjustRightInd w:val="0"/>
              <w:snapToGrid w:val="0"/>
              <w:contextualSpacing w:val="0"/>
            </w:pPr>
            <w:r>
              <w:t>0-0.2m</w:t>
            </w:r>
          </w:p>
        </w:tc>
        <w:tc>
          <w:tcPr>
            <w:tcW w:w="2168" w:type="pct"/>
            <w:tcMar>
              <w:left w:w="0" w:type="dxa"/>
              <w:right w:w="0" w:type="dxa"/>
            </w:tcMar>
            <w:vAlign w:val="center"/>
          </w:tcPr>
          <w:p w14:paraId="1D5AB6DD">
            <w:pPr>
              <w:pStyle w:val="62"/>
              <w:adjustRightInd w:val="0"/>
              <w:snapToGrid w:val="0"/>
              <w:contextualSpacing w:val="0"/>
            </w:pPr>
            <w:r>
              <w:t>GB</w:t>
            </w:r>
            <w:r>
              <w:rPr>
                <w:rFonts w:hint="eastAsia"/>
              </w:rPr>
              <w:t>15618</w:t>
            </w:r>
            <w:r>
              <w:t>-2018</w:t>
            </w:r>
            <w:r>
              <w:rPr>
                <w:rFonts w:hint="eastAsia"/>
              </w:rPr>
              <w:t>表</w:t>
            </w:r>
            <w:r>
              <w:t>1</w:t>
            </w:r>
            <w:r>
              <w:rPr>
                <w:rFonts w:hint="eastAsia"/>
              </w:rPr>
              <w:t>中8项基本因子、pH、石油烃</w:t>
            </w:r>
          </w:p>
        </w:tc>
        <w:tc>
          <w:tcPr>
            <w:tcW w:w="691" w:type="pct"/>
            <w:vMerge w:val="continue"/>
            <w:tcMar>
              <w:left w:w="0" w:type="dxa"/>
              <w:right w:w="0" w:type="dxa"/>
            </w:tcMar>
            <w:vAlign w:val="center"/>
          </w:tcPr>
          <w:p w14:paraId="3C260FD5">
            <w:pPr>
              <w:pStyle w:val="62"/>
              <w:adjustRightInd w:val="0"/>
              <w:snapToGrid w:val="0"/>
              <w:contextualSpacing w:val="0"/>
              <w:rPr>
                <w:highlight w:val="yellow"/>
              </w:rPr>
            </w:pPr>
          </w:p>
        </w:tc>
      </w:tr>
      <w:tr w14:paraId="07058A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0" w:type="pct"/>
            <w:tcMar>
              <w:left w:w="0" w:type="dxa"/>
              <w:right w:w="0" w:type="dxa"/>
            </w:tcMar>
            <w:vAlign w:val="center"/>
          </w:tcPr>
          <w:p w14:paraId="20D6CD2F">
            <w:pPr>
              <w:pStyle w:val="62"/>
              <w:adjustRightInd w:val="0"/>
              <w:snapToGrid w:val="0"/>
              <w:contextualSpacing w:val="0"/>
            </w:pPr>
            <w:r>
              <w:t>6</w:t>
            </w:r>
          </w:p>
        </w:tc>
        <w:tc>
          <w:tcPr>
            <w:tcW w:w="1144" w:type="pct"/>
            <w:tcBorders>
              <w:right w:val="single" w:color="auto" w:sz="4" w:space="0"/>
            </w:tcBorders>
            <w:tcMar>
              <w:left w:w="0" w:type="dxa"/>
              <w:right w:w="0" w:type="dxa"/>
            </w:tcMar>
            <w:vAlign w:val="center"/>
          </w:tcPr>
          <w:p w14:paraId="6B8A5931">
            <w:pPr>
              <w:pStyle w:val="62"/>
              <w:adjustRightInd w:val="0"/>
              <w:snapToGrid w:val="0"/>
              <w:contextualSpacing w:val="0"/>
            </w:pPr>
            <w:r>
              <w:t>厂界</w:t>
            </w:r>
            <w:r>
              <w:rPr>
                <w:rFonts w:hint="eastAsia"/>
              </w:rPr>
              <w:t>外东南侧农田</w:t>
            </w:r>
          </w:p>
        </w:tc>
        <w:tc>
          <w:tcPr>
            <w:tcW w:w="608" w:type="pct"/>
            <w:tcBorders>
              <w:left w:val="single" w:color="auto" w:sz="4" w:space="0"/>
            </w:tcBorders>
            <w:vAlign w:val="center"/>
          </w:tcPr>
          <w:p w14:paraId="358C93D4">
            <w:pPr>
              <w:pStyle w:val="62"/>
              <w:adjustRightInd w:val="0"/>
              <w:snapToGrid w:val="0"/>
              <w:contextualSpacing w:val="0"/>
            </w:pPr>
            <w:r>
              <w:t>0-0.2m</w:t>
            </w:r>
          </w:p>
        </w:tc>
        <w:tc>
          <w:tcPr>
            <w:tcW w:w="2168" w:type="pct"/>
            <w:tcMar>
              <w:left w:w="0" w:type="dxa"/>
              <w:right w:w="0" w:type="dxa"/>
            </w:tcMar>
            <w:vAlign w:val="center"/>
          </w:tcPr>
          <w:p w14:paraId="6D0FFC90">
            <w:pPr>
              <w:pStyle w:val="62"/>
              <w:adjustRightInd w:val="0"/>
              <w:snapToGrid w:val="0"/>
              <w:contextualSpacing w:val="0"/>
            </w:pPr>
            <w:r>
              <w:t>GB</w:t>
            </w:r>
            <w:r>
              <w:rPr>
                <w:rFonts w:hint="eastAsia"/>
              </w:rPr>
              <w:t>15618</w:t>
            </w:r>
            <w:r>
              <w:t>-2018</w:t>
            </w:r>
            <w:r>
              <w:rPr>
                <w:rFonts w:hint="eastAsia"/>
              </w:rPr>
              <w:t>表</w:t>
            </w:r>
            <w:r>
              <w:t>1</w:t>
            </w:r>
            <w:r>
              <w:rPr>
                <w:rFonts w:hint="eastAsia"/>
              </w:rPr>
              <w:t>中8项基本因子、pH、石油烃</w:t>
            </w:r>
          </w:p>
        </w:tc>
        <w:tc>
          <w:tcPr>
            <w:tcW w:w="691" w:type="pct"/>
            <w:vMerge w:val="continue"/>
            <w:tcMar>
              <w:left w:w="0" w:type="dxa"/>
              <w:right w:w="0" w:type="dxa"/>
            </w:tcMar>
            <w:vAlign w:val="center"/>
          </w:tcPr>
          <w:p w14:paraId="19590445">
            <w:pPr>
              <w:pStyle w:val="62"/>
              <w:adjustRightInd w:val="0"/>
              <w:snapToGrid w:val="0"/>
              <w:contextualSpacing w:val="0"/>
              <w:rPr>
                <w:highlight w:val="yellow"/>
              </w:rPr>
            </w:pPr>
          </w:p>
        </w:tc>
      </w:tr>
    </w:tbl>
    <w:p w14:paraId="1D3ECB32">
      <w:pPr>
        <w:pStyle w:val="6"/>
        <w:ind w:left="0" w:firstLine="482" w:firstLineChars="200"/>
      </w:pPr>
      <w:r>
        <w:t>监测方法</w:t>
      </w:r>
    </w:p>
    <w:p w14:paraId="1D3ECB33">
      <w:pPr>
        <w:ind w:firstLine="480"/>
      </w:pPr>
      <w:r>
        <w:t>监测按照HJ/T166、HJ25.1、HJ25.2等执行，每个样监测1次，每个点位报一组有效数据。本次土壤环境质量监测分析方法详见下表：</w:t>
      </w:r>
    </w:p>
    <w:p w14:paraId="1D3ECB34">
      <w:pPr>
        <w:numPr>
          <w:ilvl w:val="0"/>
          <w:numId w:val="23"/>
        </w:numPr>
        <w:adjustRightInd/>
        <w:snapToGrid/>
        <w:ind w:firstLineChars="0"/>
        <w:textAlignment w:val="auto"/>
        <w:rPr>
          <w:rFonts w:eastAsia="黑体"/>
        </w:rPr>
      </w:pPr>
      <w:r>
        <w:rPr>
          <w:rFonts w:eastAsia="黑体"/>
        </w:rPr>
        <w:t xml:space="preserve">        土壤监测分析方法及仪器一览表</w:t>
      </w:r>
    </w:p>
    <w:tbl>
      <w:tblPr>
        <w:tblStyle w:val="42"/>
        <w:tblW w:w="5000" w:type="pct"/>
        <w:tblInd w:w="-28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127"/>
        <w:gridCol w:w="4109"/>
        <w:gridCol w:w="2056"/>
        <w:gridCol w:w="1076"/>
      </w:tblGrid>
      <w:tr w14:paraId="1D3EC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trPr>
        <w:tc>
          <w:tcPr>
            <w:tcW w:w="1117" w:type="dxa"/>
            <w:vAlign w:val="center"/>
          </w:tcPr>
          <w:p w14:paraId="1D3ECB35">
            <w:pPr>
              <w:adjustRightInd/>
              <w:snapToGrid/>
              <w:spacing w:line="240" w:lineRule="auto"/>
              <w:ind w:firstLine="0" w:firstLineChars="0"/>
              <w:contextualSpacing/>
              <w:jc w:val="center"/>
              <w:rPr>
                <w:b/>
                <w:bCs/>
                <w:sz w:val="21"/>
                <w:szCs w:val="21"/>
              </w:rPr>
            </w:pPr>
            <w:r>
              <w:rPr>
                <w:b/>
                <w:bCs/>
                <w:sz w:val="21"/>
                <w:szCs w:val="21"/>
              </w:rPr>
              <w:t>检测项目</w:t>
            </w:r>
          </w:p>
        </w:tc>
        <w:tc>
          <w:tcPr>
            <w:tcW w:w="4072" w:type="dxa"/>
            <w:vAlign w:val="center"/>
          </w:tcPr>
          <w:p w14:paraId="1D3ECB36">
            <w:pPr>
              <w:adjustRightInd/>
              <w:snapToGrid/>
              <w:spacing w:line="240" w:lineRule="auto"/>
              <w:ind w:firstLine="0" w:firstLineChars="0"/>
              <w:contextualSpacing/>
              <w:jc w:val="center"/>
              <w:rPr>
                <w:b/>
                <w:bCs/>
                <w:sz w:val="21"/>
                <w:szCs w:val="21"/>
              </w:rPr>
            </w:pPr>
            <w:r>
              <w:rPr>
                <w:b/>
                <w:bCs/>
                <w:sz w:val="21"/>
                <w:szCs w:val="21"/>
              </w:rPr>
              <w:t>检测标准</w:t>
            </w:r>
          </w:p>
        </w:tc>
        <w:tc>
          <w:tcPr>
            <w:tcW w:w="2037" w:type="dxa"/>
            <w:vAlign w:val="center"/>
          </w:tcPr>
          <w:p w14:paraId="1D3ECB37">
            <w:pPr>
              <w:adjustRightInd/>
              <w:snapToGrid/>
              <w:spacing w:line="240" w:lineRule="auto"/>
              <w:ind w:firstLine="0" w:firstLineChars="0"/>
              <w:contextualSpacing/>
              <w:jc w:val="center"/>
              <w:rPr>
                <w:b/>
                <w:bCs/>
                <w:sz w:val="21"/>
                <w:szCs w:val="21"/>
              </w:rPr>
            </w:pPr>
            <w:r>
              <w:rPr>
                <w:b/>
                <w:bCs/>
                <w:sz w:val="21"/>
                <w:szCs w:val="21"/>
              </w:rPr>
              <w:t>仪器设备</w:t>
            </w:r>
          </w:p>
        </w:tc>
        <w:tc>
          <w:tcPr>
            <w:tcW w:w="1066" w:type="dxa"/>
            <w:vAlign w:val="center"/>
          </w:tcPr>
          <w:p w14:paraId="1D3ECB38">
            <w:pPr>
              <w:adjustRightInd/>
              <w:snapToGrid/>
              <w:spacing w:line="240" w:lineRule="auto"/>
              <w:ind w:firstLine="0" w:firstLineChars="0"/>
              <w:contextualSpacing/>
              <w:jc w:val="center"/>
              <w:rPr>
                <w:b/>
                <w:bCs/>
                <w:sz w:val="21"/>
                <w:szCs w:val="21"/>
              </w:rPr>
            </w:pPr>
            <w:r>
              <w:rPr>
                <w:b/>
                <w:bCs/>
                <w:sz w:val="21"/>
                <w:szCs w:val="21"/>
              </w:rPr>
              <w:t>检出限</w:t>
            </w:r>
          </w:p>
        </w:tc>
      </w:tr>
      <w:tr w14:paraId="1D3EC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3A">
            <w:pPr>
              <w:adjustRightInd/>
              <w:snapToGrid/>
              <w:spacing w:line="240" w:lineRule="auto"/>
              <w:ind w:firstLine="0" w:firstLineChars="0"/>
              <w:contextualSpacing/>
              <w:jc w:val="center"/>
              <w:rPr>
                <w:rFonts w:eastAsiaTheme="minorEastAsia"/>
                <w:sz w:val="21"/>
                <w:szCs w:val="21"/>
              </w:rPr>
            </w:pPr>
            <w:r>
              <w:rPr>
                <w:sz w:val="21"/>
                <w:szCs w:val="21"/>
              </w:rPr>
              <w:t>pH值</w:t>
            </w:r>
          </w:p>
        </w:tc>
        <w:tc>
          <w:tcPr>
            <w:tcW w:w="4072" w:type="dxa"/>
            <w:vAlign w:val="center"/>
          </w:tcPr>
          <w:p w14:paraId="1D3ECB3C">
            <w:pPr>
              <w:adjustRightInd/>
              <w:snapToGrid/>
              <w:spacing w:line="240" w:lineRule="auto"/>
              <w:ind w:firstLine="0" w:firstLineChars="0"/>
              <w:contextualSpacing/>
              <w:jc w:val="center"/>
              <w:rPr>
                <w:bCs/>
                <w:sz w:val="21"/>
                <w:szCs w:val="21"/>
              </w:rPr>
            </w:pPr>
            <w:r>
              <w:rPr>
                <w:sz w:val="21"/>
                <w:szCs w:val="21"/>
              </w:rPr>
              <w:t>土壤 pH值的测定 电位法 HJ 962-2018</w:t>
            </w:r>
          </w:p>
        </w:tc>
        <w:tc>
          <w:tcPr>
            <w:tcW w:w="2037" w:type="dxa"/>
            <w:vAlign w:val="center"/>
          </w:tcPr>
          <w:p w14:paraId="1D3ECB3E">
            <w:pPr>
              <w:adjustRightInd/>
              <w:snapToGrid/>
              <w:spacing w:line="240" w:lineRule="auto"/>
              <w:ind w:firstLine="0" w:firstLineChars="0"/>
              <w:contextualSpacing/>
              <w:jc w:val="center"/>
              <w:rPr>
                <w:sz w:val="21"/>
                <w:szCs w:val="21"/>
              </w:rPr>
            </w:pPr>
            <w:r>
              <w:rPr>
                <w:rFonts w:hint="eastAsia"/>
                <w:sz w:val="21"/>
                <w:szCs w:val="21"/>
              </w:rPr>
              <w:t>pH计 PHS-3C</w:t>
            </w:r>
          </w:p>
        </w:tc>
        <w:tc>
          <w:tcPr>
            <w:tcW w:w="1066" w:type="dxa"/>
            <w:vAlign w:val="center"/>
          </w:tcPr>
          <w:p w14:paraId="1D3ECB3F">
            <w:pPr>
              <w:adjustRightInd/>
              <w:snapToGrid/>
              <w:spacing w:line="240" w:lineRule="auto"/>
              <w:ind w:firstLine="0" w:firstLineChars="0"/>
              <w:contextualSpacing/>
              <w:jc w:val="center"/>
              <w:rPr>
                <w:bCs/>
                <w:sz w:val="21"/>
                <w:szCs w:val="21"/>
              </w:rPr>
            </w:pPr>
            <w:r>
              <w:rPr>
                <w:sz w:val="21"/>
                <w:szCs w:val="21"/>
              </w:rPr>
              <w:t>/</w:t>
            </w:r>
          </w:p>
        </w:tc>
      </w:tr>
      <w:tr w14:paraId="1D3EC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41">
            <w:pPr>
              <w:adjustRightInd/>
              <w:snapToGrid/>
              <w:spacing w:line="240" w:lineRule="auto"/>
              <w:ind w:firstLine="0" w:firstLineChars="0"/>
              <w:contextualSpacing/>
              <w:jc w:val="center"/>
              <w:rPr>
                <w:sz w:val="21"/>
                <w:szCs w:val="21"/>
              </w:rPr>
            </w:pPr>
            <w:r>
              <w:rPr>
                <w:sz w:val="21"/>
                <w:szCs w:val="21"/>
              </w:rPr>
              <w:t>砷</w:t>
            </w:r>
          </w:p>
        </w:tc>
        <w:tc>
          <w:tcPr>
            <w:tcW w:w="4072" w:type="dxa"/>
            <w:vAlign w:val="center"/>
          </w:tcPr>
          <w:p w14:paraId="1D3ECB42">
            <w:pPr>
              <w:adjustRightInd/>
              <w:snapToGrid/>
              <w:spacing w:line="240" w:lineRule="auto"/>
              <w:ind w:firstLine="0" w:firstLineChars="0"/>
              <w:contextualSpacing/>
              <w:jc w:val="center"/>
              <w:rPr>
                <w:sz w:val="21"/>
                <w:szCs w:val="21"/>
              </w:rPr>
            </w:pPr>
            <w:r>
              <w:rPr>
                <w:sz w:val="21"/>
                <w:szCs w:val="21"/>
              </w:rPr>
              <w:t xml:space="preserve">土壤及沉积物汞、砷、硒、铋和锑的测定 </w:t>
            </w:r>
          </w:p>
          <w:p w14:paraId="1D3ECB43">
            <w:pPr>
              <w:adjustRightInd/>
              <w:snapToGrid/>
              <w:spacing w:line="240" w:lineRule="auto"/>
              <w:ind w:firstLine="0" w:firstLineChars="0"/>
              <w:contextualSpacing/>
              <w:jc w:val="center"/>
              <w:rPr>
                <w:sz w:val="21"/>
                <w:szCs w:val="21"/>
              </w:rPr>
            </w:pPr>
            <w:r>
              <w:rPr>
                <w:sz w:val="21"/>
                <w:szCs w:val="21"/>
              </w:rPr>
              <w:t>微波消解/原子荧光法 HJ680-2013</w:t>
            </w:r>
          </w:p>
        </w:tc>
        <w:tc>
          <w:tcPr>
            <w:tcW w:w="2037" w:type="dxa"/>
            <w:vAlign w:val="center"/>
          </w:tcPr>
          <w:p w14:paraId="1D3ECB44">
            <w:pPr>
              <w:adjustRightInd/>
              <w:snapToGrid/>
              <w:spacing w:line="240" w:lineRule="auto"/>
              <w:ind w:firstLine="0" w:firstLineChars="0"/>
              <w:contextualSpacing/>
              <w:jc w:val="center"/>
              <w:rPr>
                <w:sz w:val="21"/>
                <w:szCs w:val="21"/>
                <w:highlight w:val="yellow"/>
              </w:rPr>
            </w:pPr>
            <w:r>
              <w:rPr>
                <w:rFonts w:hint="eastAsia"/>
                <w:sz w:val="21"/>
                <w:szCs w:val="21"/>
              </w:rPr>
              <w:t>原子荧光光度计 BAF-1200</w:t>
            </w:r>
          </w:p>
        </w:tc>
        <w:tc>
          <w:tcPr>
            <w:tcW w:w="1066" w:type="dxa"/>
            <w:vAlign w:val="center"/>
          </w:tcPr>
          <w:p w14:paraId="1D3ECB45">
            <w:pPr>
              <w:adjustRightInd/>
              <w:snapToGrid/>
              <w:spacing w:line="240" w:lineRule="auto"/>
              <w:ind w:firstLine="0" w:firstLineChars="0"/>
              <w:contextualSpacing/>
              <w:jc w:val="center"/>
              <w:rPr>
                <w:bCs/>
                <w:sz w:val="21"/>
                <w:szCs w:val="21"/>
              </w:rPr>
            </w:pPr>
            <w:r>
              <w:rPr>
                <w:sz w:val="21"/>
                <w:szCs w:val="21"/>
              </w:rPr>
              <w:t>0.01mg/kg</w:t>
            </w:r>
          </w:p>
        </w:tc>
      </w:tr>
      <w:tr w14:paraId="1D3EC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47">
            <w:pPr>
              <w:adjustRightInd/>
              <w:snapToGrid/>
              <w:spacing w:line="240" w:lineRule="auto"/>
              <w:ind w:firstLine="0" w:firstLineChars="0"/>
              <w:contextualSpacing/>
              <w:jc w:val="center"/>
              <w:rPr>
                <w:sz w:val="21"/>
                <w:szCs w:val="21"/>
              </w:rPr>
            </w:pPr>
            <w:r>
              <w:rPr>
                <w:sz w:val="21"/>
                <w:szCs w:val="21"/>
              </w:rPr>
              <w:t>镉</w:t>
            </w:r>
          </w:p>
        </w:tc>
        <w:tc>
          <w:tcPr>
            <w:tcW w:w="4072" w:type="dxa"/>
            <w:vAlign w:val="center"/>
          </w:tcPr>
          <w:p w14:paraId="1D3ECB48">
            <w:pPr>
              <w:adjustRightInd/>
              <w:snapToGrid/>
              <w:spacing w:line="240" w:lineRule="auto"/>
              <w:ind w:firstLine="0" w:firstLineChars="0"/>
              <w:contextualSpacing/>
              <w:jc w:val="center"/>
              <w:rPr>
                <w:sz w:val="21"/>
                <w:szCs w:val="21"/>
              </w:rPr>
            </w:pPr>
            <w:r>
              <w:rPr>
                <w:sz w:val="21"/>
                <w:szCs w:val="21"/>
              </w:rPr>
              <w:t>土壤质量 铅、镉的测定 石墨炉原子吸收分光光度法GB/T17141-1997</w:t>
            </w:r>
          </w:p>
        </w:tc>
        <w:tc>
          <w:tcPr>
            <w:tcW w:w="2037" w:type="dxa"/>
            <w:vAlign w:val="center"/>
          </w:tcPr>
          <w:p w14:paraId="1D3ECB49">
            <w:pPr>
              <w:adjustRightInd/>
              <w:snapToGrid/>
              <w:spacing w:line="240" w:lineRule="auto"/>
              <w:ind w:firstLine="0" w:firstLineChars="0"/>
              <w:contextualSpacing/>
              <w:jc w:val="center"/>
              <w:rPr>
                <w:sz w:val="21"/>
                <w:szCs w:val="21"/>
                <w:highlight w:val="yellow"/>
              </w:rPr>
            </w:pPr>
            <w:r>
              <w:rPr>
                <w:rFonts w:hint="eastAsia"/>
                <w:sz w:val="21"/>
                <w:szCs w:val="21"/>
              </w:rPr>
              <w:t>火焰石墨炉一体化原子吸收分光光度计GGX-830</w:t>
            </w:r>
          </w:p>
        </w:tc>
        <w:tc>
          <w:tcPr>
            <w:tcW w:w="1066" w:type="dxa"/>
            <w:vAlign w:val="center"/>
          </w:tcPr>
          <w:p w14:paraId="1D3ECB4A">
            <w:pPr>
              <w:adjustRightInd/>
              <w:snapToGrid/>
              <w:spacing w:line="240" w:lineRule="auto"/>
              <w:ind w:firstLine="0" w:firstLineChars="0"/>
              <w:contextualSpacing/>
              <w:jc w:val="center"/>
              <w:rPr>
                <w:bCs/>
                <w:sz w:val="21"/>
                <w:szCs w:val="21"/>
              </w:rPr>
            </w:pPr>
            <w:r>
              <w:rPr>
                <w:sz w:val="21"/>
                <w:szCs w:val="21"/>
              </w:rPr>
              <w:t>0.010mg/kg</w:t>
            </w:r>
          </w:p>
        </w:tc>
      </w:tr>
      <w:tr w14:paraId="1D3EC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4C">
            <w:pPr>
              <w:adjustRightInd/>
              <w:snapToGrid/>
              <w:spacing w:line="240" w:lineRule="auto"/>
              <w:ind w:firstLine="0" w:firstLineChars="0"/>
              <w:contextualSpacing/>
              <w:jc w:val="center"/>
              <w:rPr>
                <w:sz w:val="21"/>
                <w:szCs w:val="21"/>
              </w:rPr>
            </w:pPr>
            <w:r>
              <w:rPr>
                <w:sz w:val="21"/>
                <w:szCs w:val="21"/>
              </w:rPr>
              <w:t>六价铬</w:t>
            </w:r>
          </w:p>
        </w:tc>
        <w:tc>
          <w:tcPr>
            <w:tcW w:w="4072" w:type="dxa"/>
            <w:vAlign w:val="center"/>
          </w:tcPr>
          <w:p w14:paraId="1D3ECB4D">
            <w:pPr>
              <w:adjustRightInd/>
              <w:snapToGrid/>
              <w:spacing w:line="240" w:lineRule="auto"/>
              <w:ind w:firstLine="0" w:firstLineChars="0"/>
              <w:contextualSpacing/>
              <w:jc w:val="center"/>
              <w:rPr>
                <w:bCs/>
                <w:sz w:val="21"/>
                <w:szCs w:val="21"/>
              </w:rPr>
            </w:pPr>
            <w:r>
              <w:rPr>
                <w:bCs/>
                <w:sz w:val="21"/>
                <w:szCs w:val="21"/>
              </w:rPr>
              <w:t>土壤和沉积物 六价铬的测定 碱溶液提取-火焰原子吸收分光光度法 HJ 1082-2019</w:t>
            </w:r>
          </w:p>
        </w:tc>
        <w:tc>
          <w:tcPr>
            <w:tcW w:w="2037" w:type="dxa"/>
            <w:vAlign w:val="center"/>
          </w:tcPr>
          <w:p w14:paraId="1D3ECB4E">
            <w:pPr>
              <w:adjustRightInd/>
              <w:snapToGrid/>
              <w:spacing w:line="240" w:lineRule="auto"/>
              <w:ind w:firstLine="0" w:firstLineChars="0"/>
              <w:contextualSpacing/>
              <w:jc w:val="center"/>
              <w:rPr>
                <w:sz w:val="21"/>
                <w:szCs w:val="21"/>
                <w:highlight w:val="yellow"/>
              </w:rPr>
            </w:pPr>
            <w:r>
              <w:rPr>
                <w:rFonts w:hint="eastAsia"/>
                <w:sz w:val="21"/>
                <w:szCs w:val="21"/>
              </w:rPr>
              <w:t>火焰石墨炉一体化原子吸收分光光度计GGX-830</w:t>
            </w:r>
          </w:p>
        </w:tc>
        <w:tc>
          <w:tcPr>
            <w:tcW w:w="1066" w:type="dxa"/>
            <w:vAlign w:val="center"/>
          </w:tcPr>
          <w:p w14:paraId="1D3ECB4F">
            <w:pPr>
              <w:adjustRightInd/>
              <w:snapToGrid/>
              <w:spacing w:line="240" w:lineRule="auto"/>
              <w:ind w:firstLine="0" w:firstLineChars="0"/>
              <w:contextualSpacing/>
              <w:jc w:val="center"/>
              <w:rPr>
                <w:bCs/>
                <w:sz w:val="21"/>
                <w:szCs w:val="21"/>
              </w:rPr>
            </w:pPr>
            <w:r>
              <w:rPr>
                <w:bCs/>
                <w:sz w:val="21"/>
                <w:szCs w:val="21"/>
              </w:rPr>
              <w:t>0.5</w:t>
            </w:r>
            <w:r>
              <w:rPr>
                <w:sz w:val="21"/>
                <w:szCs w:val="21"/>
              </w:rPr>
              <w:t>mg/kg</w:t>
            </w:r>
          </w:p>
        </w:tc>
      </w:tr>
      <w:tr w14:paraId="1D3EC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51">
            <w:pPr>
              <w:adjustRightInd/>
              <w:snapToGrid/>
              <w:spacing w:line="240" w:lineRule="auto"/>
              <w:ind w:firstLine="0" w:firstLineChars="0"/>
              <w:contextualSpacing/>
              <w:jc w:val="center"/>
              <w:rPr>
                <w:sz w:val="21"/>
                <w:szCs w:val="21"/>
              </w:rPr>
            </w:pPr>
            <w:r>
              <w:rPr>
                <w:sz w:val="21"/>
                <w:szCs w:val="21"/>
              </w:rPr>
              <w:t>铜</w:t>
            </w:r>
          </w:p>
        </w:tc>
        <w:tc>
          <w:tcPr>
            <w:tcW w:w="4072" w:type="dxa"/>
            <w:vMerge w:val="restart"/>
            <w:vAlign w:val="center"/>
          </w:tcPr>
          <w:p w14:paraId="1D3ECB53">
            <w:pPr>
              <w:adjustRightInd/>
              <w:snapToGrid/>
              <w:spacing w:line="240" w:lineRule="auto"/>
              <w:ind w:firstLine="0" w:firstLineChars="0"/>
              <w:contextualSpacing/>
              <w:jc w:val="center"/>
              <w:rPr>
                <w:bCs/>
                <w:sz w:val="21"/>
                <w:szCs w:val="21"/>
              </w:rPr>
            </w:pPr>
            <w:r>
              <w:rPr>
                <w:sz w:val="21"/>
                <w:szCs w:val="21"/>
              </w:rPr>
              <w:t>土壤和沉积物 铜、锌、铅、镍、铬的测定 火焰原子吸收分光光度法HJ491-2019</w:t>
            </w:r>
          </w:p>
        </w:tc>
        <w:tc>
          <w:tcPr>
            <w:tcW w:w="2037" w:type="dxa"/>
            <w:vMerge w:val="restart"/>
            <w:vAlign w:val="center"/>
          </w:tcPr>
          <w:p w14:paraId="1D3ECB54">
            <w:pPr>
              <w:adjustRightInd/>
              <w:snapToGrid/>
              <w:spacing w:line="240" w:lineRule="auto"/>
              <w:ind w:firstLine="0" w:firstLineChars="0"/>
              <w:contextualSpacing/>
              <w:jc w:val="center"/>
              <w:rPr>
                <w:sz w:val="21"/>
                <w:szCs w:val="21"/>
                <w:highlight w:val="yellow"/>
              </w:rPr>
            </w:pPr>
            <w:r>
              <w:rPr>
                <w:rFonts w:hint="eastAsia"/>
                <w:sz w:val="21"/>
                <w:szCs w:val="21"/>
              </w:rPr>
              <w:t>火焰石墨炉一体化原子吸收分光光度计GGX-830</w:t>
            </w:r>
          </w:p>
        </w:tc>
        <w:tc>
          <w:tcPr>
            <w:tcW w:w="1066" w:type="dxa"/>
            <w:vAlign w:val="center"/>
          </w:tcPr>
          <w:p w14:paraId="1D3ECB55">
            <w:pPr>
              <w:adjustRightInd/>
              <w:snapToGrid/>
              <w:spacing w:line="240" w:lineRule="auto"/>
              <w:ind w:firstLine="0" w:firstLineChars="0"/>
              <w:contextualSpacing/>
              <w:jc w:val="center"/>
              <w:rPr>
                <w:bCs/>
                <w:sz w:val="21"/>
                <w:szCs w:val="21"/>
              </w:rPr>
            </w:pPr>
            <w:r>
              <w:rPr>
                <w:sz w:val="21"/>
                <w:szCs w:val="21"/>
              </w:rPr>
              <w:t>1mg/kg</w:t>
            </w:r>
          </w:p>
        </w:tc>
      </w:tr>
      <w:tr w14:paraId="1D3EC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57">
            <w:pPr>
              <w:adjustRightInd/>
              <w:snapToGrid/>
              <w:spacing w:line="240" w:lineRule="auto"/>
              <w:ind w:firstLine="0" w:firstLineChars="0"/>
              <w:contextualSpacing/>
              <w:jc w:val="center"/>
              <w:rPr>
                <w:sz w:val="21"/>
                <w:szCs w:val="21"/>
              </w:rPr>
            </w:pPr>
            <w:r>
              <w:rPr>
                <w:sz w:val="21"/>
                <w:szCs w:val="21"/>
              </w:rPr>
              <w:t>铅</w:t>
            </w:r>
          </w:p>
        </w:tc>
        <w:tc>
          <w:tcPr>
            <w:tcW w:w="4072" w:type="dxa"/>
            <w:vMerge w:val="continue"/>
            <w:vAlign w:val="center"/>
          </w:tcPr>
          <w:p w14:paraId="1D3ECB59">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5A">
            <w:pPr>
              <w:adjustRightInd/>
              <w:snapToGrid/>
              <w:spacing w:line="240" w:lineRule="auto"/>
              <w:ind w:firstLine="0" w:firstLineChars="0"/>
              <w:contextualSpacing/>
              <w:jc w:val="center"/>
              <w:rPr>
                <w:sz w:val="21"/>
                <w:szCs w:val="21"/>
                <w:highlight w:val="yellow"/>
              </w:rPr>
            </w:pPr>
          </w:p>
        </w:tc>
        <w:tc>
          <w:tcPr>
            <w:tcW w:w="1066" w:type="dxa"/>
            <w:vAlign w:val="center"/>
          </w:tcPr>
          <w:p w14:paraId="1D3ECB5B">
            <w:pPr>
              <w:adjustRightInd/>
              <w:snapToGrid/>
              <w:spacing w:line="240" w:lineRule="auto"/>
              <w:ind w:firstLine="0" w:firstLineChars="0"/>
              <w:contextualSpacing/>
              <w:jc w:val="center"/>
              <w:rPr>
                <w:bCs/>
                <w:sz w:val="21"/>
                <w:szCs w:val="21"/>
              </w:rPr>
            </w:pPr>
            <w:r>
              <w:rPr>
                <w:sz w:val="21"/>
                <w:szCs w:val="21"/>
              </w:rPr>
              <w:t>10mg/kg</w:t>
            </w:r>
          </w:p>
        </w:tc>
      </w:tr>
      <w:tr w14:paraId="1D3EC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5D">
            <w:pPr>
              <w:adjustRightInd/>
              <w:snapToGrid/>
              <w:spacing w:line="240" w:lineRule="auto"/>
              <w:ind w:firstLine="0" w:firstLineChars="0"/>
              <w:contextualSpacing/>
              <w:jc w:val="center"/>
              <w:rPr>
                <w:sz w:val="21"/>
                <w:szCs w:val="21"/>
              </w:rPr>
            </w:pPr>
            <w:r>
              <w:rPr>
                <w:sz w:val="21"/>
                <w:szCs w:val="21"/>
              </w:rPr>
              <w:t>汞</w:t>
            </w:r>
          </w:p>
        </w:tc>
        <w:tc>
          <w:tcPr>
            <w:tcW w:w="4072" w:type="dxa"/>
            <w:vMerge w:val="continue"/>
            <w:vAlign w:val="center"/>
          </w:tcPr>
          <w:p w14:paraId="1D3ECB5F">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60">
            <w:pPr>
              <w:adjustRightInd/>
              <w:snapToGrid/>
              <w:spacing w:line="240" w:lineRule="auto"/>
              <w:ind w:firstLine="0" w:firstLineChars="0"/>
              <w:contextualSpacing/>
              <w:jc w:val="center"/>
              <w:rPr>
                <w:sz w:val="21"/>
                <w:szCs w:val="21"/>
                <w:highlight w:val="yellow"/>
              </w:rPr>
            </w:pPr>
          </w:p>
        </w:tc>
        <w:tc>
          <w:tcPr>
            <w:tcW w:w="1066" w:type="dxa"/>
            <w:vAlign w:val="center"/>
          </w:tcPr>
          <w:p w14:paraId="1D3ECB61">
            <w:pPr>
              <w:adjustRightInd/>
              <w:snapToGrid/>
              <w:spacing w:line="240" w:lineRule="auto"/>
              <w:ind w:firstLine="0" w:firstLineChars="0"/>
              <w:contextualSpacing/>
              <w:jc w:val="center"/>
              <w:rPr>
                <w:bCs/>
                <w:sz w:val="21"/>
                <w:szCs w:val="21"/>
              </w:rPr>
            </w:pPr>
            <w:r>
              <w:rPr>
                <w:sz w:val="21"/>
                <w:szCs w:val="21"/>
              </w:rPr>
              <w:t>0.002mg/kg</w:t>
            </w:r>
          </w:p>
        </w:tc>
      </w:tr>
      <w:tr w14:paraId="1D3EC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63">
            <w:pPr>
              <w:adjustRightInd/>
              <w:snapToGrid/>
              <w:spacing w:line="240" w:lineRule="auto"/>
              <w:ind w:firstLine="0" w:firstLineChars="0"/>
              <w:contextualSpacing/>
              <w:jc w:val="center"/>
              <w:rPr>
                <w:sz w:val="21"/>
                <w:szCs w:val="21"/>
              </w:rPr>
            </w:pPr>
            <w:r>
              <w:rPr>
                <w:sz w:val="21"/>
                <w:szCs w:val="21"/>
              </w:rPr>
              <w:t>镍</w:t>
            </w:r>
          </w:p>
        </w:tc>
        <w:tc>
          <w:tcPr>
            <w:tcW w:w="4072" w:type="dxa"/>
            <w:vMerge w:val="continue"/>
            <w:vAlign w:val="center"/>
          </w:tcPr>
          <w:p w14:paraId="1D3ECB65">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66">
            <w:pPr>
              <w:adjustRightInd/>
              <w:snapToGrid/>
              <w:spacing w:line="240" w:lineRule="auto"/>
              <w:ind w:firstLine="0" w:firstLineChars="0"/>
              <w:contextualSpacing/>
              <w:jc w:val="center"/>
              <w:rPr>
                <w:sz w:val="21"/>
                <w:szCs w:val="21"/>
                <w:highlight w:val="yellow"/>
              </w:rPr>
            </w:pPr>
          </w:p>
        </w:tc>
        <w:tc>
          <w:tcPr>
            <w:tcW w:w="1066" w:type="dxa"/>
            <w:vAlign w:val="center"/>
          </w:tcPr>
          <w:p w14:paraId="1D3ECB67">
            <w:pPr>
              <w:adjustRightInd/>
              <w:snapToGrid/>
              <w:spacing w:line="240" w:lineRule="auto"/>
              <w:ind w:firstLine="0" w:firstLineChars="0"/>
              <w:contextualSpacing/>
              <w:jc w:val="center"/>
              <w:rPr>
                <w:bCs/>
                <w:sz w:val="21"/>
                <w:szCs w:val="21"/>
              </w:rPr>
            </w:pPr>
            <w:r>
              <w:rPr>
                <w:sz w:val="21"/>
                <w:szCs w:val="21"/>
              </w:rPr>
              <w:t>3mg/kg</w:t>
            </w:r>
          </w:p>
        </w:tc>
      </w:tr>
      <w:tr w14:paraId="1D3EC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69">
            <w:pPr>
              <w:adjustRightInd/>
              <w:snapToGrid/>
              <w:spacing w:line="240" w:lineRule="auto"/>
              <w:ind w:firstLine="0" w:firstLineChars="0"/>
              <w:contextualSpacing/>
              <w:jc w:val="center"/>
              <w:rPr>
                <w:sz w:val="21"/>
                <w:szCs w:val="21"/>
              </w:rPr>
            </w:pPr>
            <w:r>
              <w:rPr>
                <w:sz w:val="21"/>
                <w:szCs w:val="21"/>
              </w:rPr>
              <w:t>四氯化碳</w:t>
            </w:r>
          </w:p>
        </w:tc>
        <w:tc>
          <w:tcPr>
            <w:tcW w:w="4072" w:type="dxa"/>
            <w:vMerge w:val="restart"/>
            <w:vAlign w:val="center"/>
          </w:tcPr>
          <w:p w14:paraId="1D3ECB6A">
            <w:pPr>
              <w:adjustRightInd/>
              <w:snapToGrid/>
              <w:spacing w:line="240" w:lineRule="auto"/>
              <w:ind w:firstLine="0" w:firstLineChars="0"/>
              <w:contextualSpacing/>
              <w:jc w:val="center"/>
              <w:rPr>
                <w:bCs/>
                <w:sz w:val="21"/>
                <w:szCs w:val="21"/>
              </w:rPr>
            </w:pPr>
            <w:r>
              <w:rPr>
                <w:bCs/>
                <w:sz w:val="21"/>
                <w:szCs w:val="21"/>
              </w:rPr>
              <w:t>土壤和沉积物 挥发性有机物的测定</w:t>
            </w:r>
          </w:p>
          <w:p w14:paraId="1D3ECB6B">
            <w:pPr>
              <w:adjustRightInd/>
              <w:snapToGrid/>
              <w:spacing w:line="240" w:lineRule="auto"/>
              <w:ind w:firstLine="0" w:firstLineChars="0"/>
              <w:contextualSpacing/>
              <w:jc w:val="center"/>
              <w:rPr>
                <w:bCs/>
                <w:sz w:val="21"/>
                <w:szCs w:val="21"/>
                <w:highlight w:val="yellow"/>
              </w:rPr>
            </w:pPr>
            <w:r>
              <w:rPr>
                <w:bCs/>
                <w:sz w:val="21"/>
                <w:szCs w:val="21"/>
              </w:rPr>
              <w:t>吹扫捕集/气相色谱-质谱法HJ605-2011</w:t>
            </w:r>
          </w:p>
        </w:tc>
        <w:tc>
          <w:tcPr>
            <w:tcW w:w="2037" w:type="dxa"/>
            <w:vMerge w:val="restart"/>
            <w:vAlign w:val="center"/>
          </w:tcPr>
          <w:p w14:paraId="34A528E5">
            <w:pPr>
              <w:adjustRightInd/>
              <w:snapToGrid/>
              <w:spacing w:line="240" w:lineRule="auto"/>
              <w:ind w:firstLine="0" w:firstLineChars="0"/>
              <w:contextualSpacing/>
              <w:jc w:val="center"/>
              <w:rPr>
                <w:sz w:val="21"/>
                <w:szCs w:val="21"/>
              </w:rPr>
            </w:pPr>
            <w:r>
              <w:rPr>
                <w:rFonts w:hint="eastAsia"/>
                <w:sz w:val="21"/>
                <w:szCs w:val="21"/>
              </w:rPr>
              <w:t>气质联用仪赛默飞</w:t>
            </w:r>
          </w:p>
          <w:p w14:paraId="1D3ECB6C">
            <w:pPr>
              <w:adjustRightInd/>
              <w:snapToGrid/>
              <w:spacing w:line="240" w:lineRule="auto"/>
              <w:ind w:firstLine="0" w:firstLineChars="0"/>
              <w:contextualSpacing/>
              <w:jc w:val="center"/>
              <w:rPr>
                <w:sz w:val="21"/>
                <w:szCs w:val="21"/>
                <w:highlight w:val="yellow"/>
              </w:rPr>
            </w:pPr>
            <w:r>
              <w:rPr>
                <w:sz w:val="21"/>
                <w:szCs w:val="21"/>
              </w:rPr>
              <w:t>1300-ISQ7000</w:t>
            </w:r>
          </w:p>
        </w:tc>
        <w:tc>
          <w:tcPr>
            <w:tcW w:w="1066" w:type="dxa"/>
            <w:vAlign w:val="center"/>
          </w:tcPr>
          <w:p w14:paraId="1D3ECB6D">
            <w:pPr>
              <w:adjustRightInd/>
              <w:snapToGrid/>
              <w:spacing w:line="240" w:lineRule="auto"/>
              <w:ind w:firstLine="0" w:firstLineChars="0"/>
              <w:contextualSpacing/>
              <w:jc w:val="center"/>
              <w:rPr>
                <w:bCs/>
                <w:sz w:val="21"/>
                <w:szCs w:val="21"/>
              </w:rPr>
            </w:pPr>
            <w:r>
              <w:rPr>
                <w:bCs/>
                <w:sz w:val="21"/>
                <w:szCs w:val="21"/>
              </w:rPr>
              <w:t>1.3μg/kg</w:t>
            </w:r>
          </w:p>
        </w:tc>
      </w:tr>
      <w:tr w14:paraId="1D3ECB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6F">
            <w:pPr>
              <w:adjustRightInd/>
              <w:snapToGrid/>
              <w:spacing w:line="240" w:lineRule="auto"/>
              <w:ind w:firstLine="0" w:firstLineChars="0"/>
              <w:contextualSpacing/>
              <w:jc w:val="center"/>
              <w:rPr>
                <w:sz w:val="21"/>
                <w:szCs w:val="21"/>
              </w:rPr>
            </w:pPr>
            <w:r>
              <w:rPr>
                <w:sz w:val="21"/>
                <w:szCs w:val="21"/>
              </w:rPr>
              <w:t>三氯甲烷</w:t>
            </w:r>
          </w:p>
        </w:tc>
        <w:tc>
          <w:tcPr>
            <w:tcW w:w="4072" w:type="dxa"/>
            <w:vMerge w:val="continue"/>
            <w:vAlign w:val="center"/>
          </w:tcPr>
          <w:p w14:paraId="1D3ECB71">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72">
            <w:pPr>
              <w:adjustRightInd/>
              <w:snapToGrid/>
              <w:spacing w:line="240" w:lineRule="auto"/>
              <w:ind w:firstLine="0" w:firstLineChars="0"/>
              <w:contextualSpacing/>
              <w:jc w:val="center"/>
              <w:rPr>
                <w:sz w:val="21"/>
                <w:szCs w:val="21"/>
                <w:highlight w:val="yellow"/>
              </w:rPr>
            </w:pPr>
          </w:p>
        </w:tc>
        <w:tc>
          <w:tcPr>
            <w:tcW w:w="1066" w:type="dxa"/>
            <w:vAlign w:val="center"/>
          </w:tcPr>
          <w:p w14:paraId="1D3ECB73">
            <w:pPr>
              <w:adjustRightInd/>
              <w:snapToGrid/>
              <w:spacing w:line="240" w:lineRule="auto"/>
              <w:ind w:firstLine="0" w:firstLineChars="0"/>
              <w:contextualSpacing/>
              <w:jc w:val="center"/>
              <w:rPr>
                <w:bCs/>
                <w:sz w:val="21"/>
                <w:szCs w:val="21"/>
              </w:rPr>
            </w:pPr>
            <w:r>
              <w:rPr>
                <w:bCs/>
                <w:sz w:val="21"/>
                <w:szCs w:val="21"/>
              </w:rPr>
              <w:t>1.1μg/kg</w:t>
            </w:r>
          </w:p>
        </w:tc>
      </w:tr>
      <w:tr w14:paraId="1D3EC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75">
            <w:pPr>
              <w:adjustRightInd/>
              <w:snapToGrid/>
              <w:spacing w:line="240" w:lineRule="auto"/>
              <w:ind w:firstLine="0" w:firstLineChars="0"/>
              <w:contextualSpacing/>
              <w:jc w:val="center"/>
              <w:rPr>
                <w:sz w:val="21"/>
                <w:szCs w:val="21"/>
              </w:rPr>
            </w:pPr>
            <w:r>
              <w:rPr>
                <w:sz w:val="21"/>
                <w:szCs w:val="21"/>
              </w:rPr>
              <w:t>氯甲烷</w:t>
            </w:r>
          </w:p>
        </w:tc>
        <w:tc>
          <w:tcPr>
            <w:tcW w:w="4072" w:type="dxa"/>
            <w:vMerge w:val="continue"/>
            <w:vAlign w:val="center"/>
          </w:tcPr>
          <w:p w14:paraId="1D3ECB77">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78">
            <w:pPr>
              <w:adjustRightInd/>
              <w:snapToGrid/>
              <w:spacing w:line="240" w:lineRule="auto"/>
              <w:ind w:firstLine="0" w:firstLineChars="0"/>
              <w:contextualSpacing/>
              <w:jc w:val="center"/>
              <w:rPr>
                <w:sz w:val="21"/>
                <w:szCs w:val="21"/>
                <w:highlight w:val="yellow"/>
              </w:rPr>
            </w:pPr>
          </w:p>
        </w:tc>
        <w:tc>
          <w:tcPr>
            <w:tcW w:w="1066" w:type="dxa"/>
            <w:vAlign w:val="center"/>
          </w:tcPr>
          <w:p w14:paraId="1D3ECB79">
            <w:pPr>
              <w:adjustRightInd/>
              <w:snapToGrid/>
              <w:spacing w:line="240" w:lineRule="auto"/>
              <w:ind w:firstLine="0" w:firstLineChars="0"/>
              <w:contextualSpacing/>
              <w:jc w:val="center"/>
              <w:rPr>
                <w:bCs/>
                <w:sz w:val="21"/>
                <w:szCs w:val="21"/>
              </w:rPr>
            </w:pPr>
            <w:r>
              <w:rPr>
                <w:bCs/>
                <w:sz w:val="21"/>
                <w:szCs w:val="21"/>
              </w:rPr>
              <w:t>1.0μg/kg</w:t>
            </w:r>
          </w:p>
        </w:tc>
      </w:tr>
      <w:tr w14:paraId="1D3EC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7B">
            <w:pPr>
              <w:adjustRightInd/>
              <w:snapToGrid/>
              <w:spacing w:line="240" w:lineRule="auto"/>
              <w:ind w:firstLine="0" w:firstLineChars="0"/>
              <w:contextualSpacing/>
              <w:jc w:val="center"/>
              <w:rPr>
                <w:sz w:val="21"/>
                <w:szCs w:val="21"/>
              </w:rPr>
            </w:pPr>
            <w:r>
              <w:rPr>
                <w:sz w:val="21"/>
                <w:szCs w:val="21"/>
              </w:rPr>
              <w:t>1,1-二氯乙烷</w:t>
            </w:r>
          </w:p>
        </w:tc>
        <w:tc>
          <w:tcPr>
            <w:tcW w:w="4072" w:type="dxa"/>
            <w:vMerge w:val="continue"/>
            <w:vAlign w:val="center"/>
          </w:tcPr>
          <w:p w14:paraId="1D3ECB7D">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7E">
            <w:pPr>
              <w:adjustRightInd/>
              <w:snapToGrid/>
              <w:spacing w:line="240" w:lineRule="auto"/>
              <w:ind w:firstLine="0" w:firstLineChars="0"/>
              <w:contextualSpacing/>
              <w:jc w:val="center"/>
              <w:rPr>
                <w:sz w:val="21"/>
                <w:szCs w:val="21"/>
                <w:highlight w:val="yellow"/>
              </w:rPr>
            </w:pPr>
          </w:p>
        </w:tc>
        <w:tc>
          <w:tcPr>
            <w:tcW w:w="1066" w:type="dxa"/>
            <w:vAlign w:val="center"/>
          </w:tcPr>
          <w:p w14:paraId="1D3ECB7F">
            <w:pPr>
              <w:adjustRightInd/>
              <w:snapToGrid/>
              <w:spacing w:line="240" w:lineRule="auto"/>
              <w:ind w:firstLine="0" w:firstLineChars="0"/>
              <w:contextualSpacing/>
              <w:jc w:val="center"/>
              <w:rPr>
                <w:bCs/>
                <w:sz w:val="21"/>
                <w:szCs w:val="21"/>
              </w:rPr>
            </w:pPr>
            <w:r>
              <w:rPr>
                <w:bCs/>
                <w:sz w:val="21"/>
                <w:szCs w:val="21"/>
              </w:rPr>
              <w:t>1.2μg/kg</w:t>
            </w:r>
          </w:p>
        </w:tc>
      </w:tr>
      <w:tr w14:paraId="1D3EC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81">
            <w:pPr>
              <w:adjustRightInd/>
              <w:snapToGrid/>
              <w:spacing w:line="240" w:lineRule="auto"/>
              <w:ind w:firstLine="0" w:firstLineChars="0"/>
              <w:contextualSpacing/>
              <w:jc w:val="center"/>
              <w:rPr>
                <w:sz w:val="21"/>
                <w:szCs w:val="21"/>
              </w:rPr>
            </w:pPr>
            <w:r>
              <w:rPr>
                <w:sz w:val="21"/>
                <w:szCs w:val="21"/>
              </w:rPr>
              <w:t>1,2-二氯乙烷</w:t>
            </w:r>
          </w:p>
        </w:tc>
        <w:tc>
          <w:tcPr>
            <w:tcW w:w="4072" w:type="dxa"/>
            <w:vMerge w:val="continue"/>
            <w:vAlign w:val="center"/>
          </w:tcPr>
          <w:p w14:paraId="1D3ECB83">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84">
            <w:pPr>
              <w:adjustRightInd/>
              <w:snapToGrid/>
              <w:spacing w:line="240" w:lineRule="auto"/>
              <w:ind w:firstLine="0" w:firstLineChars="0"/>
              <w:contextualSpacing/>
              <w:jc w:val="center"/>
              <w:rPr>
                <w:sz w:val="21"/>
                <w:szCs w:val="21"/>
                <w:highlight w:val="yellow"/>
              </w:rPr>
            </w:pPr>
          </w:p>
        </w:tc>
        <w:tc>
          <w:tcPr>
            <w:tcW w:w="1066" w:type="dxa"/>
            <w:vAlign w:val="center"/>
          </w:tcPr>
          <w:p w14:paraId="1D3ECB85">
            <w:pPr>
              <w:adjustRightInd/>
              <w:snapToGrid/>
              <w:spacing w:line="240" w:lineRule="auto"/>
              <w:ind w:firstLine="0" w:firstLineChars="0"/>
              <w:contextualSpacing/>
              <w:jc w:val="center"/>
              <w:rPr>
                <w:bCs/>
                <w:sz w:val="21"/>
                <w:szCs w:val="21"/>
              </w:rPr>
            </w:pPr>
            <w:r>
              <w:rPr>
                <w:bCs/>
                <w:sz w:val="21"/>
                <w:szCs w:val="21"/>
              </w:rPr>
              <w:t>1.3μg/kg</w:t>
            </w:r>
          </w:p>
        </w:tc>
      </w:tr>
      <w:tr w14:paraId="1D3ECB8C">
        <w:tblPrEx>
          <w:tblCellMar>
            <w:top w:w="0" w:type="dxa"/>
            <w:left w:w="28" w:type="dxa"/>
            <w:bottom w:w="0" w:type="dxa"/>
            <w:right w:w="28" w:type="dxa"/>
          </w:tblCellMar>
        </w:tblPrEx>
        <w:trPr>
          <w:trHeight w:val="454" w:hRule="atLeast"/>
        </w:trPr>
        <w:tc>
          <w:tcPr>
            <w:tcW w:w="1117" w:type="dxa"/>
            <w:vAlign w:val="center"/>
          </w:tcPr>
          <w:p w14:paraId="1D3ECB87">
            <w:pPr>
              <w:adjustRightInd/>
              <w:snapToGrid/>
              <w:spacing w:line="240" w:lineRule="auto"/>
              <w:ind w:firstLine="0" w:firstLineChars="0"/>
              <w:contextualSpacing/>
              <w:jc w:val="center"/>
              <w:rPr>
                <w:sz w:val="21"/>
                <w:szCs w:val="21"/>
              </w:rPr>
            </w:pPr>
            <w:r>
              <w:rPr>
                <w:sz w:val="21"/>
                <w:szCs w:val="21"/>
              </w:rPr>
              <w:t>1,1-二氯乙烯</w:t>
            </w:r>
          </w:p>
        </w:tc>
        <w:tc>
          <w:tcPr>
            <w:tcW w:w="4072" w:type="dxa"/>
            <w:vMerge w:val="continue"/>
            <w:vAlign w:val="center"/>
          </w:tcPr>
          <w:p w14:paraId="1D3ECB89">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8A">
            <w:pPr>
              <w:adjustRightInd/>
              <w:snapToGrid/>
              <w:spacing w:line="240" w:lineRule="auto"/>
              <w:ind w:firstLine="0" w:firstLineChars="0"/>
              <w:contextualSpacing/>
              <w:jc w:val="center"/>
              <w:rPr>
                <w:sz w:val="21"/>
                <w:szCs w:val="21"/>
                <w:highlight w:val="yellow"/>
              </w:rPr>
            </w:pPr>
          </w:p>
        </w:tc>
        <w:tc>
          <w:tcPr>
            <w:tcW w:w="1066" w:type="dxa"/>
            <w:vAlign w:val="center"/>
          </w:tcPr>
          <w:p w14:paraId="1D3ECB8B">
            <w:pPr>
              <w:adjustRightInd/>
              <w:snapToGrid/>
              <w:spacing w:line="240" w:lineRule="auto"/>
              <w:ind w:firstLine="0" w:firstLineChars="0"/>
              <w:contextualSpacing/>
              <w:jc w:val="center"/>
              <w:rPr>
                <w:bCs/>
                <w:sz w:val="21"/>
                <w:szCs w:val="21"/>
              </w:rPr>
            </w:pPr>
            <w:r>
              <w:rPr>
                <w:bCs/>
                <w:sz w:val="21"/>
                <w:szCs w:val="21"/>
              </w:rPr>
              <w:t>1.0μg/kg</w:t>
            </w:r>
          </w:p>
        </w:tc>
      </w:tr>
      <w:tr w14:paraId="1D3EC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8D">
            <w:pPr>
              <w:adjustRightInd/>
              <w:snapToGrid/>
              <w:spacing w:line="240" w:lineRule="auto"/>
              <w:ind w:firstLine="0" w:firstLineChars="0"/>
              <w:contextualSpacing/>
              <w:jc w:val="center"/>
              <w:rPr>
                <w:sz w:val="21"/>
                <w:szCs w:val="21"/>
              </w:rPr>
            </w:pPr>
            <w:r>
              <w:rPr>
                <w:sz w:val="21"/>
                <w:szCs w:val="21"/>
              </w:rPr>
              <w:t>顺-1,2-二氯乙烯</w:t>
            </w:r>
          </w:p>
        </w:tc>
        <w:tc>
          <w:tcPr>
            <w:tcW w:w="4072" w:type="dxa"/>
            <w:vMerge w:val="continue"/>
            <w:vAlign w:val="center"/>
          </w:tcPr>
          <w:p w14:paraId="1D3ECB8F">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90">
            <w:pPr>
              <w:adjustRightInd/>
              <w:snapToGrid/>
              <w:spacing w:line="240" w:lineRule="auto"/>
              <w:ind w:firstLine="0" w:firstLineChars="0"/>
              <w:contextualSpacing/>
              <w:jc w:val="center"/>
              <w:rPr>
                <w:sz w:val="21"/>
                <w:szCs w:val="21"/>
                <w:highlight w:val="yellow"/>
              </w:rPr>
            </w:pPr>
          </w:p>
        </w:tc>
        <w:tc>
          <w:tcPr>
            <w:tcW w:w="1066" w:type="dxa"/>
            <w:vAlign w:val="center"/>
          </w:tcPr>
          <w:p w14:paraId="1D3ECB91">
            <w:pPr>
              <w:adjustRightInd/>
              <w:snapToGrid/>
              <w:spacing w:line="240" w:lineRule="auto"/>
              <w:ind w:firstLine="0" w:firstLineChars="0"/>
              <w:contextualSpacing/>
              <w:jc w:val="center"/>
              <w:rPr>
                <w:bCs/>
                <w:sz w:val="21"/>
                <w:szCs w:val="21"/>
              </w:rPr>
            </w:pPr>
            <w:r>
              <w:rPr>
                <w:bCs/>
                <w:sz w:val="21"/>
                <w:szCs w:val="21"/>
              </w:rPr>
              <w:t>1.3μg/kg</w:t>
            </w:r>
          </w:p>
        </w:tc>
      </w:tr>
      <w:tr w14:paraId="1D3EC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93">
            <w:pPr>
              <w:adjustRightInd/>
              <w:snapToGrid/>
              <w:spacing w:line="240" w:lineRule="auto"/>
              <w:ind w:firstLine="0" w:firstLineChars="0"/>
              <w:contextualSpacing/>
              <w:jc w:val="center"/>
              <w:rPr>
                <w:sz w:val="21"/>
                <w:szCs w:val="21"/>
              </w:rPr>
            </w:pPr>
            <w:r>
              <w:rPr>
                <w:sz w:val="21"/>
                <w:szCs w:val="21"/>
              </w:rPr>
              <w:t>反-1,2-二氯乙烯</w:t>
            </w:r>
          </w:p>
        </w:tc>
        <w:tc>
          <w:tcPr>
            <w:tcW w:w="4072" w:type="dxa"/>
            <w:vMerge w:val="continue"/>
            <w:vAlign w:val="center"/>
          </w:tcPr>
          <w:p w14:paraId="1D3ECB95">
            <w:pPr>
              <w:adjustRightInd/>
              <w:snapToGrid/>
              <w:spacing w:line="240" w:lineRule="auto"/>
              <w:ind w:firstLine="0" w:firstLineChars="0"/>
              <w:contextualSpacing/>
              <w:jc w:val="center"/>
              <w:rPr>
                <w:bCs/>
                <w:sz w:val="21"/>
                <w:szCs w:val="21"/>
                <w:highlight w:val="yellow"/>
              </w:rPr>
            </w:pPr>
          </w:p>
        </w:tc>
        <w:tc>
          <w:tcPr>
            <w:tcW w:w="2037" w:type="dxa"/>
            <w:vMerge w:val="continue"/>
            <w:vAlign w:val="center"/>
          </w:tcPr>
          <w:p w14:paraId="1D3ECB96">
            <w:pPr>
              <w:adjustRightInd/>
              <w:snapToGrid/>
              <w:spacing w:line="240" w:lineRule="auto"/>
              <w:ind w:firstLine="0" w:firstLineChars="0"/>
              <w:contextualSpacing/>
              <w:jc w:val="center"/>
              <w:rPr>
                <w:sz w:val="21"/>
                <w:szCs w:val="21"/>
                <w:highlight w:val="yellow"/>
              </w:rPr>
            </w:pPr>
          </w:p>
        </w:tc>
        <w:tc>
          <w:tcPr>
            <w:tcW w:w="1066" w:type="dxa"/>
            <w:vAlign w:val="center"/>
          </w:tcPr>
          <w:p w14:paraId="1D3ECB97">
            <w:pPr>
              <w:adjustRightInd/>
              <w:snapToGrid/>
              <w:spacing w:line="240" w:lineRule="auto"/>
              <w:ind w:firstLine="0" w:firstLineChars="0"/>
              <w:contextualSpacing/>
              <w:jc w:val="center"/>
              <w:rPr>
                <w:bCs/>
                <w:sz w:val="21"/>
                <w:szCs w:val="21"/>
              </w:rPr>
            </w:pPr>
            <w:r>
              <w:rPr>
                <w:bCs/>
                <w:sz w:val="21"/>
                <w:szCs w:val="21"/>
              </w:rPr>
              <w:t>1.4μg/kg</w:t>
            </w:r>
          </w:p>
        </w:tc>
      </w:tr>
      <w:tr w14:paraId="1D3EC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99">
            <w:pPr>
              <w:adjustRightInd/>
              <w:snapToGrid/>
              <w:spacing w:line="240" w:lineRule="auto"/>
              <w:ind w:firstLine="0" w:firstLineChars="0"/>
              <w:contextualSpacing/>
              <w:jc w:val="center"/>
              <w:rPr>
                <w:rFonts w:eastAsiaTheme="minorEastAsia"/>
                <w:sz w:val="21"/>
                <w:szCs w:val="21"/>
              </w:rPr>
            </w:pPr>
            <w:r>
              <w:rPr>
                <w:sz w:val="21"/>
                <w:szCs w:val="21"/>
              </w:rPr>
              <w:t>二氯甲烷</w:t>
            </w:r>
          </w:p>
        </w:tc>
        <w:tc>
          <w:tcPr>
            <w:tcW w:w="4072" w:type="dxa"/>
            <w:vMerge w:val="continue"/>
            <w:vAlign w:val="center"/>
          </w:tcPr>
          <w:p w14:paraId="1D3ECB9B">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9C">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9D">
            <w:pPr>
              <w:adjustRightInd/>
              <w:snapToGrid/>
              <w:spacing w:line="240" w:lineRule="auto"/>
              <w:ind w:firstLine="0" w:firstLineChars="0"/>
              <w:contextualSpacing/>
              <w:jc w:val="center"/>
              <w:rPr>
                <w:rFonts w:eastAsiaTheme="minorEastAsia"/>
                <w:bCs/>
                <w:sz w:val="21"/>
                <w:szCs w:val="21"/>
              </w:rPr>
            </w:pPr>
            <w:r>
              <w:rPr>
                <w:bCs/>
                <w:sz w:val="21"/>
                <w:szCs w:val="21"/>
              </w:rPr>
              <w:t>1.5μg/kg</w:t>
            </w:r>
          </w:p>
        </w:tc>
      </w:tr>
      <w:tr w14:paraId="1D3EC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9F">
            <w:pPr>
              <w:adjustRightInd/>
              <w:snapToGrid/>
              <w:spacing w:line="240" w:lineRule="auto"/>
              <w:ind w:firstLine="0" w:firstLineChars="0"/>
              <w:contextualSpacing/>
              <w:jc w:val="center"/>
              <w:rPr>
                <w:rFonts w:eastAsiaTheme="minorEastAsia"/>
                <w:sz w:val="21"/>
                <w:szCs w:val="21"/>
              </w:rPr>
            </w:pPr>
            <w:r>
              <w:rPr>
                <w:sz w:val="21"/>
                <w:szCs w:val="21"/>
              </w:rPr>
              <w:t>1,2-二氯丙烷</w:t>
            </w:r>
          </w:p>
        </w:tc>
        <w:tc>
          <w:tcPr>
            <w:tcW w:w="4072" w:type="dxa"/>
            <w:vMerge w:val="continue"/>
            <w:vAlign w:val="center"/>
          </w:tcPr>
          <w:p w14:paraId="1D3ECBA1">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A2">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A3">
            <w:pPr>
              <w:adjustRightInd/>
              <w:snapToGrid/>
              <w:spacing w:line="240" w:lineRule="auto"/>
              <w:ind w:firstLine="0" w:firstLineChars="0"/>
              <w:contextualSpacing/>
              <w:jc w:val="center"/>
              <w:rPr>
                <w:rFonts w:eastAsiaTheme="minorEastAsia"/>
                <w:bCs/>
                <w:sz w:val="21"/>
                <w:szCs w:val="21"/>
              </w:rPr>
            </w:pPr>
            <w:r>
              <w:rPr>
                <w:bCs/>
                <w:sz w:val="21"/>
                <w:szCs w:val="21"/>
              </w:rPr>
              <w:t>1.1μg/kg</w:t>
            </w:r>
          </w:p>
        </w:tc>
      </w:tr>
      <w:tr w14:paraId="1D3EC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A5">
            <w:pPr>
              <w:adjustRightInd/>
              <w:snapToGrid/>
              <w:spacing w:line="240" w:lineRule="auto"/>
              <w:ind w:firstLine="0" w:firstLineChars="0"/>
              <w:contextualSpacing/>
              <w:jc w:val="center"/>
              <w:rPr>
                <w:rFonts w:eastAsiaTheme="minorEastAsia"/>
                <w:sz w:val="21"/>
                <w:szCs w:val="21"/>
              </w:rPr>
            </w:pPr>
            <w:r>
              <w:rPr>
                <w:sz w:val="21"/>
                <w:szCs w:val="21"/>
              </w:rPr>
              <w:t>1,1,1,2-四氯乙烷</w:t>
            </w:r>
          </w:p>
        </w:tc>
        <w:tc>
          <w:tcPr>
            <w:tcW w:w="4072" w:type="dxa"/>
            <w:vMerge w:val="continue"/>
            <w:vAlign w:val="center"/>
          </w:tcPr>
          <w:p w14:paraId="1D3ECBA7">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A8">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A9">
            <w:pPr>
              <w:adjustRightInd/>
              <w:snapToGrid/>
              <w:spacing w:line="240" w:lineRule="auto"/>
              <w:ind w:firstLine="0" w:firstLineChars="0"/>
              <w:contextualSpacing/>
              <w:jc w:val="center"/>
              <w:rPr>
                <w:rFonts w:eastAsiaTheme="minorEastAsia"/>
                <w:bCs/>
                <w:sz w:val="21"/>
                <w:szCs w:val="21"/>
              </w:rPr>
            </w:pPr>
            <w:r>
              <w:rPr>
                <w:bCs/>
                <w:sz w:val="21"/>
                <w:szCs w:val="21"/>
              </w:rPr>
              <w:t>1.2μg/kg</w:t>
            </w:r>
          </w:p>
        </w:tc>
      </w:tr>
      <w:tr w14:paraId="1D3EC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AB">
            <w:pPr>
              <w:adjustRightInd/>
              <w:snapToGrid/>
              <w:spacing w:line="240" w:lineRule="auto"/>
              <w:ind w:firstLine="0" w:firstLineChars="0"/>
              <w:contextualSpacing/>
              <w:jc w:val="center"/>
              <w:rPr>
                <w:rFonts w:eastAsiaTheme="minorEastAsia"/>
                <w:sz w:val="21"/>
                <w:szCs w:val="21"/>
              </w:rPr>
            </w:pPr>
            <w:r>
              <w:rPr>
                <w:sz w:val="21"/>
                <w:szCs w:val="21"/>
              </w:rPr>
              <w:t>1,1,2,2-四氯乙烷</w:t>
            </w:r>
          </w:p>
        </w:tc>
        <w:tc>
          <w:tcPr>
            <w:tcW w:w="4072" w:type="dxa"/>
            <w:vMerge w:val="continue"/>
            <w:vAlign w:val="center"/>
          </w:tcPr>
          <w:p w14:paraId="1D3ECBAD">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AE">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AF">
            <w:pPr>
              <w:adjustRightInd/>
              <w:snapToGrid/>
              <w:spacing w:line="240" w:lineRule="auto"/>
              <w:ind w:firstLine="0" w:firstLineChars="0"/>
              <w:contextualSpacing/>
              <w:jc w:val="center"/>
              <w:rPr>
                <w:rFonts w:eastAsiaTheme="minorEastAsia"/>
                <w:bCs/>
                <w:sz w:val="21"/>
                <w:szCs w:val="21"/>
              </w:rPr>
            </w:pPr>
            <w:r>
              <w:rPr>
                <w:bCs/>
                <w:sz w:val="21"/>
                <w:szCs w:val="21"/>
              </w:rPr>
              <w:t>1.2μg/kg</w:t>
            </w:r>
          </w:p>
        </w:tc>
      </w:tr>
      <w:tr w14:paraId="1D3EC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B1">
            <w:pPr>
              <w:adjustRightInd/>
              <w:snapToGrid/>
              <w:spacing w:line="240" w:lineRule="auto"/>
              <w:ind w:firstLine="0" w:firstLineChars="0"/>
              <w:contextualSpacing/>
              <w:jc w:val="center"/>
              <w:rPr>
                <w:rFonts w:eastAsiaTheme="minorEastAsia"/>
                <w:sz w:val="21"/>
                <w:szCs w:val="21"/>
              </w:rPr>
            </w:pPr>
            <w:r>
              <w:rPr>
                <w:sz w:val="21"/>
                <w:szCs w:val="21"/>
              </w:rPr>
              <w:t>四氯乙烯</w:t>
            </w:r>
          </w:p>
        </w:tc>
        <w:tc>
          <w:tcPr>
            <w:tcW w:w="4072" w:type="dxa"/>
            <w:vMerge w:val="continue"/>
            <w:vAlign w:val="center"/>
          </w:tcPr>
          <w:p w14:paraId="1D3ECBB3">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B4">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B5">
            <w:pPr>
              <w:adjustRightInd/>
              <w:snapToGrid/>
              <w:spacing w:line="240" w:lineRule="auto"/>
              <w:ind w:firstLine="0" w:firstLineChars="0"/>
              <w:contextualSpacing/>
              <w:jc w:val="center"/>
              <w:rPr>
                <w:rFonts w:eastAsiaTheme="minorEastAsia"/>
                <w:bCs/>
                <w:sz w:val="21"/>
                <w:szCs w:val="21"/>
              </w:rPr>
            </w:pPr>
            <w:r>
              <w:rPr>
                <w:bCs/>
                <w:sz w:val="21"/>
                <w:szCs w:val="21"/>
              </w:rPr>
              <w:t>1.4μg/kg</w:t>
            </w:r>
          </w:p>
        </w:tc>
      </w:tr>
      <w:tr w14:paraId="1D3EC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B7">
            <w:pPr>
              <w:adjustRightInd/>
              <w:snapToGrid/>
              <w:spacing w:line="240" w:lineRule="auto"/>
              <w:ind w:firstLine="0" w:firstLineChars="0"/>
              <w:contextualSpacing/>
              <w:jc w:val="center"/>
              <w:rPr>
                <w:rFonts w:eastAsiaTheme="minorEastAsia"/>
                <w:sz w:val="21"/>
                <w:szCs w:val="21"/>
              </w:rPr>
            </w:pPr>
            <w:r>
              <w:rPr>
                <w:sz w:val="21"/>
                <w:szCs w:val="21"/>
              </w:rPr>
              <w:t>1,1,1-三氯乙烷</w:t>
            </w:r>
          </w:p>
        </w:tc>
        <w:tc>
          <w:tcPr>
            <w:tcW w:w="4072" w:type="dxa"/>
            <w:vMerge w:val="continue"/>
            <w:vAlign w:val="center"/>
          </w:tcPr>
          <w:p w14:paraId="1D3ECBB9">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BA">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BB">
            <w:pPr>
              <w:adjustRightInd/>
              <w:snapToGrid/>
              <w:spacing w:line="240" w:lineRule="auto"/>
              <w:ind w:firstLine="0" w:firstLineChars="0"/>
              <w:contextualSpacing/>
              <w:jc w:val="center"/>
              <w:rPr>
                <w:rFonts w:eastAsiaTheme="minorEastAsia"/>
                <w:bCs/>
                <w:sz w:val="21"/>
                <w:szCs w:val="21"/>
              </w:rPr>
            </w:pPr>
            <w:r>
              <w:rPr>
                <w:bCs/>
                <w:sz w:val="21"/>
                <w:szCs w:val="21"/>
              </w:rPr>
              <w:t>1.3μg/kg</w:t>
            </w:r>
          </w:p>
        </w:tc>
      </w:tr>
      <w:tr w14:paraId="1D3EC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BD">
            <w:pPr>
              <w:adjustRightInd/>
              <w:snapToGrid/>
              <w:spacing w:line="240" w:lineRule="auto"/>
              <w:ind w:firstLine="0" w:firstLineChars="0"/>
              <w:contextualSpacing/>
              <w:jc w:val="center"/>
              <w:rPr>
                <w:rFonts w:eastAsiaTheme="minorEastAsia"/>
                <w:sz w:val="21"/>
                <w:szCs w:val="21"/>
              </w:rPr>
            </w:pPr>
            <w:r>
              <w:rPr>
                <w:sz w:val="21"/>
                <w:szCs w:val="21"/>
              </w:rPr>
              <w:t>1,1,2-三氯乙烷</w:t>
            </w:r>
          </w:p>
        </w:tc>
        <w:tc>
          <w:tcPr>
            <w:tcW w:w="4072" w:type="dxa"/>
            <w:vMerge w:val="continue"/>
            <w:vAlign w:val="center"/>
          </w:tcPr>
          <w:p w14:paraId="1D3ECBBF">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C0">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C1">
            <w:pPr>
              <w:adjustRightInd/>
              <w:snapToGrid/>
              <w:spacing w:line="240" w:lineRule="auto"/>
              <w:ind w:firstLine="0" w:firstLineChars="0"/>
              <w:contextualSpacing/>
              <w:jc w:val="center"/>
              <w:rPr>
                <w:rFonts w:eastAsiaTheme="minorEastAsia"/>
                <w:bCs/>
                <w:sz w:val="21"/>
                <w:szCs w:val="21"/>
              </w:rPr>
            </w:pPr>
            <w:r>
              <w:rPr>
                <w:bCs/>
                <w:sz w:val="21"/>
                <w:szCs w:val="21"/>
              </w:rPr>
              <w:t>1.2μg/kg</w:t>
            </w:r>
          </w:p>
        </w:tc>
      </w:tr>
      <w:tr w14:paraId="1D3EC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C3">
            <w:pPr>
              <w:adjustRightInd/>
              <w:snapToGrid/>
              <w:spacing w:line="240" w:lineRule="auto"/>
              <w:ind w:firstLine="0" w:firstLineChars="0"/>
              <w:contextualSpacing/>
              <w:jc w:val="center"/>
              <w:rPr>
                <w:rFonts w:eastAsiaTheme="minorEastAsia"/>
                <w:sz w:val="21"/>
                <w:szCs w:val="21"/>
              </w:rPr>
            </w:pPr>
            <w:r>
              <w:rPr>
                <w:sz w:val="21"/>
                <w:szCs w:val="21"/>
              </w:rPr>
              <w:t>三氯乙烯</w:t>
            </w:r>
          </w:p>
        </w:tc>
        <w:tc>
          <w:tcPr>
            <w:tcW w:w="4072" w:type="dxa"/>
            <w:vMerge w:val="continue"/>
            <w:vAlign w:val="center"/>
          </w:tcPr>
          <w:p w14:paraId="1D3ECBC5">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C6">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C7">
            <w:pPr>
              <w:adjustRightInd/>
              <w:snapToGrid/>
              <w:spacing w:line="240" w:lineRule="auto"/>
              <w:ind w:firstLine="0" w:firstLineChars="0"/>
              <w:contextualSpacing/>
              <w:jc w:val="center"/>
              <w:rPr>
                <w:rFonts w:eastAsiaTheme="minorEastAsia"/>
                <w:bCs/>
                <w:sz w:val="21"/>
                <w:szCs w:val="21"/>
              </w:rPr>
            </w:pPr>
            <w:r>
              <w:rPr>
                <w:bCs/>
                <w:sz w:val="21"/>
                <w:szCs w:val="21"/>
              </w:rPr>
              <w:t>1.2μg/kg</w:t>
            </w:r>
          </w:p>
        </w:tc>
      </w:tr>
      <w:tr w14:paraId="1D3EC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C9">
            <w:pPr>
              <w:adjustRightInd/>
              <w:snapToGrid/>
              <w:spacing w:line="240" w:lineRule="auto"/>
              <w:ind w:firstLine="0" w:firstLineChars="0"/>
              <w:contextualSpacing/>
              <w:jc w:val="center"/>
              <w:rPr>
                <w:rFonts w:eastAsiaTheme="minorEastAsia"/>
                <w:sz w:val="21"/>
                <w:szCs w:val="21"/>
              </w:rPr>
            </w:pPr>
            <w:r>
              <w:rPr>
                <w:sz w:val="21"/>
                <w:szCs w:val="21"/>
              </w:rPr>
              <w:t>1,2,3-三氯丙烷</w:t>
            </w:r>
          </w:p>
        </w:tc>
        <w:tc>
          <w:tcPr>
            <w:tcW w:w="4072" w:type="dxa"/>
            <w:vMerge w:val="continue"/>
            <w:vAlign w:val="center"/>
          </w:tcPr>
          <w:p w14:paraId="1D3ECBCB">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CC">
            <w:pPr>
              <w:adjustRightInd/>
              <w:snapToGrid/>
              <w:spacing w:line="240" w:lineRule="auto"/>
              <w:ind w:firstLine="0" w:firstLineChars="0"/>
              <w:contextualSpacing/>
              <w:jc w:val="center"/>
              <w:rPr>
                <w:sz w:val="21"/>
                <w:szCs w:val="21"/>
                <w:highlight w:val="yellow"/>
              </w:rPr>
            </w:pPr>
          </w:p>
        </w:tc>
        <w:tc>
          <w:tcPr>
            <w:tcW w:w="1066" w:type="dxa"/>
            <w:vAlign w:val="center"/>
          </w:tcPr>
          <w:p w14:paraId="1D3ECBCD">
            <w:pPr>
              <w:adjustRightInd/>
              <w:snapToGrid/>
              <w:spacing w:line="240" w:lineRule="auto"/>
              <w:ind w:firstLine="0" w:firstLineChars="0"/>
              <w:contextualSpacing/>
              <w:jc w:val="center"/>
              <w:rPr>
                <w:rFonts w:eastAsiaTheme="minorEastAsia"/>
                <w:bCs/>
                <w:sz w:val="21"/>
                <w:szCs w:val="21"/>
              </w:rPr>
            </w:pPr>
            <w:r>
              <w:rPr>
                <w:bCs/>
                <w:sz w:val="21"/>
                <w:szCs w:val="21"/>
              </w:rPr>
              <w:t>1.2μg/kg</w:t>
            </w:r>
          </w:p>
        </w:tc>
      </w:tr>
      <w:tr w14:paraId="1D3EC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CF">
            <w:pPr>
              <w:adjustRightInd/>
              <w:snapToGrid/>
              <w:spacing w:line="240" w:lineRule="auto"/>
              <w:ind w:firstLine="0" w:firstLineChars="0"/>
              <w:contextualSpacing/>
              <w:jc w:val="center"/>
              <w:rPr>
                <w:rFonts w:eastAsiaTheme="minorEastAsia"/>
                <w:sz w:val="21"/>
                <w:szCs w:val="21"/>
              </w:rPr>
            </w:pPr>
            <w:r>
              <w:rPr>
                <w:sz w:val="21"/>
                <w:szCs w:val="21"/>
              </w:rPr>
              <w:t>氯乙烯</w:t>
            </w:r>
          </w:p>
        </w:tc>
        <w:tc>
          <w:tcPr>
            <w:tcW w:w="4072" w:type="dxa"/>
            <w:vMerge w:val="continue"/>
            <w:vAlign w:val="center"/>
          </w:tcPr>
          <w:p w14:paraId="1D3ECBD1">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D2">
            <w:pPr>
              <w:adjustRightInd/>
              <w:snapToGrid/>
              <w:spacing w:line="240" w:lineRule="auto"/>
              <w:ind w:firstLine="0" w:firstLineChars="0"/>
              <w:contextualSpacing/>
              <w:jc w:val="center"/>
              <w:rPr>
                <w:sz w:val="21"/>
                <w:szCs w:val="21"/>
                <w:highlight w:val="yellow"/>
              </w:rPr>
            </w:pPr>
          </w:p>
        </w:tc>
        <w:tc>
          <w:tcPr>
            <w:tcW w:w="1066" w:type="dxa"/>
            <w:vAlign w:val="center"/>
          </w:tcPr>
          <w:p w14:paraId="1D3ECBD3">
            <w:pPr>
              <w:adjustRightInd/>
              <w:snapToGrid/>
              <w:spacing w:line="240" w:lineRule="auto"/>
              <w:ind w:firstLine="0" w:firstLineChars="0"/>
              <w:contextualSpacing/>
              <w:jc w:val="center"/>
              <w:rPr>
                <w:rFonts w:eastAsiaTheme="minorEastAsia"/>
                <w:bCs/>
                <w:sz w:val="21"/>
                <w:szCs w:val="21"/>
              </w:rPr>
            </w:pPr>
            <w:r>
              <w:rPr>
                <w:bCs/>
                <w:sz w:val="21"/>
                <w:szCs w:val="21"/>
              </w:rPr>
              <w:t>1.0μg/kg</w:t>
            </w:r>
          </w:p>
        </w:tc>
      </w:tr>
      <w:tr w14:paraId="1D3EC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D5">
            <w:pPr>
              <w:adjustRightInd/>
              <w:snapToGrid/>
              <w:spacing w:line="240" w:lineRule="auto"/>
              <w:ind w:firstLine="0" w:firstLineChars="0"/>
              <w:contextualSpacing/>
              <w:jc w:val="center"/>
              <w:rPr>
                <w:rFonts w:eastAsiaTheme="minorEastAsia"/>
                <w:sz w:val="21"/>
                <w:szCs w:val="21"/>
              </w:rPr>
            </w:pPr>
            <w:r>
              <w:rPr>
                <w:sz w:val="21"/>
                <w:szCs w:val="21"/>
              </w:rPr>
              <w:t>苯</w:t>
            </w:r>
          </w:p>
        </w:tc>
        <w:tc>
          <w:tcPr>
            <w:tcW w:w="4072" w:type="dxa"/>
            <w:vMerge w:val="continue"/>
            <w:vAlign w:val="center"/>
          </w:tcPr>
          <w:p w14:paraId="1D3ECBD7">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D8">
            <w:pPr>
              <w:adjustRightInd/>
              <w:snapToGrid/>
              <w:spacing w:line="240" w:lineRule="auto"/>
              <w:ind w:firstLine="0" w:firstLineChars="0"/>
              <w:contextualSpacing/>
              <w:jc w:val="center"/>
              <w:rPr>
                <w:sz w:val="21"/>
                <w:szCs w:val="21"/>
                <w:highlight w:val="yellow"/>
              </w:rPr>
            </w:pPr>
          </w:p>
        </w:tc>
        <w:tc>
          <w:tcPr>
            <w:tcW w:w="1066" w:type="dxa"/>
            <w:vAlign w:val="center"/>
          </w:tcPr>
          <w:p w14:paraId="1D3ECBD9">
            <w:pPr>
              <w:adjustRightInd/>
              <w:snapToGrid/>
              <w:spacing w:line="240" w:lineRule="auto"/>
              <w:ind w:firstLine="0" w:firstLineChars="0"/>
              <w:contextualSpacing/>
              <w:jc w:val="center"/>
              <w:rPr>
                <w:rFonts w:eastAsiaTheme="minorEastAsia"/>
                <w:bCs/>
                <w:sz w:val="21"/>
                <w:szCs w:val="21"/>
              </w:rPr>
            </w:pPr>
            <w:r>
              <w:rPr>
                <w:bCs/>
                <w:sz w:val="21"/>
                <w:szCs w:val="21"/>
              </w:rPr>
              <w:t>1.9μg/kg</w:t>
            </w:r>
          </w:p>
        </w:tc>
      </w:tr>
      <w:tr w14:paraId="1D3EC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DB">
            <w:pPr>
              <w:adjustRightInd/>
              <w:snapToGrid/>
              <w:spacing w:line="240" w:lineRule="auto"/>
              <w:ind w:firstLine="0" w:firstLineChars="0"/>
              <w:contextualSpacing/>
              <w:jc w:val="center"/>
              <w:rPr>
                <w:rFonts w:eastAsiaTheme="minorEastAsia"/>
                <w:sz w:val="21"/>
                <w:szCs w:val="21"/>
              </w:rPr>
            </w:pPr>
            <w:r>
              <w:rPr>
                <w:sz w:val="21"/>
                <w:szCs w:val="21"/>
              </w:rPr>
              <w:t>氯苯</w:t>
            </w:r>
          </w:p>
        </w:tc>
        <w:tc>
          <w:tcPr>
            <w:tcW w:w="4072" w:type="dxa"/>
            <w:vMerge w:val="continue"/>
            <w:vAlign w:val="center"/>
          </w:tcPr>
          <w:p w14:paraId="1D3ECBDD">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DE">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DF">
            <w:pPr>
              <w:adjustRightInd/>
              <w:snapToGrid/>
              <w:spacing w:line="240" w:lineRule="auto"/>
              <w:ind w:firstLine="0" w:firstLineChars="0"/>
              <w:contextualSpacing/>
              <w:jc w:val="center"/>
              <w:rPr>
                <w:rFonts w:eastAsiaTheme="minorEastAsia"/>
                <w:bCs/>
                <w:sz w:val="21"/>
                <w:szCs w:val="21"/>
              </w:rPr>
            </w:pPr>
            <w:r>
              <w:rPr>
                <w:bCs/>
                <w:sz w:val="21"/>
                <w:szCs w:val="21"/>
              </w:rPr>
              <w:t>1.2μg/kg</w:t>
            </w:r>
          </w:p>
        </w:tc>
      </w:tr>
      <w:tr w14:paraId="1D3EC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E1">
            <w:pPr>
              <w:adjustRightInd/>
              <w:snapToGrid/>
              <w:spacing w:line="240" w:lineRule="auto"/>
              <w:ind w:firstLine="0" w:firstLineChars="0"/>
              <w:contextualSpacing/>
              <w:jc w:val="center"/>
              <w:rPr>
                <w:rFonts w:eastAsiaTheme="minorEastAsia"/>
                <w:sz w:val="21"/>
                <w:szCs w:val="21"/>
              </w:rPr>
            </w:pPr>
            <w:r>
              <w:rPr>
                <w:sz w:val="21"/>
                <w:szCs w:val="21"/>
              </w:rPr>
              <w:t>1,2-二氯苯</w:t>
            </w:r>
          </w:p>
        </w:tc>
        <w:tc>
          <w:tcPr>
            <w:tcW w:w="4072" w:type="dxa"/>
            <w:vMerge w:val="continue"/>
            <w:vAlign w:val="center"/>
          </w:tcPr>
          <w:p w14:paraId="1D3ECBE3">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E4">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E5">
            <w:pPr>
              <w:adjustRightInd/>
              <w:snapToGrid/>
              <w:spacing w:line="240" w:lineRule="auto"/>
              <w:ind w:firstLine="0" w:firstLineChars="0"/>
              <w:contextualSpacing/>
              <w:jc w:val="center"/>
              <w:rPr>
                <w:rFonts w:eastAsiaTheme="minorEastAsia"/>
                <w:bCs/>
                <w:sz w:val="21"/>
                <w:szCs w:val="21"/>
              </w:rPr>
            </w:pPr>
            <w:r>
              <w:rPr>
                <w:bCs/>
                <w:sz w:val="21"/>
                <w:szCs w:val="21"/>
              </w:rPr>
              <w:t>1.5μg/kg</w:t>
            </w:r>
          </w:p>
        </w:tc>
      </w:tr>
      <w:tr w14:paraId="1D3EC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E7">
            <w:pPr>
              <w:adjustRightInd/>
              <w:snapToGrid/>
              <w:spacing w:line="240" w:lineRule="auto"/>
              <w:ind w:firstLine="0" w:firstLineChars="0"/>
              <w:contextualSpacing/>
              <w:jc w:val="center"/>
              <w:rPr>
                <w:rFonts w:eastAsiaTheme="minorEastAsia"/>
                <w:sz w:val="21"/>
                <w:szCs w:val="21"/>
              </w:rPr>
            </w:pPr>
            <w:r>
              <w:rPr>
                <w:sz w:val="21"/>
                <w:szCs w:val="21"/>
              </w:rPr>
              <w:t>1,4-二氯苯</w:t>
            </w:r>
          </w:p>
        </w:tc>
        <w:tc>
          <w:tcPr>
            <w:tcW w:w="4072" w:type="dxa"/>
            <w:vMerge w:val="continue"/>
            <w:vAlign w:val="center"/>
          </w:tcPr>
          <w:p w14:paraId="1D3ECBE9">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EA">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EB">
            <w:pPr>
              <w:adjustRightInd/>
              <w:snapToGrid/>
              <w:spacing w:line="240" w:lineRule="auto"/>
              <w:ind w:firstLine="0" w:firstLineChars="0"/>
              <w:contextualSpacing/>
              <w:jc w:val="center"/>
              <w:rPr>
                <w:rFonts w:eastAsiaTheme="minorEastAsia"/>
                <w:bCs/>
                <w:sz w:val="21"/>
                <w:szCs w:val="21"/>
              </w:rPr>
            </w:pPr>
            <w:r>
              <w:rPr>
                <w:bCs/>
                <w:sz w:val="21"/>
                <w:szCs w:val="21"/>
              </w:rPr>
              <w:t>1.5μg/kg</w:t>
            </w:r>
          </w:p>
        </w:tc>
      </w:tr>
      <w:tr w14:paraId="1D3EC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ED">
            <w:pPr>
              <w:adjustRightInd/>
              <w:snapToGrid/>
              <w:spacing w:line="240" w:lineRule="auto"/>
              <w:ind w:firstLine="0" w:firstLineChars="0"/>
              <w:contextualSpacing/>
              <w:jc w:val="center"/>
              <w:rPr>
                <w:rFonts w:eastAsiaTheme="minorEastAsia"/>
                <w:sz w:val="21"/>
                <w:szCs w:val="21"/>
              </w:rPr>
            </w:pPr>
            <w:r>
              <w:rPr>
                <w:sz w:val="21"/>
                <w:szCs w:val="21"/>
              </w:rPr>
              <w:t>乙苯</w:t>
            </w:r>
          </w:p>
        </w:tc>
        <w:tc>
          <w:tcPr>
            <w:tcW w:w="4072" w:type="dxa"/>
            <w:vMerge w:val="continue"/>
            <w:vAlign w:val="center"/>
          </w:tcPr>
          <w:p w14:paraId="1D3ECBEF">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F0">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F1">
            <w:pPr>
              <w:adjustRightInd/>
              <w:snapToGrid/>
              <w:spacing w:line="240" w:lineRule="auto"/>
              <w:ind w:firstLine="0" w:firstLineChars="0"/>
              <w:contextualSpacing/>
              <w:jc w:val="center"/>
              <w:rPr>
                <w:rFonts w:eastAsiaTheme="minorEastAsia"/>
                <w:bCs/>
                <w:sz w:val="21"/>
                <w:szCs w:val="21"/>
              </w:rPr>
            </w:pPr>
            <w:r>
              <w:rPr>
                <w:bCs/>
                <w:sz w:val="21"/>
                <w:szCs w:val="21"/>
              </w:rPr>
              <w:t>1.2μg/kg</w:t>
            </w:r>
          </w:p>
        </w:tc>
      </w:tr>
      <w:tr w14:paraId="1D3EC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F3">
            <w:pPr>
              <w:adjustRightInd/>
              <w:snapToGrid/>
              <w:spacing w:line="240" w:lineRule="auto"/>
              <w:ind w:firstLine="0" w:firstLineChars="0"/>
              <w:contextualSpacing/>
              <w:jc w:val="center"/>
              <w:rPr>
                <w:rFonts w:eastAsiaTheme="minorEastAsia"/>
                <w:sz w:val="21"/>
                <w:szCs w:val="21"/>
              </w:rPr>
            </w:pPr>
            <w:r>
              <w:rPr>
                <w:sz w:val="21"/>
                <w:szCs w:val="21"/>
              </w:rPr>
              <w:t>苯乙烯</w:t>
            </w:r>
          </w:p>
        </w:tc>
        <w:tc>
          <w:tcPr>
            <w:tcW w:w="4072" w:type="dxa"/>
            <w:vMerge w:val="continue"/>
            <w:vAlign w:val="center"/>
          </w:tcPr>
          <w:p w14:paraId="1D3ECBF5">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F6">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BF7">
            <w:pPr>
              <w:adjustRightInd/>
              <w:snapToGrid/>
              <w:spacing w:line="240" w:lineRule="auto"/>
              <w:ind w:firstLine="0" w:firstLineChars="0"/>
              <w:contextualSpacing/>
              <w:jc w:val="center"/>
              <w:rPr>
                <w:rFonts w:eastAsiaTheme="minorEastAsia"/>
                <w:bCs/>
                <w:sz w:val="21"/>
                <w:szCs w:val="21"/>
              </w:rPr>
            </w:pPr>
            <w:r>
              <w:rPr>
                <w:bCs/>
                <w:sz w:val="21"/>
                <w:szCs w:val="21"/>
              </w:rPr>
              <w:t>1.1μg/kg</w:t>
            </w:r>
          </w:p>
        </w:tc>
      </w:tr>
      <w:tr w14:paraId="1D3EC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F9">
            <w:pPr>
              <w:adjustRightInd/>
              <w:snapToGrid/>
              <w:spacing w:line="240" w:lineRule="auto"/>
              <w:ind w:firstLine="0" w:firstLineChars="0"/>
              <w:contextualSpacing/>
              <w:jc w:val="center"/>
              <w:rPr>
                <w:rFonts w:eastAsiaTheme="minorEastAsia"/>
                <w:bCs/>
                <w:sz w:val="21"/>
                <w:szCs w:val="21"/>
              </w:rPr>
            </w:pPr>
            <w:r>
              <w:rPr>
                <w:sz w:val="21"/>
                <w:szCs w:val="21"/>
              </w:rPr>
              <w:t>甲苯</w:t>
            </w:r>
          </w:p>
        </w:tc>
        <w:tc>
          <w:tcPr>
            <w:tcW w:w="4072" w:type="dxa"/>
            <w:vMerge w:val="continue"/>
            <w:vAlign w:val="center"/>
          </w:tcPr>
          <w:p w14:paraId="1D3ECBFB">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BFC">
            <w:pPr>
              <w:adjustRightInd/>
              <w:snapToGrid/>
              <w:spacing w:line="240" w:lineRule="auto"/>
              <w:ind w:firstLine="0" w:firstLineChars="0"/>
              <w:contextualSpacing/>
              <w:jc w:val="center"/>
              <w:rPr>
                <w:rFonts w:eastAsiaTheme="minorEastAsia"/>
                <w:bCs/>
                <w:sz w:val="21"/>
                <w:szCs w:val="21"/>
                <w:highlight w:val="yellow"/>
              </w:rPr>
            </w:pPr>
          </w:p>
        </w:tc>
        <w:tc>
          <w:tcPr>
            <w:tcW w:w="1066" w:type="dxa"/>
            <w:vAlign w:val="center"/>
          </w:tcPr>
          <w:p w14:paraId="1D3ECBFD">
            <w:pPr>
              <w:adjustRightInd/>
              <w:snapToGrid/>
              <w:spacing w:line="240" w:lineRule="auto"/>
              <w:ind w:firstLine="0" w:firstLineChars="0"/>
              <w:contextualSpacing/>
              <w:jc w:val="center"/>
              <w:rPr>
                <w:rFonts w:eastAsiaTheme="minorEastAsia"/>
                <w:bCs/>
                <w:sz w:val="21"/>
                <w:szCs w:val="21"/>
              </w:rPr>
            </w:pPr>
            <w:r>
              <w:rPr>
                <w:bCs/>
                <w:sz w:val="21"/>
                <w:szCs w:val="21"/>
              </w:rPr>
              <w:t>1.3μg/kg</w:t>
            </w:r>
          </w:p>
        </w:tc>
      </w:tr>
      <w:tr w14:paraId="1D3EC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BFF">
            <w:pPr>
              <w:adjustRightInd/>
              <w:snapToGrid/>
              <w:spacing w:line="240" w:lineRule="auto"/>
              <w:ind w:firstLine="0" w:firstLineChars="0"/>
              <w:contextualSpacing/>
              <w:jc w:val="center"/>
              <w:rPr>
                <w:rFonts w:eastAsiaTheme="minorEastAsia"/>
                <w:bCs/>
                <w:sz w:val="21"/>
                <w:szCs w:val="21"/>
              </w:rPr>
            </w:pPr>
            <w:r>
              <w:rPr>
                <w:sz w:val="21"/>
                <w:szCs w:val="21"/>
              </w:rPr>
              <w:t>间+对二甲苯</w:t>
            </w:r>
          </w:p>
        </w:tc>
        <w:tc>
          <w:tcPr>
            <w:tcW w:w="4072" w:type="dxa"/>
            <w:vMerge w:val="continue"/>
            <w:vAlign w:val="center"/>
          </w:tcPr>
          <w:p w14:paraId="1D3ECC01">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C02">
            <w:pPr>
              <w:adjustRightInd/>
              <w:snapToGrid/>
              <w:spacing w:line="240" w:lineRule="auto"/>
              <w:ind w:firstLine="0" w:firstLineChars="0"/>
              <w:contextualSpacing/>
              <w:jc w:val="center"/>
              <w:rPr>
                <w:rFonts w:eastAsiaTheme="minorEastAsia"/>
                <w:bCs/>
                <w:sz w:val="21"/>
                <w:szCs w:val="21"/>
                <w:highlight w:val="yellow"/>
              </w:rPr>
            </w:pPr>
          </w:p>
        </w:tc>
        <w:tc>
          <w:tcPr>
            <w:tcW w:w="1066" w:type="dxa"/>
            <w:vAlign w:val="center"/>
          </w:tcPr>
          <w:p w14:paraId="1D3ECC03">
            <w:pPr>
              <w:adjustRightInd/>
              <w:snapToGrid/>
              <w:spacing w:line="240" w:lineRule="auto"/>
              <w:ind w:firstLine="0" w:firstLineChars="0"/>
              <w:contextualSpacing/>
              <w:jc w:val="center"/>
              <w:rPr>
                <w:rFonts w:eastAsiaTheme="minorEastAsia"/>
                <w:bCs/>
                <w:sz w:val="21"/>
                <w:szCs w:val="21"/>
              </w:rPr>
            </w:pPr>
            <w:r>
              <w:rPr>
                <w:bCs/>
                <w:sz w:val="21"/>
                <w:szCs w:val="21"/>
              </w:rPr>
              <w:t>1.2μg/kg</w:t>
            </w:r>
          </w:p>
        </w:tc>
      </w:tr>
      <w:tr w14:paraId="1D3EC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05">
            <w:pPr>
              <w:adjustRightInd/>
              <w:snapToGrid/>
              <w:spacing w:line="240" w:lineRule="auto"/>
              <w:ind w:firstLine="0" w:firstLineChars="0"/>
              <w:contextualSpacing/>
              <w:jc w:val="center"/>
              <w:rPr>
                <w:rFonts w:eastAsiaTheme="minorEastAsia"/>
                <w:sz w:val="21"/>
                <w:szCs w:val="21"/>
              </w:rPr>
            </w:pPr>
            <w:r>
              <w:rPr>
                <w:sz w:val="21"/>
                <w:szCs w:val="21"/>
              </w:rPr>
              <w:t>邻二甲苯</w:t>
            </w:r>
          </w:p>
        </w:tc>
        <w:tc>
          <w:tcPr>
            <w:tcW w:w="4072" w:type="dxa"/>
            <w:vMerge w:val="continue"/>
            <w:vAlign w:val="center"/>
          </w:tcPr>
          <w:p w14:paraId="1D3ECC07">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C08">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09">
            <w:pPr>
              <w:adjustRightInd/>
              <w:snapToGrid/>
              <w:spacing w:line="240" w:lineRule="auto"/>
              <w:ind w:firstLine="0" w:firstLineChars="0"/>
              <w:contextualSpacing/>
              <w:jc w:val="center"/>
              <w:rPr>
                <w:rFonts w:eastAsiaTheme="minorEastAsia"/>
                <w:bCs/>
                <w:sz w:val="21"/>
                <w:szCs w:val="21"/>
              </w:rPr>
            </w:pPr>
            <w:r>
              <w:rPr>
                <w:bCs/>
                <w:sz w:val="21"/>
                <w:szCs w:val="21"/>
              </w:rPr>
              <w:t>1.2μg/kg</w:t>
            </w:r>
          </w:p>
        </w:tc>
      </w:tr>
      <w:tr w14:paraId="1D3EC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0B">
            <w:pPr>
              <w:adjustRightInd/>
              <w:snapToGrid/>
              <w:spacing w:line="240" w:lineRule="auto"/>
              <w:ind w:firstLine="0" w:firstLineChars="0"/>
              <w:contextualSpacing/>
              <w:jc w:val="center"/>
              <w:rPr>
                <w:rFonts w:eastAsiaTheme="minorEastAsia"/>
                <w:sz w:val="21"/>
                <w:szCs w:val="21"/>
              </w:rPr>
            </w:pPr>
            <w:r>
              <w:rPr>
                <w:sz w:val="21"/>
                <w:szCs w:val="21"/>
              </w:rPr>
              <w:t>硝基苯</w:t>
            </w:r>
          </w:p>
        </w:tc>
        <w:tc>
          <w:tcPr>
            <w:tcW w:w="4072" w:type="dxa"/>
            <w:vMerge w:val="restart"/>
            <w:vAlign w:val="center"/>
          </w:tcPr>
          <w:p w14:paraId="1D3ECC0C">
            <w:pPr>
              <w:adjustRightInd/>
              <w:snapToGrid/>
              <w:spacing w:line="240" w:lineRule="auto"/>
              <w:ind w:firstLine="0" w:firstLineChars="0"/>
              <w:contextualSpacing/>
              <w:jc w:val="center"/>
              <w:rPr>
                <w:bCs/>
                <w:sz w:val="21"/>
                <w:szCs w:val="21"/>
              </w:rPr>
            </w:pPr>
            <w:r>
              <w:rPr>
                <w:bCs/>
                <w:sz w:val="21"/>
                <w:szCs w:val="21"/>
              </w:rPr>
              <w:t xml:space="preserve">土壤和沉积物 半挥发性有机物的测定 </w:t>
            </w:r>
          </w:p>
          <w:p w14:paraId="1D3ECC0D">
            <w:pPr>
              <w:adjustRightInd/>
              <w:snapToGrid/>
              <w:spacing w:line="240" w:lineRule="auto"/>
              <w:ind w:firstLine="0" w:firstLineChars="0"/>
              <w:contextualSpacing/>
              <w:jc w:val="center"/>
              <w:rPr>
                <w:rFonts w:eastAsiaTheme="minorEastAsia"/>
                <w:bCs/>
                <w:sz w:val="21"/>
                <w:szCs w:val="21"/>
                <w:highlight w:val="yellow"/>
              </w:rPr>
            </w:pPr>
            <w:r>
              <w:rPr>
                <w:bCs/>
                <w:sz w:val="21"/>
                <w:szCs w:val="21"/>
              </w:rPr>
              <w:t>气相色谱-质谱法HJ834-2017</w:t>
            </w:r>
          </w:p>
        </w:tc>
        <w:tc>
          <w:tcPr>
            <w:tcW w:w="2037" w:type="dxa"/>
            <w:vMerge w:val="continue"/>
            <w:vAlign w:val="center"/>
          </w:tcPr>
          <w:p w14:paraId="1D3ECC0E">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0F">
            <w:pPr>
              <w:adjustRightInd/>
              <w:snapToGrid/>
              <w:spacing w:line="240" w:lineRule="auto"/>
              <w:ind w:firstLine="0" w:firstLineChars="0"/>
              <w:contextualSpacing/>
              <w:jc w:val="center"/>
              <w:rPr>
                <w:rFonts w:eastAsiaTheme="minorEastAsia"/>
                <w:bCs/>
                <w:sz w:val="21"/>
                <w:szCs w:val="21"/>
              </w:rPr>
            </w:pPr>
            <w:r>
              <w:rPr>
                <w:bCs/>
                <w:sz w:val="21"/>
                <w:szCs w:val="21"/>
              </w:rPr>
              <w:t>0.09mg/kg</w:t>
            </w:r>
          </w:p>
        </w:tc>
      </w:tr>
      <w:tr w14:paraId="1D3EC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11">
            <w:pPr>
              <w:adjustRightInd/>
              <w:snapToGrid/>
              <w:spacing w:line="240" w:lineRule="auto"/>
              <w:ind w:firstLine="0" w:firstLineChars="0"/>
              <w:contextualSpacing/>
              <w:jc w:val="center"/>
              <w:rPr>
                <w:rFonts w:eastAsiaTheme="minorEastAsia"/>
                <w:sz w:val="21"/>
                <w:szCs w:val="21"/>
              </w:rPr>
            </w:pPr>
            <w:r>
              <w:rPr>
                <w:sz w:val="21"/>
                <w:szCs w:val="21"/>
              </w:rPr>
              <w:t>苯胺</w:t>
            </w:r>
          </w:p>
        </w:tc>
        <w:tc>
          <w:tcPr>
            <w:tcW w:w="4072" w:type="dxa"/>
            <w:vMerge w:val="continue"/>
            <w:vAlign w:val="center"/>
          </w:tcPr>
          <w:p w14:paraId="1D3ECC13">
            <w:pPr>
              <w:adjustRightInd/>
              <w:snapToGrid/>
              <w:spacing w:line="240" w:lineRule="auto"/>
              <w:ind w:firstLine="0" w:firstLineChars="0"/>
              <w:contextualSpacing/>
              <w:jc w:val="center"/>
              <w:rPr>
                <w:rFonts w:eastAsiaTheme="minorEastAsia"/>
                <w:sz w:val="21"/>
                <w:szCs w:val="21"/>
                <w:highlight w:val="yellow"/>
              </w:rPr>
            </w:pPr>
          </w:p>
        </w:tc>
        <w:tc>
          <w:tcPr>
            <w:tcW w:w="2037" w:type="dxa"/>
            <w:vMerge w:val="continue"/>
            <w:vAlign w:val="center"/>
          </w:tcPr>
          <w:p w14:paraId="1D3ECC14">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15">
            <w:pPr>
              <w:adjustRightInd/>
              <w:snapToGrid/>
              <w:spacing w:line="240" w:lineRule="auto"/>
              <w:ind w:firstLine="0" w:firstLineChars="0"/>
              <w:contextualSpacing/>
              <w:jc w:val="center"/>
              <w:rPr>
                <w:rFonts w:eastAsiaTheme="minorEastAsia"/>
                <w:sz w:val="21"/>
                <w:szCs w:val="21"/>
              </w:rPr>
            </w:pPr>
            <w:r>
              <w:rPr>
                <w:bCs/>
                <w:sz w:val="21"/>
                <w:szCs w:val="21"/>
              </w:rPr>
              <w:t>0.09mg/kg</w:t>
            </w:r>
          </w:p>
        </w:tc>
      </w:tr>
      <w:tr w14:paraId="1D3EC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17">
            <w:pPr>
              <w:adjustRightInd/>
              <w:snapToGrid/>
              <w:spacing w:line="240" w:lineRule="auto"/>
              <w:ind w:firstLine="0" w:firstLineChars="0"/>
              <w:contextualSpacing/>
              <w:jc w:val="center"/>
              <w:rPr>
                <w:rFonts w:eastAsiaTheme="minorEastAsia"/>
                <w:sz w:val="21"/>
                <w:szCs w:val="21"/>
              </w:rPr>
            </w:pPr>
            <w:r>
              <w:rPr>
                <w:sz w:val="21"/>
                <w:szCs w:val="21"/>
              </w:rPr>
              <w:t>2-氯酚</w:t>
            </w:r>
          </w:p>
        </w:tc>
        <w:tc>
          <w:tcPr>
            <w:tcW w:w="4072" w:type="dxa"/>
            <w:vMerge w:val="continue"/>
            <w:vAlign w:val="center"/>
          </w:tcPr>
          <w:p w14:paraId="1D3ECC19">
            <w:pPr>
              <w:adjustRightInd/>
              <w:snapToGrid/>
              <w:spacing w:line="240" w:lineRule="auto"/>
              <w:ind w:firstLine="0" w:firstLineChars="0"/>
              <w:contextualSpacing/>
              <w:jc w:val="center"/>
              <w:rPr>
                <w:rFonts w:eastAsiaTheme="minorEastAsia"/>
                <w:sz w:val="21"/>
                <w:szCs w:val="21"/>
                <w:highlight w:val="yellow"/>
              </w:rPr>
            </w:pPr>
          </w:p>
        </w:tc>
        <w:tc>
          <w:tcPr>
            <w:tcW w:w="2037" w:type="dxa"/>
            <w:vMerge w:val="continue"/>
            <w:vAlign w:val="center"/>
          </w:tcPr>
          <w:p w14:paraId="1D3ECC1B">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1C">
            <w:pPr>
              <w:adjustRightInd/>
              <w:snapToGrid/>
              <w:spacing w:line="240" w:lineRule="auto"/>
              <w:ind w:firstLine="0" w:firstLineChars="0"/>
              <w:contextualSpacing/>
              <w:jc w:val="center"/>
              <w:rPr>
                <w:rFonts w:eastAsiaTheme="minorEastAsia"/>
                <w:sz w:val="21"/>
                <w:szCs w:val="21"/>
              </w:rPr>
            </w:pPr>
            <w:r>
              <w:rPr>
                <w:bCs/>
                <w:sz w:val="21"/>
                <w:szCs w:val="21"/>
              </w:rPr>
              <w:t>0.04mg/kg</w:t>
            </w:r>
          </w:p>
        </w:tc>
      </w:tr>
      <w:tr w14:paraId="1D3ECC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1E">
            <w:pPr>
              <w:adjustRightInd/>
              <w:snapToGrid/>
              <w:spacing w:line="240" w:lineRule="auto"/>
              <w:ind w:firstLine="0" w:firstLineChars="0"/>
              <w:contextualSpacing/>
              <w:jc w:val="center"/>
              <w:rPr>
                <w:rFonts w:eastAsiaTheme="minorEastAsia"/>
                <w:sz w:val="21"/>
                <w:szCs w:val="21"/>
              </w:rPr>
            </w:pPr>
            <w:r>
              <w:rPr>
                <w:sz w:val="21"/>
                <w:szCs w:val="21"/>
              </w:rPr>
              <w:t>苯并[a]蒽</w:t>
            </w:r>
          </w:p>
        </w:tc>
        <w:tc>
          <w:tcPr>
            <w:tcW w:w="4072" w:type="dxa"/>
            <w:vMerge w:val="continue"/>
            <w:vAlign w:val="center"/>
          </w:tcPr>
          <w:p w14:paraId="1D3ECC20">
            <w:pPr>
              <w:adjustRightInd/>
              <w:snapToGrid/>
              <w:spacing w:line="240" w:lineRule="auto"/>
              <w:ind w:firstLine="0" w:firstLineChars="0"/>
              <w:contextualSpacing/>
              <w:jc w:val="center"/>
              <w:rPr>
                <w:rFonts w:eastAsiaTheme="minorEastAsia"/>
                <w:sz w:val="21"/>
                <w:szCs w:val="21"/>
                <w:highlight w:val="yellow"/>
              </w:rPr>
            </w:pPr>
          </w:p>
        </w:tc>
        <w:tc>
          <w:tcPr>
            <w:tcW w:w="2037" w:type="dxa"/>
            <w:vMerge w:val="continue"/>
            <w:vAlign w:val="center"/>
          </w:tcPr>
          <w:p w14:paraId="1D3ECC21">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22">
            <w:pPr>
              <w:adjustRightInd/>
              <w:snapToGrid/>
              <w:spacing w:line="240" w:lineRule="auto"/>
              <w:ind w:firstLine="0" w:firstLineChars="0"/>
              <w:contextualSpacing/>
              <w:jc w:val="center"/>
              <w:rPr>
                <w:rFonts w:eastAsiaTheme="minorEastAsia"/>
                <w:sz w:val="21"/>
                <w:szCs w:val="21"/>
              </w:rPr>
            </w:pPr>
            <w:r>
              <w:rPr>
                <w:bCs/>
                <w:sz w:val="21"/>
                <w:szCs w:val="21"/>
              </w:rPr>
              <w:t>0.3μg/kg</w:t>
            </w:r>
          </w:p>
        </w:tc>
      </w:tr>
      <w:tr w14:paraId="1D3EC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24">
            <w:pPr>
              <w:adjustRightInd/>
              <w:snapToGrid/>
              <w:spacing w:line="240" w:lineRule="auto"/>
              <w:ind w:firstLine="0" w:firstLineChars="0"/>
              <w:contextualSpacing/>
              <w:jc w:val="center"/>
              <w:rPr>
                <w:rFonts w:eastAsiaTheme="minorEastAsia"/>
                <w:sz w:val="21"/>
                <w:szCs w:val="21"/>
              </w:rPr>
            </w:pPr>
            <w:r>
              <w:rPr>
                <w:sz w:val="21"/>
                <w:szCs w:val="21"/>
              </w:rPr>
              <w:t>苯并[a]芘</w:t>
            </w:r>
          </w:p>
        </w:tc>
        <w:tc>
          <w:tcPr>
            <w:tcW w:w="4072" w:type="dxa"/>
            <w:vMerge w:val="continue"/>
            <w:vAlign w:val="center"/>
          </w:tcPr>
          <w:p w14:paraId="1D3ECC26">
            <w:pPr>
              <w:adjustRightInd/>
              <w:snapToGrid/>
              <w:spacing w:line="240" w:lineRule="auto"/>
              <w:ind w:firstLine="0" w:firstLineChars="0"/>
              <w:contextualSpacing/>
              <w:jc w:val="center"/>
              <w:rPr>
                <w:rFonts w:eastAsiaTheme="minorEastAsia"/>
                <w:sz w:val="21"/>
                <w:szCs w:val="21"/>
                <w:highlight w:val="yellow"/>
              </w:rPr>
            </w:pPr>
          </w:p>
        </w:tc>
        <w:tc>
          <w:tcPr>
            <w:tcW w:w="2037" w:type="dxa"/>
            <w:vMerge w:val="continue"/>
            <w:vAlign w:val="center"/>
          </w:tcPr>
          <w:p w14:paraId="1D3ECC27">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28">
            <w:pPr>
              <w:adjustRightInd/>
              <w:snapToGrid/>
              <w:spacing w:line="240" w:lineRule="auto"/>
              <w:ind w:firstLine="0" w:firstLineChars="0"/>
              <w:contextualSpacing/>
              <w:jc w:val="center"/>
              <w:rPr>
                <w:rFonts w:eastAsiaTheme="minorEastAsia"/>
                <w:sz w:val="21"/>
                <w:szCs w:val="21"/>
              </w:rPr>
            </w:pPr>
            <w:r>
              <w:rPr>
                <w:bCs/>
                <w:sz w:val="21"/>
                <w:szCs w:val="21"/>
              </w:rPr>
              <w:t>0.4μg/kg</w:t>
            </w:r>
          </w:p>
        </w:tc>
      </w:tr>
      <w:tr w14:paraId="1D3ECC2F">
        <w:tblPrEx>
          <w:tblCellMar>
            <w:top w:w="0" w:type="dxa"/>
            <w:left w:w="28" w:type="dxa"/>
            <w:bottom w:w="0" w:type="dxa"/>
            <w:right w:w="28" w:type="dxa"/>
          </w:tblCellMar>
        </w:tblPrEx>
        <w:trPr>
          <w:trHeight w:val="454" w:hRule="atLeast"/>
        </w:trPr>
        <w:tc>
          <w:tcPr>
            <w:tcW w:w="1117" w:type="dxa"/>
            <w:vAlign w:val="center"/>
          </w:tcPr>
          <w:p w14:paraId="1D3ECC2A">
            <w:pPr>
              <w:adjustRightInd/>
              <w:snapToGrid/>
              <w:spacing w:line="240" w:lineRule="auto"/>
              <w:ind w:firstLine="0" w:firstLineChars="0"/>
              <w:contextualSpacing/>
              <w:jc w:val="center"/>
              <w:rPr>
                <w:rFonts w:eastAsiaTheme="minorEastAsia"/>
                <w:sz w:val="21"/>
                <w:szCs w:val="21"/>
              </w:rPr>
            </w:pPr>
            <w:r>
              <w:rPr>
                <w:sz w:val="21"/>
                <w:szCs w:val="21"/>
              </w:rPr>
              <w:t>苯并[b]荧蒽</w:t>
            </w:r>
          </w:p>
        </w:tc>
        <w:tc>
          <w:tcPr>
            <w:tcW w:w="4072" w:type="dxa"/>
            <w:vMerge w:val="continue"/>
            <w:vAlign w:val="center"/>
          </w:tcPr>
          <w:p w14:paraId="1D3ECC2C">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C2D">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2E">
            <w:pPr>
              <w:adjustRightInd/>
              <w:snapToGrid/>
              <w:spacing w:line="240" w:lineRule="auto"/>
              <w:ind w:firstLine="0" w:firstLineChars="0"/>
              <w:contextualSpacing/>
              <w:jc w:val="center"/>
              <w:rPr>
                <w:rFonts w:eastAsiaTheme="minorEastAsia"/>
                <w:bCs/>
                <w:sz w:val="21"/>
                <w:szCs w:val="21"/>
              </w:rPr>
            </w:pPr>
            <w:r>
              <w:rPr>
                <w:bCs/>
                <w:sz w:val="21"/>
                <w:szCs w:val="21"/>
              </w:rPr>
              <w:t>0.5μg/kg</w:t>
            </w:r>
          </w:p>
        </w:tc>
      </w:tr>
      <w:tr w14:paraId="1D3EC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30">
            <w:pPr>
              <w:adjustRightInd/>
              <w:snapToGrid/>
              <w:spacing w:line="240" w:lineRule="auto"/>
              <w:ind w:firstLine="0" w:firstLineChars="0"/>
              <w:contextualSpacing/>
              <w:jc w:val="center"/>
              <w:rPr>
                <w:rFonts w:eastAsiaTheme="minorEastAsia"/>
                <w:sz w:val="21"/>
                <w:szCs w:val="21"/>
              </w:rPr>
            </w:pPr>
            <w:r>
              <w:rPr>
                <w:sz w:val="21"/>
                <w:szCs w:val="21"/>
              </w:rPr>
              <w:t>苯并[k]荧蒽</w:t>
            </w:r>
          </w:p>
        </w:tc>
        <w:tc>
          <w:tcPr>
            <w:tcW w:w="4072" w:type="dxa"/>
            <w:vMerge w:val="continue"/>
            <w:vAlign w:val="center"/>
          </w:tcPr>
          <w:p w14:paraId="1D3ECC32">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C33">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34">
            <w:pPr>
              <w:adjustRightInd/>
              <w:snapToGrid/>
              <w:spacing w:line="240" w:lineRule="auto"/>
              <w:ind w:firstLine="0" w:firstLineChars="0"/>
              <w:contextualSpacing/>
              <w:jc w:val="center"/>
              <w:rPr>
                <w:rFonts w:eastAsiaTheme="minorEastAsia"/>
                <w:bCs/>
                <w:sz w:val="21"/>
                <w:szCs w:val="21"/>
              </w:rPr>
            </w:pPr>
            <w:r>
              <w:rPr>
                <w:bCs/>
                <w:sz w:val="21"/>
                <w:szCs w:val="21"/>
              </w:rPr>
              <w:t>0.4μg/kg</w:t>
            </w:r>
          </w:p>
        </w:tc>
      </w:tr>
      <w:tr w14:paraId="1D3EC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36">
            <w:pPr>
              <w:adjustRightInd/>
              <w:snapToGrid/>
              <w:spacing w:line="240" w:lineRule="auto"/>
              <w:ind w:firstLine="0" w:firstLineChars="0"/>
              <w:contextualSpacing/>
              <w:jc w:val="center"/>
              <w:rPr>
                <w:rFonts w:eastAsiaTheme="minorEastAsia"/>
                <w:sz w:val="21"/>
                <w:szCs w:val="21"/>
              </w:rPr>
            </w:pPr>
            <w:r>
              <w:rPr>
                <w:sz w:val="21"/>
                <w:szCs w:val="21"/>
              </w:rPr>
              <w:t>䓛</w:t>
            </w:r>
          </w:p>
        </w:tc>
        <w:tc>
          <w:tcPr>
            <w:tcW w:w="4072" w:type="dxa"/>
            <w:vMerge w:val="continue"/>
            <w:vAlign w:val="center"/>
          </w:tcPr>
          <w:p w14:paraId="1D3ECC38">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C39">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3A">
            <w:pPr>
              <w:adjustRightInd/>
              <w:snapToGrid/>
              <w:spacing w:line="240" w:lineRule="auto"/>
              <w:ind w:firstLine="0" w:firstLineChars="0"/>
              <w:contextualSpacing/>
              <w:jc w:val="center"/>
              <w:rPr>
                <w:rFonts w:eastAsiaTheme="minorEastAsia"/>
                <w:bCs/>
                <w:sz w:val="21"/>
                <w:szCs w:val="21"/>
              </w:rPr>
            </w:pPr>
            <w:r>
              <w:rPr>
                <w:bCs/>
                <w:sz w:val="21"/>
                <w:szCs w:val="21"/>
              </w:rPr>
              <w:t>0.3μg/kg</w:t>
            </w:r>
          </w:p>
        </w:tc>
      </w:tr>
      <w:tr w14:paraId="1D3EC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3C">
            <w:pPr>
              <w:adjustRightInd/>
              <w:snapToGrid/>
              <w:spacing w:line="240" w:lineRule="auto"/>
              <w:ind w:firstLine="0" w:firstLineChars="0"/>
              <w:contextualSpacing/>
              <w:jc w:val="center"/>
              <w:rPr>
                <w:rFonts w:eastAsiaTheme="minorEastAsia"/>
                <w:sz w:val="21"/>
                <w:szCs w:val="21"/>
              </w:rPr>
            </w:pPr>
            <w:r>
              <w:rPr>
                <w:sz w:val="21"/>
                <w:szCs w:val="21"/>
              </w:rPr>
              <w:t>二苯并[a,h]蒽</w:t>
            </w:r>
          </w:p>
        </w:tc>
        <w:tc>
          <w:tcPr>
            <w:tcW w:w="4072" w:type="dxa"/>
            <w:vMerge w:val="continue"/>
            <w:vAlign w:val="center"/>
          </w:tcPr>
          <w:p w14:paraId="1D3ECC3E">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C3F">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40">
            <w:pPr>
              <w:adjustRightInd/>
              <w:snapToGrid/>
              <w:spacing w:line="240" w:lineRule="auto"/>
              <w:ind w:firstLine="0" w:firstLineChars="0"/>
              <w:contextualSpacing/>
              <w:jc w:val="center"/>
              <w:rPr>
                <w:rFonts w:eastAsiaTheme="minorEastAsia"/>
                <w:bCs/>
                <w:sz w:val="21"/>
                <w:szCs w:val="21"/>
              </w:rPr>
            </w:pPr>
            <w:r>
              <w:rPr>
                <w:bCs/>
                <w:sz w:val="21"/>
                <w:szCs w:val="21"/>
              </w:rPr>
              <w:t>0.5μg/kg</w:t>
            </w:r>
          </w:p>
        </w:tc>
      </w:tr>
      <w:tr w14:paraId="1D3ECC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42">
            <w:pPr>
              <w:adjustRightInd/>
              <w:snapToGrid/>
              <w:spacing w:line="240" w:lineRule="auto"/>
              <w:ind w:firstLine="0" w:firstLineChars="0"/>
              <w:contextualSpacing/>
              <w:jc w:val="center"/>
              <w:rPr>
                <w:rFonts w:eastAsiaTheme="minorEastAsia"/>
                <w:sz w:val="21"/>
                <w:szCs w:val="21"/>
              </w:rPr>
            </w:pPr>
            <w:r>
              <w:rPr>
                <w:sz w:val="21"/>
                <w:szCs w:val="21"/>
              </w:rPr>
              <w:t>茚并[1,2,3-cd]芘</w:t>
            </w:r>
          </w:p>
        </w:tc>
        <w:tc>
          <w:tcPr>
            <w:tcW w:w="4072" w:type="dxa"/>
            <w:vMerge w:val="continue"/>
            <w:vAlign w:val="center"/>
          </w:tcPr>
          <w:p w14:paraId="1D3ECC44">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C45">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46">
            <w:pPr>
              <w:adjustRightInd/>
              <w:snapToGrid/>
              <w:spacing w:line="240" w:lineRule="auto"/>
              <w:ind w:firstLine="0" w:firstLineChars="0"/>
              <w:contextualSpacing/>
              <w:jc w:val="center"/>
              <w:rPr>
                <w:rFonts w:eastAsiaTheme="minorEastAsia"/>
                <w:bCs/>
                <w:sz w:val="21"/>
                <w:szCs w:val="21"/>
              </w:rPr>
            </w:pPr>
            <w:r>
              <w:rPr>
                <w:bCs/>
                <w:sz w:val="21"/>
                <w:szCs w:val="21"/>
              </w:rPr>
              <w:t>4μg/kg</w:t>
            </w:r>
          </w:p>
        </w:tc>
      </w:tr>
      <w:tr w14:paraId="1D3EC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48">
            <w:pPr>
              <w:adjustRightInd/>
              <w:snapToGrid/>
              <w:spacing w:line="240" w:lineRule="auto"/>
              <w:ind w:firstLine="0" w:firstLineChars="0"/>
              <w:contextualSpacing/>
              <w:jc w:val="center"/>
              <w:rPr>
                <w:rFonts w:eastAsiaTheme="minorEastAsia"/>
                <w:sz w:val="21"/>
                <w:szCs w:val="21"/>
              </w:rPr>
            </w:pPr>
            <w:r>
              <w:rPr>
                <w:sz w:val="21"/>
                <w:szCs w:val="21"/>
              </w:rPr>
              <w:t>萘</w:t>
            </w:r>
          </w:p>
        </w:tc>
        <w:tc>
          <w:tcPr>
            <w:tcW w:w="4072" w:type="dxa"/>
            <w:vMerge w:val="continue"/>
            <w:vAlign w:val="center"/>
          </w:tcPr>
          <w:p w14:paraId="1D3ECC4A">
            <w:pPr>
              <w:adjustRightInd/>
              <w:snapToGrid/>
              <w:spacing w:line="240" w:lineRule="auto"/>
              <w:ind w:firstLine="0" w:firstLineChars="0"/>
              <w:contextualSpacing/>
              <w:jc w:val="center"/>
              <w:rPr>
                <w:rFonts w:eastAsiaTheme="minorEastAsia"/>
                <w:bCs/>
                <w:sz w:val="21"/>
                <w:szCs w:val="21"/>
                <w:highlight w:val="yellow"/>
              </w:rPr>
            </w:pPr>
          </w:p>
        </w:tc>
        <w:tc>
          <w:tcPr>
            <w:tcW w:w="2037" w:type="dxa"/>
            <w:vMerge w:val="continue"/>
            <w:vAlign w:val="center"/>
          </w:tcPr>
          <w:p w14:paraId="1D3ECC4B">
            <w:pPr>
              <w:adjustRightInd/>
              <w:snapToGrid/>
              <w:spacing w:line="240" w:lineRule="auto"/>
              <w:ind w:firstLine="0" w:firstLineChars="0"/>
              <w:contextualSpacing/>
              <w:jc w:val="center"/>
              <w:rPr>
                <w:rFonts w:eastAsiaTheme="minorEastAsia"/>
                <w:sz w:val="21"/>
                <w:szCs w:val="21"/>
                <w:highlight w:val="yellow"/>
              </w:rPr>
            </w:pPr>
          </w:p>
        </w:tc>
        <w:tc>
          <w:tcPr>
            <w:tcW w:w="1066" w:type="dxa"/>
            <w:vAlign w:val="center"/>
          </w:tcPr>
          <w:p w14:paraId="1D3ECC4C">
            <w:pPr>
              <w:adjustRightInd/>
              <w:snapToGrid/>
              <w:spacing w:line="240" w:lineRule="auto"/>
              <w:ind w:firstLine="0" w:firstLineChars="0"/>
              <w:contextualSpacing/>
              <w:jc w:val="center"/>
              <w:rPr>
                <w:rFonts w:eastAsiaTheme="minorEastAsia"/>
                <w:bCs/>
                <w:sz w:val="21"/>
                <w:szCs w:val="21"/>
              </w:rPr>
            </w:pPr>
            <w:r>
              <w:rPr>
                <w:bCs/>
                <w:sz w:val="21"/>
                <w:szCs w:val="21"/>
              </w:rPr>
              <w:t>3μg/kg</w:t>
            </w:r>
          </w:p>
        </w:tc>
      </w:tr>
      <w:tr w14:paraId="1D3EC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17" w:type="dxa"/>
            <w:vAlign w:val="center"/>
          </w:tcPr>
          <w:p w14:paraId="1D3ECC4E">
            <w:pPr>
              <w:adjustRightInd/>
              <w:snapToGrid/>
              <w:spacing w:line="240" w:lineRule="auto"/>
              <w:ind w:firstLine="0" w:firstLineChars="0"/>
              <w:contextualSpacing/>
              <w:jc w:val="center"/>
              <w:rPr>
                <w:rFonts w:eastAsiaTheme="minorEastAsia"/>
                <w:sz w:val="21"/>
                <w:szCs w:val="21"/>
                <w:highlight w:val="yellow"/>
              </w:rPr>
            </w:pPr>
            <w:r>
              <w:rPr>
                <w:rFonts w:hint="eastAsia"/>
                <w:sz w:val="21"/>
                <w:szCs w:val="21"/>
              </w:rPr>
              <w:t>石油烃</w:t>
            </w:r>
          </w:p>
        </w:tc>
        <w:tc>
          <w:tcPr>
            <w:tcW w:w="4072" w:type="dxa"/>
            <w:vAlign w:val="center"/>
          </w:tcPr>
          <w:p w14:paraId="1D3ECC50">
            <w:pPr>
              <w:adjustRightInd/>
              <w:snapToGrid/>
              <w:spacing w:line="240" w:lineRule="auto"/>
              <w:ind w:firstLine="0" w:firstLineChars="0"/>
              <w:contextualSpacing/>
              <w:jc w:val="center"/>
              <w:rPr>
                <w:rFonts w:eastAsiaTheme="minorEastAsia"/>
                <w:bCs/>
                <w:sz w:val="21"/>
                <w:szCs w:val="21"/>
                <w:highlight w:val="yellow"/>
              </w:rPr>
            </w:pPr>
            <w:r>
              <w:rPr>
                <w:rFonts w:hint="eastAsia"/>
                <w:sz w:val="21"/>
                <w:szCs w:val="21"/>
              </w:rPr>
              <w:t>土壤和沉积物 石油烃(C10-C40)的测定气相色谱法HJ 1021-2019</w:t>
            </w:r>
          </w:p>
        </w:tc>
        <w:tc>
          <w:tcPr>
            <w:tcW w:w="2037" w:type="dxa"/>
            <w:vAlign w:val="center"/>
          </w:tcPr>
          <w:p w14:paraId="5B86079A">
            <w:pPr>
              <w:adjustRightInd/>
              <w:snapToGrid/>
              <w:spacing w:line="240" w:lineRule="auto"/>
              <w:ind w:firstLine="0" w:firstLineChars="0"/>
              <w:contextualSpacing/>
              <w:jc w:val="center"/>
              <w:rPr>
                <w:sz w:val="21"/>
                <w:szCs w:val="21"/>
              </w:rPr>
            </w:pPr>
            <w:r>
              <w:rPr>
                <w:rFonts w:hint="eastAsia"/>
                <w:sz w:val="21"/>
                <w:szCs w:val="21"/>
              </w:rPr>
              <w:t>气相色谱仪</w:t>
            </w:r>
          </w:p>
          <w:p w14:paraId="1D3ECC52">
            <w:pPr>
              <w:adjustRightInd/>
              <w:snapToGrid/>
              <w:spacing w:line="240" w:lineRule="auto"/>
              <w:ind w:firstLine="0" w:firstLineChars="0"/>
              <w:contextualSpacing/>
              <w:jc w:val="center"/>
              <w:rPr>
                <w:rFonts w:eastAsiaTheme="minorEastAsia"/>
                <w:bCs/>
                <w:sz w:val="21"/>
                <w:szCs w:val="21"/>
                <w:highlight w:val="yellow"/>
              </w:rPr>
            </w:pPr>
            <w:r>
              <w:rPr>
                <w:sz w:val="21"/>
                <w:szCs w:val="21"/>
              </w:rPr>
              <w:t>GC112N/FID</w:t>
            </w:r>
          </w:p>
        </w:tc>
        <w:tc>
          <w:tcPr>
            <w:tcW w:w="1066" w:type="dxa"/>
            <w:vAlign w:val="center"/>
          </w:tcPr>
          <w:p w14:paraId="1D3ECC53">
            <w:pPr>
              <w:adjustRightInd/>
              <w:snapToGrid/>
              <w:spacing w:line="240" w:lineRule="auto"/>
              <w:ind w:firstLine="0" w:firstLineChars="0"/>
              <w:contextualSpacing/>
              <w:jc w:val="center"/>
              <w:rPr>
                <w:rFonts w:eastAsiaTheme="minorEastAsia"/>
                <w:bCs/>
                <w:sz w:val="21"/>
                <w:szCs w:val="21"/>
                <w:highlight w:val="yellow"/>
              </w:rPr>
            </w:pPr>
            <w:r>
              <w:rPr>
                <w:rFonts w:hint="eastAsia"/>
                <w:bCs/>
                <w:sz w:val="21"/>
                <w:szCs w:val="21"/>
              </w:rPr>
              <w:t>6</w:t>
            </w:r>
            <w:r>
              <w:rPr>
                <w:bCs/>
                <w:sz w:val="21"/>
                <w:szCs w:val="21"/>
              </w:rPr>
              <w:t>mg/kg</w:t>
            </w:r>
          </w:p>
        </w:tc>
      </w:tr>
    </w:tbl>
    <w:p w14:paraId="1D3ECC61">
      <w:pPr>
        <w:ind w:firstLine="480"/>
        <w:rPr>
          <w:highlight w:val="yellow"/>
        </w:rPr>
      </w:pPr>
    </w:p>
    <w:p w14:paraId="1D3ECC62">
      <w:pPr>
        <w:pStyle w:val="6"/>
        <w:ind w:left="0" w:firstLine="482" w:firstLineChars="200"/>
      </w:pPr>
      <w:r>
        <w:t>监测结果及评价标准</w:t>
      </w:r>
    </w:p>
    <w:p w14:paraId="1D3ECC64">
      <w:pPr>
        <w:ind w:firstLine="480"/>
        <w:rPr>
          <w:highlight w:val="yellow"/>
        </w:rPr>
      </w:pPr>
      <w:r>
        <w:t>土壤监测结果如下：</w:t>
      </w:r>
    </w:p>
    <w:p w14:paraId="3B22225A">
      <w:pPr>
        <w:ind w:firstLine="480"/>
        <w:rPr>
          <w:highlight w:val="yellow"/>
        </w:rPr>
        <w:sectPr>
          <w:pgSz w:w="11906" w:h="16838"/>
          <w:pgMar w:top="1440" w:right="1797" w:bottom="1440" w:left="1797" w:header="851" w:footer="992" w:gutter="0"/>
          <w:cols w:space="425" w:num="1"/>
          <w:docGrid w:linePitch="312" w:charSpace="0"/>
        </w:sectPr>
      </w:pPr>
    </w:p>
    <w:p w14:paraId="1D3ECC66">
      <w:pPr>
        <w:numPr>
          <w:ilvl w:val="0"/>
          <w:numId w:val="23"/>
        </w:numPr>
        <w:adjustRightInd/>
        <w:snapToGrid/>
        <w:ind w:firstLineChars="0"/>
        <w:textAlignment w:val="auto"/>
        <w:rPr>
          <w:rFonts w:eastAsia="黑体"/>
        </w:rPr>
      </w:pPr>
      <w:r>
        <w:rPr>
          <w:rFonts w:eastAsia="黑体"/>
        </w:rPr>
        <w:t xml:space="preserve">   </w:t>
      </w:r>
      <w:r>
        <w:rPr>
          <w:rFonts w:hint="eastAsia" w:eastAsia="黑体"/>
        </w:rPr>
        <w:t xml:space="preserve">          </w:t>
      </w:r>
      <w:r>
        <w:rPr>
          <w:rFonts w:eastAsia="黑体"/>
        </w:rPr>
        <w:t>土壤现状监测结果</w:t>
      </w:r>
      <w:r>
        <w:rPr>
          <w:rFonts w:hint="eastAsia" w:eastAsia="黑体"/>
        </w:rPr>
        <w:t xml:space="preserve">1  </w:t>
      </w:r>
      <w:r>
        <w:rPr>
          <w:rFonts w:eastAsia="黑体"/>
        </w:rPr>
        <w:t xml:space="preserve">       单位：mg/kg，pH除外</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99"/>
        <w:gridCol w:w="1281"/>
        <w:gridCol w:w="997"/>
        <w:gridCol w:w="1369"/>
        <w:gridCol w:w="1043"/>
        <w:gridCol w:w="1027"/>
        <w:gridCol w:w="916"/>
      </w:tblGrid>
      <w:tr w14:paraId="1D3EC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020" w:type="pct"/>
            <w:shd w:val="clear" w:color="auto" w:fill="auto"/>
            <w:vAlign w:val="center"/>
          </w:tcPr>
          <w:p w14:paraId="1D3ECC67">
            <w:pPr>
              <w:adjustRightInd/>
              <w:snapToGrid/>
              <w:spacing w:line="240" w:lineRule="auto"/>
              <w:ind w:firstLine="0" w:firstLineChars="0"/>
              <w:contextualSpacing/>
              <w:jc w:val="center"/>
              <w:rPr>
                <w:b/>
                <w:bCs/>
                <w:sz w:val="21"/>
                <w:szCs w:val="21"/>
              </w:rPr>
            </w:pPr>
            <w:r>
              <w:rPr>
                <w:b/>
                <w:bCs/>
                <w:sz w:val="21"/>
                <w:szCs w:val="21"/>
              </w:rPr>
              <w:t>点位</w:t>
            </w:r>
          </w:p>
        </w:tc>
        <w:tc>
          <w:tcPr>
            <w:tcW w:w="769" w:type="pct"/>
            <w:shd w:val="clear" w:color="auto" w:fill="auto"/>
            <w:vAlign w:val="center"/>
          </w:tcPr>
          <w:p w14:paraId="557E2E82">
            <w:pPr>
              <w:adjustRightInd/>
              <w:snapToGrid/>
              <w:spacing w:line="240" w:lineRule="auto"/>
              <w:ind w:firstLine="0" w:firstLineChars="0"/>
              <w:contextualSpacing/>
              <w:jc w:val="center"/>
              <w:rPr>
                <w:b/>
                <w:bCs/>
                <w:sz w:val="21"/>
                <w:szCs w:val="21"/>
                <w:highlight w:val="yellow"/>
              </w:rPr>
            </w:pPr>
            <w:r>
              <w:rPr>
                <w:rFonts w:hint="eastAsia"/>
                <w:b/>
                <w:bCs/>
                <w:sz w:val="21"/>
                <w:szCs w:val="21"/>
              </w:rPr>
              <w:t>厂房内西北角</w:t>
            </w:r>
          </w:p>
        </w:tc>
        <w:tc>
          <w:tcPr>
            <w:tcW w:w="2045" w:type="pct"/>
            <w:gridSpan w:val="3"/>
            <w:shd w:val="clear" w:color="auto" w:fill="auto"/>
            <w:vAlign w:val="center"/>
          </w:tcPr>
          <w:p w14:paraId="1D3ECC69">
            <w:pPr>
              <w:adjustRightInd/>
              <w:snapToGrid/>
              <w:spacing w:line="240" w:lineRule="auto"/>
              <w:ind w:firstLine="0" w:firstLineChars="0"/>
              <w:contextualSpacing/>
              <w:jc w:val="center"/>
              <w:rPr>
                <w:b/>
                <w:bCs/>
                <w:sz w:val="21"/>
                <w:szCs w:val="21"/>
                <w:highlight w:val="yellow"/>
              </w:rPr>
            </w:pPr>
            <w:r>
              <w:rPr>
                <w:rFonts w:hint="eastAsia"/>
                <w:b/>
                <w:bCs/>
                <w:sz w:val="21"/>
                <w:szCs w:val="21"/>
              </w:rPr>
              <w:t>污水处理站拟建处</w:t>
            </w:r>
          </w:p>
        </w:tc>
        <w:tc>
          <w:tcPr>
            <w:tcW w:w="616" w:type="pct"/>
            <w:vMerge w:val="restart"/>
            <w:shd w:val="clear" w:color="auto" w:fill="auto"/>
            <w:vAlign w:val="center"/>
          </w:tcPr>
          <w:p w14:paraId="1D3ECC6C">
            <w:pPr>
              <w:adjustRightInd/>
              <w:snapToGrid/>
              <w:spacing w:line="240" w:lineRule="auto"/>
              <w:ind w:firstLine="0" w:firstLineChars="0"/>
              <w:contextualSpacing/>
              <w:jc w:val="center"/>
              <w:rPr>
                <w:b/>
                <w:bCs/>
                <w:sz w:val="21"/>
                <w:szCs w:val="21"/>
              </w:rPr>
            </w:pPr>
            <w:r>
              <w:rPr>
                <w:b/>
                <w:bCs/>
                <w:sz w:val="21"/>
                <w:szCs w:val="21"/>
              </w:rPr>
              <w:t>标准</w:t>
            </w:r>
          </w:p>
        </w:tc>
        <w:tc>
          <w:tcPr>
            <w:tcW w:w="550" w:type="pct"/>
            <w:vMerge w:val="restart"/>
            <w:shd w:val="clear" w:color="auto" w:fill="auto"/>
            <w:vAlign w:val="center"/>
          </w:tcPr>
          <w:p w14:paraId="1D3ECC6D">
            <w:pPr>
              <w:adjustRightInd/>
              <w:snapToGrid/>
              <w:spacing w:line="240" w:lineRule="auto"/>
              <w:ind w:firstLine="0" w:firstLineChars="0"/>
              <w:contextualSpacing/>
              <w:jc w:val="center"/>
              <w:rPr>
                <w:b/>
                <w:bCs/>
                <w:sz w:val="21"/>
                <w:szCs w:val="21"/>
              </w:rPr>
            </w:pPr>
            <w:r>
              <w:rPr>
                <w:b/>
                <w:bCs/>
                <w:sz w:val="21"/>
                <w:szCs w:val="21"/>
              </w:rPr>
              <w:t>达标</w:t>
            </w:r>
          </w:p>
          <w:p w14:paraId="1D3ECC6E">
            <w:pPr>
              <w:adjustRightInd/>
              <w:snapToGrid/>
              <w:spacing w:line="240" w:lineRule="auto"/>
              <w:ind w:firstLine="0" w:firstLineChars="0"/>
              <w:contextualSpacing/>
              <w:jc w:val="center"/>
              <w:rPr>
                <w:b/>
                <w:bCs/>
                <w:sz w:val="21"/>
                <w:szCs w:val="21"/>
              </w:rPr>
            </w:pPr>
            <w:r>
              <w:rPr>
                <w:b/>
                <w:bCs/>
                <w:sz w:val="21"/>
                <w:szCs w:val="21"/>
              </w:rPr>
              <w:t>分析</w:t>
            </w:r>
          </w:p>
        </w:tc>
      </w:tr>
      <w:tr w14:paraId="1D3EC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70">
            <w:pPr>
              <w:adjustRightInd/>
              <w:snapToGrid/>
              <w:spacing w:line="240" w:lineRule="auto"/>
              <w:ind w:firstLine="0" w:firstLineChars="0"/>
              <w:contextualSpacing/>
              <w:jc w:val="center"/>
              <w:rPr>
                <w:b/>
                <w:bCs/>
                <w:sz w:val="21"/>
                <w:szCs w:val="21"/>
              </w:rPr>
            </w:pPr>
            <w:r>
              <w:rPr>
                <w:b/>
                <w:bCs/>
                <w:sz w:val="21"/>
                <w:szCs w:val="21"/>
              </w:rPr>
              <w:t>因子</w:t>
            </w:r>
          </w:p>
        </w:tc>
        <w:tc>
          <w:tcPr>
            <w:tcW w:w="769" w:type="pct"/>
            <w:shd w:val="clear" w:color="auto" w:fill="auto"/>
            <w:vAlign w:val="center"/>
          </w:tcPr>
          <w:p w14:paraId="1D3ECC71">
            <w:pPr>
              <w:adjustRightInd/>
              <w:snapToGrid/>
              <w:spacing w:line="240" w:lineRule="auto"/>
              <w:ind w:firstLine="0" w:firstLineChars="0"/>
              <w:contextualSpacing/>
              <w:jc w:val="center"/>
              <w:rPr>
                <w:rFonts w:eastAsia="等线"/>
                <w:b/>
                <w:bCs/>
                <w:sz w:val="21"/>
                <w:szCs w:val="21"/>
              </w:rPr>
            </w:pPr>
            <w:r>
              <w:rPr>
                <w:rFonts w:eastAsia="等线"/>
                <w:b/>
                <w:bCs/>
                <w:sz w:val="21"/>
                <w:szCs w:val="21"/>
              </w:rPr>
              <w:t>0-0.</w:t>
            </w:r>
            <w:r>
              <w:rPr>
                <w:rFonts w:hint="eastAsia" w:eastAsia="等线"/>
                <w:b/>
                <w:bCs/>
                <w:sz w:val="21"/>
                <w:szCs w:val="21"/>
              </w:rPr>
              <w:t>2</w:t>
            </w:r>
            <w:r>
              <w:rPr>
                <w:rFonts w:eastAsia="等线"/>
                <w:b/>
                <w:bCs/>
                <w:sz w:val="21"/>
                <w:szCs w:val="21"/>
              </w:rPr>
              <w:t>m</w:t>
            </w:r>
          </w:p>
        </w:tc>
        <w:tc>
          <w:tcPr>
            <w:tcW w:w="598" w:type="pct"/>
            <w:vAlign w:val="center"/>
          </w:tcPr>
          <w:p w14:paraId="1D3ECC74">
            <w:pPr>
              <w:adjustRightInd/>
              <w:snapToGrid/>
              <w:spacing w:line="240" w:lineRule="auto"/>
              <w:ind w:firstLine="0" w:firstLineChars="0"/>
              <w:contextualSpacing/>
              <w:jc w:val="center"/>
              <w:rPr>
                <w:rFonts w:eastAsia="等线"/>
                <w:b/>
                <w:bCs/>
                <w:sz w:val="21"/>
                <w:szCs w:val="21"/>
              </w:rPr>
            </w:pPr>
            <w:r>
              <w:rPr>
                <w:rFonts w:eastAsia="等线"/>
                <w:b/>
                <w:bCs/>
                <w:sz w:val="21"/>
                <w:szCs w:val="21"/>
              </w:rPr>
              <w:t>0-0.5m</w:t>
            </w:r>
          </w:p>
        </w:tc>
        <w:tc>
          <w:tcPr>
            <w:tcW w:w="821" w:type="pct"/>
            <w:vAlign w:val="center"/>
          </w:tcPr>
          <w:p w14:paraId="1D3ECC75">
            <w:pPr>
              <w:adjustRightInd/>
              <w:snapToGrid/>
              <w:spacing w:line="240" w:lineRule="auto"/>
              <w:ind w:firstLine="0" w:firstLineChars="0"/>
              <w:contextualSpacing/>
              <w:jc w:val="center"/>
              <w:rPr>
                <w:rFonts w:eastAsia="等线"/>
                <w:b/>
                <w:bCs/>
                <w:sz w:val="21"/>
                <w:szCs w:val="21"/>
              </w:rPr>
            </w:pPr>
            <w:r>
              <w:rPr>
                <w:rFonts w:eastAsia="等线"/>
                <w:b/>
                <w:bCs/>
                <w:sz w:val="21"/>
                <w:szCs w:val="21"/>
              </w:rPr>
              <w:t>0.5-1.5m</w:t>
            </w:r>
          </w:p>
        </w:tc>
        <w:tc>
          <w:tcPr>
            <w:tcW w:w="626" w:type="pct"/>
            <w:vAlign w:val="center"/>
          </w:tcPr>
          <w:p w14:paraId="1D3ECC76">
            <w:pPr>
              <w:adjustRightInd/>
              <w:snapToGrid/>
              <w:spacing w:line="240" w:lineRule="auto"/>
              <w:ind w:firstLine="0" w:firstLineChars="0"/>
              <w:contextualSpacing/>
              <w:jc w:val="center"/>
              <w:rPr>
                <w:rFonts w:eastAsia="等线"/>
                <w:b/>
                <w:bCs/>
                <w:sz w:val="21"/>
                <w:szCs w:val="21"/>
              </w:rPr>
            </w:pPr>
            <w:r>
              <w:rPr>
                <w:rFonts w:eastAsia="等线"/>
                <w:b/>
                <w:bCs/>
                <w:sz w:val="21"/>
                <w:szCs w:val="21"/>
              </w:rPr>
              <w:t>1.5-3m</w:t>
            </w:r>
          </w:p>
        </w:tc>
        <w:tc>
          <w:tcPr>
            <w:tcW w:w="616" w:type="pct"/>
            <w:vMerge w:val="continue"/>
            <w:vAlign w:val="center"/>
          </w:tcPr>
          <w:p w14:paraId="1D3ECC7B">
            <w:pPr>
              <w:adjustRightInd/>
              <w:snapToGrid/>
              <w:spacing w:line="240" w:lineRule="auto"/>
              <w:ind w:firstLine="0" w:firstLineChars="0"/>
              <w:contextualSpacing/>
              <w:jc w:val="center"/>
              <w:rPr>
                <w:sz w:val="21"/>
                <w:szCs w:val="21"/>
                <w:highlight w:val="yellow"/>
              </w:rPr>
            </w:pPr>
          </w:p>
        </w:tc>
        <w:tc>
          <w:tcPr>
            <w:tcW w:w="550" w:type="pct"/>
            <w:vMerge w:val="continue"/>
            <w:vAlign w:val="center"/>
          </w:tcPr>
          <w:p w14:paraId="1D3ECC7C">
            <w:pPr>
              <w:adjustRightInd/>
              <w:snapToGrid/>
              <w:spacing w:line="240" w:lineRule="auto"/>
              <w:ind w:firstLine="0" w:firstLineChars="0"/>
              <w:contextualSpacing/>
              <w:jc w:val="center"/>
              <w:rPr>
                <w:sz w:val="21"/>
                <w:szCs w:val="21"/>
                <w:highlight w:val="yellow"/>
              </w:rPr>
            </w:pPr>
          </w:p>
        </w:tc>
      </w:tr>
      <w:tr w14:paraId="1D3EC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7E">
            <w:pPr>
              <w:adjustRightInd/>
              <w:snapToGrid/>
              <w:spacing w:line="240" w:lineRule="auto"/>
              <w:ind w:firstLine="0" w:firstLineChars="0"/>
              <w:contextualSpacing/>
              <w:jc w:val="center"/>
              <w:rPr>
                <w:sz w:val="21"/>
                <w:szCs w:val="21"/>
              </w:rPr>
            </w:pPr>
            <w:r>
              <w:rPr>
                <w:sz w:val="21"/>
                <w:szCs w:val="21"/>
              </w:rPr>
              <w:t>pH</w:t>
            </w:r>
          </w:p>
        </w:tc>
        <w:tc>
          <w:tcPr>
            <w:tcW w:w="769" w:type="pct"/>
            <w:shd w:val="clear" w:color="auto" w:fill="auto"/>
            <w:vAlign w:val="center"/>
          </w:tcPr>
          <w:p w14:paraId="1D3ECC7F">
            <w:pPr>
              <w:adjustRightInd/>
              <w:snapToGrid/>
              <w:spacing w:line="240" w:lineRule="auto"/>
              <w:ind w:firstLine="0" w:firstLineChars="0"/>
              <w:contextualSpacing/>
              <w:jc w:val="center"/>
              <w:rPr>
                <w:sz w:val="21"/>
                <w:szCs w:val="21"/>
              </w:rPr>
            </w:pPr>
            <w:r>
              <w:rPr>
                <w:rFonts w:hint="eastAsia"/>
                <w:sz w:val="21"/>
                <w:szCs w:val="21"/>
              </w:rPr>
              <w:t>7.26</w:t>
            </w:r>
          </w:p>
        </w:tc>
        <w:tc>
          <w:tcPr>
            <w:tcW w:w="598" w:type="pct"/>
            <w:shd w:val="clear" w:color="auto" w:fill="auto"/>
            <w:vAlign w:val="center"/>
          </w:tcPr>
          <w:p w14:paraId="1D3ECC82">
            <w:pPr>
              <w:adjustRightInd/>
              <w:snapToGrid/>
              <w:spacing w:line="240" w:lineRule="auto"/>
              <w:ind w:firstLine="0" w:firstLineChars="0"/>
              <w:contextualSpacing/>
              <w:jc w:val="center"/>
              <w:rPr>
                <w:sz w:val="21"/>
                <w:szCs w:val="21"/>
              </w:rPr>
            </w:pPr>
            <w:r>
              <w:rPr>
                <w:rFonts w:hint="eastAsia"/>
                <w:sz w:val="21"/>
                <w:szCs w:val="21"/>
              </w:rPr>
              <w:t>7.13</w:t>
            </w:r>
          </w:p>
        </w:tc>
        <w:tc>
          <w:tcPr>
            <w:tcW w:w="821" w:type="pct"/>
            <w:shd w:val="clear" w:color="auto" w:fill="auto"/>
            <w:vAlign w:val="center"/>
          </w:tcPr>
          <w:p w14:paraId="1D3ECC83">
            <w:pPr>
              <w:adjustRightInd/>
              <w:snapToGrid/>
              <w:spacing w:line="240" w:lineRule="auto"/>
              <w:ind w:firstLine="0" w:firstLineChars="0"/>
              <w:contextualSpacing/>
              <w:jc w:val="center"/>
              <w:rPr>
                <w:sz w:val="21"/>
                <w:szCs w:val="21"/>
              </w:rPr>
            </w:pPr>
            <w:r>
              <w:rPr>
                <w:rFonts w:hint="eastAsia"/>
                <w:sz w:val="21"/>
                <w:szCs w:val="21"/>
              </w:rPr>
              <w:t>7.18</w:t>
            </w:r>
          </w:p>
        </w:tc>
        <w:tc>
          <w:tcPr>
            <w:tcW w:w="626" w:type="pct"/>
            <w:shd w:val="clear" w:color="auto" w:fill="auto"/>
            <w:vAlign w:val="center"/>
          </w:tcPr>
          <w:p w14:paraId="1D3ECC84">
            <w:pPr>
              <w:adjustRightInd/>
              <w:snapToGrid/>
              <w:spacing w:line="240" w:lineRule="auto"/>
              <w:ind w:firstLine="0" w:firstLineChars="0"/>
              <w:contextualSpacing/>
              <w:jc w:val="center"/>
              <w:rPr>
                <w:sz w:val="21"/>
                <w:szCs w:val="21"/>
              </w:rPr>
            </w:pPr>
            <w:r>
              <w:rPr>
                <w:rFonts w:hint="eastAsia"/>
                <w:sz w:val="21"/>
                <w:szCs w:val="21"/>
              </w:rPr>
              <w:t>7.19</w:t>
            </w:r>
          </w:p>
        </w:tc>
        <w:tc>
          <w:tcPr>
            <w:tcW w:w="616" w:type="pct"/>
            <w:shd w:val="clear" w:color="auto" w:fill="auto"/>
            <w:vAlign w:val="center"/>
          </w:tcPr>
          <w:p w14:paraId="1D3ECC89">
            <w:pPr>
              <w:adjustRightInd/>
              <w:snapToGrid/>
              <w:spacing w:line="240" w:lineRule="auto"/>
              <w:ind w:firstLine="0" w:firstLineChars="0"/>
              <w:contextualSpacing/>
              <w:jc w:val="center"/>
              <w:rPr>
                <w:sz w:val="21"/>
                <w:szCs w:val="21"/>
              </w:rPr>
            </w:pPr>
            <w:r>
              <w:rPr>
                <w:sz w:val="21"/>
                <w:szCs w:val="21"/>
              </w:rPr>
              <w:t>/</w:t>
            </w:r>
          </w:p>
        </w:tc>
        <w:tc>
          <w:tcPr>
            <w:tcW w:w="550" w:type="pct"/>
            <w:shd w:val="clear" w:color="auto" w:fill="auto"/>
            <w:vAlign w:val="center"/>
          </w:tcPr>
          <w:p w14:paraId="1D3ECC8A">
            <w:pPr>
              <w:adjustRightInd/>
              <w:snapToGrid/>
              <w:spacing w:line="240" w:lineRule="auto"/>
              <w:ind w:firstLine="0" w:firstLineChars="0"/>
              <w:contextualSpacing/>
              <w:jc w:val="center"/>
              <w:rPr>
                <w:sz w:val="21"/>
                <w:szCs w:val="21"/>
              </w:rPr>
            </w:pPr>
            <w:r>
              <w:rPr>
                <w:sz w:val="21"/>
                <w:szCs w:val="21"/>
              </w:rPr>
              <w:t>达标</w:t>
            </w:r>
          </w:p>
        </w:tc>
      </w:tr>
      <w:tr w14:paraId="1D3EC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8C">
            <w:pPr>
              <w:adjustRightInd/>
              <w:snapToGrid/>
              <w:spacing w:line="240" w:lineRule="auto"/>
              <w:ind w:firstLine="0" w:firstLineChars="0"/>
              <w:contextualSpacing/>
              <w:jc w:val="center"/>
              <w:rPr>
                <w:sz w:val="21"/>
                <w:szCs w:val="21"/>
              </w:rPr>
            </w:pPr>
            <w:r>
              <w:rPr>
                <w:sz w:val="21"/>
                <w:szCs w:val="21"/>
              </w:rPr>
              <w:t>砷</w:t>
            </w:r>
          </w:p>
        </w:tc>
        <w:tc>
          <w:tcPr>
            <w:tcW w:w="769" w:type="pct"/>
            <w:shd w:val="clear" w:color="auto" w:fill="auto"/>
            <w:vAlign w:val="center"/>
          </w:tcPr>
          <w:p w14:paraId="1D3ECC8D">
            <w:pPr>
              <w:adjustRightInd/>
              <w:snapToGrid/>
              <w:spacing w:line="240" w:lineRule="auto"/>
              <w:ind w:firstLine="0" w:firstLineChars="0"/>
              <w:contextualSpacing/>
              <w:jc w:val="center"/>
              <w:rPr>
                <w:sz w:val="21"/>
                <w:szCs w:val="21"/>
              </w:rPr>
            </w:pPr>
            <w:r>
              <w:rPr>
                <w:rFonts w:hint="eastAsia"/>
                <w:sz w:val="21"/>
                <w:szCs w:val="21"/>
              </w:rPr>
              <w:t>6.34</w:t>
            </w:r>
          </w:p>
        </w:tc>
        <w:tc>
          <w:tcPr>
            <w:tcW w:w="598" w:type="pct"/>
            <w:shd w:val="clear" w:color="auto" w:fill="auto"/>
            <w:vAlign w:val="center"/>
          </w:tcPr>
          <w:p w14:paraId="1D3ECC90">
            <w:pPr>
              <w:adjustRightInd/>
              <w:snapToGrid/>
              <w:spacing w:line="240" w:lineRule="auto"/>
              <w:ind w:firstLine="0" w:firstLineChars="0"/>
              <w:contextualSpacing/>
              <w:jc w:val="center"/>
              <w:rPr>
                <w:sz w:val="21"/>
                <w:szCs w:val="21"/>
              </w:rPr>
            </w:pPr>
            <w:r>
              <w:rPr>
                <w:rFonts w:hint="eastAsia"/>
                <w:sz w:val="21"/>
                <w:szCs w:val="21"/>
              </w:rPr>
              <w:t>6.42</w:t>
            </w:r>
          </w:p>
        </w:tc>
        <w:tc>
          <w:tcPr>
            <w:tcW w:w="821" w:type="pct"/>
            <w:shd w:val="clear" w:color="auto" w:fill="auto"/>
            <w:vAlign w:val="center"/>
          </w:tcPr>
          <w:p w14:paraId="1D3ECC91">
            <w:pPr>
              <w:adjustRightInd/>
              <w:snapToGrid/>
              <w:spacing w:line="240" w:lineRule="auto"/>
              <w:ind w:firstLine="0" w:firstLineChars="0"/>
              <w:contextualSpacing/>
              <w:jc w:val="center"/>
              <w:rPr>
                <w:sz w:val="21"/>
                <w:szCs w:val="21"/>
              </w:rPr>
            </w:pPr>
            <w:r>
              <w:rPr>
                <w:rFonts w:hint="eastAsia"/>
                <w:sz w:val="21"/>
                <w:szCs w:val="21"/>
              </w:rPr>
              <w:t>6.51</w:t>
            </w:r>
          </w:p>
        </w:tc>
        <w:tc>
          <w:tcPr>
            <w:tcW w:w="626" w:type="pct"/>
            <w:shd w:val="clear" w:color="auto" w:fill="auto"/>
            <w:vAlign w:val="center"/>
          </w:tcPr>
          <w:p w14:paraId="1D3ECC92">
            <w:pPr>
              <w:adjustRightInd/>
              <w:snapToGrid/>
              <w:spacing w:line="240" w:lineRule="auto"/>
              <w:ind w:firstLine="0" w:firstLineChars="0"/>
              <w:contextualSpacing/>
              <w:jc w:val="center"/>
              <w:rPr>
                <w:sz w:val="21"/>
                <w:szCs w:val="21"/>
              </w:rPr>
            </w:pPr>
            <w:r>
              <w:rPr>
                <w:rFonts w:hint="eastAsia"/>
                <w:sz w:val="21"/>
                <w:szCs w:val="21"/>
              </w:rPr>
              <w:t>7.32</w:t>
            </w:r>
          </w:p>
        </w:tc>
        <w:tc>
          <w:tcPr>
            <w:tcW w:w="616" w:type="pct"/>
            <w:shd w:val="clear" w:color="auto" w:fill="auto"/>
            <w:vAlign w:val="center"/>
          </w:tcPr>
          <w:p w14:paraId="1D3ECC97">
            <w:pPr>
              <w:adjustRightInd/>
              <w:snapToGrid/>
              <w:spacing w:line="240" w:lineRule="auto"/>
              <w:ind w:firstLine="0" w:firstLineChars="0"/>
              <w:contextualSpacing/>
              <w:jc w:val="center"/>
              <w:rPr>
                <w:sz w:val="21"/>
                <w:szCs w:val="21"/>
              </w:rPr>
            </w:pPr>
            <w:r>
              <w:rPr>
                <w:sz w:val="21"/>
                <w:szCs w:val="21"/>
              </w:rPr>
              <w:t>60</w:t>
            </w:r>
          </w:p>
        </w:tc>
        <w:tc>
          <w:tcPr>
            <w:tcW w:w="550" w:type="pct"/>
            <w:shd w:val="clear" w:color="auto" w:fill="auto"/>
            <w:vAlign w:val="center"/>
          </w:tcPr>
          <w:p w14:paraId="1D3ECC98">
            <w:pPr>
              <w:adjustRightInd/>
              <w:snapToGrid/>
              <w:spacing w:line="240" w:lineRule="auto"/>
              <w:ind w:firstLine="0" w:firstLineChars="0"/>
              <w:contextualSpacing/>
              <w:jc w:val="center"/>
              <w:rPr>
                <w:sz w:val="21"/>
                <w:szCs w:val="21"/>
              </w:rPr>
            </w:pPr>
            <w:r>
              <w:rPr>
                <w:sz w:val="21"/>
                <w:szCs w:val="21"/>
              </w:rPr>
              <w:t>达标</w:t>
            </w:r>
          </w:p>
        </w:tc>
      </w:tr>
      <w:tr w14:paraId="1D3EC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9A">
            <w:pPr>
              <w:adjustRightInd/>
              <w:snapToGrid/>
              <w:spacing w:line="240" w:lineRule="auto"/>
              <w:ind w:firstLine="0" w:firstLineChars="0"/>
              <w:contextualSpacing/>
              <w:jc w:val="center"/>
              <w:rPr>
                <w:sz w:val="21"/>
                <w:szCs w:val="21"/>
              </w:rPr>
            </w:pPr>
            <w:r>
              <w:rPr>
                <w:sz w:val="21"/>
                <w:szCs w:val="21"/>
              </w:rPr>
              <w:t>镉</w:t>
            </w:r>
          </w:p>
        </w:tc>
        <w:tc>
          <w:tcPr>
            <w:tcW w:w="769" w:type="pct"/>
            <w:shd w:val="clear" w:color="auto" w:fill="auto"/>
            <w:vAlign w:val="center"/>
          </w:tcPr>
          <w:p w14:paraId="1D3ECC9B">
            <w:pPr>
              <w:adjustRightInd/>
              <w:snapToGrid/>
              <w:spacing w:line="240" w:lineRule="auto"/>
              <w:ind w:firstLine="0" w:firstLineChars="0"/>
              <w:contextualSpacing/>
              <w:jc w:val="center"/>
              <w:rPr>
                <w:rFonts w:eastAsiaTheme="minorEastAsia"/>
                <w:sz w:val="21"/>
                <w:szCs w:val="21"/>
              </w:rPr>
            </w:pPr>
            <w:r>
              <w:rPr>
                <w:rFonts w:hint="eastAsia" w:eastAsiaTheme="minorEastAsia"/>
                <w:sz w:val="21"/>
                <w:szCs w:val="21"/>
              </w:rPr>
              <w:t>0.35</w:t>
            </w:r>
          </w:p>
        </w:tc>
        <w:tc>
          <w:tcPr>
            <w:tcW w:w="598" w:type="pct"/>
            <w:shd w:val="clear" w:color="auto" w:fill="auto"/>
            <w:vAlign w:val="center"/>
          </w:tcPr>
          <w:p w14:paraId="1D3ECC9E">
            <w:pPr>
              <w:adjustRightInd/>
              <w:snapToGrid/>
              <w:spacing w:line="240" w:lineRule="auto"/>
              <w:ind w:firstLine="0" w:firstLineChars="0"/>
              <w:contextualSpacing/>
              <w:jc w:val="center"/>
              <w:rPr>
                <w:rFonts w:eastAsiaTheme="minorEastAsia"/>
                <w:sz w:val="21"/>
                <w:szCs w:val="21"/>
              </w:rPr>
            </w:pPr>
            <w:r>
              <w:rPr>
                <w:rFonts w:hint="eastAsia" w:eastAsiaTheme="minorEastAsia"/>
                <w:sz w:val="21"/>
                <w:szCs w:val="21"/>
              </w:rPr>
              <w:t>0.26</w:t>
            </w:r>
          </w:p>
        </w:tc>
        <w:tc>
          <w:tcPr>
            <w:tcW w:w="821" w:type="pct"/>
            <w:shd w:val="clear" w:color="auto" w:fill="auto"/>
            <w:vAlign w:val="center"/>
          </w:tcPr>
          <w:p w14:paraId="1D3ECC9F">
            <w:pPr>
              <w:adjustRightInd/>
              <w:snapToGrid/>
              <w:spacing w:line="240" w:lineRule="auto"/>
              <w:ind w:firstLine="0" w:firstLineChars="0"/>
              <w:contextualSpacing/>
              <w:jc w:val="center"/>
              <w:rPr>
                <w:sz w:val="21"/>
                <w:szCs w:val="21"/>
              </w:rPr>
            </w:pPr>
            <w:r>
              <w:rPr>
                <w:rFonts w:hint="eastAsia"/>
                <w:sz w:val="21"/>
                <w:szCs w:val="21"/>
              </w:rPr>
              <w:t>0.27</w:t>
            </w:r>
          </w:p>
        </w:tc>
        <w:tc>
          <w:tcPr>
            <w:tcW w:w="626" w:type="pct"/>
            <w:shd w:val="clear" w:color="auto" w:fill="auto"/>
            <w:vAlign w:val="center"/>
          </w:tcPr>
          <w:p w14:paraId="1D3ECCA0">
            <w:pPr>
              <w:adjustRightInd/>
              <w:snapToGrid/>
              <w:spacing w:line="240" w:lineRule="auto"/>
              <w:ind w:firstLine="0" w:firstLineChars="0"/>
              <w:contextualSpacing/>
              <w:jc w:val="center"/>
              <w:rPr>
                <w:sz w:val="21"/>
                <w:szCs w:val="21"/>
              </w:rPr>
            </w:pPr>
            <w:r>
              <w:rPr>
                <w:rFonts w:hint="eastAsia"/>
                <w:sz w:val="21"/>
                <w:szCs w:val="21"/>
              </w:rPr>
              <w:t>0.24</w:t>
            </w:r>
          </w:p>
        </w:tc>
        <w:tc>
          <w:tcPr>
            <w:tcW w:w="616" w:type="pct"/>
            <w:shd w:val="clear" w:color="auto" w:fill="auto"/>
            <w:vAlign w:val="center"/>
          </w:tcPr>
          <w:p w14:paraId="1D3ECCA5">
            <w:pPr>
              <w:adjustRightInd/>
              <w:snapToGrid/>
              <w:spacing w:line="240" w:lineRule="auto"/>
              <w:ind w:firstLine="0" w:firstLineChars="0"/>
              <w:contextualSpacing/>
              <w:jc w:val="center"/>
              <w:rPr>
                <w:sz w:val="21"/>
                <w:szCs w:val="21"/>
              </w:rPr>
            </w:pPr>
            <w:r>
              <w:rPr>
                <w:sz w:val="21"/>
                <w:szCs w:val="21"/>
              </w:rPr>
              <w:t>65</w:t>
            </w:r>
          </w:p>
        </w:tc>
        <w:tc>
          <w:tcPr>
            <w:tcW w:w="550" w:type="pct"/>
            <w:shd w:val="clear" w:color="auto" w:fill="auto"/>
            <w:vAlign w:val="center"/>
          </w:tcPr>
          <w:p w14:paraId="1D3ECCA6">
            <w:pPr>
              <w:adjustRightInd/>
              <w:snapToGrid/>
              <w:spacing w:line="240" w:lineRule="auto"/>
              <w:ind w:firstLine="0" w:firstLineChars="0"/>
              <w:contextualSpacing/>
              <w:jc w:val="center"/>
              <w:rPr>
                <w:sz w:val="21"/>
                <w:szCs w:val="21"/>
              </w:rPr>
            </w:pPr>
            <w:r>
              <w:rPr>
                <w:sz w:val="21"/>
                <w:szCs w:val="21"/>
              </w:rPr>
              <w:t>达标</w:t>
            </w:r>
          </w:p>
        </w:tc>
      </w:tr>
      <w:tr w14:paraId="1D3EC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A8">
            <w:pPr>
              <w:adjustRightInd/>
              <w:snapToGrid/>
              <w:spacing w:line="240" w:lineRule="auto"/>
              <w:ind w:firstLine="0" w:firstLineChars="0"/>
              <w:contextualSpacing/>
              <w:jc w:val="center"/>
              <w:rPr>
                <w:sz w:val="21"/>
                <w:szCs w:val="21"/>
              </w:rPr>
            </w:pPr>
            <w:r>
              <w:rPr>
                <w:sz w:val="21"/>
                <w:szCs w:val="21"/>
              </w:rPr>
              <w:t>铬(六价)</w:t>
            </w:r>
          </w:p>
        </w:tc>
        <w:tc>
          <w:tcPr>
            <w:tcW w:w="769" w:type="pct"/>
            <w:shd w:val="clear" w:color="auto" w:fill="auto"/>
            <w:vAlign w:val="center"/>
          </w:tcPr>
          <w:p w14:paraId="1D3ECCA9">
            <w:pPr>
              <w:adjustRightInd/>
              <w:snapToGrid/>
              <w:spacing w:line="240" w:lineRule="auto"/>
              <w:ind w:firstLine="0" w:firstLineChars="0"/>
              <w:contextualSpacing/>
              <w:jc w:val="center"/>
              <w:rPr>
                <w:rFonts w:eastAsiaTheme="minorEastAsia"/>
                <w:sz w:val="21"/>
                <w:szCs w:val="21"/>
              </w:rPr>
            </w:pPr>
            <w:r>
              <w:rPr>
                <w:sz w:val="21"/>
                <w:szCs w:val="21"/>
              </w:rPr>
              <w:t>ND</w:t>
            </w:r>
          </w:p>
        </w:tc>
        <w:tc>
          <w:tcPr>
            <w:tcW w:w="598" w:type="pct"/>
            <w:shd w:val="clear" w:color="auto" w:fill="auto"/>
            <w:vAlign w:val="center"/>
          </w:tcPr>
          <w:p w14:paraId="1D3ECCAC">
            <w:pPr>
              <w:adjustRightInd/>
              <w:snapToGrid/>
              <w:spacing w:line="240" w:lineRule="auto"/>
              <w:ind w:firstLine="0" w:firstLineChars="0"/>
              <w:contextualSpacing/>
              <w:jc w:val="center"/>
              <w:rPr>
                <w:rFonts w:eastAsiaTheme="minorEastAsia"/>
                <w:sz w:val="21"/>
                <w:szCs w:val="21"/>
              </w:rPr>
            </w:pPr>
            <w:r>
              <w:rPr>
                <w:sz w:val="21"/>
                <w:szCs w:val="21"/>
              </w:rPr>
              <w:t>ND</w:t>
            </w:r>
          </w:p>
        </w:tc>
        <w:tc>
          <w:tcPr>
            <w:tcW w:w="821" w:type="pct"/>
            <w:shd w:val="clear" w:color="auto" w:fill="auto"/>
            <w:vAlign w:val="center"/>
          </w:tcPr>
          <w:p w14:paraId="1D3ECCAD">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CAE">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CB3">
            <w:pPr>
              <w:adjustRightInd/>
              <w:snapToGrid/>
              <w:spacing w:line="240" w:lineRule="auto"/>
              <w:ind w:firstLine="0" w:firstLineChars="0"/>
              <w:contextualSpacing/>
              <w:jc w:val="center"/>
              <w:rPr>
                <w:sz w:val="21"/>
                <w:szCs w:val="21"/>
              </w:rPr>
            </w:pPr>
            <w:r>
              <w:rPr>
                <w:sz w:val="21"/>
                <w:szCs w:val="21"/>
              </w:rPr>
              <w:t>5.7</w:t>
            </w:r>
          </w:p>
        </w:tc>
        <w:tc>
          <w:tcPr>
            <w:tcW w:w="550" w:type="pct"/>
            <w:shd w:val="clear" w:color="auto" w:fill="auto"/>
            <w:vAlign w:val="center"/>
          </w:tcPr>
          <w:p w14:paraId="1D3ECCB4">
            <w:pPr>
              <w:adjustRightInd/>
              <w:snapToGrid/>
              <w:spacing w:line="240" w:lineRule="auto"/>
              <w:ind w:firstLine="0" w:firstLineChars="0"/>
              <w:contextualSpacing/>
              <w:jc w:val="center"/>
              <w:rPr>
                <w:sz w:val="21"/>
                <w:szCs w:val="21"/>
              </w:rPr>
            </w:pPr>
            <w:r>
              <w:rPr>
                <w:sz w:val="21"/>
                <w:szCs w:val="21"/>
              </w:rPr>
              <w:t>达标</w:t>
            </w:r>
          </w:p>
        </w:tc>
      </w:tr>
      <w:tr w14:paraId="1D3EC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B6">
            <w:pPr>
              <w:adjustRightInd/>
              <w:snapToGrid/>
              <w:spacing w:line="240" w:lineRule="auto"/>
              <w:ind w:firstLine="0" w:firstLineChars="0"/>
              <w:contextualSpacing/>
              <w:jc w:val="center"/>
              <w:rPr>
                <w:sz w:val="21"/>
                <w:szCs w:val="21"/>
              </w:rPr>
            </w:pPr>
            <w:r>
              <w:rPr>
                <w:sz w:val="21"/>
                <w:szCs w:val="21"/>
              </w:rPr>
              <w:t>铜</w:t>
            </w:r>
          </w:p>
        </w:tc>
        <w:tc>
          <w:tcPr>
            <w:tcW w:w="769" w:type="pct"/>
            <w:shd w:val="clear" w:color="auto" w:fill="auto"/>
            <w:vAlign w:val="center"/>
          </w:tcPr>
          <w:p w14:paraId="1D3ECCB7">
            <w:pPr>
              <w:adjustRightInd/>
              <w:snapToGrid/>
              <w:spacing w:line="240" w:lineRule="auto"/>
              <w:ind w:firstLine="0" w:firstLineChars="0"/>
              <w:contextualSpacing/>
              <w:jc w:val="center"/>
              <w:rPr>
                <w:rFonts w:eastAsiaTheme="minorEastAsia"/>
                <w:sz w:val="21"/>
                <w:szCs w:val="21"/>
              </w:rPr>
            </w:pPr>
            <w:r>
              <w:rPr>
                <w:rFonts w:hint="eastAsia" w:eastAsiaTheme="minorEastAsia"/>
                <w:sz w:val="21"/>
                <w:szCs w:val="21"/>
              </w:rPr>
              <w:t>35</w:t>
            </w:r>
          </w:p>
        </w:tc>
        <w:tc>
          <w:tcPr>
            <w:tcW w:w="598" w:type="pct"/>
            <w:shd w:val="clear" w:color="auto" w:fill="auto"/>
            <w:vAlign w:val="center"/>
          </w:tcPr>
          <w:p w14:paraId="1D3ECCBA">
            <w:pPr>
              <w:adjustRightInd/>
              <w:snapToGrid/>
              <w:spacing w:line="240" w:lineRule="auto"/>
              <w:ind w:firstLine="0" w:firstLineChars="0"/>
              <w:contextualSpacing/>
              <w:jc w:val="center"/>
              <w:rPr>
                <w:sz w:val="21"/>
                <w:szCs w:val="21"/>
              </w:rPr>
            </w:pPr>
            <w:r>
              <w:rPr>
                <w:rFonts w:hint="eastAsia"/>
                <w:sz w:val="21"/>
                <w:szCs w:val="21"/>
              </w:rPr>
              <w:t>24</w:t>
            </w:r>
          </w:p>
        </w:tc>
        <w:tc>
          <w:tcPr>
            <w:tcW w:w="821" w:type="pct"/>
            <w:shd w:val="clear" w:color="auto" w:fill="auto"/>
            <w:vAlign w:val="center"/>
          </w:tcPr>
          <w:p w14:paraId="1D3ECCBB">
            <w:pPr>
              <w:adjustRightInd/>
              <w:snapToGrid/>
              <w:spacing w:line="240" w:lineRule="auto"/>
              <w:ind w:firstLine="0" w:firstLineChars="0"/>
              <w:contextualSpacing/>
              <w:jc w:val="center"/>
              <w:rPr>
                <w:sz w:val="21"/>
                <w:szCs w:val="21"/>
              </w:rPr>
            </w:pPr>
            <w:r>
              <w:rPr>
                <w:rFonts w:hint="eastAsia"/>
                <w:sz w:val="21"/>
                <w:szCs w:val="21"/>
              </w:rPr>
              <w:t>26</w:t>
            </w:r>
          </w:p>
        </w:tc>
        <w:tc>
          <w:tcPr>
            <w:tcW w:w="626" w:type="pct"/>
            <w:shd w:val="clear" w:color="auto" w:fill="auto"/>
            <w:vAlign w:val="center"/>
          </w:tcPr>
          <w:p w14:paraId="1D3ECCBC">
            <w:pPr>
              <w:adjustRightInd/>
              <w:snapToGrid/>
              <w:spacing w:line="240" w:lineRule="auto"/>
              <w:ind w:firstLine="0" w:firstLineChars="0"/>
              <w:contextualSpacing/>
              <w:jc w:val="center"/>
              <w:rPr>
                <w:sz w:val="21"/>
                <w:szCs w:val="21"/>
              </w:rPr>
            </w:pPr>
            <w:r>
              <w:rPr>
                <w:rFonts w:hint="eastAsia"/>
                <w:sz w:val="21"/>
                <w:szCs w:val="21"/>
              </w:rPr>
              <w:t>32</w:t>
            </w:r>
          </w:p>
        </w:tc>
        <w:tc>
          <w:tcPr>
            <w:tcW w:w="616" w:type="pct"/>
            <w:shd w:val="clear" w:color="auto" w:fill="auto"/>
            <w:vAlign w:val="center"/>
          </w:tcPr>
          <w:p w14:paraId="1D3ECCC1">
            <w:pPr>
              <w:adjustRightInd/>
              <w:snapToGrid/>
              <w:spacing w:line="240" w:lineRule="auto"/>
              <w:ind w:firstLine="0" w:firstLineChars="0"/>
              <w:contextualSpacing/>
              <w:jc w:val="center"/>
              <w:rPr>
                <w:sz w:val="21"/>
                <w:szCs w:val="21"/>
              </w:rPr>
            </w:pPr>
            <w:r>
              <w:rPr>
                <w:sz w:val="21"/>
                <w:szCs w:val="21"/>
              </w:rPr>
              <w:t>18000</w:t>
            </w:r>
          </w:p>
        </w:tc>
        <w:tc>
          <w:tcPr>
            <w:tcW w:w="550" w:type="pct"/>
            <w:shd w:val="clear" w:color="auto" w:fill="auto"/>
            <w:vAlign w:val="center"/>
          </w:tcPr>
          <w:p w14:paraId="1D3ECCC2">
            <w:pPr>
              <w:adjustRightInd/>
              <w:snapToGrid/>
              <w:spacing w:line="240" w:lineRule="auto"/>
              <w:ind w:firstLine="0" w:firstLineChars="0"/>
              <w:contextualSpacing/>
              <w:jc w:val="center"/>
              <w:rPr>
                <w:sz w:val="21"/>
                <w:szCs w:val="21"/>
              </w:rPr>
            </w:pPr>
            <w:r>
              <w:rPr>
                <w:sz w:val="21"/>
                <w:szCs w:val="21"/>
              </w:rPr>
              <w:t>达标</w:t>
            </w:r>
          </w:p>
        </w:tc>
      </w:tr>
      <w:tr w14:paraId="1D3ECC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C4">
            <w:pPr>
              <w:adjustRightInd/>
              <w:snapToGrid/>
              <w:spacing w:line="240" w:lineRule="auto"/>
              <w:ind w:firstLine="0" w:firstLineChars="0"/>
              <w:contextualSpacing/>
              <w:jc w:val="center"/>
              <w:rPr>
                <w:sz w:val="21"/>
                <w:szCs w:val="21"/>
              </w:rPr>
            </w:pPr>
            <w:r>
              <w:rPr>
                <w:sz w:val="21"/>
                <w:szCs w:val="21"/>
              </w:rPr>
              <w:t>铅</w:t>
            </w:r>
          </w:p>
        </w:tc>
        <w:tc>
          <w:tcPr>
            <w:tcW w:w="769" w:type="pct"/>
            <w:shd w:val="clear" w:color="auto" w:fill="auto"/>
            <w:vAlign w:val="center"/>
          </w:tcPr>
          <w:p w14:paraId="1D3ECCC5">
            <w:pPr>
              <w:adjustRightInd/>
              <w:snapToGrid/>
              <w:spacing w:line="240" w:lineRule="auto"/>
              <w:ind w:firstLine="0" w:firstLineChars="0"/>
              <w:contextualSpacing/>
              <w:jc w:val="center"/>
              <w:rPr>
                <w:sz w:val="21"/>
                <w:szCs w:val="21"/>
              </w:rPr>
            </w:pPr>
            <w:r>
              <w:rPr>
                <w:rFonts w:hint="eastAsia"/>
                <w:sz w:val="21"/>
                <w:szCs w:val="21"/>
              </w:rPr>
              <w:t>36</w:t>
            </w:r>
          </w:p>
        </w:tc>
        <w:tc>
          <w:tcPr>
            <w:tcW w:w="598" w:type="pct"/>
            <w:shd w:val="clear" w:color="auto" w:fill="auto"/>
            <w:vAlign w:val="center"/>
          </w:tcPr>
          <w:p w14:paraId="1D3ECCC8">
            <w:pPr>
              <w:adjustRightInd/>
              <w:snapToGrid/>
              <w:spacing w:line="240" w:lineRule="auto"/>
              <w:ind w:firstLine="0" w:firstLineChars="0"/>
              <w:contextualSpacing/>
              <w:jc w:val="center"/>
              <w:rPr>
                <w:sz w:val="21"/>
                <w:szCs w:val="21"/>
              </w:rPr>
            </w:pPr>
            <w:r>
              <w:rPr>
                <w:rFonts w:hint="eastAsia"/>
                <w:sz w:val="21"/>
                <w:szCs w:val="21"/>
              </w:rPr>
              <w:t>28</w:t>
            </w:r>
          </w:p>
        </w:tc>
        <w:tc>
          <w:tcPr>
            <w:tcW w:w="821" w:type="pct"/>
            <w:shd w:val="clear" w:color="auto" w:fill="auto"/>
            <w:vAlign w:val="center"/>
          </w:tcPr>
          <w:p w14:paraId="1D3ECCC9">
            <w:pPr>
              <w:adjustRightInd/>
              <w:snapToGrid/>
              <w:spacing w:line="240" w:lineRule="auto"/>
              <w:ind w:firstLine="0" w:firstLineChars="0"/>
              <w:contextualSpacing/>
              <w:jc w:val="center"/>
              <w:rPr>
                <w:sz w:val="21"/>
                <w:szCs w:val="21"/>
              </w:rPr>
            </w:pPr>
            <w:r>
              <w:rPr>
                <w:rFonts w:hint="eastAsia"/>
                <w:sz w:val="21"/>
                <w:szCs w:val="21"/>
              </w:rPr>
              <w:t>27</w:t>
            </w:r>
          </w:p>
        </w:tc>
        <w:tc>
          <w:tcPr>
            <w:tcW w:w="626" w:type="pct"/>
            <w:shd w:val="clear" w:color="auto" w:fill="auto"/>
            <w:vAlign w:val="center"/>
          </w:tcPr>
          <w:p w14:paraId="1D3ECCCA">
            <w:pPr>
              <w:adjustRightInd/>
              <w:snapToGrid/>
              <w:spacing w:line="240" w:lineRule="auto"/>
              <w:ind w:firstLine="0" w:firstLineChars="0"/>
              <w:contextualSpacing/>
              <w:jc w:val="center"/>
              <w:rPr>
                <w:sz w:val="21"/>
                <w:szCs w:val="21"/>
              </w:rPr>
            </w:pPr>
            <w:r>
              <w:rPr>
                <w:rFonts w:hint="eastAsia"/>
                <w:sz w:val="21"/>
                <w:szCs w:val="21"/>
              </w:rPr>
              <w:t>34</w:t>
            </w:r>
          </w:p>
        </w:tc>
        <w:tc>
          <w:tcPr>
            <w:tcW w:w="616" w:type="pct"/>
            <w:shd w:val="clear" w:color="auto" w:fill="auto"/>
            <w:vAlign w:val="center"/>
          </w:tcPr>
          <w:p w14:paraId="1D3ECCCF">
            <w:pPr>
              <w:adjustRightInd/>
              <w:snapToGrid/>
              <w:spacing w:line="240" w:lineRule="auto"/>
              <w:ind w:firstLine="0" w:firstLineChars="0"/>
              <w:contextualSpacing/>
              <w:jc w:val="center"/>
              <w:rPr>
                <w:sz w:val="21"/>
                <w:szCs w:val="21"/>
              </w:rPr>
            </w:pPr>
            <w:r>
              <w:rPr>
                <w:sz w:val="21"/>
                <w:szCs w:val="21"/>
              </w:rPr>
              <w:t>800</w:t>
            </w:r>
          </w:p>
        </w:tc>
        <w:tc>
          <w:tcPr>
            <w:tcW w:w="550" w:type="pct"/>
            <w:shd w:val="clear" w:color="auto" w:fill="auto"/>
            <w:vAlign w:val="center"/>
          </w:tcPr>
          <w:p w14:paraId="1D3ECCD0">
            <w:pPr>
              <w:adjustRightInd/>
              <w:snapToGrid/>
              <w:spacing w:line="240" w:lineRule="auto"/>
              <w:ind w:firstLine="0" w:firstLineChars="0"/>
              <w:contextualSpacing/>
              <w:jc w:val="center"/>
              <w:rPr>
                <w:sz w:val="21"/>
                <w:szCs w:val="21"/>
              </w:rPr>
            </w:pPr>
            <w:r>
              <w:rPr>
                <w:sz w:val="21"/>
                <w:szCs w:val="21"/>
              </w:rPr>
              <w:t>达标</w:t>
            </w:r>
          </w:p>
        </w:tc>
      </w:tr>
      <w:tr w14:paraId="1D3EC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D2">
            <w:pPr>
              <w:adjustRightInd/>
              <w:snapToGrid/>
              <w:spacing w:line="240" w:lineRule="auto"/>
              <w:ind w:firstLine="0" w:firstLineChars="0"/>
              <w:contextualSpacing/>
              <w:jc w:val="center"/>
              <w:rPr>
                <w:sz w:val="21"/>
                <w:szCs w:val="21"/>
              </w:rPr>
            </w:pPr>
            <w:r>
              <w:rPr>
                <w:sz w:val="21"/>
                <w:szCs w:val="21"/>
              </w:rPr>
              <w:t>汞</w:t>
            </w:r>
          </w:p>
        </w:tc>
        <w:tc>
          <w:tcPr>
            <w:tcW w:w="769" w:type="pct"/>
            <w:shd w:val="clear" w:color="auto" w:fill="auto"/>
            <w:vAlign w:val="center"/>
          </w:tcPr>
          <w:p w14:paraId="1D3ECCD3">
            <w:pPr>
              <w:adjustRightInd/>
              <w:snapToGrid/>
              <w:spacing w:line="240" w:lineRule="auto"/>
              <w:ind w:firstLine="0" w:firstLineChars="0"/>
              <w:contextualSpacing/>
              <w:jc w:val="center"/>
              <w:rPr>
                <w:sz w:val="21"/>
                <w:szCs w:val="21"/>
              </w:rPr>
            </w:pPr>
            <w:r>
              <w:rPr>
                <w:rFonts w:hint="eastAsia"/>
                <w:sz w:val="21"/>
                <w:szCs w:val="21"/>
              </w:rPr>
              <w:t>0.061</w:t>
            </w:r>
          </w:p>
        </w:tc>
        <w:tc>
          <w:tcPr>
            <w:tcW w:w="598" w:type="pct"/>
            <w:shd w:val="clear" w:color="auto" w:fill="auto"/>
            <w:vAlign w:val="center"/>
          </w:tcPr>
          <w:p w14:paraId="1D3ECCD6">
            <w:pPr>
              <w:adjustRightInd/>
              <w:snapToGrid/>
              <w:spacing w:line="240" w:lineRule="auto"/>
              <w:ind w:firstLine="0" w:firstLineChars="0"/>
              <w:contextualSpacing/>
              <w:jc w:val="center"/>
              <w:rPr>
                <w:sz w:val="21"/>
                <w:szCs w:val="21"/>
              </w:rPr>
            </w:pPr>
            <w:r>
              <w:rPr>
                <w:rFonts w:hint="eastAsia"/>
                <w:sz w:val="21"/>
                <w:szCs w:val="21"/>
              </w:rPr>
              <w:t>0.053</w:t>
            </w:r>
          </w:p>
        </w:tc>
        <w:tc>
          <w:tcPr>
            <w:tcW w:w="821" w:type="pct"/>
            <w:shd w:val="clear" w:color="auto" w:fill="auto"/>
            <w:vAlign w:val="center"/>
          </w:tcPr>
          <w:p w14:paraId="1D3ECCD7">
            <w:pPr>
              <w:adjustRightInd/>
              <w:snapToGrid/>
              <w:spacing w:line="240" w:lineRule="auto"/>
              <w:ind w:firstLine="0" w:firstLineChars="0"/>
              <w:contextualSpacing/>
              <w:jc w:val="center"/>
              <w:rPr>
                <w:sz w:val="21"/>
                <w:szCs w:val="21"/>
              </w:rPr>
            </w:pPr>
            <w:r>
              <w:rPr>
                <w:rFonts w:hint="eastAsia"/>
                <w:sz w:val="21"/>
                <w:szCs w:val="21"/>
              </w:rPr>
              <w:t>0.054</w:t>
            </w:r>
          </w:p>
        </w:tc>
        <w:tc>
          <w:tcPr>
            <w:tcW w:w="626" w:type="pct"/>
            <w:shd w:val="clear" w:color="auto" w:fill="auto"/>
            <w:vAlign w:val="center"/>
          </w:tcPr>
          <w:p w14:paraId="1D3ECCD8">
            <w:pPr>
              <w:adjustRightInd/>
              <w:snapToGrid/>
              <w:spacing w:line="240" w:lineRule="auto"/>
              <w:ind w:firstLine="0" w:firstLineChars="0"/>
              <w:contextualSpacing/>
              <w:jc w:val="center"/>
              <w:rPr>
                <w:sz w:val="21"/>
                <w:szCs w:val="21"/>
              </w:rPr>
            </w:pPr>
            <w:r>
              <w:rPr>
                <w:rFonts w:hint="eastAsia"/>
                <w:sz w:val="21"/>
                <w:szCs w:val="21"/>
              </w:rPr>
              <w:t>0.057</w:t>
            </w:r>
          </w:p>
        </w:tc>
        <w:tc>
          <w:tcPr>
            <w:tcW w:w="616" w:type="pct"/>
            <w:shd w:val="clear" w:color="auto" w:fill="auto"/>
            <w:vAlign w:val="center"/>
          </w:tcPr>
          <w:p w14:paraId="1D3ECCDD">
            <w:pPr>
              <w:adjustRightInd/>
              <w:snapToGrid/>
              <w:spacing w:line="240" w:lineRule="auto"/>
              <w:ind w:firstLine="0" w:firstLineChars="0"/>
              <w:contextualSpacing/>
              <w:jc w:val="center"/>
              <w:rPr>
                <w:sz w:val="21"/>
                <w:szCs w:val="21"/>
              </w:rPr>
            </w:pPr>
            <w:r>
              <w:rPr>
                <w:sz w:val="21"/>
                <w:szCs w:val="21"/>
              </w:rPr>
              <w:t>38</w:t>
            </w:r>
          </w:p>
        </w:tc>
        <w:tc>
          <w:tcPr>
            <w:tcW w:w="550" w:type="pct"/>
            <w:shd w:val="clear" w:color="auto" w:fill="auto"/>
            <w:vAlign w:val="center"/>
          </w:tcPr>
          <w:p w14:paraId="1D3ECCDE">
            <w:pPr>
              <w:adjustRightInd/>
              <w:snapToGrid/>
              <w:spacing w:line="240" w:lineRule="auto"/>
              <w:ind w:firstLine="0" w:firstLineChars="0"/>
              <w:contextualSpacing/>
              <w:jc w:val="center"/>
              <w:rPr>
                <w:sz w:val="21"/>
                <w:szCs w:val="21"/>
              </w:rPr>
            </w:pPr>
            <w:r>
              <w:rPr>
                <w:sz w:val="21"/>
                <w:szCs w:val="21"/>
              </w:rPr>
              <w:t>达标</w:t>
            </w:r>
          </w:p>
        </w:tc>
      </w:tr>
      <w:tr w14:paraId="1D3EC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E0">
            <w:pPr>
              <w:adjustRightInd/>
              <w:snapToGrid/>
              <w:spacing w:line="240" w:lineRule="auto"/>
              <w:ind w:firstLine="0" w:firstLineChars="0"/>
              <w:contextualSpacing/>
              <w:jc w:val="center"/>
              <w:rPr>
                <w:sz w:val="21"/>
                <w:szCs w:val="21"/>
              </w:rPr>
            </w:pPr>
            <w:r>
              <w:rPr>
                <w:sz w:val="21"/>
                <w:szCs w:val="21"/>
              </w:rPr>
              <w:t>镍</w:t>
            </w:r>
          </w:p>
        </w:tc>
        <w:tc>
          <w:tcPr>
            <w:tcW w:w="769" w:type="pct"/>
            <w:shd w:val="clear" w:color="auto" w:fill="auto"/>
            <w:vAlign w:val="center"/>
          </w:tcPr>
          <w:p w14:paraId="1D3ECCE1">
            <w:pPr>
              <w:adjustRightInd/>
              <w:snapToGrid/>
              <w:spacing w:line="240" w:lineRule="auto"/>
              <w:ind w:firstLine="0" w:firstLineChars="0"/>
              <w:contextualSpacing/>
              <w:jc w:val="center"/>
              <w:rPr>
                <w:sz w:val="21"/>
                <w:szCs w:val="21"/>
              </w:rPr>
            </w:pPr>
            <w:r>
              <w:rPr>
                <w:rFonts w:hint="eastAsia"/>
                <w:sz w:val="21"/>
                <w:szCs w:val="21"/>
              </w:rPr>
              <w:t>19</w:t>
            </w:r>
          </w:p>
        </w:tc>
        <w:tc>
          <w:tcPr>
            <w:tcW w:w="598" w:type="pct"/>
            <w:shd w:val="clear" w:color="auto" w:fill="auto"/>
            <w:vAlign w:val="center"/>
          </w:tcPr>
          <w:p w14:paraId="1D3ECCE4">
            <w:pPr>
              <w:adjustRightInd/>
              <w:snapToGrid/>
              <w:spacing w:line="240" w:lineRule="auto"/>
              <w:ind w:firstLine="0" w:firstLineChars="0"/>
              <w:contextualSpacing/>
              <w:jc w:val="center"/>
              <w:rPr>
                <w:sz w:val="21"/>
                <w:szCs w:val="21"/>
              </w:rPr>
            </w:pPr>
            <w:r>
              <w:rPr>
                <w:rFonts w:hint="eastAsia"/>
                <w:sz w:val="21"/>
                <w:szCs w:val="21"/>
              </w:rPr>
              <w:t>24</w:t>
            </w:r>
          </w:p>
        </w:tc>
        <w:tc>
          <w:tcPr>
            <w:tcW w:w="821" w:type="pct"/>
            <w:shd w:val="clear" w:color="auto" w:fill="auto"/>
            <w:vAlign w:val="center"/>
          </w:tcPr>
          <w:p w14:paraId="1D3ECCE5">
            <w:pPr>
              <w:adjustRightInd/>
              <w:snapToGrid/>
              <w:spacing w:line="240" w:lineRule="auto"/>
              <w:ind w:firstLine="0" w:firstLineChars="0"/>
              <w:contextualSpacing/>
              <w:jc w:val="center"/>
              <w:rPr>
                <w:sz w:val="21"/>
                <w:szCs w:val="21"/>
              </w:rPr>
            </w:pPr>
            <w:r>
              <w:rPr>
                <w:rFonts w:hint="eastAsia"/>
                <w:sz w:val="21"/>
                <w:szCs w:val="21"/>
              </w:rPr>
              <w:t>25</w:t>
            </w:r>
          </w:p>
        </w:tc>
        <w:tc>
          <w:tcPr>
            <w:tcW w:w="626" w:type="pct"/>
            <w:shd w:val="clear" w:color="auto" w:fill="auto"/>
            <w:vAlign w:val="center"/>
          </w:tcPr>
          <w:p w14:paraId="1D3ECCE6">
            <w:pPr>
              <w:adjustRightInd/>
              <w:snapToGrid/>
              <w:spacing w:line="240" w:lineRule="auto"/>
              <w:ind w:firstLine="0" w:firstLineChars="0"/>
              <w:contextualSpacing/>
              <w:jc w:val="center"/>
              <w:rPr>
                <w:sz w:val="21"/>
                <w:szCs w:val="21"/>
              </w:rPr>
            </w:pPr>
            <w:r>
              <w:rPr>
                <w:rFonts w:hint="eastAsia"/>
                <w:sz w:val="21"/>
                <w:szCs w:val="21"/>
              </w:rPr>
              <w:t>27</w:t>
            </w:r>
          </w:p>
        </w:tc>
        <w:tc>
          <w:tcPr>
            <w:tcW w:w="616" w:type="pct"/>
            <w:shd w:val="clear" w:color="auto" w:fill="auto"/>
            <w:vAlign w:val="center"/>
          </w:tcPr>
          <w:p w14:paraId="1D3ECCEB">
            <w:pPr>
              <w:adjustRightInd/>
              <w:snapToGrid/>
              <w:spacing w:line="240" w:lineRule="auto"/>
              <w:ind w:firstLine="0" w:firstLineChars="0"/>
              <w:contextualSpacing/>
              <w:jc w:val="center"/>
              <w:rPr>
                <w:sz w:val="21"/>
                <w:szCs w:val="21"/>
              </w:rPr>
            </w:pPr>
            <w:r>
              <w:rPr>
                <w:sz w:val="21"/>
                <w:szCs w:val="21"/>
              </w:rPr>
              <w:t>900</w:t>
            </w:r>
          </w:p>
        </w:tc>
        <w:tc>
          <w:tcPr>
            <w:tcW w:w="550" w:type="pct"/>
            <w:shd w:val="clear" w:color="auto" w:fill="auto"/>
            <w:vAlign w:val="center"/>
          </w:tcPr>
          <w:p w14:paraId="1D3ECCEC">
            <w:pPr>
              <w:adjustRightInd/>
              <w:snapToGrid/>
              <w:spacing w:line="240" w:lineRule="auto"/>
              <w:ind w:firstLine="0" w:firstLineChars="0"/>
              <w:contextualSpacing/>
              <w:jc w:val="center"/>
              <w:rPr>
                <w:sz w:val="21"/>
                <w:szCs w:val="21"/>
              </w:rPr>
            </w:pPr>
            <w:r>
              <w:rPr>
                <w:sz w:val="21"/>
                <w:szCs w:val="21"/>
              </w:rPr>
              <w:t>达标</w:t>
            </w:r>
          </w:p>
        </w:tc>
      </w:tr>
      <w:tr w14:paraId="1D3EC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EE">
            <w:pPr>
              <w:adjustRightInd/>
              <w:snapToGrid/>
              <w:spacing w:line="240" w:lineRule="auto"/>
              <w:ind w:firstLine="0" w:firstLineChars="0"/>
              <w:contextualSpacing/>
              <w:jc w:val="center"/>
              <w:rPr>
                <w:sz w:val="21"/>
                <w:szCs w:val="21"/>
              </w:rPr>
            </w:pPr>
            <w:r>
              <w:rPr>
                <w:sz w:val="21"/>
                <w:szCs w:val="21"/>
              </w:rPr>
              <w:t>氯甲烷</w:t>
            </w:r>
          </w:p>
        </w:tc>
        <w:tc>
          <w:tcPr>
            <w:tcW w:w="769" w:type="pct"/>
            <w:shd w:val="clear" w:color="auto" w:fill="auto"/>
            <w:vAlign w:val="center"/>
          </w:tcPr>
          <w:p w14:paraId="1D3ECCEF">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CF2">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CF3">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CF4">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CF9">
            <w:pPr>
              <w:adjustRightInd/>
              <w:snapToGrid/>
              <w:spacing w:line="240" w:lineRule="auto"/>
              <w:ind w:firstLine="0" w:firstLineChars="0"/>
              <w:contextualSpacing/>
              <w:jc w:val="center"/>
              <w:rPr>
                <w:sz w:val="21"/>
                <w:szCs w:val="21"/>
              </w:rPr>
            </w:pPr>
            <w:r>
              <w:rPr>
                <w:sz w:val="21"/>
                <w:szCs w:val="21"/>
              </w:rPr>
              <w:t>37</w:t>
            </w:r>
          </w:p>
        </w:tc>
        <w:tc>
          <w:tcPr>
            <w:tcW w:w="550" w:type="pct"/>
            <w:shd w:val="clear" w:color="auto" w:fill="auto"/>
            <w:vAlign w:val="center"/>
          </w:tcPr>
          <w:p w14:paraId="1D3ECCFA">
            <w:pPr>
              <w:adjustRightInd/>
              <w:snapToGrid/>
              <w:spacing w:line="240" w:lineRule="auto"/>
              <w:ind w:firstLine="0" w:firstLineChars="0"/>
              <w:contextualSpacing/>
              <w:jc w:val="center"/>
              <w:rPr>
                <w:sz w:val="21"/>
                <w:szCs w:val="21"/>
              </w:rPr>
            </w:pPr>
            <w:r>
              <w:rPr>
                <w:sz w:val="21"/>
                <w:szCs w:val="21"/>
              </w:rPr>
              <w:t>达标</w:t>
            </w:r>
          </w:p>
        </w:tc>
      </w:tr>
      <w:tr w14:paraId="1D3EC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CFC">
            <w:pPr>
              <w:adjustRightInd/>
              <w:snapToGrid/>
              <w:spacing w:line="240" w:lineRule="auto"/>
              <w:ind w:firstLine="0" w:firstLineChars="0"/>
              <w:contextualSpacing/>
              <w:jc w:val="center"/>
              <w:rPr>
                <w:sz w:val="21"/>
                <w:szCs w:val="21"/>
              </w:rPr>
            </w:pPr>
            <w:r>
              <w:rPr>
                <w:sz w:val="21"/>
                <w:szCs w:val="21"/>
              </w:rPr>
              <w:t>氯乙烯</w:t>
            </w:r>
          </w:p>
        </w:tc>
        <w:tc>
          <w:tcPr>
            <w:tcW w:w="769" w:type="pct"/>
            <w:shd w:val="clear" w:color="auto" w:fill="auto"/>
            <w:vAlign w:val="center"/>
          </w:tcPr>
          <w:p w14:paraId="1D3ECCFD">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00">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01">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02">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07">
            <w:pPr>
              <w:adjustRightInd/>
              <w:snapToGrid/>
              <w:spacing w:line="240" w:lineRule="auto"/>
              <w:ind w:firstLine="0" w:firstLineChars="0"/>
              <w:contextualSpacing/>
              <w:jc w:val="center"/>
              <w:rPr>
                <w:sz w:val="21"/>
                <w:szCs w:val="21"/>
              </w:rPr>
            </w:pPr>
            <w:r>
              <w:rPr>
                <w:sz w:val="21"/>
                <w:szCs w:val="21"/>
              </w:rPr>
              <w:t>0.43</w:t>
            </w:r>
          </w:p>
        </w:tc>
        <w:tc>
          <w:tcPr>
            <w:tcW w:w="550" w:type="pct"/>
            <w:shd w:val="clear" w:color="auto" w:fill="auto"/>
            <w:vAlign w:val="center"/>
          </w:tcPr>
          <w:p w14:paraId="1D3ECD08">
            <w:pPr>
              <w:adjustRightInd/>
              <w:snapToGrid/>
              <w:spacing w:line="240" w:lineRule="auto"/>
              <w:ind w:firstLine="0" w:firstLineChars="0"/>
              <w:contextualSpacing/>
              <w:jc w:val="center"/>
              <w:rPr>
                <w:sz w:val="21"/>
                <w:szCs w:val="21"/>
              </w:rPr>
            </w:pPr>
            <w:r>
              <w:rPr>
                <w:sz w:val="21"/>
                <w:szCs w:val="21"/>
              </w:rPr>
              <w:t>达标</w:t>
            </w:r>
          </w:p>
        </w:tc>
      </w:tr>
      <w:tr w14:paraId="1D3EC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0A">
            <w:pPr>
              <w:adjustRightInd/>
              <w:snapToGrid/>
              <w:spacing w:line="240" w:lineRule="auto"/>
              <w:ind w:firstLine="0" w:firstLineChars="0"/>
              <w:contextualSpacing/>
              <w:jc w:val="center"/>
              <w:rPr>
                <w:sz w:val="21"/>
                <w:szCs w:val="21"/>
              </w:rPr>
            </w:pPr>
            <w:r>
              <w:rPr>
                <w:sz w:val="21"/>
                <w:szCs w:val="21"/>
              </w:rPr>
              <w:t>1,1-二氯乙烯</w:t>
            </w:r>
          </w:p>
        </w:tc>
        <w:tc>
          <w:tcPr>
            <w:tcW w:w="769" w:type="pct"/>
            <w:shd w:val="clear" w:color="auto" w:fill="auto"/>
            <w:vAlign w:val="center"/>
          </w:tcPr>
          <w:p w14:paraId="1D3ECD0B">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0E">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0F">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10">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15">
            <w:pPr>
              <w:adjustRightInd/>
              <w:snapToGrid/>
              <w:spacing w:line="240" w:lineRule="auto"/>
              <w:ind w:firstLine="0" w:firstLineChars="0"/>
              <w:contextualSpacing/>
              <w:jc w:val="center"/>
              <w:rPr>
                <w:sz w:val="21"/>
                <w:szCs w:val="21"/>
              </w:rPr>
            </w:pPr>
            <w:r>
              <w:rPr>
                <w:sz w:val="21"/>
                <w:szCs w:val="21"/>
              </w:rPr>
              <w:t>9</w:t>
            </w:r>
          </w:p>
        </w:tc>
        <w:tc>
          <w:tcPr>
            <w:tcW w:w="550" w:type="pct"/>
            <w:shd w:val="clear" w:color="auto" w:fill="auto"/>
            <w:vAlign w:val="center"/>
          </w:tcPr>
          <w:p w14:paraId="1D3ECD16">
            <w:pPr>
              <w:adjustRightInd/>
              <w:snapToGrid/>
              <w:spacing w:line="240" w:lineRule="auto"/>
              <w:ind w:firstLine="0" w:firstLineChars="0"/>
              <w:contextualSpacing/>
              <w:jc w:val="center"/>
              <w:rPr>
                <w:sz w:val="21"/>
                <w:szCs w:val="21"/>
              </w:rPr>
            </w:pPr>
            <w:r>
              <w:rPr>
                <w:sz w:val="21"/>
                <w:szCs w:val="21"/>
              </w:rPr>
              <w:t>达标</w:t>
            </w:r>
          </w:p>
        </w:tc>
      </w:tr>
      <w:tr w14:paraId="1D3EC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18">
            <w:pPr>
              <w:adjustRightInd/>
              <w:snapToGrid/>
              <w:spacing w:line="240" w:lineRule="auto"/>
              <w:ind w:firstLine="0" w:firstLineChars="0"/>
              <w:contextualSpacing/>
              <w:jc w:val="center"/>
              <w:rPr>
                <w:sz w:val="21"/>
                <w:szCs w:val="21"/>
              </w:rPr>
            </w:pPr>
            <w:r>
              <w:rPr>
                <w:sz w:val="21"/>
                <w:szCs w:val="21"/>
              </w:rPr>
              <w:t>二氯甲烷</w:t>
            </w:r>
          </w:p>
        </w:tc>
        <w:tc>
          <w:tcPr>
            <w:tcW w:w="769" w:type="pct"/>
            <w:shd w:val="clear" w:color="auto" w:fill="auto"/>
            <w:vAlign w:val="center"/>
          </w:tcPr>
          <w:p w14:paraId="1D3ECD19">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1C">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1D">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1E">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23">
            <w:pPr>
              <w:adjustRightInd/>
              <w:snapToGrid/>
              <w:spacing w:line="240" w:lineRule="auto"/>
              <w:ind w:firstLine="0" w:firstLineChars="0"/>
              <w:contextualSpacing/>
              <w:jc w:val="center"/>
              <w:rPr>
                <w:sz w:val="21"/>
                <w:szCs w:val="21"/>
              </w:rPr>
            </w:pPr>
            <w:r>
              <w:rPr>
                <w:sz w:val="21"/>
                <w:szCs w:val="21"/>
              </w:rPr>
              <w:t>616</w:t>
            </w:r>
          </w:p>
        </w:tc>
        <w:tc>
          <w:tcPr>
            <w:tcW w:w="550" w:type="pct"/>
            <w:shd w:val="clear" w:color="auto" w:fill="auto"/>
            <w:vAlign w:val="center"/>
          </w:tcPr>
          <w:p w14:paraId="1D3ECD24">
            <w:pPr>
              <w:adjustRightInd/>
              <w:snapToGrid/>
              <w:spacing w:line="240" w:lineRule="auto"/>
              <w:ind w:firstLine="0" w:firstLineChars="0"/>
              <w:contextualSpacing/>
              <w:jc w:val="center"/>
              <w:rPr>
                <w:sz w:val="21"/>
                <w:szCs w:val="21"/>
              </w:rPr>
            </w:pPr>
            <w:r>
              <w:rPr>
                <w:sz w:val="21"/>
                <w:szCs w:val="21"/>
              </w:rPr>
              <w:t>达标</w:t>
            </w:r>
          </w:p>
        </w:tc>
      </w:tr>
      <w:tr w14:paraId="1D3EC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26">
            <w:pPr>
              <w:adjustRightInd/>
              <w:snapToGrid/>
              <w:spacing w:line="240" w:lineRule="auto"/>
              <w:ind w:firstLine="0" w:firstLineChars="0"/>
              <w:contextualSpacing/>
              <w:jc w:val="center"/>
              <w:rPr>
                <w:sz w:val="21"/>
                <w:szCs w:val="21"/>
              </w:rPr>
            </w:pPr>
            <w:r>
              <w:rPr>
                <w:sz w:val="21"/>
                <w:szCs w:val="21"/>
              </w:rPr>
              <w:t>反式-1,2-二氯乙烯</w:t>
            </w:r>
          </w:p>
        </w:tc>
        <w:tc>
          <w:tcPr>
            <w:tcW w:w="769" w:type="pct"/>
            <w:shd w:val="clear" w:color="auto" w:fill="auto"/>
            <w:vAlign w:val="center"/>
          </w:tcPr>
          <w:p w14:paraId="1D3ECD27">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2A">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2B">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2C">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31">
            <w:pPr>
              <w:adjustRightInd/>
              <w:snapToGrid/>
              <w:spacing w:line="240" w:lineRule="auto"/>
              <w:ind w:firstLine="0" w:firstLineChars="0"/>
              <w:contextualSpacing/>
              <w:jc w:val="center"/>
              <w:rPr>
                <w:sz w:val="21"/>
                <w:szCs w:val="21"/>
              </w:rPr>
            </w:pPr>
            <w:r>
              <w:rPr>
                <w:sz w:val="21"/>
                <w:szCs w:val="21"/>
              </w:rPr>
              <w:t>54</w:t>
            </w:r>
          </w:p>
        </w:tc>
        <w:tc>
          <w:tcPr>
            <w:tcW w:w="550" w:type="pct"/>
            <w:shd w:val="clear" w:color="auto" w:fill="auto"/>
            <w:vAlign w:val="center"/>
          </w:tcPr>
          <w:p w14:paraId="1D3ECD32">
            <w:pPr>
              <w:adjustRightInd/>
              <w:snapToGrid/>
              <w:spacing w:line="240" w:lineRule="auto"/>
              <w:ind w:firstLine="0" w:firstLineChars="0"/>
              <w:contextualSpacing/>
              <w:jc w:val="center"/>
              <w:rPr>
                <w:sz w:val="21"/>
                <w:szCs w:val="21"/>
              </w:rPr>
            </w:pPr>
            <w:r>
              <w:rPr>
                <w:sz w:val="21"/>
                <w:szCs w:val="21"/>
              </w:rPr>
              <w:t>达标</w:t>
            </w:r>
          </w:p>
        </w:tc>
      </w:tr>
      <w:tr w14:paraId="1D3ECD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34">
            <w:pPr>
              <w:adjustRightInd/>
              <w:snapToGrid/>
              <w:spacing w:line="240" w:lineRule="auto"/>
              <w:ind w:firstLine="0" w:firstLineChars="0"/>
              <w:contextualSpacing/>
              <w:jc w:val="center"/>
              <w:rPr>
                <w:sz w:val="21"/>
                <w:szCs w:val="21"/>
              </w:rPr>
            </w:pPr>
            <w:r>
              <w:rPr>
                <w:sz w:val="21"/>
                <w:szCs w:val="21"/>
              </w:rPr>
              <w:t>1,1-二氯乙烷</w:t>
            </w:r>
          </w:p>
        </w:tc>
        <w:tc>
          <w:tcPr>
            <w:tcW w:w="769" w:type="pct"/>
            <w:shd w:val="clear" w:color="auto" w:fill="auto"/>
            <w:vAlign w:val="center"/>
          </w:tcPr>
          <w:p w14:paraId="1D3ECD35">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38">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39">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3A">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3F">
            <w:pPr>
              <w:adjustRightInd/>
              <w:snapToGrid/>
              <w:spacing w:line="240" w:lineRule="auto"/>
              <w:ind w:firstLine="0" w:firstLineChars="0"/>
              <w:contextualSpacing/>
              <w:jc w:val="center"/>
              <w:rPr>
                <w:sz w:val="21"/>
                <w:szCs w:val="21"/>
              </w:rPr>
            </w:pPr>
            <w:r>
              <w:rPr>
                <w:sz w:val="21"/>
                <w:szCs w:val="21"/>
              </w:rPr>
              <w:t>9</w:t>
            </w:r>
          </w:p>
        </w:tc>
        <w:tc>
          <w:tcPr>
            <w:tcW w:w="550" w:type="pct"/>
            <w:shd w:val="clear" w:color="auto" w:fill="auto"/>
            <w:vAlign w:val="center"/>
          </w:tcPr>
          <w:p w14:paraId="1D3ECD40">
            <w:pPr>
              <w:adjustRightInd/>
              <w:snapToGrid/>
              <w:spacing w:line="240" w:lineRule="auto"/>
              <w:ind w:firstLine="0" w:firstLineChars="0"/>
              <w:contextualSpacing/>
              <w:jc w:val="center"/>
              <w:rPr>
                <w:sz w:val="21"/>
                <w:szCs w:val="21"/>
              </w:rPr>
            </w:pPr>
            <w:r>
              <w:rPr>
                <w:sz w:val="21"/>
                <w:szCs w:val="21"/>
              </w:rPr>
              <w:t>达标</w:t>
            </w:r>
          </w:p>
        </w:tc>
      </w:tr>
      <w:tr w14:paraId="1D3EC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42">
            <w:pPr>
              <w:adjustRightInd/>
              <w:snapToGrid/>
              <w:spacing w:line="240" w:lineRule="auto"/>
              <w:ind w:firstLine="0" w:firstLineChars="0"/>
              <w:contextualSpacing/>
              <w:jc w:val="center"/>
              <w:rPr>
                <w:sz w:val="21"/>
                <w:szCs w:val="21"/>
              </w:rPr>
            </w:pPr>
            <w:r>
              <w:rPr>
                <w:sz w:val="21"/>
                <w:szCs w:val="21"/>
              </w:rPr>
              <w:t>顺式-1,2-二氯乙烯</w:t>
            </w:r>
          </w:p>
        </w:tc>
        <w:tc>
          <w:tcPr>
            <w:tcW w:w="769" w:type="pct"/>
            <w:shd w:val="clear" w:color="auto" w:fill="auto"/>
            <w:vAlign w:val="center"/>
          </w:tcPr>
          <w:p w14:paraId="1D3ECD43">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46">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47">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48">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4D">
            <w:pPr>
              <w:adjustRightInd/>
              <w:snapToGrid/>
              <w:spacing w:line="240" w:lineRule="auto"/>
              <w:ind w:firstLine="0" w:firstLineChars="0"/>
              <w:contextualSpacing/>
              <w:jc w:val="center"/>
              <w:rPr>
                <w:sz w:val="21"/>
                <w:szCs w:val="21"/>
              </w:rPr>
            </w:pPr>
            <w:r>
              <w:rPr>
                <w:sz w:val="21"/>
                <w:szCs w:val="21"/>
              </w:rPr>
              <w:t>596</w:t>
            </w:r>
          </w:p>
        </w:tc>
        <w:tc>
          <w:tcPr>
            <w:tcW w:w="550" w:type="pct"/>
            <w:shd w:val="clear" w:color="auto" w:fill="auto"/>
            <w:vAlign w:val="center"/>
          </w:tcPr>
          <w:p w14:paraId="1D3ECD4E">
            <w:pPr>
              <w:adjustRightInd/>
              <w:snapToGrid/>
              <w:spacing w:line="240" w:lineRule="auto"/>
              <w:ind w:firstLine="0" w:firstLineChars="0"/>
              <w:contextualSpacing/>
              <w:jc w:val="center"/>
              <w:rPr>
                <w:sz w:val="21"/>
                <w:szCs w:val="21"/>
              </w:rPr>
            </w:pPr>
            <w:r>
              <w:rPr>
                <w:sz w:val="21"/>
                <w:szCs w:val="21"/>
              </w:rPr>
              <w:t>达标</w:t>
            </w:r>
          </w:p>
        </w:tc>
      </w:tr>
      <w:tr w14:paraId="1D3EC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50">
            <w:pPr>
              <w:adjustRightInd/>
              <w:snapToGrid/>
              <w:spacing w:line="240" w:lineRule="auto"/>
              <w:ind w:firstLine="0" w:firstLineChars="0"/>
              <w:contextualSpacing/>
              <w:jc w:val="center"/>
              <w:rPr>
                <w:sz w:val="21"/>
                <w:szCs w:val="21"/>
              </w:rPr>
            </w:pPr>
            <w:r>
              <w:rPr>
                <w:sz w:val="21"/>
                <w:szCs w:val="21"/>
              </w:rPr>
              <w:t>氯仿</w:t>
            </w:r>
          </w:p>
        </w:tc>
        <w:tc>
          <w:tcPr>
            <w:tcW w:w="769" w:type="pct"/>
            <w:shd w:val="clear" w:color="auto" w:fill="auto"/>
            <w:vAlign w:val="center"/>
          </w:tcPr>
          <w:p w14:paraId="1D3ECD51">
            <w:pPr>
              <w:adjustRightInd/>
              <w:snapToGrid/>
              <w:spacing w:line="240" w:lineRule="auto"/>
              <w:ind w:firstLine="0" w:firstLineChars="0"/>
              <w:contextualSpacing/>
              <w:jc w:val="center"/>
              <w:rPr>
                <w:sz w:val="21"/>
                <w:szCs w:val="21"/>
              </w:rPr>
            </w:pPr>
            <w:r>
              <w:rPr>
                <w:sz w:val="21"/>
                <w:szCs w:val="21"/>
              </w:rPr>
              <w:t>15.8</w:t>
            </w:r>
          </w:p>
        </w:tc>
        <w:tc>
          <w:tcPr>
            <w:tcW w:w="598" w:type="pct"/>
            <w:shd w:val="clear" w:color="auto" w:fill="auto"/>
            <w:vAlign w:val="center"/>
          </w:tcPr>
          <w:p w14:paraId="1D3ECD54">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55">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56">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5B">
            <w:pPr>
              <w:adjustRightInd/>
              <w:snapToGrid/>
              <w:spacing w:line="240" w:lineRule="auto"/>
              <w:ind w:firstLine="0" w:firstLineChars="0"/>
              <w:contextualSpacing/>
              <w:jc w:val="center"/>
              <w:rPr>
                <w:sz w:val="21"/>
                <w:szCs w:val="21"/>
              </w:rPr>
            </w:pPr>
            <w:r>
              <w:rPr>
                <w:sz w:val="21"/>
                <w:szCs w:val="21"/>
              </w:rPr>
              <w:t>0.9</w:t>
            </w:r>
          </w:p>
        </w:tc>
        <w:tc>
          <w:tcPr>
            <w:tcW w:w="550" w:type="pct"/>
            <w:shd w:val="clear" w:color="auto" w:fill="auto"/>
            <w:vAlign w:val="center"/>
          </w:tcPr>
          <w:p w14:paraId="1D3ECD5C">
            <w:pPr>
              <w:adjustRightInd/>
              <w:snapToGrid/>
              <w:spacing w:line="240" w:lineRule="auto"/>
              <w:ind w:firstLine="0" w:firstLineChars="0"/>
              <w:contextualSpacing/>
              <w:jc w:val="center"/>
              <w:rPr>
                <w:sz w:val="21"/>
                <w:szCs w:val="21"/>
              </w:rPr>
            </w:pPr>
            <w:r>
              <w:rPr>
                <w:sz w:val="21"/>
                <w:szCs w:val="21"/>
              </w:rPr>
              <w:t>达标</w:t>
            </w:r>
          </w:p>
        </w:tc>
      </w:tr>
      <w:tr w14:paraId="1D3EC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5E">
            <w:pPr>
              <w:adjustRightInd/>
              <w:snapToGrid/>
              <w:spacing w:line="240" w:lineRule="auto"/>
              <w:ind w:firstLine="0" w:firstLineChars="0"/>
              <w:contextualSpacing/>
              <w:jc w:val="center"/>
              <w:rPr>
                <w:sz w:val="21"/>
                <w:szCs w:val="21"/>
              </w:rPr>
            </w:pPr>
            <w:r>
              <w:rPr>
                <w:sz w:val="21"/>
                <w:szCs w:val="21"/>
              </w:rPr>
              <w:t>1,1,1-三氯乙烷</w:t>
            </w:r>
          </w:p>
        </w:tc>
        <w:tc>
          <w:tcPr>
            <w:tcW w:w="769" w:type="pct"/>
            <w:shd w:val="clear" w:color="auto" w:fill="auto"/>
            <w:vAlign w:val="center"/>
          </w:tcPr>
          <w:p w14:paraId="1D3ECD5F">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62">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63">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64">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69">
            <w:pPr>
              <w:adjustRightInd/>
              <w:snapToGrid/>
              <w:spacing w:line="240" w:lineRule="auto"/>
              <w:ind w:firstLine="0" w:firstLineChars="0"/>
              <w:contextualSpacing/>
              <w:jc w:val="center"/>
              <w:rPr>
                <w:sz w:val="21"/>
                <w:szCs w:val="21"/>
              </w:rPr>
            </w:pPr>
            <w:r>
              <w:rPr>
                <w:sz w:val="21"/>
                <w:szCs w:val="21"/>
              </w:rPr>
              <w:t>840</w:t>
            </w:r>
          </w:p>
        </w:tc>
        <w:tc>
          <w:tcPr>
            <w:tcW w:w="550" w:type="pct"/>
            <w:shd w:val="clear" w:color="auto" w:fill="auto"/>
            <w:vAlign w:val="center"/>
          </w:tcPr>
          <w:p w14:paraId="1D3ECD6A">
            <w:pPr>
              <w:adjustRightInd/>
              <w:snapToGrid/>
              <w:spacing w:line="240" w:lineRule="auto"/>
              <w:ind w:firstLine="0" w:firstLineChars="0"/>
              <w:contextualSpacing/>
              <w:jc w:val="center"/>
              <w:rPr>
                <w:sz w:val="21"/>
                <w:szCs w:val="21"/>
              </w:rPr>
            </w:pPr>
            <w:r>
              <w:rPr>
                <w:sz w:val="21"/>
                <w:szCs w:val="21"/>
              </w:rPr>
              <w:t>达标</w:t>
            </w:r>
          </w:p>
        </w:tc>
      </w:tr>
      <w:tr w14:paraId="1D3EC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6C">
            <w:pPr>
              <w:adjustRightInd/>
              <w:snapToGrid/>
              <w:spacing w:line="240" w:lineRule="auto"/>
              <w:ind w:firstLine="0" w:firstLineChars="0"/>
              <w:contextualSpacing/>
              <w:jc w:val="center"/>
              <w:rPr>
                <w:sz w:val="21"/>
                <w:szCs w:val="21"/>
              </w:rPr>
            </w:pPr>
            <w:r>
              <w:rPr>
                <w:sz w:val="21"/>
                <w:szCs w:val="21"/>
              </w:rPr>
              <w:t>四氯化碳</w:t>
            </w:r>
          </w:p>
        </w:tc>
        <w:tc>
          <w:tcPr>
            <w:tcW w:w="769" w:type="pct"/>
            <w:shd w:val="clear" w:color="auto" w:fill="auto"/>
            <w:vAlign w:val="center"/>
          </w:tcPr>
          <w:p w14:paraId="1D3ECD6D">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70">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71">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72">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77">
            <w:pPr>
              <w:adjustRightInd/>
              <w:snapToGrid/>
              <w:spacing w:line="240" w:lineRule="auto"/>
              <w:ind w:firstLine="0" w:firstLineChars="0"/>
              <w:contextualSpacing/>
              <w:jc w:val="center"/>
              <w:rPr>
                <w:sz w:val="21"/>
                <w:szCs w:val="21"/>
              </w:rPr>
            </w:pPr>
            <w:r>
              <w:rPr>
                <w:sz w:val="21"/>
                <w:szCs w:val="21"/>
              </w:rPr>
              <w:t>2.8</w:t>
            </w:r>
          </w:p>
        </w:tc>
        <w:tc>
          <w:tcPr>
            <w:tcW w:w="550" w:type="pct"/>
            <w:shd w:val="clear" w:color="auto" w:fill="auto"/>
            <w:vAlign w:val="center"/>
          </w:tcPr>
          <w:p w14:paraId="1D3ECD78">
            <w:pPr>
              <w:adjustRightInd/>
              <w:snapToGrid/>
              <w:spacing w:line="240" w:lineRule="auto"/>
              <w:ind w:firstLine="0" w:firstLineChars="0"/>
              <w:contextualSpacing/>
              <w:jc w:val="center"/>
              <w:rPr>
                <w:sz w:val="21"/>
                <w:szCs w:val="21"/>
              </w:rPr>
            </w:pPr>
            <w:r>
              <w:rPr>
                <w:sz w:val="21"/>
                <w:szCs w:val="21"/>
              </w:rPr>
              <w:t>达标</w:t>
            </w:r>
          </w:p>
        </w:tc>
      </w:tr>
      <w:tr w14:paraId="1D3EC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7A">
            <w:pPr>
              <w:adjustRightInd/>
              <w:snapToGrid/>
              <w:spacing w:line="240" w:lineRule="auto"/>
              <w:ind w:firstLine="0" w:firstLineChars="0"/>
              <w:contextualSpacing/>
              <w:jc w:val="center"/>
              <w:rPr>
                <w:sz w:val="21"/>
                <w:szCs w:val="21"/>
              </w:rPr>
            </w:pPr>
            <w:r>
              <w:rPr>
                <w:sz w:val="21"/>
                <w:szCs w:val="21"/>
              </w:rPr>
              <w:t>苯</w:t>
            </w:r>
          </w:p>
        </w:tc>
        <w:tc>
          <w:tcPr>
            <w:tcW w:w="769" w:type="pct"/>
            <w:shd w:val="clear" w:color="auto" w:fill="auto"/>
            <w:vAlign w:val="center"/>
          </w:tcPr>
          <w:p w14:paraId="1D3ECD7B">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7E">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7F">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80">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85">
            <w:pPr>
              <w:adjustRightInd/>
              <w:snapToGrid/>
              <w:spacing w:line="240" w:lineRule="auto"/>
              <w:ind w:firstLine="0" w:firstLineChars="0"/>
              <w:contextualSpacing/>
              <w:jc w:val="center"/>
              <w:rPr>
                <w:sz w:val="21"/>
                <w:szCs w:val="21"/>
              </w:rPr>
            </w:pPr>
            <w:r>
              <w:rPr>
                <w:sz w:val="21"/>
                <w:szCs w:val="21"/>
              </w:rPr>
              <w:t>4</w:t>
            </w:r>
          </w:p>
        </w:tc>
        <w:tc>
          <w:tcPr>
            <w:tcW w:w="550" w:type="pct"/>
            <w:shd w:val="clear" w:color="auto" w:fill="auto"/>
            <w:vAlign w:val="center"/>
          </w:tcPr>
          <w:p w14:paraId="1D3ECD86">
            <w:pPr>
              <w:adjustRightInd/>
              <w:snapToGrid/>
              <w:spacing w:line="240" w:lineRule="auto"/>
              <w:ind w:firstLine="0" w:firstLineChars="0"/>
              <w:contextualSpacing/>
              <w:jc w:val="center"/>
              <w:rPr>
                <w:sz w:val="21"/>
                <w:szCs w:val="21"/>
              </w:rPr>
            </w:pPr>
            <w:r>
              <w:rPr>
                <w:sz w:val="21"/>
                <w:szCs w:val="21"/>
              </w:rPr>
              <w:t>达标</w:t>
            </w:r>
          </w:p>
        </w:tc>
      </w:tr>
      <w:tr w14:paraId="1D3EC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88">
            <w:pPr>
              <w:adjustRightInd/>
              <w:snapToGrid/>
              <w:spacing w:line="240" w:lineRule="auto"/>
              <w:ind w:firstLine="0" w:firstLineChars="0"/>
              <w:contextualSpacing/>
              <w:jc w:val="center"/>
              <w:rPr>
                <w:sz w:val="21"/>
                <w:szCs w:val="21"/>
              </w:rPr>
            </w:pPr>
            <w:r>
              <w:rPr>
                <w:sz w:val="21"/>
                <w:szCs w:val="21"/>
              </w:rPr>
              <w:t>1,2-二氯乙烷</w:t>
            </w:r>
          </w:p>
        </w:tc>
        <w:tc>
          <w:tcPr>
            <w:tcW w:w="769" w:type="pct"/>
            <w:shd w:val="clear" w:color="auto" w:fill="auto"/>
            <w:vAlign w:val="center"/>
          </w:tcPr>
          <w:p w14:paraId="1D3ECD89">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8C">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8D">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8E">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93">
            <w:pPr>
              <w:adjustRightInd/>
              <w:snapToGrid/>
              <w:spacing w:line="240" w:lineRule="auto"/>
              <w:ind w:firstLine="0" w:firstLineChars="0"/>
              <w:contextualSpacing/>
              <w:jc w:val="center"/>
              <w:rPr>
                <w:sz w:val="21"/>
                <w:szCs w:val="21"/>
              </w:rPr>
            </w:pPr>
            <w:r>
              <w:rPr>
                <w:sz w:val="21"/>
                <w:szCs w:val="21"/>
              </w:rPr>
              <w:t>5</w:t>
            </w:r>
          </w:p>
        </w:tc>
        <w:tc>
          <w:tcPr>
            <w:tcW w:w="550" w:type="pct"/>
            <w:shd w:val="clear" w:color="auto" w:fill="auto"/>
            <w:vAlign w:val="center"/>
          </w:tcPr>
          <w:p w14:paraId="1D3ECD94">
            <w:pPr>
              <w:adjustRightInd/>
              <w:snapToGrid/>
              <w:spacing w:line="240" w:lineRule="auto"/>
              <w:ind w:firstLine="0" w:firstLineChars="0"/>
              <w:contextualSpacing/>
              <w:jc w:val="center"/>
              <w:rPr>
                <w:sz w:val="21"/>
                <w:szCs w:val="21"/>
              </w:rPr>
            </w:pPr>
            <w:r>
              <w:rPr>
                <w:sz w:val="21"/>
                <w:szCs w:val="21"/>
              </w:rPr>
              <w:t>达标</w:t>
            </w:r>
          </w:p>
        </w:tc>
      </w:tr>
      <w:tr w14:paraId="1D3EC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96">
            <w:pPr>
              <w:adjustRightInd/>
              <w:snapToGrid/>
              <w:spacing w:line="240" w:lineRule="auto"/>
              <w:ind w:firstLine="0" w:firstLineChars="0"/>
              <w:contextualSpacing/>
              <w:jc w:val="center"/>
              <w:rPr>
                <w:sz w:val="21"/>
                <w:szCs w:val="21"/>
              </w:rPr>
            </w:pPr>
            <w:r>
              <w:rPr>
                <w:sz w:val="21"/>
                <w:szCs w:val="21"/>
              </w:rPr>
              <w:t>三氯乙烯</w:t>
            </w:r>
          </w:p>
        </w:tc>
        <w:tc>
          <w:tcPr>
            <w:tcW w:w="769" w:type="pct"/>
            <w:shd w:val="clear" w:color="auto" w:fill="auto"/>
            <w:vAlign w:val="center"/>
          </w:tcPr>
          <w:p w14:paraId="1D3ECD97">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9A">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9B">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9C">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A1">
            <w:pPr>
              <w:adjustRightInd/>
              <w:snapToGrid/>
              <w:spacing w:line="240" w:lineRule="auto"/>
              <w:ind w:firstLine="0" w:firstLineChars="0"/>
              <w:contextualSpacing/>
              <w:jc w:val="center"/>
              <w:rPr>
                <w:sz w:val="21"/>
                <w:szCs w:val="21"/>
              </w:rPr>
            </w:pPr>
            <w:r>
              <w:rPr>
                <w:sz w:val="21"/>
                <w:szCs w:val="21"/>
              </w:rPr>
              <w:t>2.8</w:t>
            </w:r>
          </w:p>
        </w:tc>
        <w:tc>
          <w:tcPr>
            <w:tcW w:w="550" w:type="pct"/>
            <w:shd w:val="clear" w:color="auto" w:fill="auto"/>
            <w:vAlign w:val="center"/>
          </w:tcPr>
          <w:p w14:paraId="1D3ECDA2">
            <w:pPr>
              <w:adjustRightInd/>
              <w:snapToGrid/>
              <w:spacing w:line="240" w:lineRule="auto"/>
              <w:ind w:firstLine="0" w:firstLineChars="0"/>
              <w:contextualSpacing/>
              <w:jc w:val="center"/>
              <w:rPr>
                <w:sz w:val="21"/>
                <w:szCs w:val="21"/>
              </w:rPr>
            </w:pPr>
            <w:r>
              <w:rPr>
                <w:sz w:val="21"/>
                <w:szCs w:val="21"/>
              </w:rPr>
              <w:t>达标</w:t>
            </w:r>
          </w:p>
        </w:tc>
      </w:tr>
      <w:tr w14:paraId="1D3EC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A4">
            <w:pPr>
              <w:adjustRightInd/>
              <w:snapToGrid/>
              <w:spacing w:line="240" w:lineRule="auto"/>
              <w:ind w:firstLine="0" w:firstLineChars="0"/>
              <w:contextualSpacing/>
              <w:jc w:val="center"/>
              <w:rPr>
                <w:sz w:val="21"/>
                <w:szCs w:val="21"/>
              </w:rPr>
            </w:pPr>
            <w:r>
              <w:rPr>
                <w:sz w:val="21"/>
                <w:szCs w:val="21"/>
              </w:rPr>
              <w:t>1,2-二氯丙烷</w:t>
            </w:r>
          </w:p>
        </w:tc>
        <w:tc>
          <w:tcPr>
            <w:tcW w:w="769" w:type="pct"/>
            <w:shd w:val="clear" w:color="auto" w:fill="auto"/>
            <w:vAlign w:val="center"/>
          </w:tcPr>
          <w:p w14:paraId="1D3ECDA5">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A8">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A9">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AA">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AF">
            <w:pPr>
              <w:adjustRightInd/>
              <w:snapToGrid/>
              <w:spacing w:line="240" w:lineRule="auto"/>
              <w:ind w:firstLine="0" w:firstLineChars="0"/>
              <w:contextualSpacing/>
              <w:jc w:val="center"/>
              <w:rPr>
                <w:sz w:val="21"/>
                <w:szCs w:val="21"/>
              </w:rPr>
            </w:pPr>
            <w:r>
              <w:rPr>
                <w:sz w:val="21"/>
                <w:szCs w:val="21"/>
              </w:rPr>
              <w:t>5</w:t>
            </w:r>
          </w:p>
        </w:tc>
        <w:tc>
          <w:tcPr>
            <w:tcW w:w="550" w:type="pct"/>
            <w:shd w:val="clear" w:color="auto" w:fill="auto"/>
            <w:vAlign w:val="center"/>
          </w:tcPr>
          <w:p w14:paraId="1D3ECDB0">
            <w:pPr>
              <w:adjustRightInd/>
              <w:snapToGrid/>
              <w:spacing w:line="240" w:lineRule="auto"/>
              <w:ind w:firstLine="0" w:firstLineChars="0"/>
              <w:contextualSpacing/>
              <w:jc w:val="center"/>
              <w:rPr>
                <w:sz w:val="21"/>
                <w:szCs w:val="21"/>
              </w:rPr>
            </w:pPr>
            <w:r>
              <w:rPr>
                <w:sz w:val="21"/>
                <w:szCs w:val="21"/>
              </w:rPr>
              <w:t>达标</w:t>
            </w:r>
          </w:p>
        </w:tc>
      </w:tr>
      <w:tr w14:paraId="1D3EC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B2">
            <w:pPr>
              <w:adjustRightInd/>
              <w:snapToGrid/>
              <w:spacing w:line="240" w:lineRule="auto"/>
              <w:ind w:firstLine="0" w:firstLineChars="0"/>
              <w:contextualSpacing/>
              <w:jc w:val="center"/>
              <w:rPr>
                <w:sz w:val="21"/>
                <w:szCs w:val="21"/>
              </w:rPr>
            </w:pPr>
            <w:r>
              <w:rPr>
                <w:sz w:val="21"/>
                <w:szCs w:val="21"/>
              </w:rPr>
              <w:t>甲苯</w:t>
            </w:r>
          </w:p>
        </w:tc>
        <w:tc>
          <w:tcPr>
            <w:tcW w:w="769" w:type="pct"/>
            <w:shd w:val="clear" w:color="auto" w:fill="auto"/>
            <w:vAlign w:val="center"/>
          </w:tcPr>
          <w:p w14:paraId="1D3ECDB3">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B6">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B7">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B8">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BD">
            <w:pPr>
              <w:adjustRightInd/>
              <w:snapToGrid/>
              <w:spacing w:line="240" w:lineRule="auto"/>
              <w:ind w:firstLine="0" w:firstLineChars="0"/>
              <w:contextualSpacing/>
              <w:jc w:val="center"/>
              <w:rPr>
                <w:sz w:val="21"/>
                <w:szCs w:val="21"/>
              </w:rPr>
            </w:pPr>
            <w:r>
              <w:rPr>
                <w:sz w:val="21"/>
                <w:szCs w:val="21"/>
              </w:rPr>
              <w:t>1200</w:t>
            </w:r>
          </w:p>
        </w:tc>
        <w:tc>
          <w:tcPr>
            <w:tcW w:w="550" w:type="pct"/>
            <w:shd w:val="clear" w:color="auto" w:fill="auto"/>
            <w:vAlign w:val="center"/>
          </w:tcPr>
          <w:p w14:paraId="1D3ECDBE">
            <w:pPr>
              <w:adjustRightInd/>
              <w:snapToGrid/>
              <w:spacing w:line="240" w:lineRule="auto"/>
              <w:ind w:firstLine="0" w:firstLineChars="0"/>
              <w:contextualSpacing/>
              <w:jc w:val="center"/>
              <w:rPr>
                <w:sz w:val="21"/>
                <w:szCs w:val="21"/>
              </w:rPr>
            </w:pPr>
            <w:r>
              <w:rPr>
                <w:sz w:val="21"/>
                <w:szCs w:val="21"/>
              </w:rPr>
              <w:t>达标</w:t>
            </w:r>
          </w:p>
        </w:tc>
      </w:tr>
      <w:tr w14:paraId="1D3EC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C0">
            <w:pPr>
              <w:adjustRightInd/>
              <w:snapToGrid/>
              <w:spacing w:line="240" w:lineRule="auto"/>
              <w:ind w:firstLine="0" w:firstLineChars="0"/>
              <w:contextualSpacing/>
              <w:jc w:val="center"/>
              <w:rPr>
                <w:sz w:val="21"/>
                <w:szCs w:val="21"/>
              </w:rPr>
            </w:pPr>
            <w:r>
              <w:rPr>
                <w:sz w:val="21"/>
                <w:szCs w:val="21"/>
              </w:rPr>
              <w:t>1,1,2-三氯乙烷</w:t>
            </w:r>
          </w:p>
        </w:tc>
        <w:tc>
          <w:tcPr>
            <w:tcW w:w="769" w:type="pct"/>
            <w:shd w:val="clear" w:color="auto" w:fill="auto"/>
            <w:vAlign w:val="center"/>
          </w:tcPr>
          <w:p w14:paraId="1D3ECDC1">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C4">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C5">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C6">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CB">
            <w:pPr>
              <w:adjustRightInd/>
              <w:snapToGrid/>
              <w:spacing w:line="240" w:lineRule="auto"/>
              <w:ind w:firstLine="0" w:firstLineChars="0"/>
              <w:contextualSpacing/>
              <w:jc w:val="center"/>
              <w:rPr>
                <w:sz w:val="21"/>
                <w:szCs w:val="21"/>
              </w:rPr>
            </w:pPr>
            <w:r>
              <w:rPr>
                <w:sz w:val="21"/>
                <w:szCs w:val="21"/>
              </w:rPr>
              <w:t>2.8</w:t>
            </w:r>
          </w:p>
        </w:tc>
        <w:tc>
          <w:tcPr>
            <w:tcW w:w="550" w:type="pct"/>
            <w:shd w:val="clear" w:color="auto" w:fill="auto"/>
            <w:vAlign w:val="center"/>
          </w:tcPr>
          <w:p w14:paraId="1D3ECDCC">
            <w:pPr>
              <w:adjustRightInd/>
              <w:snapToGrid/>
              <w:spacing w:line="240" w:lineRule="auto"/>
              <w:ind w:firstLine="0" w:firstLineChars="0"/>
              <w:contextualSpacing/>
              <w:jc w:val="center"/>
              <w:rPr>
                <w:sz w:val="21"/>
                <w:szCs w:val="21"/>
              </w:rPr>
            </w:pPr>
            <w:r>
              <w:rPr>
                <w:sz w:val="21"/>
                <w:szCs w:val="21"/>
              </w:rPr>
              <w:t>达标</w:t>
            </w:r>
          </w:p>
        </w:tc>
      </w:tr>
      <w:tr w14:paraId="1D3EC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CE">
            <w:pPr>
              <w:adjustRightInd/>
              <w:snapToGrid/>
              <w:spacing w:line="240" w:lineRule="auto"/>
              <w:ind w:firstLine="0" w:firstLineChars="0"/>
              <w:contextualSpacing/>
              <w:jc w:val="center"/>
              <w:rPr>
                <w:sz w:val="21"/>
                <w:szCs w:val="21"/>
              </w:rPr>
            </w:pPr>
            <w:r>
              <w:rPr>
                <w:sz w:val="21"/>
                <w:szCs w:val="21"/>
              </w:rPr>
              <w:t>四氯乙烯</w:t>
            </w:r>
          </w:p>
        </w:tc>
        <w:tc>
          <w:tcPr>
            <w:tcW w:w="769" w:type="pct"/>
            <w:shd w:val="clear" w:color="auto" w:fill="auto"/>
            <w:vAlign w:val="center"/>
          </w:tcPr>
          <w:p w14:paraId="1D3ECDCF">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D2">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D3">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D4">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D9">
            <w:pPr>
              <w:adjustRightInd/>
              <w:snapToGrid/>
              <w:spacing w:line="240" w:lineRule="auto"/>
              <w:ind w:firstLine="0" w:firstLineChars="0"/>
              <w:contextualSpacing/>
              <w:jc w:val="center"/>
              <w:rPr>
                <w:sz w:val="21"/>
                <w:szCs w:val="21"/>
              </w:rPr>
            </w:pPr>
            <w:r>
              <w:rPr>
                <w:sz w:val="21"/>
                <w:szCs w:val="21"/>
              </w:rPr>
              <w:t>53</w:t>
            </w:r>
          </w:p>
        </w:tc>
        <w:tc>
          <w:tcPr>
            <w:tcW w:w="550" w:type="pct"/>
            <w:shd w:val="clear" w:color="auto" w:fill="auto"/>
            <w:vAlign w:val="center"/>
          </w:tcPr>
          <w:p w14:paraId="1D3ECDDA">
            <w:pPr>
              <w:adjustRightInd/>
              <w:snapToGrid/>
              <w:spacing w:line="240" w:lineRule="auto"/>
              <w:ind w:firstLine="0" w:firstLineChars="0"/>
              <w:contextualSpacing/>
              <w:jc w:val="center"/>
              <w:rPr>
                <w:sz w:val="21"/>
                <w:szCs w:val="21"/>
              </w:rPr>
            </w:pPr>
            <w:r>
              <w:rPr>
                <w:sz w:val="21"/>
                <w:szCs w:val="21"/>
              </w:rPr>
              <w:t>达标</w:t>
            </w:r>
          </w:p>
        </w:tc>
      </w:tr>
      <w:tr w14:paraId="1D3EC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DC">
            <w:pPr>
              <w:adjustRightInd/>
              <w:snapToGrid/>
              <w:spacing w:line="240" w:lineRule="auto"/>
              <w:ind w:firstLine="0" w:firstLineChars="0"/>
              <w:contextualSpacing/>
              <w:jc w:val="center"/>
              <w:rPr>
                <w:sz w:val="21"/>
                <w:szCs w:val="21"/>
              </w:rPr>
            </w:pPr>
            <w:r>
              <w:rPr>
                <w:sz w:val="21"/>
                <w:szCs w:val="21"/>
              </w:rPr>
              <w:t>氯苯</w:t>
            </w:r>
          </w:p>
        </w:tc>
        <w:tc>
          <w:tcPr>
            <w:tcW w:w="769" w:type="pct"/>
            <w:shd w:val="clear" w:color="auto" w:fill="auto"/>
            <w:vAlign w:val="center"/>
          </w:tcPr>
          <w:p w14:paraId="1D3ECDDD">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E0">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E1">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E2">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E7">
            <w:pPr>
              <w:adjustRightInd/>
              <w:snapToGrid/>
              <w:spacing w:line="240" w:lineRule="auto"/>
              <w:ind w:firstLine="0" w:firstLineChars="0"/>
              <w:contextualSpacing/>
              <w:jc w:val="center"/>
              <w:rPr>
                <w:sz w:val="21"/>
                <w:szCs w:val="21"/>
              </w:rPr>
            </w:pPr>
            <w:r>
              <w:rPr>
                <w:sz w:val="21"/>
                <w:szCs w:val="21"/>
              </w:rPr>
              <w:t>270</w:t>
            </w:r>
          </w:p>
        </w:tc>
        <w:tc>
          <w:tcPr>
            <w:tcW w:w="550" w:type="pct"/>
            <w:shd w:val="clear" w:color="auto" w:fill="auto"/>
            <w:vAlign w:val="center"/>
          </w:tcPr>
          <w:p w14:paraId="1D3ECDE8">
            <w:pPr>
              <w:adjustRightInd/>
              <w:snapToGrid/>
              <w:spacing w:line="240" w:lineRule="auto"/>
              <w:ind w:firstLine="0" w:firstLineChars="0"/>
              <w:contextualSpacing/>
              <w:jc w:val="center"/>
              <w:rPr>
                <w:sz w:val="21"/>
                <w:szCs w:val="21"/>
              </w:rPr>
            </w:pPr>
            <w:r>
              <w:rPr>
                <w:sz w:val="21"/>
                <w:szCs w:val="21"/>
              </w:rPr>
              <w:t>达标</w:t>
            </w:r>
          </w:p>
        </w:tc>
      </w:tr>
      <w:tr w14:paraId="1D3EC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EA">
            <w:pPr>
              <w:adjustRightInd/>
              <w:snapToGrid/>
              <w:spacing w:line="240" w:lineRule="auto"/>
              <w:ind w:firstLine="0" w:firstLineChars="0"/>
              <w:contextualSpacing/>
              <w:jc w:val="center"/>
              <w:rPr>
                <w:sz w:val="21"/>
                <w:szCs w:val="21"/>
              </w:rPr>
            </w:pPr>
            <w:r>
              <w:rPr>
                <w:sz w:val="21"/>
                <w:szCs w:val="21"/>
              </w:rPr>
              <w:t>1,1,1,2-四氯乙烷</w:t>
            </w:r>
          </w:p>
        </w:tc>
        <w:tc>
          <w:tcPr>
            <w:tcW w:w="769" w:type="pct"/>
            <w:shd w:val="clear" w:color="auto" w:fill="auto"/>
            <w:vAlign w:val="center"/>
          </w:tcPr>
          <w:p w14:paraId="1D3ECDEB">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EE">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EF">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F0">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DF5">
            <w:pPr>
              <w:adjustRightInd/>
              <w:snapToGrid/>
              <w:spacing w:line="240" w:lineRule="auto"/>
              <w:ind w:firstLine="0" w:firstLineChars="0"/>
              <w:contextualSpacing/>
              <w:jc w:val="center"/>
              <w:rPr>
                <w:sz w:val="21"/>
                <w:szCs w:val="21"/>
              </w:rPr>
            </w:pPr>
            <w:r>
              <w:rPr>
                <w:sz w:val="21"/>
                <w:szCs w:val="21"/>
              </w:rPr>
              <w:t>10</w:t>
            </w:r>
          </w:p>
        </w:tc>
        <w:tc>
          <w:tcPr>
            <w:tcW w:w="550" w:type="pct"/>
            <w:shd w:val="clear" w:color="auto" w:fill="auto"/>
            <w:vAlign w:val="center"/>
          </w:tcPr>
          <w:p w14:paraId="1D3ECDF6">
            <w:pPr>
              <w:adjustRightInd/>
              <w:snapToGrid/>
              <w:spacing w:line="240" w:lineRule="auto"/>
              <w:ind w:firstLine="0" w:firstLineChars="0"/>
              <w:contextualSpacing/>
              <w:jc w:val="center"/>
              <w:rPr>
                <w:sz w:val="21"/>
                <w:szCs w:val="21"/>
              </w:rPr>
            </w:pPr>
            <w:r>
              <w:rPr>
                <w:sz w:val="21"/>
                <w:szCs w:val="21"/>
              </w:rPr>
              <w:t>达标</w:t>
            </w:r>
          </w:p>
        </w:tc>
      </w:tr>
      <w:tr w14:paraId="1D3EC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DF8">
            <w:pPr>
              <w:adjustRightInd/>
              <w:snapToGrid/>
              <w:spacing w:line="240" w:lineRule="auto"/>
              <w:ind w:firstLine="0" w:firstLineChars="0"/>
              <w:contextualSpacing/>
              <w:jc w:val="center"/>
              <w:rPr>
                <w:sz w:val="21"/>
                <w:szCs w:val="21"/>
              </w:rPr>
            </w:pPr>
            <w:r>
              <w:rPr>
                <w:sz w:val="21"/>
                <w:szCs w:val="21"/>
              </w:rPr>
              <w:t>乙苯</w:t>
            </w:r>
          </w:p>
        </w:tc>
        <w:tc>
          <w:tcPr>
            <w:tcW w:w="769" w:type="pct"/>
            <w:shd w:val="clear" w:color="auto" w:fill="auto"/>
            <w:vAlign w:val="center"/>
          </w:tcPr>
          <w:p w14:paraId="1D3ECDF9">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DFC">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DFD">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DFE">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03">
            <w:pPr>
              <w:adjustRightInd/>
              <w:snapToGrid/>
              <w:spacing w:line="240" w:lineRule="auto"/>
              <w:ind w:firstLine="0" w:firstLineChars="0"/>
              <w:contextualSpacing/>
              <w:jc w:val="center"/>
              <w:rPr>
                <w:sz w:val="21"/>
                <w:szCs w:val="21"/>
              </w:rPr>
            </w:pPr>
            <w:r>
              <w:rPr>
                <w:sz w:val="21"/>
                <w:szCs w:val="21"/>
              </w:rPr>
              <w:t>28</w:t>
            </w:r>
          </w:p>
        </w:tc>
        <w:tc>
          <w:tcPr>
            <w:tcW w:w="550" w:type="pct"/>
            <w:shd w:val="clear" w:color="auto" w:fill="auto"/>
            <w:vAlign w:val="center"/>
          </w:tcPr>
          <w:p w14:paraId="1D3ECE04">
            <w:pPr>
              <w:adjustRightInd/>
              <w:snapToGrid/>
              <w:spacing w:line="240" w:lineRule="auto"/>
              <w:ind w:firstLine="0" w:firstLineChars="0"/>
              <w:contextualSpacing/>
              <w:jc w:val="center"/>
              <w:rPr>
                <w:sz w:val="21"/>
                <w:szCs w:val="21"/>
              </w:rPr>
            </w:pPr>
            <w:r>
              <w:rPr>
                <w:sz w:val="21"/>
                <w:szCs w:val="21"/>
              </w:rPr>
              <w:t>达标</w:t>
            </w:r>
          </w:p>
        </w:tc>
      </w:tr>
      <w:tr w14:paraId="1D3EC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06">
            <w:pPr>
              <w:adjustRightInd/>
              <w:snapToGrid/>
              <w:spacing w:line="240" w:lineRule="auto"/>
              <w:ind w:firstLine="0" w:firstLineChars="0"/>
              <w:contextualSpacing/>
              <w:jc w:val="center"/>
              <w:rPr>
                <w:sz w:val="21"/>
                <w:szCs w:val="21"/>
              </w:rPr>
            </w:pPr>
            <w:r>
              <w:rPr>
                <w:sz w:val="21"/>
                <w:szCs w:val="21"/>
              </w:rPr>
              <w:t>间二甲苯+对二甲苯</w:t>
            </w:r>
          </w:p>
        </w:tc>
        <w:tc>
          <w:tcPr>
            <w:tcW w:w="769" w:type="pct"/>
            <w:shd w:val="clear" w:color="auto" w:fill="auto"/>
            <w:vAlign w:val="center"/>
          </w:tcPr>
          <w:p w14:paraId="1D3ECE07">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0A">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0B">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0C">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11">
            <w:pPr>
              <w:adjustRightInd/>
              <w:snapToGrid/>
              <w:spacing w:line="240" w:lineRule="auto"/>
              <w:ind w:firstLine="0" w:firstLineChars="0"/>
              <w:contextualSpacing/>
              <w:jc w:val="center"/>
              <w:rPr>
                <w:sz w:val="21"/>
                <w:szCs w:val="21"/>
              </w:rPr>
            </w:pPr>
            <w:r>
              <w:rPr>
                <w:sz w:val="21"/>
                <w:szCs w:val="21"/>
              </w:rPr>
              <w:t>570</w:t>
            </w:r>
          </w:p>
        </w:tc>
        <w:tc>
          <w:tcPr>
            <w:tcW w:w="550" w:type="pct"/>
            <w:shd w:val="clear" w:color="auto" w:fill="auto"/>
            <w:vAlign w:val="center"/>
          </w:tcPr>
          <w:p w14:paraId="1D3ECE12">
            <w:pPr>
              <w:adjustRightInd/>
              <w:snapToGrid/>
              <w:spacing w:line="240" w:lineRule="auto"/>
              <w:ind w:firstLine="0" w:firstLineChars="0"/>
              <w:contextualSpacing/>
              <w:jc w:val="center"/>
              <w:rPr>
                <w:sz w:val="21"/>
                <w:szCs w:val="21"/>
              </w:rPr>
            </w:pPr>
            <w:r>
              <w:rPr>
                <w:sz w:val="21"/>
                <w:szCs w:val="21"/>
              </w:rPr>
              <w:t>达标</w:t>
            </w:r>
          </w:p>
        </w:tc>
      </w:tr>
      <w:tr w14:paraId="1D3EC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14">
            <w:pPr>
              <w:adjustRightInd/>
              <w:snapToGrid/>
              <w:spacing w:line="240" w:lineRule="auto"/>
              <w:ind w:firstLine="0" w:firstLineChars="0"/>
              <w:contextualSpacing/>
              <w:jc w:val="center"/>
              <w:rPr>
                <w:sz w:val="21"/>
                <w:szCs w:val="21"/>
              </w:rPr>
            </w:pPr>
            <w:r>
              <w:rPr>
                <w:sz w:val="21"/>
                <w:szCs w:val="21"/>
              </w:rPr>
              <w:t>邻二甲苯</w:t>
            </w:r>
          </w:p>
        </w:tc>
        <w:tc>
          <w:tcPr>
            <w:tcW w:w="769" w:type="pct"/>
            <w:shd w:val="clear" w:color="auto" w:fill="auto"/>
            <w:vAlign w:val="center"/>
          </w:tcPr>
          <w:p w14:paraId="1D3ECE15">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18">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19">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1A">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1F">
            <w:pPr>
              <w:adjustRightInd/>
              <w:snapToGrid/>
              <w:spacing w:line="240" w:lineRule="auto"/>
              <w:ind w:firstLine="0" w:firstLineChars="0"/>
              <w:contextualSpacing/>
              <w:jc w:val="center"/>
              <w:rPr>
                <w:sz w:val="21"/>
                <w:szCs w:val="21"/>
              </w:rPr>
            </w:pPr>
            <w:r>
              <w:rPr>
                <w:sz w:val="21"/>
                <w:szCs w:val="21"/>
              </w:rPr>
              <w:t>640</w:t>
            </w:r>
          </w:p>
        </w:tc>
        <w:tc>
          <w:tcPr>
            <w:tcW w:w="550" w:type="pct"/>
            <w:shd w:val="clear" w:color="auto" w:fill="auto"/>
            <w:vAlign w:val="center"/>
          </w:tcPr>
          <w:p w14:paraId="1D3ECE20">
            <w:pPr>
              <w:adjustRightInd/>
              <w:snapToGrid/>
              <w:spacing w:line="240" w:lineRule="auto"/>
              <w:ind w:firstLine="0" w:firstLineChars="0"/>
              <w:contextualSpacing/>
              <w:jc w:val="center"/>
              <w:rPr>
                <w:sz w:val="21"/>
                <w:szCs w:val="21"/>
              </w:rPr>
            </w:pPr>
            <w:r>
              <w:rPr>
                <w:sz w:val="21"/>
                <w:szCs w:val="21"/>
              </w:rPr>
              <w:t>达标</w:t>
            </w:r>
          </w:p>
        </w:tc>
      </w:tr>
      <w:tr w14:paraId="1D3EC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22">
            <w:pPr>
              <w:adjustRightInd/>
              <w:snapToGrid/>
              <w:spacing w:line="240" w:lineRule="auto"/>
              <w:ind w:firstLine="0" w:firstLineChars="0"/>
              <w:contextualSpacing/>
              <w:jc w:val="center"/>
              <w:rPr>
                <w:sz w:val="21"/>
                <w:szCs w:val="21"/>
              </w:rPr>
            </w:pPr>
            <w:r>
              <w:rPr>
                <w:sz w:val="21"/>
                <w:szCs w:val="21"/>
              </w:rPr>
              <w:t>苯乙烯</w:t>
            </w:r>
          </w:p>
        </w:tc>
        <w:tc>
          <w:tcPr>
            <w:tcW w:w="769" w:type="pct"/>
            <w:shd w:val="clear" w:color="auto" w:fill="auto"/>
            <w:vAlign w:val="center"/>
          </w:tcPr>
          <w:p w14:paraId="1D3ECE23">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26">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27">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28">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2D">
            <w:pPr>
              <w:adjustRightInd/>
              <w:snapToGrid/>
              <w:spacing w:line="240" w:lineRule="auto"/>
              <w:ind w:firstLine="0" w:firstLineChars="0"/>
              <w:contextualSpacing/>
              <w:jc w:val="center"/>
              <w:rPr>
                <w:sz w:val="21"/>
                <w:szCs w:val="21"/>
              </w:rPr>
            </w:pPr>
            <w:r>
              <w:rPr>
                <w:sz w:val="21"/>
                <w:szCs w:val="21"/>
              </w:rPr>
              <w:t>1290</w:t>
            </w:r>
          </w:p>
        </w:tc>
        <w:tc>
          <w:tcPr>
            <w:tcW w:w="550" w:type="pct"/>
            <w:shd w:val="clear" w:color="auto" w:fill="auto"/>
            <w:vAlign w:val="center"/>
          </w:tcPr>
          <w:p w14:paraId="1D3ECE2E">
            <w:pPr>
              <w:adjustRightInd/>
              <w:snapToGrid/>
              <w:spacing w:line="240" w:lineRule="auto"/>
              <w:ind w:firstLine="0" w:firstLineChars="0"/>
              <w:contextualSpacing/>
              <w:jc w:val="center"/>
              <w:rPr>
                <w:sz w:val="21"/>
                <w:szCs w:val="21"/>
              </w:rPr>
            </w:pPr>
            <w:r>
              <w:rPr>
                <w:sz w:val="21"/>
                <w:szCs w:val="21"/>
              </w:rPr>
              <w:t>达标</w:t>
            </w:r>
          </w:p>
        </w:tc>
      </w:tr>
      <w:tr w14:paraId="1D3EC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30">
            <w:pPr>
              <w:adjustRightInd/>
              <w:snapToGrid/>
              <w:spacing w:line="240" w:lineRule="auto"/>
              <w:ind w:firstLine="0" w:firstLineChars="0"/>
              <w:contextualSpacing/>
              <w:jc w:val="center"/>
              <w:rPr>
                <w:sz w:val="21"/>
                <w:szCs w:val="21"/>
              </w:rPr>
            </w:pPr>
            <w:r>
              <w:rPr>
                <w:sz w:val="21"/>
                <w:szCs w:val="21"/>
              </w:rPr>
              <w:t>1,1,2,2-四氯乙烷</w:t>
            </w:r>
          </w:p>
        </w:tc>
        <w:tc>
          <w:tcPr>
            <w:tcW w:w="769" w:type="pct"/>
            <w:shd w:val="clear" w:color="auto" w:fill="auto"/>
            <w:vAlign w:val="center"/>
          </w:tcPr>
          <w:p w14:paraId="1D3ECE31">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34">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35">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36">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3B">
            <w:pPr>
              <w:adjustRightInd/>
              <w:snapToGrid/>
              <w:spacing w:line="240" w:lineRule="auto"/>
              <w:ind w:firstLine="0" w:firstLineChars="0"/>
              <w:contextualSpacing/>
              <w:jc w:val="center"/>
              <w:rPr>
                <w:sz w:val="21"/>
                <w:szCs w:val="21"/>
              </w:rPr>
            </w:pPr>
            <w:r>
              <w:rPr>
                <w:sz w:val="21"/>
                <w:szCs w:val="21"/>
              </w:rPr>
              <w:t>6.8</w:t>
            </w:r>
          </w:p>
        </w:tc>
        <w:tc>
          <w:tcPr>
            <w:tcW w:w="550" w:type="pct"/>
            <w:shd w:val="clear" w:color="auto" w:fill="auto"/>
            <w:vAlign w:val="center"/>
          </w:tcPr>
          <w:p w14:paraId="1D3ECE3C">
            <w:pPr>
              <w:adjustRightInd/>
              <w:snapToGrid/>
              <w:spacing w:line="240" w:lineRule="auto"/>
              <w:ind w:firstLine="0" w:firstLineChars="0"/>
              <w:contextualSpacing/>
              <w:jc w:val="center"/>
              <w:rPr>
                <w:sz w:val="21"/>
                <w:szCs w:val="21"/>
              </w:rPr>
            </w:pPr>
            <w:r>
              <w:rPr>
                <w:sz w:val="21"/>
                <w:szCs w:val="21"/>
              </w:rPr>
              <w:t>达标</w:t>
            </w:r>
          </w:p>
        </w:tc>
      </w:tr>
      <w:tr w14:paraId="1D3EC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3E">
            <w:pPr>
              <w:adjustRightInd/>
              <w:snapToGrid/>
              <w:spacing w:line="240" w:lineRule="auto"/>
              <w:ind w:firstLine="0" w:firstLineChars="0"/>
              <w:contextualSpacing/>
              <w:jc w:val="center"/>
              <w:rPr>
                <w:sz w:val="21"/>
                <w:szCs w:val="21"/>
              </w:rPr>
            </w:pPr>
            <w:r>
              <w:rPr>
                <w:sz w:val="21"/>
                <w:szCs w:val="21"/>
              </w:rPr>
              <w:t>1,2,3-三氯丙烷</w:t>
            </w:r>
          </w:p>
        </w:tc>
        <w:tc>
          <w:tcPr>
            <w:tcW w:w="769" w:type="pct"/>
            <w:shd w:val="clear" w:color="auto" w:fill="auto"/>
            <w:vAlign w:val="center"/>
          </w:tcPr>
          <w:p w14:paraId="1D3ECE3F">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42">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43">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44">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49">
            <w:pPr>
              <w:adjustRightInd/>
              <w:snapToGrid/>
              <w:spacing w:line="240" w:lineRule="auto"/>
              <w:ind w:firstLine="0" w:firstLineChars="0"/>
              <w:contextualSpacing/>
              <w:jc w:val="center"/>
              <w:rPr>
                <w:sz w:val="21"/>
                <w:szCs w:val="21"/>
              </w:rPr>
            </w:pPr>
            <w:r>
              <w:rPr>
                <w:sz w:val="21"/>
                <w:szCs w:val="21"/>
              </w:rPr>
              <w:t>0.5</w:t>
            </w:r>
          </w:p>
        </w:tc>
        <w:tc>
          <w:tcPr>
            <w:tcW w:w="550" w:type="pct"/>
            <w:shd w:val="clear" w:color="auto" w:fill="auto"/>
            <w:vAlign w:val="center"/>
          </w:tcPr>
          <w:p w14:paraId="1D3ECE4A">
            <w:pPr>
              <w:adjustRightInd/>
              <w:snapToGrid/>
              <w:spacing w:line="240" w:lineRule="auto"/>
              <w:ind w:firstLine="0" w:firstLineChars="0"/>
              <w:contextualSpacing/>
              <w:jc w:val="center"/>
              <w:rPr>
                <w:sz w:val="21"/>
                <w:szCs w:val="21"/>
              </w:rPr>
            </w:pPr>
            <w:r>
              <w:rPr>
                <w:sz w:val="21"/>
                <w:szCs w:val="21"/>
              </w:rPr>
              <w:t>达标</w:t>
            </w:r>
          </w:p>
        </w:tc>
      </w:tr>
      <w:tr w14:paraId="1D3EC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4C">
            <w:pPr>
              <w:adjustRightInd/>
              <w:snapToGrid/>
              <w:spacing w:line="240" w:lineRule="auto"/>
              <w:ind w:firstLine="0" w:firstLineChars="0"/>
              <w:contextualSpacing/>
              <w:jc w:val="center"/>
              <w:rPr>
                <w:sz w:val="21"/>
                <w:szCs w:val="21"/>
              </w:rPr>
            </w:pPr>
            <w:r>
              <w:rPr>
                <w:sz w:val="21"/>
                <w:szCs w:val="21"/>
              </w:rPr>
              <w:t>1,4-二氯苯</w:t>
            </w:r>
          </w:p>
        </w:tc>
        <w:tc>
          <w:tcPr>
            <w:tcW w:w="769" w:type="pct"/>
            <w:shd w:val="clear" w:color="auto" w:fill="auto"/>
            <w:vAlign w:val="center"/>
          </w:tcPr>
          <w:p w14:paraId="1D3ECE4D">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50">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51">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52">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57">
            <w:pPr>
              <w:adjustRightInd/>
              <w:snapToGrid/>
              <w:spacing w:line="240" w:lineRule="auto"/>
              <w:ind w:firstLine="0" w:firstLineChars="0"/>
              <w:contextualSpacing/>
              <w:jc w:val="center"/>
              <w:rPr>
                <w:sz w:val="21"/>
                <w:szCs w:val="21"/>
              </w:rPr>
            </w:pPr>
            <w:r>
              <w:rPr>
                <w:sz w:val="21"/>
                <w:szCs w:val="21"/>
              </w:rPr>
              <w:t>20</w:t>
            </w:r>
          </w:p>
        </w:tc>
        <w:tc>
          <w:tcPr>
            <w:tcW w:w="550" w:type="pct"/>
            <w:shd w:val="clear" w:color="auto" w:fill="auto"/>
            <w:vAlign w:val="center"/>
          </w:tcPr>
          <w:p w14:paraId="1D3ECE58">
            <w:pPr>
              <w:adjustRightInd/>
              <w:snapToGrid/>
              <w:spacing w:line="240" w:lineRule="auto"/>
              <w:ind w:firstLine="0" w:firstLineChars="0"/>
              <w:contextualSpacing/>
              <w:jc w:val="center"/>
              <w:rPr>
                <w:sz w:val="21"/>
                <w:szCs w:val="21"/>
              </w:rPr>
            </w:pPr>
            <w:r>
              <w:rPr>
                <w:sz w:val="21"/>
                <w:szCs w:val="21"/>
              </w:rPr>
              <w:t>达标</w:t>
            </w:r>
          </w:p>
        </w:tc>
      </w:tr>
      <w:tr w14:paraId="1D3EC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5A">
            <w:pPr>
              <w:adjustRightInd/>
              <w:snapToGrid/>
              <w:spacing w:line="240" w:lineRule="auto"/>
              <w:ind w:firstLine="0" w:firstLineChars="0"/>
              <w:contextualSpacing/>
              <w:jc w:val="center"/>
              <w:rPr>
                <w:sz w:val="21"/>
                <w:szCs w:val="21"/>
              </w:rPr>
            </w:pPr>
            <w:r>
              <w:rPr>
                <w:sz w:val="21"/>
                <w:szCs w:val="21"/>
              </w:rPr>
              <w:t>1,2-二氯苯</w:t>
            </w:r>
          </w:p>
        </w:tc>
        <w:tc>
          <w:tcPr>
            <w:tcW w:w="769" w:type="pct"/>
            <w:shd w:val="clear" w:color="auto" w:fill="auto"/>
            <w:vAlign w:val="center"/>
          </w:tcPr>
          <w:p w14:paraId="1D3ECE5B">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5E">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5F">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60">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65">
            <w:pPr>
              <w:adjustRightInd/>
              <w:snapToGrid/>
              <w:spacing w:line="240" w:lineRule="auto"/>
              <w:ind w:firstLine="0" w:firstLineChars="0"/>
              <w:contextualSpacing/>
              <w:jc w:val="center"/>
              <w:rPr>
                <w:sz w:val="21"/>
                <w:szCs w:val="21"/>
              </w:rPr>
            </w:pPr>
            <w:r>
              <w:rPr>
                <w:sz w:val="21"/>
                <w:szCs w:val="21"/>
              </w:rPr>
              <w:t>560</w:t>
            </w:r>
          </w:p>
        </w:tc>
        <w:tc>
          <w:tcPr>
            <w:tcW w:w="550" w:type="pct"/>
            <w:shd w:val="clear" w:color="auto" w:fill="auto"/>
            <w:vAlign w:val="center"/>
          </w:tcPr>
          <w:p w14:paraId="1D3ECE66">
            <w:pPr>
              <w:adjustRightInd/>
              <w:snapToGrid/>
              <w:spacing w:line="240" w:lineRule="auto"/>
              <w:ind w:firstLine="0" w:firstLineChars="0"/>
              <w:contextualSpacing/>
              <w:jc w:val="center"/>
              <w:rPr>
                <w:sz w:val="21"/>
                <w:szCs w:val="21"/>
              </w:rPr>
            </w:pPr>
            <w:r>
              <w:rPr>
                <w:sz w:val="21"/>
                <w:szCs w:val="21"/>
              </w:rPr>
              <w:t>达标</w:t>
            </w:r>
          </w:p>
        </w:tc>
      </w:tr>
      <w:tr w14:paraId="1D3EC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68">
            <w:pPr>
              <w:adjustRightInd/>
              <w:snapToGrid/>
              <w:spacing w:line="240" w:lineRule="auto"/>
              <w:ind w:firstLine="0" w:firstLineChars="0"/>
              <w:contextualSpacing/>
              <w:jc w:val="center"/>
              <w:rPr>
                <w:sz w:val="21"/>
                <w:szCs w:val="21"/>
              </w:rPr>
            </w:pPr>
            <w:r>
              <w:rPr>
                <w:sz w:val="21"/>
                <w:szCs w:val="21"/>
              </w:rPr>
              <w:t>苯胺</w:t>
            </w:r>
          </w:p>
        </w:tc>
        <w:tc>
          <w:tcPr>
            <w:tcW w:w="769" w:type="pct"/>
            <w:shd w:val="clear" w:color="auto" w:fill="auto"/>
            <w:vAlign w:val="center"/>
          </w:tcPr>
          <w:p w14:paraId="1D3ECE69">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6C">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6D">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6E">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73">
            <w:pPr>
              <w:adjustRightInd/>
              <w:snapToGrid/>
              <w:spacing w:line="240" w:lineRule="auto"/>
              <w:ind w:firstLine="0" w:firstLineChars="0"/>
              <w:contextualSpacing/>
              <w:jc w:val="center"/>
              <w:rPr>
                <w:sz w:val="21"/>
                <w:szCs w:val="21"/>
              </w:rPr>
            </w:pPr>
            <w:r>
              <w:rPr>
                <w:sz w:val="21"/>
                <w:szCs w:val="21"/>
              </w:rPr>
              <w:t>260</w:t>
            </w:r>
          </w:p>
        </w:tc>
        <w:tc>
          <w:tcPr>
            <w:tcW w:w="550" w:type="pct"/>
            <w:shd w:val="clear" w:color="auto" w:fill="auto"/>
            <w:vAlign w:val="center"/>
          </w:tcPr>
          <w:p w14:paraId="1D3ECE74">
            <w:pPr>
              <w:adjustRightInd/>
              <w:snapToGrid/>
              <w:spacing w:line="240" w:lineRule="auto"/>
              <w:ind w:firstLine="0" w:firstLineChars="0"/>
              <w:contextualSpacing/>
              <w:jc w:val="center"/>
              <w:rPr>
                <w:sz w:val="21"/>
                <w:szCs w:val="21"/>
              </w:rPr>
            </w:pPr>
            <w:r>
              <w:rPr>
                <w:sz w:val="21"/>
                <w:szCs w:val="21"/>
              </w:rPr>
              <w:t>达标</w:t>
            </w:r>
          </w:p>
        </w:tc>
      </w:tr>
      <w:tr w14:paraId="1D3EC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76">
            <w:pPr>
              <w:adjustRightInd/>
              <w:snapToGrid/>
              <w:spacing w:line="240" w:lineRule="auto"/>
              <w:ind w:firstLine="0" w:firstLineChars="0"/>
              <w:contextualSpacing/>
              <w:jc w:val="center"/>
              <w:rPr>
                <w:sz w:val="21"/>
                <w:szCs w:val="21"/>
              </w:rPr>
            </w:pPr>
            <w:r>
              <w:rPr>
                <w:sz w:val="21"/>
                <w:szCs w:val="21"/>
              </w:rPr>
              <w:t>2-氯酚</w:t>
            </w:r>
          </w:p>
        </w:tc>
        <w:tc>
          <w:tcPr>
            <w:tcW w:w="769" w:type="pct"/>
            <w:shd w:val="clear" w:color="auto" w:fill="auto"/>
            <w:vAlign w:val="center"/>
          </w:tcPr>
          <w:p w14:paraId="1D3ECE77">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7A">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7B">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7C">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81">
            <w:pPr>
              <w:adjustRightInd/>
              <w:snapToGrid/>
              <w:spacing w:line="240" w:lineRule="auto"/>
              <w:ind w:firstLine="0" w:firstLineChars="0"/>
              <w:contextualSpacing/>
              <w:jc w:val="center"/>
              <w:rPr>
                <w:sz w:val="21"/>
                <w:szCs w:val="21"/>
              </w:rPr>
            </w:pPr>
            <w:r>
              <w:rPr>
                <w:sz w:val="21"/>
                <w:szCs w:val="21"/>
              </w:rPr>
              <w:t>2256</w:t>
            </w:r>
          </w:p>
        </w:tc>
        <w:tc>
          <w:tcPr>
            <w:tcW w:w="550" w:type="pct"/>
            <w:shd w:val="clear" w:color="auto" w:fill="auto"/>
            <w:vAlign w:val="center"/>
          </w:tcPr>
          <w:p w14:paraId="1D3ECE82">
            <w:pPr>
              <w:adjustRightInd/>
              <w:snapToGrid/>
              <w:spacing w:line="240" w:lineRule="auto"/>
              <w:ind w:firstLine="0" w:firstLineChars="0"/>
              <w:contextualSpacing/>
              <w:jc w:val="center"/>
              <w:rPr>
                <w:sz w:val="21"/>
                <w:szCs w:val="21"/>
              </w:rPr>
            </w:pPr>
            <w:r>
              <w:rPr>
                <w:sz w:val="21"/>
                <w:szCs w:val="21"/>
              </w:rPr>
              <w:t>达标</w:t>
            </w:r>
          </w:p>
        </w:tc>
      </w:tr>
      <w:tr w14:paraId="1D3EC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84">
            <w:pPr>
              <w:adjustRightInd/>
              <w:snapToGrid/>
              <w:spacing w:line="240" w:lineRule="auto"/>
              <w:ind w:firstLine="0" w:firstLineChars="0"/>
              <w:contextualSpacing/>
              <w:jc w:val="center"/>
              <w:rPr>
                <w:sz w:val="21"/>
                <w:szCs w:val="21"/>
              </w:rPr>
            </w:pPr>
            <w:r>
              <w:rPr>
                <w:sz w:val="21"/>
                <w:szCs w:val="21"/>
              </w:rPr>
              <w:t>硝基苯</w:t>
            </w:r>
          </w:p>
        </w:tc>
        <w:tc>
          <w:tcPr>
            <w:tcW w:w="769" w:type="pct"/>
            <w:shd w:val="clear" w:color="auto" w:fill="auto"/>
            <w:vAlign w:val="center"/>
          </w:tcPr>
          <w:p w14:paraId="1D3ECE85">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88">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89">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8A">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8F">
            <w:pPr>
              <w:adjustRightInd/>
              <w:snapToGrid/>
              <w:spacing w:line="240" w:lineRule="auto"/>
              <w:ind w:firstLine="0" w:firstLineChars="0"/>
              <w:contextualSpacing/>
              <w:jc w:val="center"/>
              <w:rPr>
                <w:sz w:val="21"/>
                <w:szCs w:val="21"/>
              </w:rPr>
            </w:pPr>
            <w:r>
              <w:rPr>
                <w:sz w:val="21"/>
                <w:szCs w:val="21"/>
              </w:rPr>
              <w:t>76</w:t>
            </w:r>
          </w:p>
        </w:tc>
        <w:tc>
          <w:tcPr>
            <w:tcW w:w="550" w:type="pct"/>
            <w:shd w:val="clear" w:color="auto" w:fill="auto"/>
            <w:vAlign w:val="center"/>
          </w:tcPr>
          <w:p w14:paraId="1D3ECE90">
            <w:pPr>
              <w:adjustRightInd/>
              <w:snapToGrid/>
              <w:spacing w:line="240" w:lineRule="auto"/>
              <w:ind w:firstLine="0" w:firstLineChars="0"/>
              <w:contextualSpacing/>
              <w:jc w:val="center"/>
              <w:rPr>
                <w:sz w:val="21"/>
                <w:szCs w:val="21"/>
              </w:rPr>
            </w:pPr>
            <w:r>
              <w:rPr>
                <w:sz w:val="21"/>
                <w:szCs w:val="21"/>
              </w:rPr>
              <w:t>达标</w:t>
            </w:r>
          </w:p>
        </w:tc>
      </w:tr>
      <w:tr w14:paraId="1D3EC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020" w:type="pct"/>
            <w:shd w:val="clear" w:color="auto" w:fill="auto"/>
            <w:vAlign w:val="center"/>
          </w:tcPr>
          <w:p w14:paraId="1D3ECE92">
            <w:pPr>
              <w:adjustRightInd/>
              <w:snapToGrid/>
              <w:spacing w:line="240" w:lineRule="auto"/>
              <w:ind w:firstLine="0" w:firstLineChars="0"/>
              <w:contextualSpacing/>
              <w:jc w:val="center"/>
              <w:rPr>
                <w:sz w:val="21"/>
                <w:szCs w:val="21"/>
              </w:rPr>
            </w:pPr>
            <w:r>
              <w:rPr>
                <w:sz w:val="21"/>
                <w:szCs w:val="21"/>
              </w:rPr>
              <w:t>萘</w:t>
            </w:r>
          </w:p>
        </w:tc>
        <w:tc>
          <w:tcPr>
            <w:tcW w:w="769" w:type="pct"/>
            <w:shd w:val="clear" w:color="auto" w:fill="auto"/>
            <w:vAlign w:val="center"/>
          </w:tcPr>
          <w:p w14:paraId="1D3ECE93">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96">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97">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98">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9D">
            <w:pPr>
              <w:adjustRightInd/>
              <w:snapToGrid/>
              <w:spacing w:line="240" w:lineRule="auto"/>
              <w:ind w:firstLine="0" w:firstLineChars="0"/>
              <w:contextualSpacing/>
              <w:jc w:val="center"/>
              <w:rPr>
                <w:sz w:val="21"/>
                <w:szCs w:val="21"/>
              </w:rPr>
            </w:pPr>
            <w:r>
              <w:rPr>
                <w:sz w:val="21"/>
                <w:szCs w:val="21"/>
              </w:rPr>
              <w:t>70</w:t>
            </w:r>
          </w:p>
        </w:tc>
        <w:tc>
          <w:tcPr>
            <w:tcW w:w="550" w:type="pct"/>
            <w:shd w:val="clear" w:color="auto" w:fill="auto"/>
            <w:vAlign w:val="center"/>
          </w:tcPr>
          <w:p w14:paraId="1D3ECE9E">
            <w:pPr>
              <w:adjustRightInd/>
              <w:snapToGrid/>
              <w:spacing w:line="240" w:lineRule="auto"/>
              <w:ind w:firstLine="0" w:firstLineChars="0"/>
              <w:contextualSpacing/>
              <w:jc w:val="center"/>
              <w:rPr>
                <w:sz w:val="21"/>
                <w:szCs w:val="21"/>
              </w:rPr>
            </w:pPr>
            <w:r>
              <w:rPr>
                <w:sz w:val="21"/>
                <w:szCs w:val="21"/>
              </w:rPr>
              <w:t>达标</w:t>
            </w:r>
          </w:p>
        </w:tc>
      </w:tr>
      <w:tr w14:paraId="1D3EC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A0">
            <w:pPr>
              <w:adjustRightInd/>
              <w:snapToGrid/>
              <w:spacing w:line="240" w:lineRule="auto"/>
              <w:ind w:firstLine="0" w:firstLineChars="0"/>
              <w:contextualSpacing/>
              <w:jc w:val="center"/>
              <w:rPr>
                <w:sz w:val="21"/>
                <w:szCs w:val="21"/>
              </w:rPr>
            </w:pPr>
            <w:r>
              <w:rPr>
                <w:sz w:val="21"/>
                <w:szCs w:val="21"/>
              </w:rPr>
              <w:t>苯并[a]蒽</w:t>
            </w:r>
          </w:p>
        </w:tc>
        <w:tc>
          <w:tcPr>
            <w:tcW w:w="769" w:type="pct"/>
            <w:shd w:val="clear" w:color="auto" w:fill="auto"/>
            <w:vAlign w:val="center"/>
          </w:tcPr>
          <w:p w14:paraId="1D3ECEA1">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A4">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A5">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A6">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AB">
            <w:pPr>
              <w:adjustRightInd/>
              <w:snapToGrid/>
              <w:spacing w:line="240" w:lineRule="auto"/>
              <w:ind w:firstLine="0" w:firstLineChars="0"/>
              <w:contextualSpacing/>
              <w:jc w:val="center"/>
              <w:rPr>
                <w:sz w:val="21"/>
                <w:szCs w:val="21"/>
              </w:rPr>
            </w:pPr>
            <w:r>
              <w:rPr>
                <w:sz w:val="21"/>
                <w:szCs w:val="21"/>
              </w:rPr>
              <w:t>15</w:t>
            </w:r>
          </w:p>
        </w:tc>
        <w:tc>
          <w:tcPr>
            <w:tcW w:w="550" w:type="pct"/>
            <w:shd w:val="clear" w:color="auto" w:fill="auto"/>
            <w:vAlign w:val="center"/>
          </w:tcPr>
          <w:p w14:paraId="1D3ECEAC">
            <w:pPr>
              <w:adjustRightInd/>
              <w:snapToGrid/>
              <w:spacing w:line="240" w:lineRule="auto"/>
              <w:ind w:firstLine="0" w:firstLineChars="0"/>
              <w:contextualSpacing/>
              <w:jc w:val="center"/>
              <w:rPr>
                <w:sz w:val="21"/>
                <w:szCs w:val="21"/>
              </w:rPr>
            </w:pPr>
            <w:r>
              <w:rPr>
                <w:sz w:val="21"/>
                <w:szCs w:val="21"/>
              </w:rPr>
              <w:t>达标</w:t>
            </w:r>
          </w:p>
        </w:tc>
      </w:tr>
      <w:tr w14:paraId="1D3ECE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AE">
            <w:pPr>
              <w:adjustRightInd/>
              <w:snapToGrid/>
              <w:spacing w:line="240" w:lineRule="auto"/>
              <w:ind w:firstLine="0" w:firstLineChars="0"/>
              <w:contextualSpacing/>
              <w:jc w:val="center"/>
              <w:rPr>
                <w:sz w:val="21"/>
                <w:szCs w:val="21"/>
              </w:rPr>
            </w:pPr>
            <w:r>
              <w:rPr>
                <w:sz w:val="21"/>
                <w:szCs w:val="21"/>
              </w:rPr>
              <w:t>䓛</w:t>
            </w:r>
          </w:p>
        </w:tc>
        <w:tc>
          <w:tcPr>
            <w:tcW w:w="769" w:type="pct"/>
            <w:shd w:val="clear" w:color="auto" w:fill="auto"/>
            <w:vAlign w:val="center"/>
          </w:tcPr>
          <w:p w14:paraId="1D3ECEAF">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B2">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B3">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B4">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B9">
            <w:pPr>
              <w:adjustRightInd/>
              <w:snapToGrid/>
              <w:spacing w:line="240" w:lineRule="auto"/>
              <w:ind w:firstLine="0" w:firstLineChars="0"/>
              <w:contextualSpacing/>
              <w:jc w:val="center"/>
              <w:rPr>
                <w:sz w:val="21"/>
                <w:szCs w:val="21"/>
              </w:rPr>
            </w:pPr>
            <w:r>
              <w:rPr>
                <w:sz w:val="21"/>
                <w:szCs w:val="21"/>
              </w:rPr>
              <w:t>1293</w:t>
            </w:r>
          </w:p>
        </w:tc>
        <w:tc>
          <w:tcPr>
            <w:tcW w:w="550" w:type="pct"/>
            <w:shd w:val="clear" w:color="auto" w:fill="auto"/>
            <w:vAlign w:val="center"/>
          </w:tcPr>
          <w:p w14:paraId="1D3ECEBA">
            <w:pPr>
              <w:adjustRightInd/>
              <w:snapToGrid/>
              <w:spacing w:line="240" w:lineRule="auto"/>
              <w:ind w:firstLine="0" w:firstLineChars="0"/>
              <w:contextualSpacing/>
              <w:jc w:val="center"/>
              <w:rPr>
                <w:sz w:val="21"/>
                <w:szCs w:val="21"/>
              </w:rPr>
            </w:pPr>
            <w:r>
              <w:rPr>
                <w:sz w:val="21"/>
                <w:szCs w:val="21"/>
              </w:rPr>
              <w:t>达标</w:t>
            </w:r>
          </w:p>
        </w:tc>
      </w:tr>
      <w:tr w14:paraId="1D3EC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BC">
            <w:pPr>
              <w:adjustRightInd/>
              <w:snapToGrid/>
              <w:spacing w:line="240" w:lineRule="auto"/>
              <w:ind w:firstLine="0" w:firstLineChars="0"/>
              <w:contextualSpacing/>
              <w:jc w:val="center"/>
              <w:rPr>
                <w:sz w:val="21"/>
                <w:szCs w:val="21"/>
              </w:rPr>
            </w:pPr>
            <w:r>
              <w:rPr>
                <w:sz w:val="21"/>
                <w:szCs w:val="21"/>
              </w:rPr>
              <w:t>苯并[b]荧蒽</w:t>
            </w:r>
          </w:p>
        </w:tc>
        <w:tc>
          <w:tcPr>
            <w:tcW w:w="769" w:type="pct"/>
            <w:shd w:val="clear" w:color="auto" w:fill="auto"/>
            <w:vAlign w:val="center"/>
          </w:tcPr>
          <w:p w14:paraId="1D3ECEBD">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C0">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C1">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C2">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C7">
            <w:pPr>
              <w:adjustRightInd/>
              <w:snapToGrid/>
              <w:spacing w:line="240" w:lineRule="auto"/>
              <w:ind w:firstLine="0" w:firstLineChars="0"/>
              <w:contextualSpacing/>
              <w:jc w:val="center"/>
              <w:rPr>
                <w:sz w:val="21"/>
                <w:szCs w:val="21"/>
              </w:rPr>
            </w:pPr>
            <w:r>
              <w:rPr>
                <w:sz w:val="21"/>
                <w:szCs w:val="21"/>
              </w:rPr>
              <w:t>15</w:t>
            </w:r>
          </w:p>
        </w:tc>
        <w:tc>
          <w:tcPr>
            <w:tcW w:w="550" w:type="pct"/>
            <w:shd w:val="clear" w:color="auto" w:fill="auto"/>
            <w:vAlign w:val="center"/>
          </w:tcPr>
          <w:p w14:paraId="1D3ECEC8">
            <w:pPr>
              <w:adjustRightInd/>
              <w:snapToGrid/>
              <w:spacing w:line="240" w:lineRule="auto"/>
              <w:ind w:firstLine="0" w:firstLineChars="0"/>
              <w:contextualSpacing/>
              <w:jc w:val="center"/>
              <w:rPr>
                <w:sz w:val="21"/>
                <w:szCs w:val="21"/>
              </w:rPr>
            </w:pPr>
            <w:r>
              <w:rPr>
                <w:sz w:val="21"/>
                <w:szCs w:val="21"/>
              </w:rPr>
              <w:t>达标</w:t>
            </w:r>
          </w:p>
        </w:tc>
      </w:tr>
      <w:tr w14:paraId="1D3EC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CA">
            <w:pPr>
              <w:adjustRightInd/>
              <w:snapToGrid/>
              <w:spacing w:line="240" w:lineRule="auto"/>
              <w:ind w:firstLine="0" w:firstLineChars="0"/>
              <w:contextualSpacing/>
              <w:jc w:val="center"/>
              <w:rPr>
                <w:sz w:val="21"/>
                <w:szCs w:val="21"/>
              </w:rPr>
            </w:pPr>
            <w:r>
              <w:rPr>
                <w:sz w:val="21"/>
                <w:szCs w:val="21"/>
              </w:rPr>
              <w:t>苯并[k]荧蒽</w:t>
            </w:r>
          </w:p>
        </w:tc>
        <w:tc>
          <w:tcPr>
            <w:tcW w:w="769" w:type="pct"/>
            <w:shd w:val="clear" w:color="auto" w:fill="auto"/>
            <w:vAlign w:val="center"/>
          </w:tcPr>
          <w:p w14:paraId="1D3ECECB">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CE">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CF">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D0">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D5">
            <w:pPr>
              <w:adjustRightInd/>
              <w:snapToGrid/>
              <w:spacing w:line="240" w:lineRule="auto"/>
              <w:ind w:firstLine="0" w:firstLineChars="0"/>
              <w:contextualSpacing/>
              <w:jc w:val="center"/>
              <w:rPr>
                <w:sz w:val="21"/>
                <w:szCs w:val="21"/>
              </w:rPr>
            </w:pPr>
            <w:r>
              <w:rPr>
                <w:sz w:val="21"/>
                <w:szCs w:val="21"/>
              </w:rPr>
              <w:t>151</w:t>
            </w:r>
          </w:p>
        </w:tc>
        <w:tc>
          <w:tcPr>
            <w:tcW w:w="550" w:type="pct"/>
            <w:shd w:val="clear" w:color="auto" w:fill="auto"/>
            <w:vAlign w:val="center"/>
          </w:tcPr>
          <w:p w14:paraId="1D3ECED6">
            <w:pPr>
              <w:adjustRightInd/>
              <w:snapToGrid/>
              <w:spacing w:line="240" w:lineRule="auto"/>
              <w:ind w:firstLine="0" w:firstLineChars="0"/>
              <w:contextualSpacing/>
              <w:jc w:val="center"/>
              <w:rPr>
                <w:sz w:val="21"/>
                <w:szCs w:val="21"/>
              </w:rPr>
            </w:pPr>
            <w:r>
              <w:rPr>
                <w:sz w:val="21"/>
                <w:szCs w:val="21"/>
              </w:rPr>
              <w:t>达标</w:t>
            </w:r>
          </w:p>
        </w:tc>
      </w:tr>
      <w:tr w14:paraId="1D3EC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D8">
            <w:pPr>
              <w:adjustRightInd/>
              <w:snapToGrid/>
              <w:spacing w:line="240" w:lineRule="auto"/>
              <w:ind w:firstLine="0" w:firstLineChars="0"/>
              <w:contextualSpacing/>
              <w:jc w:val="center"/>
              <w:rPr>
                <w:sz w:val="21"/>
                <w:szCs w:val="21"/>
              </w:rPr>
            </w:pPr>
            <w:r>
              <w:rPr>
                <w:sz w:val="21"/>
                <w:szCs w:val="21"/>
              </w:rPr>
              <w:t>苯并[a]芘</w:t>
            </w:r>
          </w:p>
        </w:tc>
        <w:tc>
          <w:tcPr>
            <w:tcW w:w="769" w:type="pct"/>
            <w:shd w:val="clear" w:color="auto" w:fill="auto"/>
            <w:vAlign w:val="center"/>
          </w:tcPr>
          <w:p w14:paraId="1D3ECED9">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DC">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DD">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DE">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E3">
            <w:pPr>
              <w:adjustRightInd/>
              <w:snapToGrid/>
              <w:spacing w:line="240" w:lineRule="auto"/>
              <w:ind w:firstLine="0" w:firstLineChars="0"/>
              <w:contextualSpacing/>
              <w:jc w:val="center"/>
              <w:rPr>
                <w:sz w:val="21"/>
                <w:szCs w:val="21"/>
              </w:rPr>
            </w:pPr>
            <w:r>
              <w:rPr>
                <w:sz w:val="21"/>
                <w:szCs w:val="21"/>
              </w:rPr>
              <w:t>1.5</w:t>
            </w:r>
          </w:p>
        </w:tc>
        <w:tc>
          <w:tcPr>
            <w:tcW w:w="550" w:type="pct"/>
            <w:shd w:val="clear" w:color="auto" w:fill="auto"/>
            <w:vAlign w:val="center"/>
          </w:tcPr>
          <w:p w14:paraId="1D3ECEE4">
            <w:pPr>
              <w:adjustRightInd/>
              <w:snapToGrid/>
              <w:spacing w:line="240" w:lineRule="auto"/>
              <w:ind w:firstLine="0" w:firstLineChars="0"/>
              <w:contextualSpacing/>
              <w:jc w:val="center"/>
              <w:rPr>
                <w:sz w:val="21"/>
                <w:szCs w:val="21"/>
              </w:rPr>
            </w:pPr>
            <w:r>
              <w:rPr>
                <w:sz w:val="21"/>
                <w:szCs w:val="21"/>
              </w:rPr>
              <w:t>达标</w:t>
            </w:r>
          </w:p>
        </w:tc>
      </w:tr>
      <w:tr w14:paraId="1D3EC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E6">
            <w:pPr>
              <w:adjustRightInd/>
              <w:snapToGrid/>
              <w:spacing w:line="240" w:lineRule="auto"/>
              <w:ind w:firstLine="0" w:firstLineChars="0"/>
              <w:contextualSpacing/>
              <w:jc w:val="center"/>
              <w:rPr>
                <w:sz w:val="21"/>
                <w:szCs w:val="21"/>
              </w:rPr>
            </w:pPr>
            <w:r>
              <w:rPr>
                <w:sz w:val="21"/>
                <w:szCs w:val="21"/>
              </w:rPr>
              <w:t>茚并[1,2,3-cd]芘</w:t>
            </w:r>
          </w:p>
        </w:tc>
        <w:tc>
          <w:tcPr>
            <w:tcW w:w="769" w:type="pct"/>
            <w:shd w:val="clear" w:color="auto" w:fill="auto"/>
            <w:vAlign w:val="center"/>
          </w:tcPr>
          <w:p w14:paraId="1D3ECEE7">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EA">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EB">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EC">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F1">
            <w:pPr>
              <w:adjustRightInd/>
              <w:snapToGrid/>
              <w:spacing w:line="240" w:lineRule="auto"/>
              <w:ind w:firstLine="0" w:firstLineChars="0"/>
              <w:contextualSpacing/>
              <w:jc w:val="center"/>
              <w:rPr>
                <w:sz w:val="21"/>
                <w:szCs w:val="21"/>
              </w:rPr>
            </w:pPr>
            <w:r>
              <w:rPr>
                <w:sz w:val="21"/>
                <w:szCs w:val="21"/>
              </w:rPr>
              <w:t>15</w:t>
            </w:r>
          </w:p>
        </w:tc>
        <w:tc>
          <w:tcPr>
            <w:tcW w:w="550" w:type="pct"/>
            <w:shd w:val="clear" w:color="auto" w:fill="auto"/>
            <w:vAlign w:val="center"/>
          </w:tcPr>
          <w:p w14:paraId="1D3ECEF2">
            <w:pPr>
              <w:adjustRightInd/>
              <w:snapToGrid/>
              <w:spacing w:line="240" w:lineRule="auto"/>
              <w:ind w:firstLine="0" w:firstLineChars="0"/>
              <w:contextualSpacing/>
              <w:jc w:val="center"/>
              <w:rPr>
                <w:sz w:val="21"/>
                <w:szCs w:val="21"/>
              </w:rPr>
            </w:pPr>
            <w:r>
              <w:rPr>
                <w:sz w:val="21"/>
                <w:szCs w:val="21"/>
              </w:rPr>
              <w:t>达标</w:t>
            </w:r>
          </w:p>
        </w:tc>
      </w:tr>
      <w:tr w14:paraId="1D3EC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EF4">
            <w:pPr>
              <w:adjustRightInd/>
              <w:snapToGrid/>
              <w:spacing w:line="240" w:lineRule="auto"/>
              <w:ind w:firstLine="0" w:firstLineChars="0"/>
              <w:contextualSpacing/>
              <w:jc w:val="center"/>
              <w:rPr>
                <w:sz w:val="21"/>
                <w:szCs w:val="21"/>
              </w:rPr>
            </w:pPr>
            <w:r>
              <w:rPr>
                <w:sz w:val="21"/>
                <w:szCs w:val="21"/>
              </w:rPr>
              <w:t>二苯并[a,h]蒽</w:t>
            </w:r>
          </w:p>
        </w:tc>
        <w:tc>
          <w:tcPr>
            <w:tcW w:w="769" w:type="pct"/>
            <w:shd w:val="clear" w:color="auto" w:fill="auto"/>
            <w:vAlign w:val="center"/>
          </w:tcPr>
          <w:p w14:paraId="1D3ECEF5">
            <w:pPr>
              <w:adjustRightInd/>
              <w:snapToGrid/>
              <w:spacing w:line="240" w:lineRule="auto"/>
              <w:ind w:firstLine="0" w:firstLineChars="0"/>
              <w:contextualSpacing/>
              <w:jc w:val="center"/>
              <w:rPr>
                <w:sz w:val="21"/>
                <w:szCs w:val="21"/>
              </w:rPr>
            </w:pPr>
            <w:r>
              <w:rPr>
                <w:sz w:val="21"/>
                <w:szCs w:val="21"/>
              </w:rPr>
              <w:t>ND</w:t>
            </w:r>
          </w:p>
        </w:tc>
        <w:tc>
          <w:tcPr>
            <w:tcW w:w="598" w:type="pct"/>
            <w:shd w:val="clear" w:color="auto" w:fill="auto"/>
            <w:vAlign w:val="center"/>
          </w:tcPr>
          <w:p w14:paraId="1D3ECEF8">
            <w:pPr>
              <w:adjustRightInd/>
              <w:snapToGrid/>
              <w:spacing w:line="240" w:lineRule="auto"/>
              <w:ind w:firstLine="0" w:firstLineChars="0"/>
              <w:contextualSpacing/>
              <w:jc w:val="center"/>
              <w:rPr>
                <w:sz w:val="21"/>
                <w:szCs w:val="21"/>
              </w:rPr>
            </w:pPr>
            <w:r>
              <w:rPr>
                <w:sz w:val="21"/>
                <w:szCs w:val="21"/>
              </w:rPr>
              <w:t>ND</w:t>
            </w:r>
          </w:p>
        </w:tc>
        <w:tc>
          <w:tcPr>
            <w:tcW w:w="821" w:type="pct"/>
            <w:shd w:val="clear" w:color="auto" w:fill="auto"/>
            <w:vAlign w:val="center"/>
          </w:tcPr>
          <w:p w14:paraId="1D3ECEF9">
            <w:pPr>
              <w:adjustRightInd/>
              <w:snapToGrid/>
              <w:spacing w:line="240" w:lineRule="auto"/>
              <w:ind w:firstLine="0" w:firstLineChars="0"/>
              <w:contextualSpacing/>
              <w:jc w:val="center"/>
              <w:rPr>
                <w:sz w:val="21"/>
                <w:szCs w:val="21"/>
              </w:rPr>
            </w:pPr>
            <w:r>
              <w:rPr>
                <w:sz w:val="21"/>
                <w:szCs w:val="21"/>
              </w:rPr>
              <w:t>ND</w:t>
            </w:r>
          </w:p>
        </w:tc>
        <w:tc>
          <w:tcPr>
            <w:tcW w:w="626" w:type="pct"/>
            <w:shd w:val="clear" w:color="auto" w:fill="auto"/>
            <w:vAlign w:val="center"/>
          </w:tcPr>
          <w:p w14:paraId="1D3ECEFA">
            <w:pPr>
              <w:adjustRightInd/>
              <w:snapToGrid/>
              <w:spacing w:line="240" w:lineRule="auto"/>
              <w:ind w:firstLine="0" w:firstLineChars="0"/>
              <w:contextualSpacing/>
              <w:jc w:val="center"/>
              <w:rPr>
                <w:sz w:val="21"/>
                <w:szCs w:val="21"/>
              </w:rPr>
            </w:pPr>
            <w:r>
              <w:rPr>
                <w:sz w:val="21"/>
                <w:szCs w:val="21"/>
              </w:rPr>
              <w:t>ND</w:t>
            </w:r>
          </w:p>
        </w:tc>
        <w:tc>
          <w:tcPr>
            <w:tcW w:w="616" w:type="pct"/>
            <w:shd w:val="clear" w:color="auto" w:fill="auto"/>
            <w:vAlign w:val="center"/>
          </w:tcPr>
          <w:p w14:paraId="1D3ECEFF">
            <w:pPr>
              <w:adjustRightInd/>
              <w:snapToGrid/>
              <w:spacing w:line="240" w:lineRule="auto"/>
              <w:ind w:firstLine="0" w:firstLineChars="0"/>
              <w:contextualSpacing/>
              <w:jc w:val="center"/>
              <w:rPr>
                <w:sz w:val="21"/>
                <w:szCs w:val="21"/>
              </w:rPr>
            </w:pPr>
            <w:r>
              <w:rPr>
                <w:sz w:val="21"/>
                <w:szCs w:val="21"/>
              </w:rPr>
              <w:t>1.5</w:t>
            </w:r>
          </w:p>
        </w:tc>
        <w:tc>
          <w:tcPr>
            <w:tcW w:w="550" w:type="pct"/>
            <w:shd w:val="clear" w:color="auto" w:fill="auto"/>
            <w:vAlign w:val="center"/>
          </w:tcPr>
          <w:p w14:paraId="1D3ECF00">
            <w:pPr>
              <w:adjustRightInd/>
              <w:snapToGrid/>
              <w:spacing w:line="240" w:lineRule="auto"/>
              <w:ind w:firstLine="0" w:firstLineChars="0"/>
              <w:contextualSpacing/>
              <w:jc w:val="center"/>
              <w:rPr>
                <w:sz w:val="21"/>
                <w:szCs w:val="21"/>
              </w:rPr>
            </w:pPr>
            <w:r>
              <w:rPr>
                <w:sz w:val="21"/>
                <w:szCs w:val="21"/>
              </w:rPr>
              <w:t>达标</w:t>
            </w:r>
          </w:p>
        </w:tc>
      </w:tr>
      <w:tr w14:paraId="1D3EC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0" w:type="pct"/>
            <w:shd w:val="clear" w:color="auto" w:fill="auto"/>
            <w:vAlign w:val="center"/>
          </w:tcPr>
          <w:p w14:paraId="1D3ECF02">
            <w:pPr>
              <w:adjustRightInd/>
              <w:snapToGrid/>
              <w:spacing w:line="240" w:lineRule="auto"/>
              <w:ind w:firstLine="0" w:firstLineChars="0"/>
              <w:contextualSpacing/>
              <w:jc w:val="center"/>
              <w:rPr>
                <w:sz w:val="21"/>
                <w:szCs w:val="21"/>
                <w:highlight w:val="yellow"/>
              </w:rPr>
            </w:pPr>
            <w:r>
              <w:rPr>
                <w:rFonts w:hint="eastAsia"/>
                <w:sz w:val="21"/>
                <w:szCs w:val="21"/>
              </w:rPr>
              <w:t>石油烃</w:t>
            </w:r>
          </w:p>
        </w:tc>
        <w:tc>
          <w:tcPr>
            <w:tcW w:w="769" w:type="pct"/>
            <w:shd w:val="clear" w:color="auto" w:fill="auto"/>
            <w:vAlign w:val="center"/>
          </w:tcPr>
          <w:p w14:paraId="1D3ECF03">
            <w:pPr>
              <w:adjustRightInd/>
              <w:snapToGrid/>
              <w:spacing w:line="240" w:lineRule="auto"/>
              <w:ind w:firstLine="0" w:firstLineChars="0"/>
              <w:contextualSpacing/>
              <w:jc w:val="center"/>
              <w:rPr>
                <w:sz w:val="21"/>
                <w:szCs w:val="21"/>
              </w:rPr>
            </w:pPr>
            <w:r>
              <w:rPr>
                <w:rFonts w:hint="eastAsia"/>
                <w:sz w:val="21"/>
                <w:szCs w:val="21"/>
              </w:rPr>
              <w:t>68</w:t>
            </w:r>
          </w:p>
        </w:tc>
        <w:tc>
          <w:tcPr>
            <w:tcW w:w="598" w:type="pct"/>
            <w:shd w:val="clear" w:color="auto" w:fill="auto"/>
            <w:vAlign w:val="center"/>
          </w:tcPr>
          <w:p w14:paraId="1D3ECF06">
            <w:pPr>
              <w:adjustRightInd/>
              <w:snapToGrid/>
              <w:spacing w:line="240" w:lineRule="auto"/>
              <w:ind w:firstLine="0" w:firstLineChars="0"/>
              <w:contextualSpacing/>
              <w:jc w:val="center"/>
              <w:rPr>
                <w:sz w:val="21"/>
                <w:szCs w:val="21"/>
              </w:rPr>
            </w:pPr>
            <w:r>
              <w:rPr>
                <w:rFonts w:hint="eastAsia"/>
                <w:sz w:val="21"/>
                <w:szCs w:val="21"/>
              </w:rPr>
              <w:t>75</w:t>
            </w:r>
          </w:p>
        </w:tc>
        <w:tc>
          <w:tcPr>
            <w:tcW w:w="821" w:type="pct"/>
            <w:shd w:val="clear" w:color="auto" w:fill="auto"/>
            <w:vAlign w:val="center"/>
          </w:tcPr>
          <w:p w14:paraId="1D3ECF07">
            <w:pPr>
              <w:adjustRightInd/>
              <w:snapToGrid/>
              <w:spacing w:line="240" w:lineRule="auto"/>
              <w:ind w:firstLine="0" w:firstLineChars="0"/>
              <w:contextualSpacing/>
              <w:jc w:val="center"/>
              <w:rPr>
                <w:sz w:val="21"/>
                <w:szCs w:val="21"/>
              </w:rPr>
            </w:pPr>
            <w:r>
              <w:rPr>
                <w:rFonts w:hint="eastAsia"/>
                <w:sz w:val="21"/>
                <w:szCs w:val="21"/>
              </w:rPr>
              <w:t>73</w:t>
            </w:r>
          </w:p>
        </w:tc>
        <w:tc>
          <w:tcPr>
            <w:tcW w:w="626" w:type="pct"/>
            <w:shd w:val="clear" w:color="auto" w:fill="auto"/>
            <w:vAlign w:val="center"/>
          </w:tcPr>
          <w:p w14:paraId="1D3ECF08">
            <w:pPr>
              <w:adjustRightInd/>
              <w:snapToGrid/>
              <w:spacing w:line="240" w:lineRule="auto"/>
              <w:ind w:firstLine="0" w:firstLineChars="0"/>
              <w:contextualSpacing/>
              <w:jc w:val="center"/>
              <w:rPr>
                <w:sz w:val="21"/>
                <w:szCs w:val="21"/>
              </w:rPr>
            </w:pPr>
            <w:r>
              <w:rPr>
                <w:rFonts w:hint="eastAsia"/>
                <w:sz w:val="21"/>
                <w:szCs w:val="21"/>
              </w:rPr>
              <w:t>74</w:t>
            </w:r>
          </w:p>
        </w:tc>
        <w:tc>
          <w:tcPr>
            <w:tcW w:w="616" w:type="pct"/>
            <w:shd w:val="clear" w:color="auto" w:fill="auto"/>
            <w:vAlign w:val="center"/>
          </w:tcPr>
          <w:p w14:paraId="1D3ECF0D">
            <w:pPr>
              <w:adjustRightInd/>
              <w:snapToGrid/>
              <w:spacing w:line="240" w:lineRule="auto"/>
              <w:ind w:firstLine="0" w:firstLineChars="0"/>
              <w:contextualSpacing/>
              <w:jc w:val="center"/>
              <w:rPr>
                <w:sz w:val="21"/>
                <w:szCs w:val="21"/>
              </w:rPr>
            </w:pPr>
            <w:r>
              <w:rPr>
                <w:sz w:val="21"/>
                <w:szCs w:val="21"/>
              </w:rPr>
              <w:t>4500</w:t>
            </w:r>
          </w:p>
        </w:tc>
        <w:tc>
          <w:tcPr>
            <w:tcW w:w="550" w:type="pct"/>
            <w:shd w:val="clear" w:color="auto" w:fill="auto"/>
            <w:vAlign w:val="center"/>
          </w:tcPr>
          <w:p w14:paraId="1D3ECF0E">
            <w:pPr>
              <w:adjustRightInd/>
              <w:snapToGrid/>
              <w:spacing w:line="240" w:lineRule="auto"/>
              <w:ind w:firstLine="0" w:firstLineChars="0"/>
              <w:contextualSpacing/>
              <w:jc w:val="center"/>
              <w:rPr>
                <w:sz w:val="21"/>
                <w:szCs w:val="21"/>
              </w:rPr>
            </w:pPr>
            <w:r>
              <w:rPr>
                <w:sz w:val="21"/>
                <w:szCs w:val="21"/>
              </w:rPr>
              <w:t>达标</w:t>
            </w:r>
          </w:p>
        </w:tc>
      </w:tr>
    </w:tbl>
    <w:p w14:paraId="3DB72971">
      <w:pPr>
        <w:numPr>
          <w:ilvl w:val="0"/>
          <w:numId w:val="23"/>
        </w:numPr>
        <w:adjustRightInd/>
        <w:snapToGrid/>
        <w:ind w:firstLineChars="0"/>
        <w:textAlignment w:val="auto"/>
        <w:rPr>
          <w:rFonts w:eastAsia="黑体"/>
        </w:rPr>
      </w:pPr>
      <w:r>
        <w:rPr>
          <w:rFonts w:eastAsia="黑体"/>
        </w:rPr>
        <w:t xml:space="preserve">   </w:t>
      </w:r>
      <w:r>
        <w:rPr>
          <w:rFonts w:hint="eastAsia" w:eastAsia="黑体"/>
        </w:rPr>
        <w:t xml:space="preserve">          </w:t>
      </w:r>
      <w:r>
        <w:rPr>
          <w:rFonts w:eastAsia="黑体"/>
        </w:rPr>
        <w:t>土壤现状监测结果</w:t>
      </w:r>
      <w:r>
        <w:rPr>
          <w:rFonts w:hint="eastAsia" w:eastAsia="黑体"/>
        </w:rPr>
        <w:t xml:space="preserve">2  </w:t>
      </w:r>
      <w:r>
        <w:rPr>
          <w:rFonts w:eastAsia="黑体"/>
        </w:rPr>
        <w:t xml:space="preserve">       单位：mg/kg，pH除外</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47"/>
        <w:gridCol w:w="1138"/>
        <w:gridCol w:w="1138"/>
        <w:gridCol w:w="1139"/>
        <w:gridCol w:w="856"/>
        <w:gridCol w:w="856"/>
        <w:gridCol w:w="855"/>
        <w:gridCol w:w="855"/>
        <w:gridCol w:w="646"/>
      </w:tblGrid>
      <w:tr w14:paraId="2A6FC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tblHeader/>
          <w:jc w:val="center"/>
        </w:trPr>
        <w:tc>
          <w:tcPr>
            <w:tcW w:w="508" w:type="pct"/>
            <w:shd w:val="clear" w:color="auto" w:fill="auto"/>
            <w:vAlign w:val="center"/>
          </w:tcPr>
          <w:p w14:paraId="0DF6BADD">
            <w:pPr>
              <w:adjustRightInd/>
              <w:snapToGrid/>
              <w:spacing w:line="240" w:lineRule="auto"/>
              <w:ind w:firstLine="0" w:firstLineChars="0"/>
              <w:contextualSpacing/>
              <w:jc w:val="center"/>
              <w:rPr>
                <w:b/>
                <w:bCs/>
                <w:sz w:val="21"/>
                <w:szCs w:val="21"/>
              </w:rPr>
            </w:pPr>
            <w:r>
              <w:rPr>
                <w:b/>
                <w:bCs/>
                <w:sz w:val="21"/>
                <w:szCs w:val="21"/>
              </w:rPr>
              <w:t>点位</w:t>
            </w:r>
          </w:p>
        </w:tc>
        <w:tc>
          <w:tcPr>
            <w:tcW w:w="2050" w:type="pct"/>
            <w:gridSpan w:val="3"/>
            <w:shd w:val="clear" w:color="auto" w:fill="auto"/>
            <w:vAlign w:val="center"/>
          </w:tcPr>
          <w:p w14:paraId="4D6B779E">
            <w:pPr>
              <w:adjustRightInd/>
              <w:snapToGrid/>
              <w:spacing w:line="240" w:lineRule="auto"/>
              <w:ind w:firstLine="0" w:firstLineChars="0"/>
              <w:contextualSpacing/>
              <w:jc w:val="center"/>
              <w:rPr>
                <w:b/>
                <w:bCs/>
                <w:sz w:val="21"/>
                <w:szCs w:val="21"/>
                <w:highlight w:val="yellow"/>
              </w:rPr>
            </w:pPr>
            <w:r>
              <w:rPr>
                <w:rFonts w:hint="eastAsia"/>
                <w:sz w:val="21"/>
                <w:szCs w:val="21"/>
              </w:rPr>
              <w:t>反应釜区附近</w:t>
            </w:r>
          </w:p>
        </w:tc>
        <w:tc>
          <w:tcPr>
            <w:tcW w:w="1541" w:type="pct"/>
            <w:gridSpan w:val="3"/>
            <w:shd w:val="clear" w:color="auto" w:fill="auto"/>
            <w:vAlign w:val="center"/>
          </w:tcPr>
          <w:p w14:paraId="2ED8BF3E">
            <w:pPr>
              <w:adjustRightInd/>
              <w:snapToGrid/>
              <w:spacing w:line="240" w:lineRule="auto"/>
              <w:ind w:firstLine="0" w:firstLineChars="0"/>
              <w:contextualSpacing/>
              <w:jc w:val="center"/>
              <w:rPr>
                <w:b/>
                <w:bCs/>
                <w:sz w:val="21"/>
                <w:szCs w:val="21"/>
                <w:highlight w:val="yellow"/>
              </w:rPr>
            </w:pPr>
            <w:r>
              <w:rPr>
                <w:rFonts w:hint="eastAsia"/>
                <w:sz w:val="21"/>
                <w:szCs w:val="21"/>
              </w:rPr>
              <w:t>厂房内东南角</w:t>
            </w:r>
          </w:p>
        </w:tc>
        <w:tc>
          <w:tcPr>
            <w:tcW w:w="513" w:type="pct"/>
            <w:vMerge w:val="restart"/>
            <w:shd w:val="clear" w:color="auto" w:fill="auto"/>
            <w:vAlign w:val="center"/>
          </w:tcPr>
          <w:p w14:paraId="4C2D7501">
            <w:pPr>
              <w:adjustRightInd/>
              <w:snapToGrid/>
              <w:spacing w:line="240" w:lineRule="auto"/>
              <w:ind w:firstLine="0" w:firstLineChars="0"/>
              <w:contextualSpacing/>
              <w:jc w:val="center"/>
              <w:rPr>
                <w:b/>
                <w:bCs/>
                <w:sz w:val="21"/>
                <w:szCs w:val="21"/>
              </w:rPr>
            </w:pPr>
            <w:r>
              <w:rPr>
                <w:b/>
                <w:bCs/>
                <w:sz w:val="21"/>
                <w:szCs w:val="21"/>
              </w:rPr>
              <w:t>标准</w:t>
            </w:r>
          </w:p>
        </w:tc>
        <w:tc>
          <w:tcPr>
            <w:tcW w:w="388" w:type="pct"/>
            <w:vMerge w:val="restart"/>
            <w:shd w:val="clear" w:color="auto" w:fill="auto"/>
            <w:vAlign w:val="center"/>
          </w:tcPr>
          <w:p w14:paraId="06EE8C25">
            <w:pPr>
              <w:adjustRightInd/>
              <w:snapToGrid/>
              <w:spacing w:line="240" w:lineRule="auto"/>
              <w:ind w:firstLine="0" w:firstLineChars="0"/>
              <w:contextualSpacing/>
              <w:jc w:val="center"/>
              <w:rPr>
                <w:b/>
                <w:bCs/>
                <w:sz w:val="21"/>
                <w:szCs w:val="21"/>
              </w:rPr>
            </w:pPr>
            <w:r>
              <w:rPr>
                <w:b/>
                <w:bCs/>
                <w:sz w:val="21"/>
                <w:szCs w:val="21"/>
              </w:rPr>
              <w:t>达标</w:t>
            </w:r>
          </w:p>
          <w:p w14:paraId="088326AF">
            <w:pPr>
              <w:adjustRightInd/>
              <w:snapToGrid/>
              <w:spacing w:line="240" w:lineRule="auto"/>
              <w:ind w:firstLine="0" w:firstLineChars="0"/>
              <w:contextualSpacing/>
              <w:jc w:val="center"/>
              <w:rPr>
                <w:b/>
                <w:bCs/>
                <w:sz w:val="21"/>
                <w:szCs w:val="21"/>
              </w:rPr>
            </w:pPr>
            <w:r>
              <w:rPr>
                <w:b/>
                <w:bCs/>
                <w:sz w:val="21"/>
                <w:szCs w:val="21"/>
              </w:rPr>
              <w:t>分析</w:t>
            </w:r>
          </w:p>
        </w:tc>
      </w:tr>
      <w:tr w14:paraId="57436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8" w:type="pct"/>
            <w:shd w:val="clear" w:color="auto" w:fill="auto"/>
            <w:vAlign w:val="center"/>
          </w:tcPr>
          <w:p w14:paraId="1D281F39">
            <w:pPr>
              <w:adjustRightInd/>
              <w:snapToGrid/>
              <w:spacing w:line="240" w:lineRule="auto"/>
              <w:ind w:firstLine="0" w:firstLineChars="0"/>
              <w:contextualSpacing/>
              <w:jc w:val="center"/>
              <w:rPr>
                <w:b/>
                <w:bCs/>
                <w:sz w:val="21"/>
                <w:szCs w:val="21"/>
              </w:rPr>
            </w:pPr>
            <w:r>
              <w:rPr>
                <w:b/>
                <w:bCs/>
                <w:sz w:val="21"/>
                <w:szCs w:val="21"/>
              </w:rPr>
              <w:t>因子</w:t>
            </w:r>
          </w:p>
        </w:tc>
        <w:tc>
          <w:tcPr>
            <w:tcW w:w="683" w:type="pct"/>
            <w:shd w:val="clear" w:color="auto" w:fill="auto"/>
            <w:vAlign w:val="center"/>
          </w:tcPr>
          <w:p w14:paraId="71C7A5EB">
            <w:pPr>
              <w:adjustRightInd/>
              <w:snapToGrid/>
              <w:spacing w:line="240" w:lineRule="auto"/>
              <w:ind w:firstLine="0" w:firstLineChars="0"/>
              <w:contextualSpacing/>
              <w:jc w:val="center"/>
              <w:rPr>
                <w:rFonts w:eastAsia="等线"/>
                <w:b/>
                <w:bCs/>
                <w:sz w:val="21"/>
                <w:szCs w:val="21"/>
              </w:rPr>
            </w:pPr>
            <w:r>
              <w:rPr>
                <w:rFonts w:eastAsia="等线"/>
                <w:b/>
                <w:bCs/>
                <w:sz w:val="21"/>
                <w:szCs w:val="21"/>
              </w:rPr>
              <w:t>0-0.5m</w:t>
            </w:r>
          </w:p>
        </w:tc>
        <w:tc>
          <w:tcPr>
            <w:tcW w:w="683" w:type="pct"/>
            <w:shd w:val="clear" w:color="auto" w:fill="auto"/>
            <w:vAlign w:val="center"/>
          </w:tcPr>
          <w:p w14:paraId="133516BE">
            <w:pPr>
              <w:adjustRightInd/>
              <w:snapToGrid/>
              <w:spacing w:line="240" w:lineRule="auto"/>
              <w:ind w:firstLine="0" w:firstLineChars="0"/>
              <w:contextualSpacing/>
              <w:jc w:val="center"/>
              <w:rPr>
                <w:rFonts w:eastAsia="等线"/>
                <w:b/>
                <w:bCs/>
                <w:sz w:val="21"/>
                <w:szCs w:val="21"/>
              </w:rPr>
            </w:pPr>
            <w:r>
              <w:rPr>
                <w:rFonts w:eastAsia="等线"/>
                <w:b/>
                <w:bCs/>
                <w:sz w:val="21"/>
                <w:szCs w:val="21"/>
              </w:rPr>
              <w:t>0.5-1.5m</w:t>
            </w:r>
          </w:p>
        </w:tc>
        <w:tc>
          <w:tcPr>
            <w:tcW w:w="684" w:type="pct"/>
            <w:shd w:val="clear" w:color="auto" w:fill="auto"/>
            <w:vAlign w:val="center"/>
          </w:tcPr>
          <w:p w14:paraId="27428A07">
            <w:pPr>
              <w:adjustRightInd/>
              <w:snapToGrid/>
              <w:spacing w:line="240" w:lineRule="auto"/>
              <w:ind w:firstLine="0" w:firstLineChars="0"/>
              <w:contextualSpacing/>
              <w:jc w:val="center"/>
              <w:rPr>
                <w:rFonts w:eastAsia="等线"/>
                <w:b/>
                <w:bCs/>
                <w:sz w:val="21"/>
                <w:szCs w:val="21"/>
              </w:rPr>
            </w:pPr>
            <w:r>
              <w:rPr>
                <w:rFonts w:eastAsia="等线"/>
                <w:b/>
                <w:bCs/>
                <w:sz w:val="21"/>
                <w:szCs w:val="21"/>
              </w:rPr>
              <w:t>1.5-3m</w:t>
            </w:r>
          </w:p>
        </w:tc>
        <w:tc>
          <w:tcPr>
            <w:tcW w:w="514" w:type="pct"/>
            <w:vAlign w:val="center"/>
          </w:tcPr>
          <w:p w14:paraId="3EB5EA7C">
            <w:pPr>
              <w:adjustRightInd/>
              <w:snapToGrid/>
              <w:spacing w:line="240" w:lineRule="auto"/>
              <w:ind w:firstLine="0" w:firstLineChars="0"/>
              <w:contextualSpacing/>
              <w:jc w:val="center"/>
              <w:rPr>
                <w:rFonts w:eastAsia="等线"/>
                <w:b/>
                <w:bCs/>
                <w:sz w:val="21"/>
                <w:szCs w:val="21"/>
              </w:rPr>
            </w:pPr>
            <w:r>
              <w:rPr>
                <w:rFonts w:eastAsia="等线"/>
                <w:b/>
                <w:bCs/>
                <w:sz w:val="21"/>
                <w:szCs w:val="21"/>
              </w:rPr>
              <w:t>0-0.5m</w:t>
            </w:r>
          </w:p>
        </w:tc>
        <w:tc>
          <w:tcPr>
            <w:tcW w:w="514" w:type="pct"/>
            <w:vAlign w:val="center"/>
          </w:tcPr>
          <w:p w14:paraId="63F17CDF">
            <w:pPr>
              <w:adjustRightInd/>
              <w:snapToGrid/>
              <w:spacing w:line="240" w:lineRule="auto"/>
              <w:ind w:firstLine="0" w:firstLineChars="0"/>
              <w:contextualSpacing/>
              <w:jc w:val="center"/>
              <w:rPr>
                <w:rFonts w:eastAsia="等线"/>
                <w:b/>
                <w:bCs/>
                <w:sz w:val="21"/>
                <w:szCs w:val="21"/>
              </w:rPr>
            </w:pPr>
            <w:r>
              <w:rPr>
                <w:rFonts w:eastAsia="等线"/>
                <w:b/>
                <w:bCs/>
                <w:sz w:val="21"/>
                <w:szCs w:val="21"/>
              </w:rPr>
              <w:t>0.5-1.5m</w:t>
            </w:r>
          </w:p>
        </w:tc>
        <w:tc>
          <w:tcPr>
            <w:tcW w:w="513" w:type="pct"/>
            <w:vAlign w:val="center"/>
          </w:tcPr>
          <w:p w14:paraId="42507172">
            <w:pPr>
              <w:adjustRightInd/>
              <w:snapToGrid/>
              <w:spacing w:line="240" w:lineRule="auto"/>
              <w:ind w:firstLine="0" w:firstLineChars="0"/>
              <w:contextualSpacing/>
              <w:jc w:val="center"/>
              <w:rPr>
                <w:rFonts w:eastAsia="等线"/>
                <w:b/>
                <w:bCs/>
                <w:sz w:val="21"/>
                <w:szCs w:val="21"/>
              </w:rPr>
            </w:pPr>
            <w:r>
              <w:rPr>
                <w:rFonts w:eastAsia="等线"/>
                <w:b/>
                <w:bCs/>
                <w:sz w:val="21"/>
                <w:szCs w:val="21"/>
              </w:rPr>
              <w:t>1.5-3m</w:t>
            </w:r>
          </w:p>
        </w:tc>
        <w:tc>
          <w:tcPr>
            <w:tcW w:w="513" w:type="pct"/>
            <w:vMerge w:val="continue"/>
            <w:vAlign w:val="center"/>
          </w:tcPr>
          <w:p w14:paraId="231CF49D">
            <w:pPr>
              <w:adjustRightInd/>
              <w:snapToGrid/>
              <w:spacing w:line="240" w:lineRule="auto"/>
              <w:ind w:firstLine="0" w:firstLineChars="0"/>
              <w:contextualSpacing/>
              <w:jc w:val="center"/>
              <w:rPr>
                <w:sz w:val="21"/>
                <w:szCs w:val="21"/>
              </w:rPr>
            </w:pPr>
          </w:p>
        </w:tc>
        <w:tc>
          <w:tcPr>
            <w:tcW w:w="388" w:type="pct"/>
            <w:vMerge w:val="continue"/>
            <w:vAlign w:val="center"/>
          </w:tcPr>
          <w:p w14:paraId="28E0E87A">
            <w:pPr>
              <w:adjustRightInd/>
              <w:snapToGrid/>
              <w:spacing w:line="240" w:lineRule="auto"/>
              <w:ind w:firstLine="0" w:firstLineChars="0"/>
              <w:contextualSpacing/>
              <w:jc w:val="center"/>
              <w:rPr>
                <w:sz w:val="21"/>
                <w:szCs w:val="21"/>
              </w:rPr>
            </w:pPr>
          </w:p>
        </w:tc>
      </w:tr>
      <w:tr w14:paraId="42A7D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8" w:type="pct"/>
            <w:shd w:val="clear" w:color="auto" w:fill="auto"/>
            <w:vAlign w:val="center"/>
          </w:tcPr>
          <w:p w14:paraId="4FFBFC30">
            <w:pPr>
              <w:adjustRightInd/>
              <w:snapToGrid/>
              <w:spacing w:line="240" w:lineRule="auto"/>
              <w:ind w:firstLine="0" w:firstLineChars="0"/>
              <w:contextualSpacing/>
              <w:jc w:val="center"/>
              <w:rPr>
                <w:sz w:val="21"/>
                <w:szCs w:val="21"/>
              </w:rPr>
            </w:pPr>
            <w:r>
              <w:rPr>
                <w:sz w:val="21"/>
                <w:szCs w:val="21"/>
              </w:rPr>
              <w:t>pH</w:t>
            </w:r>
          </w:p>
        </w:tc>
        <w:tc>
          <w:tcPr>
            <w:tcW w:w="683" w:type="pct"/>
            <w:shd w:val="clear" w:color="auto" w:fill="auto"/>
            <w:vAlign w:val="center"/>
          </w:tcPr>
          <w:p w14:paraId="6C26F0EE">
            <w:pPr>
              <w:adjustRightInd/>
              <w:snapToGrid/>
              <w:spacing w:line="240" w:lineRule="auto"/>
              <w:ind w:firstLine="0" w:firstLineChars="0"/>
              <w:contextualSpacing/>
              <w:jc w:val="center"/>
              <w:rPr>
                <w:sz w:val="21"/>
                <w:szCs w:val="21"/>
              </w:rPr>
            </w:pPr>
            <w:r>
              <w:rPr>
                <w:rFonts w:hint="eastAsia"/>
                <w:sz w:val="21"/>
                <w:szCs w:val="21"/>
              </w:rPr>
              <w:t>7.15</w:t>
            </w:r>
          </w:p>
        </w:tc>
        <w:tc>
          <w:tcPr>
            <w:tcW w:w="683" w:type="pct"/>
            <w:shd w:val="clear" w:color="auto" w:fill="auto"/>
            <w:vAlign w:val="center"/>
          </w:tcPr>
          <w:p w14:paraId="2CF5C815">
            <w:pPr>
              <w:adjustRightInd/>
              <w:snapToGrid/>
              <w:spacing w:line="240" w:lineRule="auto"/>
              <w:ind w:firstLine="0" w:firstLineChars="0"/>
              <w:contextualSpacing/>
              <w:jc w:val="center"/>
              <w:rPr>
                <w:sz w:val="21"/>
                <w:szCs w:val="21"/>
              </w:rPr>
            </w:pPr>
            <w:r>
              <w:rPr>
                <w:rFonts w:hint="eastAsia"/>
                <w:sz w:val="21"/>
                <w:szCs w:val="21"/>
              </w:rPr>
              <w:t>7.24</w:t>
            </w:r>
          </w:p>
        </w:tc>
        <w:tc>
          <w:tcPr>
            <w:tcW w:w="684" w:type="pct"/>
            <w:shd w:val="clear" w:color="auto" w:fill="auto"/>
            <w:vAlign w:val="center"/>
          </w:tcPr>
          <w:p w14:paraId="11069721">
            <w:pPr>
              <w:adjustRightInd/>
              <w:snapToGrid/>
              <w:spacing w:line="240" w:lineRule="auto"/>
              <w:ind w:firstLine="0" w:firstLineChars="0"/>
              <w:contextualSpacing/>
              <w:jc w:val="center"/>
              <w:rPr>
                <w:sz w:val="21"/>
                <w:szCs w:val="21"/>
              </w:rPr>
            </w:pPr>
            <w:r>
              <w:rPr>
                <w:rFonts w:hint="eastAsia"/>
                <w:sz w:val="21"/>
                <w:szCs w:val="21"/>
              </w:rPr>
              <w:t>7.34</w:t>
            </w:r>
          </w:p>
        </w:tc>
        <w:tc>
          <w:tcPr>
            <w:tcW w:w="514" w:type="pct"/>
            <w:shd w:val="clear" w:color="auto" w:fill="auto"/>
            <w:vAlign w:val="center"/>
          </w:tcPr>
          <w:p w14:paraId="44E090B9">
            <w:pPr>
              <w:adjustRightInd/>
              <w:snapToGrid/>
              <w:spacing w:line="240" w:lineRule="auto"/>
              <w:ind w:firstLine="0" w:firstLineChars="0"/>
              <w:contextualSpacing/>
              <w:jc w:val="center"/>
              <w:rPr>
                <w:sz w:val="21"/>
                <w:szCs w:val="21"/>
              </w:rPr>
            </w:pPr>
            <w:r>
              <w:rPr>
                <w:rFonts w:hint="eastAsia"/>
                <w:sz w:val="21"/>
                <w:szCs w:val="21"/>
              </w:rPr>
              <w:t>7.31</w:t>
            </w:r>
          </w:p>
        </w:tc>
        <w:tc>
          <w:tcPr>
            <w:tcW w:w="514" w:type="pct"/>
            <w:shd w:val="clear" w:color="auto" w:fill="auto"/>
            <w:vAlign w:val="center"/>
          </w:tcPr>
          <w:p w14:paraId="761CEAD6">
            <w:pPr>
              <w:adjustRightInd/>
              <w:snapToGrid/>
              <w:spacing w:line="240" w:lineRule="auto"/>
              <w:ind w:firstLine="0" w:firstLineChars="0"/>
              <w:contextualSpacing/>
              <w:jc w:val="center"/>
              <w:rPr>
                <w:sz w:val="21"/>
                <w:szCs w:val="21"/>
              </w:rPr>
            </w:pPr>
            <w:r>
              <w:rPr>
                <w:rFonts w:hint="eastAsia"/>
                <w:sz w:val="21"/>
                <w:szCs w:val="21"/>
              </w:rPr>
              <w:t>7.21</w:t>
            </w:r>
          </w:p>
        </w:tc>
        <w:tc>
          <w:tcPr>
            <w:tcW w:w="513" w:type="pct"/>
            <w:shd w:val="clear" w:color="auto" w:fill="auto"/>
            <w:vAlign w:val="center"/>
          </w:tcPr>
          <w:p w14:paraId="4E6A0795">
            <w:pPr>
              <w:adjustRightInd/>
              <w:snapToGrid/>
              <w:spacing w:line="240" w:lineRule="auto"/>
              <w:ind w:firstLine="0" w:firstLineChars="0"/>
              <w:contextualSpacing/>
              <w:jc w:val="center"/>
              <w:rPr>
                <w:sz w:val="21"/>
                <w:szCs w:val="21"/>
              </w:rPr>
            </w:pPr>
            <w:r>
              <w:rPr>
                <w:rFonts w:hint="eastAsia"/>
                <w:sz w:val="21"/>
                <w:szCs w:val="21"/>
              </w:rPr>
              <w:t>7.25</w:t>
            </w:r>
          </w:p>
        </w:tc>
        <w:tc>
          <w:tcPr>
            <w:tcW w:w="513" w:type="pct"/>
            <w:shd w:val="clear" w:color="auto" w:fill="auto"/>
            <w:vAlign w:val="center"/>
          </w:tcPr>
          <w:p w14:paraId="54B1B213">
            <w:pPr>
              <w:adjustRightInd/>
              <w:snapToGrid/>
              <w:spacing w:line="240" w:lineRule="auto"/>
              <w:ind w:firstLine="0" w:firstLineChars="0"/>
              <w:contextualSpacing/>
              <w:jc w:val="center"/>
              <w:rPr>
                <w:sz w:val="21"/>
                <w:szCs w:val="21"/>
              </w:rPr>
            </w:pPr>
            <w:r>
              <w:rPr>
                <w:rFonts w:hint="eastAsia"/>
                <w:sz w:val="21"/>
                <w:szCs w:val="21"/>
              </w:rPr>
              <w:t>/</w:t>
            </w:r>
          </w:p>
        </w:tc>
        <w:tc>
          <w:tcPr>
            <w:tcW w:w="388" w:type="pct"/>
            <w:shd w:val="clear" w:color="auto" w:fill="auto"/>
            <w:vAlign w:val="center"/>
          </w:tcPr>
          <w:p w14:paraId="40095FAA">
            <w:pPr>
              <w:adjustRightInd/>
              <w:snapToGrid/>
              <w:spacing w:line="240" w:lineRule="auto"/>
              <w:ind w:firstLine="0" w:firstLineChars="0"/>
              <w:contextualSpacing/>
              <w:jc w:val="center"/>
              <w:rPr>
                <w:sz w:val="21"/>
                <w:szCs w:val="21"/>
              </w:rPr>
            </w:pPr>
            <w:r>
              <w:rPr>
                <w:sz w:val="21"/>
                <w:szCs w:val="21"/>
              </w:rPr>
              <w:t>达标</w:t>
            </w:r>
          </w:p>
        </w:tc>
      </w:tr>
      <w:tr w14:paraId="6E4704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8" w:type="pct"/>
            <w:shd w:val="clear" w:color="auto" w:fill="auto"/>
            <w:vAlign w:val="center"/>
          </w:tcPr>
          <w:p w14:paraId="4BE8913D">
            <w:pPr>
              <w:adjustRightInd/>
              <w:snapToGrid/>
              <w:spacing w:line="240" w:lineRule="auto"/>
              <w:ind w:firstLine="0" w:firstLineChars="0"/>
              <w:contextualSpacing/>
              <w:jc w:val="center"/>
              <w:rPr>
                <w:sz w:val="21"/>
                <w:szCs w:val="21"/>
              </w:rPr>
            </w:pPr>
            <w:r>
              <w:rPr>
                <w:rFonts w:hint="eastAsia"/>
                <w:sz w:val="21"/>
                <w:szCs w:val="21"/>
              </w:rPr>
              <w:t>石油烃</w:t>
            </w:r>
          </w:p>
        </w:tc>
        <w:tc>
          <w:tcPr>
            <w:tcW w:w="683" w:type="pct"/>
            <w:shd w:val="clear" w:color="auto" w:fill="auto"/>
            <w:vAlign w:val="center"/>
          </w:tcPr>
          <w:p w14:paraId="187A69CD">
            <w:pPr>
              <w:adjustRightInd/>
              <w:snapToGrid/>
              <w:spacing w:line="240" w:lineRule="auto"/>
              <w:ind w:firstLine="0" w:firstLineChars="0"/>
              <w:contextualSpacing/>
              <w:jc w:val="center"/>
              <w:rPr>
                <w:sz w:val="21"/>
                <w:szCs w:val="21"/>
              </w:rPr>
            </w:pPr>
            <w:r>
              <w:rPr>
                <w:rFonts w:hint="eastAsia"/>
                <w:sz w:val="21"/>
                <w:szCs w:val="21"/>
              </w:rPr>
              <w:t>61</w:t>
            </w:r>
          </w:p>
        </w:tc>
        <w:tc>
          <w:tcPr>
            <w:tcW w:w="683" w:type="pct"/>
            <w:shd w:val="clear" w:color="auto" w:fill="auto"/>
            <w:vAlign w:val="center"/>
          </w:tcPr>
          <w:p w14:paraId="2B399F56">
            <w:pPr>
              <w:adjustRightInd/>
              <w:snapToGrid/>
              <w:spacing w:line="240" w:lineRule="auto"/>
              <w:ind w:firstLine="0" w:firstLineChars="0"/>
              <w:contextualSpacing/>
              <w:jc w:val="center"/>
              <w:rPr>
                <w:sz w:val="21"/>
                <w:szCs w:val="21"/>
              </w:rPr>
            </w:pPr>
            <w:r>
              <w:rPr>
                <w:rFonts w:hint="eastAsia"/>
                <w:sz w:val="21"/>
                <w:szCs w:val="21"/>
              </w:rPr>
              <w:t>64</w:t>
            </w:r>
          </w:p>
        </w:tc>
        <w:tc>
          <w:tcPr>
            <w:tcW w:w="684" w:type="pct"/>
            <w:shd w:val="clear" w:color="auto" w:fill="auto"/>
            <w:vAlign w:val="center"/>
          </w:tcPr>
          <w:p w14:paraId="3418AFB9">
            <w:pPr>
              <w:adjustRightInd/>
              <w:snapToGrid/>
              <w:spacing w:line="240" w:lineRule="auto"/>
              <w:ind w:firstLine="0" w:firstLineChars="0"/>
              <w:contextualSpacing/>
              <w:jc w:val="center"/>
              <w:rPr>
                <w:sz w:val="21"/>
                <w:szCs w:val="21"/>
              </w:rPr>
            </w:pPr>
            <w:r>
              <w:rPr>
                <w:rFonts w:hint="eastAsia"/>
                <w:sz w:val="21"/>
                <w:szCs w:val="21"/>
              </w:rPr>
              <w:t>65</w:t>
            </w:r>
          </w:p>
        </w:tc>
        <w:tc>
          <w:tcPr>
            <w:tcW w:w="514" w:type="pct"/>
            <w:shd w:val="clear" w:color="auto" w:fill="auto"/>
            <w:vAlign w:val="center"/>
          </w:tcPr>
          <w:p w14:paraId="321A0887">
            <w:pPr>
              <w:adjustRightInd/>
              <w:snapToGrid/>
              <w:spacing w:line="240" w:lineRule="auto"/>
              <w:ind w:firstLine="0" w:firstLineChars="0"/>
              <w:contextualSpacing/>
              <w:jc w:val="center"/>
              <w:rPr>
                <w:sz w:val="21"/>
                <w:szCs w:val="21"/>
              </w:rPr>
            </w:pPr>
            <w:r>
              <w:rPr>
                <w:rFonts w:hint="eastAsia"/>
                <w:sz w:val="21"/>
                <w:szCs w:val="21"/>
              </w:rPr>
              <w:t>72</w:t>
            </w:r>
          </w:p>
        </w:tc>
        <w:tc>
          <w:tcPr>
            <w:tcW w:w="514" w:type="pct"/>
            <w:shd w:val="clear" w:color="auto" w:fill="auto"/>
            <w:vAlign w:val="center"/>
          </w:tcPr>
          <w:p w14:paraId="2BC5DEFD">
            <w:pPr>
              <w:adjustRightInd/>
              <w:snapToGrid/>
              <w:spacing w:line="240" w:lineRule="auto"/>
              <w:ind w:firstLine="0" w:firstLineChars="0"/>
              <w:contextualSpacing/>
              <w:jc w:val="center"/>
              <w:rPr>
                <w:sz w:val="21"/>
                <w:szCs w:val="21"/>
              </w:rPr>
            </w:pPr>
            <w:r>
              <w:rPr>
                <w:rFonts w:hint="eastAsia"/>
                <w:sz w:val="21"/>
                <w:szCs w:val="21"/>
              </w:rPr>
              <w:t>65</w:t>
            </w:r>
          </w:p>
        </w:tc>
        <w:tc>
          <w:tcPr>
            <w:tcW w:w="513" w:type="pct"/>
            <w:shd w:val="clear" w:color="auto" w:fill="auto"/>
            <w:vAlign w:val="center"/>
          </w:tcPr>
          <w:p w14:paraId="61084F5F">
            <w:pPr>
              <w:adjustRightInd/>
              <w:snapToGrid/>
              <w:spacing w:line="240" w:lineRule="auto"/>
              <w:ind w:firstLine="0" w:firstLineChars="0"/>
              <w:contextualSpacing/>
              <w:jc w:val="center"/>
              <w:rPr>
                <w:sz w:val="21"/>
                <w:szCs w:val="21"/>
              </w:rPr>
            </w:pPr>
            <w:r>
              <w:rPr>
                <w:rFonts w:hint="eastAsia"/>
                <w:sz w:val="21"/>
                <w:szCs w:val="21"/>
              </w:rPr>
              <w:t>63</w:t>
            </w:r>
          </w:p>
        </w:tc>
        <w:tc>
          <w:tcPr>
            <w:tcW w:w="513" w:type="pct"/>
            <w:shd w:val="clear" w:color="auto" w:fill="auto"/>
            <w:vAlign w:val="center"/>
          </w:tcPr>
          <w:p w14:paraId="16D9E9F3">
            <w:pPr>
              <w:adjustRightInd/>
              <w:snapToGrid/>
              <w:spacing w:line="240" w:lineRule="auto"/>
              <w:ind w:firstLine="0" w:firstLineChars="0"/>
              <w:contextualSpacing/>
              <w:jc w:val="center"/>
              <w:rPr>
                <w:sz w:val="21"/>
                <w:szCs w:val="21"/>
              </w:rPr>
            </w:pPr>
            <w:r>
              <w:rPr>
                <w:rFonts w:hint="eastAsia"/>
                <w:sz w:val="21"/>
                <w:szCs w:val="21"/>
              </w:rPr>
              <w:t>4500</w:t>
            </w:r>
          </w:p>
        </w:tc>
        <w:tc>
          <w:tcPr>
            <w:tcW w:w="388" w:type="pct"/>
            <w:shd w:val="clear" w:color="auto" w:fill="auto"/>
            <w:vAlign w:val="center"/>
          </w:tcPr>
          <w:p w14:paraId="40F0BB1C">
            <w:pPr>
              <w:adjustRightInd/>
              <w:snapToGrid/>
              <w:spacing w:line="240" w:lineRule="auto"/>
              <w:ind w:firstLine="0" w:firstLineChars="0"/>
              <w:contextualSpacing/>
              <w:jc w:val="center"/>
              <w:rPr>
                <w:sz w:val="21"/>
                <w:szCs w:val="21"/>
              </w:rPr>
            </w:pPr>
            <w:r>
              <w:rPr>
                <w:sz w:val="21"/>
                <w:szCs w:val="21"/>
              </w:rPr>
              <w:t>达标</w:t>
            </w:r>
          </w:p>
        </w:tc>
      </w:tr>
    </w:tbl>
    <w:p w14:paraId="1029F0CC">
      <w:pPr>
        <w:adjustRightInd/>
        <w:snapToGrid/>
        <w:ind w:firstLineChars="0"/>
        <w:textAlignment w:val="auto"/>
        <w:rPr>
          <w:rFonts w:eastAsia="黑体"/>
        </w:rPr>
      </w:pPr>
    </w:p>
    <w:p w14:paraId="6D06E333">
      <w:pPr>
        <w:numPr>
          <w:ilvl w:val="0"/>
          <w:numId w:val="23"/>
        </w:numPr>
        <w:adjustRightInd/>
        <w:snapToGrid/>
        <w:ind w:firstLineChars="0"/>
        <w:textAlignment w:val="auto"/>
        <w:rPr>
          <w:rFonts w:eastAsia="黑体"/>
        </w:rPr>
      </w:pPr>
      <w:r>
        <w:rPr>
          <w:rFonts w:eastAsia="黑体"/>
        </w:rPr>
        <w:t xml:space="preserve">     厂界外土壤现状监测结果         单位：mg/kg，pH除外</w:t>
      </w:r>
    </w:p>
    <w:tbl>
      <w:tblPr>
        <w:tblStyle w:val="41"/>
        <w:tblpPr w:leftFromText="180" w:rightFromText="180" w:vertAnchor="text" w:horzAnchor="page" w:tblpXSpec="center" w:tblpY="290"/>
        <w:tblW w:w="50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2216"/>
        <w:gridCol w:w="2186"/>
        <w:gridCol w:w="1956"/>
        <w:gridCol w:w="1139"/>
      </w:tblGrid>
      <w:tr w14:paraId="3791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restart"/>
            <w:tcBorders>
              <w:top w:val="single" w:color="auto" w:sz="8" w:space="0"/>
              <w:left w:val="single" w:color="auto" w:sz="8" w:space="0"/>
              <w:tl2br w:val="single" w:color="auto" w:sz="4" w:space="0"/>
            </w:tcBorders>
            <w:vAlign w:val="center"/>
          </w:tcPr>
          <w:p w14:paraId="50D66EF2">
            <w:pPr>
              <w:spacing w:line="240" w:lineRule="auto"/>
              <w:ind w:firstLine="0" w:firstLineChars="0"/>
              <w:jc w:val="right"/>
              <w:rPr>
                <w:b/>
                <w:bCs/>
                <w:spacing w:val="-4"/>
                <w:sz w:val="21"/>
                <w:szCs w:val="21"/>
              </w:rPr>
            </w:pPr>
            <w:r>
              <w:rPr>
                <w:b/>
                <w:bCs/>
                <w:spacing w:val="-4"/>
                <w:sz w:val="21"/>
                <w:szCs w:val="21"/>
              </w:rPr>
              <w:t>项目</w:t>
            </w:r>
          </w:p>
          <w:p w14:paraId="4D6B1FBE">
            <w:pPr>
              <w:spacing w:line="240" w:lineRule="auto"/>
              <w:ind w:firstLine="0" w:firstLineChars="0"/>
              <w:rPr>
                <w:b/>
                <w:bCs/>
                <w:spacing w:val="-4"/>
                <w:sz w:val="21"/>
                <w:szCs w:val="21"/>
              </w:rPr>
            </w:pPr>
            <w:r>
              <w:rPr>
                <w:b/>
                <w:bCs/>
                <w:spacing w:val="-4"/>
                <w:sz w:val="21"/>
                <w:szCs w:val="21"/>
              </w:rPr>
              <w:t>点位</w:t>
            </w:r>
          </w:p>
        </w:tc>
        <w:tc>
          <w:tcPr>
            <w:tcW w:w="1371" w:type="pct"/>
            <w:tcBorders>
              <w:top w:val="single" w:color="auto" w:sz="8" w:space="0"/>
            </w:tcBorders>
            <w:vAlign w:val="center"/>
          </w:tcPr>
          <w:p w14:paraId="21AD9018">
            <w:pPr>
              <w:widowControl/>
              <w:spacing w:line="240" w:lineRule="auto"/>
              <w:ind w:firstLine="0" w:firstLineChars="0"/>
              <w:jc w:val="center"/>
              <w:rPr>
                <w:b/>
                <w:bCs/>
                <w:sz w:val="21"/>
                <w:szCs w:val="21"/>
              </w:rPr>
            </w:pPr>
            <w:r>
              <w:rPr>
                <w:b/>
                <w:bCs/>
                <w:sz w:val="21"/>
                <w:szCs w:val="21"/>
              </w:rPr>
              <w:t>厂界外</w:t>
            </w:r>
            <w:r>
              <w:rPr>
                <w:rFonts w:hint="eastAsia"/>
                <w:b/>
                <w:bCs/>
                <w:sz w:val="21"/>
                <w:szCs w:val="21"/>
              </w:rPr>
              <w:t>西北</w:t>
            </w:r>
            <w:r>
              <w:rPr>
                <w:b/>
                <w:bCs/>
                <w:sz w:val="21"/>
                <w:szCs w:val="21"/>
              </w:rPr>
              <w:t>侧</w:t>
            </w:r>
            <w:r>
              <w:rPr>
                <w:rFonts w:hint="eastAsia"/>
                <w:b/>
                <w:bCs/>
                <w:sz w:val="21"/>
                <w:szCs w:val="21"/>
              </w:rPr>
              <w:t>农田</w:t>
            </w:r>
          </w:p>
        </w:tc>
        <w:tc>
          <w:tcPr>
            <w:tcW w:w="1353" w:type="pct"/>
            <w:tcBorders>
              <w:top w:val="single" w:color="auto" w:sz="8" w:space="0"/>
            </w:tcBorders>
            <w:vAlign w:val="center"/>
          </w:tcPr>
          <w:p w14:paraId="1A7DBAEB">
            <w:pPr>
              <w:widowControl/>
              <w:spacing w:line="240" w:lineRule="auto"/>
              <w:ind w:firstLine="0" w:firstLineChars="0"/>
              <w:jc w:val="center"/>
              <w:rPr>
                <w:b/>
                <w:bCs/>
                <w:sz w:val="21"/>
                <w:szCs w:val="21"/>
              </w:rPr>
            </w:pPr>
            <w:r>
              <w:rPr>
                <w:b/>
                <w:bCs/>
                <w:sz w:val="21"/>
                <w:szCs w:val="21"/>
              </w:rPr>
              <w:t>厂界</w:t>
            </w:r>
            <w:r>
              <w:rPr>
                <w:rFonts w:hint="eastAsia"/>
                <w:b/>
                <w:bCs/>
                <w:sz w:val="21"/>
                <w:szCs w:val="21"/>
              </w:rPr>
              <w:t>外东南侧农田</w:t>
            </w:r>
          </w:p>
        </w:tc>
        <w:tc>
          <w:tcPr>
            <w:tcW w:w="793" w:type="pct"/>
            <w:vMerge w:val="restart"/>
            <w:tcBorders>
              <w:top w:val="single" w:color="auto" w:sz="8" w:space="0"/>
            </w:tcBorders>
            <w:vAlign w:val="center"/>
          </w:tcPr>
          <w:p w14:paraId="647886CF">
            <w:pPr>
              <w:spacing w:line="240" w:lineRule="auto"/>
              <w:ind w:firstLine="0" w:firstLineChars="0"/>
              <w:jc w:val="center"/>
              <w:rPr>
                <w:b/>
                <w:bCs/>
                <w:spacing w:val="-4"/>
                <w:sz w:val="21"/>
                <w:szCs w:val="21"/>
              </w:rPr>
            </w:pPr>
            <w:r>
              <w:rPr>
                <w:b/>
                <w:bCs/>
                <w:spacing w:val="-4"/>
                <w:sz w:val="21"/>
                <w:szCs w:val="21"/>
              </w:rPr>
              <w:t>标准</w:t>
            </w:r>
          </w:p>
          <w:p w14:paraId="7ED8B14D">
            <w:pPr>
              <w:spacing w:line="240" w:lineRule="auto"/>
              <w:ind w:firstLine="0" w:firstLineChars="0"/>
              <w:jc w:val="center"/>
              <w:rPr>
                <w:b/>
                <w:bCs/>
                <w:spacing w:val="-4"/>
                <w:sz w:val="21"/>
                <w:szCs w:val="21"/>
              </w:rPr>
            </w:pPr>
            <w:r>
              <w:rPr>
                <w:b/>
                <w:bCs/>
                <w:sz w:val="21"/>
                <w:szCs w:val="21"/>
              </w:rPr>
              <w:t>（GB15618-2018）</w:t>
            </w:r>
          </w:p>
        </w:tc>
        <w:tc>
          <w:tcPr>
            <w:tcW w:w="746" w:type="pct"/>
            <w:vMerge w:val="restart"/>
            <w:tcBorders>
              <w:top w:val="single" w:color="auto" w:sz="8" w:space="0"/>
              <w:right w:val="single" w:color="auto" w:sz="8" w:space="0"/>
            </w:tcBorders>
            <w:vAlign w:val="center"/>
          </w:tcPr>
          <w:p w14:paraId="5A16CBB6">
            <w:pPr>
              <w:spacing w:line="240" w:lineRule="auto"/>
              <w:ind w:firstLine="0" w:firstLineChars="0"/>
              <w:jc w:val="center"/>
              <w:rPr>
                <w:b/>
                <w:bCs/>
                <w:spacing w:val="-4"/>
                <w:sz w:val="21"/>
                <w:szCs w:val="21"/>
              </w:rPr>
            </w:pPr>
            <w:r>
              <w:rPr>
                <w:b/>
                <w:bCs/>
                <w:spacing w:val="-4"/>
                <w:sz w:val="21"/>
                <w:szCs w:val="21"/>
              </w:rPr>
              <w:t>达标分析</w:t>
            </w:r>
          </w:p>
        </w:tc>
      </w:tr>
      <w:tr w14:paraId="32CE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vMerge w:val="continue"/>
            <w:tcBorders>
              <w:left w:val="single" w:color="auto" w:sz="8" w:space="0"/>
              <w:tl2br w:val="single" w:color="auto" w:sz="4" w:space="0"/>
            </w:tcBorders>
            <w:vAlign w:val="center"/>
          </w:tcPr>
          <w:p w14:paraId="72232EAC">
            <w:pPr>
              <w:spacing w:line="240" w:lineRule="auto"/>
              <w:ind w:firstLine="0" w:firstLineChars="0"/>
              <w:jc w:val="center"/>
              <w:rPr>
                <w:b/>
                <w:bCs/>
                <w:spacing w:val="-4"/>
                <w:sz w:val="21"/>
                <w:szCs w:val="21"/>
                <w:highlight w:val="yellow"/>
              </w:rPr>
            </w:pPr>
          </w:p>
        </w:tc>
        <w:tc>
          <w:tcPr>
            <w:tcW w:w="1371" w:type="pct"/>
            <w:vAlign w:val="center"/>
          </w:tcPr>
          <w:p w14:paraId="4AC27C3D">
            <w:pPr>
              <w:spacing w:line="240" w:lineRule="auto"/>
              <w:ind w:firstLine="0" w:firstLineChars="0"/>
              <w:jc w:val="center"/>
              <w:rPr>
                <w:b/>
                <w:bCs/>
                <w:sz w:val="21"/>
                <w:szCs w:val="21"/>
              </w:rPr>
            </w:pPr>
            <w:r>
              <w:rPr>
                <w:b/>
                <w:bCs/>
                <w:sz w:val="21"/>
                <w:szCs w:val="21"/>
              </w:rPr>
              <w:t>0-0.2m</w:t>
            </w:r>
          </w:p>
        </w:tc>
        <w:tc>
          <w:tcPr>
            <w:tcW w:w="1353" w:type="pct"/>
            <w:vAlign w:val="center"/>
          </w:tcPr>
          <w:p w14:paraId="2224FE76">
            <w:pPr>
              <w:spacing w:line="240" w:lineRule="auto"/>
              <w:ind w:firstLine="0" w:firstLineChars="0"/>
              <w:jc w:val="center"/>
              <w:rPr>
                <w:b/>
                <w:bCs/>
                <w:spacing w:val="-4"/>
                <w:sz w:val="21"/>
                <w:szCs w:val="21"/>
              </w:rPr>
            </w:pPr>
            <w:r>
              <w:rPr>
                <w:b/>
                <w:bCs/>
                <w:sz w:val="21"/>
                <w:szCs w:val="21"/>
              </w:rPr>
              <w:t>0-0.2m</w:t>
            </w:r>
          </w:p>
        </w:tc>
        <w:tc>
          <w:tcPr>
            <w:tcW w:w="793" w:type="pct"/>
            <w:vMerge w:val="continue"/>
            <w:vAlign w:val="center"/>
          </w:tcPr>
          <w:p w14:paraId="0042C798">
            <w:pPr>
              <w:spacing w:line="240" w:lineRule="auto"/>
              <w:ind w:firstLine="0" w:firstLineChars="0"/>
              <w:jc w:val="center"/>
              <w:rPr>
                <w:spacing w:val="-4"/>
                <w:sz w:val="21"/>
                <w:szCs w:val="21"/>
                <w:highlight w:val="yellow"/>
              </w:rPr>
            </w:pPr>
          </w:p>
        </w:tc>
        <w:tc>
          <w:tcPr>
            <w:tcW w:w="746" w:type="pct"/>
            <w:vMerge w:val="continue"/>
            <w:tcBorders>
              <w:right w:val="single" w:color="auto" w:sz="8" w:space="0"/>
            </w:tcBorders>
            <w:vAlign w:val="center"/>
          </w:tcPr>
          <w:p w14:paraId="1CEFB3B7">
            <w:pPr>
              <w:spacing w:line="240" w:lineRule="auto"/>
              <w:ind w:firstLine="0" w:firstLineChars="0"/>
              <w:jc w:val="center"/>
              <w:rPr>
                <w:spacing w:val="-4"/>
                <w:sz w:val="21"/>
                <w:szCs w:val="21"/>
                <w:highlight w:val="yellow"/>
              </w:rPr>
            </w:pPr>
          </w:p>
        </w:tc>
      </w:tr>
      <w:tr w14:paraId="6EE6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tcBorders>
              <w:left w:val="single" w:color="auto" w:sz="8" w:space="0"/>
            </w:tcBorders>
            <w:vAlign w:val="center"/>
          </w:tcPr>
          <w:p w14:paraId="2AD5F843">
            <w:pPr>
              <w:pStyle w:val="180"/>
              <w:rPr>
                <w:sz w:val="21"/>
                <w:szCs w:val="21"/>
              </w:rPr>
            </w:pPr>
            <w:r>
              <w:rPr>
                <w:sz w:val="21"/>
                <w:szCs w:val="21"/>
              </w:rPr>
              <w:t>pH值</w:t>
            </w:r>
          </w:p>
        </w:tc>
        <w:tc>
          <w:tcPr>
            <w:tcW w:w="1371" w:type="pct"/>
            <w:vAlign w:val="center"/>
          </w:tcPr>
          <w:p w14:paraId="6DA1DE94">
            <w:pPr>
              <w:pStyle w:val="124"/>
              <w:overflowPunct w:val="0"/>
              <w:snapToGrid w:val="0"/>
              <w:rPr>
                <w:bCs/>
              </w:rPr>
            </w:pPr>
            <w:r>
              <w:rPr>
                <w:rFonts w:hint="eastAsia"/>
                <w:bCs/>
              </w:rPr>
              <w:t>0.34</w:t>
            </w:r>
          </w:p>
        </w:tc>
        <w:tc>
          <w:tcPr>
            <w:tcW w:w="1353" w:type="pct"/>
            <w:vAlign w:val="center"/>
          </w:tcPr>
          <w:p w14:paraId="75E4D577">
            <w:pPr>
              <w:pStyle w:val="124"/>
              <w:overflowPunct w:val="0"/>
              <w:snapToGrid w:val="0"/>
              <w:rPr>
                <w:bCs/>
              </w:rPr>
            </w:pPr>
            <w:r>
              <w:rPr>
                <w:rFonts w:hint="eastAsia"/>
                <w:bCs/>
              </w:rPr>
              <w:t>0.23</w:t>
            </w:r>
          </w:p>
        </w:tc>
        <w:tc>
          <w:tcPr>
            <w:tcW w:w="793" w:type="pct"/>
            <w:vAlign w:val="center"/>
          </w:tcPr>
          <w:p w14:paraId="66DE2041">
            <w:pPr>
              <w:spacing w:line="240" w:lineRule="auto"/>
              <w:ind w:firstLine="0" w:firstLineChars="0"/>
              <w:jc w:val="center"/>
              <w:outlineLvl w:val="3"/>
              <w:rPr>
                <w:sz w:val="21"/>
                <w:szCs w:val="21"/>
              </w:rPr>
            </w:pPr>
            <w:r>
              <w:rPr>
                <w:sz w:val="21"/>
                <w:szCs w:val="21"/>
              </w:rPr>
              <w:t>pH＞7.5</w:t>
            </w:r>
          </w:p>
        </w:tc>
        <w:tc>
          <w:tcPr>
            <w:tcW w:w="746" w:type="pct"/>
            <w:tcBorders>
              <w:right w:val="single" w:color="auto" w:sz="8" w:space="0"/>
            </w:tcBorders>
            <w:vAlign w:val="center"/>
          </w:tcPr>
          <w:p w14:paraId="72883859">
            <w:pPr>
              <w:spacing w:line="240" w:lineRule="auto"/>
              <w:ind w:firstLine="0" w:firstLineChars="0"/>
              <w:jc w:val="center"/>
              <w:rPr>
                <w:spacing w:val="-4"/>
                <w:sz w:val="21"/>
                <w:szCs w:val="21"/>
              </w:rPr>
            </w:pPr>
            <w:r>
              <w:rPr>
                <w:spacing w:val="-4"/>
                <w:sz w:val="21"/>
                <w:szCs w:val="21"/>
              </w:rPr>
              <w:t>达标</w:t>
            </w:r>
          </w:p>
        </w:tc>
      </w:tr>
      <w:tr w14:paraId="3262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tcBorders>
              <w:left w:val="single" w:color="auto" w:sz="8" w:space="0"/>
            </w:tcBorders>
            <w:vAlign w:val="center"/>
          </w:tcPr>
          <w:p w14:paraId="2291B1CB">
            <w:pPr>
              <w:spacing w:line="240" w:lineRule="auto"/>
              <w:ind w:firstLine="0" w:firstLineChars="0"/>
              <w:jc w:val="center"/>
              <w:outlineLvl w:val="3"/>
              <w:rPr>
                <w:sz w:val="21"/>
                <w:szCs w:val="21"/>
              </w:rPr>
            </w:pPr>
            <w:r>
              <w:rPr>
                <w:sz w:val="21"/>
                <w:szCs w:val="21"/>
              </w:rPr>
              <w:t>镉</w:t>
            </w:r>
          </w:p>
        </w:tc>
        <w:tc>
          <w:tcPr>
            <w:tcW w:w="1371" w:type="pct"/>
            <w:vAlign w:val="center"/>
          </w:tcPr>
          <w:p w14:paraId="4A5E731D">
            <w:pPr>
              <w:pStyle w:val="124"/>
              <w:overflowPunct w:val="0"/>
              <w:snapToGrid w:val="0"/>
              <w:rPr>
                <w:bCs/>
              </w:rPr>
            </w:pPr>
            <w:r>
              <w:rPr>
                <w:rFonts w:hint="eastAsia"/>
                <w:bCs/>
              </w:rPr>
              <w:t>0.031</w:t>
            </w:r>
          </w:p>
        </w:tc>
        <w:tc>
          <w:tcPr>
            <w:tcW w:w="1353" w:type="pct"/>
            <w:vAlign w:val="center"/>
          </w:tcPr>
          <w:p w14:paraId="24730C7C">
            <w:pPr>
              <w:pStyle w:val="124"/>
              <w:overflowPunct w:val="0"/>
              <w:snapToGrid w:val="0"/>
              <w:rPr>
                <w:bCs/>
              </w:rPr>
            </w:pPr>
            <w:r>
              <w:rPr>
                <w:rFonts w:hint="eastAsia"/>
                <w:bCs/>
              </w:rPr>
              <w:t>0.054</w:t>
            </w:r>
          </w:p>
        </w:tc>
        <w:tc>
          <w:tcPr>
            <w:tcW w:w="793" w:type="pct"/>
            <w:vAlign w:val="center"/>
          </w:tcPr>
          <w:p w14:paraId="6CB2A891">
            <w:pPr>
              <w:spacing w:line="240" w:lineRule="auto"/>
              <w:ind w:firstLine="0" w:firstLineChars="0"/>
              <w:jc w:val="center"/>
              <w:outlineLvl w:val="3"/>
              <w:rPr>
                <w:sz w:val="21"/>
                <w:szCs w:val="21"/>
              </w:rPr>
            </w:pPr>
            <w:r>
              <w:rPr>
                <w:sz w:val="21"/>
                <w:szCs w:val="21"/>
              </w:rPr>
              <w:t>0.6</w:t>
            </w:r>
          </w:p>
        </w:tc>
        <w:tc>
          <w:tcPr>
            <w:tcW w:w="746" w:type="pct"/>
            <w:tcBorders>
              <w:right w:val="single" w:color="auto" w:sz="8" w:space="0"/>
            </w:tcBorders>
            <w:vAlign w:val="center"/>
          </w:tcPr>
          <w:p w14:paraId="1CF9B35F">
            <w:pPr>
              <w:spacing w:line="240" w:lineRule="auto"/>
              <w:ind w:firstLine="0" w:firstLineChars="0"/>
              <w:jc w:val="center"/>
              <w:rPr>
                <w:spacing w:val="-4"/>
                <w:sz w:val="21"/>
                <w:szCs w:val="21"/>
              </w:rPr>
            </w:pPr>
            <w:r>
              <w:rPr>
                <w:spacing w:val="-4"/>
                <w:sz w:val="21"/>
                <w:szCs w:val="21"/>
              </w:rPr>
              <w:t>达标</w:t>
            </w:r>
          </w:p>
        </w:tc>
      </w:tr>
      <w:tr w14:paraId="1563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tcBorders>
              <w:left w:val="single" w:color="auto" w:sz="8" w:space="0"/>
            </w:tcBorders>
            <w:vAlign w:val="center"/>
          </w:tcPr>
          <w:p w14:paraId="1ABE0D2B">
            <w:pPr>
              <w:spacing w:line="240" w:lineRule="auto"/>
              <w:ind w:firstLine="0" w:firstLineChars="0"/>
              <w:jc w:val="center"/>
              <w:outlineLvl w:val="3"/>
              <w:rPr>
                <w:sz w:val="21"/>
                <w:szCs w:val="21"/>
              </w:rPr>
            </w:pPr>
            <w:r>
              <w:rPr>
                <w:sz w:val="21"/>
                <w:szCs w:val="21"/>
              </w:rPr>
              <w:t>汞</w:t>
            </w:r>
          </w:p>
        </w:tc>
        <w:tc>
          <w:tcPr>
            <w:tcW w:w="1371" w:type="pct"/>
            <w:vAlign w:val="center"/>
          </w:tcPr>
          <w:p w14:paraId="080BF807">
            <w:pPr>
              <w:pStyle w:val="124"/>
              <w:overflowPunct w:val="0"/>
              <w:snapToGrid w:val="0"/>
              <w:rPr>
                <w:bCs/>
              </w:rPr>
            </w:pPr>
            <w:r>
              <w:rPr>
                <w:rFonts w:hint="eastAsia"/>
                <w:bCs/>
              </w:rPr>
              <w:t>6.34</w:t>
            </w:r>
          </w:p>
        </w:tc>
        <w:tc>
          <w:tcPr>
            <w:tcW w:w="1353" w:type="pct"/>
            <w:vAlign w:val="center"/>
          </w:tcPr>
          <w:p w14:paraId="4E36CA02">
            <w:pPr>
              <w:pStyle w:val="124"/>
              <w:overflowPunct w:val="0"/>
              <w:snapToGrid w:val="0"/>
              <w:rPr>
                <w:bCs/>
              </w:rPr>
            </w:pPr>
            <w:r>
              <w:rPr>
                <w:rFonts w:hint="eastAsia"/>
                <w:bCs/>
              </w:rPr>
              <w:t>7.21</w:t>
            </w:r>
          </w:p>
        </w:tc>
        <w:tc>
          <w:tcPr>
            <w:tcW w:w="793" w:type="pct"/>
            <w:vAlign w:val="center"/>
          </w:tcPr>
          <w:p w14:paraId="26F081AD">
            <w:pPr>
              <w:spacing w:line="240" w:lineRule="auto"/>
              <w:ind w:firstLine="0" w:firstLineChars="0"/>
              <w:jc w:val="center"/>
              <w:outlineLvl w:val="3"/>
              <w:rPr>
                <w:sz w:val="21"/>
                <w:szCs w:val="21"/>
              </w:rPr>
            </w:pPr>
            <w:r>
              <w:rPr>
                <w:sz w:val="21"/>
                <w:szCs w:val="21"/>
              </w:rPr>
              <w:t>3.4</w:t>
            </w:r>
          </w:p>
        </w:tc>
        <w:tc>
          <w:tcPr>
            <w:tcW w:w="746" w:type="pct"/>
            <w:tcBorders>
              <w:right w:val="single" w:color="auto" w:sz="8" w:space="0"/>
            </w:tcBorders>
            <w:vAlign w:val="center"/>
          </w:tcPr>
          <w:p w14:paraId="73AB803E">
            <w:pPr>
              <w:spacing w:line="240" w:lineRule="auto"/>
              <w:ind w:firstLine="0" w:firstLineChars="0"/>
              <w:jc w:val="center"/>
              <w:rPr>
                <w:spacing w:val="-4"/>
                <w:sz w:val="21"/>
                <w:szCs w:val="21"/>
              </w:rPr>
            </w:pPr>
            <w:r>
              <w:rPr>
                <w:spacing w:val="-4"/>
                <w:sz w:val="21"/>
                <w:szCs w:val="21"/>
              </w:rPr>
              <w:t>达标</w:t>
            </w:r>
          </w:p>
        </w:tc>
      </w:tr>
      <w:tr w14:paraId="6EF7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tcBorders>
              <w:left w:val="single" w:color="auto" w:sz="8" w:space="0"/>
            </w:tcBorders>
            <w:vAlign w:val="center"/>
          </w:tcPr>
          <w:p w14:paraId="2FA75BDB">
            <w:pPr>
              <w:spacing w:line="240" w:lineRule="auto"/>
              <w:ind w:firstLine="0" w:firstLineChars="0"/>
              <w:jc w:val="center"/>
              <w:outlineLvl w:val="3"/>
              <w:rPr>
                <w:sz w:val="21"/>
                <w:szCs w:val="21"/>
              </w:rPr>
            </w:pPr>
            <w:r>
              <w:rPr>
                <w:sz w:val="21"/>
                <w:szCs w:val="21"/>
              </w:rPr>
              <w:t>砷</w:t>
            </w:r>
          </w:p>
        </w:tc>
        <w:tc>
          <w:tcPr>
            <w:tcW w:w="1371" w:type="pct"/>
            <w:vAlign w:val="center"/>
          </w:tcPr>
          <w:p w14:paraId="427B9E00">
            <w:pPr>
              <w:pStyle w:val="124"/>
              <w:overflowPunct w:val="0"/>
              <w:snapToGrid w:val="0"/>
              <w:rPr>
                <w:bCs/>
              </w:rPr>
            </w:pPr>
            <w:r>
              <w:rPr>
                <w:rFonts w:hint="eastAsia"/>
                <w:bCs/>
              </w:rPr>
              <w:t>36</w:t>
            </w:r>
          </w:p>
        </w:tc>
        <w:tc>
          <w:tcPr>
            <w:tcW w:w="1353" w:type="pct"/>
            <w:vAlign w:val="center"/>
          </w:tcPr>
          <w:p w14:paraId="1B693DBE">
            <w:pPr>
              <w:pStyle w:val="124"/>
              <w:overflowPunct w:val="0"/>
              <w:snapToGrid w:val="0"/>
              <w:rPr>
                <w:bCs/>
              </w:rPr>
            </w:pPr>
            <w:r>
              <w:rPr>
                <w:rFonts w:hint="eastAsia"/>
                <w:bCs/>
              </w:rPr>
              <w:t>29</w:t>
            </w:r>
          </w:p>
        </w:tc>
        <w:tc>
          <w:tcPr>
            <w:tcW w:w="793" w:type="pct"/>
            <w:vAlign w:val="center"/>
          </w:tcPr>
          <w:p w14:paraId="2F727066">
            <w:pPr>
              <w:spacing w:line="240" w:lineRule="auto"/>
              <w:ind w:firstLine="0" w:firstLineChars="0"/>
              <w:jc w:val="center"/>
              <w:outlineLvl w:val="3"/>
              <w:rPr>
                <w:sz w:val="21"/>
                <w:szCs w:val="21"/>
              </w:rPr>
            </w:pPr>
            <w:r>
              <w:rPr>
                <w:sz w:val="21"/>
                <w:szCs w:val="21"/>
              </w:rPr>
              <w:t>25</w:t>
            </w:r>
          </w:p>
        </w:tc>
        <w:tc>
          <w:tcPr>
            <w:tcW w:w="746" w:type="pct"/>
            <w:tcBorders>
              <w:right w:val="single" w:color="auto" w:sz="8" w:space="0"/>
            </w:tcBorders>
            <w:vAlign w:val="center"/>
          </w:tcPr>
          <w:p w14:paraId="544ED2BE">
            <w:pPr>
              <w:spacing w:line="240" w:lineRule="auto"/>
              <w:ind w:firstLine="0" w:firstLineChars="0"/>
              <w:jc w:val="center"/>
              <w:rPr>
                <w:spacing w:val="-4"/>
                <w:sz w:val="21"/>
                <w:szCs w:val="21"/>
              </w:rPr>
            </w:pPr>
            <w:r>
              <w:rPr>
                <w:spacing w:val="-4"/>
                <w:sz w:val="21"/>
                <w:szCs w:val="21"/>
              </w:rPr>
              <w:t>达标</w:t>
            </w:r>
          </w:p>
        </w:tc>
      </w:tr>
      <w:tr w14:paraId="277D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tcBorders>
              <w:left w:val="single" w:color="auto" w:sz="8" w:space="0"/>
            </w:tcBorders>
            <w:vAlign w:val="center"/>
          </w:tcPr>
          <w:p w14:paraId="2EB95FE5">
            <w:pPr>
              <w:spacing w:line="240" w:lineRule="auto"/>
              <w:ind w:firstLine="0" w:firstLineChars="0"/>
              <w:jc w:val="center"/>
              <w:outlineLvl w:val="3"/>
              <w:rPr>
                <w:sz w:val="21"/>
                <w:szCs w:val="21"/>
              </w:rPr>
            </w:pPr>
            <w:r>
              <w:rPr>
                <w:sz w:val="21"/>
                <w:szCs w:val="21"/>
              </w:rPr>
              <w:t>铅</w:t>
            </w:r>
          </w:p>
        </w:tc>
        <w:tc>
          <w:tcPr>
            <w:tcW w:w="1371" w:type="pct"/>
            <w:vAlign w:val="center"/>
          </w:tcPr>
          <w:p w14:paraId="18A0A1BF">
            <w:pPr>
              <w:pStyle w:val="124"/>
              <w:overflowPunct w:val="0"/>
              <w:snapToGrid w:val="0"/>
              <w:rPr>
                <w:bCs/>
              </w:rPr>
            </w:pPr>
            <w:r>
              <w:rPr>
                <w:rFonts w:hint="eastAsia"/>
                <w:bCs/>
              </w:rPr>
              <w:t>46</w:t>
            </w:r>
          </w:p>
        </w:tc>
        <w:tc>
          <w:tcPr>
            <w:tcW w:w="1353" w:type="pct"/>
            <w:vAlign w:val="center"/>
          </w:tcPr>
          <w:p w14:paraId="6569CFC9">
            <w:pPr>
              <w:pStyle w:val="124"/>
              <w:overflowPunct w:val="0"/>
              <w:snapToGrid w:val="0"/>
              <w:rPr>
                <w:bCs/>
              </w:rPr>
            </w:pPr>
            <w:r>
              <w:rPr>
                <w:rFonts w:hint="eastAsia"/>
                <w:bCs/>
              </w:rPr>
              <w:t>51</w:t>
            </w:r>
          </w:p>
        </w:tc>
        <w:tc>
          <w:tcPr>
            <w:tcW w:w="793" w:type="pct"/>
            <w:vAlign w:val="center"/>
          </w:tcPr>
          <w:p w14:paraId="27554317">
            <w:pPr>
              <w:spacing w:line="240" w:lineRule="auto"/>
              <w:ind w:firstLine="0" w:firstLineChars="0"/>
              <w:jc w:val="center"/>
              <w:outlineLvl w:val="3"/>
              <w:rPr>
                <w:sz w:val="21"/>
                <w:szCs w:val="21"/>
              </w:rPr>
            </w:pPr>
            <w:r>
              <w:rPr>
                <w:sz w:val="21"/>
                <w:szCs w:val="21"/>
              </w:rPr>
              <w:t>170</w:t>
            </w:r>
          </w:p>
        </w:tc>
        <w:tc>
          <w:tcPr>
            <w:tcW w:w="746" w:type="pct"/>
            <w:tcBorders>
              <w:right w:val="single" w:color="auto" w:sz="8" w:space="0"/>
            </w:tcBorders>
            <w:vAlign w:val="center"/>
          </w:tcPr>
          <w:p w14:paraId="0CFB8082">
            <w:pPr>
              <w:spacing w:line="240" w:lineRule="auto"/>
              <w:ind w:firstLine="0" w:firstLineChars="0"/>
              <w:jc w:val="center"/>
              <w:rPr>
                <w:spacing w:val="-4"/>
                <w:sz w:val="21"/>
                <w:szCs w:val="21"/>
              </w:rPr>
            </w:pPr>
            <w:r>
              <w:rPr>
                <w:spacing w:val="-4"/>
                <w:sz w:val="21"/>
                <w:szCs w:val="21"/>
              </w:rPr>
              <w:t>达标</w:t>
            </w:r>
          </w:p>
        </w:tc>
      </w:tr>
      <w:tr w14:paraId="6B97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tcBorders>
              <w:left w:val="single" w:color="auto" w:sz="8" w:space="0"/>
            </w:tcBorders>
            <w:vAlign w:val="center"/>
          </w:tcPr>
          <w:p w14:paraId="19D815C2">
            <w:pPr>
              <w:spacing w:line="240" w:lineRule="auto"/>
              <w:ind w:firstLine="0" w:firstLineChars="0"/>
              <w:jc w:val="center"/>
              <w:outlineLvl w:val="3"/>
              <w:rPr>
                <w:sz w:val="21"/>
                <w:szCs w:val="21"/>
              </w:rPr>
            </w:pPr>
            <w:r>
              <w:rPr>
                <w:sz w:val="21"/>
                <w:szCs w:val="21"/>
              </w:rPr>
              <w:t>铬</w:t>
            </w:r>
          </w:p>
        </w:tc>
        <w:tc>
          <w:tcPr>
            <w:tcW w:w="1371" w:type="pct"/>
            <w:vAlign w:val="center"/>
          </w:tcPr>
          <w:p w14:paraId="11C76DB3">
            <w:pPr>
              <w:spacing w:line="240" w:lineRule="auto"/>
              <w:ind w:firstLine="0" w:firstLineChars="0"/>
              <w:jc w:val="center"/>
              <w:rPr>
                <w:rFonts w:eastAsia="等线"/>
                <w:sz w:val="21"/>
                <w:szCs w:val="21"/>
              </w:rPr>
            </w:pPr>
            <w:r>
              <w:rPr>
                <w:rFonts w:hint="eastAsia" w:eastAsia="等线"/>
                <w:sz w:val="21"/>
                <w:szCs w:val="21"/>
              </w:rPr>
              <w:t>26</w:t>
            </w:r>
          </w:p>
        </w:tc>
        <w:tc>
          <w:tcPr>
            <w:tcW w:w="1353" w:type="pct"/>
            <w:vAlign w:val="center"/>
          </w:tcPr>
          <w:p w14:paraId="2AC824AD">
            <w:pPr>
              <w:spacing w:line="240" w:lineRule="auto"/>
              <w:ind w:firstLine="0" w:firstLineChars="0"/>
              <w:jc w:val="center"/>
              <w:outlineLvl w:val="3"/>
              <w:rPr>
                <w:sz w:val="21"/>
                <w:szCs w:val="21"/>
              </w:rPr>
            </w:pPr>
            <w:r>
              <w:rPr>
                <w:rFonts w:hint="eastAsia"/>
                <w:sz w:val="21"/>
                <w:szCs w:val="21"/>
              </w:rPr>
              <w:t>24</w:t>
            </w:r>
          </w:p>
        </w:tc>
        <w:tc>
          <w:tcPr>
            <w:tcW w:w="793" w:type="pct"/>
            <w:vAlign w:val="center"/>
          </w:tcPr>
          <w:p w14:paraId="5B33C09C">
            <w:pPr>
              <w:spacing w:line="240" w:lineRule="auto"/>
              <w:ind w:firstLine="0" w:firstLineChars="0"/>
              <w:jc w:val="center"/>
              <w:outlineLvl w:val="3"/>
              <w:rPr>
                <w:sz w:val="21"/>
                <w:szCs w:val="21"/>
              </w:rPr>
            </w:pPr>
            <w:r>
              <w:rPr>
                <w:sz w:val="21"/>
                <w:szCs w:val="21"/>
              </w:rPr>
              <w:t>250</w:t>
            </w:r>
          </w:p>
        </w:tc>
        <w:tc>
          <w:tcPr>
            <w:tcW w:w="746" w:type="pct"/>
            <w:tcBorders>
              <w:right w:val="single" w:color="auto" w:sz="8" w:space="0"/>
            </w:tcBorders>
            <w:vAlign w:val="center"/>
          </w:tcPr>
          <w:p w14:paraId="6B71109D">
            <w:pPr>
              <w:spacing w:line="240" w:lineRule="auto"/>
              <w:ind w:firstLine="0" w:firstLineChars="0"/>
              <w:jc w:val="center"/>
              <w:rPr>
                <w:spacing w:val="-4"/>
                <w:sz w:val="21"/>
                <w:szCs w:val="21"/>
              </w:rPr>
            </w:pPr>
            <w:r>
              <w:rPr>
                <w:spacing w:val="-4"/>
                <w:sz w:val="21"/>
                <w:szCs w:val="21"/>
              </w:rPr>
              <w:t>达标</w:t>
            </w:r>
          </w:p>
        </w:tc>
      </w:tr>
      <w:tr w14:paraId="121A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tcBorders>
              <w:left w:val="single" w:color="auto" w:sz="8" w:space="0"/>
            </w:tcBorders>
            <w:vAlign w:val="center"/>
          </w:tcPr>
          <w:p w14:paraId="245CFA8D">
            <w:pPr>
              <w:spacing w:line="240" w:lineRule="auto"/>
              <w:ind w:firstLine="0" w:firstLineChars="0"/>
              <w:jc w:val="center"/>
              <w:outlineLvl w:val="3"/>
              <w:rPr>
                <w:sz w:val="21"/>
                <w:szCs w:val="21"/>
              </w:rPr>
            </w:pPr>
            <w:r>
              <w:rPr>
                <w:sz w:val="21"/>
                <w:szCs w:val="21"/>
              </w:rPr>
              <w:t>铜</w:t>
            </w:r>
          </w:p>
        </w:tc>
        <w:tc>
          <w:tcPr>
            <w:tcW w:w="1371" w:type="pct"/>
            <w:vAlign w:val="center"/>
          </w:tcPr>
          <w:p w14:paraId="1E04C3EC">
            <w:pPr>
              <w:spacing w:line="240" w:lineRule="auto"/>
              <w:ind w:firstLine="0" w:firstLineChars="0"/>
              <w:jc w:val="center"/>
              <w:rPr>
                <w:rFonts w:eastAsia="等线"/>
                <w:sz w:val="21"/>
                <w:szCs w:val="21"/>
              </w:rPr>
            </w:pPr>
            <w:r>
              <w:rPr>
                <w:rFonts w:hint="eastAsia" w:eastAsia="等线"/>
                <w:sz w:val="21"/>
                <w:szCs w:val="21"/>
              </w:rPr>
              <w:t>15</w:t>
            </w:r>
          </w:p>
        </w:tc>
        <w:tc>
          <w:tcPr>
            <w:tcW w:w="1353" w:type="pct"/>
            <w:vAlign w:val="center"/>
          </w:tcPr>
          <w:p w14:paraId="37DD0043">
            <w:pPr>
              <w:spacing w:line="240" w:lineRule="auto"/>
              <w:ind w:firstLine="0" w:firstLineChars="0"/>
              <w:jc w:val="center"/>
              <w:outlineLvl w:val="3"/>
              <w:rPr>
                <w:sz w:val="21"/>
                <w:szCs w:val="21"/>
              </w:rPr>
            </w:pPr>
            <w:r>
              <w:rPr>
                <w:rFonts w:hint="eastAsia"/>
                <w:sz w:val="21"/>
                <w:szCs w:val="21"/>
              </w:rPr>
              <w:t>20</w:t>
            </w:r>
          </w:p>
        </w:tc>
        <w:tc>
          <w:tcPr>
            <w:tcW w:w="793" w:type="pct"/>
            <w:vAlign w:val="center"/>
          </w:tcPr>
          <w:p w14:paraId="345FE7C7">
            <w:pPr>
              <w:spacing w:line="240" w:lineRule="auto"/>
              <w:ind w:firstLine="0" w:firstLineChars="0"/>
              <w:jc w:val="center"/>
              <w:outlineLvl w:val="3"/>
              <w:rPr>
                <w:sz w:val="21"/>
                <w:szCs w:val="21"/>
              </w:rPr>
            </w:pPr>
            <w:r>
              <w:rPr>
                <w:sz w:val="21"/>
                <w:szCs w:val="21"/>
              </w:rPr>
              <w:t>100</w:t>
            </w:r>
          </w:p>
        </w:tc>
        <w:tc>
          <w:tcPr>
            <w:tcW w:w="746" w:type="pct"/>
            <w:tcBorders>
              <w:right w:val="single" w:color="auto" w:sz="8" w:space="0"/>
            </w:tcBorders>
            <w:vAlign w:val="center"/>
          </w:tcPr>
          <w:p w14:paraId="5E4B842C">
            <w:pPr>
              <w:spacing w:line="240" w:lineRule="auto"/>
              <w:ind w:firstLine="0" w:firstLineChars="0"/>
              <w:jc w:val="center"/>
              <w:rPr>
                <w:spacing w:val="-4"/>
                <w:sz w:val="21"/>
                <w:szCs w:val="21"/>
              </w:rPr>
            </w:pPr>
            <w:r>
              <w:rPr>
                <w:spacing w:val="-4"/>
                <w:sz w:val="21"/>
                <w:szCs w:val="21"/>
              </w:rPr>
              <w:t>达标</w:t>
            </w:r>
          </w:p>
        </w:tc>
      </w:tr>
      <w:tr w14:paraId="3E49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37" w:type="pct"/>
            <w:tcBorders>
              <w:left w:val="single" w:color="auto" w:sz="8" w:space="0"/>
            </w:tcBorders>
            <w:vAlign w:val="center"/>
          </w:tcPr>
          <w:p w14:paraId="1E89AA3C">
            <w:pPr>
              <w:spacing w:line="240" w:lineRule="auto"/>
              <w:ind w:firstLine="0" w:firstLineChars="0"/>
              <w:jc w:val="center"/>
              <w:outlineLvl w:val="3"/>
              <w:rPr>
                <w:sz w:val="21"/>
                <w:szCs w:val="21"/>
              </w:rPr>
            </w:pPr>
            <w:r>
              <w:rPr>
                <w:sz w:val="21"/>
                <w:szCs w:val="21"/>
              </w:rPr>
              <w:t>镍</w:t>
            </w:r>
          </w:p>
        </w:tc>
        <w:tc>
          <w:tcPr>
            <w:tcW w:w="1371" w:type="pct"/>
            <w:vAlign w:val="center"/>
          </w:tcPr>
          <w:p w14:paraId="22547BF7">
            <w:pPr>
              <w:pStyle w:val="124"/>
              <w:overflowPunct w:val="0"/>
              <w:snapToGrid w:val="0"/>
              <w:rPr>
                <w:rFonts w:eastAsia="等线"/>
              </w:rPr>
            </w:pPr>
            <w:r>
              <w:rPr>
                <w:rFonts w:hint="eastAsia" w:eastAsia="等线"/>
              </w:rPr>
              <w:t>0.51</w:t>
            </w:r>
          </w:p>
        </w:tc>
        <w:tc>
          <w:tcPr>
            <w:tcW w:w="1353" w:type="pct"/>
            <w:vAlign w:val="center"/>
          </w:tcPr>
          <w:p w14:paraId="1E24871A">
            <w:pPr>
              <w:pStyle w:val="124"/>
              <w:overflowPunct w:val="0"/>
              <w:snapToGrid w:val="0"/>
            </w:pPr>
            <w:r>
              <w:rPr>
                <w:rFonts w:hint="eastAsia"/>
              </w:rPr>
              <w:t>0.55</w:t>
            </w:r>
          </w:p>
        </w:tc>
        <w:tc>
          <w:tcPr>
            <w:tcW w:w="793" w:type="pct"/>
            <w:vAlign w:val="center"/>
          </w:tcPr>
          <w:p w14:paraId="7A5FB826">
            <w:pPr>
              <w:spacing w:line="240" w:lineRule="auto"/>
              <w:ind w:firstLine="0" w:firstLineChars="0"/>
              <w:jc w:val="center"/>
              <w:outlineLvl w:val="3"/>
              <w:rPr>
                <w:sz w:val="21"/>
                <w:szCs w:val="21"/>
              </w:rPr>
            </w:pPr>
            <w:r>
              <w:rPr>
                <w:sz w:val="21"/>
                <w:szCs w:val="21"/>
              </w:rPr>
              <w:t>190</w:t>
            </w:r>
          </w:p>
        </w:tc>
        <w:tc>
          <w:tcPr>
            <w:tcW w:w="746" w:type="pct"/>
            <w:tcBorders>
              <w:right w:val="single" w:color="auto" w:sz="8" w:space="0"/>
            </w:tcBorders>
            <w:vAlign w:val="center"/>
          </w:tcPr>
          <w:p w14:paraId="4528837D">
            <w:pPr>
              <w:spacing w:line="240" w:lineRule="auto"/>
              <w:ind w:firstLine="0" w:firstLineChars="0"/>
              <w:jc w:val="center"/>
              <w:rPr>
                <w:spacing w:val="-4"/>
                <w:sz w:val="21"/>
                <w:szCs w:val="21"/>
              </w:rPr>
            </w:pPr>
            <w:r>
              <w:rPr>
                <w:spacing w:val="-4"/>
                <w:sz w:val="21"/>
                <w:szCs w:val="21"/>
              </w:rPr>
              <w:t>达标</w:t>
            </w:r>
          </w:p>
        </w:tc>
      </w:tr>
      <w:tr w14:paraId="5986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tcBorders>
              <w:left w:val="single" w:color="auto" w:sz="8" w:space="0"/>
            </w:tcBorders>
            <w:vAlign w:val="center"/>
          </w:tcPr>
          <w:p w14:paraId="181C65F6">
            <w:pPr>
              <w:spacing w:line="240" w:lineRule="auto"/>
              <w:ind w:firstLine="0" w:firstLineChars="0"/>
              <w:jc w:val="center"/>
              <w:outlineLvl w:val="3"/>
              <w:rPr>
                <w:sz w:val="21"/>
                <w:szCs w:val="21"/>
              </w:rPr>
            </w:pPr>
            <w:r>
              <w:rPr>
                <w:sz w:val="21"/>
                <w:szCs w:val="21"/>
              </w:rPr>
              <w:t>锌</w:t>
            </w:r>
          </w:p>
        </w:tc>
        <w:tc>
          <w:tcPr>
            <w:tcW w:w="1371" w:type="pct"/>
            <w:vAlign w:val="center"/>
          </w:tcPr>
          <w:p w14:paraId="14803C00">
            <w:pPr>
              <w:pStyle w:val="124"/>
              <w:overflowPunct w:val="0"/>
              <w:snapToGrid w:val="0"/>
              <w:rPr>
                <w:rFonts w:eastAsia="等线"/>
              </w:rPr>
            </w:pPr>
            <w:r>
              <w:rPr>
                <w:rFonts w:hint="eastAsia" w:eastAsia="等线"/>
              </w:rPr>
              <w:t>7.25</w:t>
            </w:r>
          </w:p>
        </w:tc>
        <w:tc>
          <w:tcPr>
            <w:tcW w:w="1353" w:type="pct"/>
            <w:vAlign w:val="center"/>
          </w:tcPr>
          <w:p w14:paraId="168A973B">
            <w:pPr>
              <w:pStyle w:val="124"/>
              <w:overflowPunct w:val="0"/>
              <w:snapToGrid w:val="0"/>
            </w:pPr>
            <w:r>
              <w:rPr>
                <w:rFonts w:hint="eastAsia"/>
              </w:rPr>
              <w:t>7.13</w:t>
            </w:r>
          </w:p>
        </w:tc>
        <w:tc>
          <w:tcPr>
            <w:tcW w:w="793" w:type="pct"/>
            <w:vAlign w:val="center"/>
          </w:tcPr>
          <w:p w14:paraId="5DD873FF">
            <w:pPr>
              <w:spacing w:line="240" w:lineRule="auto"/>
              <w:ind w:firstLine="0" w:firstLineChars="0"/>
              <w:jc w:val="center"/>
              <w:outlineLvl w:val="3"/>
              <w:rPr>
                <w:sz w:val="21"/>
                <w:szCs w:val="21"/>
              </w:rPr>
            </w:pPr>
            <w:r>
              <w:rPr>
                <w:sz w:val="21"/>
                <w:szCs w:val="21"/>
              </w:rPr>
              <w:t>300</w:t>
            </w:r>
          </w:p>
        </w:tc>
        <w:tc>
          <w:tcPr>
            <w:tcW w:w="746" w:type="pct"/>
            <w:tcBorders>
              <w:right w:val="single" w:color="auto" w:sz="8" w:space="0"/>
            </w:tcBorders>
            <w:vAlign w:val="center"/>
          </w:tcPr>
          <w:p w14:paraId="53E6D501">
            <w:pPr>
              <w:spacing w:line="240" w:lineRule="auto"/>
              <w:ind w:firstLine="0" w:firstLineChars="0"/>
              <w:jc w:val="center"/>
              <w:rPr>
                <w:spacing w:val="-4"/>
                <w:sz w:val="21"/>
                <w:szCs w:val="21"/>
              </w:rPr>
            </w:pPr>
            <w:r>
              <w:rPr>
                <w:spacing w:val="-4"/>
                <w:sz w:val="21"/>
                <w:szCs w:val="21"/>
              </w:rPr>
              <w:t>达标</w:t>
            </w:r>
          </w:p>
        </w:tc>
      </w:tr>
      <w:tr w14:paraId="1259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7" w:type="pct"/>
            <w:tcBorders>
              <w:left w:val="single" w:color="auto" w:sz="8" w:space="0"/>
              <w:bottom w:val="single" w:color="auto" w:sz="8" w:space="0"/>
            </w:tcBorders>
            <w:vAlign w:val="center"/>
          </w:tcPr>
          <w:p w14:paraId="121B2746">
            <w:pPr>
              <w:spacing w:line="240" w:lineRule="auto"/>
              <w:ind w:firstLine="0" w:firstLineChars="0"/>
              <w:jc w:val="center"/>
              <w:outlineLvl w:val="3"/>
              <w:rPr>
                <w:sz w:val="21"/>
                <w:szCs w:val="21"/>
              </w:rPr>
            </w:pPr>
            <w:r>
              <w:rPr>
                <w:rFonts w:hint="eastAsia"/>
                <w:sz w:val="21"/>
                <w:szCs w:val="21"/>
              </w:rPr>
              <w:t>石油烃</w:t>
            </w:r>
          </w:p>
        </w:tc>
        <w:tc>
          <w:tcPr>
            <w:tcW w:w="1371" w:type="pct"/>
            <w:tcBorders>
              <w:bottom w:val="single" w:color="auto" w:sz="8" w:space="0"/>
            </w:tcBorders>
            <w:vAlign w:val="center"/>
          </w:tcPr>
          <w:p w14:paraId="36BE6A4B">
            <w:pPr>
              <w:pStyle w:val="124"/>
              <w:overflowPunct w:val="0"/>
              <w:snapToGrid w:val="0"/>
              <w:rPr>
                <w:bCs/>
              </w:rPr>
            </w:pPr>
            <w:r>
              <w:rPr>
                <w:rFonts w:hint="eastAsia"/>
                <w:bCs/>
              </w:rPr>
              <w:t>73</w:t>
            </w:r>
          </w:p>
        </w:tc>
        <w:tc>
          <w:tcPr>
            <w:tcW w:w="1353" w:type="pct"/>
            <w:tcBorders>
              <w:bottom w:val="single" w:color="auto" w:sz="8" w:space="0"/>
            </w:tcBorders>
            <w:vAlign w:val="center"/>
          </w:tcPr>
          <w:p w14:paraId="42008C1F">
            <w:pPr>
              <w:pStyle w:val="124"/>
              <w:overflowPunct w:val="0"/>
              <w:snapToGrid w:val="0"/>
              <w:rPr>
                <w:bCs/>
              </w:rPr>
            </w:pPr>
            <w:r>
              <w:rPr>
                <w:rFonts w:hint="eastAsia"/>
                <w:bCs/>
              </w:rPr>
              <w:t>68</w:t>
            </w:r>
          </w:p>
        </w:tc>
        <w:tc>
          <w:tcPr>
            <w:tcW w:w="793" w:type="pct"/>
            <w:tcBorders>
              <w:bottom w:val="single" w:color="auto" w:sz="8" w:space="0"/>
            </w:tcBorders>
            <w:vAlign w:val="center"/>
          </w:tcPr>
          <w:p w14:paraId="2A0C690A">
            <w:pPr>
              <w:spacing w:line="240" w:lineRule="auto"/>
              <w:ind w:firstLine="0" w:firstLineChars="0"/>
              <w:jc w:val="center"/>
              <w:outlineLvl w:val="3"/>
              <w:rPr>
                <w:sz w:val="21"/>
                <w:szCs w:val="21"/>
              </w:rPr>
            </w:pPr>
            <w:r>
              <w:rPr>
                <w:rFonts w:hint="eastAsia"/>
                <w:sz w:val="21"/>
                <w:szCs w:val="21"/>
              </w:rPr>
              <w:t>/</w:t>
            </w:r>
          </w:p>
        </w:tc>
        <w:tc>
          <w:tcPr>
            <w:tcW w:w="746" w:type="pct"/>
            <w:tcBorders>
              <w:bottom w:val="single" w:color="auto" w:sz="8" w:space="0"/>
              <w:right w:val="single" w:color="auto" w:sz="8" w:space="0"/>
            </w:tcBorders>
            <w:vAlign w:val="center"/>
          </w:tcPr>
          <w:p w14:paraId="39266E10">
            <w:pPr>
              <w:spacing w:line="240" w:lineRule="auto"/>
              <w:ind w:firstLine="0" w:firstLineChars="0"/>
              <w:jc w:val="center"/>
              <w:rPr>
                <w:spacing w:val="-4"/>
                <w:sz w:val="21"/>
                <w:szCs w:val="21"/>
              </w:rPr>
            </w:pPr>
            <w:r>
              <w:rPr>
                <w:rFonts w:hint="eastAsia"/>
                <w:spacing w:val="-4"/>
                <w:sz w:val="21"/>
                <w:szCs w:val="21"/>
              </w:rPr>
              <w:t>/</w:t>
            </w:r>
          </w:p>
        </w:tc>
      </w:tr>
    </w:tbl>
    <w:p w14:paraId="2D3F316F">
      <w:pPr>
        <w:pStyle w:val="64"/>
        <w:spacing w:before="120" w:after="120"/>
        <w:ind w:firstLine="240"/>
        <w:rPr>
          <w:highlight w:val="yellow"/>
        </w:rPr>
      </w:pPr>
    </w:p>
    <w:p w14:paraId="118B86FA">
      <w:pPr>
        <w:pStyle w:val="64"/>
        <w:spacing w:before="120" w:after="120"/>
        <w:ind w:firstLine="240"/>
        <w:rPr>
          <w:highlight w:val="yellow"/>
        </w:rPr>
      </w:pPr>
    </w:p>
    <w:p w14:paraId="5E38CAFE">
      <w:pPr>
        <w:pStyle w:val="64"/>
        <w:spacing w:before="120" w:after="120"/>
        <w:ind w:firstLine="240"/>
        <w:rPr>
          <w:highlight w:val="yellow"/>
        </w:rPr>
        <w:sectPr>
          <w:pgSz w:w="11906" w:h="16838"/>
          <w:pgMar w:top="1440" w:right="1797" w:bottom="1440" w:left="1797" w:header="851" w:footer="992" w:gutter="0"/>
          <w:cols w:space="425" w:num="1"/>
          <w:docGrid w:linePitch="326" w:charSpace="0"/>
        </w:sectPr>
      </w:pPr>
    </w:p>
    <w:p w14:paraId="1D3ECF13">
      <w:pPr>
        <w:ind w:firstLine="480"/>
      </w:pPr>
      <w:r>
        <w:t>由以上监测结果可知：厂址占地范围内各监测点位监测因子均能满足《土壤环境质量 建设用地土壤污染风险管控标准（试行）》（GB36600-2018）表1第二类用地筛选值标准要求。厂区外监测点位监测因子满足《土壤环境质量 农用地土壤污染风险管控标准(试行)》（GB15618-2018）表1筛选值标准要求。</w:t>
      </w:r>
    </w:p>
    <w:p w14:paraId="1D3ECF14">
      <w:pPr>
        <w:pStyle w:val="5"/>
        <w:spacing w:before="240" w:after="240"/>
      </w:pPr>
      <w:r>
        <w:t>现状评价小结</w:t>
      </w:r>
    </w:p>
    <w:p w14:paraId="1D3ECF15">
      <w:pPr>
        <w:pStyle w:val="6"/>
        <w:ind w:left="0" w:firstLine="482" w:firstLineChars="200"/>
      </w:pPr>
      <w:r>
        <w:t>环境空气质量现状评价小结</w:t>
      </w:r>
    </w:p>
    <w:p w14:paraId="0347F447">
      <w:pPr>
        <w:pStyle w:val="2"/>
        <w:spacing w:after="0"/>
        <w:ind w:firstLine="480"/>
      </w:pPr>
      <w:r>
        <w:t>202</w:t>
      </w:r>
      <w:r>
        <w:rPr>
          <w:rFonts w:hint="eastAsia"/>
        </w:rPr>
        <w:t>3</w:t>
      </w:r>
      <w:r>
        <w:t>年新乡市环境空气监测基本因子中除PM</w:t>
      </w:r>
      <w:r>
        <w:rPr>
          <w:vertAlign w:val="subscript"/>
        </w:rPr>
        <w:t>10</w:t>
      </w:r>
      <w:r>
        <w:t>、PM</w:t>
      </w:r>
      <w:r>
        <w:rPr>
          <w:vertAlign w:val="subscript"/>
        </w:rPr>
        <w:t>2.5</w:t>
      </w:r>
      <w:r>
        <w:t>、O</w:t>
      </w:r>
      <w:r>
        <w:rPr>
          <w:vertAlign w:val="subscript"/>
        </w:rPr>
        <w:t>3</w:t>
      </w:r>
      <w:r>
        <w:t>超标以外，其他因子可以满足《环境空气质量标准》（GB3095 -2012）及其2018年修改单二级标准要求。</w:t>
      </w:r>
    </w:p>
    <w:p w14:paraId="2EE86E95">
      <w:pPr>
        <w:ind w:firstLine="480"/>
        <w:rPr>
          <w:highlight w:val="yellow"/>
        </w:rPr>
      </w:pPr>
      <w:r>
        <w:t>补充监测点位的</w:t>
      </w:r>
      <w:r>
        <w:rPr>
          <w:rFonts w:hint="eastAsia"/>
        </w:rPr>
        <w:t>硫酸雾、氨、硫化氢、TVOC</w:t>
      </w:r>
      <w:r>
        <w:t>浓度能够满足《环境影响评价技术导则大气环境》（HJ2.2-2018）附录D 表D.1其他污染物空气质量浓度参考限值要求</w:t>
      </w:r>
      <w:r>
        <w:rPr>
          <w:rFonts w:hint="eastAsia"/>
        </w:rPr>
        <w:t>；非甲烷总烃</w:t>
      </w:r>
      <w:r>
        <w:t>浓度能够满足</w:t>
      </w:r>
      <w:r>
        <w:rPr>
          <w:rFonts w:hint="eastAsia"/>
        </w:rPr>
        <w:t>《大气综合污染物排放标准详解》第四章标准值说明的限值要求</w:t>
      </w:r>
      <w:r>
        <w:t>。</w:t>
      </w:r>
    </w:p>
    <w:p w14:paraId="1D3ECF1E">
      <w:pPr>
        <w:pStyle w:val="6"/>
        <w:ind w:left="0" w:firstLine="482" w:firstLineChars="200"/>
      </w:pPr>
      <w:r>
        <w:t>地表水环境质量现状评价小结</w:t>
      </w:r>
    </w:p>
    <w:p w14:paraId="1D3ECF1F">
      <w:pPr>
        <w:ind w:firstLine="480"/>
      </w:pPr>
      <w:r>
        <w:rPr>
          <w:rFonts w:hint="eastAsia"/>
          <w:bCs/>
        </w:rPr>
        <w:t>共产主义渠下马营断面</w:t>
      </w:r>
      <w:r>
        <w:t>2023年</w:t>
      </w:r>
      <w:r>
        <w:rPr>
          <w:rFonts w:hint="eastAsia"/>
        </w:rPr>
        <w:t>高锰酸盐指数</w:t>
      </w:r>
      <w:r>
        <w:t>年均值</w:t>
      </w:r>
      <w:r>
        <w:rPr>
          <w:rFonts w:hint="eastAsia"/>
        </w:rPr>
        <w:t>3.9</w:t>
      </w:r>
      <w:r>
        <w:t>mg/L、NH</w:t>
      </w:r>
      <w:r>
        <w:rPr>
          <w:vertAlign w:val="subscript"/>
        </w:rPr>
        <w:t>3</w:t>
      </w:r>
      <w:r>
        <w:t>-N年均值0.</w:t>
      </w:r>
      <w:r>
        <w:rPr>
          <w:rFonts w:hint="eastAsia"/>
        </w:rPr>
        <w:t>4</w:t>
      </w:r>
      <w:r>
        <w:t>mg/L、TP年均值0.</w:t>
      </w:r>
      <w:r>
        <w:rPr>
          <w:rFonts w:hint="eastAsia"/>
        </w:rPr>
        <w:t>2</w:t>
      </w:r>
      <w:r>
        <w:t>mg/L，</w:t>
      </w:r>
      <w:r>
        <w:rPr>
          <w:szCs w:val="24"/>
          <w:u w:val="single"/>
        </w:rPr>
        <w:t>，</w:t>
      </w:r>
      <w:r>
        <w:rPr>
          <w:rFonts w:hint="eastAsia"/>
          <w:szCs w:val="24"/>
          <w:u w:val="single"/>
        </w:rPr>
        <w:t>2024年1-9月高锰酸盐指数</w:t>
      </w:r>
      <w:r>
        <w:rPr>
          <w:szCs w:val="24"/>
          <w:u w:val="single"/>
        </w:rPr>
        <w:t>均值</w:t>
      </w:r>
      <w:r>
        <w:rPr>
          <w:rFonts w:hint="eastAsia"/>
          <w:szCs w:val="24"/>
          <w:u w:val="single"/>
        </w:rPr>
        <w:t>5.0</w:t>
      </w:r>
      <w:r>
        <w:rPr>
          <w:szCs w:val="24"/>
          <w:u w:val="single"/>
        </w:rPr>
        <w:t>mg/L、NH</w:t>
      </w:r>
      <w:r>
        <w:rPr>
          <w:szCs w:val="24"/>
          <w:u w:val="single"/>
          <w:vertAlign w:val="subscript"/>
        </w:rPr>
        <w:t>3</w:t>
      </w:r>
      <w:r>
        <w:rPr>
          <w:szCs w:val="24"/>
          <w:u w:val="single"/>
        </w:rPr>
        <w:t>-N均值0.</w:t>
      </w:r>
      <w:r>
        <w:rPr>
          <w:rFonts w:hint="eastAsia"/>
          <w:szCs w:val="24"/>
          <w:u w:val="single"/>
        </w:rPr>
        <w:t>38</w:t>
      </w:r>
      <w:r>
        <w:rPr>
          <w:szCs w:val="24"/>
          <w:u w:val="single"/>
        </w:rPr>
        <w:t>mg/L、TP均值0.</w:t>
      </w:r>
      <w:r>
        <w:rPr>
          <w:rFonts w:hint="eastAsia"/>
          <w:szCs w:val="24"/>
          <w:u w:val="single"/>
        </w:rPr>
        <w:t>15</w:t>
      </w:r>
      <w:r>
        <w:rPr>
          <w:szCs w:val="24"/>
          <w:u w:val="single"/>
        </w:rPr>
        <w:t>mg/L</w:t>
      </w:r>
      <w:r>
        <w:rPr>
          <w:rFonts w:hint="eastAsia"/>
          <w:szCs w:val="24"/>
          <w:u w:val="single"/>
        </w:rPr>
        <w:t>，均</w:t>
      </w:r>
      <w:r>
        <w:t>能够满足《地表水环境质量标准》（GB3838-2002）IV类标准（</w:t>
      </w:r>
      <w:r>
        <w:rPr>
          <w:rFonts w:hint="eastAsia"/>
        </w:rPr>
        <w:t>高锰酸盐指数10</w:t>
      </w:r>
      <w:r>
        <w:t>mg/L、NH</w:t>
      </w:r>
      <w:r>
        <w:rPr>
          <w:vertAlign w:val="subscript"/>
        </w:rPr>
        <w:t>3</w:t>
      </w:r>
      <w:r>
        <w:t>-N</w:t>
      </w:r>
      <w:r>
        <w:rPr>
          <w:rFonts w:hint="eastAsia"/>
        </w:rPr>
        <w:t xml:space="preserve"> </w:t>
      </w:r>
      <w:r>
        <w:t>1.5mg/L、TP</w:t>
      </w:r>
      <w:r>
        <w:rPr>
          <w:rFonts w:hint="eastAsia"/>
        </w:rPr>
        <w:t xml:space="preserve"> </w:t>
      </w:r>
      <w:r>
        <w:t>0.3mg/L）。</w:t>
      </w:r>
    </w:p>
    <w:p w14:paraId="1D3ECF20">
      <w:pPr>
        <w:pStyle w:val="6"/>
        <w:ind w:left="0" w:firstLine="482" w:firstLineChars="200"/>
      </w:pPr>
      <w:r>
        <w:t>地下水环境质量现状评价小结</w:t>
      </w:r>
    </w:p>
    <w:p w14:paraId="1D3ECF21">
      <w:pPr>
        <w:ind w:firstLine="480"/>
      </w:pPr>
      <w:r>
        <w:t>根据检测结果，项目区域地下水质量符合《地下水质量标准》（GB/T14848-2017）III类水质。</w:t>
      </w:r>
    </w:p>
    <w:p w14:paraId="1D3ECF22">
      <w:pPr>
        <w:pStyle w:val="6"/>
        <w:ind w:left="0" w:firstLine="482" w:firstLineChars="200"/>
      </w:pPr>
      <w:r>
        <w:t>声环境质量现状评价小结</w:t>
      </w:r>
    </w:p>
    <w:p w14:paraId="1D3ECF23">
      <w:pPr>
        <w:ind w:firstLine="480"/>
      </w:pPr>
      <w:r>
        <w:t>项目四周厂界声环境质量现状监测数据均满足《声环境质量标准》（GB3096-2008）</w:t>
      </w:r>
      <w:r>
        <w:rPr>
          <w:rFonts w:hint="eastAsia"/>
        </w:rPr>
        <w:t>3</w:t>
      </w:r>
      <w:r>
        <w:t>类标准（昼间6</w:t>
      </w:r>
      <w:r>
        <w:rPr>
          <w:rFonts w:hint="eastAsia"/>
        </w:rPr>
        <w:t>5</w:t>
      </w:r>
      <w:r>
        <w:t>dB(A)、夜间5</w:t>
      </w:r>
      <w:r>
        <w:rPr>
          <w:rFonts w:hint="eastAsia"/>
        </w:rPr>
        <w:t>5</w:t>
      </w:r>
      <w:r>
        <w:t>dB(A)）要求。</w:t>
      </w:r>
    </w:p>
    <w:p w14:paraId="1D3ECF24">
      <w:pPr>
        <w:pStyle w:val="6"/>
        <w:ind w:left="0" w:firstLine="482" w:firstLineChars="200"/>
      </w:pPr>
      <w:r>
        <w:t>土壤环境质量现状评价小结</w:t>
      </w:r>
    </w:p>
    <w:p w14:paraId="1D3ECF25">
      <w:pPr>
        <w:ind w:firstLine="480"/>
      </w:pPr>
      <w:bookmarkStart w:id="253" w:name="_Hlk115337661"/>
      <w:r>
        <w:rPr>
          <w:rFonts w:hint="eastAsia"/>
        </w:rPr>
        <w:t>厂区内</w:t>
      </w:r>
      <w:r>
        <w:t>占地范围内各监测点位监测因子均能满足《土壤环境质量 建设用地土壤污染风险管控标准（试行）》（GB36600-2018）表1第二类用地筛选值标准要求。厂区外监测点位监测因子满足《土壤环境质量 农用地土壤污染风险管控标准(试行)》（GB15618-2018）表1筛选值标准要求</w:t>
      </w:r>
      <w:bookmarkEnd w:id="253"/>
      <w:r>
        <w:rPr>
          <w:rFonts w:hint="eastAsia"/>
        </w:rPr>
        <w:t>，</w:t>
      </w:r>
      <w:r>
        <w:t>表明区域土壤环境质量良好</w:t>
      </w:r>
      <w:r>
        <w:rPr>
          <w:rFonts w:hint="eastAsia"/>
        </w:rPr>
        <w:t>。</w:t>
      </w:r>
    </w:p>
    <w:p w14:paraId="1D3ECF26">
      <w:pPr>
        <w:pStyle w:val="4"/>
      </w:pPr>
      <w:bookmarkStart w:id="254" w:name="_Toc176105867"/>
      <w:r>
        <w:t>区域污染源调查</w:t>
      </w:r>
      <w:bookmarkEnd w:id="250"/>
      <w:bookmarkEnd w:id="251"/>
      <w:bookmarkEnd w:id="252"/>
      <w:bookmarkEnd w:id="254"/>
    </w:p>
    <w:p w14:paraId="0041D704">
      <w:pPr>
        <w:ind w:firstLine="480"/>
      </w:pPr>
      <w:r>
        <w:t>经调查，评价区域主要相关污染源排放情况见下表。</w:t>
      </w:r>
      <w:bookmarkStart w:id="255" w:name="_Ref113460813"/>
    </w:p>
    <w:p w14:paraId="1D3ECF28">
      <w:pPr>
        <w:ind w:firstLine="480"/>
        <w:rPr>
          <w:rFonts w:eastAsia="黑体"/>
        </w:rPr>
      </w:pPr>
      <w:r>
        <w:rPr>
          <w:rFonts w:eastAsia="黑体"/>
        </w:rPr>
        <w:t>表</w:t>
      </w:r>
      <w:r>
        <w:rPr>
          <w:rFonts w:eastAsia="黑体"/>
        </w:rPr>
        <w:fldChar w:fldCharType="begin"/>
      </w:r>
      <w:r>
        <w:rPr>
          <w:rFonts w:eastAsia="黑体"/>
        </w:rPr>
        <w:instrText xml:space="preserve"> STYLEREF 1 \s </w:instrText>
      </w:r>
      <w:r>
        <w:rPr>
          <w:rFonts w:eastAsia="黑体"/>
        </w:rPr>
        <w:fldChar w:fldCharType="separate"/>
      </w:r>
      <w:r>
        <w:rPr>
          <w:rFonts w:eastAsia="黑体"/>
        </w:rPr>
        <w:t>4</w:t>
      </w:r>
      <w:r>
        <w:rPr>
          <w:rFonts w:eastAsia="黑体"/>
        </w:rPr>
        <w:fldChar w:fldCharType="end"/>
      </w:r>
      <w:r>
        <w:rPr>
          <w:rFonts w:eastAsia="黑体"/>
        </w:rPr>
        <w:t>.4-1        区域内主要工业企业污染物排放一览表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981"/>
        <w:gridCol w:w="1137"/>
        <w:gridCol w:w="832"/>
        <w:gridCol w:w="831"/>
        <w:gridCol w:w="832"/>
        <w:gridCol w:w="831"/>
        <w:gridCol w:w="887"/>
      </w:tblGrid>
      <w:tr w14:paraId="68951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967" w:type="dxa"/>
            <w:vMerge w:val="restart"/>
            <w:vAlign w:val="center"/>
          </w:tcPr>
          <w:p w14:paraId="4EFD515D">
            <w:pPr>
              <w:spacing w:line="360" w:lineRule="exact"/>
              <w:ind w:firstLine="0" w:firstLineChars="0"/>
              <w:jc w:val="center"/>
              <w:rPr>
                <w:b/>
                <w:bCs/>
                <w:sz w:val="21"/>
                <w:szCs w:val="21"/>
              </w:rPr>
            </w:pPr>
            <w:r>
              <w:rPr>
                <w:b/>
                <w:bCs/>
                <w:sz w:val="21"/>
                <w:szCs w:val="21"/>
              </w:rPr>
              <w:t>企业名称</w:t>
            </w:r>
          </w:p>
        </w:tc>
        <w:tc>
          <w:tcPr>
            <w:tcW w:w="5325" w:type="dxa"/>
            <w:gridSpan w:val="6"/>
            <w:vAlign w:val="center"/>
          </w:tcPr>
          <w:p w14:paraId="67274528">
            <w:pPr>
              <w:spacing w:line="360" w:lineRule="exact"/>
              <w:ind w:firstLine="0" w:firstLineChars="0"/>
              <w:jc w:val="center"/>
              <w:rPr>
                <w:b/>
                <w:bCs/>
                <w:sz w:val="21"/>
                <w:szCs w:val="21"/>
              </w:rPr>
            </w:pPr>
            <w:r>
              <w:rPr>
                <w:b/>
                <w:bCs/>
                <w:sz w:val="21"/>
                <w:szCs w:val="21"/>
              </w:rPr>
              <w:t>污染物排放</w:t>
            </w:r>
          </w:p>
        </w:tc>
      </w:tr>
      <w:tr w14:paraId="66A82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967" w:type="dxa"/>
            <w:vMerge w:val="continue"/>
            <w:vAlign w:val="center"/>
          </w:tcPr>
          <w:p w14:paraId="39AECF4A">
            <w:pPr>
              <w:spacing w:line="360" w:lineRule="exact"/>
              <w:ind w:firstLine="0" w:firstLineChars="0"/>
              <w:jc w:val="center"/>
              <w:rPr>
                <w:b/>
                <w:bCs/>
                <w:sz w:val="21"/>
                <w:szCs w:val="21"/>
              </w:rPr>
            </w:pPr>
          </w:p>
        </w:tc>
        <w:tc>
          <w:tcPr>
            <w:tcW w:w="1132" w:type="dxa"/>
            <w:vAlign w:val="center"/>
          </w:tcPr>
          <w:p w14:paraId="02531411">
            <w:pPr>
              <w:spacing w:line="360" w:lineRule="exact"/>
              <w:ind w:firstLine="0" w:firstLineChars="0"/>
              <w:jc w:val="center"/>
              <w:rPr>
                <w:b/>
                <w:bCs/>
                <w:sz w:val="21"/>
                <w:szCs w:val="21"/>
              </w:rPr>
            </w:pPr>
            <w:r>
              <w:rPr>
                <w:b/>
                <w:bCs/>
                <w:sz w:val="21"/>
                <w:szCs w:val="21"/>
              </w:rPr>
              <w:t>VOCs</w:t>
            </w:r>
          </w:p>
        </w:tc>
        <w:tc>
          <w:tcPr>
            <w:tcW w:w="828" w:type="dxa"/>
            <w:vAlign w:val="center"/>
          </w:tcPr>
          <w:p w14:paraId="48357CE8">
            <w:pPr>
              <w:spacing w:line="360" w:lineRule="exact"/>
              <w:ind w:firstLine="0" w:firstLineChars="0"/>
              <w:jc w:val="center"/>
              <w:rPr>
                <w:b/>
                <w:bCs/>
                <w:sz w:val="21"/>
                <w:szCs w:val="21"/>
              </w:rPr>
            </w:pPr>
            <w:r>
              <w:rPr>
                <w:b/>
                <w:bCs/>
                <w:sz w:val="21"/>
                <w:szCs w:val="21"/>
              </w:rPr>
              <w:t>颗粒物</w:t>
            </w:r>
          </w:p>
        </w:tc>
        <w:tc>
          <w:tcPr>
            <w:tcW w:w="827" w:type="dxa"/>
            <w:vAlign w:val="center"/>
          </w:tcPr>
          <w:p w14:paraId="4705BAFB">
            <w:pPr>
              <w:spacing w:line="360" w:lineRule="exact"/>
              <w:ind w:firstLine="0" w:firstLineChars="0"/>
              <w:jc w:val="center"/>
              <w:rPr>
                <w:b/>
                <w:bCs/>
                <w:sz w:val="21"/>
                <w:szCs w:val="21"/>
              </w:rPr>
            </w:pPr>
            <w:r>
              <w:rPr>
                <w:b/>
                <w:bCs/>
                <w:sz w:val="21"/>
                <w:szCs w:val="21"/>
              </w:rPr>
              <w:t>SO</w:t>
            </w:r>
            <w:r>
              <w:rPr>
                <w:b/>
                <w:bCs/>
                <w:sz w:val="21"/>
                <w:szCs w:val="21"/>
                <w:vertAlign w:val="subscript"/>
              </w:rPr>
              <w:t>2</w:t>
            </w:r>
          </w:p>
        </w:tc>
        <w:tc>
          <w:tcPr>
            <w:tcW w:w="828" w:type="dxa"/>
            <w:vAlign w:val="center"/>
          </w:tcPr>
          <w:p w14:paraId="41E312D7">
            <w:pPr>
              <w:spacing w:line="360" w:lineRule="exact"/>
              <w:ind w:firstLine="0" w:firstLineChars="0"/>
              <w:jc w:val="center"/>
              <w:rPr>
                <w:b/>
                <w:bCs/>
                <w:sz w:val="21"/>
                <w:szCs w:val="21"/>
              </w:rPr>
            </w:pPr>
            <w:r>
              <w:rPr>
                <w:b/>
                <w:bCs/>
                <w:sz w:val="21"/>
                <w:szCs w:val="21"/>
              </w:rPr>
              <w:t>NOx</w:t>
            </w:r>
          </w:p>
        </w:tc>
        <w:tc>
          <w:tcPr>
            <w:tcW w:w="827" w:type="dxa"/>
            <w:vAlign w:val="center"/>
          </w:tcPr>
          <w:p w14:paraId="3F568BE9">
            <w:pPr>
              <w:spacing w:line="360" w:lineRule="exact"/>
              <w:ind w:firstLine="0" w:firstLineChars="0"/>
              <w:jc w:val="center"/>
              <w:rPr>
                <w:b/>
                <w:bCs/>
                <w:sz w:val="21"/>
                <w:szCs w:val="21"/>
              </w:rPr>
            </w:pPr>
            <w:r>
              <w:rPr>
                <w:b/>
                <w:bCs/>
                <w:sz w:val="21"/>
                <w:szCs w:val="21"/>
              </w:rPr>
              <w:t>COD</w:t>
            </w:r>
          </w:p>
        </w:tc>
        <w:tc>
          <w:tcPr>
            <w:tcW w:w="883" w:type="dxa"/>
            <w:vAlign w:val="center"/>
          </w:tcPr>
          <w:p w14:paraId="76424042">
            <w:pPr>
              <w:spacing w:line="360" w:lineRule="exact"/>
              <w:ind w:firstLine="0" w:firstLineChars="0"/>
              <w:jc w:val="center"/>
              <w:rPr>
                <w:b/>
                <w:bCs/>
                <w:sz w:val="21"/>
                <w:szCs w:val="21"/>
              </w:rPr>
            </w:pPr>
            <w:r>
              <w:rPr>
                <w:b/>
                <w:bCs/>
                <w:sz w:val="21"/>
                <w:szCs w:val="21"/>
              </w:rPr>
              <w:t>NH</w:t>
            </w:r>
            <w:r>
              <w:rPr>
                <w:b/>
                <w:bCs/>
                <w:sz w:val="21"/>
                <w:szCs w:val="21"/>
                <w:vertAlign w:val="subscript"/>
              </w:rPr>
              <w:t>3</w:t>
            </w:r>
            <w:r>
              <w:rPr>
                <w:b/>
                <w:bCs/>
                <w:sz w:val="21"/>
                <w:szCs w:val="21"/>
              </w:rPr>
              <w:t>-N</w:t>
            </w:r>
          </w:p>
        </w:tc>
      </w:tr>
      <w:tr w14:paraId="29033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5B5E4C02">
            <w:pPr>
              <w:spacing w:line="360" w:lineRule="exact"/>
              <w:ind w:firstLine="0" w:firstLineChars="0"/>
              <w:jc w:val="center"/>
              <w:rPr>
                <w:sz w:val="21"/>
                <w:szCs w:val="21"/>
              </w:rPr>
            </w:pPr>
            <w:r>
              <w:rPr>
                <w:rFonts w:hint="eastAsia"/>
                <w:sz w:val="21"/>
                <w:szCs w:val="21"/>
              </w:rPr>
              <w:t>卫辉市豫北化工有限公司</w:t>
            </w:r>
          </w:p>
        </w:tc>
        <w:tc>
          <w:tcPr>
            <w:tcW w:w="1132" w:type="dxa"/>
            <w:vAlign w:val="center"/>
          </w:tcPr>
          <w:p w14:paraId="4B96D42C">
            <w:pPr>
              <w:spacing w:line="360" w:lineRule="exact"/>
              <w:ind w:firstLine="0" w:firstLineChars="0"/>
              <w:jc w:val="center"/>
              <w:rPr>
                <w:sz w:val="21"/>
                <w:szCs w:val="21"/>
              </w:rPr>
            </w:pPr>
            <w:r>
              <w:rPr>
                <w:rFonts w:hint="eastAsia"/>
                <w:sz w:val="21"/>
                <w:szCs w:val="21"/>
              </w:rPr>
              <w:t>/</w:t>
            </w:r>
          </w:p>
        </w:tc>
        <w:tc>
          <w:tcPr>
            <w:tcW w:w="828" w:type="dxa"/>
            <w:vAlign w:val="center"/>
          </w:tcPr>
          <w:p w14:paraId="745687F4">
            <w:pPr>
              <w:spacing w:line="360" w:lineRule="exact"/>
              <w:ind w:firstLine="0" w:firstLineChars="0"/>
              <w:jc w:val="center"/>
              <w:rPr>
                <w:sz w:val="21"/>
                <w:szCs w:val="21"/>
              </w:rPr>
            </w:pPr>
            <w:r>
              <w:rPr>
                <w:rFonts w:hint="eastAsia"/>
                <w:sz w:val="21"/>
                <w:szCs w:val="21"/>
              </w:rPr>
              <w:t>65.036</w:t>
            </w:r>
          </w:p>
        </w:tc>
        <w:tc>
          <w:tcPr>
            <w:tcW w:w="827" w:type="dxa"/>
            <w:vAlign w:val="center"/>
          </w:tcPr>
          <w:p w14:paraId="36AA9207">
            <w:pPr>
              <w:spacing w:line="360" w:lineRule="exact"/>
              <w:ind w:firstLine="0" w:firstLineChars="0"/>
              <w:jc w:val="center"/>
              <w:rPr>
                <w:sz w:val="21"/>
                <w:szCs w:val="21"/>
              </w:rPr>
            </w:pPr>
            <w:r>
              <w:rPr>
                <w:rFonts w:hint="eastAsia"/>
                <w:sz w:val="21"/>
                <w:szCs w:val="21"/>
              </w:rPr>
              <w:t>226.456</w:t>
            </w:r>
          </w:p>
        </w:tc>
        <w:tc>
          <w:tcPr>
            <w:tcW w:w="828" w:type="dxa"/>
            <w:vAlign w:val="center"/>
          </w:tcPr>
          <w:p w14:paraId="48B0F015">
            <w:pPr>
              <w:spacing w:line="360" w:lineRule="exact"/>
              <w:ind w:firstLine="0" w:firstLineChars="0"/>
              <w:jc w:val="center"/>
              <w:rPr>
                <w:sz w:val="21"/>
                <w:szCs w:val="21"/>
              </w:rPr>
            </w:pPr>
            <w:r>
              <w:rPr>
                <w:rFonts w:hint="eastAsia"/>
                <w:sz w:val="21"/>
                <w:szCs w:val="21"/>
              </w:rPr>
              <w:t>361.33</w:t>
            </w:r>
          </w:p>
        </w:tc>
        <w:tc>
          <w:tcPr>
            <w:tcW w:w="827" w:type="dxa"/>
            <w:vAlign w:val="center"/>
          </w:tcPr>
          <w:p w14:paraId="46F731CA">
            <w:pPr>
              <w:spacing w:line="360" w:lineRule="exact"/>
              <w:ind w:firstLine="0" w:firstLineChars="0"/>
              <w:jc w:val="center"/>
              <w:rPr>
                <w:sz w:val="21"/>
                <w:szCs w:val="21"/>
              </w:rPr>
            </w:pPr>
            <w:r>
              <w:rPr>
                <w:rFonts w:hint="eastAsia"/>
                <w:sz w:val="21"/>
                <w:szCs w:val="21"/>
              </w:rPr>
              <w:t>66.6</w:t>
            </w:r>
          </w:p>
        </w:tc>
        <w:tc>
          <w:tcPr>
            <w:tcW w:w="883" w:type="dxa"/>
            <w:vAlign w:val="center"/>
          </w:tcPr>
          <w:p w14:paraId="143DFC42">
            <w:pPr>
              <w:spacing w:line="360" w:lineRule="exact"/>
              <w:ind w:firstLine="0" w:firstLineChars="0"/>
              <w:jc w:val="center"/>
              <w:rPr>
                <w:sz w:val="21"/>
                <w:szCs w:val="21"/>
              </w:rPr>
            </w:pPr>
            <w:r>
              <w:rPr>
                <w:rFonts w:hint="eastAsia"/>
                <w:sz w:val="21"/>
                <w:szCs w:val="21"/>
              </w:rPr>
              <w:t>19.98</w:t>
            </w:r>
          </w:p>
        </w:tc>
      </w:tr>
      <w:tr w14:paraId="6158F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7C3C9F3A">
            <w:pPr>
              <w:spacing w:line="360" w:lineRule="exact"/>
              <w:ind w:firstLine="0" w:firstLineChars="0"/>
              <w:jc w:val="center"/>
              <w:rPr>
                <w:sz w:val="21"/>
                <w:szCs w:val="21"/>
              </w:rPr>
            </w:pPr>
            <w:r>
              <w:rPr>
                <w:rFonts w:hint="eastAsia"/>
                <w:sz w:val="21"/>
                <w:szCs w:val="21"/>
              </w:rPr>
              <w:t>卫辉市康迪粉业有限公司</w:t>
            </w:r>
          </w:p>
        </w:tc>
        <w:tc>
          <w:tcPr>
            <w:tcW w:w="1132" w:type="dxa"/>
            <w:vAlign w:val="center"/>
          </w:tcPr>
          <w:p w14:paraId="3CB56C1B">
            <w:pPr>
              <w:spacing w:line="360" w:lineRule="exact"/>
              <w:ind w:firstLine="0" w:firstLineChars="0"/>
              <w:jc w:val="center"/>
              <w:rPr>
                <w:sz w:val="21"/>
                <w:szCs w:val="21"/>
              </w:rPr>
            </w:pPr>
            <w:r>
              <w:rPr>
                <w:rFonts w:hint="eastAsia"/>
                <w:sz w:val="21"/>
                <w:szCs w:val="21"/>
              </w:rPr>
              <w:t>/</w:t>
            </w:r>
          </w:p>
        </w:tc>
        <w:tc>
          <w:tcPr>
            <w:tcW w:w="828" w:type="dxa"/>
            <w:vAlign w:val="center"/>
          </w:tcPr>
          <w:p w14:paraId="1701215A">
            <w:pPr>
              <w:spacing w:line="360" w:lineRule="exact"/>
              <w:ind w:firstLine="0" w:firstLineChars="0"/>
              <w:jc w:val="center"/>
              <w:rPr>
                <w:sz w:val="21"/>
                <w:szCs w:val="21"/>
              </w:rPr>
            </w:pPr>
            <w:r>
              <w:rPr>
                <w:rFonts w:hint="eastAsia"/>
                <w:sz w:val="21"/>
                <w:szCs w:val="21"/>
              </w:rPr>
              <w:t>22.2759</w:t>
            </w:r>
          </w:p>
        </w:tc>
        <w:tc>
          <w:tcPr>
            <w:tcW w:w="827" w:type="dxa"/>
            <w:vAlign w:val="center"/>
          </w:tcPr>
          <w:p w14:paraId="21692F7F">
            <w:pPr>
              <w:spacing w:line="360" w:lineRule="exact"/>
              <w:ind w:firstLine="0" w:firstLineChars="0"/>
              <w:jc w:val="center"/>
              <w:rPr>
                <w:sz w:val="21"/>
                <w:szCs w:val="21"/>
              </w:rPr>
            </w:pPr>
            <w:r>
              <w:rPr>
                <w:rFonts w:hint="eastAsia"/>
                <w:sz w:val="21"/>
                <w:szCs w:val="21"/>
              </w:rPr>
              <w:t>102.08</w:t>
            </w:r>
          </w:p>
        </w:tc>
        <w:tc>
          <w:tcPr>
            <w:tcW w:w="828" w:type="dxa"/>
            <w:vAlign w:val="center"/>
          </w:tcPr>
          <w:p w14:paraId="5B4FDEA5">
            <w:pPr>
              <w:spacing w:line="360" w:lineRule="exact"/>
              <w:ind w:firstLine="0" w:firstLineChars="0"/>
              <w:jc w:val="center"/>
              <w:rPr>
                <w:sz w:val="21"/>
                <w:szCs w:val="21"/>
              </w:rPr>
            </w:pPr>
            <w:r>
              <w:rPr>
                <w:rFonts w:hint="eastAsia"/>
                <w:sz w:val="21"/>
                <w:szCs w:val="21"/>
              </w:rPr>
              <w:t>127</w:t>
            </w:r>
          </w:p>
        </w:tc>
        <w:tc>
          <w:tcPr>
            <w:tcW w:w="827" w:type="dxa"/>
            <w:vAlign w:val="center"/>
          </w:tcPr>
          <w:p w14:paraId="221D5309">
            <w:pPr>
              <w:spacing w:line="360" w:lineRule="exact"/>
              <w:ind w:firstLine="0" w:firstLineChars="0"/>
              <w:jc w:val="center"/>
              <w:rPr>
                <w:sz w:val="21"/>
                <w:szCs w:val="21"/>
              </w:rPr>
            </w:pPr>
            <w:r>
              <w:rPr>
                <w:rFonts w:hint="eastAsia"/>
                <w:sz w:val="21"/>
                <w:szCs w:val="21"/>
              </w:rPr>
              <w:t>58.32</w:t>
            </w:r>
          </w:p>
        </w:tc>
        <w:tc>
          <w:tcPr>
            <w:tcW w:w="883" w:type="dxa"/>
            <w:vAlign w:val="center"/>
          </w:tcPr>
          <w:p w14:paraId="5A0733BE">
            <w:pPr>
              <w:spacing w:line="360" w:lineRule="exact"/>
              <w:ind w:firstLine="0" w:firstLineChars="0"/>
              <w:jc w:val="center"/>
              <w:rPr>
                <w:sz w:val="21"/>
                <w:szCs w:val="21"/>
              </w:rPr>
            </w:pPr>
            <w:r>
              <w:rPr>
                <w:rFonts w:hint="eastAsia"/>
                <w:sz w:val="21"/>
                <w:szCs w:val="21"/>
              </w:rPr>
              <w:t>5.9388</w:t>
            </w:r>
          </w:p>
        </w:tc>
      </w:tr>
      <w:tr w14:paraId="79D10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2D3130D7">
            <w:pPr>
              <w:spacing w:line="360" w:lineRule="exact"/>
              <w:ind w:firstLine="0" w:firstLineChars="0"/>
              <w:jc w:val="center"/>
              <w:rPr>
                <w:sz w:val="21"/>
                <w:szCs w:val="21"/>
              </w:rPr>
            </w:pPr>
            <w:r>
              <w:rPr>
                <w:rFonts w:hint="eastAsia"/>
                <w:sz w:val="21"/>
                <w:szCs w:val="21"/>
              </w:rPr>
              <w:t>新乡市海兴金属制品有限公司</w:t>
            </w:r>
          </w:p>
        </w:tc>
        <w:tc>
          <w:tcPr>
            <w:tcW w:w="1132" w:type="dxa"/>
            <w:vAlign w:val="center"/>
          </w:tcPr>
          <w:p w14:paraId="532B7654">
            <w:pPr>
              <w:spacing w:line="360" w:lineRule="exact"/>
              <w:ind w:firstLine="0" w:firstLineChars="0"/>
              <w:jc w:val="center"/>
              <w:rPr>
                <w:sz w:val="21"/>
                <w:szCs w:val="21"/>
              </w:rPr>
            </w:pPr>
            <w:r>
              <w:rPr>
                <w:rFonts w:hint="eastAsia"/>
                <w:sz w:val="21"/>
                <w:szCs w:val="21"/>
              </w:rPr>
              <w:t>/</w:t>
            </w:r>
          </w:p>
        </w:tc>
        <w:tc>
          <w:tcPr>
            <w:tcW w:w="828" w:type="dxa"/>
            <w:vAlign w:val="center"/>
          </w:tcPr>
          <w:p w14:paraId="456766A2">
            <w:pPr>
              <w:spacing w:line="360" w:lineRule="exact"/>
              <w:ind w:firstLine="0" w:firstLineChars="0"/>
              <w:jc w:val="center"/>
              <w:rPr>
                <w:sz w:val="21"/>
                <w:szCs w:val="21"/>
              </w:rPr>
            </w:pPr>
            <w:r>
              <w:rPr>
                <w:rFonts w:hint="eastAsia"/>
                <w:sz w:val="21"/>
                <w:szCs w:val="21"/>
              </w:rPr>
              <w:t>/</w:t>
            </w:r>
          </w:p>
        </w:tc>
        <w:tc>
          <w:tcPr>
            <w:tcW w:w="827" w:type="dxa"/>
            <w:vAlign w:val="center"/>
          </w:tcPr>
          <w:p w14:paraId="2AD920D5">
            <w:pPr>
              <w:spacing w:line="360" w:lineRule="exact"/>
              <w:ind w:firstLine="0" w:firstLineChars="0"/>
              <w:jc w:val="center"/>
              <w:rPr>
                <w:sz w:val="21"/>
                <w:szCs w:val="21"/>
              </w:rPr>
            </w:pPr>
            <w:r>
              <w:rPr>
                <w:rFonts w:hint="eastAsia"/>
                <w:sz w:val="21"/>
                <w:szCs w:val="21"/>
              </w:rPr>
              <w:t>/</w:t>
            </w:r>
          </w:p>
        </w:tc>
        <w:tc>
          <w:tcPr>
            <w:tcW w:w="828" w:type="dxa"/>
            <w:vAlign w:val="center"/>
          </w:tcPr>
          <w:p w14:paraId="66CD45E5">
            <w:pPr>
              <w:spacing w:line="360" w:lineRule="exact"/>
              <w:ind w:firstLine="0" w:firstLineChars="0"/>
              <w:jc w:val="center"/>
              <w:rPr>
                <w:sz w:val="21"/>
                <w:szCs w:val="21"/>
              </w:rPr>
            </w:pPr>
            <w:r>
              <w:rPr>
                <w:rFonts w:hint="eastAsia"/>
                <w:sz w:val="21"/>
                <w:szCs w:val="21"/>
              </w:rPr>
              <w:t>/</w:t>
            </w:r>
          </w:p>
        </w:tc>
        <w:tc>
          <w:tcPr>
            <w:tcW w:w="827" w:type="dxa"/>
            <w:vAlign w:val="center"/>
          </w:tcPr>
          <w:p w14:paraId="6BFF5D12">
            <w:pPr>
              <w:spacing w:line="360" w:lineRule="exact"/>
              <w:ind w:firstLine="0" w:firstLineChars="0"/>
              <w:jc w:val="center"/>
              <w:rPr>
                <w:sz w:val="21"/>
                <w:szCs w:val="21"/>
              </w:rPr>
            </w:pPr>
            <w:r>
              <w:rPr>
                <w:rFonts w:hint="eastAsia"/>
                <w:sz w:val="21"/>
                <w:szCs w:val="21"/>
              </w:rPr>
              <w:t>/</w:t>
            </w:r>
          </w:p>
        </w:tc>
        <w:tc>
          <w:tcPr>
            <w:tcW w:w="883" w:type="dxa"/>
            <w:vAlign w:val="center"/>
          </w:tcPr>
          <w:p w14:paraId="3EA2778C">
            <w:pPr>
              <w:spacing w:line="360" w:lineRule="exact"/>
              <w:ind w:firstLine="0" w:firstLineChars="0"/>
              <w:jc w:val="center"/>
              <w:rPr>
                <w:sz w:val="21"/>
                <w:szCs w:val="21"/>
              </w:rPr>
            </w:pPr>
            <w:r>
              <w:rPr>
                <w:rFonts w:hint="eastAsia"/>
                <w:sz w:val="21"/>
                <w:szCs w:val="21"/>
              </w:rPr>
              <w:t>/</w:t>
            </w:r>
          </w:p>
        </w:tc>
      </w:tr>
      <w:tr w14:paraId="61093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24BAD595">
            <w:pPr>
              <w:spacing w:line="360" w:lineRule="exact"/>
              <w:ind w:firstLine="0" w:firstLineChars="0"/>
              <w:jc w:val="center"/>
              <w:rPr>
                <w:sz w:val="21"/>
                <w:szCs w:val="21"/>
              </w:rPr>
            </w:pPr>
            <w:r>
              <w:rPr>
                <w:rFonts w:hint="eastAsia"/>
                <w:sz w:val="21"/>
                <w:szCs w:val="21"/>
              </w:rPr>
              <w:t>新乡市金光实业有限公司</w:t>
            </w:r>
          </w:p>
          <w:p w14:paraId="6220B10C">
            <w:pPr>
              <w:spacing w:line="360" w:lineRule="exact"/>
              <w:ind w:firstLine="0" w:firstLineChars="0"/>
              <w:jc w:val="center"/>
              <w:rPr>
                <w:sz w:val="21"/>
                <w:szCs w:val="21"/>
              </w:rPr>
            </w:pPr>
            <w:r>
              <w:rPr>
                <w:rFonts w:hint="eastAsia"/>
                <w:sz w:val="21"/>
                <w:szCs w:val="21"/>
              </w:rPr>
              <w:t>卫辉分公司</w:t>
            </w:r>
          </w:p>
        </w:tc>
        <w:tc>
          <w:tcPr>
            <w:tcW w:w="1132" w:type="dxa"/>
            <w:vAlign w:val="center"/>
          </w:tcPr>
          <w:p w14:paraId="1B34F500">
            <w:pPr>
              <w:spacing w:line="360" w:lineRule="exact"/>
              <w:ind w:firstLine="0" w:firstLineChars="0"/>
              <w:jc w:val="center"/>
              <w:rPr>
                <w:sz w:val="21"/>
                <w:szCs w:val="21"/>
              </w:rPr>
            </w:pPr>
            <w:r>
              <w:rPr>
                <w:rFonts w:hint="eastAsia"/>
                <w:sz w:val="21"/>
                <w:szCs w:val="21"/>
              </w:rPr>
              <w:t>/</w:t>
            </w:r>
          </w:p>
        </w:tc>
        <w:tc>
          <w:tcPr>
            <w:tcW w:w="828" w:type="dxa"/>
            <w:vAlign w:val="center"/>
          </w:tcPr>
          <w:p w14:paraId="59A7BA18">
            <w:pPr>
              <w:spacing w:line="360" w:lineRule="exact"/>
              <w:ind w:firstLine="0" w:firstLineChars="0"/>
              <w:jc w:val="center"/>
              <w:rPr>
                <w:sz w:val="21"/>
                <w:szCs w:val="21"/>
              </w:rPr>
            </w:pPr>
            <w:r>
              <w:rPr>
                <w:rFonts w:hint="eastAsia"/>
                <w:sz w:val="21"/>
                <w:szCs w:val="21"/>
              </w:rPr>
              <w:t>9.75</w:t>
            </w:r>
          </w:p>
        </w:tc>
        <w:tc>
          <w:tcPr>
            <w:tcW w:w="827" w:type="dxa"/>
            <w:vAlign w:val="center"/>
          </w:tcPr>
          <w:p w14:paraId="129B144C">
            <w:pPr>
              <w:spacing w:line="360" w:lineRule="exact"/>
              <w:ind w:firstLine="0" w:firstLineChars="0"/>
              <w:jc w:val="center"/>
              <w:rPr>
                <w:sz w:val="21"/>
                <w:szCs w:val="21"/>
              </w:rPr>
            </w:pPr>
            <w:r>
              <w:rPr>
                <w:rFonts w:hint="eastAsia"/>
                <w:sz w:val="21"/>
                <w:szCs w:val="21"/>
              </w:rPr>
              <w:t>/</w:t>
            </w:r>
          </w:p>
        </w:tc>
        <w:tc>
          <w:tcPr>
            <w:tcW w:w="828" w:type="dxa"/>
            <w:vAlign w:val="center"/>
          </w:tcPr>
          <w:p w14:paraId="62665876">
            <w:pPr>
              <w:spacing w:line="360" w:lineRule="exact"/>
              <w:ind w:firstLine="0" w:firstLineChars="0"/>
              <w:jc w:val="center"/>
              <w:rPr>
                <w:sz w:val="21"/>
                <w:szCs w:val="21"/>
              </w:rPr>
            </w:pPr>
            <w:r>
              <w:rPr>
                <w:rFonts w:hint="eastAsia"/>
                <w:sz w:val="21"/>
                <w:szCs w:val="21"/>
              </w:rPr>
              <w:t>/</w:t>
            </w:r>
          </w:p>
        </w:tc>
        <w:tc>
          <w:tcPr>
            <w:tcW w:w="827" w:type="dxa"/>
            <w:vAlign w:val="center"/>
          </w:tcPr>
          <w:p w14:paraId="0B5C9132">
            <w:pPr>
              <w:spacing w:line="360" w:lineRule="exact"/>
              <w:ind w:firstLine="0" w:firstLineChars="0"/>
              <w:jc w:val="center"/>
              <w:rPr>
                <w:sz w:val="21"/>
                <w:szCs w:val="21"/>
              </w:rPr>
            </w:pPr>
            <w:r>
              <w:rPr>
                <w:rFonts w:hint="eastAsia"/>
                <w:sz w:val="21"/>
                <w:szCs w:val="21"/>
              </w:rPr>
              <w:t>/</w:t>
            </w:r>
          </w:p>
        </w:tc>
        <w:tc>
          <w:tcPr>
            <w:tcW w:w="883" w:type="dxa"/>
            <w:vAlign w:val="center"/>
          </w:tcPr>
          <w:p w14:paraId="793AD4F9">
            <w:pPr>
              <w:spacing w:line="360" w:lineRule="exact"/>
              <w:ind w:firstLine="0" w:firstLineChars="0"/>
              <w:jc w:val="center"/>
              <w:rPr>
                <w:sz w:val="21"/>
                <w:szCs w:val="21"/>
              </w:rPr>
            </w:pPr>
            <w:r>
              <w:rPr>
                <w:rFonts w:hint="eastAsia"/>
                <w:sz w:val="21"/>
                <w:szCs w:val="21"/>
              </w:rPr>
              <w:t>/</w:t>
            </w:r>
          </w:p>
        </w:tc>
      </w:tr>
      <w:tr w14:paraId="1D680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3A4D13D2">
            <w:pPr>
              <w:spacing w:line="360" w:lineRule="exact"/>
              <w:ind w:firstLine="0" w:firstLineChars="0"/>
              <w:jc w:val="center"/>
              <w:rPr>
                <w:sz w:val="21"/>
                <w:szCs w:val="21"/>
              </w:rPr>
            </w:pPr>
            <w:r>
              <w:rPr>
                <w:rFonts w:hint="eastAsia"/>
                <w:sz w:val="21"/>
                <w:szCs w:val="21"/>
              </w:rPr>
              <w:t>新乡市太行水泥粉磨有限公司</w:t>
            </w:r>
          </w:p>
        </w:tc>
        <w:tc>
          <w:tcPr>
            <w:tcW w:w="1132" w:type="dxa"/>
            <w:vAlign w:val="center"/>
          </w:tcPr>
          <w:p w14:paraId="39FE2A85">
            <w:pPr>
              <w:spacing w:line="360" w:lineRule="exact"/>
              <w:ind w:firstLine="0" w:firstLineChars="0"/>
              <w:jc w:val="center"/>
              <w:rPr>
                <w:sz w:val="21"/>
                <w:szCs w:val="21"/>
              </w:rPr>
            </w:pPr>
            <w:r>
              <w:rPr>
                <w:rFonts w:hint="eastAsia"/>
                <w:sz w:val="21"/>
                <w:szCs w:val="21"/>
              </w:rPr>
              <w:t>/</w:t>
            </w:r>
          </w:p>
        </w:tc>
        <w:tc>
          <w:tcPr>
            <w:tcW w:w="828" w:type="dxa"/>
            <w:vAlign w:val="center"/>
          </w:tcPr>
          <w:p w14:paraId="66B1F1E0">
            <w:pPr>
              <w:spacing w:line="360" w:lineRule="exact"/>
              <w:ind w:firstLine="0" w:firstLineChars="0"/>
              <w:jc w:val="center"/>
              <w:rPr>
                <w:sz w:val="21"/>
                <w:szCs w:val="21"/>
              </w:rPr>
            </w:pPr>
            <w:r>
              <w:rPr>
                <w:rFonts w:hint="eastAsia"/>
                <w:sz w:val="21"/>
                <w:szCs w:val="21"/>
              </w:rPr>
              <w:t>0.8078</w:t>
            </w:r>
          </w:p>
        </w:tc>
        <w:tc>
          <w:tcPr>
            <w:tcW w:w="827" w:type="dxa"/>
            <w:vAlign w:val="center"/>
          </w:tcPr>
          <w:p w14:paraId="53991C1B">
            <w:pPr>
              <w:spacing w:line="360" w:lineRule="exact"/>
              <w:ind w:firstLine="0" w:firstLineChars="0"/>
              <w:jc w:val="center"/>
              <w:rPr>
                <w:sz w:val="21"/>
                <w:szCs w:val="21"/>
              </w:rPr>
            </w:pPr>
            <w:r>
              <w:rPr>
                <w:rFonts w:hint="eastAsia"/>
                <w:sz w:val="21"/>
                <w:szCs w:val="21"/>
              </w:rPr>
              <w:t>/</w:t>
            </w:r>
          </w:p>
        </w:tc>
        <w:tc>
          <w:tcPr>
            <w:tcW w:w="828" w:type="dxa"/>
            <w:vAlign w:val="center"/>
          </w:tcPr>
          <w:p w14:paraId="33D809B5">
            <w:pPr>
              <w:spacing w:line="360" w:lineRule="exact"/>
              <w:ind w:firstLine="0" w:firstLineChars="0"/>
              <w:jc w:val="center"/>
              <w:rPr>
                <w:sz w:val="21"/>
                <w:szCs w:val="21"/>
              </w:rPr>
            </w:pPr>
            <w:r>
              <w:rPr>
                <w:rFonts w:hint="eastAsia"/>
                <w:sz w:val="21"/>
                <w:szCs w:val="21"/>
              </w:rPr>
              <w:t>/</w:t>
            </w:r>
          </w:p>
        </w:tc>
        <w:tc>
          <w:tcPr>
            <w:tcW w:w="827" w:type="dxa"/>
            <w:vAlign w:val="center"/>
          </w:tcPr>
          <w:p w14:paraId="01F92CB0">
            <w:pPr>
              <w:spacing w:line="360" w:lineRule="exact"/>
              <w:ind w:firstLine="0" w:firstLineChars="0"/>
              <w:jc w:val="center"/>
              <w:rPr>
                <w:sz w:val="21"/>
                <w:szCs w:val="21"/>
              </w:rPr>
            </w:pPr>
            <w:r>
              <w:rPr>
                <w:rFonts w:hint="eastAsia"/>
                <w:sz w:val="21"/>
                <w:szCs w:val="21"/>
              </w:rPr>
              <w:t>/</w:t>
            </w:r>
          </w:p>
        </w:tc>
        <w:tc>
          <w:tcPr>
            <w:tcW w:w="883" w:type="dxa"/>
            <w:vAlign w:val="center"/>
          </w:tcPr>
          <w:p w14:paraId="4F341DCD">
            <w:pPr>
              <w:spacing w:line="360" w:lineRule="exact"/>
              <w:ind w:firstLine="0" w:firstLineChars="0"/>
              <w:jc w:val="center"/>
              <w:rPr>
                <w:sz w:val="21"/>
                <w:szCs w:val="21"/>
              </w:rPr>
            </w:pPr>
            <w:r>
              <w:rPr>
                <w:rFonts w:hint="eastAsia"/>
                <w:sz w:val="21"/>
                <w:szCs w:val="21"/>
              </w:rPr>
              <w:t>/</w:t>
            </w:r>
          </w:p>
        </w:tc>
      </w:tr>
      <w:tr w14:paraId="7F676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3BFB6B1C">
            <w:pPr>
              <w:spacing w:line="360" w:lineRule="exact"/>
              <w:ind w:firstLine="0" w:firstLineChars="0"/>
              <w:jc w:val="center"/>
              <w:rPr>
                <w:sz w:val="21"/>
                <w:szCs w:val="21"/>
              </w:rPr>
            </w:pPr>
            <w:r>
              <w:rPr>
                <w:rFonts w:hint="eastAsia"/>
                <w:sz w:val="21"/>
                <w:szCs w:val="21"/>
              </w:rPr>
              <w:t>卫辉市天意水泥有限公司</w:t>
            </w:r>
          </w:p>
        </w:tc>
        <w:tc>
          <w:tcPr>
            <w:tcW w:w="1132" w:type="dxa"/>
            <w:vAlign w:val="center"/>
          </w:tcPr>
          <w:p w14:paraId="3748F7E6">
            <w:pPr>
              <w:spacing w:line="360" w:lineRule="exact"/>
              <w:ind w:firstLine="0" w:firstLineChars="0"/>
              <w:jc w:val="center"/>
              <w:rPr>
                <w:sz w:val="21"/>
                <w:szCs w:val="21"/>
              </w:rPr>
            </w:pPr>
            <w:r>
              <w:rPr>
                <w:rFonts w:hint="eastAsia"/>
                <w:sz w:val="21"/>
                <w:szCs w:val="21"/>
              </w:rPr>
              <w:t>/</w:t>
            </w:r>
          </w:p>
        </w:tc>
        <w:tc>
          <w:tcPr>
            <w:tcW w:w="828" w:type="dxa"/>
            <w:vAlign w:val="center"/>
          </w:tcPr>
          <w:p w14:paraId="055B0D86">
            <w:pPr>
              <w:spacing w:line="360" w:lineRule="exact"/>
              <w:ind w:firstLine="0" w:firstLineChars="0"/>
              <w:jc w:val="center"/>
              <w:rPr>
                <w:sz w:val="21"/>
                <w:szCs w:val="21"/>
              </w:rPr>
            </w:pPr>
            <w:r>
              <w:rPr>
                <w:rFonts w:hint="eastAsia"/>
                <w:sz w:val="21"/>
                <w:szCs w:val="21"/>
              </w:rPr>
              <w:t>4.34</w:t>
            </w:r>
          </w:p>
        </w:tc>
        <w:tc>
          <w:tcPr>
            <w:tcW w:w="827" w:type="dxa"/>
            <w:vAlign w:val="center"/>
          </w:tcPr>
          <w:p w14:paraId="11226E6D">
            <w:pPr>
              <w:spacing w:line="360" w:lineRule="exact"/>
              <w:ind w:firstLine="0" w:firstLineChars="0"/>
              <w:jc w:val="center"/>
              <w:rPr>
                <w:sz w:val="21"/>
                <w:szCs w:val="21"/>
              </w:rPr>
            </w:pPr>
            <w:r>
              <w:rPr>
                <w:rFonts w:hint="eastAsia"/>
                <w:sz w:val="21"/>
                <w:szCs w:val="21"/>
              </w:rPr>
              <w:t>/</w:t>
            </w:r>
          </w:p>
        </w:tc>
        <w:tc>
          <w:tcPr>
            <w:tcW w:w="828" w:type="dxa"/>
            <w:vAlign w:val="center"/>
          </w:tcPr>
          <w:p w14:paraId="70F30D88">
            <w:pPr>
              <w:spacing w:line="360" w:lineRule="exact"/>
              <w:ind w:firstLine="0" w:firstLineChars="0"/>
              <w:jc w:val="center"/>
              <w:rPr>
                <w:sz w:val="21"/>
                <w:szCs w:val="21"/>
              </w:rPr>
            </w:pPr>
            <w:r>
              <w:rPr>
                <w:rFonts w:hint="eastAsia"/>
                <w:sz w:val="21"/>
                <w:szCs w:val="21"/>
              </w:rPr>
              <w:t>/</w:t>
            </w:r>
          </w:p>
        </w:tc>
        <w:tc>
          <w:tcPr>
            <w:tcW w:w="827" w:type="dxa"/>
            <w:vAlign w:val="center"/>
          </w:tcPr>
          <w:p w14:paraId="375B149D">
            <w:pPr>
              <w:spacing w:line="360" w:lineRule="exact"/>
              <w:ind w:firstLine="0" w:firstLineChars="0"/>
              <w:jc w:val="center"/>
              <w:rPr>
                <w:sz w:val="21"/>
                <w:szCs w:val="21"/>
              </w:rPr>
            </w:pPr>
            <w:r>
              <w:rPr>
                <w:rFonts w:hint="eastAsia"/>
                <w:sz w:val="21"/>
                <w:szCs w:val="21"/>
              </w:rPr>
              <w:t>/</w:t>
            </w:r>
          </w:p>
        </w:tc>
        <w:tc>
          <w:tcPr>
            <w:tcW w:w="883" w:type="dxa"/>
            <w:vAlign w:val="center"/>
          </w:tcPr>
          <w:p w14:paraId="3C32AEC4">
            <w:pPr>
              <w:spacing w:line="360" w:lineRule="exact"/>
              <w:ind w:firstLine="0" w:firstLineChars="0"/>
              <w:jc w:val="center"/>
              <w:rPr>
                <w:sz w:val="21"/>
                <w:szCs w:val="21"/>
              </w:rPr>
            </w:pPr>
            <w:r>
              <w:rPr>
                <w:rFonts w:hint="eastAsia"/>
                <w:sz w:val="21"/>
                <w:szCs w:val="21"/>
              </w:rPr>
              <w:t>/</w:t>
            </w:r>
          </w:p>
        </w:tc>
      </w:tr>
      <w:tr w14:paraId="1754D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3CBFFA51">
            <w:pPr>
              <w:spacing w:line="360" w:lineRule="exact"/>
              <w:ind w:firstLine="0" w:firstLineChars="0"/>
              <w:jc w:val="center"/>
              <w:rPr>
                <w:sz w:val="21"/>
                <w:szCs w:val="21"/>
              </w:rPr>
            </w:pPr>
            <w:r>
              <w:rPr>
                <w:rFonts w:hint="eastAsia"/>
                <w:sz w:val="21"/>
                <w:szCs w:val="21"/>
              </w:rPr>
              <w:t>新乡市天凤水泥有限公司</w:t>
            </w:r>
          </w:p>
        </w:tc>
        <w:tc>
          <w:tcPr>
            <w:tcW w:w="1132" w:type="dxa"/>
            <w:vAlign w:val="center"/>
          </w:tcPr>
          <w:p w14:paraId="2BF2CED1">
            <w:pPr>
              <w:spacing w:line="360" w:lineRule="exact"/>
              <w:ind w:firstLine="0" w:firstLineChars="0"/>
              <w:jc w:val="center"/>
              <w:rPr>
                <w:sz w:val="21"/>
                <w:szCs w:val="21"/>
              </w:rPr>
            </w:pPr>
            <w:r>
              <w:rPr>
                <w:rFonts w:hint="eastAsia"/>
                <w:sz w:val="21"/>
                <w:szCs w:val="21"/>
              </w:rPr>
              <w:t>/</w:t>
            </w:r>
          </w:p>
        </w:tc>
        <w:tc>
          <w:tcPr>
            <w:tcW w:w="828" w:type="dxa"/>
            <w:vAlign w:val="center"/>
          </w:tcPr>
          <w:p w14:paraId="1CF4F627">
            <w:pPr>
              <w:spacing w:line="360" w:lineRule="exact"/>
              <w:ind w:firstLine="0" w:firstLineChars="0"/>
              <w:jc w:val="center"/>
              <w:rPr>
                <w:sz w:val="21"/>
                <w:szCs w:val="21"/>
              </w:rPr>
            </w:pPr>
            <w:r>
              <w:rPr>
                <w:rFonts w:hint="eastAsia"/>
                <w:sz w:val="21"/>
                <w:szCs w:val="21"/>
              </w:rPr>
              <w:t>4.34</w:t>
            </w:r>
          </w:p>
        </w:tc>
        <w:tc>
          <w:tcPr>
            <w:tcW w:w="827" w:type="dxa"/>
            <w:vAlign w:val="center"/>
          </w:tcPr>
          <w:p w14:paraId="7C9401EB">
            <w:pPr>
              <w:spacing w:line="360" w:lineRule="exact"/>
              <w:ind w:firstLine="0" w:firstLineChars="0"/>
              <w:jc w:val="center"/>
              <w:rPr>
                <w:sz w:val="21"/>
                <w:szCs w:val="21"/>
              </w:rPr>
            </w:pPr>
            <w:r>
              <w:rPr>
                <w:rFonts w:hint="eastAsia"/>
                <w:sz w:val="21"/>
                <w:szCs w:val="21"/>
              </w:rPr>
              <w:t>/</w:t>
            </w:r>
          </w:p>
        </w:tc>
        <w:tc>
          <w:tcPr>
            <w:tcW w:w="828" w:type="dxa"/>
            <w:vAlign w:val="center"/>
          </w:tcPr>
          <w:p w14:paraId="551A86B6">
            <w:pPr>
              <w:spacing w:line="360" w:lineRule="exact"/>
              <w:ind w:firstLine="0" w:firstLineChars="0"/>
              <w:jc w:val="center"/>
              <w:rPr>
                <w:sz w:val="21"/>
                <w:szCs w:val="21"/>
              </w:rPr>
            </w:pPr>
            <w:r>
              <w:rPr>
                <w:rFonts w:hint="eastAsia"/>
                <w:sz w:val="21"/>
                <w:szCs w:val="21"/>
              </w:rPr>
              <w:t>/</w:t>
            </w:r>
          </w:p>
        </w:tc>
        <w:tc>
          <w:tcPr>
            <w:tcW w:w="827" w:type="dxa"/>
            <w:vAlign w:val="center"/>
          </w:tcPr>
          <w:p w14:paraId="75AED525">
            <w:pPr>
              <w:spacing w:line="360" w:lineRule="exact"/>
              <w:ind w:firstLine="0" w:firstLineChars="0"/>
              <w:jc w:val="center"/>
              <w:rPr>
                <w:sz w:val="21"/>
                <w:szCs w:val="21"/>
              </w:rPr>
            </w:pPr>
            <w:r>
              <w:rPr>
                <w:rFonts w:hint="eastAsia"/>
                <w:sz w:val="21"/>
                <w:szCs w:val="21"/>
              </w:rPr>
              <w:t>/</w:t>
            </w:r>
          </w:p>
        </w:tc>
        <w:tc>
          <w:tcPr>
            <w:tcW w:w="883" w:type="dxa"/>
            <w:vAlign w:val="center"/>
          </w:tcPr>
          <w:p w14:paraId="4F33F543">
            <w:pPr>
              <w:spacing w:line="360" w:lineRule="exact"/>
              <w:ind w:firstLine="0" w:firstLineChars="0"/>
              <w:jc w:val="center"/>
              <w:rPr>
                <w:sz w:val="21"/>
                <w:szCs w:val="21"/>
              </w:rPr>
            </w:pPr>
            <w:r>
              <w:rPr>
                <w:rFonts w:hint="eastAsia"/>
                <w:sz w:val="21"/>
                <w:szCs w:val="21"/>
              </w:rPr>
              <w:t>/</w:t>
            </w:r>
          </w:p>
        </w:tc>
      </w:tr>
      <w:tr w14:paraId="5F487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2D117C98">
            <w:pPr>
              <w:spacing w:line="360" w:lineRule="exact"/>
              <w:ind w:firstLine="0" w:firstLineChars="0"/>
              <w:jc w:val="center"/>
              <w:rPr>
                <w:sz w:val="21"/>
                <w:szCs w:val="21"/>
              </w:rPr>
            </w:pPr>
            <w:r>
              <w:rPr>
                <w:rFonts w:hint="eastAsia"/>
                <w:sz w:val="21"/>
                <w:szCs w:val="21"/>
              </w:rPr>
              <w:t>卫辉市卫唐矿粉有限公司</w:t>
            </w:r>
          </w:p>
        </w:tc>
        <w:tc>
          <w:tcPr>
            <w:tcW w:w="1132" w:type="dxa"/>
            <w:vAlign w:val="center"/>
          </w:tcPr>
          <w:p w14:paraId="12E59DED">
            <w:pPr>
              <w:spacing w:line="360" w:lineRule="exact"/>
              <w:ind w:firstLine="0" w:firstLineChars="0"/>
              <w:jc w:val="center"/>
              <w:rPr>
                <w:sz w:val="21"/>
                <w:szCs w:val="21"/>
              </w:rPr>
            </w:pPr>
            <w:r>
              <w:rPr>
                <w:rFonts w:hint="eastAsia"/>
                <w:sz w:val="21"/>
                <w:szCs w:val="21"/>
              </w:rPr>
              <w:t>/</w:t>
            </w:r>
          </w:p>
        </w:tc>
        <w:tc>
          <w:tcPr>
            <w:tcW w:w="828" w:type="dxa"/>
            <w:vAlign w:val="center"/>
          </w:tcPr>
          <w:p w14:paraId="0DE84440">
            <w:pPr>
              <w:spacing w:line="360" w:lineRule="exact"/>
              <w:ind w:firstLine="0" w:firstLineChars="0"/>
              <w:jc w:val="center"/>
              <w:rPr>
                <w:sz w:val="21"/>
                <w:szCs w:val="21"/>
              </w:rPr>
            </w:pPr>
            <w:r>
              <w:rPr>
                <w:rFonts w:hint="eastAsia"/>
                <w:sz w:val="21"/>
                <w:szCs w:val="21"/>
              </w:rPr>
              <w:t>0.5184</w:t>
            </w:r>
          </w:p>
        </w:tc>
        <w:tc>
          <w:tcPr>
            <w:tcW w:w="827" w:type="dxa"/>
            <w:vAlign w:val="center"/>
          </w:tcPr>
          <w:p w14:paraId="228EF2BD">
            <w:pPr>
              <w:spacing w:line="360" w:lineRule="exact"/>
              <w:ind w:firstLine="0" w:firstLineChars="0"/>
              <w:jc w:val="center"/>
              <w:rPr>
                <w:sz w:val="21"/>
                <w:szCs w:val="21"/>
              </w:rPr>
            </w:pPr>
            <w:r>
              <w:rPr>
                <w:rFonts w:hint="eastAsia"/>
                <w:sz w:val="21"/>
                <w:szCs w:val="21"/>
              </w:rPr>
              <w:t>0.0482</w:t>
            </w:r>
          </w:p>
        </w:tc>
        <w:tc>
          <w:tcPr>
            <w:tcW w:w="828" w:type="dxa"/>
            <w:vAlign w:val="center"/>
          </w:tcPr>
          <w:p w14:paraId="61030BEF">
            <w:pPr>
              <w:spacing w:line="360" w:lineRule="exact"/>
              <w:ind w:firstLine="0" w:firstLineChars="0"/>
              <w:jc w:val="center"/>
              <w:rPr>
                <w:sz w:val="21"/>
                <w:szCs w:val="21"/>
              </w:rPr>
            </w:pPr>
            <w:r>
              <w:rPr>
                <w:rFonts w:hint="eastAsia"/>
                <w:sz w:val="21"/>
                <w:szCs w:val="21"/>
              </w:rPr>
              <w:t>0.1683</w:t>
            </w:r>
          </w:p>
        </w:tc>
        <w:tc>
          <w:tcPr>
            <w:tcW w:w="827" w:type="dxa"/>
            <w:vAlign w:val="center"/>
          </w:tcPr>
          <w:p w14:paraId="4CEDB068">
            <w:pPr>
              <w:spacing w:line="360" w:lineRule="exact"/>
              <w:ind w:firstLine="0" w:firstLineChars="0"/>
              <w:jc w:val="center"/>
              <w:rPr>
                <w:sz w:val="21"/>
                <w:szCs w:val="21"/>
              </w:rPr>
            </w:pPr>
            <w:r>
              <w:rPr>
                <w:rFonts w:hint="eastAsia"/>
                <w:sz w:val="21"/>
                <w:szCs w:val="21"/>
              </w:rPr>
              <w:t>0.0685</w:t>
            </w:r>
          </w:p>
        </w:tc>
        <w:tc>
          <w:tcPr>
            <w:tcW w:w="883" w:type="dxa"/>
            <w:vAlign w:val="center"/>
          </w:tcPr>
          <w:p w14:paraId="559564CA">
            <w:pPr>
              <w:spacing w:line="360" w:lineRule="exact"/>
              <w:ind w:firstLine="0" w:firstLineChars="0"/>
              <w:jc w:val="center"/>
              <w:rPr>
                <w:sz w:val="21"/>
                <w:szCs w:val="21"/>
              </w:rPr>
            </w:pPr>
            <w:r>
              <w:rPr>
                <w:rFonts w:hint="eastAsia"/>
                <w:sz w:val="21"/>
                <w:szCs w:val="21"/>
              </w:rPr>
              <w:t>0.0058</w:t>
            </w:r>
          </w:p>
        </w:tc>
      </w:tr>
      <w:tr w14:paraId="558DC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7B508E2B">
            <w:pPr>
              <w:spacing w:line="360" w:lineRule="exact"/>
              <w:ind w:firstLine="0" w:firstLineChars="0"/>
              <w:jc w:val="center"/>
              <w:rPr>
                <w:snapToGrid w:val="0"/>
                <w:kern w:val="21"/>
                <w:sz w:val="21"/>
                <w:szCs w:val="21"/>
              </w:rPr>
            </w:pPr>
            <w:r>
              <w:rPr>
                <w:rFonts w:hint="eastAsia"/>
                <w:snapToGrid w:val="0"/>
                <w:kern w:val="21"/>
                <w:sz w:val="21"/>
                <w:szCs w:val="21"/>
              </w:rPr>
              <w:t>河南省拓农生物质新材料有限公司</w:t>
            </w:r>
          </w:p>
        </w:tc>
        <w:tc>
          <w:tcPr>
            <w:tcW w:w="1132" w:type="dxa"/>
            <w:vAlign w:val="center"/>
          </w:tcPr>
          <w:p w14:paraId="5C6AEFB2">
            <w:pPr>
              <w:spacing w:line="360" w:lineRule="exact"/>
              <w:ind w:firstLine="0" w:firstLineChars="0"/>
              <w:jc w:val="center"/>
              <w:rPr>
                <w:sz w:val="21"/>
                <w:szCs w:val="21"/>
              </w:rPr>
            </w:pPr>
            <w:r>
              <w:rPr>
                <w:rFonts w:hint="eastAsia"/>
                <w:sz w:val="21"/>
                <w:szCs w:val="21"/>
              </w:rPr>
              <w:t>/</w:t>
            </w:r>
          </w:p>
        </w:tc>
        <w:tc>
          <w:tcPr>
            <w:tcW w:w="828" w:type="dxa"/>
            <w:vAlign w:val="center"/>
          </w:tcPr>
          <w:p w14:paraId="0D7A650C">
            <w:pPr>
              <w:spacing w:line="360" w:lineRule="exact"/>
              <w:ind w:firstLine="0" w:firstLineChars="0"/>
              <w:jc w:val="center"/>
              <w:rPr>
                <w:sz w:val="21"/>
                <w:szCs w:val="21"/>
              </w:rPr>
            </w:pPr>
            <w:r>
              <w:rPr>
                <w:rFonts w:hint="eastAsia"/>
                <w:sz w:val="21"/>
                <w:szCs w:val="21"/>
              </w:rPr>
              <w:t>14.01</w:t>
            </w:r>
          </w:p>
        </w:tc>
        <w:tc>
          <w:tcPr>
            <w:tcW w:w="827" w:type="dxa"/>
            <w:vAlign w:val="center"/>
          </w:tcPr>
          <w:p w14:paraId="2B83279F">
            <w:pPr>
              <w:spacing w:line="360" w:lineRule="exact"/>
              <w:ind w:firstLine="0" w:firstLineChars="0"/>
              <w:jc w:val="center"/>
              <w:rPr>
                <w:sz w:val="21"/>
                <w:szCs w:val="21"/>
              </w:rPr>
            </w:pPr>
            <w:r>
              <w:rPr>
                <w:rFonts w:hint="eastAsia"/>
                <w:sz w:val="21"/>
                <w:szCs w:val="21"/>
              </w:rPr>
              <w:t>2.943</w:t>
            </w:r>
          </w:p>
        </w:tc>
        <w:tc>
          <w:tcPr>
            <w:tcW w:w="828" w:type="dxa"/>
            <w:vAlign w:val="center"/>
          </w:tcPr>
          <w:p w14:paraId="6193C352">
            <w:pPr>
              <w:spacing w:line="360" w:lineRule="exact"/>
              <w:ind w:firstLine="0" w:firstLineChars="0"/>
              <w:jc w:val="center"/>
              <w:rPr>
                <w:sz w:val="21"/>
                <w:szCs w:val="21"/>
              </w:rPr>
            </w:pPr>
            <w:r>
              <w:rPr>
                <w:rFonts w:hint="eastAsia"/>
                <w:sz w:val="21"/>
                <w:szCs w:val="21"/>
              </w:rPr>
              <w:t>13.281</w:t>
            </w:r>
          </w:p>
        </w:tc>
        <w:tc>
          <w:tcPr>
            <w:tcW w:w="827" w:type="dxa"/>
            <w:vAlign w:val="center"/>
          </w:tcPr>
          <w:p w14:paraId="7CB90258">
            <w:pPr>
              <w:spacing w:line="360" w:lineRule="exact"/>
              <w:ind w:firstLine="0" w:firstLineChars="0"/>
              <w:jc w:val="center"/>
              <w:rPr>
                <w:sz w:val="21"/>
                <w:szCs w:val="21"/>
              </w:rPr>
            </w:pPr>
            <w:r>
              <w:rPr>
                <w:rFonts w:hint="eastAsia"/>
                <w:sz w:val="21"/>
                <w:szCs w:val="21"/>
              </w:rPr>
              <w:t>/</w:t>
            </w:r>
          </w:p>
        </w:tc>
        <w:tc>
          <w:tcPr>
            <w:tcW w:w="883" w:type="dxa"/>
            <w:vAlign w:val="center"/>
          </w:tcPr>
          <w:p w14:paraId="609BD6D7">
            <w:pPr>
              <w:spacing w:line="360" w:lineRule="exact"/>
              <w:ind w:firstLine="0" w:firstLineChars="0"/>
              <w:jc w:val="center"/>
              <w:rPr>
                <w:sz w:val="21"/>
                <w:szCs w:val="21"/>
              </w:rPr>
            </w:pPr>
            <w:r>
              <w:rPr>
                <w:rFonts w:hint="eastAsia"/>
                <w:sz w:val="21"/>
                <w:szCs w:val="21"/>
              </w:rPr>
              <w:t>/</w:t>
            </w:r>
          </w:p>
        </w:tc>
      </w:tr>
      <w:tr w14:paraId="5F069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3C020D80">
            <w:pPr>
              <w:spacing w:line="360" w:lineRule="exact"/>
              <w:ind w:firstLine="0" w:firstLineChars="0"/>
              <w:jc w:val="center"/>
              <w:rPr>
                <w:snapToGrid w:val="0"/>
                <w:kern w:val="21"/>
                <w:sz w:val="21"/>
                <w:szCs w:val="21"/>
              </w:rPr>
            </w:pPr>
            <w:r>
              <w:rPr>
                <w:rFonts w:hint="eastAsia"/>
                <w:snapToGrid w:val="0"/>
                <w:kern w:val="21"/>
                <w:sz w:val="21"/>
                <w:szCs w:val="21"/>
              </w:rPr>
              <w:t>卫辉市新星工贸有限公司</w:t>
            </w:r>
          </w:p>
        </w:tc>
        <w:tc>
          <w:tcPr>
            <w:tcW w:w="1132" w:type="dxa"/>
            <w:vAlign w:val="center"/>
          </w:tcPr>
          <w:p w14:paraId="35CCC40A">
            <w:pPr>
              <w:spacing w:line="360" w:lineRule="exact"/>
              <w:ind w:firstLine="0" w:firstLineChars="0"/>
              <w:jc w:val="center"/>
              <w:rPr>
                <w:sz w:val="21"/>
                <w:szCs w:val="21"/>
              </w:rPr>
            </w:pPr>
            <w:r>
              <w:rPr>
                <w:rFonts w:hint="eastAsia"/>
                <w:sz w:val="21"/>
                <w:szCs w:val="21"/>
              </w:rPr>
              <w:t>/</w:t>
            </w:r>
          </w:p>
        </w:tc>
        <w:tc>
          <w:tcPr>
            <w:tcW w:w="828" w:type="dxa"/>
            <w:vAlign w:val="center"/>
          </w:tcPr>
          <w:p w14:paraId="0B8973A0">
            <w:pPr>
              <w:spacing w:line="360" w:lineRule="exact"/>
              <w:ind w:firstLine="0" w:firstLineChars="0"/>
              <w:jc w:val="center"/>
              <w:rPr>
                <w:sz w:val="21"/>
                <w:szCs w:val="21"/>
              </w:rPr>
            </w:pPr>
            <w:r>
              <w:rPr>
                <w:rFonts w:hint="eastAsia"/>
                <w:sz w:val="21"/>
                <w:szCs w:val="21"/>
              </w:rPr>
              <w:t>0.8279</w:t>
            </w:r>
          </w:p>
        </w:tc>
        <w:tc>
          <w:tcPr>
            <w:tcW w:w="827" w:type="dxa"/>
            <w:vAlign w:val="center"/>
          </w:tcPr>
          <w:p w14:paraId="3325793F">
            <w:pPr>
              <w:spacing w:line="360" w:lineRule="exact"/>
              <w:ind w:firstLine="0" w:firstLineChars="0"/>
              <w:jc w:val="center"/>
              <w:rPr>
                <w:sz w:val="21"/>
                <w:szCs w:val="21"/>
              </w:rPr>
            </w:pPr>
            <w:r>
              <w:rPr>
                <w:rFonts w:hint="eastAsia"/>
                <w:sz w:val="21"/>
                <w:szCs w:val="21"/>
              </w:rPr>
              <w:t>0.1357</w:t>
            </w:r>
          </w:p>
        </w:tc>
        <w:tc>
          <w:tcPr>
            <w:tcW w:w="828" w:type="dxa"/>
            <w:vAlign w:val="center"/>
          </w:tcPr>
          <w:p w14:paraId="3FA94199">
            <w:pPr>
              <w:spacing w:line="360" w:lineRule="exact"/>
              <w:ind w:firstLine="0" w:firstLineChars="0"/>
              <w:jc w:val="center"/>
              <w:rPr>
                <w:sz w:val="21"/>
                <w:szCs w:val="21"/>
              </w:rPr>
            </w:pPr>
            <w:r>
              <w:rPr>
                <w:rFonts w:hint="eastAsia"/>
                <w:sz w:val="21"/>
                <w:szCs w:val="21"/>
              </w:rPr>
              <w:t>0.4071</w:t>
            </w:r>
          </w:p>
        </w:tc>
        <w:tc>
          <w:tcPr>
            <w:tcW w:w="827" w:type="dxa"/>
            <w:vAlign w:val="center"/>
          </w:tcPr>
          <w:p w14:paraId="5B467102">
            <w:pPr>
              <w:spacing w:line="360" w:lineRule="exact"/>
              <w:ind w:firstLine="0" w:firstLineChars="0"/>
              <w:jc w:val="center"/>
              <w:rPr>
                <w:sz w:val="21"/>
                <w:szCs w:val="21"/>
              </w:rPr>
            </w:pPr>
            <w:r>
              <w:rPr>
                <w:rFonts w:hint="eastAsia"/>
                <w:sz w:val="21"/>
                <w:szCs w:val="21"/>
              </w:rPr>
              <w:t>/</w:t>
            </w:r>
          </w:p>
        </w:tc>
        <w:tc>
          <w:tcPr>
            <w:tcW w:w="883" w:type="dxa"/>
            <w:vAlign w:val="center"/>
          </w:tcPr>
          <w:p w14:paraId="386A3F2E">
            <w:pPr>
              <w:spacing w:line="360" w:lineRule="exact"/>
              <w:ind w:firstLine="0" w:firstLineChars="0"/>
              <w:jc w:val="center"/>
              <w:rPr>
                <w:sz w:val="21"/>
                <w:szCs w:val="21"/>
              </w:rPr>
            </w:pPr>
            <w:r>
              <w:rPr>
                <w:rFonts w:hint="eastAsia"/>
                <w:sz w:val="21"/>
                <w:szCs w:val="21"/>
              </w:rPr>
              <w:t>/</w:t>
            </w:r>
          </w:p>
        </w:tc>
      </w:tr>
      <w:tr w14:paraId="2BA76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1C1A33C7">
            <w:pPr>
              <w:spacing w:line="360" w:lineRule="exact"/>
              <w:ind w:firstLine="0" w:firstLineChars="0"/>
              <w:jc w:val="center"/>
              <w:rPr>
                <w:sz w:val="21"/>
                <w:szCs w:val="21"/>
              </w:rPr>
            </w:pPr>
            <w:r>
              <w:rPr>
                <w:rFonts w:hint="eastAsia"/>
                <w:sz w:val="21"/>
                <w:szCs w:val="21"/>
              </w:rPr>
              <w:t>卫辉市成春制氧有限责任公司</w:t>
            </w:r>
          </w:p>
        </w:tc>
        <w:tc>
          <w:tcPr>
            <w:tcW w:w="1132" w:type="dxa"/>
            <w:vAlign w:val="center"/>
          </w:tcPr>
          <w:p w14:paraId="344114DD">
            <w:pPr>
              <w:spacing w:line="360" w:lineRule="exact"/>
              <w:ind w:firstLine="0" w:firstLineChars="0"/>
              <w:jc w:val="center"/>
              <w:rPr>
                <w:sz w:val="21"/>
                <w:szCs w:val="21"/>
              </w:rPr>
            </w:pPr>
            <w:r>
              <w:rPr>
                <w:rFonts w:hint="eastAsia"/>
                <w:sz w:val="21"/>
                <w:szCs w:val="21"/>
              </w:rPr>
              <w:t>/</w:t>
            </w:r>
          </w:p>
        </w:tc>
        <w:tc>
          <w:tcPr>
            <w:tcW w:w="828" w:type="dxa"/>
            <w:vAlign w:val="center"/>
          </w:tcPr>
          <w:p w14:paraId="3FCA2545">
            <w:pPr>
              <w:spacing w:line="360" w:lineRule="exact"/>
              <w:ind w:firstLine="0" w:firstLineChars="0"/>
              <w:jc w:val="center"/>
              <w:rPr>
                <w:sz w:val="21"/>
                <w:szCs w:val="21"/>
              </w:rPr>
            </w:pPr>
            <w:r>
              <w:rPr>
                <w:rFonts w:hint="eastAsia"/>
                <w:sz w:val="21"/>
                <w:szCs w:val="21"/>
              </w:rPr>
              <w:t>/</w:t>
            </w:r>
          </w:p>
        </w:tc>
        <w:tc>
          <w:tcPr>
            <w:tcW w:w="827" w:type="dxa"/>
            <w:vAlign w:val="center"/>
          </w:tcPr>
          <w:p w14:paraId="4904B0BE">
            <w:pPr>
              <w:spacing w:line="360" w:lineRule="exact"/>
              <w:ind w:firstLine="0" w:firstLineChars="0"/>
              <w:jc w:val="center"/>
              <w:rPr>
                <w:sz w:val="21"/>
                <w:szCs w:val="21"/>
              </w:rPr>
            </w:pPr>
            <w:r>
              <w:rPr>
                <w:rFonts w:hint="eastAsia"/>
                <w:sz w:val="21"/>
                <w:szCs w:val="21"/>
              </w:rPr>
              <w:t>/</w:t>
            </w:r>
          </w:p>
        </w:tc>
        <w:tc>
          <w:tcPr>
            <w:tcW w:w="828" w:type="dxa"/>
            <w:vAlign w:val="center"/>
          </w:tcPr>
          <w:p w14:paraId="53FD3958">
            <w:pPr>
              <w:spacing w:line="360" w:lineRule="exact"/>
              <w:ind w:firstLine="0" w:firstLineChars="0"/>
              <w:jc w:val="center"/>
              <w:rPr>
                <w:sz w:val="21"/>
                <w:szCs w:val="21"/>
              </w:rPr>
            </w:pPr>
            <w:r>
              <w:rPr>
                <w:rFonts w:hint="eastAsia"/>
                <w:sz w:val="21"/>
                <w:szCs w:val="21"/>
              </w:rPr>
              <w:t>/</w:t>
            </w:r>
          </w:p>
        </w:tc>
        <w:tc>
          <w:tcPr>
            <w:tcW w:w="827" w:type="dxa"/>
            <w:vAlign w:val="center"/>
          </w:tcPr>
          <w:p w14:paraId="348DDA62">
            <w:pPr>
              <w:spacing w:line="360" w:lineRule="exact"/>
              <w:ind w:firstLine="0" w:firstLineChars="0"/>
              <w:jc w:val="center"/>
              <w:rPr>
                <w:sz w:val="21"/>
                <w:szCs w:val="21"/>
              </w:rPr>
            </w:pPr>
            <w:r>
              <w:rPr>
                <w:rFonts w:hint="eastAsia"/>
                <w:sz w:val="21"/>
                <w:szCs w:val="21"/>
              </w:rPr>
              <w:t>/</w:t>
            </w:r>
          </w:p>
        </w:tc>
        <w:tc>
          <w:tcPr>
            <w:tcW w:w="883" w:type="dxa"/>
            <w:vAlign w:val="center"/>
          </w:tcPr>
          <w:p w14:paraId="40FFAD48">
            <w:pPr>
              <w:spacing w:line="360" w:lineRule="exact"/>
              <w:ind w:firstLine="0" w:firstLineChars="0"/>
              <w:jc w:val="center"/>
              <w:rPr>
                <w:sz w:val="21"/>
                <w:szCs w:val="21"/>
              </w:rPr>
            </w:pPr>
            <w:r>
              <w:rPr>
                <w:rFonts w:hint="eastAsia"/>
                <w:sz w:val="21"/>
                <w:szCs w:val="21"/>
              </w:rPr>
              <w:t>/</w:t>
            </w:r>
          </w:p>
        </w:tc>
      </w:tr>
      <w:tr w14:paraId="062FB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5053F843">
            <w:pPr>
              <w:spacing w:line="360" w:lineRule="exact"/>
              <w:ind w:firstLine="0" w:firstLineChars="0"/>
              <w:jc w:val="center"/>
              <w:rPr>
                <w:sz w:val="21"/>
                <w:szCs w:val="21"/>
              </w:rPr>
            </w:pPr>
            <w:r>
              <w:rPr>
                <w:rFonts w:hint="eastAsia"/>
                <w:sz w:val="21"/>
                <w:szCs w:val="21"/>
              </w:rPr>
              <w:t>卫辉市双龙铜业有限公司</w:t>
            </w:r>
          </w:p>
        </w:tc>
        <w:tc>
          <w:tcPr>
            <w:tcW w:w="1132" w:type="dxa"/>
            <w:vAlign w:val="center"/>
          </w:tcPr>
          <w:p w14:paraId="4067F67C">
            <w:pPr>
              <w:spacing w:line="360" w:lineRule="exact"/>
              <w:ind w:firstLine="0" w:firstLineChars="0"/>
              <w:jc w:val="center"/>
              <w:rPr>
                <w:sz w:val="21"/>
                <w:szCs w:val="21"/>
              </w:rPr>
            </w:pPr>
            <w:r>
              <w:rPr>
                <w:rFonts w:hint="eastAsia"/>
                <w:sz w:val="21"/>
                <w:szCs w:val="21"/>
              </w:rPr>
              <w:t>/</w:t>
            </w:r>
          </w:p>
        </w:tc>
        <w:tc>
          <w:tcPr>
            <w:tcW w:w="828" w:type="dxa"/>
            <w:vAlign w:val="center"/>
          </w:tcPr>
          <w:p w14:paraId="6F67CC35">
            <w:pPr>
              <w:spacing w:line="360" w:lineRule="exact"/>
              <w:ind w:firstLine="0" w:firstLineChars="0"/>
              <w:jc w:val="center"/>
              <w:rPr>
                <w:sz w:val="21"/>
                <w:szCs w:val="21"/>
              </w:rPr>
            </w:pPr>
            <w:r>
              <w:rPr>
                <w:rFonts w:hint="eastAsia"/>
                <w:sz w:val="21"/>
                <w:szCs w:val="21"/>
              </w:rPr>
              <w:t>0.96</w:t>
            </w:r>
          </w:p>
        </w:tc>
        <w:tc>
          <w:tcPr>
            <w:tcW w:w="827" w:type="dxa"/>
            <w:vAlign w:val="center"/>
          </w:tcPr>
          <w:p w14:paraId="7C12134C">
            <w:pPr>
              <w:spacing w:line="360" w:lineRule="exact"/>
              <w:ind w:firstLine="0" w:firstLineChars="0"/>
              <w:jc w:val="center"/>
              <w:rPr>
                <w:sz w:val="21"/>
                <w:szCs w:val="21"/>
              </w:rPr>
            </w:pPr>
            <w:r>
              <w:rPr>
                <w:rFonts w:hint="eastAsia"/>
                <w:sz w:val="21"/>
                <w:szCs w:val="21"/>
              </w:rPr>
              <w:t>0.04</w:t>
            </w:r>
          </w:p>
        </w:tc>
        <w:tc>
          <w:tcPr>
            <w:tcW w:w="828" w:type="dxa"/>
            <w:vAlign w:val="center"/>
          </w:tcPr>
          <w:p w14:paraId="5C7B4929">
            <w:pPr>
              <w:spacing w:line="360" w:lineRule="exact"/>
              <w:ind w:firstLine="0" w:firstLineChars="0"/>
              <w:jc w:val="center"/>
              <w:rPr>
                <w:sz w:val="21"/>
                <w:szCs w:val="21"/>
              </w:rPr>
            </w:pPr>
            <w:r>
              <w:rPr>
                <w:rFonts w:hint="eastAsia"/>
                <w:sz w:val="21"/>
                <w:szCs w:val="21"/>
              </w:rPr>
              <w:t>1.24</w:t>
            </w:r>
          </w:p>
        </w:tc>
        <w:tc>
          <w:tcPr>
            <w:tcW w:w="827" w:type="dxa"/>
            <w:vAlign w:val="center"/>
          </w:tcPr>
          <w:p w14:paraId="00B2A229">
            <w:pPr>
              <w:spacing w:line="360" w:lineRule="exact"/>
              <w:ind w:firstLine="0" w:firstLineChars="0"/>
              <w:jc w:val="center"/>
              <w:rPr>
                <w:sz w:val="21"/>
                <w:szCs w:val="21"/>
              </w:rPr>
            </w:pPr>
            <w:r>
              <w:rPr>
                <w:rFonts w:hint="eastAsia"/>
                <w:sz w:val="21"/>
                <w:szCs w:val="21"/>
              </w:rPr>
              <w:t>2.54</w:t>
            </w:r>
          </w:p>
        </w:tc>
        <w:tc>
          <w:tcPr>
            <w:tcW w:w="883" w:type="dxa"/>
            <w:vAlign w:val="center"/>
          </w:tcPr>
          <w:p w14:paraId="6003A076">
            <w:pPr>
              <w:spacing w:line="360" w:lineRule="exact"/>
              <w:ind w:firstLine="0" w:firstLineChars="0"/>
              <w:jc w:val="center"/>
              <w:rPr>
                <w:sz w:val="21"/>
                <w:szCs w:val="21"/>
              </w:rPr>
            </w:pPr>
            <w:r>
              <w:rPr>
                <w:rFonts w:hint="eastAsia"/>
                <w:sz w:val="21"/>
                <w:szCs w:val="21"/>
              </w:rPr>
              <w:t>0.25</w:t>
            </w:r>
          </w:p>
        </w:tc>
      </w:tr>
      <w:tr w14:paraId="53C1A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6F8FEC0E">
            <w:pPr>
              <w:spacing w:line="360" w:lineRule="exact"/>
              <w:ind w:firstLine="0" w:firstLineChars="0"/>
              <w:jc w:val="center"/>
              <w:rPr>
                <w:sz w:val="21"/>
                <w:szCs w:val="21"/>
              </w:rPr>
            </w:pPr>
            <w:r>
              <w:rPr>
                <w:rFonts w:hint="eastAsia"/>
                <w:sz w:val="21"/>
                <w:szCs w:val="21"/>
              </w:rPr>
              <w:t>河南熔金高温材料股份有限公司</w:t>
            </w:r>
          </w:p>
        </w:tc>
        <w:tc>
          <w:tcPr>
            <w:tcW w:w="1132" w:type="dxa"/>
            <w:vAlign w:val="center"/>
          </w:tcPr>
          <w:p w14:paraId="7F5FDB34">
            <w:pPr>
              <w:spacing w:line="360" w:lineRule="exact"/>
              <w:ind w:firstLine="0" w:firstLineChars="0"/>
              <w:jc w:val="center"/>
              <w:rPr>
                <w:sz w:val="21"/>
                <w:szCs w:val="21"/>
              </w:rPr>
            </w:pPr>
            <w:r>
              <w:rPr>
                <w:rFonts w:hint="eastAsia"/>
                <w:sz w:val="21"/>
                <w:szCs w:val="21"/>
              </w:rPr>
              <w:t>3.7152</w:t>
            </w:r>
          </w:p>
        </w:tc>
        <w:tc>
          <w:tcPr>
            <w:tcW w:w="828" w:type="dxa"/>
            <w:vAlign w:val="center"/>
          </w:tcPr>
          <w:p w14:paraId="1B695F7E">
            <w:pPr>
              <w:spacing w:line="360" w:lineRule="exact"/>
              <w:ind w:firstLine="0" w:firstLineChars="0"/>
              <w:jc w:val="center"/>
              <w:rPr>
                <w:sz w:val="21"/>
                <w:szCs w:val="21"/>
              </w:rPr>
            </w:pPr>
            <w:r>
              <w:rPr>
                <w:rFonts w:hint="eastAsia"/>
                <w:sz w:val="21"/>
                <w:szCs w:val="21"/>
              </w:rPr>
              <w:t>9.0468</w:t>
            </w:r>
          </w:p>
        </w:tc>
        <w:tc>
          <w:tcPr>
            <w:tcW w:w="827" w:type="dxa"/>
            <w:vAlign w:val="center"/>
          </w:tcPr>
          <w:p w14:paraId="34811328">
            <w:pPr>
              <w:spacing w:line="360" w:lineRule="exact"/>
              <w:ind w:firstLine="0" w:firstLineChars="0"/>
              <w:jc w:val="center"/>
              <w:rPr>
                <w:sz w:val="21"/>
                <w:szCs w:val="21"/>
              </w:rPr>
            </w:pPr>
            <w:r>
              <w:rPr>
                <w:rFonts w:hint="eastAsia"/>
                <w:sz w:val="21"/>
                <w:szCs w:val="21"/>
              </w:rPr>
              <w:t>5.1792</w:t>
            </w:r>
          </w:p>
        </w:tc>
        <w:tc>
          <w:tcPr>
            <w:tcW w:w="828" w:type="dxa"/>
            <w:vAlign w:val="center"/>
          </w:tcPr>
          <w:p w14:paraId="56C8A9B7">
            <w:pPr>
              <w:spacing w:line="360" w:lineRule="exact"/>
              <w:ind w:firstLine="0" w:firstLineChars="0"/>
              <w:jc w:val="center"/>
              <w:rPr>
                <w:sz w:val="21"/>
                <w:szCs w:val="21"/>
              </w:rPr>
            </w:pPr>
            <w:r>
              <w:rPr>
                <w:rFonts w:hint="eastAsia"/>
                <w:sz w:val="21"/>
                <w:szCs w:val="21"/>
              </w:rPr>
              <w:t>5.9835</w:t>
            </w:r>
          </w:p>
        </w:tc>
        <w:tc>
          <w:tcPr>
            <w:tcW w:w="827" w:type="dxa"/>
            <w:vAlign w:val="center"/>
          </w:tcPr>
          <w:p w14:paraId="6B23B68E">
            <w:pPr>
              <w:spacing w:line="360" w:lineRule="exact"/>
              <w:ind w:firstLine="0" w:firstLineChars="0"/>
              <w:jc w:val="center"/>
              <w:rPr>
                <w:sz w:val="21"/>
                <w:szCs w:val="21"/>
              </w:rPr>
            </w:pPr>
            <w:r>
              <w:rPr>
                <w:rFonts w:hint="eastAsia"/>
                <w:sz w:val="21"/>
                <w:szCs w:val="21"/>
              </w:rPr>
              <w:t>0.7188</w:t>
            </w:r>
          </w:p>
        </w:tc>
        <w:tc>
          <w:tcPr>
            <w:tcW w:w="883" w:type="dxa"/>
            <w:vAlign w:val="center"/>
          </w:tcPr>
          <w:p w14:paraId="541F6710">
            <w:pPr>
              <w:spacing w:line="360" w:lineRule="exact"/>
              <w:ind w:firstLine="0" w:firstLineChars="0"/>
              <w:jc w:val="center"/>
              <w:rPr>
                <w:sz w:val="21"/>
                <w:szCs w:val="21"/>
              </w:rPr>
            </w:pPr>
            <w:r>
              <w:rPr>
                <w:rFonts w:hint="eastAsia"/>
                <w:sz w:val="21"/>
                <w:szCs w:val="21"/>
              </w:rPr>
              <w:t>0.0199</w:t>
            </w:r>
          </w:p>
        </w:tc>
      </w:tr>
      <w:tr w14:paraId="7BFB9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4704A29E">
            <w:pPr>
              <w:spacing w:line="360" w:lineRule="exact"/>
              <w:ind w:firstLine="0" w:firstLineChars="0"/>
              <w:jc w:val="center"/>
              <w:rPr>
                <w:sz w:val="21"/>
                <w:szCs w:val="21"/>
              </w:rPr>
            </w:pPr>
            <w:r>
              <w:rPr>
                <w:rFonts w:hint="eastAsia"/>
                <w:sz w:val="21"/>
                <w:szCs w:val="21"/>
              </w:rPr>
              <w:t>卫辉市化工有限公司</w:t>
            </w:r>
          </w:p>
        </w:tc>
        <w:tc>
          <w:tcPr>
            <w:tcW w:w="1132" w:type="dxa"/>
            <w:vAlign w:val="center"/>
          </w:tcPr>
          <w:p w14:paraId="17DF5BFF">
            <w:pPr>
              <w:spacing w:line="360" w:lineRule="exact"/>
              <w:ind w:firstLine="0" w:firstLineChars="0"/>
              <w:jc w:val="center"/>
              <w:rPr>
                <w:rFonts w:eastAsia="等线"/>
                <w:sz w:val="21"/>
                <w:szCs w:val="21"/>
              </w:rPr>
            </w:pPr>
            <w:r>
              <w:rPr>
                <w:rFonts w:hint="eastAsia" w:eastAsia="等线"/>
                <w:sz w:val="21"/>
                <w:szCs w:val="21"/>
              </w:rPr>
              <w:t>1.9421</w:t>
            </w:r>
          </w:p>
        </w:tc>
        <w:tc>
          <w:tcPr>
            <w:tcW w:w="828" w:type="dxa"/>
            <w:vAlign w:val="center"/>
          </w:tcPr>
          <w:p w14:paraId="6ED8FBE2">
            <w:pPr>
              <w:spacing w:line="360" w:lineRule="exact"/>
              <w:ind w:firstLine="0" w:firstLineChars="0"/>
              <w:jc w:val="center"/>
              <w:rPr>
                <w:rFonts w:eastAsia="等线"/>
                <w:sz w:val="21"/>
                <w:szCs w:val="21"/>
              </w:rPr>
            </w:pPr>
            <w:r>
              <w:rPr>
                <w:rFonts w:hint="eastAsia" w:eastAsia="等线"/>
                <w:sz w:val="21"/>
                <w:szCs w:val="21"/>
              </w:rPr>
              <w:t>1.2015</w:t>
            </w:r>
          </w:p>
        </w:tc>
        <w:tc>
          <w:tcPr>
            <w:tcW w:w="827" w:type="dxa"/>
            <w:vAlign w:val="center"/>
          </w:tcPr>
          <w:p w14:paraId="1543FA6D">
            <w:pPr>
              <w:spacing w:line="360" w:lineRule="exact"/>
              <w:ind w:firstLine="0" w:firstLineChars="0"/>
              <w:jc w:val="center"/>
              <w:rPr>
                <w:rFonts w:eastAsia="等线"/>
                <w:sz w:val="21"/>
                <w:szCs w:val="21"/>
              </w:rPr>
            </w:pPr>
            <w:r>
              <w:rPr>
                <w:rFonts w:hint="eastAsia" w:eastAsia="等线"/>
                <w:sz w:val="21"/>
                <w:szCs w:val="21"/>
              </w:rPr>
              <w:t>0.8788</w:t>
            </w:r>
          </w:p>
        </w:tc>
        <w:tc>
          <w:tcPr>
            <w:tcW w:w="828" w:type="dxa"/>
            <w:vAlign w:val="center"/>
          </w:tcPr>
          <w:p w14:paraId="6BEADBAC">
            <w:pPr>
              <w:spacing w:line="360" w:lineRule="exact"/>
              <w:ind w:firstLine="0" w:firstLineChars="0"/>
              <w:jc w:val="center"/>
              <w:rPr>
                <w:rFonts w:eastAsia="等线"/>
                <w:sz w:val="21"/>
                <w:szCs w:val="21"/>
              </w:rPr>
            </w:pPr>
            <w:r>
              <w:rPr>
                <w:rFonts w:hint="eastAsia" w:eastAsia="等线"/>
                <w:sz w:val="21"/>
                <w:szCs w:val="21"/>
              </w:rPr>
              <w:t>1.2222</w:t>
            </w:r>
          </w:p>
        </w:tc>
        <w:tc>
          <w:tcPr>
            <w:tcW w:w="827" w:type="dxa"/>
            <w:vAlign w:val="center"/>
          </w:tcPr>
          <w:p w14:paraId="2BFA388B">
            <w:pPr>
              <w:spacing w:line="360" w:lineRule="exact"/>
              <w:ind w:firstLine="0" w:firstLineChars="0"/>
              <w:jc w:val="center"/>
              <w:rPr>
                <w:rFonts w:eastAsia="等线"/>
                <w:sz w:val="21"/>
                <w:szCs w:val="21"/>
              </w:rPr>
            </w:pPr>
            <w:r>
              <w:rPr>
                <w:rFonts w:hint="eastAsia" w:eastAsia="等线"/>
                <w:sz w:val="21"/>
                <w:szCs w:val="21"/>
              </w:rPr>
              <w:t>4.2692</w:t>
            </w:r>
          </w:p>
        </w:tc>
        <w:tc>
          <w:tcPr>
            <w:tcW w:w="883" w:type="dxa"/>
            <w:vAlign w:val="center"/>
          </w:tcPr>
          <w:p w14:paraId="3957E511">
            <w:pPr>
              <w:spacing w:line="360" w:lineRule="exact"/>
              <w:ind w:firstLine="0" w:firstLineChars="0"/>
              <w:jc w:val="center"/>
              <w:rPr>
                <w:rFonts w:eastAsia="等线"/>
                <w:sz w:val="21"/>
                <w:szCs w:val="21"/>
              </w:rPr>
            </w:pPr>
            <w:r>
              <w:rPr>
                <w:rFonts w:hint="eastAsia" w:eastAsia="等线"/>
                <w:sz w:val="21"/>
                <w:szCs w:val="21"/>
              </w:rPr>
              <w:t>0.216</w:t>
            </w:r>
          </w:p>
        </w:tc>
      </w:tr>
      <w:tr w14:paraId="3052D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7" w:type="dxa"/>
            <w:vAlign w:val="center"/>
          </w:tcPr>
          <w:p w14:paraId="7EA95CF0">
            <w:pPr>
              <w:spacing w:line="360" w:lineRule="exact"/>
              <w:ind w:firstLine="0" w:firstLineChars="0"/>
              <w:jc w:val="center"/>
              <w:rPr>
                <w:sz w:val="21"/>
                <w:szCs w:val="21"/>
              </w:rPr>
            </w:pPr>
            <w:r>
              <w:rPr>
                <w:rFonts w:hint="eastAsia"/>
                <w:sz w:val="21"/>
                <w:szCs w:val="21"/>
              </w:rPr>
              <w:t>河南丰博天瑞水泥有限公司</w:t>
            </w:r>
          </w:p>
        </w:tc>
        <w:tc>
          <w:tcPr>
            <w:tcW w:w="1132" w:type="dxa"/>
            <w:vAlign w:val="center"/>
          </w:tcPr>
          <w:p w14:paraId="425F7154">
            <w:pPr>
              <w:spacing w:line="360" w:lineRule="exact"/>
              <w:ind w:firstLine="0" w:firstLineChars="0"/>
              <w:jc w:val="center"/>
              <w:rPr>
                <w:rFonts w:eastAsia="等线"/>
                <w:sz w:val="21"/>
                <w:szCs w:val="21"/>
              </w:rPr>
            </w:pPr>
            <w:r>
              <w:rPr>
                <w:rFonts w:hint="eastAsia" w:eastAsia="等线"/>
                <w:sz w:val="21"/>
                <w:szCs w:val="21"/>
              </w:rPr>
              <w:t>/</w:t>
            </w:r>
          </w:p>
        </w:tc>
        <w:tc>
          <w:tcPr>
            <w:tcW w:w="828" w:type="dxa"/>
            <w:vAlign w:val="center"/>
          </w:tcPr>
          <w:p w14:paraId="628B6D05">
            <w:pPr>
              <w:spacing w:line="360" w:lineRule="exact"/>
              <w:ind w:firstLine="0" w:firstLineChars="0"/>
              <w:jc w:val="center"/>
              <w:rPr>
                <w:rFonts w:eastAsia="等线"/>
                <w:sz w:val="21"/>
                <w:szCs w:val="21"/>
              </w:rPr>
            </w:pPr>
            <w:r>
              <w:rPr>
                <w:rFonts w:hint="eastAsia" w:eastAsia="等线"/>
                <w:sz w:val="21"/>
                <w:szCs w:val="21"/>
              </w:rPr>
              <w:t>15.2749</w:t>
            </w:r>
          </w:p>
        </w:tc>
        <w:tc>
          <w:tcPr>
            <w:tcW w:w="827" w:type="dxa"/>
            <w:vAlign w:val="center"/>
          </w:tcPr>
          <w:p w14:paraId="19E239ED">
            <w:pPr>
              <w:spacing w:line="360" w:lineRule="exact"/>
              <w:ind w:firstLine="0" w:firstLineChars="0"/>
              <w:jc w:val="center"/>
              <w:rPr>
                <w:rFonts w:eastAsia="等线"/>
                <w:sz w:val="21"/>
                <w:szCs w:val="21"/>
              </w:rPr>
            </w:pPr>
            <w:r>
              <w:rPr>
                <w:rFonts w:hint="eastAsia" w:eastAsia="等线"/>
                <w:sz w:val="21"/>
                <w:szCs w:val="21"/>
              </w:rPr>
              <w:t>/</w:t>
            </w:r>
          </w:p>
        </w:tc>
        <w:tc>
          <w:tcPr>
            <w:tcW w:w="828" w:type="dxa"/>
            <w:vAlign w:val="center"/>
          </w:tcPr>
          <w:p w14:paraId="16D4FC29">
            <w:pPr>
              <w:spacing w:line="360" w:lineRule="exact"/>
              <w:ind w:firstLine="0" w:firstLineChars="0"/>
              <w:jc w:val="center"/>
              <w:rPr>
                <w:rFonts w:eastAsia="等线"/>
                <w:sz w:val="21"/>
                <w:szCs w:val="21"/>
              </w:rPr>
            </w:pPr>
            <w:r>
              <w:rPr>
                <w:rFonts w:hint="eastAsia"/>
                <w:sz w:val="21"/>
                <w:szCs w:val="21"/>
              </w:rPr>
              <w:t>/</w:t>
            </w:r>
          </w:p>
        </w:tc>
        <w:tc>
          <w:tcPr>
            <w:tcW w:w="827" w:type="dxa"/>
            <w:vAlign w:val="center"/>
          </w:tcPr>
          <w:p w14:paraId="03DA7A2E">
            <w:pPr>
              <w:spacing w:line="360" w:lineRule="exact"/>
              <w:ind w:firstLine="0" w:firstLineChars="0"/>
              <w:jc w:val="center"/>
              <w:rPr>
                <w:rFonts w:eastAsia="等线"/>
                <w:sz w:val="21"/>
                <w:szCs w:val="21"/>
              </w:rPr>
            </w:pPr>
            <w:r>
              <w:rPr>
                <w:rFonts w:hint="eastAsia"/>
                <w:sz w:val="21"/>
                <w:szCs w:val="21"/>
              </w:rPr>
              <w:t>/</w:t>
            </w:r>
          </w:p>
        </w:tc>
        <w:tc>
          <w:tcPr>
            <w:tcW w:w="883" w:type="dxa"/>
            <w:vAlign w:val="center"/>
          </w:tcPr>
          <w:p w14:paraId="6F8DDC8C">
            <w:pPr>
              <w:spacing w:line="360" w:lineRule="exact"/>
              <w:ind w:firstLine="0" w:firstLineChars="0"/>
              <w:jc w:val="center"/>
              <w:rPr>
                <w:rFonts w:eastAsia="等线"/>
                <w:sz w:val="21"/>
                <w:szCs w:val="21"/>
              </w:rPr>
            </w:pPr>
            <w:r>
              <w:rPr>
                <w:rFonts w:hint="eastAsia"/>
                <w:sz w:val="21"/>
                <w:szCs w:val="21"/>
              </w:rPr>
              <w:t>/</w:t>
            </w:r>
          </w:p>
        </w:tc>
      </w:tr>
    </w:tbl>
    <w:p w14:paraId="1D3ED035">
      <w:pPr>
        <w:pStyle w:val="64"/>
        <w:spacing w:before="120" w:after="120"/>
        <w:ind w:firstLine="240"/>
        <w:rPr>
          <w:highlight w:val="yellow"/>
          <w:u w:val="single"/>
        </w:rPr>
      </w:pPr>
    </w:p>
    <w:p w14:paraId="3C6F4124">
      <w:pPr>
        <w:pStyle w:val="64"/>
        <w:spacing w:before="120" w:after="120"/>
        <w:ind w:firstLine="240"/>
        <w:rPr>
          <w:highlight w:val="yellow"/>
          <w:u w:val="single"/>
        </w:rPr>
      </w:pPr>
    </w:p>
    <w:bookmarkEnd w:id="255"/>
    <w:p w14:paraId="7747A2C7">
      <w:pPr>
        <w:ind w:firstLine="480"/>
        <w:rPr>
          <w:highlight w:val="yellow"/>
        </w:rPr>
        <w:sectPr>
          <w:pgSz w:w="11906" w:h="16838"/>
          <w:pgMar w:top="1440" w:right="1797" w:bottom="1440" w:left="1797" w:header="851" w:footer="992" w:gutter="0"/>
          <w:cols w:space="425" w:num="1"/>
          <w:docGrid w:linePitch="326" w:charSpace="0"/>
        </w:sectPr>
      </w:pPr>
    </w:p>
    <w:p w14:paraId="1D3ED037">
      <w:pPr>
        <w:pStyle w:val="3"/>
      </w:pPr>
      <w:bookmarkStart w:id="256" w:name="_Toc324839611"/>
      <w:bookmarkStart w:id="257" w:name="_Toc176105868"/>
      <w:bookmarkStart w:id="258" w:name="_Toc311812647"/>
      <w:bookmarkStart w:id="259" w:name="_Toc33416068"/>
      <w:bookmarkStart w:id="260" w:name="_Toc324839314"/>
      <w:r>
        <w:t>环境影响预测与评价</w:t>
      </w:r>
      <w:bookmarkEnd w:id="256"/>
      <w:bookmarkEnd w:id="257"/>
      <w:bookmarkEnd w:id="258"/>
      <w:bookmarkEnd w:id="259"/>
      <w:bookmarkEnd w:id="260"/>
    </w:p>
    <w:p w14:paraId="1D3ED038">
      <w:pPr>
        <w:pStyle w:val="4"/>
      </w:pPr>
      <w:bookmarkStart w:id="261" w:name="_Toc324839612"/>
      <w:bookmarkStart w:id="262" w:name="_Toc324839315"/>
      <w:bookmarkStart w:id="263" w:name="_Toc176105869"/>
      <w:r>
        <w:t>环境空气质量影响预测</w:t>
      </w:r>
      <w:bookmarkEnd w:id="261"/>
      <w:bookmarkEnd w:id="262"/>
      <w:bookmarkEnd w:id="263"/>
    </w:p>
    <w:p w14:paraId="1D3ED039">
      <w:pPr>
        <w:ind w:firstLine="480"/>
      </w:pPr>
      <w:r>
        <w:rPr>
          <w:rFonts w:hint="eastAsia"/>
        </w:rPr>
        <w:t>本次环境空气质量影响预测采用的气象观测资料、地面逐时气象数据、高空模拟气象数据、环境空气质量逐日数据均采购于“环境空气质量模型技术支持服务系统”。</w:t>
      </w:r>
    </w:p>
    <w:p w14:paraId="1D3ED03A">
      <w:pPr>
        <w:pStyle w:val="5"/>
        <w:spacing w:before="240" w:after="240"/>
      </w:pPr>
      <w:bookmarkStart w:id="264" w:name="_Toc525977831"/>
      <w:bookmarkStart w:id="265" w:name="_Toc511983168"/>
      <w:bookmarkStart w:id="266" w:name="_Toc324839316"/>
      <w:bookmarkStart w:id="267" w:name="_Toc304300430"/>
      <w:bookmarkStart w:id="268" w:name="_Toc324839613"/>
      <w:bookmarkStart w:id="269" w:name="_Toc22179"/>
      <w:bookmarkStart w:id="270" w:name="_Toc300681306"/>
      <w:bookmarkStart w:id="271" w:name="_Toc302145935"/>
      <w:r>
        <w:t>气象观测资料统计</w:t>
      </w:r>
      <w:bookmarkEnd w:id="264"/>
      <w:bookmarkEnd w:id="265"/>
    </w:p>
    <w:bookmarkEnd w:id="266"/>
    <w:bookmarkEnd w:id="267"/>
    <w:bookmarkEnd w:id="268"/>
    <w:bookmarkEnd w:id="269"/>
    <w:bookmarkEnd w:id="270"/>
    <w:bookmarkEnd w:id="271"/>
    <w:p w14:paraId="1D3ED03B">
      <w:pPr>
        <w:pStyle w:val="6"/>
        <w:ind w:left="0" w:firstLine="482" w:firstLineChars="200"/>
      </w:pPr>
      <w:r>
        <w:t>资料来源</w:t>
      </w:r>
    </w:p>
    <w:p w14:paraId="1D3ED03C">
      <w:pPr>
        <w:ind w:firstLine="480"/>
        <w:rPr>
          <w:highlight w:val="yellow"/>
        </w:rPr>
      </w:pPr>
      <w:r>
        <w:rPr>
          <w:rFonts w:hint="eastAsia"/>
        </w:rPr>
        <w:t>气象概况项目采用的是新乡气象站（53986）资料，气象站位于河南省新乡市，地理坐标为东经113.883333度，北纬35.316667度，海拔高度73.2米。新乡气象站距项目13.5km，是距项目最近的国家气象站，与本项目所在区域地理特征基本一致，可以直接使用。根据《环境影响评价技术导则大气环境》(HJ2.2-2018)附录B要求，评价收集了新乡市连续20年（2004-2023年）的气象统计资料，具体统计结果如下：</w:t>
      </w:r>
    </w:p>
    <w:p w14:paraId="1D3ED03D">
      <w:pPr>
        <w:pStyle w:val="64"/>
        <w:numPr>
          <w:ilvl w:val="2"/>
          <w:numId w:val="25"/>
        </w:numPr>
        <w:spacing w:before="120"/>
        <w:ind w:left="0" w:firstLine="480" w:firstLineChars="200"/>
      </w:pPr>
      <w:r>
        <w:t xml:space="preserve">      新乡气象站常规气象项目统计（200</w:t>
      </w:r>
      <w:r>
        <w:rPr>
          <w:rFonts w:hint="eastAsia"/>
        </w:rPr>
        <w:t>4</w:t>
      </w:r>
      <w:r>
        <w:t>-202</w:t>
      </w:r>
      <w:r>
        <w:rPr>
          <w:rFonts w:hint="eastAsia"/>
        </w:rPr>
        <w:t>3</w:t>
      </w:r>
      <w:r>
        <w:t>）</w:t>
      </w:r>
    </w:p>
    <w:p w14:paraId="1D3ED03E">
      <w:pPr>
        <w:spacing w:line="28" w:lineRule="exact"/>
        <w:ind w:firstLine="480"/>
        <w:rPr>
          <w:rFonts w:eastAsia="Times New Roman"/>
          <w:highlight w:val="yellow"/>
        </w:rPr>
      </w:pPr>
    </w:p>
    <w:tbl>
      <w:tblPr>
        <w:tblStyle w:val="41"/>
        <w:tblW w:w="5000" w:type="pct"/>
        <w:tblInd w:w="0" w:type="dxa"/>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Layout w:type="autofit"/>
        <w:tblCellMar>
          <w:top w:w="0" w:type="dxa"/>
          <w:left w:w="0" w:type="dxa"/>
          <w:bottom w:w="0" w:type="dxa"/>
          <w:right w:w="0" w:type="dxa"/>
        </w:tblCellMar>
      </w:tblPr>
      <w:tblGrid>
        <w:gridCol w:w="1003"/>
        <w:gridCol w:w="2881"/>
        <w:gridCol w:w="1091"/>
        <w:gridCol w:w="1851"/>
        <w:gridCol w:w="1506"/>
      </w:tblGrid>
      <w:tr w14:paraId="1D3ED043">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blHeader/>
        </w:trPr>
        <w:tc>
          <w:tcPr>
            <w:tcW w:w="2331" w:type="pct"/>
            <w:gridSpan w:val="2"/>
            <w:tcBorders>
              <w:top w:val="single" w:color="000001" w:sz="8" w:space="0"/>
              <w:bottom w:val="single" w:color="auto" w:sz="4" w:space="0"/>
              <w:right w:val="single" w:color="auto" w:sz="4" w:space="0"/>
            </w:tcBorders>
            <w:shd w:val="clear" w:color="auto" w:fill="auto"/>
            <w:vAlign w:val="center"/>
          </w:tcPr>
          <w:p w14:paraId="1D3ED03F">
            <w:pPr>
              <w:pStyle w:val="67"/>
              <w:rPr>
                <w:rFonts w:cs="Times New Roman"/>
                <w:color w:val="auto"/>
                <w:w w:val="99"/>
              </w:rPr>
            </w:pPr>
            <w:r>
              <w:rPr>
                <w:rFonts w:cs="Times New Roman"/>
                <w:color w:val="auto"/>
                <w:w w:val="99"/>
              </w:rPr>
              <w:t>统计项目</w:t>
            </w:r>
          </w:p>
        </w:tc>
        <w:tc>
          <w:tcPr>
            <w:tcW w:w="655" w:type="pct"/>
            <w:tcBorders>
              <w:top w:val="single" w:color="000001" w:sz="8" w:space="0"/>
              <w:left w:val="single" w:color="auto" w:sz="4" w:space="0"/>
              <w:bottom w:val="single" w:color="auto" w:sz="4" w:space="0"/>
              <w:right w:val="single" w:color="auto" w:sz="4" w:space="0"/>
            </w:tcBorders>
            <w:shd w:val="clear" w:color="auto" w:fill="auto"/>
            <w:vAlign w:val="center"/>
          </w:tcPr>
          <w:p w14:paraId="1D3ED040">
            <w:pPr>
              <w:pStyle w:val="67"/>
              <w:rPr>
                <w:rFonts w:cs="Times New Roman"/>
                <w:color w:val="auto"/>
              </w:rPr>
            </w:pPr>
            <w:r>
              <w:rPr>
                <w:rFonts w:cs="Times New Roman"/>
                <w:color w:val="auto"/>
              </w:rPr>
              <w:t>统计值</w:t>
            </w:r>
          </w:p>
        </w:tc>
        <w:tc>
          <w:tcPr>
            <w:tcW w:w="1111" w:type="pct"/>
            <w:tcBorders>
              <w:top w:val="single" w:color="000001" w:sz="8" w:space="0"/>
              <w:left w:val="single" w:color="auto" w:sz="4" w:space="0"/>
              <w:bottom w:val="single" w:color="auto" w:sz="4" w:space="0"/>
              <w:right w:val="single" w:color="auto" w:sz="4" w:space="0"/>
            </w:tcBorders>
            <w:shd w:val="clear" w:color="auto" w:fill="auto"/>
            <w:vAlign w:val="center"/>
          </w:tcPr>
          <w:p w14:paraId="1D3ED041">
            <w:pPr>
              <w:pStyle w:val="67"/>
              <w:rPr>
                <w:rFonts w:cs="Times New Roman"/>
                <w:color w:val="auto"/>
                <w:w w:val="99"/>
              </w:rPr>
            </w:pPr>
            <w:r>
              <w:rPr>
                <w:rFonts w:cs="Times New Roman"/>
                <w:color w:val="auto"/>
                <w:w w:val="99"/>
              </w:rPr>
              <w:t>极值出现时间</w:t>
            </w:r>
          </w:p>
        </w:tc>
        <w:tc>
          <w:tcPr>
            <w:tcW w:w="903" w:type="pct"/>
            <w:tcBorders>
              <w:top w:val="single" w:color="000001" w:sz="8" w:space="0"/>
              <w:left w:val="single" w:color="auto" w:sz="4" w:space="0"/>
              <w:bottom w:val="single" w:color="auto" w:sz="4" w:space="0"/>
            </w:tcBorders>
            <w:shd w:val="clear" w:color="auto" w:fill="auto"/>
            <w:vAlign w:val="center"/>
          </w:tcPr>
          <w:p w14:paraId="1D3ED042">
            <w:pPr>
              <w:pStyle w:val="67"/>
              <w:rPr>
                <w:rFonts w:cs="Times New Roman"/>
                <w:color w:val="auto"/>
                <w:w w:val="99"/>
              </w:rPr>
            </w:pPr>
            <w:r>
              <w:rPr>
                <w:rFonts w:cs="Times New Roman"/>
                <w:color w:val="auto"/>
                <w:w w:val="99"/>
              </w:rPr>
              <w:t>极值</w:t>
            </w:r>
          </w:p>
        </w:tc>
      </w:tr>
      <w:tr w14:paraId="1D3ED048">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auto" w:sz="4" w:space="0"/>
              <w:right w:val="single" w:color="auto" w:sz="4" w:space="0"/>
            </w:tcBorders>
            <w:shd w:val="clear" w:color="auto" w:fill="auto"/>
            <w:vAlign w:val="center"/>
          </w:tcPr>
          <w:p w14:paraId="1D3ED044">
            <w:pPr>
              <w:pStyle w:val="62"/>
            </w:pPr>
            <w:r>
              <w:t>多年平均气温（℃）</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45">
            <w:pPr>
              <w:pStyle w:val="62"/>
              <w:rPr>
                <w:highlight w:val="yellow"/>
              </w:rPr>
            </w:pPr>
            <w:r>
              <w:rPr>
                <w:rFonts w:hint="eastAsia"/>
              </w:rPr>
              <w:t>15.5</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46">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47">
            <w:pPr>
              <w:pStyle w:val="62"/>
            </w:pPr>
            <w:r>
              <w:rPr>
                <w:rFonts w:hint="eastAsia"/>
              </w:rPr>
              <w:t>/</w:t>
            </w:r>
          </w:p>
        </w:tc>
      </w:tr>
      <w:tr w14:paraId="1D3ED04D">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auto" w:sz="4" w:space="0"/>
              <w:right w:val="single" w:color="auto" w:sz="4" w:space="0"/>
            </w:tcBorders>
            <w:shd w:val="clear" w:color="auto" w:fill="auto"/>
            <w:vAlign w:val="center"/>
          </w:tcPr>
          <w:p w14:paraId="1D3ED049">
            <w:pPr>
              <w:pStyle w:val="62"/>
            </w:pPr>
            <w:r>
              <w:t>累年极端最高气温（℃）</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4A">
            <w:pPr>
              <w:pStyle w:val="62"/>
              <w:rPr>
                <w:highlight w:val="yellow"/>
              </w:rPr>
            </w:pPr>
            <w:r>
              <w:rPr>
                <w:rFonts w:hint="eastAsia"/>
              </w:rPr>
              <w:t>39</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4B">
            <w:pPr>
              <w:pStyle w:val="62"/>
              <w:rPr>
                <w:highlight w:val="yellow"/>
              </w:rPr>
            </w:pPr>
            <w:r>
              <w:rPr>
                <w:rFonts w:hint="eastAsia"/>
              </w:rPr>
              <w:t>20220624</w:t>
            </w:r>
          </w:p>
        </w:tc>
        <w:tc>
          <w:tcPr>
            <w:tcW w:w="903" w:type="pct"/>
            <w:tcBorders>
              <w:top w:val="single" w:color="auto" w:sz="4" w:space="0"/>
              <w:left w:val="single" w:color="auto" w:sz="4" w:space="0"/>
              <w:bottom w:val="single" w:color="auto" w:sz="4" w:space="0"/>
            </w:tcBorders>
            <w:shd w:val="clear" w:color="auto" w:fill="auto"/>
            <w:vAlign w:val="center"/>
          </w:tcPr>
          <w:p w14:paraId="1D3ED04C">
            <w:pPr>
              <w:pStyle w:val="62"/>
              <w:rPr>
                <w:highlight w:val="yellow"/>
              </w:rPr>
            </w:pPr>
            <w:r>
              <w:rPr>
                <w:rFonts w:hint="eastAsia"/>
              </w:rPr>
              <w:t>41.5</w:t>
            </w:r>
          </w:p>
        </w:tc>
      </w:tr>
      <w:tr w14:paraId="1D3ED052">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auto" w:sz="4" w:space="0"/>
              <w:right w:val="single" w:color="auto" w:sz="4" w:space="0"/>
            </w:tcBorders>
            <w:shd w:val="clear" w:color="auto" w:fill="auto"/>
            <w:vAlign w:val="center"/>
          </w:tcPr>
          <w:p w14:paraId="1D3ED04E">
            <w:pPr>
              <w:pStyle w:val="62"/>
            </w:pPr>
            <w:r>
              <w:t>累年极端最低气温（℃）</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4F">
            <w:pPr>
              <w:pStyle w:val="62"/>
              <w:rPr>
                <w:highlight w:val="yellow"/>
              </w:rPr>
            </w:pPr>
            <w:r>
              <w:rPr>
                <w:rFonts w:hint="eastAsia"/>
              </w:rPr>
              <w:t>-9.9</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50">
            <w:pPr>
              <w:pStyle w:val="62"/>
              <w:rPr>
                <w:highlight w:val="yellow"/>
              </w:rPr>
            </w:pPr>
            <w:r>
              <w:rPr>
                <w:rFonts w:hint="eastAsia"/>
              </w:rPr>
              <w:t>20210107</w:t>
            </w:r>
          </w:p>
        </w:tc>
        <w:tc>
          <w:tcPr>
            <w:tcW w:w="903" w:type="pct"/>
            <w:tcBorders>
              <w:top w:val="single" w:color="auto" w:sz="4" w:space="0"/>
              <w:left w:val="single" w:color="auto" w:sz="4" w:space="0"/>
              <w:bottom w:val="single" w:color="auto" w:sz="4" w:space="0"/>
            </w:tcBorders>
            <w:shd w:val="clear" w:color="auto" w:fill="auto"/>
            <w:vAlign w:val="center"/>
          </w:tcPr>
          <w:p w14:paraId="1D3ED051">
            <w:pPr>
              <w:pStyle w:val="62"/>
              <w:rPr>
                <w:highlight w:val="yellow"/>
              </w:rPr>
            </w:pPr>
            <w:r>
              <w:rPr>
                <w:rFonts w:hint="eastAsia"/>
              </w:rPr>
              <w:t>-16.2</w:t>
            </w:r>
          </w:p>
        </w:tc>
      </w:tr>
      <w:tr w14:paraId="1D3ED057">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auto" w:sz="4" w:space="0"/>
              <w:right w:val="single" w:color="auto" w:sz="4" w:space="0"/>
            </w:tcBorders>
            <w:shd w:val="clear" w:color="auto" w:fill="auto"/>
            <w:vAlign w:val="center"/>
          </w:tcPr>
          <w:p w14:paraId="1D3ED053">
            <w:pPr>
              <w:pStyle w:val="62"/>
            </w:pPr>
            <w:r>
              <w:t>多年平均气压（hPa）</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54">
            <w:pPr>
              <w:pStyle w:val="62"/>
              <w:rPr>
                <w:highlight w:val="yellow"/>
              </w:rPr>
            </w:pPr>
            <w:r>
              <w:rPr>
                <w:rFonts w:hint="eastAsia"/>
              </w:rPr>
              <w:t>1007.9</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55">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56">
            <w:pPr>
              <w:pStyle w:val="62"/>
            </w:pPr>
            <w:r>
              <w:rPr>
                <w:rFonts w:hint="eastAsia"/>
              </w:rPr>
              <w:t>/</w:t>
            </w:r>
          </w:p>
        </w:tc>
      </w:tr>
      <w:tr w14:paraId="1D3ED05C">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auto" w:sz="4" w:space="0"/>
              <w:right w:val="single" w:color="auto" w:sz="4" w:space="0"/>
            </w:tcBorders>
            <w:shd w:val="clear" w:color="auto" w:fill="auto"/>
            <w:vAlign w:val="center"/>
          </w:tcPr>
          <w:p w14:paraId="1D3ED058">
            <w:pPr>
              <w:pStyle w:val="62"/>
            </w:pPr>
            <w:r>
              <w:t>多年平均水汽压（hPa）</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59">
            <w:pPr>
              <w:pStyle w:val="62"/>
              <w:rPr>
                <w:highlight w:val="yellow"/>
              </w:rPr>
            </w:pPr>
            <w:r>
              <w:rPr>
                <w:rFonts w:hint="eastAsia"/>
              </w:rPr>
              <w:t>13.4</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5A">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5B">
            <w:pPr>
              <w:pStyle w:val="62"/>
            </w:pPr>
            <w:r>
              <w:rPr>
                <w:rFonts w:hint="eastAsia"/>
              </w:rPr>
              <w:t>/</w:t>
            </w:r>
          </w:p>
        </w:tc>
      </w:tr>
      <w:tr w14:paraId="1D3ED061">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auto" w:sz="4" w:space="0"/>
              <w:right w:val="single" w:color="auto" w:sz="4" w:space="0"/>
            </w:tcBorders>
            <w:shd w:val="clear" w:color="auto" w:fill="auto"/>
            <w:vAlign w:val="center"/>
          </w:tcPr>
          <w:p w14:paraId="1D3ED05D">
            <w:pPr>
              <w:pStyle w:val="62"/>
            </w:pPr>
            <w:r>
              <w:t>多年平均相对湿度(%)</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5E">
            <w:pPr>
              <w:pStyle w:val="62"/>
              <w:rPr>
                <w:highlight w:val="yellow"/>
              </w:rPr>
            </w:pPr>
            <w:r>
              <w:rPr>
                <w:rFonts w:hint="eastAsia"/>
              </w:rPr>
              <w:t>62.7</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5F">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60">
            <w:pPr>
              <w:pStyle w:val="62"/>
            </w:pPr>
            <w:r>
              <w:rPr>
                <w:rFonts w:hint="eastAsia"/>
              </w:rPr>
              <w:t>/</w:t>
            </w:r>
          </w:p>
        </w:tc>
      </w:tr>
      <w:tr w14:paraId="1D3ED066">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auto" w:sz="4" w:space="0"/>
              <w:right w:val="single" w:color="auto" w:sz="4" w:space="0"/>
            </w:tcBorders>
            <w:shd w:val="clear" w:color="auto" w:fill="auto"/>
            <w:vAlign w:val="center"/>
          </w:tcPr>
          <w:p w14:paraId="1D3ED062">
            <w:pPr>
              <w:pStyle w:val="62"/>
            </w:pPr>
            <w:r>
              <w:t>多年平均降雨量(mm)</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63">
            <w:pPr>
              <w:pStyle w:val="62"/>
              <w:rPr>
                <w:highlight w:val="yellow"/>
              </w:rPr>
            </w:pPr>
            <w:r>
              <w:rPr>
                <w:rFonts w:hint="eastAsia"/>
              </w:rPr>
              <w:t>596.6</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64">
            <w:pPr>
              <w:pStyle w:val="62"/>
              <w:rPr>
                <w:highlight w:val="yellow"/>
              </w:rPr>
            </w:pPr>
            <w:r>
              <w:rPr>
                <w:rFonts w:hint="eastAsia"/>
              </w:rPr>
              <w:t>20160709</w:t>
            </w:r>
          </w:p>
        </w:tc>
        <w:tc>
          <w:tcPr>
            <w:tcW w:w="903" w:type="pct"/>
            <w:tcBorders>
              <w:top w:val="single" w:color="auto" w:sz="4" w:space="0"/>
              <w:left w:val="single" w:color="auto" w:sz="4" w:space="0"/>
              <w:bottom w:val="single" w:color="auto" w:sz="4" w:space="0"/>
            </w:tcBorders>
            <w:shd w:val="clear" w:color="auto" w:fill="auto"/>
            <w:vAlign w:val="center"/>
          </w:tcPr>
          <w:p w14:paraId="1D3ED065">
            <w:pPr>
              <w:pStyle w:val="62"/>
              <w:rPr>
                <w:highlight w:val="yellow"/>
              </w:rPr>
            </w:pPr>
            <w:r>
              <w:rPr>
                <w:rFonts w:hint="eastAsia"/>
              </w:rPr>
              <w:t>414</w:t>
            </w:r>
          </w:p>
        </w:tc>
      </w:tr>
      <w:tr w14:paraId="1D3ED06C">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602" w:type="pct"/>
            <w:vMerge w:val="restart"/>
            <w:tcBorders>
              <w:top w:val="single" w:color="auto" w:sz="4" w:space="0"/>
              <w:bottom w:val="single" w:color="auto" w:sz="4" w:space="0"/>
              <w:right w:val="single" w:color="auto" w:sz="4" w:space="0"/>
            </w:tcBorders>
            <w:shd w:val="clear" w:color="auto" w:fill="auto"/>
            <w:vAlign w:val="center"/>
          </w:tcPr>
          <w:p w14:paraId="1D3ED067">
            <w:pPr>
              <w:pStyle w:val="62"/>
            </w:pPr>
            <w:r>
              <w:t>灾害天气统计</w:t>
            </w:r>
          </w:p>
        </w:tc>
        <w:tc>
          <w:tcPr>
            <w:tcW w:w="1729" w:type="pct"/>
            <w:tcBorders>
              <w:top w:val="single" w:color="auto" w:sz="4" w:space="0"/>
              <w:left w:val="single" w:color="auto" w:sz="4" w:space="0"/>
              <w:bottom w:val="single" w:color="auto" w:sz="4" w:space="0"/>
              <w:right w:val="single" w:color="auto" w:sz="4" w:space="0"/>
            </w:tcBorders>
            <w:shd w:val="clear" w:color="auto" w:fill="auto"/>
            <w:vAlign w:val="center"/>
          </w:tcPr>
          <w:p w14:paraId="1D3ED068">
            <w:pPr>
              <w:pStyle w:val="62"/>
              <w:rPr>
                <w:highlight w:val="yellow"/>
              </w:rPr>
            </w:pPr>
            <w:r>
              <w:rPr>
                <w:rFonts w:hint="eastAsia"/>
              </w:rPr>
              <w:t>24.3</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69">
            <w:pPr>
              <w:pStyle w:val="62"/>
            </w:pPr>
            <w:r>
              <w:rPr>
                <w:rFonts w:hint="eastAsia"/>
              </w:rPr>
              <w:t>/</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6A">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6B">
            <w:pPr>
              <w:pStyle w:val="62"/>
            </w:pPr>
            <w:r>
              <w:t>/</w:t>
            </w:r>
          </w:p>
        </w:tc>
      </w:tr>
      <w:tr w14:paraId="1D3ED072">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602" w:type="pct"/>
            <w:vMerge w:val="continue"/>
            <w:tcBorders>
              <w:top w:val="single" w:color="auto" w:sz="4" w:space="0"/>
              <w:bottom w:val="single" w:color="auto" w:sz="4" w:space="0"/>
              <w:right w:val="single" w:color="auto" w:sz="4" w:space="0"/>
            </w:tcBorders>
            <w:shd w:val="clear" w:color="auto" w:fill="auto"/>
            <w:vAlign w:val="center"/>
          </w:tcPr>
          <w:p w14:paraId="1D3ED06D">
            <w:pPr>
              <w:pStyle w:val="62"/>
            </w:pPr>
          </w:p>
        </w:tc>
        <w:tc>
          <w:tcPr>
            <w:tcW w:w="1729" w:type="pct"/>
            <w:tcBorders>
              <w:top w:val="single" w:color="auto" w:sz="4" w:space="0"/>
              <w:left w:val="single" w:color="auto" w:sz="4" w:space="0"/>
              <w:bottom w:val="single" w:color="auto" w:sz="4" w:space="0"/>
              <w:right w:val="single" w:color="auto" w:sz="4" w:space="0"/>
            </w:tcBorders>
            <w:shd w:val="clear" w:color="auto" w:fill="auto"/>
            <w:vAlign w:val="center"/>
          </w:tcPr>
          <w:p w14:paraId="1D3ED06E">
            <w:pPr>
              <w:pStyle w:val="62"/>
              <w:rPr>
                <w:highlight w:val="yellow"/>
              </w:rPr>
            </w:pPr>
            <w:r>
              <w:rPr>
                <w:rFonts w:hint="eastAsia"/>
              </w:rPr>
              <w:t>23</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6F">
            <w:pPr>
              <w:pStyle w:val="62"/>
            </w:pPr>
            <w:r>
              <w:rPr>
                <w:rFonts w:hint="eastAsia"/>
              </w:rPr>
              <w:t>/</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70">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71">
            <w:pPr>
              <w:pStyle w:val="62"/>
            </w:pPr>
            <w:r>
              <w:rPr>
                <w:rFonts w:hint="eastAsia"/>
              </w:rPr>
              <w:t>/</w:t>
            </w:r>
          </w:p>
        </w:tc>
      </w:tr>
      <w:tr w14:paraId="1D3ED078">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602" w:type="pct"/>
            <w:vMerge w:val="continue"/>
            <w:tcBorders>
              <w:top w:val="single" w:color="auto" w:sz="4" w:space="0"/>
              <w:bottom w:val="single" w:color="auto" w:sz="4" w:space="0"/>
              <w:right w:val="single" w:color="auto" w:sz="4" w:space="0"/>
            </w:tcBorders>
            <w:shd w:val="clear" w:color="auto" w:fill="auto"/>
            <w:vAlign w:val="center"/>
          </w:tcPr>
          <w:p w14:paraId="1D3ED073">
            <w:pPr>
              <w:pStyle w:val="62"/>
            </w:pPr>
          </w:p>
        </w:tc>
        <w:tc>
          <w:tcPr>
            <w:tcW w:w="1729" w:type="pct"/>
            <w:tcBorders>
              <w:top w:val="single" w:color="auto" w:sz="4" w:space="0"/>
              <w:left w:val="single" w:color="auto" w:sz="4" w:space="0"/>
              <w:bottom w:val="single" w:color="auto" w:sz="4" w:space="0"/>
              <w:right w:val="single" w:color="auto" w:sz="4" w:space="0"/>
            </w:tcBorders>
            <w:shd w:val="clear" w:color="auto" w:fill="auto"/>
            <w:vAlign w:val="center"/>
          </w:tcPr>
          <w:p w14:paraId="1D3ED074">
            <w:pPr>
              <w:pStyle w:val="62"/>
              <w:rPr>
                <w:highlight w:val="yellow"/>
              </w:rPr>
            </w:pPr>
            <w:r>
              <w:rPr>
                <w:rFonts w:hint="eastAsia"/>
              </w:rPr>
              <w:t>5.7</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75">
            <w:pPr>
              <w:pStyle w:val="62"/>
            </w:pPr>
            <w:r>
              <w:rPr>
                <w:rFonts w:hint="eastAsia"/>
              </w:rPr>
              <w:t>/</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76">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77">
            <w:pPr>
              <w:pStyle w:val="62"/>
            </w:pPr>
            <w:r>
              <w:rPr>
                <w:rFonts w:hint="eastAsia"/>
              </w:rPr>
              <w:t>/</w:t>
            </w:r>
          </w:p>
        </w:tc>
      </w:tr>
      <w:tr w14:paraId="1D3ED083">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auto" w:sz="4" w:space="0"/>
              <w:right w:val="single" w:color="auto" w:sz="4" w:space="0"/>
            </w:tcBorders>
            <w:shd w:val="clear" w:color="auto" w:fill="auto"/>
            <w:vAlign w:val="center"/>
          </w:tcPr>
          <w:p w14:paraId="1D3ED07F">
            <w:pPr>
              <w:pStyle w:val="62"/>
            </w:pPr>
            <w:r>
              <w:t>多年实测极大风速（m/s）、相应风向</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80">
            <w:pPr>
              <w:pStyle w:val="62"/>
              <w:rPr>
                <w:highlight w:val="yellow"/>
              </w:rPr>
            </w:pPr>
            <w:r>
              <w:rPr>
                <w:rFonts w:hint="eastAsia"/>
              </w:rPr>
              <w:t>20.2</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81">
            <w:pPr>
              <w:pStyle w:val="62"/>
              <w:rPr>
                <w:highlight w:val="yellow"/>
              </w:rPr>
            </w:pPr>
            <w:r>
              <w:rPr>
                <w:rFonts w:hint="eastAsia"/>
              </w:rPr>
              <w:t>20220609</w:t>
            </w:r>
          </w:p>
        </w:tc>
        <w:tc>
          <w:tcPr>
            <w:tcW w:w="903" w:type="pct"/>
            <w:tcBorders>
              <w:top w:val="single" w:color="auto" w:sz="4" w:space="0"/>
              <w:left w:val="single" w:color="auto" w:sz="4" w:space="0"/>
              <w:bottom w:val="single" w:color="auto" w:sz="4" w:space="0"/>
            </w:tcBorders>
            <w:shd w:val="clear" w:color="auto" w:fill="auto"/>
            <w:vAlign w:val="center"/>
          </w:tcPr>
          <w:p w14:paraId="5488644D">
            <w:pPr>
              <w:pStyle w:val="62"/>
            </w:pPr>
            <w:r>
              <w:rPr>
                <w:rFonts w:hint="eastAsia"/>
              </w:rPr>
              <w:t>24.4</w:t>
            </w:r>
          </w:p>
          <w:p w14:paraId="1D3ED082">
            <w:pPr>
              <w:pStyle w:val="62"/>
              <w:rPr>
                <w:highlight w:val="yellow"/>
              </w:rPr>
            </w:pPr>
            <w:r>
              <w:t>SW</w:t>
            </w:r>
          </w:p>
        </w:tc>
      </w:tr>
      <w:tr w14:paraId="1D3ED088">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auto" w:sz="4" w:space="0"/>
              <w:right w:val="single" w:color="auto" w:sz="4" w:space="0"/>
            </w:tcBorders>
            <w:shd w:val="clear" w:color="auto" w:fill="auto"/>
            <w:vAlign w:val="center"/>
          </w:tcPr>
          <w:p w14:paraId="1D3ED084">
            <w:pPr>
              <w:pStyle w:val="62"/>
            </w:pPr>
            <w:r>
              <w:t>多年平均风速（m/s）</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85">
            <w:pPr>
              <w:pStyle w:val="62"/>
              <w:rPr>
                <w:highlight w:val="yellow"/>
              </w:rPr>
            </w:pPr>
            <w:r>
              <w:rPr>
                <w:rFonts w:hint="eastAsia"/>
              </w:rPr>
              <w:t>2.1</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86">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87">
            <w:pPr>
              <w:pStyle w:val="62"/>
            </w:pPr>
            <w:r>
              <w:rPr>
                <w:rFonts w:hint="eastAsia"/>
              </w:rPr>
              <w:t>/</w:t>
            </w:r>
          </w:p>
        </w:tc>
      </w:tr>
      <w:tr w14:paraId="1D3ED08D">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vMerge w:val="restart"/>
            <w:tcBorders>
              <w:top w:val="single" w:color="auto" w:sz="4" w:space="0"/>
              <w:bottom w:val="single" w:color="auto" w:sz="4" w:space="0"/>
              <w:right w:val="single" w:color="auto" w:sz="4" w:space="0"/>
            </w:tcBorders>
            <w:shd w:val="clear" w:color="auto" w:fill="auto"/>
            <w:vAlign w:val="center"/>
          </w:tcPr>
          <w:p w14:paraId="1D3ED089">
            <w:pPr>
              <w:pStyle w:val="62"/>
            </w:pPr>
            <w:r>
              <w:t>多年主导风向、风向频率(%)</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8A">
            <w:pPr>
              <w:pStyle w:val="62"/>
              <w:rPr>
                <w:highlight w:val="yellow"/>
              </w:rPr>
            </w:pPr>
            <w:r>
              <w:rPr>
                <w:rFonts w:hint="eastAsia"/>
              </w:rPr>
              <w:t>NE/16.28</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8B">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8C">
            <w:pPr>
              <w:pStyle w:val="62"/>
            </w:pPr>
            <w:r>
              <w:rPr>
                <w:rFonts w:hint="eastAsia"/>
              </w:rPr>
              <w:t>/</w:t>
            </w:r>
          </w:p>
        </w:tc>
      </w:tr>
      <w:tr w14:paraId="1D3ED092">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vMerge w:val="continue"/>
            <w:tcBorders>
              <w:top w:val="single" w:color="auto" w:sz="4" w:space="0"/>
              <w:bottom w:val="single" w:color="auto" w:sz="4" w:space="0"/>
              <w:right w:val="single" w:color="auto" w:sz="4" w:space="0"/>
            </w:tcBorders>
            <w:shd w:val="clear" w:color="auto" w:fill="auto"/>
            <w:vAlign w:val="center"/>
          </w:tcPr>
          <w:p w14:paraId="1D3ED08E">
            <w:pPr>
              <w:pStyle w:val="62"/>
            </w:pP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D3ED08F">
            <w:pPr>
              <w:pStyle w:val="62"/>
              <w:rPr>
                <w:highlight w:val="yellow"/>
              </w:rPr>
            </w:pPr>
            <w:r>
              <w:rPr>
                <w:rFonts w:hint="eastAsia"/>
              </w:rPr>
              <w:t>7.81</w:t>
            </w:r>
          </w:p>
        </w:tc>
        <w:tc>
          <w:tcPr>
            <w:tcW w:w="1111" w:type="pct"/>
            <w:tcBorders>
              <w:top w:val="single" w:color="auto" w:sz="4" w:space="0"/>
              <w:left w:val="single" w:color="auto" w:sz="4" w:space="0"/>
              <w:bottom w:val="single" w:color="auto" w:sz="4" w:space="0"/>
              <w:right w:val="single" w:color="auto" w:sz="4" w:space="0"/>
            </w:tcBorders>
            <w:shd w:val="clear" w:color="auto" w:fill="auto"/>
            <w:vAlign w:val="center"/>
          </w:tcPr>
          <w:p w14:paraId="1D3ED090">
            <w:pPr>
              <w:pStyle w:val="62"/>
            </w:pPr>
            <w:r>
              <w:rPr>
                <w:rFonts w:hint="eastAsia"/>
              </w:rPr>
              <w:t>/</w:t>
            </w:r>
          </w:p>
        </w:tc>
        <w:tc>
          <w:tcPr>
            <w:tcW w:w="903" w:type="pct"/>
            <w:tcBorders>
              <w:top w:val="single" w:color="auto" w:sz="4" w:space="0"/>
              <w:left w:val="single" w:color="auto" w:sz="4" w:space="0"/>
              <w:bottom w:val="single" w:color="auto" w:sz="4" w:space="0"/>
            </w:tcBorders>
            <w:shd w:val="clear" w:color="auto" w:fill="auto"/>
            <w:vAlign w:val="center"/>
          </w:tcPr>
          <w:p w14:paraId="1D3ED091">
            <w:pPr>
              <w:pStyle w:val="62"/>
            </w:pPr>
            <w:r>
              <w:rPr>
                <w:rFonts w:hint="eastAsia"/>
              </w:rPr>
              <w:t>/</w:t>
            </w:r>
          </w:p>
        </w:tc>
      </w:tr>
      <w:tr w14:paraId="1D3ED097">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trPr>
        <w:tc>
          <w:tcPr>
            <w:tcW w:w="2331" w:type="pct"/>
            <w:gridSpan w:val="2"/>
            <w:tcBorders>
              <w:top w:val="single" w:color="auto" w:sz="4" w:space="0"/>
              <w:bottom w:val="single" w:color="000001" w:sz="8" w:space="0"/>
              <w:right w:val="single" w:color="auto" w:sz="4" w:space="0"/>
            </w:tcBorders>
            <w:shd w:val="clear" w:color="auto" w:fill="auto"/>
            <w:vAlign w:val="center"/>
          </w:tcPr>
          <w:p w14:paraId="1D3ED093">
            <w:pPr>
              <w:pStyle w:val="62"/>
            </w:pPr>
            <w:r>
              <w:t>多年静风频率(风速&lt;0.2m/s)(%)</w:t>
            </w:r>
          </w:p>
        </w:tc>
        <w:tc>
          <w:tcPr>
            <w:tcW w:w="655" w:type="pct"/>
            <w:tcBorders>
              <w:top w:val="single" w:color="auto" w:sz="4" w:space="0"/>
              <w:left w:val="single" w:color="auto" w:sz="4" w:space="0"/>
              <w:bottom w:val="single" w:color="000001" w:sz="8" w:space="0"/>
              <w:right w:val="single" w:color="auto" w:sz="4" w:space="0"/>
            </w:tcBorders>
            <w:shd w:val="clear" w:color="auto" w:fill="auto"/>
            <w:vAlign w:val="center"/>
          </w:tcPr>
          <w:p w14:paraId="1D3ED094">
            <w:pPr>
              <w:pStyle w:val="62"/>
              <w:rPr>
                <w:highlight w:val="yellow"/>
              </w:rPr>
            </w:pPr>
            <w:r>
              <w:rPr>
                <w:rFonts w:hint="eastAsia"/>
              </w:rPr>
              <w:t>15.5</w:t>
            </w:r>
          </w:p>
        </w:tc>
        <w:tc>
          <w:tcPr>
            <w:tcW w:w="1111" w:type="pct"/>
            <w:tcBorders>
              <w:top w:val="single" w:color="auto" w:sz="4" w:space="0"/>
              <w:left w:val="single" w:color="auto" w:sz="4" w:space="0"/>
              <w:bottom w:val="single" w:color="000001" w:sz="8" w:space="0"/>
              <w:right w:val="single" w:color="auto" w:sz="4" w:space="0"/>
            </w:tcBorders>
            <w:shd w:val="clear" w:color="auto" w:fill="auto"/>
            <w:vAlign w:val="center"/>
          </w:tcPr>
          <w:p w14:paraId="1D3ED095">
            <w:pPr>
              <w:pStyle w:val="62"/>
            </w:pPr>
            <w:r>
              <w:rPr>
                <w:rFonts w:hint="eastAsia"/>
              </w:rPr>
              <w:t>/</w:t>
            </w:r>
          </w:p>
        </w:tc>
        <w:tc>
          <w:tcPr>
            <w:tcW w:w="903" w:type="pct"/>
            <w:tcBorders>
              <w:top w:val="single" w:color="auto" w:sz="4" w:space="0"/>
              <w:left w:val="single" w:color="auto" w:sz="4" w:space="0"/>
              <w:bottom w:val="single" w:color="000001" w:sz="8" w:space="0"/>
            </w:tcBorders>
            <w:shd w:val="clear" w:color="auto" w:fill="auto"/>
            <w:vAlign w:val="center"/>
          </w:tcPr>
          <w:p w14:paraId="1D3ED096">
            <w:pPr>
              <w:pStyle w:val="62"/>
            </w:pPr>
            <w:r>
              <w:rPr>
                <w:rFonts w:hint="eastAsia"/>
              </w:rPr>
              <w:t>/</w:t>
            </w:r>
          </w:p>
        </w:tc>
      </w:tr>
    </w:tbl>
    <w:p w14:paraId="1D3ED098">
      <w:pPr>
        <w:pStyle w:val="6"/>
        <w:ind w:left="0" w:firstLine="482" w:firstLineChars="200"/>
      </w:pPr>
      <w:r>
        <w:t>气象站风观测数据统计</w:t>
      </w:r>
    </w:p>
    <w:p w14:paraId="1D3ED099">
      <w:pPr>
        <w:ind w:firstLine="480"/>
      </w:pPr>
      <w:r>
        <w:t>（1）月平均风速</w:t>
      </w:r>
    </w:p>
    <w:p w14:paraId="1D3ED09A">
      <w:pPr>
        <w:ind w:firstLine="480"/>
        <w:rPr>
          <w:highlight w:val="yellow"/>
        </w:rPr>
      </w:pPr>
      <w:r>
        <w:t>新乡气象站月平均风速如表</w:t>
      </w:r>
      <w:r>
        <w:rPr>
          <w:rFonts w:hint="eastAsia"/>
        </w:rPr>
        <w:t>5-</w:t>
      </w:r>
      <w:r>
        <w:t>2，04月平均风速最大（2.</w:t>
      </w:r>
      <w:r>
        <w:rPr>
          <w:rFonts w:hint="eastAsia"/>
        </w:rPr>
        <w:t>55</w:t>
      </w:r>
      <w:r>
        <w:t>米/秒），09月风最小（1.</w:t>
      </w:r>
      <w:r>
        <w:rPr>
          <w:rFonts w:hint="eastAsia"/>
        </w:rPr>
        <w:t>65</w:t>
      </w:r>
      <w:r>
        <w:t>米/秒）。</w:t>
      </w:r>
    </w:p>
    <w:p w14:paraId="0F12ED9E">
      <w:pPr>
        <w:pStyle w:val="64"/>
        <w:numPr>
          <w:ilvl w:val="2"/>
          <w:numId w:val="25"/>
        </w:numPr>
        <w:spacing w:before="120"/>
        <w:ind w:left="0" w:firstLine="480" w:firstLineChars="200"/>
      </w:pPr>
      <w:r>
        <w:rPr>
          <w:rFonts w:hint="eastAsia"/>
        </w:rPr>
        <w:t xml:space="preserve">            </w:t>
      </w:r>
      <w:r>
        <w:t>新乡气象站月平均风速统计</w:t>
      </w:r>
      <w:r>
        <w:rPr>
          <w:rFonts w:hint="eastAsia"/>
        </w:rPr>
        <w:t xml:space="preserve">             </w:t>
      </w:r>
      <w:r>
        <w:t>单位</w:t>
      </w:r>
      <w:r>
        <w:rPr>
          <w:rFonts w:hint="eastAsia"/>
        </w:rPr>
        <w:t>：</w:t>
      </w:r>
      <w:r>
        <w:t>m/s</w:t>
      </w:r>
    </w:p>
    <w:tbl>
      <w:tblPr>
        <w:tblStyle w:val="41"/>
        <w:tblW w:w="5000" w:type="pct"/>
        <w:jc w:val="center"/>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Layout w:type="autofit"/>
        <w:tblCellMar>
          <w:top w:w="0" w:type="dxa"/>
          <w:left w:w="0" w:type="dxa"/>
          <w:bottom w:w="0" w:type="dxa"/>
          <w:right w:w="0" w:type="dxa"/>
        </w:tblCellMar>
      </w:tblPr>
      <w:tblGrid>
        <w:gridCol w:w="1003"/>
        <w:gridCol w:w="708"/>
        <w:gridCol w:w="567"/>
        <w:gridCol w:w="567"/>
        <w:gridCol w:w="567"/>
        <w:gridCol w:w="567"/>
        <w:gridCol w:w="567"/>
        <w:gridCol w:w="568"/>
        <w:gridCol w:w="567"/>
        <w:gridCol w:w="718"/>
        <w:gridCol w:w="643"/>
        <w:gridCol w:w="643"/>
        <w:gridCol w:w="647"/>
      </w:tblGrid>
      <w:tr w14:paraId="23EC8342">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397" w:hRule="atLeast"/>
          <w:jc w:val="center"/>
        </w:trPr>
        <w:tc>
          <w:tcPr>
            <w:tcW w:w="602" w:type="pct"/>
            <w:vAlign w:val="center"/>
          </w:tcPr>
          <w:p w14:paraId="12C07C8C">
            <w:pPr>
              <w:pStyle w:val="67"/>
              <w:rPr>
                <w:color w:val="auto"/>
              </w:rPr>
            </w:pPr>
            <w:r>
              <w:rPr>
                <w:rFonts w:hint="eastAsia"/>
                <w:color w:val="auto"/>
              </w:rPr>
              <w:t>月份</w:t>
            </w:r>
          </w:p>
        </w:tc>
        <w:tc>
          <w:tcPr>
            <w:tcW w:w="425" w:type="pct"/>
            <w:vAlign w:val="center"/>
          </w:tcPr>
          <w:p w14:paraId="7D76C0DA">
            <w:pPr>
              <w:pStyle w:val="67"/>
              <w:rPr>
                <w:color w:val="auto"/>
              </w:rPr>
            </w:pPr>
            <w:r>
              <w:rPr>
                <w:rFonts w:hint="eastAsia"/>
                <w:color w:val="auto"/>
              </w:rPr>
              <w:t>1</w:t>
            </w:r>
          </w:p>
        </w:tc>
        <w:tc>
          <w:tcPr>
            <w:tcW w:w="340" w:type="pct"/>
            <w:vAlign w:val="center"/>
          </w:tcPr>
          <w:p w14:paraId="4FD15BA9">
            <w:pPr>
              <w:pStyle w:val="67"/>
              <w:rPr>
                <w:color w:val="auto"/>
              </w:rPr>
            </w:pPr>
            <w:r>
              <w:rPr>
                <w:rFonts w:hint="eastAsia"/>
                <w:color w:val="auto"/>
              </w:rPr>
              <w:t>2</w:t>
            </w:r>
          </w:p>
        </w:tc>
        <w:tc>
          <w:tcPr>
            <w:tcW w:w="340" w:type="pct"/>
            <w:vAlign w:val="center"/>
          </w:tcPr>
          <w:p w14:paraId="2DB654F6">
            <w:pPr>
              <w:pStyle w:val="67"/>
              <w:rPr>
                <w:color w:val="auto"/>
              </w:rPr>
            </w:pPr>
            <w:r>
              <w:rPr>
                <w:rFonts w:hint="eastAsia"/>
                <w:color w:val="auto"/>
              </w:rPr>
              <w:t>3</w:t>
            </w:r>
          </w:p>
        </w:tc>
        <w:tc>
          <w:tcPr>
            <w:tcW w:w="340" w:type="pct"/>
            <w:vAlign w:val="center"/>
          </w:tcPr>
          <w:p w14:paraId="46E630CB">
            <w:pPr>
              <w:pStyle w:val="67"/>
              <w:rPr>
                <w:color w:val="auto"/>
              </w:rPr>
            </w:pPr>
            <w:r>
              <w:rPr>
                <w:rFonts w:hint="eastAsia"/>
                <w:color w:val="auto"/>
              </w:rPr>
              <w:t>4</w:t>
            </w:r>
          </w:p>
        </w:tc>
        <w:tc>
          <w:tcPr>
            <w:tcW w:w="340" w:type="pct"/>
            <w:vAlign w:val="center"/>
          </w:tcPr>
          <w:p w14:paraId="07EAA3E8">
            <w:pPr>
              <w:pStyle w:val="67"/>
              <w:rPr>
                <w:color w:val="auto"/>
              </w:rPr>
            </w:pPr>
            <w:r>
              <w:rPr>
                <w:rFonts w:hint="eastAsia"/>
                <w:color w:val="auto"/>
              </w:rPr>
              <w:t>5</w:t>
            </w:r>
          </w:p>
        </w:tc>
        <w:tc>
          <w:tcPr>
            <w:tcW w:w="340" w:type="pct"/>
            <w:vAlign w:val="center"/>
          </w:tcPr>
          <w:p w14:paraId="4F9EABAF">
            <w:pPr>
              <w:pStyle w:val="67"/>
              <w:rPr>
                <w:color w:val="auto"/>
              </w:rPr>
            </w:pPr>
            <w:r>
              <w:rPr>
                <w:rFonts w:hint="eastAsia"/>
                <w:color w:val="auto"/>
              </w:rPr>
              <w:t>6</w:t>
            </w:r>
          </w:p>
        </w:tc>
        <w:tc>
          <w:tcPr>
            <w:tcW w:w="341" w:type="pct"/>
            <w:vAlign w:val="center"/>
          </w:tcPr>
          <w:p w14:paraId="152D3F74">
            <w:pPr>
              <w:pStyle w:val="67"/>
              <w:rPr>
                <w:color w:val="auto"/>
              </w:rPr>
            </w:pPr>
            <w:r>
              <w:rPr>
                <w:rFonts w:hint="eastAsia"/>
                <w:color w:val="auto"/>
              </w:rPr>
              <w:t>7</w:t>
            </w:r>
          </w:p>
        </w:tc>
        <w:tc>
          <w:tcPr>
            <w:tcW w:w="340" w:type="pct"/>
            <w:vAlign w:val="center"/>
          </w:tcPr>
          <w:p w14:paraId="03E807AE">
            <w:pPr>
              <w:pStyle w:val="67"/>
              <w:rPr>
                <w:color w:val="auto"/>
              </w:rPr>
            </w:pPr>
            <w:r>
              <w:rPr>
                <w:rFonts w:hint="eastAsia"/>
                <w:color w:val="auto"/>
              </w:rPr>
              <w:t>8</w:t>
            </w:r>
          </w:p>
        </w:tc>
        <w:tc>
          <w:tcPr>
            <w:tcW w:w="431" w:type="pct"/>
            <w:vAlign w:val="center"/>
          </w:tcPr>
          <w:p w14:paraId="777B5D13">
            <w:pPr>
              <w:pStyle w:val="67"/>
              <w:rPr>
                <w:color w:val="auto"/>
              </w:rPr>
            </w:pPr>
            <w:r>
              <w:rPr>
                <w:rFonts w:hint="eastAsia"/>
                <w:color w:val="auto"/>
              </w:rPr>
              <w:t>9</w:t>
            </w:r>
          </w:p>
        </w:tc>
        <w:tc>
          <w:tcPr>
            <w:tcW w:w="386" w:type="pct"/>
            <w:vAlign w:val="center"/>
          </w:tcPr>
          <w:p w14:paraId="52AE8AF3">
            <w:pPr>
              <w:pStyle w:val="67"/>
              <w:rPr>
                <w:color w:val="auto"/>
              </w:rPr>
            </w:pPr>
            <w:r>
              <w:rPr>
                <w:rFonts w:hint="eastAsia"/>
                <w:color w:val="auto"/>
              </w:rPr>
              <w:t>1</w:t>
            </w:r>
            <w:r>
              <w:rPr>
                <w:color w:val="auto"/>
              </w:rPr>
              <w:t>0</w:t>
            </w:r>
          </w:p>
        </w:tc>
        <w:tc>
          <w:tcPr>
            <w:tcW w:w="386" w:type="pct"/>
            <w:vAlign w:val="center"/>
          </w:tcPr>
          <w:p w14:paraId="0D157F98">
            <w:pPr>
              <w:pStyle w:val="67"/>
              <w:rPr>
                <w:color w:val="auto"/>
              </w:rPr>
            </w:pPr>
            <w:r>
              <w:rPr>
                <w:rFonts w:hint="eastAsia"/>
                <w:color w:val="auto"/>
              </w:rPr>
              <w:t>1</w:t>
            </w:r>
            <w:r>
              <w:rPr>
                <w:color w:val="auto"/>
              </w:rPr>
              <w:t>1</w:t>
            </w:r>
          </w:p>
        </w:tc>
        <w:tc>
          <w:tcPr>
            <w:tcW w:w="388" w:type="pct"/>
            <w:vAlign w:val="center"/>
          </w:tcPr>
          <w:p w14:paraId="0CCCB29A">
            <w:pPr>
              <w:pStyle w:val="67"/>
              <w:rPr>
                <w:color w:val="auto"/>
              </w:rPr>
            </w:pPr>
            <w:r>
              <w:rPr>
                <w:rFonts w:hint="eastAsia"/>
                <w:color w:val="auto"/>
              </w:rPr>
              <w:t>1</w:t>
            </w:r>
            <w:r>
              <w:rPr>
                <w:color w:val="auto"/>
              </w:rPr>
              <w:t>2</w:t>
            </w:r>
          </w:p>
        </w:tc>
      </w:tr>
      <w:tr w14:paraId="5FD10064">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397" w:hRule="atLeast"/>
          <w:jc w:val="center"/>
        </w:trPr>
        <w:tc>
          <w:tcPr>
            <w:tcW w:w="602" w:type="pct"/>
            <w:vAlign w:val="center"/>
          </w:tcPr>
          <w:p w14:paraId="43742F20">
            <w:pPr>
              <w:pStyle w:val="62"/>
            </w:pPr>
            <w:r>
              <w:rPr>
                <w:rFonts w:hint="eastAsia"/>
              </w:rPr>
              <w:t>平均风速</w:t>
            </w:r>
          </w:p>
        </w:tc>
        <w:tc>
          <w:tcPr>
            <w:tcW w:w="425" w:type="pct"/>
            <w:vAlign w:val="center"/>
          </w:tcPr>
          <w:p w14:paraId="5B40C8A6">
            <w:pPr>
              <w:pStyle w:val="62"/>
            </w:pPr>
            <w:r>
              <w:rPr>
                <w:rFonts w:hint="eastAsia"/>
              </w:rPr>
              <w:t>2.01</w:t>
            </w:r>
          </w:p>
        </w:tc>
        <w:tc>
          <w:tcPr>
            <w:tcW w:w="340" w:type="pct"/>
            <w:vAlign w:val="center"/>
          </w:tcPr>
          <w:p w14:paraId="5F5E62F7">
            <w:pPr>
              <w:pStyle w:val="62"/>
            </w:pPr>
            <w:r>
              <w:t>2.</w:t>
            </w:r>
            <w:r>
              <w:rPr>
                <w:rFonts w:hint="eastAsia"/>
              </w:rPr>
              <w:t>29</w:t>
            </w:r>
          </w:p>
        </w:tc>
        <w:tc>
          <w:tcPr>
            <w:tcW w:w="340" w:type="pct"/>
            <w:vAlign w:val="center"/>
          </w:tcPr>
          <w:p w14:paraId="430795B1">
            <w:pPr>
              <w:pStyle w:val="62"/>
            </w:pPr>
            <w:r>
              <w:t>2.</w:t>
            </w:r>
            <w:r>
              <w:rPr>
                <w:rFonts w:hint="eastAsia"/>
              </w:rPr>
              <w:t>54</w:t>
            </w:r>
          </w:p>
        </w:tc>
        <w:tc>
          <w:tcPr>
            <w:tcW w:w="340" w:type="pct"/>
            <w:vAlign w:val="center"/>
          </w:tcPr>
          <w:p w14:paraId="150679BA">
            <w:pPr>
              <w:pStyle w:val="62"/>
            </w:pPr>
            <w:r>
              <w:t>2.</w:t>
            </w:r>
            <w:r>
              <w:rPr>
                <w:rFonts w:hint="eastAsia"/>
              </w:rPr>
              <w:t>55</w:t>
            </w:r>
          </w:p>
        </w:tc>
        <w:tc>
          <w:tcPr>
            <w:tcW w:w="340" w:type="pct"/>
            <w:vAlign w:val="center"/>
          </w:tcPr>
          <w:p w14:paraId="3478808E">
            <w:pPr>
              <w:pStyle w:val="62"/>
            </w:pPr>
            <w:r>
              <w:t>2.</w:t>
            </w:r>
            <w:r>
              <w:rPr>
                <w:rFonts w:hint="eastAsia"/>
              </w:rPr>
              <w:t>45</w:t>
            </w:r>
          </w:p>
        </w:tc>
        <w:tc>
          <w:tcPr>
            <w:tcW w:w="340" w:type="pct"/>
            <w:vAlign w:val="center"/>
          </w:tcPr>
          <w:p w14:paraId="0DE892F8">
            <w:pPr>
              <w:pStyle w:val="62"/>
            </w:pPr>
            <w:r>
              <w:t>2.</w:t>
            </w:r>
            <w:r>
              <w:rPr>
                <w:rFonts w:hint="eastAsia"/>
              </w:rPr>
              <w:t>1</w:t>
            </w:r>
            <w:r>
              <w:t>2</w:t>
            </w:r>
          </w:p>
        </w:tc>
        <w:tc>
          <w:tcPr>
            <w:tcW w:w="341" w:type="pct"/>
            <w:vAlign w:val="center"/>
          </w:tcPr>
          <w:p w14:paraId="2E5ADD3B">
            <w:pPr>
              <w:pStyle w:val="62"/>
            </w:pPr>
            <w:r>
              <w:rPr>
                <w:rFonts w:hint="eastAsia"/>
              </w:rPr>
              <w:t>1.96</w:t>
            </w:r>
          </w:p>
        </w:tc>
        <w:tc>
          <w:tcPr>
            <w:tcW w:w="340" w:type="pct"/>
            <w:vAlign w:val="center"/>
          </w:tcPr>
          <w:p w14:paraId="6EE5EF8E">
            <w:pPr>
              <w:pStyle w:val="62"/>
            </w:pPr>
            <w:r>
              <w:t>1.</w:t>
            </w:r>
            <w:r>
              <w:rPr>
                <w:rFonts w:hint="eastAsia"/>
              </w:rPr>
              <w:t>8</w:t>
            </w:r>
            <w:r>
              <w:t>9</w:t>
            </w:r>
          </w:p>
        </w:tc>
        <w:tc>
          <w:tcPr>
            <w:tcW w:w="431" w:type="pct"/>
            <w:vAlign w:val="center"/>
          </w:tcPr>
          <w:p w14:paraId="06241399">
            <w:pPr>
              <w:pStyle w:val="62"/>
            </w:pPr>
            <w:r>
              <w:t>1.</w:t>
            </w:r>
            <w:r>
              <w:rPr>
                <w:rFonts w:hint="eastAsia"/>
              </w:rPr>
              <w:t>65</w:t>
            </w:r>
          </w:p>
        </w:tc>
        <w:tc>
          <w:tcPr>
            <w:tcW w:w="386" w:type="pct"/>
            <w:vAlign w:val="center"/>
          </w:tcPr>
          <w:p w14:paraId="3110958C">
            <w:pPr>
              <w:pStyle w:val="62"/>
            </w:pPr>
            <w:r>
              <w:t>1.</w:t>
            </w:r>
            <w:r>
              <w:rPr>
                <w:rFonts w:hint="eastAsia"/>
              </w:rPr>
              <w:t>68</w:t>
            </w:r>
          </w:p>
        </w:tc>
        <w:tc>
          <w:tcPr>
            <w:tcW w:w="386" w:type="pct"/>
            <w:vAlign w:val="center"/>
          </w:tcPr>
          <w:p w14:paraId="6445E1D7">
            <w:pPr>
              <w:pStyle w:val="62"/>
            </w:pPr>
            <w:r>
              <w:t>1.9</w:t>
            </w:r>
          </w:p>
        </w:tc>
        <w:tc>
          <w:tcPr>
            <w:tcW w:w="388" w:type="pct"/>
            <w:vAlign w:val="center"/>
          </w:tcPr>
          <w:p w14:paraId="67F5E7F8">
            <w:pPr>
              <w:pStyle w:val="62"/>
            </w:pPr>
            <w:r>
              <w:rPr>
                <w:rFonts w:hint="eastAsia"/>
              </w:rPr>
              <w:t>1.96</w:t>
            </w:r>
          </w:p>
        </w:tc>
      </w:tr>
    </w:tbl>
    <w:p w14:paraId="1D3ED0B8">
      <w:pPr>
        <w:ind w:firstLine="480"/>
      </w:pPr>
      <w:r>
        <w:t>（2）风向特征</w:t>
      </w:r>
    </w:p>
    <w:p w14:paraId="1D3ED0B9">
      <w:pPr>
        <w:pStyle w:val="212"/>
        <w:spacing w:line="520" w:lineRule="exact"/>
        <w:ind w:firstLine="480"/>
        <w:rPr>
          <w:rFonts w:ascii="Times New Roman" w:hAnsi="Times New Roman" w:eastAsia="宋体" w:cs="Times New Roman"/>
          <w:color w:val="auto"/>
        </w:rPr>
      </w:pPr>
      <w:r>
        <w:rPr>
          <w:rFonts w:ascii="Times New Roman" w:hAnsi="Times New Roman" w:eastAsia="宋体" w:cs="Times New Roman"/>
          <w:color w:val="auto"/>
        </w:rPr>
        <w:t>近20年资料分析的风向玫瑰图如图5.1-1所示，新乡气象站主要风向为NE为主占16.28％。</w:t>
      </w:r>
    </w:p>
    <w:p w14:paraId="015B9215">
      <w:pPr>
        <w:pStyle w:val="64"/>
        <w:numPr>
          <w:ilvl w:val="2"/>
          <w:numId w:val="25"/>
        </w:numPr>
        <w:spacing w:before="120"/>
        <w:ind w:left="0" w:firstLine="480" w:firstLineChars="200"/>
      </w:pPr>
      <w:r>
        <w:rPr>
          <w:rFonts w:hint="eastAsia"/>
        </w:rPr>
        <w:t xml:space="preserve">            </w:t>
      </w:r>
      <w:r>
        <w:t>新乡气象站年风向频率统计</w:t>
      </w:r>
      <w:r>
        <w:rPr>
          <w:rFonts w:hint="eastAsia"/>
        </w:rPr>
        <w:t xml:space="preserve">              </w:t>
      </w:r>
      <w:r>
        <w:t>单位</w:t>
      </w:r>
      <w:r>
        <w:rPr>
          <w:rFonts w:hint="eastAsia"/>
        </w:rPr>
        <w:t>：</w:t>
      </w:r>
      <w:r>
        <w:t>%</w:t>
      </w:r>
    </w:p>
    <w:tbl>
      <w:tblPr>
        <w:tblStyle w:val="41"/>
        <w:tblW w:w="5000" w:type="pct"/>
        <w:jc w:val="center"/>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Layout w:type="autofit"/>
        <w:tblCellMar>
          <w:top w:w="0" w:type="dxa"/>
          <w:left w:w="0" w:type="dxa"/>
          <w:bottom w:w="0" w:type="dxa"/>
          <w:right w:w="0" w:type="dxa"/>
        </w:tblCellMar>
      </w:tblPr>
      <w:tblGrid>
        <w:gridCol w:w="484"/>
        <w:gridCol w:w="468"/>
        <w:gridCol w:w="462"/>
        <w:gridCol w:w="490"/>
        <w:gridCol w:w="490"/>
        <w:gridCol w:w="490"/>
        <w:gridCol w:w="432"/>
        <w:gridCol w:w="427"/>
        <w:gridCol w:w="422"/>
        <w:gridCol w:w="418"/>
        <w:gridCol w:w="462"/>
        <w:gridCol w:w="417"/>
        <w:gridCol w:w="565"/>
        <w:gridCol w:w="385"/>
        <w:gridCol w:w="592"/>
        <w:gridCol w:w="385"/>
        <w:gridCol w:w="555"/>
        <w:gridCol w:w="388"/>
      </w:tblGrid>
      <w:tr w14:paraId="3D761560">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25" w:hRule="atLeast"/>
          <w:jc w:val="center"/>
        </w:trPr>
        <w:tc>
          <w:tcPr>
            <w:tcW w:w="291" w:type="pct"/>
            <w:vAlign w:val="center"/>
          </w:tcPr>
          <w:p w14:paraId="24706D9F">
            <w:pPr>
              <w:pStyle w:val="62"/>
              <w:rPr>
                <w:b/>
                <w:bCs/>
              </w:rPr>
            </w:pPr>
            <w:r>
              <w:rPr>
                <w:rFonts w:hint="eastAsia"/>
                <w:b/>
                <w:bCs/>
              </w:rPr>
              <w:t>风向</w:t>
            </w:r>
          </w:p>
        </w:tc>
        <w:tc>
          <w:tcPr>
            <w:tcW w:w="281" w:type="pct"/>
            <w:vAlign w:val="center"/>
          </w:tcPr>
          <w:p w14:paraId="082A451B">
            <w:pPr>
              <w:pStyle w:val="62"/>
              <w:rPr>
                <w:b/>
                <w:bCs/>
              </w:rPr>
            </w:pPr>
            <w:r>
              <w:rPr>
                <w:rFonts w:hint="eastAsia"/>
                <w:b/>
                <w:bCs/>
              </w:rPr>
              <w:t>N</w:t>
            </w:r>
          </w:p>
        </w:tc>
        <w:tc>
          <w:tcPr>
            <w:tcW w:w="277" w:type="pct"/>
            <w:vAlign w:val="center"/>
          </w:tcPr>
          <w:p w14:paraId="58A9D634">
            <w:pPr>
              <w:pStyle w:val="62"/>
              <w:rPr>
                <w:b/>
                <w:bCs/>
              </w:rPr>
            </w:pPr>
            <w:r>
              <w:rPr>
                <w:rFonts w:hint="eastAsia"/>
                <w:b/>
                <w:bCs/>
              </w:rPr>
              <w:t>NNE</w:t>
            </w:r>
          </w:p>
        </w:tc>
        <w:tc>
          <w:tcPr>
            <w:tcW w:w="294" w:type="pct"/>
            <w:vAlign w:val="center"/>
          </w:tcPr>
          <w:p w14:paraId="068B67FA">
            <w:pPr>
              <w:pStyle w:val="62"/>
              <w:rPr>
                <w:b/>
                <w:bCs/>
              </w:rPr>
            </w:pPr>
            <w:r>
              <w:rPr>
                <w:rFonts w:hint="eastAsia"/>
                <w:b/>
                <w:bCs/>
              </w:rPr>
              <w:t>NE</w:t>
            </w:r>
          </w:p>
        </w:tc>
        <w:tc>
          <w:tcPr>
            <w:tcW w:w="294" w:type="pct"/>
            <w:vAlign w:val="center"/>
          </w:tcPr>
          <w:p w14:paraId="2D20A88E">
            <w:pPr>
              <w:pStyle w:val="62"/>
              <w:rPr>
                <w:b/>
                <w:bCs/>
              </w:rPr>
            </w:pPr>
            <w:r>
              <w:rPr>
                <w:rFonts w:hint="eastAsia"/>
                <w:b/>
                <w:bCs/>
              </w:rPr>
              <w:t>ENE</w:t>
            </w:r>
          </w:p>
        </w:tc>
        <w:tc>
          <w:tcPr>
            <w:tcW w:w="294" w:type="pct"/>
            <w:vAlign w:val="center"/>
          </w:tcPr>
          <w:p w14:paraId="58EF150B">
            <w:pPr>
              <w:pStyle w:val="62"/>
              <w:rPr>
                <w:b/>
                <w:bCs/>
              </w:rPr>
            </w:pPr>
            <w:r>
              <w:rPr>
                <w:rFonts w:hint="eastAsia"/>
                <w:b/>
                <w:bCs/>
              </w:rPr>
              <w:t>E</w:t>
            </w:r>
          </w:p>
        </w:tc>
        <w:tc>
          <w:tcPr>
            <w:tcW w:w="259" w:type="pct"/>
            <w:vAlign w:val="center"/>
          </w:tcPr>
          <w:p w14:paraId="67072F72">
            <w:pPr>
              <w:pStyle w:val="62"/>
              <w:rPr>
                <w:b/>
                <w:bCs/>
              </w:rPr>
            </w:pPr>
            <w:r>
              <w:rPr>
                <w:rFonts w:hint="eastAsia"/>
                <w:b/>
                <w:bCs/>
              </w:rPr>
              <w:t>ESE</w:t>
            </w:r>
          </w:p>
        </w:tc>
        <w:tc>
          <w:tcPr>
            <w:tcW w:w="256" w:type="pct"/>
            <w:vAlign w:val="center"/>
          </w:tcPr>
          <w:p w14:paraId="19B40A33">
            <w:pPr>
              <w:pStyle w:val="62"/>
              <w:rPr>
                <w:b/>
                <w:bCs/>
              </w:rPr>
            </w:pPr>
            <w:r>
              <w:rPr>
                <w:rFonts w:hint="eastAsia"/>
                <w:b/>
                <w:bCs/>
              </w:rPr>
              <w:t>SE</w:t>
            </w:r>
          </w:p>
        </w:tc>
        <w:tc>
          <w:tcPr>
            <w:tcW w:w="253" w:type="pct"/>
            <w:vAlign w:val="center"/>
          </w:tcPr>
          <w:p w14:paraId="2AF7FB94">
            <w:pPr>
              <w:pStyle w:val="62"/>
              <w:rPr>
                <w:b/>
                <w:bCs/>
              </w:rPr>
            </w:pPr>
            <w:r>
              <w:rPr>
                <w:rFonts w:hint="eastAsia"/>
                <w:b/>
                <w:bCs/>
              </w:rPr>
              <w:t>SSE</w:t>
            </w:r>
          </w:p>
        </w:tc>
        <w:tc>
          <w:tcPr>
            <w:tcW w:w="251" w:type="pct"/>
            <w:vAlign w:val="center"/>
          </w:tcPr>
          <w:p w14:paraId="067B2753">
            <w:pPr>
              <w:pStyle w:val="62"/>
              <w:rPr>
                <w:b/>
                <w:bCs/>
              </w:rPr>
            </w:pPr>
            <w:r>
              <w:rPr>
                <w:rFonts w:hint="eastAsia"/>
                <w:b/>
                <w:bCs/>
              </w:rPr>
              <w:t>S</w:t>
            </w:r>
          </w:p>
        </w:tc>
        <w:tc>
          <w:tcPr>
            <w:tcW w:w="277" w:type="pct"/>
            <w:vAlign w:val="center"/>
          </w:tcPr>
          <w:p w14:paraId="3DA0445D">
            <w:pPr>
              <w:pStyle w:val="62"/>
              <w:rPr>
                <w:b/>
                <w:bCs/>
              </w:rPr>
            </w:pPr>
            <w:r>
              <w:rPr>
                <w:rFonts w:hint="eastAsia"/>
                <w:b/>
                <w:bCs/>
              </w:rPr>
              <w:t>SSW</w:t>
            </w:r>
          </w:p>
        </w:tc>
        <w:tc>
          <w:tcPr>
            <w:tcW w:w="250" w:type="pct"/>
            <w:vAlign w:val="center"/>
          </w:tcPr>
          <w:p w14:paraId="486B79E1">
            <w:pPr>
              <w:pStyle w:val="62"/>
              <w:rPr>
                <w:b/>
                <w:bCs/>
              </w:rPr>
            </w:pPr>
            <w:r>
              <w:rPr>
                <w:rFonts w:hint="eastAsia"/>
                <w:b/>
                <w:bCs/>
              </w:rPr>
              <w:t>SW</w:t>
            </w:r>
          </w:p>
        </w:tc>
        <w:tc>
          <w:tcPr>
            <w:tcW w:w="339" w:type="pct"/>
            <w:vAlign w:val="center"/>
          </w:tcPr>
          <w:p w14:paraId="5E2F7B43">
            <w:pPr>
              <w:pStyle w:val="62"/>
              <w:rPr>
                <w:b/>
                <w:bCs/>
              </w:rPr>
            </w:pPr>
            <w:r>
              <w:rPr>
                <w:rFonts w:hint="eastAsia"/>
                <w:b/>
                <w:bCs/>
              </w:rPr>
              <w:t>WSW</w:t>
            </w:r>
          </w:p>
        </w:tc>
        <w:tc>
          <w:tcPr>
            <w:tcW w:w="231" w:type="pct"/>
            <w:vAlign w:val="center"/>
          </w:tcPr>
          <w:p w14:paraId="5E98A0F7">
            <w:pPr>
              <w:pStyle w:val="62"/>
              <w:rPr>
                <w:b/>
                <w:bCs/>
              </w:rPr>
            </w:pPr>
            <w:r>
              <w:rPr>
                <w:rFonts w:hint="eastAsia"/>
                <w:b/>
                <w:bCs/>
              </w:rPr>
              <w:t>W</w:t>
            </w:r>
          </w:p>
        </w:tc>
        <w:tc>
          <w:tcPr>
            <w:tcW w:w="355" w:type="pct"/>
            <w:vAlign w:val="center"/>
          </w:tcPr>
          <w:p w14:paraId="20640597">
            <w:pPr>
              <w:pStyle w:val="62"/>
              <w:rPr>
                <w:b/>
                <w:bCs/>
              </w:rPr>
            </w:pPr>
            <w:r>
              <w:rPr>
                <w:rFonts w:hint="eastAsia"/>
                <w:b/>
                <w:bCs/>
              </w:rPr>
              <w:t>WNW</w:t>
            </w:r>
          </w:p>
        </w:tc>
        <w:tc>
          <w:tcPr>
            <w:tcW w:w="231" w:type="pct"/>
            <w:vAlign w:val="center"/>
          </w:tcPr>
          <w:p w14:paraId="38372DE0">
            <w:pPr>
              <w:pStyle w:val="62"/>
              <w:rPr>
                <w:b/>
                <w:bCs/>
              </w:rPr>
            </w:pPr>
            <w:r>
              <w:rPr>
                <w:rFonts w:hint="eastAsia"/>
                <w:b/>
                <w:bCs/>
              </w:rPr>
              <w:t>NW</w:t>
            </w:r>
          </w:p>
        </w:tc>
        <w:tc>
          <w:tcPr>
            <w:tcW w:w="333" w:type="pct"/>
            <w:vAlign w:val="center"/>
          </w:tcPr>
          <w:p w14:paraId="37E7B0CF">
            <w:pPr>
              <w:pStyle w:val="62"/>
              <w:rPr>
                <w:b/>
                <w:bCs/>
              </w:rPr>
            </w:pPr>
            <w:r>
              <w:rPr>
                <w:rFonts w:hint="eastAsia"/>
                <w:b/>
                <w:bCs/>
              </w:rPr>
              <w:t>NNW</w:t>
            </w:r>
          </w:p>
        </w:tc>
        <w:tc>
          <w:tcPr>
            <w:tcW w:w="233" w:type="pct"/>
            <w:vAlign w:val="center"/>
          </w:tcPr>
          <w:p w14:paraId="4E76C526">
            <w:pPr>
              <w:pStyle w:val="62"/>
              <w:rPr>
                <w:b/>
                <w:bCs/>
              </w:rPr>
            </w:pPr>
            <w:r>
              <w:rPr>
                <w:rFonts w:hint="eastAsia"/>
                <w:b/>
                <w:bCs/>
              </w:rPr>
              <w:t>C</w:t>
            </w:r>
          </w:p>
        </w:tc>
      </w:tr>
      <w:tr w14:paraId="16AC7C10">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25" w:hRule="atLeast"/>
          <w:jc w:val="center"/>
        </w:trPr>
        <w:tc>
          <w:tcPr>
            <w:tcW w:w="291" w:type="pct"/>
            <w:vAlign w:val="center"/>
          </w:tcPr>
          <w:p w14:paraId="761EE428">
            <w:pPr>
              <w:pStyle w:val="62"/>
            </w:pPr>
            <w:r>
              <w:rPr>
                <w:rFonts w:hint="eastAsia"/>
              </w:rPr>
              <w:t>频率</w:t>
            </w:r>
          </w:p>
        </w:tc>
        <w:tc>
          <w:tcPr>
            <w:tcW w:w="281" w:type="pct"/>
            <w:vAlign w:val="center"/>
          </w:tcPr>
          <w:p w14:paraId="1A23BC08">
            <w:pPr>
              <w:pStyle w:val="62"/>
            </w:pPr>
            <w:r>
              <w:rPr>
                <w:rFonts w:hint="eastAsia"/>
              </w:rPr>
              <w:t>1.57</w:t>
            </w:r>
          </w:p>
        </w:tc>
        <w:tc>
          <w:tcPr>
            <w:tcW w:w="277" w:type="pct"/>
            <w:vAlign w:val="center"/>
          </w:tcPr>
          <w:p w14:paraId="67F14F27">
            <w:pPr>
              <w:pStyle w:val="62"/>
            </w:pPr>
            <w:r>
              <w:rPr>
                <w:rFonts w:hint="eastAsia"/>
              </w:rPr>
              <w:t>2.74</w:t>
            </w:r>
          </w:p>
        </w:tc>
        <w:tc>
          <w:tcPr>
            <w:tcW w:w="294" w:type="pct"/>
            <w:vAlign w:val="center"/>
          </w:tcPr>
          <w:p w14:paraId="2F76799D">
            <w:pPr>
              <w:pStyle w:val="62"/>
            </w:pPr>
            <w:r>
              <w:rPr>
                <w:rFonts w:hint="eastAsia"/>
              </w:rPr>
              <w:t>12.27</w:t>
            </w:r>
          </w:p>
        </w:tc>
        <w:tc>
          <w:tcPr>
            <w:tcW w:w="294" w:type="pct"/>
            <w:vAlign w:val="center"/>
          </w:tcPr>
          <w:p w14:paraId="6F244BD5">
            <w:pPr>
              <w:pStyle w:val="62"/>
            </w:pPr>
            <w:r>
              <w:rPr>
                <w:rFonts w:hint="eastAsia"/>
              </w:rPr>
              <w:t>16.28</w:t>
            </w:r>
          </w:p>
        </w:tc>
        <w:tc>
          <w:tcPr>
            <w:tcW w:w="294" w:type="pct"/>
            <w:vAlign w:val="center"/>
          </w:tcPr>
          <w:p w14:paraId="5E7E1560">
            <w:pPr>
              <w:pStyle w:val="62"/>
            </w:pPr>
            <w:r>
              <w:rPr>
                <w:rFonts w:hint="eastAsia"/>
              </w:rPr>
              <w:t>10.05</w:t>
            </w:r>
          </w:p>
        </w:tc>
        <w:tc>
          <w:tcPr>
            <w:tcW w:w="259" w:type="pct"/>
            <w:vAlign w:val="center"/>
          </w:tcPr>
          <w:p w14:paraId="2606EC67">
            <w:pPr>
              <w:pStyle w:val="62"/>
            </w:pPr>
            <w:r>
              <w:rPr>
                <w:rFonts w:hint="eastAsia"/>
              </w:rPr>
              <w:t>4.52</w:t>
            </w:r>
          </w:p>
        </w:tc>
        <w:tc>
          <w:tcPr>
            <w:tcW w:w="256" w:type="pct"/>
            <w:vAlign w:val="center"/>
          </w:tcPr>
          <w:p w14:paraId="72A7EDCD">
            <w:pPr>
              <w:pStyle w:val="62"/>
            </w:pPr>
            <w:r>
              <w:rPr>
                <w:rFonts w:hint="eastAsia"/>
              </w:rPr>
              <w:t>3.11</w:t>
            </w:r>
          </w:p>
        </w:tc>
        <w:tc>
          <w:tcPr>
            <w:tcW w:w="253" w:type="pct"/>
            <w:vAlign w:val="center"/>
          </w:tcPr>
          <w:p w14:paraId="2F5ACF21">
            <w:pPr>
              <w:pStyle w:val="62"/>
            </w:pPr>
            <w:r>
              <w:rPr>
                <w:rFonts w:hint="eastAsia"/>
              </w:rPr>
              <w:t>3.45</w:t>
            </w:r>
          </w:p>
        </w:tc>
        <w:tc>
          <w:tcPr>
            <w:tcW w:w="251" w:type="pct"/>
            <w:vAlign w:val="center"/>
          </w:tcPr>
          <w:p w14:paraId="49C8EFFE">
            <w:pPr>
              <w:pStyle w:val="62"/>
            </w:pPr>
            <w:r>
              <w:rPr>
                <w:rFonts w:hint="eastAsia"/>
              </w:rPr>
              <w:t>7.06</w:t>
            </w:r>
          </w:p>
        </w:tc>
        <w:tc>
          <w:tcPr>
            <w:tcW w:w="277" w:type="pct"/>
            <w:vAlign w:val="center"/>
          </w:tcPr>
          <w:p w14:paraId="3CABB64B">
            <w:pPr>
              <w:pStyle w:val="62"/>
            </w:pPr>
            <w:r>
              <w:rPr>
                <w:rFonts w:hint="eastAsia"/>
              </w:rPr>
              <w:t>9.36</w:t>
            </w:r>
          </w:p>
        </w:tc>
        <w:tc>
          <w:tcPr>
            <w:tcW w:w="250" w:type="pct"/>
            <w:vAlign w:val="center"/>
          </w:tcPr>
          <w:p w14:paraId="227D3EFA">
            <w:pPr>
              <w:pStyle w:val="62"/>
            </w:pPr>
            <w:r>
              <w:rPr>
                <w:rFonts w:hint="eastAsia"/>
              </w:rPr>
              <w:t>7.85</w:t>
            </w:r>
          </w:p>
        </w:tc>
        <w:tc>
          <w:tcPr>
            <w:tcW w:w="339" w:type="pct"/>
            <w:vAlign w:val="center"/>
          </w:tcPr>
          <w:p w14:paraId="39E5CD98">
            <w:pPr>
              <w:pStyle w:val="62"/>
            </w:pPr>
            <w:r>
              <w:rPr>
                <w:rFonts w:hint="eastAsia"/>
              </w:rPr>
              <w:t>5.41</w:t>
            </w:r>
          </w:p>
        </w:tc>
        <w:tc>
          <w:tcPr>
            <w:tcW w:w="231" w:type="pct"/>
            <w:vAlign w:val="center"/>
          </w:tcPr>
          <w:p w14:paraId="400D12B7">
            <w:pPr>
              <w:pStyle w:val="62"/>
            </w:pPr>
            <w:r>
              <w:rPr>
                <w:rFonts w:hint="eastAsia"/>
              </w:rPr>
              <w:t>3.73</w:t>
            </w:r>
          </w:p>
        </w:tc>
        <w:tc>
          <w:tcPr>
            <w:tcW w:w="355" w:type="pct"/>
            <w:vAlign w:val="center"/>
          </w:tcPr>
          <w:p w14:paraId="5093CFCB">
            <w:pPr>
              <w:pStyle w:val="62"/>
            </w:pPr>
            <w:r>
              <w:rPr>
                <w:rFonts w:hint="eastAsia"/>
              </w:rPr>
              <w:t>2.19</w:t>
            </w:r>
          </w:p>
        </w:tc>
        <w:tc>
          <w:tcPr>
            <w:tcW w:w="231" w:type="pct"/>
            <w:vAlign w:val="center"/>
          </w:tcPr>
          <w:p w14:paraId="51978C5E">
            <w:pPr>
              <w:pStyle w:val="62"/>
            </w:pPr>
            <w:r>
              <w:rPr>
                <w:rFonts w:hint="eastAsia"/>
              </w:rPr>
              <w:t>1.48</w:t>
            </w:r>
          </w:p>
        </w:tc>
        <w:tc>
          <w:tcPr>
            <w:tcW w:w="333" w:type="pct"/>
            <w:vAlign w:val="center"/>
          </w:tcPr>
          <w:p w14:paraId="3DF0C206">
            <w:pPr>
              <w:pStyle w:val="62"/>
            </w:pPr>
            <w:r>
              <w:rPr>
                <w:rFonts w:hint="eastAsia"/>
              </w:rPr>
              <w:t>1.12</w:t>
            </w:r>
          </w:p>
        </w:tc>
        <w:tc>
          <w:tcPr>
            <w:tcW w:w="233" w:type="pct"/>
            <w:vAlign w:val="center"/>
          </w:tcPr>
          <w:p w14:paraId="58502BC8">
            <w:pPr>
              <w:pStyle w:val="62"/>
            </w:pPr>
            <w:r>
              <w:rPr>
                <w:rFonts w:hint="eastAsia"/>
              </w:rPr>
              <w:t>7.81</w:t>
            </w:r>
          </w:p>
        </w:tc>
      </w:tr>
    </w:tbl>
    <w:p w14:paraId="2464A369">
      <w:pPr>
        <w:pStyle w:val="212"/>
        <w:spacing w:line="360" w:lineRule="auto"/>
        <w:ind w:firstLine="0"/>
        <w:jc w:val="center"/>
        <w:rPr>
          <w:rFonts w:ascii="Times New Roman" w:hAnsi="Times New Roman" w:eastAsia="宋体" w:cs="Times New Roman"/>
          <w:color w:val="auto"/>
        </w:rPr>
      </w:pPr>
      <w:r>
        <w:rPr>
          <w:color w:val="auto"/>
        </w:rPr>
        <w:drawing>
          <wp:inline distT="0" distB="0" distL="0" distR="0">
            <wp:extent cx="1813560" cy="2095500"/>
            <wp:effectExtent l="0" t="0" r="15240" b="0"/>
            <wp:docPr id="1704754278" name="图片 14"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54278" name="图片 14" descr="图表, 雷达图&#10;&#10;描述已自动生成"/>
                    <pic:cNvPicPr>
                      <a:picLocks noChangeAspect="1" noChangeArrowheads="1"/>
                    </pic:cNvPicPr>
                  </pic:nvPicPr>
                  <pic:blipFill>
                    <a:blip r:embed="rId80"/>
                    <a:srcRect/>
                    <a:stretch>
                      <a:fillRect/>
                    </a:stretch>
                  </pic:blipFill>
                  <pic:spPr>
                    <a:xfrm>
                      <a:off x="0" y="0"/>
                      <a:ext cx="1813560" cy="2095500"/>
                    </a:xfrm>
                    <a:prstGeom prst="rect">
                      <a:avLst/>
                    </a:prstGeom>
                    <a:noFill/>
                    <a:ln>
                      <a:noFill/>
                    </a:ln>
                    <a:effectLst/>
                  </pic:spPr>
                </pic:pic>
              </a:graphicData>
            </a:graphic>
          </wp:inline>
        </w:drawing>
      </w:r>
    </w:p>
    <w:p w14:paraId="1846452B">
      <w:pPr>
        <w:pStyle w:val="99"/>
        <w:numPr>
          <w:ilvl w:val="0"/>
          <w:numId w:val="26"/>
        </w:numPr>
        <w:ind w:firstLineChars="0"/>
        <w:jc w:val="center"/>
        <w:rPr>
          <w:rFonts w:eastAsia="黑体"/>
        </w:rPr>
      </w:pPr>
      <w:r>
        <w:rPr>
          <w:rFonts w:eastAsia="黑体"/>
        </w:rPr>
        <w:t xml:space="preserve">  新乡风向玫瑰图（静风频率</w:t>
      </w:r>
      <w:r>
        <w:rPr>
          <w:rFonts w:hint="eastAsia" w:eastAsia="黑体"/>
        </w:rPr>
        <w:t>7.81</w:t>
      </w:r>
      <w:r>
        <w:rPr>
          <w:rFonts w:eastAsia="黑体"/>
        </w:rPr>
        <w:t>%）</w:t>
      </w:r>
    </w:p>
    <w:p w14:paraId="4764823B">
      <w:pPr>
        <w:pStyle w:val="212"/>
        <w:spacing w:line="360" w:lineRule="auto"/>
        <w:ind w:firstLine="0"/>
        <w:jc w:val="center"/>
        <w:rPr>
          <w:rFonts w:ascii="Times New Roman" w:hAnsi="Times New Roman" w:eastAsia="宋体" w:cs="Times New Roman"/>
          <w:color w:val="auto"/>
        </w:rPr>
      </w:pPr>
    </w:p>
    <w:p w14:paraId="2C3C31AE">
      <w:pPr>
        <w:ind w:firstLine="480"/>
        <w:rPr>
          <w:highlight w:val="yellow"/>
        </w:rPr>
      </w:pPr>
      <w:r>
        <w:rPr>
          <w:rFonts w:hint="eastAsia"/>
        </w:rPr>
        <w:t>各月风向频率如下：</w:t>
      </w:r>
    </w:p>
    <w:p w14:paraId="1D3ED0BA">
      <w:pPr>
        <w:pStyle w:val="64"/>
        <w:numPr>
          <w:ilvl w:val="2"/>
          <w:numId w:val="25"/>
        </w:numPr>
        <w:spacing w:before="120"/>
        <w:ind w:left="0" w:firstLine="480" w:firstLineChars="200"/>
      </w:pPr>
      <w:r>
        <w:t xml:space="preserve">      </w:t>
      </w:r>
      <w:r>
        <w:rPr>
          <w:bCs/>
        </w:rPr>
        <w:t xml:space="preserve"> </w:t>
      </w:r>
      <w:r>
        <w:rPr>
          <w:rFonts w:hint="eastAsia"/>
          <w:bCs/>
        </w:rPr>
        <w:t>新乡</w:t>
      </w:r>
      <w:r>
        <w:rPr>
          <w:bCs/>
        </w:rPr>
        <w:t>气象站（200</w:t>
      </w:r>
      <w:r>
        <w:rPr>
          <w:rFonts w:hint="eastAsia"/>
          <w:bCs/>
        </w:rPr>
        <w:t>4</w:t>
      </w:r>
      <w:r>
        <w:rPr>
          <w:bCs/>
        </w:rPr>
        <w:t>-202</w:t>
      </w:r>
      <w:r>
        <w:rPr>
          <w:rFonts w:hint="eastAsia"/>
          <w:bCs/>
        </w:rPr>
        <w:t>3</w:t>
      </w:r>
      <w:r>
        <w:rPr>
          <w:bCs/>
        </w:rPr>
        <w:t>）各月风向频率</w:t>
      </w:r>
      <w:r>
        <w:t xml:space="preserve">      单位：%</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380"/>
        <w:gridCol w:w="463"/>
        <w:gridCol w:w="485"/>
        <w:gridCol w:w="485"/>
        <w:gridCol w:w="485"/>
        <w:gridCol w:w="408"/>
        <w:gridCol w:w="380"/>
        <w:gridCol w:w="387"/>
        <w:gridCol w:w="485"/>
        <w:gridCol w:w="485"/>
        <w:gridCol w:w="485"/>
        <w:gridCol w:w="550"/>
        <w:gridCol w:w="380"/>
        <w:gridCol w:w="585"/>
        <w:gridCol w:w="398"/>
        <w:gridCol w:w="555"/>
        <w:gridCol w:w="478"/>
      </w:tblGrid>
      <w:tr w14:paraId="52870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014ECCAA">
            <w:pPr>
              <w:pStyle w:val="67"/>
              <w:rPr>
                <w:rFonts w:cs="Times New Roman"/>
                <w:color w:val="auto"/>
              </w:rPr>
            </w:pPr>
            <w:r>
              <w:rPr>
                <w:rFonts w:cs="Times New Roman"/>
                <w:color w:val="auto"/>
              </w:rPr>
              <w:t>月份</w:t>
            </w:r>
          </w:p>
        </w:tc>
        <w:tc>
          <w:tcPr>
            <w:tcW w:w="228" w:type="pct"/>
            <w:tcMar>
              <w:top w:w="0" w:type="dxa"/>
              <w:left w:w="0" w:type="dxa"/>
              <w:bottom w:w="0" w:type="dxa"/>
              <w:right w:w="0" w:type="dxa"/>
            </w:tcMar>
            <w:vAlign w:val="center"/>
          </w:tcPr>
          <w:p w14:paraId="470E55AC">
            <w:pPr>
              <w:pStyle w:val="67"/>
              <w:rPr>
                <w:rFonts w:cs="Times New Roman"/>
                <w:color w:val="auto"/>
              </w:rPr>
            </w:pPr>
            <w:r>
              <w:rPr>
                <w:rFonts w:cs="Times New Roman"/>
                <w:color w:val="auto"/>
              </w:rPr>
              <w:t>N</w:t>
            </w:r>
          </w:p>
        </w:tc>
        <w:tc>
          <w:tcPr>
            <w:tcW w:w="278" w:type="pct"/>
            <w:tcMar>
              <w:top w:w="0" w:type="dxa"/>
              <w:left w:w="0" w:type="dxa"/>
              <w:bottom w:w="0" w:type="dxa"/>
              <w:right w:w="0" w:type="dxa"/>
            </w:tcMar>
            <w:vAlign w:val="center"/>
          </w:tcPr>
          <w:p w14:paraId="0BF97F01">
            <w:pPr>
              <w:pStyle w:val="67"/>
              <w:rPr>
                <w:rFonts w:cs="Times New Roman"/>
                <w:color w:val="auto"/>
              </w:rPr>
            </w:pPr>
            <w:r>
              <w:rPr>
                <w:rFonts w:cs="Times New Roman"/>
                <w:color w:val="auto"/>
              </w:rPr>
              <w:t>NNE</w:t>
            </w:r>
          </w:p>
        </w:tc>
        <w:tc>
          <w:tcPr>
            <w:tcW w:w="291" w:type="pct"/>
            <w:tcMar>
              <w:top w:w="0" w:type="dxa"/>
              <w:left w:w="0" w:type="dxa"/>
              <w:bottom w:w="0" w:type="dxa"/>
              <w:right w:w="0" w:type="dxa"/>
            </w:tcMar>
            <w:vAlign w:val="center"/>
          </w:tcPr>
          <w:p w14:paraId="7D8A0E4B">
            <w:pPr>
              <w:pStyle w:val="67"/>
              <w:rPr>
                <w:rFonts w:cs="Times New Roman"/>
                <w:color w:val="auto"/>
              </w:rPr>
            </w:pPr>
            <w:r>
              <w:rPr>
                <w:rFonts w:cs="Times New Roman"/>
                <w:color w:val="auto"/>
              </w:rPr>
              <w:t>NE</w:t>
            </w:r>
          </w:p>
        </w:tc>
        <w:tc>
          <w:tcPr>
            <w:tcW w:w="291" w:type="pct"/>
            <w:tcMar>
              <w:top w:w="0" w:type="dxa"/>
              <w:left w:w="0" w:type="dxa"/>
              <w:bottom w:w="0" w:type="dxa"/>
              <w:right w:w="0" w:type="dxa"/>
            </w:tcMar>
            <w:vAlign w:val="center"/>
          </w:tcPr>
          <w:p w14:paraId="345357A5">
            <w:pPr>
              <w:pStyle w:val="67"/>
              <w:rPr>
                <w:rFonts w:cs="Times New Roman"/>
                <w:color w:val="auto"/>
              </w:rPr>
            </w:pPr>
            <w:r>
              <w:rPr>
                <w:rFonts w:cs="Times New Roman"/>
                <w:color w:val="auto"/>
              </w:rPr>
              <w:t>ENE</w:t>
            </w:r>
          </w:p>
        </w:tc>
        <w:tc>
          <w:tcPr>
            <w:tcW w:w="291" w:type="pct"/>
            <w:tcMar>
              <w:top w:w="0" w:type="dxa"/>
              <w:left w:w="0" w:type="dxa"/>
              <w:bottom w:w="0" w:type="dxa"/>
              <w:right w:w="0" w:type="dxa"/>
            </w:tcMar>
            <w:vAlign w:val="center"/>
          </w:tcPr>
          <w:p w14:paraId="7C562D47">
            <w:pPr>
              <w:pStyle w:val="67"/>
              <w:rPr>
                <w:rFonts w:cs="Times New Roman"/>
                <w:color w:val="auto"/>
              </w:rPr>
            </w:pPr>
            <w:r>
              <w:rPr>
                <w:rFonts w:cs="Times New Roman"/>
                <w:color w:val="auto"/>
              </w:rPr>
              <w:t>E</w:t>
            </w:r>
          </w:p>
        </w:tc>
        <w:tc>
          <w:tcPr>
            <w:tcW w:w="245" w:type="pct"/>
            <w:tcMar>
              <w:top w:w="0" w:type="dxa"/>
              <w:left w:w="0" w:type="dxa"/>
              <w:bottom w:w="0" w:type="dxa"/>
              <w:right w:w="0" w:type="dxa"/>
            </w:tcMar>
            <w:vAlign w:val="center"/>
          </w:tcPr>
          <w:p w14:paraId="111402EB">
            <w:pPr>
              <w:pStyle w:val="67"/>
              <w:rPr>
                <w:rFonts w:cs="Times New Roman"/>
                <w:color w:val="auto"/>
              </w:rPr>
            </w:pPr>
            <w:r>
              <w:rPr>
                <w:rFonts w:cs="Times New Roman"/>
                <w:color w:val="auto"/>
              </w:rPr>
              <w:t>ESE</w:t>
            </w:r>
          </w:p>
        </w:tc>
        <w:tc>
          <w:tcPr>
            <w:tcW w:w="228" w:type="pct"/>
            <w:tcMar>
              <w:top w:w="0" w:type="dxa"/>
              <w:left w:w="0" w:type="dxa"/>
              <w:bottom w:w="0" w:type="dxa"/>
              <w:right w:w="0" w:type="dxa"/>
            </w:tcMar>
            <w:vAlign w:val="center"/>
          </w:tcPr>
          <w:p w14:paraId="47C0AA3E">
            <w:pPr>
              <w:pStyle w:val="67"/>
              <w:rPr>
                <w:rFonts w:cs="Times New Roman"/>
                <w:color w:val="auto"/>
              </w:rPr>
            </w:pPr>
            <w:r>
              <w:rPr>
                <w:rFonts w:cs="Times New Roman"/>
                <w:color w:val="auto"/>
              </w:rPr>
              <w:t>SE</w:t>
            </w:r>
          </w:p>
        </w:tc>
        <w:tc>
          <w:tcPr>
            <w:tcW w:w="232" w:type="pct"/>
            <w:tcMar>
              <w:top w:w="0" w:type="dxa"/>
              <w:left w:w="0" w:type="dxa"/>
              <w:bottom w:w="0" w:type="dxa"/>
              <w:right w:w="0" w:type="dxa"/>
            </w:tcMar>
            <w:vAlign w:val="center"/>
          </w:tcPr>
          <w:p w14:paraId="454FE131">
            <w:pPr>
              <w:pStyle w:val="67"/>
              <w:rPr>
                <w:rFonts w:cs="Times New Roman"/>
                <w:color w:val="auto"/>
              </w:rPr>
            </w:pPr>
            <w:r>
              <w:rPr>
                <w:rFonts w:cs="Times New Roman"/>
                <w:color w:val="auto"/>
              </w:rPr>
              <w:t>SSE</w:t>
            </w:r>
          </w:p>
        </w:tc>
        <w:tc>
          <w:tcPr>
            <w:tcW w:w="291" w:type="pct"/>
            <w:tcMar>
              <w:top w:w="0" w:type="dxa"/>
              <w:left w:w="0" w:type="dxa"/>
              <w:bottom w:w="0" w:type="dxa"/>
              <w:right w:w="0" w:type="dxa"/>
            </w:tcMar>
            <w:vAlign w:val="center"/>
          </w:tcPr>
          <w:p w14:paraId="247EF862">
            <w:pPr>
              <w:pStyle w:val="67"/>
              <w:rPr>
                <w:rFonts w:cs="Times New Roman"/>
                <w:color w:val="auto"/>
              </w:rPr>
            </w:pPr>
            <w:r>
              <w:rPr>
                <w:rFonts w:cs="Times New Roman"/>
                <w:color w:val="auto"/>
              </w:rPr>
              <w:t>S</w:t>
            </w:r>
          </w:p>
        </w:tc>
        <w:tc>
          <w:tcPr>
            <w:tcW w:w="291" w:type="pct"/>
            <w:tcMar>
              <w:top w:w="0" w:type="dxa"/>
              <w:left w:w="0" w:type="dxa"/>
              <w:bottom w:w="0" w:type="dxa"/>
              <w:right w:w="0" w:type="dxa"/>
            </w:tcMar>
            <w:vAlign w:val="center"/>
          </w:tcPr>
          <w:p w14:paraId="360B8A70">
            <w:pPr>
              <w:pStyle w:val="67"/>
              <w:rPr>
                <w:rFonts w:cs="Times New Roman"/>
                <w:color w:val="auto"/>
              </w:rPr>
            </w:pPr>
            <w:r>
              <w:rPr>
                <w:rFonts w:cs="Times New Roman"/>
                <w:color w:val="auto"/>
              </w:rPr>
              <w:t>SSW</w:t>
            </w:r>
          </w:p>
        </w:tc>
        <w:tc>
          <w:tcPr>
            <w:tcW w:w="291" w:type="pct"/>
            <w:tcMar>
              <w:top w:w="0" w:type="dxa"/>
              <w:left w:w="0" w:type="dxa"/>
              <w:bottom w:w="0" w:type="dxa"/>
              <w:right w:w="0" w:type="dxa"/>
            </w:tcMar>
            <w:vAlign w:val="center"/>
          </w:tcPr>
          <w:p w14:paraId="73CAC56C">
            <w:pPr>
              <w:pStyle w:val="67"/>
              <w:rPr>
                <w:rFonts w:cs="Times New Roman"/>
                <w:color w:val="auto"/>
              </w:rPr>
            </w:pPr>
            <w:r>
              <w:rPr>
                <w:rFonts w:cs="Times New Roman"/>
                <w:color w:val="auto"/>
              </w:rPr>
              <w:t>SW</w:t>
            </w:r>
          </w:p>
        </w:tc>
        <w:tc>
          <w:tcPr>
            <w:tcW w:w="330" w:type="pct"/>
            <w:tcMar>
              <w:top w:w="0" w:type="dxa"/>
              <w:left w:w="0" w:type="dxa"/>
              <w:bottom w:w="0" w:type="dxa"/>
              <w:right w:w="0" w:type="dxa"/>
            </w:tcMar>
            <w:vAlign w:val="center"/>
          </w:tcPr>
          <w:p w14:paraId="4504BF2A">
            <w:pPr>
              <w:pStyle w:val="67"/>
              <w:rPr>
                <w:rFonts w:cs="Times New Roman"/>
                <w:color w:val="auto"/>
              </w:rPr>
            </w:pPr>
            <w:r>
              <w:rPr>
                <w:rFonts w:cs="Times New Roman"/>
                <w:color w:val="auto"/>
              </w:rPr>
              <w:t>WSW</w:t>
            </w:r>
          </w:p>
        </w:tc>
        <w:tc>
          <w:tcPr>
            <w:tcW w:w="228" w:type="pct"/>
            <w:tcMar>
              <w:top w:w="0" w:type="dxa"/>
              <w:left w:w="0" w:type="dxa"/>
              <w:bottom w:w="0" w:type="dxa"/>
              <w:right w:w="0" w:type="dxa"/>
            </w:tcMar>
            <w:vAlign w:val="center"/>
          </w:tcPr>
          <w:p w14:paraId="62267CB5">
            <w:pPr>
              <w:pStyle w:val="67"/>
              <w:rPr>
                <w:rFonts w:cs="Times New Roman"/>
                <w:color w:val="auto"/>
              </w:rPr>
            </w:pPr>
            <w:r>
              <w:rPr>
                <w:rFonts w:cs="Times New Roman"/>
                <w:color w:val="auto"/>
              </w:rPr>
              <w:t>W</w:t>
            </w:r>
          </w:p>
        </w:tc>
        <w:tc>
          <w:tcPr>
            <w:tcW w:w="351" w:type="pct"/>
            <w:tcMar>
              <w:top w:w="0" w:type="dxa"/>
              <w:left w:w="0" w:type="dxa"/>
              <w:bottom w:w="0" w:type="dxa"/>
              <w:right w:w="0" w:type="dxa"/>
            </w:tcMar>
            <w:vAlign w:val="center"/>
          </w:tcPr>
          <w:p w14:paraId="798B0C69">
            <w:pPr>
              <w:pStyle w:val="67"/>
              <w:rPr>
                <w:rFonts w:cs="Times New Roman"/>
                <w:color w:val="auto"/>
              </w:rPr>
            </w:pPr>
            <w:r>
              <w:rPr>
                <w:rFonts w:cs="Times New Roman"/>
                <w:color w:val="auto"/>
              </w:rPr>
              <w:t>WNW</w:t>
            </w:r>
          </w:p>
        </w:tc>
        <w:tc>
          <w:tcPr>
            <w:tcW w:w="239" w:type="pct"/>
            <w:tcMar>
              <w:top w:w="0" w:type="dxa"/>
              <w:left w:w="0" w:type="dxa"/>
              <w:bottom w:w="0" w:type="dxa"/>
              <w:right w:w="0" w:type="dxa"/>
            </w:tcMar>
            <w:vAlign w:val="center"/>
          </w:tcPr>
          <w:p w14:paraId="6667FE1F">
            <w:pPr>
              <w:pStyle w:val="67"/>
              <w:rPr>
                <w:rFonts w:cs="Times New Roman"/>
                <w:color w:val="auto"/>
              </w:rPr>
            </w:pPr>
            <w:r>
              <w:rPr>
                <w:rFonts w:cs="Times New Roman"/>
                <w:color w:val="auto"/>
              </w:rPr>
              <w:t>NW</w:t>
            </w:r>
          </w:p>
        </w:tc>
        <w:tc>
          <w:tcPr>
            <w:tcW w:w="333" w:type="pct"/>
            <w:tcMar>
              <w:top w:w="0" w:type="dxa"/>
              <w:left w:w="0" w:type="dxa"/>
              <w:bottom w:w="0" w:type="dxa"/>
              <w:right w:w="0" w:type="dxa"/>
            </w:tcMar>
            <w:vAlign w:val="center"/>
          </w:tcPr>
          <w:p w14:paraId="3E8CCD58">
            <w:pPr>
              <w:pStyle w:val="67"/>
              <w:rPr>
                <w:rFonts w:cs="Times New Roman"/>
                <w:color w:val="auto"/>
              </w:rPr>
            </w:pPr>
            <w:r>
              <w:rPr>
                <w:rFonts w:cs="Times New Roman"/>
                <w:color w:val="auto"/>
              </w:rPr>
              <w:t>NNW</w:t>
            </w:r>
          </w:p>
        </w:tc>
        <w:tc>
          <w:tcPr>
            <w:tcW w:w="286" w:type="pct"/>
            <w:tcMar>
              <w:top w:w="0" w:type="dxa"/>
              <w:left w:w="0" w:type="dxa"/>
              <w:bottom w:w="0" w:type="dxa"/>
              <w:right w:w="0" w:type="dxa"/>
            </w:tcMar>
            <w:vAlign w:val="center"/>
          </w:tcPr>
          <w:p w14:paraId="3AAE79E4">
            <w:pPr>
              <w:pStyle w:val="67"/>
              <w:rPr>
                <w:rFonts w:cs="Times New Roman"/>
                <w:color w:val="auto"/>
              </w:rPr>
            </w:pPr>
            <w:r>
              <w:rPr>
                <w:rFonts w:cs="Times New Roman"/>
                <w:color w:val="auto"/>
              </w:rPr>
              <w:t>静风</w:t>
            </w:r>
          </w:p>
        </w:tc>
      </w:tr>
      <w:tr w14:paraId="2482C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2021DB6A">
            <w:pPr>
              <w:pStyle w:val="67"/>
              <w:rPr>
                <w:rFonts w:cs="Times New Roman"/>
                <w:b w:val="0"/>
                <w:bCs/>
                <w:color w:val="auto"/>
              </w:rPr>
            </w:pPr>
            <w:r>
              <w:rPr>
                <w:rFonts w:cs="Times New Roman"/>
                <w:b w:val="0"/>
                <w:bCs/>
                <w:color w:val="auto"/>
              </w:rPr>
              <w:t>01</w:t>
            </w:r>
          </w:p>
        </w:tc>
        <w:tc>
          <w:tcPr>
            <w:tcW w:w="228" w:type="pct"/>
            <w:tcMar>
              <w:top w:w="0" w:type="dxa"/>
              <w:left w:w="0" w:type="dxa"/>
              <w:bottom w:w="0" w:type="dxa"/>
              <w:right w:w="0" w:type="dxa"/>
            </w:tcMar>
            <w:vAlign w:val="center"/>
          </w:tcPr>
          <w:p w14:paraId="4DEB3983">
            <w:pPr>
              <w:pStyle w:val="67"/>
              <w:rPr>
                <w:rFonts w:cs="Times New Roman"/>
                <w:b w:val="0"/>
                <w:bCs/>
                <w:color w:val="auto"/>
                <w:highlight w:val="yellow"/>
              </w:rPr>
            </w:pPr>
            <w:r>
              <w:rPr>
                <w:rFonts w:hint="eastAsia" w:cs="Times New Roman"/>
                <w:b w:val="0"/>
                <w:bCs/>
                <w:color w:val="auto"/>
              </w:rPr>
              <w:t>1.5</w:t>
            </w:r>
          </w:p>
        </w:tc>
        <w:tc>
          <w:tcPr>
            <w:tcW w:w="278" w:type="pct"/>
            <w:tcMar>
              <w:top w:w="0" w:type="dxa"/>
              <w:left w:w="0" w:type="dxa"/>
              <w:bottom w:w="0" w:type="dxa"/>
              <w:right w:w="0" w:type="dxa"/>
            </w:tcMar>
            <w:vAlign w:val="center"/>
          </w:tcPr>
          <w:p w14:paraId="540A45C8">
            <w:pPr>
              <w:pStyle w:val="67"/>
              <w:rPr>
                <w:rFonts w:cs="Times New Roman"/>
                <w:b w:val="0"/>
                <w:bCs/>
                <w:color w:val="auto"/>
                <w:highlight w:val="yellow"/>
              </w:rPr>
            </w:pPr>
            <w:r>
              <w:rPr>
                <w:rFonts w:hint="eastAsia" w:cs="Times New Roman"/>
                <w:b w:val="0"/>
                <w:bCs/>
                <w:color w:val="auto"/>
              </w:rPr>
              <w:t>2.6</w:t>
            </w:r>
          </w:p>
        </w:tc>
        <w:tc>
          <w:tcPr>
            <w:tcW w:w="291" w:type="pct"/>
            <w:tcMar>
              <w:top w:w="0" w:type="dxa"/>
              <w:left w:w="0" w:type="dxa"/>
              <w:bottom w:w="0" w:type="dxa"/>
              <w:right w:w="0" w:type="dxa"/>
            </w:tcMar>
            <w:vAlign w:val="center"/>
          </w:tcPr>
          <w:p w14:paraId="2923F8C7">
            <w:pPr>
              <w:pStyle w:val="67"/>
              <w:rPr>
                <w:rFonts w:cs="Times New Roman"/>
                <w:b w:val="0"/>
                <w:bCs/>
                <w:color w:val="auto"/>
                <w:highlight w:val="yellow"/>
              </w:rPr>
            </w:pPr>
            <w:r>
              <w:rPr>
                <w:rFonts w:hint="eastAsia" w:cs="Times New Roman"/>
                <w:b w:val="0"/>
                <w:bCs/>
                <w:color w:val="auto"/>
              </w:rPr>
              <w:t>13.55</w:t>
            </w:r>
          </w:p>
        </w:tc>
        <w:tc>
          <w:tcPr>
            <w:tcW w:w="291" w:type="pct"/>
            <w:tcMar>
              <w:top w:w="0" w:type="dxa"/>
              <w:left w:w="0" w:type="dxa"/>
              <w:bottom w:w="0" w:type="dxa"/>
              <w:right w:w="0" w:type="dxa"/>
            </w:tcMar>
            <w:vAlign w:val="center"/>
          </w:tcPr>
          <w:p w14:paraId="640BAC14">
            <w:pPr>
              <w:pStyle w:val="67"/>
              <w:rPr>
                <w:rFonts w:cs="Times New Roman"/>
                <w:b w:val="0"/>
                <w:bCs/>
                <w:color w:val="auto"/>
                <w:highlight w:val="yellow"/>
              </w:rPr>
            </w:pPr>
            <w:r>
              <w:rPr>
                <w:rFonts w:hint="eastAsia" w:cs="Times New Roman"/>
                <w:b w:val="0"/>
                <w:bCs/>
                <w:color w:val="auto"/>
              </w:rPr>
              <w:t>20.65</w:t>
            </w:r>
          </w:p>
        </w:tc>
        <w:tc>
          <w:tcPr>
            <w:tcW w:w="291" w:type="pct"/>
            <w:tcMar>
              <w:top w:w="0" w:type="dxa"/>
              <w:left w:w="0" w:type="dxa"/>
              <w:bottom w:w="0" w:type="dxa"/>
              <w:right w:w="0" w:type="dxa"/>
            </w:tcMar>
            <w:vAlign w:val="center"/>
          </w:tcPr>
          <w:p w14:paraId="2ED5678A">
            <w:pPr>
              <w:pStyle w:val="67"/>
              <w:rPr>
                <w:rFonts w:cs="Times New Roman"/>
                <w:b w:val="0"/>
                <w:bCs/>
                <w:color w:val="auto"/>
                <w:highlight w:val="yellow"/>
              </w:rPr>
            </w:pPr>
            <w:r>
              <w:rPr>
                <w:rFonts w:hint="eastAsia" w:cs="Times New Roman"/>
                <w:b w:val="0"/>
                <w:bCs/>
                <w:color w:val="auto"/>
              </w:rPr>
              <w:t>11.85</w:t>
            </w:r>
          </w:p>
        </w:tc>
        <w:tc>
          <w:tcPr>
            <w:tcW w:w="245" w:type="pct"/>
            <w:tcMar>
              <w:top w:w="0" w:type="dxa"/>
              <w:left w:w="0" w:type="dxa"/>
              <w:bottom w:w="0" w:type="dxa"/>
              <w:right w:w="0" w:type="dxa"/>
            </w:tcMar>
            <w:vAlign w:val="center"/>
          </w:tcPr>
          <w:p w14:paraId="4BF1DEAA">
            <w:pPr>
              <w:pStyle w:val="67"/>
              <w:rPr>
                <w:rFonts w:cs="Times New Roman"/>
                <w:b w:val="0"/>
                <w:bCs/>
                <w:color w:val="auto"/>
                <w:highlight w:val="yellow"/>
              </w:rPr>
            </w:pPr>
            <w:r>
              <w:rPr>
                <w:rFonts w:hint="eastAsia" w:cs="Times New Roman"/>
                <w:b w:val="0"/>
                <w:bCs/>
                <w:color w:val="auto"/>
              </w:rPr>
              <w:t>3.45</w:t>
            </w:r>
          </w:p>
        </w:tc>
        <w:tc>
          <w:tcPr>
            <w:tcW w:w="228" w:type="pct"/>
            <w:tcMar>
              <w:top w:w="0" w:type="dxa"/>
              <w:left w:w="0" w:type="dxa"/>
              <w:bottom w:w="0" w:type="dxa"/>
              <w:right w:w="0" w:type="dxa"/>
            </w:tcMar>
            <w:vAlign w:val="center"/>
          </w:tcPr>
          <w:p w14:paraId="18F80F2E">
            <w:pPr>
              <w:pStyle w:val="67"/>
              <w:rPr>
                <w:rFonts w:cs="Times New Roman"/>
                <w:b w:val="0"/>
                <w:bCs/>
                <w:color w:val="auto"/>
                <w:highlight w:val="yellow"/>
              </w:rPr>
            </w:pPr>
            <w:r>
              <w:rPr>
                <w:rFonts w:hint="eastAsia" w:cs="Times New Roman"/>
                <w:b w:val="0"/>
                <w:bCs/>
                <w:color w:val="auto"/>
              </w:rPr>
              <w:t>1.9</w:t>
            </w:r>
          </w:p>
        </w:tc>
        <w:tc>
          <w:tcPr>
            <w:tcW w:w="232" w:type="pct"/>
            <w:tcMar>
              <w:top w:w="0" w:type="dxa"/>
              <w:left w:w="0" w:type="dxa"/>
              <w:bottom w:w="0" w:type="dxa"/>
              <w:right w:w="0" w:type="dxa"/>
            </w:tcMar>
            <w:vAlign w:val="center"/>
          </w:tcPr>
          <w:p w14:paraId="7F6B0F01">
            <w:pPr>
              <w:pStyle w:val="67"/>
              <w:rPr>
                <w:rFonts w:cs="Times New Roman"/>
                <w:b w:val="0"/>
                <w:bCs/>
                <w:color w:val="auto"/>
                <w:highlight w:val="yellow"/>
              </w:rPr>
            </w:pPr>
            <w:r>
              <w:rPr>
                <w:rFonts w:hint="eastAsia" w:cs="Times New Roman"/>
                <w:b w:val="0"/>
                <w:bCs/>
                <w:color w:val="auto"/>
              </w:rPr>
              <w:t>1.6</w:t>
            </w:r>
          </w:p>
        </w:tc>
        <w:tc>
          <w:tcPr>
            <w:tcW w:w="291" w:type="pct"/>
            <w:tcMar>
              <w:top w:w="0" w:type="dxa"/>
              <w:left w:w="0" w:type="dxa"/>
              <w:bottom w:w="0" w:type="dxa"/>
              <w:right w:w="0" w:type="dxa"/>
            </w:tcMar>
            <w:vAlign w:val="center"/>
          </w:tcPr>
          <w:p w14:paraId="492B9B83">
            <w:pPr>
              <w:pStyle w:val="67"/>
              <w:rPr>
                <w:rFonts w:cs="Times New Roman"/>
                <w:b w:val="0"/>
                <w:bCs/>
                <w:color w:val="auto"/>
                <w:highlight w:val="yellow"/>
              </w:rPr>
            </w:pPr>
            <w:r>
              <w:rPr>
                <w:rFonts w:hint="eastAsia" w:cs="Times New Roman"/>
                <w:b w:val="0"/>
                <w:bCs/>
                <w:color w:val="auto"/>
              </w:rPr>
              <w:t>4.55</w:t>
            </w:r>
          </w:p>
        </w:tc>
        <w:tc>
          <w:tcPr>
            <w:tcW w:w="291" w:type="pct"/>
            <w:tcMar>
              <w:top w:w="0" w:type="dxa"/>
              <w:left w:w="0" w:type="dxa"/>
              <w:bottom w:w="0" w:type="dxa"/>
              <w:right w:w="0" w:type="dxa"/>
            </w:tcMar>
            <w:vAlign w:val="center"/>
          </w:tcPr>
          <w:p w14:paraId="28F9DE10">
            <w:pPr>
              <w:pStyle w:val="67"/>
              <w:rPr>
                <w:rFonts w:cs="Times New Roman"/>
                <w:b w:val="0"/>
                <w:bCs/>
                <w:color w:val="auto"/>
                <w:highlight w:val="yellow"/>
              </w:rPr>
            </w:pPr>
            <w:r>
              <w:rPr>
                <w:rFonts w:hint="eastAsia" w:cs="Times New Roman"/>
                <w:b w:val="0"/>
                <w:bCs/>
                <w:color w:val="auto"/>
              </w:rPr>
              <w:t>7.35</w:t>
            </w:r>
          </w:p>
        </w:tc>
        <w:tc>
          <w:tcPr>
            <w:tcW w:w="291" w:type="pct"/>
            <w:tcMar>
              <w:top w:w="0" w:type="dxa"/>
              <w:left w:w="0" w:type="dxa"/>
              <w:bottom w:w="0" w:type="dxa"/>
              <w:right w:w="0" w:type="dxa"/>
            </w:tcMar>
            <w:vAlign w:val="center"/>
          </w:tcPr>
          <w:p w14:paraId="14C8CDC1">
            <w:pPr>
              <w:pStyle w:val="67"/>
              <w:rPr>
                <w:rFonts w:cs="Times New Roman"/>
                <w:b w:val="0"/>
                <w:bCs/>
                <w:color w:val="auto"/>
                <w:highlight w:val="yellow"/>
              </w:rPr>
            </w:pPr>
            <w:r>
              <w:rPr>
                <w:rFonts w:hint="eastAsia" w:cs="Times New Roman"/>
                <w:b w:val="0"/>
                <w:bCs/>
                <w:color w:val="auto"/>
              </w:rPr>
              <w:t>7.65</w:t>
            </w:r>
          </w:p>
        </w:tc>
        <w:tc>
          <w:tcPr>
            <w:tcW w:w="330" w:type="pct"/>
            <w:tcMar>
              <w:top w:w="0" w:type="dxa"/>
              <w:left w:w="0" w:type="dxa"/>
              <w:bottom w:w="0" w:type="dxa"/>
              <w:right w:w="0" w:type="dxa"/>
            </w:tcMar>
            <w:vAlign w:val="center"/>
          </w:tcPr>
          <w:p w14:paraId="768A1297">
            <w:pPr>
              <w:pStyle w:val="67"/>
              <w:rPr>
                <w:rFonts w:cs="Times New Roman"/>
                <w:b w:val="0"/>
                <w:bCs/>
                <w:color w:val="auto"/>
                <w:highlight w:val="yellow"/>
              </w:rPr>
            </w:pPr>
            <w:r>
              <w:rPr>
                <w:rFonts w:hint="eastAsia" w:cs="Times New Roman"/>
                <w:b w:val="0"/>
                <w:bCs/>
                <w:color w:val="auto"/>
              </w:rPr>
              <w:t>5.4</w:t>
            </w:r>
          </w:p>
        </w:tc>
        <w:tc>
          <w:tcPr>
            <w:tcW w:w="228" w:type="pct"/>
            <w:tcMar>
              <w:top w:w="0" w:type="dxa"/>
              <w:left w:w="0" w:type="dxa"/>
              <w:bottom w:w="0" w:type="dxa"/>
              <w:right w:w="0" w:type="dxa"/>
            </w:tcMar>
            <w:vAlign w:val="center"/>
          </w:tcPr>
          <w:p w14:paraId="29F834E0">
            <w:pPr>
              <w:pStyle w:val="67"/>
              <w:rPr>
                <w:rFonts w:cs="Times New Roman"/>
                <w:b w:val="0"/>
                <w:bCs/>
                <w:color w:val="auto"/>
                <w:highlight w:val="yellow"/>
              </w:rPr>
            </w:pPr>
            <w:r>
              <w:rPr>
                <w:rFonts w:hint="eastAsia" w:cs="Times New Roman"/>
                <w:b w:val="0"/>
                <w:bCs/>
                <w:color w:val="auto"/>
              </w:rPr>
              <w:t>3.9</w:t>
            </w:r>
          </w:p>
        </w:tc>
        <w:tc>
          <w:tcPr>
            <w:tcW w:w="351" w:type="pct"/>
            <w:tcMar>
              <w:top w:w="0" w:type="dxa"/>
              <w:left w:w="0" w:type="dxa"/>
              <w:bottom w:w="0" w:type="dxa"/>
              <w:right w:w="0" w:type="dxa"/>
            </w:tcMar>
            <w:vAlign w:val="center"/>
          </w:tcPr>
          <w:p w14:paraId="32113F55">
            <w:pPr>
              <w:pStyle w:val="67"/>
              <w:rPr>
                <w:rFonts w:cs="Times New Roman"/>
                <w:b w:val="0"/>
                <w:bCs/>
                <w:color w:val="auto"/>
                <w:highlight w:val="yellow"/>
              </w:rPr>
            </w:pPr>
            <w:r>
              <w:rPr>
                <w:rFonts w:hint="eastAsia" w:cs="Times New Roman"/>
                <w:b w:val="0"/>
                <w:bCs/>
                <w:color w:val="auto"/>
              </w:rPr>
              <w:t>2.15</w:t>
            </w:r>
          </w:p>
        </w:tc>
        <w:tc>
          <w:tcPr>
            <w:tcW w:w="239" w:type="pct"/>
            <w:tcMar>
              <w:top w:w="0" w:type="dxa"/>
              <w:left w:w="0" w:type="dxa"/>
              <w:bottom w:w="0" w:type="dxa"/>
              <w:right w:w="0" w:type="dxa"/>
            </w:tcMar>
            <w:vAlign w:val="center"/>
          </w:tcPr>
          <w:p w14:paraId="5AB75E11">
            <w:pPr>
              <w:pStyle w:val="67"/>
              <w:rPr>
                <w:rFonts w:cs="Times New Roman"/>
                <w:b w:val="0"/>
                <w:bCs/>
                <w:color w:val="auto"/>
                <w:highlight w:val="yellow"/>
              </w:rPr>
            </w:pPr>
            <w:r>
              <w:rPr>
                <w:rFonts w:hint="eastAsia" w:cs="Times New Roman"/>
                <w:b w:val="0"/>
                <w:bCs/>
                <w:color w:val="auto"/>
              </w:rPr>
              <w:t>1.55</w:t>
            </w:r>
          </w:p>
        </w:tc>
        <w:tc>
          <w:tcPr>
            <w:tcW w:w="333" w:type="pct"/>
            <w:tcMar>
              <w:top w:w="0" w:type="dxa"/>
              <w:left w:w="0" w:type="dxa"/>
              <w:bottom w:w="0" w:type="dxa"/>
              <w:right w:w="0" w:type="dxa"/>
            </w:tcMar>
            <w:vAlign w:val="center"/>
          </w:tcPr>
          <w:p w14:paraId="47A0A93D">
            <w:pPr>
              <w:pStyle w:val="67"/>
              <w:rPr>
                <w:rFonts w:cs="Times New Roman"/>
                <w:b w:val="0"/>
                <w:bCs/>
                <w:color w:val="auto"/>
                <w:highlight w:val="yellow"/>
              </w:rPr>
            </w:pPr>
            <w:r>
              <w:rPr>
                <w:rFonts w:hint="eastAsia" w:cs="Times New Roman"/>
                <w:b w:val="0"/>
                <w:bCs/>
                <w:color w:val="auto"/>
              </w:rPr>
              <w:t>1.2</w:t>
            </w:r>
          </w:p>
        </w:tc>
        <w:tc>
          <w:tcPr>
            <w:tcW w:w="286" w:type="pct"/>
            <w:tcMar>
              <w:top w:w="0" w:type="dxa"/>
              <w:left w:w="0" w:type="dxa"/>
              <w:bottom w:w="0" w:type="dxa"/>
              <w:right w:w="0" w:type="dxa"/>
            </w:tcMar>
            <w:vAlign w:val="center"/>
          </w:tcPr>
          <w:p w14:paraId="798954AF">
            <w:pPr>
              <w:pStyle w:val="67"/>
              <w:rPr>
                <w:rFonts w:cs="Times New Roman"/>
                <w:b w:val="0"/>
                <w:bCs/>
                <w:color w:val="auto"/>
                <w:highlight w:val="yellow"/>
              </w:rPr>
            </w:pPr>
            <w:r>
              <w:rPr>
                <w:rFonts w:hint="eastAsia" w:cs="Times New Roman"/>
                <w:b w:val="0"/>
                <w:bCs/>
                <w:color w:val="auto"/>
              </w:rPr>
              <w:t>9.15</w:t>
            </w:r>
          </w:p>
        </w:tc>
      </w:tr>
      <w:tr w14:paraId="74E75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474146D5">
            <w:pPr>
              <w:pStyle w:val="67"/>
              <w:rPr>
                <w:rFonts w:cs="Times New Roman"/>
                <w:b w:val="0"/>
                <w:bCs/>
                <w:color w:val="auto"/>
              </w:rPr>
            </w:pPr>
            <w:r>
              <w:rPr>
                <w:rFonts w:cs="Times New Roman"/>
                <w:b w:val="0"/>
                <w:bCs/>
                <w:color w:val="auto"/>
              </w:rPr>
              <w:t>02</w:t>
            </w:r>
          </w:p>
        </w:tc>
        <w:tc>
          <w:tcPr>
            <w:tcW w:w="228" w:type="pct"/>
            <w:tcMar>
              <w:top w:w="0" w:type="dxa"/>
              <w:left w:w="0" w:type="dxa"/>
              <w:bottom w:w="0" w:type="dxa"/>
              <w:right w:w="0" w:type="dxa"/>
            </w:tcMar>
            <w:vAlign w:val="center"/>
          </w:tcPr>
          <w:p w14:paraId="2E4733BE">
            <w:pPr>
              <w:pStyle w:val="67"/>
              <w:rPr>
                <w:rFonts w:cs="Times New Roman"/>
                <w:b w:val="0"/>
                <w:bCs/>
                <w:color w:val="auto"/>
                <w:highlight w:val="yellow"/>
              </w:rPr>
            </w:pPr>
            <w:r>
              <w:rPr>
                <w:rFonts w:hint="eastAsia" w:cs="Times New Roman"/>
                <w:b w:val="0"/>
                <w:bCs/>
                <w:color w:val="auto"/>
              </w:rPr>
              <w:t>1.35</w:t>
            </w:r>
          </w:p>
        </w:tc>
        <w:tc>
          <w:tcPr>
            <w:tcW w:w="278" w:type="pct"/>
            <w:tcMar>
              <w:top w:w="0" w:type="dxa"/>
              <w:left w:w="0" w:type="dxa"/>
              <w:bottom w:w="0" w:type="dxa"/>
              <w:right w:w="0" w:type="dxa"/>
            </w:tcMar>
            <w:vAlign w:val="center"/>
          </w:tcPr>
          <w:p w14:paraId="7C98DC1B">
            <w:pPr>
              <w:pStyle w:val="67"/>
              <w:rPr>
                <w:rFonts w:cs="Times New Roman"/>
                <w:b w:val="0"/>
                <w:bCs/>
                <w:color w:val="auto"/>
                <w:highlight w:val="yellow"/>
              </w:rPr>
            </w:pPr>
            <w:r>
              <w:rPr>
                <w:rFonts w:hint="eastAsia" w:cs="Times New Roman"/>
                <w:b w:val="0"/>
                <w:bCs/>
                <w:color w:val="auto"/>
              </w:rPr>
              <w:t>1.8</w:t>
            </w:r>
          </w:p>
        </w:tc>
        <w:tc>
          <w:tcPr>
            <w:tcW w:w="291" w:type="pct"/>
            <w:tcMar>
              <w:top w:w="0" w:type="dxa"/>
              <w:left w:w="0" w:type="dxa"/>
              <w:bottom w:w="0" w:type="dxa"/>
              <w:right w:w="0" w:type="dxa"/>
            </w:tcMar>
            <w:vAlign w:val="center"/>
          </w:tcPr>
          <w:p w14:paraId="0F410115">
            <w:pPr>
              <w:pStyle w:val="67"/>
              <w:rPr>
                <w:rFonts w:cs="Times New Roman"/>
                <w:b w:val="0"/>
                <w:bCs/>
                <w:color w:val="auto"/>
                <w:highlight w:val="yellow"/>
              </w:rPr>
            </w:pPr>
            <w:r>
              <w:rPr>
                <w:rFonts w:hint="eastAsia" w:cs="Times New Roman"/>
                <w:b w:val="0"/>
                <w:bCs/>
                <w:color w:val="auto"/>
              </w:rPr>
              <w:t>14.35</w:t>
            </w:r>
          </w:p>
        </w:tc>
        <w:tc>
          <w:tcPr>
            <w:tcW w:w="291" w:type="pct"/>
            <w:tcMar>
              <w:top w:w="0" w:type="dxa"/>
              <w:left w:w="0" w:type="dxa"/>
              <w:bottom w:w="0" w:type="dxa"/>
              <w:right w:w="0" w:type="dxa"/>
            </w:tcMar>
            <w:vAlign w:val="center"/>
          </w:tcPr>
          <w:p w14:paraId="4BD32D1D">
            <w:pPr>
              <w:pStyle w:val="67"/>
              <w:rPr>
                <w:rFonts w:cs="Times New Roman"/>
                <w:b w:val="0"/>
                <w:bCs/>
                <w:color w:val="auto"/>
                <w:highlight w:val="yellow"/>
              </w:rPr>
            </w:pPr>
            <w:r>
              <w:rPr>
                <w:rFonts w:hint="eastAsia" w:cs="Times New Roman"/>
                <w:b w:val="0"/>
                <w:bCs/>
                <w:color w:val="auto"/>
              </w:rPr>
              <w:t>20.2</w:t>
            </w:r>
          </w:p>
        </w:tc>
        <w:tc>
          <w:tcPr>
            <w:tcW w:w="291" w:type="pct"/>
            <w:tcMar>
              <w:top w:w="0" w:type="dxa"/>
              <w:left w:w="0" w:type="dxa"/>
              <w:bottom w:w="0" w:type="dxa"/>
              <w:right w:w="0" w:type="dxa"/>
            </w:tcMar>
            <w:vAlign w:val="center"/>
          </w:tcPr>
          <w:p w14:paraId="7F768AFF">
            <w:pPr>
              <w:pStyle w:val="67"/>
              <w:rPr>
                <w:rFonts w:cs="Times New Roman"/>
                <w:b w:val="0"/>
                <w:bCs/>
                <w:color w:val="auto"/>
                <w:highlight w:val="yellow"/>
              </w:rPr>
            </w:pPr>
            <w:r>
              <w:rPr>
                <w:rFonts w:hint="eastAsia" w:cs="Times New Roman"/>
                <w:b w:val="0"/>
                <w:bCs/>
                <w:color w:val="auto"/>
              </w:rPr>
              <w:t>10.75</w:t>
            </w:r>
          </w:p>
        </w:tc>
        <w:tc>
          <w:tcPr>
            <w:tcW w:w="245" w:type="pct"/>
            <w:tcMar>
              <w:top w:w="0" w:type="dxa"/>
              <w:left w:w="0" w:type="dxa"/>
              <w:bottom w:w="0" w:type="dxa"/>
              <w:right w:w="0" w:type="dxa"/>
            </w:tcMar>
            <w:vAlign w:val="center"/>
          </w:tcPr>
          <w:p w14:paraId="01BF5433">
            <w:pPr>
              <w:pStyle w:val="67"/>
              <w:rPr>
                <w:rFonts w:cs="Times New Roman"/>
                <w:b w:val="0"/>
                <w:bCs/>
                <w:color w:val="auto"/>
                <w:highlight w:val="yellow"/>
              </w:rPr>
            </w:pPr>
            <w:r>
              <w:rPr>
                <w:rFonts w:hint="eastAsia" w:cs="Times New Roman"/>
                <w:b w:val="0"/>
                <w:bCs/>
                <w:color w:val="auto"/>
              </w:rPr>
              <w:t>4.7</w:t>
            </w:r>
          </w:p>
        </w:tc>
        <w:tc>
          <w:tcPr>
            <w:tcW w:w="228" w:type="pct"/>
            <w:tcMar>
              <w:top w:w="0" w:type="dxa"/>
              <w:left w:w="0" w:type="dxa"/>
              <w:bottom w:w="0" w:type="dxa"/>
              <w:right w:w="0" w:type="dxa"/>
            </w:tcMar>
            <w:vAlign w:val="center"/>
          </w:tcPr>
          <w:p w14:paraId="240DC9DF">
            <w:pPr>
              <w:pStyle w:val="67"/>
              <w:rPr>
                <w:rFonts w:cs="Times New Roman"/>
                <w:b w:val="0"/>
                <w:bCs/>
                <w:color w:val="auto"/>
                <w:highlight w:val="yellow"/>
              </w:rPr>
            </w:pPr>
            <w:r>
              <w:rPr>
                <w:rFonts w:hint="eastAsia" w:cs="Times New Roman"/>
                <w:b w:val="0"/>
                <w:bCs/>
                <w:color w:val="auto"/>
              </w:rPr>
              <w:t>2.7</w:t>
            </w:r>
          </w:p>
        </w:tc>
        <w:tc>
          <w:tcPr>
            <w:tcW w:w="232" w:type="pct"/>
            <w:tcMar>
              <w:top w:w="0" w:type="dxa"/>
              <w:left w:w="0" w:type="dxa"/>
              <w:bottom w:w="0" w:type="dxa"/>
              <w:right w:w="0" w:type="dxa"/>
            </w:tcMar>
            <w:vAlign w:val="center"/>
          </w:tcPr>
          <w:p w14:paraId="40064356">
            <w:pPr>
              <w:pStyle w:val="67"/>
              <w:rPr>
                <w:rFonts w:cs="Times New Roman"/>
                <w:b w:val="0"/>
                <w:bCs/>
                <w:color w:val="auto"/>
                <w:highlight w:val="yellow"/>
              </w:rPr>
            </w:pPr>
            <w:r>
              <w:rPr>
                <w:rFonts w:hint="eastAsia" w:cs="Times New Roman"/>
                <w:b w:val="0"/>
                <w:bCs/>
                <w:color w:val="auto"/>
              </w:rPr>
              <w:t>2.7</w:t>
            </w:r>
          </w:p>
        </w:tc>
        <w:tc>
          <w:tcPr>
            <w:tcW w:w="291" w:type="pct"/>
            <w:tcMar>
              <w:top w:w="0" w:type="dxa"/>
              <w:left w:w="0" w:type="dxa"/>
              <w:bottom w:w="0" w:type="dxa"/>
              <w:right w:w="0" w:type="dxa"/>
            </w:tcMar>
            <w:vAlign w:val="center"/>
          </w:tcPr>
          <w:p w14:paraId="4B52041F">
            <w:pPr>
              <w:pStyle w:val="67"/>
              <w:rPr>
                <w:rFonts w:cs="Times New Roman"/>
                <w:b w:val="0"/>
                <w:bCs/>
                <w:color w:val="auto"/>
                <w:highlight w:val="yellow"/>
              </w:rPr>
            </w:pPr>
            <w:r>
              <w:rPr>
                <w:rFonts w:hint="eastAsia" w:cs="Times New Roman"/>
                <w:b w:val="0"/>
                <w:bCs/>
                <w:color w:val="auto"/>
              </w:rPr>
              <w:t>6.45</w:t>
            </w:r>
          </w:p>
        </w:tc>
        <w:tc>
          <w:tcPr>
            <w:tcW w:w="291" w:type="pct"/>
            <w:tcMar>
              <w:top w:w="0" w:type="dxa"/>
              <w:left w:w="0" w:type="dxa"/>
              <w:bottom w:w="0" w:type="dxa"/>
              <w:right w:w="0" w:type="dxa"/>
            </w:tcMar>
            <w:vAlign w:val="center"/>
          </w:tcPr>
          <w:p w14:paraId="2474F6D9">
            <w:pPr>
              <w:pStyle w:val="67"/>
              <w:rPr>
                <w:rFonts w:cs="Times New Roman"/>
                <w:b w:val="0"/>
                <w:bCs/>
                <w:color w:val="auto"/>
                <w:highlight w:val="yellow"/>
              </w:rPr>
            </w:pPr>
            <w:r>
              <w:rPr>
                <w:rFonts w:hint="eastAsia" w:cs="Times New Roman"/>
                <w:b w:val="0"/>
                <w:bCs/>
                <w:color w:val="auto"/>
              </w:rPr>
              <w:t>8.9</w:t>
            </w:r>
          </w:p>
        </w:tc>
        <w:tc>
          <w:tcPr>
            <w:tcW w:w="291" w:type="pct"/>
            <w:tcMar>
              <w:top w:w="0" w:type="dxa"/>
              <w:left w:w="0" w:type="dxa"/>
              <w:bottom w:w="0" w:type="dxa"/>
              <w:right w:w="0" w:type="dxa"/>
            </w:tcMar>
            <w:vAlign w:val="center"/>
          </w:tcPr>
          <w:p w14:paraId="362EB7A7">
            <w:pPr>
              <w:pStyle w:val="67"/>
              <w:rPr>
                <w:rFonts w:cs="Times New Roman"/>
                <w:b w:val="0"/>
                <w:bCs/>
                <w:color w:val="auto"/>
                <w:highlight w:val="yellow"/>
              </w:rPr>
            </w:pPr>
            <w:r>
              <w:rPr>
                <w:rFonts w:hint="eastAsia" w:cs="Times New Roman"/>
                <w:b w:val="0"/>
                <w:bCs/>
                <w:color w:val="auto"/>
              </w:rPr>
              <w:t>7.5</w:t>
            </w:r>
          </w:p>
        </w:tc>
        <w:tc>
          <w:tcPr>
            <w:tcW w:w="330" w:type="pct"/>
            <w:tcMar>
              <w:top w:w="0" w:type="dxa"/>
              <w:left w:w="0" w:type="dxa"/>
              <w:bottom w:w="0" w:type="dxa"/>
              <w:right w:w="0" w:type="dxa"/>
            </w:tcMar>
            <w:vAlign w:val="center"/>
          </w:tcPr>
          <w:p w14:paraId="39484CD2">
            <w:pPr>
              <w:pStyle w:val="67"/>
              <w:rPr>
                <w:rFonts w:cs="Times New Roman"/>
                <w:b w:val="0"/>
                <w:bCs/>
                <w:color w:val="auto"/>
                <w:highlight w:val="yellow"/>
              </w:rPr>
            </w:pPr>
            <w:r>
              <w:rPr>
                <w:rFonts w:hint="eastAsia" w:cs="Times New Roman"/>
                <w:b w:val="0"/>
                <w:bCs/>
                <w:color w:val="auto"/>
              </w:rPr>
              <w:t>4.65</w:t>
            </w:r>
          </w:p>
        </w:tc>
        <w:tc>
          <w:tcPr>
            <w:tcW w:w="228" w:type="pct"/>
            <w:tcMar>
              <w:top w:w="0" w:type="dxa"/>
              <w:left w:w="0" w:type="dxa"/>
              <w:bottom w:w="0" w:type="dxa"/>
              <w:right w:w="0" w:type="dxa"/>
            </w:tcMar>
            <w:vAlign w:val="center"/>
          </w:tcPr>
          <w:p w14:paraId="25B7F540">
            <w:pPr>
              <w:pStyle w:val="67"/>
              <w:rPr>
                <w:rFonts w:cs="Times New Roman"/>
                <w:b w:val="0"/>
                <w:bCs/>
                <w:color w:val="auto"/>
                <w:highlight w:val="yellow"/>
              </w:rPr>
            </w:pPr>
            <w:r>
              <w:rPr>
                <w:rFonts w:hint="eastAsia" w:cs="Times New Roman"/>
                <w:b w:val="0"/>
                <w:bCs/>
                <w:color w:val="auto"/>
              </w:rPr>
              <w:t>3.55</w:t>
            </w:r>
          </w:p>
        </w:tc>
        <w:tc>
          <w:tcPr>
            <w:tcW w:w="351" w:type="pct"/>
            <w:tcMar>
              <w:top w:w="0" w:type="dxa"/>
              <w:left w:w="0" w:type="dxa"/>
              <w:bottom w:w="0" w:type="dxa"/>
              <w:right w:w="0" w:type="dxa"/>
            </w:tcMar>
            <w:vAlign w:val="center"/>
          </w:tcPr>
          <w:p w14:paraId="1D484D60">
            <w:pPr>
              <w:pStyle w:val="67"/>
              <w:rPr>
                <w:rFonts w:cs="Times New Roman"/>
                <w:b w:val="0"/>
                <w:bCs/>
                <w:color w:val="auto"/>
                <w:highlight w:val="yellow"/>
              </w:rPr>
            </w:pPr>
            <w:r>
              <w:rPr>
                <w:rFonts w:hint="eastAsia" w:cs="Times New Roman"/>
                <w:b w:val="0"/>
                <w:bCs/>
                <w:color w:val="auto"/>
              </w:rPr>
              <w:t>1.9</w:t>
            </w:r>
          </w:p>
        </w:tc>
        <w:tc>
          <w:tcPr>
            <w:tcW w:w="239" w:type="pct"/>
            <w:tcMar>
              <w:top w:w="0" w:type="dxa"/>
              <w:left w:w="0" w:type="dxa"/>
              <w:bottom w:w="0" w:type="dxa"/>
              <w:right w:w="0" w:type="dxa"/>
            </w:tcMar>
            <w:vAlign w:val="center"/>
          </w:tcPr>
          <w:p w14:paraId="79CD2D65">
            <w:pPr>
              <w:pStyle w:val="67"/>
              <w:rPr>
                <w:rFonts w:cs="Times New Roman"/>
                <w:b w:val="0"/>
                <w:bCs/>
                <w:color w:val="auto"/>
                <w:highlight w:val="yellow"/>
              </w:rPr>
            </w:pPr>
            <w:r>
              <w:rPr>
                <w:rFonts w:hint="eastAsia" w:cs="Times New Roman"/>
                <w:b w:val="0"/>
                <w:bCs/>
                <w:color w:val="auto"/>
              </w:rPr>
              <w:t>1.15</w:t>
            </w:r>
          </w:p>
        </w:tc>
        <w:tc>
          <w:tcPr>
            <w:tcW w:w="333" w:type="pct"/>
            <w:tcMar>
              <w:top w:w="0" w:type="dxa"/>
              <w:left w:w="0" w:type="dxa"/>
              <w:bottom w:w="0" w:type="dxa"/>
              <w:right w:w="0" w:type="dxa"/>
            </w:tcMar>
            <w:vAlign w:val="center"/>
          </w:tcPr>
          <w:p w14:paraId="4F536D82">
            <w:pPr>
              <w:pStyle w:val="67"/>
              <w:rPr>
                <w:rFonts w:cs="Times New Roman"/>
                <w:b w:val="0"/>
                <w:bCs/>
                <w:color w:val="auto"/>
                <w:highlight w:val="yellow"/>
              </w:rPr>
            </w:pPr>
            <w:r>
              <w:rPr>
                <w:rFonts w:hint="eastAsia" w:cs="Times New Roman"/>
                <w:b w:val="0"/>
                <w:bCs/>
                <w:color w:val="auto"/>
              </w:rPr>
              <w:t>0.7</w:t>
            </w:r>
          </w:p>
        </w:tc>
        <w:tc>
          <w:tcPr>
            <w:tcW w:w="286" w:type="pct"/>
            <w:tcMar>
              <w:top w:w="0" w:type="dxa"/>
              <w:left w:w="0" w:type="dxa"/>
              <w:bottom w:w="0" w:type="dxa"/>
              <w:right w:w="0" w:type="dxa"/>
            </w:tcMar>
            <w:vAlign w:val="center"/>
          </w:tcPr>
          <w:p w14:paraId="4E9CEAC5">
            <w:pPr>
              <w:pStyle w:val="67"/>
              <w:rPr>
                <w:rFonts w:cs="Times New Roman"/>
                <w:b w:val="0"/>
                <w:bCs/>
                <w:color w:val="auto"/>
                <w:highlight w:val="yellow"/>
              </w:rPr>
            </w:pPr>
            <w:r>
              <w:rPr>
                <w:rFonts w:hint="eastAsia" w:cs="Times New Roman"/>
                <w:b w:val="0"/>
                <w:bCs/>
                <w:color w:val="auto"/>
              </w:rPr>
              <w:t>6.55</w:t>
            </w:r>
          </w:p>
        </w:tc>
      </w:tr>
      <w:tr w14:paraId="148A8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6A62D208">
            <w:pPr>
              <w:pStyle w:val="67"/>
              <w:rPr>
                <w:rFonts w:cs="Times New Roman"/>
                <w:b w:val="0"/>
                <w:bCs/>
                <w:color w:val="auto"/>
              </w:rPr>
            </w:pPr>
            <w:r>
              <w:rPr>
                <w:rFonts w:cs="Times New Roman"/>
                <w:b w:val="0"/>
                <w:bCs/>
                <w:color w:val="auto"/>
              </w:rPr>
              <w:t>03</w:t>
            </w:r>
          </w:p>
        </w:tc>
        <w:tc>
          <w:tcPr>
            <w:tcW w:w="228" w:type="pct"/>
            <w:tcMar>
              <w:top w:w="0" w:type="dxa"/>
              <w:left w:w="0" w:type="dxa"/>
              <w:bottom w:w="0" w:type="dxa"/>
              <w:right w:w="0" w:type="dxa"/>
            </w:tcMar>
            <w:vAlign w:val="center"/>
          </w:tcPr>
          <w:p w14:paraId="6C206115">
            <w:pPr>
              <w:pStyle w:val="67"/>
              <w:rPr>
                <w:rFonts w:cs="Times New Roman"/>
                <w:b w:val="0"/>
                <w:bCs/>
                <w:color w:val="auto"/>
                <w:highlight w:val="yellow"/>
              </w:rPr>
            </w:pPr>
            <w:r>
              <w:rPr>
                <w:rFonts w:hint="eastAsia" w:cs="Times New Roman"/>
                <w:b w:val="0"/>
                <w:bCs/>
                <w:color w:val="auto"/>
              </w:rPr>
              <w:t>1.05</w:t>
            </w:r>
          </w:p>
        </w:tc>
        <w:tc>
          <w:tcPr>
            <w:tcW w:w="278" w:type="pct"/>
            <w:tcMar>
              <w:top w:w="0" w:type="dxa"/>
              <w:left w:w="0" w:type="dxa"/>
              <w:bottom w:w="0" w:type="dxa"/>
              <w:right w:w="0" w:type="dxa"/>
            </w:tcMar>
            <w:vAlign w:val="center"/>
          </w:tcPr>
          <w:p w14:paraId="31395D36">
            <w:pPr>
              <w:pStyle w:val="67"/>
              <w:rPr>
                <w:rFonts w:cs="Times New Roman"/>
                <w:b w:val="0"/>
                <w:bCs/>
                <w:color w:val="auto"/>
                <w:highlight w:val="yellow"/>
              </w:rPr>
            </w:pPr>
            <w:r>
              <w:rPr>
                <w:rFonts w:hint="eastAsia" w:cs="Times New Roman"/>
                <w:b w:val="0"/>
                <w:bCs/>
                <w:color w:val="auto"/>
              </w:rPr>
              <w:t>2.45</w:t>
            </w:r>
          </w:p>
        </w:tc>
        <w:tc>
          <w:tcPr>
            <w:tcW w:w="291" w:type="pct"/>
            <w:tcMar>
              <w:top w:w="0" w:type="dxa"/>
              <w:left w:w="0" w:type="dxa"/>
              <w:bottom w:w="0" w:type="dxa"/>
              <w:right w:w="0" w:type="dxa"/>
            </w:tcMar>
            <w:vAlign w:val="center"/>
          </w:tcPr>
          <w:p w14:paraId="00B9C0C1">
            <w:pPr>
              <w:pStyle w:val="67"/>
              <w:rPr>
                <w:rFonts w:cs="Times New Roman"/>
                <w:b w:val="0"/>
                <w:bCs/>
                <w:color w:val="auto"/>
                <w:highlight w:val="yellow"/>
              </w:rPr>
            </w:pPr>
            <w:r>
              <w:rPr>
                <w:rFonts w:hint="eastAsia" w:cs="Times New Roman"/>
                <w:b w:val="0"/>
                <w:bCs/>
                <w:color w:val="auto"/>
              </w:rPr>
              <w:t>12.85</w:t>
            </w:r>
          </w:p>
        </w:tc>
        <w:tc>
          <w:tcPr>
            <w:tcW w:w="291" w:type="pct"/>
            <w:tcMar>
              <w:top w:w="0" w:type="dxa"/>
              <w:left w:w="0" w:type="dxa"/>
              <w:bottom w:w="0" w:type="dxa"/>
              <w:right w:w="0" w:type="dxa"/>
            </w:tcMar>
            <w:vAlign w:val="center"/>
          </w:tcPr>
          <w:p w14:paraId="7124614F">
            <w:pPr>
              <w:pStyle w:val="67"/>
              <w:rPr>
                <w:rFonts w:cs="Times New Roman"/>
                <w:b w:val="0"/>
                <w:bCs/>
                <w:color w:val="auto"/>
                <w:highlight w:val="yellow"/>
              </w:rPr>
            </w:pPr>
            <w:r>
              <w:rPr>
                <w:rFonts w:hint="eastAsia" w:cs="Times New Roman"/>
                <w:b w:val="0"/>
                <w:bCs/>
                <w:color w:val="auto"/>
              </w:rPr>
              <w:t>16</w:t>
            </w:r>
          </w:p>
        </w:tc>
        <w:tc>
          <w:tcPr>
            <w:tcW w:w="291" w:type="pct"/>
            <w:tcMar>
              <w:top w:w="0" w:type="dxa"/>
              <w:left w:w="0" w:type="dxa"/>
              <w:bottom w:w="0" w:type="dxa"/>
              <w:right w:w="0" w:type="dxa"/>
            </w:tcMar>
            <w:vAlign w:val="center"/>
          </w:tcPr>
          <w:p w14:paraId="1BB6128E">
            <w:pPr>
              <w:pStyle w:val="67"/>
              <w:rPr>
                <w:rFonts w:cs="Times New Roman"/>
                <w:b w:val="0"/>
                <w:bCs/>
                <w:color w:val="auto"/>
                <w:highlight w:val="yellow"/>
              </w:rPr>
            </w:pPr>
            <w:r>
              <w:rPr>
                <w:rFonts w:hint="eastAsia" w:cs="Times New Roman"/>
                <w:b w:val="0"/>
                <w:bCs/>
                <w:color w:val="auto"/>
              </w:rPr>
              <w:t>8.4</w:t>
            </w:r>
          </w:p>
        </w:tc>
        <w:tc>
          <w:tcPr>
            <w:tcW w:w="245" w:type="pct"/>
            <w:tcMar>
              <w:top w:w="0" w:type="dxa"/>
              <w:left w:w="0" w:type="dxa"/>
              <w:bottom w:w="0" w:type="dxa"/>
              <w:right w:w="0" w:type="dxa"/>
            </w:tcMar>
            <w:vAlign w:val="center"/>
          </w:tcPr>
          <w:p w14:paraId="32F2A488">
            <w:pPr>
              <w:pStyle w:val="67"/>
              <w:rPr>
                <w:rFonts w:cs="Times New Roman"/>
                <w:b w:val="0"/>
                <w:bCs/>
                <w:color w:val="auto"/>
                <w:highlight w:val="yellow"/>
              </w:rPr>
            </w:pPr>
            <w:r>
              <w:rPr>
                <w:rFonts w:hint="eastAsia" w:cs="Times New Roman"/>
                <w:b w:val="0"/>
                <w:bCs/>
                <w:color w:val="auto"/>
              </w:rPr>
              <w:t>3.75</w:t>
            </w:r>
          </w:p>
        </w:tc>
        <w:tc>
          <w:tcPr>
            <w:tcW w:w="228" w:type="pct"/>
            <w:tcMar>
              <w:top w:w="0" w:type="dxa"/>
              <w:left w:w="0" w:type="dxa"/>
              <w:bottom w:w="0" w:type="dxa"/>
              <w:right w:w="0" w:type="dxa"/>
            </w:tcMar>
            <w:vAlign w:val="center"/>
          </w:tcPr>
          <w:p w14:paraId="219ED22B">
            <w:pPr>
              <w:pStyle w:val="67"/>
              <w:rPr>
                <w:rFonts w:cs="Times New Roman"/>
                <w:b w:val="0"/>
                <w:bCs/>
                <w:color w:val="auto"/>
                <w:highlight w:val="yellow"/>
              </w:rPr>
            </w:pPr>
            <w:r>
              <w:rPr>
                <w:rFonts w:hint="eastAsia" w:cs="Times New Roman"/>
                <w:b w:val="0"/>
                <w:bCs/>
                <w:color w:val="auto"/>
              </w:rPr>
              <w:t>2.95</w:t>
            </w:r>
          </w:p>
        </w:tc>
        <w:tc>
          <w:tcPr>
            <w:tcW w:w="232" w:type="pct"/>
            <w:tcMar>
              <w:top w:w="0" w:type="dxa"/>
              <w:left w:w="0" w:type="dxa"/>
              <w:bottom w:w="0" w:type="dxa"/>
              <w:right w:w="0" w:type="dxa"/>
            </w:tcMar>
            <w:vAlign w:val="center"/>
          </w:tcPr>
          <w:p w14:paraId="64F19083">
            <w:pPr>
              <w:pStyle w:val="67"/>
              <w:rPr>
                <w:rFonts w:cs="Times New Roman"/>
                <w:b w:val="0"/>
                <w:bCs/>
                <w:color w:val="auto"/>
                <w:highlight w:val="yellow"/>
              </w:rPr>
            </w:pPr>
            <w:r>
              <w:rPr>
                <w:rFonts w:hint="eastAsia" w:cs="Times New Roman"/>
                <w:b w:val="0"/>
                <w:bCs/>
                <w:color w:val="auto"/>
              </w:rPr>
              <w:t>3.95</w:t>
            </w:r>
          </w:p>
        </w:tc>
        <w:tc>
          <w:tcPr>
            <w:tcW w:w="291" w:type="pct"/>
            <w:tcMar>
              <w:top w:w="0" w:type="dxa"/>
              <w:left w:w="0" w:type="dxa"/>
              <w:bottom w:w="0" w:type="dxa"/>
              <w:right w:w="0" w:type="dxa"/>
            </w:tcMar>
            <w:vAlign w:val="center"/>
          </w:tcPr>
          <w:p w14:paraId="2241EA14">
            <w:pPr>
              <w:pStyle w:val="67"/>
              <w:rPr>
                <w:rFonts w:cs="Times New Roman"/>
                <w:b w:val="0"/>
                <w:bCs/>
                <w:color w:val="auto"/>
                <w:highlight w:val="yellow"/>
              </w:rPr>
            </w:pPr>
            <w:r>
              <w:rPr>
                <w:rFonts w:hint="eastAsia" w:cs="Times New Roman"/>
                <w:b w:val="0"/>
                <w:bCs/>
                <w:color w:val="auto"/>
              </w:rPr>
              <w:t>9.25</w:t>
            </w:r>
          </w:p>
        </w:tc>
        <w:tc>
          <w:tcPr>
            <w:tcW w:w="291" w:type="pct"/>
            <w:tcMar>
              <w:top w:w="0" w:type="dxa"/>
              <w:left w:w="0" w:type="dxa"/>
              <w:bottom w:w="0" w:type="dxa"/>
              <w:right w:w="0" w:type="dxa"/>
            </w:tcMar>
            <w:vAlign w:val="center"/>
          </w:tcPr>
          <w:p w14:paraId="55BDB7BD">
            <w:pPr>
              <w:pStyle w:val="67"/>
              <w:rPr>
                <w:rFonts w:cs="Times New Roman"/>
                <w:b w:val="0"/>
                <w:bCs/>
                <w:color w:val="auto"/>
                <w:highlight w:val="yellow"/>
              </w:rPr>
            </w:pPr>
            <w:r>
              <w:rPr>
                <w:rFonts w:hint="eastAsia" w:cs="Times New Roman"/>
                <w:b w:val="0"/>
                <w:bCs/>
                <w:color w:val="auto"/>
              </w:rPr>
              <w:t>11.5</w:t>
            </w:r>
          </w:p>
        </w:tc>
        <w:tc>
          <w:tcPr>
            <w:tcW w:w="291" w:type="pct"/>
            <w:tcMar>
              <w:top w:w="0" w:type="dxa"/>
              <w:left w:w="0" w:type="dxa"/>
              <w:bottom w:w="0" w:type="dxa"/>
              <w:right w:w="0" w:type="dxa"/>
            </w:tcMar>
            <w:vAlign w:val="center"/>
          </w:tcPr>
          <w:p w14:paraId="6A3EA985">
            <w:pPr>
              <w:pStyle w:val="67"/>
              <w:rPr>
                <w:rFonts w:cs="Times New Roman"/>
                <w:b w:val="0"/>
                <w:bCs/>
                <w:color w:val="auto"/>
                <w:highlight w:val="yellow"/>
              </w:rPr>
            </w:pPr>
            <w:r>
              <w:rPr>
                <w:rFonts w:hint="eastAsia" w:cs="Times New Roman"/>
                <w:b w:val="0"/>
                <w:bCs/>
                <w:color w:val="auto"/>
              </w:rPr>
              <w:t>9.25</w:t>
            </w:r>
          </w:p>
        </w:tc>
        <w:tc>
          <w:tcPr>
            <w:tcW w:w="330" w:type="pct"/>
            <w:tcMar>
              <w:top w:w="0" w:type="dxa"/>
              <w:left w:w="0" w:type="dxa"/>
              <w:bottom w:w="0" w:type="dxa"/>
              <w:right w:w="0" w:type="dxa"/>
            </w:tcMar>
            <w:vAlign w:val="center"/>
          </w:tcPr>
          <w:p w14:paraId="00FA47AF">
            <w:pPr>
              <w:pStyle w:val="67"/>
              <w:rPr>
                <w:rFonts w:cs="Times New Roman"/>
                <w:b w:val="0"/>
                <w:bCs/>
                <w:color w:val="auto"/>
                <w:highlight w:val="yellow"/>
              </w:rPr>
            </w:pPr>
            <w:r>
              <w:rPr>
                <w:rFonts w:hint="eastAsia" w:cs="Times New Roman"/>
                <w:b w:val="0"/>
                <w:bCs/>
                <w:color w:val="auto"/>
              </w:rPr>
              <w:t>5.3</w:t>
            </w:r>
          </w:p>
        </w:tc>
        <w:tc>
          <w:tcPr>
            <w:tcW w:w="228" w:type="pct"/>
            <w:tcMar>
              <w:top w:w="0" w:type="dxa"/>
              <w:left w:w="0" w:type="dxa"/>
              <w:bottom w:w="0" w:type="dxa"/>
              <w:right w:w="0" w:type="dxa"/>
            </w:tcMar>
            <w:vAlign w:val="center"/>
          </w:tcPr>
          <w:p w14:paraId="1C9CBB6D">
            <w:pPr>
              <w:pStyle w:val="67"/>
              <w:rPr>
                <w:rFonts w:cs="Times New Roman"/>
                <w:b w:val="0"/>
                <w:bCs/>
                <w:color w:val="auto"/>
                <w:highlight w:val="yellow"/>
              </w:rPr>
            </w:pPr>
            <w:r>
              <w:rPr>
                <w:rFonts w:hint="eastAsia" w:cs="Times New Roman"/>
                <w:b w:val="0"/>
                <w:bCs/>
                <w:color w:val="auto"/>
              </w:rPr>
              <w:t>3.15</w:t>
            </w:r>
          </w:p>
        </w:tc>
        <w:tc>
          <w:tcPr>
            <w:tcW w:w="351" w:type="pct"/>
            <w:tcMar>
              <w:top w:w="0" w:type="dxa"/>
              <w:left w:w="0" w:type="dxa"/>
              <w:bottom w:w="0" w:type="dxa"/>
              <w:right w:w="0" w:type="dxa"/>
            </w:tcMar>
            <w:vAlign w:val="center"/>
          </w:tcPr>
          <w:p w14:paraId="43CEF693">
            <w:pPr>
              <w:pStyle w:val="67"/>
              <w:rPr>
                <w:rFonts w:cs="Times New Roman"/>
                <w:b w:val="0"/>
                <w:bCs/>
                <w:color w:val="auto"/>
                <w:highlight w:val="yellow"/>
              </w:rPr>
            </w:pPr>
            <w:r>
              <w:rPr>
                <w:rFonts w:hint="eastAsia" w:cs="Times New Roman"/>
                <w:b w:val="0"/>
                <w:bCs/>
                <w:color w:val="auto"/>
              </w:rPr>
              <w:t>2.5</w:t>
            </w:r>
          </w:p>
        </w:tc>
        <w:tc>
          <w:tcPr>
            <w:tcW w:w="239" w:type="pct"/>
            <w:tcMar>
              <w:top w:w="0" w:type="dxa"/>
              <w:left w:w="0" w:type="dxa"/>
              <w:bottom w:w="0" w:type="dxa"/>
              <w:right w:w="0" w:type="dxa"/>
            </w:tcMar>
            <w:vAlign w:val="center"/>
          </w:tcPr>
          <w:p w14:paraId="75D650A9">
            <w:pPr>
              <w:pStyle w:val="67"/>
              <w:rPr>
                <w:rFonts w:cs="Times New Roman"/>
                <w:b w:val="0"/>
                <w:bCs/>
                <w:color w:val="auto"/>
                <w:highlight w:val="yellow"/>
              </w:rPr>
            </w:pPr>
            <w:r>
              <w:rPr>
                <w:rFonts w:hint="eastAsia" w:cs="Times New Roman"/>
                <w:b w:val="0"/>
                <w:bCs/>
                <w:color w:val="auto"/>
              </w:rPr>
              <w:t>1.25</w:t>
            </w:r>
          </w:p>
        </w:tc>
        <w:tc>
          <w:tcPr>
            <w:tcW w:w="333" w:type="pct"/>
            <w:tcMar>
              <w:top w:w="0" w:type="dxa"/>
              <w:left w:w="0" w:type="dxa"/>
              <w:bottom w:w="0" w:type="dxa"/>
              <w:right w:w="0" w:type="dxa"/>
            </w:tcMar>
            <w:vAlign w:val="center"/>
          </w:tcPr>
          <w:p w14:paraId="39E15117">
            <w:pPr>
              <w:pStyle w:val="67"/>
              <w:rPr>
                <w:rFonts w:cs="Times New Roman"/>
                <w:b w:val="0"/>
                <w:bCs/>
                <w:color w:val="auto"/>
                <w:highlight w:val="yellow"/>
              </w:rPr>
            </w:pPr>
            <w:r>
              <w:rPr>
                <w:rFonts w:hint="eastAsia" w:cs="Times New Roman"/>
                <w:b w:val="0"/>
                <w:bCs/>
                <w:color w:val="auto"/>
              </w:rPr>
              <w:t>1.1</w:t>
            </w:r>
          </w:p>
        </w:tc>
        <w:tc>
          <w:tcPr>
            <w:tcW w:w="286" w:type="pct"/>
            <w:tcMar>
              <w:top w:w="0" w:type="dxa"/>
              <w:left w:w="0" w:type="dxa"/>
              <w:bottom w:w="0" w:type="dxa"/>
              <w:right w:w="0" w:type="dxa"/>
            </w:tcMar>
            <w:vAlign w:val="center"/>
          </w:tcPr>
          <w:p w14:paraId="13F0B633">
            <w:pPr>
              <w:pStyle w:val="67"/>
              <w:rPr>
                <w:rFonts w:cs="Times New Roman"/>
                <w:b w:val="0"/>
                <w:bCs/>
                <w:color w:val="auto"/>
                <w:highlight w:val="yellow"/>
              </w:rPr>
            </w:pPr>
            <w:r>
              <w:rPr>
                <w:rFonts w:hint="eastAsia" w:cs="Times New Roman"/>
                <w:b w:val="0"/>
                <w:bCs/>
                <w:color w:val="auto"/>
              </w:rPr>
              <w:t>5.34</w:t>
            </w:r>
          </w:p>
        </w:tc>
      </w:tr>
      <w:tr w14:paraId="48C3D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21DD5382">
            <w:pPr>
              <w:pStyle w:val="67"/>
              <w:rPr>
                <w:rFonts w:cs="Times New Roman"/>
                <w:b w:val="0"/>
                <w:bCs/>
                <w:color w:val="auto"/>
              </w:rPr>
            </w:pPr>
            <w:r>
              <w:rPr>
                <w:rFonts w:cs="Times New Roman"/>
                <w:b w:val="0"/>
                <w:bCs/>
                <w:color w:val="auto"/>
              </w:rPr>
              <w:t>04</w:t>
            </w:r>
          </w:p>
        </w:tc>
        <w:tc>
          <w:tcPr>
            <w:tcW w:w="228" w:type="pct"/>
            <w:tcMar>
              <w:top w:w="0" w:type="dxa"/>
              <w:left w:w="0" w:type="dxa"/>
              <w:bottom w:w="0" w:type="dxa"/>
              <w:right w:w="0" w:type="dxa"/>
            </w:tcMar>
            <w:vAlign w:val="center"/>
          </w:tcPr>
          <w:p w14:paraId="42D96177">
            <w:pPr>
              <w:pStyle w:val="67"/>
              <w:rPr>
                <w:rFonts w:cs="Times New Roman"/>
                <w:b w:val="0"/>
                <w:bCs/>
                <w:color w:val="auto"/>
                <w:highlight w:val="yellow"/>
              </w:rPr>
            </w:pPr>
            <w:r>
              <w:rPr>
                <w:rFonts w:hint="eastAsia" w:cs="Times New Roman"/>
                <w:b w:val="0"/>
                <w:bCs/>
                <w:color w:val="auto"/>
              </w:rPr>
              <w:t>1.15</w:t>
            </w:r>
          </w:p>
        </w:tc>
        <w:tc>
          <w:tcPr>
            <w:tcW w:w="278" w:type="pct"/>
            <w:tcMar>
              <w:top w:w="0" w:type="dxa"/>
              <w:left w:w="0" w:type="dxa"/>
              <w:bottom w:w="0" w:type="dxa"/>
              <w:right w:w="0" w:type="dxa"/>
            </w:tcMar>
            <w:vAlign w:val="center"/>
          </w:tcPr>
          <w:p w14:paraId="287CF7C3">
            <w:pPr>
              <w:pStyle w:val="67"/>
              <w:rPr>
                <w:rFonts w:cs="Times New Roman"/>
                <w:b w:val="0"/>
                <w:bCs/>
                <w:color w:val="auto"/>
                <w:highlight w:val="yellow"/>
              </w:rPr>
            </w:pPr>
            <w:r>
              <w:rPr>
                <w:rFonts w:hint="eastAsia" w:cs="Times New Roman"/>
                <w:b w:val="0"/>
                <w:bCs/>
                <w:color w:val="auto"/>
              </w:rPr>
              <w:t>2.65</w:t>
            </w:r>
          </w:p>
        </w:tc>
        <w:tc>
          <w:tcPr>
            <w:tcW w:w="291" w:type="pct"/>
            <w:tcMar>
              <w:top w:w="0" w:type="dxa"/>
              <w:left w:w="0" w:type="dxa"/>
              <w:bottom w:w="0" w:type="dxa"/>
              <w:right w:w="0" w:type="dxa"/>
            </w:tcMar>
            <w:vAlign w:val="center"/>
          </w:tcPr>
          <w:p w14:paraId="5D39AC09">
            <w:pPr>
              <w:pStyle w:val="67"/>
              <w:rPr>
                <w:rFonts w:cs="Times New Roman"/>
                <w:b w:val="0"/>
                <w:bCs/>
                <w:color w:val="auto"/>
                <w:highlight w:val="yellow"/>
              </w:rPr>
            </w:pPr>
            <w:r>
              <w:rPr>
                <w:rFonts w:hint="eastAsia" w:cs="Times New Roman"/>
                <w:b w:val="0"/>
                <w:bCs/>
                <w:color w:val="auto"/>
              </w:rPr>
              <w:t>12.3</w:t>
            </w:r>
          </w:p>
        </w:tc>
        <w:tc>
          <w:tcPr>
            <w:tcW w:w="291" w:type="pct"/>
            <w:tcMar>
              <w:top w:w="0" w:type="dxa"/>
              <w:left w:w="0" w:type="dxa"/>
              <w:bottom w:w="0" w:type="dxa"/>
              <w:right w:w="0" w:type="dxa"/>
            </w:tcMar>
            <w:vAlign w:val="center"/>
          </w:tcPr>
          <w:p w14:paraId="0889B7F4">
            <w:pPr>
              <w:pStyle w:val="67"/>
              <w:rPr>
                <w:rFonts w:cs="Times New Roman"/>
                <w:b w:val="0"/>
                <w:bCs/>
                <w:color w:val="auto"/>
                <w:highlight w:val="yellow"/>
              </w:rPr>
            </w:pPr>
            <w:r>
              <w:rPr>
                <w:rFonts w:hint="eastAsia" w:cs="Times New Roman"/>
                <w:b w:val="0"/>
                <w:bCs/>
                <w:color w:val="auto"/>
              </w:rPr>
              <w:t>14.6</w:t>
            </w:r>
          </w:p>
        </w:tc>
        <w:tc>
          <w:tcPr>
            <w:tcW w:w="291" w:type="pct"/>
            <w:tcMar>
              <w:top w:w="0" w:type="dxa"/>
              <w:left w:w="0" w:type="dxa"/>
              <w:bottom w:w="0" w:type="dxa"/>
              <w:right w:w="0" w:type="dxa"/>
            </w:tcMar>
            <w:vAlign w:val="center"/>
          </w:tcPr>
          <w:p w14:paraId="2662C796">
            <w:pPr>
              <w:pStyle w:val="67"/>
              <w:rPr>
                <w:rFonts w:cs="Times New Roman"/>
                <w:b w:val="0"/>
                <w:bCs/>
                <w:color w:val="auto"/>
                <w:highlight w:val="yellow"/>
              </w:rPr>
            </w:pPr>
            <w:r>
              <w:rPr>
                <w:rFonts w:hint="eastAsia" w:cs="Times New Roman"/>
                <w:b w:val="0"/>
                <w:bCs/>
                <w:color w:val="auto"/>
              </w:rPr>
              <w:t>8.4</w:t>
            </w:r>
          </w:p>
        </w:tc>
        <w:tc>
          <w:tcPr>
            <w:tcW w:w="245" w:type="pct"/>
            <w:tcMar>
              <w:top w:w="0" w:type="dxa"/>
              <w:left w:w="0" w:type="dxa"/>
              <w:bottom w:w="0" w:type="dxa"/>
              <w:right w:w="0" w:type="dxa"/>
            </w:tcMar>
            <w:vAlign w:val="center"/>
          </w:tcPr>
          <w:p w14:paraId="368F84F5">
            <w:pPr>
              <w:pStyle w:val="67"/>
              <w:rPr>
                <w:rFonts w:cs="Times New Roman"/>
                <w:b w:val="0"/>
                <w:bCs/>
                <w:color w:val="auto"/>
                <w:highlight w:val="yellow"/>
              </w:rPr>
            </w:pPr>
            <w:r>
              <w:rPr>
                <w:rFonts w:hint="eastAsia" w:cs="Times New Roman"/>
                <w:b w:val="0"/>
                <w:bCs/>
                <w:color w:val="auto"/>
              </w:rPr>
              <w:t>4.6</w:t>
            </w:r>
          </w:p>
        </w:tc>
        <w:tc>
          <w:tcPr>
            <w:tcW w:w="228" w:type="pct"/>
            <w:tcMar>
              <w:top w:w="0" w:type="dxa"/>
              <w:left w:w="0" w:type="dxa"/>
              <w:bottom w:w="0" w:type="dxa"/>
              <w:right w:w="0" w:type="dxa"/>
            </w:tcMar>
            <w:vAlign w:val="center"/>
          </w:tcPr>
          <w:p w14:paraId="3AEC7F13">
            <w:pPr>
              <w:pStyle w:val="67"/>
              <w:rPr>
                <w:rFonts w:cs="Times New Roman"/>
                <w:b w:val="0"/>
                <w:bCs/>
                <w:color w:val="auto"/>
                <w:highlight w:val="yellow"/>
              </w:rPr>
            </w:pPr>
            <w:r>
              <w:rPr>
                <w:rFonts w:hint="eastAsia" w:cs="Times New Roman"/>
                <w:b w:val="0"/>
                <w:bCs/>
                <w:color w:val="auto"/>
              </w:rPr>
              <w:t>3.45</w:t>
            </w:r>
          </w:p>
        </w:tc>
        <w:tc>
          <w:tcPr>
            <w:tcW w:w="232" w:type="pct"/>
            <w:tcMar>
              <w:top w:w="0" w:type="dxa"/>
              <w:left w:w="0" w:type="dxa"/>
              <w:bottom w:w="0" w:type="dxa"/>
              <w:right w:w="0" w:type="dxa"/>
            </w:tcMar>
            <w:vAlign w:val="center"/>
          </w:tcPr>
          <w:p w14:paraId="1DD3CE1A">
            <w:pPr>
              <w:pStyle w:val="67"/>
              <w:rPr>
                <w:rFonts w:cs="Times New Roman"/>
                <w:b w:val="0"/>
                <w:bCs/>
                <w:color w:val="auto"/>
                <w:highlight w:val="yellow"/>
              </w:rPr>
            </w:pPr>
            <w:r>
              <w:rPr>
                <w:rFonts w:hint="eastAsia" w:cs="Times New Roman"/>
                <w:b w:val="0"/>
                <w:bCs/>
                <w:color w:val="auto"/>
              </w:rPr>
              <w:t>4.25</w:t>
            </w:r>
          </w:p>
        </w:tc>
        <w:tc>
          <w:tcPr>
            <w:tcW w:w="291" w:type="pct"/>
            <w:tcMar>
              <w:top w:w="0" w:type="dxa"/>
              <w:left w:w="0" w:type="dxa"/>
              <w:bottom w:w="0" w:type="dxa"/>
              <w:right w:w="0" w:type="dxa"/>
            </w:tcMar>
            <w:vAlign w:val="center"/>
          </w:tcPr>
          <w:p w14:paraId="619678E3">
            <w:pPr>
              <w:pStyle w:val="67"/>
              <w:rPr>
                <w:rFonts w:cs="Times New Roman"/>
                <w:b w:val="0"/>
                <w:bCs/>
                <w:color w:val="auto"/>
                <w:highlight w:val="yellow"/>
              </w:rPr>
            </w:pPr>
            <w:r>
              <w:rPr>
                <w:rFonts w:hint="eastAsia" w:cs="Times New Roman"/>
                <w:b w:val="0"/>
                <w:bCs/>
                <w:color w:val="auto"/>
              </w:rPr>
              <w:t>9.85</w:t>
            </w:r>
          </w:p>
        </w:tc>
        <w:tc>
          <w:tcPr>
            <w:tcW w:w="291" w:type="pct"/>
            <w:tcMar>
              <w:top w:w="0" w:type="dxa"/>
              <w:left w:w="0" w:type="dxa"/>
              <w:bottom w:w="0" w:type="dxa"/>
              <w:right w:w="0" w:type="dxa"/>
            </w:tcMar>
            <w:vAlign w:val="center"/>
          </w:tcPr>
          <w:p w14:paraId="64A87434">
            <w:pPr>
              <w:pStyle w:val="67"/>
              <w:rPr>
                <w:rFonts w:cs="Times New Roman"/>
                <w:b w:val="0"/>
                <w:bCs/>
                <w:color w:val="auto"/>
                <w:highlight w:val="yellow"/>
              </w:rPr>
            </w:pPr>
            <w:r>
              <w:rPr>
                <w:rFonts w:hint="eastAsia" w:cs="Times New Roman"/>
                <w:b w:val="0"/>
                <w:bCs/>
                <w:color w:val="auto"/>
              </w:rPr>
              <w:t>11.95</w:t>
            </w:r>
          </w:p>
        </w:tc>
        <w:tc>
          <w:tcPr>
            <w:tcW w:w="291" w:type="pct"/>
            <w:tcMar>
              <w:top w:w="0" w:type="dxa"/>
              <w:left w:w="0" w:type="dxa"/>
              <w:bottom w:w="0" w:type="dxa"/>
              <w:right w:w="0" w:type="dxa"/>
            </w:tcMar>
            <w:vAlign w:val="center"/>
          </w:tcPr>
          <w:p w14:paraId="2D7EE3A1">
            <w:pPr>
              <w:pStyle w:val="67"/>
              <w:rPr>
                <w:rFonts w:cs="Times New Roman"/>
                <w:b w:val="0"/>
                <w:bCs/>
                <w:color w:val="auto"/>
                <w:highlight w:val="yellow"/>
              </w:rPr>
            </w:pPr>
            <w:r>
              <w:rPr>
                <w:rFonts w:hint="eastAsia" w:cs="Times New Roman"/>
                <w:b w:val="0"/>
                <w:bCs/>
                <w:color w:val="auto"/>
              </w:rPr>
              <w:t>9.5</w:t>
            </w:r>
          </w:p>
        </w:tc>
        <w:tc>
          <w:tcPr>
            <w:tcW w:w="330" w:type="pct"/>
            <w:tcMar>
              <w:top w:w="0" w:type="dxa"/>
              <w:left w:w="0" w:type="dxa"/>
              <w:bottom w:w="0" w:type="dxa"/>
              <w:right w:w="0" w:type="dxa"/>
            </w:tcMar>
            <w:vAlign w:val="center"/>
          </w:tcPr>
          <w:p w14:paraId="77EF712D">
            <w:pPr>
              <w:pStyle w:val="67"/>
              <w:rPr>
                <w:rFonts w:cs="Times New Roman"/>
                <w:b w:val="0"/>
                <w:bCs/>
                <w:color w:val="auto"/>
                <w:highlight w:val="yellow"/>
              </w:rPr>
            </w:pPr>
            <w:r>
              <w:rPr>
                <w:rFonts w:hint="eastAsia" w:cs="Times New Roman"/>
                <w:b w:val="0"/>
                <w:bCs/>
                <w:color w:val="auto"/>
              </w:rPr>
              <w:t>5.15</w:t>
            </w:r>
          </w:p>
        </w:tc>
        <w:tc>
          <w:tcPr>
            <w:tcW w:w="228" w:type="pct"/>
            <w:tcMar>
              <w:top w:w="0" w:type="dxa"/>
              <w:left w:w="0" w:type="dxa"/>
              <w:bottom w:w="0" w:type="dxa"/>
              <w:right w:w="0" w:type="dxa"/>
            </w:tcMar>
            <w:vAlign w:val="center"/>
          </w:tcPr>
          <w:p w14:paraId="37D5B572">
            <w:pPr>
              <w:pStyle w:val="67"/>
              <w:rPr>
                <w:rFonts w:cs="Times New Roman"/>
                <w:b w:val="0"/>
                <w:bCs/>
                <w:color w:val="auto"/>
                <w:highlight w:val="yellow"/>
              </w:rPr>
            </w:pPr>
            <w:r>
              <w:rPr>
                <w:rFonts w:hint="eastAsia" w:cs="Times New Roman"/>
                <w:b w:val="0"/>
                <w:bCs/>
                <w:color w:val="auto"/>
              </w:rPr>
              <w:t>3.15</w:t>
            </w:r>
          </w:p>
        </w:tc>
        <w:tc>
          <w:tcPr>
            <w:tcW w:w="351" w:type="pct"/>
            <w:tcMar>
              <w:top w:w="0" w:type="dxa"/>
              <w:left w:w="0" w:type="dxa"/>
              <w:bottom w:w="0" w:type="dxa"/>
              <w:right w:w="0" w:type="dxa"/>
            </w:tcMar>
            <w:vAlign w:val="center"/>
          </w:tcPr>
          <w:p w14:paraId="1C9EB80C">
            <w:pPr>
              <w:pStyle w:val="67"/>
              <w:rPr>
                <w:rFonts w:cs="Times New Roman"/>
                <w:b w:val="0"/>
                <w:bCs/>
                <w:color w:val="auto"/>
                <w:highlight w:val="yellow"/>
              </w:rPr>
            </w:pPr>
            <w:r>
              <w:rPr>
                <w:rFonts w:hint="eastAsia" w:cs="Times New Roman"/>
                <w:b w:val="0"/>
                <w:bCs/>
                <w:color w:val="auto"/>
              </w:rPr>
              <w:t>2.1</w:t>
            </w:r>
          </w:p>
        </w:tc>
        <w:tc>
          <w:tcPr>
            <w:tcW w:w="239" w:type="pct"/>
            <w:tcMar>
              <w:top w:w="0" w:type="dxa"/>
              <w:left w:w="0" w:type="dxa"/>
              <w:bottom w:w="0" w:type="dxa"/>
              <w:right w:w="0" w:type="dxa"/>
            </w:tcMar>
            <w:vAlign w:val="center"/>
          </w:tcPr>
          <w:p w14:paraId="100771D7">
            <w:pPr>
              <w:pStyle w:val="67"/>
              <w:rPr>
                <w:rFonts w:cs="Times New Roman"/>
                <w:b w:val="0"/>
                <w:bCs/>
                <w:color w:val="auto"/>
                <w:highlight w:val="yellow"/>
              </w:rPr>
            </w:pPr>
            <w:r>
              <w:rPr>
                <w:rFonts w:hint="eastAsia" w:cs="Times New Roman"/>
                <w:b w:val="0"/>
                <w:bCs/>
                <w:color w:val="auto"/>
              </w:rPr>
              <w:t>1.5</w:t>
            </w:r>
          </w:p>
        </w:tc>
        <w:tc>
          <w:tcPr>
            <w:tcW w:w="333" w:type="pct"/>
            <w:tcMar>
              <w:top w:w="0" w:type="dxa"/>
              <w:left w:w="0" w:type="dxa"/>
              <w:bottom w:w="0" w:type="dxa"/>
              <w:right w:w="0" w:type="dxa"/>
            </w:tcMar>
            <w:vAlign w:val="center"/>
          </w:tcPr>
          <w:p w14:paraId="08A6F18B">
            <w:pPr>
              <w:pStyle w:val="67"/>
              <w:rPr>
                <w:rFonts w:cs="Times New Roman"/>
                <w:b w:val="0"/>
                <w:bCs/>
                <w:color w:val="auto"/>
                <w:highlight w:val="yellow"/>
              </w:rPr>
            </w:pPr>
            <w:r>
              <w:rPr>
                <w:rFonts w:hint="eastAsia" w:cs="Times New Roman"/>
                <w:b w:val="0"/>
                <w:bCs/>
                <w:color w:val="auto"/>
              </w:rPr>
              <w:t>0.95</w:t>
            </w:r>
          </w:p>
        </w:tc>
        <w:tc>
          <w:tcPr>
            <w:tcW w:w="286" w:type="pct"/>
            <w:tcMar>
              <w:top w:w="0" w:type="dxa"/>
              <w:left w:w="0" w:type="dxa"/>
              <w:bottom w:w="0" w:type="dxa"/>
              <w:right w:w="0" w:type="dxa"/>
            </w:tcMar>
            <w:vAlign w:val="center"/>
          </w:tcPr>
          <w:p w14:paraId="078D09F6">
            <w:pPr>
              <w:pStyle w:val="67"/>
              <w:rPr>
                <w:rFonts w:cs="Times New Roman"/>
                <w:b w:val="0"/>
                <w:bCs/>
                <w:color w:val="auto"/>
                <w:highlight w:val="yellow"/>
              </w:rPr>
            </w:pPr>
            <w:r>
              <w:rPr>
                <w:rFonts w:hint="eastAsia" w:cs="Times New Roman"/>
                <w:b w:val="0"/>
                <w:bCs/>
                <w:color w:val="auto"/>
              </w:rPr>
              <w:t>4.45</w:t>
            </w:r>
          </w:p>
        </w:tc>
      </w:tr>
      <w:tr w14:paraId="2ACBC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1C6E0B74">
            <w:pPr>
              <w:pStyle w:val="67"/>
              <w:rPr>
                <w:rFonts w:cs="Times New Roman"/>
                <w:b w:val="0"/>
                <w:bCs/>
                <w:color w:val="auto"/>
              </w:rPr>
            </w:pPr>
            <w:r>
              <w:rPr>
                <w:rFonts w:cs="Times New Roman"/>
                <w:b w:val="0"/>
                <w:bCs/>
                <w:color w:val="auto"/>
              </w:rPr>
              <w:t>05</w:t>
            </w:r>
          </w:p>
        </w:tc>
        <w:tc>
          <w:tcPr>
            <w:tcW w:w="228" w:type="pct"/>
            <w:tcMar>
              <w:top w:w="0" w:type="dxa"/>
              <w:left w:w="0" w:type="dxa"/>
              <w:bottom w:w="0" w:type="dxa"/>
              <w:right w:w="0" w:type="dxa"/>
            </w:tcMar>
            <w:vAlign w:val="center"/>
          </w:tcPr>
          <w:p w14:paraId="44BA1EA8">
            <w:pPr>
              <w:pStyle w:val="67"/>
              <w:rPr>
                <w:rFonts w:cs="Times New Roman"/>
                <w:b w:val="0"/>
                <w:bCs/>
                <w:color w:val="auto"/>
                <w:highlight w:val="yellow"/>
              </w:rPr>
            </w:pPr>
            <w:r>
              <w:rPr>
                <w:rFonts w:hint="eastAsia" w:cs="Times New Roman"/>
                <w:b w:val="0"/>
                <w:bCs/>
                <w:color w:val="auto"/>
              </w:rPr>
              <w:t>1.1</w:t>
            </w:r>
          </w:p>
        </w:tc>
        <w:tc>
          <w:tcPr>
            <w:tcW w:w="278" w:type="pct"/>
            <w:tcMar>
              <w:top w:w="0" w:type="dxa"/>
              <w:left w:w="0" w:type="dxa"/>
              <w:bottom w:w="0" w:type="dxa"/>
              <w:right w:w="0" w:type="dxa"/>
            </w:tcMar>
            <w:vAlign w:val="center"/>
          </w:tcPr>
          <w:p w14:paraId="3336F1BE">
            <w:pPr>
              <w:pStyle w:val="67"/>
              <w:rPr>
                <w:rFonts w:cs="Times New Roman"/>
                <w:b w:val="0"/>
                <w:bCs/>
                <w:color w:val="auto"/>
                <w:highlight w:val="yellow"/>
              </w:rPr>
            </w:pPr>
            <w:r>
              <w:rPr>
                <w:rFonts w:hint="eastAsia" w:cs="Times New Roman"/>
                <w:b w:val="0"/>
                <w:bCs/>
                <w:color w:val="auto"/>
              </w:rPr>
              <w:t>2.2</w:t>
            </w:r>
          </w:p>
        </w:tc>
        <w:tc>
          <w:tcPr>
            <w:tcW w:w="291" w:type="pct"/>
            <w:tcMar>
              <w:top w:w="0" w:type="dxa"/>
              <w:left w:w="0" w:type="dxa"/>
              <w:bottom w:w="0" w:type="dxa"/>
              <w:right w:w="0" w:type="dxa"/>
            </w:tcMar>
            <w:vAlign w:val="center"/>
          </w:tcPr>
          <w:p w14:paraId="5DE4D047">
            <w:pPr>
              <w:pStyle w:val="67"/>
              <w:rPr>
                <w:rFonts w:cs="Times New Roman"/>
                <w:b w:val="0"/>
                <w:bCs/>
                <w:color w:val="auto"/>
                <w:highlight w:val="yellow"/>
              </w:rPr>
            </w:pPr>
            <w:r>
              <w:rPr>
                <w:rFonts w:hint="eastAsia" w:cs="Times New Roman"/>
                <w:b w:val="0"/>
                <w:bCs/>
                <w:color w:val="auto"/>
              </w:rPr>
              <w:t>10.6</w:t>
            </w:r>
          </w:p>
        </w:tc>
        <w:tc>
          <w:tcPr>
            <w:tcW w:w="291" w:type="pct"/>
            <w:tcMar>
              <w:top w:w="0" w:type="dxa"/>
              <w:left w:w="0" w:type="dxa"/>
              <w:bottom w:w="0" w:type="dxa"/>
              <w:right w:w="0" w:type="dxa"/>
            </w:tcMar>
            <w:vAlign w:val="center"/>
          </w:tcPr>
          <w:p w14:paraId="2E170DDC">
            <w:pPr>
              <w:pStyle w:val="67"/>
              <w:rPr>
                <w:rFonts w:cs="Times New Roman"/>
                <w:b w:val="0"/>
                <w:bCs/>
                <w:color w:val="auto"/>
                <w:highlight w:val="yellow"/>
              </w:rPr>
            </w:pPr>
            <w:r>
              <w:rPr>
                <w:rFonts w:hint="eastAsia" w:cs="Times New Roman"/>
                <w:b w:val="0"/>
                <w:bCs/>
                <w:color w:val="auto"/>
              </w:rPr>
              <w:t>13.7</w:t>
            </w:r>
          </w:p>
        </w:tc>
        <w:tc>
          <w:tcPr>
            <w:tcW w:w="291" w:type="pct"/>
            <w:tcMar>
              <w:top w:w="0" w:type="dxa"/>
              <w:left w:w="0" w:type="dxa"/>
              <w:bottom w:w="0" w:type="dxa"/>
              <w:right w:w="0" w:type="dxa"/>
            </w:tcMar>
            <w:vAlign w:val="center"/>
          </w:tcPr>
          <w:p w14:paraId="457B7123">
            <w:pPr>
              <w:pStyle w:val="67"/>
              <w:rPr>
                <w:rFonts w:cs="Times New Roman"/>
                <w:b w:val="0"/>
                <w:bCs/>
                <w:color w:val="auto"/>
                <w:highlight w:val="yellow"/>
              </w:rPr>
            </w:pPr>
            <w:r>
              <w:rPr>
                <w:rFonts w:hint="eastAsia" w:cs="Times New Roman"/>
                <w:b w:val="0"/>
                <w:bCs/>
                <w:color w:val="auto"/>
              </w:rPr>
              <w:t>8.15</w:t>
            </w:r>
          </w:p>
        </w:tc>
        <w:tc>
          <w:tcPr>
            <w:tcW w:w="245" w:type="pct"/>
            <w:tcMar>
              <w:top w:w="0" w:type="dxa"/>
              <w:left w:w="0" w:type="dxa"/>
              <w:bottom w:w="0" w:type="dxa"/>
              <w:right w:w="0" w:type="dxa"/>
            </w:tcMar>
            <w:vAlign w:val="center"/>
          </w:tcPr>
          <w:p w14:paraId="2BB018BE">
            <w:pPr>
              <w:pStyle w:val="67"/>
              <w:rPr>
                <w:rFonts w:cs="Times New Roman"/>
                <w:b w:val="0"/>
                <w:bCs/>
                <w:color w:val="auto"/>
                <w:highlight w:val="yellow"/>
              </w:rPr>
            </w:pPr>
            <w:r>
              <w:rPr>
                <w:rFonts w:hint="eastAsia" w:cs="Times New Roman"/>
                <w:b w:val="0"/>
                <w:bCs/>
                <w:color w:val="auto"/>
              </w:rPr>
              <w:t>4.7</w:t>
            </w:r>
          </w:p>
        </w:tc>
        <w:tc>
          <w:tcPr>
            <w:tcW w:w="228" w:type="pct"/>
            <w:tcMar>
              <w:top w:w="0" w:type="dxa"/>
              <w:left w:w="0" w:type="dxa"/>
              <w:bottom w:w="0" w:type="dxa"/>
              <w:right w:w="0" w:type="dxa"/>
            </w:tcMar>
            <w:vAlign w:val="center"/>
          </w:tcPr>
          <w:p w14:paraId="1DB20060">
            <w:pPr>
              <w:pStyle w:val="67"/>
              <w:rPr>
                <w:rFonts w:cs="Times New Roman"/>
                <w:b w:val="0"/>
                <w:bCs/>
                <w:color w:val="auto"/>
                <w:highlight w:val="yellow"/>
              </w:rPr>
            </w:pPr>
            <w:r>
              <w:rPr>
                <w:rFonts w:hint="eastAsia" w:cs="Times New Roman"/>
                <w:b w:val="0"/>
                <w:bCs/>
                <w:color w:val="auto"/>
              </w:rPr>
              <w:t>3.95</w:t>
            </w:r>
          </w:p>
        </w:tc>
        <w:tc>
          <w:tcPr>
            <w:tcW w:w="232" w:type="pct"/>
            <w:tcMar>
              <w:top w:w="0" w:type="dxa"/>
              <w:left w:w="0" w:type="dxa"/>
              <w:bottom w:w="0" w:type="dxa"/>
              <w:right w:w="0" w:type="dxa"/>
            </w:tcMar>
            <w:vAlign w:val="center"/>
          </w:tcPr>
          <w:p w14:paraId="50C52410">
            <w:pPr>
              <w:pStyle w:val="67"/>
              <w:rPr>
                <w:rFonts w:cs="Times New Roman"/>
                <w:b w:val="0"/>
                <w:bCs/>
                <w:color w:val="auto"/>
                <w:highlight w:val="yellow"/>
              </w:rPr>
            </w:pPr>
            <w:r>
              <w:rPr>
                <w:rFonts w:hint="eastAsia" w:cs="Times New Roman"/>
                <w:b w:val="0"/>
                <w:bCs/>
                <w:color w:val="auto"/>
              </w:rPr>
              <w:t>4.9</w:t>
            </w:r>
          </w:p>
        </w:tc>
        <w:tc>
          <w:tcPr>
            <w:tcW w:w="291" w:type="pct"/>
            <w:tcMar>
              <w:top w:w="0" w:type="dxa"/>
              <w:left w:w="0" w:type="dxa"/>
              <w:bottom w:w="0" w:type="dxa"/>
              <w:right w:w="0" w:type="dxa"/>
            </w:tcMar>
            <w:vAlign w:val="center"/>
          </w:tcPr>
          <w:p w14:paraId="360554B4">
            <w:pPr>
              <w:pStyle w:val="67"/>
              <w:rPr>
                <w:rFonts w:cs="Times New Roman"/>
                <w:b w:val="0"/>
                <w:bCs/>
                <w:color w:val="auto"/>
                <w:highlight w:val="yellow"/>
              </w:rPr>
            </w:pPr>
            <w:r>
              <w:rPr>
                <w:rFonts w:hint="eastAsia" w:cs="Times New Roman"/>
                <w:b w:val="0"/>
                <w:bCs/>
                <w:color w:val="auto"/>
              </w:rPr>
              <w:t>9.5</w:t>
            </w:r>
          </w:p>
        </w:tc>
        <w:tc>
          <w:tcPr>
            <w:tcW w:w="291" w:type="pct"/>
            <w:tcMar>
              <w:top w:w="0" w:type="dxa"/>
              <w:left w:w="0" w:type="dxa"/>
              <w:bottom w:w="0" w:type="dxa"/>
              <w:right w:w="0" w:type="dxa"/>
            </w:tcMar>
            <w:vAlign w:val="center"/>
          </w:tcPr>
          <w:p w14:paraId="058F3D88">
            <w:pPr>
              <w:pStyle w:val="67"/>
              <w:rPr>
                <w:rFonts w:cs="Times New Roman"/>
                <w:b w:val="0"/>
                <w:bCs/>
                <w:color w:val="auto"/>
                <w:highlight w:val="yellow"/>
              </w:rPr>
            </w:pPr>
            <w:r>
              <w:rPr>
                <w:rFonts w:hint="eastAsia" w:cs="Times New Roman"/>
                <w:b w:val="0"/>
                <w:bCs/>
                <w:color w:val="auto"/>
              </w:rPr>
              <w:t>11.85</w:t>
            </w:r>
          </w:p>
        </w:tc>
        <w:tc>
          <w:tcPr>
            <w:tcW w:w="291" w:type="pct"/>
            <w:tcMar>
              <w:top w:w="0" w:type="dxa"/>
              <w:left w:w="0" w:type="dxa"/>
              <w:bottom w:w="0" w:type="dxa"/>
              <w:right w:w="0" w:type="dxa"/>
            </w:tcMar>
            <w:vAlign w:val="center"/>
          </w:tcPr>
          <w:p w14:paraId="63385076">
            <w:pPr>
              <w:pStyle w:val="67"/>
              <w:rPr>
                <w:rFonts w:cs="Times New Roman"/>
                <w:b w:val="0"/>
                <w:bCs/>
                <w:color w:val="auto"/>
                <w:highlight w:val="yellow"/>
              </w:rPr>
            </w:pPr>
            <w:r>
              <w:rPr>
                <w:rFonts w:hint="eastAsia" w:cs="Times New Roman"/>
                <w:b w:val="0"/>
                <w:bCs/>
                <w:color w:val="auto"/>
              </w:rPr>
              <w:t>10.85</w:t>
            </w:r>
          </w:p>
        </w:tc>
        <w:tc>
          <w:tcPr>
            <w:tcW w:w="330" w:type="pct"/>
            <w:tcMar>
              <w:top w:w="0" w:type="dxa"/>
              <w:left w:w="0" w:type="dxa"/>
              <w:bottom w:w="0" w:type="dxa"/>
              <w:right w:w="0" w:type="dxa"/>
            </w:tcMar>
            <w:vAlign w:val="center"/>
          </w:tcPr>
          <w:p w14:paraId="0273B8B4">
            <w:pPr>
              <w:pStyle w:val="67"/>
              <w:rPr>
                <w:rFonts w:cs="Times New Roman"/>
                <w:b w:val="0"/>
                <w:bCs/>
                <w:color w:val="auto"/>
                <w:highlight w:val="yellow"/>
              </w:rPr>
            </w:pPr>
            <w:r>
              <w:rPr>
                <w:rFonts w:hint="eastAsia" w:cs="Times New Roman"/>
                <w:b w:val="0"/>
                <w:bCs/>
                <w:color w:val="auto"/>
              </w:rPr>
              <w:t>5.85</w:t>
            </w:r>
          </w:p>
        </w:tc>
        <w:tc>
          <w:tcPr>
            <w:tcW w:w="228" w:type="pct"/>
            <w:tcMar>
              <w:top w:w="0" w:type="dxa"/>
              <w:left w:w="0" w:type="dxa"/>
              <w:bottom w:w="0" w:type="dxa"/>
              <w:right w:w="0" w:type="dxa"/>
            </w:tcMar>
            <w:vAlign w:val="center"/>
          </w:tcPr>
          <w:p w14:paraId="2C819235">
            <w:pPr>
              <w:pStyle w:val="67"/>
              <w:rPr>
                <w:rFonts w:cs="Times New Roman"/>
                <w:b w:val="0"/>
                <w:bCs/>
                <w:color w:val="auto"/>
                <w:highlight w:val="yellow"/>
              </w:rPr>
            </w:pPr>
            <w:r>
              <w:rPr>
                <w:rFonts w:hint="eastAsia" w:cs="Times New Roman"/>
                <w:b w:val="0"/>
                <w:bCs/>
                <w:color w:val="auto"/>
              </w:rPr>
              <w:t>4.1</w:t>
            </w:r>
          </w:p>
        </w:tc>
        <w:tc>
          <w:tcPr>
            <w:tcW w:w="351" w:type="pct"/>
            <w:tcMar>
              <w:top w:w="0" w:type="dxa"/>
              <w:left w:w="0" w:type="dxa"/>
              <w:bottom w:w="0" w:type="dxa"/>
              <w:right w:w="0" w:type="dxa"/>
            </w:tcMar>
            <w:vAlign w:val="center"/>
          </w:tcPr>
          <w:p w14:paraId="01D2B34F">
            <w:pPr>
              <w:pStyle w:val="67"/>
              <w:rPr>
                <w:rFonts w:cs="Times New Roman"/>
                <w:b w:val="0"/>
                <w:bCs/>
                <w:color w:val="auto"/>
                <w:highlight w:val="yellow"/>
              </w:rPr>
            </w:pPr>
            <w:r>
              <w:rPr>
                <w:rFonts w:hint="eastAsia" w:cs="Times New Roman"/>
                <w:b w:val="0"/>
                <w:bCs/>
                <w:color w:val="auto"/>
              </w:rPr>
              <w:t>1.85</w:t>
            </w:r>
          </w:p>
        </w:tc>
        <w:tc>
          <w:tcPr>
            <w:tcW w:w="239" w:type="pct"/>
            <w:tcMar>
              <w:top w:w="0" w:type="dxa"/>
              <w:left w:w="0" w:type="dxa"/>
              <w:bottom w:w="0" w:type="dxa"/>
              <w:right w:w="0" w:type="dxa"/>
            </w:tcMar>
            <w:vAlign w:val="center"/>
          </w:tcPr>
          <w:p w14:paraId="0B357CB9">
            <w:pPr>
              <w:pStyle w:val="67"/>
              <w:rPr>
                <w:rFonts w:cs="Times New Roman"/>
                <w:b w:val="0"/>
                <w:bCs/>
                <w:color w:val="auto"/>
                <w:highlight w:val="yellow"/>
              </w:rPr>
            </w:pPr>
            <w:r>
              <w:rPr>
                <w:rFonts w:hint="eastAsia" w:cs="Times New Roman"/>
                <w:b w:val="0"/>
                <w:bCs/>
                <w:color w:val="auto"/>
              </w:rPr>
              <w:t>1.25</w:t>
            </w:r>
          </w:p>
        </w:tc>
        <w:tc>
          <w:tcPr>
            <w:tcW w:w="333" w:type="pct"/>
            <w:tcMar>
              <w:top w:w="0" w:type="dxa"/>
              <w:left w:w="0" w:type="dxa"/>
              <w:bottom w:w="0" w:type="dxa"/>
              <w:right w:w="0" w:type="dxa"/>
            </w:tcMar>
            <w:vAlign w:val="center"/>
          </w:tcPr>
          <w:p w14:paraId="1DFE8055">
            <w:pPr>
              <w:pStyle w:val="67"/>
              <w:rPr>
                <w:rFonts w:cs="Times New Roman"/>
                <w:b w:val="0"/>
                <w:bCs/>
                <w:color w:val="auto"/>
                <w:highlight w:val="yellow"/>
              </w:rPr>
            </w:pPr>
            <w:r>
              <w:rPr>
                <w:rFonts w:hint="eastAsia" w:cs="Times New Roman"/>
                <w:b w:val="0"/>
                <w:bCs/>
                <w:color w:val="auto"/>
              </w:rPr>
              <w:t>0.85</w:t>
            </w:r>
          </w:p>
        </w:tc>
        <w:tc>
          <w:tcPr>
            <w:tcW w:w="286" w:type="pct"/>
            <w:tcMar>
              <w:top w:w="0" w:type="dxa"/>
              <w:left w:w="0" w:type="dxa"/>
              <w:bottom w:w="0" w:type="dxa"/>
              <w:right w:w="0" w:type="dxa"/>
            </w:tcMar>
            <w:vAlign w:val="center"/>
          </w:tcPr>
          <w:p w14:paraId="478DED0C">
            <w:pPr>
              <w:pStyle w:val="67"/>
              <w:rPr>
                <w:rFonts w:cs="Times New Roman"/>
                <w:b w:val="0"/>
                <w:bCs/>
                <w:color w:val="auto"/>
                <w:highlight w:val="yellow"/>
              </w:rPr>
            </w:pPr>
            <w:r>
              <w:rPr>
                <w:rFonts w:hint="eastAsia" w:cs="Times New Roman"/>
                <w:b w:val="0"/>
                <w:bCs/>
                <w:color w:val="auto"/>
              </w:rPr>
              <w:t>4.6</w:t>
            </w:r>
          </w:p>
        </w:tc>
      </w:tr>
      <w:tr w14:paraId="5C8C0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67BBCEEB">
            <w:pPr>
              <w:pStyle w:val="67"/>
              <w:rPr>
                <w:rFonts w:cs="Times New Roman"/>
                <w:b w:val="0"/>
                <w:bCs/>
                <w:color w:val="auto"/>
              </w:rPr>
            </w:pPr>
            <w:r>
              <w:rPr>
                <w:rFonts w:cs="Times New Roman"/>
                <w:b w:val="0"/>
                <w:bCs/>
                <w:color w:val="auto"/>
              </w:rPr>
              <w:t>06</w:t>
            </w:r>
          </w:p>
        </w:tc>
        <w:tc>
          <w:tcPr>
            <w:tcW w:w="228" w:type="pct"/>
            <w:tcMar>
              <w:top w:w="0" w:type="dxa"/>
              <w:left w:w="0" w:type="dxa"/>
              <w:bottom w:w="0" w:type="dxa"/>
              <w:right w:w="0" w:type="dxa"/>
            </w:tcMar>
            <w:vAlign w:val="center"/>
          </w:tcPr>
          <w:p w14:paraId="2AFDEF9B">
            <w:pPr>
              <w:pStyle w:val="67"/>
              <w:rPr>
                <w:rFonts w:cs="Times New Roman"/>
                <w:b w:val="0"/>
                <w:bCs/>
                <w:color w:val="auto"/>
                <w:highlight w:val="yellow"/>
              </w:rPr>
            </w:pPr>
            <w:r>
              <w:rPr>
                <w:rFonts w:hint="eastAsia" w:cs="Times New Roman"/>
                <w:b w:val="0"/>
                <w:bCs/>
                <w:color w:val="auto"/>
              </w:rPr>
              <w:t>1.85</w:t>
            </w:r>
          </w:p>
        </w:tc>
        <w:tc>
          <w:tcPr>
            <w:tcW w:w="278" w:type="pct"/>
            <w:tcMar>
              <w:top w:w="0" w:type="dxa"/>
              <w:left w:w="0" w:type="dxa"/>
              <w:bottom w:w="0" w:type="dxa"/>
              <w:right w:w="0" w:type="dxa"/>
            </w:tcMar>
            <w:vAlign w:val="center"/>
          </w:tcPr>
          <w:p w14:paraId="6ADDC5CD">
            <w:pPr>
              <w:pStyle w:val="67"/>
              <w:rPr>
                <w:rFonts w:cs="Times New Roman"/>
                <w:b w:val="0"/>
                <w:bCs/>
                <w:color w:val="auto"/>
                <w:highlight w:val="yellow"/>
              </w:rPr>
            </w:pPr>
            <w:r>
              <w:rPr>
                <w:rFonts w:hint="eastAsia" w:cs="Times New Roman"/>
                <w:b w:val="0"/>
                <w:bCs/>
                <w:color w:val="auto"/>
              </w:rPr>
              <w:t>1.85</w:t>
            </w:r>
          </w:p>
        </w:tc>
        <w:tc>
          <w:tcPr>
            <w:tcW w:w="291" w:type="pct"/>
            <w:tcMar>
              <w:top w:w="0" w:type="dxa"/>
              <w:left w:w="0" w:type="dxa"/>
              <w:bottom w:w="0" w:type="dxa"/>
              <w:right w:w="0" w:type="dxa"/>
            </w:tcMar>
            <w:vAlign w:val="center"/>
          </w:tcPr>
          <w:p w14:paraId="58FA4806">
            <w:pPr>
              <w:pStyle w:val="67"/>
              <w:rPr>
                <w:rFonts w:cs="Times New Roman"/>
                <w:b w:val="0"/>
                <w:bCs/>
                <w:color w:val="auto"/>
                <w:highlight w:val="yellow"/>
              </w:rPr>
            </w:pPr>
            <w:r>
              <w:rPr>
                <w:rFonts w:hint="eastAsia" w:cs="Times New Roman"/>
                <w:b w:val="0"/>
                <w:bCs/>
                <w:color w:val="auto"/>
              </w:rPr>
              <w:t>10.51</w:t>
            </w:r>
          </w:p>
        </w:tc>
        <w:tc>
          <w:tcPr>
            <w:tcW w:w="291" w:type="pct"/>
            <w:tcMar>
              <w:top w:w="0" w:type="dxa"/>
              <w:left w:w="0" w:type="dxa"/>
              <w:bottom w:w="0" w:type="dxa"/>
              <w:right w:w="0" w:type="dxa"/>
            </w:tcMar>
            <w:vAlign w:val="center"/>
          </w:tcPr>
          <w:p w14:paraId="14AA0671">
            <w:pPr>
              <w:pStyle w:val="67"/>
              <w:rPr>
                <w:rFonts w:cs="Times New Roman"/>
                <w:b w:val="0"/>
                <w:bCs/>
                <w:color w:val="auto"/>
                <w:highlight w:val="yellow"/>
              </w:rPr>
            </w:pPr>
            <w:r>
              <w:rPr>
                <w:rFonts w:hint="eastAsia" w:cs="Times New Roman"/>
                <w:b w:val="0"/>
                <w:bCs/>
                <w:color w:val="auto"/>
              </w:rPr>
              <w:t>13.7</w:t>
            </w:r>
          </w:p>
        </w:tc>
        <w:tc>
          <w:tcPr>
            <w:tcW w:w="291" w:type="pct"/>
            <w:tcMar>
              <w:top w:w="0" w:type="dxa"/>
              <w:left w:w="0" w:type="dxa"/>
              <w:bottom w:w="0" w:type="dxa"/>
              <w:right w:w="0" w:type="dxa"/>
            </w:tcMar>
            <w:vAlign w:val="center"/>
          </w:tcPr>
          <w:p w14:paraId="59C5E4FB">
            <w:pPr>
              <w:pStyle w:val="67"/>
              <w:rPr>
                <w:rFonts w:cs="Times New Roman"/>
                <w:b w:val="0"/>
                <w:bCs/>
                <w:color w:val="auto"/>
                <w:highlight w:val="yellow"/>
              </w:rPr>
            </w:pPr>
            <w:r>
              <w:rPr>
                <w:rFonts w:hint="eastAsia" w:cs="Times New Roman"/>
                <w:b w:val="0"/>
                <w:bCs/>
                <w:color w:val="auto"/>
              </w:rPr>
              <w:t>10.04</w:t>
            </w:r>
          </w:p>
        </w:tc>
        <w:tc>
          <w:tcPr>
            <w:tcW w:w="245" w:type="pct"/>
            <w:tcMar>
              <w:top w:w="0" w:type="dxa"/>
              <w:left w:w="0" w:type="dxa"/>
              <w:bottom w:w="0" w:type="dxa"/>
              <w:right w:w="0" w:type="dxa"/>
            </w:tcMar>
            <w:vAlign w:val="center"/>
          </w:tcPr>
          <w:p w14:paraId="17EE5969">
            <w:pPr>
              <w:pStyle w:val="67"/>
              <w:rPr>
                <w:rFonts w:cs="Times New Roman"/>
                <w:b w:val="0"/>
                <w:bCs/>
                <w:color w:val="auto"/>
                <w:highlight w:val="yellow"/>
              </w:rPr>
            </w:pPr>
            <w:r>
              <w:rPr>
                <w:rFonts w:hint="eastAsia" w:cs="Times New Roman"/>
                <w:b w:val="0"/>
                <w:bCs/>
                <w:color w:val="auto"/>
              </w:rPr>
              <w:t>6.23</w:t>
            </w:r>
          </w:p>
        </w:tc>
        <w:tc>
          <w:tcPr>
            <w:tcW w:w="228" w:type="pct"/>
            <w:tcMar>
              <w:top w:w="0" w:type="dxa"/>
              <w:left w:w="0" w:type="dxa"/>
              <w:bottom w:w="0" w:type="dxa"/>
              <w:right w:w="0" w:type="dxa"/>
            </w:tcMar>
            <w:vAlign w:val="center"/>
          </w:tcPr>
          <w:p w14:paraId="2DE8DE06">
            <w:pPr>
              <w:pStyle w:val="67"/>
              <w:rPr>
                <w:rFonts w:cs="Times New Roman"/>
                <w:b w:val="0"/>
                <w:bCs/>
                <w:color w:val="auto"/>
                <w:highlight w:val="yellow"/>
              </w:rPr>
            </w:pPr>
            <w:r>
              <w:rPr>
                <w:rFonts w:hint="eastAsia" w:cs="Times New Roman"/>
                <w:b w:val="0"/>
                <w:bCs/>
                <w:color w:val="auto"/>
              </w:rPr>
              <w:t>4.17</w:t>
            </w:r>
          </w:p>
        </w:tc>
        <w:tc>
          <w:tcPr>
            <w:tcW w:w="232" w:type="pct"/>
            <w:tcMar>
              <w:top w:w="0" w:type="dxa"/>
              <w:left w:w="0" w:type="dxa"/>
              <w:bottom w:w="0" w:type="dxa"/>
              <w:right w:w="0" w:type="dxa"/>
            </w:tcMar>
            <w:vAlign w:val="center"/>
          </w:tcPr>
          <w:p w14:paraId="599A4D97">
            <w:pPr>
              <w:pStyle w:val="67"/>
              <w:rPr>
                <w:rFonts w:cs="Times New Roman"/>
                <w:b w:val="0"/>
                <w:bCs/>
                <w:color w:val="auto"/>
                <w:highlight w:val="yellow"/>
              </w:rPr>
            </w:pPr>
            <w:r>
              <w:rPr>
                <w:rFonts w:hint="eastAsia" w:cs="Times New Roman"/>
                <w:b w:val="0"/>
                <w:bCs/>
                <w:color w:val="auto"/>
              </w:rPr>
              <w:t>5.56</w:t>
            </w:r>
          </w:p>
        </w:tc>
        <w:tc>
          <w:tcPr>
            <w:tcW w:w="291" w:type="pct"/>
            <w:tcMar>
              <w:top w:w="0" w:type="dxa"/>
              <w:left w:w="0" w:type="dxa"/>
              <w:bottom w:w="0" w:type="dxa"/>
              <w:right w:w="0" w:type="dxa"/>
            </w:tcMar>
            <w:vAlign w:val="center"/>
          </w:tcPr>
          <w:p w14:paraId="0F9F89A7">
            <w:pPr>
              <w:pStyle w:val="67"/>
              <w:rPr>
                <w:rFonts w:cs="Times New Roman"/>
                <w:b w:val="0"/>
                <w:bCs/>
                <w:color w:val="auto"/>
                <w:highlight w:val="yellow"/>
              </w:rPr>
            </w:pPr>
            <w:r>
              <w:rPr>
                <w:rFonts w:hint="eastAsia" w:cs="Times New Roman"/>
                <w:b w:val="0"/>
                <w:bCs/>
                <w:color w:val="auto"/>
              </w:rPr>
              <w:t>10.4</w:t>
            </w:r>
          </w:p>
        </w:tc>
        <w:tc>
          <w:tcPr>
            <w:tcW w:w="291" w:type="pct"/>
            <w:tcMar>
              <w:top w:w="0" w:type="dxa"/>
              <w:left w:w="0" w:type="dxa"/>
              <w:bottom w:w="0" w:type="dxa"/>
              <w:right w:w="0" w:type="dxa"/>
            </w:tcMar>
            <w:vAlign w:val="center"/>
          </w:tcPr>
          <w:p w14:paraId="76707F71">
            <w:pPr>
              <w:pStyle w:val="67"/>
              <w:rPr>
                <w:rFonts w:cs="Times New Roman"/>
                <w:b w:val="0"/>
                <w:bCs/>
                <w:color w:val="auto"/>
                <w:highlight w:val="yellow"/>
              </w:rPr>
            </w:pPr>
            <w:r>
              <w:rPr>
                <w:rFonts w:hint="eastAsia" w:cs="Times New Roman"/>
                <w:b w:val="0"/>
                <w:bCs/>
                <w:color w:val="auto"/>
              </w:rPr>
              <w:t>11.12</w:t>
            </w:r>
          </w:p>
        </w:tc>
        <w:tc>
          <w:tcPr>
            <w:tcW w:w="291" w:type="pct"/>
            <w:tcMar>
              <w:top w:w="0" w:type="dxa"/>
              <w:left w:w="0" w:type="dxa"/>
              <w:bottom w:w="0" w:type="dxa"/>
              <w:right w:w="0" w:type="dxa"/>
            </w:tcMar>
            <w:vAlign w:val="center"/>
          </w:tcPr>
          <w:p w14:paraId="54D5FF98">
            <w:pPr>
              <w:pStyle w:val="67"/>
              <w:rPr>
                <w:rFonts w:cs="Times New Roman"/>
                <w:b w:val="0"/>
                <w:bCs/>
                <w:color w:val="auto"/>
                <w:highlight w:val="yellow"/>
              </w:rPr>
            </w:pPr>
            <w:r>
              <w:rPr>
                <w:rFonts w:hint="eastAsia" w:cs="Times New Roman"/>
                <w:b w:val="0"/>
                <w:bCs/>
                <w:color w:val="auto"/>
              </w:rPr>
              <w:t>7.73</w:t>
            </w:r>
          </w:p>
        </w:tc>
        <w:tc>
          <w:tcPr>
            <w:tcW w:w="330" w:type="pct"/>
            <w:tcMar>
              <w:top w:w="0" w:type="dxa"/>
              <w:left w:w="0" w:type="dxa"/>
              <w:bottom w:w="0" w:type="dxa"/>
              <w:right w:w="0" w:type="dxa"/>
            </w:tcMar>
            <w:vAlign w:val="center"/>
          </w:tcPr>
          <w:p w14:paraId="30BB59A3">
            <w:pPr>
              <w:pStyle w:val="67"/>
              <w:rPr>
                <w:rFonts w:cs="Times New Roman"/>
                <w:b w:val="0"/>
                <w:bCs/>
                <w:color w:val="auto"/>
                <w:highlight w:val="yellow"/>
              </w:rPr>
            </w:pPr>
            <w:r>
              <w:rPr>
                <w:rFonts w:hint="eastAsia" w:cs="Times New Roman"/>
                <w:b w:val="0"/>
                <w:bCs/>
                <w:color w:val="auto"/>
              </w:rPr>
              <w:t>4.27</w:t>
            </w:r>
          </w:p>
        </w:tc>
        <w:tc>
          <w:tcPr>
            <w:tcW w:w="228" w:type="pct"/>
            <w:tcMar>
              <w:top w:w="0" w:type="dxa"/>
              <w:left w:w="0" w:type="dxa"/>
              <w:bottom w:w="0" w:type="dxa"/>
              <w:right w:w="0" w:type="dxa"/>
            </w:tcMar>
            <w:vAlign w:val="center"/>
          </w:tcPr>
          <w:p w14:paraId="1E6A9FE1">
            <w:pPr>
              <w:pStyle w:val="67"/>
              <w:rPr>
                <w:rFonts w:cs="Times New Roman"/>
                <w:b w:val="0"/>
                <w:bCs/>
                <w:color w:val="auto"/>
                <w:highlight w:val="yellow"/>
              </w:rPr>
            </w:pPr>
            <w:r>
              <w:rPr>
                <w:rFonts w:hint="eastAsia" w:cs="Times New Roman"/>
                <w:b w:val="0"/>
                <w:bCs/>
                <w:color w:val="auto"/>
              </w:rPr>
              <w:t>2.42</w:t>
            </w:r>
          </w:p>
        </w:tc>
        <w:tc>
          <w:tcPr>
            <w:tcW w:w="351" w:type="pct"/>
            <w:tcMar>
              <w:top w:w="0" w:type="dxa"/>
              <w:left w:w="0" w:type="dxa"/>
              <w:bottom w:w="0" w:type="dxa"/>
              <w:right w:w="0" w:type="dxa"/>
            </w:tcMar>
            <w:vAlign w:val="center"/>
          </w:tcPr>
          <w:p w14:paraId="7B843029">
            <w:pPr>
              <w:pStyle w:val="67"/>
              <w:rPr>
                <w:rFonts w:cs="Times New Roman"/>
                <w:b w:val="0"/>
                <w:bCs/>
                <w:color w:val="auto"/>
                <w:highlight w:val="yellow"/>
              </w:rPr>
            </w:pPr>
            <w:r>
              <w:rPr>
                <w:rFonts w:hint="eastAsia" w:cs="Times New Roman"/>
                <w:b w:val="0"/>
                <w:bCs/>
                <w:color w:val="auto"/>
              </w:rPr>
              <w:t>1.91</w:t>
            </w:r>
          </w:p>
        </w:tc>
        <w:tc>
          <w:tcPr>
            <w:tcW w:w="239" w:type="pct"/>
            <w:tcMar>
              <w:top w:w="0" w:type="dxa"/>
              <w:left w:w="0" w:type="dxa"/>
              <w:bottom w:w="0" w:type="dxa"/>
              <w:right w:w="0" w:type="dxa"/>
            </w:tcMar>
            <w:vAlign w:val="center"/>
          </w:tcPr>
          <w:p w14:paraId="1938824B">
            <w:pPr>
              <w:pStyle w:val="67"/>
              <w:rPr>
                <w:rFonts w:cs="Times New Roman"/>
                <w:b w:val="0"/>
                <w:bCs/>
                <w:color w:val="auto"/>
                <w:highlight w:val="yellow"/>
              </w:rPr>
            </w:pPr>
            <w:r>
              <w:rPr>
                <w:rFonts w:hint="eastAsia" w:cs="Times New Roman"/>
                <w:b w:val="0"/>
                <w:bCs/>
                <w:color w:val="auto"/>
              </w:rPr>
              <w:t>1.29</w:t>
            </w:r>
          </w:p>
        </w:tc>
        <w:tc>
          <w:tcPr>
            <w:tcW w:w="333" w:type="pct"/>
            <w:tcMar>
              <w:top w:w="0" w:type="dxa"/>
              <w:left w:w="0" w:type="dxa"/>
              <w:bottom w:w="0" w:type="dxa"/>
              <w:right w:w="0" w:type="dxa"/>
            </w:tcMar>
            <w:vAlign w:val="center"/>
          </w:tcPr>
          <w:p w14:paraId="27EB3237">
            <w:pPr>
              <w:pStyle w:val="67"/>
              <w:rPr>
                <w:rFonts w:cs="Times New Roman"/>
                <w:b w:val="0"/>
                <w:bCs/>
                <w:color w:val="auto"/>
                <w:highlight w:val="yellow"/>
              </w:rPr>
            </w:pPr>
            <w:r>
              <w:rPr>
                <w:rFonts w:hint="eastAsia" w:cs="Times New Roman"/>
                <w:b w:val="0"/>
                <w:bCs/>
                <w:color w:val="auto"/>
              </w:rPr>
              <w:t>0.93</w:t>
            </w:r>
          </w:p>
        </w:tc>
        <w:tc>
          <w:tcPr>
            <w:tcW w:w="286" w:type="pct"/>
            <w:tcMar>
              <w:top w:w="0" w:type="dxa"/>
              <w:left w:w="0" w:type="dxa"/>
              <w:bottom w:w="0" w:type="dxa"/>
              <w:right w:w="0" w:type="dxa"/>
            </w:tcMar>
            <w:vAlign w:val="center"/>
          </w:tcPr>
          <w:p w14:paraId="04F23FF3">
            <w:pPr>
              <w:pStyle w:val="67"/>
              <w:rPr>
                <w:rFonts w:cs="Times New Roman"/>
                <w:b w:val="0"/>
                <w:bCs/>
                <w:color w:val="auto"/>
                <w:highlight w:val="yellow"/>
              </w:rPr>
            </w:pPr>
            <w:r>
              <w:rPr>
                <w:rFonts w:hint="eastAsia" w:cs="Times New Roman"/>
                <w:b w:val="0"/>
                <w:bCs/>
                <w:color w:val="auto"/>
              </w:rPr>
              <w:t>5.99</w:t>
            </w:r>
          </w:p>
        </w:tc>
      </w:tr>
      <w:tr w14:paraId="60301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036FED7E">
            <w:pPr>
              <w:pStyle w:val="67"/>
              <w:rPr>
                <w:rFonts w:cs="Times New Roman"/>
                <w:b w:val="0"/>
                <w:bCs/>
                <w:color w:val="auto"/>
              </w:rPr>
            </w:pPr>
            <w:r>
              <w:rPr>
                <w:rFonts w:cs="Times New Roman"/>
                <w:b w:val="0"/>
                <w:bCs/>
                <w:color w:val="auto"/>
              </w:rPr>
              <w:t>07</w:t>
            </w:r>
          </w:p>
        </w:tc>
        <w:tc>
          <w:tcPr>
            <w:tcW w:w="228" w:type="pct"/>
            <w:tcMar>
              <w:top w:w="0" w:type="dxa"/>
              <w:left w:w="0" w:type="dxa"/>
              <w:bottom w:w="0" w:type="dxa"/>
              <w:right w:w="0" w:type="dxa"/>
            </w:tcMar>
            <w:vAlign w:val="center"/>
          </w:tcPr>
          <w:p w14:paraId="77F6BFA1">
            <w:pPr>
              <w:pStyle w:val="67"/>
              <w:rPr>
                <w:rFonts w:cs="Times New Roman"/>
                <w:b w:val="0"/>
                <w:bCs/>
                <w:color w:val="auto"/>
                <w:highlight w:val="yellow"/>
              </w:rPr>
            </w:pPr>
            <w:r>
              <w:rPr>
                <w:rFonts w:hint="eastAsia" w:cs="Times New Roman"/>
                <w:b w:val="0"/>
                <w:bCs/>
                <w:color w:val="auto"/>
              </w:rPr>
              <w:t>1.45</w:t>
            </w:r>
          </w:p>
        </w:tc>
        <w:tc>
          <w:tcPr>
            <w:tcW w:w="278" w:type="pct"/>
            <w:tcMar>
              <w:top w:w="0" w:type="dxa"/>
              <w:left w:w="0" w:type="dxa"/>
              <w:bottom w:w="0" w:type="dxa"/>
              <w:right w:w="0" w:type="dxa"/>
            </w:tcMar>
            <w:vAlign w:val="center"/>
          </w:tcPr>
          <w:p w14:paraId="502280EB">
            <w:pPr>
              <w:pStyle w:val="67"/>
              <w:rPr>
                <w:rFonts w:cs="Times New Roman"/>
                <w:b w:val="0"/>
                <w:bCs/>
                <w:color w:val="auto"/>
                <w:highlight w:val="yellow"/>
              </w:rPr>
            </w:pPr>
            <w:r>
              <w:rPr>
                <w:rFonts w:hint="eastAsia" w:cs="Times New Roman"/>
                <w:b w:val="0"/>
                <w:bCs/>
                <w:color w:val="auto"/>
              </w:rPr>
              <w:t>3.05</w:t>
            </w:r>
          </w:p>
        </w:tc>
        <w:tc>
          <w:tcPr>
            <w:tcW w:w="291" w:type="pct"/>
            <w:tcMar>
              <w:top w:w="0" w:type="dxa"/>
              <w:left w:w="0" w:type="dxa"/>
              <w:bottom w:w="0" w:type="dxa"/>
              <w:right w:w="0" w:type="dxa"/>
            </w:tcMar>
            <w:vAlign w:val="center"/>
          </w:tcPr>
          <w:p w14:paraId="56B893E8">
            <w:pPr>
              <w:pStyle w:val="67"/>
              <w:rPr>
                <w:rFonts w:cs="Times New Roman"/>
                <w:b w:val="0"/>
                <w:bCs/>
                <w:color w:val="auto"/>
                <w:highlight w:val="yellow"/>
              </w:rPr>
            </w:pPr>
            <w:r>
              <w:rPr>
                <w:rFonts w:hint="eastAsia" w:cs="Times New Roman"/>
                <w:b w:val="0"/>
                <w:bCs/>
                <w:color w:val="auto"/>
              </w:rPr>
              <w:t>11.2</w:t>
            </w:r>
          </w:p>
        </w:tc>
        <w:tc>
          <w:tcPr>
            <w:tcW w:w="291" w:type="pct"/>
            <w:tcMar>
              <w:top w:w="0" w:type="dxa"/>
              <w:left w:w="0" w:type="dxa"/>
              <w:bottom w:w="0" w:type="dxa"/>
              <w:right w:w="0" w:type="dxa"/>
            </w:tcMar>
            <w:vAlign w:val="center"/>
          </w:tcPr>
          <w:p w14:paraId="020F11A3">
            <w:pPr>
              <w:pStyle w:val="67"/>
              <w:rPr>
                <w:rFonts w:cs="Times New Roman"/>
                <w:b w:val="0"/>
                <w:bCs/>
                <w:color w:val="auto"/>
                <w:highlight w:val="yellow"/>
              </w:rPr>
            </w:pPr>
            <w:r>
              <w:rPr>
                <w:rFonts w:hint="eastAsia" w:cs="Times New Roman"/>
                <w:b w:val="0"/>
                <w:bCs/>
                <w:color w:val="auto"/>
              </w:rPr>
              <w:t>15.45</w:t>
            </w:r>
          </w:p>
        </w:tc>
        <w:tc>
          <w:tcPr>
            <w:tcW w:w="291" w:type="pct"/>
            <w:tcMar>
              <w:top w:w="0" w:type="dxa"/>
              <w:left w:w="0" w:type="dxa"/>
              <w:bottom w:w="0" w:type="dxa"/>
              <w:right w:w="0" w:type="dxa"/>
            </w:tcMar>
            <w:vAlign w:val="center"/>
          </w:tcPr>
          <w:p w14:paraId="17245257">
            <w:pPr>
              <w:pStyle w:val="67"/>
              <w:rPr>
                <w:rFonts w:cs="Times New Roman"/>
                <w:b w:val="0"/>
                <w:bCs/>
                <w:color w:val="auto"/>
                <w:highlight w:val="yellow"/>
              </w:rPr>
            </w:pPr>
            <w:r>
              <w:rPr>
                <w:rFonts w:hint="eastAsia" w:cs="Times New Roman"/>
                <w:b w:val="0"/>
                <w:bCs/>
                <w:color w:val="auto"/>
              </w:rPr>
              <w:t>12.85</w:t>
            </w:r>
          </w:p>
        </w:tc>
        <w:tc>
          <w:tcPr>
            <w:tcW w:w="245" w:type="pct"/>
            <w:tcMar>
              <w:top w:w="0" w:type="dxa"/>
              <w:left w:w="0" w:type="dxa"/>
              <w:bottom w:w="0" w:type="dxa"/>
              <w:right w:w="0" w:type="dxa"/>
            </w:tcMar>
            <w:vAlign w:val="center"/>
          </w:tcPr>
          <w:p w14:paraId="677788F4">
            <w:pPr>
              <w:pStyle w:val="67"/>
              <w:rPr>
                <w:rFonts w:cs="Times New Roman"/>
                <w:b w:val="0"/>
                <w:bCs/>
                <w:color w:val="auto"/>
                <w:highlight w:val="yellow"/>
              </w:rPr>
            </w:pPr>
            <w:r>
              <w:rPr>
                <w:rFonts w:hint="eastAsia" w:cs="Times New Roman"/>
                <w:b w:val="0"/>
                <w:bCs/>
                <w:color w:val="auto"/>
              </w:rPr>
              <w:t>6.75</w:t>
            </w:r>
          </w:p>
        </w:tc>
        <w:tc>
          <w:tcPr>
            <w:tcW w:w="228" w:type="pct"/>
            <w:tcMar>
              <w:top w:w="0" w:type="dxa"/>
              <w:left w:w="0" w:type="dxa"/>
              <w:bottom w:w="0" w:type="dxa"/>
              <w:right w:w="0" w:type="dxa"/>
            </w:tcMar>
            <w:vAlign w:val="center"/>
          </w:tcPr>
          <w:p w14:paraId="6FCDF611">
            <w:pPr>
              <w:pStyle w:val="67"/>
              <w:rPr>
                <w:rFonts w:cs="Times New Roman"/>
                <w:b w:val="0"/>
                <w:bCs/>
                <w:color w:val="auto"/>
                <w:highlight w:val="yellow"/>
              </w:rPr>
            </w:pPr>
            <w:r>
              <w:rPr>
                <w:rFonts w:hint="eastAsia" w:cs="Times New Roman"/>
                <w:b w:val="0"/>
                <w:bCs/>
                <w:color w:val="auto"/>
              </w:rPr>
              <w:t>4.9</w:t>
            </w:r>
          </w:p>
        </w:tc>
        <w:tc>
          <w:tcPr>
            <w:tcW w:w="232" w:type="pct"/>
            <w:tcMar>
              <w:top w:w="0" w:type="dxa"/>
              <w:left w:w="0" w:type="dxa"/>
              <w:bottom w:w="0" w:type="dxa"/>
              <w:right w:w="0" w:type="dxa"/>
            </w:tcMar>
            <w:vAlign w:val="center"/>
          </w:tcPr>
          <w:p w14:paraId="4B65ECED">
            <w:pPr>
              <w:pStyle w:val="67"/>
              <w:rPr>
                <w:rFonts w:cs="Times New Roman"/>
                <w:b w:val="0"/>
                <w:bCs/>
                <w:color w:val="auto"/>
                <w:highlight w:val="yellow"/>
              </w:rPr>
            </w:pPr>
            <w:r>
              <w:rPr>
                <w:rFonts w:hint="eastAsia" w:cs="Times New Roman"/>
                <w:b w:val="0"/>
                <w:bCs/>
                <w:color w:val="auto"/>
              </w:rPr>
              <w:t>5.2</w:t>
            </w:r>
          </w:p>
        </w:tc>
        <w:tc>
          <w:tcPr>
            <w:tcW w:w="291" w:type="pct"/>
            <w:tcMar>
              <w:top w:w="0" w:type="dxa"/>
              <w:left w:w="0" w:type="dxa"/>
              <w:bottom w:w="0" w:type="dxa"/>
              <w:right w:w="0" w:type="dxa"/>
            </w:tcMar>
            <w:vAlign w:val="center"/>
          </w:tcPr>
          <w:p w14:paraId="203F1897">
            <w:pPr>
              <w:pStyle w:val="67"/>
              <w:rPr>
                <w:rFonts w:cs="Times New Roman"/>
                <w:b w:val="0"/>
                <w:bCs/>
                <w:color w:val="auto"/>
                <w:highlight w:val="yellow"/>
              </w:rPr>
            </w:pPr>
            <w:r>
              <w:rPr>
                <w:rFonts w:hint="eastAsia" w:cs="Times New Roman"/>
                <w:b w:val="0"/>
                <w:bCs/>
                <w:color w:val="auto"/>
              </w:rPr>
              <w:t>9.3</w:t>
            </w:r>
          </w:p>
        </w:tc>
        <w:tc>
          <w:tcPr>
            <w:tcW w:w="291" w:type="pct"/>
            <w:tcMar>
              <w:top w:w="0" w:type="dxa"/>
              <w:left w:w="0" w:type="dxa"/>
              <w:bottom w:w="0" w:type="dxa"/>
              <w:right w:w="0" w:type="dxa"/>
            </w:tcMar>
            <w:vAlign w:val="center"/>
          </w:tcPr>
          <w:p w14:paraId="2F9F2030">
            <w:pPr>
              <w:pStyle w:val="67"/>
              <w:rPr>
                <w:rFonts w:cs="Times New Roman"/>
                <w:b w:val="0"/>
                <w:bCs/>
                <w:color w:val="auto"/>
                <w:highlight w:val="yellow"/>
              </w:rPr>
            </w:pPr>
            <w:r>
              <w:rPr>
                <w:rFonts w:hint="eastAsia" w:cs="Times New Roman"/>
                <w:b w:val="0"/>
                <w:bCs/>
                <w:color w:val="auto"/>
              </w:rPr>
              <w:t>9</w:t>
            </w:r>
          </w:p>
        </w:tc>
        <w:tc>
          <w:tcPr>
            <w:tcW w:w="291" w:type="pct"/>
            <w:tcMar>
              <w:top w:w="0" w:type="dxa"/>
              <w:left w:w="0" w:type="dxa"/>
              <w:bottom w:w="0" w:type="dxa"/>
              <w:right w:w="0" w:type="dxa"/>
            </w:tcMar>
            <w:vAlign w:val="center"/>
          </w:tcPr>
          <w:p w14:paraId="06A2A849">
            <w:pPr>
              <w:pStyle w:val="67"/>
              <w:rPr>
                <w:rFonts w:cs="Times New Roman"/>
                <w:b w:val="0"/>
                <w:bCs/>
                <w:color w:val="auto"/>
                <w:highlight w:val="yellow"/>
              </w:rPr>
            </w:pPr>
            <w:r>
              <w:rPr>
                <w:rFonts w:hint="eastAsia" w:cs="Times New Roman"/>
                <w:b w:val="0"/>
                <w:bCs/>
                <w:color w:val="auto"/>
              </w:rPr>
              <w:t>5.15</w:t>
            </w:r>
          </w:p>
        </w:tc>
        <w:tc>
          <w:tcPr>
            <w:tcW w:w="330" w:type="pct"/>
            <w:tcMar>
              <w:top w:w="0" w:type="dxa"/>
              <w:left w:w="0" w:type="dxa"/>
              <w:bottom w:w="0" w:type="dxa"/>
              <w:right w:w="0" w:type="dxa"/>
            </w:tcMar>
            <w:vAlign w:val="center"/>
          </w:tcPr>
          <w:p w14:paraId="291E99A4">
            <w:pPr>
              <w:pStyle w:val="67"/>
              <w:rPr>
                <w:rFonts w:cs="Times New Roman"/>
                <w:b w:val="0"/>
                <w:bCs/>
                <w:color w:val="auto"/>
                <w:highlight w:val="yellow"/>
              </w:rPr>
            </w:pPr>
            <w:r>
              <w:rPr>
                <w:rFonts w:hint="eastAsia" w:cs="Times New Roman"/>
                <w:b w:val="0"/>
                <w:bCs/>
                <w:color w:val="auto"/>
              </w:rPr>
              <w:t>3.2</w:t>
            </w:r>
          </w:p>
        </w:tc>
        <w:tc>
          <w:tcPr>
            <w:tcW w:w="228" w:type="pct"/>
            <w:tcMar>
              <w:top w:w="0" w:type="dxa"/>
              <w:left w:w="0" w:type="dxa"/>
              <w:bottom w:w="0" w:type="dxa"/>
              <w:right w:w="0" w:type="dxa"/>
            </w:tcMar>
            <w:vAlign w:val="center"/>
          </w:tcPr>
          <w:p w14:paraId="15F8E6FF">
            <w:pPr>
              <w:pStyle w:val="67"/>
              <w:rPr>
                <w:rFonts w:cs="Times New Roman"/>
                <w:b w:val="0"/>
                <w:bCs/>
                <w:color w:val="auto"/>
                <w:highlight w:val="yellow"/>
              </w:rPr>
            </w:pPr>
            <w:r>
              <w:rPr>
                <w:rFonts w:hint="eastAsia" w:cs="Times New Roman"/>
                <w:b w:val="0"/>
                <w:bCs/>
                <w:color w:val="auto"/>
              </w:rPr>
              <w:t>2.05</w:t>
            </w:r>
          </w:p>
        </w:tc>
        <w:tc>
          <w:tcPr>
            <w:tcW w:w="351" w:type="pct"/>
            <w:tcMar>
              <w:top w:w="0" w:type="dxa"/>
              <w:left w:w="0" w:type="dxa"/>
              <w:bottom w:w="0" w:type="dxa"/>
              <w:right w:w="0" w:type="dxa"/>
            </w:tcMar>
            <w:vAlign w:val="center"/>
          </w:tcPr>
          <w:p w14:paraId="08C283E1">
            <w:pPr>
              <w:pStyle w:val="67"/>
              <w:rPr>
                <w:rFonts w:cs="Times New Roman"/>
                <w:b w:val="0"/>
                <w:bCs/>
                <w:color w:val="auto"/>
                <w:highlight w:val="yellow"/>
              </w:rPr>
            </w:pPr>
            <w:r>
              <w:rPr>
                <w:rFonts w:hint="eastAsia" w:cs="Times New Roman"/>
                <w:b w:val="0"/>
                <w:bCs/>
                <w:color w:val="auto"/>
              </w:rPr>
              <w:t>1.55</w:t>
            </w:r>
          </w:p>
        </w:tc>
        <w:tc>
          <w:tcPr>
            <w:tcW w:w="239" w:type="pct"/>
            <w:tcMar>
              <w:top w:w="0" w:type="dxa"/>
              <w:left w:w="0" w:type="dxa"/>
              <w:bottom w:w="0" w:type="dxa"/>
              <w:right w:w="0" w:type="dxa"/>
            </w:tcMar>
            <w:vAlign w:val="center"/>
          </w:tcPr>
          <w:p w14:paraId="294A0DE8">
            <w:pPr>
              <w:pStyle w:val="67"/>
              <w:rPr>
                <w:rFonts w:cs="Times New Roman"/>
                <w:b w:val="0"/>
                <w:bCs/>
                <w:color w:val="auto"/>
                <w:highlight w:val="yellow"/>
              </w:rPr>
            </w:pPr>
            <w:r>
              <w:rPr>
                <w:rFonts w:hint="eastAsia" w:cs="Times New Roman"/>
                <w:b w:val="0"/>
                <w:bCs/>
                <w:color w:val="auto"/>
              </w:rPr>
              <w:t>1.45</w:t>
            </w:r>
          </w:p>
        </w:tc>
        <w:tc>
          <w:tcPr>
            <w:tcW w:w="333" w:type="pct"/>
            <w:tcMar>
              <w:top w:w="0" w:type="dxa"/>
              <w:left w:w="0" w:type="dxa"/>
              <w:bottom w:w="0" w:type="dxa"/>
              <w:right w:w="0" w:type="dxa"/>
            </w:tcMar>
            <w:vAlign w:val="center"/>
          </w:tcPr>
          <w:p w14:paraId="1904357B">
            <w:pPr>
              <w:pStyle w:val="67"/>
              <w:rPr>
                <w:rFonts w:cs="Times New Roman"/>
                <w:b w:val="0"/>
                <w:bCs/>
                <w:color w:val="auto"/>
                <w:highlight w:val="yellow"/>
              </w:rPr>
            </w:pPr>
            <w:r>
              <w:rPr>
                <w:rFonts w:hint="eastAsia" w:cs="Times New Roman"/>
                <w:b w:val="0"/>
                <w:bCs/>
                <w:color w:val="auto"/>
              </w:rPr>
              <w:t>1.4</w:t>
            </w:r>
          </w:p>
        </w:tc>
        <w:tc>
          <w:tcPr>
            <w:tcW w:w="286" w:type="pct"/>
            <w:tcMar>
              <w:top w:w="0" w:type="dxa"/>
              <w:left w:w="0" w:type="dxa"/>
              <w:bottom w:w="0" w:type="dxa"/>
              <w:right w:w="0" w:type="dxa"/>
            </w:tcMar>
            <w:vAlign w:val="center"/>
          </w:tcPr>
          <w:p w14:paraId="51846C00">
            <w:pPr>
              <w:pStyle w:val="67"/>
              <w:rPr>
                <w:rFonts w:cs="Times New Roman"/>
                <w:b w:val="0"/>
                <w:bCs/>
                <w:color w:val="auto"/>
                <w:highlight w:val="yellow"/>
              </w:rPr>
            </w:pPr>
            <w:r>
              <w:rPr>
                <w:rFonts w:hint="eastAsia" w:cs="Times New Roman"/>
                <w:b w:val="0"/>
                <w:bCs/>
                <w:color w:val="auto"/>
              </w:rPr>
              <w:t>6.05</w:t>
            </w:r>
          </w:p>
        </w:tc>
      </w:tr>
      <w:tr w14:paraId="298B9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31077C2A">
            <w:pPr>
              <w:pStyle w:val="67"/>
              <w:rPr>
                <w:rFonts w:cs="Times New Roman"/>
                <w:b w:val="0"/>
                <w:bCs/>
                <w:color w:val="auto"/>
              </w:rPr>
            </w:pPr>
            <w:r>
              <w:rPr>
                <w:rFonts w:cs="Times New Roman"/>
                <w:b w:val="0"/>
                <w:bCs/>
                <w:color w:val="auto"/>
              </w:rPr>
              <w:t>08</w:t>
            </w:r>
          </w:p>
        </w:tc>
        <w:tc>
          <w:tcPr>
            <w:tcW w:w="228" w:type="pct"/>
            <w:tcMar>
              <w:top w:w="0" w:type="dxa"/>
              <w:left w:w="0" w:type="dxa"/>
              <w:bottom w:w="0" w:type="dxa"/>
              <w:right w:w="0" w:type="dxa"/>
            </w:tcMar>
            <w:vAlign w:val="center"/>
          </w:tcPr>
          <w:p w14:paraId="07332B55">
            <w:pPr>
              <w:pStyle w:val="67"/>
              <w:rPr>
                <w:rFonts w:cs="Times New Roman"/>
                <w:b w:val="0"/>
                <w:bCs/>
                <w:color w:val="auto"/>
                <w:highlight w:val="yellow"/>
              </w:rPr>
            </w:pPr>
            <w:r>
              <w:rPr>
                <w:rFonts w:hint="eastAsia" w:cs="Times New Roman"/>
                <w:b w:val="0"/>
                <w:bCs/>
                <w:color w:val="auto"/>
              </w:rPr>
              <w:t>1.95</w:t>
            </w:r>
          </w:p>
        </w:tc>
        <w:tc>
          <w:tcPr>
            <w:tcW w:w="278" w:type="pct"/>
            <w:tcMar>
              <w:top w:w="0" w:type="dxa"/>
              <w:left w:w="0" w:type="dxa"/>
              <w:bottom w:w="0" w:type="dxa"/>
              <w:right w:w="0" w:type="dxa"/>
            </w:tcMar>
            <w:vAlign w:val="center"/>
          </w:tcPr>
          <w:p w14:paraId="511207B6">
            <w:pPr>
              <w:pStyle w:val="67"/>
              <w:rPr>
                <w:rFonts w:cs="Times New Roman"/>
                <w:b w:val="0"/>
                <w:bCs/>
                <w:color w:val="auto"/>
                <w:highlight w:val="yellow"/>
              </w:rPr>
            </w:pPr>
            <w:r>
              <w:rPr>
                <w:rFonts w:hint="eastAsia" w:cs="Times New Roman"/>
                <w:b w:val="0"/>
                <w:bCs/>
                <w:color w:val="auto"/>
              </w:rPr>
              <w:t>3.3</w:t>
            </w:r>
          </w:p>
        </w:tc>
        <w:tc>
          <w:tcPr>
            <w:tcW w:w="291" w:type="pct"/>
            <w:tcMar>
              <w:top w:w="0" w:type="dxa"/>
              <w:left w:w="0" w:type="dxa"/>
              <w:bottom w:w="0" w:type="dxa"/>
              <w:right w:w="0" w:type="dxa"/>
            </w:tcMar>
            <w:vAlign w:val="center"/>
          </w:tcPr>
          <w:p w14:paraId="3BBEB4EC">
            <w:pPr>
              <w:pStyle w:val="67"/>
              <w:rPr>
                <w:rFonts w:cs="Times New Roman"/>
                <w:b w:val="0"/>
                <w:bCs/>
                <w:color w:val="auto"/>
                <w:highlight w:val="yellow"/>
              </w:rPr>
            </w:pPr>
            <w:r>
              <w:rPr>
                <w:rFonts w:hint="eastAsia" w:cs="Times New Roman"/>
                <w:b w:val="0"/>
                <w:bCs/>
                <w:color w:val="auto"/>
              </w:rPr>
              <w:t>15.65</w:t>
            </w:r>
          </w:p>
        </w:tc>
        <w:tc>
          <w:tcPr>
            <w:tcW w:w="291" w:type="pct"/>
            <w:tcMar>
              <w:top w:w="0" w:type="dxa"/>
              <w:left w:w="0" w:type="dxa"/>
              <w:bottom w:w="0" w:type="dxa"/>
              <w:right w:w="0" w:type="dxa"/>
            </w:tcMar>
            <w:vAlign w:val="center"/>
          </w:tcPr>
          <w:p w14:paraId="1E2F997A">
            <w:pPr>
              <w:pStyle w:val="67"/>
              <w:rPr>
                <w:rFonts w:cs="Times New Roman"/>
                <w:b w:val="0"/>
                <w:bCs/>
                <w:color w:val="auto"/>
                <w:highlight w:val="yellow"/>
              </w:rPr>
            </w:pPr>
            <w:r>
              <w:rPr>
                <w:rFonts w:hint="eastAsia" w:cs="Times New Roman"/>
                <w:b w:val="0"/>
                <w:bCs/>
                <w:color w:val="auto"/>
              </w:rPr>
              <w:t>17.95</w:t>
            </w:r>
          </w:p>
        </w:tc>
        <w:tc>
          <w:tcPr>
            <w:tcW w:w="291" w:type="pct"/>
            <w:tcMar>
              <w:top w:w="0" w:type="dxa"/>
              <w:left w:w="0" w:type="dxa"/>
              <w:bottom w:w="0" w:type="dxa"/>
              <w:right w:w="0" w:type="dxa"/>
            </w:tcMar>
            <w:vAlign w:val="center"/>
          </w:tcPr>
          <w:p w14:paraId="231FABB3">
            <w:pPr>
              <w:pStyle w:val="67"/>
              <w:rPr>
                <w:rFonts w:cs="Times New Roman"/>
                <w:b w:val="0"/>
                <w:bCs/>
                <w:color w:val="auto"/>
                <w:highlight w:val="yellow"/>
              </w:rPr>
            </w:pPr>
            <w:r>
              <w:rPr>
                <w:rFonts w:hint="eastAsia" w:cs="Times New Roman"/>
                <w:b w:val="0"/>
                <w:bCs/>
                <w:color w:val="auto"/>
              </w:rPr>
              <w:t>12.9</w:t>
            </w:r>
          </w:p>
        </w:tc>
        <w:tc>
          <w:tcPr>
            <w:tcW w:w="245" w:type="pct"/>
            <w:tcMar>
              <w:top w:w="0" w:type="dxa"/>
              <w:left w:w="0" w:type="dxa"/>
              <w:bottom w:w="0" w:type="dxa"/>
              <w:right w:w="0" w:type="dxa"/>
            </w:tcMar>
            <w:vAlign w:val="center"/>
          </w:tcPr>
          <w:p w14:paraId="110AA55B">
            <w:pPr>
              <w:pStyle w:val="67"/>
              <w:rPr>
                <w:rFonts w:cs="Times New Roman"/>
                <w:b w:val="0"/>
                <w:bCs/>
                <w:color w:val="auto"/>
                <w:highlight w:val="yellow"/>
              </w:rPr>
            </w:pPr>
            <w:r>
              <w:rPr>
                <w:rFonts w:hint="eastAsia" w:cs="Times New Roman"/>
                <w:b w:val="0"/>
                <w:bCs/>
                <w:color w:val="auto"/>
              </w:rPr>
              <w:t>5.55</w:t>
            </w:r>
          </w:p>
        </w:tc>
        <w:tc>
          <w:tcPr>
            <w:tcW w:w="228" w:type="pct"/>
            <w:tcMar>
              <w:top w:w="0" w:type="dxa"/>
              <w:left w:w="0" w:type="dxa"/>
              <w:bottom w:w="0" w:type="dxa"/>
              <w:right w:w="0" w:type="dxa"/>
            </w:tcMar>
            <w:vAlign w:val="center"/>
          </w:tcPr>
          <w:p w14:paraId="607657CB">
            <w:pPr>
              <w:pStyle w:val="67"/>
              <w:rPr>
                <w:rFonts w:cs="Times New Roman"/>
                <w:b w:val="0"/>
                <w:bCs/>
                <w:color w:val="auto"/>
                <w:highlight w:val="yellow"/>
              </w:rPr>
            </w:pPr>
            <w:r>
              <w:rPr>
                <w:rFonts w:hint="eastAsia" w:cs="Times New Roman"/>
                <w:b w:val="0"/>
                <w:bCs/>
                <w:color w:val="auto"/>
              </w:rPr>
              <w:t>3.95</w:t>
            </w:r>
          </w:p>
        </w:tc>
        <w:tc>
          <w:tcPr>
            <w:tcW w:w="232" w:type="pct"/>
            <w:tcMar>
              <w:top w:w="0" w:type="dxa"/>
              <w:left w:w="0" w:type="dxa"/>
              <w:bottom w:w="0" w:type="dxa"/>
              <w:right w:w="0" w:type="dxa"/>
            </w:tcMar>
            <w:vAlign w:val="center"/>
          </w:tcPr>
          <w:p w14:paraId="3712E861">
            <w:pPr>
              <w:pStyle w:val="67"/>
              <w:rPr>
                <w:rFonts w:cs="Times New Roman"/>
                <w:b w:val="0"/>
                <w:bCs/>
                <w:color w:val="auto"/>
                <w:highlight w:val="yellow"/>
              </w:rPr>
            </w:pPr>
            <w:r>
              <w:rPr>
                <w:rFonts w:hint="eastAsia" w:cs="Times New Roman"/>
                <w:b w:val="0"/>
                <w:bCs/>
                <w:color w:val="auto"/>
              </w:rPr>
              <w:t>3.8</w:t>
            </w:r>
          </w:p>
        </w:tc>
        <w:tc>
          <w:tcPr>
            <w:tcW w:w="291" w:type="pct"/>
            <w:tcMar>
              <w:top w:w="0" w:type="dxa"/>
              <w:left w:w="0" w:type="dxa"/>
              <w:bottom w:w="0" w:type="dxa"/>
              <w:right w:w="0" w:type="dxa"/>
            </w:tcMar>
            <w:vAlign w:val="center"/>
          </w:tcPr>
          <w:p w14:paraId="6B699EB6">
            <w:pPr>
              <w:pStyle w:val="67"/>
              <w:rPr>
                <w:rFonts w:cs="Times New Roman"/>
                <w:b w:val="0"/>
                <w:bCs/>
                <w:color w:val="auto"/>
                <w:highlight w:val="yellow"/>
              </w:rPr>
            </w:pPr>
            <w:r>
              <w:rPr>
                <w:rFonts w:hint="eastAsia" w:cs="Times New Roman"/>
                <w:b w:val="0"/>
                <w:bCs/>
                <w:color w:val="auto"/>
              </w:rPr>
              <w:t>5.7</w:t>
            </w:r>
          </w:p>
        </w:tc>
        <w:tc>
          <w:tcPr>
            <w:tcW w:w="291" w:type="pct"/>
            <w:tcMar>
              <w:top w:w="0" w:type="dxa"/>
              <w:left w:w="0" w:type="dxa"/>
              <w:bottom w:w="0" w:type="dxa"/>
              <w:right w:w="0" w:type="dxa"/>
            </w:tcMar>
            <w:vAlign w:val="center"/>
          </w:tcPr>
          <w:p w14:paraId="4DFAA547">
            <w:pPr>
              <w:pStyle w:val="67"/>
              <w:rPr>
                <w:rFonts w:cs="Times New Roman"/>
                <w:b w:val="0"/>
                <w:bCs/>
                <w:color w:val="auto"/>
                <w:highlight w:val="yellow"/>
              </w:rPr>
            </w:pPr>
            <w:r>
              <w:rPr>
                <w:rFonts w:hint="eastAsia" w:cs="Times New Roman"/>
                <w:b w:val="0"/>
                <w:bCs/>
                <w:color w:val="auto"/>
              </w:rPr>
              <w:t>6</w:t>
            </w:r>
          </w:p>
        </w:tc>
        <w:tc>
          <w:tcPr>
            <w:tcW w:w="291" w:type="pct"/>
            <w:tcMar>
              <w:top w:w="0" w:type="dxa"/>
              <w:left w:w="0" w:type="dxa"/>
              <w:bottom w:w="0" w:type="dxa"/>
              <w:right w:w="0" w:type="dxa"/>
            </w:tcMar>
            <w:vAlign w:val="center"/>
          </w:tcPr>
          <w:p w14:paraId="23A363B2">
            <w:pPr>
              <w:pStyle w:val="67"/>
              <w:rPr>
                <w:rFonts w:cs="Times New Roman"/>
                <w:b w:val="0"/>
                <w:bCs/>
                <w:color w:val="auto"/>
                <w:highlight w:val="yellow"/>
              </w:rPr>
            </w:pPr>
            <w:r>
              <w:rPr>
                <w:rFonts w:hint="eastAsia" w:cs="Times New Roman"/>
                <w:b w:val="0"/>
                <w:bCs/>
                <w:color w:val="auto"/>
              </w:rPr>
              <w:t>3.9</w:t>
            </w:r>
          </w:p>
        </w:tc>
        <w:tc>
          <w:tcPr>
            <w:tcW w:w="330" w:type="pct"/>
            <w:tcMar>
              <w:top w:w="0" w:type="dxa"/>
              <w:left w:w="0" w:type="dxa"/>
              <w:bottom w:w="0" w:type="dxa"/>
              <w:right w:w="0" w:type="dxa"/>
            </w:tcMar>
            <w:vAlign w:val="center"/>
          </w:tcPr>
          <w:p w14:paraId="4E346168">
            <w:pPr>
              <w:pStyle w:val="67"/>
              <w:rPr>
                <w:rFonts w:cs="Times New Roman"/>
                <w:b w:val="0"/>
                <w:bCs/>
                <w:color w:val="auto"/>
                <w:highlight w:val="yellow"/>
              </w:rPr>
            </w:pPr>
            <w:r>
              <w:rPr>
                <w:rFonts w:hint="eastAsia" w:cs="Times New Roman"/>
                <w:b w:val="0"/>
                <w:bCs/>
                <w:color w:val="auto"/>
              </w:rPr>
              <w:t>2.7</w:t>
            </w:r>
          </w:p>
        </w:tc>
        <w:tc>
          <w:tcPr>
            <w:tcW w:w="228" w:type="pct"/>
            <w:tcMar>
              <w:top w:w="0" w:type="dxa"/>
              <w:left w:w="0" w:type="dxa"/>
              <w:bottom w:w="0" w:type="dxa"/>
              <w:right w:w="0" w:type="dxa"/>
            </w:tcMar>
            <w:vAlign w:val="center"/>
          </w:tcPr>
          <w:p w14:paraId="4A89A008">
            <w:pPr>
              <w:pStyle w:val="67"/>
              <w:rPr>
                <w:rFonts w:cs="Times New Roman"/>
                <w:b w:val="0"/>
                <w:bCs/>
                <w:color w:val="auto"/>
                <w:highlight w:val="yellow"/>
              </w:rPr>
            </w:pPr>
            <w:r>
              <w:rPr>
                <w:rFonts w:hint="eastAsia" w:cs="Times New Roman"/>
                <w:b w:val="0"/>
                <w:bCs/>
                <w:color w:val="auto"/>
              </w:rPr>
              <w:t>2.6</w:t>
            </w:r>
          </w:p>
        </w:tc>
        <w:tc>
          <w:tcPr>
            <w:tcW w:w="351" w:type="pct"/>
            <w:tcMar>
              <w:top w:w="0" w:type="dxa"/>
              <w:left w:w="0" w:type="dxa"/>
              <w:bottom w:w="0" w:type="dxa"/>
              <w:right w:w="0" w:type="dxa"/>
            </w:tcMar>
            <w:vAlign w:val="center"/>
          </w:tcPr>
          <w:p w14:paraId="1CCD372A">
            <w:pPr>
              <w:pStyle w:val="67"/>
              <w:rPr>
                <w:rFonts w:cs="Times New Roman"/>
                <w:b w:val="0"/>
                <w:bCs/>
                <w:color w:val="auto"/>
                <w:highlight w:val="yellow"/>
              </w:rPr>
            </w:pPr>
            <w:r>
              <w:rPr>
                <w:rFonts w:hint="eastAsia" w:cs="Times New Roman"/>
                <w:b w:val="0"/>
                <w:bCs/>
                <w:color w:val="auto"/>
              </w:rPr>
              <w:t>1.9</w:t>
            </w:r>
          </w:p>
        </w:tc>
        <w:tc>
          <w:tcPr>
            <w:tcW w:w="239" w:type="pct"/>
            <w:tcMar>
              <w:top w:w="0" w:type="dxa"/>
              <w:left w:w="0" w:type="dxa"/>
              <w:bottom w:w="0" w:type="dxa"/>
              <w:right w:w="0" w:type="dxa"/>
            </w:tcMar>
            <w:vAlign w:val="center"/>
          </w:tcPr>
          <w:p w14:paraId="07C9FB16">
            <w:pPr>
              <w:pStyle w:val="67"/>
              <w:rPr>
                <w:rFonts w:cs="Times New Roman"/>
                <w:b w:val="0"/>
                <w:bCs/>
                <w:color w:val="auto"/>
                <w:highlight w:val="yellow"/>
              </w:rPr>
            </w:pPr>
            <w:r>
              <w:rPr>
                <w:rFonts w:hint="eastAsia" w:cs="Times New Roman"/>
                <w:b w:val="0"/>
                <w:bCs/>
                <w:color w:val="auto"/>
              </w:rPr>
              <w:t>1.55</w:t>
            </w:r>
          </w:p>
        </w:tc>
        <w:tc>
          <w:tcPr>
            <w:tcW w:w="333" w:type="pct"/>
            <w:tcMar>
              <w:top w:w="0" w:type="dxa"/>
              <w:left w:w="0" w:type="dxa"/>
              <w:bottom w:w="0" w:type="dxa"/>
              <w:right w:w="0" w:type="dxa"/>
            </w:tcMar>
            <w:vAlign w:val="center"/>
          </w:tcPr>
          <w:p w14:paraId="6AB230A3">
            <w:pPr>
              <w:pStyle w:val="67"/>
              <w:rPr>
                <w:rFonts w:cs="Times New Roman"/>
                <w:b w:val="0"/>
                <w:bCs/>
                <w:color w:val="auto"/>
                <w:highlight w:val="yellow"/>
              </w:rPr>
            </w:pPr>
            <w:r>
              <w:rPr>
                <w:rFonts w:hint="eastAsia" w:cs="Times New Roman"/>
                <w:b w:val="0"/>
                <w:bCs/>
                <w:color w:val="auto"/>
              </w:rPr>
              <w:t>1.35</w:t>
            </w:r>
          </w:p>
        </w:tc>
        <w:tc>
          <w:tcPr>
            <w:tcW w:w="286" w:type="pct"/>
            <w:tcMar>
              <w:top w:w="0" w:type="dxa"/>
              <w:left w:w="0" w:type="dxa"/>
              <w:bottom w:w="0" w:type="dxa"/>
              <w:right w:w="0" w:type="dxa"/>
            </w:tcMar>
            <w:vAlign w:val="center"/>
          </w:tcPr>
          <w:p w14:paraId="5100DF84">
            <w:pPr>
              <w:pStyle w:val="67"/>
              <w:rPr>
                <w:rFonts w:cs="Times New Roman"/>
                <w:b w:val="0"/>
                <w:bCs/>
                <w:color w:val="auto"/>
                <w:highlight w:val="yellow"/>
              </w:rPr>
            </w:pPr>
            <w:r>
              <w:rPr>
                <w:rFonts w:hint="eastAsia" w:cs="Times New Roman"/>
                <w:b w:val="0"/>
                <w:bCs/>
                <w:color w:val="auto"/>
              </w:rPr>
              <w:t>9.25</w:t>
            </w:r>
          </w:p>
        </w:tc>
      </w:tr>
      <w:tr w14:paraId="573F0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6C82F9D2">
            <w:pPr>
              <w:pStyle w:val="67"/>
              <w:rPr>
                <w:rFonts w:cs="Times New Roman"/>
                <w:b w:val="0"/>
                <w:bCs/>
                <w:color w:val="auto"/>
              </w:rPr>
            </w:pPr>
            <w:r>
              <w:rPr>
                <w:rFonts w:cs="Times New Roman"/>
                <w:b w:val="0"/>
                <w:bCs/>
                <w:color w:val="auto"/>
              </w:rPr>
              <w:t>09</w:t>
            </w:r>
          </w:p>
        </w:tc>
        <w:tc>
          <w:tcPr>
            <w:tcW w:w="228" w:type="pct"/>
            <w:tcMar>
              <w:top w:w="0" w:type="dxa"/>
              <w:left w:w="0" w:type="dxa"/>
              <w:bottom w:w="0" w:type="dxa"/>
              <w:right w:w="0" w:type="dxa"/>
            </w:tcMar>
            <w:vAlign w:val="center"/>
          </w:tcPr>
          <w:p w14:paraId="77B6EC5D">
            <w:pPr>
              <w:pStyle w:val="67"/>
              <w:rPr>
                <w:rFonts w:cs="Times New Roman"/>
                <w:b w:val="0"/>
                <w:bCs/>
                <w:color w:val="auto"/>
                <w:highlight w:val="yellow"/>
              </w:rPr>
            </w:pPr>
            <w:r>
              <w:rPr>
                <w:rFonts w:hint="eastAsia" w:cs="Times New Roman"/>
                <w:b w:val="0"/>
                <w:bCs/>
                <w:color w:val="auto"/>
              </w:rPr>
              <w:t>1.85</w:t>
            </w:r>
          </w:p>
        </w:tc>
        <w:tc>
          <w:tcPr>
            <w:tcW w:w="278" w:type="pct"/>
            <w:tcMar>
              <w:top w:w="0" w:type="dxa"/>
              <w:left w:w="0" w:type="dxa"/>
              <w:bottom w:w="0" w:type="dxa"/>
              <w:right w:w="0" w:type="dxa"/>
            </w:tcMar>
            <w:vAlign w:val="center"/>
          </w:tcPr>
          <w:p w14:paraId="3F96AE63">
            <w:pPr>
              <w:pStyle w:val="67"/>
              <w:rPr>
                <w:rFonts w:cs="Times New Roman"/>
                <w:b w:val="0"/>
                <w:bCs/>
                <w:color w:val="auto"/>
                <w:highlight w:val="yellow"/>
              </w:rPr>
            </w:pPr>
            <w:r>
              <w:rPr>
                <w:rFonts w:hint="eastAsia" w:cs="Times New Roman"/>
                <w:b w:val="0"/>
                <w:bCs/>
                <w:color w:val="auto"/>
              </w:rPr>
              <w:t>3.85</w:t>
            </w:r>
          </w:p>
        </w:tc>
        <w:tc>
          <w:tcPr>
            <w:tcW w:w="291" w:type="pct"/>
            <w:tcMar>
              <w:top w:w="0" w:type="dxa"/>
              <w:left w:w="0" w:type="dxa"/>
              <w:bottom w:w="0" w:type="dxa"/>
              <w:right w:w="0" w:type="dxa"/>
            </w:tcMar>
            <w:vAlign w:val="center"/>
          </w:tcPr>
          <w:p w14:paraId="12ACD686">
            <w:pPr>
              <w:pStyle w:val="67"/>
              <w:rPr>
                <w:rFonts w:cs="Times New Roman"/>
                <w:b w:val="0"/>
                <w:bCs/>
                <w:color w:val="auto"/>
                <w:highlight w:val="yellow"/>
              </w:rPr>
            </w:pPr>
            <w:r>
              <w:rPr>
                <w:rFonts w:hint="eastAsia" w:cs="Times New Roman"/>
                <w:b w:val="0"/>
                <w:bCs/>
                <w:color w:val="auto"/>
              </w:rPr>
              <w:t>12.6</w:t>
            </w:r>
          </w:p>
        </w:tc>
        <w:tc>
          <w:tcPr>
            <w:tcW w:w="291" w:type="pct"/>
            <w:tcMar>
              <w:top w:w="0" w:type="dxa"/>
              <w:left w:w="0" w:type="dxa"/>
              <w:bottom w:w="0" w:type="dxa"/>
              <w:right w:w="0" w:type="dxa"/>
            </w:tcMar>
            <w:vAlign w:val="center"/>
          </w:tcPr>
          <w:p w14:paraId="0BAE7BE5">
            <w:pPr>
              <w:pStyle w:val="67"/>
              <w:rPr>
                <w:rFonts w:cs="Times New Roman"/>
                <w:b w:val="0"/>
                <w:bCs/>
                <w:color w:val="auto"/>
                <w:highlight w:val="yellow"/>
              </w:rPr>
            </w:pPr>
            <w:r>
              <w:rPr>
                <w:rFonts w:hint="eastAsia" w:cs="Times New Roman"/>
                <w:b w:val="0"/>
                <w:bCs/>
                <w:color w:val="auto"/>
              </w:rPr>
              <w:t>14.4</w:t>
            </w:r>
          </w:p>
        </w:tc>
        <w:tc>
          <w:tcPr>
            <w:tcW w:w="291" w:type="pct"/>
            <w:tcMar>
              <w:top w:w="0" w:type="dxa"/>
              <w:left w:w="0" w:type="dxa"/>
              <w:bottom w:w="0" w:type="dxa"/>
              <w:right w:w="0" w:type="dxa"/>
            </w:tcMar>
            <w:vAlign w:val="center"/>
          </w:tcPr>
          <w:p w14:paraId="3FD3AFEC">
            <w:pPr>
              <w:pStyle w:val="67"/>
              <w:rPr>
                <w:rFonts w:cs="Times New Roman"/>
                <w:b w:val="0"/>
                <w:bCs/>
                <w:color w:val="auto"/>
                <w:highlight w:val="yellow"/>
              </w:rPr>
            </w:pPr>
            <w:r>
              <w:rPr>
                <w:rFonts w:hint="eastAsia" w:cs="Times New Roman"/>
                <w:b w:val="0"/>
                <w:bCs/>
                <w:color w:val="auto"/>
              </w:rPr>
              <w:t>10.45</w:t>
            </w:r>
          </w:p>
        </w:tc>
        <w:tc>
          <w:tcPr>
            <w:tcW w:w="245" w:type="pct"/>
            <w:tcMar>
              <w:top w:w="0" w:type="dxa"/>
              <w:left w:w="0" w:type="dxa"/>
              <w:bottom w:w="0" w:type="dxa"/>
              <w:right w:w="0" w:type="dxa"/>
            </w:tcMar>
            <w:vAlign w:val="center"/>
          </w:tcPr>
          <w:p w14:paraId="3710BF43">
            <w:pPr>
              <w:pStyle w:val="67"/>
              <w:rPr>
                <w:rFonts w:cs="Times New Roman"/>
                <w:b w:val="0"/>
                <w:bCs/>
                <w:color w:val="auto"/>
                <w:highlight w:val="yellow"/>
              </w:rPr>
            </w:pPr>
            <w:r>
              <w:rPr>
                <w:rFonts w:hint="eastAsia" w:cs="Times New Roman"/>
                <w:b w:val="0"/>
                <w:bCs/>
                <w:color w:val="auto"/>
              </w:rPr>
              <w:t>5</w:t>
            </w:r>
          </w:p>
        </w:tc>
        <w:tc>
          <w:tcPr>
            <w:tcW w:w="228" w:type="pct"/>
            <w:tcMar>
              <w:top w:w="0" w:type="dxa"/>
              <w:left w:w="0" w:type="dxa"/>
              <w:bottom w:w="0" w:type="dxa"/>
              <w:right w:w="0" w:type="dxa"/>
            </w:tcMar>
            <w:vAlign w:val="center"/>
          </w:tcPr>
          <w:p w14:paraId="18862E9B">
            <w:pPr>
              <w:pStyle w:val="67"/>
              <w:rPr>
                <w:rFonts w:cs="Times New Roman"/>
                <w:b w:val="0"/>
                <w:bCs/>
                <w:color w:val="auto"/>
                <w:highlight w:val="yellow"/>
              </w:rPr>
            </w:pPr>
            <w:r>
              <w:rPr>
                <w:rFonts w:hint="eastAsia" w:cs="Times New Roman"/>
                <w:b w:val="0"/>
                <w:bCs/>
                <w:color w:val="auto"/>
              </w:rPr>
              <w:t>2.95</w:t>
            </w:r>
          </w:p>
        </w:tc>
        <w:tc>
          <w:tcPr>
            <w:tcW w:w="232" w:type="pct"/>
            <w:tcMar>
              <w:top w:w="0" w:type="dxa"/>
              <w:left w:w="0" w:type="dxa"/>
              <w:bottom w:w="0" w:type="dxa"/>
              <w:right w:w="0" w:type="dxa"/>
            </w:tcMar>
            <w:vAlign w:val="center"/>
          </w:tcPr>
          <w:p w14:paraId="6EB6ABCD">
            <w:pPr>
              <w:pStyle w:val="67"/>
              <w:rPr>
                <w:rFonts w:cs="Times New Roman"/>
                <w:b w:val="0"/>
                <w:bCs/>
                <w:color w:val="auto"/>
                <w:highlight w:val="yellow"/>
              </w:rPr>
            </w:pPr>
            <w:r>
              <w:rPr>
                <w:rFonts w:hint="eastAsia" w:cs="Times New Roman"/>
                <w:b w:val="0"/>
                <w:bCs/>
                <w:color w:val="auto"/>
              </w:rPr>
              <w:t>3.25</w:t>
            </w:r>
          </w:p>
        </w:tc>
        <w:tc>
          <w:tcPr>
            <w:tcW w:w="291" w:type="pct"/>
            <w:tcMar>
              <w:top w:w="0" w:type="dxa"/>
              <w:left w:w="0" w:type="dxa"/>
              <w:bottom w:w="0" w:type="dxa"/>
              <w:right w:w="0" w:type="dxa"/>
            </w:tcMar>
            <w:vAlign w:val="center"/>
          </w:tcPr>
          <w:p w14:paraId="70E9B9DA">
            <w:pPr>
              <w:pStyle w:val="67"/>
              <w:rPr>
                <w:rFonts w:cs="Times New Roman"/>
                <w:b w:val="0"/>
                <w:bCs/>
                <w:color w:val="auto"/>
                <w:highlight w:val="yellow"/>
              </w:rPr>
            </w:pPr>
            <w:r>
              <w:rPr>
                <w:rFonts w:hint="eastAsia" w:cs="Times New Roman"/>
                <w:b w:val="0"/>
                <w:bCs/>
                <w:color w:val="auto"/>
              </w:rPr>
              <w:t>6.25</w:t>
            </w:r>
          </w:p>
        </w:tc>
        <w:tc>
          <w:tcPr>
            <w:tcW w:w="291" w:type="pct"/>
            <w:tcMar>
              <w:top w:w="0" w:type="dxa"/>
              <w:left w:w="0" w:type="dxa"/>
              <w:bottom w:w="0" w:type="dxa"/>
              <w:right w:w="0" w:type="dxa"/>
            </w:tcMar>
            <w:vAlign w:val="center"/>
          </w:tcPr>
          <w:p w14:paraId="518BCD11">
            <w:pPr>
              <w:pStyle w:val="67"/>
              <w:rPr>
                <w:rFonts w:cs="Times New Roman"/>
                <w:b w:val="0"/>
                <w:bCs/>
                <w:color w:val="auto"/>
                <w:highlight w:val="yellow"/>
              </w:rPr>
            </w:pPr>
            <w:r>
              <w:rPr>
                <w:rFonts w:hint="eastAsia" w:cs="Times New Roman"/>
                <w:b w:val="0"/>
                <w:bCs/>
                <w:color w:val="auto"/>
              </w:rPr>
              <w:t>7.2</w:t>
            </w:r>
          </w:p>
        </w:tc>
        <w:tc>
          <w:tcPr>
            <w:tcW w:w="291" w:type="pct"/>
            <w:tcMar>
              <w:top w:w="0" w:type="dxa"/>
              <w:left w:w="0" w:type="dxa"/>
              <w:bottom w:w="0" w:type="dxa"/>
              <w:right w:w="0" w:type="dxa"/>
            </w:tcMar>
            <w:vAlign w:val="center"/>
          </w:tcPr>
          <w:p w14:paraId="7B46DC2A">
            <w:pPr>
              <w:pStyle w:val="67"/>
              <w:rPr>
                <w:rFonts w:cs="Times New Roman"/>
                <w:b w:val="0"/>
                <w:bCs/>
                <w:color w:val="auto"/>
                <w:highlight w:val="yellow"/>
              </w:rPr>
            </w:pPr>
            <w:r>
              <w:rPr>
                <w:rFonts w:hint="eastAsia" w:cs="Times New Roman"/>
                <w:b w:val="0"/>
                <w:bCs/>
                <w:color w:val="auto"/>
              </w:rPr>
              <w:t>6.1</w:t>
            </w:r>
          </w:p>
        </w:tc>
        <w:tc>
          <w:tcPr>
            <w:tcW w:w="330" w:type="pct"/>
            <w:tcMar>
              <w:top w:w="0" w:type="dxa"/>
              <w:left w:w="0" w:type="dxa"/>
              <w:bottom w:w="0" w:type="dxa"/>
              <w:right w:w="0" w:type="dxa"/>
            </w:tcMar>
            <w:vAlign w:val="center"/>
          </w:tcPr>
          <w:p w14:paraId="6879330A">
            <w:pPr>
              <w:pStyle w:val="67"/>
              <w:rPr>
                <w:rFonts w:cs="Times New Roman"/>
                <w:b w:val="0"/>
                <w:bCs/>
                <w:color w:val="auto"/>
                <w:highlight w:val="yellow"/>
              </w:rPr>
            </w:pPr>
            <w:r>
              <w:rPr>
                <w:rFonts w:hint="eastAsia" w:cs="Times New Roman"/>
                <w:b w:val="0"/>
                <w:bCs/>
                <w:color w:val="auto"/>
              </w:rPr>
              <w:t>4.6</w:t>
            </w:r>
          </w:p>
        </w:tc>
        <w:tc>
          <w:tcPr>
            <w:tcW w:w="228" w:type="pct"/>
            <w:tcMar>
              <w:top w:w="0" w:type="dxa"/>
              <w:left w:w="0" w:type="dxa"/>
              <w:bottom w:w="0" w:type="dxa"/>
              <w:right w:w="0" w:type="dxa"/>
            </w:tcMar>
            <w:vAlign w:val="center"/>
          </w:tcPr>
          <w:p w14:paraId="0CA7E32C">
            <w:pPr>
              <w:pStyle w:val="67"/>
              <w:rPr>
                <w:rFonts w:cs="Times New Roman"/>
                <w:b w:val="0"/>
                <w:bCs/>
                <w:color w:val="auto"/>
                <w:highlight w:val="yellow"/>
              </w:rPr>
            </w:pPr>
            <w:r>
              <w:rPr>
                <w:rFonts w:hint="eastAsia" w:cs="Times New Roman"/>
                <w:b w:val="0"/>
                <w:bCs/>
                <w:color w:val="auto"/>
              </w:rPr>
              <w:t>3.65</w:t>
            </w:r>
          </w:p>
        </w:tc>
        <w:tc>
          <w:tcPr>
            <w:tcW w:w="351" w:type="pct"/>
            <w:tcMar>
              <w:top w:w="0" w:type="dxa"/>
              <w:left w:w="0" w:type="dxa"/>
              <w:bottom w:w="0" w:type="dxa"/>
              <w:right w:w="0" w:type="dxa"/>
            </w:tcMar>
            <w:vAlign w:val="center"/>
          </w:tcPr>
          <w:p w14:paraId="1FC2CEFA">
            <w:pPr>
              <w:pStyle w:val="67"/>
              <w:rPr>
                <w:rFonts w:cs="Times New Roman"/>
                <w:b w:val="0"/>
                <w:bCs/>
                <w:color w:val="auto"/>
                <w:highlight w:val="yellow"/>
              </w:rPr>
            </w:pPr>
            <w:r>
              <w:rPr>
                <w:rFonts w:hint="eastAsia" w:cs="Times New Roman"/>
                <w:b w:val="0"/>
                <w:bCs/>
                <w:color w:val="auto"/>
              </w:rPr>
              <w:t>2.8</w:t>
            </w:r>
          </w:p>
        </w:tc>
        <w:tc>
          <w:tcPr>
            <w:tcW w:w="239" w:type="pct"/>
            <w:tcMar>
              <w:top w:w="0" w:type="dxa"/>
              <w:left w:w="0" w:type="dxa"/>
              <w:bottom w:w="0" w:type="dxa"/>
              <w:right w:w="0" w:type="dxa"/>
            </w:tcMar>
            <w:vAlign w:val="center"/>
          </w:tcPr>
          <w:p w14:paraId="0F8B04F2">
            <w:pPr>
              <w:pStyle w:val="67"/>
              <w:rPr>
                <w:rFonts w:cs="Times New Roman"/>
                <w:b w:val="0"/>
                <w:bCs/>
                <w:color w:val="auto"/>
                <w:highlight w:val="yellow"/>
              </w:rPr>
            </w:pPr>
            <w:r>
              <w:rPr>
                <w:rFonts w:hint="eastAsia" w:cs="Times New Roman"/>
                <w:b w:val="0"/>
                <w:bCs/>
                <w:color w:val="auto"/>
              </w:rPr>
              <w:t>2.2</w:t>
            </w:r>
          </w:p>
        </w:tc>
        <w:tc>
          <w:tcPr>
            <w:tcW w:w="333" w:type="pct"/>
            <w:tcMar>
              <w:top w:w="0" w:type="dxa"/>
              <w:left w:w="0" w:type="dxa"/>
              <w:bottom w:w="0" w:type="dxa"/>
              <w:right w:w="0" w:type="dxa"/>
            </w:tcMar>
            <w:vAlign w:val="center"/>
          </w:tcPr>
          <w:p w14:paraId="63496D43">
            <w:pPr>
              <w:pStyle w:val="67"/>
              <w:rPr>
                <w:rFonts w:cs="Times New Roman"/>
                <w:b w:val="0"/>
                <w:bCs/>
                <w:color w:val="auto"/>
                <w:highlight w:val="yellow"/>
              </w:rPr>
            </w:pPr>
            <w:r>
              <w:rPr>
                <w:rFonts w:hint="eastAsia" w:cs="Times New Roman"/>
                <w:b w:val="0"/>
                <w:bCs/>
                <w:color w:val="auto"/>
              </w:rPr>
              <w:t>1.35</w:t>
            </w:r>
          </w:p>
        </w:tc>
        <w:tc>
          <w:tcPr>
            <w:tcW w:w="286" w:type="pct"/>
            <w:tcMar>
              <w:top w:w="0" w:type="dxa"/>
              <w:left w:w="0" w:type="dxa"/>
              <w:bottom w:w="0" w:type="dxa"/>
              <w:right w:w="0" w:type="dxa"/>
            </w:tcMar>
            <w:vAlign w:val="center"/>
          </w:tcPr>
          <w:p w14:paraId="12F189C5">
            <w:pPr>
              <w:pStyle w:val="67"/>
              <w:rPr>
                <w:rFonts w:cs="Times New Roman"/>
                <w:b w:val="0"/>
                <w:bCs/>
                <w:color w:val="auto"/>
                <w:highlight w:val="yellow"/>
              </w:rPr>
            </w:pPr>
            <w:r>
              <w:rPr>
                <w:rFonts w:hint="eastAsia" w:cs="Times New Roman"/>
                <w:b w:val="0"/>
                <w:bCs/>
                <w:color w:val="auto"/>
              </w:rPr>
              <w:t>11.5</w:t>
            </w:r>
          </w:p>
        </w:tc>
      </w:tr>
      <w:tr w14:paraId="31470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286249A0">
            <w:pPr>
              <w:pStyle w:val="67"/>
              <w:rPr>
                <w:rFonts w:cs="Times New Roman"/>
                <w:b w:val="0"/>
                <w:bCs/>
                <w:color w:val="auto"/>
              </w:rPr>
            </w:pPr>
            <w:r>
              <w:rPr>
                <w:rFonts w:cs="Times New Roman"/>
                <w:b w:val="0"/>
                <w:bCs/>
                <w:color w:val="auto"/>
              </w:rPr>
              <w:t>10</w:t>
            </w:r>
          </w:p>
        </w:tc>
        <w:tc>
          <w:tcPr>
            <w:tcW w:w="228" w:type="pct"/>
            <w:tcMar>
              <w:top w:w="0" w:type="dxa"/>
              <w:left w:w="0" w:type="dxa"/>
              <w:bottom w:w="0" w:type="dxa"/>
              <w:right w:w="0" w:type="dxa"/>
            </w:tcMar>
            <w:vAlign w:val="center"/>
          </w:tcPr>
          <w:p w14:paraId="5DAF3F90">
            <w:pPr>
              <w:pStyle w:val="67"/>
              <w:rPr>
                <w:rFonts w:cs="Times New Roman"/>
                <w:b w:val="0"/>
                <w:bCs/>
                <w:color w:val="auto"/>
                <w:highlight w:val="yellow"/>
              </w:rPr>
            </w:pPr>
            <w:r>
              <w:rPr>
                <w:rFonts w:hint="eastAsia" w:cs="Times New Roman"/>
                <w:b w:val="0"/>
                <w:bCs/>
                <w:color w:val="auto"/>
              </w:rPr>
              <w:t>1.7</w:t>
            </w:r>
          </w:p>
        </w:tc>
        <w:tc>
          <w:tcPr>
            <w:tcW w:w="278" w:type="pct"/>
            <w:tcMar>
              <w:top w:w="0" w:type="dxa"/>
              <w:left w:w="0" w:type="dxa"/>
              <w:bottom w:w="0" w:type="dxa"/>
              <w:right w:w="0" w:type="dxa"/>
            </w:tcMar>
            <w:vAlign w:val="center"/>
          </w:tcPr>
          <w:p w14:paraId="2726593F">
            <w:pPr>
              <w:pStyle w:val="67"/>
              <w:rPr>
                <w:rFonts w:cs="Times New Roman"/>
                <w:b w:val="0"/>
                <w:bCs/>
                <w:color w:val="auto"/>
                <w:highlight w:val="yellow"/>
              </w:rPr>
            </w:pPr>
            <w:r>
              <w:rPr>
                <w:rFonts w:hint="eastAsia" w:cs="Times New Roman"/>
                <w:b w:val="0"/>
                <w:bCs/>
                <w:color w:val="auto"/>
              </w:rPr>
              <w:t>2.95</w:t>
            </w:r>
          </w:p>
        </w:tc>
        <w:tc>
          <w:tcPr>
            <w:tcW w:w="291" w:type="pct"/>
            <w:tcMar>
              <w:top w:w="0" w:type="dxa"/>
              <w:left w:w="0" w:type="dxa"/>
              <w:bottom w:w="0" w:type="dxa"/>
              <w:right w:w="0" w:type="dxa"/>
            </w:tcMar>
            <w:vAlign w:val="center"/>
          </w:tcPr>
          <w:p w14:paraId="053A88E0">
            <w:pPr>
              <w:pStyle w:val="67"/>
              <w:rPr>
                <w:rFonts w:cs="Times New Roman"/>
                <w:b w:val="0"/>
                <w:bCs/>
                <w:color w:val="auto"/>
                <w:highlight w:val="yellow"/>
              </w:rPr>
            </w:pPr>
            <w:r>
              <w:rPr>
                <w:rFonts w:hint="eastAsia" w:cs="Times New Roman"/>
                <w:b w:val="0"/>
                <w:bCs/>
                <w:color w:val="auto"/>
              </w:rPr>
              <w:t>10.85</w:t>
            </w:r>
          </w:p>
        </w:tc>
        <w:tc>
          <w:tcPr>
            <w:tcW w:w="291" w:type="pct"/>
            <w:tcMar>
              <w:top w:w="0" w:type="dxa"/>
              <w:left w:w="0" w:type="dxa"/>
              <w:bottom w:w="0" w:type="dxa"/>
              <w:right w:w="0" w:type="dxa"/>
            </w:tcMar>
            <w:vAlign w:val="center"/>
          </w:tcPr>
          <w:p w14:paraId="31A1BBB0">
            <w:pPr>
              <w:pStyle w:val="67"/>
              <w:rPr>
                <w:rFonts w:cs="Times New Roman"/>
                <w:b w:val="0"/>
                <w:bCs/>
                <w:color w:val="auto"/>
                <w:highlight w:val="yellow"/>
              </w:rPr>
            </w:pPr>
            <w:r>
              <w:rPr>
                <w:rFonts w:hint="eastAsia" w:cs="Times New Roman"/>
                <w:b w:val="0"/>
                <w:bCs/>
                <w:color w:val="auto"/>
              </w:rPr>
              <w:t>16</w:t>
            </w:r>
          </w:p>
        </w:tc>
        <w:tc>
          <w:tcPr>
            <w:tcW w:w="291" w:type="pct"/>
            <w:tcMar>
              <w:top w:w="0" w:type="dxa"/>
              <w:left w:w="0" w:type="dxa"/>
              <w:bottom w:w="0" w:type="dxa"/>
              <w:right w:w="0" w:type="dxa"/>
            </w:tcMar>
            <w:vAlign w:val="center"/>
          </w:tcPr>
          <w:p w14:paraId="24AA1F43">
            <w:pPr>
              <w:pStyle w:val="67"/>
              <w:rPr>
                <w:rFonts w:cs="Times New Roman"/>
                <w:b w:val="0"/>
                <w:bCs/>
                <w:color w:val="auto"/>
                <w:highlight w:val="yellow"/>
              </w:rPr>
            </w:pPr>
            <w:r>
              <w:rPr>
                <w:rFonts w:hint="eastAsia" w:cs="Times New Roman"/>
                <w:b w:val="0"/>
                <w:bCs/>
                <w:color w:val="auto"/>
              </w:rPr>
              <w:t>6.85</w:t>
            </w:r>
          </w:p>
        </w:tc>
        <w:tc>
          <w:tcPr>
            <w:tcW w:w="245" w:type="pct"/>
            <w:tcMar>
              <w:top w:w="0" w:type="dxa"/>
              <w:left w:w="0" w:type="dxa"/>
              <w:bottom w:w="0" w:type="dxa"/>
              <w:right w:w="0" w:type="dxa"/>
            </w:tcMar>
            <w:vAlign w:val="center"/>
          </w:tcPr>
          <w:p w14:paraId="2D7E1C64">
            <w:pPr>
              <w:pStyle w:val="67"/>
              <w:rPr>
                <w:rFonts w:cs="Times New Roman"/>
                <w:b w:val="0"/>
                <w:bCs/>
                <w:color w:val="auto"/>
                <w:highlight w:val="yellow"/>
              </w:rPr>
            </w:pPr>
            <w:r>
              <w:rPr>
                <w:rFonts w:hint="eastAsia" w:cs="Times New Roman"/>
                <w:b w:val="0"/>
                <w:bCs/>
                <w:color w:val="auto"/>
              </w:rPr>
              <w:t>3.25</w:t>
            </w:r>
          </w:p>
        </w:tc>
        <w:tc>
          <w:tcPr>
            <w:tcW w:w="228" w:type="pct"/>
            <w:tcMar>
              <w:top w:w="0" w:type="dxa"/>
              <w:left w:w="0" w:type="dxa"/>
              <w:bottom w:w="0" w:type="dxa"/>
              <w:right w:w="0" w:type="dxa"/>
            </w:tcMar>
            <w:vAlign w:val="center"/>
          </w:tcPr>
          <w:p w14:paraId="5A13F401">
            <w:pPr>
              <w:pStyle w:val="67"/>
              <w:rPr>
                <w:rFonts w:cs="Times New Roman"/>
                <w:b w:val="0"/>
                <w:bCs/>
                <w:color w:val="auto"/>
                <w:highlight w:val="yellow"/>
              </w:rPr>
            </w:pPr>
            <w:r>
              <w:rPr>
                <w:rFonts w:hint="eastAsia" w:cs="Times New Roman"/>
                <w:b w:val="0"/>
                <w:bCs/>
                <w:color w:val="auto"/>
              </w:rPr>
              <w:t>2.4</w:t>
            </w:r>
          </w:p>
        </w:tc>
        <w:tc>
          <w:tcPr>
            <w:tcW w:w="232" w:type="pct"/>
            <w:tcMar>
              <w:top w:w="0" w:type="dxa"/>
              <w:left w:w="0" w:type="dxa"/>
              <w:bottom w:w="0" w:type="dxa"/>
              <w:right w:w="0" w:type="dxa"/>
            </w:tcMar>
            <w:vAlign w:val="center"/>
          </w:tcPr>
          <w:p w14:paraId="4A84B5BC">
            <w:pPr>
              <w:pStyle w:val="67"/>
              <w:rPr>
                <w:rFonts w:cs="Times New Roman"/>
                <w:b w:val="0"/>
                <w:bCs/>
                <w:color w:val="auto"/>
                <w:highlight w:val="yellow"/>
              </w:rPr>
            </w:pPr>
            <w:r>
              <w:rPr>
                <w:rFonts w:hint="eastAsia" w:cs="Times New Roman"/>
                <w:b w:val="0"/>
                <w:bCs/>
                <w:color w:val="auto"/>
              </w:rPr>
              <w:t>2</w:t>
            </w:r>
          </w:p>
        </w:tc>
        <w:tc>
          <w:tcPr>
            <w:tcW w:w="291" w:type="pct"/>
            <w:tcMar>
              <w:top w:w="0" w:type="dxa"/>
              <w:left w:w="0" w:type="dxa"/>
              <w:bottom w:w="0" w:type="dxa"/>
              <w:right w:w="0" w:type="dxa"/>
            </w:tcMar>
            <w:vAlign w:val="center"/>
          </w:tcPr>
          <w:p w14:paraId="603CD24C">
            <w:pPr>
              <w:pStyle w:val="67"/>
              <w:rPr>
                <w:rFonts w:cs="Times New Roman"/>
                <w:b w:val="0"/>
                <w:bCs/>
                <w:color w:val="auto"/>
                <w:highlight w:val="yellow"/>
              </w:rPr>
            </w:pPr>
            <w:r>
              <w:rPr>
                <w:rFonts w:hint="eastAsia" w:cs="Times New Roman"/>
                <w:b w:val="0"/>
                <w:bCs/>
                <w:color w:val="auto"/>
              </w:rPr>
              <w:t>5.25</w:t>
            </w:r>
          </w:p>
        </w:tc>
        <w:tc>
          <w:tcPr>
            <w:tcW w:w="291" w:type="pct"/>
            <w:tcMar>
              <w:top w:w="0" w:type="dxa"/>
              <w:left w:w="0" w:type="dxa"/>
              <w:bottom w:w="0" w:type="dxa"/>
              <w:right w:w="0" w:type="dxa"/>
            </w:tcMar>
            <w:vAlign w:val="center"/>
          </w:tcPr>
          <w:p w14:paraId="185CA81F">
            <w:pPr>
              <w:pStyle w:val="67"/>
              <w:rPr>
                <w:rFonts w:cs="Times New Roman"/>
                <w:b w:val="0"/>
                <w:bCs/>
                <w:color w:val="auto"/>
                <w:highlight w:val="yellow"/>
              </w:rPr>
            </w:pPr>
            <w:r>
              <w:rPr>
                <w:rFonts w:hint="eastAsia" w:cs="Times New Roman"/>
                <w:b w:val="0"/>
                <w:bCs/>
                <w:color w:val="auto"/>
              </w:rPr>
              <w:t>10.45</w:t>
            </w:r>
          </w:p>
        </w:tc>
        <w:tc>
          <w:tcPr>
            <w:tcW w:w="291" w:type="pct"/>
            <w:tcMar>
              <w:top w:w="0" w:type="dxa"/>
              <w:left w:w="0" w:type="dxa"/>
              <w:bottom w:w="0" w:type="dxa"/>
              <w:right w:w="0" w:type="dxa"/>
            </w:tcMar>
            <w:vAlign w:val="center"/>
          </w:tcPr>
          <w:p w14:paraId="35AA6010">
            <w:pPr>
              <w:pStyle w:val="67"/>
              <w:rPr>
                <w:rFonts w:cs="Times New Roman"/>
                <w:b w:val="0"/>
                <w:bCs/>
                <w:color w:val="auto"/>
                <w:highlight w:val="yellow"/>
              </w:rPr>
            </w:pPr>
            <w:r>
              <w:rPr>
                <w:rFonts w:hint="eastAsia" w:cs="Times New Roman"/>
                <w:b w:val="0"/>
                <w:bCs/>
                <w:color w:val="auto"/>
              </w:rPr>
              <w:t>9.15</w:t>
            </w:r>
          </w:p>
        </w:tc>
        <w:tc>
          <w:tcPr>
            <w:tcW w:w="330" w:type="pct"/>
            <w:tcMar>
              <w:top w:w="0" w:type="dxa"/>
              <w:left w:w="0" w:type="dxa"/>
              <w:bottom w:w="0" w:type="dxa"/>
              <w:right w:w="0" w:type="dxa"/>
            </w:tcMar>
            <w:vAlign w:val="center"/>
          </w:tcPr>
          <w:p w14:paraId="6434257E">
            <w:pPr>
              <w:pStyle w:val="67"/>
              <w:rPr>
                <w:rFonts w:cs="Times New Roman"/>
                <w:b w:val="0"/>
                <w:bCs/>
                <w:color w:val="auto"/>
                <w:highlight w:val="yellow"/>
              </w:rPr>
            </w:pPr>
            <w:r>
              <w:rPr>
                <w:rFonts w:hint="eastAsia" w:cs="Times New Roman"/>
                <w:b w:val="0"/>
                <w:bCs/>
                <w:color w:val="auto"/>
              </w:rPr>
              <w:t>6.5</w:t>
            </w:r>
          </w:p>
        </w:tc>
        <w:tc>
          <w:tcPr>
            <w:tcW w:w="228" w:type="pct"/>
            <w:tcMar>
              <w:top w:w="0" w:type="dxa"/>
              <w:left w:w="0" w:type="dxa"/>
              <w:bottom w:w="0" w:type="dxa"/>
              <w:right w:w="0" w:type="dxa"/>
            </w:tcMar>
            <w:vAlign w:val="center"/>
          </w:tcPr>
          <w:p w14:paraId="3F8F5141">
            <w:pPr>
              <w:pStyle w:val="67"/>
              <w:rPr>
                <w:rFonts w:cs="Times New Roman"/>
                <w:b w:val="0"/>
                <w:bCs/>
                <w:color w:val="auto"/>
                <w:highlight w:val="yellow"/>
              </w:rPr>
            </w:pPr>
            <w:r>
              <w:rPr>
                <w:rFonts w:hint="eastAsia" w:cs="Times New Roman"/>
                <w:b w:val="0"/>
                <w:bCs/>
                <w:color w:val="auto"/>
              </w:rPr>
              <w:t>3.45</w:t>
            </w:r>
          </w:p>
        </w:tc>
        <w:tc>
          <w:tcPr>
            <w:tcW w:w="351" w:type="pct"/>
            <w:tcMar>
              <w:top w:w="0" w:type="dxa"/>
              <w:left w:w="0" w:type="dxa"/>
              <w:bottom w:w="0" w:type="dxa"/>
              <w:right w:w="0" w:type="dxa"/>
            </w:tcMar>
            <w:vAlign w:val="center"/>
          </w:tcPr>
          <w:p w14:paraId="782CF577">
            <w:pPr>
              <w:pStyle w:val="67"/>
              <w:rPr>
                <w:rFonts w:cs="Times New Roman"/>
                <w:b w:val="0"/>
                <w:bCs/>
                <w:color w:val="auto"/>
                <w:highlight w:val="yellow"/>
              </w:rPr>
            </w:pPr>
            <w:r>
              <w:rPr>
                <w:rFonts w:hint="eastAsia" w:cs="Times New Roman"/>
                <w:b w:val="0"/>
                <w:bCs/>
                <w:color w:val="auto"/>
              </w:rPr>
              <w:t>2.15</w:t>
            </w:r>
          </w:p>
        </w:tc>
        <w:tc>
          <w:tcPr>
            <w:tcW w:w="239" w:type="pct"/>
            <w:tcMar>
              <w:top w:w="0" w:type="dxa"/>
              <w:left w:w="0" w:type="dxa"/>
              <w:bottom w:w="0" w:type="dxa"/>
              <w:right w:w="0" w:type="dxa"/>
            </w:tcMar>
            <w:vAlign w:val="center"/>
          </w:tcPr>
          <w:p w14:paraId="6FD1C1AD">
            <w:pPr>
              <w:pStyle w:val="67"/>
              <w:rPr>
                <w:rFonts w:cs="Times New Roman"/>
                <w:b w:val="0"/>
                <w:bCs/>
                <w:color w:val="auto"/>
                <w:highlight w:val="yellow"/>
              </w:rPr>
            </w:pPr>
            <w:r>
              <w:rPr>
                <w:rFonts w:hint="eastAsia" w:cs="Times New Roman"/>
                <w:b w:val="0"/>
                <w:bCs/>
                <w:color w:val="auto"/>
              </w:rPr>
              <w:t>1.6</w:t>
            </w:r>
          </w:p>
        </w:tc>
        <w:tc>
          <w:tcPr>
            <w:tcW w:w="333" w:type="pct"/>
            <w:tcMar>
              <w:top w:w="0" w:type="dxa"/>
              <w:left w:w="0" w:type="dxa"/>
              <w:bottom w:w="0" w:type="dxa"/>
              <w:right w:w="0" w:type="dxa"/>
            </w:tcMar>
            <w:vAlign w:val="center"/>
          </w:tcPr>
          <w:p w14:paraId="5CFFF5F8">
            <w:pPr>
              <w:pStyle w:val="67"/>
              <w:rPr>
                <w:rFonts w:cs="Times New Roman"/>
                <w:b w:val="0"/>
                <w:bCs/>
                <w:color w:val="auto"/>
                <w:highlight w:val="yellow"/>
              </w:rPr>
            </w:pPr>
            <w:r>
              <w:rPr>
                <w:rFonts w:hint="eastAsia" w:cs="Times New Roman"/>
                <w:b w:val="0"/>
                <w:bCs/>
                <w:color w:val="auto"/>
              </w:rPr>
              <w:t>1.1</w:t>
            </w:r>
          </w:p>
        </w:tc>
        <w:tc>
          <w:tcPr>
            <w:tcW w:w="286" w:type="pct"/>
            <w:tcMar>
              <w:top w:w="0" w:type="dxa"/>
              <w:left w:w="0" w:type="dxa"/>
              <w:bottom w:w="0" w:type="dxa"/>
              <w:right w:w="0" w:type="dxa"/>
            </w:tcMar>
            <w:vAlign w:val="center"/>
          </w:tcPr>
          <w:p w14:paraId="628C0921">
            <w:pPr>
              <w:pStyle w:val="67"/>
              <w:rPr>
                <w:rFonts w:cs="Times New Roman"/>
                <w:b w:val="0"/>
                <w:bCs/>
                <w:color w:val="auto"/>
                <w:highlight w:val="yellow"/>
              </w:rPr>
            </w:pPr>
            <w:r>
              <w:rPr>
                <w:rFonts w:hint="eastAsia" w:cs="Times New Roman"/>
                <w:b w:val="0"/>
                <w:bCs/>
                <w:color w:val="auto"/>
              </w:rPr>
              <w:t>14.4</w:t>
            </w:r>
          </w:p>
        </w:tc>
      </w:tr>
      <w:tr w14:paraId="1124A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0E210968">
            <w:pPr>
              <w:pStyle w:val="67"/>
              <w:rPr>
                <w:rFonts w:cs="Times New Roman"/>
                <w:b w:val="0"/>
                <w:bCs/>
                <w:color w:val="auto"/>
              </w:rPr>
            </w:pPr>
            <w:r>
              <w:rPr>
                <w:rFonts w:cs="Times New Roman"/>
                <w:b w:val="0"/>
                <w:bCs/>
                <w:color w:val="auto"/>
              </w:rPr>
              <w:t>11</w:t>
            </w:r>
          </w:p>
        </w:tc>
        <w:tc>
          <w:tcPr>
            <w:tcW w:w="228" w:type="pct"/>
            <w:tcMar>
              <w:top w:w="0" w:type="dxa"/>
              <w:left w:w="0" w:type="dxa"/>
              <w:bottom w:w="0" w:type="dxa"/>
              <w:right w:w="0" w:type="dxa"/>
            </w:tcMar>
            <w:vAlign w:val="center"/>
          </w:tcPr>
          <w:p w14:paraId="247297A0">
            <w:pPr>
              <w:pStyle w:val="67"/>
              <w:rPr>
                <w:rFonts w:cs="Times New Roman"/>
                <w:b w:val="0"/>
                <w:bCs/>
                <w:color w:val="auto"/>
                <w:highlight w:val="yellow"/>
              </w:rPr>
            </w:pPr>
            <w:r>
              <w:rPr>
                <w:rFonts w:hint="eastAsia" w:cs="Times New Roman"/>
                <w:b w:val="0"/>
                <w:bCs/>
                <w:color w:val="auto"/>
              </w:rPr>
              <w:t>2.05</w:t>
            </w:r>
          </w:p>
        </w:tc>
        <w:tc>
          <w:tcPr>
            <w:tcW w:w="278" w:type="pct"/>
            <w:tcMar>
              <w:top w:w="0" w:type="dxa"/>
              <w:left w:w="0" w:type="dxa"/>
              <w:bottom w:w="0" w:type="dxa"/>
              <w:right w:w="0" w:type="dxa"/>
            </w:tcMar>
            <w:vAlign w:val="center"/>
          </w:tcPr>
          <w:p w14:paraId="5B2F9B7B">
            <w:pPr>
              <w:pStyle w:val="67"/>
              <w:rPr>
                <w:rFonts w:cs="Times New Roman"/>
                <w:b w:val="0"/>
                <w:bCs/>
                <w:color w:val="auto"/>
                <w:highlight w:val="yellow"/>
              </w:rPr>
            </w:pPr>
            <w:r>
              <w:rPr>
                <w:rFonts w:hint="eastAsia" w:cs="Times New Roman"/>
                <w:b w:val="0"/>
                <w:bCs/>
                <w:color w:val="auto"/>
              </w:rPr>
              <w:t>3.1</w:t>
            </w:r>
          </w:p>
        </w:tc>
        <w:tc>
          <w:tcPr>
            <w:tcW w:w="291" w:type="pct"/>
            <w:tcMar>
              <w:top w:w="0" w:type="dxa"/>
              <w:left w:w="0" w:type="dxa"/>
              <w:bottom w:w="0" w:type="dxa"/>
              <w:right w:w="0" w:type="dxa"/>
            </w:tcMar>
            <w:vAlign w:val="center"/>
          </w:tcPr>
          <w:p w14:paraId="4C6CAD07">
            <w:pPr>
              <w:pStyle w:val="67"/>
              <w:rPr>
                <w:rFonts w:cs="Times New Roman"/>
                <w:b w:val="0"/>
                <w:bCs/>
                <w:color w:val="auto"/>
                <w:highlight w:val="yellow"/>
              </w:rPr>
            </w:pPr>
            <w:r>
              <w:rPr>
                <w:rFonts w:hint="eastAsia" w:cs="Times New Roman"/>
                <w:b w:val="0"/>
                <w:bCs/>
                <w:color w:val="auto"/>
              </w:rPr>
              <w:t>11.4</w:t>
            </w:r>
          </w:p>
        </w:tc>
        <w:tc>
          <w:tcPr>
            <w:tcW w:w="291" w:type="pct"/>
            <w:tcMar>
              <w:top w:w="0" w:type="dxa"/>
              <w:left w:w="0" w:type="dxa"/>
              <w:bottom w:w="0" w:type="dxa"/>
              <w:right w:w="0" w:type="dxa"/>
            </w:tcMar>
            <w:vAlign w:val="center"/>
          </w:tcPr>
          <w:p w14:paraId="0036BC3D">
            <w:pPr>
              <w:pStyle w:val="67"/>
              <w:rPr>
                <w:rFonts w:cs="Times New Roman"/>
                <w:b w:val="0"/>
                <w:bCs/>
                <w:color w:val="auto"/>
                <w:highlight w:val="yellow"/>
              </w:rPr>
            </w:pPr>
            <w:r>
              <w:rPr>
                <w:rFonts w:hint="eastAsia" w:cs="Times New Roman"/>
                <w:b w:val="0"/>
                <w:bCs/>
                <w:color w:val="auto"/>
              </w:rPr>
              <w:t>15.55</w:t>
            </w:r>
          </w:p>
        </w:tc>
        <w:tc>
          <w:tcPr>
            <w:tcW w:w="291" w:type="pct"/>
            <w:tcMar>
              <w:top w:w="0" w:type="dxa"/>
              <w:left w:w="0" w:type="dxa"/>
              <w:bottom w:w="0" w:type="dxa"/>
              <w:right w:w="0" w:type="dxa"/>
            </w:tcMar>
            <w:vAlign w:val="center"/>
          </w:tcPr>
          <w:p w14:paraId="4EE029B4">
            <w:pPr>
              <w:pStyle w:val="67"/>
              <w:rPr>
                <w:rFonts w:cs="Times New Roman"/>
                <w:b w:val="0"/>
                <w:bCs/>
                <w:color w:val="auto"/>
                <w:highlight w:val="yellow"/>
              </w:rPr>
            </w:pPr>
            <w:r>
              <w:rPr>
                <w:rFonts w:hint="eastAsia" w:cs="Times New Roman"/>
                <w:b w:val="0"/>
                <w:bCs/>
                <w:color w:val="auto"/>
              </w:rPr>
              <w:t>9.2</w:t>
            </w:r>
          </w:p>
        </w:tc>
        <w:tc>
          <w:tcPr>
            <w:tcW w:w="245" w:type="pct"/>
            <w:tcMar>
              <w:top w:w="0" w:type="dxa"/>
              <w:left w:w="0" w:type="dxa"/>
              <w:bottom w:w="0" w:type="dxa"/>
              <w:right w:w="0" w:type="dxa"/>
            </w:tcMar>
            <w:vAlign w:val="center"/>
          </w:tcPr>
          <w:p w14:paraId="08ACCB6B">
            <w:pPr>
              <w:pStyle w:val="67"/>
              <w:rPr>
                <w:rFonts w:cs="Times New Roman"/>
                <w:b w:val="0"/>
                <w:bCs/>
                <w:color w:val="auto"/>
                <w:highlight w:val="yellow"/>
              </w:rPr>
            </w:pPr>
            <w:r>
              <w:rPr>
                <w:rFonts w:hint="eastAsia" w:cs="Times New Roman"/>
                <w:b w:val="0"/>
                <w:bCs/>
                <w:color w:val="auto"/>
              </w:rPr>
              <w:t>2.85</w:t>
            </w:r>
          </w:p>
        </w:tc>
        <w:tc>
          <w:tcPr>
            <w:tcW w:w="228" w:type="pct"/>
            <w:tcMar>
              <w:top w:w="0" w:type="dxa"/>
              <w:left w:w="0" w:type="dxa"/>
              <w:bottom w:w="0" w:type="dxa"/>
              <w:right w:w="0" w:type="dxa"/>
            </w:tcMar>
            <w:vAlign w:val="center"/>
          </w:tcPr>
          <w:p w14:paraId="68046E62">
            <w:pPr>
              <w:pStyle w:val="67"/>
              <w:rPr>
                <w:rFonts w:cs="Times New Roman"/>
                <w:b w:val="0"/>
                <w:bCs/>
                <w:color w:val="auto"/>
                <w:highlight w:val="yellow"/>
              </w:rPr>
            </w:pPr>
            <w:r>
              <w:rPr>
                <w:rFonts w:hint="eastAsia" w:cs="Times New Roman"/>
                <w:b w:val="0"/>
                <w:bCs/>
                <w:color w:val="auto"/>
              </w:rPr>
              <w:t>2.15</w:t>
            </w:r>
          </w:p>
        </w:tc>
        <w:tc>
          <w:tcPr>
            <w:tcW w:w="232" w:type="pct"/>
            <w:tcMar>
              <w:top w:w="0" w:type="dxa"/>
              <w:left w:w="0" w:type="dxa"/>
              <w:bottom w:w="0" w:type="dxa"/>
              <w:right w:w="0" w:type="dxa"/>
            </w:tcMar>
            <w:vAlign w:val="center"/>
          </w:tcPr>
          <w:p w14:paraId="0D0B8D61">
            <w:pPr>
              <w:pStyle w:val="67"/>
              <w:rPr>
                <w:rFonts w:cs="Times New Roman"/>
                <w:b w:val="0"/>
                <w:bCs/>
                <w:color w:val="auto"/>
                <w:highlight w:val="yellow"/>
              </w:rPr>
            </w:pPr>
            <w:r>
              <w:rPr>
                <w:rFonts w:hint="eastAsia" w:cs="Times New Roman"/>
                <w:b w:val="0"/>
                <w:bCs/>
                <w:color w:val="auto"/>
              </w:rPr>
              <w:t>2.2</w:t>
            </w:r>
          </w:p>
        </w:tc>
        <w:tc>
          <w:tcPr>
            <w:tcW w:w="291" w:type="pct"/>
            <w:tcMar>
              <w:top w:w="0" w:type="dxa"/>
              <w:left w:w="0" w:type="dxa"/>
              <w:bottom w:w="0" w:type="dxa"/>
              <w:right w:w="0" w:type="dxa"/>
            </w:tcMar>
            <w:vAlign w:val="center"/>
          </w:tcPr>
          <w:p w14:paraId="0F3B8BAC">
            <w:pPr>
              <w:pStyle w:val="67"/>
              <w:rPr>
                <w:rFonts w:cs="Times New Roman"/>
                <w:b w:val="0"/>
                <w:bCs/>
                <w:color w:val="auto"/>
                <w:highlight w:val="yellow"/>
              </w:rPr>
            </w:pPr>
            <w:r>
              <w:rPr>
                <w:rFonts w:hint="eastAsia" w:cs="Times New Roman"/>
                <w:b w:val="0"/>
                <w:bCs/>
                <w:color w:val="auto"/>
              </w:rPr>
              <w:t>3.75</w:t>
            </w:r>
          </w:p>
        </w:tc>
        <w:tc>
          <w:tcPr>
            <w:tcW w:w="291" w:type="pct"/>
            <w:tcMar>
              <w:top w:w="0" w:type="dxa"/>
              <w:left w:w="0" w:type="dxa"/>
              <w:bottom w:w="0" w:type="dxa"/>
              <w:right w:w="0" w:type="dxa"/>
            </w:tcMar>
            <w:vAlign w:val="center"/>
          </w:tcPr>
          <w:p w14:paraId="7A69F942">
            <w:pPr>
              <w:pStyle w:val="67"/>
              <w:rPr>
                <w:rFonts w:cs="Times New Roman"/>
                <w:b w:val="0"/>
                <w:bCs/>
                <w:color w:val="auto"/>
                <w:highlight w:val="yellow"/>
              </w:rPr>
            </w:pPr>
            <w:r>
              <w:rPr>
                <w:rFonts w:hint="eastAsia" w:cs="Times New Roman"/>
                <w:b w:val="0"/>
                <w:bCs/>
                <w:color w:val="auto"/>
              </w:rPr>
              <w:t>9.75</w:t>
            </w:r>
          </w:p>
        </w:tc>
        <w:tc>
          <w:tcPr>
            <w:tcW w:w="291" w:type="pct"/>
            <w:tcMar>
              <w:top w:w="0" w:type="dxa"/>
              <w:left w:w="0" w:type="dxa"/>
              <w:bottom w:w="0" w:type="dxa"/>
              <w:right w:w="0" w:type="dxa"/>
            </w:tcMar>
            <w:vAlign w:val="center"/>
          </w:tcPr>
          <w:p w14:paraId="4E8C4685">
            <w:pPr>
              <w:pStyle w:val="67"/>
              <w:rPr>
                <w:rFonts w:cs="Times New Roman"/>
                <w:b w:val="0"/>
                <w:bCs/>
                <w:color w:val="auto"/>
                <w:highlight w:val="yellow"/>
              </w:rPr>
            </w:pPr>
            <w:r>
              <w:rPr>
                <w:rFonts w:hint="eastAsia" w:cs="Times New Roman"/>
                <w:b w:val="0"/>
                <w:bCs/>
                <w:color w:val="auto"/>
              </w:rPr>
              <w:t>9</w:t>
            </w:r>
          </w:p>
        </w:tc>
        <w:tc>
          <w:tcPr>
            <w:tcW w:w="330" w:type="pct"/>
            <w:tcMar>
              <w:top w:w="0" w:type="dxa"/>
              <w:left w:w="0" w:type="dxa"/>
              <w:bottom w:w="0" w:type="dxa"/>
              <w:right w:w="0" w:type="dxa"/>
            </w:tcMar>
            <w:vAlign w:val="center"/>
          </w:tcPr>
          <w:p w14:paraId="767A4BBB">
            <w:pPr>
              <w:pStyle w:val="67"/>
              <w:rPr>
                <w:rFonts w:cs="Times New Roman"/>
                <w:b w:val="0"/>
                <w:bCs/>
                <w:color w:val="auto"/>
                <w:highlight w:val="yellow"/>
              </w:rPr>
            </w:pPr>
            <w:r>
              <w:rPr>
                <w:rFonts w:hint="eastAsia" w:cs="Times New Roman"/>
                <w:b w:val="0"/>
                <w:bCs/>
                <w:color w:val="auto"/>
              </w:rPr>
              <w:t>8.3</w:t>
            </w:r>
          </w:p>
        </w:tc>
        <w:tc>
          <w:tcPr>
            <w:tcW w:w="228" w:type="pct"/>
            <w:tcMar>
              <w:top w:w="0" w:type="dxa"/>
              <w:left w:w="0" w:type="dxa"/>
              <w:bottom w:w="0" w:type="dxa"/>
              <w:right w:w="0" w:type="dxa"/>
            </w:tcMar>
            <w:vAlign w:val="center"/>
          </w:tcPr>
          <w:p w14:paraId="4CB848F5">
            <w:pPr>
              <w:pStyle w:val="67"/>
              <w:rPr>
                <w:rFonts w:cs="Times New Roman"/>
                <w:b w:val="0"/>
                <w:bCs/>
                <w:color w:val="auto"/>
                <w:highlight w:val="yellow"/>
              </w:rPr>
            </w:pPr>
            <w:r>
              <w:rPr>
                <w:rFonts w:hint="eastAsia" w:cs="Times New Roman"/>
                <w:b w:val="0"/>
                <w:bCs/>
                <w:color w:val="auto"/>
              </w:rPr>
              <w:t>5.95</w:t>
            </w:r>
          </w:p>
        </w:tc>
        <w:tc>
          <w:tcPr>
            <w:tcW w:w="351" w:type="pct"/>
            <w:tcMar>
              <w:top w:w="0" w:type="dxa"/>
              <w:left w:w="0" w:type="dxa"/>
              <w:bottom w:w="0" w:type="dxa"/>
              <w:right w:w="0" w:type="dxa"/>
            </w:tcMar>
            <w:vAlign w:val="center"/>
          </w:tcPr>
          <w:p w14:paraId="54D3BAF1">
            <w:pPr>
              <w:pStyle w:val="67"/>
              <w:rPr>
                <w:rFonts w:cs="Times New Roman"/>
                <w:b w:val="0"/>
                <w:bCs/>
                <w:color w:val="auto"/>
                <w:highlight w:val="yellow"/>
              </w:rPr>
            </w:pPr>
            <w:r>
              <w:rPr>
                <w:rFonts w:hint="eastAsia" w:cs="Times New Roman"/>
                <w:b w:val="0"/>
                <w:bCs/>
                <w:color w:val="auto"/>
              </w:rPr>
              <w:t>2.45</w:t>
            </w:r>
          </w:p>
        </w:tc>
        <w:tc>
          <w:tcPr>
            <w:tcW w:w="239" w:type="pct"/>
            <w:tcMar>
              <w:top w:w="0" w:type="dxa"/>
              <w:left w:w="0" w:type="dxa"/>
              <w:bottom w:w="0" w:type="dxa"/>
              <w:right w:w="0" w:type="dxa"/>
            </w:tcMar>
            <w:vAlign w:val="center"/>
          </w:tcPr>
          <w:p w14:paraId="59B78485">
            <w:pPr>
              <w:pStyle w:val="67"/>
              <w:rPr>
                <w:rFonts w:cs="Times New Roman"/>
                <w:b w:val="0"/>
                <w:bCs/>
                <w:color w:val="auto"/>
                <w:highlight w:val="yellow"/>
              </w:rPr>
            </w:pPr>
            <w:r>
              <w:rPr>
                <w:rFonts w:hint="eastAsia" w:cs="Times New Roman"/>
                <w:b w:val="0"/>
                <w:bCs/>
                <w:color w:val="auto"/>
              </w:rPr>
              <w:t>1.65</w:t>
            </w:r>
          </w:p>
        </w:tc>
        <w:tc>
          <w:tcPr>
            <w:tcW w:w="333" w:type="pct"/>
            <w:tcMar>
              <w:top w:w="0" w:type="dxa"/>
              <w:left w:w="0" w:type="dxa"/>
              <w:bottom w:w="0" w:type="dxa"/>
              <w:right w:w="0" w:type="dxa"/>
            </w:tcMar>
            <w:vAlign w:val="center"/>
          </w:tcPr>
          <w:p w14:paraId="7063BB67">
            <w:pPr>
              <w:pStyle w:val="67"/>
              <w:rPr>
                <w:rFonts w:cs="Times New Roman"/>
                <w:b w:val="0"/>
                <w:bCs/>
                <w:color w:val="auto"/>
                <w:highlight w:val="yellow"/>
              </w:rPr>
            </w:pPr>
            <w:r>
              <w:rPr>
                <w:rFonts w:hint="eastAsia" w:cs="Times New Roman"/>
                <w:b w:val="0"/>
                <w:bCs/>
                <w:color w:val="auto"/>
              </w:rPr>
              <w:t>1.55</w:t>
            </w:r>
          </w:p>
        </w:tc>
        <w:tc>
          <w:tcPr>
            <w:tcW w:w="286" w:type="pct"/>
            <w:tcMar>
              <w:top w:w="0" w:type="dxa"/>
              <w:left w:w="0" w:type="dxa"/>
              <w:bottom w:w="0" w:type="dxa"/>
              <w:right w:w="0" w:type="dxa"/>
            </w:tcMar>
            <w:vAlign w:val="center"/>
          </w:tcPr>
          <w:p w14:paraId="3D195D7F">
            <w:pPr>
              <w:pStyle w:val="67"/>
              <w:rPr>
                <w:rFonts w:cs="Times New Roman"/>
                <w:b w:val="0"/>
                <w:bCs/>
                <w:color w:val="auto"/>
                <w:highlight w:val="yellow"/>
              </w:rPr>
            </w:pPr>
            <w:r>
              <w:rPr>
                <w:rFonts w:hint="eastAsia" w:cs="Times New Roman"/>
                <w:b w:val="0"/>
                <w:bCs/>
                <w:color w:val="auto"/>
              </w:rPr>
              <w:t>9.15</w:t>
            </w:r>
          </w:p>
        </w:tc>
      </w:tr>
      <w:tr w14:paraId="214B1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 w:type="pct"/>
            <w:tcMar>
              <w:top w:w="0" w:type="dxa"/>
              <w:left w:w="0" w:type="dxa"/>
              <w:bottom w:w="0" w:type="dxa"/>
              <w:right w:w="0" w:type="dxa"/>
            </w:tcMar>
            <w:vAlign w:val="center"/>
          </w:tcPr>
          <w:p w14:paraId="471C065B">
            <w:pPr>
              <w:pStyle w:val="67"/>
              <w:rPr>
                <w:rFonts w:cs="Times New Roman"/>
                <w:b w:val="0"/>
                <w:bCs/>
                <w:color w:val="auto"/>
              </w:rPr>
            </w:pPr>
            <w:r>
              <w:rPr>
                <w:rFonts w:cs="Times New Roman"/>
                <w:b w:val="0"/>
                <w:bCs/>
                <w:color w:val="auto"/>
              </w:rPr>
              <w:t>12</w:t>
            </w:r>
          </w:p>
        </w:tc>
        <w:tc>
          <w:tcPr>
            <w:tcW w:w="228" w:type="pct"/>
            <w:tcMar>
              <w:top w:w="0" w:type="dxa"/>
              <w:left w:w="0" w:type="dxa"/>
              <w:bottom w:w="0" w:type="dxa"/>
              <w:right w:w="0" w:type="dxa"/>
            </w:tcMar>
            <w:vAlign w:val="center"/>
          </w:tcPr>
          <w:p w14:paraId="192C99AB">
            <w:pPr>
              <w:pStyle w:val="67"/>
              <w:rPr>
                <w:rFonts w:cs="Times New Roman"/>
                <w:b w:val="0"/>
                <w:bCs/>
                <w:color w:val="auto"/>
                <w:highlight w:val="yellow"/>
              </w:rPr>
            </w:pPr>
            <w:r>
              <w:rPr>
                <w:rFonts w:hint="eastAsia" w:cs="Times New Roman"/>
                <w:b w:val="0"/>
                <w:bCs/>
                <w:color w:val="auto"/>
              </w:rPr>
              <w:t>1.85</w:t>
            </w:r>
          </w:p>
        </w:tc>
        <w:tc>
          <w:tcPr>
            <w:tcW w:w="278" w:type="pct"/>
            <w:tcMar>
              <w:top w:w="0" w:type="dxa"/>
              <w:left w:w="0" w:type="dxa"/>
              <w:bottom w:w="0" w:type="dxa"/>
              <w:right w:w="0" w:type="dxa"/>
            </w:tcMar>
            <w:vAlign w:val="center"/>
          </w:tcPr>
          <w:p w14:paraId="5F0FE8F8">
            <w:pPr>
              <w:pStyle w:val="67"/>
              <w:rPr>
                <w:rFonts w:cs="Times New Roman"/>
                <w:b w:val="0"/>
                <w:bCs/>
                <w:color w:val="auto"/>
                <w:highlight w:val="yellow"/>
              </w:rPr>
            </w:pPr>
            <w:r>
              <w:rPr>
                <w:rFonts w:hint="eastAsia" w:cs="Times New Roman"/>
                <w:b w:val="0"/>
                <w:bCs/>
                <w:color w:val="auto"/>
              </w:rPr>
              <w:t>3.05</w:t>
            </w:r>
          </w:p>
        </w:tc>
        <w:tc>
          <w:tcPr>
            <w:tcW w:w="291" w:type="pct"/>
            <w:tcMar>
              <w:top w:w="0" w:type="dxa"/>
              <w:left w:w="0" w:type="dxa"/>
              <w:bottom w:w="0" w:type="dxa"/>
              <w:right w:w="0" w:type="dxa"/>
            </w:tcMar>
            <w:vAlign w:val="center"/>
          </w:tcPr>
          <w:p w14:paraId="0069669D">
            <w:pPr>
              <w:pStyle w:val="67"/>
              <w:rPr>
                <w:rFonts w:cs="Times New Roman"/>
                <w:b w:val="0"/>
                <w:bCs/>
                <w:color w:val="auto"/>
                <w:highlight w:val="yellow"/>
              </w:rPr>
            </w:pPr>
            <w:r>
              <w:rPr>
                <w:rFonts w:hint="eastAsia" w:cs="Times New Roman"/>
                <w:b w:val="0"/>
                <w:bCs/>
                <w:color w:val="auto"/>
              </w:rPr>
              <w:t>11.35</w:t>
            </w:r>
          </w:p>
        </w:tc>
        <w:tc>
          <w:tcPr>
            <w:tcW w:w="291" w:type="pct"/>
            <w:tcMar>
              <w:top w:w="0" w:type="dxa"/>
              <w:left w:w="0" w:type="dxa"/>
              <w:bottom w:w="0" w:type="dxa"/>
              <w:right w:w="0" w:type="dxa"/>
            </w:tcMar>
            <w:vAlign w:val="center"/>
          </w:tcPr>
          <w:p w14:paraId="66923374">
            <w:pPr>
              <w:pStyle w:val="67"/>
              <w:rPr>
                <w:rFonts w:cs="Times New Roman"/>
                <w:b w:val="0"/>
                <w:bCs/>
                <w:color w:val="auto"/>
                <w:highlight w:val="yellow"/>
              </w:rPr>
            </w:pPr>
            <w:r>
              <w:rPr>
                <w:rFonts w:hint="eastAsia" w:cs="Times New Roman"/>
                <w:b w:val="0"/>
                <w:bCs/>
                <w:color w:val="auto"/>
              </w:rPr>
              <w:t>17.2</w:t>
            </w:r>
          </w:p>
        </w:tc>
        <w:tc>
          <w:tcPr>
            <w:tcW w:w="291" w:type="pct"/>
            <w:tcMar>
              <w:top w:w="0" w:type="dxa"/>
              <w:left w:w="0" w:type="dxa"/>
              <w:bottom w:w="0" w:type="dxa"/>
              <w:right w:w="0" w:type="dxa"/>
            </w:tcMar>
            <w:vAlign w:val="center"/>
          </w:tcPr>
          <w:p w14:paraId="11CCDF9B">
            <w:pPr>
              <w:pStyle w:val="67"/>
              <w:rPr>
                <w:rFonts w:cs="Times New Roman"/>
                <w:b w:val="0"/>
                <w:bCs/>
                <w:color w:val="auto"/>
                <w:highlight w:val="yellow"/>
              </w:rPr>
            </w:pPr>
            <w:r>
              <w:rPr>
                <w:rFonts w:hint="eastAsia" w:cs="Times New Roman"/>
                <w:b w:val="0"/>
                <w:bCs/>
                <w:color w:val="auto"/>
              </w:rPr>
              <w:t>10.7</w:t>
            </w:r>
          </w:p>
        </w:tc>
        <w:tc>
          <w:tcPr>
            <w:tcW w:w="245" w:type="pct"/>
            <w:tcMar>
              <w:top w:w="0" w:type="dxa"/>
              <w:left w:w="0" w:type="dxa"/>
              <w:bottom w:w="0" w:type="dxa"/>
              <w:right w:w="0" w:type="dxa"/>
            </w:tcMar>
            <w:vAlign w:val="center"/>
          </w:tcPr>
          <w:p w14:paraId="7BAB05D6">
            <w:pPr>
              <w:pStyle w:val="67"/>
              <w:rPr>
                <w:rFonts w:cs="Times New Roman"/>
                <w:b w:val="0"/>
                <w:bCs/>
                <w:color w:val="auto"/>
                <w:highlight w:val="yellow"/>
              </w:rPr>
            </w:pPr>
            <w:r>
              <w:rPr>
                <w:rFonts w:hint="eastAsia" w:cs="Times New Roman"/>
                <w:b w:val="0"/>
                <w:bCs/>
                <w:color w:val="auto"/>
              </w:rPr>
              <w:t>3.35</w:t>
            </w:r>
          </w:p>
        </w:tc>
        <w:tc>
          <w:tcPr>
            <w:tcW w:w="228" w:type="pct"/>
            <w:tcMar>
              <w:top w:w="0" w:type="dxa"/>
              <w:left w:w="0" w:type="dxa"/>
              <w:bottom w:w="0" w:type="dxa"/>
              <w:right w:w="0" w:type="dxa"/>
            </w:tcMar>
            <w:vAlign w:val="center"/>
          </w:tcPr>
          <w:p w14:paraId="6B0BDC59">
            <w:pPr>
              <w:pStyle w:val="67"/>
              <w:rPr>
                <w:rFonts w:cs="Times New Roman"/>
                <w:b w:val="0"/>
                <w:bCs/>
                <w:color w:val="auto"/>
                <w:highlight w:val="yellow"/>
              </w:rPr>
            </w:pPr>
            <w:r>
              <w:rPr>
                <w:rFonts w:hint="eastAsia" w:cs="Times New Roman"/>
                <w:b w:val="0"/>
                <w:bCs/>
                <w:color w:val="auto"/>
              </w:rPr>
              <w:t>1.9</w:t>
            </w:r>
          </w:p>
        </w:tc>
        <w:tc>
          <w:tcPr>
            <w:tcW w:w="232" w:type="pct"/>
            <w:tcMar>
              <w:top w:w="0" w:type="dxa"/>
              <w:left w:w="0" w:type="dxa"/>
              <w:bottom w:w="0" w:type="dxa"/>
              <w:right w:w="0" w:type="dxa"/>
            </w:tcMar>
            <w:vAlign w:val="center"/>
          </w:tcPr>
          <w:p w14:paraId="41113B0B">
            <w:pPr>
              <w:pStyle w:val="67"/>
              <w:rPr>
                <w:rFonts w:cs="Times New Roman"/>
                <w:b w:val="0"/>
                <w:bCs/>
                <w:color w:val="auto"/>
                <w:highlight w:val="yellow"/>
              </w:rPr>
            </w:pPr>
            <w:r>
              <w:rPr>
                <w:rFonts w:hint="eastAsia" w:cs="Times New Roman"/>
                <w:b w:val="0"/>
                <w:bCs/>
                <w:color w:val="auto"/>
              </w:rPr>
              <w:t>1.95</w:t>
            </w:r>
          </w:p>
        </w:tc>
        <w:tc>
          <w:tcPr>
            <w:tcW w:w="291" w:type="pct"/>
            <w:tcMar>
              <w:top w:w="0" w:type="dxa"/>
              <w:left w:w="0" w:type="dxa"/>
              <w:bottom w:w="0" w:type="dxa"/>
              <w:right w:w="0" w:type="dxa"/>
            </w:tcMar>
            <w:vAlign w:val="center"/>
          </w:tcPr>
          <w:p w14:paraId="4D12E073">
            <w:pPr>
              <w:pStyle w:val="67"/>
              <w:rPr>
                <w:rFonts w:cs="Times New Roman"/>
                <w:b w:val="0"/>
                <w:bCs/>
                <w:color w:val="auto"/>
                <w:highlight w:val="yellow"/>
              </w:rPr>
            </w:pPr>
            <w:r>
              <w:rPr>
                <w:rFonts w:hint="eastAsia" w:cs="Times New Roman"/>
                <w:b w:val="0"/>
                <w:bCs/>
                <w:color w:val="auto"/>
              </w:rPr>
              <w:t>4.45</w:t>
            </w:r>
          </w:p>
        </w:tc>
        <w:tc>
          <w:tcPr>
            <w:tcW w:w="291" w:type="pct"/>
            <w:tcMar>
              <w:top w:w="0" w:type="dxa"/>
              <w:left w:w="0" w:type="dxa"/>
              <w:bottom w:w="0" w:type="dxa"/>
              <w:right w:w="0" w:type="dxa"/>
            </w:tcMar>
            <w:vAlign w:val="center"/>
          </w:tcPr>
          <w:p w14:paraId="6839723E">
            <w:pPr>
              <w:pStyle w:val="67"/>
              <w:rPr>
                <w:rFonts w:cs="Times New Roman"/>
                <w:b w:val="0"/>
                <w:bCs/>
                <w:color w:val="auto"/>
                <w:highlight w:val="yellow"/>
              </w:rPr>
            </w:pPr>
            <w:r>
              <w:rPr>
                <w:rFonts w:hint="eastAsia" w:cs="Times New Roman"/>
                <w:b w:val="0"/>
                <w:bCs/>
                <w:color w:val="auto"/>
              </w:rPr>
              <w:t>7.25</w:t>
            </w:r>
          </w:p>
        </w:tc>
        <w:tc>
          <w:tcPr>
            <w:tcW w:w="291" w:type="pct"/>
            <w:tcMar>
              <w:top w:w="0" w:type="dxa"/>
              <w:left w:w="0" w:type="dxa"/>
              <w:bottom w:w="0" w:type="dxa"/>
              <w:right w:w="0" w:type="dxa"/>
            </w:tcMar>
            <w:vAlign w:val="center"/>
          </w:tcPr>
          <w:p w14:paraId="7EE0A5E3">
            <w:pPr>
              <w:pStyle w:val="67"/>
              <w:rPr>
                <w:rFonts w:cs="Times New Roman"/>
                <w:b w:val="0"/>
                <w:bCs/>
                <w:color w:val="auto"/>
                <w:highlight w:val="yellow"/>
              </w:rPr>
            </w:pPr>
            <w:r>
              <w:rPr>
                <w:rFonts w:hint="eastAsia" w:cs="Times New Roman"/>
                <w:b w:val="0"/>
                <w:bCs/>
                <w:color w:val="auto"/>
              </w:rPr>
              <w:t>8.45</w:t>
            </w:r>
          </w:p>
        </w:tc>
        <w:tc>
          <w:tcPr>
            <w:tcW w:w="330" w:type="pct"/>
            <w:tcMar>
              <w:top w:w="0" w:type="dxa"/>
              <w:left w:w="0" w:type="dxa"/>
              <w:bottom w:w="0" w:type="dxa"/>
              <w:right w:w="0" w:type="dxa"/>
            </w:tcMar>
            <w:vAlign w:val="center"/>
          </w:tcPr>
          <w:p w14:paraId="0B48EEDA">
            <w:pPr>
              <w:pStyle w:val="67"/>
              <w:rPr>
                <w:rFonts w:cs="Times New Roman"/>
                <w:b w:val="0"/>
                <w:bCs/>
                <w:color w:val="auto"/>
                <w:highlight w:val="yellow"/>
              </w:rPr>
            </w:pPr>
            <w:r>
              <w:rPr>
                <w:rFonts w:hint="eastAsia" w:cs="Times New Roman"/>
                <w:b w:val="0"/>
                <w:bCs/>
                <w:color w:val="auto"/>
              </w:rPr>
              <w:t>8.95</w:t>
            </w:r>
          </w:p>
        </w:tc>
        <w:tc>
          <w:tcPr>
            <w:tcW w:w="228" w:type="pct"/>
            <w:tcMar>
              <w:top w:w="0" w:type="dxa"/>
              <w:left w:w="0" w:type="dxa"/>
              <w:bottom w:w="0" w:type="dxa"/>
              <w:right w:w="0" w:type="dxa"/>
            </w:tcMar>
            <w:vAlign w:val="center"/>
          </w:tcPr>
          <w:p w14:paraId="07FFDE91">
            <w:pPr>
              <w:pStyle w:val="67"/>
              <w:rPr>
                <w:rFonts w:cs="Times New Roman"/>
                <w:b w:val="0"/>
                <w:bCs/>
                <w:color w:val="auto"/>
                <w:highlight w:val="yellow"/>
              </w:rPr>
            </w:pPr>
            <w:r>
              <w:rPr>
                <w:rFonts w:hint="eastAsia" w:cs="Times New Roman"/>
                <w:b w:val="0"/>
                <w:bCs/>
                <w:color w:val="auto"/>
              </w:rPr>
              <w:t>6.75</w:t>
            </w:r>
          </w:p>
        </w:tc>
        <w:tc>
          <w:tcPr>
            <w:tcW w:w="351" w:type="pct"/>
            <w:tcMar>
              <w:top w:w="0" w:type="dxa"/>
              <w:left w:w="0" w:type="dxa"/>
              <w:bottom w:w="0" w:type="dxa"/>
              <w:right w:w="0" w:type="dxa"/>
            </w:tcMar>
            <w:vAlign w:val="center"/>
          </w:tcPr>
          <w:p w14:paraId="7E0A0B15">
            <w:pPr>
              <w:pStyle w:val="67"/>
              <w:rPr>
                <w:rFonts w:cs="Times New Roman"/>
                <w:b w:val="0"/>
                <w:bCs/>
                <w:color w:val="auto"/>
                <w:highlight w:val="yellow"/>
              </w:rPr>
            </w:pPr>
            <w:r>
              <w:rPr>
                <w:rFonts w:hint="eastAsia" w:cs="Times New Roman"/>
                <w:b w:val="0"/>
                <w:bCs/>
                <w:color w:val="auto"/>
              </w:rPr>
              <w:t>3.05</w:t>
            </w:r>
          </w:p>
        </w:tc>
        <w:tc>
          <w:tcPr>
            <w:tcW w:w="239" w:type="pct"/>
            <w:tcMar>
              <w:top w:w="0" w:type="dxa"/>
              <w:left w:w="0" w:type="dxa"/>
              <w:bottom w:w="0" w:type="dxa"/>
              <w:right w:w="0" w:type="dxa"/>
            </w:tcMar>
            <w:vAlign w:val="center"/>
          </w:tcPr>
          <w:p w14:paraId="62581D7D">
            <w:pPr>
              <w:pStyle w:val="67"/>
              <w:rPr>
                <w:rFonts w:cs="Times New Roman"/>
                <w:b w:val="0"/>
                <w:bCs/>
                <w:color w:val="auto"/>
                <w:highlight w:val="yellow"/>
              </w:rPr>
            </w:pPr>
            <w:r>
              <w:rPr>
                <w:rFonts w:hint="eastAsia" w:cs="Times New Roman"/>
                <w:b w:val="0"/>
                <w:bCs/>
                <w:color w:val="auto"/>
              </w:rPr>
              <w:t>1.35</w:t>
            </w:r>
          </w:p>
        </w:tc>
        <w:tc>
          <w:tcPr>
            <w:tcW w:w="333" w:type="pct"/>
            <w:tcMar>
              <w:top w:w="0" w:type="dxa"/>
              <w:left w:w="0" w:type="dxa"/>
              <w:bottom w:w="0" w:type="dxa"/>
              <w:right w:w="0" w:type="dxa"/>
            </w:tcMar>
            <w:vAlign w:val="center"/>
          </w:tcPr>
          <w:p w14:paraId="69701DCC">
            <w:pPr>
              <w:pStyle w:val="67"/>
              <w:rPr>
                <w:rFonts w:cs="Times New Roman"/>
                <w:b w:val="0"/>
                <w:bCs/>
                <w:color w:val="auto"/>
                <w:highlight w:val="yellow"/>
              </w:rPr>
            </w:pPr>
            <w:r>
              <w:rPr>
                <w:rFonts w:hint="eastAsia" w:cs="Times New Roman"/>
                <w:b w:val="0"/>
                <w:bCs/>
                <w:color w:val="auto"/>
              </w:rPr>
              <w:t>1</w:t>
            </w:r>
          </w:p>
        </w:tc>
        <w:tc>
          <w:tcPr>
            <w:tcW w:w="286" w:type="pct"/>
            <w:tcMar>
              <w:top w:w="0" w:type="dxa"/>
              <w:left w:w="0" w:type="dxa"/>
              <w:bottom w:w="0" w:type="dxa"/>
              <w:right w:w="0" w:type="dxa"/>
            </w:tcMar>
            <w:vAlign w:val="center"/>
          </w:tcPr>
          <w:p w14:paraId="0D340FB4">
            <w:pPr>
              <w:pStyle w:val="67"/>
              <w:rPr>
                <w:rFonts w:cs="Times New Roman"/>
                <w:b w:val="0"/>
                <w:bCs/>
                <w:color w:val="auto"/>
                <w:highlight w:val="yellow"/>
              </w:rPr>
            </w:pPr>
            <w:r>
              <w:rPr>
                <w:rFonts w:hint="eastAsia" w:cs="Times New Roman"/>
                <w:b w:val="0"/>
                <w:bCs/>
                <w:color w:val="auto"/>
              </w:rPr>
              <w:t>7.3</w:t>
            </w:r>
          </w:p>
        </w:tc>
      </w:tr>
    </w:tbl>
    <w:p w14:paraId="48A9A7FA">
      <w:pPr>
        <w:ind w:firstLine="480"/>
      </w:pPr>
      <w:r>
        <w:rPr>
          <w:rFonts w:hint="eastAsia"/>
        </w:rPr>
        <w:t>各月风向频率图如下：</w:t>
      </w:r>
    </w:p>
    <w:p w14:paraId="1D3ED0E1">
      <w:pPr>
        <w:pStyle w:val="68"/>
        <w:rPr>
          <w:highlight w:val="yellow"/>
        </w:rPr>
      </w:pPr>
      <w:r>
        <w:drawing>
          <wp:inline distT="0" distB="0" distL="0" distR="0">
            <wp:extent cx="4724400" cy="3666490"/>
            <wp:effectExtent l="0" t="0" r="0" b="10160"/>
            <wp:docPr id="4186505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50503" name="图片 15"/>
                    <pic:cNvPicPr>
                      <a:picLocks noChangeAspect="1" noChangeArrowheads="1"/>
                    </pic:cNvPicPr>
                  </pic:nvPicPr>
                  <pic:blipFill>
                    <a:blip r:embed="rId81"/>
                    <a:srcRect/>
                    <a:stretch>
                      <a:fillRect/>
                    </a:stretch>
                  </pic:blipFill>
                  <pic:spPr>
                    <a:xfrm>
                      <a:off x="0" y="0"/>
                      <a:ext cx="4726856" cy="3666490"/>
                    </a:xfrm>
                    <a:prstGeom prst="rect">
                      <a:avLst/>
                    </a:prstGeom>
                    <a:noFill/>
                    <a:ln>
                      <a:noFill/>
                    </a:ln>
                    <a:effectLst/>
                  </pic:spPr>
                </pic:pic>
              </a:graphicData>
            </a:graphic>
          </wp:inline>
        </w:drawing>
      </w:r>
    </w:p>
    <w:p w14:paraId="1D3ED0E3">
      <w:pPr>
        <w:pStyle w:val="99"/>
        <w:numPr>
          <w:ilvl w:val="0"/>
          <w:numId w:val="26"/>
        </w:numPr>
        <w:ind w:firstLineChars="0"/>
        <w:jc w:val="center"/>
        <w:rPr>
          <w:rFonts w:eastAsia="黑体"/>
        </w:rPr>
      </w:pPr>
      <w:r>
        <w:rPr>
          <w:rFonts w:eastAsia="黑体"/>
        </w:rPr>
        <w:t xml:space="preserve"> </w:t>
      </w:r>
      <w:r>
        <w:rPr>
          <w:rFonts w:hint="eastAsia" w:eastAsia="黑体"/>
        </w:rPr>
        <w:t>新乡20年统计月</w:t>
      </w:r>
      <w:r>
        <w:rPr>
          <w:rFonts w:eastAsia="黑体"/>
        </w:rPr>
        <w:t>风向玫瑰图</w:t>
      </w:r>
    </w:p>
    <w:p w14:paraId="1D3ED1E3">
      <w:pPr>
        <w:ind w:firstLine="480"/>
      </w:pPr>
      <w:r>
        <w:t>（3）风速年际变化特征与周期分析</w:t>
      </w:r>
    </w:p>
    <w:p w14:paraId="1635F3A6">
      <w:pPr>
        <w:ind w:firstLine="480"/>
      </w:pPr>
      <w:r>
        <w:rPr>
          <w:rFonts w:hint="eastAsia"/>
        </w:rPr>
        <w:t>新乡气象站风速表现出上升趋势，其中2021年年平均风速最大（2.46米/秒），2012年平均风速最小（1.83米/秒）。</w:t>
      </w:r>
    </w:p>
    <w:p w14:paraId="1D3ED1E4">
      <w:pPr>
        <w:ind w:firstLine="480"/>
      </w:pPr>
      <w:r>
        <w:rPr>
          <w:rFonts w:hint="eastAsia"/>
        </w:rPr>
        <w:t>新乡近20年风速变化见下图：</w:t>
      </w:r>
    </w:p>
    <w:p w14:paraId="1D3ED1E5">
      <w:pPr>
        <w:pStyle w:val="68"/>
        <w:rPr>
          <w:highlight w:val="yellow"/>
        </w:rPr>
      </w:pPr>
      <w:r>
        <w:rPr>
          <w:rFonts w:hint="eastAsia" w:ascii="Songti SC Regular" w:hAnsi="Songti SC Regular" w:eastAsia="Arial Unicode MS" w:cs="Songti SC Regular"/>
        </w:rPr>
        <w:drawing>
          <wp:inline distT="0" distB="0" distL="0" distR="0">
            <wp:extent cx="4465320" cy="3352800"/>
            <wp:effectExtent l="0" t="0" r="11430" b="0"/>
            <wp:docPr id="2116265871" name="图片 16" descr="年平均风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65871" name="图片 16" descr="年平均风速"/>
                    <pic:cNvPicPr>
                      <a:picLocks noChangeAspect="1" noChangeArrowheads="1"/>
                    </pic:cNvPicPr>
                  </pic:nvPicPr>
                  <pic:blipFill>
                    <a:blip r:embed="rId82"/>
                    <a:srcRect/>
                    <a:stretch>
                      <a:fillRect/>
                    </a:stretch>
                  </pic:blipFill>
                  <pic:spPr>
                    <a:xfrm>
                      <a:off x="0" y="0"/>
                      <a:ext cx="4465320" cy="3352800"/>
                    </a:xfrm>
                    <a:prstGeom prst="rect">
                      <a:avLst/>
                    </a:prstGeom>
                    <a:noFill/>
                    <a:ln>
                      <a:noFill/>
                    </a:ln>
                    <a:effectLst/>
                  </pic:spPr>
                </pic:pic>
              </a:graphicData>
            </a:graphic>
          </wp:inline>
        </w:drawing>
      </w:r>
    </w:p>
    <w:p w14:paraId="1D3ED1E6">
      <w:pPr>
        <w:pStyle w:val="99"/>
        <w:numPr>
          <w:ilvl w:val="0"/>
          <w:numId w:val="26"/>
        </w:numPr>
        <w:ind w:left="0" w:firstLine="0" w:firstLineChars="0"/>
        <w:jc w:val="center"/>
        <w:rPr>
          <w:rFonts w:eastAsia="黑体"/>
        </w:rPr>
      </w:pPr>
      <w:r>
        <w:rPr>
          <w:rFonts w:eastAsia="黑体"/>
        </w:rPr>
        <w:t xml:space="preserve"> </w:t>
      </w:r>
      <w:r>
        <w:rPr>
          <w:rFonts w:hint="eastAsia" w:eastAsia="黑体"/>
        </w:rPr>
        <w:t xml:space="preserve"> 新乡</w:t>
      </w:r>
      <w:r>
        <w:rPr>
          <w:rFonts w:eastAsia="黑体"/>
        </w:rPr>
        <w:t>（200</w:t>
      </w:r>
      <w:r>
        <w:rPr>
          <w:rFonts w:hint="eastAsia" w:eastAsia="黑体"/>
        </w:rPr>
        <w:t>4</w:t>
      </w:r>
      <w:r>
        <w:rPr>
          <w:rFonts w:eastAsia="黑体"/>
        </w:rPr>
        <w:t>-202</w:t>
      </w:r>
      <w:r>
        <w:rPr>
          <w:rFonts w:hint="eastAsia" w:eastAsia="黑体"/>
        </w:rPr>
        <w:t>3</w:t>
      </w:r>
      <w:r>
        <w:rPr>
          <w:rFonts w:eastAsia="黑体"/>
        </w:rPr>
        <w:t>）年平均风速（单位：m/s，虚线为趋势线）</w:t>
      </w:r>
    </w:p>
    <w:p w14:paraId="1D3ED1E7">
      <w:pPr>
        <w:pStyle w:val="6"/>
        <w:ind w:left="0" w:firstLine="482" w:firstLineChars="200"/>
      </w:pPr>
      <w:r>
        <w:t>气象站温度分析</w:t>
      </w:r>
    </w:p>
    <w:p w14:paraId="1D3ED1E8">
      <w:pPr>
        <w:ind w:firstLine="480"/>
      </w:pPr>
      <w:r>
        <w:t>A、月平均气温与极端气温</w:t>
      </w:r>
    </w:p>
    <w:p w14:paraId="1D3ED1E9">
      <w:pPr>
        <w:ind w:firstLine="480"/>
        <w:rPr>
          <w:szCs w:val="24"/>
        </w:rPr>
      </w:pPr>
      <w:r>
        <w:rPr>
          <w:szCs w:val="24"/>
        </w:rPr>
        <w:t>新乡气象站07月气温最高（27.19℃），01月气温最低（0.41℃），近20年极端最高气温出现在20220624（41.5℃），近20年极端最低气温出现在20210107（-16.2℃）。</w:t>
      </w:r>
    </w:p>
    <w:p w14:paraId="1D3ED1EA">
      <w:pPr>
        <w:pStyle w:val="68"/>
        <w:rPr>
          <w:highlight w:val="yellow"/>
        </w:rPr>
      </w:pPr>
      <w:r>
        <w:drawing>
          <wp:inline distT="0" distB="0" distL="0" distR="0">
            <wp:extent cx="4725670" cy="2720340"/>
            <wp:effectExtent l="0" t="0" r="17780" b="3810"/>
            <wp:docPr id="327322894" name="图片 17" descr="累年月平均气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22894" name="图片 17" descr="累年月平均气温"/>
                    <pic:cNvPicPr>
                      <a:picLocks noChangeAspect="1" noChangeArrowheads="1"/>
                    </pic:cNvPicPr>
                  </pic:nvPicPr>
                  <pic:blipFill>
                    <a:blip r:embed="rId83"/>
                    <a:srcRect/>
                    <a:stretch>
                      <a:fillRect/>
                    </a:stretch>
                  </pic:blipFill>
                  <pic:spPr>
                    <a:xfrm>
                      <a:off x="0" y="0"/>
                      <a:ext cx="4728124" cy="2720340"/>
                    </a:xfrm>
                    <a:prstGeom prst="rect">
                      <a:avLst/>
                    </a:prstGeom>
                    <a:noFill/>
                    <a:ln>
                      <a:noFill/>
                    </a:ln>
                    <a:effectLst/>
                  </pic:spPr>
                </pic:pic>
              </a:graphicData>
            </a:graphic>
          </wp:inline>
        </w:drawing>
      </w:r>
    </w:p>
    <w:p w14:paraId="1D3ED1EB">
      <w:pPr>
        <w:pStyle w:val="99"/>
        <w:numPr>
          <w:ilvl w:val="0"/>
          <w:numId w:val="26"/>
        </w:numPr>
        <w:ind w:left="0" w:firstLine="0" w:firstLineChars="0"/>
        <w:jc w:val="center"/>
        <w:rPr>
          <w:rFonts w:eastAsia="黑体"/>
        </w:rPr>
      </w:pPr>
      <w:r>
        <w:rPr>
          <w:rFonts w:hint="eastAsia" w:eastAsia="黑体"/>
        </w:rPr>
        <w:t xml:space="preserve"> 新乡</w:t>
      </w:r>
      <w:r>
        <w:rPr>
          <w:rFonts w:eastAsia="黑体"/>
        </w:rPr>
        <w:t>月平均气温（单位：℃）</w:t>
      </w:r>
    </w:p>
    <w:p w14:paraId="1D3ED1EC">
      <w:pPr>
        <w:ind w:firstLine="480"/>
        <w:rPr>
          <w:szCs w:val="24"/>
        </w:rPr>
      </w:pPr>
      <w:r>
        <w:rPr>
          <w:szCs w:val="24"/>
        </w:rPr>
        <w:t>B、温度年际变化趋势与周期分析</w:t>
      </w:r>
    </w:p>
    <w:p w14:paraId="1D3ED1ED">
      <w:pPr>
        <w:ind w:firstLine="480"/>
      </w:pPr>
      <w:r>
        <w:rPr>
          <w:rFonts w:hint="eastAsia"/>
        </w:rPr>
        <w:t>新乡气象站近20年气温表现出上升趋势，2019年年平均气温最高（16.18℃），2011年年平均气温最低（14.58℃）。新乡近20年年平均气温变化见下图</w:t>
      </w:r>
      <w:r>
        <w:t>。</w:t>
      </w:r>
    </w:p>
    <w:p w14:paraId="1D3ED1EE">
      <w:pPr>
        <w:pStyle w:val="68"/>
        <w:rPr>
          <w:highlight w:val="yellow"/>
        </w:rPr>
      </w:pPr>
      <w:r>
        <w:drawing>
          <wp:inline distT="0" distB="0" distL="0" distR="0">
            <wp:extent cx="4655820" cy="3436620"/>
            <wp:effectExtent l="0" t="0" r="11430" b="11430"/>
            <wp:docPr id="728565774" name="图片 18" descr="年平均气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65774" name="图片 18" descr="年平均气温"/>
                    <pic:cNvPicPr>
                      <a:picLocks noChangeAspect="1" noChangeArrowheads="1"/>
                    </pic:cNvPicPr>
                  </pic:nvPicPr>
                  <pic:blipFill>
                    <a:blip r:embed="rId84"/>
                    <a:srcRect/>
                    <a:stretch>
                      <a:fillRect/>
                    </a:stretch>
                  </pic:blipFill>
                  <pic:spPr>
                    <a:xfrm>
                      <a:off x="0" y="0"/>
                      <a:ext cx="4655820" cy="3438313"/>
                    </a:xfrm>
                    <a:prstGeom prst="rect">
                      <a:avLst/>
                    </a:prstGeom>
                    <a:noFill/>
                    <a:ln>
                      <a:noFill/>
                    </a:ln>
                  </pic:spPr>
                </pic:pic>
              </a:graphicData>
            </a:graphic>
          </wp:inline>
        </w:drawing>
      </w:r>
    </w:p>
    <w:p w14:paraId="1D3ED1EF">
      <w:pPr>
        <w:pStyle w:val="99"/>
        <w:numPr>
          <w:ilvl w:val="0"/>
          <w:numId w:val="26"/>
        </w:numPr>
        <w:ind w:left="0" w:firstLine="0" w:firstLineChars="0"/>
        <w:jc w:val="center"/>
        <w:rPr>
          <w:rFonts w:eastAsia="黑体"/>
        </w:rPr>
      </w:pPr>
      <w:r>
        <w:rPr>
          <w:rFonts w:hint="eastAsia" w:eastAsia="黑体"/>
        </w:rPr>
        <w:t>新乡</w:t>
      </w:r>
      <w:r>
        <w:rPr>
          <w:rFonts w:eastAsia="黑体"/>
        </w:rPr>
        <w:t>（200</w:t>
      </w:r>
      <w:r>
        <w:rPr>
          <w:rFonts w:hint="eastAsia" w:eastAsia="黑体"/>
        </w:rPr>
        <w:t>4</w:t>
      </w:r>
      <w:r>
        <w:rPr>
          <w:rFonts w:eastAsia="黑体"/>
        </w:rPr>
        <w:t>-202</w:t>
      </w:r>
      <w:r>
        <w:rPr>
          <w:rFonts w:hint="eastAsia" w:eastAsia="黑体"/>
        </w:rPr>
        <w:t>3</w:t>
      </w:r>
      <w:r>
        <w:rPr>
          <w:rFonts w:eastAsia="黑体"/>
        </w:rPr>
        <w:t>）年平均气温（单位：℃，虚线为趋势线）</w:t>
      </w:r>
    </w:p>
    <w:p w14:paraId="1D3ED1F0">
      <w:pPr>
        <w:pStyle w:val="6"/>
        <w:ind w:left="0" w:firstLine="482" w:firstLineChars="200"/>
      </w:pPr>
      <w:r>
        <w:t>气象站相对湿度分析</w:t>
      </w:r>
    </w:p>
    <w:p w14:paraId="1D3ED1F1">
      <w:pPr>
        <w:ind w:firstLine="480"/>
      </w:pPr>
      <w:r>
        <w:t>A、月平均降水与极端降水</w:t>
      </w:r>
    </w:p>
    <w:p w14:paraId="1D3ED1F2">
      <w:pPr>
        <w:ind w:firstLine="480"/>
        <w:rPr>
          <w:szCs w:val="24"/>
        </w:rPr>
      </w:pPr>
      <w:r>
        <w:rPr>
          <w:rFonts w:hint="eastAsia"/>
          <w:szCs w:val="24"/>
        </w:rPr>
        <w:t>新乡气象站07月降水量最大（193.42毫米），01月降水量最小（4.50毫米），近20年极端最大日降水出现在20160709（414毫米）</w:t>
      </w:r>
      <w:r>
        <w:rPr>
          <w:szCs w:val="24"/>
        </w:rPr>
        <w:t>。</w:t>
      </w:r>
    </w:p>
    <w:p w14:paraId="1D3ED1F3">
      <w:pPr>
        <w:pStyle w:val="68"/>
        <w:rPr>
          <w:highlight w:val="yellow"/>
        </w:rPr>
      </w:pPr>
      <w:r>
        <w:drawing>
          <wp:inline distT="0" distB="0" distL="0" distR="0">
            <wp:extent cx="5265420" cy="2651760"/>
            <wp:effectExtent l="0" t="0" r="11430" b="15240"/>
            <wp:docPr id="1523855365" name="图片 19" descr="累年月总降水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55365" name="图片 19" descr="累年月总降水量"/>
                    <pic:cNvPicPr>
                      <a:picLocks noChangeAspect="1" noChangeArrowheads="1"/>
                    </pic:cNvPicPr>
                  </pic:nvPicPr>
                  <pic:blipFill>
                    <a:blip r:embed="rId85"/>
                    <a:srcRect/>
                    <a:stretch>
                      <a:fillRect/>
                    </a:stretch>
                  </pic:blipFill>
                  <pic:spPr>
                    <a:xfrm>
                      <a:off x="0" y="0"/>
                      <a:ext cx="5265420" cy="2651760"/>
                    </a:xfrm>
                    <a:prstGeom prst="rect">
                      <a:avLst/>
                    </a:prstGeom>
                    <a:noFill/>
                    <a:ln>
                      <a:noFill/>
                    </a:ln>
                    <a:effectLst/>
                  </pic:spPr>
                </pic:pic>
              </a:graphicData>
            </a:graphic>
          </wp:inline>
        </w:drawing>
      </w:r>
    </w:p>
    <w:p w14:paraId="1D3ED1F4">
      <w:pPr>
        <w:pStyle w:val="99"/>
        <w:numPr>
          <w:ilvl w:val="0"/>
          <w:numId w:val="26"/>
        </w:numPr>
        <w:ind w:left="0" w:firstLine="0" w:firstLineChars="0"/>
        <w:jc w:val="center"/>
        <w:rPr>
          <w:rFonts w:eastAsia="黑体"/>
        </w:rPr>
      </w:pPr>
      <w:r>
        <w:rPr>
          <w:rFonts w:eastAsia="黑体"/>
        </w:rPr>
        <w:t xml:space="preserve">  新乡月平均降水量（单位：毫米）</w:t>
      </w:r>
    </w:p>
    <w:p w14:paraId="1D3ED1F5">
      <w:pPr>
        <w:ind w:firstLine="480"/>
      </w:pPr>
      <w:r>
        <w:t>B、降水年际变化趋势与周期分析</w:t>
      </w:r>
    </w:p>
    <w:p w14:paraId="1D3ED1F6">
      <w:pPr>
        <w:ind w:firstLine="480"/>
      </w:pPr>
      <w:r>
        <w:rPr>
          <w:rFonts w:hint="eastAsia"/>
        </w:rPr>
        <w:t>新乡气象站近20年年降水总量表现出上升趋势，2021年年总降水量最大（1217.0毫米），2012年年总降水量最小（361.3毫米）</w:t>
      </w:r>
      <w:r>
        <w:t>。</w:t>
      </w:r>
    </w:p>
    <w:p w14:paraId="1D3ED1F7">
      <w:pPr>
        <w:pStyle w:val="68"/>
        <w:rPr>
          <w:highlight w:val="yellow"/>
        </w:rPr>
      </w:pPr>
      <w:r>
        <w:drawing>
          <wp:inline distT="0" distB="0" distL="0" distR="0">
            <wp:extent cx="4488180" cy="3429000"/>
            <wp:effectExtent l="0" t="0" r="7620" b="0"/>
            <wp:docPr id="288447155" name="图片 20" descr="年平均降水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47155" name="图片 20" descr="年平均降水量"/>
                    <pic:cNvPicPr>
                      <a:picLocks noChangeAspect="1" noChangeArrowheads="1"/>
                    </pic:cNvPicPr>
                  </pic:nvPicPr>
                  <pic:blipFill>
                    <a:blip r:embed="rId86"/>
                    <a:srcRect/>
                    <a:stretch>
                      <a:fillRect/>
                    </a:stretch>
                  </pic:blipFill>
                  <pic:spPr>
                    <a:xfrm>
                      <a:off x="0" y="0"/>
                      <a:ext cx="4488180" cy="3429000"/>
                    </a:xfrm>
                    <a:prstGeom prst="rect">
                      <a:avLst/>
                    </a:prstGeom>
                    <a:noFill/>
                    <a:ln>
                      <a:noFill/>
                    </a:ln>
                    <a:effectLst/>
                  </pic:spPr>
                </pic:pic>
              </a:graphicData>
            </a:graphic>
          </wp:inline>
        </w:drawing>
      </w:r>
    </w:p>
    <w:p w14:paraId="1D3ED1F8">
      <w:pPr>
        <w:pStyle w:val="99"/>
        <w:numPr>
          <w:ilvl w:val="0"/>
          <w:numId w:val="26"/>
        </w:numPr>
        <w:ind w:left="0" w:firstLine="0" w:firstLineChars="0"/>
        <w:jc w:val="center"/>
        <w:rPr>
          <w:rFonts w:eastAsia="黑体"/>
        </w:rPr>
      </w:pPr>
      <w:r>
        <w:rPr>
          <w:rFonts w:hint="eastAsia" w:eastAsia="黑体"/>
        </w:rPr>
        <w:t xml:space="preserve"> 新乡</w:t>
      </w:r>
      <w:r>
        <w:rPr>
          <w:rFonts w:eastAsia="黑体"/>
        </w:rPr>
        <w:t>（200</w:t>
      </w:r>
      <w:r>
        <w:rPr>
          <w:rFonts w:hint="eastAsia" w:eastAsia="黑体"/>
        </w:rPr>
        <w:t>4</w:t>
      </w:r>
      <w:r>
        <w:rPr>
          <w:rFonts w:eastAsia="黑体"/>
        </w:rPr>
        <w:t>-202</w:t>
      </w:r>
      <w:r>
        <w:rPr>
          <w:rFonts w:hint="eastAsia" w:eastAsia="黑体"/>
        </w:rPr>
        <w:t>3</w:t>
      </w:r>
      <w:r>
        <w:rPr>
          <w:rFonts w:eastAsia="黑体"/>
        </w:rPr>
        <w:t>）年总降水量（单位:mm，虚线为趋势线）</w:t>
      </w:r>
    </w:p>
    <w:p w14:paraId="1D3ED1F9">
      <w:pPr>
        <w:pStyle w:val="6"/>
        <w:ind w:left="0" w:firstLine="482" w:firstLineChars="200"/>
      </w:pPr>
      <w:r>
        <w:t>气象站湿度分析</w:t>
      </w:r>
    </w:p>
    <w:p w14:paraId="1D3ED1FA">
      <w:pPr>
        <w:ind w:firstLine="480"/>
      </w:pPr>
      <w:r>
        <w:t>A、月相对湿度分析</w:t>
      </w:r>
    </w:p>
    <w:p w14:paraId="1D3ED1FB">
      <w:pPr>
        <w:ind w:firstLine="480"/>
        <w:rPr>
          <w:szCs w:val="24"/>
        </w:rPr>
      </w:pPr>
      <w:r>
        <w:rPr>
          <w:rFonts w:hint="eastAsia"/>
          <w:szCs w:val="24"/>
        </w:rPr>
        <w:t>新乡气象站08月平均相对湿度最大（76.59%），03月平均相对湿度最小（52.48%）</w:t>
      </w:r>
      <w:r>
        <w:rPr>
          <w:szCs w:val="24"/>
        </w:rPr>
        <w:t>。</w:t>
      </w:r>
    </w:p>
    <w:p w14:paraId="1D3ED1FC">
      <w:pPr>
        <w:pStyle w:val="68"/>
        <w:rPr>
          <w:highlight w:val="yellow"/>
        </w:rPr>
      </w:pPr>
      <w:r>
        <w:drawing>
          <wp:inline distT="0" distB="0" distL="0" distR="0">
            <wp:extent cx="4457700" cy="2872740"/>
            <wp:effectExtent l="0" t="0" r="0" b="3810"/>
            <wp:docPr id="859393928" name="图片 21" descr="累年月平均相对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93928" name="图片 21" descr="累年月平均相对湿度"/>
                    <pic:cNvPicPr>
                      <a:picLocks noChangeAspect="1" noChangeArrowheads="1"/>
                    </pic:cNvPicPr>
                  </pic:nvPicPr>
                  <pic:blipFill>
                    <a:blip r:embed="rId87"/>
                    <a:srcRect/>
                    <a:stretch>
                      <a:fillRect/>
                    </a:stretch>
                  </pic:blipFill>
                  <pic:spPr>
                    <a:xfrm>
                      <a:off x="0" y="0"/>
                      <a:ext cx="4457700" cy="2872740"/>
                    </a:xfrm>
                    <a:prstGeom prst="rect">
                      <a:avLst/>
                    </a:prstGeom>
                    <a:noFill/>
                    <a:ln>
                      <a:noFill/>
                    </a:ln>
                    <a:effectLst/>
                  </pic:spPr>
                </pic:pic>
              </a:graphicData>
            </a:graphic>
          </wp:inline>
        </w:drawing>
      </w:r>
    </w:p>
    <w:p w14:paraId="1D3ED1FD">
      <w:pPr>
        <w:pStyle w:val="99"/>
        <w:numPr>
          <w:ilvl w:val="0"/>
          <w:numId w:val="26"/>
        </w:numPr>
        <w:ind w:left="0" w:firstLine="0" w:firstLineChars="0"/>
        <w:jc w:val="center"/>
        <w:rPr>
          <w:rFonts w:eastAsia="黑体"/>
        </w:rPr>
      </w:pPr>
      <w:r>
        <w:rPr>
          <w:rFonts w:eastAsia="黑体"/>
        </w:rPr>
        <w:t xml:space="preserve">  </w:t>
      </w:r>
      <w:r>
        <w:rPr>
          <w:rFonts w:hint="eastAsia" w:eastAsia="黑体"/>
        </w:rPr>
        <w:t>新乡</w:t>
      </w:r>
      <w:r>
        <w:rPr>
          <w:rFonts w:eastAsia="黑体"/>
        </w:rPr>
        <w:t>月平均相对湿度（纵轴为百分比）</w:t>
      </w:r>
    </w:p>
    <w:p w14:paraId="1D3ED1FE">
      <w:pPr>
        <w:ind w:firstLine="480"/>
      </w:pPr>
      <w:r>
        <w:t>B、相对湿度年际变化趋势与周期分析</w:t>
      </w:r>
    </w:p>
    <w:p w14:paraId="1D3ED1FF">
      <w:pPr>
        <w:ind w:firstLine="480"/>
      </w:pPr>
      <w:r>
        <w:rPr>
          <w:rFonts w:hint="eastAsia"/>
        </w:rPr>
        <w:t>新乡气象站近20年年平均相对湿度表现出上升趋势，2022年年平均相对湿度最大（67.9%），2019年年平均相对湿度最小（57.82%）。新乡近20年</w:t>
      </w:r>
      <w:r>
        <w:t>年平均相对湿度</w:t>
      </w:r>
      <w:r>
        <w:rPr>
          <w:rFonts w:hint="eastAsia"/>
        </w:rPr>
        <w:t>变化见下图。</w:t>
      </w:r>
    </w:p>
    <w:p w14:paraId="1D3ED200">
      <w:pPr>
        <w:pStyle w:val="68"/>
        <w:rPr>
          <w:highlight w:val="yellow"/>
        </w:rPr>
      </w:pPr>
      <w:r>
        <w:rPr>
          <w:rFonts w:hint="eastAsia" w:ascii="Songti SC Regular" w:hAnsi="Songti SC Regular" w:eastAsia="Arial Unicode MS" w:cs="Songti SC Regular"/>
        </w:rPr>
        <w:drawing>
          <wp:inline distT="0" distB="0" distL="0" distR="0">
            <wp:extent cx="5020945" cy="3863340"/>
            <wp:effectExtent l="0" t="0" r="8255" b="3810"/>
            <wp:docPr id="688409901" name="图片 22" descr="年平均相对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09901" name="图片 22" descr="年平均相对湿度"/>
                    <pic:cNvPicPr>
                      <a:picLocks noChangeAspect="1" noChangeArrowheads="1"/>
                    </pic:cNvPicPr>
                  </pic:nvPicPr>
                  <pic:blipFill>
                    <a:blip r:embed="rId88"/>
                    <a:srcRect/>
                    <a:stretch>
                      <a:fillRect/>
                    </a:stretch>
                  </pic:blipFill>
                  <pic:spPr>
                    <a:xfrm>
                      <a:off x="0" y="0"/>
                      <a:ext cx="5029646" cy="3863340"/>
                    </a:xfrm>
                    <a:prstGeom prst="rect">
                      <a:avLst/>
                    </a:prstGeom>
                    <a:noFill/>
                    <a:ln>
                      <a:noFill/>
                    </a:ln>
                    <a:effectLst/>
                  </pic:spPr>
                </pic:pic>
              </a:graphicData>
            </a:graphic>
          </wp:inline>
        </w:drawing>
      </w:r>
    </w:p>
    <w:p w14:paraId="1D3ED201">
      <w:pPr>
        <w:pStyle w:val="99"/>
        <w:numPr>
          <w:ilvl w:val="0"/>
          <w:numId w:val="26"/>
        </w:numPr>
        <w:ind w:left="0" w:firstLine="0" w:firstLineChars="0"/>
        <w:jc w:val="center"/>
        <w:rPr>
          <w:rFonts w:eastAsia="黑体"/>
        </w:rPr>
      </w:pPr>
      <w:r>
        <w:rPr>
          <w:rFonts w:hint="eastAsia" w:eastAsia="黑体"/>
        </w:rPr>
        <w:t xml:space="preserve"> 新乡（2004-2023）</w:t>
      </w:r>
      <w:r>
        <w:rPr>
          <w:rFonts w:eastAsia="黑体"/>
        </w:rPr>
        <w:t>年平均相对湿度（纵轴为百分比，虚线为趋势线）</w:t>
      </w:r>
    </w:p>
    <w:p w14:paraId="758AD4A4">
      <w:pPr>
        <w:pStyle w:val="6"/>
        <w:ind w:left="0" w:firstLine="482" w:firstLineChars="200"/>
      </w:pPr>
      <w:r>
        <w:rPr>
          <w:rFonts w:hint="eastAsia"/>
        </w:rPr>
        <w:t>地面逐时气象数据</w:t>
      </w:r>
    </w:p>
    <w:p w14:paraId="545240DC">
      <w:pPr>
        <w:ind w:firstLine="480"/>
      </w:pPr>
      <w:r>
        <w:rPr>
          <w:rFonts w:hint="eastAsia"/>
        </w:rPr>
        <w:t>本次评价选取20</w:t>
      </w:r>
      <w:r>
        <w:t>2</w:t>
      </w:r>
      <w:r>
        <w:rPr>
          <w:rFonts w:hint="eastAsia"/>
        </w:rPr>
        <w:t>3年全年作为评价基准年进行分析，近年地面气象资料采用</w:t>
      </w:r>
      <w:r>
        <w:t>202</w:t>
      </w:r>
      <w:r>
        <w:rPr>
          <w:rFonts w:hint="eastAsia"/>
        </w:rPr>
        <w:t>3年新乡气象观测站逐时逐次的观测结果。</w:t>
      </w:r>
    </w:p>
    <w:p w14:paraId="15CAC351">
      <w:pPr>
        <w:ind w:firstLine="480"/>
      </w:pPr>
      <w:r>
        <w:rPr>
          <w:rFonts w:hint="eastAsia"/>
        </w:rPr>
        <w:t>（1）温度</w:t>
      </w:r>
    </w:p>
    <w:p w14:paraId="1F41619C">
      <w:pPr>
        <w:ind w:firstLine="480"/>
      </w:pPr>
      <w:r>
        <w:rPr>
          <w:rFonts w:hint="eastAsia"/>
        </w:rPr>
        <w:t>各月平均气温统计结果分别见下表。</w:t>
      </w:r>
    </w:p>
    <w:p w14:paraId="1D3ED206">
      <w:pPr>
        <w:pStyle w:val="64"/>
        <w:numPr>
          <w:ilvl w:val="2"/>
          <w:numId w:val="25"/>
        </w:numPr>
        <w:spacing w:before="120"/>
        <w:ind w:left="0" w:firstLine="480" w:firstLineChars="200"/>
      </w:pP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平均气温的月变化</w:t>
      </w:r>
      <w:r>
        <w:rPr>
          <w:rFonts w:hint="eastAsia"/>
        </w:rPr>
        <w:t xml:space="preserve">                  </w:t>
      </w:r>
      <w:r>
        <w:t>(℃)</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62"/>
        <w:gridCol w:w="554"/>
        <w:gridCol w:w="550"/>
        <w:gridCol w:w="661"/>
        <w:gridCol w:w="661"/>
        <w:gridCol w:w="660"/>
        <w:gridCol w:w="717"/>
        <w:gridCol w:w="660"/>
        <w:gridCol w:w="642"/>
        <w:gridCol w:w="649"/>
        <w:gridCol w:w="642"/>
        <w:gridCol w:w="685"/>
        <w:gridCol w:w="626"/>
      </w:tblGrid>
      <w:tr w14:paraId="1D3ED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56" w:type="dxa"/>
            <w:noWrap/>
            <w:vAlign w:val="center"/>
          </w:tcPr>
          <w:p w14:paraId="1D3ED207">
            <w:pPr>
              <w:pStyle w:val="67"/>
              <w:rPr>
                <w:rFonts w:cs="Times New Roman"/>
                <w:color w:val="auto"/>
              </w:rPr>
            </w:pPr>
            <w:r>
              <w:rPr>
                <w:rFonts w:cs="Times New Roman"/>
                <w:color w:val="auto"/>
              </w:rPr>
              <w:t>月份</w:t>
            </w:r>
          </w:p>
        </w:tc>
        <w:tc>
          <w:tcPr>
            <w:tcW w:w="549" w:type="dxa"/>
            <w:noWrap/>
            <w:vAlign w:val="center"/>
          </w:tcPr>
          <w:p w14:paraId="1D3ED208">
            <w:pPr>
              <w:pStyle w:val="67"/>
              <w:rPr>
                <w:rFonts w:cs="Times New Roman"/>
                <w:color w:val="auto"/>
              </w:rPr>
            </w:pPr>
            <w:r>
              <w:rPr>
                <w:rFonts w:cs="Times New Roman"/>
                <w:color w:val="auto"/>
              </w:rPr>
              <w:t>1月</w:t>
            </w:r>
          </w:p>
        </w:tc>
        <w:tc>
          <w:tcPr>
            <w:tcW w:w="545" w:type="dxa"/>
            <w:noWrap/>
            <w:vAlign w:val="center"/>
          </w:tcPr>
          <w:p w14:paraId="1D3ED209">
            <w:pPr>
              <w:pStyle w:val="67"/>
              <w:rPr>
                <w:rFonts w:cs="Times New Roman"/>
                <w:color w:val="auto"/>
              </w:rPr>
            </w:pPr>
            <w:r>
              <w:rPr>
                <w:rFonts w:cs="Times New Roman"/>
                <w:color w:val="auto"/>
              </w:rPr>
              <w:t>2月</w:t>
            </w:r>
          </w:p>
        </w:tc>
        <w:tc>
          <w:tcPr>
            <w:tcW w:w="655" w:type="dxa"/>
            <w:noWrap/>
            <w:vAlign w:val="center"/>
          </w:tcPr>
          <w:p w14:paraId="1D3ED20A">
            <w:pPr>
              <w:pStyle w:val="67"/>
              <w:rPr>
                <w:rFonts w:cs="Times New Roman"/>
                <w:color w:val="auto"/>
              </w:rPr>
            </w:pPr>
            <w:r>
              <w:rPr>
                <w:rFonts w:cs="Times New Roman"/>
                <w:color w:val="auto"/>
              </w:rPr>
              <w:t>3月</w:t>
            </w:r>
          </w:p>
        </w:tc>
        <w:tc>
          <w:tcPr>
            <w:tcW w:w="655" w:type="dxa"/>
            <w:noWrap/>
            <w:vAlign w:val="center"/>
          </w:tcPr>
          <w:p w14:paraId="1D3ED20B">
            <w:pPr>
              <w:pStyle w:val="67"/>
              <w:rPr>
                <w:rFonts w:cs="Times New Roman"/>
                <w:color w:val="auto"/>
              </w:rPr>
            </w:pPr>
            <w:r>
              <w:rPr>
                <w:rFonts w:cs="Times New Roman"/>
                <w:color w:val="auto"/>
              </w:rPr>
              <w:t>4月</w:t>
            </w:r>
          </w:p>
        </w:tc>
        <w:tc>
          <w:tcPr>
            <w:tcW w:w="654" w:type="dxa"/>
            <w:noWrap/>
            <w:vAlign w:val="center"/>
          </w:tcPr>
          <w:p w14:paraId="1D3ED20C">
            <w:pPr>
              <w:pStyle w:val="67"/>
              <w:rPr>
                <w:rFonts w:cs="Times New Roman"/>
                <w:color w:val="auto"/>
              </w:rPr>
            </w:pPr>
            <w:r>
              <w:rPr>
                <w:rFonts w:cs="Times New Roman"/>
                <w:color w:val="auto"/>
              </w:rPr>
              <w:t>5月</w:t>
            </w:r>
          </w:p>
        </w:tc>
        <w:tc>
          <w:tcPr>
            <w:tcW w:w="710" w:type="dxa"/>
            <w:noWrap/>
            <w:vAlign w:val="center"/>
          </w:tcPr>
          <w:p w14:paraId="1D3ED20D">
            <w:pPr>
              <w:pStyle w:val="67"/>
              <w:rPr>
                <w:rFonts w:cs="Times New Roman"/>
                <w:color w:val="auto"/>
              </w:rPr>
            </w:pPr>
            <w:r>
              <w:rPr>
                <w:rFonts w:cs="Times New Roman"/>
                <w:color w:val="auto"/>
              </w:rPr>
              <w:t>6月</w:t>
            </w:r>
          </w:p>
        </w:tc>
        <w:tc>
          <w:tcPr>
            <w:tcW w:w="654" w:type="dxa"/>
            <w:noWrap/>
            <w:vAlign w:val="center"/>
          </w:tcPr>
          <w:p w14:paraId="1D3ED20E">
            <w:pPr>
              <w:pStyle w:val="67"/>
              <w:rPr>
                <w:rFonts w:cs="Times New Roman"/>
                <w:color w:val="auto"/>
              </w:rPr>
            </w:pPr>
            <w:r>
              <w:rPr>
                <w:rFonts w:cs="Times New Roman"/>
                <w:color w:val="auto"/>
              </w:rPr>
              <w:t>7月</w:t>
            </w:r>
          </w:p>
        </w:tc>
        <w:tc>
          <w:tcPr>
            <w:tcW w:w="636" w:type="dxa"/>
            <w:noWrap/>
            <w:vAlign w:val="center"/>
          </w:tcPr>
          <w:p w14:paraId="1D3ED20F">
            <w:pPr>
              <w:pStyle w:val="67"/>
              <w:rPr>
                <w:rFonts w:cs="Times New Roman"/>
                <w:color w:val="auto"/>
              </w:rPr>
            </w:pPr>
            <w:r>
              <w:rPr>
                <w:rFonts w:cs="Times New Roman"/>
                <w:color w:val="auto"/>
              </w:rPr>
              <w:t>8月</w:t>
            </w:r>
          </w:p>
        </w:tc>
        <w:tc>
          <w:tcPr>
            <w:tcW w:w="643" w:type="dxa"/>
            <w:noWrap/>
            <w:vAlign w:val="center"/>
          </w:tcPr>
          <w:p w14:paraId="1D3ED210">
            <w:pPr>
              <w:pStyle w:val="67"/>
              <w:rPr>
                <w:rFonts w:cs="Times New Roman"/>
                <w:color w:val="auto"/>
              </w:rPr>
            </w:pPr>
            <w:r>
              <w:rPr>
                <w:rFonts w:cs="Times New Roman"/>
                <w:color w:val="auto"/>
              </w:rPr>
              <w:t>9月</w:t>
            </w:r>
          </w:p>
        </w:tc>
        <w:tc>
          <w:tcPr>
            <w:tcW w:w="636" w:type="dxa"/>
            <w:noWrap/>
            <w:vAlign w:val="center"/>
          </w:tcPr>
          <w:p w14:paraId="1D3ED211">
            <w:pPr>
              <w:pStyle w:val="67"/>
              <w:rPr>
                <w:rFonts w:cs="Times New Roman"/>
                <w:color w:val="auto"/>
              </w:rPr>
            </w:pPr>
            <w:r>
              <w:rPr>
                <w:rFonts w:cs="Times New Roman"/>
                <w:color w:val="auto"/>
              </w:rPr>
              <w:t>10月</w:t>
            </w:r>
          </w:p>
        </w:tc>
        <w:tc>
          <w:tcPr>
            <w:tcW w:w="679" w:type="dxa"/>
            <w:noWrap/>
            <w:vAlign w:val="center"/>
          </w:tcPr>
          <w:p w14:paraId="1D3ED212">
            <w:pPr>
              <w:pStyle w:val="67"/>
              <w:rPr>
                <w:rFonts w:cs="Times New Roman"/>
                <w:color w:val="auto"/>
              </w:rPr>
            </w:pPr>
            <w:r>
              <w:rPr>
                <w:rFonts w:cs="Times New Roman"/>
                <w:color w:val="auto"/>
              </w:rPr>
              <w:t>11月</w:t>
            </w:r>
          </w:p>
        </w:tc>
        <w:tc>
          <w:tcPr>
            <w:tcW w:w="620" w:type="dxa"/>
            <w:noWrap/>
            <w:vAlign w:val="center"/>
          </w:tcPr>
          <w:p w14:paraId="1D3ED213">
            <w:pPr>
              <w:pStyle w:val="67"/>
              <w:rPr>
                <w:rFonts w:cs="Times New Roman"/>
                <w:color w:val="auto"/>
              </w:rPr>
            </w:pPr>
            <w:r>
              <w:rPr>
                <w:rFonts w:cs="Times New Roman"/>
                <w:color w:val="auto"/>
              </w:rPr>
              <w:t>12月</w:t>
            </w:r>
          </w:p>
        </w:tc>
      </w:tr>
      <w:tr w14:paraId="1D3ED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56" w:type="dxa"/>
            <w:noWrap/>
            <w:vAlign w:val="center"/>
          </w:tcPr>
          <w:p w14:paraId="1D3ED215">
            <w:pPr>
              <w:pStyle w:val="62"/>
            </w:pPr>
            <w:r>
              <w:t>温度(℃)</w:t>
            </w:r>
          </w:p>
        </w:tc>
        <w:tc>
          <w:tcPr>
            <w:tcW w:w="549" w:type="dxa"/>
            <w:noWrap/>
            <w:vAlign w:val="center"/>
          </w:tcPr>
          <w:p w14:paraId="1D3ED216">
            <w:pPr>
              <w:pStyle w:val="62"/>
              <w:rPr>
                <w:highlight w:val="yellow"/>
              </w:rPr>
            </w:pPr>
            <w:r>
              <w:t>1.55</w:t>
            </w:r>
          </w:p>
        </w:tc>
        <w:tc>
          <w:tcPr>
            <w:tcW w:w="545" w:type="dxa"/>
            <w:noWrap/>
            <w:vAlign w:val="center"/>
          </w:tcPr>
          <w:p w14:paraId="1D3ED217">
            <w:pPr>
              <w:pStyle w:val="62"/>
              <w:rPr>
                <w:highlight w:val="yellow"/>
              </w:rPr>
            </w:pPr>
            <w:r>
              <w:t>4.85</w:t>
            </w:r>
          </w:p>
        </w:tc>
        <w:tc>
          <w:tcPr>
            <w:tcW w:w="655" w:type="dxa"/>
            <w:noWrap/>
            <w:vAlign w:val="center"/>
          </w:tcPr>
          <w:p w14:paraId="1D3ED218">
            <w:pPr>
              <w:pStyle w:val="62"/>
              <w:rPr>
                <w:highlight w:val="yellow"/>
              </w:rPr>
            </w:pPr>
            <w:r>
              <w:t>12.64</w:t>
            </w:r>
          </w:p>
        </w:tc>
        <w:tc>
          <w:tcPr>
            <w:tcW w:w="655" w:type="dxa"/>
            <w:noWrap/>
            <w:vAlign w:val="center"/>
          </w:tcPr>
          <w:p w14:paraId="1D3ED219">
            <w:pPr>
              <w:pStyle w:val="62"/>
              <w:rPr>
                <w:highlight w:val="yellow"/>
              </w:rPr>
            </w:pPr>
            <w:r>
              <w:t>15.81</w:t>
            </w:r>
          </w:p>
        </w:tc>
        <w:tc>
          <w:tcPr>
            <w:tcW w:w="654" w:type="dxa"/>
            <w:noWrap/>
            <w:vAlign w:val="center"/>
          </w:tcPr>
          <w:p w14:paraId="1D3ED21A">
            <w:pPr>
              <w:pStyle w:val="62"/>
              <w:rPr>
                <w:highlight w:val="yellow"/>
              </w:rPr>
            </w:pPr>
            <w:r>
              <w:t>20.76</w:t>
            </w:r>
          </w:p>
        </w:tc>
        <w:tc>
          <w:tcPr>
            <w:tcW w:w="710" w:type="dxa"/>
            <w:noWrap/>
            <w:vAlign w:val="center"/>
          </w:tcPr>
          <w:p w14:paraId="1D3ED21B">
            <w:pPr>
              <w:pStyle w:val="62"/>
              <w:rPr>
                <w:highlight w:val="yellow"/>
              </w:rPr>
            </w:pPr>
            <w:r>
              <w:t>27.20</w:t>
            </w:r>
          </w:p>
        </w:tc>
        <w:tc>
          <w:tcPr>
            <w:tcW w:w="654" w:type="dxa"/>
            <w:noWrap/>
            <w:vAlign w:val="center"/>
          </w:tcPr>
          <w:p w14:paraId="1D3ED21C">
            <w:pPr>
              <w:pStyle w:val="62"/>
              <w:rPr>
                <w:highlight w:val="yellow"/>
              </w:rPr>
            </w:pPr>
            <w:r>
              <w:t>28.86</w:t>
            </w:r>
          </w:p>
        </w:tc>
        <w:tc>
          <w:tcPr>
            <w:tcW w:w="636" w:type="dxa"/>
            <w:noWrap/>
            <w:vAlign w:val="center"/>
          </w:tcPr>
          <w:p w14:paraId="1D3ED21D">
            <w:pPr>
              <w:pStyle w:val="62"/>
              <w:rPr>
                <w:highlight w:val="yellow"/>
              </w:rPr>
            </w:pPr>
            <w:r>
              <w:t>26.90</w:t>
            </w:r>
          </w:p>
        </w:tc>
        <w:tc>
          <w:tcPr>
            <w:tcW w:w="643" w:type="dxa"/>
            <w:noWrap/>
            <w:vAlign w:val="center"/>
          </w:tcPr>
          <w:p w14:paraId="1D3ED21E">
            <w:pPr>
              <w:pStyle w:val="62"/>
              <w:rPr>
                <w:highlight w:val="yellow"/>
              </w:rPr>
            </w:pPr>
            <w:r>
              <w:t>23.18</w:t>
            </w:r>
          </w:p>
        </w:tc>
        <w:tc>
          <w:tcPr>
            <w:tcW w:w="636" w:type="dxa"/>
            <w:noWrap/>
            <w:vAlign w:val="center"/>
          </w:tcPr>
          <w:p w14:paraId="1D3ED21F">
            <w:pPr>
              <w:pStyle w:val="62"/>
              <w:rPr>
                <w:highlight w:val="yellow"/>
              </w:rPr>
            </w:pPr>
            <w:r>
              <w:t>17.67</w:t>
            </w:r>
          </w:p>
        </w:tc>
        <w:tc>
          <w:tcPr>
            <w:tcW w:w="679" w:type="dxa"/>
            <w:noWrap/>
            <w:vAlign w:val="center"/>
          </w:tcPr>
          <w:p w14:paraId="1D3ED220">
            <w:pPr>
              <w:pStyle w:val="62"/>
              <w:rPr>
                <w:highlight w:val="yellow"/>
              </w:rPr>
            </w:pPr>
            <w:r>
              <w:t>8.72</w:t>
            </w:r>
          </w:p>
        </w:tc>
        <w:tc>
          <w:tcPr>
            <w:tcW w:w="620" w:type="dxa"/>
            <w:noWrap/>
            <w:vAlign w:val="center"/>
          </w:tcPr>
          <w:p w14:paraId="1D3ED221">
            <w:pPr>
              <w:pStyle w:val="62"/>
              <w:rPr>
                <w:highlight w:val="yellow"/>
              </w:rPr>
            </w:pPr>
            <w:r>
              <w:t>0.2</w:t>
            </w:r>
          </w:p>
        </w:tc>
      </w:tr>
    </w:tbl>
    <w:p w14:paraId="1D3ED223">
      <w:pPr>
        <w:ind w:firstLine="480"/>
      </w:pPr>
      <w:r>
        <w:rPr>
          <w:rFonts w:hint="eastAsia"/>
        </w:rPr>
        <w:t>由表可见：该地2023年平均气温15.75℃。其中1月至3月份、11月至12月的平均气温在年均值以下，以12月份最低，4月至10月份的平均气温在年均值以上，以7月份最高</w:t>
      </w:r>
      <w:r>
        <w:t>。</w:t>
      </w:r>
    </w:p>
    <w:p w14:paraId="1D3ED224">
      <w:pPr>
        <w:ind w:firstLine="480"/>
      </w:pPr>
      <w:r>
        <w:t>（2）风速</w:t>
      </w:r>
    </w:p>
    <w:p w14:paraId="1D3ED226">
      <w:pPr>
        <w:ind w:firstLine="480"/>
      </w:pPr>
      <w:bookmarkStart w:id="272" w:name="_Ref113461247"/>
      <w:r>
        <w:rPr>
          <w:rFonts w:hint="eastAsia"/>
        </w:rPr>
        <w:t>地面风速资料采用新乡气象观测站电接风每日</w:t>
      </w:r>
      <w:r>
        <w:t>4</w:t>
      </w:r>
      <w:r>
        <w:rPr>
          <w:rFonts w:hint="eastAsia"/>
        </w:rPr>
        <w:t>次自记记录资料，该地</w:t>
      </w:r>
      <w:r>
        <w:t>202</w:t>
      </w:r>
      <w:r>
        <w:rPr>
          <w:rFonts w:hint="eastAsia"/>
        </w:rPr>
        <w:t>3</w:t>
      </w:r>
      <w:r>
        <w:t>年平均风速2.</w:t>
      </w:r>
      <w:r>
        <w:rPr>
          <w:rFonts w:hint="eastAsia"/>
        </w:rPr>
        <w:t>42</w:t>
      </w:r>
      <w:r>
        <w:t>m/s。将202</w:t>
      </w:r>
      <w:r>
        <w:rPr>
          <w:rFonts w:hint="eastAsia"/>
        </w:rPr>
        <w:t>3</w:t>
      </w:r>
      <w:r>
        <w:t>年及各月平均风速统计结果见下表。</w:t>
      </w:r>
    </w:p>
    <w:bookmarkEnd w:id="272"/>
    <w:p w14:paraId="1D3ED227">
      <w:pPr>
        <w:pStyle w:val="64"/>
        <w:numPr>
          <w:ilvl w:val="2"/>
          <w:numId w:val="25"/>
        </w:numPr>
        <w:spacing w:before="120"/>
        <w:ind w:left="0" w:firstLine="480" w:firstLineChars="200"/>
      </w:pPr>
      <w:r>
        <w:t xml:space="preserve">            202</w:t>
      </w:r>
      <w:r>
        <w:rPr>
          <w:rFonts w:hint="eastAsia"/>
        </w:rPr>
        <w:t>3</w:t>
      </w:r>
      <w:r>
        <w:t>年及各月平均风速               （m/s）</w:t>
      </w:r>
    </w:p>
    <w:tbl>
      <w:tblPr>
        <w:tblStyle w:val="41"/>
        <w:tblW w:w="506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0"/>
        <w:gridCol w:w="620"/>
        <w:gridCol w:w="620"/>
        <w:gridCol w:w="619"/>
        <w:gridCol w:w="618"/>
        <w:gridCol w:w="617"/>
        <w:gridCol w:w="617"/>
        <w:gridCol w:w="617"/>
        <w:gridCol w:w="617"/>
        <w:gridCol w:w="617"/>
        <w:gridCol w:w="793"/>
        <w:gridCol w:w="793"/>
        <w:gridCol w:w="793"/>
      </w:tblGrid>
      <w:tr w14:paraId="1D3ED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shd w:val="clear" w:color="auto" w:fill="auto"/>
            <w:noWrap/>
            <w:vAlign w:val="center"/>
          </w:tcPr>
          <w:p w14:paraId="1D3ED228">
            <w:pPr>
              <w:pStyle w:val="67"/>
              <w:rPr>
                <w:rFonts w:cs="Times New Roman"/>
                <w:color w:val="auto"/>
                <w:sz w:val="24"/>
              </w:rPr>
            </w:pPr>
            <w:r>
              <w:rPr>
                <w:rFonts w:cs="Times New Roman"/>
                <w:color w:val="auto"/>
              </w:rPr>
              <w:t>月份</w:t>
            </w:r>
          </w:p>
        </w:tc>
        <w:tc>
          <w:tcPr>
            <w:tcW w:w="603" w:type="dxa"/>
            <w:shd w:val="clear" w:color="auto" w:fill="auto"/>
            <w:noWrap/>
            <w:vAlign w:val="center"/>
          </w:tcPr>
          <w:p w14:paraId="1D3ED229">
            <w:pPr>
              <w:pStyle w:val="67"/>
              <w:rPr>
                <w:rFonts w:cs="Times New Roman"/>
                <w:color w:val="auto"/>
                <w:sz w:val="24"/>
              </w:rPr>
            </w:pPr>
            <w:r>
              <w:rPr>
                <w:rFonts w:cs="Times New Roman"/>
                <w:color w:val="auto"/>
              </w:rPr>
              <w:t>1月</w:t>
            </w:r>
          </w:p>
        </w:tc>
        <w:tc>
          <w:tcPr>
            <w:tcW w:w="603" w:type="dxa"/>
            <w:shd w:val="clear" w:color="auto" w:fill="auto"/>
            <w:noWrap/>
            <w:vAlign w:val="center"/>
          </w:tcPr>
          <w:p w14:paraId="1D3ED22A">
            <w:pPr>
              <w:pStyle w:val="67"/>
              <w:rPr>
                <w:rFonts w:cs="Times New Roman"/>
                <w:color w:val="auto"/>
                <w:sz w:val="24"/>
              </w:rPr>
            </w:pPr>
            <w:r>
              <w:rPr>
                <w:rFonts w:cs="Times New Roman"/>
                <w:color w:val="auto"/>
              </w:rPr>
              <w:t>2月</w:t>
            </w:r>
          </w:p>
        </w:tc>
        <w:tc>
          <w:tcPr>
            <w:tcW w:w="602" w:type="dxa"/>
            <w:shd w:val="clear" w:color="auto" w:fill="auto"/>
            <w:noWrap/>
            <w:vAlign w:val="center"/>
          </w:tcPr>
          <w:p w14:paraId="1D3ED22B">
            <w:pPr>
              <w:pStyle w:val="67"/>
              <w:rPr>
                <w:rFonts w:cs="Times New Roman"/>
                <w:color w:val="auto"/>
                <w:sz w:val="24"/>
              </w:rPr>
            </w:pPr>
            <w:r>
              <w:rPr>
                <w:rFonts w:cs="Times New Roman"/>
                <w:color w:val="auto"/>
              </w:rPr>
              <w:t>3月</w:t>
            </w:r>
          </w:p>
        </w:tc>
        <w:tc>
          <w:tcPr>
            <w:tcW w:w="601" w:type="dxa"/>
            <w:shd w:val="clear" w:color="auto" w:fill="auto"/>
            <w:noWrap/>
            <w:vAlign w:val="center"/>
          </w:tcPr>
          <w:p w14:paraId="1D3ED22C">
            <w:pPr>
              <w:pStyle w:val="67"/>
              <w:rPr>
                <w:rFonts w:cs="Times New Roman"/>
                <w:color w:val="auto"/>
                <w:sz w:val="24"/>
              </w:rPr>
            </w:pPr>
            <w:r>
              <w:rPr>
                <w:rFonts w:cs="Times New Roman"/>
                <w:color w:val="auto"/>
              </w:rPr>
              <w:t>4月</w:t>
            </w:r>
          </w:p>
        </w:tc>
        <w:tc>
          <w:tcPr>
            <w:tcW w:w="600" w:type="dxa"/>
            <w:shd w:val="clear" w:color="auto" w:fill="auto"/>
            <w:noWrap/>
            <w:vAlign w:val="center"/>
          </w:tcPr>
          <w:p w14:paraId="1D3ED22D">
            <w:pPr>
              <w:pStyle w:val="67"/>
              <w:rPr>
                <w:rFonts w:cs="Times New Roman"/>
                <w:color w:val="auto"/>
                <w:sz w:val="24"/>
              </w:rPr>
            </w:pPr>
            <w:r>
              <w:rPr>
                <w:rFonts w:cs="Times New Roman"/>
                <w:color w:val="auto"/>
              </w:rPr>
              <w:t>5月</w:t>
            </w:r>
          </w:p>
        </w:tc>
        <w:tc>
          <w:tcPr>
            <w:tcW w:w="600" w:type="dxa"/>
            <w:shd w:val="clear" w:color="auto" w:fill="auto"/>
            <w:noWrap/>
            <w:vAlign w:val="center"/>
          </w:tcPr>
          <w:p w14:paraId="1D3ED22E">
            <w:pPr>
              <w:pStyle w:val="67"/>
              <w:rPr>
                <w:rFonts w:cs="Times New Roman"/>
                <w:color w:val="auto"/>
                <w:sz w:val="24"/>
              </w:rPr>
            </w:pPr>
            <w:r>
              <w:rPr>
                <w:rFonts w:cs="Times New Roman"/>
                <w:color w:val="auto"/>
              </w:rPr>
              <w:t>6月</w:t>
            </w:r>
          </w:p>
        </w:tc>
        <w:tc>
          <w:tcPr>
            <w:tcW w:w="600" w:type="dxa"/>
            <w:shd w:val="clear" w:color="auto" w:fill="auto"/>
            <w:noWrap/>
            <w:vAlign w:val="center"/>
          </w:tcPr>
          <w:p w14:paraId="1D3ED22F">
            <w:pPr>
              <w:pStyle w:val="67"/>
              <w:rPr>
                <w:rFonts w:cs="Times New Roman"/>
                <w:color w:val="auto"/>
                <w:sz w:val="24"/>
              </w:rPr>
            </w:pPr>
            <w:r>
              <w:rPr>
                <w:rFonts w:cs="Times New Roman"/>
                <w:color w:val="auto"/>
              </w:rPr>
              <w:t>7月</w:t>
            </w:r>
          </w:p>
        </w:tc>
        <w:tc>
          <w:tcPr>
            <w:tcW w:w="600" w:type="dxa"/>
            <w:shd w:val="clear" w:color="auto" w:fill="auto"/>
            <w:noWrap/>
            <w:vAlign w:val="center"/>
          </w:tcPr>
          <w:p w14:paraId="1D3ED230">
            <w:pPr>
              <w:pStyle w:val="67"/>
              <w:rPr>
                <w:rFonts w:cs="Times New Roman"/>
                <w:color w:val="auto"/>
                <w:sz w:val="24"/>
              </w:rPr>
            </w:pPr>
            <w:r>
              <w:rPr>
                <w:rFonts w:cs="Times New Roman"/>
                <w:color w:val="auto"/>
              </w:rPr>
              <w:t>8月</w:t>
            </w:r>
          </w:p>
        </w:tc>
        <w:tc>
          <w:tcPr>
            <w:tcW w:w="600" w:type="dxa"/>
            <w:shd w:val="clear" w:color="auto" w:fill="auto"/>
            <w:noWrap/>
            <w:vAlign w:val="center"/>
          </w:tcPr>
          <w:p w14:paraId="1D3ED231">
            <w:pPr>
              <w:pStyle w:val="67"/>
              <w:rPr>
                <w:rFonts w:cs="Times New Roman"/>
                <w:color w:val="auto"/>
                <w:sz w:val="24"/>
              </w:rPr>
            </w:pPr>
            <w:r>
              <w:rPr>
                <w:rFonts w:cs="Times New Roman"/>
                <w:color w:val="auto"/>
              </w:rPr>
              <w:t>9月</w:t>
            </w:r>
          </w:p>
        </w:tc>
        <w:tc>
          <w:tcPr>
            <w:tcW w:w="771" w:type="dxa"/>
            <w:shd w:val="clear" w:color="auto" w:fill="auto"/>
            <w:noWrap/>
            <w:vAlign w:val="center"/>
          </w:tcPr>
          <w:p w14:paraId="1D3ED232">
            <w:pPr>
              <w:pStyle w:val="67"/>
              <w:rPr>
                <w:rFonts w:cs="Times New Roman"/>
                <w:color w:val="auto"/>
                <w:sz w:val="24"/>
              </w:rPr>
            </w:pPr>
            <w:r>
              <w:rPr>
                <w:rFonts w:cs="Times New Roman"/>
                <w:color w:val="auto"/>
              </w:rPr>
              <w:t>10月</w:t>
            </w:r>
          </w:p>
        </w:tc>
        <w:tc>
          <w:tcPr>
            <w:tcW w:w="771" w:type="dxa"/>
            <w:shd w:val="clear" w:color="auto" w:fill="auto"/>
            <w:noWrap/>
            <w:vAlign w:val="center"/>
          </w:tcPr>
          <w:p w14:paraId="1D3ED233">
            <w:pPr>
              <w:pStyle w:val="67"/>
              <w:rPr>
                <w:rFonts w:cs="Times New Roman"/>
                <w:color w:val="auto"/>
                <w:sz w:val="24"/>
              </w:rPr>
            </w:pPr>
            <w:r>
              <w:rPr>
                <w:rFonts w:cs="Times New Roman"/>
                <w:color w:val="auto"/>
              </w:rPr>
              <w:t>11月</w:t>
            </w:r>
          </w:p>
        </w:tc>
        <w:tc>
          <w:tcPr>
            <w:tcW w:w="771" w:type="dxa"/>
            <w:shd w:val="clear" w:color="auto" w:fill="auto"/>
            <w:noWrap/>
            <w:vAlign w:val="center"/>
          </w:tcPr>
          <w:p w14:paraId="1D3ED234">
            <w:pPr>
              <w:pStyle w:val="67"/>
              <w:rPr>
                <w:rFonts w:cs="Times New Roman"/>
                <w:color w:val="auto"/>
                <w:sz w:val="24"/>
              </w:rPr>
            </w:pPr>
            <w:r>
              <w:rPr>
                <w:rFonts w:cs="Times New Roman"/>
                <w:color w:val="auto"/>
              </w:rPr>
              <w:t>12月</w:t>
            </w:r>
          </w:p>
        </w:tc>
      </w:tr>
      <w:tr w14:paraId="1D3ED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1" w:type="dxa"/>
            <w:shd w:val="clear" w:color="auto" w:fill="auto"/>
            <w:noWrap/>
            <w:vAlign w:val="center"/>
          </w:tcPr>
          <w:p w14:paraId="1D3ED236">
            <w:pPr>
              <w:pStyle w:val="62"/>
              <w:rPr>
                <w:sz w:val="24"/>
              </w:rPr>
            </w:pPr>
            <w:r>
              <w:t>风速(m/s)</w:t>
            </w:r>
          </w:p>
        </w:tc>
        <w:tc>
          <w:tcPr>
            <w:tcW w:w="603" w:type="dxa"/>
            <w:shd w:val="clear" w:color="auto" w:fill="auto"/>
            <w:noWrap/>
            <w:vAlign w:val="center"/>
          </w:tcPr>
          <w:p w14:paraId="1D3ED237">
            <w:pPr>
              <w:pStyle w:val="62"/>
            </w:pPr>
            <w:r>
              <w:t>2.55</w:t>
            </w:r>
          </w:p>
        </w:tc>
        <w:tc>
          <w:tcPr>
            <w:tcW w:w="603" w:type="dxa"/>
            <w:shd w:val="clear" w:color="auto" w:fill="auto"/>
            <w:noWrap/>
            <w:vAlign w:val="center"/>
          </w:tcPr>
          <w:p w14:paraId="1D3ED238">
            <w:pPr>
              <w:pStyle w:val="62"/>
            </w:pPr>
            <w:r>
              <w:t>2.80</w:t>
            </w:r>
          </w:p>
        </w:tc>
        <w:tc>
          <w:tcPr>
            <w:tcW w:w="602" w:type="dxa"/>
            <w:shd w:val="clear" w:color="auto" w:fill="auto"/>
            <w:noWrap/>
            <w:vAlign w:val="center"/>
          </w:tcPr>
          <w:p w14:paraId="1D3ED239">
            <w:pPr>
              <w:pStyle w:val="62"/>
            </w:pPr>
            <w:r>
              <w:t>2.76</w:t>
            </w:r>
          </w:p>
        </w:tc>
        <w:tc>
          <w:tcPr>
            <w:tcW w:w="601" w:type="dxa"/>
            <w:shd w:val="clear" w:color="auto" w:fill="auto"/>
            <w:noWrap/>
            <w:vAlign w:val="center"/>
          </w:tcPr>
          <w:p w14:paraId="1D3ED23A">
            <w:pPr>
              <w:pStyle w:val="62"/>
            </w:pPr>
            <w:r>
              <w:t>3.21</w:t>
            </w:r>
          </w:p>
        </w:tc>
        <w:tc>
          <w:tcPr>
            <w:tcW w:w="600" w:type="dxa"/>
            <w:shd w:val="clear" w:color="auto" w:fill="auto"/>
            <w:noWrap/>
            <w:vAlign w:val="center"/>
          </w:tcPr>
          <w:p w14:paraId="1D3ED23B">
            <w:pPr>
              <w:pStyle w:val="62"/>
            </w:pPr>
            <w:r>
              <w:t>2.82</w:t>
            </w:r>
          </w:p>
        </w:tc>
        <w:tc>
          <w:tcPr>
            <w:tcW w:w="600" w:type="dxa"/>
            <w:shd w:val="clear" w:color="auto" w:fill="auto"/>
            <w:noWrap/>
            <w:vAlign w:val="center"/>
          </w:tcPr>
          <w:p w14:paraId="1D3ED23C">
            <w:pPr>
              <w:pStyle w:val="62"/>
            </w:pPr>
            <w:r>
              <w:t>2.27</w:t>
            </w:r>
          </w:p>
        </w:tc>
        <w:tc>
          <w:tcPr>
            <w:tcW w:w="600" w:type="dxa"/>
            <w:shd w:val="clear" w:color="auto" w:fill="auto"/>
            <w:noWrap/>
            <w:vAlign w:val="center"/>
          </w:tcPr>
          <w:p w14:paraId="1D3ED23D">
            <w:pPr>
              <w:pStyle w:val="62"/>
            </w:pPr>
            <w:r>
              <w:t>2.14</w:t>
            </w:r>
          </w:p>
        </w:tc>
        <w:tc>
          <w:tcPr>
            <w:tcW w:w="600" w:type="dxa"/>
            <w:shd w:val="clear" w:color="auto" w:fill="auto"/>
            <w:noWrap/>
            <w:vAlign w:val="center"/>
          </w:tcPr>
          <w:p w14:paraId="1D3ED23E">
            <w:pPr>
              <w:pStyle w:val="62"/>
            </w:pPr>
            <w:r>
              <w:t>1.72</w:t>
            </w:r>
          </w:p>
        </w:tc>
        <w:tc>
          <w:tcPr>
            <w:tcW w:w="600" w:type="dxa"/>
            <w:shd w:val="clear" w:color="auto" w:fill="auto"/>
            <w:noWrap/>
            <w:vAlign w:val="center"/>
          </w:tcPr>
          <w:p w14:paraId="1D3ED23F">
            <w:pPr>
              <w:pStyle w:val="62"/>
            </w:pPr>
            <w:r>
              <w:t>1.51</w:t>
            </w:r>
          </w:p>
        </w:tc>
        <w:tc>
          <w:tcPr>
            <w:tcW w:w="771" w:type="dxa"/>
            <w:shd w:val="clear" w:color="auto" w:fill="auto"/>
            <w:noWrap/>
            <w:vAlign w:val="center"/>
          </w:tcPr>
          <w:p w14:paraId="1D3ED240">
            <w:pPr>
              <w:pStyle w:val="62"/>
            </w:pPr>
            <w:r>
              <w:t>1.63</w:t>
            </w:r>
          </w:p>
        </w:tc>
        <w:tc>
          <w:tcPr>
            <w:tcW w:w="771" w:type="dxa"/>
            <w:shd w:val="clear" w:color="auto" w:fill="auto"/>
            <w:noWrap/>
            <w:vAlign w:val="center"/>
          </w:tcPr>
          <w:p w14:paraId="1D3ED241">
            <w:pPr>
              <w:pStyle w:val="62"/>
            </w:pPr>
            <w:r>
              <w:t>2.65</w:t>
            </w:r>
          </w:p>
        </w:tc>
        <w:tc>
          <w:tcPr>
            <w:tcW w:w="771" w:type="dxa"/>
            <w:shd w:val="clear" w:color="auto" w:fill="auto"/>
            <w:noWrap/>
            <w:vAlign w:val="center"/>
          </w:tcPr>
          <w:p w14:paraId="1D3ED242">
            <w:pPr>
              <w:pStyle w:val="62"/>
            </w:pPr>
            <w:r>
              <w:t>3.06</w:t>
            </w:r>
          </w:p>
        </w:tc>
      </w:tr>
    </w:tbl>
    <w:p w14:paraId="1D3ED244">
      <w:pPr>
        <w:ind w:firstLine="480"/>
      </w:pPr>
      <w:r>
        <w:t>（3）风向、风频</w:t>
      </w:r>
    </w:p>
    <w:p w14:paraId="1D3ED245">
      <w:pPr>
        <w:ind w:firstLine="480"/>
      </w:pPr>
      <w:r>
        <w:t>根据</w:t>
      </w:r>
      <w:r>
        <w:rPr>
          <w:rFonts w:hint="eastAsia"/>
        </w:rPr>
        <w:t>新乡</w:t>
      </w:r>
      <w:r>
        <w:t>气象观测站记录资料统计各月各风向出现频率结果见</w:t>
      </w:r>
      <w:r>
        <w:rPr>
          <w:rFonts w:hint="eastAsia"/>
        </w:rPr>
        <w:t>下</w:t>
      </w:r>
      <w:r>
        <w:t>表，各季各风向频率统计结果见表</w:t>
      </w:r>
      <w:r>
        <w:rPr>
          <w:rFonts w:hint="eastAsia"/>
        </w:rPr>
        <w:t>下</w:t>
      </w:r>
      <w:r>
        <w:t>。全年及各季风向频率图见</w:t>
      </w:r>
      <w:r>
        <w:rPr>
          <w:rFonts w:hint="eastAsia"/>
        </w:rPr>
        <w:t>下</w:t>
      </w:r>
      <w:r>
        <w:t>图。</w:t>
      </w:r>
    </w:p>
    <w:p w14:paraId="1D3ED246">
      <w:pPr>
        <w:pStyle w:val="64"/>
        <w:numPr>
          <w:ilvl w:val="2"/>
          <w:numId w:val="25"/>
        </w:numPr>
        <w:spacing w:before="120"/>
        <w:ind w:left="0" w:firstLine="480" w:firstLineChars="200"/>
      </w:pPr>
      <w:r>
        <w:t xml:space="preserve">               各月各风向出现频率(%)</w:t>
      </w:r>
    </w:p>
    <w:tbl>
      <w:tblPr>
        <w:tblStyle w:val="41"/>
        <w:tblW w:w="530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595"/>
        <w:gridCol w:w="409"/>
        <w:gridCol w:w="495"/>
        <w:gridCol w:w="495"/>
        <w:gridCol w:w="453"/>
        <w:gridCol w:w="495"/>
        <w:gridCol w:w="495"/>
        <w:gridCol w:w="495"/>
        <w:gridCol w:w="495"/>
        <w:gridCol w:w="495"/>
        <w:gridCol w:w="465"/>
        <w:gridCol w:w="495"/>
        <w:gridCol w:w="559"/>
        <w:gridCol w:w="495"/>
        <w:gridCol w:w="595"/>
        <w:gridCol w:w="388"/>
        <w:gridCol w:w="536"/>
        <w:gridCol w:w="390"/>
      </w:tblGrid>
      <w:tr w14:paraId="03E097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796B8FFA">
            <w:pPr>
              <w:pStyle w:val="67"/>
              <w:rPr>
                <w:color w:val="auto"/>
              </w:rPr>
            </w:pPr>
            <w:r>
              <w:rPr>
                <w:rFonts w:hint="eastAsia"/>
                <w:color w:val="auto"/>
              </w:rPr>
              <w:t>风向</w:t>
            </w:r>
          </w:p>
          <w:p w14:paraId="2E7F69A6">
            <w:pPr>
              <w:pStyle w:val="67"/>
              <w:rPr>
                <w:color w:val="auto"/>
              </w:rPr>
            </w:pPr>
            <w:r>
              <w:rPr>
                <w:rFonts w:hint="eastAsia"/>
                <w:color w:val="auto"/>
              </w:rPr>
              <w:t>月份</w:t>
            </w:r>
          </w:p>
        </w:tc>
        <w:tc>
          <w:tcPr>
            <w:tcW w:w="232" w:type="pct"/>
            <w:vAlign w:val="center"/>
          </w:tcPr>
          <w:p w14:paraId="6904DAA5">
            <w:pPr>
              <w:pStyle w:val="67"/>
              <w:rPr>
                <w:color w:val="auto"/>
              </w:rPr>
            </w:pPr>
            <w:r>
              <w:rPr>
                <w:color w:val="auto"/>
              </w:rPr>
              <w:t>N</w:t>
            </w:r>
          </w:p>
        </w:tc>
        <w:tc>
          <w:tcPr>
            <w:tcW w:w="0" w:type="auto"/>
            <w:vAlign w:val="center"/>
          </w:tcPr>
          <w:p w14:paraId="7A44E7DF">
            <w:pPr>
              <w:pStyle w:val="67"/>
              <w:rPr>
                <w:color w:val="auto"/>
              </w:rPr>
            </w:pPr>
            <w:r>
              <w:rPr>
                <w:color w:val="auto"/>
              </w:rPr>
              <w:t>NNE</w:t>
            </w:r>
          </w:p>
        </w:tc>
        <w:tc>
          <w:tcPr>
            <w:tcW w:w="0" w:type="auto"/>
            <w:vAlign w:val="center"/>
          </w:tcPr>
          <w:p w14:paraId="4080407C">
            <w:pPr>
              <w:pStyle w:val="67"/>
              <w:rPr>
                <w:color w:val="auto"/>
              </w:rPr>
            </w:pPr>
            <w:r>
              <w:rPr>
                <w:color w:val="auto"/>
              </w:rPr>
              <w:t>NE</w:t>
            </w:r>
          </w:p>
        </w:tc>
        <w:tc>
          <w:tcPr>
            <w:tcW w:w="0" w:type="auto"/>
            <w:vAlign w:val="center"/>
          </w:tcPr>
          <w:p w14:paraId="1336B33C">
            <w:pPr>
              <w:pStyle w:val="67"/>
              <w:rPr>
                <w:color w:val="auto"/>
              </w:rPr>
            </w:pPr>
            <w:r>
              <w:rPr>
                <w:color w:val="auto"/>
              </w:rPr>
              <w:t>ENE</w:t>
            </w:r>
          </w:p>
        </w:tc>
        <w:tc>
          <w:tcPr>
            <w:tcW w:w="0" w:type="auto"/>
            <w:vAlign w:val="center"/>
          </w:tcPr>
          <w:p w14:paraId="3486C4A3">
            <w:pPr>
              <w:pStyle w:val="67"/>
              <w:rPr>
                <w:color w:val="auto"/>
              </w:rPr>
            </w:pPr>
            <w:r>
              <w:rPr>
                <w:color w:val="auto"/>
              </w:rPr>
              <w:t>E</w:t>
            </w:r>
          </w:p>
        </w:tc>
        <w:tc>
          <w:tcPr>
            <w:tcW w:w="0" w:type="auto"/>
            <w:vAlign w:val="center"/>
          </w:tcPr>
          <w:p w14:paraId="313271C4">
            <w:pPr>
              <w:pStyle w:val="67"/>
              <w:rPr>
                <w:color w:val="auto"/>
              </w:rPr>
            </w:pPr>
            <w:r>
              <w:rPr>
                <w:color w:val="auto"/>
              </w:rPr>
              <w:t>ESE</w:t>
            </w:r>
          </w:p>
        </w:tc>
        <w:tc>
          <w:tcPr>
            <w:tcW w:w="0" w:type="auto"/>
            <w:vAlign w:val="center"/>
          </w:tcPr>
          <w:p w14:paraId="774329CB">
            <w:pPr>
              <w:pStyle w:val="67"/>
              <w:rPr>
                <w:color w:val="auto"/>
              </w:rPr>
            </w:pPr>
            <w:r>
              <w:rPr>
                <w:color w:val="auto"/>
              </w:rPr>
              <w:t>SE</w:t>
            </w:r>
          </w:p>
        </w:tc>
        <w:tc>
          <w:tcPr>
            <w:tcW w:w="0" w:type="auto"/>
            <w:vAlign w:val="center"/>
          </w:tcPr>
          <w:p w14:paraId="66A7366C">
            <w:pPr>
              <w:pStyle w:val="67"/>
              <w:rPr>
                <w:color w:val="auto"/>
              </w:rPr>
            </w:pPr>
            <w:r>
              <w:rPr>
                <w:color w:val="auto"/>
              </w:rPr>
              <w:t>SSE</w:t>
            </w:r>
          </w:p>
        </w:tc>
        <w:tc>
          <w:tcPr>
            <w:tcW w:w="0" w:type="auto"/>
            <w:vAlign w:val="center"/>
          </w:tcPr>
          <w:p w14:paraId="37DFB9CE">
            <w:pPr>
              <w:pStyle w:val="67"/>
              <w:rPr>
                <w:color w:val="auto"/>
              </w:rPr>
            </w:pPr>
            <w:r>
              <w:rPr>
                <w:color w:val="auto"/>
              </w:rPr>
              <w:t>S</w:t>
            </w:r>
          </w:p>
        </w:tc>
        <w:tc>
          <w:tcPr>
            <w:tcW w:w="0" w:type="auto"/>
            <w:vAlign w:val="center"/>
          </w:tcPr>
          <w:p w14:paraId="1CE7F53F">
            <w:pPr>
              <w:pStyle w:val="67"/>
              <w:rPr>
                <w:color w:val="auto"/>
              </w:rPr>
            </w:pPr>
            <w:r>
              <w:rPr>
                <w:color w:val="auto"/>
              </w:rPr>
              <w:t>SSW</w:t>
            </w:r>
          </w:p>
        </w:tc>
        <w:tc>
          <w:tcPr>
            <w:tcW w:w="0" w:type="auto"/>
            <w:vAlign w:val="center"/>
          </w:tcPr>
          <w:p w14:paraId="09B82A76">
            <w:pPr>
              <w:pStyle w:val="67"/>
              <w:rPr>
                <w:color w:val="auto"/>
              </w:rPr>
            </w:pPr>
            <w:r>
              <w:rPr>
                <w:color w:val="auto"/>
              </w:rPr>
              <w:t>SW</w:t>
            </w:r>
          </w:p>
        </w:tc>
        <w:tc>
          <w:tcPr>
            <w:tcW w:w="0" w:type="auto"/>
            <w:vAlign w:val="center"/>
          </w:tcPr>
          <w:p w14:paraId="7941A9A9">
            <w:pPr>
              <w:pStyle w:val="67"/>
              <w:rPr>
                <w:color w:val="auto"/>
              </w:rPr>
            </w:pPr>
            <w:r>
              <w:rPr>
                <w:color w:val="auto"/>
              </w:rPr>
              <w:t>WSW</w:t>
            </w:r>
          </w:p>
        </w:tc>
        <w:tc>
          <w:tcPr>
            <w:tcW w:w="0" w:type="auto"/>
            <w:vAlign w:val="center"/>
          </w:tcPr>
          <w:p w14:paraId="6716AC75">
            <w:pPr>
              <w:pStyle w:val="67"/>
              <w:rPr>
                <w:color w:val="auto"/>
              </w:rPr>
            </w:pPr>
            <w:r>
              <w:rPr>
                <w:color w:val="auto"/>
              </w:rPr>
              <w:t>W</w:t>
            </w:r>
          </w:p>
        </w:tc>
        <w:tc>
          <w:tcPr>
            <w:tcW w:w="0" w:type="auto"/>
            <w:vAlign w:val="center"/>
          </w:tcPr>
          <w:p w14:paraId="6BE2EC47">
            <w:pPr>
              <w:pStyle w:val="67"/>
              <w:rPr>
                <w:color w:val="auto"/>
              </w:rPr>
            </w:pPr>
            <w:r>
              <w:rPr>
                <w:color w:val="auto"/>
              </w:rPr>
              <w:t>WNW</w:t>
            </w:r>
          </w:p>
        </w:tc>
        <w:tc>
          <w:tcPr>
            <w:tcW w:w="0" w:type="auto"/>
            <w:vAlign w:val="center"/>
          </w:tcPr>
          <w:p w14:paraId="7B8F4F95">
            <w:pPr>
              <w:pStyle w:val="67"/>
              <w:rPr>
                <w:color w:val="auto"/>
              </w:rPr>
            </w:pPr>
            <w:r>
              <w:rPr>
                <w:color w:val="auto"/>
              </w:rPr>
              <w:t>NW</w:t>
            </w:r>
          </w:p>
        </w:tc>
        <w:tc>
          <w:tcPr>
            <w:tcW w:w="0" w:type="auto"/>
            <w:vAlign w:val="center"/>
          </w:tcPr>
          <w:p w14:paraId="43ED07A2">
            <w:pPr>
              <w:pStyle w:val="67"/>
              <w:rPr>
                <w:color w:val="auto"/>
              </w:rPr>
            </w:pPr>
            <w:r>
              <w:rPr>
                <w:color w:val="auto"/>
              </w:rPr>
              <w:t>NNW</w:t>
            </w:r>
          </w:p>
        </w:tc>
        <w:tc>
          <w:tcPr>
            <w:tcW w:w="0" w:type="auto"/>
            <w:vAlign w:val="center"/>
          </w:tcPr>
          <w:p w14:paraId="774A991B">
            <w:pPr>
              <w:pStyle w:val="67"/>
              <w:rPr>
                <w:color w:val="auto"/>
              </w:rPr>
            </w:pPr>
            <w:r>
              <w:rPr>
                <w:color w:val="auto"/>
              </w:rPr>
              <w:t>C</w:t>
            </w:r>
          </w:p>
        </w:tc>
      </w:tr>
      <w:tr w14:paraId="5785E8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5A0F731C">
            <w:pPr>
              <w:pStyle w:val="62"/>
            </w:pPr>
            <w:r>
              <w:t>1</w:t>
            </w:r>
          </w:p>
        </w:tc>
        <w:tc>
          <w:tcPr>
            <w:tcW w:w="232" w:type="pct"/>
            <w:vAlign w:val="center"/>
          </w:tcPr>
          <w:p w14:paraId="1DBFEB84">
            <w:pPr>
              <w:pStyle w:val="62"/>
            </w:pPr>
            <w:r>
              <w:t>3.09</w:t>
            </w:r>
          </w:p>
        </w:tc>
        <w:tc>
          <w:tcPr>
            <w:tcW w:w="0" w:type="auto"/>
            <w:vAlign w:val="center"/>
          </w:tcPr>
          <w:p w14:paraId="66BAE178">
            <w:pPr>
              <w:pStyle w:val="62"/>
            </w:pPr>
            <w:r>
              <w:t>8.33</w:t>
            </w:r>
          </w:p>
        </w:tc>
        <w:tc>
          <w:tcPr>
            <w:tcW w:w="0" w:type="auto"/>
            <w:vAlign w:val="center"/>
          </w:tcPr>
          <w:p w14:paraId="2A68B37A">
            <w:pPr>
              <w:pStyle w:val="62"/>
            </w:pPr>
            <w:r>
              <w:t>16.94</w:t>
            </w:r>
          </w:p>
        </w:tc>
        <w:tc>
          <w:tcPr>
            <w:tcW w:w="0" w:type="auto"/>
            <w:vAlign w:val="center"/>
          </w:tcPr>
          <w:p w14:paraId="0DBA24F7">
            <w:pPr>
              <w:pStyle w:val="62"/>
            </w:pPr>
            <w:r>
              <w:t>9.54</w:t>
            </w:r>
          </w:p>
        </w:tc>
        <w:tc>
          <w:tcPr>
            <w:tcW w:w="0" w:type="auto"/>
            <w:vAlign w:val="center"/>
          </w:tcPr>
          <w:p w14:paraId="3928E2CF">
            <w:pPr>
              <w:pStyle w:val="62"/>
            </w:pPr>
            <w:r>
              <w:t>4.44</w:t>
            </w:r>
          </w:p>
        </w:tc>
        <w:tc>
          <w:tcPr>
            <w:tcW w:w="0" w:type="auto"/>
            <w:vAlign w:val="center"/>
          </w:tcPr>
          <w:p w14:paraId="7091F92F">
            <w:pPr>
              <w:pStyle w:val="62"/>
            </w:pPr>
            <w:r>
              <w:t>3.09</w:t>
            </w:r>
          </w:p>
        </w:tc>
        <w:tc>
          <w:tcPr>
            <w:tcW w:w="0" w:type="auto"/>
            <w:vAlign w:val="center"/>
          </w:tcPr>
          <w:p w14:paraId="2B11860C">
            <w:pPr>
              <w:pStyle w:val="62"/>
            </w:pPr>
            <w:r>
              <w:t>1.88</w:t>
            </w:r>
          </w:p>
        </w:tc>
        <w:tc>
          <w:tcPr>
            <w:tcW w:w="0" w:type="auto"/>
            <w:vAlign w:val="center"/>
          </w:tcPr>
          <w:p w14:paraId="5A504B81">
            <w:pPr>
              <w:pStyle w:val="62"/>
            </w:pPr>
            <w:r>
              <w:t>2.69</w:t>
            </w:r>
          </w:p>
        </w:tc>
        <w:tc>
          <w:tcPr>
            <w:tcW w:w="0" w:type="auto"/>
            <w:vAlign w:val="center"/>
          </w:tcPr>
          <w:p w14:paraId="556D8933">
            <w:pPr>
              <w:pStyle w:val="62"/>
            </w:pPr>
            <w:r>
              <w:t>8.47</w:t>
            </w:r>
          </w:p>
        </w:tc>
        <w:tc>
          <w:tcPr>
            <w:tcW w:w="0" w:type="auto"/>
            <w:vAlign w:val="center"/>
          </w:tcPr>
          <w:p w14:paraId="66355499">
            <w:pPr>
              <w:pStyle w:val="62"/>
            </w:pPr>
            <w:r>
              <w:t>8.33</w:t>
            </w:r>
          </w:p>
        </w:tc>
        <w:tc>
          <w:tcPr>
            <w:tcW w:w="0" w:type="auto"/>
            <w:vAlign w:val="center"/>
          </w:tcPr>
          <w:p w14:paraId="26FB6114">
            <w:pPr>
              <w:pStyle w:val="62"/>
            </w:pPr>
            <w:r>
              <w:t>6.59</w:t>
            </w:r>
          </w:p>
        </w:tc>
        <w:tc>
          <w:tcPr>
            <w:tcW w:w="0" w:type="auto"/>
            <w:vAlign w:val="center"/>
          </w:tcPr>
          <w:p w14:paraId="14C7FA89">
            <w:pPr>
              <w:pStyle w:val="62"/>
            </w:pPr>
            <w:r>
              <w:t>9.81</w:t>
            </w:r>
          </w:p>
        </w:tc>
        <w:tc>
          <w:tcPr>
            <w:tcW w:w="0" w:type="auto"/>
            <w:vAlign w:val="center"/>
          </w:tcPr>
          <w:p w14:paraId="56E30B12">
            <w:pPr>
              <w:pStyle w:val="62"/>
            </w:pPr>
            <w:r>
              <w:t>10.62</w:t>
            </w:r>
          </w:p>
        </w:tc>
        <w:tc>
          <w:tcPr>
            <w:tcW w:w="0" w:type="auto"/>
            <w:vAlign w:val="center"/>
          </w:tcPr>
          <w:p w14:paraId="5F2C9F4F">
            <w:pPr>
              <w:pStyle w:val="62"/>
            </w:pPr>
            <w:r>
              <w:t>2.15</w:t>
            </w:r>
          </w:p>
        </w:tc>
        <w:tc>
          <w:tcPr>
            <w:tcW w:w="0" w:type="auto"/>
            <w:vAlign w:val="center"/>
          </w:tcPr>
          <w:p w14:paraId="4DE87782">
            <w:pPr>
              <w:pStyle w:val="62"/>
            </w:pPr>
            <w:r>
              <w:t>2.02</w:t>
            </w:r>
          </w:p>
        </w:tc>
        <w:tc>
          <w:tcPr>
            <w:tcW w:w="0" w:type="auto"/>
            <w:vAlign w:val="center"/>
          </w:tcPr>
          <w:p w14:paraId="6A3D9FF3">
            <w:pPr>
              <w:pStyle w:val="62"/>
            </w:pPr>
            <w:r>
              <w:t>1.34</w:t>
            </w:r>
          </w:p>
        </w:tc>
        <w:tc>
          <w:tcPr>
            <w:tcW w:w="0" w:type="auto"/>
            <w:vAlign w:val="center"/>
          </w:tcPr>
          <w:p w14:paraId="592E126E">
            <w:pPr>
              <w:pStyle w:val="62"/>
            </w:pPr>
            <w:r>
              <w:t>0.67</w:t>
            </w:r>
          </w:p>
        </w:tc>
      </w:tr>
      <w:tr w14:paraId="207E73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4723BEEB">
            <w:pPr>
              <w:pStyle w:val="62"/>
            </w:pPr>
            <w:r>
              <w:t>2</w:t>
            </w:r>
          </w:p>
        </w:tc>
        <w:tc>
          <w:tcPr>
            <w:tcW w:w="232" w:type="pct"/>
            <w:vAlign w:val="center"/>
          </w:tcPr>
          <w:p w14:paraId="41601DCE">
            <w:pPr>
              <w:pStyle w:val="62"/>
            </w:pPr>
            <w:r>
              <w:t>1.64</w:t>
            </w:r>
          </w:p>
        </w:tc>
        <w:tc>
          <w:tcPr>
            <w:tcW w:w="0" w:type="auto"/>
            <w:vAlign w:val="center"/>
          </w:tcPr>
          <w:p w14:paraId="1F6438E9">
            <w:pPr>
              <w:pStyle w:val="62"/>
            </w:pPr>
            <w:r>
              <w:t>10.71</w:t>
            </w:r>
          </w:p>
        </w:tc>
        <w:tc>
          <w:tcPr>
            <w:tcW w:w="0" w:type="auto"/>
            <w:vAlign w:val="center"/>
          </w:tcPr>
          <w:p w14:paraId="62E80AA6">
            <w:pPr>
              <w:pStyle w:val="62"/>
            </w:pPr>
            <w:r>
              <w:t>20.98</w:t>
            </w:r>
          </w:p>
        </w:tc>
        <w:tc>
          <w:tcPr>
            <w:tcW w:w="0" w:type="auto"/>
            <w:vAlign w:val="center"/>
          </w:tcPr>
          <w:p w14:paraId="7AED717F">
            <w:pPr>
              <w:pStyle w:val="62"/>
            </w:pPr>
            <w:r>
              <w:t>8.18</w:t>
            </w:r>
          </w:p>
        </w:tc>
        <w:tc>
          <w:tcPr>
            <w:tcW w:w="0" w:type="auto"/>
            <w:vAlign w:val="center"/>
          </w:tcPr>
          <w:p w14:paraId="02280442">
            <w:pPr>
              <w:pStyle w:val="62"/>
            </w:pPr>
            <w:r>
              <w:t>4.46</w:t>
            </w:r>
          </w:p>
        </w:tc>
        <w:tc>
          <w:tcPr>
            <w:tcW w:w="0" w:type="auto"/>
            <w:vAlign w:val="center"/>
          </w:tcPr>
          <w:p w14:paraId="543819D6">
            <w:pPr>
              <w:pStyle w:val="62"/>
            </w:pPr>
            <w:r>
              <w:t>4.17</w:t>
            </w:r>
          </w:p>
        </w:tc>
        <w:tc>
          <w:tcPr>
            <w:tcW w:w="0" w:type="auto"/>
            <w:vAlign w:val="center"/>
          </w:tcPr>
          <w:p w14:paraId="074419FD">
            <w:pPr>
              <w:pStyle w:val="62"/>
            </w:pPr>
            <w:r>
              <w:t>6.40</w:t>
            </w:r>
          </w:p>
        </w:tc>
        <w:tc>
          <w:tcPr>
            <w:tcW w:w="0" w:type="auto"/>
            <w:vAlign w:val="center"/>
          </w:tcPr>
          <w:p w14:paraId="5AA5B0F6">
            <w:pPr>
              <w:pStyle w:val="62"/>
            </w:pPr>
            <w:r>
              <w:t>8.18</w:t>
            </w:r>
          </w:p>
        </w:tc>
        <w:tc>
          <w:tcPr>
            <w:tcW w:w="0" w:type="auto"/>
            <w:vAlign w:val="center"/>
          </w:tcPr>
          <w:p w14:paraId="2182B419">
            <w:pPr>
              <w:pStyle w:val="62"/>
            </w:pPr>
            <w:r>
              <w:t>14.73</w:t>
            </w:r>
          </w:p>
        </w:tc>
        <w:tc>
          <w:tcPr>
            <w:tcW w:w="0" w:type="auto"/>
            <w:vAlign w:val="center"/>
          </w:tcPr>
          <w:p w14:paraId="2E43D7AF">
            <w:pPr>
              <w:pStyle w:val="62"/>
            </w:pPr>
            <w:r>
              <w:t>7.14</w:t>
            </w:r>
          </w:p>
        </w:tc>
        <w:tc>
          <w:tcPr>
            <w:tcW w:w="0" w:type="auto"/>
            <w:vAlign w:val="center"/>
          </w:tcPr>
          <w:p w14:paraId="7BB61BAE">
            <w:pPr>
              <w:pStyle w:val="62"/>
            </w:pPr>
            <w:r>
              <w:t>5.21</w:t>
            </w:r>
          </w:p>
        </w:tc>
        <w:tc>
          <w:tcPr>
            <w:tcW w:w="0" w:type="auto"/>
            <w:vAlign w:val="center"/>
          </w:tcPr>
          <w:p w14:paraId="1450CA84">
            <w:pPr>
              <w:pStyle w:val="62"/>
            </w:pPr>
            <w:r>
              <w:t>2.83</w:t>
            </w:r>
          </w:p>
        </w:tc>
        <w:tc>
          <w:tcPr>
            <w:tcW w:w="0" w:type="auto"/>
            <w:vAlign w:val="center"/>
          </w:tcPr>
          <w:p w14:paraId="7A75D76E">
            <w:pPr>
              <w:pStyle w:val="62"/>
            </w:pPr>
            <w:r>
              <w:t>2.98</w:t>
            </w:r>
          </w:p>
        </w:tc>
        <w:tc>
          <w:tcPr>
            <w:tcW w:w="0" w:type="auto"/>
            <w:vAlign w:val="center"/>
          </w:tcPr>
          <w:p w14:paraId="15D6A0FB">
            <w:pPr>
              <w:pStyle w:val="62"/>
            </w:pPr>
            <w:r>
              <w:t>0.74</w:t>
            </w:r>
          </w:p>
        </w:tc>
        <w:tc>
          <w:tcPr>
            <w:tcW w:w="0" w:type="auto"/>
            <w:vAlign w:val="center"/>
          </w:tcPr>
          <w:p w14:paraId="65EA8723">
            <w:pPr>
              <w:pStyle w:val="62"/>
            </w:pPr>
            <w:r>
              <w:t>0.30</w:t>
            </w:r>
          </w:p>
        </w:tc>
        <w:tc>
          <w:tcPr>
            <w:tcW w:w="0" w:type="auto"/>
            <w:vAlign w:val="center"/>
          </w:tcPr>
          <w:p w14:paraId="714F2E44">
            <w:pPr>
              <w:pStyle w:val="62"/>
            </w:pPr>
            <w:r>
              <w:t>0.74</w:t>
            </w:r>
          </w:p>
        </w:tc>
        <w:tc>
          <w:tcPr>
            <w:tcW w:w="0" w:type="auto"/>
            <w:vAlign w:val="center"/>
          </w:tcPr>
          <w:p w14:paraId="05AEDDC5">
            <w:pPr>
              <w:pStyle w:val="62"/>
            </w:pPr>
            <w:r>
              <w:t>0.60</w:t>
            </w:r>
          </w:p>
        </w:tc>
      </w:tr>
      <w:tr w14:paraId="7E6708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2E2D8A3E">
            <w:pPr>
              <w:pStyle w:val="62"/>
            </w:pPr>
            <w:r>
              <w:t>3</w:t>
            </w:r>
          </w:p>
        </w:tc>
        <w:tc>
          <w:tcPr>
            <w:tcW w:w="232" w:type="pct"/>
            <w:vAlign w:val="center"/>
          </w:tcPr>
          <w:p w14:paraId="241D2F49">
            <w:pPr>
              <w:pStyle w:val="62"/>
            </w:pPr>
            <w:r>
              <w:t>3.23</w:t>
            </w:r>
          </w:p>
        </w:tc>
        <w:tc>
          <w:tcPr>
            <w:tcW w:w="0" w:type="auto"/>
            <w:vAlign w:val="center"/>
          </w:tcPr>
          <w:p w14:paraId="0EABD74B">
            <w:pPr>
              <w:pStyle w:val="62"/>
            </w:pPr>
            <w:r>
              <w:t>6.99</w:t>
            </w:r>
          </w:p>
        </w:tc>
        <w:tc>
          <w:tcPr>
            <w:tcW w:w="0" w:type="auto"/>
            <w:vAlign w:val="center"/>
          </w:tcPr>
          <w:p w14:paraId="716F0E91">
            <w:pPr>
              <w:pStyle w:val="62"/>
            </w:pPr>
            <w:r>
              <w:t>10.62</w:t>
            </w:r>
          </w:p>
        </w:tc>
        <w:tc>
          <w:tcPr>
            <w:tcW w:w="0" w:type="auto"/>
            <w:vAlign w:val="center"/>
          </w:tcPr>
          <w:p w14:paraId="4C8EC4F7">
            <w:pPr>
              <w:pStyle w:val="62"/>
            </w:pPr>
            <w:r>
              <w:t>5.24</w:t>
            </w:r>
          </w:p>
        </w:tc>
        <w:tc>
          <w:tcPr>
            <w:tcW w:w="0" w:type="auto"/>
            <w:vAlign w:val="center"/>
          </w:tcPr>
          <w:p w14:paraId="1C270DFA">
            <w:pPr>
              <w:pStyle w:val="62"/>
            </w:pPr>
            <w:r>
              <w:t>4.44</w:t>
            </w:r>
          </w:p>
        </w:tc>
        <w:tc>
          <w:tcPr>
            <w:tcW w:w="0" w:type="auto"/>
            <w:vAlign w:val="center"/>
          </w:tcPr>
          <w:p w14:paraId="214FE5EC">
            <w:pPr>
              <w:pStyle w:val="62"/>
            </w:pPr>
            <w:r>
              <w:t>5.78</w:t>
            </w:r>
          </w:p>
        </w:tc>
        <w:tc>
          <w:tcPr>
            <w:tcW w:w="0" w:type="auto"/>
            <w:vAlign w:val="center"/>
          </w:tcPr>
          <w:p w14:paraId="113447C2">
            <w:pPr>
              <w:pStyle w:val="62"/>
            </w:pPr>
            <w:r>
              <w:t>7.39</w:t>
            </w:r>
          </w:p>
        </w:tc>
        <w:tc>
          <w:tcPr>
            <w:tcW w:w="0" w:type="auto"/>
            <w:vAlign w:val="center"/>
          </w:tcPr>
          <w:p w14:paraId="1DB199B9">
            <w:pPr>
              <w:pStyle w:val="62"/>
            </w:pPr>
            <w:r>
              <w:t>9.95</w:t>
            </w:r>
          </w:p>
        </w:tc>
        <w:tc>
          <w:tcPr>
            <w:tcW w:w="0" w:type="auto"/>
            <w:vAlign w:val="center"/>
          </w:tcPr>
          <w:p w14:paraId="4163032E">
            <w:pPr>
              <w:pStyle w:val="62"/>
            </w:pPr>
            <w:r>
              <w:t>21.24</w:t>
            </w:r>
          </w:p>
        </w:tc>
        <w:tc>
          <w:tcPr>
            <w:tcW w:w="0" w:type="auto"/>
            <w:vAlign w:val="center"/>
          </w:tcPr>
          <w:p w14:paraId="0E7DE5AA">
            <w:pPr>
              <w:pStyle w:val="62"/>
            </w:pPr>
            <w:r>
              <w:t>6.05</w:t>
            </w:r>
          </w:p>
        </w:tc>
        <w:tc>
          <w:tcPr>
            <w:tcW w:w="0" w:type="auto"/>
            <w:vAlign w:val="center"/>
          </w:tcPr>
          <w:p w14:paraId="0EE05818">
            <w:pPr>
              <w:pStyle w:val="62"/>
            </w:pPr>
            <w:r>
              <w:t>7.66</w:t>
            </w:r>
          </w:p>
        </w:tc>
        <w:tc>
          <w:tcPr>
            <w:tcW w:w="0" w:type="auto"/>
            <w:vAlign w:val="center"/>
          </w:tcPr>
          <w:p w14:paraId="4FA04013">
            <w:pPr>
              <w:pStyle w:val="62"/>
            </w:pPr>
            <w:r>
              <w:t>5.24</w:t>
            </w:r>
          </w:p>
        </w:tc>
        <w:tc>
          <w:tcPr>
            <w:tcW w:w="0" w:type="auto"/>
            <w:vAlign w:val="center"/>
          </w:tcPr>
          <w:p w14:paraId="51C6EAF3">
            <w:pPr>
              <w:pStyle w:val="62"/>
            </w:pPr>
            <w:r>
              <w:t>3.76</w:t>
            </w:r>
          </w:p>
        </w:tc>
        <w:tc>
          <w:tcPr>
            <w:tcW w:w="0" w:type="auto"/>
            <w:vAlign w:val="center"/>
          </w:tcPr>
          <w:p w14:paraId="57304225">
            <w:pPr>
              <w:pStyle w:val="62"/>
            </w:pPr>
            <w:r>
              <w:t>0.94</w:t>
            </w:r>
          </w:p>
        </w:tc>
        <w:tc>
          <w:tcPr>
            <w:tcW w:w="0" w:type="auto"/>
            <w:vAlign w:val="center"/>
          </w:tcPr>
          <w:p w14:paraId="7166656C">
            <w:pPr>
              <w:pStyle w:val="62"/>
            </w:pPr>
            <w:r>
              <w:t>0.67</w:t>
            </w:r>
          </w:p>
        </w:tc>
        <w:tc>
          <w:tcPr>
            <w:tcW w:w="0" w:type="auto"/>
            <w:vAlign w:val="center"/>
          </w:tcPr>
          <w:p w14:paraId="004DD43A">
            <w:pPr>
              <w:pStyle w:val="62"/>
            </w:pPr>
            <w:r>
              <w:t>0.40</w:t>
            </w:r>
          </w:p>
        </w:tc>
        <w:tc>
          <w:tcPr>
            <w:tcW w:w="0" w:type="auto"/>
            <w:vAlign w:val="center"/>
          </w:tcPr>
          <w:p w14:paraId="44D36F71">
            <w:pPr>
              <w:pStyle w:val="62"/>
            </w:pPr>
            <w:r>
              <w:t>0.40</w:t>
            </w:r>
          </w:p>
        </w:tc>
      </w:tr>
      <w:tr w14:paraId="5921B6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51C31B1F">
            <w:pPr>
              <w:pStyle w:val="62"/>
            </w:pPr>
            <w:r>
              <w:t>4</w:t>
            </w:r>
          </w:p>
        </w:tc>
        <w:tc>
          <w:tcPr>
            <w:tcW w:w="232" w:type="pct"/>
            <w:vAlign w:val="center"/>
          </w:tcPr>
          <w:p w14:paraId="44F4603C">
            <w:pPr>
              <w:pStyle w:val="62"/>
            </w:pPr>
            <w:r>
              <w:t>1.94</w:t>
            </w:r>
          </w:p>
        </w:tc>
        <w:tc>
          <w:tcPr>
            <w:tcW w:w="0" w:type="auto"/>
            <w:vAlign w:val="center"/>
          </w:tcPr>
          <w:p w14:paraId="6E1CADD1">
            <w:pPr>
              <w:pStyle w:val="62"/>
            </w:pPr>
            <w:r>
              <w:t>19.44</w:t>
            </w:r>
          </w:p>
        </w:tc>
        <w:tc>
          <w:tcPr>
            <w:tcW w:w="0" w:type="auto"/>
            <w:vAlign w:val="center"/>
          </w:tcPr>
          <w:p w14:paraId="5D452AD4">
            <w:pPr>
              <w:pStyle w:val="62"/>
            </w:pPr>
            <w:r>
              <w:t>13.33</w:t>
            </w:r>
          </w:p>
        </w:tc>
        <w:tc>
          <w:tcPr>
            <w:tcW w:w="0" w:type="auto"/>
            <w:vAlign w:val="center"/>
          </w:tcPr>
          <w:p w14:paraId="4188E341">
            <w:pPr>
              <w:pStyle w:val="62"/>
            </w:pPr>
            <w:r>
              <w:t>6.25</w:t>
            </w:r>
          </w:p>
        </w:tc>
        <w:tc>
          <w:tcPr>
            <w:tcW w:w="0" w:type="auto"/>
            <w:vAlign w:val="center"/>
          </w:tcPr>
          <w:p w14:paraId="3B82FF18">
            <w:pPr>
              <w:pStyle w:val="62"/>
            </w:pPr>
            <w:r>
              <w:t>7.64</w:t>
            </w:r>
          </w:p>
        </w:tc>
        <w:tc>
          <w:tcPr>
            <w:tcW w:w="0" w:type="auto"/>
            <w:vAlign w:val="center"/>
          </w:tcPr>
          <w:p w14:paraId="2B810453">
            <w:pPr>
              <w:pStyle w:val="62"/>
            </w:pPr>
            <w:r>
              <w:t>5.56</w:t>
            </w:r>
          </w:p>
        </w:tc>
        <w:tc>
          <w:tcPr>
            <w:tcW w:w="0" w:type="auto"/>
            <w:vAlign w:val="center"/>
          </w:tcPr>
          <w:p w14:paraId="0F8FBE5F">
            <w:pPr>
              <w:pStyle w:val="62"/>
            </w:pPr>
            <w:r>
              <w:t>4.72</w:t>
            </w:r>
          </w:p>
        </w:tc>
        <w:tc>
          <w:tcPr>
            <w:tcW w:w="0" w:type="auto"/>
            <w:vAlign w:val="center"/>
          </w:tcPr>
          <w:p w14:paraId="1886EA4D">
            <w:pPr>
              <w:pStyle w:val="62"/>
            </w:pPr>
            <w:r>
              <w:t>9.44</w:t>
            </w:r>
          </w:p>
        </w:tc>
        <w:tc>
          <w:tcPr>
            <w:tcW w:w="0" w:type="auto"/>
            <w:vAlign w:val="center"/>
          </w:tcPr>
          <w:p w14:paraId="0AD750C3">
            <w:pPr>
              <w:pStyle w:val="62"/>
            </w:pPr>
            <w:r>
              <w:t>9.86</w:t>
            </w:r>
          </w:p>
        </w:tc>
        <w:tc>
          <w:tcPr>
            <w:tcW w:w="0" w:type="auto"/>
            <w:vAlign w:val="center"/>
          </w:tcPr>
          <w:p w14:paraId="0141F294">
            <w:pPr>
              <w:pStyle w:val="62"/>
            </w:pPr>
            <w:r>
              <w:t>3.47</w:t>
            </w:r>
          </w:p>
        </w:tc>
        <w:tc>
          <w:tcPr>
            <w:tcW w:w="0" w:type="auto"/>
            <w:vAlign w:val="center"/>
          </w:tcPr>
          <w:p w14:paraId="5A03D1E9">
            <w:pPr>
              <w:pStyle w:val="62"/>
            </w:pPr>
            <w:r>
              <w:t>4.72</w:t>
            </w:r>
          </w:p>
        </w:tc>
        <w:tc>
          <w:tcPr>
            <w:tcW w:w="0" w:type="auto"/>
            <w:vAlign w:val="center"/>
          </w:tcPr>
          <w:p w14:paraId="5F98AFAF">
            <w:pPr>
              <w:pStyle w:val="62"/>
            </w:pPr>
            <w:r>
              <w:t>4.86</w:t>
            </w:r>
          </w:p>
        </w:tc>
        <w:tc>
          <w:tcPr>
            <w:tcW w:w="0" w:type="auto"/>
            <w:vAlign w:val="center"/>
          </w:tcPr>
          <w:p w14:paraId="7F98C248">
            <w:pPr>
              <w:pStyle w:val="62"/>
            </w:pPr>
            <w:r>
              <w:t>4.03</w:t>
            </w:r>
          </w:p>
        </w:tc>
        <w:tc>
          <w:tcPr>
            <w:tcW w:w="0" w:type="auto"/>
            <w:vAlign w:val="center"/>
          </w:tcPr>
          <w:p w14:paraId="22625213">
            <w:pPr>
              <w:pStyle w:val="62"/>
            </w:pPr>
            <w:r>
              <w:t>1.81</w:t>
            </w:r>
          </w:p>
        </w:tc>
        <w:tc>
          <w:tcPr>
            <w:tcW w:w="0" w:type="auto"/>
            <w:vAlign w:val="center"/>
          </w:tcPr>
          <w:p w14:paraId="30F35794">
            <w:pPr>
              <w:pStyle w:val="62"/>
            </w:pPr>
            <w:r>
              <w:t>1.39</w:t>
            </w:r>
          </w:p>
        </w:tc>
        <w:tc>
          <w:tcPr>
            <w:tcW w:w="0" w:type="auto"/>
            <w:vAlign w:val="center"/>
          </w:tcPr>
          <w:p w14:paraId="027396D8">
            <w:pPr>
              <w:pStyle w:val="62"/>
            </w:pPr>
            <w:r>
              <w:t>0.83</w:t>
            </w:r>
          </w:p>
        </w:tc>
        <w:tc>
          <w:tcPr>
            <w:tcW w:w="0" w:type="auto"/>
            <w:vAlign w:val="center"/>
          </w:tcPr>
          <w:p w14:paraId="276E9A49">
            <w:pPr>
              <w:pStyle w:val="62"/>
            </w:pPr>
            <w:r>
              <w:t>0.69</w:t>
            </w:r>
          </w:p>
        </w:tc>
      </w:tr>
      <w:tr w14:paraId="651366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7D6C67CB">
            <w:pPr>
              <w:pStyle w:val="62"/>
            </w:pPr>
            <w:r>
              <w:t>5</w:t>
            </w:r>
          </w:p>
        </w:tc>
        <w:tc>
          <w:tcPr>
            <w:tcW w:w="232" w:type="pct"/>
            <w:vAlign w:val="center"/>
          </w:tcPr>
          <w:p w14:paraId="42D6CF9B">
            <w:pPr>
              <w:pStyle w:val="62"/>
            </w:pPr>
            <w:r>
              <w:t>3.36</w:t>
            </w:r>
          </w:p>
        </w:tc>
        <w:tc>
          <w:tcPr>
            <w:tcW w:w="0" w:type="auto"/>
            <w:vAlign w:val="center"/>
          </w:tcPr>
          <w:p w14:paraId="45E746B3">
            <w:pPr>
              <w:pStyle w:val="62"/>
            </w:pPr>
            <w:r>
              <w:t>16.13</w:t>
            </w:r>
          </w:p>
        </w:tc>
        <w:tc>
          <w:tcPr>
            <w:tcW w:w="0" w:type="auto"/>
            <w:vAlign w:val="center"/>
          </w:tcPr>
          <w:p w14:paraId="54900F40">
            <w:pPr>
              <w:pStyle w:val="62"/>
            </w:pPr>
            <w:r>
              <w:t>14.92</w:t>
            </w:r>
          </w:p>
        </w:tc>
        <w:tc>
          <w:tcPr>
            <w:tcW w:w="0" w:type="auto"/>
            <w:vAlign w:val="center"/>
          </w:tcPr>
          <w:p w14:paraId="35A5FC5E">
            <w:pPr>
              <w:pStyle w:val="62"/>
            </w:pPr>
            <w:r>
              <w:t>6.18</w:t>
            </w:r>
          </w:p>
        </w:tc>
        <w:tc>
          <w:tcPr>
            <w:tcW w:w="0" w:type="auto"/>
            <w:vAlign w:val="center"/>
          </w:tcPr>
          <w:p w14:paraId="3BCF6E20">
            <w:pPr>
              <w:pStyle w:val="62"/>
            </w:pPr>
            <w:r>
              <w:t>3.63</w:t>
            </w:r>
          </w:p>
        </w:tc>
        <w:tc>
          <w:tcPr>
            <w:tcW w:w="0" w:type="auto"/>
            <w:vAlign w:val="center"/>
          </w:tcPr>
          <w:p w14:paraId="1FC0A282">
            <w:pPr>
              <w:pStyle w:val="62"/>
            </w:pPr>
            <w:r>
              <w:t>3.23</w:t>
            </w:r>
          </w:p>
        </w:tc>
        <w:tc>
          <w:tcPr>
            <w:tcW w:w="0" w:type="auto"/>
            <w:vAlign w:val="center"/>
          </w:tcPr>
          <w:p w14:paraId="3C2729BF">
            <w:pPr>
              <w:pStyle w:val="62"/>
            </w:pPr>
            <w:r>
              <w:t>4.97</w:t>
            </w:r>
          </w:p>
        </w:tc>
        <w:tc>
          <w:tcPr>
            <w:tcW w:w="0" w:type="auto"/>
            <w:vAlign w:val="center"/>
          </w:tcPr>
          <w:p w14:paraId="45795A08">
            <w:pPr>
              <w:pStyle w:val="62"/>
            </w:pPr>
            <w:r>
              <w:t>10.08</w:t>
            </w:r>
          </w:p>
        </w:tc>
        <w:tc>
          <w:tcPr>
            <w:tcW w:w="0" w:type="auto"/>
            <w:vAlign w:val="center"/>
          </w:tcPr>
          <w:p w14:paraId="5B7FAFFC">
            <w:pPr>
              <w:pStyle w:val="62"/>
            </w:pPr>
            <w:r>
              <w:t>15.46</w:t>
            </w:r>
          </w:p>
        </w:tc>
        <w:tc>
          <w:tcPr>
            <w:tcW w:w="0" w:type="auto"/>
            <w:vAlign w:val="center"/>
          </w:tcPr>
          <w:p w14:paraId="4C8F3089">
            <w:pPr>
              <w:pStyle w:val="62"/>
            </w:pPr>
            <w:r>
              <w:t>4.44</w:t>
            </w:r>
          </w:p>
        </w:tc>
        <w:tc>
          <w:tcPr>
            <w:tcW w:w="0" w:type="auto"/>
            <w:vAlign w:val="center"/>
          </w:tcPr>
          <w:p w14:paraId="2C45D761">
            <w:pPr>
              <w:pStyle w:val="62"/>
            </w:pPr>
            <w:r>
              <w:t>5.11</w:t>
            </w:r>
          </w:p>
        </w:tc>
        <w:tc>
          <w:tcPr>
            <w:tcW w:w="0" w:type="auto"/>
            <w:vAlign w:val="center"/>
          </w:tcPr>
          <w:p w14:paraId="0E647564">
            <w:pPr>
              <w:pStyle w:val="62"/>
            </w:pPr>
            <w:r>
              <w:t>4.44</w:t>
            </w:r>
          </w:p>
        </w:tc>
        <w:tc>
          <w:tcPr>
            <w:tcW w:w="0" w:type="auto"/>
            <w:vAlign w:val="center"/>
          </w:tcPr>
          <w:p w14:paraId="3EF825F1">
            <w:pPr>
              <w:pStyle w:val="62"/>
            </w:pPr>
            <w:r>
              <w:t>3.90</w:t>
            </w:r>
          </w:p>
        </w:tc>
        <w:tc>
          <w:tcPr>
            <w:tcW w:w="0" w:type="auto"/>
            <w:vAlign w:val="center"/>
          </w:tcPr>
          <w:p w14:paraId="50D45342">
            <w:pPr>
              <w:pStyle w:val="62"/>
            </w:pPr>
            <w:r>
              <w:t>2.02</w:t>
            </w:r>
          </w:p>
        </w:tc>
        <w:tc>
          <w:tcPr>
            <w:tcW w:w="0" w:type="auto"/>
            <w:vAlign w:val="center"/>
          </w:tcPr>
          <w:p w14:paraId="7C8AFA77">
            <w:pPr>
              <w:pStyle w:val="62"/>
            </w:pPr>
            <w:r>
              <w:t>0.81</w:t>
            </w:r>
          </w:p>
        </w:tc>
        <w:tc>
          <w:tcPr>
            <w:tcW w:w="0" w:type="auto"/>
            <w:vAlign w:val="center"/>
          </w:tcPr>
          <w:p w14:paraId="7AB7B238">
            <w:pPr>
              <w:pStyle w:val="62"/>
            </w:pPr>
            <w:r>
              <w:t>0.81</w:t>
            </w:r>
          </w:p>
        </w:tc>
        <w:tc>
          <w:tcPr>
            <w:tcW w:w="0" w:type="auto"/>
            <w:vAlign w:val="center"/>
          </w:tcPr>
          <w:p w14:paraId="743D0C72">
            <w:pPr>
              <w:pStyle w:val="62"/>
            </w:pPr>
            <w:r>
              <w:t>0.54</w:t>
            </w:r>
          </w:p>
        </w:tc>
      </w:tr>
      <w:tr w14:paraId="18F8AA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69" w:hRule="atLeast"/>
          <w:jc w:val="center"/>
        </w:trPr>
        <w:tc>
          <w:tcPr>
            <w:tcW w:w="337" w:type="pct"/>
            <w:vAlign w:val="center"/>
          </w:tcPr>
          <w:p w14:paraId="34459FCE">
            <w:pPr>
              <w:pStyle w:val="62"/>
            </w:pPr>
            <w:r>
              <w:t>6</w:t>
            </w:r>
          </w:p>
        </w:tc>
        <w:tc>
          <w:tcPr>
            <w:tcW w:w="232" w:type="pct"/>
            <w:vAlign w:val="center"/>
          </w:tcPr>
          <w:p w14:paraId="6E10686A">
            <w:pPr>
              <w:pStyle w:val="62"/>
            </w:pPr>
            <w:r>
              <w:t>3.75</w:t>
            </w:r>
          </w:p>
        </w:tc>
        <w:tc>
          <w:tcPr>
            <w:tcW w:w="0" w:type="auto"/>
            <w:vAlign w:val="center"/>
          </w:tcPr>
          <w:p w14:paraId="0682AEC3">
            <w:pPr>
              <w:pStyle w:val="62"/>
            </w:pPr>
            <w:r>
              <w:t>5.69</w:t>
            </w:r>
          </w:p>
        </w:tc>
        <w:tc>
          <w:tcPr>
            <w:tcW w:w="0" w:type="auto"/>
            <w:vAlign w:val="center"/>
          </w:tcPr>
          <w:p w14:paraId="5E7712E1">
            <w:pPr>
              <w:pStyle w:val="62"/>
            </w:pPr>
            <w:r>
              <w:t>3.75</w:t>
            </w:r>
          </w:p>
        </w:tc>
        <w:tc>
          <w:tcPr>
            <w:tcW w:w="0" w:type="auto"/>
            <w:vAlign w:val="center"/>
          </w:tcPr>
          <w:p w14:paraId="191C29BE">
            <w:pPr>
              <w:pStyle w:val="62"/>
            </w:pPr>
            <w:r>
              <w:t>4.86</w:t>
            </w:r>
          </w:p>
        </w:tc>
        <w:tc>
          <w:tcPr>
            <w:tcW w:w="0" w:type="auto"/>
            <w:vAlign w:val="center"/>
          </w:tcPr>
          <w:p w14:paraId="687A15FE">
            <w:pPr>
              <w:pStyle w:val="62"/>
            </w:pPr>
            <w:r>
              <w:t>10.28</w:t>
            </w:r>
          </w:p>
        </w:tc>
        <w:tc>
          <w:tcPr>
            <w:tcW w:w="0" w:type="auto"/>
            <w:vAlign w:val="center"/>
          </w:tcPr>
          <w:p w14:paraId="2EAAA56A">
            <w:pPr>
              <w:pStyle w:val="62"/>
            </w:pPr>
            <w:r>
              <w:t>4.17</w:t>
            </w:r>
          </w:p>
        </w:tc>
        <w:tc>
          <w:tcPr>
            <w:tcW w:w="0" w:type="auto"/>
            <w:vAlign w:val="center"/>
          </w:tcPr>
          <w:p w14:paraId="63989BD0">
            <w:pPr>
              <w:pStyle w:val="62"/>
            </w:pPr>
            <w:r>
              <w:t>4.03</w:t>
            </w:r>
          </w:p>
        </w:tc>
        <w:tc>
          <w:tcPr>
            <w:tcW w:w="0" w:type="auto"/>
            <w:vAlign w:val="center"/>
          </w:tcPr>
          <w:p w14:paraId="709E5F43">
            <w:pPr>
              <w:pStyle w:val="62"/>
            </w:pPr>
            <w:r>
              <w:t>4.72</w:t>
            </w:r>
          </w:p>
        </w:tc>
        <w:tc>
          <w:tcPr>
            <w:tcW w:w="0" w:type="auto"/>
            <w:vAlign w:val="center"/>
          </w:tcPr>
          <w:p w14:paraId="06B99257">
            <w:pPr>
              <w:pStyle w:val="62"/>
            </w:pPr>
            <w:r>
              <w:t>12.78</w:t>
            </w:r>
          </w:p>
        </w:tc>
        <w:tc>
          <w:tcPr>
            <w:tcW w:w="0" w:type="auto"/>
            <w:vAlign w:val="center"/>
          </w:tcPr>
          <w:p w14:paraId="182FD6F8">
            <w:pPr>
              <w:pStyle w:val="62"/>
            </w:pPr>
            <w:r>
              <w:t>8.19</w:t>
            </w:r>
          </w:p>
        </w:tc>
        <w:tc>
          <w:tcPr>
            <w:tcW w:w="0" w:type="auto"/>
            <w:vAlign w:val="center"/>
          </w:tcPr>
          <w:p w14:paraId="7E56A6E1">
            <w:pPr>
              <w:pStyle w:val="62"/>
            </w:pPr>
            <w:r>
              <w:t>11.11</w:t>
            </w:r>
          </w:p>
        </w:tc>
        <w:tc>
          <w:tcPr>
            <w:tcW w:w="0" w:type="auto"/>
            <w:vAlign w:val="center"/>
          </w:tcPr>
          <w:p w14:paraId="5D4D0E2E">
            <w:pPr>
              <w:pStyle w:val="62"/>
            </w:pPr>
            <w:r>
              <w:t>13.61</w:t>
            </w:r>
          </w:p>
        </w:tc>
        <w:tc>
          <w:tcPr>
            <w:tcW w:w="0" w:type="auto"/>
            <w:vAlign w:val="center"/>
          </w:tcPr>
          <w:p w14:paraId="7025F212">
            <w:pPr>
              <w:pStyle w:val="62"/>
            </w:pPr>
            <w:r>
              <w:t>8.33</w:t>
            </w:r>
          </w:p>
        </w:tc>
        <w:tc>
          <w:tcPr>
            <w:tcW w:w="0" w:type="auto"/>
            <w:vAlign w:val="center"/>
          </w:tcPr>
          <w:p w14:paraId="7AC483F0">
            <w:pPr>
              <w:pStyle w:val="62"/>
            </w:pPr>
            <w:r>
              <w:t>1.94</w:t>
            </w:r>
          </w:p>
        </w:tc>
        <w:tc>
          <w:tcPr>
            <w:tcW w:w="0" w:type="auto"/>
            <w:vAlign w:val="center"/>
          </w:tcPr>
          <w:p w14:paraId="60068180">
            <w:pPr>
              <w:pStyle w:val="62"/>
            </w:pPr>
            <w:r>
              <w:t>0.97</w:t>
            </w:r>
          </w:p>
        </w:tc>
        <w:tc>
          <w:tcPr>
            <w:tcW w:w="0" w:type="auto"/>
            <w:vAlign w:val="center"/>
          </w:tcPr>
          <w:p w14:paraId="74A2FA51">
            <w:pPr>
              <w:pStyle w:val="62"/>
            </w:pPr>
            <w:r>
              <w:t>1.25</w:t>
            </w:r>
          </w:p>
        </w:tc>
        <w:tc>
          <w:tcPr>
            <w:tcW w:w="0" w:type="auto"/>
            <w:vAlign w:val="center"/>
          </w:tcPr>
          <w:p w14:paraId="2B69E811">
            <w:pPr>
              <w:pStyle w:val="62"/>
            </w:pPr>
            <w:r>
              <w:t>0.56</w:t>
            </w:r>
          </w:p>
        </w:tc>
      </w:tr>
      <w:tr w14:paraId="38DEA2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16BA26D1">
            <w:pPr>
              <w:pStyle w:val="62"/>
            </w:pPr>
            <w:r>
              <w:t>7</w:t>
            </w:r>
          </w:p>
        </w:tc>
        <w:tc>
          <w:tcPr>
            <w:tcW w:w="232" w:type="pct"/>
            <w:vAlign w:val="center"/>
          </w:tcPr>
          <w:p w14:paraId="7E6FEED2">
            <w:pPr>
              <w:pStyle w:val="62"/>
            </w:pPr>
            <w:r>
              <w:t>1.88</w:t>
            </w:r>
          </w:p>
        </w:tc>
        <w:tc>
          <w:tcPr>
            <w:tcW w:w="0" w:type="auto"/>
            <w:vAlign w:val="center"/>
          </w:tcPr>
          <w:p w14:paraId="2729F8C2">
            <w:pPr>
              <w:pStyle w:val="62"/>
            </w:pPr>
            <w:r>
              <w:t>6.59</w:t>
            </w:r>
          </w:p>
        </w:tc>
        <w:tc>
          <w:tcPr>
            <w:tcW w:w="0" w:type="auto"/>
            <w:vAlign w:val="center"/>
          </w:tcPr>
          <w:p w14:paraId="1038F7BB">
            <w:pPr>
              <w:pStyle w:val="62"/>
            </w:pPr>
            <w:r>
              <w:t>6.59</w:t>
            </w:r>
          </w:p>
        </w:tc>
        <w:tc>
          <w:tcPr>
            <w:tcW w:w="0" w:type="auto"/>
            <w:vAlign w:val="center"/>
          </w:tcPr>
          <w:p w14:paraId="74847ED2">
            <w:pPr>
              <w:pStyle w:val="62"/>
            </w:pPr>
            <w:r>
              <w:t>6.45</w:t>
            </w:r>
          </w:p>
        </w:tc>
        <w:tc>
          <w:tcPr>
            <w:tcW w:w="0" w:type="auto"/>
            <w:vAlign w:val="center"/>
          </w:tcPr>
          <w:p w14:paraId="1A023FD8">
            <w:pPr>
              <w:pStyle w:val="62"/>
            </w:pPr>
            <w:r>
              <w:t>11.29</w:t>
            </w:r>
          </w:p>
        </w:tc>
        <w:tc>
          <w:tcPr>
            <w:tcW w:w="0" w:type="auto"/>
            <w:vAlign w:val="center"/>
          </w:tcPr>
          <w:p w14:paraId="6357F731">
            <w:pPr>
              <w:pStyle w:val="62"/>
            </w:pPr>
            <w:r>
              <w:t>10.48</w:t>
            </w:r>
          </w:p>
        </w:tc>
        <w:tc>
          <w:tcPr>
            <w:tcW w:w="0" w:type="auto"/>
            <w:vAlign w:val="center"/>
          </w:tcPr>
          <w:p w14:paraId="40B2F5B5">
            <w:pPr>
              <w:pStyle w:val="62"/>
            </w:pPr>
            <w:r>
              <w:t>10.08</w:t>
            </w:r>
          </w:p>
        </w:tc>
        <w:tc>
          <w:tcPr>
            <w:tcW w:w="0" w:type="auto"/>
            <w:vAlign w:val="center"/>
          </w:tcPr>
          <w:p w14:paraId="2C88F19A">
            <w:pPr>
              <w:pStyle w:val="62"/>
            </w:pPr>
            <w:r>
              <w:t>9.27</w:t>
            </w:r>
          </w:p>
        </w:tc>
        <w:tc>
          <w:tcPr>
            <w:tcW w:w="0" w:type="auto"/>
            <w:vAlign w:val="center"/>
          </w:tcPr>
          <w:p w14:paraId="1CA97A6A">
            <w:pPr>
              <w:pStyle w:val="62"/>
            </w:pPr>
            <w:r>
              <w:t>13.31</w:t>
            </w:r>
          </w:p>
        </w:tc>
        <w:tc>
          <w:tcPr>
            <w:tcW w:w="0" w:type="auto"/>
            <w:vAlign w:val="center"/>
          </w:tcPr>
          <w:p w14:paraId="2CC9E357">
            <w:pPr>
              <w:pStyle w:val="62"/>
            </w:pPr>
            <w:r>
              <w:t>4.44</w:t>
            </w:r>
          </w:p>
        </w:tc>
        <w:tc>
          <w:tcPr>
            <w:tcW w:w="0" w:type="auto"/>
            <w:vAlign w:val="center"/>
          </w:tcPr>
          <w:p w14:paraId="5823483C">
            <w:pPr>
              <w:pStyle w:val="62"/>
            </w:pPr>
            <w:r>
              <w:t>4.44</w:t>
            </w:r>
          </w:p>
        </w:tc>
        <w:tc>
          <w:tcPr>
            <w:tcW w:w="0" w:type="auto"/>
            <w:vAlign w:val="center"/>
          </w:tcPr>
          <w:p w14:paraId="5C971883">
            <w:pPr>
              <w:pStyle w:val="62"/>
            </w:pPr>
            <w:r>
              <w:t>7.80</w:t>
            </w:r>
          </w:p>
        </w:tc>
        <w:tc>
          <w:tcPr>
            <w:tcW w:w="0" w:type="auto"/>
            <w:vAlign w:val="center"/>
          </w:tcPr>
          <w:p w14:paraId="2B9436F4">
            <w:pPr>
              <w:pStyle w:val="62"/>
            </w:pPr>
            <w:r>
              <w:t>5.24</w:t>
            </w:r>
          </w:p>
        </w:tc>
        <w:tc>
          <w:tcPr>
            <w:tcW w:w="0" w:type="auto"/>
            <w:vAlign w:val="center"/>
          </w:tcPr>
          <w:p w14:paraId="700CEE8D">
            <w:pPr>
              <w:pStyle w:val="62"/>
            </w:pPr>
            <w:r>
              <w:t>0.54</w:t>
            </w:r>
          </w:p>
        </w:tc>
        <w:tc>
          <w:tcPr>
            <w:tcW w:w="0" w:type="auto"/>
            <w:vAlign w:val="center"/>
          </w:tcPr>
          <w:p w14:paraId="3B28951A">
            <w:pPr>
              <w:pStyle w:val="62"/>
            </w:pPr>
            <w:r>
              <w:t>0.40</w:t>
            </w:r>
          </w:p>
        </w:tc>
        <w:tc>
          <w:tcPr>
            <w:tcW w:w="0" w:type="auto"/>
            <w:vAlign w:val="center"/>
          </w:tcPr>
          <w:p w14:paraId="1EECE648">
            <w:pPr>
              <w:pStyle w:val="62"/>
            </w:pPr>
            <w:r>
              <w:t>0.13</w:t>
            </w:r>
          </w:p>
        </w:tc>
        <w:tc>
          <w:tcPr>
            <w:tcW w:w="0" w:type="auto"/>
            <w:vAlign w:val="center"/>
          </w:tcPr>
          <w:p w14:paraId="014B17D9">
            <w:pPr>
              <w:pStyle w:val="62"/>
            </w:pPr>
            <w:r>
              <w:t>1.08</w:t>
            </w:r>
          </w:p>
        </w:tc>
      </w:tr>
      <w:tr w14:paraId="44ED47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500AB53F">
            <w:pPr>
              <w:pStyle w:val="62"/>
            </w:pPr>
            <w:r>
              <w:t>8</w:t>
            </w:r>
          </w:p>
        </w:tc>
        <w:tc>
          <w:tcPr>
            <w:tcW w:w="232" w:type="pct"/>
            <w:vAlign w:val="center"/>
          </w:tcPr>
          <w:p w14:paraId="45D82247">
            <w:pPr>
              <w:pStyle w:val="62"/>
            </w:pPr>
            <w:r>
              <w:t>3.49</w:t>
            </w:r>
          </w:p>
        </w:tc>
        <w:tc>
          <w:tcPr>
            <w:tcW w:w="0" w:type="auto"/>
            <w:vAlign w:val="center"/>
          </w:tcPr>
          <w:p w14:paraId="0FA7E951">
            <w:pPr>
              <w:pStyle w:val="62"/>
            </w:pPr>
            <w:r>
              <w:t>15.99</w:t>
            </w:r>
          </w:p>
        </w:tc>
        <w:tc>
          <w:tcPr>
            <w:tcW w:w="0" w:type="auto"/>
            <w:vAlign w:val="center"/>
          </w:tcPr>
          <w:p w14:paraId="37AE9501">
            <w:pPr>
              <w:pStyle w:val="62"/>
            </w:pPr>
            <w:r>
              <w:t>8.47</w:t>
            </w:r>
          </w:p>
        </w:tc>
        <w:tc>
          <w:tcPr>
            <w:tcW w:w="0" w:type="auto"/>
            <w:vAlign w:val="center"/>
          </w:tcPr>
          <w:p w14:paraId="3F971344">
            <w:pPr>
              <w:pStyle w:val="62"/>
            </w:pPr>
            <w:r>
              <w:t>7.80</w:t>
            </w:r>
          </w:p>
        </w:tc>
        <w:tc>
          <w:tcPr>
            <w:tcW w:w="0" w:type="auto"/>
            <w:vAlign w:val="center"/>
          </w:tcPr>
          <w:p w14:paraId="21CAF19F">
            <w:pPr>
              <w:pStyle w:val="62"/>
            </w:pPr>
            <w:r>
              <w:t>10.75</w:t>
            </w:r>
          </w:p>
        </w:tc>
        <w:tc>
          <w:tcPr>
            <w:tcW w:w="0" w:type="auto"/>
            <w:vAlign w:val="center"/>
          </w:tcPr>
          <w:p w14:paraId="01A4130B">
            <w:pPr>
              <w:pStyle w:val="62"/>
            </w:pPr>
            <w:r>
              <w:t>6.18</w:t>
            </w:r>
          </w:p>
        </w:tc>
        <w:tc>
          <w:tcPr>
            <w:tcW w:w="0" w:type="auto"/>
            <w:vAlign w:val="center"/>
          </w:tcPr>
          <w:p w14:paraId="0E7B3BE8">
            <w:pPr>
              <w:pStyle w:val="62"/>
            </w:pPr>
            <w:r>
              <w:t>5.65</w:t>
            </w:r>
          </w:p>
        </w:tc>
        <w:tc>
          <w:tcPr>
            <w:tcW w:w="0" w:type="auto"/>
            <w:vAlign w:val="center"/>
          </w:tcPr>
          <w:p w14:paraId="28B5DB85">
            <w:pPr>
              <w:pStyle w:val="62"/>
            </w:pPr>
            <w:r>
              <w:t>8.47</w:t>
            </w:r>
          </w:p>
        </w:tc>
        <w:tc>
          <w:tcPr>
            <w:tcW w:w="0" w:type="auto"/>
            <w:vAlign w:val="center"/>
          </w:tcPr>
          <w:p w14:paraId="63B3510C">
            <w:pPr>
              <w:pStyle w:val="62"/>
            </w:pPr>
            <w:r>
              <w:t>12.90</w:t>
            </w:r>
          </w:p>
        </w:tc>
        <w:tc>
          <w:tcPr>
            <w:tcW w:w="0" w:type="auto"/>
            <w:vAlign w:val="center"/>
          </w:tcPr>
          <w:p w14:paraId="713925BE">
            <w:pPr>
              <w:pStyle w:val="62"/>
            </w:pPr>
            <w:r>
              <w:t>5.91</w:t>
            </w:r>
          </w:p>
        </w:tc>
        <w:tc>
          <w:tcPr>
            <w:tcW w:w="0" w:type="auto"/>
            <w:vAlign w:val="center"/>
          </w:tcPr>
          <w:p w14:paraId="3869CD3B">
            <w:pPr>
              <w:pStyle w:val="62"/>
            </w:pPr>
            <w:r>
              <w:t>3.23</w:t>
            </w:r>
          </w:p>
        </w:tc>
        <w:tc>
          <w:tcPr>
            <w:tcW w:w="0" w:type="auto"/>
            <w:vAlign w:val="center"/>
          </w:tcPr>
          <w:p w14:paraId="4DF316CA">
            <w:pPr>
              <w:pStyle w:val="62"/>
            </w:pPr>
            <w:r>
              <w:t>2.69</w:t>
            </w:r>
          </w:p>
        </w:tc>
        <w:tc>
          <w:tcPr>
            <w:tcW w:w="0" w:type="auto"/>
            <w:vAlign w:val="center"/>
          </w:tcPr>
          <w:p w14:paraId="01BE32BB">
            <w:pPr>
              <w:pStyle w:val="62"/>
            </w:pPr>
            <w:r>
              <w:t>3.23</w:t>
            </w:r>
          </w:p>
        </w:tc>
        <w:tc>
          <w:tcPr>
            <w:tcW w:w="0" w:type="auto"/>
            <w:vAlign w:val="center"/>
          </w:tcPr>
          <w:p w14:paraId="78ACE042">
            <w:pPr>
              <w:pStyle w:val="62"/>
            </w:pPr>
            <w:r>
              <w:t>0.94</w:t>
            </w:r>
          </w:p>
        </w:tc>
        <w:tc>
          <w:tcPr>
            <w:tcW w:w="0" w:type="auto"/>
            <w:vAlign w:val="center"/>
          </w:tcPr>
          <w:p w14:paraId="1B244A41">
            <w:pPr>
              <w:pStyle w:val="62"/>
            </w:pPr>
            <w:r>
              <w:t>1.08</w:t>
            </w:r>
          </w:p>
        </w:tc>
        <w:tc>
          <w:tcPr>
            <w:tcW w:w="0" w:type="auto"/>
            <w:vAlign w:val="center"/>
          </w:tcPr>
          <w:p w14:paraId="5A4156FC">
            <w:pPr>
              <w:pStyle w:val="62"/>
            </w:pPr>
            <w:r>
              <w:t>1.21</w:t>
            </w:r>
          </w:p>
        </w:tc>
        <w:tc>
          <w:tcPr>
            <w:tcW w:w="0" w:type="auto"/>
            <w:vAlign w:val="center"/>
          </w:tcPr>
          <w:p w14:paraId="17B2E44E">
            <w:pPr>
              <w:pStyle w:val="62"/>
            </w:pPr>
            <w:r>
              <w:t>2.02</w:t>
            </w:r>
          </w:p>
        </w:tc>
      </w:tr>
      <w:tr w14:paraId="32DC86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5DD31D97">
            <w:pPr>
              <w:pStyle w:val="62"/>
            </w:pPr>
            <w:r>
              <w:t>9</w:t>
            </w:r>
          </w:p>
        </w:tc>
        <w:tc>
          <w:tcPr>
            <w:tcW w:w="232" w:type="pct"/>
            <w:vAlign w:val="center"/>
          </w:tcPr>
          <w:p w14:paraId="072324AB">
            <w:pPr>
              <w:pStyle w:val="62"/>
            </w:pPr>
            <w:r>
              <w:t>4.17</w:t>
            </w:r>
          </w:p>
        </w:tc>
        <w:tc>
          <w:tcPr>
            <w:tcW w:w="0" w:type="auto"/>
            <w:vAlign w:val="center"/>
          </w:tcPr>
          <w:p w14:paraId="6A425C6E">
            <w:pPr>
              <w:pStyle w:val="62"/>
            </w:pPr>
            <w:r>
              <w:t>15.00</w:t>
            </w:r>
          </w:p>
        </w:tc>
        <w:tc>
          <w:tcPr>
            <w:tcW w:w="0" w:type="auto"/>
            <w:vAlign w:val="center"/>
          </w:tcPr>
          <w:p w14:paraId="0EE0DD87">
            <w:pPr>
              <w:pStyle w:val="62"/>
            </w:pPr>
            <w:r>
              <w:t>8.89</w:t>
            </w:r>
          </w:p>
        </w:tc>
        <w:tc>
          <w:tcPr>
            <w:tcW w:w="0" w:type="auto"/>
            <w:vAlign w:val="center"/>
          </w:tcPr>
          <w:p w14:paraId="639F374B">
            <w:pPr>
              <w:pStyle w:val="62"/>
            </w:pPr>
            <w:r>
              <w:t>7.36</w:t>
            </w:r>
          </w:p>
        </w:tc>
        <w:tc>
          <w:tcPr>
            <w:tcW w:w="0" w:type="auto"/>
            <w:vAlign w:val="center"/>
          </w:tcPr>
          <w:p w14:paraId="6E191B60">
            <w:pPr>
              <w:pStyle w:val="62"/>
            </w:pPr>
            <w:r>
              <w:t>7.50</w:t>
            </w:r>
          </w:p>
        </w:tc>
        <w:tc>
          <w:tcPr>
            <w:tcW w:w="0" w:type="auto"/>
            <w:vAlign w:val="center"/>
          </w:tcPr>
          <w:p w14:paraId="543C17A0">
            <w:pPr>
              <w:pStyle w:val="62"/>
            </w:pPr>
            <w:r>
              <w:t>5.69</w:t>
            </w:r>
          </w:p>
        </w:tc>
        <w:tc>
          <w:tcPr>
            <w:tcW w:w="0" w:type="auto"/>
            <w:vAlign w:val="center"/>
          </w:tcPr>
          <w:p w14:paraId="206348BE">
            <w:pPr>
              <w:pStyle w:val="62"/>
            </w:pPr>
            <w:r>
              <w:t>5.28</w:t>
            </w:r>
          </w:p>
        </w:tc>
        <w:tc>
          <w:tcPr>
            <w:tcW w:w="0" w:type="auto"/>
            <w:vAlign w:val="center"/>
          </w:tcPr>
          <w:p w14:paraId="1BEA5EEB">
            <w:pPr>
              <w:pStyle w:val="62"/>
            </w:pPr>
            <w:r>
              <w:t>8.75</w:t>
            </w:r>
          </w:p>
        </w:tc>
        <w:tc>
          <w:tcPr>
            <w:tcW w:w="0" w:type="auto"/>
            <w:vAlign w:val="center"/>
          </w:tcPr>
          <w:p w14:paraId="09481233">
            <w:pPr>
              <w:pStyle w:val="62"/>
            </w:pPr>
            <w:r>
              <w:t>9.17</w:t>
            </w:r>
          </w:p>
        </w:tc>
        <w:tc>
          <w:tcPr>
            <w:tcW w:w="0" w:type="auto"/>
            <w:vAlign w:val="center"/>
          </w:tcPr>
          <w:p w14:paraId="2CEEE42D">
            <w:pPr>
              <w:pStyle w:val="62"/>
            </w:pPr>
            <w:r>
              <w:t>5.97</w:t>
            </w:r>
          </w:p>
        </w:tc>
        <w:tc>
          <w:tcPr>
            <w:tcW w:w="0" w:type="auto"/>
            <w:vAlign w:val="center"/>
          </w:tcPr>
          <w:p w14:paraId="63B46E48">
            <w:pPr>
              <w:pStyle w:val="62"/>
            </w:pPr>
            <w:r>
              <w:t>6.67</w:t>
            </w:r>
          </w:p>
        </w:tc>
        <w:tc>
          <w:tcPr>
            <w:tcW w:w="0" w:type="auto"/>
            <w:vAlign w:val="center"/>
          </w:tcPr>
          <w:p w14:paraId="1BF7BB7E">
            <w:pPr>
              <w:pStyle w:val="62"/>
            </w:pPr>
            <w:r>
              <w:t>4.58</w:t>
            </w:r>
          </w:p>
        </w:tc>
        <w:tc>
          <w:tcPr>
            <w:tcW w:w="0" w:type="auto"/>
            <w:vAlign w:val="center"/>
          </w:tcPr>
          <w:p w14:paraId="09E08381">
            <w:pPr>
              <w:pStyle w:val="62"/>
            </w:pPr>
            <w:r>
              <w:t>4.31</w:t>
            </w:r>
          </w:p>
        </w:tc>
        <w:tc>
          <w:tcPr>
            <w:tcW w:w="0" w:type="auto"/>
            <w:vAlign w:val="center"/>
          </w:tcPr>
          <w:p w14:paraId="05219E38">
            <w:pPr>
              <w:pStyle w:val="62"/>
            </w:pPr>
            <w:r>
              <w:t>1.11</w:t>
            </w:r>
          </w:p>
        </w:tc>
        <w:tc>
          <w:tcPr>
            <w:tcW w:w="0" w:type="auto"/>
            <w:vAlign w:val="center"/>
          </w:tcPr>
          <w:p w14:paraId="75BF8037">
            <w:pPr>
              <w:pStyle w:val="62"/>
            </w:pPr>
            <w:r>
              <w:t>0.69</w:t>
            </w:r>
          </w:p>
        </w:tc>
        <w:tc>
          <w:tcPr>
            <w:tcW w:w="0" w:type="auto"/>
            <w:vAlign w:val="center"/>
          </w:tcPr>
          <w:p w14:paraId="4EA6AED2">
            <w:pPr>
              <w:pStyle w:val="62"/>
            </w:pPr>
            <w:r>
              <w:t>0.69</w:t>
            </w:r>
          </w:p>
        </w:tc>
        <w:tc>
          <w:tcPr>
            <w:tcW w:w="0" w:type="auto"/>
            <w:vAlign w:val="center"/>
          </w:tcPr>
          <w:p w14:paraId="6B8D9D68">
            <w:pPr>
              <w:pStyle w:val="62"/>
            </w:pPr>
            <w:r>
              <w:t>4.17</w:t>
            </w:r>
          </w:p>
        </w:tc>
      </w:tr>
      <w:tr w14:paraId="4A8251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513144E2">
            <w:pPr>
              <w:pStyle w:val="62"/>
            </w:pPr>
            <w:r>
              <w:t>10</w:t>
            </w:r>
          </w:p>
        </w:tc>
        <w:tc>
          <w:tcPr>
            <w:tcW w:w="232" w:type="pct"/>
            <w:vAlign w:val="center"/>
          </w:tcPr>
          <w:p w14:paraId="6A2C6592">
            <w:pPr>
              <w:pStyle w:val="62"/>
            </w:pPr>
            <w:r>
              <w:t>1.61</w:t>
            </w:r>
          </w:p>
        </w:tc>
        <w:tc>
          <w:tcPr>
            <w:tcW w:w="0" w:type="auto"/>
            <w:vAlign w:val="center"/>
          </w:tcPr>
          <w:p w14:paraId="44417937">
            <w:pPr>
              <w:pStyle w:val="62"/>
            </w:pPr>
            <w:r>
              <w:t>5.78</w:t>
            </w:r>
          </w:p>
        </w:tc>
        <w:tc>
          <w:tcPr>
            <w:tcW w:w="0" w:type="auto"/>
            <w:vAlign w:val="center"/>
          </w:tcPr>
          <w:p w14:paraId="1ED41164">
            <w:pPr>
              <w:pStyle w:val="62"/>
            </w:pPr>
            <w:r>
              <w:t>9.54</w:t>
            </w:r>
          </w:p>
        </w:tc>
        <w:tc>
          <w:tcPr>
            <w:tcW w:w="0" w:type="auto"/>
            <w:vAlign w:val="center"/>
          </w:tcPr>
          <w:p w14:paraId="48ABFE12">
            <w:pPr>
              <w:pStyle w:val="62"/>
            </w:pPr>
            <w:r>
              <w:t>5.91</w:t>
            </w:r>
          </w:p>
        </w:tc>
        <w:tc>
          <w:tcPr>
            <w:tcW w:w="0" w:type="auto"/>
            <w:vAlign w:val="center"/>
          </w:tcPr>
          <w:p w14:paraId="093EE317">
            <w:pPr>
              <w:pStyle w:val="62"/>
            </w:pPr>
            <w:r>
              <w:t>4.44</w:t>
            </w:r>
          </w:p>
        </w:tc>
        <w:tc>
          <w:tcPr>
            <w:tcW w:w="0" w:type="auto"/>
            <w:vAlign w:val="center"/>
          </w:tcPr>
          <w:p w14:paraId="4C9AA812">
            <w:pPr>
              <w:pStyle w:val="62"/>
            </w:pPr>
            <w:r>
              <w:t>3.23</w:t>
            </w:r>
          </w:p>
        </w:tc>
        <w:tc>
          <w:tcPr>
            <w:tcW w:w="0" w:type="auto"/>
            <w:vAlign w:val="center"/>
          </w:tcPr>
          <w:p w14:paraId="642E95A6">
            <w:pPr>
              <w:pStyle w:val="62"/>
            </w:pPr>
            <w:r>
              <w:t>3.23</w:t>
            </w:r>
          </w:p>
        </w:tc>
        <w:tc>
          <w:tcPr>
            <w:tcW w:w="0" w:type="auto"/>
            <w:vAlign w:val="center"/>
          </w:tcPr>
          <w:p w14:paraId="6A2FFCB6">
            <w:pPr>
              <w:pStyle w:val="62"/>
            </w:pPr>
            <w:r>
              <w:t>4.17</w:t>
            </w:r>
          </w:p>
        </w:tc>
        <w:tc>
          <w:tcPr>
            <w:tcW w:w="0" w:type="auto"/>
            <w:vAlign w:val="center"/>
          </w:tcPr>
          <w:p w14:paraId="4DFEB22D">
            <w:pPr>
              <w:pStyle w:val="62"/>
            </w:pPr>
            <w:r>
              <w:t>12.77</w:t>
            </w:r>
          </w:p>
        </w:tc>
        <w:tc>
          <w:tcPr>
            <w:tcW w:w="0" w:type="auto"/>
            <w:vAlign w:val="center"/>
          </w:tcPr>
          <w:p w14:paraId="3F063CF1">
            <w:pPr>
              <w:pStyle w:val="62"/>
            </w:pPr>
            <w:r>
              <w:t>7.93</w:t>
            </w:r>
          </w:p>
        </w:tc>
        <w:tc>
          <w:tcPr>
            <w:tcW w:w="0" w:type="auto"/>
            <w:vAlign w:val="center"/>
          </w:tcPr>
          <w:p w14:paraId="6D5CC629">
            <w:pPr>
              <w:pStyle w:val="62"/>
            </w:pPr>
            <w:r>
              <w:t>11.83</w:t>
            </w:r>
          </w:p>
        </w:tc>
        <w:tc>
          <w:tcPr>
            <w:tcW w:w="0" w:type="auto"/>
            <w:vAlign w:val="center"/>
          </w:tcPr>
          <w:p w14:paraId="1B2B0038">
            <w:pPr>
              <w:pStyle w:val="62"/>
            </w:pPr>
            <w:r>
              <w:t>13.58</w:t>
            </w:r>
          </w:p>
        </w:tc>
        <w:tc>
          <w:tcPr>
            <w:tcW w:w="0" w:type="auto"/>
            <w:vAlign w:val="center"/>
          </w:tcPr>
          <w:p w14:paraId="5BB4186B">
            <w:pPr>
              <w:pStyle w:val="62"/>
            </w:pPr>
            <w:r>
              <w:t>9.01</w:t>
            </w:r>
          </w:p>
        </w:tc>
        <w:tc>
          <w:tcPr>
            <w:tcW w:w="0" w:type="auto"/>
            <w:vAlign w:val="center"/>
          </w:tcPr>
          <w:p w14:paraId="2719A3EE">
            <w:pPr>
              <w:pStyle w:val="62"/>
            </w:pPr>
            <w:r>
              <w:t>2.28</w:t>
            </w:r>
          </w:p>
        </w:tc>
        <w:tc>
          <w:tcPr>
            <w:tcW w:w="0" w:type="auto"/>
            <w:vAlign w:val="center"/>
          </w:tcPr>
          <w:p w14:paraId="1DB299E2">
            <w:pPr>
              <w:pStyle w:val="62"/>
            </w:pPr>
            <w:r>
              <w:t>0.94</w:t>
            </w:r>
          </w:p>
        </w:tc>
        <w:tc>
          <w:tcPr>
            <w:tcW w:w="0" w:type="auto"/>
            <w:vAlign w:val="center"/>
          </w:tcPr>
          <w:p w14:paraId="67C64452">
            <w:pPr>
              <w:pStyle w:val="62"/>
            </w:pPr>
            <w:r>
              <w:t>0.40</w:t>
            </w:r>
          </w:p>
        </w:tc>
        <w:tc>
          <w:tcPr>
            <w:tcW w:w="0" w:type="auto"/>
            <w:vAlign w:val="center"/>
          </w:tcPr>
          <w:p w14:paraId="3C37FA18">
            <w:pPr>
              <w:pStyle w:val="62"/>
            </w:pPr>
            <w:r>
              <w:t>3.36</w:t>
            </w:r>
          </w:p>
        </w:tc>
      </w:tr>
      <w:tr w14:paraId="170952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0483FCFE">
            <w:pPr>
              <w:pStyle w:val="62"/>
            </w:pPr>
            <w:r>
              <w:t>11</w:t>
            </w:r>
          </w:p>
        </w:tc>
        <w:tc>
          <w:tcPr>
            <w:tcW w:w="232" w:type="pct"/>
            <w:vAlign w:val="center"/>
          </w:tcPr>
          <w:p w14:paraId="568D5704">
            <w:pPr>
              <w:pStyle w:val="62"/>
            </w:pPr>
            <w:r>
              <w:t>2.50</w:t>
            </w:r>
          </w:p>
        </w:tc>
        <w:tc>
          <w:tcPr>
            <w:tcW w:w="0" w:type="auto"/>
            <w:vAlign w:val="center"/>
          </w:tcPr>
          <w:p w14:paraId="07501DE2">
            <w:pPr>
              <w:pStyle w:val="62"/>
            </w:pPr>
            <w:r>
              <w:t>13.19</w:t>
            </w:r>
          </w:p>
        </w:tc>
        <w:tc>
          <w:tcPr>
            <w:tcW w:w="0" w:type="auto"/>
            <w:vAlign w:val="center"/>
          </w:tcPr>
          <w:p w14:paraId="27970A05">
            <w:pPr>
              <w:pStyle w:val="62"/>
            </w:pPr>
            <w:r>
              <w:t>14.44</w:t>
            </w:r>
          </w:p>
        </w:tc>
        <w:tc>
          <w:tcPr>
            <w:tcW w:w="0" w:type="auto"/>
            <w:vAlign w:val="center"/>
          </w:tcPr>
          <w:p w14:paraId="68682E04">
            <w:pPr>
              <w:pStyle w:val="62"/>
            </w:pPr>
            <w:r>
              <w:t>8.33</w:t>
            </w:r>
          </w:p>
        </w:tc>
        <w:tc>
          <w:tcPr>
            <w:tcW w:w="0" w:type="auto"/>
            <w:vAlign w:val="center"/>
          </w:tcPr>
          <w:p w14:paraId="7FBA453D">
            <w:pPr>
              <w:pStyle w:val="62"/>
            </w:pPr>
            <w:r>
              <w:t>5.56</w:t>
            </w:r>
          </w:p>
        </w:tc>
        <w:tc>
          <w:tcPr>
            <w:tcW w:w="0" w:type="auto"/>
            <w:vAlign w:val="center"/>
          </w:tcPr>
          <w:p w14:paraId="27FF23AE">
            <w:pPr>
              <w:pStyle w:val="62"/>
            </w:pPr>
            <w:r>
              <w:t>2.92</w:t>
            </w:r>
          </w:p>
        </w:tc>
        <w:tc>
          <w:tcPr>
            <w:tcW w:w="0" w:type="auto"/>
            <w:vAlign w:val="center"/>
          </w:tcPr>
          <w:p w14:paraId="0208A10F">
            <w:pPr>
              <w:pStyle w:val="62"/>
            </w:pPr>
            <w:r>
              <w:t>3.61</w:t>
            </w:r>
          </w:p>
        </w:tc>
        <w:tc>
          <w:tcPr>
            <w:tcW w:w="0" w:type="auto"/>
            <w:vAlign w:val="center"/>
          </w:tcPr>
          <w:p w14:paraId="20175D92">
            <w:pPr>
              <w:pStyle w:val="62"/>
            </w:pPr>
            <w:r>
              <w:t>4.17</w:t>
            </w:r>
          </w:p>
        </w:tc>
        <w:tc>
          <w:tcPr>
            <w:tcW w:w="0" w:type="auto"/>
            <w:vAlign w:val="center"/>
          </w:tcPr>
          <w:p w14:paraId="3B6D6875">
            <w:pPr>
              <w:pStyle w:val="62"/>
            </w:pPr>
            <w:r>
              <w:t>10.00</w:t>
            </w:r>
          </w:p>
        </w:tc>
        <w:tc>
          <w:tcPr>
            <w:tcW w:w="0" w:type="auto"/>
            <w:vAlign w:val="center"/>
          </w:tcPr>
          <w:p w14:paraId="6F4D26BE">
            <w:pPr>
              <w:pStyle w:val="62"/>
            </w:pPr>
            <w:r>
              <w:t>6.94</w:t>
            </w:r>
          </w:p>
        </w:tc>
        <w:tc>
          <w:tcPr>
            <w:tcW w:w="0" w:type="auto"/>
            <w:vAlign w:val="center"/>
          </w:tcPr>
          <w:p w14:paraId="7DD449D8">
            <w:pPr>
              <w:pStyle w:val="62"/>
            </w:pPr>
            <w:r>
              <w:t>5.28</w:t>
            </w:r>
          </w:p>
        </w:tc>
        <w:tc>
          <w:tcPr>
            <w:tcW w:w="0" w:type="auto"/>
            <w:vAlign w:val="center"/>
          </w:tcPr>
          <w:p w14:paraId="5421E95D">
            <w:pPr>
              <w:pStyle w:val="62"/>
            </w:pPr>
            <w:r>
              <w:t>5.69</w:t>
            </w:r>
          </w:p>
        </w:tc>
        <w:tc>
          <w:tcPr>
            <w:tcW w:w="0" w:type="auto"/>
            <w:vAlign w:val="center"/>
          </w:tcPr>
          <w:p w14:paraId="34028567">
            <w:pPr>
              <w:pStyle w:val="62"/>
            </w:pPr>
            <w:r>
              <w:t>10.14</w:t>
            </w:r>
          </w:p>
        </w:tc>
        <w:tc>
          <w:tcPr>
            <w:tcW w:w="0" w:type="auto"/>
            <w:vAlign w:val="center"/>
          </w:tcPr>
          <w:p w14:paraId="5FC49A7B">
            <w:pPr>
              <w:pStyle w:val="62"/>
            </w:pPr>
            <w:r>
              <w:t>3.61</w:t>
            </w:r>
          </w:p>
        </w:tc>
        <w:tc>
          <w:tcPr>
            <w:tcW w:w="0" w:type="auto"/>
            <w:vAlign w:val="center"/>
          </w:tcPr>
          <w:p w14:paraId="14674743">
            <w:pPr>
              <w:pStyle w:val="62"/>
            </w:pPr>
            <w:r>
              <w:t>1.39</w:t>
            </w:r>
          </w:p>
        </w:tc>
        <w:tc>
          <w:tcPr>
            <w:tcW w:w="0" w:type="auto"/>
            <w:vAlign w:val="center"/>
          </w:tcPr>
          <w:p w14:paraId="5925A25D">
            <w:pPr>
              <w:pStyle w:val="62"/>
            </w:pPr>
            <w:r>
              <w:t>1.53</w:t>
            </w:r>
          </w:p>
        </w:tc>
        <w:tc>
          <w:tcPr>
            <w:tcW w:w="0" w:type="auto"/>
            <w:vAlign w:val="center"/>
          </w:tcPr>
          <w:p w14:paraId="13D2BF80">
            <w:pPr>
              <w:pStyle w:val="62"/>
            </w:pPr>
            <w:r>
              <w:t>0.69</w:t>
            </w:r>
          </w:p>
        </w:tc>
      </w:tr>
      <w:tr w14:paraId="313E06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37" w:type="pct"/>
            <w:vAlign w:val="center"/>
          </w:tcPr>
          <w:p w14:paraId="5BB604D3">
            <w:pPr>
              <w:pStyle w:val="62"/>
            </w:pPr>
            <w:r>
              <w:t>12</w:t>
            </w:r>
          </w:p>
        </w:tc>
        <w:tc>
          <w:tcPr>
            <w:tcW w:w="232" w:type="pct"/>
            <w:vAlign w:val="center"/>
          </w:tcPr>
          <w:p w14:paraId="70E3F927">
            <w:pPr>
              <w:pStyle w:val="62"/>
            </w:pPr>
            <w:r>
              <w:t>3.76</w:t>
            </w:r>
          </w:p>
        </w:tc>
        <w:tc>
          <w:tcPr>
            <w:tcW w:w="0" w:type="auto"/>
            <w:vAlign w:val="center"/>
          </w:tcPr>
          <w:p w14:paraId="74DA3996">
            <w:pPr>
              <w:pStyle w:val="62"/>
            </w:pPr>
            <w:r>
              <w:t>15.73</w:t>
            </w:r>
          </w:p>
        </w:tc>
        <w:tc>
          <w:tcPr>
            <w:tcW w:w="0" w:type="auto"/>
            <w:vAlign w:val="center"/>
          </w:tcPr>
          <w:p w14:paraId="72E02966">
            <w:pPr>
              <w:pStyle w:val="62"/>
            </w:pPr>
            <w:r>
              <w:t>13.17</w:t>
            </w:r>
          </w:p>
        </w:tc>
        <w:tc>
          <w:tcPr>
            <w:tcW w:w="0" w:type="auto"/>
            <w:vAlign w:val="center"/>
          </w:tcPr>
          <w:p w14:paraId="1CA11C47">
            <w:pPr>
              <w:pStyle w:val="62"/>
            </w:pPr>
            <w:r>
              <w:t>8.60</w:t>
            </w:r>
          </w:p>
        </w:tc>
        <w:tc>
          <w:tcPr>
            <w:tcW w:w="0" w:type="auto"/>
            <w:vAlign w:val="center"/>
          </w:tcPr>
          <w:p w14:paraId="6BC68AC2">
            <w:pPr>
              <w:pStyle w:val="62"/>
            </w:pPr>
            <w:r>
              <w:t>8.74</w:t>
            </w:r>
          </w:p>
        </w:tc>
        <w:tc>
          <w:tcPr>
            <w:tcW w:w="0" w:type="auto"/>
            <w:vAlign w:val="center"/>
          </w:tcPr>
          <w:p w14:paraId="3AC632CE">
            <w:pPr>
              <w:pStyle w:val="62"/>
            </w:pPr>
            <w:r>
              <w:t>3.09</w:t>
            </w:r>
          </w:p>
        </w:tc>
        <w:tc>
          <w:tcPr>
            <w:tcW w:w="0" w:type="auto"/>
            <w:vAlign w:val="center"/>
          </w:tcPr>
          <w:p w14:paraId="6097EC44">
            <w:pPr>
              <w:pStyle w:val="62"/>
            </w:pPr>
            <w:r>
              <w:t>3.49</w:t>
            </w:r>
          </w:p>
        </w:tc>
        <w:tc>
          <w:tcPr>
            <w:tcW w:w="0" w:type="auto"/>
            <w:vAlign w:val="center"/>
          </w:tcPr>
          <w:p w14:paraId="3F4FC7F7">
            <w:pPr>
              <w:pStyle w:val="62"/>
            </w:pPr>
            <w:r>
              <w:t>4.97</w:t>
            </w:r>
          </w:p>
        </w:tc>
        <w:tc>
          <w:tcPr>
            <w:tcW w:w="0" w:type="auto"/>
            <w:vAlign w:val="center"/>
          </w:tcPr>
          <w:p w14:paraId="72B731B5">
            <w:pPr>
              <w:pStyle w:val="62"/>
            </w:pPr>
            <w:r>
              <w:t>10.75</w:t>
            </w:r>
          </w:p>
        </w:tc>
        <w:tc>
          <w:tcPr>
            <w:tcW w:w="0" w:type="auto"/>
            <w:vAlign w:val="center"/>
          </w:tcPr>
          <w:p w14:paraId="78FAEAEE">
            <w:pPr>
              <w:pStyle w:val="62"/>
            </w:pPr>
            <w:r>
              <w:t>4.70</w:t>
            </w:r>
          </w:p>
        </w:tc>
        <w:tc>
          <w:tcPr>
            <w:tcW w:w="0" w:type="auto"/>
            <w:vAlign w:val="center"/>
          </w:tcPr>
          <w:p w14:paraId="4D13A82B">
            <w:pPr>
              <w:pStyle w:val="62"/>
            </w:pPr>
            <w:r>
              <w:t>7.26</w:t>
            </w:r>
          </w:p>
        </w:tc>
        <w:tc>
          <w:tcPr>
            <w:tcW w:w="0" w:type="auto"/>
            <w:vAlign w:val="center"/>
          </w:tcPr>
          <w:p w14:paraId="06274F45">
            <w:pPr>
              <w:pStyle w:val="62"/>
            </w:pPr>
            <w:r>
              <w:t>4.84</w:t>
            </w:r>
          </w:p>
        </w:tc>
        <w:tc>
          <w:tcPr>
            <w:tcW w:w="0" w:type="auto"/>
            <w:vAlign w:val="center"/>
          </w:tcPr>
          <w:p w14:paraId="2D18AEC8">
            <w:pPr>
              <w:pStyle w:val="62"/>
            </w:pPr>
            <w:r>
              <w:t>7.39</w:t>
            </w:r>
          </w:p>
        </w:tc>
        <w:tc>
          <w:tcPr>
            <w:tcW w:w="0" w:type="auto"/>
            <w:vAlign w:val="center"/>
          </w:tcPr>
          <w:p w14:paraId="26F608A6">
            <w:pPr>
              <w:pStyle w:val="62"/>
            </w:pPr>
            <w:r>
              <w:t>1.21</w:t>
            </w:r>
          </w:p>
        </w:tc>
        <w:tc>
          <w:tcPr>
            <w:tcW w:w="0" w:type="auto"/>
            <w:vAlign w:val="center"/>
          </w:tcPr>
          <w:p w14:paraId="47B6818D">
            <w:pPr>
              <w:pStyle w:val="62"/>
            </w:pPr>
            <w:r>
              <w:t>1.08</w:t>
            </w:r>
          </w:p>
        </w:tc>
        <w:tc>
          <w:tcPr>
            <w:tcW w:w="0" w:type="auto"/>
            <w:vAlign w:val="center"/>
          </w:tcPr>
          <w:p w14:paraId="3F94CF5F">
            <w:pPr>
              <w:pStyle w:val="62"/>
            </w:pPr>
            <w:r>
              <w:t>0.40</w:t>
            </w:r>
          </w:p>
        </w:tc>
        <w:tc>
          <w:tcPr>
            <w:tcW w:w="0" w:type="auto"/>
            <w:vAlign w:val="center"/>
          </w:tcPr>
          <w:p w14:paraId="4AE43E7C">
            <w:pPr>
              <w:pStyle w:val="62"/>
            </w:pPr>
            <w:r>
              <w:t>0.81</w:t>
            </w:r>
          </w:p>
        </w:tc>
      </w:tr>
    </w:tbl>
    <w:p w14:paraId="1D3ED33F">
      <w:pPr>
        <w:pStyle w:val="64"/>
        <w:numPr>
          <w:ilvl w:val="2"/>
          <w:numId w:val="25"/>
        </w:numPr>
        <w:spacing w:before="120"/>
        <w:ind w:left="0" w:firstLine="480" w:firstLineChars="200"/>
      </w:pPr>
      <w:r>
        <w:t xml:space="preserve">              全年及各季风向频率(%)</w:t>
      </w:r>
    </w:p>
    <w:tbl>
      <w:tblPr>
        <w:tblStyle w:val="41"/>
        <w:tblW w:w="529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488"/>
        <w:gridCol w:w="437"/>
        <w:gridCol w:w="558"/>
        <w:gridCol w:w="558"/>
        <w:gridCol w:w="449"/>
        <w:gridCol w:w="558"/>
        <w:gridCol w:w="437"/>
        <w:gridCol w:w="437"/>
        <w:gridCol w:w="437"/>
        <w:gridCol w:w="558"/>
        <w:gridCol w:w="461"/>
        <w:gridCol w:w="437"/>
        <w:gridCol w:w="555"/>
        <w:gridCol w:w="437"/>
        <w:gridCol w:w="590"/>
        <w:gridCol w:w="450"/>
        <w:gridCol w:w="531"/>
        <w:gridCol w:w="439"/>
      </w:tblGrid>
      <w:tr w14:paraId="7CF2FC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77" w:type="pct"/>
            <w:tcBorders>
              <w:top w:val="single" w:color="auto" w:sz="8" w:space="0"/>
              <w:left w:val="single" w:color="auto" w:sz="8" w:space="0"/>
              <w:bottom w:val="single" w:color="auto" w:sz="6" w:space="0"/>
              <w:right w:val="single" w:color="auto" w:sz="6" w:space="0"/>
            </w:tcBorders>
            <w:vAlign w:val="center"/>
          </w:tcPr>
          <w:p w14:paraId="389C37C8">
            <w:pPr>
              <w:spacing w:line="360" w:lineRule="exact"/>
              <w:ind w:firstLine="0" w:firstLineChars="0"/>
              <w:jc w:val="center"/>
              <w:rPr>
                <w:b/>
                <w:sz w:val="21"/>
                <w:szCs w:val="21"/>
              </w:rPr>
            </w:pPr>
            <w:r>
              <w:rPr>
                <w:b/>
                <w:sz w:val="21"/>
                <w:szCs w:val="21"/>
              </w:rPr>
              <w:t>风向</w:t>
            </w:r>
          </w:p>
          <w:p w14:paraId="5C14B632">
            <w:pPr>
              <w:spacing w:line="360" w:lineRule="exact"/>
              <w:ind w:firstLine="0" w:firstLineChars="0"/>
              <w:jc w:val="center"/>
              <w:rPr>
                <w:b/>
                <w:sz w:val="21"/>
                <w:szCs w:val="21"/>
              </w:rPr>
            </w:pPr>
            <w:r>
              <w:rPr>
                <w:b/>
                <w:sz w:val="21"/>
                <w:szCs w:val="21"/>
              </w:rPr>
              <w:t>时间</w:t>
            </w:r>
          </w:p>
        </w:tc>
        <w:tc>
          <w:tcPr>
            <w:tcW w:w="0" w:type="auto"/>
            <w:tcBorders>
              <w:top w:val="single" w:color="auto" w:sz="8" w:space="0"/>
              <w:left w:val="single" w:color="auto" w:sz="6" w:space="0"/>
              <w:bottom w:val="single" w:color="auto" w:sz="6" w:space="0"/>
              <w:right w:val="single" w:color="auto" w:sz="6" w:space="0"/>
            </w:tcBorders>
            <w:vAlign w:val="center"/>
          </w:tcPr>
          <w:p w14:paraId="219E7209">
            <w:pPr>
              <w:spacing w:line="360" w:lineRule="exact"/>
              <w:ind w:firstLine="0" w:firstLineChars="0"/>
              <w:jc w:val="center"/>
              <w:rPr>
                <w:b/>
                <w:sz w:val="21"/>
                <w:szCs w:val="21"/>
              </w:rPr>
            </w:pPr>
            <w:r>
              <w:rPr>
                <w:b/>
                <w:sz w:val="21"/>
                <w:szCs w:val="21"/>
              </w:rPr>
              <w:t>N</w:t>
            </w:r>
          </w:p>
        </w:tc>
        <w:tc>
          <w:tcPr>
            <w:tcW w:w="0" w:type="auto"/>
            <w:tcBorders>
              <w:top w:val="single" w:color="auto" w:sz="8" w:space="0"/>
              <w:left w:val="single" w:color="auto" w:sz="6" w:space="0"/>
              <w:bottom w:val="single" w:color="auto" w:sz="6" w:space="0"/>
              <w:right w:val="single" w:color="auto" w:sz="6" w:space="0"/>
            </w:tcBorders>
            <w:vAlign w:val="center"/>
          </w:tcPr>
          <w:p w14:paraId="56897CE3">
            <w:pPr>
              <w:spacing w:line="360" w:lineRule="exact"/>
              <w:ind w:firstLine="0" w:firstLineChars="0"/>
              <w:jc w:val="center"/>
              <w:rPr>
                <w:b/>
                <w:sz w:val="21"/>
                <w:szCs w:val="21"/>
              </w:rPr>
            </w:pPr>
            <w:r>
              <w:rPr>
                <w:b/>
                <w:sz w:val="21"/>
                <w:szCs w:val="21"/>
              </w:rPr>
              <w:t>NNE</w:t>
            </w:r>
          </w:p>
        </w:tc>
        <w:tc>
          <w:tcPr>
            <w:tcW w:w="0" w:type="auto"/>
            <w:tcBorders>
              <w:top w:val="single" w:color="auto" w:sz="8" w:space="0"/>
              <w:left w:val="single" w:color="auto" w:sz="6" w:space="0"/>
              <w:bottom w:val="single" w:color="auto" w:sz="6" w:space="0"/>
              <w:right w:val="single" w:color="auto" w:sz="6" w:space="0"/>
            </w:tcBorders>
            <w:vAlign w:val="center"/>
          </w:tcPr>
          <w:p w14:paraId="73890473">
            <w:pPr>
              <w:spacing w:line="360" w:lineRule="exact"/>
              <w:ind w:firstLine="0" w:firstLineChars="0"/>
              <w:jc w:val="center"/>
              <w:rPr>
                <w:b/>
                <w:sz w:val="21"/>
                <w:szCs w:val="21"/>
              </w:rPr>
            </w:pPr>
            <w:r>
              <w:rPr>
                <w:b/>
                <w:sz w:val="21"/>
                <w:szCs w:val="21"/>
              </w:rPr>
              <w:t>NE</w:t>
            </w:r>
          </w:p>
        </w:tc>
        <w:tc>
          <w:tcPr>
            <w:tcW w:w="0" w:type="auto"/>
            <w:tcBorders>
              <w:top w:val="single" w:color="auto" w:sz="8" w:space="0"/>
              <w:left w:val="single" w:color="auto" w:sz="6" w:space="0"/>
              <w:bottom w:val="single" w:color="auto" w:sz="6" w:space="0"/>
              <w:right w:val="single" w:color="auto" w:sz="6" w:space="0"/>
            </w:tcBorders>
            <w:vAlign w:val="center"/>
          </w:tcPr>
          <w:p w14:paraId="6A7CB6DF">
            <w:pPr>
              <w:spacing w:line="360" w:lineRule="exact"/>
              <w:ind w:firstLine="0" w:firstLineChars="0"/>
              <w:jc w:val="center"/>
              <w:rPr>
                <w:b/>
                <w:sz w:val="21"/>
                <w:szCs w:val="21"/>
              </w:rPr>
            </w:pPr>
            <w:r>
              <w:rPr>
                <w:b/>
                <w:sz w:val="21"/>
                <w:szCs w:val="21"/>
              </w:rPr>
              <w:t>ENE</w:t>
            </w:r>
          </w:p>
        </w:tc>
        <w:tc>
          <w:tcPr>
            <w:tcW w:w="0" w:type="auto"/>
            <w:tcBorders>
              <w:top w:val="single" w:color="auto" w:sz="8" w:space="0"/>
              <w:left w:val="single" w:color="auto" w:sz="6" w:space="0"/>
              <w:bottom w:val="single" w:color="auto" w:sz="6" w:space="0"/>
              <w:right w:val="single" w:color="auto" w:sz="6" w:space="0"/>
            </w:tcBorders>
            <w:vAlign w:val="center"/>
          </w:tcPr>
          <w:p w14:paraId="4D807608">
            <w:pPr>
              <w:spacing w:line="360" w:lineRule="exact"/>
              <w:ind w:firstLine="0" w:firstLineChars="0"/>
              <w:jc w:val="center"/>
              <w:rPr>
                <w:b/>
                <w:sz w:val="21"/>
                <w:szCs w:val="21"/>
              </w:rPr>
            </w:pPr>
            <w:r>
              <w:rPr>
                <w:b/>
                <w:sz w:val="21"/>
                <w:szCs w:val="21"/>
              </w:rPr>
              <w:t>E</w:t>
            </w:r>
          </w:p>
        </w:tc>
        <w:tc>
          <w:tcPr>
            <w:tcW w:w="0" w:type="auto"/>
            <w:tcBorders>
              <w:top w:val="single" w:color="auto" w:sz="8" w:space="0"/>
              <w:left w:val="single" w:color="auto" w:sz="6" w:space="0"/>
              <w:bottom w:val="single" w:color="auto" w:sz="6" w:space="0"/>
              <w:right w:val="single" w:color="auto" w:sz="6" w:space="0"/>
            </w:tcBorders>
            <w:vAlign w:val="center"/>
          </w:tcPr>
          <w:p w14:paraId="543CF5C2">
            <w:pPr>
              <w:spacing w:line="360" w:lineRule="exact"/>
              <w:ind w:firstLine="0" w:firstLineChars="0"/>
              <w:jc w:val="center"/>
              <w:rPr>
                <w:b/>
                <w:sz w:val="21"/>
                <w:szCs w:val="21"/>
              </w:rPr>
            </w:pPr>
            <w:r>
              <w:rPr>
                <w:b/>
                <w:sz w:val="21"/>
                <w:szCs w:val="21"/>
              </w:rPr>
              <w:t>ESE</w:t>
            </w:r>
          </w:p>
        </w:tc>
        <w:tc>
          <w:tcPr>
            <w:tcW w:w="0" w:type="auto"/>
            <w:tcBorders>
              <w:top w:val="single" w:color="auto" w:sz="8" w:space="0"/>
              <w:left w:val="single" w:color="auto" w:sz="6" w:space="0"/>
              <w:bottom w:val="single" w:color="auto" w:sz="6" w:space="0"/>
              <w:right w:val="single" w:color="auto" w:sz="6" w:space="0"/>
            </w:tcBorders>
            <w:vAlign w:val="center"/>
          </w:tcPr>
          <w:p w14:paraId="41AD000C">
            <w:pPr>
              <w:spacing w:line="360" w:lineRule="exact"/>
              <w:ind w:firstLine="0" w:firstLineChars="0"/>
              <w:jc w:val="center"/>
              <w:rPr>
                <w:b/>
                <w:sz w:val="21"/>
                <w:szCs w:val="21"/>
              </w:rPr>
            </w:pPr>
            <w:r>
              <w:rPr>
                <w:b/>
                <w:sz w:val="21"/>
                <w:szCs w:val="21"/>
              </w:rPr>
              <w:t>SE</w:t>
            </w:r>
          </w:p>
        </w:tc>
        <w:tc>
          <w:tcPr>
            <w:tcW w:w="0" w:type="auto"/>
            <w:tcBorders>
              <w:top w:val="single" w:color="auto" w:sz="8" w:space="0"/>
              <w:left w:val="single" w:color="auto" w:sz="6" w:space="0"/>
              <w:bottom w:val="single" w:color="auto" w:sz="6" w:space="0"/>
              <w:right w:val="single" w:color="auto" w:sz="6" w:space="0"/>
            </w:tcBorders>
            <w:vAlign w:val="center"/>
          </w:tcPr>
          <w:p w14:paraId="24E7ADC5">
            <w:pPr>
              <w:spacing w:line="360" w:lineRule="exact"/>
              <w:ind w:firstLine="0" w:firstLineChars="0"/>
              <w:jc w:val="center"/>
              <w:rPr>
                <w:b/>
                <w:sz w:val="21"/>
                <w:szCs w:val="21"/>
              </w:rPr>
            </w:pPr>
            <w:r>
              <w:rPr>
                <w:b/>
                <w:sz w:val="21"/>
                <w:szCs w:val="21"/>
              </w:rPr>
              <w:t>SSE</w:t>
            </w:r>
          </w:p>
        </w:tc>
        <w:tc>
          <w:tcPr>
            <w:tcW w:w="0" w:type="auto"/>
            <w:tcBorders>
              <w:top w:val="single" w:color="auto" w:sz="8" w:space="0"/>
              <w:left w:val="single" w:color="auto" w:sz="6" w:space="0"/>
              <w:bottom w:val="single" w:color="auto" w:sz="6" w:space="0"/>
              <w:right w:val="single" w:color="auto" w:sz="6" w:space="0"/>
            </w:tcBorders>
            <w:vAlign w:val="center"/>
          </w:tcPr>
          <w:p w14:paraId="67021723">
            <w:pPr>
              <w:spacing w:line="360" w:lineRule="exact"/>
              <w:ind w:firstLine="0" w:firstLineChars="0"/>
              <w:jc w:val="center"/>
              <w:rPr>
                <w:b/>
                <w:sz w:val="21"/>
                <w:szCs w:val="21"/>
              </w:rPr>
            </w:pPr>
            <w:r>
              <w:rPr>
                <w:b/>
                <w:sz w:val="21"/>
                <w:szCs w:val="21"/>
              </w:rPr>
              <w:t>S</w:t>
            </w:r>
          </w:p>
        </w:tc>
        <w:tc>
          <w:tcPr>
            <w:tcW w:w="0" w:type="auto"/>
            <w:tcBorders>
              <w:top w:val="single" w:color="auto" w:sz="8" w:space="0"/>
              <w:left w:val="single" w:color="auto" w:sz="6" w:space="0"/>
              <w:bottom w:val="single" w:color="auto" w:sz="6" w:space="0"/>
              <w:right w:val="single" w:color="auto" w:sz="6" w:space="0"/>
            </w:tcBorders>
            <w:vAlign w:val="center"/>
          </w:tcPr>
          <w:p w14:paraId="563E78DF">
            <w:pPr>
              <w:spacing w:line="360" w:lineRule="exact"/>
              <w:ind w:firstLine="0" w:firstLineChars="0"/>
              <w:jc w:val="center"/>
              <w:rPr>
                <w:b/>
                <w:sz w:val="21"/>
                <w:szCs w:val="21"/>
              </w:rPr>
            </w:pPr>
            <w:r>
              <w:rPr>
                <w:b/>
                <w:sz w:val="21"/>
                <w:szCs w:val="21"/>
              </w:rPr>
              <w:t>SSW</w:t>
            </w:r>
          </w:p>
        </w:tc>
        <w:tc>
          <w:tcPr>
            <w:tcW w:w="0" w:type="auto"/>
            <w:tcBorders>
              <w:top w:val="single" w:color="auto" w:sz="8" w:space="0"/>
              <w:left w:val="single" w:color="auto" w:sz="6" w:space="0"/>
              <w:bottom w:val="single" w:color="auto" w:sz="6" w:space="0"/>
              <w:right w:val="single" w:color="auto" w:sz="6" w:space="0"/>
            </w:tcBorders>
            <w:vAlign w:val="center"/>
          </w:tcPr>
          <w:p w14:paraId="35AFF714">
            <w:pPr>
              <w:spacing w:line="360" w:lineRule="exact"/>
              <w:ind w:firstLine="0" w:firstLineChars="0"/>
              <w:jc w:val="center"/>
              <w:rPr>
                <w:b/>
                <w:sz w:val="21"/>
                <w:szCs w:val="21"/>
              </w:rPr>
            </w:pPr>
            <w:r>
              <w:rPr>
                <w:b/>
                <w:sz w:val="21"/>
                <w:szCs w:val="21"/>
              </w:rPr>
              <w:t>SW</w:t>
            </w:r>
          </w:p>
        </w:tc>
        <w:tc>
          <w:tcPr>
            <w:tcW w:w="0" w:type="auto"/>
            <w:tcBorders>
              <w:top w:val="single" w:color="auto" w:sz="8" w:space="0"/>
              <w:left w:val="single" w:color="auto" w:sz="6" w:space="0"/>
              <w:bottom w:val="single" w:color="auto" w:sz="6" w:space="0"/>
              <w:right w:val="single" w:color="auto" w:sz="6" w:space="0"/>
            </w:tcBorders>
            <w:vAlign w:val="center"/>
          </w:tcPr>
          <w:p w14:paraId="3AA67B9B">
            <w:pPr>
              <w:spacing w:line="360" w:lineRule="exact"/>
              <w:ind w:firstLine="0" w:firstLineChars="0"/>
              <w:jc w:val="center"/>
              <w:rPr>
                <w:b/>
                <w:sz w:val="21"/>
                <w:szCs w:val="21"/>
              </w:rPr>
            </w:pPr>
            <w:r>
              <w:rPr>
                <w:b/>
                <w:sz w:val="21"/>
                <w:szCs w:val="21"/>
              </w:rPr>
              <w:t>WSW</w:t>
            </w:r>
          </w:p>
        </w:tc>
        <w:tc>
          <w:tcPr>
            <w:tcW w:w="0" w:type="auto"/>
            <w:tcBorders>
              <w:top w:val="single" w:color="auto" w:sz="8" w:space="0"/>
              <w:left w:val="single" w:color="auto" w:sz="6" w:space="0"/>
              <w:bottom w:val="single" w:color="auto" w:sz="6" w:space="0"/>
              <w:right w:val="single" w:color="auto" w:sz="6" w:space="0"/>
            </w:tcBorders>
            <w:vAlign w:val="center"/>
          </w:tcPr>
          <w:p w14:paraId="1FE0ABC6">
            <w:pPr>
              <w:spacing w:line="360" w:lineRule="exact"/>
              <w:ind w:firstLine="0" w:firstLineChars="0"/>
              <w:jc w:val="center"/>
              <w:rPr>
                <w:b/>
                <w:sz w:val="21"/>
                <w:szCs w:val="21"/>
              </w:rPr>
            </w:pPr>
            <w:r>
              <w:rPr>
                <w:b/>
                <w:sz w:val="21"/>
                <w:szCs w:val="21"/>
              </w:rPr>
              <w:t>W</w:t>
            </w:r>
          </w:p>
        </w:tc>
        <w:tc>
          <w:tcPr>
            <w:tcW w:w="0" w:type="auto"/>
            <w:tcBorders>
              <w:top w:val="single" w:color="auto" w:sz="8" w:space="0"/>
              <w:left w:val="single" w:color="auto" w:sz="6" w:space="0"/>
              <w:bottom w:val="single" w:color="auto" w:sz="6" w:space="0"/>
              <w:right w:val="single" w:color="auto" w:sz="6" w:space="0"/>
            </w:tcBorders>
            <w:vAlign w:val="center"/>
          </w:tcPr>
          <w:p w14:paraId="092A82D4">
            <w:pPr>
              <w:spacing w:line="360" w:lineRule="exact"/>
              <w:ind w:firstLine="0" w:firstLineChars="0"/>
              <w:jc w:val="center"/>
              <w:rPr>
                <w:b/>
                <w:sz w:val="21"/>
                <w:szCs w:val="21"/>
              </w:rPr>
            </w:pPr>
            <w:r>
              <w:rPr>
                <w:b/>
                <w:sz w:val="21"/>
                <w:szCs w:val="21"/>
              </w:rPr>
              <w:t>WNW</w:t>
            </w:r>
          </w:p>
        </w:tc>
        <w:tc>
          <w:tcPr>
            <w:tcW w:w="255" w:type="pct"/>
            <w:tcBorders>
              <w:top w:val="single" w:color="auto" w:sz="8" w:space="0"/>
              <w:left w:val="single" w:color="auto" w:sz="6" w:space="0"/>
              <w:bottom w:val="single" w:color="auto" w:sz="6" w:space="0"/>
              <w:right w:val="single" w:color="auto" w:sz="6" w:space="0"/>
            </w:tcBorders>
            <w:vAlign w:val="center"/>
          </w:tcPr>
          <w:p w14:paraId="3EE9C5D3">
            <w:pPr>
              <w:spacing w:line="360" w:lineRule="exact"/>
              <w:ind w:firstLine="0" w:firstLineChars="0"/>
              <w:jc w:val="center"/>
              <w:rPr>
                <w:b/>
                <w:sz w:val="21"/>
                <w:szCs w:val="21"/>
              </w:rPr>
            </w:pPr>
            <w:r>
              <w:rPr>
                <w:b/>
                <w:sz w:val="21"/>
                <w:szCs w:val="21"/>
              </w:rPr>
              <w:t>NW</w:t>
            </w:r>
          </w:p>
        </w:tc>
        <w:tc>
          <w:tcPr>
            <w:tcW w:w="301" w:type="pct"/>
            <w:tcBorders>
              <w:top w:val="single" w:color="auto" w:sz="8" w:space="0"/>
              <w:left w:val="single" w:color="auto" w:sz="6" w:space="0"/>
              <w:bottom w:val="single" w:color="auto" w:sz="6" w:space="0"/>
              <w:right w:val="single" w:color="auto" w:sz="6" w:space="0"/>
            </w:tcBorders>
            <w:vAlign w:val="center"/>
          </w:tcPr>
          <w:p w14:paraId="2956FC15">
            <w:pPr>
              <w:spacing w:line="360" w:lineRule="exact"/>
              <w:ind w:firstLine="0" w:firstLineChars="0"/>
              <w:jc w:val="center"/>
              <w:rPr>
                <w:b/>
                <w:sz w:val="21"/>
                <w:szCs w:val="21"/>
              </w:rPr>
            </w:pPr>
            <w:r>
              <w:rPr>
                <w:b/>
                <w:sz w:val="21"/>
                <w:szCs w:val="21"/>
              </w:rPr>
              <w:t>NNW</w:t>
            </w:r>
          </w:p>
        </w:tc>
        <w:tc>
          <w:tcPr>
            <w:tcW w:w="0" w:type="auto"/>
            <w:tcBorders>
              <w:top w:val="single" w:color="auto" w:sz="8" w:space="0"/>
              <w:left w:val="single" w:color="auto" w:sz="6" w:space="0"/>
              <w:bottom w:val="single" w:color="auto" w:sz="6" w:space="0"/>
              <w:right w:val="single" w:color="auto" w:sz="8" w:space="0"/>
            </w:tcBorders>
            <w:vAlign w:val="center"/>
          </w:tcPr>
          <w:p w14:paraId="09116F99">
            <w:pPr>
              <w:spacing w:line="360" w:lineRule="exact"/>
              <w:ind w:firstLine="0" w:firstLineChars="0"/>
              <w:jc w:val="center"/>
              <w:rPr>
                <w:b/>
                <w:sz w:val="21"/>
                <w:szCs w:val="21"/>
              </w:rPr>
            </w:pPr>
            <w:r>
              <w:rPr>
                <w:b/>
                <w:sz w:val="21"/>
                <w:szCs w:val="21"/>
              </w:rPr>
              <w:t>C</w:t>
            </w:r>
          </w:p>
        </w:tc>
      </w:tr>
      <w:tr w14:paraId="684760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77" w:type="pct"/>
            <w:tcBorders>
              <w:top w:val="single" w:color="auto" w:sz="6" w:space="0"/>
              <w:left w:val="single" w:color="auto" w:sz="8" w:space="0"/>
              <w:bottom w:val="single" w:color="auto" w:sz="6" w:space="0"/>
              <w:right w:val="single" w:color="auto" w:sz="6" w:space="0"/>
            </w:tcBorders>
            <w:vAlign w:val="center"/>
          </w:tcPr>
          <w:p w14:paraId="10C8C6C5">
            <w:pPr>
              <w:spacing w:line="360" w:lineRule="exact"/>
              <w:ind w:firstLine="0" w:firstLineChars="0"/>
              <w:jc w:val="center"/>
              <w:rPr>
                <w:sz w:val="21"/>
                <w:szCs w:val="21"/>
              </w:rPr>
            </w:pPr>
            <w:r>
              <w:rPr>
                <w:sz w:val="21"/>
                <w:szCs w:val="21"/>
              </w:rPr>
              <w:t>春季</w:t>
            </w:r>
          </w:p>
        </w:tc>
        <w:tc>
          <w:tcPr>
            <w:tcW w:w="0" w:type="auto"/>
            <w:tcBorders>
              <w:top w:val="single" w:color="auto" w:sz="6" w:space="0"/>
              <w:left w:val="single" w:color="auto" w:sz="6" w:space="0"/>
              <w:bottom w:val="single" w:color="auto" w:sz="6" w:space="0"/>
              <w:right w:val="single" w:color="auto" w:sz="6" w:space="0"/>
            </w:tcBorders>
            <w:vAlign w:val="center"/>
          </w:tcPr>
          <w:p w14:paraId="017E2998">
            <w:pPr>
              <w:spacing w:line="360" w:lineRule="exact"/>
              <w:ind w:firstLine="0" w:firstLineChars="0"/>
              <w:contextualSpacing/>
              <w:jc w:val="center"/>
              <w:rPr>
                <w:sz w:val="21"/>
                <w:szCs w:val="21"/>
                <w:highlight w:val="yellow"/>
              </w:rPr>
            </w:pPr>
            <w:r>
              <w:t>2.85</w:t>
            </w:r>
          </w:p>
        </w:tc>
        <w:tc>
          <w:tcPr>
            <w:tcW w:w="0" w:type="auto"/>
            <w:tcBorders>
              <w:top w:val="single" w:color="auto" w:sz="6" w:space="0"/>
              <w:left w:val="single" w:color="auto" w:sz="6" w:space="0"/>
              <w:bottom w:val="single" w:color="auto" w:sz="6" w:space="0"/>
              <w:right w:val="single" w:color="auto" w:sz="6" w:space="0"/>
            </w:tcBorders>
            <w:vAlign w:val="center"/>
          </w:tcPr>
          <w:p w14:paraId="600E5E45">
            <w:pPr>
              <w:spacing w:line="360" w:lineRule="exact"/>
              <w:ind w:firstLine="0" w:firstLineChars="0"/>
              <w:contextualSpacing/>
              <w:jc w:val="center"/>
              <w:rPr>
                <w:sz w:val="21"/>
                <w:szCs w:val="21"/>
                <w:highlight w:val="yellow"/>
              </w:rPr>
            </w:pPr>
            <w:r>
              <w:t>14.13</w:t>
            </w:r>
          </w:p>
        </w:tc>
        <w:tc>
          <w:tcPr>
            <w:tcW w:w="0" w:type="auto"/>
            <w:tcBorders>
              <w:top w:val="single" w:color="auto" w:sz="6" w:space="0"/>
              <w:left w:val="single" w:color="auto" w:sz="6" w:space="0"/>
              <w:bottom w:val="single" w:color="auto" w:sz="6" w:space="0"/>
              <w:right w:val="single" w:color="auto" w:sz="6" w:space="0"/>
            </w:tcBorders>
            <w:vAlign w:val="center"/>
          </w:tcPr>
          <w:p w14:paraId="224363CC">
            <w:pPr>
              <w:spacing w:line="360" w:lineRule="exact"/>
              <w:ind w:firstLine="0" w:firstLineChars="0"/>
              <w:contextualSpacing/>
              <w:jc w:val="center"/>
              <w:rPr>
                <w:sz w:val="21"/>
                <w:szCs w:val="21"/>
                <w:highlight w:val="yellow"/>
              </w:rPr>
            </w:pPr>
            <w:r>
              <w:t>12.95</w:t>
            </w:r>
          </w:p>
        </w:tc>
        <w:tc>
          <w:tcPr>
            <w:tcW w:w="0" w:type="auto"/>
            <w:tcBorders>
              <w:top w:val="single" w:color="auto" w:sz="6" w:space="0"/>
              <w:left w:val="single" w:color="auto" w:sz="6" w:space="0"/>
              <w:bottom w:val="single" w:color="auto" w:sz="6" w:space="0"/>
              <w:right w:val="single" w:color="auto" w:sz="6" w:space="0"/>
            </w:tcBorders>
            <w:vAlign w:val="center"/>
          </w:tcPr>
          <w:p w14:paraId="0E58492D">
            <w:pPr>
              <w:spacing w:line="360" w:lineRule="exact"/>
              <w:ind w:firstLine="0" w:firstLineChars="0"/>
              <w:contextualSpacing/>
              <w:jc w:val="center"/>
              <w:rPr>
                <w:sz w:val="21"/>
                <w:szCs w:val="21"/>
                <w:highlight w:val="yellow"/>
              </w:rPr>
            </w:pPr>
            <w:r>
              <w:t>5.89</w:t>
            </w:r>
          </w:p>
        </w:tc>
        <w:tc>
          <w:tcPr>
            <w:tcW w:w="0" w:type="auto"/>
            <w:tcBorders>
              <w:top w:val="single" w:color="auto" w:sz="6" w:space="0"/>
              <w:left w:val="single" w:color="auto" w:sz="6" w:space="0"/>
              <w:bottom w:val="single" w:color="auto" w:sz="6" w:space="0"/>
              <w:right w:val="single" w:color="auto" w:sz="6" w:space="0"/>
            </w:tcBorders>
            <w:vAlign w:val="center"/>
          </w:tcPr>
          <w:p w14:paraId="6BFC026F">
            <w:pPr>
              <w:spacing w:line="360" w:lineRule="exact"/>
              <w:ind w:firstLine="0" w:firstLineChars="0"/>
              <w:contextualSpacing/>
              <w:jc w:val="center"/>
              <w:rPr>
                <w:sz w:val="21"/>
                <w:szCs w:val="21"/>
                <w:highlight w:val="yellow"/>
              </w:rPr>
            </w:pPr>
            <w:r>
              <w:t>5.21</w:t>
            </w:r>
          </w:p>
        </w:tc>
        <w:tc>
          <w:tcPr>
            <w:tcW w:w="0" w:type="auto"/>
            <w:tcBorders>
              <w:top w:val="single" w:color="auto" w:sz="6" w:space="0"/>
              <w:left w:val="single" w:color="auto" w:sz="6" w:space="0"/>
              <w:bottom w:val="single" w:color="auto" w:sz="6" w:space="0"/>
              <w:right w:val="single" w:color="auto" w:sz="6" w:space="0"/>
            </w:tcBorders>
            <w:vAlign w:val="center"/>
          </w:tcPr>
          <w:p w14:paraId="3DF65A47">
            <w:pPr>
              <w:spacing w:line="360" w:lineRule="exact"/>
              <w:ind w:firstLine="0" w:firstLineChars="0"/>
              <w:contextualSpacing/>
              <w:jc w:val="center"/>
              <w:rPr>
                <w:sz w:val="21"/>
                <w:szCs w:val="21"/>
                <w:highlight w:val="yellow"/>
              </w:rPr>
            </w:pPr>
            <w:r>
              <w:t>4.85</w:t>
            </w:r>
          </w:p>
        </w:tc>
        <w:tc>
          <w:tcPr>
            <w:tcW w:w="0" w:type="auto"/>
            <w:tcBorders>
              <w:top w:val="single" w:color="auto" w:sz="6" w:space="0"/>
              <w:left w:val="single" w:color="auto" w:sz="6" w:space="0"/>
              <w:bottom w:val="single" w:color="auto" w:sz="6" w:space="0"/>
              <w:right w:val="single" w:color="auto" w:sz="6" w:space="0"/>
            </w:tcBorders>
            <w:vAlign w:val="center"/>
          </w:tcPr>
          <w:p w14:paraId="2EF23CAC">
            <w:pPr>
              <w:spacing w:line="360" w:lineRule="exact"/>
              <w:ind w:firstLine="0" w:firstLineChars="0"/>
              <w:contextualSpacing/>
              <w:jc w:val="center"/>
              <w:rPr>
                <w:sz w:val="21"/>
                <w:szCs w:val="21"/>
                <w:highlight w:val="yellow"/>
              </w:rPr>
            </w:pPr>
            <w:r>
              <w:t>5.71</w:t>
            </w:r>
          </w:p>
        </w:tc>
        <w:tc>
          <w:tcPr>
            <w:tcW w:w="0" w:type="auto"/>
            <w:tcBorders>
              <w:top w:val="single" w:color="auto" w:sz="6" w:space="0"/>
              <w:left w:val="single" w:color="auto" w:sz="6" w:space="0"/>
              <w:bottom w:val="single" w:color="auto" w:sz="6" w:space="0"/>
              <w:right w:val="single" w:color="auto" w:sz="6" w:space="0"/>
            </w:tcBorders>
            <w:vAlign w:val="center"/>
          </w:tcPr>
          <w:p w14:paraId="1E0E5506">
            <w:pPr>
              <w:spacing w:line="360" w:lineRule="exact"/>
              <w:ind w:firstLine="0" w:firstLineChars="0"/>
              <w:contextualSpacing/>
              <w:jc w:val="center"/>
              <w:rPr>
                <w:sz w:val="21"/>
                <w:szCs w:val="21"/>
                <w:highlight w:val="yellow"/>
              </w:rPr>
            </w:pPr>
            <w:r>
              <w:t>9.83</w:t>
            </w:r>
          </w:p>
        </w:tc>
        <w:tc>
          <w:tcPr>
            <w:tcW w:w="0" w:type="auto"/>
            <w:tcBorders>
              <w:top w:val="single" w:color="auto" w:sz="6" w:space="0"/>
              <w:left w:val="single" w:color="auto" w:sz="6" w:space="0"/>
              <w:bottom w:val="single" w:color="auto" w:sz="6" w:space="0"/>
              <w:right w:val="single" w:color="auto" w:sz="6" w:space="0"/>
            </w:tcBorders>
            <w:vAlign w:val="center"/>
          </w:tcPr>
          <w:p w14:paraId="26E0860C">
            <w:pPr>
              <w:spacing w:line="360" w:lineRule="exact"/>
              <w:ind w:firstLine="0" w:firstLineChars="0"/>
              <w:contextualSpacing/>
              <w:jc w:val="center"/>
              <w:rPr>
                <w:sz w:val="21"/>
                <w:szCs w:val="21"/>
                <w:highlight w:val="yellow"/>
              </w:rPr>
            </w:pPr>
            <w:r>
              <w:t>15.58</w:t>
            </w:r>
          </w:p>
        </w:tc>
        <w:tc>
          <w:tcPr>
            <w:tcW w:w="0" w:type="auto"/>
            <w:tcBorders>
              <w:top w:val="single" w:color="auto" w:sz="6" w:space="0"/>
              <w:left w:val="single" w:color="auto" w:sz="6" w:space="0"/>
              <w:bottom w:val="single" w:color="auto" w:sz="6" w:space="0"/>
              <w:right w:val="single" w:color="auto" w:sz="6" w:space="0"/>
            </w:tcBorders>
            <w:vAlign w:val="center"/>
          </w:tcPr>
          <w:p w14:paraId="0E833D0D">
            <w:pPr>
              <w:spacing w:line="360" w:lineRule="exact"/>
              <w:ind w:firstLine="0" w:firstLineChars="0"/>
              <w:contextualSpacing/>
              <w:jc w:val="center"/>
              <w:rPr>
                <w:sz w:val="21"/>
                <w:szCs w:val="21"/>
                <w:highlight w:val="yellow"/>
              </w:rPr>
            </w:pPr>
            <w:r>
              <w:t>4.66</w:t>
            </w:r>
          </w:p>
        </w:tc>
        <w:tc>
          <w:tcPr>
            <w:tcW w:w="0" w:type="auto"/>
            <w:tcBorders>
              <w:top w:val="single" w:color="auto" w:sz="6" w:space="0"/>
              <w:left w:val="single" w:color="auto" w:sz="6" w:space="0"/>
              <w:bottom w:val="single" w:color="auto" w:sz="6" w:space="0"/>
              <w:right w:val="single" w:color="auto" w:sz="6" w:space="0"/>
            </w:tcBorders>
            <w:vAlign w:val="center"/>
          </w:tcPr>
          <w:p w14:paraId="5BC9C229">
            <w:pPr>
              <w:spacing w:line="360" w:lineRule="exact"/>
              <w:ind w:firstLine="0" w:firstLineChars="0"/>
              <w:contextualSpacing/>
              <w:jc w:val="center"/>
              <w:rPr>
                <w:sz w:val="21"/>
                <w:szCs w:val="21"/>
                <w:highlight w:val="yellow"/>
              </w:rPr>
            </w:pPr>
            <w:r>
              <w:t>5.84</w:t>
            </w:r>
          </w:p>
        </w:tc>
        <w:tc>
          <w:tcPr>
            <w:tcW w:w="0" w:type="auto"/>
            <w:tcBorders>
              <w:top w:val="single" w:color="auto" w:sz="6" w:space="0"/>
              <w:left w:val="single" w:color="auto" w:sz="6" w:space="0"/>
              <w:bottom w:val="single" w:color="auto" w:sz="6" w:space="0"/>
              <w:right w:val="single" w:color="auto" w:sz="6" w:space="0"/>
            </w:tcBorders>
            <w:vAlign w:val="center"/>
          </w:tcPr>
          <w:p w14:paraId="662A7FB3">
            <w:pPr>
              <w:spacing w:line="360" w:lineRule="exact"/>
              <w:ind w:firstLine="0" w:firstLineChars="0"/>
              <w:contextualSpacing/>
              <w:jc w:val="center"/>
              <w:rPr>
                <w:sz w:val="21"/>
                <w:szCs w:val="21"/>
                <w:highlight w:val="yellow"/>
              </w:rPr>
            </w:pPr>
            <w:r>
              <w:t>4.85</w:t>
            </w:r>
          </w:p>
        </w:tc>
        <w:tc>
          <w:tcPr>
            <w:tcW w:w="0" w:type="auto"/>
            <w:tcBorders>
              <w:top w:val="single" w:color="auto" w:sz="6" w:space="0"/>
              <w:left w:val="single" w:color="auto" w:sz="6" w:space="0"/>
              <w:bottom w:val="single" w:color="auto" w:sz="6" w:space="0"/>
              <w:right w:val="single" w:color="auto" w:sz="6" w:space="0"/>
            </w:tcBorders>
            <w:vAlign w:val="center"/>
          </w:tcPr>
          <w:p w14:paraId="0771E9F2">
            <w:pPr>
              <w:spacing w:line="360" w:lineRule="exact"/>
              <w:ind w:firstLine="0" w:firstLineChars="0"/>
              <w:contextualSpacing/>
              <w:jc w:val="center"/>
              <w:rPr>
                <w:sz w:val="21"/>
                <w:szCs w:val="21"/>
                <w:highlight w:val="yellow"/>
              </w:rPr>
            </w:pPr>
            <w:r>
              <w:t>3.89</w:t>
            </w:r>
          </w:p>
        </w:tc>
        <w:tc>
          <w:tcPr>
            <w:tcW w:w="0" w:type="auto"/>
            <w:tcBorders>
              <w:top w:val="single" w:color="auto" w:sz="6" w:space="0"/>
              <w:left w:val="single" w:color="auto" w:sz="6" w:space="0"/>
              <w:bottom w:val="single" w:color="auto" w:sz="6" w:space="0"/>
              <w:right w:val="single" w:color="auto" w:sz="6" w:space="0"/>
            </w:tcBorders>
            <w:vAlign w:val="center"/>
          </w:tcPr>
          <w:p w14:paraId="38289C51">
            <w:pPr>
              <w:spacing w:line="360" w:lineRule="exact"/>
              <w:ind w:firstLine="0" w:firstLineChars="0"/>
              <w:contextualSpacing/>
              <w:jc w:val="center"/>
              <w:rPr>
                <w:sz w:val="21"/>
                <w:szCs w:val="21"/>
                <w:highlight w:val="yellow"/>
              </w:rPr>
            </w:pPr>
            <w:r>
              <w:t>1.59</w:t>
            </w:r>
          </w:p>
        </w:tc>
        <w:tc>
          <w:tcPr>
            <w:tcW w:w="255" w:type="pct"/>
            <w:tcBorders>
              <w:top w:val="single" w:color="auto" w:sz="6" w:space="0"/>
              <w:left w:val="single" w:color="auto" w:sz="6" w:space="0"/>
              <w:bottom w:val="single" w:color="auto" w:sz="6" w:space="0"/>
              <w:right w:val="single" w:color="auto" w:sz="6" w:space="0"/>
            </w:tcBorders>
            <w:vAlign w:val="center"/>
          </w:tcPr>
          <w:p w14:paraId="09019A22">
            <w:pPr>
              <w:spacing w:line="360" w:lineRule="exact"/>
              <w:ind w:firstLine="0" w:firstLineChars="0"/>
              <w:contextualSpacing/>
              <w:jc w:val="center"/>
              <w:rPr>
                <w:sz w:val="21"/>
                <w:szCs w:val="21"/>
                <w:highlight w:val="yellow"/>
              </w:rPr>
            </w:pPr>
            <w:r>
              <w:t>0.95</w:t>
            </w:r>
          </w:p>
        </w:tc>
        <w:tc>
          <w:tcPr>
            <w:tcW w:w="301" w:type="pct"/>
            <w:tcBorders>
              <w:top w:val="single" w:color="auto" w:sz="6" w:space="0"/>
              <w:left w:val="single" w:color="auto" w:sz="6" w:space="0"/>
              <w:bottom w:val="single" w:color="auto" w:sz="6" w:space="0"/>
              <w:right w:val="single" w:color="auto" w:sz="6" w:space="0"/>
            </w:tcBorders>
            <w:vAlign w:val="center"/>
          </w:tcPr>
          <w:p w14:paraId="1D82C180">
            <w:pPr>
              <w:spacing w:line="360" w:lineRule="exact"/>
              <w:ind w:firstLine="0" w:firstLineChars="0"/>
              <w:contextualSpacing/>
              <w:jc w:val="center"/>
              <w:rPr>
                <w:sz w:val="21"/>
                <w:szCs w:val="21"/>
                <w:highlight w:val="yellow"/>
              </w:rPr>
            </w:pPr>
            <w:r>
              <w:t>0.68</w:t>
            </w:r>
          </w:p>
        </w:tc>
        <w:tc>
          <w:tcPr>
            <w:tcW w:w="0" w:type="auto"/>
            <w:tcBorders>
              <w:top w:val="single" w:color="auto" w:sz="6" w:space="0"/>
              <w:left w:val="single" w:color="auto" w:sz="6" w:space="0"/>
              <w:bottom w:val="single" w:color="auto" w:sz="6" w:space="0"/>
              <w:right w:val="single" w:color="auto" w:sz="8" w:space="0"/>
            </w:tcBorders>
            <w:vAlign w:val="center"/>
          </w:tcPr>
          <w:p w14:paraId="3C46195A">
            <w:pPr>
              <w:spacing w:line="360" w:lineRule="exact"/>
              <w:ind w:firstLine="0" w:firstLineChars="0"/>
              <w:contextualSpacing/>
              <w:jc w:val="center"/>
              <w:rPr>
                <w:sz w:val="21"/>
                <w:szCs w:val="21"/>
                <w:highlight w:val="yellow"/>
              </w:rPr>
            </w:pPr>
            <w:r>
              <w:t>0.54</w:t>
            </w:r>
          </w:p>
        </w:tc>
      </w:tr>
      <w:tr w14:paraId="274100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77" w:type="pct"/>
            <w:tcBorders>
              <w:top w:val="single" w:color="auto" w:sz="6" w:space="0"/>
              <w:left w:val="single" w:color="auto" w:sz="8" w:space="0"/>
              <w:bottom w:val="single" w:color="auto" w:sz="6" w:space="0"/>
              <w:right w:val="single" w:color="auto" w:sz="6" w:space="0"/>
            </w:tcBorders>
            <w:vAlign w:val="center"/>
          </w:tcPr>
          <w:p w14:paraId="155FEAAE">
            <w:pPr>
              <w:spacing w:line="360" w:lineRule="exact"/>
              <w:ind w:firstLine="0" w:firstLineChars="0"/>
              <w:jc w:val="center"/>
              <w:rPr>
                <w:sz w:val="21"/>
                <w:szCs w:val="21"/>
              </w:rPr>
            </w:pPr>
            <w:r>
              <w:rPr>
                <w:sz w:val="21"/>
                <w:szCs w:val="21"/>
              </w:rPr>
              <w:t>夏季</w:t>
            </w:r>
          </w:p>
        </w:tc>
        <w:tc>
          <w:tcPr>
            <w:tcW w:w="0" w:type="auto"/>
            <w:tcBorders>
              <w:top w:val="single" w:color="auto" w:sz="6" w:space="0"/>
              <w:left w:val="single" w:color="auto" w:sz="6" w:space="0"/>
              <w:bottom w:val="single" w:color="auto" w:sz="6" w:space="0"/>
              <w:right w:val="single" w:color="auto" w:sz="6" w:space="0"/>
            </w:tcBorders>
            <w:vAlign w:val="center"/>
          </w:tcPr>
          <w:p w14:paraId="1BBACDDC">
            <w:pPr>
              <w:spacing w:line="360" w:lineRule="exact"/>
              <w:ind w:firstLine="0" w:firstLineChars="0"/>
              <w:contextualSpacing/>
              <w:jc w:val="center"/>
              <w:rPr>
                <w:sz w:val="21"/>
                <w:szCs w:val="21"/>
                <w:highlight w:val="yellow"/>
              </w:rPr>
            </w:pPr>
            <w:r>
              <w:t>3.03</w:t>
            </w:r>
          </w:p>
        </w:tc>
        <w:tc>
          <w:tcPr>
            <w:tcW w:w="0" w:type="auto"/>
            <w:tcBorders>
              <w:top w:val="single" w:color="auto" w:sz="6" w:space="0"/>
              <w:left w:val="single" w:color="auto" w:sz="6" w:space="0"/>
              <w:bottom w:val="single" w:color="auto" w:sz="6" w:space="0"/>
              <w:right w:val="single" w:color="auto" w:sz="6" w:space="0"/>
            </w:tcBorders>
            <w:vAlign w:val="center"/>
          </w:tcPr>
          <w:p w14:paraId="687830AF">
            <w:pPr>
              <w:spacing w:line="360" w:lineRule="exact"/>
              <w:ind w:firstLine="0" w:firstLineChars="0"/>
              <w:contextualSpacing/>
              <w:jc w:val="center"/>
              <w:rPr>
                <w:sz w:val="21"/>
                <w:szCs w:val="21"/>
                <w:highlight w:val="yellow"/>
              </w:rPr>
            </w:pPr>
            <w:r>
              <w:t>9.47</w:t>
            </w:r>
          </w:p>
        </w:tc>
        <w:tc>
          <w:tcPr>
            <w:tcW w:w="0" w:type="auto"/>
            <w:tcBorders>
              <w:top w:val="single" w:color="auto" w:sz="6" w:space="0"/>
              <w:left w:val="single" w:color="auto" w:sz="6" w:space="0"/>
              <w:bottom w:val="single" w:color="auto" w:sz="6" w:space="0"/>
              <w:right w:val="single" w:color="auto" w:sz="6" w:space="0"/>
            </w:tcBorders>
            <w:vAlign w:val="center"/>
          </w:tcPr>
          <w:p w14:paraId="65F09984">
            <w:pPr>
              <w:spacing w:line="360" w:lineRule="exact"/>
              <w:ind w:firstLine="0" w:firstLineChars="0"/>
              <w:contextualSpacing/>
              <w:jc w:val="center"/>
              <w:rPr>
                <w:sz w:val="21"/>
                <w:szCs w:val="21"/>
                <w:highlight w:val="yellow"/>
              </w:rPr>
            </w:pPr>
            <w:r>
              <w:t>6.30</w:t>
            </w:r>
          </w:p>
        </w:tc>
        <w:tc>
          <w:tcPr>
            <w:tcW w:w="0" w:type="auto"/>
            <w:tcBorders>
              <w:top w:val="single" w:color="auto" w:sz="6" w:space="0"/>
              <w:left w:val="single" w:color="auto" w:sz="6" w:space="0"/>
              <w:bottom w:val="single" w:color="auto" w:sz="6" w:space="0"/>
              <w:right w:val="single" w:color="auto" w:sz="6" w:space="0"/>
            </w:tcBorders>
            <w:vAlign w:val="center"/>
          </w:tcPr>
          <w:p w14:paraId="5A3E4507">
            <w:pPr>
              <w:spacing w:line="360" w:lineRule="exact"/>
              <w:ind w:firstLine="0" w:firstLineChars="0"/>
              <w:contextualSpacing/>
              <w:jc w:val="center"/>
              <w:rPr>
                <w:sz w:val="21"/>
                <w:szCs w:val="21"/>
                <w:highlight w:val="yellow"/>
              </w:rPr>
            </w:pPr>
            <w:r>
              <w:t>6.39</w:t>
            </w:r>
          </w:p>
        </w:tc>
        <w:tc>
          <w:tcPr>
            <w:tcW w:w="0" w:type="auto"/>
            <w:tcBorders>
              <w:top w:val="single" w:color="auto" w:sz="6" w:space="0"/>
              <w:left w:val="single" w:color="auto" w:sz="6" w:space="0"/>
              <w:bottom w:val="single" w:color="auto" w:sz="6" w:space="0"/>
              <w:right w:val="single" w:color="auto" w:sz="6" w:space="0"/>
            </w:tcBorders>
            <w:vAlign w:val="center"/>
          </w:tcPr>
          <w:p w14:paraId="21EB02D9">
            <w:pPr>
              <w:spacing w:line="360" w:lineRule="exact"/>
              <w:ind w:firstLine="0" w:firstLineChars="0"/>
              <w:contextualSpacing/>
              <w:jc w:val="center"/>
              <w:rPr>
                <w:sz w:val="21"/>
                <w:szCs w:val="21"/>
                <w:highlight w:val="yellow"/>
              </w:rPr>
            </w:pPr>
            <w:r>
              <w:t>10.78</w:t>
            </w:r>
          </w:p>
        </w:tc>
        <w:tc>
          <w:tcPr>
            <w:tcW w:w="0" w:type="auto"/>
            <w:tcBorders>
              <w:top w:val="single" w:color="auto" w:sz="6" w:space="0"/>
              <w:left w:val="single" w:color="auto" w:sz="6" w:space="0"/>
              <w:bottom w:val="single" w:color="auto" w:sz="6" w:space="0"/>
              <w:right w:val="single" w:color="auto" w:sz="6" w:space="0"/>
            </w:tcBorders>
            <w:vAlign w:val="center"/>
          </w:tcPr>
          <w:p w14:paraId="4FD9087C">
            <w:pPr>
              <w:spacing w:line="360" w:lineRule="exact"/>
              <w:ind w:firstLine="0" w:firstLineChars="0"/>
              <w:contextualSpacing/>
              <w:jc w:val="center"/>
              <w:rPr>
                <w:sz w:val="21"/>
                <w:szCs w:val="21"/>
                <w:highlight w:val="yellow"/>
              </w:rPr>
            </w:pPr>
            <w:r>
              <w:t>6.97</w:t>
            </w:r>
          </w:p>
        </w:tc>
        <w:tc>
          <w:tcPr>
            <w:tcW w:w="0" w:type="auto"/>
            <w:tcBorders>
              <w:top w:val="single" w:color="auto" w:sz="6" w:space="0"/>
              <w:left w:val="single" w:color="auto" w:sz="6" w:space="0"/>
              <w:bottom w:val="single" w:color="auto" w:sz="6" w:space="0"/>
              <w:right w:val="single" w:color="auto" w:sz="6" w:space="0"/>
            </w:tcBorders>
            <w:vAlign w:val="center"/>
          </w:tcPr>
          <w:p w14:paraId="54276C17">
            <w:pPr>
              <w:spacing w:line="360" w:lineRule="exact"/>
              <w:ind w:firstLine="0" w:firstLineChars="0"/>
              <w:contextualSpacing/>
              <w:jc w:val="center"/>
              <w:rPr>
                <w:sz w:val="21"/>
                <w:szCs w:val="21"/>
                <w:highlight w:val="yellow"/>
              </w:rPr>
            </w:pPr>
            <w:r>
              <w:t>6.61</w:t>
            </w:r>
          </w:p>
        </w:tc>
        <w:tc>
          <w:tcPr>
            <w:tcW w:w="0" w:type="auto"/>
            <w:tcBorders>
              <w:top w:val="single" w:color="auto" w:sz="6" w:space="0"/>
              <w:left w:val="single" w:color="auto" w:sz="6" w:space="0"/>
              <w:bottom w:val="single" w:color="auto" w:sz="6" w:space="0"/>
              <w:right w:val="single" w:color="auto" w:sz="6" w:space="0"/>
            </w:tcBorders>
            <w:vAlign w:val="center"/>
          </w:tcPr>
          <w:p w14:paraId="076A8F8B">
            <w:pPr>
              <w:spacing w:line="360" w:lineRule="exact"/>
              <w:ind w:firstLine="0" w:firstLineChars="0"/>
              <w:contextualSpacing/>
              <w:jc w:val="center"/>
              <w:rPr>
                <w:sz w:val="21"/>
                <w:szCs w:val="21"/>
                <w:highlight w:val="yellow"/>
              </w:rPr>
            </w:pPr>
            <w:r>
              <w:t>7.52</w:t>
            </w:r>
          </w:p>
        </w:tc>
        <w:tc>
          <w:tcPr>
            <w:tcW w:w="0" w:type="auto"/>
            <w:tcBorders>
              <w:top w:val="single" w:color="auto" w:sz="6" w:space="0"/>
              <w:left w:val="single" w:color="auto" w:sz="6" w:space="0"/>
              <w:bottom w:val="single" w:color="auto" w:sz="6" w:space="0"/>
              <w:right w:val="single" w:color="auto" w:sz="6" w:space="0"/>
            </w:tcBorders>
            <w:vAlign w:val="center"/>
          </w:tcPr>
          <w:p w14:paraId="1E116B2A">
            <w:pPr>
              <w:spacing w:line="360" w:lineRule="exact"/>
              <w:ind w:firstLine="0" w:firstLineChars="0"/>
              <w:contextualSpacing/>
              <w:jc w:val="center"/>
              <w:rPr>
                <w:sz w:val="21"/>
                <w:szCs w:val="21"/>
                <w:highlight w:val="yellow"/>
              </w:rPr>
            </w:pPr>
            <w:r>
              <w:t>13.00</w:t>
            </w:r>
          </w:p>
        </w:tc>
        <w:tc>
          <w:tcPr>
            <w:tcW w:w="0" w:type="auto"/>
            <w:tcBorders>
              <w:top w:val="single" w:color="auto" w:sz="6" w:space="0"/>
              <w:left w:val="single" w:color="auto" w:sz="6" w:space="0"/>
              <w:bottom w:val="single" w:color="auto" w:sz="6" w:space="0"/>
              <w:right w:val="single" w:color="auto" w:sz="6" w:space="0"/>
            </w:tcBorders>
            <w:vAlign w:val="center"/>
          </w:tcPr>
          <w:p w14:paraId="1D48EF6B">
            <w:pPr>
              <w:spacing w:line="360" w:lineRule="exact"/>
              <w:ind w:firstLine="0" w:firstLineChars="0"/>
              <w:contextualSpacing/>
              <w:jc w:val="center"/>
              <w:rPr>
                <w:sz w:val="21"/>
                <w:szCs w:val="21"/>
                <w:highlight w:val="yellow"/>
              </w:rPr>
            </w:pPr>
            <w:r>
              <w:t>6.16</w:t>
            </w:r>
          </w:p>
        </w:tc>
        <w:tc>
          <w:tcPr>
            <w:tcW w:w="0" w:type="auto"/>
            <w:tcBorders>
              <w:top w:val="single" w:color="auto" w:sz="6" w:space="0"/>
              <w:left w:val="single" w:color="auto" w:sz="6" w:space="0"/>
              <w:bottom w:val="single" w:color="auto" w:sz="6" w:space="0"/>
              <w:right w:val="single" w:color="auto" w:sz="6" w:space="0"/>
            </w:tcBorders>
            <w:vAlign w:val="center"/>
          </w:tcPr>
          <w:p w14:paraId="1215A873">
            <w:pPr>
              <w:spacing w:line="360" w:lineRule="exact"/>
              <w:ind w:firstLine="0" w:firstLineChars="0"/>
              <w:contextualSpacing/>
              <w:jc w:val="center"/>
              <w:rPr>
                <w:sz w:val="21"/>
                <w:szCs w:val="21"/>
                <w:highlight w:val="yellow"/>
              </w:rPr>
            </w:pPr>
            <w:r>
              <w:t>6.20</w:t>
            </w:r>
          </w:p>
        </w:tc>
        <w:tc>
          <w:tcPr>
            <w:tcW w:w="0" w:type="auto"/>
            <w:tcBorders>
              <w:top w:val="single" w:color="auto" w:sz="6" w:space="0"/>
              <w:left w:val="single" w:color="auto" w:sz="6" w:space="0"/>
              <w:bottom w:val="single" w:color="auto" w:sz="6" w:space="0"/>
              <w:right w:val="single" w:color="auto" w:sz="6" w:space="0"/>
            </w:tcBorders>
            <w:vAlign w:val="center"/>
          </w:tcPr>
          <w:p w14:paraId="63EC0FAE">
            <w:pPr>
              <w:spacing w:line="360" w:lineRule="exact"/>
              <w:ind w:firstLine="0" w:firstLineChars="0"/>
              <w:contextualSpacing/>
              <w:jc w:val="center"/>
              <w:rPr>
                <w:sz w:val="21"/>
                <w:szCs w:val="21"/>
                <w:highlight w:val="yellow"/>
              </w:rPr>
            </w:pPr>
            <w:r>
              <w:t>7.97</w:t>
            </w:r>
          </w:p>
        </w:tc>
        <w:tc>
          <w:tcPr>
            <w:tcW w:w="0" w:type="auto"/>
            <w:tcBorders>
              <w:top w:val="single" w:color="auto" w:sz="6" w:space="0"/>
              <w:left w:val="single" w:color="auto" w:sz="6" w:space="0"/>
              <w:bottom w:val="single" w:color="auto" w:sz="6" w:space="0"/>
              <w:right w:val="single" w:color="auto" w:sz="6" w:space="0"/>
            </w:tcBorders>
            <w:vAlign w:val="center"/>
          </w:tcPr>
          <w:p w14:paraId="7222601F">
            <w:pPr>
              <w:spacing w:line="360" w:lineRule="exact"/>
              <w:ind w:firstLine="0" w:firstLineChars="0"/>
              <w:contextualSpacing/>
              <w:jc w:val="center"/>
              <w:rPr>
                <w:sz w:val="21"/>
                <w:szCs w:val="21"/>
                <w:highlight w:val="yellow"/>
              </w:rPr>
            </w:pPr>
            <w:r>
              <w:t>5.57</w:t>
            </w:r>
          </w:p>
        </w:tc>
        <w:tc>
          <w:tcPr>
            <w:tcW w:w="0" w:type="auto"/>
            <w:tcBorders>
              <w:top w:val="single" w:color="auto" w:sz="6" w:space="0"/>
              <w:left w:val="single" w:color="auto" w:sz="6" w:space="0"/>
              <w:bottom w:val="single" w:color="auto" w:sz="6" w:space="0"/>
              <w:right w:val="single" w:color="auto" w:sz="6" w:space="0"/>
            </w:tcBorders>
            <w:vAlign w:val="center"/>
          </w:tcPr>
          <w:p w14:paraId="2BCE8444">
            <w:pPr>
              <w:spacing w:line="360" w:lineRule="exact"/>
              <w:ind w:firstLine="0" w:firstLineChars="0"/>
              <w:contextualSpacing/>
              <w:jc w:val="center"/>
              <w:rPr>
                <w:sz w:val="21"/>
                <w:szCs w:val="21"/>
                <w:highlight w:val="yellow"/>
              </w:rPr>
            </w:pPr>
            <w:r>
              <w:t>1.13</w:t>
            </w:r>
          </w:p>
        </w:tc>
        <w:tc>
          <w:tcPr>
            <w:tcW w:w="255" w:type="pct"/>
            <w:tcBorders>
              <w:top w:val="single" w:color="auto" w:sz="6" w:space="0"/>
              <w:left w:val="single" w:color="auto" w:sz="6" w:space="0"/>
              <w:bottom w:val="single" w:color="auto" w:sz="6" w:space="0"/>
              <w:right w:val="single" w:color="auto" w:sz="6" w:space="0"/>
            </w:tcBorders>
            <w:vAlign w:val="center"/>
          </w:tcPr>
          <w:p w14:paraId="2CB4FA0C">
            <w:pPr>
              <w:spacing w:line="360" w:lineRule="exact"/>
              <w:ind w:firstLine="0" w:firstLineChars="0"/>
              <w:contextualSpacing/>
              <w:jc w:val="center"/>
              <w:rPr>
                <w:sz w:val="21"/>
                <w:szCs w:val="21"/>
                <w:highlight w:val="yellow"/>
              </w:rPr>
            </w:pPr>
            <w:r>
              <w:t>0.82</w:t>
            </w:r>
          </w:p>
        </w:tc>
        <w:tc>
          <w:tcPr>
            <w:tcW w:w="301" w:type="pct"/>
            <w:tcBorders>
              <w:top w:val="single" w:color="auto" w:sz="6" w:space="0"/>
              <w:left w:val="single" w:color="auto" w:sz="6" w:space="0"/>
              <w:bottom w:val="single" w:color="auto" w:sz="6" w:space="0"/>
              <w:right w:val="single" w:color="auto" w:sz="6" w:space="0"/>
            </w:tcBorders>
            <w:vAlign w:val="center"/>
          </w:tcPr>
          <w:p w14:paraId="35E973EE">
            <w:pPr>
              <w:spacing w:line="360" w:lineRule="exact"/>
              <w:ind w:firstLine="0" w:firstLineChars="0"/>
              <w:contextualSpacing/>
              <w:jc w:val="center"/>
              <w:rPr>
                <w:sz w:val="21"/>
                <w:szCs w:val="21"/>
                <w:highlight w:val="yellow"/>
              </w:rPr>
            </w:pPr>
            <w:r>
              <w:t>0.86</w:t>
            </w:r>
          </w:p>
        </w:tc>
        <w:tc>
          <w:tcPr>
            <w:tcW w:w="0" w:type="auto"/>
            <w:tcBorders>
              <w:top w:val="single" w:color="auto" w:sz="6" w:space="0"/>
              <w:left w:val="single" w:color="auto" w:sz="6" w:space="0"/>
              <w:bottom w:val="single" w:color="auto" w:sz="6" w:space="0"/>
              <w:right w:val="single" w:color="auto" w:sz="8" w:space="0"/>
            </w:tcBorders>
            <w:vAlign w:val="center"/>
          </w:tcPr>
          <w:p w14:paraId="58113592">
            <w:pPr>
              <w:spacing w:line="360" w:lineRule="exact"/>
              <w:ind w:firstLine="0" w:firstLineChars="0"/>
              <w:contextualSpacing/>
              <w:jc w:val="center"/>
              <w:rPr>
                <w:sz w:val="21"/>
                <w:szCs w:val="21"/>
                <w:highlight w:val="yellow"/>
              </w:rPr>
            </w:pPr>
            <w:r>
              <w:t>1.22</w:t>
            </w:r>
          </w:p>
        </w:tc>
      </w:tr>
      <w:tr w14:paraId="01A998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77" w:type="pct"/>
            <w:tcBorders>
              <w:top w:val="single" w:color="auto" w:sz="6" w:space="0"/>
              <w:left w:val="single" w:color="auto" w:sz="8" w:space="0"/>
              <w:bottom w:val="single" w:color="auto" w:sz="6" w:space="0"/>
              <w:right w:val="single" w:color="auto" w:sz="6" w:space="0"/>
            </w:tcBorders>
            <w:vAlign w:val="center"/>
          </w:tcPr>
          <w:p w14:paraId="03AF910B">
            <w:pPr>
              <w:spacing w:line="360" w:lineRule="exact"/>
              <w:ind w:firstLine="0" w:firstLineChars="0"/>
              <w:jc w:val="center"/>
              <w:rPr>
                <w:sz w:val="21"/>
                <w:szCs w:val="21"/>
              </w:rPr>
            </w:pPr>
            <w:r>
              <w:rPr>
                <w:sz w:val="21"/>
                <w:szCs w:val="21"/>
              </w:rPr>
              <w:t>秋季</w:t>
            </w:r>
          </w:p>
        </w:tc>
        <w:tc>
          <w:tcPr>
            <w:tcW w:w="0" w:type="auto"/>
            <w:tcBorders>
              <w:top w:val="single" w:color="auto" w:sz="6" w:space="0"/>
              <w:left w:val="single" w:color="auto" w:sz="6" w:space="0"/>
              <w:bottom w:val="single" w:color="auto" w:sz="6" w:space="0"/>
              <w:right w:val="single" w:color="auto" w:sz="6" w:space="0"/>
            </w:tcBorders>
            <w:vAlign w:val="center"/>
          </w:tcPr>
          <w:p w14:paraId="015C014E">
            <w:pPr>
              <w:spacing w:line="360" w:lineRule="exact"/>
              <w:ind w:firstLine="0" w:firstLineChars="0"/>
              <w:contextualSpacing/>
              <w:jc w:val="center"/>
              <w:rPr>
                <w:sz w:val="21"/>
                <w:szCs w:val="21"/>
                <w:highlight w:val="yellow"/>
              </w:rPr>
            </w:pPr>
            <w:r>
              <w:t>2.75</w:t>
            </w:r>
          </w:p>
        </w:tc>
        <w:tc>
          <w:tcPr>
            <w:tcW w:w="0" w:type="auto"/>
            <w:tcBorders>
              <w:top w:val="single" w:color="auto" w:sz="6" w:space="0"/>
              <w:left w:val="single" w:color="auto" w:sz="6" w:space="0"/>
              <w:bottom w:val="single" w:color="auto" w:sz="6" w:space="0"/>
              <w:right w:val="single" w:color="auto" w:sz="6" w:space="0"/>
            </w:tcBorders>
            <w:vAlign w:val="center"/>
          </w:tcPr>
          <w:p w14:paraId="41AACA8D">
            <w:pPr>
              <w:spacing w:line="360" w:lineRule="exact"/>
              <w:ind w:firstLine="0" w:firstLineChars="0"/>
              <w:contextualSpacing/>
              <w:jc w:val="center"/>
              <w:rPr>
                <w:sz w:val="21"/>
                <w:szCs w:val="21"/>
                <w:highlight w:val="yellow"/>
              </w:rPr>
            </w:pPr>
            <w:r>
              <w:t>11.26</w:t>
            </w:r>
          </w:p>
        </w:tc>
        <w:tc>
          <w:tcPr>
            <w:tcW w:w="0" w:type="auto"/>
            <w:tcBorders>
              <w:top w:val="single" w:color="auto" w:sz="6" w:space="0"/>
              <w:left w:val="single" w:color="auto" w:sz="6" w:space="0"/>
              <w:bottom w:val="single" w:color="auto" w:sz="6" w:space="0"/>
              <w:right w:val="single" w:color="auto" w:sz="6" w:space="0"/>
            </w:tcBorders>
            <w:vAlign w:val="center"/>
          </w:tcPr>
          <w:p w14:paraId="50296C6C">
            <w:pPr>
              <w:spacing w:line="360" w:lineRule="exact"/>
              <w:ind w:firstLine="0" w:firstLineChars="0"/>
              <w:contextualSpacing/>
              <w:jc w:val="center"/>
              <w:rPr>
                <w:sz w:val="21"/>
                <w:szCs w:val="21"/>
                <w:highlight w:val="yellow"/>
              </w:rPr>
            </w:pPr>
            <w:r>
              <w:t>10.94</w:t>
            </w:r>
          </w:p>
        </w:tc>
        <w:tc>
          <w:tcPr>
            <w:tcW w:w="0" w:type="auto"/>
            <w:tcBorders>
              <w:top w:val="single" w:color="auto" w:sz="6" w:space="0"/>
              <w:left w:val="single" w:color="auto" w:sz="6" w:space="0"/>
              <w:bottom w:val="single" w:color="auto" w:sz="6" w:space="0"/>
              <w:right w:val="single" w:color="auto" w:sz="6" w:space="0"/>
            </w:tcBorders>
            <w:vAlign w:val="center"/>
          </w:tcPr>
          <w:p w14:paraId="6031516F">
            <w:pPr>
              <w:spacing w:line="360" w:lineRule="exact"/>
              <w:ind w:firstLine="0" w:firstLineChars="0"/>
              <w:contextualSpacing/>
              <w:jc w:val="center"/>
              <w:rPr>
                <w:sz w:val="21"/>
                <w:szCs w:val="21"/>
                <w:highlight w:val="yellow"/>
              </w:rPr>
            </w:pPr>
            <w:r>
              <w:t>7.19</w:t>
            </w:r>
          </w:p>
        </w:tc>
        <w:tc>
          <w:tcPr>
            <w:tcW w:w="0" w:type="auto"/>
            <w:tcBorders>
              <w:top w:val="single" w:color="auto" w:sz="6" w:space="0"/>
              <w:left w:val="single" w:color="auto" w:sz="6" w:space="0"/>
              <w:bottom w:val="single" w:color="auto" w:sz="6" w:space="0"/>
              <w:right w:val="single" w:color="auto" w:sz="6" w:space="0"/>
            </w:tcBorders>
            <w:vAlign w:val="center"/>
          </w:tcPr>
          <w:p w14:paraId="5F0E063C">
            <w:pPr>
              <w:spacing w:line="360" w:lineRule="exact"/>
              <w:ind w:firstLine="0" w:firstLineChars="0"/>
              <w:contextualSpacing/>
              <w:jc w:val="center"/>
              <w:rPr>
                <w:sz w:val="21"/>
                <w:szCs w:val="21"/>
                <w:highlight w:val="yellow"/>
              </w:rPr>
            </w:pPr>
            <w:r>
              <w:t>5.82</w:t>
            </w:r>
          </w:p>
        </w:tc>
        <w:tc>
          <w:tcPr>
            <w:tcW w:w="0" w:type="auto"/>
            <w:tcBorders>
              <w:top w:val="single" w:color="auto" w:sz="6" w:space="0"/>
              <w:left w:val="single" w:color="auto" w:sz="6" w:space="0"/>
              <w:bottom w:val="single" w:color="auto" w:sz="6" w:space="0"/>
              <w:right w:val="single" w:color="auto" w:sz="6" w:space="0"/>
            </w:tcBorders>
            <w:vAlign w:val="center"/>
          </w:tcPr>
          <w:p w14:paraId="38120FC1">
            <w:pPr>
              <w:spacing w:line="360" w:lineRule="exact"/>
              <w:ind w:firstLine="0" w:firstLineChars="0"/>
              <w:contextualSpacing/>
              <w:jc w:val="center"/>
              <w:rPr>
                <w:sz w:val="21"/>
                <w:szCs w:val="21"/>
                <w:highlight w:val="yellow"/>
              </w:rPr>
            </w:pPr>
            <w:r>
              <w:t>3.94</w:t>
            </w:r>
          </w:p>
        </w:tc>
        <w:tc>
          <w:tcPr>
            <w:tcW w:w="0" w:type="auto"/>
            <w:tcBorders>
              <w:top w:val="single" w:color="auto" w:sz="6" w:space="0"/>
              <w:left w:val="single" w:color="auto" w:sz="6" w:space="0"/>
              <w:bottom w:val="single" w:color="auto" w:sz="6" w:space="0"/>
              <w:right w:val="single" w:color="auto" w:sz="6" w:space="0"/>
            </w:tcBorders>
            <w:vAlign w:val="center"/>
          </w:tcPr>
          <w:p w14:paraId="27F31E6E">
            <w:pPr>
              <w:spacing w:line="360" w:lineRule="exact"/>
              <w:ind w:firstLine="0" w:firstLineChars="0"/>
              <w:contextualSpacing/>
              <w:jc w:val="center"/>
              <w:rPr>
                <w:sz w:val="21"/>
                <w:szCs w:val="21"/>
                <w:highlight w:val="yellow"/>
              </w:rPr>
            </w:pPr>
            <w:r>
              <w:t>4.03</w:t>
            </w:r>
          </w:p>
        </w:tc>
        <w:tc>
          <w:tcPr>
            <w:tcW w:w="0" w:type="auto"/>
            <w:tcBorders>
              <w:top w:val="single" w:color="auto" w:sz="6" w:space="0"/>
              <w:left w:val="single" w:color="auto" w:sz="6" w:space="0"/>
              <w:bottom w:val="single" w:color="auto" w:sz="6" w:space="0"/>
              <w:right w:val="single" w:color="auto" w:sz="6" w:space="0"/>
            </w:tcBorders>
            <w:vAlign w:val="center"/>
          </w:tcPr>
          <w:p w14:paraId="34E32818">
            <w:pPr>
              <w:spacing w:line="360" w:lineRule="exact"/>
              <w:ind w:firstLine="0" w:firstLineChars="0"/>
              <w:contextualSpacing/>
              <w:jc w:val="center"/>
              <w:rPr>
                <w:sz w:val="21"/>
                <w:szCs w:val="21"/>
                <w:highlight w:val="yellow"/>
              </w:rPr>
            </w:pPr>
            <w:r>
              <w:t>5.68</w:t>
            </w:r>
          </w:p>
        </w:tc>
        <w:tc>
          <w:tcPr>
            <w:tcW w:w="0" w:type="auto"/>
            <w:tcBorders>
              <w:top w:val="single" w:color="auto" w:sz="6" w:space="0"/>
              <w:left w:val="single" w:color="auto" w:sz="6" w:space="0"/>
              <w:bottom w:val="single" w:color="auto" w:sz="6" w:space="0"/>
              <w:right w:val="single" w:color="auto" w:sz="6" w:space="0"/>
            </w:tcBorders>
            <w:vAlign w:val="center"/>
          </w:tcPr>
          <w:p w14:paraId="0985FB29">
            <w:pPr>
              <w:spacing w:line="360" w:lineRule="exact"/>
              <w:ind w:firstLine="0" w:firstLineChars="0"/>
              <w:contextualSpacing/>
              <w:jc w:val="center"/>
              <w:rPr>
                <w:sz w:val="21"/>
                <w:szCs w:val="21"/>
                <w:highlight w:val="yellow"/>
              </w:rPr>
            </w:pPr>
            <w:r>
              <w:t>10.67</w:t>
            </w:r>
          </w:p>
        </w:tc>
        <w:tc>
          <w:tcPr>
            <w:tcW w:w="0" w:type="auto"/>
            <w:tcBorders>
              <w:top w:val="single" w:color="auto" w:sz="6" w:space="0"/>
              <w:left w:val="single" w:color="auto" w:sz="6" w:space="0"/>
              <w:bottom w:val="single" w:color="auto" w:sz="6" w:space="0"/>
              <w:right w:val="single" w:color="auto" w:sz="6" w:space="0"/>
            </w:tcBorders>
            <w:vAlign w:val="center"/>
          </w:tcPr>
          <w:p w14:paraId="74011095">
            <w:pPr>
              <w:spacing w:line="360" w:lineRule="exact"/>
              <w:ind w:firstLine="0" w:firstLineChars="0"/>
              <w:contextualSpacing/>
              <w:jc w:val="center"/>
              <w:rPr>
                <w:sz w:val="21"/>
                <w:szCs w:val="21"/>
                <w:highlight w:val="yellow"/>
              </w:rPr>
            </w:pPr>
            <w:r>
              <w:t>6.96</w:t>
            </w:r>
          </w:p>
        </w:tc>
        <w:tc>
          <w:tcPr>
            <w:tcW w:w="0" w:type="auto"/>
            <w:tcBorders>
              <w:top w:val="single" w:color="auto" w:sz="6" w:space="0"/>
              <w:left w:val="single" w:color="auto" w:sz="6" w:space="0"/>
              <w:bottom w:val="single" w:color="auto" w:sz="6" w:space="0"/>
              <w:right w:val="single" w:color="auto" w:sz="6" w:space="0"/>
            </w:tcBorders>
            <w:vAlign w:val="center"/>
          </w:tcPr>
          <w:p w14:paraId="67E62946">
            <w:pPr>
              <w:spacing w:line="360" w:lineRule="exact"/>
              <w:ind w:firstLine="0" w:firstLineChars="0"/>
              <w:contextualSpacing/>
              <w:jc w:val="center"/>
              <w:rPr>
                <w:sz w:val="21"/>
                <w:szCs w:val="21"/>
                <w:highlight w:val="yellow"/>
              </w:rPr>
            </w:pPr>
            <w:r>
              <w:t>7.97</w:t>
            </w:r>
          </w:p>
        </w:tc>
        <w:tc>
          <w:tcPr>
            <w:tcW w:w="0" w:type="auto"/>
            <w:tcBorders>
              <w:top w:val="single" w:color="auto" w:sz="6" w:space="0"/>
              <w:left w:val="single" w:color="auto" w:sz="6" w:space="0"/>
              <w:bottom w:val="single" w:color="auto" w:sz="6" w:space="0"/>
              <w:right w:val="single" w:color="auto" w:sz="6" w:space="0"/>
            </w:tcBorders>
            <w:vAlign w:val="center"/>
          </w:tcPr>
          <w:p w14:paraId="03CA5A18">
            <w:pPr>
              <w:spacing w:line="360" w:lineRule="exact"/>
              <w:ind w:firstLine="0" w:firstLineChars="0"/>
              <w:contextualSpacing/>
              <w:jc w:val="center"/>
              <w:rPr>
                <w:sz w:val="21"/>
                <w:szCs w:val="21"/>
                <w:highlight w:val="yellow"/>
              </w:rPr>
            </w:pPr>
            <w:r>
              <w:t>8.01</w:t>
            </w:r>
          </w:p>
        </w:tc>
        <w:tc>
          <w:tcPr>
            <w:tcW w:w="0" w:type="auto"/>
            <w:tcBorders>
              <w:top w:val="single" w:color="auto" w:sz="6" w:space="0"/>
              <w:left w:val="single" w:color="auto" w:sz="6" w:space="0"/>
              <w:bottom w:val="single" w:color="auto" w:sz="6" w:space="0"/>
              <w:right w:val="single" w:color="auto" w:sz="6" w:space="0"/>
            </w:tcBorders>
            <w:vAlign w:val="center"/>
          </w:tcPr>
          <w:p w14:paraId="04EF0145">
            <w:pPr>
              <w:spacing w:line="360" w:lineRule="exact"/>
              <w:ind w:firstLine="0" w:firstLineChars="0"/>
              <w:contextualSpacing/>
              <w:jc w:val="center"/>
              <w:rPr>
                <w:sz w:val="21"/>
                <w:szCs w:val="21"/>
                <w:highlight w:val="yellow"/>
              </w:rPr>
            </w:pPr>
            <w:r>
              <w:t>7.83</w:t>
            </w:r>
          </w:p>
        </w:tc>
        <w:tc>
          <w:tcPr>
            <w:tcW w:w="0" w:type="auto"/>
            <w:tcBorders>
              <w:top w:val="single" w:color="auto" w:sz="6" w:space="0"/>
              <w:left w:val="single" w:color="auto" w:sz="6" w:space="0"/>
              <w:bottom w:val="single" w:color="auto" w:sz="6" w:space="0"/>
              <w:right w:val="single" w:color="auto" w:sz="6" w:space="0"/>
            </w:tcBorders>
            <w:vAlign w:val="center"/>
          </w:tcPr>
          <w:p w14:paraId="60107088">
            <w:pPr>
              <w:spacing w:line="360" w:lineRule="exact"/>
              <w:ind w:firstLine="0" w:firstLineChars="0"/>
              <w:contextualSpacing/>
              <w:jc w:val="center"/>
              <w:rPr>
                <w:sz w:val="21"/>
                <w:szCs w:val="21"/>
                <w:highlight w:val="yellow"/>
              </w:rPr>
            </w:pPr>
            <w:r>
              <w:t>2.34</w:t>
            </w:r>
          </w:p>
        </w:tc>
        <w:tc>
          <w:tcPr>
            <w:tcW w:w="255" w:type="pct"/>
            <w:tcBorders>
              <w:top w:val="single" w:color="auto" w:sz="6" w:space="0"/>
              <w:left w:val="single" w:color="auto" w:sz="6" w:space="0"/>
              <w:bottom w:val="single" w:color="auto" w:sz="6" w:space="0"/>
              <w:right w:val="single" w:color="auto" w:sz="6" w:space="0"/>
            </w:tcBorders>
            <w:vAlign w:val="center"/>
          </w:tcPr>
          <w:p w14:paraId="71BA01A5">
            <w:pPr>
              <w:spacing w:line="360" w:lineRule="exact"/>
              <w:ind w:firstLine="0" w:firstLineChars="0"/>
              <w:contextualSpacing/>
              <w:jc w:val="center"/>
              <w:rPr>
                <w:sz w:val="21"/>
                <w:szCs w:val="21"/>
                <w:highlight w:val="yellow"/>
              </w:rPr>
            </w:pPr>
            <w:r>
              <w:t>1.01</w:t>
            </w:r>
          </w:p>
        </w:tc>
        <w:tc>
          <w:tcPr>
            <w:tcW w:w="301" w:type="pct"/>
            <w:tcBorders>
              <w:top w:val="single" w:color="auto" w:sz="6" w:space="0"/>
              <w:left w:val="single" w:color="auto" w:sz="6" w:space="0"/>
              <w:bottom w:val="single" w:color="auto" w:sz="6" w:space="0"/>
              <w:right w:val="single" w:color="auto" w:sz="6" w:space="0"/>
            </w:tcBorders>
            <w:vAlign w:val="center"/>
          </w:tcPr>
          <w:p w14:paraId="07DE1AE5">
            <w:pPr>
              <w:spacing w:line="360" w:lineRule="exact"/>
              <w:ind w:firstLine="0" w:firstLineChars="0"/>
              <w:contextualSpacing/>
              <w:jc w:val="center"/>
              <w:rPr>
                <w:sz w:val="21"/>
                <w:szCs w:val="21"/>
                <w:highlight w:val="yellow"/>
              </w:rPr>
            </w:pPr>
            <w:r>
              <w:t>0.87</w:t>
            </w:r>
          </w:p>
        </w:tc>
        <w:tc>
          <w:tcPr>
            <w:tcW w:w="0" w:type="auto"/>
            <w:tcBorders>
              <w:top w:val="single" w:color="auto" w:sz="6" w:space="0"/>
              <w:left w:val="single" w:color="auto" w:sz="6" w:space="0"/>
              <w:bottom w:val="single" w:color="auto" w:sz="6" w:space="0"/>
              <w:right w:val="single" w:color="auto" w:sz="8" w:space="0"/>
            </w:tcBorders>
            <w:vAlign w:val="center"/>
          </w:tcPr>
          <w:p w14:paraId="6EBA71B8">
            <w:pPr>
              <w:spacing w:line="360" w:lineRule="exact"/>
              <w:ind w:firstLine="0" w:firstLineChars="0"/>
              <w:contextualSpacing/>
              <w:jc w:val="center"/>
              <w:rPr>
                <w:sz w:val="21"/>
                <w:szCs w:val="21"/>
                <w:highlight w:val="yellow"/>
              </w:rPr>
            </w:pPr>
            <w:r>
              <w:t>2.75</w:t>
            </w:r>
          </w:p>
        </w:tc>
      </w:tr>
      <w:tr w14:paraId="724599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77" w:type="pct"/>
            <w:tcBorders>
              <w:top w:val="single" w:color="auto" w:sz="6" w:space="0"/>
              <w:left w:val="single" w:color="auto" w:sz="8" w:space="0"/>
              <w:bottom w:val="single" w:color="auto" w:sz="6" w:space="0"/>
              <w:right w:val="single" w:color="auto" w:sz="6" w:space="0"/>
            </w:tcBorders>
            <w:vAlign w:val="center"/>
          </w:tcPr>
          <w:p w14:paraId="6245AB5A">
            <w:pPr>
              <w:spacing w:line="360" w:lineRule="exact"/>
              <w:ind w:firstLine="0" w:firstLineChars="0"/>
              <w:jc w:val="center"/>
              <w:rPr>
                <w:sz w:val="21"/>
                <w:szCs w:val="21"/>
              </w:rPr>
            </w:pPr>
            <w:r>
              <w:rPr>
                <w:sz w:val="21"/>
                <w:szCs w:val="21"/>
              </w:rPr>
              <w:t>冬季</w:t>
            </w:r>
          </w:p>
        </w:tc>
        <w:tc>
          <w:tcPr>
            <w:tcW w:w="0" w:type="auto"/>
            <w:tcBorders>
              <w:top w:val="single" w:color="auto" w:sz="6" w:space="0"/>
              <w:left w:val="single" w:color="auto" w:sz="6" w:space="0"/>
              <w:bottom w:val="single" w:color="auto" w:sz="6" w:space="0"/>
              <w:right w:val="single" w:color="auto" w:sz="6" w:space="0"/>
            </w:tcBorders>
            <w:vAlign w:val="center"/>
          </w:tcPr>
          <w:p w14:paraId="25CB778F">
            <w:pPr>
              <w:spacing w:line="360" w:lineRule="exact"/>
              <w:ind w:firstLine="0" w:firstLineChars="0"/>
              <w:contextualSpacing/>
              <w:jc w:val="center"/>
              <w:rPr>
                <w:sz w:val="21"/>
                <w:szCs w:val="21"/>
                <w:highlight w:val="yellow"/>
              </w:rPr>
            </w:pPr>
            <w:r>
              <w:t>2.87</w:t>
            </w:r>
          </w:p>
        </w:tc>
        <w:tc>
          <w:tcPr>
            <w:tcW w:w="0" w:type="auto"/>
            <w:tcBorders>
              <w:top w:val="single" w:color="auto" w:sz="6" w:space="0"/>
              <w:left w:val="single" w:color="auto" w:sz="6" w:space="0"/>
              <w:bottom w:val="single" w:color="auto" w:sz="6" w:space="0"/>
              <w:right w:val="single" w:color="auto" w:sz="6" w:space="0"/>
            </w:tcBorders>
            <w:vAlign w:val="center"/>
          </w:tcPr>
          <w:p w14:paraId="09B6826B">
            <w:pPr>
              <w:spacing w:line="360" w:lineRule="exact"/>
              <w:ind w:firstLine="0" w:firstLineChars="0"/>
              <w:contextualSpacing/>
              <w:jc w:val="center"/>
              <w:rPr>
                <w:sz w:val="21"/>
                <w:szCs w:val="21"/>
                <w:highlight w:val="yellow"/>
              </w:rPr>
            </w:pPr>
            <w:r>
              <w:t>11.62</w:t>
            </w:r>
          </w:p>
        </w:tc>
        <w:tc>
          <w:tcPr>
            <w:tcW w:w="0" w:type="auto"/>
            <w:tcBorders>
              <w:top w:val="single" w:color="auto" w:sz="6" w:space="0"/>
              <w:left w:val="single" w:color="auto" w:sz="6" w:space="0"/>
              <w:bottom w:val="single" w:color="auto" w:sz="6" w:space="0"/>
              <w:right w:val="single" w:color="auto" w:sz="6" w:space="0"/>
            </w:tcBorders>
            <w:vAlign w:val="center"/>
          </w:tcPr>
          <w:p w14:paraId="39B5F1B4">
            <w:pPr>
              <w:spacing w:line="360" w:lineRule="exact"/>
              <w:ind w:firstLine="0" w:firstLineChars="0"/>
              <w:contextualSpacing/>
              <w:jc w:val="center"/>
              <w:rPr>
                <w:sz w:val="21"/>
                <w:szCs w:val="21"/>
                <w:highlight w:val="yellow"/>
              </w:rPr>
            </w:pPr>
            <w:r>
              <w:t>16.90</w:t>
            </w:r>
          </w:p>
        </w:tc>
        <w:tc>
          <w:tcPr>
            <w:tcW w:w="0" w:type="auto"/>
            <w:tcBorders>
              <w:top w:val="single" w:color="auto" w:sz="6" w:space="0"/>
              <w:left w:val="single" w:color="auto" w:sz="6" w:space="0"/>
              <w:bottom w:val="single" w:color="auto" w:sz="6" w:space="0"/>
              <w:right w:val="single" w:color="auto" w:sz="6" w:space="0"/>
            </w:tcBorders>
            <w:vAlign w:val="center"/>
          </w:tcPr>
          <w:p w14:paraId="14064E06">
            <w:pPr>
              <w:spacing w:line="360" w:lineRule="exact"/>
              <w:ind w:firstLine="0" w:firstLineChars="0"/>
              <w:contextualSpacing/>
              <w:jc w:val="center"/>
              <w:rPr>
                <w:sz w:val="21"/>
                <w:szCs w:val="21"/>
                <w:highlight w:val="yellow"/>
              </w:rPr>
            </w:pPr>
            <w:r>
              <w:t>8.80</w:t>
            </w:r>
          </w:p>
        </w:tc>
        <w:tc>
          <w:tcPr>
            <w:tcW w:w="0" w:type="auto"/>
            <w:tcBorders>
              <w:top w:val="single" w:color="auto" w:sz="6" w:space="0"/>
              <w:left w:val="single" w:color="auto" w:sz="6" w:space="0"/>
              <w:bottom w:val="single" w:color="auto" w:sz="6" w:space="0"/>
              <w:right w:val="single" w:color="auto" w:sz="6" w:space="0"/>
            </w:tcBorders>
            <w:vAlign w:val="center"/>
          </w:tcPr>
          <w:p w14:paraId="50EC0888">
            <w:pPr>
              <w:spacing w:line="360" w:lineRule="exact"/>
              <w:ind w:firstLine="0" w:firstLineChars="0"/>
              <w:contextualSpacing/>
              <w:jc w:val="center"/>
              <w:rPr>
                <w:sz w:val="21"/>
                <w:szCs w:val="21"/>
                <w:highlight w:val="yellow"/>
              </w:rPr>
            </w:pPr>
            <w:r>
              <w:t>5.93</w:t>
            </w:r>
          </w:p>
        </w:tc>
        <w:tc>
          <w:tcPr>
            <w:tcW w:w="0" w:type="auto"/>
            <w:tcBorders>
              <w:top w:val="single" w:color="auto" w:sz="6" w:space="0"/>
              <w:left w:val="single" w:color="auto" w:sz="6" w:space="0"/>
              <w:bottom w:val="single" w:color="auto" w:sz="6" w:space="0"/>
              <w:right w:val="single" w:color="auto" w:sz="6" w:space="0"/>
            </w:tcBorders>
            <w:vAlign w:val="center"/>
          </w:tcPr>
          <w:p w14:paraId="0A1026C5">
            <w:pPr>
              <w:spacing w:line="360" w:lineRule="exact"/>
              <w:ind w:firstLine="0" w:firstLineChars="0"/>
              <w:contextualSpacing/>
              <w:jc w:val="center"/>
              <w:rPr>
                <w:sz w:val="21"/>
                <w:szCs w:val="21"/>
                <w:highlight w:val="yellow"/>
              </w:rPr>
            </w:pPr>
            <w:r>
              <w:t>3.43</w:t>
            </w:r>
          </w:p>
        </w:tc>
        <w:tc>
          <w:tcPr>
            <w:tcW w:w="0" w:type="auto"/>
            <w:tcBorders>
              <w:top w:val="single" w:color="auto" w:sz="6" w:space="0"/>
              <w:left w:val="single" w:color="auto" w:sz="6" w:space="0"/>
              <w:bottom w:val="single" w:color="auto" w:sz="6" w:space="0"/>
              <w:right w:val="single" w:color="auto" w:sz="6" w:space="0"/>
            </w:tcBorders>
            <w:vAlign w:val="center"/>
          </w:tcPr>
          <w:p w14:paraId="28AC137B">
            <w:pPr>
              <w:spacing w:line="360" w:lineRule="exact"/>
              <w:ind w:firstLine="0" w:firstLineChars="0"/>
              <w:contextualSpacing/>
              <w:jc w:val="center"/>
              <w:rPr>
                <w:sz w:val="21"/>
                <w:szCs w:val="21"/>
                <w:highlight w:val="yellow"/>
              </w:rPr>
            </w:pPr>
            <w:r>
              <w:t>3.84</w:t>
            </w:r>
          </w:p>
        </w:tc>
        <w:tc>
          <w:tcPr>
            <w:tcW w:w="0" w:type="auto"/>
            <w:tcBorders>
              <w:top w:val="single" w:color="auto" w:sz="6" w:space="0"/>
              <w:left w:val="single" w:color="auto" w:sz="6" w:space="0"/>
              <w:bottom w:val="single" w:color="auto" w:sz="6" w:space="0"/>
              <w:right w:val="single" w:color="auto" w:sz="6" w:space="0"/>
            </w:tcBorders>
            <w:vAlign w:val="center"/>
          </w:tcPr>
          <w:p w14:paraId="6C742D33">
            <w:pPr>
              <w:spacing w:line="360" w:lineRule="exact"/>
              <w:ind w:firstLine="0" w:firstLineChars="0"/>
              <w:contextualSpacing/>
              <w:jc w:val="center"/>
              <w:rPr>
                <w:sz w:val="21"/>
                <w:szCs w:val="21"/>
                <w:highlight w:val="yellow"/>
              </w:rPr>
            </w:pPr>
            <w:r>
              <w:t>5.19</w:t>
            </w:r>
          </w:p>
        </w:tc>
        <w:tc>
          <w:tcPr>
            <w:tcW w:w="0" w:type="auto"/>
            <w:tcBorders>
              <w:top w:val="single" w:color="auto" w:sz="6" w:space="0"/>
              <w:left w:val="single" w:color="auto" w:sz="6" w:space="0"/>
              <w:bottom w:val="single" w:color="auto" w:sz="6" w:space="0"/>
              <w:right w:val="single" w:color="auto" w:sz="6" w:space="0"/>
            </w:tcBorders>
            <w:vAlign w:val="center"/>
          </w:tcPr>
          <w:p w14:paraId="3FF6DD5C">
            <w:pPr>
              <w:spacing w:line="360" w:lineRule="exact"/>
              <w:ind w:firstLine="0" w:firstLineChars="0"/>
              <w:contextualSpacing/>
              <w:jc w:val="center"/>
              <w:rPr>
                <w:sz w:val="21"/>
                <w:szCs w:val="21"/>
                <w:highlight w:val="yellow"/>
              </w:rPr>
            </w:pPr>
            <w:r>
              <w:t>11.20</w:t>
            </w:r>
          </w:p>
        </w:tc>
        <w:tc>
          <w:tcPr>
            <w:tcW w:w="0" w:type="auto"/>
            <w:tcBorders>
              <w:top w:val="single" w:color="auto" w:sz="6" w:space="0"/>
              <w:left w:val="single" w:color="auto" w:sz="6" w:space="0"/>
              <w:bottom w:val="single" w:color="auto" w:sz="6" w:space="0"/>
              <w:right w:val="single" w:color="auto" w:sz="6" w:space="0"/>
            </w:tcBorders>
            <w:vAlign w:val="center"/>
          </w:tcPr>
          <w:p w14:paraId="7C96F88C">
            <w:pPr>
              <w:spacing w:line="360" w:lineRule="exact"/>
              <w:ind w:firstLine="0" w:firstLineChars="0"/>
              <w:contextualSpacing/>
              <w:jc w:val="center"/>
              <w:rPr>
                <w:sz w:val="21"/>
                <w:szCs w:val="21"/>
                <w:highlight w:val="yellow"/>
              </w:rPr>
            </w:pPr>
            <w:r>
              <w:t>6.71</w:t>
            </w:r>
          </w:p>
        </w:tc>
        <w:tc>
          <w:tcPr>
            <w:tcW w:w="0" w:type="auto"/>
            <w:tcBorders>
              <w:top w:val="single" w:color="auto" w:sz="6" w:space="0"/>
              <w:left w:val="single" w:color="auto" w:sz="6" w:space="0"/>
              <w:bottom w:val="single" w:color="auto" w:sz="6" w:space="0"/>
              <w:right w:val="single" w:color="auto" w:sz="6" w:space="0"/>
            </w:tcBorders>
            <w:vAlign w:val="center"/>
          </w:tcPr>
          <w:p w14:paraId="46CA02CD">
            <w:pPr>
              <w:spacing w:line="360" w:lineRule="exact"/>
              <w:ind w:firstLine="0" w:firstLineChars="0"/>
              <w:contextualSpacing/>
              <w:jc w:val="center"/>
              <w:rPr>
                <w:sz w:val="21"/>
                <w:szCs w:val="21"/>
                <w:highlight w:val="yellow"/>
              </w:rPr>
            </w:pPr>
            <w:r>
              <w:t>6.39</w:t>
            </w:r>
          </w:p>
        </w:tc>
        <w:tc>
          <w:tcPr>
            <w:tcW w:w="0" w:type="auto"/>
            <w:tcBorders>
              <w:top w:val="single" w:color="auto" w:sz="6" w:space="0"/>
              <w:left w:val="single" w:color="auto" w:sz="6" w:space="0"/>
              <w:bottom w:val="single" w:color="auto" w:sz="6" w:space="0"/>
              <w:right w:val="single" w:color="auto" w:sz="6" w:space="0"/>
            </w:tcBorders>
            <w:vAlign w:val="center"/>
          </w:tcPr>
          <w:p w14:paraId="4EDA5AB3">
            <w:pPr>
              <w:spacing w:line="360" w:lineRule="exact"/>
              <w:ind w:firstLine="0" w:firstLineChars="0"/>
              <w:contextualSpacing/>
              <w:jc w:val="center"/>
              <w:rPr>
                <w:sz w:val="21"/>
                <w:szCs w:val="21"/>
                <w:highlight w:val="yellow"/>
              </w:rPr>
            </w:pPr>
            <w:r>
              <w:t>5.93</w:t>
            </w:r>
          </w:p>
        </w:tc>
        <w:tc>
          <w:tcPr>
            <w:tcW w:w="0" w:type="auto"/>
            <w:tcBorders>
              <w:top w:val="single" w:color="auto" w:sz="6" w:space="0"/>
              <w:left w:val="single" w:color="auto" w:sz="6" w:space="0"/>
              <w:bottom w:val="single" w:color="auto" w:sz="6" w:space="0"/>
              <w:right w:val="single" w:color="auto" w:sz="6" w:space="0"/>
            </w:tcBorders>
            <w:vAlign w:val="center"/>
          </w:tcPr>
          <w:p w14:paraId="29D651E8">
            <w:pPr>
              <w:spacing w:line="360" w:lineRule="exact"/>
              <w:ind w:firstLine="0" w:firstLineChars="0"/>
              <w:contextualSpacing/>
              <w:jc w:val="center"/>
              <w:rPr>
                <w:sz w:val="21"/>
                <w:szCs w:val="21"/>
                <w:highlight w:val="yellow"/>
              </w:rPr>
            </w:pPr>
            <w:r>
              <w:t>7.13</w:t>
            </w:r>
          </w:p>
        </w:tc>
        <w:tc>
          <w:tcPr>
            <w:tcW w:w="0" w:type="auto"/>
            <w:tcBorders>
              <w:top w:val="single" w:color="auto" w:sz="6" w:space="0"/>
              <w:left w:val="single" w:color="auto" w:sz="6" w:space="0"/>
              <w:bottom w:val="single" w:color="auto" w:sz="6" w:space="0"/>
              <w:right w:val="single" w:color="auto" w:sz="6" w:space="0"/>
            </w:tcBorders>
            <w:vAlign w:val="center"/>
          </w:tcPr>
          <w:p w14:paraId="1E10F2B2">
            <w:pPr>
              <w:spacing w:line="360" w:lineRule="exact"/>
              <w:ind w:firstLine="0" w:firstLineChars="0"/>
              <w:contextualSpacing/>
              <w:jc w:val="center"/>
              <w:rPr>
                <w:sz w:val="21"/>
                <w:szCs w:val="21"/>
                <w:highlight w:val="yellow"/>
              </w:rPr>
            </w:pPr>
            <w:r>
              <w:t>1.39</w:t>
            </w:r>
          </w:p>
        </w:tc>
        <w:tc>
          <w:tcPr>
            <w:tcW w:w="255" w:type="pct"/>
            <w:tcBorders>
              <w:top w:val="single" w:color="auto" w:sz="6" w:space="0"/>
              <w:left w:val="single" w:color="auto" w:sz="6" w:space="0"/>
              <w:bottom w:val="single" w:color="auto" w:sz="6" w:space="0"/>
              <w:right w:val="single" w:color="auto" w:sz="6" w:space="0"/>
            </w:tcBorders>
            <w:vAlign w:val="center"/>
          </w:tcPr>
          <w:p w14:paraId="0B3B6019">
            <w:pPr>
              <w:spacing w:line="360" w:lineRule="exact"/>
              <w:ind w:firstLine="0" w:firstLineChars="0"/>
              <w:contextualSpacing/>
              <w:jc w:val="center"/>
              <w:rPr>
                <w:sz w:val="21"/>
                <w:szCs w:val="21"/>
                <w:highlight w:val="yellow"/>
              </w:rPr>
            </w:pPr>
            <w:r>
              <w:t>1.16</w:t>
            </w:r>
          </w:p>
        </w:tc>
        <w:tc>
          <w:tcPr>
            <w:tcW w:w="301" w:type="pct"/>
            <w:tcBorders>
              <w:top w:val="single" w:color="auto" w:sz="6" w:space="0"/>
              <w:left w:val="single" w:color="auto" w:sz="6" w:space="0"/>
              <w:bottom w:val="single" w:color="auto" w:sz="6" w:space="0"/>
              <w:right w:val="single" w:color="auto" w:sz="6" w:space="0"/>
            </w:tcBorders>
            <w:vAlign w:val="center"/>
          </w:tcPr>
          <w:p w14:paraId="7FE252DB">
            <w:pPr>
              <w:spacing w:line="360" w:lineRule="exact"/>
              <w:ind w:firstLine="0" w:firstLineChars="0"/>
              <w:contextualSpacing/>
              <w:jc w:val="center"/>
              <w:rPr>
                <w:sz w:val="21"/>
                <w:szCs w:val="21"/>
                <w:highlight w:val="yellow"/>
              </w:rPr>
            </w:pPr>
            <w:r>
              <w:t>0.83</w:t>
            </w:r>
          </w:p>
        </w:tc>
        <w:tc>
          <w:tcPr>
            <w:tcW w:w="0" w:type="auto"/>
            <w:tcBorders>
              <w:top w:val="single" w:color="auto" w:sz="6" w:space="0"/>
              <w:left w:val="single" w:color="auto" w:sz="6" w:space="0"/>
              <w:bottom w:val="single" w:color="auto" w:sz="6" w:space="0"/>
              <w:right w:val="single" w:color="auto" w:sz="8" w:space="0"/>
            </w:tcBorders>
            <w:vAlign w:val="center"/>
          </w:tcPr>
          <w:p w14:paraId="2891891B">
            <w:pPr>
              <w:spacing w:line="360" w:lineRule="exact"/>
              <w:ind w:firstLine="0" w:firstLineChars="0"/>
              <w:contextualSpacing/>
              <w:jc w:val="center"/>
              <w:rPr>
                <w:sz w:val="21"/>
                <w:szCs w:val="21"/>
                <w:highlight w:val="yellow"/>
              </w:rPr>
            </w:pPr>
            <w:r>
              <w:t>0.69</w:t>
            </w:r>
          </w:p>
        </w:tc>
      </w:tr>
      <w:tr w14:paraId="4D7731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77" w:type="pct"/>
            <w:tcBorders>
              <w:top w:val="single" w:color="auto" w:sz="6" w:space="0"/>
              <w:left w:val="single" w:color="auto" w:sz="8" w:space="0"/>
              <w:bottom w:val="single" w:color="auto" w:sz="8" w:space="0"/>
              <w:right w:val="single" w:color="auto" w:sz="6" w:space="0"/>
            </w:tcBorders>
            <w:vAlign w:val="center"/>
          </w:tcPr>
          <w:p w14:paraId="732C90F1">
            <w:pPr>
              <w:spacing w:line="360" w:lineRule="exact"/>
              <w:ind w:firstLine="0" w:firstLineChars="0"/>
              <w:jc w:val="center"/>
              <w:rPr>
                <w:sz w:val="21"/>
                <w:szCs w:val="21"/>
              </w:rPr>
            </w:pPr>
            <w:r>
              <w:rPr>
                <w:sz w:val="21"/>
                <w:szCs w:val="21"/>
              </w:rPr>
              <w:t>全年</w:t>
            </w:r>
          </w:p>
        </w:tc>
        <w:tc>
          <w:tcPr>
            <w:tcW w:w="0" w:type="auto"/>
            <w:tcBorders>
              <w:top w:val="single" w:color="auto" w:sz="6" w:space="0"/>
              <w:left w:val="single" w:color="auto" w:sz="6" w:space="0"/>
              <w:bottom w:val="single" w:color="auto" w:sz="8" w:space="0"/>
              <w:right w:val="single" w:color="auto" w:sz="6" w:space="0"/>
            </w:tcBorders>
            <w:vAlign w:val="center"/>
          </w:tcPr>
          <w:p w14:paraId="0FC16FDB">
            <w:pPr>
              <w:spacing w:line="360" w:lineRule="exact"/>
              <w:ind w:firstLine="0" w:firstLineChars="0"/>
              <w:contextualSpacing/>
              <w:jc w:val="center"/>
              <w:rPr>
                <w:sz w:val="21"/>
                <w:szCs w:val="21"/>
                <w:highlight w:val="yellow"/>
              </w:rPr>
            </w:pPr>
            <w:r>
              <w:t>2.88</w:t>
            </w:r>
          </w:p>
        </w:tc>
        <w:tc>
          <w:tcPr>
            <w:tcW w:w="0" w:type="auto"/>
            <w:tcBorders>
              <w:top w:val="single" w:color="auto" w:sz="6" w:space="0"/>
              <w:left w:val="single" w:color="auto" w:sz="6" w:space="0"/>
              <w:bottom w:val="single" w:color="auto" w:sz="8" w:space="0"/>
              <w:right w:val="single" w:color="auto" w:sz="6" w:space="0"/>
            </w:tcBorders>
            <w:vAlign w:val="center"/>
          </w:tcPr>
          <w:p w14:paraId="0AECD33E">
            <w:pPr>
              <w:spacing w:line="360" w:lineRule="exact"/>
              <w:ind w:firstLine="0" w:firstLineChars="0"/>
              <w:contextualSpacing/>
              <w:jc w:val="center"/>
              <w:rPr>
                <w:sz w:val="21"/>
                <w:szCs w:val="21"/>
                <w:highlight w:val="yellow"/>
              </w:rPr>
            </w:pPr>
            <w:r>
              <w:t>11.62</w:t>
            </w:r>
          </w:p>
        </w:tc>
        <w:tc>
          <w:tcPr>
            <w:tcW w:w="0" w:type="auto"/>
            <w:tcBorders>
              <w:top w:val="single" w:color="auto" w:sz="6" w:space="0"/>
              <w:left w:val="single" w:color="auto" w:sz="6" w:space="0"/>
              <w:bottom w:val="single" w:color="auto" w:sz="8" w:space="0"/>
              <w:right w:val="single" w:color="auto" w:sz="6" w:space="0"/>
            </w:tcBorders>
            <w:vAlign w:val="center"/>
          </w:tcPr>
          <w:p w14:paraId="3A70AB38">
            <w:pPr>
              <w:spacing w:line="360" w:lineRule="exact"/>
              <w:ind w:firstLine="0" w:firstLineChars="0"/>
              <w:contextualSpacing/>
              <w:jc w:val="center"/>
              <w:rPr>
                <w:sz w:val="21"/>
                <w:szCs w:val="21"/>
                <w:highlight w:val="yellow"/>
              </w:rPr>
            </w:pPr>
            <w:r>
              <w:t>11.75</w:t>
            </w:r>
          </w:p>
        </w:tc>
        <w:tc>
          <w:tcPr>
            <w:tcW w:w="0" w:type="auto"/>
            <w:tcBorders>
              <w:top w:val="single" w:color="auto" w:sz="6" w:space="0"/>
              <w:left w:val="single" w:color="auto" w:sz="6" w:space="0"/>
              <w:bottom w:val="single" w:color="auto" w:sz="8" w:space="0"/>
              <w:right w:val="single" w:color="auto" w:sz="6" w:space="0"/>
            </w:tcBorders>
            <w:vAlign w:val="center"/>
          </w:tcPr>
          <w:p w14:paraId="0F6557F1">
            <w:pPr>
              <w:spacing w:line="360" w:lineRule="exact"/>
              <w:ind w:firstLine="0" w:firstLineChars="0"/>
              <w:contextualSpacing/>
              <w:jc w:val="center"/>
              <w:rPr>
                <w:sz w:val="21"/>
                <w:szCs w:val="21"/>
                <w:highlight w:val="yellow"/>
              </w:rPr>
            </w:pPr>
            <w:r>
              <w:t>7.05</w:t>
            </w:r>
          </w:p>
        </w:tc>
        <w:tc>
          <w:tcPr>
            <w:tcW w:w="0" w:type="auto"/>
            <w:tcBorders>
              <w:top w:val="single" w:color="auto" w:sz="6" w:space="0"/>
              <w:left w:val="single" w:color="auto" w:sz="6" w:space="0"/>
              <w:bottom w:val="single" w:color="auto" w:sz="8" w:space="0"/>
              <w:right w:val="single" w:color="auto" w:sz="6" w:space="0"/>
            </w:tcBorders>
            <w:vAlign w:val="center"/>
          </w:tcPr>
          <w:p w14:paraId="3DEB6ECD">
            <w:pPr>
              <w:spacing w:line="360" w:lineRule="exact"/>
              <w:ind w:firstLine="0" w:firstLineChars="0"/>
              <w:contextualSpacing/>
              <w:jc w:val="center"/>
              <w:rPr>
                <w:sz w:val="21"/>
                <w:szCs w:val="21"/>
                <w:highlight w:val="yellow"/>
              </w:rPr>
            </w:pPr>
            <w:r>
              <w:t>6.94</w:t>
            </w:r>
          </w:p>
        </w:tc>
        <w:tc>
          <w:tcPr>
            <w:tcW w:w="0" w:type="auto"/>
            <w:tcBorders>
              <w:top w:val="single" w:color="auto" w:sz="6" w:space="0"/>
              <w:left w:val="single" w:color="auto" w:sz="6" w:space="0"/>
              <w:bottom w:val="single" w:color="auto" w:sz="8" w:space="0"/>
              <w:right w:val="single" w:color="auto" w:sz="6" w:space="0"/>
            </w:tcBorders>
            <w:vAlign w:val="center"/>
          </w:tcPr>
          <w:p w14:paraId="0C06756F">
            <w:pPr>
              <w:spacing w:line="360" w:lineRule="exact"/>
              <w:ind w:firstLine="0" w:firstLineChars="0"/>
              <w:contextualSpacing/>
              <w:jc w:val="center"/>
              <w:rPr>
                <w:sz w:val="21"/>
                <w:szCs w:val="21"/>
                <w:highlight w:val="yellow"/>
              </w:rPr>
            </w:pPr>
            <w:r>
              <w:t>4.81</w:t>
            </w:r>
          </w:p>
        </w:tc>
        <w:tc>
          <w:tcPr>
            <w:tcW w:w="0" w:type="auto"/>
            <w:tcBorders>
              <w:top w:val="single" w:color="auto" w:sz="6" w:space="0"/>
              <w:left w:val="single" w:color="auto" w:sz="6" w:space="0"/>
              <w:bottom w:val="single" w:color="auto" w:sz="8" w:space="0"/>
              <w:right w:val="single" w:color="auto" w:sz="6" w:space="0"/>
            </w:tcBorders>
            <w:vAlign w:val="center"/>
          </w:tcPr>
          <w:p w14:paraId="6ED3D752">
            <w:pPr>
              <w:spacing w:line="360" w:lineRule="exact"/>
              <w:ind w:firstLine="0" w:firstLineChars="0"/>
              <w:contextualSpacing/>
              <w:jc w:val="center"/>
              <w:rPr>
                <w:sz w:val="21"/>
                <w:szCs w:val="21"/>
                <w:highlight w:val="yellow"/>
              </w:rPr>
            </w:pPr>
            <w:r>
              <w:t>5.06</w:t>
            </w:r>
          </w:p>
        </w:tc>
        <w:tc>
          <w:tcPr>
            <w:tcW w:w="0" w:type="auto"/>
            <w:tcBorders>
              <w:top w:val="single" w:color="auto" w:sz="6" w:space="0"/>
              <w:left w:val="single" w:color="auto" w:sz="6" w:space="0"/>
              <w:bottom w:val="single" w:color="auto" w:sz="8" w:space="0"/>
              <w:right w:val="single" w:color="auto" w:sz="6" w:space="0"/>
            </w:tcBorders>
            <w:vAlign w:val="center"/>
          </w:tcPr>
          <w:p w14:paraId="4FF8673D">
            <w:pPr>
              <w:spacing w:line="360" w:lineRule="exact"/>
              <w:ind w:firstLine="0" w:firstLineChars="0"/>
              <w:contextualSpacing/>
              <w:jc w:val="center"/>
              <w:rPr>
                <w:sz w:val="21"/>
                <w:szCs w:val="21"/>
                <w:highlight w:val="yellow"/>
              </w:rPr>
            </w:pPr>
            <w:r>
              <w:t>7.07</w:t>
            </w:r>
          </w:p>
        </w:tc>
        <w:tc>
          <w:tcPr>
            <w:tcW w:w="0" w:type="auto"/>
            <w:tcBorders>
              <w:top w:val="single" w:color="auto" w:sz="6" w:space="0"/>
              <w:left w:val="single" w:color="auto" w:sz="6" w:space="0"/>
              <w:bottom w:val="single" w:color="auto" w:sz="8" w:space="0"/>
              <w:right w:val="single" w:color="auto" w:sz="6" w:space="0"/>
            </w:tcBorders>
            <w:vAlign w:val="center"/>
          </w:tcPr>
          <w:p w14:paraId="079D7225">
            <w:pPr>
              <w:spacing w:line="360" w:lineRule="exact"/>
              <w:ind w:firstLine="0" w:firstLineChars="0"/>
              <w:contextualSpacing/>
              <w:jc w:val="center"/>
              <w:rPr>
                <w:sz w:val="21"/>
                <w:szCs w:val="21"/>
                <w:highlight w:val="yellow"/>
              </w:rPr>
            </w:pPr>
            <w:r>
              <w:t>12.63</w:t>
            </w:r>
          </w:p>
        </w:tc>
        <w:tc>
          <w:tcPr>
            <w:tcW w:w="0" w:type="auto"/>
            <w:tcBorders>
              <w:top w:val="single" w:color="auto" w:sz="6" w:space="0"/>
              <w:left w:val="single" w:color="auto" w:sz="6" w:space="0"/>
              <w:bottom w:val="single" w:color="auto" w:sz="8" w:space="0"/>
              <w:right w:val="single" w:color="auto" w:sz="6" w:space="0"/>
            </w:tcBorders>
            <w:vAlign w:val="center"/>
          </w:tcPr>
          <w:p w14:paraId="3E30A6E5">
            <w:pPr>
              <w:spacing w:line="360" w:lineRule="exact"/>
              <w:ind w:firstLine="0" w:firstLineChars="0"/>
              <w:contextualSpacing/>
              <w:jc w:val="center"/>
              <w:rPr>
                <w:sz w:val="21"/>
                <w:szCs w:val="21"/>
                <w:highlight w:val="yellow"/>
              </w:rPr>
            </w:pPr>
            <w:r>
              <w:t>6.12</w:t>
            </w:r>
          </w:p>
        </w:tc>
        <w:tc>
          <w:tcPr>
            <w:tcW w:w="0" w:type="auto"/>
            <w:tcBorders>
              <w:top w:val="single" w:color="auto" w:sz="6" w:space="0"/>
              <w:left w:val="single" w:color="auto" w:sz="6" w:space="0"/>
              <w:bottom w:val="single" w:color="auto" w:sz="8" w:space="0"/>
              <w:right w:val="single" w:color="auto" w:sz="6" w:space="0"/>
            </w:tcBorders>
            <w:vAlign w:val="center"/>
          </w:tcPr>
          <w:p w14:paraId="6B7F7488">
            <w:pPr>
              <w:spacing w:line="360" w:lineRule="exact"/>
              <w:ind w:firstLine="0" w:firstLineChars="0"/>
              <w:contextualSpacing/>
              <w:jc w:val="center"/>
              <w:rPr>
                <w:sz w:val="21"/>
                <w:szCs w:val="21"/>
                <w:highlight w:val="yellow"/>
              </w:rPr>
            </w:pPr>
            <w:r>
              <w:t>6.60</w:t>
            </w:r>
          </w:p>
        </w:tc>
        <w:tc>
          <w:tcPr>
            <w:tcW w:w="0" w:type="auto"/>
            <w:tcBorders>
              <w:top w:val="single" w:color="auto" w:sz="6" w:space="0"/>
              <w:left w:val="single" w:color="auto" w:sz="6" w:space="0"/>
              <w:bottom w:val="single" w:color="auto" w:sz="8" w:space="0"/>
              <w:right w:val="single" w:color="auto" w:sz="6" w:space="0"/>
            </w:tcBorders>
            <w:vAlign w:val="center"/>
          </w:tcPr>
          <w:p w14:paraId="13A68157">
            <w:pPr>
              <w:spacing w:line="360" w:lineRule="exact"/>
              <w:ind w:firstLine="0" w:firstLineChars="0"/>
              <w:contextualSpacing/>
              <w:jc w:val="center"/>
              <w:rPr>
                <w:sz w:val="21"/>
                <w:szCs w:val="21"/>
                <w:highlight w:val="yellow"/>
              </w:rPr>
            </w:pPr>
            <w:r>
              <w:t>6.69</w:t>
            </w:r>
          </w:p>
        </w:tc>
        <w:tc>
          <w:tcPr>
            <w:tcW w:w="0" w:type="auto"/>
            <w:tcBorders>
              <w:top w:val="single" w:color="auto" w:sz="6" w:space="0"/>
              <w:left w:val="single" w:color="auto" w:sz="6" w:space="0"/>
              <w:bottom w:val="single" w:color="auto" w:sz="8" w:space="0"/>
              <w:right w:val="single" w:color="auto" w:sz="6" w:space="0"/>
            </w:tcBorders>
            <w:vAlign w:val="center"/>
          </w:tcPr>
          <w:p w14:paraId="75BCAADD">
            <w:pPr>
              <w:spacing w:line="360" w:lineRule="exact"/>
              <w:ind w:firstLine="0" w:firstLineChars="0"/>
              <w:contextualSpacing/>
              <w:jc w:val="center"/>
              <w:rPr>
                <w:sz w:val="21"/>
                <w:szCs w:val="21"/>
                <w:highlight w:val="yellow"/>
              </w:rPr>
            </w:pPr>
            <w:r>
              <w:t>6.10</w:t>
            </w:r>
          </w:p>
        </w:tc>
        <w:tc>
          <w:tcPr>
            <w:tcW w:w="0" w:type="auto"/>
            <w:tcBorders>
              <w:top w:val="single" w:color="auto" w:sz="6" w:space="0"/>
              <w:left w:val="single" w:color="auto" w:sz="6" w:space="0"/>
              <w:bottom w:val="single" w:color="auto" w:sz="8" w:space="0"/>
              <w:right w:val="single" w:color="auto" w:sz="6" w:space="0"/>
            </w:tcBorders>
            <w:vAlign w:val="center"/>
          </w:tcPr>
          <w:p w14:paraId="61F3CC54">
            <w:pPr>
              <w:spacing w:line="360" w:lineRule="exact"/>
              <w:ind w:firstLine="0" w:firstLineChars="0"/>
              <w:contextualSpacing/>
              <w:jc w:val="center"/>
              <w:rPr>
                <w:sz w:val="21"/>
                <w:szCs w:val="21"/>
                <w:highlight w:val="yellow"/>
              </w:rPr>
            </w:pPr>
            <w:r>
              <w:t>1.61</w:t>
            </w:r>
          </w:p>
        </w:tc>
        <w:tc>
          <w:tcPr>
            <w:tcW w:w="255" w:type="pct"/>
            <w:tcBorders>
              <w:top w:val="single" w:color="auto" w:sz="6" w:space="0"/>
              <w:left w:val="single" w:color="auto" w:sz="6" w:space="0"/>
              <w:bottom w:val="single" w:color="auto" w:sz="8" w:space="0"/>
              <w:right w:val="single" w:color="auto" w:sz="6" w:space="0"/>
            </w:tcBorders>
            <w:vAlign w:val="center"/>
          </w:tcPr>
          <w:p w14:paraId="60F2B005">
            <w:pPr>
              <w:spacing w:line="360" w:lineRule="exact"/>
              <w:ind w:firstLine="0" w:firstLineChars="0"/>
              <w:contextualSpacing/>
              <w:jc w:val="center"/>
              <w:rPr>
                <w:sz w:val="21"/>
                <w:szCs w:val="21"/>
                <w:highlight w:val="yellow"/>
              </w:rPr>
            </w:pPr>
            <w:r>
              <w:t>0.98</w:t>
            </w:r>
          </w:p>
        </w:tc>
        <w:tc>
          <w:tcPr>
            <w:tcW w:w="301" w:type="pct"/>
            <w:tcBorders>
              <w:top w:val="single" w:color="auto" w:sz="6" w:space="0"/>
              <w:left w:val="single" w:color="auto" w:sz="6" w:space="0"/>
              <w:bottom w:val="single" w:color="auto" w:sz="8" w:space="0"/>
              <w:right w:val="single" w:color="auto" w:sz="6" w:space="0"/>
            </w:tcBorders>
            <w:vAlign w:val="center"/>
          </w:tcPr>
          <w:p w14:paraId="5957932C">
            <w:pPr>
              <w:spacing w:line="360" w:lineRule="exact"/>
              <w:ind w:firstLine="0" w:firstLineChars="0"/>
              <w:contextualSpacing/>
              <w:jc w:val="center"/>
              <w:rPr>
                <w:sz w:val="21"/>
                <w:szCs w:val="21"/>
                <w:highlight w:val="yellow"/>
              </w:rPr>
            </w:pPr>
            <w:r>
              <w:t>0.81</w:t>
            </w:r>
          </w:p>
        </w:tc>
        <w:tc>
          <w:tcPr>
            <w:tcW w:w="0" w:type="auto"/>
            <w:tcBorders>
              <w:top w:val="single" w:color="auto" w:sz="6" w:space="0"/>
              <w:left w:val="single" w:color="auto" w:sz="6" w:space="0"/>
              <w:bottom w:val="single" w:color="auto" w:sz="8" w:space="0"/>
              <w:right w:val="single" w:color="auto" w:sz="8" w:space="0"/>
            </w:tcBorders>
            <w:vAlign w:val="center"/>
          </w:tcPr>
          <w:p w14:paraId="0FB5D348">
            <w:pPr>
              <w:spacing w:line="360" w:lineRule="exact"/>
              <w:ind w:firstLine="0" w:firstLineChars="0"/>
              <w:contextualSpacing/>
              <w:jc w:val="center"/>
              <w:rPr>
                <w:sz w:val="21"/>
                <w:szCs w:val="21"/>
                <w:highlight w:val="yellow"/>
              </w:rPr>
            </w:pPr>
            <w:r>
              <w:t>1.30</w:t>
            </w:r>
          </w:p>
        </w:tc>
      </w:tr>
    </w:tbl>
    <w:p w14:paraId="099552EB">
      <w:pPr>
        <w:pStyle w:val="68"/>
        <w:rPr>
          <w:bCs/>
          <w:highlight w:val="yellow"/>
        </w:rPr>
      </w:pPr>
      <w:bookmarkStart w:id="273" w:name="_Ref113461947"/>
      <w:r>
        <w:drawing>
          <wp:inline distT="0" distB="0" distL="0" distR="0">
            <wp:extent cx="5128260" cy="7322820"/>
            <wp:effectExtent l="0" t="0" r="15240" b="11430"/>
            <wp:docPr id="1788422138" name="图片 23"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2138" name="图片 23" descr="图表&#10;&#10;中度可信度描述已自动生成"/>
                    <pic:cNvPicPr>
                      <a:picLocks noChangeAspect="1" noChangeArrowheads="1"/>
                    </pic:cNvPicPr>
                  </pic:nvPicPr>
                  <pic:blipFill>
                    <a:blip r:embed="rId89"/>
                    <a:srcRect/>
                    <a:stretch>
                      <a:fillRect/>
                    </a:stretch>
                  </pic:blipFill>
                  <pic:spPr>
                    <a:xfrm>
                      <a:off x="0" y="0"/>
                      <a:ext cx="5128260" cy="7322820"/>
                    </a:xfrm>
                    <a:prstGeom prst="rect">
                      <a:avLst/>
                    </a:prstGeom>
                    <a:noFill/>
                    <a:ln>
                      <a:noFill/>
                    </a:ln>
                  </pic:spPr>
                </pic:pic>
              </a:graphicData>
            </a:graphic>
          </wp:inline>
        </w:drawing>
      </w:r>
    </w:p>
    <w:bookmarkEnd w:id="273"/>
    <w:p w14:paraId="1D3ED3B3">
      <w:pPr>
        <w:pStyle w:val="99"/>
        <w:numPr>
          <w:ilvl w:val="0"/>
          <w:numId w:val="26"/>
        </w:numPr>
        <w:ind w:left="0" w:firstLine="0" w:firstLineChars="0"/>
        <w:jc w:val="center"/>
        <w:rPr>
          <w:rFonts w:eastAsia="黑体"/>
        </w:rPr>
      </w:pPr>
      <w:r>
        <w:rPr>
          <w:rFonts w:hint="eastAsia" w:eastAsia="黑体"/>
        </w:rPr>
        <w:t xml:space="preserve"> </w:t>
      </w:r>
      <w:r>
        <w:rPr>
          <w:rFonts w:eastAsia="黑体"/>
        </w:rPr>
        <w:t>全年及各季风向频率图</w:t>
      </w:r>
    </w:p>
    <w:p w14:paraId="1D3ED3B4">
      <w:pPr>
        <w:ind w:firstLine="480"/>
        <w:rPr>
          <w:bCs/>
        </w:rPr>
      </w:pPr>
      <w:r>
        <w:rPr>
          <w:rFonts w:hint="eastAsia"/>
          <w:bCs/>
        </w:rPr>
        <w:t>根据统计结果可知，该地近年全年最多风向为NE风，频率11.75%；次多风向为NNE风，频率为11.62%。按扇形方位统计，NNE-NE-ENE扇形方位的风频之和为30.42%，全年静风频率为1.3%，以秋季最多，春季最少</w:t>
      </w:r>
      <w:r>
        <w:rPr>
          <w:bCs/>
        </w:rPr>
        <w:t>。</w:t>
      </w:r>
    </w:p>
    <w:p w14:paraId="5FC0381F">
      <w:pPr>
        <w:pStyle w:val="6"/>
        <w:ind w:left="0" w:firstLine="482" w:firstLineChars="200"/>
      </w:pPr>
      <w:r>
        <w:rPr>
          <w:rFonts w:hint="eastAsia"/>
        </w:rPr>
        <w:t>高空模拟气象数据</w:t>
      </w:r>
    </w:p>
    <w:p w14:paraId="1CBE4656">
      <w:pPr>
        <w:ind w:firstLine="480"/>
      </w:pPr>
      <w:r>
        <w:rPr>
          <w:rFonts w:hint="eastAsia"/>
        </w:rPr>
        <w:t>本次环境空气预测常规高空气象资料采用“环境空气质量模型技术支持服务系统”采购的数据，该数据由大气环境影响评价数值模式WRF模拟生成。模式计算过程中把全国共划分为189×159个网格，分辨率为27km×27km。模式采用的原始数据有地形高度、土地利用、陆地-水体标志、植被组成等数据，数据源主要为美国的USGS数据。模式采用美国国家环境预报中心（NCEP）的再分析数据作为模型输入场和边界场。</w:t>
      </w:r>
    </w:p>
    <w:p w14:paraId="6BF0CAEE">
      <w:pPr>
        <w:ind w:firstLine="480"/>
      </w:pPr>
      <w:r>
        <w:rPr>
          <w:rFonts w:hint="eastAsia"/>
        </w:rPr>
        <w:t>高空探测资料调查时段为2023年1月至2023年12月。探空数据主要包括：时间、层数、气压、离地高度、干球温度等。</w:t>
      </w:r>
    </w:p>
    <w:p w14:paraId="1D3ED3B5">
      <w:pPr>
        <w:pStyle w:val="5"/>
        <w:spacing w:before="240" w:after="240"/>
      </w:pPr>
      <w:bookmarkStart w:id="274" w:name="_Toc227946422"/>
      <w:bookmarkStart w:id="275" w:name="_Toc198193468"/>
      <w:bookmarkStart w:id="276" w:name="_Toc324839622"/>
      <w:bookmarkStart w:id="277" w:name="_Toc324839325"/>
      <w:bookmarkStart w:id="278" w:name="_Toc311812648"/>
      <w:r>
        <w:t>环境空气质量预测</w:t>
      </w:r>
    </w:p>
    <w:p w14:paraId="1D3ED3B6">
      <w:pPr>
        <w:pStyle w:val="6"/>
        <w:ind w:left="0" w:firstLine="482" w:firstLineChars="200"/>
      </w:pPr>
      <w:r>
        <w:t>预测因子</w:t>
      </w:r>
    </w:p>
    <w:p w14:paraId="1D3ED3B7">
      <w:pPr>
        <w:ind w:firstLine="480"/>
        <w:rPr>
          <w:szCs w:val="24"/>
          <w:highlight w:val="yellow"/>
        </w:rPr>
      </w:pPr>
      <w:r>
        <w:rPr>
          <w:szCs w:val="24"/>
        </w:rPr>
        <w:t>根据工程分析结果，确定本次环境空气影响预测因子为：</w:t>
      </w:r>
      <w:r>
        <w:rPr>
          <w:rFonts w:hint="eastAsia"/>
          <w:szCs w:val="24"/>
        </w:rPr>
        <w:t>PM</w:t>
      </w:r>
      <w:r>
        <w:rPr>
          <w:rFonts w:hint="eastAsia"/>
          <w:szCs w:val="24"/>
          <w:vertAlign w:val="subscript"/>
        </w:rPr>
        <w:t>10</w:t>
      </w:r>
      <w:r>
        <w:rPr>
          <w:rFonts w:hint="eastAsia"/>
          <w:szCs w:val="24"/>
        </w:rPr>
        <w:t>、非甲烷总烃、硫酸雾</w:t>
      </w:r>
      <w:r>
        <w:rPr>
          <w:szCs w:val="24"/>
        </w:rPr>
        <w:t>。</w:t>
      </w:r>
    </w:p>
    <w:p w14:paraId="1D3ED3B8">
      <w:pPr>
        <w:pStyle w:val="6"/>
        <w:ind w:left="0" w:firstLine="482" w:firstLineChars="200"/>
      </w:pPr>
      <w:bookmarkStart w:id="279" w:name="_Toc324839615"/>
      <w:bookmarkStart w:id="280" w:name="_Toc324839318"/>
      <w:r>
        <w:t>评价标准</w:t>
      </w:r>
      <w:bookmarkEnd w:id="279"/>
      <w:bookmarkEnd w:id="280"/>
    </w:p>
    <w:p w14:paraId="2EA94532">
      <w:pPr>
        <w:ind w:firstLine="480"/>
        <w:rPr>
          <w:szCs w:val="24"/>
        </w:rPr>
      </w:pPr>
      <w:r>
        <w:rPr>
          <w:szCs w:val="24"/>
        </w:rPr>
        <w:t>PM</w:t>
      </w:r>
      <w:r>
        <w:rPr>
          <w:szCs w:val="24"/>
          <w:vertAlign w:val="subscript"/>
        </w:rPr>
        <w:t>10</w:t>
      </w:r>
      <w:r>
        <w:rPr>
          <w:rFonts w:hint="eastAsia"/>
          <w:szCs w:val="24"/>
          <w:vertAlign w:val="subscript"/>
        </w:rPr>
        <w:t xml:space="preserve"> </w:t>
      </w:r>
      <w:r>
        <w:rPr>
          <w:szCs w:val="24"/>
        </w:rPr>
        <w:t>1小时平均值按《环境空气质量标准》（GB3095-2012）中二级浓度限值中24小时平均值的3倍值执行。</w:t>
      </w:r>
    </w:p>
    <w:p w14:paraId="0BFD212D">
      <w:pPr>
        <w:ind w:firstLine="480"/>
      </w:pPr>
      <w:r>
        <w:rPr>
          <w:rFonts w:hint="eastAsia"/>
          <w:szCs w:val="24"/>
        </w:rPr>
        <w:t>硫酸物</w:t>
      </w:r>
      <w:r>
        <w:t>质量浓度限值执行《环境影响评价技术导则大气环境》（HJ2.2-2018）附录D中的空气质量浓度参考限值。</w:t>
      </w:r>
    </w:p>
    <w:p w14:paraId="1D3ED3BC">
      <w:pPr>
        <w:ind w:firstLine="480"/>
        <w:rPr>
          <w:szCs w:val="24"/>
          <w:highlight w:val="yellow"/>
        </w:rPr>
      </w:pPr>
      <w:r>
        <w:rPr>
          <w:rFonts w:hint="eastAsia"/>
          <w:szCs w:val="24"/>
        </w:rPr>
        <w:t>非甲烷总烃</w:t>
      </w:r>
      <w:r>
        <w:rPr>
          <w:szCs w:val="24"/>
        </w:rPr>
        <w:t>质量浓度限值执行《大气综合污染物排放标准详解》第四章标准值说明限值。</w:t>
      </w:r>
    </w:p>
    <w:p w14:paraId="1D3ED3BD">
      <w:pPr>
        <w:ind w:firstLine="480"/>
        <w:rPr>
          <w:snapToGrid w:val="0"/>
          <w:szCs w:val="24"/>
        </w:rPr>
      </w:pPr>
      <w:r>
        <w:rPr>
          <w:szCs w:val="24"/>
        </w:rPr>
        <w:t>污染物的环境空气质量评价标准见下表</w:t>
      </w:r>
      <w:r>
        <w:rPr>
          <w:snapToGrid w:val="0"/>
          <w:szCs w:val="24"/>
        </w:rPr>
        <w:t>。</w:t>
      </w:r>
    </w:p>
    <w:p w14:paraId="1D3ED3BE">
      <w:pPr>
        <w:pStyle w:val="64"/>
        <w:numPr>
          <w:ilvl w:val="2"/>
          <w:numId w:val="25"/>
        </w:numPr>
        <w:spacing w:before="120"/>
        <w:ind w:left="0" w:firstLine="480" w:firstLineChars="200"/>
      </w:pPr>
      <w:r>
        <w:t xml:space="preserve">            环境空气质量评价标准</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28" w:type="dxa"/>
          <w:bottom w:w="0" w:type="dxa"/>
          <w:right w:w="28" w:type="dxa"/>
        </w:tblCellMar>
      </w:tblPr>
      <w:tblGrid>
        <w:gridCol w:w="1727"/>
        <w:gridCol w:w="1845"/>
        <w:gridCol w:w="1481"/>
        <w:gridCol w:w="3315"/>
      </w:tblGrid>
      <w:tr w14:paraId="1D3ED3C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397" w:hRule="atLeast"/>
          <w:tblHeader/>
          <w:jc w:val="center"/>
        </w:trPr>
        <w:tc>
          <w:tcPr>
            <w:tcW w:w="1032" w:type="pct"/>
            <w:vAlign w:val="center"/>
          </w:tcPr>
          <w:p w14:paraId="1D3ED3BF">
            <w:pPr>
              <w:adjustRightInd/>
              <w:snapToGrid/>
              <w:spacing w:line="240" w:lineRule="auto"/>
              <w:ind w:firstLine="0" w:firstLineChars="0"/>
              <w:jc w:val="center"/>
              <w:textAlignment w:val="auto"/>
              <w:rPr>
                <w:b/>
                <w:kern w:val="2"/>
                <w:sz w:val="21"/>
                <w:szCs w:val="21"/>
              </w:rPr>
            </w:pPr>
            <w:r>
              <w:rPr>
                <w:b/>
                <w:kern w:val="2"/>
                <w:sz w:val="21"/>
                <w:szCs w:val="21"/>
              </w:rPr>
              <w:t>评价因子</w:t>
            </w:r>
          </w:p>
        </w:tc>
        <w:tc>
          <w:tcPr>
            <w:tcW w:w="1102" w:type="pct"/>
            <w:vAlign w:val="center"/>
          </w:tcPr>
          <w:p w14:paraId="1D3ED3C0">
            <w:pPr>
              <w:adjustRightInd/>
              <w:snapToGrid/>
              <w:spacing w:line="240" w:lineRule="auto"/>
              <w:ind w:firstLine="0" w:firstLineChars="0"/>
              <w:jc w:val="center"/>
              <w:textAlignment w:val="auto"/>
              <w:rPr>
                <w:b/>
                <w:kern w:val="2"/>
                <w:sz w:val="21"/>
                <w:szCs w:val="21"/>
              </w:rPr>
            </w:pPr>
            <w:r>
              <w:rPr>
                <w:b/>
                <w:kern w:val="2"/>
                <w:sz w:val="21"/>
                <w:szCs w:val="21"/>
              </w:rPr>
              <w:t>平均时段/厂界</w:t>
            </w:r>
          </w:p>
        </w:tc>
        <w:tc>
          <w:tcPr>
            <w:tcW w:w="885" w:type="pct"/>
            <w:vAlign w:val="center"/>
          </w:tcPr>
          <w:p w14:paraId="1D3ED3C1">
            <w:pPr>
              <w:adjustRightInd/>
              <w:snapToGrid/>
              <w:spacing w:line="240" w:lineRule="auto"/>
              <w:ind w:firstLine="0" w:firstLineChars="0"/>
              <w:jc w:val="center"/>
              <w:textAlignment w:val="auto"/>
              <w:rPr>
                <w:b/>
                <w:kern w:val="2"/>
                <w:sz w:val="21"/>
                <w:szCs w:val="21"/>
              </w:rPr>
            </w:pPr>
            <w:r>
              <w:rPr>
                <w:b/>
                <w:kern w:val="2"/>
                <w:sz w:val="21"/>
                <w:szCs w:val="21"/>
              </w:rPr>
              <w:t>标准值</w:t>
            </w:r>
          </w:p>
        </w:tc>
        <w:tc>
          <w:tcPr>
            <w:tcW w:w="1980" w:type="pct"/>
            <w:vAlign w:val="center"/>
          </w:tcPr>
          <w:p w14:paraId="1D3ED3C2">
            <w:pPr>
              <w:adjustRightInd/>
              <w:snapToGrid/>
              <w:spacing w:line="240" w:lineRule="auto"/>
              <w:ind w:firstLine="0" w:firstLineChars="0"/>
              <w:jc w:val="center"/>
              <w:textAlignment w:val="auto"/>
              <w:rPr>
                <w:b/>
                <w:kern w:val="2"/>
                <w:sz w:val="21"/>
                <w:szCs w:val="21"/>
              </w:rPr>
            </w:pPr>
            <w:r>
              <w:rPr>
                <w:b/>
                <w:kern w:val="2"/>
                <w:sz w:val="21"/>
                <w:szCs w:val="21"/>
              </w:rPr>
              <w:t>限值来源</w:t>
            </w:r>
          </w:p>
        </w:tc>
      </w:tr>
      <w:tr w14:paraId="1D3ED3C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32" w:type="pct"/>
            <w:vMerge w:val="restart"/>
            <w:vAlign w:val="center"/>
          </w:tcPr>
          <w:p w14:paraId="1D3ED3C4">
            <w:pPr>
              <w:adjustRightInd/>
              <w:snapToGrid/>
              <w:spacing w:line="240" w:lineRule="auto"/>
              <w:ind w:firstLine="0" w:firstLineChars="0"/>
              <w:contextualSpacing/>
              <w:jc w:val="center"/>
              <w:rPr>
                <w:sz w:val="21"/>
                <w:szCs w:val="21"/>
              </w:rPr>
            </w:pPr>
            <w:r>
              <w:rPr>
                <w:sz w:val="21"/>
                <w:szCs w:val="21"/>
              </w:rPr>
              <w:t>PM</w:t>
            </w:r>
            <w:r>
              <w:rPr>
                <w:sz w:val="21"/>
                <w:szCs w:val="21"/>
                <w:vertAlign w:val="subscript"/>
              </w:rPr>
              <w:t>10</w:t>
            </w:r>
          </w:p>
        </w:tc>
        <w:tc>
          <w:tcPr>
            <w:tcW w:w="1102" w:type="pct"/>
            <w:vAlign w:val="center"/>
          </w:tcPr>
          <w:p w14:paraId="1D3ED3C5">
            <w:pPr>
              <w:adjustRightInd/>
              <w:snapToGrid/>
              <w:spacing w:line="240" w:lineRule="auto"/>
              <w:ind w:firstLine="0" w:firstLineChars="0"/>
              <w:contextualSpacing/>
              <w:jc w:val="center"/>
              <w:rPr>
                <w:sz w:val="21"/>
                <w:szCs w:val="21"/>
              </w:rPr>
            </w:pPr>
            <w:r>
              <w:rPr>
                <w:sz w:val="21"/>
                <w:szCs w:val="21"/>
              </w:rPr>
              <w:t>1h平均</w:t>
            </w:r>
          </w:p>
        </w:tc>
        <w:tc>
          <w:tcPr>
            <w:tcW w:w="885" w:type="pct"/>
            <w:vAlign w:val="center"/>
          </w:tcPr>
          <w:p w14:paraId="1D3ED3C6">
            <w:pPr>
              <w:adjustRightInd/>
              <w:snapToGrid/>
              <w:spacing w:line="240" w:lineRule="auto"/>
              <w:ind w:firstLine="0" w:firstLineChars="0"/>
              <w:contextualSpacing/>
              <w:jc w:val="center"/>
              <w:rPr>
                <w:sz w:val="21"/>
                <w:szCs w:val="21"/>
              </w:rPr>
            </w:pPr>
            <w:r>
              <w:rPr>
                <w:sz w:val="21"/>
                <w:szCs w:val="21"/>
              </w:rPr>
              <w:t>0.45</w:t>
            </w:r>
            <w:r>
              <w:rPr>
                <w:rFonts w:hint="eastAsia"/>
                <w:sz w:val="21"/>
                <w:szCs w:val="21"/>
              </w:rPr>
              <w:t>mg/m</w:t>
            </w:r>
            <w:r>
              <w:rPr>
                <w:rFonts w:hint="eastAsia"/>
                <w:sz w:val="21"/>
                <w:szCs w:val="21"/>
                <w:vertAlign w:val="superscript"/>
              </w:rPr>
              <w:t>3</w:t>
            </w:r>
          </w:p>
        </w:tc>
        <w:tc>
          <w:tcPr>
            <w:tcW w:w="1980" w:type="pct"/>
            <w:vMerge w:val="restart"/>
            <w:vAlign w:val="center"/>
          </w:tcPr>
          <w:p w14:paraId="1D3ED3C7">
            <w:pPr>
              <w:adjustRightInd/>
              <w:snapToGrid/>
              <w:spacing w:line="240" w:lineRule="auto"/>
              <w:ind w:firstLine="0" w:firstLineChars="0"/>
              <w:contextualSpacing/>
              <w:jc w:val="center"/>
              <w:rPr>
                <w:sz w:val="21"/>
                <w:szCs w:val="21"/>
              </w:rPr>
            </w:pPr>
            <w:r>
              <w:rPr>
                <w:sz w:val="21"/>
                <w:szCs w:val="21"/>
              </w:rPr>
              <w:t>《环境空气质量标准》（GB3095-2012）二级</w:t>
            </w:r>
          </w:p>
        </w:tc>
      </w:tr>
      <w:tr w14:paraId="1D3ED3C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32" w:type="pct"/>
            <w:vMerge w:val="continue"/>
            <w:vAlign w:val="center"/>
          </w:tcPr>
          <w:p w14:paraId="1D3ED3C9">
            <w:pPr>
              <w:adjustRightInd/>
              <w:snapToGrid/>
              <w:spacing w:line="240" w:lineRule="auto"/>
              <w:ind w:firstLine="0" w:firstLineChars="0"/>
              <w:contextualSpacing/>
              <w:jc w:val="center"/>
              <w:rPr>
                <w:sz w:val="21"/>
                <w:szCs w:val="21"/>
                <w:highlight w:val="yellow"/>
              </w:rPr>
            </w:pPr>
          </w:p>
        </w:tc>
        <w:tc>
          <w:tcPr>
            <w:tcW w:w="1102" w:type="pct"/>
            <w:vAlign w:val="center"/>
          </w:tcPr>
          <w:p w14:paraId="1D3ED3CA">
            <w:pPr>
              <w:adjustRightInd/>
              <w:snapToGrid/>
              <w:spacing w:line="240" w:lineRule="auto"/>
              <w:ind w:firstLine="0" w:firstLineChars="0"/>
              <w:contextualSpacing/>
              <w:jc w:val="center"/>
              <w:rPr>
                <w:sz w:val="21"/>
                <w:szCs w:val="21"/>
              </w:rPr>
            </w:pPr>
            <w:r>
              <w:rPr>
                <w:sz w:val="21"/>
                <w:szCs w:val="21"/>
              </w:rPr>
              <w:t>24h平均</w:t>
            </w:r>
          </w:p>
        </w:tc>
        <w:tc>
          <w:tcPr>
            <w:tcW w:w="885" w:type="pct"/>
            <w:vAlign w:val="center"/>
          </w:tcPr>
          <w:p w14:paraId="1D3ED3CB">
            <w:pPr>
              <w:adjustRightInd/>
              <w:snapToGrid/>
              <w:spacing w:line="240" w:lineRule="auto"/>
              <w:ind w:firstLine="0" w:firstLineChars="0"/>
              <w:contextualSpacing/>
              <w:jc w:val="center"/>
              <w:rPr>
                <w:sz w:val="21"/>
                <w:szCs w:val="21"/>
              </w:rPr>
            </w:pPr>
            <w:r>
              <w:rPr>
                <w:sz w:val="21"/>
                <w:szCs w:val="21"/>
              </w:rPr>
              <w:t>0.15</w:t>
            </w:r>
            <w:r>
              <w:rPr>
                <w:rFonts w:hint="eastAsia"/>
                <w:sz w:val="21"/>
                <w:szCs w:val="21"/>
              </w:rPr>
              <w:t>mg/m</w:t>
            </w:r>
            <w:r>
              <w:rPr>
                <w:rFonts w:hint="eastAsia"/>
                <w:sz w:val="21"/>
                <w:szCs w:val="21"/>
                <w:vertAlign w:val="superscript"/>
              </w:rPr>
              <w:t>3</w:t>
            </w:r>
          </w:p>
        </w:tc>
        <w:tc>
          <w:tcPr>
            <w:tcW w:w="1980" w:type="pct"/>
            <w:vMerge w:val="continue"/>
            <w:vAlign w:val="center"/>
          </w:tcPr>
          <w:p w14:paraId="1D3ED3CC">
            <w:pPr>
              <w:adjustRightInd/>
              <w:snapToGrid/>
              <w:spacing w:line="240" w:lineRule="auto"/>
              <w:ind w:firstLine="0" w:firstLineChars="0"/>
              <w:contextualSpacing/>
              <w:jc w:val="center"/>
              <w:rPr>
                <w:sz w:val="21"/>
                <w:szCs w:val="21"/>
                <w:highlight w:val="yellow"/>
              </w:rPr>
            </w:pPr>
          </w:p>
        </w:tc>
      </w:tr>
      <w:tr w14:paraId="1D3ED3D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32" w:type="pct"/>
            <w:vMerge w:val="continue"/>
            <w:vAlign w:val="center"/>
          </w:tcPr>
          <w:p w14:paraId="1D3ED3CE">
            <w:pPr>
              <w:adjustRightInd/>
              <w:snapToGrid/>
              <w:spacing w:line="240" w:lineRule="auto"/>
              <w:ind w:firstLine="0" w:firstLineChars="0"/>
              <w:contextualSpacing/>
              <w:jc w:val="center"/>
              <w:rPr>
                <w:sz w:val="21"/>
                <w:szCs w:val="21"/>
                <w:highlight w:val="yellow"/>
              </w:rPr>
            </w:pPr>
          </w:p>
        </w:tc>
        <w:tc>
          <w:tcPr>
            <w:tcW w:w="1102" w:type="pct"/>
            <w:vAlign w:val="center"/>
          </w:tcPr>
          <w:p w14:paraId="1D3ED3CF">
            <w:pPr>
              <w:adjustRightInd/>
              <w:snapToGrid/>
              <w:spacing w:line="240" w:lineRule="auto"/>
              <w:ind w:firstLine="0" w:firstLineChars="0"/>
              <w:contextualSpacing/>
              <w:jc w:val="center"/>
              <w:rPr>
                <w:sz w:val="21"/>
                <w:szCs w:val="21"/>
              </w:rPr>
            </w:pPr>
            <w:r>
              <w:rPr>
                <w:sz w:val="21"/>
                <w:szCs w:val="21"/>
              </w:rPr>
              <w:t>年平均</w:t>
            </w:r>
          </w:p>
        </w:tc>
        <w:tc>
          <w:tcPr>
            <w:tcW w:w="885" w:type="pct"/>
            <w:vAlign w:val="center"/>
          </w:tcPr>
          <w:p w14:paraId="1D3ED3D0">
            <w:pPr>
              <w:adjustRightInd/>
              <w:snapToGrid/>
              <w:spacing w:line="240" w:lineRule="auto"/>
              <w:ind w:firstLine="0" w:firstLineChars="0"/>
              <w:contextualSpacing/>
              <w:jc w:val="center"/>
              <w:rPr>
                <w:sz w:val="21"/>
                <w:szCs w:val="21"/>
              </w:rPr>
            </w:pPr>
            <w:r>
              <w:rPr>
                <w:sz w:val="21"/>
                <w:szCs w:val="21"/>
              </w:rPr>
              <w:t>0.07</w:t>
            </w:r>
            <w:r>
              <w:rPr>
                <w:rFonts w:hint="eastAsia"/>
                <w:sz w:val="21"/>
                <w:szCs w:val="21"/>
              </w:rPr>
              <w:t>mg/m</w:t>
            </w:r>
            <w:r>
              <w:rPr>
                <w:rFonts w:hint="eastAsia"/>
                <w:sz w:val="21"/>
                <w:szCs w:val="21"/>
                <w:vertAlign w:val="superscript"/>
              </w:rPr>
              <w:t>3</w:t>
            </w:r>
          </w:p>
        </w:tc>
        <w:tc>
          <w:tcPr>
            <w:tcW w:w="1980" w:type="pct"/>
            <w:vMerge w:val="continue"/>
            <w:vAlign w:val="center"/>
          </w:tcPr>
          <w:p w14:paraId="1D3ED3D1">
            <w:pPr>
              <w:adjustRightInd/>
              <w:snapToGrid/>
              <w:spacing w:line="240" w:lineRule="auto"/>
              <w:ind w:firstLine="0" w:firstLineChars="0"/>
              <w:contextualSpacing/>
              <w:jc w:val="center"/>
              <w:rPr>
                <w:sz w:val="21"/>
                <w:szCs w:val="21"/>
                <w:highlight w:val="yellow"/>
              </w:rPr>
            </w:pPr>
          </w:p>
        </w:tc>
      </w:tr>
      <w:tr w14:paraId="0C24A2B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32" w:type="pct"/>
            <w:vMerge w:val="restart"/>
            <w:vAlign w:val="center"/>
          </w:tcPr>
          <w:p w14:paraId="44F42ACC">
            <w:pPr>
              <w:adjustRightInd/>
              <w:snapToGrid/>
              <w:spacing w:line="240" w:lineRule="auto"/>
              <w:ind w:firstLine="0" w:firstLineChars="0"/>
              <w:contextualSpacing/>
              <w:jc w:val="center"/>
              <w:rPr>
                <w:sz w:val="21"/>
                <w:szCs w:val="21"/>
              </w:rPr>
            </w:pPr>
            <w:r>
              <w:rPr>
                <w:rFonts w:hint="eastAsia"/>
                <w:sz w:val="21"/>
                <w:szCs w:val="21"/>
              </w:rPr>
              <w:t>硫酸雾</w:t>
            </w:r>
          </w:p>
        </w:tc>
        <w:tc>
          <w:tcPr>
            <w:tcW w:w="1102" w:type="pct"/>
            <w:vAlign w:val="center"/>
          </w:tcPr>
          <w:p w14:paraId="661AB750">
            <w:pPr>
              <w:adjustRightInd/>
              <w:snapToGrid/>
              <w:spacing w:line="240" w:lineRule="auto"/>
              <w:ind w:firstLine="0" w:firstLineChars="0"/>
              <w:contextualSpacing/>
              <w:jc w:val="center"/>
              <w:rPr>
                <w:sz w:val="21"/>
                <w:szCs w:val="21"/>
              </w:rPr>
            </w:pPr>
            <w:r>
              <w:rPr>
                <w:sz w:val="21"/>
                <w:szCs w:val="21"/>
              </w:rPr>
              <w:t>1h平均</w:t>
            </w:r>
          </w:p>
        </w:tc>
        <w:tc>
          <w:tcPr>
            <w:tcW w:w="885" w:type="pct"/>
            <w:vAlign w:val="center"/>
          </w:tcPr>
          <w:p w14:paraId="29F764C9">
            <w:pPr>
              <w:adjustRightInd/>
              <w:snapToGrid/>
              <w:spacing w:line="240" w:lineRule="auto"/>
              <w:ind w:firstLine="0" w:firstLineChars="0"/>
              <w:contextualSpacing/>
              <w:jc w:val="center"/>
              <w:rPr>
                <w:sz w:val="21"/>
                <w:szCs w:val="21"/>
                <w:highlight w:val="yellow"/>
              </w:rPr>
            </w:pPr>
            <w:r>
              <w:rPr>
                <w:sz w:val="21"/>
                <w:szCs w:val="21"/>
              </w:rPr>
              <w:t>0.</w:t>
            </w:r>
            <w:r>
              <w:rPr>
                <w:rFonts w:hint="eastAsia"/>
                <w:sz w:val="21"/>
                <w:szCs w:val="21"/>
              </w:rPr>
              <w:t>3mg/m</w:t>
            </w:r>
            <w:r>
              <w:rPr>
                <w:rFonts w:hint="eastAsia"/>
                <w:sz w:val="21"/>
                <w:szCs w:val="21"/>
                <w:vertAlign w:val="superscript"/>
              </w:rPr>
              <w:t>3</w:t>
            </w:r>
          </w:p>
        </w:tc>
        <w:tc>
          <w:tcPr>
            <w:tcW w:w="1980" w:type="pct"/>
            <w:vMerge w:val="restart"/>
            <w:vAlign w:val="center"/>
          </w:tcPr>
          <w:p w14:paraId="12E23C01">
            <w:pPr>
              <w:adjustRightInd/>
              <w:snapToGrid/>
              <w:spacing w:line="240" w:lineRule="auto"/>
              <w:ind w:firstLine="0" w:firstLineChars="0"/>
              <w:contextualSpacing/>
              <w:jc w:val="center"/>
              <w:rPr>
                <w:sz w:val="21"/>
                <w:szCs w:val="21"/>
                <w:highlight w:val="yellow"/>
              </w:rPr>
            </w:pPr>
            <w:r>
              <w:rPr>
                <w:sz w:val="21"/>
                <w:szCs w:val="21"/>
              </w:rPr>
              <w:t>《环境影响评价技术导则大气环境》（HJ2.2-2018）附录D</w:t>
            </w:r>
          </w:p>
        </w:tc>
      </w:tr>
      <w:tr w14:paraId="0626CC2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32" w:type="pct"/>
            <w:vMerge w:val="continue"/>
            <w:vAlign w:val="center"/>
          </w:tcPr>
          <w:p w14:paraId="115DDF10">
            <w:pPr>
              <w:adjustRightInd/>
              <w:snapToGrid/>
              <w:spacing w:line="240" w:lineRule="auto"/>
              <w:ind w:firstLine="0" w:firstLineChars="0"/>
              <w:contextualSpacing/>
              <w:jc w:val="center"/>
              <w:rPr>
                <w:sz w:val="21"/>
                <w:szCs w:val="21"/>
              </w:rPr>
            </w:pPr>
          </w:p>
        </w:tc>
        <w:tc>
          <w:tcPr>
            <w:tcW w:w="1102" w:type="pct"/>
            <w:vAlign w:val="center"/>
          </w:tcPr>
          <w:p w14:paraId="59432940">
            <w:pPr>
              <w:adjustRightInd/>
              <w:snapToGrid/>
              <w:spacing w:line="240" w:lineRule="auto"/>
              <w:ind w:firstLine="0" w:firstLineChars="0"/>
              <w:contextualSpacing/>
              <w:jc w:val="center"/>
              <w:rPr>
                <w:sz w:val="21"/>
                <w:szCs w:val="21"/>
              </w:rPr>
            </w:pPr>
            <w:r>
              <w:rPr>
                <w:sz w:val="21"/>
                <w:szCs w:val="21"/>
              </w:rPr>
              <w:t>24h平均</w:t>
            </w:r>
          </w:p>
        </w:tc>
        <w:tc>
          <w:tcPr>
            <w:tcW w:w="885" w:type="pct"/>
            <w:vAlign w:val="center"/>
          </w:tcPr>
          <w:p w14:paraId="00925E2F">
            <w:pPr>
              <w:adjustRightInd/>
              <w:snapToGrid/>
              <w:spacing w:line="240" w:lineRule="auto"/>
              <w:ind w:firstLine="0" w:firstLineChars="0"/>
              <w:contextualSpacing/>
              <w:jc w:val="center"/>
              <w:rPr>
                <w:highlight w:val="yellow"/>
              </w:rPr>
            </w:pPr>
            <w:r>
              <w:rPr>
                <w:sz w:val="21"/>
                <w:szCs w:val="21"/>
              </w:rPr>
              <w:t>0.</w:t>
            </w:r>
            <w:r>
              <w:rPr>
                <w:rFonts w:hint="eastAsia"/>
                <w:sz w:val="21"/>
                <w:szCs w:val="21"/>
              </w:rPr>
              <w:t>1mg/m</w:t>
            </w:r>
            <w:r>
              <w:rPr>
                <w:rFonts w:hint="eastAsia"/>
                <w:sz w:val="21"/>
                <w:szCs w:val="21"/>
                <w:vertAlign w:val="superscript"/>
              </w:rPr>
              <w:t>3</w:t>
            </w:r>
          </w:p>
        </w:tc>
        <w:tc>
          <w:tcPr>
            <w:tcW w:w="1980" w:type="pct"/>
            <w:vMerge w:val="continue"/>
            <w:vAlign w:val="center"/>
          </w:tcPr>
          <w:p w14:paraId="0A33F410">
            <w:pPr>
              <w:adjustRightInd/>
              <w:snapToGrid/>
              <w:spacing w:line="240" w:lineRule="auto"/>
              <w:ind w:firstLine="0" w:firstLineChars="0"/>
              <w:contextualSpacing/>
              <w:jc w:val="center"/>
              <w:rPr>
                <w:sz w:val="21"/>
                <w:szCs w:val="21"/>
                <w:highlight w:val="yellow"/>
              </w:rPr>
            </w:pPr>
          </w:p>
        </w:tc>
      </w:tr>
      <w:tr w14:paraId="4D59E29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1032" w:type="pct"/>
            <w:vAlign w:val="center"/>
          </w:tcPr>
          <w:p w14:paraId="61B4D104">
            <w:pPr>
              <w:adjustRightInd/>
              <w:snapToGrid/>
              <w:spacing w:line="240" w:lineRule="auto"/>
              <w:ind w:firstLine="0" w:firstLineChars="0"/>
              <w:contextualSpacing/>
              <w:jc w:val="center"/>
              <w:rPr>
                <w:sz w:val="21"/>
                <w:szCs w:val="21"/>
                <w:highlight w:val="yellow"/>
              </w:rPr>
            </w:pPr>
            <w:r>
              <w:rPr>
                <w:rFonts w:hint="eastAsia"/>
                <w:sz w:val="21"/>
                <w:szCs w:val="21"/>
              </w:rPr>
              <w:t>非甲烷总烃</w:t>
            </w:r>
          </w:p>
        </w:tc>
        <w:tc>
          <w:tcPr>
            <w:tcW w:w="1102" w:type="pct"/>
            <w:vAlign w:val="center"/>
          </w:tcPr>
          <w:p w14:paraId="70C373B2">
            <w:pPr>
              <w:adjustRightInd/>
              <w:snapToGrid/>
              <w:spacing w:line="240" w:lineRule="auto"/>
              <w:ind w:firstLine="0" w:firstLineChars="0"/>
              <w:contextualSpacing/>
              <w:jc w:val="center"/>
              <w:rPr>
                <w:sz w:val="21"/>
                <w:szCs w:val="21"/>
                <w:highlight w:val="yellow"/>
              </w:rPr>
            </w:pPr>
            <w:r>
              <w:rPr>
                <w:sz w:val="21"/>
                <w:szCs w:val="21"/>
              </w:rPr>
              <w:t>1h平均</w:t>
            </w:r>
          </w:p>
        </w:tc>
        <w:tc>
          <w:tcPr>
            <w:tcW w:w="885" w:type="pct"/>
            <w:vAlign w:val="center"/>
          </w:tcPr>
          <w:p w14:paraId="153A78E4">
            <w:pPr>
              <w:adjustRightInd/>
              <w:snapToGrid/>
              <w:spacing w:line="240" w:lineRule="auto"/>
              <w:ind w:firstLine="0" w:firstLineChars="0"/>
              <w:contextualSpacing/>
              <w:jc w:val="center"/>
              <w:rPr>
                <w:sz w:val="21"/>
                <w:szCs w:val="21"/>
                <w:highlight w:val="yellow"/>
              </w:rPr>
            </w:pPr>
            <w:r>
              <w:rPr>
                <w:sz w:val="21"/>
                <w:szCs w:val="21"/>
              </w:rPr>
              <w:t>2.0</w:t>
            </w:r>
            <w:r>
              <w:rPr>
                <w:rFonts w:hint="eastAsia"/>
                <w:sz w:val="21"/>
                <w:szCs w:val="21"/>
              </w:rPr>
              <w:t>mg/m</w:t>
            </w:r>
            <w:r>
              <w:rPr>
                <w:rFonts w:hint="eastAsia"/>
                <w:sz w:val="21"/>
                <w:szCs w:val="21"/>
                <w:vertAlign w:val="superscript"/>
              </w:rPr>
              <w:t>3</w:t>
            </w:r>
          </w:p>
        </w:tc>
        <w:tc>
          <w:tcPr>
            <w:tcW w:w="1980" w:type="pct"/>
            <w:vAlign w:val="center"/>
          </w:tcPr>
          <w:p w14:paraId="7F3C74CD">
            <w:pPr>
              <w:adjustRightInd/>
              <w:snapToGrid/>
              <w:spacing w:line="240" w:lineRule="auto"/>
              <w:ind w:firstLine="0" w:firstLineChars="0"/>
              <w:contextualSpacing/>
              <w:jc w:val="center"/>
              <w:rPr>
                <w:sz w:val="21"/>
                <w:szCs w:val="21"/>
                <w:highlight w:val="yellow"/>
              </w:rPr>
            </w:pPr>
            <w:r>
              <w:rPr>
                <w:sz w:val="21"/>
                <w:szCs w:val="21"/>
              </w:rPr>
              <w:t>《大气综合污染物排放标准详解》第四章标准值说明</w:t>
            </w:r>
          </w:p>
        </w:tc>
      </w:tr>
    </w:tbl>
    <w:p w14:paraId="1D3ED3E7">
      <w:pPr>
        <w:pStyle w:val="6"/>
        <w:ind w:left="0" w:firstLine="482" w:firstLineChars="200"/>
      </w:pPr>
      <w:bookmarkStart w:id="281" w:name="_Toc304300435"/>
      <w:bookmarkStart w:id="282" w:name="_Toc300681311"/>
      <w:bookmarkStart w:id="283" w:name="_Toc324839321"/>
      <w:bookmarkStart w:id="284" w:name="_Toc302145940"/>
      <w:bookmarkStart w:id="285" w:name="_Toc324839618"/>
      <w:r>
        <w:t>预测参数</w:t>
      </w:r>
      <w:bookmarkEnd w:id="281"/>
      <w:bookmarkEnd w:id="282"/>
      <w:bookmarkEnd w:id="283"/>
      <w:bookmarkEnd w:id="284"/>
      <w:bookmarkEnd w:id="285"/>
    </w:p>
    <w:p w14:paraId="6F52022D">
      <w:pPr>
        <w:ind w:firstLine="480"/>
        <w:outlineLvl w:val="4"/>
      </w:pPr>
      <w:r>
        <w:rPr>
          <w:rFonts w:hint="eastAsia"/>
        </w:rPr>
        <w:t>（1）正常工况下污染源参数</w:t>
      </w:r>
    </w:p>
    <w:p w14:paraId="1D3ED3E8">
      <w:pPr>
        <w:ind w:firstLine="480"/>
      </w:pPr>
      <w:r>
        <w:t>本次工程涉及到的废气污染源的各项污染物参数见下表。</w:t>
      </w:r>
    </w:p>
    <w:p w14:paraId="634AE054">
      <w:pPr>
        <w:pStyle w:val="2"/>
        <w:ind w:firstLine="480"/>
        <w:rPr>
          <w:highlight w:val="yellow"/>
        </w:rPr>
        <w:sectPr>
          <w:footerReference r:id="rId18" w:type="default"/>
          <w:pgSz w:w="11906" w:h="16838"/>
          <w:pgMar w:top="1440" w:right="1797" w:bottom="1440" w:left="1797" w:header="851" w:footer="992" w:gutter="0"/>
          <w:cols w:space="720" w:num="1"/>
          <w:docGrid w:linePitch="312" w:charSpace="0"/>
        </w:sectPr>
      </w:pPr>
    </w:p>
    <w:p w14:paraId="3D36B338">
      <w:pPr>
        <w:pStyle w:val="64"/>
        <w:numPr>
          <w:ilvl w:val="2"/>
          <w:numId w:val="25"/>
        </w:numPr>
        <w:spacing w:before="120"/>
        <w:ind w:left="0" w:firstLine="480" w:firstLineChars="200"/>
      </w:pPr>
      <w:r>
        <w:t xml:space="preserve">                                 本项目点源参数表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43"/>
        <w:gridCol w:w="995"/>
        <w:gridCol w:w="1141"/>
        <w:gridCol w:w="1280"/>
        <w:gridCol w:w="1417"/>
        <w:gridCol w:w="1518"/>
        <w:gridCol w:w="1004"/>
        <w:gridCol w:w="1004"/>
        <w:gridCol w:w="1169"/>
        <w:gridCol w:w="998"/>
        <w:gridCol w:w="1468"/>
        <w:gridCol w:w="1141"/>
      </w:tblGrid>
      <w:tr w14:paraId="4AB78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02" w:type="pct"/>
            <w:vAlign w:val="center"/>
          </w:tcPr>
          <w:p w14:paraId="0BF1F250">
            <w:pPr>
              <w:spacing w:line="240" w:lineRule="auto"/>
              <w:ind w:firstLine="0" w:firstLineChars="0"/>
              <w:jc w:val="center"/>
              <w:rPr>
                <w:b/>
                <w:sz w:val="21"/>
                <w:szCs w:val="21"/>
                <w:u w:val="single"/>
              </w:rPr>
            </w:pPr>
            <w:r>
              <w:rPr>
                <w:b/>
                <w:sz w:val="21"/>
                <w:szCs w:val="21"/>
                <w:u w:val="single"/>
              </w:rPr>
              <w:t>排气筒编号</w:t>
            </w:r>
          </w:p>
        </w:tc>
        <w:tc>
          <w:tcPr>
            <w:tcW w:w="356" w:type="pct"/>
            <w:vAlign w:val="center"/>
          </w:tcPr>
          <w:p w14:paraId="5BE9A806">
            <w:pPr>
              <w:spacing w:line="240" w:lineRule="auto"/>
              <w:ind w:firstLine="0" w:firstLineChars="0"/>
              <w:jc w:val="center"/>
              <w:rPr>
                <w:b/>
                <w:sz w:val="21"/>
                <w:szCs w:val="21"/>
                <w:u w:val="single"/>
              </w:rPr>
            </w:pPr>
            <w:r>
              <w:rPr>
                <w:b/>
                <w:sz w:val="21"/>
                <w:szCs w:val="21"/>
                <w:u w:val="single"/>
              </w:rPr>
              <w:t>X坐标</w:t>
            </w:r>
          </w:p>
        </w:tc>
        <w:tc>
          <w:tcPr>
            <w:tcW w:w="408" w:type="pct"/>
            <w:vAlign w:val="center"/>
          </w:tcPr>
          <w:p w14:paraId="2DDFDA87">
            <w:pPr>
              <w:spacing w:line="240" w:lineRule="auto"/>
              <w:ind w:firstLine="0" w:firstLineChars="0"/>
              <w:jc w:val="center"/>
              <w:rPr>
                <w:b/>
                <w:sz w:val="21"/>
                <w:szCs w:val="21"/>
                <w:u w:val="single"/>
              </w:rPr>
            </w:pPr>
            <w:r>
              <w:rPr>
                <w:b/>
                <w:sz w:val="21"/>
                <w:szCs w:val="21"/>
                <w:u w:val="single"/>
              </w:rPr>
              <w:t>Y坐标</w:t>
            </w:r>
          </w:p>
        </w:tc>
        <w:tc>
          <w:tcPr>
            <w:tcW w:w="458" w:type="pct"/>
            <w:vAlign w:val="center"/>
          </w:tcPr>
          <w:p w14:paraId="7FCF398B">
            <w:pPr>
              <w:spacing w:line="240" w:lineRule="auto"/>
              <w:ind w:firstLine="0" w:firstLineChars="0"/>
              <w:jc w:val="center"/>
              <w:rPr>
                <w:b/>
                <w:sz w:val="21"/>
                <w:szCs w:val="21"/>
                <w:u w:val="single"/>
              </w:rPr>
            </w:pPr>
            <w:r>
              <w:rPr>
                <w:b/>
                <w:sz w:val="21"/>
                <w:szCs w:val="21"/>
                <w:u w:val="single"/>
              </w:rPr>
              <w:t>排气筒底部海拔高度</w:t>
            </w:r>
          </w:p>
        </w:tc>
        <w:tc>
          <w:tcPr>
            <w:tcW w:w="507" w:type="pct"/>
            <w:vAlign w:val="center"/>
          </w:tcPr>
          <w:p w14:paraId="4BDF74CB">
            <w:pPr>
              <w:spacing w:line="240" w:lineRule="auto"/>
              <w:ind w:firstLine="0" w:firstLineChars="0"/>
              <w:jc w:val="center"/>
              <w:rPr>
                <w:b/>
                <w:sz w:val="21"/>
                <w:szCs w:val="21"/>
                <w:u w:val="single"/>
              </w:rPr>
            </w:pPr>
            <w:r>
              <w:rPr>
                <w:b/>
                <w:sz w:val="21"/>
                <w:szCs w:val="21"/>
                <w:u w:val="single"/>
              </w:rPr>
              <w:t>排气筒高度</w:t>
            </w:r>
          </w:p>
        </w:tc>
        <w:tc>
          <w:tcPr>
            <w:tcW w:w="543" w:type="pct"/>
            <w:vAlign w:val="center"/>
          </w:tcPr>
          <w:p w14:paraId="56906DC8">
            <w:pPr>
              <w:spacing w:line="240" w:lineRule="auto"/>
              <w:ind w:firstLine="0" w:firstLineChars="0"/>
              <w:jc w:val="center"/>
              <w:rPr>
                <w:b/>
                <w:sz w:val="21"/>
                <w:szCs w:val="21"/>
                <w:u w:val="single"/>
              </w:rPr>
            </w:pPr>
            <w:r>
              <w:rPr>
                <w:b/>
                <w:sz w:val="21"/>
                <w:szCs w:val="21"/>
                <w:u w:val="single"/>
              </w:rPr>
              <w:t>排气筒出口内径</w:t>
            </w:r>
          </w:p>
        </w:tc>
        <w:tc>
          <w:tcPr>
            <w:tcW w:w="359" w:type="pct"/>
            <w:vAlign w:val="center"/>
          </w:tcPr>
          <w:p w14:paraId="3F7C5B86">
            <w:pPr>
              <w:spacing w:line="240" w:lineRule="auto"/>
              <w:ind w:firstLine="0" w:firstLineChars="0"/>
              <w:jc w:val="center"/>
              <w:rPr>
                <w:b/>
                <w:sz w:val="21"/>
                <w:szCs w:val="21"/>
                <w:u w:val="single"/>
              </w:rPr>
            </w:pPr>
            <w:r>
              <w:rPr>
                <w:b/>
                <w:sz w:val="21"/>
                <w:szCs w:val="21"/>
                <w:u w:val="single"/>
              </w:rPr>
              <w:t>烟气流速</w:t>
            </w:r>
          </w:p>
        </w:tc>
        <w:tc>
          <w:tcPr>
            <w:tcW w:w="359" w:type="pct"/>
            <w:vAlign w:val="center"/>
          </w:tcPr>
          <w:p w14:paraId="67A7D8B1">
            <w:pPr>
              <w:spacing w:line="240" w:lineRule="auto"/>
              <w:ind w:firstLine="0" w:firstLineChars="0"/>
              <w:jc w:val="center"/>
              <w:rPr>
                <w:b/>
                <w:sz w:val="21"/>
                <w:szCs w:val="21"/>
                <w:u w:val="single"/>
              </w:rPr>
            </w:pPr>
            <w:r>
              <w:rPr>
                <w:b/>
                <w:sz w:val="21"/>
                <w:szCs w:val="21"/>
                <w:u w:val="single"/>
              </w:rPr>
              <w:t>烟气温度</w:t>
            </w:r>
          </w:p>
        </w:tc>
        <w:tc>
          <w:tcPr>
            <w:tcW w:w="418" w:type="pct"/>
            <w:vAlign w:val="center"/>
          </w:tcPr>
          <w:p w14:paraId="2D30E986">
            <w:pPr>
              <w:spacing w:line="240" w:lineRule="auto"/>
              <w:ind w:firstLine="0" w:firstLineChars="0"/>
              <w:jc w:val="center"/>
              <w:rPr>
                <w:b/>
                <w:sz w:val="21"/>
                <w:szCs w:val="21"/>
                <w:u w:val="single"/>
              </w:rPr>
            </w:pPr>
            <w:r>
              <w:rPr>
                <w:b/>
                <w:sz w:val="21"/>
                <w:szCs w:val="21"/>
                <w:u w:val="single"/>
              </w:rPr>
              <w:t>年排放</w:t>
            </w:r>
          </w:p>
          <w:p w14:paraId="487B90BF">
            <w:pPr>
              <w:spacing w:line="240" w:lineRule="auto"/>
              <w:ind w:firstLine="0" w:firstLineChars="0"/>
              <w:jc w:val="center"/>
              <w:rPr>
                <w:b/>
                <w:sz w:val="21"/>
                <w:szCs w:val="21"/>
                <w:u w:val="single"/>
              </w:rPr>
            </w:pPr>
            <w:r>
              <w:rPr>
                <w:b/>
                <w:sz w:val="21"/>
                <w:szCs w:val="21"/>
                <w:u w:val="single"/>
              </w:rPr>
              <w:t>小时数</w:t>
            </w:r>
          </w:p>
        </w:tc>
        <w:tc>
          <w:tcPr>
            <w:tcW w:w="357" w:type="pct"/>
            <w:vAlign w:val="center"/>
          </w:tcPr>
          <w:p w14:paraId="33D24359">
            <w:pPr>
              <w:spacing w:line="240" w:lineRule="auto"/>
              <w:ind w:firstLine="0" w:firstLineChars="0"/>
              <w:jc w:val="center"/>
              <w:rPr>
                <w:b/>
                <w:sz w:val="21"/>
                <w:szCs w:val="21"/>
                <w:u w:val="single"/>
              </w:rPr>
            </w:pPr>
            <w:r>
              <w:rPr>
                <w:b/>
                <w:sz w:val="21"/>
                <w:szCs w:val="21"/>
                <w:u w:val="single"/>
              </w:rPr>
              <w:t>排放工况</w:t>
            </w:r>
          </w:p>
        </w:tc>
        <w:tc>
          <w:tcPr>
            <w:tcW w:w="525" w:type="pct"/>
            <w:vMerge w:val="restart"/>
            <w:vAlign w:val="center"/>
          </w:tcPr>
          <w:p w14:paraId="246E6DB3">
            <w:pPr>
              <w:spacing w:line="240" w:lineRule="auto"/>
              <w:ind w:firstLine="0" w:firstLineChars="0"/>
              <w:jc w:val="center"/>
              <w:rPr>
                <w:b/>
                <w:sz w:val="21"/>
                <w:szCs w:val="21"/>
                <w:u w:val="single"/>
              </w:rPr>
            </w:pPr>
            <w:r>
              <w:rPr>
                <w:b/>
                <w:sz w:val="21"/>
                <w:szCs w:val="21"/>
                <w:u w:val="single"/>
              </w:rPr>
              <w:t>污染物</w:t>
            </w:r>
          </w:p>
        </w:tc>
        <w:tc>
          <w:tcPr>
            <w:tcW w:w="408" w:type="pct"/>
            <w:vAlign w:val="center"/>
          </w:tcPr>
          <w:p w14:paraId="3B7320A1">
            <w:pPr>
              <w:spacing w:line="240" w:lineRule="auto"/>
              <w:ind w:firstLine="0" w:firstLineChars="0"/>
              <w:jc w:val="center"/>
              <w:rPr>
                <w:b/>
                <w:sz w:val="21"/>
                <w:szCs w:val="21"/>
                <w:u w:val="single"/>
              </w:rPr>
            </w:pPr>
            <w:r>
              <w:rPr>
                <w:b/>
                <w:sz w:val="21"/>
                <w:szCs w:val="21"/>
                <w:u w:val="single"/>
              </w:rPr>
              <w:t>源强</w:t>
            </w:r>
          </w:p>
        </w:tc>
      </w:tr>
      <w:tr w14:paraId="7394A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02" w:type="pct"/>
            <w:vAlign w:val="center"/>
          </w:tcPr>
          <w:p w14:paraId="24D5542A">
            <w:pPr>
              <w:spacing w:line="240" w:lineRule="auto"/>
              <w:ind w:firstLine="0" w:firstLineChars="0"/>
              <w:jc w:val="center"/>
              <w:rPr>
                <w:b/>
                <w:sz w:val="21"/>
                <w:szCs w:val="21"/>
                <w:u w:val="single"/>
              </w:rPr>
            </w:pPr>
            <w:r>
              <w:rPr>
                <w:b/>
                <w:sz w:val="21"/>
                <w:szCs w:val="21"/>
                <w:u w:val="single"/>
              </w:rPr>
              <w:t>-</w:t>
            </w:r>
          </w:p>
        </w:tc>
        <w:tc>
          <w:tcPr>
            <w:tcW w:w="356" w:type="pct"/>
            <w:vAlign w:val="center"/>
          </w:tcPr>
          <w:p w14:paraId="270A8CA0">
            <w:pPr>
              <w:spacing w:line="240" w:lineRule="auto"/>
              <w:ind w:firstLine="0" w:firstLineChars="0"/>
              <w:jc w:val="center"/>
              <w:rPr>
                <w:b/>
                <w:sz w:val="21"/>
                <w:szCs w:val="21"/>
                <w:u w:val="single"/>
              </w:rPr>
            </w:pPr>
            <w:r>
              <w:rPr>
                <w:b/>
                <w:sz w:val="21"/>
                <w:szCs w:val="21"/>
                <w:u w:val="single"/>
              </w:rPr>
              <w:t>m</w:t>
            </w:r>
          </w:p>
        </w:tc>
        <w:tc>
          <w:tcPr>
            <w:tcW w:w="408" w:type="pct"/>
            <w:vAlign w:val="center"/>
          </w:tcPr>
          <w:p w14:paraId="5AC1A6E5">
            <w:pPr>
              <w:spacing w:line="240" w:lineRule="auto"/>
              <w:ind w:firstLine="0" w:firstLineChars="0"/>
              <w:jc w:val="center"/>
              <w:rPr>
                <w:b/>
                <w:sz w:val="21"/>
                <w:szCs w:val="21"/>
                <w:u w:val="single"/>
              </w:rPr>
            </w:pPr>
            <w:r>
              <w:rPr>
                <w:b/>
                <w:sz w:val="21"/>
                <w:szCs w:val="21"/>
                <w:u w:val="single"/>
              </w:rPr>
              <w:t>m</w:t>
            </w:r>
          </w:p>
        </w:tc>
        <w:tc>
          <w:tcPr>
            <w:tcW w:w="458" w:type="pct"/>
            <w:vAlign w:val="center"/>
          </w:tcPr>
          <w:p w14:paraId="522C980D">
            <w:pPr>
              <w:spacing w:line="240" w:lineRule="auto"/>
              <w:ind w:firstLine="0" w:firstLineChars="0"/>
              <w:jc w:val="center"/>
              <w:rPr>
                <w:b/>
                <w:sz w:val="21"/>
                <w:szCs w:val="21"/>
                <w:u w:val="single"/>
              </w:rPr>
            </w:pPr>
            <w:r>
              <w:rPr>
                <w:b/>
                <w:sz w:val="21"/>
                <w:szCs w:val="21"/>
                <w:u w:val="single"/>
              </w:rPr>
              <w:t>m</w:t>
            </w:r>
          </w:p>
        </w:tc>
        <w:tc>
          <w:tcPr>
            <w:tcW w:w="507" w:type="pct"/>
            <w:vAlign w:val="center"/>
          </w:tcPr>
          <w:p w14:paraId="13D2040A">
            <w:pPr>
              <w:spacing w:line="240" w:lineRule="auto"/>
              <w:ind w:firstLine="0" w:firstLineChars="0"/>
              <w:jc w:val="center"/>
              <w:rPr>
                <w:b/>
                <w:sz w:val="21"/>
                <w:szCs w:val="21"/>
                <w:u w:val="single"/>
              </w:rPr>
            </w:pPr>
            <w:r>
              <w:rPr>
                <w:b/>
                <w:sz w:val="21"/>
                <w:szCs w:val="21"/>
                <w:u w:val="single"/>
              </w:rPr>
              <w:t>m</w:t>
            </w:r>
          </w:p>
        </w:tc>
        <w:tc>
          <w:tcPr>
            <w:tcW w:w="543" w:type="pct"/>
            <w:vAlign w:val="center"/>
          </w:tcPr>
          <w:p w14:paraId="7AF1BAE3">
            <w:pPr>
              <w:spacing w:line="240" w:lineRule="auto"/>
              <w:ind w:firstLine="0" w:firstLineChars="0"/>
              <w:jc w:val="center"/>
              <w:rPr>
                <w:b/>
                <w:sz w:val="21"/>
                <w:szCs w:val="21"/>
                <w:u w:val="single"/>
              </w:rPr>
            </w:pPr>
            <w:r>
              <w:rPr>
                <w:b/>
                <w:sz w:val="21"/>
                <w:szCs w:val="21"/>
                <w:u w:val="single"/>
              </w:rPr>
              <w:t>m</w:t>
            </w:r>
          </w:p>
        </w:tc>
        <w:tc>
          <w:tcPr>
            <w:tcW w:w="359" w:type="pct"/>
            <w:vAlign w:val="center"/>
          </w:tcPr>
          <w:p w14:paraId="269B8CB4">
            <w:pPr>
              <w:spacing w:line="240" w:lineRule="auto"/>
              <w:ind w:firstLine="0" w:firstLineChars="0"/>
              <w:jc w:val="center"/>
              <w:rPr>
                <w:b/>
                <w:sz w:val="21"/>
                <w:szCs w:val="21"/>
                <w:u w:val="single"/>
              </w:rPr>
            </w:pPr>
            <w:r>
              <w:rPr>
                <w:b/>
                <w:sz w:val="21"/>
                <w:szCs w:val="21"/>
                <w:u w:val="single"/>
              </w:rPr>
              <w:t>m/s</w:t>
            </w:r>
          </w:p>
        </w:tc>
        <w:tc>
          <w:tcPr>
            <w:tcW w:w="359" w:type="pct"/>
            <w:vAlign w:val="center"/>
          </w:tcPr>
          <w:p w14:paraId="3871A125">
            <w:pPr>
              <w:spacing w:line="240" w:lineRule="auto"/>
              <w:ind w:firstLine="0" w:firstLineChars="0"/>
              <w:jc w:val="center"/>
              <w:rPr>
                <w:b/>
                <w:sz w:val="21"/>
                <w:szCs w:val="21"/>
                <w:u w:val="single"/>
              </w:rPr>
            </w:pPr>
            <w:r>
              <w:rPr>
                <w:b/>
                <w:sz w:val="21"/>
                <w:szCs w:val="21"/>
                <w:u w:val="single"/>
              </w:rPr>
              <w:t>℃</w:t>
            </w:r>
          </w:p>
        </w:tc>
        <w:tc>
          <w:tcPr>
            <w:tcW w:w="418" w:type="pct"/>
            <w:vAlign w:val="center"/>
          </w:tcPr>
          <w:p w14:paraId="7A3FD46A">
            <w:pPr>
              <w:spacing w:line="240" w:lineRule="auto"/>
              <w:ind w:firstLine="0" w:firstLineChars="0"/>
              <w:jc w:val="center"/>
              <w:rPr>
                <w:b/>
                <w:sz w:val="21"/>
                <w:szCs w:val="21"/>
                <w:u w:val="single"/>
              </w:rPr>
            </w:pPr>
            <w:r>
              <w:rPr>
                <w:b/>
                <w:sz w:val="21"/>
                <w:szCs w:val="21"/>
                <w:u w:val="single"/>
              </w:rPr>
              <w:t>h</w:t>
            </w:r>
          </w:p>
        </w:tc>
        <w:tc>
          <w:tcPr>
            <w:tcW w:w="357" w:type="pct"/>
            <w:vAlign w:val="center"/>
          </w:tcPr>
          <w:p w14:paraId="7DC4EDC0">
            <w:pPr>
              <w:spacing w:line="240" w:lineRule="auto"/>
              <w:ind w:firstLine="0" w:firstLineChars="0"/>
              <w:jc w:val="center"/>
              <w:rPr>
                <w:b/>
                <w:sz w:val="21"/>
                <w:szCs w:val="21"/>
                <w:u w:val="single"/>
              </w:rPr>
            </w:pPr>
            <w:r>
              <w:rPr>
                <w:b/>
                <w:sz w:val="21"/>
                <w:szCs w:val="21"/>
                <w:u w:val="single"/>
              </w:rPr>
              <w:t>-</w:t>
            </w:r>
          </w:p>
        </w:tc>
        <w:tc>
          <w:tcPr>
            <w:tcW w:w="525" w:type="pct"/>
            <w:vMerge w:val="continue"/>
            <w:vAlign w:val="center"/>
          </w:tcPr>
          <w:p w14:paraId="06E1D9B6">
            <w:pPr>
              <w:widowControl/>
              <w:spacing w:line="240" w:lineRule="auto"/>
              <w:ind w:firstLine="0" w:firstLineChars="0"/>
              <w:jc w:val="center"/>
              <w:rPr>
                <w:b/>
                <w:sz w:val="21"/>
                <w:szCs w:val="21"/>
                <w:u w:val="single"/>
              </w:rPr>
            </w:pPr>
          </w:p>
        </w:tc>
        <w:tc>
          <w:tcPr>
            <w:tcW w:w="408" w:type="pct"/>
            <w:vAlign w:val="center"/>
          </w:tcPr>
          <w:p w14:paraId="2169D171">
            <w:pPr>
              <w:spacing w:line="240" w:lineRule="auto"/>
              <w:ind w:firstLine="0" w:firstLineChars="0"/>
              <w:jc w:val="center"/>
              <w:rPr>
                <w:b/>
                <w:sz w:val="21"/>
                <w:szCs w:val="21"/>
                <w:u w:val="single"/>
              </w:rPr>
            </w:pPr>
            <w:r>
              <w:rPr>
                <w:b/>
                <w:sz w:val="21"/>
                <w:szCs w:val="21"/>
                <w:u w:val="single"/>
              </w:rPr>
              <w:t>kg/h</w:t>
            </w:r>
          </w:p>
        </w:tc>
      </w:tr>
      <w:tr w14:paraId="08F30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2" w:type="pct"/>
            <w:vMerge w:val="restart"/>
            <w:vAlign w:val="center"/>
          </w:tcPr>
          <w:p w14:paraId="31D7A901">
            <w:pPr>
              <w:widowControl/>
              <w:spacing w:line="240" w:lineRule="auto"/>
              <w:ind w:firstLine="0" w:firstLineChars="0"/>
              <w:jc w:val="center"/>
              <w:rPr>
                <w:sz w:val="21"/>
                <w:szCs w:val="21"/>
                <w:highlight w:val="yellow"/>
                <w:u w:val="single"/>
              </w:rPr>
            </w:pPr>
            <w:r>
              <w:rPr>
                <w:rFonts w:hint="eastAsia"/>
                <w:sz w:val="21"/>
                <w:szCs w:val="21"/>
                <w:u w:val="single"/>
              </w:rPr>
              <w:t>DA001</w:t>
            </w:r>
          </w:p>
        </w:tc>
        <w:tc>
          <w:tcPr>
            <w:tcW w:w="356" w:type="pct"/>
            <w:vMerge w:val="restart"/>
            <w:vAlign w:val="center"/>
          </w:tcPr>
          <w:p w14:paraId="397B67D3">
            <w:pPr>
              <w:widowControl/>
              <w:spacing w:line="240" w:lineRule="auto"/>
              <w:ind w:firstLine="0" w:firstLineChars="0"/>
              <w:jc w:val="center"/>
              <w:rPr>
                <w:sz w:val="21"/>
                <w:szCs w:val="21"/>
                <w:u w:val="single"/>
              </w:rPr>
            </w:pPr>
            <w:r>
              <w:rPr>
                <w:sz w:val="21"/>
                <w:szCs w:val="21"/>
                <w:u w:val="single"/>
              </w:rPr>
              <w:t>-</w:t>
            </w:r>
            <w:r>
              <w:rPr>
                <w:rFonts w:hint="eastAsia"/>
                <w:sz w:val="21"/>
                <w:szCs w:val="21"/>
                <w:u w:val="single"/>
              </w:rPr>
              <w:t>22</w:t>
            </w:r>
          </w:p>
        </w:tc>
        <w:tc>
          <w:tcPr>
            <w:tcW w:w="408" w:type="pct"/>
            <w:vMerge w:val="restart"/>
            <w:vAlign w:val="center"/>
          </w:tcPr>
          <w:p w14:paraId="4E4AE909">
            <w:pPr>
              <w:widowControl/>
              <w:spacing w:line="240" w:lineRule="auto"/>
              <w:ind w:firstLine="0" w:firstLineChars="0"/>
              <w:jc w:val="center"/>
              <w:rPr>
                <w:sz w:val="21"/>
                <w:szCs w:val="21"/>
                <w:u w:val="single"/>
              </w:rPr>
            </w:pPr>
            <w:r>
              <w:rPr>
                <w:rFonts w:hint="eastAsia"/>
                <w:sz w:val="21"/>
                <w:szCs w:val="21"/>
                <w:u w:val="single"/>
              </w:rPr>
              <w:t>32</w:t>
            </w:r>
          </w:p>
        </w:tc>
        <w:tc>
          <w:tcPr>
            <w:tcW w:w="458" w:type="pct"/>
            <w:vMerge w:val="restart"/>
            <w:vAlign w:val="center"/>
          </w:tcPr>
          <w:p w14:paraId="2ADAE0E0">
            <w:pPr>
              <w:widowControl/>
              <w:spacing w:line="240" w:lineRule="auto"/>
              <w:ind w:firstLine="0" w:firstLineChars="0"/>
              <w:jc w:val="center"/>
              <w:rPr>
                <w:sz w:val="21"/>
                <w:szCs w:val="21"/>
                <w:u w:val="single"/>
              </w:rPr>
            </w:pPr>
            <w:r>
              <w:rPr>
                <w:sz w:val="21"/>
                <w:szCs w:val="21"/>
                <w:u w:val="single"/>
              </w:rPr>
              <w:t>7</w:t>
            </w:r>
            <w:r>
              <w:rPr>
                <w:rFonts w:hint="eastAsia"/>
                <w:sz w:val="21"/>
                <w:szCs w:val="21"/>
                <w:u w:val="single"/>
              </w:rPr>
              <w:t>2</w:t>
            </w:r>
          </w:p>
        </w:tc>
        <w:tc>
          <w:tcPr>
            <w:tcW w:w="507" w:type="pct"/>
            <w:vMerge w:val="restart"/>
            <w:vAlign w:val="center"/>
          </w:tcPr>
          <w:p w14:paraId="29F1CCB7">
            <w:pPr>
              <w:widowControl/>
              <w:spacing w:line="240" w:lineRule="auto"/>
              <w:ind w:firstLine="0" w:firstLineChars="0"/>
              <w:jc w:val="center"/>
              <w:rPr>
                <w:sz w:val="21"/>
                <w:szCs w:val="21"/>
                <w:u w:val="single"/>
              </w:rPr>
            </w:pPr>
            <w:r>
              <w:rPr>
                <w:sz w:val="21"/>
                <w:szCs w:val="21"/>
                <w:u w:val="single"/>
              </w:rPr>
              <w:t>15</w:t>
            </w:r>
          </w:p>
        </w:tc>
        <w:tc>
          <w:tcPr>
            <w:tcW w:w="543" w:type="pct"/>
            <w:vMerge w:val="restart"/>
            <w:vAlign w:val="center"/>
          </w:tcPr>
          <w:p w14:paraId="3C474C11">
            <w:pPr>
              <w:widowControl/>
              <w:spacing w:line="240" w:lineRule="auto"/>
              <w:ind w:firstLine="0" w:firstLineChars="0"/>
              <w:jc w:val="center"/>
              <w:rPr>
                <w:sz w:val="21"/>
                <w:szCs w:val="21"/>
                <w:u w:val="single"/>
              </w:rPr>
            </w:pPr>
            <w:r>
              <w:rPr>
                <w:rFonts w:hint="eastAsia"/>
                <w:sz w:val="21"/>
                <w:szCs w:val="21"/>
                <w:u w:val="single"/>
              </w:rPr>
              <w:t>0.3</w:t>
            </w:r>
          </w:p>
        </w:tc>
        <w:tc>
          <w:tcPr>
            <w:tcW w:w="0" w:type="auto"/>
            <w:vMerge w:val="restart"/>
            <w:vAlign w:val="center"/>
          </w:tcPr>
          <w:p w14:paraId="163DFBE0">
            <w:pPr>
              <w:widowControl/>
              <w:spacing w:line="240" w:lineRule="auto"/>
              <w:ind w:firstLine="0" w:firstLineChars="0"/>
              <w:jc w:val="center"/>
              <w:rPr>
                <w:sz w:val="21"/>
                <w:szCs w:val="21"/>
                <w:u w:val="single"/>
              </w:rPr>
            </w:pPr>
            <w:r>
              <w:rPr>
                <w:rFonts w:hint="eastAsia"/>
                <w:sz w:val="21"/>
                <w:szCs w:val="21"/>
                <w:u w:val="single"/>
              </w:rPr>
              <w:t>19.6</w:t>
            </w:r>
          </w:p>
        </w:tc>
        <w:tc>
          <w:tcPr>
            <w:tcW w:w="0" w:type="auto"/>
            <w:vMerge w:val="restart"/>
            <w:vAlign w:val="center"/>
          </w:tcPr>
          <w:p w14:paraId="62F46FBA">
            <w:pPr>
              <w:widowControl/>
              <w:spacing w:line="240" w:lineRule="auto"/>
              <w:ind w:firstLine="0" w:firstLineChars="0"/>
              <w:jc w:val="center"/>
              <w:rPr>
                <w:sz w:val="21"/>
                <w:szCs w:val="21"/>
                <w:u w:val="single"/>
              </w:rPr>
            </w:pPr>
            <w:r>
              <w:rPr>
                <w:rFonts w:hint="eastAsia"/>
                <w:sz w:val="21"/>
                <w:szCs w:val="21"/>
                <w:u w:val="single"/>
              </w:rPr>
              <w:t>30</w:t>
            </w:r>
          </w:p>
        </w:tc>
        <w:tc>
          <w:tcPr>
            <w:tcW w:w="0" w:type="auto"/>
            <w:vMerge w:val="restart"/>
            <w:vAlign w:val="center"/>
          </w:tcPr>
          <w:p w14:paraId="566F2AFB">
            <w:pPr>
              <w:widowControl/>
              <w:spacing w:line="240" w:lineRule="auto"/>
              <w:ind w:firstLine="0" w:firstLineChars="0"/>
              <w:jc w:val="center"/>
              <w:rPr>
                <w:sz w:val="21"/>
                <w:szCs w:val="21"/>
                <w:highlight w:val="yellow"/>
                <w:u w:val="single"/>
              </w:rPr>
            </w:pPr>
            <w:r>
              <w:rPr>
                <w:rFonts w:hint="eastAsia"/>
                <w:sz w:val="21"/>
                <w:szCs w:val="21"/>
                <w:u w:val="single"/>
              </w:rPr>
              <w:t>4000</w:t>
            </w:r>
          </w:p>
        </w:tc>
        <w:tc>
          <w:tcPr>
            <w:tcW w:w="0" w:type="auto"/>
            <w:vMerge w:val="restart"/>
            <w:vAlign w:val="center"/>
          </w:tcPr>
          <w:p w14:paraId="01D0B50E">
            <w:pPr>
              <w:widowControl/>
              <w:spacing w:line="240" w:lineRule="auto"/>
              <w:ind w:firstLine="0" w:firstLineChars="0"/>
              <w:jc w:val="center"/>
              <w:rPr>
                <w:sz w:val="21"/>
                <w:szCs w:val="21"/>
                <w:u w:val="single"/>
              </w:rPr>
            </w:pPr>
            <w:r>
              <w:rPr>
                <w:sz w:val="21"/>
                <w:szCs w:val="21"/>
                <w:u w:val="single"/>
              </w:rPr>
              <w:t>正常</w:t>
            </w:r>
          </w:p>
        </w:tc>
        <w:tc>
          <w:tcPr>
            <w:tcW w:w="525" w:type="pct"/>
            <w:vAlign w:val="center"/>
          </w:tcPr>
          <w:p w14:paraId="3EBE93B5">
            <w:pPr>
              <w:spacing w:line="240" w:lineRule="auto"/>
              <w:ind w:firstLine="0" w:firstLineChars="0"/>
              <w:jc w:val="center"/>
              <w:rPr>
                <w:sz w:val="21"/>
                <w:szCs w:val="21"/>
                <w:u w:val="single"/>
              </w:rPr>
            </w:pPr>
            <w:r>
              <w:rPr>
                <w:rFonts w:hint="eastAsia"/>
                <w:sz w:val="21"/>
                <w:szCs w:val="21"/>
                <w:u w:val="single"/>
              </w:rPr>
              <w:t>非甲烷总烃</w:t>
            </w:r>
          </w:p>
        </w:tc>
        <w:tc>
          <w:tcPr>
            <w:tcW w:w="408" w:type="pct"/>
            <w:vAlign w:val="center"/>
          </w:tcPr>
          <w:p w14:paraId="30355462">
            <w:pPr>
              <w:spacing w:line="240" w:lineRule="auto"/>
              <w:ind w:firstLine="0" w:firstLineChars="0"/>
              <w:jc w:val="center"/>
              <w:rPr>
                <w:bCs/>
                <w:sz w:val="21"/>
                <w:szCs w:val="21"/>
                <w:u w:val="single"/>
              </w:rPr>
            </w:pPr>
            <w:r>
              <w:rPr>
                <w:rFonts w:hint="eastAsia"/>
                <w:bCs/>
                <w:sz w:val="21"/>
                <w:szCs w:val="21"/>
                <w:u w:val="single"/>
              </w:rPr>
              <w:t>0.071</w:t>
            </w:r>
          </w:p>
        </w:tc>
      </w:tr>
      <w:tr w14:paraId="3216B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2" w:type="pct"/>
            <w:vMerge w:val="continue"/>
            <w:vAlign w:val="center"/>
          </w:tcPr>
          <w:p w14:paraId="37D81D5D">
            <w:pPr>
              <w:widowControl/>
              <w:spacing w:line="240" w:lineRule="auto"/>
              <w:ind w:firstLine="0" w:firstLineChars="0"/>
              <w:jc w:val="center"/>
              <w:rPr>
                <w:sz w:val="21"/>
                <w:szCs w:val="21"/>
                <w:highlight w:val="yellow"/>
                <w:u w:val="single"/>
              </w:rPr>
            </w:pPr>
          </w:p>
        </w:tc>
        <w:tc>
          <w:tcPr>
            <w:tcW w:w="356" w:type="pct"/>
            <w:vMerge w:val="continue"/>
            <w:vAlign w:val="center"/>
          </w:tcPr>
          <w:p w14:paraId="78EB4881">
            <w:pPr>
              <w:widowControl/>
              <w:spacing w:line="240" w:lineRule="auto"/>
              <w:ind w:firstLine="0" w:firstLineChars="0"/>
              <w:jc w:val="center"/>
              <w:rPr>
                <w:sz w:val="21"/>
                <w:szCs w:val="21"/>
                <w:highlight w:val="yellow"/>
                <w:u w:val="single"/>
              </w:rPr>
            </w:pPr>
          </w:p>
        </w:tc>
        <w:tc>
          <w:tcPr>
            <w:tcW w:w="408" w:type="pct"/>
            <w:vMerge w:val="continue"/>
            <w:vAlign w:val="center"/>
          </w:tcPr>
          <w:p w14:paraId="75498741">
            <w:pPr>
              <w:widowControl/>
              <w:spacing w:line="240" w:lineRule="auto"/>
              <w:ind w:firstLine="0" w:firstLineChars="0"/>
              <w:jc w:val="center"/>
              <w:rPr>
                <w:sz w:val="21"/>
                <w:szCs w:val="21"/>
                <w:highlight w:val="yellow"/>
                <w:u w:val="single"/>
              </w:rPr>
            </w:pPr>
          </w:p>
        </w:tc>
        <w:tc>
          <w:tcPr>
            <w:tcW w:w="458" w:type="pct"/>
            <w:vMerge w:val="continue"/>
            <w:vAlign w:val="center"/>
          </w:tcPr>
          <w:p w14:paraId="20D6B556">
            <w:pPr>
              <w:widowControl/>
              <w:spacing w:line="240" w:lineRule="auto"/>
              <w:ind w:firstLine="0" w:firstLineChars="0"/>
              <w:jc w:val="center"/>
              <w:rPr>
                <w:sz w:val="21"/>
                <w:szCs w:val="21"/>
                <w:highlight w:val="yellow"/>
                <w:u w:val="single"/>
              </w:rPr>
            </w:pPr>
          </w:p>
        </w:tc>
        <w:tc>
          <w:tcPr>
            <w:tcW w:w="507" w:type="pct"/>
            <w:vMerge w:val="continue"/>
            <w:vAlign w:val="center"/>
          </w:tcPr>
          <w:p w14:paraId="67F76D4C">
            <w:pPr>
              <w:widowControl/>
              <w:spacing w:line="240" w:lineRule="auto"/>
              <w:ind w:firstLine="0" w:firstLineChars="0"/>
              <w:jc w:val="center"/>
              <w:rPr>
                <w:sz w:val="21"/>
                <w:szCs w:val="21"/>
                <w:highlight w:val="yellow"/>
                <w:u w:val="single"/>
              </w:rPr>
            </w:pPr>
          </w:p>
        </w:tc>
        <w:tc>
          <w:tcPr>
            <w:tcW w:w="543" w:type="pct"/>
            <w:vMerge w:val="continue"/>
            <w:vAlign w:val="center"/>
          </w:tcPr>
          <w:p w14:paraId="1A28DA46">
            <w:pPr>
              <w:widowControl/>
              <w:spacing w:line="240" w:lineRule="auto"/>
              <w:ind w:firstLine="0" w:firstLineChars="0"/>
              <w:jc w:val="center"/>
              <w:rPr>
                <w:sz w:val="21"/>
                <w:szCs w:val="21"/>
                <w:highlight w:val="yellow"/>
                <w:u w:val="single"/>
              </w:rPr>
            </w:pPr>
          </w:p>
        </w:tc>
        <w:tc>
          <w:tcPr>
            <w:tcW w:w="0" w:type="auto"/>
            <w:vMerge w:val="continue"/>
            <w:vAlign w:val="center"/>
          </w:tcPr>
          <w:p w14:paraId="2C4A64DB">
            <w:pPr>
              <w:widowControl/>
              <w:spacing w:line="240" w:lineRule="auto"/>
              <w:ind w:firstLine="0" w:firstLineChars="0"/>
              <w:jc w:val="center"/>
              <w:rPr>
                <w:sz w:val="21"/>
                <w:szCs w:val="21"/>
                <w:highlight w:val="yellow"/>
                <w:u w:val="single"/>
              </w:rPr>
            </w:pPr>
          </w:p>
        </w:tc>
        <w:tc>
          <w:tcPr>
            <w:tcW w:w="0" w:type="auto"/>
            <w:vMerge w:val="continue"/>
            <w:vAlign w:val="center"/>
          </w:tcPr>
          <w:p w14:paraId="3D0BEC97">
            <w:pPr>
              <w:widowControl/>
              <w:spacing w:line="240" w:lineRule="auto"/>
              <w:ind w:firstLine="0" w:firstLineChars="0"/>
              <w:jc w:val="center"/>
              <w:rPr>
                <w:sz w:val="21"/>
                <w:szCs w:val="21"/>
                <w:highlight w:val="yellow"/>
                <w:u w:val="single"/>
              </w:rPr>
            </w:pPr>
          </w:p>
        </w:tc>
        <w:tc>
          <w:tcPr>
            <w:tcW w:w="0" w:type="auto"/>
            <w:vMerge w:val="continue"/>
            <w:vAlign w:val="center"/>
          </w:tcPr>
          <w:p w14:paraId="0D803E31">
            <w:pPr>
              <w:widowControl/>
              <w:spacing w:line="240" w:lineRule="auto"/>
              <w:ind w:firstLine="0" w:firstLineChars="0"/>
              <w:jc w:val="center"/>
              <w:rPr>
                <w:sz w:val="21"/>
                <w:szCs w:val="21"/>
                <w:highlight w:val="yellow"/>
                <w:u w:val="single"/>
              </w:rPr>
            </w:pPr>
          </w:p>
        </w:tc>
        <w:tc>
          <w:tcPr>
            <w:tcW w:w="0" w:type="auto"/>
            <w:vMerge w:val="continue"/>
            <w:vAlign w:val="center"/>
          </w:tcPr>
          <w:p w14:paraId="0BDE8F68">
            <w:pPr>
              <w:widowControl/>
              <w:spacing w:line="240" w:lineRule="auto"/>
              <w:ind w:firstLine="0" w:firstLineChars="0"/>
              <w:jc w:val="center"/>
              <w:rPr>
                <w:sz w:val="21"/>
                <w:szCs w:val="21"/>
                <w:u w:val="single"/>
              </w:rPr>
            </w:pPr>
          </w:p>
        </w:tc>
        <w:tc>
          <w:tcPr>
            <w:tcW w:w="525" w:type="pct"/>
            <w:vAlign w:val="center"/>
          </w:tcPr>
          <w:p w14:paraId="743045B2">
            <w:pPr>
              <w:spacing w:line="240" w:lineRule="auto"/>
              <w:ind w:firstLine="0" w:firstLineChars="0"/>
              <w:jc w:val="center"/>
              <w:rPr>
                <w:sz w:val="21"/>
                <w:szCs w:val="21"/>
                <w:u w:val="single"/>
              </w:rPr>
            </w:pPr>
            <w:r>
              <w:rPr>
                <w:rFonts w:hint="eastAsia"/>
                <w:sz w:val="21"/>
                <w:szCs w:val="21"/>
                <w:u w:val="single"/>
              </w:rPr>
              <w:t>硫酸雾</w:t>
            </w:r>
          </w:p>
        </w:tc>
        <w:tc>
          <w:tcPr>
            <w:tcW w:w="408" w:type="pct"/>
            <w:vAlign w:val="center"/>
          </w:tcPr>
          <w:p w14:paraId="7AEEB15A">
            <w:pPr>
              <w:spacing w:line="240" w:lineRule="auto"/>
              <w:ind w:firstLine="0" w:firstLineChars="0"/>
              <w:jc w:val="center"/>
              <w:rPr>
                <w:sz w:val="21"/>
                <w:szCs w:val="21"/>
                <w:u w:val="single"/>
              </w:rPr>
            </w:pPr>
            <w:r>
              <w:rPr>
                <w:rFonts w:hint="eastAsia" w:eastAsia="等线"/>
                <w:sz w:val="21"/>
                <w:szCs w:val="21"/>
                <w:u w:val="single"/>
              </w:rPr>
              <w:t>0.0047</w:t>
            </w:r>
          </w:p>
        </w:tc>
      </w:tr>
      <w:tr w14:paraId="4DB31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2" w:type="pct"/>
            <w:vAlign w:val="center"/>
          </w:tcPr>
          <w:p w14:paraId="44BBD051">
            <w:pPr>
              <w:widowControl/>
              <w:spacing w:line="240" w:lineRule="auto"/>
              <w:ind w:firstLine="0" w:firstLineChars="0"/>
              <w:jc w:val="center"/>
              <w:rPr>
                <w:sz w:val="21"/>
                <w:szCs w:val="21"/>
                <w:highlight w:val="yellow"/>
                <w:u w:val="single"/>
              </w:rPr>
            </w:pPr>
            <w:r>
              <w:rPr>
                <w:rFonts w:hint="eastAsia"/>
                <w:sz w:val="21"/>
                <w:szCs w:val="21"/>
                <w:u w:val="single"/>
              </w:rPr>
              <w:t>DA002</w:t>
            </w:r>
          </w:p>
        </w:tc>
        <w:tc>
          <w:tcPr>
            <w:tcW w:w="356" w:type="pct"/>
            <w:vAlign w:val="center"/>
          </w:tcPr>
          <w:p w14:paraId="74339282">
            <w:pPr>
              <w:widowControl/>
              <w:spacing w:line="240" w:lineRule="auto"/>
              <w:ind w:firstLine="0" w:firstLineChars="0"/>
              <w:jc w:val="center"/>
              <w:rPr>
                <w:sz w:val="21"/>
                <w:szCs w:val="21"/>
                <w:u w:val="single"/>
              </w:rPr>
            </w:pPr>
            <w:r>
              <w:rPr>
                <w:rFonts w:hint="eastAsia"/>
                <w:sz w:val="21"/>
                <w:szCs w:val="21"/>
                <w:u w:val="single"/>
              </w:rPr>
              <w:t>-30</w:t>
            </w:r>
          </w:p>
        </w:tc>
        <w:tc>
          <w:tcPr>
            <w:tcW w:w="408" w:type="pct"/>
            <w:vAlign w:val="center"/>
          </w:tcPr>
          <w:p w14:paraId="79887252">
            <w:pPr>
              <w:widowControl/>
              <w:spacing w:line="240" w:lineRule="auto"/>
              <w:ind w:firstLine="0" w:firstLineChars="0"/>
              <w:jc w:val="center"/>
              <w:rPr>
                <w:sz w:val="21"/>
                <w:szCs w:val="21"/>
                <w:u w:val="single"/>
              </w:rPr>
            </w:pPr>
            <w:r>
              <w:rPr>
                <w:rFonts w:hint="eastAsia"/>
                <w:sz w:val="21"/>
                <w:szCs w:val="21"/>
                <w:u w:val="single"/>
              </w:rPr>
              <w:t>12</w:t>
            </w:r>
          </w:p>
        </w:tc>
        <w:tc>
          <w:tcPr>
            <w:tcW w:w="458" w:type="pct"/>
            <w:vAlign w:val="center"/>
          </w:tcPr>
          <w:p w14:paraId="02969F9D">
            <w:pPr>
              <w:widowControl/>
              <w:spacing w:line="240" w:lineRule="auto"/>
              <w:ind w:firstLine="0" w:firstLineChars="0"/>
              <w:jc w:val="center"/>
              <w:rPr>
                <w:sz w:val="21"/>
                <w:szCs w:val="21"/>
                <w:u w:val="single"/>
              </w:rPr>
            </w:pPr>
            <w:r>
              <w:rPr>
                <w:rFonts w:hint="eastAsia"/>
                <w:sz w:val="21"/>
                <w:szCs w:val="21"/>
                <w:u w:val="single"/>
              </w:rPr>
              <w:t>72</w:t>
            </w:r>
          </w:p>
        </w:tc>
        <w:tc>
          <w:tcPr>
            <w:tcW w:w="507" w:type="pct"/>
            <w:vAlign w:val="center"/>
          </w:tcPr>
          <w:p w14:paraId="67760C32">
            <w:pPr>
              <w:widowControl/>
              <w:spacing w:line="240" w:lineRule="auto"/>
              <w:ind w:firstLine="0" w:firstLineChars="0"/>
              <w:jc w:val="center"/>
              <w:rPr>
                <w:sz w:val="21"/>
                <w:szCs w:val="21"/>
                <w:u w:val="single"/>
              </w:rPr>
            </w:pPr>
            <w:r>
              <w:rPr>
                <w:rFonts w:hint="eastAsia"/>
                <w:sz w:val="21"/>
                <w:szCs w:val="21"/>
                <w:u w:val="single"/>
              </w:rPr>
              <w:t>15</w:t>
            </w:r>
          </w:p>
        </w:tc>
        <w:tc>
          <w:tcPr>
            <w:tcW w:w="543" w:type="pct"/>
            <w:vAlign w:val="center"/>
          </w:tcPr>
          <w:p w14:paraId="36BEC2EB">
            <w:pPr>
              <w:widowControl/>
              <w:spacing w:line="240" w:lineRule="auto"/>
              <w:ind w:firstLine="0" w:firstLineChars="0"/>
              <w:jc w:val="center"/>
              <w:rPr>
                <w:sz w:val="21"/>
                <w:szCs w:val="21"/>
                <w:u w:val="single"/>
              </w:rPr>
            </w:pPr>
            <w:r>
              <w:rPr>
                <w:rFonts w:hint="eastAsia"/>
                <w:sz w:val="21"/>
                <w:szCs w:val="21"/>
                <w:u w:val="single"/>
              </w:rPr>
              <w:t>0.3</w:t>
            </w:r>
          </w:p>
        </w:tc>
        <w:tc>
          <w:tcPr>
            <w:tcW w:w="0" w:type="auto"/>
            <w:vAlign w:val="center"/>
          </w:tcPr>
          <w:p w14:paraId="4F48794D">
            <w:pPr>
              <w:widowControl/>
              <w:spacing w:line="240" w:lineRule="auto"/>
              <w:ind w:firstLine="0" w:firstLineChars="0"/>
              <w:jc w:val="center"/>
              <w:rPr>
                <w:sz w:val="21"/>
                <w:szCs w:val="21"/>
                <w:u w:val="single"/>
              </w:rPr>
            </w:pPr>
            <w:r>
              <w:rPr>
                <w:rFonts w:hint="eastAsia"/>
                <w:sz w:val="21"/>
                <w:szCs w:val="21"/>
                <w:u w:val="single"/>
              </w:rPr>
              <w:t>19.6</w:t>
            </w:r>
          </w:p>
        </w:tc>
        <w:tc>
          <w:tcPr>
            <w:tcW w:w="0" w:type="auto"/>
            <w:vAlign w:val="center"/>
          </w:tcPr>
          <w:p w14:paraId="2A626733">
            <w:pPr>
              <w:widowControl/>
              <w:spacing w:line="240" w:lineRule="auto"/>
              <w:ind w:firstLine="0" w:firstLineChars="0"/>
              <w:jc w:val="center"/>
              <w:rPr>
                <w:sz w:val="21"/>
                <w:szCs w:val="21"/>
                <w:highlight w:val="yellow"/>
                <w:u w:val="single"/>
              </w:rPr>
            </w:pPr>
            <w:r>
              <w:rPr>
                <w:sz w:val="21"/>
                <w:szCs w:val="21"/>
                <w:u w:val="single"/>
              </w:rPr>
              <w:t>25</w:t>
            </w:r>
          </w:p>
        </w:tc>
        <w:tc>
          <w:tcPr>
            <w:tcW w:w="0" w:type="auto"/>
            <w:vAlign w:val="center"/>
          </w:tcPr>
          <w:p w14:paraId="1C1DDC68">
            <w:pPr>
              <w:widowControl/>
              <w:spacing w:line="240" w:lineRule="auto"/>
              <w:ind w:firstLine="0" w:firstLineChars="0"/>
              <w:jc w:val="center"/>
              <w:rPr>
                <w:sz w:val="21"/>
                <w:szCs w:val="21"/>
                <w:highlight w:val="yellow"/>
                <w:u w:val="single"/>
              </w:rPr>
            </w:pPr>
            <w:r>
              <w:rPr>
                <w:rFonts w:hint="eastAsia"/>
                <w:sz w:val="21"/>
                <w:szCs w:val="21"/>
                <w:u w:val="single"/>
              </w:rPr>
              <w:t>4000</w:t>
            </w:r>
          </w:p>
        </w:tc>
        <w:tc>
          <w:tcPr>
            <w:tcW w:w="0" w:type="auto"/>
            <w:vAlign w:val="center"/>
          </w:tcPr>
          <w:p w14:paraId="409D4332">
            <w:pPr>
              <w:widowControl/>
              <w:spacing w:line="240" w:lineRule="auto"/>
              <w:ind w:firstLine="0" w:firstLineChars="0"/>
              <w:jc w:val="center"/>
              <w:rPr>
                <w:sz w:val="21"/>
                <w:szCs w:val="21"/>
                <w:u w:val="single"/>
              </w:rPr>
            </w:pPr>
            <w:r>
              <w:rPr>
                <w:sz w:val="21"/>
                <w:szCs w:val="21"/>
                <w:u w:val="single"/>
              </w:rPr>
              <w:t>正常</w:t>
            </w:r>
          </w:p>
        </w:tc>
        <w:tc>
          <w:tcPr>
            <w:tcW w:w="525" w:type="pct"/>
            <w:vAlign w:val="center"/>
          </w:tcPr>
          <w:p w14:paraId="6C279E97">
            <w:pPr>
              <w:spacing w:line="240" w:lineRule="auto"/>
              <w:ind w:firstLine="0" w:firstLineChars="0"/>
              <w:jc w:val="center"/>
              <w:rPr>
                <w:sz w:val="21"/>
                <w:szCs w:val="21"/>
                <w:u w:val="single"/>
              </w:rPr>
            </w:pPr>
            <w:r>
              <w:rPr>
                <w:sz w:val="21"/>
                <w:szCs w:val="21"/>
                <w:u w:val="single"/>
              </w:rPr>
              <w:t>颗粒物</w:t>
            </w:r>
          </w:p>
        </w:tc>
        <w:tc>
          <w:tcPr>
            <w:tcW w:w="408" w:type="pct"/>
            <w:vAlign w:val="center"/>
          </w:tcPr>
          <w:p w14:paraId="46FC075B">
            <w:pPr>
              <w:spacing w:line="240" w:lineRule="auto"/>
              <w:ind w:firstLine="0" w:firstLineChars="0"/>
              <w:jc w:val="center"/>
              <w:rPr>
                <w:rFonts w:eastAsia="等线"/>
                <w:sz w:val="21"/>
                <w:szCs w:val="21"/>
                <w:u w:val="single"/>
              </w:rPr>
            </w:pPr>
            <w:r>
              <w:rPr>
                <w:rFonts w:hint="eastAsia" w:eastAsia="等线"/>
                <w:sz w:val="21"/>
                <w:szCs w:val="21"/>
                <w:u w:val="single"/>
              </w:rPr>
              <w:t>0.03</w:t>
            </w:r>
          </w:p>
        </w:tc>
      </w:tr>
    </w:tbl>
    <w:p w14:paraId="75002E0E">
      <w:pPr>
        <w:ind w:firstLine="480"/>
        <w:outlineLvl w:val="4"/>
      </w:pPr>
      <w:r>
        <w:rPr>
          <w:rFonts w:hint="eastAsia"/>
        </w:rPr>
        <w:t>（2）非正常工况下污染源参数</w:t>
      </w:r>
    </w:p>
    <w:p w14:paraId="68F8FDCA">
      <w:pPr>
        <w:pStyle w:val="64"/>
        <w:numPr>
          <w:ilvl w:val="2"/>
          <w:numId w:val="25"/>
        </w:numPr>
        <w:spacing w:before="120"/>
        <w:ind w:left="0" w:firstLine="480" w:firstLineChars="200"/>
      </w:pPr>
      <w:r>
        <w:t xml:space="preserve">          </w:t>
      </w:r>
      <w:r>
        <w:rPr>
          <w:rFonts w:hint="eastAsia"/>
        </w:rPr>
        <w:t xml:space="preserve">    </w:t>
      </w:r>
      <w:r>
        <w:t xml:space="preserve">        本次工程非正常工况参数调查清单</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127"/>
        <w:gridCol w:w="1706"/>
        <w:gridCol w:w="2843"/>
        <w:gridCol w:w="3839"/>
        <w:gridCol w:w="2305"/>
        <w:gridCol w:w="2158"/>
      </w:tblGrid>
      <w:tr w14:paraId="7E36C5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24" w:type="dxa"/>
            <w:tcBorders>
              <w:top w:val="single" w:color="auto" w:sz="8" w:space="0"/>
              <w:left w:val="single" w:color="auto" w:sz="8" w:space="0"/>
              <w:bottom w:val="single" w:color="auto" w:sz="6" w:space="0"/>
              <w:right w:val="single" w:color="auto" w:sz="6" w:space="0"/>
            </w:tcBorders>
            <w:vAlign w:val="center"/>
          </w:tcPr>
          <w:p w14:paraId="332D17A8">
            <w:pPr>
              <w:spacing w:line="360" w:lineRule="exact"/>
              <w:ind w:firstLine="0" w:firstLineChars="0"/>
              <w:jc w:val="center"/>
              <w:rPr>
                <w:b/>
                <w:bCs/>
                <w:sz w:val="21"/>
                <w:szCs w:val="21"/>
              </w:rPr>
            </w:pPr>
            <w:r>
              <w:rPr>
                <w:b/>
                <w:bCs/>
                <w:sz w:val="21"/>
                <w:szCs w:val="21"/>
              </w:rPr>
              <w:t>污染源</w:t>
            </w:r>
          </w:p>
        </w:tc>
        <w:tc>
          <w:tcPr>
            <w:tcW w:w="1701" w:type="dxa"/>
            <w:tcBorders>
              <w:top w:val="single" w:color="auto" w:sz="8" w:space="0"/>
              <w:left w:val="single" w:color="auto" w:sz="6" w:space="0"/>
              <w:bottom w:val="single" w:color="auto" w:sz="6" w:space="0"/>
              <w:right w:val="single" w:color="auto" w:sz="4" w:space="0"/>
            </w:tcBorders>
            <w:vAlign w:val="center"/>
          </w:tcPr>
          <w:p w14:paraId="63F169BC">
            <w:pPr>
              <w:spacing w:line="360" w:lineRule="exact"/>
              <w:ind w:firstLine="0" w:firstLineChars="0"/>
              <w:jc w:val="center"/>
              <w:rPr>
                <w:b/>
                <w:bCs/>
                <w:sz w:val="21"/>
                <w:szCs w:val="21"/>
              </w:rPr>
            </w:pPr>
            <w:r>
              <w:rPr>
                <w:b/>
                <w:bCs/>
                <w:sz w:val="21"/>
                <w:szCs w:val="21"/>
              </w:rPr>
              <w:t>污染物名称</w:t>
            </w:r>
          </w:p>
        </w:tc>
        <w:tc>
          <w:tcPr>
            <w:tcW w:w="2835" w:type="dxa"/>
            <w:tcBorders>
              <w:top w:val="single" w:color="auto" w:sz="8" w:space="0"/>
              <w:left w:val="single" w:color="auto" w:sz="4" w:space="0"/>
              <w:bottom w:val="single" w:color="auto" w:sz="6" w:space="0"/>
              <w:right w:val="single" w:color="auto" w:sz="6" w:space="0"/>
            </w:tcBorders>
            <w:vAlign w:val="center"/>
          </w:tcPr>
          <w:p w14:paraId="3F724C1B">
            <w:pPr>
              <w:spacing w:line="360" w:lineRule="exact"/>
              <w:ind w:firstLine="0" w:firstLineChars="0"/>
              <w:jc w:val="center"/>
              <w:rPr>
                <w:b/>
                <w:bCs/>
                <w:sz w:val="21"/>
                <w:szCs w:val="21"/>
              </w:rPr>
            </w:pPr>
            <w:r>
              <w:rPr>
                <w:b/>
                <w:bCs/>
                <w:sz w:val="21"/>
                <w:szCs w:val="21"/>
              </w:rPr>
              <w:t>污染物排放速率（kg/h）</w:t>
            </w:r>
          </w:p>
        </w:tc>
        <w:tc>
          <w:tcPr>
            <w:tcW w:w="3828" w:type="dxa"/>
            <w:tcBorders>
              <w:top w:val="single" w:color="auto" w:sz="8" w:space="0"/>
              <w:left w:val="single" w:color="auto" w:sz="6" w:space="0"/>
              <w:bottom w:val="single" w:color="auto" w:sz="6" w:space="0"/>
              <w:right w:val="single" w:color="auto" w:sz="4" w:space="0"/>
            </w:tcBorders>
            <w:vAlign w:val="center"/>
          </w:tcPr>
          <w:p w14:paraId="1EDE767C">
            <w:pPr>
              <w:spacing w:line="360" w:lineRule="exact"/>
              <w:ind w:firstLine="0" w:firstLineChars="0"/>
              <w:jc w:val="center"/>
              <w:rPr>
                <w:b/>
                <w:bCs/>
                <w:sz w:val="21"/>
                <w:szCs w:val="21"/>
              </w:rPr>
            </w:pPr>
            <w:r>
              <w:rPr>
                <w:b/>
                <w:bCs/>
                <w:sz w:val="21"/>
                <w:szCs w:val="21"/>
              </w:rPr>
              <w:t>车间污染防治措施</w:t>
            </w:r>
          </w:p>
        </w:tc>
        <w:tc>
          <w:tcPr>
            <w:tcW w:w="2298" w:type="dxa"/>
            <w:tcBorders>
              <w:top w:val="single" w:color="auto" w:sz="8" w:space="0"/>
              <w:left w:val="single" w:color="auto" w:sz="4" w:space="0"/>
              <w:bottom w:val="single" w:color="auto" w:sz="6" w:space="0"/>
              <w:right w:val="single" w:color="auto" w:sz="6" w:space="0"/>
            </w:tcBorders>
            <w:vAlign w:val="center"/>
          </w:tcPr>
          <w:p w14:paraId="5774423F">
            <w:pPr>
              <w:spacing w:line="360" w:lineRule="exact"/>
              <w:ind w:firstLine="0" w:firstLineChars="0"/>
              <w:jc w:val="center"/>
              <w:rPr>
                <w:b/>
                <w:bCs/>
                <w:sz w:val="21"/>
                <w:szCs w:val="21"/>
              </w:rPr>
            </w:pPr>
            <w:r>
              <w:rPr>
                <w:b/>
                <w:bCs/>
                <w:sz w:val="21"/>
                <w:szCs w:val="21"/>
              </w:rPr>
              <w:t>排气筒高度/内径（m）</w:t>
            </w:r>
          </w:p>
        </w:tc>
        <w:tc>
          <w:tcPr>
            <w:tcW w:w="2152" w:type="dxa"/>
            <w:tcBorders>
              <w:top w:val="single" w:color="auto" w:sz="8" w:space="0"/>
              <w:left w:val="single" w:color="auto" w:sz="6" w:space="0"/>
              <w:bottom w:val="single" w:color="auto" w:sz="6" w:space="0"/>
              <w:right w:val="single" w:color="auto" w:sz="8" w:space="0"/>
            </w:tcBorders>
            <w:vAlign w:val="center"/>
          </w:tcPr>
          <w:p w14:paraId="221E4481">
            <w:pPr>
              <w:spacing w:line="360" w:lineRule="exact"/>
              <w:ind w:firstLine="0" w:firstLineChars="0"/>
              <w:jc w:val="center"/>
              <w:rPr>
                <w:b/>
                <w:bCs/>
                <w:sz w:val="21"/>
                <w:szCs w:val="21"/>
              </w:rPr>
            </w:pPr>
            <w:r>
              <w:rPr>
                <w:b/>
                <w:bCs/>
                <w:sz w:val="21"/>
                <w:szCs w:val="21"/>
              </w:rPr>
              <w:t>排气量（m</w:t>
            </w:r>
            <w:r>
              <w:rPr>
                <w:b/>
                <w:bCs/>
                <w:sz w:val="21"/>
                <w:szCs w:val="21"/>
                <w:vertAlign w:val="superscript"/>
              </w:rPr>
              <w:t>3</w:t>
            </w:r>
            <w:r>
              <w:rPr>
                <w:b/>
                <w:bCs/>
                <w:sz w:val="21"/>
                <w:szCs w:val="21"/>
              </w:rPr>
              <w:t>/h）</w:t>
            </w:r>
          </w:p>
        </w:tc>
      </w:tr>
      <w:tr w14:paraId="4A7EAB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24" w:type="dxa"/>
            <w:vMerge w:val="restart"/>
            <w:tcBorders>
              <w:top w:val="single" w:color="auto" w:sz="6" w:space="0"/>
              <w:left w:val="single" w:color="auto" w:sz="8" w:space="0"/>
              <w:right w:val="single" w:color="auto" w:sz="6" w:space="0"/>
            </w:tcBorders>
            <w:vAlign w:val="center"/>
          </w:tcPr>
          <w:p w14:paraId="2C493409">
            <w:pPr>
              <w:spacing w:line="360" w:lineRule="exact"/>
              <w:ind w:firstLine="0" w:firstLineChars="0"/>
              <w:jc w:val="center"/>
              <w:rPr>
                <w:sz w:val="21"/>
                <w:szCs w:val="21"/>
              </w:rPr>
            </w:pPr>
            <w:r>
              <w:rPr>
                <w:rFonts w:hint="eastAsia"/>
                <w:bCs/>
                <w:iCs/>
                <w:sz w:val="21"/>
                <w:szCs w:val="21"/>
              </w:rPr>
              <w:t>DA001</w:t>
            </w:r>
          </w:p>
        </w:tc>
        <w:tc>
          <w:tcPr>
            <w:tcW w:w="1701" w:type="dxa"/>
            <w:tcBorders>
              <w:top w:val="single" w:color="auto" w:sz="6" w:space="0"/>
              <w:left w:val="single" w:color="auto" w:sz="6" w:space="0"/>
              <w:bottom w:val="single" w:color="auto" w:sz="6" w:space="0"/>
              <w:right w:val="single" w:color="auto" w:sz="4" w:space="0"/>
            </w:tcBorders>
            <w:vAlign w:val="center"/>
          </w:tcPr>
          <w:p w14:paraId="0F5DF7CB">
            <w:pPr>
              <w:spacing w:line="360" w:lineRule="exact"/>
              <w:ind w:firstLine="0" w:firstLineChars="0"/>
              <w:jc w:val="center"/>
              <w:rPr>
                <w:sz w:val="21"/>
                <w:szCs w:val="21"/>
                <w:highlight w:val="yellow"/>
              </w:rPr>
            </w:pPr>
            <w:r>
              <w:rPr>
                <w:rFonts w:hint="eastAsia"/>
                <w:sz w:val="21"/>
                <w:szCs w:val="21"/>
              </w:rPr>
              <w:t>非甲烷总烃</w:t>
            </w:r>
          </w:p>
        </w:tc>
        <w:tc>
          <w:tcPr>
            <w:tcW w:w="2835" w:type="dxa"/>
            <w:tcBorders>
              <w:top w:val="single" w:color="auto" w:sz="6" w:space="0"/>
              <w:left w:val="single" w:color="auto" w:sz="4" w:space="0"/>
              <w:bottom w:val="single" w:color="auto" w:sz="6" w:space="0"/>
              <w:right w:val="single" w:color="auto" w:sz="6" w:space="0"/>
            </w:tcBorders>
            <w:vAlign w:val="center"/>
          </w:tcPr>
          <w:p w14:paraId="22F7D4E7">
            <w:pPr>
              <w:spacing w:line="360" w:lineRule="exact"/>
              <w:ind w:firstLine="0" w:firstLineChars="0"/>
              <w:jc w:val="center"/>
              <w:rPr>
                <w:sz w:val="21"/>
                <w:szCs w:val="21"/>
              </w:rPr>
            </w:pPr>
            <w:r>
              <w:rPr>
                <w:rFonts w:hint="eastAsia"/>
                <w:bCs/>
                <w:sz w:val="21"/>
                <w:szCs w:val="21"/>
                <w:u w:val="single"/>
              </w:rPr>
              <w:t>7.098</w:t>
            </w:r>
          </w:p>
        </w:tc>
        <w:tc>
          <w:tcPr>
            <w:tcW w:w="3828" w:type="dxa"/>
            <w:vMerge w:val="restart"/>
            <w:tcBorders>
              <w:top w:val="single" w:color="auto" w:sz="6" w:space="0"/>
              <w:left w:val="single" w:color="auto" w:sz="6" w:space="0"/>
              <w:right w:val="single" w:color="auto" w:sz="4" w:space="0"/>
            </w:tcBorders>
            <w:vAlign w:val="center"/>
          </w:tcPr>
          <w:p w14:paraId="18AF7790">
            <w:pPr>
              <w:spacing w:line="360" w:lineRule="exact"/>
              <w:ind w:firstLine="0" w:firstLineChars="0"/>
              <w:jc w:val="center"/>
              <w:rPr>
                <w:sz w:val="21"/>
                <w:szCs w:val="21"/>
                <w:u w:val="single"/>
              </w:rPr>
            </w:pPr>
            <w:r>
              <w:rPr>
                <w:rFonts w:hint="eastAsia"/>
                <w:sz w:val="21"/>
                <w:szCs w:val="21"/>
                <w:u w:val="single"/>
              </w:rPr>
              <w:t>设备自带冷凝+碱喷淋+</w:t>
            </w:r>
            <w:r>
              <w:rPr>
                <w:sz w:val="21"/>
                <w:szCs w:val="21"/>
                <w:u w:val="single"/>
              </w:rPr>
              <w:t>水喷淋</w:t>
            </w:r>
            <w:r>
              <w:rPr>
                <w:rFonts w:hint="eastAsia"/>
                <w:sz w:val="21"/>
                <w:szCs w:val="21"/>
                <w:u w:val="single"/>
              </w:rPr>
              <w:t>+除雾器+</w:t>
            </w:r>
            <w:r>
              <w:rPr>
                <w:sz w:val="21"/>
                <w:szCs w:val="21"/>
                <w:u w:val="single"/>
              </w:rPr>
              <w:t>活性炭吸附装置</w:t>
            </w:r>
          </w:p>
        </w:tc>
        <w:tc>
          <w:tcPr>
            <w:tcW w:w="2298" w:type="dxa"/>
            <w:vMerge w:val="restart"/>
            <w:tcBorders>
              <w:top w:val="single" w:color="auto" w:sz="6" w:space="0"/>
              <w:left w:val="single" w:color="auto" w:sz="4" w:space="0"/>
              <w:right w:val="single" w:color="auto" w:sz="6" w:space="0"/>
            </w:tcBorders>
            <w:vAlign w:val="center"/>
          </w:tcPr>
          <w:p w14:paraId="1E8A9A65">
            <w:pPr>
              <w:spacing w:line="360" w:lineRule="exact"/>
              <w:ind w:firstLine="0" w:firstLineChars="0"/>
              <w:jc w:val="center"/>
              <w:rPr>
                <w:sz w:val="21"/>
                <w:szCs w:val="21"/>
                <w:highlight w:val="yellow"/>
                <w:u w:val="single"/>
              </w:rPr>
            </w:pPr>
            <w:r>
              <w:rPr>
                <w:sz w:val="21"/>
                <w:szCs w:val="21"/>
                <w:u w:val="single"/>
              </w:rPr>
              <w:t>15/0.</w:t>
            </w:r>
            <w:r>
              <w:rPr>
                <w:rFonts w:hint="eastAsia"/>
                <w:sz w:val="21"/>
                <w:szCs w:val="21"/>
                <w:u w:val="single"/>
              </w:rPr>
              <w:t>3</w:t>
            </w:r>
          </w:p>
        </w:tc>
        <w:tc>
          <w:tcPr>
            <w:tcW w:w="2152" w:type="dxa"/>
            <w:vMerge w:val="restart"/>
            <w:tcBorders>
              <w:top w:val="single" w:color="auto" w:sz="6" w:space="0"/>
              <w:left w:val="single" w:color="auto" w:sz="6" w:space="0"/>
              <w:right w:val="single" w:color="auto" w:sz="8" w:space="0"/>
            </w:tcBorders>
            <w:vAlign w:val="center"/>
          </w:tcPr>
          <w:p w14:paraId="4651C851">
            <w:pPr>
              <w:spacing w:line="360" w:lineRule="exact"/>
              <w:ind w:firstLine="0" w:firstLineChars="0"/>
              <w:jc w:val="center"/>
              <w:rPr>
                <w:sz w:val="21"/>
                <w:szCs w:val="21"/>
                <w:u w:val="single"/>
              </w:rPr>
            </w:pPr>
            <w:r>
              <w:rPr>
                <w:rFonts w:hint="eastAsia"/>
                <w:sz w:val="21"/>
                <w:szCs w:val="21"/>
                <w:u w:val="single"/>
              </w:rPr>
              <w:t>5</w:t>
            </w:r>
            <w:r>
              <w:rPr>
                <w:sz w:val="21"/>
                <w:szCs w:val="21"/>
                <w:u w:val="single"/>
              </w:rPr>
              <w:t>000</w:t>
            </w:r>
          </w:p>
        </w:tc>
      </w:tr>
      <w:tr w14:paraId="42F7A8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24" w:type="dxa"/>
            <w:vMerge w:val="continue"/>
            <w:tcBorders>
              <w:left w:val="single" w:color="auto" w:sz="8" w:space="0"/>
              <w:bottom w:val="single" w:color="auto" w:sz="6" w:space="0"/>
              <w:right w:val="single" w:color="auto" w:sz="6" w:space="0"/>
            </w:tcBorders>
            <w:vAlign w:val="center"/>
          </w:tcPr>
          <w:p w14:paraId="0C8064E8">
            <w:pPr>
              <w:spacing w:line="360" w:lineRule="exact"/>
              <w:ind w:firstLine="0" w:firstLineChars="0"/>
              <w:jc w:val="center"/>
              <w:rPr>
                <w:bCs/>
                <w:iCs/>
                <w:sz w:val="21"/>
                <w:szCs w:val="21"/>
                <w:highlight w:val="yellow"/>
              </w:rPr>
            </w:pPr>
          </w:p>
        </w:tc>
        <w:tc>
          <w:tcPr>
            <w:tcW w:w="1701" w:type="dxa"/>
            <w:tcBorders>
              <w:top w:val="single" w:color="auto" w:sz="6" w:space="0"/>
              <w:left w:val="single" w:color="auto" w:sz="6" w:space="0"/>
              <w:bottom w:val="single" w:color="auto" w:sz="6" w:space="0"/>
              <w:right w:val="single" w:color="auto" w:sz="4" w:space="0"/>
            </w:tcBorders>
            <w:vAlign w:val="center"/>
          </w:tcPr>
          <w:p w14:paraId="34ABDDF7">
            <w:pPr>
              <w:spacing w:line="360" w:lineRule="exact"/>
              <w:ind w:firstLine="0" w:firstLineChars="0"/>
              <w:jc w:val="center"/>
              <w:rPr>
                <w:sz w:val="21"/>
                <w:szCs w:val="21"/>
                <w:highlight w:val="yellow"/>
              </w:rPr>
            </w:pPr>
            <w:r>
              <w:rPr>
                <w:rFonts w:hint="eastAsia"/>
                <w:sz w:val="21"/>
                <w:szCs w:val="21"/>
              </w:rPr>
              <w:t>硫酸雾</w:t>
            </w:r>
          </w:p>
        </w:tc>
        <w:tc>
          <w:tcPr>
            <w:tcW w:w="2835" w:type="dxa"/>
            <w:tcBorders>
              <w:top w:val="single" w:color="auto" w:sz="6" w:space="0"/>
              <w:left w:val="single" w:color="auto" w:sz="4" w:space="0"/>
              <w:bottom w:val="single" w:color="auto" w:sz="6" w:space="0"/>
              <w:right w:val="single" w:color="auto" w:sz="6" w:space="0"/>
            </w:tcBorders>
            <w:vAlign w:val="center"/>
          </w:tcPr>
          <w:p w14:paraId="406F23B9">
            <w:pPr>
              <w:spacing w:line="360" w:lineRule="exact"/>
              <w:ind w:firstLine="0" w:firstLineChars="0"/>
              <w:jc w:val="center"/>
              <w:rPr>
                <w:sz w:val="21"/>
                <w:szCs w:val="21"/>
                <w:u w:val="single"/>
              </w:rPr>
            </w:pPr>
            <w:r>
              <w:rPr>
                <w:rFonts w:hint="eastAsia"/>
                <w:sz w:val="21"/>
                <w:szCs w:val="21"/>
                <w:u w:val="single"/>
              </w:rPr>
              <w:t>0.078</w:t>
            </w:r>
          </w:p>
        </w:tc>
        <w:tc>
          <w:tcPr>
            <w:tcW w:w="3828" w:type="dxa"/>
            <w:vMerge w:val="continue"/>
            <w:tcBorders>
              <w:left w:val="single" w:color="auto" w:sz="6" w:space="0"/>
              <w:bottom w:val="single" w:color="auto" w:sz="6" w:space="0"/>
              <w:right w:val="single" w:color="auto" w:sz="4" w:space="0"/>
            </w:tcBorders>
            <w:vAlign w:val="center"/>
          </w:tcPr>
          <w:p w14:paraId="02BA45A1">
            <w:pPr>
              <w:spacing w:line="360" w:lineRule="exact"/>
              <w:ind w:firstLine="0" w:firstLineChars="0"/>
              <w:jc w:val="center"/>
              <w:rPr>
                <w:sz w:val="21"/>
                <w:szCs w:val="21"/>
              </w:rPr>
            </w:pPr>
          </w:p>
        </w:tc>
        <w:tc>
          <w:tcPr>
            <w:tcW w:w="2298" w:type="dxa"/>
            <w:vMerge w:val="continue"/>
            <w:tcBorders>
              <w:left w:val="single" w:color="auto" w:sz="4" w:space="0"/>
              <w:bottom w:val="single" w:color="auto" w:sz="6" w:space="0"/>
              <w:right w:val="single" w:color="auto" w:sz="6" w:space="0"/>
            </w:tcBorders>
            <w:vAlign w:val="center"/>
          </w:tcPr>
          <w:p w14:paraId="3F0DE7A9">
            <w:pPr>
              <w:spacing w:line="360" w:lineRule="exact"/>
              <w:ind w:firstLine="0" w:firstLineChars="0"/>
              <w:jc w:val="center"/>
              <w:rPr>
                <w:sz w:val="21"/>
                <w:szCs w:val="21"/>
                <w:highlight w:val="yellow"/>
              </w:rPr>
            </w:pPr>
          </w:p>
        </w:tc>
        <w:tc>
          <w:tcPr>
            <w:tcW w:w="2152" w:type="dxa"/>
            <w:vMerge w:val="continue"/>
            <w:tcBorders>
              <w:left w:val="single" w:color="auto" w:sz="6" w:space="0"/>
              <w:bottom w:val="single" w:color="auto" w:sz="6" w:space="0"/>
              <w:right w:val="single" w:color="auto" w:sz="8" w:space="0"/>
            </w:tcBorders>
            <w:vAlign w:val="center"/>
          </w:tcPr>
          <w:p w14:paraId="137D24C1">
            <w:pPr>
              <w:spacing w:line="360" w:lineRule="exact"/>
              <w:ind w:firstLine="0" w:firstLineChars="0"/>
              <w:jc w:val="center"/>
              <w:rPr>
                <w:sz w:val="21"/>
                <w:szCs w:val="21"/>
              </w:rPr>
            </w:pPr>
          </w:p>
        </w:tc>
      </w:tr>
      <w:tr w14:paraId="526659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24" w:type="dxa"/>
            <w:tcBorders>
              <w:top w:val="single" w:color="auto" w:sz="6" w:space="0"/>
              <w:left w:val="single" w:color="auto" w:sz="8" w:space="0"/>
              <w:bottom w:val="single" w:color="auto" w:sz="8" w:space="0"/>
              <w:right w:val="single" w:color="auto" w:sz="6" w:space="0"/>
            </w:tcBorders>
            <w:vAlign w:val="center"/>
          </w:tcPr>
          <w:p w14:paraId="63D94308">
            <w:pPr>
              <w:spacing w:line="360" w:lineRule="exact"/>
              <w:ind w:firstLine="0" w:firstLineChars="0"/>
              <w:jc w:val="center"/>
              <w:rPr>
                <w:bCs/>
                <w:iCs/>
                <w:sz w:val="21"/>
                <w:szCs w:val="21"/>
                <w:highlight w:val="yellow"/>
              </w:rPr>
            </w:pPr>
            <w:r>
              <w:rPr>
                <w:rFonts w:hint="eastAsia"/>
                <w:bCs/>
                <w:iCs/>
                <w:sz w:val="21"/>
                <w:szCs w:val="21"/>
              </w:rPr>
              <w:t>DA002</w:t>
            </w:r>
          </w:p>
        </w:tc>
        <w:tc>
          <w:tcPr>
            <w:tcW w:w="1701" w:type="dxa"/>
            <w:tcBorders>
              <w:top w:val="single" w:color="auto" w:sz="6" w:space="0"/>
              <w:left w:val="single" w:color="auto" w:sz="6" w:space="0"/>
              <w:bottom w:val="single" w:color="auto" w:sz="8" w:space="0"/>
              <w:right w:val="single" w:color="auto" w:sz="4" w:space="0"/>
            </w:tcBorders>
            <w:vAlign w:val="center"/>
          </w:tcPr>
          <w:p w14:paraId="20ED63F9">
            <w:pPr>
              <w:spacing w:line="360" w:lineRule="exact"/>
              <w:ind w:firstLine="0" w:firstLineChars="0"/>
              <w:jc w:val="center"/>
              <w:rPr>
                <w:sz w:val="21"/>
                <w:szCs w:val="21"/>
                <w:highlight w:val="yellow"/>
              </w:rPr>
            </w:pPr>
            <w:r>
              <w:rPr>
                <w:sz w:val="21"/>
                <w:szCs w:val="21"/>
              </w:rPr>
              <w:t>颗粒物</w:t>
            </w:r>
          </w:p>
        </w:tc>
        <w:tc>
          <w:tcPr>
            <w:tcW w:w="2835" w:type="dxa"/>
            <w:tcBorders>
              <w:top w:val="single" w:color="auto" w:sz="6" w:space="0"/>
              <w:left w:val="single" w:color="auto" w:sz="4" w:space="0"/>
              <w:bottom w:val="single" w:color="auto" w:sz="8" w:space="0"/>
              <w:right w:val="single" w:color="auto" w:sz="6" w:space="0"/>
            </w:tcBorders>
            <w:vAlign w:val="center"/>
          </w:tcPr>
          <w:p w14:paraId="4E2107AC">
            <w:pPr>
              <w:spacing w:line="360" w:lineRule="exact"/>
              <w:ind w:firstLine="0" w:firstLineChars="0"/>
              <w:jc w:val="center"/>
              <w:rPr>
                <w:sz w:val="21"/>
                <w:szCs w:val="21"/>
              </w:rPr>
            </w:pPr>
            <w:r>
              <w:rPr>
                <w:rFonts w:hint="eastAsia"/>
                <w:sz w:val="21"/>
                <w:szCs w:val="21"/>
              </w:rPr>
              <w:t>3</w:t>
            </w:r>
          </w:p>
        </w:tc>
        <w:tc>
          <w:tcPr>
            <w:tcW w:w="3828" w:type="dxa"/>
            <w:tcBorders>
              <w:top w:val="single" w:color="auto" w:sz="6" w:space="0"/>
              <w:left w:val="single" w:color="auto" w:sz="6" w:space="0"/>
              <w:bottom w:val="single" w:color="auto" w:sz="8" w:space="0"/>
              <w:right w:val="single" w:color="auto" w:sz="4" w:space="0"/>
            </w:tcBorders>
            <w:vAlign w:val="center"/>
          </w:tcPr>
          <w:p w14:paraId="64301E82">
            <w:pPr>
              <w:spacing w:line="360" w:lineRule="exact"/>
              <w:ind w:firstLine="0" w:firstLineChars="0"/>
              <w:jc w:val="center"/>
              <w:rPr>
                <w:sz w:val="21"/>
                <w:szCs w:val="21"/>
              </w:rPr>
            </w:pPr>
            <w:r>
              <w:rPr>
                <w:sz w:val="21"/>
                <w:szCs w:val="21"/>
              </w:rPr>
              <w:t>袋式除尘器破损</w:t>
            </w:r>
          </w:p>
        </w:tc>
        <w:tc>
          <w:tcPr>
            <w:tcW w:w="2298" w:type="dxa"/>
            <w:tcBorders>
              <w:top w:val="single" w:color="auto" w:sz="6" w:space="0"/>
              <w:left w:val="single" w:color="auto" w:sz="4" w:space="0"/>
              <w:bottom w:val="single" w:color="auto" w:sz="8" w:space="0"/>
              <w:right w:val="single" w:color="auto" w:sz="6" w:space="0"/>
            </w:tcBorders>
            <w:vAlign w:val="center"/>
          </w:tcPr>
          <w:p w14:paraId="250F56F1">
            <w:pPr>
              <w:spacing w:line="360" w:lineRule="exact"/>
              <w:ind w:firstLine="0" w:firstLineChars="0"/>
              <w:jc w:val="center"/>
              <w:rPr>
                <w:sz w:val="21"/>
                <w:szCs w:val="21"/>
                <w:highlight w:val="yellow"/>
              </w:rPr>
            </w:pPr>
            <w:r>
              <w:rPr>
                <w:sz w:val="21"/>
                <w:szCs w:val="21"/>
              </w:rPr>
              <w:t>15/0.</w:t>
            </w:r>
            <w:r>
              <w:rPr>
                <w:rFonts w:hint="eastAsia"/>
                <w:sz w:val="21"/>
                <w:szCs w:val="21"/>
              </w:rPr>
              <w:t>3</w:t>
            </w:r>
          </w:p>
        </w:tc>
        <w:tc>
          <w:tcPr>
            <w:tcW w:w="2152" w:type="dxa"/>
            <w:tcBorders>
              <w:top w:val="single" w:color="auto" w:sz="6" w:space="0"/>
              <w:left w:val="single" w:color="auto" w:sz="6" w:space="0"/>
              <w:bottom w:val="single" w:color="auto" w:sz="8" w:space="0"/>
              <w:right w:val="single" w:color="auto" w:sz="8" w:space="0"/>
            </w:tcBorders>
            <w:vAlign w:val="center"/>
          </w:tcPr>
          <w:p w14:paraId="58871CBD">
            <w:pPr>
              <w:spacing w:line="360" w:lineRule="exact"/>
              <w:ind w:firstLine="0" w:firstLineChars="0"/>
              <w:jc w:val="center"/>
              <w:rPr>
                <w:sz w:val="21"/>
                <w:szCs w:val="21"/>
              </w:rPr>
            </w:pPr>
            <w:r>
              <w:rPr>
                <w:rFonts w:hint="eastAsia"/>
                <w:sz w:val="21"/>
                <w:szCs w:val="21"/>
              </w:rPr>
              <w:t>5000</w:t>
            </w:r>
          </w:p>
        </w:tc>
      </w:tr>
    </w:tbl>
    <w:p w14:paraId="4C7E2B86">
      <w:pPr>
        <w:pStyle w:val="2"/>
        <w:ind w:firstLine="480"/>
        <w:rPr>
          <w:highlight w:val="yellow"/>
        </w:rPr>
      </w:pPr>
    </w:p>
    <w:p w14:paraId="2453AC51">
      <w:pPr>
        <w:ind w:firstLine="480"/>
        <w:rPr>
          <w:highlight w:val="yellow"/>
        </w:rPr>
      </w:pPr>
    </w:p>
    <w:p w14:paraId="39645884">
      <w:pPr>
        <w:pStyle w:val="2"/>
        <w:ind w:firstLine="480"/>
        <w:rPr>
          <w:highlight w:val="yellow"/>
        </w:rPr>
      </w:pPr>
    </w:p>
    <w:p w14:paraId="749AC8A7">
      <w:pPr>
        <w:ind w:firstLine="480"/>
        <w:rPr>
          <w:highlight w:val="yellow"/>
        </w:rPr>
        <w:sectPr>
          <w:pgSz w:w="16838" w:h="11906" w:orient="landscape"/>
          <w:pgMar w:top="1797" w:right="1440" w:bottom="1797" w:left="1440" w:header="851" w:footer="992" w:gutter="0"/>
          <w:cols w:space="720" w:num="1"/>
          <w:docGrid w:linePitch="326" w:charSpace="0"/>
        </w:sectPr>
      </w:pPr>
    </w:p>
    <w:p w14:paraId="27D16EF5">
      <w:pPr>
        <w:pStyle w:val="6"/>
        <w:ind w:left="0" w:firstLine="482" w:firstLineChars="200"/>
      </w:pPr>
      <w:bookmarkStart w:id="286" w:name="_Toc324839616"/>
      <w:bookmarkStart w:id="287" w:name="_Toc324839319"/>
      <w:bookmarkStart w:id="288" w:name="_Toc302145941"/>
      <w:bookmarkStart w:id="289" w:name="_Toc324839619"/>
      <w:bookmarkStart w:id="290" w:name="_Toc304300436"/>
      <w:bookmarkStart w:id="291" w:name="_Toc300681312"/>
      <w:bookmarkStart w:id="292" w:name="_Toc324839322"/>
      <w:r>
        <w:t>评价工作等级</w:t>
      </w:r>
      <w:bookmarkEnd w:id="286"/>
      <w:bookmarkEnd w:id="287"/>
    </w:p>
    <w:p w14:paraId="289A7995">
      <w:pPr>
        <w:pStyle w:val="7"/>
        <w:ind w:left="0" w:firstLine="482" w:firstLineChars="200"/>
      </w:pPr>
      <w:r>
        <w:t>模型参数</w:t>
      </w:r>
    </w:p>
    <w:p w14:paraId="49371508">
      <w:pPr>
        <w:ind w:firstLine="480"/>
      </w:pPr>
      <w:r>
        <w:t>采用《环境影响评价技术导则大气环境》（HJ2.2-2018）推荐的估算模式AERSCREEN计算工程主要污染源污染物的最大落地浓度及其出现距离，估算模型参数见下表。</w:t>
      </w:r>
    </w:p>
    <w:p w14:paraId="612EADD2">
      <w:pPr>
        <w:pStyle w:val="64"/>
        <w:numPr>
          <w:ilvl w:val="2"/>
          <w:numId w:val="25"/>
        </w:numPr>
        <w:spacing w:before="120"/>
        <w:ind w:left="0" w:firstLine="480" w:firstLineChars="200"/>
      </w:pPr>
      <w:r>
        <w:t xml:space="preserve">                 估算模型参数表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96"/>
        <w:gridCol w:w="3391"/>
        <w:gridCol w:w="2781"/>
      </w:tblGrid>
      <w:tr w14:paraId="5F8D2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587" w:type="dxa"/>
            <w:gridSpan w:val="2"/>
            <w:vAlign w:val="center"/>
          </w:tcPr>
          <w:p w14:paraId="56CF29EE">
            <w:pPr>
              <w:pStyle w:val="67"/>
              <w:rPr>
                <w:rFonts w:cs="Times New Roman"/>
                <w:color w:val="auto"/>
              </w:rPr>
            </w:pPr>
            <w:r>
              <w:rPr>
                <w:rFonts w:cs="Times New Roman"/>
                <w:color w:val="auto"/>
              </w:rPr>
              <w:t>参数</w:t>
            </w:r>
          </w:p>
        </w:tc>
        <w:tc>
          <w:tcPr>
            <w:tcW w:w="2781" w:type="dxa"/>
            <w:vAlign w:val="center"/>
          </w:tcPr>
          <w:p w14:paraId="648864BA">
            <w:pPr>
              <w:pStyle w:val="67"/>
              <w:rPr>
                <w:rFonts w:cs="Times New Roman"/>
                <w:color w:val="auto"/>
              </w:rPr>
            </w:pPr>
            <w:r>
              <w:rPr>
                <w:rFonts w:cs="Times New Roman"/>
                <w:color w:val="auto"/>
              </w:rPr>
              <w:t>取值</w:t>
            </w:r>
          </w:p>
        </w:tc>
      </w:tr>
      <w:tr w14:paraId="7BF20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96" w:type="dxa"/>
            <w:vMerge w:val="restart"/>
            <w:vAlign w:val="center"/>
          </w:tcPr>
          <w:p w14:paraId="4558D800">
            <w:pPr>
              <w:pStyle w:val="62"/>
            </w:pPr>
            <w:r>
              <w:t>城市/农村选项</w:t>
            </w:r>
          </w:p>
        </w:tc>
        <w:tc>
          <w:tcPr>
            <w:tcW w:w="3391" w:type="dxa"/>
            <w:vAlign w:val="center"/>
          </w:tcPr>
          <w:p w14:paraId="7C6355BB">
            <w:pPr>
              <w:pStyle w:val="62"/>
            </w:pPr>
            <w:r>
              <w:t>城市/农村</w:t>
            </w:r>
          </w:p>
        </w:tc>
        <w:tc>
          <w:tcPr>
            <w:tcW w:w="2781" w:type="dxa"/>
            <w:vAlign w:val="center"/>
          </w:tcPr>
          <w:p w14:paraId="09DCF00E">
            <w:pPr>
              <w:pStyle w:val="62"/>
              <w:rPr>
                <w:spacing w:val="-4"/>
              </w:rPr>
            </w:pPr>
            <w:r>
              <w:t>农村</w:t>
            </w:r>
          </w:p>
        </w:tc>
      </w:tr>
      <w:tr w14:paraId="46BD4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96" w:type="dxa"/>
            <w:vMerge w:val="continue"/>
            <w:vAlign w:val="center"/>
          </w:tcPr>
          <w:p w14:paraId="0FC8D716">
            <w:pPr>
              <w:pStyle w:val="62"/>
            </w:pPr>
          </w:p>
        </w:tc>
        <w:tc>
          <w:tcPr>
            <w:tcW w:w="3391" w:type="dxa"/>
            <w:vAlign w:val="center"/>
          </w:tcPr>
          <w:p w14:paraId="26F03359">
            <w:pPr>
              <w:pStyle w:val="62"/>
            </w:pPr>
            <w:r>
              <w:t>人口数（城市选项时）</w:t>
            </w:r>
          </w:p>
        </w:tc>
        <w:tc>
          <w:tcPr>
            <w:tcW w:w="2781" w:type="dxa"/>
            <w:vAlign w:val="center"/>
          </w:tcPr>
          <w:p w14:paraId="67EE9454">
            <w:pPr>
              <w:pStyle w:val="62"/>
            </w:pPr>
            <w:r>
              <w:t>/</w:t>
            </w:r>
          </w:p>
        </w:tc>
      </w:tr>
      <w:tr w14:paraId="17435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87" w:type="dxa"/>
            <w:gridSpan w:val="2"/>
            <w:vAlign w:val="center"/>
          </w:tcPr>
          <w:p w14:paraId="656B8343">
            <w:pPr>
              <w:pStyle w:val="62"/>
            </w:pPr>
            <w:r>
              <w:t>最高环境温度/℃</w:t>
            </w:r>
          </w:p>
        </w:tc>
        <w:tc>
          <w:tcPr>
            <w:tcW w:w="2781" w:type="dxa"/>
            <w:vAlign w:val="center"/>
          </w:tcPr>
          <w:p w14:paraId="6897812C">
            <w:pPr>
              <w:pStyle w:val="62"/>
              <w:rPr>
                <w:spacing w:val="-4"/>
                <w:u w:val="single"/>
              </w:rPr>
            </w:pPr>
            <w:r>
              <w:rPr>
                <w:rFonts w:hint="eastAsia"/>
                <w:spacing w:val="-4"/>
                <w:u w:val="single"/>
              </w:rPr>
              <w:t>41.5</w:t>
            </w:r>
          </w:p>
        </w:tc>
      </w:tr>
      <w:tr w14:paraId="5592A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87" w:type="dxa"/>
            <w:gridSpan w:val="2"/>
            <w:vAlign w:val="center"/>
          </w:tcPr>
          <w:p w14:paraId="0E08513F">
            <w:pPr>
              <w:pStyle w:val="62"/>
            </w:pPr>
            <w:r>
              <w:t>最低环境温度/℃</w:t>
            </w:r>
          </w:p>
        </w:tc>
        <w:tc>
          <w:tcPr>
            <w:tcW w:w="2781" w:type="dxa"/>
            <w:vAlign w:val="center"/>
          </w:tcPr>
          <w:p w14:paraId="7021A3B8">
            <w:pPr>
              <w:pStyle w:val="62"/>
              <w:rPr>
                <w:spacing w:val="-4"/>
              </w:rPr>
            </w:pPr>
            <w:r>
              <w:rPr>
                <w:spacing w:val="-4"/>
              </w:rPr>
              <w:t>-16.2</w:t>
            </w:r>
          </w:p>
        </w:tc>
      </w:tr>
      <w:tr w14:paraId="058CE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87" w:type="dxa"/>
            <w:gridSpan w:val="2"/>
            <w:vAlign w:val="center"/>
          </w:tcPr>
          <w:p w14:paraId="7747AF2D">
            <w:pPr>
              <w:pStyle w:val="62"/>
            </w:pPr>
            <w:r>
              <w:t>土地利用类型</w:t>
            </w:r>
          </w:p>
        </w:tc>
        <w:tc>
          <w:tcPr>
            <w:tcW w:w="2781" w:type="dxa"/>
            <w:vAlign w:val="center"/>
          </w:tcPr>
          <w:p w14:paraId="14185BF8">
            <w:pPr>
              <w:pStyle w:val="62"/>
              <w:rPr>
                <w:spacing w:val="-4"/>
              </w:rPr>
            </w:pPr>
            <w:r>
              <w:rPr>
                <w:spacing w:val="-4"/>
              </w:rPr>
              <w:t>农作地</w:t>
            </w:r>
          </w:p>
        </w:tc>
      </w:tr>
      <w:tr w14:paraId="210C2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87" w:type="dxa"/>
            <w:gridSpan w:val="2"/>
            <w:vAlign w:val="center"/>
          </w:tcPr>
          <w:p w14:paraId="0A95EC21">
            <w:pPr>
              <w:pStyle w:val="62"/>
            </w:pPr>
            <w:r>
              <w:t>区域湿度条件</w:t>
            </w:r>
          </w:p>
        </w:tc>
        <w:tc>
          <w:tcPr>
            <w:tcW w:w="2781" w:type="dxa"/>
            <w:vAlign w:val="center"/>
          </w:tcPr>
          <w:p w14:paraId="34905B52">
            <w:pPr>
              <w:pStyle w:val="62"/>
              <w:rPr>
                <w:spacing w:val="-4"/>
              </w:rPr>
            </w:pPr>
            <w:r>
              <w:rPr>
                <w:spacing w:val="-4"/>
              </w:rPr>
              <w:t>中等湿度气候</w:t>
            </w:r>
          </w:p>
        </w:tc>
      </w:tr>
      <w:tr w14:paraId="53BFE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96" w:type="dxa"/>
            <w:vMerge w:val="restart"/>
            <w:vAlign w:val="center"/>
          </w:tcPr>
          <w:p w14:paraId="6B610345">
            <w:pPr>
              <w:pStyle w:val="62"/>
              <w:rPr>
                <w:spacing w:val="-4"/>
              </w:rPr>
            </w:pPr>
            <w:r>
              <w:rPr>
                <w:spacing w:val="-4"/>
              </w:rPr>
              <w:t>是否考虑地形</w:t>
            </w:r>
          </w:p>
        </w:tc>
        <w:tc>
          <w:tcPr>
            <w:tcW w:w="3391" w:type="dxa"/>
            <w:vAlign w:val="center"/>
          </w:tcPr>
          <w:p w14:paraId="03C76A4D">
            <w:pPr>
              <w:pStyle w:val="62"/>
            </w:pPr>
            <w:r>
              <w:t>考虑地形</w:t>
            </w:r>
          </w:p>
        </w:tc>
        <w:tc>
          <w:tcPr>
            <w:tcW w:w="2781" w:type="dxa"/>
            <w:vAlign w:val="center"/>
          </w:tcPr>
          <w:p w14:paraId="1445C5BF">
            <w:pPr>
              <w:pStyle w:val="62"/>
              <w:rPr>
                <w:spacing w:val="-4"/>
              </w:rPr>
            </w:pPr>
            <w:r>
              <w:rPr>
                <w:spacing w:val="-4"/>
              </w:rPr>
              <w:t>是</w:t>
            </w:r>
          </w:p>
        </w:tc>
      </w:tr>
      <w:tr w14:paraId="6F3E9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96" w:type="dxa"/>
            <w:vMerge w:val="continue"/>
            <w:vAlign w:val="center"/>
          </w:tcPr>
          <w:p w14:paraId="03D783FD">
            <w:pPr>
              <w:pStyle w:val="62"/>
              <w:rPr>
                <w:spacing w:val="-4"/>
              </w:rPr>
            </w:pPr>
          </w:p>
        </w:tc>
        <w:tc>
          <w:tcPr>
            <w:tcW w:w="3391" w:type="dxa"/>
            <w:vAlign w:val="center"/>
          </w:tcPr>
          <w:p w14:paraId="7DEF21E0">
            <w:pPr>
              <w:pStyle w:val="62"/>
            </w:pPr>
            <w:r>
              <w:t>地形数据分辨率/m</w:t>
            </w:r>
          </w:p>
        </w:tc>
        <w:tc>
          <w:tcPr>
            <w:tcW w:w="2781" w:type="dxa"/>
            <w:vAlign w:val="center"/>
          </w:tcPr>
          <w:p w14:paraId="59F38B94">
            <w:pPr>
              <w:pStyle w:val="62"/>
              <w:rPr>
                <w:spacing w:val="-4"/>
              </w:rPr>
            </w:pPr>
            <w:r>
              <w:rPr>
                <w:spacing w:val="-4"/>
              </w:rPr>
              <w:t>90</w:t>
            </w:r>
          </w:p>
        </w:tc>
      </w:tr>
      <w:tr w14:paraId="1056D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96" w:type="dxa"/>
            <w:vMerge w:val="restart"/>
            <w:vAlign w:val="center"/>
          </w:tcPr>
          <w:p w14:paraId="4FC11752">
            <w:pPr>
              <w:pStyle w:val="62"/>
              <w:rPr>
                <w:spacing w:val="-4"/>
              </w:rPr>
            </w:pPr>
            <w:r>
              <w:rPr>
                <w:spacing w:val="-4"/>
              </w:rPr>
              <w:t>是否考虑岸线熏烟</w:t>
            </w:r>
          </w:p>
        </w:tc>
        <w:tc>
          <w:tcPr>
            <w:tcW w:w="3391" w:type="dxa"/>
            <w:vAlign w:val="center"/>
          </w:tcPr>
          <w:p w14:paraId="3DA8866C">
            <w:pPr>
              <w:pStyle w:val="62"/>
            </w:pPr>
            <w:r>
              <w:rPr>
                <w:spacing w:val="-4"/>
              </w:rPr>
              <w:t>考虑岸线熏烟</w:t>
            </w:r>
          </w:p>
        </w:tc>
        <w:tc>
          <w:tcPr>
            <w:tcW w:w="2781" w:type="dxa"/>
            <w:vAlign w:val="center"/>
          </w:tcPr>
          <w:p w14:paraId="0539AAB7">
            <w:pPr>
              <w:pStyle w:val="62"/>
              <w:rPr>
                <w:spacing w:val="-4"/>
              </w:rPr>
            </w:pPr>
            <w:r>
              <w:rPr>
                <w:spacing w:val="-4"/>
              </w:rPr>
              <w:t>否</w:t>
            </w:r>
          </w:p>
        </w:tc>
      </w:tr>
      <w:tr w14:paraId="2E402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96" w:type="dxa"/>
            <w:vMerge w:val="continue"/>
            <w:vAlign w:val="center"/>
          </w:tcPr>
          <w:p w14:paraId="6F1911D4">
            <w:pPr>
              <w:pStyle w:val="62"/>
              <w:rPr>
                <w:spacing w:val="-4"/>
              </w:rPr>
            </w:pPr>
          </w:p>
        </w:tc>
        <w:tc>
          <w:tcPr>
            <w:tcW w:w="3391" w:type="dxa"/>
            <w:vAlign w:val="center"/>
          </w:tcPr>
          <w:p w14:paraId="2FCDF584">
            <w:pPr>
              <w:pStyle w:val="62"/>
            </w:pPr>
            <w:r>
              <w:rPr>
                <w:spacing w:val="-4"/>
              </w:rPr>
              <w:t>岸线距离/km</w:t>
            </w:r>
          </w:p>
        </w:tc>
        <w:tc>
          <w:tcPr>
            <w:tcW w:w="2781" w:type="dxa"/>
            <w:vAlign w:val="center"/>
          </w:tcPr>
          <w:p w14:paraId="0B509A67">
            <w:pPr>
              <w:pStyle w:val="62"/>
              <w:rPr>
                <w:spacing w:val="-4"/>
              </w:rPr>
            </w:pPr>
            <w:r>
              <w:rPr>
                <w:spacing w:val="-4"/>
              </w:rPr>
              <w:t>/</w:t>
            </w:r>
          </w:p>
        </w:tc>
      </w:tr>
      <w:tr w14:paraId="12CC7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96" w:type="dxa"/>
            <w:vMerge w:val="continue"/>
            <w:vAlign w:val="center"/>
          </w:tcPr>
          <w:p w14:paraId="6DFAE981">
            <w:pPr>
              <w:pStyle w:val="62"/>
              <w:rPr>
                <w:spacing w:val="-4"/>
              </w:rPr>
            </w:pPr>
          </w:p>
        </w:tc>
        <w:tc>
          <w:tcPr>
            <w:tcW w:w="3391" w:type="dxa"/>
            <w:vAlign w:val="center"/>
          </w:tcPr>
          <w:p w14:paraId="4DDCEADB">
            <w:pPr>
              <w:pStyle w:val="62"/>
            </w:pPr>
            <w:r>
              <w:rPr>
                <w:spacing w:val="-4"/>
              </w:rPr>
              <w:t>岸线方向/ º</w:t>
            </w:r>
          </w:p>
        </w:tc>
        <w:tc>
          <w:tcPr>
            <w:tcW w:w="2781" w:type="dxa"/>
            <w:vAlign w:val="center"/>
          </w:tcPr>
          <w:p w14:paraId="2F2AAA1A">
            <w:pPr>
              <w:pStyle w:val="62"/>
              <w:rPr>
                <w:spacing w:val="-4"/>
              </w:rPr>
            </w:pPr>
            <w:r>
              <w:rPr>
                <w:spacing w:val="-4"/>
              </w:rPr>
              <w:t>/</w:t>
            </w:r>
          </w:p>
        </w:tc>
      </w:tr>
    </w:tbl>
    <w:p w14:paraId="495ACCC5">
      <w:pPr>
        <w:pStyle w:val="7"/>
        <w:ind w:left="0" w:firstLine="482" w:firstLineChars="200"/>
      </w:pPr>
      <w:r>
        <w:rPr>
          <w:rFonts w:hint="eastAsia"/>
        </w:rPr>
        <w:t>点源</w:t>
      </w:r>
      <w:r>
        <w:t>估算结果</w:t>
      </w:r>
    </w:p>
    <w:p w14:paraId="51E40435">
      <w:pPr>
        <w:pStyle w:val="99"/>
        <w:ind w:firstLine="480"/>
      </w:pPr>
      <w:r>
        <w:rPr>
          <w:rFonts w:hint="eastAsia"/>
        </w:rPr>
        <w:t>主要污染源点源估算模型计算结果见下表。</w:t>
      </w:r>
    </w:p>
    <w:p w14:paraId="44285A7E">
      <w:pPr>
        <w:pStyle w:val="64"/>
        <w:numPr>
          <w:ilvl w:val="2"/>
          <w:numId w:val="25"/>
        </w:numPr>
        <w:spacing w:before="120"/>
        <w:ind w:left="0" w:firstLine="480" w:firstLineChars="200"/>
      </w:pPr>
      <w:r>
        <w:rPr>
          <w:rFonts w:hint="eastAsia"/>
        </w:rPr>
        <w:t xml:space="preserve">        本项目点源估算模式预测结果</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999"/>
        <w:gridCol w:w="1154"/>
        <w:gridCol w:w="915"/>
        <w:gridCol w:w="1244"/>
        <w:gridCol w:w="864"/>
        <w:gridCol w:w="1152"/>
        <w:gridCol w:w="1152"/>
        <w:gridCol w:w="946"/>
      </w:tblGrid>
      <w:tr w14:paraId="4875E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Merge w:val="restart"/>
            <w:vAlign w:val="center"/>
          </w:tcPr>
          <w:p w14:paraId="3BA41D05">
            <w:pPr>
              <w:pStyle w:val="67"/>
              <w:rPr>
                <w:rFonts w:cs="Times New Roman"/>
                <w:color w:val="auto"/>
              </w:rPr>
            </w:pPr>
            <w:r>
              <w:rPr>
                <w:rFonts w:cs="Times New Roman"/>
                <w:color w:val="auto"/>
              </w:rPr>
              <w:t>下风向</w:t>
            </w:r>
          </w:p>
          <w:p w14:paraId="1D4E957D">
            <w:pPr>
              <w:pStyle w:val="67"/>
              <w:rPr>
                <w:rFonts w:cs="Times New Roman"/>
                <w:color w:val="auto"/>
              </w:rPr>
            </w:pPr>
            <w:r>
              <w:rPr>
                <w:rFonts w:cs="Times New Roman"/>
                <w:color w:val="auto"/>
              </w:rPr>
              <w:t>距离</w:t>
            </w:r>
          </w:p>
          <w:p w14:paraId="6AC99774">
            <w:pPr>
              <w:pStyle w:val="67"/>
              <w:rPr>
                <w:rFonts w:cs="Times New Roman"/>
                <w:color w:val="auto"/>
              </w:rPr>
            </w:pPr>
            <w:r>
              <w:rPr>
                <w:rFonts w:cs="Times New Roman"/>
                <w:color w:val="auto"/>
              </w:rPr>
              <w:t>D（m）</w:t>
            </w:r>
          </w:p>
        </w:tc>
        <w:tc>
          <w:tcPr>
            <w:tcW w:w="4110" w:type="dxa"/>
            <w:gridSpan w:val="4"/>
            <w:vAlign w:val="center"/>
          </w:tcPr>
          <w:p w14:paraId="756002EF">
            <w:pPr>
              <w:pStyle w:val="67"/>
              <w:rPr>
                <w:rFonts w:cs="Times New Roman"/>
                <w:color w:val="auto"/>
              </w:rPr>
            </w:pPr>
            <w:r>
              <w:rPr>
                <w:rFonts w:cs="Times New Roman"/>
                <w:color w:val="auto"/>
              </w:rPr>
              <w:t>排气筒</w:t>
            </w:r>
            <w:r>
              <w:rPr>
                <w:rFonts w:hint="eastAsia" w:cs="Times New Roman"/>
                <w:color w:val="auto"/>
              </w:rPr>
              <w:t>DA001</w:t>
            </w:r>
          </w:p>
        </w:tc>
        <w:tc>
          <w:tcPr>
            <w:tcW w:w="1134" w:type="dxa"/>
            <w:vMerge w:val="restart"/>
            <w:vAlign w:val="center"/>
          </w:tcPr>
          <w:p w14:paraId="682975F9">
            <w:pPr>
              <w:pStyle w:val="67"/>
              <w:rPr>
                <w:rFonts w:cs="Times New Roman"/>
                <w:color w:val="auto"/>
              </w:rPr>
            </w:pPr>
            <w:r>
              <w:rPr>
                <w:rFonts w:cs="Times New Roman"/>
                <w:color w:val="auto"/>
              </w:rPr>
              <w:t>下风向</w:t>
            </w:r>
          </w:p>
          <w:p w14:paraId="199FCF30">
            <w:pPr>
              <w:pStyle w:val="67"/>
              <w:rPr>
                <w:rFonts w:cs="Times New Roman"/>
                <w:color w:val="auto"/>
              </w:rPr>
            </w:pPr>
            <w:r>
              <w:rPr>
                <w:rFonts w:cs="Times New Roman"/>
                <w:color w:val="auto"/>
              </w:rPr>
              <w:t>距离</w:t>
            </w:r>
          </w:p>
          <w:p w14:paraId="3F31DA79">
            <w:pPr>
              <w:pStyle w:val="67"/>
              <w:rPr>
                <w:rFonts w:cs="Times New Roman"/>
                <w:color w:val="auto"/>
              </w:rPr>
            </w:pPr>
            <w:r>
              <w:rPr>
                <w:rFonts w:cs="Times New Roman"/>
                <w:color w:val="auto"/>
              </w:rPr>
              <w:t>D（m）</w:t>
            </w:r>
          </w:p>
        </w:tc>
        <w:tc>
          <w:tcPr>
            <w:tcW w:w="2065" w:type="dxa"/>
            <w:gridSpan w:val="2"/>
            <w:vAlign w:val="center"/>
          </w:tcPr>
          <w:p w14:paraId="65BE9360">
            <w:pPr>
              <w:pStyle w:val="67"/>
              <w:rPr>
                <w:rFonts w:cs="Times New Roman"/>
                <w:color w:val="auto"/>
              </w:rPr>
            </w:pPr>
            <w:r>
              <w:rPr>
                <w:rFonts w:cs="Times New Roman"/>
                <w:color w:val="auto"/>
              </w:rPr>
              <w:t>排气筒</w:t>
            </w:r>
            <w:r>
              <w:rPr>
                <w:rFonts w:hint="eastAsia" w:cs="Times New Roman"/>
                <w:color w:val="auto"/>
              </w:rPr>
              <w:t>DA002</w:t>
            </w:r>
          </w:p>
        </w:tc>
      </w:tr>
      <w:tr w14:paraId="192D0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Merge w:val="continue"/>
            <w:vAlign w:val="center"/>
          </w:tcPr>
          <w:p w14:paraId="6DBDE762">
            <w:pPr>
              <w:pStyle w:val="67"/>
              <w:rPr>
                <w:rFonts w:cs="Times New Roman"/>
                <w:color w:val="auto"/>
              </w:rPr>
            </w:pPr>
          </w:p>
        </w:tc>
        <w:tc>
          <w:tcPr>
            <w:tcW w:w="2036" w:type="dxa"/>
            <w:gridSpan w:val="2"/>
            <w:vAlign w:val="center"/>
          </w:tcPr>
          <w:p w14:paraId="29627E2F">
            <w:pPr>
              <w:pStyle w:val="67"/>
              <w:rPr>
                <w:rFonts w:cs="Times New Roman"/>
                <w:color w:val="auto"/>
              </w:rPr>
            </w:pPr>
            <w:r>
              <w:rPr>
                <w:rFonts w:hint="eastAsia" w:cs="Times New Roman"/>
                <w:color w:val="auto"/>
              </w:rPr>
              <w:t>非甲烷总烃</w:t>
            </w:r>
          </w:p>
        </w:tc>
        <w:tc>
          <w:tcPr>
            <w:tcW w:w="2074" w:type="dxa"/>
            <w:gridSpan w:val="2"/>
            <w:vAlign w:val="center"/>
          </w:tcPr>
          <w:p w14:paraId="7D4021E5">
            <w:pPr>
              <w:pStyle w:val="67"/>
              <w:rPr>
                <w:rFonts w:cs="Times New Roman"/>
                <w:color w:val="auto"/>
              </w:rPr>
            </w:pPr>
            <w:r>
              <w:rPr>
                <w:rFonts w:hint="eastAsia" w:cs="Times New Roman"/>
                <w:color w:val="auto"/>
              </w:rPr>
              <w:t>硫酸雾</w:t>
            </w:r>
          </w:p>
        </w:tc>
        <w:tc>
          <w:tcPr>
            <w:tcW w:w="1134" w:type="dxa"/>
            <w:vMerge w:val="continue"/>
            <w:vAlign w:val="center"/>
          </w:tcPr>
          <w:p w14:paraId="03CBC85E">
            <w:pPr>
              <w:pStyle w:val="67"/>
              <w:rPr>
                <w:rFonts w:cs="Times New Roman"/>
                <w:color w:val="auto"/>
              </w:rPr>
            </w:pPr>
          </w:p>
        </w:tc>
        <w:tc>
          <w:tcPr>
            <w:tcW w:w="2065" w:type="dxa"/>
            <w:gridSpan w:val="2"/>
            <w:vAlign w:val="center"/>
          </w:tcPr>
          <w:p w14:paraId="3889C299">
            <w:pPr>
              <w:pStyle w:val="67"/>
              <w:rPr>
                <w:rFonts w:cs="Times New Roman"/>
                <w:color w:val="auto"/>
              </w:rPr>
            </w:pPr>
            <w:r>
              <w:rPr>
                <w:rFonts w:hint="eastAsia" w:cs="Times New Roman"/>
                <w:color w:val="auto"/>
              </w:rPr>
              <w:t>颗粒物</w:t>
            </w:r>
          </w:p>
        </w:tc>
      </w:tr>
      <w:tr w14:paraId="62535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Merge w:val="continue"/>
            <w:vAlign w:val="center"/>
          </w:tcPr>
          <w:p w14:paraId="703BEE0E">
            <w:pPr>
              <w:pStyle w:val="67"/>
              <w:rPr>
                <w:rFonts w:cs="Times New Roman"/>
                <w:color w:val="auto"/>
              </w:rPr>
            </w:pPr>
          </w:p>
        </w:tc>
        <w:tc>
          <w:tcPr>
            <w:tcW w:w="1136" w:type="dxa"/>
            <w:vAlign w:val="center"/>
          </w:tcPr>
          <w:p w14:paraId="46288420">
            <w:pPr>
              <w:pStyle w:val="67"/>
              <w:rPr>
                <w:rFonts w:cs="Times New Roman"/>
                <w:color w:val="auto"/>
              </w:rPr>
            </w:pPr>
            <w:r>
              <w:rPr>
                <w:rFonts w:cs="Times New Roman"/>
                <w:color w:val="auto"/>
              </w:rPr>
              <w:t>预测浓度（mg/m</w:t>
            </w:r>
            <w:r>
              <w:rPr>
                <w:rFonts w:cs="Times New Roman"/>
                <w:color w:val="auto"/>
                <w:vertAlign w:val="superscript"/>
              </w:rPr>
              <w:t>3</w:t>
            </w:r>
            <w:r>
              <w:rPr>
                <w:rFonts w:cs="Times New Roman"/>
                <w:color w:val="auto"/>
              </w:rPr>
              <w:t>）</w:t>
            </w:r>
          </w:p>
        </w:tc>
        <w:tc>
          <w:tcPr>
            <w:tcW w:w="900" w:type="dxa"/>
            <w:vAlign w:val="center"/>
          </w:tcPr>
          <w:p w14:paraId="1B618EFA">
            <w:pPr>
              <w:pStyle w:val="67"/>
              <w:rPr>
                <w:rFonts w:cs="Times New Roman"/>
                <w:color w:val="auto"/>
              </w:rPr>
            </w:pPr>
            <w:r>
              <w:rPr>
                <w:rFonts w:cs="Times New Roman"/>
                <w:color w:val="auto"/>
              </w:rPr>
              <w:t>占标率（%）</w:t>
            </w:r>
          </w:p>
        </w:tc>
        <w:tc>
          <w:tcPr>
            <w:tcW w:w="1224" w:type="dxa"/>
            <w:vAlign w:val="center"/>
          </w:tcPr>
          <w:p w14:paraId="7DE26FDC">
            <w:pPr>
              <w:pStyle w:val="67"/>
              <w:rPr>
                <w:rFonts w:cs="Times New Roman"/>
                <w:color w:val="auto"/>
                <w:u w:val="single"/>
              </w:rPr>
            </w:pPr>
            <w:r>
              <w:rPr>
                <w:rFonts w:cs="Times New Roman"/>
                <w:color w:val="auto"/>
                <w:u w:val="single"/>
              </w:rPr>
              <w:t>预测浓度（mg/m</w:t>
            </w:r>
            <w:r>
              <w:rPr>
                <w:rFonts w:cs="Times New Roman"/>
                <w:color w:val="auto"/>
                <w:u w:val="single"/>
                <w:vertAlign w:val="superscript"/>
              </w:rPr>
              <w:t>3</w:t>
            </w:r>
            <w:r>
              <w:rPr>
                <w:rFonts w:cs="Times New Roman"/>
                <w:color w:val="auto"/>
                <w:u w:val="single"/>
              </w:rPr>
              <w:t>）</w:t>
            </w:r>
          </w:p>
        </w:tc>
        <w:tc>
          <w:tcPr>
            <w:tcW w:w="850" w:type="dxa"/>
            <w:vAlign w:val="center"/>
          </w:tcPr>
          <w:p w14:paraId="51EF7ACA">
            <w:pPr>
              <w:pStyle w:val="67"/>
              <w:rPr>
                <w:rFonts w:cs="Times New Roman"/>
                <w:color w:val="auto"/>
              </w:rPr>
            </w:pPr>
            <w:r>
              <w:rPr>
                <w:rFonts w:cs="Times New Roman"/>
                <w:color w:val="auto"/>
              </w:rPr>
              <w:t>占标率</w:t>
            </w:r>
          </w:p>
          <w:p w14:paraId="3A52ECF3">
            <w:pPr>
              <w:pStyle w:val="67"/>
              <w:rPr>
                <w:rFonts w:cs="Times New Roman"/>
                <w:color w:val="auto"/>
              </w:rPr>
            </w:pPr>
            <w:r>
              <w:rPr>
                <w:rFonts w:cs="Times New Roman"/>
                <w:color w:val="auto"/>
              </w:rPr>
              <w:t>（%）</w:t>
            </w:r>
          </w:p>
        </w:tc>
        <w:tc>
          <w:tcPr>
            <w:tcW w:w="1134" w:type="dxa"/>
            <w:vMerge w:val="continue"/>
            <w:vAlign w:val="center"/>
          </w:tcPr>
          <w:p w14:paraId="715EFA2D">
            <w:pPr>
              <w:pStyle w:val="67"/>
              <w:rPr>
                <w:rFonts w:cs="Times New Roman"/>
                <w:color w:val="auto"/>
              </w:rPr>
            </w:pPr>
          </w:p>
        </w:tc>
        <w:tc>
          <w:tcPr>
            <w:tcW w:w="1134" w:type="dxa"/>
            <w:vAlign w:val="center"/>
          </w:tcPr>
          <w:p w14:paraId="3DCD16CF">
            <w:pPr>
              <w:pStyle w:val="67"/>
              <w:rPr>
                <w:rFonts w:cs="Times New Roman"/>
                <w:color w:val="auto"/>
              </w:rPr>
            </w:pPr>
            <w:r>
              <w:rPr>
                <w:rFonts w:cs="Times New Roman"/>
                <w:color w:val="auto"/>
              </w:rPr>
              <w:t>预测浓度（mg/m</w:t>
            </w:r>
            <w:r>
              <w:rPr>
                <w:rFonts w:cs="Times New Roman"/>
                <w:color w:val="auto"/>
                <w:vertAlign w:val="superscript"/>
              </w:rPr>
              <w:t>3</w:t>
            </w:r>
            <w:r>
              <w:rPr>
                <w:rFonts w:cs="Times New Roman"/>
                <w:color w:val="auto"/>
              </w:rPr>
              <w:t>）</w:t>
            </w:r>
          </w:p>
        </w:tc>
        <w:tc>
          <w:tcPr>
            <w:tcW w:w="931" w:type="dxa"/>
            <w:vAlign w:val="center"/>
          </w:tcPr>
          <w:p w14:paraId="1E59CA83">
            <w:pPr>
              <w:pStyle w:val="67"/>
              <w:rPr>
                <w:rFonts w:cs="Times New Roman"/>
                <w:color w:val="auto"/>
              </w:rPr>
            </w:pPr>
            <w:r>
              <w:rPr>
                <w:rFonts w:cs="Times New Roman"/>
                <w:color w:val="auto"/>
              </w:rPr>
              <w:t>占标率（%）</w:t>
            </w:r>
          </w:p>
        </w:tc>
      </w:tr>
      <w:tr w14:paraId="140E1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322BB231">
            <w:pPr>
              <w:pStyle w:val="62"/>
              <w:rPr>
                <w:bCs/>
                <w:u w:val="single"/>
              </w:rPr>
            </w:pPr>
            <w:r>
              <w:rPr>
                <w:bCs/>
                <w:u w:val="single"/>
              </w:rPr>
              <w:t>10</w:t>
            </w:r>
          </w:p>
        </w:tc>
        <w:tc>
          <w:tcPr>
            <w:tcW w:w="1136" w:type="dxa"/>
            <w:vAlign w:val="center"/>
          </w:tcPr>
          <w:p w14:paraId="515FD545">
            <w:pPr>
              <w:pStyle w:val="62"/>
              <w:rPr>
                <w:bCs/>
                <w:u w:val="single"/>
              </w:rPr>
            </w:pPr>
            <w:r>
              <w:rPr>
                <w:rFonts w:hint="eastAsia"/>
                <w:bCs/>
                <w:u w:val="single"/>
              </w:rPr>
              <w:t>1.68E-05</w:t>
            </w:r>
          </w:p>
        </w:tc>
        <w:tc>
          <w:tcPr>
            <w:tcW w:w="900" w:type="dxa"/>
            <w:vAlign w:val="center"/>
          </w:tcPr>
          <w:p w14:paraId="64859F3E">
            <w:pPr>
              <w:pStyle w:val="62"/>
              <w:rPr>
                <w:bCs/>
                <w:u w:val="single"/>
              </w:rPr>
            </w:pPr>
            <w:r>
              <w:rPr>
                <w:rFonts w:hint="eastAsia"/>
                <w:bCs/>
                <w:u w:val="single"/>
              </w:rPr>
              <w:t>0</w:t>
            </w:r>
          </w:p>
        </w:tc>
        <w:tc>
          <w:tcPr>
            <w:tcW w:w="1224" w:type="dxa"/>
            <w:vAlign w:val="center"/>
          </w:tcPr>
          <w:p w14:paraId="67F8C958">
            <w:pPr>
              <w:pStyle w:val="62"/>
              <w:rPr>
                <w:bCs/>
                <w:u w:val="single"/>
              </w:rPr>
            </w:pPr>
            <w:r>
              <w:rPr>
                <w:rFonts w:hint="eastAsia"/>
                <w:bCs/>
                <w:u w:val="single"/>
              </w:rPr>
              <w:t>1.68E-05</w:t>
            </w:r>
          </w:p>
        </w:tc>
        <w:tc>
          <w:tcPr>
            <w:tcW w:w="850" w:type="dxa"/>
            <w:vAlign w:val="center"/>
          </w:tcPr>
          <w:p w14:paraId="166B7848">
            <w:pPr>
              <w:pStyle w:val="62"/>
              <w:rPr>
                <w:bCs/>
                <w:u w:val="single"/>
              </w:rPr>
            </w:pPr>
            <w:r>
              <w:rPr>
                <w:rFonts w:hint="eastAsia"/>
                <w:bCs/>
                <w:u w:val="single"/>
              </w:rPr>
              <w:t>0</w:t>
            </w:r>
          </w:p>
        </w:tc>
        <w:tc>
          <w:tcPr>
            <w:tcW w:w="1134" w:type="dxa"/>
            <w:vAlign w:val="center"/>
          </w:tcPr>
          <w:p w14:paraId="1FD32D1D">
            <w:pPr>
              <w:pStyle w:val="62"/>
              <w:rPr>
                <w:bCs/>
              </w:rPr>
            </w:pPr>
            <w:r>
              <w:rPr>
                <w:bCs/>
              </w:rPr>
              <w:t>10</w:t>
            </w:r>
          </w:p>
        </w:tc>
        <w:tc>
          <w:tcPr>
            <w:tcW w:w="1134" w:type="dxa"/>
            <w:vAlign w:val="center"/>
          </w:tcPr>
          <w:p w14:paraId="293204C3">
            <w:pPr>
              <w:pStyle w:val="62"/>
              <w:rPr>
                <w:bCs/>
              </w:rPr>
            </w:pPr>
            <w:r>
              <w:rPr>
                <w:rFonts w:hint="eastAsia"/>
                <w:bCs/>
              </w:rPr>
              <w:t>7.11E-06</w:t>
            </w:r>
          </w:p>
        </w:tc>
        <w:tc>
          <w:tcPr>
            <w:tcW w:w="931" w:type="dxa"/>
            <w:vAlign w:val="center"/>
          </w:tcPr>
          <w:p w14:paraId="4EFEE800">
            <w:pPr>
              <w:pStyle w:val="62"/>
              <w:rPr>
                <w:bCs/>
              </w:rPr>
            </w:pPr>
            <w:r>
              <w:rPr>
                <w:rFonts w:hint="eastAsia"/>
                <w:bCs/>
              </w:rPr>
              <w:t>0</w:t>
            </w:r>
          </w:p>
        </w:tc>
      </w:tr>
      <w:tr w14:paraId="25D82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7BED64BA">
            <w:pPr>
              <w:pStyle w:val="62"/>
              <w:rPr>
                <w:bCs/>
                <w:u w:val="single"/>
              </w:rPr>
            </w:pPr>
            <w:r>
              <w:rPr>
                <w:bCs/>
                <w:u w:val="single"/>
              </w:rPr>
              <w:t>100</w:t>
            </w:r>
          </w:p>
        </w:tc>
        <w:tc>
          <w:tcPr>
            <w:tcW w:w="1136" w:type="dxa"/>
            <w:vAlign w:val="center"/>
          </w:tcPr>
          <w:p w14:paraId="5D3E37E4">
            <w:pPr>
              <w:pStyle w:val="62"/>
              <w:rPr>
                <w:bCs/>
                <w:u w:val="single"/>
              </w:rPr>
            </w:pPr>
            <w:r>
              <w:rPr>
                <w:rFonts w:hint="eastAsia"/>
                <w:bCs/>
                <w:u w:val="single"/>
              </w:rPr>
              <w:t>1.95E-03</w:t>
            </w:r>
          </w:p>
        </w:tc>
        <w:tc>
          <w:tcPr>
            <w:tcW w:w="900" w:type="dxa"/>
            <w:vAlign w:val="center"/>
          </w:tcPr>
          <w:p w14:paraId="36F31DA4">
            <w:pPr>
              <w:pStyle w:val="62"/>
              <w:rPr>
                <w:bCs/>
                <w:u w:val="single"/>
              </w:rPr>
            </w:pPr>
            <w:r>
              <w:rPr>
                <w:rFonts w:hint="eastAsia"/>
                <w:bCs/>
                <w:u w:val="single"/>
              </w:rPr>
              <w:t>0.10</w:t>
            </w:r>
          </w:p>
        </w:tc>
        <w:tc>
          <w:tcPr>
            <w:tcW w:w="1224" w:type="dxa"/>
            <w:vAlign w:val="center"/>
          </w:tcPr>
          <w:p w14:paraId="380BF9FA">
            <w:pPr>
              <w:pStyle w:val="62"/>
              <w:rPr>
                <w:bCs/>
                <w:u w:val="single"/>
              </w:rPr>
            </w:pPr>
            <w:r>
              <w:rPr>
                <w:rFonts w:hint="eastAsia"/>
                <w:bCs/>
                <w:u w:val="single"/>
              </w:rPr>
              <w:t>1.29E-04</w:t>
            </w:r>
          </w:p>
        </w:tc>
        <w:tc>
          <w:tcPr>
            <w:tcW w:w="850" w:type="dxa"/>
            <w:vAlign w:val="center"/>
          </w:tcPr>
          <w:p w14:paraId="4799858D">
            <w:pPr>
              <w:pStyle w:val="62"/>
              <w:rPr>
                <w:bCs/>
                <w:u w:val="single"/>
              </w:rPr>
            </w:pPr>
            <w:r>
              <w:rPr>
                <w:rFonts w:hint="eastAsia"/>
                <w:bCs/>
                <w:u w:val="single"/>
              </w:rPr>
              <w:t>0.04</w:t>
            </w:r>
          </w:p>
        </w:tc>
        <w:tc>
          <w:tcPr>
            <w:tcW w:w="1134" w:type="dxa"/>
            <w:vAlign w:val="center"/>
          </w:tcPr>
          <w:p w14:paraId="36282AFF">
            <w:pPr>
              <w:pStyle w:val="62"/>
              <w:rPr>
                <w:bCs/>
              </w:rPr>
            </w:pPr>
            <w:r>
              <w:rPr>
                <w:bCs/>
              </w:rPr>
              <w:t>100</w:t>
            </w:r>
          </w:p>
        </w:tc>
        <w:tc>
          <w:tcPr>
            <w:tcW w:w="1134" w:type="dxa"/>
            <w:vAlign w:val="center"/>
          </w:tcPr>
          <w:p w14:paraId="2B89B05B">
            <w:pPr>
              <w:pStyle w:val="62"/>
              <w:rPr>
                <w:bCs/>
              </w:rPr>
            </w:pPr>
            <w:r>
              <w:rPr>
                <w:rFonts w:hint="eastAsia"/>
                <w:bCs/>
              </w:rPr>
              <w:t>8.60E-04</w:t>
            </w:r>
          </w:p>
        </w:tc>
        <w:tc>
          <w:tcPr>
            <w:tcW w:w="931" w:type="dxa"/>
            <w:vAlign w:val="center"/>
          </w:tcPr>
          <w:p w14:paraId="5710E831">
            <w:pPr>
              <w:pStyle w:val="62"/>
              <w:rPr>
                <w:bCs/>
              </w:rPr>
            </w:pPr>
            <w:r>
              <w:rPr>
                <w:rFonts w:hint="eastAsia"/>
                <w:bCs/>
              </w:rPr>
              <w:t>0.19</w:t>
            </w:r>
          </w:p>
        </w:tc>
      </w:tr>
      <w:tr w14:paraId="29EB9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6FC559E6">
            <w:pPr>
              <w:pStyle w:val="62"/>
              <w:rPr>
                <w:bCs/>
                <w:u w:val="single"/>
              </w:rPr>
            </w:pPr>
            <w:r>
              <w:rPr>
                <w:bCs/>
                <w:u w:val="single"/>
              </w:rPr>
              <w:t>200</w:t>
            </w:r>
          </w:p>
        </w:tc>
        <w:tc>
          <w:tcPr>
            <w:tcW w:w="1136" w:type="dxa"/>
            <w:vAlign w:val="center"/>
          </w:tcPr>
          <w:p w14:paraId="0116C4E5">
            <w:pPr>
              <w:pStyle w:val="62"/>
              <w:rPr>
                <w:bCs/>
                <w:u w:val="single"/>
              </w:rPr>
            </w:pPr>
            <w:r>
              <w:rPr>
                <w:rFonts w:hint="eastAsia"/>
                <w:bCs/>
                <w:u w:val="single"/>
              </w:rPr>
              <w:t>1.69E-03</w:t>
            </w:r>
          </w:p>
        </w:tc>
        <w:tc>
          <w:tcPr>
            <w:tcW w:w="900" w:type="dxa"/>
            <w:vAlign w:val="center"/>
          </w:tcPr>
          <w:p w14:paraId="618C2DE0">
            <w:pPr>
              <w:pStyle w:val="62"/>
              <w:rPr>
                <w:bCs/>
                <w:u w:val="single"/>
              </w:rPr>
            </w:pPr>
            <w:r>
              <w:rPr>
                <w:rFonts w:hint="eastAsia"/>
                <w:bCs/>
                <w:u w:val="single"/>
              </w:rPr>
              <w:t>0.10</w:t>
            </w:r>
          </w:p>
        </w:tc>
        <w:tc>
          <w:tcPr>
            <w:tcW w:w="1224" w:type="dxa"/>
            <w:vAlign w:val="center"/>
          </w:tcPr>
          <w:p w14:paraId="77D09BC9">
            <w:pPr>
              <w:pStyle w:val="62"/>
              <w:rPr>
                <w:bCs/>
                <w:u w:val="single"/>
              </w:rPr>
            </w:pPr>
            <w:r>
              <w:rPr>
                <w:rFonts w:hint="eastAsia"/>
                <w:bCs/>
                <w:u w:val="single"/>
              </w:rPr>
              <w:t>1.12E-04</w:t>
            </w:r>
          </w:p>
        </w:tc>
        <w:tc>
          <w:tcPr>
            <w:tcW w:w="850" w:type="dxa"/>
            <w:vAlign w:val="center"/>
          </w:tcPr>
          <w:p w14:paraId="04A2E078">
            <w:pPr>
              <w:pStyle w:val="62"/>
              <w:rPr>
                <w:bCs/>
                <w:u w:val="single"/>
              </w:rPr>
            </w:pPr>
            <w:r>
              <w:rPr>
                <w:rFonts w:hint="eastAsia"/>
                <w:bCs/>
                <w:u w:val="single"/>
              </w:rPr>
              <w:t>0.04</w:t>
            </w:r>
          </w:p>
        </w:tc>
        <w:tc>
          <w:tcPr>
            <w:tcW w:w="1134" w:type="dxa"/>
            <w:vAlign w:val="center"/>
          </w:tcPr>
          <w:p w14:paraId="053585EC">
            <w:pPr>
              <w:pStyle w:val="62"/>
              <w:rPr>
                <w:bCs/>
              </w:rPr>
            </w:pPr>
            <w:r>
              <w:rPr>
                <w:bCs/>
              </w:rPr>
              <w:t>200</w:t>
            </w:r>
          </w:p>
        </w:tc>
        <w:tc>
          <w:tcPr>
            <w:tcW w:w="1134" w:type="dxa"/>
            <w:vAlign w:val="center"/>
          </w:tcPr>
          <w:p w14:paraId="287D43EE">
            <w:pPr>
              <w:pStyle w:val="62"/>
              <w:rPr>
                <w:bCs/>
              </w:rPr>
            </w:pPr>
            <w:r>
              <w:rPr>
                <w:rFonts w:hint="eastAsia"/>
                <w:bCs/>
              </w:rPr>
              <w:t>7.58E-04</w:t>
            </w:r>
          </w:p>
        </w:tc>
        <w:tc>
          <w:tcPr>
            <w:tcW w:w="931" w:type="dxa"/>
            <w:vAlign w:val="center"/>
          </w:tcPr>
          <w:p w14:paraId="0CE1DA97">
            <w:pPr>
              <w:pStyle w:val="62"/>
              <w:rPr>
                <w:bCs/>
              </w:rPr>
            </w:pPr>
            <w:r>
              <w:rPr>
                <w:rFonts w:hint="eastAsia"/>
                <w:bCs/>
              </w:rPr>
              <w:t>0.17</w:t>
            </w:r>
          </w:p>
        </w:tc>
      </w:tr>
      <w:tr w14:paraId="448FD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4F178370">
            <w:pPr>
              <w:pStyle w:val="62"/>
              <w:rPr>
                <w:bCs/>
                <w:u w:val="single"/>
              </w:rPr>
            </w:pPr>
            <w:r>
              <w:rPr>
                <w:bCs/>
                <w:u w:val="single"/>
              </w:rPr>
              <w:t>300</w:t>
            </w:r>
          </w:p>
        </w:tc>
        <w:tc>
          <w:tcPr>
            <w:tcW w:w="1136" w:type="dxa"/>
            <w:vAlign w:val="center"/>
          </w:tcPr>
          <w:p w14:paraId="541A4BCF">
            <w:pPr>
              <w:pStyle w:val="62"/>
              <w:rPr>
                <w:bCs/>
                <w:u w:val="single"/>
              </w:rPr>
            </w:pPr>
            <w:r>
              <w:rPr>
                <w:rFonts w:hint="eastAsia"/>
                <w:bCs/>
                <w:u w:val="single"/>
              </w:rPr>
              <w:t>1.71E-03</w:t>
            </w:r>
          </w:p>
        </w:tc>
        <w:tc>
          <w:tcPr>
            <w:tcW w:w="900" w:type="dxa"/>
            <w:vAlign w:val="center"/>
          </w:tcPr>
          <w:p w14:paraId="0FDB222A">
            <w:pPr>
              <w:pStyle w:val="62"/>
              <w:rPr>
                <w:bCs/>
                <w:u w:val="single"/>
              </w:rPr>
            </w:pPr>
            <w:r>
              <w:rPr>
                <w:rFonts w:hint="eastAsia"/>
                <w:bCs/>
                <w:u w:val="single"/>
              </w:rPr>
              <w:t>0.09</w:t>
            </w:r>
          </w:p>
        </w:tc>
        <w:tc>
          <w:tcPr>
            <w:tcW w:w="1224" w:type="dxa"/>
            <w:vAlign w:val="center"/>
          </w:tcPr>
          <w:p w14:paraId="6DE4C5CF">
            <w:pPr>
              <w:pStyle w:val="62"/>
              <w:rPr>
                <w:bCs/>
                <w:u w:val="single"/>
              </w:rPr>
            </w:pPr>
            <w:r>
              <w:rPr>
                <w:rFonts w:hint="eastAsia"/>
                <w:bCs/>
                <w:u w:val="single"/>
              </w:rPr>
              <w:t>1.13E-04</w:t>
            </w:r>
          </w:p>
        </w:tc>
        <w:tc>
          <w:tcPr>
            <w:tcW w:w="850" w:type="dxa"/>
            <w:vAlign w:val="center"/>
          </w:tcPr>
          <w:p w14:paraId="193D3315">
            <w:pPr>
              <w:pStyle w:val="62"/>
              <w:rPr>
                <w:bCs/>
                <w:u w:val="single"/>
              </w:rPr>
            </w:pPr>
            <w:r>
              <w:rPr>
                <w:rFonts w:hint="eastAsia"/>
                <w:bCs/>
                <w:u w:val="single"/>
              </w:rPr>
              <w:t>0.04</w:t>
            </w:r>
          </w:p>
        </w:tc>
        <w:tc>
          <w:tcPr>
            <w:tcW w:w="1134" w:type="dxa"/>
            <w:vAlign w:val="center"/>
          </w:tcPr>
          <w:p w14:paraId="68A4DC25">
            <w:pPr>
              <w:pStyle w:val="62"/>
              <w:rPr>
                <w:bCs/>
              </w:rPr>
            </w:pPr>
            <w:r>
              <w:rPr>
                <w:bCs/>
              </w:rPr>
              <w:t>300</w:t>
            </w:r>
          </w:p>
        </w:tc>
        <w:tc>
          <w:tcPr>
            <w:tcW w:w="1134" w:type="dxa"/>
            <w:vAlign w:val="center"/>
          </w:tcPr>
          <w:p w14:paraId="4D39F715">
            <w:pPr>
              <w:pStyle w:val="62"/>
              <w:rPr>
                <w:bCs/>
              </w:rPr>
            </w:pPr>
            <w:r>
              <w:rPr>
                <w:rFonts w:hint="eastAsia"/>
                <w:bCs/>
              </w:rPr>
              <w:t>7.50E-04</w:t>
            </w:r>
          </w:p>
        </w:tc>
        <w:tc>
          <w:tcPr>
            <w:tcW w:w="931" w:type="dxa"/>
            <w:vAlign w:val="center"/>
          </w:tcPr>
          <w:p w14:paraId="4EEDB652">
            <w:pPr>
              <w:pStyle w:val="62"/>
              <w:rPr>
                <w:bCs/>
              </w:rPr>
            </w:pPr>
            <w:r>
              <w:rPr>
                <w:rFonts w:hint="eastAsia"/>
                <w:bCs/>
              </w:rPr>
              <w:t>0.17</w:t>
            </w:r>
          </w:p>
        </w:tc>
      </w:tr>
      <w:tr w14:paraId="4618D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5E1C2028">
            <w:pPr>
              <w:pStyle w:val="62"/>
              <w:rPr>
                <w:bCs/>
                <w:u w:val="single"/>
              </w:rPr>
            </w:pPr>
            <w:r>
              <w:rPr>
                <w:bCs/>
                <w:u w:val="single"/>
              </w:rPr>
              <w:t>400</w:t>
            </w:r>
          </w:p>
        </w:tc>
        <w:tc>
          <w:tcPr>
            <w:tcW w:w="1136" w:type="dxa"/>
            <w:vAlign w:val="center"/>
          </w:tcPr>
          <w:p w14:paraId="780A7C1D">
            <w:pPr>
              <w:pStyle w:val="62"/>
              <w:rPr>
                <w:bCs/>
                <w:u w:val="single"/>
              </w:rPr>
            </w:pPr>
            <w:r>
              <w:rPr>
                <w:rFonts w:hint="eastAsia"/>
                <w:bCs/>
                <w:u w:val="single"/>
              </w:rPr>
              <w:t>1.74E-03</w:t>
            </w:r>
          </w:p>
        </w:tc>
        <w:tc>
          <w:tcPr>
            <w:tcW w:w="900" w:type="dxa"/>
            <w:vAlign w:val="center"/>
          </w:tcPr>
          <w:p w14:paraId="45485FB8">
            <w:pPr>
              <w:pStyle w:val="62"/>
              <w:rPr>
                <w:bCs/>
                <w:u w:val="single"/>
              </w:rPr>
            </w:pPr>
            <w:r>
              <w:rPr>
                <w:rFonts w:hint="eastAsia"/>
                <w:bCs/>
                <w:u w:val="single"/>
              </w:rPr>
              <w:t>0.09</w:t>
            </w:r>
          </w:p>
        </w:tc>
        <w:tc>
          <w:tcPr>
            <w:tcW w:w="1224" w:type="dxa"/>
            <w:vAlign w:val="center"/>
          </w:tcPr>
          <w:p w14:paraId="52EAA4DE">
            <w:pPr>
              <w:pStyle w:val="62"/>
              <w:rPr>
                <w:bCs/>
                <w:u w:val="single"/>
              </w:rPr>
            </w:pPr>
            <w:r>
              <w:rPr>
                <w:rFonts w:hint="eastAsia"/>
                <w:bCs/>
                <w:u w:val="single"/>
              </w:rPr>
              <w:t>1.15E-04</w:t>
            </w:r>
          </w:p>
        </w:tc>
        <w:tc>
          <w:tcPr>
            <w:tcW w:w="850" w:type="dxa"/>
            <w:vAlign w:val="center"/>
          </w:tcPr>
          <w:p w14:paraId="4B490EEE">
            <w:pPr>
              <w:pStyle w:val="62"/>
              <w:rPr>
                <w:bCs/>
                <w:u w:val="single"/>
              </w:rPr>
            </w:pPr>
            <w:r>
              <w:rPr>
                <w:rFonts w:hint="eastAsia"/>
                <w:bCs/>
                <w:u w:val="single"/>
              </w:rPr>
              <w:t>0.04</w:t>
            </w:r>
          </w:p>
        </w:tc>
        <w:tc>
          <w:tcPr>
            <w:tcW w:w="1134" w:type="dxa"/>
            <w:vAlign w:val="center"/>
          </w:tcPr>
          <w:p w14:paraId="24362CDE">
            <w:pPr>
              <w:pStyle w:val="62"/>
              <w:rPr>
                <w:bCs/>
              </w:rPr>
            </w:pPr>
            <w:r>
              <w:rPr>
                <w:bCs/>
              </w:rPr>
              <w:t>400</w:t>
            </w:r>
          </w:p>
        </w:tc>
        <w:tc>
          <w:tcPr>
            <w:tcW w:w="1134" w:type="dxa"/>
            <w:vAlign w:val="center"/>
          </w:tcPr>
          <w:p w14:paraId="139D4C80">
            <w:pPr>
              <w:pStyle w:val="62"/>
              <w:rPr>
                <w:bCs/>
              </w:rPr>
            </w:pPr>
            <w:r>
              <w:rPr>
                <w:rFonts w:hint="eastAsia"/>
                <w:bCs/>
              </w:rPr>
              <w:t>7.72E-04</w:t>
            </w:r>
          </w:p>
        </w:tc>
        <w:tc>
          <w:tcPr>
            <w:tcW w:w="931" w:type="dxa"/>
            <w:vAlign w:val="center"/>
          </w:tcPr>
          <w:p w14:paraId="4617EC3A">
            <w:pPr>
              <w:pStyle w:val="62"/>
              <w:rPr>
                <w:bCs/>
              </w:rPr>
            </w:pPr>
            <w:r>
              <w:rPr>
                <w:rFonts w:hint="eastAsia"/>
                <w:bCs/>
              </w:rPr>
              <w:t>0.17</w:t>
            </w:r>
          </w:p>
        </w:tc>
      </w:tr>
      <w:tr w14:paraId="12A31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42FE3A47">
            <w:pPr>
              <w:pStyle w:val="62"/>
              <w:rPr>
                <w:bCs/>
                <w:u w:val="single"/>
              </w:rPr>
            </w:pPr>
            <w:r>
              <w:rPr>
                <w:bCs/>
                <w:u w:val="single"/>
              </w:rPr>
              <w:t>500</w:t>
            </w:r>
          </w:p>
        </w:tc>
        <w:tc>
          <w:tcPr>
            <w:tcW w:w="1136" w:type="dxa"/>
            <w:vAlign w:val="center"/>
          </w:tcPr>
          <w:p w14:paraId="2E0E813F">
            <w:pPr>
              <w:pStyle w:val="62"/>
              <w:rPr>
                <w:bCs/>
                <w:u w:val="single"/>
              </w:rPr>
            </w:pPr>
            <w:r>
              <w:rPr>
                <w:rFonts w:hint="eastAsia"/>
                <w:bCs/>
                <w:u w:val="single"/>
              </w:rPr>
              <w:t>1.62E-03</w:t>
            </w:r>
          </w:p>
        </w:tc>
        <w:tc>
          <w:tcPr>
            <w:tcW w:w="900" w:type="dxa"/>
            <w:vAlign w:val="center"/>
          </w:tcPr>
          <w:p w14:paraId="7D81245A">
            <w:pPr>
              <w:pStyle w:val="62"/>
              <w:rPr>
                <w:bCs/>
                <w:u w:val="single"/>
              </w:rPr>
            </w:pPr>
            <w:r>
              <w:rPr>
                <w:rFonts w:hint="eastAsia"/>
                <w:bCs/>
                <w:u w:val="single"/>
              </w:rPr>
              <w:t>0.08</w:t>
            </w:r>
          </w:p>
        </w:tc>
        <w:tc>
          <w:tcPr>
            <w:tcW w:w="1224" w:type="dxa"/>
            <w:vAlign w:val="center"/>
          </w:tcPr>
          <w:p w14:paraId="33E97B95">
            <w:pPr>
              <w:pStyle w:val="62"/>
              <w:rPr>
                <w:bCs/>
                <w:u w:val="single"/>
              </w:rPr>
            </w:pPr>
            <w:r>
              <w:rPr>
                <w:rFonts w:hint="eastAsia"/>
                <w:bCs/>
                <w:u w:val="single"/>
              </w:rPr>
              <w:t>1.07E-04</w:t>
            </w:r>
          </w:p>
        </w:tc>
        <w:tc>
          <w:tcPr>
            <w:tcW w:w="850" w:type="dxa"/>
            <w:vAlign w:val="center"/>
          </w:tcPr>
          <w:p w14:paraId="1C034853">
            <w:pPr>
              <w:pStyle w:val="62"/>
              <w:rPr>
                <w:bCs/>
                <w:u w:val="single"/>
              </w:rPr>
            </w:pPr>
            <w:r>
              <w:rPr>
                <w:rFonts w:hint="eastAsia"/>
                <w:bCs/>
                <w:u w:val="single"/>
              </w:rPr>
              <w:t>0.04</w:t>
            </w:r>
          </w:p>
        </w:tc>
        <w:tc>
          <w:tcPr>
            <w:tcW w:w="1134" w:type="dxa"/>
            <w:vAlign w:val="center"/>
          </w:tcPr>
          <w:p w14:paraId="56470AC9">
            <w:pPr>
              <w:pStyle w:val="62"/>
              <w:rPr>
                <w:bCs/>
              </w:rPr>
            </w:pPr>
            <w:r>
              <w:rPr>
                <w:bCs/>
              </w:rPr>
              <w:t>500</w:t>
            </w:r>
          </w:p>
        </w:tc>
        <w:tc>
          <w:tcPr>
            <w:tcW w:w="1134" w:type="dxa"/>
            <w:vAlign w:val="center"/>
          </w:tcPr>
          <w:p w14:paraId="52E8058E">
            <w:pPr>
              <w:pStyle w:val="62"/>
              <w:rPr>
                <w:bCs/>
              </w:rPr>
            </w:pPr>
            <w:r>
              <w:rPr>
                <w:rFonts w:hint="eastAsia"/>
                <w:bCs/>
              </w:rPr>
              <w:t>7.09E-04</w:t>
            </w:r>
          </w:p>
        </w:tc>
        <w:tc>
          <w:tcPr>
            <w:tcW w:w="931" w:type="dxa"/>
            <w:vAlign w:val="center"/>
          </w:tcPr>
          <w:p w14:paraId="064E6FD5">
            <w:pPr>
              <w:pStyle w:val="62"/>
              <w:rPr>
                <w:bCs/>
              </w:rPr>
            </w:pPr>
            <w:r>
              <w:rPr>
                <w:rFonts w:hint="eastAsia"/>
                <w:bCs/>
              </w:rPr>
              <w:t>0.16</w:t>
            </w:r>
          </w:p>
        </w:tc>
      </w:tr>
      <w:tr w14:paraId="7BF64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160221D7">
            <w:pPr>
              <w:pStyle w:val="62"/>
              <w:rPr>
                <w:bCs/>
                <w:u w:val="single"/>
              </w:rPr>
            </w:pPr>
            <w:r>
              <w:rPr>
                <w:bCs/>
                <w:u w:val="single"/>
              </w:rPr>
              <w:t>600</w:t>
            </w:r>
          </w:p>
        </w:tc>
        <w:tc>
          <w:tcPr>
            <w:tcW w:w="1136" w:type="dxa"/>
            <w:vAlign w:val="center"/>
          </w:tcPr>
          <w:p w14:paraId="6AD8E19C">
            <w:pPr>
              <w:pStyle w:val="62"/>
              <w:rPr>
                <w:bCs/>
                <w:u w:val="single"/>
              </w:rPr>
            </w:pPr>
            <w:r>
              <w:rPr>
                <w:rFonts w:hint="eastAsia"/>
                <w:bCs/>
                <w:u w:val="single"/>
              </w:rPr>
              <w:t>1.44E-03</w:t>
            </w:r>
          </w:p>
        </w:tc>
        <w:tc>
          <w:tcPr>
            <w:tcW w:w="900" w:type="dxa"/>
            <w:vAlign w:val="center"/>
          </w:tcPr>
          <w:p w14:paraId="1D5419D5">
            <w:pPr>
              <w:pStyle w:val="62"/>
              <w:rPr>
                <w:bCs/>
                <w:u w:val="single"/>
              </w:rPr>
            </w:pPr>
            <w:r>
              <w:rPr>
                <w:rFonts w:hint="eastAsia"/>
                <w:bCs/>
                <w:u w:val="single"/>
              </w:rPr>
              <w:t>0.07</w:t>
            </w:r>
          </w:p>
        </w:tc>
        <w:tc>
          <w:tcPr>
            <w:tcW w:w="1224" w:type="dxa"/>
            <w:vAlign w:val="center"/>
          </w:tcPr>
          <w:p w14:paraId="4439885A">
            <w:pPr>
              <w:pStyle w:val="62"/>
              <w:rPr>
                <w:bCs/>
                <w:u w:val="single"/>
              </w:rPr>
            </w:pPr>
            <w:r>
              <w:rPr>
                <w:rFonts w:hint="eastAsia"/>
                <w:bCs/>
                <w:u w:val="single"/>
              </w:rPr>
              <w:t>9.54E-05</w:t>
            </w:r>
          </w:p>
        </w:tc>
        <w:tc>
          <w:tcPr>
            <w:tcW w:w="850" w:type="dxa"/>
            <w:vAlign w:val="center"/>
          </w:tcPr>
          <w:p w14:paraId="265EA643">
            <w:pPr>
              <w:pStyle w:val="62"/>
              <w:rPr>
                <w:bCs/>
                <w:u w:val="single"/>
              </w:rPr>
            </w:pPr>
            <w:r>
              <w:rPr>
                <w:rFonts w:hint="eastAsia"/>
                <w:bCs/>
                <w:u w:val="single"/>
              </w:rPr>
              <w:t>0.03</w:t>
            </w:r>
          </w:p>
        </w:tc>
        <w:tc>
          <w:tcPr>
            <w:tcW w:w="1134" w:type="dxa"/>
            <w:vAlign w:val="center"/>
          </w:tcPr>
          <w:p w14:paraId="248170D4">
            <w:pPr>
              <w:pStyle w:val="62"/>
              <w:rPr>
                <w:bCs/>
              </w:rPr>
            </w:pPr>
            <w:r>
              <w:rPr>
                <w:bCs/>
              </w:rPr>
              <w:t>600</w:t>
            </w:r>
          </w:p>
        </w:tc>
        <w:tc>
          <w:tcPr>
            <w:tcW w:w="1134" w:type="dxa"/>
            <w:vAlign w:val="center"/>
          </w:tcPr>
          <w:p w14:paraId="7266884C">
            <w:pPr>
              <w:pStyle w:val="62"/>
              <w:rPr>
                <w:bCs/>
              </w:rPr>
            </w:pPr>
            <w:r>
              <w:rPr>
                <w:rFonts w:hint="eastAsia"/>
                <w:bCs/>
              </w:rPr>
              <w:t>6.27E-04</w:t>
            </w:r>
          </w:p>
        </w:tc>
        <w:tc>
          <w:tcPr>
            <w:tcW w:w="931" w:type="dxa"/>
            <w:vAlign w:val="center"/>
          </w:tcPr>
          <w:p w14:paraId="63AB3B0D">
            <w:pPr>
              <w:pStyle w:val="62"/>
              <w:rPr>
                <w:bCs/>
              </w:rPr>
            </w:pPr>
            <w:r>
              <w:rPr>
                <w:rFonts w:hint="eastAsia"/>
                <w:bCs/>
              </w:rPr>
              <w:t>0.14</w:t>
            </w:r>
          </w:p>
        </w:tc>
      </w:tr>
      <w:tr w14:paraId="17CF5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3364B4DA">
            <w:pPr>
              <w:pStyle w:val="62"/>
              <w:rPr>
                <w:bCs/>
                <w:u w:val="single"/>
              </w:rPr>
            </w:pPr>
            <w:r>
              <w:rPr>
                <w:bCs/>
                <w:u w:val="single"/>
              </w:rPr>
              <w:t>700</w:t>
            </w:r>
          </w:p>
        </w:tc>
        <w:tc>
          <w:tcPr>
            <w:tcW w:w="1136" w:type="dxa"/>
            <w:vAlign w:val="center"/>
          </w:tcPr>
          <w:p w14:paraId="397AD7F4">
            <w:pPr>
              <w:pStyle w:val="62"/>
              <w:rPr>
                <w:bCs/>
                <w:u w:val="single"/>
              </w:rPr>
            </w:pPr>
            <w:r>
              <w:rPr>
                <w:rFonts w:hint="eastAsia"/>
                <w:bCs/>
                <w:u w:val="single"/>
              </w:rPr>
              <w:t>1.32E-03</w:t>
            </w:r>
          </w:p>
        </w:tc>
        <w:tc>
          <w:tcPr>
            <w:tcW w:w="900" w:type="dxa"/>
            <w:vAlign w:val="center"/>
          </w:tcPr>
          <w:p w14:paraId="38BB6D6E">
            <w:pPr>
              <w:pStyle w:val="62"/>
              <w:rPr>
                <w:bCs/>
                <w:u w:val="single"/>
              </w:rPr>
            </w:pPr>
            <w:r>
              <w:rPr>
                <w:rFonts w:hint="eastAsia"/>
                <w:bCs/>
                <w:u w:val="single"/>
              </w:rPr>
              <w:t>0.07</w:t>
            </w:r>
          </w:p>
        </w:tc>
        <w:tc>
          <w:tcPr>
            <w:tcW w:w="1224" w:type="dxa"/>
            <w:vAlign w:val="center"/>
          </w:tcPr>
          <w:p w14:paraId="5ABA9970">
            <w:pPr>
              <w:pStyle w:val="62"/>
              <w:rPr>
                <w:bCs/>
                <w:u w:val="single"/>
              </w:rPr>
            </w:pPr>
            <w:r>
              <w:rPr>
                <w:rFonts w:hint="eastAsia"/>
                <w:bCs/>
                <w:u w:val="single"/>
              </w:rPr>
              <w:t>8.71E-05</w:t>
            </w:r>
          </w:p>
        </w:tc>
        <w:tc>
          <w:tcPr>
            <w:tcW w:w="850" w:type="dxa"/>
            <w:vAlign w:val="center"/>
          </w:tcPr>
          <w:p w14:paraId="307A0FCA">
            <w:pPr>
              <w:pStyle w:val="62"/>
              <w:rPr>
                <w:bCs/>
                <w:u w:val="single"/>
              </w:rPr>
            </w:pPr>
            <w:r>
              <w:rPr>
                <w:rFonts w:hint="eastAsia"/>
                <w:bCs/>
                <w:u w:val="single"/>
              </w:rPr>
              <w:t>0.03</w:t>
            </w:r>
          </w:p>
        </w:tc>
        <w:tc>
          <w:tcPr>
            <w:tcW w:w="1134" w:type="dxa"/>
            <w:vAlign w:val="center"/>
          </w:tcPr>
          <w:p w14:paraId="26D11B72">
            <w:pPr>
              <w:pStyle w:val="62"/>
              <w:rPr>
                <w:bCs/>
              </w:rPr>
            </w:pPr>
            <w:r>
              <w:rPr>
                <w:bCs/>
              </w:rPr>
              <w:t>700</w:t>
            </w:r>
          </w:p>
        </w:tc>
        <w:tc>
          <w:tcPr>
            <w:tcW w:w="1134" w:type="dxa"/>
            <w:vAlign w:val="center"/>
          </w:tcPr>
          <w:p w14:paraId="1752FCAD">
            <w:pPr>
              <w:pStyle w:val="62"/>
              <w:rPr>
                <w:bCs/>
              </w:rPr>
            </w:pPr>
            <w:r>
              <w:rPr>
                <w:rFonts w:hint="eastAsia"/>
                <w:bCs/>
              </w:rPr>
              <w:t>5.77E-04</w:t>
            </w:r>
          </w:p>
        </w:tc>
        <w:tc>
          <w:tcPr>
            <w:tcW w:w="931" w:type="dxa"/>
            <w:vAlign w:val="center"/>
          </w:tcPr>
          <w:p w14:paraId="75D9D543">
            <w:pPr>
              <w:pStyle w:val="62"/>
              <w:rPr>
                <w:bCs/>
              </w:rPr>
            </w:pPr>
            <w:r>
              <w:rPr>
                <w:rFonts w:hint="eastAsia"/>
                <w:bCs/>
              </w:rPr>
              <w:t>0.13</w:t>
            </w:r>
          </w:p>
        </w:tc>
      </w:tr>
      <w:tr w14:paraId="7DDD2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0952B7AC">
            <w:pPr>
              <w:pStyle w:val="62"/>
              <w:rPr>
                <w:bCs/>
                <w:u w:val="single"/>
              </w:rPr>
            </w:pPr>
            <w:r>
              <w:rPr>
                <w:bCs/>
                <w:u w:val="single"/>
              </w:rPr>
              <w:t>800</w:t>
            </w:r>
          </w:p>
        </w:tc>
        <w:tc>
          <w:tcPr>
            <w:tcW w:w="1136" w:type="dxa"/>
            <w:vAlign w:val="center"/>
          </w:tcPr>
          <w:p w14:paraId="455CF6E9">
            <w:pPr>
              <w:pStyle w:val="62"/>
              <w:rPr>
                <w:bCs/>
                <w:u w:val="single"/>
              </w:rPr>
            </w:pPr>
            <w:r>
              <w:rPr>
                <w:rFonts w:hint="eastAsia"/>
                <w:bCs/>
                <w:u w:val="single"/>
              </w:rPr>
              <w:t>1.21E-03</w:t>
            </w:r>
          </w:p>
        </w:tc>
        <w:tc>
          <w:tcPr>
            <w:tcW w:w="900" w:type="dxa"/>
            <w:vAlign w:val="center"/>
          </w:tcPr>
          <w:p w14:paraId="1A790FAE">
            <w:pPr>
              <w:pStyle w:val="62"/>
              <w:rPr>
                <w:bCs/>
                <w:u w:val="single"/>
              </w:rPr>
            </w:pPr>
            <w:r>
              <w:rPr>
                <w:rFonts w:hint="eastAsia"/>
                <w:bCs/>
                <w:u w:val="single"/>
              </w:rPr>
              <w:t>0.06</w:t>
            </w:r>
          </w:p>
        </w:tc>
        <w:tc>
          <w:tcPr>
            <w:tcW w:w="1224" w:type="dxa"/>
            <w:vAlign w:val="center"/>
          </w:tcPr>
          <w:p w14:paraId="0960A0BA">
            <w:pPr>
              <w:pStyle w:val="62"/>
              <w:rPr>
                <w:bCs/>
                <w:u w:val="single"/>
              </w:rPr>
            </w:pPr>
            <w:r>
              <w:rPr>
                <w:rFonts w:hint="eastAsia"/>
                <w:bCs/>
                <w:u w:val="single"/>
              </w:rPr>
              <w:t>8.04E-05</w:t>
            </w:r>
          </w:p>
        </w:tc>
        <w:tc>
          <w:tcPr>
            <w:tcW w:w="850" w:type="dxa"/>
            <w:vAlign w:val="center"/>
          </w:tcPr>
          <w:p w14:paraId="74F5D5CA">
            <w:pPr>
              <w:pStyle w:val="62"/>
              <w:rPr>
                <w:bCs/>
                <w:u w:val="single"/>
              </w:rPr>
            </w:pPr>
            <w:r>
              <w:rPr>
                <w:rFonts w:hint="eastAsia"/>
                <w:bCs/>
                <w:u w:val="single"/>
              </w:rPr>
              <w:t>0.03</w:t>
            </w:r>
          </w:p>
        </w:tc>
        <w:tc>
          <w:tcPr>
            <w:tcW w:w="1134" w:type="dxa"/>
            <w:vAlign w:val="center"/>
          </w:tcPr>
          <w:p w14:paraId="714A1F4A">
            <w:pPr>
              <w:pStyle w:val="62"/>
              <w:rPr>
                <w:bCs/>
              </w:rPr>
            </w:pPr>
            <w:r>
              <w:rPr>
                <w:bCs/>
              </w:rPr>
              <w:t>800</w:t>
            </w:r>
          </w:p>
        </w:tc>
        <w:tc>
          <w:tcPr>
            <w:tcW w:w="1134" w:type="dxa"/>
            <w:vAlign w:val="center"/>
          </w:tcPr>
          <w:p w14:paraId="3ECF03EF">
            <w:pPr>
              <w:pStyle w:val="62"/>
              <w:rPr>
                <w:bCs/>
              </w:rPr>
            </w:pPr>
            <w:r>
              <w:rPr>
                <w:rFonts w:hint="eastAsia"/>
                <w:bCs/>
              </w:rPr>
              <w:t>5.29E-04</w:t>
            </w:r>
          </w:p>
        </w:tc>
        <w:tc>
          <w:tcPr>
            <w:tcW w:w="931" w:type="dxa"/>
            <w:vAlign w:val="center"/>
          </w:tcPr>
          <w:p w14:paraId="477953F6">
            <w:pPr>
              <w:pStyle w:val="62"/>
              <w:rPr>
                <w:bCs/>
              </w:rPr>
            </w:pPr>
            <w:r>
              <w:rPr>
                <w:rFonts w:hint="eastAsia"/>
                <w:bCs/>
              </w:rPr>
              <w:t>0.12</w:t>
            </w:r>
          </w:p>
        </w:tc>
      </w:tr>
      <w:tr w14:paraId="53904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27E63051">
            <w:pPr>
              <w:pStyle w:val="62"/>
              <w:rPr>
                <w:bCs/>
                <w:u w:val="single"/>
              </w:rPr>
            </w:pPr>
            <w:r>
              <w:rPr>
                <w:bCs/>
                <w:u w:val="single"/>
              </w:rPr>
              <w:t>900</w:t>
            </w:r>
          </w:p>
        </w:tc>
        <w:tc>
          <w:tcPr>
            <w:tcW w:w="1136" w:type="dxa"/>
            <w:vAlign w:val="center"/>
          </w:tcPr>
          <w:p w14:paraId="44D85849">
            <w:pPr>
              <w:pStyle w:val="62"/>
              <w:rPr>
                <w:bCs/>
                <w:u w:val="single"/>
              </w:rPr>
            </w:pPr>
            <w:r>
              <w:rPr>
                <w:rFonts w:hint="eastAsia"/>
                <w:bCs/>
                <w:u w:val="single"/>
              </w:rPr>
              <w:t>1.11E-03</w:t>
            </w:r>
          </w:p>
        </w:tc>
        <w:tc>
          <w:tcPr>
            <w:tcW w:w="900" w:type="dxa"/>
            <w:vAlign w:val="center"/>
          </w:tcPr>
          <w:p w14:paraId="3ABFBF96">
            <w:pPr>
              <w:pStyle w:val="62"/>
              <w:rPr>
                <w:bCs/>
                <w:u w:val="single"/>
              </w:rPr>
            </w:pPr>
            <w:r>
              <w:rPr>
                <w:rFonts w:hint="eastAsia"/>
                <w:bCs/>
                <w:u w:val="single"/>
              </w:rPr>
              <w:t>0.06</w:t>
            </w:r>
          </w:p>
        </w:tc>
        <w:tc>
          <w:tcPr>
            <w:tcW w:w="1224" w:type="dxa"/>
            <w:vAlign w:val="center"/>
          </w:tcPr>
          <w:p w14:paraId="77CE44EF">
            <w:pPr>
              <w:pStyle w:val="62"/>
              <w:rPr>
                <w:bCs/>
                <w:u w:val="single"/>
              </w:rPr>
            </w:pPr>
            <w:r>
              <w:rPr>
                <w:rFonts w:hint="eastAsia"/>
                <w:bCs/>
                <w:u w:val="single"/>
              </w:rPr>
              <w:t>7.38E-05</w:t>
            </w:r>
          </w:p>
        </w:tc>
        <w:tc>
          <w:tcPr>
            <w:tcW w:w="850" w:type="dxa"/>
            <w:vAlign w:val="center"/>
          </w:tcPr>
          <w:p w14:paraId="589C745B">
            <w:pPr>
              <w:pStyle w:val="62"/>
              <w:rPr>
                <w:bCs/>
                <w:u w:val="single"/>
              </w:rPr>
            </w:pPr>
            <w:r>
              <w:rPr>
                <w:rFonts w:hint="eastAsia"/>
                <w:bCs/>
                <w:u w:val="single"/>
              </w:rPr>
              <w:t>0.03</w:t>
            </w:r>
          </w:p>
        </w:tc>
        <w:tc>
          <w:tcPr>
            <w:tcW w:w="1134" w:type="dxa"/>
            <w:vAlign w:val="center"/>
          </w:tcPr>
          <w:p w14:paraId="22F66417">
            <w:pPr>
              <w:pStyle w:val="62"/>
              <w:rPr>
                <w:bCs/>
              </w:rPr>
            </w:pPr>
            <w:r>
              <w:rPr>
                <w:bCs/>
              </w:rPr>
              <w:t>900</w:t>
            </w:r>
          </w:p>
        </w:tc>
        <w:tc>
          <w:tcPr>
            <w:tcW w:w="1134" w:type="dxa"/>
            <w:vAlign w:val="center"/>
          </w:tcPr>
          <w:p w14:paraId="370AA8EB">
            <w:pPr>
              <w:pStyle w:val="62"/>
              <w:rPr>
                <w:bCs/>
              </w:rPr>
            </w:pPr>
            <w:r>
              <w:rPr>
                <w:rFonts w:hint="eastAsia"/>
                <w:bCs/>
              </w:rPr>
              <w:t>4.83E-04</w:t>
            </w:r>
          </w:p>
        </w:tc>
        <w:tc>
          <w:tcPr>
            <w:tcW w:w="931" w:type="dxa"/>
            <w:vAlign w:val="center"/>
          </w:tcPr>
          <w:p w14:paraId="7865D657">
            <w:pPr>
              <w:pStyle w:val="62"/>
              <w:rPr>
                <w:bCs/>
              </w:rPr>
            </w:pPr>
            <w:r>
              <w:rPr>
                <w:rFonts w:hint="eastAsia"/>
                <w:bCs/>
              </w:rPr>
              <w:t>0.11</w:t>
            </w:r>
          </w:p>
        </w:tc>
      </w:tr>
      <w:tr w14:paraId="25564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6255DF27">
            <w:pPr>
              <w:pStyle w:val="62"/>
              <w:rPr>
                <w:bCs/>
                <w:u w:val="single"/>
              </w:rPr>
            </w:pPr>
            <w:r>
              <w:rPr>
                <w:bCs/>
                <w:u w:val="single"/>
              </w:rPr>
              <w:t>1000</w:t>
            </w:r>
          </w:p>
        </w:tc>
        <w:tc>
          <w:tcPr>
            <w:tcW w:w="1136" w:type="dxa"/>
            <w:vAlign w:val="center"/>
          </w:tcPr>
          <w:p w14:paraId="135EC8A4">
            <w:pPr>
              <w:pStyle w:val="62"/>
              <w:rPr>
                <w:bCs/>
                <w:u w:val="single"/>
              </w:rPr>
            </w:pPr>
            <w:r>
              <w:rPr>
                <w:rFonts w:hint="eastAsia"/>
                <w:bCs/>
                <w:u w:val="single"/>
              </w:rPr>
              <w:t>1.02E-03</w:t>
            </w:r>
          </w:p>
        </w:tc>
        <w:tc>
          <w:tcPr>
            <w:tcW w:w="900" w:type="dxa"/>
            <w:vAlign w:val="center"/>
          </w:tcPr>
          <w:p w14:paraId="3643FD84">
            <w:pPr>
              <w:pStyle w:val="62"/>
              <w:rPr>
                <w:bCs/>
                <w:u w:val="single"/>
              </w:rPr>
            </w:pPr>
            <w:r>
              <w:rPr>
                <w:rFonts w:hint="eastAsia"/>
                <w:bCs/>
                <w:u w:val="single"/>
              </w:rPr>
              <w:t>0.05</w:t>
            </w:r>
          </w:p>
        </w:tc>
        <w:tc>
          <w:tcPr>
            <w:tcW w:w="1224" w:type="dxa"/>
            <w:vAlign w:val="center"/>
          </w:tcPr>
          <w:p w14:paraId="5C130796">
            <w:pPr>
              <w:pStyle w:val="62"/>
              <w:rPr>
                <w:bCs/>
                <w:u w:val="single"/>
              </w:rPr>
            </w:pPr>
            <w:r>
              <w:rPr>
                <w:rFonts w:hint="eastAsia"/>
                <w:bCs/>
                <w:u w:val="single"/>
              </w:rPr>
              <w:t>6.76E-05</w:t>
            </w:r>
          </w:p>
        </w:tc>
        <w:tc>
          <w:tcPr>
            <w:tcW w:w="850" w:type="dxa"/>
            <w:vAlign w:val="center"/>
          </w:tcPr>
          <w:p w14:paraId="0360B6FE">
            <w:pPr>
              <w:pStyle w:val="62"/>
              <w:rPr>
                <w:bCs/>
                <w:u w:val="single"/>
              </w:rPr>
            </w:pPr>
            <w:r>
              <w:rPr>
                <w:rFonts w:hint="eastAsia"/>
                <w:bCs/>
                <w:u w:val="single"/>
              </w:rPr>
              <w:t>0.02</w:t>
            </w:r>
          </w:p>
        </w:tc>
        <w:tc>
          <w:tcPr>
            <w:tcW w:w="1134" w:type="dxa"/>
            <w:vAlign w:val="center"/>
          </w:tcPr>
          <w:p w14:paraId="3690A2C1">
            <w:pPr>
              <w:pStyle w:val="62"/>
              <w:rPr>
                <w:bCs/>
              </w:rPr>
            </w:pPr>
            <w:r>
              <w:rPr>
                <w:bCs/>
              </w:rPr>
              <w:t>1000</w:t>
            </w:r>
          </w:p>
        </w:tc>
        <w:tc>
          <w:tcPr>
            <w:tcW w:w="1134" w:type="dxa"/>
            <w:vAlign w:val="center"/>
          </w:tcPr>
          <w:p w14:paraId="0B7FF5BB">
            <w:pPr>
              <w:pStyle w:val="62"/>
              <w:rPr>
                <w:bCs/>
              </w:rPr>
            </w:pPr>
            <w:r>
              <w:rPr>
                <w:rFonts w:hint="eastAsia"/>
                <w:bCs/>
              </w:rPr>
              <w:t>4.42E-04</w:t>
            </w:r>
          </w:p>
        </w:tc>
        <w:tc>
          <w:tcPr>
            <w:tcW w:w="931" w:type="dxa"/>
            <w:vAlign w:val="center"/>
          </w:tcPr>
          <w:p w14:paraId="50B1A5C2">
            <w:pPr>
              <w:pStyle w:val="62"/>
              <w:rPr>
                <w:bCs/>
              </w:rPr>
            </w:pPr>
            <w:r>
              <w:rPr>
                <w:rFonts w:hint="eastAsia"/>
                <w:bCs/>
              </w:rPr>
              <w:t>0.10</w:t>
            </w:r>
          </w:p>
        </w:tc>
      </w:tr>
      <w:tr w14:paraId="3D55D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7AFB7957">
            <w:pPr>
              <w:pStyle w:val="62"/>
              <w:rPr>
                <w:bCs/>
                <w:u w:val="single"/>
              </w:rPr>
            </w:pPr>
            <w:r>
              <w:rPr>
                <w:bCs/>
                <w:u w:val="single"/>
              </w:rPr>
              <w:t>1100</w:t>
            </w:r>
          </w:p>
        </w:tc>
        <w:tc>
          <w:tcPr>
            <w:tcW w:w="1136" w:type="dxa"/>
            <w:vAlign w:val="center"/>
          </w:tcPr>
          <w:p w14:paraId="1C6AFDE9">
            <w:pPr>
              <w:pStyle w:val="62"/>
              <w:rPr>
                <w:bCs/>
                <w:u w:val="single"/>
              </w:rPr>
            </w:pPr>
            <w:r>
              <w:rPr>
                <w:rFonts w:hint="eastAsia"/>
                <w:bCs/>
                <w:u w:val="single"/>
              </w:rPr>
              <w:t>9.38E-04</w:t>
            </w:r>
          </w:p>
        </w:tc>
        <w:tc>
          <w:tcPr>
            <w:tcW w:w="900" w:type="dxa"/>
            <w:vAlign w:val="center"/>
          </w:tcPr>
          <w:p w14:paraId="4F9B9E7F">
            <w:pPr>
              <w:pStyle w:val="62"/>
              <w:rPr>
                <w:bCs/>
                <w:u w:val="single"/>
              </w:rPr>
            </w:pPr>
            <w:r>
              <w:rPr>
                <w:rFonts w:hint="eastAsia"/>
                <w:bCs/>
                <w:u w:val="single"/>
              </w:rPr>
              <w:t>0.05</w:t>
            </w:r>
          </w:p>
        </w:tc>
        <w:tc>
          <w:tcPr>
            <w:tcW w:w="1224" w:type="dxa"/>
            <w:vAlign w:val="center"/>
          </w:tcPr>
          <w:p w14:paraId="42EB49FA">
            <w:pPr>
              <w:pStyle w:val="62"/>
              <w:rPr>
                <w:bCs/>
                <w:u w:val="single"/>
              </w:rPr>
            </w:pPr>
            <w:r>
              <w:rPr>
                <w:rFonts w:hint="eastAsia"/>
                <w:bCs/>
                <w:u w:val="single"/>
              </w:rPr>
              <w:t>6.21E-05</w:t>
            </w:r>
          </w:p>
        </w:tc>
        <w:tc>
          <w:tcPr>
            <w:tcW w:w="850" w:type="dxa"/>
            <w:vAlign w:val="center"/>
          </w:tcPr>
          <w:p w14:paraId="05857FE9">
            <w:pPr>
              <w:pStyle w:val="62"/>
              <w:rPr>
                <w:bCs/>
                <w:u w:val="single"/>
              </w:rPr>
            </w:pPr>
            <w:r>
              <w:rPr>
                <w:rFonts w:hint="eastAsia"/>
                <w:bCs/>
                <w:u w:val="single"/>
              </w:rPr>
              <w:t>0.02</w:t>
            </w:r>
          </w:p>
        </w:tc>
        <w:tc>
          <w:tcPr>
            <w:tcW w:w="1134" w:type="dxa"/>
            <w:vAlign w:val="center"/>
          </w:tcPr>
          <w:p w14:paraId="75FE8292">
            <w:pPr>
              <w:pStyle w:val="62"/>
              <w:rPr>
                <w:bCs/>
              </w:rPr>
            </w:pPr>
            <w:r>
              <w:rPr>
                <w:bCs/>
              </w:rPr>
              <w:t>1100</w:t>
            </w:r>
          </w:p>
        </w:tc>
        <w:tc>
          <w:tcPr>
            <w:tcW w:w="1134" w:type="dxa"/>
            <w:vAlign w:val="center"/>
          </w:tcPr>
          <w:p w14:paraId="75219F98">
            <w:pPr>
              <w:pStyle w:val="62"/>
              <w:rPr>
                <w:bCs/>
              </w:rPr>
            </w:pPr>
            <w:r>
              <w:rPr>
                <w:rFonts w:hint="eastAsia"/>
                <w:bCs/>
              </w:rPr>
              <w:t>4.19E-04</w:t>
            </w:r>
          </w:p>
        </w:tc>
        <w:tc>
          <w:tcPr>
            <w:tcW w:w="931" w:type="dxa"/>
            <w:vAlign w:val="center"/>
          </w:tcPr>
          <w:p w14:paraId="795C79E7">
            <w:pPr>
              <w:pStyle w:val="62"/>
              <w:rPr>
                <w:bCs/>
              </w:rPr>
            </w:pPr>
            <w:r>
              <w:rPr>
                <w:rFonts w:hint="eastAsia"/>
                <w:bCs/>
              </w:rPr>
              <w:t>0.09</w:t>
            </w:r>
          </w:p>
        </w:tc>
      </w:tr>
      <w:tr w14:paraId="25BFE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21119323">
            <w:pPr>
              <w:pStyle w:val="62"/>
              <w:rPr>
                <w:bCs/>
                <w:u w:val="single"/>
              </w:rPr>
            </w:pPr>
            <w:r>
              <w:rPr>
                <w:bCs/>
                <w:u w:val="single"/>
              </w:rPr>
              <w:t>1200</w:t>
            </w:r>
          </w:p>
        </w:tc>
        <w:tc>
          <w:tcPr>
            <w:tcW w:w="1136" w:type="dxa"/>
            <w:vAlign w:val="center"/>
          </w:tcPr>
          <w:p w14:paraId="3A465B84">
            <w:pPr>
              <w:pStyle w:val="62"/>
              <w:rPr>
                <w:bCs/>
                <w:u w:val="single"/>
              </w:rPr>
            </w:pPr>
            <w:r>
              <w:rPr>
                <w:rFonts w:hint="eastAsia"/>
                <w:bCs/>
                <w:u w:val="single"/>
              </w:rPr>
              <w:t>9.01E-04</w:t>
            </w:r>
          </w:p>
        </w:tc>
        <w:tc>
          <w:tcPr>
            <w:tcW w:w="900" w:type="dxa"/>
            <w:vAlign w:val="center"/>
          </w:tcPr>
          <w:p w14:paraId="38319A77">
            <w:pPr>
              <w:pStyle w:val="62"/>
              <w:rPr>
                <w:bCs/>
                <w:u w:val="single"/>
              </w:rPr>
            </w:pPr>
            <w:r>
              <w:rPr>
                <w:rFonts w:hint="eastAsia"/>
                <w:bCs/>
                <w:u w:val="single"/>
              </w:rPr>
              <w:t>0.05</w:t>
            </w:r>
          </w:p>
        </w:tc>
        <w:tc>
          <w:tcPr>
            <w:tcW w:w="1224" w:type="dxa"/>
            <w:vAlign w:val="center"/>
          </w:tcPr>
          <w:p w14:paraId="1055C9C4">
            <w:pPr>
              <w:pStyle w:val="62"/>
              <w:rPr>
                <w:bCs/>
                <w:u w:val="single"/>
              </w:rPr>
            </w:pPr>
            <w:r>
              <w:rPr>
                <w:rFonts w:hint="eastAsia"/>
                <w:bCs/>
                <w:u w:val="single"/>
              </w:rPr>
              <w:t>5.96E-05</w:t>
            </w:r>
          </w:p>
        </w:tc>
        <w:tc>
          <w:tcPr>
            <w:tcW w:w="850" w:type="dxa"/>
            <w:vAlign w:val="center"/>
          </w:tcPr>
          <w:p w14:paraId="156552A5">
            <w:pPr>
              <w:pStyle w:val="62"/>
              <w:rPr>
                <w:bCs/>
                <w:u w:val="single"/>
              </w:rPr>
            </w:pPr>
            <w:r>
              <w:rPr>
                <w:rFonts w:hint="eastAsia"/>
                <w:bCs/>
                <w:u w:val="single"/>
              </w:rPr>
              <w:t>0.02</w:t>
            </w:r>
          </w:p>
        </w:tc>
        <w:tc>
          <w:tcPr>
            <w:tcW w:w="1134" w:type="dxa"/>
            <w:vAlign w:val="center"/>
          </w:tcPr>
          <w:p w14:paraId="6F1E1906">
            <w:pPr>
              <w:pStyle w:val="62"/>
              <w:rPr>
                <w:bCs/>
              </w:rPr>
            </w:pPr>
            <w:r>
              <w:rPr>
                <w:bCs/>
              </w:rPr>
              <w:t>1200</w:t>
            </w:r>
          </w:p>
        </w:tc>
        <w:tc>
          <w:tcPr>
            <w:tcW w:w="1134" w:type="dxa"/>
            <w:vAlign w:val="center"/>
          </w:tcPr>
          <w:p w14:paraId="4D3FF0DF">
            <w:pPr>
              <w:pStyle w:val="62"/>
              <w:rPr>
                <w:bCs/>
              </w:rPr>
            </w:pPr>
            <w:r>
              <w:rPr>
                <w:rFonts w:hint="eastAsia"/>
                <w:bCs/>
              </w:rPr>
              <w:t>4.04E-04</w:t>
            </w:r>
          </w:p>
        </w:tc>
        <w:tc>
          <w:tcPr>
            <w:tcW w:w="931" w:type="dxa"/>
            <w:vAlign w:val="center"/>
          </w:tcPr>
          <w:p w14:paraId="027B3A22">
            <w:pPr>
              <w:pStyle w:val="62"/>
              <w:rPr>
                <w:bCs/>
              </w:rPr>
            </w:pPr>
            <w:r>
              <w:rPr>
                <w:rFonts w:hint="eastAsia"/>
                <w:bCs/>
              </w:rPr>
              <w:t>0.09</w:t>
            </w:r>
          </w:p>
        </w:tc>
      </w:tr>
      <w:tr w14:paraId="45772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4EAC9D78">
            <w:pPr>
              <w:pStyle w:val="62"/>
              <w:rPr>
                <w:bCs/>
                <w:u w:val="single"/>
              </w:rPr>
            </w:pPr>
            <w:r>
              <w:rPr>
                <w:bCs/>
                <w:u w:val="single"/>
              </w:rPr>
              <w:t>1300</w:t>
            </w:r>
          </w:p>
        </w:tc>
        <w:tc>
          <w:tcPr>
            <w:tcW w:w="1136" w:type="dxa"/>
            <w:vAlign w:val="center"/>
          </w:tcPr>
          <w:p w14:paraId="4F21D2D1">
            <w:pPr>
              <w:pStyle w:val="62"/>
              <w:rPr>
                <w:bCs/>
                <w:u w:val="single"/>
              </w:rPr>
            </w:pPr>
            <w:r>
              <w:rPr>
                <w:rFonts w:hint="eastAsia"/>
                <w:bCs/>
                <w:u w:val="single"/>
              </w:rPr>
              <w:t>8.68E-04</w:t>
            </w:r>
          </w:p>
        </w:tc>
        <w:tc>
          <w:tcPr>
            <w:tcW w:w="900" w:type="dxa"/>
            <w:vAlign w:val="center"/>
          </w:tcPr>
          <w:p w14:paraId="5FA18E0A">
            <w:pPr>
              <w:pStyle w:val="62"/>
              <w:rPr>
                <w:bCs/>
                <w:u w:val="single"/>
              </w:rPr>
            </w:pPr>
            <w:r>
              <w:rPr>
                <w:rFonts w:hint="eastAsia"/>
                <w:bCs/>
                <w:u w:val="single"/>
              </w:rPr>
              <w:t>0.04</w:t>
            </w:r>
          </w:p>
        </w:tc>
        <w:tc>
          <w:tcPr>
            <w:tcW w:w="1224" w:type="dxa"/>
            <w:vAlign w:val="center"/>
          </w:tcPr>
          <w:p w14:paraId="34AC80CD">
            <w:pPr>
              <w:pStyle w:val="62"/>
              <w:rPr>
                <w:bCs/>
                <w:u w:val="single"/>
              </w:rPr>
            </w:pPr>
            <w:r>
              <w:rPr>
                <w:rFonts w:hint="eastAsia"/>
                <w:bCs/>
                <w:u w:val="single"/>
              </w:rPr>
              <w:t>5.75E-05</w:t>
            </w:r>
          </w:p>
        </w:tc>
        <w:tc>
          <w:tcPr>
            <w:tcW w:w="850" w:type="dxa"/>
            <w:vAlign w:val="center"/>
          </w:tcPr>
          <w:p w14:paraId="74345217">
            <w:pPr>
              <w:pStyle w:val="62"/>
              <w:rPr>
                <w:bCs/>
                <w:u w:val="single"/>
              </w:rPr>
            </w:pPr>
            <w:r>
              <w:rPr>
                <w:rFonts w:hint="eastAsia"/>
                <w:bCs/>
                <w:u w:val="single"/>
              </w:rPr>
              <w:t>0.02</w:t>
            </w:r>
          </w:p>
        </w:tc>
        <w:tc>
          <w:tcPr>
            <w:tcW w:w="1134" w:type="dxa"/>
            <w:vAlign w:val="center"/>
          </w:tcPr>
          <w:p w14:paraId="2B25E497">
            <w:pPr>
              <w:pStyle w:val="62"/>
              <w:rPr>
                <w:bCs/>
              </w:rPr>
            </w:pPr>
            <w:r>
              <w:rPr>
                <w:bCs/>
              </w:rPr>
              <w:t>1300</w:t>
            </w:r>
          </w:p>
        </w:tc>
        <w:tc>
          <w:tcPr>
            <w:tcW w:w="1134" w:type="dxa"/>
            <w:vAlign w:val="center"/>
          </w:tcPr>
          <w:p w14:paraId="3491D308">
            <w:pPr>
              <w:pStyle w:val="62"/>
              <w:rPr>
                <w:bCs/>
              </w:rPr>
            </w:pPr>
            <w:r>
              <w:rPr>
                <w:rFonts w:hint="eastAsia"/>
                <w:bCs/>
              </w:rPr>
              <w:t>3.87E-04</w:t>
            </w:r>
          </w:p>
        </w:tc>
        <w:tc>
          <w:tcPr>
            <w:tcW w:w="931" w:type="dxa"/>
            <w:vAlign w:val="center"/>
          </w:tcPr>
          <w:p w14:paraId="6375D662">
            <w:pPr>
              <w:pStyle w:val="62"/>
              <w:rPr>
                <w:bCs/>
              </w:rPr>
            </w:pPr>
            <w:r>
              <w:rPr>
                <w:rFonts w:hint="eastAsia"/>
                <w:bCs/>
              </w:rPr>
              <w:t>0.09</w:t>
            </w:r>
          </w:p>
        </w:tc>
      </w:tr>
      <w:tr w14:paraId="267BF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0797E346">
            <w:pPr>
              <w:pStyle w:val="62"/>
              <w:rPr>
                <w:bCs/>
                <w:u w:val="single"/>
              </w:rPr>
            </w:pPr>
            <w:r>
              <w:rPr>
                <w:bCs/>
                <w:u w:val="single"/>
              </w:rPr>
              <w:t>1400</w:t>
            </w:r>
          </w:p>
        </w:tc>
        <w:tc>
          <w:tcPr>
            <w:tcW w:w="1136" w:type="dxa"/>
            <w:vAlign w:val="center"/>
          </w:tcPr>
          <w:p w14:paraId="68F69924">
            <w:pPr>
              <w:pStyle w:val="62"/>
              <w:rPr>
                <w:bCs/>
                <w:u w:val="single"/>
              </w:rPr>
            </w:pPr>
            <w:r>
              <w:rPr>
                <w:rFonts w:hint="eastAsia"/>
                <w:bCs/>
                <w:u w:val="single"/>
              </w:rPr>
              <w:t>8.35E-04</w:t>
            </w:r>
          </w:p>
        </w:tc>
        <w:tc>
          <w:tcPr>
            <w:tcW w:w="900" w:type="dxa"/>
            <w:vAlign w:val="center"/>
          </w:tcPr>
          <w:p w14:paraId="575DFA6E">
            <w:pPr>
              <w:pStyle w:val="62"/>
              <w:rPr>
                <w:bCs/>
                <w:u w:val="single"/>
              </w:rPr>
            </w:pPr>
            <w:r>
              <w:rPr>
                <w:rFonts w:hint="eastAsia"/>
                <w:bCs/>
                <w:u w:val="single"/>
              </w:rPr>
              <w:t>0.04</w:t>
            </w:r>
          </w:p>
        </w:tc>
        <w:tc>
          <w:tcPr>
            <w:tcW w:w="1224" w:type="dxa"/>
            <w:vAlign w:val="center"/>
          </w:tcPr>
          <w:p w14:paraId="739C1C7F">
            <w:pPr>
              <w:pStyle w:val="62"/>
              <w:rPr>
                <w:bCs/>
                <w:u w:val="single"/>
              </w:rPr>
            </w:pPr>
            <w:r>
              <w:rPr>
                <w:rFonts w:hint="eastAsia"/>
                <w:bCs/>
                <w:u w:val="single"/>
              </w:rPr>
              <w:t>5.52E-05</w:t>
            </w:r>
          </w:p>
        </w:tc>
        <w:tc>
          <w:tcPr>
            <w:tcW w:w="850" w:type="dxa"/>
            <w:vAlign w:val="center"/>
          </w:tcPr>
          <w:p w14:paraId="7F9FAE3C">
            <w:pPr>
              <w:pStyle w:val="62"/>
              <w:rPr>
                <w:bCs/>
                <w:u w:val="single"/>
              </w:rPr>
            </w:pPr>
            <w:r>
              <w:rPr>
                <w:rFonts w:hint="eastAsia"/>
                <w:bCs/>
                <w:u w:val="single"/>
              </w:rPr>
              <w:t>0.02</w:t>
            </w:r>
          </w:p>
        </w:tc>
        <w:tc>
          <w:tcPr>
            <w:tcW w:w="1134" w:type="dxa"/>
            <w:vAlign w:val="center"/>
          </w:tcPr>
          <w:p w14:paraId="4AA7FA46">
            <w:pPr>
              <w:pStyle w:val="62"/>
              <w:rPr>
                <w:bCs/>
              </w:rPr>
            </w:pPr>
            <w:r>
              <w:rPr>
                <w:bCs/>
              </w:rPr>
              <w:t>1400</w:t>
            </w:r>
          </w:p>
        </w:tc>
        <w:tc>
          <w:tcPr>
            <w:tcW w:w="1134" w:type="dxa"/>
            <w:vAlign w:val="center"/>
          </w:tcPr>
          <w:p w14:paraId="57E848DF">
            <w:pPr>
              <w:pStyle w:val="62"/>
              <w:rPr>
                <w:bCs/>
              </w:rPr>
            </w:pPr>
            <w:r>
              <w:rPr>
                <w:rFonts w:hint="eastAsia"/>
                <w:bCs/>
              </w:rPr>
              <w:t>3.70E-04</w:t>
            </w:r>
          </w:p>
        </w:tc>
        <w:tc>
          <w:tcPr>
            <w:tcW w:w="931" w:type="dxa"/>
            <w:vAlign w:val="center"/>
          </w:tcPr>
          <w:p w14:paraId="533F8490">
            <w:pPr>
              <w:pStyle w:val="62"/>
              <w:rPr>
                <w:bCs/>
              </w:rPr>
            </w:pPr>
            <w:r>
              <w:rPr>
                <w:rFonts w:hint="eastAsia"/>
                <w:bCs/>
              </w:rPr>
              <w:t>0.08</w:t>
            </w:r>
          </w:p>
        </w:tc>
      </w:tr>
      <w:tr w14:paraId="6A71A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7E024A37">
            <w:pPr>
              <w:pStyle w:val="62"/>
              <w:rPr>
                <w:bCs/>
                <w:u w:val="single"/>
              </w:rPr>
            </w:pPr>
            <w:r>
              <w:rPr>
                <w:bCs/>
                <w:u w:val="single"/>
              </w:rPr>
              <w:t>1500</w:t>
            </w:r>
          </w:p>
        </w:tc>
        <w:tc>
          <w:tcPr>
            <w:tcW w:w="1136" w:type="dxa"/>
            <w:vAlign w:val="center"/>
          </w:tcPr>
          <w:p w14:paraId="38E60F79">
            <w:pPr>
              <w:pStyle w:val="62"/>
              <w:rPr>
                <w:bCs/>
                <w:u w:val="single"/>
              </w:rPr>
            </w:pPr>
            <w:r>
              <w:rPr>
                <w:rFonts w:hint="eastAsia"/>
                <w:bCs/>
                <w:u w:val="single"/>
              </w:rPr>
              <w:t>8.01E-04</w:t>
            </w:r>
          </w:p>
        </w:tc>
        <w:tc>
          <w:tcPr>
            <w:tcW w:w="900" w:type="dxa"/>
            <w:vAlign w:val="center"/>
          </w:tcPr>
          <w:p w14:paraId="6CEC7995">
            <w:pPr>
              <w:pStyle w:val="62"/>
              <w:rPr>
                <w:bCs/>
                <w:u w:val="single"/>
              </w:rPr>
            </w:pPr>
            <w:r>
              <w:rPr>
                <w:rFonts w:hint="eastAsia"/>
                <w:bCs/>
                <w:u w:val="single"/>
              </w:rPr>
              <w:t>0.04</w:t>
            </w:r>
          </w:p>
        </w:tc>
        <w:tc>
          <w:tcPr>
            <w:tcW w:w="1224" w:type="dxa"/>
            <w:vAlign w:val="center"/>
          </w:tcPr>
          <w:p w14:paraId="702A92F7">
            <w:pPr>
              <w:pStyle w:val="62"/>
              <w:rPr>
                <w:bCs/>
                <w:u w:val="single"/>
              </w:rPr>
            </w:pPr>
            <w:r>
              <w:rPr>
                <w:rFonts w:hint="eastAsia"/>
                <w:bCs/>
                <w:u w:val="single"/>
              </w:rPr>
              <w:t>5.30E-05</w:t>
            </w:r>
          </w:p>
        </w:tc>
        <w:tc>
          <w:tcPr>
            <w:tcW w:w="850" w:type="dxa"/>
            <w:vAlign w:val="center"/>
          </w:tcPr>
          <w:p w14:paraId="2F20279B">
            <w:pPr>
              <w:pStyle w:val="62"/>
              <w:rPr>
                <w:bCs/>
                <w:u w:val="single"/>
              </w:rPr>
            </w:pPr>
            <w:r>
              <w:rPr>
                <w:rFonts w:hint="eastAsia"/>
                <w:bCs/>
                <w:u w:val="single"/>
              </w:rPr>
              <w:t>0.02</w:t>
            </w:r>
          </w:p>
        </w:tc>
        <w:tc>
          <w:tcPr>
            <w:tcW w:w="1134" w:type="dxa"/>
            <w:vAlign w:val="center"/>
          </w:tcPr>
          <w:p w14:paraId="3928AC4F">
            <w:pPr>
              <w:pStyle w:val="62"/>
              <w:rPr>
                <w:bCs/>
              </w:rPr>
            </w:pPr>
            <w:r>
              <w:rPr>
                <w:bCs/>
              </w:rPr>
              <w:t>1500</w:t>
            </w:r>
          </w:p>
        </w:tc>
        <w:tc>
          <w:tcPr>
            <w:tcW w:w="1134" w:type="dxa"/>
            <w:vAlign w:val="center"/>
          </w:tcPr>
          <w:p w14:paraId="06AF3F76">
            <w:pPr>
              <w:pStyle w:val="62"/>
              <w:rPr>
                <w:bCs/>
              </w:rPr>
            </w:pPr>
            <w:r>
              <w:rPr>
                <w:rFonts w:hint="eastAsia"/>
                <w:bCs/>
              </w:rPr>
              <w:t>3.54E-04</w:t>
            </w:r>
          </w:p>
        </w:tc>
        <w:tc>
          <w:tcPr>
            <w:tcW w:w="931" w:type="dxa"/>
            <w:vAlign w:val="center"/>
          </w:tcPr>
          <w:p w14:paraId="068A032D">
            <w:pPr>
              <w:pStyle w:val="62"/>
              <w:rPr>
                <w:bCs/>
              </w:rPr>
            </w:pPr>
            <w:r>
              <w:rPr>
                <w:rFonts w:hint="eastAsia"/>
                <w:bCs/>
              </w:rPr>
              <w:t>0.08</w:t>
            </w:r>
          </w:p>
        </w:tc>
      </w:tr>
      <w:tr w14:paraId="48DFEC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2474D02A">
            <w:pPr>
              <w:pStyle w:val="62"/>
              <w:rPr>
                <w:bCs/>
                <w:u w:val="single"/>
              </w:rPr>
            </w:pPr>
            <w:r>
              <w:rPr>
                <w:bCs/>
                <w:u w:val="single"/>
              </w:rPr>
              <w:t>1600</w:t>
            </w:r>
          </w:p>
        </w:tc>
        <w:tc>
          <w:tcPr>
            <w:tcW w:w="1136" w:type="dxa"/>
            <w:vAlign w:val="center"/>
          </w:tcPr>
          <w:p w14:paraId="30629ACC">
            <w:pPr>
              <w:pStyle w:val="62"/>
              <w:rPr>
                <w:bCs/>
                <w:u w:val="single"/>
              </w:rPr>
            </w:pPr>
            <w:r>
              <w:rPr>
                <w:rFonts w:hint="eastAsia"/>
                <w:bCs/>
                <w:u w:val="single"/>
              </w:rPr>
              <w:t>7.68E-04</w:t>
            </w:r>
          </w:p>
        </w:tc>
        <w:tc>
          <w:tcPr>
            <w:tcW w:w="900" w:type="dxa"/>
            <w:vAlign w:val="center"/>
          </w:tcPr>
          <w:p w14:paraId="51D95F26">
            <w:pPr>
              <w:pStyle w:val="62"/>
              <w:rPr>
                <w:bCs/>
                <w:u w:val="single"/>
              </w:rPr>
            </w:pPr>
            <w:r>
              <w:rPr>
                <w:rFonts w:hint="eastAsia"/>
                <w:bCs/>
                <w:u w:val="single"/>
              </w:rPr>
              <w:t>0.04</w:t>
            </w:r>
          </w:p>
        </w:tc>
        <w:tc>
          <w:tcPr>
            <w:tcW w:w="1224" w:type="dxa"/>
            <w:vAlign w:val="center"/>
          </w:tcPr>
          <w:p w14:paraId="3FA007D9">
            <w:pPr>
              <w:pStyle w:val="62"/>
              <w:rPr>
                <w:bCs/>
                <w:u w:val="single"/>
              </w:rPr>
            </w:pPr>
            <w:r>
              <w:rPr>
                <w:rFonts w:hint="eastAsia"/>
                <w:bCs/>
                <w:u w:val="single"/>
              </w:rPr>
              <w:t>5.08E-05</w:t>
            </w:r>
          </w:p>
        </w:tc>
        <w:tc>
          <w:tcPr>
            <w:tcW w:w="850" w:type="dxa"/>
            <w:vAlign w:val="center"/>
          </w:tcPr>
          <w:p w14:paraId="266EB774">
            <w:pPr>
              <w:pStyle w:val="62"/>
              <w:rPr>
                <w:bCs/>
                <w:u w:val="single"/>
              </w:rPr>
            </w:pPr>
            <w:r>
              <w:rPr>
                <w:rFonts w:hint="eastAsia"/>
                <w:bCs/>
                <w:u w:val="single"/>
              </w:rPr>
              <w:t>0.02</w:t>
            </w:r>
          </w:p>
        </w:tc>
        <w:tc>
          <w:tcPr>
            <w:tcW w:w="1134" w:type="dxa"/>
            <w:vAlign w:val="center"/>
          </w:tcPr>
          <w:p w14:paraId="2CD2AB12">
            <w:pPr>
              <w:pStyle w:val="62"/>
              <w:rPr>
                <w:bCs/>
              </w:rPr>
            </w:pPr>
            <w:r>
              <w:rPr>
                <w:bCs/>
              </w:rPr>
              <w:t>1600</w:t>
            </w:r>
          </w:p>
        </w:tc>
        <w:tc>
          <w:tcPr>
            <w:tcW w:w="1134" w:type="dxa"/>
            <w:vAlign w:val="center"/>
          </w:tcPr>
          <w:p w14:paraId="484C516A">
            <w:pPr>
              <w:pStyle w:val="62"/>
              <w:rPr>
                <w:bCs/>
              </w:rPr>
            </w:pPr>
            <w:r>
              <w:rPr>
                <w:rFonts w:hint="eastAsia"/>
                <w:bCs/>
              </w:rPr>
              <w:t>3.38E-04</w:t>
            </w:r>
          </w:p>
        </w:tc>
        <w:tc>
          <w:tcPr>
            <w:tcW w:w="931" w:type="dxa"/>
            <w:vAlign w:val="center"/>
          </w:tcPr>
          <w:p w14:paraId="78A41ECC">
            <w:pPr>
              <w:pStyle w:val="62"/>
              <w:rPr>
                <w:bCs/>
              </w:rPr>
            </w:pPr>
            <w:r>
              <w:rPr>
                <w:rFonts w:hint="eastAsia"/>
                <w:bCs/>
              </w:rPr>
              <w:t>0.08</w:t>
            </w:r>
          </w:p>
        </w:tc>
      </w:tr>
      <w:tr w14:paraId="0D774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51843CFD">
            <w:pPr>
              <w:pStyle w:val="62"/>
              <w:rPr>
                <w:bCs/>
                <w:u w:val="single"/>
              </w:rPr>
            </w:pPr>
            <w:r>
              <w:rPr>
                <w:bCs/>
                <w:u w:val="single"/>
              </w:rPr>
              <w:t>1700</w:t>
            </w:r>
          </w:p>
        </w:tc>
        <w:tc>
          <w:tcPr>
            <w:tcW w:w="1136" w:type="dxa"/>
            <w:vAlign w:val="center"/>
          </w:tcPr>
          <w:p w14:paraId="59249179">
            <w:pPr>
              <w:pStyle w:val="62"/>
              <w:rPr>
                <w:bCs/>
                <w:u w:val="single"/>
              </w:rPr>
            </w:pPr>
            <w:r>
              <w:rPr>
                <w:rFonts w:hint="eastAsia"/>
                <w:bCs/>
                <w:u w:val="single"/>
              </w:rPr>
              <w:t>7.36E-04</w:t>
            </w:r>
          </w:p>
        </w:tc>
        <w:tc>
          <w:tcPr>
            <w:tcW w:w="900" w:type="dxa"/>
            <w:vAlign w:val="center"/>
          </w:tcPr>
          <w:p w14:paraId="6AEDA772">
            <w:pPr>
              <w:pStyle w:val="62"/>
              <w:rPr>
                <w:bCs/>
                <w:u w:val="single"/>
              </w:rPr>
            </w:pPr>
            <w:r>
              <w:rPr>
                <w:rFonts w:hint="eastAsia"/>
                <w:bCs/>
                <w:u w:val="single"/>
              </w:rPr>
              <w:t>0.04</w:t>
            </w:r>
          </w:p>
        </w:tc>
        <w:tc>
          <w:tcPr>
            <w:tcW w:w="1224" w:type="dxa"/>
            <w:vAlign w:val="center"/>
          </w:tcPr>
          <w:p w14:paraId="7095A8C0">
            <w:pPr>
              <w:pStyle w:val="62"/>
              <w:rPr>
                <w:bCs/>
                <w:u w:val="single"/>
              </w:rPr>
            </w:pPr>
            <w:r>
              <w:rPr>
                <w:rFonts w:hint="eastAsia"/>
                <w:bCs/>
                <w:u w:val="single"/>
              </w:rPr>
              <w:t>4.87E-05</w:t>
            </w:r>
          </w:p>
        </w:tc>
        <w:tc>
          <w:tcPr>
            <w:tcW w:w="850" w:type="dxa"/>
            <w:vAlign w:val="center"/>
          </w:tcPr>
          <w:p w14:paraId="2C1DFD49">
            <w:pPr>
              <w:pStyle w:val="62"/>
              <w:rPr>
                <w:bCs/>
                <w:u w:val="single"/>
              </w:rPr>
            </w:pPr>
            <w:r>
              <w:rPr>
                <w:rFonts w:hint="eastAsia"/>
                <w:bCs/>
                <w:u w:val="single"/>
              </w:rPr>
              <w:t>0.02</w:t>
            </w:r>
          </w:p>
        </w:tc>
        <w:tc>
          <w:tcPr>
            <w:tcW w:w="1134" w:type="dxa"/>
            <w:vAlign w:val="center"/>
          </w:tcPr>
          <w:p w14:paraId="78B76491">
            <w:pPr>
              <w:pStyle w:val="62"/>
              <w:rPr>
                <w:bCs/>
              </w:rPr>
            </w:pPr>
            <w:r>
              <w:rPr>
                <w:bCs/>
              </w:rPr>
              <w:t>1700</w:t>
            </w:r>
          </w:p>
        </w:tc>
        <w:tc>
          <w:tcPr>
            <w:tcW w:w="1134" w:type="dxa"/>
            <w:vAlign w:val="center"/>
          </w:tcPr>
          <w:p w14:paraId="5301159E">
            <w:pPr>
              <w:pStyle w:val="62"/>
              <w:rPr>
                <w:bCs/>
              </w:rPr>
            </w:pPr>
            <w:r>
              <w:rPr>
                <w:rFonts w:hint="eastAsia"/>
                <w:bCs/>
              </w:rPr>
              <w:t>3.23E-04</w:t>
            </w:r>
          </w:p>
        </w:tc>
        <w:tc>
          <w:tcPr>
            <w:tcW w:w="931" w:type="dxa"/>
            <w:vAlign w:val="center"/>
          </w:tcPr>
          <w:p w14:paraId="15C0D9BF">
            <w:pPr>
              <w:pStyle w:val="62"/>
              <w:rPr>
                <w:bCs/>
              </w:rPr>
            </w:pPr>
            <w:r>
              <w:rPr>
                <w:rFonts w:hint="eastAsia"/>
                <w:bCs/>
              </w:rPr>
              <w:t>0.07</w:t>
            </w:r>
          </w:p>
        </w:tc>
      </w:tr>
      <w:tr w14:paraId="517F0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33760CC1">
            <w:pPr>
              <w:pStyle w:val="62"/>
              <w:rPr>
                <w:bCs/>
                <w:u w:val="single"/>
              </w:rPr>
            </w:pPr>
            <w:r>
              <w:rPr>
                <w:bCs/>
                <w:u w:val="single"/>
              </w:rPr>
              <w:t>1800</w:t>
            </w:r>
          </w:p>
        </w:tc>
        <w:tc>
          <w:tcPr>
            <w:tcW w:w="1136" w:type="dxa"/>
            <w:vAlign w:val="center"/>
          </w:tcPr>
          <w:p w14:paraId="52D4154A">
            <w:pPr>
              <w:pStyle w:val="62"/>
              <w:rPr>
                <w:bCs/>
                <w:u w:val="single"/>
              </w:rPr>
            </w:pPr>
            <w:r>
              <w:rPr>
                <w:rFonts w:hint="eastAsia"/>
                <w:bCs/>
                <w:u w:val="single"/>
              </w:rPr>
              <w:t>7.05E-04</w:t>
            </w:r>
          </w:p>
        </w:tc>
        <w:tc>
          <w:tcPr>
            <w:tcW w:w="900" w:type="dxa"/>
            <w:vAlign w:val="center"/>
          </w:tcPr>
          <w:p w14:paraId="2D41952C">
            <w:pPr>
              <w:pStyle w:val="62"/>
              <w:rPr>
                <w:bCs/>
                <w:u w:val="single"/>
              </w:rPr>
            </w:pPr>
            <w:r>
              <w:rPr>
                <w:rFonts w:hint="eastAsia"/>
                <w:bCs/>
                <w:u w:val="single"/>
              </w:rPr>
              <w:t>0.04</w:t>
            </w:r>
          </w:p>
        </w:tc>
        <w:tc>
          <w:tcPr>
            <w:tcW w:w="1224" w:type="dxa"/>
            <w:vAlign w:val="center"/>
          </w:tcPr>
          <w:p w14:paraId="0064C17E">
            <w:pPr>
              <w:pStyle w:val="62"/>
              <w:rPr>
                <w:bCs/>
                <w:u w:val="single"/>
              </w:rPr>
            </w:pPr>
            <w:r>
              <w:rPr>
                <w:rFonts w:hint="eastAsia"/>
                <w:bCs/>
                <w:u w:val="single"/>
              </w:rPr>
              <w:t>4.67E-05</w:t>
            </w:r>
          </w:p>
        </w:tc>
        <w:tc>
          <w:tcPr>
            <w:tcW w:w="850" w:type="dxa"/>
            <w:vAlign w:val="center"/>
          </w:tcPr>
          <w:p w14:paraId="5B58764B">
            <w:pPr>
              <w:pStyle w:val="62"/>
              <w:rPr>
                <w:bCs/>
                <w:u w:val="single"/>
              </w:rPr>
            </w:pPr>
            <w:r>
              <w:rPr>
                <w:rFonts w:hint="eastAsia"/>
                <w:bCs/>
                <w:u w:val="single"/>
              </w:rPr>
              <w:t>0.02</w:t>
            </w:r>
          </w:p>
        </w:tc>
        <w:tc>
          <w:tcPr>
            <w:tcW w:w="1134" w:type="dxa"/>
            <w:vAlign w:val="center"/>
          </w:tcPr>
          <w:p w14:paraId="50DAE054">
            <w:pPr>
              <w:pStyle w:val="62"/>
              <w:rPr>
                <w:bCs/>
              </w:rPr>
            </w:pPr>
            <w:r>
              <w:rPr>
                <w:bCs/>
              </w:rPr>
              <w:t>1800</w:t>
            </w:r>
          </w:p>
        </w:tc>
        <w:tc>
          <w:tcPr>
            <w:tcW w:w="1134" w:type="dxa"/>
            <w:vAlign w:val="center"/>
          </w:tcPr>
          <w:p w14:paraId="68E99153">
            <w:pPr>
              <w:pStyle w:val="62"/>
              <w:rPr>
                <w:bCs/>
              </w:rPr>
            </w:pPr>
            <w:r>
              <w:rPr>
                <w:rFonts w:hint="eastAsia"/>
                <w:bCs/>
              </w:rPr>
              <w:t>3.08E-04</w:t>
            </w:r>
          </w:p>
        </w:tc>
        <w:tc>
          <w:tcPr>
            <w:tcW w:w="931" w:type="dxa"/>
            <w:vAlign w:val="center"/>
          </w:tcPr>
          <w:p w14:paraId="4D01326C">
            <w:pPr>
              <w:pStyle w:val="62"/>
              <w:rPr>
                <w:bCs/>
              </w:rPr>
            </w:pPr>
            <w:r>
              <w:rPr>
                <w:rFonts w:hint="eastAsia"/>
                <w:bCs/>
              </w:rPr>
              <w:t>0.07</w:t>
            </w:r>
          </w:p>
        </w:tc>
      </w:tr>
      <w:tr w14:paraId="64EFE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110468DC">
            <w:pPr>
              <w:pStyle w:val="62"/>
              <w:rPr>
                <w:bCs/>
                <w:u w:val="single"/>
              </w:rPr>
            </w:pPr>
            <w:r>
              <w:rPr>
                <w:bCs/>
                <w:u w:val="single"/>
              </w:rPr>
              <w:t>1900</w:t>
            </w:r>
          </w:p>
        </w:tc>
        <w:tc>
          <w:tcPr>
            <w:tcW w:w="1136" w:type="dxa"/>
            <w:vAlign w:val="center"/>
          </w:tcPr>
          <w:p w14:paraId="71377EB6">
            <w:pPr>
              <w:pStyle w:val="62"/>
              <w:rPr>
                <w:bCs/>
                <w:u w:val="single"/>
              </w:rPr>
            </w:pPr>
            <w:r>
              <w:rPr>
                <w:rFonts w:hint="eastAsia"/>
                <w:bCs/>
                <w:u w:val="single"/>
              </w:rPr>
              <w:t>6.76E-04</w:t>
            </w:r>
          </w:p>
        </w:tc>
        <w:tc>
          <w:tcPr>
            <w:tcW w:w="900" w:type="dxa"/>
            <w:vAlign w:val="center"/>
          </w:tcPr>
          <w:p w14:paraId="7904EE32">
            <w:pPr>
              <w:pStyle w:val="62"/>
              <w:rPr>
                <w:bCs/>
                <w:u w:val="single"/>
              </w:rPr>
            </w:pPr>
            <w:r>
              <w:rPr>
                <w:rFonts w:hint="eastAsia"/>
                <w:bCs/>
                <w:u w:val="single"/>
              </w:rPr>
              <w:t>0.03</w:t>
            </w:r>
          </w:p>
        </w:tc>
        <w:tc>
          <w:tcPr>
            <w:tcW w:w="1224" w:type="dxa"/>
            <w:vAlign w:val="center"/>
          </w:tcPr>
          <w:p w14:paraId="18F1DF97">
            <w:pPr>
              <w:pStyle w:val="62"/>
              <w:rPr>
                <w:bCs/>
                <w:u w:val="single"/>
              </w:rPr>
            </w:pPr>
            <w:r>
              <w:rPr>
                <w:rFonts w:hint="eastAsia"/>
                <w:bCs/>
                <w:u w:val="single"/>
              </w:rPr>
              <w:t>4.47E-05</w:t>
            </w:r>
          </w:p>
        </w:tc>
        <w:tc>
          <w:tcPr>
            <w:tcW w:w="850" w:type="dxa"/>
            <w:vAlign w:val="center"/>
          </w:tcPr>
          <w:p w14:paraId="60008734">
            <w:pPr>
              <w:pStyle w:val="62"/>
              <w:rPr>
                <w:bCs/>
                <w:u w:val="single"/>
              </w:rPr>
            </w:pPr>
            <w:r>
              <w:rPr>
                <w:rFonts w:hint="eastAsia"/>
                <w:bCs/>
                <w:u w:val="single"/>
              </w:rPr>
              <w:t>0.01</w:t>
            </w:r>
          </w:p>
        </w:tc>
        <w:tc>
          <w:tcPr>
            <w:tcW w:w="1134" w:type="dxa"/>
            <w:vAlign w:val="center"/>
          </w:tcPr>
          <w:p w14:paraId="54FB6008">
            <w:pPr>
              <w:pStyle w:val="62"/>
              <w:rPr>
                <w:bCs/>
              </w:rPr>
            </w:pPr>
            <w:r>
              <w:rPr>
                <w:bCs/>
              </w:rPr>
              <w:t>1900</w:t>
            </w:r>
          </w:p>
        </w:tc>
        <w:tc>
          <w:tcPr>
            <w:tcW w:w="1134" w:type="dxa"/>
            <w:vAlign w:val="center"/>
          </w:tcPr>
          <w:p w14:paraId="42439D6B">
            <w:pPr>
              <w:pStyle w:val="62"/>
              <w:rPr>
                <w:bCs/>
              </w:rPr>
            </w:pPr>
            <w:r>
              <w:rPr>
                <w:rFonts w:hint="eastAsia"/>
                <w:bCs/>
              </w:rPr>
              <w:t>2.95E-04</w:t>
            </w:r>
          </w:p>
        </w:tc>
        <w:tc>
          <w:tcPr>
            <w:tcW w:w="931" w:type="dxa"/>
            <w:vAlign w:val="center"/>
          </w:tcPr>
          <w:p w14:paraId="17BFBC48">
            <w:pPr>
              <w:pStyle w:val="62"/>
              <w:rPr>
                <w:bCs/>
              </w:rPr>
            </w:pPr>
            <w:r>
              <w:rPr>
                <w:rFonts w:hint="eastAsia"/>
                <w:bCs/>
              </w:rPr>
              <w:t>0.07</w:t>
            </w:r>
          </w:p>
        </w:tc>
      </w:tr>
      <w:tr w14:paraId="60318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61A8E366">
            <w:pPr>
              <w:pStyle w:val="62"/>
              <w:rPr>
                <w:bCs/>
                <w:u w:val="single"/>
              </w:rPr>
            </w:pPr>
            <w:r>
              <w:rPr>
                <w:bCs/>
                <w:u w:val="single"/>
              </w:rPr>
              <w:t>2000</w:t>
            </w:r>
          </w:p>
        </w:tc>
        <w:tc>
          <w:tcPr>
            <w:tcW w:w="1136" w:type="dxa"/>
            <w:vAlign w:val="center"/>
          </w:tcPr>
          <w:p w14:paraId="2728AC1A">
            <w:pPr>
              <w:pStyle w:val="62"/>
              <w:rPr>
                <w:bCs/>
                <w:u w:val="single"/>
              </w:rPr>
            </w:pPr>
            <w:r>
              <w:rPr>
                <w:rFonts w:hint="eastAsia"/>
                <w:bCs/>
                <w:u w:val="single"/>
              </w:rPr>
              <w:t>6.48E-04</w:t>
            </w:r>
          </w:p>
        </w:tc>
        <w:tc>
          <w:tcPr>
            <w:tcW w:w="900" w:type="dxa"/>
            <w:vAlign w:val="center"/>
          </w:tcPr>
          <w:p w14:paraId="5E5F386F">
            <w:pPr>
              <w:pStyle w:val="62"/>
              <w:rPr>
                <w:bCs/>
                <w:u w:val="single"/>
              </w:rPr>
            </w:pPr>
            <w:r>
              <w:rPr>
                <w:rFonts w:hint="eastAsia"/>
                <w:bCs/>
                <w:u w:val="single"/>
              </w:rPr>
              <w:t>0.03</w:t>
            </w:r>
          </w:p>
        </w:tc>
        <w:tc>
          <w:tcPr>
            <w:tcW w:w="1224" w:type="dxa"/>
            <w:vAlign w:val="center"/>
          </w:tcPr>
          <w:p w14:paraId="35780B4E">
            <w:pPr>
              <w:pStyle w:val="62"/>
              <w:rPr>
                <w:bCs/>
                <w:u w:val="single"/>
              </w:rPr>
            </w:pPr>
            <w:r>
              <w:rPr>
                <w:rFonts w:hint="eastAsia"/>
                <w:bCs/>
                <w:u w:val="single"/>
              </w:rPr>
              <w:t>4.29E-05</w:t>
            </w:r>
          </w:p>
        </w:tc>
        <w:tc>
          <w:tcPr>
            <w:tcW w:w="850" w:type="dxa"/>
            <w:vAlign w:val="center"/>
          </w:tcPr>
          <w:p w14:paraId="58A836F9">
            <w:pPr>
              <w:pStyle w:val="62"/>
              <w:rPr>
                <w:bCs/>
                <w:u w:val="single"/>
              </w:rPr>
            </w:pPr>
            <w:r>
              <w:rPr>
                <w:rFonts w:hint="eastAsia"/>
                <w:bCs/>
                <w:u w:val="single"/>
              </w:rPr>
              <w:t>0.01</w:t>
            </w:r>
          </w:p>
        </w:tc>
        <w:tc>
          <w:tcPr>
            <w:tcW w:w="1134" w:type="dxa"/>
            <w:vAlign w:val="center"/>
          </w:tcPr>
          <w:p w14:paraId="1CBED780">
            <w:pPr>
              <w:pStyle w:val="62"/>
              <w:rPr>
                <w:bCs/>
              </w:rPr>
            </w:pPr>
            <w:r>
              <w:rPr>
                <w:bCs/>
              </w:rPr>
              <w:t>2000</w:t>
            </w:r>
          </w:p>
        </w:tc>
        <w:tc>
          <w:tcPr>
            <w:tcW w:w="1134" w:type="dxa"/>
            <w:vAlign w:val="center"/>
          </w:tcPr>
          <w:p w14:paraId="69103867">
            <w:pPr>
              <w:pStyle w:val="62"/>
              <w:rPr>
                <w:bCs/>
              </w:rPr>
            </w:pPr>
            <w:r>
              <w:rPr>
                <w:rFonts w:hint="eastAsia"/>
                <w:bCs/>
              </w:rPr>
              <w:t>2.82E-04</w:t>
            </w:r>
          </w:p>
        </w:tc>
        <w:tc>
          <w:tcPr>
            <w:tcW w:w="931" w:type="dxa"/>
            <w:vAlign w:val="center"/>
          </w:tcPr>
          <w:p w14:paraId="4289F081">
            <w:pPr>
              <w:pStyle w:val="62"/>
              <w:rPr>
                <w:bCs/>
              </w:rPr>
            </w:pPr>
            <w:r>
              <w:rPr>
                <w:rFonts w:hint="eastAsia"/>
                <w:bCs/>
              </w:rPr>
              <w:t>0.06</w:t>
            </w:r>
          </w:p>
        </w:tc>
      </w:tr>
      <w:tr w14:paraId="3F1A0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66AE1C46">
            <w:pPr>
              <w:pStyle w:val="62"/>
              <w:rPr>
                <w:bCs/>
                <w:u w:val="single"/>
              </w:rPr>
            </w:pPr>
            <w:r>
              <w:rPr>
                <w:bCs/>
                <w:u w:val="single"/>
              </w:rPr>
              <w:t>2100</w:t>
            </w:r>
          </w:p>
        </w:tc>
        <w:tc>
          <w:tcPr>
            <w:tcW w:w="1136" w:type="dxa"/>
            <w:vAlign w:val="center"/>
          </w:tcPr>
          <w:p w14:paraId="407F8524">
            <w:pPr>
              <w:pStyle w:val="62"/>
              <w:rPr>
                <w:bCs/>
                <w:u w:val="single"/>
              </w:rPr>
            </w:pPr>
            <w:r>
              <w:rPr>
                <w:rFonts w:hint="eastAsia"/>
                <w:bCs/>
                <w:u w:val="single"/>
              </w:rPr>
              <w:t>6.22E-04</w:t>
            </w:r>
          </w:p>
        </w:tc>
        <w:tc>
          <w:tcPr>
            <w:tcW w:w="900" w:type="dxa"/>
            <w:vAlign w:val="center"/>
          </w:tcPr>
          <w:p w14:paraId="77239C81">
            <w:pPr>
              <w:pStyle w:val="62"/>
              <w:rPr>
                <w:bCs/>
                <w:u w:val="single"/>
              </w:rPr>
            </w:pPr>
            <w:r>
              <w:rPr>
                <w:rFonts w:hint="eastAsia"/>
                <w:bCs/>
                <w:u w:val="single"/>
              </w:rPr>
              <w:t>0.03</w:t>
            </w:r>
          </w:p>
        </w:tc>
        <w:tc>
          <w:tcPr>
            <w:tcW w:w="1224" w:type="dxa"/>
            <w:vAlign w:val="center"/>
          </w:tcPr>
          <w:p w14:paraId="738CB439">
            <w:pPr>
              <w:pStyle w:val="62"/>
              <w:rPr>
                <w:bCs/>
                <w:u w:val="single"/>
              </w:rPr>
            </w:pPr>
            <w:r>
              <w:rPr>
                <w:rFonts w:hint="eastAsia"/>
                <w:bCs/>
                <w:u w:val="single"/>
              </w:rPr>
              <w:t>4.12E-05</w:t>
            </w:r>
          </w:p>
        </w:tc>
        <w:tc>
          <w:tcPr>
            <w:tcW w:w="850" w:type="dxa"/>
            <w:vAlign w:val="center"/>
          </w:tcPr>
          <w:p w14:paraId="36F06B35">
            <w:pPr>
              <w:pStyle w:val="62"/>
              <w:rPr>
                <w:bCs/>
                <w:u w:val="single"/>
              </w:rPr>
            </w:pPr>
            <w:r>
              <w:rPr>
                <w:rFonts w:hint="eastAsia"/>
                <w:bCs/>
                <w:u w:val="single"/>
              </w:rPr>
              <w:t>0.01</w:t>
            </w:r>
          </w:p>
        </w:tc>
        <w:tc>
          <w:tcPr>
            <w:tcW w:w="1134" w:type="dxa"/>
            <w:vAlign w:val="center"/>
          </w:tcPr>
          <w:p w14:paraId="01249DC2">
            <w:pPr>
              <w:pStyle w:val="62"/>
              <w:rPr>
                <w:bCs/>
              </w:rPr>
            </w:pPr>
            <w:r>
              <w:rPr>
                <w:bCs/>
              </w:rPr>
              <w:t>2100</w:t>
            </w:r>
          </w:p>
        </w:tc>
        <w:tc>
          <w:tcPr>
            <w:tcW w:w="1134" w:type="dxa"/>
            <w:vAlign w:val="center"/>
          </w:tcPr>
          <w:p w14:paraId="365E18D2">
            <w:pPr>
              <w:pStyle w:val="62"/>
              <w:rPr>
                <w:bCs/>
              </w:rPr>
            </w:pPr>
            <w:r>
              <w:rPr>
                <w:rFonts w:hint="eastAsia"/>
                <w:bCs/>
              </w:rPr>
              <w:t>2.70E-04</w:t>
            </w:r>
          </w:p>
        </w:tc>
        <w:tc>
          <w:tcPr>
            <w:tcW w:w="931" w:type="dxa"/>
            <w:vAlign w:val="center"/>
          </w:tcPr>
          <w:p w14:paraId="0D99B2A1">
            <w:pPr>
              <w:pStyle w:val="62"/>
              <w:rPr>
                <w:bCs/>
              </w:rPr>
            </w:pPr>
            <w:r>
              <w:rPr>
                <w:rFonts w:hint="eastAsia"/>
                <w:bCs/>
              </w:rPr>
              <w:t>0.06</w:t>
            </w:r>
          </w:p>
        </w:tc>
      </w:tr>
      <w:tr w14:paraId="19723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643E8479">
            <w:pPr>
              <w:pStyle w:val="62"/>
              <w:rPr>
                <w:bCs/>
                <w:u w:val="single"/>
              </w:rPr>
            </w:pPr>
            <w:r>
              <w:rPr>
                <w:bCs/>
                <w:u w:val="single"/>
              </w:rPr>
              <w:t>2200</w:t>
            </w:r>
          </w:p>
        </w:tc>
        <w:tc>
          <w:tcPr>
            <w:tcW w:w="1136" w:type="dxa"/>
            <w:vAlign w:val="center"/>
          </w:tcPr>
          <w:p w14:paraId="4D6D0DFE">
            <w:pPr>
              <w:pStyle w:val="62"/>
              <w:rPr>
                <w:bCs/>
                <w:u w:val="single"/>
              </w:rPr>
            </w:pPr>
            <w:r>
              <w:rPr>
                <w:rFonts w:hint="eastAsia"/>
                <w:bCs/>
                <w:u w:val="single"/>
              </w:rPr>
              <w:t>5.75E-04</w:t>
            </w:r>
          </w:p>
        </w:tc>
        <w:tc>
          <w:tcPr>
            <w:tcW w:w="900" w:type="dxa"/>
            <w:vAlign w:val="center"/>
          </w:tcPr>
          <w:p w14:paraId="6BBEA2A9">
            <w:pPr>
              <w:pStyle w:val="62"/>
              <w:rPr>
                <w:bCs/>
                <w:u w:val="single"/>
              </w:rPr>
            </w:pPr>
            <w:r>
              <w:rPr>
                <w:rFonts w:hint="eastAsia"/>
                <w:bCs/>
                <w:u w:val="single"/>
              </w:rPr>
              <w:t>0.03</w:t>
            </w:r>
          </w:p>
        </w:tc>
        <w:tc>
          <w:tcPr>
            <w:tcW w:w="1224" w:type="dxa"/>
            <w:vAlign w:val="center"/>
          </w:tcPr>
          <w:p w14:paraId="691F8F5B">
            <w:pPr>
              <w:pStyle w:val="62"/>
              <w:rPr>
                <w:bCs/>
                <w:u w:val="single"/>
              </w:rPr>
            </w:pPr>
            <w:r>
              <w:rPr>
                <w:rFonts w:hint="eastAsia"/>
                <w:bCs/>
                <w:u w:val="single"/>
              </w:rPr>
              <w:t>3.95E-05</w:t>
            </w:r>
          </w:p>
        </w:tc>
        <w:tc>
          <w:tcPr>
            <w:tcW w:w="850" w:type="dxa"/>
            <w:vAlign w:val="center"/>
          </w:tcPr>
          <w:p w14:paraId="76F80D41">
            <w:pPr>
              <w:pStyle w:val="62"/>
              <w:rPr>
                <w:bCs/>
                <w:u w:val="single"/>
              </w:rPr>
            </w:pPr>
            <w:r>
              <w:rPr>
                <w:rFonts w:hint="eastAsia"/>
                <w:bCs/>
                <w:u w:val="single"/>
              </w:rPr>
              <w:t>0.01</w:t>
            </w:r>
          </w:p>
        </w:tc>
        <w:tc>
          <w:tcPr>
            <w:tcW w:w="1134" w:type="dxa"/>
            <w:vAlign w:val="center"/>
          </w:tcPr>
          <w:p w14:paraId="0B55C430">
            <w:pPr>
              <w:pStyle w:val="62"/>
              <w:rPr>
                <w:bCs/>
              </w:rPr>
            </w:pPr>
            <w:r>
              <w:rPr>
                <w:bCs/>
              </w:rPr>
              <w:t>2200</w:t>
            </w:r>
          </w:p>
        </w:tc>
        <w:tc>
          <w:tcPr>
            <w:tcW w:w="1134" w:type="dxa"/>
            <w:vAlign w:val="center"/>
          </w:tcPr>
          <w:p w14:paraId="0712770F">
            <w:pPr>
              <w:pStyle w:val="62"/>
              <w:rPr>
                <w:bCs/>
              </w:rPr>
            </w:pPr>
            <w:r>
              <w:rPr>
                <w:rFonts w:hint="eastAsia"/>
                <w:bCs/>
              </w:rPr>
              <w:t>2.60E-04</w:t>
            </w:r>
          </w:p>
        </w:tc>
        <w:tc>
          <w:tcPr>
            <w:tcW w:w="931" w:type="dxa"/>
            <w:vAlign w:val="center"/>
          </w:tcPr>
          <w:p w14:paraId="58FE4C51">
            <w:pPr>
              <w:pStyle w:val="62"/>
              <w:rPr>
                <w:bCs/>
              </w:rPr>
            </w:pPr>
            <w:r>
              <w:rPr>
                <w:rFonts w:hint="eastAsia"/>
                <w:bCs/>
              </w:rPr>
              <w:t>0.06</w:t>
            </w:r>
          </w:p>
        </w:tc>
      </w:tr>
      <w:tr w14:paraId="70E56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4CF31829">
            <w:pPr>
              <w:pStyle w:val="62"/>
              <w:rPr>
                <w:bCs/>
                <w:u w:val="single"/>
              </w:rPr>
            </w:pPr>
            <w:r>
              <w:rPr>
                <w:bCs/>
                <w:u w:val="single"/>
              </w:rPr>
              <w:t>2300</w:t>
            </w:r>
          </w:p>
        </w:tc>
        <w:tc>
          <w:tcPr>
            <w:tcW w:w="1136" w:type="dxa"/>
            <w:vAlign w:val="center"/>
          </w:tcPr>
          <w:p w14:paraId="24F2B16A">
            <w:pPr>
              <w:pStyle w:val="62"/>
              <w:rPr>
                <w:bCs/>
                <w:u w:val="single"/>
              </w:rPr>
            </w:pPr>
            <w:r>
              <w:rPr>
                <w:rFonts w:hint="eastAsia"/>
                <w:bCs/>
                <w:u w:val="single"/>
              </w:rPr>
              <w:t>5.75E-04</w:t>
            </w:r>
          </w:p>
        </w:tc>
        <w:tc>
          <w:tcPr>
            <w:tcW w:w="900" w:type="dxa"/>
            <w:vAlign w:val="center"/>
          </w:tcPr>
          <w:p w14:paraId="0D8D0527">
            <w:pPr>
              <w:pStyle w:val="62"/>
              <w:rPr>
                <w:bCs/>
                <w:u w:val="single"/>
              </w:rPr>
            </w:pPr>
            <w:r>
              <w:rPr>
                <w:rFonts w:hint="eastAsia"/>
                <w:bCs/>
                <w:u w:val="single"/>
              </w:rPr>
              <w:t>0.03</w:t>
            </w:r>
          </w:p>
        </w:tc>
        <w:tc>
          <w:tcPr>
            <w:tcW w:w="1224" w:type="dxa"/>
            <w:vAlign w:val="center"/>
          </w:tcPr>
          <w:p w14:paraId="14AB980A">
            <w:pPr>
              <w:pStyle w:val="62"/>
              <w:rPr>
                <w:bCs/>
                <w:u w:val="single"/>
              </w:rPr>
            </w:pPr>
            <w:r>
              <w:rPr>
                <w:rFonts w:hint="eastAsia"/>
                <w:bCs/>
                <w:u w:val="single"/>
              </w:rPr>
              <w:t>3.81E-05</w:t>
            </w:r>
          </w:p>
        </w:tc>
        <w:tc>
          <w:tcPr>
            <w:tcW w:w="850" w:type="dxa"/>
            <w:vAlign w:val="center"/>
          </w:tcPr>
          <w:p w14:paraId="2ED5395A">
            <w:pPr>
              <w:pStyle w:val="62"/>
              <w:rPr>
                <w:bCs/>
                <w:u w:val="single"/>
              </w:rPr>
            </w:pPr>
            <w:r>
              <w:rPr>
                <w:rFonts w:hint="eastAsia"/>
                <w:bCs/>
                <w:u w:val="single"/>
              </w:rPr>
              <w:t>0.01</w:t>
            </w:r>
          </w:p>
        </w:tc>
        <w:tc>
          <w:tcPr>
            <w:tcW w:w="1134" w:type="dxa"/>
            <w:vAlign w:val="center"/>
          </w:tcPr>
          <w:p w14:paraId="0BB5243A">
            <w:pPr>
              <w:pStyle w:val="62"/>
              <w:rPr>
                <w:bCs/>
              </w:rPr>
            </w:pPr>
            <w:r>
              <w:rPr>
                <w:bCs/>
              </w:rPr>
              <w:t>2300</w:t>
            </w:r>
          </w:p>
        </w:tc>
        <w:tc>
          <w:tcPr>
            <w:tcW w:w="1134" w:type="dxa"/>
            <w:vAlign w:val="center"/>
          </w:tcPr>
          <w:p w14:paraId="3516E4CE">
            <w:pPr>
              <w:pStyle w:val="62"/>
              <w:rPr>
                <w:bCs/>
              </w:rPr>
            </w:pPr>
            <w:r>
              <w:rPr>
                <w:rFonts w:hint="eastAsia"/>
                <w:bCs/>
              </w:rPr>
              <w:t>2.50E-04</w:t>
            </w:r>
          </w:p>
        </w:tc>
        <w:tc>
          <w:tcPr>
            <w:tcW w:w="931" w:type="dxa"/>
            <w:vAlign w:val="center"/>
          </w:tcPr>
          <w:p w14:paraId="356297A5">
            <w:pPr>
              <w:pStyle w:val="62"/>
              <w:rPr>
                <w:bCs/>
              </w:rPr>
            </w:pPr>
            <w:r>
              <w:rPr>
                <w:rFonts w:hint="eastAsia"/>
                <w:bCs/>
              </w:rPr>
              <w:t>0.06</w:t>
            </w:r>
          </w:p>
        </w:tc>
      </w:tr>
      <w:tr w14:paraId="671EA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2BAF8291">
            <w:pPr>
              <w:pStyle w:val="62"/>
              <w:rPr>
                <w:bCs/>
                <w:u w:val="single"/>
              </w:rPr>
            </w:pPr>
            <w:r>
              <w:rPr>
                <w:bCs/>
                <w:u w:val="single"/>
              </w:rPr>
              <w:t>2400</w:t>
            </w:r>
          </w:p>
        </w:tc>
        <w:tc>
          <w:tcPr>
            <w:tcW w:w="1136" w:type="dxa"/>
            <w:vAlign w:val="center"/>
          </w:tcPr>
          <w:p w14:paraId="0730BF88">
            <w:pPr>
              <w:pStyle w:val="62"/>
              <w:rPr>
                <w:bCs/>
                <w:u w:val="single"/>
              </w:rPr>
            </w:pPr>
            <w:r>
              <w:rPr>
                <w:rFonts w:hint="eastAsia"/>
                <w:bCs/>
                <w:u w:val="single"/>
              </w:rPr>
              <w:t>5.54E-04</w:t>
            </w:r>
          </w:p>
        </w:tc>
        <w:tc>
          <w:tcPr>
            <w:tcW w:w="900" w:type="dxa"/>
            <w:vAlign w:val="center"/>
          </w:tcPr>
          <w:p w14:paraId="7430897D">
            <w:pPr>
              <w:pStyle w:val="62"/>
              <w:rPr>
                <w:bCs/>
                <w:u w:val="single"/>
              </w:rPr>
            </w:pPr>
            <w:r>
              <w:rPr>
                <w:rFonts w:hint="eastAsia"/>
                <w:bCs/>
                <w:u w:val="single"/>
              </w:rPr>
              <w:t>0.03</w:t>
            </w:r>
          </w:p>
        </w:tc>
        <w:tc>
          <w:tcPr>
            <w:tcW w:w="1224" w:type="dxa"/>
            <w:vAlign w:val="center"/>
          </w:tcPr>
          <w:p w14:paraId="4DD48B6C">
            <w:pPr>
              <w:pStyle w:val="62"/>
              <w:rPr>
                <w:bCs/>
                <w:u w:val="single"/>
              </w:rPr>
            </w:pPr>
            <w:r>
              <w:rPr>
                <w:rFonts w:hint="eastAsia"/>
                <w:bCs/>
                <w:u w:val="single"/>
              </w:rPr>
              <w:t>3.67E-05</w:t>
            </w:r>
          </w:p>
        </w:tc>
        <w:tc>
          <w:tcPr>
            <w:tcW w:w="850" w:type="dxa"/>
            <w:vAlign w:val="center"/>
          </w:tcPr>
          <w:p w14:paraId="0BC9F118">
            <w:pPr>
              <w:pStyle w:val="62"/>
              <w:rPr>
                <w:bCs/>
                <w:u w:val="single"/>
              </w:rPr>
            </w:pPr>
            <w:r>
              <w:rPr>
                <w:rFonts w:hint="eastAsia"/>
                <w:bCs/>
                <w:u w:val="single"/>
              </w:rPr>
              <w:t>0.01</w:t>
            </w:r>
          </w:p>
        </w:tc>
        <w:tc>
          <w:tcPr>
            <w:tcW w:w="1134" w:type="dxa"/>
            <w:vAlign w:val="center"/>
          </w:tcPr>
          <w:p w14:paraId="3D8C1206">
            <w:pPr>
              <w:pStyle w:val="62"/>
              <w:rPr>
                <w:bCs/>
              </w:rPr>
            </w:pPr>
            <w:r>
              <w:rPr>
                <w:bCs/>
              </w:rPr>
              <w:t>2400</w:t>
            </w:r>
          </w:p>
        </w:tc>
        <w:tc>
          <w:tcPr>
            <w:tcW w:w="1134" w:type="dxa"/>
            <w:vAlign w:val="center"/>
          </w:tcPr>
          <w:p w14:paraId="60F9F263">
            <w:pPr>
              <w:pStyle w:val="62"/>
              <w:rPr>
                <w:bCs/>
              </w:rPr>
            </w:pPr>
            <w:r>
              <w:rPr>
                <w:rFonts w:hint="eastAsia"/>
                <w:bCs/>
              </w:rPr>
              <w:t>2.47E-04</w:t>
            </w:r>
          </w:p>
        </w:tc>
        <w:tc>
          <w:tcPr>
            <w:tcW w:w="931" w:type="dxa"/>
            <w:vAlign w:val="center"/>
          </w:tcPr>
          <w:p w14:paraId="6C70EBF9">
            <w:pPr>
              <w:pStyle w:val="62"/>
              <w:rPr>
                <w:bCs/>
              </w:rPr>
            </w:pPr>
            <w:r>
              <w:rPr>
                <w:rFonts w:hint="eastAsia"/>
                <w:bCs/>
              </w:rPr>
              <w:t>0.05</w:t>
            </w:r>
          </w:p>
        </w:tc>
      </w:tr>
      <w:tr w14:paraId="49016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1D4E39D0">
            <w:pPr>
              <w:pStyle w:val="62"/>
              <w:rPr>
                <w:bCs/>
                <w:u w:val="single"/>
              </w:rPr>
            </w:pPr>
            <w:r>
              <w:rPr>
                <w:bCs/>
                <w:u w:val="single"/>
              </w:rPr>
              <w:t>2500</w:t>
            </w:r>
          </w:p>
        </w:tc>
        <w:tc>
          <w:tcPr>
            <w:tcW w:w="1136" w:type="dxa"/>
            <w:vAlign w:val="center"/>
          </w:tcPr>
          <w:p w14:paraId="5D0CA472">
            <w:pPr>
              <w:pStyle w:val="62"/>
              <w:rPr>
                <w:bCs/>
                <w:u w:val="single"/>
              </w:rPr>
            </w:pPr>
            <w:r>
              <w:rPr>
                <w:rFonts w:hint="eastAsia"/>
                <w:bCs/>
                <w:u w:val="single"/>
              </w:rPr>
              <w:t>6.63E-04</w:t>
            </w:r>
          </w:p>
        </w:tc>
        <w:tc>
          <w:tcPr>
            <w:tcW w:w="900" w:type="dxa"/>
            <w:vAlign w:val="center"/>
          </w:tcPr>
          <w:p w14:paraId="490D98FB">
            <w:pPr>
              <w:pStyle w:val="62"/>
              <w:rPr>
                <w:bCs/>
                <w:u w:val="single"/>
              </w:rPr>
            </w:pPr>
            <w:r>
              <w:rPr>
                <w:rFonts w:hint="eastAsia"/>
                <w:bCs/>
                <w:u w:val="single"/>
              </w:rPr>
              <w:t>0.03</w:t>
            </w:r>
          </w:p>
        </w:tc>
        <w:tc>
          <w:tcPr>
            <w:tcW w:w="1224" w:type="dxa"/>
            <w:vAlign w:val="center"/>
          </w:tcPr>
          <w:p w14:paraId="4FE37292">
            <w:pPr>
              <w:pStyle w:val="62"/>
              <w:rPr>
                <w:bCs/>
                <w:u w:val="single"/>
              </w:rPr>
            </w:pPr>
            <w:r>
              <w:rPr>
                <w:rFonts w:hint="eastAsia"/>
                <w:bCs/>
                <w:u w:val="single"/>
              </w:rPr>
              <w:t>4.39E-05</w:t>
            </w:r>
          </w:p>
        </w:tc>
        <w:tc>
          <w:tcPr>
            <w:tcW w:w="850" w:type="dxa"/>
            <w:vAlign w:val="center"/>
          </w:tcPr>
          <w:p w14:paraId="54FB8255">
            <w:pPr>
              <w:pStyle w:val="62"/>
              <w:rPr>
                <w:bCs/>
                <w:u w:val="single"/>
              </w:rPr>
            </w:pPr>
            <w:r>
              <w:rPr>
                <w:rFonts w:hint="eastAsia"/>
                <w:bCs/>
                <w:u w:val="single"/>
              </w:rPr>
              <w:t>0.01</w:t>
            </w:r>
          </w:p>
        </w:tc>
        <w:tc>
          <w:tcPr>
            <w:tcW w:w="1134" w:type="dxa"/>
            <w:vAlign w:val="center"/>
          </w:tcPr>
          <w:p w14:paraId="50A5B3A7">
            <w:pPr>
              <w:pStyle w:val="62"/>
              <w:rPr>
                <w:bCs/>
              </w:rPr>
            </w:pPr>
            <w:r>
              <w:rPr>
                <w:bCs/>
              </w:rPr>
              <w:t>2500</w:t>
            </w:r>
          </w:p>
        </w:tc>
        <w:tc>
          <w:tcPr>
            <w:tcW w:w="1134" w:type="dxa"/>
            <w:vAlign w:val="center"/>
          </w:tcPr>
          <w:p w14:paraId="5E76307E">
            <w:pPr>
              <w:pStyle w:val="62"/>
              <w:rPr>
                <w:bCs/>
              </w:rPr>
            </w:pPr>
            <w:r>
              <w:rPr>
                <w:rFonts w:hint="eastAsia"/>
                <w:bCs/>
              </w:rPr>
              <w:t>2.76E-04</w:t>
            </w:r>
          </w:p>
        </w:tc>
        <w:tc>
          <w:tcPr>
            <w:tcW w:w="931" w:type="dxa"/>
            <w:vAlign w:val="center"/>
          </w:tcPr>
          <w:p w14:paraId="12283C6E">
            <w:pPr>
              <w:pStyle w:val="62"/>
              <w:rPr>
                <w:bCs/>
              </w:rPr>
            </w:pPr>
            <w:r>
              <w:rPr>
                <w:rFonts w:hint="eastAsia"/>
                <w:bCs/>
              </w:rPr>
              <w:t>0.06</w:t>
            </w:r>
          </w:p>
        </w:tc>
      </w:tr>
      <w:tr w14:paraId="0C2EA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3" w:type="dxa"/>
            <w:vAlign w:val="center"/>
          </w:tcPr>
          <w:p w14:paraId="56FF96C6">
            <w:pPr>
              <w:pStyle w:val="62"/>
              <w:rPr>
                <w:bCs/>
                <w:u w:val="single"/>
              </w:rPr>
            </w:pPr>
            <w:r>
              <w:rPr>
                <w:bCs/>
                <w:u w:val="single"/>
              </w:rPr>
              <w:t>P</w:t>
            </w:r>
            <w:r>
              <w:rPr>
                <w:bCs/>
                <w:u w:val="single"/>
                <w:vertAlign w:val="subscript"/>
              </w:rPr>
              <w:t>max</w:t>
            </w:r>
            <w:r>
              <w:rPr>
                <w:bCs/>
                <w:u w:val="single"/>
              </w:rPr>
              <w:t>（</w:t>
            </w:r>
            <w:r>
              <w:rPr>
                <w:rFonts w:hint="eastAsia"/>
                <w:bCs/>
                <w:u w:val="single"/>
              </w:rPr>
              <w:t>93</w:t>
            </w:r>
            <w:r>
              <w:rPr>
                <w:bCs/>
                <w:u w:val="single"/>
              </w:rPr>
              <w:t>m）</w:t>
            </w:r>
          </w:p>
        </w:tc>
        <w:tc>
          <w:tcPr>
            <w:tcW w:w="1136" w:type="dxa"/>
            <w:vAlign w:val="center"/>
          </w:tcPr>
          <w:p w14:paraId="2647FF0D">
            <w:pPr>
              <w:pStyle w:val="62"/>
              <w:rPr>
                <w:bCs/>
                <w:u w:val="single"/>
              </w:rPr>
            </w:pPr>
            <w:r>
              <w:rPr>
                <w:rFonts w:hint="eastAsia"/>
                <w:bCs/>
                <w:u w:val="single"/>
              </w:rPr>
              <w:t>1.97E-03</w:t>
            </w:r>
          </w:p>
        </w:tc>
        <w:tc>
          <w:tcPr>
            <w:tcW w:w="900" w:type="dxa"/>
            <w:vAlign w:val="center"/>
          </w:tcPr>
          <w:p w14:paraId="33105663">
            <w:pPr>
              <w:pStyle w:val="62"/>
              <w:rPr>
                <w:bCs/>
                <w:u w:val="single"/>
              </w:rPr>
            </w:pPr>
            <w:r>
              <w:rPr>
                <w:rFonts w:hint="eastAsia"/>
                <w:bCs/>
                <w:u w:val="single"/>
              </w:rPr>
              <w:t>0.10</w:t>
            </w:r>
          </w:p>
        </w:tc>
        <w:tc>
          <w:tcPr>
            <w:tcW w:w="1224" w:type="dxa"/>
            <w:vAlign w:val="center"/>
          </w:tcPr>
          <w:p w14:paraId="730FC740">
            <w:pPr>
              <w:pStyle w:val="62"/>
              <w:rPr>
                <w:bCs/>
                <w:u w:val="single"/>
              </w:rPr>
            </w:pPr>
            <w:r>
              <w:rPr>
                <w:rFonts w:hint="eastAsia"/>
                <w:bCs/>
                <w:u w:val="single"/>
              </w:rPr>
              <w:t>1.30E-04</w:t>
            </w:r>
          </w:p>
        </w:tc>
        <w:tc>
          <w:tcPr>
            <w:tcW w:w="850" w:type="dxa"/>
            <w:vAlign w:val="center"/>
          </w:tcPr>
          <w:p w14:paraId="3A71320D">
            <w:pPr>
              <w:pStyle w:val="62"/>
              <w:rPr>
                <w:bCs/>
                <w:u w:val="single"/>
              </w:rPr>
            </w:pPr>
            <w:r>
              <w:rPr>
                <w:rFonts w:hint="eastAsia"/>
                <w:bCs/>
                <w:u w:val="single"/>
              </w:rPr>
              <w:t>0.01</w:t>
            </w:r>
          </w:p>
        </w:tc>
        <w:tc>
          <w:tcPr>
            <w:tcW w:w="1134" w:type="dxa"/>
            <w:vAlign w:val="center"/>
          </w:tcPr>
          <w:p w14:paraId="2DA98C88">
            <w:pPr>
              <w:pStyle w:val="62"/>
              <w:rPr>
                <w:bCs/>
              </w:rPr>
            </w:pPr>
            <w:r>
              <w:rPr>
                <w:bCs/>
              </w:rPr>
              <w:t>P</w:t>
            </w:r>
            <w:r>
              <w:rPr>
                <w:bCs/>
                <w:vertAlign w:val="subscript"/>
              </w:rPr>
              <w:t>max</w:t>
            </w:r>
            <w:r>
              <w:rPr>
                <w:bCs/>
              </w:rPr>
              <w:t>（</w:t>
            </w:r>
            <w:r>
              <w:rPr>
                <w:rFonts w:hint="eastAsia"/>
                <w:bCs/>
              </w:rPr>
              <w:t>92</w:t>
            </w:r>
            <w:r>
              <w:rPr>
                <w:bCs/>
              </w:rPr>
              <w:t>m）</w:t>
            </w:r>
          </w:p>
        </w:tc>
        <w:tc>
          <w:tcPr>
            <w:tcW w:w="1134" w:type="dxa"/>
            <w:vAlign w:val="center"/>
          </w:tcPr>
          <w:p w14:paraId="1C36D95B">
            <w:pPr>
              <w:pStyle w:val="62"/>
              <w:rPr>
                <w:bCs/>
              </w:rPr>
            </w:pPr>
            <w:r>
              <w:rPr>
                <w:rFonts w:hint="eastAsia"/>
                <w:bCs/>
              </w:rPr>
              <w:t>8.68E-04</w:t>
            </w:r>
          </w:p>
        </w:tc>
        <w:tc>
          <w:tcPr>
            <w:tcW w:w="931" w:type="dxa"/>
            <w:vAlign w:val="center"/>
          </w:tcPr>
          <w:p w14:paraId="43198058">
            <w:pPr>
              <w:pStyle w:val="62"/>
              <w:rPr>
                <w:bCs/>
              </w:rPr>
            </w:pPr>
            <w:r>
              <w:rPr>
                <w:rFonts w:hint="eastAsia"/>
                <w:bCs/>
              </w:rPr>
              <w:t>0.19</w:t>
            </w:r>
          </w:p>
        </w:tc>
      </w:tr>
    </w:tbl>
    <w:p w14:paraId="260355AB">
      <w:pPr>
        <w:pStyle w:val="99"/>
        <w:ind w:firstLine="480"/>
        <w:rPr>
          <w:bCs/>
          <w:highlight w:val="yellow"/>
        </w:rPr>
      </w:pPr>
      <w:r>
        <w:rPr>
          <w:bCs/>
          <w:szCs w:val="24"/>
        </w:rPr>
        <w:t>由</w:t>
      </w:r>
      <w:r>
        <w:rPr>
          <w:rFonts w:hint="eastAsia"/>
          <w:bCs/>
          <w:szCs w:val="24"/>
        </w:rPr>
        <w:t>上表</w:t>
      </w:r>
      <w:r>
        <w:rPr>
          <w:bCs/>
          <w:szCs w:val="24"/>
        </w:rPr>
        <w:t>可知，本项目排气筒</w:t>
      </w:r>
      <w:r>
        <w:rPr>
          <w:rFonts w:hint="eastAsia"/>
          <w:bCs/>
          <w:szCs w:val="24"/>
        </w:rPr>
        <w:t>DA001</w:t>
      </w:r>
      <w:r>
        <w:rPr>
          <w:bCs/>
          <w:szCs w:val="24"/>
        </w:rPr>
        <w:t>有组织废气排放的污染物：</w:t>
      </w:r>
      <w:r>
        <w:rPr>
          <w:rFonts w:hint="eastAsia"/>
          <w:bCs/>
          <w:szCs w:val="24"/>
          <w:u w:val="single"/>
        </w:rPr>
        <w:t>非甲烷总烃、硫酸雾</w:t>
      </w:r>
      <w:r>
        <w:rPr>
          <w:bCs/>
          <w:szCs w:val="24"/>
          <w:u w:val="single"/>
        </w:rPr>
        <w:t>的最大落地浓度均出现在下风向</w:t>
      </w:r>
      <w:r>
        <w:rPr>
          <w:rFonts w:hint="eastAsia"/>
          <w:bCs/>
          <w:szCs w:val="24"/>
          <w:u w:val="single"/>
        </w:rPr>
        <w:t>93</w:t>
      </w:r>
      <w:r>
        <w:rPr>
          <w:bCs/>
          <w:szCs w:val="24"/>
          <w:u w:val="single"/>
        </w:rPr>
        <w:t>m处，</w:t>
      </w:r>
      <w:r>
        <w:rPr>
          <w:rFonts w:hint="eastAsia"/>
          <w:bCs/>
          <w:szCs w:val="24"/>
          <w:u w:val="single"/>
        </w:rPr>
        <w:t>非甲烷总烃的</w:t>
      </w:r>
      <w:r>
        <w:rPr>
          <w:bCs/>
          <w:szCs w:val="24"/>
          <w:u w:val="single"/>
        </w:rPr>
        <w:t>最大落地浓度为</w:t>
      </w:r>
      <w:r>
        <w:rPr>
          <w:rFonts w:hint="eastAsia"/>
          <w:bCs/>
          <w:u w:val="single"/>
        </w:rPr>
        <w:t>0.00197</w:t>
      </w:r>
      <w:r>
        <w:rPr>
          <w:bCs/>
          <w:szCs w:val="24"/>
          <w:u w:val="single"/>
        </w:rPr>
        <w:t>mg/m</w:t>
      </w:r>
      <w:r>
        <w:rPr>
          <w:bCs/>
          <w:szCs w:val="24"/>
          <w:u w:val="single"/>
          <w:vertAlign w:val="superscript"/>
        </w:rPr>
        <w:t>3</w:t>
      </w:r>
      <w:r>
        <w:rPr>
          <w:bCs/>
          <w:szCs w:val="24"/>
          <w:u w:val="single"/>
        </w:rPr>
        <w:t>，占标率为</w:t>
      </w:r>
      <w:r>
        <w:rPr>
          <w:rFonts w:hint="eastAsia"/>
          <w:bCs/>
          <w:szCs w:val="24"/>
          <w:u w:val="single"/>
        </w:rPr>
        <w:t>0.1</w:t>
      </w:r>
      <w:r>
        <w:rPr>
          <w:bCs/>
          <w:szCs w:val="24"/>
          <w:u w:val="single"/>
        </w:rPr>
        <w:t>%</w:t>
      </w:r>
      <w:r>
        <w:rPr>
          <w:rFonts w:hint="eastAsia"/>
          <w:bCs/>
          <w:szCs w:val="24"/>
          <w:u w:val="single"/>
        </w:rPr>
        <w:t>；硫酸雾</w:t>
      </w:r>
      <w:r>
        <w:rPr>
          <w:bCs/>
          <w:szCs w:val="24"/>
          <w:u w:val="single"/>
        </w:rPr>
        <w:t>的最大落地浓度为</w:t>
      </w:r>
      <w:r>
        <w:rPr>
          <w:rFonts w:hint="eastAsia"/>
          <w:bCs/>
          <w:szCs w:val="24"/>
          <w:u w:val="single"/>
        </w:rPr>
        <w:t>0</w:t>
      </w:r>
      <w:r>
        <w:rPr>
          <w:bCs/>
          <w:szCs w:val="24"/>
          <w:u w:val="single"/>
        </w:rPr>
        <w:t>.00</w:t>
      </w:r>
      <w:r>
        <w:rPr>
          <w:rFonts w:hint="eastAsia"/>
          <w:bCs/>
          <w:szCs w:val="24"/>
          <w:u w:val="single"/>
        </w:rPr>
        <w:t>013</w:t>
      </w:r>
      <w:r>
        <w:rPr>
          <w:bCs/>
          <w:szCs w:val="24"/>
          <w:u w:val="single"/>
        </w:rPr>
        <w:t>mg/m</w:t>
      </w:r>
      <w:r>
        <w:rPr>
          <w:bCs/>
          <w:szCs w:val="24"/>
          <w:u w:val="single"/>
          <w:vertAlign w:val="superscript"/>
        </w:rPr>
        <w:t>3</w:t>
      </w:r>
      <w:r>
        <w:rPr>
          <w:bCs/>
          <w:szCs w:val="24"/>
          <w:u w:val="single"/>
        </w:rPr>
        <w:t>，占标率为</w:t>
      </w:r>
      <w:r>
        <w:rPr>
          <w:rFonts w:hint="eastAsia"/>
          <w:bCs/>
          <w:szCs w:val="24"/>
          <w:u w:val="single"/>
        </w:rPr>
        <w:t>0.01</w:t>
      </w:r>
      <w:r>
        <w:rPr>
          <w:bCs/>
          <w:szCs w:val="24"/>
          <w:u w:val="single"/>
        </w:rPr>
        <w:t>%</w:t>
      </w:r>
      <w:r>
        <w:rPr>
          <w:rFonts w:hint="eastAsia"/>
          <w:bCs/>
          <w:szCs w:val="24"/>
          <w:u w:val="single"/>
        </w:rPr>
        <w:t>；</w:t>
      </w:r>
      <w:r>
        <w:rPr>
          <w:bCs/>
          <w:szCs w:val="24"/>
        </w:rPr>
        <w:t>排气筒</w:t>
      </w:r>
      <w:r>
        <w:rPr>
          <w:rFonts w:hint="eastAsia"/>
          <w:bCs/>
          <w:szCs w:val="24"/>
        </w:rPr>
        <w:t>DA002</w:t>
      </w:r>
      <w:r>
        <w:rPr>
          <w:bCs/>
          <w:szCs w:val="24"/>
        </w:rPr>
        <w:t>有组织废气排放的污染物：</w:t>
      </w:r>
      <w:r>
        <w:rPr>
          <w:rFonts w:hint="eastAsia"/>
          <w:bCs/>
          <w:szCs w:val="24"/>
        </w:rPr>
        <w:t>颗粒物的</w:t>
      </w:r>
      <w:r>
        <w:rPr>
          <w:bCs/>
          <w:szCs w:val="24"/>
        </w:rPr>
        <w:t>最大落地浓度出现在下风向</w:t>
      </w:r>
      <w:r>
        <w:rPr>
          <w:rFonts w:hint="eastAsia"/>
          <w:bCs/>
          <w:szCs w:val="24"/>
        </w:rPr>
        <w:t>92</w:t>
      </w:r>
      <w:r>
        <w:rPr>
          <w:bCs/>
          <w:szCs w:val="24"/>
        </w:rPr>
        <w:t>m处</w:t>
      </w:r>
      <w:r>
        <w:rPr>
          <w:rFonts w:hint="eastAsia"/>
          <w:bCs/>
          <w:szCs w:val="24"/>
        </w:rPr>
        <w:t>，颗粒物的</w:t>
      </w:r>
      <w:r>
        <w:rPr>
          <w:bCs/>
          <w:szCs w:val="24"/>
        </w:rPr>
        <w:t>最大落地浓度为</w:t>
      </w:r>
      <w:r>
        <w:rPr>
          <w:rFonts w:hint="eastAsia"/>
          <w:bCs/>
          <w:szCs w:val="24"/>
        </w:rPr>
        <w:t>0</w:t>
      </w:r>
      <w:r>
        <w:rPr>
          <w:bCs/>
          <w:szCs w:val="24"/>
        </w:rPr>
        <w:t>.00</w:t>
      </w:r>
      <w:r>
        <w:rPr>
          <w:rFonts w:hint="eastAsia"/>
          <w:bCs/>
          <w:szCs w:val="24"/>
        </w:rPr>
        <w:t>0868</w:t>
      </w:r>
      <w:r>
        <w:rPr>
          <w:bCs/>
          <w:szCs w:val="24"/>
        </w:rPr>
        <w:t>mg/m</w:t>
      </w:r>
      <w:r>
        <w:rPr>
          <w:bCs/>
          <w:szCs w:val="24"/>
          <w:vertAlign w:val="superscript"/>
        </w:rPr>
        <w:t>3</w:t>
      </w:r>
      <w:r>
        <w:rPr>
          <w:bCs/>
          <w:szCs w:val="24"/>
        </w:rPr>
        <w:t>，占标率为0.</w:t>
      </w:r>
      <w:r>
        <w:rPr>
          <w:rFonts w:hint="eastAsia"/>
          <w:bCs/>
          <w:szCs w:val="24"/>
        </w:rPr>
        <w:t>19</w:t>
      </w:r>
      <w:r>
        <w:rPr>
          <w:bCs/>
          <w:szCs w:val="24"/>
        </w:rPr>
        <w:t>%</w:t>
      </w:r>
      <w:r>
        <w:rPr>
          <w:rFonts w:hint="eastAsia"/>
          <w:bCs/>
          <w:szCs w:val="24"/>
        </w:rPr>
        <w:t>。</w:t>
      </w:r>
      <w:r>
        <w:rPr>
          <w:bCs/>
          <w:szCs w:val="24"/>
        </w:rPr>
        <w:t>因此，评价认为：项目运营后，大气污染物对周围环境的影响程度是可以接受。</w:t>
      </w:r>
    </w:p>
    <w:p w14:paraId="4F77F3F7">
      <w:pPr>
        <w:ind w:firstLine="482"/>
        <w:outlineLvl w:val="4"/>
        <w:rPr>
          <w:rFonts w:eastAsia="方正小标宋简体"/>
          <w:b/>
        </w:rPr>
      </w:pPr>
      <w:r>
        <w:rPr>
          <w:rFonts w:hint="eastAsia" w:eastAsia="方正小标宋简体"/>
          <w:b/>
        </w:rPr>
        <w:t>四、厂界浓度预测</w:t>
      </w:r>
    </w:p>
    <w:p w14:paraId="47D7259E">
      <w:pPr>
        <w:ind w:firstLine="480"/>
        <w:rPr>
          <w:bCs/>
        </w:rPr>
      </w:pPr>
      <w:r>
        <w:rPr>
          <w:rFonts w:hint="eastAsia"/>
          <w:bCs/>
        </w:rPr>
        <w:t>项目厂界浓度预测结果见下表。</w:t>
      </w:r>
    </w:p>
    <w:p w14:paraId="31D795B6">
      <w:pPr>
        <w:pStyle w:val="2"/>
        <w:ind w:firstLine="480"/>
        <w:sectPr>
          <w:footerReference r:id="rId19" w:type="default"/>
          <w:pgSz w:w="11906" w:h="16838"/>
          <w:pgMar w:top="1440" w:right="1797" w:bottom="1440" w:left="1797" w:header="851" w:footer="992" w:gutter="0"/>
          <w:cols w:space="720" w:num="1"/>
          <w:docGrid w:linePitch="312" w:charSpace="0"/>
        </w:sectPr>
      </w:pPr>
    </w:p>
    <w:p w14:paraId="23CB04E7">
      <w:pPr>
        <w:pStyle w:val="64"/>
        <w:numPr>
          <w:ilvl w:val="2"/>
          <w:numId w:val="25"/>
        </w:numPr>
        <w:spacing w:before="120"/>
        <w:ind w:left="0" w:firstLine="480" w:firstLineChars="200"/>
      </w:pPr>
      <w:r>
        <w:t xml:space="preserve">   </w:t>
      </w:r>
      <w:r>
        <w:rPr>
          <w:rFonts w:hint="eastAsia"/>
        </w:rPr>
        <w:t xml:space="preserve">                    </w:t>
      </w:r>
      <w:r>
        <w:t>项目废气污染物排放对厂界影响的预测结果</w:t>
      </w:r>
      <w:r>
        <w:rPr>
          <w:rFonts w:hint="eastAsia"/>
        </w:rPr>
        <w:t xml:space="preserve">      单位：mg/m</w:t>
      </w:r>
      <w:r>
        <w:rPr>
          <w:rFonts w:hint="eastAsia"/>
          <w:vertAlign w:val="superscript"/>
        </w:rPr>
        <w:t>3</w:t>
      </w:r>
    </w:p>
    <w:tbl>
      <w:tblPr>
        <w:tblStyle w:val="41"/>
        <w:tblW w:w="52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28"/>
        <w:gridCol w:w="763"/>
        <w:gridCol w:w="1013"/>
        <w:gridCol w:w="2018"/>
        <w:gridCol w:w="2408"/>
        <w:gridCol w:w="2280"/>
        <w:gridCol w:w="1493"/>
        <w:gridCol w:w="1391"/>
        <w:gridCol w:w="1391"/>
        <w:gridCol w:w="1189"/>
      </w:tblGrid>
      <w:tr w14:paraId="6056D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Align w:val="center"/>
          </w:tcPr>
          <w:p w14:paraId="3E87D7FA">
            <w:pPr>
              <w:spacing w:line="240" w:lineRule="auto"/>
              <w:ind w:firstLine="0" w:firstLineChars="0"/>
              <w:jc w:val="center"/>
              <w:rPr>
                <w:b/>
                <w:sz w:val="21"/>
                <w:szCs w:val="21"/>
                <w:u w:val="single"/>
              </w:rPr>
            </w:pPr>
            <w:r>
              <w:rPr>
                <w:b/>
                <w:sz w:val="21"/>
                <w:szCs w:val="21"/>
                <w:u w:val="single"/>
              </w:rPr>
              <w:t>污染物</w:t>
            </w:r>
          </w:p>
        </w:tc>
        <w:tc>
          <w:tcPr>
            <w:tcW w:w="759" w:type="dxa"/>
            <w:vAlign w:val="center"/>
          </w:tcPr>
          <w:p w14:paraId="7C756549">
            <w:pPr>
              <w:spacing w:line="240" w:lineRule="auto"/>
              <w:ind w:firstLine="0" w:firstLineChars="0"/>
              <w:jc w:val="center"/>
              <w:rPr>
                <w:b/>
                <w:sz w:val="21"/>
                <w:szCs w:val="21"/>
                <w:u w:val="single"/>
              </w:rPr>
            </w:pPr>
            <w:r>
              <w:rPr>
                <w:b/>
                <w:sz w:val="21"/>
                <w:szCs w:val="21"/>
                <w:u w:val="single"/>
              </w:rPr>
              <w:t>厂界</w:t>
            </w:r>
          </w:p>
        </w:tc>
        <w:tc>
          <w:tcPr>
            <w:tcW w:w="1008" w:type="dxa"/>
            <w:vAlign w:val="center"/>
          </w:tcPr>
          <w:p w14:paraId="3EBBAF0F">
            <w:pPr>
              <w:spacing w:line="240" w:lineRule="auto"/>
              <w:ind w:firstLine="0" w:firstLineChars="0"/>
              <w:jc w:val="center"/>
              <w:rPr>
                <w:b/>
                <w:sz w:val="21"/>
                <w:szCs w:val="21"/>
                <w:u w:val="single"/>
              </w:rPr>
            </w:pPr>
            <w:r>
              <w:rPr>
                <w:b/>
                <w:sz w:val="21"/>
                <w:szCs w:val="21"/>
                <w:u w:val="single"/>
              </w:rPr>
              <w:t>预测浓度（mg/m</w:t>
            </w:r>
            <w:r>
              <w:rPr>
                <w:b/>
                <w:sz w:val="21"/>
                <w:szCs w:val="21"/>
                <w:u w:val="single"/>
                <w:vertAlign w:val="superscript"/>
              </w:rPr>
              <w:t>3</w:t>
            </w:r>
            <w:r>
              <w:rPr>
                <w:b/>
                <w:sz w:val="21"/>
                <w:szCs w:val="21"/>
                <w:u w:val="single"/>
              </w:rPr>
              <w:t>）</w:t>
            </w:r>
          </w:p>
        </w:tc>
        <w:tc>
          <w:tcPr>
            <w:tcW w:w="2007" w:type="dxa"/>
            <w:vAlign w:val="center"/>
          </w:tcPr>
          <w:p w14:paraId="47E6E0A3">
            <w:pPr>
              <w:spacing w:line="240" w:lineRule="auto"/>
              <w:ind w:firstLine="0" w:firstLineChars="0"/>
              <w:jc w:val="center"/>
              <w:rPr>
                <w:b/>
                <w:sz w:val="21"/>
                <w:szCs w:val="21"/>
                <w:u w:val="single"/>
              </w:rPr>
            </w:pPr>
            <w:r>
              <w:rPr>
                <w:b/>
                <w:bCs/>
                <w:sz w:val="21"/>
                <w:szCs w:val="21"/>
                <w:u w:val="single"/>
              </w:rPr>
              <w:t>《新乡市生态环境局关于进一步规范工业企业颗粒物排放限值的通知》其他涉气工业企业</w:t>
            </w:r>
          </w:p>
        </w:tc>
        <w:tc>
          <w:tcPr>
            <w:tcW w:w="2395" w:type="dxa"/>
            <w:vAlign w:val="center"/>
          </w:tcPr>
          <w:p w14:paraId="17F262FF">
            <w:pPr>
              <w:spacing w:line="240" w:lineRule="auto"/>
              <w:ind w:firstLine="0" w:firstLineChars="0"/>
              <w:jc w:val="center"/>
              <w:rPr>
                <w:b/>
                <w:sz w:val="21"/>
                <w:szCs w:val="21"/>
                <w:u w:val="single"/>
              </w:rPr>
            </w:pPr>
            <w:r>
              <w:rPr>
                <w:rFonts w:hint="eastAsia"/>
                <w:b/>
                <w:sz w:val="21"/>
                <w:szCs w:val="21"/>
                <w:u w:val="single"/>
              </w:rPr>
              <w:t>《关于全省开展工业挥发性有机物专项治理工作中排放建议值的通知》（豫环攻坚办〔2017〕162号）中限值要求</w:t>
            </w:r>
          </w:p>
        </w:tc>
        <w:tc>
          <w:tcPr>
            <w:tcW w:w="2268" w:type="dxa"/>
            <w:vAlign w:val="center"/>
          </w:tcPr>
          <w:p w14:paraId="1DD971D3">
            <w:pPr>
              <w:spacing w:line="240" w:lineRule="auto"/>
              <w:ind w:firstLine="0" w:firstLineChars="0"/>
              <w:jc w:val="center"/>
              <w:rPr>
                <w:b/>
                <w:sz w:val="21"/>
                <w:szCs w:val="21"/>
                <w:u w:val="single"/>
              </w:rPr>
            </w:pPr>
            <w:r>
              <w:rPr>
                <w:b/>
                <w:bCs/>
                <w:sz w:val="21"/>
                <w:szCs w:val="21"/>
                <w:u w:val="single"/>
              </w:rPr>
              <w:t>《河南省重污染天气重点行业应急减排措施技术指南》（2021年修订版）中有机化工A级绩效指标</w:t>
            </w:r>
          </w:p>
        </w:tc>
        <w:tc>
          <w:tcPr>
            <w:tcW w:w="1485" w:type="dxa"/>
            <w:vAlign w:val="center"/>
          </w:tcPr>
          <w:p w14:paraId="15A6D0FF">
            <w:pPr>
              <w:spacing w:line="240" w:lineRule="auto"/>
              <w:ind w:firstLine="0" w:firstLineChars="0"/>
              <w:jc w:val="center"/>
              <w:rPr>
                <w:b/>
                <w:sz w:val="21"/>
                <w:szCs w:val="21"/>
                <w:u w:val="single"/>
              </w:rPr>
            </w:pPr>
            <w:r>
              <w:rPr>
                <w:rFonts w:hint="eastAsia"/>
                <w:b/>
                <w:sz w:val="21"/>
                <w:szCs w:val="21"/>
                <w:u w:val="single"/>
              </w:rPr>
              <w:t>《大气污染物综合排放标准》（GB 16297-1996）二级</w:t>
            </w:r>
          </w:p>
        </w:tc>
        <w:tc>
          <w:tcPr>
            <w:tcW w:w="1383" w:type="dxa"/>
            <w:vAlign w:val="center"/>
          </w:tcPr>
          <w:p w14:paraId="4137B0EF">
            <w:pPr>
              <w:spacing w:line="240" w:lineRule="auto"/>
              <w:ind w:firstLine="0" w:firstLineChars="0"/>
              <w:jc w:val="center"/>
              <w:rPr>
                <w:b/>
                <w:sz w:val="21"/>
                <w:szCs w:val="21"/>
                <w:u w:val="single"/>
              </w:rPr>
            </w:pPr>
            <w:r>
              <w:rPr>
                <w:b/>
                <w:sz w:val="21"/>
                <w:szCs w:val="21"/>
                <w:u w:val="single"/>
              </w:rPr>
              <w:t>《环境空气质量标准》（GB3095-2012）表</w:t>
            </w:r>
            <w:r>
              <w:rPr>
                <w:rFonts w:hint="eastAsia"/>
                <w:b/>
                <w:sz w:val="21"/>
                <w:szCs w:val="21"/>
                <w:u w:val="single"/>
              </w:rPr>
              <w:t>1二级</w:t>
            </w:r>
          </w:p>
        </w:tc>
        <w:tc>
          <w:tcPr>
            <w:tcW w:w="1383" w:type="dxa"/>
            <w:vAlign w:val="center"/>
          </w:tcPr>
          <w:p w14:paraId="66E45E1F">
            <w:pPr>
              <w:spacing w:line="240" w:lineRule="auto"/>
              <w:ind w:firstLine="0" w:firstLineChars="0"/>
              <w:jc w:val="center"/>
              <w:rPr>
                <w:b/>
                <w:bCs/>
                <w:sz w:val="21"/>
                <w:szCs w:val="21"/>
                <w:highlight w:val="yellow"/>
                <w:u w:val="single"/>
              </w:rPr>
            </w:pPr>
            <w:r>
              <w:rPr>
                <w:b/>
                <w:bCs/>
                <w:sz w:val="21"/>
                <w:szCs w:val="21"/>
                <w:u w:val="single"/>
              </w:rPr>
              <w:t>《环境影响评价技术导则大气环境》（HJ2.2-2018）附录D</w:t>
            </w:r>
          </w:p>
        </w:tc>
        <w:tc>
          <w:tcPr>
            <w:tcW w:w="1183" w:type="dxa"/>
            <w:vAlign w:val="center"/>
          </w:tcPr>
          <w:p w14:paraId="108B9C8A">
            <w:pPr>
              <w:spacing w:line="240" w:lineRule="auto"/>
              <w:ind w:firstLine="0" w:firstLineChars="0"/>
              <w:jc w:val="center"/>
              <w:rPr>
                <w:b/>
                <w:sz w:val="21"/>
                <w:szCs w:val="21"/>
                <w:highlight w:val="yellow"/>
                <w:u w:val="single"/>
              </w:rPr>
            </w:pPr>
            <w:r>
              <w:rPr>
                <w:b/>
                <w:bCs/>
                <w:sz w:val="21"/>
                <w:szCs w:val="21"/>
                <w:u w:val="single"/>
              </w:rPr>
              <w:t>《大气综合污染物排放标准详解》第四章标准值说明</w:t>
            </w:r>
          </w:p>
        </w:tc>
      </w:tr>
      <w:tr w14:paraId="2562C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restart"/>
            <w:vAlign w:val="center"/>
          </w:tcPr>
          <w:p w14:paraId="7E4DE5FC">
            <w:pPr>
              <w:spacing w:line="240" w:lineRule="auto"/>
              <w:ind w:firstLine="0" w:firstLineChars="0"/>
              <w:jc w:val="center"/>
              <w:rPr>
                <w:bCs/>
                <w:sz w:val="21"/>
                <w:szCs w:val="21"/>
                <w:u w:val="single"/>
              </w:rPr>
            </w:pPr>
            <w:r>
              <w:rPr>
                <w:rFonts w:hint="eastAsia"/>
                <w:bCs/>
                <w:sz w:val="21"/>
                <w:szCs w:val="21"/>
                <w:u w:val="single"/>
              </w:rPr>
              <w:t>颗粒物</w:t>
            </w:r>
          </w:p>
        </w:tc>
        <w:tc>
          <w:tcPr>
            <w:tcW w:w="759" w:type="dxa"/>
            <w:vAlign w:val="center"/>
          </w:tcPr>
          <w:p w14:paraId="0D7D01B7">
            <w:pPr>
              <w:spacing w:line="240" w:lineRule="auto"/>
              <w:ind w:firstLine="0" w:firstLineChars="0"/>
              <w:jc w:val="center"/>
              <w:rPr>
                <w:bCs/>
                <w:sz w:val="21"/>
                <w:szCs w:val="21"/>
                <w:u w:val="single"/>
              </w:rPr>
            </w:pPr>
            <w:r>
              <w:rPr>
                <w:bCs/>
                <w:sz w:val="21"/>
                <w:szCs w:val="21"/>
                <w:u w:val="single"/>
              </w:rPr>
              <w:t>东厂界</w:t>
            </w:r>
          </w:p>
        </w:tc>
        <w:tc>
          <w:tcPr>
            <w:tcW w:w="1008" w:type="dxa"/>
            <w:vAlign w:val="center"/>
          </w:tcPr>
          <w:p w14:paraId="0FB7850D">
            <w:pPr>
              <w:spacing w:line="240" w:lineRule="auto"/>
              <w:ind w:firstLine="0" w:firstLineChars="0"/>
              <w:jc w:val="center"/>
              <w:rPr>
                <w:bCs/>
                <w:sz w:val="21"/>
                <w:szCs w:val="21"/>
                <w:u w:val="single"/>
              </w:rPr>
            </w:pPr>
            <w:r>
              <w:rPr>
                <w:rFonts w:hint="eastAsia"/>
                <w:bCs/>
                <w:sz w:val="21"/>
                <w:szCs w:val="21"/>
                <w:u w:val="single"/>
              </w:rPr>
              <w:t>6.05E-04</w:t>
            </w:r>
          </w:p>
        </w:tc>
        <w:tc>
          <w:tcPr>
            <w:tcW w:w="2007" w:type="dxa"/>
            <w:vMerge w:val="restart"/>
            <w:vAlign w:val="center"/>
          </w:tcPr>
          <w:p w14:paraId="62C6F891">
            <w:pPr>
              <w:spacing w:line="240" w:lineRule="auto"/>
              <w:ind w:firstLine="0" w:firstLineChars="0"/>
              <w:jc w:val="center"/>
              <w:rPr>
                <w:bCs/>
                <w:sz w:val="21"/>
                <w:szCs w:val="21"/>
                <w:u w:val="single"/>
              </w:rPr>
            </w:pPr>
            <w:r>
              <w:rPr>
                <w:rFonts w:hint="eastAsia"/>
                <w:bCs/>
                <w:sz w:val="21"/>
                <w:szCs w:val="21"/>
                <w:u w:val="single"/>
              </w:rPr>
              <w:t>0.5</w:t>
            </w:r>
          </w:p>
        </w:tc>
        <w:tc>
          <w:tcPr>
            <w:tcW w:w="2395" w:type="dxa"/>
            <w:vMerge w:val="restart"/>
            <w:vAlign w:val="center"/>
          </w:tcPr>
          <w:p w14:paraId="2FFC2DC6">
            <w:pPr>
              <w:spacing w:line="240" w:lineRule="auto"/>
              <w:ind w:firstLine="0" w:firstLineChars="0"/>
              <w:jc w:val="center"/>
              <w:rPr>
                <w:bCs/>
                <w:sz w:val="21"/>
                <w:szCs w:val="21"/>
                <w:u w:val="single"/>
              </w:rPr>
            </w:pPr>
            <w:r>
              <w:rPr>
                <w:rFonts w:hint="eastAsia"/>
                <w:bCs/>
                <w:sz w:val="21"/>
                <w:szCs w:val="21"/>
                <w:u w:val="single"/>
              </w:rPr>
              <w:t>/</w:t>
            </w:r>
          </w:p>
        </w:tc>
        <w:tc>
          <w:tcPr>
            <w:tcW w:w="2268" w:type="dxa"/>
            <w:vMerge w:val="restart"/>
            <w:vAlign w:val="center"/>
          </w:tcPr>
          <w:p w14:paraId="71C182E4">
            <w:pPr>
              <w:spacing w:line="240" w:lineRule="auto"/>
              <w:ind w:firstLine="0" w:firstLineChars="0"/>
              <w:jc w:val="center"/>
              <w:rPr>
                <w:bCs/>
                <w:sz w:val="21"/>
                <w:szCs w:val="21"/>
                <w:u w:val="single"/>
              </w:rPr>
            </w:pPr>
            <w:r>
              <w:rPr>
                <w:rFonts w:hint="eastAsia"/>
                <w:bCs/>
                <w:sz w:val="21"/>
                <w:szCs w:val="21"/>
                <w:u w:val="single"/>
              </w:rPr>
              <w:t>/</w:t>
            </w:r>
          </w:p>
        </w:tc>
        <w:tc>
          <w:tcPr>
            <w:tcW w:w="1485" w:type="dxa"/>
            <w:vMerge w:val="restart"/>
            <w:vAlign w:val="center"/>
          </w:tcPr>
          <w:p w14:paraId="4871E692">
            <w:pPr>
              <w:spacing w:line="240" w:lineRule="auto"/>
              <w:ind w:firstLine="0" w:firstLineChars="0"/>
              <w:jc w:val="center"/>
              <w:rPr>
                <w:bCs/>
                <w:sz w:val="21"/>
                <w:szCs w:val="21"/>
                <w:u w:val="single"/>
              </w:rPr>
            </w:pPr>
            <w:r>
              <w:rPr>
                <w:rFonts w:hint="eastAsia"/>
                <w:bCs/>
                <w:sz w:val="21"/>
                <w:szCs w:val="21"/>
                <w:u w:val="single"/>
              </w:rPr>
              <w:t>1.0</w:t>
            </w:r>
          </w:p>
        </w:tc>
        <w:tc>
          <w:tcPr>
            <w:tcW w:w="1383" w:type="dxa"/>
            <w:vMerge w:val="restart"/>
            <w:vAlign w:val="center"/>
          </w:tcPr>
          <w:p w14:paraId="0E7806B6">
            <w:pPr>
              <w:spacing w:line="240" w:lineRule="auto"/>
              <w:ind w:firstLine="0" w:firstLineChars="0"/>
              <w:jc w:val="center"/>
              <w:rPr>
                <w:bCs/>
                <w:sz w:val="21"/>
                <w:szCs w:val="21"/>
                <w:u w:val="single"/>
              </w:rPr>
            </w:pPr>
            <w:r>
              <w:rPr>
                <w:rFonts w:hint="eastAsia"/>
                <w:bCs/>
                <w:sz w:val="21"/>
                <w:szCs w:val="21"/>
                <w:u w:val="single"/>
              </w:rPr>
              <w:t>0.45</w:t>
            </w:r>
          </w:p>
        </w:tc>
        <w:tc>
          <w:tcPr>
            <w:tcW w:w="1383" w:type="dxa"/>
            <w:vMerge w:val="restart"/>
            <w:vAlign w:val="center"/>
          </w:tcPr>
          <w:p w14:paraId="1C11D3BF">
            <w:pPr>
              <w:spacing w:line="240" w:lineRule="auto"/>
              <w:ind w:firstLine="0" w:firstLineChars="0"/>
              <w:jc w:val="center"/>
              <w:rPr>
                <w:bCs/>
                <w:sz w:val="21"/>
                <w:szCs w:val="21"/>
                <w:u w:val="single"/>
              </w:rPr>
            </w:pPr>
            <w:r>
              <w:rPr>
                <w:rFonts w:hint="eastAsia"/>
                <w:bCs/>
                <w:sz w:val="21"/>
                <w:szCs w:val="21"/>
                <w:u w:val="single"/>
              </w:rPr>
              <w:t>/</w:t>
            </w:r>
          </w:p>
        </w:tc>
        <w:tc>
          <w:tcPr>
            <w:tcW w:w="1183" w:type="dxa"/>
            <w:vMerge w:val="restart"/>
            <w:vAlign w:val="center"/>
          </w:tcPr>
          <w:p w14:paraId="2DA6366E">
            <w:pPr>
              <w:spacing w:line="240" w:lineRule="auto"/>
              <w:ind w:firstLine="0" w:firstLineChars="0"/>
              <w:jc w:val="center"/>
              <w:rPr>
                <w:bCs/>
                <w:sz w:val="21"/>
                <w:szCs w:val="21"/>
                <w:u w:val="single"/>
              </w:rPr>
            </w:pPr>
            <w:r>
              <w:rPr>
                <w:rFonts w:hint="eastAsia"/>
                <w:bCs/>
                <w:sz w:val="21"/>
                <w:szCs w:val="21"/>
                <w:u w:val="single"/>
              </w:rPr>
              <w:t>/</w:t>
            </w:r>
          </w:p>
        </w:tc>
      </w:tr>
      <w:tr w14:paraId="194A1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vAlign w:val="center"/>
          </w:tcPr>
          <w:p w14:paraId="58A8C9B7">
            <w:pPr>
              <w:spacing w:line="240" w:lineRule="auto"/>
              <w:ind w:firstLine="0" w:firstLineChars="0"/>
              <w:rPr>
                <w:bCs/>
                <w:sz w:val="21"/>
                <w:szCs w:val="21"/>
                <w:u w:val="single"/>
              </w:rPr>
            </w:pPr>
          </w:p>
        </w:tc>
        <w:tc>
          <w:tcPr>
            <w:tcW w:w="759" w:type="dxa"/>
            <w:vAlign w:val="center"/>
          </w:tcPr>
          <w:p w14:paraId="5E4F5CDA">
            <w:pPr>
              <w:spacing w:line="240" w:lineRule="auto"/>
              <w:ind w:firstLine="0" w:firstLineChars="0"/>
              <w:jc w:val="center"/>
              <w:rPr>
                <w:bCs/>
                <w:sz w:val="21"/>
                <w:szCs w:val="21"/>
                <w:u w:val="single"/>
              </w:rPr>
            </w:pPr>
            <w:r>
              <w:rPr>
                <w:bCs/>
                <w:sz w:val="21"/>
                <w:szCs w:val="21"/>
                <w:u w:val="single"/>
              </w:rPr>
              <w:t>西厂界</w:t>
            </w:r>
          </w:p>
        </w:tc>
        <w:tc>
          <w:tcPr>
            <w:tcW w:w="1008" w:type="dxa"/>
            <w:vAlign w:val="center"/>
          </w:tcPr>
          <w:p w14:paraId="25A9FC33">
            <w:pPr>
              <w:spacing w:line="240" w:lineRule="auto"/>
              <w:ind w:firstLine="0" w:firstLineChars="0"/>
              <w:jc w:val="center"/>
              <w:rPr>
                <w:bCs/>
                <w:sz w:val="21"/>
                <w:szCs w:val="21"/>
                <w:u w:val="single"/>
              </w:rPr>
            </w:pPr>
            <w:r>
              <w:rPr>
                <w:rFonts w:hint="eastAsia"/>
                <w:bCs/>
                <w:sz w:val="21"/>
                <w:szCs w:val="21"/>
                <w:u w:val="single"/>
              </w:rPr>
              <w:t>7.11E-06</w:t>
            </w:r>
          </w:p>
        </w:tc>
        <w:tc>
          <w:tcPr>
            <w:tcW w:w="2007" w:type="dxa"/>
            <w:vMerge w:val="continue"/>
            <w:vAlign w:val="center"/>
          </w:tcPr>
          <w:p w14:paraId="04FB866C">
            <w:pPr>
              <w:spacing w:line="240" w:lineRule="auto"/>
              <w:ind w:firstLine="0" w:firstLineChars="0"/>
              <w:jc w:val="center"/>
              <w:rPr>
                <w:bCs/>
                <w:sz w:val="21"/>
                <w:szCs w:val="21"/>
                <w:u w:val="single"/>
              </w:rPr>
            </w:pPr>
          </w:p>
        </w:tc>
        <w:tc>
          <w:tcPr>
            <w:tcW w:w="2395" w:type="dxa"/>
            <w:vMerge w:val="continue"/>
            <w:vAlign w:val="center"/>
          </w:tcPr>
          <w:p w14:paraId="11CA01BA">
            <w:pPr>
              <w:spacing w:line="240" w:lineRule="auto"/>
              <w:ind w:firstLine="0" w:firstLineChars="0"/>
              <w:jc w:val="center"/>
              <w:rPr>
                <w:bCs/>
                <w:sz w:val="21"/>
                <w:szCs w:val="21"/>
                <w:u w:val="single"/>
              </w:rPr>
            </w:pPr>
          </w:p>
        </w:tc>
        <w:tc>
          <w:tcPr>
            <w:tcW w:w="2268" w:type="dxa"/>
            <w:vMerge w:val="continue"/>
            <w:vAlign w:val="center"/>
          </w:tcPr>
          <w:p w14:paraId="56E3BC9E">
            <w:pPr>
              <w:spacing w:line="240" w:lineRule="auto"/>
              <w:ind w:firstLine="0" w:firstLineChars="0"/>
              <w:jc w:val="center"/>
              <w:rPr>
                <w:bCs/>
                <w:sz w:val="21"/>
                <w:szCs w:val="21"/>
                <w:u w:val="single"/>
              </w:rPr>
            </w:pPr>
          </w:p>
        </w:tc>
        <w:tc>
          <w:tcPr>
            <w:tcW w:w="1485" w:type="dxa"/>
            <w:vMerge w:val="continue"/>
            <w:vAlign w:val="center"/>
          </w:tcPr>
          <w:p w14:paraId="42647EA2">
            <w:pPr>
              <w:spacing w:line="240" w:lineRule="auto"/>
              <w:ind w:firstLine="0" w:firstLineChars="0"/>
              <w:jc w:val="center"/>
              <w:rPr>
                <w:bCs/>
                <w:sz w:val="21"/>
                <w:szCs w:val="21"/>
                <w:u w:val="single"/>
              </w:rPr>
            </w:pPr>
          </w:p>
        </w:tc>
        <w:tc>
          <w:tcPr>
            <w:tcW w:w="1383" w:type="dxa"/>
            <w:vMerge w:val="continue"/>
            <w:vAlign w:val="center"/>
          </w:tcPr>
          <w:p w14:paraId="053D04AD">
            <w:pPr>
              <w:spacing w:line="240" w:lineRule="auto"/>
              <w:ind w:firstLine="0" w:firstLineChars="0"/>
              <w:rPr>
                <w:bCs/>
                <w:sz w:val="21"/>
                <w:szCs w:val="21"/>
                <w:u w:val="single"/>
              </w:rPr>
            </w:pPr>
          </w:p>
        </w:tc>
        <w:tc>
          <w:tcPr>
            <w:tcW w:w="1383" w:type="dxa"/>
            <w:vMerge w:val="continue"/>
            <w:vAlign w:val="center"/>
          </w:tcPr>
          <w:p w14:paraId="329D1ADB">
            <w:pPr>
              <w:spacing w:line="240" w:lineRule="auto"/>
              <w:ind w:firstLine="0" w:firstLineChars="0"/>
              <w:jc w:val="center"/>
              <w:rPr>
                <w:bCs/>
                <w:sz w:val="21"/>
                <w:szCs w:val="21"/>
                <w:u w:val="single"/>
              </w:rPr>
            </w:pPr>
          </w:p>
        </w:tc>
        <w:tc>
          <w:tcPr>
            <w:tcW w:w="1183" w:type="dxa"/>
            <w:vMerge w:val="continue"/>
            <w:vAlign w:val="center"/>
          </w:tcPr>
          <w:p w14:paraId="10E913A7">
            <w:pPr>
              <w:spacing w:line="240" w:lineRule="auto"/>
              <w:ind w:firstLine="0" w:firstLineChars="0"/>
              <w:jc w:val="center"/>
              <w:rPr>
                <w:bCs/>
                <w:sz w:val="21"/>
                <w:szCs w:val="21"/>
                <w:u w:val="single"/>
              </w:rPr>
            </w:pPr>
          </w:p>
        </w:tc>
      </w:tr>
      <w:tr w14:paraId="2D61A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625" w:type="dxa"/>
            <w:vMerge w:val="continue"/>
            <w:vAlign w:val="center"/>
          </w:tcPr>
          <w:p w14:paraId="4955A765">
            <w:pPr>
              <w:spacing w:line="240" w:lineRule="auto"/>
              <w:ind w:firstLine="0" w:firstLineChars="0"/>
              <w:rPr>
                <w:bCs/>
                <w:sz w:val="21"/>
                <w:szCs w:val="21"/>
                <w:u w:val="single"/>
              </w:rPr>
            </w:pPr>
          </w:p>
        </w:tc>
        <w:tc>
          <w:tcPr>
            <w:tcW w:w="759" w:type="dxa"/>
            <w:vAlign w:val="center"/>
          </w:tcPr>
          <w:p w14:paraId="7603B923">
            <w:pPr>
              <w:spacing w:line="240" w:lineRule="auto"/>
              <w:ind w:firstLine="0" w:firstLineChars="0"/>
              <w:jc w:val="center"/>
              <w:rPr>
                <w:bCs/>
                <w:sz w:val="21"/>
                <w:szCs w:val="21"/>
                <w:u w:val="single"/>
              </w:rPr>
            </w:pPr>
            <w:r>
              <w:rPr>
                <w:bCs/>
                <w:sz w:val="21"/>
                <w:szCs w:val="21"/>
                <w:u w:val="single"/>
              </w:rPr>
              <w:t>南厂界</w:t>
            </w:r>
          </w:p>
        </w:tc>
        <w:tc>
          <w:tcPr>
            <w:tcW w:w="1008" w:type="dxa"/>
            <w:vAlign w:val="center"/>
          </w:tcPr>
          <w:p w14:paraId="07E25FB1">
            <w:pPr>
              <w:spacing w:line="240" w:lineRule="auto"/>
              <w:ind w:firstLine="0" w:firstLineChars="0"/>
              <w:jc w:val="center"/>
              <w:rPr>
                <w:bCs/>
                <w:sz w:val="21"/>
                <w:szCs w:val="21"/>
                <w:u w:val="single"/>
              </w:rPr>
            </w:pPr>
            <w:r>
              <w:rPr>
                <w:rFonts w:hint="eastAsia"/>
                <w:bCs/>
                <w:sz w:val="21"/>
                <w:szCs w:val="21"/>
                <w:u w:val="single"/>
              </w:rPr>
              <w:t>8.14E-04</w:t>
            </w:r>
          </w:p>
        </w:tc>
        <w:tc>
          <w:tcPr>
            <w:tcW w:w="2007" w:type="dxa"/>
            <w:vMerge w:val="continue"/>
            <w:vAlign w:val="center"/>
          </w:tcPr>
          <w:p w14:paraId="1D030B53">
            <w:pPr>
              <w:spacing w:line="240" w:lineRule="auto"/>
              <w:ind w:firstLine="0" w:firstLineChars="0"/>
              <w:jc w:val="center"/>
              <w:rPr>
                <w:bCs/>
                <w:sz w:val="21"/>
                <w:szCs w:val="21"/>
                <w:u w:val="single"/>
              </w:rPr>
            </w:pPr>
          </w:p>
        </w:tc>
        <w:tc>
          <w:tcPr>
            <w:tcW w:w="2395" w:type="dxa"/>
            <w:vMerge w:val="continue"/>
            <w:vAlign w:val="center"/>
          </w:tcPr>
          <w:p w14:paraId="7A014701">
            <w:pPr>
              <w:spacing w:line="240" w:lineRule="auto"/>
              <w:ind w:firstLine="0" w:firstLineChars="0"/>
              <w:jc w:val="center"/>
              <w:rPr>
                <w:bCs/>
                <w:sz w:val="21"/>
                <w:szCs w:val="21"/>
                <w:u w:val="single"/>
              </w:rPr>
            </w:pPr>
          </w:p>
        </w:tc>
        <w:tc>
          <w:tcPr>
            <w:tcW w:w="2268" w:type="dxa"/>
            <w:vMerge w:val="continue"/>
            <w:vAlign w:val="center"/>
          </w:tcPr>
          <w:p w14:paraId="660BF6FF">
            <w:pPr>
              <w:spacing w:line="240" w:lineRule="auto"/>
              <w:ind w:firstLine="0" w:firstLineChars="0"/>
              <w:jc w:val="center"/>
              <w:rPr>
                <w:bCs/>
                <w:sz w:val="21"/>
                <w:szCs w:val="21"/>
                <w:u w:val="single"/>
              </w:rPr>
            </w:pPr>
          </w:p>
        </w:tc>
        <w:tc>
          <w:tcPr>
            <w:tcW w:w="1485" w:type="dxa"/>
            <w:vMerge w:val="continue"/>
            <w:vAlign w:val="center"/>
          </w:tcPr>
          <w:p w14:paraId="54BBF32D">
            <w:pPr>
              <w:spacing w:line="240" w:lineRule="auto"/>
              <w:ind w:firstLine="0" w:firstLineChars="0"/>
              <w:jc w:val="center"/>
              <w:rPr>
                <w:bCs/>
                <w:sz w:val="21"/>
                <w:szCs w:val="21"/>
                <w:u w:val="single"/>
              </w:rPr>
            </w:pPr>
          </w:p>
        </w:tc>
        <w:tc>
          <w:tcPr>
            <w:tcW w:w="1383" w:type="dxa"/>
            <w:vMerge w:val="continue"/>
            <w:vAlign w:val="center"/>
          </w:tcPr>
          <w:p w14:paraId="127DB30A">
            <w:pPr>
              <w:spacing w:line="240" w:lineRule="auto"/>
              <w:ind w:firstLine="0" w:firstLineChars="0"/>
              <w:rPr>
                <w:bCs/>
                <w:sz w:val="21"/>
                <w:szCs w:val="21"/>
                <w:u w:val="single"/>
              </w:rPr>
            </w:pPr>
          </w:p>
        </w:tc>
        <w:tc>
          <w:tcPr>
            <w:tcW w:w="1383" w:type="dxa"/>
            <w:vMerge w:val="continue"/>
            <w:vAlign w:val="center"/>
          </w:tcPr>
          <w:p w14:paraId="32ED8D15">
            <w:pPr>
              <w:spacing w:line="240" w:lineRule="auto"/>
              <w:ind w:firstLine="0" w:firstLineChars="0"/>
              <w:jc w:val="center"/>
              <w:rPr>
                <w:bCs/>
                <w:sz w:val="21"/>
                <w:szCs w:val="21"/>
                <w:u w:val="single"/>
              </w:rPr>
            </w:pPr>
          </w:p>
        </w:tc>
        <w:tc>
          <w:tcPr>
            <w:tcW w:w="1183" w:type="dxa"/>
            <w:vMerge w:val="continue"/>
            <w:vAlign w:val="center"/>
          </w:tcPr>
          <w:p w14:paraId="7B4A40C6">
            <w:pPr>
              <w:spacing w:line="240" w:lineRule="auto"/>
              <w:ind w:firstLine="0" w:firstLineChars="0"/>
              <w:jc w:val="center"/>
              <w:rPr>
                <w:bCs/>
                <w:sz w:val="21"/>
                <w:szCs w:val="21"/>
                <w:u w:val="single"/>
              </w:rPr>
            </w:pPr>
          </w:p>
        </w:tc>
      </w:tr>
      <w:tr w14:paraId="068B1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vAlign w:val="center"/>
          </w:tcPr>
          <w:p w14:paraId="16A50011">
            <w:pPr>
              <w:spacing w:line="240" w:lineRule="auto"/>
              <w:ind w:firstLine="0" w:firstLineChars="0"/>
              <w:rPr>
                <w:bCs/>
                <w:sz w:val="21"/>
                <w:szCs w:val="21"/>
                <w:u w:val="single"/>
              </w:rPr>
            </w:pPr>
          </w:p>
        </w:tc>
        <w:tc>
          <w:tcPr>
            <w:tcW w:w="759" w:type="dxa"/>
            <w:vAlign w:val="center"/>
          </w:tcPr>
          <w:p w14:paraId="53004D4A">
            <w:pPr>
              <w:spacing w:line="240" w:lineRule="auto"/>
              <w:ind w:firstLine="0" w:firstLineChars="0"/>
              <w:jc w:val="center"/>
              <w:rPr>
                <w:bCs/>
                <w:sz w:val="21"/>
                <w:szCs w:val="21"/>
                <w:u w:val="single"/>
              </w:rPr>
            </w:pPr>
            <w:r>
              <w:rPr>
                <w:bCs/>
                <w:sz w:val="21"/>
                <w:szCs w:val="21"/>
                <w:u w:val="single"/>
              </w:rPr>
              <w:t>北厂界</w:t>
            </w:r>
          </w:p>
        </w:tc>
        <w:tc>
          <w:tcPr>
            <w:tcW w:w="1008" w:type="dxa"/>
            <w:vAlign w:val="center"/>
          </w:tcPr>
          <w:p w14:paraId="4DA1E3CD">
            <w:pPr>
              <w:spacing w:line="240" w:lineRule="auto"/>
              <w:ind w:firstLine="0" w:firstLineChars="0"/>
              <w:jc w:val="center"/>
              <w:rPr>
                <w:bCs/>
                <w:sz w:val="21"/>
                <w:szCs w:val="21"/>
                <w:u w:val="single"/>
              </w:rPr>
            </w:pPr>
            <w:r>
              <w:rPr>
                <w:rFonts w:hint="eastAsia"/>
                <w:bCs/>
                <w:sz w:val="21"/>
                <w:szCs w:val="21"/>
                <w:u w:val="single"/>
              </w:rPr>
              <w:t>1.09E-03</w:t>
            </w:r>
          </w:p>
        </w:tc>
        <w:tc>
          <w:tcPr>
            <w:tcW w:w="2007" w:type="dxa"/>
            <w:vMerge w:val="continue"/>
            <w:vAlign w:val="center"/>
          </w:tcPr>
          <w:p w14:paraId="0730BDBA">
            <w:pPr>
              <w:spacing w:line="240" w:lineRule="auto"/>
              <w:ind w:firstLine="0" w:firstLineChars="0"/>
              <w:jc w:val="center"/>
              <w:rPr>
                <w:bCs/>
                <w:sz w:val="21"/>
                <w:szCs w:val="21"/>
                <w:u w:val="single"/>
              </w:rPr>
            </w:pPr>
          </w:p>
        </w:tc>
        <w:tc>
          <w:tcPr>
            <w:tcW w:w="2395" w:type="dxa"/>
            <w:vMerge w:val="continue"/>
            <w:vAlign w:val="center"/>
          </w:tcPr>
          <w:p w14:paraId="3E027FFA">
            <w:pPr>
              <w:spacing w:line="240" w:lineRule="auto"/>
              <w:ind w:firstLine="0" w:firstLineChars="0"/>
              <w:jc w:val="center"/>
              <w:rPr>
                <w:bCs/>
                <w:sz w:val="21"/>
                <w:szCs w:val="21"/>
                <w:u w:val="single"/>
              </w:rPr>
            </w:pPr>
          </w:p>
        </w:tc>
        <w:tc>
          <w:tcPr>
            <w:tcW w:w="2268" w:type="dxa"/>
            <w:vMerge w:val="continue"/>
            <w:vAlign w:val="center"/>
          </w:tcPr>
          <w:p w14:paraId="2BCA8EC9">
            <w:pPr>
              <w:spacing w:line="240" w:lineRule="auto"/>
              <w:ind w:firstLine="0" w:firstLineChars="0"/>
              <w:jc w:val="center"/>
              <w:rPr>
                <w:bCs/>
                <w:sz w:val="21"/>
                <w:szCs w:val="21"/>
                <w:u w:val="single"/>
              </w:rPr>
            </w:pPr>
          </w:p>
        </w:tc>
        <w:tc>
          <w:tcPr>
            <w:tcW w:w="1485" w:type="dxa"/>
            <w:vMerge w:val="continue"/>
            <w:vAlign w:val="center"/>
          </w:tcPr>
          <w:p w14:paraId="73058DEA">
            <w:pPr>
              <w:spacing w:line="240" w:lineRule="auto"/>
              <w:ind w:firstLine="0" w:firstLineChars="0"/>
              <w:jc w:val="center"/>
              <w:rPr>
                <w:bCs/>
                <w:sz w:val="21"/>
                <w:szCs w:val="21"/>
                <w:u w:val="single"/>
              </w:rPr>
            </w:pPr>
          </w:p>
        </w:tc>
        <w:tc>
          <w:tcPr>
            <w:tcW w:w="1383" w:type="dxa"/>
            <w:vMerge w:val="continue"/>
            <w:vAlign w:val="center"/>
          </w:tcPr>
          <w:p w14:paraId="56AD1A18">
            <w:pPr>
              <w:spacing w:line="240" w:lineRule="auto"/>
              <w:ind w:firstLine="0" w:firstLineChars="0"/>
              <w:rPr>
                <w:bCs/>
                <w:sz w:val="21"/>
                <w:szCs w:val="21"/>
                <w:u w:val="single"/>
              </w:rPr>
            </w:pPr>
          </w:p>
        </w:tc>
        <w:tc>
          <w:tcPr>
            <w:tcW w:w="1383" w:type="dxa"/>
            <w:vMerge w:val="continue"/>
            <w:vAlign w:val="center"/>
          </w:tcPr>
          <w:p w14:paraId="43B385B0">
            <w:pPr>
              <w:spacing w:line="240" w:lineRule="auto"/>
              <w:ind w:firstLine="0" w:firstLineChars="0"/>
              <w:jc w:val="center"/>
              <w:rPr>
                <w:bCs/>
                <w:sz w:val="21"/>
                <w:szCs w:val="21"/>
                <w:u w:val="single"/>
              </w:rPr>
            </w:pPr>
          </w:p>
        </w:tc>
        <w:tc>
          <w:tcPr>
            <w:tcW w:w="1183" w:type="dxa"/>
            <w:vMerge w:val="continue"/>
            <w:vAlign w:val="center"/>
          </w:tcPr>
          <w:p w14:paraId="49CEF6C4">
            <w:pPr>
              <w:spacing w:line="240" w:lineRule="auto"/>
              <w:ind w:firstLine="0" w:firstLineChars="0"/>
              <w:jc w:val="center"/>
              <w:rPr>
                <w:bCs/>
                <w:sz w:val="21"/>
                <w:szCs w:val="21"/>
                <w:u w:val="single"/>
              </w:rPr>
            </w:pPr>
          </w:p>
        </w:tc>
      </w:tr>
      <w:tr w14:paraId="043A5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625" w:type="dxa"/>
            <w:vMerge w:val="restart"/>
            <w:shd w:val="clear" w:color="auto" w:fill="auto"/>
            <w:vAlign w:val="center"/>
          </w:tcPr>
          <w:p w14:paraId="0F6EA4CE">
            <w:pPr>
              <w:spacing w:line="240" w:lineRule="auto"/>
              <w:ind w:firstLine="0" w:firstLineChars="0"/>
              <w:jc w:val="center"/>
              <w:rPr>
                <w:bCs/>
                <w:sz w:val="21"/>
                <w:szCs w:val="21"/>
                <w:u w:val="single"/>
              </w:rPr>
            </w:pPr>
            <w:r>
              <w:rPr>
                <w:rFonts w:hint="eastAsia"/>
                <w:bCs/>
                <w:sz w:val="21"/>
                <w:szCs w:val="21"/>
                <w:u w:val="single"/>
              </w:rPr>
              <w:t>硫酸雾</w:t>
            </w:r>
          </w:p>
        </w:tc>
        <w:tc>
          <w:tcPr>
            <w:tcW w:w="759" w:type="dxa"/>
            <w:vAlign w:val="center"/>
          </w:tcPr>
          <w:p w14:paraId="22B52869">
            <w:pPr>
              <w:spacing w:line="240" w:lineRule="auto"/>
              <w:ind w:firstLine="0" w:firstLineChars="0"/>
              <w:jc w:val="center"/>
              <w:rPr>
                <w:bCs/>
                <w:sz w:val="21"/>
                <w:szCs w:val="21"/>
                <w:u w:val="single"/>
              </w:rPr>
            </w:pPr>
            <w:r>
              <w:rPr>
                <w:bCs/>
                <w:sz w:val="21"/>
                <w:szCs w:val="21"/>
                <w:u w:val="single"/>
              </w:rPr>
              <w:t>东厂界</w:t>
            </w:r>
          </w:p>
        </w:tc>
        <w:tc>
          <w:tcPr>
            <w:tcW w:w="1008" w:type="dxa"/>
            <w:vAlign w:val="center"/>
          </w:tcPr>
          <w:p w14:paraId="1ADC191E">
            <w:pPr>
              <w:spacing w:line="240" w:lineRule="auto"/>
              <w:ind w:firstLine="0" w:firstLineChars="0"/>
              <w:jc w:val="center"/>
              <w:rPr>
                <w:bCs/>
                <w:sz w:val="21"/>
                <w:szCs w:val="21"/>
                <w:u w:val="single"/>
              </w:rPr>
            </w:pPr>
            <w:r>
              <w:rPr>
                <w:rFonts w:hint="eastAsia"/>
                <w:bCs/>
                <w:sz w:val="21"/>
                <w:szCs w:val="21"/>
                <w:u w:val="single"/>
              </w:rPr>
              <w:t>8.98E-05</w:t>
            </w:r>
          </w:p>
        </w:tc>
        <w:tc>
          <w:tcPr>
            <w:tcW w:w="2007" w:type="dxa"/>
            <w:vMerge w:val="restart"/>
            <w:vAlign w:val="center"/>
          </w:tcPr>
          <w:p w14:paraId="55A1AE6F">
            <w:pPr>
              <w:spacing w:line="240" w:lineRule="auto"/>
              <w:ind w:firstLine="0" w:firstLineChars="0"/>
              <w:jc w:val="center"/>
              <w:rPr>
                <w:bCs/>
                <w:sz w:val="21"/>
                <w:szCs w:val="21"/>
                <w:u w:val="single"/>
              </w:rPr>
            </w:pPr>
            <w:r>
              <w:rPr>
                <w:rFonts w:hint="eastAsia"/>
                <w:bCs/>
                <w:sz w:val="21"/>
                <w:szCs w:val="21"/>
                <w:u w:val="single"/>
              </w:rPr>
              <w:t>/</w:t>
            </w:r>
          </w:p>
        </w:tc>
        <w:tc>
          <w:tcPr>
            <w:tcW w:w="2395" w:type="dxa"/>
            <w:vMerge w:val="restart"/>
            <w:vAlign w:val="center"/>
          </w:tcPr>
          <w:p w14:paraId="5790D56B">
            <w:pPr>
              <w:spacing w:line="240" w:lineRule="auto"/>
              <w:ind w:firstLine="0" w:firstLineChars="0"/>
              <w:jc w:val="center"/>
              <w:rPr>
                <w:bCs/>
                <w:sz w:val="21"/>
                <w:szCs w:val="21"/>
                <w:u w:val="single"/>
              </w:rPr>
            </w:pPr>
            <w:r>
              <w:rPr>
                <w:rFonts w:hint="eastAsia"/>
                <w:bCs/>
                <w:sz w:val="21"/>
                <w:szCs w:val="21"/>
                <w:u w:val="single"/>
              </w:rPr>
              <w:t>/</w:t>
            </w:r>
          </w:p>
        </w:tc>
        <w:tc>
          <w:tcPr>
            <w:tcW w:w="2268" w:type="dxa"/>
            <w:vMerge w:val="restart"/>
            <w:vAlign w:val="center"/>
          </w:tcPr>
          <w:p w14:paraId="710DC71C">
            <w:pPr>
              <w:spacing w:line="240" w:lineRule="auto"/>
              <w:ind w:firstLine="0" w:firstLineChars="0"/>
              <w:jc w:val="center"/>
              <w:rPr>
                <w:bCs/>
                <w:sz w:val="21"/>
                <w:szCs w:val="21"/>
                <w:u w:val="single"/>
              </w:rPr>
            </w:pPr>
            <w:r>
              <w:rPr>
                <w:rFonts w:hint="eastAsia"/>
                <w:bCs/>
                <w:sz w:val="21"/>
                <w:szCs w:val="21"/>
                <w:u w:val="single"/>
              </w:rPr>
              <w:t>/</w:t>
            </w:r>
          </w:p>
        </w:tc>
        <w:tc>
          <w:tcPr>
            <w:tcW w:w="1485" w:type="dxa"/>
            <w:vMerge w:val="restart"/>
            <w:vAlign w:val="center"/>
          </w:tcPr>
          <w:p w14:paraId="64A84508">
            <w:pPr>
              <w:spacing w:line="240" w:lineRule="auto"/>
              <w:ind w:firstLine="0" w:firstLineChars="0"/>
              <w:jc w:val="center"/>
              <w:rPr>
                <w:bCs/>
                <w:sz w:val="21"/>
                <w:szCs w:val="21"/>
                <w:u w:val="single"/>
              </w:rPr>
            </w:pPr>
            <w:r>
              <w:rPr>
                <w:rFonts w:hint="eastAsia"/>
                <w:bCs/>
                <w:sz w:val="21"/>
                <w:szCs w:val="21"/>
                <w:u w:val="single"/>
              </w:rPr>
              <w:t>1.2</w:t>
            </w:r>
          </w:p>
        </w:tc>
        <w:tc>
          <w:tcPr>
            <w:tcW w:w="1383" w:type="dxa"/>
            <w:vMerge w:val="restart"/>
            <w:vAlign w:val="center"/>
          </w:tcPr>
          <w:p w14:paraId="08BC46A1">
            <w:pPr>
              <w:spacing w:line="240" w:lineRule="auto"/>
              <w:ind w:firstLine="0" w:firstLineChars="0"/>
              <w:jc w:val="center"/>
              <w:rPr>
                <w:bCs/>
                <w:sz w:val="21"/>
                <w:szCs w:val="21"/>
                <w:u w:val="single"/>
              </w:rPr>
            </w:pPr>
            <w:r>
              <w:rPr>
                <w:rFonts w:hint="eastAsia"/>
                <w:bCs/>
                <w:sz w:val="21"/>
                <w:szCs w:val="21"/>
                <w:u w:val="single"/>
              </w:rPr>
              <w:t>/</w:t>
            </w:r>
          </w:p>
        </w:tc>
        <w:tc>
          <w:tcPr>
            <w:tcW w:w="1383" w:type="dxa"/>
            <w:vMerge w:val="restart"/>
            <w:vAlign w:val="center"/>
          </w:tcPr>
          <w:p w14:paraId="28E1138D">
            <w:pPr>
              <w:spacing w:line="240" w:lineRule="auto"/>
              <w:ind w:firstLine="0" w:firstLineChars="0"/>
              <w:jc w:val="center"/>
              <w:rPr>
                <w:bCs/>
                <w:sz w:val="21"/>
                <w:szCs w:val="21"/>
                <w:u w:val="single"/>
              </w:rPr>
            </w:pPr>
            <w:r>
              <w:rPr>
                <w:rFonts w:hint="eastAsia"/>
                <w:bCs/>
                <w:sz w:val="21"/>
                <w:szCs w:val="21"/>
                <w:u w:val="single"/>
              </w:rPr>
              <w:t>0.3</w:t>
            </w:r>
          </w:p>
        </w:tc>
        <w:tc>
          <w:tcPr>
            <w:tcW w:w="1183" w:type="dxa"/>
            <w:vMerge w:val="restart"/>
            <w:vAlign w:val="center"/>
          </w:tcPr>
          <w:p w14:paraId="39EE40D7">
            <w:pPr>
              <w:spacing w:line="240" w:lineRule="auto"/>
              <w:ind w:firstLine="0" w:firstLineChars="0"/>
              <w:jc w:val="center"/>
              <w:rPr>
                <w:bCs/>
                <w:sz w:val="21"/>
                <w:szCs w:val="21"/>
                <w:u w:val="single"/>
              </w:rPr>
            </w:pPr>
            <w:r>
              <w:rPr>
                <w:rFonts w:hint="eastAsia"/>
                <w:bCs/>
                <w:sz w:val="21"/>
                <w:szCs w:val="21"/>
                <w:u w:val="single"/>
              </w:rPr>
              <w:t>/</w:t>
            </w:r>
          </w:p>
        </w:tc>
      </w:tr>
      <w:tr w14:paraId="4CD4A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shd w:val="clear" w:color="auto" w:fill="auto"/>
            <w:vAlign w:val="center"/>
          </w:tcPr>
          <w:p w14:paraId="456BADD2">
            <w:pPr>
              <w:spacing w:line="240" w:lineRule="auto"/>
              <w:ind w:firstLine="0" w:firstLineChars="0"/>
              <w:jc w:val="center"/>
              <w:rPr>
                <w:bCs/>
                <w:sz w:val="21"/>
                <w:szCs w:val="21"/>
                <w:u w:val="single"/>
              </w:rPr>
            </w:pPr>
          </w:p>
        </w:tc>
        <w:tc>
          <w:tcPr>
            <w:tcW w:w="759" w:type="dxa"/>
            <w:vAlign w:val="center"/>
          </w:tcPr>
          <w:p w14:paraId="4EF831CC">
            <w:pPr>
              <w:spacing w:line="240" w:lineRule="auto"/>
              <w:ind w:firstLine="0" w:firstLineChars="0"/>
              <w:jc w:val="center"/>
              <w:rPr>
                <w:bCs/>
                <w:sz w:val="21"/>
                <w:szCs w:val="21"/>
                <w:u w:val="single"/>
              </w:rPr>
            </w:pPr>
            <w:r>
              <w:rPr>
                <w:bCs/>
                <w:sz w:val="21"/>
                <w:szCs w:val="21"/>
                <w:u w:val="single"/>
              </w:rPr>
              <w:t>西厂界</w:t>
            </w:r>
          </w:p>
        </w:tc>
        <w:tc>
          <w:tcPr>
            <w:tcW w:w="1008" w:type="dxa"/>
            <w:vAlign w:val="center"/>
          </w:tcPr>
          <w:p w14:paraId="229B3727">
            <w:pPr>
              <w:spacing w:line="240" w:lineRule="auto"/>
              <w:ind w:firstLine="0" w:firstLineChars="0"/>
              <w:jc w:val="center"/>
              <w:rPr>
                <w:bCs/>
                <w:sz w:val="21"/>
                <w:szCs w:val="21"/>
                <w:u w:val="single"/>
              </w:rPr>
            </w:pPr>
            <w:r>
              <w:rPr>
                <w:rFonts w:hint="eastAsia"/>
                <w:bCs/>
                <w:sz w:val="21"/>
                <w:szCs w:val="21"/>
                <w:u w:val="single"/>
              </w:rPr>
              <w:t>1.11E-06</w:t>
            </w:r>
          </w:p>
        </w:tc>
        <w:tc>
          <w:tcPr>
            <w:tcW w:w="2007" w:type="dxa"/>
            <w:vMerge w:val="continue"/>
            <w:vAlign w:val="center"/>
          </w:tcPr>
          <w:p w14:paraId="1AF891BE">
            <w:pPr>
              <w:spacing w:line="240" w:lineRule="auto"/>
              <w:ind w:firstLine="0" w:firstLineChars="0"/>
              <w:jc w:val="center"/>
              <w:rPr>
                <w:bCs/>
                <w:sz w:val="21"/>
                <w:szCs w:val="21"/>
                <w:u w:val="single"/>
              </w:rPr>
            </w:pPr>
          </w:p>
        </w:tc>
        <w:tc>
          <w:tcPr>
            <w:tcW w:w="2395" w:type="dxa"/>
            <w:vMerge w:val="continue"/>
            <w:vAlign w:val="center"/>
          </w:tcPr>
          <w:p w14:paraId="16890B31">
            <w:pPr>
              <w:spacing w:line="240" w:lineRule="auto"/>
              <w:ind w:firstLine="0" w:firstLineChars="0"/>
              <w:jc w:val="center"/>
              <w:rPr>
                <w:bCs/>
                <w:sz w:val="21"/>
                <w:szCs w:val="21"/>
                <w:u w:val="single"/>
              </w:rPr>
            </w:pPr>
          </w:p>
        </w:tc>
        <w:tc>
          <w:tcPr>
            <w:tcW w:w="2268" w:type="dxa"/>
            <w:vMerge w:val="continue"/>
            <w:vAlign w:val="center"/>
          </w:tcPr>
          <w:p w14:paraId="021A40E3">
            <w:pPr>
              <w:spacing w:line="240" w:lineRule="auto"/>
              <w:ind w:firstLine="0" w:firstLineChars="0"/>
              <w:jc w:val="center"/>
              <w:rPr>
                <w:bCs/>
                <w:sz w:val="21"/>
                <w:szCs w:val="21"/>
                <w:u w:val="single"/>
              </w:rPr>
            </w:pPr>
          </w:p>
        </w:tc>
        <w:tc>
          <w:tcPr>
            <w:tcW w:w="1485" w:type="dxa"/>
            <w:vMerge w:val="continue"/>
            <w:vAlign w:val="center"/>
          </w:tcPr>
          <w:p w14:paraId="27EF7C4C">
            <w:pPr>
              <w:spacing w:line="240" w:lineRule="auto"/>
              <w:ind w:firstLine="0" w:firstLineChars="0"/>
              <w:jc w:val="center"/>
              <w:rPr>
                <w:bCs/>
                <w:sz w:val="21"/>
                <w:szCs w:val="21"/>
                <w:u w:val="single"/>
              </w:rPr>
            </w:pPr>
          </w:p>
        </w:tc>
        <w:tc>
          <w:tcPr>
            <w:tcW w:w="1383" w:type="dxa"/>
            <w:vMerge w:val="continue"/>
            <w:vAlign w:val="center"/>
          </w:tcPr>
          <w:p w14:paraId="379F970E">
            <w:pPr>
              <w:spacing w:line="240" w:lineRule="auto"/>
              <w:ind w:firstLine="0" w:firstLineChars="0"/>
              <w:jc w:val="center"/>
              <w:rPr>
                <w:bCs/>
                <w:sz w:val="21"/>
                <w:szCs w:val="21"/>
                <w:u w:val="single"/>
              </w:rPr>
            </w:pPr>
          </w:p>
        </w:tc>
        <w:tc>
          <w:tcPr>
            <w:tcW w:w="1383" w:type="dxa"/>
            <w:vMerge w:val="continue"/>
            <w:vAlign w:val="center"/>
          </w:tcPr>
          <w:p w14:paraId="3C514B43">
            <w:pPr>
              <w:spacing w:line="240" w:lineRule="auto"/>
              <w:ind w:firstLine="0" w:firstLineChars="0"/>
              <w:jc w:val="center"/>
              <w:rPr>
                <w:bCs/>
                <w:sz w:val="21"/>
                <w:szCs w:val="21"/>
                <w:u w:val="single"/>
              </w:rPr>
            </w:pPr>
          </w:p>
        </w:tc>
        <w:tc>
          <w:tcPr>
            <w:tcW w:w="1183" w:type="dxa"/>
            <w:vMerge w:val="continue"/>
            <w:vAlign w:val="center"/>
          </w:tcPr>
          <w:p w14:paraId="0072BD4C">
            <w:pPr>
              <w:spacing w:line="240" w:lineRule="auto"/>
              <w:ind w:firstLine="0" w:firstLineChars="0"/>
              <w:jc w:val="center"/>
              <w:rPr>
                <w:bCs/>
                <w:sz w:val="21"/>
                <w:szCs w:val="21"/>
                <w:u w:val="single"/>
              </w:rPr>
            </w:pPr>
          </w:p>
        </w:tc>
      </w:tr>
      <w:tr w14:paraId="20003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shd w:val="clear" w:color="auto" w:fill="auto"/>
            <w:vAlign w:val="center"/>
          </w:tcPr>
          <w:p w14:paraId="2CF2C81D">
            <w:pPr>
              <w:spacing w:line="240" w:lineRule="auto"/>
              <w:ind w:firstLine="0" w:firstLineChars="0"/>
              <w:jc w:val="center"/>
              <w:rPr>
                <w:bCs/>
                <w:sz w:val="21"/>
                <w:szCs w:val="21"/>
                <w:u w:val="single"/>
              </w:rPr>
            </w:pPr>
          </w:p>
        </w:tc>
        <w:tc>
          <w:tcPr>
            <w:tcW w:w="759" w:type="dxa"/>
            <w:vAlign w:val="center"/>
          </w:tcPr>
          <w:p w14:paraId="78F3C551">
            <w:pPr>
              <w:spacing w:line="240" w:lineRule="auto"/>
              <w:ind w:firstLine="0" w:firstLineChars="0"/>
              <w:jc w:val="center"/>
              <w:rPr>
                <w:bCs/>
                <w:sz w:val="21"/>
                <w:szCs w:val="21"/>
                <w:u w:val="single"/>
              </w:rPr>
            </w:pPr>
            <w:r>
              <w:rPr>
                <w:bCs/>
                <w:sz w:val="21"/>
                <w:szCs w:val="21"/>
                <w:u w:val="single"/>
              </w:rPr>
              <w:t>南厂界</w:t>
            </w:r>
          </w:p>
        </w:tc>
        <w:tc>
          <w:tcPr>
            <w:tcW w:w="1008" w:type="dxa"/>
            <w:vAlign w:val="center"/>
          </w:tcPr>
          <w:p w14:paraId="3AE5AAE3">
            <w:pPr>
              <w:spacing w:line="240" w:lineRule="auto"/>
              <w:ind w:firstLine="0" w:firstLineChars="0"/>
              <w:jc w:val="center"/>
              <w:rPr>
                <w:bCs/>
                <w:sz w:val="21"/>
                <w:szCs w:val="21"/>
                <w:u w:val="single"/>
              </w:rPr>
            </w:pPr>
            <w:r>
              <w:rPr>
                <w:rFonts w:hint="eastAsia"/>
                <w:bCs/>
                <w:sz w:val="21"/>
                <w:szCs w:val="21"/>
                <w:u w:val="single"/>
              </w:rPr>
              <w:t>1.21E-04</w:t>
            </w:r>
          </w:p>
        </w:tc>
        <w:tc>
          <w:tcPr>
            <w:tcW w:w="2007" w:type="dxa"/>
            <w:vMerge w:val="continue"/>
            <w:vAlign w:val="center"/>
          </w:tcPr>
          <w:p w14:paraId="56EBDAC5">
            <w:pPr>
              <w:spacing w:line="240" w:lineRule="auto"/>
              <w:ind w:firstLine="0" w:firstLineChars="0"/>
              <w:jc w:val="center"/>
              <w:rPr>
                <w:bCs/>
                <w:sz w:val="21"/>
                <w:szCs w:val="21"/>
                <w:u w:val="single"/>
              </w:rPr>
            </w:pPr>
          </w:p>
        </w:tc>
        <w:tc>
          <w:tcPr>
            <w:tcW w:w="2395" w:type="dxa"/>
            <w:vMerge w:val="continue"/>
            <w:vAlign w:val="center"/>
          </w:tcPr>
          <w:p w14:paraId="12813758">
            <w:pPr>
              <w:spacing w:line="240" w:lineRule="auto"/>
              <w:ind w:firstLine="0" w:firstLineChars="0"/>
              <w:jc w:val="center"/>
              <w:rPr>
                <w:bCs/>
                <w:sz w:val="21"/>
                <w:szCs w:val="21"/>
                <w:u w:val="single"/>
              </w:rPr>
            </w:pPr>
          </w:p>
        </w:tc>
        <w:tc>
          <w:tcPr>
            <w:tcW w:w="2268" w:type="dxa"/>
            <w:vMerge w:val="continue"/>
            <w:vAlign w:val="center"/>
          </w:tcPr>
          <w:p w14:paraId="2890AD81">
            <w:pPr>
              <w:spacing w:line="240" w:lineRule="auto"/>
              <w:ind w:firstLine="0" w:firstLineChars="0"/>
              <w:jc w:val="center"/>
              <w:rPr>
                <w:bCs/>
                <w:sz w:val="21"/>
                <w:szCs w:val="21"/>
                <w:u w:val="single"/>
              </w:rPr>
            </w:pPr>
          </w:p>
        </w:tc>
        <w:tc>
          <w:tcPr>
            <w:tcW w:w="1485" w:type="dxa"/>
            <w:vMerge w:val="continue"/>
            <w:vAlign w:val="center"/>
          </w:tcPr>
          <w:p w14:paraId="30C1922A">
            <w:pPr>
              <w:spacing w:line="240" w:lineRule="auto"/>
              <w:ind w:firstLine="0" w:firstLineChars="0"/>
              <w:jc w:val="center"/>
              <w:rPr>
                <w:bCs/>
                <w:sz w:val="21"/>
                <w:szCs w:val="21"/>
                <w:u w:val="single"/>
              </w:rPr>
            </w:pPr>
          </w:p>
        </w:tc>
        <w:tc>
          <w:tcPr>
            <w:tcW w:w="1383" w:type="dxa"/>
            <w:vMerge w:val="continue"/>
            <w:vAlign w:val="center"/>
          </w:tcPr>
          <w:p w14:paraId="17D9A70D">
            <w:pPr>
              <w:spacing w:line="240" w:lineRule="auto"/>
              <w:ind w:firstLine="0" w:firstLineChars="0"/>
              <w:jc w:val="center"/>
              <w:rPr>
                <w:bCs/>
                <w:sz w:val="21"/>
                <w:szCs w:val="21"/>
                <w:u w:val="single"/>
              </w:rPr>
            </w:pPr>
          </w:p>
        </w:tc>
        <w:tc>
          <w:tcPr>
            <w:tcW w:w="1383" w:type="dxa"/>
            <w:vMerge w:val="continue"/>
            <w:vAlign w:val="center"/>
          </w:tcPr>
          <w:p w14:paraId="07011018">
            <w:pPr>
              <w:spacing w:line="240" w:lineRule="auto"/>
              <w:ind w:firstLine="0" w:firstLineChars="0"/>
              <w:jc w:val="center"/>
              <w:rPr>
                <w:bCs/>
                <w:sz w:val="21"/>
                <w:szCs w:val="21"/>
                <w:u w:val="single"/>
              </w:rPr>
            </w:pPr>
          </w:p>
        </w:tc>
        <w:tc>
          <w:tcPr>
            <w:tcW w:w="1183" w:type="dxa"/>
            <w:vMerge w:val="continue"/>
            <w:vAlign w:val="center"/>
          </w:tcPr>
          <w:p w14:paraId="13EA565F">
            <w:pPr>
              <w:spacing w:line="240" w:lineRule="auto"/>
              <w:ind w:firstLine="0" w:firstLineChars="0"/>
              <w:jc w:val="center"/>
              <w:rPr>
                <w:bCs/>
                <w:sz w:val="21"/>
                <w:szCs w:val="21"/>
                <w:u w:val="single"/>
              </w:rPr>
            </w:pPr>
          </w:p>
        </w:tc>
      </w:tr>
      <w:tr w14:paraId="6E3FD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625" w:type="dxa"/>
            <w:vMerge w:val="continue"/>
            <w:shd w:val="clear" w:color="auto" w:fill="auto"/>
            <w:vAlign w:val="center"/>
          </w:tcPr>
          <w:p w14:paraId="4AF40F27">
            <w:pPr>
              <w:spacing w:line="240" w:lineRule="auto"/>
              <w:ind w:firstLine="0" w:firstLineChars="0"/>
              <w:jc w:val="center"/>
              <w:rPr>
                <w:bCs/>
                <w:sz w:val="21"/>
                <w:szCs w:val="21"/>
                <w:u w:val="single"/>
              </w:rPr>
            </w:pPr>
          </w:p>
        </w:tc>
        <w:tc>
          <w:tcPr>
            <w:tcW w:w="759" w:type="dxa"/>
            <w:vAlign w:val="center"/>
          </w:tcPr>
          <w:p w14:paraId="0FF63798">
            <w:pPr>
              <w:spacing w:line="240" w:lineRule="auto"/>
              <w:ind w:firstLine="0" w:firstLineChars="0"/>
              <w:jc w:val="center"/>
              <w:rPr>
                <w:bCs/>
                <w:sz w:val="21"/>
                <w:szCs w:val="21"/>
                <w:u w:val="single"/>
              </w:rPr>
            </w:pPr>
            <w:r>
              <w:rPr>
                <w:bCs/>
                <w:sz w:val="21"/>
                <w:szCs w:val="21"/>
                <w:u w:val="single"/>
              </w:rPr>
              <w:t>北厂界</w:t>
            </w:r>
          </w:p>
        </w:tc>
        <w:tc>
          <w:tcPr>
            <w:tcW w:w="1008" w:type="dxa"/>
            <w:vAlign w:val="center"/>
          </w:tcPr>
          <w:p w14:paraId="73BF6F53">
            <w:pPr>
              <w:spacing w:line="240" w:lineRule="auto"/>
              <w:ind w:firstLine="0" w:firstLineChars="0"/>
              <w:jc w:val="center"/>
              <w:rPr>
                <w:bCs/>
                <w:sz w:val="21"/>
                <w:szCs w:val="21"/>
                <w:u w:val="single"/>
              </w:rPr>
            </w:pPr>
            <w:r>
              <w:rPr>
                <w:rFonts w:hint="eastAsia"/>
                <w:bCs/>
                <w:sz w:val="21"/>
                <w:szCs w:val="21"/>
                <w:u w:val="single"/>
              </w:rPr>
              <w:t>1.11E-06</w:t>
            </w:r>
          </w:p>
        </w:tc>
        <w:tc>
          <w:tcPr>
            <w:tcW w:w="2007" w:type="dxa"/>
            <w:vMerge w:val="continue"/>
            <w:vAlign w:val="center"/>
          </w:tcPr>
          <w:p w14:paraId="1339026F">
            <w:pPr>
              <w:spacing w:line="240" w:lineRule="auto"/>
              <w:ind w:firstLine="0" w:firstLineChars="0"/>
              <w:jc w:val="center"/>
              <w:rPr>
                <w:bCs/>
                <w:sz w:val="21"/>
                <w:szCs w:val="21"/>
                <w:u w:val="single"/>
              </w:rPr>
            </w:pPr>
          </w:p>
        </w:tc>
        <w:tc>
          <w:tcPr>
            <w:tcW w:w="2395" w:type="dxa"/>
            <w:vMerge w:val="continue"/>
            <w:vAlign w:val="center"/>
          </w:tcPr>
          <w:p w14:paraId="3D5960E5">
            <w:pPr>
              <w:spacing w:line="240" w:lineRule="auto"/>
              <w:ind w:firstLine="0" w:firstLineChars="0"/>
              <w:jc w:val="center"/>
              <w:rPr>
                <w:bCs/>
                <w:sz w:val="21"/>
                <w:szCs w:val="21"/>
                <w:u w:val="single"/>
              </w:rPr>
            </w:pPr>
          </w:p>
        </w:tc>
        <w:tc>
          <w:tcPr>
            <w:tcW w:w="2268" w:type="dxa"/>
            <w:vMerge w:val="continue"/>
            <w:vAlign w:val="center"/>
          </w:tcPr>
          <w:p w14:paraId="2D191F51">
            <w:pPr>
              <w:spacing w:line="240" w:lineRule="auto"/>
              <w:ind w:firstLine="0" w:firstLineChars="0"/>
              <w:jc w:val="center"/>
              <w:rPr>
                <w:bCs/>
                <w:sz w:val="21"/>
                <w:szCs w:val="21"/>
                <w:u w:val="single"/>
              </w:rPr>
            </w:pPr>
          </w:p>
        </w:tc>
        <w:tc>
          <w:tcPr>
            <w:tcW w:w="1485" w:type="dxa"/>
            <w:vMerge w:val="continue"/>
            <w:vAlign w:val="center"/>
          </w:tcPr>
          <w:p w14:paraId="7418365E">
            <w:pPr>
              <w:spacing w:line="240" w:lineRule="auto"/>
              <w:ind w:firstLine="0" w:firstLineChars="0"/>
              <w:jc w:val="center"/>
              <w:rPr>
                <w:bCs/>
                <w:sz w:val="21"/>
                <w:szCs w:val="21"/>
                <w:u w:val="single"/>
              </w:rPr>
            </w:pPr>
          </w:p>
        </w:tc>
        <w:tc>
          <w:tcPr>
            <w:tcW w:w="1383" w:type="dxa"/>
            <w:vMerge w:val="continue"/>
            <w:vAlign w:val="center"/>
          </w:tcPr>
          <w:p w14:paraId="121EAA55">
            <w:pPr>
              <w:spacing w:line="240" w:lineRule="auto"/>
              <w:ind w:firstLine="0" w:firstLineChars="0"/>
              <w:jc w:val="center"/>
              <w:rPr>
                <w:bCs/>
                <w:sz w:val="21"/>
                <w:szCs w:val="21"/>
                <w:u w:val="single"/>
              </w:rPr>
            </w:pPr>
          </w:p>
        </w:tc>
        <w:tc>
          <w:tcPr>
            <w:tcW w:w="1383" w:type="dxa"/>
            <w:vMerge w:val="continue"/>
            <w:vAlign w:val="center"/>
          </w:tcPr>
          <w:p w14:paraId="4BFEA7EA">
            <w:pPr>
              <w:spacing w:line="240" w:lineRule="auto"/>
              <w:ind w:firstLine="0" w:firstLineChars="0"/>
              <w:jc w:val="center"/>
              <w:rPr>
                <w:bCs/>
                <w:sz w:val="21"/>
                <w:szCs w:val="21"/>
                <w:u w:val="single"/>
              </w:rPr>
            </w:pPr>
          </w:p>
        </w:tc>
        <w:tc>
          <w:tcPr>
            <w:tcW w:w="1183" w:type="dxa"/>
            <w:vMerge w:val="continue"/>
            <w:vAlign w:val="center"/>
          </w:tcPr>
          <w:p w14:paraId="3D793700">
            <w:pPr>
              <w:spacing w:line="240" w:lineRule="auto"/>
              <w:ind w:firstLine="0" w:firstLineChars="0"/>
              <w:jc w:val="center"/>
              <w:rPr>
                <w:bCs/>
                <w:sz w:val="21"/>
                <w:szCs w:val="21"/>
                <w:u w:val="single"/>
              </w:rPr>
            </w:pPr>
          </w:p>
        </w:tc>
      </w:tr>
      <w:tr w14:paraId="0B301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restart"/>
            <w:shd w:val="clear" w:color="auto" w:fill="auto"/>
            <w:vAlign w:val="center"/>
          </w:tcPr>
          <w:p w14:paraId="40581C79">
            <w:pPr>
              <w:spacing w:line="240" w:lineRule="auto"/>
              <w:ind w:firstLine="0" w:firstLineChars="0"/>
              <w:jc w:val="center"/>
              <w:rPr>
                <w:bCs/>
                <w:sz w:val="21"/>
                <w:szCs w:val="21"/>
                <w:u w:val="single"/>
              </w:rPr>
            </w:pPr>
            <w:r>
              <w:rPr>
                <w:rFonts w:hint="eastAsia"/>
                <w:bCs/>
                <w:sz w:val="21"/>
                <w:szCs w:val="21"/>
                <w:u w:val="single"/>
              </w:rPr>
              <w:t>非甲烷总烃</w:t>
            </w:r>
          </w:p>
        </w:tc>
        <w:tc>
          <w:tcPr>
            <w:tcW w:w="759" w:type="dxa"/>
            <w:vAlign w:val="center"/>
          </w:tcPr>
          <w:p w14:paraId="0F492208">
            <w:pPr>
              <w:spacing w:line="240" w:lineRule="auto"/>
              <w:ind w:firstLine="0" w:firstLineChars="0"/>
              <w:jc w:val="center"/>
              <w:rPr>
                <w:bCs/>
                <w:sz w:val="21"/>
                <w:szCs w:val="21"/>
                <w:u w:val="single"/>
              </w:rPr>
            </w:pPr>
            <w:r>
              <w:rPr>
                <w:bCs/>
                <w:sz w:val="21"/>
                <w:szCs w:val="21"/>
                <w:u w:val="single"/>
              </w:rPr>
              <w:t>东厂界</w:t>
            </w:r>
          </w:p>
        </w:tc>
        <w:tc>
          <w:tcPr>
            <w:tcW w:w="1008" w:type="dxa"/>
            <w:vAlign w:val="center"/>
          </w:tcPr>
          <w:p w14:paraId="03AB38BE">
            <w:pPr>
              <w:spacing w:line="240" w:lineRule="auto"/>
              <w:ind w:firstLine="0" w:firstLineChars="0"/>
              <w:jc w:val="center"/>
              <w:rPr>
                <w:bCs/>
                <w:sz w:val="21"/>
                <w:szCs w:val="21"/>
                <w:u w:val="single"/>
              </w:rPr>
            </w:pPr>
            <w:r>
              <w:rPr>
                <w:rFonts w:hint="eastAsia"/>
                <w:bCs/>
                <w:sz w:val="21"/>
                <w:szCs w:val="21"/>
                <w:u w:val="single"/>
              </w:rPr>
              <w:t>1.36E-03</w:t>
            </w:r>
          </w:p>
        </w:tc>
        <w:tc>
          <w:tcPr>
            <w:tcW w:w="2007" w:type="dxa"/>
            <w:vMerge w:val="restart"/>
            <w:vAlign w:val="center"/>
          </w:tcPr>
          <w:p w14:paraId="2D0F8604">
            <w:pPr>
              <w:spacing w:line="240" w:lineRule="auto"/>
              <w:ind w:firstLine="0" w:firstLineChars="0"/>
              <w:jc w:val="center"/>
              <w:rPr>
                <w:bCs/>
                <w:sz w:val="21"/>
                <w:szCs w:val="21"/>
                <w:u w:val="single"/>
              </w:rPr>
            </w:pPr>
            <w:r>
              <w:rPr>
                <w:rFonts w:hint="eastAsia"/>
                <w:bCs/>
                <w:sz w:val="21"/>
                <w:szCs w:val="21"/>
                <w:u w:val="single"/>
              </w:rPr>
              <w:t>/</w:t>
            </w:r>
          </w:p>
        </w:tc>
        <w:tc>
          <w:tcPr>
            <w:tcW w:w="2395" w:type="dxa"/>
            <w:vMerge w:val="restart"/>
            <w:vAlign w:val="center"/>
          </w:tcPr>
          <w:p w14:paraId="68CDC7CE">
            <w:pPr>
              <w:spacing w:line="240" w:lineRule="auto"/>
              <w:ind w:firstLine="0" w:firstLineChars="0"/>
              <w:jc w:val="center"/>
              <w:rPr>
                <w:bCs/>
                <w:sz w:val="21"/>
                <w:szCs w:val="21"/>
                <w:u w:val="single"/>
              </w:rPr>
            </w:pPr>
            <w:r>
              <w:rPr>
                <w:rFonts w:hint="eastAsia"/>
                <w:bCs/>
                <w:sz w:val="21"/>
                <w:szCs w:val="21"/>
                <w:u w:val="single"/>
              </w:rPr>
              <w:t>2.0</w:t>
            </w:r>
          </w:p>
        </w:tc>
        <w:tc>
          <w:tcPr>
            <w:tcW w:w="2268" w:type="dxa"/>
            <w:vMerge w:val="restart"/>
            <w:vAlign w:val="center"/>
          </w:tcPr>
          <w:p w14:paraId="020B03C5">
            <w:pPr>
              <w:spacing w:line="240" w:lineRule="auto"/>
              <w:ind w:firstLine="0" w:firstLineChars="0"/>
              <w:jc w:val="center"/>
              <w:rPr>
                <w:bCs/>
                <w:sz w:val="21"/>
                <w:szCs w:val="21"/>
                <w:u w:val="single"/>
              </w:rPr>
            </w:pPr>
            <w:r>
              <w:rPr>
                <w:rFonts w:hint="eastAsia"/>
                <w:bCs/>
                <w:sz w:val="21"/>
                <w:szCs w:val="21"/>
                <w:u w:val="single"/>
              </w:rPr>
              <w:t>2.0</w:t>
            </w:r>
          </w:p>
        </w:tc>
        <w:tc>
          <w:tcPr>
            <w:tcW w:w="1485" w:type="dxa"/>
            <w:vMerge w:val="restart"/>
            <w:vAlign w:val="center"/>
          </w:tcPr>
          <w:p w14:paraId="2BBFB5C4">
            <w:pPr>
              <w:spacing w:line="240" w:lineRule="auto"/>
              <w:ind w:firstLine="0" w:firstLineChars="0"/>
              <w:jc w:val="center"/>
              <w:rPr>
                <w:bCs/>
                <w:sz w:val="21"/>
                <w:szCs w:val="21"/>
                <w:u w:val="single"/>
              </w:rPr>
            </w:pPr>
            <w:r>
              <w:rPr>
                <w:rFonts w:hint="eastAsia"/>
                <w:bCs/>
                <w:sz w:val="21"/>
                <w:szCs w:val="21"/>
                <w:u w:val="single"/>
              </w:rPr>
              <w:t>4.0</w:t>
            </w:r>
          </w:p>
        </w:tc>
        <w:tc>
          <w:tcPr>
            <w:tcW w:w="1383" w:type="dxa"/>
            <w:vMerge w:val="restart"/>
            <w:vAlign w:val="center"/>
          </w:tcPr>
          <w:p w14:paraId="5AAC8E77">
            <w:pPr>
              <w:spacing w:line="240" w:lineRule="auto"/>
              <w:ind w:firstLine="0" w:firstLineChars="0"/>
              <w:jc w:val="center"/>
              <w:rPr>
                <w:bCs/>
                <w:sz w:val="21"/>
                <w:szCs w:val="21"/>
                <w:u w:val="single"/>
              </w:rPr>
            </w:pPr>
            <w:r>
              <w:rPr>
                <w:rFonts w:hint="eastAsia"/>
                <w:bCs/>
                <w:sz w:val="21"/>
                <w:szCs w:val="21"/>
                <w:u w:val="single"/>
              </w:rPr>
              <w:t>/</w:t>
            </w:r>
          </w:p>
        </w:tc>
        <w:tc>
          <w:tcPr>
            <w:tcW w:w="1383" w:type="dxa"/>
            <w:vMerge w:val="restart"/>
            <w:vAlign w:val="center"/>
          </w:tcPr>
          <w:p w14:paraId="3342CDF7">
            <w:pPr>
              <w:spacing w:line="240" w:lineRule="auto"/>
              <w:ind w:firstLine="0" w:firstLineChars="0"/>
              <w:jc w:val="center"/>
              <w:rPr>
                <w:bCs/>
                <w:sz w:val="21"/>
                <w:szCs w:val="21"/>
                <w:u w:val="single"/>
              </w:rPr>
            </w:pPr>
            <w:r>
              <w:rPr>
                <w:rFonts w:hint="eastAsia"/>
                <w:bCs/>
                <w:sz w:val="21"/>
                <w:szCs w:val="21"/>
                <w:u w:val="single"/>
              </w:rPr>
              <w:t>/</w:t>
            </w:r>
          </w:p>
        </w:tc>
        <w:tc>
          <w:tcPr>
            <w:tcW w:w="1183" w:type="dxa"/>
            <w:vMerge w:val="restart"/>
            <w:vAlign w:val="center"/>
          </w:tcPr>
          <w:p w14:paraId="28E242F9">
            <w:pPr>
              <w:spacing w:line="240" w:lineRule="auto"/>
              <w:ind w:firstLine="0" w:firstLineChars="0"/>
              <w:jc w:val="center"/>
              <w:rPr>
                <w:bCs/>
                <w:sz w:val="21"/>
                <w:szCs w:val="21"/>
                <w:u w:val="single"/>
              </w:rPr>
            </w:pPr>
            <w:r>
              <w:rPr>
                <w:rFonts w:hint="eastAsia"/>
                <w:bCs/>
                <w:sz w:val="21"/>
                <w:szCs w:val="21"/>
                <w:u w:val="single"/>
              </w:rPr>
              <w:t>2.0</w:t>
            </w:r>
          </w:p>
        </w:tc>
      </w:tr>
      <w:tr w14:paraId="7AAF5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shd w:val="clear" w:color="auto" w:fill="auto"/>
            <w:vAlign w:val="center"/>
          </w:tcPr>
          <w:p w14:paraId="3D197C1C">
            <w:pPr>
              <w:spacing w:line="240" w:lineRule="auto"/>
              <w:ind w:firstLine="0" w:firstLineChars="0"/>
              <w:rPr>
                <w:bCs/>
                <w:sz w:val="21"/>
                <w:szCs w:val="21"/>
                <w:u w:val="single"/>
              </w:rPr>
            </w:pPr>
          </w:p>
        </w:tc>
        <w:tc>
          <w:tcPr>
            <w:tcW w:w="759" w:type="dxa"/>
            <w:vAlign w:val="center"/>
          </w:tcPr>
          <w:p w14:paraId="15BB2247">
            <w:pPr>
              <w:spacing w:line="240" w:lineRule="auto"/>
              <w:ind w:firstLine="0" w:firstLineChars="0"/>
              <w:jc w:val="center"/>
              <w:rPr>
                <w:bCs/>
                <w:sz w:val="21"/>
                <w:szCs w:val="21"/>
                <w:u w:val="single"/>
              </w:rPr>
            </w:pPr>
            <w:r>
              <w:rPr>
                <w:bCs/>
                <w:sz w:val="21"/>
                <w:szCs w:val="21"/>
                <w:u w:val="single"/>
              </w:rPr>
              <w:t>西厂界</w:t>
            </w:r>
          </w:p>
        </w:tc>
        <w:tc>
          <w:tcPr>
            <w:tcW w:w="1008" w:type="dxa"/>
            <w:vAlign w:val="center"/>
          </w:tcPr>
          <w:p w14:paraId="471ECB0B">
            <w:pPr>
              <w:spacing w:line="240" w:lineRule="auto"/>
              <w:ind w:firstLine="0" w:firstLineChars="0"/>
              <w:jc w:val="center"/>
              <w:rPr>
                <w:bCs/>
                <w:sz w:val="21"/>
                <w:szCs w:val="21"/>
                <w:u w:val="single"/>
              </w:rPr>
            </w:pPr>
            <w:r>
              <w:rPr>
                <w:rFonts w:hint="eastAsia"/>
                <w:bCs/>
                <w:sz w:val="21"/>
                <w:szCs w:val="21"/>
                <w:u w:val="single"/>
              </w:rPr>
              <w:t>1.68E-05</w:t>
            </w:r>
          </w:p>
        </w:tc>
        <w:tc>
          <w:tcPr>
            <w:tcW w:w="2007" w:type="dxa"/>
            <w:vMerge w:val="continue"/>
            <w:vAlign w:val="center"/>
          </w:tcPr>
          <w:p w14:paraId="673A7E10">
            <w:pPr>
              <w:spacing w:line="240" w:lineRule="auto"/>
              <w:ind w:firstLine="0" w:firstLineChars="0"/>
              <w:jc w:val="center"/>
              <w:rPr>
                <w:bCs/>
                <w:sz w:val="21"/>
                <w:szCs w:val="21"/>
                <w:highlight w:val="yellow"/>
                <w:u w:val="single"/>
              </w:rPr>
            </w:pPr>
          </w:p>
        </w:tc>
        <w:tc>
          <w:tcPr>
            <w:tcW w:w="2395" w:type="dxa"/>
            <w:vMerge w:val="continue"/>
            <w:vAlign w:val="center"/>
          </w:tcPr>
          <w:p w14:paraId="77FD1336">
            <w:pPr>
              <w:spacing w:line="240" w:lineRule="auto"/>
              <w:ind w:firstLine="0" w:firstLineChars="0"/>
              <w:jc w:val="center"/>
              <w:rPr>
                <w:bCs/>
                <w:sz w:val="21"/>
                <w:szCs w:val="21"/>
                <w:highlight w:val="yellow"/>
                <w:u w:val="single"/>
              </w:rPr>
            </w:pPr>
          </w:p>
        </w:tc>
        <w:tc>
          <w:tcPr>
            <w:tcW w:w="2268" w:type="dxa"/>
            <w:vMerge w:val="continue"/>
            <w:vAlign w:val="center"/>
          </w:tcPr>
          <w:p w14:paraId="266CF7F7">
            <w:pPr>
              <w:spacing w:line="240" w:lineRule="auto"/>
              <w:ind w:firstLine="0" w:firstLineChars="0"/>
              <w:jc w:val="center"/>
              <w:rPr>
                <w:bCs/>
                <w:sz w:val="21"/>
                <w:szCs w:val="21"/>
                <w:highlight w:val="yellow"/>
                <w:u w:val="single"/>
              </w:rPr>
            </w:pPr>
          </w:p>
        </w:tc>
        <w:tc>
          <w:tcPr>
            <w:tcW w:w="1485" w:type="dxa"/>
            <w:vMerge w:val="continue"/>
            <w:vAlign w:val="center"/>
          </w:tcPr>
          <w:p w14:paraId="32B16431">
            <w:pPr>
              <w:spacing w:line="240" w:lineRule="auto"/>
              <w:ind w:firstLine="0" w:firstLineChars="0"/>
              <w:jc w:val="center"/>
              <w:rPr>
                <w:bCs/>
                <w:sz w:val="21"/>
                <w:szCs w:val="21"/>
                <w:highlight w:val="yellow"/>
                <w:u w:val="single"/>
              </w:rPr>
            </w:pPr>
          </w:p>
        </w:tc>
        <w:tc>
          <w:tcPr>
            <w:tcW w:w="1383" w:type="dxa"/>
            <w:vMerge w:val="continue"/>
            <w:vAlign w:val="center"/>
          </w:tcPr>
          <w:p w14:paraId="03604941">
            <w:pPr>
              <w:spacing w:line="240" w:lineRule="auto"/>
              <w:ind w:firstLine="0" w:firstLineChars="0"/>
              <w:rPr>
                <w:bCs/>
                <w:sz w:val="21"/>
                <w:szCs w:val="21"/>
                <w:highlight w:val="yellow"/>
                <w:u w:val="single"/>
              </w:rPr>
            </w:pPr>
          </w:p>
        </w:tc>
        <w:tc>
          <w:tcPr>
            <w:tcW w:w="1383" w:type="dxa"/>
            <w:vMerge w:val="continue"/>
            <w:vAlign w:val="center"/>
          </w:tcPr>
          <w:p w14:paraId="545E406F">
            <w:pPr>
              <w:spacing w:line="240" w:lineRule="auto"/>
              <w:ind w:firstLine="0" w:firstLineChars="0"/>
              <w:jc w:val="center"/>
              <w:rPr>
                <w:bCs/>
                <w:sz w:val="21"/>
                <w:szCs w:val="21"/>
                <w:highlight w:val="yellow"/>
                <w:u w:val="single"/>
              </w:rPr>
            </w:pPr>
          </w:p>
        </w:tc>
        <w:tc>
          <w:tcPr>
            <w:tcW w:w="1183" w:type="dxa"/>
            <w:vMerge w:val="continue"/>
            <w:vAlign w:val="center"/>
          </w:tcPr>
          <w:p w14:paraId="1FE6F771">
            <w:pPr>
              <w:spacing w:line="240" w:lineRule="auto"/>
              <w:ind w:firstLine="0" w:firstLineChars="0"/>
              <w:jc w:val="center"/>
              <w:rPr>
                <w:bCs/>
                <w:sz w:val="21"/>
                <w:szCs w:val="21"/>
                <w:highlight w:val="yellow"/>
                <w:u w:val="single"/>
              </w:rPr>
            </w:pPr>
          </w:p>
        </w:tc>
      </w:tr>
      <w:tr w14:paraId="43BF2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shd w:val="clear" w:color="auto" w:fill="auto"/>
            <w:vAlign w:val="center"/>
          </w:tcPr>
          <w:p w14:paraId="460E7647">
            <w:pPr>
              <w:spacing w:line="240" w:lineRule="auto"/>
              <w:ind w:firstLine="0" w:firstLineChars="0"/>
              <w:rPr>
                <w:bCs/>
                <w:sz w:val="21"/>
                <w:szCs w:val="21"/>
                <w:u w:val="single"/>
              </w:rPr>
            </w:pPr>
          </w:p>
        </w:tc>
        <w:tc>
          <w:tcPr>
            <w:tcW w:w="759" w:type="dxa"/>
            <w:vAlign w:val="center"/>
          </w:tcPr>
          <w:p w14:paraId="33DC5C28">
            <w:pPr>
              <w:spacing w:line="240" w:lineRule="auto"/>
              <w:ind w:firstLine="0" w:firstLineChars="0"/>
              <w:jc w:val="center"/>
              <w:rPr>
                <w:bCs/>
                <w:sz w:val="21"/>
                <w:szCs w:val="21"/>
                <w:u w:val="single"/>
              </w:rPr>
            </w:pPr>
            <w:r>
              <w:rPr>
                <w:bCs/>
                <w:sz w:val="21"/>
                <w:szCs w:val="21"/>
                <w:u w:val="single"/>
              </w:rPr>
              <w:t>南厂界</w:t>
            </w:r>
          </w:p>
        </w:tc>
        <w:tc>
          <w:tcPr>
            <w:tcW w:w="1008" w:type="dxa"/>
            <w:vAlign w:val="center"/>
          </w:tcPr>
          <w:p w14:paraId="27C8469F">
            <w:pPr>
              <w:spacing w:line="240" w:lineRule="auto"/>
              <w:ind w:firstLine="0" w:firstLineChars="0"/>
              <w:jc w:val="center"/>
              <w:rPr>
                <w:bCs/>
                <w:sz w:val="21"/>
                <w:szCs w:val="21"/>
                <w:u w:val="single"/>
              </w:rPr>
            </w:pPr>
            <w:r>
              <w:rPr>
                <w:rFonts w:hint="eastAsia"/>
                <w:bCs/>
                <w:sz w:val="21"/>
                <w:szCs w:val="21"/>
                <w:u w:val="single"/>
              </w:rPr>
              <w:t>1.82E-03</w:t>
            </w:r>
          </w:p>
        </w:tc>
        <w:tc>
          <w:tcPr>
            <w:tcW w:w="2007" w:type="dxa"/>
            <w:vMerge w:val="continue"/>
            <w:vAlign w:val="center"/>
          </w:tcPr>
          <w:p w14:paraId="49F4C986">
            <w:pPr>
              <w:spacing w:line="240" w:lineRule="auto"/>
              <w:ind w:firstLine="0" w:firstLineChars="0"/>
              <w:jc w:val="center"/>
              <w:rPr>
                <w:bCs/>
                <w:sz w:val="21"/>
                <w:szCs w:val="21"/>
                <w:highlight w:val="yellow"/>
                <w:u w:val="single"/>
              </w:rPr>
            </w:pPr>
          </w:p>
        </w:tc>
        <w:tc>
          <w:tcPr>
            <w:tcW w:w="2395" w:type="dxa"/>
            <w:vMerge w:val="continue"/>
            <w:vAlign w:val="center"/>
          </w:tcPr>
          <w:p w14:paraId="511A4644">
            <w:pPr>
              <w:spacing w:line="240" w:lineRule="auto"/>
              <w:ind w:firstLine="0" w:firstLineChars="0"/>
              <w:jc w:val="center"/>
              <w:rPr>
                <w:bCs/>
                <w:sz w:val="21"/>
                <w:szCs w:val="21"/>
                <w:highlight w:val="yellow"/>
                <w:u w:val="single"/>
              </w:rPr>
            </w:pPr>
          </w:p>
        </w:tc>
        <w:tc>
          <w:tcPr>
            <w:tcW w:w="2268" w:type="dxa"/>
            <w:vMerge w:val="continue"/>
            <w:vAlign w:val="center"/>
          </w:tcPr>
          <w:p w14:paraId="1471D9E2">
            <w:pPr>
              <w:spacing w:line="240" w:lineRule="auto"/>
              <w:ind w:firstLine="0" w:firstLineChars="0"/>
              <w:jc w:val="center"/>
              <w:rPr>
                <w:bCs/>
                <w:sz w:val="21"/>
                <w:szCs w:val="21"/>
                <w:highlight w:val="yellow"/>
                <w:u w:val="single"/>
              </w:rPr>
            </w:pPr>
          </w:p>
        </w:tc>
        <w:tc>
          <w:tcPr>
            <w:tcW w:w="1485" w:type="dxa"/>
            <w:vMerge w:val="continue"/>
            <w:vAlign w:val="center"/>
          </w:tcPr>
          <w:p w14:paraId="29692A0E">
            <w:pPr>
              <w:spacing w:line="240" w:lineRule="auto"/>
              <w:ind w:firstLine="0" w:firstLineChars="0"/>
              <w:jc w:val="center"/>
              <w:rPr>
                <w:bCs/>
                <w:sz w:val="21"/>
                <w:szCs w:val="21"/>
                <w:highlight w:val="yellow"/>
                <w:u w:val="single"/>
              </w:rPr>
            </w:pPr>
          </w:p>
        </w:tc>
        <w:tc>
          <w:tcPr>
            <w:tcW w:w="1383" w:type="dxa"/>
            <w:vMerge w:val="continue"/>
            <w:vAlign w:val="center"/>
          </w:tcPr>
          <w:p w14:paraId="4949FE4E">
            <w:pPr>
              <w:spacing w:line="240" w:lineRule="auto"/>
              <w:ind w:firstLine="0" w:firstLineChars="0"/>
              <w:rPr>
                <w:bCs/>
                <w:sz w:val="21"/>
                <w:szCs w:val="21"/>
                <w:highlight w:val="yellow"/>
                <w:u w:val="single"/>
              </w:rPr>
            </w:pPr>
          </w:p>
        </w:tc>
        <w:tc>
          <w:tcPr>
            <w:tcW w:w="1383" w:type="dxa"/>
            <w:vMerge w:val="continue"/>
            <w:vAlign w:val="center"/>
          </w:tcPr>
          <w:p w14:paraId="38426425">
            <w:pPr>
              <w:spacing w:line="240" w:lineRule="auto"/>
              <w:ind w:firstLine="0" w:firstLineChars="0"/>
              <w:jc w:val="center"/>
              <w:rPr>
                <w:bCs/>
                <w:sz w:val="21"/>
                <w:szCs w:val="21"/>
                <w:highlight w:val="yellow"/>
                <w:u w:val="single"/>
              </w:rPr>
            </w:pPr>
          </w:p>
        </w:tc>
        <w:tc>
          <w:tcPr>
            <w:tcW w:w="1183" w:type="dxa"/>
            <w:vMerge w:val="continue"/>
            <w:vAlign w:val="center"/>
          </w:tcPr>
          <w:p w14:paraId="36ADC72F">
            <w:pPr>
              <w:spacing w:line="240" w:lineRule="auto"/>
              <w:ind w:firstLine="0" w:firstLineChars="0"/>
              <w:jc w:val="center"/>
              <w:rPr>
                <w:bCs/>
                <w:sz w:val="21"/>
                <w:szCs w:val="21"/>
                <w:highlight w:val="yellow"/>
                <w:u w:val="single"/>
              </w:rPr>
            </w:pPr>
          </w:p>
        </w:tc>
      </w:tr>
      <w:tr w14:paraId="3A362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shd w:val="clear" w:color="auto" w:fill="auto"/>
            <w:vAlign w:val="center"/>
          </w:tcPr>
          <w:p w14:paraId="159CD512">
            <w:pPr>
              <w:spacing w:line="240" w:lineRule="auto"/>
              <w:ind w:firstLine="0" w:firstLineChars="0"/>
              <w:rPr>
                <w:bCs/>
                <w:sz w:val="21"/>
                <w:szCs w:val="21"/>
                <w:u w:val="single"/>
              </w:rPr>
            </w:pPr>
          </w:p>
        </w:tc>
        <w:tc>
          <w:tcPr>
            <w:tcW w:w="759" w:type="dxa"/>
            <w:vAlign w:val="center"/>
          </w:tcPr>
          <w:p w14:paraId="3CA6C4C4">
            <w:pPr>
              <w:spacing w:line="240" w:lineRule="auto"/>
              <w:ind w:firstLine="0" w:firstLineChars="0"/>
              <w:jc w:val="center"/>
              <w:rPr>
                <w:bCs/>
                <w:sz w:val="21"/>
                <w:szCs w:val="21"/>
                <w:u w:val="single"/>
              </w:rPr>
            </w:pPr>
            <w:r>
              <w:rPr>
                <w:bCs/>
                <w:sz w:val="21"/>
                <w:szCs w:val="21"/>
                <w:u w:val="single"/>
              </w:rPr>
              <w:t>北厂界</w:t>
            </w:r>
          </w:p>
        </w:tc>
        <w:tc>
          <w:tcPr>
            <w:tcW w:w="1008" w:type="dxa"/>
            <w:vAlign w:val="center"/>
          </w:tcPr>
          <w:p w14:paraId="64D77A01">
            <w:pPr>
              <w:spacing w:line="240" w:lineRule="auto"/>
              <w:ind w:firstLine="0" w:firstLineChars="0"/>
              <w:jc w:val="center"/>
              <w:rPr>
                <w:bCs/>
                <w:sz w:val="21"/>
                <w:szCs w:val="21"/>
                <w:u w:val="single"/>
              </w:rPr>
            </w:pPr>
            <w:r>
              <w:rPr>
                <w:rFonts w:hint="eastAsia"/>
                <w:bCs/>
                <w:sz w:val="21"/>
                <w:szCs w:val="21"/>
                <w:u w:val="single"/>
              </w:rPr>
              <w:t>1.68E-05</w:t>
            </w:r>
          </w:p>
        </w:tc>
        <w:tc>
          <w:tcPr>
            <w:tcW w:w="2007" w:type="dxa"/>
            <w:vMerge w:val="continue"/>
            <w:vAlign w:val="center"/>
          </w:tcPr>
          <w:p w14:paraId="3CBF2AD7">
            <w:pPr>
              <w:spacing w:line="240" w:lineRule="auto"/>
              <w:ind w:firstLine="0" w:firstLineChars="0"/>
              <w:jc w:val="center"/>
              <w:rPr>
                <w:bCs/>
                <w:sz w:val="21"/>
                <w:szCs w:val="21"/>
                <w:highlight w:val="yellow"/>
                <w:u w:val="single"/>
              </w:rPr>
            </w:pPr>
          </w:p>
        </w:tc>
        <w:tc>
          <w:tcPr>
            <w:tcW w:w="2395" w:type="dxa"/>
            <w:vMerge w:val="continue"/>
            <w:vAlign w:val="center"/>
          </w:tcPr>
          <w:p w14:paraId="3ACBA045">
            <w:pPr>
              <w:spacing w:line="240" w:lineRule="auto"/>
              <w:ind w:firstLine="0" w:firstLineChars="0"/>
              <w:jc w:val="center"/>
              <w:rPr>
                <w:bCs/>
                <w:sz w:val="21"/>
                <w:szCs w:val="21"/>
                <w:highlight w:val="yellow"/>
                <w:u w:val="single"/>
              </w:rPr>
            </w:pPr>
          </w:p>
        </w:tc>
        <w:tc>
          <w:tcPr>
            <w:tcW w:w="2268" w:type="dxa"/>
            <w:vMerge w:val="continue"/>
            <w:vAlign w:val="center"/>
          </w:tcPr>
          <w:p w14:paraId="76293E4B">
            <w:pPr>
              <w:spacing w:line="240" w:lineRule="auto"/>
              <w:ind w:firstLine="0" w:firstLineChars="0"/>
              <w:jc w:val="center"/>
              <w:rPr>
                <w:bCs/>
                <w:sz w:val="21"/>
                <w:szCs w:val="21"/>
                <w:highlight w:val="yellow"/>
                <w:u w:val="single"/>
              </w:rPr>
            </w:pPr>
          </w:p>
        </w:tc>
        <w:tc>
          <w:tcPr>
            <w:tcW w:w="1485" w:type="dxa"/>
            <w:vMerge w:val="continue"/>
            <w:vAlign w:val="center"/>
          </w:tcPr>
          <w:p w14:paraId="57CD875F">
            <w:pPr>
              <w:spacing w:line="240" w:lineRule="auto"/>
              <w:ind w:firstLine="0" w:firstLineChars="0"/>
              <w:jc w:val="center"/>
              <w:rPr>
                <w:bCs/>
                <w:sz w:val="21"/>
                <w:szCs w:val="21"/>
                <w:highlight w:val="yellow"/>
                <w:u w:val="single"/>
              </w:rPr>
            </w:pPr>
          </w:p>
        </w:tc>
        <w:tc>
          <w:tcPr>
            <w:tcW w:w="1383" w:type="dxa"/>
            <w:vMerge w:val="continue"/>
            <w:vAlign w:val="center"/>
          </w:tcPr>
          <w:p w14:paraId="39705A4C">
            <w:pPr>
              <w:spacing w:line="240" w:lineRule="auto"/>
              <w:ind w:firstLine="0" w:firstLineChars="0"/>
              <w:rPr>
                <w:bCs/>
                <w:sz w:val="21"/>
                <w:szCs w:val="21"/>
                <w:highlight w:val="yellow"/>
                <w:u w:val="single"/>
              </w:rPr>
            </w:pPr>
          </w:p>
        </w:tc>
        <w:tc>
          <w:tcPr>
            <w:tcW w:w="1383" w:type="dxa"/>
            <w:vMerge w:val="continue"/>
            <w:vAlign w:val="center"/>
          </w:tcPr>
          <w:p w14:paraId="7ED3069D">
            <w:pPr>
              <w:spacing w:line="240" w:lineRule="auto"/>
              <w:ind w:firstLine="0" w:firstLineChars="0"/>
              <w:jc w:val="center"/>
              <w:rPr>
                <w:bCs/>
                <w:sz w:val="21"/>
                <w:szCs w:val="21"/>
                <w:highlight w:val="yellow"/>
                <w:u w:val="single"/>
              </w:rPr>
            </w:pPr>
          </w:p>
        </w:tc>
        <w:tc>
          <w:tcPr>
            <w:tcW w:w="1183" w:type="dxa"/>
            <w:vMerge w:val="continue"/>
            <w:vAlign w:val="center"/>
          </w:tcPr>
          <w:p w14:paraId="2644D899">
            <w:pPr>
              <w:spacing w:line="240" w:lineRule="auto"/>
              <w:ind w:firstLine="0" w:firstLineChars="0"/>
              <w:jc w:val="center"/>
              <w:rPr>
                <w:bCs/>
                <w:sz w:val="21"/>
                <w:szCs w:val="21"/>
                <w:highlight w:val="yellow"/>
                <w:u w:val="single"/>
              </w:rPr>
            </w:pPr>
          </w:p>
        </w:tc>
      </w:tr>
    </w:tbl>
    <w:p w14:paraId="6532DAA0">
      <w:pPr>
        <w:ind w:firstLine="480"/>
      </w:pPr>
      <w:bookmarkStart w:id="293" w:name="_Hlk140393156"/>
      <w:r>
        <w:rPr>
          <w:szCs w:val="24"/>
        </w:rPr>
        <w:t>经</w:t>
      </w:r>
      <w:r>
        <w:rPr>
          <w:rFonts w:hint="eastAsia"/>
          <w:szCs w:val="24"/>
        </w:rPr>
        <w:t>预测</w:t>
      </w:r>
      <w:r>
        <w:rPr>
          <w:szCs w:val="24"/>
        </w:rPr>
        <w:t>，本项目废气</w:t>
      </w:r>
      <w:r>
        <w:rPr>
          <w:rFonts w:hint="eastAsia"/>
          <w:szCs w:val="24"/>
        </w:rPr>
        <w:t>污染物颗粒物、非甲烷总烃、硫酸雾</w:t>
      </w:r>
      <w:r>
        <w:rPr>
          <w:szCs w:val="24"/>
        </w:rPr>
        <w:t>排放在各个厂界的</w:t>
      </w:r>
      <w:r>
        <w:rPr>
          <w:rFonts w:hint="eastAsia"/>
          <w:szCs w:val="24"/>
        </w:rPr>
        <w:t>浓度贡献</w:t>
      </w:r>
      <w:r>
        <w:rPr>
          <w:szCs w:val="24"/>
        </w:rPr>
        <w:t>值均不超标，</w:t>
      </w:r>
      <w:bookmarkEnd w:id="293"/>
      <w:bookmarkStart w:id="294" w:name="_Hlk140393209"/>
      <w:r>
        <w:rPr>
          <w:rFonts w:hint="eastAsia"/>
          <w:szCs w:val="24"/>
        </w:rPr>
        <w:t>颗粒物</w:t>
      </w:r>
      <w:r>
        <w:rPr>
          <w:szCs w:val="24"/>
        </w:rPr>
        <w:t>能够满足《新乡市生态环境局关于进一步规范工业企业颗粒物排放限值的通知》</w:t>
      </w:r>
      <w:r>
        <w:rPr>
          <w:rFonts w:hint="eastAsia"/>
          <w:szCs w:val="24"/>
        </w:rPr>
        <w:t>-</w:t>
      </w:r>
      <w:r>
        <w:rPr>
          <w:szCs w:val="24"/>
        </w:rPr>
        <w:t>其他涉气工业企业</w:t>
      </w:r>
      <w:r>
        <w:rPr>
          <w:rFonts w:hint="eastAsia"/>
          <w:szCs w:val="24"/>
        </w:rPr>
        <w:t>颗粒物</w:t>
      </w:r>
      <w:r>
        <w:rPr>
          <w:szCs w:val="24"/>
        </w:rPr>
        <w:t>浓度</w:t>
      </w:r>
      <w:r>
        <w:rPr>
          <w:rFonts w:hint="eastAsia"/>
          <w:szCs w:val="24"/>
        </w:rPr>
        <w:t>0.5</w:t>
      </w:r>
      <w:r>
        <w:rPr>
          <w:szCs w:val="24"/>
        </w:rPr>
        <w:t>mg/m</w:t>
      </w:r>
      <w:r>
        <w:rPr>
          <w:szCs w:val="24"/>
          <w:vertAlign w:val="superscript"/>
        </w:rPr>
        <w:t>3</w:t>
      </w:r>
      <w:r>
        <w:rPr>
          <w:szCs w:val="24"/>
        </w:rPr>
        <w:t>的限值要求</w:t>
      </w:r>
      <w:r>
        <w:rPr>
          <w:rFonts w:hint="eastAsia"/>
          <w:szCs w:val="24"/>
        </w:rPr>
        <w:t>，同时满足</w:t>
      </w:r>
      <w:r>
        <w:rPr>
          <w:bCs/>
          <w:szCs w:val="24"/>
        </w:rPr>
        <w:t>《环境空气质量标准》（GB3095-2012）</w:t>
      </w:r>
      <w:r>
        <w:rPr>
          <w:rFonts w:hint="eastAsia"/>
          <w:bCs/>
          <w:szCs w:val="24"/>
        </w:rPr>
        <w:t>0.45</w:t>
      </w:r>
      <w:r>
        <w:rPr>
          <w:szCs w:val="24"/>
        </w:rPr>
        <w:t>mg/m</w:t>
      </w:r>
      <w:r>
        <w:rPr>
          <w:szCs w:val="24"/>
          <w:vertAlign w:val="superscript"/>
        </w:rPr>
        <w:t>3</w:t>
      </w:r>
      <w:r>
        <w:rPr>
          <w:szCs w:val="24"/>
        </w:rPr>
        <w:t>的限值要求</w:t>
      </w:r>
      <w:r>
        <w:rPr>
          <w:rFonts w:hint="eastAsia"/>
          <w:szCs w:val="24"/>
        </w:rPr>
        <w:t>。</w:t>
      </w:r>
      <w:r>
        <w:rPr>
          <w:rFonts w:hint="eastAsia"/>
        </w:rPr>
        <w:t>非甲烷总烃能够满足</w:t>
      </w:r>
      <w:r>
        <w:rPr>
          <w:rFonts w:hint="eastAsia"/>
          <w:bCs/>
        </w:rPr>
        <w:t>《关于全省开展工业挥发性有机物专项治理工作中排放建议值的通知》（豫环攻坚办〔2017〕162号）中限值要求中</w:t>
      </w:r>
      <w:r>
        <w:rPr>
          <w:bCs/>
        </w:rPr>
        <w:t>工业企业边界挥发性有机物排放建议</w:t>
      </w:r>
      <w:r>
        <w:rPr>
          <w:bCs/>
          <w:szCs w:val="24"/>
        </w:rPr>
        <w:t>值</w:t>
      </w:r>
      <w:r>
        <w:rPr>
          <w:rFonts w:hint="eastAsia"/>
          <w:bCs/>
          <w:szCs w:val="24"/>
        </w:rPr>
        <w:t>2.0</w:t>
      </w:r>
      <w:r>
        <w:rPr>
          <w:szCs w:val="24"/>
        </w:rPr>
        <w:t>mg/m</w:t>
      </w:r>
      <w:r>
        <w:rPr>
          <w:szCs w:val="24"/>
          <w:vertAlign w:val="superscript"/>
        </w:rPr>
        <w:t>3</w:t>
      </w:r>
      <w:r>
        <w:rPr>
          <w:szCs w:val="24"/>
        </w:rPr>
        <w:t>的限值要求</w:t>
      </w:r>
      <w:r>
        <w:rPr>
          <w:rFonts w:hint="eastAsia"/>
          <w:szCs w:val="24"/>
        </w:rPr>
        <w:t>，同时满足《大气污染物综合排放标准》（GB 16297-1996）二级非甲烷总烃</w:t>
      </w:r>
      <w:r>
        <w:t>周界外浓最高点</w:t>
      </w:r>
      <w:r>
        <w:rPr>
          <w:rFonts w:hint="eastAsia"/>
          <w:bCs/>
          <w:szCs w:val="24"/>
        </w:rPr>
        <w:t>4.0</w:t>
      </w:r>
      <w:r>
        <w:rPr>
          <w:szCs w:val="24"/>
        </w:rPr>
        <w:t>mg/m</w:t>
      </w:r>
      <w:r>
        <w:rPr>
          <w:szCs w:val="24"/>
          <w:vertAlign w:val="superscript"/>
        </w:rPr>
        <w:t>3</w:t>
      </w:r>
      <w:r>
        <w:rPr>
          <w:szCs w:val="24"/>
        </w:rPr>
        <w:t>的限值要求</w:t>
      </w:r>
      <w:r>
        <w:rPr>
          <w:rFonts w:hint="eastAsia"/>
          <w:szCs w:val="24"/>
        </w:rPr>
        <w:t>、</w:t>
      </w:r>
      <w:r>
        <w:rPr>
          <w:bCs/>
          <w:szCs w:val="24"/>
        </w:rPr>
        <w:t>《河南省重污染天气重点行业应急减排措施技术指南》（2021年修订版）中有机化工A级绩效指标企业边界1h</w:t>
      </w:r>
      <w:r>
        <w:rPr>
          <w:rFonts w:hint="eastAsia"/>
          <w:bCs/>
          <w:szCs w:val="24"/>
        </w:rPr>
        <w:t>平均浓度2.0</w:t>
      </w:r>
      <w:r>
        <w:rPr>
          <w:szCs w:val="24"/>
        </w:rPr>
        <w:t>mg/m</w:t>
      </w:r>
      <w:r>
        <w:rPr>
          <w:szCs w:val="24"/>
          <w:vertAlign w:val="superscript"/>
        </w:rPr>
        <w:t>3</w:t>
      </w:r>
      <w:r>
        <w:rPr>
          <w:szCs w:val="24"/>
        </w:rPr>
        <w:t>的限值要求</w:t>
      </w:r>
      <w:r>
        <w:rPr>
          <w:rFonts w:hint="eastAsia"/>
          <w:bCs/>
          <w:szCs w:val="24"/>
        </w:rPr>
        <w:t>、</w:t>
      </w:r>
      <w:r>
        <w:rPr>
          <w:szCs w:val="24"/>
        </w:rPr>
        <w:t>《大气综合污染物排放标准详解》第四章标准值说明</w:t>
      </w:r>
      <w:r>
        <w:rPr>
          <w:rFonts w:hint="eastAsia"/>
          <w:szCs w:val="24"/>
        </w:rPr>
        <w:t>中非甲烷总烃</w:t>
      </w:r>
      <w:r>
        <w:rPr>
          <w:rFonts w:hint="eastAsia"/>
          <w:bCs/>
          <w:szCs w:val="24"/>
        </w:rPr>
        <w:t>2.0</w:t>
      </w:r>
      <w:r>
        <w:rPr>
          <w:szCs w:val="24"/>
        </w:rPr>
        <w:t>mg/m</w:t>
      </w:r>
      <w:r>
        <w:rPr>
          <w:szCs w:val="24"/>
          <w:vertAlign w:val="superscript"/>
        </w:rPr>
        <w:t>3</w:t>
      </w:r>
      <w:r>
        <w:rPr>
          <w:szCs w:val="24"/>
        </w:rPr>
        <w:t>的限值要求</w:t>
      </w:r>
      <w:r>
        <w:rPr>
          <w:rFonts w:hint="eastAsia"/>
          <w:szCs w:val="24"/>
        </w:rPr>
        <w:t>。硫酸雾能够满足《大气污染物综合排放标准》（GB 16297-1996）二级硫酸雾</w:t>
      </w:r>
      <w:r>
        <w:t>周界外浓最高点</w:t>
      </w:r>
      <w:r>
        <w:rPr>
          <w:rFonts w:hint="eastAsia"/>
          <w:bCs/>
          <w:szCs w:val="24"/>
        </w:rPr>
        <w:t>1.2</w:t>
      </w:r>
      <w:r>
        <w:rPr>
          <w:szCs w:val="24"/>
        </w:rPr>
        <w:t>mg/m</w:t>
      </w:r>
      <w:r>
        <w:rPr>
          <w:szCs w:val="24"/>
          <w:vertAlign w:val="superscript"/>
        </w:rPr>
        <w:t>3</w:t>
      </w:r>
      <w:r>
        <w:rPr>
          <w:szCs w:val="24"/>
        </w:rPr>
        <w:t>的限值要求</w:t>
      </w:r>
      <w:r>
        <w:rPr>
          <w:rFonts w:hint="eastAsia"/>
          <w:szCs w:val="24"/>
        </w:rPr>
        <w:t>，同时满足</w:t>
      </w:r>
      <w:r>
        <w:rPr>
          <w:szCs w:val="24"/>
        </w:rPr>
        <w:t>《环境影响评价技术导则大气环境》（HJ2.2-2018）附录D</w:t>
      </w:r>
      <w:r>
        <w:rPr>
          <w:rFonts w:hint="eastAsia"/>
          <w:szCs w:val="24"/>
        </w:rPr>
        <w:t>硫酸雾</w:t>
      </w:r>
      <w:r>
        <w:rPr>
          <w:rFonts w:hint="eastAsia"/>
          <w:bCs/>
          <w:szCs w:val="24"/>
        </w:rPr>
        <w:t>0.3</w:t>
      </w:r>
      <w:r>
        <w:rPr>
          <w:szCs w:val="24"/>
        </w:rPr>
        <w:t>mg/m</w:t>
      </w:r>
      <w:r>
        <w:rPr>
          <w:szCs w:val="24"/>
          <w:vertAlign w:val="superscript"/>
        </w:rPr>
        <w:t>3</w:t>
      </w:r>
      <w:r>
        <w:rPr>
          <w:szCs w:val="24"/>
        </w:rPr>
        <w:t>的限值要求</w:t>
      </w:r>
      <w:r>
        <w:rPr>
          <w:rFonts w:hint="eastAsia"/>
          <w:szCs w:val="24"/>
        </w:rPr>
        <w:t>。</w:t>
      </w:r>
    </w:p>
    <w:p w14:paraId="137BC97E">
      <w:pPr>
        <w:ind w:firstLine="480"/>
      </w:pPr>
      <w:r>
        <w:rPr>
          <w:rFonts w:hint="eastAsia"/>
        </w:rPr>
        <w:t>综上，评价提出，企业应加强人员管理，积极落实各项环保措施，确保各项举措能够切实实施，使各项污染物能够稳定达标排放。</w:t>
      </w:r>
    </w:p>
    <w:p w14:paraId="7F851078">
      <w:pPr>
        <w:ind w:firstLine="480"/>
      </w:pPr>
      <w:r>
        <w:rPr>
          <w:rFonts w:hint="eastAsia"/>
        </w:rPr>
        <w:t>因此，评价认为，项目运营后，大气污染物对周围环境的影响程度是可以接受。</w:t>
      </w:r>
      <w:bookmarkEnd w:id="294"/>
    </w:p>
    <w:p w14:paraId="0C1DBEE1">
      <w:pPr>
        <w:pStyle w:val="2"/>
        <w:ind w:firstLine="480"/>
        <w:sectPr>
          <w:pgSz w:w="16838" w:h="11906" w:orient="landscape"/>
          <w:pgMar w:top="1797" w:right="1440" w:bottom="1797" w:left="1440" w:header="851" w:footer="992" w:gutter="0"/>
          <w:cols w:space="720" w:num="1"/>
          <w:docGrid w:linePitch="326" w:charSpace="0"/>
        </w:sectPr>
      </w:pPr>
    </w:p>
    <w:p w14:paraId="2ED5C61B">
      <w:pPr>
        <w:ind w:firstLine="482"/>
        <w:outlineLvl w:val="4"/>
        <w:rPr>
          <w:rFonts w:eastAsia="方正小标宋简体"/>
          <w:b/>
        </w:rPr>
      </w:pPr>
      <w:r>
        <w:rPr>
          <w:rFonts w:hint="eastAsia" w:eastAsia="方正小标宋简体"/>
          <w:b/>
        </w:rPr>
        <w:t>五、评估等级确定</w:t>
      </w:r>
    </w:p>
    <w:p w14:paraId="41A55DA3">
      <w:pPr>
        <w:ind w:firstLine="480"/>
      </w:pPr>
      <w:r>
        <w:t>根据估算模式计算结果，本工程大气评价等级为</w:t>
      </w:r>
      <w:r>
        <w:rPr>
          <w:rFonts w:hint="eastAsia"/>
        </w:rPr>
        <w:t>三</w:t>
      </w:r>
      <w:r>
        <w:t>级，分级判据见下表。</w:t>
      </w:r>
    </w:p>
    <w:p w14:paraId="4131484F">
      <w:pPr>
        <w:pStyle w:val="64"/>
        <w:numPr>
          <w:ilvl w:val="2"/>
          <w:numId w:val="25"/>
        </w:numPr>
        <w:spacing w:before="120"/>
        <w:ind w:left="0" w:firstLine="480" w:firstLineChars="200"/>
      </w:pPr>
      <w:r>
        <w:t xml:space="preserve">            环境空气分级判据表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102"/>
        <w:gridCol w:w="1366"/>
        <w:gridCol w:w="1603"/>
        <w:gridCol w:w="1022"/>
        <w:gridCol w:w="873"/>
        <w:gridCol w:w="1750"/>
        <w:gridCol w:w="812"/>
      </w:tblGrid>
      <w:tr w14:paraId="6AC2A6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46" w:type="pct"/>
            <w:vAlign w:val="center"/>
          </w:tcPr>
          <w:p w14:paraId="1AAFE43B">
            <w:pPr>
              <w:adjustRightInd/>
              <w:snapToGrid/>
              <w:spacing w:line="240" w:lineRule="auto"/>
              <w:ind w:firstLine="0" w:firstLineChars="0"/>
              <w:jc w:val="center"/>
              <w:textAlignment w:val="auto"/>
              <w:rPr>
                <w:b/>
                <w:kern w:val="2"/>
                <w:sz w:val="21"/>
                <w:szCs w:val="21"/>
                <w:u w:val="single"/>
              </w:rPr>
            </w:pPr>
            <w:r>
              <w:rPr>
                <w:b/>
                <w:kern w:val="2"/>
                <w:sz w:val="21"/>
                <w:szCs w:val="21"/>
                <w:u w:val="single"/>
              </w:rPr>
              <w:t>污染源</w:t>
            </w:r>
          </w:p>
        </w:tc>
        <w:tc>
          <w:tcPr>
            <w:tcW w:w="801" w:type="pct"/>
            <w:vAlign w:val="center"/>
          </w:tcPr>
          <w:p w14:paraId="68D363A1">
            <w:pPr>
              <w:adjustRightInd/>
              <w:snapToGrid/>
              <w:spacing w:line="240" w:lineRule="auto"/>
              <w:ind w:firstLine="0" w:firstLineChars="0"/>
              <w:jc w:val="center"/>
              <w:textAlignment w:val="auto"/>
              <w:rPr>
                <w:b/>
                <w:kern w:val="2"/>
                <w:sz w:val="21"/>
                <w:szCs w:val="21"/>
                <w:u w:val="single"/>
              </w:rPr>
            </w:pPr>
            <w:r>
              <w:rPr>
                <w:b/>
                <w:kern w:val="2"/>
                <w:sz w:val="21"/>
                <w:szCs w:val="21"/>
                <w:u w:val="single"/>
              </w:rPr>
              <w:t>项目</w:t>
            </w:r>
          </w:p>
        </w:tc>
        <w:tc>
          <w:tcPr>
            <w:tcW w:w="940" w:type="pct"/>
            <w:vAlign w:val="center"/>
          </w:tcPr>
          <w:p w14:paraId="10A1FA2C">
            <w:pPr>
              <w:adjustRightInd/>
              <w:snapToGrid/>
              <w:spacing w:line="240" w:lineRule="auto"/>
              <w:ind w:firstLine="0" w:firstLineChars="0"/>
              <w:jc w:val="center"/>
              <w:textAlignment w:val="auto"/>
              <w:rPr>
                <w:b/>
                <w:kern w:val="2"/>
                <w:sz w:val="21"/>
                <w:szCs w:val="21"/>
                <w:u w:val="single"/>
              </w:rPr>
            </w:pPr>
            <w:r>
              <w:rPr>
                <w:b/>
                <w:kern w:val="2"/>
                <w:sz w:val="21"/>
                <w:szCs w:val="21"/>
                <w:u w:val="single"/>
              </w:rPr>
              <w:t>最大落地浓度μg/m</w:t>
            </w:r>
            <w:r>
              <w:rPr>
                <w:b/>
                <w:kern w:val="2"/>
                <w:sz w:val="21"/>
                <w:szCs w:val="21"/>
                <w:u w:val="single"/>
                <w:vertAlign w:val="superscript"/>
              </w:rPr>
              <w:t>3</w:t>
            </w:r>
          </w:p>
        </w:tc>
        <w:tc>
          <w:tcPr>
            <w:tcW w:w="599" w:type="pct"/>
            <w:vAlign w:val="center"/>
          </w:tcPr>
          <w:p w14:paraId="310725EE">
            <w:pPr>
              <w:adjustRightInd/>
              <w:snapToGrid/>
              <w:spacing w:line="240" w:lineRule="auto"/>
              <w:ind w:firstLine="0" w:firstLineChars="0"/>
              <w:jc w:val="center"/>
              <w:textAlignment w:val="auto"/>
              <w:rPr>
                <w:b/>
                <w:kern w:val="2"/>
                <w:sz w:val="21"/>
                <w:szCs w:val="21"/>
                <w:u w:val="single"/>
              </w:rPr>
            </w:pPr>
            <w:r>
              <w:rPr>
                <w:b/>
                <w:kern w:val="2"/>
                <w:sz w:val="21"/>
                <w:szCs w:val="21"/>
                <w:u w:val="single"/>
              </w:rPr>
              <w:t>P</w:t>
            </w:r>
            <w:r>
              <w:rPr>
                <w:b/>
                <w:kern w:val="2"/>
                <w:sz w:val="21"/>
                <w:szCs w:val="21"/>
                <w:u w:val="single"/>
                <w:vertAlign w:val="subscript"/>
              </w:rPr>
              <w:t>max</w:t>
            </w:r>
            <w:r>
              <w:rPr>
                <w:b/>
                <w:kern w:val="2"/>
                <w:sz w:val="21"/>
                <w:szCs w:val="21"/>
                <w:u w:val="single"/>
              </w:rPr>
              <w:t>占标率%</w:t>
            </w:r>
          </w:p>
        </w:tc>
        <w:tc>
          <w:tcPr>
            <w:tcW w:w="512" w:type="pct"/>
            <w:vAlign w:val="center"/>
          </w:tcPr>
          <w:p w14:paraId="7A46DAEC">
            <w:pPr>
              <w:adjustRightInd/>
              <w:snapToGrid/>
              <w:spacing w:line="240" w:lineRule="auto"/>
              <w:ind w:firstLine="0" w:firstLineChars="0"/>
              <w:jc w:val="center"/>
              <w:textAlignment w:val="auto"/>
              <w:rPr>
                <w:b/>
                <w:kern w:val="2"/>
                <w:sz w:val="21"/>
                <w:szCs w:val="21"/>
                <w:u w:val="single"/>
                <w:vertAlign w:val="subscript"/>
              </w:rPr>
            </w:pPr>
            <w:r>
              <w:rPr>
                <w:b/>
                <w:kern w:val="2"/>
                <w:sz w:val="21"/>
                <w:szCs w:val="21"/>
                <w:u w:val="single"/>
              </w:rPr>
              <w:t>D</w:t>
            </w:r>
            <w:r>
              <w:rPr>
                <w:b/>
                <w:kern w:val="2"/>
                <w:sz w:val="21"/>
                <w:szCs w:val="21"/>
                <w:u w:val="single"/>
                <w:vertAlign w:val="subscript"/>
              </w:rPr>
              <w:t>10%</w:t>
            </w:r>
          </w:p>
        </w:tc>
        <w:tc>
          <w:tcPr>
            <w:tcW w:w="1026" w:type="pct"/>
            <w:vAlign w:val="center"/>
          </w:tcPr>
          <w:p w14:paraId="0B498A2C">
            <w:pPr>
              <w:adjustRightInd/>
              <w:snapToGrid/>
              <w:spacing w:line="240" w:lineRule="auto"/>
              <w:ind w:firstLine="0" w:firstLineChars="0"/>
              <w:jc w:val="center"/>
              <w:textAlignment w:val="auto"/>
              <w:rPr>
                <w:b/>
                <w:kern w:val="2"/>
                <w:sz w:val="21"/>
                <w:szCs w:val="21"/>
                <w:u w:val="single"/>
              </w:rPr>
            </w:pPr>
            <w:r>
              <w:rPr>
                <w:b/>
                <w:kern w:val="2"/>
                <w:sz w:val="21"/>
                <w:szCs w:val="21"/>
                <w:u w:val="single"/>
              </w:rPr>
              <w:t>分级判据</w:t>
            </w:r>
          </w:p>
        </w:tc>
        <w:tc>
          <w:tcPr>
            <w:tcW w:w="476" w:type="pct"/>
            <w:vAlign w:val="center"/>
          </w:tcPr>
          <w:p w14:paraId="1F4665F8">
            <w:pPr>
              <w:adjustRightInd/>
              <w:snapToGrid/>
              <w:spacing w:line="240" w:lineRule="auto"/>
              <w:ind w:firstLine="0" w:firstLineChars="0"/>
              <w:jc w:val="center"/>
              <w:textAlignment w:val="auto"/>
              <w:rPr>
                <w:b/>
                <w:kern w:val="2"/>
                <w:sz w:val="21"/>
                <w:szCs w:val="21"/>
                <w:u w:val="single"/>
              </w:rPr>
            </w:pPr>
            <w:r>
              <w:rPr>
                <w:b/>
                <w:kern w:val="2"/>
                <w:sz w:val="21"/>
                <w:szCs w:val="21"/>
                <w:u w:val="single"/>
              </w:rPr>
              <w:t>评价等级</w:t>
            </w:r>
          </w:p>
        </w:tc>
      </w:tr>
      <w:tr w14:paraId="5BD6CF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pct"/>
            <w:vMerge w:val="restart"/>
            <w:vAlign w:val="center"/>
          </w:tcPr>
          <w:p w14:paraId="48793F75">
            <w:pPr>
              <w:adjustRightInd/>
              <w:snapToGrid/>
              <w:spacing w:line="240" w:lineRule="auto"/>
              <w:ind w:firstLine="0" w:firstLineChars="0"/>
              <w:contextualSpacing/>
              <w:jc w:val="center"/>
              <w:rPr>
                <w:bCs/>
                <w:sz w:val="21"/>
                <w:szCs w:val="21"/>
                <w:highlight w:val="yellow"/>
                <w:u w:val="single"/>
              </w:rPr>
            </w:pPr>
            <w:r>
              <w:rPr>
                <w:rFonts w:hint="eastAsia"/>
                <w:bCs/>
                <w:sz w:val="21"/>
                <w:szCs w:val="21"/>
                <w:u w:val="single"/>
              </w:rPr>
              <w:t>排气筒DA001</w:t>
            </w:r>
          </w:p>
        </w:tc>
        <w:tc>
          <w:tcPr>
            <w:tcW w:w="801" w:type="pct"/>
            <w:vAlign w:val="center"/>
          </w:tcPr>
          <w:p w14:paraId="6E843AA0">
            <w:pPr>
              <w:adjustRightInd/>
              <w:snapToGrid/>
              <w:spacing w:line="240" w:lineRule="auto"/>
              <w:ind w:firstLine="0" w:firstLineChars="0"/>
              <w:contextualSpacing/>
              <w:jc w:val="center"/>
              <w:rPr>
                <w:bCs/>
                <w:sz w:val="21"/>
                <w:szCs w:val="21"/>
                <w:highlight w:val="yellow"/>
                <w:u w:val="single"/>
              </w:rPr>
            </w:pPr>
            <w:r>
              <w:rPr>
                <w:rFonts w:hint="eastAsia"/>
                <w:sz w:val="21"/>
                <w:szCs w:val="21"/>
                <w:u w:val="single"/>
              </w:rPr>
              <w:t>非甲烷总烃</w:t>
            </w:r>
          </w:p>
        </w:tc>
        <w:tc>
          <w:tcPr>
            <w:tcW w:w="940" w:type="pct"/>
            <w:vAlign w:val="center"/>
          </w:tcPr>
          <w:p w14:paraId="61CA0522">
            <w:pPr>
              <w:adjustRightInd/>
              <w:snapToGrid/>
              <w:spacing w:line="240" w:lineRule="auto"/>
              <w:ind w:firstLine="0" w:firstLineChars="0"/>
              <w:contextualSpacing/>
              <w:jc w:val="center"/>
              <w:rPr>
                <w:bCs/>
                <w:sz w:val="21"/>
                <w:szCs w:val="21"/>
                <w:u w:val="single"/>
              </w:rPr>
            </w:pPr>
            <w:r>
              <w:rPr>
                <w:rFonts w:hint="eastAsia"/>
                <w:bCs/>
                <w:sz w:val="21"/>
                <w:szCs w:val="21"/>
                <w:u w:val="single"/>
              </w:rPr>
              <w:t>1.97E-03</w:t>
            </w:r>
          </w:p>
        </w:tc>
        <w:tc>
          <w:tcPr>
            <w:tcW w:w="599" w:type="pct"/>
            <w:vAlign w:val="center"/>
          </w:tcPr>
          <w:p w14:paraId="1E33D0AE">
            <w:pPr>
              <w:adjustRightInd/>
              <w:snapToGrid/>
              <w:spacing w:line="240" w:lineRule="auto"/>
              <w:ind w:firstLine="0" w:firstLineChars="0"/>
              <w:contextualSpacing/>
              <w:jc w:val="center"/>
              <w:rPr>
                <w:bCs/>
                <w:sz w:val="21"/>
                <w:szCs w:val="21"/>
                <w:u w:val="single"/>
              </w:rPr>
            </w:pPr>
            <w:r>
              <w:rPr>
                <w:rFonts w:hint="eastAsia"/>
                <w:bCs/>
                <w:sz w:val="21"/>
                <w:szCs w:val="21"/>
                <w:u w:val="single"/>
              </w:rPr>
              <w:t>0.1</w:t>
            </w:r>
          </w:p>
        </w:tc>
        <w:tc>
          <w:tcPr>
            <w:tcW w:w="512" w:type="pct"/>
            <w:vAlign w:val="center"/>
          </w:tcPr>
          <w:p w14:paraId="44D96932">
            <w:pPr>
              <w:adjustRightInd/>
              <w:snapToGrid/>
              <w:spacing w:line="240" w:lineRule="auto"/>
              <w:ind w:firstLine="0" w:firstLineChars="0"/>
              <w:contextualSpacing/>
              <w:jc w:val="center"/>
              <w:rPr>
                <w:bCs/>
                <w:sz w:val="21"/>
                <w:szCs w:val="21"/>
                <w:u w:val="single"/>
              </w:rPr>
            </w:pPr>
            <w:r>
              <w:rPr>
                <w:rFonts w:hint="eastAsia"/>
                <w:bCs/>
                <w:sz w:val="21"/>
                <w:szCs w:val="21"/>
                <w:u w:val="single"/>
              </w:rPr>
              <w:t>0</w:t>
            </w:r>
          </w:p>
        </w:tc>
        <w:tc>
          <w:tcPr>
            <w:tcW w:w="1026" w:type="pct"/>
            <w:vAlign w:val="center"/>
          </w:tcPr>
          <w:p w14:paraId="63A56FAA">
            <w:pPr>
              <w:adjustRightInd/>
              <w:snapToGrid/>
              <w:spacing w:line="240" w:lineRule="auto"/>
              <w:ind w:firstLine="0" w:firstLineChars="0"/>
              <w:contextualSpacing/>
              <w:jc w:val="center"/>
              <w:rPr>
                <w:bCs/>
                <w:sz w:val="21"/>
                <w:szCs w:val="21"/>
                <w:u w:val="single"/>
              </w:rPr>
            </w:pPr>
            <w:r>
              <w:rPr>
                <w:bCs/>
                <w:sz w:val="21"/>
                <w:szCs w:val="21"/>
                <w:u w:val="single"/>
              </w:rPr>
              <w:t>P</w:t>
            </w:r>
            <w:r>
              <w:rPr>
                <w:bCs/>
                <w:sz w:val="21"/>
                <w:szCs w:val="21"/>
                <w:u w:val="single"/>
                <w:vertAlign w:val="subscript"/>
              </w:rPr>
              <w:t>max</w:t>
            </w:r>
            <w:r>
              <w:rPr>
                <w:bCs/>
                <w:sz w:val="21"/>
                <w:szCs w:val="21"/>
                <w:u w:val="single"/>
              </w:rPr>
              <w:t>＜1%</w:t>
            </w:r>
          </w:p>
        </w:tc>
        <w:tc>
          <w:tcPr>
            <w:tcW w:w="476" w:type="pct"/>
            <w:vAlign w:val="center"/>
          </w:tcPr>
          <w:p w14:paraId="5CB9B80E">
            <w:pPr>
              <w:adjustRightInd/>
              <w:snapToGrid/>
              <w:spacing w:line="240" w:lineRule="auto"/>
              <w:ind w:firstLine="0" w:firstLineChars="0"/>
              <w:contextualSpacing/>
              <w:jc w:val="center"/>
              <w:rPr>
                <w:bCs/>
                <w:sz w:val="21"/>
                <w:szCs w:val="21"/>
                <w:u w:val="single"/>
              </w:rPr>
            </w:pPr>
            <w:r>
              <w:rPr>
                <w:bCs/>
                <w:sz w:val="21"/>
                <w:szCs w:val="21"/>
                <w:u w:val="single"/>
              </w:rPr>
              <w:t>三级</w:t>
            </w:r>
          </w:p>
        </w:tc>
      </w:tr>
      <w:tr w14:paraId="0F436C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pct"/>
            <w:vMerge w:val="continue"/>
            <w:vAlign w:val="center"/>
          </w:tcPr>
          <w:p w14:paraId="7431381A">
            <w:pPr>
              <w:adjustRightInd/>
              <w:snapToGrid/>
              <w:spacing w:line="240" w:lineRule="auto"/>
              <w:ind w:firstLine="0" w:firstLineChars="0"/>
              <w:contextualSpacing/>
              <w:jc w:val="center"/>
              <w:rPr>
                <w:bCs/>
                <w:sz w:val="21"/>
                <w:szCs w:val="21"/>
                <w:highlight w:val="yellow"/>
                <w:u w:val="single"/>
              </w:rPr>
            </w:pPr>
          </w:p>
        </w:tc>
        <w:tc>
          <w:tcPr>
            <w:tcW w:w="801" w:type="pct"/>
            <w:vAlign w:val="center"/>
          </w:tcPr>
          <w:p w14:paraId="1F423C00">
            <w:pPr>
              <w:adjustRightInd/>
              <w:snapToGrid/>
              <w:spacing w:line="240" w:lineRule="auto"/>
              <w:ind w:firstLine="0" w:firstLineChars="0"/>
              <w:contextualSpacing/>
              <w:jc w:val="center"/>
              <w:rPr>
                <w:bCs/>
                <w:sz w:val="21"/>
                <w:szCs w:val="21"/>
                <w:highlight w:val="yellow"/>
                <w:u w:val="single"/>
              </w:rPr>
            </w:pPr>
            <w:r>
              <w:rPr>
                <w:rFonts w:hint="eastAsia"/>
                <w:sz w:val="21"/>
                <w:szCs w:val="21"/>
                <w:u w:val="single"/>
              </w:rPr>
              <w:t>硫酸雾</w:t>
            </w:r>
          </w:p>
        </w:tc>
        <w:tc>
          <w:tcPr>
            <w:tcW w:w="940" w:type="pct"/>
            <w:vAlign w:val="center"/>
          </w:tcPr>
          <w:p w14:paraId="4B049DE5">
            <w:pPr>
              <w:adjustRightInd/>
              <w:snapToGrid/>
              <w:spacing w:line="240" w:lineRule="auto"/>
              <w:ind w:firstLine="0" w:firstLineChars="0"/>
              <w:contextualSpacing/>
              <w:jc w:val="center"/>
              <w:rPr>
                <w:bCs/>
                <w:sz w:val="21"/>
                <w:szCs w:val="21"/>
                <w:u w:val="single"/>
              </w:rPr>
            </w:pPr>
            <w:r>
              <w:rPr>
                <w:rFonts w:hint="eastAsia"/>
                <w:bCs/>
                <w:sz w:val="21"/>
                <w:szCs w:val="21"/>
                <w:u w:val="single"/>
              </w:rPr>
              <w:t>1.3E-04</w:t>
            </w:r>
          </w:p>
        </w:tc>
        <w:tc>
          <w:tcPr>
            <w:tcW w:w="599" w:type="pct"/>
            <w:vAlign w:val="center"/>
          </w:tcPr>
          <w:p w14:paraId="0B2A487D">
            <w:pPr>
              <w:adjustRightInd/>
              <w:snapToGrid/>
              <w:spacing w:line="240" w:lineRule="auto"/>
              <w:ind w:firstLine="0" w:firstLineChars="0"/>
              <w:contextualSpacing/>
              <w:jc w:val="center"/>
              <w:rPr>
                <w:bCs/>
                <w:sz w:val="21"/>
                <w:szCs w:val="21"/>
                <w:u w:val="single"/>
              </w:rPr>
            </w:pPr>
            <w:r>
              <w:rPr>
                <w:rFonts w:hint="eastAsia"/>
                <w:bCs/>
                <w:sz w:val="21"/>
                <w:szCs w:val="21"/>
                <w:u w:val="single"/>
              </w:rPr>
              <w:t>0.04</w:t>
            </w:r>
          </w:p>
        </w:tc>
        <w:tc>
          <w:tcPr>
            <w:tcW w:w="512" w:type="pct"/>
            <w:vAlign w:val="center"/>
          </w:tcPr>
          <w:p w14:paraId="702BA545">
            <w:pPr>
              <w:adjustRightInd/>
              <w:snapToGrid/>
              <w:spacing w:line="240" w:lineRule="auto"/>
              <w:ind w:firstLine="0" w:firstLineChars="0"/>
              <w:contextualSpacing/>
              <w:jc w:val="center"/>
              <w:rPr>
                <w:rFonts w:eastAsia="等线"/>
                <w:bCs/>
                <w:sz w:val="21"/>
                <w:szCs w:val="21"/>
                <w:u w:val="single"/>
              </w:rPr>
            </w:pPr>
            <w:r>
              <w:rPr>
                <w:rFonts w:hint="eastAsia" w:eastAsia="等线"/>
                <w:bCs/>
                <w:sz w:val="21"/>
                <w:szCs w:val="21"/>
                <w:u w:val="single"/>
              </w:rPr>
              <w:t>0</w:t>
            </w:r>
          </w:p>
        </w:tc>
        <w:tc>
          <w:tcPr>
            <w:tcW w:w="1026" w:type="pct"/>
            <w:vAlign w:val="center"/>
          </w:tcPr>
          <w:p w14:paraId="55703B4E">
            <w:pPr>
              <w:adjustRightInd/>
              <w:snapToGrid/>
              <w:spacing w:line="240" w:lineRule="auto"/>
              <w:ind w:firstLine="0" w:firstLineChars="0"/>
              <w:contextualSpacing/>
              <w:jc w:val="center"/>
              <w:rPr>
                <w:bCs/>
                <w:sz w:val="21"/>
                <w:szCs w:val="21"/>
                <w:u w:val="single"/>
              </w:rPr>
            </w:pPr>
            <w:r>
              <w:rPr>
                <w:bCs/>
                <w:sz w:val="21"/>
                <w:szCs w:val="21"/>
                <w:u w:val="single"/>
              </w:rPr>
              <w:t>P</w:t>
            </w:r>
            <w:r>
              <w:rPr>
                <w:bCs/>
                <w:sz w:val="21"/>
                <w:szCs w:val="21"/>
                <w:u w:val="single"/>
                <w:vertAlign w:val="subscript"/>
              </w:rPr>
              <w:t>max</w:t>
            </w:r>
            <w:r>
              <w:rPr>
                <w:bCs/>
                <w:sz w:val="21"/>
                <w:szCs w:val="21"/>
                <w:u w:val="single"/>
              </w:rPr>
              <w:t>＜1%</w:t>
            </w:r>
          </w:p>
        </w:tc>
        <w:tc>
          <w:tcPr>
            <w:tcW w:w="476" w:type="pct"/>
            <w:vAlign w:val="center"/>
          </w:tcPr>
          <w:p w14:paraId="4DA00743">
            <w:pPr>
              <w:adjustRightInd/>
              <w:snapToGrid/>
              <w:spacing w:line="240" w:lineRule="auto"/>
              <w:ind w:firstLine="0" w:firstLineChars="0"/>
              <w:contextualSpacing/>
              <w:jc w:val="center"/>
              <w:rPr>
                <w:bCs/>
                <w:sz w:val="21"/>
                <w:szCs w:val="21"/>
                <w:u w:val="single"/>
              </w:rPr>
            </w:pPr>
            <w:r>
              <w:rPr>
                <w:bCs/>
                <w:sz w:val="21"/>
                <w:szCs w:val="21"/>
                <w:u w:val="single"/>
              </w:rPr>
              <w:t>三级</w:t>
            </w:r>
          </w:p>
        </w:tc>
      </w:tr>
      <w:tr w14:paraId="18470B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6" w:type="pct"/>
            <w:vAlign w:val="center"/>
          </w:tcPr>
          <w:p w14:paraId="0246E108">
            <w:pPr>
              <w:adjustRightInd/>
              <w:snapToGrid/>
              <w:spacing w:line="240" w:lineRule="auto"/>
              <w:ind w:firstLine="0" w:firstLineChars="0"/>
              <w:contextualSpacing/>
              <w:jc w:val="center"/>
              <w:rPr>
                <w:bCs/>
                <w:sz w:val="21"/>
                <w:szCs w:val="21"/>
                <w:highlight w:val="yellow"/>
                <w:u w:val="single"/>
              </w:rPr>
            </w:pPr>
            <w:r>
              <w:rPr>
                <w:rFonts w:hint="eastAsia"/>
                <w:bCs/>
                <w:sz w:val="21"/>
                <w:szCs w:val="21"/>
                <w:u w:val="single"/>
              </w:rPr>
              <w:t>排气筒DA002</w:t>
            </w:r>
          </w:p>
        </w:tc>
        <w:tc>
          <w:tcPr>
            <w:tcW w:w="801" w:type="pct"/>
            <w:vAlign w:val="center"/>
          </w:tcPr>
          <w:p w14:paraId="74339DF2">
            <w:pPr>
              <w:adjustRightInd/>
              <w:snapToGrid/>
              <w:spacing w:line="240" w:lineRule="auto"/>
              <w:ind w:firstLine="0" w:firstLineChars="0"/>
              <w:contextualSpacing/>
              <w:jc w:val="center"/>
              <w:rPr>
                <w:bCs/>
                <w:sz w:val="21"/>
                <w:szCs w:val="21"/>
                <w:highlight w:val="yellow"/>
                <w:u w:val="single"/>
              </w:rPr>
            </w:pPr>
            <w:r>
              <w:rPr>
                <w:sz w:val="21"/>
                <w:szCs w:val="21"/>
                <w:u w:val="single"/>
              </w:rPr>
              <w:t>颗粒物</w:t>
            </w:r>
          </w:p>
        </w:tc>
        <w:tc>
          <w:tcPr>
            <w:tcW w:w="940" w:type="pct"/>
            <w:vAlign w:val="center"/>
          </w:tcPr>
          <w:p w14:paraId="7B3F51A6">
            <w:pPr>
              <w:adjustRightInd/>
              <w:snapToGrid/>
              <w:spacing w:line="240" w:lineRule="auto"/>
              <w:ind w:firstLine="0" w:firstLineChars="0"/>
              <w:contextualSpacing/>
              <w:jc w:val="center"/>
              <w:rPr>
                <w:bCs/>
                <w:sz w:val="21"/>
                <w:szCs w:val="21"/>
                <w:u w:val="single"/>
              </w:rPr>
            </w:pPr>
            <w:r>
              <w:rPr>
                <w:rFonts w:hint="eastAsia"/>
                <w:bCs/>
                <w:sz w:val="21"/>
                <w:szCs w:val="21"/>
                <w:u w:val="single"/>
              </w:rPr>
              <w:t>8.68E-04</w:t>
            </w:r>
          </w:p>
        </w:tc>
        <w:tc>
          <w:tcPr>
            <w:tcW w:w="599" w:type="pct"/>
            <w:vAlign w:val="center"/>
          </w:tcPr>
          <w:p w14:paraId="472C48DD">
            <w:pPr>
              <w:adjustRightInd/>
              <w:snapToGrid/>
              <w:spacing w:line="240" w:lineRule="auto"/>
              <w:ind w:firstLine="0" w:firstLineChars="0"/>
              <w:contextualSpacing/>
              <w:jc w:val="center"/>
              <w:rPr>
                <w:bCs/>
                <w:sz w:val="21"/>
                <w:szCs w:val="21"/>
                <w:u w:val="single"/>
              </w:rPr>
            </w:pPr>
            <w:r>
              <w:rPr>
                <w:rFonts w:hint="eastAsia"/>
                <w:bCs/>
                <w:sz w:val="21"/>
                <w:szCs w:val="21"/>
                <w:u w:val="single"/>
              </w:rPr>
              <w:t>0.19</w:t>
            </w:r>
          </w:p>
        </w:tc>
        <w:tc>
          <w:tcPr>
            <w:tcW w:w="512" w:type="pct"/>
            <w:vAlign w:val="center"/>
          </w:tcPr>
          <w:p w14:paraId="08F40DFF">
            <w:pPr>
              <w:adjustRightInd/>
              <w:snapToGrid/>
              <w:spacing w:line="240" w:lineRule="auto"/>
              <w:ind w:firstLine="0" w:firstLineChars="0"/>
              <w:contextualSpacing/>
              <w:jc w:val="center"/>
              <w:rPr>
                <w:rFonts w:eastAsia="等线"/>
                <w:bCs/>
                <w:sz w:val="21"/>
                <w:szCs w:val="21"/>
                <w:u w:val="single"/>
              </w:rPr>
            </w:pPr>
            <w:r>
              <w:rPr>
                <w:rFonts w:hint="eastAsia" w:eastAsia="等线"/>
                <w:bCs/>
                <w:sz w:val="21"/>
                <w:szCs w:val="21"/>
                <w:u w:val="single"/>
              </w:rPr>
              <w:t>0</w:t>
            </w:r>
          </w:p>
        </w:tc>
        <w:tc>
          <w:tcPr>
            <w:tcW w:w="1026" w:type="pct"/>
            <w:vAlign w:val="center"/>
          </w:tcPr>
          <w:p w14:paraId="15C99C99">
            <w:pPr>
              <w:adjustRightInd/>
              <w:snapToGrid/>
              <w:spacing w:line="240" w:lineRule="auto"/>
              <w:ind w:firstLine="0" w:firstLineChars="0"/>
              <w:contextualSpacing/>
              <w:jc w:val="center"/>
              <w:rPr>
                <w:bCs/>
                <w:sz w:val="21"/>
                <w:szCs w:val="21"/>
                <w:u w:val="single"/>
              </w:rPr>
            </w:pPr>
            <w:r>
              <w:rPr>
                <w:bCs/>
                <w:sz w:val="21"/>
                <w:szCs w:val="21"/>
                <w:u w:val="single"/>
              </w:rPr>
              <w:t>P</w:t>
            </w:r>
            <w:r>
              <w:rPr>
                <w:bCs/>
                <w:sz w:val="21"/>
                <w:szCs w:val="21"/>
                <w:u w:val="single"/>
                <w:vertAlign w:val="subscript"/>
              </w:rPr>
              <w:t>max</w:t>
            </w:r>
            <w:r>
              <w:rPr>
                <w:bCs/>
                <w:sz w:val="21"/>
                <w:szCs w:val="21"/>
                <w:u w:val="single"/>
              </w:rPr>
              <w:t>＜1%</w:t>
            </w:r>
          </w:p>
        </w:tc>
        <w:tc>
          <w:tcPr>
            <w:tcW w:w="476" w:type="pct"/>
            <w:vAlign w:val="center"/>
          </w:tcPr>
          <w:p w14:paraId="72894C75">
            <w:pPr>
              <w:adjustRightInd/>
              <w:snapToGrid/>
              <w:spacing w:line="240" w:lineRule="auto"/>
              <w:ind w:firstLine="0" w:firstLineChars="0"/>
              <w:contextualSpacing/>
              <w:jc w:val="center"/>
              <w:rPr>
                <w:bCs/>
                <w:sz w:val="21"/>
                <w:szCs w:val="21"/>
                <w:u w:val="single"/>
              </w:rPr>
            </w:pPr>
            <w:r>
              <w:rPr>
                <w:bCs/>
                <w:sz w:val="21"/>
                <w:szCs w:val="21"/>
                <w:u w:val="single"/>
              </w:rPr>
              <w:t>三级</w:t>
            </w:r>
          </w:p>
        </w:tc>
      </w:tr>
    </w:tbl>
    <w:p w14:paraId="21AD9121">
      <w:pPr>
        <w:ind w:firstLine="480"/>
        <w:rPr>
          <w:szCs w:val="24"/>
        </w:rPr>
      </w:pPr>
      <w:bookmarkStart w:id="295" w:name="_Toc300681308"/>
      <w:bookmarkStart w:id="296" w:name="_Toc302145937"/>
      <w:bookmarkStart w:id="297" w:name="_Toc324839320"/>
      <w:bookmarkStart w:id="298" w:name="_Toc304300432"/>
      <w:bookmarkStart w:id="299" w:name="_Toc324839617"/>
      <w:r>
        <w:rPr>
          <w:rFonts w:hint="eastAsia"/>
          <w:szCs w:val="24"/>
        </w:rPr>
        <w:t>由上表可知，本项目大气评价等级为三级。根据《环境影响评价技术导则 大气环境》（HJ2.2-2018），对电力、钢铁、水泥、石化、化工、平板玻璃、有色等高耗能行业的多源项目或以使用高污染燃料为主的多源项目，而且编制环境影响报告书的项目评价等级提高一级。本项目属于化工行业多源项目，故评价等级提高一级，本次大气评价等级仍为二级。</w:t>
      </w:r>
    </w:p>
    <w:p w14:paraId="1AA5559D">
      <w:pPr>
        <w:ind w:firstLine="480"/>
        <w:rPr>
          <w:b/>
          <w:bCs/>
          <w:szCs w:val="24"/>
          <w:u w:val="single"/>
        </w:rPr>
      </w:pPr>
      <w:r>
        <w:rPr>
          <w:rFonts w:hint="eastAsia"/>
          <w:szCs w:val="24"/>
        </w:rPr>
        <w:t>综上所述，本项目正常生产工况下对大气环境的影响均可接受。</w:t>
      </w:r>
    </w:p>
    <w:p w14:paraId="53D22B78">
      <w:pPr>
        <w:pStyle w:val="6"/>
        <w:ind w:left="0" w:firstLine="482" w:firstLineChars="200"/>
      </w:pPr>
      <w:r>
        <w:rPr>
          <w:rFonts w:hint="eastAsia"/>
        </w:rPr>
        <w:t>评价范围</w:t>
      </w:r>
    </w:p>
    <w:p w14:paraId="40DA86B7">
      <w:pPr>
        <w:ind w:firstLine="480"/>
        <w:rPr>
          <w:bCs/>
        </w:rPr>
      </w:pPr>
      <w:r>
        <w:rPr>
          <w:rFonts w:hint="eastAsia"/>
          <w:bCs/>
        </w:rPr>
        <w:t>以项目厂址为中心区域，边长为5km的区域，评价区内覆盖的主要保护目标为敏感点。</w:t>
      </w:r>
    </w:p>
    <w:bookmarkEnd w:id="295"/>
    <w:bookmarkEnd w:id="296"/>
    <w:bookmarkEnd w:id="297"/>
    <w:bookmarkEnd w:id="298"/>
    <w:bookmarkEnd w:id="299"/>
    <w:p w14:paraId="1A6EF871">
      <w:pPr>
        <w:pStyle w:val="6"/>
        <w:ind w:left="0" w:firstLine="482" w:firstLineChars="200"/>
      </w:pPr>
      <w:r>
        <w:rPr>
          <w:rFonts w:hint="eastAsia"/>
        </w:rPr>
        <w:t>大气环境防护距离</w:t>
      </w:r>
    </w:p>
    <w:p w14:paraId="54E3C4B1">
      <w:pPr>
        <w:ind w:firstLine="480"/>
      </w:pPr>
      <w:r>
        <w:rPr>
          <w:rFonts w:hint="eastAsia"/>
        </w:rPr>
        <w:t>依据《环境影响评价技术导则-大气环境》（HJ2.2-2018）的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4134BCEC">
      <w:pPr>
        <w:ind w:firstLine="480"/>
      </w:pPr>
      <w:r>
        <w:rPr>
          <w:rFonts w:hint="eastAsia"/>
        </w:rPr>
        <w:t>根据本项目预测结果：各厂界处废气污染物均未超过环境质量浓度限值，因此不需设置大气环境防护距离。</w:t>
      </w:r>
    </w:p>
    <w:bookmarkEnd w:id="288"/>
    <w:bookmarkEnd w:id="289"/>
    <w:bookmarkEnd w:id="290"/>
    <w:bookmarkEnd w:id="291"/>
    <w:bookmarkEnd w:id="292"/>
    <w:p w14:paraId="69A519F5">
      <w:pPr>
        <w:pStyle w:val="5"/>
        <w:spacing w:before="240" w:after="240"/>
      </w:pPr>
      <w:r>
        <w:t>污染物排放量核算</w:t>
      </w:r>
    </w:p>
    <w:p w14:paraId="5E34C9AF">
      <w:pPr>
        <w:ind w:firstLine="482"/>
        <w:outlineLvl w:val="4"/>
        <w:rPr>
          <w:b/>
        </w:rPr>
      </w:pPr>
      <w:r>
        <w:rPr>
          <w:rFonts w:hint="eastAsia"/>
          <w:b/>
        </w:rPr>
        <w:t>5.1.3.1</w:t>
      </w:r>
      <w:r>
        <w:rPr>
          <w:b/>
        </w:rPr>
        <w:t>废气排放量核算</w:t>
      </w:r>
    </w:p>
    <w:p w14:paraId="480025DB">
      <w:pPr>
        <w:pStyle w:val="2"/>
        <w:spacing w:after="0"/>
        <w:ind w:firstLine="480"/>
        <w:outlineLvl w:val="5"/>
      </w:pPr>
      <w:r>
        <w:rPr>
          <w:rFonts w:hint="eastAsia"/>
        </w:rPr>
        <w:t>（1）有组织排放核算</w:t>
      </w:r>
    </w:p>
    <w:p w14:paraId="004BD3A1">
      <w:pPr>
        <w:ind w:firstLine="480"/>
      </w:pPr>
      <w:r>
        <w:t>本项目有组织大气污染物排放量核算见下表。</w:t>
      </w:r>
    </w:p>
    <w:p w14:paraId="52784E11">
      <w:pPr>
        <w:pStyle w:val="64"/>
        <w:numPr>
          <w:ilvl w:val="2"/>
          <w:numId w:val="25"/>
        </w:numPr>
        <w:spacing w:before="120"/>
        <w:ind w:left="0" w:firstLine="480" w:firstLineChars="200"/>
        <w:rPr>
          <w:bCs/>
        </w:rPr>
      </w:pPr>
      <w:r>
        <w:rPr>
          <w:bCs/>
        </w:rPr>
        <w:t xml:space="preserve">   </w:t>
      </w:r>
      <w:r>
        <w:rPr>
          <w:rFonts w:hint="eastAsia"/>
          <w:bCs/>
        </w:rPr>
        <w:t xml:space="preserve">      </w:t>
      </w:r>
      <w:r>
        <w:rPr>
          <w:bCs/>
        </w:rPr>
        <w:t>大气污染物有组织排放量核算表</w:t>
      </w:r>
    </w:p>
    <w:tbl>
      <w:tblPr>
        <w:tblStyle w:val="41"/>
        <w:tblW w:w="496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835"/>
        <w:gridCol w:w="1450"/>
        <w:gridCol w:w="1413"/>
        <w:gridCol w:w="1548"/>
        <w:gridCol w:w="1550"/>
        <w:gridCol w:w="1518"/>
      </w:tblGrid>
      <w:tr w14:paraId="3EEF19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tblHeader/>
          <w:jc w:val="center"/>
        </w:trPr>
        <w:tc>
          <w:tcPr>
            <w:tcW w:w="502" w:type="pct"/>
            <w:vAlign w:val="center"/>
          </w:tcPr>
          <w:p w14:paraId="4D71B494">
            <w:pPr>
              <w:pStyle w:val="67"/>
              <w:rPr>
                <w:color w:val="auto"/>
                <w:u w:val="single"/>
              </w:rPr>
            </w:pPr>
            <w:r>
              <w:rPr>
                <w:rFonts w:hint="eastAsia"/>
                <w:color w:val="auto"/>
                <w:u w:val="single"/>
              </w:rPr>
              <w:t>序号</w:t>
            </w:r>
          </w:p>
        </w:tc>
        <w:tc>
          <w:tcPr>
            <w:tcW w:w="872" w:type="pct"/>
            <w:vAlign w:val="center"/>
          </w:tcPr>
          <w:p w14:paraId="1E297F77">
            <w:pPr>
              <w:pStyle w:val="67"/>
              <w:rPr>
                <w:color w:val="auto"/>
                <w:u w:val="single"/>
              </w:rPr>
            </w:pPr>
            <w:r>
              <w:rPr>
                <w:rFonts w:hint="eastAsia"/>
                <w:color w:val="auto"/>
                <w:u w:val="single"/>
              </w:rPr>
              <w:t>排放口编号</w:t>
            </w:r>
          </w:p>
        </w:tc>
        <w:tc>
          <w:tcPr>
            <w:tcW w:w="850" w:type="pct"/>
            <w:vAlign w:val="center"/>
          </w:tcPr>
          <w:p w14:paraId="390BA8B6">
            <w:pPr>
              <w:pStyle w:val="67"/>
              <w:rPr>
                <w:color w:val="auto"/>
                <w:u w:val="single"/>
              </w:rPr>
            </w:pPr>
            <w:r>
              <w:rPr>
                <w:rFonts w:hint="eastAsia"/>
                <w:color w:val="auto"/>
                <w:u w:val="single"/>
              </w:rPr>
              <w:t>污染物</w:t>
            </w:r>
          </w:p>
        </w:tc>
        <w:tc>
          <w:tcPr>
            <w:tcW w:w="931" w:type="pct"/>
            <w:vAlign w:val="center"/>
          </w:tcPr>
          <w:p w14:paraId="0F54159A">
            <w:pPr>
              <w:pStyle w:val="67"/>
              <w:rPr>
                <w:color w:val="auto"/>
                <w:u w:val="single"/>
              </w:rPr>
            </w:pPr>
            <w:r>
              <w:rPr>
                <w:rFonts w:hint="eastAsia"/>
                <w:color w:val="auto"/>
                <w:u w:val="single"/>
              </w:rPr>
              <w:t>核算排放浓度</w:t>
            </w:r>
            <w:r>
              <w:rPr>
                <w:color w:val="auto"/>
                <w:u w:val="single"/>
              </w:rPr>
              <w:t>/</w:t>
            </w:r>
          </w:p>
          <w:p w14:paraId="27CD735D">
            <w:pPr>
              <w:pStyle w:val="67"/>
              <w:rPr>
                <w:color w:val="auto"/>
                <w:u w:val="single"/>
              </w:rPr>
            </w:pPr>
            <w:r>
              <w:rPr>
                <w:rFonts w:hint="eastAsia"/>
                <w:color w:val="auto"/>
                <w:u w:val="single"/>
              </w:rPr>
              <w:t>（</w:t>
            </w:r>
            <w:r>
              <w:rPr>
                <w:color w:val="auto"/>
                <w:u w:val="single"/>
              </w:rPr>
              <w:t>mg/m</w:t>
            </w:r>
            <w:r>
              <w:rPr>
                <w:color w:val="auto"/>
                <w:u w:val="single"/>
                <w:vertAlign w:val="superscript"/>
              </w:rPr>
              <w:t>3</w:t>
            </w:r>
            <w:r>
              <w:rPr>
                <w:rFonts w:hint="eastAsia"/>
                <w:color w:val="auto"/>
                <w:u w:val="single"/>
              </w:rPr>
              <w:t>）</w:t>
            </w:r>
          </w:p>
        </w:tc>
        <w:tc>
          <w:tcPr>
            <w:tcW w:w="932" w:type="pct"/>
            <w:vAlign w:val="center"/>
          </w:tcPr>
          <w:p w14:paraId="0FCF7607">
            <w:pPr>
              <w:pStyle w:val="67"/>
              <w:rPr>
                <w:color w:val="auto"/>
                <w:u w:val="single"/>
              </w:rPr>
            </w:pPr>
            <w:r>
              <w:rPr>
                <w:rFonts w:hint="eastAsia"/>
                <w:color w:val="auto"/>
                <w:u w:val="single"/>
              </w:rPr>
              <w:t>核算排放速率</w:t>
            </w:r>
            <w:r>
              <w:rPr>
                <w:color w:val="auto"/>
                <w:u w:val="single"/>
              </w:rPr>
              <w:t>/</w:t>
            </w:r>
          </w:p>
          <w:p w14:paraId="24EFA9B6">
            <w:pPr>
              <w:pStyle w:val="67"/>
              <w:rPr>
                <w:color w:val="auto"/>
                <w:u w:val="single"/>
              </w:rPr>
            </w:pPr>
            <w:r>
              <w:rPr>
                <w:rFonts w:hint="eastAsia"/>
                <w:color w:val="auto"/>
                <w:u w:val="single"/>
              </w:rPr>
              <w:t>（</w:t>
            </w:r>
            <w:r>
              <w:rPr>
                <w:color w:val="auto"/>
                <w:u w:val="single"/>
              </w:rPr>
              <w:t>kg/h</w:t>
            </w:r>
            <w:r>
              <w:rPr>
                <w:rFonts w:hint="eastAsia"/>
                <w:color w:val="auto"/>
                <w:u w:val="single"/>
              </w:rPr>
              <w:t>）</w:t>
            </w:r>
          </w:p>
        </w:tc>
        <w:tc>
          <w:tcPr>
            <w:tcW w:w="913" w:type="pct"/>
            <w:vAlign w:val="center"/>
          </w:tcPr>
          <w:p w14:paraId="194E6351">
            <w:pPr>
              <w:pStyle w:val="67"/>
              <w:rPr>
                <w:color w:val="auto"/>
                <w:u w:val="single"/>
              </w:rPr>
            </w:pPr>
            <w:r>
              <w:rPr>
                <w:rFonts w:hint="eastAsia"/>
                <w:color w:val="auto"/>
                <w:u w:val="single"/>
              </w:rPr>
              <w:t>核算年排放量</w:t>
            </w:r>
            <w:r>
              <w:rPr>
                <w:color w:val="auto"/>
                <w:u w:val="single"/>
              </w:rPr>
              <w:t>/</w:t>
            </w:r>
          </w:p>
          <w:p w14:paraId="6F44D6BE">
            <w:pPr>
              <w:pStyle w:val="67"/>
              <w:rPr>
                <w:color w:val="auto"/>
                <w:u w:val="single"/>
              </w:rPr>
            </w:pPr>
            <w:r>
              <w:rPr>
                <w:rFonts w:hint="eastAsia"/>
                <w:color w:val="auto"/>
                <w:u w:val="single"/>
              </w:rPr>
              <w:t>（</w:t>
            </w:r>
            <w:r>
              <w:rPr>
                <w:color w:val="auto"/>
                <w:u w:val="single"/>
              </w:rPr>
              <w:t>t/a</w:t>
            </w:r>
            <w:r>
              <w:rPr>
                <w:rFonts w:hint="eastAsia"/>
                <w:color w:val="auto"/>
                <w:u w:val="single"/>
              </w:rPr>
              <w:t>）</w:t>
            </w:r>
          </w:p>
        </w:tc>
      </w:tr>
      <w:tr w14:paraId="51F3B1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00" w:type="pct"/>
            <w:gridSpan w:val="6"/>
            <w:vAlign w:val="center"/>
          </w:tcPr>
          <w:p w14:paraId="75AB9157">
            <w:pPr>
              <w:pStyle w:val="67"/>
              <w:rPr>
                <w:color w:val="auto"/>
                <w:u w:val="single"/>
              </w:rPr>
            </w:pPr>
            <w:r>
              <w:rPr>
                <w:rFonts w:hint="eastAsia"/>
                <w:color w:val="auto"/>
                <w:u w:val="single"/>
              </w:rPr>
              <w:t>一般排放口</w:t>
            </w:r>
          </w:p>
        </w:tc>
      </w:tr>
      <w:tr w14:paraId="394A8A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2" w:type="pct"/>
            <w:vMerge w:val="restart"/>
            <w:vAlign w:val="center"/>
          </w:tcPr>
          <w:p w14:paraId="0CDB9EFC">
            <w:pPr>
              <w:pStyle w:val="62"/>
              <w:rPr>
                <w:u w:val="single"/>
              </w:rPr>
            </w:pPr>
            <w:r>
              <w:rPr>
                <w:u w:val="single"/>
              </w:rPr>
              <w:t>1</w:t>
            </w:r>
          </w:p>
        </w:tc>
        <w:tc>
          <w:tcPr>
            <w:tcW w:w="872" w:type="pct"/>
            <w:vMerge w:val="restart"/>
            <w:vAlign w:val="center"/>
          </w:tcPr>
          <w:p w14:paraId="606ECE8F">
            <w:pPr>
              <w:pStyle w:val="62"/>
              <w:rPr>
                <w:kern w:val="2"/>
                <w:u w:val="single"/>
              </w:rPr>
            </w:pPr>
            <w:r>
              <w:rPr>
                <w:rFonts w:hint="eastAsia"/>
                <w:kern w:val="2"/>
                <w:u w:val="single"/>
              </w:rPr>
              <w:t>D</w:t>
            </w:r>
            <w:r>
              <w:rPr>
                <w:kern w:val="2"/>
                <w:u w:val="single"/>
              </w:rPr>
              <w:t>A001</w:t>
            </w:r>
          </w:p>
        </w:tc>
        <w:tc>
          <w:tcPr>
            <w:tcW w:w="850" w:type="pct"/>
            <w:vAlign w:val="center"/>
          </w:tcPr>
          <w:p w14:paraId="15F739D0">
            <w:pPr>
              <w:pStyle w:val="62"/>
              <w:rPr>
                <w:u w:val="single"/>
              </w:rPr>
            </w:pPr>
            <w:r>
              <w:rPr>
                <w:rFonts w:hint="eastAsia"/>
                <w:u w:val="single"/>
              </w:rPr>
              <w:t>非甲烷总烃</w:t>
            </w:r>
          </w:p>
        </w:tc>
        <w:tc>
          <w:tcPr>
            <w:tcW w:w="931" w:type="pct"/>
            <w:vAlign w:val="center"/>
          </w:tcPr>
          <w:p w14:paraId="4871AFB0">
            <w:pPr>
              <w:pStyle w:val="62"/>
              <w:rPr>
                <w:u w:val="single"/>
              </w:rPr>
            </w:pPr>
            <w:r>
              <w:rPr>
                <w:rFonts w:hint="eastAsia"/>
                <w:u w:val="single"/>
              </w:rPr>
              <w:t>14.2</w:t>
            </w:r>
          </w:p>
        </w:tc>
        <w:tc>
          <w:tcPr>
            <w:tcW w:w="932" w:type="pct"/>
            <w:vAlign w:val="center"/>
          </w:tcPr>
          <w:p w14:paraId="4C6DC595">
            <w:pPr>
              <w:pStyle w:val="62"/>
              <w:rPr>
                <w:u w:val="single"/>
              </w:rPr>
            </w:pPr>
            <w:r>
              <w:rPr>
                <w:rFonts w:hint="eastAsia"/>
                <w:u w:val="single"/>
              </w:rPr>
              <w:t>0.071</w:t>
            </w:r>
          </w:p>
        </w:tc>
        <w:tc>
          <w:tcPr>
            <w:tcW w:w="913" w:type="pct"/>
            <w:vAlign w:val="center"/>
          </w:tcPr>
          <w:p w14:paraId="2A41CC62">
            <w:pPr>
              <w:pStyle w:val="62"/>
              <w:rPr>
                <w:u w:val="single"/>
              </w:rPr>
            </w:pPr>
            <w:r>
              <w:rPr>
                <w:rFonts w:hint="eastAsia"/>
                <w:u w:val="single"/>
              </w:rPr>
              <w:t>0.078</w:t>
            </w:r>
          </w:p>
        </w:tc>
      </w:tr>
      <w:tr w14:paraId="7652A3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2" w:type="pct"/>
            <w:vMerge w:val="continue"/>
            <w:vAlign w:val="center"/>
          </w:tcPr>
          <w:p w14:paraId="7BB4A005">
            <w:pPr>
              <w:pStyle w:val="62"/>
              <w:rPr>
                <w:u w:val="single"/>
              </w:rPr>
            </w:pPr>
          </w:p>
        </w:tc>
        <w:tc>
          <w:tcPr>
            <w:tcW w:w="872" w:type="pct"/>
            <w:vMerge w:val="continue"/>
            <w:vAlign w:val="center"/>
          </w:tcPr>
          <w:p w14:paraId="5B6BCABD">
            <w:pPr>
              <w:pStyle w:val="62"/>
              <w:rPr>
                <w:kern w:val="2"/>
                <w:u w:val="single"/>
              </w:rPr>
            </w:pPr>
          </w:p>
        </w:tc>
        <w:tc>
          <w:tcPr>
            <w:tcW w:w="850" w:type="pct"/>
            <w:vAlign w:val="center"/>
          </w:tcPr>
          <w:p w14:paraId="514D964A">
            <w:pPr>
              <w:pStyle w:val="62"/>
              <w:rPr>
                <w:u w:val="single"/>
              </w:rPr>
            </w:pPr>
            <w:r>
              <w:rPr>
                <w:rFonts w:hint="eastAsia"/>
                <w:u w:val="single"/>
              </w:rPr>
              <w:t>硫酸</w:t>
            </w:r>
          </w:p>
        </w:tc>
        <w:tc>
          <w:tcPr>
            <w:tcW w:w="931" w:type="pct"/>
            <w:vAlign w:val="center"/>
          </w:tcPr>
          <w:p w14:paraId="288B88B9">
            <w:pPr>
              <w:pStyle w:val="62"/>
              <w:rPr>
                <w:u w:val="single"/>
              </w:rPr>
            </w:pPr>
            <w:r>
              <w:rPr>
                <w:rFonts w:hint="eastAsia"/>
                <w:u w:val="single"/>
              </w:rPr>
              <w:t>1.56</w:t>
            </w:r>
          </w:p>
        </w:tc>
        <w:tc>
          <w:tcPr>
            <w:tcW w:w="932" w:type="pct"/>
            <w:vAlign w:val="center"/>
          </w:tcPr>
          <w:p w14:paraId="0C08F402">
            <w:pPr>
              <w:pStyle w:val="62"/>
              <w:rPr>
                <w:u w:val="single"/>
              </w:rPr>
            </w:pPr>
            <w:r>
              <w:rPr>
                <w:rFonts w:hint="eastAsia"/>
                <w:u w:val="single"/>
              </w:rPr>
              <w:t>0.0078</w:t>
            </w:r>
          </w:p>
        </w:tc>
        <w:tc>
          <w:tcPr>
            <w:tcW w:w="913" w:type="pct"/>
            <w:vAlign w:val="center"/>
          </w:tcPr>
          <w:p w14:paraId="4E859930">
            <w:pPr>
              <w:pStyle w:val="62"/>
              <w:rPr>
                <w:u w:val="single"/>
              </w:rPr>
            </w:pPr>
            <w:r>
              <w:rPr>
                <w:rFonts w:hint="eastAsia"/>
                <w:u w:val="single"/>
              </w:rPr>
              <w:t>0.0195</w:t>
            </w:r>
          </w:p>
        </w:tc>
      </w:tr>
      <w:tr w14:paraId="621FF0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02" w:type="pct"/>
            <w:vAlign w:val="center"/>
          </w:tcPr>
          <w:p w14:paraId="0F9A3E8C">
            <w:pPr>
              <w:pStyle w:val="62"/>
              <w:rPr>
                <w:u w:val="single"/>
              </w:rPr>
            </w:pPr>
            <w:r>
              <w:rPr>
                <w:rFonts w:hint="eastAsia"/>
                <w:u w:val="single"/>
              </w:rPr>
              <w:t>2</w:t>
            </w:r>
          </w:p>
        </w:tc>
        <w:tc>
          <w:tcPr>
            <w:tcW w:w="872" w:type="pct"/>
            <w:vAlign w:val="center"/>
          </w:tcPr>
          <w:p w14:paraId="2B5E2B45">
            <w:pPr>
              <w:pStyle w:val="62"/>
              <w:rPr>
                <w:kern w:val="2"/>
                <w:u w:val="single"/>
              </w:rPr>
            </w:pPr>
            <w:r>
              <w:rPr>
                <w:rFonts w:hint="eastAsia"/>
                <w:kern w:val="2"/>
                <w:u w:val="single"/>
              </w:rPr>
              <w:t>D</w:t>
            </w:r>
            <w:r>
              <w:rPr>
                <w:kern w:val="2"/>
                <w:u w:val="single"/>
              </w:rPr>
              <w:t>A00</w:t>
            </w:r>
            <w:r>
              <w:rPr>
                <w:rFonts w:hint="eastAsia"/>
                <w:kern w:val="2"/>
                <w:u w:val="single"/>
              </w:rPr>
              <w:t>2</w:t>
            </w:r>
          </w:p>
        </w:tc>
        <w:tc>
          <w:tcPr>
            <w:tcW w:w="850" w:type="pct"/>
            <w:vAlign w:val="center"/>
          </w:tcPr>
          <w:p w14:paraId="56AEC890">
            <w:pPr>
              <w:pStyle w:val="62"/>
              <w:rPr>
                <w:u w:val="single"/>
              </w:rPr>
            </w:pPr>
            <w:r>
              <w:rPr>
                <w:u w:val="single"/>
              </w:rPr>
              <w:t>颗粒物</w:t>
            </w:r>
          </w:p>
        </w:tc>
        <w:tc>
          <w:tcPr>
            <w:tcW w:w="931" w:type="pct"/>
            <w:vAlign w:val="center"/>
          </w:tcPr>
          <w:p w14:paraId="0A5115A1">
            <w:pPr>
              <w:pStyle w:val="62"/>
              <w:rPr>
                <w:u w:val="single"/>
              </w:rPr>
            </w:pPr>
            <w:r>
              <w:rPr>
                <w:rFonts w:hint="eastAsia"/>
                <w:u w:val="single"/>
              </w:rPr>
              <w:t>6</w:t>
            </w:r>
          </w:p>
        </w:tc>
        <w:tc>
          <w:tcPr>
            <w:tcW w:w="932" w:type="pct"/>
            <w:vAlign w:val="center"/>
          </w:tcPr>
          <w:p w14:paraId="63B788BE">
            <w:pPr>
              <w:pStyle w:val="62"/>
              <w:rPr>
                <w:rFonts w:eastAsia="等线"/>
                <w:u w:val="single"/>
              </w:rPr>
            </w:pPr>
            <w:r>
              <w:rPr>
                <w:rFonts w:hint="eastAsia"/>
                <w:u w:val="single"/>
              </w:rPr>
              <w:t>0.03</w:t>
            </w:r>
          </w:p>
        </w:tc>
        <w:tc>
          <w:tcPr>
            <w:tcW w:w="913" w:type="pct"/>
            <w:vAlign w:val="center"/>
          </w:tcPr>
          <w:p w14:paraId="1305D743">
            <w:pPr>
              <w:pStyle w:val="62"/>
              <w:rPr>
                <w:u w:val="single"/>
              </w:rPr>
            </w:pPr>
            <w:r>
              <w:rPr>
                <w:rFonts w:hint="eastAsia"/>
                <w:u w:val="single"/>
              </w:rPr>
              <w:t>0.12</w:t>
            </w:r>
          </w:p>
        </w:tc>
      </w:tr>
      <w:tr w14:paraId="0A7765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374" w:type="pct"/>
            <w:gridSpan w:val="2"/>
            <w:vMerge w:val="restart"/>
            <w:vAlign w:val="center"/>
          </w:tcPr>
          <w:p w14:paraId="070D787E">
            <w:pPr>
              <w:pStyle w:val="62"/>
              <w:rPr>
                <w:u w:val="single"/>
              </w:rPr>
            </w:pPr>
            <w:r>
              <w:rPr>
                <w:rFonts w:hint="eastAsia"/>
                <w:u w:val="single"/>
              </w:rPr>
              <w:t>一般</w:t>
            </w:r>
            <w:r>
              <w:rPr>
                <w:u w:val="single"/>
              </w:rPr>
              <w:t>排放口合计</w:t>
            </w:r>
          </w:p>
        </w:tc>
        <w:tc>
          <w:tcPr>
            <w:tcW w:w="2713" w:type="pct"/>
            <w:gridSpan w:val="3"/>
            <w:vAlign w:val="center"/>
          </w:tcPr>
          <w:p w14:paraId="2AD43E1C">
            <w:pPr>
              <w:pStyle w:val="62"/>
              <w:rPr>
                <w:u w:val="single"/>
              </w:rPr>
            </w:pPr>
            <w:r>
              <w:rPr>
                <w:u w:val="single"/>
              </w:rPr>
              <w:t>颗粒物</w:t>
            </w:r>
          </w:p>
        </w:tc>
        <w:tc>
          <w:tcPr>
            <w:tcW w:w="913" w:type="pct"/>
            <w:vAlign w:val="center"/>
          </w:tcPr>
          <w:p w14:paraId="2B5F84D3">
            <w:pPr>
              <w:pStyle w:val="62"/>
              <w:rPr>
                <w:u w:val="single"/>
              </w:rPr>
            </w:pPr>
            <w:r>
              <w:rPr>
                <w:rFonts w:hint="eastAsia"/>
                <w:u w:val="single"/>
              </w:rPr>
              <w:t>0.12</w:t>
            </w:r>
          </w:p>
        </w:tc>
      </w:tr>
      <w:tr w14:paraId="6ECC56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374" w:type="pct"/>
            <w:gridSpan w:val="2"/>
            <w:vMerge w:val="continue"/>
            <w:vAlign w:val="center"/>
          </w:tcPr>
          <w:p w14:paraId="217E9B7A">
            <w:pPr>
              <w:pStyle w:val="62"/>
              <w:rPr>
                <w:u w:val="single"/>
              </w:rPr>
            </w:pPr>
          </w:p>
        </w:tc>
        <w:tc>
          <w:tcPr>
            <w:tcW w:w="2713" w:type="pct"/>
            <w:gridSpan w:val="3"/>
            <w:vAlign w:val="center"/>
          </w:tcPr>
          <w:p w14:paraId="111F49FA">
            <w:pPr>
              <w:pStyle w:val="62"/>
              <w:rPr>
                <w:u w:val="single"/>
              </w:rPr>
            </w:pPr>
            <w:r>
              <w:rPr>
                <w:rFonts w:hint="eastAsia"/>
                <w:u w:val="single"/>
              </w:rPr>
              <w:t>非甲烷总烃</w:t>
            </w:r>
          </w:p>
        </w:tc>
        <w:tc>
          <w:tcPr>
            <w:tcW w:w="913" w:type="pct"/>
            <w:vAlign w:val="center"/>
          </w:tcPr>
          <w:p w14:paraId="7865A733">
            <w:pPr>
              <w:pStyle w:val="62"/>
              <w:rPr>
                <w:u w:val="single"/>
              </w:rPr>
            </w:pPr>
            <w:r>
              <w:rPr>
                <w:rFonts w:hint="eastAsia"/>
                <w:u w:val="single"/>
              </w:rPr>
              <w:t>0.078</w:t>
            </w:r>
          </w:p>
        </w:tc>
      </w:tr>
      <w:tr w14:paraId="5B9DDE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374" w:type="pct"/>
            <w:gridSpan w:val="2"/>
            <w:vMerge w:val="continue"/>
            <w:vAlign w:val="center"/>
          </w:tcPr>
          <w:p w14:paraId="30159F81">
            <w:pPr>
              <w:pStyle w:val="62"/>
              <w:rPr>
                <w:u w:val="single"/>
              </w:rPr>
            </w:pPr>
          </w:p>
        </w:tc>
        <w:tc>
          <w:tcPr>
            <w:tcW w:w="2713" w:type="pct"/>
            <w:gridSpan w:val="3"/>
            <w:vAlign w:val="center"/>
          </w:tcPr>
          <w:p w14:paraId="4894F200">
            <w:pPr>
              <w:pStyle w:val="62"/>
              <w:rPr>
                <w:u w:val="single"/>
              </w:rPr>
            </w:pPr>
            <w:r>
              <w:rPr>
                <w:rFonts w:hint="eastAsia"/>
                <w:u w:val="single"/>
              </w:rPr>
              <w:t>硫酸</w:t>
            </w:r>
          </w:p>
        </w:tc>
        <w:tc>
          <w:tcPr>
            <w:tcW w:w="913" w:type="pct"/>
            <w:vAlign w:val="center"/>
          </w:tcPr>
          <w:p w14:paraId="1514D78C">
            <w:pPr>
              <w:pStyle w:val="62"/>
              <w:rPr>
                <w:u w:val="single"/>
              </w:rPr>
            </w:pPr>
            <w:r>
              <w:rPr>
                <w:rFonts w:hint="eastAsia"/>
                <w:u w:val="single"/>
              </w:rPr>
              <w:t>0.0195</w:t>
            </w:r>
          </w:p>
        </w:tc>
      </w:tr>
    </w:tbl>
    <w:p w14:paraId="6E7EE4D6">
      <w:pPr>
        <w:pStyle w:val="2"/>
        <w:ind w:firstLine="480"/>
        <w:outlineLvl w:val="5"/>
      </w:pPr>
      <w:r>
        <w:rPr>
          <w:rFonts w:hint="eastAsia"/>
        </w:rPr>
        <w:t>（2）</w:t>
      </w:r>
      <w:r>
        <w:t>废气污染物年排放量核算</w:t>
      </w:r>
    </w:p>
    <w:p w14:paraId="151DDB28">
      <w:pPr>
        <w:pStyle w:val="64"/>
        <w:numPr>
          <w:ilvl w:val="2"/>
          <w:numId w:val="25"/>
        </w:numPr>
        <w:spacing w:before="120"/>
        <w:ind w:left="0" w:firstLine="480" w:firstLineChars="200"/>
        <w:rPr>
          <w:bCs/>
        </w:rPr>
      </w:pPr>
      <w:r>
        <w:rPr>
          <w:bCs/>
        </w:rPr>
        <w:t xml:space="preserve">          大气污染物年排放量核算表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3321"/>
        <w:gridCol w:w="4018"/>
      </w:tblGrid>
      <w:tr w14:paraId="15549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dxa"/>
            <w:vAlign w:val="center"/>
          </w:tcPr>
          <w:p w14:paraId="356D5949">
            <w:pPr>
              <w:spacing w:line="240" w:lineRule="auto"/>
              <w:ind w:firstLine="0" w:firstLineChars="0"/>
              <w:jc w:val="center"/>
              <w:rPr>
                <w:b/>
                <w:bCs/>
                <w:sz w:val="21"/>
                <w:szCs w:val="21"/>
                <w:u w:val="single"/>
                <w:lang w:val="fr-FR"/>
              </w:rPr>
            </w:pPr>
            <w:r>
              <w:rPr>
                <w:b/>
                <w:bCs/>
                <w:sz w:val="21"/>
                <w:szCs w:val="21"/>
                <w:u w:val="single"/>
              </w:rPr>
              <w:t>序号</w:t>
            </w:r>
          </w:p>
        </w:tc>
        <w:tc>
          <w:tcPr>
            <w:tcW w:w="3229" w:type="dxa"/>
            <w:vAlign w:val="center"/>
          </w:tcPr>
          <w:p w14:paraId="3F07117F">
            <w:pPr>
              <w:spacing w:line="240" w:lineRule="auto"/>
              <w:ind w:firstLine="0" w:firstLineChars="0"/>
              <w:jc w:val="center"/>
              <w:rPr>
                <w:b/>
                <w:bCs/>
                <w:sz w:val="21"/>
                <w:szCs w:val="21"/>
                <w:u w:val="single"/>
                <w:lang w:val="fr-FR"/>
              </w:rPr>
            </w:pPr>
            <w:r>
              <w:rPr>
                <w:b/>
                <w:bCs/>
                <w:sz w:val="21"/>
                <w:szCs w:val="21"/>
                <w:u w:val="single"/>
              </w:rPr>
              <w:t>污染物</w:t>
            </w:r>
          </w:p>
        </w:tc>
        <w:tc>
          <w:tcPr>
            <w:tcW w:w="3907" w:type="dxa"/>
            <w:vAlign w:val="center"/>
          </w:tcPr>
          <w:p w14:paraId="0D371606">
            <w:pPr>
              <w:spacing w:line="240" w:lineRule="auto"/>
              <w:ind w:firstLine="0" w:firstLineChars="0"/>
              <w:jc w:val="center"/>
              <w:rPr>
                <w:b/>
                <w:bCs/>
                <w:sz w:val="21"/>
                <w:szCs w:val="21"/>
                <w:u w:val="single"/>
                <w:lang w:val="fr-FR"/>
              </w:rPr>
            </w:pPr>
            <w:r>
              <w:rPr>
                <w:b/>
                <w:bCs/>
                <w:sz w:val="21"/>
                <w:szCs w:val="21"/>
                <w:u w:val="single"/>
              </w:rPr>
              <w:t>年排放量</w:t>
            </w:r>
            <w:r>
              <w:rPr>
                <w:b/>
                <w:bCs/>
                <w:sz w:val="21"/>
                <w:szCs w:val="21"/>
                <w:u w:val="single"/>
                <w:lang w:val="fr-FR"/>
              </w:rPr>
              <w:t>/（t/a）</w:t>
            </w:r>
          </w:p>
        </w:tc>
      </w:tr>
      <w:tr w14:paraId="45CCF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dxa"/>
            <w:vAlign w:val="center"/>
          </w:tcPr>
          <w:p w14:paraId="687EC2E2">
            <w:pPr>
              <w:spacing w:line="240" w:lineRule="auto"/>
              <w:ind w:firstLine="0" w:firstLineChars="0"/>
              <w:jc w:val="center"/>
              <w:rPr>
                <w:sz w:val="21"/>
                <w:szCs w:val="21"/>
                <w:u w:val="single"/>
                <w:lang w:val="fr-FR"/>
              </w:rPr>
            </w:pPr>
            <w:r>
              <w:rPr>
                <w:sz w:val="21"/>
                <w:szCs w:val="21"/>
                <w:u w:val="single"/>
                <w:lang w:val="fr-FR"/>
              </w:rPr>
              <w:t>1</w:t>
            </w:r>
          </w:p>
        </w:tc>
        <w:tc>
          <w:tcPr>
            <w:tcW w:w="3229" w:type="dxa"/>
            <w:vAlign w:val="center"/>
          </w:tcPr>
          <w:p w14:paraId="6207498B">
            <w:pPr>
              <w:spacing w:line="240" w:lineRule="auto"/>
              <w:ind w:firstLine="0" w:firstLineChars="0"/>
              <w:jc w:val="center"/>
              <w:rPr>
                <w:sz w:val="21"/>
                <w:szCs w:val="21"/>
                <w:highlight w:val="yellow"/>
                <w:u w:val="single"/>
                <w:lang w:val="fr-FR"/>
              </w:rPr>
            </w:pPr>
            <w:r>
              <w:rPr>
                <w:sz w:val="21"/>
                <w:szCs w:val="21"/>
                <w:u w:val="single"/>
              </w:rPr>
              <w:t>颗粒物</w:t>
            </w:r>
          </w:p>
        </w:tc>
        <w:tc>
          <w:tcPr>
            <w:tcW w:w="3907" w:type="dxa"/>
            <w:vAlign w:val="center"/>
          </w:tcPr>
          <w:p w14:paraId="4C9D337C">
            <w:pPr>
              <w:spacing w:line="240" w:lineRule="auto"/>
              <w:ind w:firstLine="0" w:firstLineChars="0"/>
              <w:jc w:val="center"/>
              <w:rPr>
                <w:sz w:val="21"/>
                <w:szCs w:val="21"/>
                <w:highlight w:val="yellow"/>
                <w:u w:val="single"/>
                <w:lang w:val="fr-FR"/>
              </w:rPr>
            </w:pPr>
            <w:r>
              <w:rPr>
                <w:rFonts w:hint="eastAsia"/>
                <w:sz w:val="21"/>
                <w:szCs w:val="21"/>
                <w:u w:val="single"/>
                <w:lang w:val="fr-FR"/>
              </w:rPr>
              <w:t>0.12</w:t>
            </w:r>
          </w:p>
        </w:tc>
      </w:tr>
      <w:tr w14:paraId="0CECD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dxa"/>
            <w:vAlign w:val="center"/>
          </w:tcPr>
          <w:p w14:paraId="7B60208F">
            <w:pPr>
              <w:spacing w:line="240" w:lineRule="auto"/>
              <w:ind w:firstLine="0" w:firstLineChars="0"/>
              <w:jc w:val="center"/>
              <w:rPr>
                <w:sz w:val="21"/>
                <w:szCs w:val="21"/>
                <w:u w:val="single"/>
                <w:lang w:val="fr-FR"/>
              </w:rPr>
            </w:pPr>
            <w:r>
              <w:rPr>
                <w:rFonts w:hint="eastAsia"/>
                <w:sz w:val="21"/>
                <w:szCs w:val="21"/>
                <w:u w:val="single"/>
                <w:lang w:val="fr-FR"/>
              </w:rPr>
              <w:t>2</w:t>
            </w:r>
          </w:p>
        </w:tc>
        <w:tc>
          <w:tcPr>
            <w:tcW w:w="3229" w:type="dxa"/>
            <w:vAlign w:val="center"/>
          </w:tcPr>
          <w:p w14:paraId="31CDFDBE">
            <w:pPr>
              <w:spacing w:line="240" w:lineRule="auto"/>
              <w:ind w:firstLine="0" w:firstLineChars="0"/>
              <w:jc w:val="center"/>
              <w:rPr>
                <w:sz w:val="21"/>
                <w:szCs w:val="21"/>
                <w:highlight w:val="yellow"/>
                <w:u w:val="single"/>
              </w:rPr>
            </w:pPr>
            <w:r>
              <w:rPr>
                <w:rFonts w:hint="eastAsia"/>
                <w:sz w:val="21"/>
                <w:szCs w:val="21"/>
                <w:u w:val="single"/>
              </w:rPr>
              <w:t>非甲烷总烃</w:t>
            </w:r>
          </w:p>
        </w:tc>
        <w:tc>
          <w:tcPr>
            <w:tcW w:w="3907" w:type="dxa"/>
            <w:vAlign w:val="center"/>
          </w:tcPr>
          <w:p w14:paraId="468C3C29">
            <w:pPr>
              <w:spacing w:line="240" w:lineRule="auto"/>
              <w:ind w:firstLine="0" w:firstLineChars="0"/>
              <w:jc w:val="center"/>
              <w:rPr>
                <w:sz w:val="21"/>
                <w:szCs w:val="21"/>
                <w:highlight w:val="yellow"/>
                <w:u w:val="single"/>
                <w:lang w:val="fr-FR"/>
              </w:rPr>
            </w:pPr>
            <w:r>
              <w:rPr>
                <w:rFonts w:hint="eastAsia"/>
                <w:sz w:val="21"/>
                <w:szCs w:val="21"/>
                <w:u w:val="single"/>
              </w:rPr>
              <w:t>0.078</w:t>
            </w:r>
          </w:p>
        </w:tc>
      </w:tr>
      <w:tr w14:paraId="13077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dxa"/>
            <w:vAlign w:val="center"/>
          </w:tcPr>
          <w:p w14:paraId="17F4B83B">
            <w:pPr>
              <w:spacing w:line="240" w:lineRule="auto"/>
              <w:ind w:firstLine="0" w:firstLineChars="0"/>
              <w:jc w:val="center"/>
              <w:rPr>
                <w:sz w:val="21"/>
                <w:szCs w:val="21"/>
                <w:u w:val="single"/>
                <w:lang w:val="fr-FR"/>
              </w:rPr>
            </w:pPr>
            <w:r>
              <w:rPr>
                <w:rFonts w:hint="eastAsia"/>
                <w:sz w:val="21"/>
                <w:szCs w:val="21"/>
                <w:u w:val="single"/>
                <w:lang w:val="fr-FR"/>
              </w:rPr>
              <w:t>3</w:t>
            </w:r>
          </w:p>
        </w:tc>
        <w:tc>
          <w:tcPr>
            <w:tcW w:w="3229" w:type="dxa"/>
            <w:vAlign w:val="center"/>
          </w:tcPr>
          <w:p w14:paraId="224C7173">
            <w:pPr>
              <w:spacing w:line="240" w:lineRule="auto"/>
              <w:ind w:firstLine="0" w:firstLineChars="0"/>
              <w:jc w:val="center"/>
              <w:rPr>
                <w:sz w:val="21"/>
                <w:szCs w:val="21"/>
                <w:highlight w:val="yellow"/>
                <w:u w:val="single"/>
              </w:rPr>
            </w:pPr>
            <w:r>
              <w:rPr>
                <w:rFonts w:hint="eastAsia"/>
                <w:sz w:val="21"/>
                <w:szCs w:val="21"/>
                <w:u w:val="single"/>
              </w:rPr>
              <w:t>硫酸雾</w:t>
            </w:r>
          </w:p>
        </w:tc>
        <w:tc>
          <w:tcPr>
            <w:tcW w:w="3907" w:type="dxa"/>
            <w:vAlign w:val="center"/>
          </w:tcPr>
          <w:p w14:paraId="69A8FD3A">
            <w:pPr>
              <w:spacing w:line="240" w:lineRule="auto"/>
              <w:ind w:firstLine="0" w:firstLineChars="0"/>
              <w:jc w:val="center"/>
              <w:rPr>
                <w:sz w:val="21"/>
                <w:szCs w:val="21"/>
                <w:highlight w:val="yellow"/>
                <w:u w:val="single"/>
                <w:lang w:val="fr-FR"/>
              </w:rPr>
            </w:pPr>
            <w:r>
              <w:rPr>
                <w:rFonts w:hint="eastAsia"/>
                <w:sz w:val="21"/>
                <w:szCs w:val="21"/>
                <w:u w:val="single"/>
              </w:rPr>
              <w:t>0.0195</w:t>
            </w:r>
          </w:p>
        </w:tc>
      </w:tr>
    </w:tbl>
    <w:p w14:paraId="1B848A9F">
      <w:pPr>
        <w:pStyle w:val="2"/>
        <w:spacing w:after="0"/>
        <w:ind w:firstLine="480"/>
        <w:outlineLvl w:val="5"/>
      </w:pPr>
      <w:r>
        <w:tab/>
      </w:r>
      <w:r>
        <w:rPr>
          <w:rFonts w:hint="eastAsia"/>
        </w:rPr>
        <w:t>（3）非正常排放量核算</w:t>
      </w:r>
    </w:p>
    <w:p w14:paraId="6B35BF90">
      <w:pPr>
        <w:ind w:firstLine="480"/>
      </w:pPr>
      <w:r>
        <w:rPr>
          <w:rFonts w:hint="eastAsia"/>
        </w:rPr>
        <w:t>非正常工况是指生产运行阶段的开、停车、检修、操作不正常或设备故障等。本项目设备检修时不进行生产作业；工艺过程出现运转异常时可停产、检修，待所有生产设备恢复正常后再投入生产。</w:t>
      </w:r>
    </w:p>
    <w:p w14:paraId="46C6C543">
      <w:pPr>
        <w:ind w:firstLine="480"/>
      </w:pPr>
      <w:r>
        <w:rPr>
          <w:rFonts w:hint="eastAsia"/>
        </w:rPr>
        <w:t>本项目非正常工况下大气污染物排放量核算见下表。</w:t>
      </w:r>
    </w:p>
    <w:p w14:paraId="1583C470">
      <w:pPr>
        <w:pStyle w:val="64"/>
        <w:numPr>
          <w:ilvl w:val="2"/>
          <w:numId w:val="25"/>
        </w:numPr>
        <w:spacing w:before="120"/>
        <w:ind w:left="0" w:firstLine="480" w:firstLineChars="200"/>
        <w:rPr>
          <w:bCs/>
        </w:rPr>
      </w:pPr>
      <w:r>
        <w:rPr>
          <w:bCs/>
        </w:rPr>
        <w:t xml:space="preserve">       非正常工况时污染物排放情况一览表</w:t>
      </w:r>
    </w:p>
    <w:bookmarkEnd w:id="274"/>
    <w:bookmarkEnd w:id="275"/>
    <w:bookmarkEnd w:id="276"/>
    <w:bookmarkEnd w:id="277"/>
    <w:bookmarkEnd w:id="278"/>
    <w:tbl>
      <w:tblPr>
        <w:tblStyle w:val="41"/>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28" w:type="dxa"/>
          <w:bottom w:w="0" w:type="dxa"/>
          <w:right w:w="28" w:type="dxa"/>
        </w:tblCellMar>
      </w:tblPr>
      <w:tblGrid>
        <w:gridCol w:w="276"/>
        <w:gridCol w:w="716"/>
        <w:gridCol w:w="1001"/>
        <w:gridCol w:w="1001"/>
        <w:gridCol w:w="1145"/>
        <w:gridCol w:w="1111"/>
        <w:gridCol w:w="996"/>
        <w:gridCol w:w="797"/>
        <w:gridCol w:w="1325"/>
      </w:tblGrid>
      <w:tr w14:paraId="16F3D1D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blHeader/>
          <w:jc w:val="center"/>
        </w:trPr>
        <w:tc>
          <w:tcPr>
            <w:tcW w:w="165" w:type="pct"/>
            <w:vAlign w:val="center"/>
          </w:tcPr>
          <w:p w14:paraId="37312AC8">
            <w:pPr>
              <w:pStyle w:val="67"/>
              <w:rPr>
                <w:rFonts w:cs="Times New Roman"/>
                <w:color w:val="auto"/>
                <w:szCs w:val="21"/>
              </w:rPr>
            </w:pPr>
            <w:r>
              <w:rPr>
                <w:rFonts w:hint="eastAsia" w:cs="Times New Roman"/>
                <w:color w:val="auto"/>
                <w:szCs w:val="21"/>
              </w:rPr>
              <w:t>序号</w:t>
            </w:r>
          </w:p>
        </w:tc>
        <w:tc>
          <w:tcPr>
            <w:tcW w:w="428" w:type="pct"/>
            <w:vAlign w:val="center"/>
          </w:tcPr>
          <w:p w14:paraId="744302CF">
            <w:pPr>
              <w:pStyle w:val="67"/>
              <w:rPr>
                <w:rFonts w:cs="Times New Roman"/>
                <w:color w:val="auto"/>
                <w:szCs w:val="21"/>
              </w:rPr>
            </w:pPr>
            <w:r>
              <w:rPr>
                <w:rFonts w:cs="Times New Roman"/>
                <w:color w:val="auto"/>
                <w:szCs w:val="21"/>
              </w:rPr>
              <w:t>污染物</w:t>
            </w:r>
          </w:p>
        </w:tc>
        <w:tc>
          <w:tcPr>
            <w:tcW w:w="598" w:type="pct"/>
            <w:vAlign w:val="center"/>
          </w:tcPr>
          <w:p w14:paraId="49CFBC54">
            <w:pPr>
              <w:pStyle w:val="67"/>
              <w:rPr>
                <w:rFonts w:cs="Times New Roman"/>
                <w:color w:val="auto"/>
                <w:szCs w:val="21"/>
              </w:rPr>
            </w:pPr>
            <w:r>
              <w:rPr>
                <w:bCs/>
                <w:color w:val="auto"/>
                <w:szCs w:val="21"/>
              </w:rPr>
              <w:t>排放源强（kg/h）</w:t>
            </w:r>
          </w:p>
        </w:tc>
        <w:tc>
          <w:tcPr>
            <w:tcW w:w="598" w:type="pct"/>
            <w:vAlign w:val="center"/>
          </w:tcPr>
          <w:p w14:paraId="4178C98B">
            <w:pPr>
              <w:pStyle w:val="62"/>
              <w:rPr>
                <w:b/>
                <w:bCs/>
              </w:rPr>
            </w:pPr>
            <w:r>
              <w:rPr>
                <w:rFonts w:hint="eastAsia"/>
                <w:b/>
                <w:bCs/>
              </w:rPr>
              <w:t>排放</w:t>
            </w:r>
            <w:r>
              <w:rPr>
                <w:b/>
                <w:bCs/>
              </w:rPr>
              <w:t>浓度(mg/m</w:t>
            </w:r>
            <w:r>
              <w:rPr>
                <w:b/>
                <w:bCs/>
                <w:vertAlign w:val="superscript"/>
              </w:rPr>
              <w:t>3</w:t>
            </w:r>
            <w:r>
              <w:rPr>
                <w:b/>
                <w:bCs/>
              </w:rPr>
              <w:t>)</w:t>
            </w:r>
          </w:p>
        </w:tc>
        <w:tc>
          <w:tcPr>
            <w:tcW w:w="684" w:type="pct"/>
            <w:vAlign w:val="center"/>
          </w:tcPr>
          <w:p w14:paraId="51D8A9F8">
            <w:pPr>
              <w:pStyle w:val="67"/>
              <w:rPr>
                <w:bCs/>
                <w:color w:val="auto"/>
                <w:szCs w:val="21"/>
              </w:rPr>
            </w:pPr>
            <w:r>
              <w:rPr>
                <w:bCs/>
                <w:color w:val="auto"/>
                <w:szCs w:val="21"/>
              </w:rPr>
              <w:t>排放量/次</w:t>
            </w:r>
          </w:p>
          <w:p w14:paraId="7FFD6C14">
            <w:pPr>
              <w:pStyle w:val="67"/>
              <w:rPr>
                <w:rFonts w:cs="Times New Roman"/>
                <w:color w:val="auto"/>
                <w:szCs w:val="21"/>
              </w:rPr>
            </w:pPr>
            <w:r>
              <w:rPr>
                <w:rFonts w:cs="Times New Roman"/>
                <w:bCs/>
                <w:color w:val="auto"/>
                <w:szCs w:val="21"/>
              </w:rPr>
              <w:t>（kg）</w:t>
            </w:r>
          </w:p>
        </w:tc>
        <w:tc>
          <w:tcPr>
            <w:tcW w:w="664" w:type="pct"/>
            <w:vAlign w:val="center"/>
          </w:tcPr>
          <w:p w14:paraId="38282511">
            <w:pPr>
              <w:pStyle w:val="62"/>
            </w:pPr>
            <w:r>
              <w:rPr>
                <w:b/>
                <w:bCs/>
              </w:rPr>
              <w:t>全年排放量（kg/a）</w:t>
            </w:r>
          </w:p>
        </w:tc>
        <w:tc>
          <w:tcPr>
            <w:tcW w:w="595" w:type="pct"/>
            <w:vAlign w:val="center"/>
          </w:tcPr>
          <w:p w14:paraId="7722C2EE">
            <w:pPr>
              <w:pStyle w:val="67"/>
              <w:rPr>
                <w:rFonts w:cs="Times New Roman"/>
                <w:color w:val="auto"/>
                <w:szCs w:val="21"/>
              </w:rPr>
            </w:pPr>
            <w:r>
              <w:rPr>
                <w:rFonts w:cs="Times New Roman"/>
                <w:color w:val="auto"/>
                <w:szCs w:val="21"/>
              </w:rPr>
              <w:t>单次持续时间(h)</w:t>
            </w:r>
          </w:p>
        </w:tc>
        <w:tc>
          <w:tcPr>
            <w:tcW w:w="476" w:type="pct"/>
            <w:vAlign w:val="center"/>
          </w:tcPr>
          <w:p w14:paraId="0B9D28CA">
            <w:pPr>
              <w:pStyle w:val="67"/>
              <w:rPr>
                <w:rFonts w:cs="Times New Roman"/>
                <w:color w:val="auto"/>
                <w:szCs w:val="21"/>
              </w:rPr>
            </w:pPr>
            <w:r>
              <w:rPr>
                <w:rFonts w:cs="Times New Roman"/>
                <w:color w:val="auto"/>
                <w:szCs w:val="21"/>
              </w:rPr>
              <w:t>发生</w:t>
            </w:r>
          </w:p>
          <w:p w14:paraId="27327878">
            <w:pPr>
              <w:pStyle w:val="67"/>
              <w:rPr>
                <w:rFonts w:cs="Times New Roman"/>
                <w:color w:val="auto"/>
                <w:szCs w:val="21"/>
              </w:rPr>
            </w:pPr>
            <w:r>
              <w:rPr>
                <w:rFonts w:cs="Times New Roman"/>
                <w:color w:val="auto"/>
                <w:szCs w:val="21"/>
              </w:rPr>
              <w:t>频次</w:t>
            </w:r>
          </w:p>
        </w:tc>
        <w:tc>
          <w:tcPr>
            <w:tcW w:w="792" w:type="pct"/>
            <w:vAlign w:val="center"/>
          </w:tcPr>
          <w:p w14:paraId="56445814">
            <w:pPr>
              <w:pStyle w:val="67"/>
              <w:rPr>
                <w:rFonts w:cs="Times New Roman"/>
                <w:color w:val="auto"/>
                <w:szCs w:val="21"/>
              </w:rPr>
            </w:pPr>
            <w:r>
              <w:rPr>
                <w:rFonts w:cs="Times New Roman"/>
                <w:color w:val="auto"/>
                <w:szCs w:val="21"/>
              </w:rPr>
              <w:t>应对措施</w:t>
            </w:r>
          </w:p>
        </w:tc>
      </w:tr>
      <w:tr w14:paraId="1E4001B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65" w:type="pct"/>
            <w:vAlign w:val="center"/>
          </w:tcPr>
          <w:p w14:paraId="22C68930">
            <w:pPr>
              <w:pStyle w:val="62"/>
              <w:rPr>
                <w:bCs/>
              </w:rPr>
            </w:pPr>
            <w:r>
              <w:rPr>
                <w:rFonts w:hint="eastAsia"/>
                <w:bCs/>
              </w:rPr>
              <w:t>1</w:t>
            </w:r>
          </w:p>
        </w:tc>
        <w:tc>
          <w:tcPr>
            <w:tcW w:w="428" w:type="pct"/>
            <w:vAlign w:val="center"/>
          </w:tcPr>
          <w:p w14:paraId="3589CCFB">
            <w:pPr>
              <w:pStyle w:val="62"/>
              <w:rPr>
                <w:bCs/>
              </w:rPr>
            </w:pPr>
            <w:r>
              <w:rPr>
                <w:rFonts w:hint="eastAsia"/>
              </w:rPr>
              <w:t>非甲烷总烃</w:t>
            </w:r>
          </w:p>
        </w:tc>
        <w:tc>
          <w:tcPr>
            <w:tcW w:w="598" w:type="pct"/>
            <w:vAlign w:val="center"/>
          </w:tcPr>
          <w:p w14:paraId="02898B29">
            <w:pPr>
              <w:pStyle w:val="62"/>
              <w:rPr>
                <w:bCs/>
              </w:rPr>
            </w:pPr>
            <w:r>
              <w:rPr>
                <w:rFonts w:hint="eastAsia"/>
                <w:bCs/>
                <w:u w:val="single"/>
              </w:rPr>
              <w:t>7.098</w:t>
            </w:r>
          </w:p>
        </w:tc>
        <w:tc>
          <w:tcPr>
            <w:tcW w:w="598" w:type="pct"/>
            <w:vAlign w:val="center"/>
          </w:tcPr>
          <w:p w14:paraId="71AC4C6E">
            <w:pPr>
              <w:pStyle w:val="62"/>
              <w:rPr>
                <w:bCs/>
              </w:rPr>
            </w:pPr>
            <w:r>
              <w:rPr>
                <w:rFonts w:hint="eastAsia"/>
                <w:bCs/>
                <w:u w:val="single"/>
              </w:rPr>
              <w:t>1420</w:t>
            </w:r>
          </w:p>
        </w:tc>
        <w:tc>
          <w:tcPr>
            <w:tcW w:w="684" w:type="pct"/>
            <w:vAlign w:val="center"/>
          </w:tcPr>
          <w:p w14:paraId="79FCFC10">
            <w:pPr>
              <w:pStyle w:val="62"/>
              <w:rPr>
                <w:bCs/>
              </w:rPr>
            </w:pPr>
            <w:r>
              <w:rPr>
                <w:rFonts w:hint="eastAsia"/>
                <w:bCs/>
                <w:u w:val="single"/>
              </w:rPr>
              <w:t>1.7745</w:t>
            </w:r>
          </w:p>
        </w:tc>
        <w:tc>
          <w:tcPr>
            <w:tcW w:w="664" w:type="pct"/>
            <w:vAlign w:val="center"/>
          </w:tcPr>
          <w:p w14:paraId="795EFC80">
            <w:pPr>
              <w:pStyle w:val="62"/>
              <w:rPr>
                <w:bCs/>
              </w:rPr>
            </w:pPr>
            <w:r>
              <w:rPr>
                <w:rFonts w:hint="eastAsia"/>
                <w:bCs/>
                <w:u w:val="single"/>
              </w:rPr>
              <w:t>1.7745</w:t>
            </w:r>
          </w:p>
        </w:tc>
        <w:tc>
          <w:tcPr>
            <w:tcW w:w="595" w:type="pct"/>
            <w:vMerge w:val="restart"/>
            <w:vAlign w:val="center"/>
          </w:tcPr>
          <w:p w14:paraId="4C09C318">
            <w:pPr>
              <w:pStyle w:val="62"/>
              <w:rPr>
                <w:bCs/>
                <w:spacing w:val="-4"/>
              </w:rPr>
            </w:pPr>
            <w:r>
              <w:rPr>
                <w:bCs/>
                <w:spacing w:val="-4"/>
              </w:rPr>
              <w:t>0.</w:t>
            </w:r>
            <w:r>
              <w:rPr>
                <w:rFonts w:hint="eastAsia"/>
                <w:bCs/>
                <w:spacing w:val="-4"/>
              </w:rPr>
              <w:t>25</w:t>
            </w:r>
            <w:r>
              <w:rPr>
                <w:bCs/>
                <w:spacing w:val="-4"/>
              </w:rPr>
              <w:t>h</w:t>
            </w:r>
          </w:p>
        </w:tc>
        <w:tc>
          <w:tcPr>
            <w:tcW w:w="476" w:type="pct"/>
            <w:vMerge w:val="restart"/>
            <w:vAlign w:val="center"/>
          </w:tcPr>
          <w:p w14:paraId="2D8E4EA8">
            <w:pPr>
              <w:pStyle w:val="62"/>
              <w:rPr>
                <w:bCs/>
                <w:spacing w:val="-4"/>
              </w:rPr>
            </w:pPr>
            <w:r>
              <w:rPr>
                <w:rFonts w:hint="eastAsia"/>
                <w:bCs/>
                <w:spacing w:val="-4"/>
              </w:rPr>
              <w:t>1</w:t>
            </w:r>
            <w:r>
              <w:rPr>
                <w:bCs/>
                <w:spacing w:val="-4"/>
              </w:rPr>
              <w:t>次/年</w:t>
            </w:r>
          </w:p>
        </w:tc>
        <w:tc>
          <w:tcPr>
            <w:tcW w:w="792" w:type="pct"/>
            <w:vMerge w:val="restart"/>
            <w:tcBorders>
              <w:top w:val="single" w:color="auto" w:sz="4" w:space="0"/>
            </w:tcBorders>
            <w:vAlign w:val="center"/>
          </w:tcPr>
          <w:p w14:paraId="476C3BD4">
            <w:pPr>
              <w:pStyle w:val="62"/>
              <w:rPr>
                <w:bCs/>
              </w:rPr>
            </w:pPr>
            <w:r>
              <w:rPr>
                <w:bCs/>
              </w:rPr>
              <w:t>定期维护保养，保证环保设施正常运行；生产出现异常情况立即停车检修</w:t>
            </w:r>
          </w:p>
        </w:tc>
      </w:tr>
      <w:tr w14:paraId="67265B9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65" w:type="pct"/>
            <w:vAlign w:val="center"/>
          </w:tcPr>
          <w:p w14:paraId="188EB12F">
            <w:pPr>
              <w:pStyle w:val="62"/>
              <w:rPr>
                <w:bCs/>
              </w:rPr>
            </w:pPr>
            <w:r>
              <w:rPr>
                <w:rFonts w:hint="eastAsia"/>
                <w:bCs/>
              </w:rPr>
              <w:t>2</w:t>
            </w:r>
          </w:p>
        </w:tc>
        <w:tc>
          <w:tcPr>
            <w:tcW w:w="428" w:type="pct"/>
            <w:vAlign w:val="center"/>
          </w:tcPr>
          <w:p w14:paraId="35301A89">
            <w:pPr>
              <w:pStyle w:val="62"/>
              <w:rPr>
                <w:bCs/>
              </w:rPr>
            </w:pPr>
            <w:r>
              <w:rPr>
                <w:rFonts w:hint="eastAsia"/>
              </w:rPr>
              <w:t>硫酸雾</w:t>
            </w:r>
          </w:p>
        </w:tc>
        <w:tc>
          <w:tcPr>
            <w:tcW w:w="598" w:type="pct"/>
            <w:vAlign w:val="center"/>
          </w:tcPr>
          <w:p w14:paraId="1176D808">
            <w:pPr>
              <w:pStyle w:val="62"/>
              <w:rPr>
                <w:bCs/>
              </w:rPr>
            </w:pPr>
            <w:r>
              <w:rPr>
                <w:rFonts w:hint="eastAsia"/>
                <w:bCs/>
                <w:u w:val="single"/>
              </w:rPr>
              <w:t>0.078</w:t>
            </w:r>
          </w:p>
        </w:tc>
        <w:tc>
          <w:tcPr>
            <w:tcW w:w="598" w:type="pct"/>
            <w:vAlign w:val="center"/>
          </w:tcPr>
          <w:p w14:paraId="174A71B7">
            <w:pPr>
              <w:pStyle w:val="62"/>
              <w:rPr>
                <w:bCs/>
              </w:rPr>
            </w:pPr>
            <w:r>
              <w:rPr>
                <w:rFonts w:hint="eastAsia"/>
                <w:bCs/>
                <w:u w:val="single"/>
              </w:rPr>
              <w:t>15.6</w:t>
            </w:r>
          </w:p>
        </w:tc>
        <w:tc>
          <w:tcPr>
            <w:tcW w:w="684" w:type="pct"/>
            <w:vAlign w:val="center"/>
          </w:tcPr>
          <w:p w14:paraId="1DF945E9">
            <w:pPr>
              <w:pStyle w:val="62"/>
              <w:rPr>
                <w:bCs/>
              </w:rPr>
            </w:pPr>
            <w:r>
              <w:rPr>
                <w:rFonts w:hint="eastAsia"/>
                <w:bCs/>
                <w:u w:val="single"/>
              </w:rPr>
              <w:t>0.0195</w:t>
            </w:r>
          </w:p>
        </w:tc>
        <w:tc>
          <w:tcPr>
            <w:tcW w:w="664" w:type="pct"/>
            <w:vAlign w:val="center"/>
          </w:tcPr>
          <w:p w14:paraId="7EFBB99B">
            <w:pPr>
              <w:pStyle w:val="62"/>
              <w:rPr>
                <w:bCs/>
              </w:rPr>
            </w:pPr>
            <w:r>
              <w:rPr>
                <w:rFonts w:hint="eastAsia"/>
                <w:bCs/>
                <w:u w:val="single"/>
              </w:rPr>
              <w:t>0.0195</w:t>
            </w:r>
          </w:p>
        </w:tc>
        <w:tc>
          <w:tcPr>
            <w:tcW w:w="595" w:type="pct"/>
            <w:vMerge w:val="continue"/>
            <w:vAlign w:val="center"/>
          </w:tcPr>
          <w:p w14:paraId="1A0C77D5">
            <w:pPr>
              <w:pStyle w:val="62"/>
              <w:rPr>
                <w:bCs/>
                <w:spacing w:val="-4"/>
              </w:rPr>
            </w:pPr>
          </w:p>
        </w:tc>
        <w:tc>
          <w:tcPr>
            <w:tcW w:w="476" w:type="pct"/>
            <w:vMerge w:val="continue"/>
            <w:vAlign w:val="center"/>
          </w:tcPr>
          <w:p w14:paraId="6B5DD80E">
            <w:pPr>
              <w:pStyle w:val="62"/>
              <w:rPr>
                <w:bCs/>
                <w:spacing w:val="-4"/>
              </w:rPr>
            </w:pPr>
          </w:p>
        </w:tc>
        <w:tc>
          <w:tcPr>
            <w:tcW w:w="792" w:type="pct"/>
            <w:vMerge w:val="continue"/>
            <w:vAlign w:val="center"/>
          </w:tcPr>
          <w:p w14:paraId="0A367B56">
            <w:pPr>
              <w:pStyle w:val="62"/>
              <w:rPr>
                <w:bCs/>
              </w:rPr>
            </w:pPr>
          </w:p>
        </w:tc>
      </w:tr>
      <w:tr w14:paraId="2355111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65" w:type="pct"/>
            <w:vAlign w:val="center"/>
          </w:tcPr>
          <w:p w14:paraId="4594CFC1">
            <w:pPr>
              <w:pStyle w:val="62"/>
              <w:rPr>
                <w:bCs/>
              </w:rPr>
            </w:pPr>
            <w:r>
              <w:rPr>
                <w:rFonts w:hint="eastAsia"/>
                <w:bCs/>
              </w:rPr>
              <w:t>3</w:t>
            </w:r>
          </w:p>
        </w:tc>
        <w:tc>
          <w:tcPr>
            <w:tcW w:w="428" w:type="pct"/>
            <w:vAlign w:val="center"/>
          </w:tcPr>
          <w:p w14:paraId="78F2EA6A">
            <w:pPr>
              <w:pStyle w:val="62"/>
              <w:rPr>
                <w:bCs/>
              </w:rPr>
            </w:pPr>
            <w:r>
              <w:rPr>
                <w:rFonts w:hint="eastAsia"/>
              </w:rPr>
              <w:t>颗粒物</w:t>
            </w:r>
          </w:p>
        </w:tc>
        <w:tc>
          <w:tcPr>
            <w:tcW w:w="598" w:type="pct"/>
            <w:vAlign w:val="center"/>
          </w:tcPr>
          <w:p w14:paraId="1A17D368">
            <w:pPr>
              <w:pStyle w:val="62"/>
              <w:rPr>
                <w:bCs/>
              </w:rPr>
            </w:pPr>
            <w:r>
              <w:rPr>
                <w:rFonts w:hint="eastAsia"/>
                <w:bCs/>
              </w:rPr>
              <w:t>3</w:t>
            </w:r>
          </w:p>
        </w:tc>
        <w:tc>
          <w:tcPr>
            <w:tcW w:w="598" w:type="pct"/>
            <w:vAlign w:val="center"/>
          </w:tcPr>
          <w:p w14:paraId="1F15E9AA">
            <w:pPr>
              <w:pStyle w:val="62"/>
              <w:rPr>
                <w:bCs/>
              </w:rPr>
            </w:pPr>
            <w:r>
              <w:rPr>
                <w:rFonts w:hint="eastAsia"/>
                <w:bCs/>
              </w:rPr>
              <w:t>600</w:t>
            </w:r>
          </w:p>
        </w:tc>
        <w:tc>
          <w:tcPr>
            <w:tcW w:w="684" w:type="pct"/>
            <w:vAlign w:val="center"/>
          </w:tcPr>
          <w:p w14:paraId="26B1F108">
            <w:pPr>
              <w:pStyle w:val="62"/>
              <w:rPr>
                <w:bCs/>
              </w:rPr>
            </w:pPr>
            <w:r>
              <w:rPr>
                <w:rFonts w:hint="eastAsia"/>
                <w:bCs/>
              </w:rPr>
              <w:t>0.75</w:t>
            </w:r>
          </w:p>
        </w:tc>
        <w:tc>
          <w:tcPr>
            <w:tcW w:w="664" w:type="pct"/>
            <w:vAlign w:val="center"/>
          </w:tcPr>
          <w:p w14:paraId="13788452">
            <w:pPr>
              <w:pStyle w:val="62"/>
              <w:rPr>
                <w:bCs/>
              </w:rPr>
            </w:pPr>
            <w:r>
              <w:rPr>
                <w:rFonts w:hint="eastAsia"/>
                <w:bCs/>
              </w:rPr>
              <w:t>0.75</w:t>
            </w:r>
          </w:p>
        </w:tc>
        <w:tc>
          <w:tcPr>
            <w:tcW w:w="595" w:type="pct"/>
            <w:vMerge w:val="continue"/>
            <w:vAlign w:val="center"/>
          </w:tcPr>
          <w:p w14:paraId="1178EB0D">
            <w:pPr>
              <w:pStyle w:val="62"/>
              <w:rPr>
                <w:bCs/>
                <w:spacing w:val="-4"/>
              </w:rPr>
            </w:pPr>
          </w:p>
        </w:tc>
        <w:tc>
          <w:tcPr>
            <w:tcW w:w="476" w:type="pct"/>
            <w:vMerge w:val="continue"/>
            <w:vAlign w:val="center"/>
          </w:tcPr>
          <w:p w14:paraId="66DDFA1B">
            <w:pPr>
              <w:pStyle w:val="62"/>
              <w:rPr>
                <w:bCs/>
                <w:spacing w:val="-4"/>
              </w:rPr>
            </w:pPr>
          </w:p>
        </w:tc>
        <w:tc>
          <w:tcPr>
            <w:tcW w:w="792" w:type="pct"/>
            <w:vMerge w:val="continue"/>
            <w:vAlign w:val="center"/>
          </w:tcPr>
          <w:p w14:paraId="6CD0DA56">
            <w:pPr>
              <w:pStyle w:val="62"/>
              <w:rPr>
                <w:bCs/>
              </w:rPr>
            </w:pPr>
          </w:p>
        </w:tc>
      </w:tr>
    </w:tbl>
    <w:p w14:paraId="16945026">
      <w:pPr>
        <w:pStyle w:val="19"/>
        <w:spacing w:after="0"/>
        <w:ind w:left="0" w:leftChars="0" w:firstLine="480"/>
        <w:rPr>
          <w:kern w:val="2"/>
          <w:szCs w:val="24"/>
          <w:highlight w:val="yellow"/>
        </w:rPr>
      </w:pPr>
    </w:p>
    <w:p w14:paraId="37D8F015">
      <w:pPr>
        <w:pStyle w:val="19"/>
        <w:spacing w:after="0"/>
        <w:ind w:left="0" w:leftChars="0" w:firstLine="480"/>
        <w:rPr>
          <w:kern w:val="2"/>
          <w:szCs w:val="24"/>
          <w:highlight w:val="yellow"/>
        </w:rPr>
        <w:sectPr>
          <w:pgSz w:w="11906" w:h="16838"/>
          <w:pgMar w:top="1440" w:right="1797" w:bottom="1440" w:left="1797" w:header="851" w:footer="992" w:gutter="0"/>
          <w:cols w:space="720" w:num="1"/>
          <w:docGrid w:linePitch="312" w:charSpace="0"/>
        </w:sectPr>
      </w:pPr>
    </w:p>
    <w:p w14:paraId="541E2085">
      <w:pPr>
        <w:pStyle w:val="4"/>
      </w:pPr>
      <w:bookmarkStart w:id="300" w:name="_Toc176105870"/>
      <w:r>
        <w:t>地表水环境影响评价</w:t>
      </w:r>
      <w:bookmarkEnd w:id="300"/>
    </w:p>
    <w:p w14:paraId="1D3ED8AF">
      <w:pPr>
        <w:pStyle w:val="19"/>
        <w:spacing w:after="0"/>
        <w:ind w:left="0" w:leftChars="0" w:firstLine="480"/>
        <w:rPr>
          <w:highlight w:val="yellow"/>
        </w:rPr>
      </w:pPr>
      <w:r>
        <w:rPr>
          <w:rFonts w:hint="eastAsia"/>
          <w:kern w:val="2"/>
          <w:szCs w:val="24"/>
        </w:rPr>
        <w:t>本项目喷淋废水、车间地面清洗废水经厂区污水处理站处理后与经化粪池处理后的生活污水、循环冷却排污水</w:t>
      </w:r>
      <w:r>
        <w:rPr>
          <w:kern w:val="2"/>
          <w:szCs w:val="24"/>
        </w:rPr>
        <w:t>一起由厂区总排口排入园区污水管网，再</w:t>
      </w:r>
      <w:r>
        <w:rPr>
          <w:rFonts w:hint="eastAsia"/>
          <w:kern w:val="2"/>
          <w:szCs w:val="24"/>
        </w:rPr>
        <w:t>进入唐庄</w:t>
      </w:r>
      <w:r>
        <w:rPr>
          <w:kern w:val="2"/>
          <w:szCs w:val="24"/>
        </w:rPr>
        <w:t>污水处理厂进行进一步处理，处理后排入</w:t>
      </w:r>
      <w:r>
        <w:rPr>
          <w:rFonts w:hint="eastAsia"/>
          <w:kern w:val="2"/>
          <w:szCs w:val="24"/>
        </w:rPr>
        <w:t>共产主义渠</w:t>
      </w:r>
      <w:r>
        <w:rPr>
          <w:kern w:val="2"/>
          <w:szCs w:val="24"/>
        </w:rPr>
        <w:t>。</w:t>
      </w:r>
    </w:p>
    <w:p w14:paraId="1D3ED8B0">
      <w:pPr>
        <w:pStyle w:val="5"/>
        <w:spacing w:before="240" w:after="240"/>
        <w:ind w:left="0" w:firstLine="200"/>
      </w:pPr>
      <w:r>
        <w:t>评价等级</w:t>
      </w:r>
    </w:p>
    <w:p w14:paraId="1D3ED8B1">
      <w:pPr>
        <w:pStyle w:val="19"/>
        <w:spacing w:after="0"/>
        <w:ind w:left="0" w:leftChars="0" w:firstLine="480"/>
        <w:rPr>
          <w:kern w:val="2"/>
          <w:szCs w:val="24"/>
        </w:rPr>
      </w:pPr>
      <w:r>
        <w:rPr>
          <w:kern w:val="2"/>
          <w:szCs w:val="24"/>
        </w:rPr>
        <w:t>依据《环境影响评价技术导则-地表水环境》（HJ2.3-2018），建设项目的地表水环境影响评价分为水污染影响型、水文要素影响型以及两者兼有的复合影响型，经判断本项目对地表水环境影响类型属于水污染影响型，污水排放方式属于间接排放，判定本项目地表水环境影响评价等级为三级B。</w:t>
      </w:r>
    </w:p>
    <w:p w14:paraId="1D3ED8B2">
      <w:pPr>
        <w:pStyle w:val="64"/>
        <w:numPr>
          <w:ilvl w:val="2"/>
          <w:numId w:val="27"/>
        </w:numPr>
        <w:spacing w:before="120"/>
        <w:ind w:left="0" w:firstLine="482" w:firstLineChars="200"/>
      </w:pPr>
      <w:r>
        <w:rPr>
          <w:b/>
          <w:bCs/>
        </w:rPr>
        <w:t xml:space="preserve">  </w:t>
      </w:r>
      <w:r>
        <w:t xml:space="preserve"> </w:t>
      </w:r>
      <w:r>
        <w:rPr>
          <w:rFonts w:hint="eastAsia"/>
        </w:rPr>
        <w:t xml:space="preserve">  </w:t>
      </w:r>
      <w:r>
        <w:t>水污染影响型建设项目评价等级的判定</w:t>
      </w:r>
    </w:p>
    <w:tbl>
      <w:tblPr>
        <w:tblStyle w:val="41"/>
        <w:tblW w:w="86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1527"/>
        <w:gridCol w:w="5626"/>
      </w:tblGrid>
      <w:tr w14:paraId="1D3ED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3" w:type="dxa"/>
            <w:vMerge w:val="restart"/>
            <w:tcBorders>
              <w:tl2br w:val="nil"/>
              <w:tr2bl w:val="nil"/>
            </w:tcBorders>
            <w:vAlign w:val="center"/>
          </w:tcPr>
          <w:p w14:paraId="1D3ED8B3">
            <w:pPr>
              <w:spacing w:line="240" w:lineRule="auto"/>
              <w:ind w:firstLine="0" w:firstLineChars="0"/>
              <w:jc w:val="center"/>
              <w:rPr>
                <w:b/>
                <w:bCs/>
                <w:sz w:val="21"/>
                <w:szCs w:val="21"/>
              </w:rPr>
            </w:pPr>
            <w:r>
              <w:rPr>
                <w:b/>
                <w:bCs/>
                <w:sz w:val="21"/>
                <w:szCs w:val="21"/>
              </w:rPr>
              <w:t>评价等级</w:t>
            </w:r>
          </w:p>
        </w:tc>
        <w:tc>
          <w:tcPr>
            <w:tcW w:w="7153" w:type="dxa"/>
            <w:gridSpan w:val="2"/>
            <w:tcBorders>
              <w:tl2br w:val="nil"/>
              <w:tr2bl w:val="nil"/>
            </w:tcBorders>
            <w:vAlign w:val="center"/>
          </w:tcPr>
          <w:p w14:paraId="1D3ED8B4">
            <w:pPr>
              <w:spacing w:line="240" w:lineRule="auto"/>
              <w:ind w:firstLine="0" w:firstLineChars="0"/>
              <w:jc w:val="center"/>
              <w:rPr>
                <w:b/>
                <w:bCs/>
                <w:sz w:val="21"/>
                <w:szCs w:val="21"/>
              </w:rPr>
            </w:pPr>
            <w:r>
              <w:rPr>
                <w:b/>
                <w:bCs/>
                <w:sz w:val="21"/>
                <w:szCs w:val="21"/>
              </w:rPr>
              <w:t>判定依据</w:t>
            </w:r>
          </w:p>
        </w:tc>
      </w:tr>
      <w:tr w14:paraId="1D3ED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3" w:type="dxa"/>
            <w:vMerge w:val="continue"/>
            <w:tcBorders>
              <w:tl2br w:val="nil"/>
              <w:tr2bl w:val="nil"/>
            </w:tcBorders>
            <w:vAlign w:val="center"/>
          </w:tcPr>
          <w:p w14:paraId="1D3ED8B6">
            <w:pPr>
              <w:spacing w:line="240" w:lineRule="auto"/>
              <w:ind w:firstLine="0" w:firstLineChars="0"/>
              <w:jc w:val="center"/>
              <w:rPr>
                <w:b/>
                <w:bCs/>
                <w:sz w:val="21"/>
                <w:szCs w:val="21"/>
              </w:rPr>
            </w:pPr>
          </w:p>
        </w:tc>
        <w:tc>
          <w:tcPr>
            <w:tcW w:w="1527" w:type="dxa"/>
            <w:tcBorders>
              <w:tl2br w:val="nil"/>
              <w:tr2bl w:val="nil"/>
            </w:tcBorders>
            <w:vAlign w:val="center"/>
          </w:tcPr>
          <w:p w14:paraId="1D3ED8B7">
            <w:pPr>
              <w:spacing w:line="240" w:lineRule="auto"/>
              <w:ind w:firstLine="0" w:firstLineChars="0"/>
              <w:jc w:val="center"/>
              <w:rPr>
                <w:b/>
                <w:bCs/>
                <w:sz w:val="21"/>
                <w:szCs w:val="21"/>
              </w:rPr>
            </w:pPr>
            <w:r>
              <w:rPr>
                <w:b/>
                <w:bCs/>
                <w:sz w:val="21"/>
                <w:szCs w:val="21"/>
              </w:rPr>
              <w:t>排放方式</w:t>
            </w:r>
          </w:p>
        </w:tc>
        <w:tc>
          <w:tcPr>
            <w:tcW w:w="5626" w:type="dxa"/>
            <w:tcBorders>
              <w:tl2br w:val="nil"/>
              <w:tr2bl w:val="nil"/>
            </w:tcBorders>
            <w:vAlign w:val="center"/>
          </w:tcPr>
          <w:p w14:paraId="1D3ED8B8">
            <w:pPr>
              <w:spacing w:line="240" w:lineRule="auto"/>
              <w:ind w:firstLine="0" w:firstLineChars="0"/>
              <w:jc w:val="center"/>
              <w:rPr>
                <w:b/>
                <w:bCs/>
                <w:sz w:val="21"/>
                <w:szCs w:val="21"/>
              </w:rPr>
            </w:pPr>
            <w:r>
              <w:rPr>
                <w:b/>
                <w:bCs/>
                <w:sz w:val="21"/>
                <w:szCs w:val="21"/>
              </w:rPr>
              <w:t>废水排放量Q/（m</w:t>
            </w:r>
            <w:r>
              <w:rPr>
                <w:b/>
                <w:bCs/>
                <w:sz w:val="21"/>
                <w:szCs w:val="21"/>
                <w:vertAlign w:val="superscript"/>
              </w:rPr>
              <w:t>3</w:t>
            </w:r>
            <w:r>
              <w:rPr>
                <w:b/>
                <w:bCs/>
                <w:sz w:val="21"/>
                <w:szCs w:val="21"/>
              </w:rPr>
              <w:t>/d）；水污染物当量数W/（无量纲）</w:t>
            </w:r>
          </w:p>
        </w:tc>
      </w:tr>
      <w:tr w14:paraId="1D3ED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3" w:type="dxa"/>
            <w:tcBorders>
              <w:tl2br w:val="nil"/>
              <w:tr2bl w:val="nil"/>
            </w:tcBorders>
            <w:vAlign w:val="center"/>
          </w:tcPr>
          <w:p w14:paraId="1D3ED8BA">
            <w:pPr>
              <w:spacing w:line="240" w:lineRule="auto"/>
              <w:ind w:firstLine="0" w:firstLineChars="0"/>
              <w:jc w:val="center"/>
              <w:rPr>
                <w:sz w:val="21"/>
                <w:szCs w:val="21"/>
              </w:rPr>
            </w:pPr>
            <w:r>
              <w:rPr>
                <w:sz w:val="21"/>
                <w:szCs w:val="21"/>
              </w:rPr>
              <w:t>一级</w:t>
            </w:r>
          </w:p>
        </w:tc>
        <w:tc>
          <w:tcPr>
            <w:tcW w:w="1527" w:type="dxa"/>
            <w:tcBorders>
              <w:tl2br w:val="nil"/>
              <w:tr2bl w:val="nil"/>
            </w:tcBorders>
            <w:vAlign w:val="center"/>
          </w:tcPr>
          <w:p w14:paraId="1D3ED8BB">
            <w:pPr>
              <w:spacing w:line="240" w:lineRule="auto"/>
              <w:ind w:firstLine="0" w:firstLineChars="0"/>
              <w:jc w:val="center"/>
              <w:rPr>
                <w:sz w:val="21"/>
                <w:szCs w:val="21"/>
              </w:rPr>
            </w:pPr>
            <w:r>
              <w:rPr>
                <w:sz w:val="21"/>
                <w:szCs w:val="21"/>
              </w:rPr>
              <w:t>直接排放</w:t>
            </w:r>
          </w:p>
        </w:tc>
        <w:tc>
          <w:tcPr>
            <w:tcW w:w="5626" w:type="dxa"/>
            <w:tcBorders>
              <w:tl2br w:val="nil"/>
              <w:tr2bl w:val="nil"/>
            </w:tcBorders>
            <w:vAlign w:val="center"/>
          </w:tcPr>
          <w:p w14:paraId="1D3ED8BC">
            <w:pPr>
              <w:spacing w:line="240" w:lineRule="auto"/>
              <w:ind w:firstLine="0" w:firstLineChars="0"/>
              <w:jc w:val="center"/>
              <w:rPr>
                <w:sz w:val="21"/>
                <w:szCs w:val="21"/>
              </w:rPr>
            </w:pPr>
            <w:r>
              <w:rPr>
                <w:sz w:val="21"/>
                <w:szCs w:val="21"/>
              </w:rPr>
              <w:t>Q≥20000或W≥600000</w:t>
            </w:r>
          </w:p>
        </w:tc>
      </w:tr>
      <w:tr w14:paraId="1D3ED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3" w:type="dxa"/>
            <w:tcBorders>
              <w:tl2br w:val="nil"/>
              <w:tr2bl w:val="nil"/>
            </w:tcBorders>
            <w:vAlign w:val="center"/>
          </w:tcPr>
          <w:p w14:paraId="1D3ED8BE">
            <w:pPr>
              <w:spacing w:line="240" w:lineRule="auto"/>
              <w:ind w:firstLine="0" w:firstLineChars="0"/>
              <w:jc w:val="center"/>
              <w:rPr>
                <w:sz w:val="21"/>
                <w:szCs w:val="21"/>
              </w:rPr>
            </w:pPr>
            <w:r>
              <w:rPr>
                <w:sz w:val="21"/>
                <w:szCs w:val="21"/>
              </w:rPr>
              <w:t>二级</w:t>
            </w:r>
          </w:p>
        </w:tc>
        <w:tc>
          <w:tcPr>
            <w:tcW w:w="1527" w:type="dxa"/>
            <w:tcBorders>
              <w:tl2br w:val="nil"/>
              <w:tr2bl w:val="nil"/>
            </w:tcBorders>
            <w:vAlign w:val="center"/>
          </w:tcPr>
          <w:p w14:paraId="1D3ED8BF">
            <w:pPr>
              <w:spacing w:line="240" w:lineRule="auto"/>
              <w:ind w:firstLine="0" w:firstLineChars="0"/>
              <w:jc w:val="center"/>
              <w:rPr>
                <w:sz w:val="21"/>
                <w:szCs w:val="21"/>
              </w:rPr>
            </w:pPr>
            <w:r>
              <w:rPr>
                <w:sz w:val="21"/>
                <w:szCs w:val="21"/>
              </w:rPr>
              <w:t>直接排放</w:t>
            </w:r>
          </w:p>
        </w:tc>
        <w:tc>
          <w:tcPr>
            <w:tcW w:w="5626" w:type="dxa"/>
            <w:tcBorders>
              <w:tl2br w:val="nil"/>
              <w:tr2bl w:val="nil"/>
            </w:tcBorders>
            <w:vAlign w:val="center"/>
          </w:tcPr>
          <w:p w14:paraId="1D3ED8C0">
            <w:pPr>
              <w:spacing w:line="240" w:lineRule="auto"/>
              <w:ind w:firstLine="0" w:firstLineChars="0"/>
              <w:jc w:val="center"/>
              <w:rPr>
                <w:sz w:val="21"/>
                <w:szCs w:val="21"/>
              </w:rPr>
            </w:pPr>
            <w:r>
              <w:rPr>
                <w:sz w:val="21"/>
                <w:szCs w:val="21"/>
              </w:rPr>
              <w:t>其他</w:t>
            </w:r>
          </w:p>
        </w:tc>
      </w:tr>
      <w:tr w14:paraId="1D3ED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3" w:type="dxa"/>
            <w:tcBorders>
              <w:tl2br w:val="nil"/>
              <w:tr2bl w:val="nil"/>
            </w:tcBorders>
            <w:vAlign w:val="center"/>
          </w:tcPr>
          <w:p w14:paraId="1D3ED8C2">
            <w:pPr>
              <w:spacing w:line="240" w:lineRule="auto"/>
              <w:ind w:firstLine="0" w:firstLineChars="0"/>
              <w:jc w:val="center"/>
              <w:rPr>
                <w:sz w:val="21"/>
                <w:szCs w:val="21"/>
              </w:rPr>
            </w:pPr>
            <w:r>
              <w:rPr>
                <w:sz w:val="21"/>
                <w:szCs w:val="21"/>
              </w:rPr>
              <w:t>三级A</w:t>
            </w:r>
          </w:p>
        </w:tc>
        <w:tc>
          <w:tcPr>
            <w:tcW w:w="1527" w:type="dxa"/>
            <w:tcBorders>
              <w:tl2br w:val="nil"/>
              <w:tr2bl w:val="nil"/>
            </w:tcBorders>
            <w:vAlign w:val="center"/>
          </w:tcPr>
          <w:p w14:paraId="1D3ED8C3">
            <w:pPr>
              <w:spacing w:line="240" w:lineRule="auto"/>
              <w:ind w:firstLine="0" w:firstLineChars="0"/>
              <w:jc w:val="center"/>
              <w:rPr>
                <w:sz w:val="21"/>
                <w:szCs w:val="21"/>
              </w:rPr>
            </w:pPr>
            <w:r>
              <w:rPr>
                <w:sz w:val="21"/>
                <w:szCs w:val="21"/>
              </w:rPr>
              <w:t>直接排放</w:t>
            </w:r>
          </w:p>
        </w:tc>
        <w:tc>
          <w:tcPr>
            <w:tcW w:w="5626" w:type="dxa"/>
            <w:tcBorders>
              <w:tl2br w:val="nil"/>
              <w:tr2bl w:val="nil"/>
            </w:tcBorders>
            <w:vAlign w:val="center"/>
          </w:tcPr>
          <w:p w14:paraId="1D3ED8C4">
            <w:pPr>
              <w:spacing w:line="240" w:lineRule="auto"/>
              <w:ind w:firstLine="0" w:firstLineChars="0"/>
              <w:jc w:val="center"/>
              <w:rPr>
                <w:sz w:val="21"/>
                <w:szCs w:val="21"/>
              </w:rPr>
            </w:pPr>
            <w:r>
              <w:rPr>
                <w:sz w:val="21"/>
                <w:szCs w:val="21"/>
              </w:rPr>
              <w:t>Q＜200且W＜6000</w:t>
            </w:r>
          </w:p>
        </w:tc>
      </w:tr>
      <w:tr w14:paraId="1D3ED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3" w:type="dxa"/>
            <w:tcBorders>
              <w:tl2br w:val="nil"/>
              <w:tr2bl w:val="nil"/>
            </w:tcBorders>
            <w:vAlign w:val="center"/>
          </w:tcPr>
          <w:p w14:paraId="1D3ED8C6">
            <w:pPr>
              <w:spacing w:line="240" w:lineRule="auto"/>
              <w:ind w:firstLine="0" w:firstLineChars="0"/>
              <w:jc w:val="center"/>
              <w:rPr>
                <w:sz w:val="21"/>
                <w:szCs w:val="21"/>
              </w:rPr>
            </w:pPr>
            <w:r>
              <w:rPr>
                <w:sz w:val="21"/>
                <w:szCs w:val="21"/>
              </w:rPr>
              <w:t>三级B</w:t>
            </w:r>
          </w:p>
        </w:tc>
        <w:tc>
          <w:tcPr>
            <w:tcW w:w="1527" w:type="dxa"/>
            <w:tcBorders>
              <w:tl2br w:val="nil"/>
              <w:tr2bl w:val="nil"/>
            </w:tcBorders>
            <w:vAlign w:val="center"/>
          </w:tcPr>
          <w:p w14:paraId="1D3ED8C7">
            <w:pPr>
              <w:spacing w:line="240" w:lineRule="auto"/>
              <w:ind w:firstLine="0" w:firstLineChars="0"/>
              <w:jc w:val="center"/>
              <w:rPr>
                <w:sz w:val="21"/>
                <w:szCs w:val="21"/>
              </w:rPr>
            </w:pPr>
            <w:r>
              <w:rPr>
                <w:sz w:val="21"/>
                <w:szCs w:val="21"/>
              </w:rPr>
              <w:t>间接排放</w:t>
            </w:r>
          </w:p>
        </w:tc>
        <w:tc>
          <w:tcPr>
            <w:tcW w:w="5626" w:type="dxa"/>
            <w:tcBorders>
              <w:tl2br w:val="nil"/>
              <w:tr2bl w:val="nil"/>
            </w:tcBorders>
            <w:vAlign w:val="center"/>
          </w:tcPr>
          <w:p w14:paraId="1D3ED8C8">
            <w:pPr>
              <w:spacing w:line="240" w:lineRule="auto"/>
              <w:ind w:firstLine="0" w:firstLineChars="0"/>
              <w:jc w:val="center"/>
              <w:rPr>
                <w:sz w:val="21"/>
                <w:szCs w:val="21"/>
              </w:rPr>
            </w:pPr>
            <w:r>
              <w:rPr>
                <w:sz w:val="21"/>
                <w:szCs w:val="21"/>
              </w:rPr>
              <w:t>—</w:t>
            </w:r>
          </w:p>
        </w:tc>
      </w:tr>
    </w:tbl>
    <w:p w14:paraId="1D3ED8CA">
      <w:pPr>
        <w:pStyle w:val="28"/>
        <w:spacing w:before="240" w:beforeLines="100" w:after="240" w:afterLines="100"/>
        <w:ind w:firstLine="198"/>
        <w:outlineLvl w:val="2"/>
        <w:rPr>
          <w:rFonts w:eastAsia="楷体"/>
          <w:b/>
          <w:bCs/>
          <w:sz w:val="28"/>
          <w:szCs w:val="28"/>
        </w:rPr>
      </w:pPr>
      <w:r>
        <w:rPr>
          <w:rFonts w:eastAsia="楷体"/>
          <w:b/>
          <w:bCs/>
          <w:sz w:val="28"/>
          <w:szCs w:val="28"/>
        </w:rPr>
        <w:t>5.2.2 评价范围</w:t>
      </w:r>
    </w:p>
    <w:p w14:paraId="1D3ED8CB">
      <w:pPr>
        <w:pStyle w:val="19"/>
        <w:spacing w:after="0"/>
        <w:ind w:left="0" w:leftChars="0" w:firstLine="480"/>
        <w:rPr>
          <w:kern w:val="2"/>
          <w:szCs w:val="24"/>
        </w:rPr>
      </w:pPr>
      <w:r>
        <w:rPr>
          <w:kern w:val="2"/>
          <w:szCs w:val="24"/>
        </w:rPr>
        <w:t>本项目废水经厂区总排口排入</w:t>
      </w:r>
      <w:r>
        <w:rPr>
          <w:rFonts w:hint="eastAsia"/>
          <w:kern w:val="2"/>
          <w:szCs w:val="24"/>
        </w:rPr>
        <w:t>唐庄</w:t>
      </w:r>
      <w:r>
        <w:rPr>
          <w:kern w:val="2"/>
          <w:szCs w:val="24"/>
        </w:rPr>
        <w:t>污水处理厂处理后排入</w:t>
      </w:r>
      <w:r>
        <w:rPr>
          <w:rFonts w:hint="eastAsia"/>
          <w:kern w:val="2"/>
          <w:szCs w:val="24"/>
        </w:rPr>
        <w:t>共产主义渠</w:t>
      </w:r>
      <w:r>
        <w:rPr>
          <w:kern w:val="2"/>
          <w:szCs w:val="24"/>
        </w:rPr>
        <w:t>。根据《环境影响评价技术导则-地表水环境》（HJ2.3-2018），本项目评价等级为三级B，本次评价主要进行废水纳管依托污水处理设施环境可行性分析。</w:t>
      </w:r>
    </w:p>
    <w:p w14:paraId="1D3ED8CC">
      <w:pPr>
        <w:pStyle w:val="28"/>
        <w:spacing w:before="240" w:beforeLines="100" w:after="240" w:afterLines="100"/>
        <w:ind w:firstLine="198"/>
        <w:outlineLvl w:val="2"/>
        <w:rPr>
          <w:rFonts w:eastAsia="楷体"/>
          <w:b/>
          <w:bCs/>
          <w:sz w:val="28"/>
          <w:szCs w:val="28"/>
          <w:highlight w:val="yellow"/>
        </w:rPr>
      </w:pPr>
      <w:r>
        <w:rPr>
          <w:rFonts w:eastAsia="楷体"/>
          <w:b/>
          <w:bCs/>
          <w:sz w:val="28"/>
          <w:szCs w:val="28"/>
        </w:rPr>
        <w:t>5.2.3 地表水环境影响预测与评价</w:t>
      </w:r>
    </w:p>
    <w:p w14:paraId="1D3ED8CD">
      <w:pPr>
        <w:pStyle w:val="28"/>
        <w:spacing w:before="240" w:after="120"/>
        <w:ind w:left="567" w:right="240" w:rightChars="100"/>
        <w:outlineLvl w:val="3"/>
        <w:rPr>
          <w:rFonts w:eastAsia="楷体"/>
          <w:b/>
          <w:bCs/>
          <w:kern w:val="2"/>
          <w:sz w:val="24"/>
          <w:szCs w:val="24"/>
        </w:rPr>
      </w:pPr>
      <w:r>
        <w:rPr>
          <w:rFonts w:eastAsia="楷体"/>
          <w:b/>
          <w:bCs/>
          <w:kern w:val="2"/>
          <w:sz w:val="24"/>
          <w:szCs w:val="24"/>
        </w:rPr>
        <w:t>5.2.3.1 评价思路</w:t>
      </w:r>
    </w:p>
    <w:p w14:paraId="1D3ED8CE">
      <w:pPr>
        <w:pStyle w:val="19"/>
        <w:spacing w:after="0"/>
        <w:ind w:left="0" w:leftChars="0" w:firstLine="480"/>
        <w:rPr>
          <w:kern w:val="2"/>
          <w:szCs w:val="24"/>
        </w:rPr>
      </w:pPr>
      <w:r>
        <w:rPr>
          <w:kern w:val="2"/>
          <w:szCs w:val="24"/>
        </w:rPr>
        <w:t>根据导则要求：水污染影响型三级B评价可不进行水环境影响预测，主要评价内容包括：水污染控制和水环境影响减缓措施有效性评价，及依托污水处理设施的环境可行性。</w:t>
      </w:r>
    </w:p>
    <w:p w14:paraId="1D3ED8CF">
      <w:pPr>
        <w:pStyle w:val="28"/>
        <w:spacing w:before="240" w:after="120"/>
        <w:ind w:left="567" w:right="240" w:rightChars="100"/>
        <w:outlineLvl w:val="3"/>
        <w:rPr>
          <w:rFonts w:eastAsia="楷体"/>
          <w:b/>
          <w:bCs/>
          <w:kern w:val="2"/>
          <w:sz w:val="24"/>
          <w:szCs w:val="24"/>
        </w:rPr>
      </w:pPr>
      <w:r>
        <w:rPr>
          <w:rFonts w:eastAsia="楷体"/>
          <w:b/>
          <w:bCs/>
          <w:kern w:val="2"/>
          <w:sz w:val="24"/>
          <w:szCs w:val="24"/>
        </w:rPr>
        <w:t>5.2.3.2 水污染控制和水环境影响减缓措施有效性评价</w:t>
      </w:r>
    </w:p>
    <w:p w14:paraId="084D977B">
      <w:pPr>
        <w:pStyle w:val="19"/>
        <w:spacing w:after="0"/>
        <w:ind w:left="0" w:leftChars="0" w:firstLine="480"/>
        <w:rPr>
          <w:b/>
          <w:bCs/>
          <w:kern w:val="2"/>
          <w:szCs w:val="24"/>
          <w:u w:val="single"/>
        </w:rPr>
      </w:pPr>
      <w:r>
        <w:t>本项目废水主要为循环冷却水系统排水、</w:t>
      </w:r>
      <w:r>
        <w:rPr>
          <w:rFonts w:hint="eastAsia"/>
        </w:rPr>
        <w:t>职工生活污水、喷淋废水和车间地面清洗水</w:t>
      </w:r>
      <w:r>
        <w:t>。</w:t>
      </w:r>
      <w:r>
        <w:rPr>
          <w:rFonts w:hint="eastAsia"/>
          <w:kern w:val="2"/>
          <w:szCs w:val="24"/>
        </w:rPr>
        <w:t>喷淋废水、车间地面清洗废水经厂区污水处理站处理后与经化粪池处理后的生活污水、</w:t>
      </w:r>
      <w:r>
        <w:t>循环冷却水系统排水</w:t>
      </w:r>
      <w:r>
        <w:rPr>
          <w:kern w:val="2"/>
          <w:szCs w:val="24"/>
        </w:rPr>
        <w:t>一起由厂区总排口排入园区污水管网，再</w:t>
      </w:r>
      <w:r>
        <w:rPr>
          <w:rFonts w:hint="eastAsia"/>
          <w:kern w:val="2"/>
          <w:szCs w:val="24"/>
        </w:rPr>
        <w:t>进入唐庄</w:t>
      </w:r>
      <w:r>
        <w:rPr>
          <w:kern w:val="2"/>
          <w:szCs w:val="24"/>
        </w:rPr>
        <w:t>污水处理厂进行进一步处理，处理后排入</w:t>
      </w:r>
      <w:r>
        <w:rPr>
          <w:rFonts w:hint="eastAsia"/>
          <w:kern w:val="2"/>
          <w:szCs w:val="24"/>
        </w:rPr>
        <w:t>共产主义渠</w:t>
      </w:r>
      <w:r>
        <w:rPr>
          <w:kern w:val="2"/>
          <w:szCs w:val="24"/>
        </w:rPr>
        <w:t>。</w:t>
      </w:r>
      <w:r>
        <w:rPr>
          <w:rFonts w:hint="eastAsia"/>
          <w:kern w:val="2"/>
          <w:szCs w:val="24"/>
        </w:rPr>
        <w:t>根据工程分析可知，</w:t>
      </w:r>
      <w:r>
        <w:rPr>
          <w:rFonts w:hint="eastAsia"/>
        </w:rPr>
        <w:t>厂区总排口废水水质为</w:t>
      </w:r>
      <w:r>
        <w:rPr>
          <w:rFonts w:hint="eastAsia"/>
          <w:bCs/>
          <w:u w:val="single"/>
        </w:rPr>
        <w:t>pH 6~9、COD 210mg/L、BOD</w:t>
      </w:r>
      <w:r>
        <w:rPr>
          <w:rFonts w:hint="eastAsia"/>
          <w:bCs/>
          <w:u w:val="single"/>
          <w:vertAlign w:val="subscript"/>
        </w:rPr>
        <w:t>5</w:t>
      </w:r>
      <w:r>
        <w:rPr>
          <w:rFonts w:hint="eastAsia"/>
          <w:bCs/>
          <w:u w:val="single"/>
        </w:rPr>
        <w:t xml:space="preserve"> 50.7mg/L、SS 87.8mg/L、NH</w:t>
      </w:r>
      <w:r>
        <w:rPr>
          <w:rFonts w:hint="eastAsia"/>
          <w:bCs/>
          <w:u w:val="single"/>
          <w:vertAlign w:val="subscript"/>
        </w:rPr>
        <w:t>3</w:t>
      </w:r>
      <w:r>
        <w:rPr>
          <w:rFonts w:hint="eastAsia"/>
          <w:bCs/>
          <w:u w:val="single"/>
        </w:rPr>
        <w:t>-N 3.3mg/L、TN 6mg/L、TP 0.39mg/L、石油类4.4mg/L，能够满足</w:t>
      </w:r>
      <w:r>
        <w:rPr>
          <w:bCs/>
          <w:u w:val="single"/>
        </w:rPr>
        <w:t>《化工行业水污染物间接排放标准》（DB41/1</w:t>
      </w:r>
      <w:r>
        <w:rPr>
          <w:rFonts w:hint="eastAsia"/>
          <w:bCs/>
          <w:u w:val="single"/>
        </w:rPr>
        <w:t>135-2016</w:t>
      </w:r>
      <w:r>
        <w:rPr>
          <w:bCs/>
          <w:u w:val="single"/>
        </w:rPr>
        <w:t>）</w:t>
      </w:r>
      <w:r>
        <w:rPr>
          <w:rFonts w:hint="eastAsia"/>
          <w:bCs/>
          <w:u w:val="single"/>
        </w:rPr>
        <w:t>表1、表2间接排放限值要求（pH 6~9、COD 300mg/L、SS 150mg/L、NH</w:t>
      </w:r>
      <w:r>
        <w:rPr>
          <w:rFonts w:hint="eastAsia"/>
          <w:bCs/>
          <w:u w:val="single"/>
          <w:vertAlign w:val="subscript"/>
        </w:rPr>
        <w:t>3</w:t>
      </w:r>
      <w:r>
        <w:rPr>
          <w:rFonts w:hint="eastAsia"/>
          <w:bCs/>
          <w:u w:val="single"/>
        </w:rPr>
        <w:t>-N 30mg/L、TN 50mg/L、TP 5mg/L、石油类20</w:t>
      </w:r>
      <w:r>
        <w:rPr>
          <w:bCs/>
          <w:u w:val="single"/>
        </w:rPr>
        <w:t>mg/L</w:t>
      </w:r>
      <w:r>
        <w:rPr>
          <w:rFonts w:hint="eastAsia"/>
          <w:bCs/>
          <w:u w:val="single"/>
        </w:rPr>
        <w:t>），同时满足唐庄</w:t>
      </w:r>
      <w:r>
        <w:rPr>
          <w:bCs/>
          <w:u w:val="single"/>
        </w:rPr>
        <w:t>污水处理厂收水标准</w:t>
      </w:r>
      <w:r>
        <w:rPr>
          <w:rFonts w:hint="eastAsia"/>
          <w:bCs/>
          <w:u w:val="single"/>
        </w:rPr>
        <w:t>（pH 6~9、COD 360mg/L、BOD</w:t>
      </w:r>
      <w:r>
        <w:rPr>
          <w:rFonts w:hint="eastAsia"/>
          <w:bCs/>
          <w:u w:val="single"/>
          <w:vertAlign w:val="subscript"/>
        </w:rPr>
        <w:t>5</w:t>
      </w:r>
      <w:r>
        <w:rPr>
          <w:rFonts w:hint="eastAsia"/>
          <w:bCs/>
          <w:u w:val="single"/>
        </w:rPr>
        <w:t xml:space="preserve"> 200mg/L、SS 280mg/L、NH</w:t>
      </w:r>
      <w:r>
        <w:rPr>
          <w:rFonts w:hint="eastAsia"/>
          <w:bCs/>
          <w:u w:val="single"/>
          <w:vertAlign w:val="subscript"/>
        </w:rPr>
        <w:t>3</w:t>
      </w:r>
      <w:r>
        <w:rPr>
          <w:rFonts w:hint="eastAsia"/>
          <w:bCs/>
          <w:u w:val="single"/>
        </w:rPr>
        <w:t>-N 30mg/L、TN 40mg/L、TP 5mg/L）。</w:t>
      </w:r>
    </w:p>
    <w:p w14:paraId="1D3ED8D9">
      <w:pPr>
        <w:pStyle w:val="28"/>
        <w:spacing w:before="240" w:after="120"/>
        <w:ind w:left="567"/>
        <w:outlineLvl w:val="3"/>
        <w:rPr>
          <w:rFonts w:eastAsia="楷体"/>
          <w:b/>
          <w:bCs/>
          <w:kern w:val="2"/>
          <w:sz w:val="24"/>
          <w:szCs w:val="24"/>
        </w:rPr>
      </w:pPr>
      <w:r>
        <w:rPr>
          <w:rFonts w:eastAsia="楷体"/>
          <w:b/>
          <w:bCs/>
          <w:kern w:val="2"/>
          <w:sz w:val="24"/>
          <w:szCs w:val="24"/>
        </w:rPr>
        <w:t>5.2.3.3 依托污水处理设施的环境可行性</w:t>
      </w:r>
    </w:p>
    <w:p w14:paraId="16A07E06">
      <w:pPr>
        <w:pStyle w:val="2"/>
        <w:spacing w:after="0"/>
        <w:ind w:firstLine="480"/>
        <w:rPr>
          <w:kern w:val="2"/>
          <w:szCs w:val="24"/>
          <w:highlight w:val="yellow"/>
        </w:rPr>
      </w:pPr>
      <w:r>
        <w:t>目前该项目区域污水管网已建成，本项目废水经园区污水管网入</w:t>
      </w:r>
      <w:r>
        <w:rPr>
          <w:rFonts w:hint="eastAsia"/>
        </w:rPr>
        <w:t>唐庄</w:t>
      </w:r>
      <w:r>
        <w:t>污水处理厂经二次处理后，排入</w:t>
      </w:r>
      <w:r>
        <w:rPr>
          <w:rFonts w:hint="eastAsia"/>
        </w:rPr>
        <w:t>共产主义渠</w:t>
      </w:r>
      <w:r>
        <w:t>。</w:t>
      </w:r>
    </w:p>
    <w:p w14:paraId="72511208">
      <w:pPr>
        <w:ind w:firstLine="480"/>
        <w:outlineLvl w:val="4"/>
        <w:rPr>
          <w:snapToGrid w:val="0"/>
        </w:rPr>
      </w:pPr>
      <w:r>
        <w:rPr>
          <w:rFonts w:hint="eastAsia" w:ascii="宋体" w:hAnsi="宋体" w:cs="宋体"/>
          <w:snapToGrid w:val="0"/>
        </w:rPr>
        <w:t>（1）唐庄</w:t>
      </w:r>
      <w:r>
        <w:rPr>
          <w:bCs/>
          <w:snapToGrid w:val="0"/>
        </w:rPr>
        <w:t>污水</w:t>
      </w:r>
      <w:r>
        <w:rPr>
          <w:rFonts w:hint="eastAsia"/>
          <w:bCs/>
          <w:snapToGrid w:val="0"/>
        </w:rPr>
        <w:t>处理</w:t>
      </w:r>
      <w:r>
        <w:rPr>
          <w:bCs/>
          <w:snapToGrid w:val="0"/>
        </w:rPr>
        <w:t>厂</w:t>
      </w:r>
      <w:r>
        <w:rPr>
          <w:rFonts w:hint="eastAsia"/>
          <w:bCs/>
          <w:snapToGrid w:val="0"/>
        </w:rPr>
        <w:t>概况</w:t>
      </w:r>
    </w:p>
    <w:p w14:paraId="2954FE88">
      <w:pPr>
        <w:pStyle w:val="19"/>
        <w:spacing w:after="0"/>
        <w:ind w:left="0" w:leftChars="0" w:firstLine="480"/>
        <w:rPr>
          <w:bCs/>
          <w:kern w:val="2"/>
          <w:szCs w:val="24"/>
          <w:highlight w:val="yellow"/>
        </w:rPr>
      </w:pPr>
      <w:r>
        <w:rPr>
          <w:bCs/>
          <w:snapToGrid w:val="0"/>
        </w:rPr>
        <w:t>唐庄污水处理厂位于唐庄村东、石骆驼村西，唐庄污水处理厂设计处理规模为4万m</w:t>
      </w:r>
      <w:r>
        <w:rPr>
          <w:bCs/>
          <w:snapToGrid w:val="0"/>
          <w:vertAlign w:val="superscript"/>
        </w:rPr>
        <w:t>3</w:t>
      </w:r>
      <w:r>
        <w:rPr>
          <w:bCs/>
          <w:snapToGrid w:val="0"/>
        </w:rPr>
        <w:t>/d，一期工程已建成运行，日处理规模为2万m</w:t>
      </w:r>
      <w:r>
        <w:rPr>
          <w:bCs/>
          <w:snapToGrid w:val="0"/>
          <w:vertAlign w:val="superscript"/>
        </w:rPr>
        <w:t>3</w:t>
      </w:r>
      <w:r>
        <w:rPr>
          <w:bCs/>
          <w:snapToGrid w:val="0"/>
        </w:rPr>
        <w:t>/d，二期工程尚未建成，目前已提上日程，设计处理规模2万m</w:t>
      </w:r>
      <w:r>
        <w:rPr>
          <w:bCs/>
          <w:snapToGrid w:val="0"/>
          <w:vertAlign w:val="superscript"/>
        </w:rPr>
        <w:t>3</w:t>
      </w:r>
      <w:r>
        <w:rPr>
          <w:bCs/>
          <w:snapToGrid w:val="0"/>
        </w:rPr>
        <w:t>/d。设计进水水质：COD</w:t>
      </w:r>
      <w:r>
        <w:rPr>
          <w:rFonts w:hint="eastAsia"/>
          <w:bCs/>
          <w:snapToGrid w:val="0"/>
        </w:rPr>
        <w:t xml:space="preserve"> </w:t>
      </w:r>
      <w:r>
        <w:rPr>
          <w:bCs/>
          <w:snapToGrid w:val="0"/>
        </w:rPr>
        <w:t>360mg/L、BOD</w:t>
      </w:r>
      <w:r>
        <w:rPr>
          <w:bCs/>
          <w:snapToGrid w:val="0"/>
          <w:vertAlign w:val="subscript"/>
        </w:rPr>
        <w:t>5</w:t>
      </w:r>
      <w:r>
        <w:rPr>
          <w:bCs/>
          <w:snapToGrid w:val="0"/>
        </w:rPr>
        <w:t xml:space="preserve"> 200mg/L、SS</w:t>
      </w:r>
      <w:r>
        <w:rPr>
          <w:rFonts w:hint="eastAsia"/>
          <w:bCs/>
          <w:snapToGrid w:val="0"/>
        </w:rPr>
        <w:t xml:space="preserve"> </w:t>
      </w:r>
      <w:r>
        <w:rPr>
          <w:bCs/>
          <w:snapToGrid w:val="0"/>
        </w:rPr>
        <w:t>280mg/L、氨氮30mg/L，污水处理工艺为复合型氧化沟工艺+混凝沉淀+超滤膜系统，出水水质执行《城镇污水处理厂污染物排放标准》（GB18918-2002）的一级A标准</w:t>
      </w:r>
      <w:r>
        <w:rPr>
          <w:rFonts w:hint="eastAsia"/>
          <w:bCs/>
          <w:snapToGrid w:val="0"/>
        </w:rPr>
        <w:t>（</w:t>
      </w:r>
      <w:r>
        <w:rPr>
          <w:bCs/>
          <w:snapToGrid w:val="0"/>
        </w:rPr>
        <w:t>TN</w:t>
      </w:r>
      <w:r>
        <w:rPr>
          <w:rFonts w:hint="eastAsia"/>
          <w:bCs/>
          <w:snapToGrid w:val="0"/>
        </w:rPr>
        <w:t xml:space="preserve"> </w:t>
      </w:r>
      <w:r>
        <w:rPr>
          <w:bCs/>
          <w:snapToGrid w:val="0"/>
        </w:rPr>
        <w:t>15mg/L</w:t>
      </w:r>
      <w:r>
        <w:rPr>
          <w:rFonts w:hint="eastAsia"/>
          <w:bCs/>
          <w:snapToGrid w:val="0"/>
        </w:rPr>
        <w:t>）及</w:t>
      </w:r>
      <w:r>
        <w:rPr>
          <w:bCs/>
          <w:snapToGrid w:val="0"/>
        </w:rPr>
        <w:t>COD 40mg/L</w:t>
      </w:r>
      <w:r>
        <w:rPr>
          <w:rFonts w:hint="eastAsia"/>
          <w:bCs/>
          <w:snapToGrid w:val="0"/>
        </w:rPr>
        <w:t>、</w:t>
      </w:r>
      <w:r>
        <w:rPr>
          <w:bCs/>
          <w:snapToGrid w:val="0"/>
        </w:rPr>
        <w:t>氨氮2mg/L</w:t>
      </w:r>
      <w:r>
        <w:rPr>
          <w:rFonts w:hint="eastAsia"/>
          <w:bCs/>
          <w:snapToGrid w:val="0"/>
        </w:rPr>
        <w:t>、总磷0.4mg/L的</w:t>
      </w:r>
      <w:r>
        <w:rPr>
          <w:bCs/>
          <w:snapToGrid w:val="0"/>
        </w:rPr>
        <w:t>标准</w:t>
      </w:r>
      <w:r>
        <w:rPr>
          <w:rFonts w:hint="eastAsia"/>
          <w:bCs/>
          <w:snapToGrid w:val="0"/>
        </w:rPr>
        <w:t>限值要求</w:t>
      </w:r>
      <w:r>
        <w:rPr>
          <w:bCs/>
          <w:snapToGrid w:val="0"/>
        </w:rPr>
        <w:t>，废水最终排入</w:t>
      </w:r>
      <w:r>
        <w:rPr>
          <w:rFonts w:hint="eastAsia"/>
          <w:bCs/>
          <w:snapToGrid w:val="0"/>
        </w:rPr>
        <w:t>共产主义渠</w:t>
      </w:r>
      <w:r>
        <w:rPr>
          <w:bCs/>
          <w:snapToGrid w:val="0"/>
        </w:rPr>
        <w:t>。</w:t>
      </w:r>
    </w:p>
    <w:p w14:paraId="68AFC3AD">
      <w:pPr>
        <w:ind w:firstLine="480"/>
        <w:outlineLvl w:val="4"/>
        <w:rPr>
          <w:snapToGrid w:val="0"/>
        </w:rPr>
      </w:pPr>
      <w:r>
        <w:rPr>
          <w:rFonts w:hint="eastAsia"/>
          <w:snapToGrid w:val="0"/>
        </w:rPr>
        <w:t>（2）废水进唐庄污水处理厂的可行性分析</w:t>
      </w:r>
    </w:p>
    <w:p w14:paraId="39F2ADCC">
      <w:pPr>
        <w:ind w:firstLine="480"/>
        <w:rPr>
          <w:snapToGrid w:val="0"/>
        </w:rPr>
      </w:pPr>
      <w:r>
        <w:rPr>
          <w:rFonts w:hint="eastAsia"/>
          <w:snapToGrid w:val="0"/>
        </w:rPr>
        <w:t>i）收水范围</w:t>
      </w:r>
    </w:p>
    <w:p w14:paraId="2E023ECE">
      <w:pPr>
        <w:ind w:firstLine="480"/>
        <w:rPr>
          <w:snapToGrid w:val="0"/>
        </w:rPr>
      </w:pPr>
      <w:r>
        <w:rPr>
          <w:rFonts w:hint="eastAsia"/>
          <w:snapToGrid w:val="0"/>
        </w:rPr>
        <w:t>唐庄</w:t>
      </w:r>
      <w:r>
        <w:rPr>
          <w:snapToGrid w:val="0"/>
        </w:rPr>
        <w:t>污水处理厂位于</w:t>
      </w:r>
      <w:r>
        <w:rPr>
          <w:rFonts w:hint="eastAsia"/>
          <w:snapToGrid w:val="0"/>
        </w:rPr>
        <w:t>西南唐庄镇，石骆驼村西北200m处。唐庄污水处理厂服务范围：107国道及沿线以北、卫柿线以南、桃园东路以西、致富路以东所围的区域。</w:t>
      </w:r>
      <w:r>
        <w:rPr>
          <w:snapToGrid w:val="0"/>
        </w:rPr>
        <w:t>本项目属于</w:t>
      </w:r>
      <w:r>
        <w:rPr>
          <w:rFonts w:hint="eastAsia"/>
          <w:snapToGrid w:val="0"/>
        </w:rPr>
        <w:t>唐庄</w:t>
      </w:r>
      <w:r>
        <w:rPr>
          <w:snapToGrid w:val="0"/>
        </w:rPr>
        <w:t>污水处理厂的收水范围。</w:t>
      </w:r>
    </w:p>
    <w:p w14:paraId="27303A8E">
      <w:pPr>
        <w:ind w:firstLine="480"/>
        <w:rPr>
          <w:snapToGrid w:val="0"/>
        </w:rPr>
      </w:pPr>
      <w:r>
        <w:rPr>
          <w:rFonts w:hint="eastAsia"/>
          <w:snapToGrid w:val="0"/>
        </w:rPr>
        <w:t>ii</w:t>
      </w:r>
      <w:r>
        <w:rPr>
          <w:snapToGrid w:val="0"/>
        </w:rPr>
        <w:t>）管网铺设</w:t>
      </w:r>
    </w:p>
    <w:p w14:paraId="00432BA3">
      <w:pPr>
        <w:ind w:firstLine="480"/>
        <w:rPr>
          <w:snapToGrid w:val="0"/>
        </w:rPr>
      </w:pPr>
      <w:r>
        <w:rPr>
          <w:rFonts w:hint="eastAsia"/>
          <w:snapToGrid w:val="0"/>
        </w:rPr>
        <w:t>卫辉市铁西（化工）园区</w:t>
      </w:r>
      <w:r>
        <w:rPr>
          <w:snapToGrid w:val="0"/>
        </w:rPr>
        <w:t>北区污水管网分为主干管、干管和支管。集聚区内生产、生活污水均经污水支管、干管收集后进入污水主干管，最后输送至</w:t>
      </w:r>
      <w:r>
        <w:rPr>
          <w:rFonts w:hint="eastAsia"/>
          <w:snapToGrid w:val="0"/>
        </w:rPr>
        <w:t>唐庄</w:t>
      </w:r>
      <w:r>
        <w:rPr>
          <w:snapToGrid w:val="0"/>
        </w:rPr>
        <w:t>污水处理厂。项目区域污水主干管</w:t>
      </w:r>
      <w:r>
        <w:rPr>
          <w:rFonts w:hint="eastAsia"/>
          <w:snapToGrid w:val="0"/>
        </w:rPr>
        <w:t>S226与G107</w:t>
      </w:r>
      <w:r>
        <w:rPr>
          <w:snapToGrid w:val="0"/>
        </w:rPr>
        <w:t>污水管网已经敷设完毕，本次工程位于</w:t>
      </w:r>
      <w:r>
        <w:rPr>
          <w:rFonts w:hint="eastAsia"/>
          <w:snapToGrid w:val="0"/>
        </w:rPr>
        <w:t>卫辉市铁西（化工）园区S226与G107交叉口向东250m路北</w:t>
      </w:r>
      <w:r>
        <w:rPr>
          <w:snapToGrid w:val="0"/>
        </w:rPr>
        <w:t>，本工程废水进入</w:t>
      </w:r>
      <w:r>
        <w:rPr>
          <w:rFonts w:hint="eastAsia"/>
          <w:snapToGrid w:val="0"/>
        </w:rPr>
        <w:t>唐庄</w:t>
      </w:r>
      <w:r>
        <w:rPr>
          <w:snapToGrid w:val="0"/>
        </w:rPr>
        <w:t>污水处理厂不存在管网制约因素。</w:t>
      </w:r>
    </w:p>
    <w:p w14:paraId="2BEDBBB9">
      <w:pPr>
        <w:ind w:firstLine="480"/>
        <w:rPr>
          <w:snapToGrid w:val="0"/>
        </w:rPr>
      </w:pPr>
      <w:r>
        <w:rPr>
          <w:rFonts w:hint="eastAsia"/>
          <w:snapToGrid w:val="0"/>
        </w:rPr>
        <w:t>iii</w:t>
      </w:r>
      <w:r>
        <w:rPr>
          <w:snapToGrid w:val="0"/>
        </w:rPr>
        <w:t>）水量</w:t>
      </w:r>
    </w:p>
    <w:p w14:paraId="5A4761D4">
      <w:pPr>
        <w:ind w:firstLine="480"/>
        <w:rPr>
          <w:snapToGrid w:val="0"/>
          <w:highlight w:val="yellow"/>
          <w:u w:val="single"/>
        </w:rPr>
      </w:pPr>
      <w:r>
        <w:rPr>
          <w:rFonts w:hint="eastAsia"/>
          <w:snapToGrid w:val="0"/>
        </w:rPr>
        <w:t>唐庄</w:t>
      </w:r>
      <w:r>
        <w:rPr>
          <w:snapToGrid w:val="0"/>
        </w:rPr>
        <w:t>污水处理厂设计</w:t>
      </w:r>
      <w:r>
        <w:rPr>
          <w:rFonts w:hint="eastAsia"/>
          <w:snapToGrid w:val="0"/>
        </w:rPr>
        <w:t>总处理</w:t>
      </w:r>
      <w:r>
        <w:rPr>
          <w:snapToGrid w:val="0"/>
        </w:rPr>
        <w:t>规模</w:t>
      </w:r>
      <w:r>
        <w:rPr>
          <w:rFonts w:hint="eastAsia"/>
          <w:snapToGrid w:val="0"/>
        </w:rPr>
        <w:t>4</w:t>
      </w:r>
      <w:r>
        <w:rPr>
          <w:snapToGrid w:val="0"/>
        </w:rPr>
        <w:t>万m</w:t>
      </w:r>
      <w:r>
        <w:rPr>
          <w:snapToGrid w:val="0"/>
          <w:vertAlign w:val="superscript"/>
        </w:rPr>
        <w:t>3</w:t>
      </w:r>
      <w:r>
        <w:rPr>
          <w:snapToGrid w:val="0"/>
        </w:rPr>
        <w:t>/d，</w:t>
      </w:r>
      <w:r>
        <w:rPr>
          <w:rFonts w:hint="eastAsia"/>
          <w:snapToGrid w:val="0"/>
        </w:rPr>
        <w:t>分两期建设，一期规模为2万m</w:t>
      </w:r>
      <w:r>
        <w:rPr>
          <w:rFonts w:hint="eastAsia"/>
          <w:snapToGrid w:val="0"/>
          <w:vertAlign w:val="superscript"/>
        </w:rPr>
        <w:t>3</w:t>
      </w:r>
      <w:r>
        <w:rPr>
          <w:rFonts w:hint="eastAsia"/>
          <w:snapToGrid w:val="0"/>
        </w:rPr>
        <w:t>/d，已建成投产运行，二期规模为2万m</w:t>
      </w:r>
      <w:r>
        <w:rPr>
          <w:rFonts w:hint="eastAsia"/>
          <w:snapToGrid w:val="0"/>
          <w:vertAlign w:val="superscript"/>
        </w:rPr>
        <w:t>3</w:t>
      </w:r>
      <w:r>
        <w:rPr>
          <w:rFonts w:hint="eastAsia"/>
          <w:snapToGrid w:val="0"/>
        </w:rPr>
        <w:t>/d，尚未开始二期扩建工程，已提上日程。</w:t>
      </w:r>
      <w:r>
        <w:rPr>
          <w:snapToGrid w:val="0"/>
        </w:rPr>
        <w:t>根据</w:t>
      </w:r>
      <w:r>
        <w:rPr>
          <w:rFonts w:hint="eastAsia"/>
          <w:snapToGrid w:val="0"/>
        </w:rPr>
        <w:t>唐庄</w:t>
      </w:r>
      <w:r>
        <w:rPr>
          <w:snapToGrid w:val="0"/>
        </w:rPr>
        <w:t>污水处理厂202</w:t>
      </w:r>
      <w:r>
        <w:rPr>
          <w:rFonts w:hint="eastAsia"/>
          <w:snapToGrid w:val="0"/>
        </w:rPr>
        <w:t>4</w:t>
      </w:r>
      <w:r>
        <w:rPr>
          <w:snapToGrid w:val="0"/>
        </w:rPr>
        <w:t>年</w:t>
      </w:r>
      <w:r>
        <w:rPr>
          <w:rFonts w:hint="eastAsia"/>
          <w:snapToGrid w:val="0"/>
        </w:rPr>
        <w:t>1</w:t>
      </w:r>
      <w:r>
        <w:rPr>
          <w:snapToGrid w:val="0"/>
        </w:rPr>
        <w:t>-</w:t>
      </w:r>
      <w:r>
        <w:rPr>
          <w:rFonts w:hint="eastAsia"/>
          <w:snapToGrid w:val="0"/>
        </w:rPr>
        <w:t>6</w:t>
      </w:r>
      <w:r>
        <w:rPr>
          <w:snapToGrid w:val="0"/>
        </w:rPr>
        <w:t>月在线监测数据可知，</w:t>
      </w:r>
      <w:r>
        <w:rPr>
          <w:rFonts w:hint="eastAsia"/>
          <w:snapToGrid w:val="0"/>
        </w:rPr>
        <w:t>唐庄</w:t>
      </w:r>
      <w:r>
        <w:rPr>
          <w:snapToGrid w:val="0"/>
        </w:rPr>
        <w:t>污水处理厂废水量均值为</w:t>
      </w:r>
      <w:r>
        <w:rPr>
          <w:rFonts w:hint="eastAsia"/>
          <w:snapToGrid w:val="0"/>
        </w:rPr>
        <w:t>1.18</w:t>
      </w:r>
      <w:r>
        <w:rPr>
          <w:snapToGrid w:val="0"/>
        </w:rPr>
        <w:t>万m</w:t>
      </w:r>
      <w:r>
        <w:rPr>
          <w:snapToGrid w:val="0"/>
          <w:vertAlign w:val="superscript"/>
        </w:rPr>
        <w:t>3</w:t>
      </w:r>
      <w:r>
        <w:rPr>
          <w:snapToGrid w:val="0"/>
        </w:rPr>
        <w:t>/d。</w:t>
      </w:r>
      <w:r>
        <w:rPr>
          <w:rFonts w:hint="eastAsia"/>
          <w:snapToGrid w:val="0"/>
          <w:u w:val="single"/>
        </w:rPr>
        <w:t>唐庄</w:t>
      </w:r>
      <w:r>
        <w:rPr>
          <w:snapToGrid w:val="0"/>
          <w:u w:val="single"/>
        </w:rPr>
        <w:t>污水处理厂剩余处理能力为</w:t>
      </w:r>
      <w:r>
        <w:rPr>
          <w:rFonts w:hint="eastAsia"/>
          <w:snapToGrid w:val="0"/>
          <w:u w:val="single"/>
        </w:rPr>
        <w:t>0.82</w:t>
      </w:r>
      <w:r>
        <w:rPr>
          <w:snapToGrid w:val="0"/>
          <w:u w:val="single"/>
        </w:rPr>
        <w:t>万m</w:t>
      </w:r>
      <w:r>
        <w:rPr>
          <w:snapToGrid w:val="0"/>
          <w:u w:val="single"/>
          <w:vertAlign w:val="superscript"/>
        </w:rPr>
        <w:t>3</w:t>
      </w:r>
      <w:r>
        <w:rPr>
          <w:snapToGrid w:val="0"/>
          <w:u w:val="single"/>
        </w:rPr>
        <w:t>/d。本项目外排废水最大量为</w:t>
      </w:r>
      <w:r>
        <w:rPr>
          <w:rFonts w:hint="eastAsia"/>
          <w:bCs/>
          <w:szCs w:val="24"/>
          <w:u w:val="single"/>
        </w:rPr>
        <w:t>8.77</w:t>
      </w:r>
      <w:r>
        <w:rPr>
          <w:bCs/>
          <w:szCs w:val="24"/>
          <w:u w:val="single"/>
        </w:rPr>
        <w:t>m</w:t>
      </w:r>
      <w:r>
        <w:rPr>
          <w:bCs/>
          <w:szCs w:val="24"/>
          <w:u w:val="single"/>
          <w:vertAlign w:val="superscript"/>
        </w:rPr>
        <w:t>3</w:t>
      </w:r>
      <w:r>
        <w:rPr>
          <w:bCs/>
          <w:szCs w:val="24"/>
          <w:u w:val="single"/>
        </w:rPr>
        <w:t>/d</w:t>
      </w:r>
      <w:r>
        <w:rPr>
          <w:snapToGrid w:val="0"/>
          <w:u w:val="single"/>
        </w:rPr>
        <w:t>，仅占污水处理厂剩余处理能力的0.</w:t>
      </w:r>
      <w:r>
        <w:rPr>
          <w:rFonts w:hint="eastAsia"/>
          <w:snapToGrid w:val="0"/>
          <w:u w:val="single"/>
        </w:rPr>
        <w:t>1</w:t>
      </w:r>
      <w:r>
        <w:rPr>
          <w:snapToGrid w:val="0"/>
          <w:u w:val="single"/>
        </w:rPr>
        <w:t>%，满足项目处理的需要，不会对污水处理厂造成冲击，可以稳定达标排放。</w:t>
      </w:r>
    </w:p>
    <w:p w14:paraId="7F80DE06">
      <w:pPr>
        <w:ind w:firstLine="480"/>
        <w:rPr>
          <w:snapToGrid w:val="0"/>
        </w:rPr>
      </w:pPr>
      <w:r>
        <w:rPr>
          <w:rFonts w:hint="eastAsia"/>
          <w:snapToGrid w:val="0"/>
        </w:rPr>
        <w:t>iv</w:t>
      </w:r>
      <w:r>
        <w:rPr>
          <w:snapToGrid w:val="0"/>
        </w:rPr>
        <w:t>）水质</w:t>
      </w:r>
    </w:p>
    <w:p w14:paraId="0DD28E7C">
      <w:pPr>
        <w:ind w:firstLine="480"/>
        <w:rPr>
          <w:snapToGrid w:val="0"/>
        </w:rPr>
      </w:pPr>
      <w:r>
        <w:rPr>
          <w:snapToGrid w:val="0"/>
        </w:rPr>
        <w:t>本项目</w:t>
      </w:r>
      <w:r>
        <w:rPr>
          <w:rFonts w:hint="eastAsia"/>
          <w:snapToGrid w:val="0"/>
        </w:rPr>
        <w:t>厂区总排口废水</w:t>
      </w:r>
      <w:r>
        <w:rPr>
          <w:snapToGrid w:val="0"/>
        </w:rPr>
        <w:t>水质与</w:t>
      </w:r>
      <w:r>
        <w:rPr>
          <w:rFonts w:hint="eastAsia"/>
          <w:snapToGrid w:val="0"/>
        </w:rPr>
        <w:t>唐庄</w:t>
      </w:r>
      <w:r>
        <w:rPr>
          <w:snapToGrid w:val="0"/>
        </w:rPr>
        <w:t>污水处理厂收水水质对比见下表。</w:t>
      </w:r>
    </w:p>
    <w:p w14:paraId="61B0D9BA">
      <w:pPr>
        <w:pStyle w:val="64"/>
        <w:numPr>
          <w:ilvl w:val="2"/>
          <w:numId w:val="27"/>
        </w:numPr>
        <w:spacing w:before="120"/>
        <w:ind w:left="0" w:firstLine="480" w:firstLineChars="200"/>
      </w:pPr>
      <w:r>
        <w:rPr>
          <w:rFonts w:hint="eastAsia"/>
        </w:rPr>
        <w:t xml:space="preserve">  </w:t>
      </w:r>
      <w:r>
        <w:t>项目</w:t>
      </w:r>
      <w:r>
        <w:rPr>
          <w:rFonts w:hint="eastAsia"/>
        </w:rPr>
        <w:t>厂区总排口</w:t>
      </w:r>
      <w:r>
        <w:t>与</w:t>
      </w:r>
      <w:r>
        <w:rPr>
          <w:rFonts w:hint="eastAsia"/>
        </w:rPr>
        <w:t>唐庄</w:t>
      </w:r>
      <w:r>
        <w:t>污水处理厂收水水质对比  单位：</w:t>
      </w:r>
      <w:r>
        <w:rPr>
          <w:rFonts w:hint="eastAsia"/>
        </w:rPr>
        <w:t>m</w:t>
      </w:r>
      <w:r>
        <w:t>g/L</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05"/>
        <w:gridCol w:w="669"/>
        <w:gridCol w:w="775"/>
        <w:gridCol w:w="785"/>
        <w:gridCol w:w="1019"/>
        <w:gridCol w:w="685"/>
        <w:gridCol w:w="567"/>
        <w:gridCol w:w="568"/>
        <w:gridCol w:w="568"/>
        <w:gridCol w:w="791"/>
      </w:tblGrid>
      <w:tr w14:paraId="1DC3C0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589D94A1">
            <w:pPr>
              <w:pStyle w:val="67"/>
              <w:adjustRightInd w:val="0"/>
              <w:snapToGrid w:val="0"/>
              <w:rPr>
                <w:rFonts w:cs="Times New Roman"/>
                <w:color w:val="auto"/>
                <w:kern w:val="0"/>
                <w:u w:val="single"/>
              </w:rPr>
            </w:pPr>
            <w:r>
              <w:rPr>
                <w:rFonts w:cs="Times New Roman"/>
                <w:color w:val="auto"/>
                <w:kern w:val="0"/>
                <w:u w:val="single"/>
              </w:rPr>
              <w:t>项目</w:t>
            </w:r>
          </w:p>
        </w:tc>
        <w:tc>
          <w:tcPr>
            <w:tcW w:w="403" w:type="pct"/>
            <w:vAlign w:val="center"/>
          </w:tcPr>
          <w:p w14:paraId="305BB915">
            <w:pPr>
              <w:pStyle w:val="67"/>
              <w:adjustRightInd w:val="0"/>
              <w:snapToGrid w:val="0"/>
              <w:rPr>
                <w:rFonts w:cs="Times New Roman"/>
                <w:color w:val="auto"/>
                <w:u w:val="single"/>
              </w:rPr>
            </w:pPr>
            <w:r>
              <w:rPr>
                <w:rFonts w:cs="Times New Roman"/>
                <w:color w:val="auto"/>
                <w:u w:val="single"/>
              </w:rPr>
              <w:t>pH</w:t>
            </w:r>
          </w:p>
        </w:tc>
        <w:tc>
          <w:tcPr>
            <w:tcW w:w="467" w:type="pct"/>
            <w:vAlign w:val="center"/>
          </w:tcPr>
          <w:p w14:paraId="33918AAD">
            <w:pPr>
              <w:pStyle w:val="67"/>
              <w:adjustRightInd w:val="0"/>
              <w:snapToGrid w:val="0"/>
              <w:rPr>
                <w:rFonts w:cs="Times New Roman"/>
                <w:color w:val="auto"/>
                <w:u w:val="single"/>
              </w:rPr>
            </w:pPr>
            <w:r>
              <w:rPr>
                <w:rFonts w:hint="eastAsia"/>
                <w:bCs/>
                <w:color w:val="auto"/>
                <w:szCs w:val="21"/>
                <w:u w:val="single"/>
              </w:rPr>
              <w:t>色度（倍）</w:t>
            </w:r>
          </w:p>
        </w:tc>
        <w:tc>
          <w:tcPr>
            <w:tcW w:w="473" w:type="pct"/>
            <w:vAlign w:val="center"/>
          </w:tcPr>
          <w:p w14:paraId="49D8373D">
            <w:pPr>
              <w:pStyle w:val="67"/>
              <w:adjustRightInd w:val="0"/>
              <w:snapToGrid w:val="0"/>
              <w:rPr>
                <w:rFonts w:cs="Times New Roman"/>
                <w:color w:val="auto"/>
                <w:u w:val="single"/>
              </w:rPr>
            </w:pPr>
            <w:r>
              <w:rPr>
                <w:rFonts w:cs="Times New Roman"/>
                <w:color w:val="auto"/>
                <w:u w:val="single"/>
              </w:rPr>
              <w:t>COD</w:t>
            </w:r>
          </w:p>
        </w:tc>
        <w:tc>
          <w:tcPr>
            <w:tcW w:w="613" w:type="pct"/>
            <w:vAlign w:val="center"/>
          </w:tcPr>
          <w:p w14:paraId="06CC0C7C">
            <w:pPr>
              <w:pStyle w:val="67"/>
              <w:adjustRightInd w:val="0"/>
              <w:snapToGrid w:val="0"/>
              <w:rPr>
                <w:rFonts w:cs="Times New Roman"/>
                <w:color w:val="auto"/>
                <w:u w:val="single"/>
              </w:rPr>
            </w:pPr>
            <w:r>
              <w:rPr>
                <w:rFonts w:cs="Times New Roman"/>
                <w:color w:val="auto"/>
                <w:szCs w:val="21"/>
                <w:u w:val="single"/>
              </w:rPr>
              <w:t>BOD</w:t>
            </w:r>
            <w:r>
              <w:rPr>
                <w:rFonts w:cs="Times New Roman"/>
                <w:color w:val="auto"/>
                <w:szCs w:val="21"/>
                <w:u w:val="single"/>
                <w:vertAlign w:val="subscript"/>
              </w:rPr>
              <w:t>5</w:t>
            </w:r>
          </w:p>
        </w:tc>
        <w:tc>
          <w:tcPr>
            <w:tcW w:w="413" w:type="pct"/>
            <w:vAlign w:val="center"/>
          </w:tcPr>
          <w:p w14:paraId="5D07A50C">
            <w:pPr>
              <w:pStyle w:val="67"/>
              <w:adjustRightInd w:val="0"/>
              <w:snapToGrid w:val="0"/>
              <w:rPr>
                <w:rFonts w:cs="Times New Roman"/>
                <w:color w:val="auto"/>
                <w:u w:val="single"/>
              </w:rPr>
            </w:pPr>
            <w:r>
              <w:rPr>
                <w:rFonts w:cs="Times New Roman"/>
                <w:color w:val="auto"/>
                <w:u w:val="single"/>
              </w:rPr>
              <w:t>NH</w:t>
            </w:r>
            <w:r>
              <w:rPr>
                <w:rFonts w:cs="Times New Roman"/>
                <w:color w:val="auto"/>
                <w:u w:val="single"/>
                <w:vertAlign w:val="subscript"/>
              </w:rPr>
              <w:t>3</w:t>
            </w:r>
            <w:r>
              <w:rPr>
                <w:rFonts w:cs="Times New Roman"/>
                <w:color w:val="auto"/>
                <w:u w:val="single"/>
              </w:rPr>
              <w:t>-N</w:t>
            </w:r>
          </w:p>
        </w:tc>
        <w:tc>
          <w:tcPr>
            <w:tcW w:w="342" w:type="pct"/>
            <w:vAlign w:val="center"/>
          </w:tcPr>
          <w:p w14:paraId="09539973">
            <w:pPr>
              <w:pStyle w:val="67"/>
              <w:adjustRightInd w:val="0"/>
              <w:snapToGrid w:val="0"/>
              <w:rPr>
                <w:rFonts w:cs="Times New Roman"/>
                <w:color w:val="auto"/>
                <w:u w:val="single"/>
              </w:rPr>
            </w:pPr>
            <w:r>
              <w:rPr>
                <w:rFonts w:cs="Times New Roman"/>
                <w:color w:val="auto"/>
                <w:u w:val="single"/>
              </w:rPr>
              <w:t>SS</w:t>
            </w:r>
          </w:p>
        </w:tc>
        <w:tc>
          <w:tcPr>
            <w:tcW w:w="342" w:type="pct"/>
            <w:vAlign w:val="center"/>
          </w:tcPr>
          <w:p w14:paraId="67328D51">
            <w:pPr>
              <w:pStyle w:val="67"/>
              <w:adjustRightInd w:val="0"/>
              <w:snapToGrid w:val="0"/>
              <w:rPr>
                <w:rFonts w:cs="Times New Roman"/>
                <w:color w:val="auto"/>
                <w:u w:val="single"/>
              </w:rPr>
            </w:pPr>
            <w:r>
              <w:rPr>
                <w:rFonts w:cs="Times New Roman"/>
                <w:color w:val="auto"/>
                <w:u w:val="single"/>
              </w:rPr>
              <w:t>TP</w:t>
            </w:r>
          </w:p>
        </w:tc>
        <w:tc>
          <w:tcPr>
            <w:tcW w:w="342" w:type="pct"/>
            <w:vAlign w:val="center"/>
          </w:tcPr>
          <w:p w14:paraId="196453A4">
            <w:pPr>
              <w:pStyle w:val="67"/>
              <w:adjustRightInd w:val="0"/>
              <w:snapToGrid w:val="0"/>
              <w:rPr>
                <w:rFonts w:cs="Times New Roman"/>
                <w:color w:val="auto"/>
                <w:u w:val="single"/>
              </w:rPr>
            </w:pPr>
            <w:r>
              <w:rPr>
                <w:rFonts w:cs="Times New Roman"/>
                <w:color w:val="auto"/>
                <w:u w:val="single"/>
              </w:rPr>
              <w:t>TN</w:t>
            </w:r>
          </w:p>
        </w:tc>
        <w:tc>
          <w:tcPr>
            <w:tcW w:w="476" w:type="pct"/>
            <w:vAlign w:val="center"/>
          </w:tcPr>
          <w:p w14:paraId="38E96DAE">
            <w:pPr>
              <w:pStyle w:val="67"/>
              <w:adjustRightInd w:val="0"/>
              <w:snapToGrid w:val="0"/>
              <w:rPr>
                <w:rFonts w:cs="Times New Roman"/>
                <w:color w:val="auto"/>
                <w:u w:val="single"/>
              </w:rPr>
            </w:pPr>
            <w:r>
              <w:rPr>
                <w:rFonts w:hint="eastAsia" w:cs="Times New Roman"/>
                <w:color w:val="auto"/>
                <w:u w:val="single"/>
              </w:rPr>
              <w:t>石油类</w:t>
            </w:r>
          </w:p>
        </w:tc>
      </w:tr>
      <w:tr w14:paraId="4DF66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79CA9548">
            <w:pPr>
              <w:pStyle w:val="62"/>
              <w:adjustRightInd w:val="0"/>
              <w:snapToGrid w:val="0"/>
              <w:contextualSpacing w:val="0"/>
              <w:rPr>
                <w:u w:val="single"/>
              </w:rPr>
            </w:pPr>
            <w:r>
              <w:rPr>
                <w:rFonts w:hint="eastAsia"/>
                <w:u w:val="single"/>
              </w:rPr>
              <w:t>厂区</w:t>
            </w:r>
            <w:r>
              <w:rPr>
                <w:u w:val="single"/>
              </w:rPr>
              <w:t>总排口</w:t>
            </w:r>
          </w:p>
        </w:tc>
        <w:tc>
          <w:tcPr>
            <w:tcW w:w="403" w:type="pct"/>
            <w:vAlign w:val="center"/>
          </w:tcPr>
          <w:p w14:paraId="6BCDD16E">
            <w:pPr>
              <w:pStyle w:val="62"/>
              <w:adjustRightInd w:val="0"/>
              <w:snapToGrid w:val="0"/>
              <w:contextualSpacing w:val="0"/>
              <w:rPr>
                <w:u w:val="single"/>
              </w:rPr>
            </w:pPr>
            <w:r>
              <w:rPr>
                <w:u w:val="single"/>
              </w:rPr>
              <w:t>6~9</w:t>
            </w:r>
          </w:p>
        </w:tc>
        <w:tc>
          <w:tcPr>
            <w:tcW w:w="467" w:type="pct"/>
            <w:vAlign w:val="center"/>
          </w:tcPr>
          <w:p w14:paraId="1D62E05E">
            <w:pPr>
              <w:pStyle w:val="62"/>
              <w:adjustRightInd w:val="0"/>
              <w:snapToGrid w:val="0"/>
              <w:contextualSpacing w:val="0"/>
              <w:rPr>
                <w:u w:val="single"/>
              </w:rPr>
            </w:pPr>
            <w:r>
              <w:rPr>
                <w:rFonts w:hint="eastAsia"/>
                <w:u w:val="single"/>
              </w:rPr>
              <w:t>60</w:t>
            </w:r>
          </w:p>
        </w:tc>
        <w:tc>
          <w:tcPr>
            <w:tcW w:w="473" w:type="pct"/>
            <w:vAlign w:val="center"/>
          </w:tcPr>
          <w:p w14:paraId="51E866EA">
            <w:pPr>
              <w:pStyle w:val="62"/>
              <w:adjustRightInd w:val="0"/>
              <w:snapToGrid w:val="0"/>
              <w:contextualSpacing w:val="0"/>
              <w:rPr>
                <w:highlight w:val="yellow"/>
                <w:u w:val="single"/>
              </w:rPr>
            </w:pPr>
            <w:r>
              <w:rPr>
                <w:rFonts w:hint="eastAsia"/>
                <w:u w:val="single"/>
              </w:rPr>
              <w:t>210</w:t>
            </w:r>
          </w:p>
        </w:tc>
        <w:tc>
          <w:tcPr>
            <w:tcW w:w="613" w:type="pct"/>
            <w:vAlign w:val="center"/>
          </w:tcPr>
          <w:p w14:paraId="5BC105E2">
            <w:pPr>
              <w:pStyle w:val="62"/>
              <w:adjustRightInd w:val="0"/>
              <w:snapToGrid w:val="0"/>
              <w:contextualSpacing w:val="0"/>
              <w:rPr>
                <w:highlight w:val="yellow"/>
                <w:u w:val="single"/>
              </w:rPr>
            </w:pPr>
            <w:r>
              <w:rPr>
                <w:rFonts w:hint="eastAsia"/>
                <w:u w:val="single"/>
              </w:rPr>
              <w:t>50.7</w:t>
            </w:r>
          </w:p>
        </w:tc>
        <w:tc>
          <w:tcPr>
            <w:tcW w:w="413" w:type="pct"/>
            <w:vAlign w:val="center"/>
          </w:tcPr>
          <w:p w14:paraId="170B9801">
            <w:pPr>
              <w:pStyle w:val="62"/>
              <w:adjustRightInd w:val="0"/>
              <w:snapToGrid w:val="0"/>
              <w:contextualSpacing w:val="0"/>
              <w:rPr>
                <w:highlight w:val="yellow"/>
                <w:u w:val="single"/>
              </w:rPr>
            </w:pPr>
            <w:r>
              <w:rPr>
                <w:rFonts w:hint="eastAsia"/>
                <w:u w:val="single"/>
              </w:rPr>
              <w:t>3.3</w:t>
            </w:r>
          </w:p>
        </w:tc>
        <w:tc>
          <w:tcPr>
            <w:tcW w:w="342" w:type="pct"/>
            <w:vAlign w:val="center"/>
          </w:tcPr>
          <w:p w14:paraId="32D31D3B">
            <w:pPr>
              <w:pStyle w:val="62"/>
              <w:adjustRightInd w:val="0"/>
              <w:snapToGrid w:val="0"/>
              <w:contextualSpacing w:val="0"/>
              <w:rPr>
                <w:highlight w:val="yellow"/>
                <w:u w:val="single"/>
              </w:rPr>
            </w:pPr>
            <w:r>
              <w:rPr>
                <w:rFonts w:hint="eastAsia"/>
                <w:u w:val="single"/>
              </w:rPr>
              <w:t>87.8</w:t>
            </w:r>
          </w:p>
        </w:tc>
        <w:tc>
          <w:tcPr>
            <w:tcW w:w="342" w:type="pct"/>
            <w:vAlign w:val="center"/>
          </w:tcPr>
          <w:p w14:paraId="6815231E">
            <w:pPr>
              <w:pStyle w:val="62"/>
              <w:adjustRightInd w:val="0"/>
              <w:snapToGrid w:val="0"/>
              <w:contextualSpacing w:val="0"/>
              <w:rPr>
                <w:highlight w:val="yellow"/>
                <w:u w:val="single"/>
              </w:rPr>
            </w:pPr>
            <w:r>
              <w:rPr>
                <w:rFonts w:hint="eastAsia"/>
                <w:u w:val="single"/>
              </w:rPr>
              <w:t>0.39</w:t>
            </w:r>
          </w:p>
        </w:tc>
        <w:tc>
          <w:tcPr>
            <w:tcW w:w="342" w:type="pct"/>
            <w:vAlign w:val="center"/>
          </w:tcPr>
          <w:p w14:paraId="0DF12911">
            <w:pPr>
              <w:pStyle w:val="62"/>
              <w:adjustRightInd w:val="0"/>
              <w:snapToGrid w:val="0"/>
              <w:contextualSpacing w:val="0"/>
              <w:rPr>
                <w:highlight w:val="yellow"/>
                <w:u w:val="single"/>
              </w:rPr>
            </w:pPr>
            <w:r>
              <w:rPr>
                <w:rFonts w:hint="eastAsia"/>
                <w:u w:val="single"/>
              </w:rPr>
              <w:t>6</w:t>
            </w:r>
          </w:p>
        </w:tc>
        <w:tc>
          <w:tcPr>
            <w:tcW w:w="476" w:type="pct"/>
            <w:vAlign w:val="center"/>
          </w:tcPr>
          <w:p w14:paraId="77C12B9E">
            <w:pPr>
              <w:pStyle w:val="62"/>
              <w:adjustRightInd w:val="0"/>
              <w:snapToGrid w:val="0"/>
              <w:contextualSpacing w:val="0"/>
              <w:rPr>
                <w:highlight w:val="yellow"/>
                <w:u w:val="single"/>
              </w:rPr>
            </w:pPr>
            <w:r>
              <w:rPr>
                <w:rFonts w:hint="eastAsia"/>
                <w:u w:val="single"/>
              </w:rPr>
              <w:t>4.4</w:t>
            </w:r>
          </w:p>
        </w:tc>
      </w:tr>
      <w:tr w14:paraId="70C5E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01D71340">
            <w:pPr>
              <w:pStyle w:val="62"/>
              <w:adjustRightInd w:val="0"/>
              <w:snapToGrid w:val="0"/>
              <w:contextualSpacing w:val="0"/>
              <w:rPr>
                <w:highlight w:val="yellow"/>
                <w:u w:val="single"/>
              </w:rPr>
            </w:pPr>
            <w:r>
              <w:rPr>
                <w:rFonts w:hint="eastAsia"/>
                <w:bCs/>
                <w:u w:val="single"/>
              </w:rPr>
              <w:t>唐庄</w:t>
            </w:r>
            <w:r>
              <w:rPr>
                <w:bCs/>
                <w:u w:val="single"/>
              </w:rPr>
              <w:t>污水处理厂收水标准</w:t>
            </w:r>
          </w:p>
        </w:tc>
        <w:tc>
          <w:tcPr>
            <w:tcW w:w="403" w:type="pct"/>
            <w:vAlign w:val="center"/>
          </w:tcPr>
          <w:p w14:paraId="330A261D">
            <w:pPr>
              <w:pStyle w:val="62"/>
              <w:adjustRightInd w:val="0"/>
              <w:snapToGrid w:val="0"/>
              <w:contextualSpacing w:val="0"/>
              <w:rPr>
                <w:highlight w:val="yellow"/>
                <w:u w:val="single"/>
              </w:rPr>
            </w:pPr>
            <w:r>
              <w:rPr>
                <w:u w:val="single"/>
              </w:rPr>
              <w:t>6～9</w:t>
            </w:r>
          </w:p>
        </w:tc>
        <w:tc>
          <w:tcPr>
            <w:tcW w:w="467" w:type="pct"/>
            <w:vAlign w:val="center"/>
          </w:tcPr>
          <w:p w14:paraId="3159E22D">
            <w:pPr>
              <w:pStyle w:val="62"/>
              <w:adjustRightInd w:val="0"/>
              <w:snapToGrid w:val="0"/>
              <w:contextualSpacing w:val="0"/>
              <w:rPr>
                <w:u w:val="single"/>
              </w:rPr>
            </w:pPr>
            <w:r>
              <w:rPr>
                <w:rFonts w:hint="eastAsia"/>
                <w:u w:val="single"/>
              </w:rPr>
              <w:t>/</w:t>
            </w:r>
          </w:p>
        </w:tc>
        <w:tc>
          <w:tcPr>
            <w:tcW w:w="473" w:type="pct"/>
            <w:vAlign w:val="center"/>
          </w:tcPr>
          <w:p w14:paraId="2764F24B">
            <w:pPr>
              <w:pStyle w:val="62"/>
              <w:adjustRightInd w:val="0"/>
              <w:snapToGrid w:val="0"/>
              <w:contextualSpacing w:val="0"/>
              <w:rPr>
                <w:highlight w:val="yellow"/>
                <w:u w:val="single"/>
              </w:rPr>
            </w:pPr>
            <w:r>
              <w:rPr>
                <w:rFonts w:hint="eastAsia"/>
                <w:u w:val="single"/>
              </w:rPr>
              <w:t>360</w:t>
            </w:r>
          </w:p>
        </w:tc>
        <w:tc>
          <w:tcPr>
            <w:tcW w:w="613" w:type="pct"/>
            <w:vAlign w:val="center"/>
          </w:tcPr>
          <w:p w14:paraId="66AFE3DC">
            <w:pPr>
              <w:pStyle w:val="62"/>
              <w:adjustRightInd w:val="0"/>
              <w:snapToGrid w:val="0"/>
              <w:contextualSpacing w:val="0"/>
              <w:rPr>
                <w:highlight w:val="yellow"/>
                <w:u w:val="single"/>
              </w:rPr>
            </w:pPr>
            <w:r>
              <w:rPr>
                <w:rFonts w:hint="eastAsia"/>
                <w:u w:val="single"/>
              </w:rPr>
              <w:t>200</w:t>
            </w:r>
          </w:p>
        </w:tc>
        <w:tc>
          <w:tcPr>
            <w:tcW w:w="413" w:type="pct"/>
            <w:vAlign w:val="center"/>
          </w:tcPr>
          <w:p w14:paraId="04C56D1B">
            <w:pPr>
              <w:pStyle w:val="62"/>
              <w:adjustRightInd w:val="0"/>
              <w:snapToGrid w:val="0"/>
              <w:contextualSpacing w:val="0"/>
              <w:rPr>
                <w:highlight w:val="yellow"/>
                <w:u w:val="single"/>
              </w:rPr>
            </w:pPr>
            <w:r>
              <w:rPr>
                <w:rFonts w:hint="eastAsia"/>
                <w:u w:val="single"/>
              </w:rPr>
              <w:t>30</w:t>
            </w:r>
          </w:p>
        </w:tc>
        <w:tc>
          <w:tcPr>
            <w:tcW w:w="342" w:type="pct"/>
            <w:vAlign w:val="center"/>
          </w:tcPr>
          <w:p w14:paraId="24F753CA">
            <w:pPr>
              <w:pStyle w:val="62"/>
              <w:adjustRightInd w:val="0"/>
              <w:snapToGrid w:val="0"/>
              <w:contextualSpacing w:val="0"/>
              <w:rPr>
                <w:highlight w:val="yellow"/>
                <w:u w:val="single"/>
              </w:rPr>
            </w:pPr>
            <w:r>
              <w:rPr>
                <w:rFonts w:hint="eastAsia"/>
                <w:u w:val="single"/>
              </w:rPr>
              <w:t>280</w:t>
            </w:r>
          </w:p>
        </w:tc>
        <w:tc>
          <w:tcPr>
            <w:tcW w:w="342" w:type="pct"/>
            <w:vAlign w:val="center"/>
          </w:tcPr>
          <w:p w14:paraId="3F5641F4">
            <w:pPr>
              <w:pStyle w:val="62"/>
              <w:adjustRightInd w:val="0"/>
              <w:snapToGrid w:val="0"/>
              <w:contextualSpacing w:val="0"/>
              <w:rPr>
                <w:highlight w:val="yellow"/>
                <w:u w:val="single"/>
              </w:rPr>
            </w:pPr>
            <w:r>
              <w:rPr>
                <w:rFonts w:hint="eastAsia"/>
                <w:u w:val="single"/>
              </w:rPr>
              <w:t>5</w:t>
            </w:r>
          </w:p>
        </w:tc>
        <w:tc>
          <w:tcPr>
            <w:tcW w:w="342" w:type="pct"/>
            <w:vAlign w:val="center"/>
          </w:tcPr>
          <w:p w14:paraId="6B2CF1C0">
            <w:pPr>
              <w:pStyle w:val="62"/>
              <w:adjustRightInd w:val="0"/>
              <w:snapToGrid w:val="0"/>
              <w:contextualSpacing w:val="0"/>
              <w:rPr>
                <w:highlight w:val="yellow"/>
                <w:u w:val="single"/>
              </w:rPr>
            </w:pPr>
            <w:r>
              <w:rPr>
                <w:rFonts w:hint="eastAsia"/>
                <w:u w:val="single"/>
              </w:rPr>
              <w:t>40</w:t>
            </w:r>
          </w:p>
        </w:tc>
        <w:tc>
          <w:tcPr>
            <w:tcW w:w="476" w:type="pct"/>
            <w:vAlign w:val="center"/>
          </w:tcPr>
          <w:p w14:paraId="364330DC">
            <w:pPr>
              <w:pStyle w:val="62"/>
              <w:adjustRightInd w:val="0"/>
              <w:snapToGrid w:val="0"/>
              <w:contextualSpacing w:val="0"/>
              <w:rPr>
                <w:u w:val="single"/>
              </w:rPr>
            </w:pPr>
            <w:r>
              <w:rPr>
                <w:rFonts w:hint="eastAsia"/>
                <w:u w:val="single"/>
              </w:rPr>
              <w:t>-</w:t>
            </w:r>
          </w:p>
        </w:tc>
      </w:tr>
      <w:tr w14:paraId="286B9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744C6B01">
            <w:pPr>
              <w:pStyle w:val="62"/>
              <w:adjustRightInd w:val="0"/>
              <w:snapToGrid w:val="0"/>
              <w:contextualSpacing w:val="0"/>
              <w:rPr>
                <w:caps/>
                <w:highlight w:val="yellow"/>
                <w:u w:val="single"/>
              </w:rPr>
            </w:pPr>
            <w:r>
              <w:rPr>
                <w:bCs/>
                <w:u w:val="single"/>
              </w:rPr>
              <w:t>《化工行业水污染物间接排放标准》（DB41/1</w:t>
            </w:r>
            <w:r>
              <w:rPr>
                <w:rFonts w:hint="eastAsia"/>
                <w:bCs/>
                <w:u w:val="single"/>
              </w:rPr>
              <w:t>135-2016</w:t>
            </w:r>
            <w:r>
              <w:rPr>
                <w:bCs/>
                <w:u w:val="single"/>
              </w:rPr>
              <w:t>）</w:t>
            </w:r>
          </w:p>
        </w:tc>
        <w:tc>
          <w:tcPr>
            <w:tcW w:w="403" w:type="pct"/>
            <w:vAlign w:val="center"/>
          </w:tcPr>
          <w:p w14:paraId="32B20677">
            <w:pPr>
              <w:pStyle w:val="62"/>
              <w:adjustRightInd w:val="0"/>
              <w:snapToGrid w:val="0"/>
              <w:contextualSpacing w:val="0"/>
              <w:rPr>
                <w:highlight w:val="yellow"/>
                <w:u w:val="single"/>
              </w:rPr>
            </w:pPr>
            <w:r>
              <w:rPr>
                <w:u w:val="single"/>
              </w:rPr>
              <w:t>6～9</w:t>
            </w:r>
          </w:p>
        </w:tc>
        <w:tc>
          <w:tcPr>
            <w:tcW w:w="467" w:type="pct"/>
            <w:vAlign w:val="center"/>
          </w:tcPr>
          <w:p w14:paraId="773224BA">
            <w:pPr>
              <w:pStyle w:val="62"/>
              <w:adjustRightInd w:val="0"/>
              <w:snapToGrid w:val="0"/>
              <w:contextualSpacing w:val="0"/>
              <w:rPr>
                <w:u w:val="single"/>
              </w:rPr>
            </w:pPr>
            <w:r>
              <w:rPr>
                <w:rFonts w:hint="eastAsia"/>
                <w:u w:val="single"/>
              </w:rPr>
              <w:t>/</w:t>
            </w:r>
          </w:p>
        </w:tc>
        <w:tc>
          <w:tcPr>
            <w:tcW w:w="473" w:type="pct"/>
            <w:vAlign w:val="center"/>
          </w:tcPr>
          <w:p w14:paraId="72AEDBDE">
            <w:pPr>
              <w:pStyle w:val="62"/>
              <w:adjustRightInd w:val="0"/>
              <w:snapToGrid w:val="0"/>
              <w:contextualSpacing w:val="0"/>
              <w:rPr>
                <w:caps/>
                <w:highlight w:val="yellow"/>
                <w:u w:val="single"/>
              </w:rPr>
            </w:pPr>
            <w:r>
              <w:rPr>
                <w:rFonts w:hint="eastAsia"/>
                <w:u w:val="single"/>
              </w:rPr>
              <w:t>300</w:t>
            </w:r>
          </w:p>
        </w:tc>
        <w:tc>
          <w:tcPr>
            <w:tcW w:w="613" w:type="pct"/>
            <w:vAlign w:val="center"/>
          </w:tcPr>
          <w:p w14:paraId="3935CF48">
            <w:pPr>
              <w:pStyle w:val="62"/>
              <w:adjustRightInd w:val="0"/>
              <w:snapToGrid w:val="0"/>
              <w:contextualSpacing w:val="0"/>
              <w:rPr>
                <w:caps/>
                <w:highlight w:val="yellow"/>
                <w:u w:val="single"/>
              </w:rPr>
            </w:pPr>
            <w:r>
              <w:rPr>
                <w:rFonts w:hint="eastAsia"/>
                <w:u w:val="single"/>
              </w:rPr>
              <w:t>150</w:t>
            </w:r>
          </w:p>
        </w:tc>
        <w:tc>
          <w:tcPr>
            <w:tcW w:w="413" w:type="pct"/>
            <w:vAlign w:val="center"/>
          </w:tcPr>
          <w:p w14:paraId="605DCBE7">
            <w:pPr>
              <w:pStyle w:val="62"/>
              <w:adjustRightInd w:val="0"/>
              <w:snapToGrid w:val="0"/>
              <w:contextualSpacing w:val="0"/>
              <w:rPr>
                <w:highlight w:val="yellow"/>
                <w:u w:val="single"/>
              </w:rPr>
            </w:pPr>
            <w:r>
              <w:rPr>
                <w:rFonts w:hint="eastAsia"/>
                <w:u w:val="single"/>
              </w:rPr>
              <w:t>30</w:t>
            </w:r>
          </w:p>
        </w:tc>
        <w:tc>
          <w:tcPr>
            <w:tcW w:w="342" w:type="pct"/>
            <w:vAlign w:val="center"/>
          </w:tcPr>
          <w:p w14:paraId="09645974">
            <w:pPr>
              <w:pStyle w:val="62"/>
              <w:adjustRightInd w:val="0"/>
              <w:snapToGrid w:val="0"/>
              <w:contextualSpacing w:val="0"/>
              <w:rPr>
                <w:caps/>
                <w:highlight w:val="yellow"/>
                <w:u w:val="single"/>
              </w:rPr>
            </w:pPr>
            <w:r>
              <w:rPr>
                <w:rFonts w:hint="eastAsia"/>
                <w:u w:val="single"/>
              </w:rPr>
              <w:t>150</w:t>
            </w:r>
          </w:p>
        </w:tc>
        <w:tc>
          <w:tcPr>
            <w:tcW w:w="342" w:type="pct"/>
            <w:vAlign w:val="center"/>
          </w:tcPr>
          <w:p w14:paraId="69C86645">
            <w:pPr>
              <w:pStyle w:val="62"/>
              <w:adjustRightInd w:val="0"/>
              <w:snapToGrid w:val="0"/>
              <w:contextualSpacing w:val="0"/>
              <w:rPr>
                <w:highlight w:val="yellow"/>
                <w:u w:val="single"/>
              </w:rPr>
            </w:pPr>
            <w:r>
              <w:rPr>
                <w:rFonts w:hint="eastAsia"/>
                <w:u w:val="single"/>
              </w:rPr>
              <w:t>5</w:t>
            </w:r>
          </w:p>
        </w:tc>
        <w:tc>
          <w:tcPr>
            <w:tcW w:w="342" w:type="pct"/>
            <w:vAlign w:val="center"/>
          </w:tcPr>
          <w:p w14:paraId="48084892">
            <w:pPr>
              <w:pStyle w:val="62"/>
              <w:adjustRightInd w:val="0"/>
              <w:snapToGrid w:val="0"/>
              <w:contextualSpacing w:val="0"/>
              <w:rPr>
                <w:highlight w:val="yellow"/>
                <w:u w:val="single"/>
              </w:rPr>
            </w:pPr>
            <w:r>
              <w:rPr>
                <w:rFonts w:hint="eastAsia"/>
                <w:u w:val="single"/>
              </w:rPr>
              <w:t>50</w:t>
            </w:r>
          </w:p>
        </w:tc>
        <w:tc>
          <w:tcPr>
            <w:tcW w:w="476" w:type="pct"/>
            <w:vAlign w:val="center"/>
          </w:tcPr>
          <w:p w14:paraId="00D4EB46">
            <w:pPr>
              <w:pStyle w:val="62"/>
              <w:adjustRightInd w:val="0"/>
              <w:snapToGrid w:val="0"/>
              <w:contextualSpacing w:val="0"/>
              <w:rPr>
                <w:u w:val="single"/>
              </w:rPr>
            </w:pPr>
            <w:r>
              <w:rPr>
                <w:rFonts w:hint="eastAsia"/>
                <w:u w:val="single"/>
              </w:rPr>
              <w:t>20</w:t>
            </w:r>
          </w:p>
        </w:tc>
      </w:tr>
      <w:tr w14:paraId="31C66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42216DDD">
            <w:pPr>
              <w:pStyle w:val="62"/>
              <w:adjustRightInd w:val="0"/>
              <w:snapToGrid w:val="0"/>
              <w:contextualSpacing w:val="0"/>
              <w:rPr>
                <w:u w:val="single"/>
              </w:rPr>
            </w:pPr>
            <w:r>
              <w:rPr>
                <w:u w:val="single"/>
              </w:rPr>
              <w:t>达标情况</w:t>
            </w:r>
          </w:p>
        </w:tc>
        <w:tc>
          <w:tcPr>
            <w:tcW w:w="403" w:type="pct"/>
            <w:vAlign w:val="center"/>
          </w:tcPr>
          <w:p w14:paraId="178086C0">
            <w:pPr>
              <w:pStyle w:val="62"/>
              <w:adjustRightInd w:val="0"/>
              <w:snapToGrid w:val="0"/>
              <w:contextualSpacing w:val="0"/>
              <w:rPr>
                <w:bCs/>
                <w:u w:val="single"/>
              </w:rPr>
            </w:pPr>
            <w:r>
              <w:rPr>
                <w:bCs/>
                <w:u w:val="single"/>
              </w:rPr>
              <w:t>达标</w:t>
            </w:r>
          </w:p>
        </w:tc>
        <w:tc>
          <w:tcPr>
            <w:tcW w:w="467" w:type="pct"/>
            <w:vAlign w:val="center"/>
          </w:tcPr>
          <w:p w14:paraId="4D494DDA">
            <w:pPr>
              <w:pStyle w:val="62"/>
              <w:adjustRightInd w:val="0"/>
              <w:snapToGrid w:val="0"/>
              <w:contextualSpacing w:val="0"/>
              <w:rPr>
                <w:bCs/>
                <w:u w:val="single"/>
              </w:rPr>
            </w:pPr>
            <w:r>
              <w:rPr>
                <w:bCs/>
                <w:u w:val="single"/>
              </w:rPr>
              <w:t>达标</w:t>
            </w:r>
          </w:p>
        </w:tc>
        <w:tc>
          <w:tcPr>
            <w:tcW w:w="473" w:type="pct"/>
            <w:vAlign w:val="center"/>
          </w:tcPr>
          <w:p w14:paraId="38BE2C3F">
            <w:pPr>
              <w:pStyle w:val="62"/>
              <w:adjustRightInd w:val="0"/>
              <w:snapToGrid w:val="0"/>
              <w:contextualSpacing w:val="0"/>
              <w:rPr>
                <w:u w:val="single"/>
              </w:rPr>
            </w:pPr>
            <w:r>
              <w:rPr>
                <w:bCs/>
                <w:u w:val="single"/>
              </w:rPr>
              <w:t>达标</w:t>
            </w:r>
          </w:p>
        </w:tc>
        <w:tc>
          <w:tcPr>
            <w:tcW w:w="613" w:type="pct"/>
            <w:vAlign w:val="center"/>
          </w:tcPr>
          <w:p w14:paraId="72B44513">
            <w:pPr>
              <w:pStyle w:val="62"/>
              <w:adjustRightInd w:val="0"/>
              <w:snapToGrid w:val="0"/>
              <w:contextualSpacing w:val="0"/>
              <w:rPr>
                <w:bCs/>
                <w:u w:val="single"/>
              </w:rPr>
            </w:pPr>
            <w:r>
              <w:rPr>
                <w:bCs/>
                <w:u w:val="single"/>
              </w:rPr>
              <w:t>达标</w:t>
            </w:r>
          </w:p>
        </w:tc>
        <w:tc>
          <w:tcPr>
            <w:tcW w:w="413" w:type="pct"/>
            <w:vAlign w:val="center"/>
          </w:tcPr>
          <w:p w14:paraId="08CAE217">
            <w:pPr>
              <w:pStyle w:val="62"/>
              <w:adjustRightInd w:val="0"/>
              <w:snapToGrid w:val="0"/>
              <w:contextualSpacing w:val="0"/>
              <w:rPr>
                <w:bCs/>
                <w:u w:val="single"/>
              </w:rPr>
            </w:pPr>
            <w:r>
              <w:rPr>
                <w:bCs/>
                <w:u w:val="single"/>
              </w:rPr>
              <w:t>达标</w:t>
            </w:r>
          </w:p>
        </w:tc>
        <w:tc>
          <w:tcPr>
            <w:tcW w:w="342" w:type="pct"/>
            <w:vAlign w:val="center"/>
          </w:tcPr>
          <w:p w14:paraId="6A504D51">
            <w:pPr>
              <w:pStyle w:val="62"/>
              <w:adjustRightInd w:val="0"/>
              <w:snapToGrid w:val="0"/>
              <w:contextualSpacing w:val="0"/>
              <w:rPr>
                <w:u w:val="single"/>
              </w:rPr>
            </w:pPr>
            <w:r>
              <w:rPr>
                <w:bCs/>
                <w:u w:val="single"/>
              </w:rPr>
              <w:t>达标</w:t>
            </w:r>
          </w:p>
        </w:tc>
        <w:tc>
          <w:tcPr>
            <w:tcW w:w="342" w:type="pct"/>
            <w:vAlign w:val="center"/>
          </w:tcPr>
          <w:p w14:paraId="25B308C6">
            <w:pPr>
              <w:pStyle w:val="62"/>
              <w:adjustRightInd w:val="0"/>
              <w:snapToGrid w:val="0"/>
              <w:contextualSpacing w:val="0"/>
              <w:rPr>
                <w:u w:val="single"/>
              </w:rPr>
            </w:pPr>
            <w:r>
              <w:rPr>
                <w:bCs/>
                <w:u w:val="single"/>
              </w:rPr>
              <w:t>达标</w:t>
            </w:r>
          </w:p>
        </w:tc>
        <w:tc>
          <w:tcPr>
            <w:tcW w:w="342" w:type="pct"/>
            <w:vAlign w:val="center"/>
          </w:tcPr>
          <w:p w14:paraId="6064606E">
            <w:pPr>
              <w:pStyle w:val="62"/>
              <w:adjustRightInd w:val="0"/>
              <w:snapToGrid w:val="0"/>
              <w:contextualSpacing w:val="0"/>
              <w:rPr>
                <w:bCs/>
                <w:u w:val="single"/>
              </w:rPr>
            </w:pPr>
            <w:r>
              <w:rPr>
                <w:bCs/>
                <w:u w:val="single"/>
              </w:rPr>
              <w:t>达标</w:t>
            </w:r>
          </w:p>
        </w:tc>
        <w:tc>
          <w:tcPr>
            <w:tcW w:w="476" w:type="pct"/>
            <w:vAlign w:val="center"/>
          </w:tcPr>
          <w:p w14:paraId="05D44743">
            <w:pPr>
              <w:pStyle w:val="62"/>
              <w:adjustRightInd w:val="0"/>
              <w:snapToGrid w:val="0"/>
              <w:contextualSpacing w:val="0"/>
              <w:rPr>
                <w:bCs/>
                <w:u w:val="single"/>
              </w:rPr>
            </w:pPr>
            <w:r>
              <w:rPr>
                <w:bCs/>
                <w:u w:val="single"/>
              </w:rPr>
              <w:t>达标</w:t>
            </w:r>
          </w:p>
        </w:tc>
      </w:tr>
    </w:tbl>
    <w:p w14:paraId="24BDBB0A">
      <w:pPr>
        <w:pStyle w:val="182"/>
        <w:rPr>
          <w:rFonts w:ascii="Times New Roman" w:hAnsi="Times New Roman" w:cs="Times New Roman"/>
          <w:color w:val="auto"/>
        </w:rPr>
      </w:pPr>
      <w:r>
        <w:rPr>
          <w:rFonts w:ascii="Times New Roman" w:hAnsi="Times New Roman" w:cs="Times New Roman"/>
          <w:color w:val="auto"/>
        </w:rPr>
        <w:t>由上表可知，本项目</w:t>
      </w:r>
      <w:r>
        <w:rPr>
          <w:rFonts w:hint="eastAsia" w:ascii="Times New Roman" w:hAnsi="Times New Roman" w:cs="Times New Roman"/>
          <w:color w:val="auto"/>
        </w:rPr>
        <w:t>厂区总排口废水</w:t>
      </w:r>
      <w:r>
        <w:rPr>
          <w:rFonts w:ascii="Times New Roman" w:hAnsi="Times New Roman" w:cs="Times New Roman"/>
          <w:color w:val="auto"/>
        </w:rPr>
        <w:t>水质能够满足</w:t>
      </w:r>
      <w:r>
        <w:rPr>
          <w:rFonts w:hint="eastAsia" w:ascii="Times New Roman" w:hAnsi="Times New Roman" w:cs="Times New Roman"/>
          <w:caps/>
          <w:color w:val="auto"/>
          <w:szCs w:val="21"/>
        </w:rPr>
        <w:t>唐庄</w:t>
      </w:r>
      <w:r>
        <w:rPr>
          <w:rFonts w:ascii="Times New Roman" w:hAnsi="Times New Roman" w:cs="Times New Roman"/>
          <w:caps/>
          <w:color w:val="auto"/>
          <w:szCs w:val="21"/>
        </w:rPr>
        <w:t>污水处理厂</w:t>
      </w:r>
      <w:r>
        <w:rPr>
          <w:rFonts w:ascii="Times New Roman" w:hAnsi="Times New Roman" w:cs="Times New Roman"/>
          <w:color w:val="auto"/>
        </w:rPr>
        <w:t>进水水质要求。评价认为本项目废水排放不会对</w:t>
      </w:r>
      <w:r>
        <w:rPr>
          <w:rFonts w:hint="eastAsia" w:ascii="Times New Roman" w:hAnsi="Times New Roman" w:cs="Times New Roman"/>
          <w:caps/>
          <w:color w:val="auto"/>
          <w:szCs w:val="21"/>
        </w:rPr>
        <w:t>唐庄</w:t>
      </w:r>
      <w:r>
        <w:rPr>
          <w:rFonts w:ascii="Times New Roman" w:hAnsi="Times New Roman" w:cs="Times New Roman"/>
          <w:caps/>
          <w:color w:val="auto"/>
          <w:szCs w:val="21"/>
        </w:rPr>
        <w:t>污水处理厂</w:t>
      </w:r>
      <w:r>
        <w:rPr>
          <w:rFonts w:ascii="Times New Roman" w:hAnsi="Times New Roman" w:cs="Times New Roman"/>
          <w:color w:val="auto"/>
        </w:rPr>
        <w:t>系统造成冲击或其他不利影响。</w:t>
      </w:r>
    </w:p>
    <w:p w14:paraId="1DBD34FE">
      <w:pPr>
        <w:ind w:firstLine="480"/>
        <w:rPr>
          <w:snapToGrid w:val="0"/>
        </w:rPr>
      </w:pPr>
      <w:r>
        <w:t>综上所述，本工程废水进入</w:t>
      </w:r>
      <w:r>
        <w:rPr>
          <w:rFonts w:hint="eastAsia"/>
          <w:caps/>
          <w:szCs w:val="21"/>
        </w:rPr>
        <w:t>唐庄</w:t>
      </w:r>
      <w:r>
        <w:rPr>
          <w:caps/>
          <w:szCs w:val="21"/>
        </w:rPr>
        <w:t>污水处理厂</w:t>
      </w:r>
      <w:r>
        <w:t>处理的方案可行。</w:t>
      </w:r>
    </w:p>
    <w:p w14:paraId="7EA6BD40">
      <w:pPr>
        <w:ind w:firstLine="480"/>
        <w:outlineLvl w:val="4"/>
        <w:rPr>
          <w:snapToGrid w:val="0"/>
        </w:rPr>
      </w:pPr>
      <w:r>
        <w:rPr>
          <w:snapToGrid w:val="0"/>
        </w:rPr>
        <w:t>（3）依托污水处理厂稳定达标排放分析</w:t>
      </w:r>
    </w:p>
    <w:p w14:paraId="5DB73D4E">
      <w:pPr>
        <w:ind w:firstLine="480"/>
        <w:rPr>
          <w:snapToGrid w:val="0"/>
          <w:highlight w:val="yellow"/>
        </w:rPr>
      </w:pPr>
      <w:r>
        <w:rPr>
          <w:snapToGrid w:val="0"/>
        </w:rPr>
        <w:t>本项目废水经</w:t>
      </w:r>
      <w:r>
        <w:rPr>
          <w:rFonts w:hint="eastAsia"/>
          <w:snapToGrid w:val="0"/>
        </w:rPr>
        <w:t>唐庄</w:t>
      </w:r>
      <w:r>
        <w:rPr>
          <w:snapToGrid w:val="0"/>
        </w:rPr>
        <w:t>污水处理厂处理后，最终汇入</w:t>
      </w:r>
      <w:r>
        <w:rPr>
          <w:rFonts w:hint="eastAsia"/>
          <w:snapToGrid w:val="0"/>
        </w:rPr>
        <w:t>共产主义渠</w:t>
      </w:r>
      <w:r>
        <w:rPr>
          <w:snapToGrid w:val="0"/>
        </w:rPr>
        <w:t>。根据</w:t>
      </w:r>
      <w:r>
        <w:rPr>
          <w:rFonts w:hint="eastAsia"/>
          <w:snapToGrid w:val="0"/>
        </w:rPr>
        <w:t>唐庄</w:t>
      </w:r>
      <w:r>
        <w:rPr>
          <w:snapToGrid w:val="0"/>
        </w:rPr>
        <w:t>污水处理厂202</w:t>
      </w:r>
      <w:r>
        <w:rPr>
          <w:rFonts w:hint="eastAsia"/>
          <w:snapToGrid w:val="0"/>
        </w:rPr>
        <w:t>4</w:t>
      </w:r>
      <w:r>
        <w:rPr>
          <w:snapToGrid w:val="0"/>
        </w:rPr>
        <w:t>年</w:t>
      </w:r>
      <w:r>
        <w:rPr>
          <w:rFonts w:hint="eastAsia"/>
          <w:snapToGrid w:val="0"/>
        </w:rPr>
        <w:t>1</w:t>
      </w:r>
      <w:r>
        <w:rPr>
          <w:snapToGrid w:val="0"/>
        </w:rPr>
        <w:t>-</w:t>
      </w:r>
      <w:r>
        <w:rPr>
          <w:rFonts w:hint="eastAsia"/>
          <w:snapToGrid w:val="0"/>
        </w:rPr>
        <w:t>6</w:t>
      </w:r>
      <w:r>
        <w:rPr>
          <w:snapToGrid w:val="0"/>
        </w:rPr>
        <w:t>月在线监测数据，出水数量及水质见下表。</w:t>
      </w:r>
    </w:p>
    <w:p w14:paraId="59B7B951">
      <w:pPr>
        <w:pStyle w:val="64"/>
        <w:numPr>
          <w:ilvl w:val="2"/>
          <w:numId w:val="27"/>
        </w:numPr>
        <w:spacing w:before="120"/>
        <w:ind w:left="0" w:firstLine="480" w:firstLineChars="200"/>
      </w:pPr>
      <w:r>
        <w:t xml:space="preserve">        </w:t>
      </w:r>
      <w:r>
        <w:rPr>
          <w:rFonts w:hint="eastAsia"/>
        </w:rPr>
        <w:t xml:space="preserve"> 唐庄</w:t>
      </w:r>
      <w:r>
        <w:t>污水处理厂出水一览表</w:t>
      </w:r>
    </w:p>
    <w:tbl>
      <w:tblPr>
        <w:tblStyle w:val="41"/>
        <w:tblpPr w:leftFromText="180" w:rightFromText="180" w:vertAnchor="text" w:tblpXSpec="center" w:tblpY="1"/>
        <w:tblOverlap w:val="never"/>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76"/>
        <w:gridCol w:w="1450"/>
        <w:gridCol w:w="1450"/>
        <w:gridCol w:w="1450"/>
        <w:gridCol w:w="1450"/>
        <w:gridCol w:w="1456"/>
      </w:tblGrid>
      <w:tr w14:paraId="73479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Merge w:val="restart"/>
            <w:noWrap/>
            <w:vAlign w:val="center"/>
          </w:tcPr>
          <w:p w14:paraId="784D4C69">
            <w:pPr>
              <w:spacing w:line="360" w:lineRule="exact"/>
              <w:ind w:firstLine="0" w:firstLineChars="0"/>
              <w:jc w:val="center"/>
              <w:rPr>
                <w:b/>
                <w:bCs/>
                <w:sz w:val="21"/>
                <w:szCs w:val="21"/>
              </w:rPr>
            </w:pPr>
            <w:r>
              <w:rPr>
                <w:b/>
                <w:bCs/>
                <w:sz w:val="21"/>
                <w:szCs w:val="21"/>
              </w:rPr>
              <w:t>时间</w:t>
            </w:r>
          </w:p>
        </w:tc>
        <w:tc>
          <w:tcPr>
            <w:tcW w:w="4354" w:type="pct"/>
            <w:gridSpan w:val="5"/>
            <w:vAlign w:val="center"/>
          </w:tcPr>
          <w:p w14:paraId="48795F3D">
            <w:pPr>
              <w:spacing w:line="360" w:lineRule="exact"/>
              <w:ind w:firstLine="0" w:firstLineChars="0"/>
              <w:jc w:val="center"/>
              <w:rPr>
                <w:b/>
                <w:bCs/>
                <w:sz w:val="21"/>
                <w:szCs w:val="21"/>
              </w:rPr>
            </w:pPr>
            <w:r>
              <w:rPr>
                <w:b/>
                <w:bCs/>
                <w:sz w:val="21"/>
                <w:szCs w:val="21"/>
              </w:rPr>
              <w:t>污水处理厂202</w:t>
            </w:r>
            <w:r>
              <w:rPr>
                <w:rFonts w:hint="eastAsia"/>
                <w:b/>
                <w:bCs/>
                <w:sz w:val="21"/>
                <w:szCs w:val="21"/>
              </w:rPr>
              <w:t>4</w:t>
            </w:r>
            <w:r>
              <w:rPr>
                <w:b/>
                <w:bCs/>
                <w:sz w:val="21"/>
                <w:szCs w:val="21"/>
              </w:rPr>
              <w:t>年</w:t>
            </w:r>
            <w:r>
              <w:rPr>
                <w:rFonts w:hint="eastAsia"/>
                <w:b/>
                <w:bCs/>
                <w:sz w:val="21"/>
                <w:szCs w:val="21"/>
              </w:rPr>
              <w:t>1</w:t>
            </w:r>
            <w:r>
              <w:rPr>
                <w:b/>
                <w:bCs/>
                <w:sz w:val="21"/>
                <w:szCs w:val="21"/>
              </w:rPr>
              <w:t>-</w:t>
            </w:r>
            <w:r>
              <w:rPr>
                <w:rFonts w:hint="eastAsia"/>
                <w:b/>
                <w:bCs/>
                <w:sz w:val="21"/>
                <w:szCs w:val="21"/>
              </w:rPr>
              <w:t>6</w:t>
            </w:r>
            <w:r>
              <w:rPr>
                <w:b/>
                <w:bCs/>
                <w:sz w:val="21"/>
                <w:szCs w:val="21"/>
              </w:rPr>
              <w:t>月运行情况</w:t>
            </w:r>
          </w:p>
        </w:tc>
      </w:tr>
      <w:tr w14:paraId="00163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Merge w:val="continue"/>
            <w:vAlign w:val="center"/>
          </w:tcPr>
          <w:p w14:paraId="1C0C8D91">
            <w:pPr>
              <w:widowControl/>
              <w:spacing w:line="360" w:lineRule="exact"/>
              <w:ind w:firstLine="0" w:firstLineChars="0"/>
              <w:jc w:val="center"/>
              <w:rPr>
                <w:b/>
                <w:bCs/>
                <w:sz w:val="21"/>
                <w:szCs w:val="21"/>
              </w:rPr>
            </w:pPr>
          </w:p>
        </w:tc>
        <w:tc>
          <w:tcPr>
            <w:tcW w:w="870" w:type="pct"/>
            <w:vAlign w:val="center"/>
          </w:tcPr>
          <w:p w14:paraId="289FBA09">
            <w:pPr>
              <w:widowControl/>
              <w:spacing w:line="360" w:lineRule="exact"/>
              <w:ind w:firstLine="0" w:firstLineChars="0"/>
              <w:jc w:val="center"/>
              <w:rPr>
                <w:b/>
                <w:bCs/>
                <w:sz w:val="21"/>
                <w:szCs w:val="21"/>
              </w:rPr>
            </w:pPr>
            <w:r>
              <w:rPr>
                <w:b/>
                <w:bCs/>
                <w:sz w:val="21"/>
                <w:szCs w:val="21"/>
              </w:rPr>
              <w:t>水量均值（m</w:t>
            </w:r>
            <w:r>
              <w:rPr>
                <w:b/>
                <w:bCs/>
                <w:sz w:val="21"/>
                <w:szCs w:val="21"/>
                <w:vertAlign w:val="superscript"/>
              </w:rPr>
              <w:t>3</w:t>
            </w:r>
            <w:r>
              <w:rPr>
                <w:b/>
                <w:bCs/>
                <w:sz w:val="21"/>
                <w:szCs w:val="21"/>
              </w:rPr>
              <w:t>/d）</w:t>
            </w:r>
          </w:p>
        </w:tc>
        <w:tc>
          <w:tcPr>
            <w:tcW w:w="870" w:type="pct"/>
            <w:noWrap/>
            <w:vAlign w:val="center"/>
          </w:tcPr>
          <w:p w14:paraId="12B0B441">
            <w:pPr>
              <w:widowControl/>
              <w:spacing w:line="360" w:lineRule="exact"/>
              <w:ind w:firstLine="0" w:firstLineChars="0"/>
              <w:jc w:val="center"/>
              <w:rPr>
                <w:b/>
                <w:bCs/>
                <w:sz w:val="21"/>
                <w:szCs w:val="21"/>
              </w:rPr>
            </w:pPr>
            <w:r>
              <w:rPr>
                <w:b/>
                <w:bCs/>
                <w:sz w:val="21"/>
                <w:szCs w:val="21"/>
              </w:rPr>
              <w:t>COD均值(mg/L)</w:t>
            </w:r>
          </w:p>
        </w:tc>
        <w:tc>
          <w:tcPr>
            <w:tcW w:w="870" w:type="pct"/>
            <w:noWrap/>
            <w:vAlign w:val="center"/>
          </w:tcPr>
          <w:p w14:paraId="1FFFD1F2">
            <w:pPr>
              <w:widowControl/>
              <w:spacing w:line="360" w:lineRule="exact"/>
              <w:ind w:firstLine="0" w:firstLineChars="0"/>
              <w:jc w:val="center"/>
              <w:rPr>
                <w:b/>
                <w:bCs/>
                <w:sz w:val="21"/>
                <w:szCs w:val="21"/>
              </w:rPr>
            </w:pPr>
            <w:r>
              <w:rPr>
                <w:b/>
                <w:bCs/>
                <w:sz w:val="21"/>
                <w:szCs w:val="21"/>
              </w:rPr>
              <w:t>氨氮均值(mg/L)</w:t>
            </w:r>
          </w:p>
        </w:tc>
        <w:tc>
          <w:tcPr>
            <w:tcW w:w="870" w:type="pct"/>
            <w:noWrap/>
            <w:vAlign w:val="center"/>
          </w:tcPr>
          <w:p w14:paraId="3425EA76">
            <w:pPr>
              <w:widowControl/>
              <w:spacing w:line="360" w:lineRule="exact"/>
              <w:ind w:firstLine="0" w:firstLineChars="0"/>
              <w:jc w:val="center"/>
              <w:rPr>
                <w:b/>
                <w:bCs/>
                <w:sz w:val="21"/>
                <w:szCs w:val="21"/>
              </w:rPr>
            </w:pPr>
            <w:r>
              <w:rPr>
                <w:b/>
                <w:bCs/>
                <w:sz w:val="21"/>
                <w:szCs w:val="21"/>
              </w:rPr>
              <w:t>总氮均值(mg/L)</w:t>
            </w:r>
          </w:p>
        </w:tc>
        <w:tc>
          <w:tcPr>
            <w:tcW w:w="874" w:type="pct"/>
            <w:noWrap/>
            <w:vAlign w:val="center"/>
          </w:tcPr>
          <w:p w14:paraId="2DA07787">
            <w:pPr>
              <w:widowControl/>
              <w:spacing w:line="360" w:lineRule="exact"/>
              <w:ind w:firstLine="0" w:firstLineChars="0"/>
              <w:jc w:val="center"/>
              <w:rPr>
                <w:b/>
                <w:bCs/>
                <w:sz w:val="21"/>
                <w:szCs w:val="21"/>
              </w:rPr>
            </w:pPr>
            <w:r>
              <w:rPr>
                <w:b/>
                <w:bCs/>
                <w:sz w:val="21"/>
                <w:szCs w:val="21"/>
              </w:rPr>
              <w:t>总磷均值(mg/L)</w:t>
            </w:r>
          </w:p>
        </w:tc>
      </w:tr>
      <w:tr w14:paraId="21648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6EEA31FA">
            <w:pPr>
              <w:widowControl/>
              <w:spacing w:line="360" w:lineRule="exact"/>
              <w:ind w:firstLine="0" w:firstLineChars="0"/>
              <w:jc w:val="center"/>
              <w:rPr>
                <w:sz w:val="21"/>
                <w:szCs w:val="21"/>
              </w:rPr>
            </w:pPr>
            <w:r>
              <w:rPr>
                <w:rFonts w:hint="eastAsia"/>
                <w:sz w:val="21"/>
                <w:szCs w:val="21"/>
              </w:rPr>
              <w:t>2024.1</w:t>
            </w:r>
          </w:p>
        </w:tc>
        <w:tc>
          <w:tcPr>
            <w:tcW w:w="870" w:type="pct"/>
            <w:noWrap/>
            <w:vAlign w:val="center"/>
          </w:tcPr>
          <w:p w14:paraId="298C253B">
            <w:pPr>
              <w:widowControl/>
              <w:spacing w:line="360" w:lineRule="exact"/>
              <w:ind w:firstLine="0" w:firstLineChars="0"/>
              <w:jc w:val="center"/>
              <w:rPr>
                <w:sz w:val="21"/>
                <w:szCs w:val="21"/>
              </w:rPr>
            </w:pPr>
            <w:r>
              <w:rPr>
                <w:rFonts w:hint="eastAsia"/>
                <w:sz w:val="21"/>
                <w:szCs w:val="21"/>
              </w:rPr>
              <w:t>10237.37</w:t>
            </w:r>
          </w:p>
        </w:tc>
        <w:tc>
          <w:tcPr>
            <w:tcW w:w="870" w:type="pct"/>
            <w:noWrap/>
            <w:vAlign w:val="bottom"/>
          </w:tcPr>
          <w:p w14:paraId="007D0ECC">
            <w:pPr>
              <w:widowControl/>
              <w:spacing w:line="360" w:lineRule="exact"/>
              <w:ind w:firstLine="0" w:firstLineChars="0"/>
              <w:jc w:val="center"/>
              <w:rPr>
                <w:sz w:val="21"/>
                <w:szCs w:val="21"/>
              </w:rPr>
            </w:pPr>
            <w:r>
              <w:rPr>
                <w:sz w:val="21"/>
                <w:szCs w:val="21"/>
              </w:rPr>
              <w:t>19.513</w:t>
            </w:r>
          </w:p>
        </w:tc>
        <w:tc>
          <w:tcPr>
            <w:tcW w:w="870" w:type="pct"/>
            <w:noWrap/>
            <w:vAlign w:val="bottom"/>
          </w:tcPr>
          <w:p w14:paraId="58AD4ABA">
            <w:pPr>
              <w:widowControl/>
              <w:spacing w:line="360" w:lineRule="exact"/>
              <w:ind w:firstLine="0" w:firstLineChars="0"/>
              <w:jc w:val="center"/>
              <w:rPr>
                <w:sz w:val="21"/>
                <w:szCs w:val="21"/>
              </w:rPr>
            </w:pPr>
            <w:r>
              <w:rPr>
                <w:sz w:val="21"/>
                <w:szCs w:val="21"/>
              </w:rPr>
              <w:t>0.419</w:t>
            </w:r>
          </w:p>
        </w:tc>
        <w:tc>
          <w:tcPr>
            <w:tcW w:w="870" w:type="pct"/>
            <w:noWrap/>
            <w:vAlign w:val="bottom"/>
          </w:tcPr>
          <w:p w14:paraId="0B189844">
            <w:pPr>
              <w:widowControl/>
              <w:spacing w:line="360" w:lineRule="exact"/>
              <w:ind w:firstLine="0" w:firstLineChars="0"/>
              <w:jc w:val="center"/>
              <w:rPr>
                <w:sz w:val="21"/>
                <w:szCs w:val="21"/>
              </w:rPr>
            </w:pPr>
            <w:r>
              <w:rPr>
                <w:sz w:val="21"/>
                <w:szCs w:val="21"/>
              </w:rPr>
              <w:t>4.458</w:t>
            </w:r>
          </w:p>
        </w:tc>
        <w:tc>
          <w:tcPr>
            <w:tcW w:w="874" w:type="pct"/>
            <w:noWrap/>
            <w:vAlign w:val="bottom"/>
          </w:tcPr>
          <w:p w14:paraId="49962DB6">
            <w:pPr>
              <w:widowControl/>
              <w:spacing w:line="360" w:lineRule="exact"/>
              <w:ind w:firstLine="0" w:firstLineChars="0"/>
              <w:jc w:val="center"/>
              <w:rPr>
                <w:sz w:val="21"/>
                <w:szCs w:val="21"/>
              </w:rPr>
            </w:pPr>
            <w:r>
              <w:rPr>
                <w:sz w:val="21"/>
                <w:szCs w:val="21"/>
              </w:rPr>
              <w:t>0.189</w:t>
            </w:r>
          </w:p>
        </w:tc>
      </w:tr>
      <w:tr w14:paraId="036DA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282D6D68">
            <w:pPr>
              <w:widowControl/>
              <w:spacing w:line="360" w:lineRule="exact"/>
              <w:ind w:firstLine="0" w:firstLineChars="0"/>
              <w:jc w:val="center"/>
              <w:rPr>
                <w:sz w:val="21"/>
                <w:szCs w:val="21"/>
              </w:rPr>
            </w:pPr>
            <w:r>
              <w:rPr>
                <w:rFonts w:hint="eastAsia"/>
                <w:sz w:val="21"/>
                <w:szCs w:val="21"/>
              </w:rPr>
              <w:t>2024.2</w:t>
            </w:r>
          </w:p>
        </w:tc>
        <w:tc>
          <w:tcPr>
            <w:tcW w:w="870" w:type="pct"/>
            <w:noWrap/>
            <w:vAlign w:val="center"/>
          </w:tcPr>
          <w:p w14:paraId="71CB07F1">
            <w:pPr>
              <w:widowControl/>
              <w:spacing w:line="360" w:lineRule="exact"/>
              <w:ind w:firstLine="0" w:firstLineChars="0"/>
              <w:jc w:val="center"/>
              <w:rPr>
                <w:sz w:val="21"/>
                <w:szCs w:val="21"/>
              </w:rPr>
            </w:pPr>
            <w:r>
              <w:rPr>
                <w:rFonts w:hint="eastAsia"/>
                <w:sz w:val="21"/>
                <w:szCs w:val="21"/>
              </w:rPr>
              <w:t>8878.51</w:t>
            </w:r>
          </w:p>
        </w:tc>
        <w:tc>
          <w:tcPr>
            <w:tcW w:w="870" w:type="pct"/>
            <w:noWrap/>
            <w:vAlign w:val="bottom"/>
          </w:tcPr>
          <w:p w14:paraId="14FCAE9A">
            <w:pPr>
              <w:widowControl/>
              <w:spacing w:line="360" w:lineRule="exact"/>
              <w:ind w:firstLine="0" w:firstLineChars="0"/>
              <w:jc w:val="center"/>
              <w:rPr>
                <w:sz w:val="21"/>
                <w:szCs w:val="21"/>
              </w:rPr>
            </w:pPr>
            <w:r>
              <w:rPr>
                <w:sz w:val="21"/>
                <w:szCs w:val="21"/>
              </w:rPr>
              <w:t>25.094</w:t>
            </w:r>
          </w:p>
        </w:tc>
        <w:tc>
          <w:tcPr>
            <w:tcW w:w="870" w:type="pct"/>
            <w:noWrap/>
            <w:vAlign w:val="bottom"/>
          </w:tcPr>
          <w:p w14:paraId="3CC2FBC6">
            <w:pPr>
              <w:widowControl/>
              <w:spacing w:line="360" w:lineRule="exact"/>
              <w:ind w:firstLine="0" w:firstLineChars="0"/>
              <w:jc w:val="center"/>
              <w:rPr>
                <w:sz w:val="21"/>
                <w:szCs w:val="21"/>
              </w:rPr>
            </w:pPr>
            <w:r>
              <w:rPr>
                <w:sz w:val="21"/>
                <w:szCs w:val="21"/>
              </w:rPr>
              <w:t>0.684</w:t>
            </w:r>
          </w:p>
        </w:tc>
        <w:tc>
          <w:tcPr>
            <w:tcW w:w="870" w:type="pct"/>
            <w:noWrap/>
            <w:vAlign w:val="bottom"/>
          </w:tcPr>
          <w:p w14:paraId="1F41ACC1">
            <w:pPr>
              <w:widowControl/>
              <w:spacing w:line="360" w:lineRule="exact"/>
              <w:ind w:firstLine="0" w:firstLineChars="0"/>
              <w:jc w:val="center"/>
              <w:rPr>
                <w:sz w:val="21"/>
                <w:szCs w:val="21"/>
              </w:rPr>
            </w:pPr>
            <w:r>
              <w:rPr>
                <w:sz w:val="21"/>
                <w:szCs w:val="21"/>
              </w:rPr>
              <w:t>5.159</w:t>
            </w:r>
          </w:p>
        </w:tc>
        <w:tc>
          <w:tcPr>
            <w:tcW w:w="874" w:type="pct"/>
            <w:noWrap/>
            <w:vAlign w:val="bottom"/>
          </w:tcPr>
          <w:p w14:paraId="358D2914">
            <w:pPr>
              <w:widowControl/>
              <w:spacing w:line="360" w:lineRule="exact"/>
              <w:ind w:firstLine="0" w:firstLineChars="0"/>
              <w:jc w:val="center"/>
              <w:rPr>
                <w:sz w:val="21"/>
                <w:szCs w:val="21"/>
              </w:rPr>
            </w:pPr>
            <w:r>
              <w:rPr>
                <w:sz w:val="21"/>
                <w:szCs w:val="21"/>
              </w:rPr>
              <w:t>0.226</w:t>
            </w:r>
          </w:p>
        </w:tc>
      </w:tr>
      <w:tr w14:paraId="2CE11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212925C1">
            <w:pPr>
              <w:widowControl/>
              <w:spacing w:line="360" w:lineRule="exact"/>
              <w:ind w:firstLine="0" w:firstLineChars="0"/>
              <w:jc w:val="center"/>
              <w:rPr>
                <w:sz w:val="21"/>
                <w:szCs w:val="21"/>
              </w:rPr>
            </w:pPr>
            <w:r>
              <w:rPr>
                <w:rFonts w:hint="eastAsia"/>
                <w:sz w:val="21"/>
                <w:szCs w:val="21"/>
              </w:rPr>
              <w:t>2024.3</w:t>
            </w:r>
          </w:p>
        </w:tc>
        <w:tc>
          <w:tcPr>
            <w:tcW w:w="870" w:type="pct"/>
            <w:noWrap/>
            <w:vAlign w:val="center"/>
          </w:tcPr>
          <w:p w14:paraId="429A220C">
            <w:pPr>
              <w:widowControl/>
              <w:spacing w:line="360" w:lineRule="exact"/>
              <w:ind w:firstLine="0" w:firstLineChars="0"/>
              <w:jc w:val="center"/>
              <w:rPr>
                <w:sz w:val="21"/>
                <w:szCs w:val="21"/>
              </w:rPr>
            </w:pPr>
            <w:r>
              <w:rPr>
                <w:rFonts w:hint="eastAsia"/>
                <w:sz w:val="21"/>
                <w:szCs w:val="21"/>
              </w:rPr>
              <w:t>11573.54</w:t>
            </w:r>
          </w:p>
        </w:tc>
        <w:tc>
          <w:tcPr>
            <w:tcW w:w="870" w:type="pct"/>
            <w:noWrap/>
            <w:vAlign w:val="bottom"/>
          </w:tcPr>
          <w:p w14:paraId="2E190465">
            <w:pPr>
              <w:widowControl/>
              <w:spacing w:line="360" w:lineRule="exact"/>
              <w:ind w:firstLine="0" w:firstLineChars="0"/>
              <w:jc w:val="center"/>
              <w:rPr>
                <w:sz w:val="21"/>
                <w:szCs w:val="21"/>
              </w:rPr>
            </w:pPr>
            <w:r>
              <w:rPr>
                <w:sz w:val="21"/>
                <w:szCs w:val="21"/>
              </w:rPr>
              <w:t>24.58</w:t>
            </w:r>
          </w:p>
        </w:tc>
        <w:tc>
          <w:tcPr>
            <w:tcW w:w="870" w:type="pct"/>
            <w:noWrap/>
            <w:vAlign w:val="bottom"/>
          </w:tcPr>
          <w:p w14:paraId="10CA6EF6">
            <w:pPr>
              <w:widowControl/>
              <w:spacing w:line="360" w:lineRule="exact"/>
              <w:ind w:firstLine="0" w:firstLineChars="0"/>
              <w:jc w:val="center"/>
              <w:rPr>
                <w:sz w:val="21"/>
                <w:szCs w:val="21"/>
              </w:rPr>
            </w:pPr>
            <w:r>
              <w:rPr>
                <w:sz w:val="21"/>
                <w:szCs w:val="21"/>
              </w:rPr>
              <w:t>0.864</w:t>
            </w:r>
          </w:p>
        </w:tc>
        <w:tc>
          <w:tcPr>
            <w:tcW w:w="870" w:type="pct"/>
            <w:noWrap/>
            <w:vAlign w:val="bottom"/>
          </w:tcPr>
          <w:p w14:paraId="410F85CB">
            <w:pPr>
              <w:widowControl/>
              <w:spacing w:line="360" w:lineRule="exact"/>
              <w:ind w:firstLine="0" w:firstLineChars="0"/>
              <w:jc w:val="center"/>
              <w:rPr>
                <w:sz w:val="21"/>
                <w:szCs w:val="21"/>
              </w:rPr>
            </w:pPr>
            <w:r>
              <w:rPr>
                <w:sz w:val="21"/>
                <w:szCs w:val="21"/>
              </w:rPr>
              <w:t>3.832</w:t>
            </w:r>
          </w:p>
        </w:tc>
        <w:tc>
          <w:tcPr>
            <w:tcW w:w="874" w:type="pct"/>
            <w:noWrap/>
            <w:vAlign w:val="bottom"/>
          </w:tcPr>
          <w:p w14:paraId="0B8C9FF4">
            <w:pPr>
              <w:widowControl/>
              <w:spacing w:line="360" w:lineRule="exact"/>
              <w:ind w:firstLine="0" w:firstLineChars="0"/>
              <w:jc w:val="center"/>
              <w:rPr>
                <w:sz w:val="21"/>
                <w:szCs w:val="21"/>
              </w:rPr>
            </w:pPr>
            <w:r>
              <w:rPr>
                <w:sz w:val="21"/>
                <w:szCs w:val="21"/>
              </w:rPr>
              <w:t>0.223</w:t>
            </w:r>
          </w:p>
        </w:tc>
      </w:tr>
      <w:tr w14:paraId="3A063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52AF3AFB">
            <w:pPr>
              <w:widowControl/>
              <w:spacing w:line="360" w:lineRule="exact"/>
              <w:ind w:firstLine="0" w:firstLineChars="0"/>
              <w:jc w:val="center"/>
              <w:rPr>
                <w:sz w:val="21"/>
                <w:szCs w:val="21"/>
              </w:rPr>
            </w:pPr>
            <w:r>
              <w:rPr>
                <w:rFonts w:hint="eastAsia"/>
                <w:sz w:val="21"/>
                <w:szCs w:val="21"/>
              </w:rPr>
              <w:t>2024.4</w:t>
            </w:r>
          </w:p>
        </w:tc>
        <w:tc>
          <w:tcPr>
            <w:tcW w:w="870" w:type="pct"/>
            <w:noWrap/>
            <w:vAlign w:val="center"/>
          </w:tcPr>
          <w:p w14:paraId="277685E1">
            <w:pPr>
              <w:widowControl/>
              <w:spacing w:line="360" w:lineRule="exact"/>
              <w:ind w:firstLine="0" w:firstLineChars="0"/>
              <w:jc w:val="center"/>
              <w:rPr>
                <w:sz w:val="21"/>
                <w:szCs w:val="21"/>
              </w:rPr>
            </w:pPr>
            <w:r>
              <w:rPr>
                <w:rFonts w:hint="eastAsia"/>
                <w:sz w:val="21"/>
                <w:szCs w:val="21"/>
              </w:rPr>
              <w:t>9938.91</w:t>
            </w:r>
          </w:p>
        </w:tc>
        <w:tc>
          <w:tcPr>
            <w:tcW w:w="870" w:type="pct"/>
            <w:noWrap/>
            <w:vAlign w:val="bottom"/>
          </w:tcPr>
          <w:p w14:paraId="08FAC249">
            <w:pPr>
              <w:widowControl/>
              <w:spacing w:line="360" w:lineRule="exact"/>
              <w:ind w:firstLine="0" w:firstLineChars="0"/>
              <w:jc w:val="center"/>
              <w:rPr>
                <w:sz w:val="21"/>
                <w:szCs w:val="21"/>
              </w:rPr>
            </w:pPr>
            <w:r>
              <w:rPr>
                <w:sz w:val="21"/>
                <w:szCs w:val="21"/>
              </w:rPr>
              <w:t>20.953</w:t>
            </w:r>
          </w:p>
        </w:tc>
        <w:tc>
          <w:tcPr>
            <w:tcW w:w="870" w:type="pct"/>
            <w:noWrap/>
            <w:vAlign w:val="bottom"/>
          </w:tcPr>
          <w:p w14:paraId="16FC312E">
            <w:pPr>
              <w:widowControl/>
              <w:spacing w:line="360" w:lineRule="exact"/>
              <w:ind w:firstLine="0" w:firstLineChars="0"/>
              <w:jc w:val="center"/>
              <w:rPr>
                <w:sz w:val="21"/>
                <w:szCs w:val="21"/>
              </w:rPr>
            </w:pPr>
            <w:r>
              <w:rPr>
                <w:sz w:val="21"/>
                <w:szCs w:val="21"/>
              </w:rPr>
              <w:t>0.28</w:t>
            </w:r>
          </w:p>
        </w:tc>
        <w:tc>
          <w:tcPr>
            <w:tcW w:w="870" w:type="pct"/>
            <w:noWrap/>
            <w:vAlign w:val="bottom"/>
          </w:tcPr>
          <w:p w14:paraId="63F77033">
            <w:pPr>
              <w:widowControl/>
              <w:spacing w:line="360" w:lineRule="exact"/>
              <w:ind w:firstLine="0" w:firstLineChars="0"/>
              <w:jc w:val="center"/>
              <w:rPr>
                <w:sz w:val="21"/>
                <w:szCs w:val="21"/>
              </w:rPr>
            </w:pPr>
            <w:r>
              <w:rPr>
                <w:sz w:val="21"/>
                <w:szCs w:val="21"/>
              </w:rPr>
              <w:t>6.953</w:t>
            </w:r>
          </w:p>
        </w:tc>
        <w:tc>
          <w:tcPr>
            <w:tcW w:w="874" w:type="pct"/>
            <w:noWrap/>
            <w:vAlign w:val="bottom"/>
          </w:tcPr>
          <w:p w14:paraId="2698411A">
            <w:pPr>
              <w:widowControl/>
              <w:spacing w:line="360" w:lineRule="exact"/>
              <w:ind w:firstLine="0" w:firstLineChars="0"/>
              <w:jc w:val="center"/>
              <w:rPr>
                <w:sz w:val="21"/>
                <w:szCs w:val="21"/>
              </w:rPr>
            </w:pPr>
            <w:r>
              <w:rPr>
                <w:sz w:val="21"/>
                <w:szCs w:val="21"/>
              </w:rPr>
              <w:t>0.223</w:t>
            </w:r>
          </w:p>
        </w:tc>
      </w:tr>
      <w:tr w14:paraId="66488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1C71C359">
            <w:pPr>
              <w:widowControl/>
              <w:spacing w:line="360" w:lineRule="exact"/>
              <w:ind w:firstLine="0" w:firstLineChars="0"/>
              <w:jc w:val="center"/>
              <w:rPr>
                <w:sz w:val="21"/>
                <w:szCs w:val="21"/>
              </w:rPr>
            </w:pPr>
            <w:r>
              <w:rPr>
                <w:rFonts w:hint="eastAsia"/>
                <w:sz w:val="21"/>
                <w:szCs w:val="21"/>
              </w:rPr>
              <w:t>2024.5</w:t>
            </w:r>
          </w:p>
        </w:tc>
        <w:tc>
          <w:tcPr>
            <w:tcW w:w="870" w:type="pct"/>
            <w:noWrap/>
            <w:vAlign w:val="center"/>
          </w:tcPr>
          <w:p w14:paraId="535FE620">
            <w:pPr>
              <w:widowControl/>
              <w:spacing w:line="360" w:lineRule="exact"/>
              <w:ind w:firstLine="0" w:firstLineChars="0"/>
              <w:jc w:val="center"/>
              <w:rPr>
                <w:sz w:val="21"/>
                <w:szCs w:val="21"/>
              </w:rPr>
            </w:pPr>
            <w:r>
              <w:rPr>
                <w:rFonts w:hint="eastAsia"/>
                <w:sz w:val="21"/>
                <w:szCs w:val="21"/>
              </w:rPr>
              <w:t>14635.69</w:t>
            </w:r>
          </w:p>
        </w:tc>
        <w:tc>
          <w:tcPr>
            <w:tcW w:w="870" w:type="pct"/>
            <w:noWrap/>
            <w:vAlign w:val="bottom"/>
          </w:tcPr>
          <w:p w14:paraId="210C4DB1">
            <w:pPr>
              <w:widowControl/>
              <w:spacing w:line="360" w:lineRule="exact"/>
              <w:ind w:firstLine="0" w:firstLineChars="0"/>
              <w:jc w:val="center"/>
              <w:rPr>
                <w:sz w:val="21"/>
                <w:szCs w:val="21"/>
              </w:rPr>
            </w:pPr>
            <w:r>
              <w:rPr>
                <w:sz w:val="21"/>
                <w:szCs w:val="21"/>
              </w:rPr>
              <w:t>16.673</w:t>
            </w:r>
          </w:p>
        </w:tc>
        <w:tc>
          <w:tcPr>
            <w:tcW w:w="870" w:type="pct"/>
            <w:noWrap/>
            <w:vAlign w:val="bottom"/>
          </w:tcPr>
          <w:p w14:paraId="700D40A3">
            <w:pPr>
              <w:widowControl/>
              <w:spacing w:line="360" w:lineRule="exact"/>
              <w:ind w:firstLine="0" w:firstLineChars="0"/>
              <w:jc w:val="center"/>
              <w:rPr>
                <w:sz w:val="21"/>
                <w:szCs w:val="21"/>
              </w:rPr>
            </w:pPr>
            <w:r>
              <w:rPr>
                <w:sz w:val="21"/>
                <w:szCs w:val="21"/>
              </w:rPr>
              <w:t>0.277</w:t>
            </w:r>
          </w:p>
        </w:tc>
        <w:tc>
          <w:tcPr>
            <w:tcW w:w="870" w:type="pct"/>
            <w:noWrap/>
            <w:vAlign w:val="bottom"/>
          </w:tcPr>
          <w:p w14:paraId="4775960A">
            <w:pPr>
              <w:widowControl/>
              <w:spacing w:line="360" w:lineRule="exact"/>
              <w:ind w:firstLine="0" w:firstLineChars="0"/>
              <w:jc w:val="center"/>
              <w:rPr>
                <w:sz w:val="21"/>
                <w:szCs w:val="21"/>
              </w:rPr>
            </w:pPr>
            <w:r>
              <w:rPr>
                <w:sz w:val="21"/>
                <w:szCs w:val="21"/>
              </w:rPr>
              <w:t>5.165</w:t>
            </w:r>
          </w:p>
        </w:tc>
        <w:tc>
          <w:tcPr>
            <w:tcW w:w="874" w:type="pct"/>
            <w:noWrap/>
            <w:vAlign w:val="bottom"/>
          </w:tcPr>
          <w:p w14:paraId="0509DBF9">
            <w:pPr>
              <w:widowControl/>
              <w:spacing w:line="360" w:lineRule="exact"/>
              <w:ind w:firstLine="0" w:firstLineChars="0"/>
              <w:jc w:val="center"/>
              <w:rPr>
                <w:sz w:val="21"/>
                <w:szCs w:val="21"/>
              </w:rPr>
            </w:pPr>
            <w:r>
              <w:rPr>
                <w:sz w:val="21"/>
                <w:szCs w:val="21"/>
              </w:rPr>
              <w:t>0.221</w:t>
            </w:r>
          </w:p>
        </w:tc>
      </w:tr>
      <w:tr w14:paraId="2CE03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076AE152">
            <w:pPr>
              <w:widowControl/>
              <w:spacing w:line="360" w:lineRule="exact"/>
              <w:ind w:firstLine="0" w:firstLineChars="0"/>
              <w:jc w:val="center"/>
              <w:rPr>
                <w:sz w:val="21"/>
                <w:szCs w:val="21"/>
              </w:rPr>
            </w:pPr>
            <w:r>
              <w:rPr>
                <w:rFonts w:hint="eastAsia"/>
                <w:sz w:val="21"/>
                <w:szCs w:val="21"/>
              </w:rPr>
              <w:t>2024.6</w:t>
            </w:r>
          </w:p>
        </w:tc>
        <w:tc>
          <w:tcPr>
            <w:tcW w:w="870" w:type="pct"/>
            <w:noWrap/>
            <w:vAlign w:val="center"/>
          </w:tcPr>
          <w:p w14:paraId="2A52C522">
            <w:pPr>
              <w:widowControl/>
              <w:spacing w:line="360" w:lineRule="exact"/>
              <w:ind w:firstLine="0" w:firstLineChars="0"/>
              <w:jc w:val="center"/>
              <w:rPr>
                <w:sz w:val="21"/>
                <w:szCs w:val="21"/>
              </w:rPr>
            </w:pPr>
            <w:r>
              <w:rPr>
                <w:rFonts w:hint="eastAsia"/>
                <w:sz w:val="21"/>
                <w:szCs w:val="21"/>
              </w:rPr>
              <w:t>15687.04</w:t>
            </w:r>
          </w:p>
        </w:tc>
        <w:tc>
          <w:tcPr>
            <w:tcW w:w="870" w:type="pct"/>
            <w:noWrap/>
            <w:vAlign w:val="bottom"/>
          </w:tcPr>
          <w:p w14:paraId="4461619F">
            <w:pPr>
              <w:widowControl/>
              <w:spacing w:line="360" w:lineRule="exact"/>
              <w:ind w:firstLine="0" w:firstLineChars="0"/>
              <w:jc w:val="center"/>
              <w:rPr>
                <w:sz w:val="21"/>
                <w:szCs w:val="21"/>
              </w:rPr>
            </w:pPr>
            <w:r>
              <w:rPr>
                <w:sz w:val="21"/>
                <w:szCs w:val="21"/>
              </w:rPr>
              <w:t>25.369</w:t>
            </w:r>
          </w:p>
        </w:tc>
        <w:tc>
          <w:tcPr>
            <w:tcW w:w="870" w:type="pct"/>
            <w:noWrap/>
            <w:vAlign w:val="bottom"/>
          </w:tcPr>
          <w:p w14:paraId="66EAFA69">
            <w:pPr>
              <w:widowControl/>
              <w:spacing w:line="360" w:lineRule="exact"/>
              <w:ind w:firstLine="0" w:firstLineChars="0"/>
              <w:jc w:val="center"/>
              <w:rPr>
                <w:sz w:val="21"/>
                <w:szCs w:val="21"/>
              </w:rPr>
            </w:pPr>
            <w:r>
              <w:rPr>
                <w:sz w:val="21"/>
                <w:szCs w:val="21"/>
              </w:rPr>
              <w:t>0.27</w:t>
            </w:r>
          </w:p>
        </w:tc>
        <w:tc>
          <w:tcPr>
            <w:tcW w:w="870" w:type="pct"/>
            <w:noWrap/>
            <w:vAlign w:val="bottom"/>
          </w:tcPr>
          <w:p w14:paraId="5F956C54">
            <w:pPr>
              <w:widowControl/>
              <w:spacing w:line="360" w:lineRule="exact"/>
              <w:ind w:firstLine="0" w:firstLineChars="0"/>
              <w:jc w:val="center"/>
              <w:rPr>
                <w:sz w:val="21"/>
                <w:szCs w:val="21"/>
              </w:rPr>
            </w:pPr>
            <w:r>
              <w:rPr>
                <w:sz w:val="21"/>
                <w:szCs w:val="21"/>
              </w:rPr>
              <w:t>3.772</w:t>
            </w:r>
          </w:p>
        </w:tc>
        <w:tc>
          <w:tcPr>
            <w:tcW w:w="874" w:type="pct"/>
            <w:noWrap/>
            <w:vAlign w:val="bottom"/>
          </w:tcPr>
          <w:p w14:paraId="0269B8B9">
            <w:pPr>
              <w:widowControl/>
              <w:spacing w:line="360" w:lineRule="exact"/>
              <w:ind w:firstLine="0" w:firstLineChars="0"/>
              <w:jc w:val="center"/>
              <w:rPr>
                <w:sz w:val="21"/>
                <w:szCs w:val="21"/>
              </w:rPr>
            </w:pPr>
            <w:r>
              <w:rPr>
                <w:sz w:val="21"/>
                <w:szCs w:val="21"/>
              </w:rPr>
              <w:t>0.225</w:t>
            </w:r>
          </w:p>
        </w:tc>
      </w:tr>
      <w:tr w14:paraId="13124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noWrap/>
            <w:vAlign w:val="center"/>
          </w:tcPr>
          <w:p w14:paraId="31534F49">
            <w:pPr>
              <w:widowControl/>
              <w:spacing w:line="360" w:lineRule="exact"/>
              <w:ind w:firstLine="0" w:firstLineChars="0"/>
              <w:jc w:val="center"/>
              <w:rPr>
                <w:sz w:val="21"/>
                <w:szCs w:val="21"/>
              </w:rPr>
            </w:pPr>
            <w:r>
              <w:rPr>
                <w:sz w:val="21"/>
                <w:szCs w:val="21"/>
              </w:rPr>
              <w:t>平均值</w:t>
            </w:r>
          </w:p>
        </w:tc>
        <w:tc>
          <w:tcPr>
            <w:tcW w:w="870" w:type="pct"/>
            <w:noWrap/>
            <w:vAlign w:val="center"/>
          </w:tcPr>
          <w:p w14:paraId="641579D6">
            <w:pPr>
              <w:widowControl/>
              <w:spacing w:line="360" w:lineRule="exact"/>
              <w:ind w:firstLine="0" w:firstLineChars="0"/>
              <w:jc w:val="center"/>
              <w:rPr>
                <w:sz w:val="21"/>
                <w:szCs w:val="21"/>
              </w:rPr>
            </w:pPr>
            <w:r>
              <w:rPr>
                <w:rFonts w:hint="eastAsia"/>
                <w:sz w:val="21"/>
                <w:szCs w:val="21"/>
              </w:rPr>
              <w:t>11825.177</w:t>
            </w:r>
          </w:p>
        </w:tc>
        <w:tc>
          <w:tcPr>
            <w:tcW w:w="870" w:type="pct"/>
            <w:noWrap/>
            <w:vAlign w:val="center"/>
          </w:tcPr>
          <w:p w14:paraId="26EFEA2D">
            <w:pPr>
              <w:widowControl/>
              <w:spacing w:line="360" w:lineRule="exact"/>
              <w:ind w:firstLine="0" w:firstLineChars="0"/>
              <w:jc w:val="center"/>
              <w:rPr>
                <w:sz w:val="21"/>
                <w:szCs w:val="21"/>
              </w:rPr>
            </w:pPr>
            <w:r>
              <w:rPr>
                <w:rFonts w:hint="eastAsia"/>
                <w:sz w:val="21"/>
                <w:szCs w:val="21"/>
              </w:rPr>
              <w:t>22.03</w:t>
            </w:r>
          </w:p>
        </w:tc>
        <w:tc>
          <w:tcPr>
            <w:tcW w:w="870" w:type="pct"/>
            <w:noWrap/>
            <w:vAlign w:val="center"/>
          </w:tcPr>
          <w:p w14:paraId="5CF7753F">
            <w:pPr>
              <w:widowControl/>
              <w:spacing w:line="360" w:lineRule="exact"/>
              <w:ind w:firstLine="0" w:firstLineChars="0"/>
              <w:jc w:val="center"/>
              <w:rPr>
                <w:sz w:val="21"/>
                <w:szCs w:val="21"/>
              </w:rPr>
            </w:pPr>
            <w:r>
              <w:rPr>
                <w:rFonts w:hint="eastAsia"/>
                <w:sz w:val="21"/>
                <w:szCs w:val="21"/>
              </w:rPr>
              <w:t>0.466</w:t>
            </w:r>
          </w:p>
        </w:tc>
        <w:tc>
          <w:tcPr>
            <w:tcW w:w="870" w:type="pct"/>
            <w:noWrap/>
            <w:vAlign w:val="center"/>
          </w:tcPr>
          <w:p w14:paraId="1C59D4DF">
            <w:pPr>
              <w:widowControl/>
              <w:spacing w:line="360" w:lineRule="exact"/>
              <w:ind w:firstLine="0" w:firstLineChars="0"/>
              <w:jc w:val="center"/>
              <w:rPr>
                <w:sz w:val="21"/>
                <w:szCs w:val="21"/>
              </w:rPr>
            </w:pPr>
            <w:r>
              <w:rPr>
                <w:rFonts w:hint="eastAsia"/>
                <w:sz w:val="21"/>
                <w:szCs w:val="21"/>
              </w:rPr>
              <w:t>4.89</w:t>
            </w:r>
          </w:p>
        </w:tc>
        <w:tc>
          <w:tcPr>
            <w:tcW w:w="874" w:type="pct"/>
            <w:noWrap/>
            <w:vAlign w:val="center"/>
          </w:tcPr>
          <w:p w14:paraId="3D482077">
            <w:pPr>
              <w:widowControl/>
              <w:spacing w:line="360" w:lineRule="exact"/>
              <w:ind w:firstLine="0" w:firstLineChars="0"/>
              <w:jc w:val="center"/>
              <w:rPr>
                <w:sz w:val="21"/>
                <w:szCs w:val="21"/>
              </w:rPr>
            </w:pPr>
            <w:r>
              <w:rPr>
                <w:rFonts w:hint="eastAsia"/>
                <w:sz w:val="21"/>
                <w:szCs w:val="21"/>
              </w:rPr>
              <w:t>0.218</w:t>
            </w:r>
          </w:p>
        </w:tc>
      </w:tr>
      <w:tr w14:paraId="642AB0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noWrap/>
            <w:vAlign w:val="center"/>
          </w:tcPr>
          <w:p w14:paraId="3FC3BEF9">
            <w:pPr>
              <w:widowControl/>
              <w:spacing w:line="360" w:lineRule="exact"/>
              <w:ind w:firstLine="0" w:firstLineChars="0"/>
              <w:jc w:val="center"/>
              <w:rPr>
                <w:sz w:val="21"/>
                <w:szCs w:val="21"/>
              </w:rPr>
            </w:pPr>
            <w:r>
              <w:rPr>
                <w:sz w:val="21"/>
                <w:szCs w:val="21"/>
              </w:rPr>
              <w:t>标准值</w:t>
            </w:r>
          </w:p>
        </w:tc>
        <w:tc>
          <w:tcPr>
            <w:tcW w:w="870" w:type="pct"/>
            <w:noWrap/>
            <w:vAlign w:val="center"/>
          </w:tcPr>
          <w:p w14:paraId="53821A91">
            <w:pPr>
              <w:widowControl/>
              <w:spacing w:line="360" w:lineRule="exact"/>
              <w:ind w:firstLine="0" w:firstLineChars="0"/>
              <w:jc w:val="center"/>
              <w:rPr>
                <w:sz w:val="21"/>
                <w:szCs w:val="21"/>
              </w:rPr>
            </w:pPr>
            <w:r>
              <w:rPr>
                <w:rFonts w:hint="eastAsia"/>
                <w:sz w:val="21"/>
                <w:szCs w:val="21"/>
              </w:rPr>
              <w:t>/</w:t>
            </w:r>
          </w:p>
        </w:tc>
        <w:tc>
          <w:tcPr>
            <w:tcW w:w="870" w:type="pct"/>
            <w:noWrap/>
            <w:vAlign w:val="center"/>
          </w:tcPr>
          <w:p w14:paraId="41420AC9">
            <w:pPr>
              <w:widowControl/>
              <w:spacing w:line="360" w:lineRule="exact"/>
              <w:ind w:firstLine="0" w:firstLineChars="0"/>
              <w:jc w:val="center"/>
              <w:rPr>
                <w:sz w:val="21"/>
                <w:szCs w:val="21"/>
              </w:rPr>
            </w:pPr>
            <w:r>
              <w:rPr>
                <w:rFonts w:hint="eastAsia"/>
                <w:sz w:val="21"/>
                <w:szCs w:val="21"/>
              </w:rPr>
              <w:t>40</w:t>
            </w:r>
          </w:p>
        </w:tc>
        <w:tc>
          <w:tcPr>
            <w:tcW w:w="870" w:type="pct"/>
            <w:noWrap/>
            <w:vAlign w:val="center"/>
          </w:tcPr>
          <w:p w14:paraId="1DA4A041">
            <w:pPr>
              <w:widowControl/>
              <w:spacing w:line="360" w:lineRule="exact"/>
              <w:ind w:firstLine="0" w:firstLineChars="0"/>
              <w:jc w:val="center"/>
              <w:rPr>
                <w:sz w:val="21"/>
                <w:szCs w:val="21"/>
              </w:rPr>
            </w:pPr>
            <w:r>
              <w:rPr>
                <w:rFonts w:hint="eastAsia"/>
                <w:sz w:val="21"/>
                <w:szCs w:val="21"/>
              </w:rPr>
              <w:t>2</w:t>
            </w:r>
          </w:p>
        </w:tc>
        <w:tc>
          <w:tcPr>
            <w:tcW w:w="870" w:type="pct"/>
            <w:noWrap/>
            <w:vAlign w:val="center"/>
          </w:tcPr>
          <w:p w14:paraId="4FA4B248">
            <w:pPr>
              <w:widowControl/>
              <w:spacing w:line="360" w:lineRule="exact"/>
              <w:ind w:firstLine="0" w:firstLineChars="0"/>
              <w:jc w:val="center"/>
              <w:rPr>
                <w:sz w:val="21"/>
                <w:szCs w:val="21"/>
              </w:rPr>
            </w:pPr>
            <w:r>
              <w:rPr>
                <w:rFonts w:hint="eastAsia"/>
                <w:sz w:val="21"/>
                <w:szCs w:val="21"/>
              </w:rPr>
              <w:t>15</w:t>
            </w:r>
          </w:p>
        </w:tc>
        <w:tc>
          <w:tcPr>
            <w:tcW w:w="874" w:type="pct"/>
            <w:noWrap/>
            <w:vAlign w:val="center"/>
          </w:tcPr>
          <w:p w14:paraId="7C5857BC">
            <w:pPr>
              <w:widowControl/>
              <w:spacing w:line="360" w:lineRule="exact"/>
              <w:ind w:firstLine="0" w:firstLineChars="0"/>
              <w:jc w:val="center"/>
              <w:rPr>
                <w:sz w:val="21"/>
                <w:szCs w:val="21"/>
              </w:rPr>
            </w:pPr>
            <w:r>
              <w:rPr>
                <w:rFonts w:hint="eastAsia"/>
                <w:sz w:val="21"/>
                <w:szCs w:val="21"/>
              </w:rPr>
              <w:t>0.4</w:t>
            </w:r>
          </w:p>
        </w:tc>
      </w:tr>
    </w:tbl>
    <w:p w14:paraId="1D3ED90C">
      <w:pPr>
        <w:ind w:firstLine="480"/>
      </w:pPr>
      <w:r>
        <w:rPr>
          <w:snapToGrid w:val="0"/>
        </w:rPr>
        <w:t>根据上表数据，</w:t>
      </w:r>
      <w:r>
        <w:rPr>
          <w:rFonts w:hint="eastAsia"/>
          <w:snapToGrid w:val="0"/>
        </w:rPr>
        <w:t>唐庄</w:t>
      </w:r>
      <w:r>
        <w:rPr>
          <w:snapToGrid w:val="0"/>
        </w:rPr>
        <w:t>污水处理厂出水水质能够满足</w:t>
      </w:r>
      <w:r>
        <w:rPr>
          <w:bCs/>
          <w:snapToGrid w:val="0"/>
        </w:rPr>
        <w:t>《城镇污水处理厂污染物排放标准》（GB18918-2002）的一级A标准</w:t>
      </w:r>
      <w:r>
        <w:rPr>
          <w:rFonts w:hint="eastAsia"/>
          <w:bCs/>
          <w:snapToGrid w:val="0"/>
        </w:rPr>
        <w:t>（</w:t>
      </w:r>
      <w:r>
        <w:rPr>
          <w:bCs/>
          <w:snapToGrid w:val="0"/>
        </w:rPr>
        <w:t>TN</w:t>
      </w:r>
      <w:r>
        <w:rPr>
          <w:rFonts w:hint="eastAsia"/>
          <w:bCs/>
          <w:snapToGrid w:val="0"/>
        </w:rPr>
        <w:t xml:space="preserve"> </w:t>
      </w:r>
      <w:r>
        <w:rPr>
          <w:bCs/>
          <w:snapToGrid w:val="0"/>
        </w:rPr>
        <w:t>15mg/L</w:t>
      </w:r>
      <w:r>
        <w:rPr>
          <w:rFonts w:hint="eastAsia"/>
          <w:bCs/>
          <w:snapToGrid w:val="0"/>
        </w:rPr>
        <w:t>）及</w:t>
      </w:r>
      <w:r>
        <w:rPr>
          <w:bCs/>
          <w:snapToGrid w:val="0"/>
        </w:rPr>
        <w:t>COD 40mg/L</w:t>
      </w:r>
      <w:r>
        <w:rPr>
          <w:rFonts w:hint="eastAsia"/>
          <w:bCs/>
          <w:snapToGrid w:val="0"/>
        </w:rPr>
        <w:t>、</w:t>
      </w:r>
      <w:r>
        <w:rPr>
          <w:bCs/>
          <w:snapToGrid w:val="0"/>
        </w:rPr>
        <w:t>氨氮2mg/L</w:t>
      </w:r>
      <w:r>
        <w:rPr>
          <w:rFonts w:hint="eastAsia"/>
          <w:bCs/>
          <w:snapToGrid w:val="0"/>
        </w:rPr>
        <w:t>、总磷0.4mg/L</w:t>
      </w:r>
      <w:r>
        <w:rPr>
          <w:bCs/>
          <w:snapToGrid w:val="0"/>
        </w:rPr>
        <w:t>的限值要求</w:t>
      </w:r>
      <w:r>
        <w:rPr>
          <w:rFonts w:hint="eastAsia"/>
          <w:snapToGrid w:val="0"/>
        </w:rPr>
        <w:t>。</w:t>
      </w:r>
    </w:p>
    <w:p w14:paraId="1D3ED90F">
      <w:pPr>
        <w:pStyle w:val="28"/>
        <w:spacing w:before="240" w:beforeLines="100" w:after="240" w:afterLines="100"/>
        <w:ind w:left="284"/>
        <w:outlineLvl w:val="2"/>
        <w:rPr>
          <w:rFonts w:eastAsia="楷体"/>
          <w:b/>
          <w:bCs/>
          <w:sz w:val="28"/>
          <w:szCs w:val="28"/>
        </w:rPr>
      </w:pPr>
      <w:r>
        <w:rPr>
          <w:rFonts w:eastAsia="楷体"/>
          <w:b/>
          <w:bCs/>
          <w:sz w:val="28"/>
          <w:szCs w:val="28"/>
        </w:rPr>
        <w:t>5.2.4地表水环境影响分析结论</w:t>
      </w:r>
    </w:p>
    <w:p w14:paraId="310599B4">
      <w:pPr>
        <w:pStyle w:val="2"/>
        <w:ind w:firstLine="480"/>
        <w:rPr>
          <w:rFonts w:eastAsiaTheme="minorEastAsia"/>
          <w:kern w:val="2"/>
          <w:szCs w:val="24"/>
        </w:rPr>
      </w:pPr>
      <w:r>
        <w:rPr>
          <w:rFonts w:hint="eastAsia" w:eastAsiaTheme="minorEastAsia"/>
          <w:kern w:val="2"/>
          <w:szCs w:val="24"/>
          <w:u w:val="single"/>
        </w:rPr>
        <w:t>本项目废水排放量为</w:t>
      </w:r>
      <w:r>
        <w:rPr>
          <w:rFonts w:hint="eastAsia"/>
          <w:bCs/>
          <w:szCs w:val="24"/>
          <w:u w:val="single"/>
        </w:rPr>
        <w:t>2192.5</w:t>
      </w:r>
      <w:r>
        <w:rPr>
          <w:bCs/>
          <w:szCs w:val="24"/>
          <w:u w:val="single"/>
        </w:rPr>
        <w:t>m</w:t>
      </w:r>
      <w:r>
        <w:rPr>
          <w:bCs/>
          <w:szCs w:val="24"/>
          <w:u w:val="single"/>
          <w:vertAlign w:val="superscript"/>
        </w:rPr>
        <w:t>3</w:t>
      </w:r>
      <w:r>
        <w:rPr>
          <w:bCs/>
          <w:szCs w:val="24"/>
          <w:u w:val="single"/>
        </w:rPr>
        <w:t>/a</w:t>
      </w:r>
      <w:r>
        <w:rPr>
          <w:rFonts w:hint="eastAsia" w:cs="宋体"/>
          <w:bCs/>
          <w:szCs w:val="24"/>
          <w:u w:val="single"/>
        </w:rPr>
        <w:t>（</w:t>
      </w:r>
      <w:r>
        <w:rPr>
          <w:rFonts w:hint="eastAsia"/>
          <w:bCs/>
          <w:szCs w:val="24"/>
          <w:u w:val="single"/>
        </w:rPr>
        <w:t>8.77</w:t>
      </w:r>
      <w:r>
        <w:rPr>
          <w:bCs/>
          <w:szCs w:val="24"/>
          <w:u w:val="single"/>
        </w:rPr>
        <w:t>m</w:t>
      </w:r>
      <w:r>
        <w:rPr>
          <w:bCs/>
          <w:szCs w:val="24"/>
          <w:u w:val="single"/>
          <w:vertAlign w:val="superscript"/>
        </w:rPr>
        <w:t>3</w:t>
      </w:r>
      <w:r>
        <w:rPr>
          <w:bCs/>
          <w:szCs w:val="24"/>
          <w:u w:val="single"/>
        </w:rPr>
        <w:t>/d）</w:t>
      </w:r>
      <w:r>
        <w:rPr>
          <w:rFonts w:hint="eastAsia" w:eastAsiaTheme="minorEastAsia"/>
          <w:kern w:val="2"/>
          <w:szCs w:val="24"/>
          <w:u w:val="single"/>
        </w:rPr>
        <w:t>，</w:t>
      </w:r>
      <w:r>
        <w:rPr>
          <w:rFonts w:hint="eastAsia" w:eastAsiaTheme="minorEastAsia"/>
          <w:kern w:val="2"/>
          <w:szCs w:val="24"/>
        </w:rPr>
        <w:t>厂区总排口废水水质为</w:t>
      </w:r>
      <w:r>
        <w:rPr>
          <w:rFonts w:hint="eastAsia"/>
          <w:bCs/>
          <w:u w:val="single"/>
        </w:rPr>
        <w:t>pH 6~9、COD 210mg/L、BOD</w:t>
      </w:r>
      <w:r>
        <w:rPr>
          <w:rFonts w:hint="eastAsia"/>
          <w:bCs/>
          <w:u w:val="single"/>
          <w:vertAlign w:val="subscript"/>
        </w:rPr>
        <w:t>5</w:t>
      </w:r>
      <w:r>
        <w:rPr>
          <w:rFonts w:hint="eastAsia"/>
          <w:bCs/>
          <w:u w:val="single"/>
        </w:rPr>
        <w:t xml:space="preserve"> 50.7mg/L、SS 87.8mg/L、NH</w:t>
      </w:r>
      <w:r>
        <w:rPr>
          <w:rFonts w:hint="eastAsia"/>
          <w:bCs/>
          <w:u w:val="single"/>
          <w:vertAlign w:val="subscript"/>
        </w:rPr>
        <w:t>3</w:t>
      </w:r>
      <w:r>
        <w:rPr>
          <w:rFonts w:hint="eastAsia"/>
          <w:bCs/>
          <w:u w:val="single"/>
        </w:rPr>
        <w:t>-N 3.3mg/L、TN 6mg/L、TP 0.39mg/L、石油类4.4mg/L、硫酸钠194mg/L，</w:t>
      </w:r>
      <w:r>
        <w:rPr>
          <w:rFonts w:hint="eastAsia" w:eastAsiaTheme="minorEastAsia"/>
          <w:bCs/>
          <w:kern w:val="2"/>
          <w:szCs w:val="24"/>
          <w:u w:val="single"/>
        </w:rPr>
        <w:t>能够满足</w:t>
      </w:r>
      <w:r>
        <w:rPr>
          <w:rFonts w:eastAsiaTheme="minorEastAsia"/>
          <w:bCs/>
          <w:kern w:val="2"/>
          <w:szCs w:val="24"/>
          <w:u w:val="single"/>
        </w:rPr>
        <w:t>《化工行业水污染物间接排放标准》（DB41/1</w:t>
      </w:r>
      <w:r>
        <w:rPr>
          <w:rFonts w:hint="eastAsia" w:eastAsiaTheme="minorEastAsia"/>
          <w:bCs/>
          <w:kern w:val="2"/>
          <w:szCs w:val="24"/>
          <w:u w:val="single"/>
        </w:rPr>
        <w:t>135-2016</w:t>
      </w:r>
      <w:r>
        <w:rPr>
          <w:rFonts w:eastAsiaTheme="minorEastAsia"/>
          <w:bCs/>
          <w:kern w:val="2"/>
          <w:szCs w:val="24"/>
          <w:u w:val="single"/>
        </w:rPr>
        <w:t>）</w:t>
      </w:r>
      <w:r>
        <w:rPr>
          <w:rFonts w:hint="eastAsia" w:eastAsiaTheme="minorEastAsia"/>
          <w:bCs/>
          <w:kern w:val="2"/>
          <w:szCs w:val="24"/>
          <w:u w:val="single"/>
        </w:rPr>
        <w:t>表1、表2间接排放限值要求（pH 6~9、COD 300mg/L、SS 150mg/L、NH</w:t>
      </w:r>
      <w:r>
        <w:rPr>
          <w:rFonts w:hint="eastAsia" w:eastAsiaTheme="minorEastAsia"/>
          <w:bCs/>
          <w:kern w:val="2"/>
          <w:szCs w:val="24"/>
          <w:u w:val="single"/>
          <w:vertAlign w:val="subscript"/>
        </w:rPr>
        <w:t>3</w:t>
      </w:r>
      <w:r>
        <w:rPr>
          <w:rFonts w:hint="eastAsia" w:eastAsiaTheme="minorEastAsia"/>
          <w:bCs/>
          <w:kern w:val="2"/>
          <w:szCs w:val="24"/>
          <w:u w:val="single"/>
        </w:rPr>
        <w:t>-N 30mg/L、TN 50mg/L、TP 5mg/L、石油类20</w:t>
      </w:r>
      <w:r>
        <w:rPr>
          <w:rFonts w:eastAsiaTheme="minorEastAsia"/>
          <w:bCs/>
          <w:kern w:val="2"/>
          <w:szCs w:val="24"/>
          <w:u w:val="single"/>
        </w:rPr>
        <w:t>mg/L</w:t>
      </w:r>
      <w:r>
        <w:rPr>
          <w:rFonts w:hint="eastAsia" w:eastAsiaTheme="minorEastAsia"/>
          <w:bCs/>
          <w:kern w:val="2"/>
          <w:szCs w:val="24"/>
          <w:u w:val="single"/>
        </w:rPr>
        <w:t>），同时满足唐庄</w:t>
      </w:r>
      <w:r>
        <w:rPr>
          <w:rFonts w:eastAsiaTheme="minorEastAsia"/>
          <w:bCs/>
          <w:kern w:val="2"/>
          <w:szCs w:val="24"/>
          <w:u w:val="single"/>
        </w:rPr>
        <w:t>污水处理厂收水标准</w:t>
      </w:r>
      <w:r>
        <w:rPr>
          <w:rFonts w:hint="eastAsia" w:eastAsiaTheme="minorEastAsia"/>
          <w:bCs/>
          <w:kern w:val="2"/>
          <w:szCs w:val="24"/>
          <w:u w:val="single"/>
        </w:rPr>
        <w:t>（pH 6~9、COD 360mg/L、BOD</w:t>
      </w:r>
      <w:r>
        <w:rPr>
          <w:rFonts w:hint="eastAsia" w:eastAsiaTheme="minorEastAsia"/>
          <w:bCs/>
          <w:kern w:val="2"/>
          <w:szCs w:val="24"/>
          <w:u w:val="single"/>
          <w:vertAlign w:val="subscript"/>
        </w:rPr>
        <w:t>5</w:t>
      </w:r>
      <w:r>
        <w:rPr>
          <w:rFonts w:hint="eastAsia" w:eastAsiaTheme="minorEastAsia"/>
          <w:bCs/>
          <w:kern w:val="2"/>
          <w:szCs w:val="24"/>
          <w:u w:val="single"/>
        </w:rPr>
        <w:t xml:space="preserve"> 200mg/L、SS 280mg/L、NH</w:t>
      </w:r>
      <w:r>
        <w:rPr>
          <w:rFonts w:hint="eastAsia" w:eastAsiaTheme="minorEastAsia"/>
          <w:bCs/>
          <w:kern w:val="2"/>
          <w:szCs w:val="24"/>
          <w:u w:val="single"/>
          <w:vertAlign w:val="subscript"/>
        </w:rPr>
        <w:t>3</w:t>
      </w:r>
      <w:r>
        <w:rPr>
          <w:rFonts w:hint="eastAsia" w:eastAsiaTheme="minorEastAsia"/>
          <w:bCs/>
          <w:kern w:val="2"/>
          <w:szCs w:val="24"/>
          <w:u w:val="single"/>
        </w:rPr>
        <w:t>-N 30mg/L、TN 40mg/L、TP 5mg/L）。</w:t>
      </w:r>
      <w:r>
        <w:rPr>
          <w:rFonts w:eastAsiaTheme="minorEastAsia"/>
          <w:kern w:val="2"/>
          <w:szCs w:val="24"/>
        </w:rPr>
        <w:t>项目排放废水量占</w:t>
      </w:r>
      <w:r>
        <w:rPr>
          <w:rFonts w:hint="eastAsia" w:eastAsiaTheme="minorEastAsia"/>
          <w:kern w:val="2"/>
          <w:szCs w:val="24"/>
        </w:rPr>
        <w:t>唐庄</w:t>
      </w:r>
      <w:r>
        <w:rPr>
          <w:rFonts w:eastAsiaTheme="minorEastAsia"/>
          <w:kern w:val="2"/>
          <w:szCs w:val="24"/>
        </w:rPr>
        <w:t>污水处理厂处理负</w:t>
      </w:r>
      <w:r>
        <w:rPr>
          <w:rFonts w:hint="eastAsia" w:eastAsiaTheme="minorEastAsia"/>
          <w:kern w:val="2"/>
          <w:szCs w:val="24"/>
        </w:rPr>
        <w:t>荷量比例较小、总处理量未超出设计处理负荷量，不会对唐庄污水处理厂的出水水质产生影响。因此评价认为：项目废水经处理后，对地表水环境的影响可接受。</w:t>
      </w:r>
    </w:p>
    <w:p w14:paraId="1D3ED914">
      <w:pPr>
        <w:pStyle w:val="2"/>
        <w:spacing w:after="0"/>
        <w:ind w:firstLine="480"/>
        <w:rPr>
          <w:szCs w:val="24"/>
        </w:rPr>
      </w:pPr>
      <w:r>
        <w:rPr>
          <w:rFonts w:eastAsiaTheme="minorEastAsia"/>
          <w:kern w:val="2"/>
          <w:szCs w:val="24"/>
        </w:rPr>
        <w:t>因此评价认为：项目废水经处理后，对地表水环境的影响可接受。</w:t>
      </w:r>
    </w:p>
    <w:p w14:paraId="58868D14">
      <w:pPr>
        <w:ind w:firstLine="480"/>
        <w:rPr>
          <w:szCs w:val="24"/>
          <w:highlight w:val="yellow"/>
        </w:rPr>
        <w:sectPr>
          <w:pgSz w:w="11906" w:h="16838"/>
          <w:pgMar w:top="1440" w:right="1797" w:bottom="1440" w:left="1797" w:header="851" w:footer="992" w:gutter="0"/>
          <w:cols w:space="720" w:num="1"/>
          <w:docGrid w:linePitch="312" w:charSpace="0"/>
        </w:sectPr>
      </w:pPr>
    </w:p>
    <w:p w14:paraId="1D3ED916">
      <w:pPr>
        <w:pStyle w:val="4"/>
      </w:pPr>
      <w:bookmarkStart w:id="301" w:name="_Toc176105871"/>
      <w:r>
        <w:t>地下水环境影响评价</w:t>
      </w:r>
      <w:bookmarkEnd w:id="301"/>
    </w:p>
    <w:p w14:paraId="1D3ED919">
      <w:pPr>
        <w:pStyle w:val="5"/>
        <w:spacing w:before="240" w:after="240"/>
      </w:pPr>
      <w:r>
        <w:t>评价等级确定</w:t>
      </w:r>
    </w:p>
    <w:p w14:paraId="1D3ED91A">
      <w:pPr>
        <w:ind w:firstLine="480"/>
      </w:pPr>
      <w:r>
        <w:t>根据《环境影响评价技术导则 地下水环境》（HJ 610-2016），地下水环境影响评价工作等级的划分应依据建设项目行业分类和地下水环境敏感程度分级进行判定。</w:t>
      </w:r>
    </w:p>
    <w:p w14:paraId="1D3ED91B">
      <w:pPr>
        <w:pStyle w:val="6"/>
        <w:ind w:left="0" w:firstLine="482" w:firstLineChars="200"/>
      </w:pPr>
      <w:r>
        <w:t>建设项目行业分类</w:t>
      </w:r>
    </w:p>
    <w:p w14:paraId="1BFA0891">
      <w:pPr>
        <w:ind w:firstLine="480"/>
      </w:pPr>
      <w:r>
        <w:t>根据《环境影响评价技术导则地下水环境》（HJ610-2016）建设项目对地下水环境影响的特征及分类，</w:t>
      </w:r>
      <w:r>
        <w:rPr>
          <w:rFonts w:hint="eastAsia"/>
        </w:rPr>
        <w:t>本项目属于“L石化、化工”中的“85、基本化学原料制造”，</w:t>
      </w:r>
      <w:r>
        <w:rPr>
          <w:bCs/>
        </w:rPr>
        <w:t>应编制环境影响报告书，</w:t>
      </w:r>
      <w:r>
        <w:rPr>
          <w:rFonts w:hint="eastAsia"/>
          <w:bCs/>
        </w:rPr>
        <w:t>属于I类建设项目。综上，本项目属于</w:t>
      </w:r>
      <w:r>
        <w:rPr>
          <w:bCs/>
        </w:rPr>
        <w:t>I类建设项目。本项目地下水环境影响评价行业分类见</w:t>
      </w:r>
      <w:r>
        <w:rPr>
          <w:rFonts w:hint="eastAsia"/>
          <w:bCs/>
        </w:rPr>
        <w:t>下</w:t>
      </w:r>
      <w:r>
        <w:rPr>
          <w:bCs/>
        </w:rPr>
        <w:t>表。</w:t>
      </w:r>
    </w:p>
    <w:p w14:paraId="62277578">
      <w:pPr>
        <w:pStyle w:val="64"/>
        <w:numPr>
          <w:ilvl w:val="0"/>
          <w:numId w:val="28"/>
        </w:numPr>
        <w:spacing w:before="120" w:after="161"/>
        <w:ind w:firstLineChars="0"/>
      </w:pPr>
      <w:r>
        <w:rPr>
          <w:rFonts w:hint="eastAsia"/>
        </w:rPr>
        <w:t xml:space="preserve">          地下水环境影响评价行业分类表</w:t>
      </w:r>
    </w:p>
    <w:tbl>
      <w:tblPr>
        <w:tblStyle w:val="41"/>
        <w:tblW w:w="894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2260"/>
        <w:gridCol w:w="3545"/>
        <w:gridCol w:w="1134"/>
        <w:gridCol w:w="852"/>
        <w:gridCol w:w="1156"/>
      </w:tblGrid>
      <w:tr w14:paraId="05CEE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263" w:type="pct"/>
            <w:vMerge w:val="restart"/>
            <w:tcBorders>
              <w:top w:val="single" w:color="auto" w:sz="8" w:space="0"/>
              <w:left w:val="single" w:color="auto" w:sz="8" w:space="0"/>
              <w:bottom w:val="single" w:color="auto" w:sz="4" w:space="0"/>
              <w:right w:val="single" w:color="auto" w:sz="4" w:space="0"/>
              <w:tl2br w:val="single" w:color="auto" w:sz="4" w:space="0"/>
            </w:tcBorders>
            <w:vAlign w:val="center"/>
          </w:tcPr>
          <w:p w14:paraId="1ED271C9">
            <w:pPr>
              <w:spacing w:line="240" w:lineRule="auto"/>
              <w:ind w:firstLine="0" w:firstLineChars="0"/>
              <w:jc w:val="center"/>
              <w:rPr>
                <w:b/>
                <w:bCs/>
                <w:sz w:val="21"/>
                <w:szCs w:val="21"/>
              </w:rPr>
            </w:pPr>
            <w:r>
              <w:rPr>
                <w:b/>
                <w:bCs/>
                <w:sz w:val="21"/>
                <w:szCs w:val="21"/>
              </w:rPr>
              <w:t xml:space="preserve">           环评类别</w:t>
            </w:r>
          </w:p>
          <w:p w14:paraId="0A63E2CC">
            <w:pPr>
              <w:spacing w:line="240" w:lineRule="auto"/>
              <w:ind w:firstLine="0" w:firstLineChars="0"/>
              <w:rPr>
                <w:b/>
                <w:bCs/>
                <w:sz w:val="21"/>
                <w:szCs w:val="21"/>
              </w:rPr>
            </w:pPr>
            <w:r>
              <w:rPr>
                <w:b/>
                <w:bCs/>
                <w:sz w:val="21"/>
                <w:szCs w:val="21"/>
              </w:rPr>
              <w:t>项目类别</w:t>
            </w:r>
          </w:p>
        </w:tc>
        <w:tc>
          <w:tcPr>
            <w:tcW w:w="1981" w:type="pct"/>
            <w:vMerge w:val="restart"/>
            <w:tcBorders>
              <w:top w:val="single" w:color="auto" w:sz="8" w:space="0"/>
              <w:left w:val="single" w:color="auto" w:sz="4" w:space="0"/>
              <w:bottom w:val="single" w:color="auto" w:sz="4" w:space="0"/>
              <w:right w:val="single" w:color="auto" w:sz="4" w:space="0"/>
            </w:tcBorders>
            <w:vAlign w:val="center"/>
          </w:tcPr>
          <w:p w14:paraId="3500571F">
            <w:pPr>
              <w:spacing w:line="240" w:lineRule="auto"/>
              <w:ind w:firstLine="0" w:firstLineChars="0"/>
              <w:jc w:val="center"/>
              <w:rPr>
                <w:b/>
                <w:bCs/>
                <w:sz w:val="21"/>
                <w:szCs w:val="21"/>
              </w:rPr>
            </w:pPr>
            <w:r>
              <w:rPr>
                <w:b/>
                <w:bCs/>
                <w:sz w:val="21"/>
                <w:szCs w:val="21"/>
              </w:rPr>
              <w:t>报告书</w:t>
            </w:r>
          </w:p>
        </w:tc>
        <w:tc>
          <w:tcPr>
            <w:tcW w:w="634" w:type="pct"/>
            <w:vMerge w:val="restart"/>
            <w:tcBorders>
              <w:top w:val="single" w:color="auto" w:sz="8" w:space="0"/>
              <w:left w:val="single" w:color="auto" w:sz="4" w:space="0"/>
              <w:bottom w:val="single" w:color="auto" w:sz="4" w:space="0"/>
              <w:right w:val="single" w:color="auto" w:sz="4" w:space="0"/>
            </w:tcBorders>
            <w:vAlign w:val="center"/>
          </w:tcPr>
          <w:p w14:paraId="691AFDC7">
            <w:pPr>
              <w:spacing w:line="240" w:lineRule="auto"/>
              <w:ind w:firstLine="0" w:firstLineChars="0"/>
              <w:jc w:val="center"/>
              <w:rPr>
                <w:b/>
                <w:bCs/>
                <w:sz w:val="21"/>
                <w:szCs w:val="21"/>
              </w:rPr>
            </w:pPr>
            <w:r>
              <w:rPr>
                <w:b/>
                <w:bCs/>
                <w:sz w:val="21"/>
                <w:szCs w:val="21"/>
              </w:rPr>
              <w:t>报告表</w:t>
            </w:r>
          </w:p>
        </w:tc>
        <w:tc>
          <w:tcPr>
            <w:tcW w:w="1122" w:type="pct"/>
            <w:gridSpan w:val="2"/>
            <w:tcBorders>
              <w:top w:val="single" w:color="auto" w:sz="8" w:space="0"/>
              <w:left w:val="single" w:color="auto" w:sz="4" w:space="0"/>
              <w:bottom w:val="single" w:color="auto" w:sz="4" w:space="0"/>
              <w:right w:val="single" w:color="auto" w:sz="8" w:space="0"/>
            </w:tcBorders>
            <w:vAlign w:val="center"/>
          </w:tcPr>
          <w:p w14:paraId="4B869A00">
            <w:pPr>
              <w:spacing w:line="240" w:lineRule="auto"/>
              <w:ind w:firstLine="0" w:firstLineChars="0"/>
              <w:jc w:val="center"/>
              <w:rPr>
                <w:b/>
                <w:bCs/>
                <w:sz w:val="21"/>
                <w:szCs w:val="21"/>
              </w:rPr>
            </w:pPr>
            <w:r>
              <w:rPr>
                <w:b/>
                <w:bCs/>
                <w:sz w:val="21"/>
                <w:szCs w:val="21"/>
              </w:rPr>
              <w:t>地下水环境影响评价项目类别</w:t>
            </w:r>
          </w:p>
        </w:tc>
      </w:tr>
      <w:tr w14:paraId="29473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263" w:type="pct"/>
            <w:vMerge w:val="continue"/>
            <w:tcBorders>
              <w:top w:val="single" w:color="auto" w:sz="4" w:space="0"/>
              <w:left w:val="single" w:color="auto" w:sz="8" w:space="0"/>
              <w:bottom w:val="single" w:color="auto" w:sz="4" w:space="0"/>
              <w:right w:val="single" w:color="auto" w:sz="4" w:space="0"/>
            </w:tcBorders>
            <w:vAlign w:val="center"/>
          </w:tcPr>
          <w:p w14:paraId="6CD8A176">
            <w:pPr>
              <w:widowControl/>
              <w:spacing w:line="240" w:lineRule="auto"/>
              <w:ind w:firstLine="0" w:firstLineChars="0"/>
              <w:jc w:val="center"/>
              <w:rPr>
                <w:b/>
                <w:bCs/>
                <w:sz w:val="21"/>
                <w:szCs w:val="21"/>
              </w:rPr>
            </w:pPr>
          </w:p>
        </w:tc>
        <w:tc>
          <w:tcPr>
            <w:tcW w:w="1981" w:type="pct"/>
            <w:vMerge w:val="continue"/>
            <w:tcBorders>
              <w:top w:val="single" w:color="auto" w:sz="4" w:space="0"/>
              <w:left w:val="single" w:color="auto" w:sz="4" w:space="0"/>
              <w:bottom w:val="single" w:color="auto" w:sz="4" w:space="0"/>
              <w:right w:val="single" w:color="auto" w:sz="4" w:space="0"/>
            </w:tcBorders>
            <w:vAlign w:val="center"/>
          </w:tcPr>
          <w:p w14:paraId="4DB71272">
            <w:pPr>
              <w:widowControl/>
              <w:spacing w:line="240" w:lineRule="auto"/>
              <w:ind w:firstLine="0" w:firstLineChars="0"/>
              <w:jc w:val="center"/>
              <w:rPr>
                <w:b/>
                <w:bCs/>
                <w:sz w:val="21"/>
                <w:szCs w:val="21"/>
              </w:rPr>
            </w:pPr>
          </w:p>
        </w:tc>
        <w:tc>
          <w:tcPr>
            <w:tcW w:w="634" w:type="pct"/>
            <w:vMerge w:val="continue"/>
            <w:tcBorders>
              <w:top w:val="single" w:color="auto" w:sz="4" w:space="0"/>
              <w:left w:val="single" w:color="auto" w:sz="4" w:space="0"/>
              <w:bottom w:val="single" w:color="auto" w:sz="4" w:space="0"/>
              <w:right w:val="single" w:color="auto" w:sz="4" w:space="0"/>
            </w:tcBorders>
            <w:vAlign w:val="center"/>
          </w:tcPr>
          <w:p w14:paraId="034B6C85">
            <w:pPr>
              <w:widowControl/>
              <w:spacing w:line="240" w:lineRule="auto"/>
              <w:ind w:firstLine="0" w:firstLineChars="0"/>
              <w:jc w:val="center"/>
              <w:rPr>
                <w:b/>
                <w:bCs/>
                <w:sz w:val="21"/>
                <w:szCs w:val="21"/>
              </w:rPr>
            </w:pPr>
          </w:p>
        </w:tc>
        <w:tc>
          <w:tcPr>
            <w:tcW w:w="476" w:type="pct"/>
            <w:tcBorders>
              <w:top w:val="single" w:color="auto" w:sz="4" w:space="0"/>
              <w:left w:val="single" w:color="auto" w:sz="4" w:space="0"/>
              <w:bottom w:val="single" w:color="auto" w:sz="4" w:space="0"/>
              <w:right w:val="single" w:color="auto" w:sz="4" w:space="0"/>
            </w:tcBorders>
            <w:vAlign w:val="center"/>
          </w:tcPr>
          <w:p w14:paraId="7F8EDA44">
            <w:pPr>
              <w:spacing w:line="240" w:lineRule="auto"/>
              <w:ind w:firstLine="0" w:firstLineChars="0"/>
              <w:jc w:val="center"/>
              <w:rPr>
                <w:b/>
                <w:bCs/>
                <w:sz w:val="21"/>
                <w:szCs w:val="21"/>
              </w:rPr>
            </w:pPr>
            <w:r>
              <w:rPr>
                <w:b/>
                <w:bCs/>
                <w:sz w:val="21"/>
                <w:szCs w:val="21"/>
              </w:rPr>
              <w:t>报告书</w:t>
            </w:r>
          </w:p>
        </w:tc>
        <w:tc>
          <w:tcPr>
            <w:tcW w:w="646" w:type="pct"/>
            <w:tcBorders>
              <w:top w:val="single" w:color="auto" w:sz="4" w:space="0"/>
              <w:left w:val="single" w:color="auto" w:sz="4" w:space="0"/>
              <w:bottom w:val="single" w:color="auto" w:sz="4" w:space="0"/>
              <w:right w:val="single" w:color="auto" w:sz="8" w:space="0"/>
            </w:tcBorders>
            <w:vAlign w:val="center"/>
          </w:tcPr>
          <w:p w14:paraId="26586C80">
            <w:pPr>
              <w:spacing w:line="240" w:lineRule="auto"/>
              <w:ind w:firstLine="0" w:firstLineChars="0"/>
              <w:jc w:val="center"/>
              <w:rPr>
                <w:b/>
                <w:bCs/>
                <w:sz w:val="21"/>
                <w:szCs w:val="21"/>
              </w:rPr>
            </w:pPr>
            <w:r>
              <w:rPr>
                <w:b/>
                <w:bCs/>
                <w:sz w:val="21"/>
                <w:szCs w:val="21"/>
              </w:rPr>
              <w:t>报告表</w:t>
            </w:r>
          </w:p>
        </w:tc>
      </w:tr>
      <w:tr w14:paraId="5FFB9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263" w:type="pct"/>
            <w:tcBorders>
              <w:top w:val="single" w:color="auto" w:sz="4" w:space="0"/>
              <w:left w:val="single" w:color="auto" w:sz="8" w:space="0"/>
              <w:bottom w:val="single" w:color="000000" w:sz="6" w:space="0"/>
              <w:right w:val="single" w:color="auto" w:sz="4" w:space="0"/>
            </w:tcBorders>
            <w:vAlign w:val="center"/>
          </w:tcPr>
          <w:p w14:paraId="2BFEE755">
            <w:pPr>
              <w:spacing w:line="240" w:lineRule="auto"/>
              <w:ind w:firstLine="0" w:firstLineChars="0"/>
              <w:jc w:val="center"/>
              <w:rPr>
                <w:sz w:val="21"/>
                <w:szCs w:val="21"/>
              </w:rPr>
            </w:pPr>
            <w:r>
              <w:rPr>
                <w:rFonts w:hint="eastAsia"/>
                <w:sz w:val="21"/>
                <w:szCs w:val="21"/>
              </w:rPr>
              <w:t>85</w:t>
            </w:r>
            <w:r>
              <w:rPr>
                <w:sz w:val="21"/>
                <w:szCs w:val="21"/>
              </w:rPr>
              <w:t>、</w:t>
            </w:r>
            <w:r>
              <w:rPr>
                <w:rFonts w:hint="eastAsia"/>
                <w:sz w:val="21"/>
                <w:szCs w:val="21"/>
              </w:rPr>
              <w:t>基本化学原料制造</w:t>
            </w:r>
          </w:p>
        </w:tc>
        <w:tc>
          <w:tcPr>
            <w:tcW w:w="1981" w:type="pct"/>
            <w:tcBorders>
              <w:top w:val="single" w:color="auto" w:sz="4" w:space="0"/>
              <w:left w:val="single" w:color="auto" w:sz="4" w:space="0"/>
              <w:bottom w:val="single" w:color="000000" w:sz="6" w:space="0"/>
              <w:right w:val="single" w:color="auto" w:sz="4" w:space="0"/>
            </w:tcBorders>
            <w:vAlign w:val="center"/>
          </w:tcPr>
          <w:p w14:paraId="6CFD8084">
            <w:pPr>
              <w:spacing w:line="240" w:lineRule="auto"/>
              <w:ind w:firstLine="0" w:firstLineChars="0"/>
              <w:jc w:val="center"/>
              <w:rPr>
                <w:sz w:val="21"/>
                <w:szCs w:val="21"/>
              </w:rPr>
            </w:pPr>
            <w:r>
              <w:rPr>
                <w:rFonts w:hint="eastAsia"/>
                <w:sz w:val="21"/>
                <w:szCs w:val="21"/>
              </w:rPr>
              <w:t>除单纯混合和分装外</w:t>
            </w:r>
          </w:p>
        </w:tc>
        <w:tc>
          <w:tcPr>
            <w:tcW w:w="634" w:type="pct"/>
            <w:tcBorders>
              <w:top w:val="single" w:color="auto" w:sz="4" w:space="0"/>
              <w:left w:val="single" w:color="auto" w:sz="4" w:space="0"/>
              <w:bottom w:val="single" w:color="000000" w:sz="6" w:space="0"/>
              <w:right w:val="single" w:color="auto" w:sz="4" w:space="0"/>
            </w:tcBorders>
            <w:vAlign w:val="center"/>
          </w:tcPr>
          <w:p w14:paraId="54384395">
            <w:pPr>
              <w:spacing w:line="240" w:lineRule="auto"/>
              <w:ind w:firstLine="0" w:firstLineChars="0"/>
              <w:jc w:val="center"/>
              <w:rPr>
                <w:sz w:val="21"/>
                <w:szCs w:val="21"/>
              </w:rPr>
            </w:pPr>
            <w:r>
              <w:rPr>
                <w:rFonts w:hint="eastAsia"/>
                <w:sz w:val="21"/>
                <w:szCs w:val="21"/>
              </w:rPr>
              <w:t>单纯混合或包装的</w:t>
            </w:r>
          </w:p>
        </w:tc>
        <w:tc>
          <w:tcPr>
            <w:tcW w:w="476" w:type="pct"/>
            <w:tcBorders>
              <w:top w:val="single" w:color="auto" w:sz="4" w:space="0"/>
              <w:left w:val="single" w:color="auto" w:sz="4" w:space="0"/>
              <w:bottom w:val="single" w:color="000000" w:sz="6" w:space="0"/>
              <w:right w:val="single" w:color="auto" w:sz="4" w:space="0"/>
            </w:tcBorders>
            <w:vAlign w:val="center"/>
          </w:tcPr>
          <w:p w14:paraId="0D85A03F">
            <w:pPr>
              <w:spacing w:line="240" w:lineRule="auto"/>
              <w:ind w:firstLine="0" w:firstLineChars="0"/>
              <w:jc w:val="center"/>
              <w:rPr>
                <w:sz w:val="21"/>
                <w:szCs w:val="21"/>
              </w:rPr>
            </w:pPr>
            <w:r>
              <w:rPr>
                <w:sz w:val="21"/>
                <w:szCs w:val="21"/>
              </w:rPr>
              <w:t>I类</w:t>
            </w:r>
          </w:p>
        </w:tc>
        <w:tc>
          <w:tcPr>
            <w:tcW w:w="646" w:type="pct"/>
            <w:tcBorders>
              <w:top w:val="single" w:color="auto" w:sz="4" w:space="0"/>
              <w:left w:val="single" w:color="auto" w:sz="4" w:space="0"/>
              <w:bottom w:val="single" w:color="000000" w:sz="6" w:space="0"/>
              <w:right w:val="single" w:color="auto" w:sz="8" w:space="0"/>
            </w:tcBorders>
            <w:vAlign w:val="center"/>
          </w:tcPr>
          <w:p w14:paraId="5A6140B1">
            <w:pPr>
              <w:spacing w:line="240" w:lineRule="auto"/>
              <w:ind w:firstLine="0" w:firstLineChars="0"/>
              <w:jc w:val="center"/>
              <w:rPr>
                <w:sz w:val="21"/>
                <w:szCs w:val="21"/>
              </w:rPr>
            </w:pPr>
            <w:r>
              <w:rPr>
                <w:rFonts w:hint="eastAsia"/>
                <w:sz w:val="21"/>
                <w:szCs w:val="21"/>
              </w:rPr>
              <w:t>III类</w:t>
            </w:r>
          </w:p>
        </w:tc>
      </w:tr>
    </w:tbl>
    <w:p w14:paraId="1D3ED91C">
      <w:pPr>
        <w:ind w:firstLine="480"/>
        <w:rPr>
          <w:highlight w:val="yellow"/>
        </w:rPr>
      </w:pPr>
    </w:p>
    <w:p w14:paraId="1D3ED91D">
      <w:pPr>
        <w:pStyle w:val="6"/>
        <w:ind w:left="0" w:firstLine="482" w:firstLineChars="200"/>
      </w:pPr>
      <w:r>
        <w:t>地下水敏感程度</w:t>
      </w:r>
    </w:p>
    <w:p w14:paraId="1D3ED91E">
      <w:pPr>
        <w:ind w:firstLine="480"/>
      </w:pPr>
      <w:r>
        <w:t>依据《环境影响评价技术导则 地下水环境》（HJ 610-2016），建设项目的地下水敏感程度可分为敏感、较敏感、不敏感三级，分级原则见下表。</w:t>
      </w:r>
    </w:p>
    <w:p w14:paraId="1D3ED91F">
      <w:pPr>
        <w:pStyle w:val="64"/>
        <w:numPr>
          <w:ilvl w:val="0"/>
          <w:numId w:val="28"/>
        </w:numPr>
        <w:spacing w:before="120" w:after="161"/>
        <w:ind w:firstLineChars="0"/>
        <w:rPr>
          <w:bCs/>
        </w:rPr>
      </w:pPr>
      <w:r>
        <w:rPr>
          <w:bCs/>
        </w:rPr>
        <w:t xml:space="preserve">     建设项目的地下水环境敏感程度分级表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924"/>
        <w:gridCol w:w="7604"/>
      </w:tblGrid>
      <w:tr w14:paraId="1D3ED922">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98" w:type="dxa"/>
            <w:vAlign w:val="center"/>
          </w:tcPr>
          <w:p w14:paraId="1D3ED920">
            <w:pPr>
              <w:adjustRightInd/>
              <w:snapToGrid/>
              <w:spacing w:line="240" w:lineRule="auto"/>
              <w:ind w:firstLine="0" w:firstLineChars="0"/>
              <w:contextualSpacing/>
              <w:jc w:val="center"/>
              <w:rPr>
                <w:b/>
                <w:bCs/>
                <w:sz w:val="21"/>
                <w:szCs w:val="21"/>
              </w:rPr>
            </w:pPr>
            <w:r>
              <w:rPr>
                <w:b/>
                <w:bCs/>
                <w:sz w:val="21"/>
                <w:szCs w:val="21"/>
              </w:rPr>
              <w:t>分级</w:t>
            </w:r>
          </w:p>
        </w:tc>
        <w:tc>
          <w:tcPr>
            <w:tcW w:w="7394" w:type="dxa"/>
            <w:vAlign w:val="center"/>
          </w:tcPr>
          <w:p w14:paraId="1D3ED921">
            <w:pPr>
              <w:adjustRightInd/>
              <w:snapToGrid/>
              <w:spacing w:line="240" w:lineRule="auto"/>
              <w:ind w:firstLine="0" w:firstLineChars="0"/>
              <w:contextualSpacing/>
              <w:jc w:val="center"/>
              <w:rPr>
                <w:b/>
                <w:bCs/>
                <w:sz w:val="21"/>
                <w:szCs w:val="21"/>
              </w:rPr>
            </w:pPr>
            <w:r>
              <w:rPr>
                <w:b/>
                <w:bCs/>
                <w:sz w:val="21"/>
                <w:szCs w:val="21"/>
              </w:rPr>
              <w:t>地下水环境敏感特征</w:t>
            </w:r>
          </w:p>
        </w:tc>
      </w:tr>
      <w:tr w14:paraId="1D3ED92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98" w:type="dxa"/>
            <w:vAlign w:val="center"/>
          </w:tcPr>
          <w:p w14:paraId="1D3ED923">
            <w:pPr>
              <w:adjustRightInd/>
              <w:snapToGrid/>
              <w:spacing w:line="240" w:lineRule="auto"/>
              <w:ind w:firstLine="0" w:firstLineChars="0"/>
              <w:contextualSpacing/>
              <w:jc w:val="center"/>
              <w:rPr>
                <w:sz w:val="21"/>
                <w:szCs w:val="21"/>
              </w:rPr>
            </w:pPr>
            <w:r>
              <w:rPr>
                <w:sz w:val="21"/>
                <w:szCs w:val="21"/>
              </w:rPr>
              <w:t>敏感</w:t>
            </w:r>
          </w:p>
        </w:tc>
        <w:tc>
          <w:tcPr>
            <w:tcW w:w="7394" w:type="dxa"/>
            <w:vAlign w:val="center"/>
          </w:tcPr>
          <w:p w14:paraId="1D3ED924">
            <w:pPr>
              <w:adjustRightInd/>
              <w:snapToGrid/>
              <w:spacing w:line="240" w:lineRule="auto"/>
              <w:ind w:firstLine="0" w:firstLineChars="0"/>
              <w:contextualSpacing/>
              <w:rPr>
                <w:sz w:val="21"/>
                <w:szCs w:val="21"/>
              </w:rPr>
            </w:pPr>
            <w:r>
              <w:rPr>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1D3ED92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98" w:type="dxa"/>
            <w:vAlign w:val="center"/>
          </w:tcPr>
          <w:p w14:paraId="1D3ED926">
            <w:pPr>
              <w:adjustRightInd/>
              <w:snapToGrid/>
              <w:spacing w:line="240" w:lineRule="auto"/>
              <w:ind w:firstLine="0" w:firstLineChars="0"/>
              <w:contextualSpacing/>
              <w:jc w:val="center"/>
              <w:rPr>
                <w:sz w:val="21"/>
                <w:szCs w:val="21"/>
              </w:rPr>
            </w:pPr>
            <w:r>
              <w:rPr>
                <w:sz w:val="21"/>
                <w:szCs w:val="21"/>
              </w:rPr>
              <w:t>较敏感</w:t>
            </w:r>
          </w:p>
        </w:tc>
        <w:tc>
          <w:tcPr>
            <w:tcW w:w="7394" w:type="dxa"/>
            <w:vAlign w:val="center"/>
          </w:tcPr>
          <w:p w14:paraId="1D3ED927">
            <w:pPr>
              <w:adjustRightInd/>
              <w:snapToGrid/>
              <w:spacing w:line="240" w:lineRule="auto"/>
              <w:ind w:firstLine="0" w:firstLineChars="0"/>
              <w:contextualSpacing/>
              <w:rPr>
                <w:sz w:val="21"/>
                <w:szCs w:val="21"/>
              </w:rPr>
            </w:pPr>
            <w:r>
              <w:rPr>
                <w:sz w:val="21"/>
                <w:szCs w:val="21"/>
              </w:rPr>
              <w:t>集中式饮用水水源(包括已建成的在用、备用、应急水源，在建和规划的水源)准保护区以外的补给径流区；未划定准保护区的集中式饮用水水源，其保护区以外的补给径流区；分散式饮用水水源地；特殊地下水资源(如矿泉水、温泉等)保护区以外的分布区等其它未列入上述敏感分级的环境敏感区。</w:t>
            </w:r>
          </w:p>
        </w:tc>
      </w:tr>
      <w:tr w14:paraId="1D3ED92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98" w:type="dxa"/>
            <w:vAlign w:val="center"/>
          </w:tcPr>
          <w:p w14:paraId="1D3ED929">
            <w:pPr>
              <w:adjustRightInd/>
              <w:snapToGrid/>
              <w:spacing w:line="240" w:lineRule="auto"/>
              <w:ind w:firstLine="0" w:firstLineChars="0"/>
              <w:contextualSpacing/>
              <w:jc w:val="center"/>
              <w:rPr>
                <w:sz w:val="21"/>
                <w:szCs w:val="21"/>
              </w:rPr>
            </w:pPr>
            <w:r>
              <w:rPr>
                <w:sz w:val="21"/>
                <w:szCs w:val="21"/>
              </w:rPr>
              <w:t>不敏感</w:t>
            </w:r>
          </w:p>
        </w:tc>
        <w:tc>
          <w:tcPr>
            <w:tcW w:w="7394" w:type="dxa"/>
            <w:vAlign w:val="center"/>
          </w:tcPr>
          <w:p w14:paraId="1D3ED92A">
            <w:pPr>
              <w:adjustRightInd/>
              <w:snapToGrid/>
              <w:spacing w:line="240" w:lineRule="auto"/>
              <w:ind w:firstLine="0" w:firstLineChars="0"/>
              <w:contextualSpacing/>
              <w:jc w:val="center"/>
              <w:rPr>
                <w:sz w:val="21"/>
                <w:szCs w:val="21"/>
              </w:rPr>
            </w:pPr>
            <w:r>
              <w:rPr>
                <w:sz w:val="21"/>
                <w:szCs w:val="21"/>
              </w:rPr>
              <w:t>上述地区之外的其它地区。</w:t>
            </w:r>
          </w:p>
        </w:tc>
      </w:tr>
    </w:tbl>
    <w:p w14:paraId="1D3ED930">
      <w:pPr>
        <w:ind w:firstLine="480"/>
      </w:pPr>
      <w:r>
        <w:t>经查阅《河南省人民政府办公厅关于印发河南省城市集中式饮用水源保护区划的通知》（豫政办〔2007〕125号）、《河南省人民政府办公厅关于印发河南省县级集中式饮用水水源保护区划的通知》（豫政办 〔2013〕107号）及《河南省人民政府办公厅关于印发河南省乡镇集中式饮用水水源保护区划的通知》（豫政办〔2016〕23号）等文件，本项目所在区域</w:t>
      </w:r>
      <w:r>
        <w:rPr>
          <w:rFonts w:hint="eastAsia"/>
        </w:rPr>
        <w:t>不存在市级、县级、乡镇</w:t>
      </w:r>
      <w:r>
        <w:t>集中式饮用水水源</w:t>
      </w:r>
      <w:r>
        <w:rPr>
          <w:rFonts w:hint="eastAsia"/>
        </w:rPr>
        <w:t>。但</w:t>
      </w:r>
      <w:r>
        <w:t>本项目所在区域存在</w:t>
      </w:r>
      <w:r>
        <w:rPr>
          <w:rFonts w:hint="eastAsia"/>
        </w:rPr>
        <w:t>分散</w:t>
      </w:r>
      <w:r>
        <w:t>式饮用水水源</w:t>
      </w:r>
      <w:r>
        <w:rPr>
          <w:rFonts w:hint="eastAsia"/>
        </w:rPr>
        <w:t>，故</w:t>
      </w:r>
      <w:r>
        <w:t>项目地下水敏感程度为“较敏感”。</w:t>
      </w:r>
    </w:p>
    <w:p w14:paraId="1D3ED931">
      <w:pPr>
        <w:pStyle w:val="6"/>
        <w:ind w:left="0" w:firstLine="482" w:firstLineChars="200"/>
      </w:pPr>
      <w:r>
        <w:t>本次评价工作等级</w:t>
      </w:r>
    </w:p>
    <w:p w14:paraId="1D3ED932">
      <w:pPr>
        <w:ind w:firstLine="480"/>
      </w:pPr>
      <w:r>
        <w:t>根据上述建设项目所属的地下水环境影响评价项目类别及建设项目的地下水环境敏感程度，综合判定本项目环境影响评价地下水环境影响评价工作等级，地下水环境影响评价工作</w:t>
      </w:r>
      <w:r>
        <w:rPr>
          <w:bCs/>
        </w:rPr>
        <w:t>等级划分依据见下表</w:t>
      </w:r>
      <w:r>
        <w:t>。</w:t>
      </w:r>
    </w:p>
    <w:p w14:paraId="1D3ED933">
      <w:pPr>
        <w:pStyle w:val="64"/>
        <w:numPr>
          <w:ilvl w:val="0"/>
          <w:numId w:val="28"/>
        </w:numPr>
        <w:spacing w:before="120" w:after="161"/>
        <w:ind w:firstLineChars="0"/>
        <w:rPr>
          <w:bCs/>
        </w:rPr>
      </w:pPr>
      <w:r>
        <w:rPr>
          <w:bCs/>
        </w:rPr>
        <w:t xml:space="preserve">    </w:t>
      </w:r>
      <w:r>
        <w:rPr>
          <w:rFonts w:hint="eastAsia"/>
          <w:bCs/>
        </w:rPr>
        <w:t xml:space="preserve">  </w:t>
      </w:r>
      <w:r>
        <w:rPr>
          <w:bCs/>
        </w:rPr>
        <w:t>地下水环境影响评价工作等级分级表</w:t>
      </w:r>
    </w:p>
    <w:tbl>
      <w:tblPr>
        <w:tblStyle w:val="4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2360"/>
        <w:gridCol w:w="1990"/>
        <w:gridCol w:w="1991"/>
        <w:gridCol w:w="1991"/>
      </w:tblGrid>
      <w:tr w14:paraId="7D6E8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1416" w:type="pct"/>
            <w:tcBorders>
              <w:top w:val="single" w:color="auto" w:sz="8" w:space="0"/>
              <w:left w:val="single" w:color="auto" w:sz="8" w:space="0"/>
              <w:bottom w:val="single" w:color="auto" w:sz="4" w:space="0"/>
              <w:right w:val="single" w:color="auto" w:sz="4" w:space="0"/>
              <w:tl2br w:val="single" w:color="auto" w:sz="4" w:space="0"/>
            </w:tcBorders>
            <w:vAlign w:val="center"/>
          </w:tcPr>
          <w:p w14:paraId="64DBC4C4">
            <w:pPr>
              <w:spacing w:line="360" w:lineRule="exact"/>
              <w:ind w:firstLine="0" w:firstLineChars="0"/>
              <w:jc w:val="center"/>
              <w:rPr>
                <w:b/>
                <w:sz w:val="21"/>
                <w:szCs w:val="21"/>
              </w:rPr>
            </w:pPr>
            <w:r>
              <w:rPr>
                <w:rFonts w:hint="eastAsia"/>
                <w:b/>
                <w:sz w:val="21"/>
                <w:szCs w:val="21"/>
              </w:rPr>
              <w:t xml:space="preserve">           </w:t>
            </w:r>
            <w:r>
              <w:rPr>
                <w:b/>
                <w:sz w:val="21"/>
                <w:szCs w:val="21"/>
              </w:rPr>
              <w:t>项目类别</w:t>
            </w:r>
          </w:p>
          <w:p w14:paraId="5E187E80">
            <w:pPr>
              <w:spacing w:line="360" w:lineRule="exact"/>
              <w:ind w:firstLine="198" w:firstLineChars="94"/>
              <w:rPr>
                <w:b/>
                <w:sz w:val="21"/>
                <w:szCs w:val="21"/>
              </w:rPr>
            </w:pPr>
            <w:r>
              <w:rPr>
                <w:b/>
                <w:sz w:val="21"/>
                <w:szCs w:val="21"/>
              </w:rPr>
              <w:t>环境敏感程度</w:t>
            </w:r>
          </w:p>
        </w:tc>
        <w:tc>
          <w:tcPr>
            <w:tcW w:w="1194" w:type="pct"/>
            <w:tcBorders>
              <w:top w:val="single" w:color="auto" w:sz="8" w:space="0"/>
              <w:left w:val="single" w:color="auto" w:sz="4" w:space="0"/>
              <w:bottom w:val="single" w:color="auto" w:sz="4" w:space="0"/>
              <w:right w:val="single" w:color="auto" w:sz="4" w:space="0"/>
            </w:tcBorders>
            <w:vAlign w:val="center"/>
          </w:tcPr>
          <w:p w14:paraId="6CB9D288">
            <w:pPr>
              <w:spacing w:line="360" w:lineRule="exact"/>
              <w:ind w:firstLine="0" w:firstLineChars="0"/>
              <w:jc w:val="center"/>
              <w:rPr>
                <w:b/>
                <w:sz w:val="21"/>
                <w:szCs w:val="21"/>
              </w:rPr>
            </w:pPr>
            <w:r>
              <w:rPr>
                <w:b/>
                <w:sz w:val="21"/>
                <w:szCs w:val="21"/>
              </w:rPr>
              <w:t>I类项目</w:t>
            </w:r>
          </w:p>
        </w:tc>
        <w:tc>
          <w:tcPr>
            <w:tcW w:w="1195" w:type="pct"/>
            <w:tcBorders>
              <w:top w:val="single" w:color="auto" w:sz="8" w:space="0"/>
              <w:left w:val="single" w:color="auto" w:sz="4" w:space="0"/>
              <w:bottom w:val="single" w:color="auto" w:sz="4" w:space="0"/>
              <w:right w:val="single" w:color="auto" w:sz="4" w:space="0"/>
            </w:tcBorders>
            <w:vAlign w:val="center"/>
          </w:tcPr>
          <w:p w14:paraId="2FCEAA09">
            <w:pPr>
              <w:spacing w:line="360" w:lineRule="exact"/>
              <w:ind w:firstLine="0" w:firstLineChars="0"/>
              <w:jc w:val="center"/>
              <w:rPr>
                <w:b/>
                <w:sz w:val="21"/>
                <w:szCs w:val="21"/>
              </w:rPr>
            </w:pPr>
            <w:r>
              <w:rPr>
                <w:b/>
                <w:sz w:val="21"/>
                <w:szCs w:val="21"/>
              </w:rPr>
              <w:t>II类项目</w:t>
            </w:r>
          </w:p>
        </w:tc>
        <w:tc>
          <w:tcPr>
            <w:tcW w:w="1195" w:type="pct"/>
            <w:tcBorders>
              <w:top w:val="single" w:color="auto" w:sz="8" w:space="0"/>
              <w:left w:val="single" w:color="auto" w:sz="4" w:space="0"/>
              <w:bottom w:val="single" w:color="auto" w:sz="4" w:space="0"/>
              <w:right w:val="single" w:color="auto" w:sz="8" w:space="0"/>
            </w:tcBorders>
            <w:vAlign w:val="center"/>
          </w:tcPr>
          <w:p w14:paraId="265DF436">
            <w:pPr>
              <w:spacing w:line="360" w:lineRule="exact"/>
              <w:ind w:firstLine="0" w:firstLineChars="0"/>
              <w:jc w:val="center"/>
              <w:rPr>
                <w:b/>
                <w:sz w:val="21"/>
                <w:szCs w:val="21"/>
              </w:rPr>
            </w:pPr>
            <w:r>
              <w:rPr>
                <w:b/>
                <w:sz w:val="21"/>
                <w:szCs w:val="21"/>
              </w:rPr>
              <w:t>III类项目</w:t>
            </w:r>
          </w:p>
        </w:tc>
      </w:tr>
      <w:tr w14:paraId="28060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416" w:type="pct"/>
            <w:tcBorders>
              <w:top w:val="single" w:color="auto" w:sz="4" w:space="0"/>
              <w:left w:val="single" w:color="auto" w:sz="8" w:space="0"/>
              <w:bottom w:val="single" w:color="auto" w:sz="4" w:space="0"/>
              <w:right w:val="single" w:color="auto" w:sz="4" w:space="0"/>
            </w:tcBorders>
            <w:vAlign w:val="center"/>
          </w:tcPr>
          <w:p w14:paraId="1426B52C">
            <w:pPr>
              <w:spacing w:line="360" w:lineRule="exact"/>
              <w:ind w:firstLine="0" w:firstLineChars="0"/>
              <w:jc w:val="center"/>
              <w:rPr>
                <w:bCs/>
                <w:sz w:val="21"/>
                <w:szCs w:val="21"/>
              </w:rPr>
            </w:pPr>
            <w:r>
              <w:rPr>
                <w:bCs/>
                <w:sz w:val="21"/>
                <w:szCs w:val="21"/>
              </w:rPr>
              <w:t>敏感</w:t>
            </w:r>
          </w:p>
        </w:tc>
        <w:tc>
          <w:tcPr>
            <w:tcW w:w="1194" w:type="pct"/>
            <w:tcBorders>
              <w:top w:val="single" w:color="auto" w:sz="4" w:space="0"/>
              <w:left w:val="single" w:color="auto" w:sz="4" w:space="0"/>
              <w:bottom w:val="single" w:color="auto" w:sz="4" w:space="0"/>
              <w:right w:val="single" w:color="auto" w:sz="4" w:space="0"/>
            </w:tcBorders>
            <w:vAlign w:val="center"/>
          </w:tcPr>
          <w:p w14:paraId="2C0122CA">
            <w:pPr>
              <w:spacing w:line="360" w:lineRule="exact"/>
              <w:ind w:firstLine="0" w:firstLineChars="0"/>
              <w:jc w:val="center"/>
              <w:rPr>
                <w:b/>
                <w:bCs/>
                <w:sz w:val="21"/>
                <w:szCs w:val="21"/>
              </w:rPr>
            </w:pPr>
            <w:r>
              <w:rPr>
                <w:b/>
                <w:bCs/>
                <w:sz w:val="21"/>
                <w:szCs w:val="21"/>
              </w:rPr>
              <w:t>一</w:t>
            </w:r>
          </w:p>
        </w:tc>
        <w:tc>
          <w:tcPr>
            <w:tcW w:w="1195" w:type="pct"/>
            <w:tcBorders>
              <w:top w:val="single" w:color="auto" w:sz="4" w:space="0"/>
              <w:left w:val="single" w:color="auto" w:sz="4" w:space="0"/>
              <w:bottom w:val="single" w:color="auto" w:sz="4" w:space="0"/>
              <w:right w:val="single" w:color="auto" w:sz="4" w:space="0"/>
            </w:tcBorders>
            <w:vAlign w:val="center"/>
          </w:tcPr>
          <w:p w14:paraId="42A07600">
            <w:pPr>
              <w:spacing w:line="360" w:lineRule="exact"/>
              <w:ind w:firstLine="0" w:firstLineChars="0"/>
              <w:jc w:val="center"/>
              <w:rPr>
                <w:b/>
                <w:bCs/>
                <w:sz w:val="21"/>
                <w:szCs w:val="21"/>
              </w:rPr>
            </w:pPr>
            <w:r>
              <w:rPr>
                <w:b/>
                <w:bCs/>
                <w:sz w:val="21"/>
                <w:szCs w:val="21"/>
              </w:rPr>
              <w:t>一</w:t>
            </w:r>
          </w:p>
        </w:tc>
        <w:tc>
          <w:tcPr>
            <w:tcW w:w="1195" w:type="pct"/>
            <w:tcBorders>
              <w:top w:val="single" w:color="auto" w:sz="4" w:space="0"/>
              <w:left w:val="single" w:color="auto" w:sz="4" w:space="0"/>
              <w:bottom w:val="single" w:color="auto" w:sz="4" w:space="0"/>
              <w:right w:val="single" w:color="auto" w:sz="8" w:space="0"/>
            </w:tcBorders>
            <w:vAlign w:val="center"/>
          </w:tcPr>
          <w:p w14:paraId="20DBB6F1">
            <w:pPr>
              <w:spacing w:line="360" w:lineRule="exact"/>
              <w:ind w:firstLine="0" w:firstLineChars="0"/>
              <w:jc w:val="center"/>
              <w:rPr>
                <w:b/>
                <w:bCs/>
                <w:sz w:val="21"/>
                <w:szCs w:val="21"/>
              </w:rPr>
            </w:pPr>
            <w:r>
              <w:rPr>
                <w:b/>
                <w:bCs/>
                <w:sz w:val="21"/>
                <w:szCs w:val="21"/>
              </w:rPr>
              <w:t>二</w:t>
            </w:r>
          </w:p>
        </w:tc>
      </w:tr>
      <w:tr w14:paraId="7860A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416" w:type="pct"/>
            <w:tcBorders>
              <w:top w:val="single" w:color="auto" w:sz="4" w:space="0"/>
              <w:left w:val="single" w:color="auto" w:sz="8" w:space="0"/>
              <w:bottom w:val="single" w:color="auto" w:sz="4" w:space="0"/>
              <w:right w:val="single" w:color="auto" w:sz="4" w:space="0"/>
            </w:tcBorders>
            <w:vAlign w:val="center"/>
          </w:tcPr>
          <w:p w14:paraId="0A2DA900">
            <w:pPr>
              <w:spacing w:line="360" w:lineRule="exact"/>
              <w:ind w:firstLine="0" w:firstLineChars="0"/>
              <w:jc w:val="center"/>
              <w:rPr>
                <w:bCs/>
                <w:sz w:val="21"/>
                <w:szCs w:val="21"/>
              </w:rPr>
            </w:pPr>
            <w:r>
              <w:rPr>
                <w:bCs/>
                <w:sz w:val="21"/>
                <w:szCs w:val="21"/>
              </w:rPr>
              <w:t>较敏感</w:t>
            </w:r>
          </w:p>
        </w:tc>
        <w:tc>
          <w:tcPr>
            <w:tcW w:w="1194" w:type="pct"/>
            <w:tcBorders>
              <w:top w:val="single" w:color="auto" w:sz="4" w:space="0"/>
              <w:left w:val="single" w:color="auto" w:sz="4" w:space="0"/>
              <w:bottom w:val="single" w:color="auto" w:sz="4" w:space="0"/>
              <w:right w:val="single" w:color="auto" w:sz="4" w:space="0"/>
            </w:tcBorders>
            <w:shd w:val="clear" w:color="auto" w:fill="FADAB5" w:themeFill="accent2" w:themeFillTint="66"/>
            <w:vAlign w:val="center"/>
          </w:tcPr>
          <w:p w14:paraId="14B9085E">
            <w:pPr>
              <w:spacing w:line="360" w:lineRule="exact"/>
              <w:ind w:firstLine="0" w:firstLineChars="0"/>
              <w:jc w:val="center"/>
              <w:rPr>
                <w:b/>
                <w:bCs/>
                <w:sz w:val="21"/>
                <w:szCs w:val="21"/>
              </w:rPr>
            </w:pPr>
            <w:r>
              <w:rPr>
                <w:b/>
                <w:bCs/>
                <w:sz w:val="21"/>
                <w:szCs w:val="21"/>
              </w:rPr>
              <w:t>一</w:t>
            </w:r>
          </w:p>
        </w:tc>
        <w:tc>
          <w:tcPr>
            <w:tcW w:w="1195" w:type="pct"/>
            <w:tcBorders>
              <w:top w:val="single" w:color="auto" w:sz="4" w:space="0"/>
              <w:left w:val="single" w:color="auto" w:sz="4" w:space="0"/>
              <w:bottom w:val="single" w:color="auto" w:sz="4" w:space="0"/>
              <w:right w:val="single" w:color="auto" w:sz="4" w:space="0"/>
            </w:tcBorders>
            <w:vAlign w:val="center"/>
          </w:tcPr>
          <w:p w14:paraId="1982CDCD">
            <w:pPr>
              <w:spacing w:line="360" w:lineRule="exact"/>
              <w:ind w:firstLine="0" w:firstLineChars="0"/>
              <w:jc w:val="center"/>
              <w:rPr>
                <w:b/>
                <w:bCs/>
                <w:sz w:val="21"/>
                <w:szCs w:val="21"/>
              </w:rPr>
            </w:pPr>
            <w:r>
              <w:rPr>
                <w:b/>
                <w:bCs/>
                <w:sz w:val="21"/>
                <w:szCs w:val="21"/>
              </w:rPr>
              <w:t>二</w:t>
            </w:r>
          </w:p>
        </w:tc>
        <w:tc>
          <w:tcPr>
            <w:tcW w:w="1195" w:type="pct"/>
            <w:tcBorders>
              <w:top w:val="single" w:color="auto" w:sz="4" w:space="0"/>
              <w:left w:val="single" w:color="auto" w:sz="4" w:space="0"/>
              <w:bottom w:val="single" w:color="auto" w:sz="4" w:space="0"/>
              <w:right w:val="single" w:color="auto" w:sz="8" w:space="0"/>
            </w:tcBorders>
            <w:vAlign w:val="center"/>
          </w:tcPr>
          <w:p w14:paraId="4A1DE82C">
            <w:pPr>
              <w:spacing w:line="360" w:lineRule="exact"/>
              <w:ind w:firstLine="0" w:firstLineChars="0"/>
              <w:jc w:val="center"/>
              <w:rPr>
                <w:b/>
                <w:bCs/>
                <w:sz w:val="21"/>
                <w:szCs w:val="21"/>
              </w:rPr>
            </w:pPr>
            <w:r>
              <w:rPr>
                <w:b/>
                <w:bCs/>
                <w:sz w:val="21"/>
                <w:szCs w:val="21"/>
              </w:rPr>
              <w:t>三</w:t>
            </w:r>
          </w:p>
        </w:tc>
      </w:tr>
      <w:tr w14:paraId="757F1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416" w:type="pct"/>
            <w:tcBorders>
              <w:top w:val="single" w:color="auto" w:sz="4" w:space="0"/>
              <w:left w:val="single" w:color="auto" w:sz="8" w:space="0"/>
              <w:bottom w:val="single" w:color="auto" w:sz="8" w:space="0"/>
              <w:right w:val="single" w:color="auto" w:sz="4" w:space="0"/>
            </w:tcBorders>
            <w:vAlign w:val="center"/>
          </w:tcPr>
          <w:p w14:paraId="2F757FF7">
            <w:pPr>
              <w:spacing w:line="360" w:lineRule="exact"/>
              <w:ind w:firstLine="0" w:firstLineChars="0"/>
              <w:jc w:val="center"/>
              <w:rPr>
                <w:bCs/>
                <w:sz w:val="21"/>
                <w:szCs w:val="21"/>
              </w:rPr>
            </w:pPr>
            <w:r>
              <w:rPr>
                <w:bCs/>
                <w:sz w:val="21"/>
                <w:szCs w:val="21"/>
              </w:rPr>
              <w:t>不敏感</w:t>
            </w:r>
          </w:p>
        </w:tc>
        <w:tc>
          <w:tcPr>
            <w:tcW w:w="1194" w:type="pct"/>
            <w:tcBorders>
              <w:top w:val="single" w:color="auto" w:sz="4" w:space="0"/>
              <w:left w:val="single" w:color="auto" w:sz="4" w:space="0"/>
              <w:bottom w:val="single" w:color="auto" w:sz="8" w:space="0"/>
              <w:right w:val="single" w:color="auto" w:sz="4" w:space="0"/>
            </w:tcBorders>
            <w:vAlign w:val="center"/>
          </w:tcPr>
          <w:p w14:paraId="49BB0511">
            <w:pPr>
              <w:spacing w:line="360" w:lineRule="exact"/>
              <w:ind w:firstLine="0" w:firstLineChars="0"/>
              <w:jc w:val="center"/>
              <w:rPr>
                <w:b/>
                <w:bCs/>
                <w:sz w:val="21"/>
                <w:szCs w:val="21"/>
              </w:rPr>
            </w:pPr>
            <w:r>
              <w:rPr>
                <w:b/>
                <w:bCs/>
                <w:sz w:val="21"/>
                <w:szCs w:val="21"/>
              </w:rPr>
              <w:t>二</w:t>
            </w:r>
          </w:p>
        </w:tc>
        <w:tc>
          <w:tcPr>
            <w:tcW w:w="1195" w:type="pct"/>
            <w:tcBorders>
              <w:top w:val="single" w:color="auto" w:sz="4" w:space="0"/>
              <w:left w:val="single" w:color="auto" w:sz="4" w:space="0"/>
              <w:bottom w:val="single" w:color="auto" w:sz="8" w:space="0"/>
              <w:right w:val="single" w:color="auto" w:sz="4" w:space="0"/>
            </w:tcBorders>
            <w:vAlign w:val="center"/>
          </w:tcPr>
          <w:p w14:paraId="26BE2AF4">
            <w:pPr>
              <w:spacing w:line="360" w:lineRule="exact"/>
              <w:ind w:firstLine="0" w:firstLineChars="0"/>
              <w:jc w:val="center"/>
              <w:rPr>
                <w:b/>
                <w:bCs/>
                <w:sz w:val="21"/>
                <w:szCs w:val="21"/>
              </w:rPr>
            </w:pPr>
            <w:r>
              <w:rPr>
                <w:b/>
                <w:bCs/>
                <w:sz w:val="21"/>
                <w:szCs w:val="21"/>
              </w:rPr>
              <w:t>三</w:t>
            </w:r>
          </w:p>
        </w:tc>
        <w:tc>
          <w:tcPr>
            <w:tcW w:w="1195" w:type="pct"/>
            <w:tcBorders>
              <w:top w:val="single" w:color="auto" w:sz="4" w:space="0"/>
              <w:left w:val="single" w:color="auto" w:sz="4" w:space="0"/>
              <w:bottom w:val="single" w:color="auto" w:sz="8" w:space="0"/>
              <w:right w:val="single" w:color="auto" w:sz="8" w:space="0"/>
            </w:tcBorders>
            <w:vAlign w:val="center"/>
          </w:tcPr>
          <w:p w14:paraId="68829AF2">
            <w:pPr>
              <w:spacing w:line="360" w:lineRule="exact"/>
              <w:ind w:firstLine="0" w:firstLineChars="0"/>
              <w:jc w:val="center"/>
              <w:rPr>
                <w:b/>
                <w:bCs/>
                <w:sz w:val="21"/>
                <w:szCs w:val="21"/>
              </w:rPr>
            </w:pPr>
            <w:r>
              <w:rPr>
                <w:b/>
                <w:bCs/>
                <w:sz w:val="21"/>
                <w:szCs w:val="21"/>
              </w:rPr>
              <w:t>三</w:t>
            </w:r>
          </w:p>
        </w:tc>
      </w:tr>
    </w:tbl>
    <w:p w14:paraId="1D3ED941">
      <w:pPr>
        <w:ind w:firstLine="480"/>
      </w:pPr>
      <w:r>
        <w:t>本项目属于Ⅰ类建设项目，地下水环境属于“</w:t>
      </w:r>
      <w:bookmarkStart w:id="302" w:name="_Hlk140830051"/>
      <w:r>
        <w:t>较敏感</w:t>
      </w:r>
      <w:bookmarkEnd w:id="302"/>
      <w:r>
        <w:t>”，综合判断地下水环境影响评价等级为一级。</w:t>
      </w:r>
    </w:p>
    <w:p w14:paraId="1D3ED942">
      <w:pPr>
        <w:pStyle w:val="5"/>
        <w:spacing w:before="240" w:after="240"/>
      </w:pPr>
      <w:r>
        <w:rPr>
          <w:rFonts w:hint="eastAsia"/>
        </w:rPr>
        <w:t>调查</w:t>
      </w:r>
      <w:r>
        <w:t>评价范围</w:t>
      </w:r>
      <w:r>
        <w:rPr>
          <w:rFonts w:hint="eastAsia"/>
        </w:rPr>
        <w:t>及环境保护目标</w:t>
      </w:r>
    </w:p>
    <w:p w14:paraId="0C5860DB">
      <w:pPr>
        <w:pStyle w:val="6"/>
        <w:ind w:left="0" w:firstLine="482" w:firstLineChars="200"/>
      </w:pPr>
      <w:r>
        <w:rPr>
          <w:rFonts w:hint="eastAsia"/>
        </w:rPr>
        <w:t>调查评价范围</w:t>
      </w:r>
    </w:p>
    <w:p w14:paraId="3DC2DF0B">
      <w:pPr>
        <w:ind w:firstLine="480"/>
      </w:pPr>
      <w:r>
        <w:rPr>
          <w:rFonts w:hint="eastAsia"/>
        </w:rPr>
        <w:t>依据《环境影响评价技术导则—地下水环境》（HJ610-2016），水文地质单元的完整性和评价区内与建设项目相关的地下水环境保护目标，以能说明地下水环境的现状、反映调查评价区地下水基本流场特征、满足本次预测评价要求为原则。按照《环境影响评价技术导则地下水环境》HJ610-2016的规定，地下水环境影响评价范围一般与调查评价范围一致，可采用公式计算法、查表法和自定义法确定，本次环评采用查表法。</w:t>
      </w:r>
    </w:p>
    <w:p w14:paraId="734F583D">
      <w:pPr>
        <w:pStyle w:val="2"/>
        <w:ind w:firstLine="480"/>
      </w:pPr>
      <w:r>
        <w:t>根据《环境影响评价技术导则 地下水环境》（HJ610-2016）查表法表3，查表法内容详见下表：</w:t>
      </w:r>
    </w:p>
    <w:p w14:paraId="7D77B37F">
      <w:pPr>
        <w:pStyle w:val="64"/>
        <w:numPr>
          <w:ilvl w:val="0"/>
          <w:numId w:val="28"/>
        </w:numPr>
        <w:spacing w:before="120" w:after="161"/>
        <w:ind w:firstLineChars="0"/>
        <w:rPr>
          <w:bCs/>
        </w:rPr>
      </w:pPr>
      <w:r>
        <w:rPr>
          <w:rFonts w:hint="eastAsia"/>
          <w:bCs/>
        </w:rPr>
        <w:t xml:space="preserve">     建设项目地下水环境现状调查评价范围参照表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2703"/>
        <w:gridCol w:w="3831"/>
      </w:tblGrid>
      <w:tr w14:paraId="1E528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pct"/>
            <w:vAlign w:val="center"/>
          </w:tcPr>
          <w:p w14:paraId="604E804F">
            <w:pPr>
              <w:pStyle w:val="210"/>
            </w:pPr>
            <w:r>
              <w:t>评价等级</w:t>
            </w:r>
          </w:p>
        </w:tc>
        <w:tc>
          <w:tcPr>
            <w:tcW w:w="1585" w:type="pct"/>
            <w:vAlign w:val="center"/>
          </w:tcPr>
          <w:p w14:paraId="3E9D339C">
            <w:pPr>
              <w:pStyle w:val="210"/>
            </w:pPr>
            <w:r>
              <w:t>调查评价面积（km²）</w:t>
            </w:r>
          </w:p>
        </w:tc>
        <w:tc>
          <w:tcPr>
            <w:tcW w:w="2246" w:type="pct"/>
            <w:vAlign w:val="center"/>
          </w:tcPr>
          <w:p w14:paraId="2FD1CA81">
            <w:pPr>
              <w:pStyle w:val="210"/>
            </w:pPr>
            <w:r>
              <w:t>备注</w:t>
            </w:r>
          </w:p>
        </w:tc>
      </w:tr>
      <w:tr w14:paraId="66A1AC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pct"/>
            <w:vAlign w:val="center"/>
          </w:tcPr>
          <w:p w14:paraId="5E21D69B">
            <w:pPr>
              <w:pStyle w:val="208"/>
              <w:rPr>
                <w:b/>
              </w:rPr>
            </w:pPr>
            <w:r>
              <w:t>一级</w:t>
            </w:r>
          </w:p>
        </w:tc>
        <w:tc>
          <w:tcPr>
            <w:tcW w:w="1585" w:type="pct"/>
            <w:vAlign w:val="center"/>
          </w:tcPr>
          <w:p w14:paraId="5332F37D">
            <w:pPr>
              <w:pStyle w:val="208"/>
              <w:rPr>
                <w:b/>
              </w:rPr>
            </w:pPr>
            <w:r>
              <w:t>≥20</w:t>
            </w:r>
          </w:p>
        </w:tc>
        <w:tc>
          <w:tcPr>
            <w:tcW w:w="2246" w:type="pct"/>
            <w:vMerge w:val="restart"/>
            <w:vAlign w:val="center"/>
          </w:tcPr>
          <w:p w14:paraId="64B3F3ED">
            <w:pPr>
              <w:pStyle w:val="208"/>
              <w:rPr>
                <w:b/>
              </w:rPr>
            </w:pPr>
            <w:r>
              <w:t>应包含重要的地下水环境保护目标，必要时适当扩大范围</w:t>
            </w:r>
          </w:p>
        </w:tc>
      </w:tr>
      <w:tr w14:paraId="7F5872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pct"/>
            <w:vAlign w:val="center"/>
          </w:tcPr>
          <w:p w14:paraId="63527092">
            <w:pPr>
              <w:pStyle w:val="208"/>
              <w:rPr>
                <w:b/>
              </w:rPr>
            </w:pPr>
            <w:r>
              <w:t>二级</w:t>
            </w:r>
          </w:p>
        </w:tc>
        <w:tc>
          <w:tcPr>
            <w:tcW w:w="1585" w:type="pct"/>
            <w:vAlign w:val="center"/>
          </w:tcPr>
          <w:p w14:paraId="6CB588EC">
            <w:pPr>
              <w:pStyle w:val="208"/>
              <w:rPr>
                <w:b/>
              </w:rPr>
            </w:pPr>
            <w:r>
              <w:t>6-20</w:t>
            </w:r>
          </w:p>
        </w:tc>
        <w:tc>
          <w:tcPr>
            <w:tcW w:w="2246" w:type="pct"/>
            <w:vMerge w:val="continue"/>
            <w:vAlign w:val="center"/>
          </w:tcPr>
          <w:p w14:paraId="0B52B78E">
            <w:pPr>
              <w:pStyle w:val="208"/>
            </w:pPr>
          </w:p>
        </w:tc>
      </w:tr>
      <w:tr w14:paraId="31F7D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pct"/>
            <w:vAlign w:val="center"/>
          </w:tcPr>
          <w:p w14:paraId="7F379B2C">
            <w:pPr>
              <w:pStyle w:val="208"/>
              <w:rPr>
                <w:b/>
              </w:rPr>
            </w:pPr>
            <w:r>
              <w:t>三级</w:t>
            </w:r>
          </w:p>
        </w:tc>
        <w:tc>
          <w:tcPr>
            <w:tcW w:w="1585" w:type="pct"/>
            <w:vAlign w:val="center"/>
          </w:tcPr>
          <w:p w14:paraId="1348DC66">
            <w:pPr>
              <w:pStyle w:val="208"/>
              <w:rPr>
                <w:b/>
              </w:rPr>
            </w:pPr>
            <w:r>
              <w:t>≤6</w:t>
            </w:r>
          </w:p>
        </w:tc>
        <w:tc>
          <w:tcPr>
            <w:tcW w:w="2246" w:type="pct"/>
            <w:vMerge w:val="continue"/>
            <w:vAlign w:val="center"/>
          </w:tcPr>
          <w:p w14:paraId="6D3C00CE">
            <w:pPr>
              <w:pStyle w:val="208"/>
            </w:pPr>
          </w:p>
        </w:tc>
      </w:tr>
    </w:tbl>
    <w:p w14:paraId="29ACBD03">
      <w:pPr>
        <w:pStyle w:val="2"/>
        <w:spacing w:after="0"/>
        <w:ind w:firstLine="480"/>
      </w:pPr>
      <w:r>
        <w:t>根据上表，本项目勘察范围≥20km</w:t>
      </w:r>
      <w:r>
        <w:rPr>
          <w:vertAlign w:val="superscript"/>
        </w:rPr>
        <w:t>2</w:t>
      </w:r>
      <w:r>
        <w:t>。结合项目区范围、地形地貌特征、区域水文地质条件、地下水流场特征和地下水保护目标等，为了说明地下水环境的基本状况，确定本次调查、评价区范围为多边形，</w:t>
      </w:r>
      <w:r>
        <w:rPr>
          <w:rFonts w:hint="eastAsia"/>
        </w:rPr>
        <w:t>即</w:t>
      </w:r>
      <w:r>
        <w:t>：</w:t>
      </w:r>
    </w:p>
    <w:p w14:paraId="4C8D876A">
      <w:pPr>
        <w:pStyle w:val="2"/>
        <w:spacing w:after="0"/>
        <w:ind w:firstLine="480"/>
      </w:pPr>
      <w:r>
        <w:rPr>
          <w:rFonts w:hint="eastAsia"/>
        </w:rPr>
        <w:t>北边界：厂界上游西北侧3.22km河洼村-侯庄村-东寺门村一线为上游补给边界；</w:t>
      </w:r>
    </w:p>
    <w:p w14:paraId="4FF38D37">
      <w:pPr>
        <w:pStyle w:val="2"/>
        <w:spacing w:after="0"/>
        <w:ind w:firstLine="480"/>
      </w:pPr>
      <w:r>
        <w:rPr>
          <w:rFonts w:hint="eastAsia"/>
        </w:rPr>
        <w:t>西边界：厂界西侧十里河一线为评价区西部边界，为侧向边界；</w:t>
      </w:r>
    </w:p>
    <w:p w14:paraId="40392F3D">
      <w:pPr>
        <w:pStyle w:val="2"/>
        <w:spacing w:after="0"/>
        <w:ind w:firstLine="480"/>
      </w:pPr>
      <w:r>
        <w:rPr>
          <w:rFonts w:hint="eastAsia"/>
        </w:rPr>
        <w:t>南边界：厂界下游南侧的共产主义渠一线为评价区南部边界，为下游排泄边界；</w:t>
      </w:r>
    </w:p>
    <w:p w14:paraId="72D0A9DB">
      <w:pPr>
        <w:pStyle w:val="2"/>
        <w:spacing w:after="0"/>
        <w:ind w:firstLine="480"/>
        <w:rPr>
          <w:u w:val="single"/>
        </w:rPr>
      </w:pPr>
      <w:r>
        <w:rPr>
          <w:rFonts w:hint="eastAsia"/>
          <w:u w:val="single"/>
        </w:rPr>
        <w:t>东边界：厂界</w:t>
      </w:r>
      <w:bookmarkStart w:id="303" w:name="_Hlk175124918"/>
      <w:r>
        <w:rPr>
          <w:rFonts w:hint="eastAsia"/>
          <w:u w:val="single"/>
        </w:rPr>
        <w:t>东北侧井岗村-薛屯村东-黄土岗村西一线</w:t>
      </w:r>
      <w:bookmarkEnd w:id="303"/>
      <w:r>
        <w:rPr>
          <w:rFonts w:hint="eastAsia"/>
          <w:u w:val="single"/>
        </w:rPr>
        <w:t>为评价区东部边界，为侧向边界。</w:t>
      </w:r>
    </w:p>
    <w:p w14:paraId="7EED266A">
      <w:pPr>
        <w:pStyle w:val="2"/>
        <w:spacing w:after="0"/>
        <w:ind w:firstLine="480"/>
        <w:rPr>
          <w:u w:val="single"/>
        </w:rPr>
        <w:sectPr>
          <w:footerReference r:id="rId20" w:type="default"/>
          <w:pgSz w:w="11906" w:h="16838"/>
          <w:pgMar w:top="1440" w:right="1797" w:bottom="1440" w:left="1797" w:header="851" w:footer="992" w:gutter="0"/>
          <w:cols w:space="720" w:num="1"/>
          <w:docGrid w:linePitch="312" w:charSpace="0"/>
        </w:sectPr>
      </w:pPr>
      <w:r>
        <w:rPr>
          <w:rFonts w:hint="eastAsia"/>
          <w:u w:val="single"/>
        </w:rPr>
        <w:t>调查评价面积约为29km</w:t>
      </w:r>
      <w:r>
        <w:rPr>
          <w:rFonts w:hint="eastAsia"/>
          <w:u w:val="single"/>
          <w:vertAlign w:val="superscript"/>
        </w:rPr>
        <w:t>2</w:t>
      </w:r>
      <w:r>
        <w:rPr>
          <w:u w:val="single"/>
        </w:rPr>
        <w:t>。</w:t>
      </w:r>
      <w:r>
        <w:rPr>
          <w:rFonts w:hint="eastAsia"/>
          <w:u w:val="single"/>
        </w:rPr>
        <w:t>项目地下水评价调查范围见下图：</w:t>
      </w:r>
    </w:p>
    <w:p w14:paraId="1D3ED94A">
      <w:pPr>
        <w:spacing w:line="240" w:lineRule="auto"/>
        <w:ind w:firstLine="0" w:firstLineChars="0"/>
        <w:jc w:val="center"/>
        <w:rPr>
          <w:highlight w:val="yellow"/>
          <w:u w:val="single"/>
        </w:rPr>
      </w:pPr>
      <w:r>
        <w:drawing>
          <wp:inline distT="0" distB="0" distL="0" distR="0">
            <wp:extent cx="5997575" cy="5075555"/>
            <wp:effectExtent l="0" t="0" r="3175" b="10795"/>
            <wp:docPr id="207117611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76112" name="图片 1" descr="地图&#10;&#10;描述已自动生成"/>
                    <pic:cNvPicPr>
                      <a:picLocks noChangeAspect="1"/>
                    </pic:cNvPicPr>
                  </pic:nvPicPr>
                  <pic:blipFill>
                    <a:blip r:embed="rId90"/>
                    <a:stretch>
                      <a:fillRect/>
                    </a:stretch>
                  </pic:blipFill>
                  <pic:spPr>
                    <a:xfrm>
                      <a:off x="0" y="0"/>
                      <a:ext cx="5997575" cy="5076000"/>
                    </a:xfrm>
                    <a:prstGeom prst="rect">
                      <a:avLst/>
                    </a:prstGeom>
                  </pic:spPr>
                </pic:pic>
              </a:graphicData>
            </a:graphic>
          </wp:inline>
        </w:drawing>
      </w:r>
    </w:p>
    <w:p w14:paraId="72A63895">
      <w:pPr>
        <w:pStyle w:val="68"/>
        <w:numPr>
          <w:ilvl w:val="0"/>
          <w:numId w:val="29"/>
        </w:numPr>
        <w:ind w:left="0" w:firstLine="0"/>
        <w:rPr>
          <w:rFonts w:eastAsia="黑体"/>
          <w:u w:val="single"/>
        </w:rPr>
      </w:pPr>
      <w:r>
        <w:rPr>
          <w:u w:val="single"/>
        </w:rPr>
        <w:t xml:space="preserve">  </w:t>
      </w:r>
      <w:r>
        <w:rPr>
          <w:rFonts w:eastAsia="黑体"/>
          <w:u w:val="single"/>
        </w:rPr>
        <w:t>本项目</w:t>
      </w:r>
      <w:r>
        <w:rPr>
          <w:rFonts w:hint="eastAsia" w:eastAsia="黑体"/>
          <w:u w:val="single"/>
        </w:rPr>
        <w:t>地下水</w:t>
      </w:r>
      <w:r>
        <w:rPr>
          <w:rFonts w:eastAsia="黑体"/>
          <w:u w:val="single"/>
        </w:rPr>
        <w:t>调查评价范围示意图</w:t>
      </w:r>
    </w:p>
    <w:p w14:paraId="73920414">
      <w:pPr>
        <w:pStyle w:val="68"/>
        <w:rPr>
          <w:rFonts w:eastAsia="黑体"/>
          <w:u w:val="single"/>
        </w:rPr>
        <w:sectPr>
          <w:pgSz w:w="16838" w:h="11906" w:orient="landscape"/>
          <w:pgMar w:top="1797" w:right="1440" w:bottom="1797" w:left="1440" w:header="851" w:footer="992" w:gutter="0"/>
          <w:cols w:space="720" w:num="1"/>
          <w:docGrid w:linePitch="326" w:charSpace="0"/>
        </w:sectPr>
      </w:pPr>
    </w:p>
    <w:p w14:paraId="1D3ED94C">
      <w:pPr>
        <w:pStyle w:val="6"/>
        <w:ind w:left="0" w:firstLine="482" w:firstLineChars="200"/>
      </w:pPr>
      <w:r>
        <w:t>保护目标</w:t>
      </w:r>
    </w:p>
    <w:p w14:paraId="1D3ED94D">
      <w:pPr>
        <w:ind w:firstLine="480"/>
      </w:pPr>
      <w:r>
        <w:t>依据《环境影响评价技术导则 地下水环境》（HJ610-2016），地下水环境保护目标指浅层含水层和可能受建设项目影响且具有饮用水开发利用价值的含水层，集中式饮用水水源和分散式饮用水水源地，以及《建设项目环境影响评价分类管理名录》中所界定的涉及地下水的环境敏感区。</w:t>
      </w:r>
    </w:p>
    <w:p w14:paraId="1D3ED94E">
      <w:pPr>
        <w:ind w:firstLine="480"/>
      </w:pPr>
      <w:r>
        <w:rPr>
          <w:rFonts w:hint="eastAsia"/>
        </w:rPr>
        <w:t>调查评价区地下水主要为潜水。因此，本区的环境保护目标是：该区域潜水含水层；地下水资源应满足生活饮用水需求，现有地下水供水设施不能失效，地下水水质不能受到污染。根据地下水环境影响因素及可能的影响范围，确定地下水环境保护目标为调查评价区内的分散式饮用水井。</w:t>
      </w:r>
    </w:p>
    <w:p w14:paraId="446A97C8">
      <w:pPr>
        <w:pStyle w:val="64"/>
        <w:numPr>
          <w:ilvl w:val="0"/>
          <w:numId w:val="28"/>
        </w:numPr>
        <w:spacing w:before="120" w:after="161"/>
        <w:ind w:firstLineChars="0"/>
        <w:rPr>
          <w:bCs/>
        </w:rPr>
      </w:pPr>
      <w:r>
        <w:rPr>
          <w:bCs/>
        </w:rPr>
        <w:t xml:space="preserve">             地下水环境保护目标一览表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911"/>
        <w:gridCol w:w="646"/>
        <w:gridCol w:w="1753"/>
        <w:gridCol w:w="1916"/>
        <w:gridCol w:w="882"/>
        <w:gridCol w:w="866"/>
        <w:gridCol w:w="1357"/>
      </w:tblGrid>
      <w:tr w14:paraId="26EAD1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shd w:val="clear" w:color="auto" w:fill="auto"/>
            <w:noWrap/>
            <w:vAlign w:val="center"/>
          </w:tcPr>
          <w:p w14:paraId="484DBAD5">
            <w:pPr>
              <w:pStyle w:val="67"/>
              <w:rPr>
                <w:rFonts w:cs="Times New Roman"/>
                <w:color w:val="auto"/>
                <w:kern w:val="0"/>
              </w:rPr>
            </w:pPr>
            <w:r>
              <w:rPr>
                <w:rFonts w:cs="Times New Roman"/>
                <w:color w:val="auto"/>
                <w:kern w:val="0"/>
              </w:rPr>
              <w:t>保护目标名称</w:t>
            </w:r>
          </w:p>
        </w:tc>
        <w:tc>
          <w:tcPr>
            <w:tcW w:w="643" w:type="dxa"/>
            <w:shd w:val="clear" w:color="auto" w:fill="auto"/>
            <w:noWrap/>
            <w:vAlign w:val="center"/>
          </w:tcPr>
          <w:p w14:paraId="69055BC9">
            <w:pPr>
              <w:pStyle w:val="67"/>
              <w:rPr>
                <w:rFonts w:cs="Times New Roman"/>
                <w:color w:val="auto"/>
                <w:kern w:val="0"/>
              </w:rPr>
            </w:pPr>
            <w:r>
              <w:rPr>
                <w:rFonts w:cs="Times New Roman"/>
                <w:color w:val="auto"/>
                <w:kern w:val="0"/>
              </w:rPr>
              <w:t>水井编号</w:t>
            </w:r>
          </w:p>
        </w:tc>
        <w:tc>
          <w:tcPr>
            <w:tcW w:w="1745" w:type="dxa"/>
            <w:noWrap/>
            <w:vAlign w:val="center"/>
          </w:tcPr>
          <w:p w14:paraId="0D9F2921">
            <w:pPr>
              <w:pStyle w:val="67"/>
              <w:rPr>
                <w:rFonts w:cs="Times New Roman"/>
                <w:color w:val="auto"/>
                <w:kern w:val="0"/>
              </w:rPr>
            </w:pPr>
            <w:r>
              <w:rPr>
                <w:rFonts w:hint="eastAsia" w:cs="Times New Roman"/>
                <w:color w:val="auto"/>
                <w:kern w:val="0"/>
              </w:rPr>
              <w:t>水井功能</w:t>
            </w:r>
          </w:p>
        </w:tc>
        <w:tc>
          <w:tcPr>
            <w:tcW w:w="1907" w:type="dxa"/>
            <w:noWrap/>
            <w:vAlign w:val="center"/>
          </w:tcPr>
          <w:p w14:paraId="2DF99B2D">
            <w:pPr>
              <w:pStyle w:val="67"/>
              <w:rPr>
                <w:rFonts w:cs="Times New Roman"/>
                <w:color w:val="auto"/>
                <w:kern w:val="0"/>
              </w:rPr>
            </w:pPr>
            <w:r>
              <w:rPr>
                <w:rFonts w:cs="Times New Roman"/>
                <w:color w:val="auto"/>
                <w:kern w:val="0"/>
              </w:rPr>
              <w:t>与拟建场地位置关系</w:t>
            </w:r>
          </w:p>
        </w:tc>
        <w:tc>
          <w:tcPr>
            <w:tcW w:w="878" w:type="dxa"/>
            <w:noWrap/>
            <w:vAlign w:val="center"/>
          </w:tcPr>
          <w:p w14:paraId="5BC2CC10">
            <w:pPr>
              <w:pStyle w:val="67"/>
              <w:rPr>
                <w:rFonts w:cs="Times New Roman"/>
                <w:color w:val="auto"/>
                <w:kern w:val="0"/>
              </w:rPr>
            </w:pPr>
            <w:r>
              <w:rPr>
                <w:rFonts w:cs="Times New Roman"/>
                <w:color w:val="auto"/>
                <w:kern w:val="0"/>
              </w:rPr>
              <w:t>井深（m）</w:t>
            </w:r>
          </w:p>
        </w:tc>
        <w:tc>
          <w:tcPr>
            <w:tcW w:w="862" w:type="dxa"/>
            <w:noWrap/>
            <w:vAlign w:val="center"/>
          </w:tcPr>
          <w:p w14:paraId="5B1B5CED">
            <w:pPr>
              <w:pStyle w:val="67"/>
              <w:rPr>
                <w:rFonts w:cs="Times New Roman"/>
                <w:color w:val="auto"/>
                <w:kern w:val="0"/>
              </w:rPr>
            </w:pPr>
            <w:r>
              <w:rPr>
                <w:rFonts w:cs="Times New Roman"/>
                <w:color w:val="auto"/>
                <w:kern w:val="0"/>
              </w:rPr>
              <w:t>开采</w:t>
            </w:r>
          </w:p>
          <w:p w14:paraId="43C8C524">
            <w:pPr>
              <w:pStyle w:val="67"/>
              <w:rPr>
                <w:rFonts w:cs="Times New Roman"/>
                <w:color w:val="auto"/>
                <w:kern w:val="0"/>
              </w:rPr>
            </w:pPr>
            <w:r>
              <w:rPr>
                <w:rFonts w:cs="Times New Roman"/>
                <w:color w:val="auto"/>
                <w:kern w:val="0"/>
              </w:rPr>
              <w:t>层位</w:t>
            </w:r>
          </w:p>
        </w:tc>
        <w:tc>
          <w:tcPr>
            <w:tcW w:w="1350" w:type="dxa"/>
            <w:noWrap/>
            <w:vAlign w:val="center"/>
          </w:tcPr>
          <w:p w14:paraId="5301B6CC">
            <w:pPr>
              <w:pStyle w:val="67"/>
              <w:rPr>
                <w:rFonts w:cs="Times New Roman"/>
                <w:color w:val="auto"/>
                <w:kern w:val="0"/>
              </w:rPr>
            </w:pPr>
            <w:r>
              <w:rPr>
                <w:rFonts w:cs="Times New Roman"/>
                <w:color w:val="auto"/>
                <w:kern w:val="0"/>
              </w:rPr>
              <w:t>供水人口</w:t>
            </w:r>
          </w:p>
          <w:p w14:paraId="03CE9305">
            <w:pPr>
              <w:pStyle w:val="67"/>
              <w:rPr>
                <w:rFonts w:cs="Times New Roman"/>
                <w:color w:val="auto"/>
                <w:kern w:val="0"/>
              </w:rPr>
            </w:pPr>
            <w:r>
              <w:rPr>
                <w:rFonts w:cs="Times New Roman"/>
                <w:color w:val="auto"/>
                <w:kern w:val="0"/>
              </w:rPr>
              <w:t>（人）</w:t>
            </w:r>
          </w:p>
        </w:tc>
      </w:tr>
      <w:tr w14:paraId="7C70C7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restart"/>
            <w:shd w:val="clear" w:color="auto" w:fill="auto"/>
            <w:noWrap/>
            <w:vAlign w:val="center"/>
          </w:tcPr>
          <w:p w14:paraId="196C5071">
            <w:pPr>
              <w:pStyle w:val="62"/>
            </w:pPr>
            <w:r>
              <w:rPr>
                <w:rFonts w:hint="eastAsia"/>
              </w:rPr>
              <w:t>分散</w:t>
            </w:r>
            <w:r>
              <w:t>式饮用水水源</w:t>
            </w:r>
          </w:p>
        </w:tc>
        <w:tc>
          <w:tcPr>
            <w:tcW w:w="643" w:type="dxa"/>
            <w:shd w:val="clear" w:color="auto" w:fill="auto"/>
            <w:noWrap/>
            <w:vAlign w:val="center"/>
          </w:tcPr>
          <w:p w14:paraId="6B56ADE1">
            <w:pPr>
              <w:pStyle w:val="62"/>
            </w:pPr>
            <w:r>
              <w:t>1</w:t>
            </w:r>
          </w:p>
        </w:tc>
        <w:tc>
          <w:tcPr>
            <w:tcW w:w="1745" w:type="dxa"/>
            <w:noWrap/>
            <w:vAlign w:val="center"/>
          </w:tcPr>
          <w:p w14:paraId="77597EBB">
            <w:pPr>
              <w:pStyle w:val="62"/>
              <w:rPr>
                <w:highlight w:val="yellow"/>
              </w:rPr>
            </w:pPr>
            <w:r>
              <w:rPr>
                <w:rFonts w:hint="eastAsia"/>
              </w:rPr>
              <w:t>郭全屯村水井</w:t>
            </w:r>
          </w:p>
        </w:tc>
        <w:tc>
          <w:tcPr>
            <w:tcW w:w="1907" w:type="dxa"/>
            <w:noWrap/>
            <w:vAlign w:val="center"/>
          </w:tcPr>
          <w:p w14:paraId="3F5FBEA6">
            <w:pPr>
              <w:pStyle w:val="62"/>
            </w:pPr>
            <w:r>
              <w:rPr>
                <w:rFonts w:hint="eastAsia"/>
              </w:rPr>
              <w:t>厂址西北约1.27km</w:t>
            </w:r>
          </w:p>
        </w:tc>
        <w:tc>
          <w:tcPr>
            <w:tcW w:w="878" w:type="dxa"/>
            <w:noWrap/>
            <w:vAlign w:val="center"/>
          </w:tcPr>
          <w:p w14:paraId="5721C3BD">
            <w:pPr>
              <w:pStyle w:val="62"/>
            </w:pPr>
            <w:r>
              <w:rPr>
                <w:rFonts w:hint="eastAsia"/>
              </w:rPr>
              <w:t>15</w:t>
            </w:r>
          </w:p>
        </w:tc>
        <w:tc>
          <w:tcPr>
            <w:tcW w:w="862" w:type="dxa"/>
            <w:vMerge w:val="restart"/>
            <w:noWrap/>
            <w:vAlign w:val="center"/>
          </w:tcPr>
          <w:p w14:paraId="455F16E8">
            <w:pPr>
              <w:pStyle w:val="62"/>
            </w:pPr>
            <w:r>
              <w:t>浅层</w:t>
            </w:r>
          </w:p>
        </w:tc>
        <w:tc>
          <w:tcPr>
            <w:tcW w:w="1350" w:type="dxa"/>
            <w:noWrap/>
            <w:vAlign w:val="center"/>
          </w:tcPr>
          <w:p w14:paraId="7D59E345">
            <w:pPr>
              <w:pStyle w:val="62"/>
              <w:rPr>
                <w:kern w:val="2"/>
              </w:rPr>
            </w:pPr>
            <w:r>
              <w:rPr>
                <w:rFonts w:hint="eastAsia"/>
                <w:kern w:val="2"/>
              </w:rPr>
              <w:t>400</w:t>
            </w:r>
          </w:p>
        </w:tc>
      </w:tr>
      <w:tr w14:paraId="4CBCDC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auto"/>
            <w:noWrap/>
            <w:vAlign w:val="center"/>
          </w:tcPr>
          <w:p w14:paraId="0DABE9FE">
            <w:pPr>
              <w:pStyle w:val="62"/>
              <w:rPr>
                <w:highlight w:val="yellow"/>
              </w:rPr>
            </w:pPr>
          </w:p>
        </w:tc>
        <w:tc>
          <w:tcPr>
            <w:tcW w:w="643" w:type="dxa"/>
            <w:shd w:val="clear" w:color="auto" w:fill="auto"/>
            <w:noWrap/>
            <w:vAlign w:val="center"/>
          </w:tcPr>
          <w:p w14:paraId="173C75A4">
            <w:pPr>
              <w:pStyle w:val="62"/>
            </w:pPr>
            <w:r>
              <w:t>2</w:t>
            </w:r>
          </w:p>
        </w:tc>
        <w:tc>
          <w:tcPr>
            <w:tcW w:w="1745" w:type="dxa"/>
            <w:noWrap/>
            <w:vAlign w:val="center"/>
          </w:tcPr>
          <w:p w14:paraId="0579C92F">
            <w:pPr>
              <w:pStyle w:val="62"/>
            </w:pPr>
            <w:r>
              <w:rPr>
                <w:rFonts w:hint="eastAsia"/>
              </w:rPr>
              <w:t>龙王庙饮用水井</w:t>
            </w:r>
          </w:p>
        </w:tc>
        <w:tc>
          <w:tcPr>
            <w:tcW w:w="1907" w:type="dxa"/>
            <w:noWrap/>
            <w:vAlign w:val="center"/>
          </w:tcPr>
          <w:p w14:paraId="2C27B0D2">
            <w:pPr>
              <w:pStyle w:val="62"/>
            </w:pPr>
            <w:r>
              <w:rPr>
                <w:rFonts w:hint="eastAsia"/>
              </w:rPr>
              <w:t>厂址东南约0.9km</w:t>
            </w:r>
          </w:p>
        </w:tc>
        <w:tc>
          <w:tcPr>
            <w:tcW w:w="878" w:type="dxa"/>
            <w:noWrap/>
            <w:vAlign w:val="center"/>
          </w:tcPr>
          <w:p w14:paraId="09B72A3B">
            <w:pPr>
              <w:pStyle w:val="62"/>
            </w:pPr>
            <w:r>
              <w:rPr>
                <w:rFonts w:hint="eastAsia"/>
              </w:rPr>
              <w:t>20</w:t>
            </w:r>
          </w:p>
        </w:tc>
        <w:tc>
          <w:tcPr>
            <w:tcW w:w="862" w:type="dxa"/>
            <w:vMerge w:val="continue"/>
            <w:noWrap/>
            <w:vAlign w:val="center"/>
          </w:tcPr>
          <w:p w14:paraId="52DBC6EA">
            <w:pPr>
              <w:pStyle w:val="62"/>
              <w:rPr>
                <w:highlight w:val="yellow"/>
              </w:rPr>
            </w:pPr>
          </w:p>
        </w:tc>
        <w:tc>
          <w:tcPr>
            <w:tcW w:w="1350" w:type="dxa"/>
            <w:noWrap/>
            <w:vAlign w:val="center"/>
          </w:tcPr>
          <w:p w14:paraId="0C950A67">
            <w:pPr>
              <w:pStyle w:val="62"/>
            </w:pPr>
            <w:r>
              <w:rPr>
                <w:rFonts w:hint="eastAsia"/>
              </w:rPr>
              <w:t>450</w:t>
            </w:r>
          </w:p>
        </w:tc>
      </w:tr>
      <w:tr w14:paraId="220CDE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auto"/>
            <w:vAlign w:val="center"/>
          </w:tcPr>
          <w:p w14:paraId="045B2E84">
            <w:pPr>
              <w:pStyle w:val="62"/>
              <w:rPr>
                <w:highlight w:val="yellow"/>
              </w:rPr>
            </w:pPr>
          </w:p>
        </w:tc>
        <w:tc>
          <w:tcPr>
            <w:tcW w:w="643" w:type="dxa"/>
            <w:shd w:val="clear" w:color="auto" w:fill="auto"/>
            <w:noWrap/>
            <w:vAlign w:val="center"/>
          </w:tcPr>
          <w:p w14:paraId="39144390">
            <w:pPr>
              <w:pStyle w:val="62"/>
            </w:pPr>
            <w:r>
              <w:t>3</w:t>
            </w:r>
          </w:p>
        </w:tc>
        <w:tc>
          <w:tcPr>
            <w:tcW w:w="1745" w:type="dxa"/>
            <w:noWrap/>
            <w:vAlign w:val="center"/>
          </w:tcPr>
          <w:p w14:paraId="5970BB56">
            <w:pPr>
              <w:pStyle w:val="62"/>
            </w:pPr>
            <w:r>
              <w:rPr>
                <w:rFonts w:hint="eastAsia"/>
              </w:rPr>
              <w:t>下园村饮用水井</w:t>
            </w:r>
          </w:p>
        </w:tc>
        <w:tc>
          <w:tcPr>
            <w:tcW w:w="1907" w:type="dxa"/>
            <w:noWrap/>
            <w:vAlign w:val="center"/>
          </w:tcPr>
          <w:p w14:paraId="54CFABC8">
            <w:pPr>
              <w:pStyle w:val="62"/>
            </w:pPr>
            <w:r>
              <w:rPr>
                <w:rFonts w:hint="eastAsia"/>
              </w:rPr>
              <w:t>厂址东南约0.99km</w:t>
            </w:r>
          </w:p>
        </w:tc>
        <w:tc>
          <w:tcPr>
            <w:tcW w:w="878" w:type="dxa"/>
            <w:noWrap/>
            <w:vAlign w:val="center"/>
          </w:tcPr>
          <w:p w14:paraId="3DFDF3D2">
            <w:pPr>
              <w:pStyle w:val="62"/>
            </w:pPr>
            <w:r>
              <w:rPr>
                <w:rFonts w:hint="eastAsia"/>
              </w:rPr>
              <w:t>31</w:t>
            </w:r>
          </w:p>
        </w:tc>
        <w:tc>
          <w:tcPr>
            <w:tcW w:w="862" w:type="dxa"/>
            <w:vMerge w:val="continue"/>
            <w:vAlign w:val="center"/>
          </w:tcPr>
          <w:p w14:paraId="527F82CC">
            <w:pPr>
              <w:pStyle w:val="62"/>
              <w:rPr>
                <w:highlight w:val="yellow"/>
              </w:rPr>
            </w:pPr>
          </w:p>
        </w:tc>
        <w:tc>
          <w:tcPr>
            <w:tcW w:w="1350" w:type="dxa"/>
            <w:noWrap/>
            <w:vAlign w:val="center"/>
          </w:tcPr>
          <w:p w14:paraId="6681F124">
            <w:pPr>
              <w:pStyle w:val="62"/>
              <w:rPr>
                <w:kern w:val="2"/>
              </w:rPr>
            </w:pPr>
            <w:r>
              <w:rPr>
                <w:rFonts w:hint="eastAsia"/>
                <w:kern w:val="2"/>
              </w:rPr>
              <w:t>298</w:t>
            </w:r>
          </w:p>
        </w:tc>
      </w:tr>
      <w:tr w14:paraId="439D50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auto"/>
            <w:vAlign w:val="center"/>
          </w:tcPr>
          <w:p w14:paraId="62C667B6">
            <w:pPr>
              <w:pStyle w:val="62"/>
              <w:rPr>
                <w:highlight w:val="yellow"/>
              </w:rPr>
            </w:pPr>
          </w:p>
        </w:tc>
        <w:tc>
          <w:tcPr>
            <w:tcW w:w="643" w:type="dxa"/>
            <w:shd w:val="clear" w:color="auto" w:fill="auto"/>
            <w:noWrap/>
            <w:vAlign w:val="center"/>
          </w:tcPr>
          <w:p w14:paraId="7085900C">
            <w:pPr>
              <w:pStyle w:val="62"/>
            </w:pPr>
            <w:r>
              <w:t>4</w:t>
            </w:r>
          </w:p>
        </w:tc>
        <w:tc>
          <w:tcPr>
            <w:tcW w:w="1745" w:type="dxa"/>
            <w:noWrap/>
            <w:vAlign w:val="center"/>
          </w:tcPr>
          <w:p w14:paraId="4EF421E2">
            <w:pPr>
              <w:pStyle w:val="62"/>
            </w:pPr>
            <w:r>
              <w:rPr>
                <w:rFonts w:hint="eastAsia"/>
              </w:rPr>
              <w:t>辛庄村饮用水井</w:t>
            </w:r>
          </w:p>
        </w:tc>
        <w:tc>
          <w:tcPr>
            <w:tcW w:w="1907" w:type="dxa"/>
            <w:noWrap/>
            <w:vAlign w:val="center"/>
          </w:tcPr>
          <w:p w14:paraId="06C4A8F5">
            <w:pPr>
              <w:pStyle w:val="62"/>
            </w:pPr>
            <w:r>
              <w:rPr>
                <w:rFonts w:hint="eastAsia"/>
              </w:rPr>
              <w:t>厂址东南约1.97km</w:t>
            </w:r>
          </w:p>
        </w:tc>
        <w:tc>
          <w:tcPr>
            <w:tcW w:w="878" w:type="dxa"/>
            <w:noWrap/>
            <w:vAlign w:val="center"/>
          </w:tcPr>
          <w:p w14:paraId="419267EA">
            <w:pPr>
              <w:pStyle w:val="62"/>
            </w:pPr>
            <w:r>
              <w:rPr>
                <w:rFonts w:hint="eastAsia"/>
              </w:rPr>
              <w:t>55</w:t>
            </w:r>
          </w:p>
        </w:tc>
        <w:tc>
          <w:tcPr>
            <w:tcW w:w="862" w:type="dxa"/>
            <w:vMerge w:val="continue"/>
            <w:vAlign w:val="center"/>
          </w:tcPr>
          <w:p w14:paraId="28A95C98">
            <w:pPr>
              <w:pStyle w:val="62"/>
              <w:rPr>
                <w:highlight w:val="yellow"/>
              </w:rPr>
            </w:pPr>
          </w:p>
        </w:tc>
        <w:tc>
          <w:tcPr>
            <w:tcW w:w="1350" w:type="dxa"/>
            <w:noWrap/>
            <w:vAlign w:val="center"/>
          </w:tcPr>
          <w:p w14:paraId="48496B11">
            <w:pPr>
              <w:pStyle w:val="62"/>
              <w:rPr>
                <w:kern w:val="2"/>
              </w:rPr>
            </w:pPr>
            <w:r>
              <w:rPr>
                <w:rFonts w:hint="eastAsia"/>
                <w:kern w:val="2"/>
              </w:rPr>
              <w:t>200</w:t>
            </w:r>
          </w:p>
        </w:tc>
      </w:tr>
      <w:tr w14:paraId="34CC6F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auto"/>
            <w:vAlign w:val="center"/>
          </w:tcPr>
          <w:p w14:paraId="05255F58">
            <w:pPr>
              <w:pStyle w:val="62"/>
              <w:rPr>
                <w:highlight w:val="yellow"/>
              </w:rPr>
            </w:pPr>
          </w:p>
        </w:tc>
        <w:tc>
          <w:tcPr>
            <w:tcW w:w="643" w:type="dxa"/>
            <w:shd w:val="clear" w:color="auto" w:fill="auto"/>
            <w:noWrap/>
            <w:vAlign w:val="center"/>
          </w:tcPr>
          <w:p w14:paraId="05C77296">
            <w:pPr>
              <w:pStyle w:val="62"/>
            </w:pPr>
            <w:r>
              <w:rPr>
                <w:rFonts w:hint="eastAsia"/>
              </w:rPr>
              <w:t>5</w:t>
            </w:r>
          </w:p>
        </w:tc>
        <w:tc>
          <w:tcPr>
            <w:tcW w:w="1745" w:type="dxa"/>
            <w:noWrap/>
            <w:vAlign w:val="center"/>
          </w:tcPr>
          <w:p w14:paraId="4F83A022">
            <w:pPr>
              <w:pStyle w:val="62"/>
            </w:pPr>
            <w:r>
              <w:rPr>
                <w:rFonts w:hint="eastAsia"/>
              </w:rPr>
              <w:t>八里屯村饮用水井</w:t>
            </w:r>
          </w:p>
        </w:tc>
        <w:tc>
          <w:tcPr>
            <w:tcW w:w="1907" w:type="dxa"/>
            <w:noWrap/>
            <w:vAlign w:val="center"/>
          </w:tcPr>
          <w:p w14:paraId="07A328AC">
            <w:pPr>
              <w:pStyle w:val="62"/>
            </w:pPr>
            <w:r>
              <w:rPr>
                <w:rFonts w:hint="eastAsia"/>
              </w:rPr>
              <w:t>厂址东北约2.12km</w:t>
            </w:r>
          </w:p>
        </w:tc>
        <w:tc>
          <w:tcPr>
            <w:tcW w:w="878" w:type="dxa"/>
            <w:noWrap/>
            <w:vAlign w:val="center"/>
          </w:tcPr>
          <w:p w14:paraId="195C0CAD">
            <w:pPr>
              <w:pStyle w:val="62"/>
            </w:pPr>
            <w:r>
              <w:rPr>
                <w:rFonts w:hint="eastAsia"/>
              </w:rPr>
              <w:t>30</w:t>
            </w:r>
          </w:p>
        </w:tc>
        <w:tc>
          <w:tcPr>
            <w:tcW w:w="862" w:type="dxa"/>
            <w:vMerge w:val="continue"/>
            <w:vAlign w:val="center"/>
          </w:tcPr>
          <w:p w14:paraId="7B5F198B">
            <w:pPr>
              <w:pStyle w:val="62"/>
              <w:rPr>
                <w:highlight w:val="yellow"/>
              </w:rPr>
            </w:pPr>
          </w:p>
        </w:tc>
        <w:tc>
          <w:tcPr>
            <w:tcW w:w="1350" w:type="dxa"/>
            <w:noWrap/>
            <w:vAlign w:val="center"/>
          </w:tcPr>
          <w:p w14:paraId="254DCD5F">
            <w:pPr>
              <w:pStyle w:val="62"/>
            </w:pPr>
            <w:r>
              <w:rPr>
                <w:rFonts w:hint="eastAsia"/>
              </w:rPr>
              <w:t>298</w:t>
            </w:r>
          </w:p>
        </w:tc>
      </w:tr>
      <w:tr w14:paraId="268BA4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auto"/>
            <w:vAlign w:val="center"/>
          </w:tcPr>
          <w:p w14:paraId="21D8D897">
            <w:pPr>
              <w:pStyle w:val="62"/>
              <w:rPr>
                <w:highlight w:val="yellow"/>
              </w:rPr>
            </w:pPr>
          </w:p>
        </w:tc>
        <w:tc>
          <w:tcPr>
            <w:tcW w:w="643" w:type="dxa"/>
            <w:shd w:val="clear" w:color="auto" w:fill="auto"/>
            <w:noWrap/>
            <w:vAlign w:val="center"/>
          </w:tcPr>
          <w:p w14:paraId="16F9ED3A">
            <w:pPr>
              <w:pStyle w:val="62"/>
            </w:pPr>
            <w:r>
              <w:rPr>
                <w:rFonts w:hint="eastAsia"/>
              </w:rPr>
              <w:t>6</w:t>
            </w:r>
          </w:p>
        </w:tc>
        <w:tc>
          <w:tcPr>
            <w:tcW w:w="1745" w:type="dxa"/>
            <w:noWrap/>
            <w:vAlign w:val="center"/>
          </w:tcPr>
          <w:p w14:paraId="0D0E91C8">
            <w:pPr>
              <w:pStyle w:val="62"/>
              <w:rPr>
                <w:highlight w:val="yellow"/>
              </w:rPr>
            </w:pPr>
            <w:r>
              <w:rPr>
                <w:rFonts w:hint="eastAsia"/>
              </w:rPr>
              <w:t>郝庄村饮用水井</w:t>
            </w:r>
          </w:p>
        </w:tc>
        <w:tc>
          <w:tcPr>
            <w:tcW w:w="1907" w:type="dxa"/>
            <w:noWrap/>
            <w:vAlign w:val="center"/>
          </w:tcPr>
          <w:p w14:paraId="02FB529E">
            <w:pPr>
              <w:pStyle w:val="62"/>
            </w:pPr>
            <w:r>
              <w:rPr>
                <w:rFonts w:hint="eastAsia"/>
              </w:rPr>
              <w:t>厂址东北约2.62km</w:t>
            </w:r>
          </w:p>
        </w:tc>
        <w:tc>
          <w:tcPr>
            <w:tcW w:w="878" w:type="dxa"/>
            <w:noWrap/>
            <w:vAlign w:val="center"/>
          </w:tcPr>
          <w:p w14:paraId="7E9D2A45">
            <w:pPr>
              <w:pStyle w:val="62"/>
            </w:pPr>
            <w:r>
              <w:rPr>
                <w:rFonts w:hint="eastAsia"/>
              </w:rPr>
              <w:t>42</w:t>
            </w:r>
          </w:p>
        </w:tc>
        <w:tc>
          <w:tcPr>
            <w:tcW w:w="862" w:type="dxa"/>
            <w:vMerge w:val="continue"/>
            <w:vAlign w:val="center"/>
          </w:tcPr>
          <w:p w14:paraId="6E6BA615">
            <w:pPr>
              <w:pStyle w:val="62"/>
              <w:rPr>
                <w:highlight w:val="yellow"/>
              </w:rPr>
            </w:pPr>
          </w:p>
        </w:tc>
        <w:tc>
          <w:tcPr>
            <w:tcW w:w="1350" w:type="dxa"/>
            <w:noWrap/>
            <w:vAlign w:val="center"/>
          </w:tcPr>
          <w:p w14:paraId="277DF779">
            <w:pPr>
              <w:pStyle w:val="62"/>
            </w:pPr>
            <w:r>
              <w:rPr>
                <w:rFonts w:hint="eastAsia"/>
              </w:rPr>
              <w:t>365</w:t>
            </w:r>
          </w:p>
        </w:tc>
      </w:tr>
      <w:tr w14:paraId="17BCEC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auto"/>
            <w:vAlign w:val="center"/>
          </w:tcPr>
          <w:p w14:paraId="563EA0D2">
            <w:pPr>
              <w:pStyle w:val="62"/>
              <w:rPr>
                <w:highlight w:val="yellow"/>
              </w:rPr>
            </w:pPr>
          </w:p>
        </w:tc>
        <w:tc>
          <w:tcPr>
            <w:tcW w:w="643" w:type="dxa"/>
            <w:shd w:val="clear" w:color="auto" w:fill="auto"/>
            <w:noWrap/>
            <w:vAlign w:val="center"/>
          </w:tcPr>
          <w:p w14:paraId="3BAC694A">
            <w:pPr>
              <w:pStyle w:val="62"/>
            </w:pPr>
            <w:r>
              <w:rPr>
                <w:rFonts w:hint="eastAsia"/>
              </w:rPr>
              <w:t>7</w:t>
            </w:r>
          </w:p>
        </w:tc>
        <w:tc>
          <w:tcPr>
            <w:tcW w:w="1745" w:type="dxa"/>
            <w:noWrap/>
            <w:vAlign w:val="center"/>
          </w:tcPr>
          <w:p w14:paraId="604FFCEB">
            <w:pPr>
              <w:pStyle w:val="62"/>
              <w:rPr>
                <w:highlight w:val="yellow"/>
              </w:rPr>
            </w:pPr>
            <w:r>
              <w:rPr>
                <w:rFonts w:hint="eastAsia"/>
              </w:rPr>
              <w:t>岗槽村饮用水井</w:t>
            </w:r>
          </w:p>
        </w:tc>
        <w:tc>
          <w:tcPr>
            <w:tcW w:w="1907" w:type="dxa"/>
            <w:noWrap/>
            <w:vAlign w:val="center"/>
          </w:tcPr>
          <w:p w14:paraId="77A6B6AF">
            <w:pPr>
              <w:pStyle w:val="62"/>
            </w:pPr>
            <w:r>
              <w:rPr>
                <w:rFonts w:hint="eastAsia"/>
              </w:rPr>
              <w:t>厂址东北约2.84km</w:t>
            </w:r>
          </w:p>
        </w:tc>
        <w:tc>
          <w:tcPr>
            <w:tcW w:w="878" w:type="dxa"/>
            <w:noWrap/>
            <w:vAlign w:val="center"/>
          </w:tcPr>
          <w:p w14:paraId="51BB4651">
            <w:pPr>
              <w:pStyle w:val="62"/>
            </w:pPr>
            <w:r>
              <w:rPr>
                <w:rFonts w:hint="eastAsia"/>
              </w:rPr>
              <w:t>35</w:t>
            </w:r>
          </w:p>
        </w:tc>
        <w:tc>
          <w:tcPr>
            <w:tcW w:w="862" w:type="dxa"/>
            <w:vMerge w:val="continue"/>
            <w:vAlign w:val="center"/>
          </w:tcPr>
          <w:p w14:paraId="18857D40">
            <w:pPr>
              <w:pStyle w:val="62"/>
              <w:rPr>
                <w:highlight w:val="yellow"/>
              </w:rPr>
            </w:pPr>
          </w:p>
        </w:tc>
        <w:tc>
          <w:tcPr>
            <w:tcW w:w="1350" w:type="dxa"/>
            <w:noWrap/>
            <w:vAlign w:val="center"/>
          </w:tcPr>
          <w:p w14:paraId="74B325C5">
            <w:pPr>
              <w:pStyle w:val="62"/>
              <w:rPr>
                <w:kern w:val="2"/>
              </w:rPr>
            </w:pPr>
            <w:r>
              <w:rPr>
                <w:rFonts w:hint="eastAsia"/>
                <w:kern w:val="2"/>
              </w:rPr>
              <w:t>524</w:t>
            </w:r>
          </w:p>
        </w:tc>
      </w:tr>
      <w:tr w14:paraId="169DD5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auto"/>
            <w:vAlign w:val="center"/>
          </w:tcPr>
          <w:p w14:paraId="38B21DD4">
            <w:pPr>
              <w:pStyle w:val="62"/>
              <w:rPr>
                <w:highlight w:val="yellow"/>
              </w:rPr>
            </w:pPr>
          </w:p>
        </w:tc>
        <w:tc>
          <w:tcPr>
            <w:tcW w:w="643" w:type="dxa"/>
            <w:shd w:val="clear" w:color="auto" w:fill="auto"/>
            <w:noWrap/>
            <w:vAlign w:val="center"/>
          </w:tcPr>
          <w:p w14:paraId="242F248F">
            <w:pPr>
              <w:pStyle w:val="62"/>
            </w:pPr>
            <w:r>
              <w:rPr>
                <w:rFonts w:hint="eastAsia"/>
              </w:rPr>
              <w:t>8</w:t>
            </w:r>
          </w:p>
        </w:tc>
        <w:tc>
          <w:tcPr>
            <w:tcW w:w="1745" w:type="dxa"/>
            <w:noWrap/>
            <w:vAlign w:val="center"/>
          </w:tcPr>
          <w:p w14:paraId="3F9A53EC">
            <w:pPr>
              <w:pStyle w:val="62"/>
              <w:rPr>
                <w:highlight w:val="yellow"/>
              </w:rPr>
            </w:pPr>
            <w:r>
              <w:rPr>
                <w:rFonts w:hint="eastAsia"/>
              </w:rPr>
              <w:t>东寺门村饮用水井</w:t>
            </w:r>
          </w:p>
        </w:tc>
        <w:tc>
          <w:tcPr>
            <w:tcW w:w="1907" w:type="dxa"/>
            <w:noWrap/>
            <w:vAlign w:val="center"/>
          </w:tcPr>
          <w:p w14:paraId="1E9253A3">
            <w:pPr>
              <w:pStyle w:val="62"/>
            </w:pPr>
            <w:r>
              <w:rPr>
                <w:rFonts w:hint="eastAsia"/>
              </w:rPr>
              <w:t>厂址东北约4.3km</w:t>
            </w:r>
          </w:p>
        </w:tc>
        <w:tc>
          <w:tcPr>
            <w:tcW w:w="878" w:type="dxa"/>
            <w:noWrap/>
            <w:vAlign w:val="center"/>
          </w:tcPr>
          <w:p w14:paraId="6E9F51F4">
            <w:pPr>
              <w:pStyle w:val="62"/>
            </w:pPr>
            <w:r>
              <w:rPr>
                <w:rFonts w:hint="eastAsia"/>
              </w:rPr>
              <w:t>14</w:t>
            </w:r>
          </w:p>
        </w:tc>
        <w:tc>
          <w:tcPr>
            <w:tcW w:w="862" w:type="dxa"/>
            <w:vMerge w:val="continue"/>
            <w:vAlign w:val="center"/>
          </w:tcPr>
          <w:p w14:paraId="7117F141">
            <w:pPr>
              <w:pStyle w:val="62"/>
              <w:rPr>
                <w:highlight w:val="yellow"/>
              </w:rPr>
            </w:pPr>
          </w:p>
        </w:tc>
        <w:tc>
          <w:tcPr>
            <w:tcW w:w="1350" w:type="dxa"/>
            <w:noWrap/>
            <w:vAlign w:val="center"/>
          </w:tcPr>
          <w:p w14:paraId="1B11D825">
            <w:pPr>
              <w:pStyle w:val="62"/>
              <w:rPr>
                <w:kern w:val="2"/>
              </w:rPr>
            </w:pPr>
            <w:r>
              <w:rPr>
                <w:rFonts w:hint="eastAsia"/>
                <w:kern w:val="2"/>
              </w:rPr>
              <w:t>456</w:t>
            </w:r>
          </w:p>
        </w:tc>
      </w:tr>
      <w:tr w14:paraId="568EC5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auto"/>
            <w:vAlign w:val="center"/>
          </w:tcPr>
          <w:p w14:paraId="5957E9F5">
            <w:pPr>
              <w:pStyle w:val="62"/>
              <w:rPr>
                <w:highlight w:val="yellow"/>
              </w:rPr>
            </w:pPr>
          </w:p>
        </w:tc>
        <w:tc>
          <w:tcPr>
            <w:tcW w:w="643" w:type="dxa"/>
            <w:shd w:val="clear" w:color="auto" w:fill="auto"/>
            <w:noWrap/>
            <w:vAlign w:val="center"/>
          </w:tcPr>
          <w:p w14:paraId="1CB749ED">
            <w:pPr>
              <w:pStyle w:val="62"/>
            </w:pPr>
            <w:r>
              <w:rPr>
                <w:rFonts w:hint="eastAsia"/>
              </w:rPr>
              <w:t>9</w:t>
            </w:r>
          </w:p>
        </w:tc>
        <w:tc>
          <w:tcPr>
            <w:tcW w:w="1745" w:type="dxa"/>
            <w:noWrap/>
            <w:vAlign w:val="center"/>
          </w:tcPr>
          <w:p w14:paraId="3E9BCE7B">
            <w:pPr>
              <w:pStyle w:val="62"/>
              <w:rPr>
                <w:highlight w:val="yellow"/>
              </w:rPr>
            </w:pPr>
            <w:r>
              <w:rPr>
                <w:rFonts w:hint="eastAsia"/>
              </w:rPr>
              <w:t>薛屯村饮用水井</w:t>
            </w:r>
          </w:p>
        </w:tc>
        <w:tc>
          <w:tcPr>
            <w:tcW w:w="1907" w:type="dxa"/>
            <w:noWrap/>
            <w:vAlign w:val="center"/>
          </w:tcPr>
          <w:p w14:paraId="7A4D2629">
            <w:pPr>
              <w:pStyle w:val="62"/>
            </w:pPr>
            <w:r>
              <w:rPr>
                <w:rFonts w:hint="eastAsia"/>
              </w:rPr>
              <w:t>厂址东北约3.42km</w:t>
            </w:r>
          </w:p>
        </w:tc>
        <w:tc>
          <w:tcPr>
            <w:tcW w:w="878" w:type="dxa"/>
            <w:noWrap/>
            <w:vAlign w:val="center"/>
          </w:tcPr>
          <w:p w14:paraId="7CBDFF28">
            <w:pPr>
              <w:pStyle w:val="62"/>
            </w:pPr>
            <w:r>
              <w:rPr>
                <w:rFonts w:hint="eastAsia"/>
              </w:rPr>
              <w:t>15</w:t>
            </w:r>
          </w:p>
        </w:tc>
        <w:tc>
          <w:tcPr>
            <w:tcW w:w="862" w:type="dxa"/>
            <w:vMerge w:val="continue"/>
            <w:vAlign w:val="center"/>
          </w:tcPr>
          <w:p w14:paraId="1FF2A2EF">
            <w:pPr>
              <w:pStyle w:val="62"/>
              <w:rPr>
                <w:highlight w:val="yellow"/>
              </w:rPr>
            </w:pPr>
          </w:p>
        </w:tc>
        <w:tc>
          <w:tcPr>
            <w:tcW w:w="1350" w:type="dxa"/>
            <w:noWrap/>
            <w:vAlign w:val="center"/>
          </w:tcPr>
          <w:p w14:paraId="7756C349">
            <w:pPr>
              <w:pStyle w:val="62"/>
              <w:rPr>
                <w:kern w:val="2"/>
              </w:rPr>
            </w:pPr>
            <w:r>
              <w:rPr>
                <w:rFonts w:hint="eastAsia"/>
                <w:kern w:val="2"/>
              </w:rPr>
              <w:t>200</w:t>
            </w:r>
          </w:p>
        </w:tc>
      </w:tr>
    </w:tbl>
    <w:p w14:paraId="016D87D4">
      <w:pPr>
        <w:pStyle w:val="2"/>
        <w:spacing w:before="240" w:beforeLines="100" w:after="0" w:line="360" w:lineRule="auto"/>
        <w:ind w:firstLine="0" w:firstLineChars="0"/>
        <w:jc w:val="center"/>
      </w:pPr>
    </w:p>
    <w:p w14:paraId="4609A9BE">
      <w:pPr>
        <w:pStyle w:val="2"/>
        <w:spacing w:before="240" w:beforeLines="100" w:after="0" w:line="360" w:lineRule="auto"/>
        <w:ind w:firstLine="0" w:firstLineChars="0"/>
        <w:jc w:val="center"/>
      </w:pPr>
    </w:p>
    <w:p w14:paraId="53583834">
      <w:pPr>
        <w:pStyle w:val="2"/>
        <w:spacing w:before="240" w:beforeLines="100" w:after="0" w:line="360" w:lineRule="auto"/>
        <w:ind w:firstLine="0" w:firstLineChars="0"/>
        <w:jc w:val="center"/>
      </w:pPr>
    </w:p>
    <w:p w14:paraId="5DFDC830">
      <w:pPr>
        <w:pStyle w:val="2"/>
        <w:spacing w:before="240" w:beforeLines="100" w:after="0" w:line="360" w:lineRule="auto"/>
        <w:ind w:firstLine="0" w:firstLineChars="0"/>
        <w:jc w:val="center"/>
      </w:pPr>
    </w:p>
    <w:p w14:paraId="4D2D6DFB">
      <w:pPr>
        <w:pStyle w:val="2"/>
        <w:spacing w:before="240" w:beforeLines="100" w:after="0" w:line="360" w:lineRule="auto"/>
        <w:ind w:firstLine="0" w:firstLineChars="0"/>
        <w:jc w:val="center"/>
      </w:pPr>
    </w:p>
    <w:p w14:paraId="2A99CC67">
      <w:pPr>
        <w:pStyle w:val="2"/>
        <w:spacing w:before="240" w:beforeLines="100" w:after="0" w:line="360" w:lineRule="auto"/>
        <w:ind w:firstLine="0" w:firstLineChars="0"/>
        <w:jc w:val="center"/>
        <w:sectPr>
          <w:pgSz w:w="11906" w:h="16838"/>
          <w:pgMar w:top="1440" w:right="1797" w:bottom="1440" w:left="1797" w:header="851" w:footer="992" w:gutter="0"/>
          <w:cols w:space="720" w:num="1"/>
          <w:docGrid w:linePitch="312" w:charSpace="0"/>
        </w:sectPr>
      </w:pPr>
    </w:p>
    <w:p w14:paraId="0385F091">
      <w:pPr>
        <w:pStyle w:val="2"/>
        <w:spacing w:after="0" w:line="240" w:lineRule="auto"/>
        <w:ind w:firstLine="0" w:firstLineChars="0"/>
        <w:jc w:val="center"/>
        <w:rPr>
          <w:highlight w:val="yellow"/>
          <w:u w:val="single"/>
        </w:rPr>
      </w:pPr>
      <w:r>
        <w:drawing>
          <wp:inline distT="0" distB="0" distL="0" distR="0">
            <wp:extent cx="5984875" cy="5075555"/>
            <wp:effectExtent l="0" t="0" r="15875" b="10795"/>
            <wp:docPr id="38848267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82671" name="图片 1" descr="地图&#10;&#10;描述已自动生成"/>
                    <pic:cNvPicPr>
                      <a:picLocks noChangeAspect="1"/>
                    </pic:cNvPicPr>
                  </pic:nvPicPr>
                  <pic:blipFill>
                    <a:blip r:embed="rId91"/>
                    <a:stretch>
                      <a:fillRect/>
                    </a:stretch>
                  </pic:blipFill>
                  <pic:spPr>
                    <a:xfrm>
                      <a:off x="0" y="0"/>
                      <a:ext cx="5984875" cy="5076000"/>
                    </a:xfrm>
                    <a:prstGeom prst="rect">
                      <a:avLst/>
                    </a:prstGeom>
                  </pic:spPr>
                </pic:pic>
              </a:graphicData>
            </a:graphic>
          </wp:inline>
        </w:drawing>
      </w:r>
    </w:p>
    <w:p w14:paraId="71613E15">
      <w:pPr>
        <w:pStyle w:val="68"/>
        <w:numPr>
          <w:ilvl w:val="0"/>
          <w:numId w:val="29"/>
        </w:numPr>
        <w:rPr>
          <w:rFonts w:eastAsia="黑体"/>
          <w:u w:val="single"/>
        </w:rPr>
        <w:sectPr>
          <w:pgSz w:w="16838" w:h="11906" w:orient="landscape"/>
          <w:pgMar w:top="1797" w:right="1440" w:bottom="1797" w:left="1440" w:header="851" w:footer="992" w:gutter="0"/>
          <w:cols w:space="720" w:num="1"/>
          <w:docGrid w:linePitch="326" w:charSpace="0"/>
        </w:sectPr>
      </w:pPr>
      <w:r>
        <w:rPr>
          <w:rFonts w:hint="eastAsia" w:eastAsia="黑体"/>
          <w:u w:val="single"/>
        </w:rPr>
        <w:t>地下水环境保护目标</w:t>
      </w:r>
      <w:r>
        <w:rPr>
          <w:rFonts w:eastAsia="黑体"/>
          <w:u w:val="single"/>
        </w:rPr>
        <w:t>位置图</w:t>
      </w:r>
    </w:p>
    <w:p w14:paraId="1D3ED951">
      <w:pPr>
        <w:pStyle w:val="5"/>
        <w:spacing w:before="240" w:after="240"/>
      </w:pPr>
      <w:r>
        <w:rPr>
          <w:rFonts w:hint="eastAsia"/>
        </w:rPr>
        <w:t>区域水文地质条件</w:t>
      </w:r>
    </w:p>
    <w:p w14:paraId="1D9A0279">
      <w:pPr>
        <w:pStyle w:val="6"/>
        <w:ind w:left="0" w:firstLine="482" w:firstLineChars="200"/>
      </w:pPr>
      <w:r>
        <w:rPr>
          <w:rFonts w:hint="eastAsia"/>
        </w:rPr>
        <w:t>气象</w:t>
      </w:r>
    </w:p>
    <w:p w14:paraId="598EF4A5">
      <w:pPr>
        <w:ind w:firstLine="480"/>
        <w:rPr>
          <w:highlight w:val="yellow"/>
        </w:rPr>
      </w:pPr>
      <w:r>
        <w:t>卫辉市地处中纬度地区，属于典型的暖温带大陆性季风气候，四季分明。春季干燥少雨，冷暖多变，多春旱；夏季炎热高温，降雨集中；秋季秋高气爽，气候宜人；冬季寒冷寡照，较少雨雪，冬春季多东北风，夏季多西南风。年平均气温13.8℃，1月平均气温-1.0℃，7月平均气温27℃。极端最高气温为42.5℃。极端最低气温为-18.4℃。年平均降雨量576.5mm，多集中在夏季（6-8月份），年蒸发量1928.1mm。风以东北风为最多，年平均风速2.4m/s。年无霜期为211.7天，年日照时数约2446.9小时，日照百分率56％。</w:t>
      </w:r>
    </w:p>
    <w:p w14:paraId="759707B6">
      <w:pPr>
        <w:pStyle w:val="6"/>
        <w:ind w:left="0" w:firstLine="482" w:firstLineChars="200"/>
      </w:pPr>
      <w:r>
        <w:rPr>
          <w:rFonts w:hint="eastAsia"/>
        </w:rPr>
        <w:t>水文</w:t>
      </w:r>
    </w:p>
    <w:p w14:paraId="16D22C35">
      <w:pPr>
        <w:pStyle w:val="2"/>
        <w:ind w:firstLine="480"/>
      </w:pPr>
      <w:r>
        <w:rPr>
          <w:rFonts w:hint="eastAsia"/>
        </w:rPr>
        <w:t>（1）地表水</w:t>
      </w:r>
    </w:p>
    <w:p w14:paraId="3C4F784A">
      <w:pPr>
        <w:pStyle w:val="2"/>
        <w:ind w:firstLine="480"/>
      </w:pPr>
      <w:r>
        <w:rPr>
          <w:rFonts w:hint="eastAsia"/>
        </w:rPr>
        <w:t>新乡市位于河南省北部，华北平原的南端。新乡市地跨海河和黄河两大流域，其中海河流域主要分布在西北部地区，为太行山丘区和海河平原区。主要河流是卫河、共产主义渠以及其支流东孟姜女河、西孟姜女河、北排水河、百泉河等，接纳了新乡市区、卫辉市、辉县市、新乡县、卫辉市、凤泉区等区域的工业废水、生活污水和农田退水。</w:t>
      </w:r>
    </w:p>
    <w:p w14:paraId="15292420">
      <w:pPr>
        <w:pStyle w:val="2"/>
        <w:ind w:firstLine="480"/>
      </w:pPr>
      <w:r>
        <w:rPr>
          <w:rFonts w:hint="eastAsia"/>
        </w:rPr>
        <w:t>流经卫辉市区的地表水有卫河、共产主义渠、东孟姜女河、沧河、香泉河、十里河和大沙河等七条主要河流，除大沙河属黄河流域金堤河水系外，其它均为海河流域南运河水系。</w:t>
      </w:r>
    </w:p>
    <w:p w14:paraId="55E38A75">
      <w:pPr>
        <w:ind w:firstLine="480"/>
        <w:rPr>
          <w:highlight w:val="yellow"/>
        </w:rPr>
      </w:pPr>
      <w:r>
        <w:rPr>
          <w:rFonts w:hint="eastAsia"/>
        </w:rPr>
        <w:t>项目区附近地表水体为共产主义渠。区域水系图见下图。</w:t>
      </w:r>
    </w:p>
    <w:p w14:paraId="5B4A095A">
      <w:pPr>
        <w:pStyle w:val="2"/>
        <w:spacing w:after="0" w:line="360" w:lineRule="auto"/>
        <w:ind w:firstLine="0" w:firstLineChars="0"/>
        <w:rPr>
          <w:highlight w:val="yellow"/>
        </w:rPr>
      </w:pPr>
      <w:r>
        <w:drawing>
          <wp:inline distT="0" distB="0" distL="0" distR="0">
            <wp:extent cx="5278120" cy="3700780"/>
            <wp:effectExtent l="12700" t="12700" r="24130" b="20320"/>
            <wp:docPr id="150862112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21121" name="图片 1" descr="地图&#10;&#10;描述已自动生成"/>
                    <pic:cNvPicPr>
                      <a:picLocks noChangeAspect="1"/>
                    </pic:cNvPicPr>
                  </pic:nvPicPr>
                  <pic:blipFill>
                    <a:blip r:embed="rId92"/>
                    <a:stretch>
                      <a:fillRect/>
                    </a:stretch>
                  </pic:blipFill>
                  <pic:spPr>
                    <a:xfrm>
                      <a:off x="0" y="0"/>
                      <a:ext cx="5278120" cy="3700780"/>
                    </a:xfrm>
                    <a:prstGeom prst="rect">
                      <a:avLst/>
                    </a:prstGeom>
                    <a:ln w="12700">
                      <a:solidFill>
                        <a:schemeClr val="tx1"/>
                      </a:solidFill>
                    </a:ln>
                  </pic:spPr>
                </pic:pic>
              </a:graphicData>
            </a:graphic>
          </wp:inline>
        </w:drawing>
      </w:r>
    </w:p>
    <w:p w14:paraId="6DBD5494">
      <w:pPr>
        <w:pStyle w:val="68"/>
        <w:numPr>
          <w:ilvl w:val="0"/>
          <w:numId w:val="29"/>
        </w:numPr>
        <w:rPr>
          <w:rFonts w:eastAsia="黑体"/>
        </w:rPr>
      </w:pPr>
      <w:r>
        <w:rPr>
          <w:rFonts w:hint="eastAsia" w:eastAsia="黑体"/>
        </w:rPr>
        <w:t xml:space="preserve"> 区域水系图</w:t>
      </w:r>
    </w:p>
    <w:p w14:paraId="4BD0EEBC">
      <w:pPr>
        <w:pStyle w:val="2"/>
        <w:ind w:firstLine="480"/>
      </w:pPr>
      <w:r>
        <w:rPr>
          <w:rFonts w:hint="eastAsia"/>
        </w:rPr>
        <w:t>（2）地下水</w:t>
      </w:r>
    </w:p>
    <w:p w14:paraId="18A0E20F">
      <w:pPr>
        <w:pStyle w:val="2"/>
        <w:ind w:firstLine="480"/>
        <w:rPr>
          <w:highlight w:val="yellow"/>
        </w:rPr>
      </w:pPr>
      <w:r>
        <w:rPr>
          <w:rFonts w:hint="eastAsia"/>
        </w:rPr>
        <w:t>根据地形地貌、水文、地质构造和含水岩性的不同，卫辉市大致分为三个水文地质区：山区丘陵基岩溶裂隙型水文地质区；山前倾斜平原孔隙型水文地质区；黄河冲积平原孔隙型水文地质区。多年平均地下水总资源量1.39亿m</w:t>
      </w:r>
      <w:r>
        <w:rPr>
          <w:rFonts w:hint="eastAsia"/>
          <w:vertAlign w:val="superscript"/>
        </w:rPr>
        <w:t>3</w:t>
      </w:r>
      <w:r>
        <w:rPr>
          <w:rFonts w:hint="eastAsia"/>
        </w:rPr>
        <w:t>，可利用量1.17亿m</w:t>
      </w:r>
      <w:r>
        <w:rPr>
          <w:rFonts w:hint="eastAsia"/>
          <w:vertAlign w:val="superscript"/>
        </w:rPr>
        <w:t>3</w:t>
      </w:r>
      <w:r>
        <w:rPr>
          <w:rFonts w:hint="eastAsia"/>
        </w:rPr>
        <w:t>。</w:t>
      </w:r>
    </w:p>
    <w:p w14:paraId="6B252291">
      <w:pPr>
        <w:pStyle w:val="6"/>
        <w:ind w:left="0" w:firstLine="482" w:firstLineChars="200"/>
      </w:pPr>
      <w:r>
        <w:rPr>
          <w:rFonts w:hint="eastAsia"/>
        </w:rPr>
        <w:t>地形地貌</w:t>
      </w:r>
    </w:p>
    <w:p w14:paraId="60800983">
      <w:pPr>
        <w:pStyle w:val="2"/>
        <w:ind w:firstLine="480"/>
      </w:pPr>
      <w:r>
        <w:rPr>
          <w:rFonts w:hint="eastAsia"/>
        </w:rPr>
        <w:t>卫辉市全市土地面积，山区占29％，丘陵占18％，平原占53％，地势西高东低。该地区地形分为三大类：一是太行山缓慢上升，形成太行山基岩山丘区，二是山洪堆积形成山前倾斜平原，三是黄河与卫河冲积平原，总地势西高东低、中部低洼，高差显著分明。海拔高程60-1069m。</w:t>
      </w:r>
    </w:p>
    <w:p w14:paraId="7C6691FA">
      <w:pPr>
        <w:pStyle w:val="2"/>
        <w:spacing w:after="0"/>
        <w:ind w:firstLine="480"/>
      </w:pPr>
      <w:r>
        <w:rPr>
          <w:rFonts w:hint="eastAsia"/>
        </w:rPr>
        <w:t>（1）太行山基岩山丘区</w:t>
      </w:r>
    </w:p>
    <w:p w14:paraId="0C9E6DF6">
      <w:pPr>
        <w:pStyle w:val="2"/>
        <w:spacing w:after="0"/>
        <w:ind w:firstLine="480"/>
      </w:pPr>
      <w:r>
        <w:rPr>
          <w:rFonts w:hint="eastAsia"/>
        </w:rPr>
        <w:t>位于西部、西北部，包括大池山、东拴马、狮豹头三个乡全部及安都、太公泉、唐庄三乡（镇）西北部。面积258.3平方公里，占总面积29.29％。海拔高程200米以上，最高峰黄梅草垴海拔1069米。地势自北向南呈梯级下降，地面坡度3.9‰。因降水、河流侵剥，断层较多，山势陡峭，沟豁纵横，土层极薄，植被稀疏，仅在沟谷阶地及山坡上有零星耕地。丘陵区岗峦起伏，土层很薄，多为坡岗和梯田，有少部分林地。</w:t>
      </w:r>
    </w:p>
    <w:p w14:paraId="34ED2593">
      <w:pPr>
        <w:pStyle w:val="2"/>
        <w:spacing w:after="0"/>
        <w:ind w:firstLine="480"/>
      </w:pPr>
      <w:r>
        <w:rPr>
          <w:rFonts w:hint="eastAsia"/>
        </w:rPr>
        <w:t>（2）山前倾斜平原</w:t>
      </w:r>
    </w:p>
    <w:p w14:paraId="0889F144">
      <w:pPr>
        <w:pStyle w:val="2"/>
        <w:spacing w:after="0"/>
        <w:ind w:firstLine="480"/>
      </w:pPr>
      <w:r>
        <w:rPr>
          <w:rFonts w:hint="eastAsia"/>
        </w:rPr>
        <w:t>位于京广铁路以西，太行山脚下。包括安都、太公泉镇大部和唐庄乡一部。面积157.7平方公里，占总面积17.88％。海拔高程81至200米。地势由西北向东南倾斜，坡降为5-20‰。</w:t>
      </w:r>
    </w:p>
    <w:p w14:paraId="2EF96C03">
      <w:pPr>
        <w:pStyle w:val="2"/>
        <w:spacing w:after="0"/>
        <w:ind w:firstLine="480"/>
      </w:pPr>
      <w:r>
        <w:rPr>
          <w:rFonts w:hint="eastAsia"/>
        </w:rPr>
        <w:t>（3）平原</w:t>
      </w:r>
    </w:p>
    <w:p w14:paraId="50FEA9AC">
      <w:pPr>
        <w:pStyle w:val="2"/>
        <w:spacing w:after="0"/>
        <w:ind w:firstLine="480"/>
      </w:pPr>
      <w:r>
        <w:rPr>
          <w:rFonts w:hint="eastAsia"/>
        </w:rPr>
        <w:t>以古阳堤为分界线，分为卫河冲积平原和黄河冲积平原两大部分。卫河冲积平原位于京广铁路以东、古阳堤以北以西，包括城郊、顿坊店和倪湾三个乡全部和孙杏村、唐庄、李源屯、庞寨乡一部分。黄河冲积平原位于古阳堤以南、引黄七支以北，包括柳庄、后河乡全部和李源屯、庞寨、孙杏村乡一部分。平原总面积466平方公里，占土地总面积52.83％。海拔高程63至80米。山前倾斜平原前缘与古阳堤之间，地面坡度为2.1‰，古阳堤与大沙河之间地面坡度为1.4‰。卫河、共产主义渠、东孟姜女河横穿平原，切割分划成行洪、低洼易涝、高滩三个区。在黄河故道和滩区内，因风力作用，形成再造地形，构成近代砂丘地貌。</w:t>
      </w:r>
    </w:p>
    <w:p w14:paraId="4A15F09B">
      <w:pPr>
        <w:pStyle w:val="2"/>
        <w:spacing w:after="0"/>
        <w:ind w:firstLine="480"/>
      </w:pPr>
      <w:r>
        <w:rPr>
          <w:rFonts w:hint="eastAsia"/>
        </w:rPr>
        <w:t>项目区位于山前倾斜平原区域。</w:t>
      </w:r>
    </w:p>
    <w:p w14:paraId="4BD38473">
      <w:pPr>
        <w:pStyle w:val="6"/>
        <w:ind w:left="0" w:firstLine="482" w:firstLineChars="200"/>
      </w:pPr>
      <w:r>
        <w:rPr>
          <w:rFonts w:hint="eastAsia"/>
        </w:rPr>
        <w:t>地层</w:t>
      </w:r>
    </w:p>
    <w:p w14:paraId="3AF76C8F">
      <w:pPr>
        <w:pStyle w:val="2"/>
        <w:spacing w:after="0"/>
        <w:ind w:firstLine="480"/>
      </w:pPr>
      <w:r>
        <w:rPr>
          <w:rFonts w:hint="eastAsia"/>
        </w:rPr>
        <w:t>卫辉市东南部属于黄河冲积平原、西北部属于山前冲洪积倾斜平原之冲洪积缓倾斜地，地表为第四系覆盖，其下覆地层依次为新近系、奥陶系、寒武系、上元古界地层，区域地层由老至新分述如下：</w:t>
      </w:r>
    </w:p>
    <w:p w14:paraId="410C8F41">
      <w:pPr>
        <w:pStyle w:val="2"/>
        <w:spacing w:after="0"/>
        <w:ind w:firstLine="480"/>
      </w:pPr>
      <w:r>
        <w:rPr>
          <w:rFonts w:hint="eastAsia"/>
        </w:rPr>
        <w:t>（1）上元古界（Pt）</w:t>
      </w:r>
    </w:p>
    <w:p w14:paraId="53BF71BF">
      <w:pPr>
        <w:pStyle w:val="2"/>
        <w:spacing w:after="0"/>
        <w:ind w:firstLine="480"/>
      </w:pPr>
      <w:r>
        <w:rPr>
          <w:rFonts w:hint="eastAsia"/>
        </w:rPr>
        <w:t>该地层断续分布于郭帽山、云梦山的山腰处，形成极醒目的带状陡坎地貌。岩性为一套紫红色巨厚层状石英岩状砂岩。明显区别于上、下地层。</w:t>
      </w:r>
    </w:p>
    <w:p w14:paraId="727B8D91">
      <w:pPr>
        <w:pStyle w:val="2"/>
        <w:spacing w:after="0"/>
        <w:ind w:firstLine="480"/>
      </w:pPr>
      <w:r>
        <w:rPr>
          <w:rFonts w:hint="eastAsia"/>
        </w:rPr>
        <w:t>（2）寒武系（∈）</w:t>
      </w:r>
    </w:p>
    <w:p w14:paraId="69244BB2">
      <w:pPr>
        <w:pStyle w:val="2"/>
        <w:spacing w:after="0"/>
        <w:ind w:firstLine="480"/>
      </w:pPr>
      <w:r>
        <w:rPr>
          <w:rFonts w:hint="eastAsia"/>
        </w:rPr>
        <w:t>主要分布于云梦山、郭帽山附近。为一套以灰绿色、黄绿色页岩、灰色厚层状灰岩、鲕状灰岩、鲕状白云岩为主的地层。不整合于太古界、上古界地层之上。</w:t>
      </w:r>
    </w:p>
    <w:p w14:paraId="3078DE9B">
      <w:pPr>
        <w:pStyle w:val="2"/>
        <w:spacing w:after="0"/>
        <w:ind w:firstLine="480"/>
      </w:pPr>
      <w:r>
        <w:rPr>
          <w:rFonts w:hint="eastAsia"/>
        </w:rPr>
        <w:t>（3）奥陶系（O）</w:t>
      </w:r>
    </w:p>
    <w:p w14:paraId="3CDB6D88">
      <w:pPr>
        <w:pStyle w:val="2"/>
        <w:spacing w:after="0"/>
        <w:ind w:firstLine="480"/>
      </w:pPr>
      <w:r>
        <w:rPr>
          <w:rFonts w:hint="eastAsia"/>
        </w:rPr>
        <w:t>分布于东陈召—分将池、大池山附近。岩性为灰色含燧石条带白云岩、角砾状灰岩、灰色厚层状灰岩。与下伏地层寒武系地层平行不整合接触。</w:t>
      </w:r>
    </w:p>
    <w:p w14:paraId="4905D30C">
      <w:pPr>
        <w:pStyle w:val="2"/>
        <w:spacing w:after="0"/>
        <w:ind w:firstLine="480"/>
      </w:pPr>
      <w:r>
        <w:rPr>
          <w:rFonts w:hint="eastAsia"/>
        </w:rPr>
        <w:t>（4）新近系（N</w:t>
      </w:r>
      <w:r>
        <w:rPr>
          <w:rFonts w:hint="eastAsia"/>
          <w:vertAlign w:val="subscript"/>
        </w:rPr>
        <w:t>2</w:t>
      </w:r>
      <w:r>
        <w:rPr>
          <w:rFonts w:hint="eastAsia"/>
        </w:rPr>
        <w:t>h）</w:t>
      </w:r>
    </w:p>
    <w:p w14:paraId="2AB51717">
      <w:pPr>
        <w:pStyle w:val="2"/>
        <w:spacing w:after="0"/>
        <w:ind w:firstLine="480"/>
      </w:pPr>
      <w:r>
        <w:rPr>
          <w:rFonts w:hint="eastAsia"/>
        </w:rPr>
        <w:t>零星出露于东陈召、卫辉市北侧，形成岗地地貌。岩性主要为灰白色、白色钙质、砂质泥岩、砂岩。</w:t>
      </w:r>
    </w:p>
    <w:p w14:paraId="004395AA">
      <w:pPr>
        <w:pStyle w:val="2"/>
        <w:spacing w:after="0"/>
        <w:ind w:firstLine="480"/>
      </w:pPr>
      <w:r>
        <w:rPr>
          <w:rFonts w:hint="eastAsia"/>
        </w:rPr>
        <w:t>（5）第四系（Q）</w:t>
      </w:r>
    </w:p>
    <w:p w14:paraId="1A1E3F6B">
      <w:pPr>
        <w:pStyle w:val="2"/>
        <w:spacing w:after="0"/>
        <w:ind w:firstLine="480"/>
      </w:pPr>
      <w:r>
        <w:rPr>
          <w:rFonts w:hint="eastAsia"/>
        </w:rPr>
        <w:t>第四系广泛出露，岩性以坡洪积、冲洪积成因的浅黄褐色、棕红色含砾、砂粉质粘土、灰黄色、浅灰色富含砾石及其透镜体的粉土、卵砾石层及黄河冲洪积成因的灰黄色粉质粘土、粉土、粉砂。</w:t>
      </w:r>
    </w:p>
    <w:p w14:paraId="277B3199">
      <w:pPr>
        <w:pStyle w:val="6"/>
        <w:spacing w:after="0"/>
        <w:ind w:left="0" w:firstLine="482" w:firstLineChars="200"/>
      </w:pPr>
      <w:r>
        <w:rPr>
          <w:rFonts w:hint="eastAsia"/>
        </w:rPr>
        <w:t>地质构造</w:t>
      </w:r>
    </w:p>
    <w:p w14:paraId="4A3EFCB7">
      <w:pPr>
        <w:pStyle w:val="2"/>
        <w:spacing w:after="0"/>
        <w:ind w:firstLine="480"/>
      </w:pPr>
      <w:r>
        <w:rPr>
          <w:rFonts w:hint="eastAsia"/>
        </w:rPr>
        <w:t>项目区位于华北坳陷的中南部，可划分为太行山隆起区和南华北平原断陷区两个一级构造单元，南华北平原断陷区又可进一步划分为汤阴地堑、浚县隆起两个次级构造单元。</w:t>
      </w:r>
    </w:p>
    <w:p w14:paraId="220CD843">
      <w:pPr>
        <w:pStyle w:val="2"/>
        <w:spacing w:after="0"/>
        <w:ind w:firstLine="480"/>
      </w:pPr>
      <w:r>
        <w:rPr>
          <w:rFonts w:hint="eastAsia"/>
        </w:rPr>
        <w:t>（1）太行山隆起区：为太行山山前断裂带以西地区，是一个新生代隆起区。新生代以来最大抬升幅度达1500-2000m，新构造时期上升量100-300m。总体地势西高东低。</w:t>
      </w:r>
    </w:p>
    <w:p w14:paraId="205D1F9A">
      <w:pPr>
        <w:pStyle w:val="2"/>
        <w:spacing w:after="0"/>
        <w:ind w:firstLine="480"/>
      </w:pPr>
      <w:r>
        <w:rPr>
          <w:rFonts w:hint="eastAsia"/>
        </w:rPr>
        <w:t>（2）浚县隆起：以太古代古老变质岩和早古生代地层为基底，表层覆盖有200-500m厚的新近系，总体上为向南东倾斜的单面隆起，是基底整体性较好的坚硬地块。</w:t>
      </w:r>
    </w:p>
    <w:p w14:paraId="597BE932">
      <w:pPr>
        <w:pStyle w:val="2"/>
        <w:spacing w:after="0"/>
        <w:ind w:firstLine="480"/>
      </w:pPr>
      <w:r>
        <w:rPr>
          <w:rFonts w:hint="eastAsia"/>
        </w:rPr>
        <w:t>（3）汤阴地堑：太行山隆起和浚县隆起之间的北东向地堑。汤阴地堑是以汤东断裂和汤西断裂为边界的双边地堑，北截止于安阳南断裂，南截止于新乡—商丘断裂附近，总体走向北北东，南北延伸约110km，东西宽20-25km。区域地质构造比较复杂，断裂构造非常发育，既有控制断块边界的深大断裂，也有断块内部的大断裂，这些断裂的规模、活动强度各有不懂，对项目区有影响的北北东和北东向断裂构造带有汤西断裂、汤东断裂，北西西向断裂有：安阳南断裂，它们对本区发生不同强度地震起严格的控制作用。各断层的构造形态分述如下：</w:t>
      </w:r>
    </w:p>
    <w:p w14:paraId="171D7403">
      <w:pPr>
        <w:pStyle w:val="2"/>
        <w:spacing w:after="0"/>
        <w:ind w:firstLine="480"/>
      </w:pPr>
      <w:r>
        <w:rPr>
          <w:rFonts w:hint="eastAsia"/>
        </w:rPr>
        <w:t>①汤西断裂，汤西断裂是汤阴地堑的西部边界断裂，也是太行山区域南华北平原的主要分界线。断裂南起新乡，经太公泉、青羊口、庙口，过宜沟后，逐渐隐伏于汤阴以西的丘陵中，走向北东300，倾向东，倾角750，全场70km。断裂西侧（上升盘）出露太古界到古生界，东侧（下降盘）新近系—第四系沉积厚度达千米以上。</w:t>
      </w:r>
    </w:p>
    <w:p w14:paraId="119C8779">
      <w:pPr>
        <w:pStyle w:val="2"/>
        <w:spacing w:after="0"/>
        <w:ind w:firstLine="480"/>
      </w:pPr>
      <w:r>
        <w:rPr>
          <w:rFonts w:hint="eastAsia"/>
        </w:rPr>
        <w:t>②汤东断裂，南起新乡良村以南，向北经李源屯、石奶庙、卫贤、聂下雾、翟家村，过伏道和白营后延伸至高庄一带，被安阳南断裂所截，全长约90km。该断裂走向北北东，倾向西，为一条断裂面上陡下缓的正断层。</w:t>
      </w:r>
    </w:p>
    <w:p w14:paraId="699F131A">
      <w:pPr>
        <w:pStyle w:val="2"/>
        <w:spacing w:after="0"/>
        <w:ind w:firstLine="480"/>
      </w:pPr>
      <w:r>
        <w:rPr>
          <w:rFonts w:hint="eastAsia"/>
        </w:rPr>
        <w:t>③安阳南断裂：本断裂西起水冶许家沟附近，东经安阳市区以南直到内黄、清丰一带，长度100km以上。断裂走向北西西，倾向北，在许家沟附近，奥陶系灰岩不连续，水冶的晚古生界石炭—二叠纪地层有较大错位。断裂南侧的彰武、张家岗、张家沟一带，新近系鹤壁组砾岩出露地表，呈岗丘地形；北侧为下更新统红土砾石层。根据近几年浅层地震勘探资料，该断层在中所屯南，走向北西西，倾向北北东，南盘上升，北盘下降，为正断层。</w:t>
      </w:r>
    </w:p>
    <w:p w14:paraId="2428B96D">
      <w:pPr>
        <w:pStyle w:val="2"/>
        <w:spacing w:after="0"/>
        <w:ind w:firstLine="480"/>
      </w:pPr>
      <w:r>
        <w:rPr>
          <w:rFonts w:hint="eastAsia"/>
        </w:rPr>
        <w:t>该区域自有史料记载以来，地震活动不太强烈，该区域及邻近地区历史上曾经发生过较大地震，详见历史较大震情一览表。</w:t>
      </w:r>
    </w:p>
    <w:p w14:paraId="449C15BB">
      <w:pPr>
        <w:pStyle w:val="64"/>
        <w:numPr>
          <w:ilvl w:val="0"/>
          <w:numId w:val="28"/>
        </w:numPr>
        <w:spacing w:before="120" w:after="161"/>
        <w:ind w:firstLineChars="0"/>
        <w:rPr>
          <w:bCs/>
        </w:rPr>
      </w:pPr>
      <w:r>
        <w:rPr>
          <w:rFonts w:hint="eastAsia"/>
          <w:bCs/>
        </w:rPr>
        <w:t xml:space="preserve">             历史较大震情一览表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186"/>
        <w:gridCol w:w="1186"/>
        <w:gridCol w:w="1186"/>
        <w:gridCol w:w="1186"/>
        <w:gridCol w:w="1186"/>
        <w:gridCol w:w="1186"/>
      </w:tblGrid>
      <w:tr w14:paraId="3D44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6" w:type="dxa"/>
            <w:vAlign w:val="center"/>
          </w:tcPr>
          <w:p w14:paraId="5A97CE0F">
            <w:pPr>
              <w:pStyle w:val="2"/>
              <w:spacing w:after="0" w:line="240" w:lineRule="auto"/>
              <w:ind w:firstLine="0" w:firstLineChars="0"/>
              <w:jc w:val="center"/>
              <w:rPr>
                <w:b/>
                <w:bCs/>
                <w:sz w:val="21"/>
                <w:szCs w:val="21"/>
              </w:rPr>
            </w:pPr>
            <w:r>
              <w:rPr>
                <w:rFonts w:hint="eastAsia"/>
                <w:b/>
                <w:bCs/>
                <w:sz w:val="21"/>
                <w:szCs w:val="21"/>
              </w:rPr>
              <w:t>编号</w:t>
            </w:r>
          </w:p>
        </w:tc>
        <w:tc>
          <w:tcPr>
            <w:tcW w:w="1186" w:type="dxa"/>
            <w:vAlign w:val="center"/>
          </w:tcPr>
          <w:p w14:paraId="0CC901B9">
            <w:pPr>
              <w:pStyle w:val="2"/>
              <w:spacing w:after="0" w:line="240" w:lineRule="auto"/>
              <w:ind w:firstLine="0" w:firstLineChars="0"/>
              <w:jc w:val="center"/>
              <w:rPr>
                <w:b/>
                <w:bCs/>
                <w:sz w:val="21"/>
                <w:szCs w:val="21"/>
              </w:rPr>
            </w:pPr>
            <w:r>
              <w:rPr>
                <w:rFonts w:hint="eastAsia"/>
                <w:b/>
                <w:bCs/>
                <w:sz w:val="21"/>
                <w:szCs w:val="21"/>
              </w:rPr>
              <w:t>发震时间</w:t>
            </w:r>
          </w:p>
        </w:tc>
        <w:tc>
          <w:tcPr>
            <w:tcW w:w="1186" w:type="dxa"/>
            <w:vAlign w:val="center"/>
          </w:tcPr>
          <w:p w14:paraId="1653DBBE">
            <w:pPr>
              <w:pStyle w:val="2"/>
              <w:spacing w:after="0" w:line="240" w:lineRule="auto"/>
              <w:ind w:firstLine="0" w:firstLineChars="0"/>
              <w:jc w:val="center"/>
              <w:rPr>
                <w:b/>
                <w:bCs/>
                <w:sz w:val="21"/>
                <w:szCs w:val="21"/>
              </w:rPr>
            </w:pPr>
            <w:r>
              <w:rPr>
                <w:rFonts w:hint="eastAsia"/>
                <w:b/>
                <w:bCs/>
                <w:sz w:val="21"/>
                <w:szCs w:val="21"/>
              </w:rPr>
              <w:t>北纬（°）</w:t>
            </w:r>
          </w:p>
        </w:tc>
        <w:tc>
          <w:tcPr>
            <w:tcW w:w="1186" w:type="dxa"/>
            <w:vAlign w:val="center"/>
          </w:tcPr>
          <w:p w14:paraId="2A21D115">
            <w:pPr>
              <w:pStyle w:val="2"/>
              <w:spacing w:after="0" w:line="240" w:lineRule="auto"/>
              <w:ind w:firstLine="0" w:firstLineChars="0"/>
              <w:jc w:val="center"/>
              <w:rPr>
                <w:b/>
                <w:bCs/>
                <w:sz w:val="21"/>
                <w:szCs w:val="21"/>
              </w:rPr>
            </w:pPr>
            <w:r>
              <w:rPr>
                <w:rFonts w:hint="eastAsia"/>
                <w:b/>
                <w:bCs/>
                <w:sz w:val="21"/>
                <w:szCs w:val="21"/>
              </w:rPr>
              <w:t>东经（°）</w:t>
            </w:r>
          </w:p>
        </w:tc>
        <w:tc>
          <w:tcPr>
            <w:tcW w:w="1186" w:type="dxa"/>
            <w:vAlign w:val="center"/>
          </w:tcPr>
          <w:p w14:paraId="6E5EC9EC">
            <w:pPr>
              <w:pStyle w:val="2"/>
              <w:spacing w:after="0" w:line="240" w:lineRule="auto"/>
              <w:ind w:firstLine="0" w:firstLineChars="0"/>
              <w:jc w:val="center"/>
              <w:rPr>
                <w:b/>
                <w:bCs/>
                <w:sz w:val="21"/>
                <w:szCs w:val="21"/>
              </w:rPr>
            </w:pPr>
            <w:r>
              <w:rPr>
                <w:rFonts w:hint="eastAsia"/>
                <w:b/>
                <w:bCs/>
                <w:sz w:val="21"/>
                <w:szCs w:val="21"/>
              </w:rPr>
              <w:t>参考地名</w:t>
            </w:r>
          </w:p>
        </w:tc>
        <w:tc>
          <w:tcPr>
            <w:tcW w:w="1186" w:type="dxa"/>
            <w:vAlign w:val="center"/>
          </w:tcPr>
          <w:p w14:paraId="457564E3">
            <w:pPr>
              <w:pStyle w:val="2"/>
              <w:spacing w:after="0" w:line="240" w:lineRule="auto"/>
              <w:ind w:firstLine="0" w:firstLineChars="0"/>
              <w:jc w:val="center"/>
              <w:rPr>
                <w:b/>
                <w:bCs/>
                <w:sz w:val="21"/>
                <w:szCs w:val="21"/>
              </w:rPr>
            </w:pPr>
            <w:r>
              <w:rPr>
                <w:rFonts w:hint="eastAsia"/>
                <w:b/>
                <w:bCs/>
                <w:sz w:val="21"/>
                <w:szCs w:val="21"/>
              </w:rPr>
              <w:t>震级</w:t>
            </w:r>
          </w:p>
        </w:tc>
        <w:tc>
          <w:tcPr>
            <w:tcW w:w="1186" w:type="dxa"/>
            <w:vAlign w:val="center"/>
          </w:tcPr>
          <w:p w14:paraId="43AC1F92">
            <w:pPr>
              <w:pStyle w:val="2"/>
              <w:spacing w:after="0" w:line="240" w:lineRule="auto"/>
              <w:ind w:firstLine="0" w:firstLineChars="0"/>
              <w:jc w:val="center"/>
              <w:rPr>
                <w:b/>
                <w:bCs/>
                <w:sz w:val="21"/>
                <w:szCs w:val="21"/>
              </w:rPr>
            </w:pPr>
            <w:r>
              <w:rPr>
                <w:rFonts w:hint="eastAsia"/>
                <w:b/>
                <w:bCs/>
                <w:sz w:val="21"/>
                <w:szCs w:val="21"/>
              </w:rPr>
              <w:t>震中烈度</w:t>
            </w:r>
          </w:p>
        </w:tc>
      </w:tr>
      <w:tr w14:paraId="4BAA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6" w:type="dxa"/>
            <w:vAlign w:val="center"/>
          </w:tcPr>
          <w:p w14:paraId="769A3972">
            <w:pPr>
              <w:pStyle w:val="2"/>
              <w:spacing w:after="0" w:line="240" w:lineRule="auto"/>
              <w:ind w:firstLine="0" w:firstLineChars="0"/>
              <w:jc w:val="center"/>
              <w:rPr>
                <w:sz w:val="21"/>
                <w:szCs w:val="21"/>
              </w:rPr>
            </w:pPr>
            <w:r>
              <w:rPr>
                <w:rFonts w:hint="eastAsia"/>
                <w:sz w:val="21"/>
                <w:szCs w:val="21"/>
              </w:rPr>
              <w:t>1</w:t>
            </w:r>
          </w:p>
        </w:tc>
        <w:tc>
          <w:tcPr>
            <w:tcW w:w="1186" w:type="dxa"/>
            <w:vAlign w:val="center"/>
          </w:tcPr>
          <w:p w14:paraId="159AD46F">
            <w:pPr>
              <w:pStyle w:val="2"/>
              <w:spacing w:after="0" w:line="240" w:lineRule="auto"/>
              <w:ind w:firstLine="0" w:firstLineChars="0"/>
              <w:jc w:val="center"/>
              <w:rPr>
                <w:sz w:val="21"/>
                <w:szCs w:val="21"/>
              </w:rPr>
            </w:pPr>
            <w:r>
              <w:rPr>
                <w:rFonts w:hint="eastAsia"/>
                <w:sz w:val="21"/>
                <w:szCs w:val="21"/>
              </w:rPr>
              <w:t>1314.10.13</w:t>
            </w:r>
          </w:p>
        </w:tc>
        <w:tc>
          <w:tcPr>
            <w:tcW w:w="1186" w:type="dxa"/>
            <w:vAlign w:val="center"/>
          </w:tcPr>
          <w:p w14:paraId="6FD47047">
            <w:pPr>
              <w:pStyle w:val="2"/>
              <w:spacing w:after="0" w:line="240" w:lineRule="auto"/>
              <w:ind w:firstLine="0" w:firstLineChars="0"/>
              <w:jc w:val="center"/>
              <w:rPr>
                <w:sz w:val="21"/>
                <w:szCs w:val="21"/>
              </w:rPr>
            </w:pPr>
            <w:r>
              <w:rPr>
                <w:rFonts w:hint="eastAsia"/>
                <w:sz w:val="21"/>
                <w:szCs w:val="21"/>
              </w:rPr>
              <w:t>36.3</w:t>
            </w:r>
          </w:p>
        </w:tc>
        <w:tc>
          <w:tcPr>
            <w:tcW w:w="1186" w:type="dxa"/>
            <w:vAlign w:val="center"/>
          </w:tcPr>
          <w:p w14:paraId="43E43859">
            <w:pPr>
              <w:pStyle w:val="2"/>
              <w:spacing w:after="0" w:line="240" w:lineRule="auto"/>
              <w:ind w:firstLine="0" w:firstLineChars="0"/>
              <w:jc w:val="center"/>
              <w:rPr>
                <w:sz w:val="21"/>
                <w:szCs w:val="21"/>
              </w:rPr>
            </w:pPr>
            <w:r>
              <w:rPr>
                <w:rFonts w:hint="eastAsia"/>
                <w:sz w:val="21"/>
                <w:szCs w:val="21"/>
              </w:rPr>
              <w:t>113.6</w:t>
            </w:r>
          </w:p>
        </w:tc>
        <w:tc>
          <w:tcPr>
            <w:tcW w:w="1186" w:type="dxa"/>
            <w:vAlign w:val="center"/>
          </w:tcPr>
          <w:p w14:paraId="25527F2E">
            <w:pPr>
              <w:pStyle w:val="2"/>
              <w:spacing w:after="0" w:line="240" w:lineRule="auto"/>
              <w:ind w:firstLine="0" w:firstLineChars="0"/>
              <w:jc w:val="center"/>
              <w:rPr>
                <w:sz w:val="21"/>
                <w:szCs w:val="21"/>
              </w:rPr>
            </w:pPr>
            <w:r>
              <w:rPr>
                <w:rFonts w:hint="eastAsia"/>
                <w:sz w:val="21"/>
                <w:szCs w:val="21"/>
              </w:rPr>
              <w:t>河北涉县</w:t>
            </w:r>
          </w:p>
        </w:tc>
        <w:tc>
          <w:tcPr>
            <w:tcW w:w="1186" w:type="dxa"/>
            <w:vAlign w:val="center"/>
          </w:tcPr>
          <w:p w14:paraId="68E5E12C">
            <w:pPr>
              <w:pStyle w:val="2"/>
              <w:spacing w:after="0" w:line="240" w:lineRule="auto"/>
              <w:ind w:firstLine="0" w:firstLineChars="0"/>
              <w:jc w:val="center"/>
              <w:rPr>
                <w:sz w:val="21"/>
                <w:szCs w:val="21"/>
              </w:rPr>
            </w:pPr>
            <w:r>
              <w:rPr>
                <w:rFonts w:hint="eastAsia"/>
                <w:sz w:val="21"/>
                <w:szCs w:val="21"/>
              </w:rPr>
              <w:t>6</w:t>
            </w:r>
          </w:p>
        </w:tc>
        <w:tc>
          <w:tcPr>
            <w:tcW w:w="1186" w:type="dxa"/>
            <w:vAlign w:val="center"/>
          </w:tcPr>
          <w:p w14:paraId="55FC508A">
            <w:pPr>
              <w:pStyle w:val="2"/>
              <w:spacing w:after="0" w:line="240" w:lineRule="auto"/>
              <w:ind w:firstLine="0" w:firstLineChars="0"/>
              <w:jc w:val="center"/>
              <w:rPr>
                <w:sz w:val="21"/>
                <w:szCs w:val="21"/>
              </w:rPr>
            </w:pPr>
            <w:r>
              <w:rPr>
                <w:rFonts w:hint="eastAsia"/>
                <w:sz w:val="21"/>
                <w:szCs w:val="21"/>
              </w:rPr>
              <w:t>VII</w:t>
            </w:r>
          </w:p>
        </w:tc>
      </w:tr>
      <w:tr w14:paraId="2222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6" w:type="dxa"/>
            <w:vAlign w:val="center"/>
          </w:tcPr>
          <w:p w14:paraId="6D9A3A56">
            <w:pPr>
              <w:pStyle w:val="2"/>
              <w:spacing w:after="0" w:line="240" w:lineRule="auto"/>
              <w:ind w:firstLine="0" w:firstLineChars="0"/>
              <w:jc w:val="center"/>
              <w:rPr>
                <w:sz w:val="21"/>
                <w:szCs w:val="21"/>
              </w:rPr>
            </w:pPr>
            <w:r>
              <w:rPr>
                <w:rFonts w:hint="eastAsia"/>
                <w:sz w:val="21"/>
                <w:szCs w:val="21"/>
              </w:rPr>
              <w:t>2</w:t>
            </w:r>
          </w:p>
        </w:tc>
        <w:tc>
          <w:tcPr>
            <w:tcW w:w="1186" w:type="dxa"/>
            <w:vAlign w:val="center"/>
          </w:tcPr>
          <w:p w14:paraId="50BCF8F7">
            <w:pPr>
              <w:pStyle w:val="2"/>
              <w:spacing w:after="0" w:line="240" w:lineRule="auto"/>
              <w:ind w:firstLine="0" w:firstLineChars="0"/>
              <w:jc w:val="center"/>
              <w:rPr>
                <w:sz w:val="21"/>
                <w:szCs w:val="21"/>
              </w:rPr>
            </w:pPr>
            <w:r>
              <w:rPr>
                <w:rFonts w:hint="eastAsia"/>
                <w:sz w:val="21"/>
                <w:szCs w:val="21"/>
              </w:rPr>
              <w:t>1830.06.12</w:t>
            </w:r>
          </w:p>
        </w:tc>
        <w:tc>
          <w:tcPr>
            <w:tcW w:w="1186" w:type="dxa"/>
            <w:vAlign w:val="center"/>
          </w:tcPr>
          <w:p w14:paraId="7CA80227">
            <w:pPr>
              <w:pStyle w:val="2"/>
              <w:spacing w:after="0" w:line="240" w:lineRule="auto"/>
              <w:ind w:firstLine="0" w:firstLineChars="0"/>
              <w:jc w:val="center"/>
              <w:rPr>
                <w:sz w:val="21"/>
                <w:szCs w:val="21"/>
              </w:rPr>
            </w:pPr>
            <w:r>
              <w:rPr>
                <w:rFonts w:hint="eastAsia"/>
                <w:sz w:val="21"/>
                <w:szCs w:val="21"/>
              </w:rPr>
              <w:t>36.2</w:t>
            </w:r>
          </w:p>
        </w:tc>
        <w:tc>
          <w:tcPr>
            <w:tcW w:w="1186" w:type="dxa"/>
            <w:vAlign w:val="center"/>
          </w:tcPr>
          <w:p w14:paraId="54679DFC">
            <w:pPr>
              <w:pStyle w:val="2"/>
              <w:spacing w:after="0" w:line="240" w:lineRule="auto"/>
              <w:ind w:firstLine="0" w:firstLineChars="0"/>
              <w:jc w:val="center"/>
              <w:rPr>
                <w:sz w:val="21"/>
                <w:szCs w:val="21"/>
              </w:rPr>
            </w:pPr>
            <w:r>
              <w:rPr>
                <w:rFonts w:hint="eastAsia"/>
                <w:sz w:val="21"/>
                <w:szCs w:val="21"/>
              </w:rPr>
              <w:t>114.3</w:t>
            </w:r>
          </w:p>
        </w:tc>
        <w:tc>
          <w:tcPr>
            <w:tcW w:w="1186" w:type="dxa"/>
            <w:vAlign w:val="center"/>
          </w:tcPr>
          <w:p w14:paraId="2624A44A">
            <w:pPr>
              <w:pStyle w:val="2"/>
              <w:spacing w:after="0" w:line="240" w:lineRule="auto"/>
              <w:ind w:firstLine="0" w:firstLineChars="0"/>
              <w:jc w:val="center"/>
              <w:rPr>
                <w:sz w:val="21"/>
                <w:szCs w:val="21"/>
              </w:rPr>
            </w:pPr>
            <w:r>
              <w:rPr>
                <w:rFonts w:hint="eastAsia"/>
                <w:sz w:val="21"/>
                <w:szCs w:val="21"/>
              </w:rPr>
              <w:t>河北磁县</w:t>
            </w:r>
          </w:p>
        </w:tc>
        <w:tc>
          <w:tcPr>
            <w:tcW w:w="1186" w:type="dxa"/>
            <w:vAlign w:val="center"/>
          </w:tcPr>
          <w:p w14:paraId="66BF7941">
            <w:pPr>
              <w:pStyle w:val="2"/>
              <w:spacing w:after="0" w:line="240" w:lineRule="auto"/>
              <w:ind w:firstLine="0" w:firstLineChars="0"/>
              <w:jc w:val="center"/>
              <w:rPr>
                <w:sz w:val="21"/>
                <w:szCs w:val="21"/>
              </w:rPr>
            </w:pPr>
            <w:r>
              <w:rPr>
                <w:rFonts w:hint="eastAsia"/>
                <w:sz w:val="21"/>
                <w:szCs w:val="21"/>
              </w:rPr>
              <w:t>7.5</w:t>
            </w:r>
          </w:p>
        </w:tc>
        <w:tc>
          <w:tcPr>
            <w:tcW w:w="1186" w:type="dxa"/>
            <w:vAlign w:val="center"/>
          </w:tcPr>
          <w:p w14:paraId="5A9BB2AA">
            <w:pPr>
              <w:pStyle w:val="2"/>
              <w:spacing w:after="0" w:line="240" w:lineRule="auto"/>
              <w:ind w:firstLine="0" w:firstLineChars="0"/>
              <w:jc w:val="center"/>
              <w:rPr>
                <w:sz w:val="21"/>
                <w:szCs w:val="21"/>
              </w:rPr>
            </w:pPr>
            <w:r>
              <w:rPr>
                <w:rFonts w:hint="eastAsia"/>
                <w:sz w:val="21"/>
                <w:szCs w:val="21"/>
              </w:rPr>
              <w:t>VII</w:t>
            </w:r>
          </w:p>
        </w:tc>
      </w:tr>
      <w:tr w14:paraId="6B54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6" w:type="dxa"/>
            <w:vAlign w:val="center"/>
          </w:tcPr>
          <w:p w14:paraId="0F7A6C32">
            <w:pPr>
              <w:pStyle w:val="2"/>
              <w:spacing w:after="0" w:line="240" w:lineRule="auto"/>
              <w:ind w:firstLine="0" w:firstLineChars="0"/>
              <w:jc w:val="center"/>
              <w:rPr>
                <w:sz w:val="21"/>
                <w:szCs w:val="21"/>
              </w:rPr>
            </w:pPr>
            <w:r>
              <w:rPr>
                <w:rFonts w:hint="eastAsia"/>
                <w:sz w:val="21"/>
                <w:szCs w:val="21"/>
              </w:rPr>
              <w:t>3</w:t>
            </w:r>
          </w:p>
        </w:tc>
        <w:tc>
          <w:tcPr>
            <w:tcW w:w="1186" w:type="dxa"/>
            <w:vAlign w:val="center"/>
          </w:tcPr>
          <w:p w14:paraId="66956146">
            <w:pPr>
              <w:pStyle w:val="2"/>
              <w:spacing w:after="0" w:line="240" w:lineRule="auto"/>
              <w:ind w:firstLine="0" w:firstLineChars="0"/>
              <w:jc w:val="center"/>
              <w:rPr>
                <w:sz w:val="21"/>
                <w:szCs w:val="21"/>
              </w:rPr>
            </w:pPr>
            <w:r>
              <w:rPr>
                <w:rFonts w:hint="eastAsia"/>
                <w:sz w:val="21"/>
                <w:szCs w:val="21"/>
              </w:rPr>
              <w:t>344.12</w:t>
            </w:r>
          </w:p>
        </w:tc>
        <w:tc>
          <w:tcPr>
            <w:tcW w:w="1186" w:type="dxa"/>
            <w:vAlign w:val="center"/>
          </w:tcPr>
          <w:p w14:paraId="0BC1B398">
            <w:pPr>
              <w:pStyle w:val="2"/>
              <w:spacing w:after="0" w:line="240" w:lineRule="auto"/>
              <w:ind w:firstLine="0" w:firstLineChars="0"/>
              <w:jc w:val="center"/>
              <w:rPr>
                <w:sz w:val="21"/>
                <w:szCs w:val="21"/>
              </w:rPr>
            </w:pPr>
            <w:r>
              <w:rPr>
                <w:rFonts w:hint="eastAsia"/>
                <w:sz w:val="21"/>
                <w:szCs w:val="21"/>
              </w:rPr>
              <w:t>35.2</w:t>
            </w:r>
          </w:p>
        </w:tc>
        <w:tc>
          <w:tcPr>
            <w:tcW w:w="1186" w:type="dxa"/>
            <w:vAlign w:val="center"/>
          </w:tcPr>
          <w:p w14:paraId="211376AF">
            <w:pPr>
              <w:pStyle w:val="2"/>
              <w:spacing w:after="0" w:line="240" w:lineRule="auto"/>
              <w:ind w:firstLine="0" w:firstLineChars="0"/>
              <w:jc w:val="center"/>
              <w:rPr>
                <w:sz w:val="21"/>
                <w:szCs w:val="21"/>
              </w:rPr>
            </w:pPr>
            <w:r>
              <w:rPr>
                <w:rFonts w:hint="eastAsia"/>
                <w:sz w:val="21"/>
                <w:szCs w:val="21"/>
              </w:rPr>
              <w:t>114.3</w:t>
            </w:r>
          </w:p>
        </w:tc>
        <w:tc>
          <w:tcPr>
            <w:tcW w:w="1186" w:type="dxa"/>
            <w:vAlign w:val="center"/>
          </w:tcPr>
          <w:p w14:paraId="02BCCE5A">
            <w:pPr>
              <w:pStyle w:val="2"/>
              <w:spacing w:after="0" w:line="240" w:lineRule="auto"/>
              <w:ind w:firstLine="0" w:firstLineChars="0"/>
              <w:jc w:val="center"/>
              <w:rPr>
                <w:sz w:val="21"/>
                <w:szCs w:val="21"/>
              </w:rPr>
            </w:pPr>
            <w:r>
              <w:rPr>
                <w:rFonts w:hint="eastAsia"/>
                <w:sz w:val="21"/>
                <w:szCs w:val="21"/>
              </w:rPr>
              <w:t>河南新乡</w:t>
            </w:r>
          </w:p>
        </w:tc>
        <w:tc>
          <w:tcPr>
            <w:tcW w:w="1186" w:type="dxa"/>
            <w:vAlign w:val="center"/>
          </w:tcPr>
          <w:p w14:paraId="2044FDB5">
            <w:pPr>
              <w:pStyle w:val="2"/>
              <w:spacing w:after="0" w:line="240" w:lineRule="auto"/>
              <w:ind w:firstLine="0" w:firstLineChars="0"/>
              <w:jc w:val="center"/>
              <w:rPr>
                <w:sz w:val="21"/>
                <w:szCs w:val="21"/>
              </w:rPr>
            </w:pPr>
            <w:r>
              <w:rPr>
                <w:rFonts w:hint="eastAsia"/>
                <w:sz w:val="21"/>
                <w:szCs w:val="21"/>
              </w:rPr>
              <w:t>6</w:t>
            </w:r>
          </w:p>
        </w:tc>
        <w:tc>
          <w:tcPr>
            <w:tcW w:w="1186" w:type="dxa"/>
            <w:vAlign w:val="center"/>
          </w:tcPr>
          <w:p w14:paraId="11C5C647">
            <w:pPr>
              <w:pStyle w:val="2"/>
              <w:spacing w:after="0" w:line="240" w:lineRule="auto"/>
              <w:ind w:firstLine="0" w:firstLineChars="0"/>
              <w:jc w:val="center"/>
              <w:rPr>
                <w:sz w:val="21"/>
                <w:szCs w:val="21"/>
              </w:rPr>
            </w:pPr>
            <w:r>
              <w:rPr>
                <w:rFonts w:hint="eastAsia"/>
                <w:sz w:val="21"/>
                <w:szCs w:val="21"/>
              </w:rPr>
              <w:t>VIII</w:t>
            </w:r>
          </w:p>
        </w:tc>
      </w:tr>
      <w:tr w14:paraId="1BD5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6" w:type="dxa"/>
            <w:vAlign w:val="center"/>
          </w:tcPr>
          <w:p w14:paraId="195FCBD9">
            <w:pPr>
              <w:pStyle w:val="2"/>
              <w:spacing w:after="0" w:line="240" w:lineRule="auto"/>
              <w:ind w:firstLine="0" w:firstLineChars="0"/>
              <w:jc w:val="center"/>
              <w:rPr>
                <w:sz w:val="21"/>
                <w:szCs w:val="21"/>
              </w:rPr>
            </w:pPr>
            <w:r>
              <w:rPr>
                <w:rFonts w:hint="eastAsia"/>
                <w:sz w:val="21"/>
                <w:szCs w:val="21"/>
              </w:rPr>
              <w:t>4</w:t>
            </w:r>
          </w:p>
        </w:tc>
        <w:tc>
          <w:tcPr>
            <w:tcW w:w="1186" w:type="dxa"/>
            <w:vAlign w:val="center"/>
          </w:tcPr>
          <w:p w14:paraId="0B1BF883">
            <w:pPr>
              <w:pStyle w:val="2"/>
              <w:spacing w:after="0" w:line="240" w:lineRule="auto"/>
              <w:ind w:firstLine="0" w:firstLineChars="0"/>
              <w:jc w:val="center"/>
              <w:rPr>
                <w:sz w:val="21"/>
                <w:szCs w:val="21"/>
              </w:rPr>
            </w:pPr>
            <w:r>
              <w:rPr>
                <w:rFonts w:hint="eastAsia"/>
                <w:sz w:val="21"/>
                <w:szCs w:val="21"/>
              </w:rPr>
              <w:t>1587.04.10</w:t>
            </w:r>
          </w:p>
        </w:tc>
        <w:tc>
          <w:tcPr>
            <w:tcW w:w="1186" w:type="dxa"/>
            <w:vAlign w:val="center"/>
          </w:tcPr>
          <w:p w14:paraId="4B19614D">
            <w:pPr>
              <w:pStyle w:val="2"/>
              <w:spacing w:after="0" w:line="240" w:lineRule="auto"/>
              <w:ind w:firstLine="0" w:firstLineChars="0"/>
              <w:jc w:val="center"/>
              <w:rPr>
                <w:sz w:val="21"/>
                <w:szCs w:val="21"/>
              </w:rPr>
            </w:pPr>
            <w:r>
              <w:rPr>
                <w:rFonts w:hint="eastAsia"/>
                <w:sz w:val="21"/>
                <w:szCs w:val="21"/>
              </w:rPr>
              <w:t>35.5</w:t>
            </w:r>
          </w:p>
        </w:tc>
        <w:tc>
          <w:tcPr>
            <w:tcW w:w="1186" w:type="dxa"/>
            <w:vAlign w:val="center"/>
          </w:tcPr>
          <w:p w14:paraId="27B6AB27">
            <w:pPr>
              <w:pStyle w:val="2"/>
              <w:spacing w:after="0" w:line="240" w:lineRule="auto"/>
              <w:ind w:firstLine="0" w:firstLineChars="0"/>
              <w:jc w:val="center"/>
              <w:rPr>
                <w:sz w:val="21"/>
                <w:szCs w:val="21"/>
              </w:rPr>
            </w:pPr>
            <w:r>
              <w:rPr>
                <w:rFonts w:hint="eastAsia"/>
                <w:sz w:val="21"/>
                <w:szCs w:val="21"/>
              </w:rPr>
              <w:t>114</w:t>
            </w:r>
          </w:p>
        </w:tc>
        <w:tc>
          <w:tcPr>
            <w:tcW w:w="1186" w:type="dxa"/>
            <w:vAlign w:val="center"/>
          </w:tcPr>
          <w:p w14:paraId="25D0CB64">
            <w:pPr>
              <w:pStyle w:val="2"/>
              <w:spacing w:after="0" w:line="240" w:lineRule="auto"/>
              <w:ind w:firstLine="0" w:firstLineChars="0"/>
              <w:jc w:val="center"/>
              <w:rPr>
                <w:sz w:val="21"/>
                <w:szCs w:val="21"/>
              </w:rPr>
            </w:pPr>
            <w:r>
              <w:rPr>
                <w:rFonts w:hint="eastAsia"/>
                <w:sz w:val="21"/>
                <w:szCs w:val="21"/>
              </w:rPr>
              <w:t>河南修武</w:t>
            </w:r>
          </w:p>
        </w:tc>
        <w:tc>
          <w:tcPr>
            <w:tcW w:w="1186" w:type="dxa"/>
            <w:vAlign w:val="center"/>
          </w:tcPr>
          <w:p w14:paraId="56177519">
            <w:pPr>
              <w:pStyle w:val="2"/>
              <w:spacing w:after="0" w:line="240" w:lineRule="auto"/>
              <w:ind w:firstLine="0" w:firstLineChars="0"/>
              <w:jc w:val="center"/>
              <w:rPr>
                <w:sz w:val="21"/>
                <w:szCs w:val="21"/>
              </w:rPr>
            </w:pPr>
            <w:r>
              <w:rPr>
                <w:rFonts w:hint="eastAsia"/>
                <w:sz w:val="21"/>
                <w:szCs w:val="21"/>
              </w:rPr>
              <w:t>6</w:t>
            </w:r>
          </w:p>
        </w:tc>
        <w:tc>
          <w:tcPr>
            <w:tcW w:w="1186" w:type="dxa"/>
            <w:vAlign w:val="center"/>
          </w:tcPr>
          <w:p w14:paraId="5CF41BA5">
            <w:pPr>
              <w:pStyle w:val="2"/>
              <w:spacing w:after="0" w:line="240" w:lineRule="auto"/>
              <w:ind w:firstLine="0" w:firstLineChars="0"/>
              <w:jc w:val="center"/>
              <w:rPr>
                <w:sz w:val="21"/>
                <w:szCs w:val="21"/>
              </w:rPr>
            </w:pPr>
            <w:r>
              <w:rPr>
                <w:rFonts w:hint="eastAsia"/>
                <w:sz w:val="21"/>
                <w:szCs w:val="21"/>
              </w:rPr>
              <w:t>VII</w:t>
            </w:r>
          </w:p>
        </w:tc>
      </w:tr>
      <w:tr w14:paraId="5396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6" w:type="dxa"/>
            <w:vAlign w:val="center"/>
          </w:tcPr>
          <w:p w14:paraId="6407A6A7">
            <w:pPr>
              <w:pStyle w:val="2"/>
              <w:spacing w:after="0" w:line="240" w:lineRule="auto"/>
              <w:ind w:firstLine="0" w:firstLineChars="0"/>
              <w:jc w:val="center"/>
              <w:rPr>
                <w:sz w:val="21"/>
                <w:szCs w:val="21"/>
              </w:rPr>
            </w:pPr>
            <w:r>
              <w:rPr>
                <w:rFonts w:hint="eastAsia"/>
                <w:sz w:val="21"/>
                <w:szCs w:val="21"/>
              </w:rPr>
              <w:t>5</w:t>
            </w:r>
          </w:p>
        </w:tc>
        <w:tc>
          <w:tcPr>
            <w:tcW w:w="1186" w:type="dxa"/>
            <w:vAlign w:val="center"/>
          </w:tcPr>
          <w:p w14:paraId="149151E0">
            <w:pPr>
              <w:pStyle w:val="2"/>
              <w:spacing w:after="0" w:line="240" w:lineRule="auto"/>
              <w:ind w:firstLine="0" w:firstLineChars="0"/>
              <w:jc w:val="center"/>
              <w:rPr>
                <w:sz w:val="21"/>
                <w:szCs w:val="21"/>
              </w:rPr>
            </w:pPr>
            <w:r>
              <w:rPr>
                <w:rFonts w:hint="eastAsia"/>
                <w:sz w:val="21"/>
                <w:szCs w:val="21"/>
              </w:rPr>
              <w:t>1737.9.30</w:t>
            </w:r>
          </w:p>
        </w:tc>
        <w:tc>
          <w:tcPr>
            <w:tcW w:w="1186" w:type="dxa"/>
            <w:vAlign w:val="center"/>
          </w:tcPr>
          <w:p w14:paraId="25FEC5DC">
            <w:pPr>
              <w:pStyle w:val="2"/>
              <w:spacing w:after="0" w:line="240" w:lineRule="auto"/>
              <w:ind w:firstLine="0" w:firstLineChars="0"/>
              <w:jc w:val="center"/>
              <w:rPr>
                <w:sz w:val="21"/>
                <w:szCs w:val="21"/>
              </w:rPr>
            </w:pPr>
            <w:r>
              <w:rPr>
                <w:rFonts w:hint="eastAsia"/>
                <w:sz w:val="21"/>
                <w:szCs w:val="21"/>
              </w:rPr>
              <w:t>35.3</w:t>
            </w:r>
          </w:p>
        </w:tc>
        <w:tc>
          <w:tcPr>
            <w:tcW w:w="1186" w:type="dxa"/>
            <w:vAlign w:val="center"/>
          </w:tcPr>
          <w:p w14:paraId="39F94756">
            <w:pPr>
              <w:pStyle w:val="2"/>
              <w:spacing w:after="0" w:line="240" w:lineRule="auto"/>
              <w:ind w:firstLine="0" w:firstLineChars="0"/>
              <w:jc w:val="center"/>
              <w:rPr>
                <w:sz w:val="21"/>
                <w:szCs w:val="21"/>
              </w:rPr>
            </w:pPr>
            <w:r>
              <w:rPr>
                <w:rFonts w:hint="eastAsia"/>
                <w:sz w:val="21"/>
                <w:szCs w:val="21"/>
              </w:rPr>
              <w:t>113.8</w:t>
            </w:r>
          </w:p>
        </w:tc>
        <w:tc>
          <w:tcPr>
            <w:tcW w:w="1186" w:type="dxa"/>
            <w:vAlign w:val="center"/>
          </w:tcPr>
          <w:p w14:paraId="2B3293D9">
            <w:pPr>
              <w:pStyle w:val="2"/>
              <w:spacing w:after="0" w:line="240" w:lineRule="auto"/>
              <w:ind w:firstLine="0" w:firstLineChars="0"/>
              <w:jc w:val="center"/>
              <w:rPr>
                <w:sz w:val="21"/>
                <w:szCs w:val="21"/>
              </w:rPr>
            </w:pPr>
            <w:r>
              <w:rPr>
                <w:rFonts w:hint="eastAsia"/>
                <w:sz w:val="21"/>
                <w:szCs w:val="21"/>
              </w:rPr>
              <w:t>河南新乡</w:t>
            </w:r>
          </w:p>
        </w:tc>
        <w:tc>
          <w:tcPr>
            <w:tcW w:w="1186" w:type="dxa"/>
            <w:vAlign w:val="center"/>
          </w:tcPr>
          <w:p w14:paraId="4E5EAAFF">
            <w:pPr>
              <w:pStyle w:val="2"/>
              <w:spacing w:after="0" w:line="240" w:lineRule="auto"/>
              <w:ind w:firstLine="0" w:firstLineChars="0"/>
              <w:jc w:val="center"/>
              <w:rPr>
                <w:sz w:val="21"/>
                <w:szCs w:val="21"/>
              </w:rPr>
            </w:pPr>
            <w:r>
              <w:rPr>
                <w:rFonts w:hint="eastAsia"/>
                <w:sz w:val="21"/>
                <w:szCs w:val="21"/>
              </w:rPr>
              <w:t>5.5</w:t>
            </w:r>
          </w:p>
        </w:tc>
        <w:tc>
          <w:tcPr>
            <w:tcW w:w="1186" w:type="dxa"/>
            <w:vAlign w:val="center"/>
          </w:tcPr>
          <w:p w14:paraId="20D2D733">
            <w:pPr>
              <w:pStyle w:val="2"/>
              <w:spacing w:after="0" w:line="240" w:lineRule="auto"/>
              <w:ind w:firstLine="0" w:firstLineChars="0"/>
              <w:jc w:val="center"/>
              <w:rPr>
                <w:sz w:val="21"/>
                <w:szCs w:val="21"/>
              </w:rPr>
            </w:pPr>
            <w:r>
              <w:rPr>
                <w:rFonts w:hint="eastAsia"/>
                <w:sz w:val="21"/>
                <w:szCs w:val="21"/>
              </w:rPr>
              <w:t>VIII</w:t>
            </w:r>
          </w:p>
        </w:tc>
      </w:tr>
      <w:tr w14:paraId="45DC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6" w:type="dxa"/>
            <w:vAlign w:val="center"/>
          </w:tcPr>
          <w:p w14:paraId="4F19EFC6">
            <w:pPr>
              <w:pStyle w:val="2"/>
              <w:spacing w:after="0" w:line="240" w:lineRule="auto"/>
              <w:ind w:firstLine="0" w:firstLineChars="0"/>
              <w:jc w:val="center"/>
              <w:rPr>
                <w:sz w:val="21"/>
                <w:szCs w:val="21"/>
              </w:rPr>
            </w:pPr>
            <w:r>
              <w:rPr>
                <w:rFonts w:hint="eastAsia"/>
                <w:sz w:val="21"/>
                <w:szCs w:val="21"/>
              </w:rPr>
              <w:t>6</w:t>
            </w:r>
          </w:p>
        </w:tc>
        <w:tc>
          <w:tcPr>
            <w:tcW w:w="1186" w:type="dxa"/>
            <w:vAlign w:val="center"/>
          </w:tcPr>
          <w:p w14:paraId="311064C2">
            <w:pPr>
              <w:pStyle w:val="2"/>
              <w:spacing w:after="0" w:line="240" w:lineRule="auto"/>
              <w:ind w:firstLine="0" w:firstLineChars="0"/>
              <w:jc w:val="center"/>
              <w:rPr>
                <w:sz w:val="21"/>
                <w:szCs w:val="21"/>
              </w:rPr>
            </w:pPr>
            <w:r>
              <w:rPr>
                <w:rFonts w:hint="eastAsia"/>
                <w:sz w:val="21"/>
                <w:szCs w:val="21"/>
              </w:rPr>
              <w:t>1814.2.4</w:t>
            </w:r>
          </w:p>
        </w:tc>
        <w:tc>
          <w:tcPr>
            <w:tcW w:w="1186" w:type="dxa"/>
            <w:vAlign w:val="center"/>
          </w:tcPr>
          <w:p w14:paraId="5CF63A8B">
            <w:pPr>
              <w:pStyle w:val="2"/>
              <w:spacing w:after="0" w:line="240" w:lineRule="auto"/>
              <w:ind w:firstLine="0" w:firstLineChars="0"/>
              <w:jc w:val="center"/>
              <w:rPr>
                <w:sz w:val="21"/>
                <w:szCs w:val="21"/>
              </w:rPr>
            </w:pPr>
            <w:r>
              <w:rPr>
                <w:rFonts w:hint="eastAsia"/>
                <w:sz w:val="21"/>
                <w:szCs w:val="21"/>
              </w:rPr>
              <w:t>35.8</w:t>
            </w:r>
          </w:p>
        </w:tc>
        <w:tc>
          <w:tcPr>
            <w:tcW w:w="1186" w:type="dxa"/>
            <w:vAlign w:val="center"/>
          </w:tcPr>
          <w:p w14:paraId="6D30DF0E">
            <w:pPr>
              <w:pStyle w:val="2"/>
              <w:spacing w:after="0" w:line="240" w:lineRule="auto"/>
              <w:ind w:firstLine="0" w:firstLineChars="0"/>
              <w:jc w:val="center"/>
              <w:rPr>
                <w:sz w:val="21"/>
                <w:szCs w:val="21"/>
              </w:rPr>
            </w:pPr>
            <w:r>
              <w:rPr>
                <w:rFonts w:hint="eastAsia"/>
                <w:sz w:val="21"/>
                <w:szCs w:val="21"/>
              </w:rPr>
              <w:t>114.4</w:t>
            </w:r>
          </w:p>
        </w:tc>
        <w:tc>
          <w:tcPr>
            <w:tcW w:w="1186" w:type="dxa"/>
            <w:vAlign w:val="center"/>
          </w:tcPr>
          <w:p w14:paraId="06E9FFE5">
            <w:pPr>
              <w:pStyle w:val="2"/>
              <w:spacing w:after="0" w:line="240" w:lineRule="auto"/>
              <w:ind w:firstLine="0" w:firstLineChars="0"/>
              <w:jc w:val="center"/>
              <w:rPr>
                <w:sz w:val="21"/>
                <w:szCs w:val="21"/>
              </w:rPr>
            </w:pPr>
            <w:r>
              <w:rPr>
                <w:rFonts w:hint="eastAsia"/>
                <w:sz w:val="21"/>
                <w:szCs w:val="21"/>
              </w:rPr>
              <w:t>河南汤阴</w:t>
            </w:r>
          </w:p>
        </w:tc>
        <w:tc>
          <w:tcPr>
            <w:tcW w:w="1186" w:type="dxa"/>
            <w:vAlign w:val="center"/>
          </w:tcPr>
          <w:p w14:paraId="5A0AA591">
            <w:pPr>
              <w:pStyle w:val="2"/>
              <w:spacing w:after="0" w:line="240" w:lineRule="auto"/>
              <w:ind w:firstLine="0" w:firstLineChars="0"/>
              <w:jc w:val="center"/>
              <w:rPr>
                <w:sz w:val="21"/>
                <w:szCs w:val="21"/>
              </w:rPr>
            </w:pPr>
            <w:r>
              <w:rPr>
                <w:rFonts w:hint="eastAsia"/>
                <w:sz w:val="21"/>
                <w:szCs w:val="21"/>
              </w:rPr>
              <w:t>5.25</w:t>
            </w:r>
          </w:p>
        </w:tc>
        <w:tc>
          <w:tcPr>
            <w:tcW w:w="1186" w:type="dxa"/>
            <w:vAlign w:val="center"/>
          </w:tcPr>
          <w:p w14:paraId="657EA069">
            <w:pPr>
              <w:pStyle w:val="2"/>
              <w:spacing w:after="0" w:line="240" w:lineRule="auto"/>
              <w:ind w:firstLine="0" w:firstLineChars="0"/>
              <w:jc w:val="center"/>
              <w:rPr>
                <w:sz w:val="21"/>
                <w:szCs w:val="21"/>
              </w:rPr>
            </w:pPr>
            <w:r>
              <w:rPr>
                <w:rFonts w:hint="eastAsia"/>
                <w:sz w:val="21"/>
                <w:szCs w:val="21"/>
              </w:rPr>
              <w:t>VIII</w:t>
            </w:r>
          </w:p>
        </w:tc>
      </w:tr>
    </w:tbl>
    <w:p w14:paraId="0559EEFF">
      <w:pPr>
        <w:pStyle w:val="5"/>
        <w:spacing w:before="240" w:after="240"/>
      </w:pPr>
      <w:r>
        <w:rPr>
          <w:rFonts w:hint="eastAsia"/>
        </w:rPr>
        <w:t>调查评价区水文地质特征</w:t>
      </w:r>
    </w:p>
    <w:p w14:paraId="35FCE5F1">
      <w:pPr>
        <w:pStyle w:val="6"/>
        <w:ind w:left="0" w:firstLine="482" w:firstLineChars="200"/>
      </w:pPr>
      <w:r>
        <w:rPr>
          <w:rFonts w:hint="eastAsia"/>
        </w:rPr>
        <w:t>地质条件</w:t>
      </w:r>
    </w:p>
    <w:p w14:paraId="799070FC">
      <w:pPr>
        <w:ind w:firstLine="480"/>
      </w:pPr>
      <w:r>
        <w:rPr>
          <w:rFonts w:hint="eastAsia"/>
        </w:rPr>
        <w:t>调查评价区地表第四系覆盖，主要为全新统冲积层和中更新统冲洪积层，基底为太古宇林山岩群变质岩系，盖层由中元古界蓟县系云梦山组陆源碎屑岩、寒武系-中奥陶统潮坪-鲕状滩相碳酸盐岩夹泥质岩系、石炭系-二叠系海陆交互相-陆相含煤岩系，以及古近系陆相碎屑岩组成。在山间断陷盆地内和山前地带堆积了新近系-第四系陆相碎屑岩。缺失元古界大部分、上奥陶统-下石炭统和侏罗系-白垩系等地层。</w:t>
      </w:r>
    </w:p>
    <w:p w14:paraId="5CF3E07F">
      <w:pPr>
        <w:ind w:firstLine="480"/>
        <w:sectPr>
          <w:pgSz w:w="11906" w:h="16838"/>
          <w:pgMar w:top="1440" w:right="1797" w:bottom="1440" w:left="1797" w:header="851" w:footer="992" w:gutter="0"/>
          <w:cols w:space="720" w:num="1"/>
          <w:docGrid w:linePitch="312" w:charSpace="0"/>
        </w:sectPr>
      </w:pPr>
      <w:r>
        <w:rPr>
          <w:rFonts w:hint="eastAsia"/>
        </w:rPr>
        <w:t>矿产类型以沉积矿产为主，与地层关系密切。评价区地质图见下图。</w:t>
      </w:r>
    </w:p>
    <w:p w14:paraId="34084686">
      <w:pPr>
        <w:spacing w:line="240" w:lineRule="auto"/>
        <w:ind w:firstLine="0" w:firstLineChars="0"/>
        <w:jc w:val="center"/>
        <w:rPr>
          <w:u w:val="single"/>
        </w:rPr>
      </w:pPr>
      <w:r>
        <w:drawing>
          <wp:inline distT="0" distB="0" distL="0" distR="0">
            <wp:extent cx="6041390" cy="5543550"/>
            <wp:effectExtent l="0" t="0" r="16510" b="0"/>
            <wp:docPr id="198590187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01870" name="图片 1" descr="地图&#10;&#10;描述已自动生成"/>
                    <pic:cNvPicPr>
                      <a:picLocks noChangeAspect="1"/>
                    </pic:cNvPicPr>
                  </pic:nvPicPr>
                  <pic:blipFill>
                    <a:blip r:embed="rId93"/>
                    <a:stretch>
                      <a:fillRect/>
                    </a:stretch>
                  </pic:blipFill>
                  <pic:spPr>
                    <a:xfrm>
                      <a:off x="0" y="0"/>
                      <a:ext cx="6041390" cy="5544000"/>
                    </a:xfrm>
                    <a:prstGeom prst="rect">
                      <a:avLst/>
                    </a:prstGeom>
                  </pic:spPr>
                </pic:pic>
              </a:graphicData>
            </a:graphic>
          </wp:inline>
        </w:drawing>
      </w:r>
    </w:p>
    <w:p w14:paraId="144A869D">
      <w:pPr>
        <w:pStyle w:val="68"/>
        <w:numPr>
          <w:ilvl w:val="0"/>
          <w:numId w:val="29"/>
        </w:numPr>
        <w:ind w:left="0" w:firstLine="0"/>
        <w:rPr>
          <w:rFonts w:eastAsia="黑体"/>
          <w:u w:val="single"/>
        </w:rPr>
        <w:sectPr>
          <w:pgSz w:w="16838" w:h="11906" w:orient="landscape"/>
          <w:pgMar w:top="1418" w:right="1247" w:bottom="1418" w:left="1247" w:header="851" w:footer="992" w:gutter="0"/>
          <w:cols w:space="720" w:num="1"/>
          <w:docGrid w:linePitch="326" w:charSpace="0"/>
        </w:sectPr>
      </w:pPr>
      <w:r>
        <w:rPr>
          <w:rFonts w:hint="eastAsia" w:eastAsia="黑体"/>
          <w:u w:val="single"/>
        </w:rPr>
        <w:t xml:space="preserve"> 评价区地质图</w:t>
      </w:r>
    </w:p>
    <w:p w14:paraId="2166BA01">
      <w:pPr>
        <w:pStyle w:val="6"/>
        <w:ind w:left="0" w:firstLine="482" w:firstLineChars="200"/>
      </w:pPr>
      <w:r>
        <w:rPr>
          <w:rFonts w:hint="eastAsia"/>
        </w:rPr>
        <w:t>评价区水文地质条件</w:t>
      </w:r>
    </w:p>
    <w:p w14:paraId="3F10843B">
      <w:pPr>
        <w:ind w:firstLine="480"/>
      </w:pPr>
      <w:r>
        <w:rPr>
          <w:rFonts w:hint="eastAsia"/>
        </w:rPr>
        <w:t>根据地貌、含水层岩性、含水层空间结构、水文地质参数、单孔涌水量等因素，调查评价区为松散岩类孔隙水。主要岩性为第四系黄色、棕黄色粉质粘土、粉土及砂砾石层，其赋存条件受构造及地貌条件的控制，富水性则决定于含水层的岩性、厚度和埋藏条件以及接受补给条件。评价区水文地质图见图5.3-5。</w:t>
      </w:r>
    </w:p>
    <w:p w14:paraId="50535028">
      <w:pPr>
        <w:pStyle w:val="2"/>
        <w:spacing w:after="0"/>
        <w:ind w:firstLine="480"/>
      </w:pPr>
      <w:r>
        <w:rPr>
          <w:rFonts w:hint="eastAsia"/>
        </w:rPr>
        <w:t>（1）浅层水：埋藏深度60m以浅，受大气降水影响较大。卫河、黄河冲积平原浅层水含水层岩性主要为中、上更新统与全新统细、中、粗砂，上覆粉土、粉质粘土，局部为粉砂，呈现上细下粗的“二元结构”或粗细相间的“多层结构”。砂层厚度5～25m，地下水位埋深在山前较大，冲积平原区一般6～20m。含水层倾向南东，山前到平原，水量、水质具有较明显的分带性。近山前洪积扇为混杂堆积的弱富水带，单井涌水量一般小于0.28L/s·m，水化学类型为重碳酸－钙·镁型水，矿化度小于lg/L；冲积扇前缘，单井涌水量一般2.2～4.8L/s·m，矿化度增高达到1～3g/L，水化学类型主要为重碳酸-钙镁型水，还有重碳酸·硫酸－钙·镁·钠型水。黄河冲积平原区形成低矿化度的重碳酸型淡水。</w:t>
      </w:r>
    </w:p>
    <w:p w14:paraId="3612DADC">
      <w:pPr>
        <w:pStyle w:val="2"/>
        <w:spacing w:after="0"/>
        <w:ind w:firstLine="480"/>
      </w:pPr>
      <w:r>
        <w:rPr>
          <w:rFonts w:hint="eastAsia"/>
        </w:rPr>
        <w:t>（2）中层水：中层水埋藏深度60～300 m，具承压性质。含水层岩性主要为中、上更新统细、中、粗砂，隔水层为粉质粘土、粘土。其化学特征和分布规律基本与浅层水一致。由山前到平原，地下水水量由小到大，化学类型由简单到复杂，矿化度由低到高，水质由好变差。矿化度由0.3g/L增加到1.8g/L。</w:t>
      </w:r>
    </w:p>
    <w:p w14:paraId="5E9CA930">
      <w:pPr>
        <w:pStyle w:val="2"/>
        <w:spacing w:after="0"/>
        <w:ind w:firstLine="480"/>
        <w:sectPr>
          <w:pgSz w:w="11906" w:h="16838"/>
          <w:pgMar w:top="1440" w:right="1797" w:bottom="1440" w:left="1797" w:header="851" w:footer="992" w:gutter="0"/>
          <w:cols w:space="720" w:num="1"/>
          <w:docGrid w:linePitch="312" w:charSpace="0"/>
        </w:sectPr>
      </w:pPr>
      <w:r>
        <w:rPr>
          <w:rFonts w:hint="eastAsia"/>
        </w:rPr>
        <w:t>（3）深层水：埋藏深度大于300m，含水层岩性主要为下、中更新统砂层，隔水层为粉质粘土、粘土。水化学类型多为重碳酸·硫酸型和重碳酸·硫酸·氯化物型。仅东部地区为硫酸、氯化物型水，矿化度小于1 g/L，东部地区1～3g/L。</w:t>
      </w:r>
    </w:p>
    <w:p w14:paraId="629CCBC0">
      <w:pPr>
        <w:spacing w:line="240" w:lineRule="auto"/>
        <w:ind w:firstLine="0" w:firstLineChars="0"/>
        <w:jc w:val="center"/>
        <w:rPr>
          <w:highlight w:val="yellow"/>
        </w:rPr>
      </w:pPr>
      <w:r>
        <w:drawing>
          <wp:inline distT="0" distB="0" distL="0" distR="0">
            <wp:extent cx="5852160" cy="5327650"/>
            <wp:effectExtent l="0" t="0" r="15240" b="6350"/>
            <wp:docPr id="100251551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5517" name="图片 1" descr="地图&#10;&#10;描述已自动生成"/>
                    <pic:cNvPicPr>
                      <a:picLocks noChangeAspect="1"/>
                    </pic:cNvPicPr>
                  </pic:nvPicPr>
                  <pic:blipFill>
                    <a:blip r:embed="rId94"/>
                    <a:stretch>
                      <a:fillRect/>
                    </a:stretch>
                  </pic:blipFill>
                  <pic:spPr>
                    <a:xfrm>
                      <a:off x="0" y="0"/>
                      <a:ext cx="5852160" cy="5328000"/>
                    </a:xfrm>
                    <a:prstGeom prst="rect">
                      <a:avLst/>
                    </a:prstGeom>
                  </pic:spPr>
                </pic:pic>
              </a:graphicData>
            </a:graphic>
          </wp:inline>
        </w:drawing>
      </w:r>
    </w:p>
    <w:p w14:paraId="7D16DA60">
      <w:pPr>
        <w:pStyle w:val="68"/>
        <w:numPr>
          <w:ilvl w:val="0"/>
          <w:numId w:val="29"/>
        </w:numPr>
        <w:ind w:left="0" w:firstLine="0"/>
        <w:rPr>
          <w:rFonts w:eastAsia="黑体"/>
          <w:u w:val="single"/>
        </w:rPr>
        <w:sectPr>
          <w:pgSz w:w="16838" w:h="11906" w:orient="landscape"/>
          <w:pgMar w:top="1588" w:right="1247" w:bottom="1588" w:left="1247" w:header="851" w:footer="992" w:gutter="0"/>
          <w:cols w:space="720" w:num="1"/>
          <w:docGrid w:linePitch="326" w:charSpace="0"/>
        </w:sectPr>
      </w:pPr>
      <w:r>
        <w:rPr>
          <w:rFonts w:hint="eastAsia" w:eastAsia="黑体"/>
          <w:u w:val="single"/>
        </w:rPr>
        <w:t>评价区水文地质图</w:t>
      </w:r>
    </w:p>
    <w:p w14:paraId="4D38C07F">
      <w:pPr>
        <w:pStyle w:val="6"/>
        <w:ind w:left="0" w:firstLine="482" w:firstLineChars="200"/>
        <w:rPr>
          <w:u w:val="single"/>
        </w:rPr>
      </w:pPr>
      <w:r>
        <w:rPr>
          <w:rFonts w:hint="eastAsia"/>
          <w:u w:val="single"/>
        </w:rPr>
        <w:t>地下水的补径排条件</w:t>
      </w:r>
    </w:p>
    <w:p w14:paraId="33EFCF70">
      <w:pPr>
        <w:ind w:firstLine="480"/>
        <w:rPr>
          <w:highlight w:val="yellow"/>
          <w:u w:val="single"/>
        </w:rPr>
      </w:pPr>
      <w:r>
        <w:rPr>
          <w:rFonts w:hint="eastAsia"/>
          <w:u w:val="single"/>
        </w:rPr>
        <w:t>项目区为冲洪积平原，地下水埋深较大，地表及包气带岩性一般为微含泥卵石，地下水埋深较大，降雨入渗补给较小，含水层组的补给源主要为山区径流补给。地下水的排泄途径为农田灌溉开采和径流排泄。项目区地下水整体由西北向东南方向径流。</w:t>
      </w:r>
    </w:p>
    <w:p w14:paraId="1F77C8EF">
      <w:pPr>
        <w:pStyle w:val="6"/>
        <w:ind w:left="0" w:firstLine="482" w:firstLineChars="200"/>
      </w:pPr>
      <w:r>
        <w:rPr>
          <w:rFonts w:hint="eastAsia"/>
        </w:rPr>
        <w:t>地下水水位调查</w:t>
      </w:r>
    </w:p>
    <w:p w14:paraId="0990178A">
      <w:pPr>
        <w:spacing w:line="500" w:lineRule="exact"/>
        <w:ind w:firstLine="480"/>
      </w:pPr>
      <w:r>
        <w:rPr>
          <w:rFonts w:hint="eastAsia"/>
        </w:rPr>
        <w:t>项目区地处平原区域。按照《环境影响评价技术导则  地下水环境》（HJ 610-2016），对于地处“其它平原区”的一级评价项目需完成一个连续水文年的枯、丰两期地下水位现状监测。</w:t>
      </w:r>
    </w:p>
    <w:p w14:paraId="2F68B852">
      <w:pPr>
        <w:spacing w:line="500" w:lineRule="exact"/>
        <w:ind w:firstLine="480"/>
      </w:pPr>
      <w:r>
        <w:rPr>
          <w:rFonts w:hint="eastAsia"/>
        </w:rPr>
        <w:t>为掌握评价区地下水流场和流向，本次调查工作分别于2024年5月（枯水期）和2024年8月（丰水期），对区域进行了浅井地下水水位调查和统测，调查情况见下表、下图。</w:t>
      </w:r>
    </w:p>
    <w:p w14:paraId="78D49FA8">
      <w:pPr>
        <w:pStyle w:val="64"/>
        <w:numPr>
          <w:ilvl w:val="0"/>
          <w:numId w:val="28"/>
        </w:numPr>
        <w:spacing w:before="0" w:beforeLines="0" w:line="360" w:lineRule="auto"/>
        <w:ind w:left="0" w:firstLine="480" w:firstLineChars="200"/>
        <w:rPr>
          <w:bCs/>
        </w:rPr>
      </w:pPr>
      <w:r>
        <w:rPr>
          <w:rFonts w:hint="eastAsia"/>
          <w:bCs/>
        </w:rPr>
        <w:t xml:space="preserve">           地下水水位调查统计表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89"/>
        <w:gridCol w:w="1126"/>
        <w:gridCol w:w="1751"/>
        <w:gridCol w:w="1573"/>
        <w:gridCol w:w="1008"/>
        <w:gridCol w:w="756"/>
        <w:gridCol w:w="755"/>
        <w:gridCol w:w="710"/>
      </w:tblGrid>
      <w:tr w14:paraId="6FD18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Merge w:val="restart"/>
            <w:vAlign w:val="center"/>
          </w:tcPr>
          <w:p w14:paraId="3A58740A">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监测点</w:t>
            </w:r>
          </w:p>
        </w:tc>
        <w:tc>
          <w:tcPr>
            <w:tcW w:w="673" w:type="pct"/>
            <w:vMerge w:val="restart"/>
            <w:vAlign w:val="center"/>
          </w:tcPr>
          <w:p w14:paraId="6E68760D">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监测井位</w:t>
            </w:r>
          </w:p>
        </w:tc>
        <w:tc>
          <w:tcPr>
            <w:tcW w:w="1986" w:type="pct"/>
            <w:gridSpan w:val="2"/>
            <w:vAlign w:val="center"/>
          </w:tcPr>
          <w:p w14:paraId="7108A723">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坐标</w:t>
            </w:r>
          </w:p>
        </w:tc>
        <w:tc>
          <w:tcPr>
            <w:tcW w:w="1054" w:type="pct"/>
            <w:gridSpan w:val="2"/>
            <w:vAlign w:val="center"/>
          </w:tcPr>
          <w:p w14:paraId="7F8D72C6">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水位埋深(m)</w:t>
            </w:r>
          </w:p>
        </w:tc>
        <w:tc>
          <w:tcPr>
            <w:tcW w:w="875" w:type="pct"/>
            <w:gridSpan w:val="2"/>
            <w:vAlign w:val="center"/>
          </w:tcPr>
          <w:p w14:paraId="707912C2">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水位高程(m)</w:t>
            </w:r>
          </w:p>
        </w:tc>
      </w:tr>
      <w:tr w14:paraId="49DFE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Merge w:val="continue"/>
            <w:vAlign w:val="center"/>
          </w:tcPr>
          <w:p w14:paraId="55412A4E">
            <w:pPr>
              <w:adjustRightInd/>
              <w:snapToGrid/>
              <w:spacing w:line="240" w:lineRule="auto"/>
              <w:ind w:firstLine="0" w:firstLineChars="0"/>
              <w:jc w:val="center"/>
              <w:textAlignment w:val="auto"/>
              <w:rPr>
                <w:rFonts w:cs="宋体"/>
                <w:b/>
                <w:kern w:val="2"/>
                <w:sz w:val="21"/>
                <w:szCs w:val="24"/>
              </w:rPr>
            </w:pPr>
          </w:p>
        </w:tc>
        <w:tc>
          <w:tcPr>
            <w:tcW w:w="673" w:type="pct"/>
            <w:vMerge w:val="continue"/>
            <w:vAlign w:val="center"/>
          </w:tcPr>
          <w:p w14:paraId="4000D4DE">
            <w:pPr>
              <w:adjustRightInd/>
              <w:snapToGrid/>
              <w:spacing w:line="240" w:lineRule="auto"/>
              <w:ind w:firstLine="0" w:firstLineChars="0"/>
              <w:jc w:val="center"/>
              <w:textAlignment w:val="auto"/>
              <w:rPr>
                <w:rFonts w:cs="宋体"/>
                <w:b/>
                <w:kern w:val="2"/>
                <w:sz w:val="21"/>
                <w:szCs w:val="24"/>
              </w:rPr>
            </w:pPr>
          </w:p>
        </w:tc>
        <w:tc>
          <w:tcPr>
            <w:tcW w:w="1046" w:type="pct"/>
            <w:vAlign w:val="center"/>
          </w:tcPr>
          <w:p w14:paraId="7AF31D04">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X</w:t>
            </w:r>
          </w:p>
        </w:tc>
        <w:tc>
          <w:tcPr>
            <w:tcW w:w="940" w:type="pct"/>
            <w:vAlign w:val="center"/>
          </w:tcPr>
          <w:p w14:paraId="23E0C8D5">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Y</w:t>
            </w:r>
          </w:p>
        </w:tc>
        <w:tc>
          <w:tcPr>
            <w:tcW w:w="602" w:type="pct"/>
            <w:vAlign w:val="center"/>
          </w:tcPr>
          <w:p w14:paraId="5BAD1085">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丰水期</w:t>
            </w:r>
          </w:p>
        </w:tc>
        <w:tc>
          <w:tcPr>
            <w:tcW w:w="452" w:type="pct"/>
            <w:vAlign w:val="center"/>
          </w:tcPr>
          <w:p w14:paraId="195FB814">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枯水期</w:t>
            </w:r>
          </w:p>
        </w:tc>
        <w:tc>
          <w:tcPr>
            <w:tcW w:w="451" w:type="pct"/>
            <w:vAlign w:val="center"/>
          </w:tcPr>
          <w:p w14:paraId="0825911D">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丰水期</w:t>
            </w:r>
          </w:p>
        </w:tc>
        <w:tc>
          <w:tcPr>
            <w:tcW w:w="424" w:type="pct"/>
            <w:vAlign w:val="center"/>
          </w:tcPr>
          <w:p w14:paraId="243CC1B4">
            <w:pPr>
              <w:adjustRightInd/>
              <w:snapToGrid/>
              <w:spacing w:line="240" w:lineRule="auto"/>
              <w:ind w:firstLine="0" w:firstLineChars="0"/>
              <w:jc w:val="center"/>
              <w:textAlignment w:val="auto"/>
              <w:rPr>
                <w:rFonts w:cs="宋体"/>
                <w:b/>
                <w:kern w:val="2"/>
                <w:sz w:val="21"/>
                <w:szCs w:val="24"/>
              </w:rPr>
            </w:pPr>
            <w:r>
              <w:rPr>
                <w:rFonts w:hint="eastAsia" w:cs="宋体"/>
                <w:b/>
                <w:kern w:val="2"/>
                <w:sz w:val="21"/>
                <w:szCs w:val="24"/>
              </w:rPr>
              <w:t>枯水期</w:t>
            </w:r>
          </w:p>
        </w:tc>
      </w:tr>
      <w:tr w14:paraId="0D981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2E3E028C">
            <w:pPr>
              <w:adjustRightInd/>
              <w:snapToGrid/>
              <w:spacing w:line="240" w:lineRule="auto"/>
              <w:ind w:firstLine="0" w:firstLineChars="0"/>
              <w:contextualSpacing/>
              <w:jc w:val="center"/>
              <w:textAlignment w:val="auto"/>
              <w:rPr>
                <w:kern w:val="2"/>
                <w:sz w:val="21"/>
                <w:szCs w:val="21"/>
              </w:rPr>
            </w:pPr>
            <w:r>
              <w:rPr>
                <w:kern w:val="2"/>
                <w:sz w:val="21"/>
                <w:szCs w:val="24"/>
              </w:rPr>
              <w:t>1</w:t>
            </w:r>
            <w:r>
              <w:rPr>
                <w:rFonts w:hint="eastAsia"/>
                <w:kern w:val="2"/>
                <w:sz w:val="21"/>
                <w:szCs w:val="24"/>
              </w:rPr>
              <w:t>#</w:t>
            </w:r>
          </w:p>
        </w:tc>
        <w:tc>
          <w:tcPr>
            <w:tcW w:w="673" w:type="pct"/>
            <w:vAlign w:val="center"/>
          </w:tcPr>
          <w:p w14:paraId="1BF4882F">
            <w:pPr>
              <w:adjustRightInd/>
              <w:snapToGrid/>
              <w:spacing w:line="240" w:lineRule="auto"/>
              <w:ind w:firstLine="0" w:firstLineChars="0"/>
              <w:contextualSpacing/>
              <w:jc w:val="center"/>
              <w:textAlignment w:val="auto"/>
              <w:rPr>
                <w:kern w:val="2"/>
                <w:sz w:val="21"/>
                <w:szCs w:val="21"/>
              </w:rPr>
            </w:pPr>
            <w:r>
              <w:rPr>
                <w:rFonts w:hint="eastAsia"/>
                <w:kern w:val="2"/>
                <w:sz w:val="21"/>
                <w:szCs w:val="24"/>
              </w:rPr>
              <w:t>厂区</w:t>
            </w:r>
          </w:p>
        </w:tc>
        <w:tc>
          <w:tcPr>
            <w:tcW w:w="1046" w:type="pct"/>
            <w:vAlign w:val="center"/>
          </w:tcPr>
          <w:p w14:paraId="0F1925F4">
            <w:pPr>
              <w:adjustRightInd/>
              <w:snapToGrid/>
              <w:spacing w:line="240" w:lineRule="auto"/>
              <w:ind w:firstLine="0" w:firstLineChars="0"/>
              <w:contextualSpacing/>
              <w:jc w:val="center"/>
              <w:textAlignment w:val="auto"/>
              <w:rPr>
                <w:kern w:val="2"/>
                <w:sz w:val="21"/>
                <w:szCs w:val="21"/>
              </w:rPr>
            </w:pPr>
            <w:r>
              <w:rPr>
                <w:kern w:val="2"/>
                <w:sz w:val="21"/>
                <w:szCs w:val="21"/>
              </w:rPr>
              <w:t>230762.963</w:t>
            </w:r>
          </w:p>
        </w:tc>
        <w:tc>
          <w:tcPr>
            <w:tcW w:w="940" w:type="pct"/>
            <w:vAlign w:val="center"/>
          </w:tcPr>
          <w:p w14:paraId="62AAF3D0">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3924408.616</w:t>
            </w:r>
          </w:p>
        </w:tc>
        <w:tc>
          <w:tcPr>
            <w:tcW w:w="602" w:type="pct"/>
            <w:vAlign w:val="center"/>
          </w:tcPr>
          <w:p w14:paraId="52D1C1EE">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28.52</w:t>
            </w:r>
          </w:p>
        </w:tc>
        <w:tc>
          <w:tcPr>
            <w:tcW w:w="452" w:type="pct"/>
            <w:vAlign w:val="center"/>
          </w:tcPr>
          <w:p w14:paraId="54099B74">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29.71</w:t>
            </w:r>
          </w:p>
        </w:tc>
        <w:tc>
          <w:tcPr>
            <w:tcW w:w="451" w:type="pct"/>
            <w:vAlign w:val="center"/>
          </w:tcPr>
          <w:p w14:paraId="0F9DA2BC">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44.52</w:t>
            </w:r>
          </w:p>
        </w:tc>
        <w:tc>
          <w:tcPr>
            <w:tcW w:w="424" w:type="pct"/>
            <w:vAlign w:val="center"/>
          </w:tcPr>
          <w:p w14:paraId="2D78C7DC">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43.33</w:t>
            </w:r>
          </w:p>
        </w:tc>
      </w:tr>
      <w:tr w14:paraId="4BCAC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1F355AC8">
            <w:pPr>
              <w:adjustRightInd/>
              <w:snapToGrid/>
              <w:spacing w:line="240" w:lineRule="auto"/>
              <w:ind w:firstLine="0" w:firstLineChars="0"/>
              <w:contextualSpacing/>
              <w:jc w:val="center"/>
              <w:textAlignment w:val="auto"/>
              <w:rPr>
                <w:kern w:val="2"/>
                <w:sz w:val="21"/>
                <w:szCs w:val="24"/>
              </w:rPr>
            </w:pPr>
            <w:r>
              <w:rPr>
                <w:kern w:val="2"/>
                <w:sz w:val="21"/>
                <w:szCs w:val="24"/>
              </w:rPr>
              <w:t>2</w:t>
            </w:r>
            <w:r>
              <w:rPr>
                <w:rFonts w:hint="eastAsia"/>
                <w:kern w:val="2"/>
                <w:sz w:val="21"/>
                <w:szCs w:val="24"/>
              </w:rPr>
              <w:t>#</w:t>
            </w:r>
          </w:p>
        </w:tc>
        <w:tc>
          <w:tcPr>
            <w:tcW w:w="673" w:type="pct"/>
            <w:vAlign w:val="center"/>
          </w:tcPr>
          <w:p w14:paraId="5CE87296">
            <w:pPr>
              <w:adjustRightInd/>
              <w:snapToGrid/>
              <w:spacing w:line="240" w:lineRule="auto"/>
              <w:ind w:firstLine="0" w:firstLineChars="0"/>
              <w:contextualSpacing/>
              <w:jc w:val="center"/>
              <w:textAlignment w:val="auto"/>
              <w:rPr>
                <w:kern w:val="2"/>
                <w:sz w:val="21"/>
                <w:szCs w:val="24"/>
              </w:rPr>
            </w:pPr>
            <w:r>
              <w:rPr>
                <w:rFonts w:hint="eastAsia"/>
                <w:kern w:val="2"/>
                <w:sz w:val="21"/>
                <w:szCs w:val="21"/>
              </w:rPr>
              <w:t>郭全屯村</w:t>
            </w:r>
          </w:p>
        </w:tc>
        <w:tc>
          <w:tcPr>
            <w:tcW w:w="1046" w:type="pct"/>
            <w:vAlign w:val="center"/>
          </w:tcPr>
          <w:p w14:paraId="5C80CCB7">
            <w:pPr>
              <w:adjustRightInd/>
              <w:snapToGrid/>
              <w:spacing w:line="240" w:lineRule="auto"/>
              <w:ind w:firstLine="0" w:firstLineChars="0"/>
              <w:contextualSpacing/>
              <w:jc w:val="center"/>
              <w:textAlignment w:val="auto"/>
              <w:rPr>
                <w:kern w:val="2"/>
                <w:sz w:val="21"/>
                <w:szCs w:val="21"/>
              </w:rPr>
            </w:pPr>
            <w:r>
              <w:rPr>
                <w:kern w:val="2"/>
                <w:sz w:val="21"/>
                <w:szCs w:val="21"/>
              </w:rPr>
              <w:t>229889.368</w:t>
            </w:r>
          </w:p>
        </w:tc>
        <w:tc>
          <w:tcPr>
            <w:tcW w:w="940" w:type="pct"/>
            <w:vAlign w:val="center"/>
          </w:tcPr>
          <w:p w14:paraId="2CC7878D">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3925420.919</w:t>
            </w:r>
          </w:p>
        </w:tc>
        <w:tc>
          <w:tcPr>
            <w:tcW w:w="602" w:type="pct"/>
            <w:vAlign w:val="center"/>
          </w:tcPr>
          <w:p w14:paraId="543A7BB8">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24.61</w:t>
            </w:r>
          </w:p>
        </w:tc>
        <w:tc>
          <w:tcPr>
            <w:tcW w:w="452" w:type="pct"/>
            <w:vAlign w:val="center"/>
          </w:tcPr>
          <w:p w14:paraId="62A9299E">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26.75</w:t>
            </w:r>
          </w:p>
        </w:tc>
        <w:tc>
          <w:tcPr>
            <w:tcW w:w="451" w:type="pct"/>
            <w:vAlign w:val="center"/>
          </w:tcPr>
          <w:p w14:paraId="0EAE8232">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49.43</w:t>
            </w:r>
          </w:p>
        </w:tc>
        <w:tc>
          <w:tcPr>
            <w:tcW w:w="424" w:type="pct"/>
            <w:vAlign w:val="center"/>
          </w:tcPr>
          <w:p w14:paraId="57C56BF0">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47.29</w:t>
            </w:r>
          </w:p>
        </w:tc>
      </w:tr>
      <w:tr w14:paraId="36811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3CC3CC34">
            <w:pPr>
              <w:adjustRightInd/>
              <w:snapToGrid/>
              <w:spacing w:line="240" w:lineRule="auto"/>
              <w:ind w:firstLine="0" w:firstLineChars="0"/>
              <w:contextualSpacing/>
              <w:jc w:val="center"/>
              <w:textAlignment w:val="auto"/>
              <w:rPr>
                <w:kern w:val="2"/>
                <w:sz w:val="21"/>
                <w:szCs w:val="24"/>
              </w:rPr>
            </w:pPr>
            <w:r>
              <w:rPr>
                <w:kern w:val="2"/>
                <w:sz w:val="21"/>
                <w:szCs w:val="24"/>
              </w:rPr>
              <w:t>3</w:t>
            </w:r>
            <w:r>
              <w:rPr>
                <w:rFonts w:hint="eastAsia"/>
                <w:kern w:val="2"/>
                <w:sz w:val="21"/>
                <w:szCs w:val="24"/>
              </w:rPr>
              <w:t>#</w:t>
            </w:r>
          </w:p>
        </w:tc>
        <w:tc>
          <w:tcPr>
            <w:tcW w:w="673" w:type="pct"/>
            <w:vAlign w:val="center"/>
          </w:tcPr>
          <w:p w14:paraId="3E7DB69D">
            <w:pPr>
              <w:adjustRightInd/>
              <w:snapToGrid/>
              <w:spacing w:line="240" w:lineRule="auto"/>
              <w:ind w:firstLine="0" w:firstLineChars="0"/>
              <w:contextualSpacing/>
              <w:jc w:val="center"/>
              <w:textAlignment w:val="auto"/>
              <w:rPr>
                <w:kern w:val="2"/>
                <w:sz w:val="21"/>
                <w:szCs w:val="24"/>
              </w:rPr>
            </w:pPr>
            <w:r>
              <w:rPr>
                <w:rFonts w:hint="eastAsia"/>
                <w:kern w:val="2"/>
                <w:sz w:val="21"/>
                <w:szCs w:val="21"/>
              </w:rPr>
              <w:t>仁里屯村</w:t>
            </w:r>
          </w:p>
        </w:tc>
        <w:tc>
          <w:tcPr>
            <w:tcW w:w="1046" w:type="pct"/>
            <w:vAlign w:val="center"/>
          </w:tcPr>
          <w:p w14:paraId="77D38910">
            <w:pPr>
              <w:adjustRightInd/>
              <w:snapToGrid/>
              <w:spacing w:line="240" w:lineRule="auto"/>
              <w:ind w:firstLine="0" w:firstLineChars="0"/>
              <w:contextualSpacing/>
              <w:jc w:val="center"/>
              <w:textAlignment w:val="auto"/>
              <w:rPr>
                <w:kern w:val="2"/>
                <w:sz w:val="21"/>
                <w:szCs w:val="21"/>
              </w:rPr>
            </w:pPr>
            <w:r>
              <w:rPr>
                <w:kern w:val="2"/>
                <w:sz w:val="21"/>
                <w:szCs w:val="21"/>
              </w:rPr>
              <w:t>230100.326</w:t>
            </w:r>
          </w:p>
        </w:tc>
        <w:tc>
          <w:tcPr>
            <w:tcW w:w="940" w:type="pct"/>
            <w:vAlign w:val="center"/>
          </w:tcPr>
          <w:p w14:paraId="5ACF6F76">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3923617.812</w:t>
            </w:r>
          </w:p>
        </w:tc>
        <w:tc>
          <w:tcPr>
            <w:tcW w:w="602" w:type="pct"/>
            <w:vAlign w:val="center"/>
          </w:tcPr>
          <w:p w14:paraId="093E1776">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25.82</w:t>
            </w:r>
          </w:p>
        </w:tc>
        <w:tc>
          <w:tcPr>
            <w:tcW w:w="452" w:type="pct"/>
            <w:vAlign w:val="center"/>
          </w:tcPr>
          <w:p w14:paraId="2E16CC08">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26.44</w:t>
            </w:r>
          </w:p>
        </w:tc>
        <w:tc>
          <w:tcPr>
            <w:tcW w:w="451" w:type="pct"/>
            <w:vAlign w:val="center"/>
          </w:tcPr>
          <w:p w14:paraId="3B9E114B">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43.58</w:t>
            </w:r>
          </w:p>
        </w:tc>
        <w:tc>
          <w:tcPr>
            <w:tcW w:w="424" w:type="pct"/>
            <w:vAlign w:val="center"/>
          </w:tcPr>
          <w:p w14:paraId="3A0A418A">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42.96</w:t>
            </w:r>
          </w:p>
        </w:tc>
      </w:tr>
      <w:tr w14:paraId="3DCF7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11382FDE">
            <w:pPr>
              <w:adjustRightInd/>
              <w:snapToGrid/>
              <w:spacing w:line="240" w:lineRule="auto"/>
              <w:ind w:firstLine="0" w:firstLineChars="0"/>
              <w:contextualSpacing/>
              <w:jc w:val="center"/>
              <w:textAlignment w:val="auto"/>
              <w:rPr>
                <w:kern w:val="2"/>
                <w:sz w:val="21"/>
                <w:szCs w:val="24"/>
              </w:rPr>
            </w:pPr>
            <w:r>
              <w:rPr>
                <w:rFonts w:hint="eastAsia"/>
                <w:kern w:val="2"/>
                <w:sz w:val="21"/>
                <w:szCs w:val="24"/>
              </w:rPr>
              <w:t>4</w:t>
            </w:r>
            <w:r>
              <w:rPr>
                <w:kern w:val="2"/>
                <w:sz w:val="21"/>
                <w:szCs w:val="24"/>
              </w:rPr>
              <w:t>#</w:t>
            </w:r>
          </w:p>
        </w:tc>
        <w:tc>
          <w:tcPr>
            <w:tcW w:w="673" w:type="pct"/>
            <w:vAlign w:val="center"/>
          </w:tcPr>
          <w:p w14:paraId="33911923">
            <w:pPr>
              <w:adjustRightInd/>
              <w:snapToGrid/>
              <w:spacing w:line="240" w:lineRule="auto"/>
              <w:ind w:firstLine="0" w:firstLineChars="0"/>
              <w:contextualSpacing/>
              <w:jc w:val="center"/>
              <w:textAlignment w:val="auto"/>
              <w:rPr>
                <w:kern w:val="2"/>
                <w:sz w:val="21"/>
                <w:szCs w:val="24"/>
              </w:rPr>
            </w:pPr>
            <w:r>
              <w:rPr>
                <w:rFonts w:hint="eastAsia"/>
                <w:kern w:val="2"/>
                <w:sz w:val="21"/>
                <w:szCs w:val="21"/>
              </w:rPr>
              <w:t>八里屯村</w:t>
            </w:r>
          </w:p>
        </w:tc>
        <w:tc>
          <w:tcPr>
            <w:tcW w:w="1046" w:type="pct"/>
            <w:vAlign w:val="center"/>
          </w:tcPr>
          <w:p w14:paraId="607E241C">
            <w:pPr>
              <w:adjustRightInd/>
              <w:snapToGrid/>
              <w:spacing w:line="240" w:lineRule="auto"/>
              <w:ind w:firstLine="0" w:firstLineChars="0"/>
              <w:contextualSpacing/>
              <w:jc w:val="center"/>
              <w:textAlignment w:val="auto"/>
              <w:rPr>
                <w:kern w:val="2"/>
                <w:sz w:val="21"/>
                <w:szCs w:val="21"/>
              </w:rPr>
            </w:pPr>
            <w:r>
              <w:rPr>
                <w:kern w:val="2"/>
                <w:sz w:val="21"/>
                <w:szCs w:val="21"/>
              </w:rPr>
              <w:t>231750.633</w:t>
            </w:r>
          </w:p>
        </w:tc>
        <w:tc>
          <w:tcPr>
            <w:tcW w:w="940" w:type="pct"/>
            <w:vAlign w:val="center"/>
          </w:tcPr>
          <w:p w14:paraId="221362C8">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3925836.839</w:t>
            </w:r>
          </w:p>
        </w:tc>
        <w:tc>
          <w:tcPr>
            <w:tcW w:w="602" w:type="pct"/>
            <w:vAlign w:val="center"/>
          </w:tcPr>
          <w:p w14:paraId="623C428D">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27.17</w:t>
            </w:r>
          </w:p>
        </w:tc>
        <w:tc>
          <w:tcPr>
            <w:tcW w:w="452" w:type="pct"/>
            <w:vAlign w:val="center"/>
          </w:tcPr>
          <w:p w14:paraId="3CD20925">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28.03</w:t>
            </w:r>
          </w:p>
        </w:tc>
        <w:tc>
          <w:tcPr>
            <w:tcW w:w="451" w:type="pct"/>
            <w:vAlign w:val="center"/>
          </w:tcPr>
          <w:p w14:paraId="60B595D3">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46.83</w:t>
            </w:r>
          </w:p>
        </w:tc>
        <w:tc>
          <w:tcPr>
            <w:tcW w:w="424" w:type="pct"/>
            <w:vAlign w:val="center"/>
          </w:tcPr>
          <w:p w14:paraId="3141A123">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45.97</w:t>
            </w:r>
          </w:p>
        </w:tc>
      </w:tr>
      <w:tr w14:paraId="3CCC4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5BB847A6">
            <w:pPr>
              <w:adjustRightInd/>
              <w:snapToGrid/>
              <w:spacing w:line="240" w:lineRule="auto"/>
              <w:ind w:firstLine="0" w:firstLineChars="0"/>
              <w:contextualSpacing/>
              <w:jc w:val="center"/>
              <w:textAlignment w:val="auto"/>
              <w:rPr>
                <w:kern w:val="2"/>
                <w:sz w:val="21"/>
                <w:szCs w:val="24"/>
              </w:rPr>
            </w:pPr>
            <w:r>
              <w:rPr>
                <w:rFonts w:hint="eastAsia"/>
                <w:kern w:val="2"/>
                <w:sz w:val="21"/>
                <w:szCs w:val="24"/>
              </w:rPr>
              <w:t>5</w:t>
            </w:r>
            <w:r>
              <w:rPr>
                <w:kern w:val="2"/>
                <w:sz w:val="21"/>
                <w:szCs w:val="24"/>
              </w:rPr>
              <w:t>#</w:t>
            </w:r>
          </w:p>
        </w:tc>
        <w:tc>
          <w:tcPr>
            <w:tcW w:w="673" w:type="pct"/>
            <w:vAlign w:val="center"/>
          </w:tcPr>
          <w:p w14:paraId="47A19FBE">
            <w:pPr>
              <w:adjustRightInd/>
              <w:snapToGrid/>
              <w:spacing w:line="240" w:lineRule="auto"/>
              <w:ind w:firstLine="0" w:firstLineChars="0"/>
              <w:contextualSpacing/>
              <w:jc w:val="center"/>
              <w:textAlignment w:val="auto"/>
              <w:rPr>
                <w:kern w:val="2"/>
                <w:sz w:val="21"/>
                <w:szCs w:val="24"/>
              </w:rPr>
            </w:pPr>
            <w:r>
              <w:rPr>
                <w:rFonts w:hint="eastAsia"/>
                <w:kern w:val="2"/>
                <w:sz w:val="21"/>
                <w:szCs w:val="21"/>
              </w:rPr>
              <w:t>龙王庙</w:t>
            </w:r>
          </w:p>
        </w:tc>
        <w:tc>
          <w:tcPr>
            <w:tcW w:w="1046" w:type="pct"/>
            <w:vAlign w:val="center"/>
          </w:tcPr>
          <w:p w14:paraId="1E7A2034">
            <w:pPr>
              <w:adjustRightInd/>
              <w:snapToGrid/>
              <w:spacing w:line="240" w:lineRule="auto"/>
              <w:ind w:firstLine="0" w:firstLineChars="0"/>
              <w:contextualSpacing/>
              <w:jc w:val="center"/>
              <w:textAlignment w:val="auto"/>
              <w:rPr>
                <w:kern w:val="2"/>
                <w:sz w:val="21"/>
                <w:szCs w:val="21"/>
              </w:rPr>
            </w:pPr>
            <w:r>
              <w:rPr>
                <w:kern w:val="2"/>
                <w:sz w:val="21"/>
                <w:szCs w:val="21"/>
              </w:rPr>
              <w:t>231343.800</w:t>
            </w:r>
          </w:p>
        </w:tc>
        <w:tc>
          <w:tcPr>
            <w:tcW w:w="940" w:type="pct"/>
            <w:vAlign w:val="center"/>
          </w:tcPr>
          <w:p w14:paraId="24D03A90">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3923713.920</w:t>
            </w:r>
          </w:p>
        </w:tc>
        <w:tc>
          <w:tcPr>
            <w:tcW w:w="602" w:type="pct"/>
            <w:vAlign w:val="center"/>
          </w:tcPr>
          <w:p w14:paraId="4E323F1C">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26.12</w:t>
            </w:r>
          </w:p>
        </w:tc>
        <w:tc>
          <w:tcPr>
            <w:tcW w:w="452" w:type="pct"/>
            <w:vAlign w:val="center"/>
          </w:tcPr>
          <w:p w14:paraId="78ABF54D">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26.52</w:t>
            </w:r>
          </w:p>
        </w:tc>
        <w:tc>
          <w:tcPr>
            <w:tcW w:w="451" w:type="pct"/>
            <w:vAlign w:val="center"/>
          </w:tcPr>
          <w:p w14:paraId="77EE8CE5">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42</w:t>
            </w:r>
          </w:p>
        </w:tc>
        <w:tc>
          <w:tcPr>
            <w:tcW w:w="424" w:type="pct"/>
            <w:vAlign w:val="center"/>
          </w:tcPr>
          <w:p w14:paraId="15A02C33">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41.6</w:t>
            </w:r>
          </w:p>
        </w:tc>
      </w:tr>
      <w:tr w14:paraId="2EFF9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051303CC">
            <w:pPr>
              <w:adjustRightInd/>
              <w:snapToGrid/>
              <w:spacing w:line="240" w:lineRule="auto"/>
              <w:ind w:firstLine="0" w:firstLineChars="0"/>
              <w:contextualSpacing/>
              <w:jc w:val="center"/>
              <w:textAlignment w:val="auto"/>
              <w:rPr>
                <w:kern w:val="2"/>
                <w:sz w:val="21"/>
                <w:szCs w:val="24"/>
              </w:rPr>
            </w:pPr>
            <w:r>
              <w:rPr>
                <w:kern w:val="2"/>
                <w:sz w:val="21"/>
                <w:szCs w:val="24"/>
              </w:rPr>
              <w:t>6</w:t>
            </w:r>
            <w:r>
              <w:rPr>
                <w:rFonts w:hint="eastAsia"/>
                <w:kern w:val="2"/>
                <w:sz w:val="21"/>
                <w:szCs w:val="24"/>
              </w:rPr>
              <w:t>#</w:t>
            </w:r>
          </w:p>
        </w:tc>
        <w:tc>
          <w:tcPr>
            <w:tcW w:w="673" w:type="pct"/>
            <w:vAlign w:val="center"/>
          </w:tcPr>
          <w:p w14:paraId="45856D38">
            <w:pPr>
              <w:adjustRightInd/>
              <w:snapToGrid/>
              <w:spacing w:line="240" w:lineRule="auto"/>
              <w:ind w:firstLine="0" w:firstLineChars="0"/>
              <w:contextualSpacing/>
              <w:jc w:val="center"/>
              <w:textAlignment w:val="auto"/>
              <w:rPr>
                <w:kern w:val="2"/>
                <w:sz w:val="21"/>
                <w:szCs w:val="24"/>
              </w:rPr>
            </w:pPr>
            <w:r>
              <w:rPr>
                <w:rFonts w:hint="eastAsia"/>
                <w:kern w:val="2"/>
                <w:sz w:val="21"/>
                <w:szCs w:val="21"/>
              </w:rPr>
              <w:t>仁里屯村东南</w:t>
            </w:r>
          </w:p>
        </w:tc>
        <w:tc>
          <w:tcPr>
            <w:tcW w:w="1046" w:type="pct"/>
            <w:vAlign w:val="center"/>
          </w:tcPr>
          <w:p w14:paraId="2ABBDB75">
            <w:pPr>
              <w:adjustRightInd/>
              <w:snapToGrid/>
              <w:spacing w:line="240" w:lineRule="auto"/>
              <w:ind w:firstLine="0" w:firstLineChars="0"/>
              <w:contextualSpacing/>
              <w:jc w:val="center"/>
              <w:textAlignment w:val="auto"/>
              <w:rPr>
                <w:kern w:val="2"/>
                <w:sz w:val="21"/>
                <w:szCs w:val="21"/>
              </w:rPr>
            </w:pPr>
            <w:r>
              <w:rPr>
                <w:kern w:val="2"/>
                <w:sz w:val="21"/>
                <w:szCs w:val="21"/>
              </w:rPr>
              <w:t>230330.703</w:t>
            </w:r>
          </w:p>
        </w:tc>
        <w:tc>
          <w:tcPr>
            <w:tcW w:w="940" w:type="pct"/>
            <w:vAlign w:val="center"/>
          </w:tcPr>
          <w:p w14:paraId="317F6846">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3922845.956</w:t>
            </w:r>
          </w:p>
        </w:tc>
        <w:tc>
          <w:tcPr>
            <w:tcW w:w="602" w:type="pct"/>
            <w:vAlign w:val="center"/>
          </w:tcPr>
          <w:p w14:paraId="03DED061">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26.62</w:t>
            </w:r>
          </w:p>
        </w:tc>
        <w:tc>
          <w:tcPr>
            <w:tcW w:w="452" w:type="pct"/>
            <w:vAlign w:val="center"/>
          </w:tcPr>
          <w:p w14:paraId="15ECC78C">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27.16</w:t>
            </w:r>
          </w:p>
        </w:tc>
        <w:tc>
          <w:tcPr>
            <w:tcW w:w="451" w:type="pct"/>
            <w:vAlign w:val="center"/>
          </w:tcPr>
          <w:p w14:paraId="37B00314">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41.69</w:t>
            </w:r>
          </w:p>
        </w:tc>
        <w:tc>
          <w:tcPr>
            <w:tcW w:w="424" w:type="pct"/>
            <w:vAlign w:val="center"/>
          </w:tcPr>
          <w:p w14:paraId="7672D919">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41.15</w:t>
            </w:r>
          </w:p>
        </w:tc>
      </w:tr>
      <w:tr w14:paraId="75B01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1E0B04B7">
            <w:pPr>
              <w:adjustRightInd/>
              <w:snapToGrid/>
              <w:spacing w:line="240" w:lineRule="auto"/>
              <w:ind w:firstLine="0" w:firstLineChars="0"/>
              <w:contextualSpacing/>
              <w:jc w:val="center"/>
              <w:textAlignment w:val="auto"/>
              <w:rPr>
                <w:kern w:val="2"/>
                <w:sz w:val="21"/>
                <w:szCs w:val="24"/>
              </w:rPr>
            </w:pPr>
            <w:r>
              <w:rPr>
                <w:kern w:val="2"/>
                <w:sz w:val="21"/>
                <w:szCs w:val="24"/>
              </w:rPr>
              <w:t>7</w:t>
            </w:r>
            <w:r>
              <w:rPr>
                <w:rFonts w:hint="eastAsia"/>
                <w:kern w:val="2"/>
                <w:sz w:val="21"/>
                <w:szCs w:val="24"/>
              </w:rPr>
              <w:t>#</w:t>
            </w:r>
          </w:p>
        </w:tc>
        <w:tc>
          <w:tcPr>
            <w:tcW w:w="673" w:type="pct"/>
            <w:vAlign w:val="center"/>
          </w:tcPr>
          <w:p w14:paraId="27C0B5C0">
            <w:pPr>
              <w:adjustRightInd/>
              <w:snapToGrid/>
              <w:spacing w:line="240" w:lineRule="auto"/>
              <w:ind w:firstLine="0" w:firstLineChars="0"/>
              <w:contextualSpacing/>
              <w:jc w:val="center"/>
              <w:textAlignment w:val="auto"/>
              <w:rPr>
                <w:kern w:val="2"/>
                <w:sz w:val="21"/>
                <w:szCs w:val="24"/>
              </w:rPr>
            </w:pPr>
            <w:r>
              <w:rPr>
                <w:rFonts w:hint="eastAsia"/>
                <w:kern w:val="2"/>
                <w:sz w:val="21"/>
                <w:szCs w:val="21"/>
              </w:rPr>
              <w:t>下园村东北</w:t>
            </w:r>
          </w:p>
        </w:tc>
        <w:tc>
          <w:tcPr>
            <w:tcW w:w="1046" w:type="pct"/>
            <w:vAlign w:val="center"/>
          </w:tcPr>
          <w:p w14:paraId="2709555A">
            <w:pPr>
              <w:adjustRightInd/>
              <w:snapToGrid/>
              <w:spacing w:line="240" w:lineRule="auto"/>
              <w:ind w:firstLine="0" w:firstLineChars="0"/>
              <w:contextualSpacing/>
              <w:jc w:val="center"/>
              <w:textAlignment w:val="auto"/>
              <w:rPr>
                <w:kern w:val="2"/>
                <w:sz w:val="21"/>
                <w:szCs w:val="21"/>
              </w:rPr>
            </w:pPr>
            <w:r>
              <w:rPr>
                <w:kern w:val="2"/>
                <w:sz w:val="21"/>
                <w:szCs w:val="21"/>
              </w:rPr>
              <w:t>231991.561</w:t>
            </w:r>
          </w:p>
        </w:tc>
        <w:tc>
          <w:tcPr>
            <w:tcW w:w="940" w:type="pct"/>
            <w:vAlign w:val="center"/>
          </w:tcPr>
          <w:p w14:paraId="771CE975">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3924306.946</w:t>
            </w:r>
          </w:p>
        </w:tc>
        <w:tc>
          <w:tcPr>
            <w:tcW w:w="602" w:type="pct"/>
            <w:vAlign w:val="center"/>
          </w:tcPr>
          <w:p w14:paraId="2C1C25ED">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25.21</w:t>
            </w:r>
          </w:p>
        </w:tc>
        <w:tc>
          <w:tcPr>
            <w:tcW w:w="452" w:type="pct"/>
            <w:vAlign w:val="center"/>
          </w:tcPr>
          <w:p w14:paraId="4EE7D2D5">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25.92</w:t>
            </w:r>
          </w:p>
        </w:tc>
        <w:tc>
          <w:tcPr>
            <w:tcW w:w="451" w:type="pct"/>
            <w:vAlign w:val="center"/>
          </w:tcPr>
          <w:p w14:paraId="2E901823">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42.89</w:t>
            </w:r>
          </w:p>
        </w:tc>
        <w:tc>
          <w:tcPr>
            <w:tcW w:w="424" w:type="pct"/>
            <w:vAlign w:val="center"/>
          </w:tcPr>
          <w:p w14:paraId="68FAB9A0">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42.18</w:t>
            </w:r>
          </w:p>
        </w:tc>
      </w:tr>
      <w:tr w14:paraId="39F8A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7E828FD2">
            <w:pPr>
              <w:adjustRightInd/>
              <w:snapToGrid/>
              <w:spacing w:line="240" w:lineRule="auto"/>
              <w:ind w:firstLine="0" w:firstLineChars="0"/>
              <w:contextualSpacing/>
              <w:jc w:val="center"/>
              <w:textAlignment w:val="auto"/>
              <w:rPr>
                <w:kern w:val="2"/>
                <w:sz w:val="21"/>
                <w:szCs w:val="24"/>
              </w:rPr>
            </w:pPr>
            <w:r>
              <w:rPr>
                <w:kern w:val="2"/>
                <w:sz w:val="21"/>
                <w:szCs w:val="24"/>
              </w:rPr>
              <w:t>8</w:t>
            </w:r>
            <w:r>
              <w:rPr>
                <w:rFonts w:hint="eastAsia"/>
                <w:kern w:val="2"/>
                <w:sz w:val="21"/>
                <w:szCs w:val="24"/>
              </w:rPr>
              <w:t>#</w:t>
            </w:r>
          </w:p>
        </w:tc>
        <w:tc>
          <w:tcPr>
            <w:tcW w:w="673" w:type="pct"/>
            <w:vAlign w:val="center"/>
          </w:tcPr>
          <w:p w14:paraId="71D46066">
            <w:pPr>
              <w:adjustRightInd/>
              <w:snapToGrid/>
              <w:spacing w:line="240" w:lineRule="auto"/>
              <w:ind w:firstLine="0" w:firstLineChars="0"/>
              <w:contextualSpacing/>
              <w:jc w:val="center"/>
              <w:textAlignment w:val="auto"/>
              <w:rPr>
                <w:kern w:val="2"/>
                <w:sz w:val="21"/>
                <w:szCs w:val="21"/>
              </w:rPr>
            </w:pPr>
            <w:r>
              <w:rPr>
                <w:rFonts w:hint="eastAsia"/>
                <w:kern w:val="2"/>
                <w:sz w:val="21"/>
                <w:szCs w:val="21"/>
              </w:rPr>
              <w:t>辛庄村</w:t>
            </w:r>
          </w:p>
        </w:tc>
        <w:tc>
          <w:tcPr>
            <w:tcW w:w="1046" w:type="pct"/>
            <w:vAlign w:val="center"/>
          </w:tcPr>
          <w:p w14:paraId="7B8325A8">
            <w:pPr>
              <w:adjustRightInd/>
              <w:snapToGrid/>
              <w:spacing w:line="240" w:lineRule="auto"/>
              <w:ind w:firstLine="0" w:firstLineChars="0"/>
              <w:contextualSpacing/>
              <w:jc w:val="center"/>
              <w:textAlignment w:val="auto"/>
              <w:rPr>
                <w:kern w:val="2"/>
                <w:sz w:val="21"/>
                <w:szCs w:val="21"/>
              </w:rPr>
            </w:pPr>
            <w:r>
              <w:rPr>
                <w:kern w:val="2"/>
                <w:sz w:val="21"/>
                <w:szCs w:val="21"/>
              </w:rPr>
              <w:t>233185.329</w:t>
            </w:r>
          </w:p>
        </w:tc>
        <w:tc>
          <w:tcPr>
            <w:tcW w:w="940" w:type="pct"/>
            <w:vAlign w:val="center"/>
          </w:tcPr>
          <w:p w14:paraId="3796518C">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3924572.778</w:t>
            </w:r>
          </w:p>
        </w:tc>
        <w:tc>
          <w:tcPr>
            <w:tcW w:w="602" w:type="pct"/>
            <w:vAlign w:val="center"/>
          </w:tcPr>
          <w:p w14:paraId="7148A0EE">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28.14</w:t>
            </w:r>
          </w:p>
        </w:tc>
        <w:tc>
          <w:tcPr>
            <w:tcW w:w="452" w:type="pct"/>
            <w:vAlign w:val="center"/>
          </w:tcPr>
          <w:p w14:paraId="0A52B0E4">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28.52</w:t>
            </w:r>
          </w:p>
        </w:tc>
        <w:tc>
          <w:tcPr>
            <w:tcW w:w="451" w:type="pct"/>
            <w:vAlign w:val="center"/>
          </w:tcPr>
          <w:p w14:paraId="2158D9FF">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42.11</w:t>
            </w:r>
          </w:p>
        </w:tc>
        <w:tc>
          <w:tcPr>
            <w:tcW w:w="424" w:type="pct"/>
            <w:vAlign w:val="center"/>
          </w:tcPr>
          <w:p w14:paraId="68AFC3D5">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41.73</w:t>
            </w:r>
          </w:p>
        </w:tc>
      </w:tr>
      <w:tr w14:paraId="797E2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12E112C2">
            <w:pPr>
              <w:adjustRightInd/>
              <w:snapToGrid/>
              <w:spacing w:line="240" w:lineRule="auto"/>
              <w:ind w:firstLine="0" w:firstLineChars="0"/>
              <w:contextualSpacing/>
              <w:jc w:val="center"/>
              <w:textAlignment w:val="auto"/>
              <w:rPr>
                <w:kern w:val="2"/>
                <w:sz w:val="21"/>
                <w:szCs w:val="24"/>
              </w:rPr>
            </w:pPr>
            <w:r>
              <w:rPr>
                <w:kern w:val="2"/>
                <w:sz w:val="21"/>
                <w:szCs w:val="24"/>
              </w:rPr>
              <w:t>9</w:t>
            </w:r>
            <w:r>
              <w:rPr>
                <w:rFonts w:hint="eastAsia"/>
                <w:kern w:val="2"/>
                <w:sz w:val="21"/>
                <w:szCs w:val="24"/>
              </w:rPr>
              <w:t>#</w:t>
            </w:r>
          </w:p>
        </w:tc>
        <w:tc>
          <w:tcPr>
            <w:tcW w:w="673" w:type="pct"/>
            <w:vAlign w:val="center"/>
          </w:tcPr>
          <w:p w14:paraId="5F995BF0">
            <w:pPr>
              <w:adjustRightInd/>
              <w:snapToGrid/>
              <w:spacing w:line="240" w:lineRule="auto"/>
              <w:ind w:firstLine="0" w:firstLineChars="0"/>
              <w:contextualSpacing/>
              <w:jc w:val="center"/>
              <w:textAlignment w:val="auto"/>
              <w:rPr>
                <w:kern w:val="2"/>
                <w:sz w:val="21"/>
                <w:szCs w:val="21"/>
              </w:rPr>
            </w:pPr>
            <w:r>
              <w:rPr>
                <w:rFonts w:hint="eastAsia"/>
                <w:kern w:val="2"/>
                <w:sz w:val="21"/>
                <w:szCs w:val="21"/>
              </w:rPr>
              <w:t>阮庄村西</w:t>
            </w:r>
          </w:p>
        </w:tc>
        <w:tc>
          <w:tcPr>
            <w:tcW w:w="1046" w:type="pct"/>
            <w:vAlign w:val="center"/>
          </w:tcPr>
          <w:p w14:paraId="1969009F">
            <w:pPr>
              <w:adjustRightInd/>
              <w:snapToGrid/>
              <w:spacing w:line="240" w:lineRule="auto"/>
              <w:ind w:firstLine="0" w:firstLineChars="0"/>
              <w:contextualSpacing/>
              <w:jc w:val="center"/>
              <w:textAlignment w:val="auto"/>
              <w:rPr>
                <w:kern w:val="2"/>
                <w:sz w:val="21"/>
                <w:szCs w:val="21"/>
              </w:rPr>
            </w:pPr>
            <w:r>
              <w:rPr>
                <w:kern w:val="2"/>
                <w:sz w:val="21"/>
                <w:szCs w:val="21"/>
              </w:rPr>
              <w:t>231032.790</w:t>
            </w:r>
          </w:p>
        </w:tc>
        <w:tc>
          <w:tcPr>
            <w:tcW w:w="940" w:type="pct"/>
            <w:vAlign w:val="center"/>
          </w:tcPr>
          <w:p w14:paraId="6383BADC">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3926025.161</w:t>
            </w:r>
          </w:p>
        </w:tc>
        <w:tc>
          <w:tcPr>
            <w:tcW w:w="602" w:type="pct"/>
            <w:vAlign w:val="center"/>
          </w:tcPr>
          <w:p w14:paraId="6C49A5F5">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23.7</w:t>
            </w:r>
          </w:p>
        </w:tc>
        <w:tc>
          <w:tcPr>
            <w:tcW w:w="452" w:type="pct"/>
            <w:vAlign w:val="center"/>
          </w:tcPr>
          <w:p w14:paraId="60708BCF">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24.29</w:t>
            </w:r>
          </w:p>
        </w:tc>
        <w:tc>
          <w:tcPr>
            <w:tcW w:w="451" w:type="pct"/>
            <w:vAlign w:val="center"/>
          </w:tcPr>
          <w:p w14:paraId="58B05BF0">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51.02</w:t>
            </w:r>
          </w:p>
        </w:tc>
        <w:tc>
          <w:tcPr>
            <w:tcW w:w="424" w:type="pct"/>
            <w:vAlign w:val="center"/>
          </w:tcPr>
          <w:p w14:paraId="00C3FAEE">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50.43</w:t>
            </w:r>
          </w:p>
        </w:tc>
      </w:tr>
      <w:tr w14:paraId="32125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78FC1C1E">
            <w:pPr>
              <w:adjustRightInd/>
              <w:snapToGrid/>
              <w:spacing w:line="240" w:lineRule="auto"/>
              <w:ind w:firstLine="0" w:firstLineChars="0"/>
              <w:contextualSpacing/>
              <w:jc w:val="center"/>
              <w:textAlignment w:val="auto"/>
              <w:rPr>
                <w:kern w:val="2"/>
                <w:sz w:val="21"/>
                <w:szCs w:val="21"/>
              </w:rPr>
            </w:pPr>
            <w:r>
              <w:rPr>
                <w:kern w:val="2"/>
                <w:sz w:val="21"/>
                <w:szCs w:val="24"/>
              </w:rPr>
              <w:t>10</w:t>
            </w:r>
            <w:r>
              <w:rPr>
                <w:rFonts w:hint="eastAsia"/>
                <w:kern w:val="2"/>
                <w:sz w:val="21"/>
                <w:szCs w:val="24"/>
              </w:rPr>
              <w:t>#</w:t>
            </w:r>
          </w:p>
        </w:tc>
        <w:tc>
          <w:tcPr>
            <w:tcW w:w="673" w:type="pct"/>
            <w:vAlign w:val="center"/>
          </w:tcPr>
          <w:p w14:paraId="7ACF9811">
            <w:pPr>
              <w:adjustRightInd/>
              <w:snapToGrid/>
              <w:spacing w:line="240" w:lineRule="auto"/>
              <w:ind w:firstLine="0" w:firstLineChars="0"/>
              <w:contextualSpacing/>
              <w:jc w:val="center"/>
              <w:textAlignment w:val="auto"/>
              <w:rPr>
                <w:kern w:val="2"/>
                <w:sz w:val="21"/>
                <w:szCs w:val="21"/>
              </w:rPr>
            </w:pPr>
            <w:r>
              <w:rPr>
                <w:rFonts w:hint="eastAsia"/>
                <w:kern w:val="2"/>
                <w:sz w:val="21"/>
                <w:szCs w:val="21"/>
              </w:rPr>
              <w:t>薛庄村</w:t>
            </w:r>
          </w:p>
        </w:tc>
        <w:tc>
          <w:tcPr>
            <w:tcW w:w="1046" w:type="pct"/>
            <w:vAlign w:val="center"/>
          </w:tcPr>
          <w:p w14:paraId="0909B70B">
            <w:pPr>
              <w:adjustRightInd/>
              <w:snapToGrid/>
              <w:spacing w:line="240" w:lineRule="auto"/>
              <w:ind w:firstLine="0" w:firstLineChars="0"/>
              <w:contextualSpacing/>
              <w:jc w:val="center"/>
              <w:textAlignment w:val="auto"/>
              <w:rPr>
                <w:kern w:val="2"/>
                <w:sz w:val="21"/>
                <w:szCs w:val="21"/>
              </w:rPr>
            </w:pPr>
            <w:r>
              <w:rPr>
                <w:kern w:val="2"/>
                <w:sz w:val="21"/>
                <w:szCs w:val="21"/>
              </w:rPr>
              <w:t>233332.612</w:t>
            </w:r>
          </w:p>
        </w:tc>
        <w:tc>
          <w:tcPr>
            <w:tcW w:w="940" w:type="pct"/>
            <w:vAlign w:val="center"/>
          </w:tcPr>
          <w:p w14:paraId="12D2B3E8">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3927161.574</w:t>
            </w:r>
          </w:p>
        </w:tc>
        <w:tc>
          <w:tcPr>
            <w:tcW w:w="602" w:type="pct"/>
            <w:vAlign w:val="center"/>
          </w:tcPr>
          <w:p w14:paraId="54BFE601">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24.73</w:t>
            </w:r>
          </w:p>
        </w:tc>
        <w:tc>
          <w:tcPr>
            <w:tcW w:w="452" w:type="pct"/>
            <w:vAlign w:val="center"/>
          </w:tcPr>
          <w:p w14:paraId="60E7995D">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25.76</w:t>
            </w:r>
          </w:p>
        </w:tc>
        <w:tc>
          <w:tcPr>
            <w:tcW w:w="451" w:type="pct"/>
            <w:vAlign w:val="center"/>
          </w:tcPr>
          <w:p w14:paraId="2FF37F4B">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48.71</w:t>
            </w:r>
          </w:p>
        </w:tc>
        <w:tc>
          <w:tcPr>
            <w:tcW w:w="424" w:type="pct"/>
            <w:vAlign w:val="center"/>
          </w:tcPr>
          <w:p w14:paraId="2B67396A">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47.68</w:t>
            </w:r>
          </w:p>
        </w:tc>
      </w:tr>
      <w:tr w14:paraId="5CBA9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03B3AD23">
            <w:pPr>
              <w:adjustRightInd/>
              <w:snapToGrid/>
              <w:spacing w:line="240" w:lineRule="auto"/>
              <w:ind w:firstLine="0" w:firstLineChars="0"/>
              <w:contextualSpacing/>
              <w:jc w:val="center"/>
              <w:textAlignment w:val="auto"/>
              <w:rPr>
                <w:kern w:val="2"/>
                <w:sz w:val="21"/>
                <w:szCs w:val="21"/>
              </w:rPr>
            </w:pPr>
            <w:r>
              <w:rPr>
                <w:kern w:val="2"/>
                <w:sz w:val="21"/>
                <w:szCs w:val="24"/>
              </w:rPr>
              <w:t>11</w:t>
            </w:r>
            <w:r>
              <w:rPr>
                <w:rFonts w:hint="eastAsia"/>
                <w:kern w:val="2"/>
                <w:sz w:val="21"/>
                <w:szCs w:val="24"/>
              </w:rPr>
              <w:t>#</w:t>
            </w:r>
          </w:p>
        </w:tc>
        <w:tc>
          <w:tcPr>
            <w:tcW w:w="673" w:type="pct"/>
            <w:vAlign w:val="center"/>
          </w:tcPr>
          <w:p w14:paraId="1F05BC35">
            <w:pPr>
              <w:adjustRightInd/>
              <w:snapToGrid/>
              <w:spacing w:line="240" w:lineRule="auto"/>
              <w:ind w:firstLine="0" w:firstLineChars="0"/>
              <w:contextualSpacing/>
              <w:jc w:val="center"/>
              <w:textAlignment w:val="auto"/>
              <w:rPr>
                <w:kern w:val="2"/>
                <w:sz w:val="21"/>
                <w:szCs w:val="21"/>
              </w:rPr>
            </w:pPr>
            <w:r>
              <w:rPr>
                <w:rFonts w:hint="eastAsia"/>
                <w:kern w:val="2"/>
                <w:sz w:val="21"/>
                <w:szCs w:val="21"/>
              </w:rPr>
              <w:t>东寺门村</w:t>
            </w:r>
          </w:p>
        </w:tc>
        <w:tc>
          <w:tcPr>
            <w:tcW w:w="1046" w:type="pct"/>
            <w:vAlign w:val="center"/>
          </w:tcPr>
          <w:p w14:paraId="3A120257">
            <w:pPr>
              <w:adjustRightInd/>
              <w:snapToGrid/>
              <w:spacing w:line="240" w:lineRule="auto"/>
              <w:ind w:firstLine="0" w:firstLineChars="0"/>
              <w:contextualSpacing/>
              <w:jc w:val="center"/>
              <w:textAlignment w:val="auto"/>
              <w:rPr>
                <w:kern w:val="2"/>
                <w:sz w:val="21"/>
                <w:szCs w:val="21"/>
              </w:rPr>
            </w:pPr>
            <w:r>
              <w:rPr>
                <w:kern w:val="2"/>
                <w:sz w:val="21"/>
                <w:szCs w:val="21"/>
              </w:rPr>
              <w:t>231308.577</w:t>
            </w:r>
          </w:p>
        </w:tc>
        <w:tc>
          <w:tcPr>
            <w:tcW w:w="940" w:type="pct"/>
            <w:vAlign w:val="center"/>
          </w:tcPr>
          <w:p w14:paraId="7159FFD2">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3928651.826</w:t>
            </w:r>
          </w:p>
        </w:tc>
        <w:tc>
          <w:tcPr>
            <w:tcW w:w="602" w:type="pct"/>
            <w:vAlign w:val="center"/>
          </w:tcPr>
          <w:p w14:paraId="5FF08936">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19.69</w:t>
            </w:r>
          </w:p>
        </w:tc>
        <w:tc>
          <w:tcPr>
            <w:tcW w:w="452" w:type="pct"/>
            <w:vAlign w:val="center"/>
          </w:tcPr>
          <w:p w14:paraId="29CCD301">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20.2</w:t>
            </w:r>
          </w:p>
        </w:tc>
        <w:tc>
          <w:tcPr>
            <w:tcW w:w="451" w:type="pct"/>
            <w:vAlign w:val="center"/>
          </w:tcPr>
          <w:p w14:paraId="31C7A6E7">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62.34</w:t>
            </w:r>
          </w:p>
        </w:tc>
        <w:tc>
          <w:tcPr>
            <w:tcW w:w="424" w:type="pct"/>
            <w:vAlign w:val="center"/>
          </w:tcPr>
          <w:p w14:paraId="535AC814">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61.83</w:t>
            </w:r>
          </w:p>
        </w:tc>
      </w:tr>
      <w:tr w14:paraId="69B61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7C5EDECD">
            <w:pPr>
              <w:adjustRightInd/>
              <w:snapToGrid/>
              <w:spacing w:line="240" w:lineRule="auto"/>
              <w:ind w:firstLine="0" w:firstLineChars="0"/>
              <w:contextualSpacing/>
              <w:jc w:val="center"/>
              <w:textAlignment w:val="auto"/>
              <w:rPr>
                <w:kern w:val="2"/>
                <w:sz w:val="21"/>
                <w:szCs w:val="24"/>
              </w:rPr>
            </w:pPr>
            <w:r>
              <w:rPr>
                <w:kern w:val="2"/>
                <w:sz w:val="21"/>
                <w:szCs w:val="24"/>
              </w:rPr>
              <w:t>12</w:t>
            </w:r>
            <w:r>
              <w:rPr>
                <w:rFonts w:hint="eastAsia"/>
                <w:kern w:val="2"/>
                <w:sz w:val="21"/>
                <w:szCs w:val="24"/>
              </w:rPr>
              <w:t>#</w:t>
            </w:r>
          </w:p>
        </w:tc>
        <w:tc>
          <w:tcPr>
            <w:tcW w:w="673" w:type="pct"/>
            <w:vAlign w:val="center"/>
          </w:tcPr>
          <w:p w14:paraId="5E965EAC">
            <w:pPr>
              <w:adjustRightInd/>
              <w:snapToGrid/>
              <w:spacing w:line="240" w:lineRule="auto"/>
              <w:ind w:firstLine="0" w:firstLineChars="0"/>
              <w:contextualSpacing/>
              <w:jc w:val="center"/>
              <w:textAlignment w:val="auto"/>
              <w:rPr>
                <w:kern w:val="2"/>
                <w:sz w:val="21"/>
                <w:szCs w:val="21"/>
              </w:rPr>
            </w:pPr>
            <w:r>
              <w:rPr>
                <w:rFonts w:hint="eastAsia"/>
                <w:kern w:val="2"/>
                <w:sz w:val="21"/>
                <w:szCs w:val="21"/>
              </w:rPr>
              <w:t>岗曹村</w:t>
            </w:r>
          </w:p>
        </w:tc>
        <w:tc>
          <w:tcPr>
            <w:tcW w:w="1046" w:type="pct"/>
            <w:vAlign w:val="center"/>
          </w:tcPr>
          <w:p w14:paraId="49BAE498">
            <w:pPr>
              <w:adjustRightInd/>
              <w:snapToGrid/>
              <w:spacing w:line="240" w:lineRule="auto"/>
              <w:ind w:firstLine="0" w:firstLineChars="0"/>
              <w:contextualSpacing/>
              <w:jc w:val="center"/>
              <w:textAlignment w:val="auto"/>
              <w:rPr>
                <w:kern w:val="2"/>
                <w:sz w:val="21"/>
                <w:szCs w:val="21"/>
              </w:rPr>
            </w:pPr>
            <w:r>
              <w:rPr>
                <w:kern w:val="2"/>
                <w:sz w:val="21"/>
                <w:szCs w:val="21"/>
              </w:rPr>
              <w:t>230772.510</w:t>
            </w:r>
          </w:p>
        </w:tc>
        <w:tc>
          <w:tcPr>
            <w:tcW w:w="940" w:type="pct"/>
            <w:vAlign w:val="center"/>
          </w:tcPr>
          <w:p w14:paraId="0777EC7A">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3927161.901</w:t>
            </w:r>
          </w:p>
        </w:tc>
        <w:tc>
          <w:tcPr>
            <w:tcW w:w="602" w:type="pct"/>
            <w:vAlign w:val="center"/>
          </w:tcPr>
          <w:p w14:paraId="21E07B94">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18.15</w:t>
            </w:r>
          </w:p>
        </w:tc>
        <w:tc>
          <w:tcPr>
            <w:tcW w:w="452" w:type="pct"/>
            <w:vAlign w:val="center"/>
          </w:tcPr>
          <w:p w14:paraId="3BF1A6DF">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20</w:t>
            </w:r>
          </w:p>
        </w:tc>
        <w:tc>
          <w:tcPr>
            <w:tcW w:w="451" w:type="pct"/>
            <w:vAlign w:val="center"/>
          </w:tcPr>
          <w:p w14:paraId="409B8524">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60.93</w:t>
            </w:r>
          </w:p>
        </w:tc>
        <w:tc>
          <w:tcPr>
            <w:tcW w:w="424" w:type="pct"/>
            <w:vAlign w:val="center"/>
          </w:tcPr>
          <w:p w14:paraId="294F7E89">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59.08</w:t>
            </w:r>
          </w:p>
        </w:tc>
      </w:tr>
      <w:tr w14:paraId="1133A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0A1214C1">
            <w:pPr>
              <w:adjustRightInd/>
              <w:snapToGrid/>
              <w:spacing w:line="240" w:lineRule="auto"/>
              <w:ind w:firstLine="0" w:firstLineChars="0"/>
              <w:contextualSpacing/>
              <w:jc w:val="center"/>
              <w:textAlignment w:val="auto"/>
              <w:rPr>
                <w:kern w:val="2"/>
                <w:sz w:val="21"/>
                <w:szCs w:val="24"/>
              </w:rPr>
            </w:pPr>
            <w:r>
              <w:rPr>
                <w:rFonts w:hint="eastAsia"/>
                <w:kern w:val="2"/>
                <w:sz w:val="21"/>
                <w:szCs w:val="24"/>
              </w:rPr>
              <w:t>1</w:t>
            </w:r>
            <w:r>
              <w:rPr>
                <w:kern w:val="2"/>
                <w:sz w:val="21"/>
                <w:szCs w:val="24"/>
              </w:rPr>
              <w:t>3</w:t>
            </w:r>
            <w:r>
              <w:rPr>
                <w:rFonts w:hint="eastAsia"/>
                <w:kern w:val="2"/>
                <w:sz w:val="21"/>
                <w:szCs w:val="24"/>
              </w:rPr>
              <w:t>#</w:t>
            </w:r>
          </w:p>
        </w:tc>
        <w:tc>
          <w:tcPr>
            <w:tcW w:w="673" w:type="pct"/>
            <w:vAlign w:val="center"/>
          </w:tcPr>
          <w:p w14:paraId="72B2F425">
            <w:pPr>
              <w:adjustRightInd/>
              <w:snapToGrid/>
              <w:spacing w:line="240" w:lineRule="auto"/>
              <w:ind w:firstLine="0" w:firstLineChars="0"/>
              <w:contextualSpacing/>
              <w:jc w:val="center"/>
              <w:textAlignment w:val="auto"/>
              <w:rPr>
                <w:kern w:val="2"/>
                <w:sz w:val="21"/>
                <w:szCs w:val="21"/>
              </w:rPr>
            </w:pPr>
            <w:r>
              <w:rPr>
                <w:rFonts w:hint="eastAsia"/>
                <w:kern w:val="2"/>
                <w:sz w:val="21"/>
                <w:szCs w:val="21"/>
              </w:rPr>
              <w:t>河洼村</w:t>
            </w:r>
          </w:p>
        </w:tc>
        <w:tc>
          <w:tcPr>
            <w:tcW w:w="1046" w:type="pct"/>
            <w:vAlign w:val="center"/>
          </w:tcPr>
          <w:p w14:paraId="564D2CF2">
            <w:pPr>
              <w:adjustRightInd/>
              <w:snapToGrid/>
              <w:spacing w:line="240" w:lineRule="auto"/>
              <w:ind w:firstLine="0" w:firstLineChars="0"/>
              <w:contextualSpacing/>
              <w:jc w:val="center"/>
              <w:textAlignment w:val="auto"/>
              <w:rPr>
                <w:kern w:val="2"/>
                <w:sz w:val="21"/>
                <w:szCs w:val="21"/>
              </w:rPr>
            </w:pPr>
            <w:r>
              <w:rPr>
                <w:kern w:val="2"/>
                <w:sz w:val="21"/>
                <w:szCs w:val="21"/>
              </w:rPr>
              <w:t>228685.468</w:t>
            </w:r>
          </w:p>
        </w:tc>
        <w:tc>
          <w:tcPr>
            <w:tcW w:w="940" w:type="pct"/>
            <w:vAlign w:val="center"/>
          </w:tcPr>
          <w:p w14:paraId="2DF39CBE">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3926302.650</w:t>
            </w:r>
          </w:p>
        </w:tc>
        <w:tc>
          <w:tcPr>
            <w:tcW w:w="602" w:type="pct"/>
            <w:vAlign w:val="center"/>
          </w:tcPr>
          <w:p w14:paraId="69C22357">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18.89</w:t>
            </w:r>
          </w:p>
        </w:tc>
        <w:tc>
          <w:tcPr>
            <w:tcW w:w="452" w:type="pct"/>
            <w:vAlign w:val="center"/>
          </w:tcPr>
          <w:p w14:paraId="57D2C23B">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19.53</w:t>
            </w:r>
          </w:p>
        </w:tc>
        <w:tc>
          <w:tcPr>
            <w:tcW w:w="451" w:type="pct"/>
            <w:vAlign w:val="center"/>
          </w:tcPr>
          <w:p w14:paraId="4B72346A">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60.78</w:t>
            </w:r>
          </w:p>
        </w:tc>
        <w:tc>
          <w:tcPr>
            <w:tcW w:w="424" w:type="pct"/>
            <w:vAlign w:val="center"/>
          </w:tcPr>
          <w:p w14:paraId="77519E52">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60.14</w:t>
            </w:r>
          </w:p>
        </w:tc>
      </w:tr>
      <w:tr w14:paraId="69464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12" w:type="pct"/>
            <w:vAlign w:val="center"/>
          </w:tcPr>
          <w:p w14:paraId="0646FCC9">
            <w:pPr>
              <w:adjustRightInd/>
              <w:snapToGrid/>
              <w:spacing w:line="240" w:lineRule="auto"/>
              <w:ind w:firstLine="0" w:firstLineChars="0"/>
              <w:contextualSpacing/>
              <w:jc w:val="center"/>
              <w:textAlignment w:val="auto"/>
              <w:rPr>
                <w:kern w:val="2"/>
                <w:sz w:val="21"/>
                <w:szCs w:val="24"/>
              </w:rPr>
            </w:pPr>
            <w:r>
              <w:rPr>
                <w:rFonts w:hint="eastAsia"/>
                <w:kern w:val="2"/>
                <w:sz w:val="21"/>
                <w:szCs w:val="24"/>
              </w:rPr>
              <w:t>1</w:t>
            </w:r>
            <w:r>
              <w:rPr>
                <w:kern w:val="2"/>
                <w:sz w:val="21"/>
                <w:szCs w:val="24"/>
              </w:rPr>
              <w:t>4</w:t>
            </w:r>
            <w:r>
              <w:rPr>
                <w:rFonts w:hint="eastAsia"/>
                <w:kern w:val="2"/>
                <w:sz w:val="21"/>
                <w:szCs w:val="24"/>
              </w:rPr>
              <w:t>#</w:t>
            </w:r>
          </w:p>
        </w:tc>
        <w:tc>
          <w:tcPr>
            <w:tcW w:w="673" w:type="pct"/>
            <w:vAlign w:val="center"/>
          </w:tcPr>
          <w:p w14:paraId="6C5C4FBB">
            <w:pPr>
              <w:adjustRightInd/>
              <w:snapToGrid/>
              <w:spacing w:line="240" w:lineRule="auto"/>
              <w:ind w:firstLine="0" w:firstLineChars="0"/>
              <w:contextualSpacing/>
              <w:jc w:val="center"/>
              <w:textAlignment w:val="auto"/>
              <w:rPr>
                <w:kern w:val="2"/>
                <w:sz w:val="21"/>
                <w:szCs w:val="21"/>
              </w:rPr>
            </w:pPr>
            <w:r>
              <w:rPr>
                <w:rFonts w:hint="eastAsia"/>
                <w:kern w:val="2"/>
                <w:sz w:val="21"/>
                <w:szCs w:val="21"/>
              </w:rPr>
              <w:t>班庄北</w:t>
            </w:r>
          </w:p>
        </w:tc>
        <w:tc>
          <w:tcPr>
            <w:tcW w:w="1046" w:type="pct"/>
            <w:vAlign w:val="center"/>
          </w:tcPr>
          <w:p w14:paraId="2C6BB94A">
            <w:pPr>
              <w:adjustRightInd/>
              <w:snapToGrid/>
              <w:spacing w:line="240" w:lineRule="auto"/>
              <w:ind w:firstLine="0" w:firstLineChars="0"/>
              <w:contextualSpacing/>
              <w:jc w:val="center"/>
              <w:textAlignment w:val="auto"/>
              <w:rPr>
                <w:kern w:val="2"/>
                <w:sz w:val="21"/>
                <w:szCs w:val="21"/>
              </w:rPr>
            </w:pPr>
            <w:r>
              <w:rPr>
                <w:kern w:val="2"/>
                <w:sz w:val="21"/>
                <w:szCs w:val="21"/>
              </w:rPr>
              <w:t>228770.811</w:t>
            </w:r>
          </w:p>
        </w:tc>
        <w:tc>
          <w:tcPr>
            <w:tcW w:w="940" w:type="pct"/>
            <w:vAlign w:val="center"/>
          </w:tcPr>
          <w:p w14:paraId="75A3382A">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3925191.973</w:t>
            </w:r>
          </w:p>
        </w:tc>
        <w:tc>
          <w:tcPr>
            <w:tcW w:w="602" w:type="pct"/>
            <w:vAlign w:val="center"/>
          </w:tcPr>
          <w:p w14:paraId="3BB00534">
            <w:pPr>
              <w:adjustRightInd/>
              <w:snapToGrid/>
              <w:spacing w:line="240" w:lineRule="auto"/>
              <w:ind w:firstLine="0" w:firstLineChars="0"/>
              <w:contextualSpacing/>
              <w:jc w:val="center"/>
              <w:textAlignment w:val="auto"/>
              <w:rPr>
                <w:kern w:val="2"/>
                <w:sz w:val="21"/>
                <w:szCs w:val="21"/>
              </w:rPr>
            </w:pPr>
            <w:r>
              <w:rPr>
                <w:rFonts w:eastAsia="等线"/>
                <w:kern w:val="2"/>
                <w:sz w:val="21"/>
                <w:szCs w:val="21"/>
              </w:rPr>
              <w:t>23.63</w:t>
            </w:r>
          </w:p>
        </w:tc>
        <w:tc>
          <w:tcPr>
            <w:tcW w:w="452" w:type="pct"/>
            <w:vAlign w:val="center"/>
          </w:tcPr>
          <w:p w14:paraId="6AC47401">
            <w:pPr>
              <w:adjustRightInd/>
              <w:snapToGrid/>
              <w:spacing w:line="240" w:lineRule="auto"/>
              <w:ind w:firstLine="0" w:firstLineChars="0"/>
              <w:contextualSpacing/>
              <w:jc w:val="center"/>
              <w:textAlignment w:val="auto"/>
              <w:rPr>
                <w:kern w:val="2"/>
                <w:sz w:val="21"/>
                <w:szCs w:val="21"/>
              </w:rPr>
            </w:pPr>
            <w:r>
              <w:rPr>
                <w:rFonts w:hint="eastAsia" w:eastAsia="等线"/>
                <w:kern w:val="2"/>
                <w:sz w:val="21"/>
                <w:szCs w:val="21"/>
              </w:rPr>
              <w:t>24.01</w:t>
            </w:r>
          </w:p>
        </w:tc>
        <w:tc>
          <w:tcPr>
            <w:tcW w:w="451" w:type="pct"/>
            <w:vAlign w:val="center"/>
          </w:tcPr>
          <w:p w14:paraId="0DA33B95">
            <w:pPr>
              <w:adjustRightInd/>
              <w:snapToGrid/>
              <w:spacing w:line="240" w:lineRule="auto"/>
              <w:ind w:firstLine="0" w:firstLineChars="0"/>
              <w:contextualSpacing/>
              <w:jc w:val="center"/>
              <w:textAlignment w:val="auto"/>
              <w:rPr>
                <w:rFonts w:eastAsia="等线"/>
                <w:kern w:val="2"/>
                <w:sz w:val="21"/>
                <w:szCs w:val="21"/>
              </w:rPr>
            </w:pPr>
            <w:r>
              <w:rPr>
                <w:rFonts w:eastAsia="等线"/>
                <w:kern w:val="2"/>
                <w:sz w:val="21"/>
                <w:szCs w:val="21"/>
              </w:rPr>
              <w:t>53.58</w:t>
            </w:r>
          </w:p>
        </w:tc>
        <w:tc>
          <w:tcPr>
            <w:tcW w:w="424" w:type="pct"/>
            <w:vAlign w:val="center"/>
          </w:tcPr>
          <w:p w14:paraId="4A31884A">
            <w:pPr>
              <w:adjustRightInd/>
              <w:snapToGrid/>
              <w:spacing w:line="240" w:lineRule="auto"/>
              <w:ind w:firstLine="0" w:firstLineChars="0"/>
              <w:contextualSpacing/>
              <w:jc w:val="center"/>
              <w:textAlignment w:val="auto"/>
              <w:rPr>
                <w:rFonts w:eastAsia="等线"/>
                <w:kern w:val="2"/>
                <w:sz w:val="21"/>
                <w:szCs w:val="21"/>
              </w:rPr>
            </w:pPr>
            <w:r>
              <w:rPr>
                <w:rFonts w:hint="eastAsia" w:eastAsia="等线"/>
                <w:kern w:val="2"/>
                <w:sz w:val="21"/>
                <w:szCs w:val="21"/>
              </w:rPr>
              <w:t>53.2</w:t>
            </w:r>
          </w:p>
        </w:tc>
      </w:tr>
    </w:tbl>
    <w:p w14:paraId="6C89C205">
      <w:pPr>
        <w:spacing w:line="360" w:lineRule="auto"/>
        <w:ind w:firstLine="0" w:firstLineChars="0"/>
        <w:jc w:val="center"/>
        <w:sectPr>
          <w:pgSz w:w="11906" w:h="16838"/>
          <w:pgMar w:top="1440" w:right="1797" w:bottom="1440" w:left="1797" w:header="851" w:footer="992" w:gutter="0"/>
          <w:cols w:space="720" w:num="1"/>
          <w:docGrid w:linePitch="312" w:charSpace="0"/>
        </w:sectPr>
      </w:pPr>
    </w:p>
    <w:p w14:paraId="2AB96BEE">
      <w:pPr>
        <w:spacing w:line="240" w:lineRule="auto"/>
        <w:ind w:firstLine="0" w:firstLineChars="0"/>
        <w:jc w:val="center"/>
      </w:pPr>
      <w:r>
        <w:drawing>
          <wp:inline distT="0" distB="0" distL="0" distR="0">
            <wp:extent cx="5873115" cy="5327650"/>
            <wp:effectExtent l="0" t="0" r="13335" b="6350"/>
            <wp:docPr id="2044896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96280" name="图片 1"/>
                    <pic:cNvPicPr>
                      <a:picLocks noChangeAspect="1"/>
                    </pic:cNvPicPr>
                  </pic:nvPicPr>
                  <pic:blipFill>
                    <a:blip r:embed="rId95"/>
                    <a:stretch>
                      <a:fillRect/>
                    </a:stretch>
                  </pic:blipFill>
                  <pic:spPr>
                    <a:xfrm>
                      <a:off x="0" y="0"/>
                      <a:ext cx="5873115" cy="5328000"/>
                    </a:xfrm>
                    <a:prstGeom prst="rect">
                      <a:avLst/>
                    </a:prstGeom>
                  </pic:spPr>
                </pic:pic>
              </a:graphicData>
            </a:graphic>
          </wp:inline>
        </w:drawing>
      </w:r>
    </w:p>
    <w:p w14:paraId="6124EC75">
      <w:pPr>
        <w:pStyle w:val="68"/>
        <w:numPr>
          <w:ilvl w:val="0"/>
          <w:numId w:val="29"/>
        </w:numPr>
        <w:ind w:left="0" w:firstLine="0"/>
        <w:rPr>
          <w:rFonts w:eastAsia="黑体"/>
          <w:u w:val="single"/>
        </w:rPr>
        <w:sectPr>
          <w:pgSz w:w="16838" w:h="11906" w:orient="landscape"/>
          <w:pgMar w:top="1588" w:right="1247" w:bottom="1588" w:left="1247" w:header="851" w:footer="992" w:gutter="0"/>
          <w:cols w:space="720" w:num="1"/>
          <w:docGrid w:linePitch="326" w:charSpace="0"/>
        </w:sectPr>
      </w:pPr>
      <w:r>
        <w:rPr>
          <w:rFonts w:hint="eastAsia" w:eastAsia="黑体"/>
          <w:u w:val="single"/>
        </w:rPr>
        <w:t xml:space="preserve"> 调查评价区地下水调查点图</w:t>
      </w:r>
    </w:p>
    <w:p w14:paraId="7DE5740A">
      <w:pPr>
        <w:pStyle w:val="6"/>
        <w:ind w:left="0" w:firstLine="482" w:firstLineChars="200"/>
      </w:pPr>
      <w:r>
        <w:rPr>
          <w:rFonts w:hint="eastAsia"/>
        </w:rPr>
        <w:t>地下水流场特征</w:t>
      </w:r>
    </w:p>
    <w:p w14:paraId="2C7D01B8">
      <w:pPr>
        <w:ind w:firstLine="480"/>
        <w:rPr>
          <w:highlight w:val="yellow"/>
        </w:rPr>
      </w:pPr>
      <w:r>
        <w:rPr>
          <w:rFonts w:hint="eastAsia"/>
        </w:rPr>
        <w:t>根据水位调查资料及统调结果，绘制了浅层地下水枯、丰水期流场图，具体见图5.3-7、5.3-8。</w:t>
      </w:r>
    </w:p>
    <w:p w14:paraId="625CE43F">
      <w:pPr>
        <w:ind w:firstLine="480"/>
        <w:sectPr>
          <w:pgSz w:w="11906" w:h="16838"/>
          <w:pgMar w:top="1440" w:right="1797" w:bottom="1440" w:left="1797" w:header="851" w:footer="992" w:gutter="0"/>
          <w:cols w:space="720" w:num="1"/>
          <w:docGrid w:linePitch="312" w:charSpace="0"/>
        </w:sectPr>
      </w:pPr>
      <w:r>
        <w:rPr>
          <w:rFonts w:hint="eastAsia"/>
        </w:rPr>
        <w:t>根据资料及统调结果，地下水丰水期流向和枯水期流向基本一致，即整体由西北向东南迳流。枯水期地下水埋深19.53～29.71m，水位标高41.15～61.83m。丰水期地下水埋深18.15m～18.52m，水位标高41.69～62.34m。</w:t>
      </w:r>
    </w:p>
    <w:p w14:paraId="33D8B675">
      <w:pPr>
        <w:pStyle w:val="2"/>
        <w:spacing w:after="0" w:line="240" w:lineRule="auto"/>
        <w:ind w:firstLine="0" w:firstLineChars="0"/>
        <w:jc w:val="center"/>
        <w:rPr>
          <w:highlight w:val="yellow"/>
        </w:rPr>
      </w:pPr>
      <w:r>
        <w:drawing>
          <wp:inline distT="0" distB="0" distL="0" distR="0">
            <wp:extent cx="5796915" cy="5327650"/>
            <wp:effectExtent l="0" t="0" r="13335" b="6350"/>
            <wp:docPr id="1728371153"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71153" name="图片 1" descr="图片包含 图表&#10;&#10;描述已自动生成"/>
                    <pic:cNvPicPr>
                      <a:picLocks noChangeAspect="1"/>
                    </pic:cNvPicPr>
                  </pic:nvPicPr>
                  <pic:blipFill>
                    <a:blip r:embed="rId96"/>
                    <a:stretch>
                      <a:fillRect/>
                    </a:stretch>
                  </pic:blipFill>
                  <pic:spPr>
                    <a:xfrm>
                      <a:off x="0" y="0"/>
                      <a:ext cx="5796915" cy="5328000"/>
                    </a:xfrm>
                    <a:prstGeom prst="rect">
                      <a:avLst/>
                    </a:prstGeom>
                  </pic:spPr>
                </pic:pic>
              </a:graphicData>
            </a:graphic>
          </wp:inline>
        </w:drawing>
      </w:r>
    </w:p>
    <w:p w14:paraId="158C3E96">
      <w:pPr>
        <w:pStyle w:val="68"/>
        <w:numPr>
          <w:ilvl w:val="0"/>
          <w:numId w:val="29"/>
        </w:numPr>
        <w:ind w:left="0" w:firstLine="0"/>
        <w:rPr>
          <w:rFonts w:eastAsia="黑体"/>
        </w:rPr>
        <w:sectPr>
          <w:pgSz w:w="16838" w:h="11906" w:orient="landscape"/>
          <w:pgMar w:top="1588" w:right="1247" w:bottom="1588" w:left="1247" w:header="851" w:footer="992" w:gutter="0"/>
          <w:cols w:space="720" w:num="1"/>
          <w:docGrid w:linePitch="326" w:charSpace="0"/>
        </w:sectPr>
      </w:pPr>
      <w:r>
        <w:rPr>
          <w:rFonts w:hint="eastAsia" w:eastAsia="黑体"/>
        </w:rPr>
        <w:t>调查评价区枯水期浅层地下水等水位</w:t>
      </w:r>
    </w:p>
    <w:p w14:paraId="54FB9465">
      <w:pPr>
        <w:pStyle w:val="2"/>
        <w:spacing w:after="0" w:line="240" w:lineRule="auto"/>
        <w:ind w:firstLine="0" w:firstLineChars="0"/>
        <w:jc w:val="center"/>
        <w:rPr>
          <w:highlight w:val="yellow"/>
        </w:rPr>
      </w:pPr>
      <w:r>
        <w:drawing>
          <wp:inline distT="0" distB="0" distL="0" distR="0">
            <wp:extent cx="5802630" cy="5327650"/>
            <wp:effectExtent l="0" t="0" r="7620" b="6350"/>
            <wp:docPr id="359681508"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81508" name="图片 1" descr="图示&#10;&#10;低可信度描述已自动生成"/>
                    <pic:cNvPicPr>
                      <a:picLocks noChangeAspect="1"/>
                    </pic:cNvPicPr>
                  </pic:nvPicPr>
                  <pic:blipFill>
                    <a:blip r:embed="rId97"/>
                    <a:stretch>
                      <a:fillRect/>
                    </a:stretch>
                  </pic:blipFill>
                  <pic:spPr>
                    <a:xfrm>
                      <a:off x="0" y="0"/>
                      <a:ext cx="5802630" cy="5328000"/>
                    </a:xfrm>
                    <a:prstGeom prst="rect">
                      <a:avLst/>
                    </a:prstGeom>
                  </pic:spPr>
                </pic:pic>
              </a:graphicData>
            </a:graphic>
          </wp:inline>
        </w:drawing>
      </w:r>
    </w:p>
    <w:p w14:paraId="20892369">
      <w:pPr>
        <w:pStyle w:val="68"/>
        <w:numPr>
          <w:ilvl w:val="0"/>
          <w:numId w:val="29"/>
        </w:numPr>
        <w:rPr>
          <w:rFonts w:eastAsia="黑体"/>
          <w:u w:val="single"/>
        </w:rPr>
        <w:sectPr>
          <w:pgSz w:w="16838" w:h="11906" w:orient="landscape"/>
          <w:pgMar w:top="1588" w:right="1247" w:bottom="1588" w:left="1247" w:header="851" w:footer="992" w:gutter="0"/>
          <w:cols w:space="720" w:num="1"/>
          <w:docGrid w:linePitch="326" w:charSpace="0"/>
        </w:sectPr>
      </w:pPr>
      <w:r>
        <w:rPr>
          <w:rFonts w:hint="eastAsia" w:eastAsia="黑体"/>
          <w:u w:val="single"/>
        </w:rPr>
        <w:t>调查评价区丰水期浅层地下水等水位线</w:t>
      </w:r>
    </w:p>
    <w:p w14:paraId="7FC298DB">
      <w:pPr>
        <w:pStyle w:val="6"/>
        <w:ind w:left="0" w:firstLine="482" w:firstLineChars="200"/>
      </w:pPr>
      <w:r>
        <w:rPr>
          <w:rFonts w:hint="eastAsia"/>
        </w:rPr>
        <w:t>地下水动态特征</w:t>
      </w:r>
    </w:p>
    <w:p w14:paraId="4029C323">
      <w:pPr>
        <w:ind w:firstLine="480"/>
        <w:rPr>
          <w:highlight w:val="yellow"/>
        </w:rPr>
      </w:pPr>
      <w:r>
        <w:rPr>
          <w:rFonts w:hint="eastAsia"/>
        </w:rPr>
        <w:t>评价区浅层地下水动态在天然条件下主要受气象、水文因素的制约，其补给以卫河侧渗和大气降水入渗为主。在卫河沿岸附近，地下水动态变化特征主要受河水水文要素变化的影响，随着距河距离的增加，其影响程度逐渐减弱。在市区地下水动态特征主要受人为开采的影响，在市区外围，地下水动态受气象、灌溉、开采等诸多因素的控制。</w:t>
      </w:r>
    </w:p>
    <w:p w14:paraId="1D3ED9E4">
      <w:pPr>
        <w:pStyle w:val="5"/>
        <w:spacing w:before="240" w:after="240"/>
      </w:pPr>
      <w:r>
        <w:t>场地水文地质</w:t>
      </w:r>
      <w:r>
        <w:rPr>
          <w:rFonts w:hint="eastAsia"/>
        </w:rPr>
        <w:t>特征</w:t>
      </w:r>
    </w:p>
    <w:p w14:paraId="11E89EBA">
      <w:pPr>
        <w:pStyle w:val="6"/>
        <w:ind w:left="0" w:firstLine="482" w:firstLineChars="200"/>
      </w:pPr>
      <w:r>
        <w:rPr>
          <w:rFonts w:hint="eastAsia"/>
        </w:rPr>
        <w:t>场地水文地质勘察</w:t>
      </w:r>
    </w:p>
    <w:p w14:paraId="7D97222A">
      <w:pPr>
        <w:ind w:firstLine="480"/>
        <w:rPr>
          <w:u w:val="single"/>
        </w:rPr>
      </w:pPr>
      <w:r>
        <w:rPr>
          <w:u w:val="single"/>
        </w:rPr>
        <w:t>本项目位于</w:t>
      </w:r>
      <w:r>
        <w:rPr>
          <w:rFonts w:hint="eastAsia"/>
          <w:u w:val="single"/>
        </w:rPr>
        <w:t>卫辉市化工有限公司西南4.05k</w:t>
      </w:r>
      <w:r>
        <w:rPr>
          <w:u w:val="single"/>
        </w:rPr>
        <w:t>m，</w:t>
      </w:r>
      <w:r>
        <w:rPr>
          <w:rFonts w:hint="eastAsia"/>
          <w:u w:val="single"/>
        </w:rPr>
        <w:t>地貌单元属缓倾斜平原区，为华北平原一部分，地势总体由西南向东北倾斜，</w:t>
      </w:r>
      <w:r>
        <w:rPr>
          <w:u w:val="single"/>
        </w:rPr>
        <w:t>与该项目区处于同一评价区，中间无明显的水文地质单元分割线，故可视为两个厂区水文地质条件一致。因此该项目区地质勘探成果引用其成果资料。</w:t>
      </w:r>
    </w:p>
    <w:p w14:paraId="5B6578DB">
      <w:pPr>
        <w:ind w:firstLine="480"/>
        <w:rPr>
          <w:bCs/>
          <w:highlight w:val="yellow"/>
        </w:rPr>
      </w:pPr>
      <w:r>
        <w:t>根据《</w:t>
      </w:r>
      <w:r>
        <w:rPr>
          <w:rFonts w:hint="eastAsia"/>
        </w:rPr>
        <w:t>卫辉市化工有限公司三期工程厂房岩土工程勘察报告</w:t>
      </w:r>
      <w:r>
        <w:t>》资料，</w:t>
      </w:r>
      <w:r>
        <w:rPr>
          <w:rFonts w:hint="eastAsia"/>
        </w:rPr>
        <w:t>厂址所在区域15m深度范围内为主要为淇河滞洪区内堆积的地层，按地层的成因类型、岩性及工程地质特性将其划分为4个工程地质单元层，现分述如下:</w:t>
      </w:r>
    </w:p>
    <w:p w14:paraId="0B34DF28">
      <w:pPr>
        <w:pStyle w:val="2"/>
        <w:spacing w:after="0"/>
        <w:ind w:firstLine="480"/>
      </w:pPr>
      <w:r>
        <w:t>根据钻孔揭露的主要地层及其特征如下：</w:t>
      </w:r>
    </w:p>
    <w:p w14:paraId="14EA9733">
      <w:pPr>
        <w:pStyle w:val="2"/>
        <w:spacing w:after="0"/>
        <w:ind w:firstLine="480"/>
      </w:pPr>
      <w:r>
        <w:rPr>
          <w:rFonts w:hint="eastAsia"/>
        </w:rPr>
        <w:t>层①填土（Q</w:t>
      </w:r>
      <w:r>
        <w:rPr>
          <w:rFonts w:hint="eastAsia"/>
          <w:vertAlign w:val="subscript"/>
        </w:rPr>
        <w:t>4</w:t>
      </w:r>
      <w:r>
        <w:rPr>
          <w:rFonts w:hint="eastAsia"/>
          <w:vertAlign w:val="superscript"/>
        </w:rPr>
        <w:t>ml</w:t>
      </w:r>
      <w:r>
        <w:rPr>
          <w:rFonts w:hint="eastAsia"/>
        </w:rPr>
        <w:t>）：灰黄色，以粘性土为主，含有建筑垃圾、生活垃圾及植物根系，为平整场地回填的土。</w:t>
      </w:r>
    </w:p>
    <w:p w14:paraId="2E3E00BC">
      <w:pPr>
        <w:pStyle w:val="2"/>
        <w:spacing w:after="0"/>
        <w:ind w:firstLine="480"/>
      </w:pPr>
      <w:r>
        <w:rPr>
          <w:rFonts w:hint="eastAsia"/>
        </w:rPr>
        <w:t>层②粉质粘土（Q</w:t>
      </w:r>
      <w:r>
        <w:rPr>
          <w:rFonts w:hint="eastAsia"/>
          <w:vertAlign w:val="subscript"/>
        </w:rPr>
        <w:t>4</w:t>
      </w:r>
      <w:r>
        <w:rPr>
          <w:rFonts w:hint="eastAsia"/>
          <w:vertAlign w:val="superscript"/>
        </w:rPr>
        <w:t>pl+al</w:t>
      </w:r>
      <w:r>
        <w:rPr>
          <w:rFonts w:hint="eastAsia"/>
        </w:rPr>
        <w:t>）：褐黄色，可塑状，具针状孔隙及白色丝状钙质体；可见铁锈色浸染现象，偶见钙质结核，含量1-3%（粒径5-10mm），无摇振反应，干强度及韧性中等，切面稍光滑。</w:t>
      </w:r>
    </w:p>
    <w:p w14:paraId="10F137B3">
      <w:pPr>
        <w:pStyle w:val="2"/>
        <w:spacing w:after="0"/>
        <w:ind w:firstLine="480"/>
      </w:pPr>
      <w:r>
        <w:rPr>
          <w:rFonts w:hint="eastAsia"/>
        </w:rPr>
        <w:t>层③残积土（Q</w:t>
      </w:r>
      <w:r>
        <w:rPr>
          <w:rFonts w:hint="eastAsia"/>
          <w:vertAlign w:val="subscript"/>
        </w:rPr>
        <w:t>3</w:t>
      </w:r>
      <w:r>
        <w:rPr>
          <w:rFonts w:hint="eastAsia"/>
          <w:vertAlign w:val="superscript"/>
        </w:rPr>
        <w:t>pl+al</w:t>
      </w:r>
      <w:r>
        <w:rPr>
          <w:rFonts w:hint="eastAsia"/>
        </w:rPr>
        <w:t>）：黄灰色，粉砂质泥岩主要成分为粘土矿物，含少量粉砂质。粉粒含量为25-50%，粘土含量为50-75%。浸水后，泥岩易软化，具大孔隙，遇水后粉砂流失，留下空隙。</w:t>
      </w:r>
    </w:p>
    <w:p w14:paraId="5EBFCC90">
      <w:pPr>
        <w:pStyle w:val="2"/>
        <w:spacing w:after="0"/>
        <w:ind w:firstLine="480"/>
        <w:rPr>
          <w:highlight w:val="yellow"/>
        </w:rPr>
      </w:pPr>
      <w:r>
        <w:rPr>
          <w:rFonts w:hint="eastAsia"/>
        </w:rPr>
        <w:t>层④泥岩（N</w:t>
      </w:r>
      <w:r>
        <w:rPr>
          <w:rFonts w:hint="eastAsia"/>
          <w:vertAlign w:val="superscript"/>
        </w:rPr>
        <w:t>l</w:t>
      </w:r>
      <w:r>
        <w:rPr>
          <w:rFonts w:hint="eastAsia"/>
        </w:rPr>
        <w:t>）：灰白-灰黄色，坚硬致密，厚层，半成岩状，未成岩处土质细腻，干强度高韧性高。该层兼有粘土和极软岩的性质。岩芯采取率可达95-100%，为极软岩。</w:t>
      </w:r>
    </w:p>
    <w:p w14:paraId="48B68253">
      <w:pPr>
        <w:spacing w:line="360" w:lineRule="auto"/>
        <w:ind w:firstLine="0" w:firstLineChars="0"/>
        <w:jc w:val="center"/>
        <w:rPr>
          <w:highlight w:val="yellow"/>
        </w:rPr>
      </w:pPr>
      <w:r>
        <w:drawing>
          <wp:inline distT="0" distB="0" distL="0" distR="0">
            <wp:extent cx="4698365" cy="3512820"/>
            <wp:effectExtent l="0" t="0" r="6985" b="11430"/>
            <wp:docPr id="91078248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82481" name="图片 1" descr="图表&#10;&#10;描述已自动生成"/>
                    <pic:cNvPicPr>
                      <a:picLocks noChangeAspect="1"/>
                    </pic:cNvPicPr>
                  </pic:nvPicPr>
                  <pic:blipFill>
                    <a:blip r:embed="rId98"/>
                    <a:stretch>
                      <a:fillRect/>
                    </a:stretch>
                  </pic:blipFill>
                  <pic:spPr>
                    <a:xfrm>
                      <a:off x="0" y="0"/>
                      <a:ext cx="4698365" cy="3515602"/>
                    </a:xfrm>
                    <a:prstGeom prst="rect">
                      <a:avLst/>
                    </a:prstGeom>
                  </pic:spPr>
                </pic:pic>
              </a:graphicData>
            </a:graphic>
          </wp:inline>
        </w:drawing>
      </w:r>
    </w:p>
    <w:p w14:paraId="4CCEC266">
      <w:pPr>
        <w:pStyle w:val="68"/>
        <w:numPr>
          <w:ilvl w:val="0"/>
          <w:numId w:val="29"/>
        </w:numPr>
      </w:pPr>
      <w:r>
        <w:rPr>
          <w:rFonts w:hint="eastAsia"/>
        </w:rPr>
        <w:t>卫辉市化工有限公司场地部分勘探孔位置图及厂区水文地质图</w:t>
      </w:r>
    </w:p>
    <w:p w14:paraId="7E91C3E2">
      <w:pPr>
        <w:pStyle w:val="68"/>
        <w:rPr>
          <w:highlight w:val="yellow"/>
        </w:rPr>
      </w:pPr>
      <w:r>
        <w:drawing>
          <wp:inline distT="0" distB="0" distL="0" distR="0">
            <wp:extent cx="4587240" cy="4215765"/>
            <wp:effectExtent l="0" t="0" r="3810" b="13335"/>
            <wp:docPr id="910931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31303" name="图片 1"/>
                    <pic:cNvPicPr>
                      <a:picLocks noChangeAspect="1"/>
                    </pic:cNvPicPr>
                  </pic:nvPicPr>
                  <pic:blipFill>
                    <a:blip r:embed="rId99"/>
                    <a:stretch>
                      <a:fillRect/>
                    </a:stretch>
                  </pic:blipFill>
                  <pic:spPr>
                    <a:xfrm>
                      <a:off x="0" y="0"/>
                      <a:ext cx="4587240" cy="4219689"/>
                    </a:xfrm>
                    <a:prstGeom prst="rect">
                      <a:avLst/>
                    </a:prstGeom>
                  </pic:spPr>
                </pic:pic>
              </a:graphicData>
            </a:graphic>
          </wp:inline>
        </w:drawing>
      </w:r>
    </w:p>
    <w:p w14:paraId="29033A6F">
      <w:pPr>
        <w:pStyle w:val="68"/>
        <w:numPr>
          <w:ilvl w:val="0"/>
          <w:numId w:val="29"/>
        </w:numPr>
        <w:ind w:left="0" w:firstLine="0"/>
      </w:pPr>
      <w:r>
        <w:rPr>
          <w:rFonts w:hint="eastAsia"/>
          <w:bCs/>
        </w:rPr>
        <w:t>卫辉市化工有限公司场地6-6＇工程地质剖面</w:t>
      </w:r>
      <w:r>
        <w:rPr>
          <w:bCs/>
        </w:rPr>
        <w:t>图</w:t>
      </w:r>
    </w:p>
    <w:p w14:paraId="19AA5A7C">
      <w:pPr>
        <w:spacing w:line="360" w:lineRule="auto"/>
        <w:ind w:firstLine="0" w:firstLineChars="0"/>
        <w:jc w:val="center"/>
        <w:rPr>
          <w:highlight w:val="yellow"/>
        </w:rPr>
      </w:pPr>
    </w:p>
    <w:p w14:paraId="08D4F646">
      <w:pPr>
        <w:spacing w:line="360" w:lineRule="auto"/>
        <w:ind w:firstLine="0" w:firstLineChars="0"/>
        <w:jc w:val="center"/>
        <w:rPr>
          <w:highlight w:val="yellow"/>
        </w:rPr>
      </w:pPr>
      <w:r>
        <w:drawing>
          <wp:inline distT="0" distB="0" distL="0" distR="0">
            <wp:extent cx="5278120" cy="8347710"/>
            <wp:effectExtent l="0" t="0" r="17780" b="15240"/>
            <wp:docPr id="795865234"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65234" name="图片 1" descr="图片包含 图示&#10;&#10;描述已自动生成"/>
                    <pic:cNvPicPr>
                      <a:picLocks noChangeAspect="1"/>
                    </pic:cNvPicPr>
                  </pic:nvPicPr>
                  <pic:blipFill>
                    <a:blip r:embed="rId100"/>
                    <a:stretch>
                      <a:fillRect/>
                    </a:stretch>
                  </pic:blipFill>
                  <pic:spPr>
                    <a:xfrm>
                      <a:off x="0" y="0"/>
                      <a:ext cx="5278120" cy="8347710"/>
                    </a:xfrm>
                    <a:prstGeom prst="rect">
                      <a:avLst/>
                    </a:prstGeom>
                  </pic:spPr>
                </pic:pic>
              </a:graphicData>
            </a:graphic>
          </wp:inline>
        </w:drawing>
      </w:r>
    </w:p>
    <w:p w14:paraId="6CF890A0">
      <w:pPr>
        <w:pStyle w:val="68"/>
        <w:numPr>
          <w:ilvl w:val="0"/>
          <w:numId w:val="29"/>
        </w:numPr>
        <w:rPr>
          <w:bCs/>
        </w:rPr>
      </w:pPr>
      <w:r>
        <w:rPr>
          <w:rFonts w:hint="eastAsia"/>
          <w:bCs/>
        </w:rPr>
        <w:t xml:space="preserve"> ZK12</w:t>
      </w:r>
      <w:r>
        <w:rPr>
          <w:bCs/>
        </w:rPr>
        <w:t>钻孔柱状图</w:t>
      </w:r>
    </w:p>
    <w:p w14:paraId="2EC4D14C">
      <w:pPr>
        <w:spacing w:line="360" w:lineRule="auto"/>
        <w:ind w:firstLine="0" w:firstLineChars="0"/>
        <w:jc w:val="center"/>
        <w:rPr>
          <w:highlight w:val="yellow"/>
        </w:rPr>
      </w:pPr>
      <w:r>
        <w:drawing>
          <wp:inline distT="0" distB="0" distL="0" distR="0">
            <wp:extent cx="5278120" cy="8411210"/>
            <wp:effectExtent l="0" t="0" r="17780" b="8890"/>
            <wp:docPr id="1318891440"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91440" name="图片 1" descr="手机屏幕截图&#10;&#10;描述已自动生成"/>
                    <pic:cNvPicPr>
                      <a:picLocks noChangeAspect="1"/>
                    </pic:cNvPicPr>
                  </pic:nvPicPr>
                  <pic:blipFill>
                    <a:blip r:embed="rId101"/>
                    <a:stretch>
                      <a:fillRect/>
                    </a:stretch>
                  </pic:blipFill>
                  <pic:spPr>
                    <a:xfrm>
                      <a:off x="0" y="0"/>
                      <a:ext cx="5278120" cy="8411210"/>
                    </a:xfrm>
                    <a:prstGeom prst="rect">
                      <a:avLst/>
                    </a:prstGeom>
                  </pic:spPr>
                </pic:pic>
              </a:graphicData>
            </a:graphic>
          </wp:inline>
        </w:drawing>
      </w:r>
    </w:p>
    <w:p w14:paraId="3213E1D0">
      <w:pPr>
        <w:pStyle w:val="68"/>
        <w:numPr>
          <w:ilvl w:val="0"/>
          <w:numId w:val="29"/>
        </w:numPr>
      </w:pPr>
      <w:r>
        <w:rPr>
          <w:bCs/>
        </w:rPr>
        <w:t>ZK</w:t>
      </w:r>
      <w:r>
        <w:rPr>
          <w:rFonts w:hint="eastAsia"/>
          <w:bCs/>
        </w:rPr>
        <w:t>16</w:t>
      </w:r>
      <w:r>
        <w:rPr>
          <w:bCs/>
        </w:rPr>
        <w:t>钻孔柱状图</w:t>
      </w:r>
    </w:p>
    <w:p w14:paraId="271CF1D4">
      <w:pPr>
        <w:pStyle w:val="68"/>
      </w:pPr>
      <w:r>
        <w:drawing>
          <wp:inline distT="0" distB="0" distL="0" distR="0">
            <wp:extent cx="5278120" cy="8346440"/>
            <wp:effectExtent l="0" t="0" r="17780" b="16510"/>
            <wp:docPr id="371190639" name="图片 1"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90639" name="图片 1" descr="图片包含 日历&#10;&#10;描述已自动生成"/>
                    <pic:cNvPicPr>
                      <a:picLocks noChangeAspect="1"/>
                    </pic:cNvPicPr>
                  </pic:nvPicPr>
                  <pic:blipFill>
                    <a:blip r:embed="rId102"/>
                    <a:stretch>
                      <a:fillRect/>
                    </a:stretch>
                  </pic:blipFill>
                  <pic:spPr>
                    <a:xfrm>
                      <a:off x="0" y="0"/>
                      <a:ext cx="5278120" cy="8346440"/>
                    </a:xfrm>
                    <a:prstGeom prst="rect">
                      <a:avLst/>
                    </a:prstGeom>
                  </pic:spPr>
                </pic:pic>
              </a:graphicData>
            </a:graphic>
          </wp:inline>
        </w:drawing>
      </w:r>
    </w:p>
    <w:p w14:paraId="23C22E95">
      <w:pPr>
        <w:pStyle w:val="68"/>
        <w:numPr>
          <w:ilvl w:val="0"/>
          <w:numId w:val="29"/>
        </w:numPr>
      </w:pPr>
      <w:r>
        <w:rPr>
          <w:bCs/>
        </w:rPr>
        <w:t>ZK</w:t>
      </w:r>
      <w:r>
        <w:rPr>
          <w:rFonts w:hint="eastAsia"/>
          <w:bCs/>
        </w:rPr>
        <w:t>17</w:t>
      </w:r>
      <w:r>
        <w:rPr>
          <w:bCs/>
        </w:rPr>
        <w:t>钻孔柱状图</w:t>
      </w:r>
    </w:p>
    <w:p w14:paraId="7C29E5FA">
      <w:pPr>
        <w:pStyle w:val="68"/>
      </w:pPr>
    </w:p>
    <w:p w14:paraId="409B18FF">
      <w:pPr>
        <w:pStyle w:val="68"/>
      </w:pPr>
      <w:r>
        <w:drawing>
          <wp:inline distT="0" distB="0" distL="0" distR="0">
            <wp:extent cx="5278120" cy="8435340"/>
            <wp:effectExtent l="0" t="0" r="17780" b="3810"/>
            <wp:docPr id="173007881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78813" name="图片 1" descr="图示&#10;&#10;描述已自动生成"/>
                    <pic:cNvPicPr>
                      <a:picLocks noChangeAspect="1"/>
                    </pic:cNvPicPr>
                  </pic:nvPicPr>
                  <pic:blipFill>
                    <a:blip r:embed="rId103"/>
                    <a:stretch>
                      <a:fillRect/>
                    </a:stretch>
                  </pic:blipFill>
                  <pic:spPr>
                    <a:xfrm>
                      <a:off x="0" y="0"/>
                      <a:ext cx="5278120" cy="8435340"/>
                    </a:xfrm>
                    <a:prstGeom prst="rect">
                      <a:avLst/>
                    </a:prstGeom>
                  </pic:spPr>
                </pic:pic>
              </a:graphicData>
            </a:graphic>
          </wp:inline>
        </w:drawing>
      </w:r>
    </w:p>
    <w:p w14:paraId="6FBBAC27">
      <w:pPr>
        <w:pStyle w:val="68"/>
        <w:numPr>
          <w:ilvl w:val="0"/>
          <w:numId w:val="29"/>
        </w:numPr>
      </w:pPr>
      <w:r>
        <w:rPr>
          <w:bCs/>
        </w:rPr>
        <w:t>ZK</w:t>
      </w:r>
      <w:r>
        <w:rPr>
          <w:rFonts w:hint="eastAsia"/>
          <w:bCs/>
        </w:rPr>
        <w:t>18</w:t>
      </w:r>
      <w:r>
        <w:rPr>
          <w:bCs/>
        </w:rPr>
        <w:t>钻孔柱状图</w:t>
      </w:r>
    </w:p>
    <w:p w14:paraId="054EF1BB">
      <w:pPr>
        <w:pStyle w:val="68"/>
      </w:pPr>
    </w:p>
    <w:p w14:paraId="1D3EDA01">
      <w:pPr>
        <w:pStyle w:val="6"/>
        <w:ind w:left="0" w:firstLine="482" w:firstLineChars="200"/>
      </w:pPr>
      <w:r>
        <w:rPr>
          <w:rFonts w:hint="eastAsia"/>
        </w:rPr>
        <w:t>场地</w:t>
      </w:r>
      <w:r>
        <w:t>水文地质条件</w:t>
      </w:r>
    </w:p>
    <w:p w14:paraId="09E9790C">
      <w:pPr>
        <w:ind w:firstLine="480"/>
      </w:pPr>
      <w:r>
        <w:rPr>
          <w:rFonts w:hint="eastAsia"/>
        </w:rPr>
        <w:t>1、包气带的分布及特征</w:t>
      </w:r>
    </w:p>
    <w:p w14:paraId="5CD588B1">
      <w:pPr>
        <w:ind w:firstLine="480"/>
      </w:pPr>
      <w:r>
        <w:rPr>
          <w:rFonts w:hint="eastAsia"/>
        </w:rPr>
        <w:t>包气带是地下含水层的天然保护层，是地表污染物质进入含水层的垂直过渡带。污染物质进入包气带便与周围介质发生物理化学生物化学等作用，其作用时间越长越充分，包气带净化能力越强。包气带岩土对污染物质吸附能力大小与岩石颗粒大小及比表面积有关，通常粘性土大于砂性土。</w:t>
      </w:r>
    </w:p>
    <w:p w14:paraId="788496A6">
      <w:pPr>
        <w:ind w:firstLine="480"/>
        <w:rPr>
          <w:highlight w:val="yellow"/>
          <w:u w:val="single"/>
        </w:rPr>
      </w:pPr>
      <w:r>
        <w:rPr>
          <w:rFonts w:hint="eastAsia"/>
          <w:u w:val="single"/>
        </w:rPr>
        <w:t>本项目厂址位于卫辉市铁西专业园区内，包气带岩性与卫辉市铁西专业园区（化工）包气带岩性相同，以粉质粘土为主、局部为卵石，因此本次渗水试验直接引用《卫辉市铁西专业园区（化工）总体发展规划（2022-2035年）环境影响报告书》中做的渗水试验结果，即包气带渗透系数为1.75×10-5～1.89×10-5cm/s之间，平均值为1.82×10-5cm/s，包气带防污性能为“中”。</w:t>
      </w:r>
    </w:p>
    <w:p w14:paraId="513CE3EC">
      <w:pPr>
        <w:ind w:firstLine="480"/>
      </w:pPr>
      <w:r>
        <w:rPr>
          <w:rFonts w:hint="eastAsia"/>
        </w:rPr>
        <w:t>2、含水层的分布及特征</w:t>
      </w:r>
    </w:p>
    <w:p w14:paraId="0DCF67B7">
      <w:pPr>
        <w:ind w:firstLine="480"/>
      </w:pPr>
      <w:r>
        <w:rPr>
          <w:rFonts w:hint="eastAsia"/>
        </w:rPr>
        <w:t>项目区含水层主要为第四系松散岩类孔隙含水层组，岩性以卵石为主，部分地段为强风化泥岩，致使含水层富水性变差，地下水类型为潜-中深层水，导水系数大于1500m/d，单位涌水量大于30m</w:t>
      </w:r>
      <w:r>
        <w:rPr>
          <w:rFonts w:hint="eastAsia"/>
          <w:vertAlign w:val="superscript"/>
        </w:rPr>
        <w:t>3</w:t>
      </w:r>
      <w:r>
        <w:rPr>
          <w:rFonts w:hint="eastAsia"/>
        </w:rPr>
        <w:t>/h·m。</w:t>
      </w:r>
    </w:p>
    <w:p w14:paraId="2800B984">
      <w:pPr>
        <w:ind w:firstLine="480"/>
        <w:rPr>
          <w:highlight w:val="yellow"/>
        </w:rPr>
      </w:pPr>
      <w:r>
        <w:rPr>
          <w:rFonts w:hint="eastAsia"/>
        </w:rPr>
        <w:t>根据项目区供水井现场抽水试验资料，项目场地含水层渗透系数为0.85m/d，富水性中等。</w:t>
      </w:r>
    </w:p>
    <w:p w14:paraId="4F423A13">
      <w:pPr>
        <w:ind w:firstLine="480"/>
        <w:rPr>
          <w:highlight w:val="yellow"/>
        </w:rPr>
      </w:pPr>
      <w:r>
        <w:rPr>
          <w:rFonts w:hint="eastAsia"/>
        </w:rPr>
        <w:t>3、地下水补给、径流、排泄条件</w:t>
      </w:r>
    </w:p>
    <w:p w14:paraId="3ABACD95">
      <w:pPr>
        <w:ind w:firstLine="480"/>
        <w:rPr>
          <w:highlight w:val="yellow"/>
        </w:rPr>
      </w:pPr>
      <w:r>
        <w:rPr>
          <w:rFonts w:hint="eastAsia"/>
        </w:rPr>
        <w:t>项目区为倾斜平原，地下水埋深较大，地表及包气带岩性一般为微含泥卵石，地下水埋深较大，降雨入渗补给较小，含水层组的补给源主要为山区径流补给。地下水的排泄途径为农田灌溉开采和径流排泄。根据地下水等水位等值线图（图5.3-6、图5.3-7），项目区地下水整体由西北向东南方向径流。</w:t>
      </w:r>
    </w:p>
    <w:p w14:paraId="2B6DAF70">
      <w:pPr>
        <w:ind w:firstLine="480"/>
      </w:pPr>
      <w:r>
        <w:rPr>
          <w:rFonts w:hint="eastAsia"/>
        </w:rPr>
        <w:t>4、地下水动态特征</w:t>
      </w:r>
    </w:p>
    <w:p w14:paraId="1D3EDA04">
      <w:pPr>
        <w:ind w:firstLine="480"/>
        <w:rPr>
          <w:highlight w:val="yellow"/>
        </w:rPr>
      </w:pPr>
      <w:r>
        <w:rPr>
          <w:rFonts w:hint="eastAsia"/>
        </w:rPr>
        <w:t>项目区地下水动态类型属“径流-开采型”，地下水埋深较大，地下水动态主要受降水和开采控制。该地带降水入渗补给条件较差，主要接受来自山区的径流补给。在开采季节，地下水位下降；7月下旬进入雨季后，随着降水补给，地下水位上升，但不明显，之后在山区降水转化为径流补给后，地下水位大幅度上升；在10月至次年3月，在山区径流补给下，均处于高水位期；随后随着区域农业开采的加大和山区径流补给的减弱，水位开始下降，6月底、7月初水位下降至最低点。年内变幅可达2～3m。</w:t>
      </w:r>
    </w:p>
    <w:p w14:paraId="1D3EDD13">
      <w:pPr>
        <w:pStyle w:val="5"/>
        <w:spacing w:before="240" w:after="240"/>
      </w:pPr>
      <w:r>
        <w:t>水文地质</w:t>
      </w:r>
      <w:r>
        <w:rPr>
          <w:rFonts w:hint="eastAsia"/>
        </w:rPr>
        <w:t>试验区域地质概况</w:t>
      </w:r>
    </w:p>
    <w:p w14:paraId="1D3EDD14">
      <w:pPr>
        <w:pStyle w:val="6"/>
        <w:ind w:left="0" w:firstLine="482" w:firstLineChars="200"/>
      </w:pPr>
      <w:r>
        <w:rPr>
          <w:rFonts w:hint="eastAsia"/>
        </w:rPr>
        <w:t>渗水试验</w:t>
      </w:r>
    </w:p>
    <w:p w14:paraId="5A309E35">
      <w:pPr>
        <w:ind w:firstLine="480"/>
      </w:pPr>
      <w:r>
        <w:rPr>
          <w:rFonts w:hint="eastAsia"/>
        </w:rPr>
        <w:t>通过钻探资料分析包气带岩性、厚度和连续性特征，通过试坑渗水试验测试包气带渗透性能，综合分析包气带的天然防渗性能，为地下水污染防止措施的设计提供科学依据。</w:t>
      </w:r>
    </w:p>
    <w:p w14:paraId="7C7DA472">
      <w:pPr>
        <w:ind w:firstLine="480"/>
        <w:rPr>
          <w:highlight w:val="yellow"/>
          <w:u w:val="single"/>
        </w:rPr>
      </w:pPr>
      <w:r>
        <w:rPr>
          <w:rFonts w:hint="eastAsia"/>
          <w:u w:val="single"/>
        </w:rPr>
        <w:t>该项目厂址位于卫辉市铁西专业园区内，包气带岩性与卫辉市铁西专业园区（化工）包气带岩性相同，以粉质粘土为主、局部为卵石，因此本次渗水试验直接引用《卫辉市铁西专业园区（化工）总体发展规划（2022-2035年）环境影响报告书》中做的渗水试验结果，即包气带渗透系数为1.75×10</w:t>
      </w:r>
      <w:r>
        <w:rPr>
          <w:rFonts w:hint="eastAsia"/>
          <w:u w:val="single"/>
          <w:vertAlign w:val="superscript"/>
        </w:rPr>
        <w:t>-5</w:t>
      </w:r>
      <w:r>
        <w:rPr>
          <w:rFonts w:hint="eastAsia"/>
          <w:u w:val="single"/>
        </w:rPr>
        <w:t>～1.89×10</w:t>
      </w:r>
      <w:r>
        <w:rPr>
          <w:rFonts w:hint="eastAsia"/>
          <w:u w:val="single"/>
          <w:vertAlign w:val="superscript"/>
        </w:rPr>
        <w:t>-5</w:t>
      </w:r>
      <w:r>
        <w:rPr>
          <w:rFonts w:hint="eastAsia"/>
          <w:u w:val="single"/>
        </w:rPr>
        <w:t>cm/s之间，平均值为1.82×10</w:t>
      </w:r>
      <w:r>
        <w:rPr>
          <w:rFonts w:hint="eastAsia"/>
          <w:u w:val="single"/>
          <w:vertAlign w:val="superscript"/>
        </w:rPr>
        <w:t>-5</w:t>
      </w:r>
      <w:r>
        <w:rPr>
          <w:rFonts w:hint="eastAsia"/>
          <w:u w:val="single"/>
        </w:rPr>
        <w:t>cm/s，包气带防污性能为“中”。</w:t>
      </w:r>
    </w:p>
    <w:p w14:paraId="60A883BD">
      <w:pPr>
        <w:pStyle w:val="6"/>
        <w:ind w:left="0" w:firstLine="482" w:firstLineChars="200"/>
      </w:pPr>
      <w:r>
        <w:rPr>
          <w:rFonts w:hint="eastAsia"/>
        </w:rPr>
        <w:t>抽水试验</w:t>
      </w:r>
    </w:p>
    <w:p w14:paraId="1D3EDD17">
      <w:pPr>
        <w:ind w:firstLine="480"/>
        <w:rPr>
          <w:highlight w:val="yellow"/>
          <w:u w:val="single"/>
        </w:rPr>
      </w:pPr>
      <w:r>
        <w:rPr>
          <w:rFonts w:hint="eastAsia"/>
          <w:u w:val="single"/>
        </w:rPr>
        <w:t>卫辉市化工有限公司与本次拟建项目均位于卫辉市铁西专业园区内，属于平原地带，中间无明显的水文地质单元分割线，且卫辉市化工有限公司在本项目本次地下水调查评价范围内，故可视为两个厂区水文地质条件一致。</w:t>
      </w:r>
      <w:r>
        <w:rPr>
          <w:u w:val="single"/>
        </w:rPr>
        <w:t>本次引用《</w:t>
      </w:r>
      <w:r>
        <w:rPr>
          <w:rFonts w:hint="eastAsia"/>
          <w:u w:val="single"/>
        </w:rPr>
        <w:t>卫辉市化工有限公司万吨级环保新材料项目</w:t>
      </w:r>
      <w:r>
        <w:rPr>
          <w:u w:val="single"/>
        </w:rPr>
        <w:t>环境影响报告书》中的抽水试验结果，</w:t>
      </w:r>
      <w:r>
        <w:rPr>
          <w:rFonts w:hint="eastAsia"/>
          <w:u w:val="single"/>
        </w:rPr>
        <w:t>含水层综合渗透系数为0.85m/d。</w:t>
      </w:r>
    </w:p>
    <w:p w14:paraId="1D3EDD24">
      <w:pPr>
        <w:pStyle w:val="68"/>
        <w:ind w:firstLine="480"/>
        <w:rPr>
          <w:highlight w:val="yellow"/>
        </w:rPr>
      </w:pPr>
    </w:p>
    <w:p w14:paraId="38493AE5">
      <w:pPr>
        <w:ind w:firstLine="482"/>
        <w:rPr>
          <w:b/>
          <w:bCs/>
          <w:highlight w:val="yellow"/>
        </w:rPr>
        <w:sectPr>
          <w:pgSz w:w="11906" w:h="16838"/>
          <w:pgMar w:top="1440" w:right="1797" w:bottom="1440" w:left="1797" w:header="851" w:footer="992" w:gutter="0"/>
          <w:cols w:space="720" w:num="1"/>
          <w:docGrid w:linePitch="312" w:charSpace="0"/>
        </w:sectPr>
      </w:pPr>
    </w:p>
    <w:p w14:paraId="1D3EDE37">
      <w:pPr>
        <w:pStyle w:val="5"/>
        <w:spacing w:before="240" w:after="240"/>
      </w:pPr>
      <w:r>
        <w:t>地下水污染模拟预测</w:t>
      </w:r>
    </w:p>
    <w:p w14:paraId="1D3EDE38">
      <w:pPr>
        <w:pStyle w:val="6"/>
        <w:ind w:left="0" w:firstLine="482" w:firstLineChars="200"/>
      </w:pPr>
      <w:r>
        <w:t>预测方法与简介</w:t>
      </w:r>
    </w:p>
    <w:p w14:paraId="1D3EDE39">
      <w:pPr>
        <w:ind w:firstLine="480"/>
      </w:pPr>
      <w:r>
        <w:t>由于地下水系统常常十分复杂，多为非均质、各向异性的空间水流系统。要直接研究或预测地下水系统中的水流、水质的时空分布与变化极其困难。因此，地下水工作者常常用模型方法进行研究或预测。在充分掌握被研究实体资料的基础上，通过科学概况，合理简化，建立概念模型。对该概念模型用不同方式进行描述或表达，并能反映其基本规律的“研究或实验”替代体，称之为模型。如用数学语言能描述该系统概念模型，则谓之数学模型；若用物理相似建立的模型称之物理模型。人们可以通过研究或预测不同激励条件下模型的响应以达到预测被研究实体时空状态之目的。</w:t>
      </w:r>
    </w:p>
    <w:p w14:paraId="1D3EDE3A">
      <w:pPr>
        <w:ind w:firstLine="480"/>
      </w:pPr>
      <w:r>
        <w:t>在电子计算机科学高速发展的今天，地下水工作者常用数学模型的方法来研究地下水水流和溶质在含水介质的运动规律。如假定被研究实体-地下水系统是一非均质各向异性且为层流的非稳定水流系统，则依据被研究或预测实体-地下水系统的概念模型可抽象出反映水流运动规律的一般数学表达式及确定定解条件的初始条件和边界条件表达式方程。应用数值方法，如有限差分或有限单元可有效地求解有关偏微分方程组。通过研究或预测数学模型在不同外力作用下的变化，便可模拟出被研究实体-地下水系统在抽（排）水或注（压）水作用下，各点的水位、水质的定量变化情况。在地下水分布参数模型（数值法）的实际应用中，除了要首先确定被研究或预测的地下水流系统范围、边界条件、初始条件、参数分区及初始值、源汇项之外，还应用验证后预测的方法对模型进行校正、识别，以确定该数学模型的科学性、可靠性，并能真正反映或刻画被研究地下水系统的变化规律，从而可利用模型的研究达到研究或预测有关地下水系统，在不同外部激励作用下，水流或溶质的变化之目的。</w:t>
      </w:r>
    </w:p>
    <w:p w14:paraId="1D3EDE3B">
      <w:pPr>
        <w:ind w:firstLine="480"/>
      </w:pPr>
      <w:r>
        <w:t>地下水溶质运移数值模拟应在地下水流场模拟基础上进行。因此地下水溶质运移数学模型应包括水流模型和溶质运移模型两部分。</w:t>
      </w:r>
    </w:p>
    <w:p w14:paraId="1D3EDE3C">
      <w:pPr>
        <w:pStyle w:val="6"/>
        <w:numPr>
          <w:ilvl w:val="3"/>
          <w:numId w:val="30"/>
        </w:numPr>
        <w:ind w:left="567"/>
      </w:pPr>
      <w:r>
        <w:t>地下水流模型</w:t>
      </w:r>
    </w:p>
    <w:p w14:paraId="1D3EDE3D">
      <w:pPr>
        <w:ind w:firstLine="480"/>
      </w:pPr>
      <w:r>
        <w:rPr>
          <w:rFonts w:hint="eastAsia"/>
        </w:rPr>
        <w:t>根</w:t>
      </w:r>
      <w:r>
        <w:t>据概化的水文地质模型，评价区内浅层地下水可用潜水平面二维非稳定流数学模型描述：</w:t>
      </w:r>
    </w:p>
    <w:p w14:paraId="1D3EDE3E">
      <w:pPr>
        <w:pStyle w:val="66"/>
      </w:pPr>
      <w:r>
        <w:drawing>
          <wp:inline distT="0" distB="0" distL="0" distR="0">
            <wp:extent cx="5278755" cy="1282065"/>
            <wp:effectExtent l="0" t="0" r="17145" b="13335"/>
            <wp:docPr id="2105750113" name="图片 210575011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50113" name="图片 2105750113" descr="图片包含 图表&#10;&#10;描述已自动生成"/>
                    <pic:cNvPicPr>
                      <a:picLocks noChangeAspect="1"/>
                    </pic:cNvPicPr>
                  </pic:nvPicPr>
                  <pic:blipFill>
                    <a:blip r:embed="rId104"/>
                    <a:stretch>
                      <a:fillRect/>
                    </a:stretch>
                  </pic:blipFill>
                  <pic:spPr>
                    <a:xfrm>
                      <a:off x="0" y="0"/>
                      <a:ext cx="5278755" cy="1282065"/>
                    </a:xfrm>
                    <a:prstGeom prst="rect">
                      <a:avLst/>
                    </a:prstGeom>
                  </pic:spPr>
                </pic:pic>
              </a:graphicData>
            </a:graphic>
          </wp:inline>
        </w:drawing>
      </w:r>
    </w:p>
    <w:p w14:paraId="1D3EDE3F">
      <w:pPr>
        <w:ind w:firstLine="480"/>
      </w:pPr>
      <w:r>
        <w:t>式中：</w:t>
      </w:r>
    </w:p>
    <w:p w14:paraId="1D3EDE40">
      <w:pPr>
        <w:spacing w:line="360" w:lineRule="auto"/>
        <w:ind w:firstLine="480"/>
      </w:pPr>
      <w:r>
        <w:t>h——潜水水位(m)；</w:t>
      </w:r>
    </w:p>
    <w:p w14:paraId="1D3EDE41">
      <w:pPr>
        <w:spacing w:line="360" w:lineRule="auto"/>
        <w:ind w:firstLine="480"/>
      </w:pPr>
      <w:r>
        <w:t>x，y——节点坐标(m)；</w:t>
      </w:r>
    </w:p>
    <w:p w14:paraId="1D3EDE42">
      <w:pPr>
        <w:spacing w:line="360" w:lineRule="auto"/>
        <w:ind w:firstLine="480"/>
      </w:pPr>
      <w:r>
        <w:t>B——含水层底板标高(m)；</w:t>
      </w:r>
    </w:p>
    <w:p w14:paraId="1D3EDE43">
      <w:pPr>
        <w:spacing w:line="360" w:lineRule="auto"/>
        <w:ind w:firstLine="480"/>
      </w:pPr>
      <w:r>
        <w:t>K——含水层渗透系数(m/d)；</w:t>
      </w:r>
    </w:p>
    <w:p w14:paraId="1D3EDE44">
      <w:pPr>
        <w:spacing w:line="360" w:lineRule="auto"/>
        <w:ind w:firstLine="480"/>
      </w:pPr>
      <w:r>
        <w:t>μ——给水度；</w:t>
      </w:r>
    </w:p>
    <w:p w14:paraId="1D3EDE45">
      <w:pPr>
        <w:spacing w:line="360" w:lineRule="auto"/>
        <w:ind w:firstLine="480"/>
      </w:pPr>
      <w:r>
        <w:t>W——垂向交换水量(m</w:t>
      </w:r>
      <w:r>
        <w:rPr>
          <w:vertAlign w:val="superscript"/>
        </w:rPr>
        <w:t>3</w:t>
      </w:r>
      <w:r>
        <w:t>/d)；</w:t>
      </w:r>
    </w:p>
    <w:p w14:paraId="1D3EDE46">
      <w:pPr>
        <w:spacing w:line="360" w:lineRule="auto"/>
        <w:ind w:firstLine="480"/>
      </w:pPr>
      <w:r>
        <w:t>t——计算时段长度(d)；</w:t>
      </w:r>
    </w:p>
    <w:p w14:paraId="1D3EDE47">
      <w:pPr>
        <w:spacing w:line="360" w:lineRule="auto"/>
        <w:ind w:firstLine="480"/>
      </w:pPr>
      <w:r>
        <w:t>Ω——计算区域；</w:t>
      </w:r>
    </w:p>
    <w:p w14:paraId="1D3EDE48">
      <w:pPr>
        <w:spacing w:line="360" w:lineRule="auto"/>
        <w:ind w:firstLine="480"/>
      </w:pPr>
      <w:r>
        <w:t>Γ1、Γ2：——计算区一类边界和二类边界；</w:t>
      </w:r>
    </w:p>
    <w:p w14:paraId="1D3EDE49">
      <w:pPr>
        <w:spacing w:line="360" w:lineRule="auto"/>
        <w:ind w:firstLine="480"/>
      </w:pPr>
      <w:r>
        <w:t>H</w:t>
      </w:r>
      <w:r>
        <w:rPr>
          <w:vertAlign w:val="subscript"/>
        </w:rPr>
        <w:t>0</w:t>
      </w:r>
      <w:r>
        <w:t>——初始水位(m)；</w:t>
      </w:r>
    </w:p>
    <w:p w14:paraId="1D3EDE4A">
      <w:pPr>
        <w:spacing w:line="360" w:lineRule="auto"/>
        <w:ind w:firstLine="480"/>
      </w:pPr>
      <w:r>
        <w:t>H</w:t>
      </w:r>
      <w:r>
        <w:rPr>
          <w:vertAlign w:val="subscript"/>
        </w:rPr>
        <w:t>1</w:t>
      </w:r>
      <w:r>
        <w:t>——类边界水位(m)；</w:t>
      </w:r>
    </w:p>
    <w:p w14:paraId="1D3EDE4B">
      <w:pPr>
        <w:spacing w:line="360" w:lineRule="auto"/>
        <w:ind w:firstLine="480"/>
      </w:pPr>
      <w:r>
        <w:t>q——二类边界单宽补给量(m</w:t>
      </w:r>
      <w:r>
        <w:rPr>
          <w:vertAlign w:val="superscript"/>
        </w:rPr>
        <w:t>2</w:t>
      </w:r>
      <w:r>
        <w:t>/d)。</w:t>
      </w:r>
    </w:p>
    <w:p w14:paraId="1D3EDE4C">
      <w:pPr>
        <w:pStyle w:val="6"/>
        <w:numPr>
          <w:ilvl w:val="3"/>
          <w:numId w:val="30"/>
        </w:numPr>
        <w:ind w:left="567"/>
      </w:pPr>
      <w:r>
        <w:t>溶质运移模型</w:t>
      </w:r>
    </w:p>
    <w:p w14:paraId="1D3EDE4D">
      <w:pPr>
        <w:ind w:firstLine="480"/>
      </w:pPr>
      <w:r>
        <w:t>不考虑污染物在含水层中的吸附、交换、挥发、生物化学反应，地下水中溶质运移的数学模型可表示为：</w:t>
      </w:r>
    </w:p>
    <w:p w14:paraId="1D3EDE4E">
      <w:pPr>
        <w:pStyle w:val="66"/>
        <w:rPr>
          <w:highlight w:val="yellow"/>
        </w:rPr>
      </w:pPr>
      <w:r>
        <w:drawing>
          <wp:inline distT="0" distB="0" distL="0" distR="0">
            <wp:extent cx="3077845" cy="444500"/>
            <wp:effectExtent l="0" t="0" r="8255" b="12700"/>
            <wp:docPr id="339038294" name="图片 33903829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38294" name="图片 339038294" descr="文本&#10;&#10;描述已自动生成"/>
                    <pic:cNvPicPr>
                      <a:picLocks noChangeAspect="1"/>
                    </pic:cNvPicPr>
                  </pic:nvPicPr>
                  <pic:blipFill>
                    <a:blip r:embed="rId105"/>
                    <a:stretch>
                      <a:fillRect/>
                    </a:stretch>
                  </pic:blipFill>
                  <pic:spPr>
                    <a:xfrm>
                      <a:off x="0" y="0"/>
                      <a:ext cx="3077845" cy="453220"/>
                    </a:xfrm>
                    <a:prstGeom prst="rect">
                      <a:avLst/>
                    </a:prstGeom>
                  </pic:spPr>
                </pic:pic>
              </a:graphicData>
            </a:graphic>
          </wp:inline>
        </w:drawing>
      </w:r>
    </w:p>
    <w:p w14:paraId="1D3EDE4F">
      <w:pPr>
        <w:pStyle w:val="66"/>
        <w:rPr>
          <w:highlight w:val="yellow"/>
        </w:rPr>
      </w:pPr>
      <w:r>
        <w:drawing>
          <wp:inline distT="0" distB="0" distL="0" distR="0">
            <wp:extent cx="1139190" cy="450215"/>
            <wp:effectExtent l="0" t="0" r="3810" b="6985"/>
            <wp:docPr id="1753898351" name="图片 175389835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98351" name="图片 1753898351" descr="文本, 信件&#10;&#10;描述已自动生成"/>
                    <pic:cNvPicPr>
                      <a:picLocks noChangeAspect="1"/>
                    </pic:cNvPicPr>
                  </pic:nvPicPr>
                  <pic:blipFill>
                    <a:blip r:embed="rId106"/>
                    <a:stretch>
                      <a:fillRect/>
                    </a:stretch>
                  </pic:blipFill>
                  <pic:spPr>
                    <a:xfrm>
                      <a:off x="0" y="0"/>
                      <a:ext cx="1144764" cy="450215"/>
                    </a:xfrm>
                    <a:prstGeom prst="rect">
                      <a:avLst/>
                    </a:prstGeom>
                  </pic:spPr>
                </pic:pic>
              </a:graphicData>
            </a:graphic>
          </wp:inline>
        </w:drawing>
      </w:r>
    </w:p>
    <w:p w14:paraId="1D3EDE50">
      <w:pPr>
        <w:ind w:firstLine="480"/>
      </w:pPr>
      <w:r>
        <w:t>式中：</w:t>
      </w:r>
    </w:p>
    <w:p w14:paraId="1D3EDE51">
      <w:pPr>
        <w:ind w:firstLine="480"/>
      </w:pPr>
      <w:r>
        <w:t>α</w:t>
      </w:r>
      <w:r>
        <w:rPr>
          <w:vertAlign w:val="subscript"/>
        </w:rPr>
        <w:t>ijmn</w:t>
      </w:r>
      <w:r>
        <w:t>— 含水层的弥散度；</w:t>
      </w:r>
    </w:p>
    <w:p w14:paraId="1D3EDE52">
      <w:pPr>
        <w:ind w:firstLine="480"/>
      </w:pPr>
      <w:r>
        <w:t>Vm，Vn—分别为m和n方向上的速度分量；</w:t>
      </w:r>
    </w:p>
    <w:p w14:paraId="1D3EDE53">
      <w:pPr>
        <w:ind w:firstLine="480"/>
      </w:pPr>
      <w:r>
        <w:t>v</w:t>
      </w:r>
      <w:r>
        <w:rPr>
          <w:rFonts w:hint="eastAsia" w:ascii="宋体" w:hAnsi="宋体" w:cs="宋体"/>
        </w:rPr>
        <w:t>∣</w:t>
      </w:r>
      <w:r>
        <w:t>— 速度模；</w:t>
      </w:r>
    </w:p>
    <w:p w14:paraId="1D3EDE54">
      <w:pPr>
        <w:ind w:firstLine="480"/>
      </w:pPr>
      <w:r>
        <w:t>C — 模拟污染质的浓度（mg/L）；</w:t>
      </w:r>
    </w:p>
    <w:p w14:paraId="1D3EDE55">
      <w:pPr>
        <w:ind w:firstLine="480"/>
      </w:pPr>
      <w:r>
        <w:t>ne — 有效孔隙度；</w:t>
      </w:r>
    </w:p>
    <w:p w14:paraId="1D3EDE56">
      <w:pPr>
        <w:ind w:firstLine="480"/>
      </w:pPr>
      <w:r>
        <w:t>t－时间（d）；</w:t>
      </w:r>
    </w:p>
    <w:p w14:paraId="1D3EDE57">
      <w:pPr>
        <w:ind w:firstLine="480"/>
      </w:pPr>
      <w:r>
        <w:t>Cˊ— 模拟污染质的源汇浓度（mg/L）；</w:t>
      </w:r>
    </w:p>
    <w:p w14:paraId="1D3EDE58">
      <w:pPr>
        <w:ind w:firstLine="480"/>
      </w:pPr>
      <w:r>
        <w:t>W — 源汇单位面积上的通量；</w:t>
      </w:r>
    </w:p>
    <w:p w14:paraId="1D3EDE59">
      <w:pPr>
        <w:ind w:firstLine="480"/>
      </w:pPr>
      <w:r>
        <w:t>Vi — 渗流速度（m/d）；</w:t>
      </w:r>
    </w:p>
    <w:p w14:paraId="1D3EDE5A">
      <w:pPr>
        <w:ind w:firstLine="480"/>
      </w:pPr>
      <w:r>
        <w:t>C＇— 源汇的污染质浓度（mg/L）。</w:t>
      </w:r>
    </w:p>
    <w:p w14:paraId="1D3EDE5B">
      <w:pPr>
        <w:ind w:firstLine="480"/>
      </w:pPr>
      <w:r>
        <w:t>以上模型的选择基于以下理由：（1）有机污染物在地下水中的运移非常复杂，影响因素除对流、弥散作用以外，还存在物理、化学、微生物等作用，这些作用常常会使污染物总量减少，运移扩散速度减慢。目前国际上对这些作用参数的准确获取还存在困难；（2）假设污染物质在运移中不与含水层介质发生反应，可以被认为是保守型污染物质。保守型污染物质的运移只考虑对流、弥散作用。在国际上有很多用保守型污染物质作为模拟因子进行环境质量评价的成功实例；（3）保守型考虑符合环境影响评价风险最大的原则。</w:t>
      </w:r>
    </w:p>
    <w:p w14:paraId="1D3EDE5C">
      <w:pPr>
        <w:ind w:firstLine="480"/>
      </w:pPr>
      <w:r>
        <w:t>联合求解水流方程和溶质运移方程就可得到污染物质的空间分布。</w:t>
      </w:r>
    </w:p>
    <w:p w14:paraId="1D3EDE5D">
      <w:pPr>
        <w:pStyle w:val="6"/>
        <w:numPr>
          <w:ilvl w:val="3"/>
          <w:numId w:val="30"/>
        </w:numPr>
        <w:ind w:left="567"/>
      </w:pPr>
      <w:r>
        <w:t>应用软件</w:t>
      </w:r>
    </w:p>
    <w:p w14:paraId="1D3EDE5E">
      <w:pPr>
        <w:ind w:firstLine="480"/>
      </w:pPr>
      <w:r>
        <w:t>对于上述数学控制方程的求解，采用地下水模拟软件Visual MODFLOW 2011.1进行计算。</w:t>
      </w:r>
    </w:p>
    <w:p w14:paraId="1D3EDE5F">
      <w:pPr>
        <w:ind w:firstLine="480"/>
      </w:pPr>
      <w:r>
        <w:t>Visual MODFLOW是目前国际上先进的综合性的地下水模拟软件包，由MODFLOW、MODPATH、MT3D、FEMWATER、PEST、MAP、等模块组成的可视化三维地下水模拟软件包；可进行水流模拟、溶质运移模拟、反应运移模拟；建立三维地层实体，从而可以综合考虑到各种复杂水文地质条件，给模拟者带来极大的方便，同时也有效的提高了模拟的仿真度。Visual MODFLOW在美国和世界其它国家得到广泛应用。</w:t>
      </w:r>
    </w:p>
    <w:p w14:paraId="1D3EDE60">
      <w:pPr>
        <w:ind w:firstLine="480"/>
      </w:pPr>
      <w:r>
        <w:t>Visual MODFLOW系统中所包含的MODFLOW模块可构建三维有限差分地下水流模型，是由美国地质调查局（USGS）于80年开发出的一套专门用于模拟孔隙介质中地下水流动的工具。自问世以来，MODFLOW已经在学术研究、环境保护、水资源利用等相关领域内得到了广泛的应用。</w:t>
      </w:r>
    </w:p>
    <w:p w14:paraId="1D3EDE61">
      <w:pPr>
        <w:pStyle w:val="6"/>
        <w:numPr>
          <w:ilvl w:val="3"/>
          <w:numId w:val="30"/>
        </w:numPr>
        <w:ind w:left="567"/>
      </w:pPr>
      <w:r>
        <w:t>水流数值模型的建立</w:t>
      </w:r>
    </w:p>
    <w:p w14:paraId="1D3EDE62">
      <w:pPr>
        <w:pStyle w:val="7"/>
      </w:pPr>
      <w:r>
        <w:t>水文地质概念模型</w:t>
      </w:r>
    </w:p>
    <w:p w14:paraId="1D3EDE63">
      <w:pPr>
        <w:ind w:firstLine="480"/>
      </w:pPr>
      <w:r>
        <w:t>水文地质概念模型是把含水层实际的边界性质、内部结构、渗透性质、水力特征和补给排泄等条件进行概化，便于进行数学与物理模拟。水文地质概念模型的核心要素是边界条件、内部结构和地下水流态，通过对研究区的岩性构造、水动力场、水化学场的分析，可以确定概念模型的要素。</w:t>
      </w:r>
    </w:p>
    <w:p w14:paraId="1D3EDE64">
      <w:pPr>
        <w:pStyle w:val="7"/>
      </w:pPr>
      <w:r>
        <w:t>模型区范围确定</w:t>
      </w:r>
    </w:p>
    <w:p w14:paraId="59192990">
      <w:pPr>
        <w:ind w:firstLine="480"/>
        <w:rPr>
          <w:u w:val="single"/>
        </w:rPr>
        <w:sectPr>
          <w:footerReference r:id="rId21" w:type="default"/>
          <w:pgSz w:w="11907" w:h="16840"/>
          <w:pgMar w:top="1440" w:right="1797" w:bottom="1440" w:left="1797" w:header="907" w:footer="907" w:gutter="0"/>
          <w:cols w:space="425" w:num="1"/>
          <w:docGrid w:linePitch="380" w:charSpace="0"/>
        </w:sectPr>
      </w:pPr>
      <w:r>
        <w:t>模拟区范围确定如下：</w:t>
      </w:r>
      <w:r>
        <w:rPr>
          <w:rFonts w:hint="eastAsia"/>
          <w:u w:val="single"/>
        </w:rPr>
        <w:t>厂界上游西北侧3.22km河洼村-侯庄村-东寺门村一线，下游南侧的共产主义渠一线，侧向西侧十里河一线，侧向东北侧井岗村-薛屯村东-黄土岗村西一线</w:t>
      </w:r>
      <w:r>
        <w:rPr>
          <w:u w:val="single"/>
        </w:rPr>
        <w:t>。调查评价面积为</w:t>
      </w:r>
      <w:r>
        <w:rPr>
          <w:rFonts w:hint="eastAsia"/>
          <w:u w:val="single"/>
        </w:rPr>
        <w:t>29</w:t>
      </w:r>
      <w:r>
        <w:rPr>
          <w:u w:val="single"/>
        </w:rPr>
        <w:t>km</w:t>
      </w:r>
      <w:r>
        <w:rPr>
          <w:u w:val="single"/>
          <w:vertAlign w:val="superscript"/>
        </w:rPr>
        <w:t>2</w:t>
      </w:r>
      <w:r>
        <w:rPr>
          <w:u w:val="single"/>
        </w:rPr>
        <w:t>，</w:t>
      </w:r>
      <w:r>
        <w:t>本</w:t>
      </w:r>
      <w:r>
        <w:rPr>
          <w:u w:val="single"/>
        </w:rPr>
        <w:t>次模拟范围与评价范围边界一致。详见下图。</w:t>
      </w:r>
    </w:p>
    <w:p w14:paraId="1D3EDE66">
      <w:pPr>
        <w:pStyle w:val="68"/>
        <w:rPr>
          <w:highlight w:val="yellow"/>
        </w:rPr>
      </w:pPr>
      <w:r>
        <w:drawing>
          <wp:inline distT="0" distB="0" distL="0" distR="0">
            <wp:extent cx="6038215" cy="5075555"/>
            <wp:effectExtent l="0" t="0" r="635" b="10795"/>
            <wp:docPr id="830273649"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3649" name="图片 1" descr="地图&#10;&#10;描述已自动生成"/>
                    <pic:cNvPicPr>
                      <a:picLocks noChangeAspect="1"/>
                    </pic:cNvPicPr>
                  </pic:nvPicPr>
                  <pic:blipFill>
                    <a:blip r:embed="rId107"/>
                    <a:stretch>
                      <a:fillRect/>
                    </a:stretch>
                  </pic:blipFill>
                  <pic:spPr>
                    <a:xfrm>
                      <a:off x="0" y="0"/>
                      <a:ext cx="6038215" cy="5076000"/>
                    </a:xfrm>
                    <a:prstGeom prst="rect">
                      <a:avLst/>
                    </a:prstGeom>
                  </pic:spPr>
                </pic:pic>
              </a:graphicData>
            </a:graphic>
          </wp:inline>
        </w:drawing>
      </w:r>
    </w:p>
    <w:p w14:paraId="3A18822B">
      <w:pPr>
        <w:pStyle w:val="68"/>
        <w:numPr>
          <w:ilvl w:val="0"/>
          <w:numId w:val="29"/>
        </w:numPr>
        <w:rPr>
          <w:bCs/>
        </w:rPr>
        <w:sectPr>
          <w:pgSz w:w="16840" w:h="11907" w:orient="landscape"/>
          <w:pgMar w:top="1797" w:right="1440" w:bottom="1797" w:left="1440" w:header="907" w:footer="907" w:gutter="0"/>
          <w:cols w:space="425" w:num="1"/>
          <w:docGrid w:linePitch="380" w:charSpace="0"/>
        </w:sectPr>
      </w:pPr>
      <w:r>
        <w:rPr>
          <w:bCs/>
        </w:rPr>
        <w:t xml:space="preserve">  地下水预测范围图</w:t>
      </w:r>
    </w:p>
    <w:p w14:paraId="1D3EDE68">
      <w:pPr>
        <w:ind w:firstLine="480"/>
      </w:pPr>
      <w:r>
        <w:t>（1）边界条件</w:t>
      </w:r>
    </w:p>
    <w:p w14:paraId="1D3EDE69">
      <w:pPr>
        <w:ind w:firstLine="480"/>
      </w:pPr>
      <w:r>
        <w:rPr>
          <w:rFonts w:hint="eastAsia" w:ascii="宋体" w:hAnsi="宋体" w:cs="宋体"/>
        </w:rPr>
        <w:t>①</w:t>
      </w:r>
      <w:r>
        <w:t>水平边界</w:t>
      </w:r>
    </w:p>
    <w:p w14:paraId="1D3EDE6A">
      <w:pPr>
        <w:ind w:firstLine="480"/>
        <w:rPr>
          <w:highlight w:val="yellow"/>
        </w:rPr>
      </w:pPr>
      <w:r>
        <w:rPr>
          <w:rFonts w:hint="eastAsia"/>
        </w:rPr>
        <w:t>AB边界、BC边界及AD边界为补给边界；CD边界为排泄边界</w:t>
      </w:r>
      <w:r>
        <w:t>。</w:t>
      </w:r>
    </w:p>
    <w:p w14:paraId="1D3EDE6B">
      <w:pPr>
        <w:ind w:firstLine="480" w:firstLineChars="0"/>
      </w:pPr>
      <w:r>
        <w:rPr>
          <w:rFonts w:hint="eastAsia" w:ascii="宋体" w:hAnsi="宋体" w:cs="宋体"/>
        </w:rPr>
        <w:t>②</w:t>
      </w:r>
      <w:r>
        <w:t>垂直边界</w:t>
      </w:r>
    </w:p>
    <w:p w14:paraId="47DE1506">
      <w:pPr>
        <w:ind w:firstLine="480"/>
        <w:sectPr>
          <w:pgSz w:w="11907" w:h="16840"/>
          <w:pgMar w:top="1440" w:right="1797" w:bottom="1440" w:left="1797" w:header="907" w:footer="907" w:gutter="0"/>
          <w:cols w:space="425" w:num="1"/>
          <w:docGrid w:linePitch="380" w:charSpace="0"/>
        </w:sectPr>
      </w:pPr>
      <w:r>
        <w:rPr>
          <w:rFonts w:hint="eastAsia"/>
        </w:rPr>
        <w:t>模拟区垂向地下水补给主要为大气降水和地下水径流，主要排泄条件为蒸发和地下水径流。</w:t>
      </w:r>
    </w:p>
    <w:p w14:paraId="414F87A5">
      <w:pPr>
        <w:pStyle w:val="2"/>
        <w:spacing w:after="0" w:line="360" w:lineRule="auto"/>
        <w:ind w:firstLine="0" w:firstLineChars="0"/>
        <w:jc w:val="center"/>
      </w:pPr>
      <w:r>
        <w:drawing>
          <wp:inline distT="0" distB="0" distL="0" distR="0">
            <wp:extent cx="5892165" cy="5291455"/>
            <wp:effectExtent l="0" t="0" r="13335" b="4445"/>
            <wp:docPr id="156199694"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9694" name="图片 1" descr="地图&#10;&#10;描述已自动生成"/>
                    <pic:cNvPicPr>
                      <a:picLocks noChangeAspect="1"/>
                    </pic:cNvPicPr>
                  </pic:nvPicPr>
                  <pic:blipFill>
                    <a:blip r:embed="rId108"/>
                    <a:stretch>
                      <a:fillRect/>
                    </a:stretch>
                  </pic:blipFill>
                  <pic:spPr>
                    <a:xfrm>
                      <a:off x="0" y="0"/>
                      <a:ext cx="5892165" cy="5292000"/>
                    </a:xfrm>
                    <a:prstGeom prst="rect">
                      <a:avLst/>
                    </a:prstGeom>
                  </pic:spPr>
                </pic:pic>
              </a:graphicData>
            </a:graphic>
          </wp:inline>
        </w:drawing>
      </w:r>
    </w:p>
    <w:p w14:paraId="48EE0299">
      <w:pPr>
        <w:pStyle w:val="68"/>
        <w:numPr>
          <w:ilvl w:val="0"/>
          <w:numId w:val="29"/>
        </w:numPr>
        <w:rPr>
          <w:bCs/>
          <w:u w:val="single"/>
        </w:rPr>
        <w:sectPr>
          <w:pgSz w:w="16840" w:h="11907" w:orient="landscape"/>
          <w:pgMar w:top="1531" w:right="1247" w:bottom="1531" w:left="1247" w:header="907" w:footer="907" w:gutter="0"/>
          <w:cols w:space="425" w:num="1"/>
          <w:docGrid w:linePitch="380" w:charSpace="0"/>
        </w:sectPr>
      </w:pPr>
      <w:r>
        <w:rPr>
          <w:bCs/>
          <w:u w:val="single"/>
        </w:rPr>
        <w:t xml:space="preserve">  </w:t>
      </w:r>
      <w:r>
        <w:rPr>
          <w:rFonts w:hint="eastAsia"/>
          <w:bCs/>
          <w:u w:val="single"/>
        </w:rPr>
        <w:t>模拟</w:t>
      </w:r>
      <w:r>
        <w:rPr>
          <w:bCs/>
          <w:u w:val="single"/>
        </w:rPr>
        <w:t>预测</w:t>
      </w:r>
      <w:r>
        <w:rPr>
          <w:rFonts w:hint="eastAsia"/>
          <w:bCs/>
          <w:u w:val="single"/>
        </w:rPr>
        <w:t>评价</w:t>
      </w:r>
      <w:r>
        <w:rPr>
          <w:bCs/>
          <w:u w:val="single"/>
        </w:rPr>
        <w:t>范围</w:t>
      </w:r>
    </w:p>
    <w:p w14:paraId="1D3EDE6D">
      <w:pPr>
        <w:ind w:firstLine="480"/>
      </w:pPr>
      <w:r>
        <w:t>（2）含水层结构概化</w:t>
      </w:r>
    </w:p>
    <w:p w14:paraId="7754EF06">
      <w:pPr>
        <w:ind w:firstLine="480"/>
        <w:rPr>
          <w:highlight w:val="yellow"/>
        </w:rPr>
      </w:pPr>
      <w:r>
        <w:rPr>
          <w:rFonts w:hint="eastAsia"/>
        </w:rPr>
        <w:t>模拟区位于平原区，含水层岩性主要由中上更新统的细砂、中砂、粗砂组成，为第四系松散岩类孔隙水。模拟区水位埋深30m左右，浅层含水层组底板埋深37～65m，其下部中上更新统的一层泥岩为隔水层。</w:t>
      </w:r>
    </w:p>
    <w:p w14:paraId="340D51C4">
      <w:pPr>
        <w:ind w:firstLine="480"/>
      </w:pPr>
      <w:r>
        <w:rPr>
          <w:rFonts w:hint="eastAsia"/>
        </w:rPr>
        <w:t>（3）水文特征概化</w:t>
      </w:r>
    </w:p>
    <w:p w14:paraId="5B2BF7AC">
      <w:pPr>
        <w:ind w:firstLine="480"/>
      </w:pPr>
      <w:r>
        <w:rPr>
          <w:rFonts w:hint="eastAsia"/>
        </w:rPr>
        <w:t>评价区含水岩组主要为中上更新统的细砂、中砂、粗砂，为孔隙潜水，以孔隙贮水为特征，地下水的贮存条件、分布特征及其富水性，受含水层（组）分布规律的控制，与含水层的岩性、结构及其厚度有关。因此，地下水流各要素随时间变化，概化为非稳定流。</w:t>
      </w:r>
    </w:p>
    <w:p w14:paraId="53B6A1EB">
      <w:pPr>
        <w:pStyle w:val="2"/>
        <w:spacing w:after="0"/>
        <w:ind w:firstLine="480"/>
        <w:rPr>
          <w:highlight w:val="yellow"/>
        </w:rPr>
      </w:pPr>
      <w:r>
        <w:rPr>
          <w:rFonts w:hint="eastAsia"/>
        </w:rPr>
        <w:t>综上所述，模拟区地下水系统的概念模型可概化成非均质各项异性、空间三维结构、非稳定地下水流系统。</w:t>
      </w:r>
    </w:p>
    <w:p w14:paraId="4014C416">
      <w:pPr>
        <w:ind w:firstLine="480"/>
      </w:pPr>
      <w:r>
        <w:t>3、模型识别与参数确定</w:t>
      </w:r>
    </w:p>
    <w:p w14:paraId="77B3666B">
      <w:pPr>
        <w:ind w:firstLine="480"/>
      </w:pPr>
      <w:r>
        <w:t>（1）模拟流场及初始条件</w:t>
      </w:r>
    </w:p>
    <w:p w14:paraId="111050A7">
      <w:pPr>
        <w:ind w:firstLine="480"/>
        <w:sectPr>
          <w:pgSz w:w="11907" w:h="16840"/>
          <w:pgMar w:top="1440" w:right="1797" w:bottom="1440" w:left="1797" w:header="907" w:footer="907" w:gutter="0"/>
          <w:cols w:space="425" w:num="1"/>
          <w:docGrid w:linePitch="380" w:charSpace="0"/>
        </w:sectPr>
      </w:pPr>
      <w:r>
        <w:t>以202</w:t>
      </w:r>
      <w:r>
        <w:rPr>
          <w:rFonts w:hint="eastAsia"/>
        </w:rPr>
        <w:t>4</w:t>
      </w:r>
      <w:r>
        <w:t>年</w:t>
      </w:r>
      <w:r>
        <w:rPr>
          <w:rFonts w:hint="eastAsia"/>
        </w:rPr>
        <w:t>5</w:t>
      </w:r>
      <w:r>
        <w:t>月地下水流场作为初始流场（下图）。以202</w:t>
      </w:r>
      <w:r>
        <w:rPr>
          <w:rFonts w:hint="eastAsia"/>
        </w:rPr>
        <w:t>4</w:t>
      </w:r>
      <w:r>
        <w:t>年</w:t>
      </w:r>
      <w:r>
        <w:rPr>
          <w:rFonts w:hint="eastAsia"/>
        </w:rPr>
        <w:t>8</w:t>
      </w:r>
      <w:r>
        <w:t>月统测的地下水流场作为模拟流场。</w:t>
      </w:r>
    </w:p>
    <w:p w14:paraId="3F740718">
      <w:pPr>
        <w:spacing w:line="240" w:lineRule="auto"/>
        <w:ind w:firstLine="0" w:firstLineChars="0"/>
        <w:jc w:val="center"/>
      </w:pPr>
      <w:r>
        <w:drawing>
          <wp:inline distT="0" distB="0" distL="0" distR="0">
            <wp:extent cx="5810250" cy="5327650"/>
            <wp:effectExtent l="0" t="0" r="0" b="6350"/>
            <wp:docPr id="408916349"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16349" name="图片 1" descr="图片包含 图示&#10;&#10;描述已自动生成"/>
                    <pic:cNvPicPr>
                      <a:picLocks noChangeAspect="1"/>
                    </pic:cNvPicPr>
                  </pic:nvPicPr>
                  <pic:blipFill>
                    <a:blip r:embed="rId109"/>
                    <a:stretch>
                      <a:fillRect/>
                    </a:stretch>
                  </pic:blipFill>
                  <pic:spPr>
                    <a:xfrm>
                      <a:off x="0" y="0"/>
                      <a:ext cx="5810250" cy="5328000"/>
                    </a:xfrm>
                    <a:prstGeom prst="rect">
                      <a:avLst/>
                    </a:prstGeom>
                  </pic:spPr>
                </pic:pic>
              </a:graphicData>
            </a:graphic>
          </wp:inline>
        </w:drawing>
      </w:r>
    </w:p>
    <w:p w14:paraId="58FE6E17">
      <w:pPr>
        <w:pStyle w:val="68"/>
        <w:numPr>
          <w:ilvl w:val="0"/>
          <w:numId w:val="29"/>
        </w:numPr>
        <w:ind w:firstLine="480"/>
        <w:rPr>
          <w:bCs/>
          <w:u w:val="single"/>
        </w:rPr>
        <w:sectPr>
          <w:pgSz w:w="16840" w:h="11907" w:orient="landscape"/>
          <w:pgMar w:top="1588" w:right="1247" w:bottom="1588" w:left="1247" w:header="907" w:footer="907" w:gutter="0"/>
          <w:cols w:space="425" w:num="1"/>
          <w:docGrid w:linePitch="380" w:charSpace="0"/>
        </w:sectPr>
      </w:pPr>
      <w:r>
        <w:rPr>
          <w:bCs/>
          <w:u w:val="single"/>
        </w:rPr>
        <w:t xml:space="preserve">    模型初始流场</w:t>
      </w:r>
    </w:p>
    <w:p w14:paraId="089D46C3">
      <w:pPr>
        <w:ind w:firstLine="480"/>
      </w:pPr>
      <w:r>
        <w:t>（2）模拟区剖分</w:t>
      </w:r>
    </w:p>
    <w:p w14:paraId="235F765B">
      <w:pPr>
        <w:ind w:firstLine="480"/>
      </w:pPr>
      <w:r>
        <w:t>模拟区网格剖分单元格40m×40m，厂址区单元格细化为10m×10m，网格剖分图如下。</w:t>
      </w:r>
    </w:p>
    <w:p w14:paraId="1D3EDE7A">
      <w:pPr>
        <w:pStyle w:val="68"/>
        <w:rPr>
          <w:highlight w:val="yellow"/>
        </w:rPr>
      </w:pPr>
      <w:r>
        <w:drawing>
          <wp:inline distT="0" distB="0" distL="0" distR="0">
            <wp:extent cx="5278755" cy="5514975"/>
            <wp:effectExtent l="0" t="0" r="17145" b="9525"/>
            <wp:docPr id="520503424" name="图片 1"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3424" name="图片 1" descr="电脑萤幕画面&#10;&#10;低可信度描述已自动生成"/>
                    <pic:cNvPicPr>
                      <a:picLocks noChangeAspect="1"/>
                    </pic:cNvPicPr>
                  </pic:nvPicPr>
                  <pic:blipFill>
                    <a:blip r:embed="rId110"/>
                    <a:stretch>
                      <a:fillRect/>
                    </a:stretch>
                  </pic:blipFill>
                  <pic:spPr>
                    <a:xfrm>
                      <a:off x="0" y="0"/>
                      <a:ext cx="5278755" cy="5514975"/>
                    </a:xfrm>
                    <a:prstGeom prst="rect">
                      <a:avLst/>
                    </a:prstGeom>
                  </pic:spPr>
                </pic:pic>
              </a:graphicData>
            </a:graphic>
          </wp:inline>
        </w:drawing>
      </w:r>
    </w:p>
    <w:p w14:paraId="1D3EDE7B">
      <w:pPr>
        <w:pStyle w:val="68"/>
        <w:numPr>
          <w:ilvl w:val="0"/>
          <w:numId w:val="29"/>
        </w:numPr>
        <w:rPr>
          <w:u w:val="single"/>
        </w:rPr>
      </w:pPr>
      <w:r>
        <w:rPr>
          <w:rFonts w:hint="eastAsia"/>
          <w:u w:val="single"/>
        </w:rPr>
        <w:t xml:space="preserve">  </w:t>
      </w:r>
      <w:r>
        <w:rPr>
          <w:u w:val="single"/>
        </w:rPr>
        <w:t>网格剖分</w:t>
      </w:r>
      <w:r>
        <w:rPr>
          <w:bCs/>
          <w:u w:val="single"/>
        </w:rPr>
        <w:t>平面图</w:t>
      </w:r>
    </w:p>
    <w:p w14:paraId="1D3EDE7C">
      <w:pPr>
        <w:pStyle w:val="68"/>
        <w:rPr>
          <w:highlight w:val="yellow"/>
        </w:rPr>
      </w:pPr>
      <w:r>
        <w:drawing>
          <wp:inline distT="0" distB="0" distL="0" distR="0">
            <wp:extent cx="5278755" cy="4941570"/>
            <wp:effectExtent l="0" t="0" r="17145" b="11430"/>
            <wp:docPr id="457594590"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94590" name="图片 1" descr="图形用户界面&#10;&#10;描述已自动生成"/>
                    <pic:cNvPicPr>
                      <a:picLocks noChangeAspect="1"/>
                    </pic:cNvPicPr>
                  </pic:nvPicPr>
                  <pic:blipFill>
                    <a:blip r:embed="rId111"/>
                    <a:stretch>
                      <a:fillRect/>
                    </a:stretch>
                  </pic:blipFill>
                  <pic:spPr>
                    <a:xfrm>
                      <a:off x="0" y="0"/>
                      <a:ext cx="5278755" cy="4941570"/>
                    </a:xfrm>
                    <a:prstGeom prst="rect">
                      <a:avLst/>
                    </a:prstGeom>
                  </pic:spPr>
                </pic:pic>
              </a:graphicData>
            </a:graphic>
          </wp:inline>
        </w:drawing>
      </w:r>
    </w:p>
    <w:p w14:paraId="1D3EDE7D">
      <w:pPr>
        <w:pStyle w:val="68"/>
        <w:numPr>
          <w:ilvl w:val="0"/>
          <w:numId w:val="29"/>
        </w:numPr>
      </w:pPr>
      <w:r>
        <w:t xml:space="preserve">  网格剖分立体图</w:t>
      </w:r>
    </w:p>
    <w:p w14:paraId="6B03466B">
      <w:pPr>
        <w:pStyle w:val="68"/>
        <w:rPr>
          <w:highlight w:val="yellow"/>
        </w:rPr>
      </w:pPr>
      <w:r>
        <w:drawing>
          <wp:inline distT="0" distB="0" distL="0" distR="0">
            <wp:extent cx="5278755" cy="1266825"/>
            <wp:effectExtent l="0" t="0" r="17145" b="9525"/>
            <wp:docPr id="516027217" name="图片 1" descr="图片包含 游戏机, 吉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27217" name="图片 1" descr="图片包含 游戏机, 吉他&#10;&#10;描述已自动生成"/>
                    <pic:cNvPicPr>
                      <a:picLocks noChangeAspect="1"/>
                    </pic:cNvPicPr>
                  </pic:nvPicPr>
                  <pic:blipFill>
                    <a:blip r:embed="rId112"/>
                    <a:stretch>
                      <a:fillRect/>
                    </a:stretch>
                  </pic:blipFill>
                  <pic:spPr>
                    <a:xfrm>
                      <a:off x="0" y="0"/>
                      <a:ext cx="5278755" cy="1266825"/>
                    </a:xfrm>
                    <a:prstGeom prst="rect">
                      <a:avLst/>
                    </a:prstGeom>
                  </pic:spPr>
                </pic:pic>
              </a:graphicData>
            </a:graphic>
          </wp:inline>
        </w:drawing>
      </w:r>
    </w:p>
    <w:p w14:paraId="1D3EDE7E">
      <w:pPr>
        <w:pStyle w:val="68"/>
        <w:numPr>
          <w:ilvl w:val="0"/>
          <w:numId w:val="29"/>
        </w:numPr>
      </w:pPr>
      <w:r>
        <w:t xml:space="preserve">  模拟区X剖面垂向剖分图</w:t>
      </w:r>
    </w:p>
    <w:p w14:paraId="438D1EED">
      <w:pPr>
        <w:pStyle w:val="68"/>
        <w:rPr>
          <w:highlight w:val="yellow"/>
        </w:rPr>
      </w:pPr>
      <w:r>
        <w:drawing>
          <wp:inline distT="0" distB="0" distL="0" distR="0">
            <wp:extent cx="5278755" cy="1261745"/>
            <wp:effectExtent l="0" t="0" r="17145" b="14605"/>
            <wp:docPr id="1447475024" name="图片 1" descr="图片包含 游戏机, 吉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75024" name="图片 1" descr="图片包含 游戏机, 吉他&#10;&#10;描述已自动生成"/>
                    <pic:cNvPicPr>
                      <a:picLocks noChangeAspect="1"/>
                    </pic:cNvPicPr>
                  </pic:nvPicPr>
                  <pic:blipFill>
                    <a:blip r:embed="rId113"/>
                    <a:stretch>
                      <a:fillRect/>
                    </a:stretch>
                  </pic:blipFill>
                  <pic:spPr>
                    <a:xfrm>
                      <a:off x="0" y="0"/>
                      <a:ext cx="5278755" cy="1261745"/>
                    </a:xfrm>
                    <a:prstGeom prst="rect">
                      <a:avLst/>
                    </a:prstGeom>
                  </pic:spPr>
                </pic:pic>
              </a:graphicData>
            </a:graphic>
          </wp:inline>
        </w:drawing>
      </w:r>
    </w:p>
    <w:p w14:paraId="1D3EDE7F">
      <w:pPr>
        <w:pStyle w:val="68"/>
        <w:numPr>
          <w:ilvl w:val="0"/>
          <w:numId w:val="29"/>
        </w:numPr>
      </w:pPr>
      <w:r>
        <w:t xml:space="preserve">  模拟区Y剖面垂向剖分图</w:t>
      </w:r>
    </w:p>
    <w:p w14:paraId="1D3EDE80">
      <w:pPr>
        <w:ind w:firstLine="482"/>
        <w:rPr>
          <w:b/>
          <w:bCs/>
        </w:rPr>
      </w:pPr>
      <w:r>
        <w:rPr>
          <w:b/>
          <w:bCs/>
        </w:rPr>
        <w:t>（3）模型识别与参数确定</w:t>
      </w:r>
    </w:p>
    <w:p w14:paraId="1D3EDE81">
      <w:pPr>
        <w:ind w:firstLine="482"/>
        <w:rPr>
          <w:b/>
          <w:bCs/>
        </w:rPr>
      </w:pPr>
      <w:r>
        <w:rPr>
          <w:rFonts w:hint="eastAsia" w:ascii="宋体" w:hAnsi="宋体" w:cs="宋体"/>
          <w:b/>
          <w:bCs/>
        </w:rPr>
        <w:t>①</w:t>
      </w:r>
      <w:r>
        <w:rPr>
          <w:b/>
          <w:bCs/>
        </w:rPr>
        <w:t>模型识别</w:t>
      </w:r>
    </w:p>
    <w:p w14:paraId="1D3EDE82">
      <w:pPr>
        <w:ind w:firstLine="480"/>
      </w:pPr>
      <w:r>
        <w:t>模型的识别与验证是整个模拟中极为重要的一步工作，通常要进行反复地调整参数和调整某些源汇项基础上才能达到较为理想的拟合结果。本次模型识别与验证过程采用试估—校正法，属于反求参数的间接方法之一。</w:t>
      </w:r>
    </w:p>
    <w:p w14:paraId="1D3EDE83">
      <w:pPr>
        <w:ind w:firstLine="480"/>
      </w:pPr>
      <w:r>
        <w:t>运行计算程序，可得到在给定水文地质参数和各均衡项条件下的模拟区地下水流场，通过拟合202</w:t>
      </w:r>
      <w:r>
        <w:rPr>
          <w:rFonts w:hint="eastAsia"/>
        </w:rPr>
        <w:t>4</w:t>
      </w:r>
      <w:r>
        <w:t>年</w:t>
      </w:r>
      <w:r>
        <w:rPr>
          <w:rFonts w:hint="eastAsia"/>
        </w:rPr>
        <w:t>5</w:t>
      </w:r>
      <w:r>
        <w:t>月的统测流场，识别水文地质参数和其它均衡项，使建立的模型更加符合模拟区的水文地质条件。</w:t>
      </w:r>
    </w:p>
    <w:p w14:paraId="1D3EDE84">
      <w:pPr>
        <w:ind w:firstLine="480"/>
      </w:pPr>
      <w:r>
        <w:t>模型的识别与验证主要遵循以下原则：a.模拟的地下水流场要与实际地下水流场基本一致；b.从均衡的角度出发，模拟的地下水均衡变化与实际要基本相符；c.模拟的水位动态与统测的水位动态要一致；d.识别的水文地质条件要符合实际水文地质条件。根据以上四个原则，对模拟区地下水系统进行了识别和验证。通过反复调整参数和均衡量，识别水文地质条件，确定了模型结构、参数和均衡要素。</w:t>
      </w:r>
    </w:p>
    <w:p w14:paraId="1D3EDE85">
      <w:pPr>
        <w:ind w:firstLine="480"/>
      </w:pPr>
      <w:r>
        <w:t>模拟时期为2023年4月到202</w:t>
      </w:r>
      <w:r>
        <w:rPr>
          <w:rFonts w:hint="eastAsia"/>
        </w:rPr>
        <w:t>4</w:t>
      </w:r>
      <w:r>
        <w:t>年</w:t>
      </w:r>
      <w:r>
        <w:rPr>
          <w:rFonts w:hint="eastAsia"/>
        </w:rPr>
        <w:t>8</w:t>
      </w:r>
      <w:r>
        <w:t>月，每个时间段内包括若干时间步长，时间步长为模型自动控制，严格控制每次迭代的误差。</w:t>
      </w:r>
    </w:p>
    <w:p w14:paraId="1D3EDE86">
      <w:pPr>
        <w:ind w:firstLine="482"/>
        <w:rPr>
          <w:b/>
          <w:bCs/>
        </w:rPr>
      </w:pPr>
      <w:r>
        <w:rPr>
          <w:rFonts w:hint="eastAsia" w:ascii="宋体" w:hAnsi="宋体" w:cs="宋体"/>
          <w:b/>
          <w:bCs/>
        </w:rPr>
        <w:t>②</w:t>
      </w:r>
      <w:r>
        <w:rPr>
          <w:b/>
          <w:bCs/>
        </w:rPr>
        <w:t>参数确定</w:t>
      </w:r>
    </w:p>
    <w:p w14:paraId="4121027F">
      <w:pPr>
        <w:ind w:firstLine="480"/>
      </w:pPr>
      <w:r>
        <w:t>本次模型最终识别的水文地质参数如下。</w:t>
      </w:r>
    </w:p>
    <w:p w14:paraId="1D3EDE8A">
      <w:pPr>
        <w:pStyle w:val="64"/>
        <w:numPr>
          <w:ilvl w:val="0"/>
          <w:numId w:val="28"/>
        </w:numPr>
        <w:spacing w:before="120" w:after="120"/>
        <w:ind w:left="924" w:hanging="442" w:firstLineChars="0"/>
        <w:rPr>
          <w:bCs/>
        </w:rPr>
      </w:pPr>
      <w:r>
        <w:rPr>
          <w:bCs/>
        </w:rPr>
        <w:t xml:space="preserve">            </w:t>
      </w:r>
      <w:r>
        <w:rPr>
          <w:rFonts w:hint="eastAsia"/>
          <w:bCs/>
        </w:rPr>
        <w:t>水文地质</w:t>
      </w:r>
      <w:r>
        <w:rPr>
          <w:bCs/>
        </w:rPr>
        <w:t>参数一览表</w:t>
      </w:r>
    </w:p>
    <w:tbl>
      <w:tblPr>
        <w:tblStyle w:val="41"/>
        <w:tblW w:w="51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57"/>
        <w:gridCol w:w="1710"/>
        <w:gridCol w:w="1425"/>
        <w:gridCol w:w="1742"/>
        <w:gridCol w:w="1742"/>
        <w:gridCol w:w="1447"/>
      </w:tblGrid>
      <w:tr w14:paraId="48E32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4" w:type="dxa"/>
            <w:vAlign w:val="center"/>
          </w:tcPr>
          <w:p w14:paraId="55AEC092">
            <w:pPr>
              <w:pStyle w:val="62"/>
              <w:rPr>
                <w:b/>
              </w:rPr>
            </w:pPr>
            <w:r>
              <w:rPr>
                <w:b/>
              </w:rPr>
              <w:t>编号</w:t>
            </w:r>
          </w:p>
        </w:tc>
        <w:tc>
          <w:tcPr>
            <w:tcW w:w="1702" w:type="dxa"/>
            <w:vAlign w:val="center"/>
          </w:tcPr>
          <w:p w14:paraId="2C1E82F9">
            <w:pPr>
              <w:pStyle w:val="62"/>
              <w:rPr>
                <w:b/>
              </w:rPr>
            </w:pPr>
            <w:r>
              <w:rPr>
                <w:rFonts w:hint="eastAsia"/>
                <w:b/>
              </w:rPr>
              <w:t>垂向</w:t>
            </w:r>
            <w:r>
              <w:rPr>
                <w:b/>
              </w:rPr>
              <w:t>渗透系数（m/d）</w:t>
            </w:r>
          </w:p>
        </w:tc>
        <w:tc>
          <w:tcPr>
            <w:tcW w:w="1418" w:type="dxa"/>
            <w:vAlign w:val="center"/>
          </w:tcPr>
          <w:p w14:paraId="29934D72">
            <w:pPr>
              <w:pStyle w:val="62"/>
              <w:rPr>
                <w:b/>
              </w:rPr>
            </w:pPr>
            <w:r>
              <w:rPr>
                <w:b/>
              </w:rPr>
              <w:t>给水度</w:t>
            </w:r>
          </w:p>
        </w:tc>
        <w:tc>
          <w:tcPr>
            <w:tcW w:w="1734" w:type="dxa"/>
            <w:vAlign w:val="center"/>
          </w:tcPr>
          <w:p w14:paraId="090535C2">
            <w:pPr>
              <w:pStyle w:val="62"/>
              <w:rPr>
                <w:b/>
              </w:rPr>
            </w:pPr>
            <w:r>
              <w:rPr>
                <w:b/>
              </w:rPr>
              <w:t>降水入渗系数</w:t>
            </w:r>
          </w:p>
        </w:tc>
        <w:tc>
          <w:tcPr>
            <w:tcW w:w="1734" w:type="dxa"/>
            <w:vAlign w:val="center"/>
          </w:tcPr>
          <w:p w14:paraId="130ED0BB">
            <w:pPr>
              <w:pStyle w:val="62"/>
              <w:rPr>
                <w:b/>
                <w:highlight w:val="yellow"/>
              </w:rPr>
            </w:pPr>
            <w:r>
              <w:rPr>
                <w:rFonts w:hint="eastAsia"/>
                <w:b/>
              </w:rPr>
              <w:t>有效孔隙率</w:t>
            </w:r>
          </w:p>
        </w:tc>
        <w:tc>
          <w:tcPr>
            <w:tcW w:w="1440" w:type="dxa"/>
            <w:vAlign w:val="center"/>
          </w:tcPr>
          <w:p w14:paraId="1922033E">
            <w:pPr>
              <w:pStyle w:val="62"/>
              <w:rPr>
                <w:b/>
                <w:highlight w:val="yellow"/>
              </w:rPr>
            </w:pPr>
            <w:r>
              <w:rPr>
                <w:rFonts w:hint="eastAsia"/>
                <w:b/>
              </w:rPr>
              <w:t>总孔隙率</w:t>
            </w:r>
          </w:p>
        </w:tc>
      </w:tr>
      <w:tr w14:paraId="1CD5F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4" w:type="dxa"/>
            <w:vAlign w:val="center"/>
          </w:tcPr>
          <w:p w14:paraId="4E49E8E6">
            <w:pPr>
              <w:pStyle w:val="62"/>
            </w:pPr>
            <w:r>
              <w:t>1</w:t>
            </w:r>
          </w:p>
        </w:tc>
        <w:tc>
          <w:tcPr>
            <w:tcW w:w="1702" w:type="dxa"/>
            <w:vAlign w:val="center"/>
          </w:tcPr>
          <w:p w14:paraId="0478A490">
            <w:pPr>
              <w:pStyle w:val="62"/>
            </w:pPr>
            <w:r>
              <w:rPr>
                <w:rFonts w:hint="eastAsia"/>
              </w:rPr>
              <w:t>0.85</w:t>
            </w:r>
          </w:p>
        </w:tc>
        <w:tc>
          <w:tcPr>
            <w:tcW w:w="1418" w:type="dxa"/>
            <w:vAlign w:val="center"/>
          </w:tcPr>
          <w:p w14:paraId="234DD619">
            <w:pPr>
              <w:pStyle w:val="62"/>
            </w:pPr>
            <w:r>
              <w:t>0.0</w:t>
            </w:r>
            <w:r>
              <w:rPr>
                <w:rFonts w:hint="eastAsia"/>
              </w:rPr>
              <w:t>32</w:t>
            </w:r>
          </w:p>
        </w:tc>
        <w:tc>
          <w:tcPr>
            <w:tcW w:w="1734" w:type="dxa"/>
            <w:vAlign w:val="center"/>
          </w:tcPr>
          <w:p w14:paraId="62EDC8F2">
            <w:pPr>
              <w:pStyle w:val="62"/>
            </w:pPr>
            <w:r>
              <w:t>0.1</w:t>
            </w:r>
            <w:r>
              <w:rPr>
                <w:rFonts w:hint="eastAsia"/>
              </w:rPr>
              <w:t>2</w:t>
            </w:r>
          </w:p>
        </w:tc>
        <w:tc>
          <w:tcPr>
            <w:tcW w:w="1734" w:type="dxa"/>
            <w:vAlign w:val="center"/>
          </w:tcPr>
          <w:p w14:paraId="7C1B2FE1">
            <w:pPr>
              <w:pStyle w:val="62"/>
              <w:rPr>
                <w:highlight w:val="yellow"/>
              </w:rPr>
            </w:pPr>
            <w:r>
              <w:rPr>
                <w:rFonts w:hint="eastAsia"/>
              </w:rPr>
              <w:t>0.15</w:t>
            </w:r>
          </w:p>
        </w:tc>
        <w:tc>
          <w:tcPr>
            <w:tcW w:w="1440" w:type="dxa"/>
            <w:vAlign w:val="center"/>
          </w:tcPr>
          <w:p w14:paraId="7F3E8735">
            <w:pPr>
              <w:pStyle w:val="62"/>
              <w:rPr>
                <w:highlight w:val="yellow"/>
              </w:rPr>
            </w:pPr>
            <w:r>
              <w:rPr>
                <w:rFonts w:hint="eastAsia"/>
              </w:rPr>
              <w:t>0.35</w:t>
            </w:r>
          </w:p>
        </w:tc>
      </w:tr>
    </w:tbl>
    <w:p w14:paraId="1D3EDEA1">
      <w:pPr>
        <w:ind w:firstLine="480"/>
        <w:rPr>
          <w:highlight w:val="yellow"/>
        </w:rPr>
      </w:pPr>
    </w:p>
    <w:p w14:paraId="1D3EDEA4">
      <w:pPr>
        <w:pStyle w:val="6"/>
        <w:numPr>
          <w:ilvl w:val="3"/>
          <w:numId w:val="30"/>
        </w:numPr>
        <w:ind w:left="567"/>
      </w:pPr>
      <w:r>
        <w:t>预测模型的建立</w:t>
      </w:r>
    </w:p>
    <w:p w14:paraId="1D3EDEA5">
      <w:pPr>
        <w:ind w:firstLine="480"/>
      </w:pPr>
      <w:r>
        <w:rPr>
          <w:rFonts w:hint="eastAsia"/>
        </w:rPr>
        <w:t>1、</w:t>
      </w:r>
      <w:r>
        <w:t>地下水水流的预测</w:t>
      </w:r>
    </w:p>
    <w:p w14:paraId="1D3EDEA6">
      <w:pPr>
        <w:ind w:firstLine="480"/>
      </w:pPr>
      <w:r>
        <w:t>地下水水流的预测模型所运用的参数是通过模型识别确定的。预测模型的补给量或排泄量采用现状年的资料。模型中的降雨入渗量、灌溉回渗量也是采用现状年的资料。预测模型进行了100天、1000天、10年和20年四个时间段的地下水水流预测。</w:t>
      </w:r>
    </w:p>
    <w:p w14:paraId="1D3EDEA7">
      <w:pPr>
        <w:ind w:firstLine="480"/>
      </w:pPr>
      <w:r>
        <w:rPr>
          <w:rFonts w:hint="eastAsia"/>
        </w:rPr>
        <w:t>2、</w:t>
      </w:r>
      <w:r>
        <w:t>污染物迁移的预测</w:t>
      </w:r>
    </w:p>
    <w:p w14:paraId="3E86C391">
      <w:pPr>
        <w:ind w:firstLine="480"/>
      </w:pPr>
      <w:r>
        <w:t>（1）地下水污染预测情景设定</w:t>
      </w:r>
    </w:p>
    <w:p w14:paraId="1D3EDEA8">
      <w:pPr>
        <w:ind w:firstLine="480"/>
      </w:pPr>
      <w:r>
        <w:t>依据设计单位设计规范以及建设单位根据本项目的实际情况给定地下水污染预测情景设定条件如下：</w:t>
      </w:r>
    </w:p>
    <w:p w14:paraId="1D3EDEA9">
      <w:pPr>
        <w:ind w:firstLine="480"/>
      </w:pPr>
      <w:r>
        <w:rPr>
          <w:rFonts w:hint="eastAsia" w:ascii="宋体" w:hAnsi="宋体" w:cs="宋体"/>
        </w:rPr>
        <w:t>①</w:t>
      </w:r>
      <w:r>
        <w:t>正常工况</w:t>
      </w:r>
    </w:p>
    <w:p w14:paraId="1D3EDEAA">
      <w:pPr>
        <w:ind w:firstLine="480"/>
      </w:pPr>
      <w:r>
        <w:t>正常状况下，企业废水输送管道、污水处理设施等按照相关规范设计地下水污染防渗措施，防渗措施发挥其功效，在严格采取防渗措施下，污水不会渗漏进入地下水环境，不会对地下水环境构成威胁，参考地下水导则相关要求，正常工况情景不展开预测工作。</w:t>
      </w:r>
    </w:p>
    <w:p w14:paraId="1D3EDEAB">
      <w:pPr>
        <w:ind w:firstLine="480"/>
      </w:pPr>
      <w:r>
        <w:rPr>
          <w:rFonts w:hint="eastAsia" w:ascii="宋体" w:hAnsi="宋体" w:cs="宋体"/>
        </w:rPr>
        <w:t>②</w:t>
      </w:r>
      <w:r>
        <w:t>非正常工况</w:t>
      </w:r>
    </w:p>
    <w:p w14:paraId="1D3EDEAC">
      <w:pPr>
        <w:ind w:firstLine="480"/>
      </w:pPr>
      <w:r>
        <w:t>非正常状况通常为工艺设备、地下水环保措施因老化、腐蚀等原因不能正常运行或保护效果达不到设计要求。对于企业而言，主要考虑污水管道、</w:t>
      </w:r>
      <w:r>
        <w:rPr>
          <w:rFonts w:hint="eastAsia"/>
        </w:rPr>
        <w:t>调节</w:t>
      </w:r>
      <w:r>
        <w:t>池等地下/半地下非可视部位因腐蚀或硬化面破损等原因发生小面积渗漏时，少量污水通过漏点，逐步渗入包气带并可能进入地下水。本次预测模拟废水污染物直接进入含水层，对地下水环境产生影响的情景。</w:t>
      </w:r>
      <w:r>
        <w:rPr>
          <w:rFonts w:hint="eastAsia"/>
        </w:rPr>
        <w:t>因本项目厂区无针对本项目废水的治理措施，故将</w:t>
      </w:r>
      <w:r>
        <w:t>泄漏点位置</w:t>
      </w:r>
      <w:r>
        <w:rPr>
          <w:rFonts w:hint="eastAsia"/>
        </w:rPr>
        <w:t>确定为</w:t>
      </w:r>
      <w:r>
        <w:t>厂区</w:t>
      </w:r>
      <w:r>
        <w:rPr>
          <w:rFonts w:hint="eastAsia"/>
        </w:rPr>
        <w:t>污水处理站调节池</w:t>
      </w:r>
      <w:r>
        <w:t>池壁或池底（图5.3-2</w:t>
      </w:r>
      <w:r>
        <w:rPr>
          <w:rFonts w:hint="eastAsia"/>
        </w:rPr>
        <w:t>3</w:t>
      </w:r>
      <w:r>
        <w:t>）。</w:t>
      </w:r>
    </w:p>
    <w:p w14:paraId="1D3EDEAD">
      <w:pPr>
        <w:ind w:firstLine="480"/>
      </w:pPr>
      <w:r>
        <w:t>非正常工况情景设定为：厂区</w:t>
      </w:r>
      <w:r>
        <w:rPr>
          <w:rFonts w:hint="eastAsia"/>
        </w:rPr>
        <w:t>调节池</w:t>
      </w:r>
      <w:r>
        <w:t>池壁或池底渗漏，本项目特征污染物进入潜水含水层，进而造成地下水污染。</w:t>
      </w:r>
    </w:p>
    <w:p w14:paraId="1D3EDEB6">
      <w:pPr>
        <w:ind w:firstLine="480"/>
      </w:pPr>
      <w:r>
        <w:t>考虑到污染物装置泄漏难以控制程度，以及企业和园区对地下水日常监测，一旦污染发生后被监测井监测到，将随即采取应急补救和应急措施，不可能仍由泄漏继续发生。参照《工业企业土壤和地下水自行监测技术指南（试行）》（HJ1209</w:t>
      </w:r>
      <w:r>
        <w:rPr>
          <w:rFonts w:hint="eastAsia"/>
        </w:rPr>
        <w:t>-</w:t>
      </w:r>
      <w:r>
        <w:t>2021）中地下水监测与管理措施（地下水最低监测频次为季度），本次设定非正常工况污染物泄漏事件为90天。</w:t>
      </w:r>
    </w:p>
    <w:p w14:paraId="1D3EDEB7">
      <w:pPr>
        <w:ind w:firstLine="480"/>
      </w:pPr>
      <w:r>
        <w:rPr>
          <w:u w:val="single"/>
        </w:rPr>
        <w:t>根据废水中主要污染物监测指标，选取耗氧量、</w:t>
      </w:r>
      <w:r>
        <w:rPr>
          <w:rFonts w:hint="eastAsia"/>
          <w:u w:val="single"/>
        </w:rPr>
        <w:t>石油类</w:t>
      </w:r>
      <w:r>
        <w:rPr>
          <w:u w:val="single"/>
        </w:rPr>
        <w:t>为预测因子。</w:t>
      </w:r>
      <w:r>
        <w:rPr>
          <w:rFonts w:hint="eastAsia"/>
          <w:u w:val="single"/>
        </w:rPr>
        <w:t>本项目调节池废水化学需氧量浓度为4066</w:t>
      </w:r>
      <w:r>
        <w:rPr>
          <w:u w:val="single"/>
        </w:rPr>
        <w:t>mg/L</w:t>
      </w:r>
      <w:r>
        <w:rPr>
          <w:rFonts w:hint="eastAsia"/>
          <w:u w:val="single"/>
        </w:rPr>
        <w:t>，石油类浓度为49.5</w:t>
      </w:r>
      <w:r>
        <w:rPr>
          <w:u w:val="single"/>
        </w:rPr>
        <w:t>mg/L</w:t>
      </w:r>
      <w:r>
        <w:rPr>
          <w:rFonts w:hint="eastAsia"/>
          <w:u w:val="single"/>
        </w:rPr>
        <w:t>。根据国内学者胡大琼（云南省水文水资源局普洱分局）《高锰酸盐指数与化学需氧量相关关系探讨》一文得出的耗氧量与化学需氧量线性回归方程Y=4.76X+2.61（X为耗氧量，Y为COD</w:t>
      </w:r>
      <w:r>
        <w:rPr>
          <w:rFonts w:hint="eastAsia"/>
          <w:u w:val="single"/>
          <w:vertAlign w:val="subscript"/>
        </w:rPr>
        <w:t>Cr</w:t>
      </w:r>
      <w:r>
        <w:rPr>
          <w:rFonts w:hint="eastAsia"/>
          <w:u w:val="single"/>
        </w:rPr>
        <w:t>）进行换算，则根据上式换算后耗氧量约为</w:t>
      </w:r>
      <w:r>
        <w:rPr>
          <w:rFonts w:hint="eastAsia"/>
          <w:u w:val="single"/>
          <w:lang w:bidi="ar"/>
        </w:rPr>
        <w:t>854</w:t>
      </w:r>
      <w:r>
        <w:rPr>
          <w:u w:val="single"/>
        </w:rPr>
        <w:t>mg/L</w:t>
      </w:r>
      <w:r>
        <w:rPr>
          <w:rFonts w:hint="eastAsia"/>
          <w:u w:val="single"/>
        </w:rPr>
        <w:t>。</w:t>
      </w:r>
    </w:p>
    <w:p w14:paraId="1D1E6157">
      <w:pPr>
        <w:ind w:firstLine="480"/>
      </w:pPr>
      <w:r>
        <w:rPr>
          <w:rFonts w:hint="eastAsia"/>
        </w:rPr>
        <w:t>根据刘国东、黄玲玲、邢冰等人的研究成果《典型建设项目地下水污染源识别与源强计算》(环境影响评价，2014年第4期)，一般情况下，当裂缝面积小于总面积0.3%时不易发觉。因此，参考最严格的水准测量允许误差标准，假设本项目调节池池在运营后期池底出现0.3%的裂缝，调节池总面积4m</w:t>
      </w:r>
      <w:r>
        <w:rPr>
          <w:rFonts w:hint="eastAsia"/>
          <w:vertAlign w:val="superscript"/>
        </w:rPr>
        <w:t>2</w:t>
      </w:r>
      <w:r>
        <w:rPr>
          <w:rFonts w:hint="eastAsia"/>
        </w:rPr>
        <w:t>，则裂缝面积为0.012m</w:t>
      </w:r>
      <w:r>
        <w:rPr>
          <w:rFonts w:hint="eastAsia"/>
          <w:vertAlign w:val="superscript"/>
        </w:rPr>
        <w:t>2</w:t>
      </w:r>
      <w:r>
        <w:rPr>
          <w:rFonts w:hint="eastAsia"/>
        </w:rPr>
        <w:t>。水池有水，池水进入地下属于有压渗透，这里按达西公式计算源强，计算公式见下式，计算结果见下表。</w:t>
      </w:r>
    </w:p>
    <w:p w14:paraId="318914C2">
      <w:pPr>
        <w:ind w:firstLine="480"/>
      </w:pPr>
      <w:r>
        <w:pict>
          <v:shape id="_x0000_s2250" o:spid="_x0000_s2250" o:spt="75" alt="" type="#_x0000_t75" style="position:absolute;left:0pt;margin-left:153.25pt;margin-top:1.5pt;height:31pt;width:96.95pt;z-index:251664384;mso-width-relative:page;mso-height-relative:page;" o:ole="t" filled="f" o:preferrelative="t" stroked="f" coordsize="21600,21600">
            <v:path/>
            <v:fill on="f" focussize="0,0"/>
            <v:stroke on="f"/>
            <v:imagedata r:id="rId115" o:title=""/>
            <o:lock v:ext="edit" aspectratio="t"/>
          </v:shape>
          <o:OLEObject Type="Embed" ProgID="Equation.3" ShapeID="_x0000_s2250" DrawAspect="Content" ObjectID="_1468075730" r:id="rId114">
            <o:LockedField>false</o:LockedField>
          </o:OLEObject>
        </w:pict>
      </w:r>
    </w:p>
    <w:p w14:paraId="72EE1B42">
      <w:pPr>
        <w:ind w:firstLine="480"/>
      </w:pPr>
    </w:p>
    <w:p w14:paraId="3398A970">
      <w:pPr>
        <w:ind w:firstLine="480"/>
      </w:pPr>
      <w:r>
        <w:rPr>
          <w:rFonts w:hint="eastAsia"/>
        </w:rPr>
        <w:t>式中：Q—渗入到地下的污水量，m</w:t>
      </w:r>
      <w:r>
        <w:rPr>
          <w:rFonts w:hint="eastAsia"/>
          <w:vertAlign w:val="superscript"/>
        </w:rPr>
        <w:t>3</w:t>
      </w:r>
      <w:r>
        <w:rPr>
          <w:rFonts w:hint="eastAsia"/>
        </w:rPr>
        <w:t>/d；</w:t>
      </w:r>
    </w:p>
    <w:p w14:paraId="02A90E46">
      <w:pPr>
        <w:ind w:firstLine="480"/>
      </w:pPr>
      <w:r>
        <w:rPr>
          <w:rFonts w:hint="eastAsia"/>
        </w:rPr>
        <w:t>K</w:t>
      </w:r>
      <w:r>
        <w:t>α</w:t>
      </w:r>
      <w:r>
        <w:rPr>
          <w:rFonts w:hint="eastAsia"/>
        </w:rPr>
        <w:t>—地面垂向渗透系数，m/d；</w:t>
      </w:r>
    </w:p>
    <w:p w14:paraId="2A954C14">
      <w:pPr>
        <w:ind w:firstLine="480"/>
      </w:pPr>
      <w:r>
        <w:rPr>
          <w:rFonts w:hint="eastAsia"/>
        </w:rPr>
        <w:t>H—池内水深，m；</w:t>
      </w:r>
    </w:p>
    <w:p w14:paraId="3C945B08">
      <w:pPr>
        <w:ind w:firstLine="480"/>
      </w:pPr>
      <w:r>
        <w:rPr>
          <w:rFonts w:hint="eastAsia"/>
        </w:rPr>
        <w:t>D—地下水埋深，m；</w:t>
      </w:r>
    </w:p>
    <w:p w14:paraId="2275227E">
      <w:pPr>
        <w:ind w:firstLine="480"/>
      </w:pPr>
      <w:r>
        <w:rPr>
          <w:rFonts w:hint="eastAsia"/>
        </w:rPr>
        <w:t>A—污水池池底裂缝总面积，m</w:t>
      </w:r>
      <w:r>
        <w:rPr>
          <w:rFonts w:hint="eastAsia"/>
          <w:vertAlign w:val="superscript"/>
        </w:rPr>
        <w:t>2</w:t>
      </w:r>
      <w:r>
        <w:rPr>
          <w:rFonts w:hint="eastAsia"/>
        </w:rPr>
        <w:t>。</w:t>
      </w:r>
    </w:p>
    <w:p w14:paraId="02B8F46C">
      <w:pPr>
        <w:pStyle w:val="64"/>
        <w:numPr>
          <w:ilvl w:val="0"/>
          <w:numId w:val="31"/>
        </w:numPr>
        <w:spacing w:before="120" w:after="120"/>
        <w:ind w:firstLineChars="0"/>
        <w:rPr>
          <w:bCs/>
        </w:rPr>
      </w:pPr>
      <w:r>
        <w:rPr>
          <w:rFonts w:hint="eastAsia"/>
          <w:bCs/>
        </w:rPr>
        <w:t xml:space="preserve">               污染预测源强</w:t>
      </w:r>
    </w:p>
    <w:tbl>
      <w:tblPr>
        <w:tblStyle w:val="41"/>
        <w:tblW w:w="52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677"/>
        <w:gridCol w:w="738"/>
        <w:gridCol w:w="997"/>
        <w:gridCol w:w="712"/>
        <w:gridCol w:w="997"/>
        <w:gridCol w:w="997"/>
        <w:gridCol w:w="855"/>
        <w:gridCol w:w="1063"/>
        <w:gridCol w:w="897"/>
        <w:gridCol w:w="896"/>
      </w:tblGrid>
      <w:tr w14:paraId="1F1E12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74" w:type="dxa"/>
            <w:vAlign w:val="center"/>
          </w:tcPr>
          <w:p w14:paraId="0C859300">
            <w:pPr>
              <w:pStyle w:val="67"/>
              <w:rPr>
                <w:rFonts w:cs="Times New Roman"/>
                <w:color w:val="auto"/>
                <w:kern w:val="0"/>
                <w:szCs w:val="21"/>
              </w:rPr>
            </w:pPr>
            <w:r>
              <w:rPr>
                <w:rFonts w:cs="Times New Roman"/>
                <w:color w:val="auto"/>
                <w:kern w:val="0"/>
                <w:szCs w:val="21"/>
              </w:rPr>
              <w:t>泄漏位置</w:t>
            </w:r>
          </w:p>
        </w:tc>
        <w:tc>
          <w:tcPr>
            <w:tcW w:w="734" w:type="dxa"/>
            <w:vAlign w:val="center"/>
          </w:tcPr>
          <w:p w14:paraId="7B653094">
            <w:pPr>
              <w:pStyle w:val="67"/>
              <w:rPr>
                <w:rFonts w:cs="Times New Roman"/>
                <w:color w:val="auto"/>
                <w:kern w:val="0"/>
                <w:szCs w:val="21"/>
              </w:rPr>
            </w:pPr>
            <w:r>
              <w:rPr>
                <w:rFonts w:cs="Times New Roman"/>
                <w:color w:val="auto"/>
                <w:kern w:val="0"/>
                <w:szCs w:val="21"/>
              </w:rPr>
              <w:t>特征污染物</w:t>
            </w:r>
          </w:p>
        </w:tc>
        <w:tc>
          <w:tcPr>
            <w:tcW w:w="992" w:type="dxa"/>
            <w:tcBorders>
              <w:right w:val="single" w:color="auto" w:sz="4" w:space="0"/>
            </w:tcBorders>
            <w:vAlign w:val="center"/>
          </w:tcPr>
          <w:p w14:paraId="74059CD5">
            <w:pPr>
              <w:pStyle w:val="67"/>
              <w:rPr>
                <w:rFonts w:cs="Times New Roman"/>
                <w:color w:val="auto"/>
                <w:kern w:val="0"/>
                <w:szCs w:val="21"/>
              </w:rPr>
            </w:pPr>
            <w:r>
              <w:rPr>
                <w:rFonts w:hint="eastAsia" w:cs="Times New Roman"/>
                <w:color w:val="auto"/>
                <w:kern w:val="0"/>
                <w:szCs w:val="21"/>
              </w:rPr>
              <w:t>垂向渗透系数K</w:t>
            </w:r>
            <w:r>
              <w:rPr>
                <w:rFonts w:cs="Times New Roman"/>
                <w:color w:val="auto"/>
                <w:kern w:val="0"/>
                <w:szCs w:val="21"/>
              </w:rPr>
              <w:t>α</w:t>
            </w:r>
          </w:p>
        </w:tc>
        <w:tc>
          <w:tcPr>
            <w:tcW w:w="709" w:type="dxa"/>
            <w:tcBorders>
              <w:left w:val="single" w:color="auto" w:sz="4" w:space="0"/>
              <w:right w:val="single" w:color="auto" w:sz="4" w:space="0"/>
            </w:tcBorders>
            <w:vAlign w:val="center"/>
          </w:tcPr>
          <w:p w14:paraId="165E8AD9">
            <w:pPr>
              <w:pStyle w:val="67"/>
              <w:rPr>
                <w:rFonts w:cs="Times New Roman"/>
                <w:color w:val="auto"/>
                <w:kern w:val="0"/>
                <w:szCs w:val="21"/>
              </w:rPr>
            </w:pPr>
            <w:r>
              <w:rPr>
                <w:rFonts w:hint="eastAsia" w:cs="Times New Roman"/>
                <w:color w:val="auto"/>
                <w:kern w:val="0"/>
                <w:szCs w:val="21"/>
              </w:rPr>
              <w:t>池内水深H</w:t>
            </w:r>
          </w:p>
        </w:tc>
        <w:tc>
          <w:tcPr>
            <w:tcW w:w="992" w:type="dxa"/>
            <w:tcBorders>
              <w:left w:val="single" w:color="auto" w:sz="4" w:space="0"/>
              <w:right w:val="single" w:color="auto" w:sz="4" w:space="0"/>
            </w:tcBorders>
            <w:vAlign w:val="center"/>
          </w:tcPr>
          <w:p w14:paraId="440156DC">
            <w:pPr>
              <w:pStyle w:val="67"/>
              <w:rPr>
                <w:rFonts w:cs="Times New Roman"/>
                <w:color w:val="auto"/>
                <w:kern w:val="0"/>
                <w:szCs w:val="21"/>
              </w:rPr>
            </w:pPr>
            <w:r>
              <w:rPr>
                <w:rFonts w:hint="eastAsia" w:cs="Times New Roman"/>
                <w:color w:val="auto"/>
                <w:kern w:val="0"/>
                <w:szCs w:val="21"/>
              </w:rPr>
              <w:t>地下水位埋深D</w:t>
            </w:r>
          </w:p>
        </w:tc>
        <w:tc>
          <w:tcPr>
            <w:tcW w:w="992" w:type="dxa"/>
            <w:tcBorders>
              <w:left w:val="single" w:color="auto" w:sz="4" w:space="0"/>
            </w:tcBorders>
            <w:vAlign w:val="center"/>
          </w:tcPr>
          <w:p w14:paraId="026E2053">
            <w:pPr>
              <w:pStyle w:val="67"/>
              <w:rPr>
                <w:rFonts w:cs="Times New Roman"/>
                <w:color w:val="auto"/>
                <w:kern w:val="0"/>
                <w:szCs w:val="21"/>
              </w:rPr>
            </w:pPr>
            <w:r>
              <w:rPr>
                <w:rFonts w:hint="eastAsia" w:cs="Times New Roman"/>
                <w:color w:val="auto"/>
                <w:kern w:val="0"/>
                <w:szCs w:val="21"/>
              </w:rPr>
              <w:t>池底泄漏面积A</w:t>
            </w:r>
          </w:p>
        </w:tc>
        <w:tc>
          <w:tcPr>
            <w:tcW w:w="851" w:type="dxa"/>
            <w:tcBorders>
              <w:right w:val="single" w:color="auto" w:sz="4" w:space="0"/>
            </w:tcBorders>
            <w:vAlign w:val="center"/>
          </w:tcPr>
          <w:p w14:paraId="55DAC0EE">
            <w:pPr>
              <w:pStyle w:val="67"/>
              <w:rPr>
                <w:rFonts w:cs="Times New Roman"/>
                <w:color w:val="auto"/>
                <w:kern w:val="0"/>
                <w:szCs w:val="21"/>
              </w:rPr>
            </w:pPr>
            <w:r>
              <w:rPr>
                <w:rFonts w:hint="eastAsia" w:cs="Times New Roman"/>
                <w:color w:val="auto"/>
                <w:kern w:val="0"/>
                <w:szCs w:val="21"/>
              </w:rPr>
              <w:t>废水泄漏量Q</w:t>
            </w:r>
          </w:p>
        </w:tc>
        <w:tc>
          <w:tcPr>
            <w:tcW w:w="1058" w:type="dxa"/>
            <w:tcBorders>
              <w:left w:val="single" w:color="auto" w:sz="4" w:space="0"/>
            </w:tcBorders>
            <w:vAlign w:val="center"/>
          </w:tcPr>
          <w:p w14:paraId="44284DD1">
            <w:pPr>
              <w:pStyle w:val="67"/>
              <w:rPr>
                <w:rFonts w:cs="Times New Roman"/>
                <w:color w:val="auto"/>
                <w:kern w:val="0"/>
                <w:szCs w:val="21"/>
              </w:rPr>
            </w:pPr>
            <w:r>
              <w:rPr>
                <w:rFonts w:cs="Times New Roman"/>
                <w:color w:val="auto"/>
                <w:kern w:val="0"/>
                <w:szCs w:val="21"/>
              </w:rPr>
              <w:t>浓度mg/L</w:t>
            </w:r>
          </w:p>
        </w:tc>
        <w:tc>
          <w:tcPr>
            <w:tcW w:w="893" w:type="dxa"/>
            <w:tcBorders>
              <w:left w:val="single" w:color="auto" w:sz="4" w:space="0"/>
            </w:tcBorders>
            <w:vAlign w:val="center"/>
          </w:tcPr>
          <w:p w14:paraId="593E3639">
            <w:pPr>
              <w:pStyle w:val="67"/>
              <w:rPr>
                <w:rFonts w:cs="Times New Roman"/>
                <w:color w:val="auto"/>
                <w:kern w:val="0"/>
                <w:szCs w:val="21"/>
              </w:rPr>
            </w:pPr>
            <w:r>
              <w:rPr>
                <w:rFonts w:cs="Times New Roman"/>
                <w:color w:val="auto"/>
                <w:kern w:val="0"/>
                <w:szCs w:val="21"/>
              </w:rPr>
              <w:t>渗漏时间（d）</w:t>
            </w:r>
          </w:p>
        </w:tc>
        <w:tc>
          <w:tcPr>
            <w:tcW w:w="892" w:type="dxa"/>
            <w:tcBorders>
              <w:left w:val="single" w:color="auto" w:sz="4" w:space="0"/>
            </w:tcBorders>
            <w:vAlign w:val="center"/>
          </w:tcPr>
          <w:p w14:paraId="42B306BE">
            <w:pPr>
              <w:pStyle w:val="67"/>
              <w:rPr>
                <w:rFonts w:cs="Times New Roman"/>
                <w:color w:val="auto"/>
                <w:kern w:val="0"/>
                <w:szCs w:val="21"/>
              </w:rPr>
            </w:pPr>
            <w:r>
              <w:rPr>
                <w:rFonts w:hint="eastAsia" w:cs="Times New Roman"/>
                <w:color w:val="auto"/>
                <w:kern w:val="0"/>
                <w:szCs w:val="21"/>
              </w:rPr>
              <w:t>泄漏量</w:t>
            </w:r>
          </w:p>
          <w:p w14:paraId="69167F49">
            <w:pPr>
              <w:pStyle w:val="67"/>
              <w:rPr>
                <w:rFonts w:cs="Times New Roman"/>
                <w:color w:val="auto"/>
                <w:kern w:val="0"/>
                <w:szCs w:val="21"/>
              </w:rPr>
            </w:pPr>
            <w:r>
              <w:rPr>
                <w:rFonts w:hint="eastAsia" w:cs="Times New Roman"/>
                <w:color w:val="auto"/>
                <w:kern w:val="0"/>
                <w:szCs w:val="21"/>
              </w:rPr>
              <w:t>g/d</w:t>
            </w:r>
          </w:p>
        </w:tc>
      </w:tr>
      <w:tr w14:paraId="3192E5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577" w:hRule="atLeast"/>
          <w:jc w:val="center"/>
        </w:trPr>
        <w:tc>
          <w:tcPr>
            <w:tcW w:w="674" w:type="dxa"/>
            <w:vMerge w:val="restart"/>
            <w:vAlign w:val="center"/>
          </w:tcPr>
          <w:p w14:paraId="5FBF33B0">
            <w:pPr>
              <w:pStyle w:val="62"/>
              <w:rPr>
                <w:bCs/>
              </w:rPr>
            </w:pPr>
            <w:r>
              <w:rPr>
                <w:bCs/>
              </w:rPr>
              <w:t>调节池渗漏</w:t>
            </w:r>
          </w:p>
        </w:tc>
        <w:tc>
          <w:tcPr>
            <w:tcW w:w="734" w:type="dxa"/>
            <w:vAlign w:val="center"/>
          </w:tcPr>
          <w:p w14:paraId="452ED3A9">
            <w:pPr>
              <w:pStyle w:val="62"/>
              <w:rPr>
                <w:bCs/>
              </w:rPr>
            </w:pPr>
            <w:r>
              <w:rPr>
                <w:bCs/>
              </w:rPr>
              <w:t>耗氧量</w:t>
            </w:r>
          </w:p>
        </w:tc>
        <w:tc>
          <w:tcPr>
            <w:tcW w:w="992" w:type="dxa"/>
            <w:vMerge w:val="restart"/>
            <w:tcBorders>
              <w:right w:val="single" w:color="auto" w:sz="4" w:space="0"/>
            </w:tcBorders>
            <w:vAlign w:val="center"/>
          </w:tcPr>
          <w:p w14:paraId="307AC360">
            <w:pPr>
              <w:pStyle w:val="62"/>
              <w:rPr>
                <w:bCs/>
              </w:rPr>
            </w:pPr>
            <w:r>
              <w:rPr>
                <w:rFonts w:hint="eastAsia"/>
                <w:bCs/>
              </w:rPr>
              <w:t>0.85</w:t>
            </w:r>
          </w:p>
        </w:tc>
        <w:tc>
          <w:tcPr>
            <w:tcW w:w="709" w:type="dxa"/>
            <w:vMerge w:val="restart"/>
            <w:tcBorders>
              <w:left w:val="single" w:color="auto" w:sz="4" w:space="0"/>
              <w:right w:val="single" w:color="auto" w:sz="4" w:space="0"/>
            </w:tcBorders>
            <w:vAlign w:val="center"/>
          </w:tcPr>
          <w:p w14:paraId="70A61090">
            <w:pPr>
              <w:pStyle w:val="62"/>
              <w:rPr>
                <w:bCs/>
              </w:rPr>
            </w:pPr>
            <w:r>
              <w:rPr>
                <w:rFonts w:hint="eastAsia"/>
                <w:bCs/>
              </w:rPr>
              <w:t>1.2</w:t>
            </w:r>
          </w:p>
        </w:tc>
        <w:tc>
          <w:tcPr>
            <w:tcW w:w="992" w:type="dxa"/>
            <w:vMerge w:val="restart"/>
            <w:tcBorders>
              <w:left w:val="single" w:color="auto" w:sz="4" w:space="0"/>
              <w:right w:val="single" w:color="auto" w:sz="4" w:space="0"/>
            </w:tcBorders>
            <w:vAlign w:val="center"/>
          </w:tcPr>
          <w:p w14:paraId="2DD66A96">
            <w:pPr>
              <w:pStyle w:val="62"/>
              <w:rPr>
                <w:bCs/>
              </w:rPr>
            </w:pPr>
            <w:r>
              <w:rPr>
                <w:rFonts w:hint="eastAsia"/>
                <w:bCs/>
              </w:rPr>
              <w:t>29.71</w:t>
            </w:r>
          </w:p>
        </w:tc>
        <w:tc>
          <w:tcPr>
            <w:tcW w:w="992" w:type="dxa"/>
            <w:vMerge w:val="restart"/>
            <w:tcBorders>
              <w:left w:val="single" w:color="auto" w:sz="4" w:space="0"/>
            </w:tcBorders>
            <w:vAlign w:val="center"/>
          </w:tcPr>
          <w:p w14:paraId="15C3C327">
            <w:pPr>
              <w:pStyle w:val="62"/>
              <w:rPr>
                <w:bCs/>
              </w:rPr>
            </w:pPr>
            <w:r>
              <w:rPr>
                <w:rFonts w:hint="eastAsia"/>
                <w:bCs/>
              </w:rPr>
              <w:t>0.012</w:t>
            </w:r>
          </w:p>
        </w:tc>
        <w:tc>
          <w:tcPr>
            <w:tcW w:w="851" w:type="dxa"/>
            <w:vMerge w:val="restart"/>
            <w:tcBorders>
              <w:right w:val="single" w:color="auto" w:sz="4" w:space="0"/>
            </w:tcBorders>
            <w:vAlign w:val="center"/>
          </w:tcPr>
          <w:p w14:paraId="12226DA9">
            <w:pPr>
              <w:pStyle w:val="62"/>
              <w:rPr>
                <w:bCs/>
              </w:rPr>
            </w:pPr>
            <w:r>
              <w:rPr>
                <w:rFonts w:hint="eastAsia"/>
                <w:bCs/>
              </w:rPr>
              <w:t>0.011</w:t>
            </w:r>
          </w:p>
        </w:tc>
        <w:tc>
          <w:tcPr>
            <w:tcW w:w="1058" w:type="dxa"/>
            <w:tcBorders>
              <w:left w:val="single" w:color="auto" w:sz="4" w:space="0"/>
            </w:tcBorders>
            <w:vAlign w:val="center"/>
          </w:tcPr>
          <w:p w14:paraId="4DD5B29A">
            <w:pPr>
              <w:widowControl/>
              <w:spacing w:line="240" w:lineRule="auto"/>
              <w:ind w:firstLine="0" w:firstLineChars="0"/>
              <w:jc w:val="center"/>
              <w:rPr>
                <w:bCs/>
                <w:sz w:val="21"/>
                <w:szCs w:val="21"/>
                <w:u w:val="single"/>
              </w:rPr>
            </w:pPr>
            <w:r>
              <w:rPr>
                <w:rFonts w:hint="eastAsia"/>
                <w:bCs/>
                <w:sz w:val="21"/>
                <w:szCs w:val="21"/>
                <w:u w:val="single"/>
                <w:lang w:bidi="ar"/>
              </w:rPr>
              <w:t>854</w:t>
            </w:r>
          </w:p>
        </w:tc>
        <w:tc>
          <w:tcPr>
            <w:tcW w:w="893" w:type="dxa"/>
            <w:vMerge w:val="restart"/>
            <w:tcBorders>
              <w:left w:val="single" w:color="auto" w:sz="4" w:space="0"/>
            </w:tcBorders>
            <w:vAlign w:val="center"/>
          </w:tcPr>
          <w:p w14:paraId="1A319F5B">
            <w:pPr>
              <w:pStyle w:val="62"/>
              <w:rPr>
                <w:bCs/>
              </w:rPr>
            </w:pPr>
            <w:r>
              <w:rPr>
                <w:rFonts w:hint="eastAsia"/>
                <w:bCs/>
              </w:rPr>
              <w:t>90</w:t>
            </w:r>
          </w:p>
        </w:tc>
        <w:tc>
          <w:tcPr>
            <w:tcW w:w="892" w:type="dxa"/>
            <w:tcBorders>
              <w:left w:val="single" w:color="auto" w:sz="4" w:space="0"/>
            </w:tcBorders>
            <w:vAlign w:val="center"/>
          </w:tcPr>
          <w:p w14:paraId="7CBB1EA0">
            <w:pPr>
              <w:pStyle w:val="62"/>
              <w:rPr>
                <w:bCs/>
                <w:u w:val="single"/>
              </w:rPr>
            </w:pPr>
            <w:r>
              <w:rPr>
                <w:rFonts w:hint="eastAsia"/>
                <w:bCs/>
                <w:u w:val="single"/>
              </w:rPr>
              <w:t>9.394</w:t>
            </w:r>
          </w:p>
        </w:tc>
      </w:tr>
      <w:tr w14:paraId="155206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74" w:type="dxa"/>
            <w:vMerge w:val="continue"/>
            <w:vAlign w:val="center"/>
          </w:tcPr>
          <w:p w14:paraId="6B80DF27">
            <w:pPr>
              <w:pStyle w:val="62"/>
              <w:rPr>
                <w:bCs/>
              </w:rPr>
            </w:pPr>
          </w:p>
        </w:tc>
        <w:tc>
          <w:tcPr>
            <w:tcW w:w="734" w:type="dxa"/>
            <w:vAlign w:val="center"/>
          </w:tcPr>
          <w:p w14:paraId="49FDD0CE">
            <w:pPr>
              <w:pStyle w:val="62"/>
              <w:rPr>
                <w:bCs/>
                <w:u w:val="single"/>
              </w:rPr>
            </w:pPr>
            <w:r>
              <w:rPr>
                <w:rFonts w:hint="eastAsia"/>
                <w:bCs/>
                <w:u w:val="single"/>
              </w:rPr>
              <w:t>石油类</w:t>
            </w:r>
          </w:p>
        </w:tc>
        <w:tc>
          <w:tcPr>
            <w:tcW w:w="992" w:type="dxa"/>
            <w:vMerge w:val="continue"/>
            <w:tcBorders>
              <w:right w:val="single" w:color="auto" w:sz="4" w:space="0"/>
            </w:tcBorders>
            <w:vAlign w:val="center"/>
          </w:tcPr>
          <w:p w14:paraId="29404F92">
            <w:pPr>
              <w:pStyle w:val="62"/>
              <w:rPr>
                <w:bCs/>
              </w:rPr>
            </w:pPr>
          </w:p>
        </w:tc>
        <w:tc>
          <w:tcPr>
            <w:tcW w:w="709" w:type="dxa"/>
            <w:vMerge w:val="continue"/>
            <w:tcBorders>
              <w:left w:val="single" w:color="auto" w:sz="4" w:space="0"/>
              <w:right w:val="single" w:color="auto" w:sz="4" w:space="0"/>
            </w:tcBorders>
            <w:vAlign w:val="center"/>
          </w:tcPr>
          <w:p w14:paraId="23395AA0">
            <w:pPr>
              <w:pStyle w:val="62"/>
              <w:rPr>
                <w:bCs/>
              </w:rPr>
            </w:pPr>
          </w:p>
        </w:tc>
        <w:tc>
          <w:tcPr>
            <w:tcW w:w="992" w:type="dxa"/>
            <w:vMerge w:val="continue"/>
            <w:tcBorders>
              <w:left w:val="single" w:color="auto" w:sz="4" w:space="0"/>
              <w:right w:val="single" w:color="auto" w:sz="4" w:space="0"/>
            </w:tcBorders>
            <w:vAlign w:val="center"/>
          </w:tcPr>
          <w:p w14:paraId="6A5663A5">
            <w:pPr>
              <w:pStyle w:val="62"/>
              <w:rPr>
                <w:bCs/>
              </w:rPr>
            </w:pPr>
          </w:p>
        </w:tc>
        <w:tc>
          <w:tcPr>
            <w:tcW w:w="992" w:type="dxa"/>
            <w:vMerge w:val="continue"/>
            <w:tcBorders>
              <w:left w:val="single" w:color="auto" w:sz="4" w:space="0"/>
            </w:tcBorders>
            <w:vAlign w:val="center"/>
          </w:tcPr>
          <w:p w14:paraId="0F39A1A3">
            <w:pPr>
              <w:pStyle w:val="62"/>
              <w:rPr>
                <w:bCs/>
              </w:rPr>
            </w:pPr>
          </w:p>
        </w:tc>
        <w:tc>
          <w:tcPr>
            <w:tcW w:w="851" w:type="dxa"/>
            <w:vMerge w:val="continue"/>
            <w:tcBorders>
              <w:right w:val="single" w:color="auto" w:sz="4" w:space="0"/>
            </w:tcBorders>
            <w:vAlign w:val="center"/>
          </w:tcPr>
          <w:p w14:paraId="30FAA4E3">
            <w:pPr>
              <w:pStyle w:val="62"/>
              <w:rPr>
                <w:bCs/>
              </w:rPr>
            </w:pPr>
          </w:p>
        </w:tc>
        <w:tc>
          <w:tcPr>
            <w:tcW w:w="1058" w:type="dxa"/>
            <w:tcBorders>
              <w:left w:val="single" w:color="auto" w:sz="4" w:space="0"/>
            </w:tcBorders>
            <w:vAlign w:val="center"/>
          </w:tcPr>
          <w:p w14:paraId="1A94548F">
            <w:pPr>
              <w:widowControl/>
              <w:spacing w:line="240" w:lineRule="auto"/>
              <w:ind w:firstLine="0" w:firstLineChars="0"/>
              <w:jc w:val="center"/>
              <w:rPr>
                <w:bCs/>
                <w:sz w:val="21"/>
                <w:szCs w:val="21"/>
                <w:u w:val="single"/>
              </w:rPr>
            </w:pPr>
            <w:r>
              <w:rPr>
                <w:rFonts w:hint="eastAsia"/>
                <w:bCs/>
                <w:sz w:val="21"/>
                <w:szCs w:val="21"/>
                <w:u w:val="single"/>
              </w:rPr>
              <w:t>49.5</w:t>
            </w:r>
          </w:p>
        </w:tc>
        <w:tc>
          <w:tcPr>
            <w:tcW w:w="893" w:type="dxa"/>
            <w:vMerge w:val="continue"/>
            <w:tcBorders>
              <w:left w:val="single" w:color="auto" w:sz="4" w:space="0"/>
            </w:tcBorders>
            <w:vAlign w:val="center"/>
          </w:tcPr>
          <w:p w14:paraId="477CBF5A">
            <w:pPr>
              <w:pStyle w:val="62"/>
              <w:rPr>
                <w:bCs/>
              </w:rPr>
            </w:pPr>
          </w:p>
        </w:tc>
        <w:tc>
          <w:tcPr>
            <w:tcW w:w="892" w:type="dxa"/>
            <w:tcBorders>
              <w:left w:val="single" w:color="auto" w:sz="4" w:space="0"/>
            </w:tcBorders>
            <w:vAlign w:val="center"/>
          </w:tcPr>
          <w:p w14:paraId="17C5AB87">
            <w:pPr>
              <w:pStyle w:val="62"/>
              <w:rPr>
                <w:bCs/>
                <w:u w:val="single"/>
              </w:rPr>
            </w:pPr>
            <w:r>
              <w:rPr>
                <w:rFonts w:hint="eastAsia"/>
                <w:bCs/>
                <w:u w:val="single"/>
              </w:rPr>
              <w:t>0.5445</w:t>
            </w:r>
          </w:p>
        </w:tc>
      </w:tr>
    </w:tbl>
    <w:p w14:paraId="5E514190">
      <w:pPr>
        <w:ind w:firstLine="480"/>
      </w:pPr>
    </w:p>
    <w:p w14:paraId="1D3EDECB">
      <w:pPr>
        <w:pStyle w:val="68"/>
        <w:spacing w:before="240"/>
      </w:pPr>
      <w:r>
        <w:drawing>
          <wp:inline distT="0" distB="0" distL="0" distR="0">
            <wp:extent cx="4251325" cy="3779520"/>
            <wp:effectExtent l="0" t="0" r="15875" b="11430"/>
            <wp:docPr id="92233447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34471" name="图片 1" descr="图片包含 图形用户界面&#10;&#10;描述已自动生成"/>
                    <pic:cNvPicPr>
                      <a:picLocks noChangeAspect="1"/>
                    </pic:cNvPicPr>
                  </pic:nvPicPr>
                  <pic:blipFill>
                    <a:blip r:embed="rId116"/>
                    <a:stretch>
                      <a:fillRect/>
                    </a:stretch>
                  </pic:blipFill>
                  <pic:spPr>
                    <a:xfrm>
                      <a:off x="0" y="0"/>
                      <a:ext cx="4251325" cy="3780000"/>
                    </a:xfrm>
                    <a:prstGeom prst="rect">
                      <a:avLst/>
                    </a:prstGeom>
                  </pic:spPr>
                </pic:pic>
              </a:graphicData>
            </a:graphic>
          </wp:inline>
        </w:drawing>
      </w:r>
    </w:p>
    <w:p w14:paraId="1D3EDECC">
      <w:pPr>
        <w:pStyle w:val="68"/>
        <w:numPr>
          <w:ilvl w:val="0"/>
          <w:numId w:val="29"/>
        </w:numPr>
      </w:pPr>
      <w:r>
        <w:t xml:space="preserve">  地下水污染预测泄漏点设定位置图</w:t>
      </w:r>
    </w:p>
    <w:p w14:paraId="1D3EDECD">
      <w:pPr>
        <w:pStyle w:val="6"/>
        <w:numPr>
          <w:ilvl w:val="3"/>
          <w:numId w:val="30"/>
        </w:numPr>
        <w:ind w:left="567"/>
      </w:pPr>
      <w:r>
        <w:t>地下水环境影响预测</w:t>
      </w:r>
    </w:p>
    <w:p w14:paraId="1D3EDECE">
      <w:pPr>
        <w:ind w:firstLine="480"/>
      </w:pPr>
      <w:r>
        <w:t>本次模拟预测在选定优先控制污染物的基础上，分别对地下水污染物在不同时段的运移距离、超标范围和影响范围进行模拟预测，预测因子</w:t>
      </w:r>
      <w:r>
        <w:rPr>
          <w:rFonts w:hint="eastAsia"/>
        </w:rPr>
        <w:t>耗氧量</w:t>
      </w:r>
      <w:r>
        <w:t>标准限值参照《地下水质量标准》（GB/T14848-2017）中Ⅲ类水质要求，各污染物的检出下限值参照现状监测仪器检测下限。各指标具体情况见下表。</w:t>
      </w:r>
    </w:p>
    <w:p w14:paraId="1D3EDECF">
      <w:pPr>
        <w:pStyle w:val="64"/>
        <w:numPr>
          <w:ilvl w:val="0"/>
          <w:numId w:val="31"/>
        </w:numPr>
        <w:spacing w:before="120" w:after="120"/>
        <w:ind w:left="924" w:hanging="442" w:firstLineChars="0"/>
        <w:rPr>
          <w:bCs/>
        </w:rPr>
      </w:pPr>
      <w:r>
        <w:rPr>
          <w:bCs/>
        </w:rPr>
        <w:t xml:space="preserve">        污染物检出限及其水质标准限值             mg/L</w:t>
      </w:r>
    </w:p>
    <w:tbl>
      <w:tblPr>
        <w:tblStyle w:val="41"/>
        <w:tblW w:w="83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2562"/>
        <w:gridCol w:w="3389"/>
      </w:tblGrid>
      <w:tr w14:paraId="1D3ED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vAlign w:val="center"/>
          </w:tcPr>
          <w:p w14:paraId="1D3EDED0">
            <w:pPr>
              <w:pStyle w:val="67"/>
              <w:rPr>
                <w:rFonts w:cs="Times New Roman"/>
                <w:color w:val="auto"/>
              </w:rPr>
            </w:pPr>
            <w:r>
              <w:rPr>
                <w:rFonts w:cs="Times New Roman"/>
                <w:color w:val="auto"/>
              </w:rPr>
              <w:t>模拟预测因子</w:t>
            </w:r>
          </w:p>
        </w:tc>
        <w:tc>
          <w:tcPr>
            <w:tcW w:w="2562" w:type="dxa"/>
            <w:vAlign w:val="center"/>
          </w:tcPr>
          <w:p w14:paraId="1D3EDED1">
            <w:pPr>
              <w:pStyle w:val="67"/>
              <w:rPr>
                <w:rFonts w:cs="Times New Roman"/>
                <w:color w:val="auto"/>
              </w:rPr>
            </w:pPr>
            <w:r>
              <w:rPr>
                <w:rFonts w:cs="Times New Roman"/>
                <w:color w:val="auto"/>
              </w:rPr>
              <w:t>检出限值</w:t>
            </w:r>
          </w:p>
        </w:tc>
        <w:tc>
          <w:tcPr>
            <w:tcW w:w="3389" w:type="dxa"/>
            <w:vAlign w:val="center"/>
          </w:tcPr>
          <w:p w14:paraId="1D3EDED2">
            <w:pPr>
              <w:pStyle w:val="67"/>
              <w:rPr>
                <w:rFonts w:cs="Times New Roman"/>
                <w:color w:val="auto"/>
              </w:rPr>
            </w:pPr>
            <w:r>
              <w:rPr>
                <w:rFonts w:cs="Times New Roman"/>
                <w:color w:val="auto"/>
              </w:rPr>
              <w:t>标准限值</w:t>
            </w:r>
          </w:p>
          <w:p w14:paraId="1D3EDED3">
            <w:pPr>
              <w:pStyle w:val="67"/>
              <w:rPr>
                <w:rFonts w:cs="Times New Roman"/>
                <w:color w:val="auto"/>
              </w:rPr>
            </w:pPr>
            <w:r>
              <w:rPr>
                <w:rFonts w:cs="Times New Roman"/>
                <w:color w:val="auto"/>
              </w:rPr>
              <w:t>(GB/T 14848-2017 Ⅲ类)</w:t>
            </w:r>
          </w:p>
        </w:tc>
      </w:tr>
      <w:tr w14:paraId="1D3ED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vAlign w:val="center"/>
          </w:tcPr>
          <w:p w14:paraId="1D3EDED5">
            <w:pPr>
              <w:pStyle w:val="62"/>
            </w:pPr>
            <w:r>
              <w:rPr>
                <w:lang w:bidi="ar"/>
              </w:rPr>
              <w:t>耗氧量</w:t>
            </w:r>
          </w:p>
        </w:tc>
        <w:tc>
          <w:tcPr>
            <w:tcW w:w="2562" w:type="dxa"/>
            <w:vAlign w:val="center"/>
          </w:tcPr>
          <w:p w14:paraId="1D3EDED6">
            <w:pPr>
              <w:pStyle w:val="62"/>
            </w:pPr>
            <w:r>
              <w:t>0.05</w:t>
            </w:r>
          </w:p>
        </w:tc>
        <w:tc>
          <w:tcPr>
            <w:tcW w:w="3389" w:type="dxa"/>
            <w:vAlign w:val="center"/>
          </w:tcPr>
          <w:p w14:paraId="1D3EDED7">
            <w:pPr>
              <w:pStyle w:val="62"/>
            </w:pPr>
            <w:r>
              <w:t>3</w:t>
            </w:r>
          </w:p>
        </w:tc>
      </w:tr>
      <w:tr w14:paraId="1D3EDE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vAlign w:val="center"/>
          </w:tcPr>
          <w:p w14:paraId="1D3EDED9">
            <w:pPr>
              <w:pStyle w:val="62"/>
              <w:rPr>
                <w:u w:val="single"/>
              </w:rPr>
            </w:pPr>
            <w:r>
              <w:rPr>
                <w:rFonts w:hint="eastAsia"/>
                <w:u w:val="single"/>
                <w:lang w:bidi="ar"/>
              </w:rPr>
              <w:t>石油类</w:t>
            </w:r>
          </w:p>
        </w:tc>
        <w:tc>
          <w:tcPr>
            <w:tcW w:w="2562" w:type="dxa"/>
            <w:vAlign w:val="center"/>
          </w:tcPr>
          <w:p w14:paraId="1D3EDEDA">
            <w:pPr>
              <w:pStyle w:val="62"/>
              <w:rPr>
                <w:u w:val="single"/>
              </w:rPr>
            </w:pPr>
            <w:r>
              <w:rPr>
                <w:u w:val="single"/>
              </w:rPr>
              <w:t>0.0</w:t>
            </w:r>
            <w:r>
              <w:rPr>
                <w:rFonts w:hint="eastAsia"/>
                <w:u w:val="single"/>
              </w:rPr>
              <w:t>1</w:t>
            </w:r>
          </w:p>
        </w:tc>
        <w:tc>
          <w:tcPr>
            <w:tcW w:w="3389" w:type="dxa"/>
            <w:vAlign w:val="center"/>
          </w:tcPr>
          <w:p w14:paraId="1D3EDEDB">
            <w:pPr>
              <w:pStyle w:val="62"/>
              <w:rPr>
                <w:u w:val="single"/>
              </w:rPr>
            </w:pPr>
            <w:r>
              <w:rPr>
                <w:rFonts w:hint="eastAsia"/>
                <w:u w:val="single"/>
              </w:rPr>
              <w:t>/</w:t>
            </w:r>
          </w:p>
        </w:tc>
      </w:tr>
    </w:tbl>
    <w:p w14:paraId="1D3EDEDD">
      <w:pPr>
        <w:pStyle w:val="7"/>
      </w:pPr>
      <w:r>
        <w:t>非正常工况预测结果</w:t>
      </w:r>
    </w:p>
    <w:p w14:paraId="1D3EDEDE">
      <w:pPr>
        <w:ind w:firstLine="480"/>
      </w:pPr>
      <w:r>
        <w:t>（1）耗氧量预测结果</w:t>
      </w:r>
    </w:p>
    <w:p w14:paraId="1D3EDEDF">
      <w:pPr>
        <w:ind w:firstLine="480"/>
        <w:rPr>
          <w:spacing w:val="10"/>
          <w:highlight w:val="yellow"/>
          <w:u w:val="single"/>
        </w:rPr>
      </w:pPr>
      <w:r>
        <w:rPr>
          <w:u w:val="single"/>
        </w:rPr>
        <w:t>厂区</w:t>
      </w:r>
      <w:r>
        <w:rPr>
          <w:rFonts w:hint="eastAsia"/>
          <w:u w:val="single"/>
        </w:rPr>
        <w:t>调节池</w:t>
      </w:r>
      <w:r>
        <w:rPr>
          <w:u w:val="single"/>
        </w:rPr>
        <w:t>渗漏</w:t>
      </w:r>
      <w:r>
        <w:rPr>
          <w:spacing w:val="10"/>
          <w:u w:val="single"/>
        </w:rPr>
        <w:t>，地下水耗氧量污染预测结果见</w:t>
      </w:r>
      <w:r>
        <w:rPr>
          <w:u w:val="single"/>
        </w:rPr>
        <w:t>图5.3-2</w:t>
      </w:r>
      <w:r>
        <w:rPr>
          <w:rFonts w:hint="eastAsia"/>
          <w:u w:val="single"/>
        </w:rPr>
        <w:t>4</w:t>
      </w:r>
      <w:r>
        <w:rPr>
          <w:u w:val="single"/>
        </w:rPr>
        <w:t>至图5.3-2</w:t>
      </w:r>
      <w:r>
        <w:rPr>
          <w:rFonts w:hint="eastAsia"/>
          <w:u w:val="single"/>
        </w:rPr>
        <w:t>7</w:t>
      </w:r>
      <w:r>
        <w:rPr>
          <w:spacing w:val="10"/>
          <w:u w:val="single"/>
        </w:rPr>
        <w:t>。预测结果表明，泄漏发生100天，含水层污染物影响范围</w:t>
      </w:r>
      <w:r>
        <w:rPr>
          <w:rFonts w:hint="eastAsia"/>
          <w:u w:val="single"/>
        </w:rPr>
        <w:t>125</w:t>
      </w:r>
      <w:r>
        <w:rPr>
          <w:spacing w:val="10"/>
          <w:u w:val="single"/>
        </w:rPr>
        <w:t>m</w:t>
      </w:r>
      <w:r>
        <w:rPr>
          <w:spacing w:val="10"/>
          <w:u w:val="single"/>
          <w:vertAlign w:val="superscript"/>
        </w:rPr>
        <w:t>2</w:t>
      </w:r>
      <w:r>
        <w:rPr>
          <w:spacing w:val="10"/>
          <w:u w:val="single"/>
        </w:rPr>
        <w:t>，超标范围</w:t>
      </w:r>
      <w:r>
        <w:rPr>
          <w:rFonts w:hint="eastAsia"/>
          <w:u w:val="single"/>
        </w:rPr>
        <w:t>25</w:t>
      </w:r>
      <w:r>
        <w:rPr>
          <w:spacing w:val="10"/>
          <w:u w:val="single"/>
        </w:rPr>
        <w:t>m</w:t>
      </w:r>
      <w:r>
        <w:rPr>
          <w:spacing w:val="10"/>
          <w:u w:val="single"/>
          <w:vertAlign w:val="superscript"/>
        </w:rPr>
        <w:t>2</w:t>
      </w:r>
      <w:r>
        <w:rPr>
          <w:spacing w:val="10"/>
          <w:u w:val="single"/>
        </w:rPr>
        <w:t>，最大运移距离</w:t>
      </w:r>
      <w:r>
        <w:rPr>
          <w:u w:val="single"/>
        </w:rPr>
        <w:t>1</w:t>
      </w:r>
      <w:r>
        <w:rPr>
          <w:rFonts w:hint="eastAsia"/>
          <w:u w:val="single"/>
        </w:rPr>
        <w:t>1</w:t>
      </w:r>
      <w:r>
        <w:rPr>
          <w:spacing w:val="10"/>
          <w:u w:val="single"/>
        </w:rPr>
        <w:t>m，超标距离</w:t>
      </w:r>
      <w:r>
        <w:rPr>
          <w:rFonts w:hint="eastAsia"/>
          <w:spacing w:val="10"/>
          <w:u w:val="single"/>
        </w:rPr>
        <w:t>5</w:t>
      </w:r>
      <w:r>
        <w:rPr>
          <w:spacing w:val="10"/>
          <w:u w:val="single"/>
        </w:rPr>
        <w:t>m；泄漏发生1000天，影响范围</w:t>
      </w:r>
      <w:r>
        <w:rPr>
          <w:rFonts w:hint="eastAsia"/>
          <w:u w:val="single"/>
        </w:rPr>
        <w:t>1350</w:t>
      </w:r>
      <w:r>
        <w:rPr>
          <w:spacing w:val="10"/>
          <w:u w:val="single"/>
        </w:rPr>
        <w:t>m</w:t>
      </w:r>
      <w:r>
        <w:rPr>
          <w:spacing w:val="10"/>
          <w:u w:val="single"/>
          <w:vertAlign w:val="superscript"/>
        </w:rPr>
        <w:t>2</w:t>
      </w:r>
      <w:r>
        <w:rPr>
          <w:spacing w:val="10"/>
          <w:u w:val="single"/>
        </w:rPr>
        <w:t>，超标范围</w:t>
      </w:r>
      <w:r>
        <w:rPr>
          <w:rFonts w:hint="eastAsia"/>
          <w:spacing w:val="10"/>
          <w:u w:val="single"/>
        </w:rPr>
        <w:t>250</w:t>
      </w:r>
      <w:r>
        <w:rPr>
          <w:spacing w:val="10"/>
          <w:u w:val="single"/>
        </w:rPr>
        <w:t>m</w:t>
      </w:r>
      <w:r>
        <w:rPr>
          <w:spacing w:val="10"/>
          <w:u w:val="single"/>
          <w:vertAlign w:val="superscript"/>
        </w:rPr>
        <w:t>2</w:t>
      </w:r>
      <w:r>
        <w:rPr>
          <w:spacing w:val="10"/>
          <w:u w:val="single"/>
        </w:rPr>
        <w:t>，最大运移距离</w:t>
      </w:r>
      <w:r>
        <w:rPr>
          <w:rFonts w:hint="eastAsia"/>
          <w:u w:val="single"/>
        </w:rPr>
        <w:t>39</w:t>
      </w:r>
      <w:r>
        <w:rPr>
          <w:spacing w:val="10"/>
          <w:u w:val="single"/>
        </w:rPr>
        <w:t>m，超标距离</w:t>
      </w:r>
      <w:r>
        <w:rPr>
          <w:rFonts w:hint="eastAsia"/>
          <w:spacing w:val="10"/>
          <w:u w:val="single"/>
        </w:rPr>
        <w:t>17</w:t>
      </w:r>
      <w:r>
        <w:rPr>
          <w:spacing w:val="10"/>
          <w:u w:val="single"/>
        </w:rPr>
        <w:t>m；泄漏发生10年，影响范围</w:t>
      </w:r>
      <w:r>
        <w:rPr>
          <w:rFonts w:hint="eastAsia"/>
          <w:u w:val="single"/>
        </w:rPr>
        <w:t>4700</w:t>
      </w:r>
      <w:r>
        <w:rPr>
          <w:spacing w:val="10"/>
          <w:u w:val="single"/>
        </w:rPr>
        <w:t>m</w:t>
      </w:r>
      <w:r>
        <w:rPr>
          <w:spacing w:val="10"/>
          <w:u w:val="single"/>
          <w:vertAlign w:val="superscript"/>
        </w:rPr>
        <w:t>2</w:t>
      </w:r>
      <w:r>
        <w:rPr>
          <w:spacing w:val="10"/>
          <w:u w:val="single"/>
        </w:rPr>
        <w:t>，超标范围</w:t>
      </w:r>
      <w:r>
        <w:rPr>
          <w:rFonts w:hint="eastAsia"/>
          <w:u w:val="single"/>
        </w:rPr>
        <w:t>850</w:t>
      </w:r>
      <w:r>
        <w:rPr>
          <w:spacing w:val="10"/>
          <w:u w:val="single"/>
        </w:rPr>
        <w:t>m</w:t>
      </w:r>
      <w:r>
        <w:rPr>
          <w:spacing w:val="10"/>
          <w:u w:val="single"/>
          <w:vertAlign w:val="superscript"/>
        </w:rPr>
        <w:t>2</w:t>
      </w:r>
      <w:r>
        <w:rPr>
          <w:spacing w:val="10"/>
          <w:u w:val="single"/>
        </w:rPr>
        <w:t>，最大运移距离</w:t>
      </w:r>
      <w:r>
        <w:rPr>
          <w:rFonts w:hint="eastAsia"/>
          <w:spacing w:val="10"/>
          <w:u w:val="single"/>
        </w:rPr>
        <w:t>82</w:t>
      </w:r>
      <w:r>
        <w:rPr>
          <w:spacing w:val="10"/>
          <w:u w:val="single"/>
        </w:rPr>
        <w:t>m，超标距离</w:t>
      </w:r>
      <w:r>
        <w:rPr>
          <w:rFonts w:hint="eastAsia"/>
          <w:spacing w:val="10"/>
          <w:u w:val="single"/>
        </w:rPr>
        <w:t>37</w:t>
      </w:r>
      <w:r>
        <w:rPr>
          <w:spacing w:val="10"/>
          <w:u w:val="single"/>
        </w:rPr>
        <w:t>m；泄漏发生20年，影响范围</w:t>
      </w:r>
      <w:r>
        <w:rPr>
          <w:rFonts w:hint="eastAsia"/>
          <w:u w:val="single"/>
        </w:rPr>
        <w:t>9575</w:t>
      </w:r>
      <w:r>
        <w:rPr>
          <w:spacing w:val="10"/>
          <w:u w:val="single"/>
        </w:rPr>
        <w:t>m</w:t>
      </w:r>
      <w:r>
        <w:rPr>
          <w:spacing w:val="10"/>
          <w:u w:val="single"/>
          <w:vertAlign w:val="superscript"/>
        </w:rPr>
        <w:t>2</w:t>
      </w:r>
      <w:r>
        <w:rPr>
          <w:spacing w:val="10"/>
          <w:u w:val="single"/>
        </w:rPr>
        <w:t>，超标范围</w:t>
      </w:r>
      <w:r>
        <w:rPr>
          <w:rFonts w:hint="eastAsia"/>
          <w:u w:val="single"/>
        </w:rPr>
        <w:t>1775</w:t>
      </w:r>
      <w:r>
        <w:rPr>
          <w:spacing w:val="10"/>
          <w:u w:val="single"/>
        </w:rPr>
        <w:t>m</w:t>
      </w:r>
      <w:r>
        <w:rPr>
          <w:spacing w:val="10"/>
          <w:u w:val="single"/>
          <w:vertAlign w:val="superscript"/>
        </w:rPr>
        <w:t>2</w:t>
      </w:r>
      <w:r>
        <w:rPr>
          <w:spacing w:val="10"/>
          <w:u w:val="single"/>
        </w:rPr>
        <w:t>，最大运移距离</w:t>
      </w:r>
      <w:r>
        <w:rPr>
          <w:rFonts w:hint="eastAsia"/>
          <w:u w:val="single"/>
        </w:rPr>
        <w:t>125</w:t>
      </w:r>
      <w:r>
        <w:rPr>
          <w:spacing w:val="10"/>
          <w:u w:val="single"/>
        </w:rPr>
        <w:t>m，超标距离</w:t>
      </w:r>
      <w:r>
        <w:rPr>
          <w:rFonts w:hint="eastAsia"/>
          <w:spacing w:val="10"/>
          <w:u w:val="single"/>
        </w:rPr>
        <w:t>58</w:t>
      </w:r>
      <w:r>
        <w:rPr>
          <w:spacing w:val="10"/>
          <w:u w:val="single"/>
        </w:rPr>
        <w:t>m，详见</w:t>
      </w:r>
      <w:r>
        <w:rPr>
          <w:u w:val="single"/>
        </w:rPr>
        <w:t>下表</w:t>
      </w:r>
      <w:r>
        <w:rPr>
          <w:spacing w:val="10"/>
          <w:u w:val="single"/>
        </w:rPr>
        <w:t>。</w:t>
      </w:r>
    </w:p>
    <w:p w14:paraId="1D3EDEE0">
      <w:pPr>
        <w:pStyle w:val="64"/>
        <w:numPr>
          <w:ilvl w:val="0"/>
          <w:numId w:val="31"/>
        </w:numPr>
        <w:spacing w:before="120" w:after="120"/>
        <w:ind w:left="924" w:hanging="442" w:firstLineChars="0"/>
        <w:rPr>
          <w:bCs/>
        </w:rPr>
      </w:pPr>
      <w:r>
        <w:rPr>
          <w:bCs/>
        </w:rPr>
        <w:t xml:space="preserve">  厂区</w:t>
      </w:r>
      <w:r>
        <w:rPr>
          <w:rFonts w:hint="eastAsia"/>
          <w:bCs/>
        </w:rPr>
        <w:t>调节</w:t>
      </w:r>
      <w:r>
        <w:rPr>
          <w:bCs/>
        </w:rPr>
        <w:t>池渗漏地下水耗氧量污染预测结果表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310"/>
        <w:gridCol w:w="1791"/>
        <w:gridCol w:w="1609"/>
        <w:gridCol w:w="2077"/>
        <w:gridCol w:w="1582"/>
      </w:tblGrid>
      <w:tr w14:paraId="1D3ED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83" w:type="pct"/>
            <w:vAlign w:val="center"/>
          </w:tcPr>
          <w:p w14:paraId="1D3EDEE1">
            <w:pPr>
              <w:pStyle w:val="67"/>
              <w:rPr>
                <w:rFonts w:cs="Times New Roman"/>
                <w:bCs/>
                <w:color w:val="auto"/>
                <w:u w:val="single"/>
              </w:rPr>
            </w:pPr>
            <w:r>
              <w:rPr>
                <w:rFonts w:cs="Times New Roman"/>
                <w:bCs/>
                <w:color w:val="auto"/>
                <w:u w:val="single"/>
              </w:rPr>
              <w:t>污染时间</w:t>
            </w:r>
          </w:p>
        </w:tc>
        <w:tc>
          <w:tcPr>
            <w:tcW w:w="1070" w:type="pct"/>
            <w:vAlign w:val="center"/>
          </w:tcPr>
          <w:p w14:paraId="1D3EDEE2">
            <w:pPr>
              <w:pStyle w:val="67"/>
              <w:rPr>
                <w:rFonts w:cs="Times New Roman"/>
                <w:bCs/>
                <w:color w:val="auto"/>
                <w:u w:val="single"/>
              </w:rPr>
            </w:pPr>
            <w:r>
              <w:rPr>
                <w:rFonts w:cs="Times New Roman"/>
                <w:bCs/>
                <w:color w:val="auto"/>
                <w:u w:val="single"/>
              </w:rPr>
              <w:t>影响范围（m</w:t>
            </w:r>
            <w:r>
              <w:rPr>
                <w:rFonts w:cs="Times New Roman"/>
                <w:bCs/>
                <w:color w:val="auto"/>
                <w:u w:val="single"/>
                <w:vertAlign w:val="superscript"/>
              </w:rPr>
              <w:t>2</w:t>
            </w:r>
            <w:r>
              <w:rPr>
                <w:rFonts w:cs="Times New Roman"/>
                <w:bCs/>
                <w:color w:val="auto"/>
                <w:u w:val="single"/>
              </w:rPr>
              <w:t>）</w:t>
            </w:r>
          </w:p>
        </w:tc>
        <w:tc>
          <w:tcPr>
            <w:tcW w:w="961" w:type="pct"/>
            <w:vAlign w:val="center"/>
          </w:tcPr>
          <w:p w14:paraId="1D3EDEE3">
            <w:pPr>
              <w:pStyle w:val="67"/>
              <w:rPr>
                <w:rFonts w:cs="Times New Roman"/>
                <w:bCs/>
                <w:color w:val="auto"/>
                <w:u w:val="single"/>
              </w:rPr>
            </w:pPr>
            <w:r>
              <w:rPr>
                <w:rFonts w:cs="Times New Roman"/>
                <w:bCs/>
                <w:color w:val="auto"/>
                <w:u w:val="single"/>
              </w:rPr>
              <w:t>超标范围（m</w:t>
            </w:r>
            <w:r>
              <w:rPr>
                <w:rFonts w:cs="Times New Roman"/>
                <w:bCs/>
                <w:color w:val="auto"/>
                <w:u w:val="single"/>
                <w:vertAlign w:val="superscript"/>
              </w:rPr>
              <w:t>2</w:t>
            </w:r>
            <w:r>
              <w:rPr>
                <w:rFonts w:cs="Times New Roman"/>
                <w:bCs/>
                <w:color w:val="auto"/>
                <w:u w:val="single"/>
              </w:rPr>
              <w:t>）</w:t>
            </w:r>
          </w:p>
        </w:tc>
        <w:tc>
          <w:tcPr>
            <w:tcW w:w="1241" w:type="pct"/>
            <w:vAlign w:val="center"/>
          </w:tcPr>
          <w:p w14:paraId="1D3EDEE4">
            <w:pPr>
              <w:pStyle w:val="67"/>
              <w:rPr>
                <w:rFonts w:cs="Times New Roman"/>
                <w:bCs/>
                <w:color w:val="auto"/>
                <w:u w:val="single"/>
              </w:rPr>
            </w:pPr>
            <w:r>
              <w:rPr>
                <w:rFonts w:cs="Times New Roman"/>
                <w:bCs/>
                <w:color w:val="auto"/>
                <w:u w:val="single"/>
              </w:rPr>
              <w:t>最大</w:t>
            </w:r>
            <w:r>
              <w:rPr>
                <w:rFonts w:hint="eastAsia" w:cs="Times New Roman"/>
                <w:bCs/>
                <w:color w:val="auto"/>
                <w:u w:val="single"/>
              </w:rPr>
              <w:t>运移</w:t>
            </w:r>
            <w:r>
              <w:rPr>
                <w:rFonts w:cs="Times New Roman"/>
                <w:bCs/>
                <w:color w:val="auto"/>
                <w:u w:val="single"/>
              </w:rPr>
              <w:t>距离（m）</w:t>
            </w:r>
          </w:p>
        </w:tc>
        <w:tc>
          <w:tcPr>
            <w:tcW w:w="945" w:type="pct"/>
            <w:vAlign w:val="center"/>
          </w:tcPr>
          <w:p w14:paraId="1D3EDEE5">
            <w:pPr>
              <w:pStyle w:val="67"/>
              <w:rPr>
                <w:rFonts w:cs="Times New Roman"/>
                <w:bCs/>
                <w:color w:val="auto"/>
                <w:u w:val="single"/>
              </w:rPr>
            </w:pPr>
            <w:r>
              <w:rPr>
                <w:rFonts w:cs="Times New Roman"/>
                <w:bCs/>
                <w:color w:val="auto"/>
                <w:u w:val="single"/>
              </w:rPr>
              <w:t>超标距离（m）</w:t>
            </w:r>
          </w:p>
        </w:tc>
      </w:tr>
      <w:tr w14:paraId="1D3ED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83" w:type="pct"/>
            <w:vAlign w:val="center"/>
          </w:tcPr>
          <w:p w14:paraId="1D3EDEE7">
            <w:pPr>
              <w:pStyle w:val="62"/>
              <w:rPr>
                <w:u w:val="single"/>
              </w:rPr>
            </w:pPr>
            <w:r>
              <w:rPr>
                <w:u w:val="single"/>
              </w:rPr>
              <w:t>100天</w:t>
            </w:r>
          </w:p>
        </w:tc>
        <w:tc>
          <w:tcPr>
            <w:tcW w:w="1070" w:type="pct"/>
            <w:vAlign w:val="center"/>
          </w:tcPr>
          <w:p w14:paraId="1D3EDEE8">
            <w:pPr>
              <w:pStyle w:val="62"/>
              <w:rPr>
                <w:u w:val="single"/>
              </w:rPr>
            </w:pPr>
            <w:r>
              <w:rPr>
                <w:rFonts w:hint="eastAsia"/>
                <w:u w:val="single"/>
              </w:rPr>
              <w:t>125</w:t>
            </w:r>
          </w:p>
        </w:tc>
        <w:tc>
          <w:tcPr>
            <w:tcW w:w="961" w:type="pct"/>
            <w:vAlign w:val="center"/>
          </w:tcPr>
          <w:p w14:paraId="1D3EDEE9">
            <w:pPr>
              <w:pStyle w:val="62"/>
              <w:rPr>
                <w:u w:val="single"/>
              </w:rPr>
            </w:pPr>
            <w:r>
              <w:rPr>
                <w:rFonts w:hint="eastAsia"/>
                <w:u w:val="single"/>
              </w:rPr>
              <w:t>25</w:t>
            </w:r>
          </w:p>
        </w:tc>
        <w:tc>
          <w:tcPr>
            <w:tcW w:w="1241" w:type="pct"/>
            <w:vAlign w:val="center"/>
          </w:tcPr>
          <w:p w14:paraId="1D3EDEEA">
            <w:pPr>
              <w:pStyle w:val="62"/>
              <w:rPr>
                <w:u w:val="single"/>
              </w:rPr>
            </w:pPr>
            <w:r>
              <w:rPr>
                <w:rFonts w:hint="eastAsia"/>
                <w:u w:val="single"/>
              </w:rPr>
              <w:t>11</w:t>
            </w:r>
          </w:p>
        </w:tc>
        <w:tc>
          <w:tcPr>
            <w:tcW w:w="945" w:type="pct"/>
            <w:vAlign w:val="center"/>
          </w:tcPr>
          <w:p w14:paraId="1D3EDEEB">
            <w:pPr>
              <w:pStyle w:val="62"/>
              <w:rPr>
                <w:u w:val="single"/>
              </w:rPr>
            </w:pPr>
            <w:r>
              <w:rPr>
                <w:rFonts w:hint="eastAsia"/>
                <w:u w:val="single"/>
              </w:rPr>
              <w:t>5</w:t>
            </w:r>
          </w:p>
        </w:tc>
      </w:tr>
      <w:tr w14:paraId="1D3ED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83" w:type="pct"/>
            <w:vAlign w:val="center"/>
          </w:tcPr>
          <w:p w14:paraId="1D3EDEED">
            <w:pPr>
              <w:pStyle w:val="62"/>
              <w:rPr>
                <w:u w:val="single"/>
              </w:rPr>
            </w:pPr>
            <w:r>
              <w:rPr>
                <w:u w:val="single"/>
              </w:rPr>
              <w:t>1000天</w:t>
            </w:r>
          </w:p>
        </w:tc>
        <w:tc>
          <w:tcPr>
            <w:tcW w:w="1070" w:type="pct"/>
            <w:vAlign w:val="center"/>
          </w:tcPr>
          <w:p w14:paraId="1D3EDEEE">
            <w:pPr>
              <w:pStyle w:val="62"/>
              <w:rPr>
                <w:u w:val="single"/>
              </w:rPr>
            </w:pPr>
            <w:r>
              <w:rPr>
                <w:rFonts w:hint="eastAsia"/>
                <w:u w:val="single"/>
              </w:rPr>
              <w:t>1350</w:t>
            </w:r>
          </w:p>
        </w:tc>
        <w:tc>
          <w:tcPr>
            <w:tcW w:w="961" w:type="pct"/>
            <w:vAlign w:val="center"/>
          </w:tcPr>
          <w:p w14:paraId="1D3EDEEF">
            <w:pPr>
              <w:pStyle w:val="62"/>
              <w:rPr>
                <w:u w:val="single"/>
              </w:rPr>
            </w:pPr>
            <w:r>
              <w:rPr>
                <w:rFonts w:hint="eastAsia"/>
                <w:u w:val="single"/>
              </w:rPr>
              <w:t>250</w:t>
            </w:r>
          </w:p>
        </w:tc>
        <w:tc>
          <w:tcPr>
            <w:tcW w:w="1241" w:type="pct"/>
            <w:vAlign w:val="center"/>
          </w:tcPr>
          <w:p w14:paraId="1D3EDEF0">
            <w:pPr>
              <w:pStyle w:val="62"/>
              <w:rPr>
                <w:u w:val="single"/>
              </w:rPr>
            </w:pPr>
            <w:r>
              <w:rPr>
                <w:rFonts w:hint="eastAsia"/>
                <w:u w:val="single"/>
              </w:rPr>
              <w:t>39</w:t>
            </w:r>
          </w:p>
        </w:tc>
        <w:tc>
          <w:tcPr>
            <w:tcW w:w="945" w:type="pct"/>
            <w:vAlign w:val="center"/>
          </w:tcPr>
          <w:p w14:paraId="1D3EDEF1">
            <w:pPr>
              <w:pStyle w:val="62"/>
              <w:rPr>
                <w:u w:val="single"/>
              </w:rPr>
            </w:pPr>
            <w:r>
              <w:rPr>
                <w:rFonts w:hint="eastAsia"/>
                <w:u w:val="single"/>
              </w:rPr>
              <w:t>17</w:t>
            </w:r>
          </w:p>
        </w:tc>
      </w:tr>
      <w:tr w14:paraId="1D3ED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83" w:type="pct"/>
            <w:vAlign w:val="center"/>
          </w:tcPr>
          <w:p w14:paraId="1D3EDEF3">
            <w:pPr>
              <w:pStyle w:val="62"/>
              <w:rPr>
                <w:u w:val="single"/>
              </w:rPr>
            </w:pPr>
            <w:r>
              <w:rPr>
                <w:u w:val="single"/>
              </w:rPr>
              <w:t>10年</w:t>
            </w:r>
          </w:p>
        </w:tc>
        <w:tc>
          <w:tcPr>
            <w:tcW w:w="1070" w:type="pct"/>
            <w:vAlign w:val="center"/>
          </w:tcPr>
          <w:p w14:paraId="1D3EDEF4">
            <w:pPr>
              <w:pStyle w:val="62"/>
              <w:rPr>
                <w:u w:val="single"/>
              </w:rPr>
            </w:pPr>
            <w:r>
              <w:rPr>
                <w:rFonts w:hint="eastAsia"/>
                <w:u w:val="single"/>
              </w:rPr>
              <w:t>4700</w:t>
            </w:r>
          </w:p>
        </w:tc>
        <w:tc>
          <w:tcPr>
            <w:tcW w:w="961" w:type="pct"/>
            <w:vAlign w:val="center"/>
          </w:tcPr>
          <w:p w14:paraId="1D3EDEF5">
            <w:pPr>
              <w:pStyle w:val="62"/>
              <w:rPr>
                <w:u w:val="single"/>
              </w:rPr>
            </w:pPr>
            <w:r>
              <w:rPr>
                <w:rFonts w:hint="eastAsia"/>
                <w:u w:val="single"/>
              </w:rPr>
              <w:t>850</w:t>
            </w:r>
          </w:p>
        </w:tc>
        <w:tc>
          <w:tcPr>
            <w:tcW w:w="1241" w:type="pct"/>
            <w:vAlign w:val="center"/>
          </w:tcPr>
          <w:p w14:paraId="1D3EDEF6">
            <w:pPr>
              <w:pStyle w:val="62"/>
              <w:rPr>
                <w:u w:val="single"/>
              </w:rPr>
            </w:pPr>
            <w:r>
              <w:rPr>
                <w:rFonts w:hint="eastAsia"/>
                <w:u w:val="single"/>
              </w:rPr>
              <w:t>82</w:t>
            </w:r>
          </w:p>
        </w:tc>
        <w:tc>
          <w:tcPr>
            <w:tcW w:w="945" w:type="pct"/>
            <w:vAlign w:val="center"/>
          </w:tcPr>
          <w:p w14:paraId="1D3EDEF7">
            <w:pPr>
              <w:pStyle w:val="62"/>
              <w:rPr>
                <w:u w:val="single"/>
              </w:rPr>
            </w:pPr>
            <w:r>
              <w:rPr>
                <w:rFonts w:hint="eastAsia"/>
                <w:u w:val="single"/>
              </w:rPr>
              <w:t>37</w:t>
            </w:r>
          </w:p>
        </w:tc>
      </w:tr>
      <w:tr w14:paraId="1D3ED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783" w:type="pct"/>
            <w:vAlign w:val="center"/>
          </w:tcPr>
          <w:p w14:paraId="1D3EDEF9">
            <w:pPr>
              <w:pStyle w:val="62"/>
              <w:rPr>
                <w:u w:val="single"/>
              </w:rPr>
            </w:pPr>
            <w:r>
              <w:rPr>
                <w:u w:val="single"/>
              </w:rPr>
              <w:t>20年</w:t>
            </w:r>
          </w:p>
        </w:tc>
        <w:tc>
          <w:tcPr>
            <w:tcW w:w="1070" w:type="pct"/>
            <w:vAlign w:val="center"/>
          </w:tcPr>
          <w:p w14:paraId="1D3EDEFA">
            <w:pPr>
              <w:pStyle w:val="62"/>
              <w:rPr>
                <w:u w:val="single"/>
              </w:rPr>
            </w:pPr>
            <w:r>
              <w:rPr>
                <w:rFonts w:hint="eastAsia"/>
                <w:u w:val="single"/>
              </w:rPr>
              <w:t>9575</w:t>
            </w:r>
          </w:p>
        </w:tc>
        <w:tc>
          <w:tcPr>
            <w:tcW w:w="961" w:type="pct"/>
            <w:vAlign w:val="center"/>
          </w:tcPr>
          <w:p w14:paraId="1D3EDEFB">
            <w:pPr>
              <w:pStyle w:val="62"/>
              <w:rPr>
                <w:u w:val="single"/>
              </w:rPr>
            </w:pPr>
            <w:r>
              <w:rPr>
                <w:rFonts w:hint="eastAsia"/>
                <w:u w:val="single"/>
              </w:rPr>
              <w:t>1775</w:t>
            </w:r>
          </w:p>
        </w:tc>
        <w:tc>
          <w:tcPr>
            <w:tcW w:w="1241" w:type="pct"/>
            <w:vAlign w:val="center"/>
          </w:tcPr>
          <w:p w14:paraId="1D3EDEFC">
            <w:pPr>
              <w:pStyle w:val="62"/>
              <w:rPr>
                <w:u w:val="single"/>
              </w:rPr>
            </w:pPr>
            <w:r>
              <w:rPr>
                <w:rFonts w:hint="eastAsia"/>
                <w:u w:val="single"/>
              </w:rPr>
              <w:t>125</w:t>
            </w:r>
          </w:p>
        </w:tc>
        <w:tc>
          <w:tcPr>
            <w:tcW w:w="945" w:type="pct"/>
            <w:vAlign w:val="center"/>
          </w:tcPr>
          <w:p w14:paraId="1D3EDEFD">
            <w:pPr>
              <w:pStyle w:val="62"/>
              <w:rPr>
                <w:u w:val="single"/>
              </w:rPr>
            </w:pPr>
            <w:r>
              <w:rPr>
                <w:rFonts w:hint="eastAsia"/>
                <w:u w:val="single"/>
              </w:rPr>
              <w:t>58</w:t>
            </w:r>
          </w:p>
        </w:tc>
      </w:tr>
    </w:tbl>
    <w:p w14:paraId="1D3EDEFF">
      <w:pPr>
        <w:pStyle w:val="68"/>
        <w:rPr>
          <w:bCs/>
          <w:highlight w:val="yellow"/>
          <w:u w:val="single"/>
        </w:rPr>
      </w:pPr>
    </w:p>
    <w:p w14:paraId="1D3EDF00">
      <w:pPr>
        <w:pStyle w:val="68"/>
        <w:rPr>
          <w:bCs/>
          <w:highlight w:val="yellow"/>
          <w:u w:val="single"/>
        </w:rPr>
      </w:pPr>
      <w:r>
        <w:pict>
          <v:shape id="_x0000_s2395" o:spid="_x0000_s2395" o:spt="75" alt="" type="#_x0000_t75" style="position:absolute;left:0pt;margin-left:1.75pt;margin-top:263.85pt;height:67.95pt;width:63.25pt;mso-position-horizontal-relative:margin;mso-position-vertical-relative:margin;z-index:251677696;mso-width-relative:page;mso-height-relative:page;" o:ole="t" filled="f" o:preferrelative="t" stroked="f" coordsize="21600,21600">
            <v:path/>
            <v:fill on="f" focussize="0,0"/>
            <v:stroke on="f"/>
            <v:imagedata r:id="rId118" o:title=""/>
            <o:lock v:ext="edit" aspectratio="t"/>
          </v:shape>
          <o:OLEObject Type="Embed" ProgID="Visio.Drawing.15" ShapeID="_x0000_s2395" DrawAspect="Content" ObjectID="_1468075731" r:id="rId117">
            <o:LockedField>false</o:LockedField>
          </o:OLEObject>
        </w:pict>
      </w:r>
      <w:r>
        <w:drawing>
          <wp:inline distT="0" distB="0" distL="0" distR="0">
            <wp:extent cx="5278755" cy="3649980"/>
            <wp:effectExtent l="12700" t="12700" r="23495" b="13970"/>
            <wp:docPr id="1016399939" name="图片 1" descr="交通信号灯&#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99939" name="图片 1" descr="交通信号灯&#10;&#10;中度可信度描述已自动生成"/>
                    <pic:cNvPicPr>
                      <a:picLocks noChangeAspect="1"/>
                    </pic:cNvPicPr>
                  </pic:nvPicPr>
                  <pic:blipFill>
                    <a:blip r:embed="rId119"/>
                    <a:stretch>
                      <a:fillRect/>
                    </a:stretch>
                  </pic:blipFill>
                  <pic:spPr>
                    <a:xfrm>
                      <a:off x="0" y="0"/>
                      <a:ext cx="5278755" cy="3649980"/>
                    </a:xfrm>
                    <a:prstGeom prst="rect">
                      <a:avLst/>
                    </a:prstGeom>
                    <a:ln w="12700">
                      <a:solidFill>
                        <a:schemeClr val="tx1"/>
                      </a:solidFill>
                    </a:ln>
                  </pic:spPr>
                </pic:pic>
              </a:graphicData>
            </a:graphic>
          </wp:inline>
        </w:drawing>
      </w:r>
    </w:p>
    <w:p w14:paraId="72CBDD08">
      <w:pPr>
        <w:pStyle w:val="68"/>
        <w:numPr>
          <w:ilvl w:val="0"/>
          <w:numId w:val="29"/>
        </w:numPr>
        <w:rPr>
          <w:bCs/>
          <w:u w:val="single"/>
        </w:rPr>
      </w:pPr>
      <w:bookmarkStart w:id="304" w:name="_Ref145408647"/>
      <w:bookmarkEnd w:id="304"/>
      <w:r>
        <w:rPr>
          <w:bCs/>
          <w:u w:val="single"/>
        </w:rPr>
        <w:t xml:space="preserve">  100天污染晕迁移分布图（耗氧量）</w:t>
      </w:r>
    </w:p>
    <w:p w14:paraId="1D3EDF01">
      <w:pPr>
        <w:pStyle w:val="68"/>
        <w:rPr>
          <w:bCs/>
          <w:highlight w:val="yellow"/>
          <w:u w:val="single"/>
        </w:rPr>
      </w:pPr>
      <w:r>
        <w:t xml:space="preserve"> </w:t>
      </w:r>
      <w:r>
        <w:pict>
          <v:shape id="_x0000_s2348" o:spid="_x0000_s2348" o:spt="75" alt="" type="#_x0000_t75" style="position:absolute;left:0pt;margin-left:1.5pt;margin-top:1.25pt;height:67.95pt;width:63.25pt;mso-position-horizontal-relative:margin;mso-position-vertical-relative:margin;z-index:251673600;mso-width-relative:page;mso-height-relative:page;" o:ole="t" filled="f" o:preferrelative="t" stroked="f" coordsize="21600,21600">
            <v:path/>
            <v:fill on="f" focussize="0,0"/>
            <v:stroke on="f"/>
            <v:imagedata r:id="rId118" o:title=""/>
            <o:lock v:ext="edit" aspectratio="t"/>
          </v:shape>
          <o:OLEObject Type="Embed" ProgID="Visio.Drawing.15" ShapeID="_x0000_s2348" DrawAspect="Content" ObjectID="_1468075732" r:id="rId120">
            <o:LockedField>false</o:LockedField>
          </o:OLEObject>
        </w:pict>
      </w:r>
      <w:r>
        <w:drawing>
          <wp:inline distT="0" distB="0" distL="0" distR="0">
            <wp:extent cx="5278755" cy="3903345"/>
            <wp:effectExtent l="12700" t="12700" r="23495" b="27305"/>
            <wp:docPr id="1596108345" name="图片 1" descr="图片包含 男人, 橙子, 水, 电话&#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08345" name="图片 1" descr="图片包含 男人, 橙子, 水, 电话&#10;&#10;描述已自动生成"/>
                    <pic:cNvPicPr>
                      <a:picLocks noChangeAspect="1"/>
                    </pic:cNvPicPr>
                  </pic:nvPicPr>
                  <pic:blipFill>
                    <a:blip r:embed="rId121"/>
                    <a:stretch>
                      <a:fillRect/>
                    </a:stretch>
                  </pic:blipFill>
                  <pic:spPr>
                    <a:xfrm>
                      <a:off x="0" y="0"/>
                      <a:ext cx="5278755" cy="3903345"/>
                    </a:xfrm>
                    <a:prstGeom prst="rect">
                      <a:avLst/>
                    </a:prstGeom>
                    <a:ln w="12700">
                      <a:solidFill>
                        <a:schemeClr val="tx1"/>
                      </a:solidFill>
                    </a:ln>
                  </pic:spPr>
                </pic:pic>
              </a:graphicData>
            </a:graphic>
          </wp:inline>
        </w:drawing>
      </w:r>
    </w:p>
    <w:p w14:paraId="1D3EDF02">
      <w:pPr>
        <w:pStyle w:val="68"/>
        <w:numPr>
          <w:ilvl w:val="0"/>
          <w:numId w:val="29"/>
        </w:numPr>
        <w:rPr>
          <w:bCs/>
          <w:u w:val="single"/>
        </w:rPr>
      </w:pPr>
      <w:r>
        <w:pict>
          <v:shape id="_x0000_s2347" o:spid="_x0000_s2347" o:spt="75" alt="" type="#_x0000_t75" style="position:absolute;left:0pt;margin-left:0.35pt;margin-top:329.55pt;height:67.95pt;width:63.25pt;mso-position-horizontal-relative:margin;mso-position-vertical-relative:margin;z-index:251672576;mso-width-relative:page;mso-height-relative:page;" o:ole="t" filled="f" o:preferrelative="t" stroked="f" coordsize="21600,21600">
            <v:path/>
            <v:fill on="f" focussize="0,0"/>
            <v:stroke on="f"/>
            <v:imagedata r:id="rId118" o:title=""/>
            <o:lock v:ext="edit" aspectratio="t"/>
          </v:shape>
          <o:OLEObject Type="Embed" ProgID="Visio.Drawing.15" ShapeID="_x0000_s2347" DrawAspect="Content" ObjectID="_1468075733" r:id="rId122">
            <o:LockedField>false</o:LockedField>
          </o:OLEObject>
        </w:pict>
      </w:r>
      <w:r>
        <w:rPr>
          <w:bCs/>
          <w:u w:val="single"/>
        </w:rPr>
        <w:t>1000天污染晕迁移分布图（耗氧量）</w:t>
      </w:r>
    </w:p>
    <w:p w14:paraId="1D3EDF03">
      <w:pPr>
        <w:pStyle w:val="68"/>
        <w:rPr>
          <w:bCs/>
          <w:highlight w:val="yellow"/>
          <w:u w:val="single"/>
        </w:rPr>
      </w:pPr>
      <w:r>
        <w:drawing>
          <wp:inline distT="0" distB="0" distL="0" distR="0">
            <wp:extent cx="5278755" cy="4237990"/>
            <wp:effectExtent l="12700" t="12700" r="23495" b="16510"/>
            <wp:docPr id="1994662864" name="图片 1" descr="正在玩飞盘&#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62864" name="图片 1" descr="正在玩飞盘&#10;&#10;中度可信度描述已自动生成"/>
                    <pic:cNvPicPr>
                      <a:picLocks noChangeAspect="1"/>
                    </pic:cNvPicPr>
                  </pic:nvPicPr>
                  <pic:blipFill>
                    <a:blip r:embed="rId123"/>
                    <a:stretch>
                      <a:fillRect/>
                    </a:stretch>
                  </pic:blipFill>
                  <pic:spPr>
                    <a:xfrm>
                      <a:off x="0" y="0"/>
                      <a:ext cx="5278755" cy="4237990"/>
                    </a:xfrm>
                    <a:prstGeom prst="rect">
                      <a:avLst/>
                    </a:prstGeom>
                    <a:ln w="12700">
                      <a:solidFill>
                        <a:schemeClr val="tx1"/>
                      </a:solidFill>
                    </a:ln>
                  </pic:spPr>
                </pic:pic>
              </a:graphicData>
            </a:graphic>
          </wp:inline>
        </w:drawing>
      </w:r>
    </w:p>
    <w:p w14:paraId="1D3EDF04">
      <w:pPr>
        <w:pStyle w:val="68"/>
        <w:numPr>
          <w:ilvl w:val="0"/>
          <w:numId w:val="29"/>
        </w:numPr>
        <w:rPr>
          <w:bCs/>
          <w:u w:val="single"/>
        </w:rPr>
      </w:pPr>
      <w:r>
        <w:rPr>
          <w:bCs/>
          <w:u w:val="single"/>
        </w:rPr>
        <w:t xml:space="preserve">  3650天污染晕迁移分布图（耗氧量）</w:t>
      </w:r>
    </w:p>
    <w:p w14:paraId="1D3EDF05">
      <w:pPr>
        <w:pStyle w:val="68"/>
        <w:rPr>
          <w:bCs/>
          <w:highlight w:val="yellow"/>
          <w:u w:val="single"/>
        </w:rPr>
      </w:pPr>
      <w:r>
        <w:pict>
          <v:shape id="_x0000_s2299" o:spid="_x0000_s2299" o:spt="75" alt="" type="#_x0000_t75" style="position:absolute;left:0pt;margin-left:-0.6pt;margin-top:-0.45pt;height:67.95pt;width:63.25pt;mso-position-horizontal-relative:margin;mso-position-vertical-relative:margin;z-index:251668480;mso-width-relative:page;mso-height-relative:page;" o:ole="t" filled="f" o:preferrelative="t" stroked="f" coordsize="21600,21600">
            <v:path/>
            <v:fill on="f" focussize="0,0"/>
            <v:stroke on="f"/>
            <v:imagedata r:id="rId118" o:title=""/>
            <o:lock v:ext="edit" aspectratio="t"/>
          </v:shape>
          <o:OLEObject Type="Embed" ProgID="Visio.Drawing.15" ShapeID="_x0000_s2299" DrawAspect="Content" ObjectID="_1468075734" r:id="rId124">
            <o:LockedField>false</o:LockedField>
          </o:OLEObject>
        </w:pict>
      </w:r>
      <w:r>
        <w:drawing>
          <wp:inline distT="0" distB="0" distL="0" distR="0">
            <wp:extent cx="5278755" cy="4395470"/>
            <wp:effectExtent l="12700" t="12700" r="23495" b="30480"/>
            <wp:docPr id="1238075039" name="图片 1" descr="图片包含 飞盘, 塑料, 男人,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75039" name="图片 1" descr="图片包含 飞盘, 塑料, 男人, 站&#10;&#10;描述已自动生成"/>
                    <pic:cNvPicPr>
                      <a:picLocks noChangeAspect="1"/>
                    </pic:cNvPicPr>
                  </pic:nvPicPr>
                  <pic:blipFill>
                    <a:blip r:embed="rId125"/>
                    <a:stretch>
                      <a:fillRect/>
                    </a:stretch>
                  </pic:blipFill>
                  <pic:spPr>
                    <a:xfrm>
                      <a:off x="0" y="0"/>
                      <a:ext cx="5278755" cy="4395470"/>
                    </a:xfrm>
                    <a:prstGeom prst="rect">
                      <a:avLst/>
                    </a:prstGeom>
                    <a:ln w="12700">
                      <a:solidFill>
                        <a:schemeClr val="tx1"/>
                      </a:solidFill>
                    </a:ln>
                  </pic:spPr>
                </pic:pic>
              </a:graphicData>
            </a:graphic>
          </wp:inline>
        </w:drawing>
      </w:r>
    </w:p>
    <w:p w14:paraId="1D3EDF06">
      <w:pPr>
        <w:pStyle w:val="68"/>
        <w:numPr>
          <w:ilvl w:val="0"/>
          <w:numId w:val="29"/>
        </w:numPr>
        <w:rPr>
          <w:bCs/>
          <w:u w:val="single"/>
        </w:rPr>
      </w:pPr>
      <w:r>
        <w:rPr>
          <w:rFonts w:hint="eastAsia"/>
          <w:bCs/>
          <w:u w:val="single"/>
        </w:rPr>
        <w:t xml:space="preserve">  </w:t>
      </w:r>
      <w:r>
        <w:rPr>
          <w:bCs/>
          <w:u w:val="single"/>
        </w:rPr>
        <w:t>7300天污染晕迁移分布图（耗氧量）</w:t>
      </w:r>
    </w:p>
    <w:p w14:paraId="1D3EDF07">
      <w:pPr>
        <w:ind w:firstLine="480"/>
        <w:rPr>
          <w:u w:val="single"/>
        </w:rPr>
      </w:pPr>
      <w:r>
        <w:rPr>
          <w:u w:val="single"/>
        </w:rPr>
        <w:t>（2）</w:t>
      </w:r>
      <w:r>
        <w:rPr>
          <w:rFonts w:hint="eastAsia"/>
          <w:u w:val="single"/>
        </w:rPr>
        <w:t>石油类</w:t>
      </w:r>
      <w:r>
        <w:rPr>
          <w:u w:val="single"/>
        </w:rPr>
        <w:t>预测结果</w:t>
      </w:r>
    </w:p>
    <w:p w14:paraId="1D3EDF08">
      <w:pPr>
        <w:ind w:firstLine="480"/>
        <w:rPr>
          <w:u w:val="single"/>
        </w:rPr>
      </w:pPr>
      <w:r>
        <w:rPr>
          <w:u w:val="single"/>
        </w:rPr>
        <w:t>厂区</w:t>
      </w:r>
      <w:r>
        <w:rPr>
          <w:rFonts w:hint="eastAsia"/>
          <w:u w:val="single"/>
        </w:rPr>
        <w:t>调节池</w:t>
      </w:r>
      <w:r>
        <w:rPr>
          <w:u w:val="single"/>
        </w:rPr>
        <w:t>渗漏，地下水</w:t>
      </w:r>
      <w:r>
        <w:rPr>
          <w:rFonts w:hint="eastAsia"/>
          <w:u w:val="single"/>
        </w:rPr>
        <w:t>石油类</w:t>
      </w:r>
      <w:r>
        <w:rPr>
          <w:u w:val="single"/>
        </w:rPr>
        <w:t>污染预测结果见图5.3-</w:t>
      </w:r>
      <w:r>
        <w:rPr>
          <w:rFonts w:hint="eastAsia"/>
          <w:u w:val="single"/>
        </w:rPr>
        <w:t>28</w:t>
      </w:r>
      <w:r>
        <w:rPr>
          <w:u w:val="single"/>
        </w:rPr>
        <w:t>至5.3-3</w:t>
      </w:r>
      <w:r>
        <w:rPr>
          <w:rFonts w:hint="eastAsia"/>
          <w:u w:val="single"/>
        </w:rPr>
        <w:t>1</w:t>
      </w:r>
      <w:r>
        <w:rPr>
          <w:u w:val="single"/>
        </w:rPr>
        <w:t>。</w:t>
      </w:r>
      <w:r>
        <w:rPr>
          <w:rFonts w:hint="eastAsia"/>
          <w:u w:val="single"/>
        </w:rPr>
        <w:t>因</w:t>
      </w:r>
      <w:r>
        <w:rPr>
          <w:u w:val="single"/>
        </w:rPr>
        <w:t>《地下水质量标准》（GB/T14848-2017</w:t>
      </w:r>
      <w:r>
        <w:rPr>
          <w:rFonts w:hint="eastAsia"/>
          <w:u w:val="single"/>
        </w:rPr>
        <w:t>中无石油类标准，故仅对其影响范围进行分析。根据</w:t>
      </w:r>
      <w:r>
        <w:rPr>
          <w:u w:val="single"/>
        </w:rPr>
        <w:t>预测结果表明，泄漏发生100天，含水层污染物影响范围</w:t>
      </w:r>
      <w:r>
        <w:rPr>
          <w:rFonts w:hint="eastAsia"/>
          <w:u w:val="single"/>
        </w:rPr>
        <w:t>75</w:t>
      </w:r>
      <w:r>
        <w:rPr>
          <w:u w:val="single"/>
        </w:rPr>
        <w:t>m</w:t>
      </w:r>
      <w:r>
        <w:rPr>
          <w:u w:val="single"/>
          <w:vertAlign w:val="superscript"/>
        </w:rPr>
        <w:t>2</w:t>
      </w:r>
      <w:r>
        <w:rPr>
          <w:u w:val="single"/>
        </w:rPr>
        <w:t>，最大运移距离</w:t>
      </w:r>
      <w:r>
        <w:rPr>
          <w:rFonts w:hint="eastAsia"/>
          <w:u w:val="single"/>
        </w:rPr>
        <w:t>9</w:t>
      </w:r>
      <w:r>
        <w:rPr>
          <w:u w:val="single"/>
        </w:rPr>
        <w:t>m；泄漏发生1000天，影响范围</w:t>
      </w:r>
      <w:r>
        <w:rPr>
          <w:rFonts w:hint="eastAsia"/>
          <w:u w:val="single"/>
        </w:rPr>
        <w:t>875</w:t>
      </w:r>
      <w:r>
        <w:rPr>
          <w:u w:val="single"/>
        </w:rPr>
        <w:t>m</w:t>
      </w:r>
      <w:r>
        <w:rPr>
          <w:u w:val="single"/>
          <w:vertAlign w:val="superscript"/>
        </w:rPr>
        <w:t>2</w:t>
      </w:r>
      <w:r>
        <w:rPr>
          <w:u w:val="single"/>
        </w:rPr>
        <w:t>，最大运移距离</w:t>
      </w:r>
      <w:r>
        <w:rPr>
          <w:rFonts w:hint="eastAsia"/>
          <w:u w:val="single"/>
        </w:rPr>
        <w:t>32</w:t>
      </w:r>
      <w:r>
        <w:rPr>
          <w:u w:val="single"/>
        </w:rPr>
        <w:t>m；泄漏发生10年，影响范围</w:t>
      </w:r>
      <w:r>
        <w:rPr>
          <w:rFonts w:hint="eastAsia"/>
          <w:u w:val="single"/>
        </w:rPr>
        <w:t>3175</w:t>
      </w:r>
      <w:r>
        <w:rPr>
          <w:u w:val="single"/>
        </w:rPr>
        <w:t>m</w:t>
      </w:r>
      <w:r>
        <w:rPr>
          <w:u w:val="single"/>
          <w:vertAlign w:val="superscript"/>
        </w:rPr>
        <w:t>2</w:t>
      </w:r>
      <w:r>
        <w:rPr>
          <w:u w:val="single"/>
        </w:rPr>
        <w:t>，最大运移距离</w:t>
      </w:r>
      <w:r>
        <w:rPr>
          <w:rFonts w:hint="eastAsia"/>
          <w:u w:val="single"/>
        </w:rPr>
        <w:t>68</w:t>
      </w:r>
      <w:r>
        <w:rPr>
          <w:u w:val="single"/>
        </w:rPr>
        <w:t>m；泄漏发生20年，影响范围</w:t>
      </w:r>
      <w:r>
        <w:rPr>
          <w:rFonts w:hint="eastAsia"/>
          <w:u w:val="single"/>
        </w:rPr>
        <w:t>10000</w:t>
      </w:r>
      <w:r>
        <w:rPr>
          <w:u w:val="single"/>
        </w:rPr>
        <w:t>m</w:t>
      </w:r>
      <w:r>
        <w:rPr>
          <w:u w:val="single"/>
          <w:vertAlign w:val="superscript"/>
        </w:rPr>
        <w:t>2</w:t>
      </w:r>
      <w:r>
        <w:rPr>
          <w:u w:val="single"/>
        </w:rPr>
        <w:t>，最大运移距离2</w:t>
      </w:r>
      <w:r>
        <w:rPr>
          <w:rFonts w:hint="eastAsia"/>
          <w:u w:val="single"/>
        </w:rPr>
        <w:t>03</w:t>
      </w:r>
      <w:r>
        <w:rPr>
          <w:u w:val="single"/>
        </w:rPr>
        <w:t>m，详见下表。</w:t>
      </w:r>
    </w:p>
    <w:p w14:paraId="1D3EDF09">
      <w:pPr>
        <w:pStyle w:val="64"/>
        <w:numPr>
          <w:ilvl w:val="0"/>
          <w:numId w:val="31"/>
        </w:numPr>
        <w:spacing w:before="120" w:after="120"/>
        <w:ind w:left="924" w:hanging="442" w:firstLineChars="0"/>
        <w:rPr>
          <w:bCs/>
          <w:u w:val="single"/>
        </w:rPr>
      </w:pPr>
      <w:r>
        <w:rPr>
          <w:bCs/>
          <w:u w:val="single"/>
        </w:rPr>
        <w:t xml:space="preserve">  厂区</w:t>
      </w:r>
      <w:r>
        <w:rPr>
          <w:rFonts w:hint="eastAsia"/>
          <w:bCs/>
          <w:u w:val="single"/>
        </w:rPr>
        <w:t>调节池</w:t>
      </w:r>
      <w:r>
        <w:rPr>
          <w:bCs/>
          <w:u w:val="single"/>
        </w:rPr>
        <w:t>渗漏地下水</w:t>
      </w:r>
      <w:r>
        <w:rPr>
          <w:rFonts w:hint="eastAsia"/>
          <w:bCs/>
          <w:u w:val="single"/>
        </w:rPr>
        <w:t>石油类</w:t>
      </w:r>
      <w:r>
        <w:rPr>
          <w:bCs/>
          <w:u w:val="single"/>
        </w:rPr>
        <w:t>污染预测结果表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940"/>
        <w:gridCol w:w="2936"/>
        <w:gridCol w:w="3551"/>
      </w:tblGrid>
      <w:tr w14:paraId="1D3ED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51" w:type="pct"/>
            <w:vAlign w:val="center"/>
          </w:tcPr>
          <w:p w14:paraId="1D3EDF0A">
            <w:pPr>
              <w:pStyle w:val="67"/>
              <w:rPr>
                <w:rFonts w:cs="Times New Roman"/>
                <w:bCs/>
                <w:color w:val="auto"/>
                <w:u w:val="single"/>
              </w:rPr>
            </w:pPr>
            <w:r>
              <w:rPr>
                <w:rFonts w:cs="Times New Roman"/>
                <w:bCs/>
                <w:color w:val="auto"/>
                <w:u w:val="single"/>
              </w:rPr>
              <w:t>污染时间</w:t>
            </w:r>
          </w:p>
        </w:tc>
        <w:tc>
          <w:tcPr>
            <w:tcW w:w="1742" w:type="pct"/>
            <w:vAlign w:val="center"/>
          </w:tcPr>
          <w:p w14:paraId="1D3EDF0B">
            <w:pPr>
              <w:pStyle w:val="67"/>
              <w:rPr>
                <w:rFonts w:cs="Times New Roman"/>
                <w:bCs/>
                <w:color w:val="auto"/>
                <w:u w:val="single"/>
              </w:rPr>
            </w:pPr>
            <w:r>
              <w:rPr>
                <w:rFonts w:cs="Times New Roman"/>
                <w:bCs/>
                <w:color w:val="auto"/>
                <w:u w:val="single"/>
              </w:rPr>
              <w:t>影响范围（m</w:t>
            </w:r>
            <w:r>
              <w:rPr>
                <w:rFonts w:cs="Times New Roman"/>
                <w:bCs/>
                <w:color w:val="auto"/>
                <w:u w:val="single"/>
                <w:vertAlign w:val="superscript"/>
              </w:rPr>
              <w:t>2</w:t>
            </w:r>
            <w:r>
              <w:rPr>
                <w:rFonts w:cs="Times New Roman"/>
                <w:bCs/>
                <w:color w:val="auto"/>
                <w:u w:val="single"/>
              </w:rPr>
              <w:t>）</w:t>
            </w:r>
          </w:p>
        </w:tc>
        <w:tc>
          <w:tcPr>
            <w:tcW w:w="2107" w:type="pct"/>
            <w:vAlign w:val="center"/>
          </w:tcPr>
          <w:p w14:paraId="1D3EDF0D">
            <w:pPr>
              <w:pStyle w:val="67"/>
              <w:rPr>
                <w:rFonts w:cs="Times New Roman"/>
                <w:bCs/>
                <w:color w:val="auto"/>
                <w:u w:val="single"/>
              </w:rPr>
            </w:pPr>
            <w:r>
              <w:rPr>
                <w:rFonts w:cs="Times New Roman"/>
                <w:bCs/>
                <w:color w:val="auto"/>
                <w:u w:val="single"/>
              </w:rPr>
              <w:t>最大运移距离（m）</w:t>
            </w:r>
          </w:p>
        </w:tc>
      </w:tr>
      <w:tr w14:paraId="1D3ED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51" w:type="pct"/>
            <w:vAlign w:val="center"/>
          </w:tcPr>
          <w:p w14:paraId="1D3EDF10">
            <w:pPr>
              <w:pStyle w:val="62"/>
              <w:rPr>
                <w:u w:val="single"/>
              </w:rPr>
            </w:pPr>
            <w:r>
              <w:rPr>
                <w:u w:val="single"/>
              </w:rPr>
              <w:t>100天</w:t>
            </w:r>
          </w:p>
        </w:tc>
        <w:tc>
          <w:tcPr>
            <w:tcW w:w="1742" w:type="pct"/>
            <w:vAlign w:val="center"/>
          </w:tcPr>
          <w:p w14:paraId="1D3EDF11">
            <w:pPr>
              <w:pStyle w:val="62"/>
              <w:rPr>
                <w:u w:val="single"/>
              </w:rPr>
            </w:pPr>
            <w:r>
              <w:rPr>
                <w:rFonts w:hint="eastAsia"/>
                <w:u w:val="single"/>
              </w:rPr>
              <w:t>75</w:t>
            </w:r>
          </w:p>
        </w:tc>
        <w:tc>
          <w:tcPr>
            <w:tcW w:w="2107" w:type="pct"/>
            <w:vAlign w:val="center"/>
          </w:tcPr>
          <w:p w14:paraId="1D3EDF13">
            <w:pPr>
              <w:pStyle w:val="62"/>
              <w:rPr>
                <w:u w:val="single"/>
              </w:rPr>
            </w:pPr>
            <w:r>
              <w:rPr>
                <w:rFonts w:hint="eastAsia"/>
                <w:u w:val="single"/>
              </w:rPr>
              <w:t>9</w:t>
            </w:r>
          </w:p>
        </w:tc>
      </w:tr>
      <w:tr w14:paraId="1D3ED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51" w:type="pct"/>
            <w:vAlign w:val="center"/>
          </w:tcPr>
          <w:p w14:paraId="1D3EDF16">
            <w:pPr>
              <w:pStyle w:val="62"/>
              <w:rPr>
                <w:u w:val="single"/>
              </w:rPr>
            </w:pPr>
            <w:r>
              <w:rPr>
                <w:u w:val="single"/>
              </w:rPr>
              <w:t>1000天</w:t>
            </w:r>
          </w:p>
        </w:tc>
        <w:tc>
          <w:tcPr>
            <w:tcW w:w="1742" w:type="pct"/>
            <w:vAlign w:val="center"/>
          </w:tcPr>
          <w:p w14:paraId="1D3EDF17">
            <w:pPr>
              <w:pStyle w:val="62"/>
              <w:rPr>
                <w:u w:val="single"/>
              </w:rPr>
            </w:pPr>
            <w:r>
              <w:rPr>
                <w:rFonts w:hint="eastAsia"/>
                <w:u w:val="single"/>
              </w:rPr>
              <w:t>875</w:t>
            </w:r>
          </w:p>
        </w:tc>
        <w:tc>
          <w:tcPr>
            <w:tcW w:w="2107" w:type="pct"/>
            <w:vAlign w:val="center"/>
          </w:tcPr>
          <w:p w14:paraId="1D3EDF19">
            <w:pPr>
              <w:pStyle w:val="62"/>
              <w:rPr>
                <w:u w:val="single"/>
              </w:rPr>
            </w:pPr>
            <w:r>
              <w:rPr>
                <w:rFonts w:hint="eastAsia"/>
                <w:u w:val="single"/>
              </w:rPr>
              <w:t>32</w:t>
            </w:r>
          </w:p>
        </w:tc>
      </w:tr>
      <w:tr w14:paraId="1D3ED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51" w:type="pct"/>
            <w:vAlign w:val="center"/>
          </w:tcPr>
          <w:p w14:paraId="1D3EDF1C">
            <w:pPr>
              <w:pStyle w:val="62"/>
              <w:rPr>
                <w:u w:val="single"/>
              </w:rPr>
            </w:pPr>
            <w:r>
              <w:rPr>
                <w:u w:val="single"/>
              </w:rPr>
              <w:t>10年</w:t>
            </w:r>
          </w:p>
        </w:tc>
        <w:tc>
          <w:tcPr>
            <w:tcW w:w="1742" w:type="pct"/>
            <w:vAlign w:val="center"/>
          </w:tcPr>
          <w:p w14:paraId="1D3EDF1D">
            <w:pPr>
              <w:pStyle w:val="62"/>
              <w:rPr>
                <w:u w:val="single"/>
              </w:rPr>
            </w:pPr>
            <w:r>
              <w:rPr>
                <w:rFonts w:hint="eastAsia"/>
                <w:u w:val="single"/>
              </w:rPr>
              <w:t>3175</w:t>
            </w:r>
          </w:p>
        </w:tc>
        <w:tc>
          <w:tcPr>
            <w:tcW w:w="2107" w:type="pct"/>
            <w:vAlign w:val="center"/>
          </w:tcPr>
          <w:p w14:paraId="1D3EDF1F">
            <w:pPr>
              <w:pStyle w:val="62"/>
              <w:rPr>
                <w:u w:val="single"/>
              </w:rPr>
            </w:pPr>
            <w:r>
              <w:rPr>
                <w:rFonts w:hint="eastAsia"/>
                <w:u w:val="single"/>
              </w:rPr>
              <w:t>68</w:t>
            </w:r>
          </w:p>
        </w:tc>
      </w:tr>
      <w:tr w14:paraId="1D3ED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51" w:type="pct"/>
            <w:vAlign w:val="center"/>
          </w:tcPr>
          <w:p w14:paraId="1D3EDF22">
            <w:pPr>
              <w:pStyle w:val="62"/>
              <w:rPr>
                <w:u w:val="single"/>
              </w:rPr>
            </w:pPr>
            <w:r>
              <w:rPr>
                <w:u w:val="single"/>
              </w:rPr>
              <w:t>20年</w:t>
            </w:r>
          </w:p>
        </w:tc>
        <w:tc>
          <w:tcPr>
            <w:tcW w:w="1742" w:type="pct"/>
            <w:vAlign w:val="center"/>
          </w:tcPr>
          <w:p w14:paraId="1D3EDF23">
            <w:pPr>
              <w:pStyle w:val="62"/>
              <w:rPr>
                <w:u w:val="single"/>
              </w:rPr>
            </w:pPr>
            <w:r>
              <w:rPr>
                <w:rFonts w:hint="eastAsia"/>
                <w:u w:val="single"/>
              </w:rPr>
              <w:t>10000</w:t>
            </w:r>
          </w:p>
        </w:tc>
        <w:tc>
          <w:tcPr>
            <w:tcW w:w="2107" w:type="pct"/>
            <w:vAlign w:val="center"/>
          </w:tcPr>
          <w:p w14:paraId="1D3EDF25">
            <w:pPr>
              <w:pStyle w:val="62"/>
              <w:rPr>
                <w:u w:val="single"/>
              </w:rPr>
            </w:pPr>
            <w:r>
              <w:rPr>
                <w:rFonts w:hint="eastAsia"/>
                <w:u w:val="single"/>
              </w:rPr>
              <w:t>203</w:t>
            </w:r>
          </w:p>
        </w:tc>
      </w:tr>
    </w:tbl>
    <w:p w14:paraId="1D3EDF28">
      <w:pPr>
        <w:pStyle w:val="68"/>
        <w:spacing w:before="120" w:beforeLines="50"/>
        <w:rPr>
          <w:bCs/>
          <w:highlight w:val="yellow"/>
          <w:u w:val="single"/>
        </w:rPr>
      </w:pPr>
      <w:r>
        <w:pict>
          <v:shape id="_x0000_s2297" o:spid="_x0000_s2297" o:spt="75" alt="" type="#_x0000_t75" style="position:absolute;left:0pt;margin-left:0.5pt;margin-top:1.2pt;height:59.55pt;width:55.45pt;mso-position-horizontal-relative:margin;mso-position-vertical-relative:margin;z-index:251667456;mso-width-relative:page;mso-height-relative:page;" o:ole="t" filled="f" o:preferrelative="t" stroked="f" coordsize="21600,21600">
            <v:path/>
            <v:fill on="f" focussize="0,0"/>
            <v:stroke on="f"/>
            <v:imagedata r:id="rId127" o:title=""/>
            <o:lock v:ext="edit" aspectratio="t"/>
          </v:shape>
          <o:OLEObject Type="Embed" ProgID="Visio.Drawing.15" ShapeID="_x0000_s2297" DrawAspect="Content" ObjectID="_1468075735" r:id="rId126">
            <o:LockedField>false</o:LockedField>
          </o:OLEObject>
        </w:pict>
      </w:r>
      <w:r>
        <w:rPr>
          <w:u w:val="single"/>
        </w:rPr>
        <w:drawing>
          <wp:inline distT="0" distB="0" distL="0" distR="0">
            <wp:extent cx="5058410" cy="4088130"/>
            <wp:effectExtent l="12700" t="12700" r="15240" b="13970"/>
            <wp:docPr id="231789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89625" name="图片 1"/>
                    <pic:cNvPicPr>
                      <a:picLocks noChangeAspect="1"/>
                    </pic:cNvPicPr>
                  </pic:nvPicPr>
                  <pic:blipFill>
                    <a:blip r:embed="rId128"/>
                    <a:stretch>
                      <a:fillRect/>
                    </a:stretch>
                  </pic:blipFill>
                  <pic:spPr>
                    <a:xfrm>
                      <a:off x="0" y="0"/>
                      <a:ext cx="5058410" cy="4090032"/>
                    </a:xfrm>
                    <a:prstGeom prst="rect">
                      <a:avLst/>
                    </a:prstGeom>
                    <a:ln w="12700">
                      <a:solidFill>
                        <a:schemeClr val="tx1"/>
                      </a:solidFill>
                    </a:ln>
                  </pic:spPr>
                </pic:pic>
              </a:graphicData>
            </a:graphic>
          </wp:inline>
        </w:drawing>
      </w:r>
    </w:p>
    <w:p w14:paraId="2C8CE124">
      <w:pPr>
        <w:pStyle w:val="68"/>
        <w:numPr>
          <w:ilvl w:val="0"/>
          <w:numId w:val="29"/>
        </w:numPr>
        <w:rPr>
          <w:bCs/>
          <w:u w:val="single"/>
        </w:rPr>
      </w:pPr>
      <w:r>
        <w:rPr>
          <w:bCs/>
          <w:u w:val="single"/>
        </w:rPr>
        <w:t xml:space="preserve">  100天污染晕迁移分布图（</w:t>
      </w:r>
      <w:r>
        <w:rPr>
          <w:rFonts w:hint="eastAsia"/>
          <w:bCs/>
          <w:u w:val="single"/>
        </w:rPr>
        <w:t>石油类</w:t>
      </w:r>
      <w:r>
        <w:rPr>
          <w:bCs/>
          <w:u w:val="single"/>
        </w:rPr>
        <w:t>）</w:t>
      </w:r>
    </w:p>
    <w:p w14:paraId="1D3EDF29">
      <w:pPr>
        <w:pStyle w:val="68"/>
        <w:rPr>
          <w:bCs/>
          <w:highlight w:val="yellow"/>
          <w:u w:val="single"/>
        </w:rPr>
      </w:pPr>
      <w:r>
        <w:rPr>
          <w:u w:val="single"/>
        </w:rPr>
        <w:drawing>
          <wp:inline distT="0" distB="0" distL="0" distR="0">
            <wp:extent cx="4994910" cy="4085590"/>
            <wp:effectExtent l="12700" t="12700" r="21590" b="16510"/>
            <wp:docPr id="288542751" name="图片 1" descr="图片包含 男人, 城市, 街道,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2751" name="图片 1" descr="图片包含 男人, 城市, 街道, 站&#10;&#10;描述已自动生成"/>
                    <pic:cNvPicPr>
                      <a:picLocks noChangeAspect="1"/>
                    </pic:cNvPicPr>
                  </pic:nvPicPr>
                  <pic:blipFill>
                    <a:blip r:embed="rId129"/>
                    <a:stretch>
                      <a:fillRect/>
                    </a:stretch>
                  </pic:blipFill>
                  <pic:spPr>
                    <a:xfrm>
                      <a:off x="0" y="0"/>
                      <a:ext cx="4994910" cy="4089866"/>
                    </a:xfrm>
                    <a:prstGeom prst="rect">
                      <a:avLst/>
                    </a:prstGeom>
                    <a:ln w="12700">
                      <a:solidFill>
                        <a:schemeClr val="tx1"/>
                      </a:solidFill>
                    </a:ln>
                  </pic:spPr>
                </pic:pic>
              </a:graphicData>
            </a:graphic>
          </wp:inline>
        </w:drawing>
      </w:r>
    </w:p>
    <w:p w14:paraId="17B0AC23">
      <w:pPr>
        <w:pStyle w:val="68"/>
        <w:numPr>
          <w:ilvl w:val="0"/>
          <w:numId w:val="29"/>
        </w:numPr>
        <w:rPr>
          <w:bCs/>
          <w:u w:val="single"/>
        </w:rPr>
      </w:pPr>
      <w:r>
        <w:rPr>
          <w:bCs/>
          <w:u w:val="single"/>
        </w:rPr>
        <w:t xml:space="preserve">  1000天污染晕迁移分布图（</w:t>
      </w:r>
      <w:r>
        <w:rPr>
          <w:rFonts w:hint="eastAsia"/>
          <w:bCs/>
          <w:u w:val="single"/>
        </w:rPr>
        <w:t>石油类</w:t>
      </w:r>
      <w:r>
        <w:rPr>
          <w:bCs/>
          <w:u w:val="single"/>
        </w:rPr>
        <w:t>）</w:t>
      </w:r>
    </w:p>
    <w:p w14:paraId="1D3EDF2B">
      <w:pPr>
        <w:pStyle w:val="68"/>
        <w:rPr>
          <w:bCs/>
          <w:highlight w:val="yellow"/>
          <w:u w:val="single"/>
        </w:rPr>
      </w:pPr>
      <w:r>
        <w:pict>
          <v:shape id="_x0000_s2295" o:spid="_x0000_s2295" o:spt="75" alt="" type="#_x0000_t75" style="position:absolute;left:0pt;margin-left:13.75pt;margin-top:0.6pt;height:67.95pt;width:63.25pt;mso-position-horizontal-relative:margin;mso-position-vertical-relative:margin;z-index:251665408;mso-width-relative:page;mso-height-relative:page;" o:ole="t" filled="f" o:preferrelative="t" stroked="f" coordsize="21600,21600">
            <v:path/>
            <v:fill on="f" focussize="0,0"/>
            <v:stroke on="f"/>
            <v:imagedata r:id="rId118" o:title=""/>
            <o:lock v:ext="edit" aspectratio="t"/>
          </v:shape>
          <o:OLEObject Type="Embed" ProgID="Visio.Drawing.15" ShapeID="_x0000_s2295" DrawAspect="Content" ObjectID="_1468075736" r:id="rId130">
            <o:LockedField>false</o:LockedField>
          </o:OLEObject>
        </w:pict>
      </w:r>
      <w:r>
        <w:rPr>
          <w:u w:val="single"/>
        </w:rPr>
        <w:drawing>
          <wp:inline distT="0" distB="0" distL="0" distR="0">
            <wp:extent cx="4911090" cy="4086225"/>
            <wp:effectExtent l="12700" t="12700" r="29210" b="15875"/>
            <wp:docPr id="520396348" name="图片 1" descr="图片包含 小,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96348" name="图片 1" descr="图片包含 小, 男人&#10;&#10;描述已自动生成"/>
                    <pic:cNvPicPr>
                      <a:picLocks noChangeAspect="1"/>
                    </pic:cNvPicPr>
                  </pic:nvPicPr>
                  <pic:blipFill>
                    <a:blip r:embed="rId131"/>
                    <a:stretch>
                      <a:fillRect/>
                    </a:stretch>
                  </pic:blipFill>
                  <pic:spPr>
                    <a:xfrm>
                      <a:off x="0" y="0"/>
                      <a:ext cx="4911090" cy="4098356"/>
                    </a:xfrm>
                    <a:prstGeom prst="rect">
                      <a:avLst/>
                    </a:prstGeom>
                    <a:ln w="12700">
                      <a:solidFill>
                        <a:schemeClr val="tx1"/>
                      </a:solidFill>
                    </a:ln>
                  </pic:spPr>
                </pic:pic>
              </a:graphicData>
            </a:graphic>
          </wp:inline>
        </w:drawing>
      </w:r>
    </w:p>
    <w:p w14:paraId="1D3EDF2C">
      <w:pPr>
        <w:pStyle w:val="68"/>
        <w:numPr>
          <w:ilvl w:val="0"/>
          <w:numId w:val="29"/>
        </w:numPr>
        <w:rPr>
          <w:bCs/>
          <w:u w:val="single"/>
        </w:rPr>
      </w:pPr>
      <w:r>
        <w:rPr>
          <w:bCs/>
          <w:u w:val="single"/>
        </w:rPr>
        <w:t xml:space="preserve">  3650天污染晕迁移分布图（</w:t>
      </w:r>
      <w:r>
        <w:rPr>
          <w:rFonts w:hint="eastAsia"/>
          <w:bCs/>
          <w:u w:val="single"/>
        </w:rPr>
        <w:t>石油类</w:t>
      </w:r>
      <w:r>
        <w:rPr>
          <w:bCs/>
          <w:u w:val="single"/>
        </w:rPr>
        <w:t>）</w:t>
      </w:r>
    </w:p>
    <w:p w14:paraId="1D3EDF2D">
      <w:pPr>
        <w:pStyle w:val="68"/>
        <w:rPr>
          <w:bCs/>
          <w:highlight w:val="yellow"/>
          <w:u w:val="single"/>
        </w:rPr>
      </w:pPr>
      <w:r>
        <w:rPr>
          <w:u w:val="single"/>
        </w:rPr>
        <w:pict>
          <v:shape id="_x0000_s2296" o:spid="_x0000_s2296" o:spt="75" alt="" type="#_x0000_t75" style="position:absolute;left:0pt;margin-left:15.55pt;margin-top:346.7pt;height:67.95pt;width:63.25pt;mso-position-horizontal-relative:margin;mso-position-vertical-relative:margin;z-index:251666432;mso-width-relative:page;mso-height-relative:page;" o:ole="t" filled="f" o:preferrelative="t" stroked="f" coordsize="21600,21600">
            <v:path/>
            <v:fill on="f" focussize="0,0"/>
            <v:stroke on="f"/>
            <v:imagedata r:id="rId118" o:title=""/>
            <o:lock v:ext="edit" aspectratio="t"/>
          </v:shape>
          <o:OLEObject Type="Embed" ProgID="Visio.Drawing.15" ShapeID="_x0000_s2296" DrawAspect="Content" ObjectID="_1468075737" r:id="rId132">
            <o:LockedField>false</o:LockedField>
          </o:OLEObject>
        </w:pict>
      </w:r>
      <w:r>
        <w:rPr>
          <w:u w:val="single"/>
        </w:rPr>
        <w:drawing>
          <wp:inline distT="0" distB="0" distL="0" distR="0">
            <wp:extent cx="4895850" cy="4135120"/>
            <wp:effectExtent l="19050" t="19050" r="19050" b="17780"/>
            <wp:docPr id="679056271" name="图片 1" descr="图片包含 塑料, 玩具, 显示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6271" name="图片 1" descr="图片包含 塑料, 玩具, 显示器&#10;&#10;描述已自动生成"/>
                    <pic:cNvPicPr>
                      <a:picLocks noChangeAspect="1"/>
                    </pic:cNvPicPr>
                  </pic:nvPicPr>
                  <pic:blipFill>
                    <a:blip r:embed="rId133"/>
                    <a:stretch>
                      <a:fillRect/>
                    </a:stretch>
                  </pic:blipFill>
                  <pic:spPr>
                    <a:xfrm>
                      <a:off x="0" y="0"/>
                      <a:ext cx="4906523" cy="4144545"/>
                    </a:xfrm>
                    <a:prstGeom prst="rect">
                      <a:avLst/>
                    </a:prstGeom>
                    <a:ln w="12700">
                      <a:solidFill>
                        <a:schemeClr val="tx1"/>
                      </a:solidFill>
                    </a:ln>
                  </pic:spPr>
                </pic:pic>
              </a:graphicData>
            </a:graphic>
          </wp:inline>
        </w:drawing>
      </w:r>
    </w:p>
    <w:p w14:paraId="1D3EDF2E">
      <w:pPr>
        <w:pStyle w:val="68"/>
        <w:numPr>
          <w:ilvl w:val="0"/>
          <w:numId w:val="29"/>
        </w:numPr>
        <w:rPr>
          <w:bCs/>
          <w:u w:val="single"/>
        </w:rPr>
      </w:pPr>
      <w:r>
        <w:rPr>
          <w:bCs/>
          <w:u w:val="single"/>
        </w:rPr>
        <w:t xml:space="preserve">  7300天污染晕迁移分布图（</w:t>
      </w:r>
      <w:r>
        <w:rPr>
          <w:rFonts w:hint="eastAsia"/>
          <w:bCs/>
          <w:u w:val="single"/>
        </w:rPr>
        <w:t>石油类</w:t>
      </w:r>
      <w:r>
        <w:rPr>
          <w:bCs/>
          <w:u w:val="single"/>
        </w:rPr>
        <w:t>）</w:t>
      </w:r>
    </w:p>
    <w:p w14:paraId="1D3EDF2F">
      <w:pPr>
        <w:pStyle w:val="7"/>
        <w:rPr>
          <w:bCs/>
        </w:rPr>
      </w:pPr>
      <w:r>
        <w:rPr>
          <w:bCs/>
        </w:rPr>
        <w:t>非正常工况地下水污染预测评价</w:t>
      </w:r>
    </w:p>
    <w:p w14:paraId="1D3EDF30">
      <w:pPr>
        <w:ind w:firstLine="480"/>
        <w:rPr>
          <w:u w:val="single"/>
        </w:rPr>
      </w:pPr>
      <w:r>
        <w:rPr>
          <w:u w:val="single"/>
        </w:rPr>
        <w:t>（1）耗氧量</w:t>
      </w:r>
    </w:p>
    <w:p w14:paraId="1D3EDF31">
      <w:pPr>
        <w:ind w:firstLine="480"/>
        <w:rPr>
          <w:u w:val="single"/>
        </w:rPr>
      </w:pPr>
      <w:r>
        <w:rPr>
          <w:rFonts w:hint="eastAsia"/>
          <w:u w:val="single"/>
        </w:rPr>
        <w:t>经预测</w:t>
      </w:r>
      <w:r>
        <w:rPr>
          <w:u w:val="single"/>
        </w:rPr>
        <w:t>，</w:t>
      </w:r>
      <w:r>
        <w:rPr>
          <w:rFonts w:hint="eastAsia"/>
          <w:u w:val="single"/>
        </w:rPr>
        <w:t>如下图，</w:t>
      </w:r>
      <w:r>
        <w:rPr>
          <w:u w:val="single"/>
        </w:rPr>
        <w:t>泄漏发生后厂界处地下水中耗氧量浓度先增大后减小，泄漏发生后约</w:t>
      </w:r>
      <w:r>
        <w:rPr>
          <w:rFonts w:hint="eastAsia"/>
          <w:u w:val="single"/>
        </w:rPr>
        <w:t>2230</w:t>
      </w:r>
      <w:r>
        <w:rPr>
          <w:u w:val="single"/>
        </w:rPr>
        <w:t>天时，浓度达到最大值</w:t>
      </w:r>
      <w:r>
        <w:rPr>
          <w:rFonts w:hint="eastAsia"/>
          <w:u w:val="single"/>
        </w:rPr>
        <w:t>63.3</w:t>
      </w:r>
      <w:r>
        <w:rPr>
          <w:u w:val="single"/>
        </w:rPr>
        <w:t>mg/L，</w:t>
      </w:r>
      <w:r>
        <w:rPr>
          <w:rFonts w:hint="eastAsia"/>
          <w:u w:val="single"/>
        </w:rPr>
        <w:t>叠加现状值后高于</w:t>
      </w:r>
      <w:r>
        <w:rPr>
          <w:u w:val="single"/>
        </w:rPr>
        <w:t>标准值3.0mg/L，之后浓度缓慢下降，</w:t>
      </w:r>
      <w:r>
        <w:rPr>
          <w:rFonts w:hint="eastAsia"/>
          <w:u w:val="single"/>
        </w:rPr>
        <w:t>泄露发生约8780天后，浓度降为1.5mg/L，叠加现状值后小于</w:t>
      </w:r>
      <w:r>
        <w:rPr>
          <w:u w:val="single"/>
        </w:rPr>
        <w:t>标准值3.0mg/L</w:t>
      </w:r>
      <w:r>
        <w:rPr>
          <w:rFonts w:hint="eastAsia"/>
          <w:u w:val="single"/>
        </w:rPr>
        <w:t>，详情见下图。</w:t>
      </w:r>
    </w:p>
    <w:p w14:paraId="1D3EDF32">
      <w:pPr>
        <w:pStyle w:val="68"/>
        <w:rPr>
          <w:bCs/>
          <w:highlight w:val="yellow"/>
          <w:u w:val="single"/>
        </w:rPr>
      </w:pPr>
    </w:p>
    <w:p w14:paraId="1D3EDF33">
      <w:pPr>
        <w:pStyle w:val="68"/>
        <w:rPr>
          <w:bCs/>
          <w:highlight w:val="yellow"/>
          <w:u w:val="single"/>
        </w:rPr>
      </w:pPr>
      <w:r>
        <w:rPr>
          <w:u w:val="single"/>
        </w:rPr>
        <w:drawing>
          <wp:inline distT="0" distB="0" distL="0" distR="0">
            <wp:extent cx="4572000" cy="2760980"/>
            <wp:effectExtent l="0" t="0" r="0" b="1270"/>
            <wp:docPr id="98153568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1D3EDF34">
      <w:pPr>
        <w:pStyle w:val="68"/>
        <w:numPr>
          <w:ilvl w:val="0"/>
          <w:numId w:val="29"/>
        </w:numPr>
        <w:rPr>
          <w:bCs/>
          <w:u w:val="single"/>
        </w:rPr>
      </w:pPr>
      <w:r>
        <w:rPr>
          <w:bCs/>
          <w:u w:val="single"/>
        </w:rPr>
        <w:t>厂区</w:t>
      </w:r>
      <w:r>
        <w:rPr>
          <w:rFonts w:hint="eastAsia"/>
          <w:bCs/>
          <w:u w:val="single"/>
        </w:rPr>
        <w:t>调节池</w:t>
      </w:r>
      <w:r>
        <w:rPr>
          <w:bCs/>
          <w:u w:val="single"/>
        </w:rPr>
        <w:t>渗漏下游厂界耗氧量浓度变化曲线图</w:t>
      </w:r>
    </w:p>
    <w:p w14:paraId="1D3EDF35">
      <w:pPr>
        <w:ind w:firstLine="480"/>
        <w:rPr>
          <w:u w:val="single"/>
        </w:rPr>
      </w:pPr>
      <w:r>
        <w:rPr>
          <w:u w:val="single"/>
        </w:rPr>
        <w:t>（2）</w:t>
      </w:r>
      <w:r>
        <w:rPr>
          <w:rFonts w:hint="eastAsia"/>
          <w:u w:val="single"/>
        </w:rPr>
        <w:t>石油类</w:t>
      </w:r>
    </w:p>
    <w:p w14:paraId="1D3EDF36">
      <w:pPr>
        <w:ind w:firstLine="480"/>
        <w:rPr>
          <w:b/>
          <w:bCs/>
          <w:highlight w:val="yellow"/>
          <w:u w:val="single"/>
        </w:rPr>
      </w:pPr>
      <w:r>
        <w:rPr>
          <w:rFonts w:hint="eastAsia"/>
          <w:u w:val="single"/>
        </w:rPr>
        <w:t>经预测</w:t>
      </w:r>
      <w:r>
        <w:rPr>
          <w:u w:val="single"/>
        </w:rPr>
        <w:t>，</w:t>
      </w:r>
      <w:r>
        <w:rPr>
          <w:rFonts w:hint="eastAsia"/>
          <w:u w:val="single"/>
        </w:rPr>
        <w:t>如下图，</w:t>
      </w:r>
      <w:r>
        <w:rPr>
          <w:u w:val="single"/>
        </w:rPr>
        <w:t>泄漏发生后厂界处地下水中</w:t>
      </w:r>
      <w:r>
        <w:rPr>
          <w:rFonts w:hint="eastAsia"/>
          <w:u w:val="single"/>
        </w:rPr>
        <w:t>石油类</w:t>
      </w:r>
      <w:r>
        <w:rPr>
          <w:u w:val="single"/>
        </w:rPr>
        <w:t>浓度先增大后减小，泄漏发生后约</w:t>
      </w:r>
      <w:r>
        <w:rPr>
          <w:rFonts w:hint="eastAsia"/>
          <w:u w:val="single"/>
        </w:rPr>
        <w:t>1000</w:t>
      </w:r>
      <w:r>
        <w:rPr>
          <w:u w:val="single"/>
        </w:rPr>
        <w:t>天时，浓度达到最大值0.00</w:t>
      </w:r>
      <w:r>
        <w:rPr>
          <w:rFonts w:hint="eastAsia"/>
          <w:u w:val="single"/>
        </w:rPr>
        <w:t>743</w:t>
      </w:r>
      <w:r>
        <w:rPr>
          <w:u w:val="single"/>
        </w:rPr>
        <w:t>mg/L，之后浓度缓慢下降</w:t>
      </w:r>
      <w:r>
        <w:rPr>
          <w:rFonts w:hint="eastAsia"/>
          <w:u w:val="single"/>
        </w:rPr>
        <w:t>，详情见下图。</w:t>
      </w:r>
    </w:p>
    <w:p w14:paraId="1D3EDF37">
      <w:pPr>
        <w:pStyle w:val="68"/>
        <w:rPr>
          <w:bCs/>
          <w:highlight w:val="yellow"/>
          <w:u w:val="single"/>
        </w:rPr>
      </w:pPr>
      <w:r>
        <w:rPr>
          <w:u w:val="single"/>
        </w:rPr>
        <w:drawing>
          <wp:inline distT="0" distB="0" distL="0" distR="0">
            <wp:extent cx="4572000" cy="2743200"/>
            <wp:effectExtent l="0" t="0" r="0" b="0"/>
            <wp:docPr id="102504744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D3EDF38">
      <w:pPr>
        <w:pStyle w:val="68"/>
        <w:numPr>
          <w:ilvl w:val="0"/>
          <w:numId w:val="29"/>
        </w:numPr>
        <w:rPr>
          <w:bCs/>
          <w:u w:val="single"/>
        </w:rPr>
      </w:pPr>
      <w:r>
        <w:rPr>
          <w:bCs/>
          <w:u w:val="single"/>
        </w:rPr>
        <w:t xml:space="preserve">  厂区</w:t>
      </w:r>
      <w:r>
        <w:rPr>
          <w:rFonts w:hint="eastAsia"/>
          <w:bCs/>
          <w:u w:val="single"/>
        </w:rPr>
        <w:t>调节池</w:t>
      </w:r>
      <w:r>
        <w:rPr>
          <w:bCs/>
          <w:u w:val="single"/>
        </w:rPr>
        <w:t>渗漏下游厂界</w:t>
      </w:r>
      <w:r>
        <w:rPr>
          <w:rFonts w:hint="eastAsia"/>
          <w:bCs/>
          <w:u w:val="single"/>
        </w:rPr>
        <w:t>石油类</w:t>
      </w:r>
      <w:r>
        <w:rPr>
          <w:bCs/>
          <w:u w:val="single"/>
        </w:rPr>
        <w:t>浓度变化曲线图</w:t>
      </w:r>
    </w:p>
    <w:p w14:paraId="183B691A">
      <w:pPr>
        <w:pStyle w:val="7"/>
        <w:rPr>
          <w:bCs/>
          <w:u w:val="single"/>
        </w:rPr>
      </w:pPr>
      <w:r>
        <w:rPr>
          <w:bCs/>
          <w:u w:val="single"/>
        </w:rPr>
        <w:t>污染物迁移对地下水环境敏感目标的影响</w:t>
      </w:r>
    </w:p>
    <w:p w14:paraId="49A13264">
      <w:pPr>
        <w:ind w:firstLine="480"/>
        <w:rPr>
          <w:u w:val="single"/>
        </w:rPr>
      </w:pPr>
      <w:r>
        <w:rPr>
          <w:u w:val="single"/>
        </w:rPr>
        <w:t>非正常工况下污染物预测结果可知：污水处理站</w:t>
      </w:r>
      <w:r>
        <w:rPr>
          <w:rFonts w:hint="eastAsia"/>
          <w:u w:val="single"/>
        </w:rPr>
        <w:t>调节池</w:t>
      </w:r>
      <w:r>
        <w:rPr>
          <w:u w:val="single"/>
        </w:rPr>
        <w:t>池底渗漏，20年内污染物的最大运移距离约为</w:t>
      </w:r>
      <w:r>
        <w:rPr>
          <w:rFonts w:hint="eastAsia"/>
          <w:u w:val="single"/>
        </w:rPr>
        <w:t>203</w:t>
      </w:r>
      <w:r>
        <w:rPr>
          <w:u w:val="single"/>
        </w:rPr>
        <w:t>m，最近的下游供水井距最大影响范围距离约为</w:t>
      </w:r>
      <w:r>
        <w:rPr>
          <w:rFonts w:hint="eastAsia"/>
          <w:u w:val="single"/>
        </w:rPr>
        <w:t>90</w:t>
      </w:r>
      <w:r>
        <w:rPr>
          <w:u w:val="single"/>
        </w:rPr>
        <w:t>0m，因次本项目建设不会对评价范围内敏感目标产生影响。</w:t>
      </w:r>
    </w:p>
    <w:p w14:paraId="6EEA817F">
      <w:pPr>
        <w:ind w:firstLine="480"/>
        <w:rPr>
          <w:u w:val="single"/>
        </w:rPr>
      </w:pPr>
      <w:r>
        <w:rPr>
          <w:u w:val="single"/>
        </w:rPr>
        <w:t>综合分析，正常状况下，项目建设按照《一般工业固体废物贮存、处置场污染控制标准》（GB18599）等相关规范的要求进行防渗处理，污水不会渗漏进入地下造成污染。</w:t>
      </w:r>
    </w:p>
    <w:p w14:paraId="5BC2E0D5">
      <w:pPr>
        <w:ind w:firstLine="480"/>
        <w:rPr>
          <w:u w:val="single"/>
        </w:rPr>
      </w:pPr>
      <w:r>
        <w:rPr>
          <w:u w:val="single"/>
        </w:rPr>
        <w:t>在非正常情况下，污水处理站调节池池底渗漏后地下水中耗氧量、</w:t>
      </w:r>
      <w:r>
        <w:rPr>
          <w:rFonts w:hint="eastAsia"/>
          <w:u w:val="single"/>
        </w:rPr>
        <w:t>石油类（无标准）</w:t>
      </w:r>
      <w:r>
        <w:rPr>
          <w:u w:val="single"/>
        </w:rPr>
        <w:t>等个别预测因子虽有检出但不会出现超标现象，随着时间的推移个别污染羽运移距离相应的会有所扩大，但在及时发现并采取措施后，污染物不再渗漏，影响的范围逐渐缩小，泄漏污染可控，不会对下游的敏感目标造成影响。</w:t>
      </w:r>
    </w:p>
    <w:p w14:paraId="1D3EDF39">
      <w:pPr>
        <w:ind w:firstLine="480"/>
        <w:rPr>
          <w:u w:val="single"/>
        </w:rPr>
      </w:pPr>
      <w:r>
        <w:rPr>
          <w:u w:val="single"/>
        </w:rPr>
        <w:t>针对预测结果，本次环评提出了相应的防控方案，在落实本环评提出的措施情况下，综合考虑，该项目对地下水环境影响可接受。</w:t>
      </w:r>
    </w:p>
    <w:p w14:paraId="1D3EDF3A">
      <w:pPr>
        <w:pStyle w:val="5"/>
        <w:spacing w:before="240" w:after="240"/>
      </w:pPr>
      <w:r>
        <w:t>地下水污染监控与应急措施</w:t>
      </w:r>
    </w:p>
    <w:p w14:paraId="1D3EDF3B">
      <w:pPr>
        <w:ind w:firstLine="480"/>
      </w:pPr>
      <w:r>
        <w:t>本项目为基础化学原料制造项目，在原辅材料及产品的储存、输送、生产和污水收集处理过程中，各种有毒有害原辅材料、中间物料、产品及污染物有可能发生泄漏（含跑、冒、滴、漏），如不采取合理的防治措施，则污染物有可能渗入地下水，从而影响地下水环境。</w:t>
      </w:r>
    </w:p>
    <w:p w14:paraId="1D3EDF3C">
      <w:pPr>
        <w:ind w:firstLine="480"/>
      </w:pPr>
      <w:r>
        <w:t>针对工程可能发生的地下水污染，地下水污染防治措施按照“源头控制、末端防治、污染监控、应急响应”相结合的原则，从污染物的产生、入渗、扩散、应急响应全阶段进行控制。</w:t>
      </w:r>
    </w:p>
    <w:p w14:paraId="1D3EDF3D">
      <w:pPr>
        <w:pStyle w:val="6"/>
        <w:numPr>
          <w:ilvl w:val="3"/>
          <w:numId w:val="30"/>
        </w:numPr>
        <w:ind w:left="567"/>
      </w:pPr>
      <w:r>
        <w:t>地下水环境保护管理</w:t>
      </w:r>
    </w:p>
    <w:p w14:paraId="1D3EDF3E">
      <w:pPr>
        <w:adjustRightInd/>
        <w:snapToGrid/>
        <w:ind w:firstLine="496"/>
        <w:textAlignment w:val="auto"/>
        <w:rPr>
          <w:spacing w:val="4"/>
          <w:szCs w:val="24"/>
        </w:rPr>
      </w:pPr>
      <w:r>
        <w:rPr>
          <w:spacing w:val="4"/>
          <w:szCs w:val="24"/>
        </w:rPr>
        <w:t>为了缓解项目区对地下水环境构成的影响，建设单位必须制订全面、长期的环境管理计划。根据环评提出的主要环境问题，环保措施，提出项目的环境管理计划，供各级部门对该项目进行环境管理时参考。</w:t>
      </w:r>
    </w:p>
    <w:p w14:paraId="1D3EDF3F">
      <w:pPr>
        <w:adjustRightInd/>
        <w:snapToGrid/>
        <w:ind w:firstLine="496"/>
        <w:textAlignment w:val="auto"/>
        <w:rPr>
          <w:spacing w:val="4"/>
          <w:szCs w:val="24"/>
        </w:rPr>
      </w:pPr>
      <w:r>
        <w:rPr>
          <w:spacing w:val="4"/>
          <w:szCs w:val="24"/>
        </w:rPr>
        <w:t>如按照“三同时”原则加强监督、建立和健全长效环境管理机制、项目区设置环保专员或兼职人员，运营开始同步开展工作、项目区管理人员定期进行汇总报告和总结等等。</w:t>
      </w:r>
    </w:p>
    <w:p w14:paraId="1D3EDF40">
      <w:pPr>
        <w:pStyle w:val="6"/>
        <w:numPr>
          <w:ilvl w:val="3"/>
          <w:numId w:val="30"/>
        </w:numPr>
        <w:ind w:left="567"/>
      </w:pPr>
      <w:r>
        <w:t>地下水污染防治措施</w:t>
      </w:r>
    </w:p>
    <w:p w14:paraId="1D3EDF41">
      <w:pPr>
        <w:ind w:firstLine="480"/>
      </w:pPr>
      <w:r>
        <w:t>为防止入区企业涉及的有毒、有害物料及含有污染物的介质泄、渗漏对地下水造成污染，应从物料储存、装卸、运输、生产过程以及污染处理设施等全过程控制有毒、有害物料及含有污染物的介质泄、渗漏，同时对有害物质可能泄漏到地面的区域采取防渗措施，阻止其渗入地下水中，即从源头到末端全方位采取控制措施。</w:t>
      </w:r>
    </w:p>
    <w:p w14:paraId="1D3EDF42">
      <w:pPr>
        <w:ind w:firstLine="480"/>
      </w:pPr>
      <w:r>
        <w:t>（1）源头控制措施：工程设计管道、阀门、设备均采用国内质量可靠的管道、阀门、设备，安排专人负责设备、阀门、管道日常巡视工作，发现物料及废水跑、冒、滴、漏，及时处理，将污染物泄漏的环境风险事故降到最低限度。</w:t>
      </w:r>
    </w:p>
    <w:p w14:paraId="1D3EDF43">
      <w:pPr>
        <w:ind w:firstLine="480"/>
      </w:pPr>
      <w:r>
        <w:t>（2）分区防治措施：</w:t>
      </w:r>
    </w:p>
    <w:p w14:paraId="1D3EDF44">
      <w:pPr>
        <w:ind w:firstLine="480"/>
      </w:pPr>
      <w:r>
        <w:t>根据项目物料和工艺特点和污染途径，提出项目厂区防渗技术要求，本项目厂区按照功能分区不同分为一般污染防控区和重点污染防控区，具体分区及防渗等级要求详见污染防治措施章节。</w:t>
      </w:r>
    </w:p>
    <w:p w14:paraId="1D3EDF45">
      <w:pPr>
        <w:ind w:firstLine="480"/>
      </w:pPr>
      <w:r>
        <w:t>（3）跟踪检测：建立开发区的地下水污染监控系统，包括建立完善的监测制度、配备先进的检测仪器和设备、科学、合理设置地下水污染监控井，及时发现污染、及时控制，地下水跟踪检测井布置及检测周期等详见环境管理与监测计划章节；</w:t>
      </w:r>
    </w:p>
    <w:p w14:paraId="1D3EDF46">
      <w:pPr>
        <w:ind w:firstLine="480"/>
      </w:pPr>
      <w:r>
        <w:t>（4）应急响应措施：制定地下水风险事故应急响应预案，明确风险事故状态下应采取的封闭、截流等措施，提出防止受污染的地下水扩散和对受污染的地下水进行治理的具体方案。</w:t>
      </w:r>
    </w:p>
    <w:p w14:paraId="1D3EDF47">
      <w:pPr>
        <w:pStyle w:val="6"/>
        <w:numPr>
          <w:ilvl w:val="3"/>
          <w:numId w:val="30"/>
        </w:numPr>
        <w:ind w:left="567"/>
      </w:pPr>
      <w:r>
        <w:t>地下水污染应急措施</w:t>
      </w:r>
    </w:p>
    <w:p w14:paraId="1D3EDF48">
      <w:pPr>
        <w:ind w:firstLine="480"/>
      </w:pPr>
      <w:r>
        <w:t>（1）应急治理程序</w:t>
      </w:r>
    </w:p>
    <w:p w14:paraId="1D3EDF49">
      <w:pPr>
        <w:ind w:firstLine="480"/>
      </w:pPr>
      <w:r>
        <w:t>针对应急工作需要，参照“场地环境保护标准体系”的相关技术导则，结合地下水污染治理的技术特点，制定地下水污染应急治理程序见图5.3-39。</w:t>
      </w:r>
    </w:p>
    <w:p w14:paraId="1D3EDF4A">
      <w:pPr>
        <w:ind w:firstLine="480"/>
      </w:pPr>
      <w:r>
        <w:t>（2）地下水污染治理措施</w:t>
      </w:r>
    </w:p>
    <w:p w14:paraId="1D3EDF4B">
      <w:pPr>
        <w:ind w:firstLine="480"/>
      </w:pPr>
      <w:r>
        <w:t>地下水污染治理技术归纳起来主要有：物理处理法、水动力控制法、抽出处理法、原位处理法等。</w:t>
      </w:r>
    </w:p>
    <w:p w14:paraId="1D3EDF4C">
      <w:pPr>
        <w:ind w:firstLine="480"/>
      </w:pPr>
      <w:r>
        <w:t>1）建议治理措施</w:t>
      </w:r>
    </w:p>
    <w:p w14:paraId="1D3EDF4D">
      <w:pPr>
        <w:ind w:firstLine="480"/>
      </w:pPr>
      <w:r>
        <w:t>当发生污染事故时，污染物的运移距离有限，因此建议采取如下污染治理措施。</w:t>
      </w:r>
    </w:p>
    <w:p w14:paraId="1D3EDF4E">
      <w:pPr>
        <w:ind w:firstLine="480"/>
      </w:pPr>
      <w:r>
        <w:rPr>
          <w:rFonts w:hint="eastAsia" w:ascii="宋体" w:hAnsi="宋体" w:cs="宋体"/>
        </w:rPr>
        <w:t>①</w:t>
      </w:r>
      <w:r>
        <w:t>一旦发生地下水污染事故，应立即启动应急预案。</w:t>
      </w:r>
    </w:p>
    <w:p w14:paraId="1D3EDF4F">
      <w:pPr>
        <w:ind w:firstLine="480"/>
      </w:pPr>
      <w:r>
        <w:rPr>
          <w:rFonts w:hint="eastAsia" w:ascii="宋体" w:hAnsi="宋体" w:cs="宋体"/>
        </w:rPr>
        <w:t>②</w:t>
      </w:r>
      <w:r>
        <w:t>查明并切断污染源。</w:t>
      </w:r>
    </w:p>
    <w:p w14:paraId="1D3EDF50">
      <w:pPr>
        <w:ind w:firstLine="480"/>
      </w:pPr>
      <w:r>
        <w:rPr>
          <w:rFonts w:hint="eastAsia" w:ascii="宋体" w:hAnsi="宋体" w:cs="宋体"/>
        </w:rPr>
        <w:t>③</w:t>
      </w:r>
      <w:r>
        <w:t>探明地下水污染深度、范围和污染程度。</w:t>
      </w:r>
    </w:p>
    <w:p w14:paraId="1D3EDF51">
      <w:pPr>
        <w:ind w:firstLine="480"/>
      </w:pPr>
      <w:r>
        <w:rPr>
          <w:rFonts w:hint="eastAsia" w:ascii="宋体" w:hAnsi="宋体" w:cs="宋体"/>
        </w:rPr>
        <w:t>④</w:t>
      </w:r>
      <w:r>
        <w:t>依据探明的地下水污染情况和污染场地的岩性特征，合理布置抽水井的深度及间距，并进行试抽工作。</w:t>
      </w:r>
    </w:p>
    <w:p w14:paraId="1D3EDF52">
      <w:pPr>
        <w:ind w:firstLine="480"/>
      </w:pPr>
      <w:r>
        <w:rPr>
          <w:rFonts w:hint="eastAsia" w:ascii="宋体" w:hAnsi="宋体" w:cs="宋体"/>
        </w:rPr>
        <w:t>⑤</w:t>
      </w:r>
      <w:r>
        <w:t>依据抽水设计方案进行施工，抽取被污染的地下水体，并依据各井孔出水情况进行调整。</w:t>
      </w:r>
    </w:p>
    <w:p w14:paraId="1D3EDF53">
      <w:pPr>
        <w:ind w:firstLine="480"/>
      </w:pPr>
      <w:r>
        <w:rPr>
          <w:rFonts w:hint="eastAsia" w:ascii="宋体" w:hAnsi="宋体" w:cs="宋体"/>
        </w:rPr>
        <w:t>⑥</w:t>
      </w:r>
      <w:r>
        <w:t>将抽取的地下水进行集中收集处理，并送实验室进行化验分析。</w:t>
      </w:r>
    </w:p>
    <w:p w14:paraId="1D3EDF54">
      <w:pPr>
        <w:ind w:firstLine="480"/>
      </w:pPr>
      <w:r>
        <w:rPr>
          <w:rFonts w:hint="eastAsia" w:ascii="宋体" w:hAnsi="宋体" w:cs="宋体"/>
        </w:rPr>
        <w:t>⑦</w:t>
      </w:r>
      <w:r>
        <w:t>当地下水中的特征污染物浓度满足地下水功能区划的标准后，逐步停止井点抽水，并进行土壤修复治理工作。</w:t>
      </w:r>
    </w:p>
    <w:p w14:paraId="1D3EDF55">
      <w:pPr>
        <w:widowControl/>
        <w:adjustRightInd/>
        <w:snapToGrid/>
        <w:spacing w:line="360" w:lineRule="auto"/>
        <w:ind w:firstLine="480" w:firstLineChars="0"/>
        <w:jc w:val="center"/>
        <w:textAlignment w:val="auto"/>
        <w:rPr>
          <w:kern w:val="2"/>
          <w:sz w:val="21"/>
          <w:szCs w:val="24"/>
        </w:rPr>
      </w:pPr>
      <w:r>
        <w:rPr>
          <w:rFonts w:eastAsia="楷体_GB2312"/>
          <w:b/>
          <w:kern w:val="2"/>
          <w:szCs w:val="21"/>
        </w:rPr>
        <w:drawing>
          <wp:inline distT="0" distB="0" distL="0" distR="0">
            <wp:extent cx="4308475" cy="5303520"/>
            <wp:effectExtent l="0" t="0" r="15875" b="11430"/>
            <wp:docPr id="1385200874" name="图片 138520087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0874" name="图片 1385200874" descr="未命名"/>
                    <pic:cNvPicPr>
                      <a:picLocks noChangeAspect="1" noChangeArrowheads="1"/>
                    </pic:cNvPicPr>
                  </pic:nvPicPr>
                  <pic:blipFill>
                    <a:blip r:embed="rId136"/>
                    <a:srcRect/>
                    <a:stretch>
                      <a:fillRect/>
                    </a:stretch>
                  </pic:blipFill>
                  <pic:spPr>
                    <a:xfrm>
                      <a:off x="0" y="0"/>
                      <a:ext cx="4308475" cy="5303520"/>
                    </a:xfrm>
                    <a:prstGeom prst="rect">
                      <a:avLst/>
                    </a:prstGeom>
                    <a:noFill/>
                    <a:ln>
                      <a:noFill/>
                    </a:ln>
                  </pic:spPr>
                </pic:pic>
              </a:graphicData>
            </a:graphic>
          </wp:inline>
        </w:drawing>
      </w:r>
    </w:p>
    <w:p w14:paraId="1D3EDF56">
      <w:pPr>
        <w:pStyle w:val="68"/>
        <w:numPr>
          <w:ilvl w:val="0"/>
          <w:numId w:val="29"/>
        </w:numPr>
      </w:pPr>
      <w:r>
        <w:t xml:space="preserve">  地下水污染</w:t>
      </w:r>
      <w:r>
        <w:rPr>
          <w:bCs/>
        </w:rPr>
        <w:t>应急</w:t>
      </w:r>
      <w:r>
        <w:t>治理程序框图</w:t>
      </w:r>
    </w:p>
    <w:p w14:paraId="1D3EDF57">
      <w:pPr>
        <w:ind w:firstLine="480"/>
      </w:pPr>
      <w:r>
        <w:t>2）应注意的问题</w:t>
      </w:r>
    </w:p>
    <w:p w14:paraId="1D3EDF58">
      <w:pPr>
        <w:ind w:firstLine="480"/>
      </w:pPr>
      <w:r>
        <w:t>地下水污染的治理相对于地表水来说更加复杂，在进行具体的治理时，还需要考虑以下因素：</w:t>
      </w:r>
    </w:p>
    <w:p w14:paraId="1D3EDF59">
      <w:pPr>
        <w:ind w:firstLine="480"/>
      </w:pPr>
      <w:r>
        <w:rPr>
          <w:rFonts w:hint="eastAsia" w:ascii="宋体" w:hAnsi="宋体" w:cs="宋体"/>
        </w:rPr>
        <w:t>①</w:t>
      </w:r>
      <w:r>
        <w:t>在具体的地下水污染治理中，往往要多种技术结合使用。一般在治理初期，先使用物理法或水动力控制法将污染区封闭，然后尽量收集纯污染物如油类等，最后再使用抽出处理法或原位法进行治理。</w:t>
      </w:r>
    </w:p>
    <w:p w14:paraId="1D3EDF5A">
      <w:pPr>
        <w:ind w:firstLine="480"/>
      </w:pPr>
      <w:r>
        <w:rPr>
          <w:rFonts w:hint="eastAsia" w:ascii="宋体" w:hAnsi="宋体" w:cs="宋体"/>
        </w:rPr>
        <w:t>②</w:t>
      </w:r>
      <w:r>
        <w:t>因为污染区域的水文地质条件和地球化学特性都会影响到地下水污染的治理，因此地下水污染的治理通常要以水文地质工作为前提。</w:t>
      </w:r>
    </w:p>
    <w:p w14:paraId="1D3EDF5B">
      <w:pPr>
        <w:ind w:firstLine="480"/>
      </w:pPr>
      <w:r>
        <w:rPr>
          <w:rFonts w:hint="eastAsia" w:ascii="宋体" w:hAnsi="宋体" w:cs="宋体"/>
        </w:rPr>
        <w:t>③</w:t>
      </w:r>
      <w:r>
        <w:t>受污染地下水的修复往往还要包括土壤的修复。地下水和土壤是相互作用的，如果只治理了受污染的地下水而不治理土壤，由于雨水的淋滤或地下水位的波动，污染物会再次进入地下水体，形成交叉污染，使地下水的治理前功尽弃。</w:t>
      </w:r>
    </w:p>
    <w:p w14:paraId="1D3EDF5C">
      <w:pPr>
        <w:ind w:firstLine="480"/>
      </w:pPr>
      <w:r>
        <w:rPr>
          <w:rFonts w:hint="eastAsia" w:ascii="宋体" w:hAnsi="宋体" w:cs="宋体"/>
        </w:rPr>
        <w:t>④</w:t>
      </w:r>
      <w:r>
        <w:t>在地下水污染治理过程中，地表水的截流也是一个需要考虑的问题，要防止地表水补给地下水，以免加大治理工作。</w:t>
      </w:r>
    </w:p>
    <w:p w14:paraId="1D3EDF5D">
      <w:pPr>
        <w:pStyle w:val="5"/>
        <w:spacing w:before="240" w:after="240"/>
      </w:pPr>
      <w:r>
        <w:t>地下水环境影响评价结论</w:t>
      </w:r>
    </w:p>
    <w:p w14:paraId="56B496D3">
      <w:pPr>
        <w:ind w:firstLine="480"/>
        <w:rPr>
          <w:bCs/>
          <w:highlight w:val="yellow"/>
        </w:rPr>
      </w:pPr>
      <w:r>
        <w:rPr>
          <w:rFonts w:hint="eastAsia"/>
          <w:bCs/>
        </w:rPr>
        <w:t>1、根据地下水导则，本次地下水环境影响评价等级为一级，地下水环境保护包括郭全屯村、龙王庙、下园村、辛庄村、八里屯村、郝庄村、岗曹村、东寺门村、薛屯村9个分散式饮用水水源井和勘查评价区内的潜水含水层。</w:t>
      </w:r>
    </w:p>
    <w:p w14:paraId="54113E7A">
      <w:pPr>
        <w:ind w:firstLine="480"/>
        <w:rPr>
          <w:bCs/>
        </w:rPr>
      </w:pPr>
      <w:r>
        <w:rPr>
          <w:rFonts w:hint="eastAsia"/>
          <w:bCs/>
        </w:rPr>
        <w:t>2、评价区浅层含水层岩性主要为卫河、黄河冲积物，以第四系粉质粘土和粉细砂为主。</w:t>
      </w:r>
    </w:p>
    <w:p w14:paraId="241959AF">
      <w:pPr>
        <w:ind w:firstLine="480"/>
      </w:pPr>
      <w:r>
        <w:t>3、大气降水是评价区地下水的主要补给来源，地下水动态类型为“气象—开采”型，由气象和人为开采等因素控制。</w:t>
      </w:r>
    </w:p>
    <w:p w14:paraId="7B925E72">
      <w:pPr>
        <w:ind w:firstLine="480"/>
        <w:rPr>
          <w:u w:val="single"/>
        </w:rPr>
      </w:pPr>
      <w:r>
        <w:rPr>
          <w:u w:val="single"/>
        </w:rPr>
        <w:t>4、监测结果显示厂区及其周边浅层地下水检测因子均未超标，能够满足《地下水质量标准》（GB/T14848-2017）III类标准要求。</w:t>
      </w:r>
    </w:p>
    <w:p w14:paraId="55DF0DD3">
      <w:pPr>
        <w:ind w:firstLine="480"/>
      </w:pPr>
      <w:r>
        <w:t>5、从泄漏概率、地面破损概率综合考虑，</w:t>
      </w:r>
      <w:r>
        <w:rPr>
          <w:rFonts w:hint="eastAsia"/>
        </w:rPr>
        <w:t>调节池废水</w:t>
      </w:r>
      <w:r>
        <w:t>渗入地下是概率很小的事件，如果采取适当的预防措施和应急处理措施，可以把对地下水环境的影响控制到地下水环境容量可以接受的程度，因此，建议企业生产项目建设前进行必要的地下水勘察工作，根据勘察成果按行业标准做出合理的工程设计和防渗措施，防止污染物下渗污染地下水。</w:t>
      </w:r>
    </w:p>
    <w:p w14:paraId="69223F20">
      <w:pPr>
        <w:ind w:firstLine="480"/>
      </w:pPr>
      <w:r>
        <w:t>6、评价要求建设单位在设计阶段应考虑相关规范进行地下水污染防治设计，施工阶段注意地下、半地下隐蔽工程的防渗处理，日常运营阶段加强设备维护、巡视，发现问题及时处置，从源头上遏止泄漏情况的发生；</w:t>
      </w:r>
    </w:p>
    <w:p w14:paraId="67118DC0">
      <w:pPr>
        <w:ind w:firstLine="480"/>
        <w:sectPr>
          <w:pgSz w:w="11907" w:h="16840"/>
          <w:pgMar w:top="1440" w:right="1797" w:bottom="1440" w:left="1797" w:header="907" w:footer="907" w:gutter="0"/>
          <w:cols w:space="425" w:num="1"/>
          <w:docGrid w:linePitch="380" w:charSpace="0"/>
        </w:sectPr>
      </w:pPr>
      <w:r>
        <w:t>综上所述，本次拟建项目结合区域水文地质条件、地下水环境质量现状、地下水污染防控措施、地下水预测分析等多方面情况，评价认为建设单位在落实评价各项地下水污染防控措施基础上，项目运营期内对区域地下水环境影响很小，项目建设可行。</w:t>
      </w:r>
    </w:p>
    <w:p w14:paraId="1D3EDF6E">
      <w:pPr>
        <w:pStyle w:val="4"/>
      </w:pPr>
      <w:bookmarkStart w:id="305" w:name="_Toc324839623"/>
      <w:bookmarkStart w:id="306" w:name="_Toc227946421"/>
      <w:bookmarkStart w:id="307" w:name="_Toc198193463"/>
      <w:bookmarkStart w:id="308" w:name="_Toc324839326"/>
      <w:bookmarkStart w:id="309" w:name="_Toc311812650"/>
      <w:bookmarkStart w:id="310" w:name="_Toc176105872"/>
      <w:bookmarkStart w:id="311" w:name="_Toc324839625"/>
      <w:bookmarkStart w:id="312" w:name="_Toc324839328"/>
      <w:bookmarkStart w:id="313" w:name="_Toc118981623"/>
      <w:bookmarkStart w:id="314" w:name="_Toc311812666"/>
      <w:bookmarkStart w:id="315" w:name="_Toc33416097"/>
      <w:bookmarkStart w:id="316" w:name="_Toc457301422"/>
      <w:bookmarkStart w:id="317" w:name="_Toc456001776"/>
      <w:bookmarkStart w:id="318" w:name="_Toc453042555"/>
      <w:r>
        <w:t>声环境影响</w:t>
      </w:r>
      <w:bookmarkEnd w:id="305"/>
      <w:bookmarkEnd w:id="306"/>
      <w:bookmarkEnd w:id="307"/>
      <w:bookmarkEnd w:id="308"/>
      <w:bookmarkEnd w:id="309"/>
      <w:r>
        <w:t>评价</w:t>
      </w:r>
      <w:bookmarkEnd w:id="310"/>
    </w:p>
    <w:p w14:paraId="1D3EDF6F">
      <w:pPr>
        <w:pStyle w:val="5"/>
        <w:spacing w:before="240" w:after="240"/>
      </w:pPr>
      <w:bookmarkStart w:id="319" w:name="_Toc311812651"/>
      <w:bookmarkStart w:id="320" w:name="_Toc324839624"/>
      <w:bookmarkStart w:id="321" w:name="_Toc324839327"/>
      <w:r>
        <w:t>评价等级及评价范围</w:t>
      </w:r>
    </w:p>
    <w:p w14:paraId="1D3EDF70">
      <w:pPr>
        <w:ind w:firstLine="480"/>
        <w:rPr>
          <w:highlight w:val="yellow"/>
        </w:rPr>
      </w:pPr>
      <w:r>
        <w:t>根据《环境影响评价技术导则（声环境）》（HJ2.4-2021）中有关声环境影响评价工作等级划分原则，本次声环境评价工作等级为</w:t>
      </w:r>
      <w:r>
        <w:rPr>
          <w:rFonts w:hint="eastAsia"/>
        </w:rPr>
        <w:t>三</w:t>
      </w:r>
      <w:r>
        <w:t>级。详见下表。</w:t>
      </w:r>
    </w:p>
    <w:p w14:paraId="1D3EDF71">
      <w:pPr>
        <w:pStyle w:val="64"/>
        <w:numPr>
          <w:ilvl w:val="2"/>
          <w:numId w:val="32"/>
        </w:numPr>
        <w:spacing w:before="0" w:beforeLines="0" w:line="520" w:lineRule="exact"/>
        <w:ind w:left="0" w:firstLine="480" w:firstLineChars="200"/>
      </w:pPr>
      <w:r>
        <w:t xml:space="preserve">               声环境评价等级确定</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021"/>
      </w:tblGrid>
      <w:tr w14:paraId="1D3ED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3" w:type="dxa"/>
            <w:shd w:val="clear" w:color="auto" w:fill="auto"/>
            <w:vAlign w:val="center"/>
          </w:tcPr>
          <w:p w14:paraId="1D3EDF72">
            <w:pPr>
              <w:pStyle w:val="67"/>
              <w:rPr>
                <w:rFonts w:cs="Times New Roman"/>
                <w:color w:val="auto"/>
              </w:rPr>
            </w:pPr>
            <w:r>
              <w:rPr>
                <w:rFonts w:cs="Times New Roman"/>
                <w:color w:val="auto"/>
              </w:rPr>
              <w:t>项目</w:t>
            </w:r>
          </w:p>
        </w:tc>
        <w:tc>
          <w:tcPr>
            <w:tcW w:w="3910" w:type="dxa"/>
            <w:shd w:val="clear" w:color="auto" w:fill="auto"/>
            <w:vAlign w:val="center"/>
          </w:tcPr>
          <w:p w14:paraId="1D3EDF73">
            <w:pPr>
              <w:pStyle w:val="67"/>
              <w:rPr>
                <w:rFonts w:cs="Times New Roman"/>
                <w:color w:val="auto"/>
              </w:rPr>
            </w:pPr>
            <w:r>
              <w:rPr>
                <w:rFonts w:cs="Times New Roman"/>
                <w:color w:val="auto"/>
              </w:rPr>
              <w:t>指标</w:t>
            </w:r>
          </w:p>
        </w:tc>
      </w:tr>
      <w:tr w14:paraId="1D3ED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3" w:type="dxa"/>
            <w:shd w:val="clear" w:color="auto" w:fill="auto"/>
            <w:vAlign w:val="center"/>
          </w:tcPr>
          <w:p w14:paraId="1D3EDF75">
            <w:pPr>
              <w:pStyle w:val="62"/>
            </w:pPr>
            <w:r>
              <w:t>建设项目所在区功能</w:t>
            </w:r>
          </w:p>
        </w:tc>
        <w:tc>
          <w:tcPr>
            <w:tcW w:w="3910" w:type="dxa"/>
            <w:shd w:val="clear" w:color="auto" w:fill="auto"/>
            <w:vAlign w:val="center"/>
          </w:tcPr>
          <w:p w14:paraId="1D3EDF76">
            <w:pPr>
              <w:pStyle w:val="62"/>
              <w:rPr>
                <w:szCs w:val="20"/>
              </w:rPr>
            </w:pPr>
            <w:r>
              <w:rPr>
                <w:rFonts w:hint="eastAsia"/>
              </w:rPr>
              <w:t>3</w:t>
            </w:r>
            <w:r>
              <w:t>类</w:t>
            </w:r>
          </w:p>
        </w:tc>
      </w:tr>
      <w:tr w14:paraId="1D3ED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3" w:type="dxa"/>
            <w:shd w:val="clear" w:color="auto" w:fill="auto"/>
            <w:vAlign w:val="center"/>
          </w:tcPr>
          <w:p w14:paraId="1D3EDF78">
            <w:pPr>
              <w:pStyle w:val="62"/>
            </w:pPr>
            <w:r>
              <w:t>建设前后噪声级增加量</w:t>
            </w:r>
          </w:p>
        </w:tc>
        <w:tc>
          <w:tcPr>
            <w:tcW w:w="3910" w:type="dxa"/>
            <w:shd w:val="clear" w:color="auto" w:fill="auto"/>
            <w:vAlign w:val="center"/>
          </w:tcPr>
          <w:p w14:paraId="1D3EDF79">
            <w:pPr>
              <w:pStyle w:val="62"/>
              <w:rPr>
                <w:szCs w:val="20"/>
              </w:rPr>
            </w:pPr>
            <w:r>
              <w:rPr>
                <w:rFonts w:hint="eastAsia"/>
              </w:rPr>
              <w:t>评价范围内无声环境保护目标</w:t>
            </w:r>
          </w:p>
        </w:tc>
      </w:tr>
      <w:tr w14:paraId="1D3ED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3" w:type="dxa"/>
            <w:shd w:val="clear" w:color="auto" w:fill="auto"/>
            <w:vAlign w:val="center"/>
          </w:tcPr>
          <w:p w14:paraId="1D3EDF7B">
            <w:pPr>
              <w:pStyle w:val="62"/>
            </w:pPr>
            <w:r>
              <w:t>建设前后受影响人口变化情况</w:t>
            </w:r>
          </w:p>
        </w:tc>
        <w:tc>
          <w:tcPr>
            <w:tcW w:w="3910" w:type="dxa"/>
            <w:shd w:val="clear" w:color="auto" w:fill="auto"/>
            <w:vAlign w:val="center"/>
          </w:tcPr>
          <w:p w14:paraId="1D3EDF7C">
            <w:pPr>
              <w:pStyle w:val="62"/>
              <w:rPr>
                <w:szCs w:val="20"/>
              </w:rPr>
            </w:pPr>
            <w:r>
              <w:rPr>
                <w:rFonts w:hint="eastAsia"/>
                <w:bCs/>
              </w:rPr>
              <w:t>变化不大</w:t>
            </w:r>
          </w:p>
        </w:tc>
      </w:tr>
      <w:tr w14:paraId="1D3ED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3" w:type="dxa"/>
            <w:shd w:val="clear" w:color="auto" w:fill="auto"/>
            <w:vAlign w:val="center"/>
          </w:tcPr>
          <w:p w14:paraId="1D3EDF7E">
            <w:pPr>
              <w:pStyle w:val="62"/>
            </w:pPr>
            <w:r>
              <w:t>评价等级</w:t>
            </w:r>
          </w:p>
        </w:tc>
        <w:tc>
          <w:tcPr>
            <w:tcW w:w="3910" w:type="dxa"/>
            <w:shd w:val="clear" w:color="auto" w:fill="auto"/>
            <w:vAlign w:val="center"/>
          </w:tcPr>
          <w:p w14:paraId="1D3EDF7F">
            <w:pPr>
              <w:pStyle w:val="62"/>
              <w:rPr>
                <w:szCs w:val="20"/>
              </w:rPr>
            </w:pPr>
            <w:r>
              <w:rPr>
                <w:rFonts w:hint="eastAsia"/>
              </w:rPr>
              <w:t>三</w:t>
            </w:r>
            <w:r>
              <w:t>级</w:t>
            </w:r>
          </w:p>
        </w:tc>
      </w:tr>
    </w:tbl>
    <w:p w14:paraId="07A6C5EA">
      <w:pPr>
        <w:ind w:firstLine="480"/>
      </w:pPr>
      <w:r>
        <w:t>按照《环境影响评价技术导则声环境</w:t>
      </w:r>
      <w:r>
        <w:rPr>
          <w:rFonts w:hint="eastAsia"/>
        </w:rPr>
        <w:t>》</w:t>
      </w:r>
      <w:r>
        <w:t>》（HJ2.4-2021）要求，确定声环境预测范围为项目边界外200米。根据声源的特征及所在位置，</w:t>
      </w:r>
      <w:r>
        <w:rPr>
          <w:rFonts w:hint="eastAsia"/>
        </w:rPr>
        <w:t>应用NoiseSystem模式计算各噪声源对预测点产生的影响值。</w:t>
      </w:r>
    </w:p>
    <w:p w14:paraId="1D3EDF81">
      <w:pPr>
        <w:ind w:firstLine="480"/>
      </w:pPr>
      <w:r>
        <w:rPr>
          <w:rFonts w:hint="eastAsia"/>
        </w:rPr>
        <w:t>经现场勘查，项目厂址近距离环境的敏感点有：厂址东南580m的下园村，厂区边界外200m范围内无声环境保护目标。</w:t>
      </w:r>
    </w:p>
    <w:p w14:paraId="1D3EDF86">
      <w:pPr>
        <w:pStyle w:val="5"/>
        <w:spacing w:before="240" w:after="240"/>
      </w:pPr>
      <w:r>
        <w:t>预测模式</w:t>
      </w:r>
    </w:p>
    <w:p w14:paraId="1D3EDF87">
      <w:pPr>
        <w:ind w:firstLine="480"/>
      </w:pPr>
      <w:r>
        <w:t>预测模式采用《环境影响评价技术导则（声环境）》（HJ2.4-2021）中推荐的工业噪声预测计算模式。</w:t>
      </w:r>
    </w:p>
    <w:p w14:paraId="1D3EDF88">
      <w:pPr>
        <w:pStyle w:val="5"/>
        <w:spacing w:before="240" w:after="240"/>
      </w:pPr>
      <w:r>
        <w:t>评价标准</w:t>
      </w:r>
    </w:p>
    <w:p w14:paraId="1D3EDF89">
      <w:pPr>
        <w:ind w:firstLine="480"/>
      </w:pPr>
      <w:r>
        <w:t>本项目厂址区域声环境质量标准执行《工业企业厂界环境噪声排放标准》（GB12348-2008）</w:t>
      </w:r>
      <w:r>
        <w:rPr>
          <w:rFonts w:hint="eastAsia"/>
        </w:rPr>
        <w:t>3</w:t>
      </w:r>
      <w:r>
        <w:t>类标准：昼间6</w:t>
      </w:r>
      <w:r>
        <w:rPr>
          <w:rFonts w:hint="eastAsia"/>
        </w:rPr>
        <w:t>5</w:t>
      </w:r>
      <w:r>
        <w:t>dB(A)，夜间5</w:t>
      </w:r>
      <w:r>
        <w:rPr>
          <w:rFonts w:hint="eastAsia"/>
        </w:rPr>
        <w:t>5</w:t>
      </w:r>
      <w:r>
        <w:t>dB(A)。</w:t>
      </w:r>
    </w:p>
    <w:p w14:paraId="1D3EDF8A">
      <w:pPr>
        <w:pStyle w:val="5"/>
        <w:spacing w:before="240" w:after="240"/>
      </w:pPr>
      <w:r>
        <w:t>噪声源分布及源强</w:t>
      </w:r>
    </w:p>
    <w:p w14:paraId="1D3EDF8B">
      <w:pPr>
        <w:ind w:firstLine="480"/>
        <w:rPr>
          <w:highlight w:val="yellow"/>
          <w:u w:val="single"/>
        </w:rPr>
      </w:pPr>
      <w:r>
        <w:rPr>
          <w:u w:val="single"/>
        </w:rPr>
        <w:t>本项目高噪声源主要为</w:t>
      </w:r>
      <w:r>
        <w:rPr>
          <w:rFonts w:hint="eastAsia"/>
          <w:u w:val="single"/>
        </w:rPr>
        <w:t>真空上料机</w:t>
      </w:r>
      <w:r>
        <w:rPr>
          <w:u w:val="single"/>
        </w:rPr>
        <w:t>、</w:t>
      </w:r>
      <w:r>
        <w:rPr>
          <w:rFonts w:hint="eastAsia"/>
          <w:u w:val="single"/>
        </w:rPr>
        <w:t>压滤机</w:t>
      </w:r>
      <w:r>
        <w:rPr>
          <w:u w:val="single"/>
        </w:rPr>
        <w:t>、</w:t>
      </w:r>
      <w:r>
        <w:rPr>
          <w:rFonts w:hint="eastAsia"/>
          <w:u w:val="single"/>
        </w:rPr>
        <w:t>离心机</w:t>
      </w:r>
      <w:r>
        <w:rPr>
          <w:u w:val="single"/>
        </w:rPr>
        <w:t>、搅拌罐、</w:t>
      </w:r>
      <w:r>
        <w:rPr>
          <w:rFonts w:hint="eastAsia"/>
          <w:u w:val="single"/>
        </w:rPr>
        <w:t>自动灌装</w:t>
      </w:r>
      <w:r>
        <w:rPr>
          <w:u w:val="single"/>
        </w:rPr>
        <w:t>机、</w:t>
      </w:r>
      <w:r>
        <w:rPr>
          <w:rFonts w:hint="eastAsia"/>
          <w:u w:val="single"/>
        </w:rPr>
        <w:t>进料泵、循环水站</w:t>
      </w:r>
      <w:r>
        <w:rPr>
          <w:u w:val="single"/>
        </w:rPr>
        <w:t>等，其噪声声源值在8</w:t>
      </w:r>
      <w:r>
        <w:rPr>
          <w:rFonts w:hint="eastAsia"/>
          <w:u w:val="single"/>
        </w:rPr>
        <w:t>0</w:t>
      </w:r>
      <w:r>
        <w:rPr>
          <w:u w:val="single"/>
        </w:rPr>
        <w:t>~9</w:t>
      </w:r>
      <w:r>
        <w:rPr>
          <w:rFonts w:hint="eastAsia"/>
          <w:u w:val="single"/>
        </w:rPr>
        <w:t>0</w:t>
      </w:r>
      <w:r>
        <w:rPr>
          <w:u w:val="single"/>
        </w:rPr>
        <w:t>dB（A）之间，项目主要设备噪声排放情况见下表。</w:t>
      </w:r>
    </w:p>
    <w:p w14:paraId="28250326">
      <w:pPr>
        <w:ind w:firstLine="480"/>
        <w:rPr>
          <w:highlight w:val="yellow"/>
        </w:rPr>
        <w:sectPr>
          <w:pgSz w:w="11907" w:h="16840"/>
          <w:pgMar w:top="1440" w:right="1797" w:bottom="1440" w:left="1797" w:header="907" w:footer="907" w:gutter="0"/>
          <w:cols w:space="425" w:num="1"/>
          <w:docGrid w:linePitch="380" w:charSpace="0"/>
        </w:sectPr>
      </w:pPr>
    </w:p>
    <w:p w14:paraId="55882981">
      <w:pPr>
        <w:pStyle w:val="64"/>
        <w:numPr>
          <w:ilvl w:val="2"/>
          <w:numId w:val="32"/>
        </w:numPr>
        <w:spacing w:before="0" w:beforeLines="0" w:line="520" w:lineRule="exact"/>
        <w:ind w:left="0" w:firstLine="480" w:firstLineChars="200"/>
      </w:pPr>
      <w:r>
        <w:t xml:space="preserve">                       </w:t>
      </w:r>
      <w:r>
        <w:rPr>
          <w:rFonts w:hint="eastAsia"/>
        </w:rPr>
        <w:t xml:space="preserve">  </w:t>
      </w:r>
      <w:r>
        <w:t xml:space="preserve"> 工业企业噪声源强调查清单（室</w:t>
      </w:r>
      <w:r>
        <w:rPr>
          <w:rFonts w:hint="eastAsia"/>
        </w:rPr>
        <w:t>外</w:t>
      </w:r>
      <w:r>
        <w:t>声源）</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7"/>
        <w:gridCol w:w="1649"/>
        <w:gridCol w:w="1197"/>
        <w:gridCol w:w="1047"/>
        <w:gridCol w:w="2245"/>
        <w:gridCol w:w="1197"/>
        <w:gridCol w:w="1497"/>
        <w:gridCol w:w="1292"/>
        <w:gridCol w:w="772"/>
        <w:gridCol w:w="773"/>
        <w:gridCol w:w="645"/>
        <w:gridCol w:w="1059"/>
      </w:tblGrid>
      <w:tr w14:paraId="178B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95" w:type="dxa"/>
            <w:vMerge w:val="restart"/>
            <w:vAlign w:val="center"/>
          </w:tcPr>
          <w:p w14:paraId="427C232A">
            <w:pPr>
              <w:pStyle w:val="14"/>
              <w:spacing w:line="240" w:lineRule="auto"/>
              <w:ind w:firstLine="0" w:firstLineChars="0"/>
              <w:jc w:val="center"/>
              <w:rPr>
                <w:szCs w:val="21"/>
                <w:u w:val="single"/>
              </w:rPr>
            </w:pPr>
            <w:r>
              <w:rPr>
                <w:szCs w:val="21"/>
                <w:u w:val="single"/>
              </w:rPr>
              <w:t>序号</w:t>
            </w:r>
          </w:p>
        </w:tc>
        <w:tc>
          <w:tcPr>
            <w:tcW w:w="1646" w:type="dxa"/>
            <w:vMerge w:val="restart"/>
            <w:vAlign w:val="center"/>
          </w:tcPr>
          <w:p w14:paraId="2F5DD967">
            <w:pPr>
              <w:pStyle w:val="14"/>
              <w:spacing w:line="240" w:lineRule="auto"/>
              <w:ind w:firstLine="0" w:firstLineChars="0"/>
              <w:jc w:val="center"/>
              <w:rPr>
                <w:szCs w:val="21"/>
                <w:u w:val="single"/>
              </w:rPr>
            </w:pPr>
            <w:r>
              <w:rPr>
                <w:szCs w:val="21"/>
                <w:u w:val="single"/>
              </w:rPr>
              <w:t>建筑物名称</w:t>
            </w:r>
          </w:p>
        </w:tc>
        <w:tc>
          <w:tcPr>
            <w:tcW w:w="1195" w:type="dxa"/>
            <w:vMerge w:val="restart"/>
            <w:vAlign w:val="center"/>
          </w:tcPr>
          <w:p w14:paraId="3E6A0169">
            <w:pPr>
              <w:pStyle w:val="14"/>
              <w:spacing w:line="240" w:lineRule="auto"/>
              <w:ind w:firstLine="0" w:firstLineChars="0"/>
              <w:jc w:val="center"/>
              <w:rPr>
                <w:szCs w:val="21"/>
                <w:u w:val="single"/>
              </w:rPr>
            </w:pPr>
            <w:r>
              <w:rPr>
                <w:szCs w:val="21"/>
                <w:u w:val="single"/>
              </w:rPr>
              <w:t>声源名称</w:t>
            </w:r>
          </w:p>
        </w:tc>
        <w:tc>
          <w:tcPr>
            <w:tcW w:w="1046" w:type="dxa"/>
            <w:vMerge w:val="restart"/>
            <w:vAlign w:val="center"/>
          </w:tcPr>
          <w:p w14:paraId="03C4ED71">
            <w:pPr>
              <w:pStyle w:val="14"/>
              <w:spacing w:line="240" w:lineRule="auto"/>
              <w:ind w:firstLine="0" w:firstLineChars="0"/>
              <w:jc w:val="center"/>
              <w:rPr>
                <w:szCs w:val="21"/>
                <w:u w:val="single"/>
              </w:rPr>
            </w:pPr>
            <w:r>
              <w:rPr>
                <w:szCs w:val="21"/>
                <w:u w:val="single"/>
              </w:rPr>
              <w:t>型号</w:t>
            </w:r>
          </w:p>
        </w:tc>
        <w:tc>
          <w:tcPr>
            <w:tcW w:w="2242" w:type="dxa"/>
            <w:vMerge w:val="restart"/>
            <w:vAlign w:val="center"/>
          </w:tcPr>
          <w:p w14:paraId="34D5C8CA">
            <w:pPr>
              <w:pStyle w:val="67"/>
              <w:adjustRightInd w:val="0"/>
              <w:snapToGrid w:val="0"/>
              <w:rPr>
                <w:rFonts w:cs="Times New Roman"/>
                <w:color w:val="auto"/>
                <w:szCs w:val="21"/>
                <w:u w:val="single"/>
              </w:rPr>
            </w:pPr>
            <w:r>
              <w:rPr>
                <w:rFonts w:cs="Times New Roman"/>
                <w:color w:val="auto"/>
                <w:szCs w:val="21"/>
                <w:u w:val="single"/>
              </w:rPr>
              <w:t>（声压级/距声源距离）/（[dB(A)]/m）</w:t>
            </w:r>
          </w:p>
        </w:tc>
        <w:tc>
          <w:tcPr>
            <w:tcW w:w="1195" w:type="dxa"/>
            <w:vMerge w:val="restart"/>
            <w:vAlign w:val="center"/>
          </w:tcPr>
          <w:p w14:paraId="0884C4D4">
            <w:pPr>
              <w:pStyle w:val="67"/>
              <w:adjustRightInd w:val="0"/>
              <w:snapToGrid w:val="0"/>
              <w:rPr>
                <w:rFonts w:cs="Times New Roman"/>
                <w:color w:val="auto"/>
                <w:szCs w:val="21"/>
                <w:u w:val="single"/>
              </w:rPr>
            </w:pPr>
            <w:r>
              <w:rPr>
                <w:rFonts w:cs="Times New Roman"/>
                <w:color w:val="auto"/>
                <w:szCs w:val="21"/>
                <w:u w:val="single"/>
              </w:rPr>
              <w:t>数量（台）</w:t>
            </w:r>
          </w:p>
        </w:tc>
        <w:tc>
          <w:tcPr>
            <w:tcW w:w="1495" w:type="dxa"/>
            <w:vMerge w:val="restart"/>
            <w:vAlign w:val="center"/>
          </w:tcPr>
          <w:p w14:paraId="687FAB84">
            <w:pPr>
              <w:pStyle w:val="67"/>
              <w:adjustRightInd w:val="0"/>
              <w:snapToGrid w:val="0"/>
              <w:rPr>
                <w:rFonts w:cs="Times New Roman"/>
                <w:color w:val="auto"/>
                <w:szCs w:val="21"/>
                <w:u w:val="single"/>
              </w:rPr>
            </w:pPr>
            <w:r>
              <w:rPr>
                <w:rFonts w:cs="Times New Roman"/>
                <w:color w:val="auto"/>
                <w:szCs w:val="21"/>
                <w:u w:val="single"/>
              </w:rPr>
              <w:t>声源控制措施</w:t>
            </w:r>
          </w:p>
        </w:tc>
        <w:tc>
          <w:tcPr>
            <w:tcW w:w="1290" w:type="dxa"/>
            <w:vMerge w:val="restart"/>
            <w:vAlign w:val="center"/>
          </w:tcPr>
          <w:p w14:paraId="04E3D121">
            <w:pPr>
              <w:pStyle w:val="67"/>
              <w:adjustRightInd w:val="0"/>
              <w:snapToGrid w:val="0"/>
              <w:rPr>
                <w:rFonts w:cs="Times New Roman"/>
                <w:color w:val="auto"/>
                <w:szCs w:val="21"/>
                <w:u w:val="single"/>
              </w:rPr>
            </w:pPr>
            <w:r>
              <w:rPr>
                <w:rFonts w:cs="Times New Roman"/>
                <w:color w:val="auto"/>
                <w:szCs w:val="21"/>
                <w:u w:val="single"/>
              </w:rPr>
              <w:t>治理后声压级[dB(A)]</w:t>
            </w:r>
          </w:p>
        </w:tc>
        <w:tc>
          <w:tcPr>
            <w:tcW w:w="2187" w:type="dxa"/>
            <w:gridSpan w:val="3"/>
            <w:vAlign w:val="center"/>
          </w:tcPr>
          <w:p w14:paraId="32DAA13A">
            <w:pPr>
              <w:pStyle w:val="67"/>
              <w:adjustRightInd w:val="0"/>
              <w:snapToGrid w:val="0"/>
              <w:rPr>
                <w:rFonts w:cs="Times New Roman"/>
                <w:color w:val="auto"/>
                <w:szCs w:val="21"/>
                <w:u w:val="single"/>
              </w:rPr>
            </w:pPr>
            <w:r>
              <w:rPr>
                <w:rFonts w:cs="Times New Roman"/>
                <w:color w:val="auto"/>
                <w:szCs w:val="21"/>
                <w:u w:val="single"/>
              </w:rPr>
              <w:t>空间相对位置/m</w:t>
            </w:r>
          </w:p>
        </w:tc>
        <w:tc>
          <w:tcPr>
            <w:tcW w:w="1057" w:type="dxa"/>
            <w:vMerge w:val="restart"/>
            <w:vAlign w:val="center"/>
          </w:tcPr>
          <w:p w14:paraId="0867F76E">
            <w:pPr>
              <w:pStyle w:val="67"/>
              <w:adjustRightInd w:val="0"/>
              <w:snapToGrid w:val="0"/>
              <w:rPr>
                <w:rFonts w:cs="Times New Roman"/>
                <w:color w:val="auto"/>
                <w:szCs w:val="21"/>
                <w:u w:val="single"/>
              </w:rPr>
            </w:pPr>
            <w:r>
              <w:rPr>
                <w:rFonts w:cs="Times New Roman"/>
                <w:color w:val="auto"/>
                <w:szCs w:val="21"/>
                <w:u w:val="single"/>
              </w:rPr>
              <w:t>运行时段</w:t>
            </w:r>
          </w:p>
        </w:tc>
      </w:tr>
      <w:tr w14:paraId="76FB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5" w:type="dxa"/>
            <w:vMerge w:val="continue"/>
            <w:vAlign w:val="center"/>
          </w:tcPr>
          <w:p w14:paraId="6CADC7DE">
            <w:pPr>
              <w:pStyle w:val="14"/>
              <w:spacing w:line="240" w:lineRule="auto"/>
              <w:ind w:firstLine="0" w:firstLineChars="0"/>
              <w:jc w:val="center"/>
              <w:rPr>
                <w:b w:val="0"/>
                <w:szCs w:val="21"/>
                <w:u w:val="single"/>
              </w:rPr>
            </w:pPr>
          </w:p>
        </w:tc>
        <w:tc>
          <w:tcPr>
            <w:tcW w:w="1646" w:type="dxa"/>
            <w:vMerge w:val="continue"/>
            <w:vAlign w:val="center"/>
          </w:tcPr>
          <w:p w14:paraId="61D97E8A">
            <w:pPr>
              <w:pStyle w:val="14"/>
              <w:spacing w:line="240" w:lineRule="auto"/>
              <w:ind w:firstLine="0" w:firstLineChars="0"/>
              <w:jc w:val="center"/>
              <w:rPr>
                <w:b w:val="0"/>
                <w:szCs w:val="21"/>
                <w:u w:val="single"/>
              </w:rPr>
            </w:pPr>
          </w:p>
        </w:tc>
        <w:tc>
          <w:tcPr>
            <w:tcW w:w="1195" w:type="dxa"/>
            <w:vMerge w:val="continue"/>
            <w:vAlign w:val="center"/>
          </w:tcPr>
          <w:p w14:paraId="6FD86DBD">
            <w:pPr>
              <w:pStyle w:val="14"/>
              <w:spacing w:line="240" w:lineRule="auto"/>
              <w:ind w:firstLine="0" w:firstLineChars="0"/>
              <w:jc w:val="center"/>
              <w:rPr>
                <w:b w:val="0"/>
                <w:szCs w:val="21"/>
                <w:u w:val="single"/>
              </w:rPr>
            </w:pPr>
          </w:p>
        </w:tc>
        <w:tc>
          <w:tcPr>
            <w:tcW w:w="1046" w:type="dxa"/>
            <w:vMerge w:val="continue"/>
            <w:vAlign w:val="center"/>
          </w:tcPr>
          <w:p w14:paraId="5CF6E44B">
            <w:pPr>
              <w:pStyle w:val="14"/>
              <w:spacing w:line="240" w:lineRule="auto"/>
              <w:ind w:firstLine="0" w:firstLineChars="0"/>
              <w:jc w:val="center"/>
              <w:rPr>
                <w:b w:val="0"/>
                <w:szCs w:val="21"/>
                <w:u w:val="single"/>
              </w:rPr>
            </w:pPr>
          </w:p>
        </w:tc>
        <w:tc>
          <w:tcPr>
            <w:tcW w:w="2242" w:type="dxa"/>
            <w:vMerge w:val="continue"/>
            <w:vAlign w:val="center"/>
          </w:tcPr>
          <w:p w14:paraId="06A0FC2C">
            <w:pPr>
              <w:pStyle w:val="67"/>
              <w:adjustRightInd w:val="0"/>
              <w:snapToGrid w:val="0"/>
              <w:rPr>
                <w:rFonts w:cs="Times New Roman"/>
                <w:b w:val="0"/>
                <w:color w:val="auto"/>
                <w:szCs w:val="21"/>
                <w:u w:val="single"/>
              </w:rPr>
            </w:pPr>
          </w:p>
        </w:tc>
        <w:tc>
          <w:tcPr>
            <w:tcW w:w="1195" w:type="dxa"/>
            <w:vMerge w:val="continue"/>
            <w:vAlign w:val="center"/>
          </w:tcPr>
          <w:p w14:paraId="68F6DF2D">
            <w:pPr>
              <w:pStyle w:val="67"/>
              <w:adjustRightInd w:val="0"/>
              <w:snapToGrid w:val="0"/>
              <w:rPr>
                <w:rFonts w:cs="Times New Roman"/>
                <w:b w:val="0"/>
                <w:color w:val="auto"/>
                <w:szCs w:val="21"/>
                <w:u w:val="single"/>
              </w:rPr>
            </w:pPr>
          </w:p>
        </w:tc>
        <w:tc>
          <w:tcPr>
            <w:tcW w:w="1495" w:type="dxa"/>
            <w:vMerge w:val="continue"/>
            <w:vAlign w:val="center"/>
          </w:tcPr>
          <w:p w14:paraId="61DCAE37">
            <w:pPr>
              <w:pStyle w:val="67"/>
              <w:adjustRightInd w:val="0"/>
              <w:snapToGrid w:val="0"/>
              <w:rPr>
                <w:rFonts w:cs="Times New Roman"/>
                <w:b w:val="0"/>
                <w:color w:val="auto"/>
                <w:szCs w:val="21"/>
                <w:u w:val="single"/>
              </w:rPr>
            </w:pPr>
          </w:p>
        </w:tc>
        <w:tc>
          <w:tcPr>
            <w:tcW w:w="1290" w:type="dxa"/>
            <w:vMerge w:val="continue"/>
            <w:vAlign w:val="center"/>
          </w:tcPr>
          <w:p w14:paraId="6A147142">
            <w:pPr>
              <w:pStyle w:val="67"/>
              <w:adjustRightInd w:val="0"/>
              <w:snapToGrid w:val="0"/>
              <w:rPr>
                <w:rFonts w:cs="Times New Roman"/>
                <w:b w:val="0"/>
                <w:color w:val="auto"/>
                <w:szCs w:val="21"/>
                <w:u w:val="single"/>
              </w:rPr>
            </w:pPr>
          </w:p>
        </w:tc>
        <w:tc>
          <w:tcPr>
            <w:tcW w:w="771" w:type="dxa"/>
            <w:vAlign w:val="center"/>
          </w:tcPr>
          <w:p w14:paraId="2D49E5CB">
            <w:pPr>
              <w:pStyle w:val="67"/>
              <w:adjustRightInd w:val="0"/>
              <w:snapToGrid w:val="0"/>
              <w:rPr>
                <w:rFonts w:cs="Times New Roman"/>
                <w:color w:val="auto"/>
                <w:szCs w:val="21"/>
                <w:u w:val="single"/>
              </w:rPr>
            </w:pPr>
            <w:r>
              <w:rPr>
                <w:rFonts w:cs="Times New Roman"/>
                <w:color w:val="auto"/>
                <w:szCs w:val="21"/>
                <w:u w:val="single"/>
              </w:rPr>
              <w:t>X</w:t>
            </w:r>
          </w:p>
        </w:tc>
        <w:tc>
          <w:tcPr>
            <w:tcW w:w="772" w:type="dxa"/>
            <w:vAlign w:val="center"/>
          </w:tcPr>
          <w:p w14:paraId="0701570B">
            <w:pPr>
              <w:pStyle w:val="67"/>
              <w:adjustRightInd w:val="0"/>
              <w:snapToGrid w:val="0"/>
              <w:rPr>
                <w:rFonts w:cs="Times New Roman"/>
                <w:color w:val="auto"/>
                <w:szCs w:val="21"/>
                <w:u w:val="single"/>
              </w:rPr>
            </w:pPr>
            <w:r>
              <w:rPr>
                <w:rFonts w:cs="Times New Roman"/>
                <w:color w:val="auto"/>
                <w:szCs w:val="21"/>
                <w:u w:val="single"/>
              </w:rPr>
              <w:t>Y</w:t>
            </w:r>
          </w:p>
        </w:tc>
        <w:tc>
          <w:tcPr>
            <w:tcW w:w="644" w:type="dxa"/>
            <w:vAlign w:val="center"/>
          </w:tcPr>
          <w:p w14:paraId="5975009C">
            <w:pPr>
              <w:pStyle w:val="67"/>
              <w:adjustRightInd w:val="0"/>
              <w:snapToGrid w:val="0"/>
              <w:rPr>
                <w:rFonts w:cs="Times New Roman"/>
                <w:color w:val="auto"/>
                <w:szCs w:val="21"/>
                <w:u w:val="single"/>
              </w:rPr>
            </w:pPr>
            <w:r>
              <w:rPr>
                <w:rFonts w:cs="Times New Roman"/>
                <w:color w:val="auto"/>
                <w:szCs w:val="21"/>
                <w:u w:val="single"/>
              </w:rPr>
              <w:t>Z</w:t>
            </w:r>
          </w:p>
        </w:tc>
        <w:tc>
          <w:tcPr>
            <w:tcW w:w="1057" w:type="dxa"/>
            <w:vMerge w:val="continue"/>
            <w:vAlign w:val="center"/>
          </w:tcPr>
          <w:p w14:paraId="78A542AD">
            <w:pPr>
              <w:pStyle w:val="67"/>
              <w:adjustRightInd w:val="0"/>
              <w:snapToGrid w:val="0"/>
              <w:rPr>
                <w:rFonts w:cs="Times New Roman"/>
                <w:b w:val="0"/>
                <w:color w:val="auto"/>
                <w:szCs w:val="21"/>
                <w:u w:val="single"/>
              </w:rPr>
            </w:pPr>
          </w:p>
        </w:tc>
      </w:tr>
      <w:tr w14:paraId="35BF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5" w:type="dxa"/>
            <w:vAlign w:val="center"/>
          </w:tcPr>
          <w:p w14:paraId="367A4AE3">
            <w:pPr>
              <w:pStyle w:val="14"/>
              <w:spacing w:line="240" w:lineRule="auto"/>
              <w:ind w:firstLine="0" w:firstLineChars="0"/>
              <w:jc w:val="center"/>
              <w:rPr>
                <w:b w:val="0"/>
                <w:szCs w:val="21"/>
                <w:u w:val="single"/>
              </w:rPr>
            </w:pPr>
            <w:r>
              <w:rPr>
                <w:rFonts w:hint="eastAsia"/>
                <w:b w:val="0"/>
                <w:szCs w:val="21"/>
                <w:u w:val="single"/>
              </w:rPr>
              <w:t>1</w:t>
            </w:r>
          </w:p>
        </w:tc>
        <w:tc>
          <w:tcPr>
            <w:tcW w:w="1646" w:type="dxa"/>
            <w:vAlign w:val="center"/>
          </w:tcPr>
          <w:p w14:paraId="0C97BE36">
            <w:pPr>
              <w:pStyle w:val="62"/>
              <w:adjustRightInd w:val="0"/>
              <w:snapToGrid w:val="0"/>
              <w:contextualSpacing w:val="0"/>
              <w:rPr>
                <w:u w:val="single"/>
              </w:rPr>
            </w:pPr>
            <w:r>
              <w:rPr>
                <w:rFonts w:hint="eastAsia"/>
                <w:u w:val="single"/>
              </w:rPr>
              <w:t>循环水站</w:t>
            </w:r>
          </w:p>
        </w:tc>
        <w:tc>
          <w:tcPr>
            <w:tcW w:w="1195" w:type="dxa"/>
            <w:vAlign w:val="center"/>
          </w:tcPr>
          <w:p w14:paraId="3468C5A1">
            <w:pPr>
              <w:pStyle w:val="62"/>
              <w:adjustRightInd w:val="0"/>
              <w:snapToGrid w:val="0"/>
              <w:contextualSpacing w:val="0"/>
              <w:rPr>
                <w:u w:val="single"/>
              </w:rPr>
            </w:pPr>
            <w:r>
              <w:rPr>
                <w:rFonts w:hint="eastAsia"/>
                <w:u w:val="single"/>
              </w:rPr>
              <w:t>冷却塔</w:t>
            </w:r>
          </w:p>
        </w:tc>
        <w:tc>
          <w:tcPr>
            <w:tcW w:w="1046" w:type="dxa"/>
            <w:vAlign w:val="center"/>
          </w:tcPr>
          <w:p w14:paraId="32728B2E">
            <w:pPr>
              <w:pStyle w:val="62"/>
              <w:adjustRightInd w:val="0"/>
              <w:snapToGrid w:val="0"/>
              <w:contextualSpacing w:val="0"/>
              <w:rPr>
                <w:u w:val="single"/>
              </w:rPr>
            </w:pPr>
            <w:r>
              <w:rPr>
                <w:rFonts w:hint="eastAsia"/>
                <w:u w:val="single"/>
              </w:rPr>
              <w:t>/</w:t>
            </w:r>
          </w:p>
        </w:tc>
        <w:tc>
          <w:tcPr>
            <w:tcW w:w="2242" w:type="dxa"/>
            <w:vAlign w:val="center"/>
          </w:tcPr>
          <w:p w14:paraId="6F522772">
            <w:pPr>
              <w:pStyle w:val="62"/>
              <w:adjustRightInd w:val="0"/>
              <w:snapToGrid w:val="0"/>
              <w:contextualSpacing w:val="0"/>
              <w:rPr>
                <w:u w:val="single"/>
              </w:rPr>
            </w:pPr>
            <w:r>
              <w:rPr>
                <w:rFonts w:hint="eastAsia"/>
                <w:u w:val="single"/>
              </w:rPr>
              <w:t>90</w:t>
            </w:r>
            <w:r>
              <w:rPr>
                <w:u w:val="single"/>
              </w:rPr>
              <w:t>/1</w:t>
            </w:r>
          </w:p>
        </w:tc>
        <w:tc>
          <w:tcPr>
            <w:tcW w:w="1195" w:type="dxa"/>
            <w:vAlign w:val="center"/>
          </w:tcPr>
          <w:p w14:paraId="3DC0220C">
            <w:pPr>
              <w:pStyle w:val="62"/>
              <w:adjustRightInd w:val="0"/>
              <w:snapToGrid w:val="0"/>
              <w:contextualSpacing w:val="0"/>
              <w:rPr>
                <w:u w:val="single"/>
              </w:rPr>
            </w:pPr>
            <w:r>
              <w:rPr>
                <w:rFonts w:hint="eastAsia"/>
                <w:u w:val="single"/>
              </w:rPr>
              <w:t>1</w:t>
            </w:r>
          </w:p>
        </w:tc>
        <w:tc>
          <w:tcPr>
            <w:tcW w:w="1495" w:type="dxa"/>
            <w:vAlign w:val="center"/>
          </w:tcPr>
          <w:p w14:paraId="0EE6F3EA">
            <w:pPr>
              <w:spacing w:line="240" w:lineRule="auto"/>
              <w:ind w:firstLine="0" w:firstLineChars="0"/>
              <w:jc w:val="center"/>
              <w:rPr>
                <w:sz w:val="21"/>
                <w:szCs w:val="21"/>
                <w:u w:val="single"/>
              </w:rPr>
            </w:pPr>
            <w:r>
              <w:rPr>
                <w:sz w:val="21"/>
                <w:szCs w:val="21"/>
                <w:u w:val="single"/>
              </w:rPr>
              <w:t>减振、隔声</w:t>
            </w:r>
          </w:p>
        </w:tc>
        <w:tc>
          <w:tcPr>
            <w:tcW w:w="1290" w:type="dxa"/>
            <w:vAlign w:val="center"/>
          </w:tcPr>
          <w:p w14:paraId="4D280B68">
            <w:pPr>
              <w:spacing w:line="240" w:lineRule="auto"/>
              <w:ind w:firstLine="0" w:firstLineChars="0"/>
              <w:jc w:val="center"/>
              <w:rPr>
                <w:sz w:val="21"/>
                <w:szCs w:val="21"/>
                <w:u w:val="single"/>
              </w:rPr>
            </w:pPr>
            <w:r>
              <w:rPr>
                <w:rFonts w:hint="eastAsia"/>
                <w:sz w:val="21"/>
                <w:szCs w:val="21"/>
                <w:u w:val="single"/>
              </w:rPr>
              <w:t>70</w:t>
            </w:r>
          </w:p>
        </w:tc>
        <w:tc>
          <w:tcPr>
            <w:tcW w:w="771" w:type="dxa"/>
            <w:vAlign w:val="center"/>
          </w:tcPr>
          <w:p w14:paraId="144A85DA">
            <w:pPr>
              <w:widowControl/>
              <w:spacing w:line="240" w:lineRule="auto"/>
              <w:ind w:firstLine="0" w:firstLineChars="0"/>
              <w:jc w:val="center"/>
              <w:rPr>
                <w:sz w:val="21"/>
                <w:szCs w:val="21"/>
                <w:u w:val="single"/>
              </w:rPr>
            </w:pPr>
            <w:r>
              <w:rPr>
                <w:rFonts w:hint="eastAsia"/>
                <w:sz w:val="21"/>
                <w:szCs w:val="21"/>
                <w:u w:val="single"/>
              </w:rPr>
              <w:t>-14</w:t>
            </w:r>
          </w:p>
        </w:tc>
        <w:tc>
          <w:tcPr>
            <w:tcW w:w="772" w:type="dxa"/>
            <w:vAlign w:val="center"/>
          </w:tcPr>
          <w:p w14:paraId="09FDB359">
            <w:pPr>
              <w:widowControl/>
              <w:spacing w:line="240" w:lineRule="auto"/>
              <w:ind w:firstLine="0" w:firstLineChars="0"/>
              <w:jc w:val="center"/>
              <w:rPr>
                <w:sz w:val="21"/>
                <w:szCs w:val="21"/>
                <w:u w:val="single"/>
              </w:rPr>
            </w:pPr>
            <w:r>
              <w:rPr>
                <w:rFonts w:hint="eastAsia"/>
                <w:sz w:val="21"/>
                <w:szCs w:val="21"/>
                <w:u w:val="single"/>
              </w:rPr>
              <w:t>-49</w:t>
            </w:r>
          </w:p>
        </w:tc>
        <w:tc>
          <w:tcPr>
            <w:tcW w:w="644" w:type="dxa"/>
            <w:vAlign w:val="center"/>
          </w:tcPr>
          <w:p w14:paraId="64D604D1">
            <w:pPr>
              <w:spacing w:line="240" w:lineRule="auto"/>
              <w:ind w:firstLine="0" w:firstLineChars="0"/>
              <w:jc w:val="center"/>
              <w:rPr>
                <w:sz w:val="21"/>
                <w:szCs w:val="21"/>
                <w:u w:val="single"/>
              </w:rPr>
            </w:pPr>
            <w:r>
              <w:rPr>
                <w:rFonts w:hint="eastAsia"/>
                <w:sz w:val="21"/>
                <w:szCs w:val="21"/>
                <w:u w:val="single"/>
              </w:rPr>
              <w:t>0.3</w:t>
            </w:r>
          </w:p>
        </w:tc>
        <w:tc>
          <w:tcPr>
            <w:tcW w:w="1057" w:type="dxa"/>
            <w:vAlign w:val="center"/>
          </w:tcPr>
          <w:p w14:paraId="0183BB91">
            <w:pPr>
              <w:pStyle w:val="14"/>
              <w:spacing w:line="240" w:lineRule="auto"/>
              <w:ind w:firstLine="0" w:firstLineChars="0"/>
              <w:jc w:val="center"/>
              <w:rPr>
                <w:b w:val="0"/>
                <w:szCs w:val="21"/>
                <w:u w:val="single"/>
              </w:rPr>
            </w:pPr>
            <w:r>
              <w:rPr>
                <w:b w:val="0"/>
                <w:szCs w:val="21"/>
                <w:u w:val="single"/>
              </w:rPr>
              <w:t>持续运行</w:t>
            </w:r>
          </w:p>
        </w:tc>
      </w:tr>
    </w:tbl>
    <w:p w14:paraId="1D3EDFB0">
      <w:pPr>
        <w:pStyle w:val="64"/>
        <w:numPr>
          <w:ilvl w:val="2"/>
          <w:numId w:val="32"/>
        </w:numPr>
        <w:spacing w:before="0" w:beforeLines="0" w:line="520" w:lineRule="exact"/>
        <w:ind w:left="0" w:firstLine="480" w:firstLineChars="200"/>
      </w:pPr>
      <w:r>
        <w:rPr>
          <w:rFonts w:hint="eastAsia"/>
        </w:rPr>
        <w:t xml:space="preserve">                          </w:t>
      </w:r>
      <w:r>
        <w:t>工业企业噪声源强调查清单（室内声源）</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302"/>
        <w:gridCol w:w="709"/>
        <w:gridCol w:w="645"/>
        <w:gridCol w:w="1125"/>
        <w:gridCol w:w="566"/>
        <w:gridCol w:w="917"/>
        <w:gridCol w:w="1049"/>
        <w:gridCol w:w="1049"/>
        <w:gridCol w:w="788"/>
        <w:gridCol w:w="785"/>
        <w:gridCol w:w="785"/>
        <w:gridCol w:w="1052"/>
        <w:gridCol w:w="1049"/>
        <w:gridCol w:w="864"/>
        <w:gridCol w:w="847"/>
        <w:gridCol w:w="735"/>
        <w:gridCol w:w="749"/>
      </w:tblGrid>
      <w:tr w14:paraId="7164FC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top w:val="single" w:color="auto" w:sz="8" w:space="0"/>
              <w:bottom w:val="single" w:color="auto" w:sz="4" w:space="0"/>
              <w:right w:val="single" w:color="auto" w:sz="4" w:space="0"/>
            </w:tcBorders>
            <w:vAlign w:val="center"/>
          </w:tcPr>
          <w:p w14:paraId="715DDC45">
            <w:pPr>
              <w:adjustRightInd/>
              <w:snapToGrid/>
              <w:spacing w:line="240" w:lineRule="auto"/>
              <w:ind w:firstLine="0" w:firstLineChars="0"/>
              <w:jc w:val="center"/>
              <w:textAlignment w:val="auto"/>
              <w:rPr>
                <w:b/>
                <w:kern w:val="2"/>
                <w:sz w:val="21"/>
                <w:szCs w:val="21"/>
                <w:u w:val="single"/>
              </w:rPr>
            </w:pPr>
            <w:r>
              <w:rPr>
                <w:b/>
                <w:kern w:val="2"/>
                <w:sz w:val="21"/>
                <w:szCs w:val="21"/>
                <w:u w:val="single"/>
              </w:rPr>
              <w:t>序号</w:t>
            </w:r>
          </w:p>
        </w:tc>
        <w:tc>
          <w:tcPr>
            <w:tcW w:w="253" w:type="pct"/>
            <w:vMerge w:val="restart"/>
            <w:tcBorders>
              <w:top w:val="single" w:color="auto" w:sz="8" w:space="0"/>
              <w:left w:val="single" w:color="auto" w:sz="4" w:space="0"/>
              <w:bottom w:val="single" w:color="auto" w:sz="4" w:space="0"/>
              <w:right w:val="single" w:color="auto" w:sz="4" w:space="0"/>
            </w:tcBorders>
            <w:vAlign w:val="center"/>
          </w:tcPr>
          <w:p w14:paraId="38D8308A">
            <w:pPr>
              <w:adjustRightInd/>
              <w:snapToGrid/>
              <w:spacing w:line="240" w:lineRule="auto"/>
              <w:ind w:firstLine="0" w:firstLineChars="0"/>
              <w:jc w:val="center"/>
              <w:textAlignment w:val="auto"/>
              <w:rPr>
                <w:b/>
                <w:kern w:val="2"/>
                <w:sz w:val="21"/>
                <w:szCs w:val="21"/>
                <w:u w:val="single"/>
              </w:rPr>
            </w:pPr>
            <w:r>
              <w:rPr>
                <w:b/>
                <w:kern w:val="2"/>
                <w:sz w:val="21"/>
                <w:szCs w:val="21"/>
                <w:u w:val="single"/>
              </w:rPr>
              <w:t>建筑物名称</w:t>
            </w:r>
          </w:p>
        </w:tc>
        <w:tc>
          <w:tcPr>
            <w:tcW w:w="230" w:type="pct"/>
            <w:vMerge w:val="restart"/>
            <w:tcBorders>
              <w:top w:val="single" w:color="auto" w:sz="8" w:space="0"/>
              <w:left w:val="single" w:color="auto" w:sz="4" w:space="0"/>
              <w:bottom w:val="single" w:color="auto" w:sz="4" w:space="0"/>
              <w:right w:val="single" w:color="auto" w:sz="4" w:space="0"/>
            </w:tcBorders>
            <w:vAlign w:val="center"/>
          </w:tcPr>
          <w:p w14:paraId="58CAE025">
            <w:pPr>
              <w:adjustRightInd/>
              <w:snapToGrid/>
              <w:spacing w:line="240" w:lineRule="auto"/>
              <w:ind w:firstLine="0" w:firstLineChars="0"/>
              <w:jc w:val="center"/>
              <w:textAlignment w:val="auto"/>
              <w:rPr>
                <w:b/>
                <w:kern w:val="2"/>
                <w:sz w:val="21"/>
                <w:szCs w:val="21"/>
                <w:u w:val="single"/>
              </w:rPr>
            </w:pPr>
            <w:r>
              <w:rPr>
                <w:b/>
                <w:kern w:val="2"/>
                <w:sz w:val="21"/>
                <w:szCs w:val="21"/>
                <w:u w:val="single"/>
              </w:rPr>
              <w:t>声源名称</w:t>
            </w:r>
          </w:p>
        </w:tc>
        <w:tc>
          <w:tcPr>
            <w:tcW w:w="401" w:type="pct"/>
            <w:vMerge w:val="restart"/>
            <w:tcBorders>
              <w:top w:val="single" w:color="auto" w:sz="8" w:space="0"/>
              <w:left w:val="single" w:color="auto" w:sz="4" w:space="0"/>
              <w:bottom w:val="single" w:color="auto" w:sz="4" w:space="0"/>
              <w:right w:val="single" w:color="auto" w:sz="4" w:space="0"/>
            </w:tcBorders>
            <w:vAlign w:val="center"/>
          </w:tcPr>
          <w:p w14:paraId="7A05C640">
            <w:pPr>
              <w:adjustRightInd/>
              <w:snapToGrid/>
              <w:spacing w:line="240" w:lineRule="auto"/>
              <w:ind w:firstLine="0" w:firstLineChars="0"/>
              <w:jc w:val="center"/>
              <w:textAlignment w:val="auto"/>
              <w:rPr>
                <w:b/>
                <w:kern w:val="2"/>
                <w:sz w:val="21"/>
                <w:szCs w:val="21"/>
                <w:u w:val="single"/>
              </w:rPr>
            </w:pPr>
            <w:r>
              <w:rPr>
                <w:b/>
                <w:kern w:val="2"/>
                <w:sz w:val="21"/>
                <w:szCs w:val="21"/>
                <w:u w:val="single"/>
              </w:rPr>
              <w:t>(声压级/距声源距离)/ ([dB(A)]/m)</w:t>
            </w:r>
          </w:p>
        </w:tc>
        <w:tc>
          <w:tcPr>
            <w:tcW w:w="202" w:type="pct"/>
            <w:vMerge w:val="restart"/>
            <w:tcBorders>
              <w:top w:val="single" w:color="auto" w:sz="8" w:space="0"/>
              <w:left w:val="single" w:color="auto" w:sz="4" w:space="0"/>
              <w:right w:val="single" w:color="auto" w:sz="4" w:space="0"/>
            </w:tcBorders>
            <w:vAlign w:val="center"/>
          </w:tcPr>
          <w:p w14:paraId="4A938B26">
            <w:pPr>
              <w:adjustRightInd/>
              <w:snapToGrid/>
              <w:spacing w:line="240" w:lineRule="auto"/>
              <w:ind w:firstLine="0" w:firstLineChars="0"/>
              <w:jc w:val="center"/>
              <w:textAlignment w:val="auto"/>
              <w:rPr>
                <w:b/>
                <w:kern w:val="2"/>
                <w:sz w:val="21"/>
                <w:szCs w:val="21"/>
                <w:u w:val="single"/>
              </w:rPr>
            </w:pPr>
            <w:r>
              <w:rPr>
                <w:b/>
                <w:kern w:val="2"/>
                <w:sz w:val="21"/>
                <w:szCs w:val="21"/>
                <w:u w:val="single"/>
              </w:rPr>
              <w:t>数量(台)</w:t>
            </w:r>
          </w:p>
        </w:tc>
        <w:tc>
          <w:tcPr>
            <w:tcW w:w="327" w:type="pct"/>
            <w:vMerge w:val="restart"/>
            <w:tcBorders>
              <w:top w:val="single" w:color="auto" w:sz="8" w:space="0"/>
              <w:left w:val="single" w:color="auto" w:sz="4" w:space="0"/>
              <w:bottom w:val="single" w:color="auto" w:sz="4" w:space="0"/>
              <w:right w:val="single" w:color="auto" w:sz="4" w:space="0"/>
            </w:tcBorders>
            <w:vAlign w:val="center"/>
          </w:tcPr>
          <w:p w14:paraId="194DFB10">
            <w:pPr>
              <w:adjustRightInd/>
              <w:snapToGrid/>
              <w:spacing w:line="240" w:lineRule="auto"/>
              <w:ind w:firstLine="0" w:firstLineChars="0"/>
              <w:jc w:val="center"/>
              <w:textAlignment w:val="auto"/>
              <w:rPr>
                <w:b/>
                <w:kern w:val="2"/>
                <w:sz w:val="21"/>
                <w:szCs w:val="21"/>
                <w:u w:val="single"/>
              </w:rPr>
            </w:pPr>
            <w:r>
              <w:rPr>
                <w:b/>
                <w:kern w:val="2"/>
                <w:sz w:val="21"/>
                <w:szCs w:val="21"/>
                <w:u w:val="single"/>
              </w:rPr>
              <w:t>声源控制措施</w:t>
            </w:r>
          </w:p>
        </w:tc>
        <w:tc>
          <w:tcPr>
            <w:tcW w:w="374" w:type="pct"/>
            <w:vMerge w:val="restart"/>
            <w:tcBorders>
              <w:top w:val="single" w:color="auto" w:sz="8" w:space="0"/>
              <w:left w:val="single" w:color="auto" w:sz="4" w:space="0"/>
              <w:right w:val="single" w:color="auto" w:sz="4" w:space="0"/>
            </w:tcBorders>
            <w:vAlign w:val="center"/>
          </w:tcPr>
          <w:p w14:paraId="5FA54883">
            <w:pPr>
              <w:adjustRightInd/>
              <w:snapToGrid/>
              <w:spacing w:line="240" w:lineRule="auto"/>
              <w:ind w:firstLine="0" w:firstLineChars="0"/>
              <w:jc w:val="center"/>
              <w:textAlignment w:val="auto"/>
              <w:rPr>
                <w:b/>
                <w:kern w:val="2"/>
                <w:sz w:val="21"/>
                <w:szCs w:val="21"/>
                <w:u w:val="single"/>
              </w:rPr>
            </w:pPr>
            <w:r>
              <w:rPr>
                <w:rFonts w:hint="eastAsia"/>
                <w:b/>
                <w:kern w:val="2"/>
                <w:sz w:val="21"/>
                <w:szCs w:val="21"/>
                <w:u w:val="single"/>
              </w:rPr>
              <w:t>治理后声压级</w:t>
            </w:r>
            <w:r>
              <w:rPr>
                <w:b/>
                <w:kern w:val="2"/>
                <w:sz w:val="21"/>
                <w:szCs w:val="21"/>
                <w:u w:val="single"/>
              </w:rPr>
              <w:t>[dB(A)]</w:t>
            </w:r>
          </w:p>
        </w:tc>
        <w:tc>
          <w:tcPr>
            <w:tcW w:w="374" w:type="pct"/>
            <w:vMerge w:val="restart"/>
            <w:tcBorders>
              <w:top w:val="single" w:color="auto" w:sz="8" w:space="0"/>
              <w:left w:val="single" w:color="auto" w:sz="4" w:space="0"/>
              <w:right w:val="single" w:color="auto" w:sz="4" w:space="0"/>
            </w:tcBorders>
            <w:vAlign w:val="center"/>
          </w:tcPr>
          <w:p w14:paraId="62DBB02A">
            <w:pPr>
              <w:adjustRightInd/>
              <w:snapToGrid/>
              <w:spacing w:line="240" w:lineRule="auto"/>
              <w:ind w:firstLine="0" w:firstLineChars="0"/>
              <w:jc w:val="center"/>
              <w:textAlignment w:val="auto"/>
              <w:rPr>
                <w:b/>
                <w:kern w:val="2"/>
                <w:sz w:val="21"/>
                <w:szCs w:val="21"/>
                <w:u w:val="single"/>
              </w:rPr>
            </w:pPr>
            <w:r>
              <w:rPr>
                <w:rFonts w:hint="eastAsia"/>
                <w:b/>
                <w:kern w:val="2"/>
                <w:sz w:val="21"/>
                <w:szCs w:val="21"/>
                <w:u w:val="single"/>
              </w:rPr>
              <w:t>声压级叠加值</w:t>
            </w:r>
            <w:r>
              <w:rPr>
                <w:b/>
                <w:kern w:val="2"/>
                <w:sz w:val="21"/>
                <w:szCs w:val="21"/>
                <w:u w:val="single"/>
              </w:rPr>
              <w:t>[dB(A)]</w:t>
            </w:r>
          </w:p>
        </w:tc>
        <w:tc>
          <w:tcPr>
            <w:tcW w:w="841" w:type="pct"/>
            <w:gridSpan w:val="3"/>
            <w:tcBorders>
              <w:top w:val="single" w:color="auto" w:sz="8" w:space="0"/>
              <w:left w:val="single" w:color="auto" w:sz="4" w:space="0"/>
              <w:bottom w:val="single" w:color="auto" w:sz="4" w:space="0"/>
              <w:right w:val="single" w:color="auto" w:sz="4" w:space="0"/>
            </w:tcBorders>
            <w:vAlign w:val="center"/>
          </w:tcPr>
          <w:p w14:paraId="21022EA6">
            <w:pPr>
              <w:adjustRightInd/>
              <w:snapToGrid/>
              <w:spacing w:line="240" w:lineRule="auto"/>
              <w:ind w:firstLine="0" w:firstLineChars="0"/>
              <w:jc w:val="center"/>
              <w:textAlignment w:val="auto"/>
              <w:rPr>
                <w:b/>
                <w:kern w:val="2"/>
                <w:sz w:val="21"/>
                <w:szCs w:val="21"/>
                <w:u w:val="single"/>
              </w:rPr>
            </w:pPr>
            <w:r>
              <w:rPr>
                <w:b/>
                <w:kern w:val="2"/>
                <w:sz w:val="21"/>
                <w:szCs w:val="21"/>
                <w:u w:val="single"/>
              </w:rPr>
              <w:t>空间相对位置/m</w:t>
            </w:r>
          </w:p>
        </w:tc>
        <w:tc>
          <w:tcPr>
            <w:tcW w:w="375" w:type="pct"/>
            <w:vMerge w:val="restart"/>
            <w:tcBorders>
              <w:top w:val="single" w:color="auto" w:sz="8" w:space="0"/>
              <w:left w:val="single" w:color="auto" w:sz="4" w:space="0"/>
              <w:bottom w:val="single" w:color="auto" w:sz="4" w:space="0"/>
              <w:right w:val="single" w:color="auto" w:sz="4" w:space="0"/>
            </w:tcBorders>
            <w:vAlign w:val="center"/>
          </w:tcPr>
          <w:p w14:paraId="6BC465A7">
            <w:pPr>
              <w:adjustRightInd/>
              <w:snapToGrid/>
              <w:spacing w:line="240" w:lineRule="auto"/>
              <w:ind w:firstLine="0" w:firstLineChars="0"/>
              <w:jc w:val="center"/>
              <w:textAlignment w:val="auto"/>
              <w:rPr>
                <w:b/>
                <w:kern w:val="2"/>
                <w:sz w:val="21"/>
                <w:szCs w:val="21"/>
                <w:u w:val="single"/>
              </w:rPr>
            </w:pPr>
            <w:r>
              <w:rPr>
                <w:b/>
                <w:kern w:val="2"/>
                <w:sz w:val="21"/>
                <w:szCs w:val="21"/>
                <w:u w:val="single"/>
              </w:rPr>
              <w:t>距室内边界距离/m</w:t>
            </w:r>
          </w:p>
        </w:tc>
        <w:tc>
          <w:tcPr>
            <w:tcW w:w="374" w:type="pct"/>
            <w:vMerge w:val="restart"/>
            <w:tcBorders>
              <w:top w:val="single" w:color="auto" w:sz="8" w:space="0"/>
              <w:left w:val="single" w:color="auto" w:sz="4" w:space="0"/>
              <w:bottom w:val="single" w:color="auto" w:sz="4" w:space="0"/>
              <w:right w:val="single" w:color="auto" w:sz="4" w:space="0"/>
            </w:tcBorders>
            <w:vAlign w:val="center"/>
          </w:tcPr>
          <w:p w14:paraId="687C9F37">
            <w:pPr>
              <w:adjustRightInd/>
              <w:snapToGrid/>
              <w:spacing w:line="240" w:lineRule="auto"/>
              <w:ind w:firstLine="0" w:firstLineChars="0"/>
              <w:jc w:val="center"/>
              <w:textAlignment w:val="auto"/>
              <w:rPr>
                <w:b/>
                <w:kern w:val="2"/>
                <w:sz w:val="21"/>
                <w:szCs w:val="21"/>
                <w:u w:val="single"/>
              </w:rPr>
            </w:pPr>
            <w:r>
              <w:rPr>
                <w:b/>
                <w:kern w:val="2"/>
                <w:sz w:val="21"/>
                <w:szCs w:val="21"/>
                <w:u w:val="single"/>
              </w:rPr>
              <w:t>室内边界声级/dB(A)</w:t>
            </w:r>
          </w:p>
        </w:tc>
        <w:tc>
          <w:tcPr>
            <w:tcW w:w="308" w:type="pct"/>
            <w:vMerge w:val="restart"/>
            <w:tcBorders>
              <w:top w:val="single" w:color="auto" w:sz="8" w:space="0"/>
              <w:left w:val="single" w:color="auto" w:sz="4" w:space="0"/>
              <w:bottom w:val="single" w:color="auto" w:sz="4" w:space="0"/>
              <w:right w:val="single" w:color="auto" w:sz="4" w:space="0"/>
            </w:tcBorders>
            <w:vAlign w:val="center"/>
          </w:tcPr>
          <w:p w14:paraId="0FF50263">
            <w:pPr>
              <w:adjustRightInd/>
              <w:snapToGrid/>
              <w:spacing w:line="240" w:lineRule="auto"/>
              <w:ind w:firstLine="0" w:firstLineChars="0"/>
              <w:jc w:val="center"/>
              <w:textAlignment w:val="auto"/>
              <w:rPr>
                <w:b/>
                <w:kern w:val="2"/>
                <w:sz w:val="21"/>
                <w:szCs w:val="21"/>
                <w:u w:val="single"/>
              </w:rPr>
            </w:pPr>
            <w:r>
              <w:rPr>
                <w:b/>
                <w:kern w:val="2"/>
                <w:sz w:val="21"/>
                <w:szCs w:val="21"/>
                <w:u w:val="single"/>
              </w:rPr>
              <w:t>运行时段</w:t>
            </w:r>
          </w:p>
        </w:tc>
        <w:tc>
          <w:tcPr>
            <w:tcW w:w="302" w:type="pct"/>
            <w:vMerge w:val="restart"/>
            <w:tcBorders>
              <w:top w:val="single" w:color="auto" w:sz="8" w:space="0"/>
              <w:left w:val="single" w:color="auto" w:sz="4" w:space="0"/>
              <w:bottom w:val="single" w:color="auto" w:sz="4" w:space="0"/>
              <w:right w:val="single" w:color="auto" w:sz="4" w:space="0"/>
            </w:tcBorders>
            <w:vAlign w:val="center"/>
          </w:tcPr>
          <w:p w14:paraId="456937AD">
            <w:pPr>
              <w:adjustRightInd/>
              <w:snapToGrid/>
              <w:spacing w:line="240" w:lineRule="auto"/>
              <w:ind w:firstLine="0" w:firstLineChars="0"/>
              <w:jc w:val="center"/>
              <w:textAlignment w:val="auto"/>
              <w:rPr>
                <w:b/>
                <w:kern w:val="2"/>
                <w:sz w:val="21"/>
                <w:szCs w:val="21"/>
                <w:u w:val="single"/>
              </w:rPr>
            </w:pPr>
            <w:r>
              <w:rPr>
                <w:b/>
                <w:kern w:val="2"/>
                <w:sz w:val="21"/>
                <w:szCs w:val="21"/>
                <w:u w:val="single"/>
              </w:rPr>
              <w:t>建筑物插入损失/dB(A)</w:t>
            </w:r>
          </w:p>
        </w:tc>
        <w:tc>
          <w:tcPr>
            <w:tcW w:w="529" w:type="pct"/>
            <w:gridSpan w:val="2"/>
            <w:tcBorders>
              <w:top w:val="single" w:color="auto" w:sz="8" w:space="0"/>
              <w:left w:val="single" w:color="auto" w:sz="4" w:space="0"/>
              <w:bottom w:val="single" w:color="auto" w:sz="4" w:space="0"/>
            </w:tcBorders>
            <w:vAlign w:val="center"/>
          </w:tcPr>
          <w:p w14:paraId="7089CC06">
            <w:pPr>
              <w:adjustRightInd/>
              <w:snapToGrid/>
              <w:spacing w:line="240" w:lineRule="auto"/>
              <w:ind w:firstLine="0" w:firstLineChars="0"/>
              <w:jc w:val="center"/>
              <w:textAlignment w:val="auto"/>
              <w:rPr>
                <w:b/>
                <w:kern w:val="2"/>
                <w:sz w:val="21"/>
                <w:szCs w:val="21"/>
                <w:u w:val="single"/>
              </w:rPr>
            </w:pPr>
            <w:r>
              <w:rPr>
                <w:b/>
                <w:kern w:val="2"/>
                <w:sz w:val="21"/>
                <w:szCs w:val="21"/>
                <w:u w:val="single"/>
              </w:rPr>
              <w:t>建筑物外噪声</w:t>
            </w:r>
          </w:p>
        </w:tc>
      </w:tr>
      <w:tr w14:paraId="160E77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4A41A4F9">
            <w:pPr>
              <w:adjustRightInd/>
              <w:snapToGrid/>
              <w:spacing w:line="240" w:lineRule="auto"/>
              <w:ind w:firstLine="0" w:firstLineChars="0"/>
              <w:jc w:val="center"/>
              <w:textAlignment w:val="auto"/>
              <w:rPr>
                <w:b/>
                <w:kern w:val="2"/>
                <w:sz w:val="21"/>
                <w:szCs w:val="21"/>
                <w:u w:val="single"/>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5362C018">
            <w:pPr>
              <w:adjustRightInd/>
              <w:snapToGrid/>
              <w:spacing w:line="240" w:lineRule="auto"/>
              <w:ind w:firstLine="0" w:firstLineChars="0"/>
              <w:jc w:val="center"/>
              <w:textAlignment w:val="auto"/>
              <w:rPr>
                <w:b/>
                <w:kern w:val="2"/>
                <w:sz w:val="21"/>
                <w:szCs w:val="21"/>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0E70382E">
            <w:pPr>
              <w:adjustRightInd/>
              <w:snapToGrid/>
              <w:spacing w:line="240" w:lineRule="auto"/>
              <w:ind w:firstLine="0" w:firstLineChars="0"/>
              <w:jc w:val="center"/>
              <w:textAlignment w:val="auto"/>
              <w:rPr>
                <w:b/>
                <w:kern w:val="2"/>
                <w:sz w:val="21"/>
                <w:szCs w:val="21"/>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0227FFED">
            <w:pPr>
              <w:adjustRightInd/>
              <w:snapToGrid/>
              <w:spacing w:line="240" w:lineRule="auto"/>
              <w:ind w:firstLine="0" w:firstLineChars="0"/>
              <w:jc w:val="center"/>
              <w:textAlignment w:val="auto"/>
              <w:rPr>
                <w:b/>
                <w:kern w:val="2"/>
                <w:sz w:val="21"/>
                <w:szCs w:val="21"/>
                <w:u w:val="single"/>
              </w:rPr>
            </w:pPr>
          </w:p>
        </w:tc>
        <w:tc>
          <w:tcPr>
            <w:tcW w:w="202" w:type="pct"/>
            <w:vMerge w:val="continue"/>
            <w:tcBorders>
              <w:left w:val="single" w:color="auto" w:sz="4" w:space="0"/>
              <w:bottom w:val="single" w:color="auto" w:sz="4" w:space="0"/>
              <w:right w:val="single" w:color="auto" w:sz="4" w:space="0"/>
            </w:tcBorders>
            <w:vAlign w:val="center"/>
          </w:tcPr>
          <w:p w14:paraId="5391D7F3">
            <w:pPr>
              <w:adjustRightInd/>
              <w:snapToGrid/>
              <w:spacing w:line="240" w:lineRule="auto"/>
              <w:ind w:firstLine="0" w:firstLineChars="0"/>
              <w:jc w:val="center"/>
              <w:textAlignment w:val="auto"/>
              <w:rPr>
                <w:b/>
                <w:kern w:val="2"/>
                <w:sz w:val="21"/>
                <w:szCs w:val="21"/>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1D166F9B">
            <w:pPr>
              <w:adjustRightInd/>
              <w:snapToGrid/>
              <w:spacing w:line="240" w:lineRule="auto"/>
              <w:ind w:firstLine="0" w:firstLineChars="0"/>
              <w:jc w:val="center"/>
              <w:textAlignment w:val="auto"/>
              <w:rPr>
                <w:b/>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00C44E20">
            <w:pPr>
              <w:adjustRightInd/>
              <w:snapToGrid/>
              <w:spacing w:line="240" w:lineRule="auto"/>
              <w:ind w:firstLine="0" w:firstLineChars="0"/>
              <w:jc w:val="center"/>
              <w:textAlignment w:val="auto"/>
              <w:rPr>
                <w:b/>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05F5D9AD">
            <w:pPr>
              <w:adjustRightInd/>
              <w:snapToGrid/>
              <w:spacing w:line="240" w:lineRule="auto"/>
              <w:ind w:firstLine="0" w:firstLineChars="0"/>
              <w:jc w:val="center"/>
              <w:textAlignment w:val="auto"/>
              <w:rPr>
                <w:b/>
                <w:kern w:val="2"/>
                <w:sz w:val="21"/>
                <w:szCs w:val="21"/>
                <w:u w:val="single"/>
              </w:rPr>
            </w:pPr>
          </w:p>
        </w:tc>
        <w:tc>
          <w:tcPr>
            <w:tcW w:w="281" w:type="pct"/>
            <w:tcBorders>
              <w:top w:val="single" w:color="auto" w:sz="4" w:space="0"/>
              <w:left w:val="single" w:color="auto" w:sz="4" w:space="0"/>
              <w:bottom w:val="single" w:color="auto" w:sz="4" w:space="0"/>
              <w:right w:val="single" w:color="auto" w:sz="4" w:space="0"/>
            </w:tcBorders>
            <w:vAlign w:val="center"/>
          </w:tcPr>
          <w:p w14:paraId="43AC703B">
            <w:pPr>
              <w:adjustRightInd/>
              <w:snapToGrid/>
              <w:spacing w:line="240" w:lineRule="auto"/>
              <w:ind w:firstLine="0" w:firstLineChars="0"/>
              <w:jc w:val="center"/>
              <w:textAlignment w:val="auto"/>
              <w:rPr>
                <w:b/>
                <w:kern w:val="2"/>
                <w:sz w:val="21"/>
                <w:szCs w:val="21"/>
                <w:u w:val="single"/>
              </w:rPr>
            </w:pPr>
            <w:r>
              <w:rPr>
                <w:b/>
                <w:kern w:val="2"/>
                <w:sz w:val="21"/>
                <w:szCs w:val="21"/>
                <w:u w:val="single"/>
              </w:rPr>
              <w:t>X</w:t>
            </w:r>
          </w:p>
        </w:tc>
        <w:tc>
          <w:tcPr>
            <w:tcW w:w="280" w:type="pct"/>
            <w:tcBorders>
              <w:top w:val="single" w:color="auto" w:sz="4" w:space="0"/>
              <w:left w:val="single" w:color="auto" w:sz="4" w:space="0"/>
              <w:bottom w:val="single" w:color="auto" w:sz="4" w:space="0"/>
              <w:right w:val="single" w:color="auto" w:sz="4" w:space="0"/>
            </w:tcBorders>
            <w:vAlign w:val="center"/>
          </w:tcPr>
          <w:p w14:paraId="495A571D">
            <w:pPr>
              <w:adjustRightInd/>
              <w:snapToGrid/>
              <w:spacing w:line="240" w:lineRule="auto"/>
              <w:ind w:firstLine="0" w:firstLineChars="0"/>
              <w:jc w:val="center"/>
              <w:textAlignment w:val="auto"/>
              <w:rPr>
                <w:b/>
                <w:kern w:val="2"/>
                <w:sz w:val="21"/>
                <w:szCs w:val="21"/>
                <w:u w:val="single"/>
              </w:rPr>
            </w:pPr>
            <w:r>
              <w:rPr>
                <w:b/>
                <w:kern w:val="2"/>
                <w:sz w:val="21"/>
                <w:szCs w:val="21"/>
                <w:u w:val="single"/>
              </w:rPr>
              <w:t>Y</w:t>
            </w:r>
          </w:p>
        </w:tc>
        <w:tc>
          <w:tcPr>
            <w:tcW w:w="280" w:type="pct"/>
            <w:tcBorders>
              <w:top w:val="single" w:color="auto" w:sz="4" w:space="0"/>
              <w:left w:val="single" w:color="auto" w:sz="4" w:space="0"/>
              <w:bottom w:val="single" w:color="auto" w:sz="4" w:space="0"/>
              <w:right w:val="single" w:color="auto" w:sz="4" w:space="0"/>
            </w:tcBorders>
            <w:vAlign w:val="center"/>
          </w:tcPr>
          <w:p w14:paraId="29CCDFA9">
            <w:pPr>
              <w:adjustRightInd/>
              <w:snapToGrid/>
              <w:spacing w:line="240" w:lineRule="auto"/>
              <w:ind w:firstLine="0" w:firstLineChars="0"/>
              <w:jc w:val="center"/>
              <w:textAlignment w:val="auto"/>
              <w:rPr>
                <w:b/>
                <w:kern w:val="2"/>
                <w:sz w:val="21"/>
                <w:szCs w:val="21"/>
                <w:u w:val="single"/>
              </w:rPr>
            </w:pPr>
            <w:r>
              <w:rPr>
                <w:b/>
                <w:kern w:val="2"/>
                <w:sz w:val="21"/>
                <w:szCs w:val="21"/>
                <w:u w:val="single"/>
              </w:rPr>
              <w:t>Z</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14:paraId="33AD0DFE">
            <w:pPr>
              <w:adjustRightInd/>
              <w:snapToGrid/>
              <w:spacing w:line="240" w:lineRule="auto"/>
              <w:ind w:firstLine="0" w:firstLineChars="0"/>
              <w:jc w:val="center"/>
              <w:textAlignment w:val="auto"/>
              <w:rPr>
                <w:b/>
                <w:kern w:val="2"/>
                <w:sz w:val="21"/>
                <w:szCs w:val="21"/>
                <w:u w:val="single"/>
              </w:rPr>
            </w:pPr>
          </w:p>
        </w:tc>
        <w:tc>
          <w:tcPr>
            <w:tcW w:w="374" w:type="pct"/>
            <w:vMerge w:val="continue"/>
            <w:tcBorders>
              <w:top w:val="single" w:color="auto" w:sz="4" w:space="0"/>
              <w:left w:val="single" w:color="auto" w:sz="4" w:space="0"/>
              <w:bottom w:val="single" w:color="auto" w:sz="4" w:space="0"/>
              <w:right w:val="single" w:color="auto" w:sz="4" w:space="0"/>
            </w:tcBorders>
            <w:vAlign w:val="center"/>
          </w:tcPr>
          <w:p w14:paraId="10FE9A93">
            <w:pPr>
              <w:adjustRightInd/>
              <w:snapToGrid/>
              <w:spacing w:line="240" w:lineRule="auto"/>
              <w:ind w:firstLine="0" w:firstLineChars="0"/>
              <w:jc w:val="center"/>
              <w:textAlignment w:val="auto"/>
              <w:rPr>
                <w:b/>
                <w:kern w:val="2"/>
                <w:sz w:val="21"/>
                <w:szCs w:val="21"/>
                <w:u w:val="single"/>
              </w:rPr>
            </w:pP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127CAFF4">
            <w:pPr>
              <w:adjustRightInd/>
              <w:snapToGrid/>
              <w:spacing w:line="240" w:lineRule="auto"/>
              <w:ind w:firstLine="0" w:firstLineChars="0"/>
              <w:jc w:val="center"/>
              <w:textAlignment w:val="auto"/>
              <w:rPr>
                <w:b/>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5476E01B">
            <w:pPr>
              <w:adjustRightInd/>
              <w:snapToGrid/>
              <w:spacing w:line="240" w:lineRule="auto"/>
              <w:ind w:firstLine="0" w:firstLineChars="0"/>
              <w:jc w:val="center"/>
              <w:textAlignment w:val="auto"/>
              <w:rPr>
                <w:b/>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6F805C0C">
            <w:pPr>
              <w:adjustRightInd/>
              <w:snapToGrid/>
              <w:spacing w:line="240" w:lineRule="auto"/>
              <w:ind w:firstLine="0" w:firstLineChars="0"/>
              <w:jc w:val="center"/>
              <w:textAlignment w:val="auto"/>
              <w:rPr>
                <w:b/>
                <w:kern w:val="2"/>
                <w:sz w:val="21"/>
                <w:szCs w:val="21"/>
                <w:u w:val="single"/>
              </w:rPr>
            </w:pPr>
            <w:r>
              <w:rPr>
                <w:b/>
                <w:kern w:val="2"/>
                <w:sz w:val="21"/>
                <w:szCs w:val="21"/>
                <w:u w:val="single"/>
              </w:rPr>
              <w:t>声压级/dB(A)</w:t>
            </w:r>
          </w:p>
        </w:tc>
        <w:tc>
          <w:tcPr>
            <w:tcW w:w="267" w:type="pct"/>
            <w:tcBorders>
              <w:top w:val="single" w:color="auto" w:sz="4" w:space="0"/>
              <w:left w:val="single" w:color="auto" w:sz="4" w:space="0"/>
              <w:bottom w:val="single" w:color="auto" w:sz="4" w:space="0"/>
            </w:tcBorders>
            <w:vAlign w:val="center"/>
          </w:tcPr>
          <w:p w14:paraId="2A583C4F">
            <w:pPr>
              <w:adjustRightInd/>
              <w:snapToGrid/>
              <w:spacing w:line="240" w:lineRule="auto"/>
              <w:ind w:firstLine="0" w:firstLineChars="0"/>
              <w:jc w:val="center"/>
              <w:textAlignment w:val="auto"/>
              <w:rPr>
                <w:b/>
                <w:kern w:val="2"/>
                <w:sz w:val="21"/>
                <w:szCs w:val="21"/>
                <w:u w:val="single"/>
              </w:rPr>
            </w:pPr>
            <w:r>
              <w:rPr>
                <w:b/>
                <w:kern w:val="2"/>
                <w:sz w:val="21"/>
                <w:szCs w:val="21"/>
                <w:u w:val="single"/>
              </w:rPr>
              <w:t>建筑物外距离</w:t>
            </w:r>
          </w:p>
        </w:tc>
      </w:tr>
      <w:tr w14:paraId="486428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top w:val="single" w:color="auto" w:sz="4" w:space="0"/>
              <w:bottom w:val="single" w:color="auto" w:sz="4" w:space="0"/>
              <w:right w:val="single" w:color="auto" w:sz="4" w:space="0"/>
            </w:tcBorders>
            <w:vAlign w:val="center"/>
          </w:tcPr>
          <w:p w14:paraId="440ED457">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1</w:t>
            </w:r>
          </w:p>
        </w:tc>
        <w:tc>
          <w:tcPr>
            <w:tcW w:w="253" w:type="pct"/>
            <w:vMerge w:val="restart"/>
            <w:tcBorders>
              <w:top w:val="single" w:color="auto" w:sz="4" w:space="0"/>
              <w:left w:val="single" w:color="auto" w:sz="4" w:space="0"/>
              <w:bottom w:val="single" w:color="auto" w:sz="4" w:space="0"/>
              <w:right w:val="single" w:color="auto" w:sz="4" w:space="0"/>
            </w:tcBorders>
            <w:vAlign w:val="center"/>
          </w:tcPr>
          <w:p w14:paraId="07F4EA72">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反应釜区</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59D2CCE9">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真空上料机</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070BFB03">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85</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71A958EF">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w:t>
            </w:r>
          </w:p>
        </w:tc>
        <w:tc>
          <w:tcPr>
            <w:tcW w:w="327" w:type="pct"/>
            <w:vMerge w:val="restart"/>
            <w:tcBorders>
              <w:top w:val="single" w:color="auto" w:sz="4" w:space="0"/>
              <w:left w:val="single" w:color="auto" w:sz="4" w:space="0"/>
              <w:bottom w:val="single" w:color="auto" w:sz="4" w:space="0"/>
              <w:right w:val="single" w:color="auto" w:sz="4" w:space="0"/>
            </w:tcBorders>
            <w:vAlign w:val="center"/>
          </w:tcPr>
          <w:p w14:paraId="08C5C788">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268465E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4045286D">
            <w:pPr>
              <w:adjustRightInd/>
              <w:snapToGrid/>
              <w:spacing w:line="240" w:lineRule="auto"/>
              <w:ind w:firstLine="0" w:firstLineChars="0"/>
              <w:jc w:val="center"/>
              <w:textAlignment w:val="auto"/>
              <w:rPr>
                <w:bCs/>
                <w:kern w:val="2"/>
                <w:sz w:val="21"/>
                <w:szCs w:val="21"/>
                <w:highlight w:val="yellow"/>
                <w:u w:val="single"/>
              </w:rPr>
            </w:pPr>
            <w:r>
              <w:rPr>
                <w:rFonts w:hint="eastAsia"/>
                <w:bCs/>
                <w:kern w:val="2"/>
                <w:sz w:val="21"/>
                <w:szCs w:val="21"/>
                <w:u w:val="single"/>
              </w:rPr>
              <w:t>65</w:t>
            </w:r>
          </w:p>
        </w:tc>
        <w:tc>
          <w:tcPr>
            <w:tcW w:w="281" w:type="pct"/>
            <w:vMerge w:val="restart"/>
            <w:tcBorders>
              <w:top w:val="single" w:color="auto" w:sz="4" w:space="0"/>
              <w:left w:val="single" w:color="auto" w:sz="4" w:space="0"/>
              <w:bottom w:val="single" w:color="auto" w:sz="4" w:space="0"/>
              <w:right w:val="single" w:color="auto" w:sz="4" w:space="0"/>
            </w:tcBorders>
            <w:vAlign w:val="center"/>
          </w:tcPr>
          <w:p w14:paraId="382CC69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26</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28CABB3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-9</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047DD1B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69E399BF">
            <w:pPr>
              <w:adjustRightInd/>
              <w:snapToGrid/>
              <w:spacing w:line="240" w:lineRule="auto"/>
              <w:ind w:firstLine="0" w:firstLineChars="0"/>
              <w:jc w:val="center"/>
              <w:textAlignment w:val="auto"/>
              <w:rPr>
                <w:bCs/>
                <w:kern w:val="2"/>
                <w:sz w:val="21"/>
                <w:szCs w:val="21"/>
                <w:u w:val="single"/>
              </w:rPr>
            </w:pPr>
            <w:r>
              <w:rPr>
                <w:bCs/>
                <w:kern w:val="2"/>
                <w:sz w:val="21"/>
                <w:szCs w:val="21"/>
                <w:u w:val="single"/>
              </w:rPr>
              <w:t>东</w:t>
            </w:r>
            <w:r>
              <w:rPr>
                <w:rFonts w:hint="eastAsia"/>
                <w:bCs/>
                <w:kern w:val="2"/>
                <w:sz w:val="21"/>
                <w:szCs w:val="21"/>
                <w:u w:val="single"/>
              </w:rPr>
              <w:t>24</w:t>
            </w:r>
          </w:p>
        </w:tc>
        <w:tc>
          <w:tcPr>
            <w:tcW w:w="374" w:type="pct"/>
            <w:tcBorders>
              <w:top w:val="single" w:color="auto" w:sz="4" w:space="0"/>
              <w:left w:val="single" w:color="auto" w:sz="4" w:space="0"/>
              <w:bottom w:val="single" w:color="auto" w:sz="4" w:space="0"/>
              <w:right w:val="single" w:color="auto" w:sz="4" w:space="0"/>
            </w:tcBorders>
            <w:vAlign w:val="center"/>
          </w:tcPr>
          <w:p w14:paraId="5B8E11A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37.4</w:t>
            </w:r>
          </w:p>
        </w:tc>
        <w:tc>
          <w:tcPr>
            <w:tcW w:w="308" w:type="pct"/>
            <w:vMerge w:val="restart"/>
            <w:tcBorders>
              <w:top w:val="single" w:color="auto" w:sz="4" w:space="0"/>
              <w:left w:val="single" w:color="auto" w:sz="4" w:space="0"/>
              <w:bottom w:val="single" w:color="auto" w:sz="4" w:space="0"/>
              <w:right w:val="single" w:color="auto" w:sz="4" w:space="0"/>
            </w:tcBorders>
            <w:vAlign w:val="center"/>
          </w:tcPr>
          <w:p w14:paraId="7448D2CA">
            <w:pPr>
              <w:adjustRightInd/>
              <w:snapToGrid/>
              <w:spacing w:line="240" w:lineRule="auto"/>
              <w:ind w:firstLine="0" w:firstLineChars="0"/>
              <w:contextualSpacing/>
              <w:jc w:val="center"/>
              <w:textAlignment w:val="auto"/>
              <w:rPr>
                <w:bCs/>
                <w:kern w:val="2"/>
                <w:sz w:val="21"/>
                <w:szCs w:val="21"/>
                <w:u w:val="single"/>
              </w:rPr>
            </w:pPr>
            <w:r>
              <w:rPr>
                <w:bCs/>
                <w:kern w:val="2"/>
                <w:sz w:val="21"/>
                <w:szCs w:val="21"/>
                <w:u w:val="single"/>
              </w:rPr>
              <w:t>昼夜全时段</w:t>
            </w:r>
          </w:p>
        </w:tc>
        <w:tc>
          <w:tcPr>
            <w:tcW w:w="302" w:type="pct"/>
            <w:vMerge w:val="restart"/>
            <w:tcBorders>
              <w:top w:val="single" w:color="auto" w:sz="4" w:space="0"/>
              <w:left w:val="single" w:color="auto" w:sz="4" w:space="0"/>
              <w:bottom w:val="single" w:color="auto" w:sz="4" w:space="0"/>
              <w:right w:val="single" w:color="auto" w:sz="4" w:space="0"/>
            </w:tcBorders>
            <w:vAlign w:val="center"/>
          </w:tcPr>
          <w:p w14:paraId="28CB9163">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24953C23">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31.4</w:t>
            </w:r>
          </w:p>
        </w:tc>
        <w:tc>
          <w:tcPr>
            <w:tcW w:w="267" w:type="pct"/>
            <w:tcBorders>
              <w:top w:val="single" w:color="auto" w:sz="4" w:space="0"/>
              <w:left w:val="single" w:color="auto" w:sz="4" w:space="0"/>
              <w:bottom w:val="single" w:color="auto" w:sz="4" w:space="0"/>
            </w:tcBorders>
            <w:vAlign w:val="center"/>
          </w:tcPr>
          <w:p w14:paraId="0C30D4E6">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DA35D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456A6338">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1D6D27FF">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7FA43481">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597F3505">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right w:val="single" w:color="auto" w:sz="4" w:space="0"/>
            </w:tcBorders>
            <w:vAlign w:val="center"/>
          </w:tcPr>
          <w:p w14:paraId="0021D9E9">
            <w:pPr>
              <w:adjustRightInd/>
              <w:snapToGrid/>
              <w:spacing w:line="240" w:lineRule="auto"/>
              <w:ind w:firstLine="0" w:firstLineChars="0"/>
              <w:jc w:val="center"/>
              <w:textAlignment w:val="auto"/>
              <w:rPr>
                <w:bCs/>
                <w:kern w:val="2"/>
                <w:sz w:val="21"/>
                <w:szCs w:val="21"/>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2DB171FF">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0B6F1FE1">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4126AD3D">
            <w:pPr>
              <w:adjustRightInd/>
              <w:snapToGrid/>
              <w:spacing w:line="240" w:lineRule="auto"/>
              <w:ind w:firstLine="0" w:firstLineChars="0"/>
              <w:jc w:val="center"/>
              <w:textAlignment w:val="auto"/>
              <w:rPr>
                <w:bCs/>
                <w:kern w:val="2"/>
                <w:sz w:val="21"/>
                <w:szCs w:val="21"/>
                <w:highlight w:val="yellow"/>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03D0E75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0047907C">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547E880A">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535BACF">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西</w:t>
            </w:r>
            <w:r>
              <w:rPr>
                <w:rFonts w:hint="eastAsia"/>
                <w:bCs/>
                <w:kern w:val="2"/>
                <w:sz w:val="21"/>
                <w:szCs w:val="21"/>
                <w:u w:val="single"/>
              </w:rPr>
              <w:t>26</w:t>
            </w:r>
          </w:p>
        </w:tc>
        <w:tc>
          <w:tcPr>
            <w:tcW w:w="374" w:type="pct"/>
            <w:tcBorders>
              <w:top w:val="single" w:color="auto" w:sz="4" w:space="0"/>
              <w:left w:val="single" w:color="auto" w:sz="4" w:space="0"/>
              <w:bottom w:val="single" w:color="auto" w:sz="4" w:space="0"/>
              <w:right w:val="single" w:color="auto" w:sz="4" w:space="0"/>
            </w:tcBorders>
            <w:vAlign w:val="center"/>
          </w:tcPr>
          <w:p w14:paraId="494C4A8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36.7</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0ED3E0C8">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716313EC">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01003894">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30.7</w:t>
            </w:r>
          </w:p>
        </w:tc>
        <w:tc>
          <w:tcPr>
            <w:tcW w:w="267" w:type="pct"/>
            <w:tcBorders>
              <w:top w:val="single" w:color="auto" w:sz="4" w:space="0"/>
              <w:left w:val="single" w:color="auto" w:sz="4" w:space="0"/>
              <w:bottom w:val="single" w:color="auto" w:sz="4" w:space="0"/>
            </w:tcBorders>
            <w:vAlign w:val="center"/>
          </w:tcPr>
          <w:p w14:paraId="0087325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A0FBF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5F37421C">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65F01C56">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477C0C39">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7CEDBFA5">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right w:val="single" w:color="auto" w:sz="4" w:space="0"/>
            </w:tcBorders>
            <w:vAlign w:val="center"/>
          </w:tcPr>
          <w:p w14:paraId="47DE0E15">
            <w:pPr>
              <w:adjustRightInd/>
              <w:snapToGrid/>
              <w:spacing w:line="240" w:lineRule="auto"/>
              <w:ind w:firstLine="0" w:firstLineChars="0"/>
              <w:jc w:val="center"/>
              <w:textAlignment w:val="auto"/>
              <w:rPr>
                <w:bCs/>
                <w:kern w:val="2"/>
                <w:sz w:val="21"/>
                <w:szCs w:val="21"/>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2CCF2042">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21155BA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4B699059">
            <w:pPr>
              <w:adjustRightInd/>
              <w:snapToGrid/>
              <w:spacing w:line="240" w:lineRule="auto"/>
              <w:ind w:firstLine="0" w:firstLineChars="0"/>
              <w:jc w:val="center"/>
              <w:textAlignment w:val="auto"/>
              <w:rPr>
                <w:bCs/>
                <w:kern w:val="2"/>
                <w:sz w:val="21"/>
                <w:szCs w:val="21"/>
                <w:highlight w:val="yellow"/>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2BD38425">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6C8142CD">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35EC97A0">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5081B75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南</w:t>
            </w:r>
            <w:r>
              <w:rPr>
                <w:rFonts w:hint="eastAsia"/>
                <w:bCs/>
                <w:kern w:val="2"/>
                <w:sz w:val="21"/>
                <w:szCs w:val="21"/>
                <w:u w:val="single"/>
              </w:rPr>
              <w:t>39</w:t>
            </w:r>
          </w:p>
        </w:tc>
        <w:tc>
          <w:tcPr>
            <w:tcW w:w="374" w:type="pct"/>
            <w:tcBorders>
              <w:top w:val="single" w:color="auto" w:sz="4" w:space="0"/>
              <w:left w:val="single" w:color="auto" w:sz="4" w:space="0"/>
              <w:bottom w:val="single" w:color="auto" w:sz="4" w:space="0"/>
              <w:right w:val="single" w:color="auto" w:sz="4" w:space="0"/>
            </w:tcBorders>
            <w:vAlign w:val="center"/>
          </w:tcPr>
          <w:p w14:paraId="1B63FCE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33.2</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65EA9B8F">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745EB522">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057C0AD">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27.2</w:t>
            </w:r>
          </w:p>
        </w:tc>
        <w:tc>
          <w:tcPr>
            <w:tcW w:w="267" w:type="pct"/>
            <w:tcBorders>
              <w:top w:val="single" w:color="auto" w:sz="4" w:space="0"/>
              <w:left w:val="single" w:color="auto" w:sz="4" w:space="0"/>
              <w:bottom w:val="single" w:color="auto" w:sz="4" w:space="0"/>
            </w:tcBorders>
            <w:vAlign w:val="center"/>
          </w:tcPr>
          <w:p w14:paraId="7187994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EF2781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4936B1E4">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52535929">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629051DC">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55A14833">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bottom w:val="single" w:color="auto" w:sz="4" w:space="0"/>
              <w:right w:val="single" w:color="auto" w:sz="4" w:space="0"/>
            </w:tcBorders>
            <w:vAlign w:val="center"/>
          </w:tcPr>
          <w:p w14:paraId="275BC038">
            <w:pPr>
              <w:adjustRightInd/>
              <w:snapToGrid/>
              <w:spacing w:line="240" w:lineRule="auto"/>
              <w:ind w:firstLine="0" w:firstLineChars="0"/>
              <w:jc w:val="center"/>
              <w:textAlignment w:val="auto"/>
              <w:rPr>
                <w:bCs/>
                <w:kern w:val="2"/>
                <w:sz w:val="21"/>
                <w:szCs w:val="21"/>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05E9E935">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79A446F4">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2E430164">
            <w:pPr>
              <w:adjustRightInd/>
              <w:snapToGrid/>
              <w:spacing w:line="240" w:lineRule="auto"/>
              <w:ind w:firstLine="0" w:firstLineChars="0"/>
              <w:jc w:val="center"/>
              <w:textAlignment w:val="auto"/>
              <w:rPr>
                <w:bCs/>
                <w:kern w:val="2"/>
                <w:sz w:val="21"/>
                <w:szCs w:val="21"/>
                <w:highlight w:val="yellow"/>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5B9931D1">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F190CA0">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F06069B">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45382FC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北</w:t>
            </w:r>
            <w:r>
              <w:rPr>
                <w:rFonts w:hint="eastAsia"/>
                <w:bCs/>
                <w:kern w:val="2"/>
                <w:sz w:val="21"/>
                <w:szCs w:val="21"/>
                <w:u w:val="single"/>
              </w:rPr>
              <w:t>9</w:t>
            </w:r>
          </w:p>
        </w:tc>
        <w:tc>
          <w:tcPr>
            <w:tcW w:w="374" w:type="pct"/>
            <w:tcBorders>
              <w:top w:val="single" w:color="auto" w:sz="4" w:space="0"/>
              <w:left w:val="single" w:color="auto" w:sz="4" w:space="0"/>
              <w:bottom w:val="single" w:color="auto" w:sz="4" w:space="0"/>
              <w:right w:val="single" w:color="auto" w:sz="4" w:space="0"/>
            </w:tcBorders>
            <w:vAlign w:val="center"/>
          </w:tcPr>
          <w:p w14:paraId="178E3D2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45.9</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46CD337F">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493D74AA">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55B17C51">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39.9</w:t>
            </w:r>
          </w:p>
        </w:tc>
        <w:tc>
          <w:tcPr>
            <w:tcW w:w="267" w:type="pct"/>
            <w:tcBorders>
              <w:top w:val="single" w:color="auto" w:sz="4" w:space="0"/>
              <w:left w:val="single" w:color="auto" w:sz="4" w:space="0"/>
              <w:bottom w:val="single" w:color="auto" w:sz="4" w:space="0"/>
            </w:tcBorders>
            <w:vAlign w:val="center"/>
          </w:tcPr>
          <w:p w14:paraId="14FB121C">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202C7D4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top w:val="single" w:color="auto" w:sz="4" w:space="0"/>
              <w:bottom w:val="single" w:color="auto" w:sz="4" w:space="0"/>
              <w:right w:val="single" w:color="auto" w:sz="4" w:space="0"/>
            </w:tcBorders>
            <w:vAlign w:val="center"/>
          </w:tcPr>
          <w:p w14:paraId="36F6D65D">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2</w:t>
            </w:r>
          </w:p>
        </w:tc>
        <w:tc>
          <w:tcPr>
            <w:tcW w:w="253" w:type="pct"/>
            <w:vMerge w:val="restart"/>
            <w:tcBorders>
              <w:top w:val="single" w:color="auto" w:sz="4" w:space="0"/>
              <w:left w:val="single" w:color="auto" w:sz="4" w:space="0"/>
              <w:right w:val="single" w:color="auto" w:sz="4" w:space="0"/>
            </w:tcBorders>
            <w:vAlign w:val="center"/>
          </w:tcPr>
          <w:p w14:paraId="368A81EE">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离心区</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7AA7609F">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离心机</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0232B9D0">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80</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6F0F126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w:t>
            </w:r>
          </w:p>
        </w:tc>
        <w:tc>
          <w:tcPr>
            <w:tcW w:w="327" w:type="pct"/>
            <w:vMerge w:val="restart"/>
            <w:tcBorders>
              <w:top w:val="single" w:color="auto" w:sz="4" w:space="0"/>
              <w:left w:val="single" w:color="auto" w:sz="4" w:space="0"/>
              <w:bottom w:val="single" w:color="auto" w:sz="4" w:space="0"/>
              <w:right w:val="single" w:color="auto" w:sz="4" w:space="0"/>
            </w:tcBorders>
            <w:vAlign w:val="center"/>
          </w:tcPr>
          <w:p w14:paraId="30415827">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55DFA83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60</w:t>
            </w:r>
          </w:p>
        </w:tc>
        <w:tc>
          <w:tcPr>
            <w:tcW w:w="374" w:type="pct"/>
            <w:vMerge w:val="restart"/>
            <w:tcBorders>
              <w:top w:val="single" w:color="auto" w:sz="4" w:space="0"/>
              <w:left w:val="single" w:color="auto" w:sz="4" w:space="0"/>
              <w:right w:val="single" w:color="auto" w:sz="4" w:space="0"/>
            </w:tcBorders>
            <w:vAlign w:val="center"/>
          </w:tcPr>
          <w:p w14:paraId="0044E38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60</w:t>
            </w:r>
          </w:p>
        </w:tc>
        <w:tc>
          <w:tcPr>
            <w:tcW w:w="281" w:type="pct"/>
            <w:vMerge w:val="restart"/>
            <w:tcBorders>
              <w:top w:val="single" w:color="auto" w:sz="4" w:space="0"/>
              <w:left w:val="single" w:color="auto" w:sz="4" w:space="0"/>
              <w:bottom w:val="single" w:color="auto" w:sz="4" w:space="0"/>
              <w:right w:val="single" w:color="auto" w:sz="4" w:space="0"/>
            </w:tcBorders>
            <w:vAlign w:val="center"/>
          </w:tcPr>
          <w:p w14:paraId="6DD8951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16</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28DB98C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-25</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0B80C5D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66337245">
            <w:pPr>
              <w:adjustRightInd/>
              <w:snapToGrid/>
              <w:spacing w:line="240" w:lineRule="auto"/>
              <w:ind w:firstLine="0" w:firstLineChars="0"/>
              <w:jc w:val="center"/>
              <w:textAlignment w:val="auto"/>
              <w:rPr>
                <w:bCs/>
                <w:kern w:val="2"/>
                <w:sz w:val="21"/>
                <w:szCs w:val="21"/>
                <w:u w:val="single"/>
              </w:rPr>
            </w:pPr>
            <w:r>
              <w:rPr>
                <w:bCs/>
                <w:kern w:val="2"/>
                <w:sz w:val="21"/>
                <w:szCs w:val="21"/>
                <w:u w:val="single"/>
              </w:rPr>
              <w:t>东</w:t>
            </w:r>
            <w:r>
              <w:rPr>
                <w:rFonts w:hint="eastAsia"/>
                <w:bCs/>
                <w:kern w:val="2"/>
                <w:sz w:val="21"/>
                <w:szCs w:val="21"/>
                <w:u w:val="single"/>
              </w:rPr>
              <w:t>34</w:t>
            </w:r>
          </w:p>
        </w:tc>
        <w:tc>
          <w:tcPr>
            <w:tcW w:w="374" w:type="pct"/>
            <w:tcBorders>
              <w:top w:val="single" w:color="auto" w:sz="4" w:space="0"/>
              <w:left w:val="single" w:color="auto" w:sz="4" w:space="0"/>
              <w:bottom w:val="single" w:color="auto" w:sz="4" w:space="0"/>
              <w:right w:val="single" w:color="auto" w:sz="4" w:space="0"/>
            </w:tcBorders>
            <w:vAlign w:val="center"/>
          </w:tcPr>
          <w:p w14:paraId="5EB3A9B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29.4</w:t>
            </w:r>
          </w:p>
        </w:tc>
        <w:tc>
          <w:tcPr>
            <w:tcW w:w="308" w:type="pct"/>
            <w:vMerge w:val="restart"/>
            <w:tcBorders>
              <w:top w:val="single" w:color="auto" w:sz="4" w:space="0"/>
              <w:left w:val="single" w:color="auto" w:sz="4" w:space="0"/>
              <w:bottom w:val="single" w:color="auto" w:sz="4" w:space="0"/>
              <w:right w:val="single" w:color="auto" w:sz="4" w:space="0"/>
            </w:tcBorders>
            <w:vAlign w:val="center"/>
          </w:tcPr>
          <w:p w14:paraId="2D83AE59">
            <w:pPr>
              <w:adjustRightInd/>
              <w:snapToGrid/>
              <w:spacing w:line="240" w:lineRule="auto"/>
              <w:ind w:firstLine="0" w:firstLineChars="0"/>
              <w:contextualSpacing/>
              <w:jc w:val="center"/>
              <w:textAlignment w:val="auto"/>
              <w:rPr>
                <w:bCs/>
                <w:kern w:val="2"/>
                <w:sz w:val="21"/>
                <w:szCs w:val="21"/>
                <w:u w:val="single"/>
              </w:rPr>
            </w:pPr>
            <w:r>
              <w:rPr>
                <w:bCs/>
                <w:kern w:val="2"/>
                <w:sz w:val="21"/>
                <w:szCs w:val="21"/>
                <w:u w:val="single"/>
              </w:rPr>
              <w:t>昼夜全时段</w:t>
            </w:r>
          </w:p>
        </w:tc>
        <w:tc>
          <w:tcPr>
            <w:tcW w:w="302" w:type="pct"/>
            <w:vMerge w:val="restart"/>
            <w:tcBorders>
              <w:top w:val="single" w:color="auto" w:sz="4" w:space="0"/>
              <w:left w:val="single" w:color="auto" w:sz="4" w:space="0"/>
              <w:bottom w:val="single" w:color="auto" w:sz="4" w:space="0"/>
              <w:right w:val="single" w:color="auto" w:sz="4" w:space="0"/>
            </w:tcBorders>
            <w:vAlign w:val="center"/>
          </w:tcPr>
          <w:p w14:paraId="2FC45B62">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1AF28A48">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23.4</w:t>
            </w:r>
          </w:p>
        </w:tc>
        <w:tc>
          <w:tcPr>
            <w:tcW w:w="267" w:type="pct"/>
            <w:tcBorders>
              <w:top w:val="single" w:color="auto" w:sz="4" w:space="0"/>
              <w:left w:val="single" w:color="auto" w:sz="4" w:space="0"/>
              <w:bottom w:val="single" w:color="auto" w:sz="4" w:space="0"/>
            </w:tcBorders>
            <w:vAlign w:val="center"/>
          </w:tcPr>
          <w:p w14:paraId="65AFB12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DCF0B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65CE477B">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35993936">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5234AC4D">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49C2DE17">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53CEE335">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42EF53B4">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726AE5FF">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0A065E07">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3151E5B8">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2DE6A002">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0395303E">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0D6860E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西</w:t>
            </w:r>
            <w:r>
              <w:rPr>
                <w:rFonts w:hint="eastAsia"/>
                <w:bCs/>
                <w:kern w:val="2"/>
                <w:sz w:val="21"/>
                <w:szCs w:val="21"/>
                <w:u w:val="single"/>
              </w:rPr>
              <w:t>16</w:t>
            </w:r>
          </w:p>
        </w:tc>
        <w:tc>
          <w:tcPr>
            <w:tcW w:w="374" w:type="pct"/>
            <w:tcBorders>
              <w:top w:val="single" w:color="auto" w:sz="4" w:space="0"/>
              <w:left w:val="single" w:color="auto" w:sz="4" w:space="0"/>
              <w:bottom w:val="single" w:color="auto" w:sz="4" w:space="0"/>
              <w:right w:val="single" w:color="auto" w:sz="4" w:space="0"/>
            </w:tcBorders>
            <w:vAlign w:val="center"/>
          </w:tcPr>
          <w:p w14:paraId="7859BE4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35.9</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25E68802">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17FC8E45">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4EEAA2DD">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29.9</w:t>
            </w:r>
          </w:p>
        </w:tc>
        <w:tc>
          <w:tcPr>
            <w:tcW w:w="267" w:type="pct"/>
            <w:tcBorders>
              <w:top w:val="single" w:color="auto" w:sz="4" w:space="0"/>
              <w:left w:val="single" w:color="auto" w:sz="4" w:space="0"/>
              <w:bottom w:val="single" w:color="auto" w:sz="4" w:space="0"/>
            </w:tcBorders>
            <w:vAlign w:val="center"/>
          </w:tcPr>
          <w:p w14:paraId="1A76E229">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0D086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6AFDAC99">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20D3619F">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6854C3F0">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16EDAA5A">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36AD0235">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263A77FB">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2C19B206">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70CF61D9">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5EE9C195">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48B465C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4BB1EF77">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043C967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南</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23649B0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27.3</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659C7944">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3EE50D1B">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43491C2">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21.3</w:t>
            </w:r>
          </w:p>
        </w:tc>
        <w:tc>
          <w:tcPr>
            <w:tcW w:w="267" w:type="pct"/>
            <w:tcBorders>
              <w:top w:val="single" w:color="auto" w:sz="4" w:space="0"/>
              <w:left w:val="single" w:color="auto" w:sz="4" w:space="0"/>
              <w:bottom w:val="single" w:color="auto" w:sz="4" w:space="0"/>
            </w:tcBorders>
            <w:vAlign w:val="center"/>
          </w:tcPr>
          <w:p w14:paraId="1FC8AE39">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624B2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0AB7E1B6">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bottom w:val="single" w:color="auto" w:sz="4" w:space="0"/>
              <w:right w:val="single" w:color="auto" w:sz="4" w:space="0"/>
            </w:tcBorders>
            <w:vAlign w:val="center"/>
          </w:tcPr>
          <w:p w14:paraId="4B5ABEAF">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735228EC">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31F8CE69">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3113628B">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4FB84483">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6B294382">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290FBDFA">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5BF7DB1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4E9CCED5">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70B7942C">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4DBC512C">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北</w:t>
            </w:r>
            <w:r>
              <w:rPr>
                <w:rFonts w:hint="eastAsia"/>
                <w:bCs/>
                <w:kern w:val="2"/>
                <w:sz w:val="21"/>
                <w:szCs w:val="21"/>
                <w:u w:val="single"/>
              </w:rPr>
              <w:t>25</w:t>
            </w:r>
          </w:p>
        </w:tc>
        <w:tc>
          <w:tcPr>
            <w:tcW w:w="374" w:type="pct"/>
            <w:tcBorders>
              <w:top w:val="single" w:color="auto" w:sz="4" w:space="0"/>
              <w:left w:val="single" w:color="auto" w:sz="4" w:space="0"/>
              <w:bottom w:val="single" w:color="auto" w:sz="4" w:space="0"/>
              <w:right w:val="single" w:color="auto" w:sz="4" w:space="0"/>
            </w:tcBorders>
            <w:vAlign w:val="center"/>
          </w:tcPr>
          <w:p w14:paraId="4C82E21F">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542990A2">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599E7ABB">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FD736A5">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w:t>
            </w:r>
          </w:p>
        </w:tc>
        <w:tc>
          <w:tcPr>
            <w:tcW w:w="267" w:type="pct"/>
            <w:tcBorders>
              <w:top w:val="single" w:color="auto" w:sz="4" w:space="0"/>
              <w:left w:val="single" w:color="auto" w:sz="4" w:space="0"/>
              <w:bottom w:val="single" w:color="auto" w:sz="4" w:space="0"/>
            </w:tcBorders>
            <w:vAlign w:val="center"/>
          </w:tcPr>
          <w:p w14:paraId="6E582231">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B7CA8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top w:val="single" w:color="auto" w:sz="4" w:space="0"/>
              <w:bottom w:val="single" w:color="auto" w:sz="4" w:space="0"/>
              <w:right w:val="single" w:color="auto" w:sz="4" w:space="0"/>
            </w:tcBorders>
            <w:vAlign w:val="center"/>
          </w:tcPr>
          <w:p w14:paraId="08D641CD">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3</w:t>
            </w:r>
          </w:p>
        </w:tc>
        <w:tc>
          <w:tcPr>
            <w:tcW w:w="253" w:type="pct"/>
            <w:vMerge w:val="restart"/>
            <w:tcBorders>
              <w:top w:val="single" w:color="auto" w:sz="4" w:space="0"/>
              <w:left w:val="single" w:color="auto" w:sz="4" w:space="0"/>
              <w:right w:val="single" w:color="auto" w:sz="4" w:space="0"/>
            </w:tcBorders>
            <w:vAlign w:val="center"/>
          </w:tcPr>
          <w:p w14:paraId="1EA70A13">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灌装区</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093A4203">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自动灌装机</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1B032F08">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642FF36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w:t>
            </w:r>
          </w:p>
        </w:tc>
        <w:tc>
          <w:tcPr>
            <w:tcW w:w="327" w:type="pct"/>
            <w:vMerge w:val="restart"/>
            <w:tcBorders>
              <w:top w:val="single" w:color="auto" w:sz="4" w:space="0"/>
              <w:left w:val="single" w:color="auto" w:sz="4" w:space="0"/>
              <w:bottom w:val="single" w:color="auto" w:sz="4" w:space="0"/>
              <w:right w:val="single" w:color="auto" w:sz="4" w:space="0"/>
            </w:tcBorders>
            <w:vAlign w:val="center"/>
          </w:tcPr>
          <w:p w14:paraId="1E99009F">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6EB99D9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61DE9A4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281" w:type="pct"/>
            <w:vMerge w:val="restart"/>
            <w:tcBorders>
              <w:top w:val="single" w:color="auto" w:sz="4" w:space="0"/>
              <w:left w:val="single" w:color="auto" w:sz="4" w:space="0"/>
              <w:bottom w:val="single" w:color="auto" w:sz="4" w:space="0"/>
              <w:right w:val="single" w:color="auto" w:sz="4" w:space="0"/>
            </w:tcBorders>
            <w:vAlign w:val="center"/>
          </w:tcPr>
          <w:p w14:paraId="33D2083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46</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1B90E43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-14</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208FF67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4DEED699">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4</w:t>
            </w:r>
          </w:p>
        </w:tc>
        <w:tc>
          <w:tcPr>
            <w:tcW w:w="374" w:type="pct"/>
            <w:tcBorders>
              <w:top w:val="single" w:color="auto" w:sz="4" w:space="0"/>
              <w:left w:val="single" w:color="auto" w:sz="4" w:space="0"/>
              <w:bottom w:val="single" w:color="auto" w:sz="4" w:space="0"/>
              <w:right w:val="single" w:color="auto" w:sz="4" w:space="0"/>
            </w:tcBorders>
            <w:vAlign w:val="center"/>
          </w:tcPr>
          <w:p w14:paraId="5EAB7B3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53</w:t>
            </w:r>
          </w:p>
        </w:tc>
        <w:tc>
          <w:tcPr>
            <w:tcW w:w="308" w:type="pct"/>
            <w:vMerge w:val="restart"/>
            <w:tcBorders>
              <w:top w:val="single" w:color="auto" w:sz="4" w:space="0"/>
              <w:left w:val="single" w:color="auto" w:sz="4" w:space="0"/>
              <w:bottom w:val="single" w:color="auto" w:sz="4" w:space="0"/>
              <w:right w:val="single" w:color="auto" w:sz="4" w:space="0"/>
            </w:tcBorders>
            <w:vAlign w:val="center"/>
          </w:tcPr>
          <w:p w14:paraId="73A3637E">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bottom w:val="single" w:color="auto" w:sz="4" w:space="0"/>
              <w:right w:val="single" w:color="auto" w:sz="4" w:space="0"/>
            </w:tcBorders>
            <w:vAlign w:val="center"/>
          </w:tcPr>
          <w:p w14:paraId="5E2CC98A">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773C9B35">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47</w:t>
            </w:r>
          </w:p>
        </w:tc>
        <w:tc>
          <w:tcPr>
            <w:tcW w:w="267" w:type="pct"/>
            <w:tcBorders>
              <w:top w:val="single" w:color="auto" w:sz="4" w:space="0"/>
              <w:left w:val="single" w:color="auto" w:sz="4" w:space="0"/>
              <w:bottom w:val="single" w:color="auto" w:sz="4" w:space="0"/>
            </w:tcBorders>
            <w:vAlign w:val="center"/>
          </w:tcPr>
          <w:p w14:paraId="6B1B258E">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40086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485D0B10">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347E4CF7">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6C5B65A3">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09570A1E">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6B2BC397">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08FB558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2D0C84E4">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5452F3CC">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0D5FB234">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2B44273E">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70A251C2">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E277052">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46</w:t>
            </w:r>
          </w:p>
        </w:tc>
        <w:tc>
          <w:tcPr>
            <w:tcW w:w="374" w:type="pct"/>
            <w:tcBorders>
              <w:top w:val="single" w:color="auto" w:sz="4" w:space="0"/>
              <w:left w:val="single" w:color="auto" w:sz="4" w:space="0"/>
              <w:bottom w:val="single" w:color="auto" w:sz="4" w:space="0"/>
              <w:right w:val="single" w:color="auto" w:sz="4" w:space="0"/>
            </w:tcBorders>
            <w:vAlign w:val="center"/>
          </w:tcPr>
          <w:p w14:paraId="6A0CC28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30.4</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069036A6">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658D4436">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77EB783">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24.4</w:t>
            </w:r>
          </w:p>
        </w:tc>
        <w:tc>
          <w:tcPr>
            <w:tcW w:w="267" w:type="pct"/>
            <w:tcBorders>
              <w:top w:val="single" w:color="auto" w:sz="4" w:space="0"/>
              <w:left w:val="single" w:color="auto" w:sz="4" w:space="0"/>
              <w:bottom w:val="single" w:color="auto" w:sz="4" w:space="0"/>
            </w:tcBorders>
            <w:vAlign w:val="center"/>
          </w:tcPr>
          <w:p w14:paraId="53530C02">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60FDD0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13333FA0">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301CA00A">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55345AFA">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5492FD43">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260AE861">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0B81A071">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06F4C24E">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76CEE71A">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7A84B632">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504E8FC7">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70EEA99F">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0EEE1AEC">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34</w:t>
            </w:r>
          </w:p>
        </w:tc>
        <w:tc>
          <w:tcPr>
            <w:tcW w:w="374" w:type="pct"/>
            <w:tcBorders>
              <w:top w:val="single" w:color="auto" w:sz="4" w:space="0"/>
              <w:left w:val="single" w:color="auto" w:sz="4" w:space="0"/>
              <w:bottom w:val="single" w:color="auto" w:sz="4" w:space="0"/>
              <w:right w:val="single" w:color="auto" w:sz="4" w:space="0"/>
            </w:tcBorders>
            <w:vAlign w:val="center"/>
          </w:tcPr>
          <w:p w14:paraId="5F8B816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34.4</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05F08366">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76ED82E5">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10C376CB">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34.4</w:t>
            </w:r>
          </w:p>
        </w:tc>
        <w:tc>
          <w:tcPr>
            <w:tcW w:w="267" w:type="pct"/>
            <w:tcBorders>
              <w:top w:val="single" w:color="auto" w:sz="4" w:space="0"/>
              <w:left w:val="single" w:color="auto" w:sz="4" w:space="0"/>
              <w:bottom w:val="single" w:color="auto" w:sz="4" w:space="0"/>
            </w:tcBorders>
            <w:vAlign w:val="center"/>
          </w:tcPr>
          <w:p w14:paraId="35B0F6EE">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8F09B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042AB4D1">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bottom w:val="single" w:color="auto" w:sz="4" w:space="0"/>
              <w:right w:val="single" w:color="auto" w:sz="4" w:space="0"/>
            </w:tcBorders>
            <w:vAlign w:val="center"/>
          </w:tcPr>
          <w:p w14:paraId="756764AE">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1A8E4E3D">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605C4AB5">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4FAAE5B5">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6A3B366E">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7CA40674">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3B9890F1">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66FD50AE">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F0D08F7">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521DB8D5">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594899B2">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14</w:t>
            </w:r>
          </w:p>
        </w:tc>
        <w:tc>
          <w:tcPr>
            <w:tcW w:w="374" w:type="pct"/>
            <w:tcBorders>
              <w:top w:val="single" w:color="auto" w:sz="4" w:space="0"/>
              <w:left w:val="single" w:color="auto" w:sz="4" w:space="0"/>
              <w:bottom w:val="single" w:color="auto" w:sz="4" w:space="0"/>
              <w:right w:val="single" w:color="auto" w:sz="4" w:space="0"/>
            </w:tcBorders>
            <w:vAlign w:val="center"/>
          </w:tcPr>
          <w:p w14:paraId="513D251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42.1</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31C4E4FC">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69915429">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0756A714">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36.1</w:t>
            </w:r>
          </w:p>
        </w:tc>
        <w:tc>
          <w:tcPr>
            <w:tcW w:w="267" w:type="pct"/>
            <w:tcBorders>
              <w:top w:val="single" w:color="auto" w:sz="4" w:space="0"/>
              <w:left w:val="single" w:color="auto" w:sz="4" w:space="0"/>
              <w:bottom w:val="single" w:color="auto" w:sz="4" w:space="0"/>
            </w:tcBorders>
            <w:vAlign w:val="center"/>
          </w:tcPr>
          <w:p w14:paraId="2254593F">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668B8F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top w:val="single" w:color="auto" w:sz="4" w:space="0"/>
              <w:right w:val="single" w:color="auto" w:sz="4" w:space="0"/>
            </w:tcBorders>
            <w:vAlign w:val="center"/>
          </w:tcPr>
          <w:p w14:paraId="61889B9D">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4</w:t>
            </w:r>
          </w:p>
        </w:tc>
        <w:tc>
          <w:tcPr>
            <w:tcW w:w="253" w:type="pct"/>
            <w:vMerge w:val="restart"/>
            <w:tcBorders>
              <w:top w:val="single" w:color="auto" w:sz="4" w:space="0"/>
              <w:left w:val="single" w:color="auto" w:sz="4" w:space="0"/>
              <w:right w:val="single" w:color="auto" w:sz="4" w:space="0"/>
            </w:tcBorders>
            <w:vAlign w:val="center"/>
          </w:tcPr>
          <w:p w14:paraId="50C6B425">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反应釜区</w:t>
            </w:r>
          </w:p>
        </w:tc>
        <w:tc>
          <w:tcPr>
            <w:tcW w:w="230" w:type="pct"/>
            <w:vMerge w:val="restart"/>
            <w:tcBorders>
              <w:top w:val="single" w:color="auto" w:sz="4" w:space="0"/>
              <w:left w:val="single" w:color="auto" w:sz="4" w:space="0"/>
              <w:right w:val="single" w:color="auto" w:sz="4" w:space="0"/>
            </w:tcBorders>
            <w:vAlign w:val="center"/>
          </w:tcPr>
          <w:p w14:paraId="71F9CEAC">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sz w:val="21"/>
                <w:szCs w:val="21"/>
                <w:u w:val="single"/>
              </w:rPr>
              <w:t>进料泵</w:t>
            </w:r>
          </w:p>
        </w:tc>
        <w:tc>
          <w:tcPr>
            <w:tcW w:w="401" w:type="pct"/>
            <w:vMerge w:val="restart"/>
            <w:tcBorders>
              <w:top w:val="single" w:color="auto" w:sz="4" w:space="0"/>
              <w:left w:val="single" w:color="auto" w:sz="4" w:space="0"/>
              <w:right w:val="single" w:color="auto" w:sz="4" w:space="0"/>
            </w:tcBorders>
            <w:vAlign w:val="center"/>
          </w:tcPr>
          <w:p w14:paraId="177A9785">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top w:val="single" w:color="auto" w:sz="4" w:space="0"/>
              <w:left w:val="single" w:color="auto" w:sz="4" w:space="0"/>
              <w:right w:val="single" w:color="auto" w:sz="4" w:space="0"/>
            </w:tcBorders>
            <w:vAlign w:val="center"/>
          </w:tcPr>
          <w:p w14:paraId="551386AF">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w:t>
            </w:r>
          </w:p>
        </w:tc>
        <w:tc>
          <w:tcPr>
            <w:tcW w:w="327" w:type="pct"/>
            <w:vMerge w:val="restart"/>
            <w:tcBorders>
              <w:top w:val="single" w:color="auto" w:sz="4" w:space="0"/>
              <w:left w:val="single" w:color="auto" w:sz="4" w:space="0"/>
              <w:right w:val="single" w:color="auto" w:sz="4" w:space="0"/>
            </w:tcBorders>
            <w:vAlign w:val="center"/>
          </w:tcPr>
          <w:p w14:paraId="6922B858">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740700D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4BB79E5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72.8</w:t>
            </w:r>
          </w:p>
        </w:tc>
        <w:tc>
          <w:tcPr>
            <w:tcW w:w="281" w:type="pct"/>
            <w:vMerge w:val="restart"/>
            <w:tcBorders>
              <w:top w:val="single" w:color="auto" w:sz="4" w:space="0"/>
              <w:left w:val="single" w:color="auto" w:sz="4" w:space="0"/>
              <w:right w:val="single" w:color="auto" w:sz="4" w:space="0"/>
            </w:tcBorders>
            <w:vAlign w:val="center"/>
          </w:tcPr>
          <w:p w14:paraId="5E41EA2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26</w:t>
            </w:r>
          </w:p>
        </w:tc>
        <w:tc>
          <w:tcPr>
            <w:tcW w:w="280" w:type="pct"/>
            <w:vMerge w:val="restart"/>
            <w:tcBorders>
              <w:top w:val="single" w:color="auto" w:sz="4" w:space="0"/>
              <w:left w:val="single" w:color="auto" w:sz="4" w:space="0"/>
              <w:right w:val="single" w:color="auto" w:sz="4" w:space="0"/>
            </w:tcBorders>
            <w:vAlign w:val="center"/>
          </w:tcPr>
          <w:p w14:paraId="21C0109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-9</w:t>
            </w:r>
          </w:p>
        </w:tc>
        <w:tc>
          <w:tcPr>
            <w:tcW w:w="280" w:type="pct"/>
            <w:vMerge w:val="restart"/>
            <w:tcBorders>
              <w:top w:val="single" w:color="auto" w:sz="4" w:space="0"/>
              <w:left w:val="single" w:color="auto" w:sz="4" w:space="0"/>
              <w:right w:val="single" w:color="auto" w:sz="4" w:space="0"/>
            </w:tcBorders>
            <w:vAlign w:val="center"/>
          </w:tcPr>
          <w:p w14:paraId="60493C7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74A138E8">
            <w:pPr>
              <w:adjustRightInd/>
              <w:snapToGrid/>
              <w:spacing w:line="240" w:lineRule="auto"/>
              <w:ind w:firstLine="0" w:firstLineChars="0"/>
              <w:jc w:val="center"/>
              <w:textAlignment w:val="auto"/>
              <w:rPr>
                <w:bCs/>
                <w:kern w:val="2"/>
                <w:sz w:val="21"/>
                <w:szCs w:val="21"/>
                <w:u w:val="single"/>
              </w:rPr>
            </w:pPr>
            <w:r>
              <w:rPr>
                <w:bCs/>
                <w:kern w:val="2"/>
                <w:sz w:val="21"/>
                <w:szCs w:val="21"/>
                <w:u w:val="single"/>
              </w:rPr>
              <w:t>东</w:t>
            </w:r>
            <w:r>
              <w:rPr>
                <w:rFonts w:hint="eastAsia"/>
                <w:bCs/>
                <w:kern w:val="2"/>
                <w:sz w:val="21"/>
                <w:szCs w:val="21"/>
                <w:u w:val="single"/>
              </w:rPr>
              <w:t>24</w:t>
            </w:r>
          </w:p>
        </w:tc>
        <w:tc>
          <w:tcPr>
            <w:tcW w:w="374" w:type="pct"/>
            <w:tcBorders>
              <w:top w:val="single" w:color="auto" w:sz="4" w:space="0"/>
              <w:left w:val="single" w:color="auto" w:sz="4" w:space="0"/>
              <w:bottom w:val="single" w:color="auto" w:sz="4" w:space="0"/>
              <w:right w:val="single" w:color="auto" w:sz="4" w:space="0"/>
            </w:tcBorders>
            <w:vAlign w:val="center"/>
          </w:tcPr>
          <w:p w14:paraId="6811056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45.2</w:t>
            </w:r>
          </w:p>
        </w:tc>
        <w:tc>
          <w:tcPr>
            <w:tcW w:w="308" w:type="pct"/>
            <w:vMerge w:val="restart"/>
            <w:tcBorders>
              <w:top w:val="single" w:color="auto" w:sz="4" w:space="0"/>
              <w:left w:val="single" w:color="auto" w:sz="4" w:space="0"/>
              <w:right w:val="single" w:color="auto" w:sz="4" w:space="0"/>
            </w:tcBorders>
            <w:vAlign w:val="center"/>
          </w:tcPr>
          <w:p w14:paraId="70093AA0">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right w:val="single" w:color="auto" w:sz="4" w:space="0"/>
            </w:tcBorders>
            <w:vAlign w:val="center"/>
          </w:tcPr>
          <w:p w14:paraId="2D1AEFC8">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7D6D959B">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39.2</w:t>
            </w:r>
          </w:p>
        </w:tc>
        <w:tc>
          <w:tcPr>
            <w:tcW w:w="267" w:type="pct"/>
            <w:tcBorders>
              <w:top w:val="single" w:color="auto" w:sz="4" w:space="0"/>
              <w:left w:val="single" w:color="auto" w:sz="4" w:space="0"/>
              <w:bottom w:val="single" w:color="auto" w:sz="4" w:space="0"/>
            </w:tcBorders>
            <w:vAlign w:val="center"/>
          </w:tcPr>
          <w:p w14:paraId="70116639">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282C94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131D03EA">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5B2BDDCE">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3CE911B6">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54593FD8">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7EF31B4E">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4F6B775F">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68CF510D">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74653BE2">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6AB736F9">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11C4E1A0">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49107192">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6E1BB98">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西</w:t>
            </w:r>
            <w:r>
              <w:rPr>
                <w:rFonts w:hint="eastAsia"/>
                <w:bCs/>
                <w:kern w:val="2"/>
                <w:sz w:val="21"/>
                <w:szCs w:val="21"/>
                <w:u w:val="single"/>
              </w:rPr>
              <w:t>26</w:t>
            </w:r>
          </w:p>
        </w:tc>
        <w:tc>
          <w:tcPr>
            <w:tcW w:w="374" w:type="pct"/>
            <w:tcBorders>
              <w:top w:val="single" w:color="auto" w:sz="4" w:space="0"/>
              <w:left w:val="single" w:color="auto" w:sz="4" w:space="0"/>
              <w:bottom w:val="single" w:color="auto" w:sz="4" w:space="0"/>
              <w:right w:val="single" w:color="auto" w:sz="4" w:space="0"/>
            </w:tcBorders>
            <w:vAlign w:val="center"/>
          </w:tcPr>
          <w:p w14:paraId="6CE6699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44.5</w:t>
            </w:r>
          </w:p>
        </w:tc>
        <w:tc>
          <w:tcPr>
            <w:tcW w:w="308" w:type="pct"/>
            <w:vMerge w:val="continue"/>
            <w:tcBorders>
              <w:left w:val="single" w:color="auto" w:sz="4" w:space="0"/>
              <w:right w:val="single" w:color="auto" w:sz="4" w:space="0"/>
            </w:tcBorders>
            <w:vAlign w:val="center"/>
          </w:tcPr>
          <w:p w14:paraId="5E6EC377">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5A4D89D1">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6BACEBBE">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38.5</w:t>
            </w:r>
          </w:p>
        </w:tc>
        <w:tc>
          <w:tcPr>
            <w:tcW w:w="267" w:type="pct"/>
            <w:tcBorders>
              <w:top w:val="single" w:color="auto" w:sz="4" w:space="0"/>
              <w:left w:val="single" w:color="auto" w:sz="4" w:space="0"/>
              <w:bottom w:val="single" w:color="auto" w:sz="4" w:space="0"/>
            </w:tcBorders>
            <w:vAlign w:val="center"/>
          </w:tcPr>
          <w:p w14:paraId="63DCC98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23408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513CF1B6">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2A11C6E2">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070797EF">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495C5868">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76B86A8A">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1BDC2B64">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68796D86">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156B917D">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5AB919C9">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0A1F28C3">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686B742A">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D54595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南</w:t>
            </w:r>
            <w:r>
              <w:rPr>
                <w:rFonts w:hint="eastAsia"/>
                <w:bCs/>
                <w:kern w:val="2"/>
                <w:sz w:val="21"/>
                <w:szCs w:val="21"/>
                <w:u w:val="single"/>
              </w:rPr>
              <w:t>59</w:t>
            </w:r>
          </w:p>
        </w:tc>
        <w:tc>
          <w:tcPr>
            <w:tcW w:w="374" w:type="pct"/>
            <w:tcBorders>
              <w:top w:val="single" w:color="auto" w:sz="4" w:space="0"/>
              <w:left w:val="single" w:color="auto" w:sz="4" w:space="0"/>
              <w:bottom w:val="single" w:color="auto" w:sz="4" w:space="0"/>
              <w:right w:val="single" w:color="auto" w:sz="4" w:space="0"/>
            </w:tcBorders>
            <w:vAlign w:val="center"/>
          </w:tcPr>
          <w:p w14:paraId="27F4D9B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29.6</w:t>
            </w:r>
          </w:p>
        </w:tc>
        <w:tc>
          <w:tcPr>
            <w:tcW w:w="308" w:type="pct"/>
            <w:vMerge w:val="continue"/>
            <w:tcBorders>
              <w:left w:val="single" w:color="auto" w:sz="4" w:space="0"/>
              <w:right w:val="single" w:color="auto" w:sz="4" w:space="0"/>
            </w:tcBorders>
            <w:vAlign w:val="center"/>
          </w:tcPr>
          <w:p w14:paraId="775028D9">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593C0CF5">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6FCA0438">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23.6</w:t>
            </w:r>
          </w:p>
        </w:tc>
        <w:tc>
          <w:tcPr>
            <w:tcW w:w="267" w:type="pct"/>
            <w:tcBorders>
              <w:top w:val="single" w:color="auto" w:sz="4" w:space="0"/>
              <w:left w:val="single" w:color="auto" w:sz="4" w:space="0"/>
              <w:bottom w:val="single" w:color="auto" w:sz="4" w:space="0"/>
            </w:tcBorders>
            <w:vAlign w:val="center"/>
          </w:tcPr>
          <w:p w14:paraId="3410C3C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11B9D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bottom w:val="single" w:color="auto" w:sz="4" w:space="0"/>
              <w:right w:val="single" w:color="auto" w:sz="4" w:space="0"/>
            </w:tcBorders>
            <w:vAlign w:val="center"/>
          </w:tcPr>
          <w:p w14:paraId="21371AD3">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5A0CE1F3">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3B451B31">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65310090">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23EF8562">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36DCB7C0">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4C820E9A">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3476F938">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5343B9ED">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6840981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111829F0">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670DA5C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北</w:t>
            </w:r>
            <w:r>
              <w:rPr>
                <w:rFonts w:hint="eastAsia"/>
                <w:bCs/>
                <w:kern w:val="2"/>
                <w:sz w:val="21"/>
                <w:szCs w:val="21"/>
                <w:u w:val="single"/>
              </w:rPr>
              <w:t>9</w:t>
            </w:r>
          </w:p>
        </w:tc>
        <w:tc>
          <w:tcPr>
            <w:tcW w:w="374" w:type="pct"/>
            <w:tcBorders>
              <w:top w:val="single" w:color="auto" w:sz="4" w:space="0"/>
              <w:left w:val="single" w:color="auto" w:sz="4" w:space="0"/>
              <w:bottom w:val="single" w:color="auto" w:sz="4" w:space="0"/>
              <w:right w:val="single" w:color="auto" w:sz="4" w:space="0"/>
            </w:tcBorders>
            <w:vAlign w:val="center"/>
          </w:tcPr>
          <w:p w14:paraId="119D384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53.7</w:t>
            </w:r>
          </w:p>
        </w:tc>
        <w:tc>
          <w:tcPr>
            <w:tcW w:w="308" w:type="pct"/>
            <w:vMerge w:val="continue"/>
            <w:tcBorders>
              <w:left w:val="single" w:color="auto" w:sz="4" w:space="0"/>
              <w:bottom w:val="single" w:color="auto" w:sz="4" w:space="0"/>
              <w:right w:val="single" w:color="auto" w:sz="4" w:space="0"/>
            </w:tcBorders>
            <w:vAlign w:val="center"/>
          </w:tcPr>
          <w:p w14:paraId="5784E118">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1FBC45BD">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14CC2C58">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47.7</w:t>
            </w:r>
          </w:p>
        </w:tc>
        <w:tc>
          <w:tcPr>
            <w:tcW w:w="267" w:type="pct"/>
            <w:tcBorders>
              <w:top w:val="single" w:color="auto" w:sz="4" w:space="0"/>
              <w:left w:val="single" w:color="auto" w:sz="4" w:space="0"/>
              <w:bottom w:val="single" w:color="auto" w:sz="4" w:space="0"/>
            </w:tcBorders>
            <w:vAlign w:val="center"/>
          </w:tcPr>
          <w:p w14:paraId="77CDE6C9">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64FA26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right w:val="single" w:color="auto" w:sz="4" w:space="0"/>
            </w:tcBorders>
            <w:vAlign w:val="center"/>
          </w:tcPr>
          <w:p w14:paraId="0B72B0AC">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5</w:t>
            </w:r>
          </w:p>
        </w:tc>
        <w:tc>
          <w:tcPr>
            <w:tcW w:w="253" w:type="pct"/>
            <w:vMerge w:val="continue"/>
            <w:tcBorders>
              <w:left w:val="single" w:color="auto" w:sz="4" w:space="0"/>
              <w:right w:val="single" w:color="auto" w:sz="4" w:space="0"/>
            </w:tcBorders>
            <w:vAlign w:val="center"/>
          </w:tcPr>
          <w:p w14:paraId="49F05CB3">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restart"/>
            <w:tcBorders>
              <w:left w:val="single" w:color="auto" w:sz="4" w:space="0"/>
              <w:right w:val="single" w:color="auto" w:sz="4" w:space="0"/>
            </w:tcBorders>
            <w:vAlign w:val="center"/>
          </w:tcPr>
          <w:p w14:paraId="25210AEF">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出料泵</w:t>
            </w:r>
          </w:p>
        </w:tc>
        <w:tc>
          <w:tcPr>
            <w:tcW w:w="401" w:type="pct"/>
            <w:vMerge w:val="restart"/>
            <w:tcBorders>
              <w:left w:val="single" w:color="auto" w:sz="4" w:space="0"/>
              <w:right w:val="single" w:color="auto" w:sz="4" w:space="0"/>
            </w:tcBorders>
            <w:vAlign w:val="center"/>
          </w:tcPr>
          <w:p w14:paraId="7FAD265F">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85/1</w:t>
            </w:r>
          </w:p>
        </w:tc>
        <w:tc>
          <w:tcPr>
            <w:tcW w:w="202" w:type="pct"/>
            <w:vMerge w:val="restart"/>
            <w:tcBorders>
              <w:left w:val="single" w:color="auto" w:sz="4" w:space="0"/>
              <w:right w:val="single" w:color="auto" w:sz="4" w:space="0"/>
            </w:tcBorders>
            <w:vAlign w:val="center"/>
          </w:tcPr>
          <w:p w14:paraId="30A6098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w:t>
            </w:r>
          </w:p>
        </w:tc>
        <w:tc>
          <w:tcPr>
            <w:tcW w:w="327" w:type="pct"/>
            <w:vMerge w:val="restart"/>
            <w:tcBorders>
              <w:left w:val="single" w:color="auto" w:sz="4" w:space="0"/>
              <w:right w:val="single" w:color="auto" w:sz="4" w:space="0"/>
            </w:tcBorders>
            <w:vAlign w:val="center"/>
          </w:tcPr>
          <w:p w14:paraId="6CC7E24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减振、隔声</w:t>
            </w:r>
          </w:p>
        </w:tc>
        <w:tc>
          <w:tcPr>
            <w:tcW w:w="374" w:type="pct"/>
            <w:vMerge w:val="restart"/>
            <w:tcBorders>
              <w:left w:val="single" w:color="auto" w:sz="4" w:space="0"/>
              <w:right w:val="single" w:color="auto" w:sz="4" w:space="0"/>
            </w:tcBorders>
            <w:vAlign w:val="center"/>
          </w:tcPr>
          <w:p w14:paraId="4B41532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left w:val="single" w:color="auto" w:sz="4" w:space="0"/>
              <w:right w:val="single" w:color="auto" w:sz="4" w:space="0"/>
            </w:tcBorders>
            <w:vAlign w:val="center"/>
          </w:tcPr>
          <w:p w14:paraId="2420CFF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73.5</w:t>
            </w:r>
          </w:p>
        </w:tc>
        <w:tc>
          <w:tcPr>
            <w:tcW w:w="281" w:type="pct"/>
            <w:vMerge w:val="restart"/>
            <w:tcBorders>
              <w:left w:val="single" w:color="auto" w:sz="4" w:space="0"/>
              <w:right w:val="single" w:color="auto" w:sz="4" w:space="0"/>
            </w:tcBorders>
            <w:vAlign w:val="center"/>
          </w:tcPr>
          <w:p w14:paraId="19D7492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36</w:t>
            </w:r>
          </w:p>
        </w:tc>
        <w:tc>
          <w:tcPr>
            <w:tcW w:w="280" w:type="pct"/>
            <w:vMerge w:val="restart"/>
            <w:tcBorders>
              <w:left w:val="single" w:color="auto" w:sz="4" w:space="0"/>
              <w:right w:val="single" w:color="auto" w:sz="4" w:space="0"/>
            </w:tcBorders>
            <w:vAlign w:val="center"/>
          </w:tcPr>
          <w:p w14:paraId="731DC11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-9</w:t>
            </w:r>
          </w:p>
        </w:tc>
        <w:tc>
          <w:tcPr>
            <w:tcW w:w="280" w:type="pct"/>
            <w:vMerge w:val="restart"/>
            <w:tcBorders>
              <w:left w:val="single" w:color="auto" w:sz="4" w:space="0"/>
              <w:right w:val="single" w:color="auto" w:sz="4" w:space="0"/>
            </w:tcBorders>
            <w:vAlign w:val="center"/>
          </w:tcPr>
          <w:p w14:paraId="5784A4F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16B9278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东</w:t>
            </w:r>
            <w:r>
              <w:rPr>
                <w:rFonts w:hint="eastAsia"/>
                <w:bCs/>
                <w:kern w:val="2"/>
                <w:sz w:val="21"/>
                <w:szCs w:val="21"/>
                <w:u w:val="single"/>
              </w:rPr>
              <w:t>14</w:t>
            </w:r>
          </w:p>
        </w:tc>
        <w:tc>
          <w:tcPr>
            <w:tcW w:w="374" w:type="pct"/>
            <w:tcBorders>
              <w:top w:val="single" w:color="auto" w:sz="4" w:space="0"/>
              <w:left w:val="single" w:color="auto" w:sz="4" w:space="0"/>
              <w:bottom w:val="single" w:color="auto" w:sz="4" w:space="0"/>
              <w:right w:val="single" w:color="auto" w:sz="4" w:space="0"/>
            </w:tcBorders>
            <w:vAlign w:val="center"/>
          </w:tcPr>
          <w:p w14:paraId="582EBF7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50.6</w:t>
            </w:r>
          </w:p>
        </w:tc>
        <w:tc>
          <w:tcPr>
            <w:tcW w:w="308" w:type="pct"/>
            <w:vMerge w:val="restart"/>
            <w:tcBorders>
              <w:left w:val="single" w:color="auto" w:sz="4" w:space="0"/>
              <w:right w:val="single" w:color="auto" w:sz="4" w:space="0"/>
            </w:tcBorders>
            <w:vAlign w:val="center"/>
          </w:tcPr>
          <w:p w14:paraId="1474D689">
            <w:pPr>
              <w:adjustRightInd/>
              <w:snapToGrid/>
              <w:spacing w:line="240" w:lineRule="auto"/>
              <w:ind w:firstLine="0" w:firstLineChars="0"/>
              <w:contextualSpacing/>
              <w:jc w:val="center"/>
              <w:textAlignment w:val="auto"/>
              <w:rPr>
                <w:bCs/>
                <w:kern w:val="2"/>
                <w:sz w:val="21"/>
                <w:szCs w:val="21"/>
                <w:u w:val="single"/>
              </w:rPr>
            </w:pPr>
            <w:r>
              <w:rPr>
                <w:bCs/>
                <w:kern w:val="2"/>
                <w:sz w:val="21"/>
                <w:szCs w:val="21"/>
                <w:u w:val="single"/>
              </w:rPr>
              <w:t>昼夜全时段</w:t>
            </w:r>
          </w:p>
        </w:tc>
        <w:tc>
          <w:tcPr>
            <w:tcW w:w="302" w:type="pct"/>
            <w:vMerge w:val="restart"/>
            <w:tcBorders>
              <w:left w:val="single" w:color="auto" w:sz="4" w:space="0"/>
              <w:right w:val="single" w:color="auto" w:sz="4" w:space="0"/>
            </w:tcBorders>
            <w:vAlign w:val="center"/>
          </w:tcPr>
          <w:p w14:paraId="6156FB1E">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60EC9453">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44.6</w:t>
            </w:r>
          </w:p>
        </w:tc>
        <w:tc>
          <w:tcPr>
            <w:tcW w:w="267" w:type="pct"/>
            <w:tcBorders>
              <w:top w:val="single" w:color="auto" w:sz="4" w:space="0"/>
              <w:left w:val="single" w:color="auto" w:sz="4" w:space="0"/>
              <w:bottom w:val="single" w:color="auto" w:sz="4" w:space="0"/>
            </w:tcBorders>
            <w:vAlign w:val="center"/>
          </w:tcPr>
          <w:p w14:paraId="6F03199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24E43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6BB32C6E">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53BC60DC">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7CDCBD26">
            <w:pPr>
              <w:adjustRightInd/>
              <w:snapToGrid/>
              <w:spacing w:line="240" w:lineRule="auto"/>
              <w:ind w:firstLine="0" w:firstLineChars="0"/>
              <w:contextualSpacing/>
              <w:jc w:val="center"/>
              <w:textAlignment w:val="auto"/>
              <w:rPr>
                <w:bCs/>
                <w:kern w:val="2"/>
                <w:sz w:val="21"/>
                <w:szCs w:val="21"/>
                <w:u w:val="single"/>
              </w:rPr>
            </w:pPr>
          </w:p>
        </w:tc>
        <w:tc>
          <w:tcPr>
            <w:tcW w:w="401" w:type="pct"/>
            <w:vMerge w:val="continue"/>
            <w:tcBorders>
              <w:left w:val="single" w:color="auto" w:sz="4" w:space="0"/>
              <w:right w:val="single" w:color="auto" w:sz="4" w:space="0"/>
            </w:tcBorders>
            <w:vAlign w:val="center"/>
          </w:tcPr>
          <w:p w14:paraId="3B5143DB">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right w:val="single" w:color="auto" w:sz="4" w:space="0"/>
            </w:tcBorders>
            <w:vAlign w:val="center"/>
          </w:tcPr>
          <w:p w14:paraId="37A4F583">
            <w:pPr>
              <w:adjustRightInd/>
              <w:snapToGrid/>
              <w:spacing w:line="240" w:lineRule="auto"/>
              <w:ind w:firstLine="0" w:firstLineChars="0"/>
              <w:jc w:val="center"/>
              <w:textAlignment w:val="auto"/>
              <w:rPr>
                <w:bCs/>
                <w:kern w:val="2"/>
                <w:sz w:val="21"/>
                <w:szCs w:val="21"/>
                <w:u w:val="single"/>
              </w:rPr>
            </w:pPr>
          </w:p>
        </w:tc>
        <w:tc>
          <w:tcPr>
            <w:tcW w:w="327" w:type="pct"/>
            <w:vMerge w:val="continue"/>
            <w:tcBorders>
              <w:left w:val="single" w:color="auto" w:sz="4" w:space="0"/>
              <w:right w:val="single" w:color="auto" w:sz="4" w:space="0"/>
            </w:tcBorders>
            <w:vAlign w:val="center"/>
          </w:tcPr>
          <w:p w14:paraId="4E6B6AF8">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09F397C5">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611214B7">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0DB19A82">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181218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01F009A5">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0AEAB12">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西</w:t>
            </w:r>
            <w:r>
              <w:rPr>
                <w:rFonts w:hint="eastAsia"/>
                <w:bCs/>
                <w:kern w:val="2"/>
                <w:sz w:val="21"/>
                <w:szCs w:val="21"/>
                <w:u w:val="single"/>
              </w:rPr>
              <w:t>36</w:t>
            </w:r>
          </w:p>
        </w:tc>
        <w:tc>
          <w:tcPr>
            <w:tcW w:w="374" w:type="pct"/>
            <w:tcBorders>
              <w:top w:val="single" w:color="auto" w:sz="4" w:space="0"/>
              <w:left w:val="single" w:color="auto" w:sz="4" w:space="0"/>
              <w:bottom w:val="single" w:color="auto" w:sz="4" w:space="0"/>
              <w:right w:val="single" w:color="auto" w:sz="4" w:space="0"/>
            </w:tcBorders>
            <w:vAlign w:val="center"/>
          </w:tcPr>
          <w:p w14:paraId="77E5D13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42.4</w:t>
            </w:r>
          </w:p>
        </w:tc>
        <w:tc>
          <w:tcPr>
            <w:tcW w:w="308" w:type="pct"/>
            <w:vMerge w:val="continue"/>
            <w:tcBorders>
              <w:left w:val="single" w:color="auto" w:sz="4" w:space="0"/>
              <w:right w:val="single" w:color="auto" w:sz="4" w:space="0"/>
            </w:tcBorders>
            <w:vAlign w:val="center"/>
          </w:tcPr>
          <w:p w14:paraId="46982FAE">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left w:val="single" w:color="auto" w:sz="4" w:space="0"/>
              <w:right w:val="single" w:color="auto" w:sz="4" w:space="0"/>
            </w:tcBorders>
            <w:vAlign w:val="center"/>
          </w:tcPr>
          <w:p w14:paraId="5769F40F">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16C4D917">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36.4</w:t>
            </w:r>
          </w:p>
        </w:tc>
        <w:tc>
          <w:tcPr>
            <w:tcW w:w="267" w:type="pct"/>
            <w:tcBorders>
              <w:top w:val="single" w:color="auto" w:sz="4" w:space="0"/>
              <w:left w:val="single" w:color="auto" w:sz="4" w:space="0"/>
              <w:bottom w:val="single" w:color="auto" w:sz="4" w:space="0"/>
            </w:tcBorders>
            <w:vAlign w:val="center"/>
          </w:tcPr>
          <w:p w14:paraId="18C9019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BC401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3F7CF946">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3873BC16">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4B0360AC">
            <w:pPr>
              <w:adjustRightInd/>
              <w:snapToGrid/>
              <w:spacing w:line="240" w:lineRule="auto"/>
              <w:ind w:firstLine="0" w:firstLineChars="0"/>
              <w:contextualSpacing/>
              <w:jc w:val="center"/>
              <w:textAlignment w:val="auto"/>
              <w:rPr>
                <w:bCs/>
                <w:kern w:val="2"/>
                <w:sz w:val="21"/>
                <w:szCs w:val="21"/>
                <w:u w:val="single"/>
              </w:rPr>
            </w:pPr>
          </w:p>
        </w:tc>
        <w:tc>
          <w:tcPr>
            <w:tcW w:w="401" w:type="pct"/>
            <w:vMerge w:val="continue"/>
            <w:tcBorders>
              <w:left w:val="single" w:color="auto" w:sz="4" w:space="0"/>
              <w:right w:val="single" w:color="auto" w:sz="4" w:space="0"/>
            </w:tcBorders>
            <w:vAlign w:val="center"/>
          </w:tcPr>
          <w:p w14:paraId="5BA087AA">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right w:val="single" w:color="auto" w:sz="4" w:space="0"/>
            </w:tcBorders>
            <w:vAlign w:val="center"/>
          </w:tcPr>
          <w:p w14:paraId="38817527">
            <w:pPr>
              <w:adjustRightInd/>
              <w:snapToGrid/>
              <w:spacing w:line="240" w:lineRule="auto"/>
              <w:ind w:firstLine="0" w:firstLineChars="0"/>
              <w:jc w:val="center"/>
              <w:textAlignment w:val="auto"/>
              <w:rPr>
                <w:bCs/>
                <w:kern w:val="2"/>
                <w:sz w:val="21"/>
                <w:szCs w:val="21"/>
                <w:u w:val="single"/>
              </w:rPr>
            </w:pPr>
          </w:p>
        </w:tc>
        <w:tc>
          <w:tcPr>
            <w:tcW w:w="327" w:type="pct"/>
            <w:vMerge w:val="continue"/>
            <w:tcBorders>
              <w:left w:val="single" w:color="auto" w:sz="4" w:space="0"/>
              <w:right w:val="single" w:color="auto" w:sz="4" w:space="0"/>
            </w:tcBorders>
            <w:vAlign w:val="center"/>
          </w:tcPr>
          <w:p w14:paraId="59781E53">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70304917">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0770E9A0">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11BF52C1">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3D66F5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047AED93">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AF8C916">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南</w:t>
            </w:r>
            <w:r>
              <w:rPr>
                <w:rFonts w:hint="eastAsia"/>
                <w:bCs/>
                <w:kern w:val="2"/>
                <w:sz w:val="21"/>
                <w:szCs w:val="21"/>
                <w:u w:val="single"/>
              </w:rPr>
              <w:t>39</w:t>
            </w:r>
          </w:p>
        </w:tc>
        <w:tc>
          <w:tcPr>
            <w:tcW w:w="374" w:type="pct"/>
            <w:tcBorders>
              <w:top w:val="single" w:color="auto" w:sz="4" w:space="0"/>
              <w:left w:val="single" w:color="auto" w:sz="4" w:space="0"/>
              <w:bottom w:val="single" w:color="auto" w:sz="4" w:space="0"/>
              <w:right w:val="single" w:color="auto" w:sz="4" w:space="0"/>
            </w:tcBorders>
            <w:vAlign w:val="center"/>
          </w:tcPr>
          <w:p w14:paraId="3547430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41.7</w:t>
            </w:r>
          </w:p>
        </w:tc>
        <w:tc>
          <w:tcPr>
            <w:tcW w:w="308" w:type="pct"/>
            <w:vMerge w:val="continue"/>
            <w:tcBorders>
              <w:left w:val="single" w:color="auto" w:sz="4" w:space="0"/>
              <w:right w:val="single" w:color="auto" w:sz="4" w:space="0"/>
            </w:tcBorders>
            <w:vAlign w:val="center"/>
          </w:tcPr>
          <w:p w14:paraId="09E3756F">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left w:val="single" w:color="auto" w:sz="4" w:space="0"/>
              <w:right w:val="single" w:color="auto" w:sz="4" w:space="0"/>
            </w:tcBorders>
            <w:vAlign w:val="center"/>
          </w:tcPr>
          <w:p w14:paraId="761CC989">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496C7F09">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35.7</w:t>
            </w:r>
          </w:p>
        </w:tc>
        <w:tc>
          <w:tcPr>
            <w:tcW w:w="267" w:type="pct"/>
            <w:tcBorders>
              <w:top w:val="single" w:color="auto" w:sz="4" w:space="0"/>
              <w:left w:val="single" w:color="auto" w:sz="4" w:space="0"/>
              <w:bottom w:val="single" w:color="auto" w:sz="4" w:space="0"/>
            </w:tcBorders>
            <w:vAlign w:val="center"/>
          </w:tcPr>
          <w:p w14:paraId="62525642">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5C747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bottom w:val="single" w:color="auto" w:sz="4" w:space="0"/>
              <w:right w:val="single" w:color="auto" w:sz="4" w:space="0"/>
            </w:tcBorders>
            <w:vAlign w:val="center"/>
          </w:tcPr>
          <w:p w14:paraId="797DA8A3">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64BB6A8D">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04F38E73">
            <w:pPr>
              <w:adjustRightInd/>
              <w:snapToGrid/>
              <w:spacing w:line="240" w:lineRule="auto"/>
              <w:ind w:firstLine="0" w:firstLineChars="0"/>
              <w:contextualSpacing/>
              <w:jc w:val="center"/>
              <w:textAlignment w:val="auto"/>
              <w:rPr>
                <w:bCs/>
                <w:kern w:val="2"/>
                <w:sz w:val="21"/>
                <w:szCs w:val="21"/>
                <w:u w:val="single"/>
              </w:rPr>
            </w:pPr>
          </w:p>
        </w:tc>
        <w:tc>
          <w:tcPr>
            <w:tcW w:w="401" w:type="pct"/>
            <w:vMerge w:val="continue"/>
            <w:tcBorders>
              <w:left w:val="single" w:color="auto" w:sz="4" w:space="0"/>
              <w:bottom w:val="single" w:color="auto" w:sz="4" w:space="0"/>
              <w:right w:val="single" w:color="auto" w:sz="4" w:space="0"/>
            </w:tcBorders>
            <w:vAlign w:val="center"/>
          </w:tcPr>
          <w:p w14:paraId="0EAC827C">
            <w:pPr>
              <w:adjustRightInd/>
              <w:snapToGrid/>
              <w:spacing w:line="240" w:lineRule="auto"/>
              <w:ind w:firstLine="0" w:firstLineChars="0"/>
              <w:contextualSpacing/>
              <w:jc w:val="center"/>
              <w:textAlignment w:val="auto"/>
              <w:rPr>
                <w:bCs/>
                <w:kern w:val="2"/>
                <w:sz w:val="21"/>
                <w:szCs w:val="21"/>
                <w:u w:val="single"/>
              </w:rPr>
            </w:pPr>
          </w:p>
        </w:tc>
        <w:tc>
          <w:tcPr>
            <w:tcW w:w="202" w:type="pct"/>
            <w:vMerge w:val="continue"/>
            <w:tcBorders>
              <w:left w:val="single" w:color="auto" w:sz="4" w:space="0"/>
              <w:bottom w:val="single" w:color="auto" w:sz="4" w:space="0"/>
              <w:right w:val="single" w:color="auto" w:sz="4" w:space="0"/>
            </w:tcBorders>
            <w:vAlign w:val="center"/>
          </w:tcPr>
          <w:p w14:paraId="0B168513">
            <w:pPr>
              <w:adjustRightInd/>
              <w:snapToGrid/>
              <w:spacing w:line="240" w:lineRule="auto"/>
              <w:ind w:firstLine="0" w:firstLineChars="0"/>
              <w:jc w:val="center"/>
              <w:textAlignment w:val="auto"/>
              <w:rPr>
                <w:bCs/>
                <w:kern w:val="2"/>
                <w:sz w:val="21"/>
                <w:szCs w:val="21"/>
                <w:u w:val="single"/>
              </w:rPr>
            </w:pPr>
          </w:p>
        </w:tc>
        <w:tc>
          <w:tcPr>
            <w:tcW w:w="327" w:type="pct"/>
            <w:vMerge w:val="continue"/>
            <w:tcBorders>
              <w:left w:val="single" w:color="auto" w:sz="4" w:space="0"/>
              <w:bottom w:val="single" w:color="auto" w:sz="4" w:space="0"/>
              <w:right w:val="single" w:color="auto" w:sz="4" w:space="0"/>
            </w:tcBorders>
            <w:vAlign w:val="center"/>
          </w:tcPr>
          <w:p w14:paraId="79FBDBF4">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4E32065E">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702B1F2F">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41584283">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71FC7FE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7EC43C86">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4952DF15">
            <w:pPr>
              <w:adjustRightInd/>
              <w:snapToGrid/>
              <w:spacing w:line="240" w:lineRule="auto"/>
              <w:ind w:firstLine="0" w:firstLineChars="0"/>
              <w:jc w:val="center"/>
              <w:textAlignment w:val="auto"/>
              <w:rPr>
                <w:bCs/>
                <w:kern w:val="2"/>
                <w:sz w:val="21"/>
                <w:szCs w:val="21"/>
                <w:u w:val="single"/>
              </w:rPr>
            </w:pPr>
            <w:r>
              <w:rPr>
                <w:bCs/>
                <w:kern w:val="2"/>
                <w:sz w:val="21"/>
                <w:szCs w:val="21"/>
                <w:u w:val="single"/>
              </w:rPr>
              <w:t>北</w:t>
            </w:r>
            <w:r>
              <w:rPr>
                <w:rFonts w:hint="eastAsia"/>
                <w:bCs/>
                <w:kern w:val="2"/>
                <w:sz w:val="21"/>
                <w:szCs w:val="21"/>
                <w:u w:val="single"/>
              </w:rPr>
              <w:t>9</w:t>
            </w:r>
          </w:p>
        </w:tc>
        <w:tc>
          <w:tcPr>
            <w:tcW w:w="374" w:type="pct"/>
            <w:tcBorders>
              <w:top w:val="single" w:color="auto" w:sz="4" w:space="0"/>
              <w:left w:val="single" w:color="auto" w:sz="4" w:space="0"/>
              <w:bottom w:val="single" w:color="auto" w:sz="4" w:space="0"/>
              <w:right w:val="single" w:color="auto" w:sz="4" w:space="0"/>
            </w:tcBorders>
            <w:vAlign w:val="center"/>
          </w:tcPr>
          <w:p w14:paraId="0B4512F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54.4</w:t>
            </w:r>
          </w:p>
        </w:tc>
        <w:tc>
          <w:tcPr>
            <w:tcW w:w="308" w:type="pct"/>
            <w:vMerge w:val="continue"/>
            <w:tcBorders>
              <w:left w:val="single" w:color="auto" w:sz="4" w:space="0"/>
              <w:bottom w:val="single" w:color="auto" w:sz="4" w:space="0"/>
              <w:right w:val="single" w:color="auto" w:sz="4" w:space="0"/>
            </w:tcBorders>
            <w:vAlign w:val="center"/>
          </w:tcPr>
          <w:p w14:paraId="73F4EAD0">
            <w:pPr>
              <w:adjustRightInd/>
              <w:snapToGrid/>
              <w:spacing w:line="240" w:lineRule="auto"/>
              <w:ind w:firstLine="0" w:firstLineChars="0"/>
              <w:contextualSpacing/>
              <w:jc w:val="center"/>
              <w:textAlignment w:val="auto"/>
              <w:rPr>
                <w:bCs/>
                <w:kern w:val="2"/>
                <w:sz w:val="21"/>
                <w:szCs w:val="21"/>
                <w:u w:val="single"/>
              </w:rPr>
            </w:pPr>
          </w:p>
        </w:tc>
        <w:tc>
          <w:tcPr>
            <w:tcW w:w="302" w:type="pct"/>
            <w:vMerge w:val="continue"/>
            <w:tcBorders>
              <w:left w:val="single" w:color="auto" w:sz="4" w:space="0"/>
              <w:bottom w:val="single" w:color="auto" w:sz="4" w:space="0"/>
              <w:right w:val="single" w:color="auto" w:sz="4" w:space="0"/>
            </w:tcBorders>
            <w:vAlign w:val="center"/>
          </w:tcPr>
          <w:p w14:paraId="15E1150B">
            <w:pPr>
              <w:adjustRightInd/>
              <w:snapToGrid/>
              <w:spacing w:line="240" w:lineRule="auto"/>
              <w:ind w:firstLine="0" w:firstLineChars="0"/>
              <w:contextualSpacing/>
              <w:jc w:val="center"/>
              <w:textAlignment w:val="auto"/>
              <w:rPr>
                <w:bCs/>
                <w:kern w:val="2"/>
                <w:sz w:val="21"/>
                <w:szCs w:val="21"/>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6F0F4A0">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49.4</w:t>
            </w:r>
          </w:p>
        </w:tc>
        <w:tc>
          <w:tcPr>
            <w:tcW w:w="267" w:type="pct"/>
            <w:tcBorders>
              <w:top w:val="single" w:color="auto" w:sz="4" w:space="0"/>
              <w:left w:val="single" w:color="auto" w:sz="4" w:space="0"/>
              <w:bottom w:val="single" w:color="auto" w:sz="4" w:space="0"/>
            </w:tcBorders>
            <w:vAlign w:val="center"/>
          </w:tcPr>
          <w:p w14:paraId="14E58FB8">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A9E65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top w:val="single" w:color="auto" w:sz="4" w:space="0"/>
              <w:right w:val="single" w:color="auto" w:sz="4" w:space="0"/>
            </w:tcBorders>
            <w:vAlign w:val="center"/>
          </w:tcPr>
          <w:p w14:paraId="090B3827">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6</w:t>
            </w:r>
          </w:p>
        </w:tc>
        <w:tc>
          <w:tcPr>
            <w:tcW w:w="253" w:type="pct"/>
            <w:vMerge w:val="continue"/>
            <w:tcBorders>
              <w:left w:val="single" w:color="auto" w:sz="4" w:space="0"/>
              <w:right w:val="single" w:color="auto" w:sz="4" w:space="0"/>
            </w:tcBorders>
            <w:vAlign w:val="center"/>
          </w:tcPr>
          <w:p w14:paraId="0E75DBB4">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restart"/>
            <w:tcBorders>
              <w:top w:val="single" w:color="auto" w:sz="4" w:space="0"/>
              <w:left w:val="single" w:color="auto" w:sz="4" w:space="0"/>
              <w:right w:val="single" w:color="auto" w:sz="4" w:space="0"/>
            </w:tcBorders>
            <w:vAlign w:val="center"/>
          </w:tcPr>
          <w:p w14:paraId="5A7A5052">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sz w:val="21"/>
                <w:szCs w:val="21"/>
                <w:u w:val="single"/>
              </w:rPr>
              <w:t>真空泵</w:t>
            </w:r>
          </w:p>
        </w:tc>
        <w:tc>
          <w:tcPr>
            <w:tcW w:w="401" w:type="pct"/>
            <w:vMerge w:val="restart"/>
            <w:tcBorders>
              <w:top w:val="single" w:color="auto" w:sz="4" w:space="0"/>
              <w:left w:val="single" w:color="auto" w:sz="4" w:space="0"/>
              <w:right w:val="single" w:color="auto" w:sz="4" w:space="0"/>
            </w:tcBorders>
            <w:vAlign w:val="center"/>
          </w:tcPr>
          <w:p w14:paraId="21684204">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top w:val="single" w:color="auto" w:sz="4" w:space="0"/>
              <w:left w:val="single" w:color="auto" w:sz="4" w:space="0"/>
              <w:right w:val="single" w:color="auto" w:sz="4" w:space="0"/>
            </w:tcBorders>
            <w:vAlign w:val="center"/>
          </w:tcPr>
          <w:p w14:paraId="37B9605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w:t>
            </w:r>
          </w:p>
        </w:tc>
        <w:tc>
          <w:tcPr>
            <w:tcW w:w="327" w:type="pct"/>
            <w:vMerge w:val="restart"/>
            <w:tcBorders>
              <w:top w:val="single" w:color="auto" w:sz="4" w:space="0"/>
              <w:left w:val="single" w:color="auto" w:sz="4" w:space="0"/>
              <w:right w:val="single" w:color="auto" w:sz="4" w:space="0"/>
            </w:tcBorders>
            <w:vAlign w:val="center"/>
          </w:tcPr>
          <w:p w14:paraId="5DB15E4A">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787B2CA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286DC2F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68</w:t>
            </w:r>
          </w:p>
        </w:tc>
        <w:tc>
          <w:tcPr>
            <w:tcW w:w="281" w:type="pct"/>
            <w:vMerge w:val="restart"/>
            <w:tcBorders>
              <w:top w:val="single" w:color="auto" w:sz="4" w:space="0"/>
              <w:left w:val="single" w:color="auto" w:sz="4" w:space="0"/>
              <w:right w:val="single" w:color="auto" w:sz="4" w:space="0"/>
            </w:tcBorders>
            <w:vAlign w:val="center"/>
          </w:tcPr>
          <w:p w14:paraId="15DE2B2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34</w:t>
            </w:r>
          </w:p>
        </w:tc>
        <w:tc>
          <w:tcPr>
            <w:tcW w:w="280" w:type="pct"/>
            <w:vMerge w:val="restart"/>
            <w:tcBorders>
              <w:top w:val="single" w:color="auto" w:sz="4" w:space="0"/>
              <w:left w:val="single" w:color="auto" w:sz="4" w:space="0"/>
              <w:right w:val="single" w:color="auto" w:sz="4" w:space="0"/>
            </w:tcBorders>
            <w:vAlign w:val="center"/>
          </w:tcPr>
          <w:p w14:paraId="072AE08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w:t>
            </w:r>
          </w:p>
        </w:tc>
        <w:tc>
          <w:tcPr>
            <w:tcW w:w="280" w:type="pct"/>
            <w:vMerge w:val="restart"/>
            <w:tcBorders>
              <w:top w:val="single" w:color="auto" w:sz="4" w:space="0"/>
              <w:left w:val="single" w:color="auto" w:sz="4" w:space="0"/>
              <w:right w:val="single" w:color="auto" w:sz="4" w:space="0"/>
            </w:tcBorders>
            <w:vAlign w:val="center"/>
          </w:tcPr>
          <w:p w14:paraId="12F333B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1714BE1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东16</w:t>
            </w:r>
          </w:p>
        </w:tc>
        <w:tc>
          <w:tcPr>
            <w:tcW w:w="374" w:type="pct"/>
            <w:tcBorders>
              <w:top w:val="single" w:color="auto" w:sz="4" w:space="0"/>
              <w:left w:val="single" w:color="auto" w:sz="4" w:space="0"/>
              <w:bottom w:val="single" w:color="auto" w:sz="4" w:space="0"/>
              <w:right w:val="single" w:color="auto" w:sz="4" w:space="0"/>
            </w:tcBorders>
            <w:vAlign w:val="center"/>
          </w:tcPr>
          <w:p w14:paraId="11CC54F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38.9</w:t>
            </w:r>
          </w:p>
        </w:tc>
        <w:tc>
          <w:tcPr>
            <w:tcW w:w="308" w:type="pct"/>
            <w:vMerge w:val="restart"/>
            <w:tcBorders>
              <w:top w:val="single" w:color="auto" w:sz="4" w:space="0"/>
              <w:left w:val="single" w:color="auto" w:sz="4" w:space="0"/>
              <w:right w:val="single" w:color="auto" w:sz="4" w:space="0"/>
            </w:tcBorders>
            <w:vAlign w:val="center"/>
          </w:tcPr>
          <w:p w14:paraId="66E34EF5">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right w:val="single" w:color="auto" w:sz="4" w:space="0"/>
            </w:tcBorders>
            <w:vAlign w:val="center"/>
          </w:tcPr>
          <w:p w14:paraId="3958E9B1">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2309F93A">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32.9</w:t>
            </w:r>
          </w:p>
        </w:tc>
        <w:tc>
          <w:tcPr>
            <w:tcW w:w="267" w:type="pct"/>
            <w:tcBorders>
              <w:top w:val="single" w:color="auto" w:sz="4" w:space="0"/>
              <w:left w:val="single" w:color="auto" w:sz="4" w:space="0"/>
              <w:bottom w:val="single" w:color="auto" w:sz="4" w:space="0"/>
            </w:tcBorders>
            <w:vAlign w:val="center"/>
          </w:tcPr>
          <w:p w14:paraId="50AAFC50">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3F5EF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39A9A510">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3C2E396B">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545D9935">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25CB7034">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089C4E97">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6F7FA63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0F1837AB">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2F1C4AB4">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6B6A9BF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3EEB5AF">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27BD021F">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907295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西34</w:t>
            </w:r>
          </w:p>
        </w:tc>
        <w:tc>
          <w:tcPr>
            <w:tcW w:w="374" w:type="pct"/>
            <w:tcBorders>
              <w:top w:val="single" w:color="auto" w:sz="4" w:space="0"/>
              <w:left w:val="single" w:color="auto" w:sz="4" w:space="0"/>
              <w:bottom w:val="single" w:color="auto" w:sz="4" w:space="0"/>
              <w:right w:val="single" w:color="auto" w:sz="4" w:space="0"/>
            </w:tcBorders>
            <w:vAlign w:val="center"/>
          </w:tcPr>
          <w:p w14:paraId="42CAC74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32.4</w:t>
            </w:r>
          </w:p>
        </w:tc>
        <w:tc>
          <w:tcPr>
            <w:tcW w:w="308" w:type="pct"/>
            <w:vMerge w:val="continue"/>
            <w:tcBorders>
              <w:left w:val="single" w:color="auto" w:sz="4" w:space="0"/>
              <w:right w:val="single" w:color="auto" w:sz="4" w:space="0"/>
            </w:tcBorders>
            <w:vAlign w:val="center"/>
          </w:tcPr>
          <w:p w14:paraId="784BB73F">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0BC1DE88">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782B796">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26.4</w:t>
            </w:r>
          </w:p>
        </w:tc>
        <w:tc>
          <w:tcPr>
            <w:tcW w:w="267" w:type="pct"/>
            <w:tcBorders>
              <w:top w:val="single" w:color="auto" w:sz="4" w:space="0"/>
              <w:left w:val="single" w:color="auto" w:sz="4" w:space="0"/>
              <w:bottom w:val="single" w:color="auto" w:sz="4" w:space="0"/>
            </w:tcBorders>
            <w:vAlign w:val="center"/>
          </w:tcPr>
          <w:p w14:paraId="5CC9C776">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BB669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4CE3A918">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54DACAF8">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68A97058">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4747E185">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2BA38754">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3B8B7D74">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7158A01B">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70032B42">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449F8221">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36500F45">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38669765">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52CAC28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南43</w:t>
            </w:r>
          </w:p>
        </w:tc>
        <w:tc>
          <w:tcPr>
            <w:tcW w:w="374" w:type="pct"/>
            <w:tcBorders>
              <w:top w:val="single" w:color="auto" w:sz="4" w:space="0"/>
              <w:left w:val="single" w:color="auto" w:sz="4" w:space="0"/>
              <w:bottom w:val="single" w:color="auto" w:sz="4" w:space="0"/>
              <w:right w:val="single" w:color="auto" w:sz="4" w:space="0"/>
            </w:tcBorders>
            <w:vAlign w:val="center"/>
          </w:tcPr>
          <w:p w14:paraId="4796724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35.3</w:t>
            </w:r>
          </w:p>
        </w:tc>
        <w:tc>
          <w:tcPr>
            <w:tcW w:w="308" w:type="pct"/>
            <w:vMerge w:val="continue"/>
            <w:tcBorders>
              <w:left w:val="single" w:color="auto" w:sz="4" w:space="0"/>
              <w:right w:val="single" w:color="auto" w:sz="4" w:space="0"/>
            </w:tcBorders>
            <w:vAlign w:val="center"/>
          </w:tcPr>
          <w:p w14:paraId="71AB5D44">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5625F87B">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09BA6D6A">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29.3</w:t>
            </w:r>
          </w:p>
        </w:tc>
        <w:tc>
          <w:tcPr>
            <w:tcW w:w="267" w:type="pct"/>
            <w:tcBorders>
              <w:top w:val="single" w:color="auto" w:sz="4" w:space="0"/>
              <w:left w:val="single" w:color="auto" w:sz="4" w:space="0"/>
              <w:bottom w:val="single" w:color="auto" w:sz="4" w:space="0"/>
            </w:tcBorders>
            <w:vAlign w:val="center"/>
          </w:tcPr>
          <w:p w14:paraId="5004301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50FADA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bottom w:val="single" w:color="auto" w:sz="4" w:space="0"/>
              <w:right w:val="single" w:color="auto" w:sz="4" w:space="0"/>
            </w:tcBorders>
            <w:vAlign w:val="center"/>
          </w:tcPr>
          <w:p w14:paraId="2FF1B118">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bottom w:val="single" w:color="auto" w:sz="4" w:space="0"/>
              <w:right w:val="single" w:color="auto" w:sz="4" w:space="0"/>
            </w:tcBorders>
            <w:vAlign w:val="center"/>
          </w:tcPr>
          <w:p w14:paraId="6623B990">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0392ACF9">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2D026FE6">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518BA12C">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74B2EDEC">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0F5E67E1">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33C3E101">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7C9BBB07">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7D62E94F">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569D7FF2">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34257AE">
            <w:pPr>
              <w:adjustRightInd/>
              <w:snapToGrid/>
              <w:spacing w:line="240" w:lineRule="auto"/>
              <w:ind w:firstLine="0" w:firstLineChars="0"/>
              <w:jc w:val="center"/>
              <w:textAlignment w:val="auto"/>
              <w:rPr>
                <w:bCs/>
                <w:kern w:val="2"/>
                <w:sz w:val="21"/>
                <w:szCs w:val="21"/>
                <w:highlight w:val="yellow"/>
                <w:u w:val="single"/>
              </w:rPr>
            </w:pPr>
            <w:r>
              <w:rPr>
                <w:rFonts w:hint="eastAsia"/>
                <w:bCs/>
                <w:kern w:val="2"/>
                <w:sz w:val="21"/>
                <w:szCs w:val="21"/>
                <w:u w:val="single"/>
              </w:rPr>
              <w:t>北5</w:t>
            </w:r>
          </w:p>
        </w:tc>
        <w:tc>
          <w:tcPr>
            <w:tcW w:w="374" w:type="pct"/>
            <w:tcBorders>
              <w:top w:val="single" w:color="auto" w:sz="4" w:space="0"/>
              <w:left w:val="single" w:color="auto" w:sz="4" w:space="0"/>
              <w:bottom w:val="single" w:color="auto" w:sz="4" w:space="0"/>
              <w:right w:val="single" w:color="auto" w:sz="4" w:space="0"/>
            </w:tcBorders>
            <w:vAlign w:val="center"/>
          </w:tcPr>
          <w:p w14:paraId="532A963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49</w:t>
            </w:r>
          </w:p>
        </w:tc>
        <w:tc>
          <w:tcPr>
            <w:tcW w:w="308" w:type="pct"/>
            <w:vMerge w:val="continue"/>
            <w:tcBorders>
              <w:left w:val="single" w:color="auto" w:sz="4" w:space="0"/>
              <w:bottom w:val="single" w:color="auto" w:sz="4" w:space="0"/>
              <w:right w:val="single" w:color="auto" w:sz="4" w:space="0"/>
            </w:tcBorders>
            <w:vAlign w:val="center"/>
          </w:tcPr>
          <w:p w14:paraId="23D173F4">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355A256B">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5E5A422D">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43</w:t>
            </w:r>
          </w:p>
        </w:tc>
        <w:tc>
          <w:tcPr>
            <w:tcW w:w="267" w:type="pct"/>
            <w:tcBorders>
              <w:top w:val="single" w:color="auto" w:sz="4" w:space="0"/>
              <w:left w:val="single" w:color="auto" w:sz="4" w:space="0"/>
              <w:bottom w:val="single" w:color="auto" w:sz="4" w:space="0"/>
            </w:tcBorders>
            <w:vAlign w:val="center"/>
          </w:tcPr>
          <w:p w14:paraId="47A99D0D">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656658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top w:val="single" w:color="auto" w:sz="4" w:space="0"/>
              <w:right w:val="single" w:color="auto" w:sz="4" w:space="0"/>
            </w:tcBorders>
            <w:vAlign w:val="center"/>
          </w:tcPr>
          <w:p w14:paraId="4297BEB5">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7</w:t>
            </w:r>
          </w:p>
        </w:tc>
        <w:tc>
          <w:tcPr>
            <w:tcW w:w="253" w:type="pct"/>
            <w:vMerge w:val="restart"/>
            <w:tcBorders>
              <w:top w:val="single" w:color="auto" w:sz="4" w:space="0"/>
              <w:left w:val="single" w:color="auto" w:sz="4" w:space="0"/>
              <w:right w:val="single" w:color="auto" w:sz="4" w:space="0"/>
            </w:tcBorders>
            <w:vAlign w:val="center"/>
          </w:tcPr>
          <w:p w14:paraId="527C03F0">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色浆生产区</w:t>
            </w:r>
          </w:p>
        </w:tc>
        <w:tc>
          <w:tcPr>
            <w:tcW w:w="230" w:type="pct"/>
            <w:vMerge w:val="restart"/>
            <w:tcBorders>
              <w:top w:val="single" w:color="auto" w:sz="4" w:space="0"/>
              <w:left w:val="single" w:color="auto" w:sz="4" w:space="0"/>
              <w:right w:val="single" w:color="auto" w:sz="4" w:space="0"/>
            </w:tcBorders>
            <w:vAlign w:val="center"/>
          </w:tcPr>
          <w:p w14:paraId="7AAFF463">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sz w:val="21"/>
                <w:szCs w:val="21"/>
                <w:u w:val="single"/>
              </w:rPr>
              <w:t>砂磨机</w:t>
            </w:r>
          </w:p>
        </w:tc>
        <w:tc>
          <w:tcPr>
            <w:tcW w:w="401" w:type="pct"/>
            <w:vMerge w:val="restart"/>
            <w:tcBorders>
              <w:top w:val="single" w:color="auto" w:sz="4" w:space="0"/>
              <w:left w:val="single" w:color="auto" w:sz="4" w:space="0"/>
              <w:right w:val="single" w:color="auto" w:sz="4" w:space="0"/>
            </w:tcBorders>
            <w:vAlign w:val="center"/>
          </w:tcPr>
          <w:p w14:paraId="4B3F70E0">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top w:val="single" w:color="auto" w:sz="4" w:space="0"/>
              <w:left w:val="single" w:color="auto" w:sz="4" w:space="0"/>
              <w:right w:val="single" w:color="auto" w:sz="4" w:space="0"/>
            </w:tcBorders>
            <w:vAlign w:val="center"/>
          </w:tcPr>
          <w:p w14:paraId="5BDA256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w:t>
            </w:r>
          </w:p>
        </w:tc>
        <w:tc>
          <w:tcPr>
            <w:tcW w:w="327" w:type="pct"/>
            <w:vMerge w:val="restart"/>
            <w:tcBorders>
              <w:top w:val="single" w:color="auto" w:sz="4" w:space="0"/>
              <w:left w:val="single" w:color="auto" w:sz="4" w:space="0"/>
              <w:right w:val="single" w:color="auto" w:sz="4" w:space="0"/>
            </w:tcBorders>
            <w:vAlign w:val="center"/>
          </w:tcPr>
          <w:p w14:paraId="5AD9CD10">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709CC72F">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4992574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71</w:t>
            </w:r>
          </w:p>
        </w:tc>
        <w:tc>
          <w:tcPr>
            <w:tcW w:w="281" w:type="pct"/>
            <w:vMerge w:val="restart"/>
            <w:tcBorders>
              <w:top w:val="single" w:color="auto" w:sz="4" w:space="0"/>
              <w:left w:val="single" w:color="auto" w:sz="4" w:space="0"/>
              <w:right w:val="single" w:color="auto" w:sz="4" w:space="0"/>
            </w:tcBorders>
            <w:vAlign w:val="center"/>
          </w:tcPr>
          <w:p w14:paraId="0E2A11C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173</w:t>
            </w:r>
          </w:p>
        </w:tc>
        <w:tc>
          <w:tcPr>
            <w:tcW w:w="280" w:type="pct"/>
            <w:vMerge w:val="restart"/>
            <w:tcBorders>
              <w:top w:val="single" w:color="auto" w:sz="4" w:space="0"/>
              <w:left w:val="single" w:color="auto" w:sz="4" w:space="0"/>
              <w:right w:val="single" w:color="auto" w:sz="4" w:space="0"/>
            </w:tcBorders>
            <w:vAlign w:val="center"/>
          </w:tcPr>
          <w:p w14:paraId="7EF9163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-25</w:t>
            </w:r>
          </w:p>
        </w:tc>
        <w:tc>
          <w:tcPr>
            <w:tcW w:w="280" w:type="pct"/>
            <w:vMerge w:val="restart"/>
            <w:tcBorders>
              <w:top w:val="single" w:color="auto" w:sz="4" w:space="0"/>
              <w:left w:val="single" w:color="auto" w:sz="4" w:space="0"/>
              <w:right w:val="single" w:color="auto" w:sz="4" w:space="0"/>
            </w:tcBorders>
            <w:vAlign w:val="center"/>
          </w:tcPr>
          <w:p w14:paraId="34D575A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7C0E3F88">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33</w:t>
            </w:r>
          </w:p>
        </w:tc>
        <w:tc>
          <w:tcPr>
            <w:tcW w:w="374" w:type="pct"/>
            <w:tcBorders>
              <w:top w:val="single" w:color="auto" w:sz="4" w:space="0"/>
              <w:left w:val="single" w:color="auto" w:sz="4" w:space="0"/>
              <w:bottom w:val="single" w:color="auto" w:sz="4" w:space="0"/>
              <w:right w:val="single" w:color="auto" w:sz="4" w:space="0"/>
            </w:tcBorders>
            <w:vAlign w:val="center"/>
          </w:tcPr>
          <w:p w14:paraId="49A83E6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40.6</w:t>
            </w:r>
          </w:p>
        </w:tc>
        <w:tc>
          <w:tcPr>
            <w:tcW w:w="308" w:type="pct"/>
            <w:vMerge w:val="restart"/>
            <w:tcBorders>
              <w:top w:val="single" w:color="auto" w:sz="4" w:space="0"/>
              <w:left w:val="single" w:color="auto" w:sz="4" w:space="0"/>
              <w:right w:val="single" w:color="auto" w:sz="4" w:space="0"/>
            </w:tcBorders>
            <w:vAlign w:val="center"/>
          </w:tcPr>
          <w:p w14:paraId="566E5114">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right w:val="single" w:color="auto" w:sz="4" w:space="0"/>
            </w:tcBorders>
            <w:vAlign w:val="center"/>
          </w:tcPr>
          <w:p w14:paraId="6129426E">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06E671D2">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34.6</w:t>
            </w:r>
          </w:p>
        </w:tc>
        <w:tc>
          <w:tcPr>
            <w:tcW w:w="267" w:type="pct"/>
            <w:tcBorders>
              <w:top w:val="single" w:color="auto" w:sz="4" w:space="0"/>
              <w:left w:val="single" w:color="auto" w:sz="4" w:space="0"/>
              <w:bottom w:val="single" w:color="auto" w:sz="4" w:space="0"/>
            </w:tcBorders>
            <w:vAlign w:val="center"/>
          </w:tcPr>
          <w:p w14:paraId="51A9426E">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685511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22522EAA">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45D4E196">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12DF0951">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11752964">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56C1A74F">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5E3C7490">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5050A39C">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40A175B5">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0D2D790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24888D9C">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25AD5684">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05DCCC51">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17</w:t>
            </w:r>
          </w:p>
        </w:tc>
        <w:tc>
          <w:tcPr>
            <w:tcW w:w="374" w:type="pct"/>
            <w:tcBorders>
              <w:top w:val="single" w:color="auto" w:sz="4" w:space="0"/>
              <w:left w:val="single" w:color="auto" w:sz="4" w:space="0"/>
              <w:bottom w:val="single" w:color="auto" w:sz="4" w:space="0"/>
              <w:right w:val="single" w:color="auto" w:sz="4" w:space="0"/>
            </w:tcBorders>
            <w:vAlign w:val="center"/>
          </w:tcPr>
          <w:p w14:paraId="0296E20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46.4</w:t>
            </w:r>
          </w:p>
        </w:tc>
        <w:tc>
          <w:tcPr>
            <w:tcW w:w="308" w:type="pct"/>
            <w:vMerge w:val="continue"/>
            <w:tcBorders>
              <w:left w:val="single" w:color="auto" w:sz="4" w:space="0"/>
              <w:right w:val="single" w:color="auto" w:sz="4" w:space="0"/>
            </w:tcBorders>
            <w:vAlign w:val="center"/>
          </w:tcPr>
          <w:p w14:paraId="716A96AF">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2123BDDA">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3370B91">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40.4</w:t>
            </w:r>
          </w:p>
        </w:tc>
        <w:tc>
          <w:tcPr>
            <w:tcW w:w="267" w:type="pct"/>
            <w:tcBorders>
              <w:top w:val="single" w:color="auto" w:sz="4" w:space="0"/>
              <w:left w:val="single" w:color="auto" w:sz="4" w:space="0"/>
              <w:bottom w:val="single" w:color="auto" w:sz="4" w:space="0"/>
            </w:tcBorders>
            <w:vAlign w:val="center"/>
          </w:tcPr>
          <w:p w14:paraId="21C39C6F">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665007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2288CC3F">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75105916">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0F3696C8">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3C433ED0">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7ACD8854">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39F3E56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5CB4164D">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03C8742C">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3C1D7A8D">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51F3406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BFA6656">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5034F6EA">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1AF14AA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38.3</w:t>
            </w:r>
          </w:p>
        </w:tc>
        <w:tc>
          <w:tcPr>
            <w:tcW w:w="308" w:type="pct"/>
            <w:vMerge w:val="continue"/>
            <w:tcBorders>
              <w:left w:val="single" w:color="auto" w:sz="4" w:space="0"/>
              <w:right w:val="single" w:color="auto" w:sz="4" w:space="0"/>
            </w:tcBorders>
            <w:vAlign w:val="center"/>
          </w:tcPr>
          <w:p w14:paraId="35C97B67">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0D8FE1A2">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63CFB4B4">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32.3</w:t>
            </w:r>
          </w:p>
        </w:tc>
        <w:tc>
          <w:tcPr>
            <w:tcW w:w="267" w:type="pct"/>
            <w:tcBorders>
              <w:top w:val="single" w:color="auto" w:sz="4" w:space="0"/>
              <w:left w:val="single" w:color="auto" w:sz="4" w:space="0"/>
              <w:bottom w:val="single" w:color="auto" w:sz="4" w:space="0"/>
            </w:tcBorders>
            <w:vAlign w:val="center"/>
          </w:tcPr>
          <w:p w14:paraId="325447B7">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E0389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27427925">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3C2E545D">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5867380B">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0ADDEA0C">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7E687EFC">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09DC855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6BF3C40D">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01B50D14">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19C3708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79C1216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012BFB10">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0F4B4B97">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25</w:t>
            </w:r>
          </w:p>
        </w:tc>
        <w:tc>
          <w:tcPr>
            <w:tcW w:w="374" w:type="pct"/>
            <w:tcBorders>
              <w:top w:val="single" w:color="auto" w:sz="4" w:space="0"/>
              <w:left w:val="single" w:color="auto" w:sz="4" w:space="0"/>
              <w:bottom w:val="single" w:color="auto" w:sz="4" w:space="0"/>
              <w:right w:val="single" w:color="auto" w:sz="4" w:space="0"/>
            </w:tcBorders>
            <w:vAlign w:val="center"/>
          </w:tcPr>
          <w:p w14:paraId="569F8AD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43</w:t>
            </w:r>
          </w:p>
        </w:tc>
        <w:tc>
          <w:tcPr>
            <w:tcW w:w="308" w:type="pct"/>
            <w:vMerge w:val="continue"/>
            <w:tcBorders>
              <w:left w:val="single" w:color="auto" w:sz="4" w:space="0"/>
              <w:bottom w:val="single" w:color="auto" w:sz="4" w:space="0"/>
              <w:right w:val="single" w:color="auto" w:sz="4" w:space="0"/>
            </w:tcBorders>
            <w:vAlign w:val="center"/>
          </w:tcPr>
          <w:p w14:paraId="419F2FAB">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12F47A28">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47FF0B80">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37</w:t>
            </w:r>
          </w:p>
        </w:tc>
        <w:tc>
          <w:tcPr>
            <w:tcW w:w="267" w:type="pct"/>
            <w:tcBorders>
              <w:top w:val="single" w:color="auto" w:sz="4" w:space="0"/>
              <w:left w:val="single" w:color="auto" w:sz="4" w:space="0"/>
              <w:bottom w:val="single" w:color="auto" w:sz="4" w:space="0"/>
            </w:tcBorders>
            <w:vAlign w:val="center"/>
          </w:tcPr>
          <w:p w14:paraId="1E690578">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A838A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right w:val="single" w:color="auto" w:sz="4" w:space="0"/>
            </w:tcBorders>
            <w:vAlign w:val="center"/>
          </w:tcPr>
          <w:p w14:paraId="28BF33EB">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8</w:t>
            </w:r>
          </w:p>
        </w:tc>
        <w:tc>
          <w:tcPr>
            <w:tcW w:w="253" w:type="pct"/>
            <w:vMerge w:val="continue"/>
            <w:tcBorders>
              <w:left w:val="single" w:color="auto" w:sz="4" w:space="0"/>
              <w:right w:val="single" w:color="auto" w:sz="4" w:space="0"/>
            </w:tcBorders>
            <w:vAlign w:val="center"/>
          </w:tcPr>
          <w:p w14:paraId="4A37833B">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restart"/>
            <w:tcBorders>
              <w:left w:val="single" w:color="auto" w:sz="4" w:space="0"/>
              <w:right w:val="single" w:color="auto" w:sz="4" w:space="0"/>
            </w:tcBorders>
            <w:vAlign w:val="center"/>
          </w:tcPr>
          <w:p w14:paraId="4EB24580">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sz w:val="21"/>
                <w:szCs w:val="21"/>
                <w:u w:val="single"/>
              </w:rPr>
              <w:t>自动</w:t>
            </w:r>
            <w:r>
              <w:rPr>
                <w:rFonts w:hint="eastAsia"/>
                <w:sz w:val="21"/>
                <w:szCs w:val="21"/>
                <w:u w:val="single"/>
              </w:rPr>
              <w:t>灌装机</w:t>
            </w:r>
          </w:p>
        </w:tc>
        <w:tc>
          <w:tcPr>
            <w:tcW w:w="401" w:type="pct"/>
            <w:vMerge w:val="restart"/>
            <w:tcBorders>
              <w:left w:val="single" w:color="auto" w:sz="4" w:space="0"/>
              <w:right w:val="single" w:color="auto" w:sz="4" w:space="0"/>
            </w:tcBorders>
            <w:vAlign w:val="center"/>
          </w:tcPr>
          <w:p w14:paraId="28211BE3">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left w:val="single" w:color="auto" w:sz="4" w:space="0"/>
              <w:right w:val="single" w:color="auto" w:sz="4" w:space="0"/>
            </w:tcBorders>
            <w:vAlign w:val="center"/>
          </w:tcPr>
          <w:p w14:paraId="1937ABE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w:t>
            </w:r>
          </w:p>
        </w:tc>
        <w:tc>
          <w:tcPr>
            <w:tcW w:w="327" w:type="pct"/>
            <w:vMerge w:val="restart"/>
            <w:tcBorders>
              <w:left w:val="single" w:color="auto" w:sz="4" w:space="0"/>
              <w:right w:val="single" w:color="auto" w:sz="4" w:space="0"/>
            </w:tcBorders>
            <w:vAlign w:val="center"/>
          </w:tcPr>
          <w:p w14:paraId="07C9BD78">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left w:val="single" w:color="auto" w:sz="4" w:space="0"/>
              <w:right w:val="single" w:color="auto" w:sz="4" w:space="0"/>
            </w:tcBorders>
            <w:vAlign w:val="center"/>
          </w:tcPr>
          <w:p w14:paraId="61765931">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left w:val="single" w:color="auto" w:sz="4" w:space="0"/>
              <w:right w:val="single" w:color="auto" w:sz="4" w:space="0"/>
            </w:tcBorders>
            <w:vAlign w:val="center"/>
          </w:tcPr>
          <w:p w14:paraId="14489A4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281" w:type="pct"/>
            <w:vMerge w:val="restart"/>
            <w:tcBorders>
              <w:left w:val="single" w:color="auto" w:sz="4" w:space="0"/>
              <w:right w:val="single" w:color="auto" w:sz="4" w:space="0"/>
            </w:tcBorders>
            <w:vAlign w:val="center"/>
          </w:tcPr>
          <w:p w14:paraId="4053315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23</w:t>
            </w:r>
          </w:p>
        </w:tc>
        <w:tc>
          <w:tcPr>
            <w:tcW w:w="280" w:type="pct"/>
            <w:vMerge w:val="restart"/>
            <w:tcBorders>
              <w:left w:val="single" w:color="auto" w:sz="4" w:space="0"/>
              <w:right w:val="single" w:color="auto" w:sz="4" w:space="0"/>
            </w:tcBorders>
            <w:vAlign w:val="center"/>
          </w:tcPr>
          <w:p w14:paraId="5299B6F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-25</w:t>
            </w:r>
          </w:p>
        </w:tc>
        <w:tc>
          <w:tcPr>
            <w:tcW w:w="280" w:type="pct"/>
            <w:vMerge w:val="restart"/>
            <w:tcBorders>
              <w:left w:val="single" w:color="auto" w:sz="4" w:space="0"/>
              <w:right w:val="single" w:color="auto" w:sz="4" w:space="0"/>
            </w:tcBorders>
            <w:vAlign w:val="center"/>
          </w:tcPr>
          <w:p w14:paraId="6E0E11E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2CD2A144">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27</w:t>
            </w:r>
          </w:p>
        </w:tc>
        <w:tc>
          <w:tcPr>
            <w:tcW w:w="374" w:type="pct"/>
            <w:tcBorders>
              <w:top w:val="single" w:color="auto" w:sz="4" w:space="0"/>
              <w:left w:val="single" w:color="auto" w:sz="4" w:space="0"/>
              <w:bottom w:val="single" w:color="auto" w:sz="4" w:space="0"/>
              <w:right w:val="single" w:color="auto" w:sz="4" w:space="0"/>
            </w:tcBorders>
            <w:vAlign w:val="center"/>
          </w:tcPr>
          <w:p w14:paraId="2781846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36.4</w:t>
            </w:r>
          </w:p>
        </w:tc>
        <w:tc>
          <w:tcPr>
            <w:tcW w:w="308" w:type="pct"/>
            <w:vMerge w:val="restart"/>
            <w:tcBorders>
              <w:left w:val="single" w:color="auto" w:sz="4" w:space="0"/>
              <w:right w:val="single" w:color="auto" w:sz="4" w:space="0"/>
            </w:tcBorders>
            <w:vAlign w:val="center"/>
          </w:tcPr>
          <w:p w14:paraId="2EC0F69A">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left w:val="single" w:color="auto" w:sz="4" w:space="0"/>
              <w:right w:val="single" w:color="auto" w:sz="4" w:space="0"/>
            </w:tcBorders>
            <w:vAlign w:val="center"/>
          </w:tcPr>
          <w:p w14:paraId="3BC1389A">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7EA550CC">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30.4</w:t>
            </w:r>
          </w:p>
        </w:tc>
        <w:tc>
          <w:tcPr>
            <w:tcW w:w="267" w:type="pct"/>
            <w:tcBorders>
              <w:top w:val="single" w:color="auto" w:sz="4" w:space="0"/>
              <w:left w:val="single" w:color="auto" w:sz="4" w:space="0"/>
              <w:bottom w:val="single" w:color="auto" w:sz="4" w:space="0"/>
            </w:tcBorders>
            <w:vAlign w:val="center"/>
          </w:tcPr>
          <w:p w14:paraId="27198EAF">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78A32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436C8E34">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36983BEE">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093FE78A">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73A256F2">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35EE7C7F">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192AF446">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1FE9D6A2">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68DBB6FA">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50078284">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4B26D8C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2C57D198">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401072A2">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23</w:t>
            </w:r>
          </w:p>
        </w:tc>
        <w:tc>
          <w:tcPr>
            <w:tcW w:w="374" w:type="pct"/>
            <w:tcBorders>
              <w:top w:val="single" w:color="auto" w:sz="4" w:space="0"/>
              <w:left w:val="single" w:color="auto" w:sz="4" w:space="0"/>
              <w:bottom w:val="single" w:color="auto" w:sz="4" w:space="0"/>
              <w:right w:val="single" w:color="auto" w:sz="4" w:space="0"/>
            </w:tcBorders>
            <w:vAlign w:val="center"/>
          </w:tcPr>
          <w:p w14:paraId="520A967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37.8</w:t>
            </w:r>
          </w:p>
        </w:tc>
        <w:tc>
          <w:tcPr>
            <w:tcW w:w="308" w:type="pct"/>
            <w:vMerge w:val="continue"/>
            <w:tcBorders>
              <w:left w:val="single" w:color="auto" w:sz="4" w:space="0"/>
              <w:right w:val="single" w:color="auto" w:sz="4" w:space="0"/>
            </w:tcBorders>
            <w:vAlign w:val="center"/>
          </w:tcPr>
          <w:p w14:paraId="7B3AC5AA">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18BE0FAF">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4E6C690A">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31.8</w:t>
            </w:r>
          </w:p>
        </w:tc>
        <w:tc>
          <w:tcPr>
            <w:tcW w:w="267" w:type="pct"/>
            <w:tcBorders>
              <w:top w:val="single" w:color="auto" w:sz="4" w:space="0"/>
              <w:left w:val="single" w:color="auto" w:sz="4" w:space="0"/>
              <w:bottom w:val="single" w:color="auto" w:sz="4" w:space="0"/>
            </w:tcBorders>
            <w:vAlign w:val="center"/>
          </w:tcPr>
          <w:p w14:paraId="300694E0">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C3B99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5BD1DC2F">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1CF8E898">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13FFC9D1">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56EE0C0D">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05512040">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144EDC58">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3067CC13">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190CBFE9">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192AFA4E">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20D13FB4">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1685AD2B">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2150F6C2">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3A17236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32.3</w:t>
            </w:r>
          </w:p>
        </w:tc>
        <w:tc>
          <w:tcPr>
            <w:tcW w:w="308" w:type="pct"/>
            <w:vMerge w:val="continue"/>
            <w:tcBorders>
              <w:left w:val="single" w:color="auto" w:sz="4" w:space="0"/>
              <w:right w:val="single" w:color="auto" w:sz="4" w:space="0"/>
            </w:tcBorders>
            <w:vAlign w:val="center"/>
          </w:tcPr>
          <w:p w14:paraId="24B6FA38">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1AAA0638">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07BD5DF3">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26.3</w:t>
            </w:r>
          </w:p>
        </w:tc>
        <w:tc>
          <w:tcPr>
            <w:tcW w:w="267" w:type="pct"/>
            <w:tcBorders>
              <w:top w:val="single" w:color="auto" w:sz="4" w:space="0"/>
              <w:left w:val="single" w:color="auto" w:sz="4" w:space="0"/>
              <w:bottom w:val="single" w:color="auto" w:sz="4" w:space="0"/>
            </w:tcBorders>
            <w:vAlign w:val="center"/>
          </w:tcPr>
          <w:p w14:paraId="06C9F152">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2D6CBD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657E89FE">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4280B1F6">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5E37F84B">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243D2B7E">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59BA36DF">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57D7E86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10FB4D4D">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13D137F3">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5C5C28DC">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569879FB">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328C67E7">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4F7ADAF7">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25</w:t>
            </w:r>
          </w:p>
        </w:tc>
        <w:tc>
          <w:tcPr>
            <w:tcW w:w="374" w:type="pct"/>
            <w:tcBorders>
              <w:top w:val="single" w:color="auto" w:sz="4" w:space="0"/>
              <w:left w:val="single" w:color="auto" w:sz="4" w:space="0"/>
              <w:bottom w:val="single" w:color="auto" w:sz="4" w:space="0"/>
              <w:right w:val="single" w:color="auto" w:sz="4" w:space="0"/>
            </w:tcBorders>
            <w:vAlign w:val="center"/>
          </w:tcPr>
          <w:p w14:paraId="372F0B9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37</w:t>
            </w:r>
          </w:p>
        </w:tc>
        <w:tc>
          <w:tcPr>
            <w:tcW w:w="308" w:type="pct"/>
            <w:vMerge w:val="continue"/>
            <w:tcBorders>
              <w:left w:val="single" w:color="auto" w:sz="4" w:space="0"/>
              <w:bottom w:val="single" w:color="auto" w:sz="4" w:space="0"/>
              <w:right w:val="single" w:color="auto" w:sz="4" w:space="0"/>
            </w:tcBorders>
            <w:vAlign w:val="center"/>
          </w:tcPr>
          <w:p w14:paraId="22DCCC91">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0BA0A44E">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CCBFEB5">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31</w:t>
            </w:r>
          </w:p>
        </w:tc>
        <w:tc>
          <w:tcPr>
            <w:tcW w:w="267" w:type="pct"/>
            <w:tcBorders>
              <w:top w:val="single" w:color="auto" w:sz="4" w:space="0"/>
              <w:left w:val="single" w:color="auto" w:sz="4" w:space="0"/>
              <w:bottom w:val="single" w:color="auto" w:sz="4" w:space="0"/>
            </w:tcBorders>
            <w:vAlign w:val="center"/>
          </w:tcPr>
          <w:p w14:paraId="28F72C57">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E8CA6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right w:val="single" w:color="auto" w:sz="4" w:space="0"/>
            </w:tcBorders>
            <w:vAlign w:val="center"/>
          </w:tcPr>
          <w:p w14:paraId="3FA06551">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9</w:t>
            </w:r>
          </w:p>
        </w:tc>
        <w:tc>
          <w:tcPr>
            <w:tcW w:w="253" w:type="pct"/>
            <w:vMerge w:val="continue"/>
            <w:tcBorders>
              <w:left w:val="single" w:color="auto" w:sz="4" w:space="0"/>
              <w:right w:val="single" w:color="auto" w:sz="4" w:space="0"/>
            </w:tcBorders>
            <w:vAlign w:val="center"/>
          </w:tcPr>
          <w:p w14:paraId="075BB576">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restart"/>
            <w:tcBorders>
              <w:left w:val="single" w:color="auto" w:sz="4" w:space="0"/>
              <w:right w:val="single" w:color="auto" w:sz="4" w:space="0"/>
            </w:tcBorders>
            <w:vAlign w:val="center"/>
          </w:tcPr>
          <w:p w14:paraId="644D2BF5">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sz w:val="21"/>
                <w:szCs w:val="21"/>
                <w:u w:val="single"/>
              </w:rPr>
              <w:t>进料泵</w:t>
            </w:r>
          </w:p>
        </w:tc>
        <w:tc>
          <w:tcPr>
            <w:tcW w:w="401" w:type="pct"/>
            <w:vMerge w:val="restart"/>
            <w:tcBorders>
              <w:left w:val="single" w:color="auto" w:sz="4" w:space="0"/>
              <w:right w:val="single" w:color="auto" w:sz="4" w:space="0"/>
            </w:tcBorders>
            <w:vAlign w:val="center"/>
          </w:tcPr>
          <w:p w14:paraId="7F9C49C4">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85/1</w:t>
            </w:r>
          </w:p>
        </w:tc>
        <w:tc>
          <w:tcPr>
            <w:tcW w:w="202" w:type="pct"/>
            <w:vMerge w:val="restart"/>
            <w:tcBorders>
              <w:left w:val="single" w:color="auto" w:sz="4" w:space="0"/>
              <w:right w:val="single" w:color="auto" w:sz="4" w:space="0"/>
            </w:tcBorders>
            <w:vAlign w:val="center"/>
          </w:tcPr>
          <w:p w14:paraId="29C6D665">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w:t>
            </w:r>
          </w:p>
        </w:tc>
        <w:tc>
          <w:tcPr>
            <w:tcW w:w="327" w:type="pct"/>
            <w:vMerge w:val="restart"/>
            <w:tcBorders>
              <w:left w:val="single" w:color="auto" w:sz="4" w:space="0"/>
              <w:right w:val="single" w:color="auto" w:sz="4" w:space="0"/>
            </w:tcBorders>
            <w:vAlign w:val="center"/>
          </w:tcPr>
          <w:p w14:paraId="4C1BB3A3">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减振、隔声</w:t>
            </w:r>
          </w:p>
        </w:tc>
        <w:tc>
          <w:tcPr>
            <w:tcW w:w="374" w:type="pct"/>
            <w:vMerge w:val="restart"/>
            <w:tcBorders>
              <w:left w:val="single" w:color="auto" w:sz="4" w:space="0"/>
              <w:right w:val="single" w:color="auto" w:sz="4" w:space="0"/>
            </w:tcBorders>
            <w:vAlign w:val="center"/>
          </w:tcPr>
          <w:p w14:paraId="5DC750F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left w:val="single" w:color="auto" w:sz="4" w:space="0"/>
              <w:right w:val="single" w:color="auto" w:sz="4" w:space="0"/>
            </w:tcBorders>
            <w:vAlign w:val="center"/>
          </w:tcPr>
          <w:p w14:paraId="427A5BB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71</w:t>
            </w:r>
          </w:p>
        </w:tc>
        <w:tc>
          <w:tcPr>
            <w:tcW w:w="281" w:type="pct"/>
            <w:vMerge w:val="restart"/>
            <w:tcBorders>
              <w:left w:val="single" w:color="auto" w:sz="4" w:space="0"/>
              <w:right w:val="single" w:color="auto" w:sz="4" w:space="0"/>
            </w:tcBorders>
            <w:vAlign w:val="center"/>
          </w:tcPr>
          <w:p w14:paraId="6B1D4D99">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17</w:t>
            </w:r>
          </w:p>
        </w:tc>
        <w:tc>
          <w:tcPr>
            <w:tcW w:w="280" w:type="pct"/>
            <w:vMerge w:val="restart"/>
            <w:tcBorders>
              <w:left w:val="single" w:color="auto" w:sz="4" w:space="0"/>
              <w:right w:val="single" w:color="auto" w:sz="4" w:space="0"/>
            </w:tcBorders>
            <w:vAlign w:val="center"/>
          </w:tcPr>
          <w:p w14:paraId="5E36E9C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-25</w:t>
            </w:r>
          </w:p>
        </w:tc>
        <w:tc>
          <w:tcPr>
            <w:tcW w:w="280" w:type="pct"/>
            <w:vMerge w:val="restart"/>
            <w:tcBorders>
              <w:left w:val="single" w:color="auto" w:sz="4" w:space="0"/>
              <w:right w:val="single" w:color="auto" w:sz="4" w:space="0"/>
            </w:tcBorders>
            <w:vAlign w:val="center"/>
          </w:tcPr>
          <w:p w14:paraId="7BB3799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2F4C9130">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33</w:t>
            </w:r>
          </w:p>
        </w:tc>
        <w:tc>
          <w:tcPr>
            <w:tcW w:w="374" w:type="pct"/>
            <w:tcBorders>
              <w:top w:val="single" w:color="auto" w:sz="4" w:space="0"/>
              <w:left w:val="single" w:color="auto" w:sz="4" w:space="0"/>
              <w:bottom w:val="single" w:color="auto" w:sz="4" w:space="0"/>
              <w:right w:val="single" w:color="auto" w:sz="4" w:space="0"/>
            </w:tcBorders>
            <w:vAlign w:val="center"/>
          </w:tcPr>
          <w:p w14:paraId="276AB7AE">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40.6</w:t>
            </w:r>
          </w:p>
        </w:tc>
        <w:tc>
          <w:tcPr>
            <w:tcW w:w="308" w:type="pct"/>
            <w:vMerge w:val="restart"/>
            <w:tcBorders>
              <w:left w:val="single" w:color="auto" w:sz="4" w:space="0"/>
              <w:right w:val="single" w:color="auto" w:sz="4" w:space="0"/>
            </w:tcBorders>
            <w:vAlign w:val="center"/>
          </w:tcPr>
          <w:p w14:paraId="44154E80">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left w:val="single" w:color="auto" w:sz="4" w:space="0"/>
              <w:right w:val="single" w:color="auto" w:sz="4" w:space="0"/>
            </w:tcBorders>
            <w:vAlign w:val="center"/>
          </w:tcPr>
          <w:p w14:paraId="00715880">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175CCB5E">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34.6</w:t>
            </w:r>
          </w:p>
        </w:tc>
        <w:tc>
          <w:tcPr>
            <w:tcW w:w="267" w:type="pct"/>
            <w:tcBorders>
              <w:top w:val="single" w:color="auto" w:sz="4" w:space="0"/>
              <w:left w:val="single" w:color="auto" w:sz="4" w:space="0"/>
              <w:bottom w:val="single" w:color="auto" w:sz="4" w:space="0"/>
            </w:tcBorders>
            <w:vAlign w:val="center"/>
          </w:tcPr>
          <w:p w14:paraId="5DF296B6">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3E2676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34EEF20E">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4DC8DB20">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2D8B44E0">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52DE0E94">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2BE22F5D">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1F3FD65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6F0E42A8">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112027B0">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199F39C5">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0C780234">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2F92AE0">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5BEED719">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17</w:t>
            </w:r>
          </w:p>
        </w:tc>
        <w:tc>
          <w:tcPr>
            <w:tcW w:w="374" w:type="pct"/>
            <w:tcBorders>
              <w:top w:val="single" w:color="auto" w:sz="4" w:space="0"/>
              <w:left w:val="single" w:color="auto" w:sz="4" w:space="0"/>
              <w:bottom w:val="single" w:color="auto" w:sz="4" w:space="0"/>
              <w:right w:val="single" w:color="auto" w:sz="4" w:space="0"/>
            </w:tcBorders>
            <w:vAlign w:val="center"/>
          </w:tcPr>
          <w:p w14:paraId="74BEC082">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46.4</w:t>
            </w:r>
          </w:p>
        </w:tc>
        <w:tc>
          <w:tcPr>
            <w:tcW w:w="308" w:type="pct"/>
            <w:vMerge w:val="continue"/>
            <w:tcBorders>
              <w:left w:val="single" w:color="auto" w:sz="4" w:space="0"/>
              <w:right w:val="single" w:color="auto" w:sz="4" w:space="0"/>
            </w:tcBorders>
            <w:vAlign w:val="center"/>
          </w:tcPr>
          <w:p w14:paraId="54EC20AE">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01AE8AF5">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20158105">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40.4</w:t>
            </w:r>
          </w:p>
        </w:tc>
        <w:tc>
          <w:tcPr>
            <w:tcW w:w="267" w:type="pct"/>
            <w:tcBorders>
              <w:top w:val="single" w:color="auto" w:sz="4" w:space="0"/>
              <w:left w:val="single" w:color="auto" w:sz="4" w:space="0"/>
              <w:bottom w:val="single" w:color="auto" w:sz="4" w:space="0"/>
            </w:tcBorders>
            <w:vAlign w:val="center"/>
          </w:tcPr>
          <w:p w14:paraId="74035024">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F0ABE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64909B59">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right w:val="single" w:color="auto" w:sz="4" w:space="0"/>
            </w:tcBorders>
            <w:vAlign w:val="center"/>
          </w:tcPr>
          <w:p w14:paraId="1AA4A0F7">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38BFF255">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36C06F1C">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0F7362E9">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58A64109">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7D19DF8A">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64A1B933">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2B4AD456">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70C0B5EA">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right w:val="single" w:color="auto" w:sz="4" w:space="0"/>
            </w:tcBorders>
            <w:vAlign w:val="center"/>
          </w:tcPr>
          <w:p w14:paraId="2C0FC792">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746805BA">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55B09AA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38.2</w:t>
            </w:r>
          </w:p>
        </w:tc>
        <w:tc>
          <w:tcPr>
            <w:tcW w:w="308" w:type="pct"/>
            <w:vMerge w:val="continue"/>
            <w:tcBorders>
              <w:left w:val="single" w:color="auto" w:sz="4" w:space="0"/>
              <w:right w:val="single" w:color="auto" w:sz="4" w:space="0"/>
            </w:tcBorders>
            <w:vAlign w:val="center"/>
          </w:tcPr>
          <w:p w14:paraId="732A73C0">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3EA78097">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3AFCF3CD">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32.2</w:t>
            </w:r>
          </w:p>
        </w:tc>
        <w:tc>
          <w:tcPr>
            <w:tcW w:w="267" w:type="pct"/>
            <w:tcBorders>
              <w:top w:val="single" w:color="auto" w:sz="4" w:space="0"/>
              <w:left w:val="single" w:color="auto" w:sz="4" w:space="0"/>
              <w:bottom w:val="single" w:color="auto" w:sz="4" w:space="0"/>
            </w:tcBorders>
            <w:vAlign w:val="center"/>
          </w:tcPr>
          <w:p w14:paraId="1521DC3D">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2B5344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bottom w:val="single" w:color="auto" w:sz="4" w:space="0"/>
              <w:right w:val="single" w:color="auto" w:sz="4" w:space="0"/>
            </w:tcBorders>
            <w:vAlign w:val="center"/>
          </w:tcPr>
          <w:p w14:paraId="6A425E6C">
            <w:pPr>
              <w:adjustRightInd/>
              <w:snapToGrid/>
              <w:spacing w:line="240" w:lineRule="auto"/>
              <w:ind w:firstLine="0" w:firstLineChars="0"/>
              <w:contextualSpacing/>
              <w:jc w:val="center"/>
              <w:textAlignment w:val="auto"/>
              <w:rPr>
                <w:bCs/>
                <w:kern w:val="2"/>
                <w:sz w:val="21"/>
                <w:szCs w:val="21"/>
                <w:u w:val="single"/>
              </w:rPr>
            </w:pPr>
          </w:p>
        </w:tc>
        <w:tc>
          <w:tcPr>
            <w:tcW w:w="253" w:type="pct"/>
            <w:vMerge w:val="continue"/>
            <w:tcBorders>
              <w:left w:val="single" w:color="auto" w:sz="4" w:space="0"/>
              <w:bottom w:val="single" w:color="auto" w:sz="4" w:space="0"/>
              <w:right w:val="single" w:color="auto" w:sz="4" w:space="0"/>
            </w:tcBorders>
            <w:vAlign w:val="center"/>
          </w:tcPr>
          <w:p w14:paraId="0F2D3213">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bottom w:val="single" w:color="auto" w:sz="4" w:space="0"/>
              <w:right w:val="single" w:color="auto" w:sz="4" w:space="0"/>
            </w:tcBorders>
            <w:vAlign w:val="center"/>
          </w:tcPr>
          <w:p w14:paraId="53E6B866">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bottom w:val="single" w:color="auto" w:sz="4" w:space="0"/>
              <w:right w:val="single" w:color="auto" w:sz="4" w:space="0"/>
            </w:tcBorders>
            <w:vAlign w:val="center"/>
          </w:tcPr>
          <w:p w14:paraId="553D156B">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236B8715">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bottom w:val="single" w:color="auto" w:sz="4" w:space="0"/>
              <w:right w:val="single" w:color="auto" w:sz="4" w:space="0"/>
            </w:tcBorders>
            <w:vAlign w:val="center"/>
          </w:tcPr>
          <w:p w14:paraId="6F2A08F8">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3AA6F1DA">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3199176E">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bottom w:val="single" w:color="auto" w:sz="4" w:space="0"/>
              <w:right w:val="single" w:color="auto" w:sz="4" w:space="0"/>
            </w:tcBorders>
            <w:vAlign w:val="center"/>
          </w:tcPr>
          <w:p w14:paraId="5924ABA1">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6ED92311">
            <w:pPr>
              <w:adjustRightInd/>
              <w:snapToGrid/>
              <w:spacing w:line="240" w:lineRule="auto"/>
              <w:ind w:firstLine="0" w:firstLineChars="0"/>
              <w:jc w:val="center"/>
              <w:textAlignment w:val="auto"/>
              <w:rPr>
                <w:bCs/>
                <w:kern w:val="2"/>
                <w:sz w:val="21"/>
                <w:szCs w:val="21"/>
                <w:u w:val="single"/>
              </w:rPr>
            </w:pPr>
          </w:p>
        </w:tc>
        <w:tc>
          <w:tcPr>
            <w:tcW w:w="280" w:type="pct"/>
            <w:vMerge w:val="continue"/>
            <w:tcBorders>
              <w:left w:val="single" w:color="auto" w:sz="4" w:space="0"/>
              <w:bottom w:val="single" w:color="auto" w:sz="4" w:space="0"/>
              <w:right w:val="single" w:color="auto" w:sz="4" w:space="0"/>
            </w:tcBorders>
            <w:vAlign w:val="center"/>
          </w:tcPr>
          <w:p w14:paraId="1B232C61">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2F6A399D">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25</w:t>
            </w:r>
          </w:p>
        </w:tc>
        <w:tc>
          <w:tcPr>
            <w:tcW w:w="374" w:type="pct"/>
            <w:tcBorders>
              <w:top w:val="single" w:color="auto" w:sz="4" w:space="0"/>
              <w:left w:val="single" w:color="auto" w:sz="4" w:space="0"/>
              <w:bottom w:val="single" w:color="auto" w:sz="4" w:space="0"/>
              <w:right w:val="single" w:color="auto" w:sz="4" w:space="0"/>
            </w:tcBorders>
            <w:vAlign w:val="center"/>
          </w:tcPr>
          <w:p w14:paraId="1931149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43</w:t>
            </w:r>
          </w:p>
        </w:tc>
        <w:tc>
          <w:tcPr>
            <w:tcW w:w="308" w:type="pct"/>
            <w:vMerge w:val="continue"/>
            <w:tcBorders>
              <w:left w:val="single" w:color="auto" w:sz="4" w:space="0"/>
              <w:bottom w:val="single" w:color="auto" w:sz="4" w:space="0"/>
              <w:right w:val="single" w:color="auto" w:sz="4" w:space="0"/>
            </w:tcBorders>
            <w:vAlign w:val="center"/>
          </w:tcPr>
          <w:p w14:paraId="0AF02640">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bottom w:val="single" w:color="auto" w:sz="4" w:space="0"/>
              <w:right w:val="single" w:color="auto" w:sz="4" w:space="0"/>
            </w:tcBorders>
            <w:vAlign w:val="center"/>
          </w:tcPr>
          <w:p w14:paraId="39F8119C">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CC85586">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37</w:t>
            </w:r>
          </w:p>
        </w:tc>
        <w:tc>
          <w:tcPr>
            <w:tcW w:w="267" w:type="pct"/>
            <w:tcBorders>
              <w:top w:val="single" w:color="auto" w:sz="4" w:space="0"/>
              <w:left w:val="single" w:color="auto" w:sz="4" w:space="0"/>
              <w:bottom w:val="single" w:color="auto" w:sz="4" w:space="0"/>
            </w:tcBorders>
            <w:vAlign w:val="center"/>
          </w:tcPr>
          <w:p w14:paraId="2C85FD4D">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B66F3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top w:val="single" w:color="auto" w:sz="4" w:space="0"/>
              <w:bottom w:val="single" w:color="auto" w:sz="4" w:space="0"/>
              <w:right w:val="single" w:color="auto" w:sz="4" w:space="0"/>
            </w:tcBorders>
            <w:vAlign w:val="center"/>
          </w:tcPr>
          <w:p w14:paraId="3469283D">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10</w:t>
            </w:r>
          </w:p>
        </w:tc>
        <w:tc>
          <w:tcPr>
            <w:tcW w:w="253" w:type="pct"/>
            <w:vMerge w:val="restart"/>
            <w:tcBorders>
              <w:top w:val="single" w:color="auto" w:sz="4" w:space="0"/>
              <w:left w:val="single" w:color="auto" w:sz="4" w:space="0"/>
              <w:right w:val="single" w:color="auto" w:sz="4" w:space="0"/>
            </w:tcBorders>
            <w:vAlign w:val="center"/>
          </w:tcPr>
          <w:p w14:paraId="413970DF">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有机废气治理设施处</w:t>
            </w:r>
          </w:p>
        </w:tc>
        <w:tc>
          <w:tcPr>
            <w:tcW w:w="230" w:type="pct"/>
            <w:vMerge w:val="restart"/>
            <w:tcBorders>
              <w:top w:val="single" w:color="auto" w:sz="4" w:space="0"/>
              <w:left w:val="single" w:color="auto" w:sz="4" w:space="0"/>
              <w:bottom w:val="single" w:color="auto" w:sz="4" w:space="0"/>
              <w:right w:val="single" w:color="auto" w:sz="4" w:space="0"/>
            </w:tcBorders>
            <w:vAlign w:val="center"/>
          </w:tcPr>
          <w:p w14:paraId="53ABE424">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风机1</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045C1DB6">
            <w:pPr>
              <w:adjustRightInd/>
              <w:snapToGrid/>
              <w:spacing w:line="240" w:lineRule="auto"/>
              <w:ind w:firstLine="0" w:firstLineChars="0"/>
              <w:contextualSpacing/>
              <w:jc w:val="center"/>
              <w:textAlignment w:val="auto"/>
              <w:rPr>
                <w:bCs/>
                <w:kern w:val="2"/>
                <w:sz w:val="21"/>
                <w:szCs w:val="21"/>
                <w:u w:val="single"/>
              </w:rPr>
            </w:pPr>
            <w:r>
              <w:rPr>
                <w:rFonts w:hint="eastAsia"/>
                <w:bCs/>
                <w:kern w:val="2"/>
                <w:sz w:val="21"/>
                <w:szCs w:val="21"/>
                <w:u w:val="single"/>
              </w:rPr>
              <w:t>90</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5CEC806B">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w:t>
            </w:r>
          </w:p>
        </w:tc>
        <w:tc>
          <w:tcPr>
            <w:tcW w:w="327" w:type="pct"/>
            <w:vMerge w:val="restart"/>
            <w:tcBorders>
              <w:top w:val="single" w:color="auto" w:sz="4" w:space="0"/>
              <w:left w:val="single" w:color="auto" w:sz="4" w:space="0"/>
              <w:bottom w:val="single" w:color="auto" w:sz="4" w:space="0"/>
              <w:right w:val="single" w:color="auto" w:sz="4" w:space="0"/>
            </w:tcBorders>
            <w:vAlign w:val="center"/>
          </w:tcPr>
          <w:p w14:paraId="780776A3">
            <w:pPr>
              <w:adjustRightInd/>
              <w:snapToGrid/>
              <w:spacing w:line="240" w:lineRule="auto"/>
              <w:ind w:firstLine="0" w:firstLineChars="0"/>
              <w:jc w:val="center"/>
              <w:textAlignment w:val="auto"/>
              <w:rPr>
                <w:bCs/>
                <w:kern w:val="2"/>
                <w:sz w:val="21"/>
                <w:szCs w:val="21"/>
                <w:u w:val="single"/>
              </w:rPr>
            </w:pPr>
            <w:r>
              <w:rPr>
                <w:bCs/>
                <w:kern w:val="2"/>
                <w:sz w:val="21"/>
                <w:szCs w:val="21"/>
                <w:u w:val="single"/>
              </w:rPr>
              <w:t>进风口消音器、管道外壳阻尼</w:t>
            </w:r>
            <w:r>
              <w:rPr>
                <w:rFonts w:hint="eastAsia"/>
                <w:bCs/>
                <w:kern w:val="2"/>
                <w:sz w:val="21"/>
                <w:szCs w:val="21"/>
                <w:u w:val="single"/>
              </w:rPr>
              <w:t>、</w:t>
            </w: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515F4F6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507572B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281" w:type="pct"/>
            <w:vMerge w:val="restart"/>
            <w:tcBorders>
              <w:top w:val="single" w:color="auto" w:sz="4" w:space="0"/>
              <w:left w:val="single" w:color="auto" w:sz="4" w:space="0"/>
              <w:bottom w:val="single" w:color="auto" w:sz="4" w:space="0"/>
              <w:right w:val="single" w:color="auto" w:sz="4" w:space="0"/>
            </w:tcBorders>
            <w:vAlign w:val="center"/>
          </w:tcPr>
          <w:p w14:paraId="44BDAF1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3BF2E770">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w:t>
            </w:r>
          </w:p>
        </w:tc>
        <w:tc>
          <w:tcPr>
            <w:tcW w:w="280" w:type="pct"/>
            <w:vMerge w:val="restart"/>
            <w:tcBorders>
              <w:top w:val="single" w:color="auto" w:sz="4" w:space="0"/>
              <w:left w:val="single" w:color="auto" w:sz="4" w:space="0"/>
              <w:bottom w:val="single" w:color="auto" w:sz="4" w:space="0"/>
              <w:right w:val="single" w:color="auto" w:sz="4" w:space="0"/>
            </w:tcBorders>
            <w:vAlign w:val="center"/>
          </w:tcPr>
          <w:p w14:paraId="70A5849B">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18DD351B">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45</w:t>
            </w:r>
          </w:p>
        </w:tc>
        <w:tc>
          <w:tcPr>
            <w:tcW w:w="374" w:type="pct"/>
            <w:tcBorders>
              <w:top w:val="single" w:color="auto" w:sz="4" w:space="0"/>
              <w:left w:val="single" w:color="auto" w:sz="4" w:space="0"/>
              <w:bottom w:val="single" w:color="auto" w:sz="4" w:space="0"/>
              <w:right w:val="single" w:color="auto" w:sz="4" w:space="0"/>
            </w:tcBorders>
            <w:vAlign w:val="center"/>
          </w:tcPr>
          <w:p w14:paraId="794B1DF4">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31.9</w:t>
            </w:r>
          </w:p>
        </w:tc>
        <w:tc>
          <w:tcPr>
            <w:tcW w:w="308" w:type="pct"/>
            <w:vMerge w:val="restart"/>
            <w:tcBorders>
              <w:top w:val="single" w:color="auto" w:sz="4" w:space="0"/>
              <w:left w:val="single" w:color="auto" w:sz="4" w:space="0"/>
              <w:bottom w:val="single" w:color="auto" w:sz="4" w:space="0"/>
              <w:right w:val="single" w:color="auto" w:sz="4" w:space="0"/>
            </w:tcBorders>
            <w:vAlign w:val="center"/>
          </w:tcPr>
          <w:p w14:paraId="51C90EFA">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bottom w:val="single" w:color="auto" w:sz="4" w:space="0"/>
              <w:right w:val="single" w:color="auto" w:sz="4" w:space="0"/>
            </w:tcBorders>
            <w:vAlign w:val="center"/>
          </w:tcPr>
          <w:p w14:paraId="2950780B">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0F1A1511">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25.9</w:t>
            </w:r>
          </w:p>
        </w:tc>
        <w:tc>
          <w:tcPr>
            <w:tcW w:w="267" w:type="pct"/>
            <w:tcBorders>
              <w:top w:val="single" w:color="auto" w:sz="4" w:space="0"/>
              <w:left w:val="single" w:color="auto" w:sz="4" w:space="0"/>
              <w:bottom w:val="single" w:color="auto" w:sz="4" w:space="0"/>
            </w:tcBorders>
            <w:vAlign w:val="center"/>
          </w:tcPr>
          <w:p w14:paraId="76A6E332">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08ECD8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37A94B47">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74B9BDD4">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14B46275">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6731E078">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7F7D3DBF">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02B6C6A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38EF5DF7">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51F4A526">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31707A2C">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430BBBE2">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34339509">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39E93C22">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5</w:t>
            </w:r>
          </w:p>
        </w:tc>
        <w:tc>
          <w:tcPr>
            <w:tcW w:w="374" w:type="pct"/>
            <w:tcBorders>
              <w:top w:val="single" w:color="auto" w:sz="4" w:space="0"/>
              <w:left w:val="single" w:color="auto" w:sz="4" w:space="0"/>
              <w:bottom w:val="single" w:color="auto" w:sz="4" w:space="0"/>
              <w:right w:val="single" w:color="auto" w:sz="4" w:space="0"/>
            </w:tcBorders>
            <w:vAlign w:val="center"/>
          </w:tcPr>
          <w:p w14:paraId="43B4B13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51</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05FFE5DA">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45217F43">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311C077B">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45</w:t>
            </w:r>
          </w:p>
        </w:tc>
        <w:tc>
          <w:tcPr>
            <w:tcW w:w="267" w:type="pct"/>
            <w:tcBorders>
              <w:top w:val="single" w:color="auto" w:sz="4" w:space="0"/>
              <w:left w:val="single" w:color="auto" w:sz="4" w:space="0"/>
              <w:bottom w:val="single" w:color="auto" w:sz="4" w:space="0"/>
            </w:tcBorders>
            <w:vAlign w:val="center"/>
          </w:tcPr>
          <w:p w14:paraId="1B57C0DE">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57545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5170904F">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665D0ABA">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1A716E38">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0C9E1C5C">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28B2A9E0">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692BAF8B">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4BFA580A">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5E104ABA">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320FAC45">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E509FB8">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160C28B8">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6B82CA45">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62</w:t>
            </w:r>
          </w:p>
        </w:tc>
        <w:tc>
          <w:tcPr>
            <w:tcW w:w="374" w:type="pct"/>
            <w:tcBorders>
              <w:top w:val="single" w:color="auto" w:sz="4" w:space="0"/>
              <w:left w:val="single" w:color="auto" w:sz="4" w:space="0"/>
              <w:bottom w:val="single" w:color="auto" w:sz="4" w:space="0"/>
              <w:right w:val="single" w:color="auto" w:sz="4" w:space="0"/>
            </w:tcBorders>
            <w:vAlign w:val="center"/>
          </w:tcPr>
          <w:p w14:paraId="1396B87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29.2</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182EBF2A">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54686840">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44744FB8">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23.2</w:t>
            </w:r>
          </w:p>
        </w:tc>
        <w:tc>
          <w:tcPr>
            <w:tcW w:w="267" w:type="pct"/>
            <w:tcBorders>
              <w:top w:val="single" w:color="auto" w:sz="4" w:space="0"/>
              <w:left w:val="single" w:color="auto" w:sz="4" w:space="0"/>
              <w:bottom w:val="single" w:color="auto" w:sz="4" w:space="0"/>
            </w:tcBorders>
            <w:vAlign w:val="center"/>
          </w:tcPr>
          <w:p w14:paraId="3D2311F9">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0821E9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top w:val="single" w:color="auto" w:sz="4" w:space="0"/>
              <w:bottom w:val="single" w:color="auto" w:sz="4" w:space="0"/>
              <w:right w:val="single" w:color="auto" w:sz="4" w:space="0"/>
            </w:tcBorders>
            <w:vAlign w:val="center"/>
          </w:tcPr>
          <w:p w14:paraId="7F07EE48">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bottom w:val="single" w:color="auto" w:sz="4" w:space="0"/>
              <w:right w:val="single" w:color="auto" w:sz="4" w:space="0"/>
            </w:tcBorders>
            <w:vAlign w:val="center"/>
          </w:tcPr>
          <w:p w14:paraId="6E4D3CE9">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top w:val="single" w:color="auto" w:sz="4" w:space="0"/>
              <w:left w:val="single" w:color="auto" w:sz="4" w:space="0"/>
              <w:bottom w:val="single" w:color="auto" w:sz="4" w:space="0"/>
              <w:right w:val="single" w:color="auto" w:sz="4" w:space="0"/>
            </w:tcBorders>
            <w:vAlign w:val="center"/>
          </w:tcPr>
          <w:p w14:paraId="2426A11F">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78FFDA15">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bottom w:val="single" w:color="auto" w:sz="4" w:space="0"/>
              <w:right w:val="single" w:color="auto" w:sz="4" w:space="0"/>
            </w:tcBorders>
            <w:vAlign w:val="center"/>
          </w:tcPr>
          <w:p w14:paraId="0A5E3DD6">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5C76E4ED">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bottom w:val="single" w:color="auto" w:sz="4" w:space="0"/>
              <w:right w:val="single" w:color="auto" w:sz="4" w:space="0"/>
            </w:tcBorders>
            <w:vAlign w:val="center"/>
          </w:tcPr>
          <w:p w14:paraId="58393C0D">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bottom w:val="single" w:color="auto" w:sz="4" w:space="0"/>
              <w:right w:val="single" w:color="auto" w:sz="4" w:space="0"/>
            </w:tcBorders>
            <w:vAlign w:val="center"/>
          </w:tcPr>
          <w:p w14:paraId="26C1A467">
            <w:pPr>
              <w:adjustRightInd/>
              <w:snapToGrid/>
              <w:spacing w:line="240" w:lineRule="auto"/>
              <w:ind w:firstLine="0" w:firstLineChars="0"/>
              <w:jc w:val="center"/>
              <w:textAlignment w:val="auto"/>
              <w:rPr>
                <w:bCs/>
                <w:kern w:val="2"/>
                <w:sz w:val="21"/>
                <w:szCs w:val="21"/>
                <w:u w:val="single"/>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14:paraId="6DCCC98C">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645D00A9">
            <w:pPr>
              <w:adjustRightInd/>
              <w:snapToGrid/>
              <w:spacing w:line="240" w:lineRule="auto"/>
              <w:ind w:firstLine="0" w:firstLineChars="0"/>
              <w:jc w:val="center"/>
              <w:textAlignment w:val="auto"/>
              <w:rPr>
                <w:bCs/>
                <w:kern w:val="2"/>
                <w:sz w:val="21"/>
                <w:szCs w:val="21"/>
                <w:u w:val="single"/>
              </w:rPr>
            </w:pPr>
          </w:p>
        </w:tc>
        <w:tc>
          <w:tcPr>
            <w:tcW w:w="280" w:type="pct"/>
            <w:vMerge w:val="continue"/>
            <w:tcBorders>
              <w:top w:val="single" w:color="auto" w:sz="4" w:space="0"/>
              <w:left w:val="single" w:color="auto" w:sz="4" w:space="0"/>
              <w:bottom w:val="single" w:color="auto" w:sz="4" w:space="0"/>
              <w:right w:val="single" w:color="auto" w:sz="4" w:space="0"/>
            </w:tcBorders>
            <w:vAlign w:val="center"/>
          </w:tcPr>
          <w:p w14:paraId="5EEF3686">
            <w:pPr>
              <w:adjustRightInd/>
              <w:snapToGrid/>
              <w:spacing w:line="240" w:lineRule="auto"/>
              <w:ind w:firstLine="0" w:firstLineChars="0"/>
              <w:jc w:val="center"/>
              <w:textAlignment w:val="auto"/>
              <w:rPr>
                <w:bCs/>
                <w:kern w:val="2"/>
                <w:sz w:val="21"/>
                <w:szCs w:val="21"/>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1A0B986F">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6</w:t>
            </w:r>
          </w:p>
        </w:tc>
        <w:tc>
          <w:tcPr>
            <w:tcW w:w="374" w:type="pct"/>
            <w:tcBorders>
              <w:top w:val="single" w:color="auto" w:sz="4" w:space="0"/>
              <w:left w:val="single" w:color="auto" w:sz="4" w:space="0"/>
              <w:bottom w:val="single" w:color="auto" w:sz="4" w:space="0"/>
              <w:right w:val="single" w:color="auto" w:sz="4" w:space="0"/>
            </w:tcBorders>
            <w:vAlign w:val="center"/>
          </w:tcPr>
          <w:p w14:paraId="49E3A76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49.4</w:t>
            </w:r>
          </w:p>
        </w:tc>
        <w:tc>
          <w:tcPr>
            <w:tcW w:w="308" w:type="pct"/>
            <w:vMerge w:val="continue"/>
            <w:tcBorders>
              <w:top w:val="single" w:color="auto" w:sz="4" w:space="0"/>
              <w:left w:val="single" w:color="auto" w:sz="4" w:space="0"/>
              <w:bottom w:val="single" w:color="auto" w:sz="4" w:space="0"/>
              <w:right w:val="single" w:color="auto" w:sz="4" w:space="0"/>
            </w:tcBorders>
            <w:vAlign w:val="center"/>
          </w:tcPr>
          <w:p w14:paraId="3D9AD6EA">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top w:val="single" w:color="auto" w:sz="4" w:space="0"/>
              <w:left w:val="single" w:color="auto" w:sz="4" w:space="0"/>
              <w:bottom w:val="single" w:color="auto" w:sz="4" w:space="0"/>
              <w:right w:val="single" w:color="auto" w:sz="4" w:space="0"/>
            </w:tcBorders>
            <w:vAlign w:val="center"/>
          </w:tcPr>
          <w:p w14:paraId="7833B26F">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2514DF3">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43.4</w:t>
            </w:r>
          </w:p>
        </w:tc>
        <w:tc>
          <w:tcPr>
            <w:tcW w:w="267" w:type="pct"/>
            <w:tcBorders>
              <w:top w:val="single" w:color="auto" w:sz="4" w:space="0"/>
              <w:left w:val="single" w:color="auto" w:sz="4" w:space="0"/>
              <w:bottom w:val="single" w:color="auto" w:sz="4" w:space="0"/>
            </w:tcBorders>
            <w:vAlign w:val="center"/>
          </w:tcPr>
          <w:p w14:paraId="34284669">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64FE7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restart"/>
            <w:tcBorders>
              <w:top w:val="single" w:color="auto" w:sz="4" w:space="0"/>
              <w:right w:val="single" w:color="auto" w:sz="4" w:space="0"/>
            </w:tcBorders>
            <w:vAlign w:val="center"/>
          </w:tcPr>
          <w:p w14:paraId="180BD9BF">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11</w:t>
            </w:r>
          </w:p>
        </w:tc>
        <w:tc>
          <w:tcPr>
            <w:tcW w:w="253" w:type="pct"/>
            <w:vMerge w:val="restart"/>
            <w:tcBorders>
              <w:top w:val="single" w:color="auto" w:sz="4" w:space="0"/>
              <w:left w:val="single" w:color="auto" w:sz="4" w:space="0"/>
              <w:right w:val="single" w:color="auto" w:sz="4" w:space="0"/>
            </w:tcBorders>
            <w:vAlign w:val="center"/>
          </w:tcPr>
          <w:p w14:paraId="19AD2039">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袋式除尘器治理设施处</w:t>
            </w:r>
          </w:p>
        </w:tc>
        <w:tc>
          <w:tcPr>
            <w:tcW w:w="230" w:type="pct"/>
            <w:vMerge w:val="restart"/>
            <w:tcBorders>
              <w:top w:val="single" w:color="auto" w:sz="4" w:space="0"/>
              <w:left w:val="single" w:color="auto" w:sz="4" w:space="0"/>
              <w:right w:val="single" w:color="auto" w:sz="4" w:space="0"/>
            </w:tcBorders>
            <w:vAlign w:val="center"/>
          </w:tcPr>
          <w:p w14:paraId="21B9E827">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风机2</w:t>
            </w:r>
          </w:p>
        </w:tc>
        <w:tc>
          <w:tcPr>
            <w:tcW w:w="401" w:type="pct"/>
            <w:vMerge w:val="restart"/>
            <w:tcBorders>
              <w:top w:val="single" w:color="auto" w:sz="4" w:space="0"/>
              <w:left w:val="single" w:color="auto" w:sz="4" w:space="0"/>
              <w:right w:val="single" w:color="auto" w:sz="4" w:space="0"/>
            </w:tcBorders>
            <w:vAlign w:val="center"/>
          </w:tcPr>
          <w:p w14:paraId="740BD18B">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90</w:t>
            </w:r>
            <w:r>
              <w:rPr>
                <w:bCs/>
                <w:kern w:val="2"/>
                <w:sz w:val="21"/>
                <w:szCs w:val="21"/>
                <w:u w:val="single"/>
              </w:rPr>
              <w:t>/1</w:t>
            </w:r>
          </w:p>
        </w:tc>
        <w:tc>
          <w:tcPr>
            <w:tcW w:w="202" w:type="pct"/>
            <w:vMerge w:val="restart"/>
            <w:tcBorders>
              <w:top w:val="single" w:color="auto" w:sz="4" w:space="0"/>
              <w:left w:val="single" w:color="auto" w:sz="4" w:space="0"/>
              <w:right w:val="single" w:color="auto" w:sz="4" w:space="0"/>
            </w:tcBorders>
            <w:vAlign w:val="center"/>
          </w:tcPr>
          <w:p w14:paraId="0472B63D">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w:t>
            </w:r>
          </w:p>
        </w:tc>
        <w:tc>
          <w:tcPr>
            <w:tcW w:w="327" w:type="pct"/>
            <w:vMerge w:val="restart"/>
            <w:tcBorders>
              <w:top w:val="single" w:color="auto" w:sz="4" w:space="0"/>
              <w:left w:val="single" w:color="auto" w:sz="4" w:space="0"/>
              <w:right w:val="single" w:color="auto" w:sz="4" w:space="0"/>
            </w:tcBorders>
            <w:vAlign w:val="center"/>
          </w:tcPr>
          <w:p w14:paraId="3FC5F5A3">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进风口消音器、管道外壳阻尼</w:t>
            </w:r>
            <w:r>
              <w:rPr>
                <w:rFonts w:hint="eastAsia"/>
                <w:bCs/>
                <w:kern w:val="2"/>
                <w:sz w:val="21"/>
                <w:szCs w:val="21"/>
                <w:u w:val="single"/>
              </w:rPr>
              <w:t>、</w:t>
            </w:r>
            <w:r>
              <w:rPr>
                <w:bCs/>
                <w:kern w:val="2"/>
                <w:sz w:val="21"/>
                <w:szCs w:val="21"/>
                <w:u w:val="single"/>
              </w:rPr>
              <w:t>减振、隔声</w:t>
            </w:r>
          </w:p>
        </w:tc>
        <w:tc>
          <w:tcPr>
            <w:tcW w:w="374" w:type="pct"/>
            <w:vMerge w:val="restart"/>
            <w:tcBorders>
              <w:top w:val="single" w:color="auto" w:sz="4" w:space="0"/>
              <w:left w:val="single" w:color="auto" w:sz="4" w:space="0"/>
              <w:right w:val="single" w:color="auto" w:sz="4" w:space="0"/>
            </w:tcBorders>
            <w:vAlign w:val="center"/>
          </w:tcPr>
          <w:p w14:paraId="286D3FE3">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374" w:type="pct"/>
            <w:vMerge w:val="restart"/>
            <w:tcBorders>
              <w:top w:val="single" w:color="auto" w:sz="4" w:space="0"/>
              <w:left w:val="single" w:color="auto" w:sz="4" w:space="0"/>
              <w:right w:val="single" w:color="auto" w:sz="4" w:space="0"/>
            </w:tcBorders>
            <w:vAlign w:val="center"/>
          </w:tcPr>
          <w:p w14:paraId="0238C0DC">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65</w:t>
            </w:r>
          </w:p>
        </w:tc>
        <w:tc>
          <w:tcPr>
            <w:tcW w:w="281" w:type="pct"/>
            <w:vMerge w:val="restart"/>
            <w:tcBorders>
              <w:top w:val="single" w:color="auto" w:sz="4" w:space="0"/>
              <w:left w:val="single" w:color="auto" w:sz="4" w:space="0"/>
              <w:right w:val="single" w:color="auto" w:sz="4" w:space="0"/>
            </w:tcBorders>
            <w:vAlign w:val="center"/>
          </w:tcPr>
          <w:p w14:paraId="564B5FC8">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7</w:t>
            </w:r>
          </w:p>
        </w:tc>
        <w:tc>
          <w:tcPr>
            <w:tcW w:w="280" w:type="pct"/>
            <w:vMerge w:val="restart"/>
            <w:tcBorders>
              <w:top w:val="single" w:color="auto" w:sz="4" w:space="0"/>
              <w:left w:val="single" w:color="auto" w:sz="4" w:space="0"/>
              <w:right w:val="single" w:color="auto" w:sz="4" w:space="0"/>
            </w:tcBorders>
            <w:vAlign w:val="center"/>
          </w:tcPr>
          <w:p w14:paraId="24A66DC7">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-26</w:t>
            </w:r>
          </w:p>
        </w:tc>
        <w:tc>
          <w:tcPr>
            <w:tcW w:w="280" w:type="pct"/>
            <w:vMerge w:val="restart"/>
            <w:tcBorders>
              <w:top w:val="single" w:color="auto" w:sz="4" w:space="0"/>
              <w:left w:val="single" w:color="auto" w:sz="4" w:space="0"/>
              <w:right w:val="single" w:color="auto" w:sz="4" w:space="0"/>
            </w:tcBorders>
            <w:vAlign w:val="center"/>
          </w:tcPr>
          <w:p w14:paraId="1FCE27E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0.3</w:t>
            </w:r>
          </w:p>
        </w:tc>
        <w:tc>
          <w:tcPr>
            <w:tcW w:w="375" w:type="pct"/>
            <w:tcBorders>
              <w:top w:val="single" w:color="auto" w:sz="4" w:space="0"/>
              <w:left w:val="single" w:color="auto" w:sz="4" w:space="0"/>
              <w:bottom w:val="single" w:color="auto" w:sz="4" w:space="0"/>
              <w:right w:val="single" w:color="auto" w:sz="4" w:space="0"/>
            </w:tcBorders>
            <w:vAlign w:val="center"/>
          </w:tcPr>
          <w:p w14:paraId="42DDED76">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东</w:t>
            </w:r>
            <w:r>
              <w:rPr>
                <w:rFonts w:hint="eastAsia"/>
                <w:bCs/>
                <w:kern w:val="2"/>
                <w:sz w:val="21"/>
                <w:szCs w:val="21"/>
                <w:u w:val="single"/>
              </w:rPr>
              <w:t>43</w:t>
            </w:r>
          </w:p>
        </w:tc>
        <w:tc>
          <w:tcPr>
            <w:tcW w:w="374" w:type="pct"/>
            <w:tcBorders>
              <w:top w:val="single" w:color="auto" w:sz="4" w:space="0"/>
              <w:left w:val="single" w:color="auto" w:sz="4" w:space="0"/>
              <w:bottom w:val="single" w:color="auto" w:sz="4" w:space="0"/>
              <w:right w:val="single" w:color="auto" w:sz="4" w:space="0"/>
            </w:tcBorders>
            <w:vAlign w:val="center"/>
          </w:tcPr>
          <w:p w14:paraId="56EB9D36">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32.3</w:t>
            </w:r>
          </w:p>
        </w:tc>
        <w:tc>
          <w:tcPr>
            <w:tcW w:w="308" w:type="pct"/>
            <w:vMerge w:val="restart"/>
            <w:tcBorders>
              <w:top w:val="single" w:color="auto" w:sz="4" w:space="0"/>
              <w:left w:val="single" w:color="auto" w:sz="4" w:space="0"/>
              <w:right w:val="single" w:color="auto" w:sz="4" w:space="0"/>
            </w:tcBorders>
            <w:vAlign w:val="center"/>
          </w:tcPr>
          <w:p w14:paraId="27FAF630">
            <w:pPr>
              <w:adjustRightInd/>
              <w:snapToGrid/>
              <w:spacing w:line="240" w:lineRule="auto"/>
              <w:ind w:firstLine="0" w:firstLineChars="0"/>
              <w:contextualSpacing/>
              <w:jc w:val="center"/>
              <w:textAlignment w:val="auto"/>
              <w:rPr>
                <w:bCs/>
                <w:kern w:val="2"/>
                <w:sz w:val="21"/>
                <w:szCs w:val="21"/>
                <w:highlight w:val="yellow"/>
                <w:u w:val="single"/>
              </w:rPr>
            </w:pPr>
            <w:r>
              <w:rPr>
                <w:bCs/>
                <w:kern w:val="2"/>
                <w:sz w:val="21"/>
                <w:szCs w:val="21"/>
                <w:u w:val="single"/>
              </w:rPr>
              <w:t>昼夜全时段</w:t>
            </w:r>
          </w:p>
        </w:tc>
        <w:tc>
          <w:tcPr>
            <w:tcW w:w="302" w:type="pct"/>
            <w:vMerge w:val="restart"/>
            <w:tcBorders>
              <w:top w:val="single" w:color="auto" w:sz="4" w:space="0"/>
              <w:left w:val="single" w:color="auto" w:sz="4" w:space="0"/>
              <w:right w:val="single" w:color="auto" w:sz="4" w:space="0"/>
            </w:tcBorders>
            <w:vAlign w:val="center"/>
          </w:tcPr>
          <w:p w14:paraId="61C3538C">
            <w:pPr>
              <w:adjustRightInd/>
              <w:snapToGrid/>
              <w:spacing w:line="240" w:lineRule="auto"/>
              <w:ind w:firstLine="0" w:firstLineChars="0"/>
              <w:contextualSpacing/>
              <w:jc w:val="center"/>
              <w:textAlignment w:val="auto"/>
              <w:rPr>
                <w:bCs/>
                <w:kern w:val="2"/>
                <w:sz w:val="21"/>
                <w:szCs w:val="21"/>
                <w:highlight w:val="yellow"/>
                <w:u w:val="single"/>
              </w:rPr>
            </w:pPr>
            <w:r>
              <w:rPr>
                <w:rFonts w:hint="eastAsia"/>
                <w:bCs/>
                <w:kern w:val="2"/>
                <w:sz w:val="21"/>
                <w:szCs w:val="21"/>
                <w:u w:val="single"/>
              </w:rPr>
              <w:t>6</w:t>
            </w:r>
          </w:p>
        </w:tc>
        <w:tc>
          <w:tcPr>
            <w:tcW w:w="262" w:type="pct"/>
            <w:tcBorders>
              <w:top w:val="single" w:color="auto" w:sz="4" w:space="0"/>
              <w:left w:val="single" w:color="auto" w:sz="4" w:space="0"/>
              <w:bottom w:val="single" w:color="auto" w:sz="4" w:space="0"/>
              <w:right w:val="single" w:color="auto" w:sz="4" w:space="0"/>
            </w:tcBorders>
            <w:vAlign w:val="center"/>
          </w:tcPr>
          <w:p w14:paraId="1D68FFF9">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26.3</w:t>
            </w:r>
          </w:p>
        </w:tc>
        <w:tc>
          <w:tcPr>
            <w:tcW w:w="267" w:type="pct"/>
            <w:tcBorders>
              <w:top w:val="single" w:color="auto" w:sz="4" w:space="0"/>
              <w:left w:val="single" w:color="auto" w:sz="4" w:space="0"/>
              <w:bottom w:val="single" w:color="auto" w:sz="4" w:space="0"/>
            </w:tcBorders>
            <w:vAlign w:val="center"/>
          </w:tcPr>
          <w:p w14:paraId="6030AC53">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79709E1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0264D9A8">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71FEC4DD">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55D35363">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2732EC89">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67A90900">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5ACB3EE8">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4239386D">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283687E3">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4F07E495">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7CD90F27">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2E274201">
            <w:pPr>
              <w:adjustRightInd/>
              <w:snapToGrid/>
              <w:spacing w:line="240" w:lineRule="auto"/>
              <w:ind w:firstLine="0" w:firstLineChars="0"/>
              <w:jc w:val="center"/>
              <w:textAlignment w:val="auto"/>
              <w:rPr>
                <w:bCs/>
                <w:kern w:val="2"/>
                <w:sz w:val="21"/>
                <w:szCs w:val="21"/>
                <w:highlight w:val="yellow"/>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331BFD80">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西</w:t>
            </w:r>
            <w:r>
              <w:rPr>
                <w:rFonts w:hint="eastAsia"/>
                <w:bCs/>
                <w:kern w:val="2"/>
                <w:sz w:val="21"/>
                <w:szCs w:val="21"/>
                <w:u w:val="single"/>
              </w:rPr>
              <w:t>7</w:t>
            </w:r>
          </w:p>
        </w:tc>
        <w:tc>
          <w:tcPr>
            <w:tcW w:w="374" w:type="pct"/>
            <w:tcBorders>
              <w:top w:val="single" w:color="auto" w:sz="4" w:space="0"/>
              <w:left w:val="single" w:color="auto" w:sz="4" w:space="0"/>
              <w:bottom w:val="single" w:color="auto" w:sz="4" w:space="0"/>
              <w:right w:val="single" w:color="auto" w:sz="4" w:space="0"/>
            </w:tcBorders>
            <w:vAlign w:val="center"/>
          </w:tcPr>
          <w:p w14:paraId="53D8E8DF">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49.4</w:t>
            </w:r>
          </w:p>
        </w:tc>
        <w:tc>
          <w:tcPr>
            <w:tcW w:w="308" w:type="pct"/>
            <w:vMerge w:val="continue"/>
            <w:tcBorders>
              <w:left w:val="single" w:color="auto" w:sz="4" w:space="0"/>
              <w:right w:val="single" w:color="auto" w:sz="4" w:space="0"/>
            </w:tcBorders>
            <w:vAlign w:val="center"/>
          </w:tcPr>
          <w:p w14:paraId="436A96E4">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6B2B8789">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7FFB8362">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43.4</w:t>
            </w:r>
          </w:p>
        </w:tc>
        <w:tc>
          <w:tcPr>
            <w:tcW w:w="267" w:type="pct"/>
            <w:tcBorders>
              <w:top w:val="single" w:color="auto" w:sz="4" w:space="0"/>
              <w:left w:val="single" w:color="auto" w:sz="4" w:space="0"/>
              <w:bottom w:val="single" w:color="auto" w:sz="4" w:space="0"/>
            </w:tcBorders>
            <w:vAlign w:val="center"/>
          </w:tcPr>
          <w:p w14:paraId="6EEC471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19DB734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706CC21F">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right w:val="single" w:color="auto" w:sz="4" w:space="0"/>
            </w:tcBorders>
            <w:vAlign w:val="center"/>
          </w:tcPr>
          <w:p w14:paraId="17601846">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5C8FF664">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19EC46AD">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1860275A">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3BD26CA1">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129E3A87">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5B37FEF2">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0E3C62B5">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3DA37699">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430991F1">
            <w:pPr>
              <w:adjustRightInd/>
              <w:snapToGrid/>
              <w:spacing w:line="240" w:lineRule="auto"/>
              <w:ind w:firstLine="0" w:firstLineChars="0"/>
              <w:jc w:val="center"/>
              <w:textAlignment w:val="auto"/>
              <w:rPr>
                <w:bCs/>
                <w:kern w:val="2"/>
                <w:sz w:val="21"/>
                <w:szCs w:val="21"/>
                <w:highlight w:val="yellow"/>
                <w:u w:val="single"/>
              </w:rPr>
            </w:pPr>
          </w:p>
        </w:tc>
        <w:tc>
          <w:tcPr>
            <w:tcW w:w="375" w:type="pct"/>
            <w:tcBorders>
              <w:top w:val="single" w:color="auto" w:sz="4" w:space="0"/>
              <w:left w:val="single" w:color="auto" w:sz="4" w:space="0"/>
              <w:bottom w:val="single" w:color="auto" w:sz="4" w:space="0"/>
              <w:right w:val="single" w:color="auto" w:sz="4" w:space="0"/>
            </w:tcBorders>
            <w:vAlign w:val="center"/>
          </w:tcPr>
          <w:p w14:paraId="61309387">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南</w:t>
            </w:r>
            <w:r>
              <w:rPr>
                <w:rFonts w:hint="eastAsia"/>
                <w:bCs/>
                <w:kern w:val="2"/>
                <w:sz w:val="21"/>
                <w:szCs w:val="21"/>
                <w:u w:val="single"/>
              </w:rPr>
              <w:t>42</w:t>
            </w:r>
          </w:p>
        </w:tc>
        <w:tc>
          <w:tcPr>
            <w:tcW w:w="374" w:type="pct"/>
            <w:tcBorders>
              <w:top w:val="single" w:color="auto" w:sz="4" w:space="0"/>
              <w:left w:val="single" w:color="auto" w:sz="4" w:space="0"/>
              <w:bottom w:val="single" w:color="auto" w:sz="4" w:space="0"/>
              <w:right w:val="single" w:color="auto" w:sz="4" w:space="0"/>
            </w:tcBorders>
            <w:vAlign w:val="center"/>
          </w:tcPr>
          <w:p w14:paraId="1F989F1A">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32.5</w:t>
            </w:r>
          </w:p>
        </w:tc>
        <w:tc>
          <w:tcPr>
            <w:tcW w:w="308" w:type="pct"/>
            <w:vMerge w:val="continue"/>
            <w:tcBorders>
              <w:left w:val="single" w:color="auto" w:sz="4" w:space="0"/>
              <w:right w:val="single" w:color="auto" w:sz="4" w:space="0"/>
            </w:tcBorders>
            <w:vAlign w:val="center"/>
          </w:tcPr>
          <w:p w14:paraId="3D1C61FE">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04E813EF">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bottom w:val="single" w:color="auto" w:sz="4" w:space="0"/>
              <w:right w:val="single" w:color="auto" w:sz="4" w:space="0"/>
            </w:tcBorders>
            <w:vAlign w:val="center"/>
          </w:tcPr>
          <w:p w14:paraId="56517650">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26.5</w:t>
            </w:r>
          </w:p>
        </w:tc>
        <w:tc>
          <w:tcPr>
            <w:tcW w:w="267" w:type="pct"/>
            <w:tcBorders>
              <w:top w:val="single" w:color="auto" w:sz="4" w:space="0"/>
              <w:left w:val="single" w:color="auto" w:sz="4" w:space="0"/>
              <w:bottom w:val="single" w:color="auto" w:sz="4" w:space="0"/>
            </w:tcBorders>
            <w:vAlign w:val="center"/>
          </w:tcPr>
          <w:p w14:paraId="0E34C7A3">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r w14:paraId="47C48A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8" w:type="pct"/>
            <w:vMerge w:val="continue"/>
            <w:tcBorders>
              <w:right w:val="single" w:color="auto" w:sz="4" w:space="0"/>
            </w:tcBorders>
            <w:vAlign w:val="center"/>
          </w:tcPr>
          <w:p w14:paraId="12E189EA">
            <w:pPr>
              <w:adjustRightInd/>
              <w:snapToGrid/>
              <w:spacing w:line="240" w:lineRule="auto"/>
              <w:ind w:firstLine="0" w:firstLineChars="0"/>
              <w:contextualSpacing/>
              <w:jc w:val="center"/>
              <w:textAlignment w:val="auto"/>
              <w:rPr>
                <w:bCs/>
                <w:kern w:val="2"/>
                <w:sz w:val="21"/>
                <w:szCs w:val="21"/>
                <w:highlight w:val="yellow"/>
                <w:u w:val="single"/>
              </w:rPr>
            </w:pPr>
          </w:p>
        </w:tc>
        <w:tc>
          <w:tcPr>
            <w:tcW w:w="253" w:type="pct"/>
            <w:vMerge w:val="continue"/>
            <w:tcBorders>
              <w:left w:val="single" w:color="auto" w:sz="4" w:space="0"/>
              <w:bottom w:val="single" w:color="auto" w:sz="4" w:space="0"/>
              <w:right w:val="single" w:color="auto" w:sz="4" w:space="0"/>
            </w:tcBorders>
            <w:vAlign w:val="center"/>
          </w:tcPr>
          <w:p w14:paraId="71748ECD">
            <w:pPr>
              <w:adjustRightInd/>
              <w:snapToGrid/>
              <w:spacing w:line="240" w:lineRule="auto"/>
              <w:ind w:firstLine="0" w:firstLineChars="0"/>
              <w:contextualSpacing/>
              <w:jc w:val="center"/>
              <w:textAlignment w:val="auto"/>
              <w:rPr>
                <w:bCs/>
                <w:kern w:val="2"/>
                <w:sz w:val="21"/>
                <w:szCs w:val="21"/>
                <w:highlight w:val="yellow"/>
                <w:u w:val="single"/>
              </w:rPr>
            </w:pPr>
          </w:p>
        </w:tc>
        <w:tc>
          <w:tcPr>
            <w:tcW w:w="230" w:type="pct"/>
            <w:vMerge w:val="continue"/>
            <w:tcBorders>
              <w:left w:val="single" w:color="auto" w:sz="4" w:space="0"/>
              <w:right w:val="single" w:color="auto" w:sz="4" w:space="0"/>
            </w:tcBorders>
            <w:vAlign w:val="center"/>
          </w:tcPr>
          <w:p w14:paraId="1F97428A">
            <w:pPr>
              <w:adjustRightInd/>
              <w:snapToGrid/>
              <w:spacing w:line="240" w:lineRule="auto"/>
              <w:ind w:firstLine="0" w:firstLineChars="0"/>
              <w:contextualSpacing/>
              <w:jc w:val="center"/>
              <w:textAlignment w:val="auto"/>
              <w:rPr>
                <w:bCs/>
                <w:kern w:val="2"/>
                <w:sz w:val="21"/>
                <w:szCs w:val="21"/>
                <w:highlight w:val="yellow"/>
                <w:u w:val="single"/>
              </w:rPr>
            </w:pPr>
          </w:p>
        </w:tc>
        <w:tc>
          <w:tcPr>
            <w:tcW w:w="401" w:type="pct"/>
            <w:vMerge w:val="continue"/>
            <w:tcBorders>
              <w:left w:val="single" w:color="auto" w:sz="4" w:space="0"/>
              <w:right w:val="single" w:color="auto" w:sz="4" w:space="0"/>
            </w:tcBorders>
            <w:vAlign w:val="center"/>
          </w:tcPr>
          <w:p w14:paraId="08E0698D">
            <w:pPr>
              <w:adjustRightInd/>
              <w:snapToGrid/>
              <w:spacing w:line="240" w:lineRule="auto"/>
              <w:ind w:firstLine="0" w:firstLineChars="0"/>
              <w:contextualSpacing/>
              <w:jc w:val="center"/>
              <w:textAlignment w:val="auto"/>
              <w:rPr>
                <w:bCs/>
                <w:kern w:val="2"/>
                <w:sz w:val="21"/>
                <w:szCs w:val="21"/>
                <w:highlight w:val="yellow"/>
                <w:u w:val="single"/>
              </w:rPr>
            </w:pPr>
          </w:p>
        </w:tc>
        <w:tc>
          <w:tcPr>
            <w:tcW w:w="202" w:type="pct"/>
            <w:vMerge w:val="continue"/>
            <w:tcBorders>
              <w:left w:val="single" w:color="auto" w:sz="4" w:space="0"/>
              <w:right w:val="single" w:color="auto" w:sz="4" w:space="0"/>
            </w:tcBorders>
            <w:vAlign w:val="center"/>
          </w:tcPr>
          <w:p w14:paraId="243DE94B">
            <w:pPr>
              <w:adjustRightInd/>
              <w:snapToGrid/>
              <w:spacing w:line="240" w:lineRule="auto"/>
              <w:ind w:firstLine="0" w:firstLineChars="0"/>
              <w:jc w:val="center"/>
              <w:textAlignment w:val="auto"/>
              <w:rPr>
                <w:bCs/>
                <w:kern w:val="2"/>
                <w:sz w:val="21"/>
                <w:szCs w:val="21"/>
                <w:highlight w:val="yellow"/>
                <w:u w:val="single"/>
              </w:rPr>
            </w:pPr>
          </w:p>
        </w:tc>
        <w:tc>
          <w:tcPr>
            <w:tcW w:w="327" w:type="pct"/>
            <w:vMerge w:val="continue"/>
            <w:tcBorders>
              <w:left w:val="single" w:color="auto" w:sz="4" w:space="0"/>
              <w:right w:val="single" w:color="auto" w:sz="4" w:space="0"/>
            </w:tcBorders>
            <w:vAlign w:val="center"/>
          </w:tcPr>
          <w:p w14:paraId="762B9605">
            <w:pPr>
              <w:adjustRightInd/>
              <w:snapToGrid/>
              <w:spacing w:line="240" w:lineRule="auto"/>
              <w:ind w:firstLine="0" w:firstLineChars="0"/>
              <w:jc w:val="center"/>
              <w:textAlignment w:val="auto"/>
              <w:rPr>
                <w:bCs/>
                <w:kern w:val="2"/>
                <w:sz w:val="21"/>
                <w:szCs w:val="21"/>
                <w:highlight w:val="yellow"/>
                <w:u w:val="single"/>
              </w:rPr>
            </w:pPr>
          </w:p>
        </w:tc>
        <w:tc>
          <w:tcPr>
            <w:tcW w:w="374" w:type="pct"/>
            <w:vMerge w:val="continue"/>
            <w:tcBorders>
              <w:left w:val="single" w:color="auto" w:sz="4" w:space="0"/>
              <w:right w:val="single" w:color="auto" w:sz="4" w:space="0"/>
            </w:tcBorders>
            <w:vAlign w:val="center"/>
          </w:tcPr>
          <w:p w14:paraId="01272B5E">
            <w:pPr>
              <w:adjustRightInd/>
              <w:snapToGrid/>
              <w:spacing w:line="240" w:lineRule="auto"/>
              <w:ind w:firstLine="0" w:firstLineChars="0"/>
              <w:jc w:val="center"/>
              <w:textAlignment w:val="auto"/>
              <w:rPr>
                <w:bCs/>
                <w:kern w:val="2"/>
                <w:sz w:val="21"/>
                <w:szCs w:val="21"/>
                <w:u w:val="single"/>
              </w:rPr>
            </w:pPr>
          </w:p>
        </w:tc>
        <w:tc>
          <w:tcPr>
            <w:tcW w:w="374" w:type="pct"/>
            <w:vMerge w:val="continue"/>
            <w:tcBorders>
              <w:left w:val="single" w:color="auto" w:sz="4" w:space="0"/>
              <w:right w:val="single" w:color="auto" w:sz="4" w:space="0"/>
            </w:tcBorders>
            <w:vAlign w:val="center"/>
          </w:tcPr>
          <w:p w14:paraId="56B757D7">
            <w:pPr>
              <w:adjustRightInd/>
              <w:snapToGrid/>
              <w:spacing w:line="240" w:lineRule="auto"/>
              <w:ind w:firstLine="0" w:firstLineChars="0"/>
              <w:jc w:val="center"/>
              <w:textAlignment w:val="auto"/>
              <w:rPr>
                <w:bCs/>
                <w:kern w:val="2"/>
                <w:sz w:val="21"/>
                <w:szCs w:val="21"/>
                <w:u w:val="single"/>
              </w:rPr>
            </w:pPr>
          </w:p>
        </w:tc>
        <w:tc>
          <w:tcPr>
            <w:tcW w:w="281" w:type="pct"/>
            <w:vMerge w:val="continue"/>
            <w:tcBorders>
              <w:left w:val="single" w:color="auto" w:sz="4" w:space="0"/>
              <w:right w:val="single" w:color="auto" w:sz="4" w:space="0"/>
            </w:tcBorders>
            <w:vAlign w:val="center"/>
          </w:tcPr>
          <w:p w14:paraId="52B1B0C4">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05D73675">
            <w:pPr>
              <w:adjustRightInd/>
              <w:snapToGrid/>
              <w:spacing w:line="240" w:lineRule="auto"/>
              <w:ind w:firstLine="0" w:firstLineChars="0"/>
              <w:jc w:val="center"/>
              <w:textAlignment w:val="auto"/>
              <w:rPr>
                <w:bCs/>
                <w:kern w:val="2"/>
                <w:sz w:val="21"/>
                <w:szCs w:val="21"/>
                <w:highlight w:val="yellow"/>
                <w:u w:val="single"/>
              </w:rPr>
            </w:pPr>
          </w:p>
        </w:tc>
        <w:tc>
          <w:tcPr>
            <w:tcW w:w="280" w:type="pct"/>
            <w:vMerge w:val="continue"/>
            <w:tcBorders>
              <w:left w:val="single" w:color="auto" w:sz="4" w:space="0"/>
              <w:right w:val="single" w:color="auto" w:sz="4" w:space="0"/>
            </w:tcBorders>
            <w:vAlign w:val="center"/>
          </w:tcPr>
          <w:p w14:paraId="2C50E585">
            <w:pPr>
              <w:adjustRightInd/>
              <w:snapToGrid/>
              <w:spacing w:line="240" w:lineRule="auto"/>
              <w:ind w:firstLine="0" w:firstLineChars="0"/>
              <w:jc w:val="center"/>
              <w:textAlignment w:val="auto"/>
              <w:rPr>
                <w:bCs/>
                <w:kern w:val="2"/>
                <w:sz w:val="21"/>
                <w:szCs w:val="21"/>
                <w:highlight w:val="yellow"/>
                <w:u w:val="single"/>
              </w:rPr>
            </w:pPr>
          </w:p>
        </w:tc>
        <w:tc>
          <w:tcPr>
            <w:tcW w:w="375" w:type="pct"/>
            <w:tcBorders>
              <w:top w:val="single" w:color="auto" w:sz="4" w:space="0"/>
              <w:left w:val="single" w:color="auto" w:sz="4" w:space="0"/>
              <w:right w:val="single" w:color="auto" w:sz="4" w:space="0"/>
            </w:tcBorders>
            <w:vAlign w:val="center"/>
          </w:tcPr>
          <w:p w14:paraId="3681EFF1">
            <w:pPr>
              <w:adjustRightInd/>
              <w:snapToGrid/>
              <w:spacing w:line="240" w:lineRule="auto"/>
              <w:ind w:firstLine="0" w:firstLineChars="0"/>
              <w:jc w:val="center"/>
              <w:textAlignment w:val="auto"/>
              <w:rPr>
                <w:bCs/>
                <w:kern w:val="2"/>
                <w:sz w:val="21"/>
                <w:szCs w:val="21"/>
                <w:highlight w:val="yellow"/>
                <w:u w:val="single"/>
              </w:rPr>
            </w:pPr>
            <w:r>
              <w:rPr>
                <w:bCs/>
                <w:kern w:val="2"/>
                <w:sz w:val="21"/>
                <w:szCs w:val="21"/>
                <w:u w:val="single"/>
              </w:rPr>
              <w:t>北</w:t>
            </w:r>
            <w:r>
              <w:rPr>
                <w:rFonts w:hint="eastAsia"/>
                <w:bCs/>
                <w:kern w:val="2"/>
                <w:sz w:val="21"/>
                <w:szCs w:val="21"/>
                <w:u w:val="single"/>
              </w:rPr>
              <w:t>26</w:t>
            </w:r>
          </w:p>
        </w:tc>
        <w:tc>
          <w:tcPr>
            <w:tcW w:w="374" w:type="pct"/>
            <w:tcBorders>
              <w:top w:val="single" w:color="auto" w:sz="4" w:space="0"/>
              <w:left w:val="single" w:color="auto" w:sz="4" w:space="0"/>
              <w:right w:val="single" w:color="auto" w:sz="4" w:space="0"/>
            </w:tcBorders>
            <w:vAlign w:val="center"/>
          </w:tcPr>
          <w:p w14:paraId="31DEB51D">
            <w:pPr>
              <w:adjustRightInd/>
              <w:snapToGrid/>
              <w:spacing w:line="240" w:lineRule="auto"/>
              <w:ind w:firstLine="0" w:firstLineChars="0"/>
              <w:jc w:val="center"/>
              <w:textAlignment w:val="auto"/>
              <w:rPr>
                <w:bCs/>
                <w:kern w:val="2"/>
                <w:sz w:val="21"/>
                <w:szCs w:val="21"/>
                <w:u w:val="single"/>
              </w:rPr>
            </w:pPr>
            <w:r>
              <w:rPr>
                <w:rFonts w:hint="eastAsia"/>
                <w:bCs/>
                <w:kern w:val="2"/>
                <w:sz w:val="21"/>
                <w:szCs w:val="21"/>
                <w:u w:val="single"/>
              </w:rPr>
              <w:t>36.1</w:t>
            </w:r>
          </w:p>
        </w:tc>
        <w:tc>
          <w:tcPr>
            <w:tcW w:w="308" w:type="pct"/>
            <w:vMerge w:val="continue"/>
            <w:tcBorders>
              <w:left w:val="single" w:color="auto" w:sz="4" w:space="0"/>
              <w:right w:val="single" w:color="auto" w:sz="4" w:space="0"/>
            </w:tcBorders>
            <w:vAlign w:val="center"/>
          </w:tcPr>
          <w:p w14:paraId="47D6D4BA">
            <w:pPr>
              <w:adjustRightInd/>
              <w:snapToGrid/>
              <w:spacing w:line="240" w:lineRule="auto"/>
              <w:ind w:firstLine="0" w:firstLineChars="0"/>
              <w:contextualSpacing/>
              <w:jc w:val="center"/>
              <w:textAlignment w:val="auto"/>
              <w:rPr>
                <w:bCs/>
                <w:kern w:val="2"/>
                <w:sz w:val="21"/>
                <w:szCs w:val="21"/>
                <w:highlight w:val="yellow"/>
                <w:u w:val="single"/>
              </w:rPr>
            </w:pPr>
          </w:p>
        </w:tc>
        <w:tc>
          <w:tcPr>
            <w:tcW w:w="302" w:type="pct"/>
            <w:vMerge w:val="continue"/>
            <w:tcBorders>
              <w:left w:val="single" w:color="auto" w:sz="4" w:space="0"/>
              <w:right w:val="single" w:color="auto" w:sz="4" w:space="0"/>
            </w:tcBorders>
            <w:vAlign w:val="center"/>
          </w:tcPr>
          <w:p w14:paraId="17ABD072">
            <w:pPr>
              <w:adjustRightInd/>
              <w:snapToGrid/>
              <w:spacing w:line="240" w:lineRule="auto"/>
              <w:ind w:firstLine="0" w:firstLineChars="0"/>
              <w:contextualSpacing/>
              <w:jc w:val="center"/>
              <w:textAlignment w:val="auto"/>
              <w:rPr>
                <w:bCs/>
                <w:kern w:val="2"/>
                <w:sz w:val="21"/>
                <w:szCs w:val="21"/>
                <w:highlight w:val="yellow"/>
                <w:u w:val="single"/>
              </w:rPr>
            </w:pPr>
          </w:p>
        </w:tc>
        <w:tc>
          <w:tcPr>
            <w:tcW w:w="262" w:type="pct"/>
            <w:tcBorders>
              <w:top w:val="single" w:color="auto" w:sz="4" w:space="0"/>
              <w:left w:val="single" w:color="auto" w:sz="4" w:space="0"/>
              <w:right w:val="single" w:color="auto" w:sz="4" w:space="0"/>
            </w:tcBorders>
            <w:vAlign w:val="center"/>
          </w:tcPr>
          <w:p w14:paraId="356855F8">
            <w:pPr>
              <w:widowControl/>
              <w:spacing w:line="240" w:lineRule="auto"/>
              <w:ind w:firstLine="0" w:firstLineChars="0"/>
              <w:jc w:val="center"/>
              <w:textAlignment w:val="center"/>
              <w:rPr>
                <w:bCs/>
                <w:kern w:val="2"/>
                <w:sz w:val="21"/>
                <w:szCs w:val="21"/>
                <w:u w:val="single"/>
              </w:rPr>
            </w:pPr>
            <w:r>
              <w:rPr>
                <w:rFonts w:hint="eastAsia"/>
                <w:bCs/>
                <w:kern w:val="2"/>
                <w:sz w:val="21"/>
                <w:szCs w:val="21"/>
                <w:u w:val="single"/>
              </w:rPr>
              <w:t>30.1</w:t>
            </w:r>
          </w:p>
        </w:tc>
        <w:tc>
          <w:tcPr>
            <w:tcW w:w="267" w:type="pct"/>
            <w:tcBorders>
              <w:top w:val="single" w:color="auto" w:sz="4" w:space="0"/>
              <w:left w:val="single" w:color="auto" w:sz="4" w:space="0"/>
            </w:tcBorders>
            <w:vAlign w:val="center"/>
          </w:tcPr>
          <w:p w14:paraId="7EB6D98A">
            <w:pPr>
              <w:adjustRightInd/>
              <w:snapToGrid/>
              <w:spacing w:line="240" w:lineRule="auto"/>
              <w:ind w:firstLine="0" w:firstLineChars="0"/>
              <w:jc w:val="center"/>
              <w:textAlignment w:val="auto"/>
              <w:rPr>
                <w:bCs/>
                <w:kern w:val="2"/>
                <w:sz w:val="21"/>
                <w:szCs w:val="21"/>
                <w:u w:val="single"/>
              </w:rPr>
            </w:pPr>
            <w:r>
              <w:rPr>
                <w:bCs/>
                <w:kern w:val="2"/>
                <w:sz w:val="21"/>
                <w:szCs w:val="21"/>
                <w:u w:val="single"/>
              </w:rPr>
              <w:t>1m</w:t>
            </w:r>
          </w:p>
        </w:tc>
      </w:tr>
    </w:tbl>
    <w:p w14:paraId="1D3EE37B">
      <w:pPr>
        <w:pStyle w:val="62"/>
        <w:rPr>
          <w:highlight w:val="yellow"/>
        </w:rPr>
      </w:pPr>
    </w:p>
    <w:p w14:paraId="6496676A">
      <w:pPr>
        <w:pStyle w:val="64"/>
        <w:spacing w:before="120" w:after="120"/>
        <w:ind w:firstLine="240"/>
        <w:rPr>
          <w:highlight w:val="yellow"/>
        </w:rPr>
        <w:sectPr>
          <w:pgSz w:w="16840" w:h="11907" w:orient="landscape"/>
          <w:pgMar w:top="1797" w:right="1440" w:bottom="1797" w:left="1440" w:header="907" w:footer="907" w:gutter="0"/>
          <w:cols w:space="425" w:num="1"/>
          <w:docGrid w:linePitch="380" w:charSpace="0"/>
        </w:sectPr>
      </w:pPr>
    </w:p>
    <w:p w14:paraId="1D3EE37D">
      <w:pPr>
        <w:pStyle w:val="5"/>
        <w:spacing w:before="240" w:after="240"/>
      </w:pPr>
      <w:r>
        <w:t>预测计算</w:t>
      </w:r>
    </w:p>
    <w:p w14:paraId="1D3EE37E">
      <w:pPr>
        <w:ind w:firstLine="480"/>
      </w:pPr>
      <w:r>
        <w:rPr>
          <w:rFonts w:hint="eastAsia" w:ascii="宋体" w:hAnsi="宋体" w:cs="宋体"/>
        </w:rPr>
        <w:t>①</w:t>
      </w:r>
      <w:r>
        <w:t>高噪声源衰减分析方法</w:t>
      </w:r>
    </w:p>
    <w:p w14:paraId="1D3EE37F">
      <w:pPr>
        <w:ind w:firstLine="480"/>
      </w:pPr>
      <w:r>
        <w:t>设备声源传播到受声点的距离为，厂房高度为，厂房的长度为，对于靠近墙面中心为距离的受声点声压级的计算（仅考虑距离衰减）：</w:t>
      </w:r>
    </w:p>
    <w:p w14:paraId="1D3EE380">
      <w:pPr>
        <w:ind w:firstLine="480"/>
      </w:pPr>
      <w:r>
        <w:t>当≤，噪声传播途径中的声级值与距离无关，基本上没有明显衰减；</w:t>
      </w:r>
    </w:p>
    <w:p w14:paraId="1D3EE381">
      <w:pPr>
        <w:ind w:firstLine="480"/>
      </w:pPr>
      <w:r>
        <w:t>当≤≤时，声源面可近似退化为线源，声压级计算公式为：</w:t>
      </w:r>
    </w:p>
    <w:p w14:paraId="1D3EE382">
      <w:pPr>
        <w:pStyle w:val="66"/>
      </w:pPr>
      <w:r>
        <w:drawing>
          <wp:inline distT="0" distB="0" distL="114300" distR="114300">
            <wp:extent cx="1221740" cy="231775"/>
            <wp:effectExtent l="0" t="0" r="16510" b="16510"/>
            <wp:docPr id="1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9"/>
                    <pic:cNvPicPr>
                      <a:picLocks noChangeAspect="1"/>
                    </pic:cNvPicPr>
                  </pic:nvPicPr>
                  <pic:blipFill>
                    <a:blip r:embed="rId137"/>
                    <a:stretch>
                      <a:fillRect/>
                    </a:stretch>
                  </pic:blipFill>
                  <pic:spPr>
                    <a:xfrm>
                      <a:off x="0" y="0"/>
                      <a:ext cx="1221740" cy="231775"/>
                    </a:xfrm>
                    <a:prstGeom prst="rect">
                      <a:avLst/>
                    </a:prstGeom>
                    <a:noFill/>
                    <a:ln>
                      <a:noFill/>
                    </a:ln>
                  </pic:spPr>
                </pic:pic>
              </a:graphicData>
            </a:graphic>
          </wp:inline>
        </w:drawing>
      </w:r>
    </w:p>
    <w:p w14:paraId="1D3EE383">
      <w:pPr>
        <w:ind w:firstLine="480"/>
      </w:pPr>
      <w:r>
        <w:t>当＞时，可近似认为声源退化为一个点源，计算公式为：</w:t>
      </w:r>
    </w:p>
    <w:p w14:paraId="1D3EE384">
      <w:pPr>
        <w:pStyle w:val="66"/>
      </w:pPr>
      <w:r>
        <w:drawing>
          <wp:inline distT="0" distB="0" distL="114300" distR="114300">
            <wp:extent cx="1391920" cy="222250"/>
            <wp:effectExtent l="0" t="0" r="17780" b="5080"/>
            <wp:docPr id="10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2"/>
                    <pic:cNvPicPr>
                      <a:picLocks noChangeAspect="1"/>
                    </pic:cNvPicPr>
                  </pic:nvPicPr>
                  <pic:blipFill>
                    <a:blip r:embed="rId138"/>
                    <a:stretch>
                      <a:fillRect/>
                    </a:stretch>
                  </pic:blipFill>
                  <pic:spPr>
                    <a:xfrm>
                      <a:off x="0" y="0"/>
                      <a:ext cx="1391920" cy="222250"/>
                    </a:xfrm>
                    <a:prstGeom prst="rect">
                      <a:avLst/>
                    </a:prstGeom>
                    <a:noFill/>
                    <a:ln>
                      <a:noFill/>
                    </a:ln>
                  </pic:spPr>
                </pic:pic>
              </a:graphicData>
            </a:graphic>
          </wp:inline>
        </w:drawing>
      </w:r>
    </w:p>
    <w:p w14:paraId="1D3EE385">
      <w:pPr>
        <w:ind w:firstLine="480"/>
      </w:pPr>
      <w:r>
        <w:t>式中：——距噪声源距离为处声级值，[dB(A)]；</w:t>
      </w:r>
    </w:p>
    <w:p w14:paraId="1D3EE386">
      <w:pPr>
        <w:ind w:firstLine="1200" w:firstLineChars="500"/>
      </w:pPr>
      <w:r>
        <w:t>——距噪声源距离为处声级值，[dB(A)]；</w:t>
      </w:r>
    </w:p>
    <w:p w14:paraId="1D3EE387">
      <w:pPr>
        <w:ind w:firstLine="1200" w:firstLineChars="500"/>
      </w:pPr>
      <w:r>
        <w:t>——关心点距噪声源距离，m；</w:t>
      </w:r>
    </w:p>
    <w:p w14:paraId="1D3EE388">
      <w:pPr>
        <w:ind w:firstLine="1200" w:firstLineChars="500"/>
      </w:pPr>
      <w:r>
        <w:t>——距噪声源距离，取1m。</w:t>
      </w:r>
    </w:p>
    <w:p w14:paraId="1D3EE389">
      <w:pPr>
        <w:ind w:firstLine="480"/>
      </w:pPr>
      <w:r>
        <w:t>预测时，根据判定结果，取合适公式进行预测。</w:t>
      </w:r>
    </w:p>
    <w:p w14:paraId="1D3EE38A">
      <w:pPr>
        <w:ind w:firstLine="480"/>
      </w:pPr>
      <w:r>
        <w:rPr>
          <w:rFonts w:hint="eastAsia" w:ascii="宋体" w:hAnsi="宋体" w:cs="宋体"/>
        </w:rPr>
        <w:t>②</w:t>
      </w:r>
      <w:r>
        <w:t>室内声源等效室外声源声功率计算</w:t>
      </w:r>
    </w:p>
    <w:p w14:paraId="1D3EE38B">
      <w:pPr>
        <w:ind w:firstLine="480"/>
      </w:pPr>
      <w: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p>
    <w:p w14:paraId="1D3EE38C">
      <w:pPr>
        <w:pStyle w:val="66"/>
      </w:pPr>
      <w:r>
        <w:t>L</w:t>
      </w:r>
      <w:r>
        <w:rPr>
          <w:vertAlign w:val="subscript"/>
        </w:rPr>
        <w:t>p2</w:t>
      </w:r>
      <w:r>
        <w:t>=L</w:t>
      </w:r>
      <w:r>
        <w:rPr>
          <w:vertAlign w:val="subscript"/>
        </w:rPr>
        <w:t>p1</w:t>
      </w:r>
      <w:r>
        <w:t>-(TL+6)</w:t>
      </w:r>
    </w:p>
    <w:p w14:paraId="1D3EE38D">
      <w:pPr>
        <w:ind w:firstLine="480"/>
      </w:pPr>
      <w:r>
        <w:t>式中:L</w:t>
      </w:r>
      <w:r>
        <w:rPr>
          <w:vertAlign w:val="subscript"/>
        </w:rPr>
        <w:t>p1</w:t>
      </w:r>
      <w:r>
        <w:t>——靠近开口处（或窗户）室内某倍频带的声压级或A声级，dB；</w:t>
      </w:r>
    </w:p>
    <w:p w14:paraId="1D3EE38E">
      <w:pPr>
        <w:ind w:firstLine="960" w:firstLineChars="400"/>
      </w:pPr>
      <w:r>
        <w:t>L</w:t>
      </w:r>
      <w:r>
        <w:rPr>
          <w:vertAlign w:val="subscript"/>
        </w:rPr>
        <w:t>p2</w:t>
      </w:r>
      <w:r>
        <w:t>——靠近开口处（或窗户）室外某倍频带的声压级或A声级，dB；</w:t>
      </w:r>
    </w:p>
    <w:p w14:paraId="1D3EE38F">
      <w:pPr>
        <w:ind w:firstLine="919" w:firstLineChars="383"/>
      </w:pPr>
      <w:r>
        <w:t>TL——隔墙(或窗户)倍频带或A声级的隔声量，dB。</w:t>
      </w:r>
    </w:p>
    <w:p w14:paraId="1D3EE390">
      <w:pPr>
        <w:ind w:firstLine="480"/>
      </w:pPr>
      <w:r>
        <w:rPr>
          <w:rFonts w:hint="eastAsia" w:ascii="宋体" w:hAnsi="宋体" w:cs="宋体"/>
        </w:rPr>
        <w:t>③</w:t>
      </w:r>
      <w:r>
        <w:t>噪声源叠加影响分析方法</w:t>
      </w:r>
    </w:p>
    <w:p w14:paraId="1D3EE391">
      <w:pPr>
        <w:pStyle w:val="66"/>
      </w:pPr>
      <w:r>
        <w:drawing>
          <wp:inline distT="0" distB="0" distL="114300" distR="114300">
            <wp:extent cx="1183005" cy="427990"/>
            <wp:effectExtent l="0" t="0" r="17145" b="10795"/>
            <wp:docPr id="1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1"/>
                    <pic:cNvPicPr>
                      <a:picLocks noChangeAspect="1"/>
                    </pic:cNvPicPr>
                  </pic:nvPicPr>
                  <pic:blipFill>
                    <a:blip r:embed="rId139"/>
                    <a:stretch>
                      <a:fillRect/>
                    </a:stretch>
                  </pic:blipFill>
                  <pic:spPr>
                    <a:xfrm>
                      <a:off x="0" y="0"/>
                      <a:ext cx="1183005" cy="427990"/>
                    </a:xfrm>
                    <a:prstGeom prst="rect">
                      <a:avLst/>
                    </a:prstGeom>
                    <a:noFill/>
                    <a:ln>
                      <a:noFill/>
                    </a:ln>
                  </pic:spPr>
                </pic:pic>
              </a:graphicData>
            </a:graphic>
          </wp:inline>
        </w:drawing>
      </w:r>
    </w:p>
    <w:p w14:paraId="1D3EE392">
      <w:pPr>
        <w:ind w:firstLine="480"/>
      </w:pPr>
      <w:r>
        <w:t>式中：——总声压级，[dB(A)]；</w:t>
      </w:r>
    </w:p>
    <w:p w14:paraId="1D3EE393">
      <w:pPr>
        <w:ind w:firstLine="1200" w:firstLineChars="500"/>
      </w:pPr>
      <w:r>
        <w:t>——第个声源的声压级，[dB(A)]；</w:t>
      </w:r>
    </w:p>
    <w:p w14:paraId="1D3EE394">
      <w:pPr>
        <w:ind w:firstLine="1200" w:firstLineChars="500"/>
      </w:pPr>
      <w:r>
        <w:t>——声源数量。</w:t>
      </w:r>
    </w:p>
    <w:p w14:paraId="1D3EE395">
      <w:pPr>
        <w:ind w:firstLine="480"/>
      </w:pPr>
      <w:r>
        <w:rPr>
          <w:rFonts w:hint="eastAsia" w:ascii="宋体" w:hAnsi="宋体" w:cs="宋体"/>
        </w:rPr>
        <w:t>④</w:t>
      </w:r>
      <w:r>
        <w:t>户外声传播衰减计算公式</w:t>
      </w:r>
    </w:p>
    <w:p w14:paraId="1D3EE396">
      <w:pPr>
        <w:pStyle w:val="66"/>
      </w:pPr>
      <w:r>
        <w:t>L</w:t>
      </w:r>
      <w:r>
        <w:rPr>
          <w:vertAlign w:val="subscript"/>
        </w:rPr>
        <w:t>p</w:t>
      </w:r>
      <w:r>
        <w:t>®＝L</w:t>
      </w:r>
      <w:r>
        <w:rPr>
          <w:vertAlign w:val="subscript"/>
        </w:rPr>
        <w:t>p</w:t>
      </w:r>
      <w:r>
        <w:t>(r</w:t>
      </w:r>
      <w:r>
        <w:rPr>
          <w:vertAlign w:val="subscript"/>
        </w:rPr>
        <w:t>0</w:t>
      </w:r>
      <w:r>
        <w:t>)+D</w:t>
      </w:r>
      <w:r>
        <w:rPr>
          <w:vertAlign w:val="subscript"/>
        </w:rPr>
        <w:t>C</w:t>
      </w:r>
      <w:r>
        <w:t>－(A</w:t>
      </w:r>
      <w:r>
        <w:rPr>
          <w:vertAlign w:val="subscript"/>
        </w:rPr>
        <w:t>div</w:t>
      </w:r>
      <w:r>
        <w:t>＋A</w:t>
      </w:r>
      <w:r>
        <w:rPr>
          <w:vertAlign w:val="subscript"/>
        </w:rPr>
        <w:t>atm</w:t>
      </w:r>
      <w:r>
        <w:t>＋A</w:t>
      </w:r>
      <w:r>
        <w:rPr>
          <w:vertAlign w:val="subscript"/>
        </w:rPr>
        <w:t>gr</w:t>
      </w:r>
      <w:r>
        <w:t>＋A</w:t>
      </w:r>
      <w:r>
        <w:rPr>
          <w:vertAlign w:val="subscript"/>
        </w:rPr>
        <w:t>bar</w:t>
      </w:r>
      <w:r>
        <w:t>＋A</w:t>
      </w:r>
      <w:r>
        <w:rPr>
          <w:vertAlign w:val="subscript"/>
        </w:rPr>
        <w:t>misc</w:t>
      </w:r>
      <w:r>
        <w:t>)</w:t>
      </w:r>
    </w:p>
    <w:p w14:paraId="1D3EE397">
      <w:pPr>
        <w:ind w:firstLine="480"/>
      </w:pPr>
      <w:r>
        <w:t>式中：L</w:t>
      </w:r>
      <w:r>
        <w:rPr>
          <w:vertAlign w:val="subscript"/>
        </w:rPr>
        <w:t>p</w:t>
      </w:r>
      <w:r>
        <w:t>®——预测点处声压级，dB；</w:t>
      </w:r>
    </w:p>
    <w:p w14:paraId="1D3EE398">
      <w:pPr>
        <w:ind w:firstLine="1200" w:firstLineChars="500"/>
      </w:pPr>
      <w:r>
        <w:t>L</w:t>
      </w:r>
      <w:r>
        <w:rPr>
          <w:vertAlign w:val="subscript"/>
        </w:rPr>
        <w:t>p</w:t>
      </w:r>
      <w:r>
        <w:t>(r</w:t>
      </w:r>
      <w:r>
        <w:rPr>
          <w:vertAlign w:val="subscript"/>
        </w:rPr>
        <w:t>0</w:t>
      </w:r>
      <w:r>
        <w:t>)——参考位置r</w:t>
      </w:r>
      <w:r>
        <w:rPr>
          <w:vertAlign w:val="subscript"/>
        </w:rPr>
        <w:t>0</w:t>
      </w:r>
      <w:r>
        <w:t>处的声压级，dB；</w:t>
      </w:r>
    </w:p>
    <w:p w14:paraId="1D3EE399">
      <w:pPr>
        <w:ind w:firstLine="1200" w:firstLineChars="500"/>
      </w:pPr>
      <w:r>
        <w:t>D</w:t>
      </w:r>
      <w:r>
        <w:rPr>
          <w:vertAlign w:val="subscript"/>
        </w:rPr>
        <w:t>C</w:t>
      </w:r>
      <w:r>
        <w:t>——指向性校正，它描述点声源的等效连续声压级与产生声功率级L</w:t>
      </w:r>
      <w:r>
        <w:rPr>
          <w:vertAlign w:val="subscript"/>
        </w:rPr>
        <w:t>w</w:t>
      </w:r>
      <w:r>
        <w:t>的全向点声源在规定方向的声级的偏差程度，dB；</w:t>
      </w:r>
    </w:p>
    <w:p w14:paraId="1D3EE39A">
      <w:pPr>
        <w:ind w:firstLine="1200" w:firstLineChars="500"/>
      </w:pPr>
      <w:r>
        <w:t>A</w:t>
      </w:r>
      <w:r>
        <w:rPr>
          <w:vertAlign w:val="subscript"/>
        </w:rPr>
        <w:t>div</w:t>
      </w:r>
      <w:r>
        <w:t>——几何发散引起的衰减，dB；</w:t>
      </w:r>
    </w:p>
    <w:p w14:paraId="1D3EE39B">
      <w:pPr>
        <w:ind w:firstLine="1200" w:firstLineChars="500"/>
      </w:pPr>
      <w:r>
        <w:t>A</w:t>
      </w:r>
      <w:r>
        <w:rPr>
          <w:vertAlign w:val="subscript"/>
        </w:rPr>
        <w:t>atm</w:t>
      </w:r>
      <w:r>
        <w:t>——大气吸收引起的衰减，dB；</w:t>
      </w:r>
    </w:p>
    <w:p w14:paraId="1D3EE39C">
      <w:pPr>
        <w:ind w:firstLine="1200" w:firstLineChars="500"/>
      </w:pPr>
      <w:r>
        <w:t>A</w:t>
      </w:r>
      <w:r>
        <w:rPr>
          <w:vertAlign w:val="subscript"/>
        </w:rPr>
        <w:t>gr</w:t>
      </w:r>
      <w:r>
        <w:t>——地面效应引起的衰减，dB；</w:t>
      </w:r>
    </w:p>
    <w:p w14:paraId="1D3EE39D">
      <w:pPr>
        <w:ind w:firstLine="1200" w:firstLineChars="500"/>
      </w:pPr>
      <w:r>
        <w:t>A</w:t>
      </w:r>
      <w:r>
        <w:rPr>
          <w:vertAlign w:val="subscript"/>
        </w:rPr>
        <w:t>bar</w:t>
      </w:r>
      <w:r>
        <w:t>——障碍物屏蔽引起的衰减，dB；</w:t>
      </w:r>
    </w:p>
    <w:p w14:paraId="1D3EE39E">
      <w:pPr>
        <w:ind w:firstLine="1200" w:firstLineChars="500"/>
      </w:pPr>
      <w:r>
        <w:t>A</w:t>
      </w:r>
      <w:r>
        <w:rPr>
          <w:vertAlign w:val="subscript"/>
        </w:rPr>
        <w:t>misc</w:t>
      </w:r>
      <w:r>
        <w:t>——其他多方面效应引起的衰减，dB。</w:t>
      </w:r>
    </w:p>
    <w:p w14:paraId="1D3EE39F">
      <w:pPr>
        <w:pStyle w:val="5"/>
        <w:spacing w:before="240" w:after="240"/>
      </w:pPr>
      <w:r>
        <w:t>预测结果及评价</w:t>
      </w:r>
    </w:p>
    <w:p w14:paraId="1D3EE3A0">
      <w:pPr>
        <w:ind w:firstLine="480"/>
      </w:pPr>
      <w:r>
        <w:t>根据本工程噪声源在厂区的分布和源强，以及其与四周厂界的距离及建筑物的衰减状况，计算出各声源对四周厂界的噪声贡献值。具体声环境预测结果见下表。</w:t>
      </w:r>
    </w:p>
    <w:p w14:paraId="1D3EE3A1">
      <w:pPr>
        <w:pStyle w:val="64"/>
        <w:numPr>
          <w:ilvl w:val="2"/>
          <w:numId w:val="32"/>
        </w:numPr>
        <w:spacing w:before="0" w:beforeLines="0" w:line="520" w:lineRule="exact"/>
        <w:ind w:left="0" w:firstLine="480" w:firstLineChars="200"/>
      </w:pPr>
      <w:r>
        <w:t xml:space="preserve">         噪声源在厂界处的影响一览表           单位：dB(A)</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1129"/>
        <w:gridCol w:w="1709"/>
        <w:gridCol w:w="3843"/>
        <w:gridCol w:w="1651"/>
      </w:tblGrid>
      <w:tr w14:paraId="5993656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24" w:type="dxa"/>
            <w:vAlign w:val="center"/>
          </w:tcPr>
          <w:p w14:paraId="1D792734">
            <w:pPr>
              <w:pStyle w:val="67"/>
              <w:rPr>
                <w:rFonts w:cs="Times New Roman"/>
                <w:color w:val="auto"/>
                <w:szCs w:val="21"/>
                <w:u w:val="single"/>
              </w:rPr>
            </w:pPr>
            <w:r>
              <w:rPr>
                <w:rFonts w:cs="Times New Roman"/>
                <w:color w:val="auto"/>
                <w:szCs w:val="21"/>
                <w:u w:val="single"/>
              </w:rPr>
              <w:t>点位</w:t>
            </w:r>
          </w:p>
        </w:tc>
        <w:tc>
          <w:tcPr>
            <w:tcW w:w="1701" w:type="dxa"/>
            <w:vAlign w:val="center"/>
          </w:tcPr>
          <w:p w14:paraId="4BE1B940">
            <w:pPr>
              <w:pStyle w:val="67"/>
              <w:rPr>
                <w:rFonts w:cs="Times New Roman"/>
                <w:color w:val="auto"/>
                <w:szCs w:val="21"/>
                <w:u w:val="single"/>
              </w:rPr>
            </w:pPr>
            <w:r>
              <w:rPr>
                <w:rFonts w:cs="Times New Roman"/>
                <w:color w:val="auto"/>
                <w:szCs w:val="21"/>
                <w:u w:val="single"/>
              </w:rPr>
              <w:t>贡献值dB(A)</w:t>
            </w:r>
          </w:p>
        </w:tc>
        <w:tc>
          <w:tcPr>
            <w:tcW w:w="3825" w:type="dxa"/>
            <w:vAlign w:val="center"/>
          </w:tcPr>
          <w:p w14:paraId="2D8CB168">
            <w:pPr>
              <w:pStyle w:val="67"/>
              <w:rPr>
                <w:rFonts w:cs="Times New Roman"/>
                <w:color w:val="auto"/>
                <w:szCs w:val="21"/>
                <w:u w:val="single"/>
              </w:rPr>
            </w:pPr>
            <w:r>
              <w:rPr>
                <w:rFonts w:cs="Times New Roman"/>
                <w:color w:val="auto"/>
                <w:szCs w:val="21"/>
                <w:u w:val="single"/>
              </w:rPr>
              <w:t>评价标准</w:t>
            </w:r>
          </w:p>
        </w:tc>
        <w:tc>
          <w:tcPr>
            <w:tcW w:w="1643" w:type="dxa"/>
            <w:vAlign w:val="center"/>
          </w:tcPr>
          <w:p w14:paraId="097E9E81">
            <w:pPr>
              <w:pStyle w:val="67"/>
              <w:rPr>
                <w:rFonts w:cs="Times New Roman"/>
                <w:color w:val="auto"/>
                <w:szCs w:val="21"/>
                <w:u w:val="single"/>
              </w:rPr>
            </w:pPr>
            <w:r>
              <w:rPr>
                <w:rFonts w:cs="Times New Roman"/>
                <w:color w:val="auto"/>
                <w:szCs w:val="21"/>
                <w:u w:val="single"/>
              </w:rPr>
              <w:t>达标情况</w:t>
            </w:r>
          </w:p>
        </w:tc>
      </w:tr>
      <w:tr w14:paraId="7E79E5A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24" w:type="dxa"/>
            <w:vAlign w:val="center"/>
          </w:tcPr>
          <w:p w14:paraId="06A6C0AC">
            <w:pPr>
              <w:pStyle w:val="62"/>
              <w:rPr>
                <w:u w:val="single"/>
              </w:rPr>
            </w:pPr>
            <w:r>
              <w:rPr>
                <w:u w:val="single"/>
              </w:rPr>
              <w:t>东厂界</w:t>
            </w:r>
          </w:p>
        </w:tc>
        <w:tc>
          <w:tcPr>
            <w:tcW w:w="1701" w:type="dxa"/>
            <w:vAlign w:val="center"/>
          </w:tcPr>
          <w:p w14:paraId="463A3132">
            <w:pPr>
              <w:pStyle w:val="62"/>
              <w:rPr>
                <w:u w:val="single"/>
              </w:rPr>
            </w:pPr>
            <w:r>
              <w:rPr>
                <w:rFonts w:hint="eastAsia"/>
                <w:u w:val="single"/>
              </w:rPr>
              <w:t>50.5</w:t>
            </w:r>
          </w:p>
        </w:tc>
        <w:tc>
          <w:tcPr>
            <w:tcW w:w="3825" w:type="dxa"/>
            <w:vMerge w:val="restart"/>
            <w:vAlign w:val="center"/>
          </w:tcPr>
          <w:p w14:paraId="417E132C">
            <w:pPr>
              <w:pStyle w:val="62"/>
              <w:rPr>
                <w:u w:val="single"/>
              </w:rPr>
            </w:pPr>
            <w:r>
              <w:rPr>
                <w:u w:val="single"/>
              </w:rPr>
              <w:t>《工业企业厂界环境噪声排放标准》（GB12348-2008）</w:t>
            </w:r>
            <w:r>
              <w:rPr>
                <w:rFonts w:hint="eastAsia"/>
                <w:u w:val="single"/>
              </w:rPr>
              <w:t>3</w:t>
            </w:r>
            <w:r>
              <w:rPr>
                <w:u w:val="single"/>
              </w:rPr>
              <w:t>类标准：昼间6</w:t>
            </w:r>
            <w:r>
              <w:rPr>
                <w:rFonts w:hint="eastAsia"/>
                <w:u w:val="single"/>
              </w:rPr>
              <w:t>5</w:t>
            </w:r>
            <w:r>
              <w:rPr>
                <w:u w:val="single"/>
              </w:rPr>
              <w:t>dB(A)，夜间5</w:t>
            </w:r>
            <w:r>
              <w:rPr>
                <w:rFonts w:hint="eastAsia"/>
                <w:u w:val="single"/>
              </w:rPr>
              <w:t>5</w:t>
            </w:r>
            <w:r>
              <w:rPr>
                <w:u w:val="single"/>
              </w:rPr>
              <w:t>dB(A)</w:t>
            </w:r>
          </w:p>
        </w:tc>
        <w:tc>
          <w:tcPr>
            <w:tcW w:w="1643" w:type="dxa"/>
            <w:vAlign w:val="center"/>
          </w:tcPr>
          <w:p w14:paraId="1CB247D1">
            <w:pPr>
              <w:pStyle w:val="62"/>
              <w:rPr>
                <w:u w:val="single"/>
              </w:rPr>
            </w:pPr>
            <w:r>
              <w:rPr>
                <w:u w:val="single"/>
              </w:rPr>
              <w:t>达标</w:t>
            </w:r>
          </w:p>
        </w:tc>
      </w:tr>
      <w:tr w14:paraId="0E3A623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24" w:type="dxa"/>
            <w:vAlign w:val="center"/>
          </w:tcPr>
          <w:p w14:paraId="256D2C5D">
            <w:pPr>
              <w:pStyle w:val="62"/>
              <w:rPr>
                <w:u w:val="single"/>
              </w:rPr>
            </w:pPr>
            <w:r>
              <w:rPr>
                <w:u w:val="single"/>
              </w:rPr>
              <w:t>西厂界</w:t>
            </w:r>
          </w:p>
        </w:tc>
        <w:tc>
          <w:tcPr>
            <w:tcW w:w="1701" w:type="dxa"/>
            <w:vAlign w:val="center"/>
          </w:tcPr>
          <w:p w14:paraId="684BB1D7">
            <w:pPr>
              <w:pStyle w:val="62"/>
              <w:rPr>
                <w:u w:val="single"/>
              </w:rPr>
            </w:pPr>
            <w:r>
              <w:rPr>
                <w:rFonts w:hint="eastAsia"/>
                <w:u w:val="single"/>
              </w:rPr>
              <w:t>51.5</w:t>
            </w:r>
          </w:p>
        </w:tc>
        <w:tc>
          <w:tcPr>
            <w:tcW w:w="3825" w:type="dxa"/>
            <w:vMerge w:val="continue"/>
            <w:vAlign w:val="center"/>
          </w:tcPr>
          <w:p w14:paraId="3AF27EF1">
            <w:pPr>
              <w:widowControl/>
              <w:spacing w:line="240" w:lineRule="auto"/>
              <w:ind w:firstLine="0" w:firstLineChars="0"/>
              <w:jc w:val="center"/>
              <w:rPr>
                <w:szCs w:val="21"/>
                <w:u w:val="single"/>
              </w:rPr>
            </w:pPr>
          </w:p>
        </w:tc>
        <w:tc>
          <w:tcPr>
            <w:tcW w:w="1643" w:type="dxa"/>
            <w:vAlign w:val="center"/>
          </w:tcPr>
          <w:p w14:paraId="03FCA45E">
            <w:pPr>
              <w:pStyle w:val="62"/>
              <w:rPr>
                <w:u w:val="single"/>
              </w:rPr>
            </w:pPr>
            <w:r>
              <w:rPr>
                <w:u w:val="single"/>
              </w:rPr>
              <w:t>达标</w:t>
            </w:r>
          </w:p>
        </w:tc>
      </w:tr>
      <w:tr w14:paraId="45D0E73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24" w:type="dxa"/>
            <w:vAlign w:val="center"/>
          </w:tcPr>
          <w:p w14:paraId="70D5ECE8">
            <w:pPr>
              <w:pStyle w:val="62"/>
              <w:rPr>
                <w:u w:val="single"/>
              </w:rPr>
            </w:pPr>
            <w:r>
              <w:rPr>
                <w:u w:val="single"/>
              </w:rPr>
              <w:t>南厂界</w:t>
            </w:r>
          </w:p>
        </w:tc>
        <w:tc>
          <w:tcPr>
            <w:tcW w:w="1701" w:type="dxa"/>
            <w:vAlign w:val="center"/>
          </w:tcPr>
          <w:p w14:paraId="59EE6AD4">
            <w:pPr>
              <w:pStyle w:val="62"/>
              <w:rPr>
                <w:u w:val="single"/>
              </w:rPr>
            </w:pPr>
            <w:r>
              <w:rPr>
                <w:rFonts w:hint="eastAsia"/>
                <w:u w:val="single"/>
              </w:rPr>
              <w:t>46</w:t>
            </w:r>
          </w:p>
        </w:tc>
        <w:tc>
          <w:tcPr>
            <w:tcW w:w="3825" w:type="dxa"/>
            <w:vMerge w:val="continue"/>
            <w:vAlign w:val="center"/>
          </w:tcPr>
          <w:p w14:paraId="2A852C3F">
            <w:pPr>
              <w:widowControl/>
              <w:spacing w:line="240" w:lineRule="auto"/>
              <w:ind w:firstLine="0" w:firstLineChars="0"/>
              <w:jc w:val="center"/>
              <w:rPr>
                <w:szCs w:val="21"/>
                <w:u w:val="single"/>
              </w:rPr>
            </w:pPr>
          </w:p>
        </w:tc>
        <w:tc>
          <w:tcPr>
            <w:tcW w:w="1643" w:type="dxa"/>
            <w:vAlign w:val="center"/>
          </w:tcPr>
          <w:p w14:paraId="51FF2F92">
            <w:pPr>
              <w:pStyle w:val="62"/>
              <w:rPr>
                <w:u w:val="single"/>
              </w:rPr>
            </w:pPr>
            <w:r>
              <w:rPr>
                <w:u w:val="single"/>
              </w:rPr>
              <w:t>达标</w:t>
            </w:r>
          </w:p>
        </w:tc>
      </w:tr>
      <w:tr w14:paraId="6C148AB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124" w:type="dxa"/>
            <w:vAlign w:val="center"/>
          </w:tcPr>
          <w:p w14:paraId="7A4296B2">
            <w:pPr>
              <w:pStyle w:val="62"/>
              <w:rPr>
                <w:u w:val="single"/>
              </w:rPr>
            </w:pPr>
            <w:r>
              <w:rPr>
                <w:u w:val="single"/>
              </w:rPr>
              <w:t>北厂界</w:t>
            </w:r>
          </w:p>
        </w:tc>
        <w:tc>
          <w:tcPr>
            <w:tcW w:w="1701" w:type="dxa"/>
            <w:vAlign w:val="center"/>
          </w:tcPr>
          <w:p w14:paraId="679C1E93">
            <w:pPr>
              <w:pStyle w:val="62"/>
              <w:rPr>
                <w:u w:val="single"/>
              </w:rPr>
            </w:pPr>
            <w:r>
              <w:rPr>
                <w:rFonts w:hint="eastAsia"/>
                <w:u w:val="single"/>
              </w:rPr>
              <w:t>53.4</w:t>
            </w:r>
          </w:p>
        </w:tc>
        <w:tc>
          <w:tcPr>
            <w:tcW w:w="3825" w:type="dxa"/>
            <w:vMerge w:val="continue"/>
            <w:vAlign w:val="center"/>
          </w:tcPr>
          <w:p w14:paraId="6B4DED9A">
            <w:pPr>
              <w:widowControl/>
              <w:spacing w:line="240" w:lineRule="auto"/>
              <w:ind w:firstLine="0" w:firstLineChars="0"/>
              <w:jc w:val="center"/>
              <w:rPr>
                <w:szCs w:val="21"/>
                <w:u w:val="single"/>
              </w:rPr>
            </w:pPr>
          </w:p>
        </w:tc>
        <w:tc>
          <w:tcPr>
            <w:tcW w:w="1643" w:type="dxa"/>
            <w:vAlign w:val="center"/>
          </w:tcPr>
          <w:p w14:paraId="27A124FB">
            <w:pPr>
              <w:pStyle w:val="62"/>
              <w:rPr>
                <w:u w:val="single"/>
              </w:rPr>
            </w:pPr>
            <w:r>
              <w:rPr>
                <w:u w:val="single"/>
              </w:rPr>
              <w:t>达标</w:t>
            </w:r>
          </w:p>
        </w:tc>
      </w:tr>
    </w:tbl>
    <w:p w14:paraId="1D3EE42C">
      <w:pPr>
        <w:adjustRightInd/>
        <w:snapToGrid/>
        <w:ind w:firstLine="480"/>
        <w:textAlignment w:val="auto"/>
        <w:rPr>
          <w:kern w:val="2"/>
          <w:szCs w:val="24"/>
          <w:highlight w:val="yellow"/>
        </w:rPr>
      </w:pPr>
      <w:r>
        <w:rPr>
          <w:kern w:val="2"/>
          <w:szCs w:val="24"/>
        </w:rPr>
        <w:t>由上表本工程完成后，噪声贡献值均能达到《工业企业厂界环境噪声排放标准》（GB12348-2008）</w:t>
      </w:r>
      <w:r>
        <w:rPr>
          <w:rFonts w:hint="eastAsia"/>
          <w:kern w:val="2"/>
          <w:szCs w:val="24"/>
        </w:rPr>
        <w:t>3</w:t>
      </w:r>
      <w:r>
        <w:rPr>
          <w:kern w:val="2"/>
          <w:szCs w:val="24"/>
        </w:rPr>
        <w:t>类昼间6</w:t>
      </w:r>
      <w:r>
        <w:rPr>
          <w:rFonts w:hint="eastAsia"/>
          <w:kern w:val="2"/>
          <w:szCs w:val="24"/>
        </w:rPr>
        <w:t>5</w:t>
      </w:r>
      <w:r>
        <w:rPr>
          <w:kern w:val="2"/>
          <w:szCs w:val="24"/>
        </w:rPr>
        <w:t>dB(A)、夜间5</w:t>
      </w:r>
      <w:r>
        <w:rPr>
          <w:rFonts w:hint="eastAsia"/>
          <w:kern w:val="2"/>
          <w:szCs w:val="24"/>
        </w:rPr>
        <w:t>5</w:t>
      </w:r>
      <w:r>
        <w:rPr>
          <w:kern w:val="2"/>
          <w:szCs w:val="24"/>
        </w:rPr>
        <w:t>dB(A)的标准要求。</w:t>
      </w:r>
    </w:p>
    <w:p w14:paraId="7D0551B4">
      <w:pPr>
        <w:ind w:firstLine="480"/>
        <w:rPr>
          <w:highlight w:val="yellow"/>
        </w:rPr>
        <w:sectPr>
          <w:headerReference r:id="rId24" w:type="first"/>
          <w:footerReference r:id="rId27" w:type="first"/>
          <w:headerReference r:id="rId22" w:type="default"/>
          <w:footerReference r:id="rId25" w:type="default"/>
          <w:headerReference r:id="rId23" w:type="even"/>
          <w:footerReference r:id="rId26" w:type="even"/>
          <w:pgSz w:w="11907" w:h="16840"/>
          <w:pgMar w:top="1440" w:right="1797" w:bottom="1440" w:left="1797" w:header="907" w:footer="907" w:gutter="0"/>
          <w:cols w:space="425" w:num="1"/>
          <w:docGrid w:linePitch="380" w:charSpace="0"/>
        </w:sectPr>
      </w:pPr>
    </w:p>
    <w:p w14:paraId="1D3EE42E">
      <w:pPr>
        <w:pStyle w:val="4"/>
      </w:pPr>
      <w:bookmarkStart w:id="322" w:name="_Toc176105873"/>
      <w:r>
        <w:t>固体废物环境影响分析</w:t>
      </w:r>
      <w:bookmarkEnd w:id="319"/>
      <w:bookmarkEnd w:id="320"/>
      <w:bookmarkEnd w:id="321"/>
      <w:bookmarkEnd w:id="322"/>
    </w:p>
    <w:p w14:paraId="1D3EE42F">
      <w:pPr>
        <w:ind w:firstLine="480"/>
        <w:rPr>
          <w:u w:val="single"/>
        </w:rPr>
      </w:pPr>
      <w:r>
        <w:rPr>
          <w:rFonts w:hint="eastAsia"/>
          <w:u w:val="single"/>
        </w:rPr>
        <w:t>本项目营运期间产生的固废主要为废原料包装袋、生产过程过滤和离心产生的废活性炭、废气治理设施产生的废活性炭、化验室废物、废溶剂包装吨桶、污水处理站产生的污泥和污油、加热制冷设施产生的废导热油。</w:t>
      </w:r>
      <w:r>
        <w:rPr>
          <w:u w:val="single"/>
        </w:rPr>
        <w:t>一般固废</w:t>
      </w:r>
      <w:r>
        <w:rPr>
          <w:rFonts w:hint="eastAsia"/>
          <w:u w:val="single"/>
        </w:rPr>
        <w:t>废原料包装袋在一般固废暂存间暂存后定期出售。废溶剂包装桶暂存于厂区专门的暂存点，定期交由</w:t>
      </w:r>
      <w:r>
        <w:rPr>
          <w:u w:val="single"/>
        </w:rPr>
        <w:t>生产厂家回收并回用于原始用途</w:t>
      </w:r>
      <w:r>
        <w:rPr>
          <w:rFonts w:hint="eastAsia"/>
          <w:u w:val="single"/>
        </w:rPr>
        <w:t>。危险废物化验室废物、废活性炭、污水处理站污泥和污油、废导热油</w:t>
      </w:r>
      <w:r>
        <w:rPr>
          <w:u w:val="single"/>
        </w:rPr>
        <w:t>收集后暂存于危险废物暂存间内，委托有资质单位处理。</w:t>
      </w:r>
    </w:p>
    <w:p w14:paraId="1D3EE430">
      <w:pPr>
        <w:ind w:firstLine="480"/>
        <w:rPr>
          <w:u w:val="single"/>
        </w:rPr>
      </w:pPr>
      <w:r>
        <w:rPr>
          <w:u w:val="single"/>
        </w:rPr>
        <w:t>本项目</w:t>
      </w:r>
      <w:r>
        <w:rPr>
          <w:snapToGrid w:val="0"/>
          <w:u w:val="single"/>
        </w:rPr>
        <w:t>固废产生及处置措施见下表</w:t>
      </w:r>
      <w:r>
        <w:rPr>
          <w:u w:val="single"/>
        </w:rPr>
        <w:t>：</w:t>
      </w:r>
    </w:p>
    <w:p w14:paraId="1D3EE431">
      <w:pPr>
        <w:pStyle w:val="64"/>
        <w:numPr>
          <w:ilvl w:val="0"/>
          <w:numId w:val="33"/>
        </w:numPr>
        <w:spacing w:before="120"/>
        <w:ind w:firstLineChars="0"/>
        <w:rPr>
          <w:rFonts w:eastAsia="宋体"/>
          <w:b/>
          <w:bCs/>
        </w:rPr>
      </w:pPr>
      <w:r>
        <w:rPr>
          <w:rFonts w:eastAsia="宋体"/>
          <w:b/>
          <w:bCs/>
        </w:rPr>
        <w:t xml:space="preserve">           本项目固体废物产生及处置情况</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28" w:type="dxa"/>
          <w:bottom w:w="0" w:type="dxa"/>
          <w:right w:w="28" w:type="dxa"/>
        </w:tblCellMar>
      </w:tblPr>
      <w:tblGrid>
        <w:gridCol w:w="1421"/>
        <w:gridCol w:w="1573"/>
        <w:gridCol w:w="1573"/>
        <w:gridCol w:w="1527"/>
        <w:gridCol w:w="2275"/>
      </w:tblGrid>
      <w:tr w14:paraId="4B3B9F59">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43DF94EF">
            <w:pPr>
              <w:pStyle w:val="67"/>
              <w:rPr>
                <w:rFonts w:cs="Times New Roman"/>
                <w:color w:val="auto"/>
              </w:rPr>
            </w:pPr>
            <w:r>
              <w:rPr>
                <w:rFonts w:cs="Times New Roman"/>
                <w:color w:val="auto"/>
              </w:rPr>
              <w:t>产污环节</w:t>
            </w:r>
          </w:p>
        </w:tc>
        <w:tc>
          <w:tcPr>
            <w:tcW w:w="940" w:type="pct"/>
            <w:shd w:val="clear" w:color="auto" w:fill="auto"/>
            <w:vAlign w:val="center"/>
          </w:tcPr>
          <w:p w14:paraId="73615F3A">
            <w:pPr>
              <w:pStyle w:val="67"/>
              <w:rPr>
                <w:rFonts w:cs="Times New Roman"/>
                <w:color w:val="auto"/>
              </w:rPr>
            </w:pPr>
            <w:r>
              <w:rPr>
                <w:rFonts w:cs="Times New Roman"/>
                <w:color w:val="auto"/>
              </w:rPr>
              <w:t>固废名称</w:t>
            </w:r>
          </w:p>
        </w:tc>
        <w:tc>
          <w:tcPr>
            <w:tcW w:w="940" w:type="pct"/>
            <w:shd w:val="clear" w:color="auto" w:fill="auto"/>
            <w:vAlign w:val="center"/>
          </w:tcPr>
          <w:p w14:paraId="798F1C11">
            <w:pPr>
              <w:pStyle w:val="67"/>
              <w:rPr>
                <w:rFonts w:cs="Times New Roman"/>
                <w:color w:val="auto"/>
              </w:rPr>
            </w:pPr>
            <w:r>
              <w:rPr>
                <w:rFonts w:cs="Times New Roman"/>
                <w:color w:val="auto"/>
              </w:rPr>
              <w:t>废物特性</w:t>
            </w:r>
          </w:p>
        </w:tc>
        <w:tc>
          <w:tcPr>
            <w:tcW w:w="912" w:type="pct"/>
            <w:shd w:val="clear" w:color="auto" w:fill="auto"/>
            <w:vAlign w:val="center"/>
          </w:tcPr>
          <w:p w14:paraId="0234BCE1">
            <w:pPr>
              <w:pStyle w:val="67"/>
              <w:rPr>
                <w:rFonts w:cs="Times New Roman"/>
                <w:color w:val="auto"/>
              </w:rPr>
            </w:pPr>
            <w:r>
              <w:rPr>
                <w:rFonts w:cs="Times New Roman"/>
                <w:color w:val="auto"/>
              </w:rPr>
              <w:t>产生量（t/a）</w:t>
            </w:r>
          </w:p>
        </w:tc>
        <w:tc>
          <w:tcPr>
            <w:tcW w:w="1359" w:type="pct"/>
            <w:shd w:val="clear" w:color="auto" w:fill="auto"/>
            <w:vAlign w:val="center"/>
          </w:tcPr>
          <w:p w14:paraId="3C3EAB3A">
            <w:pPr>
              <w:pStyle w:val="67"/>
              <w:rPr>
                <w:rFonts w:cs="Times New Roman"/>
                <w:color w:val="auto"/>
              </w:rPr>
            </w:pPr>
            <w:r>
              <w:rPr>
                <w:rFonts w:cs="Times New Roman"/>
                <w:color w:val="auto"/>
              </w:rPr>
              <w:t>治理措施</w:t>
            </w:r>
          </w:p>
        </w:tc>
      </w:tr>
      <w:tr w14:paraId="78F5567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495CEA8E">
            <w:pPr>
              <w:pStyle w:val="62"/>
            </w:pPr>
            <w:r>
              <w:rPr>
                <w:rFonts w:hint="eastAsia"/>
              </w:rPr>
              <w:t>原料包装</w:t>
            </w:r>
          </w:p>
        </w:tc>
        <w:tc>
          <w:tcPr>
            <w:tcW w:w="940" w:type="pct"/>
            <w:shd w:val="clear" w:color="auto" w:fill="auto"/>
            <w:vAlign w:val="center"/>
          </w:tcPr>
          <w:p w14:paraId="0C9F1F88">
            <w:pPr>
              <w:pStyle w:val="62"/>
            </w:pPr>
            <w:r>
              <w:rPr>
                <w:rFonts w:hint="eastAsia"/>
              </w:rPr>
              <w:t>废原料包装袋</w:t>
            </w:r>
          </w:p>
        </w:tc>
        <w:tc>
          <w:tcPr>
            <w:tcW w:w="940" w:type="pct"/>
            <w:shd w:val="clear" w:color="auto" w:fill="auto"/>
            <w:vAlign w:val="center"/>
          </w:tcPr>
          <w:p w14:paraId="4F8964FE">
            <w:pPr>
              <w:pStyle w:val="62"/>
            </w:pPr>
            <w:r>
              <w:t>一般固废</w:t>
            </w:r>
          </w:p>
        </w:tc>
        <w:tc>
          <w:tcPr>
            <w:tcW w:w="912" w:type="pct"/>
            <w:shd w:val="clear" w:color="auto" w:fill="auto"/>
            <w:vAlign w:val="center"/>
          </w:tcPr>
          <w:p w14:paraId="64F45424">
            <w:pPr>
              <w:pStyle w:val="62"/>
              <w:rPr>
                <w:rFonts w:eastAsia="等线"/>
              </w:rPr>
            </w:pPr>
            <w:r>
              <w:rPr>
                <w:rFonts w:hint="eastAsia" w:eastAsia="等线"/>
                <w:u w:val="single"/>
              </w:rPr>
              <w:t>1.6</w:t>
            </w:r>
          </w:p>
        </w:tc>
        <w:tc>
          <w:tcPr>
            <w:tcW w:w="1359" w:type="pct"/>
            <w:shd w:val="clear" w:color="auto" w:fill="auto"/>
            <w:vAlign w:val="center"/>
          </w:tcPr>
          <w:p w14:paraId="0C4CCA30">
            <w:pPr>
              <w:pStyle w:val="62"/>
            </w:pPr>
            <w:r>
              <w:rPr>
                <w:rFonts w:hint="eastAsia"/>
              </w:rPr>
              <w:t>在一般固废暂存间暂存，定期外售</w:t>
            </w:r>
          </w:p>
        </w:tc>
      </w:tr>
      <w:tr w14:paraId="14AA7DE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770435C7">
            <w:pPr>
              <w:pStyle w:val="62"/>
            </w:pPr>
            <w:r>
              <w:rPr>
                <w:rFonts w:hint="eastAsia"/>
              </w:rPr>
              <w:t>生产过程过滤和离心</w:t>
            </w:r>
          </w:p>
        </w:tc>
        <w:tc>
          <w:tcPr>
            <w:tcW w:w="940" w:type="pct"/>
            <w:vMerge w:val="restart"/>
            <w:shd w:val="clear" w:color="auto" w:fill="auto"/>
            <w:vAlign w:val="center"/>
          </w:tcPr>
          <w:p w14:paraId="77900601">
            <w:pPr>
              <w:pStyle w:val="62"/>
            </w:pPr>
            <w:r>
              <w:rPr>
                <w:rFonts w:hint="eastAsia"/>
              </w:rPr>
              <w:t>废活性炭</w:t>
            </w:r>
          </w:p>
        </w:tc>
        <w:tc>
          <w:tcPr>
            <w:tcW w:w="940" w:type="pct"/>
            <w:vMerge w:val="restart"/>
            <w:shd w:val="clear" w:color="auto" w:fill="auto"/>
            <w:vAlign w:val="center"/>
          </w:tcPr>
          <w:p w14:paraId="6B435829">
            <w:pPr>
              <w:pStyle w:val="62"/>
            </w:pPr>
            <w:r>
              <w:t>危险废物</w:t>
            </w:r>
          </w:p>
        </w:tc>
        <w:tc>
          <w:tcPr>
            <w:tcW w:w="912" w:type="pct"/>
            <w:shd w:val="clear" w:color="auto" w:fill="auto"/>
            <w:vAlign w:val="center"/>
          </w:tcPr>
          <w:p w14:paraId="119A0A38">
            <w:pPr>
              <w:pStyle w:val="62"/>
              <w:rPr>
                <w:rFonts w:eastAsia="等线"/>
              </w:rPr>
            </w:pPr>
            <w:r>
              <w:rPr>
                <w:rFonts w:hint="eastAsia"/>
                <w:u w:val="single"/>
              </w:rPr>
              <w:t>81.25</w:t>
            </w:r>
          </w:p>
        </w:tc>
        <w:tc>
          <w:tcPr>
            <w:tcW w:w="1359" w:type="pct"/>
            <w:vMerge w:val="restart"/>
            <w:shd w:val="clear" w:color="auto" w:fill="auto"/>
            <w:vAlign w:val="center"/>
          </w:tcPr>
          <w:p w14:paraId="5D86BA6B">
            <w:pPr>
              <w:pStyle w:val="62"/>
            </w:pPr>
            <w:r>
              <w:t>暂存于危废贮存库内，定期委托有危废资质的单位处置</w:t>
            </w:r>
          </w:p>
        </w:tc>
      </w:tr>
      <w:tr w14:paraId="7CD2A10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6BADCBE1">
            <w:pPr>
              <w:pStyle w:val="62"/>
            </w:pPr>
            <w:r>
              <w:rPr>
                <w:rFonts w:hint="eastAsia"/>
              </w:rPr>
              <w:t>废气治理设施</w:t>
            </w:r>
          </w:p>
        </w:tc>
        <w:tc>
          <w:tcPr>
            <w:tcW w:w="940" w:type="pct"/>
            <w:vMerge w:val="continue"/>
            <w:shd w:val="clear" w:color="auto" w:fill="auto"/>
            <w:vAlign w:val="center"/>
          </w:tcPr>
          <w:p w14:paraId="05736E54">
            <w:pPr>
              <w:pStyle w:val="62"/>
            </w:pPr>
          </w:p>
        </w:tc>
        <w:tc>
          <w:tcPr>
            <w:tcW w:w="940" w:type="pct"/>
            <w:vMerge w:val="continue"/>
            <w:shd w:val="clear" w:color="auto" w:fill="auto"/>
            <w:vAlign w:val="center"/>
          </w:tcPr>
          <w:p w14:paraId="385C3C19">
            <w:pPr>
              <w:pStyle w:val="62"/>
            </w:pPr>
          </w:p>
        </w:tc>
        <w:tc>
          <w:tcPr>
            <w:tcW w:w="912" w:type="pct"/>
            <w:shd w:val="clear" w:color="auto" w:fill="auto"/>
            <w:vAlign w:val="center"/>
          </w:tcPr>
          <w:p w14:paraId="457A4BAC">
            <w:pPr>
              <w:pStyle w:val="62"/>
              <w:rPr>
                <w:rFonts w:eastAsia="等线"/>
              </w:rPr>
            </w:pPr>
            <w:r>
              <w:rPr>
                <w:rFonts w:hint="eastAsia" w:eastAsia="等线"/>
                <w:u w:val="single"/>
              </w:rPr>
              <w:t>1.3</w:t>
            </w:r>
          </w:p>
        </w:tc>
        <w:tc>
          <w:tcPr>
            <w:tcW w:w="1359" w:type="pct"/>
            <w:vMerge w:val="continue"/>
            <w:shd w:val="clear" w:color="auto" w:fill="auto"/>
            <w:vAlign w:val="center"/>
          </w:tcPr>
          <w:p w14:paraId="7FB5CEFC">
            <w:pPr>
              <w:pStyle w:val="62"/>
            </w:pPr>
          </w:p>
        </w:tc>
      </w:tr>
      <w:tr w14:paraId="004D2A7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6DFFD29A">
            <w:pPr>
              <w:pStyle w:val="62"/>
            </w:pPr>
            <w:r>
              <w:rPr>
                <w:rFonts w:hint="eastAsia"/>
              </w:rPr>
              <w:t>化验室</w:t>
            </w:r>
          </w:p>
        </w:tc>
        <w:tc>
          <w:tcPr>
            <w:tcW w:w="940" w:type="pct"/>
            <w:shd w:val="clear" w:color="auto" w:fill="auto"/>
            <w:vAlign w:val="center"/>
          </w:tcPr>
          <w:p w14:paraId="0A3F48B9">
            <w:pPr>
              <w:pStyle w:val="62"/>
            </w:pPr>
            <w:r>
              <w:rPr>
                <w:rFonts w:hint="eastAsia"/>
              </w:rPr>
              <w:t>化验室废物</w:t>
            </w:r>
          </w:p>
        </w:tc>
        <w:tc>
          <w:tcPr>
            <w:tcW w:w="940" w:type="pct"/>
            <w:shd w:val="clear" w:color="auto" w:fill="auto"/>
            <w:vAlign w:val="center"/>
          </w:tcPr>
          <w:p w14:paraId="38D58E8A">
            <w:pPr>
              <w:pStyle w:val="62"/>
            </w:pPr>
            <w:r>
              <w:t>危险废物</w:t>
            </w:r>
          </w:p>
        </w:tc>
        <w:tc>
          <w:tcPr>
            <w:tcW w:w="912" w:type="pct"/>
            <w:shd w:val="clear" w:color="auto" w:fill="auto"/>
            <w:vAlign w:val="center"/>
          </w:tcPr>
          <w:p w14:paraId="73CA19D9">
            <w:pPr>
              <w:pStyle w:val="62"/>
              <w:rPr>
                <w:rFonts w:eastAsia="等线"/>
              </w:rPr>
            </w:pPr>
            <w:r>
              <w:rPr>
                <w:rFonts w:hint="eastAsia" w:eastAsia="等线"/>
                <w:u w:val="single"/>
              </w:rPr>
              <w:t>5.1</w:t>
            </w:r>
          </w:p>
        </w:tc>
        <w:tc>
          <w:tcPr>
            <w:tcW w:w="1359" w:type="pct"/>
            <w:vMerge w:val="continue"/>
            <w:shd w:val="clear" w:color="auto" w:fill="auto"/>
            <w:vAlign w:val="center"/>
          </w:tcPr>
          <w:p w14:paraId="2B4E923E">
            <w:pPr>
              <w:pStyle w:val="62"/>
            </w:pPr>
          </w:p>
        </w:tc>
      </w:tr>
      <w:tr w14:paraId="145E3E3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vMerge w:val="restart"/>
            <w:shd w:val="clear" w:color="auto" w:fill="auto"/>
            <w:vAlign w:val="center"/>
          </w:tcPr>
          <w:p w14:paraId="2B62FE2F">
            <w:pPr>
              <w:pStyle w:val="62"/>
            </w:pPr>
            <w:r>
              <w:rPr>
                <w:rFonts w:hint="eastAsia"/>
              </w:rPr>
              <w:t>污水处理站</w:t>
            </w:r>
          </w:p>
        </w:tc>
        <w:tc>
          <w:tcPr>
            <w:tcW w:w="940" w:type="pct"/>
            <w:shd w:val="clear" w:color="auto" w:fill="auto"/>
            <w:vAlign w:val="center"/>
          </w:tcPr>
          <w:p w14:paraId="0FBE1A95">
            <w:pPr>
              <w:pStyle w:val="62"/>
            </w:pPr>
            <w:r>
              <w:rPr>
                <w:rFonts w:hint="eastAsia"/>
              </w:rPr>
              <w:t>污泥</w:t>
            </w:r>
          </w:p>
        </w:tc>
        <w:tc>
          <w:tcPr>
            <w:tcW w:w="940" w:type="pct"/>
            <w:shd w:val="clear" w:color="auto" w:fill="auto"/>
            <w:vAlign w:val="center"/>
          </w:tcPr>
          <w:p w14:paraId="0B0E8F43">
            <w:pPr>
              <w:pStyle w:val="62"/>
            </w:pPr>
            <w:r>
              <w:t>危险废物</w:t>
            </w:r>
          </w:p>
        </w:tc>
        <w:tc>
          <w:tcPr>
            <w:tcW w:w="912" w:type="pct"/>
            <w:shd w:val="clear" w:color="auto" w:fill="auto"/>
            <w:vAlign w:val="center"/>
          </w:tcPr>
          <w:p w14:paraId="489ABB9B">
            <w:pPr>
              <w:pStyle w:val="62"/>
              <w:rPr>
                <w:rFonts w:eastAsia="等线"/>
                <w:u w:val="single"/>
              </w:rPr>
            </w:pPr>
            <w:r>
              <w:rPr>
                <w:rFonts w:hint="eastAsia" w:eastAsia="等线"/>
                <w:u w:val="single"/>
              </w:rPr>
              <w:t>5.81</w:t>
            </w:r>
          </w:p>
        </w:tc>
        <w:tc>
          <w:tcPr>
            <w:tcW w:w="1359" w:type="pct"/>
            <w:vMerge w:val="continue"/>
            <w:shd w:val="clear" w:color="auto" w:fill="auto"/>
            <w:vAlign w:val="center"/>
          </w:tcPr>
          <w:p w14:paraId="731C00F9">
            <w:pPr>
              <w:pStyle w:val="62"/>
            </w:pPr>
          </w:p>
        </w:tc>
      </w:tr>
      <w:tr w14:paraId="472BE21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vMerge w:val="continue"/>
            <w:shd w:val="clear" w:color="auto" w:fill="auto"/>
            <w:vAlign w:val="center"/>
          </w:tcPr>
          <w:p w14:paraId="112E8619">
            <w:pPr>
              <w:pStyle w:val="62"/>
            </w:pPr>
          </w:p>
        </w:tc>
        <w:tc>
          <w:tcPr>
            <w:tcW w:w="940" w:type="pct"/>
            <w:shd w:val="clear" w:color="auto" w:fill="auto"/>
            <w:vAlign w:val="center"/>
          </w:tcPr>
          <w:p w14:paraId="40DB1D09">
            <w:pPr>
              <w:pStyle w:val="62"/>
              <w:rPr>
                <w:u w:val="single"/>
              </w:rPr>
            </w:pPr>
            <w:r>
              <w:rPr>
                <w:rFonts w:hint="eastAsia"/>
                <w:u w:val="single"/>
              </w:rPr>
              <w:t>污油</w:t>
            </w:r>
          </w:p>
        </w:tc>
        <w:tc>
          <w:tcPr>
            <w:tcW w:w="940" w:type="pct"/>
            <w:shd w:val="clear" w:color="auto" w:fill="auto"/>
            <w:vAlign w:val="center"/>
          </w:tcPr>
          <w:p w14:paraId="30F5C5B3">
            <w:pPr>
              <w:pStyle w:val="62"/>
              <w:rPr>
                <w:u w:val="single"/>
              </w:rPr>
            </w:pPr>
            <w:r>
              <w:rPr>
                <w:u w:val="single"/>
              </w:rPr>
              <w:t>危险废物</w:t>
            </w:r>
          </w:p>
        </w:tc>
        <w:tc>
          <w:tcPr>
            <w:tcW w:w="912" w:type="pct"/>
            <w:shd w:val="clear" w:color="auto" w:fill="auto"/>
            <w:vAlign w:val="center"/>
          </w:tcPr>
          <w:p w14:paraId="5FAE3F4A">
            <w:pPr>
              <w:pStyle w:val="62"/>
              <w:rPr>
                <w:rFonts w:eastAsia="等线"/>
                <w:u w:val="single"/>
              </w:rPr>
            </w:pPr>
            <w:r>
              <w:rPr>
                <w:rFonts w:hint="eastAsia" w:eastAsia="等线"/>
                <w:u w:val="single"/>
              </w:rPr>
              <w:t>0.055</w:t>
            </w:r>
          </w:p>
        </w:tc>
        <w:tc>
          <w:tcPr>
            <w:tcW w:w="1359" w:type="pct"/>
            <w:vMerge w:val="continue"/>
            <w:shd w:val="clear" w:color="auto" w:fill="auto"/>
            <w:vAlign w:val="center"/>
          </w:tcPr>
          <w:p w14:paraId="3ABEDCDD">
            <w:pPr>
              <w:pStyle w:val="62"/>
            </w:pPr>
          </w:p>
        </w:tc>
      </w:tr>
      <w:tr w14:paraId="4F1B3F8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49" w:type="pct"/>
            <w:shd w:val="clear" w:color="auto" w:fill="auto"/>
            <w:vAlign w:val="center"/>
          </w:tcPr>
          <w:p w14:paraId="7E8614F4">
            <w:pPr>
              <w:pStyle w:val="62"/>
            </w:pPr>
            <w:r>
              <w:rPr>
                <w:rFonts w:hint="eastAsia"/>
              </w:rPr>
              <w:t>加热制冷设施</w:t>
            </w:r>
          </w:p>
        </w:tc>
        <w:tc>
          <w:tcPr>
            <w:tcW w:w="940" w:type="pct"/>
            <w:shd w:val="clear" w:color="auto" w:fill="auto"/>
            <w:vAlign w:val="center"/>
          </w:tcPr>
          <w:p w14:paraId="78DEC554">
            <w:pPr>
              <w:pStyle w:val="62"/>
              <w:rPr>
                <w:u w:val="single"/>
              </w:rPr>
            </w:pPr>
            <w:r>
              <w:rPr>
                <w:rFonts w:hint="eastAsia"/>
                <w:u w:val="single"/>
              </w:rPr>
              <w:t>废导热油</w:t>
            </w:r>
          </w:p>
        </w:tc>
        <w:tc>
          <w:tcPr>
            <w:tcW w:w="940" w:type="pct"/>
            <w:shd w:val="clear" w:color="auto" w:fill="auto"/>
            <w:vAlign w:val="center"/>
          </w:tcPr>
          <w:p w14:paraId="15452EEA">
            <w:pPr>
              <w:pStyle w:val="62"/>
              <w:rPr>
                <w:u w:val="single"/>
              </w:rPr>
            </w:pPr>
            <w:r>
              <w:rPr>
                <w:rFonts w:hint="eastAsia"/>
                <w:u w:val="single"/>
              </w:rPr>
              <w:t>危险废物</w:t>
            </w:r>
          </w:p>
        </w:tc>
        <w:tc>
          <w:tcPr>
            <w:tcW w:w="912" w:type="pct"/>
            <w:shd w:val="clear" w:color="auto" w:fill="auto"/>
            <w:vAlign w:val="center"/>
          </w:tcPr>
          <w:p w14:paraId="1A25832E">
            <w:pPr>
              <w:pStyle w:val="62"/>
              <w:rPr>
                <w:rFonts w:eastAsia="等线"/>
                <w:u w:val="single"/>
              </w:rPr>
            </w:pPr>
            <w:r>
              <w:rPr>
                <w:rFonts w:hint="eastAsia" w:eastAsia="等线"/>
                <w:u w:val="single"/>
              </w:rPr>
              <w:t>17t/5a</w:t>
            </w:r>
          </w:p>
        </w:tc>
        <w:tc>
          <w:tcPr>
            <w:tcW w:w="1359" w:type="pct"/>
            <w:vMerge w:val="continue"/>
            <w:shd w:val="clear" w:color="auto" w:fill="auto"/>
            <w:vAlign w:val="center"/>
          </w:tcPr>
          <w:p w14:paraId="2C2629B8">
            <w:pPr>
              <w:pStyle w:val="62"/>
            </w:pPr>
          </w:p>
        </w:tc>
      </w:tr>
    </w:tbl>
    <w:p w14:paraId="1D3EE47E">
      <w:pPr>
        <w:ind w:firstLine="480"/>
        <w:rPr>
          <w:snapToGrid w:val="0"/>
        </w:rPr>
      </w:pPr>
      <w:r>
        <w:t>本项目</w:t>
      </w:r>
      <w:r>
        <w:rPr>
          <w:rFonts w:hint="eastAsia"/>
        </w:rPr>
        <w:t>拟在厂区建设</w:t>
      </w:r>
      <w:r>
        <w:t>1</w:t>
      </w:r>
      <w:r>
        <w:rPr>
          <w:rFonts w:hint="eastAsia"/>
        </w:rPr>
        <w:t>座一般固废暂存间，面积约5m</w:t>
      </w:r>
      <w:r>
        <w:rPr>
          <w:vertAlign w:val="superscript"/>
        </w:rPr>
        <w:t>2</w:t>
      </w:r>
      <w:r>
        <w:rPr>
          <w:rFonts w:hint="eastAsia"/>
        </w:rPr>
        <w:t>，用于暂存一般固废。评价要求，企业严格按照《一般工业固体废物贮存和填埋污染控制标准》（GB18599-2020）进行建设，并采取防渗漏、防雨淋、防扬尘等措施，满足相应的环境保护要求。</w:t>
      </w:r>
      <w:r>
        <w:rPr>
          <w:rFonts w:hint="eastAsia"/>
          <w:u w:val="single"/>
        </w:rPr>
        <w:t>拟在厂区建设</w:t>
      </w:r>
      <w:r>
        <w:rPr>
          <w:u w:val="single"/>
        </w:rPr>
        <w:t>1</w:t>
      </w:r>
      <w:r>
        <w:rPr>
          <w:rFonts w:hint="eastAsia"/>
          <w:u w:val="single"/>
        </w:rPr>
        <w:t>座危废贮存库，面积约50m</w:t>
      </w:r>
      <w:r>
        <w:rPr>
          <w:u w:val="single"/>
          <w:vertAlign w:val="superscript"/>
        </w:rPr>
        <w:t>2</w:t>
      </w:r>
      <w:r>
        <w:rPr>
          <w:rFonts w:hint="eastAsia"/>
          <w:u w:val="single"/>
        </w:rPr>
        <w:t>，用于暂存本工程危废。</w:t>
      </w:r>
      <w:r>
        <w:rPr>
          <w:snapToGrid w:val="0"/>
          <w:u w:val="single"/>
        </w:rPr>
        <w:t>危废贮存库按照《危险废物贮存污染控制标准》（GB18597-2023）的要求进行建设。为了避免危险废物在厂区贮存过程中对环境的影响，评价要求工程应将其全部装入密闭容器中后临时存放于危废贮存库内，定期送有相应危废处置资质的单位处置；在危废的转移处置过程中，应严格按照《中华人民共和国固体废物污染环境防治法》和《危险废物转移管理办法》有关规定执行。</w:t>
      </w:r>
    </w:p>
    <w:p w14:paraId="1D3EE47F">
      <w:pPr>
        <w:ind w:firstLine="480"/>
        <w:rPr>
          <w:snapToGrid w:val="0"/>
        </w:rPr>
      </w:pPr>
      <w:r>
        <w:rPr>
          <w:snapToGrid w:val="0"/>
        </w:rPr>
        <w:t>根据本项目特点，针对本项目固废暂存及管理情况，本评价提出以下措施要求：</w:t>
      </w:r>
    </w:p>
    <w:p w14:paraId="1D3EE480">
      <w:pPr>
        <w:ind w:firstLine="480"/>
        <w:rPr>
          <w:snapToGrid w:val="0"/>
          <w:u w:val="single"/>
        </w:rPr>
      </w:pPr>
      <w:r>
        <w:rPr>
          <w:snapToGrid w:val="0"/>
          <w:u w:val="single"/>
        </w:rPr>
        <w:t>（1）一般固废临时堆场暂存和管理要求</w:t>
      </w:r>
    </w:p>
    <w:p w14:paraId="1D3EE481">
      <w:pPr>
        <w:ind w:firstLine="480"/>
        <w:rPr>
          <w:snapToGrid w:val="0"/>
          <w:u w:val="single"/>
        </w:rPr>
      </w:pPr>
      <w:r>
        <w:rPr>
          <w:snapToGrid w:val="0"/>
          <w:u w:val="single"/>
        </w:rPr>
        <w:t>一般固废临时堆场地面采用混凝土硬化，堆场内分区储存不同类型的</w:t>
      </w:r>
      <w:r>
        <w:rPr>
          <w:rFonts w:hint="eastAsia"/>
          <w:snapToGrid w:val="0"/>
          <w:u w:val="single"/>
        </w:rPr>
        <w:t>一般固废</w:t>
      </w:r>
      <w:r>
        <w:rPr>
          <w:snapToGrid w:val="0"/>
          <w:u w:val="single"/>
        </w:rPr>
        <w:t>，并设置顶棚和围堰，防止降雨造成二次污染。固废临时堆场地面必须经过耐腐蚀处理，且表面无裂痕，满足《一般工业固体废物贮存和填埋污染控制标准》（GB18599-2020）中防渗漏、防雨淋、防扬尘等环境保护要求。</w:t>
      </w:r>
    </w:p>
    <w:p w14:paraId="1D3EE482">
      <w:pPr>
        <w:ind w:firstLine="480"/>
        <w:rPr>
          <w:snapToGrid w:val="0"/>
          <w:u w:val="single"/>
        </w:rPr>
      </w:pPr>
      <w:r>
        <w:rPr>
          <w:snapToGrid w:val="0"/>
          <w:u w:val="single"/>
        </w:rPr>
        <w:t>（2）危险废物暂存间暂存和管理要求</w:t>
      </w:r>
    </w:p>
    <w:p w14:paraId="1D3EE483">
      <w:pPr>
        <w:ind w:firstLine="480"/>
        <w:rPr>
          <w:snapToGrid w:val="0"/>
          <w:u w:val="single"/>
        </w:rPr>
      </w:pPr>
      <w:r>
        <w:rPr>
          <w:rFonts w:hint="eastAsia" w:ascii="宋体" w:hAnsi="宋体" w:cs="宋体"/>
          <w:snapToGrid w:val="0"/>
          <w:u w:val="single"/>
        </w:rPr>
        <w:t>①</w:t>
      </w:r>
      <w:r>
        <w:rPr>
          <w:snapToGrid w:val="0"/>
          <w:u w:val="single"/>
        </w:rPr>
        <w:t>危险废物暂存间应严格按照《危险废物贮存污染防治标准》（GB18597-2023）要求，危废品库内分区储存不同类型的危废。不相容的危险废物必须分开存放，并设有隔离间隔断。危废品库地面采用混凝土硬化，并经过耐腐蚀处理。危废贮存库应满足“防风、防雨、防晒、防泄漏”的要求，设置顶棚和围堰，防止降雨造成二次污染。</w:t>
      </w:r>
    </w:p>
    <w:p w14:paraId="1D3EE484">
      <w:pPr>
        <w:ind w:firstLine="480"/>
        <w:rPr>
          <w:snapToGrid w:val="0"/>
          <w:u w:val="single"/>
        </w:rPr>
      </w:pPr>
      <w:r>
        <w:rPr>
          <w:rFonts w:hint="eastAsia" w:ascii="宋体" w:hAnsi="宋体" w:cs="宋体"/>
          <w:snapToGrid w:val="0"/>
          <w:u w:val="single"/>
        </w:rPr>
        <w:t>②</w:t>
      </w:r>
      <w:r>
        <w:rPr>
          <w:snapToGrid w:val="0"/>
          <w:u w:val="single"/>
        </w:rPr>
        <w:t>按照《环境保护图形标志—固体废物贮存（处置）场》（GB15562.2-1995）及其修改单规定设置环境保护图形标准。危废贮存库内应注明危险废物名称、数量、特性及接收单位等。同时标明不同危险废物在泄漏、火灾及爆炸等事故情况下，紧急处理处置措施，危废品库内应配备足够的堵漏及其他消防安全器材，确保固废临时安全储存。</w:t>
      </w:r>
    </w:p>
    <w:p w14:paraId="1D3EE485">
      <w:pPr>
        <w:ind w:firstLine="480"/>
        <w:rPr>
          <w:snapToGrid w:val="0"/>
          <w:u w:val="single"/>
        </w:rPr>
      </w:pPr>
      <w:r>
        <w:rPr>
          <w:rFonts w:hint="eastAsia" w:ascii="宋体" w:hAnsi="宋体" w:cs="宋体"/>
          <w:snapToGrid w:val="0"/>
          <w:u w:val="single"/>
        </w:rPr>
        <w:t>③</w:t>
      </w:r>
      <w:r>
        <w:rPr>
          <w:snapToGrid w:val="0"/>
          <w:u w:val="single"/>
        </w:rPr>
        <w:t>所有的危险废物均应在专用密闭容器中储存，不得混装，废物收集和封装容积应得到接收单位及当地环保部门的认可。收集危险废物应详细列出危险废物的数量和成分，并填写有关资料，设置明显的废物名称及性质标识牌，并在库外设置明显的危险废物专用的警示标志。</w:t>
      </w:r>
    </w:p>
    <w:p w14:paraId="1D3EE486">
      <w:pPr>
        <w:ind w:firstLine="480"/>
        <w:rPr>
          <w:snapToGrid w:val="0"/>
          <w:u w:val="single"/>
        </w:rPr>
      </w:pPr>
      <w:r>
        <w:rPr>
          <w:rFonts w:hint="eastAsia" w:ascii="宋体" w:hAnsi="宋体" w:cs="宋体"/>
          <w:snapToGrid w:val="0"/>
          <w:u w:val="single"/>
        </w:rPr>
        <w:t>④</w:t>
      </w:r>
      <w:r>
        <w:rPr>
          <w:snapToGrid w:val="0"/>
          <w:u w:val="single"/>
        </w:rPr>
        <w:t>建设单位应指定专人负责废催化剂的收集、贮存管理工作，明确责任然工作制度，按照管理要求，及时将危险品库的危险固废送至有资质的单位进行处理，不得长期贮存或超容量储存。</w:t>
      </w:r>
    </w:p>
    <w:p w14:paraId="1D3EE487">
      <w:pPr>
        <w:ind w:firstLine="482"/>
        <w:rPr>
          <w:snapToGrid w:val="0"/>
        </w:rPr>
      </w:pPr>
      <w:r>
        <w:rPr>
          <w:b/>
        </w:rPr>
        <w:t>二、危险废物收集和运输过程的污染防治措施</w:t>
      </w:r>
    </w:p>
    <w:p w14:paraId="1D3EE488">
      <w:pPr>
        <w:ind w:firstLine="480"/>
        <w:rPr>
          <w:snapToGrid w:val="0"/>
        </w:rPr>
      </w:pPr>
      <w:r>
        <w:rPr>
          <w:snapToGrid w:val="0"/>
        </w:rPr>
        <w:t>（1）内部转运时应采取的措施：</w:t>
      </w:r>
    </w:p>
    <w:p w14:paraId="1D3EE489">
      <w:pPr>
        <w:ind w:firstLine="480"/>
        <w:rPr>
          <w:snapToGrid w:val="0"/>
        </w:rPr>
      </w:pPr>
      <w:r>
        <w:rPr>
          <w:rFonts w:hint="eastAsia" w:ascii="宋体" w:hAnsi="宋体" w:cs="宋体"/>
          <w:snapToGrid w:val="0"/>
        </w:rPr>
        <w:t>①</w:t>
      </w:r>
      <w:r>
        <w:rPr>
          <w:snapToGrid w:val="0"/>
        </w:rPr>
        <w:t>危险废物从厂区内产生工艺环节运输到危废贮存库，应有专人负责，专用桶收集、转运，避免可能引起的散落、泄漏。</w:t>
      </w:r>
    </w:p>
    <w:p w14:paraId="1D3EE48A">
      <w:pPr>
        <w:ind w:firstLine="480"/>
        <w:rPr>
          <w:snapToGrid w:val="0"/>
        </w:rPr>
      </w:pPr>
      <w:r>
        <w:rPr>
          <w:rFonts w:hint="eastAsia" w:ascii="宋体" w:hAnsi="宋体" w:cs="宋体"/>
          <w:snapToGrid w:val="0"/>
        </w:rPr>
        <w:t>②</w:t>
      </w:r>
      <w:r>
        <w:rPr>
          <w:snapToGrid w:val="0"/>
        </w:rPr>
        <w:t>危险废物内部转运作业应采用专用的工具，危险废物内部转运应填写《危险废物厂内转运记录表》，危险废物内部转运结束后，应对转运路线进行检查和清理，确保无危险废物遗失在转运路线上，并对转运工具进行清洗。</w:t>
      </w:r>
    </w:p>
    <w:p w14:paraId="1D3EE48B">
      <w:pPr>
        <w:ind w:firstLine="480"/>
        <w:rPr>
          <w:snapToGrid w:val="0"/>
        </w:rPr>
      </w:pPr>
      <w:r>
        <w:rPr>
          <w:snapToGrid w:val="0"/>
        </w:rPr>
        <w:t>（2）外部转移运输环节应采取的措施：</w:t>
      </w:r>
    </w:p>
    <w:p w14:paraId="1D3EE48C">
      <w:pPr>
        <w:ind w:firstLine="480"/>
        <w:rPr>
          <w:snapToGrid w:val="0"/>
        </w:rPr>
      </w:pPr>
      <w:r>
        <w:rPr>
          <w:snapToGrid w:val="0"/>
        </w:rPr>
        <w:t>对危险废物的转移运输应按《危险废物转移管理办法》（部令第23号）的规定执行危险废物转移联单制度，通过国家危险废物信息管理系统（以下简称信息系统）填写、运行危险废物电子转移联单，并依照国家有关规定公开危险废物转移相关污染环境防治信息。制定危险废物管理计划，明确拟转移危险废物的种类、重量（数量）和流向等信息。建立危险废物管理台账，对转移的危险废物进行计量称重，如实记录、妥善保管转移危险废物的种类、重量（数量）和接受人等相关信息；填写、运行危险废物转移联单，在危险废物转移联单中如实填写移出人、承运人、接受人信息，转移危险废物的种类、重量（数量）、危险特性等信息，以及突发环境事件的防范措施等。</w:t>
      </w:r>
    </w:p>
    <w:p w14:paraId="1D3EE48D">
      <w:pPr>
        <w:ind w:firstLine="480"/>
        <w:rPr>
          <w:snapToGrid w:val="0"/>
        </w:rPr>
      </w:pPr>
      <w:r>
        <w:rPr>
          <w:snapToGrid w:val="0"/>
        </w:rPr>
        <w:t>危险废物的运输要求：</w:t>
      </w:r>
    </w:p>
    <w:p w14:paraId="1D3EE48E">
      <w:pPr>
        <w:ind w:firstLine="480"/>
        <w:rPr>
          <w:snapToGrid w:val="0"/>
        </w:rPr>
      </w:pPr>
      <w:r>
        <w:rPr>
          <w:rFonts w:hint="eastAsia" w:ascii="宋体" w:hAnsi="宋体" w:cs="宋体"/>
          <w:snapToGrid w:val="0"/>
        </w:rPr>
        <w:t>①</w:t>
      </w:r>
      <w:r>
        <w:rPr>
          <w:snapToGrid w:val="0"/>
        </w:rPr>
        <w:t>危险废物运输应由持有危险废物经营许可证的单位按照其许可证的经营范围组织实施，承担危险废物运输的单位应获得交通运输部门颁发的危险货物运输资质。</w:t>
      </w:r>
    </w:p>
    <w:p w14:paraId="1D3EE48F">
      <w:pPr>
        <w:ind w:firstLine="480"/>
        <w:rPr>
          <w:snapToGrid w:val="0"/>
        </w:rPr>
      </w:pPr>
      <w:r>
        <w:rPr>
          <w:rFonts w:hint="eastAsia" w:ascii="宋体" w:hAnsi="宋体" w:cs="宋体"/>
          <w:snapToGrid w:val="0"/>
        </w:rPr>
        <w:t>②</w:t>
      </w:r>
      <w:r>
        <w:rPr>
          <w:snapToGrid w:val="0"/>
        </w:rPr>
        <w:t>运输危险公路运输应按照《道路危险货物运输管理规定》(交通部令[2005]年第9号，2023年11月10日第三次修订)、JT617以及JT618执行。</w:t>
      </w:r>
    </w:p>
    <w:p w14:paraId="1D3EE490">
      <w:pPr>
        <w:ind w:firstLine="480"/>
        <w:rPr>
          <w:snapToGrid w:val="0"/>
        </w:rPr>
      </w:pPr>
      <w:r>
        <w:rPr>
          <w:rFonts w:hint="eastAsia" w:ascii="宋体" w:hAnsi="宋体" w:cs="宋体"/>
          <w:snapToGrid w:val="0"/>
        </w:rPr>
        <w:t>③</w:t>
      </w:r>
      <w:r>
        <w:rPr>
          <w:snapToGrid w:val="0"/>
        </w:rPr>
        <w:t>运输单位承运危险废物时，应在危险废物包装上按照GB18597附录A设置标志。</w:t>
      </w:r>
    </w:p>
    <w:p w14:paraId="1D3EE491">
      <w:pPr>
        <w:ind w:firstLine="480"/>
        <w:rPr>
          <w:snapToGrid w:val="0"/>
        </w:rPr>
      </w:pPr>
      <w:r>
        <w:rPr>
          <w:rFonts w:hint="eastAsia" w:ascii="宋体" w:hAnsi="宋体" w:cs="宋体"/>
          <w:snapToGrid w:val="0"/>
        </w:rPr>
        <w:t>④</w:t>
      </w:r>
      <w:r>
        <w:rPr>
          <w:snapToGrid w:val="0"/>
        </w:rPr>
        <w:t>危险废物公路运输时，运输车辆应按GB13392设置车辆标志。</w:t>
      </w:r>
    </w:p>
    <w:p w14:paraId="1D3EE492">
      <w:pPr>
        <w:ind w:firstLine="480"/>
        <w:rPr>
          <w:snapToGrid w:val="0"/>
        </w:rPr>
      </w:pPr>
      <w:r>
        <w:rPr>
          <w:rFonts w:hint="eastAsia" w:ascii="宋体" w:hAnsi="宋体" w:cs="宋体"/>
          <w:snapToGrid w:val="0"/>
        </w:rPr>
        <w:t>⑤</w:t>
      </w:r>
      <w:r>
        <w:rPr>
          <w:snapToGrid w:val="0"/>
        </w:rPr>
        <w:t>危险废物运输时的中转、装卸过程应遵守如下技术要求：</w:t>
      </w:r>
    </w:p>
    <w:p w14:paraId="1D3EE493">
      <w:pPr>
        <w:ind w:firstLine="480"/>
        <w:rPr>
          <w:snapToGrid w:val="0"/>
        </w:rPr>
      </w:pPr>
      <w:r>
        <w:rPr>
          <w:rFonts w:ascii="Segoe UI Symbol" w:hAnsi="Segoe UI Symbol" w:cs="Segoe UI Symbol"/>
          <w:snapToGrid w:val="0"/>
        </w:rPr>
        <w:t>★</w:t>
      </w:r>
      <w:r>
        <w:rPr>
          <w:snapToGrid w:val="0"/>
        </w:rPr>
        <w:t>卸载区的工作人员应熟悉废物的危险特性，并配备适当的个人防护设备。</w:t>
      </w:r>
    </w:p>
    <w:p w14:paraId="1D3EE494">
      <w:pPr>
        <w:ind w:firstLine="480"/>
        <w:rPr>
          <w:snapToGrid w:val="0"/>
        </w:rPr>
      </w:pPr>
      <w:r>
        <w:rPr>
          <w:rFonts w:ascii="Segoe UI Symbol" w:hAnsi="Segoe UI Symbol" w:cs="Segoe UI Symbol"/>
          <w:snapToGrid w:val="0"/>
        </w:rPr>
        <w:t>★</w:t>
      </w:r>
      <w:r>
        <w:rPr>
          <w:snapToGrid w:val="0"/>
        </w:rPr>
        <w:t>卸载区应配备必要的消防设备和设施，并设置明显的指示标志</w:t>
      </w:r>
    </w:p>
    <w:p w14:paraId="1D3EE495">
      <w:pPr>
        <w:ind w:firstLine="480"/>
        <w:rPr>
          <w:snapToGrid w:val="0"/>
        </w:rPr>
      </w:pPr>
      <w:r>
        <w:rPr>
          <w:rFonts w:ascii="Segoe UI Symbol" w:hAnsi="Segoe UI Symbol" w:cs="Segoe UI Symbol"/>
          <w:snapToGrid w:val="0"/>
        </w:rPr>
        <w:t>★</w:t>
      </w:r>
      <w:r>
        <w:rPr>
          <w:snapToGrid w:val="0"/>
        </w:rPr>
        <w:t>危险废物装卸区应设置隔离设施，液态废物卸载区应设置收集槽和缓冲罐。</w:t>
      </w:r>
    </w:p>
    <w:p w14:paraId="1D3EE497">
      <w:pPr>
        <w:ind w:firstLine="480"/>
        <w:rPr>
          <w:snapToGrid w:val="0"/>
        </w:rPr>
      </w:pPr>
      <w:r>
        <w:rPr>
          <w:snapToGrid w:val="0"/>
        </w:rPr>
        <w:t>综上所述，工程危险固废均能做到安全处置，不会对周边环境造成不良环境影响。</w:t>
      </w:r>
    </w:p>
    <w:p w14:paraId="1D3EE49E">
      <w:pPr>
        <w:ind w:firstLine="480"/>
        <w:rPr>
          <w:highlight w:val="yellow"/>
        </w:rPr>
      </w:pPr>
    </w:p>
    <w:p w14:paraId="1D3EE49F">
      <w:pPr>
        <w:ind w:firstLine="480"/>
        <w:rPr>
          <w:highlight w:val="yellow"/>
        </w:rPr>
      </w:pPr>
    </w:p>
    <w:p w14:paraId="0BEA57E0">
      <w:pPr>
        <w:tabs>
          <w:tab w:val="center" w:pos="4396"/>
        </w:tabs>
        <w:ind w:firstLine="480"/>
        <w:rPr>
          <w:highlight w:val="yellow"/>
        </w:rPr>
        <w:sectPr>
          <w:pgSz w:w="11907" w:h="16840"/>
          <w:pgMar w:top="1440" w:right="1797" w:bottom="1440" w:left="1797" w:header="907" w:footer="907" w:gutter="0"/>
          <w:cols w:space="425" w:num="1"/>
          <w:docGrid w:linePitch="380" w:charSpace="0"/>
        </w:sectPr>
      </w:pPr>
    </w:p>
    <w:p w14:paraId="1D3EE4A4">
      <w:pPr>
        <w:pStyle w:val="4"/>
      </w:pPr>
      <w:bookmarkStart w:id="323" w:name="_Toc68795485"/>
      <w:bookmarkStart w:id="324" w:name="_Toc176105874"/>
      <w:r>
        <w:t>土壤环境影响预测</w:t>
      </w:r>
      <w:bookmarkEnd w:id="323"/>
      <w:bookmarkEnd w:id="324"/>
    </w:p>
    <w:p w14:paraId="1D3EE4A5">
      <w:pPr>
        <w:pStyle w:val="5"/>
        <w:spacing w:before="240" w:after="240"/>
      </w:pPr>
      <w:r>
        <w:t>评价等级</w:t>
      </w:r>
    </w:p>
    <w:p w14:paraId="1D3EE4A6">
      <w:pPr>
        <w:ind w:firstLine="480"/>
      </w:pPr>
      <w:r>
        <w:t>本项目属于污染影响型项目。根据《环境影响评价技术导则 土壤环境（试行）》（HJ 964-2018），首先识别建设项目所属行业的土壤环境影响评价项目类别，再根据建设项目占地规模及周边土壤环境敏感程度划分土壤评价等级。</w:t>
      </w:r>
    </w:p>
    <w:p w14:paraId="1D3EE4A7">
      <w:pPr>
        <w:pStyle w:val="6"/>
        <w:ind w:left="0" w:firstLine="482" w:firstLineChars="200"/>
        <w:rPr>
          <w:szCs w:val="24"/>
        </w:rPr>
      </w:pPr>
      <w:r>
        <w:rPr>
          <w:szCs w:val="24"/>
        </w:rPr>
        <w:t>土壤环境影响项目类别</w:t>
      </w:r>
    </w:p>
    <w:p w14:paraId="1D3EE4A8">
      <w:pPr>
        <w:ind w:firstLine="480"/>
        <w:rPr>
          <w:bCs/>
        </w:rPr>
      </w:pPr>
      <w:r>
        <w:t>根据《环境影响评价技术导则 土壤环境（试行）》（HJ 964-2018）附录A土壤环境影响评价项目类别，本项目属于“化学原料和化学制品制造”，属于I类项目</w:t>
      </w:r>
      <w:r>
        <w:rPr>
          <w:rFonts w:hint="eastAsia"/>
        </w:rPr>
        <w:t>。</w:t>
      </w:r>
      <w:r>
        <w:rPr>
          <w:szCs w:val="24"/>
        </w:rPr>
        <w:t>划分依据如下。</w:t>
      </w:r>
    </w:p>
    <w:p w14:paraId="1D3EE4A9">
      <w:pPr>
        <w:pStyle w:val="64"/>
        <w:numPr>
          <w:ilvl w:val="2"/>
          <w:numId w:val="34"/>
        </w:numPr>
        <w:spacing w:before="0" w:beforeLines="0" w:line="520" w:lineRule="exact"/>
        <w:ind w:left="0" w:firstLine="480" w:firstLineChars="200"/>
      </w:pPr>
      <w:r>
        <w:t xml:space="preserve">         土壤环境影响评价行业类别划分表</w:t>
      </w:r>
    </w:p>
    <w:tbl>
      <w:tblPr>
        <w:tblStyle w:val="41"/>
        <w:tblW w:w="89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99"/>
        <w:gridCol w:w="709"/>
        <w:gridCol w:w="3544"/>
        <w:gridCol w:w="1984"/>
        <w:gridCol w:w="1418"/>
        <w:gridCol w:w="593"/>
      </w:tblGrid>
      <w:tr w14:paraId="1D3EE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08" w:type="dxa"/>
            <w:gridSpan w:val="2"/>
            <w:vMerge w:val="restart"/>
            <w:tcBorders>
              <w:tl2br w:val="nil"/>
              <w:tr2bl w:val="nil"/>
            </w:tcBorders>
            <w:vAlign w:val="center"/>
          </w:tcPr>
          <w:p w14:paraId="1D3EE4AA">
            <w:pPr>
              <w:tabs>
                <w:tab w:val="left" w:pos="1719"/>
              </w:tabs>
              <w:spacing w:line="240" w:lineRule="auto"/>
              <w:ind w:firstLine="0" w:firstLineChars="0"/>
              <w:jc w:val="center"/>
              <w:rPr>
                <w:b/>
                <w:bCs/>
                <w:sz w:val="21"/>
                <w:szCs w:val="21"/>
              </w:rPr>
            </w:pPr>
            <w:r>
              <w:rPr>
                <w:b/>
                <w:bCs/>
                <w:sz w:val="21"/>
                <w:szCs w:val="21"/>
              </w:rPr>
              <w:t>行业类别</w:t>
            </w:r>
          </w:p>
        </w:tc>
        <w:tc>
          <w:tcPr>
            <w:tcW w:w="7539" w:type="dxa"/>
            <w:gridSpan w:val="4"/>
            <w:tcBorders>
              <w:tl2br w:val="nil"/>
              <w:tr2bl w:val="nil"/>
            </w:tcBorders>
            <w:vAlign w:val="center"/>
          </w:tcPr>
          <w:p w14:paraId="1D3EE4AB">
            <w:pPr>
              <w:tabs>
                <w:tab w:val="left" w:pos="1719"/>
              </w:tabs>
              <w:spacing w:line="240" w:lineRule="auto"/>
              <w:ind w:firstLine="0" w:firstLineChars="0"/>
              <w:jc w:val="center"/>
              <w:rPr>
                <w:b/>
                <w:bCs/>
                <w:sz w:val="21"/>
                <w:szCs w:val="21"/>
              </w:rPr>
            </w:pPr>
            <w:r>
              <w:rPr>
                <w:b/>
                <w:bCs/>
                <w:sz w:val="21"/>
                <w:szCs w:val="21"/>
              </w:rPr>
              <w:t>项目类别</w:t>
            </w:r>
          </w:p>
        </w:tc>
      </w:tr>
      <w:tr w14:paraId="1D3EE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08" w:type="dxa"/>
            <w:gridSpan w:val="2"/>
            <w:vMerge w:val="continue"/>
            <w:tcBorders>
              <w:tl2br w:val="nil"/>
              <w:tr2bl w:val="nil"/>
            </w:tcBorders>
            <w:vAlign w:val="center"/>
          </w:tcPr>
          <w:p w14:paraId="1D3EE4AD">
            <w:pPr>
              <w:tabs>
                <w:tab w:val="left" w:pos="1719"/>
              </w:tabs>
              <w:spacing w:line="240" w:lineRule="auto"/>
              <w:ind w:firstLine="0" w:firstLineChars="0"/>
              <w:jc w:val="center"/>
              <w:rPr>
                <w:b/>
                <w:bCs/>
                <w:sz w:val="21"/>
                <w:szCs w:val="21"/>
              </w:rPr>
            </w:pPr>
          </w:p>
        </w:tc>
        <w:tc>
          <w:tcPr>
            <w:tcW w:w="3544" w:type="dxa"/>
            <w:tcBorders>
              <w:tl2br w:val="nil"/>
              <w:tr2bl w:val="nil"/>
            </w:tcBorders>
            <w:vAlign w:val="center"/>
          </w:tcPr>
          <w:p w14:paraId="1D3EE4AE">
            <w:pPr>
              <w:tabs>
                <w:tab w:val="left" w:pos="1719"/>
              </w:tabs>
              <w:spacing w:line="240" w:lineRule="auto"/>
              <w:ind w:firstLine="0" w:firstLineChars="0"/>
              <w:jc w:val="center"/>
              <w:rPr>
                <w:b/>
                <w:bCs/>
                <w:sz w:val="21"/>
                <w:szCs w:val="21"/>
              </w:rPr>
            </w:pPr>
            <w:r>
              <w:rPr>
                <w:b/>
                <w:bCs/>
                <w:sz w:val="21"/>
                <w:szCs w:val="21"/>
              </w:rPr>
              <w:t>Ⅰ类</w:t>
            </w:r>
          </w:p>
        </w:tc>
        <w:tc>
          <w:tcPr>
            <w:tcW w:w="1984" w:type="dxa"/>
            <w:tcBorders>
              <w:tl2br w:val="nil"/>
              <w:tr2bl w:val="nil"/>
            </w:tcBorders>
            <w:vAlign w:val="center"/>
          </w:tcPr>
          <w:p w14:paraId="1D3EE4AF">
            <w:pPr>
              <w:tabs>
                <w:tab w:val="left" w:pos="1719"/>
              </w:tabs>
              <w:spacing w:line="240" w:lineRule="auto"/>
              <w:ind w:firstLine="0" w:firstLineChars="0"/>
              <w:jc w:val="center"/>
              <w:rPr>
                <w:b/>
                <w:bCs/>
                <w:sz w:val="21"/>
                <w:szCs w:val="21"/>
              </w:rPr>
            </w:pPr>
            <w:r>
              <w:rPr>
                <w:b/>
                <w:bCs/>
                <w:sz w:val="21"/>
                <w:szCs w:val="21"/>
              </w:rPr>
              <w:t>Ⅱ类</w:t>
            </w:r>
          </w:p>
        </w:tc>
        <w:tc>
          <w:tcPr>
            <w:tcW w:w="1418" w:type="dxa"/>
            <w:tcBorders>
              <w:tl2br w:val="nil"/>
              <w:tr2bl w:val="nil"/>
            </w:tcBorders>
            <w:vAlign w:val="center"/>
          </w:tcPr>
          <w:p w14:paraId="1D3EE4B0">
            <w:pPr>
              <w:tabs>
                <w:tab w:val="left" w:pos="1719"/>
              </w:tabs>
              <w:spacing w:line="240" w:lineRule="auto"/>
              <w:ind w:firstLine="0" w:firstLineChars="0"/>
              <w:jc w:val="center"/>
              <w:rPr>
                <w:b/>
                <w:bCs/>
                <w:sz w:val="21"/>
                <w:szCs w:val="21"/>
              </w:rPr>
            </w:pPr>
            <w:r>
              <w:rPr>
                <w:b/>
                <w:bCs/>
                <w:sz w:val="21"/>
                <w:szCs w:val="21"/>
              </w:rPr>
              <w:t>Ⅲ类</w:t>
            </w:r>
          </w:p>
        </w:tc>
        <w:tc>
          <w:tcPr>
            <w:tcW w:w="593" w:type="dxa"/>
            <w:tcBorders>
              <w:tl2br w:val="nil"/>
              <w:tr2bl w:val="nil"/>
            </w:tcBorders>
            <w:vAlign w:val="center"/>
          </w:tcPr>
          <w:p w14:paraId="1D3EE4B1">
            <w:pPr>
              <w:tabs>
                <w:tab w:val="left" w:pos="1719"/>
              </w:tabs>
              <w:spacing w:line="240" w:lineRule="auto"/>
              <w:ind w:firstLine="0" w:firstLineChars="0"/>
              <w:jc w:val="center"/>
              <w:rPr>
                <w:b/>
                <w:bCs/>
                <w:sz w:val="21"/>
                <w:szCs w:val="21"/>
              </w:rPr>
            </w:pPr>
            <w:r>
              <w:rPr>
                <w:b/>
                <w:bCs/>
                <w:sz w:val="21"/>
                <w:szCs w:val="21"/>
              </w:rPr>
              <w:t>Ⅳ类</w:t>
            </w:r>
          </w:p>
        </w:tc>
      </w:tr>
      <w:tr w14:paraId="1D3EE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99" w:type="dxa"/>
            <w:tcBorders>
              <w:tl2br w:val="nil"/>
              <w:tr2bl w:val="nil"/>
            </w:tcBorders>
            <w:vAlign w:val="center"/>
          </w:tcPr>
          <w:p w14:paraId="1D3EE4B3">
            <w:pPr>
              <w:tabs>
                <w:tab w:val="left" w:pos="1719"/>
              </w:tabs>
              <w:spacing w:line="240" w:lineRule="auto"/>
              <w:ind w:firstLine="0" w:firstLineChars="0"/>
              <w:jc w:val="center"/>
              <w:rPr>
                <w:sz w:val="21"/>
                <w:szCs w:val="21"/>
              </w:rPr>
            </w:pPr>
            <w:r>
              <w:rPr>
                <w:sz w:val="21"/>
                <w:szCs w:val="21"/>
              </w:rPr>
              <w:t>制造业</w:t>
            </w:r>
          </w:p>
        </w:tc>
        <w:tc>
          <w:tcPr>
            <w:tcW w:w="709" w:type="dxa"/>
            <w:tcBorders>
              <w:tl2br w:val="nil"/>
              <w:tr2bl w:val="nil"/>
            </w:tcBorders>
            <w:vAlign w:val="center"/>
          </w:tcPr>
          <w:p w14:paraId="1D3EE4B4">
            <w:pPr>
              <w:tabs>
                <w:tab w:val="left" w:pos="1719"/>
              </w:tabs>
              <w:spacing w:line="240" w:lineRule="auto"/>
              <w:ind w:firstLine="0" w:firstLineChars="0"/>
              <w:jc w:val="center"/>
              <w:rPr>
                <w:sz w:val="21"/>
                <w:szCs w:val="21"/>
              </w:rPr>
            </w:pPr>
            <w:r>
              <w:rPr>
                <w:sz w:val="21"/>
                <w:szCs w:val="21"/>
              </w:rPr>
              <w:t>石油、化工</w:t>
            </w:r>
          </w:p>
        </w:tc>
        <w:tc>
          <w:tcPr>
            <w:tcW w:w="3544" w:type="dxa"/>
            <w:tcBorders>
              <w:tl2br w:val="nil"/>
              <w:tr2bl w:val="nil"/>
            </w:tcBorders>
            <w:vAlign w:val="center"/>
          </w:tcPr>
          <w:p w14:paraId="1D3EE4B5">
            <w:pPr>
              <w:tabs>
                <w:tab w:val="left" w:pos="1719"/>
              </w:tabs>
              <w:spacing w:line="240" w:lineRule="auto"/>
              <w:ind w:firstLine="0" w:firstLineChars="0"/>
              <w:rPr>
                <w:sz w:val="21"/>
                <w:szCs w:val="21"/>
              </w:rPr>
            </w:pPr>
            <w:r>
              <w:rPr>
                <w:sz w:val="21"/>
                <w:szCs w:val="21"/>
              </w:rPr>
              <w:t>石油加工、炼焦；化学原料和化学制品制造；农药制造；涂料、染料、颜料、油墨及其类似产品制造；炸药、火工及焰火产品制造；水处理剂等制造；化学药品制造；生物、生化制品制造</w:t>
            </w:r>
          </w:p>
        </w:tc>
        <w:tc>
          <w:tcPr>
            <w:tcW w:w="1984" w:type="dxa"/>
            <w:tcBorders>
              <w:tl2br w:val="nil"/>
              <w:tr2bl w:val="nil"/>
            </w:tcBorders>
            <w:vAlign w:val="center"/>
          </w:tcPr>
          <w:p w14:paraId="1D3EE4B6">
            <w:pPr>
              <w:tabs>
                <w:tab w:val="left" w:pos="1719"/>
              </w:tabs>
              <w:spacing w:line="240" w:lineRule="auto"/>
              <w:ind w:firstLine="0" w:firstLineChars="0"/>
              <w:rPr>
                <w:sz w:val="21"/>
                <w:szCs w:val="21"/>
              </w:rPr>
            </w:pPr>
            <w:r>
              <w:rPr>
                <w:sz w:val="21"/>
                <w:szCs w:val="21"/>
              </w:rPr>
              <w:t>半导体材料、日用化学品制造，化学肥料制造；</w:t>
            </w:r>
          </w:p>
        </w:tc>
        <w:tc>
          <w:tcPr>
            <w:tcW w:w="1418" w:type="dxa"/>
            <w:tcBorders>
              <w:tl2br w:val="nil"/>
              <w:tr2bl w:val="nil"/>
            </w:tcBorders>
            <w:vAlign w:val="center"/>
          </w:tcPr>
          <w:p w14:paraId="1D3EE4B7">
            <w:pPr>
              <w:tabs>
                <w:tab w:val="left" w:pos="1719"/>
              </w:tabs>
              <w:spacing w:line="240" w:lineRule="auto"/>
              <w:ind w:firstLine="0" w:firstLineChars="0"/>
              <w:jc w:val="center"/>
              <w:rPr>
                <w:sz w:val="21"/>
                <w:szCs w:val="21"/>
              </w:rPr>
            </w:pPr>
            <w:r>
              <w:rPr>
                <w:sz w:val="21"/>
                <w:szCs w:val="21"/>
              </w:rPr>
              <w:t>其他</w:t>
            </w:r>
          </w:p>
        </w:tc>
        <w:tc>
          <w:tcPr>
            <w:tcW w:w="593" w:type="dxa"/>
            <w:tcBorders>
              <w:tl2br w:val="nil"/>
              <w:tr2bl w:val="nil"/>
            </w:tcBorders>
            <w:vAlign w:val="center"/>
          </w:tcPr>
          <w:p w14:paraId="1D3EE4B8">
            <w:pPr>
              <w:tabs>
                <w:tab w:val="left" w:pos="1719"/>
              </w:tabs>
              <w:spacing w:line="240" w:lineRule="auto"/>
              <w:ind w:firstLine="0" w:firstLineChars="0"/>
              <w:jc w:val="center"/>
              <w:rPr>
                <w:sz w:val="21"/>
                <w:szCs w:val="21"/>
              </w:rPr>
            </w:pPr>
            <w:r>
              <w:rPr>
                <w:sz w:val="21"/>
                <w:szCs w:val="21"/>
              </w:rPr>
              <w:t>/</w:t>
            </w:r>
          </w:p>
        </w:tc>
      </w:tr>
    </w:tbl>
    <w:p w14:paraId="1D3EE4BA">
      <w:pPr>
        <w:pStyle w:val="6"/>
        <w:ind w:left="0" w:firstLine="482" w:firstLineChars="200"/>
        <w:rPr>
          <w:szCs w:val="24"/>
        </w:rPr>
      </w:pPr>
      <w:r>
        <w:rPr>
          <w:szCs w:val="24"/>
        </w:rPr>
        <w:t>占地规模</w:t>
      </w:r>
    </w:p>
    <w:p w14:paraId="1D3EE4BB">
      <w:pPr>
        <w:ind w:firstLine="480"/>
        <w:rPr>
          <w:bCs/>
        </w:rPr>
      </w:pPr>
      <w:r>
        <w:rPr>
          <w:kern w:val="2"/>
          <w:szCs w:val="24"/>
        </w:rPr>
        <w:t>本项目占地面积约</w:t>
      </w:r>
      <w:r>
        <w:rPr>
          <w:rFonts w:hint="eastAsia"/>
          <w:kern w:val="2"/>
          <w:szCs w:val="24"/>
        </w:rPr>
        <w:t>0.3</w:t>
      </w:r>
      <w:r>
        <w:rPr>
          <w:kern w:val="2"/>
          <w:szCs w:val="24"/>
        </w:rPr>
        <w:t>hm</w:t>
      </w:r>
      <w:r>
        <w:rPr>
          <w:kern w:val="2"/>
          <w:szCs w:val="24"/>
          <w:vertAlign w:val="superscript"/>
        </w:rPr>
        <w:t>2</w:t>
      </w:r>
      <w:r>
        <w:rPr>
          <w:kern w:val="2"/>
          <w:szCs w:val="24"/>
        </w:rPr>
        <w:t>，属于≤5hm</w:t>
      </w:r>
      <w:r>
        <w:rPr>
          <w:kern w:val="2"/>
          <w:szCs w:val="24"/>
          <w:vertAlign w:val="superscript"/>
        </w:rPr>
        <w:t>2</w:t>
      </w:r>
      <w:r>
        <w:rPr>
          <w:kern w:val="2"/>
          <w:szCs w:val="24"/>
        </w:rPr>
        <w:t>范围内，属于小型建设项目。</w:t>
      </w:r>
      <w:r>
        <w:rPr>
          <w:bCs/>
        </w:rPr>
        <w:t>划分依据如下。</w:t>
      </w:r>
    </w:p>
    <w:p w14:paraId="1D3EE4BC">
      <w:pPr>
        <w:pStyle w:val="64"/>
        <w:numPr>
          <w:ilvl w:val="2"/>
          <w:numId w:val="34"/>
        </w:numPr>
        <w:spacing w:before="0" w:beforeLines="0" w:line="520" w:lineRule="exact"/>
        <w:ind w:left="0" w:firstLine="480" w:firstLineChars="200"/>
      </w:pPr>
      <w:r>
        <w:t xml:space="preserve">              项目占地规模划分</w:t>
      </w:r>
    </w:p>
    <w:tbl>
      <w:tblPr>
        <w:tblStyle w:val="41"/>
        <w:tblW w:w="89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2"/>
        <w:gridCol w:w="2983"/>
      </w:tblGrid>
      <w:tr w14:paraId="1D3EE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2" w:type="dxa"/>
            <w:tcBorders>
              <w:tl2br w:val="nil"/>
              <w:tr2bl w:val="nil"/>
            </w:tcBorders>
            <w:vAlign w:val="center"/>
          </w:tcPr>
          <w:p w14:paraId="1D3EE4BD">
            <w:pPr>
              <w:tabs>
                <w:tab w:val="left" w:pos="1719"/>
              </w:tabs>
              <w:spacing w:line="240" w:lineRule="auto"/>
              <w:ind w:firstLine="0" w:firstLineChars="0"/>
              <w:jc w:val="center"/>
              <w:rPr>
                <w:b/>
                <w:bCs/>
                <w:sz w:val="21"/>
                <w:szCs w:val="21"/>
              </w:rPr>
            </w:pPr>
            <w:r>
              <w:rPr>
                <w:b/>
                <w:bCs/>
                <w:sz w:val="21"/>
                <w:szCs w:val="21"/>
              </w:rPr>
              <w:t>大型</w:t>
            </w:r>
          </w:p>
        </w:tc>
        <w:tc>
          <w:tcPr>
            <w:tcW w:w="2982" w:type="dxa"/>
            <w:tcBorders>
              <w:tl2br w:val="nil"/>
              <w:tr2bl w:val="nil"/>
            </w:tcBorders>
            <w:vAlign w:val="center"/>
          </w:tcPr>
          <w:p w14:paraId="1D3EE4BE">
            <w:pPr>
              <w:tabs>
                <w:tab w:val="left" w:pos="1719"/>
              </w:tabs>
              <w:spacing w:line="240" w:lineRule="auto"/>
              <w:ind w:firstLine="0" w:firstLineChars="0"/>
              <w:jc w:val="center"/>
              <w:rPr>
                <w:b/>
                <w:bCs/>
                <w:sz w:val="21"/>
                <w:szCs w:val="21"/>
              </w:rPr>
            </w:pPr>
            <w:r>
              <w:rPr>
                <w:b/>
                <w:bCs/>
                <w:sz w:val="21"/>
                <w:szCs w:val="21"/>
              </w:rPr>
              <w:t>中型</w:t>
            </w:r>
          </w:p>
        </w:tc>
        <w:tc>
          <w:tcPr>
            <w:tcW w:w="2983" w:type="dxa"/>
            <w:tcBorders>
              <w:tl2br w:val="nil"/>
              <w:tr2bl w:val="nil"/>
            </w:tcBorders>
            <w:vAlign w:val="center"/>
          </w:tcPr>
          <w:p w14:paraId="1D3EE4BF">
            <w:pPr>
              <w:tabs>
                <w:tab w:val="left" w:pos="1719"/>
              </w:tabs>
              <w:spacing w:line="240" w:lineRule="auto"/>
              <w:ind w:firstLine="0" w:firstLineChars="0"/>
              <w:jc w:val="center"/>
              <w:rPr>
                <w:b/>
                <w:bCs/>
                <w:sz w:val="21"/>
                <w:szCs w:val="21"/>
              </w:rPr>
            </w:pPr>
            <w:r>
              <w:rPr>
                <w:b/>
                <w:bCs/>
                <w:sz w:val="21"/>
                <w:szCs w:val="21"/>
              </w:rPr>
              <w:t>小型</w:t>
            </w:r>
          </w:p>
        </w:tc>
      </w:tr>
      <w:tr w14:paraId="1D3EE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2" w:type="dxa"/>
            <w:tcBorders>
              <w:tl2br w:val="nil"/>
              <w:tr2bl w:val="nil"/>
            </w:tcBorders>
            <w:vAlign w:val="center"/>
          </w:tcPr>
          <w:p w14:paraId="1D3EE4C1">
            <w:pPr>
              <w:tabs>
                <w:tab w:val="left" w:pos="1719"/>
              </w:tabs>
              <w:spacing w:line="240" w:lineRule="auto"/>
              <w:ind w:firstLine="0" w:firstLineChars="0"/>
              <w:jc w:val="center"/>
              <w:rPr>
                <w:sz w:val="21"/>
                <w:szCs w:val="21"/>
              </w:rPr>
            </w:pPr>
            <w:r>
              <w:rPr>
                <w:sz w:val="21"/>
                <w:szCs w:val="21"/>
              </w:rPr>
              <w:t>≥50hm</w:t>
            </w:r>
            <w:r>
              <w:rPr>
                <w:sz w:val="21"/>
                <w:szCs w:val="21"/>
                <w:vertAlign w:val="superscript"/>
              </w:rPr>
              <w:t>2</w:t>
            </w:r>
          </w:p>
        </w:tc>
        <w:tc>
          <w:tcPr>
            <w:tcW w:w="2982" w:type="dxa"/>
            <w:tcBorders>
              <w:tl2br w:val="nil"/>
              <w:tr2bl w:val="nil"/>
            </w:tcBorders>
            <w:vAlign w:val="center"/>
          </w:tcPr>
          <w:p w14:paraId="1D3EE4C2">
            <w:pPr>
              <w:tabs>
                <w:tab w:val="left" w:pos="1719"/>
              </w:tabs>
              <w:spacing w:line="240" w:lineRule="auto"/>
              <w:ind w:firstLine="0" w:firstLineChars="0"/>
              <w:jc w:val="center"/>
              <w:rPr>
                <w:sz w:val="21"/>
                <w:szCs w:val="21"/>
              </w:rPr>
            </w:pPr>
            <w:r>
              <w:rPr>
                <w:sz w:val="21"/>
                <w:szCs w:val="21"/>
              </w:rPr>
              <w:t>5～50hm</w:t>
            </w:r>
            <w:r>
              <w:rPr>
                <w:sz w:val="21"/>
                <w:szCs w:val="21"/>
                <w:vertAlign w:val="superscript"/>
              </w:rPr>
              <w:t>2</w:t>
            </w:r>
          </w:p>
        </w:tc>
        <w:tc>
          <w:tcPr>
            <w:tcW w:w="2983" w:type="dxa"/>
            <w:tcBorders>
              <w:tl2br w:val="nil"/>
              <w:tr2bl w:val="nil"/>
            </w:tcBorders>
            <w:vAlign w:val="center"/>
          </w:tcPr>
          <w:p w14:paraId="1D3EE4C3">
            <w:pPr>
              <w:tabs>
                <w:tab w:val="left" w:pos="1719"/>
              </w:tabs>
              <w:spacing w:line="240" w:lineRule="auto"/>
              <w:ind w:firstLine="0" w:firstLineChars="0"/>
              <w:jc w:val="center"/>
              <w:rPr>
                <w:sz w:val="21"/>
                <w:szCs w:val="21"/>
              </w:rPr>
            </w:pPr>
            <w:r>
              <w:rPr>
                <w:sz w:val="21"/>
                <w:szCs w:val="21"/>
              </w:rPr>
              <w:t>≤5hm</w:t>
            </w:r>
            <w:r>
              <w:rPr>
                <w:sz w:val="21"/>
                <w:szCs w:val="21"/>
                <w:vertAlign w:val="superscript"/>
              </w:rPr>
              <w:t>2</w:t>
            </w:r>
          </w:p>
        </w:tc>
      </w:tr>
    </w:tbl>
    <w:p w14:paraId="1D3EE4C5">
      <w:pPr>
        <w:pStyle w:val="6"/>
        <w:ind w:left="0" w:firstLine="482" w:firstLineChars="200"/>
        <w:rPr>
          <w:szCs w:val="24"/>
        </w:rPr>
      </w:pPr>
      <w:r>
        <w:rPr>
          <w:szCs w:val="24"/>
        </w:rPr>
        <w:t>环境敏感程度</w:t>
      </w:r>
    </w:p>
    <w:p w14:paraId="1157C002">
      <w:pPr>
        <w:adjustRightInd/>
        <w:ind w:firstLine="480"/>
        <w:textAlignment w:val="auto"/>
        <w:rPr>
          <w:szCs w:val="24"/>
        </w:rPr>
      </w:pPr>
      <w:r>
        <w:rPr>
          <w:szCs w:val="24"/>
        </w:rPr>
        <w:t>本项目位于</w:t>
      </w:r>
      <w:r>
        <w:rPr>
          <w:rFonts w:hint="eastAsia"/>
          <w:szCs w:val="24"/>
        </w:rPr>
        <w:t>卫辉市铁西（化工）园区</w:t>
      </w:r>
      <w:r>
        <w:rPr>
          <w:szCs w:val="24"/>
        </w:rPr>
        <w:t>，占地为工业用地，故建设项目所在地土壤环境敏感程度为不敏感。</w:t>
      </w:r>
    </w:p>
    <w:p w14:paraId="1D3EE4C7">
      <w:pPr>
        <w:pStyle w:val="6"/>
        <w:ind w:left="0" w:firstLine="482" w:firstLineChars="200"/>
        <w:rPr>
          <w:szCs w:val="24"/>
        </w:rPr>
      </w:pPr>
      <w:r>
        <w:rPr>
          <w:szCs w:val="24"/>
        </w:rPr>
        <w:t>评价等级判定</w:t>
      </w:r>
    </w:p>
    <w:p w14:paraId="1D3EE4C8">
      <w:pPr>
        <w:adjustRightInd/>
        <w:ind w:firstLine="480"/>
        <w:textAlignment w:val="auto"/>
        <w:rPr>
          <w:rFonts w:eastAsia="黑体"/>
          <w:szCs w:val="24"/>
        </w:rPr>
      </w:pPr>
      <w:r>
        <w:rPr>
          <w:szCs w:val="24"/>
        </w:rPr>
        <w:t>根据土壤环境影响评价项目类别、占地规模与敏感程度划分评价工作等级，详见表5.6-3。</w:t>
      </w:r>
    </w:p>
    <w:p w14:paraId="1D3EE4C9">
      <w:pPr>
        <w:pStyle w:val="64"/>
        <w:numPr>
          <w:ilvl w:val="2"/>
          <w:numId w:val="34"/>
        </w:numPr>
        <w:spacing w:before="0" w:beforeLines="0" w:line="520" w:lineRule="exact"/>
        <w:ind w:left="0" w:firstLine="480" w:firstLineChars="200"/>
      </w:pPr>
      <w:r>
        <w:t xml:space="preserve">    污染影响型项目土壤评价工作等级划分表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15"/>
        <w:gridCol w:w="679"/>
        <w:gridCol w:w="679"/>
        <w:gridCol w:w="682"/>
        <w:gridCol w:w="679"/>
        <w:gridCol w:w="679"/>
        <w:gridCol w:w="681"/>
        <w:gridCol w:w="679"/>
        <w:gridCol w:w="679"/>
        <w:gridCol w:w="677"/>
      </w:tblGrid>
      <w:tr w14:paraId="1D3EE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pct"/>
            <w:vMerge w:val="restart"/>
            <w:tcBorders>
              <w:tl2br w:val="nil"/>
              <w:tr2bl w:val="nil"/>
            </w:tcBorders>
            <w:vAlign w:val="center"/>
          </w:tcPr>
          <w:p w14:paraId="1D3EE4CA">
            <w:pPr>
              <w:spacing w:line="240" w:lineRule="auto"/>
              <w:ind w:firstLine="0" w:firstLineChars="0"/>
              <w:jc w:val="center"/>
              <w:rPr>
                <w:b/>
                <w:sz w:val="21"/>
                <w:szCs w:val="21"/>
                <w:highlight w:val="yellow"/>
              </w:rPr>
            </w:pPr>
            <w:r>
              <w:rPr>
                <w:sz w:val="21"/>
                <w:szCs w:val="21"/>
                <w:highlight w:val="yellow"/>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292735</wp:posOffset>
                      </wp:positionV>
                      <wp:extent cx="1498600" cy="292100"/>
                      <wp:effectExtent l="0" t="0" r="25400" b="31750"/>
                      <wp:wrapNone/>
                      <wp:docPr id="674149980" name="直接连接符 674149980"/>
                      <wp:cNvGraphicFramePr/>
                      <a:graphic xmlns:a="http://schemas.openxmlformats.org/drawingml/2006/main">
                        <a:graphicData uri="http://schemas.microsoft.com/office/word/2010/wordprocessingShape">
                          <wps:wsp>
                            <wps:cNvCnPr/>
                            <wps:spPr>
                              <a:xfrm flipH="1" flipV="1">
                                <a:off x="0" y="0"/>
                                <a:ext cx="1498600" cy="29210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6pt;margin-top:23.05pt;height:23pt;width:118pt;z-index:251659264;mso-width-relative:page;mso-height-relative:page;" filled="f" stroked="t" coordsize="21600,21600" o:gfxdata="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2aos2AAAAAkBAAAPAAAAAAAAAAEAIAAAACIAAABkcnMvZG93bnJldi54bWxQSwECFAAUAAAA&#10;CACHTuJAo4AEvu4BAADDAwAADgAAAAAAAAABACAAAAAnAQAAZHJzL2Uyb0RvYy54bWxQSwUGAAAA&#10;AAYABgBZAQAAhwUAAAAA&#10;">
                      <v:fill on="f" focussize="0,0"/>
                      <v:stroke weight="0.5pt" color="#000000 [3213]" joinstyle="round"/>
                      <v:imagedata o:title=""/>
                      <o:lock v:ext="edit" aspectratio="f"/>
                    </v:line>
                  </w:pict>
                </mc:Fallback>
              </mc:AlternateContent>
            </w:r>
            <w:r>
              <w:rPr>
                <w:sz w:val="21"/>
                <w:szCs w:val="21"/>
                <w:highlight w:val="yellow"/>
              </w:rPr>
              <mc:AlternateContent>
                <mc:Choice Requires="wps">
                  <w:drawing>
                    <wp:anchor distT="0" distB="0" distL="114300" distR="114300" simplePos="0" relativeHeight="251659264" behindDoc="0" locked="0" layoutInCell="1" allowOverlap="1">
                      <wp:simplePos x="0" y="0"/>
                      <wp:positionH relativeFrom="column">
                        <wp:posOffset>821055</wp:posOffset>
                      </wp:positionH>
                      <wp:positionV relativeFrom="paragraph">
                        <wp:posOffset>-11430</wp:posOffset>
                      </wp:positionV>
                      <wp:extent cx="742950" cy="2597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4295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EF5C8">
                                  <w:pPr>
                                    <w:spacing w:line="240" w:lineRule="auto"/>
                                    <w:ind w:firstLine="0" w:firstLineChars="0"/>
                                    <w:rPr>
                                      <w:b/>
                                      <w:bCs/>
                                      <w:sz w:val="21"/>
                                      <w:szCs w:val="21"/>
                                    </w:rPr>
                                  </w:pPr>
                                  <w:r>
                                    <w:rPr>
                                      <w:rFonts w:hint="eastAsia"/>
                                      <w:b/>
                                      <w:bCs/>
                                      <w:sz w:val="21"/>
                                      <w:szCs w:val="21"/>
                                    </w:rPr>
                                    <w:t>占地规模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65pt;margin-top:-0.9pt;height:20.45pt;width:58.5pt;z-index:251659264;mso-width-relative:page;mso-height-relative:page;" filled="f" stroked="f" coordsize="21600,21600" o:gfxdata="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IjwRtkAAAAJAQAADwAAAAAAAAABACAAAAAiAAAAZHJzL2Rv&#10;d25yZXYueG1sUEsBAhQAFAAAAAgAh07iQH5SMoc5AgAAZQQAAA4AAAAAAAAAAQAgAAAAKAEAAGRy&#10;cy9lMm9Eb2MueG1sUEsFBgAAAAAGAAYAWQEAANMFAAAAAA==&#10;">
                      <v:fill on="f" focussize="0,0"/>
                      <v:stroke on="f" weight="0.5pt"/>
                      <v:imagedata o:title=""/>
                      <o:lock v:ext="edit" aspectratio="f"/>
                      <v:textbox>
                        <w:txbxContent>
                          <w:p w14:paraId="1D3EF5C8">
                            <w:pPr>
                              <w:spacing w:line="240" w:lineRule="auto"/>
                              <w:ind w:firstLine="0" w:firstLineChars="0"/>
                              <w:rPr>
                                <w:b/>
                                <w:bCs/>
                                <w:sz w:val="21"/>
                                <w:szCs w:val="21"/>
                              </w:rPr>
                            </w:pPr>
                            <w:r>
                              <w:rPr>
                                <w:rFonts w:hint="eastAsia"/>
                                <w:b/>
                                <w:bCs/>
                                <w:sz w:val="21"/>
                                <w:szCs w:val="21"/>
                              </w:rPr>
                              <w:t>占地规模</w:t>
                            </w:r>
                          </w:p>
                        </w:txbxContent>
                      </v:textbox>
                    </v:shape>
                  </w:pict>
                </mc:Fallback>
              </mc:AlternateContent>
            </w:r>
            <w:r>
              <w:rPr>
                <w:sz w:val="21"/>
                <w:szCs w:val="21"/>
                <w:highlight w:val="yellow"/>
              </w:rPr>
              <mc:AlternateContent>
                <mc:Choice Requires="wps">
                  <w:drawing>
                    <wp:anchor distT="0" distB="0" distL="114300" distR="114300" simplePos="0" relativeHeight="251659264" behindDoc="0" locked="0" layoutInCell="1" allowOverlap="1">
                      <wp:simplePos x="0" y="0"/>
                      <wp:positionH relativeFrom="column">
                        <wp:posOffset>-131445</wp:posOffset>
                      </wp:positionH>
                      <wp:positionV relativeFrom="paragraph">
                        <wp:posOffset>26670</wp:posOffset>
                      </wp:positionV>
                      <wp:extent cx="1027430" cy="2597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02743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EF5C9">
                                  <w:pPr>
                                    <w:spacing w:line="240" w:lineRule="auto"/>
                                    <w:ind w:firstLine="0" w:firstLineChars="0"/>
                                    <w:rPr>
                                      <w:b/>
                                      <w:bCs/>
                                      <w:sz w:val="21"/>
                                      <w:szCs w:val="21"/>
                                    </w:rPr>
                                  </w:pPr>
                                  <w:r>
                                    <w:rPr>
                                      <w:rFonts w:hint="eastAsia"/>
                                      <w:b/>
                                      <w:bCs/>
                                      <w:sz w:val="21"/>
                                      <w:szCs w:val="21"/>
                                    </w:rPr>
                                    <w:t>评价工作等级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pt;margin-top:2.1pt;height:20.45pt;width:80.9pt;z-index:251659264;mso-width-relative:page;mso-height-relative:page;" filled="f" stroked="f" coordsize="21600,21600" o:gfxdata="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KswZJ2QAAAAgBAAAPAAAAAAAAAAEAIAAAACIAAABkcnMv&#10;ZG93bnJldi54bWxQSwECFAAUAAAACACHTuJAuNCLbjsCAABmBAAADgAAAAAAAAABACAAAAAoAQAA&#10;ZHJzL2Uyb0RvYy54bWxQSwUGAAAAAAYABgBZAQAA1QUAAAAA&#10;">
                      <v:fill on="f" focussize="0,0"/>
                      <v:stroke on="f" weight="0.5pt"/>
                      <v:imagedata o:title=""/>
                      <o:lock v:ext="edit" aspectratio="f"/>
                      <v:textbox>
                        <w:txbxContent>
                          <w:p w14:paraId="1D3EF5C9">
                            <w:pPr>
                              <w:spacing w:line="240" w:lineRule="auto"/>
                              <w:ind w:firstLine="0" w:firstLineChars="0"/>
                              <w:rPr>
                                <w:b/>
                                <w:bCs/>
                                <w:sz w:val="21"/>
                                <w:szCs w:val="21"/>
                              </w:rPr>
                            </w:pPr>
                            <w:r>
                              <w:rPr>
                                <w:rFonts w:hint="eastAsia"/>
                                <w:b/>
                                <w:bCs/>
                                <w:sz w:val="21"/>
                                <w:szCs w:val="21"/>
                              </w:rPr>
                              <w:t>评价工作等级</w:t>
                            </w:r>
                          </w:p>
                        </w:txbxContent>
                      </v:textbox>
                    </v:shape>
                  </w:pict>
                </mc:Fallback>
              </mc:AlternateContent>
            </w:r>
            <w:r>
              <w:rPr>
                <w:sz w:val="21"/>
                <w:szCs w:val="21"/>
                <w:highlight w:val="yellow"/>
              </w:rPr>
              <mc:AlternateContent>
                <mc:Choice Requires="wps">
                  <w:drawing>
                    <wp:anchor distT="0" distB="0" distL="114300" distR="114300" simplePos="0" relativeHeight="251659264" behindDoc="0" locked="0" layoutInCell="1" allowOverlap="1">
                      <wp:simplePos x="0" y="0"/>
                      <wp:positionH relativeFrom="column">
                        <wp:posOffset>598805</wp:posOffset>
                      </wp:positionH>
                      <wp:positionV relativeFrom="paragraph">
                        <wp:posOffset>-5080</wp:posOffset>
                      </wp:positionV>
                      <wp:extent cx="869950" cy="589915"/>
                      <wp:effectExtent l="0" t="0" r="25400" b="19685"/>
                      <wp:wrapNone/>
                      <wp:docPr id="1" name="直接连接符 1"/>
                      <wp:cNvGraphicFramePr/>
                      <a:graphic xmlns:a="http://schemas.openxmlformats.org/drawingml/2006/main">
                        <a:graphicData uri="http://schemas.microsoft.com/office/word/2010/wordprocessingShape">
                          <wps:wsp>
                            <wps:cNvCnPr/>
                            <wps:spPr>
                              <a:xfrm flipH="1" flipV="1">
                                <a:off x="1716405" y="2255520"/>
                                <a:ext cx="869950" cy="58991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47.15pt;margin-top:-0.4pt;height:46.45pt;width:68.5pt;z-index:251659264;mso-width-relative:page;mso-height-relative:page;" filled="f" stroked="t" coordsize="21600,21600" o:gfxdata="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OF7RvUAAAABwEAAA8AAAAAAAAAAQAgAAAAIgAAAGRycy9kb3ducmV2LnhtbFBLAQIUABQAAAAI&#10;AIdO4kA9PSZJ8QEAAL4DAAAOAAAAAAAAAAEAIAAAACMBAABkcnMvZTJvRG9jLnhtbFBLBQYAAAAA&#10;BgAGAFkBAACGBQAAAAA=&#10;">
                      <v:fill on="f" focussize="0,0"/>
                      <v:stroke weight="0.5pt" color="#000000 [3213]" joinstyle="round"/>
                      <v:imagedata o:title=""/>
                      <o:lock v:ext="edit" aspectratio="f"/>
                    </v:line>
                  </w:pict>
                </mc:Fallback>
              </mc:AlternateContent>
            </w:r>
          </w:p>
        </w:tc>
        <w:tc>
          <w:tcPr>
            <w:tcW w:w="1196" w:type="pct"/>
            <w:gridSpan w:val="3"/>
            <w:tcBorders>
              <w:tl2br w:val="nil"/>
              <w:tr2bl w:val="nil"/>
            </w:tcBorders>
            <w:vAlign w:val="center"/>
          </w:tcPr>
          <w:p w14:paraId="1D3EE4CB">
            <w:pPr>
              <w:spacing w:line="240" w:lineRule="auto"/>
              <w:ind w:firstLine="0" w:firstLineChars="0"/>
              <w:jc w:val="center"/>
              <w:rPr>
                <w:b/>
                <w:sz w:val="21"/>
                <w:szCs w:val="21"/>
              </w:rPr>
            </w:pPr>
            <w:r>
              <w:rPr>
                <w:b/>
                <w:sz w:val="21"/>
                <w:szCs w:val="21"/>
              </w:rPr>
              <w:t>I类</w:t>
            </w:r>
          </w:p>
        </w:tc>
        <w:tc>
          <w:tcPr>
            <w:tcW w:w="1195" w:type="pct"/>
            <w:gridSpan w:val="3"/>
            <w:tcBorders>
              <w:tl2br w:val="nil"/>
              <w:tr2bl w:val="nil"/>
            </w:tcBorders>
            <w:vAlign w:val="center"/>
          </w:tcPr>
          <w:p w14:paraId="1D3EE4CC">
            <w:pPr>
              <w:spacing w:line="240" w:lineRule="auto"/>
              <w:ind w:firstLine="0" w:firstLineChars="0"/>
              <w:jc w:val="center"/>
              <w:rPr>
                <w:b/>
                <w:sz w:val="21"/>
                <w:szCs w:val="21"/>
              </w:rPr>
            </w:pPr>
            <w:r>
              <w:rPr>
                <w:b/>
                <w:sz w:val="21"/>
                <w:szCs w:val="21"/>
              </w:rPr>
              <w:t>II类</w:t>
            </w:r>
          </w:p>
        </w:tc>
        <w:tc>
          <w:tcPr>
            <w:tcW w:w="1193" w:type="pct"/>
            <w:gridSpan w:val="3"/>
            <w:tcBorders>
              <w:tl2br w:val="nil"/>
              <w:tr2bl w:val="nil"/>
            </w:tcBorders>
            <w:vAlign w:val="center"/>
          </w:tcPr>
          <w:p w14:paraId="1D3EE4CD">
            <w:pPr>
              <w:spacing w:line="240" w:lineRule="auto"/>
              <w:ind w:firstLine="0" w:firstLineChars="0"/>
              <w:jc w:val="center"/>
              <w:rPr>
                <w:b/>
                <w:sz w:val="21"/>
                <w:szCs w:val="21"/>
              </w:rPr>
            </w:pPr>
            <w:r>
              <w:rPr>
                <w:b/>
                <w:sz w:val="21"/>
                <w:szCs w:val="21"/>
              </w:rPr>
              <w:t>III类</w:t>
            </w:r>
          </w:p>
        </w:tc>
      </w:tr>
      <w:tr w14:paraId="1D3EE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l2br w:val="nil"/>
              <w:tr2bl w:val="nil"/>
            </w:tcBorders>
            <w:vAlign w:val="center"/>
          </w:tcPr>
          <w:p w14:paraId="1D3EE4CF">
            <w:pPr>
              <w:widowControl/>
              <w:spacing w:line="240" w:lineRule="auto"/>
              <w:ind w:firstLine="0" w:firstLineChars="0"/>
              <w:jc w:val="center"/>
              <w:rPr>
                <w:b/>
                <w:sz w:val="21"/>
                <w:szCs w:val="21"/>
                <w:highlight w:val="yellow"/>
              </w:rPr>
            </w:pPr>
          </w:p>
        </w:tc>
        <w:tc>
          <w:tcPr>
            <w:tcW w:w="398" w:type="pct"/>
            <w:tcBorders>
              <w:tl2br w:val="nil"/>
              <w:tr2bl w:val="nil"/>
            </w:tcBorders>
            <w:vAlign w:val="center"/>
          </w:tcPr>
          <w:p w14:paraId="1D3EE4D0">
            <w:pPr>
              <w:spacing w:line="240" w:lineRule="auto"/>
              <w:ind w:firstLine="0" w:firstLineChars="0"/>
              <w:jc w:val="center"/>
              <w:rPr>
                <w:b/>
                <w:sz w:val="21"/>
                <w:szCs w:val="21"/>
              </w:rPr>
            </w:pPr>
            <w:r>
              <w:rPr>
                <w:b/>
                <w:sz w:val="21"/>
                <w:szCs w:val="21"/>
              </w:rPr>
              <w:t>大</w:t>
            </w:r>
          </w:p>
        </w:tc>
        <w:tc>
          <w:tcPr>
            <w:tcW w:w="398" w:type="pct"/>
            <w:tcBorders>
              <w:tl2br w:val="nil"/>
              <w:tr2bl w:val="nil"/>
            </w:tcBorders>
            <w:vAlign w:val="center"/>
          </w:tcPr>
          <w:p w14:paraId="1D3EE4D1">
            <w:pPr>
              <w:spacing w:line="240" w:lineRule="auto"/>
              <w:ind w:firstLine="0" w:firstLineChars="0"/>
              <w:jc w:val="center"/>
              <w:rPr>
                <w:b/>
                <w:sz w:val="21"/>
                <w:szCs w:val="21"/>
              </w:rPr>
            </w:pPr>
            <w:r>
              <w:rPr>
                <w:b/>
                <w:sz w:val="21"/>
                <w:szCs w:val="21"/>
              </w:rPr>
              <w:t>中</w:t>
            </w:r>
          </w:p>
        </w:tc>
        <w:tc>
          <w:tcPr>
            <w:tcW w:w="400" w:type="pct"/>
            <w:tcBorders>
              <w:tl2br w:val="nil"/>
              <w:tr2bl w:val="nil"/>
            </w:tcBorders>
            <w:vAlign w:val="center"/>
          </w:tcPr>
          <w:p w14:paraId="1D3EE4D2">
            <w:pPr>
              <w:spacing w:line="240" w:lineRule="auto"/>
              <w:ind w:firstLine="0" w:firstLineChars="0"/>
              <w:jc w:val="center"/>
              <w:rPr>
                <w:b/>
                <w:sz w:val="21"/>
                <w:szCs w:val="21"/>
              </w:rPr>
            </w:pPr>
            <w:r>
              <w:rPr>
                <w:b/>
                <w:sz w:val="21"/>
                <w:szCs w:val="21"/>
              </w:rPr>
              <w:t>小</w:t>
            </w:r>
          </w:p>
        </w:tc>
        <w:tc>
          <w:tcPr>
            <w:tcW w:w="398" w:type="pct"/>
            <w:tcBorders>
              <w:tl2br w:val="nil"/>
              <w:tr2bl w:val="nil"/>
            </w:tcBorders>
            <w:vAlign w:val="center"/>
          </w:tcPr>
          <w:p w14:paraId="1D3EE4D3">
            <w:pPr>
              <w:spacing w:line="240" w:lineRule="auto"/>
              <w:ind w:firstLine="0" w:firstLineChars="0"/>
              <w:jc w:val="center"/>
              <w:rPr>
                <w:b/>
                <w:sz w:val="21"/>
                <w:szCs w:val="21"/>
              </w:rPr>
            </w:pPr>
            <w:r>
              <w:rPr>
                <w:b/>
                <w:sz w:val="21"/>
                <w:szCs w:val="21"/>
              </w:rPr>
              <w:t>大</w:t>
            </w:r>
          </w:p>
        </w:tc>
        <w:tc>
          <w:tcPr>
            <w:tcW w:w="398" w:type="pct"/>
            <w:tcBorders>
              <w:tl2br w:val="nil"/>
              <w:tr2bl w:val="nil"/>
            </w:tcBorders>
            <w:vAlign w:val="center"/>
          </w:tcPr>
          <w:p w14:paraId="1D3EE4D4">
            <w:pPr>
              <w:spacing w:line="240" w:lineRule="auto"/>
              <w:ind w:firstLine="0" w:firstLineChars="0"/>
              <w:jc w:val="center"/>
              <w:rPr>
                <w:b/>
                <w:sz w:val="21"/>
                <w:szCs w:val="21"/>
              </w:rPr>
            </w:pPr>
            <w:r>
              <w:rPr>
                <w:b/>
                <w:sz w:val="21"/>
                <w:szCs w:val="21"/>
              </w:rPr>
              <w:t>中</w:t>
            </w:r>
          </w:p>
        </w:tc>
        <w:tc>
          <w:tcPr>
            <w:tcW w:w="399" w:type="pct"/>
            <w:tcBorders>
              <w:tl2br w:val="nil"/>
              <w:tr2bl w:val="nil"/>
            </w:tcBorders>
            <w:vAlign w:val="center"/>
          </w:tcPr>
          <w:p w14:paraId="1D3EE4D5">
            <w:pPr>
              <w:spacing w:line="240" w:lineRule="auto"/>
              <w:ind w:firstLine="0" w:firstLineChars="0"/>
              <w:jc w:val="center"/>
              <w:rPr>
                <w:b/>
                <w:sz w:val="21"/>
                <w:szCs w:val="21"/>
              </w:rPr>
            </w:pPr>
            <w:r>
              <w:rPr>
                <w:b/>
                <w:sz w:val="21"/>
                <w:szCs w:val="21"/>
              </w:rPr>
              <w:t>小</w:t>
            </w:r>
          </w:p>
        </w:tc>
        <w:tc>
          <w:tcPr>
            <w:tcW w:w="398" w:type="pct"/>
            <w:tcBorders>
              <w:tl2br w:val="nil"/>
              <w:tr2bl w:val="nil"/>
            </w:tcBorders>
            <w:vAlign w:val="center"/>
          </w:tcPr>
          <w:p w14:paraId="1D3EE4D6">
            <w:pPr>
              <w:spacing w:line="240" w:lineRule="auto"/>
              <w:ind w:firstLine="0" w:firstLineChars="0"/>
              <w:jc w:val="center"/>
              <w:rPr>
                <w:b/>
                <w:sz w:val="21"/>
                <w:szCs w:val="21"/>
              </w:rPr>
            </w:pPr>
            <w:r>
              <w:rPr>
                <w:b/>
                <w:sz w:val="21"/>
                <w:szCs w:val="21"/>
              </w:rPr>
              <w:t>大</w:t>
            </w:r>
          </w:p>
        </w:tc>
        <w:tc>
          <w:tcPr>
            <w:tcW w:w="398" w:type="pct"/>
            <w:tcBorders>
              <w:tl2br w:val="nil"/>
              <w:tr2bl w:val="nil"/>
            </w:tcBorders>
            <w:vAlign w:val="center"/>
          </w:tcPr>
          <w:p w14:paraId="1D3EE4D7">
            <w:pPr>
              <w:spacing w:line="240" w:lineRule="auto"/>
              <w:ind w:firstLine="0" w:firstLineChars="0"/>
              <w:jc w:val="center"/>
              <w:rPr>
                <w:b/>
                <w:sz w:val="21"/>
                <w:szCs w:val="21"/>
              </w:rPr>
            </w:pPr>
            <w:r>
              <w:rPr>
                <w:b/>
                <w:sz w:val="21"/>
                <w:szCs w:val="21"/>
              </w:rPr>
              <w:t>中</w:t>
            </w:r>
          </w:p>
        </w:tc>
        <w:tc>
          <w:tcPr>
            <w:tcW w:w="397" w:type="pct"/>
            <w:tcBorders>
              <w:tl2br w:val="nil"/>
              <w:tr2bl w:val="nil"/>
            </w:tcBorders>
            <w:vAlign w:val="center"/>
          </w:tcPr>
          <w:p w14:paraId="1D3EE4D8">
            <w:pPr>
              <w:spacing w:line="240" w:lineRule="auto"/>
              <w:ind w:firstLine="0" w:firstLineChars="0"/>
              <w:jc w:val="center"/>
              <w:rPr>
                <w:b/>
                <w:sz w:val="21"/>
                <w:szCs w:val="21"/>
              </w:rPr>
            </w:pPr>
            <w:r>
              <w:rPr>
                <w:b/>
                <w:sz w:val="21"/>
                <w:szCs w:val="21"/>
              </w:rPr>
              <w:t>小</w:t>
            </w:r>
          </w:p>
        </w:tc>
      </w:tr>
      <w:tr w14:paraId="1D3EE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pct"/>
            <w:tcBorders>
              <w:tl2br w:val="nil"/>
              <w:tr2bl w:val="nil"/>
            </w:tcBorders>
            <w:vAlign w:val="center"/>
          </w:tcPr>
          <w:p w14:paraId="1D3EE4DA">
            <w:pPr>
              <w:spacing w:line="240" w:lineRule="auto"/>
              <w:ind w:firstLine="0" w:firstLineChars="0"/>
              <w:jc w:val="center"/>
              <w:rPr>
                <w:bCs/>
                <w:sz w:val="21"/>
                <w:szCs w:val="21"/>
                <w:highlight w:val="yellow"/>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-86995</wp:posOffset>
                      </wp:positionH>
                      <wp:positionV relativeFrom="paragraph">
                        <wp:posOffset>-283845</wp:posOffset>
                      </wp:positionV>
                      <wp:extent cx="742950" cy="259715"/>
                      <wp:effectExtent l="0" t="0" r="0" b="0"/>
                      <wp:wrapNone/>
                      <wp:docPr id="284131392" name="文本框 284131392"/>
                      <wp:cNvGraphicFramePr/>
                      <a:graphic xmlns:a="http://schemas.openxmlformats.org/drawingml/2006/main">
                        <a:graphicData uri="http://schemas.microsoft.com/office/word/2010/wordprocessingShape">
                          <wps:wsp>
                            <wps:cNvSpPr txBox="1"/>
                            <wps:spPr>
                              <a:xfrm>
                                <a:off x="0" y="0"/>
                                <a:ext cx="74295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EF5CA">
                                  <w:pPr>
                                    <w:spacing w:line="240" w:lineRule="auto"/>
                                    <w:ind w:firstLine="0" w:firstLineChars="0"/>
                                    <w:rPr>
                                      <w:b/>
                                      <w:bCs/>
                                      <w:sz w:val="21"/>
                                      <w:szCs w:val="21"/>
                                    </w:rPr>
                                  </w:pPr>
                                  <w:r>
                                    <w:rPr>
                                      <w:rFonts w:hint="eastAsia"/>
                                      <w:b/>
                                      <w:bCs/>
                                      <w:sz w:val="21"/>
                                      <w:szCs w:val="21"/>
                                    </w:rPr>
                                    <w:t>敏感程度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22.35pt;height:20.45pt;width:58.5pt;z-index:251659264;mso-width-relative:page;mso-height-relative:page;" filled="f" stroked="f" coordsize="21600,21600" o:gfxdata="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LozZPaAAAACgEAAA8AAAAAAAAAAQAgAAAA&#10;IgAAAGRycy9kb3ducmV2LnhtbFBLAQIUABQAAAAIAIdO4kBQvClyQgIAAHUEAAAOAAAAAAAAAAEA&#10;IAAAACkBAABkcnMvZTJvRG9jLnhtbFBLBQYAAAAABgAGAFkBAADdBQAAAAA=&#10;">
                      <v:fill on="f" focussize="0,0"/>
                      <v:stroke on="f" weight="0.5pt"/>
                      <v:imagedata o:title=""/>
                      <o:lock v:ext="edit" aspectratio="f"/>
                      <v:textbox>
                        <w:txbxContent>
                          <w:p w14:paraId="1D3EF5CA">
                            <w:pPr>
                              <w:spacing w:line="240" w:lineRule="auto"/>
                              <w:ind w:firstLine="0" w:firstLineChars="0"/>
                              <w:rPr>
                                <w:b/>
                                <w:bCs/>
                                <w:sz w:val="21"/>
                                <w:szCs w:val="21"/>
                              </w:rPr>
                            </w:pPr>
                            <w:r>
                              <w:rPr>
                                <w:rFonts w:hint="eastAsia"/>
                                <w:b/>
                                <w:bCs/>
                                <w:sz w:val="21"/>
                                <w:szCs w:val="21"/>
                              </w:rPr>
                              <w:t>敏感程度</w:t>
                            </w:r>
                          </w:p>
                        </w:txbxContent>
                      </v:textbox>
                    </v:shape>
                  </w:pict>
                </mc:Fallback>
              </mc:AlternateContent>
            </w:r>
            <w:r>
              <w:rPr>
                <w:bCs/>
                <w:sz w:val="21"/>
                <w:szCs w:val="21"/>
              </w:rPr>
              <w:t>敏感</w:t>
            </w:r>
          </w:p>
        </w:tc>
        <w:tc>
          <w:tcPr>
            <w:tcW w:w="398" w:type="pct"/>
            <w:tcBorders>
              <w:tl2br w:val="nil"/>
              <w:tr2bl w:val="nil"/>
            </w:tcBorders>
            <w:vAlign w:val="center"/>
          </w:tcPr>
          <w:p w14:paraId="1D3EE4DB">
            <w:pPr>
              <w:spacing w:line="240" w:lineRule="auto"/>
              <w:ind w:firstLine="0" w:firstLineChars="0"/>
              <w:jc w:val="center"/>
              <w:rPr>
                <w:bCs/>
                <w:sz w:val="21"/>
                <w:szCs w:val="21"/>
              </w:rPr>
            </w:pPr>
            <w:r>
              <w:rPr>
                <w:bCs/>
                <w:sz w:val="21"/>
                <w:szCs w:val="21"/>
              </w:rPr>
              <w:t>一级</w:t>
            </w:r>
          </w:p>
        </w:tc>
        <w:tc>
          <w:tcPr>
            <w:tcW w:w="398" w:type="pct"/>
            <w:tcBorders>
              <w:tl2br w:val="nil"/>
              <w:tr2bl w:val="nil"/>
            </w:tcBorders>
            <w:vAlign w:val="center"/>
          </w:tcPr>
          <w:p w14:paraId="1D3EE4DC">
            <w:pPr>
              <w:spacing w:line="240" w:lineRule="auto"/>
              <w:ind w:firstLine="0" w:firstLineChars="0"/>
              <w:jc w:val="center"/>
              <w:rPr>
                <w:bCs/>
                <w:sz w:val="21"/>
                <w:szCs w:val="21"/>
              </w:rPr>
            </w:pPr>
            <w:r>
              <w:rPr>
                <w:bCs/>
                <w:sz w:val="21"/>
                <w:szCs w:val="21"/>
              </w:rPr>
              <w:t>一级</w:t>
            </w:r>
          </w:p>
        </w:tc>
        <w:tc>
          <w:tcPr>
            <w:tcW w:w="400" w:type="pct"/>
            <w:tcBorders>
              <w:tl2br w:val="nil"/>
              <w:tr2bl w:val="nil"/>
            </w:tcBorders>
            <w:vAlign w:val="center"/>
          </w:tcPr>
          <w:p w14:paraId="1D3EE4DD">
            <w:pPr>
              <w:spacing w:line="240" w:lineRule="auto"/>
              <w:ind w:firstLine="0" w:firstLineChars="0"/>
              <w:jc w:val="center"/>
              <w:rPr>
                <w:bCs/>
                <w:sz w:val="21"/>
                <w:szCs w:val="21"/>
              </w:rPr>
            </w:pPr>
            <w:r>
              <w:rPr>
                <w:bCs/>
                <w:sz w:val="21"/>
                <w:szCs w:val="21"/>
              </w:rPr>
              <w:t>一级</w:t>
            </w:r>
          </w:p>
        </w:tc>
        <w:tc>
          <w:tcPr>
            <w:tcW w:w="398" w:type="pct"/>
            <w:tcBorders>
              <w:tl2br w:val="nil"/>
              <w:tr2bl w:val="nil"/>
            </w:tcBorders>
            <w:vAlign w:val="center"/>
          </w:tcPr>
          <w:p w14:paraId="1D3EE4DE">
            <w:pPr>
              <w:spacing w:line="240" w:lineRule="auto"/>
              <w:ind w:firstLine="0" w:firstLineChars="0"/>
              <w:jc w:val="center"/>
              <w:rPr>
                <w:bCs/>
                <w:sz w:val="21"/>
                <w:szCs w:val="21"/>
              </w:rPr>
            </w:pPr>
            <w:r>
              <w:rPr>
                <w:bCs/>
                <w:sz w:val="21"/>
                <w:szCs w:val="21"/>
              </w:rPr>
              <w:t>二级</w:t>
            </w:r>
          </w:p>
        </w:tc>
        <w:tc>
          <w:tcPr>
            <w:tcW w:w="398" w:type="pct"/>
            <w:tcBorders>
              <w:tl2br w:val="nil"/>
              <w:tr2bl w:val="nil"/>
            </w:tcBorders>
            <w:vAlign w:val="center"/>
          </w:tcPr>
          <w:p w14:paraId="1D3EE4DF">
            <w:pPr>
              <w:spacing w:line="240" w:lineRule="auto"/>
              <w:ind w:firstLine="0" w:firstLineChars="0"/>
              <w:jc w:val="center"/>
              <w:rPr>
                <w:bCs/>
                <w:sz w:val="21"/>
                <w:szCs w:val="21"/>
              </w:rPr>
            </w:pPr>
            <w:r>
              <w:rPr>
                <w:bCs/>
                <w:sz w:val="21"/>
                <w:szCs w:val="21"/>
              </w:rPr>
              <w:t>二级</w:t>
            </w:r>
          </w:p>
        </w:tc>
        <w:tc>
          <w:tcPr>
            <w:tcW w:w="399" w:type="pct"/>
            <w:tcBorders>
              <w:tl2br w:val="nil"/>
              <w:tr2bl w:val="nil"/>
            </w:tcBorders>
            <w:vAlign w:val="center"/>
          </w:tcPr>
          <w:p w14:paraId="1D3EE4E0">
            <w:pPr>
              <w:spacing w:line="240" w:lineRule="auto"/>
              <w:ind w:firstLine="0" w:firstLineChars="0"/>
              <w:jc w:val="center"/>
              <w:rPr>
                <w:bCs/>
                <w:sz w:val="21"/>
                <w:szCs w:val="21"/>
              </w:rPr>
            </w:pPr>
            <w:r>
              <w:rPr>
                <w:bCs/>
                <w:sz w:val="21"/>
                <w:szCs w:val="21"/>
              </w:rPr>
              <w:t>二级</w:t>
            </w:r>
          </w:p>
        </w:tc>
        <w:tc>
          <w:tcPr>
            <w:tcW w:w="398" w:type="pct"/>
            <w:tcBorders>
              <w:tl2br w:val="nil"/>
              <w:tr2bl w:val="nil"/>
            </w:tcBorders>
            <w:vAlign w:val="center"/>
          </w:tcPr>
          <w:p w14:paraId="1D3EE4E1">
            <w:pPr>
              <w:spacing w:line="240" w:lineRule="auto"/>
              <w:ind w:firstLine="0" w:firstLineChars="0"/>
              <w:jc w:val="center"/>
              <w:rPr>
                <w:bCs/>
                <w:sz w:val="21"/>
                <w:szCs w:val="21"/>
              </w:rPr>
            </w:pPr>
            <w:r>
              <w:rPr>
                <w:bCs/>
                <w:sz w:val="21"/>
                <w:szCs w:val="21"/>
              </w:rPr>
              <w:t>三级</w:t>
            </w:r>
          </w:p>
        </w:tc>
        <w:tc>
          <w:tcPr>
            <w:tcW w:w="398" w:type="pct"/>
            <w:tcBorders>
              <w:tl2br w:val="nil"/>
              <w:tr2bl w:val="nil"/>
            </w:tcBorders>
            <w:vAlign w:val="center"/>
          </w:tcPr>
          <w:p w14:paraId="1D3EE4E2">
            <w:pPr>
              <w:spacing w:line="240" w:lineRule="auto"/>
              <w:ind w:firstLine="0" w:firstLineChars="0"/>
              <w:jc w:val="center"/>
              <w:rPr>
                <w:bCs/>
                <w:sz w:val="21"/>
                <w:szCs w:val="21"/>
              </w:rPr>
            </w:pPr>
            <w:r>
              <w:rPr>
                <w:bCs/>
                <w:sz w:val="21"/>
                <w:szCs w:val="21"/>
              </w:rPr>
              <w:t>三级</w:t>
            </w:r>
          </w:p>
        </w:tc>
        <w:tc>
          <w:tcPr>
            <w:tcW w:w="397" w:type="pct"/>
            <w:tcBorders>
              <w:tl2br w:val="nil"/>
              <w:tr2bl w:val="nil"/>
            </w:tcBorders>
            <w:vAlign w:val="center"/>
          </w:tcPr>
          <w:p w14:paraId="1D3EE4E3">
            <w:pPr>
              <w:spacing w:line="240" w:lineRule="auto"/>
              <w:ind w:firstLine="0" w:firstLineChars="0"/>
              <w:jc w:val="center"/>
              <w:rPr>
                <w:bCs/>
                <w:sz w:val="21"/>
                <w:szCs w:val="21"/>
              </w:rPr>
            </w:pPr>
            <w:r>
              <w:rPr>
                <w:bCs/>
                <w:sz w:val="21"/>
                <w:szCs w:val="21"/>
              </w:rPr>
              <w:t>三级</w:t>
            </w:r>
          </w:p>
        </w:tc>
      </w:tr>
      <w:tr w14:paraId="1D3EE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pct"/>
            <w:tcBorders>
              <w:tl2br w:val="nil"/>
              <w:tr2bl w:val="nil"/>
            </w:tcBorders>
            <w:vAlign w:val="center"/>
          </w:tcPr>
          <w:p w14:paraId="1D3EE4E5">
            <w:pPr>
              <w:spacing w:line="240" w:lineRule="auto"/>
              <w:ind w:firstLine="0" w:firstLineChars="0"/>
              <w:jc w:val="center"/>
              <w:rPr>
                <w:bCs/>
                <w:sz w:val="21"/>
                <w:szCs w:val="21"/>
              </w:rPr>
            </w:pPr>
            <w:r>
              <w:rPr>
                <w:bCs/>
                <w:sz w:val="21"/>
                <w:szCs w:val="21"/>
              </w:rPr>
              <w:t>较敏感</w:t>
            </w:r>
          </w:p>
        </w:tc>
        <w:tc>
          <w:tcPr>
            <w:tcW w:w="398" w:type="pct"/>
            <w:tcBorders>
              <w:tl2br w:val="nil"/>
              <w:tr2bl w:val="nil"/>
            </w:tcBorders>
            <w:vAlign w:val="center"/>
          </w:tcPr>
          <w:p w14:paraId="1D3EE4E6">
            <w:pPr>
              <w:spacing w:line="240" w:lineRule="auto"/>
              <w:ind w:firstLine="0" w:firstLineChars="0"/>
              <w:jc w:val="center"/>
              <w:rPr>
                <w:bCs/>
                <w:sz w:val="21"/>
                <w:szCs w:val="21"/>
              </w:rPr>
            </w:pPr>
            <w:r>
              <w:rPr>
                <w:bCs/>
                <w:sz w:val="21"/>
                <w:szCs w:val="21"/>
              </w:rPr>
              <w:t>一级</w:t>
            </w:r>
          </w:p>
        </w:tc>
        <w:tc>
          <w:tcPr>
            <w:tcW w:w="398" w:type="pct"/>
            <w:tcBorders>
              <w:tl2br w:val="nil"/>
              <w:tr2bl w:val="nil"/>
            </w:tcBorders>
            <w:vAlign w:val="center"/>
          </w:tcPr>
          <w:p w14:paraId="1D3EE4E7">
            <w:pPr>
              <w:spacing w:line="240" w:lineRule="auto"/>
              <w:ind w:firstLine="0" w:firstLineChars="0"/>
              <w:jc w:val="center"/>
              <w:rPr>
                <w:bCs/>
                <w:sz w:val="21"/>
                <w:szCs w:val="21"/>
              </w:rPr>
            </w:pPr>
            <w:r>
              <w:rPr>
                <w:bCs/>
                <w:sz w:val="21"/>
                <w:szCs w:val="21"/>
              </w:rPr>
              <w:t>一级</w:t>
            </w:r>
          </w:p>
        </w:tc>
        <w:tc>
          <w:tcPr>
            <w:tcW w:w="400" w:type="pct"/>
            <w:tcBorders>
              <w:tl2br w:val="nil"/>
              <w:tr2bl w:val="nil"/>
            </w:tcBorders>
            <w:vAlign w:val="center"/>
          </w:tcPr>
          <w:p w14:paraId="1D3EE4E8">
            <w:pPr>
              <w:spacing w:line="240" w:lineRule="auto"/>
              <w:ind w:firstLine="0" w:firstLineChars="0"/>
              <w:jc w:val="center"/>
              <w:rPr>
                <w:bCs/>
                <w:sz w:val="21"/>
                <w:szCs w:val="21"/>
              </w:rPr>
            </w:pPr>
            <w:r>
              <w:rPr>
                <w:bCs/>
                <w:sz w:val="21"/>
                <w:szCs w:val="21"/>
              </w:rPr>
              <w:t>二级</w:t>
            </w:r>
          </w:p>
        </w:tc>
        <w:tc>
          <w:tcPr>
            <w:tcW w:w="398" w:type="pct"/>
            <w:tcBorders>
              <w:tl2br w:val="nil"/>
              <w:tr2bl w:val="nil"/>
            </w:tcBorders>
            <w:vAlign w:val="center"/>
          </w:tcPr>
          <w:p w14:paraId="1D3EE4E9">
            <w:pPr>
              <w:spacing w:line="240" w:lineRule="auto"/>
              <w:ind w:firstLine="0" w:firstLineChars="0"/>
              <w:jc w:val="center"/>
              <w:rPr>
                <w:bCs/>
                <w:sz w:val="21"/>
                <w:szCs w:val="21"/>
              </w:rPr>
            </w:pPr>
            <w:r>
              <w:rPr>
                <w:bCs/>
                <w:sz w:val="21"/>
                <w:szCs w:val="21"/>
              </w:rPr>
              <w:t>二级</w:t>
            </w:r>
          </w:p>
        </w:tc>
        <w:tc>
          <w:tcPr>
            <w:tcW w:w="398" w:type="pct"/>
            <w:tcBorders>
              <w:tl2br w:val="nil"/>
              <w:tr2bl w:val="nil"/>
            </w:tcBorders>
            <w:vAlign w:val="center"/>
          </w:tcPr>
          <w:p w14:paraId="1D3EE4EA">
            <w:pPr>
              <w:spacing w:line="240" w:lineRule="auto"/>
              <w:ind w:firstLine="0" w:firstLineChars="0"/>
              <w:jc w:val="center"/>
              <w:rPr>
                <w:bCs/>
                <w:sz w:val="21"/>
                <w:szCs w:val="21"/>
              </w:rPr>
            </w:pPr>
            <w:r>
              <w:rPr>
                <w:bCs/>
                <w:sz w:val="21"/>
                <w:szCs w:val="21"/>
              </w:rPr>
              <w:t>二级</w:t>
            </w:r>
          </w:p>
        </w:tc>
        <w:tc>
          <w:tcPr>
            <w:tcW w:w="399" w:type="pct"/>
            <w:tcBorders>
              <w:tl2br w:val="nil"/>
              <w:tr2bl w:val="nil"/>
            </w:tcBorders>
            <w:vAlign w:val="center"/>
          </w:tcPr>
          <w:p w14:paraId="1D3EE4EB">
            <w:pPr>
              <w:spacing w:line="240" w:lineRule="auto"/>
              <w:ind w:firstLine="0" w:firstLineChars="0"/>
              <w:jc w:val="center"/>
              <w:rPr>
                <w:bCs/>
                <w:sz w:val="21"/>
                <w:szCs w:val="21"/>
              </w:rPr>
            </w:pPr>
            <w:r>
              <w:rPr>
                <w:bCs/>
                <w:sz w:val="21"/>
                <w:szCs w:val="21"/>
              </w:rPr>
              <w:t>三级</w:t>
            </w:r>
          </w:p>
        </w:tc>
        <w:tc>
          <w:tcPr>
            <w:tcW w:w="398" w:type="pct"/>
            <w:tcBorders>
              <w:tl2br w:val="nil"/>
              <w:tr2bl w:val="nil"/>
            </w:tcBorders>
            <w:vAlign w:val="center"/>
          </w:tcPr>
          <w:p w14:paraId="1D3EE4EC">
            <w:pPr>
              <w:spacing w:line="240" w:lineRule="auto"/>
              <w:ind w:firstLine="0" w:firstLineChars="0"/>
              <w:jc w:val="center"/>
              <w:rPr>
                <w:bCs/>
                <w:sz w:val="21"/>
                <w:szCs w:val="21"/>
              </w:rPr>
            </w:pPr>
            <w:r>
              <w:rPr>
                <w:bCs/>
                <w:sz w:val="21"/>
                <w:szCs w:val="21"/>
              </w:rPr>
              <w:t>三级</w:t>
            </w:r>
          </w:p>
        </w:tc>
        <w:tc>
          <w:tcPr>
            <w:tcW w:w="398" w:type="pct"/>
            <w:tcBorders>
              <w:tl2br w:val="nil"/>
              <w:tr2bl w:val="nil"/>
            </w:tcBorders>
            <w:vAlign w:val="center"/>
          </w:tcPr>
          <w:p w14:paraId="1D3EE4ED">
            <w:pPr>
              <w:spacing w:line="240" w:lineRule="auto"/>
              <w:ind w:firstLine="0" w:firstLineChars="0"/>
              <w:jc w:val="center"/>
              <w:rPr>
                <w:bCs/>
                <w:sz w:val="21"/>
                <w:szCs w:val="21"/>
              </w:rPr>
            </w:pPr>
            <w:r>
              <w:rPr>
                <w:bCs/>
                <w:sz w:val="21"/>
                <w:szCs w:val="21"/>
              </w:rPr>
              <w:t>三级</w:t>
            </w:r>
          </w:p>
        </w:tc>
        <w:tc>
          <w:tcPr>
            <w:tcW w:w="397" w:type="pct"/>
            <w:tcBorders>
              <w:tl2br w:val="nil"/>
              <w:tr2bl w:val="nil"/>
            </w:tcBorders>
            <w:vAlign w:val="center"/>
          </w:tcPr>
          <w:p w14:paraId="1D3EE4EE">
            <w:pPr>
              <w:spacing w:line="240" w:lineRule="auto"/>
              <w:ind w:firstLine="0" w:firstLineChars="0"/>
              <w:jc w:val="center"/>
              <w:rPr>
                <w:bCs/>
                <w:sz w:val="21"/>
                <w:szCs w:val="21"/>
              </w:rPr>
            </w:pPr>
            <w:r>
              <w:rPr>
                <w:sz w:val="21"/>
                <w:szCs w:val="21"/>
              </w:rPr>
              <w:t>-</w:t>
            </w:r>
          </w:p>
        </w:tc>
      </w:tr>
      <w:tr w14:paraId="1D3EE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pct"/>
            <w:tcBorders>
              <w:tl2br w:val="nil"/>
              <w:tr2bl w:val="nil"/>
            </w:tcBorders>
            <w:vAlign w:val="center"/>
          </w:tcPr>
          <w:p w14:paraId="1D3EE4F0">
            <w:pPr>
              <w:spacing w:line="240" w:lineRule="auto"/>
              <w:ind w:firstLine="0" w:firstLineChars="0"/>
              <w:jc w:val="center"/>
              <w:rPr>
                <w:bCs/>
                <w:sz w:val="21"/>
                <w:szCs w:val="21"/>
              </w:rPr>
            </w:pPr>
            <w:r>
              <w:rPr>
                <w:bCs/>
                <w:sz w:val="21"/>
                <w:szCs w:val="21"/>
              </w:rPr>
              <w:t>不敏感</w:t>
            </w:r>
          </w:p>
        </w:tc>
        <w:tc>
          <w:tcPr>
            <w:tcW w:w="398" w:type="pct"/>
            <w:tcBorders>
              <w:tl2br w:val="nil"/>
              <w:tr2bl w:val="nil"/>
            </w:tcBorders>
            <w:vAlign w:val="center"/>
          </w:tcPr>
          <w:p w14:paraId="1D3EE4F1">
            <w:pPr>
              <w:spacing w:line="240" w:lineRule="auto"/>
              <w:ind w:firstLine="0" w:firstLineChars="0"/>
              <w:jc w:val="center"/>
              <w:rPr>
                <w:bCs/>
                <w:sz w:val="21"/>
                <w:szCs w:val="21"/>
              </w:rPr>
            </w:pPr>
            <w:r>
              <w:rPr>
                <w:bCs/>
                <w:sz w:val="21"/>
                <w:szCs w:val="21"/>
              </w:rPr>
              <w:t>一级</w:t>
            </w:r>
          </w:p>
        </w:tc>
        <w:tc>
          <w:tcPr>
            <w:tcW w:w="398" w:type="pct"/>
            <w:tcBorders>
              <w:tl2br w:val="nil"/>
              <w:tr2bl w:val="nil"/>
            </w:tcBorders>
            <w:vAlign w:val="center"/>
          </w:tcPr>
          <w:p w14:paraId="1D3EE4F2">
            <w:pPr>
              <w:spacing w:line="240" w:lineRule="auto"/>
              <w:ind w:firstLine="0" w:firstLineChars="0"/>
              <w:jc w:val="center"/>
              <w:rPr>
                <w:bCs/>
                <w:sz w:val="21"/>
                <w:szCs w:val="21"/>
              </w:rPr>
            </w:pPr>
            <w:r>
              <w:rPr>
                <w:bCs/>
                <w:sz w:val="21"/>
                <w:szCs w:val="21"/>
              </w:rPr>
              <w:t>二级</w:t>
            </w:r>
          </w:p>
        </w:tc>
        <w:tc>
          <w:tcPr>
            <w:tcW w:w="400" w:type="pct"/>
            <w:tcBorders>
              <w:tl2br w:val="nil"/>
              <w:tr2bl w:val="nil"/>
            </w:tcBorders>
            <w:shd w:val="clear" w:color="auto" w:fill="FADAB5" w:themeFill="accent2" w:themeFillTint="66"/>
            <w:vAlign w:val="center"/>
          </w:tcPr>
          <w:p w14:paraId="1D3EE4F3">
            <w:pPr>
              <w:spacing w:line="240" w:lineRule="auto"/>
              <w:ind w:firstLine="0" w:firstLineChars="0"/>
              <w:jc w:val="center"/>
              <w:rPr>
                <w:bCs/>
                <w:sz w:val="21"/>
                <w:szCs w:val="21"/>
              </w:rPr>
            </w:pPr>
            <w:r>
              <w:rPr>
                <w:bCs/>
                <w:sz w:val="21"/>
                <w:szCs w:val="21"/>
              </w:rPr>
              <w:t>二级</w:t>
            </w:r>
          </w:p>
        </w:tc>
        <w:tc>
          <w:tcPr>
            <w:tcW w:w="398" w:type="pct"/>
            <w:tcBorders>
              <w:tl2br w:val="nil"/>
              <w:tr2bl w:val="nil"/>
            </w:tcBorders>
            <w:vAlign w:val="center"/>
          </w:tcPr>
          <w:p w14:paraId="1D3EE4F4">
            <w:pPr>
              <w:spacing w:line="240" w:lineRule="auto"/>
              <w:ind w:firstLine="0" w:firstLineChars="0"/>
              <w:jc w:val="center"/>
              <w:rPr>
                <w:bCs/>
                <w:sz w:val="21"/>
                <w:szCs w:val="21"/>
              </w:rPr>
            </w:pPr>
            <w:r>
              <w:rPr>
                <w:bCs/>
                <w:sz w:val="21"/>
                <w:szCs w:val="21"/>
              </w:rPr>
              <w:t>二级</w:t>
            </w:r>
          </w:p>
        </w:tc>
        <w:tc>
          <w:tcPr>
            <w:tcW w:w="398" w:type="pct"/>
            <w:tcBorders>
              <w:tl2br w:val="nil"/>
              <w:tr2bl w:val="nil"/>
            </w:tcBorders>
            <w:vAlign w:val="center"/>
          </w:tcPr>
          <w:p w14:paraId="1D3EE4F5">
            <w:pPr>
              <w:spacing w:line="240" w:lineRule="auto"/>
              <w:ind w:firstLine="0" w:firstLineChars="0"/>
              <w:jc w:val="center"/>
              <w:rPr>
                <w:b/>
                <w:sz w:val="21"/>
                <w:szCs w:val="21"/>
              </w:rPr>
            </w:pPr>
            <w:r>
              <w:rPr>
                <w:bCs/>
                <w:sz w:val="21"/>
                <w:szCs w:val="21"/>
              </w:rPr>
              <w:t>三级</w:t>
            </w:r>
          </w:p>
        </w:tc>
        <w:tc>
          <w:tcPr>
            <w:tcW w:w="399" w:type="pct"/>
            <w:tcBorders>
              <w:tl2br w:val="nil"/>
              <w:tr2bl w:val="nil"/>
            </w:tcBorders>
            <w:vAlign w:val="center"/>
          </w:tcPr>
          <w:p w14:paraId="1D3EE4F6">
            <w:pPr>
              <w:spacing w:line="240" w:lineRule="auto"/>
              <w:ind w:firstLine="0" w:firstLineChars="0"/>
              <w:jc w:val="center"/>
              <w:rPr>
                <w:bCs/>
                <w:sz w:val="21"/>
                <w:szCs w:val="21"/>
              </w:rPr>
            </w:pPr>
            <w:r>
              <w:rPr>
                <w:bCs/>
                <w:sz w:val="21"/>
                <w:szCs w:val="21"/>
              </w:rPr>
              <w:t>三级</w:t>
            </w:r>
          </w:p>
        </w:tc>
        <w:tc>
          <w:tcPr>
            <w:tcW w:w="398" w:type="pct"/>
            <w:tcBorders>
              <w:tl2br w:val="nil"/>
              <w:tr2bl w:val="nil"/>
            </w:tcBorders>
            <w:vAlign w:val="center"/>
          </w:tcPr>
          <w:p w14:paraId="1D3EE4F7">
            <w:pPr>
              <w:spacing w:line="240" w:lineRule="auto"/>
              <w:ind w:firstLine="0" w:firstLineChars="0"/>
              <w:jc w:val="center"/>
              <w:rPr>
                <w:bCs/>
                <w:sz w:val="21"/>
                <w:szCs w:val="21"/>
              </w:rPr>
            </w:pPr>
            <w:r>
              <w:rPr>
                <w:bCs/>
                <w:sz w:val="21"/>
                <w:szCs w:val="21"/>
              </w:rPr>
              <w:t>三级</w:t>
            </w:r>
          </w:p>
        </w:tc>
        <w:tc>
          <w:tcPr>
            <w:tcW w:w="398" w:type="pct"/>
            <w:tcBorders>
              <w:tl2br w:val="nil"/>
              <w:tr2bl w:val="nil"/>
            </w:tcBorders>
            <w:vAlign w:val="center"/>
          </w:tcPr>
          <w:p w14:paraId="1D3EE4F8">
            <w:pPr>
              <w:spacing w:line="240" w:lineRule="auto"/>
              <w:ind w:firstLine="0" w:firstLineChars="0"/>
              <w:jc w:val="center"/>
              <w:rPr>
                <w:bCs/>
                <w:sz w:val="21"/>
                <w:szCs w:val="21"/>
              </w:rPr>
            </w:pPr>
            <w:r>
              <w:rPr>
                <w:sz w:val="21"/>
                <w:szCs w:val="21"/>
              </w:rPr>
              <w:t>-</w:t>
            </w:r>
          </w:p>
        </w:tc>
        <w:tc>
          <w:tcPr>
            <w:tcW w:w="397" w:type="pct"/>
            <w:tcBorders>
              <w:tl2br w:val="nil"/>
              <w:tr2bl w:val="nil"/>
            </w:tcBorders>
            <w:vAlign w:val="center"/>
          </w:tcPr>
          <w:p w14:paraId="1D3EE4F9">
            <w:pPr>
              <w:spacing w:line="240" w:lineRule="auto"/>
              <w:ind w:firstLine="0" w:firstLineChars="0"/>
              <w:jc w:val="center"/>
              <w:rPr>
                <w:bCs/>
                <w:sz w:val="21"/>
                <w:szCs w:val="21"/>
              </w:rPr>
            </w:pPr>
            <w:r>
              <w:rPr>
                <w:sz w:val="21"/>
                <w:szCs w:val="21"/>
              </w:rPr>
              <w:t>-</w:t>
            </w:r>
          </w:p>
        </w:tc>
      </w:tr>
      <w:tr w14:paraId="1D3EE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0"/>
            <w:tcBorders>
              <w:tl2br w:val="nil"/>
              <w:tr2bl w:val="nil"/>
            </w:tcBorders>
            <w:vAlign w:val="center"/>
          </w:tcPr>
          <w:p w14:paraId="1D3EE4FB">
            <w:pPr>
              <w:spacing w:line="240" w:lineRule="auto"/>
              <w:ind w:firstLine="0" w:firstLineChars="0"/>
              <w:jc w:val="center"/>
              <w:rPr>
                <w:bCs/>
                <w:sz w:val="21"/>
                <w:szCs w:val="21"/>
                <w:highlight w:val="yellow"/>
              </w:rPr>
            </w:pPr>
            <w:r>
              <w:rPr>
                <w:bCs/>
                <w:sz w:val="21"/>
                <w:szCs w:val="21"/>
              </w:rPr>
              <w:t>注：“</w:t>
            </w:r>
            <w:r>
              <w:rPr>
                <w:sz w:val="21"/>
                <w:szCs w:val="21"/>
              </w:rPr>
              <w:t>-</w:t>
            </w:r>
            <w:r>
              <w:rPr>
                <w:bCs/>
                <w:sz w:val="21"/>
                <w:szCs w:val="21"/>
              </w:rPr>
              <w:t>”表示可不开展土壤环境影响评价工作。</w:t>
            </w:r>
          </w:p>
        </w:tc>
      </w:tr>
    </w:tbl>
    <w:p w14:paraId="19F26318">
      <w:pPr>
        <w:ind w:firstLine="480"/>
      </w:pPr>
      <w:r>
        <w:rPr>
          <w:rFonts w:eastAsiaTheme="minorEastAsia"/>
          <w:kern w:val="2"/>
          <w:szCs w:val="24"/>
        </w:rPr>
        <w:t>综上所述，本项目土壤环境评价等级为二级。</w:t>
      </w:r>
    </w:p>
    <w:p w14:paraId="1D3EE4FE">
      <w:pPr>
        <w:pStyle w:val="5"/>
        <w:spacing w:before="240" w:after="240"/>
      </w:pPr>
      <w:r>
        <w:t>现状调查范围及评价</w:t>
      </w:r>
    </w:p>
    <w:p w14:paraId="1D3EE4FF">
      <w:pPr>
        <w:pStyle w:val="6"/>
        <w:ind w:left="0" w:firstLine="482" w:firstLineChars="200"/>
        <w:rPr>
          <w:szCs w:val="24"/>
        </w:rPr>
      </w:pPr>
      <w:r>
        <w:rPr>
          <w:szCs w:val="24"/>
        </w:rPr>
        <w:t>调查评价范围确定</w:t>
      </w:r>
    </w:p>
    <w:p w14:paraId="1D3EE500">
      <w:pPr>
        <w:adjustRightInd/>
        <w:snapToGrid/>
        <w:ind w:firstLine="480"/>
        <w:textAlignment w:val="auto"/>
        <w:rPr>
          <w:szCs w:val="24"/>
        </w:rPr>
      </w:pPr>
      <w:r>
        <w:rPr>
          <w:szCs w:val="24"/>
        </w:rPr>
        <w:t>根据《环境影响评价技术导则 土壤环境（试行）》（HJ964-2018），土壤环境影响评价现状调查范围确定见下表：</w:t>
      </w:r>
    </w:p>
    <w:p w14:paraId="1D3EE501">
      <w:pPr>
        <w:pStyle w:val="64"/>
        <w:numPr>
          <w:ilvl w:val="2"/>
          <w:numId w:val="34"/>
        </w:numPr>
        <w:spacing w:before="0" w:beforeLines="0" w:line="520" w:lineRule="exact"/>
        <w:ind w:left="0" w:firstLine="480" w:firstLineChars="200"/>
      </w:pPr>
      <w:r>
        <w:t xml:space="preserve">          土壤环境影响评价调查范围</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564"/>
        <w:gridCol w:w="1646"/>
        <w:gridCol w:w="3591"/>
      </w:tblGrid>
      <w:tr w14:paraId="1D3EE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vMerge w:val="restart"/>
            <w:tcBorders>
              <w:tl2br w:val="nil"/>
              <w:tr2bl w:val="nil"/>
            </w:tcBorders>
            <w:shd w:val="clear" w:color="auto" w:fill="auto"/>
            <w:vAlign w:val="center"/>
          </w:tcPr>
          <w:p w14:paraId="1D3EE502">
            <w:pPr>
              <w:tabs>
                <w:tab w:val="left" w:pos="1719"/>
              </w:tabs>
              <w:spacing w:line="240" w:lineRule="auto"/>
              <w:ind w:firstLine="0" w:firstLineChars="0"/>
              <w:jc w:val="center"/>
              <w:rPr>
                <w:b/>
                <w:bCs/>
                <w:sz w:val="21"/>
                <w:szCs w:val="21"/>
              </w:rPr>
            </w:pPr>
            <w:r>
              <w:rPr>
                <w:b/>
                <w:bCs/>
                <w:sz w:val="21"/>
                <w:szCs w:val="21"/>
              </w:rPr>
              <w:t>评价工作等级</w:t>
            </w:r>
          </w:p>
        </w:tc>
        <w:tc>
          <w:tcPr>
            <w:tcW w:w="917" w:type="pct"/>
            <w:vMerge w:val="restart"/>
            <w:tcBorders>
              <w:tl2br w:val="nil"/>
              <w:tr2bl w:val="nil"/>
            </w:tcBorders>
            <w:shd w:val="clear" w:color="auto" w:fill="auto"/>
            <w:vAlign w:val="center"/>
          </w:tcPr>
          <w:p w14:paraId="1D3EE503">
            <w:pPr>
              <w:tabs>
                <w:tab w:val="left" w:pos="1719"/>
              </w:tabs>
              <w:spacing w:line="240" w:lineRule="auto"/>
              <w:ind w:firstLine="0" w:firstLineChars="0"/>
              <w:jc w:val="center"/>
              <w:rPr>
                <w:b/>
                <w:bCs/>
                <w:sz w:val="21"/>
                <w:szCs w:val="21"/>
              </w:rPr>
            </w:pPr>
            <w:r>
              <w:rPr>
                <w:b/>
                <w:bCs/>
                <w:sz w:val="21"/>
                <w:szCs w:val="21"/>
              </w:rPr>
              <w:t>影响类型</w:t>
            </w:r>
          </w:p>
        </w:tc>
        <w:tc>
          <w:tcPr>
            <w:tcW w:w="3070" w:type="pct"/>
            <w:gridSpan w:val="2"/>
            <w:tcBorders>
              <w:tl2br w:val="nil"/>
              <w:tr2bl w:val="nil"/>
            </w:tcBorders>
            <w:shd w:val="clear" w:color="auto" w:fill="auto"/>
            <w:vAlign w:val="center"/>
          </w:tcPr>
          <w:p w14:paraId="1D3EE504">
            <w:pPr>
              <w:tabs>
                <w:tab w:val="left" w:pos="1719"/>
              </w:tabs>
              <w:spacing w:line="240" w:lineRule="auto"/>
              <w:ind w:firstLine="0" w:firstLineChars="0"/>
              <w:jc w:val="center"/>
              <w:rPr>
                <w:b/>
                <w:bCs/>
                <w:sz w:val="21"/>
                <w:szCs w:val="21"/>
              </w:rPr>
            </w:pPr>
            <w:r>
              <w:rPr>
                <w:b/>
                <w:bCs/>
                <w:sz w:val="21"/>
                <w:szCs w:val="21"/>
              </w:rPr>
              <w:t>调查范围</w:t>
            </w:r>
            <w:r>
              <w:rPr>
                <w:b/>
                <w:bCs/>
                <w:sz w:val="21"/>
                <w:szCs w:val="21"/>
                <w:vertAlign w:val="superscript"/>
              </w:rPr>
              <w:t>a</w:t>
            </w:r>
          </w:p>
        </w:tc>
      </w:tr>
      <w:tr w14:paraId="1D3EE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l2br w:val="nil"/>
              <w:tr2bl w:val="nil"/>
            </w:tcBorders>
            <w:shd w:val="clear" w:color="auto" w:fill="auto"/>
            <w:vAlign w:val="center"/>
          </w:tcPr>
          <w:p w14:paraId="1D3EE506">
            <w:pPr>
              <w:spacing w:line="240" w:lineRule="auto"/>
              <w:ind w:firstLine="0" w:firstLineChars="0"/>
              <w:jc w:val="center"/>
              <w:rPr>
                <w:b/>
                <w:bCs/>
                <w:sz w:val="21"/>
                <w:szCs w:val="21"/>
              </w:rPr>
            </w:pPr>
          </w:p>
        </w:tc>
        <w:tc>
          <w:tcPr>
            <w:tcW w:w="0" w:type="auto"/>
            <w:vMerge w:val="continue"/>
            <w:tcBorders>
              <w:tl2br w:val="nil"/>
              <w:tr2bl w:val="nil"/>
            </w:tcBorders>
            <w:shd w:val="clear" w:color="auto" w:fill="auto"/>
            <w:vAlign w:val="center"/>
          </w:tcPr>
          <w:p w14:paraId="1D3EE507">
            <w:pPr>
              <w:spacing w:line="240" w:lineRule="auto"/>
              <w:ind w:firstLine="0" w:firstLineChars="0"/>
              <w:jc w:val="center"/>
              <w:rPr>
                <w:b/>
                <w:bCs/>
                <w:sz w:val="21"/>
                <w:szCs w:val="21"/>
              </w:rPr>
            </w:pPr>
          </w:p>
        </w:tc>
        <w:tc>
          <w:tcPr>
            <w:tcW w:w="965" w:type="pct"/>
            <w:tcBorders>
              <w:tl2br w:val="nil"/>
              <w:tr2bl w:val="nil"/>
            </w:tcBorders>
            <w:shd w:val="clear" w:color="auto" w:fill="auto"/>
            <w:vAlign w:val="center"/>
          </w:tcPr>
          <w:p w14:paraId="1D3EE508">
            <w:pPr>
              <w:tabs>
                <w:tab w:val="left" w:pos="1719"/>
              </w:tabs>
              <w:spacing w:line="240" w:lineRule="auto"/>
              <w:ind w:firstLine="0" w:firstLineChars="0"/>
              <w:jc w:val="center"/>
              <w:rPr>
                <w:b/>
                <w:bCs/>
                <w:sz w:val="21"/>
                <w:szCs w:val="21"/>
              </w:rPr>
            </w:pPr>
            <w:r>
              <w:rPr>
                <w:b/>
                <w:bCs/>
                <w:sz w:val="21"/>
                <w:szCs w:val="21"/>
              </w:rPr>
              <w:t>占地</w:t>
            </w:r>
            <w:r>
              <w:rPr>
                <w:b/>
                <w:bCs/>
                <w:sz w:val="21"/>
                <w:szCs w:val="21"/>
                <w:vertAlign w:val="superscript"/>
              </w:rPr>
              <w:t>b</w:t>
            </w:r>
            <w:r>
              <w:rPr>
                <w:b/>
                <w:bCs/>
                <w:sz w:val="21"/>
                <w:szCs w:val="21"/>
              </w:rPr>
              <w:t>范围内</w:t>
            </w:r>
          </w:p>
        </w:tc>
        <w:tc>
          <w:tcPr>
            <w:tcW w:w="2105" w:type="pct"/>
            <w:tcBorders>
              <w:tl2br w:val="nil"/>
              <w:tr2bl w:val="nil"/>
            </w:tcBorders>
            <w:shd w:val="clear" w:color="auto" w:fill="auto"/>
            <w:vAlign w:val="center"/>
          </w:tcPr>
          <w:p w14:paraId="1D3EE509">
            <w:pPr>
              <w:tabs>
                <w:tab w:val="left" w:pos="1719"/>
              </w:tabs>
              <w:spacing w:line="240" w:lineRule="auto"/>
              <w:ind w:firstLine="0" w:firstLineChars="0"/>
              <w:jc w:val="center"/>
              <w:rPr>
                <w:b/>
                <w:bCs/>
                <w:sz w:val="21"/>
                <w:szCs w:val="21"/>
              </w:rPr>
            </w:pPr>
            <w:r>
              <w:rPr>
                <w:b/>
                <w:bCs/>
                <w:sz w:val="21"/>
                <w:szCs w:val="21"/>
              </w:rPr>
              <w:t>占地范围外</w:t>
            </w:r>
          </w:p>
        </w:tc>
      </w:tr>
      <w:tr w14:paraId="1D3EE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vMerge w:val="restart"/>
            <w:tcBorders>
              <w:tl2br w:val="nil"/>
              <w:tr2bl w:val="nil"/>
            </w:tcBorders>
            <w:shd w:val="clear" w:color="auto" w:fill="auto"/>
            <w:vAlign w:val="center"/>
          </w:tcPr>
          <w:p w14:paraId="1D3EE50B">
            <w:pPr>
              <w:tabs>
                <w:tab w:val="left" w:pos="1719"/>
              </w:tabs>
              <w:spacing w:line="240" w:lineRule="auto"/>
              <w:ind w:firstLine="0" w:firstLineChars="0"/>
              <w:jc w:val="center"/>
              <w:rPr>
                <w:sz w:val="21"/>
                <w:szCs w:val="21"/>
              </w:rPr>
            </w:pPr>
            <w:r>
              <w:rPr>
                <w:sz w:val="21"/>
                <w:szCs w:val="21"/>
              </w:rPr>
              <w:t>一级</w:t>
            </w:r>
          </w:p>
        </w:tc>
        <w:tc>
          <w:tcPr>
            <w:tcW w:w="917" w:type="pct"/>
            <w:tcBorders>
              <w:tl2br w:val="nil"/>
              <w:tr2bl w:val="nil"/>
            </w:tcBorders>
            <w:shd w:val="clear" w:color="auto" w:fill="auto"/>
            <w:vAlign w:val="center"/>
          </w:tcPr>
          <w:p w14:paraId="1D3EE50C">
            <w:pPr>
              <w:tabs>
                <w:tab w:val="left" w:pos="1719"/>
              </w:tabs>
              <w:spacing w:line="240" w:lineRule="auto"/>
              <w:ind w:firstLine="0" w:firstLineChars="0"/>
              <w:jc w:val="center"/>
              <w:rPr>
                <w:sz w:val="21"/>
                <w:szCs w:val="21"/>
              </w:rPr>
            </w:pPr>
            <w:r>
              <w:rPr>
                <w:sz w:val="21"/>
                <w:szCs w:val="21"/>
              </w:rPr>
              <w:t>生态影响型</w:t>
            </w:r>
          </w:p>
        </w:tc>
        <w:tc>
          <w:tcPr>
            <w:tcW w:w="965" w:type="pct"/>
            <w:vMerge w:val="restart"/>
            <w:tcBorders>
              <w:tl2br w:val="nil"/>
              <w:tr2bl w:val="nil"/>
            </w:tcBorders>
            <w:shd w:val="clear" w:color="auto" w:fill="auto"/>
            <w:vAlign w:val="center"/>
          </w:tcPr>
          <w:p w14:paraId="1D3EE50D">
            <w:pPr>
              <w:tabs>
                <w:tab w:val="left" w:pos="1719"/>
              </w:tabs>
              <w:spacing w:line="240" w:lineRule="auto"/>
              <w:ind w:firstLine="0" w:firstLineChars="0"/>
              <w:jc w:val="center"/>
              <w:rPr>
                <w:sz w:val="21"/>
                <w:szCs w:val="21"/>
              </w:rPr>
            </w:pPr>
            <w:r>
              <w:rPr>
                <w:sz w:val="21"/>
                <w:szCs w:val="21"/>
              </w:rPr>
              <w:t>全部</w:t>
            </w:r>
          </w:p>
        </w:tc>
        <w:tc>
          <w:tcPr>
            <w:tcW w:w="2105" w:type="pct"/>
            <w:tcBorders>
              <w:tl2br w:val="nil"/>
              <w:tr2bl w:val="nil"/>
            </w:tcBorders>
            <w:shd w:val="clear" w:color="auto" w:fill="auto"/>
            <w:vAlign w:val="center"/>
          </w:tcPr>
          <w:p w14:paraId="1D3EE50E">
            <w:pPr>
              <w:tabs>
                <w:tab w:val="left" w:pos="1719"/>
              </w:tabs>
              <w:spacing w:line="240" w:lineRule="auto"/>
              <w:ind w:firstLine="0" w:firstLineChars="0"/>
              <w:jc w:val="center"/>
              <w:rPr>
                <w:sz w:val="21"/>
                <w:szCs w:val="21"/>
              </w:rPr>
            </w:pPr>
            <w:r>
              <w:rPr>
                <w:sz w:val="21"/>
                <w:szCs w:val="21"/>
              </w:rPr>
              <w:t>5km范围内</w:t>
            </w:r>
          </w:p>
        </w:tc>
      </w:tr>
      <w:tr w14:paraId="1D3EE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l2br w:val="nil"/>
              <w:tr2bl w:val="nil"/>
            </w:tcBorders>
            <w:shd w:val="clear" w:color="auto" w:fill="auto"/>
            <w:vAlign w:val="center"/>
          </w:tcPr>
          <w:p w14:paraId="1D3EE510">
            <w:pPr>
              <w:spacing w:line="240" w:lineRule="auto"/>
              <w:ind w:firstLine="0" w:firstLineChars="0"/>
              <w:jc w:val="center"/>
              <w:rPr>
                <w:sz w:val="21"/>
                <w:szCs w:val="21"/>
              </w:rPr>
            </w:pPr>
          </w:p>
        </w:tc>
        <w:tc>
          <w:tcPr>
            <w:tcW w:w="917" w:type="pct"/>
            <w:tcBorders>
              <w:tl2br w:val="nil"/>
              <w:tr2bl w:val="nil"/>
            </w:tcBorders>
            <w:shd w:val="clear" w:color="auto" w:fill="auto"/>
            <w:vAlign w:val="center"/>
          </w:tcPr>
          <w:p w14:paraId="1D3EE511">
            <w:pPr>
              <w:tabs>
                <w:tab w:val="left" w:pos="1719"/>
              </w:tabs>
              <w:spacing w:line="240" w:lineRule="auto"/>
              <w:ind w:firstLine="0" w:firstLineChars="0"/>
              <w:jc w:val="center"/>
              <w:rPr>
                <w:sz w:val="21"/>
                <w:szCs w:val="21"/>
              </w:rPr>
            </w:pPr>
            <w:r>
              <w:rPr>
                <w:sz w:val="21"/>
                <w:szCs w:val="21"/>
              </w:rPr>
              <w:t>污染影响型</w:t>
            </w:r>
          </w:p>
        </w:tc>
        <w:tc>
          <w:tcPr>
            <w:tcW w:w="0" w:type="auto"/>
            <w:vMerge w:val="continue"/>
            <w:tcBorders>
              <w:tl2br w:val="nil"/>
              <w:tr2bl w:val="nil"/>
            </w:tcBorders>
            <w:shd w:val="clear" w:color="auto" w:fill="auto"/>
            <w:vAlign w:val="center"/>
          </w:tcPr>
          <w:p w14:paraId="1D3EE512">
            <w:pPr>
              <w:spacing w:line="240" w:lineRule="auto"/>
              <w:ind w:firstLine="0" w:firstLineChars="0"/>
              <w:jc w:val="center"/>
              <w:rPr>
                <w:sz w:val="21"/>
                <w:szCs w:val="21"/>
              </w:rPr>
            </w:pPr>
          </w:p>
        </w:tc>
        <w:tc>
          <w:tcPr>
            <w:tcW w:w="2105" w:type="pct"/>
            <w:tcBorders>
              <w:tl2br w:val="nil"/>
              <w:tr2bl w:val="nil"/>
            </w:tcBorders>
            <w:shd w:val="clear" w:color="auto" w:fill="auto"/>
            <w:vAlign w:val="center"/>
          </w:tcPr>
          <w:p w14:paraId="1D3EE513">
            <w:pPr>
              <w:tabs>
                <w:tab w:val="left" w:pos="1719"/>
              </w:tabs>
              <w:spacing w:line="240" w:lineRule="auto"/>
              <w:ind w:firstLine="0" w:firstLineChars="0"/>
              <w:jc w:val="center"/>
              <w:rPr>
                <w:sz w:val="21"/>
                <w:szCs w:val="21"/>
              </w:rPr>
            </w:pPr>
            <w:r>
              <w:rPr>
                <w:sz w:val="21"/>
                <w:szCs w:val="21"/>
              </w:rPr>
              <w:t>1km范围内</w:t>
            </w:r>
          </w:p>
        </w:tc>
      </w:tr>
      <w:tr w14:paraId="1D3EE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vMerge w:val="restart"/>
            <w:tcBorders>
              <w:tl2br w:val="nil"/>
              <w:tr2bl w:val="nil"/>
            </w:tcBorders>
            <w:shd w:val="clear" w:color="auto" w:fill="auto"/>
            <w:vAlign w:val="center"/>
          </w:tcPr>
          <w:p w14:paraId="1D3EE515">
            <w:pPr>
              <w:tabs>
                <w:tab w:val="left" w:pos="1719"/>
              </w:tabs>
              <w:spacing w:line="240" w:lineRule="auto"/>
              <w:ind w:firstLine="0" w:firstLineChars="0"/>
              <w:jc w:val="center"/>
              <w:rPr>
                <w:sz w:val="21"/>
                <w:szCs w:val="21"/>
              </w:rPr>
            </w:pPr>
            <w:r>
              <w:rPr>
                <w:sz w:val="21"/>
                <w:szCs w:val="21"/>
              </w:rPr>
              <w:t>二级</w:t>
            </w:r>
          </w:p>
        </w:tc>
        <w:tc>
          <w:tcPr>
            <w:tcW w:w="917" w:type="pct"/>
            <w:tcBorders>
              <w:tl2br w:val="nil"/>
              <w:tr2bl w:val="nil"/>
            </w:tcBorders>
            <w:shd w:val="clear" w:color="auto" w:fill="auto"/>
            <w:vAlign w:val="center"/>
          </w:tcPr>
          <w:p w14:paraId="1D3EE516">
            <w:pPr>
              <w:tabs>
                <w:tab w:val="left" w:pos="1719"/>
              </w:tabs>
              <w:spacing w:line="240" w:lineRule="auto"/>
              <w:ind w:firstLine="0" w:firstLineChars="0"/>
              <w:jc w:val="center"/>
              <w:rPr>
                <w:sz w:val="21"/>
                <w:szCs w:val="21"/>
              </w:rPr>
            </w:pPr>
            <w:r>
              <w:rPr>
                <w:sz w:val="21"/>
                <w:szCs w:val="21"/>
              </w:rPr>
              <w:t>生态影响型</w:t>
            </w:r>
          </w:p>
        </w:tc>
        <w:tc>
          <w:tcPr>
            <w:tcW w:w="0" w:type="auto"/>
            <w:vMerge w:val="continue"/>
            <w:tcBorders>
              <w:tl2br w:val="nil"/>
              <w:tr2bl w:val="nil"/>
            </w:tcBorders>
            <w:shd w:val="clear" w:color="auto" w:fill="auto"/>
            <w:vAlign w:val="center"/>
          </w:tcPr>
          <w:p w14:paraId="1D3EE517">
            <w:pPr>
              <w:spacing w:line="240" w:lineRule="auto"/>
              <w:ind w:firstLine="0" w:firstLineChars="0"/>
              <w:jc w:val="center"/>
              <w:rPr>
                <w:sz w:val="21"/>
                <w:szCs w:val="21"/>
              </w:rPr>
            </w:pPr>
          </w:p>
        </w:tc>
        <w:tc>
          <w:tcPr>
            <w:tcW w:w="2105" w:type="pct"/>
            <w:tcBorders>
              <w:tl2br w:val="nil"/>
              <w:tr2bl w:val="nil"/>
            </w:tcBorders>
            <w:shd w:val="clear" w:color="auto" w:fill="auto"/>
            <w:vAlign w:val="center"/>
          </w:tcPr>
          <w:p w14:paraId="1D3EE518">
            <w:pPr>
              <w:tabs>
                <w:tab w:val="left" w:pos="1719"/>
              </w:tabs>
              <w:spacing w:line="240" w:lineRule="auto"/>
              <w:ind w:firstLine="0" w:firstLineChars="0"/>
              <w:jc w:val="center"/>
              <w:rPr>
                <w:sz w:val="21"/>
                <w:szCs w:val="21"/>
              </w:rPr>
            </w:pPr>
            <w:r>
              <w:rPr>
                <w:sz w:val="21"/>
                <w:szCs w:val="21"/>
              </w:rPr>
              <w:t>2km范围内</w:t>
            </w:r>
          </w:p>
        </w:tc>
      </w:tr>
      <w:tr w14:paraId="1D3EE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l2br w:val="nil"/>
              <w:tr2bl w:val="nil"/>
            </w:tcBorders>
            <w:shd w:val="clear" w:color="auto" w:fill="auto"/>
            <w:vAlign w:val="center"/>
          </w:tcPr>
          <w:p w14:paraId="1D3EE51A">
            <w:pPr>
              <w:tabs>
                <w:tab w:val="left" w:pos="1719"/>
              </w:tabs>
              <w:spacing w:line="240" w:lineRule="auto"/>
              <w:ind w:firstLine="0" w:firstLineChars="0"/>
              <w:jc w:val="center"/>
              <w:rPr>
                <w:sz w:val="21"/>
                <w:szCs w:val="21"/>
              </w:rPr>
            </w:pPr>
          </w:p>
        </w:tc>
        <w:tc>
          <w:tcPr>
            <w:tcW w:w="917" w:type="pct"/>
            <w:tcBorders>
              <w:tl2br w:val="nil"/>
              <w:tr2bl w:val="nil"/>
            </w:tcBorders>
            <w:shd w:val="clear" w:color="auto" w:fill="auto"/>
            <w:vAlign w:val="center"/>
          </w:tcPr>
          <w:p w14:paraId="1D3EE51B">
            <w:pPr>
              <w:tabs>
                <w:tab w:val="left" w:pos="1719"/>
              </w:tabs>
              <w:spacing w:line="240" w:lineRule="auto"/>
              <w:ind w:firstLine="0" w:firstLineChars="0"/>
              <w:jc w:val="center"/>
              <w:rPr>
                <w:sz w:val="21"/>
                <w:szCs w:val="21"/>
              </w:rPr>
            </w:pPr>
            <w:r>
              <w:rPr>
                <w:sz w:val="21"/>
                <w:szCs w:val="21"/>
              </w:rPr>
              <w:t>污染影响型</w:t>
            </w:r>
          </w:p>
        </w:tc>
        <w:tc>
          <w:tcPr>
            <w:tcW w:w="0" w:type="auto"/>
            <w:vMerge w:val="continue"/>
            <w:tcBorders>
              <w:tl2br w:val="nil"/>
              <w:tr2bl w:val="nil"/>
            </w:tcBorders>
            <w:shd w:val="clear" w:color="auto" w:fill="auto"/>
            <w:vAlign w:val="center"/>
          </w:tcPr>
          <w:p w14:paraId="1D3EE51C">
            <w:pPr>
              <w:tabs>
                <w:tab w:val="left" w:pos="1719"/>
              </w:tabs>
              <w:spacing w:line="240" w:lineRule="auto"/>
              <w:ind w:firstLine="0" w:firstLineChars="0"/>
              <w:jc w:val="center"/>
              <w:rPr>
                <w:sz w:val="21"/>
                <w:szCs w:val="21"/>
              </w:rPr>
            </w:pPr>
          </w:p>
        </w:tc>
        <w:tc>
          <w:tcPr>
            <w:tcW w:w="2105" w:type="pct"/>
            <w:tcBorders>
              <w:tl2br w:val="nil"/>
              <w:tr2bl w:val="nil"/>
            </w:tcBorders>
            <w:shd w:val="clear" w:color="auto" w:fill="auto"/>
            <w:vAlign w:val="center"/>
          </w:tcPr>
          <w:p w14:paraId="1D3EE51D">
            <w:pPr>
              <w:tabs>
                <w:tab w:val="left" w:pos="1719"/>
              </w:tabs>
              <w:spacing w:line="240" w:lineRule="auto"/>
              <w:ind w:firstLine="0" w:firstLineChars="0"/>
              <w:jc w:val="center"/>
              <w:rPr>
                <w:sz w:val="21"/>
                <w:szCs w:val="21"/>
              </w:rPr>
            </w:pPr>
            <w:r>
              <w:rPr>
                <w:sz w:val="21"/>
                <w:szCs w:val="21"/>
              </w:rPr>
              <w:t>0.2km范围内</w:t>
            </w:r>
          </w:p>
        </w:tc>
      </w:tr>
      <w:tr w14:paraId="1D3EE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vMerge w:val="restart"/>
            <w:tcBorders>
              <w:tl2br w:val="nil"/>
              <w:tr2bl w:val="nil"/>
            </w:tcBorders>
            <w:shd w:val="clear" w:color="auto" w:fill="auto"/>
            <w:vAlign w:val="center"/>
          </w:tcPr>
          <w:p w14:paraId="1D3EE51F">
            <w:pPr>
              <w:tabs>
                <w:tab w:val="left" w:pos="1719"/>
              </w:tabs>
              <w:spacing w:line="240" w:lineRule="auto"/>
              <w:ind w:firstLine="0" w:firstLineChars="0"/>
              <w:jc w:val="center"/>
              <w:rPr>
                <w:sz w:val="21"/>
                <w:szCs w:val="21"/>
              </w:rPr>
            </w:pPr>
            <w:r>
              <w:rPr>
                <w:sz w:val="21"/>
                <w:szCs w:val="21"/>
              </w:rPr>
              <w:t>三级</w:t>
            </w:r>
          </w:p>
        </w:tc>
        <w:tc>
          <w:tcPr>
            <w:tcW w:w="917" w:type="pct"/>
            <w:tcBorders>
              <w:tl2br w:val="nil"/>
              <w:tr2bl w:val="nil"/>
            </w:tcBorders>
            <w:shd w:val="clear" w:color="auto" w:fill="auto"/>
            <w:vAlign w:val="center"/>
          </w:tcPr>
          <w:p w14:paraId="1D3EE520">
            <w:pPr>
              <w:tabs>
                <w:tab w:val="left" w:pos="1719"/>
              </w:tabs>
              <w:spacing w:line="240" w:lineRule="auto"/>
              <w:ind w:firstLine="0" w:firstLineChars="0"/>
              <w:jc w:val="center"/>
              <w:rPr>
                <w:sz w:val="21"/>
                <w:szCs w:val="21"/>
              </w:rPr>
            </w:pPr>
            <w:r>
              <w:rPr>
                <w:sz w:val="21"/>
                <w:szCs w:val="21"/>
              </w:rPr>
              <w:t>生态影响型</w:t>
            </w:r>
          </w:p>
        </w:tc>
        <w:tc>
          <w:tcPr>
            <w:tcW w:w="0" w:type="auto"/>
            <w:vMerge w:val="continue"/>
            <w:tcBorders>
              <w:tl2br w:val="nil"/>
              <w:tr2bl w:val="nil"/>
            </w:tcBorders>
            <w:shd w:val="clear" w:color="auto" w:fill="auto"/>
            <w:vAlign w:val="center"/>
          </w:tcPr>
          <w:p w14:paraId="1D3EE521">
            <w:pPr>
              <w:spacing w:line="240" w:lineRule="auto"/>
              <w:ind w:firstLine="0" w:firstLineChars="0"/>
              <w:jc w:val="center"/>
              <w:rPr>
                <w:sz w:val="21"/>
                <w:szCs w:val="21"/>
              </w:rPr>
            </w:pPr>
          </w:p>
        </w:tc>
        <w:tc>
          <w:tcPr>
            <w:tcW w:w="2105" w:type="pct"/>
            <w:tcBorders>
              <w:tl2br w:val="nil"/>
              <w:tr2bl w:val="nil"/>
            </w:tcBorders>
            <w:shd w:val="clear" w:color="auto" w:fill="auto"/>
            <w:vAlign w:val="center"/>
          </w:tcPr>
          <w:p w14:paraId="1D3EE522">
            <w:pPr>
              <w:tabs>
                <w:tab w:val="left" w:pos="1719"/>
              </w:tabs>
              <w:spacing w:line="240" w:lineRule="auto"/>
              <w:ind w:firstLine="0" w:firstLineChars="0"/>
              <w:jc w:val="center"/>
              <w:rPr>
                <w:sz w:val="21"/>
                <w:szCs w:val="21"/>
              </w:rPr>
            </w:pPr>
            <w:r>
              <w:rPr>
                <w:sz w:val="21"/>
                <w:szCs w:val="21"/>
              </w:rPr>
              <w:t>1km范围内</w:t>
            </w:r>
          </w:p>
        </w:tc>
      </w:tr>
      <w:tr w14:paraId="1D3EE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l2br w:val="nil"/>
              <w:tr2bl w:val="nil"/>
            </w:tcBorders>
            <w:shd w:val="clear" w:color="auto" w:fill="auto"/>
            <w:vAlign w:val="center"/>
          </w:tcPr>
          <w:p w14:paraId="1D3EE524">
            <w:pPr>
              <w:spacing w:line="240" w:lineRule="auto"/>
              <w:ind w:firstLine="0" w:firstLineChars="0"/>
              <w:jc w:val="center"/>
              <w:rPr>
                <w:sz w:val="21"/>
                <w:szCs w:val="21"/>
              </w:rPr>
            </w:pPr>
          </w:p>
        </w:tc>
        <w:tc>
          <w:tcPr>
            <w:tcW w:w="917" w:type="pct"/>
            <w:tcBorders>
              <w:tl2br w:val="nil"/>
              <w:tr2bl w:val="nil"/>
            </w:tcBorders>
            <w:shd w:val="clear" w:color="auto" w:fill="auto"/>
            <w:vAlign w:val="center"/>
          </w:tcPr>
          <w:p w14:paraId="1D3EE525">
            <w:pPr>
              <w:tabs>
                <w:tab w:val="left" w:pos="1719"/>
              </w:tabs>
              <w:spacing w:line="240" w:lineRule="auto"/>
              <w:ind w:firstLine="0" w:firstLineChars="0"/>
              <w:jc w:val="center"/>
              <w:rPr>
                <w:sz w:val="21"/>
                <w:szCs w:val="21"/>
              </w:rPr>
            </w:pPr>
            <w:r>
              <w:rPr>
                <w:sz w:val="21"/>
                <w:szCs w:val="21"/>
              </w:rPr>
              <w:t>污染影响型</w:t>
            </w:r>
          </w:p>
        </w:tc>
        <w:tc>
          <w:tcPr>
            <w:tcW w:w="0" w:type="auto"/>
            <w:vMerge w:val="continue"/>
            <w:tcBorders>
              <w:tl2br w:val="nil"/>
              <w:tr2bl w:val="nil"/>
            </w:tcBorders>
            <w:shd w:val="clear" w:color="auto" w:fill="auto"/>
            <w:vAlign w:val="center"/>
          </w:tcPr>
          <w:p w14:paraId="1D3EE526">
            <w:pPr>
              <w:spacing w:line="240" w:lineRule="auto"/>
              <w:ind w:firstLine="0" w:firstLineChars="0"/>
              <w:jc w:val="center"/>
              <w:rPr>
                <w:sz w:val="21"/>
                <w:szCs w:val="21"/>
              </w:rPr>
            </w:pPr>
          </w:p>
        </w:tc>
        <w:tc>
          <w:tcPr>
            <w:tcW w:w="2105" w:type="pct"/>
            <w:tcBorders>
              <w:tl2br w:val="nil"/>
              <w:tr2bl w:val="nil"/>
            </w:tcBorders>
            <w:shd w:val="clear" w:color="auto" w:fill="auto"/>
            <w:vAlign w:val="center"/>
          </w:tcPr>
          <w:p w14:paraId="1D3EE527">
            <w:pPr>
              <w:tabs>
                <w:tab w:val="left" w:pos="1719"/>
              </w:tabs>
              <w:spacing w:line="240" w:lineRule="auto"/>
              <w:ind w:firstLine="0" w:firstLineChars="0"/>
              <w:jc w:val="center"/>
              <w:rPr>
                <w:sz w:val="21"/>
                <w:szCs w:val="21"/>
              </w:rPr>
            </w:pPr>
            <w:r>
              <w:rPr>
                <w:sz w:val="21"/>
                <w:szCs w:val="21"/>
              </w:rPr>
              <w:t>0.05km范围内</w:t>
            </w:r>
          </w:p>
        </w:tc>
      </w:tr>
      <w:tr w14:paraId="1D3EE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tcBorders>
              <w:tl2br w:val="nil"/>
              <w:tr2bl w:val="nil"/>
            </w:tcBorders>
            <w:shd w:val="clear" w:color="auto" w:fill="auto"/>
            <w:vAlign w:val="center"/>
          </w:tcPr>
          <w:p w14:paraId="1D3EE529">
            <w:pPr>
              <w:tabs>
                <w:tab w:val="left" w:pos="1719"/>
              </w:tabs>
              <w:spacing w:line="240" w:lineRule="auto"/>
              <w:ind w:firstLine="0" w:firstLineChars="0"/>
              <w:rPr>
                <w:sz w:val="21"/>
                <w:szCs w:val="21"/>
              </w:rPr>
            </w:pPr>
            <w:r>
              <w:rPr>
                <w:sz w:val="21"/>
                <w:szCs w:val="21"/>
                <w:vertAlign w:val="superscript"/>
              </w:rPr>
              <w:t>a</w:t>
            </w:r>
            <w:r>
              <w:rPr>
                <w:sz w:val="21"/>
                <w:szCs w:val="21"/>
              </w:rPr>
              <w:t>涉及大气沉降途径影响的，可根据主导风向下风向的最大落地浓度点适当调整。</w:t>
            </w:r>
          </w:p>
          <w:p w14:paraId="1D3EE52A">
            <w:pPr>
              <w:tabs>
                <w:tab w:val="left" w:pos="1719"/>
              </w:tabs>
              <w:spacing w:line="240" w:lineRule="auto"/>
              <w:ind w:firstLine="0" w:firstLineChars="0"/>
              <w:rPr>
                <w:sz w:val="21"/>
                <w:szCs w:val="21"/>
              </w:rPr>
            </w:pPr>
            <w:r>
              <w:rPr>
                <w:sz w:val="21"/>
                <w:szCs w:val="21"/>
                <w:vertAlign w:val="superscript"/>
              </w:rPr>
              <w:t>b</w:t>
            </w:r>
            <w:r>
              <w:rPr>
                <w:sz w:val="21"/>
                <w:szCs w:val="21"/>
              </w:rPr>
              <w:t>矿山类项目指开采区与各场地的占地；改、扩建类的指的是现有工程与拟建工程的占地。</w:t>
            </w:r>
          </w:p>
        </w:tc>
      </w:tr>
    </w:tbl>
    <w:p w14:paraId="1D3EE52C">
      <w:pPr>
        <w:ind w:firstLine="480"/>
      </w:pPr>
      <w:r>
        <w:rPr>
          <w:szCs w:val="24"/>
        </w:rPr>
        <w:t>根据上表可知，本次评价确定本项目土壤现状调查范围包括项目建设厂址及厂界外0.2km范围，合计约</w:t>
      </w:r>
      <w:r>
        <w:rPr>
          <w:rFonts w:hint="eastAsia"/>
          <w:szCs w:val="24"/>
        </w:rPr>
        <w:t>20.56</w:t>
      </w:r>
      <w:r>
        <w:rPr>
          <w:szCs w:val="24"/>
        </w:rPr>
        <w:t>hm</w:t>
      </w:r>
      <w:r>
        <w:rPr>
          <w:szCs w:val="24"/>
          <w:vertAlign w:val="superscript"/>
        </w:rPr>
        <w:t>2</w:t>
      </w:r>
      <w:r>
        <w:rPr>
          <w:szCs w:val="24"/>
        </w:rPr>
        <w:t>。土壤环境调查范围示意图见下图。</w:t>
      </w:r>
    </w:p>
    <w:p w14:paraId="64807A0E">
      <w:pPr>
        <w:pStyle w:val="68"/>
        <w:rPr>
          <w:highlight w:val="yellow"/>
        </w:rPr>
      </w:pPr>
      <w:r>
        <w:drawing>
          <wp:inline distT="0" distB="0" distL="0" distR="0">
            <wp:extent cx="5278755" cy="5466715"/>
            <wp:effectExtent l="0" t="0" r="17145" b="635"/>
            <wp:docPr id="153909080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90807" name="图片 1" descr="地图&#10;&#10;描述已自动生成"/>
                    <pic:cNvPicPr>
                      <a:picLocks noChangeAspect="1"/>
                    </pic:cNvPicPr>
                  </pic:nvPicPr>
                  <pic:blipFill>
                    <a:blip r:embed="rId140"/>
                    <a:stretch>
                      <a:fillRect/>
                    </a:stretch>
                  </pic:blipFill>
                  <pic:spPr>
                    <a:xfrm>
                      <a:off x="0" y="0"/>
                      <a:ext cx="5278755" cy="5466715"/>
                    </a:xfrm>
                    <a:prstGeom prst="rect">
                      <a:avLst/>
                    </a:prstGeom>
                  </pic:spPr>
                </pic:pic>
              </a:graphicData>
            </a:graphic>
          </wp:inline>
        </w:drawing>
      </w:r>
    </w:p>
    <w:p w14:paraId="1D3EE52E">
      <w:pPr>
        <w:pStyle w:val="20"/>
        <w:numPr>
          <w:ilvl w:val="0"/>
          <w:numId w:val="35"/>
        </w:numPr>
        <w:rPr>
          <w:rFonts w:ascii="Times New Roman" w:hAnsi="Times New Roman"/>
        </w:rPr>
      </w:pPr>
      <w:r>
        <w:rPr>
          <w:rFonts w:hint="eastAsia" w:ascii="Times New Roman" w:hAnsi="Times New Roman" w:eastAsiaTheme="minorEastAsia"/>
          <w:sz w:val="24"/>
        </w:rPr>
        <w:t xml:space="preserve">  </w:t>
      </w:r>
      <w:r>
        <w:rPr>
          <w:rFonts w:ascii="Times New Roman" w:hAnsi="Times New Roman" w:eastAsiaTheme="minorEastAsia"/>
          <w:sz w:val="24"/>
        </w:rPr>
        <w:t xml:space="preserve"> 土壤环境影响评价调查范围示意图</w:t>
      </w:r>
    </w:p>
    <w:p w14:paraId="1D3EE52F">
      <w:pPr>
        <w:pStyle w:val="6"/>
        <w:ind w:left="0" w:firstLine="482" w:firstLineChars="200"/>
        <w:rPr>
          <w:szCs w:val="24"/>
        </w:rPr>
      </w:pPr>
      <w:r>
        <w:rPr>
          <w:szCs w:val="24"/>
        </w:rPr>
        <w:t>土壤</w:t>
      </w:r>
      <w:r>
        <w:rPr>
          <w:rFonts w:hint="eastAsia"/>
          <w:szCs w:val="24"/>
        </w:rPr>
        <w:t>理化特性</w:t>
      </w:r>
      <w:r>
        <w:rPr>
          <w:szCs w:val="24"/>
        </w:rPr>
        <w:t>调查</w:t>
      </w:r>
    </w:p>
    <w:p w14:paraId="5520A024">
      <w:pPr>
        <w:adjustRightInd/>
        <w:snapToGrid/>
        <w:ind w:firstLine="480"/>
        <w:textAlignment w:val="auto"/>
        <w:rPr>
          <w:szCs w:val="24"/>
        </w:rPr>
        <w:sectPr>
          <w:headerReference r:id="rId28" w:type="default"/>
          <w:pgSz w:w="11907" w:h="16840"/>
          <w:pgMar w:top="1440" w:right="1797" w:bottom="1440" w:left="1797" w:header="907" w:footer="907" w:gutter="0"/>
          <w:cols w:space="425" w:num="1"/>
          <w:docGrid w:linePitch="380" w:charSpace="0"/>
        </w:sectPr>
      </w:pPr>
      <w:r>
        <w:rPr>
          <w:szCs w:val="24"/>
        </w:rPr>
        <w:t>本项目土壤理化特性</w:t>
      </w:r>
      <w:r>
        <w:rPr>
          <w:szCs w:val="24"/>
          <w:lang w:val="zh-CN"/>
        </w:rPr>
        <w:t>调查采用</w:t>
      </w:r>
      <w:r>
        <w:rPr>
          <w:rFonts w:hint="eastAsia"/>
          <w:szCs w:val="24"/>
        </w:rPr>
        <w:t>河南平原山水检测有限公司新乡分公司</w:t>
      </w:r>
      <w:r>
        <w:rPr>
          <w:szCs w:val="24"/>
          <w:lang w:val="zh-CN"/>
        </w:rPr>
        <w:t>于202</w:t>
      </w:r>
      <w:r>
        <w:rPr>
          <w:rFonts w:hint="eastAsia"/>
          <w:szCs w:val="24"/>
          <w:lang w:val="zh-CN"/>
        </w:rPr>
        <w:t>4</w:t>
      </w:r>
      <w:r>
        <w:rPr>
          <w:szCs w:val="24"/>
          <w:lang w:val="zh-CN"/>
        </w:rPr>
        <w:t>年</w:t>
      </w:r>
      <w:r>
        <w:rPr>
          <w:rFonts w:hint="eastAsia"/>
          <w:szCs w:val="24"/>
          <w:lang w:val="zh-CN"/>
        </w:rPr>
        <w:t>9</w:t>
      </w:r>
      <w:r>
        <w:rPr>
          <w:szCs w:val="24"/>
          <w:lang w:val="zh-CN"/>
        </w:rPr>
        <w:t>月</w:t>
      </w:r>
      <w:r>
        <w:rPr>
          <w:rFonts w:hint="eastAsia"/>
          <w:szCs w:val="24"/>
          <w:lang w:val="zh-CN"/>
        </w:rPr>
        <w:t>3</w:t>
      </w:r>
      <w:r>
        <w:rPr>
          <w:szCs w:val="24"/>
          <w:lang w:val="zh-CN"/>
        </w:rPr>
        <w:t>日出具的检测报告。根据《检测报告》可知，土壤理化特性调查见下</w:t>
      </w:r>
      <w:r>
        <w:rPr>
          <w:szCs w:val="24"/>
        </w:rPr>
        <w:t>表。</w:t>
      </w:r>
    </w:p>
    <w:p w14:paraId="1DD64140">
      <w:pPr>
        <w:pStyle w:val="64"/>
        <w:numPr>
          <w:ilvl w:val="2"/>
          <w:numId w:val="34"/>
        </w:numPr>
        <w:spacing w:before="0" w:beforeLines="0" w:line="520" w:lineRule="exact"/>
        <w:ind w:left="0" w:firstLine="480" w:firstLineChars="200"/>
      </w:pPr>
      <w:r>
        <w:t xml:space="preserve">         </w:t>
      </w:r>
      <w:r>
        <w:rPr>
          <w:rFonts w:hint="eastAsia"/>
        </w:rPr>
        <w:t xml:space="preserve">                            </w:t>
      </w:r>
      <w:r>
        <w:t>土壤理化特性一览表</w:t>
      </w:r>
      <w:r>
        <w:rPr>
          <w:rFonts w:hint="eastAsia"/>
        </w:rPr>
        <w:t>1</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1553"/>
        <w:gridCol w:w="1414"/>
        <w:gridCol w:w="1978"/>
        <w:gridCol w:w="2121"/>
        <w:gridCol w:w="2118"/>
        <w:gridCol w:w="2112"/>
        <w:gridCol w:w="2112"/>
      </w:tblGrid>
      <w:tr w14:paraId="763D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757" w:type="pct"/>
            <w:gridSpan w:val="2"/>
            <w:vAlign w:val="center"/>
          </w:tcPr>
          <w:p w14:paraId="3F91E913">
            <w:pPr>
              <w:pStyle w:val="34"/>
              <w:spacing w:after="0" w:line="360" w:lineRule="exact"/>
              <w:ind w:firstLine="0" w:firstLineChars="0"/>
              <w:jc w:val="center"/>
              <w:rPr>
                <w:b/>
                <w:bCs/>
                <w:sz w:val="21"/>
                <w:szCs w:val="21"/>
              </w:rPr>
            </w:pPr>
            <w:r>
              <w:rPr>
                <w:b/>
                <w:bCs/>
                <w:sz w:val="21"/>
                <w:szCs w:val="21"/>
              </w:rPr>
              <w:t>采样点位</w:t>
            </w:r>
          </w:p>
        </w:tc>
        <w:tc>
          <w:tcPr>
            <w:tcW w:w="506" w:type="pct"/>
            <w:vAlign w:val="center"/>
          </w:tcPr>
          <w:p w14:paraId="5BA759EA">
            <w:pPr>
              <w:spacing w:line="360" w:lineRule="exact"/>
              <w:ind w:firstLine="0" w:firstLineChars="0"/>
              <w:jc w:val="center"/>
              <w:rPr>
                <w:b/>
                <w:bCs/>
                <w:sz w:val="21"/>
                <w:szCs w:val="21"/>
              </w:rPr>
            </w:pPr>
            <w:r>
              <w:rPr>
                <w:b/>
                <w:bCs/>
                <w:sz w:val="21"/>
                <w:szCs w:val="21"/>
                <w:lang w:bidi="ar"/>
              </w:rPr>
              <w:t>厂区</w:t>
            </w:r>
            <w:r>
              <w:rPr>
                <w:rFonts w:hint="eastAsia"/>
                <w:b/>
                <w:bCs/>
                <w:sz w:val="21"/>
                <w:szCs w:val="21"/>
                <w:lang w:bidi="ar"/>
              </w:rPr>
              <w:t>内</w:t>
            </w:r>
            <w:r>
              <w:rPr>
                <w:b/>
                <w:bCs/>
                <w:sz w:val="21"/>
                <w:szCs w:val="21"/>
                <w:lang w:bidi="ar"/>
              </w:rPr>
              <w:t>西北</w:t>
            </w:r>
            <w:r>
              <w:rPr>
                <w:rFonts w:hint="eastAsia"/>
                <w:b/>
                <w:bCs/>
                <w:sz w:val="21"/>
                <w:szCs w:val="21"/>
                <w:lang w:bidi="ar"/>
              </w:rPr>
              <w:t>角</w:t>
            </w:r>
          </w:p>
        </w:tc>
        <w:tc>
          <w:tcPr>
            <w:tcW w:w="708" w:type="pct"/>
            <w:vAlign w:val="center"/>
          </w:tcPr>
          <w:p w14:paraId="3E3141F2">
            <w:pPr>
              <w:spacing w:line="360" w:lineRule="exact"/>
              <w:ind w:firstLine="0" w:firstLineChars="0"/>
              <w:jc w:val="center"/>
              <w:rPr>
                <w:b/>
                <w:bCs/>
                <w:sz w:val="21"/>
                <w:szCs w:val="21"/>
                <w:highlight w:val="yellow"/>
              </w:rPr>
            </w:pPr>
            <w:r>
              <w:rPr>
                <w:rFonts w:hint="eastAsia"/>
                <w:b/>
                <w:bCs/>
                <w:sz w:val="21"/>
                <w:szCs w:val="21"/>
              </w:rPr>
              <w:t>厂界外西北侧农田</w:t>
            </w:r>
          </w:p>
        </w:tc>
        <w:tc>
          <w:tcPr>
            <w:tcW w:w="759" w:type="pct"/>
            <w:vAlign w:val="center"/>
          </w:tcPr>
          <w:p w14:paraId="02BBB5E3">
            <w:pPr>
              <w:spacing w:line="360" w:lineRule="exact"/>
              <w:ind w:firstLine="0" w:firstLineChars="0"/>
              <w:jc w:val="center"/>
              <w:rPr>
                <w:b/>
                <w:bCs/>
                <w:sz w:val="21"/>
                <w:szCs w:val="21"/>
                <w:highlight w:val="yellow"/>
              </w:rPr>
            </w:pPr>
            <w:r>
              <w:rPr>
                <w:rFonts w:hint="eastAsia"/>
                <w:b/>
                <w:bCs/>
                <w:sz w:val="21"/>
                <w:szCs w:val="21"/>
              </w:rPr>
              <w:t>厂界外东南侧农田</w:t>
            </w:r>
          </w:p>
        </w:tc>
        <w:tc>
          <w:tcPr>
            <w:tcW w:w="2270" w:type="pct"/>
            <w:gridSpan w:val="3"/>
            <w:vAlign w:val="center"/>
          </w:tcPr>
          <w:p w14:paraId="3A3450D7">
            <w:pPr>
              <w:spacing w:line="360" w:lineRule="exact"/>
              <w:ind w:firstLine="0" w:firstLineChars="0"/>
              <w:jc w:val="center"/>
              <w:rPr>
                <w:b/>
                <w:bCs/>
                <w:sz w:val="21"/>
                <w:szCs w:val="21"/>
              </w:rPr>
            </w:pPr>
            <w:r>
              <w:rPr>
                <w:rFonts w:hint="eastAsia"/>
                <w:b/>
                <w:bCs/>
                <w:sz w:val="21"/>
                <w:szCs w:val="21"/>
              </w:rPr>
              <w:t>污水处理站拟建处</w:t>
            </w:r>
          </w:p>
        </w:tc>
      </w:tr>
      <w:tr w14:paraId="74FA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757" w:type="pct"/>
            <w:gridSpan w:val="2"/>
            <w:vAlign w:val="center"/>
          </w:tcPr>
          <w:p w14:paraId="7DA37C60">
            <w:pPr>
              <w:pStyle w:val="34"/>
              <w:spacing w:after="0" w:line="360" w:lineRule="exact"/>
              <w:ind w:firstLine="0" w:firstLineChars="0"/>
              <w:jc w:val="center"/>
              <w:rPr>
                <w:b/>
                <w:bCs/>
                <w:sz w:val="21"/>
                <w:szCs w:val="21"/>
              </w:rPr>
            </w:pPr>
            <w:r>
              <w:rPr>
                <w:b/>
                <w:bCs/>
                <w:sz w:val="21"/>
                <w:szCs w:val="21"/>
              </w:rPr>
              <w:t>层次</w:t>
            </w:r>
          </w:p>
        </w:tc>
        <w:tc>
          <w:tcPr>
            <w:tcW w:w="506" w:type="pct"/>
            <w:vAlign w:val="center"/>
          </w:tcPr>
          <w:p w14:paraId="03E759A7">
            <w:pPr>
              <w:spacing w:line="360" w:lineRule="exact"/>
              <w:ind w:firstLine="0" w:firstLineChars="0"/>
              <w:jc w:val="center"/>
              <w:rPr>
                <w:sz w:val="21"/>
                <w:szCs w:val="21"/>
              </w:rPr>
            </w:pPr>
            <w:r>
              <w:rPr>
                <w:sz w:val="21"/>
                <w:szCs w:val="21"/>
              </w:rPr>
              <w:t>0-0.2m</w:t>
            </w:r>
          </w:p>
        </w:tc>
        <w:tc>
          <w:tcPr>
            <w:tcW w:w="708" w:type="pct"/>
            <w:vAlign w:val="center"/>
          </w:tcPr>
          <w:p w14:paraId="5D670900">
            <w:pPr>
              <w:spacing w:line="360" w:lineRule="exact"/>
              <w:ind w:firstLine="0" w:firstLineChars="0"/>
              <w:jc w:val="center"/>
              <w:rPr>
                <w:sz w:val="21"/>
                <w:szCs w:val="21"/>
              </w:rPr>
            </w:pPr>
            <w:r>
              <w:rPr>
                <w:sz w:val="21"/>
                <w:szCs w:val="21"/>
              </w:rPr>
              <w:t>0-0.2m</w:t>
            </w:r>
          </w:p>
        </w:tc>
        <w:tc>
          <w:tcPr>
            <w:tcW w:w="759" w:type="pct"/>
            <w:vAlign w:val="center"/>
          </w:tcPr>
          <w:p w14:paraId="54D11AB8">
            <w:pPr>
              <w:spacing w:line="360" w:lineRule="exact"/>
              <w:ind w:firstLine="0" w:firstLineChars="0"/>
              <w:jc w:val="center"/>
              <w:rPr>
                <w:sz w:val="21"/>
                <w:szCs w:val="21"/>
              </w:rPr>
            </w:pPr>
            <w:r>
              <w:rPr>
                <w:sz w:val="21"/>
                <w:szCs w:val="21"/>
              </w:rPr>
              <w:t>0-0.2m</w:t>
            </w:r>
          </w:p>
        </w:tc>
        <w:tc>
          <w:tcPr>
            <w:tcW w:w="758" w:type="pct"/>
            <w:vAlign w:val="center"/>
          </w:tcPr>
          <w:p w14:paraId="6D743774">
            <w:pPr>
              <w:spacing w:line="360" w:lineRule="exact"/>
              <w:ind w:firstLine="0" w:firstLineChars="0"/>
              <w:jc w:val="center"/>
              <w:rPr>
                <w:sz w:val="21"/>
                <w:szCs w:val="21"/>
              </w:rPr>
            </w:pPr>
            <w:r>
              <w:rPr>
                <w:sz w:val="21"/>
                <w:szCs w:val="21"/>
              </w:rPr>
              <w:t>0-0.</w:t>
            </w:r>
            <w:r>
              <w:rPr>
                <w:rFonts w:hint="eastAsia"/>
                <w:sz w:val="21"/>
                <w:szCs w:val="21"/>
              </w:rPr>
              <w:t>5</w:t>
            </w:r>
            <w:r>
              <w:rPr>
                <w:sz w:val="21"/>
                <w:szCs w:val="21"/>
              </w:rPr>
              <w:t>m</w:t>
            </w:r>
          </w:p>
        </w:tc>
        <w:tc>
          <w:tcPr>
            <w:tcW w:w="756" w:type="pct"/>
            <w:vAlign w:val="center"/>
          </w:tcPr>
          <w:p w14:paraId="415B7F3D">
            <w:pPr>
              <w:spacing w:line="360" w:lineRule="exact"/>
              <w:ind w:firstLine="0" w:firstLineChars="0"/>
              <w:jc w:val="center"/>
              <w:rPr>
                <w:sz w:val="21"/>
                <w:szCs w:val="21"/>
              </w:rPr>
            </w:pPr>
            <w:r>
              <w:rPr>
                <w:sz w:val="21"/>
                <w:szCs w:val="21"/>
              </w:rPr>
              <w:t>0</w:t>
            </w:r>
            <w:r>
              <w:rPr>
                <w:rFonts w:hint="eastAsia"/>
                <w:sz w:val="21"/>
                <w:szCs w:val="21"/>
              </w:rPr>
              <w:t>.5</w:t>
            </w:r>
            <w:r>
              <w:rPr>
                <w:sz w:val="21"/>
                <w:szCs w:val="21"/>
              </w:rPr>
              <w:t>-</w:t>
            </w:r>
            <w:r>
              <w:rPr>
                <w:rFonts w:hint="eastAsia"/>
                <w:sz w:val="21"/>
                <w:szCs w:val="21"/>
              </w:rPr>
              <w:t>1</w:t>
            </w:r>
            <w:r>
              <w:rPr>
                <w:sz w:val="21"/>
                <w:szCs w:val="21"/>
              </w:rPr>
              <w:t>.</w:t>
            </w:r>
            <w:r>
              <w:rPr>
                <w:rFonts w:hint="eastAsia"/>
                <w:sz w:val="21"/>
                <w:szCs w:val="21"/>
              </w:rPr>
              <w:t>5</w:t>
            </w:r>
            <w:r>
              <w:rPr>
                <w:sz w:val="21"/>
                <w:szCs w:val="21"/>
              </w:rPr>
              <w:t>m</w:t>
            </w:r>
          </w:p>
        </w:tc>
        <w:tc>
          <w:tcPr>
            <w:tcW w:w="756" w:type="pct"/>
            <w:vAlign w:val="center"/>
          </w:tcPr>
          <w:p w14:paraId="002080B0">
            <w:pPr>
              <w:spacing w:line="360" w:lineRule="exact"/>
              <w:ind w:firstLine="0" w:firstLineChars="0"/>
              <w:jc w:val="center"/>
              <w:rPr>
                <w:sz w:val="21"/>
                <w:szCs w:val="21"/>
              </w:rPr>
            </w:pPr>
            <w:r>
              <w:rPr>
                <w:rFonts w:hint="eastAsia"/>
                <w:sz w:val="21"/>
                <w:szCs w:val="21"/>
              </w:rPr>
              <w:t>1.5</w:t>
            </w:r>
            <w:r>
              <w:rPr>
                <w:sz w:val="21"/>
                <w:szCs w:val="21"/>
              </w:rPr>
              <w:t>-</w:t>
            </w:r>
            <w:r>
              <w:rPr>
                <w:rFonts w:hint="eastAsia"/>
                <w:sz w:val="21"/>
                <w:szCs w:val="21"/>
              </w:rPr>
              <w:t>3</w:t>
            </w:r>
            <w:r>
              <w:rPr>
                <w:sz w:val="21"/>
                <w:szCs w:val="21"/>
              </w:rPr>
              <w:t>m</w:t>
            </w:r>
          </w:p>
        </w:tc>
      </w:tr>
      <w:tr w14:paraId="1EFF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restart"/>
            <w:vAlign w:val="center"/>
          </w:tcPr>
          <w:p w14:paraId="5612BEB2">
            <w:pPr>
              <w:pStyle w:val="34"/>
              <w:spacing w:after="0" w:line="360" w:lineRule="exact"/>
              <w:ind w:firstLine="0" w:firstLineChars="0"/>
              <w:jc w:val="center"/>
              <w:rPr>
                <w:b/>
                <w:bCs/>
                <w:sz w:val="21"/>
                <w:szCs w:val="21"/>
              </w:rPr>
            </w:pPr>
            <w:r>
              <w:rPr>
                <w:b/>
                <w:bCs/>
                <w:sz w:val="21"/>
                <w:szCs w:val="21"/>
              </w:rPr>
              <w:t>现场 记录</w:t>
            </w:r>
          </w:p>
        </w:tc>
        <w:tc>
          <w:tcPr>
            <w:tcW w:w="556" w:type="pct"/>
            <w:vAlign w:val="center"/>
          </w:tcPr>
          <w:p w14:paraId="282A92CD">
            <w:pPr>
              <w:pStyle w:val="34"/>
              <w:spacing w:after="0" w:line="360" w:lineRule="exact"/>
              <w:ind w:firstLine="0" w:firstLineChars="0"/>
              <w:jc w:val="center"/>
              <w:rPr>
                <w:b/>
                <w:bCs/>
                <w:sz w:val="21"/>
                <w:szCs w:val="21"/>
              </w:rPr>
            </w:pPr>
            <w:r>
              <w:rPr>
                <w:b/>
                <w:bCs/>
                <w:sz w:val="21"/>
                <w:szCs w:val="21"/>
              </w:rPr>
              <w:t>颜色</w:t>
            </w:r>
          </w:p>
        </w:tc>
        <w:tc>
          <w:tcPr>
            <w:tcW w:w="506" w:type="pct"/>
            <w:vAlign w:val="center"/>
          </w:tcPr>
          <w:p w14:paraId="044E77AD">
            <w:pPr>
              <w:spacing w:line="360" w:lineRule="exact"/>
              <w:ind w:firstLine="0" w:firstLineChars="0"/>
              <w:jc w:val="center"/>
              <w:rPr>
                <w:sz w:val="21"/>
                <w:szCs w:val="21"/>
              </w:rPr>
            </w:pPr>
            <w:r>
              <w:rPr>
                <w:sz w:val="21"/>
                <w:szCs w:val="21"/>
              </w:rPr>
              <w:t>浅棕</w:t>
            </w:r>
          </w:p>
        </w:tc>
        <w:tc>
          <w:tcPr>
            <w:tcW w:w="708" w:type="pct"/>
            <w:vAlign w:val="center"/>
          </w:tcPr>
          <w:p w14:paraId="5151D9F9">
            <w:pPr>
              <w:spacing w:line="360" w:lineRule="exact"/>
              <w:ind w:firstLine="0" w:firstLineChars="0"/>
              <w:jc w:val="center"/>
              <w:rPr>
                <w:sz w:val="21"/>
                <w:szCs w:val="21"/>
              </w:rPr>
            </w:pPr>
            <w:r>
              <w:rPr>
                <w:sz w:val="21"/>
                <w:szCs w:val="21"/>
              </w:rPr>
              <w:t>浅棕</w:t>
            </w:r>
          </w:p>
        </w:tc>
        <w:tc>
          <w:tcPr>
            <w:tcW w:w="759" w:type="pct"/>
            <w:vAlign w:val="center"/>
          </w:tcPr>
          <w:p w14:paraId="4C241327">
            <w:pPr>
              <w:spacing w:line="360" w:lineRule="exact"/>
              <w:ind w:firstLine="0" w:firstLineChars="0"/>
              <w:jc w:val="center"/>
              <w:rPr>
                <w:sz w:val="21"/>
                <w:szCs w:val="21"/>
              </w:rPr>
            </w:pPr>
            <w:r>
              <w:rPr>
                <w:sz w:val="21"/>
                <w:szCs w:val="21"/>
              </w:rPr>
              <w:t>浅棕</w:t>
            </w:r>
          </w:p>
        </w:tc>
        <w:tc>
          <w:tcPr>
            <w:tcW w:w="758" w:type="pct"/>
            <w:vAlign w:val="center"/>
          </w:tcPr>
          <w:p w14:paraId="1C6EF459">
            <w:pPr>
              <w:spacing w:line="360" w:lineRule="exact"/>
              <w:ind w:firstLine="0" w:firstLineChars="0"/>
              <w:jc w:val="center"/>
              <w:rPr>
                <w:sz w:val="21"/>
                <w:szCs w:val="21"/>
              </w:rPr>
            </w:pPr>
            <w:r>
              <w:rPr>
                <w:sz w:val="21"/>
                <w:szCs w:val="21"/>
              </w:rPr>
              <w:t>浅棕</w:t>
            </w:r>
          </w:p>
        </w:tc>
        <w:tc>
          <w:tcPr>
            <w:tcW w:w="756" w:type="pct"/>
            <w:vAlign w:val="center"/>
          </w:tcPr>
          <w:p w14:paraId="4CEF3676">
            <w:pPr>
              <w:spacing w:line="360" w:lineRule="exact"/>
              <w:ind w:firstLine="0" w:firstLineChars="0"/>
              <w:jc w:val="center"/>
              <w:rPr>
                <w:sz w:val="21"/>
                <w:szCs w:val="21"/>
              </w:rPr>
            </w:pPr>
            <w:r>
              <w:rPr>
                <w:sz w:val="21"/>
                <w:szCs w:val="21"/>
              </w:rPr>
              <w:t>浅棕</w:t>
            </w:r>
          </w:p>
        </w:tc>
        <w:tc>
          <w:tcPr>
            <w:tcW w:w="756" w:type="pct"/>
            <w:vAlign w:val="center"/>
          </w:tcPr>
          <w:p w14:paraId="4794900B">
            <w:pPr>
              <w:spacing w:line="360" w:lineRule="exact"/>
              <w:ind w:firstLine="0" w:firstLineChars="0"/>
              <w:jc w:val="center"/>
              <w:rPr>
                <w:sz w:val="21"/>
                <w:szCs w:val="21"/>
              </w:rPr>
            </w:pPr>
            <w:r>
              <w:rPr>
                <w:sz w:val="21"/>
                <w:szCs w:val="21"/>
              </w:rPr>
              <w:t>浅棕</w:t>
            </w:r>
          </w:p>
        </w:tc>
      </w:tr>
      <w:tr w14:paraId="39E6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4E2AB892">
            <w:pPr>
              <w:pStyle w:val="34"/>
              <w:spacing w:after="0" w:line="360" w:lineRule="exact"/>
              <w:ind w:firstLine="0" w:firstLineChars="0"/>
              <w:jc w:val="center"/>
              <w:rPr>
                <w:b/>
                <w:bCs/>
                <w:sz w:val="21"/>
                <w:szCs w:val="21"/>
              </w:rPr>
            </w:pPr>
          </w:p>
        </w:tc>
        <w:tc>
          <w:tcPr>
            <w:tcW w:w="556" w:type="pct"/>
            <w:vAlign w:val="center"/>
          </w:tcPr>
          <w:p w14:paraId="57F79DD1">
            <w:pPr>
              <w:pStyle w:val="34"/>
              <w:spacing w:after="0" w:line="360" w:lineRule="exact"/>
              <w:ind w:firstLine="0" w:firstLineChars="0"/>
              <w:jc w:val="center"/>
              <w:rPr>
                <w:b/>
                <w:bCs/>
                <w:sz w:val="21"/>
                <w:szCs w:val="21"/>
              </w:rPr>
            </w:pPr>
            <w:r>
              <w:rPr>
                <w:b/>
                <w:bCs/>
                <w:sz w:val="21"/>
                <w:szCs w:val="21"/>
              </w:rPr>
              <w:t>结构</w:t>
            </w:r>
          </w:p>
        </w:tc>
        <w:tc>
          <w:tcPr>
            <w:tcW w:w="506" w:type="pct"/>
            <w:vAlign w:val="center"/>
          </w:tcPr>
          <w:p w14:paraId="516E4087">
            <w:pPr>
              <w:spacing w:line="360" w:lineRule="exact"/>
              <w:ind w:firstLine="0" w:firstLineChars="0"/>
              <w:jc w:val="center"/>
              <w:rPr>
                <w:sz w:val="21"/>
                <w:szCs w:val="21"/>
              </w:rPr>
            </w:pPr>
            <w:r>
              <w:rPr>
                <w:rFonts w:hint="eastAsia"/>
                <w:sz w:val="21"/>
                <w:szCs w:val="21"/>
              </w:rPr>
              <w:t>散状</w:t>
            </w:r>
          </w:p>
        </w:tc>
        <w:tc>
          <w:tcPr>
            <w:tcW w:w="708" w:type="pct"/>
          </w:tcPr>
          <w:p w14:paraId="0DAE6093">
            <w:pPr>
              <w:spacing w:line="360" w:lineRule="exact"/>
              <w:ind w:firstLine="0" w:firstLineChars="0"/>
              <w:jc w:val="center"/>
              <w:rPr>
                <w:sz w:val="21"/>
                <w:szCs w:val="21"/>
              </w:rPr>
            </w:pPr>
            <w:r>
              <w:rPr>
                <w:rFonts w:hint="eastAsia"/>
                <w:sz w:val="21"/>
                <w:szCs w:val="21"/>
              </w:rPr>
              <w:t>散状</w:t>
            </w:r>
          </w:p>
        </w:tc>
        <w:tc>
          <w:tcPr>
            <w:tcW w:w="759" w:type="pct"/>
          </w:tcPr>
          <w:p w14:paraId="75BB9F98">
            <w:pPr>
              <w:spacing w:line="360" w:lineRule="exact"/>
              <w:ind w:firstLine="0" w:firstLineChars="0"/>
              <w:jc w:val="center"/>
              <w:rPr>
                <w:sz w:val="21"/>
                <w:szCs w:val="21"/>
              </w:rPr>
            </w:pPr>
            <w:r>
              <w:rPr>
                <w:rFonts w:hint="eastAsia"/>
                <w:sz w:val="21"/>
                <w:szCs w:val="21"/>
              </w:rPr>
              <w:t>散状</w:t>
            </w:r>
          </w:p>
        </w:tc>
        <w:tc>
          <w:tcPr>
            <w:tcW w:w="758" w:type="pct"/>
          </w:tcPr>
          <w:p w14:paraId="09992A8C">
            <w:pPr>
              <w:spacing w:line="360" w:lineRule="exact"/>
              <w:ind w:firstLine="0" w:firstLineChars="0"/>
              <w:jc w:val="center"/>
              <w:rPr>
                <w:sz w:val="21"/>
                <w:szCs w:val="21"/>
              </w:rPr>
            </w:pPr>
            <w:r>
              <w:rPr>
                <w:rFonts w:hint="eastAsia"/>
                <w:sz w:val="21"/>
                <w:szCs w:val="21"/>
              </w:rPr>
              <w:t>散状</w:t>
            </w:r>
          </w:p>
        </w:tc>
        <w:tc>
          <w:tcPr>
            <w:tcW w:w="756" w:type="pct"/>
          </w:tcPr>
          <w:p w14:paraId="27C31C41">
            <w:pPr>
              <w:spacing w:line="360" w:lineRule="exact"/>
              <w:ind w:firstLine="0" w:firstLineChars="0"/>
              <w:jc w:val="center"/>
              <w:rPr>
                <w:sz w:val="21"/>
                <w:szCs w:val="21"/>
              </w:rPr>
            </w:pPr>
            <w:r>
              <w:rPr>
                <w:rFonts w:hint="eastAsia"/>
                <w:sz w:val="21"/>
                <w:szCs w:val="21"/>
              </w:rPr>
              <w:t>散状</w:t>
            </w:r>
          </w:p>
        </w:tc>
        <w:tc>
          <w:tcPr>
            <w:tcW w:w="756" w:type="pct"/>
          </w:tcPr>
          <w:p w14:paraId="6F2C0C9F">
            <w:pPr>
              <w:spacing w:line="360" w:lineRule="exact"/>
              <w:ind w:firstLine="0" w:firstLineChars="0"/>
              <w:jc w:val="center"/>
              <w:rPr>
                <w:sz w:val="21"/>
                <w:szCs w:val="21"/>
              </w:rPr>
            </w:pPr>
            <w:r>
              <w:rPr>
                <w:rFonts w:hint="eastAsia"/>
                <w:sz w:val="21"/>
                <w:szCs w:val="21"/>
              </w:rPr>
              <w:t>散状</w:t>
            </w:r>
          </w:p>
        </w:tc>
      </w:tr>
      <w:tr w14:paraId="21E1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5DAC53B8">
            <w:pPr>
              <w:pStyle w:val="34"/>
              <w:spacing w:after="0" w:line="360" w:lineRule="exact"/>
              <w:ind w:firstLine="0" w:firstLineChars="0"/>
              <w:jc w:val="center"/>
              <w:rPr>
                <w:b/>
                <w:bCs/>
                <w:sz w:val="21"/>
                <w:szCs w:val="21"/>
                <w:highlight w:val="yellow"/>
              </w:rPr>
            </w:pPr>
          </w:p>
        </w:tc>
        <w:tc>
          <w:tcPr>
            <w:tcW w:w="556" w:type="pct"/>
            <w:vAlign w:val="center"/>
          </w:tcPr>
          <w:p w14:paraId="3714A6A4">
            <w:pPr>
              <w:pStyle w:val="34"/>
              <w:spacing w:after="0" w:line="360" w:lineRule="exact"/>
              <w:ind w:firstLine="0" w:firstLineChars="0"/>
              <w:jc w:val="center"/>
              <w:rPr>
                <w:b/>
                <w:bCs/>
                <w:sz w:val="21"/>
                <w:szCs w:val="21"/>
              </w:rPr>
            </w:pPr>
            <w:r>
              <w:rPr>
                <w:b/>
                <w:bCs/>
                <w:sz w:val="21"/>
                <w:szCs w:val="21"/>
              </w:rPr>
              <w:t>质地</w:t>
            </w:r>
          </w:p>
        </w:tc>
        <w:tc>
          <w:tcPr>
            <w:tcW w:w="506" w:type="pct"/>
            <w:vAlign w:val="center"/>
          </w:tcPr>
          <w:p w14:paraId="2E49B187">
            <w:pPr>
              <w:spacing w:line="360" w:lineRule="exact"/>
              <w:ind w:firstLine="0" w:firstLineChars="0"/>
              <w:jc w:val="center"/>
              <w:rPr>
                <w:sz w:val="21"/>
                <w:szCs w:val="21"/>
              </w:rPr>
            </w:pPr>
            <w:r>
              <w:rPr>
                <w:sz w:val="21"/>
                <w:szCs w:val="21"/>
              </w:rPr>
              <w:t>轻壤土</w:t>
            </w:r>
          </w:p>
        </w:tc>
        <w:tc>
          <w:tcPr>
            <w:tcW w:w="708" w:type="pct"/>
            <w:vAlign w:val="center"/>
          </w:tcPr>
          <w:p w14:paraId="5C2C5A9D">
            <w:pPr>
              <w:spacing w:line="360" w:lineRule="exact"/>
              <w:ind w:firstLine="0" w:firstLineChars="0"/>
              <w:jc w:val="center"/>
              <w:rPr>
                <w:sz w:val="21"/>
                <w:szCs w:val="21"/>
              </w:rPr>
            </w:pPr>
            <w:r>
              <w:rPr>
                <w:sz w:val="21"/>
                <w:szCs w:val="21"/>
              </w:rPr>
              <w:t>轻壤土</w:t>
            </w:r>
          </w:p>
        </w:tc>
        <w:tc>
          <w:tcPr>
            <w:tcW w:w="759" w:type="pct"/>
            <w:vAlign w:val="center"/>
          </w:tcPr>
          <w:p w14:paraId="2C9D1952">
            <w:pPr>
              <w:spacing w:line="360" w:lineRule="exact"/>
              <w:ind w:firstLine="0" w:firstLineChars="0"/>
              <w:jc w:val="center"/>
              <w:rPr>
                <w:sz w:val="21"/>
                <w:szCs w:val="21"/>
              </w:rPr>
            </w:pPr>
            <w:r>
              <w:rPr>
                <w:sz w:val="21"/>
                <w:szCs w:val="21"/>
              </w:rPr>
              <w:t>轻壤土</w:t>
            </w:r>
          </w:p>
        </w:tc>
        <w:tc>
          <w:tcPr>
            <w:tcW w:w="758" w:type="pct"/>
            <w:vAlign w:val="center"/>
          </w:tcPr>
          <w:p w14:paraId="4927D865">
            <w:pPr>
              <w:spacing w:line="360" w:lineRule="exact"/>
              <w:ind w:firstLine="0" w:firstLineChars="0"/>
              <w:jc w:val="center"/>
              <w:rPr>
                <w:sz w:val="21"/>
                <w:szCs w:val="21"/>
              </w:rPr>
            </w:pPr>
            <w:r>
              <w:rPr>
                <w:sz w:val="21"/>
                <w:szCs w:val="21"/>
              </w:rPr>
              <w:t>轻壤土</w:t>
            </w:r>
          </w:p>
        </w:tc>
        <w:tc>
          <w:tcPr>
            <w:tcW w:w="756" w:type="pct"/>
            <w:vAlign w:val="center"/>
          </w:tcPr>
          <w:p w14:paraId="421D4D7E">
            <w:pPr>
              <w:spacing w:line="360" w:lineRule="exact"/>
              <w:ind w:firstLine="0" w:firstLineChars="0"/>
              <w:jc w:val="center"/>
              <w:rPr>
                <w:sz w:val="21"/>
                <w:szCs w:val="21"/>
              </w:rPr>
            </w:pPr>
            <w:r>
              <w:rPr>
                <w:sz w:val="21"/>
                <w:szCs w:val="21"/>
              </w:rPr>
              <w:t>轻壤土</w:t>
            </w:r>
          </w:p>
        </w:tc>
        <w:tc>
          <w:tcPr>
            <w:tcW w:w="756" w:type="pct"/>
            <w:vAlign w:val="center"/>
          </w:tcPr>
          <w:p w14:paraId="662C1F15">
            <w:pPr>
              <w:spacing w:line="360" w:lineRule="exact"/>
              <w:ind w:firstLine="0" w:firstLineChars="0"/>
              <w:jc w:val="center"/>
              <w:rPr>
                <w:sz w:val="21"/>
                <w:szCs w:val="21"/>
              </w:rPr>
            </w:pPr>
            <w:r>
              <w:rPr>
                <w:sz w:val="21"/>
                <w:szCs w:val="21"/>
              </w:rPr>
              <w:t>轻壤土</w:t>
            </w:r>
          </w:p>
        </w:tc>
      </w:tr>
      <w:tr w14:paraId="02E9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54DF5158">
            <w:pPr>
              <w:pStyle w:val="34"/>
              <w:spacing w:after="0" w:line="360" w:lineRule="exact"/>
              <w:ind w:firstLine="0" w:firstLineChars="0"/>
              <w:jc w:val="center"/>
              <w:rPr>
                <w:b/>
                <w:bCs/>
                <w:sz w:val="21"/>
                <w:szCs w:val="21"/>
                <w:highlight w:val="yellow"/>
              </w:rPr>
            </w:pPr>
          </w:p>
        </w:tc>
        <w:tc>
          <w:tcPr>
            <w:tcW w:w="556" w:type="pct"/>
            <w:vAlign w:val="center"/>
          </w:tcPr>
          <w:p w14:paraId="16408B6A">
            <w:pPr>
              <w:pStyle w:val="34"/>
              <w:spacing w:after="0" w:line="360" w:lineRule="exact"/>
              <w:ind w:firstLine="0" w:firstLineChars="0"/>
              <w:jc w:val="center"/>
              <w:rPr>
                <w:b/>
                <w:bCs/>
                <w:sz w:val="21"/>
                <w:szCs w:val="21"/>
              </w:rPr>
            </w:pPr>
            <w:r>
              <w:rPr>
                <w:b/>
                <w:bCs/>
                <w:sz w:val="21"/>
                <w:szCs w:val="21"/>
              </w:rPr>
              <w:t>砂砾含量</w:t>
            </w:r>
          </w:p>
        </w:tc>
        <w:tc>
          <w:tcPr>
            <w:tcW w:w="506" w:type="pct"/>
            <w:vAlign w:val="center"/>
          </w:tcPr>
          <w:p w14:paraId="4531314E">
            <w:pPr>
              <w:pStyle w:val="34"/>
              <w:spacing w:after="0" w:line="360" w:lineRule="exact"/>
              <w:ind w:firstLine="0" w:firstLineChars="0"/>
              <w:jc w:val="center"/>
              <w:rPr>
                <w:sz w:val="21"/>
                <w:szCs w:val="21"/>
              </w:rPr>
            </w:pPr>
            <w:r>
              <w:rPr>
                <w:rFonts w:hint="eastAsia"/>
                <w:sz w:val="21"/>
                <w:szCs w:val="21"/>
              </w:rPr>
              <w:t>20</w:t>
            </w:r>
            <w:r>
              <w:rPr>
                <w:sz w:val="21"/>
                <w:szCs w:val="21"/>
              </w:rPr>
              <w:t>%</w:t>
            </w:r>
          </w:p>
        </w:tc>
        <w:tc>
          <w:tcPr>
            <w:tcW w:w="708" w:type="pct"/>
            <w:vAlign w:val="center"/>
          </w:tcPr>
          <w:p w14:paraId="0B3D6856">
            <w:pPr>
              <w:pStyle w:val="34"/>
              <w:spacing w:after="0" w:line="360" w:lineRule="exact"/>
              <w:ind w:firstLine="0" w:firstLineChars="0"/>
              <w:jc w:val="center"/>
              <w:rPr>
                <w:sz w:val="21"/>
                <w:szCs w:val="21"/>
              </w:rPr>
            </w:pPr>
            <w:r>
              <w:rPr>
                <w:rFonts w:hint="eastAsia"/>
                <w:sz w:val="21"/>
                <w:szCs w:val="21"/>
              </w:rPr>
              <w:t>15</w:t>
            </w:r>
            <w:r>
              <w:rPr>
                <w:sz w:val="21"/>
                <w:szCs w:val="21"/>
              </w:rPr>
              <w:t>%</w:t>
            </w:r>
          </w:p>
        </w:tc>
        <w:tc>
          <w:tcPr>
            <w:tcW w:w="759" w:type="pct"/>
            <w:vAlign w:val="center"/>
          </w:tcPr>
          <w:p w14:paraId="4DD86D67">
            <w:pPr>
              <w:pStyle w:val="34"/>
              <w:spacing w:after="0" w:line="360" w:lineRule="exact"/>
              <w:ind w:firstLine="0" w:firstLineChars="0"/>
              <w:jc w:val="center"/>
              <w:rPr>
                <w:sz w:val="21"/>
                <w:szCs w:val="21"/>
              </w:rPr>
            </w:pPr>
            <w:r>
              <w:rPr>
                <w:rFonts w:hint="eastAsia"/>
                <w:sz w:val="21"/>
                <w:szCs w:val="21"/>
              </w:rPr>
              <w:t>10</w:t>
            </w:r>
            <w:r>
              <w:rPr>
                <w:sz w:val="21"/>
                <w:szCs w:val="21"/>
              </w:rPr>
              <w:t>%</w:t>
            </w:r>
          </w:p>
        </w:tc>
        <w:tc>
          <w:tcPr>
            <w:tcW w:w="758" w:type="pct"/>
            <w:vAlign w:val="center"/>
          </w:tcPr>
          <w:p w14:paraId="14F4DB62">
            <w:pPr>
              <w:pStyle w:val="34"/>
              <w:spacing w:after="0" w:line="360" w:lineRule="exact"/>
              <w:ind w:firstLine="0" w:firstLineChars="0"/>
              <w:jc w:val="center"/>
              <w:rPr>
                <w:sz w:val="21"/>
                <w:szCs w:val="21"/>
              </w:rPr>
            </w:pPr>
            <w:r>
              <w:rPr>
                <w:rFonts w:hint="eastAsia"/>
                <w:sz w:val="21"/>
                <w:szCs w:val="21"/>
              </w:rPr>
              <w:t>20%</w:t>
            </w:r>
          </w:p>
        </w:tc>
        <w:tc>
          <w:tcPr>
            <w:tcW w:w="756" w:type="pct"/>
            <w:vAlign w:val="center"/>
          </w:tcPr>
          <w:p w14:paraId="41AB66D5">
            <w:pPr>
              <w:pStyle w:val="34"/>
              <w:spacing w:after="0" w:line="360" w:lineRule="exact"/>
              <w:ind w:firstLine="0" w:firstLineChars="0"/>
              <w:jc w:val="center"/>
              <w:rPr>
                <w:sz w:val="21"/>
                <w:szCs w:val="21"/>
              </w:rPr>
            </w:pPr>
            <w:r>
              <w:rPr>
                <w:rFonts w:hint="eastAsia"/>
                <w:sz w:val="21"/>
                <w:szCs w:val="21"/>
              </w:rPr>
              <w:t>20%</w:t>
            </w:r>
          </w:p>
        </w:tc>
        <w:tc>
          <w:tcPr>
            <w:tcW w:w="756" w:type="pct"/>
            <w:vAlign w:val="center"/>
          </w:tcPr>
          <w:p w14:paraId="5DD1135A">
            <w:pPr>
              <w:pStyle w:val="34"/>
              <w:spacing w:after="0" w:line="360" w:lineRule="exact"/>
              <w:ind w:firstLine="0" w:firstLineChars="0"/>
              <w:jc w:val="center"/>
              <w:rPr>
                <w:sz w:val="21"/>
                <w:szCs w:val="21"/>
              </w:rPr>
            </w:pPr>
            <w:r>
              <w:rPr>
                <w:rFonts w:hint="eastAsia"/>
                <w:sz w:val="21"/>
                <w:szCs w:val="21"/>
              </w:rPr>
              <w:t>20%</w:t>
            </w:r>
          </w:p>
        </w:tc>
      </w:tr>
      <w:tr w14:paraId="426F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63D5D5E9">
            <w:pPr>
              <w:pStyle w:val="34"/>
              <w:spacing w:after="0" w:line="360" w:lineRule="exact"/>
              <w:ind w:firstLine="0" w:firstLineChars="0"/>
              <w:jc w:val="center"/>
              <w:rPr>
                <w:b/>
                <w:bCs/>
                <w:sz w:val="21"/>
                <w:szCs w:val="21"/>
                <w:highlight w:val="yellow"/>
              </w:rPr>
            </w:pPr>
          </w:p>
        </w:tc>
        <w:tc>
          <w:tcPr>
            <w:tcW w:w="556" w:type="pct"/>
            <w:vAlign w:val="center"/>
          </w:tcPr>
          <w:p w14:paraId="1D7C3CF1">
            <w:pPr>
              <w:pStyle w:val="34"/>
              <w:spacing w:after="0" w:line="360" w:lineRule="exact"/>
              <w:ind w:firstLine="0" w:firstLineChars="0"/>
              <w:jc w:val="center"/>
              <w:rPr>
                <w:b/>
                <w:bCs/>
                <w:sz w:val="21"/>
                <w:szCs w:val="21"/>
              </w:rPr>
            </w:pPr>
            <w:r>
              <w:rPr>
                <w:b/>
                <w:bCs/>
                <w:sz w:val="21"/>
                <w:szCs w:val="21"/>
              </w:rPr>
              <w:t>其他异物</w:t>
            </w:r>
          </w:p>
        </w:tc>
        <w:tc>
          <w:tcPr>
            <w:tcW w:w="506" w:type="pct"/>
            <w:vAlign w:val="center"/>
          </w:tcPr>
          <w:p w14:paraId="423AA63E">
            <w:pPr>
              <w:spacing w:line="360" w:lineRule="exact"/>
              <w:ind w:firstLine="0" w:firstLineChars="0"/>
              <w:jc w:val="center"/>
              <w:rPr>
                <w:sz w:val="21"/>
                <w:szCs w:val="21"/>
              </w:rPr>
            </w:pPr>
            <w:r>
              <w:rPr>
                <w:rFonts w:hint="eastAsia"/>
                <w:sz w:val="21"/>
                <w:szCs w:val="21"/>
              </w:rPr>
              <w:t>/</w:t>
            </w:r>
          </w:p>
        </w:tc>
        <w:tc>
          <w:tcPr>
            <w:tcW w:w="708" w:type="pct"/>
            <w:vAlign w:val="center"/>
          </w:tcPr>
          <w:p w14:paraId="5F08774E">
            <w:pPr>
              <w:spacing w:line="360" w:lineRule="exact"/>
              <w:ind w:firstLine="0" w:firstLineChars="0"/>
              <w:jc w:val="center"/>
              <w:rPr>
                <w:sz w:val="21"/>
                <w:szCs w:val="21"/>
              </w:rPr>
            </w:pPr>
            <w:r>
              <w:rPr>
                <w:rFonts w:hint="eastAsia"/>
                <w:sz w:val="21"/>
                <w:szCs w:val="21"/>
              </w:rPr>
              <w:t>/</w:t>
            </w:r>
          </w:p>
        </w:tc>
        <w:tc>
          <w:tcPr>
            <w:tcW w:w="759" w:type="pct"/>
            <w:vAlign w:val="center"/>
          </w:tcPr>
          <w:p w14:paraId="62D5E2EB">
            <w:pPr>
              <w:spacing w:line="360" w:lineRule="exact"/>
              <w:ind w:firstLine="0" w:firstLineChars="0"/>
              <w:jc w:val="center"/>
              <w:rPr>
                <w:sz w:val="21"/>
                <w:szCs w:val="21"/>
              </w:rPr>
            </w:pPr>
            <w:r>
              <w:rPr>
                <w:rFonts w:hint="eastAsia"/>
                <w:sz w:val="21"/>
                <w:szCs w:val="21"/>
              </w:rPr>
              <w:t>/</w:t>
            </w:r>
          </w:p>
        </w:tc>
        <w:tc>
          <w:tcPr>
            <w:tcW w:w="758" w:type="pct"/>
            <w:vAlign w:val="center"/>
          </w:tcPr>
          <w:p w14:paraId="2C3A1A1A">
            <w:pPr>
              <w:spacing w:line="360" w:lineRule="exact"/>
              <w:ind w:firstLine="0" w:firstLineChars="0"/>
              <w:jc w:val="center"/>
              <w:rPr>
                <w:sz w:val="21"/>
                <w:szCs w:val="21"/>
              </w:rPr>
            </w:pPr>
            <w:r>
              <w:rPr>
                <w:rFonts w:hint="eastAsia"/>
                <w:sz w:val="21"/>
                <w:szCs w:val="21"/>
              </w:rPr>
              <w:t>枯叶</w:t>
            </w:r>
          </w:p>
        </w:tc>
        <w:tc>
          <w:tcPr>
            <w:tcW w:w="756" w:type="pct"/>
            <w:vAlign w:val="center"/>
          </w:tcPr>
          <w:p w14:paraId="681E74CC">
            <w:pPr>
              <w:spacing w:line="360" w:lineRule="exact"/>
              <w:ind w:firstLine="0" w:firstLineChars="0"/>
              <w:jc w:val="center"/>
              <w:rPr>
                <w:sz w:val="21"/>
                <w:szCs w:val="21"/>
              </w:rPr>
            </w:pPr>
            <w:r>
              <w:rPr>
                <w:rFonts w:hint="eastAsia"/>
                <w:sz w:val="21"/>
                <w:szCs w:val="21"/>
              </w:rPr>
              <w:t>/</w:t>
            </w:r>
          </w:p>
        </w:tc>
        <w:tc>
          <w:tcPr>
            <w:tcW w:w="756" w:type="pct"/>
            <w:vAlign w:val="center"/>
          </w:tcPr>
          <w:p w14:paraId="21EE93B9">
            <w:pPr>
              <w:spacing w:line="360" w:lineRule="exact"/>
              <w:ind w:firstLine="0" w:firstLineChars="0"/>
              <w:jc w:val="center"/>
              <w:rPr>
                <w:sz w:val="21"/>
                <w:szCs w:val="21"/>
              </w:rPr>
            </w:pPr>
            <w:r>
              <w:rPr>
                <w:rFonts w:hint="eastAsia"/>
                <w:sz w:val="21"/>
                <w:szCs w:val="21"/>
              </w:rPr>
              <w:t>/</w:t>
            </w:r>
          </w:p>
        </w:tc>
      </w:tr>
      <w:tr w14:paraId="3C8F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restart"/>
            <w:vAlign w:val="center"/>
          </w:tcPr>
          <w:p w14:paraId="4303CCCD">
            <w:pPr>
              <w:pStyle w:val="34"/>
              <w:spacing w:after="0" w:line="360" w:lineRule="exact"/>
              <w:ind w:firstLine="0" w:firstLineChars="0"/>
              <w:jc w:val="center"/>
              <w:rPr>
                <w:b/>
                <w:bCs/>
                <w:sz w:val="21"/>
                <w:szCs w:val="21"/>
              </w:rPr>
            </w:pPr>
            <w:r>
              <w:rPr>
                <w:b/>
                <w:bCs/>
                <w:sz w:val="21"/>
                <w:szCs w:val="21"/>
              </w:rPr>
              <w:t>实验 室测 定</w:t>
            </w:r>
          </w:p>
        </w:tc>
        <w:tc>
          <w:tcPr>
            <w:tcW w:w="556" w:type="pct"/>
            <w:vAlign w:val="center"/>
          </w:tcPr>
          <w:p w14:paraId="03D49DFB">
            <w:pPr>
              <w:pStyle w:val="34"/>
              <w:spacing w:after="0" w:line="240" w:lineRule="auto"/>
              <w:ind w:firstLine="0" w:firstLineChars="0"/>
              <w:jc w:val="center"/>
              <w:rPr>
                <w:b/>
                <w:bCs/>
                <w:sz w:val="21"/>
                <w:szCs w:val="21"/>
              </w:rPr>
            </w:pPr>
            <w:r>
              <w:rPr>
                <w:b/>
                <w:bCs/>
                <w:sz w:val="21"/>
                <w:szCs w:val="21"/>
              </w:rPr>
              <w:t>pH值</w:t>
            </w:r>
          </w:p>
          <w:p w14:paraId="0EBD60EE">
            <w:pPr>
              <w:pStyle w:val="34"/>
              <w:spacing w:after="0" w:line="240" w:lineRule="auto"/>
              <w:ind w:firstLine="0" w:firstLineChars="0"/>
              <w:jc w:val="center"/>
              <w:rPr>
                <w:b/>
                <w:bCs/>
                <w:sz w:val="21"/>
                <w:szCs w:val="21"/>
              </w:rPr>
            </w:pPr>
            <w:r>
              <w:rPr>
                <w:b/>
                <w:bCs/>
                <w:sz w:val="21"/>
                <w:szCs w:val="21"/>
              </w:rPr>
              <w:t>（无量纲）</w:t>
            </w:r>
          </w:p>
        </w:tc>
        <w:tc>
          <w:tcPr>
            <w:tcW w:w="506" w:type="pct"/>
            <w:vAlign w:val="center"/>
          </w:tcPr>
          <w:p w14:paraId="123C4D86">
            <w:pPr>
              <w:tabs>
                <w:tab w:val="left" w:pos="417"/>
              </w:tabs>
              <w:spacing w:line="360" w:lineRule="exact"/>
              <w:ind w:firstLine="0" w:firstLineChars="0"/>
              <w:jc w:val="center"/>
              <w:rPr>
                <w:sz w:val="21"/>
                <w:szCs w:val="21"/>
              </w:rPr>
            </w:pPr>
            <w:r>
              <w:rPr>
                <w:rFonts w:hint="eastAsia"/>
                <w:sz w:val="21"/>
                <w:szCs w:val="21"/>
              </w:rPr>
              <w:t>7.08</w:t>
            </w:r>
          </w:p>
        </w:tc>
        <w:tc>
          <w:tcPr>
            <w:tcW w:w="708" w:type="pct"/>
            <w:vAlign w:val="center"/>
          </w:tcPr>
          <w:p w14:paraId="2E76D6F6">
            <w:pPr>
              <w:tabs>
                <w:tab w:val="left" w:pos="417"/>
              </w:tabs>
              <w:spacing w:line="360" w:lineRule="exact"/>
              <w:ind w:firstLine="0" w:firstLineChars="0"/>
              <w:jc w:val="center"/>
              <w:rPr>
                <w:sz w:val="21"/>
                <w:szCs w:val="21"/>
              </w:rPr>
            </w:pPr>
            <w:r>
              <w:rPr>
                <w:rFonts w:hint="eastAsia"/>
                <w:sz w:val="21"/>
                <w:szCs w:val="21"/>
              </w:rPr>
              <w:t>7.12</w:t>
            </w:r>
          </w:p>
        </w:tc>
        <w:tc>
          <w:tcPr>
            <w:tcW w:w="759" w:type="pct"/>
            <w:vAlign w:val="center"/>
          </w:tcPr>
          <w:p w14:paraId="20216792">
            <w:pPr>
              <w:tabs>
                <w:tab w:val="left" w:pos="417"/>
              </w:tabs>
              <w:spacing w:line="360" w:lineRule="exact"/>
              <w:ind w:firstLine="0" w:firstLineChars="0"/>
              <w:jc w:val="center"/>
              <w:rPr>
                <w:sz w:val="21"/>
                <w:szCs w:val="21"/>
              </w:rPr>
            </w:pPr>
            <w:r>
              <w:rPr>
                <w:rFonts w:hint="eastAsia"/>
                <w:sz w:val="21"/>
                <w:szCs w:val="21"/>
              </w:rPr>
              <w:t>7.14</w:t>
            </w:r>
          </w:p>
        </w:tc>
        <w:tc>
          <w:tcPr>
            <w:tcW w:w="758" w:type="pct"/>
            <w:vAlign w:val="center"/>
          </w:tcPr>
          <w:p w14:paraId="0944CE70">
            <w:pPr>
              <w:tabs>
                <w:tab w:val="left" w:pos="417"/>
              </w:tabs>
              <w:spacing w:line="360" w:lineRule="exact"/>
              <w:ind w:firstLine="0" w:firstLineChars="0"/>
              <w:jc w:val="center"/>
              <w:rPr>
                <w:sz w:val="21"/>
                <w:szCs w:val="21"/>
              </w:rPr>
            </w:pPr>
            <w:r>
              <w:rPr>
                <w:rFonts w:hint="eastAsia"/>
                <w:sz w:val="21"/>
                <w:szCs w:val="21"/>
              </w:rPr>
              <w:t>7.11</w:t>
            </w:r>
          </w:p>
        </w:tc>
        <w:tc>
          <w:tcPr>
            <w:tcW w:w="756" w:type="pct"/>
            <w:vAlign w:val="center"/>
          </w:tcPr>
          <w:p w14:paraId="623ED19D">
            <w:pPr>
              <w:tabs>
                <w:tab w:val="left" w:pos="417"/>
              </w:tabs>
              <w:spacing w:line="360" w:lineRule="exact"/>
              <w:ind w:firstLine="0" w:firstLineChars="0"/>
              <w:jc w:val="center"/>
              <w:rPr>
                <w:sz w:val="21"/>
                <w:szCs w:val="21"/>
              </w:rPr>
            </w:pPr>
            <w:r>
              <w:rPr>
                <w:rFonts w:hint="eastAsia"/>
                <w:sz w:val="21"/>
                <w:szCs w:val="21"/>
              </w:rPr>
              <w:t>7.16</w:t>
            </w:r>
          </w:p>
        </w:tc>
        <w:tc>
          <w:tcPr>
            <w:tcW w:w="756" w:type="pct"/>
            <w:vAlign w:val="center"/>
          </w:tcPr>
          <w:p w14:paraId="76E828CD">
            <w:pPr>
              <w:tabs>
                <w:tab w:val="left" w:pos="417"/>
              </w:tabs>
              <w:spacing w:line="360" w:lineRule="exact"/>
              <w:ind w:firstLine="0" w:firstLineChars="0"/>
              <w:jc w:val="center"/>
              <w:rPr>
                <w:sz w:val="21"/>
                <w:szCs w:val="21"/>
              </w:rPr>
            </w:pPr>
            <w:r>
              <w:rPr>
                <w:rFonts w:hint="eastAsia"/>
                <w:sz w:val="21"/>
                <w:szCs w:val="21"/>
              </w:rPr>
              <w:t>7.13</w:t>
            </w:r>
          </w:p>
        </w:tc>
      </w:tr>
      <w:tr w14:paraId="365B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textDirection w:val="tbRlV"/>
            <w:vAlign w:val="center"/>
          </w:tcPr>
          <w:p w14:paraId="591D6C63">
            <w:pPr>
              <w:pStyle w:val="34"/>
              <w:spacing w:after="0" w:line="360" w:lineRule="exact"/>
              <w:ind w:firstLine="0" w:firstLineChars="0"/>
              <w:jc w:val="center"/>
              <w:rPr>
                <w:b/>
                <w:bCs/>
                <w:sz w:val="21"/>
                <w:szCs w:val="21"/>
              </w:rPr>
            </w:pPr>
          </w:p>
        </w:tc>
        <w:tc>
          <w:tcPr>
            <w:tcW w:w="556" w:type="pct"/>
            <w:vAlign w:val="center"/>
          </w:tcPr>
          <w:p w14:paraId="58D3E8BB">
            <w:pPr>
              <w:pStyle w:val="34"/>
              <w:spacing w:after="0" w:line="240" w:lineRule="auto"/>
              <w:ind w:firstLine="0" w:firstLineChars="0"/>
              <w:jc w:val="center"/>
              <w:rPr>
                <w:b/>
                <w:bCs/>
                <w:sz w:val="21"/>
                <w:szCs w:val="21"/>
              </w:rPr>
            </w:pPr>
            <w:r>
              <w:rPr>
                <w:b/>
                <w:bCs/>
                <w:sz w:val="21"/>
                <w:szCs w:val="21"/>
              </w:rPr>
              <w:t>阳离子交换量</w:t>
            </w:r>
          </w:p>
          <w:p w14:paraId="549434CF">
            <w:pPr>
              <w:pStyle w:val="34"/>
              <w:spacing w:after="0" w:line="240" w:lineRule="auto"/>
              <w:ind w:firstLine="0" w:firstLineChars="0"/>
              <w:jc w:val="center"/>
              <w:rPr>
                <w:b/>
                <w:bCs/>
                <w:sz w:val="21"/>
                <w:szCs w:val="21"/>
              </w:rPr>
            </w:pPr>
            <w:r>
              <w:rPr>
                <w:b/>
                <w:bCs/>
                <w:sz w:val="21"/>
                <w:szCs w:val="21"/>
              </w:rPr>
              <w:t>（cmol</w:t>
            </w:r>
            <w:r>
              <w:rPr>
                <w:b/>
                <w:bCs/>
                <w:sz w:val="21"/>
                <w:szCs w:val="21"/>
                <w:vertAlign w:val="superscript"/>
              </w:rPr>
              <w:t>+</w:t>
            </w:r>
            <w:r>
              <w:rPr>
                <w:b/>
                <w:bCs/>
                <w:sz w:val="21"/>
                <w:szCs w:val="21"/>
              </w:rPr>
              <w:t>/kg）</w:t>
            </w:r>
          </w:p>
        </w:tc>
        <w:tc>
          <w:tcPr>
            <w:tcW w:w="506" w:type="pct"/>
            <w:vAlign w:val="center"/>
          </w:tcPr>
          <w:p w14:paraId="54BAD219">
            <w:pPr>
              <w:tabs>
                <w:tab w:val="left" w:pos="417"/>
              </w:tabs>
              <w:spacing w:line="360" w:lineRule="exact"/>
              <w:ind w:firstLine="0" w:firstLineChars="0"/>
              <w:jc w:val="center"/>
              <w:rPr>
                <w:sz w:val="21"/>
                <w:szCs w:val="21"/>
              </w:rPr>
            </w:pPr>
            <w:r>
              <w:rPr>
                <w:rFonts w:hint="eastAsia"/>
                <w:sz w:val="21"/>
                <w:szCs w:val="21"/>
              </w:rPr>
              <w:t>15.67</w:t>
            </w:r>
          </w:p>
        </w:tc>
        <w:tc>
          <w:tcPr>
            <w:tcW w:w="708" w:type="pct"/>
            <w:vAlign w:val="center"/>
          </w:tcPr>
          <w:p w14:paraId="1E1AEE50">
            <w:pPr>
              <w:tabs>
                <w:tab w:val="left" w:pos="417"/>
              </w:tabs>
              <w:spacing w:line="360" w:lineRule="exact"/>
              <w:ind w:firstLine="0" w:firstLineChars="0"/>
              <w:jc w:val="center"/>
              <w:rPr>
                <w:sz w:val="21"/>
                <w:szCs w:val="21"/>
              </w:rPr>
            </w:pPr>
            <w:r>
              <w:rPr>
                <w:rFonts w:hint="eastAsia"/>
                <w:sz w:val="21"/>
                <w:szCs w:val="21"/>
              </w:rPr>
              <w:t>15.36</w:t>
            </w:r>
          </w:p>
        </w:tc>
        <w:tc>
          <w:tcPr>
            <w:tcW w:w="759" w:type="pct"/>
            <w:vAlign w:val="center"/>
          </w:tcPr>
          <w:p w14:paraId="0A3535C1">
            <w:pPr>
              <w:tabs>
                <w:tab w:val="left" w:pos="417"/>
              </w:tabs>
              <w:spacing w:line="360" w:lineRule="exact"/>
              <w:ind w:firstLine="0" w:firstLineChars="0"/>
              <w:jc w:val="center"/>
              <w:rPr>
                <w:sz w:val="21"/>
                <w:szCs w:val="21"/>
              </w:rPr>
            </w:pPr>
            <w:r>
              <w:rPr>
                <w:rFonts w:hint="eastAsia"/>
                <w:sz w:val="21"/>
                <w:szCs w:val="21"/>
              </w:rPr>
              <w:t>14.67</w:t>
            </w:r>
          </w:p>
        </w:tc>
        <w:tc>
          <w:tcPr>
            <w:tcW w:w="758" w:type="pct"/>
            <w:vAlign w:val="center"/>
          </w:tcPr>
          <w:p w14:paraId="28DC9D85">
            <w:pPr>
              <w:tabs>
                <w:tab w:val="left" w:pos="417"/>
              </w:tabs>
              <w:spacing w:line="360" w:lineRule="exact"/>
              <w:ind w:firstLine="0" w:firstLineChars="0"/>
              <w:jc w:val="center"/>
              <w:rPr>
                <w:sz w:val="21"/>
                <w:szCs w:val="21"/>
              </w:rPr>
            </w:pPr>
            <w:r>
              <w:rPr>
                <w:rFonts w:hint="eastAsia"/>
                <w:sz w:val="21"/>
                <w:szCs w:val="21"/>
              </w:rPr>
              <w:t>17.26</w:t>
            </w:r>
          </w:p>
        </w:tc>
        <w:tc>
          <w:tcPr>
            <w:tcW w:w="756" w:type="pct"/>
            <w:vAlign w:val="center"/>
          </w:tcPr>
          <w:p w14:paraId="0DF9B5A9">
            <w:pPr>
              <w:tabs>
                <w:tab w:val="left" w:pos="417"/>
              </w:tabs>
              <w:spacing w:line="360" w:lineRule="exact"/>
              <w:ind w:firstLine="0" w:firstLineChars="0"/>
              <w:jc w:val="center"/>
              <w:rPr>
                <w:sz w:val="21"/>
                <w:szCs w:val="21"/>
              </w:rPr>
            </w:pPr>
            <w:r>
              <w:rPr>
                <w:rFonts w:hint="eastAsia"/>
                <w:sz w:val="21"/>
                <w:szCs w:val="21"/>
              </w:rPr>
              <w:t>17.44</w:t>
            </w:r>
          </w:p>
        </w:tc>
        <w:tc>
          <w:tcPr>
            <w:tcW w:w="756" w:type="pct"/>
            <w:vAlign w:val="center"/>
          </w:tcPr>
          <w:p w14:paraId="63F7D647">
            <w:pPr>
              <w:tabs>
                <w:tab w:val="left" w:pos="417"/>
              </w:tabs>
              <w:spacing w:line="360" w:lineRule="exact"/>
              <w:ind w:firstLine="0" w:firstLineChars="0"/>
              <w:jc w:val="center"/>
              <w:rPr>
                <w:sz w:val="21"/>
                <w:szCs w:val="21"/>
              </w:rPr>
            </w:pPr>
            <w:r>
              <w:rPr>
                <w:rFonts w:hint="eastAsia"/>
                <w:sz w:val="21"/>
                <w:szCs w:val="21"/>
              </w:rPr>
              <w:t>17.38</w:t>
            </w:r>
          </w:p>
        </w:tc>
      </w:tr>
      <w:tr w14:paraId="2644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7BCFA907">
            <w:pPr>
              <w:pStyle w:val="34"/>
              <w:spacing w:after="0" w:line="360" w:lineRule="exact"/>
              <w:ind w:firstLine="0" w:firstLineChars="0"/>
              <w:jc w:val="center"/>
              <w:rPr>
                <w:b/>
                <w:bCs/>
                <w:sz w:val="21"/>
                <w:szCs w:val="21"/>
              </w:rPr>
            </w:pPr>
          </w:p>
        </w:tc>
        <w:tc>
          <w:tcPr>
            <w:tcW w:w="556" w:type="pct"/>
            <w:vAlign w:val="center"/>
          </w:tcPr>
          <w:p w14:paraId="68946574">
            <w:pPr>
              <w:pStyle w:val="34"/>
              <w:spacing w:after="0" w:line="240" w:lineRule="auto"/>
              <w:ind w:firstLine="0" w:firstLineChars="0"/>
              <w:jc w:val="center"/>
              <w:rPr>
                <w:b/>
                <w:bCs/>
                <w:sz w:val="21"/>
                <w:szCs w:val="21"/>
              </w:rPr>
            </w:pPr>
            <w:r>
              <w:rPr>
                <w:b/>
                <w:bCs/>
                <w:sz w:val="21"/>
                <w:szCs w:val="21"/>
              </w:rPr>
              <w:t>氧化还原电位</w:t>
            </w:r>
          </w:p>
          <w:p w14:paraId="20051358">
            <w:pPr>
              <w:pStyle w:val="34"/>
              <w:spacing w:after="0" w:line="240" w:lineRule="auto"/>
              <w:ind w:firstLine="0" w:firstLineChars="0"/>
              <w:jc w:val="center"/>
              <w:rPr>
                <w:b/>
                <w:bCs/>
                <w:sz w:val="21"/>
                <w:szCs w:val="21"/>
              </w:rPr>
            </w:pPr>
            <w:r>
              <w:rPr>
                <w:b/>
                <w:bCs/>
                <w:sz w:val="21"/>
                <w:szCs w:val="21"/>
              </w:rPr>
              <w:t>（m</w:t>
            </w:r>
            <w:r>
              <w:rPr>
                <w:rFonts w:hint="eastAsia"/>
                <w:b/>
                <w:bCs/>
                <w:sz w:val="21"/>
                <w:szCs w:val="21"/>
              </w:rPr>
              <w:t>V</w:t>
            </w:r>
            <w:r>
              <w:rPr>
                <w:b/>
                <w:bCs/>
                <w:sz w:val="21"/>
                <w:szCs w:val="21"/>
              </w:rPr>
              <w:t>）</w:t>
            </w:r>
          </w:p>
        </w:tc>
        <w:tc>
          <w:tcPr>
            <w:tcW w:w="506" w:type="pct"/>
            <w:vAlign w:val="center"/>
          </w:tcPr>
          <w:p w14:paraId="7DC3E8A3">
            <w:pPr>
              <w:tabs>
                <w:tab w:val="left" w:pos="417"/>
              </w:tabs>
              <w:spacing w:line="360" w:lineRule="exact"/>
              <w:ind w:firstLine="0" w:firstLineChars="0"/>
              <w:jc w:val="center"/>
              <w:rPr>
                <w:sz w:val="21"/>
                <w:szCs w:val="21"/>
              </w:rPr>
            </w:pPr>
            <w:r>
              <w:rPr>
                <w:rFonts w:hint="eastAsia"/>
                <w:sz w:val="21"/>
                <w:szCs w:val="21"/>
              </w:rPr>
              <w:t>0.3154</w:t>
            </w:r>
          </w:p>
        </w:tc>
        <w:tc>
          <w:tcPr>
            <w:tcW w:w="708" w:type="pct"/>
            <w:vAlign w:val="center"/>
          </w:tcPr>
          <w:p w14:paraId="5FC0B4F7">
            <w:pPr>
              <w:tabs>
                <w:tab w:val="left" w:pos="417"/>
              </w:tabs>
              <w:spacing w:line="360" w:lineRule="exact"/>
              <w:ind w:firstLine="0" w:firstLineChars="0"/>
              <w:jc w:val="center"/>
              <w:rPr>
                <w:sz w:val="21"/>
                <w:szCs w:val="21"/>
              </w:rPr>
            </w:pPr>
            <w:r>
              <w:rPr>
                <w:rFonts w:hint="eastAsia"/>
                <w:sz w:val="21"/>
                <w:szCs w:val="21"/>
              </w:rPr>
              <w:t>0.2014</w:t>
            </w:r>
          </w:p>
        </w:tc>
        <w:tc>
          <w:tcPr>
            <w:tcW w:w="759" w:type="pct"/>
            <w:vAlign w:val="center"/>
          </w:tcPr>
          <w:p w14:paraId="7EEB5C64">
            <w:pPr>
              <w:tabs>
                <w:tab w:val="left" w:pos="417"/>
              </w:tabs>
              <w:spacing w:line="360" w:lineRule="exact"/>
              <w:ind w:firstLine="0" w:firstLineChars="0"/>
              <w:jc w:val="center"/>
              <w:rPr>
                <w:sz w:val="21"/>
                <w:szCs w:val="21"/>
              </w:rPr>
            </w:pPr>
            <w:r>
              <w:rPr>
                <w:rFonts w:hint="eastAsia"/>
                <w:sz w:val="21"/>
                <w:szCs w:val="21"/>
              </w:rPr>
              <w:t>0.2018</w:t>
            </w:r>
          </w:p>
        </w:tc>
        <w:tc>
          <w:tcPr>
            <w:tcW w:w="758" w:type="pct"/>
            <w:vAlign w:val="center"/>
          </w:tcPr>
          <w:p w14:paraId="3EE68529">
            <w:pPr>
              <w:tabs>
                <w:tab w:val="left" w:pos="417"/>
              </w:tabs>
              <w:spacing w:line="360" w:lineRule="exact"/>
              <w:ind w:firstLine="0" w:firstLineChars="0"/>
              <w:jc w:val="center"/>
              <w:rPr>
                <w:sz w:val="21"/>
                <w:szCs w:val="21"/>
              </w:rPr>
            </w:pPr>
            <w:r>
              <w:rPr>
                <w:rFonts w:hint="eastAsia"/>
                <w:sz w:val="21"/>
                <w:szCs w:val="21"/>
              </w:rPr>
              <w:t>0.2014</w:t>
            </w:r>
          </w:p>
        </w:tc>
        <w:tc>
          <w:tcPr>
            <w:tcW w:w="756" w:type="pct"/>
            <w:vAlign w:val="center"/>
          </w:tcPr>
          <w:p w14:paraId="78E99702">
            <w:pPr>
              <w:tabs>
                <w:tab w:val="left" w:pos="417"/>
              </w:tabs>
              <w:spacing w:line="360" w:lineRule="exact"/>
              <w:ind w:firstLine="0" w:firstLineChars="0"/>
              <w:jc w:val="center"/>
              <w:rPr>
                <w:sz w:val="21"/>
                <w:szCs w:val="21"/>
              </w:rPr>
            </w:pPr>
            <w:r>
              <w:rPr>
                <w:rFonts w:hint="eastAsia"/>
                <w:sz w:val="21"/>
                <w:szCs w:val="21"/>
              </w:rPr>
              <w:t>0.2018</w:t>
            </w:r>
          </w:p>
        </w:tc>
        <w:tc>
          <w:tcPr>
            <w:tcW w:w="756" w:type="pct"/>
            <w:vAlign w:val="center"/>
          </w:tcPr>
          <w:p w14:paraId="08BF25AD">
            <w:pPr>
              <w:tabs>
                <w:tab w:val="left" w:pos="417"/>
              </w:tabs>
              <w:spacing w:line="360" w:lineRule="exact"/>
              <w:ind w:firstLine="0" w:firstLineChars="0"/>
              <w:jc w:val="center"/>
              <w:rPr>
                <w:sz w:val="21"/>
                <w:szCs w:val="21"/>
              </w:rPr>
            </w:pPr>
            <w:r>
              <w:rPr>
                <w:rFonts w:hint="eastAsia"/>
                <w:sz w:val="21"/>
                <w:szCs w:val="21"/>
              </w:rPr>
              <w:t>0.2019</w:t>
            </w:r>
          </w:p>
        </w:tc>
      </w:tr>
      <w:tr w14:paraId="4AFD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2859E75E">
            <w:pPr>
              <w:pStyle w:val="34"/>
              <w:spacing w:after="0" w:line="360" w:lineRule="exact"/>
              <w:ind w:firstLine="0" w:firstLineChars="0"/>
              <w:jc w:val="center"/>
              <w:rPr>
                <w:b/>
                <w:bCs/>
                <w:sz w:val="21"/>
                <w:szCs w:val="21"/>
              </w:rPr>
            </w:pPr>
          </w:p>
        </w:tc>
        <w:tc>
          <w:tcPr>
            <w:tcW w:w="556" w:type="pct"/>
            <w:vAlign w:val="center"/>
          </w:tcPr>
          <w:p w14:paraId="1C0DBC0B">
            <w:pPr>
              <w:pStyle w:val="34"/>
              <w:spacing w:after="0" w:line="240" w:lineRule="auto"/>
              <w:ind w:firstLine="0" w:firstLineChars="0"/>
              <w:jc w:val="center"/>
              <w:rPr>
                <w:b/>
                <w:bCs/>
                <w:sz w:val="21"/>
                <w:szCs w:val="21"/>
              </w:rPr>
            </w:pPr>
            <w:r>
              <w:rPr>
                <w:b/>
                <w:bCs/>
                <w:sz w:val="21"/>
                <w:szCs w:val="21"/>
              </w:rPr>
              <w:t>饱和导水率</w:t>
            </w:r>
          </w:p>
          <w:p w14:paraId="55F3C2FE">
            <w:pPr>
              <w:pStyle w:val="34"/>
              <w:spacing w:after="0" w:line="240" w:lineRule="auto"/>
              <w:ind w:firstLine="0" w:firstLineChars="0"/>
              <w:jc w:val="center"/>
              <w:rPr>
                <w:b/>
                <w:bCs/>
                <w:sz w:val="21"/>
                <w:szCs w:val="21"/>
              </w:rPr>
            </w:pPr>
            <w:r>
              <w:rPr>
                <w:b/>
                <w:bCs/>
                <w:sz w:val="21"/>
                <w:szCs w:val="21"/>
              </w:rPr>
              <w:t>（cm/s）</w:t>
            </w:r>
          </w:p>
        </w:tc>
        <w:tc>
          <w:tcPr>
            <w:tcW w:w="506" w:type="pct"/>
            <w:vAlign w:val="center"/>
          </w:tcPr>
          <w:p w14:paraId="038C71AE">
            <w:pPr>
              <w:tabs>
                <w:tab w:val="left" w:pos="417"/>
              </w:tabs>
              <w:spacing w:line="360" w:lineRule="exact"/>
              <w:ind w:firstLine="0" w:firstLineChars="0"/>
              <w:jc w:val="center"/>
              <w:rPr>
                <w:sz w:val="21"/>
                <w:szCs w:val="21"/>
              </w:rPr>
            </w:pPr>
            <w:r>
              <w:rPr>
                <w:rFonts w:hint="eastAsia"/>
                <w:sz w:val="21"/>
                <w:szCs w:val="21"/>
              </w:rPr>
              <w:t>0.5864</w:t>
            </w:r>
          </w:p>
        </w:tc>
        <w:tc>
          <w:tcPr>
            <w:tcW w:w="708" w:type="pct"/>
            <w:vAlign w:val="center"/>
          </w:tcPr>
          <w:p w14:paraId="3DF1C6CD">
            <w:pPr>
              <w:tabs>
                <w:tab w:val="left" w:pos="417"/>
              </w:tabs>
              <w:spacing w:line="360" w:lineRule="exact"/>
              <w:ind w:firstLine="0" w:firstLineChars="0"/>
              <w:jc w:val="center"/>
              <w:rPr>
                <w:sz w:val="21"/>
                <w:szCs w:val="21"/>
              </w:rPr>
            </w:pPr>
            <w:r>
              <w:rPr>
                <w:rFonts w:hint="eastAsia"/>
                <w:sz w:val="21"/>
                <w:szCs w:val="21"/>
              </w:rPr>
              <w:t>0.3478</w:t>
            </w:r>
          </w:p>
        </w:tc>
        <w:tc>
          <w:tcPr>
            <w:tcW w:w="759" w:type="pct"/>
            <w:vAlign w:val="center"/>
          </w:tcPr>
          <w:p w14:paraId="7F646EDA">
            <w:pPr>
              <w:tabs>
                <w:tab w:val="left" w:pos="417"/>
              </w:tabs>
              <w:spacing w:line="360" w:lineRule="exact"/>
              <w:ind w:firstLine="0" w:firstLineChars="0"/>
              <w:jc w:val="center"/>
              <w:rPr>
                <w:sz w:val="21"/>
                <w:szCs w:val="21"/>
              </w:rPr>
            </w:pPr>
            <w:r>
              <w:rPr>
                <w:rFonts w:hint="eastAsia"/>
                <w:sz w:val="21"/>
                <w:szCs w:val="21"/>
              </w:rPr>
              <w:t>0.3541</w:t>
            </w:r>
          </w:p>
        </w:tc>
        <w:tc>
          <w:tcPr>
            <w:tcW w:w="758" w:type="pct"/>
            <w:vAlign w:val="center"/>
          </w:tcPr>
          <w:p w14:paraId="046C0F88">
            <w:pPr>
              <w:tabs>
                <w:tab w:val="left" w:pos="417"/>
              </w:tabs>
              <w:spacing w:line="360" w:lineRule="exact"/>
              <w:ind w:firstLine="0" w:firstLineChars="0"/>
              <w:jc w:val="center"/>
              <w:rPr>
                <w:sz w:val="21"/>
                <w:szCs w:val="21"/>
              </w:rPr>
            </w:pPr>
            <w:r>
              <w:rPr>
                <w:rFonts w:hint="eastAsia"/>
                <w:sz w:val="21"/>
                <w:szCs w:val="21"/>
              </w:rPr>
              <w:t>0.4875</w:t>
            </w:r>
          </w:p>
        </w:tc>
        <w:tc>
          <w:tcPr>
            <w:tcW w:w="756" w:type="pct"/>
            <w:vAlign w:val="center"/>
          </w:tcPr>
          <w:p w14:paraId="38114663">
            <w:pPr>
              <w:tabs>
                <w:tab w:val="left" w:pos="417"/>
              </w:tabs>
              <w:spacing w:line="360" w:lineRule="exact"/>
              <w:ind w:firstLine="0" w:firstLineChars="0"/>
              <w:jc w:val="center"/>
              <w:rPr>
                <w:sz w:val="21"/>
                <w:szCs w:val="21"/>
              </w:rPr>
            </w:pPr>
            <w:r>
              <w:rPr>
                <w:rFonts w:hint="eastAsia"/>
                <w:sz w:val="21"/>
                <w:szCs w:val="21"/>
              </w:rPr>
              <w:t>0.4925</w:t>
            </w:r>
          </w:p>
        </w:tc>
        <w:tc>
          <w:tcPr>
            <w:tcW w:w="756" w:type="pct"/>
            <w:vAlign w:val="center"/>
          </w:tcPr>
          <w:p w14:paraId="27069053">
            <w:pPr>
              <w:tabs>
                <w:tab w:val="left" w:pos="417"/>
              </w:tabs>
              <w:spacing w:line="360" w:lineRule="exact"/>
              <w:ind w:firstLine="0" w:firstLineChars="0"/>
              <w:jc w:val="center"/>
              <w:rPr>
                <w:sz w:val="21"/>
                <w:szCs w:val="21"/>
              </w:rPr>
            </w:pPr>
            <w:r>
              <w:rPr>
                <w:rFonts w:hint="eastAsia"/>
                <w:sz w:val="21"/>
                <w:szCs w:val="21"/>
              </w:rPr>
              <w:t>0.4855</w:t>
            </w:r>
          </w:p>
        </w:tc>
      </w:tr>
      <w:tr w14:paraId="72DA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7C11FB3C">
            <w:pPr>
              <w:pStyle w:val="34"/>
              <w:spacing w:after="0" w:line="360" w:lineRule="exact"/>
              <w:ind w:firstLine="0" w:firstLineChars="0"/>
              <w:jc w:val="center"/>
              <w:rPr>
                <w:b/>
                <w:bCs/>
                <w:sz w:val="21"/>
                <w:szCs w:val="21"/>
              </w:rPr>
            </w:pPr>
          </w:p>
        </w:tc>
        <w:tc>
          <w:tcPr>
            <w:tcW w:w="556" w:type="pct"/>
            <w:vAlign w:val="center"/>
          </w:tcPr>
          <w:p w14:paraId="58E01DCA">
            <w:pPr>
              <w:pStyle w:val="34"/>
              <w:spacing w:after="0" w:line="240" w:lineRule="auto"/>
              <w:ind w:firstLine="0" w:firstLineChars="0"/>
              <w:jc w:val="center"/>
              <w:rPr>
                <w:b/>
                <w:bCs/>
                <w:sz w:val="21"/>
                <w:szCs w:val="21"/>
              </w:rPr>
            </w:pPr>
            <w:r>
              <w:rPr>
                <w:b/>
                <w:bCs/>
                <w:sz w:val="21"/>
                <w:szCs w:val="21"/>
              </w:rPr>
              <w:t>土壤容重</w:t>
            </w:r>
          </w:p>
          <w:p w14:paraId="28E3A4ED">
            <w:pPr>
              <w:pStyle w:val="34"/>
              <w:spacing w:after="0" w:line="240" w:lineRule="auto"/>
              <w:ind w:firstLine="0" w:firstLineChars="0"/>
              <w:jc w:val="center"/>
              <w:rPr>
                <w:b/>
                <w:bCs/>
                <w:sz w:val="21"/>
                <w:szCs w:val="21"/>
              </w:rPr>
            </w:pPr>
            <w:r>
              <w:rPr>
                <w:b/>
                <w:bCs/>
                <w:sz w:val="21"/>
                <w:szCs w:val="21"/>
              </w:rPr>
              <w:t>(</w:t>
            </w:r>
            <w:r>
              <w:rPr>
                <w:rFonts w:hint="eastAsia"/>
                <w:b/>
                <w:bCs/>
                <w:sz w:val="21"/>
                <w:szCs w:val="21"/>
              </w:rPr>
              <w:t>k</w:t>
            </w:r>
            <w:r>
              <w:rPr>
                <w:b/>
                <w:bCs/>
                <w:sz w:val="21"/>
                <w:szCs w:val="21"/>
              </w:rPr>
              <w:t>g/cm</w:t>
            </w:r>
            <w:r>
              <w:rPr>
                <w:b/>
                <w:bCs/>
                <w:sz w:val="21"/>
                <w:szCs w:val="21"/>
                <w:vertAlign w:val="superscript"/>
              </w:rPr>
              <w:t>3</w:t>
            </w:r>
            <w:r>
              <w:rPr>
                <w:b/>
                <w:bCs/>
                <w:sz w:val="21"/>
                <w:szCs w:val="21"/>
              </w:rPr>
              <w:t>)</w:t>
            </w:r>
          </w:p>
        </w:tc>
        <w:tc>
          <w:tcPr>
            <w:tcW w:w="506" w:type="pct"/>
            <w:vAlign w:val="center"/>
          </w:tcPr>
          <w:p w14:paraId="403AEA12">
            <w:pPr>
              <w:tabs>
                <w:tab w:val="left" w:pos="417"/>
              </w:tabs>
              <w:spacing w:line="360" w:lineRule="exact"/>
              <w:ind w:firstLine="0" w:firstLineChars="0"/>
              <w:jc w:val="center"/>
              <w:rPr>
                <w:sz w:val="21"/>
                <w:szCs w:val="21"/>
              </w:rPr>
            </w:pPr>
            <w:r>
              <w:rPr>
                <w:rFonts w:hint="eastAsia"/>
                <w:sz w:val="21"/>
                <w:szCs w:val="21"/>
              </w:rPr>
              <w:t>0.00126</w:t>
            </w:r>
          </w:p>
        </w:tc>
        <w:tc>
          <w:tcPr>
            <w:tcW w:w="708" w:type="pct"/>
            <w:vAlign w:val="center"/>
          </w:tcPr>
          <w:p w14:paraId="2F328371">
            <w:pPr>
              <w:tabs>
                <w:tab w:val="left" w:pos="417"/>
              </w:tabs>
              <w:spacing w:line="360" w:lineRule="exact"/>
              <w:ind w:firstLine="0" w:firstLineChars="0"/>
              <w:jc w:val="center"/>
              <w:rPr>
                <w:sz w:val="21"/>
                <w:szCs w:val="21"/>
              </w:rPr>
            </w:pPr>
            <w:r>
              <w:rPr>
                <w:rFonts w:hint="eastAsia"/>
                <w:sz w:val="21"/>
                <w:szCs w:val="21"/>
              </w:rPr>
              <w:t>0.00154</w:t>
            </w:r>
          </w:p>
        </w:tc>
        <w:tc>
          <w:tcPr>
            <w:tcW w:w="759" w:type="pct"/>
            <w:vAlign w:val="center"/>
          </w:tcPr>
          <w:p w14:paraId="3FE943CB">
            <w:pPr>
              <w:tabs>
                <w:tab w:val="left" w:pos="417"/>
              </w:tabs>
              <w:spacing w:line="360" w:lineRule="exact"/>
              <w:ind w:firstLine="0" w:firstLineChars="0"/>
              <w:jc w:val="center"/>
              <w:rPr>
                <w:sz w:val="21"/>
                <w:szCs w:val="21"/>
              </w:rPr>
            </w:pPr>
            <w:r>
              <w:rPr>
                <w:rFonts w:hint="eastAsia"/>
                <w:sz w:val="21"/>
                <w:szCs w:val="21"/>
              </w:rPr>
              <w:t>0.1264</w:t>
            </w:r>
          </w:p>
        </w:tc>
        <w:tc>
          <w:tcPr>
            <w:tcW w:w="758" w:type="pct"/>
            <w:vAlign w:val="center"/>
          </w:tcPr>
          <w:p w14:paraId="2E5A3F1B">
            <w:pPr>
              <w:tabs>
                <w:tab w:val="left" w:pos="417"/>
              </w:tabs>
              <w:spacing w:line="360" w:lineRule="exact"/>
              <w:ind w:firstLine="0" w:firstLineChars="0"/>
              <w:jc w:val="center"/>
              <w:rPr>
                <w:sz w:val="21"/>
                <w:szCs w:val="21"/>
              </w:rPr>
            </w:pPr>
            <w:r>
              <w:rPr>
                <w:rFonts w:hint="eastAsia"/>
                <w:sz w:val="21"/>
                <w:szCs w:val="21"/>
              </w:rPr>
              <w:t>0.00135</w:t>
            </w:r>
          </w:p>
        </w:tc>
        <w:tc>
          <w:tcPr>
            <w:tcW w:w="756" w:type="pct"/>
            <w:vAlign w:val="center"/>
          </w:tcPr>
          <w:p w14:paraId="6417BE35">
            <w:pPr>
              <w:tabs>
                <w:tab w:val="left" w:pos="417"/>
              </w:tabs>
              <w:spacing w:line="360" w:lineRule="exact"/>
              <w:ind w:firstLine="0" w:firstLineChars="0"/>
              <w:jc w:val="center"/>
              <w:rPr>
                <w:sz w:val="21"/>
                <w:szCs w:val="21"/>
              </w:rPr>
            </w:pPr>
            <w:r>
              <w:rPr>
                <w:rFonts w:hint="eastAsia"/>
                <w:sz w:val="21"/>
                <w:szCs w:val="21"/>
              </w:rPr>
              <w:t>0.00136</w:t>
            </w:r>
          </w:p>
        </w:tc>
        <w:tc>
          <w:tcPr>
            <w:tcW w:w="756" w:type="pct"/>
            <w:vAlign w:val="center"/>
          </w:tcPr>
          <w:p w14:paraId="0E2FD6D6">
            <w:pPr>
              <w:tabs>
                <w:tab w:val="left" w:pos="417"/>
              </w:tabs>
              <w:spacing w:line="360" w:lineRule="exact"/>
              <w:ind w:firstLine="0" w:firstLineChars="0"/>
              <w:jc w:val="center"/>
              <w:rPr>
                <w:sz w:val="21"/>
                <w:szCs w:val="21"/>
              </w:rPr>
            </w:pPr>
            <w:r>
              <w:rPr>
                <w:rFonts w:hint="eastAsia"/>
                <w:sz w:val="21"/>
                <w:szCs w:val="21"/>
              </w:rPr>
              <w:t>0.00134</w:t>
            </w:r>
          </w:p>
        </w:tc>
      </w:tr>
      <w:tr w14:paraId="2BF7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45D30DE4">
            <w:pPr>
              <w:pStyle w:val="34"/>
              <w:spacing w:after="0" w:line="360" w:lineRule="exact"/>
              <w:ind w:firstLine="0" w:firstLineChars="0"/>
              <w:jc w:val="center"/>
              <w:rPr>
                <w:b/>
                <w:bCs/>
                <w:sz w:val="21"/>
                <w:szCs w:val="21"/>
              </w:rPr>
            </w:pPr>
          </w:p>
        </w:tc>
        <w:tc>
          <w:tcPr>
            <w:tcW w:w="556" w:type="pct"/>
            <w:vAlign w:val="center"/>
          </w:tcPr>
          <w:p w14:paraId="4CC8BF2A">
            <w:pPr>
              <w:pStyle w:val="34"/>
              <w:spacing w:after="0" w:line="360" w:lineRule="exact"/>
              <w:ind w:firstLine="0" w:firstLineChars="0"/>
              <w:jc w:val="center"/>
              <w:rPr>
                <w:b/>
                <w:bCs/>
                <w:sz w:val="21"/>
                <w:szCs w:val="21"/>
              </w:rPr>
            </w:pPr>
            <w:r>
              <w:rPr>
                <w:b/>
                <w:bCs/>
                <w:sz w:val="21"/>
                <w:szCs w:val="21"/>
              </w:rPr>
              <w:t>孔隙度(%)</w:t>
            </w:r>
          </w:p>
        </w:tc>
        <w:tc>
          <w:tcPr>
            <w:tcW w:w="506" w:type="pct"/>
            <w:vAlign w:val="center"/>
          </w:tcPr>
          <w:p w14:paraId="4C5A9835">
            <w:pPr>
              <w:tabs>
                <w:tab w:val="left" w:pos="417"/>
              </w:tabs>
              <w:spacing w:line="360" w:lineRule="exact"/>
              <w:ind w:firstLine="0" w:firstLineChars="0"/>
              <w:jc w:val="center"/>
              <w:rPr>
                <w:sz w:val="21"/>
                <w:szCs w:val="21"/>
              </w:rPr>
            </w:pPr>
            <w:r>
              <w:rPr>
                <w:rFonts w:hint="eastAsia"/>
                <w:sz w:val="21"/>
                <w:szCs w:val="21"/>
              </w:rPr>
              <w:t>74</w:t>
            </w:r>
          </w:p>
        </w:tc>
        <w:tc>
          <w:tcPr>
            <w:tcW w:w="708" w:type="pct"/>
            <w:vAlign w:val="center"/>
          </w:tcPr>
          <w:p w14:paraId="4A8DFCF3">
            <w:pPr>
              <w:tabs>
                <w:tab w:val="left" w:pos="417"/>
              </w:tabs>
              <w:spacing w:line="360" w:lineRule="exact"/>
              <w:ind w:firstLine="0" w:firstLineChars="0"/>
              <w:jc w:val="center"/>
              <w:rPr>
                <w:sz w:val="21"/>
                <w:szCs w:val="21"/>
              </w:rPr>
            </w:pPr>
            <w:r>
              <w:rPr>
                <w:rFonts w:hint="eastAsia"/>
                <w:sz w:val="21"/>
                <w:szCs w:val="21"/>
              </w:rPr>
              <w:t>67</w:t>
            </w:r>
          </w:p>
        </w:tc>
        <w:tc>
          <w:tcPr>
            <w:tcW w:w="759" w:type="pct"/>
            <w:vAlign w:val="center"/>
          </w:tcPr>
          <w:p w14:paraId="442DCBFF">
            <w:pPr>
              <w:tabs>
                <w:tab w:val="left" w:pos="417"/>
              </w:tabs>
              <w:spacing w:line="360" w:lineRule="exact"/>
              <w:ind w:firstLine="0" w:firstLineChars="0"/>
              <w:jc w:val="center"/>
              <w:rPr>
                <w:sz w:val="21"/>
                <w:szCs w:val="21"/>
              </w:rPr>
            </w:pPr>
            <w:r>
              <w:rPr>
                <w:rFonts w:hint="eastAsia"/>
                <w:sz w:val="21"/>
                <w:szCs w:val="21"/>
              </w:rPr>
              <w:t>65</w:t>
            </w:r>
          </w:p>
        </w:tc>
        <w:tc>
          <w:tcPr>
            <w:tcW w:w="758" w:type="pct"/>
            <w:vAlign w:val="center"/>
          </w:tcPr>
          <w:p w14:paraId="080924B6">
            <w:pPr>
              <w:tabs>
                <w:tab w:val="left" w:pos="417"/>
              </w:tabs>
              <w:spacing w:line="360" w:lineRule="exact"/>
              <w:ind w:firstLine="0" w:firstLineChars="0"/>
              <w:jc w:val="center"/>
              <w:rPr>
                <w:sz w:val="21"/>
                <w:szCs w:val="21"/>
              </w:rPr>
            </w:pPr>
            <w:r>
              <w:rPr>
                <w:rFonts w:hint="eastAsia"/>
                <w:sz w:val="21"/>
                <w:szCs w:val="21"/>
              </w:rPr>
              <w:t>75</w:t>
            </w:r>
          </w:p>
        </w:tc>
        <w:tc>
          <w:tcPr>
            <w:tcW w:w="756" w:type="pct"/>
            <w:vAlign w:val="center"/>
          </w:tcPr>
          <w:p w14:paraId="54805306">
            <w:pPr>
              <w:tabs>
                <w:tab w:val="left" w:pos="417"/>
              </w:tabs>
              <w:spacing w:line="360" w:lineRule="exact"/>
              <w:ind w:firstLine="0" w:firstLineChars="0"/>
              <w:jc w:val="center"/>
              <w:rPr>
                <w:sz w:val="21"/>
                <w:szCs w:val="21"/>
              </w:rPr>
            </w:pPr>
            <w:r>
              <w:rPr>
                <w:rFonts w:hint="eastAsia"/>
                <w:sz w:val="21"/>
                <w:szCs w:val="21"/>
              </w:rPr>
              <w:t>76</w:t>
            </w:r>
          </w:p>
        </w:tc>
        <w:tc>
          <w:tcPr>
            <w:tcW w:w="756" w:type="pct"/>
            <w:vAlign w:val="center"/>
          </w:tcPr>
          <w:p w14:paraId="31C72CEE">
            <w:pPr>
              <w:tabs>
                <w:tab w:val="left" w:pos="417"/>
              </w:tabs>
              <w:spacing w:line="360" w:lineRule="exact"/>
              <w:ind w:firstLine="0" w:firstLineChars="0"/>
              <w:jc w:val="center"/>
              <w:rPr>
                <w:sz w:val="21"/>
                <w:szCs w:val="21"/>
              </w:rPr>
            </w:pPr>
            <w:r>
              <w:rPr>
                <w:rFonts w:hint="eastAsia"/>
                <w:sz w:val="21"/>
                <w:szCs w:val="21"/>
              </w:rPr>
              <w:t>74</w:t>
            </w:r>
          </w:p>
        </w:tc>
      </w:tr>
    </w:tbl>
    <w:p w14:paraId="13444FC2">
      <w:pPr>
        <w:adjustRightInd/>
        <w:snapToGrid/>
        <w:ind w:firstLine="480"/>
        <w:textAlignment w:val="auto"/>
        <w:rPr>
          <w:szCs w:val="24"/>
          <w:highlight w:val="yellow"/>
        </w:rPr>
      </w:pPr>
    </w:p>
    <w:p w14:paraId="75EC6032">
      <w:pPr>
        <w:pStyle w:val="2"/>
        <w:ind w:firstLine="480"/>
        <w:rPr>
          <w:highlight w:val="yellow"/>
        </w:rPr>
      </w:pPr>
    </w:p>
    <w:p w14:paraId="21B9A368">
      <w:pPr>
        <w:pStyle w:val="64"/>
        <w:numPr>
          <w:ilvl w:val="2"/>
          <w:numId w:val="34"/>
        </w:numPr>
        <w:spacing w:before="0" w:beforeLines="0" w:line="520" w:lineRule="exact"/>
        <w:ind w:left="0" w:firstLine="480" w:firstLineChars="200"/>
      </w:pPr>
      <w:r>
        <w:t xml:space="preserve">         </w:t>
      </w:r>
      <w:r>
        <w:rPr>
          <w:rFonts w:hint="eastAsia"/>
        </w:rPr>
        <w:t xml:space="preserve">                            </w:t>
      </w:r>
      <w:r>
        <w:t>土壤理化特性一览表</w:t>
      </w:r>
      <w:r>
        <w:rPr>
          <w:rFonts w:hint="eastAsia"/>
        </w:rPr>
        <w:t>2</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1553"/>
        <w:gridCol w:w="1414"/>
        <w:gridCol w:w="1978"/>
        <w:gridCol w:w="2121"/>
        <w:gridCol w:w="2118"/>
        <w:gridCol w:w="2112"/>
        <w:gridCol w:w="2112"/>
      </w:tblGrid>
      <w:tr w14:paraId="3B75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757" w:type="pct"/>
            <w:gridSpan w:val="2"/>
            <w:vAlign w:val="center"/>
          </w:tcPr>
          <w:p w14:paraId="53ECD31A">
            <w:pPr>
              <w:pStyle w:val="34"/>
              <w:spacing w:after="0" w:line="360" w:lineRule="exact"/>
              <w:ind w:firstLine="0" w:firstLineChars="0"/>
              <w:jc w:val="center"/>
              <w:rPr>
                <w:b/>
                <w:bCs/>
                <w:sz w:val="21"/>
                <w:szCs w:val="21"/>
              </w:rPr>
            </w:pPr>
            <w:r>
              <w:rPr>
                <w:b/>
                <w:bCs/>
                <w:sz w:val="21"/>
                <w:szCs w:val="21"/>
              </w:rPr>
              <w:t>采样点位</w:t>
            </w:r>
          </w:p>
        </w:tc>
        <w:tc>
          <w:tcPr>
            <w:tcW w:w="1973" w:type="pct"/>
            <w:gridSpan w:val="3"/>
            <w:vAlign w:val="center"/>
          </w:tcPr>
          <w:p w14:paraId="0F704382">
            <w:pPr>
              <w:spacing w:line="360" w:lineRule="exact"/>
              <w:ind w:firstLine="0" w:firstLineChars="0"/>
              <w:jc w:val="center"/>
              <w:rPr>
                <w:b/>
                <w:bCs/>
                <w:sz w:val="21"/>
                <w:szCs w:val="21"/>
                <w:highlight w:val="yellow"/>
              </w:rPr>
            </w:pPr>
            <w:r>
              <w:rPr>
                <w:rFonts w:hint="eastAsia"/>
                <w:b/>
                <w:bCs/>
                <w:sz w:val="21"/>
                <w:szCs w:val="21"/>
              </w:rPr>
              <w:t>反应釜区附近</w:t>
            </w:r>
          </w:p>
        </w:tc>
        <w:tc>
          <w:tcPr>
            <w:tcW w:w="2270" w:type="pct"/>
            <w:gridSpan w:val="3"/>
            <w:vAlign w:val="center"/>
          </w:tcPr>
          <w:p w14:paraId="60DA8D91">
            <w:pPr>
              <w:spacing w:line="360" w:lineRule="exact"/>
              <w:ind w:firstLine="0" w:firstLineChars="0"/>
              <w:jc w:val="center"/>
              <w:rPr>
                <w:b/>
                <w:bCs/>
                <w:sz w:val="21"/>
                <w:szCs w:val="21"/>
              </w:rPr>
            </w:pPr>
            <w:r>
              <w:rPr>
                <w:rFonts w:hint="eastAsia"/>
                <w:b/>
                <w:bCs/>
                <w:sz w:val="21"/>
                <w:szCs w:val="21"/>
              </w:rPr>
              <w:t>厂房内东南角</w:t>
            </w:r>
          </w:p>
        </w:tc>
      </w:tr>
      <w:tr w14:paraId="0717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757" w:type="pct"/>
            <w:gridSpan w:val="2"/>
            <w:vAlign w:val="center"/>
          </w:tcPr>
          <w:p w14:paraId="364AD9B9">
            <w:pPr>
              <w:pStyle w:val="34"/>
              <w:spacing w:after="0" w:line="360" w:lineRule="exact"/>
              <w:ind w:firstLine="0" w:firstLineChars="0"/>
              <w:jc w:val="center"/>
              <w:rPr>
                <w:b/>
                <w:bCs/>
                <w:sz w:val="21"/>
                <w:szCs w:val="21"/>
              </w:rPr>
            </w:pPr>
            <w:r>
              <w:rPr>
                <w:b/>
                <w:bCs/>
                <w:sz w:val="21"/>
                <w:szCs w:val="21"/>
              </w:rPr>
              <w:t>层次</w:t>
            </w:r>
          </w:p>
        </w:tc>
        <w:tc>
          <w:tcPr>
            <w:tcW w:w="506" w:type="pct"/>
            <w:vAlign w:val="center"/>
          </w:tcPr>
          <w:p w14:paraId="708F5D67">
            <w:pPr>
              <w:spacing w:line="360" w:lineRule="exact"/>
              <w:ind w:firstLine="0" w:firstLineChars="0"/>
              <w:jc w:val="center"/>
              <w:rPr>
                <w:sz w:val="21"/>
                <w:szCs w:val="21"/>
              </w:rPr>
            </w:pPr>
            <w:r>
              <w:rPr>
                <w:sz w:val="21"/>
                <w:szCs w:val="21"/>
              </w:rPr>
              <w:t>0-0.</w:t>
            </w:r>
            <w:r>
              <w:rPr>
                <w:rFonts w:hint="eastAsia"/>
                <w:sz w:val="21"/>
                <w:szCs w:val="21"/>
              </w:rPr>
              <w:t>5</w:t>
            </w:r>
            <w:r>
              <w:rPr>
                <w:sz w:val="21"/>
                <w:szCs w:val="21"/>
              </w:rPr>
              <w:t>m</w:t>
            </w:r>
          </w:p>
        </w:tc>
        <w:tc>
          <w:tcPr>
            <w:tcW w:w="708" w:type="pct"/>
            <w:vAlign w:val="center"/>
          </w:tcPr>
          <w:p w14:paraId="46FF3865">
            <w:pPr>
              <w:spacing w:line="360" w:lineRule="exact"/>
              <w:ind w:firstLine="0" w:firstLineChars="0"/>
              <w:jc w:val="center"/>
              <w:rPr>
                <w:sz w:val="21"/>
                <w:szCs w:val="21"/>
              </w:rPr>
            </w:pPr>
            <w:r>
              <w:rPr>
                <w:sz w:val="21"/>
                <w:szCs w:val="21"/>
              </w:rPr>
              <w:t>0</w:t>
            </w:r>
            <w:r>
              <w:rPr>
                <w:rFonts w:hint="eastAsia"/>
                <w:sz w:val="21"/>
                <w:szCs w:val="21"/>
              </w:rPr>
              <w:t>.5</w:t>
            </w:r>
            <w:r>
              <w:rPr>
                <w:sz w:val="21"/>
                <w:szCs w:val="21"/>
              </w:rPr>
              <w:t>-</w:t>
            </w:r>
            <w:r>
              <w:rPr>
                <w:rFonts w:hint="eastAsia"/>
                <w:sz w:val="21"/>
                <w:szCs w:val="21"/>
              </w:rPr>
              <w:t>1</w:t>
            </w:r>
            <w:r>
              <w:rPr>
                <w:sz w:val="21"/>
                <w:szCs w:val="21"/>
              </w:rPr>
              <w:t>.</w:t>
            </w:r>
            <w:r>
              <w:rPr>
                <w:rFonts w:hint="eastAsia"/>
                <w:sz w:val="21"/>
                <w:szCs w:val="21"/>
              </w:rPr>
              <w:t>5</w:t>
            </w:r>
            <w:r>
              <w:rPr>
                <w:sz w:val="21"/>
                <w:szCs w:val="21"/>
              </w:rPr>
              <w:t>m</w:t>
            </w:r>
          </w:p>
        </w:tc>
        <w:tc>
          <w:tcPr>
            <w:tcW w:w="759" w:type="pct"/>
            <w:vAlign w:val="center"/>
          </w:tcPr>
          <w:p w14:paraId="48235DD2">
            <w:pPr>
              <w:spacing w:line="360" w:lineRule="exact"/>
              <w:ind w:firstLine="0" w:firstLineChars="0"/>
              <w:jc w:val="center"/>
              <w:rPr>
                <w:sz w:val="21"/>
                <w:szCs w:val="21"/>
              </w:rPr>
            </w:pPr>
            <w:r>
              <w:rPr>
                <w:rFonts w:hint="eastAsia"/>
                <w:sz w:val="21"/>
                <w:szCs w:val="21"/>
              </w:rPr>
              <w:t>1.5</w:t>
            </w:r>
            <w:r>
              <w:rPr>
                <w:sz w:val="21"/>
                <w:szCs w:val="21"/>
              </w:rPr>
              <w:t>-</w:t>
            </w:r>
            <w:r>
              <w:rPr>
                <w:rFonts w:hint="eastAsia"/>
                <w:sz w:val="21"/>
                <w:szCs w:val="21"/>
              </w:rPr>
              <w:t>3</w:t>
            </w:r>
            <w:r>
              <w:rPr>
                <w:sz w:val="21"/>
                <w:szCs w:val="21"/>
              </w:rPr>
              <w:t>m</w:t>
            </w:r>
          </w:p>
        </w:tc>
        <w:tc>
          <w:tcPr>
            <w:tcW w:w="758" w:type="pct"/>
            <w:vAlign w:val="center"/>
          </w:tcPr>
          <w:p w14:paraId="0FD3270C">
            <w:pPr>
              <w:spacing w:line="360" w:lineRule="exact"/>
              <w:ind w:firstLine="0" w:firstLineChars="0"/>
              <w:jc w:val="center"/>
              <w:rPr>
                <w:sz w:val="21"/>
                <w:szCs w:val="21"/>
              </w:rPr>
            </w:pPr>
            <w:r>
              <w:rPr>
                <w:sz w:val="21"/>
                <w:szCs w:val="21"/>
              </w:rPr>
              <w:t>0-0.</w:t>
            </w:r>
            <w:r>
              <w:rPr>
                <w:rFonts w:hint="eastAsia"/>
                <w:sz w:val="21"/>
                <w:szCs w:val="21"/>
              </w:rPr>
              <w:t>5</w:t>
            </w:r>
            <w:r>
              <w:rPr>
                <w:sz w:val="21"/>
                <w:szCs w:val="21"/>
              </w:rPr>
              <w:t>m</w:t>
            </w:r>
          </w:p>
        </w:tc>
        <w:tc>
          <w:tcPr>
            <w:tcW w:w="756" w:type="pct"/>
            <w:vAlign w:val="center"/>
          </w:tcPr>
          <w:p w14:paraId="328D9E19">
            <w:pPr>
              <w:spacing w:line="360" w:lineRule="exact"/>
              <w:ind w:firstLine="0" w:firstLineChars="0"/>
              <w:jc w:val="center"/>
              <w:rPr>
                <w:sz w:val="21"/>
                <w:szCs w:val="21"/>
              </w:rPr>
            </w:pPr>
            <w:r>
              <w:rPr>
                <w:sz w:val="21"/>
                <w:szCs w:val="21"/>
              </w:rPr>
              <w:t>0</w:t>
            </w:r>
            <w:r>
              <w:rPr>
                <w:rFonts w:hint="eastAsia"/>
                <w:sz w:val="21"/>
                <w:szCs w:val="21"/>
              </w:rPr>
              <w:t>.5</w:t>
            </w:r>
            <w:r>
              <w:rPr>
                <w:sz w:val="21"/>
                <w:szCs w:val="21"/>
              </w:rPr>
              <w:t>-</w:t>
            </w:r>
            <w:r>
              <w:rPr>
                <w:rFonts w:hint="eastAsia"/>
                <w:sz w:val="21"/>
                <w:szCs w:val="21"/>
              </w:rPr>
              <w:t>1</w:t>
            </w:r>
            <w:r>
              <w:rPr>
                <w:sz w:val="21"/>
                <w:szCs w:val="21"/>
              </w:rPr>
              <w:t>.</w:t>
            </w:r>
            <w:r>
              <w:rPr>
                <w:rFonts w:hint="eastAsia"/>
                <w:sz w:val="21"/>
                <w:szCs w:val="21"/>
              </w:rPr>
              <w:t>5</w:t>
            </w:r>
            <w:r>
              <w:rPr>
                <w:sz w:val="21"/>
                <w:szCs w:val="21"/>
              </w:rPr>
              <w:t>m</w:t>
            </w:r>
          </w:p>
        </w:tc>
        <w:tc>
          <w:tcPr>
            <w:tcW w:w="756" w:type="pct"/>
            <w:vAlign w:val="center"/>
          </w:tcPr>
          <w:p w14:paraId="7DF6FB65">
            <w:pPr>
              <w:spacing w:line="360" w:lineRule="exact"/>
              <w:ind w:firstLine="0" w:firstLineChars="0"/>
              <w:jc w:val="center"/>
              <w:rPr>
                <w:sz w:val="21"/>
                <w:szCs w:val="21"/>
              </w:rPr>
            </w:pPr>
            <w:r>
              <w:rPr>
                <w:rFonts w:hint="eastAsia"/>
                <w:sz w:val="21"/>
                <w:szCs w:val="21"/>
              </w:rPr>
              <w:t>1.5</w:t>
            </w:r>
            <w:r>
              <w:rPr>
                <w:sz w:val="21"/>
                <w:szCs w:val="21"/>
              </w:rPr>
              <w:t>-</w:t>
            </w:r>
            <w:r>
              <w:rPr>
                <w:rFonts w:hint="eastAsia"/>
                <w:sz w:val="21"/>
                <w:szCs w:val="21"/>
              </w:rPr>
              <w:t>3</w:t>
            </w:r>
            <w:r>
              <w:rPr>
                <w:sz w:val="21"/>
                <w:szCs w:val="21"/>
              </w:rPr>
              <w:t>m</w:t>
            </w:r>
          </w:p>
        </w:tc>
      </w:tr>
      <w:tr w14:paraId="657F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restart"/>
            <w:vAlign w:val="center"/>
          </w:tcPr>
          <w:p w14:paraId="261D7F63">
            <w:pPr>
              <w:pStyle w:val="34"/>
              <w:spacing w:after="0" w:line="360" w:lineRule="exact"/>
              <w:ind w:firstLine="0" w:firstLineChars="0"/>
              <w:jc w:val="center"/>
              <w:rPr>
                <w:b/>
                <w:bCs/>
                <w:sz w:val="21"/>
                <w:szCs w:val="21"/>
              </w:rPr>
            </w:pPr>
            <w:r>
              <w:rPr>
                <w:b/>
                <w:bCs/>
                <w:sz w:val="21"/>
                <w:szCs w:val="21"/>
              </w:rPr>
              <w:t>现场 记录</w:t>
            </w:r>
          </w:p>
        </w:tc>
        <w:tc>
          <w:tcPr>
            <w:tcW w:w="556" w:type="pct"/>
            <w:vAlign w:val="center"/>
          </w:tcPr>
          <w:p w14:paraId="54ACBC8D">
            <w:pPr>
              <w:pStyle w:val="34"/>
              <w:spacing w:after="0" w:line="360" w:lineRule="exact"/>
              <w:ind w:firstLine="0" w:firstLineChars="0"/>
              <w:jc w:val="center"/>
              <w:rPr>
                <w:b/>
                <w:bCs/>
                <w:sz w:val="21"/>
                <w:szCs w:val="21"/>
              </w:rPr>
            </w:pPr>
            <w:r>
              <w:rPr>
                <w:b/>
                <w:bCs/>
                <w:sz w:val="21"/>
                <w:szCs w:val="21"/>
              </w:rPr>
              <w:t>颜色</w:t>
            </w:r>
          </w:p>
        </w:tc>
        <w:tc>
          <w:tcPr>
            <w:tcW w:w="506" w:type="pct"/>
            <w:vAlign w:val="center"/>
          </w:tcPr>
          <w:p w14:paraId="01CA40EC">
            <w:pPr>
              <w:spacing w:line="360" w:lineRule="exact"/>
              <w:ind w:firstLine="0" w:firstLineChars="0"/>
              <w:jc w:val="center"/>
              <w:rPr>
                <w:sz w:val="21"/>
                <w:szCs w:val="21"/>
              </w:rPr>
            </w:pPr>
            <w:r>
              <w:rPr>
                <w:sz w:val="21"/>
                <w:szCs w:val="21"/>
              </w:rPr>
              <w:t>浅棕</w:t>
            </w:r>
          </w:p>
        </w:tc>
        <w:tc>
          <w:tcPr>
            <w:tcW w:w="708" w:type="pct"/>
            <w:vAlign w:val="center"/>
          </w:tcPr>
          <w:p w14:paraId="47294D17">
            <w:pPr>
              <w:spacing w:line="360" w:lineRule="exact"/>
              <w:ind w:firstLine="0" w:firstLineChars="0"/>
              <w:jc w:val="center"/>
              <w:rPr>
                <w:sz w:val="21"/>
                <w:szCs w:val="21"/>
              </w:rPr>
            </w:pPr>
            <w:r>
              <w:rPr>
                <w:sz w:val="21"/>
                <w:szCs w:val="21"/>
              </w:rPr>
              <w:t>浅棕</w:t>
            </w:r>
          </w:p>
        </w:tc>
        <w:tc>
          <w:tcPr>
            <w:tcW w:w="759" w:type="pct"/>
            <w:vAlign w:val="center"/>
          </w:tcPr>
          <w:p w14:paraId="167F3D68">
            <w:pPr>
              <w:spacing w:line="360" w:lineRule="exact"/>
              <w:ind w:firstLine="0" w:firstLineChars="0"/>
              <w:jc w:val="center"/>
              <w:rPr>
                <w:sz w:val="21"/>
                <w:szCs w:val="21"/>
              </w:rPr>
            </w:pPr>
            <w:r>
              <w:rPr>
                <w:sz w:val="21"/>
                <w:szCs w:val="21"/>
              </w:rPr>
              <w:t>浅棕</w:t>
            </w:r>
          </w:p>
        </w:tc>
        <w:tc>
          <w:tcPr>
            <w:tcW w:w="758" w:type="pct"/>
            <w:vAlign w:val="center"/>
          </w:tcPr>
          <w:p w14:paraId="2A63854A">
            <w:pPr>
              <w:spacing w:line="360" w:lineRule="exact"/>
              <w:ind w:firstLine="0" w:firstLineChars="0"/>
              <w:jc w:val="center"/>
              <w:rPr>
                <w:sz w:val="21"/>
                <w:szCs w:val="21"/>
              </w:rPr>
            </w:pPr>
            <w:r>
              <w:rPr>
                <w:sz w:val="21"/>
                <w:szCs w:val="21"/>
              </w:rPr>
              <w:t>浅棕</w:t>
            </w:r>
          </w:p>
        </w:tc>
        <w:tc>
          <w:tcPr>
            <w:tcW w:w="756" w:type="pct"/>
            <w:vAlign w:val="center"/>
          </w:tcPr>
          <w:p w14:paraId="46FD3ECD">
            <w:pPr>
              <w:spacing w:line="360" w:lineRule="exact"/>
              <w:ind w:firstLine="0" w:firstLineChars="0"/>
              <w:jc w:val="center"/>
              <w:rPr>
                <w:sz w:val="21"/>
                <w:szCs w:val="21"/>
              </w:rPr>
            </w:pPr>
            <w:r>
              <w:rPr>
                <w:sz w:val="21"/>
                <w:szCs w:val="21"/>
              </w:rPr>
              <w:t>浅棕</w:t>
            </w:r>
          </w:p>
        </w:tc>
        <w:tc>
          <w:tcPr>
            <w:tcW w:w="756" w:type="pct"/>
            <w:vAlign w:val="center"/>
          </w:tcPr>
          <w:p w14:paraId="7C5F0CEB">
            <w:pPr>
              <w:spacing w:line="360" w:lineRule="exact"/>
              <w:ind w:firstLine="0" w:firstLineChars="0"/>
              <w:jc w:val="center"/>
              <w:rPr>
                <w:sz w:val="21"/>
                <w:szCs w:val="21"/>
              </w:rPr>
            </w:pPr>
            <w:r>
              <w:rPr>
                <w:sz w:val="21"/>
                <w:szCs w:val="21"/>
              </w:rPr>
              <w:t>浅棕</w:t>
            </w:r>
          </w:p>
        </w:tc>
      </w:tr>
      <w:tr w14:paraId="239E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6B52D474">
            <w:pPr>
              <w:pStyle w:val="34"/>
              <w:spacing w:after="0" w:line="360" w:lineRule="exact"/>
              <w:ind w:firstLine="0" w:firstLineChars="0"/>
              <w:jc w:val="center"/>
              <w:rPr>
                <w:b/>
                <w:bCs/>
                <w:sz w:val="21"/>
                <w:szCs w:val="21"/>
              </w:rPr>
            </w:pPr>
          </w:p>
        </w:tc>
        <w:tc>
          <w:tcPr>
            <w:tcW w:w="556" w:type="pct"/>
            <w:vAlign w:val="center"/>
          </w:tcPr>
          <w:p w14:paraId="63AD5615">
            <w:pPr>
              <w:pStyle w:val="34"/>
              <w:spacing w:after="0" w:line="360" w:lineRule="exact"/>
              <w:ind w:firstLine="0" w:firstLineChars="0"/>
              <w:jc w:val="center"/>
              <w:rPr>
                <w:b/>
                <w:bCs/>
                <w:sz w:val="21"/>
                <w:szCs w:val="21"/>
              </w:rPr>
            </w:pPr>
            <w:r>
              <w:rPr>
                <w:b/>
                <w:bCs/>
                <w:sz w:val="21"/>
                <w:szCs w:val="21"/>
              </w:rPr>
              <w:t>结构</w:t>
            </w:r>
          </w:p>
        </w:tc>
        <w:tc>
          <w:tcPr>
            <w:tcW w:w="506" w:type="pct"/>
            <w:vAlign w:val="center"/>
          </w:tcPr>
          <w:p w14:paraId="0BCC4BDC">
            <w:pPr>
              <w:spacing w:line="360" w:lineRule="exact"/>
              <w:ind w:firstLine="0" w:firstLineChars="0"/>
              <w:jc w:val="center"/>
              <w:rPr>
                <w:sz w:val="21"/>
                <w:szCs w:val="21"/>
              </w:rPr>
            </w:pPr>
            <w:r>
              <w:rPr>
                <w:rFonts w:hint="eastAsia"/>
                <w:sz w:val="21"/>
                <w:szCs w:val="21"/>
              </w:rPr>
              <w:t>散状</w:t>
            </w:r>
          </w:p>
        </w:tc>
        <w:tc>
          <w:tcPr>
            <w:tcW w:w="708" w:type="pct"/>
          </w:tcPr>
          <w:p w14:paraId="3786DD70">
            <w:pPr>
              <w:spacing w:line="360" w:lineRule="exact"/>
              <w:ind w:firstLine="0" w:firstLineChars="0"/>
              <w:jc w:val="center"/>
              <w:rPr>
                <w:sz w:val="21"/>
                <w:szCs w:val="21"/>
              </w:rPr>
            </w:pPr>
            <w:r>
              <w:rPr>
                <w:rFonts w:hint="eastAsia"/>
                <w:sz w:val="21"/>
                <w:szCs w:val="21"/>
              </w:rPr>
              <w:t>散状</w:t>
            </w:r>
          </w:p>
        </w:tc>
        <w:tc>
          <w:tcPr>
            <w:tcW w:w="759" w:type="pct"/>
          </w:tcPr>
          <w:p w14:paraId="4BE9D319">
            <w:pPr>
              <w:spacing w:line="360" w:lineRule="exact"/>
              <w:ind w:firstLine="0" w:firstLineChars="0"/>
              <w:jc w:val="center"/>
              <w:rPr>
                <w:sz w:val="21"/>
                <w:szCs w:val="21"/>
              </w:rPr>
            </w:pPr>
            <w:r>
              <w:rPr>
                <w:rFonts w:hint="eastAsia"/>
                <w:sz w:val="21"/>
                <w:szCs w:val="21"/>
              </w:rPr>
              <w:t>散状</w:t>
            </w:r>
          </w:p>
        </w:tc>
        <w:tc>
          <w:tcPr>
            <w:tcW w:w="758" w:type="pct"/>
          </w:tcPr>
          <w:p w14:paraId="645455E0">
            <w:pPr>
              <w:spacing w:line="360" w:lineRule="exact"/>
              <w:ind w:firstLine="0" w:firstLineChars="0"/>
              <w:jc w:val="center"/>
              <w:rPr>
                <w:sz w:val="21"/>
                <w:szCs w:val="21"/>
              </w:rPr>
            </w:pPr>
            <w:r>
              <w:rPr>
                <w:rFonts w:hint="eastAsia"/>
                <w:sz w:val="21"/>
                <w:szCs w:val="21"/>
              </w:rPr>
              <w:t>散状</w:t>
            </w:r>
          </w:p>
        </w:tc>
        <w:tc>
          <w:tcPr>
            <w:tcW w:w="756" w:type="pct"/>
          </w:tcPr>
          <w:p w14:paraId="126F4C84">
            <w:pPr>
              <w:spacing w:line="360" w:lineRule="exact"/>
              <w:ind w:firstLine="0" w:firstLineChars="0"/>
              <w:jc w:val="center"/>
              <w:rPr>
                <w:sz w:val="21"/>
                <w:szCs w:val="21"/>
              </w:rPr>
            </w:pPr>
            <w:r>
              <w:rPr>
                <w:rFonts w:hint="eastAsia"/>
                <w:sz w:val="21"/>
                <w:szCs w:val="21"/>
              </w:rPr>
              <w:t>散状</w:t>
            </w:r>
          </w:p>
        </w:tc>
        <w:tc>
          <w:tcPr>
            <w:tcW w:w="756" w:type="pct"/>
          </w:tcPr>
          <w:p w14:paraId="52D72B22">
            <w:pPr>
              <w:spacing w:line="360" w:lineRule="exact"/>
              <w:ind w:firstLine="0" w:firstLineChars="0"/>
              <w:jc w:val="center"/>
              <w:rPr>
                <w:sz w:val="21"/>
                <w:szCs w:val="21"/>
              </w:rPr>
            </w:pPr>
            <w:r>
              <w:rPr>
                <w:rFonts w:hint="eastAsia"/>
                <w:sz w:val="21"/>
                <w:szCs w:val="21"/>
              </w:rPr>
              <w:t>散状</w:t>
            </w:r>
          </w:p>
        </w:tc>
      </w:tr>
      <w:tr w14:paraId="532F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186AF17D">
            <w:pPr>
              <w:pStyle w:val="34"/>
              <w:spacing w:after="0" w:line="360" w:lineRule="exact"/>
              <w:ind w:firstLine="0" w:firstLineChars="0"/>
              <w:jc w:val="center"/>
              <w:rPr>
                <w:b/>
                <w:bCs/>
                <w:sz w:val="21"/>
                <w:szCs w:val="21"/>
                <w:highlight w:val="yellow"/>
              </w:rPr>
            </w:pPr>
          </w:p>
        </w:tc>
        <w:tc>
          <w:tcPr>
            <w:tcW w:w="556" w:type="pct"/>
            <w:vAlign w:val="center"/>
          </w:tcPr>
          <w:p w14:paraId="59BF0613">
            <w:pPr>
              <w:pStyle w:val="34"/>
              <w:spacing w:after="0" w:line="360" w:lineRule="exact"/>
              <w:ind w:firstLine="0" w:firstLineChars="0"/>
              <w:jc w:val="center"/>
              <w:rPr>
                <w:b/>
                <w:bCs/>
                <w:sz w:val="21"/>
                <w:szCs w:val="21"/>
              </w:rPr>
            </w:pPr>
            <w:r>
              <w:rPr>
                <w:b/>
                <w:bCs/>
                <w:sz w:val="21"/>
                <w:szCs w:val="21"/>
              </w:rPr>
              <w:t>质地</w:t>
            </w:r>
          </w:p>
        </w:tc>
        <w:tc>
          <w:tcPr>
            <w:tcW w:w="506" w:type="pct"/>
            <w:vAlign w:val="center"/>
          </w:tcPr>
          <w:p w14:paraId="1058F38D">
            <w:pPr>
              <w:spacing w:line="360" w:lineRule="exact"/>
              <w:ind w:firstLine="0" w:firstLineChars="0"/>
              <w:jc w:val="center"/>
              <w:rPr>
                <w:sz w:val="21"/>
                <w:szCs w:val="21"/>
              </w:rPr>
            </w:pPr>
            <w:r>
              <w:rPr>
                <w:sz w:val="21"/>
                <w:szCs w:val="21"/>
              </w:rPr>
              <w:t>轻壤土</w:t>
            </w:r>
          </w:p>
        </w:tc>
        <w:tc>
          <w:tcPr>
            <w:tcW w:w="708" w:type="pct"/>
            <w:vAlign w:val="center"/>
          </w:tcPr>
          <w:p w14:paraId="3F842A3C">
            <w:pPr>
              <w:spacing w:line="360" w:lineRule="exact"/>
              <w:ind w:firstLine="0" w:firstLineChars="0"/>
              <w:jc w:val="center"/>
              <w:rPr>
                <w:sz w:val="21"/>
                <w:szCs w:val="21"/>
              </w:rPr>
            </w:pPr>
            <w:r>
              <w:rPr>
                <w:sz w:val="21"/>
                <w:szCs w:val="21"/>
              </w:rPr>
              <w:t>轻壤土</w:t>
            </w:r>
          </w:p>
        </w:tc>
        <w:tc>
          <w:tcPr>
            <w:tcW w:w="759" w:type="pct"/>
            <w:vAlign w:val="center"/>
          </w:tcPr>
          <w:p w14:paraId="4C551A9C">
            <w:pPr>
              <w:spacing w:line="360" w:lineRule="exact"/>
              <w:ind w:firstLine="0" w:firstLineChars="0"/>
              <w:jc w:val="center"/>
              <w:rPr>
                <w:sz w:val="21"/>
                <w:szCs w:val="21"/>
              </w:rPr>
            </w:pPr>
            <w:r>
              <w:rPr>
                <w:sz w:val="21"/>
                <w:szCs w:val="21"/>
              </w:rPr>
              <w:t>轻壤土</w:t>
            </w:r>
          </w:p>
        </w:tc>
        <w:tc>
          <w:tcPr>
            <w:tcW w:w="758" w:type="pct"/>
            <w:vAlign w:val="center"/>
          </w:tcPr>
          <w:p w14:paraId="77EAB234">
            <w:pPr>
              <w:spacing w:line="360" w:lineRule="exact"/>
              <w:ind w:firstLine="0" w:firstLineChars="0"/>
              <w:jc w:val="center"/>
              <w:rPr>
                <w:sz w:val="21"/>
                <w:szCs w:val="21"/>
              </w:rPr>
            </w:pPr>
            <w:r>
              <w:rPr>
                <w:sz w:val="21"/>
                <w:szCs w:val="21"/>
              </w:rPr>
              <w:t>轻壤土</w:t>
            </w:r>
          </w:p>
        </w:tc>
        <w:tc>
          <w:tcPr>
            <w:tcW w:w="756" w:type="pct"/>
            <w:vAlign w:val="center"/>
          </w:tcPr>
          <w:p w14:paraId="01C36570">
            <w:pPr>
              <w:spacing w:line="360" w:lineRule="exact"/>
              <w:ind w:firstLine="0" w:firstLineChars="0"/>
              <w:jc w:val="center"/>
              <w:rPr>
                <w:sz w:val="21"/>
                <w:szCs w:val="21"/>
              </w:rPr>
            </w:pPr>
            <w:r>
              <w:rPr>
                <w:sz w:val="21"/>
                <w:szCs w:val="21"/>
              </w:rPr>
              <w:t>轻壤土</w:t>
            </w:r>
          </w:p>
        </w:tc>
        <w:tc>
          <w:tcPr>
            <w:tcW w:w="756" w:type="pct"/>
            <w:vAlign w:val="center"/>
          </w:tcPr>
          <w:p w14:paraId="40172692">
            <w:pPr>
              <w:spacing w:line="360" w:lineRule="exact"/>
              <w:ind w:firstLine="0" w:firstLineChars="0"/>
              <w:jc w:val="center"/>
              <w:rPr>
                <w:sz w:val="21"/>
                <w:szCs w:val="21"/>
              </w:rPr>
            </w:pPr>
            <w:r>
              <w:rPr>
                <w:sz w:val="21"/>
                <w:szCs w:val="21"/>
              </w:rPr>
              <w:t>轻壤土</w:t>
            </w:r>
          </w:p>
        </w:tc>
      </w:tr>
      <w:tr w14:paraId="3AB4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6080B579">
            <w:pPr>
              <w:pStyle w:val="34"/>
              <w:spacing w:after="0" w:line="360" w:lineRule="exact"/>
              <w:ind w:firstLine="0" w:firstLineChars="0"/>
              <w:jc w:val="center"/>
              <w:rPr>
                <w:b/>
                <w:bCs/>
                <w:sz w:val="21"/>
                <w:szCs w:val="21"/>
                <w:highlight w:val="yellow"/>
              </w:rPr>
            </w:pPr>
          </w:p>
        </w:tc>
        <w:tc>
          <w:tcPr>
            <w:tcW w:w="556" w:type="pct"/>
            <w:vAlign w:val="center"/>
          </w:tcPr>
          <w:p w14:paraId="44BED3E0">
            <w:pPr>
              <w:pStyle w:val="34"/>
              <w:spacing w:after="0" w:line="360" w:lineRule="exact"/>
              <w:ind w:firstLine="0" w:firstLineChars="0"/>
              <w:jc w:val="center"/>
              <w:rPr>
                <w:b/>
                <w:bCs/>
                <w:sz w:val="21"/>
                <w:szCs w:val="21"/>
              </w:rPr>
            </w:pPr>
            <w:r>
              <w:rPr>
                <w:b/>
                <w:bCs/>
                <w:sz w:val="21"/>
                <w:szCs w:val="21"/>
              </w:rPr>
              <w:t>砂砾含量</w:t>
            </w:r>
          </w:p>
        </w:tc>
        <w:tc>
          <w:tcPr>
            <w:tcW w:w="506" w:type="pct"/>
            <w:vAlign w:val="center"/>
          </w:tcPr>
          <w:p w14:paraId="67D307F2">
            <w:pPr>
              <w:pStyle w:val="34"/>
              <w:spacing w:after="0" w:line="360" w:lineRule="exact"/>
              <w:ind w:firstLine="0" w:firstLineChars="0"/>
              <w:jc w:val="center"/>
              <w:rPr>
                <w:sz w:val="21"/>
                <w:szCs w:val="21"/>
              </w:rPr>
            </w:pPr>
            <w:r>
              <w:rPr>
                <w:rFonts w:hint="eastAsia"/>
                <w:sz w:val="21"/>
                <w:szCs w:val="21"/>
              </w:rPr>
              <w:t>10</w:t>
            </w:r>
            <w:r>
              <w:rPr>
                <w:sz w:val="21"/>
                <w:szCs w:val="21"/>
              </w:rPr>
              <w:t>%</w:t>
            </w:r>
          </w:p>
        </w:tc>
        <w:tc>
          <w:tcPr>
            <w:tcW w:w="708" w:type="pct"/>
            <w:vAlign w:val="center"/>
          </w:tcPr>
          <w:p w14:paraId="25E4CB5F">
            <w:pPr>
              <w:pStyle w:val="34"/>
              <w:spacing w:after="0" w:line="360" w:lineRule="exact"/>
              <w:ind w:firstLine="0" w:firstLineChars="0"/>
              <w:jc w:val="center"/>
              <w:rPr>
                <w:sz w:val="21"/>
                <w:szCs w:val="21"/>
              </w:rPr>
            </w:pPr>
            <w:r>
              <w:rPr>
                <w:rFonts w:hint="eastAsia"/>
                <w:sz w:val="21"/>
                <w:szCs w:val="21"/>
              </w:rPr>
              <w:t>10</w:t>
            </w:r>
            <w:r>
              <w:rPr>
                <w:sz w:val="21"/>
                <w:szCs w:val="21"/>
              </w:rPr>
              <w:t>%</w:t>
            </w:r>
          </w:p>
        </w:tc>
        <w:tc>
          <w:tcPr>
            <w:tcW w:w="759" w:type="pct"/>
            <w:vAlign w:val="center"/>
          </w:tcPr>
          <w:p w14:paraId="555ACA09">
            <w:pPr>
              <w:pStyle w:val="34"/>
              <w:spacing w:after="0" w:line="360" w:lineRule="exact"/>
              <w:ind w:firstLine="0" w:firstLineChars="0"/>
              <w:jc w:val="center"/>
              <w:rPr>
                <w:sz w:val="21"/>
                <w:szCs w:val="21"/>
              </w:rPr>
            </w:pPr>
            <w:r>
              <w:rPr>
                <w:rFonts w:hint="eastAsia"/>
                <w:sz w:val="21"/>
                <w:szCs w:val="21"/>
              </w:rPr>
              <w:t>10</w:t>
            </w:r>
            <w:r>
              <w:rPr>
                <w:sz w:val="21"/>
                <w:szCs w:val="21"/>
              </w:rPr>
              <w:t>%</w:t>
            </w:r>
          </w:p>
        </w:tc>
        <w:tc>
          <w:tcPr>
            <w:tcW w:w="758" w:type="pct"/>
            <w:vAlign w:val="center"/>
          </w:tcPr>
          <w:p w14:paraId="1705A2E6">
            <w:pPr>
              <w:pStyle w:val="34"/>
              <w:spacing w:after="0" w:line="360" w:lineRule="exact"/>
              <w:ind w:firstLine="0" w:firstLineChars="0"/>
              <w:jc w:val="center"/>
              <w:rPr>
                <w:sz w:val="21"/>
                <w:szCs w:val="21"/>
              </w:rPr>
            </w:pPr>
            <w:r>
              <w:rPr>
                <w:rFonts w:hint="eastAsia"/>
                <w:sz w:val="21"/>
                <w:szCs w:val="21"/>
              </w:rPr>
              <w:t>10</w:t>
            </w:r>
            <w:r>
              <w:rPr>
                <w:sz w:val="21"/>
                <w:szCs w:val="21"/>
              </w:rPr>
              <w:t>%</w:t>
            </w:r>
          </w:p>
        </w:tc>
        <w:tc>
          <w:tcPr>
            <w:tcW w:w="756" w:type="pct"/>
            <w:vAlign w:val="center"/>
          </w:tcPr>
          <w:p w14:paraId="4E470D0C">
            <w:pPr>
              <w:pStyle w:val="34"/>
              <w:spacing w:after="0" w:line="360" w:lineRule="exact"/>
              <w:ind w:firstLine="0" w:firstLineChars="0"/>
              <w:jc w:val="center"/>
              <w:rPr>
                <w:sz w:val="21"/>
                <w:szCs w:val="21"/>
              </w:rPr>
            </w:pPr>
            <w:r>
              <w:rPr>
                <w:rFonts w:hint="eastAsia"/>
                <w:sz w:val="21"/>
                <w:szCs w:val="21"/>
              </w:rPr>
              <w:t>10</w:t>
            </w:r>
            <w:r>
              <w:rPr>
                <w:sz w:val="21"/>
                <w:szCs w:val="21"/>
              </w:rPr>
              <w:t>%</w:t>
            </w:r>
          </w:p>
        </w:tc>
        <w:tc>
          <w:tcPr>
            <w:tcW w:w="756" w:type="pct"/>
            <w:vAlign w:val="center"/>
          </w:tcPr>
          <w:p w14:paraId="16CC67BE">
            <w:pPr>
              <w:pStyle w:val="34"/>
              <w:spacing w:after="0" w:line="360" w:lineRule="exact"/>
              <w:ind w:firstLine="0" w:firstLineChars="0"/>
              <w:jc w:val="center"/>
              <w:rPr>
                <w:sz w:val="21"/>
                <w:szCs w:val="21"/>
              </w:rPr>
            </w:pPr>
            <w:r>
              <w:rPr>
                <w:rFonts w:hint="eastAsia"/>
                <w:sz w:val="21"/>
                <w:szCs w:val="21"/>
              </w:rPr>
              <w:t>10</w:t>
            </w:r>
            <w:r>
              <w:rPr>
                <w:sz w:val="21"/>
                <w:szCs w:val="21"/>
              </w:rPr>
              <w:t>%</w:t>
            </w:r>
          </w:p>
        </w:tc>
      </w:tr>
      <w:tr w14:paraId="284B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3FFC1A74">
            <w:pPr>
              <w:pStyle w:val="34"/>
              <w:spacing w:after="0" w:line="360" w:lineRule="exact"/>
              <w:ind w:firstLine="0" w:firstLineChars="0"/>
              <w:jc w:val="center"/>
              <w:rPr>
                <w:b/>
                <w:bCs/>
                <w:sz w:val="21"/>
                <w:szCs w:val="21"/>
                <w:highlight w:val="yellow"/>
              </w:rPr>
            </w:pPr>
          </w:p>
        </w:tc>
        <w:tc>
          <w:tcPr>
            <w:tcW w:w="556" w:type="pct"/>
            <w:vAlign w:val="center"/>
          </w:tcPr>
          <w:p w14:paraId="458FA6B6">
            <w:pPr>
              <w:pStyle w:val="34"/>
              <w:spacing w:after="0" w:line="360" w:lineRule="exact"/>
              <w:ind w:firstLine="0" w:firstLineChars="0"/>
              <w:jc w:val="center"/>
              <w:rPr>
                <w:b/>
                <w:bCs/>
                <w:sz w:val="21"/>
                <w:szCs w:val="21"/>
              </w:rPr>
            </w:pPr>
            <w:r>
              <w:rPr>
                <w:b/>
                <w:bCs/>
                <w:sz w:val="21"/>
                <w:szCs w:val="21"/>
              </w:rPr>
              <w:t>其他异物</w:t>
            </w:r>
          </w:p>
        </w:tc>
        <w:tc>
          <w:tcPr>
            <w:tcW w:w="506" w:type="pct"/>
            <w:vAlign w:val="center"/>
          </w:tcPr>
          <w:p w14:paraId="32FB7467">
            <w:pPr>
              <w:spacing w:line="360" w:lineRule="exact"/>
              <w:ind w:firstLine="0" w:firstLineChars="0"/>
              <w:jc w:val="center"/>
              <w:rPr>
                <w:sz w:val="21"/>
                <w:szCs w:val="21"/>
              </w:rPr>
            </w:pPr>
            <w:r>
              <w:rPr>
                <w:rFonts w:hint="eastAsia"/>
                <w:sz w:val="21"/>
                <w:szCs w:val="21"/>
              </w:rPr>
              <w:t>/</w:t>
            </w:r>
          </w:p>
        </w:tc>
        <w:tc>
          <w:tcPr>
            <w:tcW w:w="708" w:type="pct"/>
            <w:vAlign w:val="center"/>
          </w:tcPr>
          <w:p w14:paraId="73AD568D">
            <w:pPr>
              <w:spacing w:line="360" w:lineRule="exact"/>
              <w:ind w:firstLine="0" w:firstLineChars="0"/>
              <w:jc w:val="center"/>
              <w:rPr>
                <w:sz w:val="21"/>
                <w:szCs w:val="21"/>
              </w:rPr>
            </w:pPr>
            <w:r>
              <w:rPr>
                <w:rFonts w:hint="eastAsia"/>
                <w:sz w:val="21"/>
                <w:szCs w:val="21"/>
              </w:rPr>
              <w:t>/</w:t>
            </w:r>
          </w:p>
        </w:tc>
        <w:tc>
          <w:tcPr>
            <w:tcW w:w="759" w:type="pct"/>
            <w:vAlign w:val="center"/>
          </w:tcPr>
          <w:p w14:paraId="5BDE55D5">
            <w:pPr>
              <w:spacing w:line="360" w:lineRule="exact"/>
              <w:ind w:firstLine="0" w:firstLineChars="0"/>
              <w:jc w:val="center"/>
              <w:rPr>
                <w:sz w:val="21"/>
                <w:szCs w:val="21"/>
              </w:rPr>
            </w:pPr>
            <w:r>
              <w:rPr>
                <w:rFonts w:hint="eastAsia"/>
                <w:sz w:val="21"/>
                <w:szCs w:val="21"/>
              </w:rPr>
              <w:t>/</w:t>
            </w:r>
          </w:p>
        </w:tc>
        <w:tc>
          <w:tcPr>
            <w:tcW w:w="758" w:type="pct"/>
            <w:vAlign w:val="center"/>
          </w:tcPr>
          <w:p w14:paraId="7B8FBAE5">
            <w:pPr>
              <w:spacing w:line="360" w:lineRule="exact"/>
              <w:ind w:firstLine="0" w:firstLineChars="0"/>
              <w:jc w:val="center"/>
              <w:rPr>
                <w:sz w:val="21"/>
                <w:szCs w:val="21"/>
              </w:rPr>
            </w:pPr>
            <w:r>
              <w:rPr>
                <w:rFonts w:hint="eastAsia"/>
                <w:sz w:val="21"/>
                <w:szCs w:val="21"/>
              </w:rPr>
              <w:t>/</w:t>
            </w:r>
          </w:p>
        </w:tc>
        <w:tc>
          <w:tcPr>
            <w:tcW w:w="756" w:type="pct"/>
            <w:vAlign w:val="center"/>
          </w:tcPr>
          <w:p w14:paraId="5401E052">
            <w:pPr>
              <w:spacing w:line="360" w:lineRule="exact"/>
              <w:ind w:firstLine="0" w:firstLineChars="0"/>
              <w:jc w:val="center"/>
              <w:rPr>
                <w:sz w:val="21"/>
                <w:szCs w:val="21"/>
              </w:rPr>
            </w:pPr>
            <w:r>
              <w:rPr>
                <w:rFonts w:hint="eastAsia"/>
                <w:sz w:val="21"/>
                <w:szCs w:val="21"/>
              </w:rPr>
              <w:t>/</w:t>
            </w:r>
          </w:p>
        </w:tc>
        <w:tc>
          <w:tcPr>
            <w:tcW w:w="756" w:type="pct"/>
            <w:vAlign w:val="center"/>
          </w:tcPr>
          <w:p w14:paraId="670790D0">
            <w:pPr>
              <w:spacing w:line="360" w:lineRule="exact"/>
              <w:ind w:firstLine="0" w:firstLineChars="0"/>
              <w:jc w:val="center"/>
              <w:rPr>
                <w:sz w:val="21"/>
                <w:szCs w:val="21"/>
              </w:rPr>
            </w:pPr>
            <w:r>
              <w:rPr>
                <w:rFonts w:hint="eastAsia"/>
                <w:sz w:val="21"/>
                <w:szCs w:val="21"/>
              </w:rPr>
              <w:t>/</w:t>
            </w:r>
          </w:p>
        </w:tc>
      </w:tr>
      <w:tr w14:paraId="7E61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restart"/>
            <w:vAlign w:val="center"/>
          </w:tcPr>
          <w:p w14:paraId="7170900A">
            <w:pPr>
              <w:pStyle w:val="34"/>
              <w:spacing w:after="0" w:line="360" w:lineRule="exact"/>
              <w:ind w:firstLine="0" w:firstLineChars="0"/>
              <w:jc w:val="center"/>
              <w:rPr>
                <w:b/>
                <w:bCs/>
                <w:sz w:val="21"/>
                <w:szCs w:val="21"/>
              </w:rPr>
            </w:pPr>
            <w:r>
              <w:rPr>
                <w:b/>
                <w:bCs/>
                <w:sz w:val="21"/>
                <w:szCs w:val="21"/>
              </w:rPr>
              <w:t>实验 室测 定</w:t>
            </w:r>
          </w:p>
        </w:tc>
        <w:tc>
          <w:tcPr>
            <w:tcW w:w="556" w:type="pct"/>
            <w:vAlign w:val="center"/>
          </w:tcPr>
          <w:p w14:paraId="0652B96F">
            <w:pPr>
              <w:pStyle w:val="34"/>
              <w:spacing w:after="0" w:line="240" w:lineRule="auto"/>
              <w:ind w:firstLine="0" w:firstLineChars="0"/>
              <w:jc w:val="center"/>
              <w:rPr>
                <w:b/>
                <w:bCs/>
                <w:sz w:val="21"/>
                <w:szCs w:val="21"/>
              </w:rPr>
            </w:pPr>
            <w:r>
              <w:rPr>
                <w:b/>
                <w:bCs/>
                <w:sz w:val="21"/>
                <w:szCs w:val="21"/>
              </w:rPr>
              <w:t>pH值</w:t>
            </w:r>
          </w:p>
          <w:p w14:paraId="2EA09D15">
            <w:pPr>
              <w:pStyle w:val="34"/>
              <w:spacing w:after="0" w:line="240" w:lineRule="auto"/>
              <w:ind w:firstLine="0" w:firstLineChars="0"/>
              <w:jc w:val="center"/>
              <w:rPr>
                <w:b/>
                <w:bCs/>
                <w:sz w:val="21"/>
                <w:szCs w:val="21"/>
              </w:rPr>
            </w:pPr>
            <w:r>
              <w:rPr>
                <w:b/>
                <w:bCs/>
                <w:sz w:val="21"/>
                <w:szCs w:val="21"/>
              </w:rPr>
              <w:t>（无量纲）</w:t>
            </w:r>
          </w:p>
        </w:tc>
        <w:tc>
          <w:tcPr>
            <w:tcW w:w="506" w:type="pct"/>
            <w:vAlign w:val="center"/>
          </w:tcPr>
          <w:p w14:paraId="62B70C96">
            <w:pPr>
              <w:tabs>
                <w:tab w:val="left" w:pos="417"/>
              </w:tabs>
              <w:spacing w:line="360" w:lineRule="exact"/>
              <w:ind w:firstLine="0" w:firstLineChars="0"/>
              <w:jc w:val="center"/>
              <w:rPr>
                <w:sz w:val="21"/>
                <w:szCs w:val="21"/>
              </w:rPr>
            </w:pPr>
            <w:r>
              <w:rPr>
                <w:rFonts w:hint="eastAsia"/>
                <w:sz w:val="21"/>
                <w:szCs w:val="21"/>
              </w:rPr>
              <w:t>7.13</w:t>
            </w:r>
          </w:p>
        </w:tc>
        <w:tc>
          <w:tcPr>
            <w:tcW w:w="708" w:type="pct"/>
            <w:vAlign w:val="center"/>
          </w:tcPr>
          <w:p w14:paraId="236ACE28">
            <w:pPr>
              <w:tabs>
                <w:tab w:val="left" w:pos="417"/>
              </w:tabs>
              <w:spacing w:line="360" w:lineRule="exact"/>
              <w:ind w:firstLine="0" w:firstLineChars="0"/>
              <w:jc w:val="center"/>
              <w:rPr>
                <w:sz w:val="21"/>
                <w:szCs w:val="21"/>
              </w:rPr>
            </w:pPr>
            <w:r>
              <w:rPr>
                <w:rFonts w:hint="eastAsia"/>
                <w:sz w:val="21"/>
                <w:szCs w:val="21"/>
              </w:rPr>
              <w:t>7.15</w:t>
            </w:r>
          </w:p>
        </w:tc>
        <w:tc>
          <w:tcPr>
            <w:tcW w:w="759" w:type="pct"/>
            <w:vAlign w:val="center"/>
          </w:tcPr>
          <w:p w14:paraId="53738B14">
            <w:pPr>
              <w:tabs>
                <w:tab w:val="left" w:pos="417"/>
              </w:tabs>
              <w:spacing w:line="360" w:lineRule="exact"/>
              <w:ind w:firstLine="0" w:firstLineChars="0"/>
              <w:jc w:val="center"/>
              <w:rPr>
                <w:sz w:val="21"/>
                <w:szCs w:val="21"/>
              </w:rPr>
            </w:pPr>
            <w:r>
              <w:rPr>
                <w:rFonts w:hint="eastAsia"/>
                <w:sz w:val="21"/>
                <w:szCs w:val="21"/>
              </w:rPr>
              <w:t>7.12</w:t>
            </w:r>
          </w:p>
        </w:tc>
        <w:tc>
          <w:tcPr>
            <w:tcW w:w="758" w:type="pct"/>
            <w:vAlign w:val="center"/>
          </w:tcPr>
          <w:p w14:paraId="12AB6119">
            <w:pPr>
              <w:tabs>
                <w:tab w:val="left" w:pos="417"/>
              </w:tabs>
              <w:spacing w:line="360" w:lineRule="exact"/>
              <w:ind w:firstLine="0" w:firstLineChars="0"/>
              <w:jc w:val="center"/>
              <w:rPr>
                <w:sz w:val="21"/>
                <w:szCs w:val="21"/>
              </w:rPr>
            </w:pPr>
            <w:r>
              <w:rPr>
                <w:rFonts w:hint="eastAsia"/>
                <w:sz w:val="21"/>
                <w:szCs w:val="21"/>
              </w:rPr>
              <w:t>7.08</w:t>
            </w:r>
          </w:p>
        </w:tc>
        <w:tc>
          <w:tcPr>
            <w:tcW w:w="756" w:type="pct"/>
            <w:vAlign w:val="center"/>
          </w:tcPr>
          <w:p w14:paraId="53B8C5F6">
            <w:pPr>
              <w:tabs>
                <w:tab w:val="left" w:pos="417"/>
              </w:tabs>
              <w:spacing w:line="360" w:lineRule="exact"/>
              <w:ind w:firstLine="0" w:firstLineChars="0"/>
              <w:jc w:val="center"/>
              <w:rPr>
                <w:sz w:val="21"/>
                <w:szCs w:val="21"/>
              </w:rPr>
            </w:pPr>
            <w:r>
              <w:rPr>
                <w:rFonts w:hint="eastAsia"/>
                <w:sz w:val="21"/>
                <w:szCs w:val="21"/>
              </w:rPr>
              <w:t>7.09</w:t>
            </w:r>
          </w:p>
        </w:tc>
        <w:tc>
          <w:tcPr>
            <w:tcW w:w="756" w:type="pct"/>
            <w:vAlign w:val="center"/>
          </w:tcPr>
          <w:p w14:paraId="728F4BF3">
            <w:pPr>
              <w:tabs>
                <w:tab w:val="left" w:pos="417"/>
              </w:tabs>
              <w:spacing w:line="360" w:lineRule="exact"/>
              <w:ind w:firstLine="0" w:firstLineChars="0"/>
              <w:jc w:val="center"/>
              <w:rPr>
                <w:sz w:val="21"/>
                <w:szCs w:val="21"/>
              </w:rPr>
            </w:pPr>
            <w:r>
              <w:rPr>
                <w:rFonts w:hint="eastAsia"/>
                <w:sz w:val="21"/>
                <w:szCs w:val="21"/>
              </w:rPr>
              <w:t>7.07</w:t>
            </w:r>
          </w:p>
        </w:tc>
      </w:tr>
      <w:tr w14:paraId="52AF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textDirection w:val="tbRlV"/>
            <w:vAlign w:val="center"/>
          </w:tcPr>
          <w:p w14:paraId="02EF0E06">
            <w:pPr>
              <w:pStyle w:val="34"/>
              <w:spacing w:after="0" w:line="360" w:lineRule="exact"/>
              <w:ind w:firstLine="0" w:firstLineChars="0"/>
              <w:jc w:val="center"/>
              <w:rPr>
                <w:b/>
                <w:bCs/>
                <w:sz w:val="21"/>
                <w:szCs w:val="21"/>
              </w:rPr>
            </w:pPr>
          </w:p>
        </w:tc>
        <w:tc>
          <w:tcPr>
            <w:tcW w:w="556" w:type="pct"/>
            <w:vAlign w:val="center"/>
          </w:tcPr>
          <w:p w14:paraId="27F9B6DA">
            <w:pPr>
              <w:pStyle w:val="34"/>
              <w:spacing w:after="0" w:line="240" w:lineRule="auto"/>
              <w:ind w:firstLine="0" w:firstLineChars="0"/>
              <w:jc w:val="center"/>
              <w:rPr>
                <w:b/>
                <w:bCs/>
                <w:sz w:val="21"/>
                <w:szCs w:val="21"/>
              </w:rPr>
            </w:pPr>
            <w:r>
              <w:rPr>
                <w:b/>
                <w:bCs/>
                <w:sz w:val="21"/>
                <w:szCs w:val="21"/>
              </w:rPr>
              <w:t>阳离子交换量</w:t>
            </w:r>
          </w:p>
          <w:p w14:paraId="31E8854B">
            <w:pPr>
              <w:pStyle w:val="34"/>
              <w:spacing w:after="0" w:line="240" w:lineRule="auto"/>
              <w:ind w:firstLine="0" w:firstLineChars="0"/>
              <w:jc w:val="center"/>
              <w:rPr>
                <w:b/>
                <w:bCs/>
                <w:sz w:val="21"/>
                <w:szCs w:val="21"/>
              </w:rPr>
            </w:pPr>
            <w:r>
              <w:rPr>
                <w:b/>
                <w:bCs/>
                <w:sz w:val="21"/>
                <w:szCs w:val="21"/>
              </w:rPr>
              <w:t>（cmol</w:t>
            </w:r>
            <w:r>
              <w:rPr>
                <w:b/>
                <w:bCs/>
                <w:sz w:val="21"/>
                <w:szCs w:val="21"/>
                <w:vertAlign w:val="superscript"/>
              </w:rPr>
              <w:t>+</w:t>
            </w:r>
            <w:r>
              <w:rPr>
                <w:b/>
                <w:bCs/>
                <w:sz w:val="21"/>
                <w:szCs w:val="21"/>
              </w:rPr>
              <w:t>/kg）</w:t>
            </w:r>
          </w:p>
        </w:tc>
        <w:tc>
          <w:tcPr>
            <w:tcW w:w="506" w:type="pct"/>
            <w:vAlign w:val="center"/>
          </w:tcPr>
          <w:p w14:paraId="404E4C49">
            <w:pPr>
              <w:tabs>
                <w:tab w:val="left" w:pos="417"/>
              </w:tabs>
              <w:spacing w:line="360" w:lineRule="exact"/>
              <w:ind w:firstLine="0" w:firstLineChars="0"/>
              <w:jc w:val="center"/>
              <w:rPr>
                <w:sz w:val="21"/>
                <w:szCs w:val="21"/>
              </w:rPr>
            </w:pPr>
            <w:r>
              <w:rPr>
                <w:rFonts w:hint="eastAsia"/>
                <w:sz w:val="21"/>
                <w:szCs w:val="21"/>
              </w:rPr>
              <w:t>16.88</w:t>
            </w:r>
          </w:p>
        </w:tc>
        <w:tc>
          <w:tcPr>
            <w:tcW w:w="708" w:type="pct"/>
            <w:vAlign w:val="center"/>
          </w:tcPr>
          <w:p w14:paraId="16D175A6">
            <w:pPr>
              <w:tabs>
                <w:tab w:val="left" w:pos="417"/>
              </w:tabs>
              <w:spacing w:line="360" w:lineRule="exact"/>
              <w:ind w:firstLine="0" w:firstLineChars="0"/>
              <w:jc w:val="center"/>
              <w:rPr>
                <w:sz w:val="21"/>
                <w:szCs w:val="21"/>
              </w:rPr>
            </w:pPr>
            <w:r>
              <w:rPr>
                <w:rFonts w:hint="eastAsia"/>
                <w:sz w:val="21"/>
                <w:szCs w:val="21"/>
              </w:rPr>
              <w:t>16.76</w:t>
            </w:r>
          </w:p>
        </w:tc>
        <w:tc>
          <w:tcPr>
            <w:tcW w:w="759" w:type="pct"/>
            <w:vAlign w:val="center"/>
          </w:tcPr>
          <w:p w14:paraId="7C9B0EB5">
            <w:pPr>
              <w:tabs>
                <w:tab w:val="left" w:pos="417"/>
              </w:tabs>
              <w:spacing w:line="360" w:lineRule="exact"/>
              <w:ind w:firstLine="0" w:firstLineChars="0"/>
              <w:jc w:val="center"/>
              <w:rPr>
                <w:sz w:val="21"/>
                <w:szCs w:val="21"/>
              </w:rPr>
            </w:pPr>
            <w:r>
              <w:rPr>
                <w:rFonts w:hint="eastAsia"/>
                <w:sz w:val="21"/>
                <w:szCs w:val="21"/>
              </w:rPr>
              <w:t>16.95</w:t>
            </w:r>
          </w:p>
        </w:tc>
        <w:tc>
          <w:tcPr>
            <w:tcW w:w="758" w:type="pct"/>
            <w:vAlign w:val="center"/>
          </w:tcPr>
          <w:p w14:paraId="639038CD">
            <w:pPr>
              <w:tabs>
                <w:tab w:val="left" w:pos="417"/>
              </w:tabs>
              <w:spacing w:line="360" w:lineRule="exact"/>
              <w:ind w:firstLine="0" w:firstLineChars="0"/>
              <w:jc w:val="center"/>
              <w:rPr>
                <w:sz w:val="21"/>
                <w:szCs w:val="21"/>
              </w:rPr>
            </w:pPr>
            <w:r>
              <w:rPr>
                <w:rFonts w:hint="eastAsia"/>
                <w:sz w:val="21"/>
                <w:szCs w:val="21"/>
              </w:rPr>
              <w:t>17.15</w:t>
            </w:r>
          </w:p>
        </w:tc>
        <w:tc>
          <w:tcPr>
            <w:tcW w:w="756" w:type="pct"/>
            <w:vAlign w:val="center"/>
          </w:tcPr>
          <w:p w14:paraId="2EE004D6">
            <w:pPr>
              <w:tabs>
                <w:tab w:val="left" w:pos="417"/>
              </w:tabs>
              <w:spacing w:line="360" w:lineRule="exact"/>
              <w:ind w:firstLine="0" w:firstLineChars="0"/>
              <w:jc w:val="center"/>
              <w:rPr>
                <w:sz w:val="21"/>
                <w:szCs w:val="21"/>
              </w:rPr>
            </w:pPr>
            <w:r>
              <w:rPr>
                <w:rFonts w:hint="eastAsia"/>
                <w:sz w:val="21"/>
                <w:szCs w:val="21"/>
              </w:rPr>
              <w:t>17.21</w:t>
            </w:r>
          </w:p>
        </w:tc>
        <w:tc>
          <w:tcPr>
            <w:tcW w:w="756" w:type="pct"/>
            <w:vAlign w:val="center"/>
          </w:tcPr>
          <w:p w14:paraId="632662F3">
            <w:pPr>
              <w:tabs>
                <w:tab w:val="left" w:pos="417"/>
              </w:tabs>
              <w:spacing w:line="360" w:lineRule="exact"/>
              <w:ind w:firstLine="0" w:firstLineChars="0"/>
              <w:jc w:val="center"/>
              <w:rPr>
                <w:sz w:val="21"/>
                <w:szCs w:val="21"/>
              </w:rPr>
            </w:pPr>
            <w:r>
              <w:rPr>
                <w:rFonts w:hint="eastAsia"/>
                <w:sz w:val="21"/>
                <w:szCs w:val="21"/>
              </w:rPr>
              <w:t>17.08</w:t>
            </w:r>
          </w:p>
        </w:tc>
      </w:tr>
      <w:tr w14:paraId="6DB1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1F1236F2">
            <w:pPr>
              <w:pStyle w:val="34"/>
              <w:spacing w:after="0" w:line="360" w:lineRule="exact"/>
              <w:ind w:firstLine="0" w:firstLineChars="0"/>
              <w:jc w:val="center"/>
              <w:rPr>
                <w:b/>
                <w:bCs/>
                <w:sz w:val="21"/>
                <w:szCs w:val="21"/>
              </w:rPr>
            </w:pPr>
          </w:p>
        </w:tc>
        <w:tc>
          <w:tcPr>
            <w:tcW w:w="556" w:type="pct"/>
            <w:vAlign w:val="center"/>
          </w:tcPr>
          <w:p w14:paraId="18D29AA3">
            <w:pPr>
              <w:pStyle w:val="34"/>
              <w:spacing w:after="0" w:line="240" w:lineRule="auto"/>
              <w:ind w:firstLine="0" w:firstLineChars="0"/>
              <w:jc w:val="center"/>
              <w:rPr>
                <w:b/>
                <w:bCs/>
                <w:sz w:val="21"/>
                <w:szCs w:val="21"/>
              </w:rPr>
            </w:pPr>
            <w:r>
              <w:rPr>
                <w:b/>
                <w:bCs/>
                <w:sz w:val="21"/>
                <w:szCs w:val="21"/>
              </w:rPr>
              <w:t>氧化还原电位</w:t>
            </w:r>
          </w:p>
          <w:p w14:paraId="628325F2">
            <w:pPr>
              <w:pStyle w:val="34"/>
              <w:spacing w:after="0" w:line="240" w:lineRule="auto"/>
              <w:ind w:firstLine="0" w:firstLineChars="0"/>
              <w:jc w:val="center"/>
              <w:rPr>
                <w:b/>
                <w:bCs/>
                <w:sz w:val="21"/>
                <w:szCs w:val="21"/>
              </w:rPr>
            </w:pPr>
            <w:r>
              <w:rPr>
                <w:b/>
                <w:bCs/>
                <w:sz w:val="21"/>
                <w:szCs w:val="21"/>
              </w:rPr>
              <w:t>（m</w:t>
            </w:r>
            <w:r>
              <w:rPr>
                <w:rFonts w:hint="eastAsia"/>
                <w:b/>
                <w:bCs/>
                <w:sz w:val="21"/>
                <w:szCs w:val="21"/>
              </w:rPr>
              <w:t>V</w:t>
            </w:r>
            <w:r>
              <w:rPr>
                <w:b/>
                <w:bCs/>
                <w:sz w:val="21"/>
                <w:szCs w:val="21"/>
              </w:rPr>
              <w:t>）</w:t>
            </w:r>
          </w:p>
        </w:tc>
        <w:tc>
          <w:tcPr>
            <w:tcW w:w="506" w:type="pct"/>
            <w:vAlign w:val="center"/>
          </w:tcPr>
          <w:p w14:paraId="5C53A0BC">
            <w:pPr>
              <w:tabs>
                <w:tab w:val="left" w:pos="417"/>
              </w:tabs>
              <w:spacing w:line="360" w:lineRule="exact"/>
              <w:ind w:firstLine="0" w:firstLineChars="0"/>
              <w:jc w:val="center"/>
              <w:rPr>
                <w:sz w:val="21"/>
                <w:szCs w:val="21"/>
              </w:rPr>
            </w:pPr>
            <w:r>
              <w:rPr>
                <w:rFonts w:hint="eastAsia"/>
                <w:sz w:val="21"/>
                <w:szCs w:val="21"/>
              </w:rPr>
              <w:t>0.2116</w:t>
            </w:r>
          </w:p>
        </w:tc>
        <w:tc>
          <w:tcPr>
            <w:tcW w:w="708" w:type="pct"/>
            <w:vAlign w:val="center"/>
          </w:tcPr>
          <w:p w14:paraId="0F4A34C0">
            <w:pPr>
              <w:tabs>
                <w:tab w:val="left" w:pos="417"/>
              </w:tabs>
              <w:spacing w:line="360" w:lineRule="exact"/>
              <w:ind w:firstLine="0" w:firstLineChars="0"/>
              <w:jc w:val="center"/>
              <w:rPr>
                <w:sz w:val="21"/>
                <w:szCs w:val="21"/>
              </w:rPr>
            </w:pPr>
            <w:r>
              <w:rPr>
                <w:rFonts w:hint="eastAsia"/>
                <w:sz w:val="21"/>
                <w:szCs w:val="21"/>
              </w:rPr>
              <w:t>0.2113</w:t>
            </w:r>
          </w:p>
        </w:tc>
        <w:tc>
          <w:tcPr>
            <w:tcW w:w="759" w:type="pct"/>
            <w:vAlign w:val="center"/>
          </w:tcPr>
          <w:p w14:paraId="2CD6652B">
            <w:pPr>
              <w:tabs>
                <w:tab w:val="left" w:pos="417"/>
              </w:tabs>
              <w:spacing w:line="360" w:lineRule="exact"/>
              <w:ind w:firstLine="0" w:firstLineChars="0"/>
              <w:jc w:val="center"/>
              <w:rPr>
                <w:sz w:val="21"/>
                <w:szCs w:val="21"/>
              </w:rPr>
            </w:pPr>
            <w:r>
              <w:rPr>
                <w:rFonts w:hint="eastAsia"/>
                <w:sz w:val="21"/>
                <w:szCs w:val="21"/>
              </w:rPr>
              <w:t>0.2114</w:t>
            </w:r>
          </w:p>
        </w:tc>
        <w:tc>
          <w:tcPr>
            <w:tcW w:w="758" w:type="pct"/>
            <w:vAlign w:val="center"/>
          </w:tcPr>
          <w:p w14:paraId="37F3FE09">
            <w:pPr>
              <w:tabs>
                <w:tab w:val="left" w:pos="417"/>
              </w:tabs>
              <w:spacing w:line="360" w:lineRule="exact"/>
              <w:ind w:firstLine="0" w:firstLineChars="0"/>
              <w:jc w:val="center"/>
              <w:rPr>
                <w:sz w:val="21"/>
                <w:szCs w:val="21"/>
              </w:rPr>
            </w:pPr>
            <w:r>
              <w:rPr>
                <w:rFonts w:hint="eastAsia"/>
                <w:sz w:val="21"/>
                <w:szCs w:val="21"/>
              </w:rPr>
              <w:t>0.3124</w:t>
            </w:r>
          </w:p>
        </w:tc>
        <w:tc>
          <w:tcPr>
            <w:tcW w:w="756" w:type="pct"/>
            <w:vAlign w:val="center"/>
          </w:tcPr>
          <w:p w14:paraId="266569D3">
            <w:pPr>
              <w:tabs>
                <w:tab w:val="left" w:pos="417"/>
              </w:tabs>
              <w:spacing w:line="360" w:lineRule="exact"/>
              <w:ind w:firstLine="0" w:firstLineChars="0"/>
              <w:jc w:val="center"/>
              <w:rPr>
                <w:sz w:val="21"/>
                <w:szCs w:val="21"/>
              </w:rPr>
            </w:pPr>
            <w:r>
              <w:rPr>
                <w:rFonts w:hint="eastAsia"/>
                <w:sz w:val="21"/>
                <w:szCs w:val="21"/>
              </w:rPr>
              <w:t>0.3164</w:t>
            </w:r>
          </w:p>
        </w:tc>
        <w:tc>
          <w:tcPr>
            <w:tcW w:w="756" w:type="pct"/>
            <w:vAlign w:val="center"/>
          </w:tcPr>
          <w:p w14:paraId="1B99933B">
            <w:pPr>
              <w:tabs>
                <w:tab w:val="left" w:pos="417"/>
              </w:tabs>
              <w:spacing w:line="360" w:lineRule="exact"/>
              <w:ind w:firstLine="0" w:firstLineChars="0"/>
              <w:jc w:val="center"/>
              <w:rPr>
                <w:sz w:val="21"/>
                <w:szCs w:val="21"/>
              </w:rPr>
            </w:pPr>
            <w:r>
              <w:rPr>
                <w:rFonts w:hint="eastAsia"/>
                <w:sz w:val="21"/>
                <w:szCs w:val="21"/>
              </w:rPr>
              <w:t>0.3152</w:t>
            </w:r>
          </w:p>
        </w:tc>
      </w:tr>
      <w:tr w14:paraId="4C90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5E0A8FC8">
            <w:pPr>
              <w:pStyle w:val="34"/>
              <w:spacing w:after="0" w:line="360" w:lineRule="exact"/>
              <w:ind w:firstLine="0" w:firstLineChars="0"/>
              <w:jc w:val="center"/>
              <w:rPr>
                <w:b/>
                <w:bCs/>
                <w:sz w:val="21"/>
                <w:szCs w:val="21"/>
              </w:rPr>
            </w:pPr>
          </w:p>
        </w:tc>
        <w:tc>
          <w:tcPr>
            <w:tcW w:w="556" w:type="pct"/>
            <w:vAlign w:val="center"/>
          </w:tcPr>
          <w:p w14:paraId="563AD348">
            <w:pPr>
              <w:pStyle w:val="34"/>
              <w:spacing w:after="0" w:line="240" w:lineRule="auto"/>
              <w:ind w:firstLine="0" w:firstLineChars="0"/>
              <w:jc w:val="center"/>
              <w:rPr>
                <w:b/>
                <w:bCs/>
                <w:sz w:val="21"/>
                <w:szCs w:val="21"/>
              </w:rPr>
            </w:pPr>
            <w:r>
              <w:rPr>
                <w:b/>
                <w:bCs/>
                <w:sz w:val="21"/>
                <w:szCs w:val="21"/>
              </w:rPr>
              <w:t>饱和导水率</w:t>
            </w:r>
          </w:p>
          <w:p w14:paraId="29C85304">
            <w:pPr>
              <w:pStyle w:val="34"/>
              <w:spacing w:after="0" w:line="240" w:lineRule="auto"/>
              <w:ind w:firstLine="0" w:firstLineChars="0"/>
              <w:jc w:val="center"/>
              <w:rPr>
                <w:b/>
                <w:bCs/>
                <w:sz w:val="21"/>
                <w:szCs w:val="21"/>
              </w:rPr>
            </w:pPr>
            <w:r>
              <w:rPr>
                <w:b/>
                <w:bCs/>
                <w:sz w:val="21"/>
                <w:szCs w:val="21"/>
              </w:rPr>
              <w:t>（cm/s）</w:t>
            </w:r>
          </w:p>
        </w:tc>
        <w:tc>
          <w:tcPr>
            <w:tcW w:w="506" w:type="pct"/>
            <w:vAlign w:val="center"/>
          </w:tcPr>
          <w:p w14:paraId="05257C79">
            <w:pPr>
              <w:tabs>
                <w:tab w:val="left" w:pos="417"/>
              </w:tabs>
              <w:spacing w:line="360" w:lineRule="exact"/>
              <w:ind w:firstLine="0" w:firstLineChars="0"/>
              <w:jc w:val="center"/>
              <w:rPr>
                <w:sz w:val="21"/>
                <w:szCs w:val="21"/>
              </w:rPr>
            </w:pPr>
            <w:r>
              <w:rPr>
                <w:rFonts w:hint="eastAsia"/>
                <w:sz w:val="21"/>
                <w:szCs w:val="21"/>
              </w:rPr>
              <w:t>0.4652</w:t>
            </w:r>
          </w:p>
        </w:tc>
        <w:tc>
          <w:tcPr>
            <w:tcW w:w="708" w:type="pct"/>
            <w:vAlign w:val="center"/>
          </w:tcPr>
          <w:p w14:paraId="0A24F465">
            <w:pPr>
              <w:tabs>
                <w:tab w:val="left" w:pos="417"/>
              </w:tabs>
              <w:spacing w:line="360" w:lineRule="exact"/>
              <w:ind w:firstLine="0" w:firstLineChars="0"/>
              <w:jc w:val="center"/>
              <w:rPr>
                <w:sz w:val="21"/>
                <w:szCs w:val="21"/>
              </w:rPr>
            </w:pPr>
            <w:r>
              <w:rPr>
                <w:rFonts w:hint="eastAsia"/>
                <w:sz w:val="21"/>
                <w:szCs w:val="21"/>
              </w:rPr>
              <w:t>0.4736</w:t>
            </w:r>
          </w:p>
        </w:tc>
        <w:tc>
          <w:tcPr>
            <w:tcW w:w="759" w:type="pct"/>
            <w:vAlign w:val="center"/>
          </w:tcPr>
          <w:p w14:paraId="46C07047">
            <w:pPr>
              <w:tabs>
                <w:tab w:val="left" w:pos="417"/>
              </w:tabs>
              <w:spacing w:line="360" w:lineRule="exact"/>
              <w:ind w:firstLine="0" w:firstLineChars="0"/>
              <w:jc w:val="center"/>
              <w:rPr>
                <w:sz w:val="21"/>
                <w:szCs w:val="21"/>
              </w:rPr>
            </w:pPr>
            <w:r>
              <w:rPr>
                <w:rFonts w:hint="eastAsia"/>
                <w:sz w:val="21"/>
                <w:szCs w:val="21"/>
              </w:rPr>
              <w:t>0.4655</w:t>
            </w:r>
          </w:p>
        </w:tc>
        <w:tc>
          <w:tcPr>
            <w:tcW w:w="758" w:type="pct"/>
            <w:vAlign w:val="center"/>
          </w:tcPr>
          <w:p w14:paraId="5FA0265D">
            <w:pPr>
              <w:tabs>
                <w:tab w:val="left" w:pos="417"/>
              </w:tabs>
              <w:spacing w:line="360" w:lineRule="exact"/>
              <w:ind w:firstLine="0" w:firstLineChars="0"/>
              <w:jc w:val="center"/>
              <w:rPr>
                <w:sz w:val="21"/>
                <w:szCs w:val="21"/>
              </w:rPr>
            </w:pPr>
            <w:r>
              <w:rPr>
                <w:rFonts w:hint="eastAsia"/>
                <w:sz w:val="21"/>
                <w:szCs w:val="21"/>
              </w:rPr>
              <w:t>0.5216</w:t>
            </w:r>
          </w:p>
        </w:tc>
        <w:tc>
          <w:tcPr>
            <w:tcW w:w="756" w:type="pct"/>
            <w:vAlign w:val="center"/>
          </w:tcPr>
          <w:p w14:paraId="1DEC9E12">
            <w:pPr>
              <w:tabs>
                <w:tab w:val="left" w:pos="417"/>
              </w:tabs>
              <w:spacing w:line="360" w:lineRule="exact"/>
              <w:ind w:firstLine="0" w:firstLineChars="0"/>
              <w:jc w:val="center"/>
              <w:rPr>
                <w:sz w:val="21"/>
                <w:szCs w:val="21"/>
              </w:rPr>
            </w:pPr>
            <w:r>
              <w:rPr>
                <w:rFonts w:hint="eastAsia"/>
                <w:sz w:val="21"/>
                <w:szCs w:val="21"/>
              </w:rPr>
              <w:t>0.5214</w:t>
            </w:r>
          </w:p>
        </w:tc>
        <w:tc>
          <w:tcPr>
            <w:tcW w:w="756" w:type="pct"/>
            <w:vAlign w:val="center"/>
          </w:tcPr>
          <w:p w14:paraId="1978DBAD">
            <w:pPr>
              <w:tabs>
                <w:tab w:val="left" w:pos="417"/>
              </w:tabs>
              <w:spacing w:line="360" w:lineRule="exact"/>
              <w:ind w:firstLine="0" w:firstLineChars="0"/>
              <w:jc w:val="center"/>
              <w:rPr>
                <w:sz w:val="21"/>
                <w:szCs w:val="21"/>
              </w:rPr>
            </w:pPr>
            <w:r>
              <w:rPr>
                <w:rFonts w:hint="eastAsia"/>
                <w:sz w:val="21"/>
                <w:szCs w:val="21"/>
              </w:rPr>
              <w:t>0.5208</w:t>
            </w:r>
          </w:p>
        </w:tc>
      </w:tr>
      <w:tr w14:paraId="6C8D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56C42329">
            <w:pPr>
              <w:pStyle w:val="34"/>
              <w:spacing w:after="0" w:line="360" w:lineRule="exact"/>
              <w:ind w:firstLine="0" w:firstLineChars="0"/>
              <w:jc w:val="center"/>
              <w:rPr>
                <w:b/>
                <w:bCs/>
                <w:sz w:val="21"/>
                <w:szCs w:val="21"/>
              </w:rPr>
            </w:pPr>
          </w:p>
        </w:tc>
        <w:tc>
          <w:tcPr>
            <w:tcW w:w="556" w:type="pct"/>
            <w:vAlign w:val="center"/>
          </w:tcPr>
          <w:p w14:paraId="3D85D20F">
            <w:pPr>
              <w:pStyle w:val="34"/>
              <w:spacing w:after="0" w:line="240" w:lineRule="auto"/>
              <w:ind w:firstLine="0" w:firstLineChars="0"/>
              <w:jc w:val="center"/>
              <w:rPr>
                <w:b/>
                <w:bCs/>
                <w:sz w:val="21"/>
                <w:szCs w:val="21"/>
              </w:rPr>
            </w:pPr>
            <w:r>
              <w:rPr>
                <w:b/>
                <w:bCs/>
                <w:sz w:val="21"/>
                <w:szCs w:val="21"/>
              </w:rPr>
              <w:t>土壤容重</w:t>
            </w:r>
          </w:p>
          <w:p w14:paraId="51D84E15">
            <w:pPr>
              <w:pStyle w:val="34"/>
              <w:spacing w:after="0" w:line="240" w:lineRule="auto"/>
              <w:ind w:firstLine="0" w:firstLineChars="0"/>
              <w:jc w:val="center"/>
              <w:rPr>
                <w:b/>
                <w:bCs/>
                <w:sz w:val="21"/>
                <w:szCs w:val="21"/>
              </w:rPr>
            </w:pPr>
            <w:r>
              <w:rPr>
                <w:b/>
                <w:bCs/>
                <w:sz w:val="21"/>
                <w:szCs w:val="21"/>
              </w:rPr>
              <w:t>(</w:t>
            </w:r>
            <w:r>
              <w:rPr>
                <w:rFonts w:hint="eastAsia"/>
                <w:b/>
                <w:bCs/>
                <w:sz w:val="21"/>
                <w:szCs w:val="21"/>
              </w:rPr>
              <w:t>k</w:t>
            </w:r>
            <w:r>
              <w:rPr>
                <w:b/>
                <w:bCs/>
                <w:sz w:val="21"/>
                <w:szCs w:val="21"/>
              </w:rPr>
              <w:t>g/cm</w:t>
            </w:r>
            <w:r>
              <w:rPr>
                <w:b/>
                <w:bCs/>
                <w:sz w:val="21"/>
                <w:szCs w:val="21"/>
                <w:vertAlign w:val="superscript"/>
              </w:rPr>
              <w:t>3</w:t>
            </w:r>
            <w:r>
              <w:rPr>
                <w:b/>
                <w:bCs/>
                <w:sz w:val="21"/>
                <w:szCs w:val="21"/>
              </w:rPr>
              <w:t>)</w:t>
            </w:r>
          </w:p>
        </w:tc>
        <w:tc>
          <w:tcPr>
            <w:tcW w:w="506" w:type="pct"/>
            <w:vAlign w:val="center"/>
          </w:tcPr>
          <w:p w14:paraId="72386427">
            <w:pPr>
              <w:tabs>
                <w:tab w:val="left" w:pos="417"/>
              </w:tabs>
              <w:spacing w:line="360" w:lineRule="exact"/>
              <w:ind w:firstLine="0" w:firstLineChars="0"/>
              <w:jc w:val="center"/>
              <w:rPr>
                <w:sz w:val="21"/>
                <w:szCs w:val="21"/>
              </w:rPr>
            </w:pPr>
            <w:r>
              <w:rPr>
                <w:rFonts w:hint="eastAsia"/>
                <w:sz w:val="21"/>
                <w:szCs w:val="21"/>
              </w:rPr>
              <w:t>0.00131</w:t>
            </w:r>
          </w:p>
        </w:tc>
        <w:tc>
          <w:tcPr>
            <w:tcW w:w="708" w:type="pct"/>
            <w:vAlign w:val="center"/>
          </w:tcPr>
          <w:p w14:paraId="786714EA">
            <w:pPr>
              <w:tabs>
                <w:tab w:val="left" w:pos="417"/>
              </w:tabs>
              <w:spacing w:line="360" w:lineRule="exact"/>
              <w:ind w:firstLine="0" w:firstLineChars="0"/>
              <w:jc w:val="center"/>
              <w:rPr>
                <w:sz w:val="21"/>
                <w:szCs w:val="21"/>
              </w:rPr>
            </w:pPr>
            <w:r>
              <w:rPr>
                <w:rFonts w:hint="eastAsia"/>
                <w:sz w:val="21"/>
                <w:szCs w:val="21"/>
              </w:rPr>
              <w:t>0.00134</w:t>
            </w:r>
          </w:p>
        </w:tc>
        <w:tc>
          <w:tcPr>
            <w:tcW w:w="759" w:type="pct"/>
            <w:vAlign w:val="center"/>
          </w:tcPr>
          <w:p w14:paraId="259A52D0">
            <w:pPr>
              <w:tabs>
                <w:tab w:val="left" w:pos="417"/>
              </w:tabs>
              <w:spacing w:line="360" w:lineRule="exact"/>
              <w:ind w:firstLine="0" w:firstLineChars="0"/>
              <w:jc w:val="center"/>
              <w:rPr>
                <w:sz w:val="21"/>
                <w:szCs w:val="21"/>
              </w:rPr>
            </w:pPr>
            <w:r>
              <w:rPr>
                <w:rFonts w:hint="eastAsia"/>
                <w:sz w:val="21"/>
                <w:szCs w:val="21"/>
              </w:rPr>
              <w:t>0.00133</w:t>
            </w:r>
          </w:p>
        </w:tc>
        <w:tc>
          <w:tcPr>
            <w:tcW w:w="758" w:type="pct"/>
            <w:vAlign w:val="center"/>
          </w:tcPr>
          <w:p w14:paraId="2C67CE81">
            <w:pPr>
              <w:tabs>
                <w:tab w:val="left" w:pos="417"/>
              </w:tabs>
              <w:spacing w:line="360" w:lineRule="exact"/>
              <w:ind w:firstLine="0" w:firstLineChars="0"/>
              <w:jc w:val="center"/>
              <w:rPr>
                <w:sz w:val="21"/>
                <w:szCs w:val="21"/>
              </w:rPr>
            </w:pPr>
            <w:r>
              <w:rPr>
                <w:rFonts w:hint="eastAsia"/>
                <w:sz w:val="21"/>
                <w:szCs w:val="21"/>
              </w:rPr>
              <w:t>0.00142</w:t>
            </w:r>
          </w:p>
        </w:tc>
        <w:tc>
          <w:tcPr>
            <w:tcW w:w="756" w:type="pct"/>
            <w:vAlign w:val="center"/>
          </w:tcPr>
          <w:p w14:paraId="2569F5A5">
            <w:pPr>
              <w:tabs>
                <w:tab w:val="left" w:pos="417"/>
              </w:tabs>
              <w:spacing w:line="360" w:lineRule="exact"/>
              <w:ind w:firstLine="0" w:firstLineChars="0"/>
              <w:jc w:val="center"/>
              <w:rPr>
                <w:sz w:val="21"/>
                <w:szCs w:val="21"/>
              </w:rPr>
            </w:pPr>
            <w:r>
              <w:rPr>
                <w:rFonts w:hint="eastAsia"/>
                <w:sz w:val="21"/>
                <w:szCs w:val="21"/>
              </w:rPr>
              <w:t>0.00144</w:t>
            </w:r>
          </w:p>
        </w:tc>
        <w:tc>
          <w:tcPr>
            <w:tcW w:w="756" w:type="pct"/>
            <w:vAlign w:val="center"/>
          </w:tcPr>
          <w:p w14:paraId="6D01790E">
            <w:pPr>
              <w:tabs>
                <w:tab w:val="left" w:pos="417"/>
              </w:tabs>
              <w:spacing w:line="360" w:lineRule="exact"/>
              <w:ind w:firstLine="0" w:firstLineChars="0"/>
              <w:jc w:val="center"/>
              <w:rPr>
                <w:sz w:val="21"/>
                <w:szCs w:val="21"/>
              </w:rPr>
            </w:pPr>
            <w:r>
              <w:rPr>
                <w:rFonts w:hint="eastAsia"/>
                <w:sz w:val="21"/>
                <w:szCs w:val="21"/>
              </w:rPr>
              <w:t>0.00143</w:t>
            </w:r>
          </w:p>
        </w:tc>
      </w:tr>
      <w:tr w14:paraId="14E8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01" w:type="pct"/>
            <w:vMerge w:val="continue"/>
            <w:vAlign w:val="center"/>
          </w:tcPr>
          <w:p w14:paraId="1E5CFA5D">
            <w:pPr>
              <w:pStyle w:val="34"/>
              <w:spacing w:after="0" w:line="360" w:lineRule="exact"/>
              <w:ind w:firstLine="0" w:firstLineChars="0"/>
              <w:jc w:val="center"/>
              <w:rPr>
                <w:b/>
                <w:bCs/>
                <w:sz w:val="21"/>
                <w:szCs w:val="21"/>
              </w:rPr>
            </w:pPr>
          </w:p>
        </w:tc>
        <w:tc>
          <w:tcPr>
            <w:tcW w:w="556" w:type="pct"/>
            <w:vAlign w:val="center"/>
          </w:tcPr>
          <w:p w14:paraId="6FFD788E">
            <w:pPr>
              <w:pStyle w:val="34"/>
              <w:spacing w:after="0" w:line="360" w:lineRule="exact"/>
              <w:ind w:firstLine="0" w:firstLineChars="0"/>
              <w:jc w:val="center"/>
              <w:rPr>
                <w:b/>
                <w:bCs/>
                <w:sz w:val="21"/>
                <w:szCs w:val="21"/>
              </w:rPr>
            </w:pPr>
            <w:r>
              <w:rPr>
                <w:b/>
                <w:bCs/>
                <w:sz w:val="21"/>
                <w:szCs w:val="21"/>
              </w:rPr>
              <w:t>孔隙度(%)</w:t>
            </w:r>
          </w:p>
        </w:tc>
        <w:tc>
          <w:tcPr>
            <w:tcW w:w="506" w:type="pct"/>
            <w:vAlign w:val="center"/>
          </w:tcPr>
          <w:p w14:paraId="6A06D752">
            <w:pPr>
              <w:tabs>
                <w:tab w:val="left" w:pos="417"/>
              </w:tabs>
              <w:spacing w:line="360" w:lineRule="exact"/>
              <w:ind w:firstLine="0" w:firstLineChars="0"/>
              <w:jc w:val="center"/>
              <w:rPr>
                <w:sz w:val="21"/>
                <w:szCs w:val="21"/>
              </w:rPr>
            </w:pPr>
            <w:r>
              <w:rPr>
                <w:rFonts w:hint="eastAsia"/>
                <w:sz w:val="21"/>
                <w:szCs w:val="21"/>
              </w:rPr>
              <w:t>74</w:t>
            </w:r>
          </w:p>
        </w:tc>
        <w:tc>
          <w:tcPr>
            <w:tcW w:w="708" w:type="pct"/>
            <w:vAlign w:val="center"/>
          </w:tcPr>
          <w:p w14:paraId="237F48D2">
            <w:pPr>
              <w:tabs>
                <w:tab w:val="left" w:pos="417"/>
              </w:tabs>
              <w:spacing w:line="360" w:lineRule="exact"/>
              <w:ind w:firstLine="0" w:firstLineChars="0"/>
              <w:jc w:val="center"/>
              <w:rPr>
                <w:sz w:val="21"/>
                <w:szCs w:val="21"/>
              </w:rPr>
            </w:pPr>
            <w:r>
              <w:rPr>
                <w:rFonts w:hint="eastAsia"/>
                <w:sz w:val="21"/>
                <w:szCs w:val="21"/>
              </w:rPr>
              <w:t>71</w:t>
            </w:r>
          </w:p>
        </w:tc>
        <w:tc>
          <w:tcPr>
            <w:tcW w:w="759" w:type="pct"/>
            <w:vAlign w:val="center"/>
          </w:tcPr>
          <w:p w14:paraId="65196692">
            <w:pPr>
              <w:tabs>
                <w:tab w:val="left" w:pos="417"/>
              </w:tabs>
              <w:spacing w:line="360" w:lineRule="exact"/>
              <w:ind w:firstLine="0" w:firstLineChars="0"/>
              <w:jc w:val="center"/>
              <w:rPr>
                <w:sz w:val="21"/>
                <w:szCs w:val="21"/>
              </w:rPr>
            </w:pPr>
            <w:r>
              <w:rPr>
                <w:rFonts w:hint="eastAsia"/>
                <w:sz w:val="21"/>
                <w:szCs w:val="21"/>
              </w:rPr>
              <w:t>75</w:t>
            </w:r>
          </w:p>
        </w:tc>
        <w:tc>
          <w:tcPr>
            <w:tcW w:w="758" w:type="pct"/>
            <w:vAlign w:val="center"/>
          </w:tcPr>
          <w:p w14:paraId="1A80D76B">
            <w:pPr>
              <w:tabs>
                <w:tab w:val="left" w:pos="417"/>
              </w:tabs>
              <w:spacing w:line="360" w:lineRule="exact"/>
              <w:ind w:firstLine="0" w:firstLineChars="0"/>
              <w:jc w:val="center"/>
              <w:rPr>
                <w:sz w:val="21"/>
                <w:szCs w:val="21"/>
              </w:rPr>
            </w:pPr>
            <w:r>
              <w:rPr>
                <w:rFonts w:hint="eastAsia"/>
                <w:sz w:val="21"/>
                <w:szCs w:val="21"/>
              </w:rPr>
              <w:t>76</w:t>
            </w:r>
          </w:p>
        </w:tc>
        <w:tc>
          <w:tcPr>
            <w:tcW w:w="756" w:type="pct"/>
            <w:vAlign w:val="center"/>
          </w:tcPr>
          <w:p w14:paraId="5BD4D852">
            <w:pPr>
              <w:tabs>
                <w:tab w:val="left" w:pos="417"/>
              </w:tabs>
              <w:spacing w:line="360" w:lineRule="exact"/>
              <w:ind w:firstLine="0" w:firstLineChars="0"/>
              <w:jc w:val="center"/>
              <w:rPr>
                <w:sz w:val="21"/>
                <w:szCs w:val="21"/>
              </w:rPr>
            </w:pPr>
            <w:r>
              <w:rPr>
                <w:rFonts w:hint="eastAsia"/>
                <w:sz w:val="21"/>
                <w:szCs w:val="21"/>
              </w:rPr>
              <w:t>77</w:t>
            </w:r>
          </w:p>
        </w:tc>
        <w:tc>
          <w:tcPr>
            <w:tcW w:w="756" w:type="pct"/>
            <w:vAlign w:val="center"/>
          </w:tcPr>
          <w:p w14:paraId="0F7BA153">
            <w:pPr>
              <w:tabs>
                <w:tab w:val="left" w:pos="417"/>
              </w:tabs>
              <w:spacing w:line="360" w:lineRule="exact"/>
              <w:ind w:firstLine="0" w:firstLineChars="0"/>
              <w:jc w:val="center"/>
              <w:rPr>
                <w:sz w:val="21"/>
                <w:szCs w:val="21"/>
              </w:rPr>
            </w:pPr>
            <w:r>
              <w:rPr>
                <w:rFonts w:hint="eastAsia"/>
                <w:sz w:val="21"/>
                <w:szCs w:val="21"/>
              </w:rPr>
              <w:t>78</w:t>
            </w:r>
          </w:p>
        </w:tc>
      </w:tr>
    </w:tbl>
    <w:p w14:paraId="358FCFB5">
      <w:pPr>
        <w:ind w:firstLine="480"/>
        <w:rPr>
          <w:highlight w:val="yellow"/>
        </w:rPr>
      </w:pPr>
    </w:p>
    <w:p w14:paraId="107B8A7E">
      <w:pPr>
        <w:pStyle w:val="2"/>
        <w:ind w:firstLine="480"/>
        <w:rPr>
          <w:highlight w:val="yellow"/>
        </w:rPr>
      </w:pPr>
    </w:p>
    <w:p w14:paraId="3565A1BD">
      <w:pPr>
        <w:pStyle w:val="2"/>
        <w:ind w:firstLine="480"/>
        <w:rPr>
          <w:highlight w:val="yellow"/>
        </w:rPr>
        <w:sectPr>
          <w:pgSz w:w="16840" w:h="11907" w:orient="landscape"/>
          <w:pgMar w:top="1797" w:right="1440" w:bottom="1797" w:left="1440" w:header="907" w:footer="907" w:gutter="0"/>
          <w:cols w:space="425" w:num="1"/>
          <w:docGrid w:linePitch="380" w:charSpace="0"/>
        </w:sectPr>
      </w:pPr>
    </w:p>
    <w:p w14:paraId="54D594DB">
      <w:pPr>
        <w:pStyle w:val="6"/>
        <w:ind w:left="0" w:firstLine="482" w:firstLineChars="200"/>
        <w:rPr>
          <w:szCs w:val="24"/>
        </w:rPr>
      </w:pPr>
      <w:r>
        <w:rPr>
          <w:rFonts w:hint="eastAsia"/>
          <w:szCs w:val="24"/>
        </w:rPr>
        <w:t>土壤环境质量现状调查</w:t>
      </w:r>
    </w:p>
    <w:p w14:paraId="020DF22F">
      <w:pPr>
        <w:pStyle w:val="2"/>
        <w:ind w:firstLine="480"/>
      </w:pPr>
      <w:r>
        <w:t>厂区内监测点位各个监测因子均能够满足《土壤环境质量-建设用地土壤污染风险管控标准（试行）》（GB36600-2018）表1第二类用地筛选值要求，厂区外监测点位监测因子满足《土壤环境质量 农用地土壤污染风险管控标准(试行)》（GB15618-2018）表1筛选值标准要求</w:t>
      </w:r>
      <w:r>
        <w:rPr>
          <w:rFonts w:hint="eastAsia"/>
        </w:rPr>
        <w:t>，</w:t>
      </w:r>
      <w:r>
        <w:t>表明区域土壤环境质量良好。</w:t>
      </w:r>
    </w:p>
    <w:p w14:paraId="3299685C">
      <w:pPr>
        <w:pStyle w:val="5"/>
        <w:spacing w:before="240" w:after="240"/>
      </w:pPr>
      <w:r>
        <w:rPr>
          <w:rFonts w:hint="eastAsia"/>
        </w:rPr>
        <w:t>土壤环境预测与</w:t>
      </w:r>
      <w:r>
        <w:t>评价</w:t>
      </w:r>
    </w:p>
    <w:p w14:paraId="5527C605">
      <w:pPr>
        <w:pStyle w:val="6"/>
        <w:ind w:left="0" w:firstLine="482" w:firstLineChars="200"/>
        <w:rPr>
          <w:szCs w:val="24"/>
        </w:rPr>
      </w:pPr>
      <w:r>
        <w:rPr>
          <w:rFonts w:hint="eastAsia"/>
          <w:szCs w:val="24"/>
        </w:rPr>
        <w:t>预测与评价因子</w:t>
      </w:r>
    </w:p>
    <w:p w14:paraId="0F8C92DA">
      <w:pPr>
        <w:adjustRightInd/>
        <w:snapToGrid/>
        <w:ind w:firstLine="480"/>
        <w:textAlignment w:val="auto"/>
        <w:rPr>
          <w:szCs w:val="24"/>
        </w:rPr>
      </w:pPr>
      <w:r>
        <w:rPr>
          <w:szCs w:val="24"/>
        </w:rPr>
        <w:t>本项目属于污染影响型新建项目，</w:t>
      </w:r>
      <w:r>
        <w:rPr>
          <w:rFonts w:hint="eastAsia"/>
          <w:szCs w:val="24"/>
          <w:lang w:val="zh-CN"/>
        </w:rPr>
        <w:t>大气污染因子主要为</w:t>
      </w:r>
      <w:r>
        <w:rPr>
          <w:rFonts w:hint="eastAsia"/>
          <w:szCs w:val="24"/>
        </w:rPr>
        <w:t>颗粒物、非甲烷总烃</w:t>
      </w:r>
      <w:r>
        <w:rPr>
          <w:rFonts w:hint="eastAsia"/>
          <w:szCs w:val="24"/>
          <w:lang w:val="zh-CN"/>
        </w:rPr>
        <w:t>，以气态形式存在，沉降性较差，且不涉及土壤污染重点污染物，根据上述物质的理化性质可知，其废气排放对土壤环境的影响均较小，故本次不考虑大气沉降造成的土壤环境污染。</w:t>
      </w:r>
    </w:p>
    <w:p w14:paraId="24C7ED2D">
      <w:pPr>
        <w:adjustRightInd/>
        <w:snapToGrid/>
        <w:ind w:firstLine="480"/>
        <w:textAlignment w:val="auto"/>
        <w:rPr>
          <w:szCs w:val="24"/>
        </w:rPr>
      </w:pPr>
      <w:r>
        <w:rPr>
          <w:rFonts w:hint="eastAsia"/>
          <w:szCs w:val="24"/>
        </w:rPr>
        <w:t>根据项目特点分析，污水处理站可能会发生地面漫流、污染土壤。建设单位根据相关环保要求，建立从污染源头、过程处理和最终排放的防控体系，其中将污水处理站设置为一级防控系统。本项目通过防控系统，可以将厂区废水控制在场区内，有效避免或减轻污水处理站引起地面漫流、造成土壤污染。</w:t>
      </w:r>
    </w:p>
    <w:p w14:paraId="06D92D6F">
      <w:pPr>
        <w:adjustRightInd/>
        <w:snapToGrid/>
        <w:ind w:firstLine="480"/>
        <w:textAlignment w:val="auto"/>
        <w:rPr>
          <w:szCs w:val="24"/>
        </w:rPr>
      </w:pPr>
      <w:r>
        <w:rPr>
          <w:rFonts w:hint="eastAsia"/>
          <w:szCs w:val="24"/>
        </w:rPr>
        <w:t>根据项目工程分析运营期本项目对土壤环境的影响途经主要为污水处理站预处理设施调节池渗漏对土壤产生的垂直入渗影响。影响与评价因子为石油类。石油类的源强为128mg/L。本次工程影响类型见下表。</w:t>
      </w:r>
    </w:p>
    <w:p w14:paraId="1339AACC">
      <w:pPr>
        <w:ind w:firstLine="480"/>
        <w:rPr>
          <w:rFonts w:eastAsia="黑体"/>
          <w:lang w:val="zh-CN"/>
        </w:rPr>
      </w:pPr>
      <w:r>
        <w:rPr>
          <w:rFonts w:eastAsia="黑体"/>
          <w:szCs w:val="24"/>
          <w:lang w:val="zh-CN"/>
        </w:rPr>
        <w:t>表5.</w:t>
      </w:r>
      <w:r>
        <w:rPr>
          <w:rFonts w:hint="eastAsia" w:eastAsia="黑体"/>
          <w:szCs w:val="24"/>
        </w:rPr>
        <w:t>4</w:t>
      </w:r>
      <w:r>
        <w:rPr>
          <w:rFonts w:eastAsia="黑体"/>
          <w:szCs w:val="24"/>
          <w:lang w:val="zh-CN"/>
        </w:rPr>
        <w:t>-</w:t>
      </w:r>
      <w:r>
        <w:rPr>
          <w:rFonts w:hint="eastAsia" w:eastAsia="黑体"/>
          <w:szCs w:val="24"/>
        </w:rPr>
        <w:t>4</w:t>
      </w:r>
      <w:r>
        <w:rPr>
          <w:rFonts w:eastAsia="黑体"/>
          <w:szCs w:val="24"/>
          <w:lang w:val="zh-CN"/>
        </w:rPr>
        <w:t xml:space="preserve">         本次工程土壤环境影响类型与影响途径表</w:t>
      </w:r>
    </w:p>
    <w:tbl>
      <w:tblPr>
        <w:tblStyle w:val="9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40"/>
        <w:gridCol w:w="1013"/>
        <w:gridCol w:w="1081"/>
        <w:gridCol w:w="1020"/>
        <w:gridCol w:w="654"/>
        <w:gridCol w:w="636"/>
        <w:gridCol w:w="644"/>
        <w:gridCol w:w="619"/>
        <w:gridCol w:w="626"/>
      </w:tblGrid>
      <w:tr w14:paraId="11778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vMerge w:val="restart"/>
            <w:tcBorders>
              <w:tl2br w:val="nil"/>
              <w:tr2bl w:val="nil"/>
            </w:tcBorders>
            <w:vAlign w:val="center"/>
          </w:tcPr>
          <w:p w14:paraId="265A0C9B">
            <w:pPr>
              <w:pStyle w:val="67"/>
              <w:autoSpaceDE w:val="0"/>
              <w:autoSpaceDN w:val="0"/>
              <w:rPr>
                <w:rFonts w:ascii="Calibri" w:hAnsi="Calibri"/>
                <w:color w:val="auto"/>
                <w:szCs w:val="22"/>
                <w:lang w:eastAsia="en-US"/>
              </w:rPr>
            </w:pPr>
            <w:r>
              <w:rPr>
                <w:rFonts w:hint="eastAsia" w:ascii="Calibri" w:hAnsi="Calibri"/>
                <w:color w:val="auto"/>
                <w:szCs w:val="22"/>
                <w:lang w:eastAsia="en-US"/>
              </w:rPr>
              <w:t>不同时段</w:t>
            </w:r>
          </w:p>
        </w:tc>
        <w:tc>
          <w:tcPr>
            <w:tcW w:w="4046" w:type="dxa"/>
            <w:gridSpan w:val="4"/>
            <w:tcBorders>
              <w:tl2br w:val="nil"/>
              <w:tr2bl w:val="nil"/>
            </w:tcBorders>
            <w:vAlign w:val="center"/>
          </w:tcPr>
          <w:p w14:paraId="67A26E7F">
            <w:pPr>
              <w:pStyle w:val="67"/>
              <w:autoSpaceDE w:val="0"/>
              <w:autoSpaceDN w:val="0"/>
              <w:rPr>
                <w:rFonts w:ascii="Calibri" w:hAnsi="Calibri"/>
                <w:color w:val="auto"/>
                <w:szCs w:val="22"/>
                <w:lang w:eastAsia="en-US"/>
              </w:rPr>
            </w:pPr>
            <w:r>
              <w:rPr>
                <w:rFonts w:hint="eastAsia" w:ascii="Calibri" w:hAnsi="Calibri"/>
                <w:color w:val="auto"/>
                <w:szCs w:val="22"/>
                <w:lang w:eastAsia="en-US"/>
              </w:rPr>
              <w:t>污染影响型</w:t>
            </w:r>
          </w:p>
        </w:tc>
        <w:tc>
          <w:tcPr>
            <w:tcW w:w="2708" w:type="dxa"/>
            <w:gridSpan w:val="4"/>
            <w:tcBorders>
              <w:tl2br w:val="nil"/>
              <w:tr2bl w:val="nil"/>
            </w:tcBorders>
            <w:vAlign w:val="center"/>
          </w:tcPr>
          <w:p w14:paraId="5D75F652">
            <w:pPr>
              <w:pStyle w:val="67"/>
              <w:autoSpaceDE w:val="0"/>
              <w:autoSpaceDN w:val="0"/>
              <w:rPr>
                <w:rFonts w:ascii="Calibri" w:hAnsi="Calibri"/>
                <w:color w:val="auto"/>
                <w:szCs w:val="22"/>
                <w:lang w:eastAsia="en-US"/>
              </w:rPr>
            </w:pPr>
            <w:r>
              <w:rPr>
                <w:rFonts w:hint="eastAsia" w:ascii="Calibri" w:hAnsi="Calibri"/>
                <w:color w:val="auto"/>
                <w:szCs w:val="22"/>
                <w:lang w:eastAsia="en-US"/>
              </w:rPr>
              <w:t>生态影响型</w:t>
            </w:r>
          </w:p>
        </w:tc>
      </w:tr>
      <w:tr w14:paraId="1565D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vMerge w:val="continue"/>
            <w:tcBorders>
              <w:tl2br w:val="nil"/>
              <w:tr2bl w:val="nil"/>
            </w:tcBorders>
            <w:vAlign w:val="center"/>
          </w:tcPr>
          <w:p w14:paraId="32BA37E2">
            <w:pPr>
              <w:pStyle w:val="67"/>
              <w:autoSpaceDE w:val="0"/>
              <w:autoSpaceDN w:val="0"/>
              <w:rPr>
                <w:rFonts w:ascii="Calibri" w:hAnsi="Calibri"/>
                <w:color w:val="auto"/>
                <w:szCs w:val="22"/>
                <w:lang w:eastAsia="en-US"/>
              </w:rPr>
            </w:pPr>
          </w:p>
        </w:tc>
        <w:tc>
          <w:tcPr>
            <w:tcW w:w="1088" w:type="dxa"/>
            <w:tcBorders>
              <w:tl2br w:val="nil"/>
              <w:tr2bl w:val="nil"/>
            </w:tcBorders>
            <w:vAlign w:val="center"/>
          </w:tcPr>
          <w:p w14:paraId="2CFEA59B">
            <w:pPr>
              <w:pStyle w:val="67"/>
              <w:autoSpaceDE w:val="0"/>
              <w:autoSpaceDN w:val="0"/>
              <w:rPr>
                <w:rFonts w:ascii="Calibri" w:hAnsi="Calibri"/>
                <w:color w:val="auto"/>
                <w:szCs w:val="22"/>
                <w:lang w:eastAsia="en-US"/>
              </w:rPr>
            </w:pPr>
            <w:r>
              <w:rPr>
                <w:rFonts w:hint="eastAsia" w:ascii="Calibri" w:hAnsi="Calibri"/>
                <w:color w:val="auto"/>
                <w:szCs w:val="22"/>
                <w:lang w:eastAsia="en-US"/>
              </w:rPr>
              <w:t>大气沉降</w:t>
            </w:r>
          </w:p>
        </w:tc>
        <w:tc>
          <w:tcPr>
            <w:tcW w:w="1161" w:type="dxa"/>
            <w:tcBorders>
              <w:tl2br w:val="nil"/>
              <w:tr2bl w:val="nil"/>
            </w:tcBorders>
            <w:vAlign w:val="center"/>
          </w:tcPr>
          <w:p w14:paraId="4023F03E">
            <w:pPr>
              <w:pStyle w:val="67"/>
              <w:autoSpaceDE w:val="0"/>
              <w:autoSpaceDN w:val="0"/>
              <w:rPr>
                <w:rFonts w:ascii="Calibri" w:hAnsi="Calibri"/>
                <w:color w:val="auto"/>
                <w:szCs w:val="22"/>
                <w:lang w:eastAsia="en-US"/>
              </w:rPr>
            </w:pPr>
            <w:r>
              <w:rPr>
                <w:rFonts w:hint="eastAsia" w:ascii="Calibri" w:hAnsi="Calibri"/>
                <w:color w:val="auto"/>
                <w:szCs w:val="22"/>
                <w:lang w:eastAsia="en-US"/>
              </w:rPr>
              <w:t>地面漫流</w:t>
            </w:r>
          </w:p>
        </w:tc>
        <w:tc>
          <w:tcPr>
            <w:tcW w:w="1095" w:type="dxa"/>
            <w:tcBorders>
              <w:tl2br w:val="nil"/>
              <w:tr2bl w:val="nil"/>
            </w:tcBorders>
            <w:vAlign w:val="center"/>
          </w:tcPr>
          <w:p w14:paraId="3DC4588F">
            <w:pPr>
              <w:pStyle w:val="67"/>
              <w:autoSpaceDE w:val="0"/>
              <w:autoSpaceDN w:val="0"/>
              <w:rPr>
                <w:rFonts w:ascii="Calibri" w:hAnsi="Calibri"/>
                <w:color w:val="auto"/>
                <w:szCs w:val="22"/>
                <w:lang w:eastAsia="en-US"/>
              </w:rPr>
            </w:pPr>
            <w:r>
              <w:rPr>
                <w:rFonts w:hint="eastAsia" w:ascii="Calibri" w:hAnsi="Calibri"/>
                <w:color w:val="auto"/>
                <w:szCs w:val="22"/>
                <w:lang w:eastAsia="en-US"/>
              </w:rPr>
              <w:t>垂直入渗</w:t>
            </w:r>
          </w:p>
        </w:tc>
        <w:tc>
          <w:tcPr>
            <w:tcW w:w="702" w:type="dxa"/>
            <w:tcBorders>
              <w:tl2br w:val="nil"/>
              <w:tr2bl w:val="nil"/>
            </w:tcBorders>
            <w:vAlign w:val="center"/>
          </w:tcPr>
          <w:p w14:paraId="30863E37">
            <w:pPr>
              <w:pStyle w:val="67"/>
              <w:autoSpaceDE w:val="0"/>
              <w:autoSpaceDN w:val="0"/>
              <w:rPr>
                <w:rFonts w:ascii="Calibri" w:hAnsi="Calibri"/>
                <w:color w:val="auto"/>
                <w:szCs w:val="22"/>
                <w:lang w:eastAsia="en-US"/>
              </w:rPr>
            </w:pPr>
            <w:r>
              <w:rPr>
                <w:rFonts w:hint="eastAsia" w:ascii="Calibri" w:hAnsi="Calibri"/>
                <w:color w:val="auto"/>
                <w:szCs w:val="22"/>
                <w:lang w:eastAsia="en-US"/>
              </w:rPr>
              <w:t>其它</w:t>
            </w:r>
          </w:p>
        </w:tc>
        <w:tc>
          <w:tcPr>
            <w:tcW w:w="682" w:type="dxa"/>
            <w:tcBorders>
              <w:tl2br w:val="nil"/>
              <w:tr2bl w:val="nil"/>
            </w:tcBorders>
            <w:vAlign w:val="center"/>
          </w:tcPr>
          <w:p w14:paraId="290D9CC6">
            <w:pPr>
              <w:pStyle w:val="67"/>
              <w:autoSpaceDE w:val="0"/>
              <w:autoSpaceDN w:val="0"/>
              <w:rPr>
                <w:rFonts w:ascii="Calibri" w:hAnsi="Calibri"/>
                <w:color w:val="auto"/>
                <w:szCs w:val="22"/>
                <w:lang w:eastAsia="en-US"/>
              </w:rPr>
            </w:pPr>
            <w:r>
              <w:rPr>
                <w:rFonts w:hint="eastAsia" w:ascii="Calibri" w:hAnsi="Calibri"/>
                <w:color w:val="auto"/>
                <w:szCs w:val="22"/>
                <w:lang w:eastAsia="en-US"/>
              </w:rPr>
              <w:t>盐化</w:t>
            </w:r>
          </w:p>
        </w:tc>
        <w:tc>
          <w:tcPr>
            <w:tcW w:w="691" w:type="dxa"/>
            <w:tcBorders>
              <w:tl2br w:val="nil"/>
              <w:tr2bl w:val="nil"/>
            </w:tcBorders>
            <w:vAlign w:val="center"/>
          </w:tcPr>
          <w:p w14:paraId="0A4414C6">
            <w:pPr>
              <w:pStyle w:val="67"/>
              <w:autoSpaceDE w:val="0"/>
              <w:autoSpaceDN w:val="0"/>
              <w:rPr>
                <w:rFonts w:ascii="Calibri" w:hAnsi="Calibri"/>
                <w:color w:val="auto"/>
                <w:szCs w:val="22"/>
                <w:lang w:eastAsia="en-US"/>
              </w:rPr>
            </w:pPr>
            <w:r>
              <w:rPr>
                <w:rFonts w:hint="eastAsia" w:ascii="Calibri" w:hAnsi="Calibri"/>
                <w:color w:val="auto"/>
                <w:szCs w:val="22"/>
                <w:lang w:eastAsia="en-US"/>
              </w:rPr>
              <w:t>碱化</w:t>
            </w:r>
          </w:p>
        </w:tc>
        <w:tc>
          <w:tcPr>
            <w:tcW w:w="664" w:type="dxa"/>
            <w:tcBorders>
              <w:tl2br w:val="nil"/>
              <w:tr2bl w:val="nil"/>
            </w:tcBorders>
            <w:vAlign w:val="center"/>
          </w:tcPr>
          <w:p w14:paraId="70DDB649">
            <w:pPr>
              <w:pStyle w:val="67"/>
              <w:autoSpaceDE w:val="0"/>
              <w:autoSpaceDN w:val="0"/>
              <w:rPr>
                <w:rFonts w:ascii="Calibri" w:hAnsi="Calibri"/>
                <w:color w:val="auto"/>
                <w:szCs w:val="22"/>
                <w:lang w:eastAsia="en-US"/>
              </w:rPr>
            </w:pPr>
            <w:r>
              <w:rPr>
                <w:rFonts w:hint="eastAsia" w:ascii="Calibri" w:hAnsi="Calibri"/>
                <w:color w:val="auto"/>
                <w:szCs w:val="22"/>
                <w:lang w:eastAsia="en-US"/>
              </w:rPr>
              <w:t>酸化</w:t>
            </w:r>
          </w:p>
        </w:tc>
        <w:tc>
          <w:tcPr>
            <w:tcW w:w="671" w:type="dxa"/>
            <w:tcBorders>
              <w:tl2br w:val="nil"/>
              <w:tr2bl w:val="nil"/>
            </w:tcBorders>
            <w:vAlign w:val="center"/>
          </w:tcPr>
          <w:p w14:paraId="04A6FDDE">
            <w:pPr>
              <w:pStyle w:val="67"/>
              <w:autoSpaceDE w:val="0"/>
              <w:autoSpaceDN w:val="0"/>
              <w:rPr>
                <w:rFonts w:ascii="Calibri" w:hAnsi="Calibri"/>
                <w:color w:val="auto"/>
                <w:szCs w:val="22"/>
                <w:lang w:eastAsia="en-US"/>
              </w:rPr>
            </w:pPr>
            <w:r>
              <w:rPr>
                <w:rFonts w:hint="eastAsia" w:ascii="Calibri" w:hAnsi="Calibri"/>
                <w:color w:val="auto"/>
                <w:szCs w:val="22"/>
                <w:lang w:eastAsia="en-US"/>
              </w:rPr>
              <w:t>其它</w:t>
            </w:r>
          </w:p>
        </w:tc>
      </w:tr>
      <w:tr w14:paraId="43D8B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tcBorders>
              <w:tl2br w:val="nil"/>
              <w:tr2bl w:val="nil"/>
            </w:tcBorders>
            <w:vAlign w:val="center"/>
          </w:tcPr>
          <w:p w14:paraId="00075F79">
            <w:pPr>
              <w:pStyle w:val="62"/>
              <w:autoSpaceDE w:val="0"/>
              <w:autoSpaceDN w:val="0"/>
              <w:rPr>
                <w:rFonts w:ascii="宋体" w:hAnsi="Calibri"/>
                <w:lang w:eastAsia="en-US"/>
              </w:rPr>
            </w:pPr>
            <w:r>
              <w:rPr>
                <w:rFonts w:hint="eastAsia" w:ascii="宋体" w:hAnsi="宋体" w:cs="宋体"/>
                <w:lang w:eastAsia="en-US"/>
              </w:rPr>
              <w:t>建设期</w:t>
            </w:r>
          </w:p>
        </w:tc>
        <w:tc>
          <w:tcPr>
            <w:tcW w:w="1088" w:type="dxa"/>
            <w:tcBorders>
              <w:tl2br w:val="nil"/>
              <w:tr2bl w:val="nil"/>
            </w:tcBorders>
            <w:vAlign w:val="center"/>
          </w:tcPr>
          <w:p w14:paraId="35E66360">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1161" w:type="dxa"/>
            <w:tcBorders>
              <w:tl2br w:val="nil"/>
              <w:tr2bl w:val="nil"/>
            </w:tcBorders>
            <w:vAlign w:val="center"/>
          </w:tcPr>
          <w:p w14:paraId="627F191D">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1095" w:type="dxa"/>
            <w:tcBorders>
              <w:tl2br w:val="nil"/>
              <w:tr2bl w:val="nil"/>
            </w:tcBorders>
            <w:vAlign w:val="center"/>
          </w:tcPr>
          <w:p w14:paraId="40F360B3">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702" w:type="dxa"/>
            <w:tcBorders>
              <w:tl2br w:val="nil"/>
              <w:tr2bl w:val="nil"/>
            </w:tcBorders>
            <w:vAlign w:val="center"/>
          </w:tcPr>
          <w:p w14:paraId="53D193D5">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82" w:type="dxa"/>
            <w:tcBorders>
              <w:tl2br w:val="nil"/>
              <w:tr2bl w:val="nil"/>
            </w:tcBorders>
            <w:vAlign w:val="center"/>
          </w:tcPr>
          <w:p w14:paraId="2A21464B">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91" w:type="dxa"/>
            <w:tcBorders>
              <w:tl2br w:val="nil"/>
              <w:tr2bl w:val="nil"/>
            </w:tcBorders>
            <w:vAlign w:val="center"/>
          </w:tcPr>
          <w:p w14:paraId="59928502">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64" w:type="dxa"/>
            <w:tcBorders>
              <w:tl2br w:val="nil"/>
              <w:tr2bl w:val="nil"/>
            </w:tcBorders>
            <w:vAlign w:val="center"/>
          </w:tcPr>
          <w:p w14:paraId="65058ECB">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71" w:type="dxa"/>
            <w:tcBorders>
              <w:tl2br w:val="nil"/>
              <w:tr2bl w:val="nil"/>
            </w:tcBorders>
            <w:vAlign w:val="center"/>
          </w:tcPr>
          <w:p w14:paraId="2143DF42">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r>
      <w:tr w14:paraId="1DA0C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tcBorders>
              <w:tl2br w:val="nil"/>
              <w:tr2bl w:val="nil"/>
            </w:tcBorders>
            <w:vAlign w:val="center"/>
          </w:tcPr>
          <w:p w14:paraId="6B9DF84A">
            <w:pPr>
              <w:pStyle w:val="62"/>
              <w:autoSpaceDE w:val="0"/>
              <w:autoSpaceDN w:val="0"/>
              <w:rPr>
                <w:rFonts w:ascii="宋体" w:hAnsi="Calibri"/>
                <w:lang w:eastAsia="en-US"/>
              </w:rPr>
            </w:pPr>
            <w:r>
              <w:rPr>
                <w:rFonts w:hint="eastAsia" w:ascii="宋体" w:hAnsi="宋体" w:cs="宋体"/>
                <w:lang w:eastAsia="en-US"/>
              </w:rPr>
              <w:t>营运期</w:t>
            </w:r>
          </w:p>
        </w:tc>
        <w:tc>
          <w:tcPr>
            <w:tcW w:w="1088" w:type="dxa"/>
            <w:tcBorders>
              <w:tl2br w:val="nil"/>
              <w:tr2bl w:val="nil"/>
            </w:tcBorders>
            <w:vAlign w:val="center"/>
          </w:tcPr>
          <w:p w14:paraId="264B0F78">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1161" w:type="dxa"/>
            <w:tcBorders>
              <w:tl2br w:val="nil"/>
              <w:tr2bl w:val="nil"/>
            </w:tcBorders>
            <w:vAlign w:val="center"/>
          </w:tcPr>
          <w:p w14:paraId="289D2751">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1095" w:type="dxa"/>
            <w:tcBorders>
              <w:tl2br w:val="nil"/>
              <w:tr2bl w:val="nil"/>
            </w:tcBorders>
            <w:vAlign w:val="center"/>
          </w:tcPr>
          <w:p w14:paraId="2FFA1529">
            <w:pPr>
              <w:pStyle w:val="62"/>
              <w:autoSpaceDE w:val="0"/>
              <w:autoSpaceDN w:val="0"/>
              <w:rPr>
                <w:rFonts w:ascii="Calibri" w:hAnsi="Calibri"/>
                <w:lang w:eastAsia="en-US"/>
              </w:rPr>
            </w:pPr>
            <w:r>
              <w:rPr>
                <w:rFonts w:hint="eastAsia" w:ascii="Calibri" w:hAnsi="Calibri"/>
                <w:lang w:eastAsia="zh-CN"/>
              </w:rPr>
              <w:t>√</w:t>
            </w:r>
          </w:p>
        </w:tc>
        <w:tc>
          <w:tcPr>
            <w:tcW w:w="702" w:type="dxa"/>
            <w:tcBorders>
              <w:tl2br w:val="nil"/>
              <w:tr2bl w:val="nil"/>
            </w:tcBorders>
            <w:vAlign w:val="center"/>
          </w:tcPr>
          <w:p w14:paraId="280A8B5B">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82" w:type="dxa"/>
            <w:tcBorders>
              <w:tl2br w:val="nil"/>
              <w:tr2bl w:val="nil"/>
            </w:tcBorders>
            <w:vAlign w:val="center"/>
          </w:tcPr>
          <w:p w14:paraId="3790E425">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91" w:type="dxa"/>
            <w:tcBorders>
              <w:tl2br w:val="nil"/>
              <w:tr2bl w:val="nil"/>
            </w:tcBorders>
            <w:vAlign w:val="center"/>
          </w:tcPr>
          <w:p w14:paraId="4C8D4139">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64" w:type="dxa"/>
            <w:tcBorders>
              <w:tl2br w:val="nil"/>
              <w:tr2bl w:val="nil"/>
            </w:tcBorders>
            <w:vAlign w:val="center"/>
          </w:tcPr>
          <w:p w14:paraId="620C031E">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71" w:type="dxa"/>
            <w:tcBorders>
              <w:tl2br w:val="nil"/>
              <w:tr2bl w:val="nil"/>
            </w:tcBorders>
            <w:vAlign w:val="center"/>
          </w:tcPr>
          <w:p w14:paraId="01E086D2">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r>
      <w:tr w14:paraId="12B5E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tcBorders>
              <w:tl2br w:val="nil"/>
              <w:tr2bl w:val="nil"/>
            </w:tcBorders>
            <w:vAlign w:val="center"/>
          </w:tcPr>
          <w:p w14:paraId="3D453798">
            <w:pPr>
              <w:pStyle w:val="62"/>
              <w:autoSpaceDE w:val="0"/>
              <w:autoSpaceDN w:val="0"/>
              <w:rPr>
                <w:rFonts w:ascii="宋体" w:hAnsi="Calibri"/>
                <w:lang w:eastAsia="en-US"/>
              </w:rPr>
            </w:pPr>
            <w:r>
              <w:rPr>
                <w:rFonts w:hint="eastAsia" w:ascii="宋体" w:hAnsi="宋体" w:cs="宋体"/>
                <w:lang w:eastAsia="en-US"/>
              </w:rPr>
              <w:t>服务期满后</w:t>
            </w:r>
          </w:p>
        </w:tc>
        <w:tc>
          <w:tcPr>
            <w:tcW w:w="1088" w:type="dxa"/>
            <w:tcBorders>
              <w:tl2br w:val="nil"/>
              <w:tr2bl w:val="nil"/>
            </w:tcBorders>
            <w:vAlign w:val="center"/>
          </w:tcPr>
          <w:p w14:paraId="2372A7C0">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1161" w:type="dxa"/>
            <w:tcBorders>
              <w:tl2br w:val="nil"/>
              <w:tr2bl w:val="nil"/>
            </w:tcBorders>
            <w:vAlign w:val="center"/>
          </w:tcPr>
          <w:p w14:paraId="009A28F3">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1095" w:type="dxa"/>
            <w:tcBorders>
              <w:tl2br w:val="nil"/>
              <w:tr2bl w:val="nil"/>
            </w:tcBorders>
            <w:vAlign w:val="center"/>
          </w:tcPr>
          <w:p w14:paraId="3521AE98">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702" w:type="dxa"/>
            <w:tcBorders>
              <w:tl2br w:val="nil"/>
              <w:tr2bl w:val="nil"/>
            </w:tcBorders>
            <w:vAlign w:val="center"/>
          </w:tcPr>
          <w:p w14:paraId="6833DF86">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82" w:type="dxa"/>
            <w:tcBorders>
              <w:tl2br w:val="nil"/>
              <w:tr2bl w:val="nil"/>
            </w:tcBorders>
            <w:vAlign w:val="center"/>
          </w:tcPr>
          <w:p w14:paraId="29130903">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91" w:type="dxa"/>
            <w:tcBorders>
              <w:tl2br w:val="nil"/>
              <w:tr2bl w:val="nil"/>
            </w:tcBorders>
            <w:vAlign w:val="center"/>
          </w:tcPr>
          <w:p w14:paraId="5A4D747B">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64" w:type="dxa"/>
            <w:tcBorders>
              <w:tl2br w:val="nil"/>
              <w:tr2bl w:val="nil"/>
            </w:tcBorders>
            <w:vAlign w:val="center"/>
          </w:tcPr>
          <w:p w14:paraId="687A7BF5">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c>
          <w:tcPr>
            <w:tcW w:w="671" w:type="dxa"/>
            <w:tcBorders>
              <w:tl2br w:val="nil"/>
              <w:tr2bl w:val="nil"/>
            </w:tcBorders>
            <w:vAlign w:val="center"/>
          </w:tcPr>
          <w:p w14:paraId="3DF247B6">
            <w:pPr>
              <w:autoSpaceDE w:val="0"/>
              <w:autoSpaceDN w:val="0"/>
              <w:spacing w:line="240" w:lineRule="auto"/>
              <w:ind w:firstLine="0" w:firstLineChars="0"/>
              <w:jc w:val="center"/>
              <w:rPr>
                <w:rFonts w:ascii="Calibri" w:hAnsi="Calibri"/>
                <w:szCs w:val="22"/>
                <w:lang w:eastAsia="en-US"/>
              </w:rPr>
            </w:pPr>
            <w:r>
              <w:rPr>
                <w:rFonts w:hint="eastAsia" w:ascii="Calibri" w:hAnsi="Calibri"/>
                <w:szCs w:val="22"/>
                <w:lang w:eastAsia="zh-CN"/>
              </w:rPr>
              <w:t>-</w:t>
            </w:r>
          </w:p>
        </w:tc>
      </w:tr>
    </w:tbl>
    <w:p w14:paraId="51B0940A">
      <w:pPr>
        <w:adjustRightInd/>
        <w:snapToGrid/>
        <w:ind w:firstLine="480"/>
        <w:textAlignment w:val="auto"/>
        <w:rPr>
          <w:szCs w:val="24"/>
          <w:highlight w:val="yellow"/>
        </w:rPr>
      </w:pPr>
    </w:p>
    <w:p w14:paraId="1D3EE563">
      <w:pPr>
        <w:pStyle w:val="6"/>
        <w:ind w:left="0" w:firstLine="482" w:firstLineChars="200"/>
        <w:rPr>
          <w:szCs w:val="24"/>
        </w:rPr>
      </w:pPr>
      <w:r>
        <w:rPr>
          <w:szCs w:val="24"/>
        </w:rPr>
        <w:t>评价标准</w:t>
      </w:r>
    </w:p>
    <w:p w14:paraId="1D3EE564">
      <w:pPr>
        <w:ind w:firstLine="480"/>
      </w:pPr>
      <w:r>
        <w:rPr>
          <w:szCs w:val="24"/>
          <w:lang w:val="zh-CN"/>
        </w:rPr>
        <w:t>项目厂区</w:t>
      </w:r>
      <w:r>
        <w:rPr>
          <w:szCs w:val="24"/>
        </w:rPr>
        <w:t>内</w:t>
      </w:r>
      <w:r>
        <w:rPr>
          <w:szCs w:val="24"/>
          <w:lang w:val="zh-CN"/>
        </w:rPr>
        <w:t>土壤执行《土壤环境质量 建设用地土壤污染风险管控标准（试行）》（GB36600-2018）第二类用地筛选值标准；厂区外土壤</w:t>
      </w:r>
      <w:r>
        <w:rPr>
          <w:szCs w:val="24"/>
        </w:rPr>
        <w:t>执行</w:t>
      </w:r>
      <w:r>
        <w:rPr>
          <w:szCs w:val="24"/>
          <w:lang w:val="zh-CN"/>
        </w:rPr>
        <w:t>《土壤环境质量-农用地土壤污染风险管控标准（试行）》（GB15618-2018）中</w:t>
      </w:r>
      <w:r>
        <w:rPr>
          <w:szCs w:val="24"/>
        </w:rPr>
        <w:t>农用地筛选值</w:t>
      </w:r>
      <w:r>
        <w:rPr>
          <w:szCs w:val="24"/>
          <w:lang w:val="zh-CN"/>
        </w:rPr>
        <w:t>标准要求</w:t>
      </w:r>
      <w:r>
        <w:rPr>
          <w:rFonts w:hint="eastAsia"/>
          <w:szCs w:val="24"/>
          <w:lang w:val="zh-CN"/>
        </w:rPr>
        <w:t>。</w:t>
      </w:r>
    </w:p>
    <w:p w14:paraId="1D3EE565">
      <w:pPr>
        <w:pStyle w:val="6"/>
        <w:ind w:left="0" w:firstLine="482" w:firstLineChars="200"/>
        <w:rPr>
          <w:szCs w:val="24"/>
        </w:rPr>
      </w:pPr>
      <w:r>
        <w:rPr>
          <w:szCs w:val="24"/>
        </w:rPr>
        <w:t>评价方法</w:t>
      </w:r>
    </w:p>
    <w:p w14:paraId="1D3EE566">
      <w:pPr>
        <w:adjustRightInd/>
        <w:snapToGrid/>
        <w:ind w:firstLine="480"/>
        <w:textAlignment w:val="auto"/>
        <w:rPr>
          <w:szCs w:val="24"/>
          <w:lang w:val="zh-CN"/>
        </w:rPr>
      </w:pPr>
      <w:r>
        <w:rPr>
          <w:szCs w:val="24"/>
          <w:lang w:val="zh-CN"/>
        </w:rPr>
        <w:t>本项目污染影响型项目，评价等级为二级，因此预测方法选择《环境影响评价技术导则土壤环境（试行）》（HJ 964-2018）附录E的方法进行预测。</w:t>
      </w:r>
    </w:p>
    <w:p w14:paraId="1D3EE567">
      <w:pPr>
        <w:adjustRightInd/>
        <w:snapToGrid/>
        <w:ind w:firstLine="480"/>
        <w:textAlignment w:val="auto"/>
        <w:rPr>
          <w:szCs w:val="24"/>
          <w:lang w:val="zh-CN"/>
        </w:rPr>
      </w:pPr>
      <w:r>
        <w:rPr>
          <w:szCs w:val="24"/>
          <w:lang w:val="zh-CN"/>
        </w:rPr>
        <w:t>本项目土壤环境的影响类型</w:t>
      </w:r>
      <w:r>
        <w:rPr>
          <w:szCs w:val="24"/>
        </w:rPr>
        <w:t>为</w:t>
      </w:r>
      <w:r>
        <w:rPr>
          <w:rFonts w:hint="eastAsia"/>
          <w:szCs w:val="24"/>
        </w:rPr>
        <w:t>垂直入渗</w:t>
      </w:r>
      <w:r>
        <w:rPr>
          <w:szCs w:val="24"/>
          <w:lang w:val="zh-CN"/>
        </w:rPr>
        <w:t>。下渗影响采用E.2（方法二）进行预测。</w:t>
      </w:r>
    </w:p>
    <w:p w14:paraId="1D3EE568">
      <w:pPr>
        <w:adjustRightInd/>
        <w:snapToGrid/>
        <w:ind w:firstLine="480"/>
        <w:textAlignment w:val="auto"/>
        <w:rPr>
          <w:szCs w:val="24"/>
        </w:rPr>
      </w:pPr>
      <w:r>
        <w:rPr>
          <w:szCs w:val="24"/>
        </w:rPr>
        <w:t>E.2（方法二）预测模式为：一维非饱和溶质运移模型，其控制方程为：</w:t>
      </w:r>
    </w:p>
    <w:p w14:paraId="1D3EE569">
      <w:pPr>
        <w:pStyle w:val="68"/>
        <w:ind w:firstLine="482"/>
        <w:rPr>
          <w:szCs w:val="24"/>
        </w:rPr>
      </w:pPr>
      <w:r>
        <w:rPr>
          <w:szCs w:val="24"/>
        </w:rPr>
        <w:pict>
          <v:shape id="_x0000_s2202" o:spid="_x0000_s2202" o:spt="75" alt="" type="#_x0000_t75" style="position:absolute;left:0pt;margin-left:136.65pt;margin-top:11.35pt;height:28.45pt;width:144pt;z-index:251659264;mso-width-relative:page;mso-height-relative:page;" o:ole="t" filled="f" o:preferrelative="t" stroked="f" coordsize="21600,21600">
            <v:path/>
            <v:fill on="f" focussize="0,0"/>
            <v:stroke on="f"/>
            <v:imagedata r:id="rId142" o:title=""/>
            <o:lock v:ext="edit" aspectratio="t"/>
          </v:shape>
          <o:OLEObject Type="Embed" ProgID="Visio.Drawing.15" ShapeID="_x0000_s2202" DrawAspect="Content" ObjectID="_1468075738" r:id="rId141">
            <o:LockedField>false</o:LockedField>
          </o:OLEObject>
        </w:pict>
      </w:r>
    </w:p>
    <w:p w14:paraId="1D3EE56A">
      <w:pPr>
        <w:adjustRightInd/>
        <w:snapToGrid/>
        <w:ind w:firstLine="480"/>
        <w:textAlignment w:val="auto"/>
        <w:rPr>
          <w:szCs w:val="24"/>
        </w:rPr>
      </w:pPr>
    </w:p>
    <w:p w14:paraId="1D3EE56B">
      <w:pPr>
        <w:adjustRightInd/>
        <w:snapToGrid/>
        <w:ind w:firstLine="480"/>
        <w:textAlignment w:val="auto"/>
        <w:rPr>
          <w:szCs w:val="24"/>
        </w:rPr>
      </w:pPr>
      <w:r>
        <w:rPr>
          <w:szCs w:val="24"/>
        </w:rPr>
        <w:t>式中：c——污染物介质中的浓度，mg/L；</w:t>
      </w:r>
    </w:p>
    <w:p w14:paraId="1D3EE56C">
      <w:pPr>
        <w:adjustRightInd/>
        <w:snapToGrid/>
        <w:ind w:firstLine="480"/>
        <w:textAlignment w:val="auto"/>
        <w:rPr>
          <w:szCs w:val="24"/>
        </w:rPr>
      </w:pPr>
      <w:r>
        <w:rPr>
          <w:szCs w:val="24"/>
        </w:rPr>
        <w:t xml:space="preserve">      D——弥散系数，m</w:t>
      </w:r>
      <w:r>
        <w:rPr>
          <w:szCs w:val="24"/>
          <w:vertAlign w:val="superscript"/>
        </w:rPr>
        <w:t>2</w:t>
      </w:r>
      <w:r>
        <w:rPr>
          <w:szCs w:val="24"/>
        </w:rPr>
        <w:t>/d；</w:t>
      </w:r>
    </w:p>
    <w:p w14:paraId="1D3EE56D">
      <w:pPr>
        <w:adjustRightInd/>
        <w:snapToGrid/>
        <w:ind w:firstLine="480"/>
        <w:textAlignment w:val="auto"/>
        <w:rPr>
          <w:szCs w:val="24"/>
        </w:rPr>
      </w:pPr>
      <w:r>
        <w:rPr>
          <w:szCs w:val="24"/>
        </w:rPr>
        <w:t xml:space="preserve">      q——渗流速率，m/d；</w:t>
      </w:r>
    </w:p>
    <w:p w14:paraId="1D3EE56E">
      <w:pPr>
        <w:adjustRightInd/>
        <w:snapToGrid/>
        <w:ind w:firstLine="480"/>
        <w:textAlignment w:val="auto"/>
        <w:rPr>
          <w:szCs w:val="24"/>
        </w:rPr>
      </w:pPr>
      <w:r>
        <w:rPr>
          <w:szCs w:val="24"/>
        </w:rPr>
        <w:t xml:space="preserve">      z——沿z轴的距离，m；</w:t>
      </w:r>
    </w:p>
    <w:p w14:paraId="1D3EE56F">
      <w:pPr>
        <w:adjustRightInd/>
        <w:snapToGrid/>
        <w:ind w:firstLine="480"/>
        <w:textAlignment w:val="auto"/>
        <w:rPr>
          <w:szCs w:val="24"/>
        </w:rPr>
      </w:pPr>
      <w:r>
        <w:rPr>
          <w:szCs w:val="24"/>
        </w:rPr>
        <w:t xml:space="preserve">      t——时间变量，d；</w:t>
      </w:r>
    </w:p>
    <w:p w14:paraId="1D3EE570">
      <w:pPr>
        <w:pStyle w:val="184"/>
        <w:adjustRightInd/>
        <w:snapToGrid/>
        <w:spacing w:line="520" w:lineRule="exact"/>
        <w:textAlignment w:val="auto"/>
        <w:rPr>
          <w:rFonts w:ascii="Times New Roman" w:hAnsi="Times New Roman" w:eastAsia="黑体"/>
          <w:szCs w:val="24"/>
        </w:rPr>
      </w:pPr>
      <w:r>
        <w:rPr>
          <w:rFonts w:ascii="Times New Roman" w:hAnsi="Times New Roman"/>
          <w:szCs w:val="24"/>
        </w:rPr>
        <w:t xml:space="preserve">      θ——土壤含水率，%。</w:t>
      </w:r>
    </w:p>
    <w:p w14:paraId="1D3EE571">
      <w:pPr>
        <w:pStyle w:val="6"/>
        <w:ind w:left="0" w:firstLine="482" w:firstLineChars="200"/>
        <w:rPr>
          <w:szCs w:val="24"/>
        </w:rPr>
      </w:pPr>
      <w:r>
        <w:rPr>
          <w:szCs w:val="24"/>
        </w:rPr>
        <w:t>预测结果及评价</w:t>
      </w:r>
    </w:p>
    <w:p w14:paraId="16E53CDC">
      <w:pPr>
        <w:ind w:firstLine="480"/>
      </w:pPr>
      <w:r>
        <w:rPr>
          <w:rFonts w:hint="eastAsia"/>
        </w:rPr>
        <w:t>为了反映下渗对土壤的影响过程，本次评价选取地面入渗点地面下0.06m（N1）、地面下0.12m（N2）、地面下0.24m（N3）、地面下0.48m（N4）共四个深度进行预测。</w:t>
      </w:r>
    </w:p>
    <w:p w14:paraId="1A207980">
      <w:pPr>
        <w:ind w:firstLine="480"/>
        <w:rPr>
          <w:highlight w:val="yellow"/>
        </w:rPr>
      </w:pPr>
      <w:r>
        <w:rPr>
          <w:rFonts w:hint="eastAsia"/>
        </w:rPr>
        <w:t>根据一维非饱和溶质运移模型的原理，本次评价采用Hydrus-1D模型进行预测，模拟期为30年。预测结果如下（T1:100d、T2:1a、T3:5a、T4:10a、T5:30a）。</w:t>
      </w:r>
    </w:p>
    <w:p w14:paraId="7620798E">
      <w:pPr>
        <w:spacing w:line="360" w:lineRule="auto"/>
        <w:ind w:firstLine="0" w:firstLineChars="0"/>
        <w:jc w:val="center"/>
        <w:rPr>
          <w:highlight w:val="yellow"/>
        </w:rPr>
      </w:pPr>
    </w:p>
    <w:p w14:paraId="3F9DEBA6">
      <w:pPr>
        <w:spacing w:line="360" w:lineRule="auto"/>
        <w:ind w:firstLine="0" w:firstLineChars="0"/>
        <w:jc w:val="center"/>
        <w:rPr>
          <w:highlight w:val="yellow"/>
        </w:rPr>
      </w:pPr>
      <w:r>
        <w:drawing>
          <wp:inline distT="0" distB="0" distL="0" distR="0">
            <wp:extent cx="3473450" cy="2685415"/>
            <wp:effectExtent l="12700" t="12700" r="19050" b="26035"/>
            <wp:docPr id="210243302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33022" name="图片 1" descr="图表, 折线图&#10;&#10;描述已自动生成"/>
                    <pic:cNvPicPr>
                      <a:picLocks noChangeAspect="1"/>
                    </pic:cNvPicPr>
                  </pic:nvPicPr>
                  <pic:blipFill>
                    <a:blip r:embed="rId143"/>
                    <a:stretch>
                      <a:fillRect/>
                    </a:stretch>
                  </pic:blipFill>
                  <pic:spPr>
                    <a:xfrm>
                      <a:off x="0" y="0"/>
                      <a:ext cx="3473450" cy="2696308"/>
                    </a:xfrm>
                    <a:prstGeom prst="rect">
                      <a:avLst/>
                    </a:prstGeom>
                    <a:ln w="12700">
                      <a:solidFill>
                        <a:schemeClr val="tx1"/>
                      </a:solidFill>
                    </a:ln>
                  </pic:spPr>
                </pic:pic>
              </a:graphicData>
            </a:graphic>
          </wp:inline>
        </w:drawing>
      </w:r>
    </w:p>
    <w:p w14:paraId="6BE6EBA1">
      <w:pPr>
        <w:pStyle w:val="184"/>
        <w:spacing w:line="360" w:lineRule="auto"/>
        <w:ind w:firstLine="0" w:firstLineChars="0"/>
        <w:jc w:val="center"/>
        <w:rPr>
          <w:rFonts w:ascii="Times New Roman" w:hAnsi="Times New Roman" w:eastAsia="黑体"/>
          <w:szCs w:val="24"/>
        </w:rPr>
      </w:pPr>
      <w:r>
        <w:rPr>
          <w:rFonts w:hint="eastAsia" w:ascii="Times New Roman" w:hAnsi="Times New Roman" w:eastAsia="黑体"/>
          <w:szCs w:val="24"/>
        </w:rPr>
        <w:t>图5.6-1 本项目土壤石油类的预测结果图</w:t>
      </w:r>
    </w:p>
    <w:p w14:paraId="6CA0B259">
      <w:pPr>
        <w:pStyle w:val="2"/>
        <w:spacing w:after="0"/>
        <w:ind w:firstLine="480"/>
        <w:rPr>
          <w:highlight w:val="yellow"/>
        </w:rPr>
      </w:pPr>
      <w:r>
        <w:rPr>
          <w:rFonts w:hint="eastAsia"/>
        </w:rPr>
        <w:t>根据图5.6-1可以看出，下渗后，地面下0.06m（N1）、地面下0.12m（N2）、地面下0.24m（N3）、地面下0.48m（N4）污染物浓度先升高后降低。</w:t>
      </w:r>
    </w:p>
    <w:p w14:paraId="6DDA0964">
      <w:pPr>
        <w:ind w:firstLine="480"/>
        <w:rPr>
          <w:highlight w:val="yellow"/>
          <w:u w:val="single"/>
        </w:rPr>
      </w:pPr>
      <w:r>
        <w:rPr>
          <w:rFonts w:hint="eastAsia"/>
        </w:rPr>
        <w:t>由图5.6-1土壤模拟结果可知，石油类在土壤中随时间不断向下迁移，迁移过程中污染物浓度不断降低。在最不利情况下，即污染源强以污染物的最大泄漏量设定，项目运营期按30年计，污染物石油类的最大迁移深度约为25m，区域年季最前埋深30m，故污染物未达到地下水潜水层。</w:t>
      </w:r>
      <w:r>
        <w:rPr>
          <w:rFonts w:hint="eastAsia"/>
          <w:u w:val="single"/>
        </w:rPr>
        <w:t>经预测，污染物石油类的最大浓度为19mg/L，土壤容重为1.48g/cm</w:t>
      </w:r>
      <w:r>
        <w:rPr>
          <w:rFonts w:hint="eastAsia"/>
          <w:u w:val="single"/>
          <w:vertAlign w:val="superscript"/>
        </w:rPr>
        <w:t>3</w:t>
      </w:r>
      <w:r>
        <w:rPr>
          <w:rFonts w:hint="eastAsia"/>
          <w:u w:val="single"/>
        </w:rPr>
        <w:t>，则污染物石油类的最大浓度为12.8mg/kg，能够满足《土壤环境质量-建设用地土壤污染风险管控标准（试行）》（GB36600-2018）表2基其他项目第二类用地筛选值石油类4500mg/kg的限值要求。</w:t>
      </w:r>
    </w:p>
    <w:p w14:paraId="7F0CBF63">
      <w:pPr>
        <w:ind w:firstLine="480"/>
        <w:rPr>
          <w:highlight w:val="yellow"/>
        </w:rPr>
      </w:pPr>
      <w:r>
        <w:rPr>
          <w:rFonts w:hint="eastAsia"/>
        </w:rPr>
        <w:t>为了保证防渗措施的有效性，防止对土壤环境造成污染，评价要求：企业严格按照要求进行分区防渗，加强管理，定期维护检修，保证防渗措施的有效性和安全性；定期检查、排查问题，及时发现问题并采取措施阻隔污染源，防止进一步污染；同时，定期对附近土壤进行跟踪监测，及时掌握了解土壤变化状况，以便及时发现问题并及时采取措施。在上述各措施落实到位的情况下，不会对土壤造成重大不可逆影响。</w:t>
      </w:r>
    </w:p>
    <w:p w14:paraId="52C41A2D">
      <w:pPr>
        <w:pStyle w:val="5"/>
        <w:spacing w:before="240" w:after="240"/>
      </w:pPr>
      <w:r>
        <w:rPr>
          <w:rFonts w:hint="eastAsia"/>
        </w:rPr>
        <w:t>土壤污染防治措施分析</w:t>
      </w:r>
    </w:p>
    <w:p w14:paraId="744E31B4">
      <w:pPr>
        <w:pStyle w:val="6"/>
        <w:ind w:left="0" w:firstLine="482" w:firstLineChars="200"/>
        <w:rPr>
          <w:szCs w:val="24"/>
        </w:rPr>
      </w:pPr>
      <w:r>
        <w:rPr>
          <w:rFonts w:hint="eastAsia"/>
          <w:szCs w:val="24"/>
        </w:rPr>
        <w:t>源头控制措施</w:t>
      </w:r>
    </w:p>
    <w:p w14:paraId="76D5B163">
      <w:pPr>
        <w:ind w:firstLine="480"/>
      </w:pPr>
      <w:r>
        <w:rPr>
          <w:rFonts w:hint="eastAsia"/>
        </w:rPr>
        <w:t>项目设计车间、储存区位置等均采取地面分区防渗措施，根据地下水、土壤污染防控要求，项目区划分为简单防渗区、一般防渗区、重点防渗区（具体分区见第六章污染防治措施分析相关内容）；各种物料及废水均拟采用密闭管道连续输送，管道架空。</w:t>
      </w:r>
    </w:p>
    <w:p w14:paraId="7F030B7C">
      <w:pPr>
        <w:pStyle w:val="6"/>
        <w:ind w:left="0" w:firstLine="482" w:firstLineChars="200"/>
        <w:rPr>
          <w:szCs w:val="24"/>
        </w:rPr>
      </w:pPr>
      <w:r>
        <w:rPr>
          <w:rFonts w:hint="eastAsia"/>
          <w:szCs w:val="24"/>
        </w:rPr>
        <w:t>过程防控措施</w:t>
      </w:r>
    </w:p>
    <w:p w14:paraId="32DCA33C">
      <w:pPr>
        <w:ind w:firstLine="480"/>
      </w:pPr>
      <w:r>
        <w:rPr>
          <w:rFonts w:hint="eastAsia"/>
        </w:rPr>
        <w:t>加强监控和巡检，各类工艺装置、桶装物料和处理装置如果发生泄漏要及时处理，不许漫流到与土壤接触的地面。各类危险化学品在储存过程中采用不易破损、变形、老化的容器包装，在室内分区堆放，储存地面采取防渗措施，经常检查发现包装渗漏等情况要及时处理。危险化学品在从装置中卸出、包装、暂存到按照管理要求装车转移过程，以及运输过程中，均不得接触土壤。各种原料、产品、中间产物在卸出、装车、转运过程中均要在经过防渗的场地进行，不得发生物料接触土壤的情况，如果有事故状态发生要及时处置。采取措施不得使车间冲洗废水漫流至车间外。厂区各事故废水池收集管线要畅通，保证在各种事故状态下废水废液排入，不进入到裸露的土壤中。</w:t>
      </w:r>
    </w:p>
    <w:p w14:paraId="556F1321">
      <w:pPr>
        <w:pStyle w:val="6"/>
        <w:ind w:left="0" w:firstLine="482" w:firstLineChars="200"/>
        <w:rPr>
          <w:szCs w:val="24"/>
        </w:rPr>
      </w:pPr>
      <w:r>
        <w:rPr>
          <w:rFonts w:hint="eastAsia"/>
          <w:szCs w:val="24"/>
        </w:rPr>
        <w:t>厂区绿化防控措施</w:t>
      </w:r>
    </w:p>
    <w:p w14:paraId="213DCD21">
      <w:pPr>
        <w:ind w:firstLine="480"/>
      </w:pPr>
      <w:r>
        <w:rPr>
          <w:rFonts w:hint="eastAsia"/>
        </w:rPr>
        <w:t>植物可以吸收有毒有害气体、滞留吸附粉尘、杀菌、净化水质、减噪以及监测大气污染程度等。绿化环境对调节生态平衡、改善小气候、促进人的身心健康起着特殊重要的作用，搞好绿化是企业环保工作的重要组成部分，是企业现代化文明生产的重要标志。</w:t>
      </w:r>
    </w:p>
    <w:p w14:paraId="498A7412">
      <w:pPr>
        <w:ind w:firstLine="480"/>
      </w:pPr>
      <w:r>
        <w:rPr>
          <w:rFonts w:hint="eastAsia"/>
        </w:rPr>
        <w:t>本项目应根据工程排放污染物的特点，采用混合式布置，点、线、面相结合的方法，选择抗污染能力强，适应当地气候、土壤条件的栽种花草开展绿化。以植树为主，栽花种草为辅，在生产车间周围可种植对有害气体抗性能力强的树种，在厂区道路两侧可采取乔木、灌木和绿篱搭配栽植的形式，应尽可能利用厂内空地铺设草坪、植树种花，把绿化与美化结合起来，为职工创建一个清洁、安静、优美的劳动和生活环境。</w:t>
      </w:r>
    </w:p>
    <w:p w14:paraId="1D3EE581">
      <w:pPr>
        <w:pStyle w:val="5"/>
        <w:numPr>
          <w:ilvl w:val="2"/>
          <w:numId w:val="0"/>
        </w:numPr>
        <w:spacing w:before="240" w:after="240"/>
        <w:ind w:left="284"/>
      </w:pPr>
      <w:r>
        <w:rPr>
          <w:rFonts w:hint="eastAsia"/>
        </w:rPr>
        <w:t>5.6.5</w:t>
      </w:r>
      <w:r>
        <w:t>土壤污染影响分析</w:t>
      </w:r>
      <w:r>
        <w:rPr>
          <w:rFonts w:hint="eastAsia"/>
        </w:rPr>
        <w:t>结论</w:t>
      </w:r>
    </w:p>
    <w:p w14:paraId="030980A6">
      <w:pPr>
        <w:ind w:firstLine="480"/>
      </w:pPr>
      <w:r>
        <w:rPr>
          <w:rFonts w:hint="eastAsia"/>
        </w:rPr>
        <w:t>通过上述对土壤污染途径识别的分析，以及采取的土壤污染防治措施分析可知：</w:t>
      </w:r>
    </w:p>
    <w:p w14:paraId="1E990EEA">
      <w:pPr>
        <w:ind w:firstLine="480"/>
      </w:pPr>
      <w:r>
        <w:rPr>
          <w:rFonts w:hint="eastAsia"/>
        </w:rPr>
        <w:t>正常情况下，即使没有采取特殊的防渗措施，按照现在化工项目装置的建设规范要求，装置区、储存区等相关区域也必须是钢筋混凝土进行表面硬化处理，污水输送管线也是必须经过防腐防渗处理。在按照环境管理要求进一步采取源头和分区防控措施的基础上，正常情况下不应有物料暴露而发生渗漏至地下的情景发生。</w:t>
      </w:r>
    </w:p>
    <w:p w14:paraId="1D3EE584">
      <w:pPr>
        <w:ind w:firstLine="480"/>
      </w:pPr>
      <w:r>
        <w:rPr>
          <w:rFonts w:hint="eastAsia"/>
        </w:rPr>
        <w:t>非正常情况下，如果是装置区或储存区等可视场所发生硬化面破损，即使有污水泄漏，建设单位必然及时采取措施，不可能任由污水漫流渗漏进入土壤；在事故废水池及污水管线等半地下非可视部位发生小面积渗漏时，才可能有少量物料通过漏点，逐渐渗入土壤，但是由于这类设备、构筑物本身的防腐防渗设计，以及对其地面、基础的重点防渗要求，且设置专门管理人员日常巡查和定期维护检修，构筑物和基础重点防渗同时渗漏的几率很小。因此只要做好分区防渗工作，对重点防渗区域加强管理，项目对土壤环境的影响很小。</w:t>
      </w:r>
    </w:p>
    <w:p w14:paraId="1AC7EACF">
      <w:pPr>
        <w:ind w:firstLine="480"/>
        <w:rPr>
          <w:highlight w:val="yellow"/>
        </w:rPr>
        <w:sectPr>
          <w:pgSz w:w="11907" w:h="16840"/>
          <w:pgMar w:top="1440" w:right="1797" w:bottom="1440" w:left="1797" w:header="907" w:footer="907" w:gutter="0"/>
          <w:cols w:space="425" w:num="1"/>
          <w:docGrid w:linePitch="380" w:charSpace="0"/>
        </w:sectPr>
      </w:pPr>
    </w:p>
    <w:p w14:paraId="1D3EE586">
      <w:pPr>
        <w:pStyle w:val="3"/>
        <w:spacing w:before="468" w:after="624"/>
      </w:pPr>
      <w:bookmarkStart w:id="325" w:name="_Toc176105875"/>
      <w:r>
        <w:t>环境风险分析</w:t>
      </w:r>
      <w:bookmarkEnd w:id="311"/>
      <w:bookmarkEnd w:id="312"/>
      <w:bookmarkEnd w:id="313"/>
      <w:bookmarkEnd w:id="314"/>
      <w:bookmarkEnd w:id="325"/>
    </w:p>
    <w:p w14:paraId="5B7C660F">
      <w:pPr>
        <w:pStyle w:val="4"/>
        <w:rPr>
          <w:rFonts w:eastAsia="楷体"/>
          <w:b w:val="0"/>
          <w:bCs/>
          <w:sz w:val="28"/>
          <w:szCs w:val="28"/>
        </w:rPr>
      </w:pPr>
      <w:bookmarkStart w:id="326" w:name="_Toc176105876"/>
      <w:r>
        <w:rPr>
          <w:rFonts w:hint="eastAsia" w:eastAsia="楷体"/>
          <w:bCs/>
          <w:sz w:val="28"/>
          <w:szCs w:val="28"/>
        </w:rPr>
        <w:t>环境风险评价思路</w:t>
      </w:r>
      <w:bookmarkEnd w:id="326"/>
    </w:p>
    <w:p w14:paraId="1D3EE587">
      <w:pPr>
        <w:ind w:firstLine="480"/>
        <w:rPr>
          <w:bCs/>
        </w:rPr>
      </w:pPr>
      <w:r>
        <w:rPr>
          <w:bCs/>
        </w:rPr>
        <w:t>根据《建设项目环境风险评价技术导则》（HJ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10477AAB">
      <w:pPr>
        <w:pStyle w:val="2"/>
        <w:ind w:firstLine="480"/>
      </w:pPr>
      <w:r>
        <w:rPr>
          <w:rFonts w:hint="eastAsia"/>
        </w:rPr>
        <w:t>通过风险评价，认识项目厂区全厂的风险程度、危险环节和事故后果影响大小，从中提高风险管理的意识，采取必要的防范措施以减少环境危害，并提出事故应急措施和预案，达到安全生产、发展经济的目的。</w:t>
      </w:r>
    </w:p>
    <w:p w14:paraId="1F1E3BAD">
      <w:pPr>
        <w:spacing w:line="360" w:lineRule="auto"/>
        <w:ind w:firstLine="0" w:firstLineChars="0"/>
        <w:jc w:val="center"/>
        <w:rPr>
          <w:b/>
          <w:highlight w:val="yellow"/>
        </w:rPr>
      </w:pPr>
      <w:r>
        <w:rPr>
          <w:b/>
        </w:rPr>
        <w:drawing>
          <wp:inline distT="0" distB="0" distL="0" distR="0">
            <wp:extent cx="3867150" cy="4197985"/>
            <wp:effectExtent l="0" t="0" r="0" b="12065"/>
            <wp:docPr id="5"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descr="图示&#10;&#10;描述已自动生成"/>
                    <pic:cNvPicPr>
                      <a:picLocks noChangeAspect="1" noChangeArrowheads="1"/>
                    </pic:cNvPicPr>
                  </pic:nvPicPr>
                  <pic:blipFill>
                    <a:blip r:embed="rId144"/>
                    <a:srcRect/>
                    <a:stretch>
                      <a:fillRect/>
                    </a:stretch>
                  </pic:blipFill>
                  <pic:spPr>
                    <a:xfrm>
                      <a:off x="0" y="0"/>
                      <a:ext cx="3867150" cy="4208673"/>
                    </a:xfrm>
                    <a:prstGeom prst="rect">
                      <a:avLst/>
                    </a:prstGeom>
                    <a:noFill/>
                    <a:ln>
                      <a:noFill/>
                    </a:ln>
                  </pic:spPr>
                </pic:pic>
              </a:graphicData>
            </a:graphic>
          </wp:inline>
        </w:drawing>
      </w:r>
    </w:p>
    <w:p w14:paraId="65E42979">
      <w:pPr>
        <w:pStyle w:val="99"/>
        <w:numPr>
          <w:ilvl w:val="0"/>
          <w:numId w:val="36"/>
        </w:numPr>
        <w:ind w:firstLineChars="0"/>
        <w:jc w:val="center"/>
        <w:rPr>
          <w:b/>
        </w:rPr>
      </w:pPr>
      <w:r>
        <w:rPr>
          <w:b/>
          <w:kern w:val="2"/>
          <w:szCs w:val="24"/>
        </w:rPr>
        <w:t>环境风险评价工作顺序图</w:t>
      </w:r>
    </w:p>
    <w:p w14:paraId="1D3EE592">
      <w:pPr>
        <w:pStyle w:val="4"/>
        <w:spacing w:before="120" w:after="120"/>
        <w:rPr>
          <w:rFonts w:eastAsia="楷体"/>
          <w:b w:val="0"/>
          <w:bCs/>
          <w:sz w:val="28"/>
          <w:szCs w:val="28"/>
        </w:rPr>
      </w:pPr>
      <w:bookmarkStart w:id="327" w:name="_Toc176105877"/>
      <w:r>
        <w:rPr>
          <w:rFonts w:eastAsia="楷体"/>
          <w:bCs/>
          <w:sz w:val="28"/>
          <w:szCs w:val="28"/>
        </w:rPr>
        <w:t>风险</w:t>
      </w:r>
      <w:r>
        <w:rPr>
          <w:rFonts w:hint="eastAsia" w:eastAsia="楷体"/>
          <w:bCs/>
          <w:sz w:val="28"/>
          <w:szCs w:val="28"/>
        </w:rPr>
        <w:t>调查</w:t>
      </w:r>
      <w:bookmarkEnd w:id="327"/>
    </w:p>
    <w:p w14:paraId="4BAA1451">
      <w:pPr>
        <w:pStyle w:val="99"/>
        <w:numPr>
          <w:ilvl w:val="0"/>
          <w:numId w:val="37"/>
        </w:numPr>
        <w:spacing w:before="156" w:beforeLines="50"/>
        <w:ind w:left="726" w:hanging="442" w:firstLineChars="0"/>
        <w:outlineLvl w:val="2"/>
        <w:rPr>
          <w:b/>
        </w:rPr>
      </w:pPr>
      <w:r>
        <w:rPr>
          <w:rFonts w:hint="eastAsia"/>
          <w:b/>
        </w:rPr>
        <w:t>风险源</w:t>
      </w:r>
    </w:p>
    <w:p w14:paraId="2D930EFE">
      <w:pPr>
        <w:pStyle w:val="2"/>
        <w:spacing w:after="0"/>
        <w:ind w:firstLine="480"/>
        <w:rPr>
          <w:kern w:val="2"/>
          <w:szCs w:val="24"/>
          <w:u w:val="single"/>
        </w:rPr>
      </w:pPr>
      <w:r>
        <w:rPr>
          <w:rFonts w:hint="eastAsia"/>
          <w:u w:val="single"/>
        </w:rPr>
        <w:t>本项目</w:t>
      </w:r>
      <w:r>
        <w:rPr>
          <w:u w:val="single"/>
        </w:rPr>
        <w:t>生产过程中涉及的</w:t>
      </w:r>
      <w:r>
        <w:rPr>
          <w:rFonts w:hint="eastAsia"/>
          <w:u w:val="single"/>
        </w:rPr>
        <w:t>危险</w:t>
      </w:r>
      <w:r>
        <w:rPr>
          <w:u w:val="single"/>
        </w:rPr>
        <w:t>物质</w:t>
      </w:r>
      <w:r>
        <w:rPr>
          <w:rFonts w:hint="eastAsia"/>
          <w:u w:val="single"/>
        </w:rPr>
        <w:t>主要</w:t>
      </w:r>
      <w:r>
        <w:rPr>
          <w:u w:val="single"/>
        </w:rPr>
        <w:t>为</w:t>
      </w:r>
      <w:r>
        <w:rPr>
          <w:rFonts w:hint="eastAsia"/>
          <w:bCs/>
          <w:u w:val="single"/>
        </w:rPr>
        <w:t>D</w:t>
      </w:r>
      <w:r>
        <w:rPr>
          <w:bCs/>
          <w:u w:val="single"/>
        </w:rPr>
        <w:t>4</w:t>
      </w:r>
      <w:r>
        <w:rPr>
          <w:rFonts w:hint="eastAsia"/>
          <w:bCs/>
          <w:u w:val="single"/>
        </w:rPr>
        <w:t>（八甲基环四硅氧烷）、硫酸、过氧化氢、导热油、废导热油、K</w:t>
      </w:r>
      <w:r>
        <w:rPr>
          <w:bCs/>
          <w:u w:val="single"/>
        </w:rPr>
        <w:t>F-99</w:t>
      </w:r>
      <w:r>
        <w:rPr>
          <w:rFonts w:hint="eastAsia"/>
          <w:bCs/>
          <w:u w:val="single"/>
        </w:rPr>
        <w:t>（</w:t>
      </w:r>
      <w:r>
        <w:rPr>
          <w:bCs/>
          <w:u w:val="single"/>
        </w:rPr>
        <w:t>高含氢硅油</w:t>
      </w:r>
      <w:r>
        <w:rPr>
          <w:rFonts w:hint="eastAsia"/>
          <w:bCs/>
          <w:u w:val="single"/>
        </w:rPr>
        <w:t>）、低含氢硅油、聚醚改性硅油、二丙二醇以及氨、硫化氢废气。</w:t>
      </w:r>
      <w:r>
        <w:rPr>
          <w:kern w:val="2"/>
          <w:szCs w:val="24"/>
          <w:u w:val="single"/>
        </w:rPr>
        <w:t>本项目</w:t>
      </w:r>
      <w:r>
        <w:rPr>
          <w:rFonts w:hint="eastAsia"/>
          <w:kern w:val="2"/>
          <w:szCs w:val="24"/>
          <w:u w:val="single"/>
        </w:rPr>
        <w:t>危险</w:t>
      </w:r>
      <w:r>
        <w:rPr>
          <w:kern w:val="2"/>
          <w:szCs w:val="24"/>
          <w:u w:val="single"/>
        </w:rPr>
        <w:t>物质及其储存情况见下表。</w:t>
      </w:r>
    </w:p>
    <w:p w14:paraId="4B60907B">
      <w:pPr>
        <w:pStyle w:val="183"/>
        <w:numPr>
          <w:ilvl w:val="7"/>
          <w:numId w:val="38"/>
        </w:numPr>
        <w:ind w:left="0" w:firstLine="480" w:firstLineChars="200"/>
        <w:rPr>
          <w:rFonts w:ascii="Times New Roman" w:hAnsi="Times New Roman" w:cs="Times New Roman"/>
          <w:bCs w:val="0"/>
          <w:u w:val="single"/>
        </w:rPr>
      </w:pPr>
      <w:r>
        <w:rPr>
          <w:rFonts w:ascii="Times New Roman" w:hAnsi="Times New Roman" w:cs="Times New Roman"/>
          <w:bCs w:val="0"/>
          <w:u w:val="single"/>
        </w:rPr>
        <w:t xml:space="preserve">          重点关注风险物质最大存在量           单位：t</w:t>
      </w:r>
    </w:p>
    <w:tbl>
      <w:tblPr>
        <w:tblStyle w:val="4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93"/>
        <w:gridCol w:w="1428"/>
        <w:gridCol w:w="1487"/>
        <w:gridCol w:w="1336"/>
        <w:gridCol w:w="916"/>
        <w:gridCol w:w="993"/>
        <w:gridCol w:w="1633"/>
      </w:tblGrid>
      <w:tr w14:paraId="77DD4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Align w:val="center"/>
          </w:tcPr>
          <w:p w14:paraId="56280C9E">
            <w:pPr>
              <w:pStyle w:val="183"/>
              <w:spacing w:line="240" w:lineRule="auto"/>
              <w:ind w:firstLine="0"/>
              <w:jc w:val="center"/>
              <w:rPr>
                <w:rFonts w:ascii="Times New Roman" w:hAnsi="Times New Roman" w:cs="Times New Roman" w:eastAsiaTheme="minorEastAsia"/>
                <w:b/>
                <w:sz w:val="21"/>
                <w:szCs w:val="21"/>
                <w:u w:val="single"/>
              </w:rPr>
            </w:pPr>
            <w:r>
              <w:rPr>
                <w:rFonts w:ascii="Times New Roman" w:hAnsi="Times New Roman" w:cs="Times New Roman" w:eastAsiaTheme="minorEastAsia"/>
                <w:b/>
                <w:sz w:val="21"/>
                <w:szCs w:val="21"/>
                <w:u w:val="single"/>
              </w:rPr>
              <w:t>序号</w:t>
            </w:r>
          </w:p>
        </w:tc>
        <w:tc>
          <w:tcPr>
            <w:tcW w:w="1428" w:type="dxa"/>
            <w:vAlign w:val="center"/>
          </w:tcPr>
          <w:p w14:paraId="5978F7EB">
            <w:pPr>
              <w:pStyle w:val="183"/>
              <w:spacing w:line="240" w:lineRule="auto"/>
              <w:ind w:firstLine="0"/>
              <w:jc w:val="center"/>
              <w:rPr>
                <w:rFonts w:ascii="Times New Roman" w:hAnsi="Times New Roman" w:cs="Times New Roman" w:eastAsiaTheme="minorEastAsia"/>
                <w:b/>
                <w:sz w:val="21"/>
                <w:szCs w:val="21"/>
                <w:u w:val="single"/>
              </w:rPr>
            </w:pPr>
            <w:r>
              <w:rPr>
                <w:rFonts w:hint="eastAsia" w:ascii="Times New Roman" w:hAnsi="Times New Roman" w:cs="Times New Roman" w:eastAsiaTheme="minorEastAsia"/>
                <w:b/>
                <w:sz w:val="21"/>
                <w:szCs w:val="21"/>
                <w:u w:val="single"/>
              </w:rPr>
              <w:t>物质</w:t>
            </w:r>
          </w:p>
        </w:tc>
        <w:tc>
          <w:tcPr>
            <w:tcW w:w="1487" w:type="dxa"/>
            <w:vAlign w:val="center"/>
          </w:tcPr>
          <w:p w14:paraId="10CBC924">
            <w:pPr>
              <w:pStyle w:val="183"/>
              <w:spacing w:line="240" w:lineRule="auto"/>
              <w:ind w:firstLine="0"/>
              <w:jc w:val="center"/>
              <w:rPr>
                <w:rFonts w:ascii="Times New Roman" w:hAnsi="Times New Roman" w:cs="Times New Roman" w:eastAsiaTheme="minorEastAsia"/>
                <w:b/>
                <w:sz w:val="21"/>
                <w:szCs w:val="21"/>
                <w:u w:val="single"/>
              </w:rPr>
            </w:pPr>
            <w:r>
              <w:rPr>
                <w:rFonts w:ascii="Times New Roman" w:hAnsi="Times New Roman" w:cs="Times New Roman" w:eastAsiaTheme="minorEastAsia"/>
                <w:b/>
                <w:bCs w:val="0"/>
                <w:sz w:val="21"/>
                <w:szCs w:val="21"/>
                <w:u w:val="single"/>
              </w:rPr>
              <w:t>最大</w:t>
            </w:r>
            <w:r>
              <w:rPr>
                <w:rFonts w:hint="eastAsia" w:ascii="Times New Roman" w:hAnsi="Times New Roman" w:cs="Times New Roman" w:eastAsiaTheme="minorEastAsia"/>
                <w:b/>
                <w:bCs w:val="0"/>
                <w:sz w:val="21"/>
                <w:szCs w:val="21"/>
                <w:u w:val="single"/>
              </w:rPr>
              <w:t>暂存</w:t>
            </w:r>
            <w:r>
              <w:rPr>
                <w:rFonts w:ascii="Times New Roman" w:hAnsi="Times New Roman" w:cs="Times New Roman" w:eastAsiaTheme="minorEastAsia"/>
                <w:b/>
                <w:bCs w:val="0"/>
                <w:sz w:val="21"/>
                <w:szCs w:val="21"/>
                <w:u w:val="single"/>
              </w:rPr>
              <w:t>量t</w:t>
            </w:r>
          </w:p>
        </w:tc>
        <w:tc>
          <w:tcPr>
            <w:tcW w:w="1336" w:type="dxa"/>
            <w:vAlign w:val="center"/>
          </w:tcPr>
          <w:p w14:paraId="06D48424">
            <w:pPr>
              <w:pStyle w:val="183"/>
              <w:spacing w:line="240" w:lineRule="auto"/>
              <w:ind w:firstLine="0"/>
              <w:jc w:val="center"/>
              <w:rPr>
                <w:rFonts w:ascii="Times New Roman" w:hAnsi="Times New Roman" w:cs="Times New Roman" w:eastAsiaTheme="minorEastAsia"/>
                <w:b/>
                <w:sz w:val="21"/>
                <w:szCs w:val="21"/>
                <w:u w:val="single"/>
              </w:rPr>
            </w:pPr>
            <w:r>
              <w:rPr>
                <w:rFonts w:hint="eastAsia" w:ascii="Times New Roman" w:hAnsi="Times New Roman" w:cs="Times New Roman" w:eastAsiaTheme="minorEastAsia"/>
                <w:b/>
                <w:sz w:val="21"/>
                <w:szCs w:val="21"/>
                <w:u w:val="single"/>
              </w:rPr>
              <w:t>最大在线量t</w:t>
            </w:r>
          </w:p>
        </w:tc>
        <w:tc>
          <w:tcPr>
            <w:tcW w:w="916" w:type="dxa"/>
            <w:vAlign w:val="center"/>
          </w:tcPr>
          <w:p w14:paraId="74F02A97">
            <w:pPr>
              <w:pStyle w:val="183"/>
              <w:spacing w:line="240" w:lineRule="auto"/>
              <w:ind w:firstLine="0"/>
              <w:jc w:val="center"/>
              <w:rPr>
                <w:rFonts w:ascii="Times New Roman" w:hAnsi="Times New Roman" w:cs="Times New Roman" w:eastAsiaTheme="minorEastAsia"/>
                <w:b/>
                <w:sz w:val="21"/>
                <w:szCs w:val="21"/>
                <w:u w:val="single"/>
              </w:rPr>
            </w:pPr>
            <w:r>
              <w:rPr>
                <w:rFonts w:hint="eastAsia" w:ascii="Times New Roman" w:hAnsi="Times New Roman" w:cs="Times New Roman" w:eastAsiaTheme="minorEastAsia"/>
                <w:b/>
                <w:sz w:val="21"/>
                <w:szCs w:val="21"/>
                <w:u w:val="single"/>
              </w:rPr>
              <w:t>物料性状</w:t>
            </w:r>
          </w:p>
        </w:tc>
        <w:tc>
          <w:tcPr>
            <w:tcW w:w="993" w:type="dxa"/>
            <w:vAlign w:val="center"/>
          </w:tcPr>
          <w:p w14:paraId="3C9ECBC1">
            <w:pPr>
              <w:pStyle w:val="183"/>
              <w:spacing w:line="240" w:lineRule="auto"/>
              <w:ind w:firstLine="0"/>
              <w:jc w:val="center"/>
              <w:rPr>
                <w:rFonts w:ascii="Times New Roman" w:hAnsi="Times New Roman" w:cs="Times New Roman" w:eastAsiaTheme="minorEastAsia"/>
                <w:b/>
                <w:sz w:val="21"/>
                <w:szCs w:val="21"/>
                <w:u w:val="single"/>
              </w:rPr>
            </w:pPr>
            <w:r>
              <w:rPr>
                <w:rFonts w:hint="eastAsia" w:ascii="Times New Roman" w:hAnsi="Times New Roman" w:cs="Times New Roman" w:eastAsiaTheme="minorEastAsia"/>
                <w:b/>
                <w:sz w:val="21"/>
                <w:szCs w:val="21"/>
                <w:u w:val="single"/>
              </w:rPr>
              <w:t>储存规格</w:t>
            </w:r>
          </w:p>
        </w:tc>
        <w:tc>
          <w:tcPr>
            <w:tcW w:w="1633" w:type="dxa"/>
            <w:vAlign w:val="center"/>
          </w:tcPr>
          <w:p w14:paraId="32FB9058">
            <w:pPr>
              <w:pStyle w:val="183"/>
              <w:spacing w:line="240" w:lineRule="auto"/>
              <w:ind w:firstLine="0"/>
              <w:jc w:val="center"/>
              <w:rPr>
                <w:rFonts w:ascii="Times New Roman" w:hAnsi="Times New Roman" w:cs="Times New Roman" w:eastAsiaTheme="minorEastAsia"/>
                <w:b/>
                <w:sz w:val="21"/>
                <w:szCs w:val="21"/>
                <w:u w:val="single"/>
              </w:rPr>
            </w:pPr>
            <w:r>
              <w:rPr>
                <w:rFonts w:hint="eastAsia" w:ascii="Times New Roman" w:hAnsi="Times New Roman" w:cs="Times New Roman" w:eastAsiaTheme="minorEastAsia"/>
                <w:b/>
                <w:sz w:val="21"/>
                <w:szCs w:val="21"/>
                <w:u w:val="single"/>
              </w:rPr>
              <w:t>储存位置</w:t>
            </w:r>
          </w:p>
        </w:tc>
      </w:tr>
      <w:tr w14:paraId="416AE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restart"/>
            <w:vAlign w:val="center"/>
          </w:tcPr>
          <w:p w14:paraId="7E52F3D4">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1</w:t>
            </w:r>
          </w:p>
        </w:tc>
        <w:tc>
          <w:tcPr>
            <w:tcW w:w="1428" w:type="dxa"/>
            <w:vMerge w:val="restart"/>
            <w:vAlign w:val="center"/>
          </w:tcPr>
          <w:p w14:paraId="4F611343">
            <w:pPr>
              <w:pStyle w:val="183"/>
              <w:spacing w:line="240" w:lineRule="auto"/>
              <w:ind w:firstLine="0"/>
              <w:jc w:val="center"/>
              <w:rPr>
                <w:rFonts w:ascii="Times New Roman" w:hAnsi="Times New Roman" w:cs="Times New Roman" w:eastAsiaTheme="minorEastAsia"/>
                <w:bCs w:val="0"/>
                <w:sz w:val="21"/>
                <w:szCs w:val="21"/>
                <w:highlight w:val="yellow"/>
                <w:u w:val="single"/>
              </w:rPr>
            </w:pPr>
            <w:r>
              <w:rPr>
                <w:rFonts w:hint="eastAsia" w:ascii="Times New Roman" w:hAnsi="Times New Roman" w:cs="Times New Roman" w:eastAsiaTheme="minorEastAsia"/>
                <w:bCs w:val="0"/>
                <w:sz w:val="21"/>
                <w:szCs w:val="21"/>
                <w:u w:val="single"/>
              </w:rPr>
              <w:t>D4（八甲基环四硅氧烷）</w:t>
            </w:r>
          </w:p>
        </w:tc>
        <w:tc>
          <w:tcPr>
            <w:tcW w:w="1487" w:type="dxa"/>
            <w:vAlign w:val="center"/>
          </w:tcPr>
          <w:p w14:paraId="5A2CC5EF">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30</w:t>
            </w:r>
          </w:p>
        </w:tc>
        <w:tc>
          <w:tcPr>
            <w:tcW w:w="1336" w:type="dxa"/>
            <w:vAlign w:val="center"/>
          </w:tcPr>
          <w:p w14:paraId="13F37B6D">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916" w:type="dxa"/>
            <w:vAlign w:val="center"/>
          </w:tcPr>
          <w:p w14:paraId="02B23E71">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0B1215A6">
            <w:pPr>
              <w:pStyle w:val="183"/>
              <w:spacing w:line="240" w:lineRule="auto"/>
              <w:ind w:firstLine="0"/>
              <w:jc w:val="center"/>
              <w:rPr>
                <w:rFonts w:ascii="Times New Roman" w:hAnsi="Times New Roman" w:cs="Times New Roman" w:eastAsiaTheme="minorEastAsia"/>
                <w:bCs w:val="0"/>
                <w:sz w:val="21"/>
                <w:szCs w:val="21"/>
                <w:highlight w:val="yellow"/>
                <w:u w:val="single"/>
              </w:rPr>
            </w:pPr>
            <w:r>
              <w:rPr>
                <w:rFonts w:hint="eastAsia" w:ascii="Times New Roman" w:hAnsi="Times New Roman" w:cs="Times New Roman" w:eastAsiaTheme="minorEastAsia"/>
                <w:bCs w:val="0"/>
                <w:sz w:val="21"/>
                <w:szCs w:val="21"/>
                <w:u w:val="single"/>
              </w:rPr>
              <w:t>200kg/桶</w:t>
            </w:r>
          </w:p>
        </w:tc>
        <w:tc>
          <w:tcPr>
            <w:tcW w:w="1633" w:type="dxa"/>
            <w:vAlign w:val="center"/>
          </w:tcPr>
          <w:p w14:paraId="4FD5354E">
            <w:pPr>
              <w:pStyle w:val="183"/>
              <w:spacing w:line="240" w:lineRule="auto"/>
              <w:ind w:firstLine="0"/>
              <w:jc w:val="center"/>
              <w:rPr>
                <w:rFonts w:ascii="Times New Roman" w:hAnsi="Times New Roman" w:cs="Times New Roman" w:eastAsiaTheme="minorEastAsia"/>
                <w:bCs w:val="0"/>
                <w:sz w:val="21"/>
                <w:szCs w:val="21"/>
                <w:highlight w:val="yellow"/>
                <w:u w:val="single"/>
              </w:rPr>
            </w:pPr>
            <w:r>
              <w:rPr>
                <w:rFonts w:hint="eastAsia" w:ascii="Times New Roman" w:hAnsi="Times New Roman" w:cs="Times New Roman" w:eastAsiaTheme="minorEastAsia"/>
                <w:bCs w:val="0"/>
                <w:sz w:val="21"/>
                <w:szCs w:val="21"/>
                <w:u w:val="single"/>
              </w:rPr>
              <w:t>原料区</w:t>
            </w:r>
          </w:p>
        </w:tc>
      </w:tr>
      <w:tr w14:paraId="5FFEA0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continue"/>
            <w:vAlign w:val="center"/>
          </w:tcPr>
          <w:p w14:paraId="3CC9A76D">
            <w:pPr>
              <w:pStyle w:val="183"/>
              <w:spacing w:line="240" w:lineRule="auto"/>
              <w:ind w:firstLine="0"/>
              <w:jc w:val="center"/>
              <w:rPr>
                <w:rFonts w:ascii="Times New Roman" w:hAnsi="Times New Roman" w:cs="Times New Roman" w:eastAsiaTheme="minorEastAsia"/>
                <w:bCs w:val="0"/>
                <w:sz w:val="21"/>
                <w:szCs w:val="21"/>
                <w:u w:val="single"/>
              </w:rPr>
            </w:pPr>
          </w:p>
        </w:tc>
        <w:tc>
          <w:tcPr>
            <w:tcW w:w="1428" w:type="dxa"/>
            <w:vMerge w:val="continue"/>
            <w:vAlign w:val="center"/>
          </w:tcPr>
          <w:p w14:paraId="1F28D02D">
            <w:pPr>
              <w:pStyle w:val="183"/>
              <w:spacing w:line="240" w:lineRule="auto"/>
              <w:ind w:firstLine="0"/>
              <w:jc w:val="center"/>
              <w:rPr>
                <w:rFonts w:ascii="Times New Roman" w:hAnsi="Times New Roman" w:cs="Times New Roman" w:eastAsiaTheme="minorEastAsia"/>
                <w:bCs w:val="0"/>
                <w:sz w:val="21"/>
                <w:szCs w:val="21"/>
                <w:u w:val="single"/>
              </w:rPr>
            </w:pPr>
          </w:p>
        </w:tc>
        <w:tc>
          <w:tcPr>
            <w:tcW w:w="1487" w:type="dxa"/>
            <w:vAlign w:val="center"/>
          </w:tcPr>
          <w:p w14:paraId="7BC6FE13">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336" w:type="dxa"/>
            <w:vAlign w:val="center"/>
          </w:tcPr>
          <w:p w14:paraId="77050176">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3.0765</w:t>
            </w:r>
          </w:p>
        </w:tc>
        <w:tc>
          <w:tcPr>
            <w:tcW w:w="916" w:type="dxa"/>
            <w:vAlign w:val="center"/>
          </w:tcPr>
          <w:p w14:paraId="1C0E13CB">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631A1402">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7A7E7294">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反应釜区</w:t>
            </w:r>
          </w:p>
        </w:tc>
      </w:tr>
      <w:tr w14:paraId="48270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continue"/>
            <w:vAlign w:val="center"/>
          </w:tcPr>
          <w:p w14:paraId="5164AF0A">
            <w:pPr>
              <w:pStyle w:val="183"/>
              <w:spacing w:line="240" w:lineRule="auto"/>
              <w:ind w:firstLine="0"/>
              <w:jc w:val="center"/>
              <w:rPr>
                <w:rFonts w:ascii="Times New Roman" w:hAnsi="Times New Roman" w:cs="Times New Roman" w:eastAsiaTheme="minorEastAsia"/>
                <w:bCs w:val="0"/>
                <w:sz w:val="21"/>
                <w:szCs w:val="21"/>
                <w:u w:val="single"/>
              </w:rPr>
            </w:pPr>
          </w:p>
        </w:tc>
        <w:tc>
          <w:tcPr>
            <w:tcW w:w="1428" w:type="dxa"/>
            <w:vMerge w:val="continue"/>
            <w:vAlign w:val="center"/>
          </w:tcPr>
          <w:p w14:paraId="1E9BF983">
            <w:pPr>
              <w:pStyle w:val="183"/>
              <w:spacing w:line="240" w:lineRule="auto"/>
              <w:ind w:firstLine="0"/>
              <w:jc w:val="center"/>
              <w:rPr>
                <w:rFonts w:ascii="Times New Roman" w:hAnsi="Times New Roman" w:cs="Times New Roman" w:eastAsiaTheme="minorEastAsia"/>
                <w:bCs w:val="0"/>
                <w:sz w:val="21"/>
                <w:szCs w:val="21"/>
                <w:u w:val="single"/>
              </w:rPr>
            </w:pPr>
          </w:p>
        </w:tc>
        <w:tc>
          <w:tcPr>
            <w:tcW w:w="1487" w:type="dxa"/>
            <w:vAlign w:val="center"/>
          </w:tcPr>
          <w:p w14:paraId="60BFD920">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0.0295</w:t>
            </w:r>
          </w:p>
        </w:tc>
        <w:tc>
          <w:tcPr>
            <w:tcW w:w="1336" w:type="dxa"/>
            <w:vAlign w:val="center"/>
          </w:tcPr>
          <w:p w14:paraId="3AF985DB">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916" w:type="dxa"/>
            <w:vAlign w:val="center"/>
          </w:tcPr>
          <w:p w14:paraId="1190E53F">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7EB76EAF">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5E1E36BE">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成品区</w:t>
            </w:r>
          </w:p>
        </w:tc>
      </w:tr>
      <w:tr w14:paraId="1B975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restart"/>
            <w:vAlign w:val="center"/>
          </w:tcPr>
          <w:p w14:paraId="4660881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2</w:t>
            </w:r>
          </w:p>
        </w:tc>
        <w:tc>
          <w:tcPr>
            <w:tcW w:w="1428" w:type="dxa"/>
            <w:vMerge w:val="restart"/>
            <w:vAlign w:val="center"/>
          </w:tcPr>
          <w:p w14:paraId="0051FE01">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硫酸</w:t>
            </w:r>
          </w:p>
        </w:tc>
        <w:tc>
          <w:tcPr>
            <w:tcW w:w="1487" w:type="dxa"/>
            <w:vAlign w:val="center"/>
          </w:tcPr>
          <w:p w14:paraId="648A1473">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336" w:type="dxa"/>
            <w:vAlign w:val="center"/>
          </w:tcPr>
          <w:p w14:paraId="2F21A8F6">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0.04</w:t>
            </w:r>
          </w:p>
        </w:tc>
        <w:tc>
          <w:tcPr>
            <w:tcW w:w="916" w:type="dxa"/>
            <w:vAlign w:val="center"/>
          </w:tcPr>
          <w:p w14:paraId="203F6070">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3A6376B0">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吨桶</w:t>
            </w:r>
          </w:p>
        </w:tc>
        <w:tc>
          <w:tcPr>
            <w:tcW w:w="1633" w:type="dxa"/>
            <w:vAlign w:val="center"/>
          </w:tcPr>
          <w:p w14:paraId="14CD1B27">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原料区</w:t>
            </w:r>
          </w:p>
        </w:tc>
      </w:tr>
      <w:tr w14:paraId="349A0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continue"/>
            <w:vAlign w:val="center"/>
          </w:tcPr>
          <w:p w14:paraId="1843C034">
            <w:pPr>
              <w:pStyle w:val="183"/>
              <w:spacing w:line="240" w:lineRule="auto"/>
              <w:ind w:firstLine="0"/>
              <w:jc w:val="center"/>
              <w:rPr>
                <w:rFonts w:ascii="Times New Roman" w:hAnsi="Times New Roman" w:cs="Times New Roman" w:eastAsiaTheme="minorEastAsia"/>
                <w:bCs w:val="0"/>
                <w:sz w:val="21"/>
                <w:szCs w:val="21"/>
                <w:u w:val="single"/>
              </w:rPr>
            </w:pPr>
          </w:p>
        </w:tc>
        <w:tc>
          <w:tcPr>
            <w:tcW w:w="1428" w:type="dxa"/>
            <w:vMerge w:val="continue"/>
            <w:vAlign w:val="center"/>
          </w:tcPr>
          <w:p w14:paraId="7A31439C">
            <w:pPr>
              <w:pStyle w:val="183"/>
              <w:spacing w:line="240" w:lineRule="auto"/>
              <w:ind w:firstLine="0"/>
              <w:jc w:val="center"/>
              <w:rPr>
                <w:rFonts w:ascii="Times New Roman" w:hAnsi="Times New Roman" w:cs="Times New Roman" w:eastAsiaTheme="minorEastAsia"/>
                <w:bCs w:val="0"/>
                <w:sz w:val="21"/>
                <w:szCs w:val="21"/>
                <w:highlight w:val="yellow"/>
                <w:u w:val="single"/>
              </w:rPr>
            </w:pPr>
          </w:p>
        </w:tc>
        <w:tc>
          <w:tcPr>
            <w:tcW w:w="1487" w:type="dxa"/>
            <w:vAlign w:val="center"/>
          </w:tcPr>
          <w:p w14:paraId="4EFBA4C4">
            <w:pPr>
              <w:pStyle w:val="183"/>
              <w:spacing w:line="240" w:lineRule="auto"/>
              <w:ind w:firstLine="0"/>
              <w:jc w:val="center"/>
              <w:rPr>
                <w:rFonts w:ascii="Times New Roman" w:hAnsi="Times New Roman" w:cs="Times New Roman" w:eastAsiaTheme="minorEastAsia"/>
                <w:bCs w:val="0"/>
                <w:sz w:val="21"/>
                <w:szCs w:val="21"/>
                <w:highlight w:val="yellow"/>
                <w:u w:val="single"/>
              </w:rPr>
            </w:pPr>
            <w:r>
              <w:rPr>
                <w:rFonts w:hint="eastAsia" w:ascii="Times New Roman" w:hAnsi="Times New Roman" w:cs="Times New Roman" w:eastAsiaTheme="minorEastAsia"/>
                <w:bCs w:val="0"/>
                <w:sz w:val="21"/>
                <w:szCs w:val="21"/>
                <w:u w:val="single"/>
              </w:rPr>
              <w:t>1</w:t>
            </w:r>
          </w:p>
        </w:tc>
        <w:tc>
          <w:tcPr>
            <w:tcW w:w="1336" w:type="dxa"/>
            <w:vAlign w:val="center"/>
          </w:tcPr>
          <w:p w14:paraId="4DD4CA7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916" w:type="dxa"/>
            <w:vAlign w:val="center"/>
          </w:tcPr>
          <w:p w14:paraId="26ECDF07">
            <w:pPr>
              <w:pStyle w:val="183"/>
              <w:spacing w:line="240" w:lineRule="auto"/>
              <w:ind w:firstLine="0"/>
              <w:jc w:val="center"/>
              <w:rPr>
                <w:rFonts w:ascii="Times New Roman" w:hAnsi="Times New Roman" w:cs="Times New Roman" w:eastAsiaTheme="minorEastAsia"/>
                <w:bCs w:val="0"/>
                <w:sz w:val="21"/>
                <w:szCs w:val="21"/>
                <w:highlight w:val="yellow"/>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6834D1A1">
            <w:pPr>
              <w:pStyle w:val="183"/>
              <w:spacing w:line="240" w:lineRule="auto"/>
              <w:ind w:firstLine="0"/>
              <w:jc w:val="center"/>
              <w:rPr>
                <w:rFonts w:ascii="Times New Roman" w:hAnsi="Times New Roman" w:cs="Times New Roman" w:eastAsiaTheme="minorEastAsia"/>
                <w:bCs w:val="0"/>
                <w:sz w:val="21"/>
                <w:szCs w:val="21"/>
                <w:highlight w:val="yellow"/>
                <w:u w:val="single"/>
              </w:rPr>
            </w:pPr>
            <w:r>
              <w:rPr>
                <w:rFonts w:hint="eastAsia" w:ascii="Times New Roman" w:hAnsi="Times New Roman" w:cs="Times New Roman" w:eastAsiaTheme="minorEastAsia"/>
                <w:bCs w:val="0"/>
                <w:sz w:val="21"/>
                <w:szCs w:val="21"/>
                <w:u w:val="single"/>
              </w:rPr>
              <w:t>吨桶</w:t>
            </w:r>
          </w:p>
        </w:tc>
        <w:tc>
          <w:tcPr>
            <w:tcW w:w="1633" w:type="dxa"/>
            <w:vAlign w:val="center"/>
          </w:tcPr>
          <w:p w14:paraId="4D5AEF45">
            <w:pPr>
              <w:pStyle w:val="183"/>
              <w:spacing w:line="240" w:lineRule="auto"/>
              <w:ind w:firstLine="0"/>
              <w:jc w:val="center"/>
              <w:rPr>
                <w:rFonts w:ascii="Times New Roman" w:hAnsi="Times New Roman" w:cs="Times New Roman" w:eastAsiaTheme="minorEastAsia"/>
                <w:bCs w:val="0"/>
                <w:sz w:val="21"/>
                <w:szCs w:val="21"/>
                <w:highlight w:val="yellow"/>
                <w:u w:val="single"/>
              </w:rPr>
            </w:pPr>
            <w:r>
              <w:rPr>
                <w:rFonts w:hint="eastAsia" w:ascii="Times New Roman" w:hAnsi="Times New Roman" w:cs="Times New Roman" w:eastAsiaTheme="minorEastAsia"/>
                <w:bCs w:val="0"/>
                <w:sz w:val="21"/>
                <w:szCs w:val="21"/>
                <w:u w:val="single"/>
              </w:rPr>
              <w:t>反应釜区</w:t>
            </w:r>
          </w:p>
        </w:tc>
      </w:tr>
      <w:tr w14:paraId="1FF86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Align w:val="center"/>
          </w:tcPr>
          <w:p w14:paraId="6799E09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3</w:t>
            </w:r>
          </w:p>
        </w:tc>
        <w:tc>
          <w:tcPr>
            <w:tcW w:w="1428" w:type="dxa"/>
            <w:vAlign w:val="center"/>
          </w:tcPr>
          <w:p w14:paraId="154A428C">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氨</w:t>
            </w:r>
          </w:p>
        </w:tc>
        <w:tc>
          <w:tcPr>
            <w:tcW w:w="1487" w:type="dxa"/>
            <w:vAlign w:val="center"/>
          </w:tcPr>
          <w:p w14:paraId="5CE7BD17">
            <w:pPr>
              <w:pStyle w:val="183"/>
              <w:spacing w:line="240" w:lineRule="auto"/>
              <w:ind w:firstLine="0"/>
              <w:jc w:val="center"/>
              <w:rPr>
                <w:rFonts w:ascii="Times New Roman" w:hAnsi="Times New Roman" w:cs="Times New Roman" w:eastAsiaTheme="minorEastAsia"/>
                <w:bCs w:val="0"/>
                <w:sz w:val="21"/>
                <w:szCs w:val="21"/>
                <w:u w:val="single"/>
              </w:rPr>
            </w:pPr>
            <w:r>
              <w:rPr>
                <w:rFonts w:ascii="Times New Roman" w:hAnsi="Times New Roman" w:cs="Times New Roman" w:eastAsiaTheme="minorEastAsia"/>
                <w:bCs w:val="0"/>
                <w:sz w:val="21"/>
                <w:szCs w:val="21"/>
                <w:u w:val="single"/>
              </w:rPr>
              <w:t>0.00</w:t>
            </w:r>
            <w:r>
              <w:rPr>
                <w:rFonts w:hint="eastAsia" w:ascii="Times New Roman" w:hAnsi="Times New Roman" w:cs="Times New Roman" w:eastAsiaTheme="minorEastAsia"/>
                <w:bCs w:val="0"/>
                <w:sz w:val="21"/>
                <w:szCs w:val="21"/>
                <w:u w:val="single"/>
              </w:rPr>
              <w:t>08</w:t>
            </w:r>
          </w:p>
        </w:tc>
        <w:tc>
          <w:tcPr>
            <w:tcW w:w="1336" w:type="dxa"/>
            <w:vAlign w:val="center"/>
          </w:tcPr>
          <w:p w14:paraId="504643DE">
            <w:pPr>
              <w:pStyle w:val="183"/>
              <w:spacing w:line="240" w:lineRule="auto"/>
              <w:ind w:firstLine="0"/>
              <w:jc w:val="center"/>
              <w:rPr>
                <w:rFonts w:ascii="Times New Roman" w:hAnsi="Times New Roman" w:cs="Times New Roman" w:eastAsiaTheme="minorEastAsia"/>
                <w:bCs w:val="0"/>
                <w:sz w:val="21"/>
                <w:szCs w:val="21"/>
                <w:u w:val="single"/>
              </w:rPr>
            </w:pPr>
            <w:r>
              <w:rPr>
                <w:rFonts w:ascii="Times New Roman" w:hAnsi="Times New Roman" w:cs="Times New Roman" w:eastAsiaTheme="minorEastAsia"/>
                <w:bCs w:val="0"/>
                <w:sz w:val="21"/>
                <w:szCs w:val="21"/>
                <w:u w:val="single"/>
              </w:rPr>
              <w:t>0.00</w:t>
            </w:r>
            <w:r>
              <w:rPr>
                <w:rFonts w:hint="eastAsia" w:ascii="Times New Roman" w:hAnsi="Times New Roman" w:cs="Times New Roman" w:eastAsiaTheme="minorEastAsia"/>
                <w:bCs w:val="0"/>
                <w:sz w:val="21"/>
                <w:szCs w:val="21"/>
                <w:u w:val="single"/>
              </w:rPr>
              <w:t>08</w:t>
            </w:r>
          </w:p>
        </w:tc>
        <w:tc>
          <w:tcPr>
            <w:tcW w:w="916" w:type="dxa"/>
            <w:vAlign w:val="center"/>
          </w:tcPr>
          <w:p w14:paraId="414DF917">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气态</w:t>
            </w:r>
          </w:p>
        </w:tc>
        <w:tc>
          <w:tcPr>
            <w:tcW w:w="993" w:type="dxa"/>
            <w:vAlign w:val="center"/>
          </w:tcPr>
          <w:p w14:paraId="6759CA1C">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7AAB7D71">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污水处理站</w:t>
            </w:r>
          </w:p>
        </w:tc>
      </w:tr>
      <w:tr w14:paraId="092E6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Align w:val="center"/>
          </w:tcPr>
          <w:p w14:paraId="6F7966A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4</w:t>
            </w:r>
          </w:p>
        </w:tc>
        <w:tc>
          <w:tcPr>
            <w:tcW w:w="1428" w:type="dxa"/>
            <w:vAlign w:val="center"/>
          </w:tcPr>
          <w:p w14:paraId="1F645E14">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硫化氢</w:t>
            </w:r>
          </w:p>
        </w:tc>
        <w:tc>
          <w:tcPr>
            <w:tcW w:w="1487" w:type="dxa"/>
            <w:vAlign w:val="center"/>
          </w:tcPr>
          <w:p w14:paraId="6879E254">
            <w:pPr>
              <w:pStyle w:val="183"/>
              <w:spacing w:line="240" w:lineRule="auto"/>
              <w:ind w:firstLine="0"/>
              <w:jc w:val="center"/>
              <w:rPr>
                <w:rFonts w:ascii="Times New Roman" w:hAnsi="Times New Roman" w:cs="Times New Roman" w:eastAsiaTheme="minorEastAsia"/>
                <w:bCs w:val="0"/>
                <w:sz w:val="21"/>
                <w:szCs w:val="21"/>
                <w:u w:val="single"/>
              </w:rPr>
            </w:pPr>
            <w:r>
              <w:rPr>
                <w:rFonts w:ascii="Times New Roman" w:hAnsi="Times New Roman" w:cs="Times New Roman" w:eastAsiaTheme="minorEastAsia"/>
                <w:bCs w:val="0"/>
                <w:sz w:val="21"/>
                <w:szCs w:val="21"/>
                <w:u w:val="single"/>
              </w:rPr>
              <w:t>0.0000</w:t>
            </w:r>
            <w:r>
              <w:rPr>
                <w:rFonts w:hint="eastAsia" w:ascii="Times New Roman" w:hAnsi="Times New Roman" w:cs="Times New Roman" w:eastAsiaTheme="minorEastAsia"/>
                <w:bCs w:val="0"/>
                <w:sz w:val="21"/>
                <w:szCs w:val="21"/>
                <w:u w:val="single"/>
              </w:rPr>
              <w:t>3</w:t>
            </w:r>
          </w:p>
        </w:tc>
        <w:tc>
          <w:tcPr>
            <w:tcW w:w="1336" w:type="dxa"/>
            <w:vAlign w:val="center"/>
          </w:tcPr>
          <w:p w14:paraId="2D0C5925">
            <w:pPr>
              <w:pStyle w:val="183"/>
              <w:spacing w:line="240" w:lineRule="auto"/>
              <w:ind w:firstLine="0"/>
              <w:jc w:val="center"/>
              <w:rPr>
                <w:rFonts w:ascii="Times New Roman" w:hAnsi="Times New Roman" w:cs="Times New Roman" w:eastAsiaTheme="minorEastAsia"/>
                <w:bCs w:val="0"/>
                <w:sz w:val="21"/>
                <w:szCs w:val="21"/>
                <w:u w:val="single"/>
              </w:rPr>
            </w:pPr>
            <w:r>
              <w:rPr>
                <w:rFonts w:ascii="Times New Roman" w:hAnsi="Times New Roman" w:cs="Times New Roman" w:eastAsiaTheme="minorEastAsia"/>
                <w:bCs w:val="0"/>
                <w:sz w:val="21"/>
                <w:szCs w:val="21"/>
                <w:u w:val="single"/>
              </w:rPr>
              <w:t>0.0000</w:t>
            </w:r>
            <w:r>
              <w:rPr>
                <w:rFonts w:hint="eastAsia" w:ascii="Times New Roman" w:hAnsi="Times New Roman" w:cs="Times New Roman" w:eastAsiaTheme="minorEastAsia"/>
                <w:bCs w:val="0"/>
                <w:sz w:val="21"/>
                <w:szCs w:val="21"/>
                <w:u w:val="single"/>
              </w:rPr>
              <w:t>3</w:t>
            </w:r>
          </w:p>
        </w:tc>
        <w:tc>
          <w:tcPr>
            <w:tcW w:w="916" w:type="dxa"/>
            <w:vAlign w:val="center"/>
          </w:tcPr>
          <w:p w14:paraId="26ECB225">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气态</w:t>
            </w:r>
          </w:p>
        </w:tc>
        <w:tc>
          <w:tcPr>
            <w:tcW w:w="993" w:type="dxa"/>
            <w:vAlign w:val="center"/>
          </w:tcPr>
          <w:p w14:paraId="617AF20F">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44A50144">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污水处理站</w:t>
            </w:r>
          </w:p>
        </w:tc>
      </w:tr>
      <w:tr w14:paraId="7ECEB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restart"/>
            <w:vAlign w:val="center"/>
          </w:tcPr>
          <w:p w14:paraId="6DF26DD2">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5</w:t>
            </w:r>
          </w:p>
        </w:tc>
        <w:tc>
          <w:tcPr>
            <w:tcW w:w="1428" w:type="dxa"/>
            <w:vMerge w:val="restart"/>
            <w:vAlign w:val="center"/>
          </w:tcPr>
          <w:p w14:paraId="086C0043">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导热油</w:t>
            </w:r>
          </w:p>
        </w:tc>
        <w:tc>
          <w:tcPr>
            <w:tcW w:w="1487" w:type="dxa"/>
            <w:vAlign w:val="center"/>
          </w:tcPr>
          <w:p w14:paraId="3252BE44">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3</w:t>
            </w:r>
          </w:p>
        </w:tc>
        <w:tc>
          <w:tcPr>
            <w:tcW w:w="1336" w:type="dxa"/>
            <w:vAlign w:val="center"/>
          </w:tcPr>
          <w:p w14:paraId="2B5A0BD3">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916" w:type="dxa"/>
            <w:vAlign w:val="center"/>
          </w:tcPr>
          <w:p w14:paraId="38845E51">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492319E6">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罐装</w:t>
            </w:r>
          </w:p>
        </w:tc>
        <w:tc>
          <w:tcPr>
            <w:tcW w:w="1633" w:type="dxa"/>
            <w:vAlign w:val="center"/>
          </w:tcPr>
          <w:p w14:paraId="62A5698A">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电加热、制冷区</w:t>
            </w:r>
          </w:p>
        </w:tc>
      </w:tr>
      <w:tr w14:paraId="678A3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continue"/>
            <w:vAlign w:val="center"/>
          </w:tcPr>
          <w:p w14:paraId="18479AA6">
            <w:pPr>
              <w:pStyle w:val="183"/>
              <w:spacing w:line="240" w:lineRule="auto"/>
              <w:ind w:firstLine="0"/>
              <w:jc w:val="center"/>
              <w:rPr>
                <w:rFonts w:ascii="Times New Roman" w:hAnsi="Times New Roman" w:cs="Times New Roman" w:eastAsiaTheme="minorEastAsia"/>
                <w:bCs w:val="0"/>
                <w:sz w:val="21"/>
                <w:szCs w:val="21"/>
                <w:u w:val="single"/>
              </w:rPr>
            </w:pPr>
          </w:p>
        </w:tc>
        <w:tc>
          <w:tcPr>
            <w:tcW w:w="1428" w:type="dxa"/>
            <w:vMerge w:val="continue"/>
            <w:vAlign w:val="center"/>
          </w:tcPr>
          <w:p w14:paraId="0E04961E">
            <w:pPr>
              <w:pStyle w:val="183"/>
              <w:spacing w:line="240" w:lineRule="auto"/>
              <w:ind w:firstLine="0"/>
              <w:jc w:val="center"/>
              <w:rPr>
                <w:rFonts w:ascii="Times New Roman" w:hAnsi="Times New Roman" w:cs="Times New Roman" w:eastAsiaTheme="minorEastAsia"/>
                <w:bCs w:val="0"/>
                <w:sz w:val="21"/>
                <w:szCs w:val="21"/>
                <w:u w:val="single"/>
              </w:rPr>
            </w:pPr>
          </w:p>
        </w:tc>
        <w:tc>
          <w:tcPr>
            <w:tcW w:w="1487" w:type="dxa"/>
            <w:vAlign w:val="center"/>
          </w:tcPr>
          <w:p w14:paraId="60FFBF22">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336" w:type="dxa"/>
            <w:vAlign w:val="center"/>
          </w:tcPr>
          <w:p w14:paraId="4E546B12">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14</w:t>
            </w:r>
          </w:p>
        </w:tc>
        <w:tc>
          <w:tcPr>
            <w:tcW w:w="916" w:type="dxa"/>
            <w:vAlign w:val="center"/>
          </w:tcPr>
          <w:p w14:paraId="179C64B6">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65D0656B">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06CFA8C5">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反应釜区</w:t>
            </w:r>
          </w:p>
        </w:tc>
      </w:tr>
      <w:tr w14:paraId="69836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Align w:val="center"/>
          </w:tcPr>
          <w:p w14:paraId="017E939D">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6</w:t>
            </w:r>
          </w:p>
        </w:tc>
        <w:tc>
          <w:tcPr>
            <w:tcW w:w="1428" w:type="dxa"/>
            <w:vAlign w:val="center"/>
          </w:tcPr>
          <w:p w14:paraId="6FF1B058">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废导热油</w:t>
            </w:r>
          </w:p>
        </w:tc>
        <w:tc>
          <w:tcPr>
            <w:tcW w:w="1487" w:type="dxa"/>
            <w:vAlign w:val="center"/>
          </w:tcPr>
          <w:p w14:paraId="260716A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17</w:t>
            </w:r>
          </w:p>
        </w:tc>
        <w:tc>
          <w:tcPr>
            <w:tcW w:w="1336" w:type="dxa"/>
            <w:vAlign w:val="center"/>
          </w:tcPr>
          <w:p w14:paraId="78FD059E">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916" w:type="dxa"/>
            <w:vAlign w:val="center"/>
          </w:tcPr>
          <w:p w14:paraId="1DCD6F65">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6D3725DE">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吨桶</w:t>
            </w:r>
          </w:p>
        </w:tc>
        <w:tc>
          <w:tcPr>
            <w:tcW w:w="1633" w:type="dxa"/>
            <w:vAlign w:val="center"/>
          </w:tcPr>
          <w:p w14:paraId="77B4ADFB">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危废贮存库</w:t>
            </w:r>
          </w:p>
        </w:tc>
      </w:tr>
      <w:tr w14:paraId="4CA5E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restart"/>
            <w:vAlign w:val="center"/>
          </w:tcPr>
          <w:p w14:paraId="0A2B44BF">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7</w:t>
            </w:r>
          </w:p>
        </w:tc>
        <w:tc>
          <w:tcPr>
            <w:tcW w:w="1428" w:type="dxa"/>
            <w:vMerge w:val="restart"/>
            <w:vAlign w:val="center"/>
          </w:tcPr>
          <w:p w14:paraId="38F8FAF3">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二丙二醇</w:t>
            </w:r>
          </w:p>
        </w:tc>
        <w:tc>
          <w:tcPr>
            <w:tcW w:w="1487" w:type="dxa"/>
            <w:vAlign w:val="center"/>
          </w:tcPr>
          <w:p w14:paraId="42C01285">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90</w:t>
            </w:r>
          </w:p>
        </w:tc>
        <w:tc>
          <w:tcPr>
            <w:tcW w:w="1336" w:type="dxa"/>
            <w:vAlign w:val="center"/>
          </w:tcPr>
          <w:p w14:paraId="5D9354C7">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916" w:type="dxa"/>
            <w:vAlign w:val="center"/>
          </w:tcPr>
          <w:p w14:paraId="782835AC">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39A01074">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吨桶</w:t>
            </w:r>
          </w:p>
        </w:tc>
        <w:tc>
          <w:tcPr>
            <w:tcW w:w="1633" w:type="dxa"/>
            <w:vAlign w:val="center"/>
          </w:tcPr>
          <w:p w14:paraId="4CA40D7A">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原料区</w:t>
            </w:r>
          </w:p>
        </w:tc>
      </w:tr>
      <w:tr w14:paraId="2E26A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continue"/>
            <w:vAlign w:val="center"/>
          </w:tcPr>
          <w:p w14:paraId="1D5669EA">
            <w:pPr>
              <w:pStyle w:val="183"/>
              <w:spacing w:line="240" w:lineRule="auto"/>
              <w:ind w:firstLine="0"/>
              <w:jc w:val="center"/>
              <w:rPr>
                <w:rFonts w:ascii="Times New Roman" w:hAnsi="Times New Roman" w:cs="Times New Roman" w:eastAsiaTheme="minorEastAsia"/>
                <w:bCs w:val="0"/>
                <w:sz w:val="21"/>
                <w:szCs w:val="21"/>
                <w:u w:val="single"/>
              </w:rPr>
            </w:pPr>
          </w:p>
        </w:tc>
        <w:tc>
          <w:tcPr>
            <w:tcW w:w="1428" w:type="dxa"/>
            <w:vMerge w:val="continue"/>
            <w:vAlign w:val="center"/>
          </w:tcPr>
          <w:p w14:paraId="1729F0FB">
            <w:pPr>
              <w:pStyle w:val="183"/>
              <w:spacing w:line="240" w:lineRule="auto"/>
              <w:ind w:firstLine="0"/>
              <w:jc w:val="center"/>
              <w:rPr>
                <w:rFonts w:ascii="Times New Roman" w:hAnsi="Times New Roman" w:cs="Times New Roman" w:eastAsiaTheme="minorEastAsia"/>
                <w:bCs w:val="0"/>
                <w:sz w:val="21"/>
                <w:szCs w:val="21"/>
                <w:u w:val="single"/>
              </w:rPr>
            </w:pPr>
          </w:p>
        </w:tc>
        <w:tc>
          <w:tcPr>
            <w:tcW w:w="1487" w:type="dxa"/>
            <w:vAlign w:val="center"/>
          </w:tcPr>
          <w:p w14:paraId="3F0E7EC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336" w:type="dxa"/>
            <w:vAlign w:val="center"/>
          </w:tcPr>
          <w:p w14:paraId="2A22C84D">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15.84064</w:t>
            </w:r>
          </w:p>
        </w:tc>
        <w:tc>
          <w:tcPr>
            <w:tcW w:w="916" w:type="dxa"/>
            <w:vAlign w:val="center"/>
          </w:tcPr>
          <w:p w14:paraId="136AFF4D">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0AD0F1D6">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0CDA4F73">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反应釜区</w:t>
            </w:r>
          </w:p>
        </w:tc>
      </w:tr>
      <w:tr w14:paraId="09AA6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restart"/>
            <w:vAlign w:val="center"/>
          </w:tcPr>
          <w:p w14:paraId="791BFB20">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8</w:t>
            </w:r>
          </w:p>
        </w:tc>
        <w:tc>
          <w:tcPr>
            <w:tcW w:w="1428" w:type="dxa"/>
            <w:vMerge w:val="restart"/>
            <w:vAlign w:val="center"/>
          </w:tcPr>
          <w:p w14:paraId="417DE9D2">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双氧水</w:t>
            </w:r>
          </w:p>
        </w:tc>
        <w:tc>
          <w:tcPr>
            <w:tcW w:w="1487" w:type="dxa"/>
            <w:vAlign w:val="center"/>
          </w:tcPr>
          <w:p w14:paraId="167FE60C">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0.1</w:t>
            </w:r>
          </w:p>
        </w:tc>
        <w:tc>
          <w:tcPr>
            <w:tcW w:w="1336" w:type="dxa"/>
            <w:vAlign w:val="center"/>
          </w:tcPr>
          <w:p w14:paraId="43A91C26">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916" w:type="dxa"/>
            <w:vAlign w:val="center"/>
          </w:tcPr>
          <w:p w14:paraId="49A9A3B6">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0BFA6904">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2</w:t>
            </w:r>
            <w:r>
              <w:rPr>
                <w:rFonts w:ascii="Times New Roman" w:hAnsi="Times New Roman" w:cs="Times New Roman" w:eastAsiaTheme="minorEastAsia"/>
                <w:bCs w:val="0"/>
                <w:sz w:val="21"/>
                <w:szCs w:val="21"/>
                <w:u w:val="single"/>
              </w:rPr>
              <w:t>5</w:t>
            </w:r>
            <w:r>
              <w:rPr>
                <w:rFonts w:hint="eastAsia" w:ascii="Times New Roman" w:hAnsi="Times New Roman" w:cs="Times New Roman" w:eastAsiaTheme="minorEastAsia"/>
                <w:bCs w:val="0"/>
                <w:sz w:val="21"/>
                <w:szCs w:val="21"/>
                <w:u w:val="single"/>
              </w:rPr>
              <w:t>kg/桶</w:t>
            </w:r>
          </w:p>
        </w:tc>
        <w:tc>
          <w:tcPr>
            <w:tcW w:w="1633" w:type="dxa"/>
            <w:vAlign w:val="center"/>
          </w:tcPr>
          <w:p w14:paraId="209B8783">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原料区</w:t>
            </w:r>
          </w:p>
        </w:tc>
      </w:tr>
      <w:tr w14:paraId="7D9E6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continue"/>
            <w:vAlign w:val="center"/>
          </w:tcPr>
          <w:p w14:paraId="78DA5E47">
            <w:pPr>
              <w:pStyle w:val="183"/>
              <w:spacing w:line="240" w:lineRule="auto"/>
              <w:ind w:firstLine="0"/>
              <w:jc w:val="center"/>
              <w:rPr>
                <w:rFonts w:ascii="Times New Roman" w:hAnsi="Times New Roman" w:cs="Times New Roman" w:eastAsiaTheme="minorEastAsia"/>
                <w:bCs w:val="0"/>
                <w:sz w:val="21"/>
                <w:szCs w:val="21"/>
                <w:u w:val="single"/>
              </w:rPr>
            </w:pPr>
          </w:p>
        </w:tc>
        <w:tc>
          <w:tcPr>
            <w:tcW w:w="1428" w:type="dxa"/>
            <w:vMerge w:val="continue"/>
            <w:vAlign w:val="center"/>
          </w:tcPr>
          <w:p w14:paraId="6C5FB9BC">
            <w:pPr>
              <w:pStyle w:val="183"/>
              <w:spacing w:line="240" w:lineRule="auto"/>
              <w:ind w:firstLine="0"/>
              <w:jc w:val="center"/>
              <w:rPr>
                <w:rFonts w:ascii="Times New Roman" w:hAnsi="Times New Roman" w:cs="Times New Roman" w:eastAsiaTheme="minorEastAsia"/>
                <w:bCs w:val="0"/>
                <w:sz w:val="21"/>
                <w:szCs w:val="21"/>
                <w:u w:val="single"/>
              </w:rPr>
            </w:pPr>
          </w:p>
        </w:tc>
        <w:tc>
          <w:tcPr>
            <w:tcW w:w="1487" w:type="dxa"/>
            <w:vAlign w:val="center"/>
          </w:tcPr>
          <w:p w14:paraId="2F654986">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336" w:type="dxa"/>
            <w:vAlign w:val="center"/>
          </w:tcPr>
          <w:p w14:paraId="5BC266A1">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0.005</w:t>
            </w:r>
          </w:p>
        </w:tc>
        <w:tc>
          <w:tcPr>
            <w:tcW w:w="916" w:type="dxa"/>
            <w:vAlign w:val="center"/>
          </w:tcPr>
          <w:p w14:paraId="4BE81D3B">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22B64C1C">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46928252">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反应釜区</w:t>
            </w:r>
          </w:p>
        </w:tc>
      </w:tr>
      <w:tr w14:paraId="427D6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restart"/>
            <w:vAlign w:val="center"/>
          </w:tcPr>
          <w:p w14:paraId="3954FD10">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9</w:t>
            </w:r>
          </w:p>
        </w:tc>
        <w:tc>
          <w:tcPr>
            <w:tcW w:w="1428" w:type="dxa"/>
            <w:vMerge w:val="restart"/>
            <w:vAlign w:val="center"/>
          </w:tcPr>
          <w:p w14:paraId="0C7D20F0">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K</w:t>
            </w:r>
            <w:r>
              <w:rPr>
                <w:rFonts w:ascii="Times New Roman" w:hAnsi="Times New Roman" w:cs="Times New Roman" w:eastAsiaTheme="minorEastAsia"/>
                <w:bCs w:val="0"/>
                <w:sz w:val="21"/>
                <w:szCs w:val="21"/>
                <w:u w:val="single"/>
              </w:rPr>
              <w:t>F-99</w:t>
            </w:r>
            <w:r>
              <w:rPr>
                <w:rFonts w:hint="eastAsia" w:ascii="Times New Roman" w:hAnsi="Times New Roman" w:cs="Times New Roman" w:eastAsiaTheme="minorEastAsia"/>
                <w:bCs w:val="0"/>
                <w:sz w:val="21"/>
                <w:szCs w:val="21"/>
                <w:u w:val="single"/>
              </w:rPr>
              <w:t>（</w:t>
            </w:r>
            <w:r>
              <w:rPr>
                <w:rFonts w:ascii="Times New Roman" w:hAnsi="Times New Roman" w:cs="Times New Roman" w:eastAsiaTheme="minorEastAsia"/>
                <w:bCs w:val="0"/>
                <w:sz w:val="21"/>
                <w:szCs w:val="21"/>
                <w:u w:val="single"/>
              </w:rPr>
              <w:t>高含氢硅油</w:t>
            </w:r>
            <w:r>
              <w:rPr>
                <w:rFonts w:hint="eastAsia" w:ascii="Times New Roman" w:hAnsi="Times New Roman" w:cs="Times New Roman" w:eastAsiaTheme="minorEastAsia"/>
                <w:bCs w:val="0"/>
                <w:sz w:val="21"/>
                <w:szCs w:val="21"/>
                <w:u w:val="single"/>
              </w:rPr>
              <w:t>）</w:t>
            </w:r>
          </w:p>
        </w:tc>
        <w:tc>
          <w:tcPr>
            <w:tcW w:w="1487" w:type="dxa"/>
            <w:vAlign w:val="center"/>
          </w:tcPr>
          <w:p w14:paraId="37654DA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6</w:t>
            </w:r>
          </w:p>
        </w:tc>
        <w:tc>
          <w:tcPr>
            <w:tcW w:w="1336" w:type="dxa"/>
            <w:vAlign w:val="center"/>
          </w:tcPr>
          <w:p w14:paraId="44612842">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916" w:type="dxa"/>
            <w:vAlign w:val="center"/>
          </w:tcPr>
          <w:p w14:paraId="5E5239FA">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1387090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2</w:t>
            </w:r>
            <w:r>
              <w:rPr>
                <w:rFonts w:ascii="Times New Roman" w:hAnsi="Times New Roman" w:cs="Times New Roman" w:eastAsiaTheme="minorEastAsia"/>
                <w:bCs w:val="0"/>
                <w:sz w:val="21"/>
                <w:szCs w:val="21"/>
                <w:u w:val="single"/>
              </w:rPr>
              <w:t>00</w:t>
            </w:r>
            <w:r>
              <w:rPr>
                <w:rFonts w:hint="eastAsia" w:ascii="Times New Roman" w:hAnsi="Times New Roman" w:cs="Times New Roman" w:eastAsiaTheme="minorEastAsia"/>
                <w:bCs w:val="0"/>
                <w:sz w:val="21"/>
                <w:szCs w:val="21"/>
                <w:u w:val="single"/>
              </w:rPr>
              <w:t>kg/桶</w:t>
            </w:r>
          </w:p>
        </w:tc>
        <w:tc>
          <w:tcPr>
            <w:tcW w:w="1633" w:type="dxa"/>
            <w:vAlign w:val="center"/>
          </w:tcPr>
          <w:p w14:paraId="3E72503F">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原料区</w:t>
            </w:r>
          </w:p>
        </w:tc>
      </w:tr>
      <w:tr w14:paraId="05133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continue"/>
            <w:vAlign w:val="center"/>
          </w:tcPr>
          <w:p w14:paraId="1F6384CD">
            <w:pPr>
              <w:pStyle w:val="183"/>
              <w:spacing w:line="240" w:lineRule="auto"/>
              <w:ind w:firstLine="0"/>
              <w:jc w:val="center"/>
              <w:rPr>
                <w:rFonts w:ascii="Times New Roman" w:hAnsi="Times New Roman" w:cs="Times New Roman" w:eastAsiaTheme="minorEastAsia"/>
                <w:bCs w:val="0"/>
                <w:sz w:val="21"/>
                <w:szCs w:val="21"/>
                <w:u w:val="single"/>
              </w:rPr>
            </w:pPr>
          </w:p>
        </w:tc>
        <w:tc>
          <w:tcPr>
            <w:tcW w:w="1428" w:type="dxa"/>
            <w:vMerge w:val="continue"/>
            <w:vAlign w:val="center"/>
          </w:tcPr>
          <w:p w14:paraId="47EA6DF6">
            <w:pPr>
              <w:pStyle w:val="183"/>
              <w:spacing w:line="240" w:lineRule="auto"/>
              <w:ind w:firstLine="0"/>
              <w:jc w:val="center"/>
              <w:rPr>
                <w:rFonts w:ascii="Times New Roman" w:hAnsi="Times New Roman" w:cs="Times New Roman" w:eastAsiaTheme="minorEastAsia"/>
                <w:bCs w:val="0"/>
                <w:sz w:val="21"/>
                <w:szCs w:val="21"/>
                <w:u w:val="single"/>
              </w:rPr>
            </w:pPr>
          </w:p>
        </w:tc>
        <w:tc>
          <w:tcPr>
            <w:tcW w:w="1487" w:type="dxa"/>
            <w:vAlign w:val="center"/>
          </w:tcPr>
          <w:p w14:paraId="078946C5">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336" w:type="dxa"/>
            <w:vAlign w:val="center"/>
          </w:tcPr>
          <w:p w14:paraId="386CA33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1.0295</w:t>
            </w:r>
          </w:p>
        </w:tc>
        <w:tc>
          <w:tcPr>
            <w:tcW w:w="916" w:type="dxa"/>
            <w:vAlign w:val="center"/>
          </w:tcPr>
          <w:p w14:paraId="3ABE8944">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3AA4BB16">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5CAA1C7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反应釜区</w:t>
            </w:r>
          </w:p>
        </w:tc>
      </w:tr>
      <w:tr w14:paraId="6B29D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continue"/>
            <w:vAlign w:val="center"/>
          </w:tcPr>
          <w:p w14:paraId="1EB29DB0">
            <w:pPr>
              <w:pStyle w:val="183"/>
              <w:spacing w:line="240" w:lineRule="auto"/>
              <w:ind w:firstLine="0"/>
              <w:jc w:val="center"/>
              <w:rPr>
                <w:rFonts w:ascii="Times New Roman" w:hAnsi="Times New Roman" w:cs="Times New Roman" w:eastAsiaTheme="minorEastAsia"/>
                <w:bCs w:val="0"/>
                <w:sz w:val="21"/>
                <w:szCs w:val="21"/>
                <w:u w:val="single"/>
              </w:rPr>
            </w:pPr>
          </w:p>
        </w:tc>
        <w:tc>
          <w:tcPr>
            <w:tcW w:w="1428" w:type="dxa"/>
            <w:vMerge w:val="continue"/>
            <w:vAlign w:val="center"/>
          </w:tcPr>
          <w:p w14:paraId="45581FB6">
            <w:pPr>
              <w:pStyle w:val="183"/>
              <w:spacing w:line="240" w:lineRule="auto"/>
              <w:ind w:firstLine="0"/>
              <w:jc w:val="center"/>
              <w:rPr>
                <w:rFonts w:ascii="Times New Roman" w:hAnsi="Times New Roman" w:cs="Times New Roman" w:eastAsiaTheme="minorEastAsia"/>
                <w:bCs w:val="0"/>
                <w:sz w:val="21"/>
                <w:szCs w:val="21"/>
                <w:u w:val="single"/>
              </w:rPr>
            </w:pPr>
          </w:p>
        </w:tc>
        <w:tc>
          <w:tcPr>
            <w:tcW w:w="1487" w:type="dxa"/>
            <w:vAlign w:val="center"/>
          </w:tcPr>
          <w:p w14:paraId="60C55A7D">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336" w:type="dxa"/>
            <w:vAlign w:val="center"/>
          </w:tcPr>
          <w:p w14:paraId="0E2D514B">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0.0104</w:t>
            </w:r>
          </w:p>
        </w:tc>
        <w:tc>
          <w:tcPr>
            <w:tcW w:w="916" w:type="dxa"/>
            <w:vAlign w:val="center"/>
          </w:tcPr>
          <w:p w14:paraId="7B946297">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06972B7A">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706B9B18">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成品区</w:t>
            </w:r>
          </w:p>
        </w:tc>
      </w:tr>
      <w:tr w14:paraId="3F0BC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Align w:val="center"/>
          </w:tcPr>
          <w:p w14:paraId="6EDF3085">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10</w:t>
            </w:r>
          </w:p>
        </w:tc>
        <w:tc>
          <w:tcPr>
            <w:tcW w:w="1428" w:type="dxa"/>
            <w:vAlign w:val="center"/>
          </w:tcPr>
          <w:p w14:paraId="035543A0">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低含氢硅油</w:t>
            </w:r>
          </w:p>
        </w:tc>
        <w:tc>
          <w:tcPr>
            <w:tcW w:w="1487" w:type="dxa"/>
            <w:vAlign w:val="center"/>
          </w:tcPr>
          <w:p w14:paraId="790FF46A">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336" w:type="dxa"/>
            <w:vAlign w:val="center"/>
          </w:tcPr>
          <w:p w14:paraId="7420758D">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4.0729</w:t>
            </w:r>
          </w:p>
        </w:tc>
        <w:tc>
          <w:tcPr>
            <w:tcW w:w="916" w:type="dxa"/>
            <w:vAlign w:val="center"/>
          </w:tcPr>
          <w:p w14:paraId="1C4A9A7C">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75154F0D">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4D8694EA">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反应釜区</w:t>
            </w:r>
          </w:p>
        </w:tc>
      </w:tr>
      <w:tr w14:paraId="6BC79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restart"/>
            <w:vAlign w:val="center"/>
          </w:tcPr>
          <w:p w14:paraId="652CEFE0">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11</w:t>
            </w:r>
          </w:p>
        </w:tc>
        <w:tc>
          <w:tcPr>
            <w:tcW w:w="1428" w:type="dxa"/>
            <w:vMerge w:val="restart"/>
            <w:vAlign w:val="center"/>
          </w:tcPr>
          <w:p w14:paraId="07FB50BA">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聚醚改性硅油</w:t>
            </w:r>
          </w:p>
        </w:tc>
        <w:tc>
          <w:tcPr>
            <w:tcW w:w="1487" w:type="dxa"/>
            <w:vAlign w:val="center"/>
          </w:tcPr>
          <w:p w14:paraId="4F5495B5">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336" w:type="dxa"/>
            <w:vAlign w:val="center"/>
          </w:tcPr>
          <w:p w14:paraId="7B002C0C">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39.6</w:t>
            </w:r>
          </w:p>
        </w:tc>
        <w:tc>
          <w:tcPr>
            <w:tcW w:w="916" w:type="dxa"/>
            <w:vAlign w:val="center"/>
          </w:tcPr>
          <w:p w14:paraId="50A6CCC2">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2A0A06D2">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1633" w:type="dxa"/>
            <w:vAlign w:val="center"/>
          </w:tcPr>
          <w:p w14:paraId="5DB45FAF">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反应釜区、搅拌区、灌装区</w:t>
            </w:r>
          </w:p>
        </w:tc>
      </w:tr>
      <w:tr w14:paraId="4764E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93" w:type="dxa"/>
            <w:vMerge w:val="continue"/>
            <w:vAlign w:val="center"/>
          </w:tcPr>
          <w:p w14:paraId="54CDFB21">
            <w:pPr>
              <w:pStyle w:val="183"/>
              <w:spacing w:line="240" w:lineRule="auto"/>
              <w:ind w:firstLine="0"/>
              <w:jc w:val="center"/>
              <w:rPr>
                <w:rFonts w:ascii="Times New Roman" w:hAnsi="Times New Roman" w:cs="Times New Roman" w:eastAsiaTheme="minorEastAsia"/>
                <w:bCs w:val="0"/>
                <w:sz w:val="21"/>
                <w:szCs w:val="21"/>
                <w:u w:val="single"/>
              </w:rPr>
            </w:pPr>
          </w:p>
        </w:tc>
        <w:tc>
          <w:tcPr>
            <w:tcW w:w="1428" w:type="dxa"/>
            <w:vMerge w:val="continue"/>
            <w:vAlign w:val="center"/>
          </w:tcPr>
          <w:p w14:paraId="7D2802EB">
            <w:pPr>
              <w:pStyle w:val="183"/>
              <w:spacing w:line="240" w:lineRule="auto"/>
              <w:ind w:firstLine="0"/>
              <w:jc w:val="center"/>
              <w:rPr>
                <w:rFonts w:ascii="Times New Roman" w:hAnsi="Times New Roman" w:cs="Times New Roman" w:eastAsiaTheme="minorEastAsia"/>
                <w:bCs w:val="0"/>
                <w:sz w:val="21"/>
                <w:szCs w:val="21"/>
                <w:u w:val="single"/>
              </w:rPr>
            </w:pPr>
          </w:p>
        </w:tc>
        <w:tc>
          <w:tcPr>
            <w:tcW w:w="1487" w:type="dxa"/>
            <w:vAlign w:val="center"/>
          </w:tcPr>
          <w:p w14:paraId="0304DAB9">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118.8</w:t>
            </w:r>
          </w:p>
        </w:tc>
        <w:tc>
          <w:tcPr>
            <w:tcW w:w="1336" w:type="dxa"/>
            <w:vAlign w:val="center"/>
          </w:tcPr>
          <w:p w14:paraId="6C47ADAB">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w:t>
            </w:r>
          </w:p>
        </w:tc>
        <w:tc>
          <w:tcPr>
            <w:tcW w:w="916" w:type="dxa"/>
            <w:vAlign w:val="center"/>
          </w:tcPr>
          <w:p w14:paraId="14DE5763">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液态</w:t>
            </w:r>
          </w:p>
        </w:tc>
        <w:tc>
          <w:tcPr>
            <w:tcW w:w="993" w:type="dxa"/>
            <w:vAlign w:val="center"/>
          </w:tcPr>
          <w:p w14:paraId="30CB287D">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25kg/桶和吨桶</w:t>
            </w:r>
          </w:p>
        </w:tc>
        <w:tc>
          <w:tcPr>
            <w:tcW w:w="1633" w:type="dxa"/>
            <w:vAlign w:val="center"/>
          </w:tcPr>
          <w:p w14:paraId="7CDD0DBC">
            <w:pPr>
              <w:pStyle w:val="183"/>
              <w:spacing w:line="240" w:lineRule="auto"/>
              <w:ind w:firstLine="0"/>
              <w:jc w:val="center"/>
              <w:rPr>
                <w:rFonts w:ascii="Times New Roman" w:hAnsi="Times New Roman" w:cs="Times New Roman" w:eastAsiaTheme="minorEastAsia"/>
                <w:bCs w:val="0"/>
                <w:sz w:val="21"/>
                <w:szCs w:val="21"/>
                <w:u w:val="single"/>
              </w:rPr>
            </w:pPr>
            <w:r>
              <w:rPr>
                <w:rFonts w:hint="eastAsia" w:ascii="Times New Roman" w:hAnsi="Times New Roman" w:cs="Times New Roman" w:eastAsiaTheme="minorEastAsia"/>
                <w:bCs w:val="0"/>
                <w:sz w:val="21"/>
                <w:szCs w:val="21"/>
                <w:u w:val="single"/>
              </w:rPr>
              <w:t>成品区</w:t>
            </w:r>
          </w:p>
        </w:tc>
      </w:tr>
    </w:tbl>
    <w:p w14:paraId="5AA72327">
      <w:pPr>
        <w:spacing w:line="240" w:lineRule="auto"/>
        <w:ind w:firstLine="420"/>
        <w:rPr>
          <w:rFonts w:hint="eastAsia" w:ascii="黑体" w:hAnsi="黑体" w:eastAsia="黑体"/>
          <w:sz w:val="21"/>
          <w:szCs w:val="21"/>
        </w:rPr>
      </w:pPr>
      <w:r>
        <w:rPr>
          <w:rFonts w:hint="eastAsia" w:ascii="黑体" w:hAnsi="黑体" w:eastAsia="黑体"/>
          <w:sz w:val="21"/>
          <w:szCs w:val="21"/>
        </w:rPr>
        <w:t>注：硫化氢及氨气在厂区内产生后立即收集处理，考虑环评最不利环评原则，最大暂存量以产生量计。</w:t>
      </w:r>
    </w:p>
    <w:p w14:paraId="62010F2F">
      <w:pPr>
        <w:pStyle w:val="99"/>
        <w:numPr>
          <w:ilvl w:val="0"/>
          <w:numId w:val="37"/>
        </w:numPr>
        <w:ind w:left="0" w:firstLineChars="0"/>
        <w:outlineLvl w:val="2"/>
        <w:rPr>
          <w:rFonts w:eastAsia="楷体"/>
          <w:b/>
          <w:bCs/>
          <w:sz w:val="28"/>
          <w:szCs w:val="28"/>
        </w:rPr>
      </w:pPr>
      <w:r>
        <w:rPr>
          <w:rFonts w:eastAsia="楷体"/>
          <w:b/>
          <w:bCs/>
          <w:sz w:val="28"/>
          <w:szCs w:val="28"/>
        </w:rPr>
        <w:t>环境敏感目标</w:t>
      </w:r>
    </w:p>
    <w:p w14:paraId="5DB07941">
      <w:pPr>
        <w:ind w:firstLine="480"/>
      </w:pPr>
      <w:r>
        <w:rPr>
          <w:kern w:val="2"/>
          <w:szCs w:val="24"/>
        </w:rPr>
        <w:t>本项目环境敏感目标分布详见下图。</w:t>
      </w:r>
    </w:p>
    <w:p w14:paraId="5628A421">
      <w:pPr>
        <w:spacing w:line="360" w:lineRule="auto"/>
        <w:ind w:firstLine="0" w:firstLineChars="0"/>
        <w:rPr>
          <w:highlight w:val="yellow"/>
        </w:rPr>
      </w:pPr>
      <w:r>
        <w:drawing>
          <wp:inline distT="0" distB="0" distL="0" distR="0">
            <wp:extent cx="5274310" cy="4965065"/>
            <wp:effectExtent l="0" t="0" r="2540" b="6985"/>
            <wp:docPr id="186554189"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4189" name="图片 1" descr="地图&#10;&#10;描述已自动生成"/>
                    <pic:cNvPicPr>
                      <a:picLocks noChangeAspect="1"/>
                    </pic:cNvPicPr>
                  </pic:nvPicPr>
                  <pic:blipFill>
                    <a:blip r:embed="rId145"/>
                    <a:stretch>
                      <a:fillRect/>
                    </a:stretch>
                  </pic:blipFill>
                  <pic:spPr>
                    <a:xfrm>
                      <a:off x="0" y="0"/>
                      <a:ext cx="5274310" cy="4965065"/>
                    </a:xfrm>
                    <a:prstGeom prst="rect">
                      <a:avLst/>
                    </a:prstGeom>
                  </pic:spPr>
                </pic:pic>
              </a:graphicData>
            </a:graphic>
          </wp:inline>
        </w:drawing>
      </w:r>
    </w:p>
    <w:p w14:paraId="702D66F1">
      <w:pPr>
        <w:pStyle w:val="99"/>
        <w:numPr>
          <w:ilvl w:val="0"/>
          <w:numId w:val="39"/>
        </w:numPr>
        <w:ind w:left="442" w:hanging="442" w:firstLineChars="0"/>
        <w:jc w:val="center"/>
        <w:rPr>
          <w:b/>
          <w:kern w:val="2"/>
          <w:szCs w:val="24"/>
          <w:u w:val="single"/>
        </w:rPr>
      </w:pPr>
      <w:r>
        <w:rPr>
          <w:rFonts w:hint="eastAsia"/>
          <w:b/>
          <w:kern w:val="2"/>
          <w:szCs w:val="24"/>
          <w:u w:val="single"/>
        </w:rPr>
        <w:t xml:space="preserve"> </w:t>
      </w:r>
      <w:r>
        <w:rPr>
          <w:b/>
          <w:kern w:val="2"/>
          <w:szCs w:val="24"/>
          <w:u w:val="single"/>
        </w:rPr>
        <w:t>项目环境敏感目标分布图</w:t>
      </w:r>
    </w:p>
    <w:p w14:paraId="18D32D67">
      <w:pPr>
        <w:ind w:firstLine="480"/>
        <w:rPr>
          <w:bCs/>
        </w:rPr>
      </w:pPr>
      <w:r>
        <w:rPr>
          <w:bCs/>
          <w:szCs w:val="24"/>
        </w:rPr>
        <w:t>本项目环境敏感特征见下表。</w:t>
      </w:r>
    </w:p>
    <w:p w14:paraId="78819A03">
      <w:pPr>
        <w:pStyle w:val="183"/>
        <w:numPr>
          <w:ilvl w:val="7"/>
          <w:numId w:val="38"/>
        </w:numPr>
        <w:ind w:left="0" w:firstLine="480" w:firstLineChars="200"/>
        <w:rPr>
          <w:rFonts w:ascii="Times New Roman" w:hAnsi="Times New Roman" w:cs="Times New Roman"/>
          <w:bCs w:val="0"/>
        </w:rPr>
      </w:pPr>
      <w:r>
        <w:rPr>
          <w:rFonts w:ascii="Times New Roman" w:hAnsi="Times New Roman" w:cs="Times New Roman"/>
          <w:bCs w:val="0"/>
        </w:rPr>
        <w:t xml:space="preserve">          项目环境敏感目标分布情况</w:t>
      </w:r>
    </w:p>
    <w:tbl>
      <w:tblPr>
        <w:tblStyle w:val="97"/>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49"/>
        <w:gridCol w:w="734"/>
        <w:gridCol w:w="1926"/>
        <w:gridCol w:w="1139"/>
        <w:gridCol w:w="143"/>
        <w:gridCol w:w="997"/>
        <w:gridCol w:w="1282"/>
        <w:gridCol w:w="1357"/>
      </w:tblGrid>
      <w:tr w14:paraId="611480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tcBorders>
              <w:tl2br w:val="nil"/>
              <w:tr2bl w:val="nil"/>
            </w:tcBorders>
            <w:vAlign w:val="center"/>
          </w:tcPr>
          <w:p w14:paraId="1EFE5DE0">
            <w:pPr>
              <w:spacing w:line="240" w:lineRule="auto"/>
              <w:ind w:firstLine="0" w:firstLineChars="0"/>
              <w:jc w:val="center"/>
              <w:rPr>
                <w:b/>
                <w:bCs/>
                <w:szCs w:val="22"/>
                <w:lang w:eastAsia="en-US"/>
              </w:rPr>
            </w:pPr>
            <w:r>
              <w:rPr>
                <w:b/>
                <w:bCs/>
                <w:spacing w:val="-2"/>
                <w:sz w:val="21"/>
                <w:szCs w:val="21"/>
                <w:lang w:eastAsia="en-US"/>
              </w:rPr>
              <w:t>类别</w:t>
            </w:r>
          </w:p>
        </w:tc>
        <w:tc>
          <w:tcPr>
            <w:tcW w:w="7541" w:type="dxa"/>
            <w:gridSpan w:val="7"/>
            <w:tcBorders>
              <w:tl2br w:val="nil"/>
              <w:tr2bl w:val="nil"/>
            </w:tcBorders>
            <w:vAlign w:val="center"/>
          </w:tcPr>
          <w:p w14:paraId="1F642CB9">
            <w:pPr>
              <w:spacing w:line="240" w:lineRule="auto"/>
              <w:ind w:firstLine="0" w:firstLineChars="0"/>
              <w:jc w:val="center"/>
              <w:rPr>
                <w:b/>
                <w:bCs/>
                <w:szCs w:val="22"/>
                <w:lang w:eastAsia="en-US"/>
              </w:rPr>
            </w:pPr>
            <w:r>
              <w:rPr>
                <w:b/>
                <w:bCs/>
                <w:spacing w:val="-1"/>
                <w:sz w:val="21"/>
                <w:szCs w:val="21"/>
                <w:lang w:eastAsia="en-US"/>
              </w:rPr>
              <w:t>环境敏感特征</w:t>
            </w:r>
          </w:p>
        </w:tc>
      </w:tr>
      <w:tr w14:paraId="45B0EF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restart"/>
            <w:tcBorders>
              <w:tl2br w:val="nil"/>
              <w:tr2bl w:val="nil"/>
            </w:tcBorders>
            <w:textDirection w:val="tbRlV"/>
            <w:vAlign w:val="center"/>
          </w:tcPr>
          <w:p w14:paraId="6A95C9FD">
            <w:pPr>
              <w:spacing w:line="240" w:lineRule="auto"/>
              <w:ind w:firstLine="0" w:firstLineChars="0"/>
              <w:jc w:val="center"/>
              <w:rPr>
                <w:szCs w:val="22"/>
                <w:lang w:eastAsia="en-US"/>
              </w:rPr>
            </w:pPr>
            <w:r>
              <w:rPr>
                <w:spacing w:val="34"/>
                <w:sz w:val="21"/>
                <w:szCs w:val="21"/>
                <w:lang w:eastAsia="en-US"/>
              </w:rPr>
              <w:t>环境空气</w:t>
            </w:r>
          </w:p>
        </w:tc>
        <w:tc>
          <w:tcPr>
            <w:tcW w:w="7541" w:type="dxa"/>
            <w:gridSpan w:val="7"/>
            <w:tcBorders>
              <w:tl2br w:val="nil"/>
              <w:tr2bl w:val="nil"/>
            </w:tcBorders>
            <w:vAlign w:val="center"/>
          </w:tcPr>
          <w:p w14:paraId="0F72E467">
            <w:pPr>
              <w:spacing w:line="240" w:lineRule="auto"/>
              <w:ind w:firstLine="0" w:firstLineChars="0"/>
              <w:jc w:val="center"/>
              <w:rPr>
                <w:b/>
                <w:bCs/>
                <w:szCs w:val="22"/>
                <w:lang w:eastAsia="en-US"/>
              </w:rPr>
            </w:pPr>
            <w:r>
              <w:rPr>
                <w:b/>
                <w:bCs/>
                <w:spacing w:val="2"/>
                <w:sz w:val="21"/>
                <w:szCs w:val="21"/>
                <w:lang w:eastAsia="en-US"/>
              </w:rPr>
              <w:t>厂址周边5</w:t>
            </w:r>
            <w:r>
              <w:rPr>
                <w:b/>
                <w:bCs/>
                <w:sz w:val="21"/>
                <w:szCs w:val="21"/>
                <w:lang w:eastAsia="en-US"/>
              </w:rPr>
              <w:t>km</w:t>
            </w:r>
            <w:r>
              <w:rPr>
                <w:b/>
                <w:bCs/>
                <w:spacing w:val="2"/>
                <w:sz w:val="21"/>
                <w:szCs w:val="21"/>
                <w:lang w:eastAsia="en-US"/>
              </w:rPr>
              <w:t>范围内</w:t>
            </w:r>
          </w:p>
        </w:tc>
      </w:tr>
      <w:tr w14:paraId="03BA66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2FE88D48">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0780C22D">
            <w:pPr>
              <w:spacing w:line="240" w:lineRule="auto"/>
              <w:ind w:firstLine="0" w:firstLineChars="0"/>
              <w:jc w:val="center"/>
              <w:rPr>
                <w:b/>
                <w:bCs/>
                <w:szCs w:val="22"/>
                <w:lang w:eastAsia="en-US"/>
              </w:rPr>
            </w:pPr>
            <w:r>
              <w:rPr>
                <w:b/>
                <w:bCs/>
                <w:spacing w:val="-2"/>
                <w:sz w:val="21"/>
                <w:szCs w:val="21"/>
                <w:lang w:eastAsia="en-US"/>
              </w:rPr>
              <w:t>序号</w:t>
            </w:r>
          </w:p>
        </w:tc>
        <w:tc>
          <w:tcPr>
            <w:tcW w:w="1917" w:type="dxa"/>
            <w:tcBorders>
              <w:tl2br w:val="nil"/>
              <w:tr2bl w:val="nil"/>
            </w:tcBorders>
            <w:vAlign w:val="center"/>
          </w:tcPr>
          <w:p w14:paraId="71A5E29B">
            <w:pPr>
              <w:spacing w:line="240" w:lineRule="auto"/>
              <w:ind w:firstLine="0" w:firstLineChars="0"/>
              <w:jc w:val="center"/>
              <w:rPr>
                <w:b/>
                <w:bCs/>
                <w:szCs w:val="22"/>
                <w:lang w:eastAsia="en-US"/>
              </w:rPr>
            </w:pPr>
            <w:r>
              <w:rPr>
                <w:b/>
                <w:bCs/>
                <w:spacing w:val="-1"/>
                <w:sz w:val="21"/>
                <w:szCs w:val="21"/>
                <w:lang w:eastAsia="en-US"/>
              </w:rPr>
              <w:t>敏感目标名称</w:t>
            </w:r>
          </w:p>
        </w:tc>
        <w:tc>
          <w:tcPr>
            <w:tcW w:w="1134" w:type="dxa"/>
            <w:tcBorders>
              <w:tl2br w:val="nil"/>
              <w:tr2bl w:val="nil"/>
            </w:tcBorders>
            <w:vAlign w:val="center"/>
          </w:tcPr>
          <w:p w14:paraId="03F33F3C">
            <w:pPr>
              <w:spacing w:line="240" w:lineRule="auto"/>
              <w:ind w:firstLine="0" w:firstLineChars="0"/>
              <w:jc w:val="center"/>
              <w:rPr>
                <w:b/>
                <w:bCs/>
                <w:szCs w:val="22"/>
                <w:lang w:eastAsia="en-US"/>
              </w:rPr>
            </w:pPr>
            <w:r>
              <w:rPr>
                <w:b/>
                <w:bCs/>
                <w:spacing w:val="-2"/>
                <w:sz w:val="21"/>
                <w:szCs w:val="21"/>
                <w:lang w:eastAsia="en-US"/>
              </w:rPr>
              <w:t>相对方位</w:t>
            </w:r>
          </w:p>
        </w:tc>
        <w:tc>
          <w:tcPr>
            <w:tcW w:w="1134" w:type="dxa"/>
            <w:gridSpan w:val="2"/>
            <w:tcBorders>
              <w:tl2br w:val="nil"/>
              <w:tr2bl w:val="nil"/>
            </w:tcBorders>
            <w:vAlign w:val="center"/>
          </w:tcPr>
          <w:p w14:paraId="25CD9C11">
            <w:pPr>
              <w:spacing w:line="240" w:lineRule="auto"/>
              <w:ind w:firstLine="0" w:firstLineChars="0"/>
              <w:jc w:val="center"/>
              <w:rPr>
                <w:b/>
                <w:bCs/>
                <w:szCs w:val="22"/>
                <w:lang w:eastAsia="en-US"/>
              </w:rPr>
            </w:pPr>
            <w:r>
              <w:rPr>
                <w:b/>
                <w:bCs/>
                <w:spacing w:val="-2"/>
                <w:sz w:val="21"/>
                <w:szCs w:val="21"/>
                <w:lang w:eastAsia="en-US"/>
              </w:rPr>
              <w:t>距离/m</w:t>
            </w:r>
          </w:p>
        </w:tc>
        <w:tc>
          <w:tcPr>
            <w:tcW w:w="1276" w:type="dxa"/>
            <w:tcBorders>
              <w:tl2br w:val="nil"/>
              <w:tr2bl w:val="nil"/>
            </w:tcBorders>
            <w:vAlign w:val="center"/>
          </w:tcPr>
          <w:p w14:paraId="5BE905A6">
            <w:pPr>
              <w:spacing w:line="240" w:lineRule="auto"/>
              <w:ind w:firstLine="0" w:firstLineChars="0"/>
              <w:jc w:val="center"/>
              <w:rPr>
                <w:b/>
                <w:bCs/>
                <w:szCs w:val="22"/>
                <w:lang w:eastAsia="en-US"/>
              </w:rPr>
            </w:pPr>
            <w:r>
              <w:rPr>
                <w:b/>
                <w:bCs/>
                <w:spacing w:val="-2"/>
                <w:sz w:val="21"/>
                <w:szCs w:val="21"/>
                <w:lang w:eastAsia="en-US"/>
              </w:rPr>
              <w:t>属性</w:t>
            </w:r>
          </w:p>
        </w:tc>
        <w:tc>
          <w:tcPr>
            <w:tcW w:w="1350" w:type="dxa"/>
            <w:tcBorders>
              <w:tl2br w:val="nil"/>
              <w:tr2bl w:val="nil"/>
            </w:tcBorders>
            <w:vAlign w:val="center"/>
          </w:tcPr>
          <w:p w14:paraId="158AAA77">
            <w:pPr>
              <w:spacing w:line="240" w:lineRule="auto"/>
              <w:ind w:firstLine="0" w:firstLineChars="0"/>
              <w:jc w:val="center"/>
              <w:rPr>
                <w:b/>
                <w:bCs/>
                <w:szCs w:val="22"/>
                <w:lang w:eastAsia="zh-CN"/>
              </w:rPr>
            </w:pPr>
            <w:r>
              <w:rPr>
                <w:b/>
                <w:bCs/>
                <w:spacing w:val="-2"/>
                <w:sz w:val="21"/>
                <w:szCs w:val="21"/>
                <w:lang w:eastAsia="en-US"/>
              </w:rPr>
              <w:t>人口数</w:t>
            </w:r>
            <w:r>
              <w:rPr>
                <w:rFonts w:hint="eastAsia"/>
                <w:b/>
                <w:bCs/>
                <w:spacing w:val="-2"/>
                <w:sz w:val="21"/>
                <w:szCs w:val="21"/>
                <w:lang w:eastAsia="zh-CN"/>
              </w:rPr>
              <w:t>/人</w:t>
            </w:r>
          </w:p>
        </w:tc>
      </w:tr>
      <w:tr w14:paraId="159D1C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20EA0439">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4CB0D014">
            <w:pPr>
              <w:pStyle w:val="62"/>
              <w:adjustRightInd w:val="0"/>
              <w:snapToGrid w:val="0"/>
              <w:contextualSpacing w:val="0"/>
              <w:rPr>
                <w:kern w:val="2"/>
                <w:lang w:eastAsia="en-US"/>
              </w:rPr>
            </w:pPr>
            <w:r>
              <w:rPr>
                <w:lang w:eastAsia="en-US"/>
              </w:rPr>
              <w:t>1</w:t>
            </w:r>
          </w:p>
        </w:tc>
        <w:tc>
          <w:tcPr>
            <w:tcW w:w="1917" w:type="dxa"/>
            <w:tcBorders>
              <w:tl2br w:val="nil"/>
              <w:tr2bl w:val="nil"/>
            </w:tcBorders>
            <w:vAlign w:val="center"/>
          </w:tcPr>
          <w:p w14:paraId="362B7325">
            <w:pPr>
              <w:pStyle w:val="62"/>
              <w:adjustRightInd w:val="0"/>
              <w:snapToGrid w:val="0"/>
              <w:contextualSpacing w:val="0"/>
              <w:rPr>
                <w:b/>
                <w:lang w:eastAsia="en-US"/>
              </w:rPr>
            </w:pPr>
            <w:r>
              <w:rPr>
                <w:rFonts w:hint="eastAsia"/>
                <w:lang w:eastAsia="zh-CN"/>
              </w:rPr>
              <w:t>代</w:t>
            </w:r>
            <w:r>
              <w:rPr>
                <w:rFonts w:hint="eastAsia"/>
                <w:lang w:eastAsia="en-US"/>
              </w:rPr>
              <w:t>庄村</w:t>
            </w:r>
          </w:p>
        </w:tc>
        <w:tc>
          <w:tcPr>
            <w:tcW w:w="1134" w:type="dxa"/>
            <w:tcBorders>
              <w:tl2br w:val="nil"/>
              <w:tr2bl w:val="nil"/>
            </w:tcBorders>
            <w:vAlign w:val="center"/>
          </w:tcPr>
          <w:p w14:paraId="3BED3127">
            <w:pPr>
              <w:pStyle w:val="62"/>
              <w:adjustRightInd w:val="0"/>
              <w:snapToGrid w:val="0"/>
              <w:contextualSpacing w:val="0"/>
              <w:rPr>
                <w:lang w:eastAsia="en-US"/>
              </w:rPr>
            </w:pPr>
            <w:r>
              <w:rPr>
                <w:rFonts w:hint="eastAsia"/>
                <w:lang w:eastAsia="zh-CN"/>
              </w:rPr>
              <w:t>西</w:t>
            </w:r>
          </w:p>
        </w:tc>
        <w:tc>
          <w:tcPr>
            <w:tcW w:w="1134" w:type="dxa"/>
            <w:gridSpan w:val="2"/>
            <w:tcBorders>
              <w:tl2br w:val="nil"/>
              <w:tr2bl w:val="nil"/>
            </w:tcBorders>
            <w:vAlign w:val="center"/>
          </w:tcPr>
          <w:p w14:paraId="15836F6D">
            <w:pPr>
              <w:pStyle w:val="62"/>
              <w:adjustRightInd w:val="0"/>
              <w:snapToGrid w:val="0"/>
              <w:contextualSpacing w:val="0"/>
              <w:rPr>
                <w:lang w:eastAsia="zh-CN"/>
              </w:rPr>
            </w:pPr>
            <w:r>
              <w:rPr>
                <w:rFonts w:hint="eastAsia"/>
                <w:lang w:eastAsia="zh-CN"/>
              </w:rPr>
              <w:t>830</w:t>
            </w:r>
          </w:p>
        </w:tc>
        <w:tc>
          <w:tcPr>
            <w:tcW w:w="1276" w:type="dxa"/>
            <w:tcBorders>
              <w:tl2br w:val="nil"/>
              <w:tr2bl w:val="nil"/>
            </w:tcBorders>
            <w:vAlign w:val="center"/>
          </w:tcPr>
          <w:p w14:paraId="6E565C4C">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021FB63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1690</w:t>
            </w:r>
          </w:p>
        </w:tc>
      </w:tr>
      <w:tr w14:paraId="7F9677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75CB074">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49EA2636">
            <w:pPr>
              <w:pStyle w:val="62"/>
              <w:adjustRightInd w:val="0"/>
              <w:snapToGrid w:val="0"/>
              <w:contextualSpacing w:val="0"/>
              <w:rPr>
                <w:kern w:val="2"/>
                <w:lang w:eastAsia="en-US"/>
              </w:rPr>
            </w:pPr>
            <w:r>
              <w:rPr>
                <w:lang w:eastAsia="en-US"/>
              </w:rPr>
              <w:t>2</w:t>
            </w:r>
          </w:p>
        </w:tc>
        <w:tc>
          <w:tcPr>
            <w:tcW w:w="1917" w:type="dxa"/>
            <w:tcBorders>
              <w:tl2br w:val="nil"/>
              <w:tr2bl w:val="nil"/>
            </w:tcBorders>
            <w:vAlign w:val="center"/>
          </w:tcPr>
          <w:p w14:paraId="36C8B7D0">
            <w:pPr>
              <w:pStyle w:val="62"/>
              <w:adjustRightInd w:val="0"/>
              <w:snapToGrid w:val="0"/>
              <w:contextualSpacing w:val="0"/>
              <w:rPr>
                <w:lang w:eastAsia="en-US"/>
              </w:rPr>
            </w:pPr>
            <w:r>
              <w:rPr>
                <w:rFonts w:hint="eastAsia"/>
                <w:lang w:eastAsia="zh-CN"/>
              </w:rPr>
              <w:t>仁里屯村</w:t>
            </w:r>
          </w:p>
        </w:tc>
        <w:tc>
          <w:tcPr>
            <w:tcW w:w="1134" w:type="dxa"/>
            <w:tcBorders>
              <w:tl2br w:val="nil"/>
              <w:tr2bl w:val="nil"/>
            </w:tcBorders>
            <w:vAlign w:val="center"/>
          </w:tcPr>
          <w:p w14:paraId="4D408A5E">
            <w:pPr>
              <w:pStyle w:val="62"/>
              <w:adjustRightInd w:val="0"/>
              <w:snapToGrid w:val="0"/>
              <w:contextualSpacing w:val="0"/>
              <w:rPr>
                <w:lang w:eastAsia="en-US"/>
              </w:rPr>
            </w:pPr>
            <w:r>
              <w:rPr>
                <w:rFonts w:hint="eastAsia"/>
                <w:lang w:eastAsia="zh-CN"/>
              </w:rPr>
              <w:t>西南</w:t>
            </w:r>
          </w:p>
        </w:tc>
        <w:tc>
          <w:tcPr>
            <w:tcW w:w="1134" w:type="dxa"/>
            <w:gridSpan w:val="2"/>
            <w:tcBorders>
              <w:tl2br w:val="nil"/>
              <w:tr2bl w:val="nil"/>
            </w:tcBorders>
            <w:vAlign w:val="center"/>
          </w:tcPr>
          <w:p w14:paraId="40090FE4">
            <w:pPr>
              <w:pStyle w:val="62"/>
              <w:adjustRightInd w:val="0"/>
              <w:snapToGrid w:val="0"/>
              <w:contextualSpacing w:val="0"/>
              <w:rPr>
                <w:lang w:eastAsia="zh-CN"/>
              </w:rPr>
            </w:pPr>
            <w:r>
              <w:rPr>
                <w:rFonts w:hint="eastAsia"/>
                <w:lang w:eastAsia="zh-CN"/>
              </w:rPr>
              <w:t>640</w:t>
            </w:r>
          </w:p>
        </w:tc>
        <w:tc>
          <w:tcPr>
            <w:tcW w:w="1276" w:type="dxa"/>
            <w:tcBorders>
              <w:tl2br w:val="nil"/>
              <w:tr2bl w:val="nil"/>
            </w:tcBorders>
            <w:vAlign w:val="center"/>
          </w:tcPr>
          <w:p w14:paraId="36B36C34">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1C4AE095">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1900</w:t>
            </w:r>
          </w:p>
        </w:tc>
      </w:tr>
      <w:tr w14:paraId="7EC33F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A813AEB">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ABE16EC">
            <w:pPr>
              <w:pStyle w:val="62"/>
              <w:adjustRightInd w:val="0"/>
              <w:snapToGrid w:val="0"/>
              <w:contextualSpacing w:val="0"/>
              <w:rPr>
                <w:kern w:val="2"/>
                <w:lang w:eastAsia="en-US"/>
              </w:rPr>
            </w:pPr>
            <w:r>
              <w:rPr>
                <w:lang w:eastAsia="en-US"/>
              </w:rPr>
              <w:t>3</w:t>
            </w:r>
          </w:p>
        </w:tc>
        <w:tc>
          <w:tcPr>
            <w:tcW w:w="1917" w:type="dxa"/>
            <w:tcBorders>
              <w:tl2br w:val="nil"/>
              <w:tr2bl w:val="nil"/>
            </w:tcBorders>
            <w:vAlign w:val="center"/>
          </w:tcPr>
          <w:p w14:paraId="49823580">
            <w:pPr>
              <w:pStyle w:val="62"/>
              <w:adjustRightInd w:val="0"/>
              <w:snapToGrid w:val="0"/>
              <w:contextualSpacing w:val="0"/>
              <w:rPr>
                <w:lang w:eastAsia="en-US"/>
              </w:rPr>
            </w:pPr>
            <w:r>
              <w:rPr>
                <w:rFonts w:hint="eastAsia"/>
                <w:lang w:eastAsia="zh-CN"/>
              </w:rPr>
              <w:t>田庄</w:t>
            </w:r>
            <w:r>
              <w:rPr>
                <w:lang w:eastAsia="en-US"/>
              </w:rPr>
              <w:t>村</w:t>
            </w:r>
          </w:p>
        </w:tc>
        <w:tc>
          <w:tcPr>
            <w:tcW w:w="1134" w:type="dxa"/>
            <w:tcBorders>
              <w:tl2br w:val="nil"/>
              <w:tr2bl w:val="nil"/>
            </w:tcBorders>
            <w:vAlign w:val="center"/>
          </w:tcPr>
          <w:p w14:paraId="234B3A35">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1804BA67">
            <w:pPr>
              <w:pStyle w:val="62"/>
              <w:adjustRightInd w:val="0"/>
              <w:snapToGrid w:val="0"/>
              <w:contextualSpacing w:val="0"/>
              <w:rPr>
                <w:lang w:eastAsia="zh-CN"/>
              </w:rPr>
            </w:pPr>
            <w:r>
              <w:rPr>
                <w:rFonts w:hint="eastAsia"/>
                <w:lang w:eastAsia="zh-CN"/>
              </w:rPr>
              <w:t>1700</w:t>
            </w:r>
          </w:p>
        </w:tc>
        <w:tc>
          <w:tcPr>
            <w:tcW w:w="1276" w:type="dxa"/>
            <w:tcBorders>
              <w:tl2br w:val="nil"/>
              <w:tr2bl w:val="nil"/>
            </w:tcBorders>
            <w:vAlign w:val="center"/>
          </w:tcPr>
          <w:p w14:paraId="086FCF46">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446F5957">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2505</w:t>
            </w:r>
          </w:p>
        </w:tc>
      </w:tr>
      <w:tr w14:paraId="5CBC3D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235BF373">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1997428B">
            <w:pPr>
              <w:pStyle w:val="62"/>
              <w:adjustRightInd w:val="0"/>
              <w:snapToGrid w:val="0"/>
              <w:contextualSpacing w:val="0"/>
              <w:rPr>
                <w:kern w:val="2"/>
                <w:lang w:eastAsia="en-US"/>
              </w:rPr>
            </w:pPr>
            <w:r>
              <w:rPr>
                <w:lang w:eastAsia="en-US"/>
              </w:rPr>
              <w:t>4</w:t>
            </w:r>
          </w:p>
        </w:tc>
        <w:tc>
          <w:tcPr>
            <w:tcW w:w="1917" w:type="dxa"/>
            <w:tcBorders>
              <w:tl2br w:val="nil"/>
              <w:tr2bl w:val="nil"/>
            </w:tcBorders>
            <w:vAlign w:val="center"/>
          </w:tcPr>
          <w:p w14:paraId="5AE09813">
            <w:pPr>
              <w:pStyle w:val="62"/>
              <w:adjustRightInd w:val="0"/>
              <w:snapToGrid w:val="0"/>
              <w:contextualSpacing w:val="0"/>
              <w:rPr>
                <w:lang w:eastAsia="zh-CN"/>
              </w:rPr>
            </w:pPr>
            <w:r>
              <w:rPr>
                <w:rFonts w:hint="eastAsia"/>
                <w:lang w:eastAsia="zh-CN"/>
              </w:rPr>
              <w:t>双兰村</w:t>
            </w:r>
          </w:p>
        </w:tc>
        <w:tc>
          <w:tcPr>
            <w:tcW w:w="1134" w:type="dxa"/>
            <w:tcBorders>
              <w:tl2br w:val="nil"/>
              <w:tr2bl w:val="nil"/>
            </w:tcBorders>
            <w:vAlign w:val="center"/>
          </w:tcPr>
          <w:p w14:paraId="7536F8FA">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58FA741F">
            <w:pPr>
              <w:pStyle w:val="62"/>
              <w:adjustRightInd w:val="0"/>
              <w:snapToGrid w:val="0"/>
              <w:contextualSpacing w:val="0"/>
              <w:rPr>
                <w:lang w:eastAsia="zh-CN"/>
              </w:rPr>
            </w:pPr>
            <w:r>
              <w:rPr>
                <w:rFonts w:hint="eastAsia"/>
                <w:lang w:eastAsia="zh-CN"/>
              </w:rPr>
              <w:t>2060</w:t>
            </w:r>
          </w:p>
        </w:tc>
        <w:tc>
          <w:tcPr>
            <w:tcW w:w="1276" w:type="dxa"/>
            <w:tcBorders>
              <w:tl2br w:val="nil"/>
              <w:tr2bl w:val="nil"/>
            </w:tcBorders>
            <w:vAlign w:val="center"/>
          </w:tcPr>
          <w:p w14:paraId="1B45B948">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5CE1C7D6">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w:t>
            </w:r>
            <w:r>
              <w:rPr>
                <w:rFonts w:ascii="Times New Roman" w:hAnsi="Times New Roman" w:cs="Times New Roman"/>
                <w:color w:val="auto"/>
                <w:lang w:eastAsia="zh-CN"/>
              </w:rPr>
              <w:t>868</w:t>
            </w:r>
          </w:p>
        </w:tc>
      </w:tr>
      <w:tr w14:paraId="7761C7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3CA07721">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7306F225">
            <w:pPr>
              <w:pStyle w:val="62"/>
              <w:adjustRightInd w:val="0"/>
              <w:snapToGrid w:val="0"/>
              <w:contextualSpacing w:val="0"/>
              <w:rPr>
                <w:kern w:val="2"/>
                <w:lang w:eastAsia="en-US"/>
              </w:rPr>
            </w:pPr>
            <w:r>
              <w:rPr>
                <w:lang w:eastAsia="en-US"/>
              </w:rPr>
              <w:t>5</w:t>
            </w:r>
          </w:p>
        </w:tc>
        <w:tc>
          <w:tcPr>
            <w:tcW w:w="1917" w:type="dxa"/>
            <w:tcBorders>
              <w:tl2br w:val="nil"/>
              <w:tr2bl w:val="nil"/>
            </w:tcBorders>
            <w:vAlign w:val="center"/>
          </w:tcPr>
          <w:p w14:paraId="6C846861">
            <w:pPr>
              <w:pStyle w:val="62"/>
              <w:adjustRightInd w:val="0"/>
              <w:snapToGrid w:val="0"/>
              <w:contextualSpacing w:val="0"/>
              <w:rPr>
                <w:lang w:eastAsia="en-US"/>
              </w:rPr>
            </w:pPr>
            <w:r>
              <w:rPr>
                <w:rFonts w:hint="eastAsia"/>
                <w:lang w:eastAsia="zh-CN"/>
              </w:rPr>
              <w:t>班庄</w:t>
            </w:r>
          </w:p>
        </w:tc>
        <w:tc>
          <w:tcPr>
            <w:tcW w:w="1134" w:type="dxa"/>
            <w:tcBorders>
              <w:tl2br w:val="nil"/>
              <w:tr2bl w:val="nil"/>
            </w:tcBorders>
            <w:vAlign w:val="center"/>
          </w:tcPr>
          <w:p w14:paraId="2EA543A8">
            <w:pPr>
              <w:pStyle w:val="62"/>
              <w:adjustRightInd w:val="0"/>
              <w:snapToGrid w:val="0"/>
              <w:contextualSpacing w:val="0"/>
              <w:rPr>
                <w:highlight w:val="yellow"/>
                <w:lang w:eastAsia="en-US"/>
              </w:rPr>
            </w:pPr>
            <w:r>
              <w:rPr>
                <w:rFonts w:hint="eastAsia"/>
                <w:lang w:eastAsia="zh-CN"/>
              </w:rPr>
              <w:t>西北</w:t>
            </w:r>
          </w:p>
        </w:tc>
        <w:tc>
          <w:tcPr>
            <w:tcW w:w="1134" w:type="dxa"/>
            <w:gridSpan w:val="2"/>
            <w:tcBorders>
              <w:tl2br w:val="nil"/>
              <w:tr2bl w:val="nil"/>
            </w:tcBorders>
            <w:vAlign w:val="center"/>
          </w:tcPr>
          <w:p w14:paraId="15214599">
            <w:pPr>
              <w:pStyle w:val="62"/>
              <w:adjustRightInd w:val="0"/>
              <w:snapToGrid w:val="0"/>
              <w:contextualSpacing w:val="0"/>
              <w:rPr>
                <w:lang w:eastAsia="zh-CN"/>
              </w:rPr>
            </w:pPr>
            <w:r>
              <w:rPr>
                <w:rFonts w:hint="eastAsia"/>
                <w:lang w:eastAsia="zh-CN"/>
              </w:rPr>
              <w:t>1890</w:t>
            </w:r>
          </w:p>
        </w:tc>
        <w:tc>
          <w:tcPr>
            <w:tcW w:w="1276" w:type="dxa"/>
            <w:tcBorders>
              <w:tl2br w:val="nil"/>
              <w:tr2bl w:val="nil"/>
            </w:tcBorders>
            <w:vAlign w:val="center"/>
          </w:tcPr>
          <w:p w14:paraId="3877AF96">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6297DF63">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1750</w:t>
            </w:r>
          </w:p>
        </w:tc>
      </w:tr>
      <w:tr w14:paraId="39CA83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7D261733">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3954F2D8">
            <w:pPr>
              <w:pStyle w:val="62"/>
              <w:adjustRightInd w:val="0"/>
              <w:snapToGrid w:val="0"/>
              <w:contextualSpacing w:val="0"/>
              <w:rPr>
                <w:lang w:eastAsia="en-US"/>
              </w:rPr>
            </w:pPr>
            <w:r>
              <w:rPr>
                <w:lang w:eastAsia="en-US"/>
              </w:rPr>
              <w:t>6</w:t>
            </w:r>
          </w:p>
        </w:tc>
        <w:tc>
          <w:tcPr>
            <w:tcW w:w="1917" w:type="dxa"/>
            <w:tcBorders>
              <w:tl2br w:val="nil"/>
              <w:tr2bl w:val="nil"/>
            </w:tcBorders>
            <w:vAlign w:val="center"/>
          </w:tcPr>
          <w:p w14:paraId="0AF510EE">
            <w:pPr>
              <w:pStyle w:val="62"/>
              <w:adjustRightInd w:val="0"/>
              <w:snapToGrid w:val="0"/>
              <w:contextualSpacing w:val="0"/>
              <w:rPr>
                <w:lang w:eastAsia="en-US"/>
              </w:rPr>
            </w:pPr>
            <w:r>
              <w:rPr>
                <w:rFonts w:hint="eastAsia"/>
                <w:bCs/>
                <w:lang w:eastAsia="zh-CN"/>
              </w:rPr>
              <w:t>郭全屯村</w:t>
            </w:r>
          </w:p>
        </w:tc>
        <w:tc>
          <w:tcPr>
            <w:tcW w:w="1134" w:type="dxa"/>
            <w:tcBorders>
              <w:tl2br w:val="nil"/>
              <w:tr2bl w:val="nil"/>
            </w:tcBorders>
            <w:vAlign w:val="center"/>
          </w:tcPr>
          <w:p w14:paraId="7697205F">
            <w:pPr>
              <w:pStyle w:val="62"/>
              <w:adjustRightInd w:val="0"/>
              <w:snapToGrid w:val="0"/>
              <w:contextualSpacing w:val="0"/>
              <w:rPr>
                <w:lang w:eastAsia="en-US"/>
              </w:rPr>
            </w:pPr>
            <w:r>
              <w:rPr>
                <w:rFonts w:hint="eastAsia"/>
                <w:lang w:eastAsia="zh-CN"/>
              </w:rPr>
              <w:t>西北</w:t>
            </w:r>
          </w:p>
        </w:tc>
        <w:tc>
          <w:tcPr>
            <w:tcW w:w="1134" w:type="dxa"/>
            <w:gridSpan w:val="2"/>
            <w:tcBorders>
              <w:tl2br w:val="nil"/>
              <w:tr2bl w:val="nil"/>
            </w:tcBorders>
            <w:vAlign w:val="center"/>
          </w:tcPr>
          <w:p w14:paraId="1EC1D945">
            <w:pPr>
              <w:pStyle w:val="62"/>
              <w:adjustRightInd w:val="0"/>
              <w:snapToGrid w:val="0"/>
              <w:contextualSpacing w:val="0"/>
              <w:rPr>
                <w:lang w:eastAsia="en-US"/>
              </w:rPr>
            </w:pPr>
            <w:r>
              <w:rPr>
                <w:rFonts w:hint="eastAsia"/>
                <w:lang w:eastAsia="zh-CN"/>
              </w:rPr>
              <w:t>800</w:t>
            </w:r>
          </w:p>
        </w:tc>
        <w:tc>
          <w:tcPr>
            <w:tcW w:w="1276" w:type="dxa"/>
            <w:tcBorders>
              <w:tl2br w:val="nil"/>
              <w:tr2bl w:val="nil"/>
            </w:tcBorders>
            <w:vAlign w:val="center"/>
          </w:tcPr>
          <w:p w14:paraId="0DB8F02E">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0AE2CC76">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1400</w:t>
            </w:r>
          </w:p>
        </w:tc>
      </w:tr>
      <w:tr w14:paraId="0FB71B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292CBE55">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348E8019">
            <w:pPr>
              <w:pStyle w:val="62"/>
              <w:adjustRightInd w:val="0"/>
              <w:snapToGrid w:val="0"/>
              <w:contextualSpacing w:val="0"/>
              <w:rPr>
                <w:lang w:eastAsia="en-US"/>
              </w:rPr>
            </w:pPr>
            <w:r>
              <w:rPr>
                <w:lang w:eastAsia="en-US"/>
              </w:rPr>
              <w:t>7</w:t>
            </w:r>
          </w:p>
        </w:tc>
        <w:tc>
          <w:tcPr>
            <w:tcW w:w="1917" w:type="dxa"/>
            <w:tcBorders>
              <w:tl2br w:val="nil"/>
              <w:tr2bl w:val="nil"/>
            </w:tcBorders>
            <w:vAlign w:val="center"/>
          </w:tcPr>
          <w:p w14:paraId="59D501EB">
            <w:pPr>
              <w:pStyle w:val="62"/>
              <w:adjustRightInd w:val="0"/>
              <w:snapToGrid w:val="0"/>
              <w:contextualSpacing w:val="0"/>
              <w:rPr>
                <w:lang w:eastAsia="en-US"/>
              </w:rPr>
            </w:pPr>
            <w:r>
              <w:rPr>
                <w:rFonts w:hint="eastAsia"/>
                <w:bCs/>
                <w:lang w:eastAsia="zh-CN"/>
              </w:rPr>
              <w:t>郝庄村</w:t>
            </w:r>
          </w:p>
        </w:tc>
        <w:tc>
          <w:tcPr>
            <w:tcW w:w="1134" w:type="dxa"/>
            <w:tcBorders>
              <w:tl2br w:val="nil"/>
              <w:tr2bl w:val="nil"/>
            </w:tcBorders>
            <w:vAlign w:val="center"/>
          </w:tcPr>
          <w:p w14:paraId="5BB76F1C">
            <w:pPr>
              <w:pStyle w:val="62"/>
              <w:adjustRightInd w:val="0"/>
              <w:snapToGrid w:val="0"/>
              <w:contextualSpacing w:val="0"/>
              <w:rPr>
                <w:lang w:eastAsia="en-US"/>
              </w:rPr>
            </w:pPr>
            <w:r>
              <w:rPr>
                <w:rFonts w:hint="eastAsia"/>
                <w:lang w:eastAsia="zh-CN"/>
              </w:rPr>
              <w:t>东北</w:t>
            </w:r>
          </w:p>
        </w:tc>
        <w:tc>
          <w:tcPr>
            <w:tcW w:w="1134" w:type="dxa"/>
            <w:gridSpan w:val="2"/>
            <w:tcBorders>
              <w:tl2br w:val="nil"/>
              <w:tr2bl w:val="nil"/>
            </w:tcBorders>
            <w:vAlign w:val="center"/>
          </w:tcPr>
          <w:p w14:paraId="272E5DBD">
            <w:pPr>
              <w:pStyle w:val="62"/>
              <w:adjustRightInd w:val="0"/>
              <w:snapToGrid w:val="0"/>
              <w:contextualSpacing w:val="0"/>
              <w:rPr>
                <w:lang w:eastAsia="en-US"/>
              </w:rPr>
            </w:pPr>
            <w:r>
              <w:rPr>
                <w:rFonts w:hint="eastAsia"/>
                <w:lang w:eastAsia="zh-CN"/>
              </w:rPr>
              <w:t>2485</w:t>
            </w:r>
          </w:p>
        </w:tc>
        <w:tc>
          <w:tcPr>
            <w:tcW w:w="1276" w:type="dxa"/>
            <w:tcBorders>
              <w:tl2br w:val="nil"/>
              <w:tr2bl w:val="nil"/>
            </w:tcBorders>
            <w:vAlign w:val="center"/>
          </w:tcPr>
          <w:p w14:paraId="38CEE9F6">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74F25516">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1365</w:t>
            </w:r>
          </w:p>
        </w:tc>
      </w:tr>
      <w:tr w14:paraId="278724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7E9BC7F2">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39528D3E">
            <w:pPr>
              <w:pStyle w:val="62"/>
              <w:adjustRightInd w:val="0"/>
              <w:snapToGrid w:val="0"/>
              <w:contextualSpacing w:val="0"/>
              <w:rPr>
                <w:lang w:eastAsia="en-US"/>
              </w:rPr>
            </w:pPr>
            <w:r>
              <w:rPr>
                <w:lang w:eastAsia="en-US"/>
              </w:rPr>
              <w:t>8</w:t>
            </w:r>
          </w:p>
        </w:tc>
        <w:tc>
          <w:tcPr>
            <w:tcW w:w="1917" w:type="dxa"/>
            <w:tcBorders>
              <w:tl2br w:val="nil"/>
              <w:tr2bl w:val="nil"/>
            </w:tcBorders>
            <w:vAlign w:val="center"/>
          </w:tcPr>
          <w:p w14:paraId="2F0166F4">
            <w:pPr>
              <w:pStyle w:val="62"/>
              <w:adjustRightInd w:val="0"/>
              <w:snapToGrid w:val="0"/>
              <w:contextualSpacing w:val="0"/>
              <w:rPr>
                <w:lang w:eastAsia="en-US"/>
              </w:rPr>
            </w:pPr>
            <w:r>
              <w:rPr>
                <w:rFonts w:hint="eastAsia"/>
                <w:bCs/>
                <w:lang w:eastAsia="zh-CN"/>
              </w:rPr>
              <w:t>阮庄</w:t>
            </w:r>
          </w:p>
        </w:tc>
        <w:tc>
          <w:tcPr>
            <w:tcW w:w="1134" w:type="dxa"/>
            <w:tcBorders>
              <w:tl2br w:val="nil"/>
              <w:tr2bl w:val="nil"/>
            </w:tcBorders>
            <w:vAlign w:val="center"/>
          </w:tcPr>
          <w:p w14:paraId="63D779E7">
            <w:pPr>
              <w:pStyle w:val="62"/>
              <w:adjustRightInd w:val="0"/>
              <w:snapToGrid w:val="0"/>
              <w:contextualSpacing w:val="0"/>
              <w:rPr>
                <w:lang w:eastAsia="en-US"/>
              </w:rPr>
            </w:pPr>
            <w:r>
              <w:rPr>
                <w:rFonts w:hint="eastAsia"/>
                <w:lang w:eastAsia="zh-CN"/>
              </w:rPr>
              <w:t>东北</w:t>
            </w:r>
          </w:p>
        </w:tc>
        <w:tc>
          <w:tcPr>
            <w:tcW w:w="1134" w:type="dxa"/>
            <w:gridSpan w:val="2"/>
            <w:tcBorders>
              <w:tl2br w:val="nil"/>
              <w:tr2bl w:val="nil"/>
            </w:tcBorders>
            <w:vAlign w:val="center"/>
          </w:tcPr>
          <w:p w14:paraId="5C6C75E6">
            <w:pPr>
              <w:pStyle w:val="62"/>
              <w:adjustRightInd w:val="0"/>
              <w:snapToGrid w:val="0"/>
              <w:contextualSpacing w:val="0"/>
              <w:rPr>
                <w:lang w:eastAsia="en-US"/>
              </w:rPr>
            </w:pPr>
            <w:r>
              <w:rPr>
                <w:rFonts w:hint="eastAsia"/>
                <w:lang w:eastAsia="zh-CN"/>
              </w:rPr>
              <w:t>1570</w:t>
            </w:r>
          </w:p>
        </w:tc>
        <w:tc>
          <w:tcPr>
            <w:tcW w:w="1276" w:type="dxa"/>
            <w:tcBorders>
              <w:tl2br w:val="nil"/>
              <w:tr2bl w:val="nil"/>
            </w:tcBorders>
            <w:vAlign w:val="center"/>
          </w:tcPr>
          <w:p w14:paraId="47F3D05F">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6F8DA1DA">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460</w:t>
            </w:r>
          </w:p>
        </w:tc>
      </w:tr>
      <w:tr w14:paraId="630777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681CA40">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3C38BEEF">
            <w:pPr>
              <w:pStyle w:val="62"/>
              <w:adjustRightInd w:val="0"/>
              <w:snapToGrid w:val="0"/>
              <w:contextualSpacing w:val="0"/>
              <w:rPr>
                <w:lang w:eastAsia="en-US"/>
              </w:rPr>
            </w:pPr>
            <w:r>
              <w:rPr>
                <w:lang w:eastAsia="en-US"/>
              </w:rPr>
              <w:t>9</w:t>
            </w:r>
          </w:p>
        </w:tc>
        <w:tc>
          <w:tcPr>
            <w:tcW w:w="1917" w:type="dxa"/>
            <w:tcBorders>
              <w:tl2br w:val="nil"/>
              <w:tr2bl w:val="nil"/>
            </w:tcBorders>
            <w:vAlign w:val="center"/>
          </w:tcPr>
          <w:p w14:paraId="6801ADD0">
            <w:pPr>
              <w:pStyle w:val="62"/>
              <w:adjustRightInd w:val="0"/>
              <w:snapToGrid w:val="0"/>
              <w:contextualSpacing w:val="0"/>
              <w:rPr>
                <w:lang w:eastAsia="en-US"/>
              </w:rPr>
            </w:pPr>
            <w:r>
              <w:rPr>
                <w:rFonts w:hint="eastAsia"/>
                <w:bCs/>
                <w:lang w:eastAsia="zh-CN"/>
              </w:rPr>
              <w:t>八里屯村</w:t>
            </w:r>
          </w:p>
        </w:tc>
        <w:tc>
          <w:tcPr>
            <w:tcW w:w="1134" w:type="dxa"/>
            <w:tcBorders>
              <w:tl2br w:val="nil"/>
              <w:tr2bl w:val="nil"/>
            </w:tcBorders>
            <w:vAlign w:val="center"/>
          </w:tcPr>
          <w:p w14:paraId="23760059">
            <w:pPr>
              <w:pStyle w:val="62"/>
              <w:adjustRightInd w:val="0"/>
              <w:snapToGrid w:val="0"/>
              <w:contextualSpacing w:val="0"/>
              <w:rPr>
                <w:lang w:eastAsia="en-US"/>
              </w:rPr>
            </w:pPr>
            <w:r>
              <w:rPr>
                <w:rFonts w:hint="eastAsia"/>
                <w:lang w:eastAsia="zh-CN"/>
              </w:rPr>
              <w:t>东北</w:t>
            </w:r>
          </w:p>
        </w:tc>
        <w:tc>
          <w:tcPr>
            <w:tcW w:w="1134" w:type="dxa"/>
            <w:gridSpan w:val="2"/>
            <w:tcBorders>
              <w:tl2br w:val="nil"/>
              <w:tr2bl w:val="nil"/>
            </w:tcBorders>
            <w:vAlign w:val="center"/>
          </w:tcPr>
          <w:p w14:paraId="00F80C82">
            <w:pPr>
              <w:pStyle w:val="62"/>
              <w:adjustRightInd w:val="0"/>
              <w:snapToGrid w:val="0"/>
              <w:contextualSpacing w:val="0"/>
              <w:rPr>
                <w:lang w:eastAsia="en-US"/>
              </w:rPr>
            </w:pPr>
            <w:r>
              <w:rPr>
                <w:rFonts w:hint="eastAsia"/>
                <w:lang w:eastAsia="zh-CN"/>
              </w:rPr>
              <w:t>1930</w:t>
            </w:r>
          </w:p>
        </w:tc>
        <w:tc>
          <w:tcPr>
            <w:tcW w:w="1276" w:type="dxa"/>
            <w:tcBorders>
              <w:tl2br w:val="nil"/>
              <w:tr2bl w:val="nil"/>
            </w:tcBorders>
            <w:vAlign w:val="center"/>
          </w:tcPr>
          <w:p w14:paraId="47049737">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1629F778">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2298</w:t>
            </w:r>
          </w:p>
        </w:tc>
      </w:tr>
      <w:tr w14:paraId="761051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307CAF31">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3A59BF8C">
            <w:pPr>
              <w:pStyle w:val="62"/>
              <w:adjustRightInd w:val="0"/>
              <w:snapToGrid w:val="0"/>
              <w:contextualSpacing w:val="0"/>
              <w:rPr>
                <w:kern w:val="2"/>
                <w:lang w:eastAsia="en-US"/>
              </w:rPr>
            </w:pPr>
            <w:r>
              <w:rPr>
                <w:lang w:eastAsia="en-US"/>
              </w:rPr>
              <w:t>10</w:t>
            </w:r>
          </w:p>
        </w:tc>
        <w:tc>
          <w:tcPr>
            <w:tcW w:w="1917" w:type="dxa"/>
            <w:tcBorders>
              <w:tl2br w:val="nil"/>
              <w:tr2bl w:val="nil"/>
            </w:tcBorders>
            <w:vAlign w:val="center"/>
          </w:tcPr>
          <w:p w14:paraId="2016220C">
            <w:pPr>
              <w:pStyle w:val="62"/>
              <w:adjustRightInd w:val="0"/>
              <w:snapToGrid w:val="0"/>
              <w:contextualSpacing w:val="0"/>
              <w:rPr>
                <w:lang w:eastAsia="en-US"/>
              </w:rPr>
            </w:pPr>
            <w:r>
              <w:rPr>
                <w:rFonts w:hint="eastAsia"/>
                <w:bCs/>
                <w:lang w:eastAsia="zh-CN"/>
              </w:rPr>
              <w:t>电机厂家属院</w:t>
            </w:r>
          </w:p>
        </w:tc>
        <w:tc>
          <w:tcPr>
            <w:tcW w:w="1134" w:type="dxa"/>
            <w:tcBorders>
              <w:tl2br w:val="nil"/>
              <w:tr2bl w:val="nil"/>
            </w:tcBorders>
            <w:vAlign w:val="center"/>
          </w:tcPr>
          <w:p w14:paraId="0C24E514">
            <w:pPr>
              <w:pStyle w:val="62"/>
              <w:adjustRightInd w:val="0"/>
              <w:snapToGrid w:val="0"/>
              <w:contextualSpacing w:val="0"/>
              <w:rPr>
                <w:highlight w:val="yellow"/>
                <w:lang w:eastAsia="en-US"/>
              </w:rPr>
            </w:pPr>
            <w:r>
              <w:rPr>
                <w:rFonts w:hint="eastAsia"/>
                <w:lang w:eastAsia="zh-CN"/>
              </w:rPr>
              <w:t>东北</w:t>
            </w:r>
          </w:p>
        </w:tc>
        <w:tc>
          <w:tcPr>
            <w:tcW w:w="1134" w:type="dxa"/>
            <w:gridSpan w:val="2"/>
            <w:tcBorders>
              <w:tl2br w:val="nil"/>
              <w:tr2bl w:val="nil"/>
            </w:tcBorders>
            <w:vAlign w:val="center"/>
          </w:tcPr>
          <w:p w14:paraId="7E74E503">
            <w:pPr>
              <w:pStyle w:val="62"/>
              <w:adjustRightInd w:val="0"/>
              <w:snapToGrid w:val="0"/>
              <w:contextualSpacing w:val="0"/>
              <w:rPr>
                <w:lang w:eastAsia="zh-CN"/>
              </w:rPr>
            </w:pPr>
            <w:r>
              <w:rPr>
                <w:rFonts w:hint="eastAsia"/>
                <w:lang w:eastAsia="zh-CN"/>
              </w:rPr>
              <w:t>2380</w:t>
            </w:r>
          </w:p>
        </w:tc>
        <w:tc>
          <w:tcPr>
            <w:tcW w:w="1276" w:type="dxa"/>
            <w:tcBorders>
              <w:tl2br w:val="nil"/>
              <w:tr2bl w:val="nil"/>
            </w:tcBorders>
            <w:vAlign w:val="center"/>
          </w:tcPr>
          <w:p w14:paraId="65829F7F">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5F2DAB45">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2456</w:t>
            </w:r>
          </w:p>
        </w:tc>
      </w:tr>
      <w:tr w14:paraId="45346D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6B1865FA">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220D1598">
            <w:pPr>
              <w:pStyle w:val="62"/>
              <w:adjustRightInd w:val="0"/>
              <w:snapToGrid w:val="0"/>
              <w:contextualSpacing w:val="0"/>
              <w:rPr>
                <w:kern w:val="2"/>
                <w:lang w:eastAsia="en-US"/>
              </w:rPr>
            </w:pPr>
            <w:r>
              <w:rPr>
                <w:lang w:eastAsia="en-US"/>
              </w:rPr>
              <w:t>11</w:t>
            </w:r>
          </w:p>
        </w:tc>
        <w:tc>
          <w:tcPr>
            <w:tcW w:w="1917" w:type="dxa"/>
            <w:tcBorders>
              <w:tl2br w:val="nil"/>
              <w:tr2bl w:val="nil"/>
            </w:tcBorders>
            <w:vAlign w:val="center"/>
          </w:tcPr>
          <w:p w14:paraId="6B021FBD">
            <w:pPr>
              <w:pStyle w:val="62"/>
              <w:adjustRightInd w:val="0"/>
              <w:snapToGrid w:val="0"/>
              <w:contextualSpacing w:val="0"/>
              <w:rPr>
                <w:lang w:eastAsia="en-US"/>
              </w:rPr>
            </w:pPr>
            <w:r>
              <w:rPr>
                <w:rFonts w:hint="eastAsia"/>
                <w:bCs/>
                <w:lang w:eastAsia="zh-CN"/>
              </w:rPr>
              <w:t>天和 龙岸北郡</w:t>
            </w:r>
          </w:p>
        </w:tc>
        <w:tc>
          <w:tcPr>
            <w:tcW w:w="1134" w:type="dxa"/>
            <w:tcBorders>
              <w:tl2br w:val="nil"/>
              <w:tr2bl w:val="nil"/>
            </w:tcBorders>
            <w:vAlign w:val="center"/>
          </w:tcPr>
          <w:p w14:paraId="4B88865A">
            <w:pPr>
              <w:pStyle w:val="62"/>
              <w:adjustRightInd w:val="0"/>
              <w:snapToGrid w:val="0"/>
              <w:contextualSpacing w:val="0"/>
              <w:rPr>
                <w:highlight w:val="yellow"/>
                <w:lang w:eastAsia="en-US"/>
              </w:rPr>
            </w:pPr>
            <w:r>
              <w:rPr>
                <w:rFonts w:hint="eastAsia"/>
                <w:lang w:eastAsia="zh-CN"/>
              </w:rPr>
              <w:t>北</w:t>
            </w:r>
          </w:p>
        </w:tc>
        <w:tc>
          <w:tcPr>
            <w:tcW w:w="1134" w:type="dxa"/>
            <w:gridSpan w:val="2"/>
            <w:tcBorders>
              <w:tl2br w:val="nil"/>
              <w:tr2bl w:val="nil"/>
            </w:tcBorders>
            <w:vAlign w:val="center"/>
          </w:tcPr>
          <w:p w14:paraId="4F970BBA">
            <w:pPr>
              <w:pStyle w:val="62"/>
              <w:adjustRightInd w:val="0"/>
              <w:snapToGrid w:val="0"/>
              <w:contextualSpacing w:val="0"/>
              <w:rPr>
                <w:lang w:eastAsia="zh-CN"/>
              </w:rPr>
            </w:pPr>
            <w:r>
              <w:rPr>
                <w:rFonts w:hint="eastAsia"/>
                <w:lang w:eastAsia="zh-CN"/>
              </w:rPr>
              <w:t>2500</w:t>
            </w:r>
          </w:p>
        </w:tc>
        <w:tc>
          <w:tcPr>
            <w:tcW w:w="1276" w:type="dxa"/>
            <w:tcBorders>
              <w:tl2br w:val="nil"/>
              <w:tr2bl w:val="nil"/>
            </w:tcBorders>
            <w:vAlign w:val="center"/>
          </w:tcPr>
          <w:p w14:paraId="70A9C106">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3B5EF6F2">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2835</w:t>
            </w:r>
          </w:p>
        </w:tc>
      </w:tr>
      <w:tr w14:paraId="6E145A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765C4D8">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663D44BE">
            <w:pPr>
              <w:pStyle w:val="62"/>
              <w:adjustRightInd w:val="0"/>
              <w:snapToGrid w:val="0"/>
              <w:contextualSpacing w:val="0"/>
              <w:rPr>
                <w:kern w:val="2"/>
                <w:lang w:eastAsia="en-US"/>
              </w:rPr>
            </w:pPr>
            <w:r>
              <w:rPr>
                <w:lang w:eastAsia="en-US"/>
              </w:rPr>
              <w:t>12</w:t>
            </w:r>
          </w:p>
        </w:tc>
        <w:tc>
          <w:tcPr>
            <w:tcW w:w="1917" w:type="dxa"/>
            <w:tcBorders>
              <w:tl2br w:val="nil"/>
              <w:tr2bl w:val="nil"/>
            </w:tcBorders>
            <w:vAlign w:val="center"/>
          </w:tcPr>
          <w:p w14:paraId="578328A7">
            <w:pPr>
              <w:pStyle w:val="62"/>
              <w:adjustRightInd w:val="0"/>
              <w:snapToGrid w:val="0"/>
              <w:contextualSpacing w:val="0"/>
              <w:rPr>
                <w:lang w:eastAsia="en-US"/>
              </w:rPr>
            </w:pPr>
            <w:r>
              <w:rPr>
                <w:rFonts w:hint="eastAsia"/>
                <w:bCs/>
                <w:lang w:eastAsia="zh-CN"/>
              </w:rPr>
              <w:t>辛庄村</w:t>
            </w:r>
          </w:p>
        </w:tc>
        <w:tc>
          <w:tcPr>
            <w:tcW w:w="1134" w:type="dxa"/>
            <w:tcBorders>
              <w:tl2br w:val="nil"/>
              <w:tr2bl w:val="nil"/>
            </w:tcBorders>
            <w:vAlign w:val="center"/>
          </w:tcPr>
          <w:p w14:paraId="5DBB83A1">
            <w:pPr>
              <w:pStyle w:val="62"/>
              <w:adjustRightInd w:val="0"/>
              <w:snapToGrid w:val="0"/>
              <w:contextualSpacing w:val="0"/>
              <w:rPr>
                <w:lang w:eastAsia="en-US"/>
              </w:rPr>
            </w:pPr>
            <w:r>
              <w:rPr>
                <w:rFonts w:hint="eastAsia"/>
                <w:lang w:eastAsia="zh-CN"/>
              </w:rPr>
              <w:t>东</w:t>
            </w:r>
          </w:p>
        </w:tc>
        <w:tc>
          <w:tcPr>
            <w:tcW w:w="1134" w:type="dxa"/>
            <w:gridSpan w:val="2"/>
            <w:tcBorders>
              <w:tl2br w:val="nil"/>
              <w:tr2bl w:val="nil"/>
            </w:tcBorders>
            <w:vAlign w:val="center"/>
          </w:tcPr>
          <w:p w14:paraId="7DB5A614">
            <w:pPr>
              <w:pStyle w:val="62"/>
              <w:adjustRightInd w:val="0"/>
              <w:snapToGrid w:val="0"/>
              <w:contextualSpacing w:val="0"/>
              <w:rPr>
                <w:lang w:eastAsia="zh-CN"/>
              </w:rPr>
            </w:pPr>
            <w:r>
              <w:rPr>
                <w:rFonts w:hint="eastAsia"/>
                <w:lang w:eastAsia="zh-CN"/>
              </w:rPr>
              <w:t>1570</w:t>
            </w:r>
          </w:p>
        </w:tc>
        <w:tc>
          <w:tcPr>
            <w:tcW w:w="1276" w:type="dxa"/>
            <w:tcBorders>
              <w:tl2br w:val="nil"/>
              <w:tr2bl w:val="nil"/>
            </w:tcBorders>
            <w:vAlign w:val="center"/>
          </w:tcPr>
          <w:p w14:paraId="3CB1515D">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798B3F9D">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2900</w:t>
            </w:r>
          </w:p>
        </w:tc>
      </w:tr>
      <w:tr w14:paraId="03EF44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1DD83388">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0A3DA4E1">
            <w:pPr>
              <w:pStyle w:val="62"/>
              <w:adjustRightInd w:val="0"/>
              <w:snapToGrid w:val="0"/>
              <w:contextualSpacing w:val="0"/>
              <w:rPr>
                <w:kern w:val="2"/>
                <w:lang w:eastAsia="en-US"/>
              </w:rPr>
            </w:pPr>
            <w:r>
              <w:rPr>
                <w:lang w:eastAsia="en-US"/>
              </w:rPr>
              <w:t>13</w:t>
            </w:r>
          </w:p>
        </w:tc>
        <w:tc>
          <w:tcPr>
            <w:tcW w:w="1917" w:type="dxa"/>
            <w:tcBorders>
              <w:tl2br w:val="nil"/>
              <w:tr2bl w:val="nil"/>
            </w:tcBorders>
            <w:vAlign w:val="center"/>
          </w:tcPr>
          <w:p w14:paraId="79EAEF40">
            <w:pPr>
              <w:pStyle w:val="62"/>
              <w:adjustRightInd w:val="0"/>
              <w:snapToGrid w:val="0"/>
              <w:contextualSpacing w:val="0"/>
              <w:rPr>
                <w:kern w:val="2"/>
                <w:lang w:eastAsia="en-US"/>
              </w:rPr>
            </w:pPr>
            <w:r>
              <w:rPr>
                <w:rFonts w:hint="eastAsia"/>
                <w:lang w:eastAsia="zh-CN"/>
              </w:rPr>
              <w:t>卫辉市区</w:t>
            </w:r>
          </w:p>
        </w:tc>
        <w:tc>
          <w:tcPr>
            <w:tcW w:w="1134" w:type="dxa"/>
            <w:tcBorders>
              <w:tl2br w:val="nil"/>
              <w:tr2bl w:val="nil"/>
            </w:tcBorders>
            <w:vAlign w:val="center"/>
          </w:tcPr>
          <w:p w14:paraId="44E96E33">
            <w:pPr>
              <w:pStyle w:val="62"/>
              <w:adjustRightInd w:val="0"/>
              <w:snapToGrid w:val="0"/>
              <w:contextualSpacing w:val="0"/>
              <w:rPr>
                <w:lang w:eastAsia="en-US"/>
              </w:rPr>
            </w:pPr>
            <w:r>
              <w:rPr>
                <w:rFonts w:hint="eastAsia"/>
                <w:lang w:eastAsia="zh-CN"/>
              </w:rPr>
              <w:t>东南</w:t>
            </w:r>
          </w:p>
        </w:tc>
        <w:tc>
          <w:tcPr>
            <w:tcW w:w="1134" w:type="dxa"/>
            <w:gridSpan w:val="2"/>
            <w:tcBorders>
              <w:tl2br w:val="nil"/>
              <w:tr2bl w:val="nil"/>
            </w:tcBorders>
            <w:vAlign w:val="center"/>
          </w:tcPr>
          <w:p w14:paraId="4A356F6C">
            <w:pPr>
              <w:pStyle w:val="62"/>
              <w:adjustRightInd w:val="0"/>
              <w:snapToGrid w:val="0"/>
              <w:contextualSpacing w:val="0"/>
              <w:rPr>
                <w:lang w:eastAsia="zh-CN"/>
              </w:rPr>
            </w:pPr>
            <w:r>
              <w:rPr>
                <w:rFonts w:hint="eastAsia"/>
                <w:lang w:eastAsia="zh-CN"/>
              </w:rPr>
              <w:t>1870</w:t>
            </w:r>
          </w:p>
        </w:tc>
        <w:tc>
          <w:tcPr>
            <w:tcW w:w="1276" w:type="dxa"/>
            <w:tcBorders>
              <w:tl2br w:val="nil"/>
              <w:tr2bl w:val="nil"/>
            </w:tcBorders>
            <w:vAlign w:val="center"/>
          </w:tcPr>
          <w:p w14:paraId="7F00545A">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4AB103E5">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231800</w:t>
            </w:r>
          </w:p>
        </w:tc>
      </w:tr>
      <w:tr w14:paraId="61777D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D157AF6">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0C1AE219">
            <w:pPr>
              <w:pStyle w:val="62"/>
              <w:adjustRightInd w:val="0"/>
              <w:snapToGrid w:val="0"/>
              <w:contextualSpacing w:val="0"/>
              <w:rPr>
                <w:kern w:val="2"/>
                <w:lang w:eastAsia="en-US"/>
              </w:rPr>
            </w:pPr>
            <w:r>
              <w:rPr>
                <w:lang w:eastAsia="en-US"/>
              </w:rPr>
              <w:t>14</w:t>
            </w:r>
          </w:p>
        </w:tc>
        <w:tc>
          <w:tcPr>
            <w:tcW w:w="1917" w:type="dxa"/>
            <w:tcBorders>
              <w:tl2br w:val="nil"/>
              <w:tr2bl w:val="nil"/>
            </w:tcBorders>
            <w:vAlign w:val="center"/>
          </w:tcPr>
          <w:p w14:paraId="7E608B6E">
            <w:pPr>
              <w:pStyle w:val="62"/>
              <w:adjustRightInd w:val="0"/>
              <w:snapToGrid w:val="0"/>
              <w:contextualSpacing w:val="0"/>
              <w:rPr>
                <w:bCs/>
                <w:lang w:eastAsia="zh-CN"/>
              </w:rPr>
            </w:pPr>
            <w:r>
              <w:rPr>
                <w:rFonts w:hint="eastAsia"/>
                <w:lang w:eastAsia="zh-CN"/>
              </w:rPr>
              <w:t>新乡医学院第一附属医院</w:t>
            </w:r>
          </w:p>
        </w:tc>
        <w:tc>
          <w:tcPr>
            <w:tcW w:w="1134" w:type="dxa"/>
            <w:tcBorders>
              <w:tl2br w:val="nil"/>
              <w:tr2bl w:val="nil"/>
            </w:tcBorders>
            <w:vAlign w:val="center"/>
          </w:tcPr>
          <w:p w14:paraId="58D1FD8F">
            <w:pPr>
              <w:pStyle w:val="62"/>
              <w:adjustRightInd w:val="0"/>
              <w:snapToGrid w:val="0"/>
              <w:contextualSpacing w:val="0"/>
              <w:rPr>
                <w:highlight w:val="yellow"/>
                <w:lang w:eastAsia="en-US"/>
              </w:rPr>
            </w:pPr>
            <w:r>
              <w:rPr>
                <w:rFonts w:hint="eastAsia"/>
                <w:lang w:eastAsia="zh-CN"/>
              </w:rPr>
              <w:t>东南</w:t>
            </w:r>
          </w:p>
        </w:tc>
        <w:tc>
          <w:tcPr>
            <w:tcW w:w="1134" w:type="dxa"/>
            <w:gridSpan w:val="2"/>
            <w:tcBorders>
              <w:tl2br w:val="nil"/>
              <w:tr2bl w:val="nil"/>
            </w:tcBorders>
            <w:vAlign w:val="center"/>
          </w:tcPr>
          <w:p w14:paraId="0AF947DF">
            <w:pPr>
              <w:pStyle w:val="62"/>
              <w:adjustRightInd w:val="0"/>
              <w:snapToGrid w:val="0"/>
              <w:contextualSpacing w:val="0"/>
              <w:rPr>
                <w:lang w:eastAsia="zh-CN"/>
              </w:rPr>
            </w:pPr>
            <w:r>
              <w:rPr>
                <w:rFonts w:hint="eastAsia"/>
                <w:lang w:eastAsia="zh-CN"/>
              </w:rPr>
              <w:t>2400</w:t>
            </w:r>
          </w:p>
        </w:tc>
        <w:tc>
          <w:tcPr>
            <w:tcW w:w="1276" w:type="dxa"/>
            <w:tcBorders>
              <w:tl2br w:val="nil"/>
              <w:tr2bl w:val="nil"/>
            </w:tcBorders>
            <w:vAlign w:val="center"/>
          </w:tcPr>
          <w:p w14:paraId="1846DF3A">
            <w:pPr>
              <w:pStyle w:val="62"/>
              <w:adjustRightInd w:val="0"/>
              <w:snapToGrid w:val="0"/>
              <w:contextualSpacing w:val="0"/>
              <w:rPr>
                <w:lang w:eastAsia="en-US"/>
              </w:rPr>
            </w:pPr>
            <w:r>
              <w:rPr>
                <w:rFonts w:hint="eastAsia"/>
                <w:lang w:eastAsia="zh-CN"/>
              </w:rPr>
              <w:t>医疗卫生</w:t>
            </w:r>
            <w:r>
              <w:rPr>
                <w:lang w:eastAsia="en-US"/>
              </w:rPr>
              <w:t>区</w:t>
            </w:r>
          </w:p>
        </w:tc>
        <w:tc>
          <w:tcPr>
            <w:tcW w:w="1350" w:type="dxa"/>
            <w:tcBorders>
              <w:tl2br w:val="nil"/>
              <w:tr2bl w:val="nil"/>
            </w:tcBorders>
            <w:vAlign w:val="center"/>
          </w:tcPr>
          <w:p w14:paraId="71EE63CC">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10744</w:t>
            </w:r>
          </w:p>
        </w:tc>
      </w:tr>
      <w:tr w14:paraId="241814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0298743">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1436F733">
            <w:pPr>
              <w:pStyle w:val="62"/>
              <w:adjustRightInd w:val="0"/>
              <w:snapToGrid w:val="0"/>
              <w:contextualSpacing w:val="0"/>
              <w:rPr>
                <w:kern w:val="2"/>
                <w:lang w:eastAsia="en-US"/>
              </w:rPr>
            </w:pPr>
            <w:r>
              <w:rPr>
                <w:lang w:eastAsia="en-US"/>
              </w:rPr>
              <w:t>15</w:t>
            </w:r>
          </w:p>
        </w:tc>
        <w:tc>
          <w:tcPr>
            <w:tcW w:w="1917" w:type="dxa"/>
            <w:tcBorders>
              <w:tl2br w:val="nil"/>
              <w:tr2bl w:val="nil"/>
            </w:tcBorders>
            <w:vAlign w:val="center"/>
          </w:tcPr>
          <w:p w14:paraId="1BB61B8C">
            <w:pPr>
              <w:pStyle w:val="62"/>
              <w:adjustRightInd w:val="0"/>
              <w:snapToGrid w:val="0"/>
              <w:contextualSpacing w:val="0"/>
              <w:rPr>
                <w:bCs/>
                <w:u w:val="single"/>
                <w:lang w:eastAsia="en-US"/>
              </w:rPr>
            </w:pPr>
            <w:r>
              <w:rPr>
                <w:rFonts w:hint="eastAsia"/>
                <w:u w:val="single"/>
                <w:lang w:eastAsia="zh-CN"/>
              </w:rPr>
              <w:t>下园村</w:t>
            </w:r>
          </w:p>
        </w:tc>
        <w:tc>
          <w:tcPr>
            <w:tcW w:w="1134" w:type="dxa"/>
            <w:tcBorders>
              <w:tl2br w:val="nil"/>
              <w:tr2bl w:val="nil"/>
            </w:tcBorders>
            <w:vAlign w:val="center"/>
          </w:tcPr>
          <w:p w14:paraId="344B904B">
            <w:pPr>
              <w:pStyle w:val="62"/>
              <w:adjustRightInd w:val="0"/>
              <w:snapToGrid w:val="0"/>
              <w:contextualSpacing w:val="0"/>
              <w:rPr>
                <w:highlight w:val="yellow"/>
                <w:lang w:eastAsia="en-US"/>
              </w:rPr>
            </w:pPr>
            <w:r>
              <w:rPr>
                <w:rFonts w:hint="eastAsia"/>
                <w:lang w:eastAsia="zh-CN"/>
              </w:rPr>
              <w:t>东南</w:t>
            </w:r>
          </w:p>
        </w:tc>
        <w:tc>
          <w:tcPr>
            <w:tcW w:w="1134" w:type="dxa"/>
            <w:gridSpan w:val="2"/>
            <w:tcBorders>
              <w:tl2br w:val="nil"/>
              <w:tr2bl w:val="nil"/>
            </w:tcBorders>
            <w:vAlign w:val="center"/>
          </w:tcPr>
          <w:p w14:paraId="51EB5D32">
            <w:pPr>
              <w:pStyle w:val="62"/>
              <w:adjustRightInd w:val="0"/>
              <w:snapToGrid w:val="0"/>
              <w:contextualSpacing w:val="0"/>
              <w:rPr>
                <w:u w:val="single"/>
                <w:lang w:eastAsia="zh-CN"/>
              </w:rPr>
            </w:pPr>
            <w:r>
              <w:rPr>
                <w:rFonts w:hint="eastAsia"/>
                <w:u w:val="single"/>
                <w:lang w:eastAsia="zh-CN"/>
              </w:rPr>
              <w:t>580</w:t>
            </w:r>
          </w:p>
        </w:tc>
        <w:tc>
          <w:tcPr>
            <w:tcW w:w="1276" w:type="dxa"/>
            <w:tcBorders>
              <w:tl2br w:val="nil"/>
              <w:tr2bl w:val="nil"/>
            </w:tcBorders>
            <w:vAlign w:val="center"/>
          </w:tcPr>
          <w:p w14:paraId="4D6319BC">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6DDF2194">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2098</w:t>
            </w:r>
          </w:p>
        </w:tc>
      </w:tr>
      <w:tr w14:paraId="27C324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ACE44F3">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66380CB8">
            <w:pPr>
              <w:pStyle w:val="62"/>
              <w:adjustRightInd w:val="0"/>
              <w:snapToGrid w:val="0"/>
              <w:contextualSpacing w:val="0"/>
              <w:rPr>
                <w:lang w:eastAsia="en-US"/>
              </w:rPr>
            </w:pPr>
            <w:r>
              <w:rPr>
                <w:lang w:eastAsia="en-US"/>
              </w:rPr>
              <w:t>16</w:t>
            </w:r>
          </w:p>
        </w:tc>
        <w:tc>
          <w:tcPr>
            <w:tcW w:w="1917" w:type="dxa"/>
            <w:tcBorders>
              <w:tl2br w:val="nil"/>
              <w:tr2bl w:val="nil"/>
            </w:tcBorders>
            <w:vAlign w:val="center"/>
          </w:tcPr>
          <w:p w14:paraId="0F4CE502">
            <w:pPr>
              <w:pStyle w:val="62"/>
              <w:adjustRightInd w:val="0"/>
              <w:snapToGrid w:val="0"/>
              <w:contextualSpacing w:val="0"/>
              <w:rPr>
                <w:u w:val="single"/>
                <w:lang w:eastAsia="en-US"/>
              </w:rPr>
            </w:pPr>
            <w:r>
              <w:rPr>
                <w:rFonts w:hint="eastAsia"/>
                <w:u w:val="single"/>
                <w:lang w:eastAsia="en-US"/>
              </w:rPr>
              <w:t>龙王庙</w:t>
            </w:r>
          </w:p>
        </w:tc>
        <w:tc>
          <w:tcPr>
            <w:tcW w:w="1134" w:type="dxa"/>
            <w:tcBorders>
              <w:tl2br w:val="nil"/>
              <w:tr2bl w:val="nil"/>
            </w:tcBorders>
            <w:vAlign w:val="center"/>
          </w:tcPr>
          <w:p w14:paraId="13FA425D">
            <w:pPr>
              <w:pStyle w:val="62"/>
              <w:adjustRightInd w:val="0"/>
              <w:snapToGrid w:val="0"/>
              <w:contextualSpacing w:val="0"/>
              <w:rPr>
                <w:lang w:eastAsia="en-US"/>
              </w:rPr>
            </w:pPr>
            <w:r>
              <w:rPr>
                <w:rFonts w:hint="eastAsia"/>
                <w:lang w:eastAsia="en-US"/>
              </w:rPr>
              <w:t>东南</w:t>
            </w:r>
          </w:p>
        </w:tc>
        <w:tc>
          <w:tcPr>
            <w:tcW w:w="1134" w:type="dxa"/>
            <w:gridSpan w:val="2"/>
            <w:tcBorders>
              <w:tl2br w:val="nil"/>
              <w:tr2bl w:val="nil"/>
            </w:tcBorders>
            <w:vAlign w:val="center"/>
          </w:tcPr>
          <w:p w14:paraId="02D0ABF3">
            <w:pPr>
              <w:pStyle w:val="62"/>
              <w:adjustRightInd w:val="0"/>
              <w:snapToGrid w:val="0"/>
              <w:contextualSpacing w:val="0"/>
              <w:rPr>
                <w:u w:val="single"/>
                <w:lang w:eastAsia="zh-CN"/>
              </w:rPr>
            </w:pPr>
            <w:r>
              <w:rPr>
                <w:rFonts w:hint="eastAsia"/>
                <w:u w:val="single"/>
                <w:lang w:eastAsia="zh-CN"/>
              </w:rPr>
              <w:t>770</w:t>
            </w:r>
          </w:p>
        </w:tc>
        <w:tc>
          <w:tcPr>
            <w:tcW w:w="1276" w:type="dxa"/>
            <w:tcBorders>
              <w:tl2br w:val="nil"/>
              <w:tr2bl w:val="nil"/>
            </w:tcBorders>
            <w:vAlign w:val="center"/>
          </w:tcPr>
          <w:p w14:paraId="1A614BAB">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21A0900E">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450</w:t>
            </w:r>
          </w:p>
        </w:tc>
      </w:tr>
      <w:tr w14:paraId="351D0D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4620405">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3F40F621">
            <w:pPr>
              <w:pStyle w:val="62"/>
              <w:adjustRightInd w:val="0"/>
              <w:snapToGrid w:val="0"/>
              <w:contextualSpacing w:val="0"/>
              <w:rPr>
                <w:kern w:val="2"/>
                <w:lang w:eastAsia="en-US"/>
              </w:rPr>
            </w:pPr>
            <w:r>
              <w:rPr>
                <w:lang w:eastAsia="en-US"/>
              </w:rPr>
              <w:t>17</w:t>
            </w:r>
          </w:p>
        </w:tc>
        <w:tc>
          <w:tcPr>
            <w:tcW w:w="1917" w:type="dxa"/>
            <w:tcBorders>
              <w:tl2br w:val="nil"/>
              <w:tr2bl w:val="nil"/>
            </w:tcBorders>
            <w:vAlign w:val="center"/>
          </w:tcPr>
          <w:p w14:paraId="3A2F2050">
            <w:pPr>
              <w:pStyle w:val="62"/>
              <w:adjustRightInd w:val="0"/>
              <w:snapToGrid w:val="0"/>
              <w:contextualSpacing w:val="0"/>
              <w:rPr>
                <w:bCs/>
                <w:lang w:eastAsia="en-US"/>
              </w:rPr>
            </w:pPr>
            <w:r>
              <w:rPr>
                <w:rFonts w:hint="eastAsia"/>
                <w:bCs/>
                <w:lang w:eastAsia="zh-CN"/>
              </w:rPr>
              <w:t>侯庄村</w:t>
            </w:r>
          </w:p>
        </w:tc>
        <w:tc>
          <w:tcPr>
            <w:tcW w:w="1134" w:type="dxa"/>
            <w:tcBorders>
              <w:tl2br w:val="nil"/>
              <w:tr2bl w:val="nil"/>
            </w:tcBorders>
            <w:vAlign w:val="center"/>
          </w:tcPr>
          <w:p w14:paraId="3CF76C1D">
            <w:pPr>
              <w:pStyle w:val="62"/>
              <w:adjustRightInd w:val="0"/>
              <w:snapToGrid w:val="0"/>
              <w:contextualSpacing w:val="0"/>
              <w:rPr>
                <w:highlight w:val="yellow"/>
                <w:lang w:eastAsia="en-US"/>
              </w:rPr>
            </w:pPr>
            <w:r>
              <w:rPr>
                <w:rFonts w:hint="eastAsia"/>
                <w:lang w:eastAsia="zh-CN"/>
              </w:rPr>
              <w:t>西北</w:t>
            </w:r>
          </w:p>
        </w:tc>
        <w:tc>
          <w:tcPr>
            <w:tcW w:w="1134" w:type="dxa"/>
            <w:gridSpan w:val="2"/>
            <w:tcBorders>
              <w:tl2br w:val="nil"/>
              <w:tr2bl w:val="nil"/>
            </w:tcBorders>
            <w:vAlign w:val="center"/>
          </w:tcPr>
          <w:p w14:paraId="7AFB6036">
            <w:pPr>
              <w:pStyle w:val="62"/>
              <w:adjustRightInd w:val="0"/>
              <w:snapToGrid w:val="0"/>
              <w:contextualSpacing w:val="0"/>
              <w:rPr>
                <w:lang w:eastAsia="zh-CN"/>
              </w:rPr>
            </w:pPr>
            <w:r>
              <w:rPr>
                <w:rFonts w:hint="eastAsia"/>
                <w:lang w:eastAsia="zh-CN"/>
              </w:rPr>
              <w:t>2985</w:t>
            </w:r>
          </w:p>
        </w:tc>
        <w:tc>
          <w:tcPr>
            <w:tcW w:w="1276" w:type="dxa"/>
            <w:tcBorders>
              <w:tl2br w:val="nil"/>
              <w:tr2bl w:val="nil"/>
            </w:tcBorders>
            <w:vAlign w:val="center"/>
          </w:tcPr>
          <w:p w14:paraId="18A6E2FE">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555EE8FD">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600</w:t>
            </w:r>
          </w:p>
        </w:tc>
      </w:tr>
      <w:tr w14:paraId="396AD4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36897439">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23C8EC4">
            <w:pPr>
              <w:pStyle w:val="62"/>
              <w:adjustRightInd w:val="0"/>
              <w:snapToGrid w:val="0"/>
              <w:contextualSpacing w:val="0"/>
              <w:rPr>
                <w:kern w:val="2"/>
                <w:lang w:eastAsia="en-US"/>
              </w:rPr>
            </w:pPr>
            <w:r>
              <w:rPr>
                <w:lang w:eastAsia="en-US"/>
              </w:rPr>
              <w:t>18</w:t>
            </w:r>
          </w:p>
        </w:tc>
        <w:tc>
          <w:tcPr>
            <w:tcW w:w="1917" w:type="dxa"/>
            <w:tcBorders>
              <w:tl2br w:val="nil"/>
              <w:tr2bl w:val="nil"/>
            </w:tcBorders>
            <w:vAlign w:val="center"/>
          </w:tcPr>
          <w:p w14:paraId="783DC9CB">
            <w:pPr>
              <w:pStyle w:val="62"/>
              <w:adjustRightInd w:val="0"/>
              <w:snapToGrid w:val="0"/>
              <w:contextualSpacing w:val="0"/>
              <w:rPr>
                <w:bCs/>
                <w:lang w:eastAsia="en-US"/>
              </w:rPr>
            </w:pPr>
            <w:r>
              <w:rPr>
                <w:rFonts w:hint="eastAsia"/>
                <w:bCs/>
                <w:lang w:eastAsia="zh-CN"/>
              </w:rPr>
              <w:t>岗曹村</w:t>
            </w:r>
          </w:p>
        </w:tc>
        <w:tc>
          <w:tcPr>
            <w:tcW w:w="1134" w:type="dxa"/>
            <w:tcBorders>
              <w:tl2br w:val="nil"/>
              <w:tr2bl w:val="nil"/>
            </w:tcBorders>
            <w:vAlign w:val="center"/>
          </w:tcPr>
          <w:p w14:paraId="757373B8">
            <w:pPr>
              <w:pStyle w:val="62"/>
              <w:adjustRightInd w:val="0"/>
              <w:snapToGrid w:val="0"/>
              <w:contextualSpacing w:val="0"/>
              <w:rPr>
                <w:highlight w:val="yellow"/>
                <w:lang w:eastAsia="en-US"/>
              </w:rPr>
            </w:pPr>
            <w:r>
              <w:rPr>
                <w:rFonts w:hint="eastAsia"/>
                <w:lang w:eastAsia="zh-CN"/>
              </w:rPr>
              <w:t>西北</w:t>
            </w:r>
          </w:p>
        </w:tc>
        <w:tc>
          <w:tcPr>
            <w:tcW w:w="1134" w:type="dxa"/>
            <w:gridSpan w:val="2"/>
            <w:tcBorders>
              <w:tl2br w:val="nil"/>
              <w:tr2bl w:val="nil"/>
            </w:tcBorders>
            <w:vAlign w:val="center"/>
          </w:tcPr>
          <w:p w14:paraId="692B4729">
            <w:pPr>
              <w:pStyle w:val="62"/>
              <w:adjustRightInd w:val="0"/>
              <w:snapToGrid w:val="0"/>
              <w:contextualSpacing w:val="0"/>
              <w:rPr>
                <w:lang w:eastAsia="zh-CN"/>
              </w:rPr>
            </w:pPr>
            <w:r>
              <w:rPr>
                <w:rFonts w:hint="eastAsia"/>
                <w:lang w:eastAsia="zh-CN"/>
              </w:rPr>
              <w:t>2655</w:t>
            </w:r>
          </w:p>
        </w:tc>
        <w:tc>
          <w:tcPr>
            <w:tcW w:w="1276" w:type="dxa"/>
            <w:tcBorders>
              <w:tl2br w:val="nil"/>
              <w:tr2bl w:val="nil"/>
            </w:tcBorders>
            <w:vAlign w:val="center"/>
          </w:tcPr>
          <w:p w14:paraId="3C55F0B2">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47FFBFB8">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1524</w:t>
            </w:r>
          </w:p>
        </w:tc>
      </w:tr>
      <w:tr w14:paraId="563D48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526BF5B6">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12BE1D10">
            <w:pPr>
              <w:pStyle w:val="62"/>
              <w:adjustRightInd w:val="0"/>
              <w:snapToGrid w:val="0"/>
              <w:contextualSpacing w:val="0"/>
              <w:rPr>
                <w:kern w:val="2"/>
                <w:lang w:eastAsia="en-US"/>
              </w:rPr>
            </w:pPr>
            <w:r>
              <w:rPr>
                <w:lang w:eastAsia="en-US"/>
              </w:rPr>
              <w:t>19</w:t>
            </w:r>
          </w:p>
        </w:tc>
        <w:tc>
          <w:tcPr>
            <w:tcW w:w="1917" w:type="dxa"/>
            <w:tcBorders>
              <w:tl2br w:val="nil"/>
              <w:tr2bl w:val="nil"/>
            </w:tcBorders>
            <w:vAlign w:val="center"/>
          </w:tcPr>
          <w:p w14:paraId="226DAF67">
            <w:pPr>
              <w:pStyle w:val="62"/>
              <w:adjustRightInd w:val="0"/>
              <w:snapToGrid w:val="0"/>
              <w:contextualSpacing w:val="0"/>
              <w:rPr>
                <w:bCs/>
                <w:lang w:eastAsia="en-US"/>
              </w:rPr>
            </w:pPr>
            <w:r>
              <w:rPr>
                <w:rFonts w:hint="eastAsia"/>
                <w:lang w:eastAsia="zh-CN"/>
              </w:rPr>
              <w:t>官庄村</w:t>
            </w:r>
          </w:p>
        </w:tc>
        <w:tc>
          <w:tcPr>
            <w:tcW w:w="1134" w:type="dxa"/>
            <w:tcBorders>
              <w:tl2br w:val="nil"/>
              <w:tr2bl w:val="nil"/>
            </w:tcBorders>
            <w:vAlign w:val="center"/>
          </w:tcPr>
          <w:p w14:paraId="64EECBEC">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3811FDD8">
            <w:pPr>
              <w:pStyle w:val="62"/>
              <w:adjustRightInd w:val="0"/>
              <w:snapToGrid w:val="0"/>
              <w:contextualSpacing w:val="0"/>
              <w:rPr>
                <w:lang w:eastAsia="zh-CN"/>
              </w:rPr>
            </w:pPr>
            <w:r>
              <w:rPr>
                <w:rFonts w:hint="eastAsia"/>
                <w:lang w:eastAsia="zh-CN"/>
              </w:rPr>
              <w:t>2650</w:t>
            </w:r>
          </w:p>
        </w:tc>
        <w:tc>
          <w:tcPr>
            <w:tcW w:w="1276" w:type="dxa"/>
            <w:tcBorders>
              <w:tl2br w:val="nil"/>
              <w:tr2bl w:val="nil"/>
            </w:tcBorders>
            <w:vAlign w:val="center"/>
          </w:tcPr>
          <w:p w14:paraId="25440A88">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3E54CCB0">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2615</w:t>
            </w:r>
          </w:p>
        </w:tc>
      </w:tr>
      <w:tr w14:paraId="04213F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8055C81">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0BA8905">
            <w:pPr>
              <w:pStyle w:val="62"/>
              <w:adjustRightInd w:val="0"/>
              <w:snapToGrid w:val="0"/>
              <w:contextualSpacing w:val="0"/>
              <w:rPr>
                <w:kern w:val="2"/>
                <w:lang w:eastAsia="en-US"/>
              </w:rPr>
            </w:pPr>
            <w:r>
              <w:rPr>
                <w:lang w:eastAsia="en-US"/>
              </w:rPr>
              <w:t>20</w:t>
            </w:r>
          </w:p>
        </w:tc>
        <w:tc>
          <w:tcPr>
            <w:tcW w:w="1917" w:type="dxa"/>
            <w:tcBorders>
              <w:tl2br w:val="nil"/>
              <w:tr2bl w:val="nil"/>
            </w:tcBorders>
            <w:vAlign w:val="center"/>
          </w:tcPr>
          <w:p w14:paraId="1F275B96">
            <w:pPr>
              <w:pStyle w:val="62"/>
              <w:adjustRightInd w:val="0"/>
              <w:snapToGrid w:val="0"/>
              <w:contextualSpacing w:val="0"/>
              <w:rPr>
                <w:bCs/>
                <w:lang w:eastAsia="en-US"/>
              </w:rPr>
            </w:pPr>
            <w:r>
              <w:rPr>
                <w:rFonts w:hint="eastAsia"/>
                <w:lang w:eastAsia="zh-CN"/>
              </w:rPr>
              <w:t>石骆驼村</w:t>
            </w:r>
          </w:p>
        </w:tc>
        <w:tc>
          <w:tcPr>
            <w:tcW w:w="1134" w:type="dxa"/>
            <w:tcBorders>
              <w:tl2br w:val="nil"/>
              <w:tr2bl w:val="nil"/>
            </w:tcBorders>
            <w:vAlign w:val="center"/>
          </w:tcPr>
          <w:p w14:paraId="43F14A01">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1AB0F144">
            <w:pPr>
              <w:pStyle w:val="62"/>
              <w:adjustRightInd w:val="0"/>
              <w:snapToGrid w:val="0"/>
              <w:contextualSpacing w:val="0"/>
              <w:rPr>
                <w:lang w:eastAsia="zh-CN"/>
              </w:rPr>
            </w:pPr>
            <w:r>
              <w:rPr>
                <w:rFonts w:hint="eastAsia"/>
                <w:lang w:eastAsia="zh-CN"/>
              </w:rPr>
              <w:t>3670</w:t>
            </w:r>
          </w:p>
        </w:tc>
        <w:tc>
          <w:tcPr>
            <w:tcW w:w="1276" w:type="dxa"/>
            <w:tcBorders>
              <w:tl2br w:val="nil"/>
              <w:tr2bl w:val="nil"/>
            </w:tcBorders>
            <w:vAlign w:val="center"/>
          </w:tcPr>
          <w:p w14:paraId="11247C92">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3FCBAFBA">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2870</w:t>
            </w:r>
          </w:p>
        </w:tc>
      </w:tr>
      <w:tr w14:paraId="57D139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A890053">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44DE1757">
            <w:pPr>
              <w:pStyle w:val="62"/>
              <w:adjustRightInd w:val="0"/>
              <w:snapToGrid w:val="0"/>
              <w:contextualSpacing w:val="0"/>
              <w:rPr>
                <w:kern w:val="2"/>
                <w:lang w:eastAsia="en-US"/>
              </w:rPr>
            </w:pPr>
            <w:r>
              <w:rPr>
                <w:lang w:eastAsia="en-US"/>
              </w:rPr>
              <w:t>21</w:t>
            </w:r>
          </w:p>
        </w:tc>
        <w:tc>
          <w:tcPr>
            <w:tcW w:w="1917" w:type="dxa"/>
            <w:tcBorders>
              <w:tl2br w:val="nil"/>
              <w:tr2bl w:val="nil"/>
            </w:tcBorders>
            <w:vAlign w:val="center"/>
          </w:tcPr>
          <w:p w14:paraId="17323E5F">
            <w:pPr>
              <w:pStyle w:val="62"/>
              <w:adjustRightInd w:val="0"/>
              <w:snapToGrid w:val="0"/>
              <w:contextualSpacing w:val="0"/>
              <w:rPr>
                <w:bCs/>
                <w:lang w:eastAsia="en-US"/>
              </w:rPr>
            </w:pPr>
            <w:r>
              <w:rPr>
                <w:rFonts w:hint="eastAsia"/>
                <w:lang w:eastAsia="zh-CN"/>
              </w:rPr>
              <w:t>唐庄村</w:t>
            </w:r>
          </w:p>
        </w:tc>
        <w:tc>
          <w:tcPr>
            <w:tcW w:w="1134" w:type="dxa"/>
            <w:tcBorders>
              <w:tl2br w:val="nil"/>
              <w:tr2bl w:val="nil"/>
            </w:tcBorders>
            <w:vAlign w:val="center"/>
          </w:tcPr>
          <w:p w14:paraId="7D8F8D36">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0729547F">
            <w:pPr>
              <w:pStyle w:val="62"/>
              <w:adjustRightInd w:val="0"/>
              <w:snapToGrid w:val="0"/>
              <w:contextualSpacing w:val="0"/>
              <w:rPr>
                <w:lang w:eastAsia="zh-CN"/>
              </w:rPr>
            </w:pPr>
            <w:r>
              <w:rPr>
                <w:rFonts w:hint="eastAsia"/>
                <w:lang w:eastAsia="zh-CN"/>
              </w:rPr>
              <w:t>4510</w:t>
            </w:r>
          </w:p>
        </w:tc>
        <w:tc>
          <w:tcPr>
            <w:tcW w:w="1276" w:type="dxa"/>
            <w:tcBorders>
              <w:tl2br w:val="nil"/>
              <w:tr2bl w:val="nil"/>
            </w:tcBorders>
            <w:vAlign w:val="center"/>
          </w:tcPr>
          <w:p w14:paraId="579B339F">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78185065">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2840</w:t>
            </w:r>
          </w:p>
        </w:tc>
      </w:tr>
      <w:tr w14:paraId="7A8363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109D014D">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7247ADB4">
            <w:pPr>
              <w:pStyle w:val="62"/>
              <w:adjustRightInd w:val="0"/>
              <w:snapToGrid w:val="0"/>
              <w:contextualSpacing w:val="0"/>
              <w:rPr>
                <w:kern w:val="2"/>
                <w:lang w:eastAsia="en-US"/>
              </w:rPr>
            </w:pPr>
            <w:r>
              <w:rPr>
                <w:lang w:eastAsia="en-US"/>
              </w:rPr>
              <w:t>22</w:t>
            </w:r>
          </w:p>
        </w:tc>
        <w:tc>
          <w:tcPr>
            <w:tcW w:w="1917" w:type="dxa"/>
            <w:tcBorders>
              <w:tl2br w:val="nil"/>
              <w:tr2bl w:val="nil"/>
            </w:tcBorders>
            <w:vAlign w:val="center"/>
          </w:tcPr>
          <w:p w14:paraId="42DFBE36">
            <w:pPr>
              <w:pStyle w:val="62"/>
              <w:adjustRightInd w:val="0"/>
              <w:snapToGrid w:val="0"/>
              <w:contextualSpacing w:val="0"/>
              <w:rPr>
                <w:bCs/>
                <w:lang w:eastAsia="en-US"/>
              </w:rPr>
            </w:pPr>
            <w:r>
              <w:rPr>
                <w:rFonts w:hint="eastAsia"/>
                <w:bCs/>
                <w:lang w:eastAsia="zh-CN"/>
              </w:rPr>
              <w:t>温寺门村</w:t>
            </w:r>
          </w:p>
        </w:tc>
        <w:tc>
          <w:tcPr>
            <w:tcW w:w="1134" w:type="dxa"/>
            <w:tcBorders>
              <w:tl2br w:val="nil"/>
              <w:tr2bl w:val="nil"/>
            </w:tcBorders>
            <w:vAlign w:val="center"/>
          </w:tcPr>
          <w:p w14:paraId="1C910625">
            <w:pPr>
              <w:pStyle w:val="62"/>
              <w:adjustRightInd w:val="0"/>
              <w:snapToGrid w:val="0"/>
              <w:contextualSpacing w:val="0"/>
              <w:rPr>
                <w:highlight w:val="yellow"/>
                <w:lang w:eastAsia="en-US"/>
              </w:rPr>
            </w:pPr>
            <w:r>
              <w:rPr>
                <w:rFonts w:hint="eastAsia"/>
                <w:lang w:eastAsia="zh-CN"/>
              </w:rPr>
              <w:t>北</w:t>
            </w:r>
          </w:p>
        </w:tc>
        <w:tc>
          <w:tcPr>
            <w:tcW w:w="1134" w:type="dxa"/>
            <w:gridSpan w:val="2"/>
            <w:tcBorders>
              <w:tl2br w:val="nil"/>
              <w:tr2bl w:val="nil"/>
            </w:tcBorders>
            <w:vAlign w:val="center"/>
          </w:tcPr>
          <w:p w14:paraId="02A57BD5">
            <w:pPr>
              <w:pStyle w:val="62"/>
              <w:adjustRightInd w:val="0"/>
              <w:snapToGrid w:val="0"/>
              <w:contextualSpacing w:val="0"/>
              <w:rPr>
                <w:lang w:eastAsia="zh-CN"/>
              </w:rPr>
            </w:pPr>
            <w:r>
              <w:rPr>
                <w:rFonts w:hint="eastAsia"/>
                <w:lang w:eastAsia="zh-CN"/>
              </w:rPr>
              <w:t>4410</w:t>
            </w:r>
          </w:p>
        </w:tc>
        <w:tc>
          <w:tcPr>
            <w:tcW w:w="1276" w:type="dxa"/>
            <w:tcBorders>
              <w:tl2br w:val="nil"/>
              <w:tr2bl w:val="nil"/>
            </w:tcBorders>
            <w:vAlign w:val="center"/>
          </w:tcPr>
          <w:p w14:paraId="218C4B4F">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1E31E0A2">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1343</w:t>
            </w:r>
          </w:p>
        </w:tc>
      </w:tr>
      <w:tr w14:paraId="6E5570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1D8EAA48">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05275D75">
            <w:pPr>
              <w:pStyle w:val="62"/>
              <w:adjustRightInd w:val="0"/>
              <w:snapToGrid w:val="0"/>
              <w:contextualSpacing w:val="0"/>
              <w:rPr>
                <w:kern w:val="2"/>
                <w:lang w:eastAsia="en-US"/>
              </w:rPr>
            </w:pPr>
            <w:r>
              <w:rPr>
                <w:lang w:eastAsia="en-US"/>
              </w:rPr>
              <w:t>23</w:t>
            </w:r>
          </w:p>
        </w:tc>
        <w:tc>
          <w:tcPr>
            <w:tcW w:w="1917" w:type="dxa"/>
            <w:tcBorders>
              <w:tl2br w:val="nil"/>
              <w:tr2bl w:val="nil"/>
            </w:tcBorders>
            <w:vAlign w:val="center"/>
          </w:tcPr>
          <w:p w14:paraId="5239080D">
            <w:pPr>
              <w:pStyle w:val="62"/>
              <w:adjustRightInd w:val="0"/>
              <w:snapToGrid w:val="0"/>
              <w:contextualSpacing w:val="0"/>
              <w:rPr>
                <w:bCs/>
                <w:lang w:eastAsia="en-US"/>
              </w:rPr>
            </w:pPr>
            <w:r>
              <w:rPr>
                <w:rFonts w:hint="eastAsia"/>
                <w:bCs/>
                <w:lang w:eastAsia="zh-CN"/>
              </w:rPr>
              <w:t>东寺门村</w:t>
            </w:r>
          </w:p>
        </w:tc>
        <w:tc>
          <w:tcPr>
            <w:tcW w:w="1134" w:type="dxa"/>
            <w:tcBorders>
              <w:tl2br w:val="nil"/>
              <w:tr2bl w:val="nil"/>
            </w:tcBorders>
            <w:vAlign w:val="center"/>
          </w:tcPr>
          <w:p w14:paraId="70F6BD8D">
            <w:pPr>
              <w:pStyle w:val="62"/>
              <w:adjustRightInd w:val="0"/>
              <w:snapToGrid w:val="0"/>
              <w:contextualSpacing w:val="0"/>
              <w:rPr>
                <w:highlight w:val="yellow"/>
                <w:lang w:eastAsia="en-US"/>
              </w:rPr>
            </w:pPr>
            <w:r>
              <w:rPr>
                <w:rFonts w:hint="eastAsia"/>
                <w:lang w:eastAsia="zh-CN"/>
              </w:rPr>
              <w:t>东北</w:t>
            </w:r>
          </w:p>
        </w:tc>
        <w:tc>
          <w:tcPr>
            <w:tcW w:w="1134" w:type="dxa"/>
            <w:gridSpan w:val="2"/>
            <w:tcBorders>
              <w:tl2br w:val="nil"/>
              <w:tr2bl w:val="nil"/>
            </w:tcBorders>
            <w:vAlign w:val="center"/>
          </w:tcPr>
          <w:p w14:paraId="44D2BA77">
            <w:pPr>
              <w:pStyle w:val="62"/>
              <w:adjustRightInd w:val="0"/>
              <w:snapToGrid w:val="0"/>
              <w:contextualSpacing w:val="0"/>
              <w:rPr>
                <w:lang w:eastAsia="zh-CN"/>
              </w:rPr>
            </w:pPr>
            <w:r>
              <w:rPr>
                <w:rFonts w:hint="eastAsia"/>
                <w:lang w:eastAsia="zh-CN"/>
              </w:rPr>
              <w:t>4100</w:t>
            </w:r>
          </w:p>
        </w:tc>
        <w:tc>
          <w:tcPr>
            <w:tcW w:w="1276" w:type="dxa"/>
            <w:tcBorders>
              <w:tl2br w:val="nil"/>
              <w:tr2bl w:val="nil"/>
            </w:tcBorders>
            <w:vAlign w:val="center"/>
          </w:tcPr>
          <w:p w14:paraId="634844F7">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668A9A7C">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1456</w:t>
            </w:r>
          </w:p>
        </w:tc>
      </w:tr>
      <w:tr w14:paraId="2F6CB4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5EC2DB7E">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746B6B94">
            <w:pPr>
              <w:pStyle w:val="62"/>
              <w:adjustRightInd w:val="0"/>
              <w:snapToGrid w:val="0"/>
              <w:contextualSpacing w:val="0"/>
              <w:rPr>
                <w:kern w:val="2"/>
                <w:lang w:eastAsia="en-US"/>
              </w:rPr>
            </w:pPr>
            <w:r>
              <w:rPr>
                <w:lang w:eastAsia="en-US"/>
              </w:rPr>
              <w:t>24</w:t>
            </w:r>
          </w:p>
        </w:tc>
        <w:tc>
          <w:tcPr>
            <w:tcW w:w="1917" w:type="dxa"/>
            <w:tcBorders>
              <w:tl2br w:val="nil"/>
              <w:tr2bl w:val="nil"/>
            </w:tcBorders>
            <w:vAlign w:val="center"/>
          </w:tcPr>
          <w:p w14:paraId="580B01CD">
            <w:pPr>
              <w:pStyle w:val="62"/>
              <w:adjustRightInd w:val="0"/>
              <w:snapToGrid w:val="0"/>
              <w:contextualSpacing w:val="0"/>
              <w:rPr>
                <w:bCs/>
                <w:lang w:eastAsia="en-US"/>
              </w:rPr>
            </w:pPr>
            <w:r>
              <w:rPr>
                <w:rFonts w:hint="eastAsia"/>
                <w:bCs/>
                <w:lang w:eastAsia="zh-CN"/>
              </w:rPr>
              <w:t>薛庄村</w:t>
            </w:r>
          </w:p>
        </w:tc>
        <w:tc>
          <w:tcPr>
            <w:tcW w:w="1134" w:type="dxa"/>
            <w:tcBorders>
              <w:tl2br w:val="nil"/>
              <w:tr2bl w:val="nil"/>
            </w:tcBorders>
            <w:vAlign w:val="center"/>
          </w:tcPr>
          <w:p w14:paraId="39510B30">
            <w:pPr>
              <w:pStyle w:val="62"/>
              <w:adjustRightInd w:val="0"/>
              <w:snapToGrid w:val="0"/>
              <w:contextualSpacing w:val="0"/>
              <w:rPr>
                <w:highlight w:val="yellow"/>
                <w:lang w:eastAsia="en-US"/>
              </w:rPr>
            </w:pPr>
            <w:r>
              <w:rPr>
                <w:rFonts w:hint="eastAsia"/>
                <w:lang w:eastAsia="zh-CN"/>
              </w:rPr>
              <w:t>东北</w:t>
            </w:r>
          </w:p>
        </w:tc>
        <w:tc>
          <w:tcPr>
            <w:tcW w:w="1134" w:type="dxa"/>
            <w:gridSpan w:val="2"/>
            <w:tcBorders>
              <w:tl2br w:val="nil"/>
              <w:tr2bl w:val="nil"/>
            </w:tcBorders>
            <w:vAlign w:val="center"/>
          </w:tcPr>
          <w:p w14:paraId="7526F19F">
            <w:pPr>
              <w:pStyle w:val="62"/>
              <w:adjustRightInd w:val="0"/>
              <w:snapToGrid w:val="0"/>
              <w:contextualSpacing w:val="0"/>
              <w:rPr>
                <w:lang w:eastAsia="zh-CN"/>
              </w:rPr>
            </w:pPr>
            <w:r>
              <w:rPr>
                <w:rFonts w:hint="eastAsia"/>
                <w:lang w:eastAsia="zh-CN"/>
              </w:rPr>
              <w:t>3095</w:t>
            </w:r>
          </w:p>
        </w:tc>
        <w:tc>
          <w:tcPr>
            <w:tcW w:w="1276" w:type="dxa"/>
            <w:tcBorders>
              <w:tl2br w:val="nil"/>
              <w:tr2bl w:val="nil"/>
            </w:tcBorders>
            <w:vAlign w:val="center"/>
          </w:tcPr>
          <w:p w14:paraId="72106203">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798CF3AA">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2909</w:t>
            </w:r>
          </w:p>
        </w:tc>
      </w:tr>
      <w:tr w14:paraId="0124C2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784AC519">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67783A7A">
            <w:pPr>
              <w:pStyle w:val="62"/>
              <w:adjustRightInd w:val="0"/>
              <w:snapToGrid w:val="0"/>
              <w:contextualSpacing w:val="0"/>
              <w:rPr>
                <w:kern w:val="2"/>
                <w:lang w:eastAsia="en-US"/>
              </w:rPr>
            </w:pPr>
            <w:r>
              <w:rPr>
                <w:lang w:eastAsia="en-US"/>
              </w:rPr>
              <w:t>25</w:t>
            </w:r>
          </w:p>
        </w:tc>
        <w:tc>
          <w:tcPr>
            <w:tcW w:w="1917" w:type="dxa"/>
            <w:tcBorders>
              <w:tl2br w:val="nil"/>
              <w:tr2bl w:val="nil"/>
            </w:tcBorders>
            <w:vAlign w:val="center"/>
          </w:tcPr>
          <w:p w14:paraId="0A6857D4">
            <w:pPr>
              <w:pStyle w:val="62"/>
              <w:adjustRightInd w:val="0"/>
              <w:snapToGrid w:val="0"/>
              <w:contextualSpacing w:val="0"/>
              <w:rPr>
                <w:bCs/>
                <w:lang w:eastAsia="en-US"/>
              </w:rPr>
            </w:pPr>
            <w:r>
              <w:rPr>
                <w:rFonts w:hint="eastAsia"/>
                <w:bCs/>
                <w:lang w:eastAsia="zh-CN"/>
              </w:rPr>
              <w:t>保障房安康小区</w:t>
            </w:r>
          </w:p>
        </w:tc>
        <w:tc>
          <w:tcPr>
            <w:tcW w:w="1134" w:type="dxa"/>
            <w:tcBorders>
              <w:tl2br w:val="nil"/>
              <w:tr2bl w:val="nil"/>
            </w:tcBorders>
            <w:vAlign w:val="center"/>
          </w:tcPr>
          <w:p w14:paraId="5FFE1D01">
            <w:pPr>
              <w:pStyle w:val="62"/>
              <w:adjustRightInd w:val="0"/>
              <w:snapToGrid w:val="0"/>
              <w:contextualSpacing w:val="0"/>
              <w:rPr>
                <w:highlight w:val="yellow"/>
                <w:lang w:eastAsia="en-US"/>
              </w:rPr>
            </w:pPr>
            <w:r>
              <w:rPr>
                <w:rFonts w:hint="eastAsia"/>
                <w:lang w:eastAsia="zh-CN"/>
              </w:rPr>
              <w:t>东北</w:t>
            </w:r>
          </w:p>
        </w:tc>
        <w:tc>
          <w:tcPr>
            <w:tcW w:w="1134" w:type="dxa"/>
            <w:gridSpan w:val="2"/>
            <w:tcBorders>
              <w:tl2br w:val="nil"/>
              <w:tr2bl w:val="nil"/>
            </w:tcBorders>
            <w:vAlign w:val="center"/>
          </w:tcPr>
          <w:p w14:paraId="32ABAA06">
            <w:pPr>
              <w:pStyle w:val="62"/>
              <w:adjustRightInd w:val="0"/>
              <w:snapToGrid w:val="0"/>
              <w:contextualSpacing w:val="0"/>
              <w:rPr>
                <w:lang w:eastAsia="zh-CN"/>
              </w:rPr>
            </w:pPr>
            <w:r>
              <w:rPr>
                <w:rFonts w:hint="eastAsia"/>
                <w:lang w:eastAsia="zh-CN"/>
              </w:rPr>
              <w:t>3585</w:t>
            </w:r>
          </w:p>
        </w:tc>
        <w:tc>
          <w:tcPr>
            <w:tcW w:w="1276" w:type="dxa"/>
            <w:tcBorders>
              <w:tl2br w:val="nil"/>
              <w:tr2bl w:val="nil"/>
            </w:tcBorders>
            <w:vAlign w:val="center"/>
          </w:tcPr>
          <w:p w14:paraId="7EA668EA">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5113D6D0">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2808</w:t>
            </w:r>
          </w:p>
        </w:tc>
      </w:tr>
      <w:tr w14:paraId="3D033C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7A4699A3">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01810D10">
            <w:pPr>
              <w:pStyle w:val="62"/>
              <w:adjustRightInd w:val="0"/>
              <w:snapToGrid w:val="0"/>
              <w:contextualSpacing w:val="0"/>
              <w:rPr>
                <w:kern w:val="2"/>
                <w:lang w:eastAsia="en-US"/>
              </w:rPr>
            </w:pPr>
            <w:r>
              <w:rPr>
                <w:lang w:eastAsia="en-US"/>
              </w:rPr>
              <w:t>26</w:t>
            </w:r>
          </w:p>
        </w:tc>
        <w:tc>
          <w:tcPr>
            <w:tcW w:w="1917" w:type="dxa"/>
            <w:tcBorders>
              <w:tl2br w:val="nil"/>
              <w:tr2bl w:val="nil"/>
            </w:tcBorders>
            <w:vAlign w:val="center"/>
          </w:tcPr>
          <w:p w14:paraId="4EDECDCB">
            <w:pPr>
              <w:pStyle w:val="62"/>
              <w:adjustRightInd w:val="0"/>
              <w:snapToGrid w:val="0"/>
              <w:contextualSpacing w:val="0"/>
              <w:rPr>
                <w:bCs/>
                <w:lang w:eastAsia="en-US"/>
              </w:rPr>
            </w:pPr>
            <w:r>
              <w:rPr>
                <w:rFonts w:hint="eastAsia"/>
                <w:bCs/>
                <w:lang w:eastAsia="zh-CN"/>
              </w:rPr>
              <w:t>铁东新区</w:t>
            </w:r>
          </w:p>
        </w:tc>
        <w:tc>
          <w:tcPr>
            <w:tcW w:w="1134" w:type="dxa"/>
            <w:tcBorders>
              <w:tl2br w:val="nil"/>
              <w:tr2bl w:val="nil"/>
            </w:tcBorders>
            <w:vAlign w:val="center"/>
          </w:tcPr>
          <w:p w14:paraId="5489BA50">
            <w:pPr>
              <w:pStyle w:val="62"/>
              <w:adjustRightInd w:val="0"/>
              <w:snapToGrid w:val="0"/>
              <w:contextualSpacing w:val="0"/>
              <w:rPr>
                <w:lang w:eastAsia="en-US"/>
              </w:rPr>
            </w:pPr>
            <w:r>
              <w:rPr>
                <w:rFonts w:hint="eastAsia"/>
                <w:lang w:eastAsia="zh-CN"/>
              </w:rPr>
              <w:t>东北</w:t>
            </w:r>
          </w:p>
        </w:tc>
        <w:tc>
          <w:tcPr>
            <w:tcW w:w="1134" w:type="dxa"/>
            <w:gridSpan w:val="2"/>
            <w:tcBorders>
              <w:tl2br w:val="nil"/>
              <w:tr2bl w:val="nil"/>
            </w:tcBorders>
            <w:vAlign w:val="center"/>
          </w:tcPr>
          <w:p w14:paraId="42BD8500">
            <w:pPr>
              <w:pStyle w:val="62"/>
              <w:adjustRightInd w:val="0"/>
              <w:snapToGrid w:val="0"/>
              <w:contextualSpacing w:val="0"/>
              <w:rPr>
                <w:lang w:eastAsia="zh-CN"/>
              </w:rPr>
            </w:pPr>
            <w:r>
              <w:rPr>
                <w:rFonts w:hint="eastAsia"/>
                <w:lang w:eastAsia="zh-CN"/>
              </w:rPr>
              <w:t>2915</w:t>
            </w:r>
          </w:p>
        </w:tc>
        <w:tc>
          <w:tcPr>
            <w:tcW w:w="1276" w:type="dxa"/>
            <w:tcBorders>
              <w:tl2br w:val="nil"/>
              <w:tr2bl w:val="nil"/>
            </w:tcBorders>
            <w:vAlign w:val="center"/>
          </w:tcPr>
          <w:p w14:paraId="7BA42717">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637C923E">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1329</w:t>
            </w:r>
          </w:p>
        </w:tc>
      </w:tr>
      <w:tr w14:paraId="638FDF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0275FA9">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418DB8C7">
            <w:pPr>
              <w:pStyle w:val="62"/>
              <w:adjustRightInd w:val="0"/>
              <w:snapToGrid w:val="0"/>
              <w:contextualSpacing w:val="0"/>
              <w:rPr>
                <w:kern w:val="2"/>
                <w:lang w:eastAsia="en-US"/>
              </w:rPr>
            </w:pPr>
            <w:r>
              <w:rPr>
                <w:lang w:eastAsia="en-US"/>
              </w:rPr>
              <w:t>27</w:t>
            </w:r>
          </w:p>
        </w:tc>
        <w:tc>
          <w:tcPr>
            <w:tcW w:w="1917" w:type="dxa"/>
            <w:tcBorders>
              <w:tl2br w:val="nil"/>
              <w:tr2bl w:val="nil"/>
            </w:tcBorders>
            <w:vAlign w:val="center"/>
          </w:tcPr>
          <w:p w14:paraId="74F670B9">
            <w:pPr>
              <w:pStyle w:val="62"/>
              <w:adjustRightInd w:val="0"/>
              <w:snapToGrid w:val="0"/>
              <w:contextualSpacing w:val="0"/>
              <w:rPr>
                <w:bCs/>
                <w:lang w:eastAsia="en-US"/>
              </w:rPr>
            </w:pPr>
            <w:r>
              <w:rPr>
                <w:rFonts w:hint="eastAsia"/>
                <w:bCs/>
                <w:lang w:eastAsia="zh-CN"/>
              </w:rPr>
              <w:t>唐岗村</w:t>
            </w:r>
          </w:p>
        </w:tc>
        <w:tc>
          <w:tcPr>
            <w:tcW w:w="1134" w:type="dxa"/>
            <w:tcBorders>
              <w:tl2br w:val="nil"/>
              <w:tr2bl w:val="nil"/>
            </w:tcBorders>
            <w:vAlign w:val="center"/>
          </w:tcPr>
          <w:p w14:paraId="2D4F5F85">
            <w:pPr>
              <w:pStyle w:val="62"/>
              <w:adjustRightInd w:val="0"/>
              <w:snapToGrid w:val="0"/>
              <w:contextualSpacing w:val="0"/>
              <w:rPr>
                <w:lang w:eastAsia="en-US"/>
              </w:rPr>
            </w:pPr>
            <w:r>
              <w:rPr>
                <w:rFonts w:hint="eastAsia"/>
                <w:lang w:eastAsia="zh-CN"/>
              </w:rPr>
              <w:t>东北</w:t>
            </w:r>
          </w:p>
        </w:tc>
        <w:tc>
          <w:tcPr>
            <w:tcW w:w="1134" w:type="dxa"/>
            <w:gridSpan w:val="2"/>
            <w:tcBorders>
              <w:tl2br w:val="nil"/>
              <w:tr2bl w:val="nil"/>
            </w:tcBorders>
            <w:vAlign w:val="center"/>
          </w:tcPr>
          <w:p w14:paraId="591043F6">
            <w:pPr>
              <w:pStyle w:val="62"/>
              <w:adjustRightInd w:val="0"/>
              <w:snapToGrid w:val="0"/>
              <w:contextualSpacing w:val="0"/>
              <w:rPr>
                <w:lang w:eastAsia="zh-CN"/>
              </w:rPr>
            </w:pPr>
            <w:r>
              <w:rPr>
                <w:rFonts w:hint="eastAsia"/>
                <w:lang w:eastAsia="zh-CN"/>
              </w:rPr>
              <w:t>2920</w:t>
            </w:r>
          </w:p>
        </w:tc>
        <w:tc>
          <w:tcPr>
            <w:tcW w:w="1276" w:type="dxa"/>
            <w:tcBorders>
              <w:tl2br w:val="nil"/>
              <w:tr2bl w:val="nil"/>
            </w:tcBorders>
            <w:vAlign w:val="center"/>
          </w:tcPr>
          <w:p w14:paraId="600C1B9E">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4B8C61C7">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4114</w:t>
            </w:r>
          </w:p>
        </w:tc>
      </w:tr>
      <w:tr w14:paraId="6E70A9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218DFEEF">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F79D204">
            <w:pPr>
              <w:pStyle w:val="62"/>
              <w:adjustRightInd w:val="0"/>
              <w:snapToGrid w:val="0"/>
              <w:contextualSpacing w:val="0"/>
              <w:rPr>
                <w:kern w:val="2"/>
                <w:lang w:eastAsia="en-US"/>
              </w:rPr>
            </w:pPr>
            <w:r>
              <w:rPr>
                <w:lang w:eastAsia="en-US"/>
              </w:rPr>
              <w:t>28</w:t>
            </w:r>
          </w:p>
        </w:tc>
        <w:tc>
          <w:tcPr>
            <w:tcW w:w="1917" w:type="dxa"/>
            <w:tcBorders>
              <w:tl2br w:val="nil"/>
              <w:tr2bl w:val="nil"/>
            </w:tcBorders>
            <w:vAlign w:val="center"/>
          </w:tcPr>
          <w:p w14:paraId="5F7AD053">
            <w:pPr>
              <w:pStyle w:val="62"/>
              <w:adjustRightInd w:val="0"/>
              <w:snapToGrid w:val="0"/>
              <w:contextualSpacing w:val="0"/>
              <w:rPr>
                <w:bCs/>
                <w:lang w:eastAsia="en-US"/>
              </w:rPr>
            </w:pPr>
            <w:r>
              <w:rPr>
                <w:rFonts w:hint="eastAsia"/>
                <w:lang w:eastAsia="zh-CN"/>
              </w:rPr>
              <w:t>唐庄镇</w:t>
            </w:r>
          </w:p>
        </w:tc>
        <w:tc>
          <w:tcPr>
            <w:tcW w:w="1134" w:type="dxa"/>
            <w:tcBorders>
              <w:tl2br w:val="nil"/>
              <w:tr2bl w:val="nil"/>
            </w:tcBorders>
            <w:vAlign w:val="center"/>
          </w:tcPr>
          <w:p w14:paraId="0596D713">
            <w:pPr>
              <w:pStyle w:val="62"/>
              <w:adjustRightInd w:val="0"/>
              <w:snapToGrid w:val="0"/>
              <w:contextualSpacing w:val="0"/>
              <w:rPr>
                <w:lang w:eastAsia="en-US"/>
              </w:rPr>
            </w:pPr>
            <w:r>
              <w:rPr>
                <w:rFonts w:hint="eastAsia"/>
                <w:lang w:eastAsia="zh-CN"/>
              </w:rPr>
              <w:t>西南</w:t>
            </w:r>
          </w:p>
        </w:tc>
        <w:tc>
          <w:tcPr>
            <w:tcW w:w="1134" w:type="dxa"/>
            <w:gridSpan w:val="2"/>
            <w:tcBorders>
              <w:tl2br w:val="nil"/>
              <w:tr2bl w:val="nil"/>
            </w:tcBorders>
            <w:vAlign w:val="center"/>
          </w:tcPr>
          <w:p w14:paraId="06C59BFE">
            <w:pPr>
              <w:pStyle w:val="62"/>
              <w:adjustRightInd w:val="0"/>
              <w:snapToGrid w:val="0"/>
              <w:contextualSpacing w:val="0"/>
              <w:rPr>
                <w:lang w:eastAsia="zh-CN"/>
              </w:rPr>
            </w:pPr>
            <w:r>
              <w:rPr>
                <w:rFonts w:hint="eastAsia"/>
                <w:lang w:eastAsia="zh-CN"/>
              </w:rPr>
              <w:t>4045</w:t>
            </w:r>
          </w:p>
        </w:tc>
        <w:tc>
          <w:tcPr>
            <w:tcW w:w="1276" w:type="dxa"/>
            <w:tcBorders>
              <w:tl2br w:val="nil"/>
              <w:tr2bl w:val="nil"/>
            </w:tcBorders>
            <w:vAlign w:val="center"/>
          </w:tcPr>
          <w:p w14:paraId="65FE1991">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6027B5A7">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8</w:t>
            </w:r>
            <w:r>
              <w:rPr>
                <w:rFonts w:ascii="Times New Roman" w:hAnsi="Times New Roman" w:cs="Times New Roman"/>
                <w:color w:val="auto"/>
                <w:lang w:eastAsia="zh-CN"/>
              </w:rPr>
              <w:t>296</w:t>
            </w:r>
          </w:p>
        </w:tc>
      </w:tr>
      <w:tr w14:paraId="60A74C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732A1BCD">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31796C1A">
            <w:pPr>
              <w:pStyle w:val="62"/>
              <w:adjustRightInd w:val="0"/>
              <w:snapToGrid w:val="0"/>
              <w:contextualSpacing w:val="0"/>
              <w:rPr>
                <w:kern w:val="2"/>
                <w:lang w:eastAsia="en-US"/>
              </w:rPr>
            </w:pPr>
            <w:r>
              <w:rPr>
                <w:lang w:eastAsia="en-US"/>
              </w:rPr>
              <w:t>29</w:t>
            </w:r>
          </w:p>
        </w:tc>
        <w:tc>
          <w:tcPr>
            <w:tcW w:w="1917" w:type="dxa"/>
            <w:tcBorders>
              <w:tl2br w:val="nil"/>
              <w:tr2bl w:val="nil"/>
            </w:tcBorders>
            <w:vAlign w:val="center"/>
          </w:tcPr>
          <w:p w14:paraId="1A34F930">
            <w:pPr>
              <w:pStyle w:val="62"/>
              <w:adjustRightInd w:val="0"/>
              <w:snapToGrid w:val="0"/>
              <w:contextualSpacing w:val="0"/>
              <w:rPr>
                <w:bCs/>
                <w:lang w:eastAsia="zh-CN"/>
              </w:rPr>
            </w:pPr>
            <w:r>
              <w:rPr>
                <w:rFonts w:hint="eastAsia"/>
                <w:kern w:val="2"/>
                <w:lang w:eastAsia="zh-CN"/>
              </w:rPr>
              <w:t>秦庄村</w:t>
            </w:r>
          </w:p>
        </w:tc>
        <w:tc>
          <w:tcPr>
            <w:tcW w:w="1134" w:type="dxa"/>
            <w:tcBorders>
              <w:tl2br w:val="nil"/>
              <w:tr2bl w:val="nil"/>
            </w:tcBorders>
            <w:vAlign w:val="center"/>
          </w:tcPr>
          <w:p w14:paraId="7D4874CF">
            <w:pPr>
              <w:pStyle w:val="62"/>
              <w:adjustRightInd w:val="0"/>
              <w:snapToGrid w:val="0"/>
              <w:contextualSpacing w:val="0"/>
              <w:rPr>
                <w:lang w:eastAsia="en-US"/>
              </w:rPr>
            </w:pPr>
            <w:r>
              <w:rPr>
                <w:rFonts w:hint="eastAsia"/>
                <w:lang w:eastAsia="zh-CN"/>
              </w:rPr>
              <w:t>西南</w:t>
            </w:r>
          </w:p>
        </w:tc>
        <w:tc>
          <w:tcPr>
            <w:tcW w:w="1134" w:type="dxa"/>
            <w:gridSpan w:val="2"/>
            <w:tcBorders>
              <w:tl2br w:val="nil"/>
              <w:tr2bl w:val="nil"/>
            </w:tcBorders>
            <w:vAlign w:val="center"/>
          </w:tcPr>
          <w:p w14:paraId="5FB62940">
            <w:pPr>
              <w:pStyle w:val="62"/>
              <w:adjustRightInd w:val="0"/>
              <w:snapToGrid w:val="0"/>
              <w:contextualSpacing w:val="0"/>
              <w:rPr>
                <w:lang w:eastAsia="zh-CN"/>
              </w:rPr>
            </w:pPr>
            <w:r>
              <w:rPr>
                <w:rFonts w:hint="eastAsia"/>
                <w:lang w:eastAsia="zh-CN"/>
              </w:rPr>
              <w:t>3880</w:t>
            </w:r>
          </w:p>
        </w:tc>
        <w:tc>
          <w:tcPr>
            <w:tcW w:w="1276" w:type="dxa"/>
            <w:tcBorders>
              <w:tl2br w:val="nil"/>
              <w:tr2bl w:val="nil"/>
            </w:tcBorders>
            <w:vAlign w:val="center"/>
          </w:tcPr>
          <w:p w14:paraId="6A59666C">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02BB25D7">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2148</w:t>
            </w:r>
          </w:p>
        </w:tc>
      </w:tr>
      <w:tr w14:paraId="4B7FD0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D1F2E42">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003E55EC">
            <w:pPr>
              <w:pStyle w:val="62"/>
              <w:adjustRightInd w:val="0"/>
              <w:snapToGrid w:val="0"/>
              <w:contextualSpacing w:val="0"/>
              <w:rPr>
                <w:kern w:val="2"/>
                <w:lang w:eastAsia="en-US"/>
              </w:rPr>
            </w:pPr>
            <w:r>
              <w:rPr>
                <w:lang w:eastAsia="en-US"/>
              </w:rPr>
              <w:t>30</w:t>
            </w:r>
          </w:p>
        </w:tc>
        <w:tc>
          <w:tcPr>
            <w:tcW w:w="1917" w:type="dxa"/>
            <w:tcBorders>
              <w:tl2br w:val="nil"/>
              <w:tr2bl w:val="nil"/>
            </w:tcBorders>
            <w:vAlign w:val="center"/>
          </w:tcPr>
          <w:p w14:paraId="7272FE32">
            <w:pPr>
              <w:pStyle w:val="62"/>
              <w:adjustRightInd w:val="0"/>
              <w:snapToGrid w:val="0"/>
              <w:contextualSpacing w:val="0"/>
              <w:rPr>
                <w:bCs/>
                <w:lang w:eastAsia="zh-CN"/>
              </w:rPr>
            </w:pPr>
            <w:r>
              <w:rPr>
                <w:rFonts w:hint="eastAsia"/>
                <w:bCs/>
                <w:lang w:eastAsia="zh-CN"/>
              </w:rPr>
              <w:t>卫辉市职业中等专业学校</w:t>
            </w:r>
          </w:p>
        </w:tc>
        <w:tc>
          <w:tcPr>
            <w:tcW w:w="1134" w:type="dxa"/>
            <w:tcBorders>
              <w:tl2br w:val="nil"/>
              <w:tr2bl w:val="nil"/>
            </w:tcBorders>
            <w:vAlign w:val="center"/>
          </w:tcPr>
          <w:p w14:paraId="408EBE99">
            <w:pPr>
              <w:pStyle w:val="62"/>
              <w:adjustRightInd w:val="0"/>
              <w:snapToGrid w:val="0"/>
              <w:contextualSpacing w:val="0"/>
              <w:rPr>
                <w:lang w:eastAsia="en-US"/>
              </w:rPr>
            </w:pPr>
            <w:r>
              <w:rPr>
                <w:rFonts w:hint="eastAsia"/>
                <w:lang w:eastAsia="zh-CN"/>
              </w:rPr>
              <w:t>西北</w:t>
            </w:r>
          </w:p>
        </w:tc>
        <w:tc>
          <w:tcPr>
            <w:tcW w:w="1134" w:type="dxa"/>
            <w:gridSpan w:val="2"/>
            <w:tcBorders>
              <w:tl2br w:val="nil"/>
              <w:tr2bl w:val="nil"/>
            </w:tcBorders>
            <w:vAlign w:val="center"/>
          </w:tcPr>
          <w:p w14:paraId="3F32D42A">
            <w:pPr>
              <w:pStyle w:val="62"/>
              <w:adjustRightInd w:val="0"/>
              <w:snapToGrid w:val="0"/>
              <w:contextualSpacing w:val="0"/>
              <w:rPr>
                <w:lang w:eastAsia="zh-CN"/>
              </w:rPr>
            </w:pPr>
            <w:r>
              <w:rPr>
                <w:rFonts w:hint="eastAsia"/>
                <w:lang w:eastAsia="zh-CN"/>
              </w:rPr>
              <w:t>2730</w:t>
            </w:r>
          </w:p>
        </w:tc>
        <w:tc>
          <w:tcPr>
            <w:tcW w:w="1276" w:type="dxa"/>
            <w:tcBorders>
              <w:tl2br w:val="nil"/>
              <w:tr2bl w:val="nil"/>
            </w:tcBorders>
            <w:vAlign w:val="center"/>
          </w:tcPr>
          <w:p w14:paraId="1C022E45">
            <w:pPr>
              <w:pStyle w:val="62"/>
              <w:adjustRightInd w:val="0"/>
              <w:snapToGrid w:val="0"/>
              <w:contextualSpacing w:val="0"/>
              <w:rPr>
                <w:lang w:eastAsia="en-US"/>
              </w:rPr>
            </w:pPr>
            <w:r>
              <w:rPr>
                <w:rFonts w:hint="eastAsia"/>
                <w:lang w:eastAsia="zh-CN"/>
              </w:rPr>
              <w:t>文化教育</w:t>
            </w:r>
            <w:r>
              <w:rPr>
                <w:lang w:eastAsia="en-US"/>
              </w:rPr>
              <w:t>区</w:t>
            </w:r>
          </w:p>
        </w:tc>
        <w:tc>
          <w:tcPr>
            <w:tcW w:w="1350" w:type="dxa"/>
            <w:tcBorders>
              <w:tl2br w:val="nil"/>
              <w:tr2bl w:val="nil"/>
            </w:tcBorders>
            <w:vAlign w:val="center"/>
          </w:tcPr>
          <w:p w14:paraId="1AB5CCD5">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3392</w:t>
            </w:r>
          </w:p>
        </w:tc>
      </w:tr>
      <w:tr w14:paraId="36A901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1802F15">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2D9AF792">
            <w:pPr>
              <w:pStyle w:val="62"/>
              <w:adjustRightInd w:val="0"/>
              <w:snapToGrid w:val="0"/>
              <w:contextualSpacing w:val="0"/>
              <w:rPr>
                <w:kern w:val="2"/>
                <w:lang w:eastAsia="zh-CN"/>
              </w:rPr>
            </w:pPr>
            <w:r>
              <w:rPr>
                <w:rFonts w:hint="eastAsia"/>
                <w:kern w:val="2"/>
                <w:lang w:eastAsia="zh-CN"/>
              </w:rPr>
              <w:t>31</w:t>
            </w:r>
          </w:p>
        </w:tc>
        <w:tc>
          <w:tcPr>
            <w:tcW w:w="1917" w:type="dxa"/>
            <w:tcBorders>
              <w:tl2br w:val="nil"/>
              <w:tr2bl w:val="nil"/>
            </w:tcBorders>
            <w:vAlign w:val="center"/>
          </w:tcPr>
          <w:p w14:paraId="2D1865B2">
            <w:pPr>
              <w:pStyle w:val="62"/>
              <w:adjustRightInd w:val="0"/>
              <w:snapToGrid w:val="0"/>
              <w:contextualSpacing w:val="0"/>
              <w:rPr>
                <w:bCs/>
                <w:lang w:eastAsia="en-US"/>
              </w:rPr>
            </w:pPr>
            <w:r>
              <w:rPr>
                <w:rFonts w:hint="eastAsia"/>
                <w:bCs/>
                <w:lang w:eastAsia="zh-CN"/>
              </w:rPr>
              <w:t>南司马村</w:t>
            </w:r>
          </w:p>
        </w:tc>
        <w:tc>
          <w:tcPr>
            <w:tcW w:w="1134" w:type="dxa"/>
            <w:tcBorders>
              <w:tl2br w:val="nil"/>
              <w:tr2bl w:val="nil"/>
            </w:tcBorders>
            <w:vAlign w:val="center"/>
          </w:tcPr>
          <w:p w14:paraId="1C0231D9">
            <w:pPr>
              <w:pStyle w:val="62"/>
              <w:adjustRightInd w:val="0"/>
              <w:snapToGrid w:val="0"/>
              <w:contextualSpacing w:val="0"/>
              <w:rPr>
                <w:highlight w:val="yellow"/>
                <w:lang w:eastAsia="en-US"/>
              </w:rPr>
            </w:pPr>
            <w:r>
              <w:rPr>
                <w:rFonts w:hint="eastAsia"/>
                <w:lang w:eastAsia="zh-CN"/>
              </w:rPr>
              <w:t>西北</w:t>
            </w:r>
          </w:p>
        </w:tc>
        <w:tc>
          <w:tcPr>
            <w:tcW w:w="1134" w:type="dxa"/>
            <w:gridSpan w:val="2"/>
            <w:tcBorders>
              <w:tl2br w:val="nil"/>
              <w:tr2bl w:val="nil"/>
            </w:tcBorders>
            <w:vAlign w:val="center"/>
          </w:tcPr>
          <w:p w14:paraId="1B3F1B4D">
            <w:pPr>
              <w:pStyle w:val="62"/>
              <w:adjustRightInd w:val="0"/>
              <w:snapToGrid w:val="0"/>
              <w:contextualSpacing w:val="0"/>
              <w:rPr>
                <w:lang w:eastAsia="zh-CN"/>
              </w:rPr>
            </w:pPr>
            <w:r>
              <w:rPr>
                <w:rFonts w:hint="eastAsia"/>
                <w:lang w:eastAsia="zh-CN"/>
              </w:rPr>
              <w:t>4445</w:t>
            </w:r>
          </w:p>
        </w:tc>
        <w:tc>
          <w:tcPr>
            <w:tcW w:w="1276" w:type="dxa"/>
            <w:tcBorders>
              <w:tl2br w:val="nil"/>
              <w:tr2bl w:val="nil"/>
            </w:tcBorders>
            <w:vAlign w:val="center"/>
          </w:tcPr>
          <w:p w14:paraId="5F07236A">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2FE671D0">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490</w:t>
            </w:r>
          </w:p>
        </w:tc>
      </w:tr>
      <w:tr w14:paraId="1BC912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CB2C7EF">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41ACCD21">
            <w:pPr>
              <w:pStyle w:val="62"/>
              <w:adjustRightInd w:val="0"/>
              <w:snapToGrid w:val="0"/>
              <w:contextualSpacing w:val="0"/>
              <w:rPr>
                <w:kern w:val="2"/>
                <w:lang w:eastAsia="zh-CN"/>
              </w:rPr>
            </w:pPr>
            <w:r>
              <w:rPr>
                <w:rFonts w:hint="eastAsia"/>
                <w:kern w:val="2"/>
                <w:lang w:eastAsia="zh-CN"/>
              </w:rPr>
              <w:t>32</w:t>
            </w:r>
          </w:p>
        </w:tc>
        <w:tc>
          <w:tcPr>
            <w:tcW w:w="1917" w:type="dxa"/>
            <w:tcBorders>
              <w:tl2br w:val="nil"/>
              <w:tr2bl w:val="nil"/>
            </w:tcBorders>
            <w:vAlign w:val="center"/>
          </w:tcPr>
          <w:p w14:paraId="1D463266">
            <w:pPr>
              <w:pStyle w:val="62"/>
              <w:adjustRightInd w:val="0"/>
              <w:snapToGrid w:val="0"/>
              <w:contextualSpacing w:val="0"/>
              <w:rPr>
                <w:lang w:eastAsia="en-US"/>
              </w:rPr>
            </w:pPr>
            <w:r>
              <w:rPr>
                <w:rFonts w:hint="eastAsia"/>
                <w:bCs/>
                <w:lang w:eastAsia="zh-CN"/>
              </w:rPr>
              <w:t>大司马村</w:t>
            </w:r>
          </w:p>
        </w:tc>
        <w:tc>
          <w:tcPr>
            <w:tcW w:w="1134" w:type="dxa"/>
            <w:tcBorders>
              <w:tl2br w:val="nil"/>
              <w:tr2bl w:val="nil"/>
            </w:tcBorders>
            <w:vAlign w:val="center"/>
          </w:tcPr>
          <w:p w14:paraId="29082A81">
            <w:pPr>
              <w:pStyle w:val="62"/>
              <w:adjustRightInd w:val="0"/>
              <w:snapToGrid w:val="0"/>
              <w:contextualSpacing w:val="0"/>
              <w:rPr>
                <w:highlight w:val="yellow"/>
                <w:lang w:eastAsia="en-US"/>
              </w:rPr>
            </w:pPr>
            <w:r>
              <w:rPr>
                <w:rFonts w:hint="eastAsia"/>
                <w:lang w:eastAsia="zh-CN"/>
              </w:rPr>
              <w:t>西北</w:t>
            </w:r>
          </w:p>
        </w:tc>
        <w:tc>
          <w:tcPr>
            <w:tcW w:w="1134" w:type="dxa"/>
            <w:gridSpan w:val="2"/>
            <w:tcBorders>
              <w:tl2br w:val="nil"/>
              <w:tr2bl w:val="nil"/>
            </w:tcBorders>
            <w:vAlign w:val="center"/>
          </w:tcPr>
          <w:p w14:paraId="39535A39">
            <w:pPr>
              <w:pStyle w:val="62"/>
              <w:adjustRightInd w:val="0"/>
              <w:snapToGrid w:val="0"/>
              <w:contextualSpacing w:val="0"/>
              <w:rPr>
                <w:lang w:eastAsia="zh-CN"/>
              </w:rPr>
            </w:pPr>
            <w:r>
              <w:rPr>
                <w:rFonts w:hint="eastAsia"/>
                <w:lang w:eastAsia="zh-CN"/>
              </w:rPr>
              <w:t>4086</w:t>
            </w:r>
          </w:p>
        </w:tc>
        <w:tc>
          <w:tcPr>
            <w:tcW w:w="1276" w:type="dxa"/>
            <w:tcBorders>
              <w:tl2br w:val="nil"/>
              <w:tr2bl w:val="nil"/>
            </w:tcBorders>
            <w:vAlign w:val="center"/>
          </w:tcPr>
          <w:p w14:paraId="4DB921DC">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5254D70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3500</w:t>
            </w:r>
          </w:p>
        </w:tc>
      </w:tr>
      <w:tr w14:paraId="045DEE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BCF5AF5">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2CE113B7">
            <w:pPr>
              <w:pStyle w:val="62"/>
              <w:adjustRightInd w:val="0"/>
              <w:snapToGrid w:val="0"/>
              <w:contextualSpacing w:val="0"/>
              <w:rPr>
                <w:kern w:val="2"/>
                <w:lang w:eastAsia="zh-CN"/>
              </w:rPr>
            </w:pPr>
            <w:r>
              <w:rPr>
                <w:rFonts w:hint="eastAsia"/>
                <w:kern w:val="2"/>
                <w:lang w:eastAsia="zh-CN"/>
              </w:rPr>
              <w:t>33</w:t>
            </w:r>
          </w:p>
        </w:tc>
        <w:tc>
          <w:tcPr>
            <w:tcW w:w="1917" w:type="dxa"/>
            <w:tcBorders>
              <w:tl2br w:val="nil"/>
              <w:tr2bl w:val="nil"/>
            </w:tcBorders>
            <w:vAlign w:val="center"/>
          </w:tcPr>
          <w:p w14:paraId="51BE1B7C">
            <w:pPr>
              <w:pStyle w:val="62"/>
              <w:adjustRightInd w:val="0"/>
              <w:snapToGrid w:val="0"/>
              <w:contextualSpacing w:val="0"/>
              <w:rPr>
                <w:lang w:eastAsia="en-US"/>
              </w:rPr>
            </w:pPr>
            <w:r>
              <w:rPr>
                <w:rFonts w:hint="eastAsia"/>
                <w:lang w:eastAsia="zh-CN"/>
              </w:rPr>
              <w:t>河园村</w:t>
            </w:r>
          </w:p>
        </w:tc>
        <w:tc>
          <w:tcPr>
            <w:tcW w:w="1134" w:type="dxa"/>
            <w:tcBorders>
              <w:tl2br w:val="nil"/>
              <w:tr2bl w:val="nil"/>
            </w:tcBorders>
            <w:vAlign w:val="center"/>
          </w:tcPr>
          <w:p w14:paraId="0531533F">
            <w:pPr>
              <w:pStyle w:val="62"/>
              <w:adjustRightInd w:val="0"/>
              <w:snapToGrid w:val="0"/>
              <w:contextualSpacing w:val="0"/>
              <w:rPr>
                <w:highlight w:val="yellow"/>
                <w:lang w:eastAsia="en-US"/>
              </w:rPr>
            </w:pPr>
            <w:r>
              <w:rPr>
                <w:rFonts w:hint="eastAsia"/>
                <w:lang w:eastAsia="zh-CN"/>
              </w:rPr>
              <w:t>东南</w:t>
            </w:r>
          </w:p>
        </w:tc>
        <w:tc>
          <w:tcPr>
            <w:tcW w:w="1134" w:type="dxa"/>
            <w:gridSpan w:val="2"/>
            <w:tcBorders>
              <w:tl2br w:val="nil"/>
              <w:tr2bl w:val="nil"/>
            </w:tcBorders>
            <w:vAlign w:val="center"/>
          </w:tcPr>
          <w:p w14:paraId="50533A47">
            <w:pPr>
              <w:pStyle w:val="62"/>
              <w:adjustRightInd w:val="0"/>
              <w:snapToGrid w:val="0"/>
              <w:contextualSpacing w:val="0"/>
              <w:rPr>
                <w:lang w:eastAsia="zh-CN"/>
              </w:rPr>
            </w:pPr>
            <w:r>
              <w:rPr>
                <w:rFonts w:hint="eastAsia"/>
                <w:lang w:eastAsia="zh-CN"/>
              </w:rPr>
              <w:t>2760</w:t>
            </w:r>
          </w:p>
        </w:tc>
        <w:tc>
          <w:tcPr>
            <w:tcW w:w="1276" w:type="dxa"/>
            <w:tcBorders>
              <w:tl2br w:val="nil"/>
              <w:tr2bl w:val="nil"/>
            </w:tcBorders>
            <w:vAlign w:val="center"/>
          </w:tcPr>
          <w:p w14:paraId="23EF9DF2">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3A8B12D3">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1565</w:t>
            </w:r>
          </w:p>
        </w:tc>
      </w:tr>
      <w:tr w14:paraId="54C122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2287707F">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40F36F6F">
            <w:pPr>
              <w:pStyle w:val="62"/>
              <w:adjustRightInd w:val="0"/>
              <w:snapToGrid w:val="0"/>
              <w:contextualSpacing w:val="0"/>
              <w:rPr>
                <w:kern w:val="2"/>
                <w:lang w:eastAsia="zh-CN"/>
              </w:rPr>
            </w:pPr>
            <w:r>
              <w:rPr>
                <w:rFonts w:hint="eastAsia"/>
                <w:kern w:val="2"/>
                <w:lang w:eastAsia="zh-CN"/>
              </w:rPr>
              <w:t>34</w:t>
            </w:r>
          </w:p>
        </w:tc>
        <w:tc>
          <w:tcPr>
            <w:tcW w:w="1917" w:type="dxa"/>
            <w:tcBorders>
              <w:tl2br w:val="nil"/>
              <w:tr2bl w:val="nil"/>
            </w:tcBorders>
            <w:vAlign w:val="center"/>
          </w:tcPr>
          <w:p w14:paraId="5606D11C">
            <w:pPr>
              <w:pStyle w:val="62"/>
              <w:adjustRightInd w:val="0"/>
              <w:snapToGrid w:val="0"/>
              <w:contextualSpacing w:val="0"/>
              <w:rPr>
                <w:lang w:eastAsia="en-US"/>
              </w:rPr>
            </w:pPr>
            <w:r>
              <w:rPr>
                <w:rFonts w:hint="eastAsia"/>
                <w:lang w:eastAsia="zh-CN"/>
              </w:rPr>
              <w:t>北马头村</w:t>
            </w:r>
          </w:p>
        </w:tc>
        <w:tc>
          <w:tcPr>
            <w:tcW w:w="1134" w:type="dxa"/>
            <w:tcBorders>
              <w:tl2br w:val="nil"/>
              <w:tr2bl w:val="nil"/>
            </w:tcBorders>
            <w:vAlign w:val="center"/>
          </w:tcPr>
          <w:p w14:paraId="5E910C91">
            <w:pPr>
              <w:pStyle w:val="62"/>
              <w:adjustRightInd w:val="0"/>
              <w:snapToGrid w:val="0"/>
              <w:contextualSpacing w:val="0"/>
              <w:rPr>
                <w:highlight w:val="yellow"/>
                <w:lang w:eastAsia="en-US"/>
              </w:rPr>
            </w:pPr>
            <w:r>
              <w:rPr>
                <w:rFonts w:hint="eastAsia"/>
                <w:lang w:eastAsia="zh-CN"/>
              </w:rPr>
              <w:t>东南</w:t>
            </w:r>
          </w:p>
        </w:tc>
        <w:tc>
          <w:tcPr>
            <w:tcW w:w="1134" w:type="dxa"/>
            <w:gridSpan w:val="2"/>
            <w:tcBorders>
              <w:tl2br w:val="nil"/>
              <w:tr2bl w:val="nil"/>
            </w:tcBorders>
            <w:vAlign w:val="center"/>
          </w:tcPr>
          <w:p w14:paraId="7D9BF801">
            <w:pPr>
              <w:pStyle w:val="62"/>
              <w:adjustRightInd w:val="0"/>
              <w:snapToGrid w:val="0"/>
              <w:contextualSpacing w:val="0"/>
              <w:rPr>
                <w:lang w:eastAsia="zh-CN"/>
              </w:rPr>
            </w:pPr>
            <w:r>
              <w:rPr>
                <w:rFonts w:hint="eastAsia"/>
                <w:lang w:eastAsia="zh-CN"/>
              </w:rPr>
              <w:t>4015</w:t>
            </w:r>
          </w:p>
        </w:tc>
        <w:tc>
          <w:tcPr>
            <w:tcW w:w="1276" w:type="dxa"/>
            <w:tcBorders>
              <w:tl2br w:val="nil"/>
              <w:tr2bl w:val="nil"/>
            </w:tcBorders>
            <w:vAlign w:val="center"/>
          </w:tcPr>
          <w:p w14:paraId="63863CB1">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2FD335BB">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2660</w:t>
            </w:r>
          </w:p>
        </w:tc>
      </w:tr>
      <w:tr w14:paraId="638356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1049BB26">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779D5241">
            <w:pPr>
              <w:pStyle w:val="62"/>
              <w:adjustRightInd w:val="0"/>
              <w:snapToGrid w:val="0"/>
              <w:contextualSpacing w:val="0"/>
              <w:rPr>
                <w:kern w:val="2"/>
                <w:lang w:eastAsia="zh-CN"/>
              </w:rPr>
            </w:pPr>
            <w:r>
              <w:rPr>
                <w:rFonts w:hint="eastAsia"/>
                <w:kern w:val="2"/>
                <w:lang w:eastAsia="zh-CN"/>
              </w:rPr>
              <w:t>35</w:t>
            </w:r>
          </w:p>
        </w:tc>
        <w:tc>
          <w:tcPr>
            <w:tcW w:w="1917" w:type="dxa"/>
            <w:tcBorders>
              <w:tl2br w:val="nil"/>
              <w:tr2bl w:val="nil"/>
            </w:tcBorders>
            <w:vAlign w:val="center"/>
          </w:tcPr>
          <w:p w14:paraId="69698351">
            <w:pPr>
              <w:pStyle w:val="62"/>
              <w:adjustRightInd w:val="0"/>
              <w:snapToGrid w:val="0"/>
              <w:contextualSpacing w:val="0"/>
              <w:rPr>
                <w:lang w:eastAsia="en-US"/>
              </w:rPr>
            </w:pPr>
            <w:r>
              <w:rPr>
                <w:rFonts w:hint="eastAsia"/>
                <w:lang w:eastAsia="zh-CN"/>
              </w:rPr>
              <w:t>纸坊村</w:t>
            </w:r>
          </w:p>
        </w:tc>
        <w:tc>
          <w:tcPr>
            <w:tcW w:w="1134" w:type="dxa"/>
            <w:tcBorders>
              <w:tl2br w:val="nil"/>
              <w:tr2bl w:val="nil"/>
            </w:tcBorders>
            <w:vAlign w:val="center"/>
          </w:tcPr>
          <w:p w14:paraId="0FDFB66F">
            <w:pPr>
              <w:pStyle w:val="62"/>
              <w:adjustRightInd w:val="0"/>
              <w:snapToGrid w:val="0"/>
              <w:contextualSpacing w:val="0"/>
              <w:rPr>
                <w:highlight w:val="yellow"/>
                <w:lang w:eastAsia="en-US"/>
              </w:rPr>
            </w:pPr>
            <w:r>
              <w:rPr>
                <w:rFonts w:hint="eastAsia"/>
                <w:lang w:eastAsia="zh-CN"/>
              </w:rPr>
              <w:t>东南</w:t>
            </w:r>
          </w:p>
        </w:tc>
        <w:tc>
          <w:tcPr>
            <w:tcW w:w="1134" w:type="dxa"/>
            <w:gridSpan w:val="2"/>
            <w:tcBorders>
              <w:tl2br w:val="nil"/>
              <w:tr2bl w:val="nil"/>
            </w:tcBorders>
            <w:vAlign w:val="center"/>
          </w:tcPr>
          <w:p w14:paraId="14668B68">
            <w:pPr>
              <w:pStyle w:val="62"/>
              <w:adjustRightInd w:val="0"/>
              <w:snapToGrid w:val="0"/>
              <w:contextualSpacing w:val="0"/>
              <w:rPr>
                <w:lang w:eastAsia="zh-CN"/>
              </w:rPr>
            </w:pPr>
            <w:r>
              <w:rPr>
                <w:rFonts w:hint="eastAsia"/>
                <w:lang w:eastAsia="zh-CN"/>
              </w:rPr>
              <w:t>3365</w:t>
            </w:r>
          </w:p>
        </w:tc>
        <w:tc>
          <w:tcPr>
            <w:tcW w:w="1276" w:type="dxa"/>
            <w:tcBorders>
              <w:tl2br w:val="nil"/>
              <w:tr2bl w:val="nil"/>
            </w:tcBorders>
            <w:vAlign w:val="center"/>
          </w:tcPr>
          <w:p w14:paraId="3CFEC868">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155B1D65">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904</w:t>
            </w:r>
          </w:p>
        </w:tc>
      </w:tr>
      <w:tr w14:paraId="1CD0C5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099554C">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56A0951">
            <w:pPr>
              <w:pStyle w:val="62"/>
              <w:adjustRightInd w:val="0"/>
              <w:snapToGrid w:val="0"/>
              <w:contextualSpacing w:val="0"/>
              <w:rPr>
                <w:kern w:val="2"/>
                <w:lang w:eastAsia="zh-CN"/>
              </w:rPr>
            </w:pPr>
            <w:r>
              <w:rPr>
                <w:rFonts w:hint="eastAsia"/>
                <w:kern w:val="2"/>
                <w:lang w:eastAsia="zh-CN"/>
              </w:rPr>
              <w:t>36</w:t>
            </w:r>
          </w:p>
        </w:tc>
        <w:tc>
          <w:tcPr>
            <w:tcW w:w="1917" w:type="dxa"/>
            <w:tcBorders>
              <w:tl2br w:val="nil"/>
              <w:tr2bl w:val="nil"/>
            </w:tcBorders>
            <w:vAlign w:val="center"/>
          </w:tcPr>
          <w:p w14:paraId="5FF457EB">
            <w:pPr>
              <w:pStyle w:val="62"/>
              <w:adjustRightInd w:val="0"/>
              <w:snapToGrid w:val="0"/>
              <w:contextualSpacing w:val="0"/>
              <w:rPr>
                <w:lang w:eastAsia="en-US"/>
              </w:rPr>
            </w:pPr>
            <w:r>
              <w:rPr>
                <w:rFonts w:hint="eastAsia"/>
                <w:lang w:eastAsia="zh-CN"/>
              </w:rPr>
              <w:t>南马头村</w:t>
            </w:r>
          </w:p>
        </w:tc>
        <w:tc>
          <w:tcPr>
            <w:tcW w:w="1134" w:type="dxa"/>
            <w:tcBorders>
              <w:tl2br w:val="nil"/>
              <w:tr2bl w:val="nil"/>
            </w:tcBorders>
            <w:vAlign w:val="center"/>
          </w:tcPr>
          <w:p w14:paraId="3BDDB700">
            <w:pPr>
              <w:pStyle w:val="62"/>
              <w:adjustRightInd w:val="0"/>
              <w:snapToGrid w:val="0"/>
              <w:contextualSpacing w:val="0"/>
              <w:rPr>
                <w:highlight w:val="yellow"/>
                <w:lang w:eastAsia="en-US"/>
              </w:rPr>
            </w:pPr>
            <w:r>
              <w:rPr>
                <w:rFonts w:hint="eastAsia"/>
                <w:lang w:eastAsia="zh-CN"/>
              </w:rPr>
              <w:t>东南</w:t>
            </w:r>
          </w:p>
        </w:tc>
        <w:tc>
          <w:tcPr>
            <w:tcW w:w="1134" w:type="dxa"/>
            <w:gridSpan w:val="2"/>
            <w:tcBorders>
              <w:tl2br w:val="nil"/>
              <w:tr2bl w:val="nil"/>
            </w:tcBorders>
            <w:vAlign w:val="center"/>
          </w:tcPr>
          <w:p w14:paraId="43C252AB">
            <w:pPr>
              <w:pStyle w:val="62"/>
              <w:adjustRightInd w:val="0"/>
              <w:snapToGrid w:val="0"/>
              <w:contextualSpacing w:val="0"/>
              <w:rPr>
                <w:lang w:eastAsia="zh-CN"/>
              </w:rPr>
            </w:pPr>
            <w:r>
              <w:rPr>
                <w:rFonts w:hint="eastAsia"/>
                <w:lang w:eastAsia="zh-CN"/>
              </w:rPr>
              <w:t>4078</w:t>
            </w:r>
          </w:p>
        </w:tc>
        <w:tc>
          <w:tcPr>
            <w:tcW w:w="1276" w:type="dxa"/>
            <w:tcBorders>
              <w:tl2br w:val="nil"/>
              <w:tr2bl w:val="nil"/>
            </w:tcBorders>
            <w:vAlign w:val="center"/>
          </w:tcPr>
          <w:p w14:paraId="10EA3188">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037AE5DB">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1353</w:t>
            </w:r>
          </w:p>
        </w:tc>
      </w:tr>
      <w:tr w14:paraId="33F425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1045AD87">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C1ECFC2">
            <w:pPr>
              <w:pStyle w:val="62"/>
              <w:adjustRightInd w:val="0"/>
              <w:snapToGrid w:val="0"/>
              <w:contextualSpacing w:val="0"/>
              <w:rPr>
                <w:kern w:val="2"/>
                <w:lang w:eastAsia="zh-CN"/>
              </w:rPr>
            </w:pPr>
            <w:r>
              <w:rPr>
                <w:rFonts w:hint="eastAsia"/>
                <w:kern w:val="2"/>
                <w:lang w:eastAsia="zh-CN"/>
              </w:rPr>
              <w:t>37</w:t>
            </w:r>
          </w:p>
        </w:tc>
        <w:tc>
          <w:tcPr>
            <w:tcW w:w="1917" w:type="dxa"/>
            <w:tcBorders>
              <w:tl2br w:val="nil"/>
              <w:tr2bl w:val="nil"/>
            </w:tcBorders>
            <w:vAlign w:val="center"/>
          </w:tcPr>
          <w:p w14:paraId="25153CC4">
            <w:pPr>
              <w:pStyle w:val="62"/>
              <w:adjustRightInd w:val="0"/>
              <w:snapToGrid w:val="0"/>
              <w:contextualSpacing w:val="0"/>
              <w:rPr>
                <w:lang w:eastAsia="en-US"/>
              </w:rPr>
            </w:pPr>
            <w:r>
              <w:rPr>
                <w:rFonts w:hint="eastAsia"/>
                <w:lang w:eastAsia="zh-CN"/>
              </w:rPr>
              <w:t>河洼村</w:t>
            </w:r>
          </w:p>
        </w:tc>
        <w:tc>
          <w:tcPr>
            <w:tcW w:w="1134" w:type="dxa"/>
            <w:tcBorders>
              <w:tl2br w:val="nil"/>
              <w:tr2bl w:val="nil"/>
            </w:tcBorders>
            <w:vAlign w:val="center"/>
          </w:tcPr>
          <w:p w14:paraId="3AC8E546">
            <w:pPr>
              <w:pStyle w:val="62"/>
              <w:adjustRightInd w:val="0"/>
              <w:snapToGrid w:val="0"/>
              <w:contextualSpacing w:val="0"/>
              <w:rPr>
                <w:highlight w:val="yellow"/>
                <w:lang w:eastAsia="en-US"/>
              </w:rPr>
            </w:pPr>
            <w:r>
              <w:rPr>
                <w:rFonts w:hint="eastAsia"/>
                <w:lang w:eastAsia="zh-CN"/>
              </w:rPr>
              <w:t>西北</w:t>
            </w:r>
          </w:p>
        </w:tc>
        <w:tc>
          <w:tcPr>
            <w:tcW w:w="1134" w:type="dxa"/>
            <w:gridSpan w:val="2"/>
            <w:tcBorders>
              <w:tl2br w:val="nil"/>
              <w:tr2bl w:val="nil"/>
            </w:tcBorders>
            <w:vAlign w:val="center"/>
          </w:tcPr>
          <w:p w14:paraId="48107F80">
            <w:pPr>
              <w:pStyle w:val="62"/>
              <w:adjustRightInd w:val="0"/>
              <w:snapToGrid w:val="0"/>
              <w:contextualSpacing w:val="0"/>
              <w:rPr>
                <w:lang w:eastAsia="zh-CN"/>
              </w:rPr>
            </w:pPr>
            <w:r>
              <w:rPr>
                <w:rFonts w:hint="eastAsia"/>
                <w:lang w:eastAsia="zh-CN"/>
              </w:rPr>
              <w:t>2564</w:t>
            </w:r>
          </w:p>
        </w:tc>
        <w:tc>
          <w:tcPr>
            <w:tcW w:w="1276" w:type="dxa"/>
            <w:tcBorders>
              <w:tl2br w:val="nil"/>
              <w:tr2bl w:val="nil"/>
            </w:tcBorders>
            <w:vAlign w:val="center"/>
          </w:tcPr>
          <w:p w14:paraId="3BF83FDF">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3DB716D8">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2000</w:t>
            </w:r>
          </w:p>
        </w:tc>
      </w:tr>
      <w:tr w14:paraId="682DEA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3844E3DC">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45E634D4">
            <w:pPr>
              <w:pStyle w:val="62"/>
              <w:adjustRightInd w:val="0"/>
              <w:snapToGrid w:val="0"/>
              <w:contextualSpacing w:val="0"/>
              <w:rPr>
                <w:kern w:val="2"/>
                <w:lang w:eastAsia="zh-CN"/>
              </w:rPr>
            </w:pPr>
            <w:r>
              <w:rPr>
                <w:rFonts w:hint="eastAsia"/>
                <w:kern w:val="2"/>
                <w:lang w:eastAsia="zh-CN"/>
              </w:rPr>
              <w:t>38</w:t>
            </w:r>
          </w:p>
        </w:tc>
        <w:tc>
          <w:tcPr>
            <w:tcW w:w="1917" w:type="dxa"/>
            <w:tcBorders>
              <w:tl2br w:val="nil"/>
              <w:tr2bl w:val="nil"/>
            </w:tcBorders>
            <w:vAlign w:val="center"/>
          </w:tcPr>
          <w:p w14:paraId="2B8594EA">
            <w:pPr>
              <w:pStyle w:val="62"/>
              <w:adjustRightInd w:val="0"/>
              <w:snapToGrid w:val="0"/>
              <w:contextualSpacing w:val="0"/>
              <w:rPr>
                <w:lang w:eastAsia="zh-CN"/>
              </w:rPr>
            </w:pPr>
            <w:r>
              <w:rPr>
                <w:rFonts w:hint="eastAsia"/>
                <w:lang w:eastAsia="zh-CN"/>
              </w:rPr>
              <w:t>石屏村</w:t>
            </w:r>
          </w:p>
        </w:tc>
        <w:tc>
          <w:tcPr>
            <w:tcW w:w="1134" w:type="dxa"/>
            <w:tcBorders>
              <w:tl2br w:val="nil"/>
              <w:tr2bl w:val="nil"/>
            </w:tcBorders>
            <w:vAlign w:val="center"/>
          </w:tcPr>
          <w:p w14:paraId="3EAE9E10">
            <w:pPr>
              <w:pStyle w:val="62"/>
              <w:adjustRightInd w:val="0"/>
              <w:snapToGrid w:val="0"/>
              <w:contextualSpacing w:val="0"/>
              <w:rPr>
                <w:highlight w:val="yellow"/>
                <w:lang w:eastAsia="en-US"/>
              </w:rPr>
            </w:pPr>
            <w:r>
              <w:rPr>
                <w:rFonts w:hint="eastAsia"/>
                <w:lang w:eastAsia="zh-CN"/>
              </w:rPr>
              <w:t>西北</w:t>
            </w:r>
          </w:p>
        </w:tc>
        <w:tc>
          <w:tcPr>
            <w:tcW w:w="1134" w:type="dxa"/>
            <w:gridSpan w:val="2"/>
            <w:tcBorders>
              <w:tl2br w:val="nil"/>
              <w:tr2bl w:val="nil"/>
            </w:tcBorders>
            <w:vAlign w:val="center"/>
          </w:tcPr>
          <w:p w14:paraId="4BF2A979">
            <w:pPr>
              <w:pStyle w:val="62"/>
              <w:adjustRightInd w:val="0"/>
              <w:snapToGrid w:val="0"/>
              <w:contextualSpacing w:val="0"/>
              <w:rPr>
                <w:lang w:eastAsia="zh-CN"/>
              </w:rPr>
            </w:pPr>
            <w:r>
              <w:rPr>
                <w:rFonts w:hint="eastAsia"/>
                <w:lang w:eastAsia="zh-CN"/>
              </w:rPr>
              <w:t>2850</w:t>
            </w:r>
          </w:p>
        </w:tc>
        <w:tc>
          <w:tcPr>
            <w:tcW w:w="1276" w:type="dxa"/>
            <w:tcBorders>
              <w:tl2br w:val="nil"/>
              <w:tr2bl w:val="nil"/>
            </w:tcBorders>
            <w:vAlign w:val="center"/>
          </w:tcPr>
          <w:p w14:paraId="375C62BF">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6E45006B">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900</w:t>
            </w:r>
          </w:p>
        </w:tc>
      </w:tr>
      <w:tr w14:paraId="4315C3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47EA4EE">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498A28B6">
            <w:pPr>
              <w:pStyle w:val="62"/>
              <w:adjustRightInd w:val="0"/>
              <w:snapToGrid w:val="0"/>
              <w:contextualSpacing w:val="0"/>
              <w:rPr>
                <w:kern w:val="2"/>
                <w:lang w:eastAsia="zh-CN"/>
              </w:rPr>
            </w:pPr>
            <w:r>
              <w:rPr>
                <w:rFonts w:hint="eastAsia"/>
                <w:kern w:val="2"/>
                <w:lang w:eastAsia="zh-CN"/>
              </w:rPr>
              <w:t>39</w:t>
            </w:r>
          </w:p>
        </w:tc>
        <w:tc>
          <w:tcPr>
            <w:tcW w:w="1917" w:type="dxa"/>
            <w:tcBorders>
              <w:tl2br w:val="nil"/>
              <w:tr2bl w:val="nil"/>
            </w:tcBorders>
            <w:vAlign w:val="center"/>
          </w:tcPr>
          <w:p w14:paraId="54489752">
            <w:pPr>
              <w:pStyle w:val="62"/>
              <w:adjustRightInd w:val="0"/>
              <w:snapToGrid w:val="0"/>
              <w:contextualSpacing w:val="0"/>
              <w:rPr>
                <w:lang w:eastAsia="en-US"/>
              </w:rPr>
            </w:pPr>
            <w:r>
              <w:rPr>
                <w:rFonts w:hint="eastAsia"/>
                <w:lang w:eastAsia="zh-CN"/>
              </w:rPr>
              <w:t>李庄</w:t>
            </w:r>
          </w:p>
        </w:tc>
        <w:tc>
          <w:tcPr>
            <w:tcW w:w="1134" w:type="dxa"/>
            <w:tcBorders>
              <w:tl2br w:val="nil"/>
              <w:tr2bl w:val="nil"/>
            </w:tcBorders>
            <w:vAlign w:val="center"/>
          </w:tcPr>
          <w:p w14:paraId="7FE21062">
            <w:pPr>
              <w:pStyle w:val="62"/>
              <w:adjustRightInd w:val="0"/>
              <w:snapToGrid w:val="0"/>
              <w:contextualSpacing w:val="0"/>
              <w:rPr>
                <w:highlight w:val="yellow"/>
                <w:lang w:eastAsia="en-US"/>
              </w:rPr>
            </w:pPr>
            <w:r>
              <w:rPr>
                <w:rFonts w:hint="eastAsia"/>
                <w:lang w:eastAsia="zh-CN"/>
              </w:rPr>
              <w:t>东南</w:t>
            </w:r>
          </w:p>
        </w:tc>
        <w:tc>
          <w:tcPr>
            <w:tcW w:w="1134" w:type="dxa"/>
            <w:gridSpan w:val="2"/>
            <w:tcBorders>
              <w:tl2br w:val="nil"/>
              <w:tr2bl w:val="nil"/>
            </w:tcBorders>
            <w:vAlign w:val="center"/>
          </w:tcPr>
          <w:p w14:paraId="1E9B7983">
            <w:pPr>
              <w:pStyle w:val="62"/>
              <w:adjustRightInd w:val="0"/>
              <w:snapToGrid w:val="0"/>
              <w:contextualSpacing w:val="0"/>
              <w:rPr>
                <w:lang w:eastAsia="zh-CN"/>
              </w:rPr>
            </w:pPr>
            <w:r>
              <w:rPr>
                <w:rFonts w:hint="eastAsia"/>
                <w:lang w:eastAsia="zh-CN"/>
              </w:rPr>
              <w:t>2550</w:t>
            </w:r>
          </w:p>
        </w:tc>
        <w:tc>
          <w:tcPr>
            <w:tcW w:w="1276" w:type="dxa"/>
            <w:tcBorders>
              <w:tl2br w:val="nil"/>
              <w:tr2bl w:val="nil"/>
            </w:tcBorders>
            <w:vAlign w:val="center"/>
          </w:tcPr>
          <w:p w14:paraId="4D915E72">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5CE11CAB">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812</w:t>
            </w:r>
          </w:p>
        </w:tc>
      </w:tr>
      <w:tr w14:paraId="617BB0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34F92D16">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64371F1">
            <w:pPr>
              <w:pStyle w:val="62"/>
              <w:adjustRightInd w:val="0"/>
              <w:snapToGrid w:val="0"/>
              <w:contextualSpacing w:val="0"/>
              <w:rPr>
                <w:kern w:val="2"/>
                <w:lang w:eastAsia="zh-CN"/>
              </w:rPr>
            </w:pPr>
            <w:r>
              <w:rPr>
                <w:rFonts w:hint="eastAsia"/>
                <w:kern w:val="2"/>
                <w:lang w:eastAsia="zh-CN"/>
              </w:rPr>
              <w:t>40</w:t>
            </w:r>
          </w:p>
        </w:tc>
        <w:tc>
          <w:tcPr>
            <w:tcW w:w="1917" w:type="dxa"/>
            <w:tcBorders>
              <w:tl2br w:val="nil"/>
              <w:tr2bl w:val="nil"/>
            </w:tcBorders>
            <w:vAlign w:val="center"/>
          </w:tcPr>
          <w:p w14:paraId="7477194B">
            <w:pPr>
              <w:pStyle w:val="62"/>
              <w:adjustRightInd w:val="0"/>
              <w:snapToGrid w:val="0"/>
              <w:contextualSpacing w:val="0"/>
              <w:rPr>
                <w:lang w:eastAsia="en-US"/>
              </w:rPr>
            </w:pPr>
            <w:r>
              <w:rPr>
                <w:rFonts w:hint="eastAsia"/>
                <w:lang w:eastAsia="zh-CN"/>
              </w:rPr>
              <w:t>石庄村</w:t>
            </w:r>
          </w:p>
        </w:tc>
        <w:tc>
          <w:tcPr>
            <w:tcW w:w="1134" w:type="dxa"/>
            <w:tcBorders>
              <w:tl2br w:val="nil"/>
              <w:tr2bl w:val="nil"/>
            </w:tcBorders>
            <w:vAlign w:val="center"/>
          </w:tcPr>
          <w:p w14:paraId="18123DEC">
            <w:pPr>
              <w:pStyle w:val="62"/>
              <w:adjustRightInd w:val="0"/>
              <w:snapToGrid w:val="0"/>
              <w:contextualSpacing w:val="0"/>
              <w:rPr>
                <w:highlight w:val="yellow"/>
                <w:lang w:eastAsia="en-US"/>
              </w:rPr>
            </w:pPr>
            <w:r>
              <w:rPr>
                <w:rFonts w:hint="eastAsia"/>
                <w:lang w:eastAsia="zh-CN"/>
              </w:rPr>
              <w:t>南</w:t>
            </w:r>
          </w:p>
        </w:tc>
        <w:tc>
          <w:tcPr>
            <w:tcW w:w="1134" w:type="dxa"/>
            <w:gridSpan w:val="2"/>
            <w:tcBorders>
              <w:tl2br w:val="nil"/>
              <w:tr2bl w:val="nil"/>
            </w:tcBorders>
            <w:vAlign w:val="center"/>
          </w:tcPr>
          <w:p w14:paraId="0EDE3AF6">
            <w:pPr>
              <w:pStyle w:val="62"/>
              <w:adjustRightInd w:val="0"/>
              <w:snapToGrid w:val="0"/>
              <w:contextualSpacing w:val="0"/>
              <w:rPr>
                <w:lang w:eastAsia="zh-CN"/>
              </w:rPr>
            </w:pPr>
            <w:r>
              <w:rPr>
                <w:rFonts w:hint="eastAsia"/>
                <w:lang w:eastAsia="zh-CN"/>
              </w:rPr>
              <w:t>2625</w:t>
            </w:r>
          </w:p>
        </w:tc>
        <w:tc>
          <w:tcPr>
            <w:tcW w:w="1276" w:type="dxa"/>
            <w:tcBorders>
              <w:tl2br w:val="nil"/>
              <w:tr2bl w:val="nil"/>
            </w:tcBorders>
            <w:vAlign w:val="center"/>
          </w:tcPr>
          <w:p w14:paraId="7E88B9FE">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5E54422D">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982</w:t>
            </w:r>
          </w:p>
        </w:tc>
      </w:tr>
      <w:tr w14:paraId="76D872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6138D858">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CD087F3">
            <w:pPr>
              <w:pStyle w:val="62"/>
              <w:adjustRightInd w:val="0"/>
              <w:snapToGrid w:val="0"/>
              <w:contextualSpacing w:val="0"/>
              <w:rPr>
                <w:kern w:val="2"/>
                <w:lang w:eastAsia="zh-CN"/>
              </w:rPr>
            </w:pPr>
            <w:r>
              <w:rPr>
                <w:rFonts w:hint="eastAsia"/>
                <w:kern w:val="2"/>
                <w:lang w:eastAsia="zh-CN"/>
              </w:rPr>
              <w:t>41</w:t>
            </w:r>
          </w:p>
        </w:tc>
        <w:tc>
          <w:tcPr>
            <w:tcW w:w="1917" w:type="dxa"/>
            <w:tcBorders>
              <w:tl2br w:val="nil"/>
              <w:tr2bl w:val="nil"/>
            </w:tcBorders>
            <w:vAlign w:val="center"/>
          </w:tcPr>
          <w:p w14:paraId="46FC6944">
            <w:pPr>
              <w:pStyle w:val="62"/>
              <w:adjustRightInd w:val="0"/>
              <w:snapToGrid w:val="0"/>
              <w:contextualSpacing w:val="0"/>
              <w:rPr>
                <w:lang w:eastAsia="en-US"/>
              </w:rPr>
            </w:pPr>
            <w:r>
              <w:rPr>
                <w:rFonts w:hint="eastAsia"/>
                <w:lang w:eastAsia="zh-CN"/>
              </w:rPr>
              <w:t>南社村</w:t>
            </w:r>
          </w:p>
        </w:tc>
        <w:tc>
          <w:tcPr>
            <w:tcW w:w="1134" w:type="dxa"/>
            <w:tcBorders>
              <w:tl2br w:val="nil"/>
              <w:tr2bl w:val="nil"/>
            </w:tcBorders>
            <w:vAlign w:val="center"/>
          </w:tcPr>
          <w:p w14:paraId="5C5F366F">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4BB82D45">
            <w:pPr>
              <w:pStyle w:val="62"/>
              <w:adjustRightInd w:val="0"/>
              <w:snapToGrid w:val="0"/>
              <w:contextualSpacing w:val="0"/>
              <w:rPr>
                <w:lang w:eastAsia="zh-CN"/>
              </w:rPr>
            </w:pPr>
            <w:r>
              <w:rPr>
                <w:rFonts w:hint="eastAsia"/>
                <w:lang w:eastAsia="zh-CN"/>
              </w:rPr>
              <w:t>2855</w:t>
            </w:r>
          </w:p>
        </w:tc>
        <w:tc>
          <w:tcPr>
            <w:tcW w:w="1276" w:type="dxa"/>
            <w:tcBorders>
              <w:tl2br w:val="nil"/>
              <w:tr2bl w:val="nil"/>
            </w:tcBorders>
            <w:vAlign w:val="center"/>
          </w:tcPr>
          <w:p w14:paraId="73AD8DF3">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642B93F8">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1729</w:t>
            </w:r>
          </w:p>
        </w:tc>
      </w:tr>
      <w:tr w14:paraId="7D7659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689F1814">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3A6BAB2E">
            <w:pPr>
              <w:pStyle w:val="62"/>
              <w:adjustRightInd w:val="0"/>
              <w:snapToGrid w:val="0"/>
              <w:contextualSpacing w:val="0"/>
              <w:rPr>
                <w:kern w:val="2"/>
                <w:lang w:eastAsia="zh-CN"/>
              </w:rPr>
            </w:pPr>
            <w:r>
              <w:rPr>
                <w:rFonts w:hint="eastAsia"/>
                <w:kern w:val="2"/>
                <w:lang w:eastAsia="zh-CN"/>
              </w:rPr>
              <w:t>42</w:t>
            </w:r>
          </w:p>
        </w:tc>
        <w:tc>
          <w:tcPr>
            <w:tcW w:w="1917" w:type="dxa"/>
            <w:tcBorders>
              <w:tl2br w:val="nil"/>
              <w:tr2bl w:val="nil"/>
            </w:tcBorders>
            <w:vAlign w:val="center"/>
          </w:tcPr>
          <w:p w14:paraId="4F92DD79">
            <w:pPr>
              <w:pStyle w:val="62"/>
              <w:adjustRightInd w:val="0"/>
              <w:snapToGrid w:val="0"/>
              <w:contextualSpacing w:val="0"/>
              <w:rPr>
                <w:lang w:eastAsia="en-US"/>
              </w:rPr>
            </w:pPr>
            <w:r>
              <w:rPr>
                <w:rFonts w:hint="eastAsia"/>
                <w:lang w:eastAsia="zh-CN"/>
              </w:rPr>
              <w:t>王奎屯村</w:t>
            </w:r>
          </w:p>
        </w:tc>
        <w:tc>
          <w:tcPr>
            <w:tcW w:w="1134" w:type="dxa"/>
            <w:tcBorders>
              <w:tl2br w:val="nil"/>
              <w:tr2bl w:val="nil"/>
            </w:tcBorders>
            <w:vAlign w:val="center"/>
          </w:tcPr>
          <w:p w14:paraId="50475C06">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5CA22FB0">
            <w:pPr>
              <w:pStyle w:val="62"/>
              <w:adjustRightInd w:val="0"/>
              <w:snapToGrid w:val="0"/>
              <w:contextualSpacing w:val="0"/>
              <w:rPr>
                <w:lang w:eastAsia="zh-CN"/>
              </w:rPr>
            </w:pPr>
            <w:r>
              <w:rPr>
                <w:rFonts w:hint="eastAsia"/>
                <w:lang w:eastAsia="zh-CN"/>
              </w:rPr>
              <w:t>3023</w:t>
            </w:r>
          </w:p>
        </w:tc>
        <w:tc>
          <w:tcPr>
            <w:tcW w:w="1276" w:type="dxa"/>
            <w:tcBorders>
              <w:tl2br w:val="nil"/>
              <w:tr2bl w:val="nil"/>
            </w:tcBorders>
            <w:vAlign w:val="center"/>
          </w:tcPr>
          <w:p w14:paraId="550C6726">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57DE127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1820</w:t>
            </w:r>
          </w:p>
        </w:tc>
      </w:tr>
      <w:tr w14:paraId="29520F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0597ADC">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43CB300D">
            <w:pPr>
              <w:pStyle w:val="62"/>
              <w:adjustRightInd w:val="0"/>
              <w:snapToGrid w:val="0"/>
              <w:contextualSpacing w:val="0"/>
              <w:rPr>
                <w:kern w:val="2"/>
                <w:lang w:eastAsia="zh-CN"/>
              </w:rPr>
            </w:pPr>
            <w:r>
              <w:rPr>
                <w:rFonts w:hint="eastAsia"/>
                <w:kern w:val="2"/>
                <w:lang w:eastAsia="zh-CN"/>
              </w:rPr>
              <w:t>43</w:t>
            </w:r>
          </w:p>
        </w:tc>
        <w:tc>
          <w:tcPr>
            <w:tcW w:w="1917" w:type="dxa"/>
            <w:tcBorders>
              <w:tl2br w:val="nil"/>
              <w:tr2bl w:val="nil"/>
            </w:tcBorders>
            <w:vAlign w:val="center"/>
          </w:tcPr>
          <w:p w14:paraId="64FF2C4D">
            <w:pPr>
              <w:pStyle w:val="62"/>
              <w:adjustRightInd w:val="0"/>
              <w:snapToGrid w:val="0"/>
              <w:contextualSpacing w:val="0"/>
              <w:rPr>
                <w:lang w:eastAsia="zh-CN"/>
              </w:rPr>
            </w:pPr>
            <w:r>
              <w:rPr>
                <w:rFonts w:hint="eastAsia"/>
                <w:lang w:eastAsia="zh-CN"/>
              </w:rPr>
              <w:t>新乡职业技术学院北校区</w:t>
            </w:r>
          </w:p>
        </w:tc>
        <w:tc>
          <w:tcPr>
            <w:tcW w:w="1134" w:type="dxa"/>
            <w:tcBorders>
              <w:tl2br w:val="nil"/>
              <w:tr2bl w:val="nil"/>
            </w:tcBorders>
            <w:vAlign w:val="center"/>
          </w:tcPr>
          <w:p w14:paraId="2C536E0D">
            <w:pPr>
              <w:pStyle w:val="62"/>
              <w:adjustRightInd w:val="0"/>
              <w:snapToGrid w:val="0"/>
              <w:contextualSpacing w:val="0"/>
              <w:rPr>
                <w:highlight w:val="yellow"/>
                <w:lang w:eastAsia="en-US"/>
              </w:rPr>
            </w:pPr>
            <w:r>
              <w:rPr>
                <w:rFonts w:hint="eastAsia"/>
                <w:lang w:eastAsia="zh-CN"/>
              </w:rPr>
              <w:t>南</w:t>
            </w:r>
          </w:p>
        </w:tc>
        <w:tc>
          <w:tcPr>
            <w:tcW w:w="1134" w:type="dxa"/>
            <w:gridSpan w:val="2"/>
            <w:tcBorders>
              <w:tl2br w:val="nil"/>
              <w:tr2bl w:val="nil"/>
            </w:tcBorders>
            <w:vAlign w:val="center"/>
          </w:tcPr>
          <w:p w14:paraId="17B1A7AA">
            <w:pPr>
              <w:pStyle w:val="62"/>
              <w:adjustRightInd w:val="0"/>
              <w:snapToGrid w:val="0"/>
              <w:contextualSpacing w:val="0"/>
              <w:rPr>
                <w:lang w:eastAsia="zh-CN"/>
              </w:rPr>
            </w:pPr>
            <w:r>
              <w:rPr>
                <w:rFonts w:hint="eastAsia"/>
                <w:lang w:eastAsia="zh-CN"/>
              </w:rPr>
              <w:t>3580</w:t>
            </w:r>
          </w:p>
        </w:tc>
        <w:tc>
          <w:tcPr>
            <w:tcW w:w="1276" w:type="dxa"/>
            <w:tcBorders>
              <w:tl2br w:val="nil"/>
              <w:tr2bl w:val="nil"/>
            </w:tcBorders>
            <w:vAlign w:val="center"/>
          </w:tcPr>
          <w:p w14:paraId="1579EE6A">
            <w:pPr>
              <w:pStyle w:val="62"/>
              <w:adjustRightInd w:val="0"/>
              <w:snapToGrid w:val="0"/>
              <w:contextualSpacing w:val="0"/>
              <w:rPr>
                <w:lang w:eastAsia="en-US"/>
              </w:rPr>
            </w:pPr>
            <w:r>
              <w:rPr>
                <w:rFonts w:hint="eastAsia"/>
                <w:lang w:eastAsia="zh-CN"/>
              </w:rPr>
              <w:t>文化教育</w:t>
            </w:r>
            <w:r>
              <w:rPr>
                <w:lang w:eastAsia="en-US"/>
              </w:rPr>
              <w:t>区</w:t>
            </w:r>
          </w:p>
        </w:tc>
        <w:tc>
          <w:tcPr>
            <w:tcW w:w="1350" w:type="dxa"/>
            <w:tcBorders>
              <w:tl2br w:val="nil"/>
              <w:tr2bl w:val="nil"/>
            </w:tcBorders>
            <w:vAlign w:val="center"/>
          </w:tcPr>
          <w:p w14:paraId="01BC213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3500</w:t>
            </w:r>
          </w:p>
        </w:tc>
      </w:tr>
      <w:tr w14:paraId="7705B2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C2E10CB">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1E4717E9">
            <w:pPr>
              <w:pStyle w:val="62"/>
              <w:adjustRightInd w:val="0"/>
              <w:snapToGrid w:val="0"/>
              <w:contextualSpacing w:val="0"/>
              <w:rPr>
                <w:kern w:val="2"/>
                <w:lang w:eastAsia="zh-CN"/>
              </w:rPr>
            </w:pPr>
            <w:r>
              <w:rPr>
                <w:rFonts w:hint="eastAsia"/>
                <w:kern w:val="2"/>
                <w:lang w:eastAsia="zh-CN"/>
              </w:rPr>
              <w:t>44</w:t>
            </w:r>
          </w:p>
        </w:tc>
        <w:tc>
          <w:tcPr>
            <w:tcW w:w="1917" w:type="dxa"/>
            <w:tcBorders>
              <w:tl2br w:val="nil"/>
              <w:tr2bl w:val="nil"/>
            </w:tcBorders>
            <w:vAlign w:val="center"/>
          </w:tcPr>
          <w:p w14:paraId="286D0928">
            <w:pPr>
              <w:pStyle w:val="62"/>
              <w:adjustRightInd w:val="0"/>
              <w:snapToGrid w:val="0"/>
              <w:contextualSpacing w:val="0"/>
              <w:rPr>
                <w:lang w:eastAsia="en-US"/>
              </w:rPr>
            </w:pPr>
            <w:r>
              <w:rPr>
                <w:rFonts w:hint="eastAsia"/>
                <w:lang w:eastAsia="zh-CN"/>
              </w:rPr>
              <w:t>七里铺村</w:t>
            </w:r>
          </w:p>
        </w:tc>
        <w:tc>
          <w:tcPr>
            <w:tcW w:w="1134" w:type="dxa"/>
            <w:tcBorders>
              <w:tl2br w:val="nil"/>
              <w:tr2bl w:val="nil"/>
            </w:tcBorders>
            <w:vAlign w:val="center"/>
          </w:tcPr>
          <w:p w14:paraId="7A051041">
            <w:pPr>
              <w:pStyle w:val="62"/>
              <w:adjustRightInd w:val="0"/>
              <w:snapToGrid w:val="0"/>
              <w:contextualSpacing w:val="0"/>
              <w:rPr>
                <w:highlight w:val="yellow"/>
                <w:lang w:eastAsia="en-US"/>
              </w:rPr>
            </w:pPr>
            <w:r>
              <w:rPr>
                <w:rFonts w:hint="eastAsia"/>
                <w:lang w:eastAsia="zh-CN"/>
              </w:rPr>
              <w:t>南</w:t>
            </w:r>
          </w:p>
        </w:tc>
        <w:tc>
          <w:tcPr>
            <w:tcW w:w="1134" w:type="dxa"/>
            <w:gridSpan w:val="2"/>
            <w:tcBorders>
              <w:tl2br w:val="nil"/>
              <w:tr2bl w:val="nil"/>
            </w:tcBorders>
            <w:vAlign w:val="center"/>
          </w:tcPr>
          <w:p w14:paraId="2F4D8DD1">
            <w:pPr>
              <w:pStyle w:val="62"/>
              <w:adjustRightInd w:val="0"/>
              <w:snapToGrid w:val="0"/>
              <w:contextualSpacing w:val="0"/>
              <w:rPr>
                <w:lang w:eastAsia="zh-CN"/>
              </w:rPr>
            </w:pPr>
            <w:r>
              <w:rPr>
                <w:rFonts w:hint="eastAsia"/>
                <w:lang w:eastAsia="zh-CN"/>
              </w:rPr>
              <w:t>4750</w:t>
            </w:r>
          </w:p>
        </w:tc>
        <w:tc>
          <w:tcPr>
            <w:tcW w:w="1276" w:type="dxa"/>
            <w:tcBorders>
              <w:tl2br w:val="nil"/>
              <w:tr2bl w:val="nil"/>
            </w:tcBorders>
            <w:vAlign w:val="center"/>
          </w:tcPr>
          <w:p w14:paraId="4D465CAC">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1F5E12D8">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640</w:t>
            </w:r>
          </w:p>
        </w:tc>
      </w:tr>
      <w:tr w14:paraId="46DF1E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30A07D88">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17FC92DD">
            <w:pPr>
              <w:pStyle w:val="62"/>
              <w:adjustRightInd w:val="0"/>
              <w:snapToGrid w:val="0"/>
              <w:contextualSpacing w:val="0"/>
              <w:rPr>
                <w:kern w:val="2"/>
                <w:lang w:eastAsia="zh-CN"/>
              </w:rPr>
            </w:pPr>
            <w:r>
              <w:rPr>
                <w:rFonts w:hint="eastAsia"/>
                <w:kern w:val="2"/>
                <w:lang w:eastAsia="zh-CN"/>
              </w:rPr>
              <w:t>45</w:t>
            </w:r>
          </w:p>
        </w:tc>
        <w:tc>
          <w:tcPr>
            <w:tcW w:w="1917" w:type="dxa"/>
            <w:tcBorders>
              <w:tl2br w:val="nil"/>
              <w:tr2bl w:val="nil"/>
            </w:tcBorders>
            <w:vAlign w:val="center"/>
          </w:tcPr>
          <w:p w14:paraId="4F9AF490">
            <w:pPr>
              <w:pStyle w:val="62"/>
              <w:adjustRightInd w:val="0"/>
              <w:snapToGrid w:val="0"/>
              <w:contextualSpacing w:val="0"/>
              <w:rPr>
                <w:lang w:eastAsia="en-US"/>
              </w:rPr>
            </w:pPr>
            <w:r>
              <w:rPr>
                <w:rFonts w:hint="eastAsia"/>
                <w:lang w:eastAsia="zh-CN"/>
              </w:rPr>
              <w:t>杨大屯村</w:t>
            </w:r>
          </w:p>
        </w:tc>
        <w:tc>
          <w:tcPr>
            <w:tcW w:w="1134" w:type="dxa"/>
            <w:tcBorders>
              <w:tl2br w:val="nil"/>
              <w:tr2bl w:val="nil"/>
            </w:tcBorders>
            <w:vAlign w:val="center"/>
          </w:tcPr>
          <w:p w14:paraId="06A50EB5">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0531F9CB">
            <w:pPr>
              <w:pStyle w:val="62"/>
              <w:adjustRightInd w:val="0"/>
              <w:snapToGrid w:val="0"/>
              <w:contextualSpacing w:val="0"/>
              <w:rPr>
                <w:lang w:eastAsia="zh-CN"/>
              </w:rPr>
            </w:pPr>
            <w:r>
              <w:rPr>
                <w:rFonts w:hint="eastAsia"/>
                <w:lang w:eastAsia="zh-CN"/>
              </w:rPr>
              <w:t>4005</w:t>
            </w:r>
          </w:p>
        </w:tc>
        <w:tc>
          <w:tcPr>
            <w:tcW w:w="1276" w:type="dxa"/>
            <w:tcBorders>
              <w:tl2br w:val="nil"/>
              <w:tr2bl w:val="nil"/>
            </w:tcBorders>
            <w:vAlign w:val="center"/>
          </w:tcPr>
          <w:p w14:paraId="69489186">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2003A509">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1230</w:t>
            </w:r>
          </w:p>
        </w:tc>
      </w:tr>
      <w:tr w14:paraId="761FFE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78A46169">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539F6F3">
            <w:pPr>
              <w:pStyle w:val="62"/>
              <w:adjustRightInd w:val="0"/>
              <w:snapToGrid w:val="0"/>
              <w:contextualSpacing w:val="0"/>
              <w:rPr>
                <w:kern w:val="2"/>
                <w:lang w:eastAsia="zh-CN"/>
              </w:rPr>
            </w:pPr>
            <w:r>
              <w:rPr>
                <w:rFonts w:hint="eastAsia"/>
                <w:kern w:val="2"/>
                <w:lang w:eastAsia="zh-CN"/>
              </w:rPr>
              <w:t>46</w:t>
            </w:r>
          </w:p>
        </w:tc>
        <w:tc>
          <w:tcPr>
            <w:tcW w:w="1917" w:type="dxa"/>
            <w:tcBorders>
              <w:tl2br w:val="nil"/>
              <w:tr2bl w:val="nil"/>
            </w:tcBorders>
            <w:vAlign w:val="center"/>
          </w:tcPr>
          <w:p w14:paraId="2BC3A138">
            <w:pPr>
              <w:pStyle w:val="62"/>
              <w:adjustRightInd w:val="0"/>
              <w:snapToGrid w:val="0"/>
              <w:contextualSpacing w:val="0"/>
              <w:rPr>
                <w:lang w:eastAsia="en-US"/>
              </w:rPr>
            </w:pPr>
            <w:r>
              <w:rPr>
                <w:rFonts w:hint="eastAsia"/>
                <w:lang w:eastAsia="zh-CN"/>
              </w:rPr>
              <w:t>西藏屯村</w:t>
            </w:r>
          </w:p>
        </w:tc>
        <w:tc>
          <w:tcPr>
            <w:tcW w:w="1134" w:type="dxa"/>
            <w:tcBorders>
              <w:tl2br w:val="nil"/>
              <w:tr2bl w:val="nil"/>
            </w:tcBorders>
            <w:vAlign w:val="center"/>
          </w:tcPr>
          <w:p w14:paraId="0B0CAC20">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003405BF">
            <w:pPr>
              <w:pStyle w:val="62"/>
              <w:adjustRightInd w:val="0"/>
              <w:snapToGrid w:val="0"/>
              <w:contextualSpacing w:val="0"/>
              <w:rPr>
                <w:lang w:eastAsia="zh-CN"/>
              </w:rPr>
            </w:pPr>
            <w:r>
              <w:rPr>
                <w:rFonts w:hint="eastAsia"/>
                <w:lang w:eastAsia="zh-CN"/>
              </w:rPr>
              <w:t>3840</w:t>
            </w:r>
          </w:p>
        </w:tc>
        <w:tc>
          <w:tcPr>
            <w:tcW w:w="1276" w:type="dxa"/>
            <w:tcBorders>
              <w:tl2br w:val="nil"/>
              <w:tr2bl w:val="nil"/>
            </w:tcBorders>
            <w:vAlign w:val="center"/>
          </w:tcPr>
          <w:p w14:paraId="66CD13C0">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647BA2C3">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420</w:t>
            </w:r>
          </w:p>
        </w:tc>
      </w:tr>
      <w:tr w14:paraId="5AAB20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446B227E">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5D170BDF">
            <w:pPr>
              <w:pStyle w:val="62"/>
              <w:adjustRightInd w:val="0"/>
              <w:snapToGrid w:val="0"/>
              <w:contextualSpacing w:val="0"/>
              <w:rPr>
                <w:kern w:val="2"/>
                <w:lang w:eastAsia="zh-CN"/>
              </w:rPr>
            </w:pPr>
            <w:r>
              <w:rPr>
                <w:rFonts w:hint="eastAsia"/>
                <w:kern w:val="2"/>
                <w:lang w:eastAsia="zh-CN"/>
              </w:rPr>
              <w:t>47</w:t>
            </w:r>
          </w:p>
        </w:tc>
        <w:tc>
          <w:tcPr>
            <w:tcW w:w="1917" w:type="dxa"/>
            <w:tcBorders>
              <w:tl2br w:val="nil"/>
              <w:tr2bl w:val="nil"/>
            </w:tcBorders>
            <w:vAlign w:val="center"/>
          </w:tcPr>
          <w:p w14:paraId="582F4A85">
            <w:pPr>
              <w:pStyle w:val="62"/>
              <w:adjustRightInd w:val="0"/>
              <w:snapToGrid w:val="0"/>
              <w:contextualSpacing w:val="0"/>
              <w:rPr>
                <w:lang w:eastAsia="en-US"/>
              </w:rPr>
            </w:pPr>
            <w:r>
              <w:rPr>
                <w:rFonts w:hint="eastAsia"/>
                <w:lang w:eastAsia="zh-CN"/>
              </w:rPr>
              <w:t>段先屯村</w:t>
            </w:r>
          </w:p>
        </w:tc>
        <w:tc>
          <w:tcPr>
            <w:tcW w:w="1134" w:type="dxa"/>
            <w:tcBorders>
              <w:tl2br w:val="nil"/>
              <w:tr2bl w:val="nil"/>
            </w:tcBorders>
            <w:vAlign w:val="center"/>
          </w:tcPr>
          <w:p w14:paraId="294AA85C">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3029954F">
            <w:pPr>
              <w:pStyle w:val="62"/>
              <w:adjustRightInd w:val="0"/>
              <w:snapToGrid w:val="0"/>
              <w:contextualSpacing w:val="0"/>
              <w:rPr>
                <w:lang w:eastAsia="zh-CN"/>
              </w:rPr>
            </w:pPr>
            <w:r>
              <w:rPr>
                <w:rFonts w:hint="eastAsia"/>
                <w:lang w:eastAsia="zh-CN"/>
              </w:rPr>
              <w:t>4620</w:t>
            </w:r>
          </w:p>
        </w:tc>
        <w:tc>
          <w:tcPr>
            <w:tcW w:w="1276" w:type="dxa"/>
            <w:tcBorders>
              <w:tl2br w:val="nil"/>
              <w:tr2bl w:val="nil"/>
            </w:tcBorders>
            <w:vAlign w:val="center"/>
          </w:tcPr>
          <w:p w14:paraId="4651C0E7">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49624984">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1710</w:t>
            </w:r>
          </w:p>
        </w:tc>
      </w:tr>
      <w:tr w14:paraId="37E74D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720A9647">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1B342273">
            <w:pPr>
              <w:pStyle w:val="62"/>
              <w:adjustRightInd w:val="0"/>
              <w:snapToGrid w:val="0"/>
              <w:contextualSpacing w:val="0"/>
              <w:rPr>
                <w:kern w:val="2"/>
                <w:lang w:eastAsia="zh-CN"/>
              </w:rPr>
            </w:pPr>
            <w:r>
              <w:rPr>
                <w:rFonts w:hint="eastAsia"/>
                <w:kern w:val="2"/>
                <w:lang w:eastAsia="zh-CN"/>
              </w:rPr>
              <w:t>48</w:t>
            </w:r>
          </w:p>
        </w:tc>
        <w:tc>
          <w:tcPr>
            <w:tcW w:w="1917" w:type="dxa"/>
            <w:tcBorders>
              <w:tl2br w:val="nil"/>
              <w:tr2bl w:val="nil"/>
            </w:tcBorders>
            <w:vAlign w:val="center"/>
          </w:tcPr>
          <w:p w14:paraId="3A1A449C">
            <w:pPr>
              <w:pStyle w:val="62"/>
              <w:adjustRightInd w:val="0"/>
              <w:snapToGrid w:val="0"/>
              <w:contextualSpacing w:val="0"/>
              <w:rPr>
                <w:lang w:eastAsia="zh-CN"/>
              </w:rPr>
            </w:pPr>
            <w:r>
              <w:rPr>
                <w:rFonts w:hint="eastAsia"/>
                <w:lang w:eastAsia="zh-CN"/>
              </w:rPr>
              <w:t>卫辉市第一中学新校区</w:t>
            </w:r>
          </w:p>
        </w:tc>
        <w:tc>
          <w:tcPr>
            <w:tcW w:w="1134" w:type="dxa"/>
            <w:tcBorders>
              <w:tl2br w:val="nil"/>
              <w:tr2bl w:val="nil"/>
            </w:tcBorders>
            <w:vAlign w:val="center"/>
          </w:tcPr>
          <w:p w14:paraId="1CC6DC4E">
            <w:pPr>
              <w:pStyle w:val="62"/>
              <w:adjustRightInd w:val="0"/>
              <w:snapToGrid w:val="0"/>
              <w:contextualSpacing w:val="0"/>
              <w:rPr>
                <w:highlight w:val="yellow"/>
                <w:lang w:eastAsia="en-US"/>
              </w:rPr>
            </w:pPr>
            <w:r>
              <w:rPr>
                <w:rFonts w:hint="eastAsia"/>
                <w:lang w:eastAsia="zh-CN"/>
              </w:rPr>
              <w:t>西南</w:t>
            </w:r>
          </w:p>
        </w:tc>
        <w:tc>
          <w:tcPr>
            <w:tcW w:w="1134" w:type="dxa"/>
            <w:gridSpan w:val="2"/>
            <w:tcBorders>
              <w:tl2br w:val="nil"/>
              <w:tr2bl w:val="nil"/>
            </w:tcBorders>
            <w:vAlign w:val="center"/>
          </w:tcPr>
          <w:p w14:paraId="13FE68B1">
            <w:pPr>
              <w:pStyle w:val="62"/>
              <w:adjustRightInd w:val="0"/>
              <w:snapToGrid w:val="0"/>
              <w:contextualSpacing w:val="0"/>
              <w:rPr>
                <w:lang w:eastAsia="zh-CN"/>
              </w:rPr>
            </w:pPr>
            <w:r>
              <w:rPr>
                <w:rFonts w:hint="eastAsia"/>
                <w:lang w:eastAsia="zh-CN"/>
              </w:rPr>
              <w:t>4475</w:t>
            </w:r>
          </w:p>
        </w:tc>
        <w:tc>
          <w:tcPr>
            <w:tcW w:w="1276" w:type="dxa"/>
            <w:tcBorders>
              <w:tl2br w:val="nil"/>
              <w:tr2bl w:val="nil"/>
            </w:tcBorders>
            <w:vAlign w:val="center"/>
          </w:tcPr>
          <w:p w14:paraId="2203054D">
            <w:pPr>
              <w:pStyle w:val="62"/>
              <w:adjustRightInd w:val="0"/>
              <w:snapToGrid w:val="0"/>
              <w:contextualSpacing w:val="0"/>
              <w:rPr>
                <w:lang w:eastAsia="en-US"/>
              </w:rPr>
            </w:pPr>
            <w:r>
              <w:rPr>
                <w:rFonts w:hint="eastAsia"/>
                <w:lang w:eastAsia="zh-CN"/>
              </w:rPr>
              <w:t>文化教育</w:t>
            </w:r>
            <w:r>
              <w:rPr>
                <w:lang w:eastAsia="en-US"/>
              </w:rPr>
              <w:t>区</w:t>
            </w:r>
          </w:p>
        </w:tc>
        <w:tc>
          <w:tcPr>
            <w:tcW w:w="1350" w:type="dxa"/>
            <w:tcBorders>
              <w:tl2br w:val="nil"/>
              <w:tr2bl w:val="nil"/>
            </w:tcBorders>
            <w:vAlign w:val="center"/>
          </w:tcPr>
          <w:p w14:paraId="68EF1AE2">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5000</w:t>
            </w:r>
          </w:p>
        </w:tc>
      </w:tr>
      <w:tr w14:paraId="2C2441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3FA77604">
            <w:pPr>
              <w:pStyle w:val="178"/>
              <w:jc w:val="center"/>
              <w:rPr>
                <w:rFonts w:ascii="Times New Roman" w:hAnsi="Times New Roman" w:cs="Times New Roman"/>
                <w:color w:val="auto"/>
                <w:highlight w:val="yellow"/>
              </w:rPr>
            </w:pPr>
          </w:p>
        </w:tc>
        <w:tc>
          <w:tcPr>
            <w:tcW w:w="730" w:type="dxa"/>
            <w:tcBorders>
              <w:tl2br w:val="nil"/>
              <w:tr2bl w:val="nil"/>
            </w:tcBorders>
            <w:vAlign w:val="center"/>
          </w:tcPr>
          <w:p w14:paraId="16675D82">
            <w:pPr>
              <w:pStyle w:val="62"/>
              <w:adjustRightInd w:val="0"/>
              <w:snapToGrid w:val="0"/>
              <w:contextualSpacing w:val="0"/>
              <w:rPr>
                <w:kern w:val="2"/>
                <w:lang w:eastAsia="zh-CN"/>
              </w:rPr>
            </w:pPr>
            <w:r>
              <w:rPr>
                <w:rFonts w:hint="eastAsia"/>
                <w:kern w:val="2"/>
                <w:lang w:eastAsia="zh-CN"/>
              </w:rPr>
              <w:t>49</w:t>
            </w:r>
          </w:p>
        </w:tc>
        <w:tc>
          <w:tcPr>
            <w:tcW w:w="1917" w:type="dxa"/>
            <w:tcBorders>
              <w:tl2br w:val="nil"/>
              <w:tr2bl w:val="nil"/>
            </w:tcBorders>
            <w:vAlign w:val="center"/>
          </w:tcPr>
          <w:p w14:paraId="167B06D7">
            <w:pPr>
              <w:pStyle w:val="62"/>
              <w:adjustRightInd w:val="0"/>
              <w:snapToGrid w:val="0"/>
              <w:contextualSpacing w:val="0"/>
              <w:rPr>
                <w:lang w:eastAsia="en-US"/>
              </w:rPr>
            </w:pPr>
            <w:r>
              <w:rPr>
                <w:rFonts w:hint="eastAsia"/>
                <w:bCs/>
                <w:lang w:eastAsia="zh-CN"/>
              </w:rPr>
              <w:t>东司马村</w:t>
            </w:r>
          </w:p>
        </w:tc>
        <w:tc>
          <w:tcPr>
            <w:tcW w:w="1134" w:type="dxa"/>
            <w:tcBorders>
              <w:tl2br w:val="nil"/>
              <w:tr2bl w:val="nil"/>
            </w:tcBorders>
            <w:vAlign w:val="center"/>
          </w:tcPr>
          <w:p w14:paraId="08C22BF1">
            <w:pPr>
              <w:pStyle w:val="62"/>
              <w:adjustRightInd w:val="0"/>
              <w:snapToGrid w:val="0"/>
              <w:contextualSpacing w:val="0"/>
              <w:rPr>
                <w:lang w:eastAsia="en-US"/>
              </w:rPr>
            </w:pPr>
            <w:r>
              <w:rPr>
                <w:rFonts w:hint="eastAsia"/>
                <w:lang w:eastAsia="zh-CN"/>
              </w:rPr>
              <w:t>西北</w:t>
            </w:r>
          </w:p>
        </w:tc>
        <w:tc>
          <w:tcPr>
            <w:tcW w:w="1134" w:type="dxa"/>
            <w:gridSpan w:val="2"/>
            <w:tcBorders>
              <w:tl2br w:val="nil"/>
              <w:tr2bl w:val="nil"/>
            </w:tcBorders>
            <w:vAlign w:val="center"/>
          </w:tcPr>
          <w:p w14:paraId="1C1C7B1E">
            <w:pPr>
              <w:pStyle w:val="62"/>
              <w:adjustRightInd w:val="0"/>
              <w:snapToGrid w:val="0"/>
              <w:contextualSpacing w:val="0"/>
              <w:rPr>
                <w:lang w:eastAsia="en-US"/>
              </w:rPr>
            </w:pPr>
            <w:r>
              <w:rPr>
                <w:rFonts w:hint="eastAsia"/>
                <w:lang w:eastAsia="zh-CN"/>
              </w:rPr>
              <w:t>3680</w:t>
            </w:r>
          </w:p>
        </w:tc>
        <w:tc>
          <w:tcPr>
            <w:tcW w:w="1276" w:type="dxa"/>
            <w:tcBorders>
              <w:tl2br w:val="nil"/>
              <w:tr2bl w:val="nil"/>
            </w:tcBorders>
            <w:vAlign w:val="center"/>
          </w:tcPr>
          <w:p w14:paraId="0BABFB14">
            <w:pPr>
              <w:pStyle w:val="62"/>
              <w:adjustRightInd w:val="0"/>
              <w:snapToGrid w:val="0"/>
              <w:contextualSpacing w:val="0"/>
              <w:rPr>
                <w:lang w:eastAsia="en-US"/>
              </w:rPr>
            </w:pPr>
            <w:r>
              <w:rPr>
                <w:lang w:eastAsia="en-US"/>
              </w:rPr>
              <w:t>居住区</w:t>
            </w:r>
          </w:p>
        </w:tc>
        <w:tc>
          <w:tcPr>
            <w:tcW w:w="1350" w:type="dxa"/>
            <w:tcBorders>
              <w:tl2br w:val="nil"/>
              <w:tr2bl w:val="nil"/>
            </w:tcBorders>
            <w:vAlign w:val="center"/>
          </w:tcPr>
          <w:p w14:paraId="5FCBE530">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1500</w:t>
            </w:r>
          </w:p>
        </w:tc>
      </w:tr>
      <w:tr w14:paraId="76677F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05FB1807">
            <w:pPr>
              <w:pStyle w:val="178"/>
              <w:jc w:val="center"/>
              <w:rPr>
                <w:rFonts w:ascii="Times New Roman" w:hAnsi="Times New Roman" w:cs="Times New Roman"/>
                <w:color w:val="auto"/>
                <w:highlight w:val="yellow"/>
              </w:rPr>
            </w:pPr>
          </w:p>
        </w:tc>
        <w:tc>
          <w:tcPr>
            <w:tcW w:w="6191" w:type="dxa"/>
            <w:gridSpan w:val="6"/>
            <w:tcBorders>
              <w:tl2br w:val="nil"/>
              <w:tr2bl w:val="nil"/>
            </w:tcBorders>
            <w:vAlign w:val="center"/>
          </w:tcPr>
          <w:p w14:paraId="0CD57DA4">
            <w:pPr>
              <w:spacing w:line="240" w:lineRule="auto"/>
              <w:ind w:firstLine="0" w:firstLineChars="0"/>
              <w:jc w:val="center"/>
              <w:rPr>
                <w:szCs w:val="22"/>
                <w:lang w:eastAsia="zh-CN"/>
              </w:rPr>
            </w:pPr>
            <w:r>
              <w:rPr>
                <w:spacing w:val="-1"/>
                <w:sz w:val="21"/>
                <w:szCs w:val="21"/>
                <w:lang w:eastAsia="zh-CN"/>
              </w:rPr>
              <w:t>厂址周边500m范围内人口数小计</w:t>
            </w:r>
          </w:p>
        </w:tc>
        <w:tc>
          <w:tcPr>
            <w:tcW w:w="1350" w:type="dxa"/>
            <w:tcBorders>
              <w:tl2br w:val="nil"/>
              <w:tr2bl w:val="nil"/>
            </w:tcBorders>
            <w:vAlign w:val="center"/>
          </w:tcPr>
          <w:p w14:paraId="7541BFC9">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0</w:t>
            </w:r>
          </w:p>
        </w:tc>
      </w:tr>
      <w:tr w14:paraId="322666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textDirection w:val="tbRlV"/>
            <w:vAlign w:val="center"/>
          </w:tcPr>
          <w:p w14:paraId="7B96FAE7">
            <w:pPr>
              <w:pStyle w:val="178"/>
              <w:jc w:val="center"/>
              <w:rPr>
                <w:rFonts w:ascii="Times New Roman" w:hAnsi="Times New Roman" w:cs="Times New Roman"/>
                <w:color w:val="auto"/>
                <w:highlight w:val="yellow"/>
              </w:rPr>
            </w:pPr>
          </w:p>
        </w:tc>
        <w:tc>
          <w:tcPr>
            <w:tcW w:w="6191" w:type="dxa"/>
            <w:gridSpan w:val="6"/>
            <w:tcBorders>
              <w:tl2br w:val="nil"/>
              <w:tr2bl w:val="nil"/>
            </w:tcBorders>
            <w:vAlign w:val="center"/>
          </w:tcPr>
          <w:p w14:paraId="6A246687">
            <w:pPr>
              <w:spacing w:line="240" w:lineRule="auto"/>
              <w:ind w:firstLine="0" w:firstLineChars="0"/>
              <w:jc w:val="center"/>
              <w:rPr>
                <w:szCs w:val="22"/>
                <w:lang w:eastAsia="zh-CN"/>
              </w:rPr>
            </w:pPr>
            <w:r>
              <w:rPr>
                <w:spacing w:val="-1"/>
                <w:sz w:val="21"/>
                <w:szCs w:val="21"/>
                <w:lang w:eastAsia="zh-CN"/>
              </w:rPr>
              <w:t>厂址周边5km范围内人口数小计</w:t>
            </w:r>
          </w:p>
        </w:tc>
        <w:tc>
          <w:tcPr>
            <w:tcW w:w="1350" w:type="dxa"/>
            <w:tcBorders>
              <w:tl2br w:val="nil"/>
              <w:tr2bl w:val="nil"/>
            </w:tcBorders>
            <w:vAlign w:val="center"/>
          </w:tcPr>
          <w:p w14:paraId="117E3791">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339028</w:t>
            </w:r>
          </w:p>
        </w:tc>
      </w:tr>
      <w:tr w14:paraId="4AFFE9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restart"/>
            <w:tcBorders>
              <w:tl2br w:val="nil"/>
              <w:tr2bl w:val="nil"/>
            </w:tcBorders>
            <w:vAlign w:val="center"/>
          </w:tcPr>
          <w:p w14:paraId="0626F425">
            <w:pPr>
              <w:spacing w:line="240" w:lineRule="auto"/>
              <w:ind w:firstLine="0" w:firstLineChars="0"/>
              <w:jc w:val="center"/>
              <w:rPr>
                <w:rFonts w:eastAsiaTheme="minorEastAsia"/>
                <w:szCs w:val="22"/>
                <w:highlight w:val="yellow"/>
                <w:lang w:eastAsia="en-US"/>
              </w:rPr>
            </w:pPr>
            <w:r>
              <w:rPr>
                <w:rFonts w:eastAsiaTheme="minorEastAsia"/>
                <w:spacing w:val="-2"/>
                <w:sz w:val="21"/>
                <w:szCs w:val="21"/>
                <w:lang w:eastAsia="en-US"/>
              </w:rPr>
              <w:t>地表水</w:t>
            </w:r>
          </w:p>
        </w:tc>
        <w:tc>
          <w:tcPr>
            <w:tcW w:w="7541" w:type="dxa"/>
            <w:gridSpan w:val="7"/>
            <w:tcBorders>
              <w:tl2br w:val="nil"/>
              <w:tr2bl w:val="nil"/>
            </w:tcBorders>
            <w:vAlign w:val="center"/>
          </w:tcPr>
          <w:p w14:paraId="1F70F1FB">
            <w:pPr>
              <w:spacing w:line="240" w:lineRule="auto"/>
              <w:ind w:firstLine="0" w:firstLineChars="0"/>
              <w:jc w:val="center"/>
              <w:rPr>
                <w:rFonts w:eastAsiaTheme="minorEastAsia"/>
                <w:szCs w:val="22"/>
                <w:lang w:eastAsia="en-US"/>
              </w:rPr>
            </w:pPr>
            <w:r>
              <w:rPr>
                <w:rFonts w:eastAsiaTheme="minorEastAsia"/>
                <w:b/>
                <w:bCs/>
                <w:spacing w:val="-2"/>
                <w:sz w:val="21"/>
                <w:szCs w:val="21"/>
                <w:lang w:eastAsia="en-US"/>
              </w:rPr>
              <w:t>受纳水体</w:t>
            </w:r>
          </w:p>
        </w:tc>
      </w:tr>
      <w:tr w14:paraId="4C0815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569C5A68">
            <w:pPr>
              <w:pStyle w:val="178"/>
              <w:jc w:val="center"/>
              <w:rPr>
                <w:rFonts w:ascii="Times New Roman" w:hAnsi="Times New Roman" w:cs="Times New Roman" w:eastAsiaTheme="minorEastAsia"/>
                <w:color w:val="auto"/>
                <w:highlight w:val="yellow"/>
              </w:rPr>
            </w:pPr>
          </w:p>
        </w:tc>
        <w:tc>
          <w:tcPr>
            <w:tcW w:w="730" w:type="dxa"/>
            <w:tcBorders>
              <w:tl2br w:val="nil"/>
              <w:tr2bl w:val="nil"/>
            </w:tcBorders>
            <w:vAlign w:val="center"/>
          </w:tcPr>
          <w:p w14:paraId="47453AF2">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序号</w:t>
            </w:r>
          </w:p>
        </w:tc>
        <w:tc>
          <w:tcPr>
            <w:tcW w:w="1917" w:type="dxa"/>
            <w:tcBorders>
              <w:tl2br w:val="nil"/>
              <w:tr2bl w:val="nil"/>
            </w:tcBorders>
            <w:vAlign w:val="center"/>
          </w:tcPr>
          <w:p w14:paraId="45F336B9">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受纳水体名称</w:t>
            </w:r>
          </w:p>
        </w:tc>
        <w:tc>
          <w:tcPr>
            <w:tcW w:w="2268" w:type="dxa"/>
            <w:gridSpan w:val="3"/>
            <w:tcBorders>
              <w:tl2br w:val="nil"/>
              <w:tr2bl w:val="nil"/>
            </w:tcBorders>
            <w:vAlign w:val="center"/>
          </w:tcPr>
          <w:p w14:paraId="1E8724C3">
            <w:pPr>
              <w:spacing w:line="240" w:lineRule="auto"/>
              <w:ind w:firstLine="0" w:firstLineChars="0"/>
              <w:jc w:val="center"/>
              <w:rPr>
                <w:rFonts w:eastAsiaTheme="minorEastAsia"/>
                <w:b/>
                <w:bCs/>
                <w:szCs w:val="22"/>
                <w:lang w:eastAsia="en-US"/>
              </w:rPr>
            </w:pPr>
            <w:r>
              <w:rPr>
                <w:rFonts w:eastAsiaTheme="minorEastAsia"/>
                <w:b/>
                <w:bCs/>
                <w:spacing w:val="-1"/>
                <w:sz w:val="21"/>
                <w:szCs w:val="21"/>
                <w:lang w:eastAsia="en-US"/>
              </w:rPr>
              <w:t>排放点水域环境功能</w:t>
            </w:r>
          </w:p>
        </w:tc>
        <w:tc>
          <w:tcPr>
            <w:tcW w:w="2626" w:type="dxa"/>
            <w:gridSpan w:val="2"/>
            <w:tcBorders>
              <w:tl2br w:val="nil"/>
              <w:tr2bl w:val="nil"/>
            </w:tcBorders>
            <w:vAlign w:val="center"/>
          </w:tcPr>
          <w:p w14:paraId="419A003E">
            <w:pPr>
              <w:spacing w:line="240" w:lineRule="auto"/>
              <w:ind w:firstLine="0" w:firstLineChars="0"/>
              <w:jc w:val="center"/>
              <w:rPr>
                <w:rFonts w:eastAsiaTheme="minorEastAsia"/>
                <w:b/>
                <w:bCs/>
                <w:szCs w:val="22"/>
                <w:lang w:eastAsia="en-US"/>
              </w:rPr>
            </w:pPr>
            <w:r>
              <w:rPr>
                <w:rFonts w:eastAsiaTheme="minorEastAsia"/>
                <w:b/>
                <w:bCs/>
                <w:spacing w:val="-1"/>
                <w:sz w:val="21"/>
                <w:szCs w:val="21"/>
                <w:lang w:eastAsia="en-US"/>
              </w:rPr>
              <w:t>24h内流经范围/km</w:t>
            </w:r>
          </w:p>
        </w:tc>
      </w:tr>
      <w:tr w14:paraId="09AE40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6D232F94">
            <w:pPr>
              <w:pStyle w:val="178"/>
              <w:jc w:val="center"/>
              <w:rPr>
                <w:rFonts w:ascii="Times New Roman" w:hAnsi="Times New Roman" w:cs="Times New Roman" w:eastAsiaTheme="minorEastAsia"/>
                <w:color w:val="auto"/>
                <w:highlight w:val="yellow"/>
              </w:rPr>
            </w:pPr>
          </w:p>
        </w:tc>
        <w:tc>
          <w:tcPr>
            <w:tcW w:w="730" w:type="dxa"/>
            <w:tcBorders>
              <w:tl2br w:val="nil"/>
              <w:tr2bl w:val="nil"/>
            </w:tcBorders>
            <w:vAlign w:val="center"/>
          </w:tcPr>
          <w:p w14:paraId="79E534FA">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1</w:t>
            </w:r>
          </w:p>
        </w:tc>
        <w:tc>
          <w:tcPr>
            <w:tcW w:w="1917" w:type="dxa"/>
            <w:tcBorders>
              <w:tl2br w:val="nil"/>
              <w:tr2bl w:val="nil"/>
            </w:tcBorders>
            <w:vAlign w:val="center"/>
          </w:tcPr>
          <w:p w14:paraId="692E5088">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共产主义渠</w:t>
            </w:r>
          </w:p>
        </w:tc>
        <w:tc>
          <w:tcPr>
            <w:tcW w:w="2268" w:type="dxa"/>
            <w:gridSpan w:val="3"/>
            <w:tcBorders>
              <w:tl2br w:val="nil"/>
              <w:tr2bl w:val="nil"/>
            </w:tcBorders>
            <w:vAlign w:val="center"/>
          </w:tcPr>
          <w:p w14:paraId="30D45909">
            <w:pPr>
              <w:pStyle w:val="178"/>
              <w:jc w:val="center"/>
              <w:rPr>
                <w:rFonts w:ascii="Times New Roman" w:hAnsi="Times New Roman" w:cs="Times New Roman" w:eastAsiaTheme="minorEastAsia"/>
                <w:color w:val="auto"/>
                <w:highlight w:val="yellow"/>
              </w:rPr>
            </w:pPr>
            <w:r>
              <w:rPr>
                <w:rFonts w:ascii="Times New Roman" w:hAnsi="Times New Roman" w:cs="Times New Roman" w:eastAsiaTheme="minorEastAsia"/>
                <w:color w:val="auto"/>
              </w:rPr>
              <w:fldChar w:fldCharType="begin"/>
            </w:r>
            <w:r>
              <w:rPr>
                <w:rFonts w:ascii="Times New Roman" w:hAnsi="Times New Roman" w:cs="Times New Roman" w:eastAsiaTheme="minorEastAsia"/>
                <w:color w:val="auto"/>
              </w:rPr>
              <w:instrText xml:space="preserve"> = 4 \* ROMAN \* MERGEFORMAT </w:instrText>
            </w:r>
            <w:r>
              <w:rPr>
                <w:rFonts w:ascii="Times New Roman" w:hAnsi="Times New Roman" w:cs="Times New Roman" w:eastAsiaTheme="minorEastAsia"/>
                <w:color w:val="auto"/>
              </w:rPr>
              <w:fldChar w:fldCharType="separate"/>
            </w:r>
            <w:r>
              <w:rPr>
                <w:rFonts w:ascii="Times New Roman" w:hAnsi="Times New Roman" w:cs="Times New Roman"/>
                <w:color w:val="auto"/>
              </w:rPr>
              <w:t>IV</w:t>
            </w:r>
            <w:r>
              <w:rPr>
                <w:rFonts w:ascii="Times New Roman" w:hAnsi="Times New Roman" w:cs="Times New Roman" w:eastAsiaTheme="minorEastAsia"/>
                <w:color w:val="auto"/>
              </w:rPr>
              <w:fldChar w:fldCharType="end"/>
            </w:r>
          </w:p>
        </w:tc>
        <w:tc>
          <w:tcPr>
            <w:tcW w:w="2626" w:type="dxa"/>
            <w:gridSpan w:val="2"/>
            <w:tcBorders>
              <w:tl2br w:val="nil"/>
              <w:tr2bl w:val="nil"/>
            </w:tcBorders>
            <w:vAlign w:val="center"/>
          </w:tcPr>
          <w:p w14:paraId="5D6869C3">
            <w:pPr>
              <w:pStyle w:val="178"/>
              <w:jc w:val="center"/>
              <w:rPr>
                <w:rFonts w:ascii="Times New Roman" w:hAnsi="Times New Roman" w:cs="Times New Roman" w:eastAsiaTheme="minorEastAsia"/>
                <w:color w:val="auto"/>
                <w:highlight w:val="yellow"/>
                <w:lang w:eastAsia="zh-CN"/>
              </w:rPr>
            </w:pPr>
            <w:r>
              <w:rPr>
                <w:rFonts w:ascii="Times New Roman" w:hAnsi="Times New Roman" w:cs="Times New Roman" w:eastAsiaTheme="minorEastAsia"/>
                <w:color w:val="auto"/>
                <w:lang w:eastAsia="zh-CN"/>
              </w:rPr>
              <w:t>28.5</w:t>
            </w:r>
            <w:r>
              <w:rPr>
                <w:rFonts w:hint="eastAsia" w:ascii="Times New Roman" w:hAnsi="Times New Roman" w:cs="Times New Roman" w:eastAsiaTheme="minorEastAsia"/>
                <w:color w:val="auto"/>
                <w:lang w:eastAsia="zh-CN"/>
              </w:rPr>
              <w:t>km</w:t>
            </w:r>
          </w:p>
        </w:tc>
      </w:tr>
      <w:tr w14:paraId="14B1F9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77AFB5BC">
            <w:pPr>
              <w:pStyle w:val="178"/>
              <w:jc w:val="center"/>
              <w:rPr>
                <w:rFonts w:ascii="Times New Roman" w:hAnsi="Times New Roman" w:cs="Times New Roman" w:eastAsiaTheme="minorEastAsia"/>
                <w:color w:val="auto"/>
                <w:highlight w:val="yellow"/>
              </w:rPr>
            </w:pPr>
          </w:p>
        </w:tc>
        <w:tc>
          <w:tcPr>
            <w:tcW w:w="730" w:type="dxa"/>
            <w:tcBorders>
              <w:tl2br w:val="nil"/>
              <w:tr2bl w:val="nil"/>
            </w:tcBorders>
            <w:vAlign w:val="center"/>
          </w:tcPr>
          <w:p w14:paraId="2ADBD7EC">
            <w:pPr>
              <w:pStyle w:val="178"/>
              <w:jc w:val="center"/>
              <w:rPr>
                <w:rFonts w:ascii="Times New Roman" w:hAnsi="Times New Roman" w:cs="Times New Roman" w:eastAsiaTheme="minorEastAsia"/>
                <w:color w:val="auto"/>
                <w:lang w:eastAsia="zh-CN"/>
              </w:rPr>
            </w:pPr>
            <w:r>
              <w:rPr>
                <w:rFonts w:eastAsiaTheme="minorEastAsia"/>
                <w:b/>
                <w:bCs/>
                <w:color w:val="auto"/>
                <w:spacing w:val="-2"/>
              </w:rPr>
              <w:t>序号</w:t>
            </w:r>
          </w:p>
        </w:tc>
        <w:tc>
          <w:tcPr>
            <w:tcW w:w="1917" w:type="dxa"/>
            <w:tcBorders>
              <w:tl2br w:val="nil"/>
              <w:tr2bl w:val="nil"/>
            </w:tcBorders>
            <w:vAlign w:val="center"/>
          </w:tcPr>
          <w:p w14:paraId="4EF74A08">
            <w:pPr>
              <w:pStyle w:val="178"/>
              <w:jc w:val="center"/>
              <w:rPr>
                <w:rFonts w:ascii="Times New Roman" w:hAnsi="Times New Roman" w:cs="Times New Roman" w:eastAsiaTheme="minorEastAsia"/>
                <w:color w:val="auto"/>
                <w:lang w:eastAsia="zh-CN"/>
              </w:rPr>
            </w:pPr>
            <w:r>
              <w:rPr>
                <w:rFonts w:eastAsiaTheme="minorEastAsia"/>
                <w:b/>
                <w:bCs/>
                <w:color w:val="auto"/>
                <w:spacing w:val="-1"/>
              </w:rPr>
              <w:t>环境敏感区名称</w:t>
            </w:r>
          </w:p>
        </w:tc>
        <w:tc>
          <w:tcPr>
            <w:tcW w:w="1276" w:type="dxa"/>
            <w:gridSpan w:val="2"/>
            <w:tcBorders>
              <w:tl2br w:val="nil"/>
              <w:tr2bl w:val="nil"/>
            </w:tcBorders>
            <w:vAlign w:val="center"/>
          </w:tcPr>
          <w:p w14:paraId="5D80028C">
            <w:pPr>
              <w:pStyle w:val="178"/>
              <w:jc w:val="center"/>
              <w:rPr>
                <w:rFonts w:ascii="Times New Roman" w:hAnsi="Times New Roman" w:cs="Times New Roman" w:eastAsiaTheme="minorEastAsia"/>
                <w:color w:val="auto"/>
              </w:rPr>
            </w:pPr>
            <w:r>
              <w:rPr>
                <w:rFonts w:eastAsiaTheme="minorEastAsia"/>
                <w:b/>
                <w:bCs/>
                <w:color w:val="auto"/>
                <w:spacing w:val="-1"/>
              </w:rPr>
              <w:t>环境敏感特征</w:t>
            </w:r>
          </w:p>
        </w:tc>
        <w:tc>
          <w:tcPr>
            <w:tcW w:w="992" w:type="dxa"/>
            <w:tcBorders>
              <w:tl2br w:val="nil"/>
              <w:tr2bl w:val="nil"/>
            </w:tcBorders>
            <w:vAlign w:val="center"/>
          </w:tcPr>
          <w:p w14:paraId="7FDFF1D0">
            <w:pPr>
              <w:pStyle w:val="178"/>
              <w:jc w:val="center"/>
              <w:rPr>
                <w:rFonts w:ascii="Times New Roman" w:hAnsi="Times New Roman" w:cs="Times New Roman" w:eastAsiaTheme="minorEastAsia"/>
                <w:color w:val="auto"/>
              </w:rPr>
            </w:pPr>
            <w:r>
              <w:rPr>
                <w:rFonts w:eastAsiaTheme="minorEastAsia"/>
                <w:b/>
                <w:bCs/>
                <w:color w:val="auto"/>
                <w:spacing w:val="-2"/>
              </w:rPr>
              <w:t>水质目标</w:t>
            </w:r>
          </w:p>
        </w:tc>
        <w:tc>
          <w:tcPr>
            <w:tcW w:w="2626" w:type="dxa"/>
            <w:gridSpan w:val="2"/>
            <w:tcBorders>
              <w:tl2br w:val="nil"/>
              <w:tr2bl w:val="nil"/>
            </w:tcBorders>
            <w:vAlign w:val="center"/>
          </w:tcPr>
          <w:p w14:paraId="4D4CC1C1">
            <w:pPr>
              <w:pStyle w:val="178"/>
              <w:jc w:val="center"/>
              <w:rPr>
                <w:rFonts w:ascii="Times New Roman" w:hAnsi="Times New Roman" w:cs="Times New Roman" w:eastAsiaTheme="minorEastAsia"/>
                <w:color w:val="auto"/>
                <w:lang w:eastAsia="zh-CN"/>
              </w:rPr>
            </w:pPr>
            <w:r>
              <w:rPr>
                <w:rFonts w:eastAsiaTheme="minorEastAsia"/>
                <w:b/>
                <w:bCs/>
                <w:color w:val="auto"/>
                <w:spacing w:val="-2"/>
              </w:rPr>
              <w:t>与</w:t>
            </w:r>
            <w:r>
              <w:rPr>
                <w:rFonts w:hint="eastAsia" w:eastAsiaTheme="minorEastAsia"/>
                <w:b/>
                <w:bCs/>
                <w:color w:val="auto"/>
                <w:spacing w:val="-2"/>
                <w:lang w:eastAsia="zh-CN"/>
              </w:rPr>
              <w:t>排放点</w:t>
            </w:r>
            <w:r>
              <w:rPr>
                <w:rFonts w:eastAsiaTheme="minorEastAsia"/>
                <w:b/>
                <w:bCs/>
                <w:color w:val="auto"/>
                <w:spacing w:val="-2"/>
              </w:rPr>
              <w:t>距离/m</w:t>
            </w:r>
          </w:p>
        </w:tc>
      </w:tr>
      <w:tr w14:paraId="5A6E31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4EADA069">
            <w:pPr>
              <w:pStyle w:val="178"/>
              <w:jc w:val="center"/>
              <w:rPr>
                <w:rFonts w:ascii="Times New Roman" w:hAnsi="Times New Roman" w:cs="Times New Roman" w:eastAsiaTheme="minorEastAsia"/>
                <w:color w:val="auto"/>
                <w:highlight w:val="yellow"/>
              </w:rPr>
            </w:pPr>
          </w:p>
        </w:tc>
        <w:tc>
          <w:tcPr>
            <w:tcW w:w="730" w:type="dxa"/>
            <w:tcBorders>
              <w:tl2br w:val="nil"/>
              <w:tr2bl w:val="nil"/>
            </w:tcBorders>
            <w:vAlign w:val="center"/>
          </w:tcPr>
          <w:p w14:paraId="75EFBC59">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1</w:t>
            </w:r>
          </w:p>
        </w:tc>
        <w:tc>
          <w:tcPr>
            <w:tcW w:w="1917" w:type="dxa"/>
            <w:tcBorders>
              <w:tl2br w:val="nil"/>
              <w:tr2bl w:val="nil"/>
            </w:tcBorders>
            <w:vAlign w:val="center"/>
          </w:tcPr>
          <w:p w14:paraId="0919AB3B">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南水北调干渠</w:t>
            </w:r>
          </w:p>
        </w:tc>
        <w:tc>
          <w:tcPr>
            <w:tcW w:w="1276" w:type="dxa"/>
            <w:gridSpan w:val="2"/>
            <w:tcBorders>
              <w:tl2br w:val="nil"/>
              <w:tr2bl w:val="nil"/>
            </w:tcBorders>
            <w:vAlign w:val="center"/>
          </w:tcPr>
          <w:p w14:paraId="2A2A6062">
            <w:pPr>
              <w:pStyle w:val="178"/>
              <w:jc w:val="center"/>
              <w:rPr>
                <w:rFonts w:ascii="Times New Roman" w:hAnsi="Times New Roman" w:cs="Times New Roman" w:eastAsiaTheme="minorEastAsia"/>
                <w:color w:val="auto"/>
              </w:rPr>
            </w:pPr>
            <w:r>
              <w:rPr>
                <w:rFonts w:hint="eastAsia" w:ascii="Times New Roman" w:hAnsi="Times New Roman" w:cs="Times New Roman" w:eastAsiaTheme="minorEastAsia"/>
                <w:color w:val="auto"/>
                <w:lang w:eastAsia="zh-CN"/>
              </w:rPr>
              <w:t>地表饮用水水源</w:t>
            </w:r>
          </w:p>
        </w:tc>
        <w:tc>
          <w:tcPr>
            <w:tcW w:w="992" w:type="dxa"/>
            <w:tcBorders>
              <w:tl2br w:val="nil"/>
              <w:tr2bl w:val="nil"/>
            </w:tcBorders>
            <w:vAlign w:val="center"/>
          </w:tcPr>
          <w:p w14:paraId="38CAA484">
            <w:pPr>
              <w:pStyle w:val="178"/>
              <w:jc w:val="center"/>
              <w:rPr>
                <w:rFonts w:ascii="Times New Roman" w:hAnsi="Times New Roman" w:cs="Times New Roman" w:eastAsiaTheme="minorEastAsia"/>
                <w:color w:val="auto"/>
              </w:rPr>
            </w:pPr>
            <w:r>
              <w:rPr>
                <w:rFonts w:hint="eastAsia" w:ascii="Times New Roman" w:hAnsi="Times New Roman" w:cs="Times New Roman" w:eastAsiaTheme="minorEastAsia"/>
                <w:color w:val="auto"/>
                <w:lang w:eastAsia="zh-CN"/>
              </w:rPr>
              <w:t>II</w:t>
            </w:r>
          </w:p>
        </w:tc>
        <w:tc>
          <w:tcPr>
            <w:tcW w:w="2626" w:type="dxa"/>
            <w:gridSpan w:val="2"/>
            <w:tcBorders>
              <w:tl2br w:val="nil"/>
              <w:tr2bl w:val="nil"/>
            </w:tcBorders>
            <w:vAlign w:val="center"/>
          </w:tcPr>
          <w:p w14:paraId="51162AA1">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4500</w:t>
            </w:r>
          </w:p>
        </w:tc>
      </w:tr>
      <w:tr w14:paraId="12D930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restart"/>
            <w:tcBorders>
              <w:tl2br w:val="nil"/>
              <w:tr2bl w:val="nil"/>
            </w:tcBorders>
            <w:vAlign w:val="center"/>
          </w:tcPr>
          <w:p w14:paraId="7CE29123">
            <w:pPr>
              <w:spacing w:line="240" w:lineRule="auto"/>
              <w:ind w:firstLine="0" w:firstLineChars="0"/>
              <w:jc w:val="center"/>
              <w:rPr>
                <w:rFonts w:eastAsiaTheme="minorEastAsia"/>
                <w:szCs w:val="22"/>
                <w:lang w:eastAsia="en-US"/>
              </w:rPr>
            </w:pPr>
            <w:r>
              <w:rPr>
                <w:rFonts w:eastAsiaTheme="minorEastAsia"/>
                <w:spacing w:val="-2"/>
                <w:sz w:val="21"/>
                <w:szCs w:val="21"/>
                <w:lang w:eastAsia="en-US"/>
              </w:rPr>
              <w:t>地下水</w:t>
            </w:r>
          </w:p>
        </w:tc>
        <w:tc>
          <w:tcPr>
            <w:tcW w:w="730" w:type="dxa"/>
            <w:tcBorders>
              <w:tl2br w:val="nil"/>
              <w:tr2bl w:val="nil"/>
            </w:tcBorders>
            <w:vAlign w:val="center"/>
          </w:tcPr>
          <w:p w14:paraId="1AE6E207">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序号</w:t>
            </w:r>
          </w:p>
        </w:tc>
        <w:tc>
          <w:tcPr>
            <w:tcW w:w="1917" w:type="dxa"/>
            <w:tcBorders>
              <w:tl2br w:val="nil"/>
              <w:tr2bl w:val="nil"/>
            </w:tcBorders>
            <w:vAlign w:val="center"/>
          </w:tcPr>
          <w:p w14:paraId="2679F931">
            <w:pPr>
              <w:spacing w:line="240" w:lineRule="auto"/>
              <w:ind w:firstLine="0" w:firstLineChars="0"/>
              <w:jc w:val="center"/>
              <w:rPr>
                <w:rFonts w:eastAsiaTheme="minorEastAsia"/>
                <w:b/>
                <w:bCs/>
                <w:szCs w:val="22"/>
                <w:lang w:eastAsia="en-US"/>
              </w:rPr>
            </w:pPr>
            <w:r>
              <w:rPr>
                <w:rFonts w:eastAsiaTheme="minorEastAsia"/>
                <w:b/>
                <w:bCs/>
                <w:spacing w:val="-1"/>
                <w:sz w:val="21"/>
                <w:szCs w:val="21"/>
                <w:lang w:eastAsia="en-US"/>
              </w:rPr>
              <w:t>环境敏感区名称</w:t>
            </w:r>
          </w:p>
        </w:tc>
        <w:tc>
          <w:tcPr>
            <w:tcW w:w="1276" w:type="dxa"/>
            <w:gridSpan w:val="2"/>
            <w:tcBorders>
              <w:tl2br w:val="nil"/>
              <w:tr2bl w:val="nil"/>
            </w:tcBorders>
            <w:vAlign w:val="center"/>
          </w:tcPr>
          <w:p w14:paraId="30598DB1">
            <w:pPr>
              <w:spacing w:line="240" w:lineRule="auto"/>
              <w:ind w:firstLine="0" w:firstLineChars="0"/>
              <w:jc w:val="center"/>
              <w:rPr>
                <w:rFonts w:eastAsiaTheme="minorEastAsia"/>
                <w:b/>
                <w:bCs/>
                <w:szCs w:val="22"/>
                <w:lang w:eastAsia="en-US"/>
              </w:rPr>
            </w:pPr>
            <w:r>
              <w:rPr>
                <w:rFonts w:eastAsiaTheme="minorEastAsia"/>
                <w:b/>
                <w:bCs/>
                <w:spacing w:val="-1"/>
                <w:sz w:val="21"/>
                <w:szCs w:val="21"/>
                <w:lang w:eastAsia="en-US"/>
              </w:rPr>
              <w:t>环境敏感特征</w:t>
            </w:r>
          </w:p>
        </w:tc>
        <w:tc>
          <w:tcPr>
            <w:tcW w:w="992" w:type="dxa"/>
            <w:tcBorders>
              <w:tl2br w:val="nil"/>
              <w:tr2bl w:val="nil"/>
            </w:tcBorders>
            <w:vAlign w:val="center"/>
          </w:tcPr>
          <w:p w14:paraId="769D7E50">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水质目标</w:t>
            </w:r>
          </w:p>
        </w:tc>
        <w:tc>
          <w:tcPr>
            <w:tcW w:w="2626" w:type="dxa"/>
            <w:gridSpan w:val="2"/>
            <w:tcBorders>
              <w:tl2br w:val="nil"/>
              <w:tr2bl w:val="nil"/>
            </w:tcBorders>
            <w:vAlign w:val="center"/>
          </w:tcPr>
          <w:p w14:paraId="11054949">
            <w:pPr>
              <w:spacing w:line="240" w:lineRule="auto"/>
              <w:ind w:firstLine="0" w:firstLineChars="0"/>
              <w:jc w:val="center"/>
              <w:rPr>
                <w:rFonts w:eastAsiaTheme="minorEastAsia"/>
                <w:b/>
                <w:bCs/>
                <w:szCs w:val="22"/>
                <w:lang w:eastAsia="en-US"/>
              </w:rPr>
            </w:pPr>
            <w:r>
              <w:rPr>
                <w:rFonts w:eastAsiaTheme="minorEastAsia"/>
                <w:b/>
                <w:bCs/>
                <w:spacing w:val="-2"/>
                <w:sz w:val="21"/>
                <w:szCs w:val="21"/>
                <w:lang w:eastAsia="en-US"/>
              </w:rPr>
              <w:t>与下游厂界距离/m</w:t>
            </w:r>
          </w:p>
        </w:tc>
      </w:tr>
      <w:tr w14:paraId="588936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3151B5AD">
            <w:pPr>
              <w:pStyle w:val="178"/>
              <w:jc w:val="center"/>
              <w:rPr>
                <w:rFonts w:ascii="Times New Roman" w:hAnsi="Times New Roman" w:cs="Times New Roman" w:eastAsiaTheme="minorEastAsia"/>
                <w:color w:val="auto"/>
              </w:rPr>
            </w:pPr>
          </w:p>
        </w:tc>
        <w:tc>
          <w:tcPr>
            <w:tcW w:w="730" w:type="dxa"/>
            <w:tcBorders>
              <w:tl2br w:val="nil"/>
              <w:tr2bl w:val="nil"/>
            </w:tcBorders>
            <w:vAlign w:val="center"/>
          </w:tcPr>
          <w:p w14:paraId="26B379C0">
            <w:pPr>
              <w:pStyle w:val="178"/>
              <w:jc w:val="center"/>
              <w:rPr>
                <w:rFonts w:ascii="Times New Roman" w:hAnsi="Times New Roman" w:cs="Times New Roman"/>
                <w:color w:val="auto"/>
                <w:lang w:eastAsia="zh-CN"/>
              </w:rPr>
            </w:pPr>
            <w:r>
              <w:rPr>
                <w:rFonts w:hint="eastAsia" w:ascii="Times New Roman" w:hAnsi="Times New Roman" w:cs="Times New Roman"/>
                <w:color w:val="auto"/>
                <w:lang w:eastAsia="zh-CN"/>
              </w:rPr>
              <w:t>1</w:t>
            </w:r>
          </w:p>
        </w:tc>
        <w:tc>
          <w:tcPr>
            <w:tcW w:w="1917" w:type="dxa"/>
            <w:tcBorders>
              <w:tl2br w:val="nil"/>
              <w:tr2bl w:val="nil"/>
            </w:tcBorders>
            <w:vAlign w:val="center"/>
          </w:tcPr>
          <w:p w14:paraId="4E5294AA">
            <w:pPr>
              <w:pStyle w:val="62"/>
              <w:adjustRightInd w:val="0"/>
              <w:snapToGrid w:val="0"/>
              <w:contextualSpacing w:val="0"/>
              <w:rPr>
                <w:lang w:eastAsia="zh-CN"/>
              </w:rPr>
            </w:pPr>
            <w:r>
              <w:rPr>
                <w:rFonts w:hint="eastAsia"/>
                <w:lang w:eastAsia="zh-CN"/>
              </w:rPr>
              <w:t>卫辉市唐庄镇地下水井</w:t>
            </w:r>
          </w:p>
        </w:tc>
        <w:tc>
          <w:tcPr>
            <w:tcW w:w="1276" w:type="dxa"/>
            <w:gridSpan w:val="2"/>
            <w:tcBorders>
              <w:tl2br w:val="nil"/>
              <w:tr2bl w:val="nil"/>
            </w:tcBorders>
            <w:vAlign w:val="center"/>
          </w:tcPr>
          <w:p w14:paraId="511E1666">
            <w:pPr>
              <w:pStyle w:val="62"/>
              <w:adjustRightInd w:val="0"/>
              <w:snapToGrid w:val="0"/>
              <w:rPr>
                <w:lang w:eastAsia="en-US"/>
              </w:rPr>
            </w:pPr>
            <w:r>
              <w:rPr>
                <w:lang w:eastAsia="en-US"/>
              </w:rPr>
              <w:t>集中式饮用水水源</w:t>
            </w:r>
          </w:p>
        </w:tc>
        <w:tc>
          <w:tcPr>
            <w:tcW w:w="992" w:type="dxa"/>
            <w:tcBorders>
              <w:tl2br w:val="nil"/>
              <w:tr2bl w:val="nil"/>
            </w:tcBorders>
            <w:vAlign w:val="center"/>
          </w:tcPr>
          <w:p w14:paraId="0A4E1C54">
            <w:pPr>
              <w:pStyle w:val="178"/>
              <w:jc w:val="center"/>
              <w:rPr>
                <w:rFonts w:ascii="Times New Roman" w:hAnsi="Times New Roman" w:cs="Times New Roman" w:eastAsiaTheme="minorEastAsia"/>
                <w:color w:val="auto"/>
              </w:rPr>
            </w:pPr>
            <w:r>
              <w:rPr>
                <w:rFonts w:ascii="Times New Roman" w:hAnsi="Times New Roman" w:cs="Times New Roman" w:eastAsiaTheme="minorEastAsia"/>
                <w:color w:val="auto"/>
              </w:rPr>
              <w:fldChar w:fldCharType="begin"/>
            </w:r>
            <w:r>
              <w:rPr>
                <w:rFonts w:ascii="Times New Roman" w:hAnsi="Times New Roman" w:cs="Times New Roman" w:eastAsiaTheme="minorEastAsia"/>
                <w:color w:val="auto"/>
              </w:rPr>
              <w:instrText xml:space="preserve"> = 3 \* ROMAN \* MERGEFORMAT </w:instrText>
            </w:r>
            <w:r>
              <w:rPr>
                <w:rFonts w:ascii="Times New Roman" w:hAnsi="Times New Roman" w:cs="Times New Roman" w:eastAsiaTheme="minorEastAsia"/>
                <w:color w:val="auto"/>
              </w:rPr>
              <w:fldChar w:fldCharType="separate"/>
            </w:r>
            <w:r>
              <w:rPr>
                <w:rFonts w:ascii="Times New Roman" w:hAnsi="Times New Roman" w:cs="Times New Roman"/>
                <w:color w:val="auto"/>
              </w:rPr>
              <w:t>III</w:t>
            </w:r>
            <w:r>
              <w:rPr>
                <w:rFonts w:ascii="Times New Roman" w:hAnsi="Times New Roman" w:cs="Times New Roman" w:eastAsiaTheme="minorEastAsia"/>
                <w:color w:val="auto"/>
              </w:rPr>
              <w:fldChar w:fldCharType="end"/>
            </w:r>
          </w:p>
        </w:tc>
        <w:tc>
          <w:tcPr>
            <w:tcW w:w="2626" w:type="dxa"/>
            <w:gridSpan w:val="2"/>
            <w:tcBorders>
              <w:tl2br w:val="nil"/>
              <w:tr2bl w:val="nil"/>
            </w:tcBorders>
            <w:vAlign w:val="center"/>
          </w:tcPr>
          <w:p w14:paraId="71A16AC0">
            <w:pPr>
              <w:pStyle w:val="62"/>
              <w:adjustRightInd w:val="0"/>
              <w:snapToGrid w:val="0"/>
              <w:contextualSpacing w:val="0"/>
              <w:rPr>
                <w:bCs/>
                <w:lang w:eastAsia="zh-CN"/>
              </w:rPr>
            </w:pPr>
            <w:r>
              <w:rPr>
                <w:rFonts w:hint="eastAsia"/>
                <w:bCs/>
                <w:lang w:eastAsia="zh-CN"/>
              </w:rPr>
              <w:t>4720</w:t>
            </w:r>
          </w:p>
        </w:tc>
      </w:tr>
      <w:tr w14:paraId="78D4CA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312EA2FD">
            <w:pPr>
              <w:pStyle w:val="178"/>
              <w:jc w:val="center"/>
              <w:rPr>
                <w:rFonts w:ascii="Times New Roman" w:hAnsi="Times New Roman" w:cs="Times New Roman" w:eastAsiaTheme="minorEastAsia"/>
                <w:color w:val="auto"/>
              </w:rPr>
            </w:pPr>
          </w:p>
        </w:tc>
        <w:tc>
          <w:tcPr>
            <w:tcW w:w="730" w:type="dxa"/>
            <w:tcBorders>
              <w:tl2br w:val="nil"/>
              <w:tr2bl w:val="nil"/>
            </w:tcBorders>
            <w:vAlign w:val="center"/>
          </w:tcPr>
          <w:p w14:paraId="652F9AD3">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2</w:t>
            </w:r>
          </w:p>
        </w:tc>
        <w:tc>
          <w:tcPr>
            <w:tcW w:w="1917" w:type="dxa"/>
            <w:tcBorders>
              <w:tl2br w:val="nil"/>
              <w:tr2bl w:val="nil"/>
            </w:tcBorders>
            <w:vAlign w:val="center"/>
          </w:tcPr>
          <w:p w14:paraId="6E538577">
            <w:pPr>
              <w:pStyle w:val="62"/>
              <w:adjustRightInd w:val="0"/>
              <w:snapToGrid w:val="0"/>
              <w:contextualSpacing w:val="0"/>
              <w:rPr>
                <w:lang w:eastAsia="en-US"/>
              </w:rPr>
            </w:pPr>
            <w:r>
              <w:rPr>
                <w:lang w:eastAsia="en-US"/>
              </w:rPr>
              <w:t>郭全屯村水井</w:t>
            </w:r>
          </w:p>
        </w:tc>
        <w:tc>
          <w:tcPr>
            <w:tcW w:w="1276" w:type="dxa"/>
            <w:gridSpan w:val="2"/>
            <w:vMerge w:val="restart"/>
            <w:tcBorders>
              <w:tl2br w:val="nil"/>
              <w:tr2bl w:val="nil"/>
            </w:tcBorders>
            <w:vAlign w:val="center"/>
          </w:tcPr>
          <w:p w14:paraId="153406E4">
            <w:pPr>
              <w:pStyle w:val="62"/>
              <w:adjustRightInd w:val="0"/>
              <w:snapToGrid w:val="0"/>
              <w:rPr>
                <w:lang w:eastAsia="zh-CN"/>
              </w:rPr>
            </w:pPr>
            <w:r>
              <w:rPr>
                <w:rFonts w:hint="eastAsia"/>
                <w:lang w:eastAsia="zh-CN"/>
              </w:rPr>
              <w:t>分散式饮用水源</w:t>
            </w:r>
          </w:p>
        </w:tc>
        <w:tc>
          <w:tcPr>
            <w:tcW w:w="992" w:type="dxa"/>
            <w:vMerge w:val="restart"/>
            <w:tcBorders>
              <w:tl2br w:val="nil"/>
              <w:tr2bl w:val="nil"/>
            </w:tcBorders>
            <w:vAlign w:val="center"/>
          </w:tcPr>
          <w:p w14:paraId="07F91899">
            <w:pPr>
              <w:pStyle w:val="178"/>
              <w:jc w:val="center"/>
              <w:rPr>
                <w:rFonts w:ascii="Times New Roman" w:hAnsi="Times New Roman" w:cs="Times New Roman" w:eastAsiaTheme="minorEastAsia"/>
                <w:color w:val="auto"/>
              </w:rPr>
            </w:pPr>
            <w:r>
              <w:rPr>
                <w:rFonts w:ascii="Times New Roman" w:hAnsi="Times New Roman" w:cs="Times New Roman" w:eastAsiaTheme="minorEastAsia"/>
                <w:color w:val="auto"/>
              </w:rPr>
              <w:fldChar w:fldCharType="begin"/>
            </w:r>
            <w:r>
              <w:rPr>
                <w:rFonts w:ascii="Times New Roman" w:hAnsi="Times New Roman" w:cs="Times New Roman" w:eastAsiaTheme="minorEastAsia"/>
                <w:color w:val="auto"/>
              </w:rPr>
              <w:instrText xml:space="preserve"> = 3 \* ROMAN \* MERGEFORMAT </w:instrText>
            </w:r>
            <w:r>
              <w:rPr>
                <w:rFonts w:ascii="Times New Roman" w:hAnsi="Times New Roman" w:cs="Times New Roman" w:eastAsiaTheme="minorEastAsia"/>
                <w:color w:val="auto"/>
              </w:rPr>
              <w:fldChar w:fldCharType="separate"/>
            </w:r>
            <w:r>
              <w:rPr>
                <w:rFonts w:ascii="Times New Roman" w:hAnsi="Times New Roman" w:cs="Times New Roman"/>
                <w:color w:val="auto"/>
              </w:rPr>
              <w:t>III</w:t>
            </w:r>
            <w:r>
              <w:rPr>
                <w:rFonts w:ascii="Times New Roman" w:hAnsi="Times New Roman" w:cs="Times New Roman" w:eastAsiaTheme="minorEastAsia"/>
                <w:color w:val="auto"/>
              </w:rPr>
              <w:fldChar w:fldCharType="end"/>
            </w:r>
          </w:p>
        </w:tc>
        <w:tc>
          <w:tcPr>
            <w:tcW w:w="2626" w:type="dxa"/>
            <w:gridSpan w:val="2"/>
            <w:tcBorders>
              <w:tl2br w:val="nil"/>
              <w:tr2bl w:val="nil"/>
            </w:tcBorders>
            <w:vAlign w:val="center"/>
          </w:tcPr>
          <w:p w14:paraId="4FC2A22F">
            <w:pPr>
              <w:pStyle w:val="62"/>
              <w:adjustRightInd w:val="0"/>
              <w:snapToGrid w:val="0"/>
              <w:contextualSpacing w:val="0"/>
              <w:rPr>
                <w:bCs/>
                <w:lang w:eastAsia="zh-CN"/>
              </w:rPr>
            </w:pPr>
            <w:r>
              <w:rPr>
                <w:rFonts w:hint="eastAsia"/>
                <w:bCs/>
                <w:lang w:eastAsia="zh-CN"/>
              </w:rPr>
              <w:t>1270</w:t>
            </w:r>
          </w:p>
        </w:tc>
      </w:tr>
      <w:tr w14:paraId="4A2882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166794C4">
            <w:pPr>
              <w:pStyle w:val="178"/>
              <w:jc w:val="center"/>
              <w:rPr>
                <w:rFonts w:ascii="Times New Roman" w:hAnsi="Times New Roman" w:cs="Times New Roman" w:eastAsiaTheme="minorEastAsia"/>
                <w:color w:val="auto"/>
              </w:rPr>
            </w:pPr>
          </w:p>
        </w:tc>
        <w:tc>
          <w:tcPr>
            <w:tcW w:w="730" w:type="dxa"/>
            <w:tcBorders>
              <w:tl2br w:val="nil"/>
              <w:tr2bl w:val="nil"/>
            </w:tcBorders>
            <w:vAlign w:val="center"/>
          </w:tcPr>
          <w:p w14:paraId="1EC2E7C4">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3</w:t>
            </w:r>
          </w:p>
        </w:tc>
        <w:tc>
          <w:tcPr>
            <w:tcW w:w="1917" w:type="dxa"/>
            <w:tcBorders>
              <w:tl2br w:val="nil"/>
              <w:tr2bl w:val="nil"/>
            </w:tcBorders>
            <w:vAlign w:val="center"/>
          </w:tcPr>
          <w:p w14:paraId="36420566">
            <w:pPr>
              <w:pStyle w:val="62"/>
              <w:adjustRightInd w:val="0"/>
              <w:snapToGrid w:val="0"/>
              <w:contextualSpacing w:val="0"/>
              <w:rPr>
                <w:lang w:eastAsia="en-US"/>
              </w:rPr>
            </w:pPr>
            <w:r>
              <w:rPr>
                <w:lang w:eastAsia="en-US"/>
              </w:rPr>
              <w:t>龙王庙饮用水井</w:t>
            </w:r>
          </w:p>
        </w:tc>
        <w:tc>
          <w:tcPr>
            <w:tcW w:w="1276" w:type="dxa"/>
            <w:gridSpan w:val="2"/>
            <w:vMerge w:val="continue"/>
            <w:tcBorders>
              <w:tl2br w:val="nil"/>
              <w:tr2bl w:val="nil"/>
            </w:tcBorders>
            <w:vAlign w:val="center"/>
          </w:tcPr>
          <w:p w14:paraId="1DD5E091">
            <w:pPr>
              <w:pStyle w:val="62"/>
              <w:adjustRightInd w:val="0"/>
              <w:snapToGrid w:val="0"/>
              <w:contextualSpacing w:val="0"/>
              <w:rPr>
                <w:lang w:eastAsia="zh-CN"/>
              </w:rPr>
            </w:pPr>
          </w:p>
        </w:tc>
        <w:tc>
          <w:tcPr>
            <w:tcW w:w="992" w:type="dxa"/>
            <w:vMerge w:val="continue"/>
            <w:tcBorders>
              <w:tl2br w:val="nil"/>
              <w:tr2bl w:val="nil"/>
            </w:tcBorders>
            <w:vAlign w:val="center"/>
          </w:tcPr>
          <w:p w14:paraId="3114CB3B">
            <w:pPr>
              <w:pStyle w:val="178"/>
              <w:jc w:val="center"/>
              <w:rPr>
                <w:rFonts w:ascii="Times New Roman" w:hAnsi="Times New Roman" w:cs="Times New Roman" w:eastAsiaTheme="minorEastAsia"/>
                <w:color w:val="auto"/>
                <w:lang w:eastAsia="zh-CN"/>
              </w:rPr>
            </w:pPr>
          </w:p>
        </w:tc>
        <w:tc>
          <w:tcPr>
            <w:tcW w:w="2626" w:type="dxa"/>
            <w:gridSpan w:val="2"/>
            <w:tcBorders>
              <w:tl2br w:val="nil"/>
              <w:tr2bl w:val="nil"/>
            </w:tcBorders>
            <w:vAlign w:val="center"/>
          </w:tcPr>
          <w:p w14:paraId="00BC12C3">
            <w:pPr>
              <w:pStyle w:val="62"/>
              <w:adjustRightInd w:val="0"/>
              <w:snapToGrid w:val="0"/>
              <w:contextualSpacing w:val="0"/>
              <w:rPr>
                <w:lang w:eastAsia="zh-CN"/>
              </w:rPr>
            </w:pPr>
            <w:r>
              <w:rPr>
                <w:rFonts w:hint="eastAsia"/>
                <w:lang w:eastAsia="zh-CN"/>
              </w:rPr>
              <w:t>900</w:t>
            </w:r>
          </w:p>
        </w:tc>
      </w:tr>
      <w:tr w14:paraId="20AAD3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0F217E27">
            <w:pPr>
              <w:pStyle w:val="178"/>
              <w:jc w:val="center"/>
              <w:rPr>
                <w:rFonts w:ascii="Times New Roman" w:hAnsi="Times New Roman" w:cs="Times New Roman" w:eastAsiaTheme="minorEastAsia"/>
                <w:color w:val="auto"/>
                <w:lang w:eastAsia="zh-CN"/>
              </w:rPr>
            </w:pPr>
          </w:p>
        </w:tc>
        <w:tc>
          <w:tcPr>
            <w:tcW w:w="730" w:type="dxa"/>
            <w:tcBorders>
              <w:tl2br w:val="nil"/>
              <w:tr2bl w:val="nil"/>
            </w:tcBorders>
            <w:vAlign w:val="center"/>
          </w:tcPr>
          <w:p w14:paraId="12F14D3A">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4</w:t>
            </w:r>
          </w:p>
        </w:tc>
        <w:tc>
          <w:tcPr>
            <w:tcW w:w="1917" w:type="dxa"/>
            <w:tcBorders>
              <w:tl2br w:val="nil"/>
              <w:tr2bl w:val="nil"/>
            </w:tcBorders>
            <w:vAlign w:val="center"/>
          </w:tcPr>
          <w:p w14:paraId="4E2C603E">
            <w:pPr>
              <w:pStyle w:val="62"/>
              <w:adjustRightInd w:val="0"/>
              <w:snapToGrid w:val="0"/>
              <w:contextualSpacing w:val="0"/>
              <w:rPr>
                <w:lang w:eastAsia="zh-CN"/>
              </w:rPr>
            </w:pPr>
            <w:r>
              <w:rPr>
                <w:lang w:eastAsia="en-US"/>
              </w:rPr>
              <w:t>下园村饮用水井</w:t>
            </w:r>
          </w:p>
        </w:tc>
        <w:tc>
          <w:tcPr>
            <w:tcW w:w="1276" w:type="dxa"/>
            <w:gridSpan w:val="2"/>
            <w:vMerge w:val="continue"/>
            <w:tcBorders>
              <w:tl2br w:val="nil"/>
              <w:tr2bl w:val="nil"/>
            </w:tcBorders>
            <w:vAlign w:val="center"/>
          </w:tcPr>
          <w:p w14:paraId="177510E1">
            <w:pPr>
              <w:pStyle w:val="62"/>
              <w:adjustRightInd w:val="0"/>
              <w:snapToGrid w:val="0"/>
              <w:contextualSpacing w:val="0"/>
              <w:rPr>
                <w:highlight w:val="yellow"/>
                <w:lang w:eastAsia="zh-CN"/>
              </w:rPr>
            </w:pPr>
          </w:p>
        </w:tc>
        <w:tc>
          <w:tcPr>
            <w:tcW w:w="992" w:type="dxa"/>
            <w:vMerge w:val="continue"/>
            <w:tcBorders>
              <w:tl2br w:val="nil"/>
              <w:tr2bl w:val="nil"/>
            </w:tcBorders>
            <w:vAlign w:val="center"/>
          </w:tcPr>
          <w:p w14:paraId="01153FDD">
            <w:pPr>
              <w:pStyle w:val="178"/>
              <w:jc w:val="center"/>
              <w:rPr>
                <w:rFonts w:ascii="Times New Roman" w:hAnsi="Times New Roman" w:cs="Times New Roman" w:eastAsiaTheme="minorEastAsia"/>
                <w:color w:val="auto"/>
                <w:highlight w:val="yellow"/>
                <w:lang w:eastAsia="zh-CN"/>
              </w:rPr>
            </w:pPr>
          </w:p>
        </w:tc>
        <w:tc>
          <w:tcPr>
            <w:tcW w:w="2626" w:type="dxa"/>
            <w:gridSpan w:val="2"/>
            <w:tcBorders>
              <w:tl2br w:val="nil"/>
              <w:tr2bl w:val="nil"/>
            </w:tcBorders>
            <w:vAlign w:val="center"/>
          </w:tcPr>
          <w:p w14:paraId="524E4B47">
            <w:pPr>
              <w:pStyle w:val="62"/>
              <w:adjustRightInd w:val="0"/>
              <w:snapToGrid w:val="0"/>
              <w:contextualSpacing w:val="0"/>
              <w:rPr>
                <w:lang w:eastAsia="zh-CN"/>
              </w:rPr>
            </w:pPr>
            <w:r>
              <w:rPr>
                <w:rFonts w:hint="eastAsia"/>
                <w:lang w:eastAsia="zh-CN"/>
              </w:rPr>
              <w:t>990</w:t>
            </w:r>
          </w:p>
        </w:tc>
      </w:tr>
      <w:tr w14:paraId="0698F7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2475E9FD">
            <w:pPr>
              <w:pStyle w:val="178"/>
              <w:jc w:val="center"/>
              <w:rPr>
                <w:rFonts w:ascii="Times New Roman" w:hAnsi="Times New Roman" w:cs="Times New Roman" w:eastAsiaTheme="minorEastAsia"/>
                <w:color w:val="auto"/>
                <w:lang w:eastAsia="zh-CN"/>
              </w:rPr>
            </w:pPr>
          </w:p>
        </w:tc>
        <w:tc>
          <w:tcPr>
            <w:tcW w:w="730" w:type="dxa"/>
            <w:tcBorders>
              <w:tl2br w:val="nil"/>
              <w:tr2bl w:val="nil"/>
            </w:tcBorders>
            <w:vAlign w:val="center"/>
          </w:tcPr>
          <w:p w14:paraId="5A9E442F">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5</w:t>
            </w:r>
          </w:p>
        </w:tc>
        <w:tc>
          <w:tcPr>
            <w:tcW w:w="1917" w:type="dxa"/>
            <w:tcBorders>
              <w:tl2br w:val="nil"/>
              <w:tr2bl w:val="nil"/>
            </w:tcBorders>
            <w:vAlign w:val="center"/>
          </w:tcPr>
          <w:p w14:paraId="04AA9E89">
            <w:pPr>
              <w:pStyle w:val="62"/>
              <w:adjustRightInd w:val="0"/>
              <w:snapToGrid w:val="0"/>
              <w:contextualSpacing w:val="0"/>
              <w:rPr>
                <w:lang w:eastAsia="en-US"/>
              </w:rPr>
            </w:pPr>
            <w:r>
              <w:rPr>
                <w:lang w:eastAsia="en-US"/>
              </w:rPr>
              <w:t>辛庄村饮用水井</w:t>
            </w:r>
          </w:p>
        </w:tc>
        <w:tc>
          <w:tcPr>
            <w:tcW w:w="1276" w:type="dxa"/>
            <w:gridSpan w:val="2"/>
            <w:vMerge w:val="continue"/>
            <w:tcBorders>
              <w:tl2br w:val="nil"/>
              <w:tr2bl w:val="nil"/>
            </w:tcBorders>
            <w:vAlign w:val="center"/>
          </w:tcPr>
          <w:p w14:paraId="2090B0FC">
            <w:pPr>
              <w:pStyle w:val="62"/>
              <w:adjustRightInd w:val="0"/>
              <w:snapToGrid w:val="0"/>
              <w:contextualSpacing w:val="0"/>
              <w:rPr>
                <w:highlight w:val="yellow"/>
                <w:lang w:eastAsia="en-US"/>
              </w:rPr>
            </w:pPr>
          </w:p>
        </w:tc>
        <w:tc>
          <w:tcPr>
            <w:tcW w:w="992" w:type="dxa"/>
            <w:vMerge w:val="continue"/>
            <w:tcBorders>
              <w:tl2br w:val="nil"/>
              <w:tr2bl w:val="nil"/>
            </w:tcBorders>
            <w:vAlign w:val="center"/>
          </w:tcPr>
          <w:p w14:paraId="69E26466">
            <w:pPr>
              <w:pStyle w:val="178"/>
              <w:jc w:val="center"/>
              <w:rPr>
                <w:rFonts w:ascii="Times New Roman" w:hAnsi="Times New Roman" w:cs="Times New Roman" w:eastAsiaTheme="minorEastAsia"/>
                <w:color w:val="auto"/>
                <w:highlight w:val="yellow"/>
                <w:lang w:eastAsia="zh-CN"/>
              </w:rPr>
            </w:pPr>
          </w:p>
        </w:tc>
        <w:tc>
          <w:tcPr>
            <w:tcW w:w="2626" w:type="dxa"/>
            <w:gridSpan w:val="2"/>
            <w:tcBorders>
              <w:tl2br w:val="nil"/>
              <w:tr2bl w:val="nil"/>
            </w:tcBorders>
            <w:vAlign w:val="center"/>
          </w:tcPr>
          <w:p w14:paraId="0680646A">
            <w:pPr>
              <w:pStyle w:val="62"/>
              <w:adjustRightInd w:val="0"/>
              <w:snapToGrid w:val="0"/>
              <w:contextualSpacing w:val="0"/>
              <w:rPr>
                <w:lang w:eastAsia="zh-CN"/>
              </w:rPr>
            </w:pPr>
            <w:r>
              <w:rPr>
                <w:rFonts w:hint="eastAsia"/>
                <w:lang w:eastAsia="zh-CN"/>
              </w:rPr>
              <w:t>1970</w:t>
            </w:r>
          </w:p>
        </w:tc>
      </w:tr>
      <w:tr w14:paraId="2A2E04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4B963B64">
            <w:pPr>
              <w:pStyle w:val="178"/>
              <w:jc w:val="center"/>
              <w:rPr>
                <w:rFonts w:ascii="Times New Roman" w:hAnsi="Times New Roman" w:cs="Times New Roman" w:eastAsiaTheme="minorEastAsia"/>
                <w:color w:val="auto"/>
                <w:lang w:eastAsia="zh-CN"/>
              </w:rPr>
            </w:pPr>
          </w:p>
        </w:tc>
        <w:tc>
          <w:tcPr>
            <w:tcW w:w="730" w:type="dxa"/>
            <w:tcBorders>
              <w:tl2br w:val="nil"/>
              <w:tr2bl w:val="nil"/>
            </w:tcBorders>
            <w:vAlign w:val="center"/>
          </w:tcPr>
          <w:p w14:paraId="5D714A7C">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6</w:t>
            </w:r>
          </w:p>
        </w:tc>
        <w:tc>
          <w:tcPr>
            <w:tcW w:w="1917" w:type="dxa"/>
            <w:tcBorders>
              <w:tl2br w:val="nil"/>
              <w:tr2bl w:val="nil"/>
            </w:tcBorders>
            <w:vAlign w:val="center"/>
          </w:tcPr>
          <w:p w14:paraId="5E436B1C">
            <w:pPr>
              <w:pStyle w:val="62"/>
              <w:adjustRightInd w:val="0"/>
              <w:snapToGrid w:val="0"/>
              <w:contextualSpacing w:val="0"/>
              <w:rPr>
                <w:lang w:eastAsia="en-US"/>
              </w:rPr>
            </w:pPr>
            <w:r>
              <w:rPr>
                <w:lang w:eastAsia="en-US"/>
              </w:rPr>
              <w:t>八里屯村饮用水井</w:t>
            </w:r>
          </w:p>
        </w:tc>
        <w:tc>
          <w:tcPr>
            <w:tcW w:w="1276" w:type="dxa"/>
            <w:gridSpan w:val="2"/>
            <w:vMerge w:val="continue"/>
            <w:tcBorders>
              <w:tl2br w:val="nil"/>
              <w:tr2bl w:val="nil"/>
            </w:tcBorders>
            <w:vAlign w:val="center"/>
          </w:tcPr>
          <w:p w14:paraId="5B70F8DF">
            <w:pPr>
              <w:pStyle w:val="62"/>
              <w:adjustRightInd w:val="0"/>
              <w:snapToGrid w:val="0"/>
              <w:contextualSpacing w:val="0"/>
              <w:rPr>
                <w:highlight w:val="yellow"/>
                <w:lang w:eastAsia="en-US"/>
              </w:rPr>
            </w:pPr>
          </w:p>
        </w:tc>
        <w:tc>
          <w:tcPr>
            <w:tcW w:w="992" w:type="dxa"/>
            <w:vMerge w:val="continue"/>
            <w:tcBorders>
              <w:tl2br w:val="nil"/>
              <w:tr2bl w:val="nil"/>
            </w:tcBorders>
            <w:vAlign w:val="center"/>
          </w:tcPr>
          <w:p w14:paraId="18086BD7">
            <w:pPr>
              <w:pStyle w:val="178"/>
              <w:jc w:val="center"/>
              <w:rPr>
                <w:rFonts w:ascii="Times New Roman" w:hAnsi="Times New Roman" w:cs="Times New Roman" w:eastAsiaTheme="minorEastAsia"/>
                <w:color w:val="auto"/>
                <w:highlight w:val="yellow"/>
                <w:lang w:eastAsia="zh-CN"/>
              </w:rPr>
            </w:pPr>
          </w:p>
        </w:tc>
        <w:tc>
          <w:tcPr>
            <w:tcW w:w="2626" w:type="dxa"/>
            <w:gridSpan w:val="2"/>
            <w:tcBorders>
              <w:tl2br w:val="nil"/>
              <w:tr2bl w:val="nil"/>
            </w:tcBorders>
            <w:vAlign w:val="center"/>
          </w:tcPr>
          <w:p w14:paraId="109B202C">
            <w:pPr>
              <w:pStyle w:val="62"/>
              <w:adjustRightInd w:val="0"/>
              <w:snapToGrid w:val="0"/>
              <w:contextualSpacing w:val="0"/>
              <w:rPr>
                <w:lang w:eastAsia="zh-CN"/>
              </w:rPr>
            </w:pPr>
            <w:r>
              <w:rPr>
                <w:rFonts w:hint="eastAsia"/>
                <w:lang w:eastAsia="zh-CN"/>
              </w:rPr>
              <w:t>2120</w:t>
            </w:r>
          </w:p>
        </w:tc>
      </w:tr>
      <w:tr w14:paraId="53C771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0A745451">
            <w:pPr>
              <w:pStyle w:val="178"/>
              <w:jc w:val="center"/>
              <w:rPr>
                <w:rFonts w:ascii="Times New Roman" w:hAnsi="Times New Roman" w:cs="Times New Roman" w:eastAsiaTheme="minorEastAsia"/>
                <w:color w:val="auto"/>
                <w:lang w:eastAsia="zh-CN"/>
              </w:rPr>
            </w:pPr>
          </w:p>
        </w:tc>
        <w:tc>
          <w:tcPr>
            <w:tcW w:w="730" w:type="dxa"/>
            <w:tcBorders>
              <w:tl2br w:val="nil"/>
              <w:tr2bl w:val="nil"/>
            </w:tcBorders>
            <w:vAlign w:val="center"/>
          </w:tcPr>
          <w:p w14:paraId="2BD3579B">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7</w:t>
            </w:r>
          </w:p>
        </w:tc>
        <w:tc>
          <w:tcPr>
            <w:tcW w:w="1917" w:type="dxa"/>
            <w:tcBorders>
              <w:tl2br w:val="nil"/>
              <w:tr2bl w:val="nil"/>
            </w:tcBorders>
            <w:vAlign w:val="center"/>
          </w:tcPr>
          <w:p w14:paraId="65D4A747">
            <w:pPr>
              <w:pStyle w:val="62"/>
              <w:adjustRightInd w:val="0"/>
              <w:snapToGrid w:val="0"/>
              <w:contextualSpacing w:val="0"/>
              <w:rPr>
                <w:lang w:eastAsia="en-US"/>
              </w:rPr>
            </w:pPr>
            <w:r>
              <w:rPr>
                <w:lang w:eastAsia="en-US"/>
              </w:rPr>
              <w:t>郝庄村饮用水井</w:t>
            </w:r>
          </w:p>
        </w:tc>
        <w:tc>
          <w:tcPr>
            <w:tcW w:w="1276" w:type="dxa"/>
            <w:gridSpan w:val="2"/>
            <w:vMerge w:val="continue"/>
            <w:tcBorders>
              <w:tl2br w:val="nil"/>
              <w:tr2bl w:val="nil"/>
            </w:tcBorders>
            <w:vAlign w:val="center"/>
          </w:tcPr>
          <w:p w14:paraId="2A22440F">
            <w:pPr>
              <w:pStyle w:val="62"/>
              <w:adjustRightInd w:val="0"/>
              <w:snapToGrid w:val="0"/>
              <w:contextualSpacing w:val="0"/>
              <w:rPr>
                <w:highlight w:val="yellow"/>
                <w:lang w:eastAsia="en-US"/>
              </w:rPr>
            </w:pPr>
          </w:p>
        </w:tc>
        <w:tc>
          <w:tcPr>
            <w:tcW w:w="992" w:type="dxa"/>
            <w:vMerge w:val="continue"/>
            <w:tcBorders>
              <w:tl2br w:val="nil"/>
              <w:tr2bl w:val="nil"/>
            </w:tcBorders>
            <w:vAlign w:val="center"/>
          </w:tcPr>
          <w:p w14:paraId="7F99B130">
            <w:pPr>
              <w:pStyle w:val="178"/>
              <w:jc w:val="center"/>
              <w:rPr>
                <w:rFonts w:ascii="Times New Roman" w:hAnsi="Times New Roman" w:cs="Times New Roman" w:eastAsiaTheme="minorEastAsia"/>
                <w:color w:val="auto"/>
                <w:highlight w:val="yellow"/>
                <w:lang w:eastAsia="zh-CN"/>
              </w:rPr>
            </w:pPr>
          </w:p>
        </w:tc>
        <w:tc>
          <w:tcPr>
            <w:tcW w:w="2626" w:type="dxa"/>
            <w:gridSpan w:val="2"/>
            <w:tcBorders>
              <w:tl2br w:val="nil"/>
              <w:tr2bl w:val="nil"/>
            </w:tcBorders>
            <w:vAlign w:val="center"/>
          </w:tcPr>
          <w:p w14:paraId="2537410E">
            <w:pPr>
              <w:pStyle w:val="62"/>
              <w:adjustRightInd w:val="0"/>
              <w:snapToGrid w:val="0"/>
              <w:contextualSpacing w:val="0"/>
              <w:rPr>
                <w:lang w:eastAsia="zh-CN"/>
              </w:rPr>
            </w:pPr>
            <w:r>
              <w:rPr>
                <w:rFonts w:hint="eastAsia"/>
                <w:lang w:eastAsia="zh-CN"/>
              </w:rPr>
              <w:t>2620</w:t>
            </w:r>
          </w:p>
        </w:tc>
      </w:tr>
      <w:tr w14:paraId="27B726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1975EBF4">
            <w:pPr>
              <w:pStyle w:val="178"/>
              <w:jc w:val="center"/>
              <w:rPr>
                <w:rFonts w:ascii="Times New Roman" w:hAnsi="Times New Roman" w:cs="Times New Roman" w:eastAsiaTheme="minorEastAsia"/>
                <w:color w:val="auto"/>
                <w:lang w:eastAsia="zh-CN"/>
              </w:rPr>
            </w:pPr>
          </w:p>
        </w:tc>
        <w:tc>
          <w:tcPr>
            <w:tcW w:w="730" w:type="dxa"/>
            <w:tcBorders>
              <w:tl2br w:val="nil"/>
              <w:tr2bl w:val="nil"/>
            </w:tcBorders>
            <w:vAlign w:val="center"/>
          </w:tcPr>
          <w:p w14:paraId="5BE9B77F">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8</w:t>
            </w:r>
          </w:p>
        </w:tc>
        <w:tc>
          <w:tcPr>
            <w:tcW w:w="1917" w:type="dxa"/>
            <w:tcBorders>
              <w:tl2br w:val="nil"/>
              <w:tr2bl w:val="nil"/>
            </w:tcBorders>
            <w:vAlign w:val="center"/>
          </w:tcPr>
          <w:p w14:paraId="30317B66">
            <w:pPr>
              <w:pStyle w:val="62"/>
              <w:adjustRightInd w:val="0"/>
              <w:snapToGrid w:val="0"/>
              <w:contextualSpacing w:val="0"/>
              <w:rPr>
                <w:lang w:eastAsia="en-US"/>
              </w:rPr>
            </w:pPr>
            <w:r>
              <w:rPr>
                <w:lang w:eastAsia="en-US"/>
              </w:rPr>
              <w:t>岗槽村饮用水井</w:t>
            </w:r>
          </w:p>
        </w:tc>
        <w:tc>
          <w:tcPr>
            <w:tcW w:w="1276" w:type="dxa"/>
            <w:gridSpan w:val="2"/>
            <w:vMerge w:val="continue"/>
            <w:tcBorders>
              <w:tl2br w:val="nil"/>
              <w:tr2bl w:val="nil"/>
            </w:tcBorders>
            <w:vAlign w:val="center"/>
          </w:tcPr>
          <w:p w14:paraId="7557BFFC">
            <w:pPr>
              <w:pStyle w:val="62"/>
              <w:adjustRightInd w:val="0"/>
              <w:snapToGrid w:val="0"/>
              <w:contextualSpacing w:val="0"/>
              <w:rPr>
                <w:highlight w:val="yellow"/>
                <w:lang w:eastAsia="en-US"/>
              </w:rPr>
            </w:pPr>
          </w:p>
        </w:tc>
        <w:tc>
          <w:tcPr>
            <w:tcW w:w="992" w:type="dxa"/>
            <w:vMerge w:val="continue"/>
            <w:tcBorders>
              <w:tl2br w:val="nil"/>
              <w:tr2bl w:val="nil"/>
            </w:tcBorders>
            <w:vAlign w:val="center"/>
          </w:tcPr>
          <w:p w14:paraId="426D0EC6">
            <w:pPr>
              <w:pStyle w:val="178"/>
              <w:jc w:val="center"/>
              <w:rPr>
                <w:rFonts w:ascii="Times New Roman" w:hAnsi="Times New Roman" w:cs="Times New Roman" w:eastAsiaTheme="minorEastAsia"/>
                <w:color w:val="auto"/>
                <w:highlight w:val="yellow"/>
                <w:lang w:eastAsia="zh-CN"/>
              </w:rPr>
            </w:pPr>
          </w:p>
        </w:tc>
        <w:tc>
          <w:tcPr>
            <w:tcW w:w="2626" w:type="dxa"/>
            <w:gridSpan w:val="2"/>
            <w:tcBorders>
              <w:tl2br w:val="nil"/>
              <w:tr2bl w:val="nil"/>
            </w:tcBorders>
            <w:vAlign w:val="center"/>
          </w:tcPr>
          <w:p w14:paraId="64623C7B">
            <w:pPr>
              <w:pStyle w:val="62"/>
              <w:adjustRightInd w:val="0"/>
              <w:snapToGrid w:val="0"/>
              <w:contextualSpacing w:val="0"/>
              <w:rPr>
                <w:lang w:eastAsia="zh-CN"/>
              </w:rPr>
            </w:pPr>
            <w:r>
              <w:rPr>
                <w:rFonts w:hint="eastAsia"/>
                <w:lang w:eastAsia="zh-CN"/>
              </w:rPr>
              <w:t>2840</w:t>
            </w:r>
          </w:p>
        </w:tc>
      </w:tr>
      <w:tr w14:paraId="078246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187F3C20">
            <w:pPr>
              <w:pStyle w:val="178"/>
              <w:jc w:val="center"/>
              <w:rPr>
                <w:rFonts w:ascii="Times New Roman" w:hAnsi="Times New Roman" w:cs="Times New Roman" w:eastAsiaTheme="minorEastAsia"/>
                <w:color w:val="auto"/>
                <w:lang w:eastAsia="zh-CN"/>
              </w:rPr>
            </w:pPr>
          </w:p>
        </w:tc>
        <w:tc>
          <w:tcPr>
            <w:tcW w:w="730" w:type="dxa"/>
            <w:tcBorders>
              <w:tl2br w:val="nil"/>
              <w:tr2bl w:val="nil"/>
            </w:tcBorders>
            <w:vAlign w:val="center"/>
          </w:tcPr>
          <w:p w14:paraId="6432475A">
            <w:pPr>
              <w:pStyle w:val="178"/>
              <w:jc w:val="center"/>
              <w:rPr>
                <w:rFonts w:ascii="Times New Roman" w:hAnsi="Times New Roman" w:cs="Times New Roman" w:eastAsiaTheme="minorEastAsia"/>
                <w:color w:val="auto"/>
                <w:lang w:eastAsia="zh-CN"/>
              </w:rPr>
            </w:pPr>
            <w:r>
              <w:rPr>
                <w:rFonts w:ascii="Times New Roman" w:hAnsi="Times New Roman" w:cs="Times New Roman"/>
                <w:color w:val="auto"/>
              </w:rPr>
              <w:t>9</w:t>
            </w:r>
          </w:p>
        </w:tc>
        <w:tc>
          <w:tcPr>
            <w:tcW w:w="1917" w:type="dxa"/>
            <w:tcBorders>
              <w:tl2br w:val="nil"/>
              <w:tr2bl w:val="nil"/>
            </w:tcBorders>
            <w:vAlign w:val="center"/>
          </w:tcPr>
          <w:p w14:paraId="77E83C95">
            <w:pPr>
              <w:pStyle w:val="62"/>
              <w:adjustRightInd w:val="0"/>
              <w:snapToGrid w:val="0"/>
              <w:contextualSpacing w:val="0"/>
              <w:rPr>
                <w:lang w:eastAsia="en-US"/>
              </w:rPr>
            </w:pPr>
            <w:r>
              <w:rPr>
                <w:lang w:eastAsia="en-US"/>
              </w:rPr>
              <w:t>东寺门村饮用水井</w:t>
            </w:r>
          </w:p>
        </w:tc>
        <w:tc>
          <w:tcPr>
            <w:tcW w:w="1276" w:type="dxa"/>
            <w:gridSpan w:val="2"/>
            <w:vMerge w:val="continue"/>
            <w:tcBorders>
              <w:tl2br w:val="nil"/>
              <w:tr2bl w:val="nil"/>
            </w:tcBorders>
            <w:vAlign w:val="center"/>
          </w:tcPr>
          <w:p w14:paraId="236907C2">
            <w:pPr>
              <w:pStyle w:val="62"/>
              <w:adjustRightInd w:val="0"/>
              <w:snapToGrid w:val="0"/>
              <w:contextualSpacing w:val="0"/>
              <w:rPr>
                <w:highlight w:val="yellow"/>
                <w:lang w:eastAsia="en-US"/>
              </w:rPr>
            </w:pPr>
          </w:p>
        </w:tc>
        <w:tc>
          <w:tcPr>
            <w:tcW w:w="992" w:type="dxa"/>
            <w:vMerge w:val="continue"/>
            <w:tcBorders>
              <w:tl2br w:val="nil"/>
              <w:tr2bl w:val="nil"/>
            </w:tcBorders>
            <w:vAlign w:val="center"/>
          </w:tcPr>
          <w:p w14:paraId="0F5B590C">
            <w:pPr>
              <w:pStyle w:val="178"/>
              <w:jc w:val="center"/>
              <w:rPr>
                <w:rFonts w:ascii="Times New Roman" w:hAnsi="Times New Roman" w:cs="Times New Roman" w:eastAsiaTheme="minorEastAsia"/>
                <w:color w:val="auto"/>
                <w:highlight w:val="yellow"/>
                <w:lang w:eastAsia="zh-CN"/>
              </w:rPr>
            </w:pPr>
          </w:p>
        </w:tc>
        <w:tc>
          <w:tcPr>
            <w:tcW w:w="2626" w:type="dxa"/>
            <w:gridSpan w:val="2"/>
            <w:tcBorders>
              <w:tl2br w:val="nil"/>
              <w:tr2bl w:val="nil"/>
            </w:tcBorders>
            <w:vAlign w:val="center"/>
          </w:tcPr>
          <w:p w14:paraId="7F0BECA4">
            <w:pPr>
              <w:pStyle w:val="62"/>
              <w:adjustRightInd w:val="0"/>
              <w:snapToGrid w:val="0"/>
              <w:contextualSpacing w:val="0"/>
              <w:rPr>
                <w:lang w:eastAsia="zh-CN"/>
              </w:rPr>
            </w:pPr>
            <w:r>
              <w:rPr>
                <w:rFonts w:hint="eastAsia"/>
                <w:lang w:eastAsia="zh-CN"/>
              </w:rPr>
              <w:t>4300</w:t>
            </w:r>
          </w:p>
        </w:tc>
      </w:tr>
      <w:tr w14:paraId="3C2A61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45" w:type="dxa"/>
            <w:vMerge w:val="continue"/>
            <w:tcBorders>
              <w:tl2br w:val="nil"/>
              <w:tr2bl w:val="nil"/>
            </w:tcBorders>
            <w:vAlign w:val="center"/>
          </w:tcPr>
          <w:p w14:paraId="7C34292D">
            <w:pPr>
              <w:pStyle w:val="178"/>
              <w:jc w:val="center"/>
              <w:rPr>
                <w:rFonts w:ascii="Times New Roman" w:hAnsi="Times New Roman" w:cs="Times New Roman" w:eastAsiaTheme="minorEastAsia"/>
                <w:color w:val="auto"/>
                <w:lang w:eastAsia="zh-CN"/>
              </w:rPr>
            </w:pPr>
          </w:p>
        </w:tc>
        <w:tc>
          <w:tcPr>
            <w:tcW w:w="730" w:type="dxa"/>
            <w:tcBorders>
              <w:tl2br w:val="nil"/>
              <w:tr2bl w:val="nil"/>
            </w:tcBorders>
            <w:vAlign w:val="center"/>
          </w:tcPr>
          <w:p w14:paraId="781C9563">
            <w:pPr>
              <w:pStyle w:val="178"/>
              <w:jc w:val="center"/>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10</w:t>
            </w:r>
          </w:p>
        </w:tc>
        <w:tc>
          <w:tcPr>
            <w:tcW w:w="1917" w:type="dxa"/>
            <w:tcBorders>
              <w:tl2br w:val="nil"/>
              <w:tr2bl w:val="nil"/>
            </w:tcBorders>
            <w:vAlign w:val="center"/>
          </w:tcPr>
          <w:p w14:paraId="7B9BE27C">
            <w:pPr>
              <w:pStyle w:val="62"/>
              <w:adjustRightInd w:val="0"/>
              <w:snapToGrid w:val="0"/>
              <w:contextualSpacing w:val="0"/>
              <w:rPr>
                <w:lang w:eastAsia="en-US"/>
              </w:rPr>
            </w:pPr>
            <w:r>
              <w:rPr>
                <w:lang w:eastAsia="en-US"/>
              </w:rPr>
              <w:t>薛屯村饮用水井</w:t>
            </w:r>
          </w:p>
        </w:tc>
        <w:tc>
          <w:tcPr>
            <w:tcW w:w="1276" w:type="dxa"/>
            <w:gridSpan w:val="2"/>
            <w:vMerge w:val="continue"/>
            <w:tcBorders>
              <w:tl2br w:val="nil"/>
              <w:tr2bl w:val="nil"/>
            </w:tcBorders>
            <w:vAlign w:val="center"/>
          </w:tcPr>
          <w:p w14:paraId="264CA210">
            <w:pPr>
              <w:pStyle w:val="62"/>
              <w:adjustRightInd w:val="0"/>
              <w:snapToGrid w:val="0"/>
              <w:contextualSpacing w:val="0"/>
              <w:rPr>
                <w:highlight w:val="yellow"/>
                <w:lang w:eastAsia="en-US"/>
              </w:rPr>
            </w:pPr>
          </w:p>
        </w:tc>
        <w:tc>
          <w:tcPr>
            <w:tcW w:w="992" w:type="dxa"/>
            <w:vMerge w:val="continue"/>
            <w:tcBorders>
              <w:tl2br w:val="nil"/>
              <w:tr2bl w:val="nil"/>
            </w:tcBorders>
            <w:vAlign w:val="center"/>
          </w:tcPr>
          <w:p w14:paraId="64F212C2">
            <w:pPr>
              <w:pStyle w:val="178"/>
              <w:jc w:val="center"/>
              <w:rPr>
                <w:rFonts w:ascii="Times New Roman" w:hAnsi="Times New Roman" w:cs="Times New Roman" w:eastAsiaTheme="minorEastAsia"/>
                <w:color w:val="auto"/>
                <w:highlight w:val="yellow"/>
                <w:lang w:eastAsia="zh-CN"/>
              </w:rPr>
            </w:pPr>
          </w:p>
        </w:tc>
        <w:tc>
          <w:tcPr>
            <w:tcW w:w="2626" w:type="dxa"/>
            <w:gridSpan w:val="2"/>
            <w:tcBorders>
              <w:tl2br w:val="nil"/>
              <w:tr2bl w:val="nil"/>
            </w:tcBorders>
            <w:vAlign w:val="center"/>
          </w:tcPr>
          <w:p w14:paraId="1A25EE0E">
            <w:pPr>
              <w:pStyle w:val="62"/>
              <w:adjustRightInd w:val="0"/>
              <w:snapToGrid w:val="0"/>
              <w:contextualSpacing w:val="0"/>
              <w:rPr>
                <w:lang w:eastAsia="zh-CN"/>
              </w:rPr>
            </w:pPr>
            <w:r>
              <w:rPr>
                <w:rFonts w:hint="eastAsia"/>
                <w:lang w:eastAsia="zh-CN"/>
              </w:rPr>
              <w:t>3420</w:t>
            </w:r>
          </w:p>
        </w:tc>
      </w:tr>
    </w:tbl>
    <w:p w14:paraId="2E286C8E">
      <w:pPr>
        <w:pStyle w:val="4"/>
        <w:spacing w:before="120" w:after="120"/>
        <w:rPr>
          <w:rFonts w:eastAsia="楷体"/>
          <w:bCs/>
          <w:sz w:val="28"/>
          <w:szCs w:val="28"/>
        </w:rPr>
      </w:pPr>
      <w:bookmarkStart w:id="328" w:name="_Toc176105878"/>
      <w:r>
        <w:rPr>
          <w:rFonts w:eastAsia="楷体"/>
          <w:bCs/>
          <w:sz w:val="28"/>
          <w:szCs w:val="28"/>
        </w:rPr>
        <w:t>环境风险潜势初判</w:t>
      </w:r>
      <w:bookmarkEnd w:id="328"/>
    </w:p>
    <w:p w14:paraId="0289BBB9">
      <w:pPr>
        <w:pStyle w:val="200"/>
        <w:numPr>
          <w:ilvl w:val="0"/>
          <w:numId w:val="40"/>
        </w:numPr>
        <w:ind w:left="726" w:hanging="442"/>
        <w:rPr>
          <w:rFonts w:ascii="Times New Roman" w:hAnsi="Times New Roman" w:cs="Times New Roman"/>
        </w:rPr>
      </w:pPr>
      <w:r>
        <w:rPr>
          <w:rFonts w:ascii="Times New Roman" w:hAnsi="Times New Roman" w:cs="Times New Roman"/>
        </w:rPr>
        <w:t>分级确定</w:t>
      </w:r>
    </w:p>
    <w:p w14:paraId="290E9166">
      <w:pPr>
        <w:ind w:firstLine="480"/>
        <w:rPr>
          <w:bCs/>
          <w:szCs w:val="24"/>
        </w:rPr>
      </w:pPr>
      <w:r>
        <w:rPr>
          <w:rFonts w:hint="eastAsia"/>
          <w:bCs/>
          <w:szCs w:val="24"/>
        </w:rPr>
        <w:t>识别本项目生产、使用、储存过程中涉及的有毒有害、易燃易爆物质，定量分析危险物质数量与临界量的比值（Q）；按照项目所属行业及生产工艺特点，确定行业及生产工艺（M）值；对照危险物质及工艺系统危险性等级判断表，综合判断出本项目危险物质及工艺系统危险性（P）值。</w:t>
      </w:r>
    </w:p>
    <w:p w14:paraId="4CE22205">
      <w:pPr>
        <w:pStyle w:val="201"/>
        <w:ind w:left="0" w:firstLine="482"/>
      </w:pPr>
      <w:r>
        <w:rPr>
          <w:rFonts w:hint="eastAsia"/>
        </w:rPr>
        <w:t>6.3.1.1危险物质数量与临界量比值Q</w:t>
      </w:r>
    </w:p>
    <w:p w14:paraId="3A90060E">
      <w:pPr>
        <w:pStyle w:val="213"/>
        <w:spacing w:line="520" w:lineRule="exact"/>
        <w:ind w:firstLine="480" w:firstLineChars="200"/>
        <w:contextualSpacing/>
        <w:rPr>
          <w:sz w:val="24"/>
          <w:szCs w:val="24"/>
        </w:rPr>
      </w:pPr>
      <w:r>
        <w:rPr>
          <w:rFonts w:hint="eastAsia"/>
          <w:sz w:val="24"/>
          <w:szCs w:val="24"/>
        </w:rPr>
        <w:t>计算</w:t>
      </w:r>
      <w:r>
        <w:rPr>
          <w:sz w:val="24"/>
          <w:szCs w:val="24"/>
        </w:rPr>
        <w:t>所涉及的每种危险物质在厂界内的最大存在总量与其在《建设项目环境风险评价技术导则》（HJ169-2018）附录B中对应临界量的比值Q。当Q&lt;1时，该项目环境风险潜势为I；当Q≥1时，将Q值划分为</w:t>
      </w:r>
      <w:r>
        <w:rPr>
          <w:rFonts w:hint="eastAsia"/>
          <w:sz w:val="24"/>
          <w:szCs w:val="24"/>
        </w:rPr>
        <w:t>：（1）</w:t>
      </w:r>
      <w:r>
        <w:rPr>
          <w:sz w:val="24"/>
          <w:szCs w:val="24"/>
        </w:rPr>
        <w:t>1≤Q&lt;10</w:t>
      </w:r>
      <w:r>
        <w:rPr>
          <w:rFonts w:hint="eastAsia"/>
          <w:sz w:val="24"/>
          <w:szCs w:val="24"/>
        </w:rPr>
        <w:t>，（2）</w:t>
      </w:r>
      <w:r>
        <w:rPr>
          <w:sz w:val="24"/>
          <w:szCs w:val="24"/>
        </w:rPr>
        <w:t>10≤Q&lt;100</w:t>
      </w:r>
      <w:r>
        <w:rPr>
          <w:rFonts w:hint="eastAsia"/>
          <w:sz w:val="24"/>
          <w:szCs w:val="24"/>
        </w:rPr>
        <w:t>，（3）</w:t>
      </w:r>
      <w:r>
        <w:rPr>
          <w:sz w:val="24"/>
          <w:szCs w:val="24"/>
        </w:rPr>
        <w:t>Q≥100</w:t>
      </w:r>
      <w:r>
        <w:rPr>
          <w:rFonts w:hint="eastAsia"/>
          <w:sz w:val="24"/>
          <w:szCs w:val="24"/>
        </w:rPr>
        <w:t>。</w:t>
      </w:r>
    </w:p>
    <w:p w14:paraId="42450BF2">
      <w:pPr>
        <w:pStyle w:val="213"/>
        <w:spacing w:line="520" w:lineRule="exact"/>
        <w:ind w:firstLine="480" w:firstLineChars="200"/>
        <w:contextualSpacing/>
        <w:rPr>
          <w:sz w:val="24"/>
          <w:szCs w:val="24"/>
        </w:rPr>
      </w:pPr>
      <w:r>
        <w:rPr>
          <w:rFonts w:hint="eastAsia"/>
          <w:sz w:val="24"/>
          <w:szCs w:val="24"/>
        </w:rPr>
        <w:t>根据《建设项目环境风险评价技术导则》（HJ169-2018）规定，危险单元内涉及多种危险物质时，按下式进行计算：</w:t>
      </w:r>
    </w:p>
    <w:p w14:paraId="6DE819FA">
      <w:pPr>
        <w:pStyle w:val="213"/>
        <w:ind w:firstLine="480"/>
        <w:contextualSpacing/>
        <w:rPr>
          <w:sz w:val="24"/>
          <w:szCs w:val="24"/>
        </w:rPr>
      </w:pPr>
      <w:r>
        <w:rPr>
          <w:sz w:val="24"/>
          <w:szCs w:val="24"/>
        </w:rPr>
        <w:t>Q</w:t>
      </w:r>
      <w:r>
        <w:rPr>
          <w:rFonts w:hint="eastAsia"/>
          <w:sz w:val="24"/>
          <w:szCs w:val="24"/>
        </w:rPr>
        <w:t>=q1</w:t>
      </w:r>
      <w:r>
        <w:rPr>
          <w:sz w:val="24"/>
          <w:szCs w:val="24"/>
        </w:rPr>
        <w:t>/Q</w:t>
      </w:r>
      <w:r>
        <w:rPr>
          <w:rFonts w:hint="eastAsia"/>
          <w:sz w:val="24"/>
          <w:szCs w:val="24"/>
        </w:rPr>
        <w:t>1</w:t>
      </w:r>
      <w:r>
        <w:rPr>
          <w:sz w:val="24"/>
          <w:szCs w:val="24"/>
        </w:rPr>
        <w:t>+q</w:t>
      </w:r>
      <w:r>
        <w:rPr>
          <w:rFonts w:hint="eastAsia"/>
          <w:sz w:val="24"/>
          <w:szCs w:val="24"/>
        </w:rPr>
        <w:t>2</w:t>
      </w:r>
      <w:r>
        <w:rPr>
          <w:sz w:val="24"/>
          <w:szCs w:val="24"/>
        </w:rPr>
        <w:t>/Q</w:t>
      </w:r>
      <w:r>
        <w:rPr>
          <w:rFonts w:hint="eastAsia"/>
          <w:sz w:val="24"/>
          <w:szCs w:val="24"/>
        </w:rPr>
        <w:t>2……</w:t>
      </w:r>
      <w:r>
        <w:rPr>
          <w:sz w:val="24"/>
          <w:szCs w:val="24"/>
        </w:rPr>
        <w:t>+q</w:t>
      </w:r>
      <w:r>
        <w:rPr>
          <w:rFonts w:hint="eastAsia"/>
          <w:sz w:val="24"/>
          <w:szCs w:val="24"/>
        </w:rPr>
        <w:t>n</w:t>
      </w:r>
      <w:r>
        <w:rPr>
          <w:sz w:val="24"/>
          <w:szCs w:val="24"/>
        </w:rPr>
        <w:t>/Q</w:t>
      </w:r>
      <w:r>
        <w:rPr>
          <w:rFonts w:hint="eastAsia"/>
          <w:sz w:val="24"/>
          <w:szCs w:val="24"/>
        </w:rPr>
        <w:t>n</w:t>
      </w:r>
    </w:p>
    <w:p w14:paraId="7C398E91">
      <w:pPr>
        <w:pStyle w:val="213"/>
        <w:ind w:firstLine="480"/>
        <w:contextualSpacing/>
        <w:rPr>
          <w:sz w:val="24"/>
          <w:szCs w:val="24"/>
        </w:rPr>
      </w:pPr>
      <w:r>
        <w:rPr>
          <w:rFonts w:hint="eastAsia"/>
          <w:sz w:val="24"/>
          <w:szCs w:val="24"/>
        </w:rPr>
        <w:t>式中：q1，q2……，q——每种危险物质的最大存在总量，t。</w:t>
      </w:r>
    </w:p>
    <w:p w14:paraId="174C6C58">
      <w:pPr>
        <w:ind w:firstLine="480"/>
        <w:rPr>
          <w:bCs/>
          <w:szCs w:val="24"/>
        </w:rPr>
      </w:pPr>
      <w:r>
        <w:rPr>
          <w:szCs w:val="24"/>
        </w:rPr>
        <w:t>Q</w:t>
      </w:r>
      <w:r>
        <w:rPr>
          <w:rFonts w:hint="eastAsia"/>
          <w:szCs w:val="24"/>
        </w:rPr>
        <w:t>1、</w:t>
      </w:r>
      <w:r>
        <w:rPr>
          <w:szCs w:val="24"/>
        </w:rPr>
        <w:t>Q</w:t>
      </w:r>
      <w:r>
        <w:rPr>
          <w:rFonts w:hint="eastAsia"/>
          <w:szCs w:val="24"/>
        </w:rPr>
        <w:t>2……</w:t>
      </w:r>
      <w:r>
        <w:rPr>
          <w:szCs w:val="24"/>
        </w:rPr>
        <w:t>Q</w:t>
      </w:r>
      <w:r>
        <w:rPr>
          <w:rFonts w:hint="eastAsia"/>
          <w:szCs w:val="24"/>
        </w:rPr>
        <w:t xml:space="preserve"> n——每种危险物质的临界量，t。</w:t>
      </w:r>
    </w:p>
    <w:p w14:paraId="308C90C4">
      <w:pPr>
        <w:ind w:firstLine="480"/>
        <w:rPr>
          <w:bCs/>
          <w:szCs w:val="24"/>
        </w:rPr>
      </w:pPr>
      <w:r>
        <w:rPr>
          <w:bCs/>
          <w:szCs w:val="24"/>
        </w:rPr>
        <w:t>经查阅《建设项目环境风险评价技术导则》（HJ/T169-2018）附录C，项目各风险物质的最大存在量及临界量见下表。</w:t>
      </w:r>
    </w:p>
    <w:p w14:paraId="1B9A7B68">
      <w:pPr>
        <w:pStyle w:val="183"/>
        <w:numPr>
          <w:ilvl w:val="7"/>
          <w:numId w:val="41"/>
        </w:numPr>
        <w:ind w:left="0" w:firstLine="480" w:firstLineChars="200"/>
        <w:rPr>
          <w:rFonts w:ascii="Times New Roman" w:hAnsi="Times New Roman" w:cs="Times New Roman"/>
          <w:bCs w:val="0"/>
        </w:rPr>
      </w:pPr>
      <w:r>
        <w:rPr>
          <w:rFonts w:ascii="Times New Roman" w:hAnsi="Times New Roman" w:cs="Times New Roman"/>
          <w:bCs w:val="0"/>
        </w:rPr>
        <w:t xml:space="preserve">            风险物质最大存在量               单位：t</w:t>
      </w:r>
    </w:p>
    <w:tbl>
      <w:tblPr>
        <w:tblStyle w:val="41"/>
        <w:tblW w:w="506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28"/>
        <w:gridCol w:w="1728"/>
        <w:gridCol w:w="1728"/>
        <w:gridCol w:w="1728"/>
        <w:gridCol w:w="1728"/>
      </w:tblGrid>
      <w:tr w14:paraId="6339B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8" w:space="0"/>
              <w:left w:val="single" w:color="auto" w:sz="8" w:space="0"/>
              <w:bottom w:val="single" w:color="auto" w:sz="4" w:space="0"/>
              <w:right w:val="single" w:color="auto" w:sz="4" w:space="0"/>
            </w:tcBorders>
            <w:vAlign w:val="center"/>
          </w:tcPr>
          <w:p w14:paraId="107D1435">
            <w:pPr>
              <w:spacing w:line="240" w:lineRule="auto"/>
              <w:ind w:firstLine="0" w:firstLineChars="0"/>
              <w:jc w:val="center"/>
              <w:rPr>
                <w:b/>
                <w:bCs/>
                <w:sz w:val="21"/>
                <w:szCs w:val="21"/>
                <w:u w:val="single"/>
              </w:rPr>
            </w:pPr>
            <w:r>
              <w:rPr>
                <w:b/>
                <w:bCs/>
                <w:sz w:val="21"/>
                <w:szCs w:val="21"/>
                <w:u w:val="single"/>
              </w:rPr>
              <w:t>物质</w:t>
            </w:r>
          </w:p>
        </w:tc>
        <w:tc>
          <w:tcPr>
            <w:tcW w:w="1000" w:type="pct"/>
            <w:tcBorders>
              <w:top w:val="single" w:color="auto" w:sz="8" w:space="0"/>
              <w:left w:val="single" w:color="auto" w:sz="4" w:space="0"/>
              <w:bottom w:val="single" w:color="auto" w:sz="4" w:space="0"/>
              <w:right w:val="single" w:color="auto" w:sz="4" w:space="0"/>
            </w:tcBorders>
            <w:vAlign w:val="center"/>
          </w:tcPr>
          <w:p w14:paraId="297CFD69">
            <w:pPr>
              <w:spacing w:line="240" w:lineRule="auto"/>
              <w:ind w:firstLine="0" w:firstLineChars="0"/>
              <w:jc w:val="center"/>
              <w:rPr>
                <w:b/>
                <w:bCs/>
                <w:sz w:val="21"/>
                <w:szCs w:val="21"/>
                <w:u w:val="single"/>
              </w:rPr>
            </w:pPr>
            <w:r>
              <w:rPr>
                <w:b/>
                <w:bCs/>
                <w:sz w:val="21"/>
                <w:szCs w:val="21"/>
                <w:u w:val="single"/>
              </w:rPr>
              <w:t>CAS号</w:t>
            </w:r>
          </w:p>
        </w:tc>
        <w:tc>
          <w:tcPr>
            <w:tcW w:w="1000" w:type="pct"/>
            <w:tcBorders>
              <w:top w:val="single" w:color="auto" w:sz="8" w:space="0"/>
              <w:left w:val="single" w:color="auto" w:sz="4" w:space="0"/>
              <w:bottom w:val="single" w:color="auto" w:sz="4" w:space="0"/>
              <w:right w:val="single" w:color="auto" w:sz="4" w:space="0"/>
            </w:tcBorders>
            <w:vAlign w:val="center"/>
          </w:tcPr>
          <w:p w14:paraId="3B127BEA">
            <w:pPr>
              <w:spacing w:line="240" w:lineRule="auto"/>
              <w:ind w:firstLine="0" w:firstLineChars="0"/>
              <w:jc w:val="center"/>
              <w:rPr>
                <w:b/>
                <w:bCs/>
                <w:sz w:val="21"/>
                <w:szCs w:val="21"/>
                <w:u w:val="single"/>
              </w:rPr>
            </w:pPr>
            <w:r>
              <w:rPr>
                <w:b/>
                <w:bCs/>
                <w:sz w:val="21"/>
                <w:szCs w:val="21"/>
                <w:u w:val="single"/>
              </w:rPr>
              <w:t>最大存在量</w:t>
            </w:r>
            <w:r>
              <w:rPr>
                <w:b/>
                <w:bCs/>
                <w:i/>
                <w:iCs/>
                <w:sz w:val="21"/>
                <w:szCs w:val="21"/>
                <w:u w:val="single"/>
              </w:rPr>
              <w:t>q</w:t>
            </w:r>
            <w:r>
              <w:rPr>
                <w:b/>
                <w:bCs/>
                <w:i/>
                <w:iCs/>
                <w:sz w:val="21"/>
                <w:szCs w:val="21"/>
                <w:u w:val="single"/>
                <w:vertAlign w:val="subscript"/>
              </w:rPr>
              <w:t>n</w:t>
            </w:r>
          </w:p>
        </w:tc>
        <w:tc>
          <w:tcPr>
            <w:tcW w:w="1000" w:type="pct"/>
            <w:tcBorders>
              <w:top w:val="single" w:color="auto" w:sz="8" w:space="0"/>
              <w:left w:val="single" w:color="auto" w:sz="4" w:space="0"/>
              <w:bottom w:val="single" w:color="auto" w:sz="4" w:space="0"/>
              <w:right w:val="single" w:color="auto" w:sz="4" w:space="0"/>
            </w:tcBorders>
            <w:vAlign w:val="center"/>
          </w:tcPr>
          <w:p w14:paraId="4F288085">
            <w:pPr>
              <w:spacing w:line="240" w:lineRule="auto"/>
              <w:ind w:firstLine="0" w:firstLineChars="0"/>
              <w:jc w:val="center"/>
              <w:rPr>
                <w:b/>
                <w:bCs/>
                <w:sz w:val="21"/>
                <w:szCs w:val="21"/>
                <w:u w:val="single"/>
              </w:rPr>
            </w:pPr>
            <w:r>
              <w:rPr>
                <w:b/>
                <w:bCs/>
                <w:sz w:val="21"/>
                <w:szCs w:val="21"/>
                <w:u w:val="single"/>
              </w:rPr>
              <w:t>临界量</w:t>
            </w:r>
            <w:r>
              <w:rPr>
                <w:b/>
                <w:bCs/>
                <w:i/>
                <w:iCs/>
                <w:sz w:val="21"/>
                <w:szCs w:val="21"/>
                <w:u w:val="single"/>
              </w:rPr>
              <w:t>Q</w:t>
            </w:r>
            <w:r>
              <w:rPr>
                <w:b/>
                <w:bCs/>
                <w:i/>
                <w:iCs/>
                <w:sz w:val="21"/>
                <w:szCs w:val="21"/>
                <w:u w:val="single"/>
                <w:vertAlign w:val="subscript"/>
              </w:rPr>
              <w:t>n</w:t>
            </w:r>
          </w:p>
        </w:tc>
        <w:tc>
          <w:tcPr>
            <w:tcW w:w="1000" w:type="pct"/>
            <w:tcBorders>
              <w:top w:val="single" w:color="auto" w:sz="8" w:space="0"/>
              <w:left w:val="single" w:color="auto" w:sz="4" w:space="0"/>
              <w:bottom w:val="single" w:color="auto" w:sz="4" w:space="0"/>
              <w:right w:val="single" w:color="auto" w:sz="8" w:space="0"/>
            </w:tcBorders>
            <w:vAlign w:val="center"/>
          </w:tcPr>
          <w:p w14:paraId="5FD75737">
            <w:pPr>
              <w:spacing w:line="240" w:lineRule="auto"/>
              <w:ind w:firstLine="0" w:firstLineChars="0"/>
              <w:jc w:val="center"/>
              <w:rPr>
                <w:b/>
                <w:bCs/>
                <w:sz w:val="21"/>
                <w:szCs w:val="21"/>
                <w:u w:val="single"/>
              </w:rPr>
            </w:pPr>
            <w:r>
              <w:rPr>
                <w:b/>
                <w:bCs/>
                <w:sz w:val="21"/>
                <w:szCs w:val="21"/>
                <w:u w:val="single"/>
              </w:rPr>
              <w:t>比值Q</w:t>
            </w:r>
            <w:r>
              <w:rPr>
                <w:b/>
                <w:bCs/>
                <w:i/>
                <w:iCs/>
                <w:sz w:val="21"/>
                <w:szCs w:val="21"/>
                <w:u w:val="single"/>
              </w:rPr>
              <w:t>（q</w:t>
            </w:r>
            <w:r>
              <w:rPr>
                <w:b/>
                <w:bCs/>
                <w:i/>
                <w:iCs/>
                <w:sz w:val="21"/>
                <w:szCs w:val="21"/>
                <w:u w:val="single"/>
                <w:vertAlign w:val="subscript"/>
              </w:rPr>
              <w:t>n</w:t>
            </w:r>
            <w:r>
              <w:rPr>
                <w:b/>
                <w:bCs/>
                <w:sz w:val="21"/>
                <w:szCs w:val="21"/>
                <w:u w:val="single"/>
              </w:rPr>
              <w:t>/</w:t>
            </w:r>
            <w:r>
              <w:rPr>
                <w:b/>
                <w:bCs/>
                <w:i/>
                <w:iCs/>
                <w:sz w:val="21"/>
                <w:szCs w:val="21"/>
                <w:u w:val="single"/>
              </w:rPr>
              <w:t>Q</w:t>
            </w:r>
            <w:r>
              <w:rPr>
                <w:b/>
                <w:bCs/>
                <w:i/>
                <w:iCs/>
                <w:sz w:val="21"/>
                <w:szCs w:val="21"/>
                <w:u w:val="single"/>
                <w:vertAlign w:val="subscript"/>
              </w:rPr>
              <w:t>n</w:t>
            </w:r>
            <w:r>
              <w:rPr>
                <w:b/>
                <w:bCs/>
                <w:i/>
                <w:iCs/>
                <w:sz w:val="21"/>
                <w:szCs w:val="21"/>
                <w:u w:val="single"/>
              </w:rPr>
              <w:t>）</w:t>
            </w:r>
          </w:p>
        </w:tc>
      </w:tr>
      <w:tr w14:paraId="112C3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3942E04E">
            <w:pPr>
              <w:spacing w:line="240" w:lineRule="auto"/>
              <w:ind w:firstLine="0" w:firstLineChars="0"/>
              <w:jc w:val="center"/>
              <w:rPr>
                <w:sz w:val="21"/>
                <w:szCs w:val="21"/>
                <w:highlight w:val="yellow"/>
                <w:u w:val="single"/>
              </w:rPr>
            </w:pPr>
            <w:r>
              <w:rPr>
                <w:rFonts w:hint="eastAsia" w:eastAsiaTheme="minorEastAsia"/>
                <w:sz w:val="21"/>
                <w:szCs w:val="21"/>
                <w:u w:val="single"/>
              </w:rPr>
              <w:t>D4（八甲基环四硅氧烷）</w:t>
            </w:r>
          </w:p>
        </w:tc>
        <w:tc>
          <w:tcPr>
            <w:tcW w:w="1000" w:type="pct"/>
            <w:tcBorders>
              <w:top w:val="single" w:color="auto" w:sz="4" w:space="0"/>
              <w:left w:val="single" w:color="auto" w:sz="4" w:space="0"/>
              <w:bottom w:val="single" w:color="auto" w:sz="4" w:space="0"/>
              <w:right w:val="single" w:color="auto" w:sz="4" w:space="0"/>
            </w:tcBorders>
            <w:vAlign w:val="center"/>
          </w:tcPr>
          <w:p w14:paraId="55A3DD23">
            <w:pPr>
              <w:spacing w:line="240" w:lineRule="auto"/>
              <w:ind w:firstLine="0" w:firstLineChars="0"/>
              <w:jc w:val="center"/>
              <w:rPr>
                <w:sz w:val="21"/>
                <w:szCs w:val="21"/>
                <w:u w:val="single"/>
              </w:rPr>
            </w:pPr>
            <w:r>
              <w:rPr>
                <w:rFonts w:hint="eastAsia"/>
                <w:sz w:val="21"/>
                <w:szCs w:val="21"/>
                <w:u w:val="single"/>
              </w:rPr>
              <w:t>556-67-2</w:t>
            </w:r>
          </w:p>
        </w:tc>
        <w:tc>
          <w:tcPr>
            <w:tcW w:w="1000" w:type="pct"/>
            <w:tcBorders>
              <w:top w:val="single" w:color="auto" w:sz="4" w:space="0"/>
              <w:left w:val="single" w:color="auto" w:sz="4" w:space="0"/>
              <w:bottom w:val="single" w:color="auto" w:sz="4" w:space="0"/>
              <w:right w:val="single" w:color="auto" w:sz="4" w:space="0"/>
            </w:tcBorders>
            <w:vAlign w:val="center"/>
          </w:tcPr>
          <w:p w14:paraId="0A676887">
            <w:pPr>
              <w:spacing w:line="240" w:lineRule="auto"/>
              <w:ind w:firstLine="0" w:firstLineChars="0"/>
              <w:jc w:val="center"/>
              <w:rPr>
                <w:b/>
                <w:bCs/>
                <w:sz w:val="21"/>
                <w:szCs w:val="21"/>
                <w:u w:val="single"/>
                <w:lang w:eastAsia="en-US"/>
              </w:rPr>
            </w:pPr>
            <w:r>
              <w:rPr>
                <w:rFonts w:hint="eastAsia" w:eastAsiaTheme="minorEastAsia"/>
                <w:bCs/>
                <w:sz w:val="21"/>
                <w:szCs w:val="21"/>
                <w:u w:val="single"/>
              </w:rPr>
              <w:t>33.106</w:t>
            </w:r>
          </w:p>
        </w:tc>
        <w:tc>
          <w:tcPr>
            <w:tcW w:w="1000" w:type="pct"/>
            <w:tcBorders>
              <w:top w:val="single" w:color="auto" w:sz="4" w:space="0"/>
              <w:left w:val="single" w:color="auto" w:sz="4" w:space="0"/>
              <w:bottom w:val="single" w:color="auto" w:sz="4" w:space="0"/>
              <w:right w:val="single" w:color="auto" w:sz="4" w:space="0"/>
            </w:tcBorders>
            <w:vAlign w:val="center"/>
          </w:tcPr>
          <w:p w14:paraId="3C21AA3B">
            <w:pPr>
              <w:spacing w:line="240" w:lineRule="auto"/>
              <w:ind w:firstLine="0" w:firstLineChars="0"/>
              <w:jc w:val="center"/>
              <w:rPr>
                <w:sz w:val="21"/>
                <w:szCs w:val="21"/>
                <w:u w:val="single"/>
              </w:rPr>
            </w:pPr>
            <w:r>
              <w:rPr>
                <w:rFonts w:hint="eastAsia"/>
                <w:sz w:val="21"/>
                <w:szCs w:val="21"/>
                <w:u w:val="single"/>
              </w:rPr>
              <w:t>5</w:t>
            </w:r>
          </w:p>
        </w:tc>
        <w:tc>
          <w:tcPr>
            <w:tcW w:w="1000" w:type="pct"/>
            <w:tcBorders>
              <w:top w:val="single" w:color="auto" w:sz="4" w:space="0"/>
              <w:left w:val="single" w:color="auto" w:sz="4" w:space="0"/>
              <w:bottom w:val="single" w:color="auto" w:sz="4" w:space="0"/>
              <w:right w:val="single" w:color="auto" w:sz="8" w:space="0"/>
            </w:tcBorders>
            <w:vAlign w:val="center"/>
          </w:tcPr>
          <w:p w14:paraId="728C7332">
            <w:pPr>
              <w:spacing w:line="240" w:lineRule="auto"/>
              <w:ind w:firstLine="0" w:firstLineChars="0"/>
              <w:jc w:val="center"/>
              <w:rPr>
                <w:sz w:val="21"/>
                <w:szCs w:val="21"/>
                <w:u w:val="single"/>
              </w:rPr>
            </w:pPr>
            <w:r>
              <w:rPr>
                <w:rFonts w:hint="eastAsia"/>
                <w:sz w:val="21"/>
                <w:szCs w:val="21"/>
                <w:u w:val="single"/>
              </w:rPr>
              <w:t>6.6212</w:t>
            </w:r>
          </w:p>
        </w:tc>
      </w:tr>
      <w:tr w14:paraId="6D5ED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68295304">
            <w:pPr>
              <w:spacing w:line="240" w:lineRule="auto"/>
              <w:ind w:firstLine="0" w:firstLineChars="0"/>
              <w:jc w:val="center"/>
              <w:rPr>
                <w:sz w:val="21"/>
                <w:szCs w:val="21"/>
                <w:highlight w:val="yellow"/>
                <w:u w:val="single"/>
              </w:rPr>
            </w:pPr>
            <w:r>
              <w:rPr>
                <w:rFonts w:hint="eastAsia" w:eastAsiaTheme="minorEastAsia"/>
                <w:bCs/>
                <w:sz w:val="21"/>
                <w:szCs w:val="21"/>
                <w:u w:val="single"/>
              </w:rPr>
              <w:t>硫酸</w:t>
            </w:r>
          </w:p>
        </w:tc>
        <w:tc>
          <w:tcPr>
            <w:tcW w:w="1000" w:type="pct"/>
            <w:tcBorders>
              <w:top w:val="single" w:color="auto" w:sz="4" w:space="0"/>
              <w:left w:val="single" w:color="auto" w:sz="4" w:space="0"/>
              <w:bottom w:val="single" w:color="auto" w:sz="4" w:space="0"/>
              <w:right w:val="single" w:color="auto" w:sz="4" w:space="0"/>
            </w:tcBorders>
            <w:vAlign w:val="center"/>
          </w:tcPr>
          <w:p w14:paraId="1462BBA3">
            <w:pPr>
              <w:spacing w:line="240" w:lineRule="auto"/>
              <w:ind w:firstLine="0" w:firstLineChars="0"/>
              <w:jc w:val="center"/>
              <w:rPr>
                <w:sz w:val="21"/>
                <w:szCs w:val="21"/>
                <w:u w:val="single"/>
              </w:rPr>
            </w:pPr>
            <w:r>
              <w:rPr>
                <w:rFonts w:hint="eastAsia"/>
                <w:sz w:val="21"/>
                <w:szCs w:val="21"/>
                <w:u w:val="single"/>
              </w:rPr>
              <w:t>7664-93-9</w:t>
            </w:r>
          </w:p>
        </w:tc>
        <w:tc>
          <w:tcPr>
            <w:tcW w:w="1000" w:type="pct"/>
            <w:tcBorders>
              <w:top w:val="single" w:color="auto" w:sz="4" w:space="0"/>
              <w:left w:val="single" w:color="auto" w:sz="4" w:space="0"/>
              <w:bottom w:val="single" w:color="auto" w:sz="4" w:space="0"/>
              <w:right w:val="single" w:color="auto" w:sz="4" w:space="0"/>
            </w:tcBorders>
            <w:vAlign w:val="center"/>
          </w:tcPr>
          <w:p w14:paraId="2AC5275F">
            <w:pPr>
              <w:spacing w:line="240" w:lineRule="auto"/>
              <w:ind w:firstLine="0" w:firstLineChars="0"/>
              <w:jc w:val="center"/>
              <w:rPr>
                <w:sz w:val="21"/>
                <w:szCs w:val="21"/>
                <w:u w:val="single"/>
              </w:rPr>
            </w:pPr>
            <w:r>
              <w:rPr>
                <w:rFonts w:hint="eastAsia"/>
                <w:sz w:val="21"/>
                <w:szCs w:val="21"/>
                <w:u w:val="single"/>
              </w:rPr>
              <w:t>1.04</w:t>
            </w:r>
          </w:p>
        </w:tc>
        <w:tc>
          <w:tcPr>
            <w:tcW w:w="1000" w:type="pct"/>
            <w:tcBorders>
              <w:top w:val="single" w:color="auto" w:sz="4" w:space="0"/>
              <w:left w:val="single" w:color="auto" w:sz="4" w:space="0"/>
              <w:bottom w:val="single" w:color="auto" w:sz="4" w:space="0"/>
              <w:right w:val="single" w:color="auto" w:sz="4" w:space="0"/>
            </w:tcBorders>
            <w:vAlign w:val="center"/>
          </w:tcPr>
          <w:p w14:paraId="6884221A">
            <w:pPr>
              <w:spacing w:line="240" w:lineRule="auto"/>
              <w:ind w:firstLine="0" w:firstLineChars="0"/>
              <w:jc w:val="center"/>
              <w:rPr>
                <w:sz w:val="21"/>
                <w:szCs w:val="21"/>
                <w:u w:val="single"/>
              </w:rPr>
            </w:pPr>
            <w:r>
              <w:rPr>
                <w:rFonts w:hint="eastAsia"/>
                <w:sz w:val="21"/>
                <w:szCs w:val="21"/>
                <w:u w:val="single"/>
              </w:rPr>
              <w:t>10</w:t>
            </w:r>
          </w:p>
        </w:tc>
        <w:tc>
          <w:tcPr>
            <w:tcW w:w="1000" w:type="pct"/>
            <w:tcBorders>
              <w:top w:val="single" w:color="auto" w:sz="4" w:space="0"/>
              <w:left w:val="single" w:color="auto" w:sz="4" w:space="0"/>
              <w:bottom w:val="single" w:color="auto" w:sz="4" w:space="0"/>
              <w:right w:val="single" w:color="auto" w:sz="8" w:space="0"/>
            </w:tcBorders>
            <w:vAlign w:val="center"/>
          </w:tcPr>
          <w:p w14:paraId="301D414C">
            <w:pPr>
              <w:spacing w:line="240" w:lineRule="auto"/>
              <w:ind w:firstLine="0" w:firstLineChars="0"/>
              <w:jc w:val="center"/>
              <w:rPr>
                <w:sz w:val="21"/>
                <w:szCs w:val="21"/>
                <w:u w:val="single"/>
              </w:rPr>
            </w:pPr>
            <w:r>
              <w:rPr>
                <w:rFonts w:hint="eastAsia"/>
                <w:sz w:val="21"/>
                <w:szCs w:val="21"/>
                <w:u w:val="single"/>
              </w:rPr>
              <w:t>0.104</w:t>
            </w:r>
          </w:p>
        </w:tc>
      </w:tr>
      <w:tr w14:paraId="4AEEB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23ED6FD8">
            <w:pPr>
              <w:spacing w:line="240" w:lineRule="auto"/>
              <w:ind w:firstLine="0" w:firstLineChars="0"/>
              <w:jc w:val="center"/>
              <w:rPr>
                <w:rFonts w:eastAsiaTheme="minorEastAsia"/>
                <w:bCs/>
                <w:sz w:val="21"/>
                <w:szCs w:val="21"/>
                <w:highlight w:val="yellow"/>
                <w:u w:val="single"/>
              </w:rPr>
            </w:pPr>
            <w:r>
              <w:rPr>
                <w:rFonts w:hint="eastAsia" w:eastAsiaTheme="minorEastAsia"/>
                <w:bCs/>
                <w:sz w:val="21"/>
                <w:szCs w:val="21"/>
                <w:u w:val="single"/>
              </w:rPr>
              <w:t>氨</w:t>
            </w:r>
          </w:p>
        </w:tc>
        <w:tc>
          <w:tcPr>
            <w:tcW w:w="1000" w:type="pct"/>
            <w:tcBorders>
              <w:top w:val="single" w:color="auto" w:sz="4" w:space="0"/>
              <w:left w:val="single" w:color="auto" w:sz="4" w:space="0"/>
              <w:bottom w:val="single" w:color="auto" w:sz="4" w:space="0"/>
              <w:right w:val="single" w:color="auto" w:sz="4" w:space="0"/>
            </w:tcBorders>
            <w:vAlign w:val="center"/>
          </w:tcPr>
          <w:p w14:paraId="66E87BB8">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7664-41-7</w:t>
            </w:r>
          </w:p>
        </w:tc>
        <w:tc>
          <w:tcPr>
            <w:tcW w:w="1000" w:type="pct"/>
            <w:tcBorders>
              <w:top w:val="single" w:color="auto" w:sz="4" w:space="0"/>
              <w:left w:val="single" w:color="auto" w:sz="4" w:space="0"/>
              <w:bottom w:val="single" w:color="auto" w:sz="4" w:space="0"/>
              <w:right w:val="single" w:color="auto" w:sz="4" w:space="0"/>
            </w:tcBorders>
            <w:vAlign w:val="center"/>
          </w:tcPr>
          <w:p w14:paraId="7FDF4244">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0.0008</w:t>
            </w:r>
          </w:p>
        </w:tc>
        <w:tc>
          <w:tcPr>
            <w:tcW w:w="1000" w:type="pct"/>
            <w:tcBorders>
              <w:top w:val="single" w:color="auto" w:sz="4" w:space="0"/>
              <w:left w:val="single" w:color="auto" w:sz="4" w:space="0"/>
              <w:bottom w:val="single" w:color="auto" w:sz="4" w:space="0"/>
              <w:right w:val="single" w:color="auto" w:sz="4" w:space="0"/>
            </w:tcBorders>
            <w:vAlign w:val="center"/>
          </w:tcPr>
          <w:p w14:paraId="32FE37A5">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5</w:t>
            </w:r>
          </w:p>
        </w:tc>
        <w:tc>
          <w:tcPr>
            <w:tcW w:w="1000" w:type="pct"/>
            <w:tcBorders>
              <w:top w:val="single" w:color="auto" w:sz="4" w:space="0"/>
              <w:left w:val="single" w:color="auto" w:sz="4" w:space="0"/>
              <w:bottom w:val="single" w:color="auto" w:sz="4" w:space="0"/>
              <w:right w:val="single" w:color="auto" w:sz="8" w:space="0"/>
            </w:tcBorders>
            <w:vAlign w:val="center"/>
          </w:tcPr>
          <w:p w14:paraId="5DA9820B">
            <w:pPr>
              <w:spacing w:line="240" w:lineRule="auto"/>
              <w:ind w:firstLine="0" w:firstLineChars="0"/>
              <w:jc w:val="center"/>
              <w:rPr>
                <w:sz w:val="21"/>
                <w:szCs w:val="21"/>
                <w:u w:val="single"/>
              </w:rPr>
            </w:pPr>
            <w:r>
              <w:rPr>
                <w:rFonts w:hint="eastAsia"/>
                <w:sz w:val="21"/>
                <w:szCs w:val="21"/>
                <w:u w:val="single"/>
              </w:rPr>
              <w:t>0.00016</w:t>
            </w:r>
          </w:p>
        </w:tc>
      </w:tr>
      <w:tr w14:paraId="6123F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71A7AE0D">
            <w:pPr>
              <w:spacing w:line="240" w:lineRule="auto"/>
              <w:ind w:firstLine="0" w:firstLineChars="0"/>
              <w:jc w:val="center"/>
              <w:rPr>
                <w:rFonts w:eastAsiaTheme="minorEastAsia"/>
                <w:bCs/>
                <w:sz w:val="21"/>
                <w:szCs w:val="21"/>
                <w:highlight w:val="yellow"/>
                <w:u w:val="single"/>
              </w:rPr>
            </w:pPr>
            <w:r>
              <w:rPr>
                <w:rFonts w:hint="eastAsia" w:eastAsiaTheme="minorEastAsia"/>
                <w:bCs/>
                <w:sz w:val="21"/>
                <w:szCs w:val="21"/>
                <w:u w:val="single"/>
              </w:rPr>
              <w:t>硫化氢</w:t>
            </w:r>
          </w:p>
        </w:tc>
        <w:tc>
          <w:tcPr>
            <w:tcW w:w="1000" w:type="pct"/>
            <w:tcBorders>
              <w:top w:val="single" w:color="auto" w:sz="4" w:space="0"/>
              <w:left w:val="single" w:color="auto" w:sz="4" w:space="0"/>
              <w:bottom w:val="single" w:color="auto" w:sz="4" w:space="0"/>
              <w:right w:val="single" w:color="auto" w:sz="4" w:space="0"/>
            </w:tcBorders>
            <w:vAlign w:val="center"/>
          </w:tcPr>
          <w:p w14:paraId="48CD2195">
            <w:pPr>
              <w:spacing w:line="240" w:lineRule="auto"/>
              <w:ind w:firstLine="0" w:firstLineChars="0"/>
              <w:jc w:val="center"/>
              <w:rPr>
                <w:rFonts w:eastAsiaTheme="minorEastAsia"/>
                <w:bCs/>
                <w:sz w:val="21"/>
                <w:szCs w:val="21"/>
                <w:highlight w:val="yellow"/>
                <w:u w:val="single"/>
              </w:rPr>
            </w:pPr>
            <w:r>
              <w:rPr>
                <w:rFonts w:hint="eastAsia" w:eastAsiaTheme="minorEastAsia"/>
                <w:bCs/>
                <w:sz w:val="21"/>
                <w:szCs w:val="21"/>
                <w:u w:val="single"/>
              </w:rPr>
              <w:t>7783-06-4</w:t>
            </w:r>
          </w:p>
        </w:tc>
        <w:tc>
          <w:tcPr>
            <w:tcW w:w="1000" w:type="pct"/>
            <w:tcBorders>
              <w:top w:val="single" w:color="auto" w:sz="4" w:space="0"/>
              <w:left w:val="single" w:color="auto" w:sz="4" w:space="0"/>
              <w:bottom w:val="single" w:color="auto" w:sz="4" w:space="0"/>
              <w:right w:val="single" w:color="auto" w:sz="4" w:space="0"/>
            </w:tcBorders>
            <w:vAlign w:val="center"/>
          </w:tcPr>
          <w:p w14:paraId="008E2A86">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0.00003</w:t>
            </w:r>
          </w:p>
        </w:tc>
        <w:tc>
          <w:tcPr>
            <w:tcW w:w="1000" w:type="pct"/>
            <w:tcBorders>
              <w:top w:val="single" w:color="auto" w:sz="4" w:space="0"/>
              <w:left w:val="single" w:color="auto" w:sz="4" w:space="0"/>
              <w:bottom w:val="single" w:color="auto" w:sz="4" w:space="0"/>
              <w:right w:val="single" w:color="auto" w:sz="4" w:space="0"/>
            </w:tcBorders>
            <w:vAlign w:val="center"/>
          </w:tcPr>
          <w:p w14:paraId="6901FE8A">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2.5</w:t>
            </w:r>
          </w:p>
        </w:tc>
        <w:tc>
          <w:tcPr>
            <w:tcW w:w="1000" w:type="pct"/>
            <w:tcBorders>
              <w:top w:val="single" w:color="auto" w:sz="4" w:space="0"/>
              <w:left w:val="single" w:color="auto" w:sz="4" w:space="0"/>
              <w:bottom w:val="single" w:color="auto" w:sz="4" w:space="0"/>
              <w:right w:val="single" w:color="auto" w:sz="8" w:space="0"/>
            </w:tcBorders>
            <w:vAlign w:val="center"/>
          </w:tcPr>
          <w:p w14:paraId="0C8EE641">
            <w:pPr>
              <w:spacing w:line="240" w:lineRule="auto"/>
              <w:ind w:firstLine="0" w:firstLineChars="0"/>
              <w:jc w:val="center"/>
              <w:rPr>
                <w:sz w:val="21"/>
                <w:szCs w:val="21"/>
                <w:u w:val="single"/>
              </w:rPr>
            </w:pPr>
            <w:r>
              <w:rPr>
                <w:rFonts w:hint="eastAsia"/>
                <w:sz w:val="21"/>
                <w:szCs w:val="21"/>
                <w:u w:val="single"/>
              </w:rPr>
              <w:t>0.000012</w:t>
            </w:r>
          </w:p>
        </w:tc>
      </w:tr>
      <w:tr w14:paraId="1B748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61F950AE">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油类物质（导热油）</w:t>
            </w:r>
          </w:p>
        </w:tc>
        <w:tc>
          <w:tcPr>
            <w:tcW w:w="1000" w:type="pct"/>
            <w:tcBorders>
              <w:top w:val="single" w:color="auto" w:sz="4" w:space="0"/>
              <w:left w:val="single" w:color="auto" w:sz="4" w:space="0"/>
              <w:bottom w:val="single" w:color="auto" w:sz="4" w:space="0"/>
              <w:right w:val="single" w:color="auto" w:sz="4" w:space="0"/>
            </w:tcBorders>
            <w:vAlign w:val="center"/>
          </w:tcPr>
          <w:p w14:paraId="34990EBC">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w:t>
            </w:r>
          </w:p>
        </w:tc>
        <w:tc>
          <w:tcPr>
            <w:tcW w:w="1000" w:type="pct"/>
            <w:tcBorders>
              <w:top w:val="single" w:color="auto" w:sz="4" w:space="0"/>
              <w:left w:val="single" w:color="auto" w:sz="4" w:space="0"/>
              <w:bottom w:val="single" w:color="auto" w:sz="4" w:space="0"/>
              <w:right w:val="single" w:color="auto" w:sz="4" w:space="0"/>
            </w:tcBorders>
            <w:vAlign w:val="center"/>
          </w:tcPr>
          <w:p w14:paraId="6ED70EDF">
            <w:pPr>
              <w:spacing w:line="240" w:lineRule="auto"/>
              <w:ind w:firstLine="0" w:firstLineChars="0"/>
              <w:jc w:val="center"/>
              <w:rPr>
                <w:rFonts w:eastAsiaTheme="minorEastAsia"/>
                <w:sz w:val="21"/>
                <w:szCs w:val="21"/>
                <w:u w:val="single"/>
              </w:rPr>
            </w:pPr>
            <w:r>
              <w:rPr>
                <w:rFonts w:hint="eastAsia" w:eastAsiaTheme="minorEastAsia"/>
                <w:sz w:val="21"/>
                <w:szCs w:val="21"/>
                <w:u w:val="single"/>
              </w:rPr>
              <w:t>17</w:t>
            </w:r>
          </w:p>
        </w:tc>
        <w:tc>
          <w:tcPr>
            <w:tcW w:w="1000" w:type="pct"/>
            <w:tcBorders>
              <w:top w:val="single" w:color="auto" w:sz="4" w:space="0"/>
              <w:left w:val="single" w:color="auto" w:sz="4" w:space="0"/>
              <w:bottom w:val="single" w:color="auto" w:sz="4" w:space="0"/>
              <w:right w:val="single" w:color="auto" w:sz="4" w:space="0"/>
            </w:tcBorders>
            <w:vAlign w:val="center"/>
          </w:tcPr>
          <w:p w14:paraId="4B627347">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2500</w:t>
            </w:r>
          </w:p>
        </w:tc>
        <w:tc>
          <w:tcPr>
            <w:tcW w:w="1000" w:type="pct"/>
            <w:tcBorders>
              <w:top w:val="single" w:color="auto" w:sz="4" w:space="0"/>
              <w:left w:val="single" w:color="auto" w:sz="4" w:space="0"/>
              <w:bottom w:val="single" w:color="auto" w:sz="4" w:space="0"/>
              <w:right w:val="single" w:color="auto" w:sz="8" w:space="0"/>
            </w:tcBorders>
            <w:vAlign w:val="center"/>
          </w:tcPr>
          <w:p w14:paraId="1AED44C9">
            <w:pPr>
              <w:spacing w:line="240" w:lineRule="auto"/>
              <w:ind w:firstLine="0" w:firstLineChars="0"/>
              <w:jc w:val="center"/>
              <w:rPr>
                <w:sz w:val="21"/>
                <w:szCs w:val="21"/>
                <w:u w:val="single"/>
              </w:rPr>
            </w:pPr>
            <w:r>
              <w:rPr>
                <w:rFonts w:hint="eastAsia"/>
                <w:sz w:val="21"/>
                <w:szCs w:val="21"/>
                <w:u w:val="single"/>
              </w:rPr>
              <w:t>0.0068</w:t>
            </w:r>
          </w:p>
        </w:tc>
      </w:tr>
      <w:tr w14:paraId="4C234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000" w:type="pct"/>
            <w:tcBorders>
              <w:top w:val="single" w:color="auto" w:sz="4" w:space="0"/>
              <w:left w:val="single" w:color="auto" w:sz="8" w:space="0"/>
              <w:bottom w:val="single" w:color="auto" w:sz="4" w:space="0"/>
              <w:right w:val="single" w:color="auto" w:sz="4" w:space="0"/>
            </w:tcBorders>
            <w:vAlign w:val="center"/>
          </w:tcPr>
          <w:p w14:paraId="5C031980">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油类物质（废导热油）</w:t>
            </w:r>
          </w:p>
        </w:tc>
        <w:tc>
          <w:tcPr>
            <w:tcW w:w="1000" w:type="pct"/>
            <w:tcBorders>
              <w:top w:val="single" w:color="auto" w:sz="4" w:space="0"/>
              <w:left w:val="single" w:color="auto" w:sz="4" w:space="0"/>
              <w:bottom w:val="single" w:color="auto" w:sz="4" w:space="0"/>
              <w:right w:val="single" w:color="auto" w:sz="4" w:space="0"/>
            </w:tcBorders>
            <w:vAlign w:val="center"/>
          </w:tcPr>
          <w:p w14:paraId="7DF61E76">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w:t>
            </w:r>
          </w:p>
        </w:tc>
        <w:tc>
          <w:tcPr>
            <w:tcW w:w="1000" w:type="pct"/>
            <w:tcBorders>
              <w:top w:val="single" w:color="auto" w:sz="4" w:space="0"/>
              <w:left w:val="single" w:color="auto" w:sz="4" w:space="0"/>
              <w:bottom w:val="single" w:color="auto" w:sz="4" w:space="0"/>
              <w:right w:val="single" w:color="auto" w:sz="4" w:space="0"/>
            </w:tcBorders>
            <w:vAlign w:val="center"/>
          </w:tcPr>
          <w:p w14:paraId="65FB8256">
            <w:pPr>
              <w:spacing w:line="240" w:lineRule="auto"/>
              <w:ind w:firstLine="0" w:firstLineChars="0"/>
              <w:jc w:val="center"/>
              <w:rPr>
                <w:rFonts w:eastAsiaTheme="minorEastAsia"/>
                <w:sz w:val="21"/>
                <w:szCs w:val="21"/>
                <w:u w:val="single"/>
              </w:rPr>
            </w:pPr>
            <w:r>
              <w:rPr>
                <w:rFonts w:hint="eastAsia" w:eastAsiaTheme="minorEastAsia"/>
                <w:sz w:val="21"/>
                <w:szCs w:val="21"/>
                <w:u w:val="single"/>
              </w:rPr>
              <w:t>17</w:t>
            </w:r>
          </w:p>
        </w:tc>
        <w:tc>
          <w:tcPr>
            <w:tcW w:w="1000" w:type="pct"/>
            <w:tcBorders>
              <w:top w:val="single" w:color="auto" w:sz="4" w:space="0"/>
              <w:left w:val="single" w:color="auto" w:sz="4" w:space="0"/>
              <w:bottom w:val="single" w:color="auto" w:sz="4" w:space="0"/>
              <w:right w:val="single" w:color="auto" w:sz="4" w:space="0"/>
            </w:tcBorders>
            <w:vAlign w:val="center"/>
          </w:tcPr>
          <w:p w14:paraId="7CC4059D">
            <w:pPr>
              <w:spacing w:line="240" w:lineRule="auto"/>
              <w:ind w:firstLine="0" w:firstLineChars="0"/>
              <w:jc w:val="center"/>
              <w:rPr>
                <w:rFonts w:eastAsiaTheme="minorEastAsia"/>
                <w:bCs/>
                <w:sz w:val="21"/>
                <w:szCs w:val="21"/>
                <w:u w:val="single"/>
              </w:rPr>
            </w:pPr>
            <w:r>
              <w:rPr>
                <w:rFonts w:hint="eastAsia" w:eastAsiaTheme="minorEastAsia"/>
                <w:bCs/>
                <w:sz w:val="21"/>
                <w:szCs w:val="21"/>
                <w:u w:val="single"/>
              </w:rPr>
              <w:t>2500</w:t>
            </w:r>
          </w:p>
        </w:tc>
        <w:tc>
          <w:tcPr>
            <w:tcW w:w="1000" w:type="pct"/>
            <w:tcBorders>
              <w:top w:val="single" w:color="auto" w:sz="4" w:space="0"/>
              <w:left w:val="single" w:color="auto" w:sz="4" w:space="0"/>
              <w:bottom w:val="single" w:color="auto" w:sz="4" w:space="0"/>
              <w:right w:val="single" w:color="auto" w:sz="8" w:space="0"/>
            </w:tcBorders>
            <w:vAlign w:val="center"/>
          </w:tcPr>
          <w:p w14:paraId="07185937">
            <w:pPr>
              <w:spacing w:line="240" w:lineRule="auto"/>
              <w:ind w:firstLine="0" w:firstLineChars="0"/>
              <w:jc w:val="center"/>
              <w:rPr>
                <w:sz w:val="21"/>
                <w:szCs w:val="21"/>
                <w:u w:val="single"/>
              </w:rPr>
            </w:pPr>
            <w:r>
              <w:rPr>
                <w:rFonts w:hint="eastAsia"/>
                <w:sz w:val="21"/>
                <w:szCs w:val="21"/>
                <w:u w:val="single"/>
              </w:rPr>
              <w:t>0.0068</w:t>
            </w:r>
          </w:p>
        </w:tc>
      </w:tr>
      <w:tr w14:paraId="16667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000" w:type="pct"/>
            <w:gridSpan w:val="4"/>
            <w:tcBorders>
              <w:top w:val="single" w:color="auto" w:sz="4" w:space="0"/>
              <w:left w:val="single" w:color="auto" w:sz="8" w:space="0"/>
              <w:bottom w:val="single" w:color="auto" w:sz="8" w:space="0"/>
              <w:right w:val="single" w:color="auto" w:sz="4" w:space="0"/>
            </w:tcBorders>
            <w:vAlign w:val="center"/>
          </w:tcPr>
          <w:p w14:paraId="69B02DCD">
            <w:pPr>
              <w:spacing w:line="240" w:lineRule="auto"/>
              <w:ind w:firstLine="0" w:firstLineChars="0"/>
              <w:jc w:val="center"/>
              <w:rPr>
                <w:sz w:val="21"/>
                <w:szCs w:val="21"/>
                <w:u w:val="single"/>
              </w:rPr>
            </w:pPr>
            <w:r>
              <w:rPr>
                <w:sz w:val="21"/>
                <w:szCs w:val="21"/>
                <w:u w:val="single"/>
              </w:rPr>
              <w:t>合计</w:t>
            </w:r>
          </w:p>
        </w:tc>
        <w:tc>
          <w:tcPr>
            <w:tcW w:w="1000" w:type="pct"/>
            <w:tcBorders>
              <w:top w:val="single" w:color="auto" w:sz="4" w:space="0"/>
              <w:left w:val="single" w:color="auto" w:sz="4" w:space="0"/>
              <w:bottom w:val="single" w:color="auto" w:sz="8" w:space="0"/>
              <w:right w:val="single" w:color="auto" w:sz="8" w:space="0"/>
            </w:tcBorders>
            <w:vAlign w:val="center"/>
          </w:tcPr>
          <w:p w14:paraId="26DA0E61">
            <w:pPr>
              <w:spacing w:line="240" w:lineRule="auto"/>
              <w:ind w:firstLine="0" w:firstLineChars="0"/>
              <w:jc w:val="center"/>
              <w:rPr>
                <w:sz w:val="21"/>
                <w:szCs w:val="21"/>
                <w:u w:val="single"/>
              </w:rPr>
            </w:pPr>
            <w:r>
              <w:rPr>
                <w:rFonts w:hint="eastAsia"/>
                <w:sz w:val="21"/>
                <w:szCs w:val="21"/>
                <w:u w:val="single"/>
              </w:rPr>
              <w:t>6.738972</w:t>
            </w:r>
          </w:p>
        </w:tc>
      </w:tr>
    </w:tbl>
    <w:p w14:paraId="58654B79">
      <w:pPr>
        <w:ind w:firstLine="480"/>
        <w:rPr>
          <w:bCs/>
          <w:szCs w:val="24"/>
          <w:u w:val="single"/>
        </w:rPr>
      </w:pPr>
      <w:r>
        <w:rPr>
          <w:bCs/>
          <w:szCs w:val="24"/>
          <w:u w:val="single"/>
        </w:rPr>
        <w:t>根据上表数据及《建设项目环境风险评价技术导则》（HJ/T169-2018）附录C计算得出，本项目物质总量与临界量比值：Q=</w:t>
      </w:r>
      <w:r>
        <w:rPr>
          <w:rFonts w:hint="eastAsia"/>
          <w:bCs/>
          <w:szCs w:val="24"/>
          <w:u w:val="single"/>
        </w:rPr>
        <w:t>6.738972</w:t>
      </w:r>
      <w:r>
        <w:rPr>
          <w:bCs/>
          <w:szCs w:val="24"/>
          <w:u w:val="single"/>
        </w:rPr>
        <w:t>，</w:t>
      </w:r>
      <w:r>
        <w:rPr>
          <w:rFonts w:hint="eastAsia"/>
          <w:bCs/>
          <w:szCs w:val="24"/>
          <w:u w:val="single"/>
        </w:rPr>
        <w:t>在</w:t>
      </w:r>
      <w:r>
        <w:rPr>
          <w:szCs w:val="24"/>
          <w:u w:val="single"/>
        </w:rPr>
        <w:t>1≤Q&lt;10</w:t>
      </w:r>
      <w:r>
        <w:rPr>
          <w:rFonts w:hint="eastAsia"/>
          <w:bCs/>
          <w:szCs w:val="24"/>
          <w:u w:val="single"/>
        </w:rPr>
        <w:t>范围内</w:t>
      </w:r>
      <w:r>
        <w:rPr>
          <w:bCs/>
          <w:szCs w:val="24"/>
          <w:u w:val="single"/>
        </w:rPr>
        <w:t>。</w:t>
      </w:r>
    </w:p>
    <w:p w14:paraId="3C6EBFC1">
      <w:pPr>
        <w:pStyle w:val="201"/>
        <w:ind w:left="0" w:firstLine="482"/>
      </w:pPr>
      <w:r>
        <w:rPr>
          <w:rFonts w:hint="eastAsia"/>
        </w:rPr>
        <w:t>6.3.1.2行业及生产工艺M</w:t>
      </w:r>
    </w:p>
    <w:p w14:paraId="60C44AA4">
      <w:pPr>
        <w:ind w:firstLine="480"/>
      </w:pPr>
      <w:r>
        <w:rPr>
          <w:rFonts w:hint="eastAsia"/>
        </w:rPr>
        <w:t>根据项目采用的生产工艺，对比表下表行业及生产工艺（M），计算M合计分值，其中M划分为①M＞20；②10＜M≤20；③5＜M≤10；④M=5，分别以M1、M2、M3、M4表示，再根据其具体分值进行M划分。根据《建设项目环境风险评价技术导则》（HJ/T169-2018）附录C，行业及生产工艺M评估表如下。</w:t>
      </w:r>
    </w:p>
    <w:p w14:paraId="257D55AD">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行业及生产工艺（M）</w:t>
      </w:r>
    </w:p>
    <w:tbl>
      <w:tblPr>
        <w:tblStyle w:val="4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93"/>
        <w:gridCol w:w="4934"/>
        <w:gridCol w:w="993"/>
        <w:gridCol w:w="1066"/>
      </w:tblGrid>
      <w:tr w14:paraId="158EF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Align w:val="center"/>
          </w:tcPr>
          <w:p w14:paraId="738F82FD">
            <w:pPr>
              <w:spacing w:line="240" w:lineRule="auto"/>
              <w:ind w:firstLine="0" w:firstLineChars="0"/>
              <w:jc w:val="center"/>
              <w:rPr>
                <w:b/>
                <w:bCs/>
                <w:sz w:val="21"/>
                <w:szCs w:val="21"/>
              </w:rPr>
            </w:pPr>
            <w:r>
              <w:rPr>
                <w:rFonts w:hint="eastAsia"/>
                <w:b/>
                <w:bCs/>
                <w:sz w:val="21"/>
                <w:szCs w:val="21"/>
              </w:rPr>
              <w:t>行业</w:t>
            </w:r>
          </w:p>
        </w:tc>
        <w:tc>
          <w:tcPr>
            <w:tcW w:w="4934" w:type="dxa"/>
            <w:vAlign w:val="center"/>
          </w:tcPr>
          <w:p w14:paraId="63A120D0">
            <w:pPr>
              <w:spacing w:line="240" w:lineRule="auto"/>
              <w:ind w:firstLine="0" w:firstLineChars="0"/>
              <w:jc w:val="center"/>
              <w:rPr>
                <w:b/>
                <w:bCs/>
                <w:sz w:val="21"/>
                <w:szCs w:val="21"/>
              </w:rPr>
            </w:pPr>
            <w:r>
              <w:rPr>
                <w:rFonts w:hint="eastAsia"/>
                <w:b/>
                <w:bCs/>
                <w:sz w:val="21"/>
                <w:szCs w:val="21"/>
              </w:rPr>
              <w:t>评估依据</w:t>
            </w:r>
          </w:p>
        </w:tc>
        <w:tc>
          <w:tcPr>
            <w:tcW w:w="993" w:type="dxa"/>
            <w:vAlign w:val="center"/>
          </w:tcPr>
          <w:p w14:paraId="3774C3F9">
            <w:pPr>
              <w:spacing w:line="240" w:lineRule="auto"/>
              <w:ind w:firstLine="0" w:firstLineChars="0"/>
              <w:jc w:val="center"/>
              <w:rPr>
                <w:b/>
                <w:bCs/>
                <w:sz w:val="21"/>
                <w:szCs w:val="21"/>
              </w:rPr>
            </w:pPr>
            <w:r>
              <w:rPr>
                <w:rFonts w:hint="eastAsia"/>
                <w:b/>
                <w:bCs/>
                <w:sz w:val="21"/>
                <w:szCs w:val="21"/>
              </w:rPr>
              <w:t>分值</w:t>
            </w:r>
          </w:p>
        </w:tc>
        <w:tc>
          <w:tcPr>
            <w:tcW w:w="1066" w:type="dxa"/>
            <w:vAlign w:val="center"/>
          </w:tcPr>
          <w:p w14:paraId="1796CF8B">
            <w:pPr>
              <w:spacing w:line="240" w:lineRule="auto"/>
              <w:ind w:firstLine="0" w:firstLineChars="0"/>
              <w:jc w:val="center"/>
              <w:rPr>
                <w:b/>
                <w:bCs/>
                <w:sz w:val="21"/>
                <w:szCs w:val="21"/>
              </w:rPr>
            </w:pPr>
            <w:r>
              <w:rPr>
                <w:rFonts w:hint="eastAsia"/>
                <w:b/>
                <w:bCs/>
                <w:sz w:val="21"/>
                <w:szCs w:val="21"/>
              </w:rPr>
              <w:t>项目得分</w:t>
            </w:r>
          </w:p>
        </w:tc>
      </w:tr>
      <w:tr w14:paraId="53CD5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Merge w:val="restart"/>
            <w:vAlign w:val="center"/>
          </w:tcPr>
          <w:p w14:paraId="29993923">
            <w:pPr>
              <w:spacing w:line="240" w:lineRule="auto"/>
              <w:ind w:firstLine="0" w:firstLineChars="0"/>
              <w:jc w:val="center"/>
              <w:rPr>
                <w:sz w:val="21"/>
                <w:szCs w:val="21"/>
              </w:rPr>
            </w:pPr>
            <w:r>
              <w:rPr>
                <w:rFonts w:hint="eastAsia"/>
                <w:sz w:val="21"/>
                <w:szCs w:val="21"/>
              </w:rPr>
              <w:t>石化、化工、医药、轻工、化纤、有色冶炼等</w:t>
            </w:r>
          </w:p>
        </w:tc>
        <w:tc>
          <w:tcPr>
            <w:tcW w:w="4934" w:type="dxa"/>
            <w:vAlign w:val="center"/>
          </w:tcPr>
          <w:p w14:paraId="7631C156">
            <w:pPr>
              <w:spacing w:line="240" w:lineRule="auto"/>
              <w:ind w:firstLine="0" w:firstLineChars="0"/>
              <w:rPr>
                <w:sz w:val="21"/>
                <w:szCs w:val="21"/>
              </w:rPr>
            </w:pPr>
            <w:r>
              <w:rPr>
                <w:rFonts w:hint="eastAsia"/>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93" w:type="dxa"/>
            <w:vAlign w:val="center"/>
          </w:tcPr>
          <w:p w14:paraId="6DD30756">
            <w:pPr>
              <w:spacing w:line="240" w:lineRule="auto"/>
              <w:ind w:firstLine="0" w:firstLineChars="0"/>
              <w:jc w:val="center"/>
              <w:rPr>
                <w:sz w:val="21"/>
                <w:szCs w:val="21"/>
              </w:rPr>
            </w:pPr>
            <w:r>
              <w:rPr>
                <w:rFonts w:hint="eastAsia"/>
                <w:sz w:val="21"/>
                <w:szCs w:val="21"/>
              </w:rPr>
              <w:t>10/套</w:t>
            </w:r>
          </w:p>
        </w:tc>
        <w:tc>
          <w:tcPr>
            <w:tcW w:w="1066" w:type="dxa"/>
            <w:vAlign w:val="center"/>
          </w:tcPr>
          <w:p w14:paraId="7E6CB77E">
            <w:pPr>
              <w:spacing w:line="240" w:lineRule="auto"/>
              <w:ind w:firstLine="0" w:firstLineChars="0"/>
              <w:jc w:val="center"/>
              <w:rPr>
                <w:sz w:val="21"/>
                <w:szCs w:val="21"/>
              </w:rPr>
            </w:pPr>
            <w:r>
              <w:rPr>
                <w:rFonts w:hint="eastAsia"/>
                <w:sz w:val="21"/>
                <w:szCs w:val="21"/>
              </w:rPr>
              <w:t>聚合工艺1套，得分10</w:t>
            </w:r>
          </w:p>
        </w:tc>
      </w:tr>
      <w:tr w14:paraId="4C304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trPr>
        <w:tc>
          <w:tcPr>
            <w:tcW w:w="1293" w:type="dxa"/>
            <w:vMerge w:val="continue"/>
            <w:vAlign w:val="center"/>
          </w:tcPr>
          <w:p w14:paraId="0832FE46">
            <w:pPr>
              <w:spacing w:line="240" w:lineRule="auto"/>
              <w:ind w:firstLine="420"/>
              <w:jc w:val="center"/>
              <w:rPr>
                <w:sz w:val="21"/>
                <w:szCs w:val="21"/>
              </w:rPr>
            </w:pPr>
          </w:p>
        </w:tc>
        <w:tc>
          <w:tcPr>
            <w:tcW w:w="4934" w:type="dxa"/>
            <w:vAlign w:val="center"/>
          </w:tcPr>
          <w:p w14:paraId="27516A3F">
            <w:pPr>
              <w:spacing w:line="240" w:lineRule="auto"/>
              <w:ind w:firstLine="0" w:firstLineChars="0"/>
              <w:rPr>
                <w:sz w:val="21"/>
                <w:szCs w:val="21"/>
              </w:rPr>
            </w:pPr>
            <w:r>
              <w:rPr>
                <w:rFonts w:hint="eastAsia"/>
                <w:sz w:val="21"/>
                <w:szCs w:val="21"/>
              </w:rPr>
              <w:t>无机酸制酸工艺、焦化工艺</w:t>
            </w:r>
          </w:p>
        </w:tc>
        <w:tc>
          <w:tcPr>
            <w:tcW w:w="993" w:type="dxa"/>
            <w:vAlign w:val="center"/>
          </w:tcPr>
          <w:p w14:paraId="7965A9CE">
            <w:pPr>
              <w:spacing w:line="240" w:lineRule="auto"/>
              <w:ind w:firstLine="0" w:firstLineChars="0"/>
              <w:jc w:val="center"/>
              <w:rPr>
                <w:sz w:val="21"/>
                <w:szCs w:val="21"/>
              </w:rPr>
            </w:pPr>
            <w:r>
              <w:rPr>
                <w:rFonts w:hint="eastAsia"/>
                <w:sz w:val="21"/>
                <w:szCs w:val="21"/>
              </w:rPr>
              <w:t>5/套</w:t>
            </w:r>
          </w:p>
        </w:tc>
        <w:tc>
          <w:tcPr>
            <w:tcW w:w="1066" w:type="dxa"/>
            <w:vAlign w:val="center"/>
          </w:tcPr>
          <w:p w14:paraId="1714ACB0">
            <w:pPr>
              <w:spacing w:line="240" w:lineRule="auto"/>
              <w:ind w:firstLine="0" w:firstLineChars="0"/>
              <w:jc w:val="center"/>
              <w:rPr>
                <w:sz w:val="21"/>
                <w:szCs w:val="21"/>
              </w:rPr>
            </w:pPr>
            <w:r>
              <w:rPr>
                <w:rFonts w:hint="eastAsia"/>
                <w:sz w:val="21"/>
                <w:szCs w:val="21"/>
              </w:rPr>
              <w:t>0</w:t>
            </w:r>
          </w:p>
        </w:tc>
      </w:tr>
      <w:tr w14:paraId="22843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Merge w:val="continue"/>
            <w:vAlign w:val="center"/>
          </w:tcPr>
          <w:p w14:paraId="7380DBDC">
            <w:pPr>
              <w:spacing w:line="240" w:lineRule="auto"/>
              <w:ind w:firstLine="0" w:firstLineChars="0"/>
              <w:jc w:val="center"/>
              <w:rPr>
                <w:sz w:val="21"/>
                <w:szCs w:val="21"/>
              </w:rPr>
            </w:pPr>
          </w:p>
        </w:tc>
        <w:tc>
          <w:tcPr>
            <w:tcW w:w="4934" w:type="dxa"/>
            <w:vAlign w:val="center"/>
          </w:tcPr>
          <w:p w14:paraId="317F8CBF">
            <w:pPr>
              <w:spacing w:line="240" w:lineRule="auto"/>
              <w:ind w:firstLine="0" w:firstLineChars="0"/>
              <w:rPr>
                <w:sz w:val="21"/>
                <w:szCs w:val="21"/>
              </w:rPr>
            </w:pPr>
            <w:r>
              <w:rPr>
                <w:rFonts w:hint="eastAsia"/>
                <w:sz w:val="21"/>
                <w:szCs w:val="21"/>
              </w:rPr>
              <w:t>其他高温或高压，且涉及危险物质的工艺过程</w:t>
            </w:r>
            <w:r>
              <w:rPr>
                <w:rFonts w:hint="eastAsia"/>
                <w:sz w:val="21"/>
                <w:szCs w:val="21"/>
                <w:vertAlign w:val="superscript"/>
              </w:rPr>
              <w:t>a</w:t>
            </w:r>
            <w:r>
              <w:rPr>
                <w:rFonts w:hint="eastAsia"/>
                <w:sz w:val="21"/>
                <w:szCs w:val="21"/>
              </w:rPr>
              <w:t>、危险物质贮存罐区</w:t>
            </w:r>
          </w:p>
        </w:tc>
        <w:tc>
          <w:tcPr>
            <w:tcW w:w="993" w:type="dxa"/>
            <w:vAlign w:val="center"/>
          </w:tcPr>
          <w:p w14:paraId="05473EC0">
            <w:pPr>
              <w:spacing w:line="240" w:lineRule="auto"/>
              <w:ind w:firstLine="0" w:firstLineChars="0"/>
              <w:jc w:val="center"/>
              <w:rPr>
                <w:sz w:val="21"/>
                <w:szCs w:val="21"/>
              </w:rPr>
            </w:pPr>
            <w:r>
              <w:rPr>
                <w:rFonts w:hint="eastAsia"/>
                <w:sz w:val="21"/>
                <w:szCs w:val="21"/>
              </w:rPr>
              <w:t>5/套</w:t>
            </w:r>
          </w:p>
          <w:p w14:paraId="193F0A8B">
            <w:pPr>
              <w:spacing w:line="240" w:lineRule="auto"/>
              <w:ind w:firstLine="0" w:firstLineChars="0"/>
              <w:jc w:val="center"/>
              <w:rPr>
                <w:sz w:val="21"/>
                <w:szCs w:val="21"/>
              </w:rPr>
            </w:pPr>
            <w:r>
              <w:rPr>
                <w:rFonts w:hint="eastAsia"/>
                <w:sz w:val="21"/>
                <w:szCs w:val="21"/>
              </w:rPr>
              <w:t>（罐区）</w:t>
            </w:r>
          </w:p>
        </w:tc>
        <w:tc>
          <w:tcPr>
            <w:tcW w:w="1066" w:type="dxa"/>
            <w:vAlign w:val="center"/>
          </w:tcPr>
          <w:p w14:paraId="1820A0FD">
            <w:pPr>
              <w:spacing w:line="240" w:lineRule="auto"/>
              <w:ind w:firstLine="0" w:firstLineChars="0"/>
              <w:jc w:val="center"/>
              <w:rPr>
                <w:sz w:val="21"/>
                <w:szCs w:val="21"/>
              </w:rPr>
            </w:pPr>
            <w:r>
              <w:rPr>
                <w:rFonts w:hint="eastAsia"/>
                <w:sz w:val="21"/>
                <w:szCs w:val="21"/>
              </w:rPr>
              <w:t>0</w:t>
            </w:r>
          </w:p>
        </w:tc>
      </w:tr>
      <w:tr w14:paraId="67DA4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Align w:val="center"/>
          </w:tcPr>
          <w:p w14:paraId="448738E7">
            <w:pPr>
              <w:spacing w:line="240" w:lineRule="auto"/>
              <w:ind w:firstLine="0" w:firstLineChars="0"/>
              <w:jc w:val="center"/>
              <w:rPr>
                <w:sz w:val="21"/>
                <w:szCs w:val="21"/>
              </w:rPr>
            </w:pPr>
            <w:r>
              <w:rPr>
                <w:rFonts w:hint="eastAsia"/>
                <w:sz w:val="21"/>
                <w:szCs w:val="21"/>
              </w:rPr>
              <w:t>管道、港口/码头</w:t>
            </w:r>
          </w:p>
        </w:tc>
        <w:tc>
          <w:tcPr>
            <w:tcW w:w="4934" w:type="dxa"/>
            <w:vAlign w:val="center"/>
          </w:tcPr>
          <w:p w14:paraId="129ED65B">
            <w:pPr>
              <w:spacing w:line="240" w:lineRule="auto"/>
              <w:ind w:firstLine="0" w:firstLineChars="0"/>
              <w:rPr>
                <w:sz w:val="21"/>
                <w:szCs w:val="21"/>
              </w:rPr>
            </w:pPr>
            <w:r>
              <w:rPr>
                <w:rFonts w:hint="eastAsia"/>
                <w:sz w:val="21"/>
                <w:szCs w:val="21"/>
              </w:rPr>
              <w:t>涉及危险物质管道运输项目、港口/码头等</w:t>
            </w:r>
          </w:p>
        </w:tc>
        <w:tc>
          <w:tcPr>
            <w:tcW w:w="993" w:type="dxa"/>
            <w:vAlign w:val="center"/>
          </w:tcPr>
          <w:p w14:paraId="72920BC4">
            <w:pPr>
              <w:spacing w:line="240" w:lineRule="auto"/>
              <w:ind w:firstLine="0" w:firstLineChars="0"/>
              <w:jc w:val="center"/>
              <w:rPr>
                <w:sz w:val="21"/>
                <w:szCs w:val="21"/>
              </w:rPr>
            </w:pPr>
            <w:r>
              <w:rPr>
                <w:rFonts w:hint="eastAsia"/>
                <w:sz w:val="21"/>
                <w:szCs w:val="21"/>
              </w:rPr>
              <w:t>10</w:t>
            </w:r>
          </w:p>
        </w:tc>
        <w:tc>
          <w:tcPr>
            <w:tcW w:w="1066" w:type="dxa"/>
            <w:vAlign w:val="center"/>
          </w:tcPr>
          <w:p w14:paraId="587A718A">
            <w:pPr>
              <w:spacing w:line="240" w:lineRule="auto"/>
              <w:ind w:firstLine="0" w:firstLineChars="0"/>
              <w:jc w:val="center"/>
              <w:rPr>
                <w:sz w:val="21"/>
                <w:szCs w:val="21"/>
              </w:rPr>
            </w:pPr>
            <w:r>
              <w:rPr>
                <w:rFonts w:hint="eastAsia"/>
                <w:sz w:val="21"/>
                <w:szCs w:val="21"/>
              </w:rPr>
              <w:t>0</w:t>
            </w:r>
          </w:p>
        </w:tc>
      </w:tr>
      <w:tr w14:paraId="605B4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Align w:val="center"/>
          </w:tcPr>
          <w:p w14:paraId="3CB86C4F">
            <w:pPr>
              <w:spacing w:line="240" w:lineRule="auto"/>
              <w:ind w:firstLine="0" w:firstLineChars="0"/>
              <w:jc w:val="center"/>
              <w:rPr>
                <w:sz w:val="21"/>
                <w:szCs w:val="21"/>
              </w:rPr>
            </w:pPr>
            <w:r>
              <w:rPr>
                <w:rFonts w:hint="eastAsia"/>
                <w:sz w:val="21"/>
                <w:szCs w:val="21"/>
              </w:rPr>
              <w:t>石油天然气</w:t>
            </w:r>
          </w:p>
        </w:tc>
        <w:tc>
          <w:tcPr>
            <w:tcW w:w="4934" w:type="dxa"/>
            <w:vAlign w:val="center"/>
          </w:tcPr>
          <w:p w14:paraId="0A1FE26D">
            <w:pPr>
              <w:spacing w:line="240" w:lineRule="auto"/>
              <w:ind w:firstLine="0" w:firstLineChars="0"/>
              <w:rPr>
                <w:sz w:val="21"/>
                <w:szCs w:val="21"/>
              </w:rPr>
            </w:pPr>
            <w:r>
              <w:rPr>
                <w:rFonts w:hint="eastAsia"/>
                <w:sz w:val="21"/>
                <w:szCs w:val="21"/>
              </w:rPr>
              <w:t>石油、天然气、页岩气开采（含净化），气库（不含加气站的气库），油库（不含加气站的油库）、油气管线（不含城镇燃气管线）</w:t>
            </w:r>
          </w:p>
        </w:tc>
        <w:tc>
          <w:tcPr>
            <w:tcW w:w="993" w:type="dxa"/>
            <w:vAlign w:val="center"/>
          </w:tcPr>
          <w:p w14:paraId="043E2D45">
            <w:pPr>
              <w:spacing w:line="240" w:lineRule="auto"/>
              <w:ind w:firstLine="0" w:firstLineChars="0"/>
              <w:jc w:val="center"/>
              <w:rPr>
                <w:sz w:val="21"/>
                <w:szCs w:val="21"/>
              </w:rPr>
            </w:pPr>
            <w:r>
              <w:rPr>
                <w:rFonts w:hint="eastAsia"/>
                <w:sz w:val="21"/>
                <w:szCs w:val="21"/>
              </w:rPr>
              <w:t>10</w:t>
            </w:r>
          </w:p>
        </w:tc>
        <w:tc>
          <w:tcPr>
            <w:tcW w:w="1066" w:type="dxa"/>
            <w:vAlign w:val="center"/>
          </w:tcPr>
          <w:p w14:paraId="6681B405">
            <w:pPr>
              <w:spacing w:line="240" w:lineRule="auto"/>
              <w:ind w:firstLine="0" w:firstLineChars="0"/>
              <w:jc w:val="center"/>
              <w:rPr>
                <w:sz w:val="21"/>
                <w:szCs w:val="21"/>
              </w:rPr>
            </w:pPr>
            <w:r>
              <w:rPr>
                <w:rFonts w:hint="eastAsia"/>
                <w:sz w:val="21"/>
                <w:szCs w:val="21"/>
              </w:rPr>
              <w:t>0</w:t>
            </w:r>
          </w:p>
        </w:tc>
      </w:tr>
      <w:tr w14:paraId="0CE1E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293" w:type="dxa"/>
            <w:vAlign w:val="center"/>
          </w:tcPr>
          <w:p w14:paraId="2A185EEC">
            <w:pPr>
              <w:spacing w:line="240" w:lineRule="auto"/>
              <w:ind w:firstLine="0" w:firstLineChars="0"/>
              <w:jc w:val="center"/>
              <w:rPr>
                <w:sz w:val="21"/>
                <w:szCs w:val="21"/>
              </w:rPr>
            </w:pPr>
            <w:r>
              <w:rPr>
                <w:rFonts w:hint="eastAsia"/>
                <w:sz w:val="21"/>
                <w:szCs w:val="21"/>
              </w:rPr>
              <w:t>其他</w:t>
            </w:r>
          </w:p>
        </w:tc>
        <w:tc>
          <w:tcPr>
            <w:tcW w:w="4934" w:type="dxa"/>
            <w:vAlign w:val="center"/>
          </w:tcPr>
          <w:p w14:paraId="03FE5E8D">
            <w:pPr>
              <w:spacing w:line="240" w:lineRule="auto"/>
              <w:ind w:firstLine="0" w:firstLineChars="0"/>
              <w:jc w:val="center"/>
              <w:rPr>
                <w:sz w:val="21"/>
                <w:szCs w:val="21"/>
              </w:rPr>
            </w:pPr>
            <w:r>
              <w:rPr>
                <w:rFonts w:hint="eastAsia"/>
                <w:sz w:val="21"/>
                <w:szCs w:val="21"/>
              </w:rPr>
              <w:t>涉及危险物质使用、贮存的项目</w:t>
            </w:r>
          </w:p>
        </w:tc>
        <w:tc>
          <w:tcPr>
            <w:tcW w:w="993" w:type="dxa"/>
            <w:vAlign w:val="center"/>
          </w:tcPr>
          <w:p w14:paraId="507E0064">
            <w:pPr>
              <w:spacing w:line="240" w:lineRule="auto"/>
              <w:ind w:firstLine="0" w:firstLineChars="0"/>
              <w:jc w:val="center"/>
              <w:rPr>
                <w:sz w:val="21"/>
                <w:szCs w:val="21"/>
              </w:rPr>
            </w:pPr>
            <w:r>
              <w:rPr>
                <w:rFonts w:hint="eastAsia"/>
                <w:sz w:val="21"/>
                <w:szCs w:val="21"/>
              </w:rPr>
              <w:t>5</w:t>
            </w:r>
          </w:p>
        </w:tc>
        <w:tc>
          <w:tcPr>
            <w:tcW w:w="1066" w:type="dxa"/>
            <w:vAlign w:val="center"/>
          </w:tcPr>
          <w:p w14:paraId="4A62CDF7">
            <w:pPr>
              <w:spacing w:line="240" w:lineRule="auto"/>
              <w:ind w:firstLine="0" w:firstLineChars="0"/>
              <w:jc w:val="center"/>
              <w:rPr>
                <w:sz w:val="21"/>
                <w:szCs w:val="21"/>
                <w:u w:val="single"/>
              </w:rPr>
            </w:pPr>
            <w:r>
              <w:rPr>
                <w:rFonts w:hint="eastAsia"/>
                <w:sz w:val="21"/>
                <w:szCs w:val="21"/>
                <w:u w:val="single"/>
              </w:rPr>
              <w:t>5</w:t>
            </w:r>
          </w:p>
        </w:tc>
      </w:tr>
      <w:tr w14:paraId="76ABE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286" w:type="dxa"/>
            <w:gridSpan w:val="4"/>
            <w:vAlign w:val="center"/>
          </w:tcPr>
          <w:p w14:paraId="6EBE30E2">
            <w:pPr>
              <w:spacing w:line="240" w:lineRule="auto"/>
              <w:ind w:firstLine="0" w:firstLineChars="0"/>
              <w:rPr>
                <w:sz w:val="21"/>
                <w:szCs w:val="21"/>
              </w:rPr>
            </w:pPr>
            <w:r>
              <w:rPr>
                <w:rFonts w:hint="eastAsia"/>
                <w:sz w:val="21"/>
                <w:szCs w:val="21"/>
              </w:rPr>
              <w:t>a高温指工艺温度&gt;300℃，高压指压力容器的设计压力（P）&gt;10.0MPa;</w:t>
            </w:r>
          </w:p>
          <w:p w14:paraId="6AE7F460">
            <w:pPr>
              <w:spacing w:line="240" w:lineRule="auto"/>
              <w:ind w:firstLine="0" w:firstLineChars="0"/>
              <w:rPr>
                <w:sz w:val="21"/>
                <w:szCs w:val="21"/>
              </w:rPr>
            </w:pPr>
            <w:r>
              <w:rPr>
                <w:rFonts w:hint="eastAsia"/>
                <w:sz w:val="21"/>
                <w:szCs w:val="21"/>
              </w:rPr>
              <w:t>b长输管道运输项目应按站场、管线分段进行评价。</w:t>
            </w:r>
          </w:p>
        </w:tc>
      </w:tr>
    </w:tbl>
    <w:p w14:paraId="1962B84A">
      <w:pPr>
        <w:ind w:firstLine="480"/>
        <w:rPr>
          <w:u w:val="single"/>
        </w:rPr>
      </w:pPr>
      <w:r>
        <w:rPr>
          <w:rFonts w:hint="eastAsia"/>
          <w:u w:val="single"/>
        </w:rPr>
        <w:t>因此对照上表，项目M分值为15，分类为M2类。</w:t>
      </w:r>
    </w:p>
    <w:p w14:paraId="12F2F6A6">
      <w:pPr>
        <w:pStyle w:val="201"/>
        <w:ind w:left="0" w:firstLine="482"/>
      </w:pPr>
      <w:r>
        <w:rPr>
          <w:rFonts w:hint="eastAsia"/>
        </w:rPr>
        <w:t>6.3.1.3 危险物质及工艺系统危险性P</w:t>
      </w:r>
    </w:p>
    <w:p w14:paraId="276F79A2">
      <w:pPr>
        <w:ind w:firstLine="480"/>
      </w:pPr>
      <w:r>
        <w:rPr>
          <w:szCs w:val="24"/>
        </w:rPr>
        <w:t>根据计算Q范围和确定M划分，</w:t>
      </w:r>
      <w:r>
        <w:rPr>
          <w:rFonts w:hint="eastAsia"/>
          <w:szCs w:val="24"/>
        </w:rPr>
        <w:t>根据下表</w:t>
      </w:r>
      <w:r>
        <w:rPr>
          <w:szCs w:val="24"/>
        </w:rPr>
        <w:t>对本项目进行等级判断（P）。其中P1为极高危害，P2为高度危害，P3为中度危害，P4为轻度危害。</w:t>
      </w:r>
    </w:p>
    <w:p w14:paraId="7EE99666">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项目危险物质及工艺系统危险性等级判断（</w:t>
      </w:r>
      <w:r>
        <w:rPr>
          <w:rFonts w:ascii="Times New Roman" w:hAnsi="Times New Roman" w:cs="Times New Roman"/>
          <w:bCs w:val="0"/>
        </w:rPr>
        <w:t>P</w:t>
      </w:r>
      <w:r>
        <w:rPr>
          <w:rFonts w:hint="eastAsia" w:ascii="Times New Roman" w:hAnsi="Times New Roman" w:cs="Times New Roman"/>
          <w:bCs w:val="0"/>
        </w:rPr>
        <w:t>）</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66"/>
        <w:gridCol w:w="1534"/>
        <w:gridCol w:w="1617"/>
        <w:gridCol w:w="1480"/>
        <w:gridCol w:w="1328"/>
      </w:tblGrid>
      <w:tr w14:paraId="35A27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357" w:type="dxa"/>
            <w:vMerge w:val="restart"/>
            <w:shd w:val="clear" w:color="auto" w:fill="auto"/>
            <w:vAlign w:val="center"/>
          </w:tcPr>
          <w:p w14:paraId="44864A8F">
            <w:pPr>
              <w:spacing w:line="240" w:lineRule="auto"/>
              <w:ind w:firstLine="0" w:firstLineChars="0"/>
              <w:jc w:val="center"/>
              <w:rPr>
                <w:b/>
                <w:sz w:val="21"/>
                <w:szCs w:val="21"/>
                <w:u w:val="single"/>
              </w:rPr>
            </w:pPr>
            <w:r>
              <w:rPr>
                <w:b/>
                <w:sz w:val="21"/>
                <w:szCs w:val="21"/>
                <w:u w:val="single"/>
              </w:rPr>
              <w:t>危险物质数量与临界量比值（Q）</w:t>
            </w:r>
          </w:p>
        </w:tc>
        <w:tc>
          <w:tcPr>
            <w:tcW w:w="5939" w:type="dxa"/>
            <w:gridSpan w:val="4"/>
            <w:shd w:val="clear" w:color="auto" w:fill="auto"/>
            <w:vAlign w:val="center"/>
          </w:tcPr>
          <w:p w14:paraId="6EE72C7C">
            <w:pPr>
              <w:spacing w:line="240" w:lineRule="auto"/>
              <w:ind w:firstLine="0" w:firstLineChars="0"/>
              <w:jc w:val="center"/>
              <w:rPr>
                <w:b/>
                <w:sz w:val="21"/>
                <w:szCs w:val="21"/>
                <w:u w:val="single"/>
              </w:rPr>
            </w:pPr>
            <w:r>
              <w:rPr>
                <w:b/>
                <w:sz w:val="21"/>
                <w:szCs w:val="21"/>
                <w:u w:val="single"/>
              </w:rPr>
              <w:t>行业及生产工艺（M）</w:t>
            </w:r>
          </w:p>
        </w:tc>
      </w:tr>
      <w:tr w14:paraId="15133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357" w:type="dxa"/>
            <w:vMerge w:val="continue"/>
            <w:shd w:val="clear" w:color="auto" w:fill="auto"/>
            <w:vAlign w:val="center"/>
          </w:tcPr>
          <w:p w14:paraId="34CB62B1">
            <w:pPr>
              <w:spacing w:line="240" w:lineRule="auto"/>
              <w:ind w:firstLine="0" w:firstLineChars="0"/>
              <w:jc w:val="center"/>
              <w:rPr>
                <w:sz w:val="21"/>
                <w:szCs w:val="21"/>
                <w:u w:val="single"/>
              </w:rPr>
            </w:pPr>
          </w:p>
        </w:tc>
        <w:tc>
          <w:tcPr>
            <w:tcW w:w="1529" w:type="dxa"/>
            <w:shd w:val="clear" w:color="auto" w:fill="auto"/>
            <w:vAlign w:val="center"/>
          </w:tcPr>
          <w:p w14:paraId="7995E395">
            <w:pPr>
              <w:spacing w:line="240" w:lineRule="auto"/>
              <w:ind w:firstLine="0" w:firstLineChars="0"/>
              <w:jc w:val="center"/>
              <w:rPr>
                <w:b/>
                <w:sz w:val="21"/>
                <w:szCs w:val="21"/>
                <w:u w:val="single"/>
              </w:rPr>
            </w:pPr>
            <w:r>
              <w:rPr>
                <w:b/>
                <w:sz w:val="21"/>
                <w:szCs w:val="21"/>
                <w:u w:val="single"/>
              </w:rPr>
              <w:t>M1</w:t>
            </w:r>
          </w:p>
        </w:tc>
        <w:tc>
          <w:tcPr>
            <w:tcW w:w="1611" w:type="dxa"/>
            <w:shd w:val="clear" w:color="auto" w:fill="auto"/>
            <w:vAlign w:val="center"/>
          </w:tcPr>
          <w:p w14:paraId="0648CFAE">
            <w:pPr>
              <w:spacing w:line="240" w:lineRule="auto"/>
              <w:ind w:firstLine="0" w:firstLineChars="0"/>
              <w:jc w:val="center"/>
              <w:rPr>
                <w:b/>
                <w:sz w:val="21"/>
                <w:szCs w:val="21"/>
                <w:u w:val="single"/>
              </w:rPr>
            </w:pPr>
            <w:r>
              <w:rPr>
                <w:b/>
                <w:sz w:val="21"/>
                <w:szCs w:val="21"/>
                <w:u w:val="single"/>
              </w:rPr>
              <w:t>M2</w:t>
            </w:r>
          </w:p>
        </w:tc>
        <w:tc>
          <w:tcPr>
            <w:tcW w:w="1475" w:type="dxa"/>
            <w:shd w:val="clear" w:color="auto" w:fill="auto"/>
            <w:vAlign w:val="center"/>
          </w:tcPr>
          <w:p w14:paraId="32540620">
            <w:pPr>
              <w:spacing w:line="240" w:lineRule="auto"/>
              <w:ind w:firstLine="0" w:firstLineChars="0"/>
              <w:jc w:val="center"/>
              <w:rPr>
                <w:b/>
                <w:sz w:val="21"/>
                <w:szCs w:val="21"/>
                <w:u w:val="single"/>
              </w:rPr>
            </w:pPr>
            <w:r>
              <w:rPr>
                <w:b/>
                <w:sz w:val="21"/>
                <w:szCs w:val="21"/>
                <w:u w:val="single"/>
              </w:rPr>
              <w:t>M3</w:t>
            </w:r>
          </w:p>
        </w:tc>
        <w:tc>
          <w:tcPr>
            <w:tcW w:w="1324" w:type="dxa"/>
            <w:shd w:val="clear" w:color="auto" w:fill="auto"/>
            <w:vAlign w:val="center"/>
          </w:tcPr>
          <w:p w14:paraId="5C7BD124">
            <w:pPr>
              <w:spacing w:line="240" w:lineRule="auto"/>
              <w:ind w:firstLine="0" w:firstLineChars="0"/>
              <w:jc w:val="center"/>
              <w:rPr>
                <w:b/>
                <w:sz w:val="21"/>
                <w:szCs w:val="21"/>
                <w:u w:val="single"/>
              </w:rPr>
            </w:pPr>
            <w:r>
              <w:rPr>
                <w:b/>
                <w:sz w:val="21"/>
                <w:szCs w:val="21"/>
                <w:u w:val="single"/>
              </w:rPr>
              <w:t>M4</w:t>
            </w:r>
          </w:p>
        </w:tc>
      </w:tr>
      <w:tr w14:paraId="59F72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57" w:type="dxa"/>
            <w:shd w:val="clear" w:color="auto" w:fill="auto"/>
            <w:vAlign w:val="center"/>
          </w:tcPr>
          <w:p w14:paraId="1C6E9DB3">
            <w:pPr>
              <w:spacing w:line="240" w:lineRule="auto"/>
              <w:ind w:firstLine="0" w:firstLineChars="0"/>
              <w:jc w:val="center"/>
              <w:rPr>
                <w:sz w:val="21"/>
                <w:szCs w:val="21"/>
                <w:u w:val="single"/>
              </w:rPr>
            </w:pPr>
            <w:r>
              <w:rPr>
                <w:sz w:val="21"/>
                <w:szCs w:val="21"/>
                <w:u w:val="single"/>
              </w:rPr>
              <w:t>Q≥100</w:t>
            </w:r>
          </w:p>
        </w:tc>
        <w:tc>
          <w:tcPr>
            <w:tcW w:w="1529" w:type="dxa"/>
            <w:shd w:val="clear" w:color="auto" w:fill="auto"/>
            <w:vAlign w:val="center"/>
          </w:tcPr>
          <w:p w14:paraId="5AA49EA3">
            <w:pPr>
              <w:spacing w:line="240" w:lineRule="auto"/>
              <w:ind w:firstLine="0" w:firstLineChars="0"/>
              <w:jc w:val="center"/>
              <w:rPr>
                <w:sz w:val="21"/>
                <w:szCs w:val="21"/>
                <w:u w:val="single"/>
              </w:rPr>
            </w:pPr>
            <w:r>
              <w:rPr>
                <w:sz w:val="21"/>
                <w:szCs w:val="21"/>
                <w:u w:val="single"/>
              </w:rPr>
              <w:t>P1</w:t>
            </w:r>
          </w:p>
        </w:tc>
        <w:tc>
          <w:tcPr>
            <w:tcW w:w="1611" w:type="dxa"/>
            <w:shd w:val="clear" w:color="auto" w:fill="auto"/>
            <w:vAlign w:val="center"/>
          </w:tcPr>
          <w:p w14:paraId="7866BF68">
            <w:pPr>
              <w:spacing w:line="240" w:lineRule="auto"/>
              <w:ind w:firstLine="0" w:firstLineChars="0"/>
              <w:jc w:val="center"/>
              <w:rPr>
                <w:sz w:val="21"/>
                <w:szCs w:val="21"/>
                <w:u w:val="single"/>
              </w:rPr>
            </w:pPr>
            <w:r>
              <w:rPr>
                <w:sz w:val="21"/>
                <w:szCs w:val="21"/>
                <w:u w:val="single"/>
              </w:rPr>
              <w:t>P1</w:t>
            </w:r>
          </w:p>
        </w:tc>
        <w:tc>
          <w:tcPr>
            <w:tcW w:w="1475" w:type="dxa"/>
            <w:shd w:val="clear" w:color="auto" w:fill="auto"/>
            <w:vAlign w:val="center"/>
          </w:tcPr>
          <w:p w14:paraId="18CA0413">
            <w:pPr>
              <w:spacing w:line="240" w:lineRule="auto"/>
              <w:ind w:firstLine="0" w:firstLineChars="0"/>
              <w:jc w:val="center"/>
              <w:rPr>
                <w:sz w:val="21"/>
                <w:szCs w:val="21"/>
                <w:u w:val="single"/>
              </w:rPr>
            </w:pPr>
            <w:r>
              <w:rPr>
                <w:sz w:val="21"/>
                <w:szCs w:val="21"/>
                <w:u w:val="single"/>
              </w:rPr>
              <w:t>P2</w:t>
            </w:r>
          </w:p>
        </w:tc>
        <w:tc>
          <w:tcPr>
            <w:tcW w:w="1324" w:type="dxa"/>
            <w:shd w:val="clear" w:color="auto" w:fill="auto"/>
            <w:vAlign w:val="center"/>
          </w:tcPr>
          <w:p w14:paraId="190B1A28">
            <w:pPr>
              <w:spacing w:line="240" w:lineRule="auto"/>
              <w:ind w:firstLine="0" w:firstLineChars="0"/>
              <w:jc w:val="center"/>
              <w:rPr>
                <w:sz w:val="21"/>
                <w:szCs w:val="21"/>
                <w:u w:val="single"/>
              </w:rPr>
            </w:pPr>
            <w:r>
              <w:rPr>
                <w:sz w:val="21"/>
                <w:szCs w:val="21"/>
                <w:u w:val="single"/>
              </w:rPr>
              <w:t>P3</w:t>
            </w:r>
          </w:p>
        </w:tc>
      </w:tr>
      <w:tr w14:paraId="63858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57" w:type="dxa"/>
            <w:shd w:val="clear" w:color="auto" w:fill="auto"/>
            <w:vAlign w:val="center"/>
          </w:tcPr>
          <w:p w14:paraId="7ABCC06B">
            <w:pPr>
              <w:spacing w:line="240" w:lineRule="auto"/>
              <w:ind w:firstLine="0" w:firstLineChars="0"/>
              <w:jc w:val="center"/>
              <w:rPr>
                <w:sz w:val="21"/>
                <w:szCs w:val="21"/>
                <w:u w:val="single"/>
              </w:rPr>
            </w:pPr>
            <w:r>
              <w:rPr>
                <w:sz w:val="21"/>
                <w:szCs w:val="21"/>
                <w:u w:val="single"/>
              </w:rPr>
              <w:t>10≤Q＜100</w:t>
            </w:r>
          </w:p>
        </w:tc>
        <w:tc>
          <w:tcPr>
            <w:tcW w:w="1529" w:type="dxa"/>
            <w:shd w:val="clear" w:color="auto" w:fill="auto"/>
            <w:vAlign w:val="center"/>
          </w:tcPr>
          <w:p w14:paraId="362ECB3F">
            <w:pPr>
              <w:spacing w:line="240" w:lineRule="auto"/>
              <w:ind w:firstLine="0" w:firstLineChars="0"/>
              <w:jc w:val="center"/>
              <w:rPr>
                <w:sz w:val="21"/>
                <w:szCs w:val="21"/>
                <w:u w:val="single"/>
              </w:rPr>
            </w:pPr>
            <w:r>
              <w:rPr>
                <w:sz w:val="21"/>
                <w:szCs w:val="21"/>
                <w:u w:val="single"/>
              </w:rPr>
              <w:t>P1</w:t>
            </w:r>
          </w:p>
        </w:tc>
        <w:tc>
          <w:tcPr>
            <w:tcW w:w="1611" w:type="dxa"/>
            <w:shd w:val="clear" w:color="auto" w:fill="auto"/>
            <w:vAlign w:val="center"/>
          </w:tcPr>
          <w:p w14:paraId="3C380BD3">
            <w:pPr>
              <w:spacing w:line="240" w:lineRule="auto"/>
              <w:ind w:firstLine="0" w:firstLineChars="0"/>
              <w:jc w:val="center"/>
              <w:rPr>
                <w:sz w:val="21"/>
                <w:szCs w:val="21"/>
                <w:u w:val="single"/>
              </w:rPr>
            </w:pPr>
            <w:r>
              <w:rPr>
                <w:sz w:val="21"/>
                <w:szCs w:val="21"/>
                <w:u w:val="single"/>
              </w:rPr>
              <w:t>P2</w:t>
            </w:r>
          </w:p>
        </w:tc>
        <w:tc>
          <w:tcPr>
            <w:tcW w:w="1475" w:type="dxa"/>
            <w:shd w:val="clear" w:color="auto" w:fill="auto"/>
            <w:vAlign w:val="center"/>
          </w:tcPr>
          <w:p w14:paraId="4D2A729F">
            <w:pPr>
              <w:spacing w:line="240" w:lineRule="auto"/>
              <w:ind w:firstLine="0" w:firstLineChars="0"/>
              <w:jc w:val="center"/>
              <w:rPr>
                <w:sz w:val="21"/>
                <w:szCs w:val="21"/>
                <w:u w:val="single"/>
              </w:rPr>
            </w:pPr>
            <w:r>
              <w:rPr>
                <w:sz w:val="21"/>
                <w:szCs w:val="21"/>
                <w:u w:val="single"/>
              </w:rPr>
              <w:t>P3</w:t>
            </w:r>
          </w:p>
        </w:tc>
        <w:tc>
          <w:tcPr>
            <w:tcW w:w="1324" w:type="dxa"/>
            <w:shd w:val="clear" w:color="auto" w:fill="auto"/>
            <w:vAlign w:val="center"/>
          </w:tcPr>
          <w:p w14:paraId="707C16D9">
            <w:pPr>
              <w:spacing w:line="240" w:lineRule="auto"/>
              <w:ind w:firstLine="0" w:firstLineChars="0"/>
              <w:jc w:val="center"/>
              <w:rPr>
                <w:sz w:val="21"/>
                <w:szCs w:val="21"/>
                <w:u w:val="single"/>
              </w:rPr>
            </w:pPr>
            <w:r>
              <w:rPr>
                <w:sz w:val="21"/>
                <w:szCs w:val="21"/>
                <w:u w:val="single"/>
              </w:rPr>
              <w:t>P4</w:t>
            </w:r>
          </w:p>
        </w:tc>
      </w:tr>
      <w:tr w14:paraId="67C9E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57" w:type="dxa"/>
            <w:shd w:val="clear" w:color="auto" w:fill="auto"/>
            <w:vAlign w:val="center"/>
          </w:tcPr>
          <w:p w14:paraId="13D5A3E2">
            <w:pPr>
              <w:spacing w:line="240" w:lineRule="auto"/>
              <w:ind w:firstLine="0" w:firstLineChars="0"/>
              <w:jc w:val="center"/>
              <w:rPr>
                <w:sz w:val="21"/>
                <w:szCs w:val="21"/>
                <w:u w:val="single"/>
              </w:rPr>
            </w:pPr>
            <w:r>
              <w:rPr>
                <w:sz w:val="21"/>
                <w:szCs w:val="21"/>
                <w:u w:val="single"/>
              </w:rPr>
              <w:t>1≤Q＜10</w:t>
            </w:r>
          </w:p>
        </w:tc>
        <w:tc>
          <w:tcPr>
            <w:tcW w:w="1529" w:type="dxa"/>
            <w:shd w:val="clear" w:color="auto" w:fill="auto"/>
            <w:vAlign w:val="center"/>
          </w:tcPr>
          <w:p w14:paraId="05FCDF96">
            <w:pPr>
              <w:spacing w:line="240" w:lineRule="auto"/>
              <w:ind w:firstLine="0" w:firstLineChars="0"/>
              <w:jc w:val="center"/>
              <w:rPr>
                <w:sz w:val="21"/>
                <w:szCs w:val="21"/>
                <w:u w:val="single"/>
              </w:rPr>
            </w:pPr>
            <w:r>
              <w:rPr>
                <w:sz w:val="21"/>
                <w:szCs w:val="21"/>
                <w:u w:val="single"/>
              </w:rPr>
              <w:t>P2</w:t>
            </w:r>
          </w:p>
        </w:tc>
        <w:tc>
          <w:tcPr>
            <w:tcW w:w="1611" w:type="dxa"/>
            <w:shd w:val="clear" w:color="auto" w:fill="F7C890" w:themeFill="accent2" w:themeFillTint="99"/>
            <w:vAlign w:val="center"/>
          </w:tcPr>
          <w:p w14:paraId="511A1FBC">
            <w:pPr>
              <w:spacing w:line="240" w:lineRule="auto"/>
              <w:ind w:firstLine="0" w:firstLineChars="0"/>
              <w:jc w:val="center"/>
              <w:rPr>
                <w:sz w:val="21"/>
                <w:szCs w:val="21"/>
                <w:u w:val="single"/>
              </w:rPr>
            </w:pPr>
            <w:r>
              <w:rPr>
                <w:sz w:val="21"/>
                <w:szCs w:val="21"/>
                <w:u w:val="single"/>
              </w:rPr>
              <w:t>P3</w:t>
            </w:r>
          </w:p>
        </w:tc>
        <w:tc>
          <w:tcPr>
            <w:tcW w:w="1475" w:type="dxa"/>
            <w:shd w:val="clear" w:color="auto" w:fill="auto"/>
            <w:vAlign w:val="center"/>
          </w:tcPr>
          <w:p w14:paraId="72404982">
            <w:pPr>
              <w:spacing w:line="240" w:lineRule="auto"/>
              <w:ind w:firstLine="0" w:firstLineChars="0"/>
              <w:jc w:val="center"/>
              <w:rPr>
                <w:sz w:val="21"/>
                <w:szCs w:val="21"/>
                <w:u w:val="single"/>
              </w:rPr>
            </w:pPr>
            <w:r>
              <w:rPr>
                <w:sz w:val="21"/>
                <w:szCs w:val="21"/>
                <w:u w:val="single"/>
              </w:rPr>
              <w:t>P4</w:t>
            </w:r>
          </w:p>
        </w:tc>
        <w:tc>
          <w:tcPr>
            <w:tcW w:w="1324" w:type="dxa"/>
            <w:shd w:val="clear" w:color="auto" w:fill="auto"/>
            <w:vAlign w:val="center"/>
          </w:tcPr>
          <w:p w14:paraId="2750F4BE">
            <w:pPr>
              <w:spacing w:line="240" w:lineRule="auto"/>
              <w:ind w:firstLine="0" w:firstLineChars="0"/>
              <w:jc w:val="center"/>
              <w:rPr>
                <w:sz w:val="21"/>
                <w:szCs w:val="21"/>
                <w:u w:val="single"/>
              </w:rPr>
            </w:pPr>
            <w:r>
              <w:rPr>
                <w:sz w:val="21"/>
                <w:szCs w:val="21"/>
                <w:u w:val="single"/>
              </w:rPr>
              <w:t>P4</w:t>
            </w:r>
          </w:p>
        </w:tc>
      </w:tr>
    </w:tbl>
    <w:p w14:paraId="2A6EFFB1">
      <w:pPr>
        <w:ind w:firstLine="480"/>
        <w:rPr>
          <w:u w:val="single"/>
        </w:rPr>
      </w:pPr>
      <w:r>
        <w:rPr>
          <w:rFonts w:hint="eastAsia"/>
        </w:rPr>
        <w:t>本项目危险物质数量与临界量比值</w:t>
      </w:r>
      <w:r>
        <w:rPr>
          <w:bCs/>
          <w:szCs w:val="24"/>
          <w:u w:val="single"/>
        </w:rPr>
        <w:t>Q=</w:t>
      </w:r>
      <w:r>
        <w:rPr>
          <w:rFonts w:hint="eastAsia"/>
          <w:bCs/>
          <w:szCs w:val="24"/>
          <w:u w:val="single"/>
        </w:rPr>
        <w:t>6.738972</w:t>
      </w:r>
      <w:r>
        <w:rPr>
          <w:rFonts w:hint="eastAsia"/>
          <w:u w:val="single"/>
        </w:rPr>
        <w:t>，属于1≤Q&lt;10范围；行业及生产工艺M分值为15分，分类为M2类；故本次项目危险物质及工艺系统危险性P为P3级。</w:t>
      </w:r>
    </w:p>
    <w:p w14:paraId="0A0102B9">
      <w:pPr>
        <w:pStyle w:val="200"/>
        <w:numPr>
          <w:ilvl w:val="0"/>
          <w:numId w:val="40"/>
        </w:numPr>
        <w:ind w:left="726" w:hanging="442"/>
        <w:rPr>
          <w:rFonts w:ascii="Times New Roman" w:hAnsi="Times New Roman" w:eastAsia="楷体" w:cs="Times New Roman"/>
          <w:b w:val="0"/>
          <w:bCs/>
        </w:rPr>
      </w:pPr>
      <w:r>
        <w:rPr>
          <w:rFonts w:hint="eastAsia" w:ascii="Times New Roman" w:hAnsi="Times New Roman" w:eastAsia="楷体" w:cs="Times New Roman"/>
          <w:bCs/>
        </w:rPr>
        <w:t>E分级确定</w:t>
      </w:r>
    </w:p>
    <w:p w14:paraId="463B2AC6">
      <w:pPr>
        <w:pStyle w:val="201"/>
        <w:ind w:left="0" w:firstLine="482"/>
      </w:pPr>
      <w:r>
        <w:rPr>
          <w:rFonts w:hint="eastAsia"/>
        </w:rPr>
        <w:t>6.3.2.1 大气环境等级E划分</w:t>
      </w:r>
    </w:p>
    <w:p w14:paraId="6F74FD65">
      <w:pPr>
        <w:pStyle w:val="2"/>
        <w:spacing w:after="0"/>
        <w:ind w:firstLine="480"/>
        <w:rPr>
          <w:szCs w:val="24"/>
        </w:rPr>
      </w:pPr>
      <w:r>
        <w:rPr>
          <w:rFonts w:hint="eastAsia"/>
          <w:szCs w:val="24"/>
        </w:rPr>
        <w:t>根据《建设项目环境风险评价技术导则》（HJ169-2018）附录D，依据环境敏感性及人口密度划分环境风险受体的敏感性，共分为三种类型，E1为环境高度敏感区，E2为环境中度敏感区，E3为环境低度敏感区。具体见下表。</w:t>
      </w:r>
    </w:p>
    <w:p w14:paraId="6C00DAA6">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大气环境敏感程度分级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1000"/>
        <w:gridCol w:w="7326"/>
      </w:tblGrid>
      <w:tr w14:paraId="5C79504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996" w:type="dxa"/>
            <w:vAlign w:val="center"/>
          </w:tcPr>
          <w:p w14:paraId="38F31535">
            <w:pPr>
              <w:pStyle w:val="171"/>
              <w:jc w:val="center"/>
              <w:rPr>
                <w:rFonts w:ascii="Times New Roman" w:hAnsi="Times New Roman"/>
                <w:b/>
                <w:sz w:val="21"/>
                <w:szCs w:val="21"/>
              </w:rPr>
            </w:pPr>
            <w:r>
              <w:rPr>
                <w:rFonts w:ascii="Times New Roman" w:hAnsi="Times New Roman"/>
                <w:b/>
                <w:sz w:val="21"/>
                <w:szCs w:val="21"/>
              </w:rPr>
              <w:t>分级</w:t>
            </w:r>
          </w:p>
        </w:tc>
        <w:tc>
          <w:tcPr>
            <w:tcW w:w="7300" w:type="dxa"/>
            <w:vAlign w:val="center"/>
          </w:tcPr>
          <w:p w14:paraId="608153D1">
            <w:pPr>
              <w:pStyle w:val="171"/>
              <w:jc w:val="center"/>
              <w:rPr>
                <w:rFonts w:ascii="Times New Roman" w:hAnsi="Times New Roman"/>
                <w:b/>
                <w:sz w:val="21"/>
                <w:szCs w:val="21"/>
              </w:rPr>
            </w:pPr>
            <w:r>
              <w:rPr>
                <w:rFonts w:ascii="Times New Roman" w:hAnsi="Times New Roman"/>
                <w:b/>
                <w:sz w:val="21"/>
                <w:szCs w:val="21"/>
              </w:rPr>
              <w:t>大气环境敏感性</w:t>
            </w:r>
          </w:p>
        </w:tc>
      </w:tr>
      <w:tr w14:paraId="67EAA2B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6" w:type="dxa"/>
            <w:vAlign w:val="center"/>
          </w:tcPr>
          <w:p w14:paraId="350A1F25">
            <w:pPr>
              <w:pStyle w:val="171"/>
              <w:jc w:val="center"/>
              <w:rPr>
                <w:rFonts w:ascii="Times New Roman" w:hAnsi="Times New Roman"/>
                <w:sz w:val="21"/>
                <w:szCs w:val="21"/>
              </w:rPr>
            </w:pPr>
            <w:r>
              <w:rPr>
                <w:rFonts w:ascii="Times New Roman" w:hAnsi="Times New Roman"/>
                <w:sz w:val="21"/>
                <w:szCs w:val="21"/>
              </w:rPr>
              <w:t>E1</w:t>
            </w:r>
          </w:p>
        </w:tc>
        <w:tc>
          <w:tcPr>
            <w:tcW w:w="7300" w:type="dxa"/>
            <w:vAlign w:val="center"/>
          </w:tcPr>
          <w:p w14:paraId="6059965F">
            <w:pPr>
              <w:pStyle w:val="171"/>
              <w:rPr>
                <w:rFonts w:ascii="Times New Roman" w:hAnsi="Times New Roman"/>
                <w:sz w:val="21"/>
                <w:szCs w:val="21"/>
              </w:rPr>
            </w:pPr>
            <w:r>
              <w:rPr>
                <w:rFonts w:ascii="Times New Roman" w:hAnsi="Times New Roman"/>
                <w:sz w:val="21"/>
                <w:szCs w:val="21"/>
              </w:rPr>
              <w:t>周边5km范围内居住区、医疗卫生、文化教育、科研单位、行政机关等机构人口总数大于5万人，或其他需要特殊保护区域，或周边500米范围内人口总数大于1000人，油气、化学品输送管线管段周边200m范围内，每千米管段人口数大于200人。</w:t>
            </w:r>
          </w:p>
        </w:tc>
      </w:tr>
      <w:tr w14:paraId="1912984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6" w:type="dxa"/>
            <w:vAlign w:val="center"/>
          </w:tcPr>
          <w:p w14:paraId="2F71F98A">
            <w:pPr>
              <w:pStyle w:val="171"/>
              <w:jc w:val="center"/>
              <w:rPr>
                <w:rFonts w:ascii="Times New Roman" w:hAnsi="Times New Roman"/>
                <w:sz w:val="21"/>
                <w:szCs w:val="21"/>
              </w:rPr>
            </w:pPr>
            <w:r>
              <w:rPr>
                <w:rFonts w:ascii="Times New Roman" w:hAnsi="Times New Roman"/>
                <w:sz w:val="21"/>
                <w:szCs w:val="21"/>
              </w:rPr>
              <w:t>E2</w:t>
            </w:r>
          </w:p>
        </w:tc>
        <w:tc>
          <w:tcPr>
            <w:tcW w:w="7300" w:type="dxa"/>
            <w:vAlign w:val="center"/>
          </w:tcPr>
          <w:p w14:paraId="427EE48C">
            <w:pPr>
              <w:pStyle w:val="171"/>
              <w:rPr>
                <w:rFonts w:ascii="Times New Roman" w:hAnsi="Times New Roman"/>
                <w:sz w:val="21"/>
                <w:szCs w:val="21"/>
              </w:rPr>
            </w:pPr>
            <w:r>
              <w:rPr>
                <w:rFonts w:ascii="Times New Roman" w:hAnsi="Times New Roman"/>
                <w:sz w:val="21"/>
                <w:szCs w:val="21"/>
              </w:rPr>
              <w:t>周边5公里范围内居住区、医疗卫生、文化教育、科研、行政办公等机构人口数大于1万人，小于5万人；或周边500m范围内人口总数大于500人，小于1000人；油气、化学品输送管线管段周边200m范围内，每千米管段人口数大于100人，小于200人。</w:t>
            </w:r>
          </w:p>
        </w:tc>
      </w:tr>
      <w:tr w14:paraId="0496C2D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996" w:type="dxa"/>
            <w:vAlign w:val="center"/>
          </w:tcPr>
          <w:p w14:paraId="79692905">
            <w:pPr>
              <w:pStyle w:val="171"/>
              <w:jc w:val="center"/>
              <w:rPr>
                <w:rFonts w:ascii="Times New Roman" w:hAnsi="Times New Roman"/>
                <w:sz w:val="21"/>
                <w:szCs w:val="21"/>
              </w:rPr>
            </w:pPr>
            <w:r>
              <w:rPr>
                <w:rFonts w:ascii="Times New Roman" w:hAnsi="Times New Roman"/>
                <w:sz w:val="21"/>
                <w:szCs w:val="21"/>
              </w:rPr>
              <w:t>E3</w:t>
            </w:r>
          </w:p>
        </w:tc>
        <w:tc>
          <w:tcPr>
            <w:tcW w:w="7300" w:type="dxa"/>
            <w:vAlign w:val="center"/>
          </w:tcPr>
          <w:p w14:paraId="5257925C">
            <w:pPr>
              <w:pStyle w:val="171"/>
              <w:rPr>
                <w:rFonts w:ascii="Times New Roman" w:hAnsi="Times New Roman"/>
                <w:sz w:val="21"/>
                <w:szCs w:val="21"/>
              </w:rPr>
            </w:pPr>
            <w:r>
              <w:rPr>
                <w:rFonts w:ascii="Times New Roman" w:hAnsi="Times New Roman"/>
                <w:sz w:val="21"/>
                <w:szCs w:val="21"/>
              </w:rPr>
              <w:t>周边5公里范围内居住区、医疗卫生、文化教育、科研、行政办公等机构人口数小于1万人；或周边500m范围内人口总数大于500人，小于1000人；油气、化学品输送管线管段周边200m范围内，每千米管段人口数小于100人。</w:t>
            </w:r>
          </w:p>
        </w:tc>
      </w:tr>
    </w:tbl>
    <w:p w14:paraId="28363434">
      <w:pPr>
        <w:pStyle w:val="2"/>
        <w:ind w:firstLine="480"/>
      </w:pPr>
      <w:r>
        <w:rPr>
          <w:rFonts w:hint="eastAsia"/>
        </w:rPr>
        <w:t>本次工程位于卫辉市铁西（化工）园区，周边5km范围内居住区、医疗卫生、文化教育、科研单位、行政机关等机构人口总数约339028人，大于5万人；故大气环境敏感程度为环境高度敏感区E1。</w:t>
      </w:r>
    </w:p>
    <w:p w14:paraId="625F96C0">
      <w:pPr>
        <w:pStyle w:val="201"/>
        <w:ind w:left="0" w:firstLine="482"/>
      </w:pPr>
      <w:r>
        <w:rPr>
          <w:rFonts w:hint="eastAsia"/>
        </w:rPr>
        <w:t>6.3.3.2 地表水环境等级E划分</w:t>
      </w:r>
    </w:p>
    <w:p w14:paraId="609B5088">
      <w:pPr>
        <w:pStyle w:val="2"/>
        <w:spacing w:after="0"/>
        <w:ind w:firstLine="480"/>
      </w:pPr>
      <w:r>
        <w:rPr>
          <w:rFonts w:hint="eastAsia"/>
        </w:rPr>
        <w:t>依据事故情况下危险物质泄漏到水体的排放点受纳地表水体功能敏感性，与下游环境敏感目标情况，共分为三种类型，E1为环境高度敏感区，E2为环境中度敏感区，E3为环境低度敏感区，分级原则见表6.3-5。其中地表水功能敏感性分区和环境敏感目标分级分别见表6.3-6和表6.3-7。</w:t>
      </w:r>
    </w:p>
    <w:p w14:paraId="1DDA68C9">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地表水环境敏感程度分级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2082"/>
        <w:gridCol w:w="2081"/>
        <w:gridCol w:w="2081"/>
        <w:gridCol w:w="2082"/>
      </w:tblGrid>
      <w:tr w14:paraId="668E964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2074" w:type="dxa"/>
            <w:vMerge w:val="restart"/>
            <w:shd w:val="clear" w:color="auto" w:fill="auto"/>
            <w:vAlign w:val="center"/>
          </w:tcPr>
          <w:p w14:paraId="4EA79EFC">
            <w:pPr>
              <w:spacing w:line="360" w:lineRule="exact"/>
              <w:ind w:firstLine="0" w:firstLineChars="0"/>
              <w:jc w:val="center"/>
              <w:rPr>
                <w:b/>
                <w:sz w:val="21"/>
                <w:szCs w:val="21"/>
              </w:rPr>
            </w:pPr>
            <w:r>
              <w:rPr>
                <w:b/>
                <w:sz w:val="21"/>
                <w:szCs w:val="21"/>
              </w:rPr>
              <w:t>环境敏感目标</w:t>
            </w:r>
          </w:p>
        </w:tc>
        <w:tc>
          <w:tcPr>
            <w:tcW w:w="6222" w:type="dxa"/>
            <w:gridSpan w:val="3"/>
            <w:shd w:val="clear" w:color="auto" w:fill="auto"/>
            <w:vAlign w:val="center"/>
          </w:tcPr>
          <w:p w14:paraId="0F8B1AC4">
            <w:pPr>
              <w:spacing w:line="360" w:lineRule="exact"/>
              <w:ind w:firstLine="0" w:firstLineChars="0"/>
              <w:jc w:val="center"/>
              <w:rPr>
                <w:b/>
                <w:sz w:val="21"/>
                <w:szCs w:val="21"/>
              </w:rPr>
            </w:pPr>
            <w:r>
              <w:rPr>
                <w:b/>
                <w:sz w:val="21"/>
                <w:szCs w:val="21"/>
              </w:rPr>
              <w:t>地表水功能敏感性</w:t>
            </w:r>
          </w:p>
        </w:tc>
      </w:tr>
      <w:tr w14:paraId="4ADFFD1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2074" w:type="dxa"/>
            <w:vMerge w:val="continue"/>
            <w:shd w:val="clear" w:color="auto" w:fill="auto"/>
            <w:vAlign w:val="center"/>
          </w:tcPr>
          <w:p w14:paraId="07285A7F">
            <w:pPr>
              <w:spacing w:line="360" w:lineRule="exact"/>
              <w:ind w:firstLine="0" w:firstLineChars="0"/>
              <w:jc w:val="center"/>
              <w:rPr>
                <w:b/>
                <w:sz w:val="21"/>
                <w:szCs w:val="21"/>
              </w:rPr>
            </w:pPr>
          </w:p>
        </w:tc>
        <w:tc>
          <w:tcPr>
            <w:tcW w:w="2074" w:type="dxa"/>
            <w:shd w:val="clear" w:color="auto" w:fill="auto"/>
            <w:vAlign w:val="center"/>
          </w:tcPr>
          <w:p w14:paraId="322463CC">
            <w:pPr>
              <w:spacing w:line="360" w:lineRule="exact"/>
              <w:ind w:firstLine="0" w:firstLineChars="0"/>
              <w:jc w:val="center"/>
              <w:rPr>
                <w:b/>
                <w:sz w:val="21"/>
                <w:szCs w:val="21"/>
              </w:rPr>
            </w:pPr>
            <w:r>
              <w:rPr>
                <w:b/>
                <w:sz w:val="21"/>
                <w:szCs w:val="21"/>
              </w:rPr>
              <w:t>F1</w:t>
            </w:r>
          </w:p>
        </w:tc>
        <w:tc>
          <w:tcPr>
            <w:tcW w:w="2074" w:type="dxa"/>
            <w:shd w:val="clear" w:color="auto" w:fill="auto"/>
            <w:vAlign w:val="center"/>
          </w:tcPr>
          <w:p w14:paraId="391562A6">
            <w:pPr>
              <w:spacing w:line="360" w:lineRule="exact"/>
              <w:ind w:firstLine="0" w:firstLineChars="0"/>
              <w:jc w:val="center"/>
              <w:rPr>
                <w:b/>
                <w:sz w:val="21"/>
                <w:szCs w:val="21"/>
              </w:rPr>
            </w:pPr>
            <w:r>
              <w:rPr>
                <w:b/>
                <w:sz w:val="21"/>
                <w:szCs w:val="21"/>
              </w:rPr>
              <w:t>F2</w:t>
            </w:r>
          </w:p>
        </w:tc>
        <w:tc>
          <w:tcPr>
            <w:tcW w:w="2074" w:type="dxa"/>
            <w:shd w:val="clear" w:color="auto" w:fill="auto"/>
            <w:vAlign w:val="center"/>
          </w:tcPr>
          <w:p w14:paraId="04765678">
            <w:pPr>
              <w:spacing w:line="360" w:lineRule="exact"/>
              <w:ind w:firstLine="0" w:firstLineChars="0"/>
              <w:jc w:val="center"/>
              <w:rPr>
                <w:b/>
                <w:sz w:val="21"/>
                <w:szCs w:val="21"/>
              </w:rPr>
            </w:pPr>
            <w:r>
              <w:rPr>
                <w:b/>
                <w:sz w:val="21"/>
                <w:szCs w:val="21"/>
              </w:rPr>
              <w:t>F3</w:t>
            </w:r>
          </w:p>
        </w:tc>
      </w:tr>
      <w:tr w14:paraId="5A7B94A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74" w:type="dxa"/>
            <w:shd w:val="clear" w:color="auto" w:fill="auto"/>
            <w:vAlign w:val="center"/>
          </w:tcPr>
          <w:p w14:paraId="0DFDC18A">
            <w:pPr>
              <w:spacing w:line="360" w:lineRule="exact"/>
              <w:ind w:firstLine="0" w:firstLineChars="0"/>
              <w:jc w:val="center"/>
              <w:rPr>
                <w:sz w:val="21"/>
                <w:szCs w:val="21"/>
              </w:rPr>
            </w:pPr>
            <w:r>
              <w:rPr>
                <w:sz w:val="21"/>
                <w:szCs w:val="21"/>
              </w:rPr>
              <w:t>S1</w:t>
            </w:r>
          </w:p>
        </w:tc>
        <w:tc>
          <w:tcPr>
            <w:tcW w:w="2074" w:type="dxa"/>
            <w:shd w:val="clear" w:color="auto" w:fill="auto"/>
            <w:vAlign w:val="center"/>
          </w:tcPr>
          <w:p w14:paraId="5AF67E9B">
            <w:pPr>
              <w:spacing w:line="360" w:lineRule="exact"/>
              <w:ind w:firstLine="0" w:firstLineChars="0"/>
              <w:jc w:val="center"/>
              <w:rPr>
                <w:sz w:val="21"/>
                <w:szCs w:val="21"/>
              </w:rPr>
            </w:pPr>
            <w:r>
              <w:rPr>
                <w:sz w:val="21"/>
                <w:szCs w:val="21"/>
              </w:rPr>
              <w:t>E1</w:t>
            </w:r>
          </w:p>
        </w:tc>
        <w:tc>
          <w:tcPr>
            <w:tcW w:w="2074" w:type="dxa"/>
            <w:shd w:val="clear" w:color="auto" w:fill="auto"/>
            <w:vAlign w:val="center"/>
          </w:tcPr>
          <w:p w14:paraId="3D63F858">
            <w:pPr>
              <w:spacing w:line="360" w:lineRule="exact"/>
              <w:ind w:firstLine="0" w:firstLineChars="0"/>
              <w:jc w:val="center"/>
              <w:rPr>
                <w:sz w:val="21"/>
                <w:szCs w:val="21"/>
              </w:rPr>
            </w:pPr>
            <w:r>
              <w:rPr>
                <w:sz w:val="21"/>
                <w:szCs w:val="21"/>
              </w:rPr>
              <w:t>E1</w:t>
            </w:r>
          </w:p>
        </w:tc>
        <w:tc>
          <w:tcPr>
            <w:tcW w:w="2074" w:type="dxa"/>
            <w:shd w:val="clear" w:color="auto" w:fill="auto"/>
            <w:vAlign w:val="center"/>
          </w:tcPr>
          <w:p w14:paraId="3F3B215C">
            <w:pPr>
              <w:spacing w:line="360" w:lineRule="exact"/>
              <w:ind w:firstLine="0" w:firstLineChars="0"/>
              <w:jc w:val="center"/>
              <w:rPr>
                <w:sz w:val="21"/>
                <w:szCs w:val="21"/>
              </w:rPr>
            </w:pPr>
            <w:r>
              <w:rPr>
                <w:sz w:val="21"/>
                <w:szCs w:val="21"/>
              </w:rPr>
              <w:t>E2</w:t>
            </w:r>
          </w:p>
        </w:tc>
      </w:tr>
      <w:tr w14:paraId="0620048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74" w:type="dxa"/>
            <w:shd w:val="clear" w:color="auto" w:fill="auto"/>
            <w:vAlign w:val="center"/>
          </w:tcPr>
          <w:p w14:paraId="5202700E">
            <w:pPr>
              <w:spacing w:line="360" w:lineRule="exact"/>
              <w:ind w:firstLine="0" w:firstLineChars="0"/>
              <w:jc w:val="center"/>
              <w:rPr>
                <w:sz w:val="21"/>
                <w:szCs w:val="21"/>
              </w:rPr>
            </w:pPr>
            <w:r>
              <w:rPr>
                <w:sz w:val="21"/>
                <w:szCs w:val="21"/>
              </w:rPr>
              <w:t>S2</w:t>
            </w:r>
          </w:p>
        </w:tc>
        <w:tc>
          <w:tcPr>
            <w:tcW w:w="2074" w:type="dxa"/>
            <w:shd w:val="clear" w:color="auto" w:fill="auto"/>
            <w:vAlign w:val="center"/>
          </w:tcPr>
          <w:p w14:paraId="4291BB6D">
            <w:pPr>
              <w:spacing w:line="360" w:lineRule="exact"/>
              <w:ind w:firstLine="0" w:firstLineChars="0"/>
              <w:jc w:val="center"/>
              <w:rPr>
                <w:sz w:val="21"/>
                <w:szCs w:val="21"/>
              </w:rPr>
            </w:pPr>
            <w:r>
              <w:rPr>
                <w:sz w:val="21"/>
                <w:szCs w:val="21"/>
              </w:rPr>
              <w:t>E1</w:t>
            </w:r>
          </w:p>
        </w:tc>
        <w:tc>
          <w:tcPr>
            <w:tcW w:w="2074" w:type="dxa"/>
            <w:shd w:val="clear" w:color="auto" w:fill="auto"/>
            <w:vAlign w:val="center"/>
          </w:tcPr>
          <w:p w14:paraId="6BD0257A">
            <w:pPr>
              <w:spacing w:line="360" w:lineRule="exact"/>
              <w:ind w:firstLine="0" w:firstLineChars="0"/>
              <w:jc w:val="center"/>
              <w:rPr>
                <w:sz w:val="21"/>
                <w:szCs w:val="21"/>
              </w:rPr>
            </w:pPr>
            <w:r>
              <w:rPr>
                <w:sz w:val="21"/>
                <w:szCs w:val="21"/>
              </w:rPr>
              <w:t>E2</w:t>
            </w:r>
          </w:p>
        </w:tc>
        <w:tc>
          <w:tcPr>
            <w:tcW w:w="2074" w:type="dxa"/>
            <w:shd w:val="clear" w:color="auto" w:fill="auto"/>
            <w:vAlign w:val="center"/>
          </w:tcPr>
          <w:p w14:paraId="2B3AB434">
            <w:pPr>
              <w:spacing w:line="360" w:lineRule="exact"/>
              <w:ind w:firstLine="0" w:firstLineChars="0"/>
              <w:jc w:val="center"/>
              <w:rPr>
                <w:sz w:val="21"/>
                <w:szCs w:val="21"/>
              </w:rPr>
            </w:pPr>
            <w:r>
              <w:rPr>
                <w:sz w:val="21"/>
                <w:szCs w:val="21"/>
              </w:rPr>
              <w:t>E3</w:t>
            </w:r>
          </w:p>
        </w:tc>
      </w:tr>
      <w:tr w14:paraId="2328BB5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74" w:type="dxa"/>
            <w:shd w:val="clear" w:color="auto" w:fill="auto"/>
            <w:vAlign w:val="center"/>
          </w:tcPr>
          <w:p w14:paraId="155AC6DA">
            <w:pPr>
              <w:spacing w:line="360" w:lineRule="exact"/>
              <w:ind w:firstLine="0" w:firstLineChars="0"/>
              <w:jc w:val="center"/>
              <w:rPr>
                <w:sz w:val="21"/>
                <w:szCs w:val="21"/>
              </w:rPr>
            </w:pPr>
            <w:r>
              <w:rPr>
                <w:sz w:val="21"/>
                <w:szCs w:val="21"/>
              </w:rPr>
              <w:t>S3</w:t>
            </w:r>
          </w:p>
        </w:tc>
        <w:tc>
          <w:tcPr>
            <w:tcW w:w="2074" w:type="dxa"/>
            <w:shd w:val="clear" w:color="auto" w:fill="auto"/>
            <w:vAlign w:val="center"/>
          </w:tcPr>
          <w:p w14:paraId="568B4CD2">
            <w:pPr>
              <w:spacing w:line="360" w:lineRule="exact"/>
              <w:ind w:firstLine="0" w:firstLineChars="0"/>
              <w:jc w:val="center"/>
              <w:rPr>
                <w:sz w:val="21"/>
                <w:szCs w:val="21"/>
              </w:rPr>
            </w:pPr>
            <w:r>
              <w:rPr>
                <w:sz w:val="21"/>
                <w:szCs w:val="21"/>
              </w:rPr>
              <w:t>E1</w:t>
            </w:r>
          </w:p>
        </w:tc>
        <w:tc>
          <w:tcPr>
            <w:tcW w:w="2074" w:type="dxa"/>
            <w:shd w:val="clear" w:color="auto" w:fill="auto"/>
            <w:vAlign w:val="center"/>
          </w:tcPr>
          <w:p w14:paraId="390EF3E6">
            <w:pPr>
              <w:spacing w:line="360" w:lineRule="exact"/>
              <w:ind w:firstLine="0" w:firstLineChars="0"/>
              <w:jc w:val="center"/>
              <w:rPr>
                <w:sz w:val="21"/>
                <w:szCs w:val="21"/>
              </w:rPr>
            </w:pPr>
            <w:r>
              <w:rPr>
                <w:sz w:val="21"/>
                <w:szCs w:val="21"/>
              </w:rPr>
              <w:t>E2</w:t>
            </w:r>
          </w:p>
        </w:tc>
        <w:tc>
          <w:tcPr>
            <w:tcW w:w="2074" w:type="dxa"/>
            <w:shd w:val="clear" w:color="auto" w:fill="FADAB5" w:themeFill="accent2" w:themeFillTint="66"/>
            <w:vAlign w:val="center"/>
          </w:tcPr>
          <w:p w14:paraId="0DAF8FB5">
            <w:pPr>
              <w:spacing w:line="360" w:lineRule="exact"/>
              <w:ind w:firstLine="0" w:firstLineChars="0"/>
              <w:jc w:val="center"/>
              <w:rPr>
                <w:sz w:val="21"/>
                <w:szCs w:val="21"/>
              </w:rPr>
            </w:pPr>
            <w:r>
              <w:rPr>
                <w:sz w:val="21"/>
                <w:szCs w:val="21"/>
              </w:rPr>
              <w:t>E3</w:t>
            </w:r>
          </w:p>
        </w:tc>
      </w:tr>
    </w:tbl>
    <w:p w14:paraId="20E374D9">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地表水功能敏感性分区</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1431"/>
        <w:gridCol w:w="6895"/>
      </w:tblGrid>
      <w:tr w14:paraId="25AC20E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PrEx>
        <w:trPr>
          <w:trHeight w:val="454" w:hRule="atLeast"/>
          <w:tblHeader/>
          <w:jc w:val="center"/>
        </w:trPr>
        <w:tc>
          <w:tcPr>
            <w:tcW w:w="1426" w:type="dxa"/>
            <w:vAlign w:val="center"/>
          </w:tcPr>
          <w:p w14:paraId="2D60A54D">
            <w:pPr>
              <w:pStyle w:val="171"/>
              <w:jc w:val="center"/>
              <w:rPr>
                <w:rFonts w:ascii="Times New Roman" w:hAnsi="Times New Roman"/>
                <w:b/>
                <w:sz w:val="21"/>
              </w:rPr>
            </w:pPr>
            <w:r>
              <w:rPr>
                <w:rFonts w:ascii="Times New Roman" w:hAnsi="Times New Roman"/>
                <w:b/>
                <w:sz w:val="21"/>
              </w:rPr>
              <w:t>敏感性</w:t>
            </w:r>
          </w:p>
        </w:tc>
        <w:tc>
          <w:tcPr>
            <w:tcW w:w="6870" w:type="dxa"/>
            <w:vAlign w:val="center"/>
          </w:tcPr>
          <w:p w14:paraId="6FB2491F">
            <w:pPr>
              <w:pStyle w:val="171"/>
              <w:jc w:val="center"/>
              <w:rPr>
                <w:rFonts w:ascii="Times New Roman" w:hAnsi="Times New Roman"/>
                <w:b/>
                <w:sz w:val="21"/>
              </w:rPr>
            </w:pPr>
            <w:r>
              <w:rPr>
                <w:rFonts w:ascii="Times New Roman" w:hAnsi="Times New Roman"/>
                <w:b/>
                <w:sz w:val="21"/>
              </w:rPr>
              <w:t>地表水环境敏感特征</w:t>
            </w:r>
          </w:p>
        </w:tc>
      </w:tr>
      <w:tr w14:paraId="7A6D4B0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26" w:type="dxa"/>
            <w:vAlign w:val="center"/>
          </w:tcPr>
          <w:p w14:paraId="5777696D">
            <w:pPr>
              <w:pStyle w:val="171"/>
              <w:jc w:val="center"/>
              <w:rPr>
                <w:rFonts w:ascii="Times New Roman" w:hAnsi="Times New Roman"/>
                <w:sz w:val="21"/>
              </w:rPr>
            </w:pPr>
            <w:r>
              <w:rPr>
                <w:rFonts w:ascii="Times New Roman" w:hAnsi="Times New Roman"/>
                <w:sz w:val="21"/>
              </w:rPr>
              <w:t>敏感F1</w:t>
            </w:r>
          </w:p>
        </w:tc>
        <w:tc>
          <w:tcPr>
            <w:tcW w:w="6870" w:type="dxa"/>
            <w:vAlign w:val="center"/>
          </w:tcPr>
          <w:p w14:paraId="1B147230">
            <w:pPr>
              <w:pStyle w:val="171"/>
              <w:rPr>
                <w:rFonts w:ascii="Times New Roman" w:hAnsi="Times New Roman"/>
                <w:sz w:val="21"/>
              </w:rPr>
            </w:pPr>
            <w:r>
              <w:rPr>
                <w:rFonts w:ascii="Times New Roman" w:hAnsi="Times New Roman"/>
                <w:sz w:val="21"/>
              </w:rPr>
              <w:t>排放点进入地表水水域环境功能为Ⅱ类及以上，或海水水质分类第一类；或以发生事故时，危险物质泄漏到水体的排放点算起，排放进入受纳河流最大流速时，24h流经范围内涉跨国界的。</w:t>
            </w:r>
          </w:p>
        </w:tc>
      </w:tr>
      <w:tr w14:paraId="775A0B5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26" w:type="dxa"/>
            <w:vAlign w:val="center"/>
          </w:tcPr>
          <w:p w14:paraId="4DE3BF67">
            <w:pPr>
              <w:pStyle w:val="171"/>
              <w:jc w:val="center"/>
              <w:rPr>
                <w:rFonts w:ascii="Times New Roman" w:hAnsi="Times New Roman"/>
                <w:sz w:val="21"/>
              </w:rPr>
            </w:pPr>
            <w:r>
              <w:rPr>
                <w:rFonts w:ascii="Times New Roman" w:hAnsi="Times New Roman"/>
                <w:sz w:val="21"/>
              </w:rPr>
              <w:t>较敏感F2</w:t>
            </w:r>
          </w:p>
        </w:tc>
        <w:tc>
          <w:tcPr>
            <w:tcW w:w="6870" w:type="dxa"/>
            <w:vAlign w:val="center"/>
          </w:tcPr>
          <w:p w14:paraId="3532C270">
            <w:pPr>
              <w:pStyle w:val="171"/>
              <w:rPr>
                <w:rFonts w:ascii="Times New Roman" w:hAnsi="Times New Roman"/>
                <w:sz w:val="21"/>
              </w:rPr>
            </w:pPr>
            <w:r>
              <w:rPr>
                <w:rFonts w:ascii="Times New Roman" w:hAnsi="Times New Roman"/>
                <w:sz w:val="21"/>
              </w:rPr>
              <w:t>排放点进入地表水水域环境功能为Ⅲ类，或海水水质分类第二类；或以发生事故时，危险物质泄漏到水体的排放点算起，排放进入受纳河流最大流速时，24h流经范围内涉跨省界的。</w:t>
            </w:r>
          </w:p>
        </w:tc>
      </w:tr>
      <w:tr w14:paraId="753D63A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426" w:type="dxa"/>
            <w:vAlign w:val="center"/>
          </w:tcPr>
          <w:p w14:paraId="5472F654">
            <w:pPr>
              <w:pStyle w:val="171"/>
              <w:jc w:val="center"/>
              <w:rPr>
                <w:rFonts w:ascii="Times New Roman" w:hAnsi="Times New Roman"/>
                <w:sz w:val="21"/>
              </w:rPr>
            </w:pPr>
            <w:r>
              <w:rPr>
                <w:rFonts w:ascii="Times New Roman" w:hAnsi="Times New Roman"/>
                <w:sz w:val="21"/>
              </w:rPr>
              <w:t>低敏感F3</w:t>
            </w:r>
          </w:p>
        </w:tc>
        <w:tc>
          <w:tcPr>
            <w:tcW w:w="6870" w:type="dxa"/>
            <w:vAlign w:val="center"/>
          </w:tcPr>
          <w:p w14:paraId="5960E4FB">
            <w:pPr>
              <w:pStyle w:val="171"/>
              <w:jc w:val="center"/>
              <w:rPr>
                <w:rFonts w:ascii="Times New Roman" w:hAnsi="Times New Roman"/>
                <w:sz w:val="21"/>
              </w:rPr>
            </w:pPr>
            <w:r>
              <w:rPr>
                <w:rFonts w:ascii="Times New Roman" w:hAnsi="Times New Roman"/>
                <w:sz w:val="21"/>
              </w:rPr>
              <w:t>上述地区之外的其他地区。</w:t>
            </w:r>
          </w:p>
        </w:tc>
      </w:tr>
    </w:tbl>
    <w:p w14:paraId="518814AA">
      <w:pPr>
        <w:pStyle w:val="119"/>
        <w:ind w:firstLine="560"/>
      </w:pPr>
    </w:p>
    <w:p w14:paraId="0DA789A6">
      <w:pPr>
        <w:pStyle w:val="119"/>
        <w:ind w:firstLine="560"/>
      </w:pPr>
    </w:p>
    <w:p w14:paraId="7DFB9E41">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w:t>
      </w:r>
      <w:r>
        <w:rPr>
          <w:rFonts w:ascii="Times New Roman" w:hAnsi="Times New Roman" w:cs="Times New Roman"/>
          <w:bCs w:val="0"/>
        </w:rPr>
        <w:t>环境敏感目标分级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856"/>
        <w:gridCol w:w="7470"/>
      </w:tblGrid>
      <w:tr w14:paraId="1799CF5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53" w:type="dxa"/>
            <w:vAlign w:val="center"/>
          </w:tcPr>
          <w:p w14:paraId="15AD428A">
            <w:pPr>
              <w:pStyle w:val="171"/>
              <w:jc w:val="center"/>
              <w:rPr>
                <w:rFonts w:ascii="Times New Roman" w:hAnsi="Times New Roman"/>
                <w:b/>
                <w:sz w:val="21"/>
              </w:rPr>
            </w:pPr>
            <w:r>
              <w:rPr>
                <w:rFonts w:ascii="Times New Roman" w:hAnsi="Times New Roman"/>
                <w:b/>
                <w:sz w:val="21"/>
              </w:rPr>
              <w:t>分级</w:t>
            </w:r>
          </w:p>
        </w:tc>
        <w:tc>
          <w:tcPr>
            <w:tcW w:w="7443" w:type="dxa"/>
            <w:vAlign w:val="center"/>
          </w:tcPr>
          <w:p w14:paraId="32DE5CC5">
            <w:pPr>
              <w:pStyle w:val="171"/>
              <w:jc w:val="center"/>
              <w:rPr>
                <w:rFonts w:ascii="Times New Roman" w:hAnsi="Times New Roman"/>
                <w:b/>
                <w:sz w:val="21"/>
              </w:rPr>
            </w:pPr>
            <w:r>
              <w:rPr>
                <w:rFonts w:ascii="Times New Roman" w:hAnsi="Times New Roman"/>
                <w:b/>
                <w:sz w:val="21"/>
              </w:rPr>
              <w:t>环境敏感目标</w:t>
            </w:r>
          </w:p>
        </w:tc>
      </w:tr>
      <w:tr w14:paraId="66F5E74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3" w:type="dxa"/>
            <w:vAlign w:val="center"/>
          </w:tcPr>
          <w:p w14:paraId="02B40FAB">
            <w:pPr>
              <w:pStyle w:val="171"/>
              <w:jc w:val="center"/>
              <w:rPr>
                <w:rFonts w:ascii="Times New Roman" w:hAnsi="Times New Roman"/>
                <w:sz w:val="21"/>
              </w:rPr>
            </w:pPr>
            <w:r>
              <w:rPr>
                <w:rFonts w:ascii="Times New Roman" w:hAnsi="Times New Roman"/>
                <w:sz w:val="21"/>
              </w:rPr>
              <w:t>S1</w:t>
            </w:r>
          </w:p>
        </w:tc>
        <w:tc>
          <w:tcPr>
            <w:tcW w:w="7443" w:type="dxa"/>
            <w:vAlign w:val="center"/>
          </w:tcPr>
          <w:p w14:paraId="50C9C0CA">
            <w:pPr>
              <w:pStyle w:val="171"/>
              <w:rPr>
                <w:rFonts w:ascii="Times New Roman" w:hAnsi="Times New Roman"/>
                <w:sz w:val="21"/>
              </w:rPr>
            </w:pPr>
            <w:r>
              <w:rPr>
                <w:rFonts w:ascii="Times New Roman" w:hAnsi="Times New Roman"/>
                <w:sz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4133950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3" w:type="dxa"/>
            <w:vAlign w:val="center"/>
          </w:tcPr>
          <w:p w14:paraId="02B67872">
            <w:pPr>
              <w:pStyle w:val="171"/>
              <w:jc w:val="center"/>
              <w:rPr>
                <w:rFonts w:ascii="Times New Roman" w:hAnsi="Times New Roman"/>
                <w:sz w:val="21"/>
              </w:rPr>
            </w:pPr>
            <w:r>
              <w:rPr>
                <w:rFonts w:ascii="Times New Roman" w:hAnsi="Times New Roman"/>
                <w:sz w:val="21"/>
              </w:rPr>
              <w:t>S2</w:t>
            </w:r>
          </w:p>
        </w:tc>
        <w:tc>
          <w:tcPr>
            <w:tcW w:w="7443" w:type="dxa"/>
            <w:vAlign w:val="center"/>
          </w:tcPr>
          <w:p w14:paraId="2D37653D">
            <w:pPr>
              <w:pStyle w:val="171"/>
              <w:rPr>
                <w:rFonts w:ascii="Times New Roman" w:hAnsi="Times New Roman"/>
                <w:sz w:val="21"/>
              </w:rPr>
            </w:pPr>
            <w:r>
              <w:rPr>
                <w:rFonts w:ascii="Times New Roman" w:hAnsi="Times New Roman"/>
                <w:sz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7FE7ECB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3" w:type="dxa"/>
            <w:vAlign w:val="center"/>
          </w:tcPr>
          <w:p w14:paraId="72E8088C">
            <w:pPr>
              <w:pStyle w:val="171"/>
              <w:jc w:val="center"/>
              <w:rPr>
                <w:rFonts w:ascii="Times New Roman" w:hAnsi="Times New Roman"/>
                <w:sz w:val="21"/>
              </w:rPr>
            </w:pPr>
            <w:r>
              <w:rPr>
                <w:rFonts w:ascii="Times New Roman" w:hAnsi="Times New Roman"/>
                <w:sz w:val="21"/>
              </w:rPr>
              <w:t>S3</w:t>
            </w:r>
          </w:p>
        </w:tc>
        <w:tc>
          <w:tcPr>
            <w:tcW w:w="7443" w:type="dxa"/>
            <w:vAlign w:val="center"/>
          </w:tcPr>
          <w:p w14:paraId="4A9CE41C">
            <w:pPr>
              <w:pStyle w:val="171"/>
              <w:rPr>
                <w:rFonts w:ascii="Times New Roman" w:hAnsi="Times New Roman"/>
                <w:sz w:val="21"/>
              </w:rPr>
            </w:pPr>
            <w:r>
              <w:rPr>
                <w:rFonts w:ascii="Times New Roman" w:hAnsi="Times New Roman"/>
                <w:sz w:val="21"/>
              </w:rPr>
              <w:t>排放点下游（顺水流向）10km范围、近岸海域一个潮周期水质点可能达到的最大水平距离的两倍范围内无上述类型1和类型2包括的敏感保护目标。</w:t>
            </w:r>
          </w:p>
        </w:tc>
      </w:tr>
    </w:tbl>
    <w:p w14:paraId="58723309">
      <w:pPr>
        <w:pStyle w:val="2"/>
        <w:spacing w:after="0"/>
        <w:ind w:firstLine="480"/>
      </w:pPr>
      <w:r>
        <w:rPr>
          <w:rFonts w:hint="eastAsia"/>
        </w:rPr>
        <w:t>本项目废水经厂区污水处理站处理达标后排入唐庄污水处理厂，最终排入共产主义渠，不直接进入地表水体；项目厂址不在城市、县级、乡镇集中式地表水饮用水源地保护区、农村及分散式地表水饮用水水源保护区范围内；则项目地表水功能敏感性属于低敏感F3。</w:t>
      </w:r>
    </w:p>
    <w:p w14:paraId="301CB5C4">
      <w:pPr>
        <w:pStyle w:val="2"/>
        <w:spacing w:after="0"/>
        <w:ind w:firstLine="480"/>
      </w:pPr>
      <w:r>
        <w:rPr>
          <w:rFonts w:hint="eastAsia"/>
        </w:rPr>
        <w:t>根据分析，本次工程发生事故时，关闭排放口阀门，停止废水处理；打开事故储池阀门，将事故废水经厂内收集后汇聚于事故储池暂存，事故得到控制后，建设单位委托有资质的检测单位对事故废水进行水质检测，然后根据检测结果采取相应的处理措施进行妥善处理，而不是直接外排水体，所以不存在泄漏到内陆水体的排放点下游（顺水流向）10km范围内。根据环境敏感目标分级表，本项目属于环境敏感目标分级表中的S3。</w:t>
      </w:r>
    </w:p>
    <w:p w14:paraId="63E7470B">
      <w:pPr>
        <w:pStyle w:val="2"/>
        <w:spacing w:after="0"/>
        <w:ind w:firstLine="480"/>
      </w:pPr>
      <w:r>
        <w:rPr>
          <w:rFonts w:hint="eastAsia"/>
        </w:rPr>
        <w:t>根据表6.3-5地表水环境敏感程度分级，本项目地表水环境属于环境低度敏感区E3。</w:t>
      </w:r>
    </w:p>
    <w:p w14:paraId="44BC06D2">
      <w:pPr>
        <w:pStyle w:val="201"/>
        <w:ind w:left="0" w:firstLine="482"/>
      </w:pPr>
      <w:r>
        <w:rPr>
          <w:rFonts w:hint="eastAsia"/>
        </w:rPr>
        <w:t>6.3.3.3地下水环境等级E划分</w:t>
      </w:r>
    </w:p>
    <w:p w14:paraId="506083EB">
      <w:pPr>
        <w:pStyle w:val="2"/>
        <w:spacing w:after="0"/>
        <w:ind w:firstLine="480"/>
      </w:pPr>
      <w:r>
        <w:rPr>
          <w:rFonts w:hint="eastAsia"/>
        </w:rPr>
        <w:t>依据地下水功能敏感性与包气带防污性能，共分为三种类型，E1为环境高度敏感区，E2为环境中度敏感区，E3为环境低度敏感区，分级原则见表6.3-8。其中地下水功能敏感性分区和包气带防污性能分级分别见表6.3-9和表6.3-10。当同一建设项目涉及两个G分区或D分级及以上时，取相对高值。</w:t>
      </w:r>
    </w:p>
    <w:p w14:paraId="38B9E3D7">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w:t>
      </w:r>
      <w:r>
        <w:rPr>
          <w:rFonts w:ascii="Times New Roman" w:hAnsi="Times New Roman" w:cs="Times New Roman"/>
          <w:bCs w:val="0"/>
        </w:rPr>
        <w:t>地下水环境敏感程度分级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2082"/>
        <w:gridCol w:w="2081"/>
        <w:gridCol w:w="2081"/>
        <w:gridCol w:w="2082"/>
      </w:tblGrid>
      <w:tr w14:paraId="5A731E1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2185" w:type="dxa"/>
            <w:vMerge w:val="restart"/>
            <w:shd w:val="clear" w:color="auto" w:fill="auto"/>
            <w:vAlign w:val="center"/>
          </w:tcPr>
          <w:p w14:paraId="468628A7">
            <w:pPr>
              <w:spacing w:line="240" w:lineRule="auto"/>
              <w:ind w:firstLine="0" w:firstLineChars="0"/>
              <w:jc w:val="center"/>
              <w:rPr>
                <w:b/>
                <w:sz w:val="21"/>
                <w:szCs w:val="21"/>
              </w:rPr>
            </w:pPr>
            <w:r>
              <w:rPr>
                <w:b/>
                <w:sz w:val="21"/>
                <w:szCs w:val="21"/>
              </w:rPr>
              <w:t>包气带防污性能</w:t>
            </w:r>
          </w:p>
        </w:tc>
        <w:tc>
          <w:tcPr>
            <w:tcW w:w="6555" w:type="dxa"/>
            <w:gridSpan w:val="3"/>
            <w:shd w:val="clear" w:color="auto" w:fill="auto"/>
            <w:vAlign w:val="center"/>
          </w:tcPr>
          <w:p w14:paraId="23D26B82">
            <w:pPr>
              <w:spacing w:line="240" w:lineRule="auto"/>
              <w:ind w:firstLine="0" w:firstLineChars="0"/>
              <w:jc w:val="center"/>
              <w:rPr>
                <w:b/>
                <w:sz w:val="21"/>
                <w:szCs w:val="21"/>
              </w:rPr>
            </w:pPr>
            <w:r>
              <w:rPr>
                <w:b/>
                <w:sz w:val="21"/>
                <w:szCs w:val="21"/>
              </w:rPr>
              <w:t>地下水功能敏感性</w:t>
            </w:r>
          </w:p>
        </w:tc>
      </w:tr>
      <w:tr w14:paraId="0BC3112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2185" w:type="dxa"/>
            <w:vMerge w:val="continue"/>
            <w:shd w:val="clear" w:color="auto" w:fill="auto"/>
            <w:vAlign w:val="center"/>
          </w:tcPr>
          <w:p w14:paraId="0D5707BE">
            <w:pPr>
              <w:spacing w:line="240" w:lineRule="auto"/>
              <w:ind w:firstLine="0" w:firstLineChars="0"/>
              <w:jc w:val="center"/>
              <w:rPr>
                <w:b/>
                <w:sz w:val="21"/>
                <w:szCs w:val="21"/>
              </w:rPr>
            </w:pPr>
          </w:p>
        </w:tc>
        <w:tc>
          <w:tcPr>
            <w:tcW w:w="2185" w:type="dxa"/>
            <w:shd w:val="clear" w:color="auto" w:fill="auto"/>
            <w:vAlign w:val="center"/>
          </w:tcPr>
          <w:p w14:paraId="5ED0C941">
            <w:pPr>
              <w:spacing w:line="240" w:lineRule="auto"/>
              <w:ind w:firstLine="0" w:firstLineChars="0"/>
              <w:jc w:val="center"/>
              <w:rPr>
                <w:b/>
                <w:sz w:val="21"/>
                <w:szCs w:val="21"/>
              </w:rPr>
            </w:pPr>
            <w:r>
              <w:rPr>
                <w:b/>
                <w:sz w:val="21"/>
                <w:szCs w:val="21"/>
              </w:rPr>
              <w:t>G1</w:t>
            </w:r>
          </w:p>
        </w:tc>
        <w:tc>
          <w:tcPr>
            <w:tcW w:w="2185" w:type="dxa"/>
            <w:shd w:val="clear" w:color="auto" w:fill="auto"/>
            <w:vAlign w:val="center"/>
          </w:tcPr>
          <w:p w14:paraId="0AC5BC86">
            <w:pPr>
              <w:spacing w:line="240" w:lineRule="auto"/>
              <w:ind w:firstLine="0" w:firstLineChars="0"/>
              <w:jc w:val="center"/>
              <w:rPr>
                <w:b/>
                <w:sz w:val="21"/>
                <w:szCs w:val="21"/>
              </w:rPr>
            </w:pPr>
            <w:r>
              <w:rPr>
                <w:b/>
                <w:sz w:val="21"/>
                <w:szCs w:val="21"/>
              </w:rPr>
              <w:t>G2</w:t>
            </w:r>
          </w:p>
        </w:tc>
        <w:tc>
          <w:tcPr>
            <w:tcW w:w="2185" w:type="dxa"/>
            <w:shd w:val="clear" w:color="auto" w:fill="auto"/>
            <w:vAlign w:val="center"/>
          </w:tcPr>
          <w:p w14:paraId="5EDE2876">
            <w:pPr>
              <w:spacing w:line="240" w:lineRule="auto"/>
              <w:ind w:firstLine="0" w:firstLineChars="0"/>
              <w:jc w:val="center"/>
              <w:rPr>
                <w:b/>
                <w:sz w:val="21"/>
                <w:szCs w:val="21"/>
              </w:rPr>
            </w:pPr>
            <w:r>
              <w:rPr>
                <w:b/>
                <w:sz w:val="21"/>
                <w:szCs w:val="21"/>
              </w:rPr>
              <w:t>G3</w:t>
            </w:r>
          </w:p>
        </w:tc>
      </w:tr>
      <w:tr w14:paraId="03A2EA04">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185" w:type="dxa"/>
            <w:shd w:val="clear" w:color="auto" w:fill="auto"/>
            <w:vAlign w:val="center"/>
          </w:tcPr>
          <w:p w14:paraId="557600A6">
            <w:pPr>
              <w:spacing w:line="240" w:lineRule="auto"/>
              <w:ind w:firstLine="0" w:firstLineChars="0"/>
              <w:jc w:val="center"/>
              <w:rPr>
                <w:sz w:val="21"/>
                <w:szCs w:val="21"/>
              </w:rPr>
            </w:pPr>
            <w:r>
              <w:rPr>
                <w:sz w:val="21"/>
                <w:szCs w:val="21"/>
              </w:rPr>
              <w:t>D1</w:t>
            </w:r>
          </w:p>
        </w:tc>
        <w:tc>
          <w:tcPr>
            <w:tcW w:w="2185" w:type="dxa"/>
            <w:shd w:val="clear" w:color="auto" w:fill="auto"/>
            <w:vAlign w:val="center"/>
          </w:tcPr>
          <w:p w14:paraId="2B03C755">
            <w:pPr>
              <w:spacing w:line="240" w:lineRule="auto"/>
              <w:ind w:firstLine="0" w:firstLineChars="0"/>
              <w:jc w:val="center"/>
              <w:rPr>
                <w:sz w:val="21"/>
                <w:szCs w:val="21"/>
              </w:rPr>
            </w:pPr>
            <w:r>
              <w:rPr>
                <w:sz w:val="21"/>
                <w:szCs w:val="21"/>
              </w:rPr>
              <w:t>E1</w:t>
            </w:r>
          </w:p>
        </w:tc>
        <w:tc>
          <w:tcPr>
            <w:tcW w:w="2185" w:type="dxa"/>
            <w:shd w:val="clear" w:color="auto" w:fill="auto"/>
            <w:vAlign w:val="center"/>
          </w:tcPr>
          <w:p w14:paraId="4B02D85A">
            <w:pPr>
              <w:spacing w:line="240" w:lineRule="auto"/>
              <w:ind w:firstLine="0" w:firstLineChars="0"/>
              <w:jc w:val="center"/>
              <w:rPr>
                <w:sz w:val="21"/>
                <w:szCs w:val="21"/>
              </w:rPr>
            </w:pPr>
            <w:r>
              <w:rPr>
                <w:sz w:val="21"/>
                <w:szCs w:val="21"/>
              </w:rPr>
              <w:t>E1</w:t>
            </w:r>
          </w:p>
        </w:tc>
        <w:tc>
          <w:tcPr>
            <w:tcW w:w="2185" w:type="dxa"/>
            <w:shd w:val="clear" w:color="auto" w:fill="auto"/>
            <w:vAlign w:val="center"/>
          </w:tcPr>
          <w:p w14:paraId="4732D1AE">
            <w:pPr>
              <w:spacing w:line="240" w:lineRule="auto"/>
              <w:ind w:firstLine="0" w:firstLineChars="0"/>
              <w:jc w:val="center"/>
              <w:rPr>
                <w:sz w:val="21"/>
                <w:szCs w:val="21"/>
              </w:rPr>
            </w:pPr>
            <w:r>
              <w:rPr>
                <w:sz w:val="21"/>
                <w:szCs w:val="21"/>
              </w:rPr>
              <w:t>E2</w:t>
            </w:r>
          </w:p>
        </w:tc>
      </w:tr>
      <w:tr w14:paraId="122D0A1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185" w:type="dxa"/>
            <w:shd w:val="clear" w:color="auto" w:fill="auto"/>
            <w:vAlign w:val="center"/>
          </w:tcPr>
          <w:p w14:paraId="1BF83ADA">
            <w:pPr>
              <w:spacing w:line="240" w:lineRule="auto"/>
              <w:ind w:firstLine="0" w:firstLineChars="0"/>
              <w:jc w:val="center"/>
              <w:rPr>
                <w:sz w:val="21"/>
                <w:szCs w:val="21"/>
              </w:rPr>
            </w:pPr>
            <w:r>
              <w:rPr>
                <w:sz w:val="21"/>
                <w:szCs w:val="21"/>
              </w:rPr>
              <w:t>D2</w:t>
            </w:r>
          </w:p>
        </w:tc>
        <w:tc>
          <w:tcPr>
            <w:tcW w:w="2185" w:type="dxa"/>
            <w:shd w:val="clear" w:color="auto" w:fill="auto"/>
            <w:vAlign w:val="center"/>
          </w:tcPr>
          <w:p w14:paraId="1CF674CB">
            <w:pPr>
              <w:spacing w:line="240" w:lineRule="auto"/>
              <w:ind w:firstLine="0" w:firstLineChars="0"/>
              <w:jc w:val="center"/>
              <w:rPr>
                <w:sz w:val="21"/>
                <w:szCs w:val="21"/>
              </w:rPr>
            </w:pPr>
            <w:r>
              <w:rPr>
                <w:sz w:val="21"/>
                <w:szCs w:val="21"/>
              </w:rPr>
              <w:t>E1</w:t>
            </w:r>
          </w:p>
        </w:tc>
        <w:tc>
          <w:tcPr>
            <w:tcW w:w="2185" w:type="dxa"/>
            <w:shd w:val="clear" w:color="auto" w:fill="auto"/>
            <w:vAlign w:val="center"/>
          </w:tcPr>
          <w:p w14:paraId="35EB610B">
            <w:pPr>
              <w:spacing w:line="240" w:lineRule="auto"/>
              <w:ind w:firstLine="0" w:firstLineChars="0"/>
              <w:jc w:val="center"/>
              <w:rPr>
                <w:sz w:val="21"/>
                <w:szCs w:val="21"/>
              </w:rPr>
            </w:pPr>
            <w:r>
              <w:rPr>
                <w:sz w:val="21"/>
                <w:szCs w:val="21"/>
              </w:rPr>
              <w:t>E2</w:t>
            </w:r>
          </w:p>
        </w:tc>
        <w:tc>
          <w:tcPr>
            <w:tcW w:w="2185" w:type="dxa"/>
            <w:shd w:val="clear" w:color="auto" w:fill="FADAB5" w:themeFill="accent2" w:themeFillTint="66"/>
            <w:vAlign w:val="center"/>
          </w:tcPr>
          <w:p w14:paraId="21F6BFE9">
            <w:pPr>
              <w:spacing w:line="240" w:lineRule="auto"/>
              <w:ind w:firstLine="0" w:firstLineChars="0"/>
              <w:jc w:val="center"/>
              <w:rPr>
                <w:sz w:val="21"/>
                <w:szCs w:val="21"/>
              </w:rPr>
            </w:pPr>
            <w:r>
              <w:rPr>
                <w:sz w:val="21"/>
                <w:szCs w:val="21"/>
              </w:rPr>
              <w:t>E3</w:t>
            </w:r>
          </w:p>
        </w:tc>
      </w:tr>
      <w:tr w14:paraId="4FDA1F7A">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185" w:type="dxa"/>
            <w:shd w:val="clear" w:color="auto" w:fill="auto"/>
            <w:vAlign w:val="center"/>
          </w:tcPr>
          <w:p w14:paraId="64E9C46A">
            <w:pPr>
              <w:spacing w:line="240" w:lineRule="auto"/>
              <w:ind w:firstLine="0" w:firstLineChars="0"/>
              <w:jc w:val="center"/>
              <w:rPr>
                <w:sz w:val="21"/>
                <w:szCs w:val="21"/>
              </w:rPr>
            </w:pPr>
            <w:r>
              <w:rPr>
                <w:sz w:val="21"/>
                <w:szCs w:val="21"/>
              </w:rPr>
              <w:t>D3</w:t>
            </w:r>
          </w:p>
        </w:tc>
        <w:tc>
          <w:tcPr>
            <w:tcW w:w="2185" w:type="dxa"/>
            <w:shd w:val="clear" w:color="auto" w:fill="auto"/>
            <w:vAlign w:val="center"/>
          </w:tcPr>
          <w:p w14:paraId="7720F417">
            <w:pPr>
              <w:spacing w:line="240" w:lineRule="auto"/>
              <w:ind w:firstLine="0" w:firstLineChars="0"/>
              <w:jc w:val="center"/>
              <w:rPr>
                <w:sz w:val="21"/>
                <w:szCs w:val="21"/>
              </w:rPr>
            </w:pPr>
            <w:r>
              <w:rPr>
                <w:sz w:val="21"/>
                <w:szCs w:val="21"/>
              </w:rPr>
              <w:t>E2</w:t>
            </w:r>
          </w:p>
        </w:tc>
        <w:tc>
          <w:tcPr>
            <w:tcW w:w="2185" w:type="dxa"/>
            <w:shd w:val="clear" w:color="auto" w:fill="auto"/>
            <w:vAlign w:val="center"/>
          </w:tcPr>
          <w:p w14:paraId="4641118A">
            <w:pPr>
              <w:spacing w:line="240" w:lineRule="auto"/>
              <w:ind w:firstLine="0" w:firstLineChars="0"/>
              <w:jc w:val="center"/>
              <w:rPr>
                <w:sz w:val="21"/>
                <w:szCs w:val="21"/>
              </w:rPr>
            </w:pPr>
            <w:r>
              <w:rPr>
                <w:sz w:val="21"/>
                <w:szCs w:val="21"/>
              </w:rPr>
              <w:t>E2</w:t>
            </w:r>
          </w:p>
        </w:tc>
        <w:tc>
          <w:tcPr>
            <w:tcW w:w="2185" w:type="dxa"/>
            <w:shd w:val="clear" w:color="auto" w:fill="auto"/>
            <w:vAlign w:val="center"/>
          </w:tcPr>
          <w:p w14:paraId="494AA649">
            <w:pPr>
              <w:spacing w:line="240" w:lineRule="auto"/>
              <w:ind w:firstLine="0" w:firstLineChars="0"/>
              <w:jc w:val="center"/>
              <w:rPr>
                <w:sz w:val="21"/>
                <w:szCs w:val="21"/>
              </w:rPr>
            </w:pPr>
            <w:r>
              <w:rPr>
                <w:sz w:val="21"/>
                <w:szCs w:val="21"/>
              </w:rPr>
              <w:t>E3</w:t>
            </w:r>
          </w:p>
        </w:tc>
      </w:tr>
    </w:tbl>
    <w:p w14:paraId="34A6C7F9">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w:t>
      </w:r>
      <w:r>
        <w:rPr>
          <w:rFonts w:ascii="Times New Roman" w:hAnsi="Times New Roman" w:cs="Times New Roman"/>
          <w:bCs w:val="0"/>
        </w:rPr>
        <w:t>地下水功能敏感性分区</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1273"/>
        <w:gridCol w:w="7053"/>
      </w:tblGrid>
      <w:tr w14:paraId="1C46B52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1272" w:type="dxa"/>
            <w:vAlign w:val="center"/>
          </w:tcPr>
          <w:p w14:paraId="3E7084D1">
            <w:pPr>
              <w:pStyle w:val="171"/>
              <w:jc w:val="center"/>
              <w:rPr>
                <w:rFonts w:ascii="Times New Roman" w:hAnsi="Times New Roman"/>
                <w:b/>
                <w:sz w:val="21"/>
              </w:rPr>
            </w:pPr>
            <w:r>
              <w:rPr>
                <w:rFonts w:ascii="Times New Roman" w:hAnsi="Times New Roman"/>
                <w:b/>
                <w:sz w:val="21"/>
              </w:rPr>
              <w:t>敏感性</w:t>
            </w:r>
          </w:p>
        </w:tc>
        <w:tc>
          <w:tcPr>
            <w:tcW w:w="7044" w:type="dxa"/>
            <w:vAlign w:val="center"/>
          </w:tcPr>
          <w:p w14:paraId="7DA41F03">
            <w:pPr>
              <w:pStyle w:val="171"/>
              <w:jc w:val="center"/>
              <w:rPr>
                <w:rFonts w:ascii="Times New Roman" w:hAnsi="Times New Roman"/>
                <w:b/>
                <w:sz w:val="21"/>
              </w:rPr>
            </w:pPr>
            <w:r>
              <w:rPr>
                <w:rFonts w:ascii="Times New Roman" w:hAnsi="Times New Roman"/>
                <w:b/>
                <w:sz w:val="21"/>
              </w:rPr>
              <w:t>地下水环境敏感特征</w:t>
            </w:r>
          </w:p>
        </w:tc>
      </w:tr>
      <w:tr w14:paraId="3451B00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2" w:type="dxa"/>
            <w:vAlign w:val="center"/>
          </w:tcPr>
          <w:p w14:paraId="5FA10EDB">
            <w:pPr>
              <w:pStyle w:val="171"/>
              <w:jc w:val="center"/>
              <w:rPr>
                <w:rFonts w:ascii="Times New Roman" w:hAnsi="Times New Roman"/>
                <w:sz w:val="21"/>
              </w:rPr>
            </w:pPr>
            <w:r>
              <w:rPr>
                <w:rFonts w:ascii="Times New Roman" w:hAnsi="Times New Roman"/>
                <w:sz w:val="21"/>
              </w:rPr>
              <w:t>敏感G1</w:t>
            </w:r>
          </w:p>
        </w:tc>
        <w:tc>
          <w:tcPr>
            <w:tcW w:w="7044" w:type="dxa"/>
            <w:vAlign w:val="center"/>
          </w:tcPr>
          <w:p w14:paraId="40C3D867">
            <w:pPr>
              <w:pStyle w:val="171"/>
              <w:jc w:val="center"/>
              <w:rPr>
                <w:rFonts w:ascii="Times New Roman" w:hAnsi="Times New Roman"/>
                <w:sz w:val="21"/>
              </w:rPr>
            </w:pPr>
            <w:r>
              <w:rPr>
                <w:rFonts w:ascii="Times New Roman" w:hAnsi="Times New Roman"/>
                <w:sz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2597834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2" w:type="dxa"/>
            <w:vAlign w:val="center"/>
          </w:tcPr>
          <w:p w14:paraId="3CDAB065">
            <w:pPr>
              <w:pStyle w:val="171"/>
              <w:jc w:val="center"/>
              <w:rPr>
                <w:rFonts w:ascii="Times New Roman" w:hAnsi="Times New Roman"/>
                <w:sz w:val="21"/>
              </w:rPr>
            </w:pPr>
            <w:r>
              <w:rPr>
                <w:rFonts w:ascii="Times New Roman" w:hAnsi="Times New Roman"/>
                <w:sz w:val="21"/>
              </w:rPr>
              <w:t>较敏感G2</w:t>
            </w:r>
          </w:p>
        </w:tc>
        <w:tc>
          <w:tcPr>
            <w:tcW w:w="7044" w:type="dxa"/>
            <w:vAlign w:val="center"/>
          </w:tcPr>
          <w:p w14:paraId="2CADE0D8">
            <w:pPr>
              <w:pStyle w:val="171"/>
              <w:jc w:val="center"/>
              <w:rPr>
                <w:rFonts w:ascii="Times New Roman" w:hAnsi="Times New Roman"/>
                <w:sz w:val="21"/>
              </w:rPr>
            </w:pPr>
            <w:r>
              <w:rPr>
                <w:rFonts w:ascii="Times New Roman" w:hAnsi="Times New Roman"/>
                <w:sz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r>
      <w:tr w14:paraId="1F79E42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72" w:type="dxa"/>
            <w:vAlign w:val="center"/>
          </w:tcPr>
          <w:p w14:paraId="409324B6">
            <w:pPr>
              <w:pStyle w:val="171"/>
              <w:jc w:val="center"/>
              <w:rPr>
                <w:rFonts w:ascii="Times New Roman" w:hAnsi="Times New Roman"/>
                <w:sz w:val="21"/>
              </w:rPr>
            </w:pPr>
            <w:r>
              <w:rPr>
                <w:rFonts w:ascii="Times New Roman" w:hAnsi="Times New Roman"/>
                <w:sz w:val="21"/>
              </w:rPr>
              <w:t>不敏感G3</w:t>
            </w:r>
          </w:p>
        </w:tc>
        <w:tc>
          <w:tcPr>
            <w:tcW w:w="7044" w:type="dxa"/>
            <w:vAlign w:val="center"/>
          </w:tcPr>
          <w:p w14:paraId="67F43A9F">
            <w:pPr>
              <w:pStyle w:val="171"/>
              <w:jc w:val="center"/>
              <w:rPr>
                <w:rFonts w:ascii="Times New Roman" w:hAnsi="Times New Roman"/>
                <w:sz w:val="21"/>
              </w:rPr>
            </w:pPr>
            <w:r>
              <w:rPr>
                <w:rFonts w:ascii="Times New Roman" w:hAnsi="Times New Roman"/>
                <w:sz w:val="21"/>
              </w:rPr>
              <w:t>上述地区之外的其他地区。</w:t>
            </w:r>
          </w:p>
        </w:tc>
      </w:tr>
      <w:tr w14:paraId="1B00896F">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16" w:type="dxa"/>
            <w:gridSpan w:val="2"/>
            <w:vAlign w:val="center"/>
          </w:tcPr>
          <w:p w14:paraId="22330982">
            <w:pPr>
              <w:pStyle w:val="171"/>
              <w:jc w:val="center"/>
              <w:rPr>
                <w:rFonts w:ascii="Times New Roman" w:hAnsi="Times New Roman"/>
                <w:sz w:val="21"/>
              </w:rPr>
            </w:pPr>
            <w:r>
              <w:rPr>
                <w:rFonts w:ascii="Times New Roman" w:hAnsi="Times New Roman"/>
                <w:sz w:val="21"/>
              </w:rPr>
              <w:t>a “环境敏感区”是指《建设项目环境影响评价分类管理名录》中所界定的涉及地下水的环境敏感区</w:t>
            </w:r>
          </w:p>
        </w:tc>
      </w:tr>
    </w:tbl>
    <w:p w14:paraId="15BDE027">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包气带防污性能分级</w:t>
      </w:r>
    </w:p>
    <w:tbl>
      <w:tblPr>
        <w:tblStyle w:val="41"/>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7066"/>
      </w:tblGrid>
      <w:tr w14:paraId="19E1A2C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1255" w:type="dxa"/>
            <w:vAlign w:val="center"/>
          </w:tcPr>
          <w:p w14:paraId="5B47AAD8">
            <w:pPr>
              <w:pStyle w:val="171"/>
              <w:jc w:val="center"/>
              <w:rPr>
                <w:rFonts w:ascii="Times New Roman" w:hAnsi="Times New Roman"/>
                <w:b/>
                <w:bCs/>
                <w:sz w:val="21"/>
              </w:rPr>
            </w:pPr>
            <w:r>
              <w:rPr>
                <w:rFonts w:ascii="Times New Roman" w:hAnsi="Times New Roman"/>
                <w:b/>
                <w:bCs/>
                <w:sz w:val="21"/>
              </w:rPr>
              <w:t>分级</w:t>
            </w:r>
          </w:p>
        </w:tc>
        <w:tc>
          <w:tcPr>
            <w:tcW w:w="7041" w:type="dxa"/>
            <w:vAlign w:val="center"/>
          </w:tcPr>
          <w:p w14:paraId="6771F56F">
            <w:pPr>
              <w:pStyle w:val="171"/>
              <w:jc w:val="center"/>
              <w:rPr>
                <w:rFonts w:ascii="Times New Roman" w:hAnsi="Times New Roman"/>
                <w:b/>
                <w:bCs/>
                <w:sz w:val="21"/>
              </w:rPr>
            </w:pPr>
            <w:r>
              <w:rPr>
                <w:rFonts w:ascii="Times New Roman" w:hAnsi="Times New Roman"/>
                <w:b/>
                <w:bCs/>
                <w:sz w:val="21"/>
              </w:rPr>
              <w:t>包气带岩土的渗透性能</w:t>
            </w:r>
          </w:p>
        </w:tc>
      </w:tr>
      <w:tr w14:paraId="1AA0C337">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5" w:type="dxa"/>
            <w:vAlign w:val="center"/>
          </w:tcPr>
          <w:p w14:paraId="002E8503">
            <w:pPr>
              <w:pStyle w:val="171"/>
              <w:jc w:val="center"/>
              <w:rPr>
                <w:rFonts w:ascii="Times New Roman" w:hAnsi="Times New Roman"/>
                <w:sz w:val="21"/>
              </w:rPr>
            </w:pPr>
            <w:r>
              <w:rPr>
                <w:rFonts w:ascii="Times New Roman" w:hAnsi="Times New Roman"/>
                <w:sz w:val="21"/>
              </w:rPr>
              <w:t>D3</w:t>
            </w:r>
          </w:p>
        </w:tc>
        <w:tc>
          <w:tcPr>
            <w:tcW w:w="7041" w:type="dxa"/>
            <w:vAlign w:val="center"/>
          </w:tcPr>
          <w:p w14:paraId="13B179F7">
            <w:pPr>
              <w:pStyle w:val="171"/>
              <w:jc w:val="center"/>
              <w:rPr>
                <w:rFonts w:ascii="Times New Roman" w:hAnsi="Times New Roman"/>
                <w:sz w:val="21"/>
              </w:rPr>
            </w:pPr>
            <w:r>
              <w:rPr>
                <w:rFonts w:ascii="Times New Roman" w:hAnsi="Times New Roman"/>
                <w:sz w:val="21"/>
              </w:rPr>
              <w:t>Mb≥1.0m，K≤1.0×10</w:t>
            </w:r>
            <w:r>
              <w:rPr>
                <w:rFonts w:ascii="Times New Roman" w:hAnsi="Times New Roman"/>
                <w:sz w:val="21"/>
                <w:vertAlign w:val="superscript"/>
              </w:rPr>
              <w:t>-6</w:t>
            </w:r>
            <w:r>
              <w:rPr>
                <w:rFonts w:ascii="Times New Roman" w:hAnsi="Times New Roman"/>
                <w:sz w:val="21"/>
              </w:rPr>
              <w:t>cm/s，且分布连续、稳定</w:t>
            </w:r>
          </w:p>
        </w:tc>
      </w:tr>
      <w:tr w14:paraId="67364A1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5" w:type="dxa"/>
            <w:vAlign w:val="center"/>
          </w:tcPr>
          <w:p w14:paraId="246DC598">
            <w:pPr>
              <w:pStyle w:val="171"/>
              <w:jc w:val="center"/>
              <w:rPr>
                <w:rFonts w:ascii="Times New Roman" w:hAnsi="Times New Roman"/>
                <w:sz w:val="21"/>
              </w:rPr>
            </w:pPr>
            <w:r>
              <w:rPr>
                <w:rFonts w:ascii="Times New Roman" w:hAnsi="Times New Roman"/>
                <w:sz w:val="21"/>
              </w:rPr>
              <w:t>D2</w:t>
            </w:r>
          </w:p>
        </w:tc>
        <w:tc>
          <w:tcPr>
            <w:tcW w:w="7041" w:type="dxa"/>
            <w:vAlign w:val="center"/>
          </w:tcPr>
          <w:p w14:paraId="22420F20">
            <w:pPr>
              <w:pStyle w:val="171"/>
              <w:jc w:val="center"/>
              <w:rPr>
                <w:rFonts w:ascii="Times New Roman" w:hAnsi="Times New Roman"/>
                <w:sz w:val="21"/>
              </w:rPr>
            </w:pPr>
            <w:r>
              <w:rPr>
                <w:rFonts w:ascii="Times New Roman" w:hAnsi="Times New Roman"/>
                <w:sz w:val="21"/>
              </w:rPr>
              <w:t>0.5m≤Mb&lt;1.0m，K≤1.0×10</w:t>
            </w:r>
            <w:r>
              <w:rPr>
                <w:rFonts w:ascii="Times New Roman" w:hAnsi="Times New Roman"/>
                <w:sz w:val="21"/>
                <w:vertAlign w:val="superscript"/>
              </w:rPr>
              <w:t>-6</w:t>
            </w:r>
            <w:r>
              <w:rPr>
                <w:rFonts w:ascii="Times New Roman" w:hAnsi="Times New Roman"/>
                <w:sz w:val="21"/>
              </w:rPr>
              <w:t>cm/s，且分布连续、稳定</w:t>
            </w:r>
          </w:p>
          <w:p w14:paraId="5B4AFF70">
            <w:pPr>
              <w:pStyle w:val="171"/>
              <w:jc w:val="center"/>
              <w:rPr>
                <w:rFonts w:ascii="Times New Roman" w:hAnsi="Times New Roman"/>
                <w:sz w:val="21"/>
              </w:rPr>
            </w:pPr>
            <w:r>
              <w:rPr>
                <w:rFonts w:ascii="Times New Roman" w:hAnsi="Times New Roman"/>
                <w:sz w:val="21"/>
              </w:rPr>
              <w:t>Mb≥1.0m，1.0×10</w:t>
            </w:r>
            <w:r>
              <w:rPr>
                <w:rFonts w:ascii="Times New Roman" w:hAnsi="Times New Roman"/>
                <w:sz w:val="21"/>
                <w:vertAlign w:val="superscript"/>
              </w:rPr>
              <w:t>-6</w:t>
            </w:r>
            <w:r>
              <w:rPr>
                <w:rFonts w:ascii="Times New Roman" w:hAnsi="Times New Roman"/>
                <w:sz w:val="21"/>
              </w:rPr>
              <w:t>cm/s＜K≤1.0×10</w:t>
            </w:r>
            <w:r>
              <w:rPr>
                <w:rFonts w:ascii="Times New Roman" w:hAnsi="Times New Roman"/>
                <w:sz w:val="21"/>
                <w:vertAlign w:val="superscript"/>
              </w:rPr>
              <w:t>-4</w:t>
            </w:r>
            <w:r>
              <w:rPr>
                <w:rFonts w:ascii="Times New Roman" w:hAnsi="Times New Roman"/>
                <w:sz w:val="21"/>
              </w:rPr>
              <w:t>cm/s，且分布连续、稳定</w:t>
            </w:r>
          </w:p>
        </w:tc>
      </w:tr>
      <w:tr w14:paraId="2C022B9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5" w:type="dxa"/>
            <w:vAlign w:val="center"/>
          </w:tcPr>
          <w:p w14:paraId="28C575D4">
            <w:pPr>
              <w:pStyle w:val="171"/>
              <w:jc w:val="center"/>
              <w:rPr>
                <w:rFonts w:ascii="Times New Roman" w:hAnsi="Times New Roman"/>
                <w:sz w:val="21"/>
              </w:rPr>
            </w:pPr>
            <w:r>
              <w:rPr>
                <w:rFonts w:ascii="Times New Roman" w:hAnsi="Times New Roman"/>
                <w:sz w:val="21"/>
              </w:rPr>
              <w:t>D1</w:t>
            </w:r>
          </w:p>
        </w:tc>
        <w:tc>
          <w:tcPr>
            <w:tcW w:w="7041" w:type="dxa"/>
            <w:vAlign w:val="center"/>
          </w:tcPr>
          <w:p w14:paraId="3A460A33">
            <w:pPr>
              <w:pStyle w:val="171"/>
              <w:jc w:val="center"/>
              <w:rPr>
                <w:rFonts w:ascii="Times New Roman" w:hAnsi="Times New Roman"/>
                <w:sz w:val="21"/>
              </w:rPr>
            </w:pPr>
            <w:r>
              <w:rPr>
                <w:rFonts w:ascii="Times New Roman" w:hAnsi="Times New Roman"/>
                <w:sz w:val="21"/>
              </w:rPr>
              <w:t>岩（土）层不满足上述“D2”和“D3”条件</w:t>
            </w:r>
          </w:p>
        </w:tc>
      </w:tr>
      <w:tr w14:paraId="0EC9684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96" w:type="dxa"/>
            <w:gridSpan w:val="2"/>
            <w:vAlign w:val="center"/>
          </w:tcPr>
          <w:p w14:paraId="6A4FB46B">
            <w:pPr>
              <w:pStyle w:val="171"/>
              <w:jc w:val="center"/>
              <w:rPr>
                <w:rFonts w:ascii="Times New Roman" w:hAnsi="Times New Roman"/>
                <w:sz w:val="21"/>
                <w:szCs w:val="21"/>
              </w:rPr>
            </w:pPr>
            <w:r>
              <w:rPr>
                <w:rFonts w:ascii="Times New Roman" w:hAnsi="Times New Roman"/>
                <w:sz w:val="21"/>
                <w:szCs w:val="21"/>
              </w:rPr>
              <w:t>Mb：岩土层单层厚度。K：渗透系数。</w:t>
            </w:r>
          </w:p>
        </w:tc>
      </w:tr>
    </w:tbl>
    <w:p w14:paraId="11E7AB64">
      <w:pPr>
        <w:pStyle w:val="2"/>
        <w:spacing w:after="0"/>
        <w:ind w:firstLine="480"/>
      </w:pPr>
      <w:r>
        <w:rPr>
          <w:rFonts w:hint="eastAsia"/>
        </w:rPr>
        <w:t>根据风险导则4.5.3，本项目地下水风险的评价范围应根据《环境影响评价技术导则-地下水环境》（HJ610-2016）确定。本项目不在集中式饮用水源准保护区及以外的补给径流范围内，周围也无特殊地下水资源（如矿泉水、温泉等）保护区，所在区域不存在集中式饮用水源地及保护区，下游2km范围内也不存在分散式饮用水源，根据表6.3-9地下水功能敏感性分区中的分类，因此本项目地下水功能敏感性分区为不敏感G3。</w:t>
      </w:r>
    </w:p>
    <w:p w14:paraId="4D9249BE">
      <w:pPr>
        <w:pStyle w:val="2"/>
        <w:spacing w:after="0"/>
        <w:ind w:firstLine="480"/>
      </w:pPr>
      <w:r>
        <w:rPr>
          <w:rFonts w:hint="eastAsia"/>
          <w:u w:val="single"/>
        </w:rPr>
        <w:t>该项目厂址位于卫辉市铁西专业园区内，包气带岩性与卫辉市铁西专业园区（化工）包气带岩性相同，以粉质粘土为主、局部为卵石，因此本次包气带渗透系数直接引用《卫辉市铁西专业园区（化工）总体发展规划（2022-2035年）环境影响报告书》中数据，即包气带渗透系数为1.75×10</w:t>
      </w:r>
      <w:r>
        <w:rPr>
          <w:rFonts w:hint="eastAsia"/>
          <w:u w:val="single"/>
          <w:vertAlign w:val="superscript"/>
        </w:rPr>
        <w:t>-5</w:t>
      </w:r>
      <w:r>
        <w:rPr>
          <w:rFonts w:hint="eastAsia"/>
          <w:u w:val="single"/>
        </w:rPr>
        <w:t>～1.89×10</w:t>
      </w:r>
      <w:r>
        <w:rPr>
          <w:rFonts w:hint="eastAsia"/>
          <w:u w:val="single"/>
          <w:vertAlign w:val="superscript"/>
        </w:rPr>
        <w:t>-5</w:t>
      </w:r>
      <w:r>
        <w:rPr>
          <w:rFonts w:hint="eastAsia"/>
          <w:u w:val="single"/>
        </w:rPr>
        <w:t>cm/s之间，平均值为1.82×10</w:t>
      </w:r>
      <w:r>
        <w:rPr>
          <w:rFonts w:hint="eastAsia"/>
          <w:u w:val="single"/>
          <w:vertAlign w:val="superscript"/>
        </w:rPr>
        <w:t>-5</w:t>
      </w:r>
      <w:r>
        <w:rPr>
          <w:rFonts w:hint="eastAsia"/>
          <w:u w:val="single"/>
        </w:rPr>
        <w:t>cm/s，包气带防污性能分区为D2。</w:t>
      </w:r>
    </w:p>
    <w:p w14:paraId="4797EB03">
      <w:pPr>
        <w:ind w:firstLine="480"/>
      </w:pPr>
      <w:r>
        <w:rPr>
          <w:rFonts w:hint="eastAsia"/>
        </w:rPr>
        <w:t>根据表6.2-8地下水环境敏感程度分级，本项目地下水环境属于环境高度敏感区E3。</w:t>
      </w:r>
    </w:p>
    <w:p w14:paraId="1CEB3170">
      <w:pPr>
        <w:pStyle w:val="200"/>
        <w:numPr>
          <w:ilvl w:val="0"/>
          <w:numId w:val="40"/>
        </w:numPr>
        <w:ind w:left="726" w:hanging="442"/>
        <w:rPr>
          <w:rFonts w:ascii="Times New Roman" w:hAnsi="Times New Roman" w:eastAsia="楷体" w:cs="Times New Roman"/>
          <w:bCs/>
        </w:rPr>
      </w:pPr>
      <w:r>
        <w:rPr>
          <w:rFonts w:hint="eastAsia"/>
        </w:rPr>
        <w:t>环境风险潜势判断</w:t>
      </w:r>
    </w:p>
    <w:p w14:paraId="3BA30675">
      <w:pPr>
        <w:ind w:firstLine="480"/>
      </w:pPr>
      <w:r>
        <w:t>建设项目环境风险潜势划分为Ⅰ、Ⅱ、Ⅲ、Ⅳ/Ⅳ+级。根据建设项目涉及的物质和工艺系统的危险性及其所在地的环境敏感程度，结合事故情形下环境影响途径，分别按照大气环境、地表水环境、地下水环境等各要素对建设项目潜在环境危害程度进行概化分析，按照下表确定环境风险潜势。</w:t>
      </w:r>
    </w:p>
    <w:p w14:paraId="1EAA8253">
      <w:pPr>
        <w:pStyle w:val="183"/>
        <w:numPr>
          <w:ilvl w:val="7"/>
          <w:numId w:val="41"/>
        </w:numPr>
        <w:ind w:left="0" w:firstLine="480" w:firstLineChars="200"/>
        <w:rPr>
          <w:rFonts w:ascii="Times New Roman" w:hAnsi="Times New Roman" w:cs="Times New Roman"/>
          <w:bCs w:val="0"/>
        </w:rPr>
      </w:pPr>
      <w:r>
        <w:rPr>
          <w:rFonts w:hint="eastAsia" w:ascii="Times New Roman" w:hAnsi="Times New Roman" w:cs="Times New Roman"/>
          <w:bCs w:val="0"/>
        </w:rPr>
        <w:t xml:space="preserve">        建设项目环境风险潜势划分</w:t>
      </w:r>
    </w:p>
    <w:tbl>
      <w:tblPr>
        <w:tblStyle w:val="4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83"/>
        <w:gridCol w:w="1523"/>
        <w:gridCol w:w="1523"/>
        <w:gridCol w:w="1523"/>
        <w:gridCol w:w="1573"/>
      </w:tblGrid>
      <w:tr w14:paraId="7DE7A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175" w:type="dxa"/>
            <w:vMerge w:val="restart"/>
            <w:vAlign w:val="center"/>
          </w:tcPr>
          <w:p w14:paraId="1F7D1835">
            <w:pPr>
              <w:spacing w:line="360" w:lineRule="exact"/>
              <w:ind w:firstLine="0" w:firstLineChars="0"/>
              <w:jc w:val="center"/>
              <w:rPr>
                <w:b/>
                <w:sz w:val="21"/>
                <w:szCs w:val="21"/>
              </w:rPr>
            </w:pPr>
            <w:r>
              <w:rPr>
                <w:b/>
                <w:sz w:val="21"/>
                <w:szCs w:val="21"/>
              </w:rPr>
              <w:t>环境敏感程度（E）</w:t>
            </w:r>
          </w:p>
        </w:tc>
        <w:tc>
          <w:tcPr>
            <w:tcW w:w="6121" w:type="dxa"/>
            <w:gridSpan w:val="4"/>
            <w:vAlign w:val="center"/>
          </w:tcPr>
          <w:p w14:paraId="1D165C82">
            <w:pPr>
              <w:spacing w:line="360" w:lineRule="exact"/>
              <w:ind w:firstLine="0" w:firstLineChars="0"/>
              <w:jc w:val="center"/>
              <w:rPr>
                <w:b/>
                <w:sz w:val="21"/>
                <w:szCs w:val="21"/>
              </w:rPr>
            </w:pPr>
            <w:r>
              <w:rPr>
                <w:b/>
                <w:sz w:val="21"/>
                <w:szCs w:val="21"/>
              </w:rPr>
              <w:t>危险物质及工艺系统危险性（P）</w:t>
            </w:r>
          </w:p>
        </w:tc>
      </w:tr>
      <w:tr w14:paraId="1FF62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175" w:type="dxa"/>
            <w:vMerge w:val="continue"/>
            <w:vAlign w:val="center"/>
          </w:tcPr>
          <w:p w14:paraId="3A8B2D07">
            <w:pPr>
              <w:spacing w:line="360" w:lineRule="exact"/>
              <w:ind w:firstLine="0" w:firstLineChars="0"/>
              <w:jc w:val="center"/>
              <w:rPr>
                <w:b/>
                <w:sz w:val="21"/>
                <w:szCs w:val="21"/>
              </w:rPr>
            </w:pPr>
          </w:p>
        </w:tc>
        <w:tc>
          <w:tcPr>
            <w:tcW w:w="1518" w:type="dxa"/>
            <w:vAlign w:val="center"/>
          </w:tcPr>
          <w:p w14:paraId="084B32CC">
            <w:pPr>
              <w:spacing w:line="360" w:lineRule="exact"/>
              <w:ind w:firstLine="0" w:firstLineChars="0"/>
              <w:jc w:val="center"/>
              <w:rPr>
                <w:b/>
                <w:sz w:val="21"/>
                <w:szCs w:val="21"/>
              </w:rPr>
            </w:pPr>
            <w:r>
              <w:rPr>
                <w:b/>
                <w:sz w:val="21"/>
                <w:szCs w:val="21"/>
              </w:rPr>
              <w:t>极高危害（P1）</w:t>
            </w:r>
          </w:p>
        </w:tc>
        <w:tc>
          <w:tcPr>
            <w:tcW w:w="1518" w:type="dxa"/>
            <w:vAlign w:val="center"/>
          </w:tcPr>
          <w:p w14:paraId="47E87A00">
            <w:pPr>
              <w:spacing w:line="360" w:lineRule="exact"/>
              <w:ind w:firstLine="0" w:firstLineChars="0"/>
              <w:jc w:val="center"/>
              <w:rPr>
                <w:b/>
                <w:sz w:val="21"/>
                <w:szCs w:val="21"/>
              </w:rPr>
            </w:pPr>
            <w:r>
              <w:rPr>
                <w:b/>
                <w:sz w:val="21"/>
                <w:szCs w:val="21"/>
              </w:rPr>
              <w:t>高度危害（P2）</w:t>
            </w:r>
          </w:p>
        </w:tc>
        <w:tc>
          <w:tcPr>
            <w:tcW w:w="1518" w:type="dxa"/>
            <w:vAlign w:val="center"/>
          </w:tcPr>
          <w:p w14:paraId="3C9D2D30">
            <w:pPr>
              <w:spacing w:line="360" w:lineRule="exact"/>
              <w:ind w:firstLine="0" w:firstLineChars="0"/>
              <w:jc w:val="center"/>
              <w:rPr>
                <w:b/>
                <w:sz w:val="21"/>
                <w:szCs w:val="21"/>
              </w:rPr>
            </w:pPr>
            <w:r>
              <w:rPr>
                <w:b/>
                <w:sz w:val="21"/>
                <w:szCs w:val="21"/>
              </w:rPr>
              <w:t>中度危害（P3）</w:t>
            </w:r>
          </w:p>
        </w:tc>
        <w:tc>
          <w:tcPr>
            <w:tcW w:w="1567" w:type="dxa"/>
            <w:vAlign w:val="center"/>
          </w:tcPr>
          <w:p w14:paraId="74DB6672">
            <w:pPr>
              <w:spacing w:line="360" w:lineRule="exact"/>
              <w:ind w:firstLine="0" w:firstLineChars="0"/>
              <w:jc w:val="center"/>
              <w:rPr>
                <w:b/>
                <w:sz w:val="21"/>
                <w:szCs w:val="21"/>
              </w:rPr>
            </w:pPr>
            <w:r>
              <w:rPr>
                <w:b/>
                <w:sz w:val="21"/>
                <w:szCs w:val="21"/>
              </w:rPr>
              <w:t>轻度危害（P4）</w:t>
            </w:r>
          </w:p>
        </w:tc>
      </w:tr>
      <w:tr w14:paraId="6F8E2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175" w:type="dxa"/>
            <w:vAlign w:val="center"/>
          </w:tcPr>
          <w:p w14:paraId="4111B286">
            <w:pPr>
              <w:spacing w:line="360" w:lineRule="exact"/>
              <w:ind w:firstLine="0" w:firstLineChars="0"/>
              <w:jc w:val="center"/>
              <w:rPr>
                <w:sz w:val="21"/>
                <w:szCs w:val="21"/>
              </w:rPr>
            </w:pPr>
            <w:r>
              <w:rPr>
                <w:sz w:val="21"/>
                <w:szCs w:val="21"/>
              </w:rPr>
              <w:t>环境高度敏感区（E1）</w:t>
            </w:r>
          </w:p>
        </w:tc>
        <w:tc>
          <w:tcPr>
            <w:tcW w:w="1518" w:type="dxa"/>
            <w:vAlign w:val="center"/>
          </w:tcPr>
          <w:p w14:paraId="5EFA9EBC">
            <w:pPr>
              <w:spacing w:line="360" w:lineRule="exact"/>
              <w:ind w:firstLine="0" w:firstLineChars="0"/>
              <w:jc w:val="center"/>
              <w:rPr>
                <w:sz w:val="21"/>
                <w:szCs w:val="21"/>
              </w:rPr>
            </w:pPr>
            <w:r>
              <w:rPr>
                <w:sz w:val="21"/>
                <w:szCs w:val="21"/>
              </w:rPr>
              <w:t>Ⅳ</w:t>
            </w:r>
            <w:r>
              <w:rPr>
                <w:sz w:val="21"/>
                <w:szCs w:val="21"/>
                <w:vertAlign w:val="superscript"/>
              </w:rPr>
              <w:t>+</w:t>
            </w:r>
          </w:p>
        </w:tc>
        <w:tc>
          <w:tcPr>
            <w:tcW w:w="1518" w:type="dxa"/>
            <w:vAlign w:val="center"/>
          </w:tcPr>
          <w:p w14:paraId="4FA88D41">
            <w:pPr>
              <w:spacing w:line="360" w:lineRule="exact"/>
              <w:ind w:firstLine="0" w:firstLineChars="0"/>
              <w:jc w:val="center"/>
              <w:rPr>
                <w:sz w:val="21"/>
                <w:szCs w:val="21"/>
              </w:rPr>
            </w:pPr>
            <w:r>
              <w:rPr>
                <w:sz w:val="21"/>
                <w:szCs w:val="21"/>
              </w:rPr>
              <w:t>Ⅳ</w:t>
            </w:r>
          </w:p>
        </w:tc>
        <w:tc>
          <w:tcPr>
            <w:tcW w:w="1518" w:type="dxa"/>
            <w:shd w:val="clear" w:color="auto" w:fill="auto"/>
            <w:vAlign w:val="center"/>
          </w:tcPr>
          <w:p w14:paraId="103FD33A">
            <w:pPr>
              <w:spacing w:line="360" w:lineRule="exact"/>
              <w:ind w:firstLine="0" w:firstLineChars="0"/>
              <w:jc w:val="center"/>
              <w:rPr>
                <w:sz w:val="21"/>
                <w:szCs w:val="21"/>
              </w:rPr>
            </w:pPr>
            <w:r>
              <w:rPr>
                <w:sz w:val="21"/>
                <w:szCs w:val="21"/>
              </w:rPr>
              <w:t>Ⅲ</w:t>
            </w:r>
          </w:p>
        </w:tc>
        <w:tc>
          <w:tcPr>
            <w:tcW w:w="1567" w:type="dxa"/>
            <w:vAlign w:val="center"/>
          </w:tcPr>
          <w:p w14:paraId="7B971F06">
            <w:pPr>
              <w:spacing w:line="360" w:lineRule="exact"/>
              <w:ind w:firstLine="0" w:firstLineChars="0"/>
              <w:jc w:val="center"/>
              <w:rPr>
                <w:sz w:val="21"/>
                <w:szCs w:val="21"/>
              </w:rPr>
            </w:pPr>
            <w:r>
              <w:rPr>
                <w:sz w:val="21"/>
                <w:szCs w:val="21"/>
              </w:rPr>
              <w:t>Ⅲ</w:t>
            </w:r>
          </w:p>
        </w:tc>
      </w:tr>
      <w:tr w14:paraId="1F3D5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175" w:type="dxa"/>
            <w:vAlign w:val="center"/>
          </w:tcPr>
          <w:p w14:paraId="3BEA8585">
            <w:pPr>
              <w:spacing w:line="360" w:lineRule="exact"/>
              <w:ind w:firstLine="0" w:firstLineChars="0"/>
              <w:jc w:val="center"/>
              <w:rPr>
                <w:sz w:val="21"/>
                <w:szCs w:val="21"/>
              </w:rPr>
            </w:pPr>
            <w:r>
              <w:rPr>
                <w:sz w:val="21"/>
                <w:szCs w:val="21"/>
              </w:rPr>
              <w:t>环境中度敏感区（E2）</w:t>
            </w:r>
          </w:p>
        </w:tc>
        <w:tc>
          <w:tcPr>
            <w:tcW w:w="1518" w:type="dxa"/>
            <w:vAlign w:val="center"/>
          </w:tcPr>
          <w:p w14:paraId="2F1109DF">
            <w:pPr>
              <w:spacing w:line="360" w:lineRule="exact"/>
              <w:ind w:firstLine="0" w:firstLineChars="0"/>
              <w:jc w:val="center"/>
              <w:rPr>
                <w:sz w:val="21"/>
                <w:szCs w:val="21"/>
              </w:rPr>
            </w:pPr>
            <w:r>
              <w:rPr>
                <w:sz w:val="21"/>
                <w:szCs w:val="21"/>
              </w:rPr>
              <w:t>Ⅳ</w:t>
            </w:r>
          </w:p>
        </w:tc>
        <w:tc>
          <w:tcPr>
            <w:tcW w:w="1518" w:type="dxa"/>
            <w:vAlign w:val="center"/>
          </w:tcPr>
          <w:p w14:paraId="3BB47F96">
            <w:pPr>
              <w:spacing w:line="360" w:lineRule="exact"/>
              <w:ind w:firstLine="0" w:firstLineChars="0"/>
              <w:jc w:val="center"/>
              <w:rPr>
                <w:sz w:val="21"/>
                <w:szCs w:val="21"/>
              </w:rPr>
            </w:pPr>
            <w:r>
              <w:rPr>
                <w:sz w:val="21"/>
                <w:szCs w:val="21"/>
              </w:rPr>
              <w:t>Ⅲ</w:t>
            </w:r>
          </w:p>
        </w:tc>
        <w:tc>
          <w:tcPr>
            <w:tcW w:w="1518" w:type="dxa"/>
            <w:vAlign w:val="center"/>
          </w:tcPr>
          <w:p w14:paraId="168F7396">
            <w:pPr>
              <w:spacing w:line="360" w:lineRule="exact"/>
              <w:ind w:firstLine="0" w:firstLineChars="0"/>
              <w:jc w:val="center"/>
              <w:rPr>
                <w:sz w:val="21"/>
                <w:szCs w:val="21"/>
              </w:rPr>
            </w:pPr>
            <w:r>
              <w:rPr>
                <w:sz w:val="21"/>
                <w:szCs w:val="21"/>
              </w:rPr>
              <w:t>Ⅲ</w:t>
            </w:r>
          </w:p>
        </w:tc>
        <w:tc>
          <w:tcPr>
            <w:tcW w:w="1567" w:type="dxa"/>
            <w:vAlign w:val="center"/>
          </w:tcPr>
          <w:p w14:paraId="18521005">
            <w:pPr>
              <w:spacing w:line="360" w:lineRule="exact"/>
              <w:ind w:firstLine="0" w:firstLineChars="0"/>
              <w:jc w:val="center"/>
              <w:rPr>
                <w:sz w:val="21"/>
                <w:szCs w:val="21"/>
              </w:rPr>
            </w:pPr>
            <w:r>
              <w:rPr>
                <w:sz w:val="21"/>
                <w:szCs w:val="21"/>
              </w:rPr>
              <w:t>Ⅱ</w:t>
            </w:r>
          </w:p>
        </w:tc>
      </w:tr>
      <w:tr w14:paraId="305CA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175" w:type="dxa"/>
            <w:vAlign w:val="center"/>
          </w:tcPr>
          <w:p w14:paraId="0E5C4E20">
            <w:pPr>
              <w:spacing w:line="360" w:lineRule="exact"/>
              <w:ind w:firstLine="0" w:firstLineChars="0"/>
              <w:jc w:val="center"/>
              <w:rPr>
                <w:sz w:val="21"/>
                <w:szCs w:val="21"/>
              </w:rPr>
            </w:pPr>
            <w:r>
              <w:rPr>
                <w:sz w:val="21"/>
                <w:szCs w:val="21"/>
              </w:rPr>
              <w:t>环境低度敏感区（E3）</w:t>
            </w:r>
          </w:p>
        </w:tc>
        <w:tc>
          <w:tcPr>
            <w:tcW w:w="1518" w:type="dxa"/>
            <w:vAlign w:val="center"/>
          </w:tcPr>
          <w:p w14:paraId="062DDDA5">
            <w:pPr>
              <w:spacing w:line="360" w:lineRule="exact"/>
              <w:ind w:firstLine="0" w:firstLineChars="0"/>
              <w:jc w:val="center"/>
              <w:rPr>
                <w:sz w:val="21"/>
                <w:szCs w:val="21"/>
              </w:rPr>
            </w:pPr>
            <w:r>
              <w:rPr>
                <w:sz w:val="21"/>
                <w:szCs w:val="21"/>
              </w:rPr>
              <w:t>Ⅲ</w:t>
            </w:r>
          </w:p>
        </w:tc>
        <w:tc>
          <w:tcPr>
            <w:tcW w:w="1518" w:type="dxa"/>
            <w:vAlign w:val="center"/>
          </w:tcPr>
          <w:p w14:paraId="289CC960">
            <w:pPr>
              <w:spacing w:line="360" w:lineRule="exact"/>
              <w:ind w:firstLine="0" w:firstLineChars="0"/>
              <w:jc w:val="center"/>
              <w:rPr>
                <w:sz w:val="21"/>
                <w:szCs w:val="21"/>
              </w:rPr>
            </w:pPr>
            <w:r>
              <w:rPr>
                <w:sz w:val="21"/>
                <w:szCs w:val="21"/>
              </w:rPr>
              <w:t>Ⅲ</w:t>
            </w:r>
          </w:p>
        </w:tc>
        <w:tc>
          <w:tcPr>
            <w:tcW w:w="1518" w:type="dxa"/>
            <w:vAlign w:val="center"/>
          </w:tcPr>
          <w:p w14:paraId="21E637D3">
            <w:pPr>
              <w:spacing w:line="360" w:lineRule="exact"/>
              <w:ind w:firstLine="0" w:firstLineChars="0"/>
              <w:jc w:val="center"/>
              <w:rPr>
                <w:sz w:val="21"/>
                <w:szCs w:val="21"/>
              </w:rPr>
            </w:pPr>
            <w:r>
              <w:rPr>
                <w:sz w:val="21"/>
                <w:szCs w:val="21"/>
              </w:rPr>
              <w:t>Ⅱ</w:t>
            </w:r>
          </w:p>
        </w:tc>
        <w:tc>
          <w:tcPr>
            <w:tcW w:w="1567" w:type="dxa"/>
            <w:vAlign w:val="center"/>
          </w:tcPr>
          <w:p w14:paraId="17F86C3A">
            <w:pPr>
              <w:spacing w:line="360" w:lineRule="exact"/>
              <w:ind w:firstLine="0" w:firstLineChars="0"/>
              <w:jc w:val="center"/>
              <w:rPr>
                <w:sz w:val="21"/>
                <w:szCs w:val="21"/>
              </w:rPr>
            </w:pPr>
            <w:r>
              <w:rPr>
                <w:sz w:val="21"/>
                <w:szCs w:val="21"/>
              </w:rPr>
              <w:t>Ⅰ</w:t>
            </w:r>
          </w:p>
        </w:tc>
      </w:tr>
      <w:tr w14:paraId="41318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296" w:type="dxa"/>
            <w:gridSpan w:val="5"/>
            <w:vAlign w:val="center"/>
          </w:tcPr>
          <w:p w14:paraId="6D7F2168">
            <w:pPr>
              <w:spacing w:line="360" w:lineRule="exact"/>
              <w:ind w:firstLine="0" w:firstLineChars="0"/>
              <w:jc w:val="center"/>
              <w:rPr>
                <w:sz w:val="21"/>
                <w:szCs w:val="21"/>
              </w:rPr>
            </w:pPr>
            <w:r>
              <w:rPr>
                <w:sz w:val="21"/>
                <w:szCs w:val="21"/>
              </w:rPr>
              <w:t>注：Ⅳ+为极高环境风险</w:t>
            </w:r>
          </w:p>
        </w:tc>
      </w:tr>
    </w:tbl>
    <w:p w14:paraId="700EA108">
      <w:pPr>
        <w:ind w:firstLine="480"/>
      </w:pPr>
      <w:r>
        <w:rPr>
          <w:rFonts w:hint="eastAsia"/>
        </w:rPr>
        <w:t>根据前述分析，本次工程危险物质及工艺系统危险性（P）分级为</w:t>
      </w:r>
      <w:r>
        <w:rPr>
          <w:rFonts w:hint="eastAsia"/>
          <w:u w:val="single"/>
        </w:rPr>
        <w:t>P3，大气环境属于环境高度敏感区E1，地表水环境属于环境低度敏感区E3，地下水环境属于环境低度敏感区E3。由表6.2-11可知，</w:t>
      </w:r>
      <w:r>
        <w:rPr>
          <w:u w:val="single"/>
        </w:rPr>
        <w:t>本次工程大气环境风险潜势为Ⅲ级、地表水环境风险潜势为</w:t>
      </w:r>
      <w:r>
        <w:rPr>
          <w:szCs w:val="24"/>
          <w:u w:val="single"/>
        </w:rPr>
        <w:t>Ⅱ级、地下水环境风险潜势为Ⅱ级</w:t>
      </w:r>
      <w:r>
        <w:rPr>
          <w:u w:val="single"/>
        </w:rPr>
        <w:t>。</w:t>
      </w:r>
    </w:p>
    <w:p w14:paraId="27324309">
      <w:pPr>
        <w:ind w:firstLine="480"/>
      </w:pPr>
      <w:r>
        <w:rPr>
          <w:rFonts w:hint="eastAsia"/>
        </w:rPr>
        <w:t>根据《建设项目环境风险评价技术导则》（HJ169-2018），建设项目环境风险潜势综合等级取各要素等级的相对高值。因此，确定本次工程环境风险潜势综合等级为</w:t>
      </w:r>
      <w:r>
        <w:t>Ⅲ</w:t>
      </w:r>
      <w:r>
        <w:rPr>
          <w:rFonts w:hint="eastAsia"/>
        </w:rPr>
        <w:t>级。</w:t>
      </w:r>
    </w:p>
    <w:p w14:paraId="6615CFBE">
      <w:pPr>
        <w:pStyle w:val="4"/>
        <w:spacing w:before="120" w:after="120"/>
        <w:rPr>
          <w:rFonts w:eastAsia="楷体"/>
          <w:bCs/>
          <w:sz w:val="28"/>
          <w:szCs w:val="28"/>
        </w:rPr>
      </w:pPr>
      <w:bookmarkStart w:id="329" w:name="_Toc176105879"/>
      <w:r>
        <w:rPr>
          <w:rFonts w:eastAsia="楷体"/>
          <w:bCs/>
          <w:sz w:val="28"/>
          <w:szCs w:val="28"/>
        </w:rPr>
        <w:t>风险等级确定</w:t>
      </w:r>
      <w:bookmarkEnd w:id="329"/>
    </w:p>
    <w:p w14:paraId="3B2BEB9C">
      <w:pPr>
        <w:pStyle w:val="2"/>
        <w:spacing w:after="0"/>
        <w:ind w:firstLine="480"/>
      </w:pPr>
      <w:r>
        <w:rPr>
          <w:szCs w:val="24"/>
        </w:rPr>
        <w:t>环境风险评价工作等级划分为一级、二级、三级。</w:t>
      </w:r>
      <w:r>
        <w:rPr>
          <w:rFonts w:hint="eastAsia"/>
          <w:szCs w:val="24"/>
        </w:rPr>
        <w:t>根据建设项目设计的物质及工艺系统危险性和所在地的环境敏感性确定环境风险潜势，对照《建设项目环境风险评价技术导则》（HJ169-2018），确定项目风险评价等级</w:t>
      </w:r>
      <w:r>
        <w:rPr>
          <w:szCs w:val="24"/>
        </w:rPr>
        <w:t>。</w:t>
      </w:r>
    </w:p>
    <w:p w14:paraId="1EFA9757">
      <w:pPr>
        <w:pStyle w:val="183"/>
        <w:ind w:left="480" w:firstLine="0"/>
        <w:rPr>
          <w:rFonts w:ascii="Times New Roman" w:hAnsi="Times New Roman" w:cs="Times New Roman"/>
          <w:bCs w:val="0"/>
        </w:rPr>
      </w:pPr>
      <w:r>
        <w:rPr>
          <w:rFonts w:hint="eastAsia" w:ascii="Times New Roman" w:hAnsi="Times New Roman" w:cs="Times New Roman"/>
          <w:bCs w:val="0"/>
        </w:rPr>
        <w:t>表6.4-1</w:t>
      </w:r>
      <w:r>
        <w:rPr>
          <w:rFonts w:ascii="Times New Roman" w:hAnsi="Times New Roman" w:cs="Times New Roman"/>
          <w:bCs w:val="0"/>
        </w:rPr>
        <w:t xml:space="preserve">          </w:t>
      </w:r>
      <w:r>
        <w:rPr>
          <w:rFonts w:hint="eastAsia" w:ascii="Times New Roman" w:hAnsi="Times New Roman" w:cs="Times New Roman"/>
          <w:bCs w:val="0"/>
        </w:rPr>
        <w:t>环境风险评价工作级别判定</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619"/>
        <w:gridCol w:w="1525"/>
        <w:gridCol w:w="1755"/>
        <w:gridCol w:w="1755"/>
        <w:gridCol w:w="1671"/>
      </w:tblGrid>
      <w:tr w14:paraId="02BBB1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11" w:type="dxa"/>
            <w:tcBorders>
              <w:tl2br w:val="nil"/>
              <w:tr2bl w:val="nil"/>
            </w:tcBorders>
            <w:vAlign w:val="center"/>
          </w:tcPr>
          <w:p w14:paraId="0E8CAC04">
            <w:pPr>
              <w:pStyle w:val="171"/>
              <w:jc w:val="center"/>
              <w:rPr>
                <w:rFonts w:ascii="Times New Roman" w:hAnsi="Times New Roman"/>
                <w:sz w:val="21"/>
                <w:szCs w:val="18"/>
              </w:rPr>
            </w:pPr>
            <w:r>
              <w:rPr>
                <w:rFonts w:ascii="Times New Roman" w:hAnsi="Times New Roman"/>
                <w:sz w:val="21"/>
                <w:szCs w:val="18"/>
              </w:rPr>
              <w:t>环境风险潜势</w:t>
            </w:r>
          </w:p>
        </w:tc>
        <w:tc>
          <w:tcPr>
            <w:tcW w:w="1518" w:type="dxa"/>
            <w:tcBorders>
              <w:tl2br w:val="nil"/>
              <w:tr2bl w:val="nil"/>
            </w:tcBorders>
            <w:vAlign w:val="center"/>
          </w:tcPr>
          <w:p w14:paraId="45AFCCE6">
            <w:pPr>
              <w:pStyle w:val="171"/>
              <w:jc w:val="center"/>
              <w:rPr>
                <w:rFonts w:ascii="Times New Roman" w:hAnsi="Times New Roman"/>
                <w:sz w:val="21"/>
                <w:szCs w:val="18"/>
              </w:rPr>
            </w:pPr>
            <w:r>
              <w:rPr>
                <w:rFonts w:ascii="Times New Roman" w:hAnsi="Times New Roman"/>
                <w:sz w:val="21"/>
                <w:szCs w:val="18"/>
              </w:rPr>
              <w:t>Ⅳ、Ⅳ</w:t>
            </w:r>
            <w:r>
              <w:rPr>
                <w:rFonts w:ascii="Times New Roman" w:hAnsi="Times New Roman"/>
                <w:sz w:val="21"/>
                <w:szCs w:val="18"/>
                <w:vertAlign w:val="superscript"/>
              </w:rPr>
              <w:t>+</w:t>
            </w:r>
          </w:p>
        </w:tc>
        <w:tc>
          <w:tcPr>
            <w:tcW w:w="1747" w:type="dxa"/>
            <w:tcBorders>
              <w:tl2br w:val="nil"/>
              <w:tr2bl w:val="nil"/>
            </w:tcBorders>
            <w:vAlign w:val="center"/>
          </w:tcPr>
          <w:p w14:paraId="04547D48">
            <w:pPr>
              <w:pStyle w:val="171"/>
              <w:jc w:val="center"/>
              <w:rPr>
                <w:rFonts w:ascii="Times New Roman" w:hAnsi="Times New Roman"/>
                <w:sz w:val="21"/>
                <w:szCs w:val="18"/>
              </w:rPr>
            </w:pPr>
            <w:r>
              <w:rPr>
                <w:rFonts w:ascii="Times New Roman" w:hAnsi="Times New Roman"/>
                <w:sz w:val="21"/>
                <w:szCs w:val="18"/>
              </w:rPr>
              <w:t>Ⅲ</w:t>
            </w:r>
          </w:p>
        </w:tc>
        <w:tc>
          <w:tcPr>
            <w:tcW w:w="1747" w:type="dxa"/>
            <w:tcBorders>
              <w:tl2br w:val="nil"/>
              <w:tr2bl w:val="nil"/>
            </w:tcBorders>
            <w:vAlign w:val="center"/>
          </w:tcPr>
          <w:p w14:paraId="3856F1F2">
            <w:pPr>
              <w:pStyle w:val="171"/>
              <w:jc w:val="center"/>
              <w:rPr>
                <w:rFonts w:ascii="Times New Roman" w:hAnsi="Times New Roman"/>
                <w:sz w:val="21"/>
                <w:szCs w:val="18"/>
              </w:rPr>
            </w:pPr>
            <w:r>
              <w:rPr>
                <w:rFonts w:ascii="Times New Roman" w:hAnsi="Times New Roman"/>
                <w:sz w:val="21"/>
                <w:szCs w:val="18"/>
              </w:rPr>
              <w:t>Ⅱ</w:t>
            </w:r>
          </w:p>
        </w:tc>
        <w:tc>
          <w:tcPr>
            <w:tcW w:w="1663" w:type="dxa"/>
            <w:tcBorders>
              <w:tl2br w:val="nil"/>
              <w:tr2bl w:val="nil"/>
            </w:tcBorders>
            <w:vAlign w:val="center"/>
          </w:tcPr>
          <w:p w14:paraId="7A8CB2FE">
            <w:pPr>
              <w:pStyle w:val="171"/>
              <w:jc w:val="center"/>
              <w:rPr>
                <w:rFonts w:ascii="Times New Roman" w:hAnsi="Times New Roman"/>
                <w:sz w:val="21"/>
                <w:szCs w:val="18"/>
              </w:rPr>
            </w:pPr>
            <w:r>
              <w:rPr>
                <w:rFonts w:ascii="Times New Roman" w:hAnsi="Times New Roman"/>
                <w:sz w:val="21"/>
                <w:szCs w:val="18"/>
              </w:rPr>
              <w:t>Ⅰ</w:t>
            </w:r>
          </w:p>
        </w:tc>
      </w:tr>
      <w:tr w14:paraId="52388A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11" w:type="dxa"/>
            <w:tcBorders>
              <w:tl2br w:val="nil"/>
              <w:tr2bl w:val="nil"/>
            </w:tcBorders>
            <w:vAlign w:val="center"/>
          </w:tcPr>
          <w:p w14:paraId="75979B61">
            <w:pPr>
              <w:pStyle w:val="171"/>
              <w:jc w:val="center"/>
              <w:rPr>
                <w:rFonts w:ascii="Times New Roman" w:hAnsi="Times New Roman"/>
                <w:sz w:val="21"/>
                <w:szCs w:val="18"/>
              </w:rPr>
            </w:pPr>
            <w:r>
              <w:rPr>
                <w:rFonts w:ascii="Times New Roman" w:hAnsi="Times New Roman"/>
                <w:sz w:val="21"/>
                <w:szCs w:val="18"/>
              </w:rPr>
              <w:t>评价工作等级</w:t>
            </w:r>
          </w:p>
        </w:tc>
        <w:tc>
          <w:tcPr>
            <w:tcW w:w="1518" w:type="dxa"/>
            <w:tcBorders>
              <w:tl2br w:val="nil"/>
              <w:tr2bl w:val="nil"/>
            </w:tcBorders>
            <w:vAlign w:val="center"/>
          </w:tcPr>
          <w:p w14:paraId="5430CFAD">
            <w:pPr>
              <w:pStyle w:val="171"/>
              <w:jc w:val="center"/>
              <w:rPr>
                <w:rFonts w:ascii="Times New Roman" w:hAnsi="Times New Roman"/>
                <w:sz w:val="21"/>
                <w:szCs w:val="18"/>
              </w:rPr>
            </w:pPr>
            <w:r>
              <w:rPr>
                <w:rFonts w:ascii="Times New Roman" w:hAnsi="Times New Roman"/>
                <w:sz w:val="21"/>
                <w:szCs w:val="18"/>
              </w:rPr>
              <w:t>一</w:t>
            </w:r>
          </w:p>
        </w:tc>
        <w:tc>
          <w:tcPr>
            <w:tcW w:w="1747" w:type="dxa"/>
            <w:tcBorders>
              <w:tl2br w:val="nil"/>
              <w:tr2bl w:val="nil"/>
            </w:tcBorders>
            <w:vAlign w:val="center"/>
          </w:tcPr>
          <w:p w14:paraId="6F9BFEEE">
            <w:pPr>
              <w:pStyle w:val="171"/>
              <w:jc w:val="center"/>
              <w:rPr>
                <w:rFonts w:ascii="Times New Roman" w:hAnsi="Times New Roman"/>
                <w:sz w:val="21"/>
                <w:szCs w:val="18"/>
              </w:rPr>
            </w:pPr>
            <w:r>
              <w:rPr>
                <w:rFonts w:ascii="Times New Roman" w:hAnsi="Times New Roman"/>
                <w:sz w:val="21"/>
                <w:szCs w:val="18"/>
              </w:rPr>
              <w:t>二</w:t>
            </w:r>
          </w:p>
        </w:tc>
        <w:tc>
          <w:tcPr>
            <w:tcW w:w="1747" w:type="dxa"/>
            <w:tcBorders>
              <w:tl2br w:val="nil"/>
              <w:tr2bl w:val="nil"/>
            </w:tcBorders>
            <w:vAlign w:val="center"/>
          </w:tcPr>
          <w:p w14:paraId="4E8FDD8E">
            <w:pPr>
              <w:pStyle w:val="171"/>
              <w:jc w:val="center"/>
              <w:rPr>
                <w:rFonts w:ascii="Times New Roman" w:hAnsi="Times New Roman"/>
                <w:sz w:val="21"/>
                <w:szCs w:val="18"/>
              </w:rPr>
            </w:pPr>
            <w:r>
              <w:rPr>
                <w:rFonts w:ascii="Times New Roman" w:hAnsi="Times New Roman"/>
                <w:sz w:val="21"/>
                <w:szCs w:val="18"/>
              </w:rPr>
              <w:t>三</w:t>
            </w:r>
          </w:p>
        </w:tc>
        <w:tc>
          <w:tcPr>
            <w:tcW w:w="1663" w:type="dxa"/>
            <w:tcBorders>
              <w:tl2br w:val="nil"/>
              <w:tr2bl w:val="nil"/>
            </w:tcBorders>
            <w:vAlign w:val="center"/>
          </w:tcPr>
          <w:p w14:paraId="00337C69">
            <w:pPr>
              <w:pStyle w:val="171"/>
              <w:jc w:val="center"/>
              <w:rPr>
                <w:rFonts w:ascii="Times New Roman" w:hAnsi="Times New Roman"/>
                <w:sz w:val="21"/>
                <w:szCs w:val="18"/>
              </w:rPr>
            </w:pPr>
            <w:r>
              <w:rPr>
                <w:rFonts w:ascii="Times New Roman" w:hAnsi="Times New Roman"/>
                <w:sz w:val="21"/>
                <w:szCs w:val="18"/>
              </w:rPr>
              <w:t>简单分析</w:t>
            </w:r>
            <w:r>
              <w:rPr>
                <w:rFonts w:ascii="Times New Roman" w:hAnsi="Times New Roman"/>
                <w:sz w:val="21"/>
                <w:szCs w:val="18"/>
                <w:vertAlign w:val="superscript"/>
              </w:rPr>
              <w:t>a</w:t>
            </w:r>
          </w:p>
        </w:tc>
      </w:tr>
      <w:tr w14:paraId="6DB5B6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286" w:type="dxa"/>
            <w:gridSpan w:val="5"/>
            <w:tcBorders>
              <w:tl2br w:val="nil"/>
              <w:tr2bl w:val="nil"/>
            </w:tcBorders>
            <w:vAlign w:val="center"/>
          </w:tcPr>
          <w:p w14:paraId="5E1BDB37">
            <w:pPr>
              <w:pStyle w:val="171"/>
              <w:jc w:val="center"/>
              <w:rPr>
                <w:rFonts w:ascii="Times New Roman" w:hAnsi="Times New Roman"/>
                <w:sz w:val="21"/>
                <w:szCs w:val="18"/>
                <w:highlight w:val="yellow"/>
              </w:rPr>
            </w:pPr>
            <w:r>
              <w:rPr>
                <w:rFonts w:ascii="Times New Roman" w:hAnsi="Times New Roman"/>
                <w:sz w:val="21"/>
                <w:szCs w:val="18"/>
              </w:rPr>
              <w:t>a是相对于详细评价工作内容而言，在描述危险物质、环境影响途径、环境危害后果、风险防范措施等方面给出定性的说明。见附录A。</w:t>
            </w:r>
          </w:p>
        </w:tc>
      </w:tr>
    </w:tbl>
    <w:p w14:paraId="5EF43963">
      <w:pPr>
        <w:ind w:firstLine="480"/>
      </w:pPr>
      <w:r>
        <w:rPr>
          <w:rFonts w:hint="eastAsia"/>
        </w:rPr>
        <w:t>本项目环境风险潜势综合等级为</w:t>
      </w:r>
      <w:r>
        <w:t>Ⅲ</w:t>
      </w:r>
      <w:r>
        <w:rPr>
          <w:rFonts w:hint="eastAsia"/>
        </w:rPr>
        <w:t>级，风险评价等级为二级。</w:t>
      </w:r>
      <w:r>
        <w:rPr>
          <w:rFonts w:hint="eastAsia"/>
          <w:u w:val="single"/>
        </w:rPr>
        <w:t>各环境要素对应的环境风险潜势分别为大气</w:t>
      </w:r>
      <w:r>
        <w:rPr>
          <w:u w:val="single"/>
        </w:rPr>
        <w:t>Ⅲ</w:t>
      </w:r>
      <w:r>
        <w:rPr>
          <w:rFonts w:hint="eastAsia"/>
          <w:u w:val="single"/>
        </w:rPr>
        <w:t>、地下水</w:t>
      </w:r>
      <w:r>
        <w:rPr>
          <w:szCs w:val="24"/>
          <w:u w:val="single"/>
        </w:rPr>
        <w:t>Ⅱ</w:t>
      </w:r>
      <w:r>
        <w:rPr>
          <w:rFonts w:hint="eastAsia"/>
          <w:u w:val="single"/>
        </w:rPr>
        <w:t>、地表水为</w:t>
      </w:r>
      <w:r>
        <w:rPr>
          <w:u w:val="single"/>
        </w:rPr>
        <w:t>Ⅱ</w:t>
      </w:r>
      <w:r>
        <w:rPr>
          <w:rFonts w:hint="eastAsia"/>
        </w:rPr>
        <w:t>，根据《建设项目环境风险评价技术导则》（HJ169-2018）评价工作等级划分表确定本项目环境风险评价等级，详见下表。</w:t>
      </w:r>
    </w:p>
    <w:p w14:paraId="262985D1">
      <w:pPr>
        <w:pStyle w:val="183"/>
        <w:ind w:left="480" w:firstLine="0"/>
        <w:rPr>
          <w:rFonts w:ascii="Times New Roman" w:hAnsi="Times New Roman" w:cs="Times New Roman"/>
          <w:bCs w:val="0"/>
        </w:rPr>
      </w:pPr>
      <w:r>
        <w:rPr>
          <w:rFonts w:hint="eastAsia" w:ascii="Times New Roman" w:hAnsi="Times New Roman" w:cs="Times New Roman"/>
          <w:bCs w:val="0"/>
        </w:rPr>
        <w:t>表6.4-2            环境风险评价等级划分</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685"/>
        <w:gridCol w:w="2710"/>
        <w:gridCol w:w="2931"/>
      </w:tblGrid>
      <w:tr w14:paraId="22410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683" w:type="dxa"/>
            <w:vAlign w:val="center"/>
          </w:tcPr>
          <w:p w14:paraId="4AAC0FC3">
            <w:pPr>
              <w:spacing w:line="360" w:lineRule="exact"/>
              <w:ind w:firstLine="0" w:firstLineChars="0"/>
              <w:jc w:val="center"/>
              <w:rPr>
                <w:b/>
                <w:sz w:val="21"/>
                <w:szCs w:val="21"/>
              </w:rPr>
            </w:pPr>
            <w:r>
              <w:rPr>
                <w:rFonts w:hint="eastAsia"/>
                <w:b/>
                <w:sz w:val="21"/>
                <w:szCs w:val="21"/>
              </w:rPr>
              <w:t>环境要素</w:t>
            </w:r>
          </w:p>
        </w:tc>
        <w:tc>
          <w:tcPr>
            <w:tcW w:w="2709" w:type="dxa"/>
            <w:vAlign w:val="center"/>
          </w:tcPr>
          <w:p w14:paraId="45E584C8">
            <w:pPr>
              <w:spacing w:line="360" w:lineRule="exact"/>
              <w:ind w:firstLine="0" w:firstLineChars="0"/>
              <w:jc w:val="center"/>
              <w:rPr>
                <w:b/>
                <w:sz w:val="21"/>
                <w:szCs w:val="21"/>
              </w:rPr>
            </w:pPr>
            <w:r>
              <w:rPr>
                <w:rFonts w:hint="eastAsia"/>
                <w:b/>
                <w:sz w:val="21"/>
                <w:szCs w:val="21"/>
              </w:rPr>
              <w:t>环境要素风险潜势</w:t>
            </w:r>
          </w:p>
        </w:tc>
        <w:tc>
          <w:tcPr>
            <w:tcW w:w="2930" w:type="dxa"/>
            <w:vAlign w:val="center"/>
          </w:tcPr>
          <w:p w14:paraId="1123B770">
            <w:pPr>
              <w:spacing w:line="360" w:lineRule="exact"/>
              <w:ind w:firstLine="0" w:firstLineChars="0"/>
              <w:jc w:val="center"/>
              <w:rPr>
                <w:b/>
                <w:sz w:val="21"/>
                <w:szCs w:val="21"/>
              </w:rPr>
            </w:pPr>
            <w:r>
              <w:rPr>
                <w:rFonts w:hint="eastAsia"/>
                <w:b/>
                <w:sz w:val="21"/>
                <w:szCs w:val="21"/>
              </w:rPr>
              <w:t>环境要素风险评价等级</w:t>
            </w:r>
          </w:p>
        </w:tc>
      </w:tr>
      <w:tr w14:paraId="524774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3" w:type="dxa"/>
            <w:vAlign w:val="center"/>
          </w:tcPr>
          <w:p w14:paraId="32EF0591">
            <w:pPr>
              <w:spacing w:line="360" w:lineRule="exact"/>
              <w:ind w:firstLine="0" w:firstLineChars="0"/>
              <w:jc w:val="center"/>
              <w:rPr>
                <w:sz w:val="21"/>
                <w:szCs w:val="21"/>
              </w:rPr>
            </w:pPr>
            <w:r>
              <w:rPr>
                <w:rFonts w:hint="eastAsia"/>
                <w:sz w:val="21"/>
                <w:szCs w:val="21"/>
              </w:rPr>
              <w:t>大气环境</w:t>
            </w:r>
          </w:p>
        </w:tc>
        <w:tc>
          <w:tcPr>
            <w:tcW w:w="2709" w:type="dxa"/>
            <w:vAlign w:val="center"/>
          </w:tcPr>
          <w:p w14:paraId="16B55B54">
            <w:pPr>
              <w:spacing w:line="360" w:lineRule="exact"/>
              <w:ind w:firstLine="0" w:firstLineChars="0"/>
              <w:jc w:val="center"/>
              <w:rPr>
                <w:sz w:val="21"/>
                <w:szCs w:val="21"/>
              </w:rPr>
            </w:pPr>
            <w:r>
              <w:rPr>
                <w:sz w:val="21"/>
                <w:szCs w:val="21"/>
              </w:rPr>
              <w:t>Ⅲ</w:t>
            </w:r>
          </w:p>
        </w:tc>
        <w:tc>
          <w:tcPr>
            <w:tcW w:w="2930" w:type="dxa"/>
            <w:vAlign w:val="center"/>
          </w:tcPr>
          <w:p w14:paraId="467D5C37">
            <w:pPr>
              <w:spacing w:line="360" w:lineRule="exact"/>
              <w:ind w:firstLine="0" w:firstLineChars="0"/>
              <w:jc w:val="center"/>
              <w:rPr>
                <w:sz w:val="21"/>
                <w:szCs w:val="21"/>
              </w:rPr>
            </w:pPr>
            <w:r>
              <w:rPr>
                <w:rFonts w:hint="eastAsia"/>
                <w:sz w:val="21"/>
                <w:szCs w:val="21"/>
              </w:rPr>
              <w:t>二</w:t>
            </w:r>
          </w:p>
        </w:tc>
      </w:tr>
      <w:tr w14:paraId="50931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3" w:type="dxa"/>
            <w:vAlign w:val="center"/>
          </w:tcPr>
          <w:p w14:paraId="1A48BB9B">
            <w:pPr>
              <w:spacing w:line="360" w:lineRule="exact"/>
              <w:ind w:firstLine="0" w:firstLineChars="0"/>
              <w:jc w:val="center"/>
              <w:rPr>
                <w:sz w:val="21"/>
                <w:szCs w:val="21"/>
                <w:u w:val="single"/>
              </w:rPr>
            </w:pPr>
            <w:r>
              <w:rPr>
                <w:rFonts w:hint="eastAsia"/>
                <w:sz w:val="21"/>
                <w:szCs w:val="21"/>
                <w:u w:val="single"/>
              </w:rPr>
              <w:t>地表水环境</w:t>
            </w:r>
          </w:p>
        </w:tc>
        <w:tc>
          <w:tcPr>
            <w:tcW w:w="2709" w:type="dxa"/>
            <w:vAlign w:val="center"/>
          </w:tcPr>
          <w:p w14:paraId="7351E147">
            <w:pPr>
              <w:spacing w:line="360" w:lineRule="exact"/>
              <w:ind w:firstLine="0" w:firstLineChars="0"/>
              <w:jc w:val="center"/>
              <w:rPr>
                <w:sz w:val="21"/>
                <w:szCs w:val="21"/>
                <w:u w:val="single"/>
              </w:rPr>
            </w:pPr>
            <w:r>
              <w:rPr>
                <w:sz w:val="21"/>
                <w:szCs w:val="21"/>
                <w:u w:val="single"/>
              </w:rPr>
              <w:t>Ⅱ</w:t>
            </w:r>
          </w:p>
        </w:tc>
        <w:tc>
          <w:tcPr>
            <w:tcW w:w="2930" w:type="dxa"/>
            <w:vAlign w:val="center"/>
          </w:tcPr>
          <w:p w14:paraId="273C54EF">
            <w:pPr>
              <w:spacing w:line="360" w:lineRule="exact"/>
              <w:ind w:firstLine="0" w:firstLineChars="0"/>
              <w:jc w:val="center"/>
              <w:rPr>
                <w:sz w:val="21"/>
                <w:szCs w:val="21"/>
                <w:u w:val="single"/>
              </w:rPr>
            </w:pPr>
            <w:r>
              <w:rPr>
                <w:rFonts w:hint="eastAsia"/>
                <w:sz w:val="21"/>
                <w:szCs w:val="21"/>
                <w:u w:val="single"/>
              </w:rPr>
              <w:t>三</w:t>
            </w:r>
          </w:p>
        </w:tc>
      </w:tr>
      <w:tr w14:paraId="38C09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3" w:type="dxa"/>
            <w:vAlign w:val="center"/>
          </w:tcPr>
          <w:p w14:paraId="36D71F6F">
            <w:pPr>
              <w:spacing w:line="360" w:lineRule="exact"/>
              <w:ind w:firstLine="0" w:firstLineChars="0"/>
              <w:jc w:val="center"/>
              <w:rPr>
                <w:sz w:val="21"/>
                <w:szCs w:val="21"/>
                <w:u w:val="single"/>
              </w:rPr>
            </w:pPr>
            <w:r>
              <w:rPr>
                <w:rFonts w:hint="eastAsia"/>
                <w:sz w:val="21"/>
                <w:szCs w:val="21"/>
                <w:u w:val="single"/>
              </w:rPr>
              <w:t>地下水环境</w:t>
            </w:r>
          </w:p>
        </w:tc>
        <w:tc>
          <w:tcPr>
            <w:tcW w:w="2709" w:type="dxa"/>
            <w:vAlign w:val="center"/>
          </w:tcPr>
          <w:p w14:paraId="75DDBBB7">
            <w:pPr>
              <w:spacing w:line="360" w:lineRule="exact"/>
              <w:ind w:firstLine="0" w:firstLineChars="0"/>
              <w:jc w:val="center"/>
              <w:rPr>
                <w:sz w:val="21"/>
                <w:szCs w:val="21"/>
                <w:u w:val="single"/>
              </w:rPr>
            </w:pPr>
            <w:r>
              <w:rPr>
                <w:sz w:val="21"/>
                <w:szCs w:val="21"/>
                <w:u w:val="single"/>
              </w:rPr>
              <w:t>Ⅱ</w:t>
            </w:r>
          </w:p>
        </w:tc>
        <w:tc>
          <w:tcPr>
            <w:tcW w:w="2930" w:type="dxa"/>
            <w:vAlign w:val="center"/>
          </w:tcPr>
          <w:p w14:paraId="567745E1">
            <w:pPr>
              <w:spacing w:line="360" w:lineRule="exact"/>
              <w:ind w:firstLine="0" w:firstLineChars="0"/>
              <w:jc w:val="center"/>
              <w:rPr>
                <w:sz w:val="21"/>
                <w:szCs w:val="21"/>
                <w:u w:val="single"/>
              </w:rPr>
            </w:pPr>
            <w:r>
              <w:rPr>
                <w:rFonts w:hint="eastAsia"/>
                <w:sz w:val="21"/>
                <w:szCs w:val="21"/>
                <w:u w:val="single"/>
              </w:rPr>
              <w:t>三</w:t>
            </w:r>
          </w:p>
        </w:tc>
      </w:tr>
      <w:tr w14:paraId="04E44C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3" w:type="dxa"/>
            <w:vAlign w:val="center"/>
          </w:tcPr>
          <w:p w14:paraId="50C25E18">
            <w:pPr>
              <w:spacing w:line="360" w:lineRule="exact"/>
              <w:ind w:firstLine="0" w:firstLineChars="0"/>
              <w:jc w:val="center"/>
              <w:rPr>
                <w:sz w:val="21"/>
                <w:szCs w:val="21"/>
              </w:rPr>
            </w:pPr>
            <w:r>
              <w:rPr>
                <w:rFonts w:hint="eastAsia"/>
                <w:sz w:val="21"/>
                <w:szCs w:val="21"/>
              </w:rPr>
              <w:t>本项目</w:t>
            </w:r>
          </w:p>
        </w:tc>
        <w:tc>
          <w:tcPr>
            <w:tcW w:w="2709" w:type="dxa"/>
            <w:vAlign w:val="center"/>
          </w:tcPr>
          <w:p w14:paraId="4BA09303">
            <w:pPr>
              <w:spacing w:line="360" w:lineRule="exact"/>
              <w:ind w:firstLine="0" w:firstLineChars="0"/>
              <w:jc w:val="center"/>
              <w:rPr>
                <w:sz w:val="21"/>
                <w:szCs w:val="21"/>
              </w:rPr>
            </w:pPr>
            <w:r>
              <w:rPr>
                <w:sz w:val="21"/>
                <w:szCs w:val="21"/>
              </w:rPr>
              <w:t>Ⅲ</w:t>
            </w:r>
          </w:p>
        </w:tc>
        <w:tc>
          <w:tcPr>
            <w:tcW w:w="2930" w:type="dxa"/>
            <w:vAlign w:val="center"/>
          </w:tcPr>
          <w:p w14:paraId="6A34C130">
            <w:pPr>
              <w:spacing w:line="360" w:lineRule="exact"/>
              <w:ind w:firstLine="0" w:firstLineChars="0"/>
              <w:jc w:val="center"/>
              <w:rPr>
                <w:sz w:val="21"/>
                <w:szCs w:val="21"/>
              </w:rPr>
            </w:pPr>
            <w:r>
              <w:rPr>
                <w:rFonts w:hint="eastAsia"/>
                <w:sz w:val="21"/>
                <w:szCs w:val="21"/>
              </w:rPr>
              <w:t>二</w:t>
            </w:r>
          </w:p>
        </w:tc>
      </w:tr>
    </w:tbl>
    <w:p w14:paraId="6D6D51CE">
      <w:pPr>
        <w:pStyle w:val="4"/>
        <w:spacing w:before="120" w:after="120"/>
        <w:rPr>
          <w:rFonts w:eastAsia="楷体"/>
          <w:bCs/>
          <w:sz w:val="28"/>
          <w:szCs w:val="28"/>
        </w:rPr>
      </w:pPr>
      <w:bookmarkStart w:id="330" w:name="_Toc176105880"/>
      <w:r>
        <w:rPr>
          <w:rFonts w:hint="eastAsia" w:eastAsia="楷体"/>
          <w:bCs/>
          <w:sz w:val="28"/>
          <w:szCs w:val="28"/>
        </w:rPr>
        <w:t>评价范围</w:t>
      </w:r>
      <w:bookmarkEnd w:id="330"/>
    </w:p>
    <w:p w14:paraId="74772B15">
      <w:pPr>
        <w:ind w:firstLine="480"/>
        <w:rPr>
          <w:highlight w:val="yellow"/>
        </w:rPr>
      </w:pPr>
      <w:r>
        <w:rPr>
          <w:rFonts w:hint="eastAsia"/>
        </w:rPr>
        <w:t>按大气环境、地表水、地下水环境要素，本次环境风险评价范围见下表。</w:t>
      </w:r>
    </w:p>
    <w:p w14:paraId="4497B29D">
      <w:pPr>
        <w:pStyle w:val="183"/>
        <w:ind w:left="480" w:firstLine="0"/>
        <w:rPr>
          <w:rFonts w:ascii="Times New Roman" w:hAnsi="Times New Roman" w:cs="Times New Roman"/>
          <w:bCs w:val="0"/>
        </w:rPr>
      </w:pPr>
      <w:r>
        <w:rPr>
          <w:rFonts w:hint="eastAsia" w:ascii="Times New Roman" w:hAnsi="Times New Roman" w:cs="Times New Roman"/>
          <w:bCs w:val="0"/>
        </w:rPr>
        <w:t xml:space="preserve">表6.5-1 </w:t>
      </w:r>
      <w:r>
        <w:rPr>
          <w:rFonts w:ascii="Times New Roman" w:hAnsi="Times New Roman" w:cs="Times New Roman"/>
          <w:bCs w:val="0"/>
        </w:rPr>
        <w:t xml:space="preserve">           项目环境风险评价范围</w:t>
      </w:r>
    </w:p>
    <w:tbl>
      <w:tblPr>
        <w:tblStyle w:val="4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37"/>
        <w:gridCol w:w="1419"/>
        <w:gridCol w:w="5770"/>
      </w:tblGrid>
      <w:tr w14:paraId="33D78E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683" w:type="pct"/>
            <w:vAlign w:val="center"/>
          </w:tcPr>
          <w:p w14:paraId="0AAC0F73">
            <w:pPr>
              <w:spacing w:line="240" w:lineRule="auto"/>
              <w:ind w:firstLine="0" w:firstLineChars="0"/>
              <w:jc w:val="center"/>
              <w:rPr>
                <w:b/>
                <w:bCs/>
                <w:sz w:val="21"/>
                <w:szCs w:val="21"/>
              </w:rPr>
            </w:pPr>
            <w:r>
              <w:rPr>
                <w:b/>
                <w:bCs/>
                <w:sz w:val="21"/>
                <w:szCs w:val="21"/>
              </w:rPr>
              <w:t>环境要素</w:t>
            </w:r>
          </w:p>
        </w:tc>
        <w:tc>
          <w:tcPr>
            <w:tcW w:w="852" w:type="pct"/>
            <w:vAlign w:val="center"/>
          </w:tcPr>
          <w:p w14:paraId="05D95D29">
            <w:pPr>
              <w:spacing w:line="240" w:lineRule="auto"/>
              <w:ind w:firstLine="0" w:firstLineChars="0"/>
              <w:jc w:val="center"/>
              <w:rPr>
                <w:b/>
                <w:bCs/>
                <w:sz w:val="21"/>
                <w:szCs w:val="21"/>
              </w:rPr>
            </w:pPr>
            <w:r>
              <w:rPr>
                <w:b/>
                <w:bCs/>
                <w:sz w:val="21"/>
                <w:szCs w:val="21"/>
              </w:rPr>
              <w:t>风险评价等级</w:t>
            </w:r>
          </w:p>
        </w:tc>
        <w:tc>
          <w:tcPr>
            <w:tcW w:w="3465" w:type="pct"/>
            <w:vAlign w:val="center"/>
          </w:tcPr>
          <w:p w14:paraId="7ED7B213">
            <w:pPr>
              <w:spacing w:line="240" w:lineRule="auto"/>
              <w:ind w:firstLine="0" w:firstLineChars="0"/>
              <w:jc w:val="center"/>
              <w:rPr>
                <w:b/>
                <w:bCs/>
                <w:sz w:val="21"/>
                <w:szCs w:val="21"/>
              </w:rPr>
            </w:pPr>
            <w:r>
              <w:rPr>
                <w:b/>
                <w:bCs/>
                <w:sz w:val="21"/>
                <w:szCs w:val="21"/>
              </w:rPr>
              <w:t>评价范围</w:t>
            </w:r>
          </w:p>
        </w:tc>
      </w:tr>
      <w:tr w14:paraId="0770B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83" w:type="pct"/>
            <w:vAlign w:val="center"/>
          </w:tcPr>
          <w:p w14:paraId="6F7CA127">
            <w:pPr>
              <w:spacing w:line="240" w:lineRule="auto"/>
              <w:ind w:firstLine="0" w:firstLineChars="0"/>
              <w:jc w:val="center"/>
              <w:rPr>
                <w:sz w:val="21"/>
                <w:szCs w:val="21"/>
              </w:rPr>
            </w:pPr>
            <w:r>
              <w:rPr>
                <w:sz w:val="21"/>
                <w:szCs w:val="21"/>
              </w:rPr>
              <w:t>大气环境</w:t>
            </w:r>
          </w:p>
        </w:tc>
        <w:tc>
          <w:tcPr>
            <w:tcW w:w="852" w:type="pct"/>
            <w:vAlign w:val="center"/>
          </w:tcPr>
          <w:p w14:paraId="1B3F578C">
            <w:pPr>
              <w:spacing w:line="240" w:lineRule="auto"/>
              <w:ind w:firstLine="0" w:firstLineChars="0"/>
              <w:jc w:val="center"/>
              <w:rPr>
                <w:sz w:val="21"/>
                <w:szCs w:val="21"/>
              </w:rPr>
            </w:pPr>
            <w:r>
              <w:rPr>
                <w:rFonts w:hint="eastAsia"/>
                <w:sz w:val="21"/>
                <w:szCs w:val="21"/>
              </w:rPr>
              <w:t>二</w:t>
            </w:r>
            <w:r>
              <w:rPr>
                <w:sz w:val="21"/>
                <w:szCs w:val="21"/>
              </w:rPr>
              <w:t>级</w:t>
            </w:r>
          </w:p>
        </w:tc>
        <w:tc>
          <w:tcPr>
            <w:tcW w:w="3465" w:type="pct"/>
            <w:vAlign w:val="center"/>
          </w:tcPr>
          <w:p w14:paraId="680E4B6E">
            <w:pPr>
              <w:spacing w:line="240" w:lineRule="auto"/>
              <w:ind w:firstLine="0" w:firstLineChars="0"/>
              <w:jc w:val="center"/>
              <w:rPr>
                <w:sz w:val="21"/>
                <w:szCs w:val="21"/>
              </w:rPr>
            </w:pPr>
            <w:r>
              <w:rPr>
                <w:sz w:val="21"/>
                <w:szCs w:val="21"/>
              </w:rPr>
              <w:t>项目厂界向四周外延5km</w:t>
            </w:r>
          </w:p>
        </w:tc>
      </w:tr>
      <w:tr w14:paraId="4A145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83" w:type="pct"/>
            <w:vAlign w:val="center"/>
          </w:tcPr>
          <w:p w14:paraId="0A0E3457">
            <w:pPr>
              <w:spacing w:line="240" w:lineRule="auto"/>
              <w:ind w:firstLine="0" w:firstLineChars="0"/>
              <w:jc w:val="center"/>
              <w:rPr>
                <w:sz w:val="21"/>
                <w:szCs w:val="21"/>
              </w:rPr>
            </w:pPr>
            <w:r>
              <w:rPr>
                <w:sz w:val="21"/>
                <w:szCs w:val="21"/>
              </w:rPr>
              <w:t>地表水环境</w:t>
            </w:r>
          </w:p>
        </w:tc>
        <w:tc>
          <w:tcPr>
            <w:tcW w:w="852" w:type="pct"/>
            <w:vAlign w:val="center"/>
          </w:tcPr>
          <w:p w14:paraId="5DFA9FF5">
            <w:pPr>
              <w:widowControl/>
              <w:spacing w:line="240" w:lineRule="auto"/>
              <w:ind w:firstLine="0" w:firstLineChars="0"/>
              <w:jc w:val="center"/>
              <w:rPr>
                <w:sz w:val="21"/>
                <w:szCs w:val="21"/>
              </w:rPr>
            </w:pPr>
            <w:r>
              <w:rPr>
                <w:rFonts w:hint="eastAsia"/>
                <w:sz w:val="21"/>
                <w:szCs w:val="21"/>
              </w:rPr>
              <w:t>简单分析</w:t>
            </w:r>
          </w:p>
        </w:tc>
        <w:tc>
          <w:tcPr>
            <w:tcW w:w="3465" w:type="pct"/>
            <w:vAlign w:val="center"/>
          </w:tcPr>
          <w:p w14:paraId="72D7563D">
            <w:pPr>
              <w:spacing w:line="240" w:lineRule="auto"/>
              <w:ind w:firstLine="0" w:firstLineChars="0"/>
              <w:jc w:val="center"/>
              <w:rPr>
                <w:sz w:val="21"/>
                <w:szCs w:val="21"/>
              </w:rPr>
            </w:pPr>
            <w:r>
              <w:rPr>
                <w:rFonts w:hint="eastAsia"/>
                <w:sz w:val="21"/>
                <w:szCs w:val="21"/>
              </w:rPr>
              <w:t>唐庄污水</w:t>
            </w:r>
            <w:r>
              <w:rPr>
                <w:sz w:val="21"/>
                <w:szCs w:val="21"/>
              </w:rPr>
              <w:t>处理厂</w:t>
            </w:r>
            <w:r>
              <w:rPr>
                <w:rFonts w:hint="eastAsia"/>
                <w:sz w:val="21"/>
                <w:szCs w:val="21"/>
              </w:rPr>
              <w:t>出口</w:t>
            </w:r>
            <w:r>
              <w:rPr>
                <w:sz w:val="21"/>
                <w:szCs w:val="21"/>
              </w:rPr>
              <w:t>入</w:t>
            </w:r>
            <w:r>
              <w:rPr>
                <w:rFonts w:hint="eastAsia"/>
                <w:sz w:val="21"/>
                <w:szCs w:val="21"/>
              </w:rPr>
              <w:t>共产主义渠</w:t>
            </w:r>
            <w:r>
              <w:rPr>
                <w:sz w:val="21"/>
                <w:szCs w:val="21"/>
              </w:rPr>
              <w:t>处至</w:t>
            </w:r>
            <w:r>
              <w:rPr>
                <w:rFonts w:hint="eastAsia"/>
                <w:sz w:val="21"/>
                <w:szCs w:val="21"/>
              </w:rPr>
              <w:t>下游共渠下马营断面</w:t>
            </w:r>
          </w:p>
        </w:tc>
      </w:tr>
      <w:tr w14:paraId="38783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83" w:type="pct"/>
            <w:vAlign w:val="center"/>
          </w:tcPr>
          <w:p w14:paraId="08C1161F">
            <w:pPr>
              <w:spacing w:line="240" w:lineRule="auto"/>
              <w:ind w:firstLine="0" w:firstLineChars="0"/>
              <w:jc w:val="center"/>
              <w:rPr>
                <w:sz w:val="21"/>
                <w:szCs w:val="21"/>
              </w:rPr>
            </w:pPr>
            <w:r>
              <w:rPr>
                <w:sz w:val="21"/>
                <w:szCs w:val="21"/>
              </w:rPr>
              <w:t>地下水环境</w:t>
            </w:r>
          </w:p>
        </w:tc>
        <w:tc>
          <w:tcPr>
            <w:tcW w:w="852" w:type="pct"/>
            <w:vAlign w:val="center"/>
          </w:tcPr>
          <w:p w14:paraId="727A650C">
            <w:pPr>
              <w:widowControl/>
              <w:spacing w:line="240" w:lineRule="auto"/>
              <w:ind w:firstLine="0" w:firstLineChars="0"/>
              <w:jc w:val="center"/>
              <w:rPr>
                <w:sz w:val="21"/>
                <w:szCs w:val="21"/>
              </w:rPr>
            </w:pPr>
            <w:r>
              <w:rPr>
                <w:rFonts w:hint="eastAsia"/>
                <w:sz w:val="21"/>
                <w:szCs w:val="21"/>
              </w:rPr>
              <w:t>简单分析</w:t>
            </w:r>
          </w:p>
        </w:tc>
        <w:tc>
          <w:tcPr>
            <w:tcW w:w="3465" w:type="pct"/>
            <w:vAlign w:val="center"/>
          </w:tcPr>
          <w:p w14:paraId="5C8369A1">
            <w:pPr>
              <w:spacing w:line="240" w:lineRule="auto"/>
              <w:ind w:firstLine="0" w:firstLineChars="0"/>
              <w:jc w:val="center"/>
              <w:rPr>
                <w:snapToGrid w:val="0"/>
                <w:sz w:val="21"/>
                <w:szCs w:val="21"/>
              </w:rPr>
            </w:pPr>
            <w:r>
              <w:rPr>
                <w:sz w:val="21"/>
                <w:szCs w:val="21"/>
              </w:rPr>
              <w:t>同地下水环境影响评价范围一致</w:t>
            </w:r>
            <w:r>
              <w:rPr>
                <w:rFonts w:hint="eastAsia"/>
                <w:sz w:val="21"/>
                <w:szCs w:val="21"/>
              </w:rPr>
              <w:t>，北边界以厂界上游西北侧3.22km河洼村-侯庄村-东寺门村一线为边界；西边界以厂界西侧十里河一线为边界；南边界以厂界下游南侧的共产主义渠一线为边界；</w:t>
            </w:r>
            <w:r>
              <w:rPr>
                <w:rFonts w:hint="eastAsia"/>
                <w:sz w:val="21"/>
                <w:szCs w:val="21"/>
                <w:u w:val="single"/>
              </w:rPr>
              <w:t>东边界以厂界东北侧井岗村-薛屯村东-黄土岗村西一线为边界</w:t>
            </w:r>
            <w:r>
              <w:rPr>
                <w:sz w:val="21"/>
                <w:szCs w:val="21"/>
                <w:u w:val="single"/>
              </w:rPr>
              <w:t>。调查评价面积为</w:t>
            </w:r>
            <w:r>
              <w:rPr>
                <w:rFonts w:hint="eastAsia"/>
                <w:sz w:val="21"/>
                <w:szCs w:val="21"/>
                <w:u w:val="single"/>
              </w:rPr>
              <w:t>29</w:t>
            </w:r>
            <w:r>
              <w:rPr>
                <w:sz w:val="21"/>
                <w:szCs w:val="21"/>
                <w:u w:val="single"/>
              </w:rPr>
              <w:t>km</w:t>
            </w:r>
            <w:r>
              <w:rPr>
                <w:sz w:val="21"/>
                <w:szCs w:val="21"/>
                <w:u w:val="single"/>
                <w:vertAlign w:val="superscript"/>
              </w:rPr>
              <w:t>2</w:t>
            </w:r>
            <w:r>
              <w:rPr>
                <w:rFonts w:hint="eastAsia"/>
                <w:sz w:val="21"/>
                <w:szCs w:val="21"/>
                <w:u w:val="single"/>
              </w:rPr>
              <w:t>。</w:t>
            </w:r>
          </w:p>
        </w:tc>
      </w:tr>
    </w:tbl>
    <w:p w14:paraId="6343B3FD">
      <w:pPr>
        <w:pStyle w:val="4"/>
        <w:spacing w:before="120" w:after="120"/>
        <w:rPr>
          <w:rFonts w:eastAsia="楷体"/>
          <w:bCs/>
          <w:sz w:val="28"/>
          <w:szCs w:val="28"/>
        </w:rPr>
      </w:pPr>
      <w:bookmarkStart w:id="331" w:name="_Toc176105881"/>
      <w:r>
        <w:rPr>
          <w:rFonts w:hint="eastAsia" w:eastAsia="楷体"/>
          <w:bCs/>
          <w:sz w:val="28"/>
          <w:szCs w:val="28"/>
        </w:rPr>
        <w:t>风险识别</w:t>
      </w:r>
      <w:bookmarkEnd w:id="331"/>
    </w:p>
    <w:p w14:paraId="68650EB0">
      <w:pPr>
        <w:pStyle w:val="5"/>
        <w:spacing w:before="312" w:after="312"/>
        <w:ind w:firstLine="562"/>
      </w:pPr>
      <w:r>
        <w:rPr>
          <w:rFonts w:hint="eastAsia"/>
        </w:rPr>
        <w:t>风险</w:t>
      </w:r>
      <w:r>
        <w:t>识别</w:t>
      </w:r>
      <w:r>
        <w:rPr>
          <w:rFonts w:hint="eastAsia"/>
        </w:rPr>
        <w:t>内容</w:t>
      </w:r>
    </w:p>
    <w:p w14:paraId="2A52603B">
      <w:pPr>
        <w:ind w:firstLine="480"/>
      </w:pPr>
      <w:r>
        <w:rPr>
          <w:rFonts w:hint="eastAsia"/>
        </w:rPr>
        <w:t>风险识别内容包括物质危险性识别、生产系统危险性识别和危险物质向环境转移途径识别。</w:t>
      </w:r>
    </w:p>
    <w:p w14:paraId="35429312">
      <w:pPr>
        <w:ind w:firstLine="480"/>
      </w:pPr>
      <w:r>
        <w:rPr>
          <w:rFonts w:hint="eastAsia"/>
        </w:rPr>
        <w:t>（1）物质风险识别包括主要原材料及辅助材料、燃料、中间产品、副产品、最终产品、污染物、火灾和爆炸等伴生、次生的危险物质。</w:t>
      </w:r>
    </w:p>
    <w:p w14:paraId="5610F8FF">
      <w:pPr>
        <w:ind w:firstLine="480"/>
      </w:pPr>
      <w:r>
        <w:rPr>
          <w:rFonts w:hint="eastAsia"/>
        </w:rPr>
        <w:t>（2）生产设施风险识别范围包括：主要生产装置、储运系统、公用工程系统、工程环保设施及辅助生产设施等。</w:t>
      </w:r>
    </w:p>
    <w:p w14:paraId="013952A1">
      <w:pPr>
        <w:ind w:firstLine="480"/>
        <w:rPr>
          <w:highlight w:val="yellow"/>
        </w:rPr>
      </w:pPr>
      <w:r>
        <w:rPr>
          <w:rFonts w:hint="eastAsia"/>
        </w:rPr>
        <w:t>（3）危险物质向环境转移途径识别包括分析危险物质特性及可能的风险类型，识别危险物质影响环境的途径，分析可能受影响的环境敏感目标。</w:t>
      </w:r>
    </w:p>
    <w:p w14:paraId="1376CBAD">
      <w:pPr>
        <w:pStyle w:val="5"/>
        <w:spacing w:before="312" w:after="312"/>
        <w:ind w:firstLine="482"/>
      </w:pPr>
      <w:r>
        <w:t>物质危险性识别</w:t>
      </w:r>
    </w:p>
    <w:p w14:paraId="2897F948">
      <w:pPr>
        <w:pStyle w:val="6"/>
        <w:spacing w:before="120"/>
        <w:ind w:left="120" w:leftChars="50" w:firstLine="482"/>
        <w:jc w:val="both"/>
      </w:pPr>
      <w:r>
        <w:rPr>
          <w:rFonts w:hint="eastAsia"/>
        </w:rPr>
        <w:t>涉及主要物质及其分类</w:t>
      </w:r>
    </w:p>
    <w:p w14:paraId="3EDEB3E9">
      <w:pPr>
        <w:pStyle w:val="2"/>
        <w:spacing w:after="0"/>
        <w:ind w:firstLine="480"/>
        <w:jc w:val="left"/>
        <w:rPr>
          <w:szCs w:val="24"/>
        </w:rPr>
      </w:pPr>
      <w:r>
        <w:rPr>
          <w:rFonts w:hint="eastAsia"/>
          <w:szCs w:val="24"/>
        </w:rPr>
        <w:t>本项目生产过程中涉及的物质主要包括原辅材料、产品、污染物、火灾和爆炸伴生/次生物。</w:t>
      </w:r>
    </w:p>
    <w:p w14:paraId="00A8D095">
      <w:pPr>
        <w:pStyle w:val="2"/>
        <w:spacing w:after="0"/>
        <w:ind w:firstLine="480"/>
        <w:jc w:val="left"/>
        <w:rPr>
          <w:szCs w:val="24"/>
        </w:rPr>
      </w:pPr>
      <w:r>
        <w:rPr>
          <w:rFonts w:hint="eastAsia"/>
          <w:szCs w:val="24"/>
        </w:rPr>
        <w:t>1、原辅材料</w:t>
      </w:r>
    </w:p>
    <w:p w14:paraId="3D99F4F3">
      <w:pPr>
        <w:pStyle w:val="2"/>
        <w:spacing w:after="0"/>
        <w:ind w:firstLine="480"/>
        <w:jc w:val="left"/>
        <w:rPr>
          <w:szCs w:val="24"/>
        </w:rPr>
      </w:pPr>
      <w:r>
        <w:rPr>
          <w:rFonts w:hint="eastAsia"/>
          <w:szCs w:val="24"/>
        </w:rPr>
        <w:t>本项目原辅材料种类较多，具体详见下表所示。</w:t>
      </w:r>
    </w:p>
    <w:p w14:paraId="7B644B3C">
      <w:pPr>
        <w:pStyle w:val="99"/>
        <w:numPr>
          <w:ilvl w:val="4"/>
          <w:numId w:val="42"/>
        </w:numPr>
        <w:ind w:left="0" w:firstLine="480"/>
        <w:rPr>
          <w:rFonts w:eastAsia="黑体"/>
        </w:rPr>
      </w:pPr>
      <w:r>
        <w:rPr>
          <w:rFonts w:hint="eastAsia" w:eastAsia="黑体"/>
        </w:rPr>
        <w:t xml:space="preserve">           </w:t>
      </w:r>
      <w:r>
        <w:rPr>
          <w:rFonts w:eastAsia="黑体"/>
        </w:rPr>
        <w:t>本项目</w:t>
      </w:r>
      <w:r>
        <w:rPr>
          <w:rFonts w:hint="eastAsia" w:eastAsia="黑体"/>
        </w:rPr>
        <w:t>各生产线</w:t>
      </w:r>
      <w:r>
        <w:rPr>
          <w:rFonts w:eastAsia="黑体"/>
        </w:rPr>
        <w:t>原辅料一览表</w:t>
      </w: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6"/>
        <w:gridCol w:w="6760"/>
      </w:tblGrid>
      <w:tr w14:paraId="1A7B1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blHeader/>
          <w:jc w:val="center"/>
        </w:trPr>
        <w:tc>
          <w:tcPr>
            <w:tcW w:w="1560" w:type="dxa"/>
            <w:vAlign w:val="center"/>
          </w:tcPr>
          <w:p w14:paraId="084504C2">
            <w:pPr>
              <w:pStyle w:val="62"/>
              <w:rPr>
                <w:b/>
                <w:bCs/>
              </w:rPr>
            </w:pPr>
            <w:r>
              <w:rPr>
                <w:rFonts w:hint="eastAsia"/>
                <w:b/>
                <w:bCs/>
              </w:rPr>
              <w:t>生产线</w:t>
            </w:r>
          </w:p>
        </w:tc>
        <w:tc>
          <w:tcPr>
            <w:tcW w:w="6736" w:type="dxa"/>
            <w:vAlign w:val="center"/>
          </w:tcPr>
          <w:p w14:paraId="5AD43827">
            <w:pPr>
              <w:pStyle w:val="62"/>
              <w:rPr>
                <w:b/>
                <w:bCs/>
              </w:rPr>
            </w:pPr>
            <w:r>
              <w:rPr>
                <w:rFonts w:hint="eastAsia"/>
                <w:b/>
                <w:bCs/>
              </w:rPr>
              <w:t>涉及原材料名称</w:t>
            </w:r>
          </w:p>
        </w:tc>
      </w:tr>
      <w:tr w14:paraId="24549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Align w:val="center"/>
          </w:tcPr>
          <w:p w14:paraId="7FB14413">
            <w:pPr>
              <w:pStyle w:val="62"/>
            </w:pPr>
            <w:r>
              <w:rPr>
                <w:rFonts w:hint="eastAsia"/>
              </w:rPr>
              <w:t>聚醚改性硅油</w:t>
            </w:r>
          </w:p>
        </w:tc>
        <w:tc>
          <w:tcPr>
            <w:tcW w:w="6736" w:type="dxa"/>
            <w:vAlign w:val="center"/>
          </w:tcPr>
          <w:p w14:paraId="4E8D7880">
            <w:pPr>
              <w:pStyle w:val="62"/>
            </w:pPr>
            <w:r>
              <w:rPr>
                <w:rFonts w:hint="eastAsia"/>
              </w:rPr>
              <w:t>D</w:t>
            </w:r>
            <w:r>
              <w:t>4</w:t>
            </w:r>
            <w:r>
              <w:rPr>
                <w:rFonts w:hint="eastAsia"/>
              </w:rPr>
              <w:t>（八甲基环四硅氧烷）、K</w:t>
            </w:r>
            <w:r>
              <w:t>F-99</w:t>
            </w:r>
            <w:r>
              <w:rPr>
                <w:rFonts w:hint="eastAsia"/>
              </w:rPr>
              <w:t>（</w:t>
            </w:r>
            <w:r>
              <w:t>高含氢硅油</w:t>
            </w:r>
            <w:r>
              <w:rPr>
                <w:rFonts w:hint="eastAsia"/>
              </w:rPr>
              <w:t>）、硫酸、小苏打（碳酸氢钠）、椰壳活性炭、封端聚醚（烯丙醇聚醚乙酰基封端（H</w:t>
            </w:r>
            <w:r>
              <w:t>MS-218M</w:t>
            </w:r>
            <w:r>
              <w:rPr>
                <w:rFonts w:hint="eastAsia"/>
              </w:rPr>
              <w:t>）、烯丙醇聚氧乙醚乙酰基封端（H</w:t>
            </w:r>
            <w:r>
              <w:t>MS-215M</w:t>
            </w:r>
            <w:r>
              <w:rPr>
                <w:rFonts w:hint="eastAsia"/>
              </w:rPr>
              <w:t>）、烯丙醇聚氧乙烯醚乙酰基封端（H</w:t>
            </w:r>
            <w:r>
              <w:t>MS-222M</w:t>
            </w:r>
            <w:r>
              <w:rPr>
                <w:rFonts w:hint="eastAsia"/>
              </w:rPr>
              <w:t>）、氯铂酸、双氧水、氮气、二丙二醇）、导热油</w:t>
            </w:r>
          </w:p>
        </w:tc>
      </w:tr>
      <w:tr w14:paraId="4FC30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Align w:val="center"/>
          </w:tcPr>
          <w:p w14:paraId="5CA68624">
            <w:pPr>
              <w:pStyle w:val="62"/>
            </w:pPr>
            <w:r>
              <w:rPr>
                <w:rFonts w:hint="eastAsia"/>
              </w:rPr>
              <w:t>色浆</w:t>
            </w:r>
          </w:p>
        </w:tc>
        <w:tc>
          <w:tcPr>
            <w:tcW w:w="6736" w:type="dxa"/>
            <w:vAlign w:val="center"/>
          </w:tcPr>
          <w:p w14:paraId="7B74ED5D">
            <w:pPr>
              <w:pStyle w:val="62"/>
            </w:pPr>
            <w:r>
              <w:rPr>
                <w:rFonts w:hint="eastAsia"/>
              </w:rPr>
              <w:t>色粉、三羟基聚氧化丙烯氧化乙烯醚</w:t>
            </w:r>
          </w:p>
        </w:tc>
      </w:tr>
    </w:tbl>
    <w:p w14:paraId="1729C2C5">
      <w:pPr>
        <w:pStyle w:val="2"/>
        <w:spacing w:after="0"/>
        <w:ind w:firstLine="480"/>
      </w:pPr>
      <w:r>
        <w:rPr>
          <w:rFonts w:hint="eastAsia"/>
        </w:rPr>
        <w:t>2、产品</w:t>
      </w:r>
    </w:p>
    <w:p w14:paraId="7EE469EA">
      <w:pPr>
        <w:ind w:firstLine="480"/>
      </w:pPr>
      <w:r>
        <w:rPr>
          <w:rFonts w:hint="eastAsia"/>
        </w:rPr>
        <w:t>本项目产品主要为聚醚改性硅油和色浆。</w:t>
      </w:r>
    </w:p>
    <w:p w14:paraId="39D81153">
      <w:pPr>
        <w:pStyle w:val="2"/>
        <w:spacing w:after="0"/>
        <w:ind w:firstLine="480"/>
      </w:pPr>
      <w:r>
        <w:rPr>
          <w:rFonts w:hint="eastAsia"/>
        </w:rPr>
        <w:t>3、污染物</w:t>
      </w:r>
    </w:p>
    <w:p w14:paraId="711DE61F">
      <w:pPr>
        <w:ind w:firstLine="480"/>
        <w:rPr>
          <w:szCs w:val="24"/>
          <w:u w:val="single"/>
        </w:rPr>
      </w:pPr>
      <w:r>
        <w:rPr>
          <w:rFonts w:hint="eastAsia"/>
          <w:u w:val="single"/>
        </w:rPr>
        <w:t>本</w:t>
      </w:r>
      <w:r>
        <w:rPr>
          <w:rFonts w:hint="eastAsia"/>
          <w:szCs w:val="24"/>
          <w:u w:val="single"/>
        </w:rPr>
        <w:t>项目涉及的大气污染物主要为颗粒物、</w:t>
      </w:r>
      <w:r>
        <w:rPr>
          <w:szCs w:val="24"/>
          <w:u w:val="single"/>
        </w:rPr>
        <w:t>氨</w:t>
      </w:r>
      <w:r>
        <w:rPr>
          <w:rFonts w:hint="eastAsia"/>
          <w:szCs w:val="24"/>
          <w:u w:val="single"/>
        </w:rPr>
        <w:t>、</w:t>
      </w:r>
      <w:r>
        <w:rPr>
          <w:spacing w:val="3"/>
          <w:szCs w:val="24"/>
          <w:u w:val="single"/>
        </w:rPr>
        <w:t>硫化氢</w:t>
      </w:r>
      <w:r>
        <w:rPr>
          <w:rFonts w:hint="eastAsia"/>
          <w:szCs w:val="24"/>
          <w:u w:val="single"/>
        </w:rPr>
        <w:t>、</w:t>
      </w:r>
      <w:r>
        <w:rPr>
          <w:szCs w:val="24"/>
          <w:u w:val="single"/>
        </w:rPr>
        <w:t>非甲烷总烃</w:t>
      </w:r>
      <w:r>
        <w:rPr>
          <w:rFonts w:hint="eastAsia"/>
          <w:szCs w:val="24"/>
          <w:u w:val="single"/>
        </w:rPr>
        <w:t>，涉及的固体废物主要为废活性炭、化验室废物、污泥、污油、废导热油、废原料包装袋。</w:t>
      </w:r>
    </w:p>
    <w:p w14:paraId="0A420585">
      <w:pPr>
        <w:ind w:firstLine="480"/>
        <w:rPr>
          <w:szCs w:val="24"/>
        </w:rPr>
      </w:pPr>
      <w:r>
        <w:rPr>
          <w:rFonts w:hint="eastAsia"/>
          <w:szCs w:val="24"/>
        </w:rPr>
        <w:t>7、火灾和爆炸伴生/次生物</w:t>
      </w:r>
    </w:p>
    <w:p w14:paraId="5250E11C">
      <w:pPr>
        <w:ind w:firstLine="480"/>
      </w:pPr>
      <w:r>
        <w:rPr>
          <w:rFonts w:hint="eastAsia"/>
        </w:rPr>
        <w:t>本项目涉及的火灾和爆炸伴生/次生物主要为原料D4（八甲基环四硅氧烷）可燃性物质泄漏后发生火灾产生的一氧化碳，废气污染物氨、硫化氢火灾产生的二氧化硫、氮氧化物等。</w:t>
      </w:r>
    </w:p>
    <w:p w14:paraId="509A3AAB">
      <w:pPr>
        <w:pStyle w:val="6"/>
        <w:spacing w:before="120"/>
        <w:ind w:left="120" w:leftChars="50" w:firstLine="482"/>
        <w:jc w:val="both"/>
      </w:pPr>
      <w:r>
        <w:rPr>
          <w:rFonts w:hint="eastAsia"/>
        </w:rPr>
        <w:t>危险物质识别</w:t>
      </w:r>
    </w:p>
    <w:p w14:paraId="3EB654A0">
      <w:pPr>
        <w:pStyle w:val="2"/>
        <w:spacing w:after="0"/>
        <w:ind w:firstLine="480"/>
      </w:pPr>
      <w:r>
        <w:rPr>
          <w:rFonts w:hint="eastAsia"/>
        </w:rPr>
        <w:t>根据《企业突发环境事件风险分级方法》及《建设项目环境风险评价技术导则》（HJ 169-2018）附录物质与临界量清单，本项目物料中属于环境风险物质的是原料D4（八甲基环四硅氧烷）、硫酸和废气污染物氨、硫化氢。本项目涉及的危险化学品物理性质和毒理性质见下表。</w:t>
      </w:r>
    </w:p>
    <w:p w14:paraId="4C586484">
      <w:pPr>
        <w:pStyle w:val="99"/>
        <w:numPr>
          <w:ilvl w:val="4"/>
          <w:numId w:val="42"/>
        </w:numPr>
        <w:ind w:left="0" w:firstLine="480"/>
        <w:rPr>
          <w:rFonts w:eastAsia="黑体"/>
        </w:rPr>
      </w:pPr>
      <w:r>
        <w:rPr>
          <w:rFonts w:hint="eastAsia" w:eastAsia="黑体"/>
        </w:rPr>
        <w:t xml:space="preserve">       </w:t>
      </w:r>
      <w:r>
        <w:rPr>
          <w:rFonts w:eastAsia="黑体"/>
        </w:rPr>
        <w:t>本项目危险物质</w:t>
      </w:r>
      <w:r>
        <w:rPr>
          <w:rFonts w:hint="eastAsia" w:eastAsia="黑体"/>
        </w:rPr>
        <w:t>理化性质一览</w:t>
      </w:r>
      <w:r>
        <w:rPr>
          <w:rFonts w:eastAsia="黑体"/>
        </w:rPr>
        <w:t>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422"/>
        <w:gridCol w:w="2891"/>
        <w:gridCol w:w="162"/>
        <w:gridCol w:w="403"/>
        <w:gridCol w:w="1522"/>
        <w:gridCol w:w="166"/>
        <w:gridCol w:w="261"/>
        <w:gridCol w:w="1535"/>
      </w:tblGrid>
      <w:tr w14:paraId="1C134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4E8D4169">
            <w:pPr>
              <w:spacing w:line="240" w:lineRule="auto"/>
              <w:ind w:firstLine="0" w:firstLineChars="0"/>
              <w:jc w:val="center"/>
              <w:rPr>
                <w:b/>
                <w:sz w:val="21"/>
                <w:szCs w:val="21"/>
                <w:highlight w:val="yellow"/>
              </w:rPr>
            </w:pPr>
            <w:r>
              <w:rPr>
                <w:rFonts w:hint="eastAsia"/>
                <w:b/>
                <w:sz w:val="21"/>
                <w:szCs w:val="21"/>
              </w:rPr>
              <w:t>硫酸</w:t>
            </w:r>
          </w:p>
        </w:tc>
      </w:tr>
      <w:tr w14:paraId="50ECB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A523FCB">
            <w:pPr>
              <w:spacing w:line="240" w:lineRule="auto"/>
              <w:ind w:firstLine="0" w:firstLineChars="0"/>
              <w:jc w:val="center"/>
              <w:rPr>
                <w:sz w:val="21"/>
                <w:szCs w:val="21"/>
              </w:rPr>
            </w:pPr>
            <w:r>
              <w:rPr>
                <w:sz w:val="21"/>
                <w:szCs w:val="21"/>
              </w:rPr>
              <w:t>分子式</w:t>
            </w:r>
          </w:p>
        </w:tc>
        <w:tc>
          <w:tcPr>
            <w:tcW w:w="1826" w:type="pct"/>
            <w:gridSpan w:val="2"/>
            <w:vAlign w:val="center"/>
          </w:tcPr>
          <w:p w14:paraId="3066242A">
            <w:pPr>
              <w:widowControl/>
              <w:spacing w:line="240" w:lineRule="auto"/>
              <w:ind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SO</w:t>
            </w:r>
            <w:r>
              <w:rPr>
                <w:rFonts w:hint="eastAsia"/>
                <w:sz w:val="21"/>
                <w:szCs w:val="21"/>
                <w:vertAlign w:val="subscript"/>
              </w:rPr>
              <w:t>4</w:t>
            </w:r>
          </w:p>
        </w:tc>
        <w:tc>
          <w:tcPr>
            <w:tcW w:w="1151" w:type="pct"/>
            <w:gridSpan w:val="2"/>
            <w:vAlign w:val="center"/>
          </w:tcPr>
          <w:p w14:paraId="59863BCB">
            <w:pPr>
              <w:spacing w:line="240" w:lineRule="auto"/>
              <w:ind w:firstLine="0" w:firstLineChars="0"/>
              <w:jc w:val="center"/>
              <w:rPr>
                <w:sz w:val="21"/>
                <w:szCs w:val="21"/>
              </w:rPr>
            </w:pPr>
            <w:r>
              <w:rPr>
                <w:sz w:val="21"/>
                <w:szCs w:val="21"/>
              </w:rPr>
              <w:t>外观与性状</w:t>
            </w:r>
          </w:p>
        </w:tc>
        <w:tc>
          <w:tcPr>
            <w:tcW w:w="1173" w:type="pct"/>
            <w:gridSpan w:val="3"/>
            <w:vAlign w:val="center"/>
          </w:tcPr>
          <w:p w14:paraId="0DB0C11A">
            <w:pPr>
              <w:spacing w:line="240" w:lineRule="auto"/>
              <w:ind w:firstLine="0" w:firstLineChars="0"/>
              <w:jc w:val="center"/>
              <w:rPr>
                <w:sz w:val="21"/>
                <w:szCs w:val="21"/>
                <w:highlight w:val="yellow"/>
              </w:rPr>
            </w:pPr>
            <w:r>
              <w:rPr>
                <w:rFonts w:hint="eastAsia"/>
                <w:sz w:val="21"/>
                <w:szCs w:val="21"/>
              </w:rPr>
              <w:t>透明无色无臭液体</w:t>
            </w:r>
          </w:p>
        </w:tc>
      </w:tr>
      <w:tr w14:paraId="3945E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4BE2864">
            <w:pPr>
              <w:spacing w:line="240" w:lineRule="auto"/>
              <w:ind w:firstLine="0" w:firstLineChars="0"/>
              <w:jc w:val="center"/>
              <w:rPr>
                <w:sz w:val="21"/>
                <w:szCs w:val="21"/>
              </w:rPr>
            </w:pPr>
            <w:r>
              <w:rPr>
                <w:sz w:val="21"/>
                <w:szCs w:val="21"/>
              </w:rPr>
              <w:t>分子量</w:t>
            </w:r>
          </w:p>
        </w:tc>
        <w:tc>
          <w:tcPr>
            <w:tcW w:w="1826" w:type="pct"/>
            <w:gridSpan w:val="2"/>
            <w:vAlign w:val="center"/>
          </w:tcPr>
          <w:p w14:paraId="2E204465">
            <w:pPr>
              <w:spacing w:line="240" w:lineRule="auto"/>
              <w:ind w:firstLine="0" w:firstLineChars="0"/>
              <w:jc w:val="center"/>
              <w:rPr>
                <w:sz w:val="21"/>
                <w:szCs w:val="21"/>
              </w:rPr>
            </w:pPr>
            <w:r>
              <w:rPr>
                <w:rFonts w:hint="eastAsia"/>
                <w:sz w:val="21"/>
                <w:szCs w:val="21"/>
              </w:rPr>
              <w:t>98.08</w:t>
            </w:r>
          </w:p>
        </w:tc>
        <w:tc>
          <w:tcPr>
            <w:tcW w:w="1151" w:type="pct"/>
            <w:gridSpan w:val="2"/>
            <w:vAlign w:val="center"/>
          </w:tcPr>
          <w:p w14:paraId="26EC95C8">
            <w:pPr>
              <w:spacing w:line="240" w:lineRule="auto"/>
              <w:ind w:firstLine="0" w:firstLineChars="0"/>
              <w:jc w:val="center"/>
              <w:rPr>
                <w:sz w:val="21"/>
                <w:szCs w:val="21"/>
              </w:rPr>
            </w:pPr>
            <w:r>
              <w:rPr>
                <w:sz w:val="21"/>
                <w:szCs w:val="21"/>
              </w:rPr>
              <w:t>饱和蒸汽压</w:t>
            </w:r>
          </w:p>
        </w:tc>
        <w:tc>
          <w:tcPr>
            <w:tcW w:w="1173" w:type="pct"/>
            <w:gridSpan w:val="3"/>
            <w:vAlign w:val="center"/>
          </w:tcPr>
          <w:p w14:paraId="5D3AF13F">
            <w:pPr>
              <w:spacing w:line="240" w:lineRule="auto"/>
              <w:ind w:firstLine="0" w:firstLineChars="0"/>
              <w:jc w:val="center"/>
              <w:rPr>
                <w:sz w:val="21"/>
                <w:szCs w:val="21"/>
              </w:rPr>
            </w:pPr>
            <w:r>
              <w:rPr>
                <w:rFonts w:hint="eastAsia"/>
                <w:sz w:val="21"/>
                <w:szCs w:val="21"/>
              </w:rPr>
              <w:t>0.13kPa（145.8℃）</w:t>
            </w:r>
          </w:p>
        </w:tc>
      </w:tr>
      <w:tr w14:paraId="74FB5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496315DE">
            <w:pPr>
              <w:spacing w:line="240" w:lineRule="auto"/>
              <w:ind w:firstLine="0" w:firstLineChars="0"/>
              <w:jc w:val="center"/>
              <w:rPr>
                <w:sz w:val="21"/>
                <w:szCs w:val="21"/>
              </w:rPr>
            </w:pPr>
            <w:r>
              <w:rPr>
                <w:rFonts w:hint="eastAsia"/>
                <w:sz w:val="21"/>
                <w:szCs w:val="21"/>
              </w:rPr>
              <w:t>C</w:t>
            </w:r>
            <w:r>
              <w:rPr>
                <w:sz w:val="21"/>
                <w:szCs w:val="21"/>
              </w:rPr>
              <w:t>AS</w:t>
            </w:r>
          </w:p>
        </w:tc>
        <w:tc>
          <w:tcPr>
            <w:tcW w:w="1826" w:type="pct"/>
            <w:gridSpan w:val="2"/>
            <w:vAlign w:val="center"/>
          </w:tcPr>
          <w:p w14:paraId="794ACEFF">
            <w:pPr>
              <w:spacing w:line="240" w:lineRule="auto"/>
              <w:ind w:firstLine="0" w:firstLineChars="0"/>
              <w:jc w:val="center"/>
              <w:rPr>
                <w:sz w:val="21"/>
                <w:szCs w:val="21"/>
              </w:rPr>
            </w:pPr>
            <w:r>
              <w:rPr>
                <w:rFonts w:hint="eastAsia"/>
                <w:sz w:val="21"/>
                <w:szCs w:val="21"/>
              </w:rPr>
              <w:t>7664-93-9</w:t>
            </w:r>
          </w:p>
        </w:tc>
        <w:tc>
          <w:tcPr>
            <w:tcW w:w="1151" w:type="pct"/>
            <w:gridSpan w:val="2"/>
            <w:vAlign w:val="center"/>
          </w:tcPr>
          <w:p w14:paraId="45F3F550">
            <w:pPr>
              <w:spacing w:line="240" w:lineRule="auto"/>
              <w:ind w:firstLine="0" w:firstLineChars="0"/>
              <w:jc w:val="center"/>
              <w:rPr>
                <w:sz w:val="21"/>
                <w:szCs w:val="21"/>
              </w:rPr>
            </w:pPr>
            <w:r>
              <w:rPr>
                <w:sz w:val="21"/>
                <w:szCs w:val="21"/>
              </w:rPr>
              <w:t>密度</w:t>
            </w:r>
          </w:p>
        </w:tc>
        <w:tc>
          <w:tcPr>
            <w:tcW w:w="1173" w:type="pct"/>
            <w:gridSpan w:val="3"/>
            <w:vAlign w:val="center"/>
          </w:tcPr>
          <w:p w14:paraId="3B16CE76">
            <w:pPr>
              <w:spacing w:line="240" w:lineRule="auto"/>
              <w:ind w:firstLine="0" w:firstLineChars="0"/>
              <w:jc w:val="center"/>
              <w:rPr>
                <w:sz w:val="21"/>
                <w:szCs w:val="21"/>
              </w:rPr>
            </w:pPr>
            <w:r>
              <w:rPr>
                <w:sz w:val="21"/>
                <w:szCs w:val="21"/>
              </w:rPr>
              <w:t>（水=1）</w:t>
            </w:r>
            <w:r>
              <w:rPr>
                <w:rFonts w:hint="eastAsia"/>
                <w:sz w:val="21"/>
                <w:szCs w:val="21"/>
              </w:rPr>
              <w:t>1.83</w:t>
            </w:r>
          </w:p>
        </w:tc>
      </w:tr>
      <w:tr w14:paraId="2E984A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69DA7E05">
            <w:pPr>
              <w:spacing w:line="240" w:lineRule="auto"/>
              <w:ind w:firstLine="0" w:firstLineChars="0"/>
              <w:jc w:val="center"/>
              <w:rPr>
                <w:sz w:val="21"/>
                <w:szCs w:val="21"/>
              </w:rPr>
            </w:pPr>
            <w:r>
              <w:rPr>
                <w:rFonts w:hint="eastAsia"/>
                <w:sz w:val="21"/>
                <w:szCs w:val="21"/>
              </w:rPr>
              <w:t>闪点</w:t>
            </w:r>
          </w:p>
        </w:tc>
        <w:tc>
          <w:tcPr>
            <w:tcW w:w="1826" w:type="pct"/>
            <w:gridSpan w:val="2"/>
            <w:vAlign w:val="center"/>
          </w:tcPr>
          <w:p w14:paraId="7E2171A2">
            <w:pPr>
              <w:spacing w:line="240" w:lineRule="auto"/>
              <w:ind w:firstLine="0" w:firstLineChars="0"/>
              <w:jc w:val="center"/>
              <w:rPr>
                <w:sz w:val="21"/>
                <w:szCs w:val="21"/>
              </w:rPr>
            </w:pPr>
            <w:r>
              <w:rPr>
                <w:rFonts w:hint="eastAsia"/>
                <w:sz w:val="21"/>
                <w:szCs w:val="21"/>
              </w:rPr>
              <w:t>/</w:t>
            </w:r>
          </w:p>
        </w:tc>
        <w:tc>
          <w:tcPr>
            <w:tcW w:w="1151" w:type="pct"/>
            <w:gridSpan w:val="2"/>
            <w:vAlign w:val="center"/>
          </w:tcPr>
          <w:p w14:paraId="641162AA">
            <w:pPr>
              <w:spacing w:line="240" w:lineRule="auto"/>
              <w:ind w:firstLine="0" w:firstLineChars="0"/>
              <w:jc w:val="center"/>
              <w:rPr>
                <w:sz w:val="21"/>
                <w:szCs w:val="21"/>
              </w:rPr>
            </w:pPr>
            <w:r>
              <w:rPr>
                <w:rFonts w:hint="eastAsia"/>
                <w:sz w:val="21"/>
                <w:szCs w:val="21"/>
              </w:rPr>
              <w:t>沸点</w:t>
            </w:r>
          </w:p>
        </w:tc>
        <w:tc>
          <w:tcPr>
            <w:tcW w:w="1173" w:type="pct"/>
            <w:gridSpan w:val="3"/>
            <w:vAlign w:val="center"/>
          </w:tcPr>
          <w:p w14:paraId="0A02F5B1">
            <w:pPr>
              <w:spacing w:line="240" w:lineRule="auto"/>
              <w:ind w:firstLine="0" w:firstLineChars="0"/>
              <w:jc w:val="center"/>
              <w:rPr>
                <w:sz w:val="21"/>
                <w:szCs w:val="21"/>
              </w:rPr>
            </w:pPr>
            <w:r>
              <w:rPr>
                <w:rFonts w:hint="eastAsia"/>
                <w:sz w:val="21"/>
                <w:szCs w:val="21"/>
              </w:rPr>
              <w:t>330</w:t>
            </w:r>
            <w:r>
              <w:rPr>
                <w:sz w:val="21"/>
                <w:szCs w:val="21"/>
              </w:rPr>
              <w:t>℃</w:t>
            </w:r>
          </w:p>
        </w:tc>
      </w:tr>
      <w:tr w14:paraId="50669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366BB32">
            <w:pPr>
              <w:spacing w:line="240" w:lineRule="auto"/>
              <w:ind w:firstLine="0" w:firstLineChars="0"/>
              <w:jc w:val="center"/>
              <w:rPr>
                <w:sz w:val="21"/>
                <w:szCs w:val="21"/>
              </w:rPr>
            </w:pPr>
            <w:r>
              <w:rPr>
                <w:sz w:val="21"/>
                <w:szCs w:val="21"/>
              </w:rPr>
              <w:t>爆炸极限</w:t>
            </w:r>
          </w:p>
        </w:tc>
        <w:tc>
          <w:tcPr>
            <w:tcW w:w="1826" w:type="pct"/>
            <w:gridSpan w:val="2"/>
            <w:vAlign w:val="center"/>
          </w:tcPr>
          <w:p w14:paraId="37283D7D">
            <w:pPr>
              <w:spacing w:line="240" w:lineRule="auto"/>
              <w:ind w:firstLine="0" w:firstLineChars="0"/>
              <w:jc w:val="center"/>
              <w:rPr>
                <w:sz w:val="21"/>
                <w:szCs w:val="21"/>
              </w:rPr>
            </w:pPr>
            <w:r>
              <w:rPr>
                <w:rFonts w:hint="eastAsia"/>
                <w:sz w:val="21"/>
                <w:szCs w:val="21"/>
              </w:rPr>
              <w:t>/</w:t>
            </w:r>
          </w:p>
        </w:tc>
        <w:tc>
          <w:tcPr>
            <w:tcW w:w="1151" w:type="pct"/>
            <w:gridSpan w:val="2"/>
            <w:vAlign w:val="center"/>
          </w:tcPr>
          <w:p w14:paraId="1DCBB376">
            <w:pPr>
              <w:spacing w:line="240" w:lineRule="auto"/>
              <w:ind w:firstLine="0" w:firstLineChars="0"/>
              <w:jc w:val="center"/>
              <w:rPr>
                <w:sz w:val="21"/>
                <w:szCs w:val="21"/>
              </w:rPr>
            </w:pPr>
            <w:r>
              <w:rPr>
                <w:sz w:val="21"/>
                <w:szCs w:val="21"/>
              </w:rPr>
              <w:t>溶解性</w:t>
            </w:r>
          </w:p>
        </w:tc>
        <w:tc>
          <w:tcPr>
            <w:tcW w:w="1173" w:type="pct"/>
            <w:gridSpan w:val="3"/>
            <w:vAlign w:val="center"/>
          </w:tcPr>
          <w:p w14:paraId="2AB0818C">
            <w:pPr>
              <w:spacing w:line="240" w:lineRule="auto"/>
              <w:ind w:firstLine="0" w:firstLineChars="0"/>
              <w:jc w:val="center"/>
              <w:rPr>
                <w:sz w:val="21"/>
                <w:szCs w:val="21"/>
              </w:rPr>
            </w:pPr>
            <w:r>
              <w:rPr>
                <w:rFonts w:hint="eastAsia"/>
                <w:sz w:val="21"/>
                <w:szCs w:val="21"/>
              </w:rPr>
              <w:t>与水混溶</w:t>
            </w:r>
          </w:p>
        </w:tc>
      </w:tr>
      <w:tr w14:paraId="68AC7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0B9CD5A8">
            <w:pPr>
              <w:spacing w:line="240" w:lineRule="auto"/>
              <w:ind w:firstLine="0" w:firstLineChars="0"/>
              <w:jc w:val="center"/>
              <w:rPr>
                <w:sz w:val="21"/>
                <w:szCs w:val="21"/>
              </w:rPr>
            </w:pPr>
            <w:r>
              <w:rPr>
                <w:sz w:val="21"/>
                <w:szCs w:val="21"/>
              </w:rPr>
              <w:t>毒理性</w:t>
            </w:r>
          </w:p>
        </w:tc>
        <w:tc>
          <w:tcPr>
            <w:tcW w:w="4150" w:type="pct"/>
            <w:gridSpan w:val="7"/>
            <w:vAlign w:val="center"/>
          </w:tcPr>
          <w:p w14:paraId="524662A7">
            <w:pPr>
              <w:spacing w:line="240" w:lineRule="auto"/>
              <w:ind w:firstLine="0" w:firstLineChars="0"/>
              <w:jc w:val="center"/>
              <w:rPr>
                <w:sz w:val="21"/>
                <w:szCs w:val="21"/>
              </w:rPr>
            </w:pPr>
            <w:r>
              <w:rPr>
                <w:rFonts w:hint="eastAsia"/>
                <w:sz w:val="21"/>
                <w:szCs w:val="21"/>
              </w:rPr>
              <w:t>LD</w:t>
            </w:r>
            <w:r>
              <w:rPr>
                <w:rFonts w:hint="eastAsia"/>
                <w:sz w:val="21"/>
                <w:szCs w:val="21"/>
                <w:vertAlign w:val="subscript"/>
              </w:rPr>
              <w:t>50</w:t>
            </w:r>
            <w:r>
              <w:rPr>
                <w:rFonts w:hint="eastAsia"/>
                <w:sz w:val="21"/>
                <w:szCs w:val="21"/>
              </w:rPr>
              <w:t xml:space="preserve"> 2140mg/kg(大鼠经口)；LC</w:t>
            </w:r>
            <w:r>
              <w:rPr>
                <w:rFonts w:hint="eastAsia"/>
                <w:sz w:val="21"/>
                <w:szCs w:val="21"/>
                <w:vertAlign w:val="subscript"/>
              </w:rPr>
              <w:t>50</w:t>
            </w:r>
            <w:r>
              <w:rPr>
                <w:rFonts w:hint="eastAsia"/>
                <w:sz w:val="21"/>
                <w:szCs w:val="21"/>
              </w:rPr>
              <w:t xml:space="preserve"> 510mg/m³，2小时(大鼠吸入)；</w:t>
            </w:r>
          </w:p>
          <w:p w14:paraId="1ABD3BD1">
            <w:pPr>
              <w:spacing w:line="240" w:lineRule="auto"/>
              <w:ind w:firstLine="0" w:firstLineChars="0"/>
              <w:jc w:val="center"/>
              <w:rPr>
                <w:sz w:val="21"/>
                <w:szCs w:val="21"/>
                <w:highlight w:val="yellow"/>
              </w:rPr>
            </w:pPr>
            <w:r>
              <w:rPr>
                <w:rFonts w:hint="eastAsia"/>
                <w:sz w:val="21"/>
                <w:szCs w:val="21"/>
              </w:rPr>
              <w:t>320mg/m³，2小时(小鼠吸入)</w:t>
            </w:r>
          </w:p>
        </w:tc>
      </w:tr>
      <w:tr w14:paraId="43B22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Merge w:val="restart"/>
            <w:vAlign w:val="center"/>
          </w:tcPr>
          <w:p w14:paraId="3AE08641">
            <w:pPr>
              <w:spacing w:line="240" w:lineRule="auto"/>
              <w:ind w:firstLine="0" w:firstLineChars="0"/>
              <w:jc w:val="center"/>
              <w:rPr>
                <w:sz w:val="21"/>
                <w:szCs w:val="21"/>
              </w:rPr>
            </w:pPr>
            <w:r>
              <w:rPr>
                <w:sz w:val="21"/>
                <w:szCs w:val="21"/>
              </w:rPr>
              <w:t>危险特性</w:t>
            </w:r>
          </w:p>
        </w:tc>
        <w:tc>
          <w:tcPr>
            <w:tcW w:w="4150" w:type="pct"/>
            <w:gridSpan w:val="7"/>
            <w:vAlign w:val="center"/>
          </w:tcPr>
          <w:p w14:paraId="51106E20">
            <w:pPr>
              <w:spacing w:line="240" w:lineRule="auto"/>
              <w:ind w:firstLine="0" w:firstLineChars="0"/>
              <w:rPr>
                <w:sz w:val="21"/>
                <w:szCs w:val="21"/>
              </w:rPr>
            </w:pPr>
            <w:r>
              <w:rPr>
                <w:rFonts w:hint="eastAsia"/>
                <w:sz w:val="21"/>
                <w:szCs w:val="21"/>
              </w:rPr>
              <w:t>遇水大量放热、可发生沸溅。与易燃物（如苯）和可物（如糖、纤维等）接触会发生剧烈反应，甚至引起燃烧。遇电石、高氯酸盐、硝酸盐、苦味酸盐、金属粉末等猛烈反应，发生爆炸或燃烧。有强烈的腐蚀性和吸水性。</w:t>
            </w:r>
          </w:p>
          <w:p w14:paraId="528B43BA">
            <w:pPr>
              <w:spacing w:line="240" w:lineRule="auto"/>
              <w:ind w:firstLine="0" w:firstLineChars="0"/>
              <w:rPr>
                <w:sz w:val="21"/>
                <w:szCs w:val="21"/>
                <w:highlight w:val="yellow"/>
              </w:rPr>
            </w:pPr>
            <w:r>
              <w:rPr>
                <w:rFonts w:hint="eastAsia"/>
                <w:sz w:val="21"/>
                <w:szCs w:val="21"/>
              </w:rPr>
              <w:t>有害燃烧产物：二氧化硫。</w:t>
            </w:r>
          </w:p>
        </w:tc>
      </w:tr>
      <w:tr w14:paraId="10464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Merge w:val="continue"/>
            <w:vAlign w:val="center"/>
          </w:tcPr>
          <w:p w14:paraId="5F924B79">
            <w:pPr>
              <w:spacing w:line="240" w:lineRule="auto"/>
              <w:ind w:firstLine="0" w:firstLineChars="0"/>
              <w:jc w:val="center"/>
              <w:rPr>
                <w:sz w:val="21"/>
                <w:szCs w:val="21"/>
              </w:rPr>
            </w:pPr>
          </w:p>
        </w:tc>
        <w:tc>
          <w:tcPr>
            <w:tcW w:w="4150" w:type="pct"/>
            <w:gridSpan w:val="7"/>
            <w:vAlign w:val="center"/>
          </w:tcPr>
          <w:p w14:paraId="0A6643DE">
            <w:pPr>
              <w:spacing w:line="240" w:lineRule="auto"/>
              <w:ind w:firstLine="0" w:firstLineChars="0"/>
              <w:rPr>
                <w:sz w:val="21"/>
                <w:szCs w:val="21"/>
              </w:rPr>
            </w:pPr>
            <w:r>
              <w:rPr>
                <w:rFonts w:hint="eastAsia"/>
                <w:sz w:val="21"/>
                <w:szCs w:val="21"/>
              </w:rPr>
              <w:t>灭火方法：消防人员必须穿全身耐酸碱消防服。灭火剂：干粉、二氧化碳、砂土。避免水流冲走物品，以免遇水会放出大量热量发生喷溅而灼伤皮肤。</w:t>
            </w:r>
          </w:p>
        </w:tc>
      </w:tr>
      <w:tr w14:paraId="3D065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4AD3578">
            <w:pPr>
              <w:spacing w:line="240" w:lineRule="auto"/>
              <w:ind w:firstLine="0" w:firstLineChars="0"/>
              <w:jc w:val="center"/>
              <w:rPr>
                <w:sz w:val="21"/>
                <w:szCs w:val="21"/>
              </w:rPr>
            </w:pPr>
            <w:r>
              <w:rPr>
                <w:sz w:val="21"/>
                <w:szCs w:val="21"/>
              </w:rPr>
              <w:t>健康危害</w:t>
            </w:r>
          </w:p>
        </w:tc>
        <w:tc>
          <w:tcPr>
            <w:tcW w:w="4150" w:type="pct"/>
            <w:gridSpan w:val="7"/>
            <w:vAlign w:val="center"/>
          </w:tcPr>
          <w:p w14:paraId="23E90234">
            <w:pPr>
              <w:spacing w:line="240" w:lineRule="auto"/>
              <w:ind w:firstLine="0" w:firstLineChars="0"/>
              <w:jc w:val="left"/>
              <w:rPr>
                <w:sz w:val="21"/>
                <w:szCs w:val="21"/>
                <w:highlight w:val="yellow"/>
              </w:rPr>
            </w:pPr>
            <w:r>
              <w:rPr>
                <w:rFonts w:hint="eastAsia"/>
                <w:sz w:val="21"/>
                <w:szCs w:val="21"/>
              </w:rPr>
              <w:t>对皮肤、粘膜等组织有强烈的刺激和腐蚀作用。蒸气或雾可引起结膜炎、结膜水肿、角膜混浊，以致失明；引起呼吸道刺激，重者发生呼吸困难和肺水肿；高浓度引起喉痉挛或声门水肿而窒息死亡。口服后引起消化道烧伤以致溃疡形成；严重者可能有胃穿孔、腹膜炎、肾损害、休克等。皮肤灼伤轻者出现红斑、重者形成溃疡，愈后瘢痕收缩影响功能。溅入眼内可造成灼伤，甚至角膜穿孔、全眼炎以至失明。慢性影响：牙齿酸蚀症、慢性支气管炎、肺气肿和肺硬化。</w:t>
            </w:r>
          </w:p>
        </w:tc>
      </w:tr>
      <w:tr w14:paraId="5A41C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36F46E8C">
            <w:pPr>
              <w:spacing w:line="240" w:lineRule="auto"/>
              <w:ind w:firstLine="0" w:firstLineChars="0"/>
              <w:jc w:val="center"/>
              <w:rPr>
                <w:b/>
                <w:sz w:val="21"/>
                <w:szCs w:val="21"/>
                <w:highlight w:val="yellow"/>
              </w:rPr>
            </w:pPr>
            <w:r>
              <w:rPr>
                <w:rFonts w:hint="eastAsia"/>
                <w:b/>
                <w:sz w:val="21"/>
                <w:szCs w:val="21"/>
              </w:rPr>
              <w:t>八甲基环四硅氧烷</w:t>
            </w:r>
          </w:p>
        </w:tc>
      </w:tr>
      <w:tr w14:paraId="3A2C2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96322B1">
            <w:pPr>
              <w:spacing w:line="240" w:lineRule="auto"/>
              <w:ind w:firstLine="0" w:firstLineChars="0"/>
              <w:jc w:val="center"/>
              <w:rPr>
                <w:sz w:val="21"/>
                <w:szCs w:val="21"/>
              </w:rPr>
            </w:pPr>
            <w:r>
              <w:rPr>
                <w:sz w:val="21"/>
                <w:szCs w:val="21"/>
              </w:rPr>
              <w:t>分子式</w:t>
            </w:r>
          </w:p>
        </w:tc>
        <w:tc>
          <w:tcPr>
            <w:tcW w:w="1826" w:type="pct"/>
            <w:gridSpan w:val="2"/>
            <w:vAlign w:val="center"/>
          </w:tcPr>
          <w:p w14:paraId="5B36AD07">
            <w:pPr>
              <w:spacing w:line="240" w:lineRule="auto"/>
              <w:ind w:firstLine="0" w:firstLineChars="0"/>
              <w:jc w:val="center"/>
              <w:rPr>
                <w:sz w:val="21"/>
                <w:szCs w:val="21"/>
                <w:highlight w:val="yellow"/>
              </w:rPr>
            </w:pPr>
            <w:r>
              <w:rPr>
                <w:sz w:val="21"/>
                <w:szCs w:val="21"/>
                <w:shd w:val="clear" w:color="auto" w:fill="FFFFFF"/>
              </w:rPr>
              <w:t>C</w:t>
            </w:r>
            <w:r>
              <w:rPr>
                <w:sz w:val="21"/>
                <w:szCs w:val="21"/>
                <w:shd w:val="clear" w:color="auto" w:fill="FFFFFF"/>
                <w:vertAlign w:val="subscript"/>
              </w:rPr>
              <w:t>8</w:t>
            </w:r>
            <w:r>
              <w:rPr>
                <w:sz w:val="21"/>
                <w:szCs w:val="21"/>
                <w:shd w:val="clear" w:color="auto" w:fill="FFFFFF"/>
              </w:rPr>
              <w:t>H</w:t>
            </w:r>
            <w:r>
              <w:rPr>
                <w:sz w:val="21"/>
                <w:szCs w:val="21"/>
                <w:shd w:val="clear" w:color="auto" w:fill="FFFFFF"/>
                <w:vertAlign w:val="subscript"/>
              </w:rPr>
              <w:t>24</w:t>
            </w:r>
            <w:r>
              <w:rPr>
                <w:sz w:val="21"/>
                <w:szCs w:val="21"/>
                <w:shd w:val="clear" w:color="auto" w:fill="FFFFFF"/>
              </w:rPr>
              <w:t>O</w:t>
            </w:r>
            <w:r>
              <w:rPr>
                <w:sz w:val="21"/>
                <w:szCs w:val="21"/>
                <w:shd w:val="clear" w:color="auto" w:fill="FFFFFF"/>
                <w:vertAlign w:val="subscript"/>
              </w:rPr>
              <w:t>4</w:t>
            </w:r>
            <w:r>
              <w:rPr>
                <w:sz w:val="21"/>
                <w:szCs w:val="21"/>
                <w:shd w:val="clear" w:color="auto" w:fill="FFFFFF"/>
              </w:rPr>
              <w:t>Si</w:t>
            </w:r>
            <w:r>
              <w:rPr>
                <w:sz w:val="21"/>
                <w:szCs w:val="21"/>
                <w:shd w:val="clear" w:color="auto" w:fill="FFFFFF"/>
                <w:vertAlign w:val="subscript"/>
              </w:rPr>
              <w:t>4</w:t>
            </w:r>
          </w:p>
        </w:tc>
        <w:tc>
          <w:tcPr>
            <w:tcW w:w="1151" w:type="pct"/>
            <w:gridSpan w:val="2"/>
            <w:vAlign w:val="center"/>
          </w:tcPr>
          <w:p w14:paraId="5B98BF61">
            <w:pPr>
              <w:spacing w:line="240" w:lineRule="auto"/>
              <w:ind w:firstLine="0" w:firstLineChars="0"/>
              <w:jc w:val="center"/>
              <w:rPr>
                <w:sz w:val="21"/>
                <w:szCs w:val="21"/>
              </w:rPr>
            </w:pPr>
            <w:r>
              <w:rPr>
                <w:sz w:val="21"/>
                <w:szCs w:val="21"/>
              </w:rPr>
              <w:t>外观与性状</w:t>
            </w:r>
          </w:p>
        </w:tc>
        <w:tc>
          <w:tcPr>
            <w:tcW w:w="1173" w:type="pct"/>
            <w:gridSpan w:val="3"/>
            <w:vAlign w:val="center"/>
          </w:tcPr>
          <w:p w14:paraId="0DF2E447">
            <w:pPr>
              <w:spacing w:line="240" w:lineRule="auto"/>
              <w:ind w:firstLine="0" w:firstLineChars="0"/>
              <w:jc w:val="center"/>
              <w:rPr>
                <w:sz w:val="21"/>
                <w:szCs w:val="21"/>
                <w:highlight w:val="yellow"/>
              </w:rPr>
            </w:pPr>
            <w:r>
              <w:rPr>
                <w:rFonts w:hint="eastAsia"/>
                <w:sz w:val="21"/>
                <w:szCs w:val="21"/>
                <w:shd w:val="clear" w:color="auto" w:fill="FFFFFF"/>
              </w:rPr>
              <w:t>无色透明或乳白色的液体</w:t>
            </w:r>
          </w:p>
        </w:tc>
      </w:tr>
      <w:tr w14:paraId="63871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4B738884">
            <w:pPr>
              <w:spacing w:line="240" w:lineRule="auto"/>
              <w:ind w:firstLine="0" w:firstLineChars="0"/>
              <w:jc w:val="center"/>
              <w:rPr>
                <w:sz w:val="21"/>
                <w:szCs w:val="21"/>
              </w:rPr>
            </w:pPr>
            <w:r>
              <w:rPr>
                <w:sz w:val="21"/>
                <w:szCs w:val="21"/>
              </w:rPr>
              <w:t>分子量</w:t>
            </w:r>
          </w:p>
        </w:tc>
        <w:tc>
          <w:tcPr>
            <w:tcW w:w="1826" w:type="pct"/>
            <w:gridSpan w:val="2"/>
            <w:vAlign w:val="center"/>
          </w:tcPr>
          <w:p w14:paraId="2A48FBB5">
            <w:pPr>
              <w:spacing w:line="240" w:lineRule="auto"/>
              <w:ind w:firstLine="0" w:firstLineChars="0"/>
              <w:jc w:val="center"/>
              <w:rPr>
                <w:sz w:val="21"/>
                <w:szCs w:val="21"/>
                <w:highlight w:val="yellow"/>
              </w:rPr>
            </w:pPr>
            <w:r>
              <w:rPr>
                <w:rFonts w:hint="eastAsia"/>
                <w:sz w:val="21"/>
                <w:szCs w:val="21"/>
                <w:shd w:val="clear" w:color="auto" w:fill="FFFFFF"/>
              </w:rPr>
              <w:t>296.62</w:t>
            </w:r>
          </w:p>
        </w:tc>
        <w:tc>
          <w:tcPr>
            <w:tcW w:w="1151" w:type="pct"/>
            <w:gridSpan w:val="2"/>
            <w:vAlign w:val="center"/>
          </w:tcPr>
          <w:p w14:paraId="4CED1ABB">
            <w:pPr>
              <w:spacing w:line="240" w:lineRule="auto"/>
              <w:ind w:firstLine="0" w:firstLineChars="0"/>
              <w:jc w:val="center"/>
              <w:rPr>
                <w:sz w:val="21"/>
                <w:szCs w:val="21"/>
              </w:rPr>
            </w:pPr>
            <w:r>
              <w:rPr>
                <w:rFonts w:hint="eastAsia"/>
                <w:sz w:val="21"/>
                <w:szCs w:val="21"/>
              </w:rPr>
              <w:t>熔点</w:t>
            </w:r>
          </w:p>
        </w:tc>
        <w:tc>
          <w:tcPr>
            <w:tcW w:w="1173" w:type="pct"/>
            <w:gridSpan w:val="3"/>
            <w:vAlign w:val="center"/>
          </w:tcPr>
          <w:p w14:paraId="3F2758D1">
            <w:pPr>
              <w:spacing w:line="240" w:lineRule="auto"/>
              <w:ind w:firstLine="0" w:firstLineChars="0"/>
              <w:jc w:val="center"/>
              <w:rPr>
                <w:sz w:val="21"/>
                <w:szCs w:val="21"/>
                <w:highlight w:val="yellow"/>
              </w:rPr>
            </w:pPr>
            <w:r>
              <w:rPr>
                <w:rFonts w:hint="eastAsia"/>
                <w:sz w:val="21"/>
                <w:szCs w:val="21"/>
              </w:rPr>
              <w:t>17.5</w:t>
            </w:r>
            <w:r>
              <w:rPr>
                <w:sz w:val="21"/>
                <w:szCs w:val="21"/>
                <w:shd w:val="clear" w:color="auto" w:fill="FFFFFF"/>
              </w:rPr>
              <w:t>℃</w:t>
            </w:r>
          </w:p>
        </w:tc>
      </w:tr>
      <w:tr w14:paraId="3E977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51A7D10E">
            <w:pPr>
              <w:spacing w:line="240" w:lineRule="auto"/>
              <w:ind w:firstLine="0" w:firstLineChars="0"/>
              <w:jc w:val="center"/>
              <w:rPr>
                <w:sz w:val="21"/>
                <w:szCs w:val="21"/>
              </w:rPr>
            </w:pPr>
            <w:r>
              <w:rPr>
                <w:rFonts w:hint="eastAsia"/>
                <w:sz w:val="21"/>
                <w:szCs w:val="21"/>
              </w:rPr>
              <w:t>C</w:t>
            </w:r>
            <w:r>
              <w:rPr>
                <w:sz w:val="21"/>
                <w:szCs w:val="21"/>
              </w:rPr>
              <w:t>AS</w:t>
            </w:r>
          </w:p>
        </w:tc>
        <w:tc>
          <w:tcPr>
            <w:tcW w:w="1826" w:type="pct"/>
            <w:gridSpan w:val="2"/>
            <w:vAlign w:val="center"/>
          </w:tcPr>
          <w:p w14:paraId="2E0BF787">
            <w:pPr>
              <w:spacing w:line="240" w:lineRule="auto"/>
              <w:ind w:firstLine="0" w:firstLineChars="0"/>
              <w:jc w:val="center"/>
              <w:rPr>
                <w:sz w:val="21"/>
                <w:szCs w:val="21"/>
                <w:highlight w:val="yellow"/>
              </w:rPr>
            </w:pPr>
            <w:r>
              <w:rPr>
                <w:sz w:val="21"/>
                <w:szCs w:val="21"/>
                <w:shd w:val="clear" w:color="auto" w:fill="FFFFFF"/>
              </w:rPr>
              <w:t>556-67-2</w:t>
            </w:r>
          </w:p>
        </w:tc>
        <w:tc>
          <w:tcPr>
            <w:tcW w:w="1151" w:type="pct"/>
            <w:gridSpan w:val="2"/>
            <w:vAlign w:val="center"/>
          </w:tcPr>
          <w:p w14:paraId="1C23D009">
            <w:pPr>
              <w:spacing w:line="240" w:lineRule="auto"/>
              <w:ind w:firstLine="0" w:firstLineChars="0"/>
              <w:jc w:val="center"/>
              <w:rPr>
                <w:sz w:val="21"/>
                <w:szCs w:val="21"/>
              </w:rPr>
            </w:pPr>
            <w:r>
              <w:rPr>
                <w:sz w:val="21"/>
                <w:szCs w:val="21"/>
              </w:rPr>
              <w:t>密度</w:t>
            </w:r>
          </w:p>
        </w:tc>
        <w:tc>
          <w:tcPr>
            <w:tcW w:w="1173" w:type="pct"/>
            <w:gridSpan w:val="3"/>
            <w:vAlign w:val="center"/>
          </w:tcPr>
          <w:p w14:paraId="24F0A284">
            <w:pPr>
              <w:spacing w:line="240" w:lineRule="auto"/>
              <w:ind w:firstLine="0" w:firstLineChars="0"/>
              <w:jc w:val="center"/>
              <w:rPr>
                <w:sz w:val="21"/>
                <w:szCs w:val="21"/>
                <w:highlight w:val="yellow"/>
              </w:rPr>
            </w:pPr>
            <w:r>
              <w:rPr>
                <w:rFonts w:hint="eastAsia"/>
                <w:sz w:val="21"/>
                <w:szCs w:val="21"/>
                <w:shd w:val="clear" w:color="auto" w:fill="FFFFFF"/>
              </w:rPr>
              <w:t>0.956g/cm³（在25℃下）</w:t>
            </w:r>
          </w:p>
        </w:tc>
      </w:tr>
      <w:tr w14:paraId="6F265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53277B6B">
            <w:pPr>
              <w:spacing w:line="240" w:lineRule="auto"/>
              <w:ind w:firstLine="0" w:firstLineChars="0"/>
              <w:jc w:val="center"/>
              <w:rPr>
                <w:sz w:val="21"/>
                <w:szCs w:val="21"/>
              </w:rPr>
            </w:pPr>
            <w:r>
              <w:rPr>
                <w:rFonts w:hint="eastAsia"/>
                <w:sz w:val="21"/>
                <w:szCs w:val="21"/>
              </w:rPr>
              <w:t>闪点</w:t>
            </w:r>
          </w:p>
        </w:tc>
        <w:tc>
          <w:tcPr>
            <w:tcW w:w="1826" w:type="pct"/>
            <w:gridSpan w:val="2"/>
            <w:vAlign w:val="center"/>
          </w:tcPr>
          <w:p w14:paraId="2CB6A2F2">
            <w:pPr>
              <w:spacing w:line="240" w:lineRule="auto"/>
              <w:ind w:firstLine="0" w:firstLineChars="0"/>
              <w:jc w:val="center"/>
              <w:rPr>
                <w:sz w:val="21"/>
                <w:szCs w:val="21"/>
              </w:rPr>
            </w:pPr>
            <w:r>
              <w:rPr>
                <w:rFonts w:hint="eastAsia"/>
                <w:sz w:val="21"/>
                <w:szCs w:val="21"/>
              </w:rPr>
              <w:t>60</w:t>
            </w:r>
            <w:r>
              <w:rPr>
                <w:sz w:val="21"/>
                <w:szCs w:val="21"/>
              </w:rPr>
              <w:t>℃</w:t>
            </w:r>
          </w:p>
        </w:tc>
        <w:tc>
          <w:tcPr>
            <w:tcW w:w="1151" w:type="pct"/>
            <w:gridSpan w:val="2"/>
            <w:vAlign w:val="center"/>
          </w:tcPr>
          <w:p w14:paraId="7595E70B">
            <w:pPr>
              <w:spacing w:line="240" w:lineRule="auto"/>
              <w:ind w:firstLine="0" w:firstLineChars="0"/>
              <w:jc w:val="center"/>
              <w:rPr>
                <w:sz w:val="21"/>
                <w:szCs w:val="21"/>
              </w:rPr>
            </w:pPr>
            <w:r>
              <w:rPr>
                <w:sz w:val="21"/>
                <w:szCs w:val="21"/>
              </w:rPr>
              <w:t>沸点</w:t>
            </w:r>
          </w:p>
        </w:tc>
        <w:tc>
          <w:tcPr>
            <w:tcW w:w="1173" w:type="pct"/>
            <w:gridSpan w:val="3"/>
            <w:vAlign w:val="center"/>
          </w:tcPr>
          <w:p w14:paraId="12CD75A1">
            <w:pPr>
              <w:spacing w:line="240" w:lineRule="auto"/>
              <w:ind w:firstLine="0" w:firstLineChars="0"/>
              <w:jc w:val="center"/>
              <w:rPr>
                <w:sz w:val="21"/>
                <w:szCs w:val="21"/>
                <w:highlight w:val="yellow"/>
              </w:rPr>
            </w:pPr>
            <w:r>
              <w:rPr>
                <w:rFonts w:hint="eastAsia"/>
                <w:sz w:val="21"/>
                <w:szCs w:val="21"/>
                <w:shd w:val="clear" w:color="auto" w:fill="FFFFFF"/>
              </w:rPr>
              <w:t>175</w:t>
            </w:r>
            <w:r>
              <w:rPr>
                <w:sz w:val="21"/>
                <w:szCs w:val="21"/>
                <w:shd w:val="clear" w:color="auto" w:fill="FFFFFF"/>
              </w:rPr>
              <w:t>℃</w:t>
            </w:r>
            <w:r>
              <w:rPr>
                <w:rFonts w:hint="eastAsia"/>
                <w:sz w:val="21"/>
                <w:szCs w:val="21"/>
                <w:shd w:val="clear" w:color="auto" w:fill="FFFFFF"/>
              </w:rPr>
              <w:t>（101.3KPa）</w:t>
            </w:r>
          </w:p>
        </w:tc>
      </w:tr>
      <w:tr w14:paraId="7C895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C45DD06">
            <w:pPr>
              <w:spacing w:line="240" w:lineRule="auto"/>
              <w:ind w:firstLine="0" w:firstLineChars="0"/>
              <w:jc w:val="center"/>
              <w:rPr>
                <w:sz w:val="21"/>
                <w:szCs w:val="21"/>
              </w:rPr>
            </w:pPr>
            <w:r>
              <w:rPr>
                <w:rFonts w:hint="eastAsia"/>
                <w:sz w:val="21"/>
                <w:szCs w:val="21"/>
              </w:rPr>
              <w:t>溶解性</w:t>
            </w:r>
          </w:p>
        </w:tc>
        <w:tc>
          <w:tcPr>
            <w:tcW w:w="1826" w:type="pct"/>
            <w:gridSpan w:val="2"/>
            <w:vAlign w:val="center"/>
          </w:tcPr>
          <w:p w14:paraId="0F3D0906">
            <w:pPr>
              <w:spacing w:line="240" w:lineRule="auto"/>
              <w:ind w:firstLine="0" w:firstLineChars="0"/>
              <w:jc w:val="center"/>
              <w:rPr>
                <w:sz w:val="21"/>
                <w:szCs w:val="21"/>
                <w:highlight w:val="yellow"/>
              </w:rPr>
            </w:pPr>
            <w:r>
              <w:rPr>
                <w:rFonts w:hint="eastAsia"/>
                <w:sz w:val="21"/>
                <w:szCs w:val="21"/>
              </w:rPr>
              <w:t>能够溶于苯等有机溶剂，但不溶于水</w:t>
            </w:r>
          </w:p>
        </w:tc>
        <w:tc>
          <w:tcPr>
            <w:tcW w:w="1151" w:type="pct"/>
            <w:gridSpan w:val="2"/>
            <w:vAlign w:val="center"/>
          </w:tcPr>
          <w:p w14:paraId="338FD67D">
            <w:pPr>
              <w:spacing w:line="240" w:lineRule="auto"/>
              <w:ind w:firstLine="0" w:firstLineChars="0"/>
              <w:jc w:val="center"/>
              <w:rPr>
                <w:sz w:val="21"/>
                <w:szCs w:val="21"/>
              </w:rPr>
            </w:pPr>
            <w:r>
              <w:rPr>
                <w:rFonts w:hint="eastAsia"/>
                <w:sz w:val="21"/>
                <w:szCs w:val="21"/>
              </w:rPr>
              <w:t>自燃温度</w:t>
            </w:r>
          </w:p>
        </w:tc>
        <w:tc>
          <w:tcPr>
            <w:tcW w:w="1173" w:type="pct"/>
            <w:gridSpan w:val="3"/>
            <w:vAlign w:val="center"/>
          </w:tcPr>
          <w:p w14:paraId="302452CD">
            <w:pPr>
              <w:spacing w:line="240" w:lineRule="auto"/>
              <w:ind w:firstLine="0" w:firstLineChars="0"/>
              <w:jc w:val="center"/>
              <w:rPr>
                <w:sz w:val="21"/>
                <w:szCs w:val="21"/>
                <w:highlight w:val="yellow"/>
              </w:rPr>
            </w:pPr>
            <w:r>
              <w:rPr>
                <w:rFonts w:hint="eastAsia"/>
                <w:sz w:val="21"/>
                <w:szCs w:val="21"/>
              </w:rPr>
              <w:t>402-450℃</w:t>
            </w:r>
          </w:p>
        </w:tc>
      </w:tr>
      <w:tr w14:paraId="1F12A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FB290F2">
            <w:pPr>
              <w:spacing w:line="240" w:lineRule="auto"/>
              <w:ind w:firstLine="0" w:firstLineChars="0"/>
              <w:jc w:val="center"/>
              <w:rPr>
                <w:sz w:val="21"/>
                <w:szCs w:val="21"/>
              </w:rPr>
            </w:pPr>
            <w:r>
              <w:rPr>
                <w:rFonts w:hint="eastAsia"/>
                <w:sz w:val="21"/>
                <w:szCs w:val="21"/>
              </w:rPr>
              <w:t>爆炸性</w:t>
            </w:r>
          </w:p>
        </w:tc>
        <w:tc>
          <w:tcPr>
            <w:tcW w:w="4150" w:type="pct"/>
            <w:gridSpan w:val="7"/>
            <w:vAlign w:val="center"/>
          </w:tcPr>
          <w:p w14:paraId="49E2DBAF">
            <w:pPr>
              <w:spacing w:line="240" w:lineRule="auto"/>
              <w:ind w:firstLine="0" w:firstLineChars="0"/>
              <w:jc w:val="center"/>
              <w:rPr>
                <w:sz w:val="21"/>
                <w:szCs w:val="21"/>
              </w:rPr>
            </w:pPr>
            <w:r>
              <w:rPr>
                <w:rFonts w:hint="eastAsia"/>
                <w:sz w:val="21"/>
                <w:szCs w:val="21"/>
              </w:rPr>
              <w:t>爆炸上限为7.9%（V），爆炸下限为0.52%（V）</w:t>
            </w:r>
          </w:p>
        </w:tc>
      </w:tr>
      <w:tr w14:paraId="6BB8D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AE9AEC8">
            <w:pPr>
              <w:spacing w:line="240" w:lineRule="auto"/>
              <w:ind w:firstLine="0" w:firstLineChars="0"/>
              <w:jc w:val="center"/>
              <w:rPr>
                <w:sz w:val="21"/>
                <w:szCs w:val="21"/>
              </w:rPr>
            </w:pPr>
            <w:r>
              <w:rPr>
                <w:sz w:val="21"/>
                <w:szCs w:val="21"/>
              </w:rPr>
              <w:t>毒理性</w:t>
            </w:r>
          </w:p>
        </w:tc>
        <w:tc>
          <w:tcPr>
            <w:tcW w:w="4150" w:type="pct"/>
            <w:gridSpan w:val="7"/>
            <w:vAlign w:val="center"/>
          </w:tcPr>
          <w:p w14:paraId="31E2FAB6">
            <w:pPr>
              <w:spacing w:line="240" w:lineRule="auto"/>
              <w:ind w:firstLine="0" w:firstLineChars="0"/>
              <w:jc w:val="center"/>
              <w:rPr>
                <w:sz w:val="21"/>
                <w:szCs w:val="21"/>
                <w:highlight w:val="yellow"/>
              </w:rPr>
            </w:pPr>
            <w:r>
              <w:rPr>
                <w:rFonts w:hint="eastAsia"/>
                <w:sz w:val="21"/>
                <w:szCs w:val="21"/>
              </w:rPr>
              <w:t>LD</w:t>
            </w:r>
            <w:r>
              <w:rPr>
                <w:rFonts w:hint="eastAsia"/>
                <w:sz w:val="21"/>
                <w:szCs w:val="21"/>
                <w:vertAlign w:val="subscript"/>
              </w:rPr>
              <w:t>50</w:t>
            </w:r>
            <w:r>
              <w:rPr>
                <w:rFonts w:hint="eastAsia"/>
                <w:sz w:val="21"/>
                <w:szCs w:val="21"/>
              </w:rPr>
              <w:t>：＞2000mg/kg(大鼠经口)；LC</w:t>
            </w:r>
            <w:r>
              <w:rPr>
                <w:rFonts w:hint="eastAsia"/>
                <w:sz w:val="21"/>
                <w:szCs w:val="21"/>
                <w:vertAlign w:val="subscript"/>
              </w:rPr>
              <w:t>50</w:t>
            </w:r>
            <w:r>
              <w:rPr>
                <w:rFonts w:hint="eastAsia"/>
                <w:sz w:val="21"/>
                <w:szCs w:val="21"/>
              </w:rPr>
              <w:t>：36000mg/m</w:t>
            </w:r>
            <w:r>
              <w:rPr>
                <w:rFonts w:hint="eastAsia"/>
                <w:sz w:val="21"/>
                <w:szCs w:val="21"/>
                <w:vertAlign w:val="superscript"/>
              </w:rPr>
              <w:t>3</w:t>
            </w:r>
            <w:r>
              <w:rPr>
                <w:rFonts w:hint="eastAsia"/>
                <w:sz w:val="21"/>
                <w:szCs w:val="21"/>
              </w:rPr>
              <w:t>（大鼠吸入）</w:t>
            </w:r>
          </w:p>
        </w:tc>
      </w:tr>
      <w:tr w14:paraId="26E16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Merge w:val="restart"/>
            <w:vAlign w:val="center"/>
          </w:tcPr>
          <w:p w14:paraId="2D80DFB5">
            <w:pPr>
              <w:spacing w:line="240" w:lineRule="auto"/>
              <w:ind w:firstLine="0" w:firstLineChars="0"/>
              <w:jc w:val="center"/>
              <w:rPr>
                <w:sz w:val="21"/>
                <w:szCs w:val="21"/>
                <w:highlight w:val="yellow"/>
              </w:rPr>
            </w:pPr>
            <w:r>
              <w:rPr>
                <w:sz w:val="21"/>
                <w:szCs w:val="21"/>
              </w:rPr>
              <w:t>危险特性</w:t>
            </w:r>
          </w:p>
        </w:tc>
        <w:tc>
          <w:tcPr>
            <w:tcW w:w="4150" w:type="pct"/>
            <w:gridSpan w:val="7"/>
            <w:vAlign w:val="center"/>
          </w:tcPr>
          <w:p w14:paraId="4412F8D9">
            <w:pPr>
              <w:spacing w:line="240" w:lineRule="auto"/>
              <w:ind w:firstLine="0" w:firstLineChars="0"/>
              <w:rPr>
                <w:sz w:val="21"/>
                <w:szCs w:val="21"/>
                <w:highlight w:val="yellow"/>
              </w:rPr>
            </w:pPr>
            <w:r>
              <w:rPr>
                <w:rFonts w:hint="eastAsia"/>
                <w:sz w:val="21"/>
                <w:szCs w:val="21"/>
              </w:rPr>
              <w:t>燃烧性：八甲基环四硅氧烷是可燃的，其蒸气与空气混合物具有爆炸性。微细分散的颗粒物在空气中也能形成爆炸性混合物，静电可能会累积并引燃气雾。</w:t>
            </w:r>
          </w:p>
        </w:tc>
      </w:tr>
      <w:tr w14:paraId="3B6CF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Merge w:val="continue"/>
            <w:vAlign w:val="center"/>
          </w:tcPr>
          <w:p w14:paraId="48B70078">
            <w:pPr>
              <w:spacing w:line="240" w:lineRule="auto"/>
              <w:ind w:firstLine="0" w:firstLineChars="0"/>
              <w:jc w:val="center"/>
              <w:rPr>
                <w:sz w:val="21"/>
                <w:szCs w:val="21"/>
              </w:rPr>
            </w:pPr>
          </w:p>
        </w:tc>
        <w:tc>
          <w:tcPr>
            <w:tcW w:w="4150" w:type="pct"/>
            <w:gridSpan w:val="7"/>
            <w:vAlign w:val="center"/>
          </w:tcPr>
          <w:p w14:paraId="2F99D429">
            <w:pPr>
              <w:spacing w:line="240" w:lineRule="auto"/>
              <w:ind w:firstLine="0" w:firstLineChars="0"/>
              <w:rPr>
                <w:sz w:val="21"/>
                <w:szCs w:val="21"/>
              </w:rPr>
            </w:pPr>
            <w:r>
              <w:rPr>
                <w:rFonts w:hint="eastAsia"/>
                <w:sz w:val="21"/>
                <w:szCs w:val="21"/>
              </w:rPr>
              <w:t>灭火方法：应使用水雾、耐醇泡沫、干粉或二氧化碳进行灭火。</w:t>
            </w:r>
          </w:p>
        </w:tc>
      </w:tr>
      <w:tr w14:paraId="2B0B9E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0E069B0">
            <w:pPr>
              <w:spacing w:line="240" w:lineRule="auto"/>
              <w:ind w:firstLine="0" w:firstLineChars="0"/>
              <w:jc w:val="center"/>
              <w:rPr>
                <w:sz w:val="21"/>
                <w:szCs w:val="21"/>
              </w:rPr>
            </w:pPr>
            <w:r>
              <w:rPr>
                <w:sz w:val="21"/>
                <w:szCs w:val="21"/>
              </w:rPr>
              <w:t>健康危害</w:t>
            </w:r>
          </w:p>
        </w:tc>
        <w:tc>
          <w:tcPr>
            <w:tcW w:w="4150" w:type="pct"/>
            <w:gridSpan w:val="7"/>
            <w:vAlign w:val="center"/>
          </w:tcPr>
          <w:p w14:paraId="50BBD42D">
            <w:pPr>
              <w:spacing w:line="240" w:lineRule="auto"/>
              <w:ind w:firstLine="0" w:firstLineChars="0"/>
              <w:rPr>
                <w:sz w:val="21"/>
                <w:szCs w:val="21"/>
              </w:rPr>
            </w:pPr>
            <w:r>
              <w:rPr>
                <w:rFonts w:hint="eastAsia"/>
                <w:sz w:val="21"/>
                <w:szCs w:val="21"/>
              </w:rPr>
              <w:t>1.刺激性：对眼睛和皮肤有刺激作用，可引起眼部疼痛流泪、皮肤瘙痒等症状。</w:t>
            </w:r>
          </w:p>
          <w:p w14:paraId="5EA25317">
            <w:pPr>
              <w:spacing w:line="240" w:lineRule="auto"/>
              <w:ind w:firstLine="0" w:firstLineChars="0"/>
              <w:rPr>
                <w:sz w:val="21"/>
                <w:szCs w:val="21"/>
              </w:rPr>
            </w:pPr>
            <w:r>
              <w:rPr>
                <w:rFonts w:hint="eastAsia"/>
                <w:sz w:val="21"/>
                <w:szCs w:val="21"/>
              </w:rPr>
              <w:t>2.急性毒性：对人体的毒性相对较低，但大量吸入或误服仍可能引起恶心、呕吐、头痛、乏力等不适症状。</w:t>
            </w:r>
          </w:p>
          <w:p w14:paraId="2C43406F">
            <w:pPr>
              <w:spacing w:line="240" w:lineRule="auto"/>
              <w:ind w:firstLine="0" w:firstLineChars="0"/>
            </w:pPr>
            <w:r>
              <w:rPr>
                <w:rFonts w:hint="eastAsia"/>
                <w:sz w:val="21"/>
                <w:szCs w:val="21"/>
              </w:rPr>
              <w:t>3.慢性毒性：长期接触可能对肝、肾等器官产生一定的损害，影响免疫系统功能，增加患癌症的风险。</w:t>
            </w:r>
          </w:p>
        </w:tc>
      </w:tr>
      <w:tr w14:paraId="0FD3A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77C65C66">
            <w:pPr>
              <w:spacing w:line="240" w:lineRule="auto"/>
              <w:ind w:firstLine="0" w:firstLineChars="0"/>
              <w:jc w:val="center"/>
              <w:rPr>
                <w:b/>
                <w:sz w:val="21"/>
                <w:szCs w:val="21"/>
                <w:highlight w:val="yellow"/>
              </w:rPr>
            </w:pPr>
            <w:r>
              <w:rPr>
                <w:rFonts w:hint="eastAsia"/>
                <w:b/>
                <w:sz w:val="21"/>
                <w:szCs w:val="21"/>
              </w:rPr>
              <w:t>氨</w:t>
            </w:r>
          </w:p>
        </w:tc>
      </w:tr>
      <w:tr w14:paraId="24399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466207CB">
            <w:pPr>
              <w:spacing w:line="240" w:lineRule="auto"/>
              <w:ind w:firstLine="0" w:firstLineChars="0"/>
              <w:jc w:val="center"/>
              <w:rPr>
                <w:sz w:val="21"/>
                <w:szCs w:val="21"/>
              </w:rPr>
            </w:pPr>
            <w:r>
              <w:rPr>
                <w:sz w:val="21"/>
                <w:szCs w:val="21"/>
              </w:rPr>
              <w:t>分子式</w:t>
            </w:r>
          </w:p>
        </w:tc>
        <w:tc>
          <w:tcPr>
            <w:tcW w:w="1826" w:type="pct"/>
            <w:gridSpan w:val="2"/>
            <w:vAlign w:val="center"/>
          </w:tcPr>
          <w:p w14:paraId="39D1DDFF">
            <w:pPr>
              <w:spacing w:line="240" w:lineRule="auto"/>
              <w:ind w:firstLine="0" w:firstLineChars="0"/>
              <w:jc w:val="center"/>
              <w:rPr>
                <w:sz w:val="21"/>
                <w:szCs w:val="21"/>
              </w:rPr>
            </w:pPr>
            <w:r>
              <w:rPr>
                <w:rFonts w:hint="eastAsia"/>
                <w:kern w:val="2"/>
                <w:sz w:val="21"/>
                <w:szCs w:val="21"/>
              </w:rPr>
              <w:t>N</w:t>
            </w:r>
            <w:r>
              <w:rPr>
                <w:kern w:val="2"/>
                <w:sz w:val="21"/>
                <w:szCs w:val="21"/>
              </w:rPr>
              <w:t>H</w:t>
            </w:r>
            <w:r>
              <w:rPr>
                <w:kern w:val="2"/>
                <w:sz w:val="21"/>
                <w:szCs w:val="21"/>
                <w:vertAlign w:val="subscript"/>
              </w:rPr>
              <w:t>3</w:t>
            </w:r>
          </w:p>
        </w:tc>
        <w:tc>
          <w:tcPr>
            <w:tcW w:w="1151" w:type="pct"/>
            <w:gridSpan w:val="2"/>
            <w:vAlign w:val="center"/>
          </w:tcPr>
          <w:p w14:paraId="433E6504">
            <w:pPr>
              <w:spacing w:line="240" w:lineRule="auto"/>
              <w:ind w:firstLine="0" w:firstLineChars="0"/>
              <w:jc w:val="center"/>
              <w:rPr>
                <w:sz w:val="21"/>
                <w:szCs w:val="21"/>
              </w:rPr>
            </w:pPr>
            <w:r>
              <w:rPr>
                <w:sz w:val="21"/>
                <w:szCs w:val="21"/>
              </w:rPr>
              <w:t>外观与性状</w:t>
            </w:r>
          </w:p>
        </w:tc>
        <w:tc>
          <w:tcPr>
            <w:tcW w:w="1173" w:type="pct"/>
            <w:gridSpan w:val="3"/>
            <w:vAlign w:val="center"/>
          </w:tcPr>
          <w:p w14:paraId="4BB61B13">
            <w:pPr>
              <w:spacing w:line="240" w:lineRule="auto"/>
              <w:ind w:firstLine="0" w:firstLineChars="0"/>
              <w:jc w:val="center"/>
              <w:rPr>
                <w:sz w:val="21"/>
                <w:szCs w:val="21"/>
                <w:highlight w:val="yellow"/>
              </w:rPr>
            </w:pPr>
            <w:r>
              <w:rPr>
                <w:rFonts w:hint="eastAsia"/>
                <w:kern w:val="2"/>
                <w:sz w:val="21"/>
                <w:szCs w:val="21"/>
              </w:rPr>
              <w:t>无色、有刺激性恶臭的气体</w:t>
            </w:r>
          </w:p>
        </w:tc>
      </w:tr>
      <w:tr w14:paraId="0A183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4FC28A35">
            <w:pPr>
              <w:spacing w:line="240" w:lineRule="auto"/>
              <w:ind w:firstLine="0" w:firstLineChars="0"/>
              <w:jc w:val="center"/>
              <w:rPr>
                <w:sz w:val="21"/>
                <w:szCs w:val="21"/>
              </w:rPr>
            </w:pPr>
            <w:r>
              <w:rPr>
                <w:sz w:val="21"/>
                <w:szCs w:val="21"/>
              </w:rPr>
              <w:t>分子量</w:t>
            </w:r>
          </w:p>
        </w:tc>
        <w:tc>
          <w:tcPr>
            <w:tcW w:w="1826" w:type="pct"/>
            <w:gridSpan w:val="2"/>
            <w:vAlign w:val="center"/>
          </w:tcPr>
          <w:p w14:paraId="753D001F">
            <w:pPr>
              <w:spacing w:line="240" w:lineRule="auto"/>
              <w:ind w:firstLine="0" w:firstLineChars="0"/>
              <w:jc w:val="center"/>
              <w:rPr>
                <w:sz w:val="21"/>
                <w:szCs w:val="21"/>
                <w:highlight w:val="yellow"/>
              </w:rPr>
            </w:pPr>
            <w:r>
              <w:rPr>
                <w:sz w:val="21"/>
                <w:szCs w:val="21"/>
              </w:rPr>
              <w:t>17.03</w:t>
            </w:r>
          </w:p>
        </w:tc>
        <w:tc>
          <w:tcPr>
            <w:tcW w:w="1151" w:type="pct"/>
            <w:gridSpan w:val="2"/>
            <w:vAlign w:val="center"/>
          </w:tcPr>
          <w:p w14:paraId="403AA28B">
            <w:pPr>
              <w:spacing w:line="240" w:lineRule="auto"/>
              <w:ind w:firstLine="0" w:firstLineChars="0"/>
              <w:jc w:val="center"/>
              <w:rPr>
                <w:sz w:val="21"/>
                <w:szCs w:val="21"/>
              </w:rPr>
            </w:pPr>
            <w:r>
              <w:rPr>
                <w:sz w:val="21"/>
                <w:szCs w:val="21"/>
              </w:rPr>
              <w:t>饱和蒸汽压</w:t>
            </w:r>
          </w:p>
        </w:tc>
        <w:tc>
          <w:tcPr>
            <w:tcW w:w="1173" w:type="pct"/>
            <w:gridSpan w:val="3"/>
            <w:vAlign w:val="center"/>
          </w:tcPr>
          <w:p w14:paraId="247A7CF3">
            <w:pPr>
              <w:spacing w:line="240" w:lineRule="auto"/>
              <w:ind w:firstLine="0" w:firstLineChars="0"/>
              <w:jc w:val="center"/>
              <w:rPr>
                <w:sz w:val="21"/>
                <w:szCs w:val="21"/>
                <w:highlight w:val="yellow"/>
              </w:rPr>
            </w:pPr>
            <w:r>
              <w:rPr>
                <w:sz w:val="21"/>
                <w:szCs w:val="21"/>
              </w:rPr>
              <w:t>1013kPa（26℃）</w:t>
            </w:r>
          </w:p>
        </w:tc>
      </w:tr>
      <w:tr w14:paraId="12EC2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5D0C3704">
            <w:pPr>
              <w:spacing w:line="240" w:lineRule="auto"/>
              <w:ind w:firstLine="0" w:firstLineChars="0"/>
              <w:jc w:val="center"/>
              <w:rPr>
                <w:sz w:val="21"/>
                <w:szCs w:val="21"/>
              </w:rPr>
            </w:pPr>
            <w:r>
              <w:rPr>
                <w:rFonts w:hint="eastAsia"/>
                <w:sz w:val="21"/>
                <w:szCs w:val="21"/>
              </w:rPr>
              <w:t>C</w:t>
            </w:r>
            <w:r>
              <w:rPr>
                <w:sz w:val="21"/>
                <w:szCs w:val="21"/>
              </w:rPr>
              <w:t>AS</w:t>
            </w:r>
          </w:p>
        </w:tc>
        <w:tc>
          <w:tcPr>
            <w:tcW w:w="1826" w:type="pct"/>
            <w:gridSpan w:val="2"/>
            <w:vAlign w:val="center"/>
          </w:tcPr>
          <w:p w14:paraId="38A77676">
            <w:pPr>
              <w:spacing w:line="240" w:lineRule="auto"/>
              <w:ind w:firstLine="0" w:firstLineChars="0"/>
              <w:jc w:val="center"/>
              <w:rPr>
                <w:sz w:val="21"/>
                <w:szCs w:val="21"/>
                <w:highlight w:val="yellow"/>
              </w:rPr>
            </w:pPr>
            <w:r>
              <w:rPr>
                <w:sz w:val="21"/>
                <w:szCs w:val="21"/>
              </w:rPr>
              <w:t>7664-41-7</w:t>
            </w:r>
          </w:p>
        </w:tc>
        <w:tc>
          <w:tcPr>
            <w:tcW w:w="1151" w:type="pct"/>
            <w:gridSpan w:val="2"/>
            <w:vAlign w:val="center"/>
          </w:tcPr>
          <w:p w14:paraId="0B7856D3">
            <w:pPr>
              <w:spacing w:line="240" w:lineRule="auto"/>
              <w:ind w:firstLine="0" w:firstLineChars="0"/>
              <w:jc w:val="center"/>
              <w:rPr>
                <w:sz w:val="21"/>
                <w:szCs w:val="21"/>
              </w:rPr>
            </w:pPr>
            <w:r>
              <w:rPr>
                <w:sz w:val="21"/>
                <w:szCs w:val="21"/>
              </w:rPr>
              <w:t>密度</w:t>
            </w:r>
          </w:p>
        </w:tc>
        <w:tc>
          <w:tcPr>
            <w:tcW w:w="1173" w:type="pct"/>
            <w:gridSpan w:val="3"/>
            <w:vAlign w:val="center"/>
          </w:tcPr>
          <w:p w14:paraId="22A79AD8">
            <w:pPr>
              <w:spacing w:line="240" w:lineRule="auto"/>
              <w:ind w:firstLine="0" w:firstLineChars="0"/>
              <w:jc w:val="center"/>
              <w:rPr>
                <w:sz w:val="21"/>
                <w:szCs w:val="21"/>
                <w:highlight w:val="yellow"/>
              </w:rPr>
            </w:pPr>
            <w:r>
              <w:rPr>
                <w:sz w:val="21"/>
                <w:szCs w:val="21"/>
              </w:rPr>
              <w:t>0.7708g/L</w:t>
            </w:r>
          </w:p>
        </w:tc>
      </w:tr>
      <w:tr w14:paraId="21074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07C13A27">
            <w:pPr>
              <w:spacing w:line="240" w:lineRule="auto"/>
              <w:ind w:firstLine="0" w:firstLineChars="0"/>
              <w:jc w:val="center"/>
              <w:rPr>
                <w:sz w:val="21"/>
                <w:szCs w:val="21"/>
              </w:rPr>
            </w:pPr>
            <w:r>
              <w:rPr>
                <w:rFonts w:hint="eastAsia"/>
                <w:sz w:val="21"/>
                <w:szCs w:val="21"/>
              </w:rPr>
              <w:t>熔点</w:t>
            </w:r>
          </w:p>
        </w:tc>
        <w:tc>
          <w:tcPr>
            <w:tcW w:w="1826" w:type="pct"/>
            <w:gridSpan w:val="2"/>
            <w:vAlign w:val="center"/>
          </w:tcPr>
          <w:p w14:paraId="1AE0A13E">
            <w:pPr>
              <w:spacing w:line="240" w:lineRule="auto"/>
              <w:ind w:firstLine="0" w:firstLineChars="0"/>
              <w:jc w:val="center"/>
              <w:rPr>
                <w:sz w:val="21"/>
                <w:szCs w:val="21"/>
                <w:highlight w:val="yellow"/>
              </w:rPr>
            </w:pPr>
            <w:r>
              <w:rPr>
                <w:sz w:val="21"/>
                <w:szCs w:val="21"/>
              </w:rPr>
              <w:t>-77.7℃</w:t>
            </w:r>
          </w:p>
        </w:tc>
        <w:tc>
          <w:tcPr>
            <w:tcW w:w="1151" w:type="pct"/>
            <w:gridSpan w:val="2"/>
            <w:vAlign w:val="center"/>
          </w:tcPr>
          <w:p w14:paraId="36968E68">
            <w:pPr>
              <w:spacing w:line="240" w:lineRule="auto"/>
              <w:ind w:firstLine="0" w:firstLineChars="0"/>
              <w:jc w:val="center"/>
              <w:rPr>
                <w:sz w:val="21"/>
                <w:szCs w:val="21"/>
              </w:rPr>
            </w:pPr>
            <w:r>
              <w:rPr>
                <w:sz w:val="21"/>
                <w:szCs w:val="21"/>
              </w:rPr>
              <w:t>沸点</w:t>
            </w:r>
          </w:p>
        </w:tc>
        <w:tc>
          <w:tcPr>
            <w:tcW w:w="1173" w:type="pct"/>
            <w:gridSpan w:val="3"/>
            <w:vAlign w:val="center"/>
          </w:tcPr>
          <w:p w14:paraId="48E1FF2D">
            <w:pPr>
              <w:spacing w:line="240" w:lineRule="auto"/>
              <w:ind w:firstLine="0" w:firstLineChars="0"/>
              <w:jc w:val="center"/>
              <w:rPr>
                <w:sz w:val="21"/>
                <w:szCs w:val="21"/>
                <w:highlight w:val="yellow"/>
              </w:rPr>
            </w:pPr>
            <w:r>
              <w:rPr>
                <w:sz w:val="21"/>
                <w:szCs w:val="21"/>
              </w:rPr>
              <w:t>-33.5℃</w:t>
            </w:r>
          </w:p>
        </w:tc>
      </w:tr>
      <w:tr w14:paraId="35193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E6AC71E">
            <w:pPr>
              <w:spacing w:line="240" w:lineRule="auto"/>
              <w:ind w:firstLine="0" w:firstLineChars="0"/>
              <w:jc w:val="center"/>
              <w:rPr>
                <w:sz w:val="21"/>
                <w:szCs w:val="21"/>
              </w:rPr>
            </w:pPr>
            <w:r>
              <w:rPr>
                <w:rFonts w:hint="eastAsia"/>
                <w:sz w:val="21"/>
                <w:szCs w:val="21"/>
              </w:rPr>
              <w:t>临界压力</w:t>
            </w:r>
          </w:p>
        </w:tc>
        <w:tc>
          <w:tcPr>
            <w:tcW w:w="1826" w:type="pct"/>
            <w:gridSpan w:val="2"/>
            <w:vAlign w:val="center"/>
          </w:tcPr>
          <w:p w14:paraId="51659E44">
            <w:pPr>
              <w:spacing w:line="240" w:lineRule="auto"/>
              <w:ind w:firstLine="0" w:firstLineChars="0"/>
              <w:jc w:val="center"/>
              <w:rPr>
                <w:sz w:val="21"/>
                <w:szCs w:val="21"/>
                <w:highlight w:val="yellow"/>
              </w:rPr>
            </w:pPr>
            <w:r>
              <w:rPr>
                <w:rFonts w:hint="eastAsia"/>
                <w:sz w:val="21"/>
                <w:szCs w:val="21"/>
              </w:rPr>
              <w:t>11.4MPa</w:t>
            </w:r>
          </w:p>
        </w:tc>
        <w:tc>
          <w:tcPr>
            <w:tcW w:w="1151" w:type="pct"/>
            <w:gridSpan w:val="2"/>
            <w:vAlign w:val="center"/>
          </w:tcPr>
          <w:p w14:paraId="427584C6">
            <w:pPr>
              <w:spacing w:line="240" w:lineRule="auto"/>
              <w:ind w:firstLine="0" w:firstLineChars="0"/>
              <w:jc w:val="center"/>
              <w:rPr>
                <w:sz w:val="21"/>
                <w:szCs w:val="21"/>
              </w:rPr>
            </w:pPr>
            <w:r>
              <w:rPr>
                <w:rFonts w:hint="eastAsia"/>
                <w:sz w:val="21"/>
                <w:szCs w:val="21"/>
              </w:rPr>
              <w:t>爆炸极限</w:t>
            </w:r>
          </w:p>
        </w:tc>
        <w:tc>
          <w:tcPr>
            <w:tcW w:w="1173" w:type="pct"/>
            <w:gridSpan w:val="3"/>
            <w:vAlign w:val="center"/>
          </w:tcPr>
          <w:p w14:paraId="31737340">
            <w:pPr>
              <w:spacing w:line="240" w:lineRule="auto"/>
              <w:ind w:firstLine="0" w:firstLineChars="0"/>
              <w:jc w:val="center"/>
              <w:rPr>
                <w:sz w:val="21"/>
                <w:szCs w:val="21"/>
                <w:highlight w:val="yellow"/>
              </w:rPr>
            </w:pPr>
            <w:r>
              <w:rPr>
                <w:rFonts w:hint="eastAsia"/>
                <w:sz w:val="21"/>
                <w:szCs w:val="21"/>
              </w:rPr>
              <w:t>15%~30.2%（体积比）</w:t>
            </w:r>
          </w:p>
        </w:tc>
      </w:tr>
      <w:tr w14:paraId="47316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4077116">
            <w:pPr>
              <w:spacing w:line="240" w:lineRule="auto"/>
              <w:ind w:firstLine="0" w:firstLineChars="0"/>
              <w:jc w:val="center"/>
              <w:rPr>
                <w:sz w:val="21"/>
                <w:szCs w:val="21"/>
              </w:rPr>
            </w:pPr>
            <w:r>
              <w:rPr>
                <w:rFonts w:hint="eastAsia"/>
                <w:sz w:val="21"/>
                <w:szCs w:val="21"/>
              </w:rPr>
              <w:t>最大爆炸压力</w:t>
            </w:r>
          </w:p>
        </w:tc>
        <w:tc>
          <w:tcPr>
            <w:tcW w:w="1826" w:type="pct"/>
            <w:gridSpan w:val="2"/>
            <w:vAlign w:val="center"/>
          </w:tcPr>
          <w:p w14:paraId="1C8A2EB7">
            <w:pPr>
              <w:spacing w:line="240" w:lineRule="auto"/>
              <w:ind w:firstLine="0" w:firstLineChars="0"/>
              <w:jc w:val="center"/>
              <w:rPr>
                <w:sz w:val="21"/>
                <w:szCs w:val="21"/>
                <w:highlight w:val="yellow"/>
              </w:rPr>
            </w:pPr>
            <w:r>
              <w:rPr>
                <w:rFonts w:hint="eastAsia"/>
                <w:sz w:val="21"/>
                <w:szCs w:val="21"/>
              </w:rPr>
              <w:t>0.58MPa</w:t>
            </w:r>
          </w:p>
        </w:tc>
        <w:tc>
          <w:tcPr>
            <w:tcW w:w="1151" w:type="pct"/>
            <w:gridSpan w:val="2"/>
            <w:vAlign w:val="center"/>
          </w:tcPr>
          <w:p w14:paraId="7C2EE52A">
            <w:pPr>
              <w:spacing w:line="240" w:lineRule="auto"/>
              <w:ind w:firstLine="0" w:firstLineChars="0"/>
              <w:jc w:val="center"/>
              <w:rPr>
                <w:sz w:val="21"/>
                <w:szCs w:val="21"/>
              </w:rPr>
            </w:pPr>
            <w:r>
              <w:rPr>
                <w:sz w:val="21"/>
                <w:szCs w:val="21"/>
              </w:rPr>
              <w:t>溶解性</w:t>
            </w:r>
          </w:p>
        </w:tc>
        <w:tc>
          <w:tcPr>
            <w:tcW w:w="1173" w:type="pct"/>
            <w:gridSpan w:val="3"/>
            <w:vAlign w:val="center"/>
          </w:tcPr>
          <w:p w14:paraId="2E1A6F6D">
            <w:pPr>
              <w:spacing w:line="240" w:lineRule="auto"/>
              <w:ind w:firstLine="0" w:firstLineChars="0"/>
              <w:jc w:val="center"/>
              <w:rPr>
                <w:rFonts w:hint="eastAsia" w:ascii="Helvetica" w:hAnsi="Helvetica" w:cs="Helvetica"/>
                <w:sz w:val="21"/>
                <w:szCs w:val="21"/>
                <w:shd w:val="clear" w:color="auto" w:fill="FFFFFF"/>
              </w:rPr>
            </w:pPr>
            <w:r>
              <w:rPr>
                <w:rFonts w:hint="eastAsia" w:ascii="Helvetica" w:hAnsi="Helvetica" w:cs="Helvetica"/>
                <w:sz w:val="21"/>
                <w:szCs w:val="21"/>
                <w:shd w:val="clear" w:color="auto" w:fill="FFFFFF"/>
              </w:rPr>
              <w:t>易溶于水、乙醇、乙醚</w:t>
            </w:r>
          </w:p>
        </w:tc>
      </w:tr>
      <w:tr w14:paraId="480FC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3729D10">
            <w:pPr>
              <w:spacing w:line="240" w:lineRule="auto"/>
              <w:ind w:firstLine="0" w:firstLineChars="0"/>
              <w:jc w:val="center"/>
              <w:rPr>
                <w:sz w:val="21"/>
                <w:szCs w:val="21"/>
              </w:rPr>
            </w:pPr>
            <w:r>
              <w:rPr>
                <w:sz w:val="21"/>
                <w:szCs w:val="21"/>
              </w:rPr>
              <w:t>毒理性</w:t>
            </w:r>
          </w:p>
        </w:tc>
        <w:tc>
          <w:tcPr>
            <w:tcW w:w="4150" w:type="pct"/>
            <w:gridSpan w:val="7"/>
            <w:vAlign w:val="center"/>
          </w:tcPr>
          <w:p w14:paraId="7F0042CE">
            <w:pPr>
              <w:spacing w:line="240" w:lineRule="auto"/>
              <w:ind w:firstLine="0" w:firstLineChars="0"/>
              <w:jc w:val="center"/>
              <w:rPr>
                <w:sz w:val="21"/>
                <w:szCs w:val="21"/>
                <w:highlight w:val="yellow"/>
              </w:rPr>
            </w:pPr>
            <w:r>
              <w:rPr>
                <w:sz w:val="21"/>
                <w:szCs w:val="21"/>
                <w:lang w:val="zh-TW"/>
              </w:rPr>
              <w:t>LD</w:t>
            </w:r>
            <w:r>
              <w:rPr>
                <w:sz w:val="21"/>
                <w:szCs w:val="21"/>
                <w:vertAlign w:val="subscript"/>
                <w:lang w:val="zh-TW"/>
              </w:rPr>
              <w:t>50</w:t>
            </w:r>
            <w:r>
              <w:rPr>
                <w:sz w:val="21"/>
                <w:szCs w:val="21"/>
                <w:lang w:val="zh-TW"/>
              </w:rPr>
              <w:t>：350mg/m</w:t>
            </w:r>
            <w:r>
              <w:rPr>
                <w:sz w:val="21"/>
                <w:szCs w:val="21"/>
                <w:vertAlign w:val="superscript"/>
                <w:lang w:val="zh-TW"/>
              </w:rPr>
              <w:t>3</w:t>
            </w:r>
            <w:r>
              <w:rPr>
                <w:sz w:val="21"/>
                <w:szCs w:val="21"/>
                <w:lang w:val="zh-TW"/>
              </w:rPr>
              <w:t xml:space="preserve"> (大鼠经口）；LC</w:t>
            </w:r>
            <w:r>
              <w:rPr>
                <w:sz w:val="21"/>
                <w:szCs w:val="21"/>
                <w:vertAlign w:val="subscript"/>
                <w:lang w:val="zh-TW"/>
              </w:rPr>
              <w:t>50</w:t>
            </w:r>
            <w:r>
              <w:rPr>
                <w:sz w:val="21"/>
                <w:szCs w:val="21"/>
                <w:lang w:val="zh-TW"/>
              </w:rPr>
              <w:t>：1390mg/m</w:t>
            </w:r>
            <w:r>
              <w:rPr>
                <w:sz w:val="21"/>
                <w:szCs w:val="21"/>
                <w:vertAlign w:val="superscript"/>
                <w:lang w:val="zh-TW"/>
              </w:rPr>
              <w:t>3</w:t>
            </w:r>
            <w:r>
              <w:rPr>
                <w:sz w:val="21"/>
                <w:szCs w:val="21"/>
                <w:lang w:val="zh-TW"/>
              </w:rPr>
              <w:t>，4小时(大鼠吸入）</w:t>
            </w:r>
          </w:p>
        </w:tc>
      </w:tr>
      <w:tr w14:paraId="78293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0D59F87">
            <w:pPr>
              <w:spacing w:line="240" w:lineRule="auto"/>
              <w:ind w:firstLine="0" w:firstLineChars="0"/>
              <w:jc w:val="center"/>
              <w:rPr>
                <w:sz w:val="21"/>
                <w:szCs w:val="21"/>
                <w:highlight w:val="yellow"/>
              </w:rPr>
            </w:pPr>
            <w:r>
              <w:rPr>
                <w:sz w:val="21"/>
                <w:szCs w:val="21"/>
              </w:rPr>
              <w:t>危险特性</w:t>
            </w:r>
          </w:p>
        </w:tc>
        <w:tc>
          <w:tcPr>
            <w:tcW w:w="4150" w:type="pct"/>
            <w:gridSpan w:val="7"/>
            <w:vAlign w:val="center"/>
          </w:tcPr>
          <w:p w14:paraId="3E55AF0C">
            <w:pPr>
              <w:spacing w:line="240" w:lineRule="auto"/>
              <w:ind w:firstLine="0" w:firstLineChars="0"/>
              <w:rPr>
                <w:highlight w:val="yellow"/>
              </w:rPr>
            </w:pPr>
            <w:r>
              <w:rPr>
                <w:rFonts w:hint="eastAsia"/>
                <w:sz w:val="21"/>
                <w:szCs w:val="21"/>
              </w:rPr>
              <w:t>与空气混合能形成爆炸性混合物，遇明火、高热能引起燃烧爆炸，与氟、氯等接触会发生剧烈的化学反应。若遇高热、容器内压增大，有开裂和爆炸的危险。</w:t>
            </w:r>
          </w:p>
        </w:tc>
      </w:tr>
      <w:tr w14:paraId="0F1AF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5F5378E8">
            <w:pPr>
              <w:spacing w:line="240" w:lineRule="auto"/>
              <w:ind w:firstLine="0" w:firstLineChars="0"/>
              <w:jc w:val="center"/>
              <w:rPr>
                <w:sz w:val="21"/>
                <w:szCs w:val="21"/>
                <w:highlight w:val="yellow"/>
              </w:rPr>
            </w:pPr>
            <w:r>
              <w:rPr>
                <w:sz w:val="21"/>
                <w:szCs w:val="21"/>
              </w:rPr>
              <w:t>健康危害</w:t>
            </w:r>
          </w:p>
        </w:tc>
        <w:tc>
          <w:tcPr>
            <w:tcW w:w="4150" w:type="pct"/>
            <w:gridSpan w:val="7"/>
            <w:vAlign w:val="center"/>
          </w:tcPr>
          <w:p w14:paraId="20524482">
            <w:pPr>
              <w:spacing w:line="240" w:lineRule="auto"/>
              <w:ind w:firstLine="0" w:firstLineChars="0"/>
              <w:rPr>
                <w:sz w:val="21"/>
                <w:szCs w:val="21"/>
                <w:highlight w:val="yellow"/>
              </w:rPr>
            </w:pPr>
            <w:r>
              <w:rPr>
                <w:sz w:val="21"/>
                <w:szCs w:val="21"/>
                <w:lang w:val="zh-TW"/>
              </w:rPr>
              <w:t>对皮肤、黏膜和眼睛有腐蚀性。低浓度氨对粘膜有刺激作用，高浓度可造成组织溶解坏死。急性中毒：轻度者出现流泪、咽痛、声音撕哑、咳嗽、咯痰等；眼结膜、鼻粘膜、咽部充血、水肿；胸部X线征象符合支气管炎或支气管周围炎。中度中毒出现呼吸困难、紫绀；胸部X线征象符合肺炎或间质性肺炎。严重者可发生中毒性肺水肿，或有呼吸窘迫综合征，患者剧烈咳嗽、咯大量粉红色泡沫痰、呼吸窘迫、谵妄、昏迷、休克等。可发生喉头水肿或支气管粘膜坏死脱落窒息。浓度大时可致反射性呼吸停止，液氨可致眼灼伤和皮肤灼伤。</w:t>
            </w:r>
          </w:p>
        </w:tc>
      </w:tr>
      <w:tr w14:paraId="1165B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4C6659D5">
            <w:pPr>
              <w:spacing w:line="240" w:lineRule="auto"/>
              <w:ind w:firstLine="0" w:firstLineChars="0"/>
              <w:jc w:val="center"/>
              <w:rPr>
                <w:sz w:val="21"/>
                <w:szCs w:val="21"/>
                <w:highlight w:val="yellow"/>
              </w:rPr>
            </w:pPr>
            <w:r>
              <w:rPr>
                <w:rFonts w:hint="eastAsia"/>
                <w:sz w:val="21"/>
                <w:szCs w:val="21"/>
              </w:rPr>
              <w:t>泄漏应急处置</w:t>
            </w:r>
          </w:p>
        </w:tc>
        <w:tc>
          <w:tcPr>
            <w:tcW w:w="4150" w:type="pct"/>
            <w:gridSpan w:val="7"/>
            <w:vAlign w:val="center"/>
          </w:tcPr>
          <w:p w14:paraId="0D9111D4">
            <w:pPr>
              <w:spacing w:line="240" w:lineRule="auto"/>
              <w:ind w:firstLine="0" w:firstLineChars="0"/>
              <w:rPr>
                <w:sz w:val="21"/>
                <w:szCs w:val="21"/>
                <w:highlight w:val="yellow"/>
              </w:rPr>
            </w:pPr>
            <w:r>
              <w:rPr>
                <w:rFonts w:hint="eastAsia"/>
                <w:sz w:val="21"/>
                <w:szCs w:val="21"/>
              </w:rPr>
              <w:t>消除所有点火源。根据气体的影响区域划定警戒区，无关人员从侧风、上风向撤离至安全区。建议应急处理人员穿内置正压自给式空气呼吸器的全封闭防化服。如果是液化气体泄漏，还应注意防冻伤。禁止接触或跨越泄漏物。尽可能切断泄漏源。防止气体通过下水道、通风系统和密闭性空间扩散。若可能翻转容器，使之逸出气体而非液体。构筑围堤或挖坑收容液体泄漏物。用醋酸或其它稀酸中和。也可以喷雾状水稀释、溶解，同时构筑围堤或挖坑收容产生的大量废水。如有可能，将残余气或漏出气用排风机送至水洗塔或与塔相连的通风橱内。如果钢瓶发生泄漏无法封堵时可浸入水中。储罐区最好设水或稀酸喷洒设施。隔离泄漏区直至气体散尽漏气容器要妥善处理，修复、检验后再用。</w:t>
            </w:r>
          </w:p>
        </w:tc>
      </w:tr>
      <w:tr w14:paraId="716BE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4799C6C9">
            <w:pPr>
              <w:spacing w:line="240" w:lineRule="auto"/>
              <w:ind w:firstLine="0" w:firstLineChars="0"/>
              <w:jc w:val="center"/>
              <w:rPr>
                <w:b/>
                <w:bCs/>
                <w:sz w:val="21"/>
                <w:szCs w:val="21"/>
                <w:highlight w:val="yellow"/>
              </w:rPr>
            </w:pPr>
            <w:r>
              <w:rPr>
                <w:rFonts w:hint="eastAsia"/>
                <w:b/>
                <w:bCs/>
                <w:sz w:val="21"/>
                <w:szCs w:val="21"/>
              </w:rPr>
              <w:t>硫化氢</w:t>
            </w:r>
          </w:p>
        </w:tc>
      </w:tr>
      <w:tr w14:paraId="095F7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9C584E0">
            <w:pPr>
              <w:spacing w:line="240" w:lineRule="auto"/>
              <w:ind w:firstLine="0" w:firstLineChars="0"/>
              <w:jc w:val="center"/>
              <w:rPr>
                <w:sz w:val="21"/>
                <w:szCs w:val="21"/>
              </w:rPr>
            </w:pPr>
            <w:r>
              <w:rPr>
                <w:sz w:val="21"/>
                <w:szCs w:val="21"/>
              </w:rPr>
              <w:t>分子式</w:t>
            </w:r>
          </w:p>
        </w:tc>
        <w:tc>
          <w:tcPr>
            <w:tcW w:w="2067" w:type="pct"/>
            <w:gridSpan w:val="3"/>
            <w:vAlign w:val="center"/>
          </w:tcPr>
          <w:p w14:paraId="0CDC9F93">
            <w:pPr>
              <w:spacing w:line="240" w:lineRule="auto"/>
              <w:ind w:firstLine="0" w:firstLineChars="0"/>
              <w:jc w:val="center"/>
              <w:rPr>
                <w:sz w:val="21"/>
                <w:szCs w:val="21"/>
              </w:rPr>
            </w:pPr>
            <w:r>
              <w:rPr>
                <w:sz w:val="21"/>
                <w:szCs w:val="21"/>
              </w:rPr>
              <w:t>H</w:t>
            </w:r>
            <w:r>
              <w:rPr>
                <w:rFonts w:hint="eastAsia"/>
                <w:sz w:val="21"/>
                <w:szCs w:val="21"/>
                <w:vertAlign w:val="subscript"/>
              </w:rPr>
              <w:t>2</w:t>
            </w:r>
            <w:r>
              <w:rPr>
                <w:rFonts w:hint="eastAsia"/>
                <w:sz w:val="21"/>
                <w:szCs w:val="21"/>
              </w:rPr>
              <w:t>S</w:t>
            </w:r>
          </w:p>
        </w:tc>
        <w:tc>
          <w:tcPr>
            <w:tcW w:w="1165" w:type="pct"/>
            <w:gridSpan w:val="3"/>
            <w:vAlign w:val="center"/>
          </w:tcPr>
          <w:p w14:paraId="06E27557">
            <w:pPr>
              <w:spacing w:line="240" w:lineRule="auto"/>
              <w:ind w:firstLine="0" w:firstLineChars="0"/>
              <w:jc w:val="center"/>
              <w:rPr>
                <w:sz w:val="21"/>
                <w:szCs w:val="21"/>
              </w:rPr>
            </w:pPr>
            <w:r>
              <w:rPr>
                <w:sz w:val="21"/>
                <w:szCs w:val="21"/>
              </w:rPr>
              <w:t>外观与性状</w:t>
            </w:r>
          </w:p>
        </w:tc>
        <w:tc>
          <w:tcPr>
            <w:tcW w:w="918" w:type="pct"/>
            <w:vAlign w:val="center"/>
          </w:tcPr>
          <w:p w14:paraId="69875F49">
            <w:pPr>
              <w:spacing w:line="240" w:lineRule="auto"/>
              <w:ind w:firstLine="0" w:firstLineChars="0"/>
              <w:jc w:val="center"/>
              <w:rPr>
                <w:sz w:val="21"/>
                <w:szCs w:val="21"/>
              </w:rPr>
            </w:pPr>
            <w:r>
              <w:rPr>
                <w:rFonts w:hint="eastAsia"/>
                <w:sz w:val="21"/>
                <w:szCs w:val="21"/>
              </w:rPr>
              <w:t>无色、有恶臭的气体</w:t>
            </w:r>
          </w:p>
        </w:tc>
      </w:tr>
      <w:tr w14:paraId="3E0FC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02902F7">
            <w:pPr>
              <w:spacing w:line="240" w:lineRule="auto"/>
              <w:ind w:firstLine="0" w:firstLineChars="0"/>
              <w:jc w:val="center"/>
              <w:rPr>
                <w:sz w:val="21"/>
                <w:szCs w:val="21"/>
              </w:rPr>
            </w:pPr>
            <w:r>
              <w:rPr>
                <w:sz w:val="21"/>
                <w:szCs w:val="21"/>
              </w:rPr>
              <w:t>分子量</w:t>
            </w:r>
          </w:p>
        </w:tc>
        <w:tc>
          <w:tcPr>
            <w:tcW w:w="2067" w:type="pct"/>
            <w:gridSpan w:val="3"/>
            <w:vAlign w:val="center"/>
          </w:tcPr>
          <w:p w14:paraId="03FB0B59">
            <w:pPr>
              <w:spacing w:line="240" w:lineRule="auto"/>
              <w:ind w:firstLine="0" w:firstLineChars="0"/>
              <w:jc w:val="center"/>
              <w:rPr>
                <w:sz w:val="21"/>
                <w:szCs w:val="21"/>
              </w:rPr>
            </w:pPr>
            <w:r>
              <w:rPr>
                <w:rFonts w:hint="eastAsia"/>
                <w:sz w:val="21"/>
                <w:szCs w:val="21"/>
              </w:rPr>
              <w:t>34.08</w:t>
            </w:r>
          </w:p>
        </w:tc>
        <w:tc>
          <w:tcPr>
            <w:tcW w:w="1165" w:type="pct"/>
            <w:gridSpan w:val="3"/>
            <w:vAlign w:val="center"/>
          </w:tcPr>
          <w:p w14:paraId="50EEFF71">
            <w:pPr>
              <w:spacing w:line="240" w:lineRule="auto"/>
              <w:ind w:firstLine="0" w:firstLineChars="0"/>
              <w:jc w:val="center"/>
              <w:rPr>
                <w:sz w:val="21"/>
                <w:szCs w:val="21"/>
              </w:rPr>
            </w:pPr>
            <w:r>
              <w:rPr>
                <w:rFonts w:hint="eastAsia"/>
                <w:sz w:val="21"/>
                <w:szCs w:val="21"/>
              </w:rPr>
              <w:t>闪点</w:t>
            </w:r>
          </w:p>
        </w:tc>
        <w:tc>
          <w:tcPr>
            <w:tcW w:w="918" w:type="pct"/>
            <w:vAlign w:val="center"/>
          </w:tcPr>
          <w:p w14:paraId="7063C1D4">
            <w:pPr>
              <w:spacing w:line="240" w:lineRule="auto"/>
              <w:ind w:firstLine="0" w:firstLineChars="0"/>
              <w:jc w:val="center"/>
              <w:rPr>
                <w:sz w:val="21"/>
                <w:szCs w:val="21"/>
              </w:rPr>
            </w:pPr>
            <w:r>
              <w:rPr>
                <w:sz w:val="21"/>
                <w:szCs w:val="21"/>
              </w:rPr>
              <w:t>-50℃</w:t>
            </w:r>
          </w:p>
        </w:tc>
      </w:tr>
      <w:tr w14:paraId="3D84E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50D2E3E2">
            <w:pPr>
              <w:spacing w:line="240" w:lineRule="auto"/>
              <w:ind w:firstLine="0" w:firstLineChars="0"/>
              <w:jc w:val="center"/>
              <w:rPr>
                <w:sz w:val="21"/>
                <w:szCs w:val="21"/>
              </w:rPr>
            </w:pPr>
            <w:r>
              <w:rPr>
                <w:rFonts w:hint="eastAsia"/>
                <w:sz w:val="21"/>
                <w:szCs w:val="21"/>
              </w:rPr>
              <w:t>C</w:t>
            </w:r>
            <w:r>
              <w:rPr>
                <w:sz w:val="21"/>
                <w:szCs w:val="21"/>
              </w:rPr>
              <w:t>AS</w:t>
            </w:r>
          </w:p>
        </w:tc>
        <w:tc>
          <w:tcPr>
            <w:tcW w:w="2067" w:type="pct"/>
            <w:gridSpan w:val="3"/>
            <w:vAlign w:val="center"/>
          </w:tcPr>
          <w:p w14:paraId="457D335D">
            <w:pPr>
              <w:spacing w:line="240" w:lineRule="auto"/>
              <w:ind w:firstLine="0" w:firstLineChars="0"/>
              <w:jc w:val="center"/>
              <w:rPr>
                <w:sz w:val="21"/>
                <w:szCs w:val="21"/>
              </w:rPr>
            </w:pPr>
            <w:r>
              <w:rPr>
                <w:rFonts w:hint="eastAsia"/>
                <w:sz w:val="21"/>
                <w:szCs w:val="21"/>
              </w:rPr>
              <w:t>7783-06-4</w:t>
            </w:r>
          </w:p>
        </w:tc>
        <w:tc>
          <w:tcPr>
            <w:tcW w:w="1165" w:type="pct"/>
            <w:gridSpan w:val="3"/>
            <w:vAlign w:val="center"/>
          </w:tcPr>
          <w:p w14:paraId="6F283D97">
            <w:pPr>
              <w:spacing w:line="240" w:lineRule="auto"/>
              <w:ind w:firstLine="0" w:firstLineChars="0"/>
              <w:jc w:val="center"/>
              <w:rPr>
                <w:sz w:val="21"/>
                <w:szCs w:val="21"/>
              </w:rPr>
            </w:pPr>
            <w:r>
              <w:rPr>
                <w:sz w:val="21"/>
                <w:szCs w:val="21"/>
              </w:rPr>
              <w:t>密度</w:t>
            </w:r>
          </w:p>
        </w:tc>
        <w:tc>
          <w:tcPr>
            <w:tcW w:w="918" w:type="pct"/>
            <w:vAlign w:val="center"/>
          </w:tcPr>
          <w:p w14:paraId="75CFBCA5">
            <w:pPr>
              <w:spacing w:line="240" w:lineRule="auto"/>
              <w:ind w:firstLine="0" w:firstLineChars="0"/>
              <w:jc w:val="center"/>
              <w:rPr>
                <w:sz w:val="21"/>
                <w:szCs w:val="21"/>
              </w:rPr>
            </w:pPr>
            <w:r>
              <w:rPr>
                <w:rFonts w:hint="eastAsia"/>
                <w:sz w:val="21"/>
                <w:szCs w:val="21"/>
              </w:rPr>
              <w:t>1.19</w:t>
            </w:r>
          </w:p>
        </w:tc>
      </w:tr>
      <w:tr w14:paraId="7CD8B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6ACC013F">
            <w:pPr>
              <w:spacing w:line="240" w:lineRule="auto"/>
              <w:ind w:firstLine="0" w:firstLineChars="0"/>
              <w:jc w:val="center"/>
              <w:rPr>
                <w:sz w:val="21"/>
                <w:szCs w:val="21"/>
              </w:rPr>
            </w:pPr>
            <w:r>
              <w:rPr>
                <w:rFonts w:hint="eastAsia"/>
                <w:sz w:val="21"/>
                <w:szCs w:val="21"/>
              </w:rPr>
              <w:t>熔点</w:t>
            </w:r>
          </w:p>
        </w:tc>
        <w:tc>
          <w:tcPr>
            <w:tcW w:w="2067" w:type="pct"/>
            <w:gridSpan w:val="3"/>
            <w:vAlign w:val="center"/>
          </w:tcPr>
          <w:p w14:paraId="70072DED">
            <w:pPr>
              <w:spacing w:line="240" w:lineRule="auto"/>
              <w:ind w:firstLine="0" w:firstLineChars="0"/>
              <w:jc w:val="center"/>
              <w:rPr>
                <w:sz w:val="21"/>
                <w:szCs w:val="21"/>
              </w:rPr>
            </w:pPr>
            <w:r>
              <w:rPr>
                <w:rFonts w:hint="eastAsia"/>
                <w:sz w:val="21"/>
                <w:szCs w:val="21"/>
              </w:rPr>
              <w:t>-85.5℃</w:t>
            </w:r>
          </w:p>
        </w:tc>
        <w:tc>
          <w:tcPr>
            <w:tcW w:w="1165" w:type="pct"/>
            <w:gridSpan w:val="3"/>
            <w:vAlign w:val="center"/>
          </w:tcPr>
          <w:p w14:paraId="5E79CB04">
            <w:pPr>
              <w:spacing w:line="240" w:lineRule="auto"/>
              <w:ind w:firstLine="0" w:firstLineChars="0"/>
              <w:jc w:val="center"/>
              <w:rPr>
                <w:sz w:val="21"/>
                <w:szCs w:val="21"/>
              </w:rPr>
            </w:pPr>
            <w:r>
              <w:rPr>
                <w:rFonts w:hint="eastAsia"/>
                <w:sz w:val="21"/>
                <w:szCs w:val="21"/>
              </w:rPr>
              <w:t>沸点</w:t>
            </w:r>
          </w:p>
        </w:tc>
        <w:tc>
          <w:tcPr>
            <w:tcW w:w="918" w:type="pct"/>
            <w:vAlign w:val="center"/>
          </w:tcPr>
          <w:p w14:paraId="2F58CDB7">
            <w:pPr>
              <w:spacing w:line="240" w:lineRule="auto"/>
              <w:ind w:firstLine="0" w:firstLineChars="0"/>
              <w:jc w:val="center"/>
              <w:rPr>
                <w:sz w:val="21"/>
                <w:szCs w:val="21"/>
              </w:rPr>
            </w:pPr>
            <w:r>
              <w:rPr>
                <w:rFonts w:hint="eastAsia"/>
                <w:sz w:val="21"/>
                <w:szCs w:val="21"/>
              </w:rPr>
              <w:t>-60.4℃</w:t>
            </w:r>
          </w:p>
        </w:tc>
      </w:tr>
      <w:tr w14:paraId="08E23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5E99FBC7">
            <w:pPr>
              <w:spacing w:line="240" w:lineRule="auto"/>
              <w:ind w:firstLine="0" w:firstLineChars="0"/>
              <w:jc w:val="center"/>
              <w:rPr>
                <w:sz w:val="21"/>
                <w:szCs w:val="21"/>
              </w:rPr>
            </w:pPr>
            <w:r>
              <w:rPr>
                <w:rFonts w:hint="eastAsia"/>
                <w:sz w:val="21"/>
                <w:szCs w:val="21"/>
              </w:rPr>
              <w:t>临界压力</w:t>
            </w:r>
          </w:p>
        </w:tc>
        <w:tc>
          <w:tcPr>
            <w:tcW w:w="2067" w:type="pct"/>
            <w:gridSpan w:val="3"/>
            <w:vAlign w:val="center"/>
          </w:tcPr>
          <w:p w14:paraId="711AEC8B">
            <w:pPr>
              <w:spacing w:line="240" w:lineRule="auto"/>
              <w:ind w:firstLine="0" w:firstLineChars="0"/>
              <w:jc w:val="center"/>
              <w:rPr>
                <w:sz w:val="21"/>
                <w:szCs w:val="21"/>
              </w:rPr>
            </w:pPr>
            <w:r>
              <w:rPr>
                <w:rFonts w:hint="eastAsia"/>
                <w:sz w:val="21"/>
                <w:szCs w:val="21"/>
              </w:rPr>
              <w:t>9.01MPa</w:t>
            </w:r>
          </w:p>
        </w:tc>
        <w:tc>
          <w:tcPr>
            <w:tcW w:w="1165" w:type="pct"/>
            <w:gridSpan w:val="3"/>
            <w:vAlign w:val="center"/>
          </w:tcPr>
          <w:p w14:paraId="30F18370">
            <w:pPr>
              <w:spacing w:line="240" w:lineRule="auto"/>
              <w:ind w:firstLine="0" w:firstLineChars="0"/>
              <w:jc w:val="center"/>
              <w:rPr>
                <w:sz w:val="21"/>
                <w:szCs w:val="21"/>
              </w:rPr>
            </w:pPr>
            <w:r>
              <w:rPr>
                <w:rFonts w:hint="eastAsia"/>
                <w:sz w:val="21"/>
                <w:szCs w:val="21"/>
              </w:rPr>
              <w:t>爆炸性</w:t>
            </w:r>
          </w:p>
        </w:tc>
        <w:tc>
          <w:tcPr>
            <w:tcW w:w="918" w:type="pct"/>
            <w:vAlign w:val="center"/>
          </w:tcPr>
          <w:p w14:paraId="545CD849">
            <w:pPr>
              <w:spacing w:line="240" w:lineRule="auto"/>
              <w:ind w:firstLine="0" w:firstLineChars="0"/>
              <w:jc w:val="center"/>
              <w:rPr>
                <w:sz w:val="21"/>
                <w:szCs w:val="21"/>
              </w:rPr>
            </w:pPr>
            <w:r>
              <w:rPr>
                <w:rFonts w:hint="eastAsia"/>
                <w:sz w:val="21"/>
                <w:szCs w:val="21"/>
              </w:rPr>
              <w:t>爆炸上限为46%（V），爆炸下限为4%（V）</w:t>
            </w:r>
          </w:p>
        </w:tc>
      </w:tr>
      <w:tr w14:paraId="06858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05ADEB70">
            <w:pPr>
              <w:spacing w:line="240" w:lineRule="auto"/>
              <w:ind w:firstLine="0" w:firstLineChars="0"/>
              <w:jc w:val="center"/>
              <w:rPr>
                <w:sz w:val="21"/>
                <w:szCs w:val="21"/>
              </w:rPr>
            </w:pPr>
            <w:r>
              <w:rPr>
                <w:sz w:val="21"/>
                <w:szCs w:val="21"/>
              </w:rPr>
              <w:t>毒理性</w:t>
            </w:r>
          </w:p>
        </w:tc>
        <w:tc>
          <w:tcPr>
            <w:tcW w:w="4150" w:type="pct"/>
            <w:gridSpan w:val="7"/>
            <w:vAlign w:val="center"/>
          </w:tcPr>
          <w:p w14:paraId="7C2DDD08">
            <w:pPr>
              <w:spacing w:line="240" w:lineRule="auto"/>
              <w:ind w:firstLine="0" w:firstLineChars="0"/>
              <w:jc w:val="center"/>
              <w:rPr>
                <w:sz w:val="21"/>
                <w:szCs w:val="21"/>
              </w:rPr>
            </w:pPr>
            <w:r>
              <w:rPr>
                <w:rFonts w:hint="eastAsia"/>
                <w:sz w:val="21"/>
                <w:szCs w:val="21"/>
              </w:rPr>
              <w:t>LD50：无资料；LC50：444ppm(大鼠吸入）</w:t>
            </w:r>
          </w:p>
        </w:tc>
      </w:tr>
      <w:tr w14:paraId="314F0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472A2B91">
            <w:pPr>
              <w:spacing w:line="240" w:lineRule="auto"/>
              <w:ind w:firstLine="0" w:firstLineChars="0"/>
              <w:jc w:val="center"/>
              <w:rPr>
                <w:sz w:val="21"/>
                <w:szCs w:val="21"/>
              </w:rPr>
            </w:pPr>
            <w:r>
              <w:rPr>
                <w:sz w:val="21"/>
                <w:szCs w:val="21"/>
              </w:rPr>
              <w:t>危险特性</w:t>
            </w:r>
          </w:p>
        </w:tc>
        <w:tc>
          <w:tcPr>
            <w:tcW w:w="4150" w:type="pct"/>
            <w:gridSpan w:val="7"/>
            <w:vAlign w:val="center"/>
          </w:tcPr>
          <w:p w14:paraId="37D63F81">
            <w:pPr>
              <w:spacing w:line="240" w:lineRule="auto"/>
              <w:ind w:firstLine="0" w:firstLineChars="0"/>
              <w:rPr>
                <w:sz w:val="21"/>
                <w:szCs w:val="21"/>
              </w:rPr>
            </w:pPr>
            <w:r>
              <w:rPr>
                <w:rFonts w:hint="eastAsia"/>
                <w:sz w:val="21"/>
                <w:szCs w:val="21"/>
              </w:rPr>
              <w:t>易燃，与空气混合能形成爆炸性混合物，遇明火、高热能引起燃烧爆炸，与浓硝酸、发烟硝酸或其他强氧化剂剧烈反应，发生爆炸。气体比空气重，能在较低处扩散到相当远的地方，遇明火会引着回燃。</w:t>
            </w:r>
          </w:p>
        </w:tc>
      </w:tr>
      <w:tr w14:paraId="6ED92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32D941A">
            <w:pPr>
              <w:spacing w:line="240" w:lineRule="auto"/>
              <w:ind w:firstLine="0" w:firstLineChars="0"/>
              <w:jc w:val="center"/>
              <w:rPr>
                <w:sz w:val="21"/>
                <w:szCs w:val="21"/>
              </w:rPr>
            </w:pPr>
            <w:r>
              <w:rPr>
                <w:sz w:val="21"/>
                <w:szCs w:val="21"/>
              </w:rPr>
              <w:t>健康危害</w:t>
            </w:r>
          </w:p>
        </w:tc>
        <w:tc>
          <w:tcPr>
            <w:tcW w:w="4150" w:type="pct"/>
            <w:gridSpan w:val="7"/>
            <w:vAlign w:val="center"/>
          </w:tcPr>
          <w:p w14:paraId="36978BC1">
            <w:pPr>
              <w:spacing w:line="240" w:lineRule="auto"/>
              <w:ind w:firstLine="0" w:firstLineChars="0"/>
              <w:rPr>
                <w:sz w:val="21"/>
                <w:szCs w:val="21"/>
              </w:rPr>
            </w:pPr>
            <w:r>
              <w:rPr>
                <w:rFonts w:hint="eastAsia"/>
                <w:sz w:val="21"/>
                <w:szCs w:val="21"/>
              </w:rPr>
              <w:t>本品是强烈的神经毒物，对粘膜有强烈刺激作用。急性中毒 短期内吸入高浓度硫化氢后出现流泪、眼痛、眼内异物感、畏光、视物模糊、流涕、咽喉部的灼热感、咳嗽、胸闷、头痛、头晕、乏力、意识模糊等。部分患者可有心肌损害。重者可出现脑水肿、肺水肿。极高浓度(1000mg/m</w:t>
            </w:r>
            <w:r>
              <w:rPr>
                <w:rFonts w:hint="eastAsia"/>
                <w:sz w:val="21"/>
                <w:szCs w:val="21"/>
                <w:vertAlign w:val="superscript"/>
              </w:rPr>
              <w:t>3</w:t>
            </w:r>
            <w:r>
              <w:rPr>
                <w:rFonts w:hint="eastAsia"/>
                <w:sz w:val="21"/>
                <w:szCs w:val="21"/>
              </w:rPr>
              <w:t>以上)时可在数秒钟内突然昏迷，呼吸和心跳聚挺，发生闪电型死亡。高浓度接触眼结膜发生水肿和角膜溃疡。长期低浓度接触，引起神经衰弱综合征和植物神经功能紊乱。</w:t>
            </w:r>
          </w:p>
        </w:tc>
      </w:tr>
      <w:tr w14:paraId="153ED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03EF7A98">
            <w:pPr>
              <w:spacing w:line="240" w:lineRule="auto"/>
              <w:ind w:firstLine="0" w:firstLineChars="0"/>
              <w:jc w:val="center"/>
              <w:rPr>
                <w:b/>
                <w:bCs/>
                <w:sz w:val="21"/>
                <w:szCs w:val="21"/>
              </w:rPr>
            </w:pPr>
            <w:r>
              <w:rPr>
                <w:rFonts w:hint="eastAsia"/>
                <w:b/>
                <w:bCs/>
                <w:sz w:val="21"/>
                <w:szCs w:val="21"/>
              </w:rPr>
              <w:t>导热油</w:t>
            </w:r>
          </w:p>
        </w:tc>
      </w:tr>
      <w:tr w14:paraId="6EF1B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53B7B1FD">
            <w:pPr>
              <w:spacing w:line="240" w:lineRule="auto"/>
              <w:ind w:firstLine="0" w:firstLineChars="0"/>
              <w:jc w:val="center"/>
              <w:rPr>
                <w:sz w:val="21"/>
                <w:szCs w:val="21"/>
              </w:rPr>
            </w:pPr>
            <w:r>
              <w:rPr>
                <w:sz w:val="21"/>
                <w:szCs w:val="21"/>
              </w:rPr>
              <w:t>沸点</w:t>
            </w:r>
          </w:p>
        </w:tc>
        <w:tc>
          <w:tcPr>
            <w:tcW w:w="2067" w:type="pct"/>
            <w:gridSpan w:val="3"/>
            <w:vAlign w:val="center"/>
          </w:tcPr>
          <w:p w14:paraId="4A0B2C1A">
            <w:pPr>
              <w:spacing w:line="240" w:lineRule="auto"/>
              <w:ind w:firstLine="0" w:firstLineChars="0"/>
              <w:jc w:val="center"/>
              <w:rPr>
                <w:sz w:val="21"/>
                <w:szCs w:val="21"/>
              </w:rPr>
            </w:pPr>
            <w:r>
              <w:rPr>
                <w:sz w:val="21"/>
                <w:szCs w:val="21"/>
              </w:rPr>
              <w:t>280-536℃</w:t>
            </w:r>
          </w:p>
        </w:tc>
        <w:tc>
          <w:tcPr>
            <w:tcW w:w="1165" w:type="pct"/>
            <w:gridSpan w:val="3"/>
            <w:vAlign w:val="center"/>
          </w:tcPr>
          <w:p w14:paraId="29A7AEFF">
            <w:pPr>
              <w:spacing w:line="240" w:lineRule="auto"/>
              <w:ind w:firstLine="0" w:firstLineChars="0"/>
              <w:jc w:val="center"/>
              <w:rPr>
                <w:sz w:val="21"/>
                <w:szCs w:val="21"/>
              </w:rPr>
            </w:pPr>
            <w:r>
              <w:rPr>
                <w:rFonts w:hint="eastAsia"/>
                <w:sz w:val="21"/>
                <w:szCs w:val="21"/>
              </w:rPr>
              <w:t>引燃温度</w:t>
            </w:r>
          </w:p>
        </w:tc>
        <w:tc>
          <w:tcPr>
            <w:tcW w:w="918" w:type="pct"/>
            <w:vAlign w:val="center"/>
          </w:tcPr>
          <w:p w14:paraId="49341AB7">
            <w:pPr>
              <w:spacing w:line="240" w:lineRule="auto"/>
              <w:ind w:firstLine="0" w:firstLineChars="0"/>
              <w:jc w:val="center"/>
              <w:rPr>
                <w:sz w:val="21"/>
                <w:szCs w:val="21"/>
              </w:rPr>
            </w:pPr>
            <w:r>
              <w:rPr>
                <w:rFonts w:hint="eastAsia"/>
                <w:sz w:val="21"/>
                <w:szCs w:val="21"/>
              </w:rPr>
              <w:t>490</w:t>
            </w:r>
            <w:r>
              <w:rPr>
                <w:sz w:val="21"/>
                <w:szCs w:val="21"/>
              </w:rPr>
              <w:t>℃</w:t>
            </w:r>
          </w:p>
        </w:tc>
      </w:tr>
      <w:tr w14:paraId="4BAAD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4028DF44">
            <w:pPr>
              <w:spacing w:line="240" w:lineRule="auto"/>
              <w:ind w:firstLine="0" w:firstLineChars="0"/>
              <w:jc w:val="center"/>
              <w:rPr>
                <w:sz w:val="21"/>
                <w:szCs w:val="21"/>
              </w:rPr>
            </w:pPr>
            <w:r>
              <w:rPr>
                <w:rFonts w:hint="eastAsia"/>
                <w:sz w:val="21"/>
                <w:szCs w:val="21"/>
              </w:rPr>
              <w:t>闪点</w:t>
            </w:r>
          </w:p>
        </w:tc>
        <w:tc>
          <w:tcPr>
            <w:tcW w:w="2067" w:type="pct"/>
            <w:gridSpan w:val="3"/>
            <w:vAlign w:val="center"/>
          </w:tcPr>
          <w:p w14:paraId="7676920B">
            <w:pPr>
              <w:spacing w:line="240" w:lineRule="auto"/>
              <w:ind w:firstLine="0" w:firstLineChars="0"/>
              <w:jc w:val="center"/>
              <w:rPr>
                <w:sz w:val="21"/>
                <w:szCs w:val="21"/>
              </w:rPr>
            </w:pPr>
            <w:r>
              <w:rPr>
                <w:rFonts w:hint="eastAsia"/>
                <w:sz w:val="21"/>
                <w:szCs w:val="21"/>
              </w:rPr>
              <w:t>200-216</w:t>
            </w:r>
            <w:r>
              <w:rPr>
                <w:sz w:val="21"/>
                <w:szCs w:val="21"/>
              </w:rPr>
              <w:t>℃</w:t>
            </w:r>
          </w:p>
        </w:tc>
        <w:tc>
          <w:tcPr>
            <w:tcW w:w="1165" w:type="pct"/>
            <w:gridSpan w:val="3"/>
            <w:vAlign w:val="center"/>
          </w:tcPr>
          <w:p w14:paraId="3DCD9A8B">
            <w:pPr>
              <w:spacing w:line="240" w:lineRule="auto"/>
              <w:ind w:firstLine="0" w:firstLineChars="0"/>
              <w:jc w:val="center"/>
              <w:rPr>
                <w:sz w:val="21"/>
                <w:szCs w:val="21"/>
              </w:rPr>
            </w:pPr>
            <w:r>
              <w:rPr>
                <w:sz w:val="21"/>
                <w:szCs w:val="21"/>
              </w:rPr>
              <w:t>外观与性状</w:t>
            </w:r>
          </w:p>
        </w:tc>
        <w:tc>
          <w:tcPr>
            <w:tcW w:w="918" w:type="pct"/>
            <w:vAlign w:val="center"/>
          </w:tcPr>
          <w:p w14:paraId="7B0A0D3D">
            <w:pPr>
              <w:spacing w:line="240" w:lineRule="auto"/>
              <w:ind w:firstLine="0" w:firstLineChars="0"/>
              <w:jc w:val="center"/>
              <w:rPr>
                <w:sz w:val="21"/>
                <w:szCs w:val="21"/>
              </w:rPr>
            </w:pPr>
            <w:r>
              <w:rPr>
                <w:rFonts w:hint="eastAsia"/>
                <w:sz w:val="21"/>
                <w:szCs w:val="21"/>
              </w:rPr>
              <w:t>琥珀色常温下液体</w:t>
            </w:r>
          </w:p>
        </w:tc>
      </w:tr>
      <w:tr w14:paraId="2581C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5FE5C0A2">
            <w:pPr>
              <w:spacing w:line="240" w:lineRule="auto"/>
              <w:ind w:firstLine="0" w:firstLineChars="0"/>
              <w:jc w:val="center"/>
              <w:rPr>
                <w:sz w:val="21"/>
                <w:szCs w:val="21"/>
              </w:rPr>
            </w:pPr>
            <w:r>
              <w:rPr>
                <w:rFonts w:hint="eastAsia"/>
                <w:sz w:val="21"/>
                <w:szCs w:val="21"/>
              </w:rPr>
              <w:t>密度</w:t>
            </w:r>
          </w:p>
        </w:tc>
        <w:tc>
          <w:tcPr>
            <w:tcW w:w="2067" w:type="pct"/>
            <w:gridSpan w:val="3"/>
            <w:vAlign w:val="center"/>
          </w:tcPr>
          <w:p w14:paraId="3EBFE4AC">
            <w:pPr>
              <w:spacing w:line="240" w:lineRule="auto"/>
              <w:ind w:firstLine="0" w:firstLineChars="0"/>
              <w:jc w:val="center"/>
              <w:rPr>
                <w:sz w:val="21"/>
                <w:szCs w:val="21"/>
              </w:rPr>
            </w:pPr>
            <w:r>
              <w:rPr>
                <w:rFonts w:hint="eastAsia"/>
                <w:sz w:val="21"/>
                <w:szCs w:val="21"/>
              </w:rPr>
              <w:t>0.83-0.88g/cm</w:t>
            </w:r>
            <w:r>
              <w:rPr>
                <w:rFonts w:hint="eastAsia"/>
                <w:sz w:val="21"/>
                <w:szCs w:val="21"/>
                <w:vertAlign w:val="superscript"/>
              </w:rPr>
              <w:t>3</w:t>
            </w:r>
          </w:p>
        </w:tc>
        <w:tc>
          <w:tcPr>
            <w:tcW w:w="1165" w:type="pct"/>
            <w:gridSpan w:val="3"/>
            <w:vAlign w:val="center"/>
          </w:tcPr>
          <w:p w14:paraId="62B4608A">
            <w:pPr>
              <w:spacing w:line="240" w:lineRule="auto"/>
              <w:ind w:firstLine="0" w:firstLineChars="0"/>
              <w:jc w:val="center"/>
              <w:rPr>
                <w:sz w:val="21"/>
                <w:szCs w:val="21"/>
              </w:rPr>
            </w:pPr>
            <w:r>
              <w:rPr>
                <w:rFonts w:hint="eastAsia"/>
                <w:sz w:val="21"/>
                <w:szCs w:val="21"/>
              </w:rPr>
              <w:t>禁配物</w:t>
            </w:r>
          </w:p>
        </w:tc>
        <w:tc>
          <w:tcPr>
            <w:tcW w:w="918" w:type="pct"/>
            <w:vAlign w:val="center"/>
          </w:tcPr>
          <w:p w14:paraId="0C1BE736">
            <w:pPr>
              <w:spacing w:line="240" w:lineRule="auto"/>
              <w:ind w:firstLine="0" w:firstLineChars="0"/>
              <w:jc w:val="center"/>
              <w:rPr>
                <w:sz w:val="21"/>
                <w:szCs w:val="21"/>
              </w:rPr>
            </w:pPr>
            <w:r>
              <w:rPr>
                <w:rFonts w:hint="eastAsia"/>
                <w:sz w:val="21"/>
                <w:szCs w:val="21"/>
              </w:rPr>
              <w:t>强氧化剂</w:t>
            </w:r>
          </w:p>
        </w:tc>
      </w:tr>
      <w:tr w14:paraId="1C8F3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7A9B72B">
            <w:pPr>
              <w:spacing w:line="240" w:lineRule="auto"/>
              <w:ind w:firstLine="0" w:firstLineChars="0"/>
              <w:jc w:val="center"/>
              <w:rPr>
                <w:sz w:val="21"/>
                <w:szCs w:val="21"/>
              </w:rPr>
            </w:pPr>
            <w:r>
              <w:rPr>
                <w:sz w:val="21"/>
                <w:szCs w:val="21"/>
              </w:rPr>
              <w:t>危险特性</w:t>
            </w:r>
          </w:p>
        </w:tc>
        <w:tc>
          <w:tcPr>
            <w:tcW w:w="4150" w:type="pct"/>
            <w:gridSpan w:val="7"/>
            <w:vAlign w:val="center"/>
          </w:tcPr>
          <w:p w14:paraId="44E4E76E">
            <w:pPr>
              <w:spacing w:line="240" w:lineRule="auto"/>
              <w:ind w:firstLine="0" w:firstLineChars="0"/>
              <w:rPr>
                <w:sz w:val="21"/>
                <w:szCs w:val="21"/>
              </w:rPr>
            </w:pPr>
            <w:r>
              <w:rPr>
                <w:rFonts w:hint="eastAsia"/>
                <w:sz w:val="21"/>
                <w:szCs w:val="21"/>
              </w:rPr>
              <w:t>未被评为可燃物，但会燃烧。</w:t>
            </w:r>
          </w:p>
        </w:tc>
      </w:tr>
      <w:tr w14:paraId="3EC8D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6C724998">
            <w:pPr>
              <w:spacing w:line="240" w:lineRule="auto"/>
              <w:ind w:firstLine="0" w:firstLineChars="0"/>
              <w:jc w:val="center"/>
              <w:rPr>
                <w:sz w:val="21"/>
                <w:szCs w:val="21"/>
              </w:rPr>
            </w:pPr>
            <w:r>
              <w:rPr>
                <w:sz w:val="21"/>
                <w:szCs w:val="21"/>
              </w:rPr>
              <w:t>健康危害</w:t>
            </w:r>
          </w:p>
        </w:tc>
        <w:tc>
          <w:tcPr>
            <w:tcW w:w="4150" w:type="pct"/>
            <w:gridSpan w:val="7"/>
            <w:vAlign w:val="center"/>
          </w:tcPr>
          <w:p w14:paraId="33D58DE6">
            <w:pPr>
              <w:spacing w:line="240" w:lineRule="auto"/>
              <w:ind w:firstLine="0" w:firstLineChars="0"/>
              <w:rPr>
                <w:sz w:val="21"/>
                <w:szCs w:val="21"/>
              </w:rPr>
            </w:pPr>
            <w:r>
              <w:rPr>
                <w:rFonts w:hint="eastAsia"/>
                <w:sz w:val="21"/>
                <w:szCs w:val="21"/>
              </w:rPr>
              <w:t>在正常条件下使用不应会成为健康危险源。</w:t>
            </w:r>
          </w:p>
          <w:p w14:paraId="22B18B98">
            <w:pPr>
              <w:spacing w:line="240" w:lineRule="auto"/>
              <w:ind w:firstLine="0" w:firstLineChars="0"/>
              <w:rPr>
                <w:sz w:val="21"/>
                <w:szCs w:val="21"/>
              </w:rPr>
            </w:pPr>
            <w:r>
              <w:rPr>
                <w:rFonts w:hint="eastAsia"/>
                <w:sz w:val="21"/>
                <w:szCs w:val="21"/>
              </w:rPr>
              <w:t>长期或持续接触皮肤，而不适当清洗，可能会阻塞皮肤毛孔，导致油脂性粉刺/毛炎等疾病。</w:t>
            </w:r>
          </w:p>
          <w:p w14:paraId="1045144C">
            <w:pPr>
              <w:spacing w:line="240" w:lineRule="auto"/>
              <w:ind w:firstLine="0" w:firstLineChars="0"/>
              <w:rPr>
                <w:sz w:val="21"/>
                <w:szCs w:val="21"/>
              </w:rPr>
            </w:pPr>
            <w:r>
              <w:rPr>
                <w:rFonts w:hint="eastAsia"/>
                <w:sz w:val="21"/>
                <w:szCs w:val="21"/>
              </w:rPr>
              <w:t>用过的油可能包含有害杂质。</w:t>
            </w:r>
          </w:p>
          <w:p w14:paraId="4528656D">
            <w:pPr>
              <w:spacing w:line="240" w:lineRule="auto"/>
              <w:ind w:firstLine="0" w:firstLineChars="0"/>
              <w:rPr>
                <w:sz w:val="21"/>
                <w:szCs w:val="21"/>
              </w:rPr>
            </w:pPr>
            <w:r>
              <w:rPr>
                <w:rFonts w:hint="eastAsia"/>
                <w:sz w:val="21"/>
                <w:szCs w:val="21"/>
              </w:rPr>
              <w:t>油脂性粉刺/毛囊炎征兆及症状可能包括曝露的皮肤出现黑色脓包及斑点。</w:t>
            </w:r>
          </w:p>
          <w:p w14:paraId="777E2E72">
            <w:pPr>
              <w:spacing w:line="240" w:lineRule="auto"/>
              <w:ind w:firstLine="0" w:firstLineChars="0"/>
              <w:rPr>
                <w:sz w:val="21"/>
                <w:szCs w:val="21"/>
              </w:rPr>
            </w:pPr>
            <w:r>
              <w:rPr>
                <w:rFonts w:hint="eastAsia"/>
                <w:sz w:val="21"/>
                <w:szCs w:val="21"/>
              </w:rPr>
              <w:t>若摄入，可能会导致恶心、呕吐及/或腹泻。</w:t>
            </w:r>
          </w:p>
        </w:tc>
      </w:tr>
      <w:tr w14:paraId="6FA1D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54522D54">
            <w:pPr>
              <w:spacing w:line="240" w:lineRule="auto"/>
              <w:ind w:firstLine="0" w:firstLineChars="0"/>
              <w:jc w:val="center"/>
              <w:rPr>
                <w:sz w:val="21"/>
                <w:szCs w:val="21"/>
                <w:u w:val="single"/>
              </w:rPr>
            </w:pPr>
            <w:r>
              <w:rPr>
                <w:rFonts w:hint="eastAsia"/>
                <w:sz w:val="21"/>
                <w:szCs w:val="21"/>
                <w:u w:val="single"/>
              </w:rPr>
              <w:t>过氧化氢</w:t>
            </w:r>
          </w:p>
        </w:tc>
      </w:tr>
      <w:tr w14:paraId="5A5AF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37B09B7">
            <w:pPr>
              <w:spacing w:line="240" w:lineRule="auto"/>
              <w:ind w:firstLine="0" w:firstLineChars="0"/>
              <w:jc w:val="center"/>
              <w:rPr>
                <w:sz w:val="21"/>
                <w:szCs w:val="21"/>
                <w:u w:val="single"/>
              </w:rPr>
            </w:pPr>
            <w:r>
              <w:rPr>
                <w:sz w:val="21"/>
                <w:szCs w:val="21"/>
                <w:u w:val="single"/>
              </w:rPr>
              <w:t>分子式</w:t>
            </w:r>
          </w:p>
        </w:tc>
        <w:tc>
          <w:tcPr>
            <w:tcW w:w="2067" w:type="pct"/>
            <w:gridSpan w:val="3"/>
            <w:vAlign w:val="center"/>
          </w:tcPr>
          <w:p w14:paraId="49C67EF2">
            <w:pPr>
              <w:spacing w:line="240" w:lineRule="auto"/>
              <w:ind w:firstLine="0" w:firstLineChars="0"/>
              <w:jc w:val="center"/>
              <w:rPr>
                <w:sz w:val="21"/>
                <w:szCs w:val="21"/>
                <w:u w:val="single"/>
              </w:rPr>
            </w:pPr>
            <w:r>
              <w:rPr>
                <w:rFonts w:hint="eastAsia"/>
                <w:sz w:val="21"/>
                <w:szCs w:val="21"/>
                <w:u w:val="single"/>
              </w:rPr>
              <w:t>H</w:t>
            </w:r>
            <w:r>
              <w:rPr>
                <w:rFonts w:hint="eastAsia"/>
                <w:sz w:val="21"/>
                <w:szCs w:val="21"/>
                <w:u w:val="single"/>
                <w:vertAlign w:val="subscript"/>
              </w:rPr>
              <w:t>2</w:t>
            </w:r>
            <w:r>
              <w:rPr>
                <w:rFonts w:hint="eastAsia"/>
                <w:sz w:val="21"/>
                <w:szCs w:val="21"/>
                <w:u w:val="single"/>
              </w:rPr>
              <w:t>O</w:t>
            </w:r>
            <w:r>
              <w:rPr>
                <w:rFonts w:hint="eastAsia"/>
                <w:sz w:val="21"/>
                <w:szCs w:val="21"/>
                <w:u w:val="single"/>
                <w:vertAlign w:val="subscript"/>
              </w:rPr>
              <w:t>2</w:t>
            </w:r>
          </w:p>
        </w:tc>
        <w:tc>
          <w:tcPr>
            <w:tcW w:w="1165" w:type="pct"/>
            <w:gridSpan w:val="3"/>
            <w:vAlign w:val="center"/>
          </w:tcPr>
          <w:p w14:paraId="5F00D79D">
            <w:pPr>
              <w:spacing w:line="240" w:lineRule="auto"/>
              <w:ind w:firstLine="0" w:firstLineChars="0"/>
              <w:jc w:val="center"/>
              <w:rPr>
                <w:sz w:val="21"/>
                <w:szCs w:val="21"/>
                <w:u w:val="single"/>
              </w:rPr>
            </w:pPr>
            <w:r>
              <w:rPr>
                <w:sz w:val="21"/>
                <w:szCs w:val="21"/>
                <w:u w:val="single"/>
              </w:rPr>
              <w:t>外观与性状</w:t>
            </w:r>
          </w:p>
        </w:tc>
        <w:tc>
          <w:tcPr>
            <w:tcW w:w="918" w:type="pct"/>
            <w:vAlign w:val="center"/>
          </w:tcPr>
          <w:p w14:paraId="42308494">
            <w:pPr>
              <w:spacing w:line="240" w:lineRule="auto"/>
              <w:ind w:firstLine="0" w:firstLineChars="0"/>
              <w:jc w:val="center"/>
              <w:rPr>
                <w:sz w:val="21"/>
                <w:szCs w:val="21"/>
                <w:u w:val="single"/>
              </w:rPr>
            </w:pPr>
            <w:r>
              <w:rPr>
                <w:rFonts w:hint="eastAsia"/>
                <w:sz w:val="21"/>
                <w:szCs w:val="21"/>
                <w:u w:val="single"/>
              </w:rPr>
              <w:t>无色透明液体，有微弱的特殊气味</w:t>
            </w:r>
          </w:p>
        </w:tc>
      </w:tr>
      <w:tr w14:paraId="5C58D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3D735B1">
            <w:pPr>
              <w:spacing w:line="240" w:lineRule="auto"/>
              <w:ind w:firstLine="0" w:firstLineChars="0"/>
              <w:jc w:val="center"/>
              <w:rPr>
                <w:sz w:val="21"/>
                <w:szCs w:val="21"/>
                <w:u w:val="single"/>
              </w:rPr>
            </w:pPr>
            <w:r>
              <w:rPr>
                <w:sz w:val="21"/>
                <w:szCs w:val="21"/>
                <w:u w:val="single"/>
              </w:rPr>
              <w:t>分子量</w:t>
            </w:r>
          </w:p>
        </w:tc>
        <w:tc>
          <w:tcPr>
            <w:tcW w:w="2067" w:type="pct"/>
            <w:gridSpan w:val="3"/>
            <w:vAlign w:val="center"/>
          </w:tcPr>
          <w:p w14:paraId="6EFDF333">
            <w:pPr>
              <w:spacing w:line="240" w:lineRule="auto"/>
              <w:ind w:firstLine="0" w:firstLineChars="0"/>
              <w:jc w:val="center"/>
              <w:rPr>
                <w:sz w:val="21"/>
                <w:szCs w:val="21"/>
                <w:u w:val="single"/>
              </w:rPr>
            </w:pPr>
            <w:r>
              <w:rPr>
                <w:rFonts w:hint="eastAsia"/>
                <w:sz w:val="21"/>
                <w:szCs w:val="21"/>
                <w:u w:val="single"/>
              </w:rPr>
              <w:t>34.02</w:t>
            </w:r>
          </w:p>
        </w:tc>
        <w:tc>
          <w:tcPr>
            <w:tcW w:w="1165" w:type="pct"/>
            <w:gridSpan w:val="3"/>
            <w:vAlign w:val="center"/>
          </w:tcPr>
          <w:p w14:paraId="1F67D135">
            <w:pPr>
              <w:spacing w:line="240" w:lineRule="auto"/>
              <w:ind w:firstLine="0" w:firstLineChars="0"/>
              <w:jc w:val="center"/>
              <w:rPr>
                <w:sz w:val="21"/>
                <w:szCs w:val="21"/>
                <w:u w:val="single"/>
              </w:rPr>
            </w:pPr>
            <w:r>
              <w:rPr>
                <w:sz w:val="21"/>
                <w:szCs w:val="21"/>
                <w:u w:val="single"/>
              </w:rPr>
              <w:t>密度</w:t>
            </w:r>
          </w:p>
        </w:tc>
        <w:tc>
          <w:tcPr>
            <w:tcW w:w="918" w:type="pct"/>
            <w:vAlign w:val="center"/>
          </w:tcPr>
          <w:p w14:paraId="12337D41">
            <w:pPr>
              <w:spacing w:line="240" w:lineRule="auto"/>
              <w:ind w:firstLine="0" w:firstLineChars="0"/>
              <w:jc w:val="center"/>
              <w:rPr>
                <w:sz w:val="21"/>
                <w:szCs w:val="21"/>
                <w:u w:val="single"/>
              </w:rPr>
            </w:pPr>
            <w:r>
              <w:rPr>
                <w:sz w:val="21"/>
                <w:szCs w:val="21"/>
                <w:u w:val="single"/>
              </w:rPr>
              <w:t>1.465g/cm³</w:t>
            </w:r>
          </w:p>
        </w:tc>
      </w:tr>
      <w:tr w14:paraId="01AB7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1DD5F56">
            <w:pPr>
              <w:spacing w:line="240" w:lineRule="auto"/>
              <w:ind w:firstLine="0" w:firstLineChars="0"/>
              <w:jc w:val="center"/>
              <w:rPr>
                <w:sz w:val="21"/>
                <w:szCs w:val="21"/>
                <w:u w:val="single"/>
              </w:rPr>
            </w:pPr>
            <w:r>
              <w:rPr>
                <w:rFonts w:hint="eastAsia"/>
                <w:sz w:val="21"/>
                <w:szCs w:val="21"/>
                <w:u w:val="single"/>
              </w:rPr>
              <w:t>C</w:t>
            </w:r>
            <w:r>
              <w:rPr>
                <w:sz w:val="21"/>
                <w:szCs w:val="21"/>
                <w:u w:val="single"/>
              </w:rPr>
              <w:t>AS</w:t>
            </w:r>
          </w:p>
        </w:tc>
        <w:tc>
          <w:tcPr>
            <w:tcW w:w="2067" w:type="pct"/>
            <w:gridSpan w:val="3"/>
            <w:vAlign w:val="center"/>
          </w:tcPr>
          <w:p w14:paraId="370D02D7">
            <w:pPr>
              <w:spacing w:line="240" w:lineRule="auto"/>
              <w:ind w:firstLine="0" w:firstLineChars="0"/>
              <w:jc w:val="center"/>
              <w:rPr>
                <w:sz w:val="21"/>
                <w:szCs w:val="21"/>
                <w:u w:val="single"/>
              </w:rPr>
            </w:pPr>
            <w:r>
              <w:rPr>
                <w:rFonts w:hint="eastAsia"/>
                <w:sz w:val="21"/>
                <w:szCs w:val="21"/>
                <w:u w:val="single"/>
              </w:rPr>
              <w:t>7722-84-1</w:t>
            </w:r>
          </w:p>
        </w:tc>
        <w:tc>
          <w:tcPr>
            <w:tcW w:w="1165" w:type="pct"/>
            <w:gridSpan w:val="3"/>
            <w:vAlign w:val="center"/>
          </w:tcPr>
          <w:p w14:paraId="0932B565">
            <w:pPr>
              <w:spacing w:line="240" w:lineRule="auto"/>
              <w:ind w:firstLine="0" w:firstLineChars="0"/>
              <w:jc w:val="center"/>
              <w:rPr>
                <w:sz w:val="21"/>
                <w:szCs w:val="21"/>
                <w:u w:val="single"/>
              </w:rPr>
            </w:pPr>
            <w:r>
              <w:rPr>
                <w:rFonts w:hint="eastAsia"/>
                <w:sz w:val="21"/>
                <w:szCs w:val="21"/>
                <w:u w:val="single"/>
              </w:rPr>
              <w:t>饱和蒸气压</w:t>
            </w:r>
          </w:p>
        </w:tc>
        <w:tc>
          <w:tcPr>
            <w:tcW w:w="918" w:type="pct"/>
            <w:vAlign w:val="center"/>
          </w:tcPr>
          <w:p w14:paraId="549F6326">
            <w:pPr>
              <w:spacing w:line="240" w:lineRule="auto"/>
              <w:ind w:firstLine="0" w:firstLineChars="0"/>
              <w:jc w:val="center"/>
              <w:rPr>
                <w:sz w:val="21"/>
                <w:szCs w:val="21"/>
                <w:u w:val="single"/>
              </w:rPr>
            </w:pPr>
            <w:r>
              <w:rPr>
                <w:sz w:val="21"/>
                <w:szCs w:val="21"/>
                <w:u w:val="single"/>
              </w:rPr>
              <w:t>0.13kPa（15.3℃）</w:t>
            </w:r>
          </w:p>
        </w:tc>
      </w:tr>
      <w:tr w14:paraId="15404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68B2A614">
            <w:pPr>
              <w:spacing w:line="240" w:lineRule="auto"/>
              <w:ind w:firstLine="0" w:firstLineChars="0"/>
              <w:jc w:val="center"/>
              <w:rPr>
                <w:sz w:val="21"/>
                <w:szCs w:val="21"/>
                <w:u w:val="single"/>
              </w:rPr>
            </w:pPr>
            <w:r>
              <w:rPr>
                <w:rFonts w:hint="eastAsia"/>
                <w:sz w:val="21"/>
                <w:szCs w:val="21"/>
                <w:u w:val="single"/>
              </w:rPr>
              <w:t>熔点</w:t>
            </w:r>
          </w:p>
        </w:tc>
        <w:tc>
          <w:tcPr>
            <w:tcW w:w="2067" w:type="pct"/>
            <w:gridSpan w:val="3"/>
            <w:vAlign w:val="center"/>
          </w:tcPr>
          <w:p w14:paraId="289A4454">
            <w:pPr>
              <w:spacing w:line="240" w:lineRule="auto"/>
              <w:ind w:firstLine="0" w:firstLineChars="0"/>
              <w:jc w:val="center"/>
              <w:rPr>
                <w:sz w:val="21"/>
                <w:szCs w:val="21"/>
                <w:u w:val="single"/>
              </w:rPr>
            </w:pPr>
            <w:r>
              <w:rPr>
                <w:sz w:val="21"/>
                <w:szCs w:val="21"/>
                <w:u w:val="single"/>
              </w:rPr>
              <w:t>-1℃</w:t>
            </w:r>
          </w:p>
        </w:tc>
        <w:tc>
          <w:tcPr>
            <w:tcW w:w="1165" w:type="pct"/>
            <w:gridSpan w:val="3"/>
            <w:vAlign w:val="center"/>
          </w:tcPr>
          <w:p w14:paraId="413C160B">
            <w:pPr>
              <w:spacing w:line="240" w:lineRule="auto"/>
              <w:ind w:firstLine="0" w:firstLineChars="0"/>
              <w:jc w:val="center"/>
              <w:rPr>
                <w:sz w:val="21"/>
                <w:szCs w:val="21"/>
                <w:u w:val="single"/>
              </w:rPr>
            </w:pPr>
            <w:r>
              <w:rPr>
                <w:rFonts w:hint="eastAsia"/>
                <w:sz w:val="21"/>
                <w:szCs w:val="21"/>
                <w:u w:val="single"/>
              </w:rPr>
              <w:t>沸点</w:t>
            </w:r>
          </w:p>
        </w:tc>
        <w:tc>
          <w:tcPr>
            <w:tcW w:w="918" w:type="pct"/>
            <w:vAlign w:val="center"/>
          </w:tcPr>
          <w:p w14:paraId="3926816F">
            <w:pPr>
              <w:spacing w:line="240" w:lineRule="auto"/>
              <w:ind w:firstLine="0" w:firstLineChars="0"/>
              <w:jc w:val="center"/>
              <w:rPr>
                <w:sz w:val="21"/>
                <w:szCs w:val="21"/>
                <w:u w:val="single"/>
              </w:rPr>
            </w:pPr>
            <w:r>
              <w:rPr>
                <w:rFonts w:hint="eastAsia"/>
                <w:sz w:val="21"/>
                <w:szCs w:val="21"/>
                <w:u w:val="single"/>
              </w:rPr>
              <w:t>150.2℃</w:t>
            </w:r>
          </w:p>
        </w:tc>
      </w:tr>
      <w:tr w14:paraId="684E8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02E53990">
            <w:pPr>
              <w:spacing w:line="240" w:lineRule="auto"/>
              <w:ind w:firstLine="0" w:firstLineChars="0"/>
              <w:jc w:val="center"/>
              <w:rPr>
                <w:rFonts w:eastAsiaTheme="minorEastAsia"/>
                <w:sz w:val="21"/>
                <w:szCs w:val="21"/>
                <w:u w:val="single"/>
              </w:rPr>
            </w:pPr>
            <w:r>
              <w:rPr>
                <w:rFonts w:hint="eastAsia"/>
                <w:sz w:val="21"/>
                <w:szCs w:val="21"/>
                <w:u w:val="single"/>
              </w:rPr>
              <w:t>燃烧性</w:t>
            </w:r>
          </w:p>
        </w:tc>
        <w:tc>
          <w:tcPr>
            <w:tcW w:w="2067" w:type="pct"/>
            <w:gridSpan w:val="3"/>
            <w:vAlign w:val="center"/>
          </w:tcPr>
          <w:p w14:paraId="2EDDF659">
            <w:pPr>
              <w:spacing w:line="240" w:lineRule="auto"/>
              <w:ind w:firstLine="0" w:firstLineChars="0"/>
              <w:jc w:val="center"/>
              <w:rPr>
                <w:sz w:val="21"/>
                <w:szCs w:val="21"/>
                <w:u w:val="single"/>
              </w:rPr>
            </w:pPr>
            <w:r>
              <w:rPr>
                <w:rFonts w:hint="eastAsia"/>
                <w:sz w:val="21"/>
                <w:szCs w:val="21"/>
                <w:u w:val="single"/>
              </w:rPr>
              <w:t>助燃</w:t>
            </w:r>
          </w:p>
        </w:tc>
        <w:tc>
          <w:tcPr>
            <w:tcW w:w="1165" w:type="pct"/>
            <w:gridSpan w:val="3"/>
            <w:vAlign w:val="center"/>
          </w:tcPr>
          <w:p w14:paraId="14406E2F">
            <w:pPr>
              <w:spacing w:line="240" w:lineRule="auto"/>
              <w:ind w:firstLine="0" w:firstLineChars="0"/>
              <w:jc w:val="center"/>
              <w:rPr>
                <w:sz w:val="21"/>
                <w:szCs w:val="21"/>
                <w:u w:val="single"/>
              </w:rPr>
            </w:pPr>
            <w:r>
              <w:rPr>
                <w:rFonts w:hint="eastAsia"/>
                <w:sz w:val="21"/>
                <w:szCs w:val="21"/>
                <w:u w:val="single"/>
              </w:rPr>
              <w:t>避免接触的条件</w:t>
            </w:r>
          </w:p>
        </w:tc>
        <w:tc>
          <w:tcPr>
            <w:tcW w:w="918" w:type="pct"/>
            <w:vAlign w:val="center"/>
          </w:tcPr>
          <w:p w14:paraId="06CFADE3">
            <w:pPr>
              <w:spacing w:line="240" w:lineRule="auto"/>
              <w:ind w:firstLine="0" w:firstLineChars="0"/>
              <w:jc w:val="center"/>
              <w:rPr>
                <w:sz w:val="21"/>
                <w:szCs w:val="21"/>
                <w:u w:val="single"/>
              </w:rPr>
            </w:pPr>
            <w:r>
              <w:rPr>
                <w:rFonts w:hint="eastAsia"/>
                <w:sz w:val="21"/>
                <w:szCs w:val="21"/>
                <w:u w:val="single"/>
              </w:rPr>
              <w:t>受热</w:t>
            </w:r>
          </w:p>
        </w:tc>
      </w:tr>
      <w:tr w14:paraId="1C5AA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7D86C44">
            <w:pPr>
              <w:spacing w:line="240" w:lineRule="auto"/>
              <w:ind w:firstLine="0" w:firstLineChars="0"/>
              <w:jc w:val="center"/>
              <w:rPr>
                <w:sz w:val="21"/>
                <w:szCs w:val="21"/>
                <w:u w:val="single"/>
              </w:rPr>
            </w:pPr>
            <w:r>
              <w:rPr>
                <w:rFonts w:hint="eastAsia"/>
                <w:sz w:val="21"/>
                <w:szCs w:val="21"/>
                <w:u w:val="single"/>
              </w:rPr>
              <w:t>溶解性</w:t>
            </w:r>
          </w:p>
        </w:tc>
        <w:tc>
          <w:tcPr>
            <w:tcW w:w="2067" w:type="pct"/>
            <w:gridSpan w:val="3"/>
            <w:vAlign w:val="center"/>
          </w:tcPr>
          <w:p w14:paraId="44BE61D1">
            <w:pPr>
              <w:spacing w:line="240" w:lineRule="auto"/>
              <w:ind w:firstLine="0" w:firstLineChars="0"/>
              <w:jc w:val="center"/>
              <w:rPr>
                <w:rFonts w:eastAsiaTheme="minorEastAsia"/>
                <w:sz w:val="21"/>
                <w:szCs w:val="21"/>
                <w:u w:val="single"/>
              </w:rPr>
            </w:pPr>
            <w:r>
              <w:rPr>
                <w:rFonts w:hint="eastAsia"/>
                <w:sz w:val="21"/>
                <w:szCs w:val="21"/>
                <w:u w:val="single"/>
              </w:rPr>
              <w:t>溶于水、醇、醚，但不溶于苯、石油醚</w:t>
            </w:r>
          </w:p>
        </w:tc>
        <w:tc>
          <w:tcPr>
            <w:tcW w:w="1165" w:type="pct"/>
            <w:gridSpan w:val="3"/>
            <w:vAlign w:val="center"/>
          </w:tcPr>
          <w:p w14:paraId="56BB652B">
            <w:pPr>
              <w:spacing w:line="240" w:lineRule="auto"/>
              <w:ind w:firstLine="0" w:firstLineChars="0"/>
              <w:jc w:val="center"/>
              <w:rPr>
                <w:sz w:val="21"/>
                <w:szCs w:val="21"/>
                <w:u w:val="single"/>
              </w:rPr>
            </w:pPr>
            <w:r>
              <w:rPr>
                <w:rFonts w:hint="eastAsia"/>
                <w:sz w:val="21"/>
                <w:szCs w:val="21"/>
                <w:u w:val="single"/>
              </w:rPr>
              <w:t>稳定性</w:t>
            </w:r>
          </w:p>
        </w:tc>
        <w:tc>
          <w:tcPr>
            <w:tcW w:w="918" w:type="pct"/>
            <w:vAlign w:val="center"/>
          </w:tcPr>
          <w:p w14:paraId="6E24FF15">
            <w:pPr>
              <w:spacing w:line="240" w:lineRule="auto"/>
              <w:ind w:firstLine="0" w:firstLineChars="0"/>
              <w:jc w:val="center"/>
              <w:rPr>
                <w:sz w:val="21"/>
                <w:szCs w:val="21"/>
                <w:u w:val="single"/>
              </w:rPr>
            </w:pPr>
            <w:r>
              <w:rPr>
                <w:rFonts w:hint="eastAsia"/>
                <w:sz w:val="21"/>
                <w:szCs w:val="21"/>
                <w:u w:val="single"/>
              </w:rPr>
              <w:t>稳定</w:t>
            </w:r>
          </w:p>
        </w:tc>
      </w:tr>
      <w:tr w14:paraId="10A73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9D28D4B">
            <w:pPr>
              <w:spacing w:line="240" w:lineRule="auto"/>
              <w:ind w:firstLine="0" w:firstLineChars="0"/>
              <w:jc w:val="center"/>
              <w:rPr>
                <w:sz w:val="21"/>
                <w:szCs w:val="21"/>
                <w:u w:val="single"/>
              </w:rPr>
            </w:pPr>
            <w:r>
              <w:rPr>
                <w:sz w:val="21"/>
                <w:szCs w:val="21"/>
                <w:u w:val="single"/>
              </w:rPr>
              <w:t>危险特性</w:t>
            </w:r>
          </w:p>
        </w:tc>
        <w:tc>
          <w:tcPr>
            <w:tcW w:w="4150" w:type="pct"/>
            <w:gridSpan w:val="7"/>
            <w:vAlign w:val="center"/>
          </w:tcPr>
          <w:p w14:paraId="5D83497D">
            <w:pPr>
              <w:spacing w:line="240" w:lineRule="auto"/>
              <w:ind w:firstLine="0" w:firstLineChars="0"/>
              <w:rPr>
                <w:sz w:val="21"/>
                <w:szCs w:val="21"/>
                <w:u w:val="single"/>
              </w:rPr>
            </w:pPr>
            <w:r>
              <w:rPr>
                <w:rFonts w:hint="eastAsia"/>
                <w:sz w:val="21"/>
                <w:szCs w:val="21"/>
                <w:u w:val="single"/>
              </w:rPr>
              <w:t>受热或遇有机物易分解放出氧气。当加热到100℃上时，开始急剧分解。遇铬酸、高锰酸钾、金属粉末等会发生剧烈的化学反应，甚至爆炸。若遇高热可发生剧烈分解，引起容器破裂或爆炸事故。</w:t>
            </w:r>
          </w:p>
        </w:tc>
      </w:tr>
      <w:tr w14:paraId="5303A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4378230">
            <w:pPr>
              <w:spacing w:line="240" w:lineRule="auto"/>
              <w:ind w:firstLine="0" w:firstLineChars="0"/>
              <w:jc w:val="center"/>
              <w:rPr>
                <w:sz w:val="21"/>
                <w:szCs w:val="21"/>
                <w:u w:val="single"/>
              </w:rPr>
            </w:pPr>
            <w:r>
              <w:rPr>
                <w:rFonts w:hint="eastAsia"/>
                <w:sz w:val="21"/>
                <w:szCs w:val="21"/>
                <w:u w:val="single"/>
              </w:rPr>
              <w:t>健康危害</w:t>
            </w:r>
          </w:p>
        </w:tc>
        <w:tc>
          <w:tcPr>
            <w:tcW w:w="4150" w:type="pct"/>
            <w:gridSpan w:val="7"/>
            <w:vAlign w:val="center"/>
          </w:tcPr>
          <w:p w14:paraId="008A419C">
            <w:pPr>
              <w:spacing w:line="240" w:lineRule="auto"/>
              <w:ind w:firstLine="0" w:firstLineChars="0"/>
              <w:rPr>
                <w:sz w:val="21"/>
                <w:szCs w:val="21"/>
                <w:u w:val="single"/>
              </w:rPr>
            </w:pPr>
            <w:r>
              <w:rPr>
                <w:rFonts w:hint="eastAsia"/>
                <w:sz w:val="21"/>
                <w:szCs w:val="21"/>
                <w:u w:val="single"/>
              </w:rPr>
              <w:t>吸入本品蒸气或雾对呼吸道有强烈刺激性。眼直接接触液体可致不可逆损伤甚至失明。口服中毒出现腹痛、胸口痛、呼吸困难、呕吐、一时性运动和感觉障碍、体温升高、结膜和皮肤出血。个别病例出现视力障碍、癫痫样痉挛、轻瘫。长期接触本品可致接触性皮炎。</w:t>
            </w:r>
          </w:p>
        </w:tc>
      </w:tr>
      <w:tr w14:paraId="0D23A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646501CB">
            <w:pPr>
              <w:spacing w:line="240" w:lineRule="auto"/>
              <w:ind w:firstLine="0" w:firstLineChars="0"/>
              <w:jc w:val="center"/>
              <w:rPr>
                <w:sz w:val="21"/>
                <w:szCs w:val="21"/>
                <w:u w:val="single"/>
              </w:rPr>
            </w:pPr>
            <w:r>
              <w:rPr>
                <w:rFonts w:hint="eastAsia"/>
                <w:sz w:val="21"/>
                <w:szCs w:val="21"/>
                <w:u w:val="single"/>
              </w:rPr>
              <w:t>泄漏应急处置</w:t>
            </w:r>
          </w:p>
        </w:tc>
        <w:tc>
          <w:tcPr>
            <w:tcW w:w="4150" w:type="pct"/>
            <w:gridSpan w:val="7"/>
            <w:vAlign w:val="center"/>
          </w:tcPr>
          <w:p w14:paraId="1202B698">
            <w:pPr>
              <w:spacing w:line="240" w:lineRule="auto"/>
              <w:ind w:firstLine="0" w:firstLineChars="0"/>
              <w:rPr>
                <w:sz w:val="21"/>
                <w:szCs w:val="21"/>
                <w:u w:val="single"/>
              </w:rPr>
            </w:pPr>
            <w:r>
              <w:rPr>
                <w:rFonts w:hint="eastAsia"/>
                <w:sz w:val="21"/>
                <w:szCs w:val="21"/>
                <w:u w:val="single"/>
              </w:rPr>
              <w:t>疏散泄漏污染区人员至安全区，禁止无关人员进入污染区，建议应急处理人员戴好防毒面具，穿化学防护服。勿使泄漏物与可燃物质（木材、纸、油等）接触，不要直接接触泄漏物，在确保安全情况下堵漏。喷雾状水，减少蒸发。用沙土、蛭石或其它惰性材料吸收，收集运至废物处理场所处置。也可以用大量水冲洗，经稀释的洗水放入废水系统。如大量泄漏，利用围堤收容，然后收集、转移、回收或无害处理后废弃。</w:t>
            </w:r>
          </w:p>
        </w:tc>
      </w:tr>
      <w:tr w14:paraId="75D13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23FE8216">
            <w:pPr>
              <w:spacing w:line="240" w:lineRule="auto"/>
              <w:ind w:firstLine="0" w:firstLineChars="0"/>
              <w:jc w:val="center"/>
              <w:rPr>
                <w:sz w:val="21"/>
                <w:szCs w:val="21"/>
                <w:u w:val="single"/>
              </w:rPr>
            </w:pPr>
            <w:r>
              <w:rPr>
                <w:rFonts w:hint="eastAsia"/>
                <w:sz w:val="21"/>
                <w:szCs w:val="21"/>
                <w:u w:val="single"/>
              </w:rPr>
              <w:t>二丙二醇</w:t>
            </w:r>
          </w:p>
        </w:tc>
      </w:tr>
      <w:tr w14:paraId="51AAC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482A05F8">
            <w:pPr>
              <w:spacing w:line="240" w:lineRule="auto"/>
              <w:ind w:firstLine="0" w:firstLineChars="0"/>
              <w:jc w:val="center"/>
              <w:rPr>
                <w:sz w:val="21"/>
                <w:szCs w:val="21"/>
                <w:u w:val="single"/>
              </w:rPr>
            </w:pPr>
            <w:r>
              <w:rPr>
                <w:sz w:val="21"/>
                <w:szCs w:val="21"/>
                <w:u w:val="single"/>
              </w:rPr>
              <w:t>分子式</w:t>
            </w:r>
          </w:p>
        </w:tc>
        <w:tc>
          <w:tcPr>
            <w:tcW w:w="2067" w:type="pct"/>
            <w:gridSpan w:val="3"/>
            <w:vAlign w:val="center"/>
          </w:tcPr>
          <w:p w14:paraId="4D7E6D34">
            <w:pPr>
              <w:spacing w:line="240" w:lineRule="auto"/>
              <w:ind w:firstLine="0" w:firstLineChars="0"/>
              <w:jc w:val="center"/>
              <w:rPr>
                <w:sz w:val="21"/>
                <w:szCs w:val="21"/>
                <w:u w:val="single"/>
              </w:rPr>
            </w:pPr>
            <w:r>
              <w:rPr>
                <w:kern w:val="2"/>
                <w:sz w:val="21"/>
                <w:szCs w:val="21"/>
              </w:rPr>
              <w:t>C</w:t>
            </w:r>
            <w:r>
              <w:rPr>
                <w:kern w:val="2"/>
                <w:sz w:val="21"/>
                <w:szCs w:val="21"/>
                <w:vertAlign w:val="subscript"/>
              </w:rPr>
              <w:t>6</w:t>
            </w:r>
            <w:r>
              <w:rPr>
                <w:kern w:val="2"/>
                <w:sz w:val="21"/>
                <w:szCs w:val="21"/>
              </w:rPr>
              <w:t>H</w:t>
            </w:r>
            <w:r>
              <w:rPr>
                <w:kern w:val="2"/>
                <w:sz w:val="21"/>
                <w:szCs w:val="21"/>
                <w:vertAlign w:val="subscript"/>
              </w:rPr>
              <w:t>14</w:t>
            </w:r>
            <w:r>
              <w:rPr>
                <w:kern w:val="2"/>
                <w:sz w:val="21"/>
                <w:szCs w:val="21"/>
              </w:rPr>
              <w:t>O</w:t>
            </w:r>
            <w:r>
              <w:rPr>
                <w:kern w:val="2"/>
                <w:sz w:val="21"/>
                <w:szCs w:val="21"/>
                <w:vertAlign w:val="subscript"/>
              </w:rPr>
              <w:t>3</w:t>
            </w:r>
          </w:p>
        </w:tc>
        <w:tc>
          <w:tcPr>
            <w:tcW w:w="1165" w:type="pct"/>
            <w:gridSpan w:val="3"/>
            <w:vAlign w:val="center"/>
          </w:tcPr>
          <w:p w14:paraId="06303DE2">
            <w:pPr>
              <w:spacing w:line="240" w:lineRule="auto"/>
              <w:ind w:firstLine="0" w:firstLineChars="0"/>
              <w:jc w:val="center"/>
              <w:rPr>
                <w:sz w:val="21"/>
                <w:szCs w:val="21"/>
                <w:u w:val="single"/>
              </w:rPr>
            </w:pPr>
            <w:r>
              <w:rPr>
                <w:sz w:val="21"/>
                <w:szCs w:val="21"/>
                <w:u w:val="single"/>
              </w:rPr>
              <w:t>外观与性状</w:t>
            </w:r>
          </w:p>
        </w:tc>
        <w:tc>
          <w:tcPr>
            <w:tcW w:w="918" w:type="pct"/>
            <w:vAlign w:val="center"/>
          </w:tcPr>
          <w:p w14:paraId="0F33CF77">
            <w:pPr>
              <w:spacing w:line="240" w:lineRule="auto"/>
              <w:ind w:firstLine="0" w:firstLineChars="0"/>
              <w:jc w:val="center"/>
              <w:rPr>
                <w:sz w:val="21"/>
                <w:szCs w:val="21"/>
                <w:u w:val="single"/>
              </w:rPr>
            </w:pPr>
            <w:r>
              <w:rPr>
                <w:rFonts w:hint="eastAsia"/>
                <w:sz w:val="21"/>
                <w:szCs w:val="21"/>
                <w:u w:val="single"/>
              </w:rPr>
              <w:t>无嗅、无色、水溶性和吸湿性液体</w:t>
            </w:r>
          </w:p>
        </w:tc>
      </w:tr>
      <w:tr w14:paraId="40253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DD3E4E1">
            <w:pPr>
              <w:spacing w:line="240" w:lineRule="auto"/>
              <w:ind w:firstLine="0" w:firstLineChars="0"/>
              <w:jc w:val="center"/>
              <w:rPr>
                <w:sz w:val="21"/>
                <w:szCs w:val="21"/>
                <w:u w:val="single"/>
              </w:rPr>
            </w:pPr>
            <w:r>
              <w:rPr>
                <w:sz w:val="21"/>
                <w:szCs w:val="21"/>
                <w:u w:val="single"/>
              </w:rPr>
              <w:t>分子量</w:t>
            </w:r>
          </w:p>
        </w:tc>
        <w:tc>
          <w:tcPr>
            <w:tcW w:w="2067" w:type="pct"/>
            <w:gridSpan w:val="3"/>
            <w:vAlign w:val="center"/>
          </w:tcPr>
          <w:p w14:paraId="621D3F75">
            <w:pPr>
              <w:spacing w:line="240" w:lineRule="auto"/>
              <w:ind w:firstLine="0" w:firstLineChars="0"/>
              <w:jc w:val="center"/>
              <w:rPr>
                <w:sz w:val="21"/>
                <w:szCs w:val="21"/>
                <w:u w:val="single"/>
              </w:rPr>
            </w:pPr>
            <w:r>
              <w:rPr>
                <w:rFonts w:hint="eastAsia"/>
                <w:sz w:val="21"/>
                <w:szCs w:val="21"/>
                <w:u w:val="single"/>
              </w:rPr>
              <w:t>134.17</w:t>
            </w:r>
          </w:p>
        </w:tc>
        <w:tc>
          <w:tcPr>
            <w:tcW w:w="1165" w:type="pct"/>
            <w:gridSpan w:val="3"/>
            <w:vAlign w:val="center"/>
          </w:tcPr>
          <w:p w14:paraId="17185DD9">
            <w:pPr>
              <w:spacing w:line="240" w:lineRule="auto"/>
              <w:ind w:firstLine="0" w:firstLineChars="0"/>
              <w:jc w:val="center"/>
              <w:rPr>
                <w:sz w:val="21"/>
                <w:szCs w:val="21"/>
                <w:u w:val="single"/>
              </w:rPr>
            </w:pPr>
            <w:r>
              <w:rPr>
                <w:sz w:val="21"/>
                <w:szCs w:val="21"/>
                <w:u w:val="single"/>
              </w:rPr>
              <w:t>密度</w:t>
            </w:r>
          </w:p>
        </w:tc>
        <w:tc>
          <w:tcPr>
            <w:tcW w:w="918" w:type="pct"/>
            <w:vAlign w:val="center"/>
          </w:tcPr>
          <w:p w14:paraId="45008619">
            <w:pPr>
              <w:spacing w:line="240" w:lineRule="auto"/>
              <w:ind w:firstLine="0" w:firstLineChars="0"/>
              <w:jc w:val="center"/>
              <w:rPr>
                <w:sz w:val="21"/>
                <w:szCs w:val="21"/>
                <w:u w:val="single"/>
              </w:rPr>
            </w:pPr>
            <w:r>
              <w:rPr>
                <w:sz w:val="21"/>
                <w:szCs w:val="21"/>
                <w:u w:val="single"/>
              </w:rPr>
              <w:t>1</w:t>
            </w:r>
            <w:r>
              <w:rPr>
                <w:rFonts w:hint="eastAsia"/>
                <w:sz w:val="21"/>
                <w:szCs w:val="21"/>
                <w:u w:val="single"/>
              </w:rPr>
              <w:t>.0252</w:t>
            </w:r>
            <w:r>
              <w:rPr>
                <w:sz w:val="21"/>
                <w:szCs w:val="21"/>
                <w:u w:val="single"/>
              </w:rPr>
              <w:t>g/cm</w:t>
            </w:r>
            <w:r>
              <w:rPr>
                <w:sz w:val="21"/>
                <w:szCs w:val="21"/>
                <w:u w:val="single"/>
                <w:vertAlign w:val="superscript"/>
              </w:rPr>
              <w:t>3</w:t>
            </w:r>
          </w:p>
        </w:tc>
      </w:tr>
      <w:tr w14:paraId="5123A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AFF36F3">
            <w:pPr>
              <w:spacing w:line="240" w:lineRule="auto"/>
              <w:ind w:firstLine="0" w:firstLineChars="0"/>
              <w:jc w:val="center"/>
              <w:rPr>
                <w:sz w:val="21"/>
                <w:szCs w:val="21"/>
                <w:u w:val="single"/>
              </w:rPr>
            </w:pPr>
            <w:r>
              <w:rPr>
                <w:rFonts w:hint="eastAsia"/>
                <w:sz w:val="21"/>
                <w:szCs w:val="21"/>
                <w:u w:val="single"/>
              </w:rPr>
              <w:t>C</w:t>
            </w:r>
            <w:r>
              <w:rPr>
                <w:sz w:val="21"/>
                <w:szCs w:val="21"/>
                <w:u w:val="single"/>
              </w:rPr>
              <w:t>AS</w:t>
            </w:r>
          </w:p>
        </w:tc>
        <w:tc>
          <w:tcPr>
            <w:tcW w:w="2067" w:type="pct"/>
            <w:gridSpan w:val="3"/>
            <w:vAlign w:val="center"/>
          </w:tcPr>
          <w:p w14:paraId="5F2C48AC">
            <w:pPr>
              <w:spacing w:line="240" w:lineRule="auto"/>
              <w:ind w:firstLine="0" w:firstLineChars="0"/>
              <w:jc w:val="center"/>
              <w:rPr>
                <w:sz w:val="21"/>
                <w:szCs w:val="21"/>
                <w:u w:val="single"/>
              </w:rPr>
            </w:pPr>
            <w:r>
              <w:rPr>
                <w:sz w:val="21"/>
                <w:szCs w:val="21"/>
                <w:u w:val="single"/>
              </w:rPr>
              <w:t>110-98-5</w:t>
            </w:r>
          </w:p>
        </w:tc>
        <w:tc>
          <w:tcPr>
            <w:tcW w:w="1165" w:type="pct"/>
            <w:gridSpan w:val="3"/>
            <w:vAlign w:val="center"/>
          </w:tcPr>
          <w:p w14:paraId="40ECC853">
            <w:pPr>
              <w:spacing w:line="240" w:lineRule="auto"/>
              <w:ind w:firstLine="0" w:firstLineChars="0"/>
              <w:jc w:val="center"/>
              <w:rPr>
                <w:sz w:val="21"/>
                <w:szCs w:val="21"/>
                <w:u w:val="single"/>
              </w:rPr>
            </w:pPr>
            <w:r>
              <w:rPr>
                <w:rFonts w:hint="eastAsia"/>
                <w:sz w:val="21"/>
                <w:szCs w:val="21"/>
                <w:u w:val="single"/>
              </w:rPr>
              <w:t>闪点</w:t>
            </w:r>
          </w:p>
        </w:tc>
        <w:tc>
          <w:tcPr>
            <w:tcW w:w="918" w:type="pct"/>
            <w:vAlign w:val="center"/>
          </w:tcPr>
          <w:p w14:paraId="6BEBD3A7">
            <w:pPr>
              <w:spacing w:line="240" w:lineRule="auto"/>
              <w:ind w:firstLine="0" w:firstLineChars="0"/>
              <w:jc w:val="center"/>
              <w:rPr>
                <w:sz w:val="21"/>
                <w:szCs w:val="21"/>
                <w:u w:val="single"/>
              </w:rPr>
            </w:pPr>
            <w:r>
              <w:rPr>
                <w:kern w:val="2"/>
                <w:sz w:val="21"/>
                <w:szCs w:val="21"/>
              </w:rPr>
              <w:t>137.8℃</w:t>
            </w:r>
          </w:p>
        </w:tc>
      </w:tr>
      <w:tr w14:paraId="7B267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5A606DE">
            <w:pPr>
              <w:spacing w:line="240" w:lineRule="auto"/>
              <w:ind w:firstLine="0" w:firstLineChars="0"/>
              <w:jc w:val="center"/>
              <w:rPr>
                <w:sz w:val="21"/>
                <w:szCs w:val="21"/>
                <w:u w:val="single"/>
              </w:rPr>
            </w:pPr>
            <w:r>
              <w:rPr>
                <w:rFonts w:hint="eastAsia"/>
                <w:sz w:val="21"/>
                <w:szCs w:val="21"/>
                <w:u w:val="single"/>
              </w:rPr>
              <w:t>熔点</w:t>
            </w:r>
          </w:p>
        </w:tc>
        <w:tc>
          <w:tcPr>
            <w:tcW w:w="2067" w:type="pct"/>
            <w:gridSpan w:val="3"/>
            <w:vAlign w:val="center"/>
          </w:tcPr>
          <w:p w14:paraId="40663CCD">
            <w:pPr>
              <w:spacing w:line="240" w:lineRule="auto"/>
              <w:ind w:firstLine="0" w:firstLineChars="0"/>
              <w:jc w:val="center"/>
              <w:rPr>
                <w:sz w:val="21"/>
                <w:szCs w:val="21"/>
                <w:u w:val="single"/>
              </w:rPr>
            </w:pPr>
            <w:r>
              <w:rPr>
                <w:kern w:val="2"/>
                <w:sz w:val="21"/>
                <w:szCs w:val="21"/>
              </w:rPr>
              <w:t>-40℃</w:t>
            </w:r>
          </w:p>
        </w:tc>
        <w:tc>
          <w:tcPr>
            <w:tcW w:w="1165" w:type="pct"/>
            <w:gridSpan w:val="3"/>
            <w:vAlign w:val="center"/>
          </w:tcPr>
          <w:p w14:paraId="2D37547F">
            <w:pPr>
              <w:spacing w:line="240" w:lineRule="auto"/>
              <w:ind w:firstLine="0" w:firstLineChars="0"/>
              <w:jc w:val="center"/>
              <w:rPr>
                <w:sz w:val="21"/>
                <w:szCs w:val="21"/>
                <w:u w:val="single"/>
              </w:rPr>
            </w:pPr>
            <w:r>
              <w:rPr>
                <w:rFonts w:hint="eastAsia"/>
                <w:sz w:val="21"/>
                <w:szCs w:val="21"/>
                <w:u w:val="single"/>
              </w:rPr>
              <w:t>沸点</w:t>
            </w:r>
          </w:p>
        </w:tc>
        <w:tc>
          <w:tcPr>
            <w:tcW w:w="918" w:type="pct"/>
            <w:vAlign w:val="center"/>
          </w:tcPr>
          <w:p w14:paraId="3D62320A">
            <w:pPr>
              <w:spacing w:line="240" w:lineRule="auto"/>
              <w:ind w:firstLine="0" w:firstLineChars="0"/>
              <w:jc w:val="center"/>
              <w:rPr>
                <w:sz w:val="21"/>
                <w:szCs w:val="21"/>
                <w:u w:val="single"/>
              </w:rPr>
            </w:pPr>
            <w:r>
              <w:rPr>
                <w:kern w:val="2"/>
                <w:sz w:val="21"/>
                <w:szCs w:val="21"/>
              </w:rPr>
              <w:t>231.8℃</w:t>
            </w:r>
          </w:p>
        </w:tc>
      </w:tr>
      <w:tr w14:paraId="29E61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CB2127F">
            <w:pPr>
              <w:spacing w:line="240" w:lineRule="auto"/>
              <w:ind w:firstLine="0" w:firstLineChars="0"/>
              <w:jc w:val="center"/>
              <w:rPr>
                <w:sz w:val="21"/>
                <w:szCs w:val="21"/>
                <w:u w:val="single"/>
              </w:rPr>
            </w:pPr>
            <w:r>
              <w:rPr>
                <w:rFonts w:hint="eastAsia"/>
                <w:sz w:val="21"/>
                <w:szCs w:val="21"/>
                <w:u w:val="single"/>
              </w:rPr>
              <w:t>引燃温度</w:t>
            </w:r>
          </w:p>
        </w:tc>
        <w:tc>
          <w:tcPr>
            <w:tcW w:w="2067" w:type="pct"/>
            <w:gridSpan w:val="3"/>
            <w:vAlign w:val="center"/>
          </w:tcPr>
          <w:p w14:paraId="60FE5CEE">
            <w:pPr>
              <w:spacing w:line="240" w:lineRule="auto"/>
              <w:ind w:firstLine="0" w:firstLineChars="0"/>
              <w:jc w:val="center"/>
              <w:rPr>
                <w:sz w:val="21"/>
                <w:szCs w:val="21"/>
                <w:u w:val="single"/>
              </w:rPr>
            </w:pPr>
            <w:r>
              <w:rPr>
                <w:rFonts w:hint="eastAsia"/>
                <w:kern w:val="2"/>
                <w:sz w:val="21"/>
                <w:szCs w:val="21"/>
              </w:rPr>
              <w:t>31</w:t>
            </w:r>
            <w:r>
              <w:rPr>
                <w:kern w:val="2"/>
                <w:sz w:val="21"/>
                <w:szCs w:val="21"/>
              </w:rPr>
              <w:t>0℃</w:t>
            </w:r>
          </w:p>
        </w:tc>
        <w:tc>
          <w:tcPr>
            <w:tcW w:w="1165" w:type="pct"/>
            <w:gridSpan w:val="3"/>
            <w:vAlign w:val="center"/>
          </w:tcPr>
          <w:p w14:paraId="194005A8">
            <w:pPr>
              <w:spacing w:line="240" w:lineRule="auto"/>
              <w:ind w:firstLine="0" w:firstLineChars="0"/>
              <w:jc w:val="center"/>
              <w:rPr>
                <w:sz w:val="21"/>
                <w:szCs w:val="21"/>
                <w:u w:val="single"/>
              </w:rPr>
            </w:pPr>
            <w:r>
              <w:rPr>
                <w:rFonts w:hint="eastAsia"/>
                <w:sz w:val="21"/>
                <w:szCs w:val="21"/>
                <w:u w:val="single"/>
              </w:rPr>
              <w:t>蒸汽压</w:t>
            </w:r>
          </w:p>
        </w:tc>
        <w:tc>
          <w:tcPr>
            <w:tcW w:w="918" w:type="pct"/>
            <w:vAlign w:val="center"/>
          </w:tcPr>
          <w:p w14:paraId="467C4EC1">
            <w:pPr>
              <w:spacing w:line="240" w:lineRule="auto"/>
              <w:ind w:firstLine="0" w:firstLineChars="0"/>
              <w:jc w:val="center"/>
              <w:rPr>
                <w:sz w:val="21"/>
                <w:szCs w:val="21"/>
                <w:u w:val="single"/>
              </w:rPr>
            </w:pPr>
            <w:r>
              <w:rPr>
                <w:rFonts w:hint="eastAsia"/>
                <w:sz w:val="21"/>
                <w:szCs w:val="21"/>
                <w:u w:val="single"/>
              </w:rPr>
              <w:t>0.13KPa（7</w:t>
            </w:r>
            <w:r>
              <w:rPr>
                <w:sz w:val="21"/>
                <w:szCs w:val="21"/>
                <w:u w:val="single"/>
              </w:rPr>
              <w:t>4℃</w:t>
            </w:r>
            <w:r>
              <w:rPr>
                <w:rFonts w:hint="eastAsia"/>
                <w:sz w:val="21"/>
                <w:szCs w:val="21"/>
                <w:u w:val="single"/>
              </w:rPr>
              <w:t>）</w:t>
            </w:r>
          </w:p>
        </w:tc>
      </w:tr>
      <w:tr w14:paraId="3CB7F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E745250">
            <w:pPr>
              <w:spacing w:line="240" w:lineRule="auto"/>
              <w:ind w:firstLine="0" w:firstLineChars="0"/>
              <w:jc w:val="center"/>
              <w:rPr>
                <w:sz w:val="21"/>
                <w:szCs w:val="21"/>
                <w:u w:val="single"/>
              </w:rPr>
            </w:pPr>
            <w:r>
              <w:rPr>
                <w:rFonts w:hint="eastAsia"/>
                <w:sz w:val="21"/>
                <w:szCs w:val="21"/>
                <w:u w:val="single"/>
              </w:rPr>
              <w:t>爆炸上限（v/v）</w:t>
            </w:r>
          </w:p>
        </w:tc>
        <w:tc>
          <w:tcPr>
            <w:tcW w:w="2067" w:type="pct"/>
            <w:gridSpan w:val="3"/>
            <w:vAlign w:val="center"/>
          </w:tcPr>
          <w:p w14:paraId="4F86D3A1">
            <w:pPr>
              <w:spacing w:line="240" w:lineRule="auto"/>
              <w:ind w:firstLine="0" w:firstLineChars="0"/>
              <w:jc w:val="center"/>
              <w:rPr>
                <w:sz w:val="21"/>
                <w:szCs w:val="21"/>
                <w:u w:val="single"/>
              </w:rPr>
            </w:pPr>
            <w:r>
              <w:rPr>
                <w:rFonts w:hint="eastAsia"/>
                <w:sz w:val="21"/>
                <w:szCs w:val="21"/>
                <w:u w:val="single"/>
              </w:rPr>
              <w:t>12.7%</w:t>
            </w:r>
          </w:p>
        </w:tc>
        <w:tc>
          <w:tcPr>
            <w:tcW w:w="1165" w:type="pct"/>
            <w:gridSpan w:val="3"/>
            <w:vAlign w:val="center"/>
          </w:tcPr>
          <w:p w14:paraId="0271980A">
            <w:pPr>
              <w:spacing w:line="240" w:lineRule="auto"/>
              <w:ind w:firstLine="0" w:firstLineChars="0"/>
              <w:jc w:val="center"/>
              <w:rPr>
                <w:sz w:val="21"/>
                <w:szCs w:val="21"/>
                <w:u w:val="single"/>
              </w:rPr>
            </w:pPr>
            <w:r>
              <w:rPr>
                <w:rFonts w:hint="eastAsia"/>
                <w:sz w:val="21"/>
                <w:szCs w:val="21"/>
                <w:u w:val="single"/>
              </w:rPr>
              <w:t>爆炸下限（v/v）</w:t>
            </w:r>
          </w:p>
        </w:tc>
        <w:tc>
          <w:tcPr>
            <w:tcW w:w="918" w:type="pct"/>
            <w:vAlign w:val="center"/>
          </w:tcPr>
          <w:p w14:paraId="5AE27539">
            <w:pPr>
              <w:spacing w:line="240" w:lineRule="auto"/>
              <w:ind w:firstLine="0" w:firstLineChars="0"/>
              <w:jc w:val="center"/>
              <w:rPr>
                <w:sz w:val="21"/>
                <w:szCs w:val="21"/>
                <w:u w:val="single"/>
              </w:rPr>
            </w:pPr>
            <w:r>
              <w:rPr>
                <w:rFonts w:hint="eastAsia"/>
                <w:sz w:val="21"/>
                <w:szCs w:val="21"/>
                <w:u w:val="single"/>
              </w:rPr>
              <w:t>2.9%</w:t>
            </w:r>
          </w:p>
        </w:tc>
      </w:tr>
      <w:tr w14:paraId="645AD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F5299BB">
            <w:pPr>
              <w:spacing w:line="240" w:lineRule="auto"/>
              <w:ind w:firstLine="0" w:firstLineChars="0"/>
              <w:jc w:val="center"/>
              <w:rPr>
                <w:sz w:val="21"/>
                <w:szCs w:val="21"/>
                <w:u w:val="single"/>
              </w:rPr>
            </w:pPr>
            <w:r>
              <w:rPr>
                <w:rFonts w:hint="eastAsia"/>
                <w:sz w:val="21"/>
                <w:szCs w:val="21"/>
                <w:u w:val="single"/>
              </w:rPr>
              <w:t>溶解性</w:t>
            </w:r>
          </w:p>
        </w:tc>
        <w:tc>
          <w:tcPr>
            <w:tcW w:w="2067" w:type="pct"/>
            <w:gridSpan w:val="3"/>
            <w:vAlign w:val="center"/>
          </w:tcPr>
          <w:p w14:paraId="5EE06244">
            <w:pPr>
              <w:spacing w:line="240" w:lineRule="auto"/>
              <w:ind w:firstLine="0" w:firstLineChars="0"/>
              <w:jc w:val="center"/>
              <w:rPr>
                <w:sz w:val="21"/>
                <w:szCs w:val="21"/>
                <w:u w:val="single"/>
              </w:rPr>
            </w:pPr>
            <w:r>
              <w:rPr>
                <w:sz w:val="21"/>
                <w:szCs w:val="21"/>
                <w:u w:val="single"/>
              </w:rPr>
              <w:t>溶于水和甲苯、可混溶于甲醇、乙醚</w:t>
            </w:r>
          </w:p>
        </w:tc>
        <w:tc>
          <w:tcPr>
            <w:tcW w:w="1165" w:type="pct"/>
            <w:gridSpan w:val="3"/>
            <w:vAlign w:val="center"/>
          </w:tcPr>
          <w:p w14:paraId="6126A18B">
            <w:pPr>
              <w:spacing w:line="240" w:lineRule="auto"/>
              <w:ind w:firstLine="0" w:firstLineChars="0"/>
              <w:jc w:val="center"/>
              <w:rPr>
                <w:sz w:val="21"/>
                <w:szCs w:val="21"/>
                <w:u w:val="single"/>
              </w:rPr>
            </w:pPr>
            <w:r>
              <w:rPr>
                <w:rFonts w:hint="eastAsia"/>
                <w:sz w:val="21"/>
                <w:szCs w:val="21"/>
                <w:u w:val="single"/>
              </w:rPr>
              <w:t>稳定性</w:t>
            </w:r>
          </w:p>
        </w:tc>
        <w:tc>
          <w:tcPr>
            <w:tcW w:w="918" w:type="pct"/>
            <w:vAlign w:val="center"/>
          </w:tcPr>
          <w:p w14:paraId="22103F58">
            <w:pPr>
              <w:spacing w:line="240" w:lineRule="auto"/>
              <w:ind w:firstLine="0" w:firstLineChars="0"/>
              <w:jc w:val="center"/>
              <w:rPr>
                <w:sz w:val="21"/>
                <w:szCs w:val="21"/>
                <w:u w:val="single"/>
              </w:rPr>
            </w:pPr>
            <w:r>
              <w:rPr>
                <w:rFonts w:hint="eastAsia"/>
                <w:sz w:val="21"/>
                <w:szCs w:val="21"/>
                <w:u w:val="single"/>
              </w:rPr>
              <w:t>稳定</w:t>
            </w:r>
          </w:p>
        </w:tc>
      </w:tr>
      <w:tr w14:paraId="13552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2F75BE3">
            <w:pPr>
              <w:spacing w:line="240" w:lineRule="auto"/>
              <w:ind w:firstLine="0" w:firstLineChars="0"/>
              <w:jc w:val="center"/>
              <w:rPr>
                <w:sz w:val="21"/>
                <w:szCs w:val="21"/>
                <w:u w:val="single"/>
              </w:rPr>
            </w:pPr>
            <w:r>
              <w:rPr>
                <w:rFonts w:hint="eastAsia"/>
                <w:sz w:val="21"/>
                <w:szCs w:val="21"/>
                <w:u w:val="single"/>
              </w:rPr>
              <w:t>稳定性</w:t>
            </w:r>
          </w:p>
        </w:tc>
        <w:tc>
          <w:tcPr>
            <w:tcW w:w="4150" w:type="pct"/>
            <w:gridSpan w:val="7"/>
            <w:vAlign w:val="center"/>
          </w:tcPr>
          <w:p w14:paraId="1BBF420A">
            <w:pPr>
              <w:spacing w:line="240" w:lineRule="auto"/>
              <w:ind w:firstLine="0" w:firstLineChars="0"/>
              <w:jc w:val="center"/>
              <w:rPr>
                <w:sz w:val="21"/>
                <w:szCs w:val="21"/>
                <w:u w:val="single"/>
              </w:rPr>
            </w:pPr>
            <w:r>
              <w:rPr>
                <w:rFonts w:hint="eastAsia"/>
                <w:sz w:val="21"/>
                <w:szCs w:val="21"/>
                <w:u w:val="single"/>
              </w:rPr>
              <w:t>常温常压不分解，禁止与强氧化剂接触。具有醇的一般化学性质。</w:t>
            </w:r>
          </w:p>
        </w:tc>
      </w:tr>
      <w:tr w14:paraId="51A42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950745E">
            <w:pPr>
              <w:spacing w:line="240" w:lineRule="auto"/>
              <w:ind w:firstLine="0" w:firstLineChars="0"/>
              <w:jc w:val="center"/>
              <w:rPr>
                <w:sz w:val="21"/>
                <w:szCs w:val="21"/>
                <w:u w:val="single"/>
              </w:rPr>
            </w:pPr>
            <w:r>
              <w:rPr>
                <w:rFonts w:hint="eastAsia"/>
                <w:sz w:val="21"/>
                <w:szCs w:val="21"/>
                <w:u w:val="single"/>
              </w:rPr>
              <w:t>毒理学</w:t>
            </w:r>
          </w:p>
        </w:tc>
        <w:tc>
          <w:tcPr>
            <w:tcW w:w="4150" w:type="pct"/>
            <w:gridSpan w:val="7"/>
            <w:vAlign w:val="center"/>
          </w:tcPr>
          <w:p w14:paraId="0E8CFBCA">
            <w:pPr>
              <w:spacing w:line="240" w:lineRule="auto"/>
              <w:ind w:firstLine="0" w:firstLineChars="0"/>
              <w:rPr>
                <w:sz w:val="21"/>
                <w:szCs w:val="21"/>
                <w:u w:val="single"/>
              </w:rPr>
            </w:pPr>
            <w:r>
              <w:rPr>
                <w:sz w:val="21"/>
                <w:szCs w:val="21"/>
                <w:u w:val="single"/>
              </w:rPr>
              <w:t>二丙二醇毒性很低，对皮肤刺激性很小。大鼠经口LD</w:t>
            </w:r>
            <w:r>
              <w:rPr>
                <w:sz w:val="21"/>
                <w:szCs w:val="21"/>
                <w:u w:val="single"/>
                <w:vertAlign w:val="subscript"/>
              </w:rPr>
              <w:t>50</w:t>
            </w:r>
            <w:r>
              <w:rPr>
                <w:sz w:val="21"/>
                <w:szCs w:val="21"/>
                <w:u w:val="single"/>
              </w:rPr>
              <w:t xml:space="preserve"> 14.85m</w:t>
            </w:r>
            <w:r>
              <w:rPr>
                <w:rFonts w:hint="eastAsia"/>
                <w:sz w:val="21"/>
                <w:szCs w:val="21"/>
                <w:u w:val="single"/>
              </w:rPr>
              <w:t>g</w:t>
            </w:r>
            <w:r>
              <w:rPr>
                <w:sz w:val="21"/>
                <w:szCs w:val="21"/>
                <w:u w:val="single"/>
              </w:rPr>
              <w:t>/kg，不经皮肤吸收。</w:t>
            </w:r>
          </w:p>
        </w:tc>
      </w:tr>
      <w:tr w14:paraId="5186C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0E91F20B">
            <w:pPr>
              <w:spacing w:line="240" w:lineRule="auto"/>
              <w:ind w:firstLine="0" w:firstLineChars="0"/>
              <w:jc w:val="center"/>
              <w:rPr>
                <w:sz w:val="21"/>
                <w:szCs w:val="21"/>
                <w:u w:val="single"/>
              </w:rPr>
            </w:pPr>
            <w:r>
              <w:rPr>
                <w:sz w:val="21"/>
                <w:szCs w:val="21"/>
                <w:u w:val="single"/>
              </w:rPr>
              <w:t>危险特性</w:t>
            </w:r>
          </w:p>
        </w:tc>
        <w:tc>
          <w:tcPr>
            <w:tcW w:w="4150" w:type="pct"/>
            <w:gridSpan w:val="7"/>
            <w:vAlign w:val="center"/>
          </w:tcPr>
          <w:p w14:paraId="0FFF55AF">
            <w:pPr>
              <w:spacing w:line="240" w:lineRule="auto"/>
              <w:ind w:firstLine="0" w:firstLineChars="0"/>
              <w:rPr>
                <w:sz w:val="21"/>
                <w:szCs w:val="21"/>
                <w:u w:val="single"/>
              </w:rPr>
            </w:pPr>
            <w:r>
              <w:rPr>
                <w:rFonts w:hint="eastAsia"/>
                <w:sz w:val="21"/>
                <w:szCs w:val="21"/>
                <w:u w:val="single"/>
              </w:rPr>
              <w:t>遇明火、高热可燃。</w:t>
            </w:r>
          </w:p>
        </w:tc>
      </w:tr>
      <w:tr w14:paraId="25E3E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4F22321C">
            <w:pPr>
              <w:spacing w:line="240" w:lineRule="auto"/>
              <w:ind w:firstLine="0" w:firstLineChars="0"/>
              <w:jc w:val="center"/>
              <w:rPr>
                <w:sz w:val="21"/>
                <w:szCs w:val="21"/>
                <w:u w:val="single"/>
              </w:rPr>
            </w:pPr>
            <w:r>
              <w:rPr>
                <w:rFonts w:hint="eastAsia"/>
                <w:sz w:val="21"/>
                <w:szCs w:val="21"/>
                <w:u w:val="single"/>
              </w:rPr>
              <w:t>健康危害</w:t>
            </w:r>
          </w:p>
        </w:tc>
        <w:tc>
          <w:tcPr>
            <w:tcW w:w="4150" w:type="pct"/>
            <w:gridSpan w:val="7"/>
            <w:vAlign w:val="center"/>
          </w:tcPr>
          <w:p w14:paraId="6DE93004">
            <w:pPr>
              <w:spacing w:line="240" w:lineRule="auto"/>
              <w:ind w:firstLine="0" w:firstLineChars="0"/>
              <w:rPr>
                <w:sz w:val="21"/>
                <w:szCs w:val="21"/>
                <w:u w:val="single"/>
              </w:rPr>
            </w:pPr>
            <w:r>
              <w:rPr>
                <w:rFonts w:hint="eastAsia"/>
                <w:sz w:val="21"/>
                <w:szCs w:val="21"/>
                <w:u w:val="single"/>
              </w:rPr>
              <w:t>长时间接触或吸入二丙二醇蒸汽会对人体造成刺激和损害，引起头痛、头晕、恶心等症状，严重的可以导致中毒，危及生命。</w:t>
            </w:r>
          </w:p>
        </w:tc>
      </w:tr>
      <w:tr w14:paraId="6DD06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049E226A">
            <w:pPr>
              <w:spacing w:line="240" w:lineRule="auto"/>
              <w:ind w:firstLine="0" w:firstLineChars="0"/>
              <w:jc w:val="center"/>
              <w:rPr>
                <w:sz w:val="21"/>
                <w:szCs w:val="21"/>
                <w:u w:val="single"/>
              </w:rPr>
            </w:pPr>
            <w:r>
              <w:rPr>
                <w:rFonts w:hint="eastAsia"/>
                <w:sz w:val="21"/>
                <w:szCs w:val="21"/>
                <w:u w:val="single"/>
              </w:rPr>
              <w:t>泄漏应急处置</w:t>
            </w:r>
          </w:p>
        </w:tc>
        <w:tc>
          <w:tcPr>
            <w:tcW w:w="4150" w:type="pct"/>
            <w:gridSpan w:val="7"/>
            <w:vAlign w:val="center"/>
          </w:tcPr>
          <w:p w14:paraId="419AE1AC">
            <w:pPr>
              <w:spacing w:line="240" w:lineRule="auto"/>
              <w:ind w:firstLine="0" w:firstLineChars="0"/>
              <w:rPr>
                <w:sz w:val="21"/>
                <w:szCs w:val="21"/>
                <w:u w:val="single"/>
              </w:rPr>
            </w:pPr>
            <w:r>
              <w:rPr>
                <w:sz w:val="21"/>
                <w:szCs w:val="21"/>
                <w:u w:val="single"/>
              </w:rPr>
              <w:t>首先需要立即切断泄漏源，关闭所有相关阀门和开关，通知相关部门和人员进行紧急疏散，确保人员安全。评估泄漏情况和范围，尽快确定应急处理方案。对泄漏物进行控制，防止扩散和溢散，可以使用合适的吸附材料和收集设备。对于大面积泄漏，需要进行环境监测，并按照环保法律法规进行处理。使用合适的防护装备和工具进行泄漏物收集和储存，可以采用焚烧、化学处理等方式进行安全处理</w:t>
            </w:r>
            <w:r>
              <w:rPr>
                <w:rFonts w:hint="eastAsia"/>
                <w:sz w:val="21"/>
                <w:szCs w:val="21"/>
                <w:u w:val="single"/>
              </w:rPr>
              <w:t>。</w:t>
            </w:r>
          </w:p>
        </w:tc>
      </w:tr>
      <w:tr w14:paraId="1540E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5394F9D3">
            <w:pPr>
              <w:spacing w:line="240" w:lineRule="auto"/>
              <w:ind w:firstLine="0" w:firstLineChars="0"/>
              <w:jc w:val="center"/>
              <w:rPr>
                <w:sz w:val="21"/>
                <w:szCs w:val="21"/>
                <w:u w:val="single"/>
              </w:rPr>
            </w:pPr>
            <w:r>
              <w:rPr>
                <w:rFonts w:hint="eastAsia" w:eastAsiaTheme="minorEastAsia"/>
                <w:sz w:val="21"/>
                <w:szCs w:val="21"/>
                <w:u w:val="single"/>
              </w:rPr>
              <w:t>K</w:t>
            </w:r>
            <w:r>
              <w:rPr>
                <w:rFonts w:eastAsiaTheme="minorEastAsia"/>
                <w:sz w:val="21"/>
                <w:szCs w:val="21"/>
                <w:u w:val="single"/>
              </w:rPr>
              <w:t>F-99</w:t>
            </w:r>
            <w:r>
              <w:rPr>
                <w:rFonts w:hint="eastAsia" w:eastAsiaTheme="minorEastAsia"/>
                <w:sz w:val="21"/>
                <w:szCs w:val="21"/>
                <w:u w:val="single"/>
              </w:rPr>
              <w:t>（</w:t>
            </w:r>
            <w:r>
              <w:rPr>
                <w:rFonts w:eastAsiaTheme="minorEastAsia"/>
                <w:sz w:val="21"/>
                <w:szCs w:val="21"/>
                <w:u w:val="single"/>
              </w:rPr>
              <w:t>高含氢硅油</w:t>
            </w:r>
            <w:r>
              <w:rPr>
                <w:rFonts w:hint="eastAsia" w:eastAsiaTheme="minorEastAsia"/>
                <w:sz w:val="21"/>
                <w:szCs w:val="21"/>
                <w:u w:val="single"/>
              </w:rPr>
              <w:t>）</w:t>
            </w:r>
          </w:p>
        </w:tc>
      </w:tr>
      <w:tr w14:paraId="31A7E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1BA95736">
            <w:pPr>
              <w:spacing w:line="240" w:lineRule="auto"/>
              <w:ind w:firstLine="0" w:firstLineChars="0"/>
              <w:jc w:val="center"/>
              <w:rPr>
                <w:sz w:val="21"/>
                <w:szCs w:val="21"/>
                <w:u w:val="single"/>
              </w:rPr>
            </w:pPr>
            <w:r>
              <w:rPr>
                <w:sz w:val="21"/>
                <w:szCs w:val="21"/>
                <w:u w:val="single"/>
              </w:rPr>
              <w:t>分子式</w:t>
            </w:r>
          </w:p>
        </w:tc>
        <w:tc>
          <w:tcPr>
            <w:tcW w:w="2067" w:type="pct"/>
            <w:gridSpan w:val="3"/>
            <w:vAlign w:val="center"/>
          </w:tcPr>
          <w:p w14:paraId="2E6FDDF6">
            <w:pPr>
              <w:spacing w:line="240" w:lineRule="auto"/>
              <w:ind w:firstLine="0" w:firstLineChars="0"/>
              <w:jc w:val="center"/>
              <w:rPr>
                <w:sz w:val="21"/>
                <w:szCs w:val="21"/>
                <w:u w:val="single"/>
              </w:rPr>
            </w:pPr>
            <w:r>
              <w:rPr>
                <w:kern w:val="2"/>
                <w:sz w:val="21"/>
                <w:szCs w:val="21"/>
                <w:u w:val="single"/>
              </w:rPr>
              <w:t>(CH</w:t>
            </w:r>
            <w:r>
              <w:rPr>
                <w:kern w:val="2"/>
                <w:sz w:val="21"/>
                <w:szCs w:val="21"/>
                <w:u w:val="single"/>
                <w:vertAlign w:val="subscript"/>
              </w:rPr>
              <w:t>3</w:t>
            </w:r>
            <w:r>
              <w:rPr>
                <w:kern w:val="2"/>
                <w:sz w:val="21"/>
                <w:szCs w:val="21"/>
                <w:u w:val="single"/>
              </w:rPr>
              <w:t>)</w:t>
            </w:r>
            <w:r>
              <w:rPr>
                <w:kern w:val="2"/>
                <w:sz w:val="21"/>
                <w:szCs w:val="21"/>
                <w:u w:val="single"/>
                <w:vertAlign w:val="subscript"/>
              </w:rPr>
              <w:t>3</w:t>
            </w:r>
            <w:r>
              <w:rPr>
                <w:kern w:val="2"/>
                <w:sz w:val="21"/>
                <w:szCs w:val="21"/>
                <w:u w:val="single"/>
              </w:rPr>
              <w:t>SiO[(CH</w:t>
            </w:r>
            <w:r>
              <w:rPr>
                <w:kern w:val="2"/>
                <w:sz w:val="21"/>
                <w:szCs w:val="21"/>
                <w:u w:val="single"/>
                <w:vertAlign w:val="subscript"/>
              </w:rPr>
              <w:t>3</w:t>
            </w:r>
            <w:r>
              <w:rPr>
                <w:kern w:val="2"/>
                <w:sz w:val="21"/>
                <w:szCs w:val="21"/>
                <w:u w:val="single"/>
              </w:rPr>
              <w:t>)(H)SiO]mSi(CH</w:t>
            </w:r>
            <w:r>
              <w:rPr>
                <w:kern w:val="2"/>
                <w:sz w:val="21"/>
                <w:szCs w:val="21"/>
                <w:u w:val="single"/>
                <w:vertAlign w:val="subscript"/>
              </w:rPr>
              <w:t>3</w:t>
            </w:r>
            <w:r>
              <w:rPr>
                <w:kern w:val="2"/>
                <w:sz w:val="21"/>
                <w:szCs w:val="21"/>
                <w:u w:val="single"/>
              </w:rPr>
              <w:t>)</w:t>
            </w:r>
            <w:r>
              <w:rPr>
                <w:kern w:val="2"/>
                <w:sz w:val="21"/>
                <w:szCs w:val="21"/>
                <w:u w:val="single"/>
                <w:vertAlign w:val="subscript"/>
              </w:rPr>
              <w:t>3</w:t>
            </w:r>
          </w:p>
        </w:tc>
        <w:tc>
          <w:tcPr>
            <w:tcW w:w="1165" w:type="pct"/>
            <w:gridSpan w:val="3"/>
            <w:vAlign w:val="center"/>
          </w:tcPr>
          <w:p w14:paraId="14A3053B">
            <w:pPr>
              <w:spacing w:line="240" w:lineRule="auto"/>
              <w:ind w:firstLine="0" w:firstLineChars="0"/>
              <w:jc w:val="center"/>
              <w:rPr>
                <w:sz w:val="21"/>
                <w:szCs w:val="21"/>
                <w:u w:val="single"/>
              </w:rPr>
            </w:pPr>
            <w:r>
              <w:rPr>
                <w:sz w:val="21"/>
                <w:szCs w:val="21"/>
                <w:u w:val="single"/>
              </w:rPr>
              <w:t>外观与性状</w:t>
            </w:r>
          </w:p>
        </w:tc>
        <w:tc>
          <w:tcPr>
            <w:tcW w:w="918" w:type="pct"/>
            <w:vAlign w:val="center"/>
          </w:tcPr>
          <w:p w14:paraId="4A837EE5">
            <w:pPr>
              <w:spacing w:line="240" w:lineRule="auto"/>
              <w:ind w:firstLine="0" w:firstLineChars="0"/>
              <w:jc w:val="center"/>
              <w:rPr>
                <w:sz w:val="21"/>
                <w:szCs w:val="21"/>
                <w:u w:val="single"/>
              </w:rPr>
            </w:pPr>
            <w:r>
              <w:rPr>
                <w:kern w:val="2"/>
                <w:sz w:val="21"/>
                <w:szCs w:val="21"/>
                <w:u w:val="single"/>
              </w:rPr>
              <w:t>无色透明液体</w:t>
            </w:r>
          </w:p>
        </w:tc>
      </w:tr>
      <w:tr w14:paraId="03EDB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4A4C76D">
            <w:pPr>
              <w:spacing w:line="240" w:lineRule="auto"/>
              <w:ind w:firstLine="0" w:firstLineChars="0"/>
              <w:jc w:val="center"/>
              <w:rPr>
                <w:sz w:val="21"/>
                <w:szCs w:val="21"/>
                <w:u w:val="single"/>
              </w:rPr>
            </w:pPr>
            <w:r>
              <w:rPr>
                <w:rFonts w:hint="eastAsia"/>
                <w:sz w:val="21"/>
                <w:szCs w:val="21"/>
                <w:u w:val="single"/>
              </w:rPr>
              <w:t>沸点</w:t>
            </w:r>
          </w:p>
        </w:tc>
        <w:tc>
          <w:tcPr>
            <w:tcW w:w="2067" w:type="pct"/>
            <w:gridSpan w:val="3"/>
            <w:vAlign w:val="center"/>
          </w:tcPr>
          <w:p w14:paraId="08716987">
            <w:pPr>
              <w:spacing w:line="240" w:lineRule="auto"/>
              <w:ind w:firstLine="0" w:firstLineChars="0"/>
              <w:jc w:val="center"/>
              <w:rPr>
                <w:sz w:val="21"/>
                <w:szCs w:val="21"/>
                <w:u w:val="single"/>
              </w:rPr>
            </w:pPr>
            <w:r>
              <w:rPr>
                <w:kern w:val="2"/>
                <w:sz w:val="21"/>
                <w:szCs w:val="21"/>
                <w:u w:val="single"/>
              </w:rPr>
              <w:t>142℃</w:t>
            </w:r>
          </w:p>
        </w:tc>
        <w:tc>
          <w:tcPr>
            <w:tcW w:w="1165" w:type="pct"/>
            <w:gridSpan w:val="3"/>
            <w:vAlign w:val="center"/>
          </w:tcPr>
          <w:p w14:paraId="01EA183E">
            <w:pPr>
              <w:spacing w:line="240" w:lineRule="auto"/>
              <w:ind w:firstLine="0" w:firstLineChars="0"/>
              <w:jc w:val="center"/>
              <w:rPr>
                <w:sz w:val="21"/>
                <w:szCs w:val="21"/>
                <w:u w:val="single"/>
              </w:rPr>
            </w:pPr>
            <w:r>
              <w:rPr>
                <w:sz w:val="21"/>
                <w:szCs w:val="21"/>
                <w:u w:val="single"/>
              </w:rPr>
              <w:t>密度</w:t>
            </w:r>
          </w:p>
        </w:tc>
        <w:tc>
          <w:tcPr>
            <w:tcW w:w="918" w:type="pct"/>
            <w:vAlign w:val="center"/>
          </w:tcPr>
          <w:p w14:paraId="70839B67">
            <w:pPr>
              <w:spacing w:line="240" w:lineRule="auto"/>
              <w:ind w:firstLine="0" w:firstLineChars="0"/>
              <w:jc w:val="center"/>
              <w:rPr>
                <w:sz w:val="21"/>
                <w:szCs w:val="21"/>
                <w:u w:val="single"/>
              </w:rPr>
            </w:pPr>
            <w:r>
              <w:rPr>
                <w:kern w:val="2"/>
                <w:sz w:val="21"/>
                <w:szCs w:val="21"/>
                <w:u w:val="single"/>
              </w:rPr>
              <w:t>1.006g/cm</w:t>
            </w:r>
            <w:r>
              <w:rPr>
                <w:kern w:val="2"/>
                <w:sz w:val="21"/>
                <w:szCs w:val="21"/>
                <w:u w:val="single"/>
                <w:vertAlign w:val="superscript"/>
              </w:rPr>
              <w:t>3</w:t>
            </w:r>
          </w:p>
        </w:tc>
      </w:tr>
      <w:tr w14:paraId="2A912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05E42F3A">
            <w:pPr>
              <w:spacing w:line="240" w:lineRule="auto"/>
              <w:ind w:firstLine="0" w:firstLineChars="0"/>
              <w:jc w:val="center"/>
              <w:rPr>
                <w:sz w:val="21"/>
                <w:szCs w:val="21"/>
                <w:u w:val="single"/>
              </w:rPr>
            </w:pPr>
            <w:r>
              <w:rPr>
                <w:kern w:val="2"/>
                <w:sz w:val="21"/>
                <w:szCs w:val="21"/>
                <w:u w:val="single"/>
              </w:rPr>
              <w:t>闪点</w:t>
            </w:r>
          </w:p>
        </w:tc>
        <w:tc>
          <w:tcPr>
            <w:tcW w:w="2067" w:type="pct"/>
            <w:gridSpan w:val="3"/>
            <w:vAlign w:val="center"/>
          </w:tcPr>
          <w:p w14:paraId="1DF47E4B">
            <w:pPr>
              <w:spacing w:line="240" w:lineRule="auto"/>
              <w:ind w:firstLine="0" w:firstLineChars="0"/>
              <w:jc w:val="center"/>
              <w:rPr>
                <w:kern w:val="2"/>
                <w:sz w:val="21"/>
                <w:szCs w:val="21"/>
                <w:u w:val="single"/>
              </w:rPr>
            </w:pPr>
            <w:r>
              <w:rPr>
                <w:kern w:val="2"/>
                <w:sz w:val="21"/>
                <w:szCs w:val="21"/>
                <w:u w:val="single"/>
              </w:rPr>
              <w:t>1</w:t>
            </w:r>
            <w:r>
              <w:rPr>
                <w:rFonts w:hint="eastAsia"/>
                <w:kern w:val="2"/>
                <w:sz w:val="21"/>
                <w:szCs w:val="21"/>
                <w:u w:val="single"/>
              </w:rPr>
              <w:t>80</w:t>
            </w:r>
            <w:r>
              <w:rPr>
                <w:kern w:val="2"/>
                <w:sz w:val="21"/>
                <w:szCs w:val="21"/>
                <w:u w:val="single"/>
              </w:rPr>
              <w:t>℃</w:t>
            </w:r>
          </w:p>
        </w:tc>
        <w:tc>
          <w:tcPr>
            <w:tcW w:w="1165" w:type="pct"/>
            <w:gridSpan w:val="3"/>
            <w:vAlign w:val="center"/>
          </w:tcPr>
          <w:p w14:paraId="479DBBE4">
            <w:pPr>
              <w:spacing w:line="240" w:lineRule="auto"/>
              <w:ind w:firstLine="0" w:firstLineChars="0"/>
              <w:jc w:val="center"/>
              <w:rPr>
                <w:sz w:val="21"/>
                <w:szCs w:val="21"/>
                <w:u w:val="single"/>
              </w:rPr>
            </w:pPr>
            <w:r>
              <w:rPr>
                <w:rFonts w:hint="eastAsia"/>
                <w:sz w:val="21"/>
                <w:szCs w:val="21"/>
                <w:u w:val="single"/>
              </w:rPr>
              <w:t>含氢量</w:t>
            </w:r>
          </w:p>
        </w:tc>
        <w:tc>
          <w:tcPr>
            <w:tcW w:w="918" w:type="pct"/>
            <w:vAlign w:val="center"/>
          </w:tcPr>
          <w:p w14:paraId="093DFFF6">
            <w:pPr>
              <w:spacing w:line="240" w:lineRule="auto"/>
              <w:ind w:firstLine="0" w:firstLineChars="0"/>
              <w:jc w:val="center"/>
              <w:rPr>
                <w:kern w:val="2"/>
                <w:sz w:val="21"/>
                <w:szCs w:val="21"/>
              </w:rPr>
            </w:pPr>
            <w:r>
              <w:rPr>
                <w:rFonts w:hint="eastAsia"/>
                <w:sz w:val="21"/>
                <w:szCs w:val="21"/>
                <w:u w:val="single"/>
              </w:rPr>
              <w:t>≥1.60%</w:t>
            </w:r>
          </w:p>
        </w:tc>
      </w:tr>
      <w:tr w14:paraId="33065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DF33896">
            <w:pPr>
              <w:spacing w:line="240" w:lineRule="auto"/>
              <w:ind w:firstLine="0" w:firstLineChars="0"/>
              <w:jc w:val="center"/>
              <w:rPr>
                <w:sz w:val="21"/>
                <w:szCs w:val="21"/>
                <w:u w:val="single"/>
              </w:rPr>
            </w:pPr>
            <w:r>
              <w:rPr>
                <w:rFonts w:hint="eastAsia"/>
                <w:sz w:val="21"/>
                <w:szCs w:val="21"/>
                <w:u w:val="single"/>
              </w:rPr>
              <w:t>粘度</w:t>
            </w:r>
          </w:p>
        </w:tc>
        <w:tc>
          <w:tcPr>
            <w:tcW w:w="2067" w:type="pct"/>
            <w:gridSpan w:val="3"/>
            <w:vAlign w:val="center"/>
          </w:tcPr>
          <w:p w14:paraId="5CCFC1D4">
            <w:pPr>
              <w:spacing w:line="240" w:lineRule="auto"/>
              <w:ind w:firstLine="0" w:firstLineChars="0"/>
              <w:jc w:val="center"/>
              <w:rPr>
                <w:sz w:val="21"/>
                <w:szCs w:val="21"/>
                <w:u w:val="single"/>
              </w:rPr>
            </w:pPr>
            <w:r>
              <w:rPr>
                <w:rFonts w:hint="eastAsia"/>
                <w:sz w:val="21"/>
                <w:szCs w:val="21"/>
                <w:u w:val="single"/>
              </w:rPr>
              <w:t>20</w:t>
            </w:r>
            <w:r>
              <w:rPr>
                <w:sz w:val="21"/>
                <w:szCs w:val="21"/>
              </w:rPr>
              <w:t>mm</w:t>
            </w:r>
            <w:r>
              <w:rPr>
                <w:sz w:val="21"/>
                <w:szCs w:val="21"/>
                <w:vertAlign w:val="superscript"/>
              </w:rPr>
              <w:t>2</w:t>
            </w:r>
            <w:r>
              <w:rPr>
                <w:sz w:val="21"/>
                <w:szCs w:val="21"/>
              </w:rPr>
              <w:t>/s</w:t>
            </w:r>
            <w:r>
              <w:rPr>
                <w:rFonts w:hint="eastAsia"/>
                <w:sz w:val="21"/>
                <w:szCs w:val="21"/>
                <w:u w:val="single"/>
              </w:rPr>
              <w:t>（25℃）</w:t>
            </w:r>
          </w:p>
        </w:tc>
        <w:tc>
          <w:tcPr>
            <w:tcW w:w="1165" w:type="pct"/>
            <w:gridSpan w:val="3"/>
            <w:vAlign w:val="center"/>
          </w:tcPr>
          <w:p w14:paraId="294BD4BC">
            <w:pPr>
              <w:spacing w:line="240" w:lineRule="auto"/>
              <w:ind w:firstLine="0" w:firstLineChars="0"/>
              <w:jc w:val="center"/>
              <w:rPr>
                <w:sz w:val="21"/>
                <w:szCs w:val="21"/>
                <w:u w:val="single"/>
              </w:rPr>
            </w:pPr>
            <w:r>
              <w:rPr>
                <w:rFonts w:hint="eastAsia"/>
                <w:sz w:val="21"/>
                <w:szCs w:val="21"/>
                <w:u w:val="single"/>
              </w:rPr>
              <w:t>黏度温度系数D</w:t>
            </w:r>
          </w:p>
        </w:tc>
        <w:tc>
          <w:tcPr>
            <w:tcW w:w="918" w:type="pct"/>
            <w:vAlign w:val="center"/>
          </w:tcPr>
          <w:p w14:paraId="36CEB519">
            <w:pPr>
              <w:spacing w:line="240" w:lineRule="auto"/>
              <w:ind w:firstLine="0" w:firstLineChars="0"/>
              <w:jc w:val="center"/>
              <w:rPr>
                <w:sz w:val="21"/>
                <w:szCs w:val="21"/>
                <w:u w:val="single"/>
              </w:rPr>
            </w:pPr>
            <w:r>
              <w:rPr>
                <w:rFonts w:hint="eastAsia"/>
                <w:sz w:val="21"/>
                <w:szCs w:val="21"/>
                <w:u w:val="single"/>
              </w:rPr>
              <w:t>0.596</w:t>
            </w:r>
          </w:p>
        </w:tc>
      </w:tr>
      <w:tr w14:paraId="76ABB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2EC27FC0">
            <w:pPr>
              <w:spacing w:line="240" w:lineRule="auto"/>
              <w:ind w:firstLine="0" w:firstLineChars="0"/>
              <w:jc w:val="center"/>
              <w:rPr>
                <w:sz w:val="21"/>
                <w:szCs w:val="21"/>
                <w:u w:val="single"/>
              </w:rPr>
            </w:pPr>
            <w:r>
              <w:rPr>
                <w:rFonts w:hint="eastAsia" w:eastAsiaTheme="minorEastAsia"/>
                <w:sz w:val="21"/>
                <w:szCs w:val="21"/>
                <w:u w:val="single"/>
              </w:rPr>
              <w:t>低含氢硅油</w:t>
            </w:r>
          </w:p>
        </w:tc>
      </w:tr>
      <w:tr w14:paraId="7D087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1F3945AD">
            <w:pPr>
              <w:spacing w:line="240" w:lineRule="auto"/>
              <w:ind w:firstLine="0" w:firstLineChars="0"/>
              <w:jc w:val="center"/>
              <w:rPr>
                <w:sz w:val="21"/>
                <w:szCs w:val="21"/>
                <w:u w:val="single"/>
              </w:rPr>
            </w:pPr>
            <w:r>
              <w:rPr>
                <w:rFonts w:hint="eastAsia"/>
                <w:sz w:val="21"/>
                <w:szCs w:val="21"/>
                <w:u w:val="single"/>
              </w:rPr>
              <w:t>分子式</w:t>
            </w:r>
          </w:p>
        </w:tc>
        <w:tc>
          <w:tcPr>
            <w:tcW w:w="4150" w:type="pct"/>
            <w:gridSpan w:val="7"/>
            <w:vAlign w:val="center"/>
          </w:tcPr>
          <w:p w14:paraId="7332C04E">
            <w:pPr>
              <w:spacing w:line="240" w:lineRule="auto"/>
              <w:ind w:firstLine="0" w:firstLineChars="0"/>
              <w:jc w:val="center"/>
              <w:rPr>
                <w:sz w:val="21"/>
                <w:szCs w:val="21"/>
                <w:u w:val="single"/>
              </w:rPr>
            </w:pPr>
            <w:r>
              <w:rPr>
                <w:sz w:val="21"/>
                <w:szCs w:val="21"/>
                <w:u w:val="single"/>
              </w:rPr>
              <w:t>(CH</w:t>
            </w:r>
            <w:r>
              <w:rPr>
                <w:sz w:val="21"/>
                <w:szCs w:val="21"/>
                <w:u w:val="single"/>
                <w:vertAlign w:val="subscript"/>
              </w:rPr>
              <w:t>3</w:t>
            </w:r>
            <w:r>
              <w:rPr>
                <w:sz w:val="21"/>
                <w:szCs w:val="21"/>
                <w:u w:val="single"/>
              </w:rPr>
              <w:t>)</w:t>
            </w:r>
            <w:r>
              <w:rPr>
                <w:sz w:val="21"/>
                <w:szCs w:val="21"/>
                <w:u w:val="single"/>
                <w:vertAlign w:val="subscript"/>
              </w:rPr>
              <w:t>3</w:t>
            </w:r>
            <w:r>
              <w:rPr>
                <w:sz w:val="21"/>
                <w:szCs w:val="21"/>
                <w:u w:val="single"/>
              </w:rPr>
              <w:t>SiO[(CH</w:t>
            </w:r>
            <w:r>
              <w:rPr>
                <w:sz w:val="21"/>
                <w:szCs w:val="21"/>
                <w:u w:val="single"/>
                <w:vertAlign w:val="subscript"/>
              </w:rPr>
              <w:t>3</w:t>
            </w:r>
            <w:r>
              <w:rPr>
                <w:sz w:val="21"/>
                <w:szCs w:val="21"/>
                <w:u w:val="single"/>
              </w:rPr>
              <w:t>)HSiO]m[(CH</w:t>
            </w:r>
            <w:r>
              <w:rPr>
                <w:sz w:val="21"/>
                <w:szCs w:val="21"/>
                <w:u w:val="single"/>
                <w:vertAlign w:val="subscript"/>
              </w:rPr>
              <w:t>3</w:t>
            </w:r>
            <w:r>
              <w:rPr>
                <w:sz w:val="21"/>
                <w:szCs w:val="21"/>
                <w:u w:val="single"/>
              </w:rPr>
              <w:t>)</w:t>
            </w:r>
            <w:r>
              <w:rPr>
                <w:sz w:val="21"/>
                <w:szCs w:val="21"/>
                <w:u w:val="single"/>
                <w:vertAlign w:val="subscript"/>
              </w:rPr>
              <w:t>2</w:t>
            </w:r>
            <w:r>
              <w:rPr>
                <w:sz w:val="21"/>
                <w:szCs w:val="21"/>
                <w:u w:val="single"/>
              </w:rPr>
              <w:t>SiO]nSi(CH</w:t>
            </w:r>
            <w:r>
              <w:rPr>
                <w:sz w:val="21"/>
                <w:szCs w:val="21"/>
                <w:u w:val="single"/>
                <w:vertAlign w:val="subscript"/>
              </w:rPr>
              <w:t>3</w:t>
            </w:r>
            <w:r>
              <w:rPr>
                <w:sz w:val="21"/>
                <w:szCs w:val="21"/>
                <w:u w:val="single"/>
              </w:rPr>
              <w:t>)</w:t>
            </w:r>
            <w:r>
              <w:rPr>
                <w:sz w:val="21"/>
                <w:szCs w:val="21"/>
                <w:u w:val="single"/>
                <w:vertAlign w:val="subscript"/>
              </w:rPr>
              <w:t>3</w:t>
            </w:r>
          </w:p>
        </w:tc>
      </w:tr>
      <w:tr w14:paraId="71281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322C8226">
            <w:pPr>
              <w:spacing w:line="240" w:lineRule="auto"/>
              <w:ind w:firstLine="0" w:firstLineChars="0"/>
              <w:jc w:val="center"/>
              <w:rPr>
                <w:sz w:val="21"/>
                <w:szCs w:val="21"/>
                <w:u w:val="single"/>
              </w:rPr>
            </w:pPr>
            <w:r>
              <w:rPr>
                <w:rFonts w:hint="eastAsia"/>
                <w:sz w:val="21"/>
                <w:szCs w:val="21"/>
                <w:u w:val="single"/>
              </w:rPr>
              <w:t>粘度</w:t>
            </w:r>
          </w:p>
        </w:tc>
        <w:tc>
          <w:tcPr>
            <w:tcW w:w="2067" w:type="pct"/>
            <w:gridSpan w:val="3"/>
            <w:vAlign w:val="center"/>
          </w:tcPr>
          <w:p w14:paraId="2380D9B3">
            <w:pPr>
              <w:spacing w:line="240" w:lineRule="auto"/>
              <w:ind w:firstLine="0" w:firstLineChars="0"/>
              <w:jc w:val="center"/>
              <w:rPr>
                <w:sz w:val="21"/>
                <w:szCs w:val="21"/>
                <w:u w:val="single"/>
              </w:rPr>
            </w:pPr>
            <w:r>
              <w:rPr>
                <w:sz w:val="21"/>
                <w:szCs w:val="21"/>
                <w:u w:val="single"/>
              </w:rPr>
              <w:t>5~400mm</w:t>
            </w:r>
            <w:r>
              <w:rPr>
                <w:sz w:val="21"/>
                <w:szCs w:val="21"/>
                <w:u w:val="single"/>
                <w:vertAlign w:val="superscript"/>
              </w:rPr>
              <w:t>2</w:t>
            </w:r>
            <w:r>
              <w:rPr>
                <w:sz w:val="21"/>
                <w:szCs w:val="21"/>
                <w:u w:val="single"/>
              </w:rPr>
              <w:t>/s</w:t>
            </w:r>
            <w:r>
              <w:rPr>
                <w:rFonts w:hint="eastAsia"/>
                <w:sz w:val="21"/>
                <w:szCs w:val="21"/>
                <w:u w:val="single"/>
              </w:rPr>
              <w:t>（</w:t>
            </w:r>
            <w:r>
              <w:rPr>
                <w:sz w:val="21"/>
                <w:szCs w:val="21"/>
                <w:u w:val="single"/>
              </w:rPr>
              <w:t>25℃</w:t>
            </w:r>
            <w:r>
              <w:rPr>
                <w:rFonts w:hint="eastAsia"/>
                <w:sz w:val="21"/>
                <w:szCs w:val="21"/>
                <w:u w:val="single"/>
              </w:rPr>
              <w:t>）</w:t>
            </w:r>
          </w:p>
        </w:tc>
        <w:tc>
          <w:tcPr>
            <w:tcW w:w="1165" w:type="pct"/>
            <w:gridSpan w:val="3"/>
            <w:vAlign w:val="center"/>
          </w:tcPr>
          <w:p w14:paraId="212C6EB0">
            <w:pPr>
              <w:spacing w:line="240" w:lineRule="auto"/>
              <w:ind w:firstLine="0" w:firstLineChars="0"/>
              <w:jc w:val="center"/>
              <w:rPr>
                <w:sz w:val="21"/>
                <w:szCs w:val="21"/>
                <w:u w:val="single"/>
              </w:rPr>
            </w:pPr>
            <w:r>
              <w:rPr>
                <w:rFonts w:hint="eastAsia"/>
                <w:sz w:val="21"/>
                <w:szCs w:val="21"/>
                <w:u w:val="single"/>
              </w:rPr>
              <w:t>密度</w:t>
            </w:r>
          </w:p>
        </w:tc>
        <w:tc>
          <w:tcPr>
            <w:tcW w:w="918" w:type="pct"/>
            <w:vAlign w:val="center"/>
          </w:tcPr>
          <w:p w14:paraId="7089CA70">
            <w:pPr>
              <w:spacing w:line="240" w:lineRule="auto"/>
              <w:ind w:firstLine="0" w:firstLineChars="0"/>
              <w:jc w:val="center"/>
              <w:rPr>
                <w:sz w:val="21"/>
                <w:szCs w:val="21"/>
                <w:u w:val="single"/>
              </w:rPr>
            </w:pPr>
            <w:r>
              <w:rPr>
                <w:rFonts w:hint="eastAsia"/>
                <w:kern w:val="2"/>
                <w:sz w:val="21"/>
                <w:szCs w:val="21"/>
                <w:u w:val="single"/>
              </w:rPr>
              <w:t>0.98~1</w:t>
            </w:r>
            <w:r>
              <w:rPr>
                <w:kern w:val="2"/>
                <w:sz w:val="21"/>
                <w:szCs w:val="21"/>
                <w:u w:val="single"/>
              </w:rPr>
              <w:t>g/cm</w:t>
            </w:r>
            <w:r>
              <w:rPr>
                <w:kern w:val="2"/>
                <w:sz w:val="21"/>
                <w:szCs w:val="21"/>
                <w:u w:val="single"/>
                <w:vertAlign w:val="superscript"/>
              </w:rPr>
              <w:t>3</w:t>
            </w:r>
          </w:p>
        </w:tc>
      </w:tr>
      <w:tr w14:paraId="04257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4898059">
            <w:pPr>
              <w:spacing w:line="240" w:lineRule="auto"/>
              <w:ind w:firstLine="0" w:firstLineChars="0"/>
              <w:jc w:val="center"/>
              <w:rPr>
                <w:sz w:val="21"/>
                <w:szCs w:val="21"/>
                <w:u w:val="single"/>
              </w:rPr>
            </w:pPr>
            <w:r>
              <w:rPr>
                <w:rFonts w:hint="eastAsia"/>
                <w:sz w:val="21"/>
                <w:szCs w:val="21"/>
                <w:u w:val="single"/>
              </w:rPr>
              <w:t>含氢量</w:t>
            </w:r>
          </w:p>
        </w:tc>
        <w:tc>
          <w:tcPr>
            <w:tcW w:w="2067" w:type="pct"/>
            <w:gridSpan w:val="3"/>
            <w:vAlign w:val="center"/>
          </w:tcPr>
          <w:p w14:paraId="5A0DD975">
            <w:pPr>
              <w:spacing w:line="240" w:lineRule="auto"/>
              <w:ind w:firstLine="0" w:firstLineChars="0"/>
              <w:jc w:val="center"/>
              <w:rPr>
                <w:sz w:val="21"/>
                <w:szCs w:val="21"/>
                <w:u w:val="single"/>
              </w:rPr>
            </w:pPr>
            <w:r>
              <w:rPr>
                <w:rFonts w:hint="eastAsia"/>
                <w:sz w:val="21"/>
                <w:szCs w:val="21"/>
                <w:u w:val="single"/>
              </w:rPr>
              <w:t>0.1%～0.2%</w:t>
            </w:r>
          </w:p>
        </w:tc>
        <w:tc>
          <w:tcPr>
            <w:tcW w:w="1165" w:type="pct"/>
            <w:gridSpan w:val="3"/>
            <w:vAlign w:val="center"/>
          </w:tcPr>
          <w:p w14:paraId="605C328C">
            <w:pPr>
              <w:spacing w:line="240" w:lineRule="auto"/>
              <w:ind w:firstLine="0" w:firstLineChars="0"/>
              <w:jc w:val="center"/>
              <w:rPr>
                <w:sz w:val="21"/>
                <w:szCs w:val="21"/>
                <w:u w:val="single"/>
              </w:rPr>
            </w:pPr>
            <w:r>
              <w:rPr>
                <w:sz w:val="21"/>
                <w:szCs w:val="21"/>
                <w:u w:val="single"/>
              </w:rPr>
              <w:t>外观与性状</w:t>
            </w:r>
          </w:p>
        </w:tc>
        <w:tc>
          <w:tcPr>
            <w:tcW w:w="918" w:type="pct"/>
            <w:vAlign w:val="center"/>
          </w:tcPr>
          <w:p w14:paraId="4C0C04EB">
            <w:pPr>
              <w:spacing w:line="240" w:lineRule="auto"/>
              <w:ind w:firstLine="0" w:firstLineChars="0"/>
              <w:jc w:val="center"/>
              <w:rPr>
                <w:sz w:val="21"/>
                <w:szCs w:val="21"/>
                <w:u w:val="single"/>
              </w:rPr>
            </w:pPr>
            <w:r>
              <w:rPr>
                <w:rFonts w:hint="eastAsia"/>
                <w:sz w:val="21"/>
                <w:szCs w:val="21"/>
                <w:u w:val="single"/>
              </w:rPr>
              <w:t>无色透明油状液体</w:t>
            </w:r>
          </w:p>
        </w:tc>
      </w:tr>
      <w:tr w14:paraId="164BE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8"/>
            <w:vAlign w:val="center"/>
          </w:tcPr>
          <w:p w14:paraId="492B1EDD">
            <w:pPr>
              <w:spacing w:line="240" w:lineRule="auto"/>
              <w:ind w:firstLine="0" w:firstLineChars="0"/>
              <w:jc w:val="center"/>
              <w:rPr>
                <w:sz w:val="21"/>
                <w:szCs w:val="21"/>
                <w:u w:val="single"/>
              </w:rPr>
            </w:pPr>
            <w:r>
              <w:rPr>
                <w:rFonts w:hint="eastAsia" w:eastAsiaTheme="minorEastAsia"/>
                <w:sz w:val="21"/>
                <w:szCs w:val="21"/>
                <w:u w:val="single"/>
              </w:rPr>
              <w:t>聚醚改性硅油</w:t>
            </w:r>
          </w:p>
        </w:tc>
      </w:tr>
      <w:tr w14:paraId="5B0B1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0503D805">
            <w:pPr>
              <w:spacing w:line="240" w:lineRule="auto"/>
              <w:ind w:firstLine="0" w:firstLineChars="0"/>
              <w:jc w:val="center"/>
              <w:rPr>
                <w:sz w:val="21"/>
                <w:szCs w:val="21"/>
                <w:u w:val="single"/>
              </w:rPr>
            </w:pPr>
            <w:r>
              <w:rPr>
                <w:rFonts w:hint="eastAsia"/>
                <w:sz w:val="21"/>
                <w:szCs w:val="21"/>
                <w:u w:val="single"/>
              </w:rPr>
              <w:t>分子式</w:t>
            </w:r>
          </w:p>
        </w:tc>
        <w:tc>
          <w:tcPr>
            <w:tcW w:w="4150" w:type="pct"/>
            <w:gridSpan w:val="7"/>
            <w:vAlign w:val="center"/>
          </w:tcPr>
          <w:p w14:paraId="7F82E153">
            <w:pPr>
              <w:spacing w:line="240" w:lineRule="auto"/>
              <w:ind w:firstLine="0" w:firstLineChars="0"/>
              <w:jc w:val="center"/>
              <w:rPr>
                <w:sz w:val="21"/>
                <w:szCs w:val="21"/>
                <w:u w:val="single"/>
              </w:rPr>
            </w:pPr>
            <w:r>
              <w:rPr>
                <w:sz w:val="21"/>
                <w:szCs w:val="21"/>
                <w:u w:val="single"/>
              </w:rPr>
              <w:t>(CH</w:t>
            </w:r>
            <w:r>
              <w:rPr>
                <w:sz w:val="21"/>
                <w:szCs w:val="21"/>
                <w:u w:val="single"/>
                <w:vertAlign w:val="subscript"/>
              </w:rPr>
              <w:t>3</w:t>
            </w:r>
            <w:r>
              <w:rPr>
                <w:sz w:val="21"/>
                <w:szCs w:val="21"/>
                <w:u w:val="single"/>
              </w:rPr>
              <w:t>)</w:t>
            </w:r>
            <w:r>
              <w:rPr>
                <w:sz w:val="21"/>
                <w:szCs w:val="21"/>
                <w:u w:val="single"/>
                <w:vertAlign w:val="subscript"/>
              </w:rPr>
              <w:t>3</w:t>
            </w:r>
            <w:r>
              <w:rPr>
                <w:sz w:val="21"/>
                <w:szCs w:val="21"/>
                <w:u w:val="single"/>
              </w:rPr>
              <w:t>SiO[(CH</w:t>
            </w:r>
            <w:r>
              <w:rPr>
                <w:sz w:val="21"/>
                <w:szCs w:val="21"/>
                <w:u w:val="single"/>
                <w:vertAlign w:val="subscript"/>
              </w:rPr>
              <w:t>3</w:t>
            </w:r>
            <w:r>
              <w:rPr>
                <w:sz w:val="21"/>
                <w:szCs w:val="21"/>
                <w:u w:val="single"/>
              </w:rPr>
              <w:t>)</w:t>
            </w:r>
            <w:r>
              <w:rPr>
                <w:rFonts w:hint="eastAsia"/>
                <w:sz w:val="21"/>
                <w:szCs w:val="21"/>
                <w:u w:val="single"/>
              </w:rPr>
              <w:t>(</w:t>
            </w:r>
            <w:r>
              <w:rPr>
                <w:sz w:val="21"/>
                <w:szCs w:val="21"/>
                <w:u w:val="single"/>
              </w:rPr>
              <w:t>CH</w:t>
            </w:r>
            <w:r>
              <w:rPr>
                <w:rFonts w:hint="eastAsia"/>
                <w:sz w:val="21"/>
                <w:szCs w:val="21"/>
                <w:u w:val="single"/>
                <w:vertAlign w:val="subscript"/>
              </w:rPr>
              <w:t>2</w:t>
            </w:r>
            <w:r>
              <w:rPr>
                <w:sz w:val="21"/>
                <w:szCs w:val="21"/>
                <w:u w:val="single"/>
              </w:rPr>
              <w:t>CH</w:t>
            </w:r>
            <w:r>
              <w:rPr>
                <w:rFonts w:hint="eastAsia"/>
                <w:sz w:val="21"/>
                <w:szCs w:val="21"/>
                <w:u w:val="single"/>
                <w:vertAlign w:val="subscript"/>
              </w:rPr>
              <w:t>2</w:t>
            </w:r>
            <w:r>
              <w:rPr>
                <w:sz w:val="21"/>
                <w:szCs w:val="21"/>
                <w:u w:val="single"/>
              </w:rPr>
              <w:t>CH</w:t>
            </w:r>
            <w:r>
              <w:rPr>
                <w:rFonts w:hint="eastAsia"/>
                <w:sz w:val="21"/>
                <w:szCs w:val="21"/>
                <w:u w:val="single"/>
                <w:vertAlign w:val="subscript"/>
              </w:rPr>
              <w:t>2</w:t>
            </w:r>
            <w:r>
              <w:rPr>
                <w:rFonts w:hint="eastAsia"/>
                <w:sz w:val="21"/>
                <w:szCs w:val="21"/>
                <w:u w:val="single"/>
              </w:rPr>
              <w:t>O</w:t>
            </w:r>
            <w:r>
              <w:rPr>
                <w:sz w:val="21"/>
                <w:szCs w:val="21"/>
                <w:u w:val="single"/>
              </w:rPr>
              <w:t>CH</w:t>
            </w:r>
            <w:r>
              <w:rPr>
                <w:rFonts w:hint="eastAsia"/>
                <w:sz w:val="21"/>
                <w:szCs w:val="21"/>
                <w:u w:val="single"/>
                <w:vertAlign w:val="subscript"/>
              </w:rPr>
              <w:t>2</w:t>
            </w:r>
            <w:r>
              <w:rPr>
                <w:sz w:val="21"/>
                <w:szCs w:val="21"/>
                <w:u w:val="single"/>
              </w:rPr>
              <w:t>CHCH</w:t>
            </w:r>
            <w:r>
              <w:rPr>
                <w:rFonts w:hint="eastAsia"/>
                <w:sz w:val="21"/>
                <w:szCs w:val="21"/>
                <w:u w:val="single"/>
                <w:vertAlign w:val="subscript"/>
              </w:rPr>
              <w:t>3</w:t>
            </w:r>
            <w:r>
              <w:rPr>
                <w:rFonts w:hint="eastAsia"/>
                <w:sz w:val="21"/>
                <w:szCs w:val="21"/>
                <w:u w:val="single"/>
              </w:rPr>
              <w:t>COO</w:t>
            </w:r>
            <w:r>
              <w:rPr>
                <w:sz w:val="21"/>
                <w:szCs w:val="21"/>
                <w:u w:val="single"/>
              </w:rPr>
              <w:t>CH</w:t>
            </w:r>
            <w:r>
              <w:rPr>
                <w:rFonts w:hint="eastAsia"/>
                <w:sz w:val="21"/>
                <w:szCs w:val="21"/>
                <w:u w:val="single"/>
                <w:vertAlign w:val="subscript"/>
              </w:rPr>
              <w:t>3</w:t>
            </w:r>
            <w:r>
              <w:rPr>
                <w:rFonts w:hint="eastAsia"/>
                <w:sz w:val="21"/>
                <w:szCs w:val="21"/>
                <w:u w:val="single"/>
              </w:rPr>
              <w:t>)</w:t>
            </w:r>
            <w:r>
              <w:rPr>
                <w:sz w:val="21"/>
                <w:szCs w:val="21"/>
                <w:u w:val="single"/>
              </w:rPr>
              <w:t>SiO]m[(CH</w:t>
            </w:r>
            <w:r>
              <w:rPr>
                <w:sz w:val="21"/>
                <w:szCs w:val="21"/>
                <w:u w:val="single"/>
                <w:vertAlign w:val="subscript"/>
              </w:rPr>
              <w:t>3</w:t>
            </w:r>
            <w:r>
              <w:rPr>
                <w:sz w:val="21"/>
                <w:szCs w:val="21"/>
                <w:u w:val="single"/>
              </w:rPr>
              <w:t>)</w:t>
            </w:r>
            <w:r>
              <w:rPr>
                <w:sz w:val="21"/>
                <w:szCs w:val="21"/>
                <w:u w:val="single"/>
                <w:vertAlign w:val="subscript"/>
              </w:rPr>
              <w:t>2</w:t>
            </w:r>
            <w:r>
              <w:rPr>
                <w:sz w:val="21"/>
                <w:szCs w:val="21"/>
                <w:u w:val="single"/>
              </w:rPr>
              <w:t>SiO]nSi(CH</w:t>
            </w:r>
            <w:r>
              <w:rPr>
                <w:sz w:val="21"/>
                <w:szCs w:val="21"/>
                <w:u w:val="single"/>
                <w:vertAlign w:val="subscript"/>
              </w:rPr>
              <w:t>3</w:t>
            </w:r>
            <w:r>
              <w:rPr>
                <w:sz w:val="21"/>
                <w:szCs w:val="21"/>
                <w:u w:val="single"/>
              </w:rPr>
              <w:t>)</w:t>
            </w:r>
            <w:r>
              <w:rPr>
                <w:sz w:val="21"/>
                <w:szCs w:val="21"/>
                <w:u w:val="single"/>
                <w:vertAlign w:val="subscript"/>
              </w:rPr>
              <w:t>3</w:t>
            </w:r>
          </w:p>
        </w:tc>
      </w:tr>
      <w:tr w14:paraId="590AC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2182F49">
            <w:pPr>
              <w:spacing w:line="240" w:lineRule="auto"/>
              <w:ind w:firstLine="0" w:firstLineChars="0"/>
              <w:jc w:val="center"/>
              <w:rPr>
                <w:sz w:val="21"/>
                <w:szCs w:val="21"/>
                <w:u w:val="single"/>
              </w:rPr>
            </w:pPr>
            <w:r>
              <w:rPr>
                <w:rFonts w:hint="eastAsia"/>
                <w:sz w:val="21"/>
                <w:szCs w:val="21"/>
                <w:u w:val="single"/>
              </w:rPr>
              <w:t>粘度</w:t>
            </w:r>
          </w:p>
        </w:tc>
        <w:tc>
          <w:tcPr>
            <w:tcW w:w="1729" w:type="pct"/>
            <w:vAlign w:val="center"/>
          </w:tcPr>
          <w:p w14:paraId="24DB06B9">
            <w:pPr>
              <w:spacing w:line="240" w:lineRule="auto"/>
              <w:ind w:firstLine="0" w:firstLineChars="0"/>
              <w:jc w:val="center"/>
              <w:rPr>
                <w:sz w:val="21"/>
                <w:szCs w:val="21"/>
                <w:u w:val="single"/>
              </w:rPr>
            </w:pPr>
            <w:r>
              <w:rPr>
                <w:sz w:val="21"/>
                <w:szCs w:val="21"/>
                <w:u w:val="single"/>
              </w:rPr>
              <w:t>150-2000mm</w:t>
            </w:r>
            <w:r>
              <w:rPr>
                <w:sz w:val="21"/>
                <w:szCs w:val="21"/>
                <w:u w:val="single"/>
                <w:vertAlign w:val="superscript"/>
              </w:rPr>
              <w:t>2</w:t>
            </w:r>
            <w:r>
              <w:rPr>
                <w:sz w:val="21"/>
                <w:szCs w:val="21"/>
                <w:u w:val="single"/>
              </w:rPr>
              <w:t>/s</w:t>
            </w:r>
            <w:r>
              <w:rPr>
                <w:rFonts w:hint="eastAsia"/>
                <w:sz w:val="21"/>
                <w:szCs w:val="21"/>
                <w:u w:val="single"/>
              </w:rPr>
              <w:t>（</w:t>
            </w:r>
            <w:r>
              <w:rPr>
                <w:sz w:val="21"/>
                <w:szCs w:val="21"/>
                <w:u w:val="single"/>
              </w:rPr>
              <w:t>25℃</w:t>
            </w:r>
            <w:r>
              <w:rPr>
                <w:rFonts w:hint="eastAsia"/>
                <w:sz w:val="21"/>
                <w:szCs w:val="21"/>
                <w:u w:val="single"/>
              </w:rPr>
              <w:t>）</w:t>
            </w:r>
          </w:p>
        </w:tc>
        <w:tc>
          <w:tcPr>
            <w:tcW w:w="1347" w:type="pct"/>
            <w:gridSpan w:val="4"/>
            <w:vAlign w:val="center"/>
          </w:tcPr>
          <w:p w14:paraId="019D9CC9">
            <w:pPr>
              <w:spacing w:line="240" w:lineRule="auto"/>
              <w:ind w:firstLine="0" w:firstLineChars="0"/>
              <w:jc w:val="center"/>
              <w:rPr>
                <w:sz w:val="21"/>
                <w:szCs w:val="21"/>
                <w:u w:val="single"/>
              </w:rPr>
            </w:pPr>
            <w:r>
              <w:rPr>
                <w:sz w:val="21"/>
                <w:szCs w:val="21"/>
                <w:u w:val="single"/>
              </w:rPr>
              <w:t>外观与性状</w:t>
            </w:r>
          </w:p>
        </w:tc>
        <w:tc>
          <w:tcPr>
            <w:tcW w:w="1074" w:type="pct"/>
            <w:gridSpan w:val="2"/>
            <w:vAlign w:val="center"/>
          </w:tcPr>
          <w:p w14:paraId="169479A1">
            <w:pPr>
              <w:spacing w:line="240" w:lineRule="auto"/>
              <w:ind w:firstLine="0" w:firstLineChars="0"/>
              <w:jc w:val="center"/>
              <w:rPr>
                <w:sz w:val="21"/>
                <w:szCs w:val="21"/>
                <w:u w:val="single"/>
              </w:rPr>
            </w:pPr>
            <w:r>
              <w:rPr>
                <w:sz w:val="21"/>
                <w:szCs w:val="21"/>
                <w:u w:val="single"/>
              </w:rPr>
              <w:t>无色或浅黄色透明液体，无明显气味</w:t>
            </w:r>
          </w:p>
        </w:tc>
      </w:tr>
      <w:tr w14:paraId="3A2AF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6A9BC3A5">
            <w:pPr>
              <w:spacing w:line="240" w:lineRule="auto"/>
              <w:ind w:firstLine="0" w:firstLineChars="0"/>
              <w:jc w:val="center"/>
              <w:rPr>
                <w:sz w:val="21"/>
                <w:szCs w:val="21"/>
                <w:u w:val="single"/>
              </w:rPr>
            </w:pPr>
            <w:r>
              <w:rPr>
                <w:sz w:val="21"/>
                <w:szCs w:val="21"/>
              </w:rPr>
              <w:t>浊点</w:t>
            </w:r>
          </w:p>
        </w:tc>
        <w:tc>
          <w:tcPr>
            <w:tcW w:w="1729" w:type="pct"/>
            <w:vAlign w:val="center"/>
          </w:tcPr>
          <w:p w14:paraId="74AD8946">
            <w:pPr>
              <w:spacing w:line="240" w:lineRule="auto"/>
              <w:ind w:firstLine="0" w:firstLineChars="0"/>
              <w:jc w:val="center"/>
              <w:rPr>
                <w:sz w:val="21"/>
                <w:szCs w:val="21"/>
                <w:u w:val="single"/>
              </w:rPr>
            </w:pPr>
            <w:r>
              <w:rPr>
                <w:rFonts w:hint="eastAsia"/>
                <w:sz w:val="21"/>
                <w:szCs w:val="21"/>
                <w:u w:val="single"/>
              </w:rPr>
              <w:t>20</w:t>
            </w:r>
            <w:r>
              <w:rPr>
                <w:sz w:val="21"/>
                <w:szCs w:val="21"/>
                <w:u w:val="single"/>
              </w:rPr>
              <w:t>℃（1%wt）</w:t>
            </w:r>
          </w:p>
        </w:tc>
        <w:tc>
          <w:tcPr>
            <w:tcW w:w="1347" w:type="pct"/>
            <w:gridSpan w:val="4"/>
            <w:vAlign w:val="center"/>
          </w:tcPr>
          <w:p w14:paraId="407837B1">
            <w:pPr>
              <w:spacing w:line="240" w:lineRule="auto"/>
              <w:ind w:firstLine="0" w:firstLineChars="0"/>
              <w:jc w:val="center"/>
              <w:rPr>
                <w:sz w:val="21"/>
                <w:szCs w:val="21"/>
                <w:u w:val="single"/>
              </w:rPr>
            </w:pPr>
            <w:r>
              <w:rPr>
                <w:sz w:val="21"/>
                <w:szCs w:val="21"/>
                <w:u w:val="single"/>
              </w:rPr>
              <w:t>表面张力</w:t>
            </w:r>
          </w:p>
        </w:tc>
        <w:tc>
          <w:tcPr>
            <w:tcW w:w="1074" w:type="pct"/>
            <w:gridSpan w:val="2"/>
            <w:vAlign w:val="center"/>
          </w:tcPr>
          <w:p w14:paraId="5EFD657A">
            <w:pPr>
              <w:spacing w:line="240" w:lineRule="auto"/>
              <w:ind w:firstLine="0" w:firstLineChars="0"/>
              <w:jc w:val="center"/>
              <w:rPr>
                <w:sz w:val="21"/>
                <w:szCs w:val="21"/>
                <w:u w:val="single"/>
              </w:rPr>
            </w:pPr>
            <w:r>
              <w:rPr>
                <w:sz w:val="21"/>
                <w:szCs w:val="21"/>
                <w:u w:val="single"/>
              </w:rPr>
              <w:t>≤24mN/N</w:t>
            </w:r>
          </w:p>
        </w:tc>
      </w:tr>
    </w:tbl>
    <w:p w14:paraId="74291CAA">
      <w:pPr>
        <w:pStyle w:val="5"/>
        <w:spacing w:before="312" w:after="312"/>
        <w:ind w:firstLine="482"/>
      </w:pPr>
      <w:r>
        <w:rPr>
          <w:rFonts w:hint="eastAsia"/>
        </w:rPr>
        <w:t>生产系统危险性识别</w:t>
      </w:r>
    </w:p>
    <w:p w14:paraId="26F22D3F">
      <w:pPr>
        <w:ind w:firstLine="480"/>
        <w:rPr>
          <w:bCs/>
          <w:szCs w:val="24"/>
        </w:rPr>
      </w:pPr>
      <w:r>
        <w:rPr>
          <w:rFonts w:hint="eastAsia"/>
          <w:bCs/>
          <w:szCs w:val="24"/>
        </w:rPr>
        <w:t>根据风险评价要求及一般工艺工序特点，从生产运行、储存运输、公用工程及辅助生产设施等几个方面识别生产设施风险。</w:t>
      </w:r>
    </w:p>
    <w:p w14:paraId="6FEF0162">
      <w:pPr>
        <w:pStyle w:val="6"/>
        <w:ind w:left="0" w:firstLine="482"/>
      </w:pPr>
      <w:r>
        <w:t>主要生产装置危险性识别</w:t>
      </w:r>
    </w:p>
    <w:p w14:paraId="21CAE0C2">
      <w:pPr>
        <w:pStyle w:val="99"/>
        <w:numPr>
          <w:ilvl w:val="4"/>
          <w:numId w:val="42"/>
        </w:numPr>
        <w:ind w:left="0" w:firstLine="480"/>
        <w:rPr>
          <w:rFonts w:eastAsia="黑体"/>
        </w:rPr>
      </w:pPr>
      <w:r>
        <w:rPr>
          <w:rFonts w:hint="eastAsia" w:eastAsia="黑体"/>
        </w:rPr>
        <w:t xml:space="preserve">      项目主要生产装置危险性识别一览表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44"/>
        <w:gridCol w:w="1283"/>
        <w:gridCol w:w="1139"/>
        <w:gridCol w:w="2422"/>
        <w:gridCol w:w="2638"/>
      </w:tblGrid>
      <w:tr w14:paraId="4445D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07" w:type="pct"/>
            <w:vAlign w:val="center"/>
          </w:tcPr>
          <w:p w14:paraId="4ECBC86C">
            <w:pPr>
              <w:spacing w:line="240" w:lineRule="auto"/>
              <w:ind w:firstLine="0" w:firstLineChars="0"/>
              <w:jc w:val="center"/>
              <w:rPr>
                <w:b/>
                <w:sz w:val="21"/>
                <w:szCs w:val="21"/>
                <w:u w:val="single"/>
              </w:rPr>
            </w:pPr>
            <w:r>
              <w:rPr>
                <w:b/>
                <w:sz w:val="21"/>
                <w:szCs w:val="21"/>
                <w:u w:val="single"/>
              </w:rPr>
              <w:t>产品</w:t>
            </w:r>
          </w:p>
        </w:tc>
        <w:tc>
          <w:tcPr>
            <w:tcW w:w="770" w:type="pct"/>
            <w:vAlign w:val="center"/>
          </w:tcPr>
          <w:p w14:paraId="7AD4BF75">
            <w:pPr>
              <w:spacing w:line="240" w:lineRule="auto"/>
              <w:ind w:firstLine="0" w:firstLineChars="0"/>
              <w:jc w:val="center"/>
              <w:rPr>
                <w:b/>
                <w:sz w:val="21"/>
                <w:szCs w:val="21"/>
                <w:u w:val="single"/>
              </w:rPr>
            </w:pPr>
            <w:r>
              <w:rPr>
                <w:rFonts w:hint="eastAsia"/>
                <w:b/>
                <w:sz w:val="21"/>
                <w:szCs w:val="21"/>
                <w:u w:val="single"/>
              </w:rPr>
              <w:t>位置</w:t>
            </w:r>
          </w:p>
        </w:tc>
        <w:tc>
          <w:tcPr>
            <w:tcW w:w="684" w:type="pct"/>
            <w:vAlign w:val="center"/>
          </w:tcPr>
          <w:p w14:paraId="4EC1DEBE">
            <w:pPr>
              <w:spacing w:line="240" w:lineRule="auto"/>
              <w:ind w:firstLine="0" w:firstLineChars="0"/>
              <w:jc w:val="center"/>
              <w:rPr>
                <w:b/>
                <w:sz w:val="21"/>
                <w:szCs w:val="21"/>
                <w:u w:val="single"/>
              </w:rPr>
            </w:pPr>
            <w:r>
              <w:rPr>
                <w:b/>
                <w:sz w:val="21"/>
                <w:szCs w:val="21"/>
                <w:u w:val="single"/>
              </w:rPr>
              <w:t>生产装置</w:t>
            </w:r>
          </w:p>
        </w:tc>
        <w:tc>
          <w:tcPr>
            <w:tcW w:w="1454" w:type="pct"/>
            <w:vAlign w:val="center"/>
          </w:tcPr>
          <w:p w14:paraId="7E8B06F2">
            <w:pPr>
              <w:spacing w:line="240" w:lineRule="auto"/>
              <w:ind w:firstLine="0" w:firstLineChars="0"/>
              <w:jc w:val="center"/>
              <w:rPr>
                <w:b/>
                <w:sz w:val="21"/>
                <w:szCs w:val="21"/>
                <w:u w:val="single"/>
              </w:rPr>
            </w:pPr>
            <w:r>
              <w:rPr>
                <w:b/>
                <w:sz w:val="21"/>
                <w:szCs w:val="21"/>
                <w:u w:val="single"/>
              </w:rPr>
              <w:t>涉及危险物质</w:t>
            </w:r>
          </w:p>
        </w:tc>
        <w:tc>
          <w:tcPr>
            <w:tcW w:w="1584" w:type="pct"/>
            <w:vAlign w:val="center"/>
          </w:tcPr>
          <w:p w14:paraId="36966FA5">
            <w:pPr>
              <w:spacing w:line="240" w:lineRule="auto"/>
              <w:ind w:firstLine="0" w:firstLineChars="0"/>
              <w:jc w:val="center"/>
              <w:rPr>
                <w:b/>
                <w:sz w:val="21"/>
                <w:szCs w:val="21"/>
                <w:u w:val="single"/>
              </w:rPr>
            </w:pPr>
            <w:r>
              <w:rPr>
                <w:b/>
                <w:sz w:val="21"/>
                <w:szCs w:val="21"/>
                <w:u w:val="single"/>
              </w:rPr>
              <w:t>风险原因</w:t>
            </w:r>
          </w:p>
        </w:tc>
      </w:tr>
      <w:tr w14:paraId="73859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7" w:type="pct"/>
            <w:vMerge w:val="restart"/>
            <w:vAlign w:val="center"/>
          </w:tcPr>
          <w:p w14:paraId="478865C7">
            <w:pPr>
              <w:spacing w:line="240" w:lineRule="auto"/>
              <w:ind w:firstLine="0" w:firstLineChars="0"/>
              <w:jc w:val="center"/>
              <w:rPr>
                <w:sz w:val="21"/>
                <w:szCs w:val="21"/>
                <w:u w:val="single"/>
              </w:rPr>
            </w:pPr>
            <w:r>
              <w:rPr>
                <w:rFonts w:hint="eastAsia"/>
                <w:sz w:val="21"/>
                <w:szCs w:val="21"/>
                <w:u w:val="single"/>
              </w:rPr>
              <w:t>聚醚改性硅油</w:t>
            </w:r>
          </w:p>
        </w:tc>
        <w:tc>
          <w:tcPr>
            <w:tcW w:w="770" w:type="pct"/>
            <w:vMerge w:val="restart"/>
            <w:vAlign w:val="center"/>
          </w:tcPr>
          <w:p w14:paraId="56B56346">
            <w:pPr>
              <w:spacing w:line="240" w:lineRule="auto"/>
              <w:ind w:firstLine="0" w:firstLineChars="0"/>
              <w:jc w:val="center"/>
              <w:rPr>
                <w:sz w:val="21"/>
                <w:szCs w:val="21"/>
                <w:u w:val="single"/>
              </w:rPr>
            </w:pPr>
            <w:r>
              <w:rPr>
                <w:rFonts w:hint="eastAsia"/>
                <w:sz w:val="21"/>
                <w:szCs w:val="21"/>
                <w:u w:val="single"/>
              </w:rPr>
              <w:t>反应釜区</w:t>
            </w:r>
          </w:p>
        </w:tc>
        <w:tc>
          <w:tcPr>
            <w:tcW w:w="684" w:type="pct"/>
            <w:vMerge w:val="restart"/>
            <w:vAlign w:val="center"/>
          </w:tcPr>
          <w:p w14:paraId="07AE686C">
            <w:pPr>
              <w:spacing w:line="240" w:lineRule="auto"/>
              <w:ind w:firstLine="0" w:firstLineChars="0"/>
              <w:jc w:val="center"/>
              <w:rPr>
                <w:sz w:val="21"/>
                <w:szCs w:val="21"/>
                <w:u w:val="single"/>
              </w:rPr>
            </w:pPr>
            <w:r>
              <w:rPr>
                <w:spacing w:val="-4"/>
                <w:sz w:val="21"/>
                <w:szCs w:val="21"/>
                <w:u w:val="single"/>
              </w:rPr>
              <w:t>反应釜</w:t>
            </w:r>
          </w:p>
        </w:tc>
        <w:tc>
          <w:tcPr>
            <w:tcW w:w="1454" w:type="pct"/>
            <w:vAlign w:val="center"/>
          </w:tcPr>
          <w:p w14:paraId="48E8B19A">
            <w:pPr>
              <w:spacing w:line="240" w:lineRule="auto"/>
              <w:ind w:firstLine="0" w:firstLineChars="0"/>
              <w:jc w:val="center"/>
              <w:rPr>
                <w:sz w:val="21"/>
                <w:szCs w:val="21"/>
                <w:u w:val="single"/>
              </w:rPr>
            </w:pPr>
            <w:r>
              <w:rPr>
                <w:rFonts w:hint="eastAsia"/>
                <w:sz w:val="21"/>
                <w:szCs w:val="21"/>
                <w:u w:val="single"/>
              </w:rPr>
              <w:t>D4（八甲基环四硅氧烷）</w:t>
            </w:r>
          </w:p>
        </w:tc>
        <w:tc>
          <w:tcPr>
            <w:tcW w:w="1584" w:type="pct"/>
            <w:vMerge w:val="restart"/>
            <w:vAlign w:val="center"/>
          </w:tcPr>
          <w:p w14:paraId="67A301B6">
            <w:pPr>
              <w:spacing w:line="240" w:lineRule="auto"/>
              <w:ind w:firstLine="0" w:firstLineChars="0"/>
              <w:jc w:val="center"/>
              <w:rPr>
                <w:sz w:val="21"/>
                <w:szCs w:val="21"/>
                <w:u w:val="single"/>
              </w:rPr>
            </w:pPr>
            <w:r>
              <w:rPr>
                <w:sz w:val="21"/>
                <w:szCs w:val="21"/>
                <w:u w:val="single"/>
              </w:rPr>
              <w:t>接口、管道、阀门等密闭不严、罐体破裂等导致物料泄漏，引起火灾、爆炸产生伴生/次生污染物</w:t>
            </w:r>
          </w:p>
        </w:tc>
      </w:tr>
      <w:tr w14:paraId="1792E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7" w:type="pct"/>
            <w:vMerge w:val="continue"/>
            <w:vAlign w:val="center"/>
          </w:tcPr>
          <w:p w14:paraId="66844D3B">
            <w:pPr>
              <w:spacing w:line="240" w:lineRule="auto"/>
              <w:ind w:firstLine="0" w:firstLineChars="0"/>
              <w:jc w:val="center"/>
              <w:rPr>
                <w:sz w:val="21"/>
                <w:szCs w:val="21"/>
                <w:u w:val="single"/>
              </w:rPr>
            </w:pPr>
          </w:p>
        </w:tc>
        <w:tc>
          <w:tcPr>
            <w:tcW w:w="770" w:type="pct"/>
            <w:vMerge w:val="continue"/>
            <w:vAlign w:val="center"/>
          </w:tcPr>
          <w:p w14:paraId="7C93B2F6">
            <w:pPr>
              <w:spacing w:line="240" w:lineRule="auto"/>
              <w:ind w:firstLine="0" w:firstLineChars="0"/>
              <w:jc w:val="center"/>
              <w:rPr>
                <w:sz w:val="21"/>
                <w:szCs w:val="21"/>
                <w:u w:val="single"/>
              </w:rPr>
            </w:pPr>
          </w:p>
        </w:tc>
        <w:tc>
          <w:tcPr>
            <w:tcW w:w="684" w:type="pct"/>
            <w:vMerge w:val="continue"/>
            <w:vAlign w:val="center"/>
          </w:tcPr>
          <w:p w14:paraId="49458219">
            <w:pPr>
              <w:spacing w:line="240" w:lineRule="auto"/>
              <w:ind w:firstLine="0" w:firstLineChars="0"/>
              <w:jc w:val="center"/>
              <w:rPr>
                <w:sz w:val="21"/>
                <w:szCs w:val="21"/>
                <w:u w:val="single"/>
              </w:rPr>
            </w:pPr>
          </w:p>
        </w:tc>
        <w:tc>
          <w:tcPr>
            <w:tcW w:w="1454" w:type="pct"/>
            <w:vAlign w:val="center"/>
          </w:tcPr>
          <w:p w14:paraId="0A9CE74E">
            <w:pPr>
              <w:spacing w:line="240" w:lineRule="auto"/>
              <w:ind w:firstLine="0" w:firstLineChars="0"/>
              <w:jc w:val="center"/>
              <w:rPr>
                <w:sz w:val="21"/>
                <w:szCs w:val="21"/>
                <w:u w:val="single"/>
              </w:rPr>
            </w:pPr>
            <w:r>
              <w:rPr>
                <w:rFonts w:hint="eastAsia"/>
                <w:sz w:val="21"/>
                <w:szCs w:val="21"/>
                <w:u w:val="single"/>
              </w:rPr>
              <w:t>硫酸</w:t>
            </w:r>
          </w:p>
        </w:tc>
        <w:tc>
          <w:tcPr>
            <w:tcW w:w="1584" w:type="pct"/>
            <w:vMerge w:val="continue"/>
            <w:vAlign w:val="center"/>
          </w:tcPr>
          <w:p w14:paraId="4062563B">
            <w:pPr>
              <w:spacing w:line="240" w:lineRule="auto"/>
              <w:ind w:firstLine="0" w:firstLineChars="0"/>
              <w:jc w:val="center"/>
              <w:rPr>
                <w:szCs w:val="21"/>
                <w:u w:val="single"/>
              </w:rPr>
            </w:pPr>
          </w:p>
        </w:tc>
      </w:tr>
      <w:tr w14:paraId="6BA7E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7" w:type="pct"/>
            <w:vMerge w:val="continue"/>
            <w:vAlign w:val="center"/>
          </w:tcPr>
          <w:p w14:paraId="3CFD4265">
            <w:pPr>
              <w:spacing w:line="240" w:lineRule="auto"/>
              <w:ind w:firstLine="0" w:firstLineChars="0"/>
              <w:jc w:val="center"/>
              <w:rPr>
                <w:sz w:val="21"/>
                <w:szCs w:val="21"/>
                <w:u w:val="single"/>
              </w:rPr>
            </w:pPr>
          </w:p>
        </w:tc>
        <w:tc>
          <w:tcPr>
            <w:tcW w:w="770" w:type="pct"/>
            <w:vMerge w:val="continue"/>
            <w:vAlign w:val="center"/>
          </w:tcPr>
          <w:p w14:paraId="5AE8FDCC">
            <w:pPr>
              <w:spacing w:line="240" w:lineRule="auto"/>
              <w:ind w:firstLine="0" w:firstLineChars="0"/>
              <w:jc w:val="center"/>
              <w:rPr>
                <w:sz w:val="21"/>
                <w:szCs w:val="21"/>
                <w:u w:val="single"/>
              </w:rPr>
            </w:pPr>
          </w:p>
        </w:tc>
        <w:tc>
          <w:tcPr>
            <w:tcW w:w="684" w:type="pct"/>
            <w:vMerge w:val="continue"/>
            <w:vAlign w:val="center"/>
          </w:tcPr>
          <w:p w14:paraId="375D6489">
            <w:pPr>
              <w:spacing w:line="240" w:lineRule="auto"/>
              <w:ind w:firstLine="0" w:firstLineChars="0"/>
              <w:jc w:val="center"/>
              <w:rPr>
                <w:sz w:val="21"/>
                <w:szCs w:val="21"/>
                <w:u w:val="single"/>
              </w:rPr>
            </w:pPr>
          </w:p>
        </w:tc>
        <w:tc>
          <w:tcPr>
            <w:tcW w:w="1454" w:type="pct"/>
            <w:vAlign w:val="center"/>
          </w:tcPr>
          <w:p w14:paraId="14E6A50D">
            <w:pPr>
              <w:spacing w:line="240" w:lineRule="auto"/>
              <w:ind w:firstLine="0" w:firstLineChars="0"/>
              <w:jc w:val="center"/>
              <w:rPr>
                <w:sz w:val="21"/>
                <w:szCs w:val="21"/>
                <w:u w:val="single"/>
              </w:rPr>
            </w:pPr>
            <w:r>
              <w:rPr>
                <w:rFonts w:hint="eastAsia"/>
                <w:sz w:val="21"/>
                <w:szCs w:val="21"/>
                <w:u w:val="single"/>
              </w:rPr>
              <w:t>导热油</w:t>
            </w:r>
          </w:p>
        </w:tc>
        <w:tc>
          <w:tcPr>
            <w:tcW w:w="1584" w:type="pct"/>
            <w:vMerge w:val="continue"/>
            <w:vAlign w:val="center"/>
          </w:tcPr>
          <w:p w14:paraId="6F56AFEC">
            <w:pPr>
              <w:spacing w:line="240" w:lineRule="auto"/>
              <w:ind w:firstLine="0" w:firstLineChars="0"/>
              <w:jc w:val="center"/>
              <w:rPr>
                <w:szCs w:val="21"/>
                <w:u w:val="single"/>
              </w:rPr>
            </w:pPr>
          </w:p>
        </w:tc>
      </w:tr>
      <w:tr w14:paraId="3A5F0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7" w:type="pct"/>
            <w:vMerge w:val="continue"/>
            <w:vAlign w:val="center"/>
          </w:tcPr>
          <w:p w14:paraId="2FFABE8A">
            <w:pPr>
              <w:spacing w:line="240" w:lineRule="auto"/>
              <w:ind w:firstLine="0" w:firstLineChars="0"/>
              <w:jc w:val="center"/>
              <w:rPr>
                <w:sz w:val="21"/>
                <w:szCs w:val="21"/>
                <w:u w:val="single"/>
              </w:rPr>
            </w:pPr>
          </w:p>
        </w:tc>
        <w:tc>
          <w:tcPr>
            <w:tcW w:w="770" w:type="pct"/>
            <w:vMerge w:val="continue"/>
            <w:vAlign w:val="center"/>
          </w:tcPr>
          <w:p w14:paraId="416C6F67">
            <w:pPr>
              <w:spacing w:line="240" w:lineRule="auto"/>
              <w:ind w:firstLine="0" w:firstLineChars="0"/>
              <w:jc w:val="center"/>
              <w:rPr>
                <w:sz w:val="21"/>
                <w:szCs w:val="21"/>
                <w:u w:val="single"/>
              </w:rPr>
            </w:pPr>
          </w:p>
        </w:tc>
        <w:tc>
          <w:tcPr>
            <w:tcW w:w="684" w:type="pct"/>
            <w:vMerge w:val="continue"/>
            <w:vAlign w:val="center"/>
          </w:tcPr>
          <w:p w14:paraId="77FA8FE4">
            <w:pPr>
              <w:spacing w:line="240" w:lineRule="auto"/>
              <w:ind w:firstLine="0" w:firstLineChars="0"/>
              <w:jc w:val="center"/>
              <w:rPr>
                <w:sz w:val="21"/>
                <w:szCs w:val="21"/>
                <w:u w:val="single"/>
              </w:rPr>
            </w:pPr>
          </w:p>
        </w:tc>
        <w:tc>
          <w:tcPr>
            <w:tcW w:w="1454" w:type="pct"/>
            <w:vAlign w:val="center"/>
          </w:tcPr>
          <w:p w14:paraId="626F16FC">
            <w:pPr>
              <w:spacing w:line="240" w:lineRule="auto"/>
              <w:ind w:firstLine="0" w:firstLineChars="0"/>
              <w:jc w:val="center"/>
              <w:rPr>
                <w:sz w:val="21"/>
                <w:szCs w:val="21"/>
                <w:u w:val="single"/>
              </w:rPr>
            </w:pPr>
            <w:r>
              <w:rPr>
                <w:rFonts w:hint="eastAsia" w:eastAsiaTheme="minorEastAsia"/>
                <w:sz w:val="21"/>
                <w:szCs w:val="21"/>
                <w:u w:val="single"/>
              </w:rPr>
              <w:t>双氧水</w:t>
            </w:r>
          </w:p>
        </w:tc>
        <w:tc>
          <w:tcPr>
            <w:tcW w:w="1584" w:type="pct"/>
            <w:vMerge w:val="continue"/>
            <w:vAlign w:val="center"/>
          </w:tcPr>
          <w:p w14:paraId="5AD1B6CF">
            <w:pPr>
              <w:spacing w:line="240" w:lineRule="auto"/>
              <w:ind w:firstLine="0" w:firstLineChars="0"/>
              <w:jc w:val="center"/>
              <w:rPr>
                <w:szCs w:val="21"/>
                <w:u w:val="single"/>
              </w:rPr>
            </w:pPr>
          </w:p>
        </w:tc>
      </w:tr>
      <w:tr w14:paraId="44087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7" w:type="pct"/>
            <w:vMerge w:val="continue"/>
            <w:vAlign w:val="center"/>
          </w:tcPr>
          <w:p w14:paraId="4A534256">
            <w:pPr>
              <w:spacing w:line="240" w:lineRule="auto"/>
              <w:ind w:firstLine="0" w:firstLineChars="0"/>
              <w:jc w:val="center"/>
              <w:rPr>
                <w:sz w:val="21"/>
                <w:szCs w:val="21"/>
                <w:u w:val="single"/>
              </w:rPr>
            </w:pPr>
          </w:p>
        </w:tc>
        <w:tc>
          <w:tcPr>
            <w:tcW w:w="770" w:type="pct"/>
            <w:vMerge w:val="continue"/>
            <w:vAlign w:val="center"/>
          </w:tcPr>
          <w:p w14:paraId="7724C371">
            <w:pPr>
              <w:spacing w:line="240" w:lineRule="auto"/>
              <w:ind w:firstLine="0" w:firstLineChars="0"/>
              <w:jc w:val="center"/>
              <w:rPr>
                <w:sz w:val="21"/>
                <w:szCs w:val="21"/>
                <w:u w:val="single"/>
              </w:rPr>
            </w:pPr>
          </w:p>
        </w:tc>
        <w:tc>
          <w:tcPr>
            <w:tcW w:w="684" w:type="pct"/>
            <w:vMerge w:val="continue"/>
            <w:vAlign w:val="center"/>
          </w:tcPr>
          <w:p w14:paraId="586ABCF6">
            <w:pPr>
              <w:spacing w:line="240" w:lineRule="auto"/>
              <w:ind w:firstLine="0" w:firstLineChars="0"/>
              <w:jc w:val="center"/>
              <w:rPr>
                <w:sz w:val="21"/>
                <w:szCs w:val="21"/>
                <w:u w:val="single"/>
              </w:rPr>
            </w:pPr>
          </w:p>
        </w:tc>
        <w:tc>
          <w:tcPr>
            <w:tcW w:w="1454" w:type="pct"/>
            <w:vAlign w:val="center"/>
          </w:tcPr>
          <w:p w14:paraId="11E00D66">
            <w:pPr>
              <w:spacing w:line="240" w:lineRule="auto"/>
              <w:ind w:firstLine="0" w:firstLineChars="0"/>
              <w:jc w:val="center"/>
              <w:rPr>
                <w:rFonts w:eastAsiaTheme="minorEastAsia"/>
                <w:sz w:val="21"/>
                <w:szCs w:val="21"/>
                <w:u w:val="single"/>
              </w:rPr>
            </w:pPr>
            <w:r>
              <w:rPr>
                <w:rFonts w:hint="eastAsia" w:eastAsiaTheme="minorEastAsia"/>
                <w:sz w:val="21"/>
                <w:szCs w:val="21"/>
                <w:u w:val="single"/>
              </w:rPr>
              <w:t>二丙二醇</w:t>
            </w:r>
          </w:p>
        </w:tc>
        <w:tc>
          <w:tcPr>
            <w:tcW w:w="1584" w:type="pct"/>
            <w:vMerge w:val="continue"/>
            <w:vAlign w:val="center"/>
          </w:tcPr>
          <w:p w14:paraId="5B6EC856">
            <w:pPr>
              <w:spacing w:line="240" w:lineRule="auto"/>
              <w:ind w:firstLine="0" w:firstLineChars="0"/>
              <w:jc w:val="center"/>
              <w:rPr>
                <w:szCs w:val="21"/>
                <w:u w:val="single"/>
              </w:rPr>
            </w:pPr>
          </w:p>
        </w:tc>
      </w:tr>
      <w:tr w14:paraId="38F50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7" w:type="pct"/>
            <w:vMerge w:val="continue"/>
            <w:vAlign w:val="center"/>
          </w:tcPr>
          <w:p w14:paraId="58FEB362">
            <w:pPr>
              <w:spacing w:line="240" w:lineRule="auto"/>
              <w:ind w:firstLine="0" w:firstLineChars="0"/>
              <w:jc w:val="center"/>
              <w:rPr>
                <w:sz w:val="21"/>
                <w:szCs w:val="21"/>
                <w:u w:val="single"/>
              </w:rPr>
            </w:pPr>
          </w:p>
        </w:tc>
        <w:tc>
          <w:tcPr>
            <w:tcW w:w="770" w:type="pct"/>
            <w:vMerge w:val="continue"/>
            <w:vAlign w:val="center"/>
          </w:tcPr>
          <w:p w14:paraId="3E348FD7">
            <w:pPr>
              <w:spacing w:line="240" w:lineRule="auto"/>
              <w:ind w:firstLine="0" w:firstLineChars="0"/>
              <w:jc w:val="center"/>
              <w:rPr>
                <w:sz w:val="21"/>
                <w:szCs w:val="21"/>
                <w:u w:val="single"/>
              </w:rPr>
            </w:pPr>
          </w:p>
        </w:tc>
        <w:tc>
          <w:tcPr>
            <w:tcW w:w="684" w:type="pct"/>
            <w:vMerge w:val="continue"/>
            <w:vAlign w:val="center"/>
          </w:tcPr>
          <w:p w14:paraId="017F11C3">
            <w:pPr>
              <w:spacing w:line="240" w:lineRule="auto"/>
              <w:ind w:firstLine="0" w:firstLineChars="0"/>
              <w:jc w:val="center"/>
              <w:rPr>
                <w:sz w:val="21"/>
                <w:szCs w:val="21"/>
                <w:u w:val="single"/>
              </w:rPr>
            </w:pPr>
          </w:p>
        </w:tc>
        <w:tc>
          <w:tcPr>
            <w:tcW w:w="1454" w:type="pct"/>
            <w:vAlign w:val="center"/>
          </w:tcPr>
          <w:p w14:paraId="02D9137A">
            <w:pPr>
              <w:spacing w:line="240" w:lineRule="auto"/>
              <w:ind w:firstLine="0" w:firstLineChars="0"/>
              <w:jc w:val="center"/>
              <w:rPr>
                <w:sz w:val="21"/>
                <w:szCs w:val="21"/>
                <w:u w:val="single"/>
              </w:rPr>
            </w:pPr>
            <w:r>
              <w:rPr>
                <w:rFonts w:hint="eastAsia" w:eastAsiaTheme="minorEastAsia"/>
                <w:sz w:val="21"/>
                <w:szCs w:val="21"/>
                <w:u w:val="single"/>
              </w:rPr>
              <w:t>K</w:t>
            </w:r>
            <w:r>
              <w:rPr>
                <w:rFonts w:eastAsiaTheme="minorEastAsia"/>
                <w:sz w:val="21"/>
                <w:szCs w:val="21"/>
                <w:u w:val="single"/>
              </w:rPr>
              <w:t>F-99</w:t>
            </w:r>
            <w:r>
              <w:rPr>
                <w:rFonts w:hint="eastAsia" w:eastAsiaTheme="minorEastAsia"/>
                <w:sz w:val="21"/>
                <w:szCs w:val="21"/>
                <w:u w:val="single"/>
              </w:rPr>
              <w:t>（</w:t>
            </w:r>
            <w:r>
              <w:rPr>
                <w:rFonts w:eastAsiaTheme="minorEastAsia"/>
                <w:sz w:val="21"/>
                <w:szCs w:val="21"/>
                <w:u w:val="single"/>
              </w:rPr>
              <w:t>高含氢硅油</w:t>
            </w:r>
            <w:r>
              <w:rPr>
                <w:rFonts w:hint="eastAsia" w:eastAsiaTheme="minorEastAsia"/>
                <w:sz w:val="21"/>
                <w:szCs w:val="21"/>
                <w:u w:val="single"/>
              </w:rPr>
              <w:t>）</w:t>
            </w:r>
          </w:p>
        </w:tc>
        <w:tc>
          <w:tcPr>
            <w:tcW w:w="1584" w:type="pct"/>
            <w:vMerge w:val="continue"/>
            <w:vAlign w:val="center"/>
          </w:tcPr>
          <w:p w14:paraId="5CCCD42F">
            <w:pPr>
              <w:spacing w:line="240" w:lineRule="auto"/>
              <w:ind w:firstLine="0" w:firstLineChars="0"/>
              <w:jc w:val="center"/>
              <w:rPr>
                <w:szCs w:val="21"/>
                <w:u w:val="single"/>
              </w:rPr>
            </w:pPr>
          </w:p>
        </w:tc>
      </w:tr>
      <w:tr w14:paraId="6E2A3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7" w:type="pct"/>
            <w:vMerge w:val="continue"/>
            <w:vAlign w:val="center"/>
          </w:tcPr>
          <w:p w14:paraId="3DE54C73">
            <w:pPr>
              <w:spacing w:line="240" w:lineRule="auto"/>
              <w:ind w:firstLine="0" w:firstLineChars="0"/>
              <w:jc w:val="center"/>
              <w:rPr>
                <w:sz w:val="21"/>
                <w:szCs w:val="21"/>
                <w:u w:val="single"/>
              </w:rPr>
            </w:pPr>
          </w:p>
        </w:tc>
        <w:tc>
          <w:tcPr>
            <w:tcW w:w="770" w:type="pct"/>
            <w:vMerge w:val="continue"/>
            <w:vAlign w:val="center"/>
          </w:tcPr>
          <w:p w14:paraId="20B29FEF">
            <w:pPr>
              <w:spacing w:line="240" w:lineRule="auto"/>
              <w:ind w:firstLine="0" w:firstLineChars="0"/>
              <w:jc w:val="center"/>
              <w:rPr>
                <w:sz w:val="21"/>
                <w:szCs w:val="21"/>
                <w:u w:val="single"/>
              </w:rPr>
            </w:pPr>
          </w:p>
        </w:tc>
        <w:tc>
          <w:tcPr>
            <w:tcW w:w="684" w:type="pct"/>
            <w:vMerge w:val="continue"/>
            <w:vAlign w:val="center"/>
          </w:tcPr>
          <w:p w14:paraId="7FAE6A96">
            <w:pPr>
              <w:spacing w:line="240" w:lineRule="auto"/>
              <w:ind w:firstLine="0" w:firstLineChars="0"/>
              <w:jc w:val="center"/>
              <w:rPr>
                <w:sz w:val="21"/>
                <w:szCs w:val="21"/>
                <w:u w:val="single"/>
              </w:rPr>
            </w:pPr>
          </w:p>
        </w:tc>
        <w:tc>
          <w:tcPr>
            <w:tcW w:w="1454" w:type="pct"/>
            <w:vAlign w:val="center"/>
          </w:tcPr>
          <w:p w14:paraId="613C09BB">
            <w:pPr>
              <w:spacing w:line="240" w:lineRule="auto"/>
              <w:ind w:firstLine="0" w:firstLineChars="0"/>
              <w:jc w:val="center"/>
              <w:rPr>
                <w:rFonts w:eastAsiaTheme="minorEastAsia"/>
                <w:sz w:val="21"/>
                <w:szCs w:val="21"/>
                <w:u w:val="single"/>
              </w:rPr>
            </w:pPr>
            <w:r>
              <w:rPr>
                <w:rFonts w:hint="eastAsia" w:eastAsiaTheme="minorEastAsia"/>
                <w:sz w:val="21"/>
                <w:szCs w:val="21"/>
                <w:u w:val="single"/>
              </w:rPr>
              <w:t>低含氢硅油</w:t>
            </w:r>
          </w:p>
        </w:tc>
        <w:tc>
          <w:tcPr>
            <w:tcW w:w="1584" w:type="pct"/>
            <w:vMerge w:val="continue"/>
            <w:vAlign w:val="center"/>
          </w:tcPr>
          <w:p w14:paraId="574E33E8">
            <w:pPr>
              <w:spacing w:line="240" w:lineRule="auto"/>
              <w:ind w:firstLine="0" w:firstLineChars="0"/>
              <w:jc w:val="center"/>
              <w:rPr>
                <w:szCs w:val="21"/>
                <w:u w:val="single"/>
              </w:rPr>
            </w:pPr>
          </w:p>
        </w:tc>
      </w:tr>
      <w:tr w14:paraId="336BA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7" w:type="pct"/>
            <w:vMerge w:val="continue"/>
            <w:vAlign w:val="center"/>
          </w:tcPr>
          <w:p w14:paraId="3B9B07B4">
            <w:pPr>
              <w:spacing w:line="240" w:lineRule="auto"/>
              <w:ind w:firstLine="0" w:firstLineChars="0"/>
              <w:jc w:val="center"/>
              <w:rPr>
                <w:sz w:val="21"/>
                <w:szCs w:val="21"/>
                <w:u w:val="single"/>
              </w:rPr>
            </w:pPr>
          </w:p>
        </w:tc>
        <w:tc>
          <w:tcPr>
            <w:tcW w:w="770" w:type="pct"/>
            <w:vMerge w:val="restart"/>
            <w:vAlign w:val="center"/>
          </w:tcPr>
          <w:p w14:paraId="458348A6">
            <w:pPr>
              <w:spacing w:line="240" w:lineRule="auto"/>
              <w:ind w:firstLine="0" w:firstLineChars="0"/>
              <w:jc w:val="center"/>
              <w:rPr>
                <w:sz w:val="21"/>
                <w:szCs w:val="21"/>
                <w:u w:val="single"/>
              </w:rPr>
            </w:pPr>
            <w:r>
              <w:rPr>
                <w:rFonts w:hint="eastAsia"/>
                <w:sz w:val="21"/>
                <w:szCs w:val="21"/>
                <w:u w:val="single"/>
              </w:rPr>
              <w:t>反应釜区、搅拌区、灌装区</w:t>
            </w:r>
          </w:p>
        </w:tc>
        <w:tc>
          <w:tcPr>
            <w:tcW w:w="684" w:type="pct"/>
            <w:vMerge w:val="continue"/>
            <w:vAlign w:val="center"/>
          </w:tcPr>
          <w:p w14:paraId="5886F45A">
            <w:pPr>
              <w:spacing w:line="240" w:lineRule="auto"/>
              <w:ind w:firstLine="0" w:firstLineChars="0"/>
              <w:jc w:val="center"/>
              <w:rPr>
                <w:sz w:val="21"/>
                <w:szCs w:val="21"/>
                <w:u w:val="single"/>
              </w:rPr>
            </w:pPr>
          </w:p>
        </w:tc>
        <w:tc>
          <w:tcPr>
            <w:tcW w:w="1454" w:type="pct"/>
            <w:vMerge w:val="restart"/>
            <w:vAlign w:val="center"/>
          </w:tcPr>
          <w:p w14:paraId="4C58F7B0">
            <w:pPr>
              <w:spacing w:line="240" w:lineRule="auto"/>
              <w:ind w:firstLine="0" w:firstLineChars="0"/>
              <w:jc w:val="center"/>
              <w:rPr>
                <w:rFonts w:eastAsiaTheme="minorEastAsia"/>
                <w:sz w:val="21"/>
                <w:szCs w:val="21"/>
                <w:u w:val="single"/>
              </w:rPr>
            </w:pPr>
            <w:r>
              <w:rPr>
                <w:rFonts w:hint="eastAsia" w:eastAsiaTheme="minorEastAsia"/>
                <w:sz w:val="21"/>
                <w:szCs w:val="21"/>
                <w:u w:val="single"/>
              </w:rPr>
              <w:t>聚醚改性硅油</w:t>
            </w:r>
          </w:p>
        </w:tc>
        <w:tc>
          <w:tcPr>
            <w:tcW w:w="1584" w:type="pct"/>
            <w:vMerge w:val="continue"/>
            <w:vAlign w:val="center"/>
          </w:tcPr>
          <w:p w14:paraId="0C22F05C">
            <w:pPr>
              <w:spacing w:line="240" w:lineRule="auto"/>
              <w:ind w:firstLine="0" w:firstLineChars="0"/>
              <w:jc w:val="center"/>
              <w:rPr>
                <w:szCs w:val="21"/>
                <w:u w:val="single"/>
              </w:rPr>
            </w:pPr>
          </w:p>
        </w:tc>
      </w:tr>
      <w:tr w14:paraId="7AE684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7" w:type="pct"/>
            <w:vMerge w:val="continue"/>
            <w:vAlign w:val="center"/>
          </w:tcPr>
          <w:p w14:paraId="344D2105">
            <w:pPr>
              <w:spacing w:line="240" w:lineRule="auto"/>
              <w:ind w:firstLine="0" w:firstLineChars="0"/>
              <w:jc w:val="center"/>
              <w:rPr>
                <w:sz w:val="21"/>
                <w:szCs w:val="21"/>
                <w:u w:val="single"/>
              </w:rPr>
            </w:pPr>
          </w:p>
        </w:tc>
        <w:tc>
          <w:tcPr>
            <w:tcW w:w="770" w:type="pct"/>
            <w:vMerge w:val="continue"/>
            <w:vAlign w:val="center"/>
          </w:tcPr>
          <w:p w14:paraId="0DF89C81">
            <w:pPr>
              <w:spacing w:line="240" w:lineRule="auto"/>
              <w:ind w:firstLine="0" w:firstLineChars="0"/>
              <w:jc w:val="center"/>
              <w:rPr>
                <w:sz w:val="21"/>
                <w:szCs w:val="21"/>
                <w:u w:val="single"/>
              </w:rPr>
            </w:pPr>
          </w:p>
        </w:tc>
        <w:tc>
          <w:tcPr>
            <w:tcW w:w="684" w:type="pct"/>
            <w:vAlign w:val="center"/>
          </w:tcPr>
          <w:p w14:paraId="1598B29E">
            <w:pPr>
              <w:spacing w:line="240" w:lineRule="auto"/>
              <w:ind w:firstLine="0" w:firstLineChars="0"/>
              <w:jc w:val="center"/>
              <w:rPr>
                <w:sz w:val="21"/>
                <w:szCs w:val="21"/>
                <w:u w:val="single"/>
              </w:rPr>
            </w:pPr>
            <w:r>
              <w:rPr>
                <w:rFonts w:hint="eastAsia"/>
                <w:sz w:val="21"/>
                <w:szCs w:val="21"/>
                <w:u w:val="single"/>
              </w:rPr>
              <w:t>搅拌罐、自动灌装机</w:t>
            </w:r>
          </w:p>
        </w:tc>
        <w:tc>
          <w:tcPr>
            <w:tcW w:w="1454" w:type="pct"/>
            <w:vMerge w:val="continue"/>
            <w:vAlign w:val="center"/>
          </w:tcPr>
          <w:p w14:paraId="1E092241">
            <w:pPr>
              <w:spacing w:line="240" w:lineRule="auto"/>
              <w:ind w:firstLine="0" w:firstLineChars="0"/>
              <w:jc w:val="center"/>
              <w:rPr>
                <w:sz w:val="21"/>
                <w:szCs w:val="21"/>
                <w:u w:val="single"/>
              </w:rPr>
            </w:pPr>
          </w:p>
        </w:tc>
        <w:tc>
          <w:tcPr>
            <w:tcW w:w="1584" w:type="pct"/>
            <w:vMerge w:val="continue"/>
            <w:vAlign w:val="center"/>
          </w:tcPr>
          <w:p w14:paraId="5F73DCB2">
            <w:pPr>
              <w:spacing w:line="240" w:lineRule="auto"/>
              <w:ind w:firstLine="0" w:firstLineChars="0"/>
              <w:jc w:val="center"/>
              <w:rPr>
                <w:szCs w:val="21"/>
                <w:u w:val="single"/>
              </w:rPr>
            </w:pPr>
          </w:p>
        </w:tc>
      </w:tr>
    </w:tbl>
    <w:p w14:paraId="2B744E14">
      <w:pPr>
        <w:pStyle w:val="99"/>
        <w:numPr>
          <w:ilvl w:val="4"/>
          <w:numId w:val="42"/>
        </w:numPr>
        <w:ind w:left="0" w:firstLine="480"/>
        <w:rPr>
          <w:rFonts w:eastAsia="黑体"/>
        </w:rPr>
      </w:pPr>
      <w:r>
        <w:rPr>
          <w:rFonts w:hint="eastAsia" w:eastAsia="黑体"/>
        </w:rPr>
        <w:t xml:space="preserve">         危险物质生产系统最大在线量</w:t>
      </w:r>
    </w:p>
    <w:tbl>
      <w:tblPr>
        <w:tblStyle w:val="4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0"/>
        <w:gridCol w:w="2551"/>
        <w:gridCol w:w="1133"/>
        <w:gridCol w:w="1699"/>
        <w:gridCol w:w="1353"/>
      </w:tblGrid>
      <w:tr w14:paraId="4346F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550" w:type="dxa"/>
            <w:vAlign w:val="center"/>
          </w:tcPr>
          <w:p w14:paraId="30F9DE6B">
            <w:pPr>
              <w:spacing w:line="240" w:lineRule="auto"/>
              <w:ind w:firstLine="0" w:firstLineChars="0"/>
              <w:jc w:val="center"/>
              <w:rPr>
                <w:b/>
                <w:sz w:val="21"/>
                <w:szCs w:val="21"/>
                <w:u w:val="single"/>
              </w:rPr>
            </w:pPr>
            <w:r>
              <w:rPr>
                <w:b/>
                <w:sz w:val="21"/>
                <w:szCs w:val="21"/>
                <w:u w:val="single"/>
              </w:rPr>
              <w:t>物质</w:t>
            </w:r>
          </w:p>
        </w:tc>
        <w:tc>
          <w:tcPr>
            <w:tcW w:w="2551" w:type="dxa"/>
            <w:vAlign w:val="center"/>
          </w:tcPr>
          <w:p w14:paraId="7CD68410">
            <w:pPr>
              <w:spacing w:line="240" w:lineRule="auto"/>
              <w:ind w:firstLine="0" w:firstLineChars="0"/>
              <w:jc w:val="center"/>
              <w:rPr>
                <w:b/>
                <w:sz w:val="21"/>
                <w:szCs w:val="21"/>
                <w:u w:val="single"/>
              </w:rPr>
            </w:pPr>
            <w:r>
              <w:rPr>
                <w:b/>
                <w:sz w:val="21"/>
                <w:szCs w:val="21"/>
                <w:u w:val="single"/>
              </w:rPr>
              <w:t>生产系统最大在线量</w:t>
            </w:r>
            <w:r>
              <w:rPr>
                <w:rFonts w:hint="eastAsia"/>
                <w:b/>
                <w:sz w:val="21"/>
                <w:szCs w:val="21"/>
                <w:u w:val="single"/>
              </w:rPr>
              <w:t>/t</w:t>
            </w:r>
          </w:p>
        </w:tc>
        <w:tc>
          <w:tcPr>
            <w:tcW w:w="1133" w:type="dxa"/>
            <w:vAlign w:val="center"/>
          </w:tcPr>
          <w:p w14:paraId="4C9547CF">
            <w:pPr>
              <w:spacing w:line="240" w:lineRule="auto"/>
              <w:ind w:firstLine="0" w:firstLineChars="0"/>
              <w:jc w:val="center"/>
              <w:rPr>
                <w:b/>
                <w:sz w:val="21"/>
                <w:szCs w:val="21"/>
                <w:u w:val="single"/>
              </w:rPr>
            </w:pPr>
            <w:r>
              <w:rPr>
                <w:b/>
                <w:sz w:val="21"/>
                <w:szCs w:val="21"/>
                <w:u w:val="single"/>
              </w:rPr>
              <w:t>物料性状</w:t>
            </w:r>
          </w:p>
        </w:tc>
        <w:tc>
          <w:tcPr>
            <w:tcW w:w="1699" w:type="dxa"/>
            <w:vAlign w:val="center"/>
          </w:tcPr>
          <w:p w14:paraId="15F09C8E">
            <w:pPr>
              <w:spacing w:line="240" w:lineRule="auto"/>
              <w:ind w:firstLine="0" w:firstLineChars="0"/>
              <w:jc w:val="center"/>
              <w:rPr>
                <w:b/>
                <w:sz w:val="21"/>
                <w:szCs w:val="21"/>
                <w:u w:val="single"/>
              </w:rPr>
            </w:pPr>
            <w:r>
              <w:rPr>
                <w:b/>
                <w:sz w:val="21"/>
                <w:szCs w:val="21"/>
                <w:u w:val="single"/>
              </w:rPr>
              <w:t>所在设备</w:t>
            </w:r>
          </w:p>
        </w:tc>
        <w:tc>
          <w:tcPr>
            <w:tcW w:w="1353" w:type="dxa"/>
            <w:vAlign w:val="center"/>
          </w:tcPr>
          <w:p w14:paraId="4AB2AA95">
            <w:pPr>
              <w:spacing w:line="240" w:lineRule="auto"/>
              <w:ind w:firstLine="0" w:firstLineChars="0"/>
              <w:jc w:val="center"/>
              <w:rPr>
                <w:b/>
                <w:sz w:val="21"/>
                <w:szCs w:val="21"/>
                <w:u w:val="single"/>
              </w:rPr>
            </w:pPr>
            <w:r>
              <w:rPr>
                <w:b/>
                <w:sz w:val="21"/>
                <w:szCs w:val="21"/>
                <w:u w:val="single"/>
              </w:rPr>
              <w:t>工程位置</w:t>
            </w:r>
          </w:p>
        </w:tc>
      </w:tr>
      <w:tr w14:paraId="58936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550" w:type="dxa"/>
            <w:vAlign w:val="center"/>
          </w:tcPr>
          <w:p w14:paraId="154DF94D">
            <w:pPr>
              <w:spacing w:line="240" w:lineRule="auto"/>
              <w:ind w:firstLine="0" w:firstLineChars="0"/>
              <w:jc w:val="center"/>
              <w:rPr>
                <w:sz w:val="21"/>
                <w:szCs w:val="21"/>
                <w:u w:val="single"/>
              </w:rPr>
            </w:pPr>
            <w:r>
              <w:rPr>
                <w:rFonts w:hint="eastAsia"/>
                <w:sz w:val="21"/>
                <w:szCs w:val="21"/>
                <w:u w:val="single"/>
              </w:rPr>
              <w:t>D4（八甲基环四硅氧烷）</w:t>
            </w:r>
          </w:p>
        </w:tc>
        <w:tc>
          <w:tcPr>
            <w:tcW w:w="2551" w:type="dxa"/>
            <w:vAlign w:val="center"/>
          </w:tcPr>
          <w:p w14:paraId="6B61B871">
            <w:pPr>
              <w:spacing w:line="240" w:lineRule="auto"/>
              <w:ind w:firstLine="0" w:firstLineChars="0"/>
              <w:jc w:val="center"/>
              <w:rPr>
                <w:sz w:val="21"/>
                <w:szCs w:val="21"/>
                <w:u w:val="single"/>
              </w:rPr>
            </w:pPr>
            <w:r>
              <w:rPr>
                <w:rFonts w:hint="eastAsia"/>
                <w:sz w:val="21"/>
                <w:szCs w:val="21"/>
                <w:u w:val="single"/>
              </w:rPr>
              <w:t>3.0765</w:t>
            </w:r>
          </w:p>
        </w:tc>
        <w:tc>
          <w:tcPr>
            <w:tcW w:w="1133" w:type="dxa"/>
            <w:vAlign w:val="center"/>
          </w:tcPr>
          <w:p w14:paraId="1EEDAD1B">
            <w:pPr>
              <w:spacing w:line="240" w:lineRule="auto"/>
              <w:ind w:firstLine="0" w:firstLineChars="0"/>
              <w:jc w:val="center"/>
              <w:rPr>
                <w:sz w:val="21"/>
                <w:szCs w:val="21"/>
                <w:u w:val="single"/>
              </w:rPr>
            </w:pPr>
            <w:r>
              <w:rPr>
                <w:sz w:val="21"/>
                <w:szCs w:val="21"/>
                <w:u w:val="single"/>
              </w:rPr>
              <w:t>液态</w:t>
            </w:r>
          </w:p>
        </w:tc>
        <w:tc>
          <w:tcPr>
            <w:tcW w:w="1699" w:type="dxa"/>
            <w:vAlign w:val="center"/>
          </w:tcPr>
          <w:p w14:paraId="1F16A792">
            <w:pPr>
              <w:spacing w:line="240" w:lineRule="auto"/>
              <w:ind w:firstLine="0" w:firstLineChars="0"/>
              <w:jc w:val="center"/>
              <w:rPr>
                <w:sz w:val="21"/>
                <w:szCs w:val="21"/>
                <w:u w:val="single"/>
              </w:rPr>
            </w:pPr>
            <w:r>
              <w:rPr>
                <w:sz w:val="21"/>
                <w:szCs w:val="21"/>
                <w:u w:val="single"/>
              </w:rPr>
              <w:t>生产系统内</w:t>
            </w:r>
          </w:p>
        </w:tc>
        <w:tc>
          <w:tcPr>
            <w:tcW w:w="1353" w:type="dxa"/>
            <w:vMerge w:val="restart"/>
            <w:vAlign w:val="center"/>
          </w:tcPr>
          <w:p w14:paraId="43275FCF">
            <w:pPr>
              <w:spacing w:line="240" w:lineRule="auto"/>
              <w:ind w:firstLine="0" w:firstLineChars="0"/>
              <w:jc w:val="center"/>
              <w:rPr>
                <w:sz w:val="21"/>
                <w:szCs w:val="21"/>
                <w:u w:val="single"/>
              </w:rPr>
            </w:pPr>
            <w:r>
              <w:rPr>
                <w:rFonts w:hint="eastAsia"/>
                <w:sz w:val="21"/>
                <w:szCs w:val="21"/>
                <w:u w:val="single"/>
              </w:rPr>
              <w:t>反应釜区</w:t>
            </w:r>
          </w:p>
        </w:tc>
      </w:tr>
      <w:tr w14:paraId="3E292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550" w:type="dxa"/>
            <w:vAlign w:val="center"/>
          </w:tcPr>
          <w:p w14:paraId="29922664">
            <w:pPr>
              <w:spacing w:line="240" w:lineRule="auto"/>
              <w:ind w:firstLine="0" w:firstLineChars="0"/>
              <w:jc w:val="center"/>
              <w:rPr>
                <w:sz w:val="21"/>
                <w:szCs w:val="21"/>
                <w:u w:val="single"/>
              </w:rPr>
            </w:pPr>
            <w:r>
              <w:rPr>
                <w:rFonts w:hint="eastAsia"/>
                <w:sz w:val="21"/>
                <w:szCs w:val="21"/>
                <w:u w:val="single"/>
              </w:rPr>
              <w:t>硫酸</w:t>
            </w:r>
          </w:p>
        </w:tc>
        <w:tc>
          <w:tcPr>
            <w:tcW w:w="2551" w:type="dxa"/>
            <w:vAlign w:val="center"/>
          </w:tcPr>
          <w:p w14:paraId="66D7A092">
            <w:pPr>
              <w:spacing w:line="240" w:lineRule="auto"/>
              <w:ind w:firstLine="0" w:firstLineChars="0"/>
              <w:jc w:val="center"/>
              <w:rPr>
                <w:sz w:val="21"/>
                <w:szCs w:val="21"/>
                <w:u w:val="single"/>
              </w:rPr>
            </w:pPr>
            <w:r>
              <w:rPr>
                <w:rFonts w:hint="eastAsia"/>
                <w:sz w:val="21"/>
                <w:szCs w:val="21"/>
                <w:u w:val="single"/>
              </w:rPr>
              <w:t>0.04</w:t>
            </w:r>
          </w:p>
        </w:tc>
        <w:tc>
          <w:tcPr>
            <w:tcW w:w="1133" w:type="dxa"/>
            <w:vAlign w:val="center"/>
          </w:tcPr>
          <w:p w14:paraId="7937DD7F">
            <w:pPr>
              <w:spacing w:line="240" w:lineRule="auto"/>
              <w:ind w:firstLine="0" w:firstLineChars="0"/>
              <w:jc w:val="center"/>
              <w:rPr>
                <w:sz w:val="21"/>
                <w:szCs w:val="21"/>
                <w:u w:val="single"/>
              </w:rPr>
            </w:pPr>
            <w:r>
              <w:rPr>
                <w:sz w:val="21"/>
                <w:szCs w:val="21"/>
                <w:u w:val="single"/>
              </w:rPr>
              <w:t>液态</w:t>
            </w:r>
          </w:p>
        </w:tc>
        <w:tc>
          <w:tcPr>
            <w:tcW w:w="1699" w:type="dxa"/>
            <w:vAlign w:val="center"/>
          </w:tcPr>
          <w:p w14:paraId="6F3956E2">
            <w:pPr>
              <w:spacing w:line="240" w:lineRule="auto"/>
              <w:ind w:firstLine="0" w:firstLineChars="0"/>
              <w:jc w:val="center"/>
              <w:rPr>
                <w:sz w:val="21"/>
                <w:szCs w:val="21"/>
                <w:u w:val="single"/>
              </w:rPr>
            </w:pPr>
            <w:r>
              <w:rPr>
                <w:sz w:val="21"/>
                <w:szCs w:val="21"/>
                <w:u w:val="single"/>
              </w:rPr>
              <w:t>生产系统内</w:t>
            </w:r>
          </w:p>
        </w:tc>
        <w:tc>
          <w:tcPr>
            <w:tcW w:w="1353" w:type="dxa"/>
            <w:vMerge w:val="continue"/>
            <w:vAlign w:val="center"/>
          </w:tcPr>
          <w:p w14:paraId="05C6FEC9">
            <w:pPr>
              <w:spacing w:line="240" w:lineRule="auto"/>
              <w:ind w:firstLine="0" w:firstLineChars="0"/>
              <w:jc w:val="center"/>
              <w:rPr>
                <w:sz w:val="21"/>
                <w:szCs w:val="21"/>
                <w:u w:val="single"/>
              </w:rPr>
            </w:pPr>
          </w:p>
        </w:tc>
      </w:tr>
      <w:tr w14:paraId="51EC4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550" w:type="dxa"/>
            <w:vAlign w:val="center"/>
          </w:tcPr>
          <w:p w14:paraId="512E539C">
            <w:pPr>
              <w:spacing w:line="240" w:lineRule="auto"/>
              <w:ind w:firstLine="0" w:firstLineChars="0"/>
              <w:jc w:val="center"/>
              <w:rPr>
                <w:sz w:val="21"/>
                <w:szCs w:val="21"/>
                <w:u w:val="single"/>
              </w:rPr>
            </w:pPr>
            <w:r>
              <w:rPr>
                <w:rFonts w:hint="eastAsia"/>
                <w:sz w:val="21"/>
                <w:szCs w:val="21"/>
                <w:u w:val="single"/>
              </w:rPr>
              <w:t>导热油</w:t>
            </w:r>
          </w:p>
        </w:tc>
        <w:tc>
          <w:tcPr>
            <w:tcW w:w="2551" w:type="dxa"/>
            <w:vAlign w:val="center"/>
          </w:tcPr>
          <w:p w14:paraId="794A664E">
            <w:pPr>
              <w:spacing w:line="240" w:lineRule="auto"/>
              <w:ind w:firstLine="0" w:firstLineChars="0"/>
              <w:jc w:val="center"/>
              <w:rPr>
                <w:sz w:val="21"/>
                <w:szCs w:val="21"/>
                <w:u w:val="single"/>
              </w:rPr>
            </w:pPr>
            <w:r>
              <w:rPr>
                <w:rFonts w:hint="eastAsia"/>
                <w:sz w:val="21"/>
                <w:szCs w:val="21"/>
                <w:u w:val="single"/>
              </w:rPr>
              <w:t>14</w:t>
            </w:r>
          </w:p>
        </w:tc>
        <w:tc>
          <w:tcPr>
            <w:tcW w:w="1133" w:type="dxa"/>
            <w:vAlign w:val="center"/>
          </w:tcPr>
          <w:p w14:paraId="3643A7FC">
            <w:pPr>
              <w:spacing w:line="240" w:lineRule="auto"/>
              <w:ind w:firstLine="0" w:firstLineChars="0"/>
              <w:jc w:val="center"/>
              <w:rPr>
                <w:sz w:val="21"/>
                <w:szCs w:val="21"/>
                <w:u w:val="single"/>
              </w:rPr>
            </w:pPr>
            <w:r>
              <w:rPr>
                <w:sz w:val="21"/>
                <w:szCs w:val="21"/>
                <w:u w:val="single"/>
              </w:rPr>
              <w:t>液态</w:t>
            </w:r>
          </w:p>
        </w:tc>
        <w:tc>
          <w:tcPr>
            <w:tcW w:w="1699" w:type="dxa"/>
            <w:vAlign w:val="center"/>
          </w:tcPr>
          <w:p w14:paraId="5C904CE1">
            <w:pPr>
              <w:spacing w:line="240" w:lineRule="auto"/>
              <w:ind w:firstLine="0" w:firstLineChars="0"/>
              <w:jc w:val="center"/>
              <w:rPr>
                <w:sz w:val="21"/>
                <w:szCs w:val="21"/>
                <w:u w:val="single"/>
              </w:rPr>
            </w:pPr>
            <w:r>
              <w:rPr>
                <w:sz w:val="21"/>
                <w:szCs w:val="21"/>
                <w:u w:val="single"/>
              </w:rPr>
              <w:t>生产系统内</w:t>
            </w:r>
          </w:p>
        </w:tc>
        <w:tc>
          <w:tcPr>
            <w:tcW w:w="1353" w:type="dxa"/>
            <w:vMerge w:val="continue"/>
            <w:vAlign w:val="center"/>
          </w:tcPr>
          <w:p w14:paraId="26E247E1">
            <w:pPr>
              <w:spacing w:line="240" w:lineRule="auto"/>
              <w:ind w:firstLine="0" w:firstLineChars="0"/>
              <w:jc w:val="center"/>
              <w:rPr>
                <w:sz w:val="21"/>
                <w:szCs w:val="21"/>
                <w:u w:val="single"/>
              </w:rPr>
            </w:pPr>
          </w:p>
        </w:tc>
      </w:tr>
      <w:tr w14:paraId="6E8BB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550" w:type="dxa"/>
            <w:vAlign w:val="center"/>
          </w:tcPr>
          <w:p w14:paraId="3F0B3EC0">
            <w:pPr>
              <w:spacing w:line="240" w:lineRule="auto"/>
              <w:ind w:firstLine="0" w:firstLineChars="0"/>
              <w:jc w:val="center"/>
              <w:rPr>
                <w:sz w:val="21"/>
                <w:szCs w:val="21"/>
                <w:u w:val="single"/>
              </w:rPr>
            </w:pPr>
            <w:r>
              <w:rPr>
                <w:rFonts w:hint="eastAsia"/>
                <w:sz w:val="21"/>
                <w:szCs w:val="21"/>
                <w:u w:val="single"/>
              </w:rPr>
              <w:t>双氧水</w:t>
            </w:r>
          </w:p>
        </w:tc>
        <w:tc>
          <w:tcPr>
            <w:tcW w:w="2551" w:type="dxa"/>
            <w:vAlign w:val="center"/>
          </w:tcPr>
          <w:p w14:paraId="2D731EFF">
            <w:pPr>
              <w:spacing w:line="240" w:lineRule="auto"/>
              <w:ind w:firstLine="0" w:firstLineChars="0"/>
              <w:jc w:val="center"/>
              <w:rPr>
                <w:sz w:val="21"/>
                <w:szCs w:val="21"/>
                <w:u w:val="single"/>
              </w:rPr>
            </w:pPr>
            <w:r>
              <w:rPr>
                <w:rFonts w:hint="eastAsia"/>
                <w:sz w:val="21"/>
                <w:szCs w:val="21"/>
                <w:u w:val="single"/>
              </w:rPr>
              <w:t>0.005</w:t>
            </w:r>
          </w:p>
        </w:tc>
        <w:tc>
          <w:tcPr>
            <w:tcW w:w="1133" w:type="dxa"/>
            <w:vAlign w:val="center"/>
          </w:tcPr>
          <w:p w14:paraId="3478EEE9">
            <w:pPr>
              <w:spacing w:line="240" w:lineRule="auto"/>
              <w:ind w:firstLine="0" w:firstLineChars="0"/>
              <w:jc w:val="center"/>
              <w:rPr>
                <w:sz w:val="21"/>
                <w:szCs w:val="21"/>
                <w:u w:val="single"/>
              </w:rPr>
            </w:pPr>
            <w:r>
              <w:rPr>
                <w:sz w:val="21"/>
                <w:szCs w:val="21"/>
                <w:u w:val="single"/>
              </w:rPr>
              <w:t>液态</w:t>
            </w:r>
          </w:p>
        </w:tc>
        <w:tc>
          <w:tcPr>
            <w:tcW w:w="1699" w:type="dxa"/>
            <w:vAlign w:val="center"/>
          </w:tcPr>
          <w:p w14:paraId="1E72250E">
            <w:pPr>
              <w:spacing w:line="240" w:lineRule="auto"/>
              <w:ind w:firstLine="0" w:firstLineChars="0"/>
              <w:jc w:val="center"/>
              <w:rPr>
                <w:sz w:val="21"/>
                <w:szCs w:val="21"/>
                <w:u w:val="single"/>
              </w:rPr>
            </w:pPr>
            <w:r>
              <w:rPr>
                <w:sz w:val="21"/>
                <w:szCs w:val="21"/>
                <w:u w:val="single"/>
              </w:rPr>
              <w:t>生产系统内</w:t>
            </w:r>
          </w:p>
        </w:tc>
        <w:tc>
          <w:tcPr>
            <w:tcW w:w="1353" w:type="dxa"/>
            <w:vMerge w:val="continue"/>
            <w:vAlign w:val="center"/>
          </w:tcPr>
          <w:p w14:paraId="1C045DB5">
            <w:pPr>
              <w:spacing w:line="240" w:lineRule="auto"/>
              <w:ind w:firstLine="0" w:firstLineChars="0"/>
              <w:jc w:val="center"/>
              <w:rPr>
                <w:sz w:val="21"/>
                <w:szCs w:val="21"/>
                <w:u w:val="single"/>
              </w:rPr>
            </w:pPr>
          </w:p>
        </w:tc>
      </w:tr>
      <w:tr w14:paraId="0E1E0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550" w:type="dxa"/>
            <w:vAlign w:val="center"/>
          </w:tcPr>
          <w:p w14:paraId="15ADEDCD">
            <w:pPr>
              <w:spacing w:line="240" w:lineRule="auto"/>
              <w:ind w:firstLine="0" w:firstLineChars="0"/>
              <w:jc w:val="center"/>
              <w:rPr>
                <w:sz w:val="21"/>
                <w:szCs w:val="21"/>
                <w:u w:val="single"/>
              </w:rPr>
            </w:pPr>
            <w:r>
              <w:rPr>
                <w:rFonts w:hint="eastAsia" w:eastAsiaTheme="minorEastAsia"/>
                <w:bCs/>
                <w:sz w:val="21"/>
                <w:szCs w:val="21"/>
                <w:u w:val="single"/>
              </w:rPr>
              <w:t>二丙二醇</w:t>
            </w:r>
          </w:p>
        </w:tc>
        <w:tc>
          <w:tcPr>
            <w:tcW w:w="2551" w:type="dxa"/>
            <w:vAlign w:val="center"/>
          </w:tcPr>
          <w:p w14:paraId="4C889548">
            <w:pPr>
              <w:spacing w:line="240" w:lineRule="auto"/>
              <w:ind w:firstLine="0" w:firstLineChars="0"/>
              <w:jc w:val="center"/>
              <w:rPr>
                <w:sz w:val="21"/>
                <w:szCs w:val="21"/>
                <w:u w:val="single"/>
              </w:rPr>
            </w:pPr>
            <w:r>
              <w:rPr>
                <w:rFonts w:hint="eastAsia"/>
                <w:bCs/>
                <w:sz w:val="21"/>
                <w:szCs w:val="21"/>
                <w:u w:val="single"/>
              </w:rPr>
              <w:t>15.84064</w:t>
            </w:r>
          </w:p>
        </w:tc>
        <w:tc>
          <w:tcPr>
            <w:tcW w:w="1133" w:type="dxa"/>
            <w:vAlign w:val="center"/>
          </w:tcPr>
          <w:p w14:paraId="2ED3D3C2">
            <w:pPr>
              <w:spacing w:line="240" w:lineRule="auto"/>
              <w:ind w:firstLine="0" w:firstLineChars="0"/>
              <w:jc w:val="center"/>
              <w:rPr>
                <w:sz w:val="21"/>
                <w:szCs w:val="21"/>
                <w:u w:val="single"/>
              </w:rPr>
            </w:pPr>
            <w:r>
              <w:rPr>
                <w:sz w:val="21"/>
                <w:szCs w:val="21"/>
                <w:u w:val="single"/>
              </w:rPr>
              <w:t>液态</w:t>
            </w:r>
          </w:p>
        </w:tc>
        <w:tc>
          <w:tcPr>
            <w:tcW w:w="1699" w:type="dxa"/>
            <w:vAlign w:val="center"/>
          </w:tcPr>
          <w:p w14:paraId="0F6F82D6">
            <w:pPr>
              <w:spacing w:line="240" w:lineRule="auto"/>
              <w:ind w:firstLine="0" w:firstLineChars="0"/>
              <w:jc w:val="center"/>
              <w:rPr>
                <w:sz w:val="21"/>
                <w:szCs w:val="21"/>
                <w:u w:val="single"/>
              </w:rPr>
            </w:pPr>
            <w:r>
              <w:rPr>
                <w:sz w:val="21"/>
                <w:szCs w:val="21"/>
                <w:u w:val="single"/>
              </w:rPr>
              <w:t>生产系统内</w:t>
            </w:r>
          </w:p>
        </w:tc>
        <w:tc>
          <w:tcPr>
            <w:tcW w:w="1353" w:type="dxa"/>
            <w:vMerge w:val="continue"/>
            <w:vAlign w:val="center"/>
          </w:tcPr>
          <w:p w14:paraId="43FAF88D">
            <w:pPr>
              <w:spacing w:line="240" w:lineRule="auto"/>
              <w:ind w:firstLine="0" w:firstLineChars="0"/>
              <w:jc w:val="center"/>
              <w:rPr>
                <w:sz w:val="21"/>
                <w:szCs w:val="21"/>
                <w:u w:val="single"/>
              </w:rPr>
            </w:pPr>
          </w:p>
        </w:tc>
      </w:tr>
      <w:tr w14:paraId="28E3B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550" w:type="dxa"/>
            <w:vAlign w:val="center"/>
          </w:tcPr>
          <w:p w14:paraId="1D2C4CBE">
            <w:pPr>
              <w:spacing w:line="240" w:lineRule="auto"/>
              <w:ind w:firstLine="0" w:firstLineChars="0"/>
              <w:jc w:val="center"/>
              <w:rPr>
                <w:rFonts w:eastAsiaTheme="minorEastAsia"/>
                <w:sz w:val="21"/>
                <w:szCs w:val="21"/>
                <w:u w:val="single"/>
              </w:rPr>
            </w:pPr>
            <w:r>
              <w:rPr>
                <w:rFonts w:hint="eastAsia" w:eastAsiaTheme="minorEastAsia"/>
                <w:sz w:val="21"/>
                <w:szCs w:val="21"/>
                <w:u w:val="single"/>
              </w:rPr>
              <w:t>K</w:t>
            </w:r>
            <w:r>
              <w:rPr>
                <w:rFonts w:eastAsiaTheme="minorEastAsia"/>
                <w:sz w:val="21"/>
                <w:szCs w:val="21"/>
                <w:u w:val="single"/>
              </w:rPr>
              <w:t>F-99</w:t>
            </w:r>
          </w:p>
          <w:p w14:paraId="4BAAF533">
            <w:pPr>
              <w:spacing w:line="240" w:lineRule="auto"/>
              <w:ind w:firstLine="0" w:firstLineChars="0"/>
              <w:jc w:val="center"/>
              <w:rPr>
                <w:rFonts w:eastAsiaTheme="minorEastAsia"/>
                <w:sz w:val="21"/>
                <w:szCs w:val="21"/>
                <w:u w:val="single"/>
              </w:rPr>
            </w:pPr>
            <w:r>
              <w:rPr>
                <w:rFonts w:hint="eastAsia" w:eastAsiaTheme="minorEastAsia"/>
                <w:sz w:val="21"/>
                <w:szCs w:val="21"/>
                <w:u w:val="single"/>
              </w:rPr>
              <w:t>（</w:t>
            </w:r>
            <w:r>
              <w:rPr>
                <w:rFonts w:eastAsiaTheme="minorEastAsia"/>
                <w:sz w:val="21"/>
                <w:szCs w:val="21"/>
                <w:u w:val="single"/>
              </w:rPr>
              <w:t>高含氢硅油</w:t>
            </w:r>
            <w:r>
              <w:rPr>
                <w:rFonts w:hint="eastAsia" w:eastAsiaTheme="minorEastAsia"/>
                <w:sz w:val="21"/>
                <w:szCs w:val="21"/>
                <w:u w:val="single"/>
              </w:rPr>
              <w:t>）</w:t>
            </w:r>
          </w:p>
        </w:tc>
        <w:tc>
          <w:tcPr>
            <w:tcW w:w="2551" w:type="dxa"/>
            <w:vAlign w:val="center"/>
          </w:tcPr>
          <w:p w14:paraId="788D917F">
            <w:pPr>
              <w:spacing w:line="240" w:lineRule="auto"/>
              <w:ind w:firstLine="0" w:firstLineChars="0"/>
              <w:jc w:val="center"/>
              <w:rPr>
                <w:sz w:val="21"/>
                <w:szCs w:val="21"/>
                <w:u w:val="single"/>
              </w:rPr>
            </w:pPr>
            <w:r>
              <w:rPr>
                <w:rFonts w:hint="eastAsia" w:eastAsiaTheme="minorEastAsia"/>
                <w:sz w:val="21"/>
                <w:szCs w:val="21"/>
                <w:u w:val="single"/>
              </w:rPr>
              <w:t>0.0104</w:t>
            </w:r>
          </w:p>
        </w:tc>
        <w:tc>
          <w:tcPr>
            <w:tcW w:w="1133" w:type="dxa"/>
            <w:vAlign w:val="center"/>
          </w:tcPr>
          <w:p w14:paraId="6A13AB85">
            <w:pPr>
              <w:spacing w:line="240" w:lineRule="auto"/>
              <w:ind w:firstLine="0" w:firstLineChars="0"/>
              <w:jc w:val="center"/>
              <w:rPr>
                <w:sz w:val="21"/>
                <w:szCs w:val="21"/>
                <w:u w:val="single"/>
              </w:rPr>
            </w:pPr>
            <w:r>
              <w:rPr>
                <w:rFonts w:hint="eastAsia" w:eastAsiaTheme="minorEastAsia"/>
                <w:sz w:val="21"/>
                <w:szCs w:val="21"/>
                <w:u w:val="single"/>
              </w:rPr>
              <w:t>液态</w:t>
            </w:r>
          </w:p>
        </w:tc>
        <w:tc>
          <w:tcPr>
            <w:tcW w:w="1699" w:type="dxa"/>
            <w:vAlign w:val="center"/>
          </w:tcPr>
          <w:p w14:paraId="0FA80D39">
            <w:pPr>
              <w:spacing w:line="240" w:lineRule="auto"/>
              <w:ind w:firstLine="0" w:firstLineChars="0"/>
              <w:jc w:val="center"/>
              <w:rPr>
                <w:sz w:val="21"/>
                <w:szCs w:val="21"/>
                <w:u w:val="single"/>
              </w:rPr>
            </w:pPr>
            <w:r>
              <w:rPr>
                <w:sz w:val="21"/>
                <w:szCs w:val="21"/>
                <w:u w:val="single"/>
              </w:rPr>
              <w:t>生产系统内</w:t>
            </w:r>
          </w:p>
        </w:tc>
        <w:tc>
          <w:tcPr>
            <w:tcW w:w="1353" w:type="dxa"/>
            <w:vMerge w:val="continue"/>
            <w:vAlign w:val="center"/>
          </w:tcPr>
          <w:p w14:paraId="3D0FF982">
            <w:pPr>
              <w:spacing w:line="240" w:lineRule="auto"/>
              <w:ind w:firstLine="0" w:firstLineChars="0"/>
              <w:jc w:val="center"/>
              <w:rPr>
                <w:sz w:val="21"/>
                <w:szCs w:val="21"/>
                <w:u w:val="single"/>
              </w:rPr>
            </w:pPr>
          </w:p>
        </w:tc>
      </w:tr>
      <w:tr w14:paraId="379E4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550" w:type="dxa"/>
            <w:vAlign w:val="center"/>
          </w:tcPr>
          <w:p w14:paraId="098B19E3">
            <w:pPr>
              <w:spacing w:line="240" w:lineRule="auto"/>
              <w:ind w:firstLine="0" w:firstLineChars="0"/>
              <w:jc w:val="center"/>
              <w:rPr>
                <w:sz w:val="21"/>
                <w:szCs w:val="21"/>
                <w:u w:val="single"/>
              </w:rPr>
            </w:pPr>
            <w:r>
              <w:rPr>
                <w:rFonts w:hint="eastAsia" w:eastAsiaTheme="minorEastAsia"/>
                <w:sz w:val="21"/>
                <w:szCs w:val="21"/>
                <w:u w:val="single"/>
              </w:rPr>
              <w:t>低含氢硅油</w:t>
            </w:r>
          </w:p>
        </w:tc>
        <w:tc>
          <w:tcPr>
            <w:tcW w:w="2551" w:type="dxa"/>
            <w:vAlign w:val="center"/>
          </w:tcPr>
          <w:p w14:paraId="386CCA3E">
            <w:pPr>
              <w:spacing w:line="240" w:lineRule="auto"/>
              <w:ind w:firstLine="0" w:firstLineChars="0"/>
              <w:jc w:val="center"/>
              <w:rPr>
                <w:sz w:val="21"/>
                <w:szCs w:val="21"/>
                <w:u w:val="single"/>
              </w:rPr>
            </w:pPr>
            <w:r>
              <w:rPr>
                <w:rFonts w:hint="eastAsia" w:eastAsiaTheme="minorEastAsia"/>
                <w:sz w:val="21"/>
                <w:szCs w:val="21"/>
                <w:u w:val="single"/>
              </w:rPr>
              <w:t>4.0729</w:t>
            </w:r>
          </w:p>
        </w:tc>
        <w:tc>
          <w:tcPr>
            <w:tcW w:w="1133" w:type="dxa"/>
            <w:vAlign w:val="center"/>
          </w:tcPr>
          <w:p w14:paraId="40978FE1">
            <w:pPr>
              <w:spacing w:line="240" w:lineRule="auto"/>
              <w:ind w:firstLine="0" w:firstLineChars="0"/>
              <w:jc w:val="center"/>
              <w:rPr>
                <w:sz w:val="21"/>
                <w:szCs w:val="21"/>
                <w:u w:val="single"/>
              </w:rPr>
            </w:pPr>
            <w:r>
              <w:rPr>
                <w:rFonts w:hint="eastAsia" w:eastAsiaTheme="minorEastAsia"/>
                <w:sz w:val="21"/>
                <w:szCs w:val="21"/>
                <w:u w:val="single"/>
              </w:rPr>
              <w:t>液态</w:t>
            </w:r>
          </w:p>
        </w:tc>
        <w:tc>
          <w:tcPr>
            <w:tcW w:w="1699" w:type="dxa"/>
            <w:vAlign w:val="center"/>
          </w:tcPr>
          <w:p w14:paraId="11777F09">
            <w:pPr>
              <w:spacing w:line="240" w:lineRule="auto"/>
              <w:ind w:firstLine="0" w:firstLineChars="0"/>
              <w:jc w:val="center"/>
              <w:rPr>
                <w:sz w:val="21"/>
                <w:szCs w:val="21"/>
                <w:u w:val="single"/>
              </w:rPr>
            </w:pPr>
            <w:r>
              <w:rPr>
                <w:sz w:val="21"/>
                <w:szCs w:val="21"/>
                <w:u w:val="single"/>
              </w:rPr>
              <w:t>生产系统内</w:t>
            </w:r>
          </w:p>
        </w:tc>
        <w:tc>
          <w:tcPr>
            <w:tcW w:w="1353" w:type="dxa"/>
            <w:vMerge w:val="continue"/>
            <w:vAlign w:val="center"/>
          </w:tcPr>
          <w:p w14:paraId="30513D02">
            <w:pPr>
              <w:spacing w:line="240" w:lineRule="auto"/>
              <w:ind w:firstLine="0" w:firstLineChars="0"/>
              <w:jc w:val="center"/>
              <w:rPr>
                <w:sz w:val="21"/>
                <w:szCs w:val="21"/>
                <w:u w:val="single"/>
              </w:rPr>
            </w:pPr>
          </w:p>
        </w:tc>
      </w:tr>
      <w:tr w14:paraId="680BB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550" w:type="dxa"/>
            <w:vAlign w:val="center"/>
          </w:tcPr>
          <w:p w14:paraId="3AAB9877">
            <w:pPr>
              <w:spacing w:line="240" w:lineRule="auto"/>
              <w:ind w:firstLine="0" w:firstLineChars="0"/>
              <w:jc w:val="center"/>
              <w:rPr>
                <w:sz w:val="21"/>
                <w:szCs w:val="21"/>
                <w:u w:val="single"/>
              </w:rPr>
            </w:pPr>
            <w:r>
              <w:rPr>
                <w:rFonts w:hint="eastAsia" w:eastAsiaTheme="minorEastAsia"/>
                <w:sz w:val="21"/>
                <w:szCs w:val="21"/>
                <w:u w:val="single"/>
              </w:rPr>
              <w:t>聚醚改性硅油</w:t>
            </w:r>
          </w:p>
        </w:tc>
        <w:tc>
          <w:tcPr>
            <w:tcW w:w="2551" w:type="dxa"/>
            <w:vAlign w:val="center"/>
          </w:tcPr>
          <w:p w14:paraId="6404D5D6">
            <w:pPr>
              <w:spacing w:line="240" w:lineRule="auto"/>
              <w:ind w:firstLine="0" w:firstLineChars="0"/>
              <w:jc w:val="center"/>
              <w:rPr>
                <w:sz w:val="21"/>
                <w:szCs w:val="21"/>
                <w:u w:val="single"/>
              </w:rPr>
            </w:pPr>
            <w:r>
              <w:rPr>
                <w:rFonts w:hint="eastAsia" w:eastAsiaTheme="minorEastAsia"/>
                <w:sz w:val="21"/>
                <w:szCs w:val="21"/>
                <w:u w:val="single"/>
              </w:rPr>
              <w:t>39.6</w:t>
            </w:r>
          </w:p>
        </w:tc>
        <w:tc>
          <w:tcPr>
            <w:tcW w:w="1133" w:type="dxa"/>
            <w:vAlign w:val="center"/>
          </w:tcPr>
          <w:p w14:paraId="288C4CF5">
            <w:pPr>
              <w:spacing w:line="240" w:lineRule="auto"/>
              <w:ind w:firstLine="0" w:firstLineChars="0"/>
              <w:jc w:val="center"/>
              <w:rPr>
                <w:sz w:val="21"/>
                <w:szCs w:val="21"/>
                <w:u w:val="single"/>
              </w:rPr>
            </w:pPr>
            <w:r>
              <w:rPr>
                <w:rFonts w:hint="eastAsia" w:eastAsiaTheme="minorEastAsia"/>
                <w:sz w:val="21"/>
                <w:szCs w:val="21"/>
                <w:u w:val="single"/>
              </w:rPr>
              <w:t>液态</w:t>
            </w:r>
          </w:p>
        </w:tc>
        <w:tc>
          <w:tcPr>
            <w:tcW w:w="1699" w:type="dxa"/>
            <w:vAlign w:val="center"/>
          </w:tcPr>
          <w:p w14:paraId="29712128">
            <w:pPr>
              <w:spacing w:line="240" w:lineRule="auto"/>
              <w:ind w:firstLine="0" w:firstLineChars="0"/>
              <w:jc w:val="center"/>
              <w:rPr>
                <w:sz w:val="21"/>
                <w:szCs w:val="21"/>
                <w:u w:val="single"/>
              </w:rPr>
            </w:pPr>
            <w:r>
              <w:rPr>
                <w:sz w:val="21"/>
                <w:szCs w:val="21"/>
                <w:u w:val="single"/>
              </w:rPr>
              <w:t>生产系统内</w:t>
            </w:r>
          </w:p>
        </w:tc>
        <w:tc>
          <w:tcPr>
            <w:tcW w:w="1353" w:type="dxa"/>
            <w:vAlign w:val="center"/>
          </w:tcPr>
          <w:p w14:paraId="7411C050">
            <w:pPr>
              <w:spacing w:line="240" w:lineRule="auto"/>
              <w:ind w:firstLine="0" w:firstLineChars="0"/>
              <w:jc w:val="center"/>
              <w:rPr>
                <w:sz w:val="21"/>
                <w:szCs w:val="21"/>
                <w:u w:val="single"/>
              </w:rPr>
            </w:pPr>
            <w:r>
              <w:rPr>
                <w:rFonts w:hint="eastAsia" w:eastAsiaTheme="minorEastAsia"/>
                <w:sz w:val="21"/>
                <w:szCs w:val="21"/>
                <w:u w:val="single"/>
              </w:rPr>
              <w:t>反应釜区、搅拌区、灌装区</w:t>
            </w:r>
          </w:p>
        </w:tc>
      </w:tr>
    </w:tbl>
    <w:p w14:paraId="76074676">
      <w:pPr>
        <w:ind w:firstLine="480"/>
        <w:rPr>
          <w:u w:val="single"/>
        </w:rPr>
      </w:pPr>
      <w:r>
        <w:rPr>
          <w:rFonts w:hint="eastAsia"/>
          <w:u w:val="single"/>
        </w:rPr>
        <w:t>由上表可知，本项目生产过程涉及的风险主要为D4（八甲基环四硅氧烷）、硫酸、导热油、双氧水、K</w:t>
      </w:r>
      <w:r>
        <w:rPr>
          <w:u w:val="single"/>
        </w:rPr>
        <w:t>F-99</w:t>
      </w:r>
      <w:r>
        <w:rPr>
          <w:rFonts w:hint="eastAsia"/>
          <w:u w:val="single"/>
        </w:rPr>
        <w:t>（</w:t>
      </w:r>
      <w:r>
        <w:rPr>
          <w:u w:val="single"/>
        </w:rPr>
        <w:t>高含氢硅油</w:t>
      </w:r>
      <w:r>
        <w:rPr>
          <w:rFonts w:hint="eastAsia"/>
          <w:u w:val="single"/>
        </w:rPr>
        <w:t>）、二丙二醇、低含氢硅油、聚醚改性硅油等物质因系统不严造成的泄漏，及火灾、爆炸引起的次生/伴生污染物。</w:t>
      </w:r>
    </w:p>
    <w:p w14:paraId="1FA70C63">
      <w:pPr>
        <w:pStyle w:val="6"/>
        <w:ind w:left="0" w:firstLine="482"/>
      </w:pPr>
      <w:r>
        <w:rPr>
          <w:rFonts w:hint="eastAsia"/>
        </w:rPr>
        <w:t>储运设施风险识别</w:t>
      </w:r>
    </w:p>
    <w:p w14:paraId="2C023D6A">
      <w:pPr>
        <w:ind w:firstLine="480"/>
        <w:rPr>
          <w:bCs/>
          <w:szCs w:val="24"/>
        </w:rPr>
      </w:pPr>
      <w:r>
        <w:rPr>
          <w:rFonts w:hint="eastAsia"/>
          <w:bCs/>
          <w:szCs w:val="24"/>
        </w:rPr>
        <w:t>1、储存过程风险识别</w:t>
      </w:r>
    </w:p>
    <w:p w14:paraId="3162C1DA">
      <w:pPr>
        <w:ind w:firstLine="480"/>
        <w:rPr>
          <w:bCs/>
          <w:szCs w:val="24"/>
        </w:rPr>
      </w:pPr>
      <w:r>
        <w:rPr>
          <w:rFonts w:hint="eastAsia"/>
          <w:bCs/>
          <w:szCs w:val="24"/>
        </w:rPr>
        <w:t>本项目涉及的危险物质的储存情况见下表。</w:t>
      </w:r>
    </w:p>
    <w:p w14:paraId="23637659">
      <w:pPr>
        <w:pStyle w:val="99"/>
        <w:numPr>
          <w:ilvl w:val="4"/>
          <w:numId w:val="42"/>
        </w:numPr>
        <w:ind w:left="0" w:firstLine="480"/>
        <w:rPr>
          <w:rFonts w:eastAsia="黑体"/>
        </w:rPr>
      </w:pPr>
      <w:r>
        <w:rPr>
          <w:rFonts w:hint="eastAsia" w:eastAsia="黑体"/>
        </w:rPr>
        <w:t xml:space="preserve">        工程危险物质储存情况一览表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04"/>
        <w:gridCol w:w="2953"/>
        <w:gridCol w:w="1707"/>
        <w:gridCol w:w="1972"/>
      </w:tblGrid>
      <w:tr w14:paraId="3EA59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022" w:type="pct"/>
            <w:tcMar>
              <w:top w:w="15" w:type="dxa"/>
              <w:left w:w="15" w:type="dxa"/>
              <w:right w:w="15" w:type="dxa"/>
            </w:tcMar>
            <w:vAlign w:val="center"/>
          </w:tcPr>
          <w:p w14:paraId="7CF4DD78">
            <w:pPr>
              <w:pStyle w:val="215"/>
              <w:spacing w:line="240" w:lineRule="auto"/>
              <w:rPr>
                <w:bCs/>
                <w:kern w:val="0"/>
                <w:szCs w:val="21"/>
                <w:u w:val="single"/>
              </w:rPr>
            </w:pPr>
            <w:r>
              <w:rPr>
                <w:bCs/>
                <w:kern w:val="0"/>
                <w:szCs w:val="21"/>
                <w:u w:val="single"/>
              </w:rPr>
              <w:t>名称</w:t>
            </w:r>
          </w:p>
        </w:tc>
        <w:tc>
          <w:tcPr>
            <w:tcW w:w="1771" w:type="pct"/>
            <w:tcMar>
              <w:top w:w="15" w:type="dxa"/>
              <w:left w:w="15" w:type="dxa"/>
              <w:right w:w="15" w:type="dxa"/>
            </w:tcMar>
            <w:vAlign w:val="center"/>
          </w:tcPr>
          <w:p w14:paraId="58E15055">
            <w:pPr>
              <w:pStyle w:val="215"/>
              <w:spacing w:line="240" w:lineRule="auto"/>
              <w:rPr>
                <w:bCs/>
                <w:kern w:val="0"/>
                <w:szCs w:val="21"/>
                <w:u w:val="single"/>
              </w:rPr>
            </w:pPr>
            <w:r>
              <w:rPr>
                <w:bCs/>
                <w:kern w:val="0"/>
                <w:szCs w:val="21"/>
                <w:u w:val="single"/>
              </w:rPr>
              <w:t>贮存场所最大贮存量t</w:t>
            </w:r>
          </w:p>
        </w:tc>
        <w:tc>
          <w:tcPr>
            <w:tcW w:w="1024" w:type="pct"/>
            <w:tcMar>
              <w:top w:w="15" w:type="dxa"/>
              <w:left w:w="15" w:type="dxa"/>
              <w:right w:w="15" w:type="dxa"/>
            </w:tcMar>
            <w:vAlign w:val="center"/>
          </w:tcPr>
          <w:p w14:paraId="56D3C3F0">
            <w:pPr>
              <w:pStyle w:val="215"/>
              <w:spacing w:line="240" w:lineRule="auto"/>
              <w:rPr>
                <w:bCs/>
                <w:kern w:val="0"/>
                <w:szCs w:val="21"/>
                <w:u w:val="single"/>
              </w:rPr>
            </w:pPr>
            <w:r>
              <w:rPr>
                <w:bCs/>
                <w:szCs w:val="21"/>
                <w:u w:val="single"/>
              </w:rPr>
              <w:t>贮存位置</w:t>
            </w:r>
          </w:p>
        </w:tc>
        <w:tc>
          <w:tcPr>
            <w:tcW w:w="1183" w:type="pct"/>
            <w:tcMar>
              <w:top w:w="15" w:type="dxa"/>
              <w:left w:w="15" w:type="dxa"/>
              <w:right w:w="15" w:type="dxa"/>
            </w:tcMar>
            <w:vAlign w:val="center"/>
          </w:tcPr>
          <w:p w14:paraId="1510C015">
            <w:pPr>
              <w:pStyle w:val="215"/>
              <w:spacing w:line="240" w:lineRule="auto"/>
              <w:rPr>
                <w:bCs/>
                <w:kern w:val="0"/>
                <w:szCs w:val="21"/>
                <w:u w:val="single"/>
              </w:rPr>
            </w:pPr>
            <w:r>
              <w:rPr>
                <w:bCs/>
                <w:kern w:val="0"/>
                <w:szCs w:val="21"/>
                <w:u w:val="single"/>
              </w:rPr>
              <w:t>储运方式</w:t>
            </w:r>
          </w:p>
        </w:tc>
      </w:tr>
      <w:tr w14:paraId="729AC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pct"/>
            <w:tcMar>
              <w:top w:w="15" w:type="dxa"/>
              <w:left w:w="15" w:type="dxa"/>
              <w:right w:w="15" w:type="dxa"/>
            </w:tcMar>
            <w:vAlign w:val="center"/>
          </w:tcPr>
          <w:p w14:paraId="77864EB1">
            <w:pPr>
              <w:spacing w:line="240" w:lineRule="auto"/>
              <w:ind w:firstLine="0" w:firstLineChars="0"/>
              <w:jc w:val="center"/>
              <w:rPr>
                <w:sz w:val="21"/>
                <w:szCs w:val="21"/>
                <w:u w:val="single"/>
              </w:rPr>
            </w:pPr>
            <w:r>
              <w:rPr>
                <w:rFonts w:hint="eastAsia" w:eastAsiaTheme="minorEastAsia"/>
                <w:sz w:val="21"/>
                <w:szCs w:val="21"/>
                <w:u w:val="single"/>
              </w:rPr>
              <w:t>D4（八甲基环四硅氧烷）</w:t>
            </w:r>
          </w:p>
        </w:tc>
        <w:tc>
          <w:tcPr>
            <w:tcW w:w="1771" w:type="pct"/>
            <w:tcMar>
              <w:top w:w="15" w:type="dxa"/>
              <w:left w:w="15" w:type="dxa"/>
              <w:right w:w="15" w:type="dxa"/>
            </w:tcMar>
            <w:vAlign w:val="center"/>
          </w:tcPr>
          <w:p w14:paraId="7685CE57">
            <w:pPr>
              <w:spacing w:line="240" w:lineRule="auto"/>
              <w:ind w:firstLine="0" w:firstLineChars="0"/>
              <w:jc w:val="center"/>
              <w:rPr>
                <w:sz w:val="21"/>
                <w:szCs w:val="21"/>
                <w:u w:val="single"/>
              </w:rPr>
            </w:pPr>
            <w:r>
              <w:rPr>
                <w:rFonts w:hint="eastAsia" w:eastAsia="等线"/>
                <w:sz w:val="21"/>
                <w:szCs w:val="21"/>
                <w:u w:val="single"/>
              </w:rPr>
              <w:t>30</w:t>
            </w:r>
          </w:p>
        </w:tc>
        <w:tc>
          <w:tcPr>
            <w:tcW w:w="1024" w:type="pct"/>
            <w:vMerge w:val="restart"/>
            <w:tcMar>
              <w:top w:w="15" w:type="dxa"/>
              <w:left w:w="15" w:type="dxa"/>
              <w:right w:w="15" w:type="dxa"/>
            </w:tcMar>
            <w:vAlign w:val="center"/>
          </w:tcPr>
          <w:p w14:paraId="0649CB22">
            <w:pPr>
              <w:spacing w:line="240" w:lineRule="auto"/>
              <w:ind w:firstLine="0" w:firstLineChars="0"/>
              <w:jc w:val="center"/>
              <w:rPr>
                <w:sz w:val="21"/>
                <w:szCs w:val="21"/>
                <w:u w:val="single"/>
              </w:rPr>
            </w:pPr>
            <w:r>
              <w:rPr>
                <w:rFonts w:hint="eastAsia"/>
                <w:sz w:val="21"/>
                <w:szCs w:val="21"/>
                <w:u w:val="single"/>
              </w:rPr>
              <w:t>原料区</w:t>
            </w:r>
          </w:p>
        </w:tc>
        <w:tc>
          <w:tcPr>
            <w:tcW w:w="1183" w:type="pct"/>
            <w:tcMar>
              <w:top w:w="15" w:type="dxa"/>
              <w:left w:w="15" w:type="dxa"/>
              <w:right w:w="15" w:type="dxa"/>
            </w:tcMar>
            <w:vAlign w:val="center"/>
          </w:tcPr>
          <w:p w14:paraId="58027DA4">
            <w:pPr>
              <w:spacing w:line="240" w:lineRule="auto"/>
              <w:ind w:firstLine="0" w:firstLineChars="0"/>
              <w:jc w:val="center"/>
              <w:rPr>
                <w:sz w:val="21"/>
                <w:szCs w:val="21"/>
                <w:u w:val="single"/>
              </w:rPr>
            </w:pPr>
            <w:r>
              <w:rPr>
                <w:rFonts w:hint="eastAsia"/>
                <w:sz w:val="21"/>
                <w:szCs w:val="21"/>
                <w:u w:val="single"/>
              </w:rPr>
              <w:t>200kg/桶</w:t>
            </w:r>
          </w:p>
        </w:tc>
      </w:tr>
      <w:tr w14:paraId="4A0B0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pct"/>
            <w:tcMar>
              <w:top w:w="15" w:type="dxa"/>
              <w:left w:w="15" w:type="dxa"/>
              <w:right w:w="15" w:type="dxa"/>
            </w:tcMar>
            <w:vAlign w:val="center"/>
          </w:tcPr>
          <w:p w14:paraId="38154492">
            <w:pPr>
              <w:spacing w:line="240" w:lineRule="auto"/>
              <w:ind w:firstLine="0" w:firstLineChars="0"/>
              <w:jc w:val="center"/>
              <w:rPr>
                <w:sz w:val="21"/>
                <w:szCs w:val="21"/>
                <w:u w:val="single"/>
              </w:rPr>
            </w:pPr>
            <w:r>
              <w:rPr>
                <w:rFonts w:hint="eastAsia" w:eastAsiaTheme="minorEastAsia"/>
                <w:bCs/>
                <w:sz w:val="21"/>
                <w:szCs w:val="21"/>
                <w:u w:val="single"/>
              </w:rPr>
              <w:t>硫酸</w:t>
            </w:r>
          </w:p>
        </w:tc>
        <w:tc>
          <w:tcPr>
            <w:tcW w:w="1771" w:type="pct"/>
            <w:tcMar>
              <w:top w:w="15" w:type="dxa"/>
              <w:left w:w="15" w:type="dxa"/>
              <w:right w:w="15" w:type="dxa"/>
            </w:tcMar>
            <w:vAlign w:val="center"/>
          </w:tcPr>
          <w:p w14:paraId="22F46E22">
            <w:pPr>
              <w:spacing w:line="240" w:lineRule="auto"/>
              <w:ind w:firstLine="0" w:firstLineChars="0"/>
              <w:jc w:val="center"/>
              <w:rPr>
                <w:sz w:val="21"/>
                <w:szCs w:val="21"/>
                <w:u w:val="single"/>
              </w:rPr>
            </w:pPr>
            <w:r>
              <w:rPr>
                <w:rFonts w:hint="eastAsia" w:eastAsia="等线"/>
                <w:sz w:val="21"/>
                <w:szCs w:val="21"/>
                <w:u w:val="single"/>
              </w:rPr>
              <w:t>1</w:t>
            </w:r>
          </w:p>
        </w:tc>
        <w:tc>
          <w:tcPr>
            <w:tcW w:w="1024" w:type="pct"/>
            <w:vMerge w:val="continue"/>
            <w:tcMar>
              <w:top w:w="15" w:type="dxa"/>
              <w:left w:w="15" w:type="dxa"/>
              <w:right w:w="15" w:type="dxa"/>
            </w:tcMar>
            <w:vAlign w:val="center"/>
          </w:tcPr>
          <w:p w14:paraId="1631C0B5">
            <w:pPr>
              <w:widowControl/>
              <w:spacing w:line="240" w:lineRule="auto"/>
              <w:ind w:firstLine="0" w:firstLineChars="0"/>
              <w:jc w:val="center"/>
              <w:textAlignment w:val="center"/>
              <w:rPr>
                <w:sz w:val="21"/>
                <w:szCs w:val="21"/>
                <w:u w:val="single"/>
              </w:rPr>
            </w:pPr>
          </w:p>
        </w:tc>
        <w:tc>
          <w:tcPr>
            <w:tcW w:w="1183" w:type="pct"/>
            <w:tcMar>
              <w:top w:w="15" w:type="dxa"/>
              <w:left w:w="15" w:type="dxa"/>
              <w:right w:w="15" w:type="dxa"/>
            </w:tcMar>
            <w:vAlign w:val="center"/>
          </w:tcPr>
          <w:p w14:paraId="0DBA95A1">
            <w:pPr>
              <w:spacing w:line="240" w:lineRule="auto"/>
              <w:ind w:firstLine="0" w:firstLineChars="0"/>
              <w:jc w:val="center"/>
              <w:rPr>
                <w:sz w:val="21"/>
                <w:szCs w:val="21"/>
                <w:u w:val="single"/>
              </w:rPr>
            </w:pPr>
            <w:r>
              <w:rPr>
                <w:rFonts w:hint="eastAsia"/>
                <w:sz w:val="21"/>
                <w:szCs w:val="21"/>
                <w:u w:val="single"/>
              </w:rPr>
              <w:t>吨桶</w:t>
            </w:r>
          </w:p>
        </w:tc>
      </w:tr>
      <w:tr w14:paraId="1A71C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pct"/>
            <w:tcMar>
              <w:top w:w="15" w:type="dxa"/>
              <w:left w:w="15" w:type="dxa"/>
              <w:right w:w="15" w:type="dxa"/>
            </w:tcMar>
            <w:vAlign w:val="center"/>
          </w:tcPr>
          <w:p w14:paraId="0D446EEE">
            <w:pPr>
              <w:spacing w:line="240" w:lineRule="auto"/>
              <w:ind w:firstLine="0" w:firstLineChars="0"/>
              <w:jc w:val="center"/>
              <w:rPr>
                <w:rFonts w:eastAsiaTheme="minorEastAsia"/>
                <w:bCs/>
                <w:sz w:val="21"/>
                <w:szCs w:val="21"/>
                <w:u w:val="single"/>
              </w:rPr>
            </w:pPr>
            <w:r>
              <w:rPr>
                <w:rFonts w:hint="eastAsia"/>
                <w:sz w:val="21"/>
                <w:szCs w:val="21"/>
                <w:u w:val="single"/>
              </w:rPr>
              <w:t>导热油</w:t>
            </w:r>
          </w:p>
        </w:tc>
        <w:tc>
          <w:tcPr>
            <w:tcW w:w="1771" w:type="pct"/>
            <w:tcMar>
              <w:top w:w="15" w:type="dxa"/>
              <w:left w:w="15" w:type="dxa"/>
              <w:right w:w="15" w:type="dxa"/>
            </w:tcMar>
            <w:vAlign w:val="center"/>
          </w:tcPr>
          <w:p w14:paraId="15604C26">
            <w:pPr>
              <w:spacing w:line="240" w:lineRule="auto"/>
              <w:ind w:firstLine="0" w:firstLineChars="0"/>
              <w:jc w:val="center"/>
              <w:rPr>
                <w:rFonts w:eastAsia="等线"/>
                <w:sz w:val="21"/>
                <w:szCs w:val="21"/>
                <w:u w:val="single"/>
              </w:rPr>
            </w:pPr>
            <w:r>
              <w:rPr>
                <w:rFonts w:hint="eastAsia" w:eastAsia="等线"/>
                <w:sz w:val="21"/>
                <w:szCs w:val="21"/>
                <w:u w:val="single"/>
              </w:rPr>
              <w:t>3</w:t>
            </w:r>
          </w:p>
        </w:tc>
        <w:tc>
          <w:tcPr>
            <w:tcW w:w="1024" w:type="pct"/>
            <w:tcMar>
              <w:top w:w="15" w:type="dxa"/>
              <w:left w:w="15" w:type="dxa"/>
              <w:right w:w="15" w:type="dxa"/>
            </w:tcMar>
            <w:vAlign w:val="center"/>
          </w:tcPr>
          <w:p w14:paraId="2A55FD50">
            <w:pPr>
              <w:widowControl/>
              <w:spacing w:line="240" w:lineRule="auto"/>
              <w:ind w:firstLine="0" w:firstLineChars="0"/>
              <w:jc w:val="center"/>
              <w:textAlignment w:val="center"/>
              <w:rPr>
                <w:sz w:val="21"/>
                <w:szCs w:val="21"/>
                <w:u w:val="single"/>
              </w:rPr>
            </w:pPr>
            <w:r>
              <w:rPr>
                <w:rFonts w:hint="eastAsia" w:eastAsiaTheme="minorEastAsia"/>
                <w:bCs/>
                <w:sz w:val="21"/>
                <w:szCs w:val="21"/>
                <w:u w:val="single"/>
              </w:rPr>
              <w:t>电加热、制冷区</w:t>
            </w:r>
          </w:p>
        </w:tc>
        <w:tc>
          <w:tcPr>
            <w:tcW w:w="1183" w:type="pct"/>
            <w:tcMar>
              <w:top w:w="15" w:type="dxa"/>
              <w:left w:w="15" w:type="dxa"/>
              <w:right w:w="15" w:type="dxa"/>
            </w:tcMar>
            <w:vAlign w:val="center"/>
          </w:tcPr>
          <w:p w14:paraId="3FE39FAF">
            <w:pPr>
              <w:spacing w:line="240" w:lineRule="auto"/>
              <w:ind w:firstLine="0" w:firstLineChars="0"/>
              <w:jc w:val="center"/>
              <w:rPr>
                <w:sz w:val="21"/>
                <w:szCs w:val="21"/>
                <w:u w:val="single"/>
              </w:rPr>
            </w:pPr>
            <w:r>
              <w:rPr>
                <w:rFonts w:hint="eastAsia"/>
                <w:sz w:val="21"/>
                <w:szCs w:val="21"/>
                <w:u w:val="single"/>
              </w:rPr>
              <w:t>3t缓存罐</w:t>
            </w:r>
          </w:p>
        </w:tc>
      </w:tr>
      <w:tr w14:paraId="5ACF7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pct"/>
            <w:tcMar>
              <w:top w:w="15" w:type="dxa"/>
              <w:left w:w="15" w:type="dxa"/>
              <w:right w:w="15" w:type="dxa"/>
            </w:tcMar>
            <w:vAlign w:val="center"/>
          </w:tcPr>
          <w:p w14:paraId="44CD9FD8">
            <w:pPr>
              <w:spacing w:line="240" w:lineRule="auto"/>
              <w:ind w:firstLine="0" w:firstLineChars="0"/>
              <w:jc w:val="center"/>
              <w:rPr>
                <w:sz w:val="21"/>
                <w:szCs w:val="21"/>
                <w:u w:val="single"/>
              </w:rPr>
            </w:pPr>
            <w:r>
              <w:rPr>
                <w:rFonts w:hint="eastAsia" w:eastAsiaTheme="minorEastAsia"/>
                <w:bCs/>
                <w:sz w:val="21"/>
                <w:szCs w:val="21"/>
                <w:u w:val="single"/>
              </w:rPr>
              <w:t>二丙二醇</w:t>
            </w:r>
          </w:p>
        </w:tc>
        <w:tc>
          <w:tcPr>
            <w:tcW w:w="1771" w:type="pct"/>
            <w:tcMar>
              <w:top w:w="15" w:type="dxa"/>
              <w:left w:w="15" w:type="dxa"/>
              <w:right w:w="15" w:type="dxa"/>
            </w:tcMar>
            <w:vAlign w:val="center"/>
          </w:tcPr>
          <w:p w14:paraId="1F79EB6D">
            <w:pPr>
              <w:spacing w:line="240" w:lineRule="auto"/>
              <w:ind w:firstLine="0" w:firstLineChars="0"/>
              <w:jc w:val="center"/>
              <w:rPr>
                <w:rFonts w:eastAsia="等线"/>
                <w:sz w:val="21"/>
                <w:szCs w:val="21"/>
                <w:u w:val="single"/>
              </w:rPr>
            </w:pPr>
            <w:r>
              <w:rPr>
                <w:rFonts w:hint="eastAsia" w:eastAsiaTheme="minorEastAsia"/>
                <w:bCs/>
                <w:sz w:val="21"/>
                <w:szCs w:val="21"/>
                <w:u w:val="single"/>
              </w:rPr>
              <w:t>90</w:t>
            </w:r>
          </w:p>
        </w:tc>
        <w:tc>
          <w:tcPr>
            <w:tcW w:w="1024" w:type="pct"/>
            <w:tcMar>
              <w:top w:w="15" w:type="dxa"/>
              <w:left w:w="15" w:type="dxa"/>
              <w:right w:w="15" w:type="dxa"/>
            </w:tcMar>
            <w:vAlign w:val="center"/>
          </w:tcPr>
          <w:p w14:paraId="234972CA">
            <w:pPr>
              <w:widowControl/>
              <w:spacing w:line="240" w:lineRule="auto"/>
              <w:ind w:firstLine="0" w:firstLineChars="0"/>
              <w:jc w:val="center"/>
              <w:textAlignment w:val="center"/>
              <w:rPr>
                <w:rFonts w:eastAsiaTheme="minorEastAsia"/>
                <w:bCs/>
                <w:sz w:val="21"/>
                <w:szCs w:val="21"/>
                <w:u w:val="single"/>
              </w:rPr>
            </w:pPr>
            <w:r>
              <w:rPr>
                <w:rFonts w:hint="eastAsia" w:eastAsiaTheme="minorEastAsia"/>
                <w:sz w:val="21"/>
                <w:szCs w:val="21"/>
                <w:u w:val="single"/>
              </w:rPr>
              <w:t>原料区</w:t>
            </w:r>
          </w:p>
        </w:tc>
        <w:tc>
          <w:tcPr>
            <w:tcW w:w="1183" w:type="pct"/>
            <w:tcMar>
              <w:top w:w="15" w:type="dxa"/>
              <w:left w:w="15" w:type="dxa"/>
              <w:right w:w="15" w:type="dxa"/>
            </w:tcMar>
            <w:vAlign w:val="center"/>
          </w:tcPr>
          <w:p w14:paraId="53C58014">
            <w:pPr>
              <w:spacing w:line="240" w:lineRule="auto"/>
              <w:ind w:firstLine="0" w:firstLineChars="0"/>
              <w:jc w:val="center"/>
              <w:rPr>
                <w:sz w:val="21"/>
                <w:szCs w:val="21"/>
                <w:u w:val="single"/>
              </w:rPr>
            </w:pPr>
            <w:r>
              <w:rPr>
                <w:rFonts w:hint="eastAsia"/>
                <w:sz w:val="21"/>
                <w:szCs w:val="21"/>
                <w:u w:val="single"/>
              </w:rPr>
              <w:t>吨桶</w:t>
            </w:r>
          </w:p>
        </w:tc>
      </w:tr>
      <w:tr w14:paraId="29709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pct"/>
            <w:tcMar>
              <w:top w:w="15" w:type="dxa"/>
              <w:left w:w="15" w:type="dxa"/>
              <w:right w:w="15" w:type="dxa"/>
            </w:tcMar>
            <w:vAlign w:val="center"/>
          </w:tcPr>
          <w:p w14:paraId="57A31562">
            <w:pPr>
              <w:spacing w:line="240" w:lineRule="auto"/>
              <w:ind w:firstLine="0" w:firstLineChars="0"/>
              <w:jc w:val="center"/>
              <w:rPr>
                <w:rFonts w:eastAsiaTheme="minorEastAsia"/>
                <w:bCs/>
                <w:sz w:val="21"/>
                <w:szCs w:val="21"/>
                <w:u w:val="single"/>
              </w:rPr>
            </w:pPr>
            <w:r>
              <w:rPr>
                <w:rFonts w:hint="eastAsia" w:eastAsiaTheme="minorEastAsia"/>
                <w:sz w:val="21"/>
                <w:szCs w:val="21"/>
                <w:u w:val="single"/>
              </w:rPr>
              <w:t>双氧水</w:t>
            </w:r>
          </w:p>
        </w:tc>
        <w:tc>
          <w:tcPr>
            <w:tcW w:w="1771" w:type="pct"/>
            <w:tcMar>
              <w:top w:w="15" w:type="dxa"/>
              <w:left w:w="15" w:type="dxa"/>
              <w:right w:w="15" w:type="dxa"/>
            </w:tcMar>
            <w:vAlign w:val="center"/>
          </w:tcPr>
          <w:p w14:paraId="26784138">
            <w:pPr>
              <w:spacing w:line="240" w:lineRule="auto"/>
              <w:ind w:firstLine="0" w:firstLineChars="0"/>
              <w:jc w:val="center"/>
              <w:rPr>
                <w:rFonts w:eastAsiaTheme="minorEastAsia"/>
                <w:bCs/>
                <w:sz w:val="21"/>
                <w:szCs w:val="21"/>
                <w:u w:val="single"/>
              </w:rPr>
            </w:pPr>
            <w:r>
              <w:rPr>
                <w:rFonts w:hint="eastAsia" w:eastAsiaTheme="minorEastAsia"/>
                <w:sz w:val="21"/>
                <w:szCs w:val="21"/>
                <w:u w:val="single"/>
              </w:rPr>
              <w:t>0.1</w:t>
            </w:r>
          </w:p>
        </w:tc>
        <w:tc>
          <w:tcPr>
            <w:tcW w:w="1024" w:type="pct"/>
            <w:tcMar>
              <w:top w:w="15" w:type="dxa"/>
              <w:left w:w="15" w:type="dxa"/>
              <w:right w:w="15" w:type="dxa"/>
            </w:tcMar>
            <w:vAlign w:val="center"/>
          </w:tcPr>
          <w:p w14:paraId="6E6ADB68">
            <w:pPr>
              <w:widowControl/>
              <w:spacing w:line="240" w:lineRule="auto"/>
              <w:ind w:firstLine="0" w:firstLineChars="0"/>
              <w:jc w:val="center"/>
              <w:textAlignment w:val="center"/>
              <w:rPr>
                <w:rFonts w:eastAsiaTheme="minorEastAsia"/>
                <w:sz w:val="21"/>
                <w:szCs w:val="21"/>
                <w:u w:val="single"/>
              </w:rPr>
            </w:pPr>
            <w:r>
              <w:rPr>
                <w:rFonts w:hint="eastAsia" w:eastAsiaTheme="minorEastAsia"/>
                <w:sz w:val="21"/>
                <w:szCs w:val="21"/>
                <w:u w:val="single"/>
              </w:rPr>
              <w:t>原料区</w:t>
            </w:r>
          </w:p>
        </w:tc>
        <w:tc>
          <w:tcPr>
            <w:tcW w:w="1183" w:type="pct"/>
            <w:tcMar>
              <w:top w:w="15" w:type="dxa"/>
              <w:left w:w="15" w:type="dxa"/>
              <w:right w:w="15" w:type="dxa"/>
            </w:tcMar>
            <w:vAlign w:val="center"/>
          </w:tcPr>
          <w:p w14:paraId="14700B5C">
            <w:pPr>
              <w:spacing w:line="240" w:lineRule="auto"/>
              <w:ind w:firstLine="0" w:firstLineChars="0"/>
              <w:jc w:val="center"/>
              <w:rPr>
                <w:sz w:val="21"/>
                <w:szCs w:val="21"/>
                <w:u w:val="single"/>
              </w:rPr>
            </w:pPr>
            <w:r>
              <w:rPr>
                <w:rFonts w:hint="eastAsia" w:eastAsiaTheme="minorEastAsia"/>
                <w:sz w:val="21"/>
                <w:szCs w:val="21"/>
                <w:u w:val="single"/>
              </w:rPr>
              <w:t>2</w:t>
            </w:r>
            <w:r>
              <w:rPr>
                <w:rFonts w:eastAsiaTheme="minorEastAsia"/>
                <w:sz w:val="21"/>
                <w:szCs w:val="21"/>
                <w:u w:val="single"/>
              </w:rPr>
              <w:t>5</w:t>
            </w:r>
            <w:r>
              <w:rPr>
                <w:rFonts w:hint="eastAsia" w:eastAsiaTheme="minorEastAsia"/>
                <w:sz w:val="21"/>
                <w:szCs w:val="21"/>
                <w:u w:val="single"/>
              </w:rPr>
              <w:t>kg/桶</w:t>
            </w:r>
          </w:p>
        </w:tc>
      </w:tr>
      <w:tr w14:paraId="593DB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pct"/>
            <w:tcMar>
              <w:top w:w="15" w:type="dxa"/>
              <w:left w:w="15" w:type="dxa"/>
              <w:right w:w="15" w:type="dxa"/>
            </w:tcMar>
            <w:vAlign w:val="center"/>
          </w:tcPr>
          <w:p w14:paraId="58851A6F">
            <w:pPr>
              <w:spacing w:line="240" w:lineRule="auto"/>
              <w:ind w:firstLine="0" w:firstLineChars="0"/>
              <w:jc w:val="center"/>
              <w:rPr>
                <w:rFonts w:eastAsiaTheme="minorEastAsia"/>
                <w:bCs/>
                <w:sz w:val="21"/>
                <w:szCs w:val="21"/>
                <w:u w:val="single"/>
              </w:rPr>
            </w:pPr>
            <w:r>
              <w:rPr>
                <w:rFonts w:hint="eastAsia" w:eastAsiaTheme="minorEastAsia"/>
                <w:sz w:val="21"/>
                <w:szCs w:val="21"/>
                <w:u w:val="single"/>
              </w:rPr>
              <w:t>K</w:t>
            </w:r>
            <w:r>
              <w:rPr>
                <w:rFonts w:eastAsiaTheme="minorEastAsia"/>
                <w:sz w:val="21"/>
                <w:szCs w:val="21"/>
                <w:u w:val="single"/>
              </w:rPr>
              <w:t>F-99</w:t>
            </w:r>
            <w:r>
              <w:rPr>
                <w:rFonts w:hint="eastAsia" w:eastAsiaTheme="minorEastAsia"/>
                <w:sz w:val="21"/>
                <w:szCs w:val="21"/>
                <w:u w:val="single"/>
              </w:rPr>
              <w:t>（</w:t>
            </w:r>
            <w:r>
              <w:rPr>
                <w:rFonts w:eastAsiaTheme="minorEastAsia"/>
                <w:sz w:val="21"/>
                <w:szCs w:val="21"/>
                <w:u w:val="single"/>
              </w:rPr>
              <w:t>高含氢硅油</w:t>
            </w:r>
            <w:r>
              <w:rPr>
                <w:rFonts w:hint="eastAsia" w:eastAsiaTheme="minorEastAsia"/>
                <w:sz w:val="21"/>
                <w:szCs w:val="21"/>
                <w:u w:val="single"/>
              </w:rPr>
              <w:t>）</w:t>
            </w:r>
          </w:p>
        </w:tc>
        <w:tc>
          <w:tcPr>
            <w:tcW w:w="1771" w:type="pct"/>
            <w:tcMar>
              <w:top w:w="15" w:type="dxa"/>
              <w:left w:w="15" w:type="dxa"/>
              <w:right w:w="15" w:type="dxa"/>
            </w:tcMar>
            <w:vAlign w:val="center"/>
          </w:tcPr>
          <w:p w14:paraId="0553F463">
            <w:pPr>
              <w:spacing w:line="240" w:lineRule="auto"/>
              <w:ind w:firstLine="0" w:firstLineChars="0"/>
              <w:jc w:val="center"/>
              <w:rPr>
                <w:rFonts w:eastAsiaTheme="minorEastAsia"/>
                <w:bCs/>
                <w:sz w:val="21"/>
                <w:szCs w:val="21"/>
                <w:u w:val="single"/>
              </w:rPr>
            </w:pPr>
            <w:r>
              <w:rPr>
                <w:rFonts w:hint="eastAsia" w:eastAsiaTheme="minorEastAsia"/>
                <w:sz w:val="21"/>
                <w:szCs w:val="21"/>
                <w:u w:val="single"/>
              </w:rPr>
              <w:t>6</w:t>
            </w:r>
          </w:p>
        </w:tc>
        <w:tc>
          <w:tcPr>
            <w:tcW w:w="1024" w:type="pct"/>
            <w:tcMar>
              <w:top w:w="15" w:type="dxa"/>
              <w:left w:w="15" w:type="dxa"/>
              <w:right w:w="15" w:type="dxa"/>
            </w:tcMar>
            <w:vAlign w:val="center"/>
          </w:tcPr>
          <w:p w14:paraId="00D32833">
            <w:pPr>
              <w:widowControl/>
              <w:spacing w:line="240" w:lineRule="auto"/>
              <w:ind w:firstLine="0" w:firstLineChars="0"/>
              <w:jc w:val="center"/>
              <w:textAlignment w:val="center"/>
              <w:rPr>
                <w:rFonts w:eastAsiaTheme="minorEastAsia"/>
                <w:sz w:val="21"/>
                <w:szCs w:val="21"/>
                <w:u w:val="single"/>
              </w:rPr>
            </w:pPr>
            <w:r>
              <w:rPr>
                <w:rFonts w:hint="eastAsia" w:eastAsiaTheme="minorEastAsia"/>
                <w:sz w:val="21"/>
                <w:szCs w:val="21"/>
                <w:u w:val="single"/>
              </w:rPr>
              <w:t>原料区</w:t>
            </w:r>
          </w:p>
        </w:tc>
        <w:tc>
          <w:tcPr>
            <w:tcW w:w="1183" w:type="pct"/>
            <w:tcMar>
              <w:top w:w="15" w:type="dxa"/>
              <w:left w:w="15" w:type="dxa"/>
              <w:right w:w="15" w:type="dxa"/>
            </w:tcMar>
            <w:vAlign w:val="center"/>
          </w:tcPr>
          <w:p w14:paraId="3FB9E2C7">
            <w:pPr>
              <w:spacing w:line="240" w:lineRule="auto"/>
              <w:ind w:firstLine="0" w:firstLineChars="0"/>
              <w:jc w:val="center"/>
              <w:rPr>
                <w:sz w:val="21"/>
                <w:szCs w:val="21"/>
                <w:u w:val="single"/>
              </w:rPr>
            </w:pPr>
            <w:r>
              <w:rPr>
                <w:rFonts w:hint="eastAsia" w:eastAsiaTheme="minorEastAsia"/>
                <w:sz w:val="21"/>
                <w:szCs w:val="21"/>
                <w:u w:val="single"/>
              </w:rPr>
              <w:t>2</w:t>
            </w:r>
            <w:r>
              <w:rPr>
                <w:rFonts w:eastAsiaTheme="minorEastAsia"/>
                <w:sz w:val="21"/>
                <w:szCs w:val="21"/>
                <w:u w:val="single"/>
              </w:rPr>
              <w:t>00</w:t>
            </w:r>
            <w:r>
              <w:rPr>
                <w:rFonts w:hint="eastAsia" w:eastAsiaTheme="minorEastAsia"/>
                <w:sz w:val="21"/>
                <w:szCs w:val="21"/>
                <w:u w:val="single"/>
              </w:rPr>
              <w:t>kg/桶</w:t>
            </w:r>
          </w:p>
        </w:tc>
      </w:tr>
      <w:tr w14:paraId="13505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pct"/>
            <w:tcMar>
              <w:top w:w="15" w:type="dxa"/>
              <w:left w:w="15" w:type="dxa"/>
              <w:right w:w="15" w:type="dxa"/>
            </w:tcMar>
            <w:vAlign w:val="center"/>
          </w:tcPr>
          <w:p w14:paraId="68580BE9">
            <w:pPr>
              <w:spacing w:line="240" w:lineRule="auto"/>
              <w:ind w:firstLine="0" w:firstLineChars="0"/>
              <w:jc w:val="center"/>
              <w:rPr>
                <w:sz w:val="21"/>
                <w:szCs w:val="21"/>
                <w:u w:val="single"/>
              </w:rPr>
            </w:pPr>
            <w:r>
              <w:rPr>
                <w:rFonts w:hint="eastAsia" w:eastAsiaTheme="minorEastAsia"/>
                <w:sz w:val="21"/>
                <w:szCs w:val="21"/>
                <w:u w:val="single"/>
              </w:rPr>
              <w:t>聚醚改性硅油</w:t>
            </w:r>
          </w:p>
        </w:tc>
        <w:tc>
          <w:tcPr>
            <w:tcW w:w="1771" w:type="pct"/>
            <w:tcMar>
              <w:top w:w="15" w:type="dxa"/>
              <w:left w:w="15" w:type="dxa"/>
              <w:right w:w="15" w:type="dxa"/>
            </w:tcMar>
            <w:vAlign w:val="center"/>
          </w:tcPr>
          <w:p w14:paraId="14CDE73A">
            <w:pPr>
              <w:spacing w:line="240" w:lineRule="auto"/>
              <w:ind w:firstLine="0" w:firstLineChars="0"/>
              <w:jc w:val="center"/>
              <w:rPr>
                <w:rFonts w:eastAsia="等线"/>
                <w:sz w:val="21"/>
                <w:szCs w:val="21"/>
                <w:u w:val="single"/>
              </w:rPr>
            </w:pPr>
            <w:r>
              <w:rPr>
                <w:rFonts w:hint="eastAsia" w:eastAsiaTheme="minorEastAsia"/>
                <w:sz w:val="21"/>
                <w:szCs w:val="21"/>
                <w:u w:val="single"/>
              </w:rPr>
              <w:t>118.8</w:t>
            </w:r>
          </w:p>
        </w:tc>
        <w:tc>
          <w:tcPr>
            <w:tcW w:w="1024" w:type="pct"/>
            <w:tcMar>
              <w:top w:w="15" w:type="dxa"/>
              <w:left w:w="15" w:type="dxa"/>
              <w:right w:w="15" w:type="dxa"/>
            </w:tcMar>
            <w:vAlign w:val="center"/>
          </w:tcPr>
          <w:p w14:paraId="3A2C6008">
            <w:pPr>
              <w:widowControl/>
              <w:spacing w:line="240" w:lineRule="auto"/>
              <w:ind w:firstLine="0" w:firstLineChars="0"/>
              <w:jc w:val="center"/>
              <w:textAlignment w:val="center"/>
              <w:rPr>
                <w:rFonts w:eastAsiaTheme="minorEastAsia"/>
                <w:bCs/>
                <w:sz w:val="21"/>
                <w:szCs w:val="21"/>
                <w:u w:val="single"/>
              </w:rPr>
            </w:pPr>
            <w:r>
              <w:rPr>
                <w:rFonts w:hint="eastAsia" w:eastAsiaTheme="minorEastAsia"/>
                <w:bCs/>
                <w:sz w:val="21"/>
                <w:szCs w:val="21"/>
                <w:u w:val="single"/>
              </w:rPr>
              <w:t>成品区</w:t>
            </w:r>
          </w:p>
        </w:tc>
        <w:tc>
          <w:tcPr>
            <w:tcW w:w="1183" w:type="pct"/>
            <w:tcMar>
              <w:top w:w="15" w:type="dxa"/>
              <w:left w:w="15" w:type="dxa"/>
              <w:right w:w="15" w:type="dxa"/>
            </w:tcMar>
            <w:vAlign w:val="center"/>
          </w:tcPr>
          <w:p w14:paraId="536CE314">
            <w:pPr>
              <w:spacing w:line="240" w:lineRule="auto"/>
              <w:ind w:firstLine="0" w:firstLineChars="0"/>
              <w:jc w:val="center"/>
              <w:rPr>
                <w:sz w:val="21"/>
                <w:szCs w:val="21"/>
                <w:u w:val="single"/>
              </w:rPr>
            </w:pPr>
            <w:r>
              <w:rPr>
                <w:rFonts w:hint="eastAsia" w:eastAsiaTheme="minorEastAsia"/>
                <w:sz w:val="21"/>
                <w:szCs w:val="21"/>
                <w:u w:val="single"/>
              </w:rPr>
              <w:t>25kg/桶和吨桶</w:t>
            </w:r>
          </w:p>
        </w:tc>
      </w:tr>
    </w:tbl>
    <w:p w14:paraId="242358DD">
      <w:pPr>
        <w:pStyle w:val="99"/>
        <w:numPr>
          <w:ilvl w:val="4"/>
          <w:numId w:val="42"/>
        </w:numPr>
        <w:ind w:left="0" w:firstLine="480"/>
        <w:rPr>
          <w:rFonts w:eastAsia="黑体"/>
        </w:rPr>
      </w:pPr>
      <w:r>
        <w:rPr>
          <w:rFonts w:hint="eastAsia" w:eastAsia="黑体"/>
        </w:rPr>
        <w:t xml:space="preserve">            </w:t>
      </w:r>
      <w:r>
        <w:rPr>
          <w:rFonts w:eastAsia="黑体"/>
        </w:rPr>
        <w:t>工程储</w:t>
      </w:r>
      <w:r>
        <w:rPr>
          <w:rFonts w:hint="eastAsia" w:eastAsia="黑体"/>
        </w:rPr>
        <w:t>运系统危险性识别</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47"/>
        <w:gridCol w:w="6489"/>
      </w:tblGrid>
      <w:tr w14:paraId="29830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108" w:type="pct"/>
            <w:tcMar>
              <w:top w:w="15" w:type="dxa"/>
              <w:left w:w="15" w:type="dxa"/>
              <w:right w:w="15" w:type="dxa"/>
            </w:tcMar>
            <w:vAlign w:val="center"/>
          </w:tcPr>
          <w:p w14:paraId="194B156A">
            <w:pPr>
              <w:pStyle w:val="216"/>
              <w:spacing w:line="240" w:lineRule="auto"/>
              <w:ind w:firstLine="0" w:firstLineChars="0"/>
              <w:jc w:val="center"/>
              <w:rPr>
                <w:b/>
                <w:bCs/>
                <w:sz w:val="21"/>
                <w:szCs w:val="21"/>
              </w:rPr>
            </w:pPr>
            <w:r>
              <w:rPr>
                <w:rFonts w:hint="eastAsia"/>
                <w:b/>
                <w:bCs/>
                <w:sz w:val="21"/>
                <w:szCs w:val="21"/>
              </w:rPr>
              <w:t>危险因素</w:t>
            </w:r>
          </w:p>
        </w:tc>
        <w:tc>
          <w:tcPr>
            <w:tcW w:w="3892" w:type="pct"/>
            <w:tcMar>
              <w:top w:w="15" w:type="dxa"/>
              <w:left w:w="15" w:type="dxa"/>
              <w:right w:w="15" w:type="dxa"/>
            </w:tcMar>
            <w:vAlign w:val="center"/>
          </w:tcPr>
          <w:p w14:paraId="7081400C">
            <w:pPr>
              <w:pStyle w:val="216"/>
              <w:spacing w:line="240" w:lineRule="auto"/>
              <w:ind w:firstLine="0" w:firstLineChars="0"/>
              <w:jc w:val="center"/>
              <w:rPr>
                <w:b/>
                <w:bCs/>
                <w:sz w:val="21"/>
                <w:szCs w:val="21"/>
              </w:rPr>
            </w:pPr>
            <w:r>
              <w:rPr>
                <w:rFonts w:hint="eastAsia"/>
                <w:b/>
                <w:bCs/>
                <w:sz w:val="21"/>
                <w:szCs w:val="21"/>
              </w:rPr>
              <w:t>储存区</w:t>
            </w:r>
          </w:p>
        </w:tc>
      </w:tr>
      <w:tr w14:paraId="04BDC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08" w:type="pct"/>
            <w:tcMar>
              <w:top w:w="15" w:type="dxa"/>
              <w:left w:w="15" w:type="dxa"/>
              <w:right w:w="15" w:type="dxa"/>
            </w:tcMar>
            <w:vAlign w:val="center"/>
          </w:tcPr>
          <w:p w14:paraId="222CD195">
            <w:pPr>
              <w:pStyle w:val="216"/>
              <w:spacing w:line="240" w:lineRule="auto"/>
              <w:ind w:firstLine="0" w:firstLineChars="0"/>
              <w:jc w:val="center"/>
              <w:rPr>
                <w:sz w:val="21"/>
                <w:szCs w:val="21"/>
              </w:rPr>
            </w:pPr>
            <w:r>
              <w:rPr>
                <w:rFonts w:hint="eastAsia"/>
                <w:sz w:val="21"/>
                <w:szCs w:val="21"/>
              </w:rPr>
              <w:t>容器破损</w:t>
            </w:r>
          </w:p>
        </w:tc>
        <w:tc>
          <w:tcPr>
            <w:tcW w:w="3892" w:type="pct"/>
            <w:tcMar>
              <w:top w:w="15" w:type="dxa"/>
              <w:left w:w="15" w:type="dxa"/>
              <w:right w:w="15" w:type="dxa"/>
            </w:tcMar>
            <w:vAlign w:val="center"/>
          </w:tcPr>
          <w:p w14:paraId="2C70F6EE">
            <w:pPr>
              <w:pStyle w:val="216"/>
              <w:spacing w:line="240" w:lineRule="auto"/>
              <w:ind w:firstLine="0" w:firstLineChars="0"/>
              <w:jc w:val="center"/>
              <w:rPr>
                <w:sz w:val="21"/>
                <w:szCs w:val="21"/>
              </w:rPr>
            </w:pPr>
            <w:r>
              <w:rPr>
                <w:rFonts w:hint="eastAsia"/>
                <w:sz w:val="21"/>
                <w:szCs w:val="21"/>
              </w:rPr>
              <w:t>液体泄漏，不及时收集会对周边人群有一定的毒害，遇明火发生火灾或爆炸；污染储存区周边地下水、土壤</w:t>
            </w:r>
          </w:p>
        </w:tc>
      </w:tr>
      <w:tr w14:paraId="11507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08" w:type="pct"/>
            <w:tcMar>
              <w:top w:w="15" w:type="dxa"/>
              <w:left w:w="15" w:type="dxa"/>
              <w:right w:w="15" w:type="dxa"/>
            </w:tcMar>
            <w:vAlign w:val="center"/>
          </w:tcPr>
          <w:p w14:paraId="0046DC30">
            <w:pPr>
              <w:pStyle w:val="216"/>
              <w:spacing w:line="240" w:lineRule="auto"/>
              <w:ind w:firstLine="0" w:firstLineChars="0"/>
              <w:jc w:val="center"/>
              <w:rPr>
                <w:sz w:val="21"/>
                <w:szCs w:val="21"/>
              </w:rPr>
            </w:pPr>
            <w:r>
              <w:rPr>
                <w:rFonts w:hint="eastAsia"/>
                <w:sz w:val="21"/>
                <w:szCs w:val="21"/>
              </w:rPr>
              <w:t>火源控制不严</w:t>
            </w:r>
          </w:p>
        </w:tc>
        <w:tc>
          <w:tcPr>
            <w:tcW w:w="3892" w:type="pct"/>
            <w:tcMar>
              <w:top w:w="15" w:type="dxa"/>
              <w:left w:w="15" w:type="dxa"/>
              <w:right w:w="15" w:type="dxa"/>
            </w:tcMar>
            <w:vAlign w:val="center"/>
          </w:tcPr>
          <w:p w14:paraId="3979D0EA">
            <w:pPr>
              <w:pStyle w:val="216"/>
              <w:spacing w:line="240" w:lineRule="auto"/>
              <w:ind w:firstLine="0" w:firstLineChars="0"/>
              <w:jc w:val="center"/>
              <w:rPr>
                <w:sz w:val="21"/>
                <w:szCs w:val="21"/>
              </w:rPr>
            </w:pPr>
            <w:r>
              <w:rPr>
                <w:rFonts w:hint="eastAsia"/>
                <w:sz w:val="21"/>
                <w:szCs w:val="21"/>
              </w:rPr>
              <w:t>火灾或爆炸</w:t>
            </w:r>
          </w:p>
        </w:tc>
      </w:tr>
      <w:tr w14:paraId="46E56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08" w:type="pct"/>
            <w:tcMar>
              <w:top w:w="15" w:type="dxa"/>
              <w:left w:w="15" w:type="dxa"/>
              <w:right w:w="15" w:type="dxa"/>
            </w:tcMar>
            <w:vAlign w:val="center"/>
          </w:tcPr>
          <w:p w14:paraId="564C64FC">
            <w:pPr>
              <w:pStyle w:val="216"/>
              <w:spacing w:line="240" w:lineRule="auto"/>
              <w:ind w:firstLine="0" w:firstLineChars="0"/>
              <w:jc w:val="center"/>
              <w:rPr>
                <w:sz w:val="21"/>
                <w:szCs w:val="21"/>
              </w:rPr>
            </w:pPr>
            <w:r>
              <w:rPr>
                <w:rFonts w:hint="eastAsia"/>
                <w:sz w:val="21"/>
                <w:szCs w:val="21"/>
              </w:rPr>
              <w:t>人为操作失误</w:t>
            </w:r>
          </w:p>
        </w:tc>
        <w:tc>
          <w:tcPr>
            <w:tcW w:w="3892" w:type="pct"/>
            <w:tcMar>
              <w:top w:w="15" w:type="dxa"/>
              <w:left w:w="15" w:type="dxa"/>
              <w:right w:w="15" w:type="dxa"/>
            </w:tcMar>
            <w:vAlign w:val="center"/>
          </w:tcPr>
          <w:p w14:paraId="4BCB0757">
            <w:pPr>
              <w:pStyle w:val="216"/>
              <w:spacing w:line="240" w:lineRule="auto"/>
              <w:ind w:firstLine="0" w:firstLineChars="0"/>
              <w:jc w:val="center"/>
              <w:rPr>
                <w:sz w:val="21"/>
                <w:szCs w:val="21"/>
              </w:rPr>
            </w:pPr>
            <w:r>
              <w:rPr>
                <w:rFonts w:hint="eastAsia"/>
                <w:sz w:val="21"/>
                <w:szCs w:val="21"/>
              </w:rPr>
              <w:t>液体泄漏，对周边人群有一定的毒害，遇明火发生火灾或爆炸；污染储存区周边地下水、土壤</w:t>
            </w:r>
          </w:p>
        </w:tc>
      </w:tr>
      <w:tr w14:paraId="6418B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08" w:type="pct"/>
            <w:tcMar>
              <w:top w:w="15" w:type="dxa"/>
              <w:left w:w="15" w:type="dxa"/>
              <w:right w:w="15" w:type="dxa"/>
            </w:tcMar>
            <w:vAlign w:val="center"/>
          </w:tcPr>
          <w:p w14:paraId="6AD65C91">
            <w:pPr>
              <w:pStyle w:val="216"/>
              <w:spacing w:line="240" w:lineRule="auto"/>
              <w:ind w:firstLine="0" w:firstLineChars="0"/>
              <w:jc w:val="center"/>
              <w:rPr>
                <w:sz w:val="21"/>
                <w:szCs w:val="21"/>
              </w:rPr>
            </w:pPr>
            <w:r>
              <w:rPr>
                <w:rFonts w:hint="eastAsia"/>
                <w:sz w:val="21"/>
                <w:szCs w:val="21"/>
              </w:rPr>
              <w:t>储存区建设不规范</w:t>
            </w:r>
          </w:p>
        </w:tc>
        <w:tc>
          <w:tcPr>
            <w:tcW w:w="3892" w:type="pct"/>
            <w:tcMar>
              <w:top w:w="15" w:type="dxa"/>
              <w:left w:w="15" w:type="dxa"/>
              <w:right w:w="15" w:type="dxa"/>
            </w:tcMar>
            <w:vAlign w:val="center"/>
          </w:tcPr>
          <w:p w14:paraId="3CAA15F2">
            <w:pPr>
              <w:pStyle w:val="216"/>
              <w:spacing w:line="240" w:lineRule="auto"/>
              <w:ind w:firstLine="0" w:firstLineChars="0"/>
              <w:jc w:val="center"/>
              <w:rPr>
                <w:sz w:val="21"/>
                <w:szCs w:val="21"/>
              </w:rPr>
            </w:pPr>
            <w:r>
              <w:rPr>
                <w:rFonts w:hint="eastAsia"/>
                <w:sz w:val="21"/>
                <w:szCs w:val="21"/>
              </w:rPr>
              <w:t>液体泄漏直接流入附近水体或下渗，造成地表水、地下水或土壤的污染</w:t>
            </w:r>
          </w:p>
        </w:tc>
      </w:tr>
      <w:tr w14:paraId="2AD0C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08" w:type="pct"/>
            <w:tcMar>
              <w:top w:w="15" w:type="dxa"/>
              <w:left w:w="15" w:type="dxa"/>
              <w:right w:w="15" w:type="dxa"/>
            </w:tcMar>
            <w:vAlign w:val="center"/>
          </w:tcPr>
          <w:p w14:paraId="22D9951E">
            <w:pPr>
              <w:pStyle w:val="216"/>
              <w:spacing w:line="240" w:lineRule="auto"/>
              <w:ind w:firstLine="0" w:firstLineChars="0"/>
              <w:jc w:val="center"/>
              <w:rPr>
                <w:sz w:val="21"/>
                <w:szCs w:val="21"/>
              </w:rPr>
            </w:pPr>
            <w:r>
              <w:rPr>
                <w:rFonts w:hint="eastAsia"/>
                <w:sz w:val="21"/>
                <w:szCs w:val="21"/>
              </w:rPr>
              <w:t>管道破裂</w:t>
            </w:r>
          </w:p>
        </w:tc>
        <w:tc>
          <w:tcPr>
            <w:tcW w:w="3892" w:type="pct"/>
            <w:tcMar>
              <w:top w:w="15" w:type="dxa"/>
              <w:left w:w="15" w:type="dxa"/>
              <w:right w:w="15" w:type="dxa"/>
            </w:tcMar>
            <w:vAlign w:val="center"/>
          </w:tcPr>
          <w:p w14:paraId="103A6210">
            <w:pPr>
              <w:pStyle w:val="216"/>
              <w:spacing w:line="240" w:lineRule="auto"/>
              <w:ind w:firstLine="0" w:firstLineChars="0"/>
              <w:jc w:val="center"/>
              <w:rPr>
                <w:sz w:val="21"/>
                <w:szCs w:val="21"/>
              </w:rPr>
            </w:pPr>
            <w:r>
              <w:rPr>
                <w:rFonts w:hint="eastAsia"/>
                <w:sz w:val="21"/>
                <w:szCs w:val="21"/>
              </w:rPr>
              <w:t>液体泄漏，对周边人群有一定的毒害，遇明火发生火灾或爆炸；污染罐区周边地下水、土壤</w:t>
            </w:r>
          </w:p>
        </w:tc>
      </w:tr>
    </w:tbl>
    <w:p w14:paraId="6A924CB9">
      <w:pPr>
        <w:ind w:firstLine="480"/>
        <w:rPr>
          <w:highlight w:val="yellow"/>
        </w:rPr>
      </w:pPr>
      <w:r>
        <w:rPr>
          <w:rFonts w:hint="eastAsia"/>
        </w:rPr>
        <w:t>由上表可知，本项目储运过程涉及的风险主要为D4（八甲基环四硅氧烷）、硫酸等因包装桶或输送管道破裂、人为操作失误等原因造成泄漏，及火灾、爆炸引起的次生/伴生污染物。</w:t>
      </w:r>
    </w:p>
    <w:p w14:paraId="36A83839">
      <w:pPr>
        <w:pStyle w:val="2"/>
        <w:spacing w:after="0"/>
        <w:ind w:firstLine="480"/>
      </w:pPr>
      <w:r>
        <w:rPr>
          <w:rFonts w:hint="eastAsia"/>
        </w:rPr>
        <w:t>2、运输过程风险识别</w:t>
      </w:r>
    </w:p>
    <w:p w14:paraId="25B4EFF7">
      <w:pPr>
        <w:ind w:firstLine="480"/>
      </w:pPr>
      <w:r>
        <w:rPr>
          <w:rFonts w:hint="eastAsia"/>
        </w:rPr>
        <w:t>本工程采用的原料主要通过汽车运输进厂，运输过程中可能会由于罐体破裂、阀门松动、装卸设备故障以及碰撞、翻车等原因造成危险物质泄漏，甚至引起火灾、爆炸或污染环境等事故，对周边环境造成一定的影响。</w:t>
      </w:r>
    </w:p>
    <w:p w14:paraId="7E066840">
      <w:pPr>
        <w:ind w:firstLine="480"/>
        <w:rPr>
          <w:highlight w:val="yellow"/>
        </w:rPr>
      </w:pPr>
      <w:r>
        <w:rPr>
          <w:rFonts w:hint="eastAsia"/>
        </w:rPr>
        <w:t>运输过程环境风险事故不同于厂区内生产过程的风险事故，其事故源为车辆或车辆上的物料储存容器。环境风险事故发生的地点具有不确定性，其影响范围及影响对象随事发地点有很大的不同。因此，事故影响后果随机性较大。本项目原料和产品运输过程中存在一定环境风险。</w:t>
      </w:r>
    </w:p>
    <w:p w14:paraId="106A8F76">
      <w:pPr>
        <w:pStyle w:val="6"/>
        <w:ind w:left="0" w:firstLine="482"/>
      </w:pPr>
      <w:r>
        <w:rPr>
          <w:rFonts w:hint="eastAsia"/>
        </w:rPr>
        <w:t>环保设施风险识别</w:t>
      </w:r>
    </w:p>
    <w:p w14:paraId="2B81FD03">
      <w:pPr>
        <w:ind w:firstLine="480"/>
      </w:pPr>
      <w:r>
        <w:rPr>
          <w:rFonts w:hint="eastAsia"/>
        </w:rPr>
        <w:t>本次工程废气主要为颗粒物、硫酸、非甲烷总烃、氨、硫化氢等，由于操作不当、废气治理设施运行不稳定，可能会发生废气治理设施不能正常工作的情况，造成废气高浓度的排放，进而影响项目周边大气环境。</w:t>
      </w:r>
    </w:p>
    <w:p w14:paraId="3B429C3B">
      <w:pPr>
        <w:ind w:firstLine="480"/>
      </w:pPr>
      <w:r>
        <w:rPr>
          <w:rFonts w:hint="eastAsia"/>
        </w:rPr>
        <w:t>本次工程废水主要包括生产废水、生活污水，生产废水经污水处理站处理后与经化粪池处理后的生活污水混合后排入园区污水管网，进入唐庄污水处理厂处理。因污水管道破裂、废水处理单元运行不稳定，可能造成高浓度废水直排进入管网，或下渗污染周边地下水。</w:t>
      </w:r>
    </w:p>
    <w:p w14:paraId="567F9B7C">
      <w:pPr>
        <w:pStyle w:val="2"/>
        <w:spacing w:after="0"/>
        <w:ind w:firstLine="480"/>
        <w:rPr>
          <w:highlight w:val="yellow"/>
          <w:u w:val="single"/>
        </w:rPr>
      </w:pPr>
      <w:r>
        <w:rPr>
          <w:rFonts w:hint="eastAsia"/>
          <w:u w:val="single"/>
        </w:rPr>
        <w:t>本次工程危险废物主要为化验室废物、废导热油、污水处理站污泥和污油、废活性炭，存于包装桶内，暂存于危废暂存间内。因操作不当、盛装桶破裂等原因造成危险废物泄漏，流入周边地表水，污染周边地表水水域。因危废暂存间防渗层开裂导致危险废物下渗，污染周边地下水、土壤。</w:t>
      </w:r>
    </w:p>
    <w:p w14:paraId="4332B28A">
      <w:pPr>
        <w:pStyle w:val="6"/>
        <w:ind w:left="0" w:firstLine="482"/>
      </w:pPr>
      <w:r>
        <w:rPr>
          <w:rFonts w:hint="eastAsia"/>
        </w:rPr>
        <w:t>重点风险源的确定</w:t>
      </w:r>
    </w:p>
    <w:p w14:paraId="70C136AF">
      <w:pPr>
        <w:ind w:firstLine="480"/>
        <w:rPr>
          <w:highlight w:val="yellow"/>
        </w:rPr>
      </w:pPr>
      <w:r>
        <w:rPr>
          <w:rFonts w:hint="eastAsia"/>
        </w:rPr>
        <w:t>根据《国家安全监管总局关于公布首批重点监管的危险化工工艺目录的通知》（安监总管[2011]116号）、《国家安全监管总局关于公布第二批重点监管危险化工工艺目录和调整首批重点监管危险化工工艺中部分典型工艺的通知》（安监总管三[2013]3号）的规定以及《建设项目环境风险评价技术导则》（HJ/T169-2018）附录C，识别出本项目重点风险源为聚合反应工段等，原料区、反应釜区、危废贮存库等。</w:t>
      </w:r>
    </w:p>
    <w:p w14:paraId="3FA2F3F0">
      <w:pPr>
        <w:pStyle w:val="5"/>
        <w:spacing w:before="312" w:after="312"/>
        <w:ind w:firstLine="482"/>
      </w:pPr>
      <w:r>
        <w:rPr>
          <w:rFonts w:hint="eastAsia"/>
        </w:rPr>
        <w:t>环境风险类型及危害分析</w:t>
      </w:r>
    </w:p>
    <w:p w14:paraId="0038D65D">
      <w:pPr>
        <w:ind w:firstLine="480"/>
      </w:pPr>
      <w:r>
        <w:rPr>
          <w:rFonts w:hint="eastAsia"/>
        </w:rPr>
        <w:t>本项目使用的原料多为易燃易爆、有毒有害的物品，在原料的运输、贮存和使用过程，如管理操作不当或意外事故，存在着火灾、爆炸和中毒等事故风险。一旦发生这类事故，将造成有害物料的外泄，对周围环境产生较大的污染影响。</w:t>
      </w:r>
    </w:p>
    <w:p w14:paraId="1F845A98">
      <w:pPr>
        <w:ind w:firstLine="480"/>
      </w:pPr>
      <w:r>
        <w:rPr>
          <w:rFonts w:hint="eastAsia"/>
        </w:rPr>
        <w:t>1、泄漏中毒</w:t>
      </w:r>
    </w:p>
    <w:p w14:paraId="33944486">
      <w:pPr>
        <w:ind w:firstLine="480"/>
      </w:pPr>
      <w:r>
        <w:rPr>
          <w:rFonts w:hint="eastAsia"/>
        </w:rPr>
        <w:t>本项目物料储存于原料区；生产区主要设备有反应釜、输送管道等装置。当生产系统运行和物料储存时，若系统中容器或管道发生破损或断裂事故，导致系统内物料泄漏且未及时处理或处理不当，造成有毒、有害物质的泄漏引起人员中毒；在进行生产装置的设备维修时，如果不按有关操作规定，在未对被维修设备进行吹扫和检测可燃、有毒气体浓度的情况下，进行维修作业，有可能发生人员中毒事故，从而造成人员伤亡和财产损失。</w:t>
      </w:r>
    </w:p>
    <w:p w14:paraId="5A159F98">
      <w:pPr>
        <w:ind w:firstLine="480"/>
      </w:pPr>
      <w:r>
        <w:rPr>
          <w:rFonts w:hint="eastAsia"/>
        </w:rPr>
        <w:t>2、火灾爆炸</w:t>
      </w:r>
    </w:p>
    <w:p w14:paraId="4A1F4D9F">
      <w:pPr>
        <w:ind w:firstLine="480"/>
        <w:rPr>
          <w:highlight w:val="yellow"/>
        </w:rPr>
      </w:pPr>
      <w:r>
        <w:rPr>
          <w:rFonts w:hint="eastAsia"/>
        </w:rPr>
        <w:t>本项目易燃易爆物质较多，泄漏物或检修时物料遇到明火、静电等可引起火灾甚至爆炸事故，除本身设备外，还可能导致其它设备、管线等的破坏，引发事故重叠。</w:t>
      </w:r>
    </w:p>
    <w:p w14:paraId="0607DCE7">
      <w:pPr>
        <w:pStyle w:val="2"/>
        <w:spacing w:after="0"/>
        <w:ind w:firstLine="480"/>
      </w:pPr>
      <w:r>
        <w:rPr>
          <w:rFonts w:hint="eastAsia"/>
        </w:rPr>
        <w:t>3、次生/伴生事故</w:t>
      </w:r>
    </w:p>
    <w:p w14:paraId="2D0C770A">
      <w:pPr>
        <w:pStyle w:val="2"/>
        <w:spacing w:after="0"/>
        <w:ind w:firstLine="480"/>
        <w:rPr>
          <w:highlight w:val="yellow"/>
        </w:rPr>
      </w:pPr>
      <w:r>
        <w:rPr>
          <w:rFonts w:hint="eastAsia"/>
        </w:rPr>
        <w:t>本项目生产所用部分物料在泄漏后或火灾爆炸事故中会产生件生和次生的危害（如硫酸发生爆炸燃烧后会产生二氧化硫）。物料发生大量泄漏时，极有可能引发火灾爆炸事故。为防止引发火灾爆炸和环境空气污染事故，一般采用消防水对泄漏区进行喷淋冷却，采用此法直接导致泄漏的部分物料转移至消防水，若消防水直接外排，会对周围水环境造成污染。为避免事故状况下泄漏的有毒物质以及火灾爆炸期间消防污水污染水环境，企业必须制定严格的废水拦截计划，设置消防污水收集池、管网、切换阀和监控池等，使消防水排水处于监控状态，严禁事故废水排出厂外，次生危害造成水体污染</w:t>
      </w:r>
    </w:p>
    <w:p w14:paraId="67DD096B">
      <w:pPr>
        <w:pStyle w:val="5"/>
        <w:spacing w:before="312" w:after="312"/>
        <w:ind w:firstLine="482"/>
      </w:pPr>
      <w:r>
        <w:rPr>
          <w:rFonts w:hint="eastAsia"/>
        </w:rPr>
        <w:t>环境风险类型及向环境转移的途径</w:t>
      </w:r>
    </w:p>
    <w:p w14:paraId="644CBD87">
      <w:pPr>
        <w:pStyle w:val="2"/>
        <w:spacing w:after="0"/>
        <w:ind w:firstLine="480"/>
      </w:pPr>
      <w:r>
        <w:rPr>
          <w:rFonts w:hint="eastAsia"/>
        </w:rPr>
        <w:t>1、大气环境</w:t>
      </w:r>
    </w:p>
    <w:p w14:paraId="6F0FC23A">
      <w:pPr>
        <w:pStyle w:val="2"/>
        <w:spacing w:after="0"/>
        <w:ind w:firstLine="480"/>
      </w:pPr>
      <w:r>
        <w:rPr>
          <w:rFonts w:hint="eastAsia"/>
        </w:rPr>
        <w:t>有毒有害物质泄漏及易燃易爆物质发生火灾、爆炸，会造成大气环境污染，大气污染物通过呼吸道、消化道和皮肤短时间内大量进入人体，处于半致死浓度和DDLH浓度等高污染浓度区域的生命将受到威胁。</w:t>
      </w:r>
    </w:p>
    <w:p w14:paraId="4A9B1146">
      <w:pPr>
        <w:pStyle w:val="2"/>
        <w:spacing w:after="0"/>
        <w:ind w:firstLine="480"/>
      </w:pPr>
      <w:r>
        <w:rPr>
          <w:rFonts w:hint="eastAsia"/>
        </w:rPr>
        <w:t>有毒有害物质在大气中弥散会造成更大区域的大气环境污染，大气中低浓度的有毒、有害污染物长期反复对机体作用，会造成人们健康危害。</w:t>
      </w:r>
    </w:p>
    <w:p w14:paraId="39F27AFA">
      <w:pPr>
        <w:pStyle w:val="2"/>
        <w:spacing w:after="0"/>
        <w:ind w:firstLine="480"/>
      </w:pPr>
      <w:r>
        <w:rPr>
          <w:rFonts w:hint="eastAsia"/>
        </w:rPr>
        <w:t>2、水环境</w:t>
      </w:r>
    </w:p>
    <w:p w14:paraId="2664ACC7">
      <w:pPr>
        <w:pStyle w:val="2"/>
        <w:spacing w:after="0"/>
        <w:ind w:firstLine="480"/>
      </w:pPr>
      <w:r>
        <w:rPr>
          <w:rFonts w:hint="eastAsia"/>
        </w:rPr>
        <w:t>一旦发生环境风险事故，共产主义渠及周围的地下水也可能受到污染影响。物料发生大量泄漏时，极有可能引发火灾爆炸事故。为防止引发火灾爆炸和环境空气污染事故，一般采用消防水对泄漏区进行喷淋冷却，导致泄漏的部分物料转移至消防水。水环境风险主要来自两方面：一是大量受到污染的消防水从雨水排放口排放，直接引起共产主义渠等地表水体污染。二是事故状态下，可能导致泄漏的物料、污染的事故冲洗水通过雨水排水系统排放，进入共产主义渠，造成共产主义渠水体污染。</w:t>
      </w:r>
    </w:p>
    <w:p w14:paraId="7F450D9B">
      <w:pPr>
        <w:pStyle w:val="2"/>
        <w:spacing w:after="0"/>
        <w:ind w:firstLine="480"/>
      </w:pPr>
      <w:r>
        <w:rPr>
          <w:rFonts w:hint="eastAsia"/>
        </w:rPr>
        <w:t>3、土壤和地下水</w:t>
      </w:r>
    </w:p>
    <w:p w14:paraId="33600BE6">
      <w:pPr>
        <w:pStyle w:val="2"/>
        <w:spacing w:after="0"/>
        <w:ind w:firstLine="480"/>
        <w:rPr>
          <w:highlight w:val="yellow"/>
        </w:rPr>
      </w:pPr>
      <w:r>
        <w:rPr>
          <w:rFonts w:hint="eastAsia"/>
        </w:rPr>
        <w:t>因干湿沉积过程或事故状态下地表漫流过程沉积于土壤表层的污染物会造成土壤污染，污染物逐渐向土壤深部迁移入渗，会造成土壤根系区域、深部土壤污染和地下水污染；另外物料泄漏也可通过垂直入渗进入土壤深部，造成土壤根系区域、深部土壤污染和地下水污染。</w:t>
      </w:r>
    </w:p>
    <w:p w14:paraId="74B4A60B">
      <w:pPr>
        <w:pStyle w:val="5"/>
        <w:spacing w:before="312" w:after="312"/>
        <w:ind w:firstLine="482"/>
      </w:pPr>
      <w:r>
        <w:rPr>
          <w:rFonts w:hint="eastAsia"/>
        </w:rPr>
        <w:t>风险识别结果</w:t>
      </w:r>
    </w:p>
    <w:p w14:paraId="72E5A2EF">
      <w:pPr>
        <w:pStyle w:val="2"/>
        <w:spacing w:after="0"/>
        <w:ind w:firstLine="480"/>
      </w:pPr>
      <w:r>
        <w:rPr>
          <w:rFonts w:hint="eastAsia"/>
        </w:rPr>
        <w:t>根据上述分析，本次工程环境风险识别汇总见下表。</w:t>
      </w:r>
    </w:p>
    <w:p w14:paraId="56B628E0">
      <w:pPr>
        <w:pStyle w:val="99"/>
        <w:numPr>
          <w:ilvl w:val="4"/>
          <w:numId w:val="42"/>
        </w:numPr>
        <w:ind w:left="0" w:firstLine="480"/>
        <w:rPr>
          <w:rFonts w:eastAsia="黑体"/>
        </w:rPr>
      </w:pPr>
      <w:r>
        <w:rPr>
          <w:rFonts w:hint="eastAsia" w:eastAsia="黑体"/>
        </w:rPr>
        <w:t xml:space="preserve">            风险识别汇总一览表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422"/>
        <w:gridCol w:w="716"/>
        <w:gridCol w:w="1716"/>
        <w:gridCol w:w="1573"/>
        <w:gridCol w:w="858"/>
        <w:gridCol w:w="714"/>
        <w:gridCol w:w="1363"/>
      </w:tblGrid>
      <w:tr w14:paraId="1BCD4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850" w:type="pct"/>
            <w:vAlign w:val="center"/>
          </w:tcPr>
          <w:p w14:paraId="7B80159E">
            <w:pPr>
              <w:spacing w:line="240" w:lineRule="auto"/>
              <w:ind w:firstLine="0" w:firstLineChars="0"/>
              <w:jc w:val="center"/>
              <w:rPr>
                <w:b/>
                <w:sz w:val="21"/>
                <w:szCs w:val="21"/>
              </w:rPr>
            </w:pPr>
            <w:r>
              <w:rPr>
                <w:b/>
                <w:sz w:val="21"/>
                <w:szCs w:val="21"/>
              </w:rPr>
              <w:t>危险单元</w:t>
            </w:r>
          </w:p>
        </w:tc>
        <w:tc>
          <w:tcPr>
            <w:tcW w:w="428" w:type="pct"/>
            <w:vAlign w:val="center"/>
          </w:tcPr>
          <w:p w14:paraId="7BCA4B87">
            <w:pPr>
              <w:spacing w:line="240" w:lineRule="auto"/>
              <w:ind w:firstLine="0" w:firstLineChars="0"/>
              <w:jc w:val="center"/>
              <w:rPr>
                <w:b/>
                <w:sz w:val="21"/>
                <w:szCs w:val="21"/>
              </w:rPr>
            </w:pPr>
            <w:r>
              <w:rPr>
                <w:rFonts w:hint="eastAsia"/>
                <w:b/>
                <w:sz w:val="21"/>
                <w:szCs w:val="21"/>
              </w:rPr>
              <w:t>产品</w:t>
            </w:r>
          </w:p>
        </w:tc>
        <w:tc>
          <w:tcPr>
            <w:tcW w:w="1026" w:type="pct"/>
            <w:vAlign w:val="center"/>
          </w:tcPr>
          <w:p w14:paraId="1AC07800">
            <w:pPr>
              <w:spacing w:line="240" w:lineRule="auto"/>
              <w:ind w:firstLine="0" w:firstLineChars="0"/>
              <w:jc w:val="center"/>
              <w:rPr>
                <w:b/>
                <w:sz w:val="21"/>
                <w:szCs w:val="21"/>
              </w:rPr>
            </w:pPr>
            <w:r>
              <w:rPr>
                <w:b/>
                <w:sz w:val="21"/>
                <w:szCs w:val="21"/>
              </w:rPr>
              <w:t>风险源</w:t>
            </w:r>
          </w:p>
        </w:tc>
        <w:tc>
          <w:tcPr>
            <w:tcW w:w="941" w:type="pct"/>
            <w:vAlign w:val="center"/>
          </w:tcPr>
          <w:p w14:paraId="64C85883">
            <w:pPr>
              <w:spacing w:line="240" w:lineRule="auto"/>
              <w:ind w:firstLine="0" w:firstLineChars="0"/>
              <w:jc w:val="center"/>
              <w:rPr>
                <w:b/>
                <w:sz w:val="21"/>
                <w:szCs w:val="21"/>
              </w:rPr>
            </w:pPr>
            <w:r>
              <w:rPr>
                <w:b/>
                <w:sz w:val="21"/>
                <w:szCs w:val="21"/>
              </w:rPr>
              <w:t>主要危险物质</w:t>
            </w:r>
          </w:p>
        </w:tc>
        <w:tc>
          <w:tcPr>
            <w:tcW w:w="513" w:type="pct"/>
            <w:vAlign w:val="center"/>
          </w:tcPr>
          <w:p w14:paraId="74F8827D">
            <w:pPr>
              <w:spacing w:line="240" w:lineRule="auto"/>
              <w:ind w:firstLine="0" w:firstLineChars="0"/>
              <w:jc w:val="center"/>
              <w:rPr>
                <w:b/>
                <w:sz w:val="21"/>
                <w:szCs w:val="21"/>
              </w:rPr>
            </w:pPr>
            <w:r>
              <w:rPr>
                <w:b/>
                <w:sz w:val="21"/>
                <w:szCs w:val="21"/>
              </w:rPr>
              <w:t>环境风险类型</w:t>
            </w:r>
          </w:p>
        </w:tc>
        <w:tc>
          <w:tcPr>
            <w:tcW w:w="427" w:type="pct"/>
            <w:vAlign w:val="center"/>
          </w:tcPr>
          <w:p w14:paraId="7CB2DAA3">
            <w:pPr>
              <w:spacing w:line="240" w:lineRule="auto"/>
              <w:ind w:firstLine="0" w:firstLineChars="0"/>
              <w:jc w:val="center"/>
              <w:rPr>
                <w:b/>
                <w:sz w:val="21"/>
                <w:szCs w:val="21"/>
              </w:rPr>
            </w:pPr>
            <w:r>
              <w:rPr>
                <w:b/>
                <w:sz w:val="21"/>
                <w:szCs w:val="21"/>
              </w:rPr>
              <w:t>环境影响途径</w:t>
            </w:r>
          </w:p>
        </w:tc>
        <w:tc>
          <w:tcPr>
            <w:tcW w:w="815" w:type="pct"/>
            <w:vAlign w:val="center"/>
          </w:tcPr>
          <w:p w14:paraId="747A8856">
            <w:pPr>
              <w:spacing w:line="240" w:lineRule="auto"/>
              <w:ind w:firstLine="0" w:firstLineChars="0"/>
              <w:jc w:val="center"/>
              <w:rPr>
                <w:b/>
                <w:sz w:val="21"/>
                <w:szCs w:val="21"/>
              </w:rPr>
            </w:pPr>
            <w:r>
              <w:rPr>
                <w:b/>
                <w:sz w:val="21"/>
                <w:szCs w:val="21"/>
              </w:rPr>
              <w:t>可能受影响的环境敏感目标</w:t>
            </w:r>
          </w:p>
        </w:tc>
      </w:tr>
      <w:tr w14:paraId="587F0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2CEE3082">
            <w:pPr>
              <w:spacing w:line="240" w:lineRule="auto"/>
              <w:ind w:firstLine="0" w:firstLineChars="0"/>
              <w:jc w:val="center"/>
              <w:rPr>
                <w:bCs/>
                <w:sz w:val="21"/>
                <w:szCs w:val="21"/>
              </w:rPr>
            </w:pPr>
            <w:r>
              <w:rPr>
                <w:rFonts w:hint="eastAsia"/>
                <w:bCs/>
                <w:sz w:val="21"/>
                <w:szCs w:val="21"/>
              </w:rPr>
              <w:t>反应釜区</w:t>
            </w:r>
          </w:p>
        </w:tc>
        <w:tc>
          <w:tcPr>
            <w:tcW w:w="428" w:type="pct"/>
            <w:vMerge w:val="restart"/>
            <w:vAlign w:val="center"/>
          </w:tcPr>
          <w:p w14:paraId="48C7BC00">
            <w:pPr>
              <w:spacing w:line="240" w:lineRule="auto"/>
              <w:ind w:firstLine="0" w:firstLineChars="0"/>
              <w:jc w:val="center"/>
              <w:rPr>
                <w:sz w:val="21"/>
                <w:szCs w:val="21"/>
              </w:rPr>
            </w:pPr>
            <w:r>
              <w:rPr>
                <w:rFonts w:hint="eastAsia"/>
                <w:sz w:val="21"/>
                <w:szCs w:val="21"/>
              </w:rPr>
              <w:t>聚醚改性硅油</w:t>
            </w:r>
          </w:p>
        </w:tc>
        <w:tc>
          <w:tcPr>
            <w:tcW w:w="1026" w:type="pct"/>
            <w:vAlign w:val="center"/>
          </w:tcPr>
          <w:p w14:paraId="31841E7F">
            <w:pPr>
              <w:spacing w:line="240" w:lineRule="auto"/>
              <w:ind w:firstLine="0" w:firstLineChars="0"/>
              <w:jc w:val="center"/>
              <w:rPr>
                <w:sz w:val="21"/>
                <w:szCs w:val="21"/>
              </w:rPr>
            </w:pPr>
            <w:r>
              <w:rPr>
                <w:spacing w:val="-4"/>
                <w:sz w:val="21"/>
                <w:szCs w:val="21"/>
              </w:rPr>
              <w:t>反应釜</w:t>
            </w:r>
          </w:p>
        </w:tc>
        <w:tc>
          <w:tcPr>
            <w:tcW w:w="941" w:type="pct"/>
            <w:vAlign w:val="center"/>
          </w:tcPr>
          <w:p w14:paraId="3492C774">
            <w:pPr>
              <w:spacing w:line="240" w:lineRule="auto"/>
              <w:ind w:firstLine="0" w:firstLineChars="0"/>
              <w:jc w:val="center"/>
              <w:rPr>
                <w:sz w:val="21"/>
                <w:szCs w:val="21"/>
              </w:rPr>
            </w:pPr>
            <w:r>
              <w:rPr>
                <w:rFonts w:hint="eastAsia"/>
                <w:sz w:val="21"/>
                <w:szCs w:val="21"/>
                <w:u w:val="single"/>
              </w:rPr>
              <w:t>D4（八甲基环四硅氧烷）、硫酸、导热油、</w:t>
            </w:r>
            <w:r>
              <w:rPr>
                <w:rFonts w:hint="eastAsia"/>
                <w:bCs/>
                <w:sz w:val="21"/>
                <w:szCs w:val="21"/>
                <w:u w:val="single"/>
              </w:rPr>
              <w:t>低含氢硅油、双氧水</w:t>
            </w:r>
            <w:r>
              <w:rPr>
                <w:rFonts w:hint="eastAsia"/>
                <w:sz w:val="21"/>
                <w:szCs w:val="21"/>
                <w:u w:val="single"/>
              </w:rPr>
              <w:t>、二丙二醇</w:t>
            </w:r>
          </w:p>
        </w:tc>
        <w:tc>
          <w:tcPr>
            <w:tcW w:w="513" w:type="pct"/>
            <w:vAlign w:val="center"/>
          </w:tcPr>
          <w:p w14:paraId="7DFA7465">
            <w:pPr>
              <w:spacing w:line="240" w:lineRule="auto"/>
              <w:ind w:firstLine="0" w:firstLineChars="0"/>
              <w:jc w:val="center"/>
              <w:rPr>
                <w:bCs/>
                <w:sz w:val="21"/>
                <w:szCs w:val="21"/>
              </w:rPr>
            </w:pPr>
            <w:r>
              <w:rPr>
                <w:bCs/>
                <w:sz w:val="21"/>
                <w:szCs w:val="21"/>
              </w:rPr>
              <w:t>泄漏、火灾、爆炸</w:t>
            </w:r>
          </w:p>
        </w:tc>
        <w:tc>
          <w:tcPr>
            <w:tcW w:w="427" w:type="pct"/>
            <w:vAlign w:val="center"/>
          </w:tcPr>
          <w:p w14:paraId="0C503CEF">
            <w:pPr>
              <w:spacing w:line="240" w:lineRule="auto"/>
              <w:ind w:firstLine="0" w:firstLineChars="0"/>
              <w:jc w:val="center"/>
              <w:rPr>
                <w:bCs/>
                <w:sz w:val="21"/>
                <w:szCs w:val="21"/>
              </w:rPr>
            </w:pPr>
            <w:r>
              <w:rPr>
                <w:bCs/>
                <w:sz w:val="21"/>
                <w:szCs w:val="21"/>
              </w:rPr>
              <w:t>大气</w:t>
            </w:r>
          </w:p>
        </w:tc>
        <w:tc>
          <w:tcPr>
            <w:tcW w:w="815" w:type="pct"/>
            <w:vAlign w:val="center"/>
          </w:tcPr>
          <w:p w14:paraId="7D3E4236">
            <w:pPr>
              <w:spacing w:line="240" w:lineRule="auto"/>
              <w:ind w:firstLine="0" w:firstLineChars="0"/>
              <w:jc w:val="center"/>
              <w:rPr>
                <w:bCs/>
                <w:sz w:val="21"/>
                <w:szCs w:val="21"/>
              </w:rPr>
            </w:pPr>
            <w:r>
              <w:rPr>
                <w:bCs/>
                <w:sz w:val="21"/>
                <w:szCs w:val="21"/>
              </w:rPr>
              <w:t>周边</w:t>
            </w:r>
            <w:r>
              <w:rPr>
                <w:rFonts w:hint="eastAsia"/>
                <w:sz w:val="21"/>
                <w:szCs w:val="21"/>
              </w:rPr>
              <w:t>5km范围内</w:t>
            </w:r>
            <w:r>
              <w:rPr>
                <w:bCs/>
                <w:sz w:val="21"/>
                <w:szCs w:val="21"/>
              </w:rPr>
              <w:t>居民</w:t>
            </w:r>
          </w:p>
        </w:tc>
      </w:tr>
      <w:tr w14:paraId="61B06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50" w:type="pct"/>
            <w:vAlign w:val="center"/>
          </w:tcPr>
          <w:p w14:paraId="7D164601">
            <w:pPr>
              <w:spacing w:line="240" w:lineRule="auto"/>
              <w:ind w:firstLine="0" w:firstLineChars="0"/>
              <w:jc w:val="center"/>
              <w:rPr>
                <w:bCs/>
                <w:sz w:val="21"/>
                <w:szCs w:val="21"/>
              </w:rPr>
            </w:pPr>
            <w:r>
              <w:rPr>
                <w:rFonts w:hint="eastAsia"/>
                <w:bCs/>
                <w:sz w:val="21"/>
                <w:szCs w:val="21"/>
              </w:rPr>
              <w:t>电加热、制冷区</w:t>
            </w:r>
          </w:p>
        </w:tc>
        <w:tc>
          <w:tcPr>
            <w:tcW w:w="428" w:type="pct"/>
            <w:vMerge w:val="continue"/>
            <w:vAlign w:val="center"/>
          </w:tcPr>
          <w:p w14:paraId="5A88844E">
            <w:pPr>
              <w:spacing w:line="240" w:lineRule="auto"/>
              <w:ind w:firstLine="0" w:firstLineChars="0"/>
              <w:jc w:val="center"/>
              <w:rPr>
                <w:sz w:val="21"/>
                <w:szCs w:val="21"/>
              </w:rPr>
            </w:pPr>
          </w:p>
        </w:tc>
        <w:tc>
          <w:tcPr>
            <w:tcW w:w="1026" w:type="pct"/>
            <w:vAlign w:val="center"/>
          </w:tcPr>
          <w:p w14:paraId="42488C90">
            <w:pPr>
              <w:spacing w:line="240" w:lineRule="auto"/>
              <w:ind w:firstLine="0" w:firstLineChars="0"/>
              <w:jc w:val="center"/>
              <w:rPr>
                <w:spacing w:val="-4"/>
                <w:sz w:val="21"/>
                <w:szCs w:val="21"/>
              </w:rPr>
            </w:pPr>
            <w:r>
              <w:rPr>
                <w:rFonts w:hint="eastAsia"/>
                <w:spacing w:val="-4"/>
                <w:sz w:val="21"/>
                <w:szCs w:val="21"/>
              </w:rPr>
              <w:t>缓存罐</w:t>
            </w:r>
          </w:p>
        </w:tc>
        <w:tc>
          <w:tcPr>
            <w:tcW w:w="941" w:type="pct"/>
            <w:vAlign w:val="center"/>
          </w:tcPr>
          <w:p w14:paraId="74453D30">
            <w:pPr>
              <w:spacing w:line="240" w:lineRule="auto"/>
              <w:ind w:firstLine="0" w:firstLineChars="0"/>
              <w:jc w:val="center"/>
              <w:rPr>
                <w:sz w:val="21"/>
                <w:szCs w:val="21"/>
              </w:rPr>
            </w:pPr>
            <w:r>
              <w:rPr>
                <w:rFonts w:hint="eastAsia"/>
                <w:sz w:val="21"/>
                <w:szCs w:val="21"/>
              </w:rPr>
              <w:t>导热油</w:t>
            </w:r>
          </w:p>
        </w:tc>
        <w:tc>
          <w:tcPr>
            <w:tcW w:w="513" w:type="pct"/>
            <w:vAlign w:val="center"/>
          </w:tcPr>
          <w:p w14:paraId="1F494237">
            <w:pPr>
              <w:spacing w:line="240" w:lineRule="auto"/>
              <w:ind w:firstLine="0" w:firstLineChars="0"/>
              <w:jc w:val="center"/>
              <w:rPr>
                <w:bCs/>
                <w:sz w:val="21"/>
                <w:szCs w:val="21"/>
              </w:rPr>
            </w:pPr>
            <w:r>
              <w:rPr>
                <w:rFonts w:hint="eastAsia"/>
                <w:bCs/>
                <w:sz w:val="21"/>
                <w:szCs w:val="21"/>
              </w:rPr>
              <w:t>泄漏、火灾</w:t>
            </w:r>
          </w:p>
        </w:tc>
        <w:tc>
          <w:tcPr>
            <w:tcW w:w="427" w:type="pct"/>
            <w:vAlign w:val="center"/>
          </w:tcPr>
          <w:p w14:paraId="587E017C">
            <w:pPr>
              <w:spacing w:line="240" w:lineRule="auto"/>
              <w:ind w:firstLine="0" w:firstLineChars="0"/>
              <w:jc w:val="center"/>
              <w:rPr>
                <w:bCs/>
                <w:sz w:val="21"/>
                <w:szCs w:val="21"/>
              </w:rPr>
            </w:pPr>
            <w:r>
              <w:rPr>
                <w:bCs/>
                <w:sz w:val="21"/>
                <w:szCs w:val="21"/>
              </w:rPr>
              <w:t>大气</w:t>
            </w:r>
          </w:p>
        </w:tc>
        <w:tc>
          <w:tcPr>
            <w:tcW w:w="815" w:type="pct"/>
            <w:vAlign w:val="center"/>
          </w:tcPr>
          <w:p w14:paraId="750BD327">
            <w:pPr>
              <w:spacing w:line="240" w:lineRule="auto"/>
              <w:ind w:firstLine="0" w:firstLineChars="0"/>
              <w:jc w:val="center"/>
              <w:rPr>
                <w:bCs/>
                <w:sz w:val="21"/>
                <w:szCs w:val="21"/>
              </w:rPr>
            </w:pPr>
            <w:r>
              <w:rPr>
                <w:bCs/>
                <w:sz w:val="21"/>
                <w:szCs w:val="21"/>
              </w:rPr>
              <w:t>周边</w:t>
            </w:r>
            <w:r>
              <w:rPr>
                <w:rFonts w:hint="eastAsia"/>
                <w:sz w:val="21"/>
                <w:szCs w:val="21"/>
              </w:rPr>
              <w:t>5km范围内</w:t>
            </w:r>
            <w:r>
              <w:rPr>
                <w:bCs/>
                <w:sz w:val="21"/>
                <w:szCs w:val="21"/>
              </w:rPr>
              <w:t>居民</w:t>
            </w:r>
          </w:p>
        </w:tc>
      </w:tr>
      <w:tr w14:paraId="20975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78" w:type="pct"/>
            <w:gridSpan w:val="2"/>
            <w:vAlign w:val="center"/>
          </w:tcPr>
          <w:p w14:paraId="256DD539">
            <w:pPr>
              <w:spacing w:line="240" w:lineRule="auto"/>
              <w:ind w:firstLine="0" w:firstLineChars="0"/>
              <w:jc w:val="center"/>
              <w:rPr>
                <w:sz w:val="21"/>
                <w:szCs w:val="21"/>
                <w:u w:val="single"/>
              </w:rPr>
            </w:pPr>
            <w:r>
              <w:rPr>
                <w:rFonts w:hint="eastAsia"/>
                <w:bCs/>
                <w:sz w:val="21"/>
                <w:szCs w:val="21"/>
                <w:u w:val="single"/>
              </w:rPr>
              <w:t>原料区</w:t>
            </w:r>
          </w:p>
        </w:tc>
        <w:tc>
          <w:tcPr>
            <w:tcW w:w="1026" w:type="pct"/>
            <w:vAlign w:val="center"/>
          </w:tcPr>
          <w:p w14:paraId="0199A87A">
            <w:pPr>
              <w:spacing w:line="240" w:lineRule="auto"/>
              <w:ind w:firstLine="0" w:firstLineChars="0"/>
              <w:jc w:val="center"/>
              <w:rPr>
                <w:bCs/>
                <w:sz w:val="21"/>
                <w:szCs w:val="21"/>
                <w:u w:val="single"/>
              </w:rPr>
            </w:pPr>
            <w:r>
              <w:rPr>
                <w:rFonts w:hint="eastAsia"/>
                <w:sz w:val="21"/>
                <w:szCs w:val="21"/>
                <w:u w:val="single"/>
              </w:rPr>
              <w:t>D4（八甲基环四硅氧烷）、硫酸、过氧化氢、KF-99（高含氢硅油）、二丙二醇</w:t>
            </w:r>
          </w:p>
        </w:tc>
        <w:tc>
          <w:tcPr>
            <w:tcW w:w="941" w:type="pct"/>
            <w:vAlign w:val="center"/>
          </w:tcPr>
          <w:p w14:paraId="7EE10FB5">
            <w:pPr>
              <w:spacing w:line="240" w:lineRule="auto"/>
              <w:ind w:firstLine="0" w:firstLineChars="0"/>
              <w:jc w:val="center"/>
              <w:rPr>
                <w:b/>
                <w:sz w:val="21"/>
                <w:szCs w:val="21"/>
                <w:u w:val="single"/>
              </w:rPr>
            </w:pPr>
            <w:r>
              <w:rPr>
                <w:rFonts w:hint="eastAsia"/>
                <w:sz w:val="21"/>
                <w:szCs w:val="21"/>
                <w:u w:val="single"/>
              </w:rPr>
              <w:t>D4（八甲基环四硅氧烷）、硫酸、过氧化氢、KF-99（高含氢硅油）、二丙二醇、双氧水</w:t>
            </w:r>
          </w:p>
        </w:tc>
        <w:tc>
          <w:tcPr>
            <w:tcW w:w="513" w:type="pct"/>
            <w:vAlign w:val="center"/>
          </w:tcPr>
          <w:p w14:paraId="1B248639">
            <w:pPr>
              <w:spacing w:line="240" w:lineRule="auto"/>
              <w:ind w:firstLine="0" w:firstLineChars="0"/>
              <w:jc w:val="center"/>
              <w:rPr>
                <w:b/>
                <w:sz w:val="21"/>
                <w:szCs w:val="21"/>
                <w:u w:val="single"/>
              </w:rPr>
            </w:pPr>
            <w:r>
              <w:rPr>
                <w:bCs/>
                <w:sz w:val="21"/>
                <w:szCs w:val="21"/>
                <w:u w:val="single"/>
              </w:rPr>
              <w:t>泄漏、火灾、爆炸</w:t>
            </w:r>
          </w:p>
        </w:tc>
        <w:tc>
          <w:tcPr>
            <w:tcW w:w="427" w:type="pct"/>
            <w:vAlign w:val="center"/>
          </w:tcPr>
          <w:p w14:paraId="633DF446">
            <w:pPr>
              <w:spacing w:line="240" w:lineRule="auto"/>
              <w:ind w:firstLine="0" w:firstLineChars="0"/>
              <w:jc w:val="center"/>
              <w:rPr>
                <w:b/>
                <w:sz w:val="21"/>
                <w:szCs w:val="21"/>
                <w:u w:val="single"/>
              </w:rPr>
            </w:pPr>
            <w:r>
              <w:rPr>
                <w:bCs/>
                <w:sz w:val="21"/>
                <w:szCs w:val="21"/>
                <w:u w:val="single"/>
              </w:rPr>
              <w:t>大气</w:t>
            </w:r>
          </w:p>
        </w:tc>
        <w:tc>
          <w:tcPr>
            <w:tcW w:w="815" w:type="pct"/>
            <w:vAlign w:val="center"/>
          </w:tcPr>
          <w:p w14:paraId="5AD10AC7">
            <w:pPr>
              <w:spacing w:line="240" w:lineRule="auto"/>
              <w:ind w:firstLine="0" w:firstLineChars="0"/>
              <w:jc w:val="center"/>
              <w:rPr>
                <w:b/>
                <w:sz w:val="21"/>
                <w:szCs w:val="21"/>
                <w:u w:val="single"/>
              </w:rPr>
            </w:pPr>
            <w:r>
              <w:rPr>
                <w:bCs/>
                <w:sz w:val="21"/>
                <w:szCs w:val="21"/>
                <w:u w:val="single"/>
              </w:rPr>
              <w:t>周边</w:t>
            </w:r>
            <w:r>
              <w:rPr>
                <w:rFonts w:hint="eastAsia"/>
                <w:sz w:val="21"/>
                <w:szCs w:val="21"/>
                <w:u w:val="single"/>
              </w:rPr>
              <w:t>5km范围内</w:t>
            </w:r>
            <w:r>
              <w:rPr>
                <w:bCs/>
                <w:sz w:val="21"/>
                <w:szCs w:val="21"/>
                <w:u w:val="single"/>
              </w:rPr>
              <w:t>居民</w:t>
            </w:r>
          </w:p>
        </w:tc>
      </w:tr>
      <w:tr w14:paraId="5AAFD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78" w:type="pct"/>
            <w:gridSpan w:val="2"/>
            <w:vAlign w:val="center"/>
          </w:tcPr>
          <w:p w14:paraId="2405EE98">
            <w:pPr>
              <w:spacing w:line="240" w:lineRule="auto"/>
              <w:ind w:firstLine="0" w:firstLineChars="0"/>
              <w:jc w:val="center"/>
              <w:rPr>
                <w:bCs/>
                <w:sz w:val="21"/>
                <w:szCs w:val="21"/>
                <w:u w:val="single"/>
              </w:rPr>
            </w:pPr>
            <w:r>
              <w:rPr>
                <w:rFonts w:hint="eastAsia"/>
                <w:bCs/>
                <w:sz w:val="21"/>
                <w:szCs w:val="21"/>
                <w:u w:val="single"/>
              </w:rPr>
              <w:t>反应釜区、成品区</w:t>
            </w:r>
          </w:p>
        </w:tc>
        <w:tc>
          <w:tcPr>
            <w:tcW w:w="1026" w:type="pct"/>
            <w:vAlign w:val="center"/>
          </w:tcPr>
          <w:p w14:paraId="129F115E">
            <w:pPr>
              <w:spacing w:line="240" w:lineRule="auto"/>
              <w:ind w:firstLine="0" w:firstLineChars="0"/>
              <w:jc w:val="center"/>
              <w:rPr>
                <w:sz w:val="21"/>
                <w:szCs w:val="21"/>
                <w:u w:val="single"/>
              </w:rPr>
            </w:pPr>
            <w:r>
              <w:rPr>
                <w:rFonts w:hint="eastAsia"/>
                <w:sz w:val="21"/>
                <w:szCs w:val="21"/>
                <w:u w:val="single"/>
              </w:rPr>
              <w:t>KF-99（高含氢硅油）</w:t>
            </w:r>
          </w:p>
        </w:tc>
        <w:tc>
          <w:tcPr>
            <w:tcW w:w="941" w:type="pct"/>
            <w:vAlign w:val="center"/>
          </w:tcPr>
          <w:p w14:paraId="7B69F5F2">
            <w:pPr>
              <w:spacing w:line="240" w:lineRule="auto"/>
              <w:ind w:firstLine="0" w:firstLineChars="0"/>
              <w:jc w:val="center"/>
              <w:rPr>
                <w:sz w:val="21"/>
                <w:szCs w:val="21"/>
                <w:u w:val="single"/>
              </w:rPr>
            </w:pPr>
            <w:r>
              <w:rPr>
                <w:rFonts w:hint="eastAsia"/>
                <w:sz w:val="21"/>
                <w:szCs w:val="21"/>
                <w:u w:val="single"/>
              </w:rPr>
              <w:t>KF-99（高含氢硅油）</w:t>
            </w:r>
          </w:p>
        </w:tc>
        <w:tc>
          <w:tcPr>
            <w:tcW w:w="513" w:type="pct"/>
            <w:vAlign w:val="center"/>
          </w:tcPr>
          <w:p w14:paraId="2B0D4AF6">
            <w:pPr>
              <w:spacing w:line="240" w:lineRule="auto"/>
              <w:ind w:firstLine="0" w:firstLineChars="0"/>
              <w:jc w:val="center"/>
              <w:rPr>
                <w:bCs/>
                <w:sz w:val="21"/>
                <w:szCs w:val="21"/>
                <w:u w:val="single"/>
              </w:rPr>
            </w:pPr>
            <w:r>
              <w:rPr>
                <w:bCs/>
                <w:sz w:val="21"/>
                <w:szCs w:val="21"/>
                <w:u w:val="single"/>
              </w:rPr>
              <w:t>泄漏、火灾</w:t>
            </w:r>
          </w:p>
        </w:tc>
        <w:tc>
          <w:tcPr>
            <w:tcW w:w="427" w:type="pct"/>
            <w:vAlign w:val="center"/>
          </w:tcPr>
          <w:p w14:paraId="3801978F">
            <w:pPr>
              <w:spacing w:line="240" w:lineRule="auto"/>
              <w:ind w:firstLine="0" w:firstLineChars="0"/>
              <w:jc w:val="center"/>
              <w:rPr>
                <w:bCs/>
                <w:sz w:val="21"/>
                <w:szCs w:val="21"/>
                <w:u w:val="single"/>
              </w:rPr>
            </w:pPr>
            <w:r>
              <w:rPr>
                <w:bCs/>
                <w:sz w:val="21"/>
                <w:szCs w:val="21"/>
                <w:u w:val="single"/>
              </w:rPr>
              <w:t>大气</w:t>
            </w:r>
          </w:p>
        </w:tc>
        <w:tc>
          <w:tcPr>
            <w:tcW w:w="815" w:type="pct"/>
            <w:vAlign w:val="center"/>
          </w:tcPr>
          <w:p w14:paraId="30201AC6">
            <w:pPr>
              <w:spacing w:line="240" w:lineRule="auto"/>
              <w:ind w:firstLine="0" w:firstLineChars="0"/>
              <w:jc w:val="center"/>
              <w:rPr>
                <w:bCs/>
                <w:sz w:val="21"/>
                <w:szCs w:val="21"/>
                <w:u w:val="single"/>
              </w:rPr>
            </w:pPr>
            <w:r>
              <w:rPr>
                <w:bCs/>
                <w:sz w:val="21"/>
                <w:szCs w:val="21"/>
                <w:u w:val="single"/>
              </w:rPr>
              <w:t>周边</w:t>
            </w:r>
            <w:r>
              <w:rPr>
                <w:rFonts w:hint="eastAsia"/>
                <w:sz w:val="21"/>
                <w:szCs w:val="21"/>
                <w:u w:val="single"/>
              </w:rPr>
              <w:t>5km范围内</w:t>
            </w:r>
            <w:r>
              <w:rPr>
                <w:bCs/>
                <w:sz w:val="21"/>
                <w:szCs w:val="21"/>
                <w:u w:val="single"/>
              </w:rPr>
              <w:t>居民</w:t>
            </w:r>
          </w:p>
        </w:tc>
      </w:tr>
      <w:tr w14:paraId="6ACC9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78" w:type="pct"/>
            <w:gridSpan w:val="2"/>
            <w:vAlign w:val="center"/>
          </w:tcPr>
          <w:p w14:paraId="44B1CFC7">
            <w:pPr>
              <w:spacing w:line="240" w:lineRule="auto"/>
              <w:ind w:firstLine="0" w:firstLineChars="0"/>
              <w:jc w:val="center"/>
              <w:rPr>
                <w:bCs/>
                <w:sz w:val="21"/>
                <w:szCs w:val="21"/>
                <w:u w:val="single"/>
              </w:rPr>
            </w:pPr>
            <w:r>
              <w:rPr>
                <w:rFonts w:hint="eastAsia"/>
                <w:bCs/>
                <w:sz w:val="21"/>
                <w:szCs w:val="21"/>
                <w:u w:val="single"/>
              </w:rPr>
              <w:t>反应釜区、搅拌区、灌装区、成品区</w:t>
            </w:r>
          </w:p>
        </w:tc>
        <w:tc>
          <w:tcPr>
            <w:tcW w:w="1026" w:type="pct"/>
            <w:vAlign w:val="center"/>
          </w:tcPr>
          <w:p w14:paraId="747CD29E">
            <w:pPr>
              <w:spacing w:line="240" w:lineRule="auto"/>
              <w:ind w:firstLine="0" w:firstLineChars="0"/>
              <w:jc w:val="center"/>
              <w:rPr>
                <w:sz w:val="21"/>
                <w:szCs w:val="21"/>
                <w:u w:val="single"/>
              </w:rPr>
            </w:pPr>
            <w:r>
              <w:rPr>
                <w:rFonts w:hint="eastAsia"/>
                <w:sz w:val="21"/>
                <w:szCs w:val="21"/>
                <w:u w:val="single"/>
              </w:rPr>
              <w:t>聚醚改性硅油</w:t>
            </w:r>
          </w:p>
        </w:tc>
        <w:tc>
          <w:tcPr>
            <w:tcW w:w="941" w:type="pct"/>
            <w:vAlign w:val="center"/>
          </w:tcPr>
          <w:p w14:paraId="73A8E29E">
            <w:pPr>
              <w:spacing w:line="240" w:lineRule="auto"/>
              <w:ind w:firstLine="0" w:firstLineChars="0"/>
              <w:jc w:val="center"/>
              <w:rPr>
                <w:sz w:val="21"/>
                <w:szCs w:val="21"/>
                <w:u w:val="single"/>
              </w:rPr>
            </w:pPr>
            <w:r>
              <w:rPr>
                <w:rFonts w:hint="eastAsia"/>
                <w:sz w:val="21"/>
                <w:szCs w:val="21"/>
                <w:u w:val="single"/>
              </w:rPr>
              <w:t>聚醚改性硅油、D4</w:t>
            </w:r>
          </w:p>
        </w:tc>
        <w:tc>
          <w:tcPr>
            <w:tcW w:w="513" w:type="pct"/>
            <w:vAlign w:val="center"/>
          </w:tcPr>
          <w:p w14:paraId="310AC4E8">
            <w:pPr>
              <w:spacing w:line="240" w:lineRule="auto"/>
              <w:ind w:firstLine="0" w:firstLineChars="0"/>
              <w:jc w:val="center"/>
              <w:rPr>
                <w:bCs/>
                <w:sz w:val="21"/>
                <w:szCs w:val="21"/>
                <w:u w:val="single"/>
              </w:rPr>
            </w:pPr>
            <w:r>
              <w:rPr>
                <w:bCs/>
                <w:sz w:val="21"/>
                <w:szCs w:val="21"/>
                <w:u w:val="single"/>
              </w:rPr>
              <w:t>泄漏、火灾</w:t>
            </w:r>
          </w:p>
        </w:tc>
        <w:tc>
          <w:tcPr>
            <w:tcW w:w="427" w:type="pct"/>
            <w:vAlign w:val="center"/>
          </w:tcPr>
          <w:p w14:paraId="0530B55A">
            <w:pPr>
              <w:spacing w:line="240" w:lineRule="auto"/>
              <w:ind w:firstLine="0" w:firstLineChars="0"/>
              <w:jc w:val="center"/>
              <w:rPr>
                <w:bCs/>
                <w:sz w:val="21"/>
                <w:szCs w:val="21"/>
                <w:u w:val="single"/>
              </w:rPr>
            </w:pPr>
            <w:r>
              <w:rPr>
                <w:bCs/>
                <w:sz w:val="21"/>
                <w:szCs w:val="21"/>
                <w:u w:val="single"/>
              </w:rPr>
              <w:t>大气</w:t>
            </w:r>
          </w:p>
        </w:tc>
        <w:tc>
          <w:tcPr>
            <w:tcW w:w="815" w:type="pct"/>
            <w:vAlign w:val="center"/>
          </w:tcPr>
          <w:p w14:paraId="38A9F298">
            <w:pPr>
              <w:spacing w:line="240" w:lineRule="auto"/>
              <w:ind w:firstLine="0" w:firstLineChars="0"/>
              <w:jc w:val="center"/>
              <w:rPr>
                <w:bCs/>
                <w:sz w:val="21"/>
                <w:szCs w:val="21"/>
                <w:u w:val="single"/>
              </w:rPr>
            </w:pPr>
            <w:r>
              <w:rPr>
                <w:bCs/>
                <w:sz w:val="21"/>
                <w:szCs w:val="21"/>
                <w:u w:val="single"/>
              </w:rPr>
              <w:t>周边</w:t>
            </w:r>
            <w:r>
              <w:rPr>
                <w:rFonts w:hint="eastAsia"/>
                <w:sz w:val="21"/>
                <w:szCs w:val="21"/>
                <w:u w:val="single"/>
              </w:rPr>
              <w:t>5km范围内</w:t>
            </w:r>
            <w:r>
              <w:rPr>
                <w:bCs/>
                <w:sz w:val="21"/>
                <w:szCs w:val="21"/>
                <w:u w:val="single"/>
              </w:rPr>
              <w:t>居民</w:t>
            </w:r>
          </w:p>
        </w:tc>
      </w:tr>
      <w:tr w14:paraId="4895D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78" w:type="pct"/>
            <w:gridSpan w:val="2"/>
            <w:vAlign w:val="center"/>
          </w:tcPr>
          <w:p w14:paraId="69D6666A">
            <w:pPr>
              <w:spacing w:line="240" w:lineRule="auto"/>
              <w:ind w:firstLine="0" w:firstLineChars="0"/>
              <w:jc w:val="center"/>
              <w:rPr>
                <w:sz w:val="21"/>
                <w:szCs w:val="21"/>
              </w:rPr>
            </w:pPr>
            <w:r>
              <w:rPr>
                <w:sz w:val="21"/>
                <w:szCs w:val="21"/>
              </w:rPr>
              <w:t>废气治理设施</w:t>
            </w:r>
          </w:p>
        </w:tc>
        <w:tc>
          <w:tcPr>
            <w:tcW w:w="1026" w:type="pct"/>
            <w:vAlign w:val="center"/>
          </w:tcPr>
          <w:p w14:paraId="6123E5EB">
            <w:pPr>
              <w:spacing w:line="240" w:lineRule="auto"/>
              <w:ind w:firstLine="0" w:firstLineChars="0"/>
              <w:jc w:val="center"/>
              <w:rPr>
                <w:sz w:val="21"/>
                <w:szCs w:val="21"/>
                <w:u w:val="single"/>
              </w:rPr>
            </w:pPr>
            <w:r>
              <w:rPr>
                <w:rFonts w:hint="eastAsia"/>
                <w:sz w:val="21"/>
                <w:szCs w:val="21"/>
                <w:u w:val="single"/>
              </w:rPr>
              <w:t>设备自带冷凝+碱喷淋+水喷淋+除雾器+活性炭吸附装置</w:t>
            </w:r>
          </w:p>
        </w:tc>
        <w:tc>
          <w:tcPr>
            <w:tcW w:w="941" w:type="pct"/>
            <w:vAlign w:val="center"/>
          </w:tcPr>
          <w:p w14:paraId="39385A6A">
            <w:pPr>
              <w:spacing w:line="240" w:lineRule="auto"/>
              <w:ind w:firstLine="0" w:firstLineChars="0"/>
              <w:jc w:val="center"/>
              <w:rPr>
                <w:sz w:val="21"/>
                <w:szCs w:val="21"/>
              </w:rPr>
            </w:pPr>
            <w:r>
              <w:rPr>
                <w:rFonts w:hint="eastAsia"/>
                <w:sz w:val="21"/>
                <w:szCs w:val="21"/>
              </w:rPr>
              <w:t>氨、硫化氢、D4（八甲基环四硅氧烷）、硫酸</w:t>
            </w:r>
          </w:p>
        </w:tc>
        <w:tc>
          <w:tcPr>
            <w:tcW w:w="513" w:type="pct"/>
            <w:vAlign w:val="center"/>
          </w:tcPr>
          <w:p w14:paraId="41F15984">
            <w:pPr>
              <w:spacing w:line="240" w:lineRule="auto"/>
              <w:ind w:firstLine="0" w:firstLineChars="0"/>
              <w:jc w:val="center"/>
              <w:rPr>
                <w:sz w:val="21"/>
                <w:szCs w:val="21"/>
              </w:rPr>
            </w:pPr>
            <w:r>
              <w:rPr>
                <w:bCs/>
                <w:sz w:val="21"/>
                <w:szCs w:val="21"/>
              </w:rPr>
              <w:t>泄漏、火灾、爆炸</w:t>
            </w:r>
          </w:p>
        </w:tc>
        <w:tc>
          <w:tcPr>
            <w:tcW w:w="427" w:type="pct"/>
            <w:vAlign w:val="center"/>
          </w:tcPr>
          <w:p w14:paraId="630401F4">
            <w:pPr>
              <w:spacing w:line="240" w:lineRule="auto"/>
              <w:ind w:firstLine="0" w:firstLineChars="0"/>
              <w:jc w:val="center"/>
              <w:rPr>
                <w:sz w:val="21"/>
                <w:szCs w:val="21"/>
              </w:rPr>
            </w:pPr>
            <w:r>
              <w:rPr>
                <w:bCs/>
                <w:sz w:val="21"/>
                <w:szCs w:val="21"/>
              </w:rPr>
              <w:t>大气</w:t>
            </w:r>
          </w:p>
        </w:tc>
        <w:tc>
          <w:tcPr>
            <w:tcW w:w="815" w:type="pct"/>
            <w:vAlign w:val="center"/>
          </w:tcPr>
          <w:p w14:paraId="2BCBE826">
            <w:pPr>
              <w:spacing w:line="240" w:lineRule="auto"/>
              <w:ind w:firstLine="0" w:firstLineChars="0"/>
              <w:jc w:val="center"/>
              <w:rPr>
                <w:sz w:val="21"/>
                <w:szCs w:val="21"/>
              </w:rPr>
            </w:pPr>
            <w:r>
              <w:rPr>
                <w:bCs/>
                <w:sz w:val="21"/>
                <w:szCs w:val="21"/>
              </w:rPr>
              <w:t>周边</w:t>
            </w:r>
            <w:r>
              <w:rPr>
                <w:rFonts w:hint="eastAsia"/>
                <w:sz w:val="21"/>
                <w:szCs w:val="21"/>
              </w:rPr>
              <w:t>5km范围内</w:t>
            </w:r>
            <w:r>
              <w:rPr>
                <w:bCs/>
                <w:sz w:val="21"/>
                <w:szCs w:val="21"/>
              </w:rPr>
              <w:t>居民</w:t>
            </w:r>
          </w:p>
        </w:tc>
      </w:tr>
      <w:tr w14:paraId="267D6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78" w:type="pct"/>
            <w:gridSpan w:val="2"/>
            <w:vMerge w:val="restart"/>
            <w:vAlign w:val="center"/>
          </w:tcPr>
          <w:p w14:paraId="36CB53C7">
            <w:pPr>
              <w:spacing w:line="240" w:lineRule="auto"/>
              <w:ind w:firstLine="0" w:firstLineChars="0"/>
              <w:jc w:val="center"/>
              <w:rPr>
                <w:sz w:val="21"/>
                <w:szCs w:val="21"/>
              </w:rPr>
            </w:pPr>
            <w:r>
              <w:rPr>
                <w:sz w:val="21"/>
                <w:szCs w:val="21"/>
              </w:rPr>
              <w:t>危废暂存间</w:t>
            </w:r>
          </w:p>
        </w:tc>
        <w:tc>
          <w:tcPr>
            <w:tcW w:w="1026" w:type="pct"/>
            <w:vAlign w:val="center"/>
          </w:tcPr>
          <w:p w14:paraId="3159D169">
            <w:pPr>
              <w:spacing w:line="240" w:lineRule="auto"/>
              <w:ind w:firstLine="0" w:firstLineChars="0"/>
              <w:jc w:val="center"/>
              <w:rPr>
                <w:rFonts w:eastAsia="等线"/>
                <w:sz w:val="21"/>
                <w:szCs w:val="21"/>
              </w:rPr>
            </w:pPr>
            <w:r>
              <w:rPr>
                <w:rFonts w:hint="eastAsia"/>
                <w:sz w:val="21"/>
                <w:szCs w:val="21"/>
              </w:rPr>
              <w:t>化验室废物</w:t>
            </w:r>
          </w:p>
        </w:tc>
        <w:tc>
          <w:tcPr>
            <w:tcW w:w="941" w:type="pct"/>
            <w:vAlign w:val="center"/>
          </w:tcPr>
          <w:p w14:paraId="5DC373FF">
            <w:pPr>
              <w:spacing w:line="240" w:lineRule="auto"/>
              <w:ind w:firstLine="0" w:firstLineChars="0"/>
              <w:jc w:val="center"/>
              <w:rPr>
                <w:sz w:val="21"/>
                <w:szCs w:val="21"/>
              </w:rPr>
            </w:pPr>
            <w:r>
              <w:rPr>
                <w:rFonts w:hint="eastAsia"/>
                <w:sz w:val="21"/>
                <w:szCs w:val="21"/>
              </w:rPr>
              <w:t>D4（八甲基环四硅氧烷）、硫酸</w:t>
            </w:r>
          </w:p>
        </w:tc>
        <w:tc>
          <w:tcPr>
            <w:tcW w:w="513" w:type="pct"/>
            <w:vAlign w:val="center"/>
          </w:tcPr>
          <w:p w14:paraId="2E45E916">
            <w:pPr>
              <w:spacing w:line="240" w:lineRule="auto"/>
              <w:ind w:firstLine="0" w:firstLineChars="0"/>
              <w:jc w:val="center"/>
              <w:rPr>
                <w:sz w:val="21"/>
                <w:szCs w:val="21"/>
              </w:rPr>
            </w:pPr>
            <w:r>
              <w:rPr>
                <w:bCs/>
                <w:sz w:val="21"/>
                <w:szCs w:val="21"/>
              </w:rPr>
              <w:t>泄漏、火灾、爆炸</w:t>
            </w:r>
          </w:p>
        </w:tc>
        <w:tc>
          <w:tcPr>
            <w:tcW w:w="427" w:type="pct"/>
            <w:vAlign w:val="center"/>
          </w:tcPr>
          <w:p w14:paraId="4B0BB69A">
            <w:pPr>
              <w:spacing w:line="240" w:lineRule="auto"/>
              <w:ind w:firstLine="0" w:firstLineChars="0"/>
              <w:jc w:val="center"/>
              <w:rPr>
                <w:sz w:val="21"/>
                <w:szCs w:val="21"/>
              </w:rPr>
            </w:pPr>
            <w:r>
              <w:rPr>
                <w:bCs/>
                <w:sz w:val="21"/>
                <w:szCs w:val="21"/>
              </w:rPr>
              <w:t>大气</w:t>
            </w:r>
          </w:p>
        </w:tc>
        <w:tc>
          <w:tcPr>
            <w:tcW w:w="815" w:type="pct"/>
            <w:vAlign w:val="center"/>
          </w:tcPr>
          <w:p w14:paraId="1B6901F9">
            <w:pPr>
              <w:spacing w:line="240" w:lineRule="auto"/>
              <w:ind w:firstLine="0" w:firstLineChars="0"/>
              <w:jc w:val="center"/>
              <w:rPr>
                <w:sz w:val="21"/>
                <w:szCs w:val="21"/>
              </w:rPr>
            </w:pPr>
            <w:r>
              <w:rPr>
                <w:bCs/>
                <w:sz w:val="21"/>
                <w:szCs w:val="21"/>
              </w:rPr>
              <w:t>周边</w:t>
            </w:r>
            <w:r>
              <w:rPr>
                <w:rFonts w:hint="eastAsia"/>
                <w:sz w:val="21"/>
                <w:szCs w:val="21"/>
              </w:rPr>
              <w:t>5km范围内</w:t>
            </w:r>
            <w:r>
              <w:rPr>
                <w:bCs/>
                <w:sz w:val="21"/>
                <w:szCs w:val="21"/>
              </w:rPr>
              <w:t>居民</w:t>
            </w:r>
          </w:p>
        </w:tc>
      </w:tr>
      <w:tr w14:paraId="3D306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78" w:type="pct"/>
            <w:gridSpan w:val="2"/>
            <w:vMerge w:val="continue"/>
            <w:vAlign w:val="center"/>
          </w:tcPr>
          <w:p w14:paraId="056526B5">
            <w:pPr>
              <w:spacing w:line="240" w:lineRule="auto"/>
              <w:ind w:firstLine="0" w:firstLineChars="0"/>
              <w:jc w:val="center"/>
              <w:rPr>
                <w:sz w:val="21"/>
                <w:szCs w:val="21"/>
              </w:rPr>
            </w:pPr>
          </w:p>
        </w:tc>
        <w:tc>
          <w:tcPr>
            <w:tcW w:w="1026" w:type="pct"/>
            <w:vAlign w:val="center"/>
          </w:tcPr>
          <w:p w14:paraId="148AA37B">
            <w:pPr>
              <w:spacing w:line="240" w:lineRule="auto"/>
              <w:ind w:firstLine="0" w:firstLineChars="0"/>
              <w:jc w:val="center"/>
              <w:rPr>
                <w:sz w:val="21"/>
                <w:szCs w:val="21"/>
              </w:rPr>
            </w:pPr>
            <w:r>
              <w:rPr>
                <w:rFonts w:hint="eastAsia"/>
                <w:sz w:val="21"/>
                <w:szCs w:val="21"/>
                <w:u w:val="single"/>
              </w:rPr>
              <w:t>废导热油</w:t>
            </w:r>
          </w:p>
        </w:tc>
        <w:tc>
          <w:tcPr>
            <w:tcW w:w="941" w:type="pct"/>
            <w:vAlign w:val="center"/>
          </w:tcPr>
          <w:p w14:paraId="25AE623A">
            <w:pPr>
              <w:spacing w:line="240" w:lineRule="auto"/>
              <w:ind w:firstLine="0" w:firstLineChars="0"/>
              <w:jc w:val="center"/>
              <w:rPr>
                <w:sz w:val="21"/>
                <w:szCs w:val="21"/>
              </w:rPr>
            </w:pPr>
            <w:r>
              <w:rPr>
                <w:rFonts w:hint="eastAsia"/>
                <w:sz w:val="21"/>
                <w:szCs w:val="21"/>
                <w:u w:val="single"/>
              </w:rPr>
              <w:t>导热油</w:t>
            </w:r>
          </w:p>
        </w:tc>
        <w:tc>
          <w:tcPr>
            <w:tcW w:w="513" w:type="pct"/>
            <w:vAlign w:val="center"/>
          </w:tcPr>
          <w:p w14:paraId="2DFB1BEB">
            <w:pPr>
              <w:spacing w:line="240" w:lineRule="auto"/>
              <w:ind w:firstLine="0" w:firstLineChars="0"/>
              <w:jc w:val="center"/>
              <w:rPr>
                <w:bCs/>
                <w:sz w:val="21"/>
                <w:szCs w:val="21"/>
              </w:rPr>
            </w:pPr>
            <w:r>
              <w:rPr>
                <w:bCs/>
                <w:sz w:val="21"/>
                <w:szCs w:val="21"/>
              </w:rPr>
              <w:t>泄漏、火灾</w:t>
            </w:r>
          </w:p>
        </w:tc>
        <w:tc>
          <w:tcPr>
            <w:tcW w:w="427" w:type="pct"/>
            <w:vAlign w:val="center"/>
          </w:tcPr>
          <w:p w14:paraId="156ADFD7">
            <w:pPr>
              <w:spacing w:line="240" w:lineRule="auto"/>
              <w:ind w:firstLine="0" w:firstLineChars="0"/>
              <w:jc w:val="center"/>
              <w:rPr>
                <w:bCs/>
                <w:sz w:val="21"/>
                <w:szCs w:val="21"/>
              </w:rPr>
            </w:pPr>
            <w:r>
              <w:rPr>
                <w:bCs/>
                <w:sz w:val="21"/>
                <w:szCs w:val="21"/>
              </w:rPr>
              <w:t>大气</w:t>
            </w:r>
          </w:p>
        </w:tc>
        <w:tc>
          <w:tcPr>
            <w:tcW w:w="815" w:type="pct"/>
            <w:vAlign w:val="center"/>
          </w:tcPr>
          <w:p w14:paraId="4019E9F0">
            <w:pPr>
              <w:spacing w:line="240" w:lineRule="auto"/>
              <w:ind w:firstLine="0" w:firstLineChars="0"/>
              <w:jc w:val="center"/>
              <w:rPr>
                <w:bCs/>
                <w:sz w:val="21"/>
                <w:szCs w:val="21"/>
              </w:rPr>
            </w:pPr>
            <w:r>
              <w:rPr>
                <w:bCs/>
                <w:sz w:val="21"/>
                <w:szCs w:val="21"/>
              </w:rPr>
              <w:t>周边</w:t>
            </w:r>
            <w:r>
              <w:rPr>
                <w:rFonts w:hint="eastAsia"/>
                <w:sz w:val="21"/>
                <w:szCs w:val="21"/>
              </w:rPr>
              <w:t>5km范围内</w:t>
            </w:r>
            <w:r>
              <w:rPr>
                <w:bCs/>
                <w:sz w:val="21"/>
                <w:szCs w:val="21"/>
              </w:rPr>
              <w:t>居民</w:t>
            </w:r>
          </w:p>
        </w:tc>
      </w:tr>
      <w:tr w14:paraId="393E4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78" w:type="pct"/>
            <w:gridSpan w:val="2"/>
            <w:vMerge w:val="continue"/>
            <w:vAlign w:val="center"/>
          </w:tcPr>
          <w:p w14:paraId="45C5B86C">
            <w:pPr>
              <w:spacing w:line="240" w:lineRule="auto"/>
              <w:ind w:firstLine="0" w:firstLineChars="0"/>
              <w:jc w:val="center"/>
              <w:rPr>
                <w:sz w:val="21"/>
                <w:szCs w:val="21"/>
              </w:rPr>
            </w:pPr>
          </w:p>
        </w:tc>
        <w:tc>
          <w:tcPr>
            <w:tcW w:w="1026" w:type="pct"/>
            <w:vAlign w:val="center"/>
          </w:tcPr>
          <w:p w14:paraId="4D40E040">
            <w:pPr>
              <w:spacing w:line="240" w:lineRule="auto"/>
              <w:ind w:firstLine="0" w:firstLineChars="0"/>
              <w:jc w:val="center"/>
              <w:rPr>
                <w:sz w:val="21"/>
                <w:szCs w:val="21"/>
                <w:u w:val="single"/>
              </w:rPr>
            </w:pPr>
            <w:r>
              <w:rPr>
                <w:rFonts w:hint="eastAsia"/>
                <w:sz w:val="21"/>
                <w:szCs w:val="21"/>
                <w:u w:val="single"/>
              </w:rPr>
              <w:t>污油</w:t>
            </w:r>
          </w:p>
        </w:tc>
        <w:tc>
          <w:tcPr>
            <w:tcW w:w="941" w:type="pct"/>
            <w:vAlign w:val="center"/>
          </w:tcPr>
          <w:p w14:paraId="4CE7C8FF">
            <w:pPr>
              <w:spacing w:line="240" w:lineRule="auto"/>
              <w:ind w:firstLine="0" w:firstLineChars="0"/>
              <w:jc w:val="center"/>
              <w:rPr>
                <w:sz w:val="21"/>
                <w:szCs w:val="21"/>
                <w:u w:val="single"/>
              </w:rPr>
            </w:pPr>
            <w:r>
              <w:rPr>
                <w:rFonts w:hint="eastAsia"/>
                <w:sz w:val="21"/>
                <w:szCs w:val="21"/>
                <w:u w:val="single"/>
              </w:rPr>
              <w:t>KF-99（高含氢硅油）、低含氢硅油</w:t>
            </w:r>
          </w:p>
        </w:tc>
        <w:tc>
          <w:tcPr>
            <w:tcW w:w="513" w:type="pct"/>
            <w:vAlign w:val="center"/>
          </w:tcPr>
          <w:p w14:paraId="7316BEFE">
            <w:pPr>
              <w:spacing w:line="240" w:lineRule="auto"/>
              <w:ind w:firstLine="0" w:firstLineChars="0"/>
              <w:jc w:val="center"/>
              <w:rPr>
                <w:bCs/>
                <w:sz w:val="21"/>
                <w:szCs w:val="21"/>
              </w:rPr>
            </w:pPr>
            <w:r>
              <w:rPr>
                <w:bCs/>
                <w:sz w:val="21"/>
                <w:szCs w:val="21"/>
              </w:rPr>
              <w:t>泄漏、火灾</w:t>
            </w:r>
          </w:p>
        </w:tc>
        <w:tc>
          <w:tcPr>
            <w:tcW w:w="427" w:type="pct"/>
            <w:vAlign w:val="center"/>
          </w:tcPr>
          <w:p w14:paraId="4AAA06BE">
            <w:pPr>
              <w:spacing w:line="240" w:lineRule="auto"/>
              <w:ind w:firstLine="0" w:firstLineChars="0"/>
              <w:jc w:val="center"/>
              <w:rPr>
                <w:bCs/>
                <w:sz w:val="21"/>
                <w:szCs w:val="21"/>
              </w:rPr>
            </w:pPr>
            <w:r>
              <w:rPr>
                <w:bCs/>
                <w:sz w:val="21"/>
                <w:szCs w:val="21"/>
              </w:rPr>
              <w:t>大气</w:t>
            </w:r>
          </w:p>
        </w:tc>
        <w:tc>
          <w:tcPr>
            <w:tcW w:w="815" w:type="pct"/>
            <w:vAlign w:val="center"/>
          </w:tcPr>
          <w:p w14:paraId="77D17339">
            <w:pPr>
              <w:spacing w:line="240" w:lineRule="auto"/>
              <w:ind w:firstLine="0" w:firstLineChars="0"/>
              <w:jc w:val="center"/>
              <w:rPr>
                <w:bCs/>
                <w:sz w:val="21"/>
                <w:szCs w:val="21"/>
              </w:rPr>
            </w:pPr>
            <w:r>
              <w:rPr>
                <w:bCs/>
                <w:sz w:val="21"/>
                <w:szCs w:val="21"/>
              </w:rPr>
              <w:t>周边</w:t>
            </w:r>
            <w:r>
              <w:rPr>
                <w:rFonts w:hint="eastAsia"/>
                <w:sz w:val="21"/>
                <w:szCs w:val="21"/>
              </w:rPr>
              <w:t>5km范围内</w:t>
            </w:r>
            <w:r>
              <w:rPr>
                <w:bCs/>
                <w:sz w:val="21"/>
                <w:szCs w:val="21"/>
              </w:rPr>
              <w:t>居民</w:t>
            </w:r>
          </w:p>
        </w:tc>
      </w:tr>
    </w:tbl>
    <w:p w14:paraId="4D53F87C">
      <w:pPr>
        <w:pStyle w:val="2"/>
        <w:spacing w:after="0" w:line="360" w:lineRule="auto"/>
        <w:ind w:firstLine="0" w:firstLineChars="0"/>
      </w:pPr>
    </w:p>
    <w:p w14:paraId="5AB2DEFB">
      <w:pPr>
        <w:pStyle w:val="2"/>
        <w:spacing w:after="0" w:line="360" w:lineRule="auto"/>
        <w:ind w:firstLine="0" w:firstLineChars="0"/>
        <w:rPr>
          <w:highlight w:val="yellow"/>
        </w:rPr>
      </w:pPr>
      <w:r>
        <w:rPr>
          <w:rFonts w:hint="eastAsia"/>
        </w:rPr>
        <mc:AlternateContent>
          <mc:Choice Requires="wps">
            <w:drawing>
              <wp:anchor distT="0" distB="0" distL="114300" distR="114300" simplePos="0" relativeHeight="251671552" behindDoc="0" locked="0" layoutInCell="1" allowOverlap="1">
                <wp:simplePos x="0" y="0"/>
                <wp:positionH relativeFrom="column">
                  <wp:posOffset>2316480</wp:posOffset>
                </wp:positionH>
                <wp:positionV relativeFrom="paragraph">
                  <wp:posOffset>2494280</wp:posOffset>
                </wp:positionV>
                <wp:extent cx="2057400" cy="868680"/>
                <wp:effectExtent l="0" t="0" r="19050" b="26670"/>
                <wp:wrapNone/>
                <wp:docPr id="910689997" name="直接连接符 17"/>
                <wp:cNvGraphicFramePr/>
                <a:graphic xmlns:a="http://schemas.openxmlformats.org/drawingml/2006/main">
                  <a:graphicData uri="http://schemas.microsoft.com/office/word/2010/wordprocessingShape">
                    <wps:wsp>
                      <wps:cNvCnPr/>
                      <wps:spPr>
                        <a:xfrm>
                          <a:off x="0" y="0"/>
                          <a:ext cx="2057400" cy="868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7" o:spid="_x0000_s1026" o:spt="20" style="position:absolute;left:0pt;margin-left:182.4pt;margin-top:196.4pt;height:68.4pt;width:162pt;z-index:251671552;mso-width-relative:page;mso-height-relative:page;" filled="f" stroked="t" coordsize="21600,21600" o:gfxdata="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pydaNoAAAALAQAADwAAAAAAAAABACAAAAAiAAAAZHJz&#10;L2Rvd25yZXYueG1sUEsBAhQAFAAAAAgAh07iQNkBF8ICAgAA4QMAAA4AAAAAAAAAAQAgAAAAKQEA&#10;AGRycy9lMm9Eb2MueG1sUEsFBgAAAAAGAAYAWQEAAJ0FAAAAAA==&#10;">
                <v:fill on="f" focussize="0,0"/>
                <v:stroke color="#A1B28E [3204]" joinstyle="round"/>
                <v:imagedata o:title=""/>
                <o:lock v:ext="edit" aspectratio="f"/>
              </v:line>
            </w:pict>
          </mc:Fallback>
        </mc:AlternateContent>
      </w:r>
      <w:r>
        <w:drawing>
          <wp:inline distT="0" distB="0" distL="0" distR="0">
            <wp:extent cx="5454015" cy="6525895"/>
            <wp:effectExtent l="0" t="0" r="13335" b="8255"/>
            <wp:docPr id="150390086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00866" name="图片 1" descr="图示&#10;&#10;描述已自动生成"/>
                    <pic:cNvPicPr>
                      <a:picLocks noChangeAspect="1"/>
                    </pic:cNvPicPr>
                  </pic:nvPicPr>
                  <pic:blipFill>
                    <a:blip r:embed="rId146"/>
                    <a:srcRect/>
                    <a:stretch>
                      <a:fillRect/>
                    </a:stretch>
                  </pic:blipFill>
                  <pic:spPr>
                    <a:xfrm>
                      <a:off x="0" y="0"/>
                      <a:ext cx="5454015" cy="6525895"/>
                    </a:xfrm>
                    <a:prstGeom prst="rect">
                      <a:avLst/>
                    </a:prstGeom>
                    <a:ln>
                      <a:noFill/>
                    </a:ln>
                  </pic:spPr>
                </pic:pic>
              </a:graphicData>
            </a:graphic>
          </wp:inline>
        </w:drawing>
      </w:r>
    </w:p>
    <w:p w14:paraId="08EA5A71">
      <w:pPr>
        <w:pStyle w:val="2"/>
        <w:numPr>
          <w:ilvl w:val="0"/>
          <w:numId w:val="43"/>
        </w:numPr>
        <w:spacing w:after="0"/>
        <w:ind w:left="0" w:firstLine="0" w:firstLineChars="0"/>
        <w:jc w:val="center"/>
        <w:rPr>
          <w:rFonts w:eastAsia="黑体"/>
          <w:bCs/>
          <w:u w:val="single"/>
        </w:rPr>
      </w:pPr>
      <w:r>
        <w:rPr>
          <w:rFonts w:eastAsia="黑体"/>
          <w:bCs/>
          <w:u w:val="single"/>
        </w:rPr>
        <w:t xml:space="preserve">   项目危险单元分布图</w:t>
      </w:r>
    </w:p>
    <w:p w14:paraId="64D58DA3">
      <w:pPr>
        <w:pStyle w:val="5"/>
        <w:spacing w:before="312" w:after="312"/>
        <w:ind w:firstLine="482"/>
      </w:pPr>
      <w:r>
        <w:rPr>
          <w:rFonts w:hint="eastAsia"/>
        </w:rPr>
        <w:t>风险源的危险性、存在条件和转化为事故的触发因素</w:t>
      </w:r>
    </w:p>
    <w:p w14:paraId="0A7D8D04">
      <w:pPr>
        <w:pStyle w:val="99"/>
        <w:numPr>
          <w:ilvl w:val="4"/>
          <w:numId w:val="42"/>
        </w:numPr>
        <w:ind w:left="0" w:firstLine="480"/>
        <w:rPr>
          <w:rFonts w:eastAsia="黑体"/>
        </w:rPr>
      </w:pPr>
      <w:r>
        <w:rPr>
          <w:rFonts w:hint="eastAsia" w:eastAsia="黑体"/>
        </w:rPr>
        <w:t xml:space="preserve">     工程危险物质储存情况及危险单元一览表</w:t>
      </w: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91"/>
        <w:gridCol w:w="996"/>
        <w:gridCol w:w="1850"/>
        <w:gridCol w:w="1422"/>
        <w:gridCol w:w="854"/>
        <w:gridCol w:w="2213"/>
      </w:tblGrid>
      <w:tr w14:paraId="57AC7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988" w:type="dxa"/>
            <w:vAlign w:val="center"/>
          </w:tcPr>
          <w:p w14:paraId="5CEE2A7A">
            <w:pPr>
              <w:pStyle w:val="2"/>
              <w:spacing w:after="0" w:line="240" w:lineRule="auto"/>
              <w:ind w:firstLine="0" w:firstLineChars="0"/>
              <w:jc w:val="center"/>
              <w:rPr>
                <w:b/>
                <w:bCs/>
                <w:sz w:val="21"/>
                <w:szCs w:val="21"/>
                <w:u w:val="single"/>
              </w:rPr>
            </w:pPr>
            <w:r>
              <w:rPr>
                <w:b/>
                <w:bCs/>
                <w:sz w:val="21"/>
                <w:szCs w:val="21"/>
                <w:u w:val="single"/>
              </w:rPr>
              <w:t>单元名称</w:t>
            </w:r>
          </w:p>
        </w:tc>
        <w:tc>
          <w:tcPr>
            <w:tcW w:w="992" w:type="dxa"/>
            <w:vAlign w:val="center"/>
          </w:tcPr>
          <w:p w14:paraId="37E06A61">
            <w:pPr>
              <w:pStyle w:val="2"/>
              <w:spacing w:after="0" w:line="240" w:lineRule="auto"/>
              <w:ind w:firstLine="0" w:firstLineChars="0"/>
              <w:jc w:val="center"/>
              <w:rPr>
                <w:b/>
                <w:bCs/>
                <w:sz w:val="21"/>
                <w:szCs w:val="21"/>
                <w:u w:val="single"/>
              </w:rPr>
            </w:pPr>
            <w:r>
              <w:rPr>
                <w:b/>
                <w:bCs/>
                <w:sz w:val="21"/>
                <w:szCs w:val="21"/>
                <w:u w:val="single"/>
              </w:rPr>
              <w:t>存在条件</w:t>
            </w:r>
          </w:p>
        </w:tc>
        <w:tc>
          <w:tcPr>
            <w:tcW w:w="1843" w:type="dxa"/>
            <w:vAlign w:val="center"/>
          </w:tcPr>
          <w:p w14:paraId="375DDFD5">
            <w:pPr>
              <w:pStyle w:val="2"/>
              <w:spacing w:after="0" w:line="240" w:lineRule="auto"/>
              <w:ind w:firstLine="0" w:firstLineChars="0"/>
              <w:jc w:val="center"/>
              <w:rPr>
                <w:b/>
                <w:bCs/>
                <w:sz w:val="21"/>
                <w:szCs w:val="21"/>
                <w:u w:val="single"/>
              </w:rPr>
            </w:pPr>
            <w:r>
              <w:rPr>
                <w:b/>
                <w:bCs/>
                <w:sz w:val="21"/>
                <w:szCs w:val="21"/>
                <w:u w:val="single"/>
              </w:rPr>
              <w:t>风险源</w:t>
            </w:r>
          </w:p>
        </w:tc>
        <w:tc>
          <w:tcPr>
            <w:tcW w:w="1417" w:type="dxa"/>
            <w:vAlign w:val="center"/>
          </w:tcPr>
          <w:p w14:paraId="2760CAFE">
            <w:pPr>
              <w:pStyle w:val="2"/>
              <w:spacing w:after="0" w:line="240" w:lineRule="auto"/>
              <w:ind w:firstLine="0" w:firstLineChars="0"/>
              <w:jc w:val="center"/>
              <w:rPr>
                <w:b/>
                <w:bCs/>
                <w:sz w:val="21"/>
                <w:szCs w:val="21"/>
                <w:u w:val="single"/>
              </w:rPr>
            </w:pPr>
            <w:r>
              <w:rPr>
                <w:rFonts w:hint="eastAsia"/>
                <w:b/>
                <w:bCs/>
                <w:sz w:val="21"/>
                <w:szCs w:val="21"/>
                <w:u w:val="single"/>
              </w:rPr>
              <w:t>主要危险物质</w:t>
            </w:r>
          </w:p>
        </w:tc>
        <w:tc>
          <w:tcPr>
            <w:tcW w:w="851" w:type="dxa"/>
            <w:vAlign w:val="center"/>
          </w:tcPr>
          <w:p w14:paraId="4758393B">
            <w:pPr>
              <w:pStyle w:val="2"/>
              <w:spacing w:after="0" w:line="240" w:lineRule="auto"/>
              <w:ind w:firstLine="0" w:firstLineChars="0"/>
              <w:jc w:val="center"/>
              <w:rPr>
                <w:b/>
                <w:bCs/>
                <w:sz w:val="21"/>
                <w:szCs w:val="21"/>
                <w:u w:val="single"/>
              </w:rPr>
            </w:pPr>
            <w:r>
              <w:rPr>
                <w:b/>
                <w:bCs/>
                <w:sz w:val="21"/>
                <w:szCs w:val="21"/>
                <w:u w:val="single"/>
              </w:rPr>
              <w:t>危险性</w:t>
            </w:r>
          </w:p>
        </w:tc>
        <w:tc>
          <w:tcPr>
            <w:tcW w:w="2205" w:type="dxa"/>
            <w:vAlign w:val="center"/>
          </w:tcPr>
          <w:p w14:paraId="1E9866CD">
            <w:pPr>
              <w:pStyle w:val="2"/>
              <w:spacing w:after="0" w:line="240" w:lineRule="auto"/>
              <w:ind w:firstLine="0" w:firstLineChars="0"/>
              <w:jc w:val="center"/>
              <w:rPr>
                <w:b/>
                <w:bCs/>
                <w:sz w:val="21"/>
                <w:szCs w:val="21"/>
                <w:u w:val="single"/>
              </w:rPr>
            </w:pPr>
            <w:r>
              <w:rPr>
                <w:b/>
                <w:bCs/>
                <w:sz w:val="21"/>
                <w:szCs w:val="21"/>
                <w:u w:val="single"/>
              </w:rPr>
              <w:t>事故触发因素</w:t>
            </w:r>
          </w:p>
        </w:tc>
      </w:tr>
      <w:tr w14:paraId="750E6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Align w:val="center"/>
          </w:tcPr>
          <w:p w14:paraId="0F256D13">
            <w:pPr>
              <w:pStyle w:val="2"/>
              <w:spacing w:after="0" w:line="240" w:lineRule="auto"/>
              <w:ind w:firstLine="0" w:firstLineChars="0"/>
              <w:jc w:val="center"/>
              <w:rPr>
                <w:sz w:val="21"/>
                <w:szCs w:val="21"/>
                <w:u w:val="single"/>
              </w:rPr>
            </w:pPr>
            <w:r>
              <w:rPr>
                <w:rFonts w:hint="eastAsia"/>
                <w:bCs/>
                <w:sz w:val="21"/>
                <w:szCs w:val="21"/>
                <w:u w:val="single"/>
              </w:rPr>
              <w:t>反应釜区</w:t>
            </w:r>
          </w:p>
        </w:tc>
        <w:tc>
          <w:tcPr>
            <w:tcW w:w="992" w:type="dxa"/>
            <w:vAlign w:val="center"/>
          </w:tcPr>
          <w:p w14:paraId="29D61C63">
            <w:pPr>
              <w:pStyle w:val="2"/>
              <w:spacing w:after="0" w:line="240" w:lineRule="auto"/>
              <w:ind w:firstLine="0" w:firstLineChars="0"/>
              <w:jc w:val="center"/>
              <w:rPr>
                <w:sz w:val="21"/>
                <w:szCs w:val="21"/>
                <w:u w:val="single"/>
              </w:rPr>
            </w:pPr>
            <w:r>
              <w:rPr>
                <w:rFonts w:hint="eastAsia"/>
                <w:sz w:val="21"/>
                <w:szCs w:val="21"/>
                <w:u w:val="single"/>
              </w:rPr>
              <w:t>-0.1</w:t>
            </w:r>
            <w:r>
              <w:rPr>
                <w:sz w:val="21"/>
                <w:szCs w:val="21"/>
                <w:u w:val="single"/>
              </w:rPr>
              <w:t>Pa-常压，</w:t>
            </w:r>
            <w:r>
              <w:rPr>
                <w:rFonts w:hint="eastAsia"/>
                <w:sz w:val="21"/>
                <w:szCs w:val="21"/>
                <w:u w:val="single"/>
              </w:rPr>
              <w:t>常温</w:t>
            </w:r>
            <w:r>
              <w:rPr>
                <w:sz w:val="21"/>
                <w:szCs w:val="21"/>
                <w:u w:val="single"/>
              </w:rPr>
              <w:t>-1</w:t>
            </w:r>
            <w:r>
              <w:rPr>
                <w:rFonts w:hint="eastAsia"/>
                <w:sz w:val="21"/>
                <w:szCs w:val="21"/>
                <w:u w:val="single"/>
              </w:rPr>
              <w:t>2</w:t>
            </w:r>
            <w:r>
              <w:rPr>
                <w:sz w:val="21"/>
                <w:szCs w:val="21"/>
                <w:u w:val="single"/>
              </w:rPr>
              <w:t>0℃</w:t>
            </w:r>
          </w:p>
        </w:tc>
        <w:tc>
          <w:tcPr>
            <w:tcW w:w="1843" w:type="dxa"/>
            <w:vAlign w:val="center"/>
          </w:tcPr>
          <w:p w14:paraId="160BDB6F">
            <w:pPr>
              <w:pStyle w:val="2"/>
              <w:spacing w:after="0" w:line="240" w:lineRule="auto"/>
              <w:ind w:firstLine="0" w:firstLineChars="0"/>
              <w:jc w:val="center"/>
              <w:rPr>
                <w:sz w:val="21"/>
                <w:szCs w:val="21"/>
                <w:u w:val="single"/>
              </w:rPr>
            </w:pPr>
            <w:r>
              <w:rPr>
                <w:spacing w:val="-4"/>
                <w:sz w:val="21"/>
                <w:szCs w:val="21"/>
                <w:u w:val="single"/>
              </w:rPr>
              <w:t>反应釜</w:t>
            </w:r>
          </w:p>
        </w:tc>
        <w:tc>
          <w:tcPr>
            <w:tcW w:w="1417" w:type="dxa"/>
            <w:vAlign w:val="center"/>
          </w:tcPr>
          <w:p w14:paraId="5FEDE027">
            <w:pPr>
              <w:pStyle w:val="2"/>
              <w:spacing w:after="0" w:line="240" w:lineRule="auto"/>
              <w:ind w:firstLine="0" w:firstLineChars="0"/>
              <w:jc w:val="center"/>
              <w:rPr>
                <w:sz w:val="21"/>
                <w:szCs w:val="21"/>
                <w:u w:val="single"/>
              </w:rPr>
            </w:pPr>
            <w:r>
              <w:rPr>
                <w:rFonts w:hint="eastAsia"/>
                <w:sz w:val="21"/>
                <w:szCs w:val="21"/>
                <w:u w:val="single"/>
              </w:rPr>
              <w:t>D4（八甲基环四硅氧烷）、硫酸、导热油</w:t>
            </w:r>
          </w:p>
        </w:tc>
        <w:tc>
          <w:tcPr>
            <w:tcW w:w="851" w:type="dxa"/>
            <w:vAlign w:val="center"/>
          </w:tcPr>
          <w:p w14:paraId="43BD262A">
            <w:pPr>
              <w:pStyle w:val="2"/>
              <w:spacing w:after="0" w:line="240" w:lineRule="auto"/>
              <w:ind w:firstLine="0" w:firstLineChars="0"/>
              <w:jc w:val="center"/>
              <w:rPr>
                <w:sz w:val="21"/>
                <w:szCs w:val="21"/>
                <w:u w:val="single"/>
              </w:rPr>
            </w:pPr>
            <w:r>
              <w:rPr>
                <w:sz w:val="21"/>
                <w:szCs w:val="21"/>
                <w:u w:val="single"/>
              </w:rPr>
              <w:t>易燃易爆有毒有害</w:t>
            </w:r>
          </w:p>
        </w:tc>
        <w:tc>
          <w:tcPr>
            <w:tcW w:w="2205" w:type="dxa"/>
            <w:vAlign w:val="center"/>
          </w:tcPr>
          <w:p w14:paraId="4A6DE59C">
            <w:pPr>
              <w:pStyle w:val="2"/>
              <w:spacing w:after="0" w:line="240" w:lineRule="auto"/>
              <w:ind w:firstLine="0" w:firstLineChars="0"/>
              <w:jc w:val="center"/>
              <w:rPr>
                <w:sz w:val="21"/>
                <w:szCs w:val="21"/>
                <w:u w:val="single"/>
              </w:rPr>
            </w:pPr>
            <w:r>
              <w:rPr>
                <w:rFonts w:hint="eastAsia"/>
                <w:sz w:val="21"/>
                <w:szCs w:val="21"/>
                <w:u w:val="single"/>
              </w:rPr>
              <w:t>设备腐蚀、材质缺陷、操作失误、超压或不可抗力等引发泄漏</w:t>
            </w:r>
          </w:p>
        </w:tc>
      </w:tr>
      <w:tr w14:paraId="34136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Align w:val="center"/>
          </w:tcPr>
          <w:p w14:paraId="45C66C2F">
            <w:pPr>
              <w:pStyle w:val="2"/>
              <w:spacing w:after="0" w:line="240" w:lineRule="auto"/>
              <w:ind w:firstLine="0" w:firstLineChars="0"/>
              <w:jc w:val="center"/>
              <w:rPr>
                <w:sz w:val="21"/>
                <w:szCs w:val="21"/>
                <w:u w:val="single"/>
              </w:rPr>
            </w:pPr>
            <w:r>
              <w:rPr>
                <w:rFonts w:hint="eastAsia"/>
                <w:bCs/>
                <w:sz w:val="21"/>
                <w:szCs w:val="21"/>
                <w:u w:val="single"/>
              </w:rPr>
              <w:t>电加热、制冷区</w:t>
            </w:r>
          </w:p>
        </w:tc>
        <w:tc>
          <w:tcPr>
            <w:tcW w:w="992" w:type="dxa"/>
            <w:vAlign w:val="center"/>
          </w:tcPr>
          <w:p w14:paraId="68311EAA">
            <w:pPr>
              <w:pStyle w:val="2"/>
              <w:spacing w:after="0" w:line="240" w:lineRule="auto"/>
              <w:ind w:firstLine="0" w:firstLineChars="0"/>
              <w:jc w:val="center"/>
              <w:rPr>
                <w:sz w:val="21"/>
                <w:szCs w:val="21"/>
                <w:u w:val="single"/>
              </w:rPr>
            </w:pPr>
            <w:r>
              <w:rPr>
                <w:sz w:val="21"/>
                <w:szCs w:val="21"/>
                <w:u w:val="single"/>
              </w:rPr>
              <w:t>常压，</w:t>
            </w:r>
            <w:r>
              <w:rPr>
                <w:rFonts w:hint="eastAsia"/>
                <w:sz w:val="21"/>
                <w:szCs w:val="21"/>
                <w:u w:val="single"/>
              </w:rPr>
              <w:t>常温</w:t>
            </w:r>
            <w:r>
              <w:rPr>
                <w:sz w:val="21"/>
                <w:szCs w:val="21"/>
                <w:u w:val="single"/>
              </w:rPr>
              <w:t>-</w:t>
            </w:r>
            <w:r>
              <w:rPr>
                <w:rFonts w:hint="eastAsia"/>
                <w:sz w:val="21"/>
                <w:szCs w:val="21"/>
                <w:u w:val="single"/>
              </w:rPr>
              <w:t>12</w:t>
            </w:r>
            <w:r>
              <w:rPr>
                <w:sz w:val="21"/>
                <w:szCs w:val="21"/>
                <w:u w:val="single"/>
              </w:rPr>
              <w:t>0℃</w:t>
            </w:r>
          </w:p>
        </w:tc>
        <w:tc>
          <w:tcPr>
            <w:tcW w:w="1843" w:type="dxa"/>
            <w:vAlign w:val="center"/>
          </w:tcPr>
          <w:p w14:paraId="3F72468F">
            <w:pPr>
              <w:pStyle w:val="2"/>
              <w:spacing w:after="0" w:line="240" w:lineRule="auto"/>
              <w:ind w:firstLine="0" w:firstLineChars="0"/>
              <w:jc w:val="center"/>
              <w:rPr>
                <w:sz w:val="21"/>
                <w:szCs w:val="21"/>
                <w:u w:val="single"/>
              </w:rPr>
            </w:pPr>
            <w:r>
              <w:rPr>
                <w:rFonts w:hint="eastAsia"/>
                <w:spacing w:val="-4"/>
                <w:sz w:val="21"/>
                <w:szCs w:val="21"/>
                <w:u w:val="single"/>
              </w:rPr>
              <w:t>导热油缓存罐</w:t>
            </w:r>
          </w:p>
        </w:tc>
        <w:tc>
          <w:tcPr>
            <w:tcW w:w="1417" w:type="dxa"/>
            <w:vAlign w:val="center"/>
          </w:tcPr>
          <w:p w14:paraId="1E09BDE2">
            <w:pPr>
              <w:pStyle w:val="2"/>
              <w:spacing w:after="0" w:line="240" w:lineRule="auto"/>
              <w:ind w:firstLine="0" w:firstLineChars="0"/>
              <w:jc w:val="center"/>
              <w:rPr>
                <w:sz w:val="21"/>
                <w:szCs w:val="21"/>
                <w:u w:val="single"/>
              </w:rPr>
            </w:pPr>
            <w:r>
              <w:rPr>
                <w:rFonts w:hint="eastAsia"/>
                <w:sz w:val="21"/>
                <w:szCs w:val="21"/>
                <w:u w:val="single"/>
              </w:rPr>
              <w:t>导热油</w:t>
            </w:r>
          </w:p>
        </w:tc>
        <w:tc>
          <w:tcPr>
            <w:tcW w:w="851" w:type="dxa"/>
            <w:vAlign w:val="center"/>
          </w:tcPr>
          <w:p w14:paraId="76C64A16">
            <w:pPr>
              <w:pStyle w:val="2"/>
              <w:spacing w:after="0" w:line="240" w:lineRule="auto"/>
              <w:ind w:firstLine="0" w:firstLineChars="0"/>
              <w:jc w:val="center"/>
              <w:rPr>
                <w:sz w:val="21"/>
                <w:szCs w:val="21"/>
                <w:u w:val="single"/>
              </w:rPr>
            </w:pPr>
            <w:r>
              <w:rPr>
                <w:sz w:val="21"/>
                <w:szCs w:val="21"/>
                <w:u w:val="single"/>
              </w:rPr>
              <w:t>易燃</w:t>
            </w:r>
          </w:p>
        </w:tc>
        <w:tc>
          <w:tcPr>
            <w:tcW w:w="2205" w:type="dxa"/>
            <w:vAlign w:val="center"/>
          </w:tcPr>
          <w:p w14:paraId="301516AB">
            <w:pPr>
              <w:pStyle w:val="2"/>
              <w:spacing w:after="0" w:line="240" w:lineRule="auto"/>
              <w:ind w:firstLine="0" w:firstLineChars="0"/>
              <w:jc w:val="center"/>
              <w:rPr>
                <w:sz w:val="21"/>
                <w:szCs w:val="21"/>
                <w:u w:val="single"/>
              </w:rPr>
            </w:pPr>
            <w:r>
              <w:rPr>
                <w:rFonts w:hint="eastAsia"/>
                <w:sz w:val="21"/>
                <w:szCs w:val="21"/>
                <w:u w:val="single"/>
              </w:rPr>
              <w:t>设备腐蚀、材质缺陷、操作失误、超压或不可抗力等引发泄漏</w:t>
            </w:r>
          </w:p>
        </w:tc>
      </w:tr>
      <w:tr w14:paraId="10D6D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Align w:val="center"/>
          </w:tcPr>
          <w:p w14:paraId="6883BA55">
            <w:pPr>
              <w:pStyle w:val="2"/>
              <w:spacing w:after="0" w:line="240" w:lineRule="auto"/>
              <w:ind w:firstLine="0" w:firstLineChars="0"/>
              <w:jc w:val="center"/>
              <w:rPr>
                <w:sz w:val="21"/>
                <w:szCs w:val="21"/>
                <w:u w:val="single"/>
              </w:rPr>
            </w:pPr>
            <w:r>
              <w:rPr>
                <w:rFonts w:hint="eastAsia"/>
                <w:bCs/>
                <w:sz w:val="21"/>
                <w:szCs w:val="21"/>
                <w:u w:val="single"/>
              </w:rPr>
              <w:t>原料区</w:t>
            </w:r>
          </w:p>
        </w:tc>
        <w:tc>
          <w:tcPr>
            <w:tcW w:w="992" w:type="dxa"/>
            <w:vAlign w:val="center"/>
          </w:tcPr>
          <w:p w14:paraId="20903CCD">
            <w:pPr>
              <w:pStyle w:val="2"/>
              <w:spacing w:after="0" w:line="240" w:lineRule="auto"/>
              <w:ind w:firstLine="0" w:firstLineChars="0"/>
              <w:jc w:val="center"/>
              <w:rPr>
                <w:sz w:val="21"/>
                <w:szCs w:val="21"/>
                <w:u w:val="single"/>
              </w:rPr>
            </w:pPr>
            <w:r>
              <w:rPr>
                <w:rFonts w:hint="eastAsia"/>
                <w:sz w:val="21"/>
                <w:szCs w:val="21"/>
                <w:u w:val="single"/>
              </w:rPr>
              <w:t>常温常压</w:t>
            </w:r>
          </w:p>
        </w:tc>
        <w:tc>
          <w:tcPr>
            <w:tcW w:w="1843" w:type="dxa"/>
            <w:vAlign w:val="center"/>
          </w:tcPr>
          <w:p w14:paraId="587949DB">
            <w:pPr>
              <w:pStyle w:val="2"/>
              <w:spacing w:after="0" w:line="240" w:lineRule="auto"/>
              <w:ind w:firstLine="0" w:firstLineChars="0"/>
              <w:jc w:val="center"/>
              <w:rPr>
                <w:sz w:val="21"/>
                <w:szCs w:val="21"/>
                <w:u w:val="single"/>
              </w:rPr>
            </w:pPr>
            <w:r>
              <w:rPr>
                <w:rFonts w:hint="eastAsia"/>
                <w:sz w:val="21"/>
                <w:szCs w:val="21"/>
                <w:u w:val="single"/>
              </w:rPr>
              <w:t>D4（八甲基环四硅氧烷）、硫酸、过氧化氢、KF-99（高含氢硅油）、二丙二醇、双氧水</w:t>
            </w:r>
          </w:p>
        </w:tc>
        <w:tc>
          <w:tcPr>
            <w:tcW w:w="1417" w:type="dxa"/>
            <w:vAlign w:val="center"/>
          </w:tcPr>
          <w:p w14:paraId="4013380A">
            <w:pPr>
              <w:pStyle w:val="2"/>
              <w:spacing w:after="0" w:line="240" w:lineRule="auto"/>
              <w:ind w:firstLine="0" w:firstLineChars="0"/>
              <w:jc w:val="center"/>
              <w:rPr>
                <w:sz w:val="21"/>
                <w:szCs w:val="21"/>
                <w:u w:val="single"/>
              </w:rPr>
            </w:pPr>
            <w:r>
              <w:rPr>
                <w:rFonts w:hint="eastAsia"/>
                <w:sz w:val="21"/>
                <w:szCs w:val="21"/>
                <w:u w:val="single"/>
              </w:rPr>
              <w:t>D4（八甲基环四硅氧烷）、硫酸、过氧化氢、KF-99（高含氢硅油）、二丙二醇、双氧水</w:t>
            </w:r>
          </w:p>
        </w:tc>
        <w:tc>
          <w:tcPr>
            <w:tcW w:w="851" w:type="dxa"/>
            <w:vAlign w:val="center"/>
          </w:tcPr>
          <w:p w14:paraId="3C59BD89">
            <w:pPr>
              <w:pStyle w:val="2"/>
              <w:spacing w:after="0" w:line="240" w:lineRule="auto"/>
              <w:ind w:firstLine="0" w:firstLineChars="0"/>
              <w:jc w:val="center"/>
              <w:rPr>
                <w:sz w:val="21"/>
                <w:szCs w:val="21"/>
                <w:u w:val="single"/>
              </w:rPr>
            </w:pPr>
            <w:r>
              <w:rPr>
                <w:sz w:val="21"/>
                <w:szCs w:val="21"/>
                <w:u w:val="single"/>
              </w:rPr>
              <w:t>易燃易爆有毒有害</w:t>
            </w:r>
          </w:p>
        </w:tc>
        <w:tc>
          <w:tcPr>
            <w:tcW w:w="2205" w:type="dxa"/>
            <w:vAlign w:val="center"/>
          </w:tcPr>
          <w:p w14:paraId="59C90BCE">
            <w:pPr>
              <w:pStyle w:val="2"/>
              <w:spacing w:after="0" w:line="240" w:lineRule="auto"/>
              <w:ind w:firstLine="0" w:firstLineChars="0"/>
              <w:jc w:val="center"/>
              <w:rPr>
                <w:sz w:val="21"/>
                <w:szCs w:val="21"/>
                <w:u w:val="single"/>
              </w:rPr>
            </w:pPr>
            <w:r>
              <w:rPr>
                <w:rFonts w:hint="eastAsia"/>
                <w:sz w:val="21"/>
                <w:szCs w:val="21"/>
                <w:u w:val="single"/>
              </w:rPr>
              <w:t>设备腐蚀、材质缺陷、操作失误、超压或不可抗力等引发泄漏</w:t>
            </w:r>
          </w:p>
        </w:tc>
      </w:tr>
      <w:tr w14:paraId="79E70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Align w:val="center"/>
          </w:tcPr>
          <w:p w14:paraId="28129FBE">
            <w:pPr>
              <w:pStyle w:val="2"/>
              <w:spacing w:after="0" w:line="240" w:lineRule="auto"/>
              <w:ind w:firstLine="0" w:firstLineChars="0"/>
              <w:jc w:val="center"/>
              <w:rPr>
                <w:bCs/>
                <w:sz w:val="21"/>
                <w:szCs w:val="21"/>
                <w:u w:val="single"/>
              </w:rPr>
            </w:pPr>
            <w:r>
              <w:rPr>
                <w:rFonts w:hint="eastAsia"/>
                <w:bCs/>
                <w:sz w:val="21"/>
                <w:szCs w:val="21"/>
                <w:u w:val="single"/>
              </w:rPr>
              <w:t>成品区</w:t>
            </w:r>
          </w:p>
        </w:tc>
        <w:tc>
          <w:tcPr>
            <w:tcW w:w="992" w:type="dxa"/>
            <w:vAlign w:val="center"/>
          </w:tcPr>
          <w:p w14:paraId="6D870FCA">
            <w:pPr>
              <w:pStyle w:val="2"/>
              <w:spacing w:after="0" w:line="240" w:lineRule="auto"/>
              <w:ind w:firstLine="0" w:firstLineChars="0"/>
              <w:jc w:val="center"/>
              <w:rPr>
                <w:sz w:val="21"/>
                <w:szCs w:val="21"/>
                <w:u w:val="single"/>
              </w:rPr>
            </w:pPr>
            <w:r>
              <w:rPr>
                <w:sz w:val="21"/>
                <w:szCs w:val="21"/>
                <w:u w:val="single"/>
              </w:rPr>
              <w:t>常温</w:t>
            </w:r>
          </w:p>
        </w:tc>
        <w:tc>
          <w:tcPr>
            <w:tcW w:w="1843" w:type="dxa"/>
            <w:vAlign w:val="center"/>
          </w:tcPr>
          <w:p w14:paraId="7175BB6E">
            <w:pPr>
              <w:pStyle w:val="2"/>
              <w:spacing w:after="0" w:line="240" w:lineRule="auto"/>
              <w:ind w:firstLine="0" w:firstLineChars="0"/>
              <w:jc w:val="center"/>
              <w:rPr>
                <w:sz w:val="21"/>
                <w:szCs w:val="21"/>
                <w:u w:val="single"/>
              </w:rPr>
            </w:pPr>
            <w:r>
              <w:rPr>
                <w:rFonts w:hint="eastAsia"/>
                <w:sz w:val="21"/>
                <w:szCs w:val="21"/>
                <w:u w:val="single"/>
              </w:rPr>
              <w:t>聚醚改性硅油</w:t>
            </w:r>
          </w:p>
        </w:tc>
        <w:tc>
          <w:tcPr>
            <w:tcW w:w="1417" w:type="dxa"/>
            <w:vAlign w:val="center"/>
          </w:tcPr>
          <w:p w14:paraId="4CA45F53">
            <w:pPr>
              <w:pStyle w:val="2"/>
              <w:spacing w:after="0" w:line="240" w:lineRule="auto"/>
              <w:ind w:firstLine="0" w:firstLineChars="0"/>
              <w:jc w:val="center"/>
              <w:rPr>
                <w:sz w:val="21"/>
                <w:szCs w:val="21"/>
                <w:u w:val="single"/>
              </w:rPr>
            </w:pPr>
            <w:r>
              <w:rPr>
                <w:rFonts w:hint="eastAsia"/>
                <w:sz w:val="21"/>
                <w:szCs w:val="21"/>
                <w:u w:val="single"/>
              </w:rPr>
              <w:t>聚醚改性硅油、D4</w:t>
            </w:r>
          </w:p>
        </w:tc>
        <w:tc>
          <w:tcPr>
            <w:tcW w:w="851" w:type="dxa"/>
            <w:vAlign w:val="center"/>
          </w:tcPr>
          <w:p w14:paraId="58E9D070">
            <w:pPr>
              <w:pStyle w:val="2"/>
              <w:spacing w:after="0" w:line="240" w:lineRule="auto"/>
              <w:ind w:firstLine="0" w:firstLineChars="0"/>
              <w:jc w:val="center"/>
              <w:rPr>
                <w:sz w:val="21"/>
                <w:szCs w:val="21"/>
                <w:u w:val="single"/>
              </w:rPr>
            </w:pPr>
            <w:r>
              <w:rPr>
                <w:sz w:val="21"/>
                <w:szCs w:val="21"/>
                <w:u w:val="single"/>
              </w:rPr>
              <w:t>易燃</w:t>
            </w:r>
            <w:r>
              <w:rPr>
                <w:rFonts w:hint="eastAsia"/>
                <w:sz w:val="21"/>
                <w:szCs w:val="21"/>
                <w:u w:val="single"/>
              </w:rPr>
              <w:t>、</w:t>
            </w:r>
            <w:r>
              <w:rPr>
                <w:sz w:val="21"/>
                <w:szCs w:val="21"/>
                <w:u w:val="single"/>
              </w:rPr>
              <w:t>有毒有害</w:t>
            </w:r>
          </w:p>
        </w:tc>
        <w:tc>
          <w:tcPr>
            <w:tcW w:w="2205" w:type="dxa"/>
            <w:vAlign w:val="center"/>
          </w:tcPr>
          <w:p w14:paraId="1CEE3800">
            <w:pPr>
              <w:pStyle w:val="2"/>
              <w:spacing w:after="0" w:line="240" w:lineRule="auto"/>
              <w:ind w:firstLine="0" w:firstLineChars="0"/>
              <w:jc w:val="center"/>
              <w:rPr>
                <w:sz w:val="21"/>
                <w:szCs w:val="21"/>
                <w:u w:val="single"/>
              </w:rPr>
            </w:pPr>
            <w:r>
              <w:rPr>
                <w:rFonts w:hint="eastAsia"/>
                <w:sz w:val="21"/>
                <w:szCs w:val="21"/>
                <w:u w:val="single"/>
              </w:rPr>
              <w:t>包装桶损坏、操作失误等引发泄漏</w:t>
            </w:r>
          </w:p>
        </w:tc>
      </w:tr>
      <w:tr w14:paraId="0E544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Align w:val="center"/>
          </w:tcPr>
          <w:p w14:paraId="6CA200F6">
            <w:pPr>
              <w:pStyle w:val="2"/>
              <w:spacing w:after="0" w:line="240" w:lineRule="auto"/>
              <w:ind w:firstLine="0" w:firstLineChars="0"/>
              <w:jc w:val="center"/>
              <w:rPr>
                <w:sz w:val="21"/>
                <w:szCs w:val="21"/>
                <w:u w:val="single"/>
              </w:rPr>
            </w:pPr>
            <w:r>
              <w:rPr>
                <w:sz w:val="21"/>
                <w:szCs w:val="21"/>
                <w:u w:val="single"/>
              </w:rPr>
              <w:t>废气治理</w:t>
            </w:r>
            <w:r>
              <w:rPr>
                <w:rFonts w:hint="eastAsia"/>
                <w:sz w:val="21"/>
                <w:szCs w:val="21"/>
                <w:u w:val="single"/>
              </w:rPr>
              <w:t>设施</w:t>
            </w:r>
          </w:p>
        </w:tc>
        <w:tc>
          <w:tcPr>
            <w:tcW w:w="992" w:type="dxa"/>
            <w:vAlign w:val="center"/>
          </w:tcPr>
          <w:p w14:paraId="1E0BC0F3">
            <w:pPr>
              <w:pStyle w:val="2"/>
              <w:spacing w:after="0" w:line="240" w:lineRule="auto"/>
              <w:ind w:firstLine="0" w:firstLineChars="0"/>
              <w:jc w:val="center"/>
              <w:rPr>
                <w:sz w:val="21"/>
                <w:szCs w:val="21"/>
                <w:u w:val="single"/>
              </w:rPr>
            </w:pPr>
            <w:r>
              <w:rPr>
                <w:sz w:val="21"/>
                <w:szCs w:val="21"/>
                <w:u w:val="single"/>
              </w:rPr>
              <w:t>常温</w:t>
            </w:r>
          </w:p>
        </w:tc>
        <w:tc>
          <w:tcPr>
            <w:tcW w:w="1843" w:type="dxa"/>
            <w:vAlign w:val="center"/>
          </w:tcPr>
          <w:p w14:paraId="43F5ED30">
            <w:pPr>
              <w:pStyle w:val="2"/>
              <w:spacing w:after="0" w:line="240" w:lineRule="auto"/>
              <w:ind w:firstLine="0" w:firstLineChars="0"/>
              <w:jc w:val="center"/>
              <w:rPr>
                <w:sz w:val="21"/>
                <w:szCs w:val="21"/>
                <w:u w:val="single"/>
              </w:rPr>
            </w:pPr>
            <w:r>
              <w:rPr>
                <w:sz w:val="21"/>
                <w:szCs w:val="21"/>
                <w:u w:val="single"/>
              </w:rPr>
              <w:t>废气收集管线、</w:t>
            </w:r>
            <w:r>
              <w:rPr>
                <w:rFonts w:hint="eastAsia"/>
                <w:kern w:val="2"/>
                <w:sz w:val="21"/>
                <w:szCs w:val="21"/>
                <w:u w:val="single"/>
              </w:rPr>
              <w:t>设备自带冷凝+碱喷淋+水喷淋+除雾器+活性炭吸附装置</w:t>
            </w:r>
          </w:p>
        </w:tc>
        <w:tc>
          <w:tcPr>
            <w:tcW w:w="1417" w:type="dxa"/>
            <w:vAlign w:val="center"/>
          </w:tcPr>
          <w:p w14:paraId="4C992C25">
            <w:pPr>
              <w:pStyle w:val="2"/>
              <w:spacing w:after="0" w:line="240" w:lineRule="auto"/>
              <w:ind w:firstLine="0" w:firstLineChars="0"/>
              <w:jc w:val="center"/>
              <w:rPr>
                <w:sz w:val="21"/>
                <w:szCs w:val="21"/>
                <w:u w:val="single"/>
              </w:rPr>
            </w:pPr>
            <w:r>
              <w:rPr>
                <w:rFonts w:hint="eastAsia"/>
                <w:sz w:val="21"/>
                <w:szCs w:val="21"/>
                <w:u w:val="single"/>
              </w:rPr>
              <w:t>D4（八甲基环四硅氧烷）、硫酸</w:t>
            </w:r>
          </w:p>
        </w:tc>
        <w:tc>
          <w:tcPr>
            <w:tcW w:w="851" w:type="dxa"/>
            <w:vAlign w:val="center"/>
          </w:tcPr>
          <w:p w14:paraId="2B3F5BE3">
            <w:pPr>
              <w:pStyle w:val="2"/>
              <w:spacing w:after="0" w:line="240" w:lineRule="auto"/>
              <w:ind w:firstLine="0" w:firstLineChars="0"/>
              <w:jc w:val="center"/>
              <w:rPr>
                <w:sz w:val="21"/>
                <w:szCs w:val="21"/>
                <w:u w:val="single"/>
              </w:rPr>
            </w:pPr>
            <w:r>
              <w:rPr>
                <w:sz w:val="21"/>
                <w:szCs w:val="21"/>
                <w:u w:val="single"/>
              </w:rPr>
              <w:t>易燃易爆有毒有害</w:t>
            </w:r>
          </w:p>
        </w:tc>
        <w:tc>
          <w:tcPr>
            <w:tcW w:w="2205" w:type="dxa"/>
            <w:vAlign w:val="center"/>
          </w:tcPr>
          <w:p w14:paraId="38B4E224">
            <w:pPr>
              <w:pStyle w:val="2"/>
              <w:spacing w:after="0" w:line="240" w:lineRule="auto"/>
              <w:ind w:firstLine="0" w:firstLineChars="0"/>
              <w:jc w:val="center"/>
              <w:rPr>
                <w:sz w:val="21"/>
                <w:szCs w:val="21"/>
                <w:u w:val="single"/>
              </w:rPr>
            </w:pPr>
            <w:r>
              <w:rPr>
                <w:rFonts w:hint="eastAsia"/>
                <w:sz w:val="21"/>
                <w:szCs w:val="21"/>
                <w:u w:val="single"/>
              </w:rPr>
              <w:t>设备腐蚀、材质缺陷、操作失误、超压或不可抗力等引发泄漏</w:t>
            </w:r>
          </w:p>
        </w:tc>
      </w:tr>
      <w:tr w14:paraId="7DD3C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restart"/>
            <w:vAlign w:val="center"/>
          </w:tcPr>
          <w:p w14:paraId="7A94D120">
            <w:pPr>
              <w:pStyle w:val="2"/>
              <w:spacing w:after="0" w:line="240" w:lineRule="auto"/>
              <w:ind w:firstLine="0" w:firstLineChars="0"/>
              <w:jc w:val="center"/>
              <w:rPr>
                <w:sz w:val="21"/>
                <w:szCs w:val="21"/>
                <w:u w:val="single"/>
              </w:rPr>
            </w:pPr>
            <w:r>
              <w:rPr>
                <w:sz w:val="21"/>
                <w:szCs w:val="21"/>
                <w:u w:val="single"/>
              </w:rPr>
              <w:t>危废暂存间</w:t>
            </w:r>
          </w:p>
        </w:tc>
        <w:tc>
          <w:tcPr>
            <w:tcW w:w="992" w:type="dxa"/>
            <w:vAlign w:val="center"/>
          </w:tcPr>
          <w:p w14:paraId="3A27B36F">
            <w:pPr>
              <w:pStyle w:val="2"/>
              <w:spacing w:after="0" w:line="240" w:lineRule="auto"/>
              <w:ind w:firstLine="0" w:firstLineChars="0"/>
              <w:jc w:val="center"/>
              <w:rPr>
                <w:sz w:val="21"/>
                <w:szCs w:val="21"/>
                <w:u w:val="single"/>
              </w:rPr>
            </w:pPr>
            <w:r>
              <w:rPr>
                <w:sz w:val="21"/>
                <w:szCs w:val="21"/>
                <w:u w:val="single"/>
              </w:rPr>
              <w:t>常温</w:t>
            </w:r>
          </w:p>
        </w:tc>
        <w:tc>
          <w:tcPr>
            <w:tcW w:w="1843" w:type="dxa"/>
            <w:vAlign w:val="center"/>
          </w:tcPr>
          <w:p w14:paraId="201B7813">
            <w:pPr>
              <w:pStyle w:val="2"/>
              <w:spacing w:after="0" w:line="240" w:lineRule="auto"/>
              <w:ind w:firstLine="0" w:firstLineChars="0"/>
              <w:jc w:val="center"/>
              <w:rPr>
                <w:sz w:val="21"/>
                <w:szCs w:val="21"/>
                <w:u w:val="single"/>
              </w:rPr>
            </w:pPr>
            <w:r>
              <w:rPr>
                <w:rFonts w:hint="eastAsia"/>
                <w:sz w:val="21"/>
                <w:szCs w:val="21"/>
                <w:u w:val="single"/>
              </w:rPr>
              <w:t>化验室废物</w:t>
            </w:r>
          </w:p>
        </w:tc>
        <w:tc>
          <w:tcPr>
            <w:tcW w:w="1417" w:type="dxa"/>
            <w:vAlign w:val="center"/>
          </w:tcPr>
          <w:p w14:paraId="58DA4712">
            <w:pPr>
              <w:pStyle w:val="2"/>
              <w:spacing w:after="0" w:line="240" w:lineRule="auto"/>
              <w:ind w:firstLine="0" w:firstLineChars="0"/>
              <w:jc w:val="center"/>
              <w:rPr>
                <w:sz w:val="21"/>
                <w:szCs w:val="21"/>
                <w:u w:val="single"/>
              </w:rPr>
            </w:pPr>
            <w:r>
              <w:rPr>
                <w:rFonts w:hint="eastAsia"/>
                <w:sz w:val="21"/>
                <w:szCs w:val="21"/>
                <w:u w:val="single"/>
              </w:rPr>
              <w:t>D4（八甲基环四硅氧烷）、硫酸</w:t>
            </w:r>
          </w:p>
        </w:tc>
        <w:tc>
          <w:tcPr>
            <w:tcW w:w="851" w:type="dxa"/>
            <w:vAlign w:val="center"/>
          </w:tcPr>
          <w:p w14:paraId="48E55308">
            <w:pPr>
              <w:pStyle w:val="2"/>
              <w:spacing w:after="0" w:line="240" w:lineRule="auto"/>
              <w:ind w:firstLine="0" w:firstLineChars="0"/>
              <w:jc w:val="center"/>
              <w:rPr>
                <w:sz w:val="21"/>
                <w:szCs w:val="21"/>
                <w:u w:val="single"/>
              </w:rPr>
            </w:pPr>
            <w:r>
              <w:rPr>
                <w:sz w:val="21"/>
                <w:szCs w:val="21"/>
                <w:u w:val="single"/>
              </w:rPr>
              <w:t>易燃易爆有毒有害</w:t>
            </w:r>
          </w:p>
        </w:tc>
        <w:tc>
          <w:tcPr>
            <w:tcW w:w="2205" w:type="dxa"/>
            <w:vAlign w:val="center"/>
          </w:tcPr>
          <w:p w14:paraId="20AF3D6A">
            <w:pPr>
              <w:pStyle w:val="2"/>
              <w:spacing w:after="0" w:line="240" w:lineRule="auto"/>
              <w:ind w:firstLine="0" w:firstLineChars="0"/>
              <w:jc w:val="center"/>
              <w:rPr>
                <w:sz w:val="21"/>
                <w:szCs w:val="21"/>
                <w:u w:val="single"/>
              </w:rPr>
            </w:pPr>
            <w:r>
              <w:rPr>
                <w:rFonts w:hint="eastAsia"/>
                <w:sz w:val="21"/>
                <w:szCs w:val="21"/>
                <w:u w:val="single"/>
              </w:rPr>
              <w:t>设备腐蚀、材质缺陷、操作失误或不可抗力等引发泄漏</w:t>
            </w:r>
          </w:p>
        </w:tc>
      </w:tr>
      <w:tr w14:paraId="645E1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5DD7D52B">
            <w:pPr>
              <w:pStyle w:val="2"/>
              <w:spacing w:after="0" w:line="240" w:lineRule="auto"/>
              <w:ind w:firstLine="0" w:firstLineChars="0"/>
              <w:jc w:val="center"/>
              <w:rPr>
                <w:sz w:val="21"/>
                <w:szCs w:val="21"/>
                <w:u w:val="single"/>
              </w:rPr>
            </w:pPr>
          </w:p>
        </w:tc>
        <w:tc>
          <w:tcPr>
            <w:tcW w:w="992" w:type="dxa"/>
            <w:vAlign w:val="center"/>
          </w:tcPr>
          <w:p w14:paraId="3C19AE69">
            <w:pPr>
              <w:pStyle w:val="2"/>
              <w:spacing w:after="0" w:line="240" w:lineRule="auto"/>
              <w:ind w:firstLine="0" w:firstLineChars="0"/>
              <w:jc w:val="center"/>
              <w:rPr>
                <w:sz w:val="21"/>
                <w:szCs w:val="21"/>
                <w:u w:val="single"/>
              </w:rPr>
            </w:pPr>
            <w:r>
              <w:rPr>
                <w:sz w:val="21"/>
                <w:szCs w:val="21"/>
                <w:u w:val="single"/>
              </w:rPr>
              <w:t>常温</w:t>
            </w:r>
          </w:p>
        </w:tc>
        <w:tc>
          <w:tcPr>
            <w:tcW w:w="1843" w:type="dxa"/>
            <w:vAlign w:val="center"/>
          </w:tcPr>
          <w:p w14:paraId="4044B92D">
            <w:pPr>
              <w:pStyle w:val="2"/>
              <w:spacing w:after="0" w:line="240" w:lineRule="auto"/>
              <w:ind w:firstLine="0" w:firstLineChars="0"/>
              <w:jc w:val="center"/>
              <w:rPr>
                <w:sz w:val="21"/>
                <w:szCs w:val="21"/>
                <w:u w:val="single"/>
              </w:rPr>
            </w:pPr>
            <w:r>
              <w:rPr>
                <w:rFonts w:hint="eastAsia"/>
                <w:sz w:val="21"/>
                <w:szCs w:val="21"/>
                <w:u w:val="single"/>
              </w:rPr>
              <w:t>污油</w:t>
            </w:r>
          </w:p>
        </w:tc>
        <w:tc>
          <w:tcPr>
            <w:tcW w:w="1417" w:type="dxa"/>
            <w:vAlign w:val="center"/>
          </w:tcPr>
          <w:p w14:paraId="2780D4AE">
            <w:pPr>
              <w:pStyle w:val="2"/>
              <w:spacing w:after="0" w:line="240" w:lineRule="auto"/>
              <w:ind w:firstLine="0" w:firstLineChars="0"/>
              <w:jc w:val="center"/>
              <w:rPr>
                <w:sz w:val="21"/>
                <w:szCs w:val="21"/>
                <w:u w:val="single"/>
              </w:rPr>
            </w:pPr>
            <w:r>
              <w:rPr>
                <w:rFonts w:hint="eastAsia"/>
                <w:sz w:val="21"/>
                <w:szCs w:val="21"/>
                <w:u w:val="single"/>
              </w:rPr>
              <w:t>K</w:t>
            </w:r>
            <w:r>
              <w:rPr>
                <w:sz w:val="21"/>
                <w:szCs w:val="21"/>
                <w:u w:val="single"/>
              </w:rPr>
              <w:t>F-99</w:t>
            </w:r>
            <w:r>
              <w:rPr>
                <w:rFonts w:hint="eastAsia"/>
                <w:sz w:val="21"/>
                <w:szCs w:val="21"/>
                <w:u w:val="single"/>
              </w:rPr>
              <w:t>（</w:t>
            </w:r>
            <w:r>
              <w:rPr>
                <w:sz w:val="21"/>
                <w:szCs w:val="21"/>
                <w:u w:val="single"/>
              </w:rPr>
              <w:t>高含氢硅油</w:t>
            </w:r>
            <w:r>
              <w:rPr>
                <w:rFonts w:hint="eastAsia"/>
                <w:sz w:val="21"/>
                <w:szCs w:val="21"/>
                <w:u w:val="single"/>
              </w:rPr>
              <w:t>）、低含氢硅油</w:t>
            </w:r>
          </w:p>
        </w:tc>
        <w:tc>
          <w:tcPr>
            <w:tcW w:w="851" w:type="dxa"/>
            <w:vAlign w:val="center"/>
          </w:tcPr>
          <w:p w14:paraId="146BEF2E">
            <w:pPr>
              <w:pStyle w:val="2"/>
              <w:spacing w:after="0" w:line="240" w:lineRule="auto"/>
              <w:ind w:firstLine="0" w:firstLineChars="0"/>
              <w:jc w:val="center"/>
              <w:rPr>
                <w:sz w:val="21"/>
                <w:szCs w:val="21"/>
                <w:u w:val="single"/>
              </w:rPr>
            </w:pPr>
            <w:r>
              <w:rPr>
                <w:rFonts w:hint="eastAsia"/>
                <w:sz w:val="21"/>
                <w:szCs w:val="21"/>
                <w:u w:val="single"/>
              </w:rPr>
              <w:t>易燃</w:t>
            </w:r>
          </w:p>
        </w:tc>
        <w:tc>
          <w:tcPr>
            <w:tcW w:w="2205" w:type="dxa"/>
            <w:vAlign w:val="center"/>
          </w:tcPr>
          <w:p w14:paraId="0BC374A2">
            <w:pPr>
              <w:pStyle w:val="2"/>
              <w:spacing w:after="0" w:line="240" w:lineRule="auto"/>
              <w:ind w:firstLine="0" w:firstLineChars="0"/>
              <w:jc w:val="center"/>
              <w:rPr>
                <w:sz w:val="21"/>
                <w:szCs w:val="21"/>
                <w:u w:val="single"/>
              </w:rPr>
            </w:pPr>
            <w:r>
              <w:rPr>
                <w:rFonts w:hint="eastAsia"/>
                <w:sz w:val="21"/>
                <w:szCs w:val="21"/>
                <w:u w:val="single"/>
              </w:rPr>
              <w:t>设备腐蚀、材质缺陷、操作失误、不可抗力等引发泄漏</w:t>
            </w:r>
          </w:p>
        </w:tc>
      </w:tr>
      <w:tr w14:paraId="1A3F7C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88" w:type="dxa"/>
            <w:vMerge w:val="continue"/>
            <w:vAlign w:val="center"/>
          </w:tcPr>
          <w:p w14:paraId="342EE680">
            <w:pPr>
              <w:pStyle w:val="2"/>
              <w:spacing w:after="0" w:line="240" w:lineRule="auto"/>
              <w:ind w:firstLine="0" w:firstLineChars="0"/>
              <w:jc w:val="center"/>
              <w:rPr>
                <w:sz w:val="21"/>
                <w:szCs w:val="21"/>
                <w:u w:val="single"/>
              </w:rPr>
            </w:pPr>
          </w:p>
        </w:tc>
        <w:tc>
          <w:tcPr>
            <w:tcW w:w="992" w:type="dxa"/>
            <w:vAlign w:val="center"/>
          </w:tcPr>
          <w:p w14:paraId="064D858F">
            <w:pPr>
              <w:pStyle w:val="2"/>
              <w:spacing w:after="0" w:line="240" w:lineRule="auto"/>
              <w:ind w:firstLine="0" w:firstLineChars="0"/>
              <w:jc w:val="center"/>
              <w:rPr>
                <w:sz w:val="21"/>
                <w:szCs w:val="21"/>
                <w:u w:val="single"/>
              </w:rPr>
            </w:pPr>
            <w:r>
              <w:rPr>
                <w:rFonts w:hint="eastAsia"/>
                <w:sz w:val="21"/>
                <w:szCs w:val="21"/>
                <w:u w:val="single"/>
              </w:rPr>
              <w:t>常温</w:t>
            </w:r>
          </w:p>
        </w:tc>
        <w:tc>
          <w:tcPr>
            <w:tcW w:w="1843" w:type="dxa"/>
            <w:vAlign w:val="center"/>
          </w:tcPr>
          <w:p w14:paraId="6709763F">
            <w:pPr>
              <w:pStyle w:val="2"/>
              <w:spacing w:after="0" w:line="240" w:lineRule="auto"/>
              <w:ind w:firstLine="0" w:firstLineChars="0"/>
              <w:jc w:val="center"/>
              <w:rPr>
                <w:sz w:val="21"/>
                <w:szCs w:val="21"/>
                <w:u w:val="single"/>
              </w:rPr>
            </w:pPr>
            <w:r>
              <w:rPr>
                <w:rFonts w:hint="eastAsia"/>
                <w:sz w:val="21"/>
                <w:szCs w:val="21"/>
                <w:u w:val="single"/>
              </w:rPr>
              <w:t>废导热油</w:t>
            </w:r>
          </w:p>
        </w:tc>
        <w:tc>
          <w:tcPr>
            <w:tcW w:w="1417" w:type="dxa"/>
            <w:vAlign w:val="center"/>
          </w:tcPr>
          <w:p w14:paraId="710A2AAC">
            <w:pPr>
              <w:pStyle w:val="2"/>
              <w:spacing w:after="0" w:line="240" w:lineRule="auto"/>
              <w:ind w:firstLine="0" w:firstLineChars="0"/>
              <w:jc w:val="center"/>
              <w:rPr>
                <w:sz w:val="21"/>
                <w:szCs w:val="21"/>
                <w:u w:val="single"/>
              </w:rPr>
            </w:pPr>
            <w:r>
              <w:rPr>
                <w:rFonts w:hint="eastAsia"/>
                <w:sz w:val="21"/>
                <w:szCs w:val="21"/>
                <w:u w:val="single"/>
              </w:rPr>
              <w:t>导热油</w:t>
            </w:r>
          </w:p>
        </w:tc>
        <w:tc>
          <w:tcPr>
            <w:tcW w:w="851" w:type="dxa"/>
            <w:vAlign w:val="center"/>
          </w:tcPr>
          <w:p w14:paraId="2E13F5E2">
            <w:pPr>
              <w:pStyle w:val="2"/>
              <w:spacing w:after="0" w:line="240" w:lineRule="auto"/>
              <w:ind w:firstLine="0" w:firstLineChars="0"/>
              <w:jc w:val="center"/>
              <w:rPr>
                <w:sz w:val="21"/>
                <w:szCs w:val="21"/>
                <w:u w:val="single"/>
              </w:rPr>
            </w:pPr>
            <w:r>
              <w:rPr>
                <w:rFonts w:hint="eastAsia"/>
                <w:sz w:val="21"/>
                <w:szCs w:val="21"/>
                <w:u w:val="single"/>
              </w:rPr>
              <w:t>易燃</w:t>
            </w:r>
          </w:p>
        </w:tc>
        <w:tc>
          <w:tcPr>
            <w:tcW w:w="2205" w:type="dxa"/>
            <w:vAlign w:val="center"/>
          </w:tcPr>
          <w:p w14:paraId="4ECC9A12">
            <w:pPr>
              <w:pStyle w:val="2"/>
              <w:spacing w:after="0" w:line="240" w:lineRule="auto"/>
              <w:ind w:firstLine="0" w:firstLineChars="0"/>
              <w:jc w:val="center"/>
              <w:rPr>
                <w:sz w:val="21"/>
                <w:szCs w:val="21"/>
                <w:u w:val="single"/>
              </w:rPr>
            </w:pPr>
            <w:r>
              <w:rPr>
                <w:rFonts w:hint="eastAsia"/>
                <w:sz w:val="21"/>
                <w:szCs w:val="21"/>
                <w:u w:val="single"/>
              </w:rPr>
              <w:t>设备腐蚀、材质缺陷、操作失误、不可抗力等引发泄漏</w:t>
            </w:r>
          </w:p>
        </w:tc>
      </w:tr>
    </w:tbl>
    <w:p w14:paraId="425454B7">
      <w:pPr>
        <w:ind w:firstLine="480"/>
        <w:rPr>
          <w:highlight w:val="yellow"/>
        </w:rPr>
      </w:pPr>
    </w:p>
    <w:p w14:paraId="74DA0326">
      <w:pPr>
        <w:pStyle w:val="4"/>
      </w:pPr>
      <w:bookmarkStart w:id="332" w:name="_Toc176105882"/>
      <w:r>
        <w:rPr>
          <w:rFonts w:hint="eastAsia"/>
        </w:rPr>
        <w:t>风险事故情形分析</w:t>
      </w:r>
      <w:bookmarkEnd w:id="332"/>
    </w:p>
    <w:p w14:paraId="5B9BD5D1">
      <w:pPr>
        <w:pStyle w:val="5"/>
        <w:spacing w:before="312" w:after="312"/>
        <w:ind w:left="0" w:firstLine="510"/>
      </w:pPr>
      <w:r>
        <w:t>事故情形设定</w:t>
      </w:r>
    </w:p>
    <w:p w14:paraId="624125C6">
      <w:pPr>
        <w:pStyle w:val="6"/>
        <w:ind w:left="0" w:firstLine="482"/>
      </w:pPr>
      <w:r>
        <w:t>事件树分析</w:t>
      </w:r>
    </w:p>
    <w:p w14:paraId="2603765B">
      <w:pPr>
        <w:ind w:firstLine="480"/>
      </w:pPr>
      <w:r>
        <w:rPr>
          <w:rFonts w:hint="eastAsia"/>
        </w:rPr>
        <w:t>为进一步分析企业对周边环境的危险事故及其源项，采用国家环保局出版的《工业危险评价指南》推荐的事件树方法，对企业潜在的危害事故进行分析。针对危险单元，绘制了相应的事件树，见下图。</w:t>
      </w:r>
    </w:p>
    <w:p w14:paraId="3B18D1C3">
      <w:pPr>
        <w:pStyle w:val="2"/>
        <w:spacing w:after="0" w:line="360" w:lineRule="auto"/>
        <w:ind w:firstLine="0" w:firstLineChars="0"/>
        <w:jc w:val="center"/>
      </w:pPr>
      <w:r>
        <w:rPr>
          <w:b/>
        </w:rPr>
        <w:drawing>
          <wp:inline distT="0" distB="0" distL="0" distR="0">
            <wp:extent cx="5274310" cy="2637155"/>
            <wp:effectExtent l="0" t="0" r="2540" b="10795"/>
            <wp:docPr id="864525444" name="图片 864525444" descr="1555252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25444" name="图片 864525444" descr="1555252139(1)"/>
                    <pic:cNvPicPr>
                      <a:picLocks noChangeAspect="1" noChangeArrowheads="1"/>
                    </pic:cNvPicPr>
                  </pic:nvPicPr>
                  <pic:blipFill>
                    <a:blip r:embed="rId147"/>
                    <a:srcRect/>
                    <a:stretch>
                      <a:fillRect/>
                    </a:stretch>
                  </pic:blipFill>
                  <pic:spPr>
                    <a:xfrm>
                      <a:off x="0" y="0"/>
                      <a:ext cx="5274310" cy="2637155"/>
                    </a:xfrm>
                    <a:prstGeom prst="rect">
                      <a:avLst/>
                    </a:prstGeom>
                    <a:noFill/>
                    <a:ln>
                      <a:noFill/>
                    </a:ln>
                  </pic:spPr>
                </pic:pic>
              </a:graphicData>
            </a:graphic>
          </wp:inline>
        </w:drawing>
      </w:r>
    </w:p>
    <w:p w14:paraId="753219B1">
      <w:pPr>
        <w:pStyle w:val="99"/>
        <w:numPr>
          <w:ilvl w:val="8"/>
          <w:numId w:val="44"/>
        </w:numPr>
        <w:spacing w:before="156" w:beforeLines="50" w:after="156" w:afterLines="50" w:line="240" w:lineRule="auto"/>
        <w:ind w:left="0" w:firstLine="0" w:firstLineChars="0"/>
        <w:jc w:val="center"/>
        <w:rPr>
          <w:b/>
        </w:rPr>
      </w:pPr>
      <w:r>
        <w:rPr>
          <w:rFonts w:hint="eastAsia"/>
          <w:b/>
        </w:rPr>
        <w:t>生产</w:t>
      </w:r>
      <w:r>
        <w:rPr>
          <w:b/>
        </w:rPr>
        <w:t>系统事件树示意图</w:t>
      </w:r>
    </w:p>
    <w:p w14:paraId="5C9A4DC6">
      <w:pPr>
        <w:pStyle w:val="2"/>
        <w:spacing w:after="0" w:line="360" w:lineRule="auto"/>
        <w:ind w:firstLine="0" w:firstLineChars="0"/>
        <w:jc w:val="center"/>
      </w:pPr>
      <w:r>
        <w:drawing>
          <wp:inline distT="0" distB="0" distL="0" distR="0">
            <wp:extent cx="5274310" cy="2121535"/>
            <wp:effectExtent l="0" t="0" r="2540" b="12065"/>
            <wp:docPr id="111865288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52888" name="图片 1" descr="图示&#10;&#10;描述已自动生成"/>
                    <pic:cNvPicPr>
                      <a:picLocks noChangeAspect="1"/>
                    </pic:cNvPicPr>
                  </pic:nvPicPr>
                  <pic:blipFill>
                    <a:blip r:embed="rId148"/>
                    <a:stretch>
                      <a:fillRect/>
                    </a:stretch>
                  </pic:blipFill>
                  <pic:spPr>
                    <a:xfrm>
                      <a:off x="0" y="0"/>
                      <a:ext cx="5274310" cy="2121535"/>
                    </a:xfrm>
                    <a:prstGeom prst="rect">
                      <a:avLst/>
                    </a:prstGeom>
                  </pic:spPr>
                </pic:pic>
              </a:graphicData>
            </a:graphic>
          </wp:inline>
        </w:drawing>
      </w:r>
    </w:p>
    <w:p w14:paraId="709945CF">
      <w:pPr>
        <w:pStyle w:val="99"/>
        <w:numPr>
          <w:ilvl w:val="8"/>
          <w:numId w:val="44"/>
        </w:numPr>
        <w:spacing w:before="156" w:beforeLines="50" w:after="156" w:afterLines="50" w:line="240" w:lineRule="auto"/>
        <w:ind w:left="0" w:firstLine="0" w:firstLineChars="0"/>
        <w:jc w:val="center"/>
        <w:rPr>
          <w:b/>
        </w:rPr>
      </w:pPr>
      <w:r>
        <w:rPr>
          <w:rFonts w:hint="eastAsia"/>
          <w:b/>
        </w:rPr>
        <w:t>贮存</w:t>
      </w:r>
      <w:r>
        <w:rPr>
          <w:b/>
        </w:rPr>
        <w:t>系统事件树示意图</w:t>
      </w:r>
    </w:p>
    <w:p w14:paraId="5F035E96">
      <w:pPr>
        <w:pStyle w:val="2"/>
        <w:spacing w:after="0"/>
        <w:ind w:firstLine="480"/>
      </w:pPr>
      <w:r>
        <w:rPr>
          <w:rFonts w:hint="eastAsia"/>
        </w:rPr>
        <w:t>事件树分析表明，贮存设备物料泄漏，对燃爆型物料可能引发燃爆危害事故，而对有毒气体，则造成毒性物质的扩散污染事故；反应系统失常（设备破裂或温控异常）有可能引发爆炸燃烧和有毒物质扩散污染环境事故。</w:t>
      </w:r>
    </w:p>
    <w:p w14:paraId="707CDD80">
      <w:pPr>
        <w:pStyle w:val="6"/>
        <w:ind w:left="0" w:firstLine="482"/>
      </w:pPr>
      <w:r>
        <w:rPr>
          <w:rFonts w:hint="eastAsia"/>
        </w:rPr>
        <w:t>相关事故典型案例统计分析</w:t>
      </w:r>
    </w:p>
    <w:p w14:paraId="2029EE36">
      <w:pPr>
        <w:pStyle w:val="2"/>
        <w:spacing w:after="0"/>
        <w:ind w:firstLine="480"/>
      </w:pPr>
      <w:r>
        <w:rPr>
          <w:rFonts w:hint="eastAsia"/>
        </w:rPr>
        <w:t>表6.7-1给出我国化工企业一般事故原因统计，通过对国内类似化工行业事故发生原因的调查统计，化工行业以设备、管道、贮罐破损泄漏等引起的事故出现比例最高，而造成设备破损泄漏的直接原因多为管理不善、未能定时检修造成。以违反操作规程、操作失误以及不懂技术操作等人为因素引起的事故出现的比例较高。由表6.7-2可知，阀门、管线泄漏是发生事故的主要原因，其次是设备故障和操作失误。</w:t>
      </w:r>
    </w:p>
    <w:p w14:paraId="53BA80D8">
      <w:pPr>
        <w:pStyle w:val="6"/>
        <w:ind w:left="0" w:firstLine="482"/>
      </w:pPr>
      <w:r>
        <w:rPr>
          <w:rFonts w:hint="eastAsia"/>
        </w:rPr>
        <w:t>事故概率分析</w:t>
      </w:r>
    </w:p>
    <w:p w14:paraId="65212592">
      <w:pPr>
        <w:pStyle w:val="99"/>
        <w:numPr>
          <w:ilvl w:val="4"/>
          <w:numId w:val="45"/>
        </w:numPr>
        <w:ind w:left="0" w:firstLine="480"/>
        <w:jc w:val="left"/>
        <w:rPr>
          <w:rFonts w:eastAsia="黑体"/>
          <w:bCs/>
        </w:rPr>
      </w:pPr>
      <w:r>
        <w:rPr>
          <w:rFonts w:eastAsia="黑体"/>
          <w:bCs/>
        </w:rPr>
        <w:t xml:space="preserve">           事故原因概率调查统计表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36"/>
        <w:gridCol w:w="2240"/>
        <w:gridCol w:w="2147"/>
        <w:gridCol w:w="2003"/>
      </w:tblGrid>
      <w:tr w14:paraId="21A73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tblHeader/>
          <w:jc w:val="center"/>
        </w:trPr>
        <w:tc>
          <w:tcPr>
            <w:tcW w:w="1929" w:type="dxa"/>
            <w:vAlign w:val="center"/>
          </w:tcPr>
          <w:p w14:paraId="43AB2FD9">
            <w:pPr>
              <w:spacing w:line="360" w:lineRule="exact"/>
              <w:ind w:firstLine="0" w:firstLineChars="0"/>
              <w:jc w:val="center"/>
              <w:rPr>
                <w:b/>
                <w:sz w:val="21"/>
                <w:szCs w:val="21"/>
              </w:rPr>
            </w:pPr>
            <w:r>
              <w:rPr>
                <w:rFonts w:hint="eastAsia"/>
                <w:b/>
                <w:sz w:val="21"/>
                <w:szCs w:val="21"/>
              </w:rPr>
              <w:t>事故原因</w:t>
            </w:r>
          </w:p>
        </w:tc>
        <w:tc>
          <w:tcPr>
            <w:tcW w:w="2232" w:type="dxa"/>
            <w:vAlign w:val="center"/>
          </w:tcPr>
          <w:p w14:paraId="1957818F">
            <w:pPr>
              <w:spacing w:line="360" w:lineRule="exact"/>
              <w:ind w:firstLine="0" w:firstLineChars="0"/>
              <w:jc w:val="center"/>
              <w:rPr>
                <w:b/>
                <w:sz w:val="21"/>
                <w:szCs w:val="21"/>
              </w:rPr>
            </w:pPr>
            <w:r>
              <w:rPr>
                <w:rFonts w:hint="eastAsia"/>
                <w:b/>
                <w:sz w:val="21"/>
                <w:szCs w:val="21"/>
              </w:rPr>
              <w:t>设备</w:t>
            </w:r>
          </w:p>
        </w:tc>
        <w:tc>
          <w:tcPr>
            <w:tcW w:w="2140" w:type="dxa"/>
            <w:vAlign w:val="center"/>
          </w:tcPr>
          <w:p w14:paraId="4D1209BD">
            <w:pPr>
              <w:spacing w:line="360" w:lineRule="exact"/>
              <w:ind w:firstLine="0" w:firstLineChars="0"/>
              <w:jc w:val="center"/>
              <w:rPr>
                <w:b/>
                <w:sz w:val="21"/>
                <w:szCs w:val="21"/>
              </w:rPr>
            </w:pPr>
            <w:r>
              <w:rPr>
                <w:rFonts w:hint="eastAsia"/>
                <w:b/>
                <w:sz w:val="21"/>
                <w:szCs w:val="21"/>
              </w:rPr>
              <w:t>人为因素</w:t>
            </w:r>
          </w:p>
        </w:tc>
        <w:tc>
          <w:tcPr>
            <w:tcW w:w="1995" w:type="dxa"/>
            <w:vAlign w:val="center"/>
          </w:tcPr>
          <w:p w14:paraId="480C79BE">
            <w:pPr>
              <w:spacing w:line="360" w:lineRule="exact"/>
              <w:ind w:firstLine="0" w:firstLineChars="0"/>
              <w:jc w:val="center"/>
              <w:rPr>
                <w:b/>
                <w:sz w:val="21"/>
                <w:szCs w:val="21"/>
              </w:rPr>
            </w:pPr>
            <w:r>
              <w:rPr>
                <w:rFonts w:hint="eastAsia"/>
                <w:b/>
                <w:sz w:val="21"/>
                <w:szCs w:val="21"/>
              </w:rPr>
              <w:t>自然因素</w:t>
            </w:r>
          </w:p>
        </w:tc>
      </w:tr>
      <w:tr w14:paraId="2BAF8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9" w:type="dxa"/>
            <w:vAlign w:val="center"/>
          </w:tcPr>
          <w:p w14:paraId="2826AA59">
            <w:pPr>
              <w:spacing w:line="360" w:lineRule="exact"/>
              <w:ind w:firstLine="0" w:firstLineChars="0"/>
              <w:jc w:val="center"/>
              <w:rPr>
                <w:sz w:val="21"/>
                <w:szCs w:val="21"/>
              </w:rPr>
            </w:pPr>
            <w:r>
              <w:rPr>
                <w:rFonts w:hint="eastAsia"/>
                <w:sz w:val="21"/>
                <w:szCs w:val="21"/>
              </w:rPr>
              <w:t>出现几率（%）</w:t>
            </w:r>
          </w:p>
        </w:tc>
        <w:tc>
          <w:tcPr>
            <w:tcW w:w="2232" w:type="dxa"/>
            <w:vAlign w:val="center"/>
          </w:tcPr>
          <w:p w14:paraId="6E61E967">
            <w:pPr>
              <w:spacing w:line="360" w:lineRule="exact"/>
              <w:ind w:firstLine="0" w:firstLineChars="0"/>
              <w:jc w:val="center"/>
              <w:rPr>
                <w:sz w:val="21"/>
                <w:szCs w:val="21"/>
              </w:rPr>
            </w:pPr>
            <w:r>
              <w:rPr>
                <w:rFonts w:hint="eastAsia"/>
                <w:sz w:val="21"/>
                <w:szCs w:val="21"/>
              </w:rPr>
              <w:t>72</w:t>
            </w:r>
          </w:p>
        </w:tc>
        <w:tc>
          <w:tcPr>
            <w:tcW w:w="2140" w:type="dxa"/>
            <w:vAlign w:val="center"/>
          </w:tcPr>
          <w:p w14:paraId="3D4402CA">
            <w:pPr>
              <w:spacing w:line="360" w:lineRule="exact"/>
              <w:ind w:firstLine="0" w:firstLineChars="0"/>
              <w:jc w:val="center"/>
              <w:rPr>
                <w:sz w:val="21"/>
                <w:szCs w:val="21"/>
              </w:rPr>
            </w:pPr>
            <w:r>
              <w:rPr>
                <w:rFonts w:hint="eastAsia"/>
                <w:sz w:val="21"/>
                <w:szCs w:val="21"/>
              </w:rPr>
              <w:t>12</w:t>
            </w:r>
          </w:p>
        </w:tc>
        <w:tc>
          <w:tcPr>
            <w:tcW w:w="1995" w:type="dxa"/>
            <w:vAlign w:val="center"/>
          </w:tcPr>
          <w:p w14:paraId="752BC849">
            <w:pPr>
              <w:spacing w:line="360" w:lineRule="exact"/>
              <w:ind w:firstLine="0" w:firstLineChars="0"/>
              <w:jc w:val="center"/>
              <w:rPr>
                <w:sz w:val="21"/>
                <w:szCs w:val="21"/>
              </w:rPr>
            </w:pPr>
            <w:r>
              <w:rPr>
                <w:rFonts w:hint="eastAsia"/>
                <w:sz w:val="21"/>
                <w:szCs w:val="21"/>
              </w:rPr>
              <w:t>16</w:t>
            </w:r>
          </w:p>
        </w:tc>
      </w:tr>
    </w:tbl>
    <w:p w14:paraId="41369197">
      <w:pPr>
        <w:pStyle w:val="99"/>
        <w:numPr>
          <w:ilvl w:val="4"/>
          <w:numId w:val="45"/>
        </w:numPr>
        <w:ind w:left="0" w:firstLine="480"/>
        <w:jc w:val="left"/>
        <w:rPr>
          <w:rFonts w:eastAsia="黑体"/>
          <w:bCs/>
        </w:rPr>
      </w:pPr>
      <w:r>
        <w:rPr>
          <w:rFonts w:hint="eastAsia" w:eastAsia="黑体"/>
          <w:bCs/>
        </w:rPr>
        <w:t xml:space="preserve">   </w:t>
      </w:r>
      <w:r>
        <w:rPr>
          <w:rFonts w:eastAsia="黑体"/>
          <w:bCs/>
        </w:rPr>
        <w:t xml:space="preserve">    </w:t>
      </w:r>
      <w:r>
        <w:rPr>
          <w:rFonts w:hint="eastAsia" w:eastAsia="黑体"/>
          <w:bCs/>
        </w:rPr>
        <w:t xml:space="preserve">      事故原因分类及比例 </w:t>
      </w:r>
    </w:p>
    <w:tbl>
      <w:tblPr>
        <w:tblStyle w:val="41"/>
        <w:tblW w:w="5000" w:type="pct"/>
        <w:jc w:val="center"/>
        <w:tblBorders>
          <w:top w:val="single" w:color="auto" w:sz="8" w:space="0"/>
          <w:left w:val="single" w:color="auto" w:sz="8" w:space="0"/>
          <w:bottom w:val="single" w:color="auto" w:sz="8"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1993"/>
        <w:gridCol w:w="3742"/>
        <w:gridCol w:w="2589"/>
      </w:tblGrid>
      <w:tr w14:paraId="048CC58E">
        <w:tblPrEx>
          <w:tblBorders>
            <w:top w:val="single" w:color="auto" w:sz="8" w:space="0"/>
            <w:left w:val="single" w:color="auto" w:sz="8" w:space="0"/>
            <w:bottom w:val="single" w:color="auto" w:sz="8"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984" w:type="dxa"/>
            <w:vAlign w:val="center"/>
          </w:tcPr>
          <w:p w14:paraId="657C188F">
            <w:pPr>
              <w:spacing w:line="360" w:lineRule="exact"/>
              <w:ind w:firstLine="0" w:firstLineChars="0"/>
              <w:jc w:val="center"/>
              <w:rPr>
                <w:b/>
                <w:sz w:val="21"/>
                <w:szCs w:val="21"/>
              </w:rPr>
            </w:pPr>
            <w:r>
              <w:rPr>
                <w:rFonts w:hint="eastAsia"/>
                <w:b/>
                <w:sz w:val="21"/>
                <w:szCs w:val="21"/>
              </w:rPr>
              <w:t>序号</w:t>
            </w:r>
          </w:p>
        </w:tc>
        <w:tc>
          <w:tcPr>
            <w:tcW w:w="3726" w:type="dxa"/>
            <w:vAlign w:val="center"/>
          </w:tcPr>
          <w:p w14:paraId="64C71A76">
            <w:pPr>
              <w:spacing w:line="360" w:lineRule="exact"/>
              <w:ind w:firstLine="0" w:firstLineChars="0"/>
              <w:jc w:val="center"/>
              <w:rPr>
                <w:b/>
                <w:sz w:val="21"/>
                <w:szCs w:val="21"/>
              </w:rPr>
            </w:pPr>
            <w:r>
              <w:rPr>
                <w:rFonts w:hint="eastAsia"/>
                <w:b/>
                <w:sz w:val="21"/>
                <w:szCs w:val="21"/>
              </w:rPr>
              <w:t>事故原因分类</w:t>
            </w:r>
          </w:p>
        </w:tc>
        <w:tc>
          <w:tcPr>
            <w:tcW w:w="2578" w:type="dxa"/>
            <w:vAlign w:val="center"/>
          </w:tcPr>
          <w:p w14:paraId="454F0C04">
            <w:pPr>
              <w:spacing w:line="360" w:lineRule="exact"/>
              <w:ind w:firstLine="0" w:firstLineChars="0"/>
              <w:jc w:val="center"/>
              <w:rPr>
                <w:b/>
                <w:sz w:val="21"/>
                <w:szCs w:val="21"/>
              </w:rPr>
            </w:pPr>
            <w:r>
              <w:rPr>
                <w:b/>
                <w:sz w:val="21"/>
                <w:szCs w:val="21"/>
              </w:rPr>
              <w:t>所占比例（%）</w:t>
            </w:r>
          </w:p>
        </w:tc>
      </w:tr>
      <w:tr w14:paraId="37E35A1C">
        <w:tblPrEx>
          <w:tblBorders>
            <w:top w:val="single" w:color="auto" w:sz="8" w:space="0"/>
            <w:left w:val="single" w:color="auto" w:sz="8" w:space="0"/>
            <w:bottom w:val="single" w:color="auto" w:sz="8"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84" w:type="dxa"/>
            <w:vAlign w:val="center"/>
          </w:tcPr>
          <w:p w14:paraId="278392BB">
            <w:pPr>
              <w:spacing w:line="360" w:lineRule="exact"/>
              <w:ind w:firstLine="0" w:firstLineChars="0"/>
              <w:jc w:val="center"/>
              <w:rPr>
                <w:sz w:val="21"/>
                <w:szCs w:val="21"/>
              </w:rPr>
            </w:pPr>
            <w:r>
              <w:rPr>
                <w:rFonts w:hint="eastAsia"/>
                <w:sz w:val="21"/>
                <w:szCs w:val="21"/>
              </w:rPr>
              <w:t>1</w:t>
            </w:r>
          </w:p>
        </w:tc>
        <w:tc>
          <w:tcPr>
            <w:tcW w:w="3726" w:type="dxa"/>
            <w:vAlign w:val="center"/>
          </w:tcPr>
          <w:p w14:paraId="7DA0E7F9">
            <w:pPr>
              <w:spacing w:line="360" w:lineRule="exact"/>
              <w:ind w:firstLine="0" w:firstLineChars="0"/>
              <w:jc w:val="center"/>
              <w:rPr>
                <w:sz w:val="21"/>
                <w:szCs w:val="21"/>
              </w:rPr>
            </w:pPr>
            <w:r>
              <w:rPr>
                <w:rFonts w:hint="eastAsia"/>
                <w:sz w:val="21"/>
                <w:szCs w:val="21"/>
              </w:rPr>
              <w:t>阀门管线泄漏</w:t>
            </w:r>
          </w:p>
        </w:tc>
        <w:tc>
          <w:tcPr>
            <w:tcW w:w="2578" w:type="dxa"/>
            <w:vAlign w:val="center"/>
          </w:tcPr>
          <w:p w14:paraId="20F025B5">
            <w:pPr>
              <w:spacing w:line="360" w:lineRule="exact"/>
              <w:ind w:firstLine="0" w:firstLineChars="0"/>
              <w:jc w:val="center"/>
              <w:rPr>
                <w:sz w:val="21"/>
                <w:szCs w:val="21"/>
              </w:rPr>
            </w:pPr>
            <w:r>
              <w:rPr>
                <w:rFonts w:hint="eastAsia"/>
                <w:sz w:val="21"/>
                <w:szCs w:val="21"/>
              </w:rPr>
              <w:t>35.1</w:t>
            </w:r>
          </w:p>
        </w:tc>
      </w:tr>
      <w:tr w14:paraId="6DA8679C">
        <w:tblPrEx>
          <w:tblBorders>
            <w:top w:val="single" w:color="auto" w:sz="8" w:space="0"/>
            <w:left w:val="single" w:color="auto" w:sz="8" w:space="0"/>
            <w:bottom w:val="single" w:color="auto" w:sz="8"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84" w:type="dxa"/>
            <w:vAlign w:val="center"/>
          </w:tcPr>
          <w:p w14:paraId="2804B758">
            <w:pPr>
              <w:spacing w:line="360" w:lineRule="exact"/>
              <w:ind w:firstLine="0" w:firstLineChars="0"/>
              <w:jc w:val="center"/>
              <w:rPr>
                <w:sz w:val="21"/>
                <w:szCs w:val="21"/>
              </w:rPr>
            </w:pPr>
            <w:r>
              <w:rPr>
                <w:rFonts w:hint="eastAsia"/>
                <w:sz w:val="21"/>
                <w:szCs w:val="21"/>
              </w:rPr>
              <w:t>2</w:t>
            </w:r>
          </w:p>
        </w:tc>
        <w:tc>
          <w:tcPr>
            <w:tcW w:w="3726" w:type="dxa"/>
            <w:vAlign w:val="center"/>
          </w:tcPr>
          <w:p w14:paraId="57FA7645">
            <w:pPr>
              <w:spacing w:line="360" w:lineRule="exact"/>
              <w:ind w:firstLine="0" w:firstLineChars="0"/>
              <w:jc w:val="center"/>
              <w:rPr>
                <w:sz w:val="21"/>
                <w:szCs w:val="21"/>
              </w:rPr>
            </w:pPr>
            <w:r>
              <w:rPr>
                <w:rFonts w:hint="eastAsia"/>
                <w:sz w:val="21"/>
                <w:szCs w:val="21"/>
              </w:rPr>
              <w:t>泵设备故障</w:t>
            </w:r>
          </w:p>
        </w:tc>
        <w:tc>
          <w:tcPr>
            <w:tcW w:w="2578" w:type="dxa"/>
            <w:vAlign w:val="center"/>
          </w:tcPr>
          <w:p w14:paraId="3E9823F6">
            <w:pPr>
              <w:spacing w:line="360" w:lineRule="exact"/>
              <w:ind w:firstLine="0" w:firstLineChars="0"/>
              <w:jc w:val="center"/>
              <w:rPr>
                <w:sz w:val="21"/>
                <w:szCs w:val="21"/>
              </w:rPr>
            </w:pPr>
            <w:r>
              <w:rPr>
                <w:rFonts w:hint="eastAsia"/>
                <w:sz w:val="21"/>
                <w:szCs w:val="21"/>
              </w:rPr>
              <w:t>18.2</w:t>
            </w:r>
          </w:p>
        </w:tc>
      </w:tr>
      <w:tr w14:paraId="59934626">
        <w:tblPrEx>
          <w:tblBorders>
            <w:top w:val="single" w:color="auto" w:sz="8" w:space="0"/>
            <w:left w:val="single" w:color="auto" w:sz="8" w:space="0"/>
            <w:bottom w:val="single" w:color="auto" w:sz="8"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84" w:type="dxa"/>
            <w:vAlign w:val="center"/>
          </w:tcPr>
          <w:p w14:paraId="709BC44E">
            <w:pPr>
              <w:spacing w:line="360" w:lineRule="exact"/>
              <w:ind w:firstLine="0" w:firstLineChars="0"/>
              <w:jc w:val="center"/>
              <w:rPr>
                <w:sz w:val="21"/>
                <w:szCs w:val="21"/>
              </w:rPr>
            </w:pPr>
            <w:r>
              <w:rPr>
                <w:rFonts w:hint="eastAsia"/>
                <w:sz w:val="21"/>
                <w:szCs w:val="21"/>
              </w:rPr>
              <w:t>3</w:t>
            </w:r>
          </w:p>
        </w:tc>
        <w:tc>
          <w:tcPr>
            <w:tcW w:w="3726" w:type="dxa"/>
            <w:vAlign w:val="center"/>
          </w:tcPr>
          <w:p w14:paraId="22C6CF43">
            <w:pPr>
              <w:spacing w:line="360" w:lineRule="exact"/>
              <w:ind w:firstLine="0" w:firstLineChars="0"/>
              <w:jc w:val="center"/>
              <w:rPr>
                <w:sz w:val="21"/>
                <w:szCs w:val="21"/>
              </w:rPr>
            </w:pPr>
            <w:r>
              <w:rPr>
                <w:rFonts w:hint="eastAsia"/>
                <w:sz w:val="21"/>
                <w:szCs w:val="21"/>
              </w:rPr>
              <w:t>操作失误</w:t>
            </w:r>
          </w:p>
        </w:tc>
        <w:tc>
          <w:tcPr>
            <w:tcW w:w="2578" w:type="dxa"/>
            <w:vAlign w:val="center"/>
          </w:tcPr>
          <w:p w14:paraId="4009F89C">
            <w:pPr>
              <w:spacing w:line="360" w:lineRule="exact"/>
              <w:ind w:firstLine="0" w:firstLineChars="0"/>
              <w:jc w:val="center"/>
              <w:rPr>
                <w:sz w:val="21"/>
                <w:szCs w:val="21"/>
              </w:rPr>
            </w:pPr>
            <w:r>
              <w:rPr>
                <w:rFonts w:hint="eastAsia"/>
                <w:sz w:val="21"/>
                <w:szCs w:val="21"/>
              </w:rPr>
              <w:t>15.6</w:t>
            </w:r>
          </w:p>
        </w:tc>
      </w:tr>
      <w:tr w14:paraId="1C02A7C5">
        <w:tblPrEx>
          <w:tblBorders>
            <w:top w:val="single" w:color="auto" w:sz="8" w:space="0"/>
            <w:left w:val="single" w:color="auto" w:sz="8" w:space="0"/>
            <w:bottom w:val="single" w:color="auto" w:sz="8"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84" w:type="dxa"/>
            <w:vAlign w:val="center"/>
          </w:tcPr>
          <w:p w14:paraId="01F6F29B">
            <w:pPr>
              <w:spacing w:line="360" w:lineRule="exact"/>
              <w:ind w:firstLine="0" w:firstLineChars="0"/>
              <w:jc w:val="center"/>
              <w:rPr>
                <w:sz w:val="21"/>
                <w:szCs w:val="21"/>
              </w:rPr>
            </w:pPr>
            <w:r>
              <w:rPr>
                <w:rFonts w:hint="eastAsia"/>
                <w:sz w:val="21"/>
                <w:szCs w:val="21"/>
              </w:rPr>
              <w:t>4</w:t>
            </w:r>
          </w:p>
        </w:tc>
        <w:tc>
          <w:tcPr>
            <w:tcW w:w="3726" w:type="dxa"/>
            <w:vAlign w:val="center"/>
          </w:tcPr>
          <w:p w14:paraId="79C5CCC4">
            <w:pPr>
              <w:spacing w:line="360" w:lineRule="exact"/>
              <w:ind w:firstLine="0" w:firstLineChars="0"/>
              <w:jc w:val="center"/>
              <w:rPr>
                <w:sz w:val="21"/>
                <w:szCs w:val="21"/>
              </w:rPr>
            </w:pPr>
            <w:r>
              <w:rPr>
                <w:rFonts w:hint="eastAsia"/>
                <w:sz w:val="21"/>
                <w:szCs w:val="21"/>
              </w:rPr>
              <w:t>仪表、电器失灵</w:t>
            </w:r>
          </w:p>
        </w:tc>
        <w:tc>
          <w:tcPr>
            <w:tcW w:w="2578" w:type="dxa"/>
            <w:vAlign w:val="center"/>
          </w:tcPr>
          <w:p w14:paraId="344D7EB5">
            <w:pPr>
              <w:spacing w:line="360" w:lineRule="exact"/>
              <w:ind w:firstLine="0" w:firstLineChars="0"/>
              <w:jc w:val="center"/>
              <w:rPr>
                <w:sz w:val="21"/>
                <w:szCs w:val="21"/>
              </w:rPr>
            </w:pPr>
            <w:r>
              <w:rPr>
                <w:rFonts w:hint="eastAsia"/>
                <w:sz w:val="21"/>
                <w:szCs w:val="21"/>
              </w:rPr>
              <w:t>12.4</w:t>
            </w:r>
          </w:p>
        </w:tc>
      </w:tr>
      <w:tr w14:paraId="5CDD5A73">
        <w:tblPrEx>
          <w:tblBorders>
            <w:top w:val="single" w:color="auto" w:sz="8" w:space="0"/>
            <w:left w:val="single" w:color="auto" w:sz="8" w:space="0"/>
            <w:bottom w:val="single" w:color="auto" w:sz="8"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84" w:type="dxa"/>
            <w:vAlign w:val="center"/>
          </w:tcPr>
          <w:p w14:paraId="2CEAE505">
            <w:pPr>
              <w:spacing w:line="360" w:lineRule="exact"/>
              <w:ind w:firstLine="0" w:firstLineChars="0"/>
              <w:jc w:val="center"/>
              <w:rPr>
                <w:sz w:val="21"/>
                <w:szCs w:val="21"/>
              </w:rPr>
            </w:pPr>
            <w:r>
              <w:rPr>
                <w:rFonts w:hint="eastAsia"/>
                <w:sz w:val="21"/>
                <w:szCs w:val="21"/>
              </w:rPr>
              <w:t>5</w:t>
            </w:r>
          </w:p>
        </w:tc>
        <w:tc>
          <w:tcPr>
            <w:tcW w:w="3726" w:type="dxa"/>
            <w:vAlign w:val="center"/>
          </w:tcPr>
          <w:p w14:paraId="4A60A9FD">
            <w:pPr>
              <w:spacing w:line="360" w:lineRule="exact"/>
              <w:ind w:firstLine="0" w:firstLineChars="0"/>
              <w:jc w:val="center"/>
              <w:rPr>
                <w:sz w:val="21"/>
                <w:szCs w:val="21"/>
              </w:rPr>
            </w:pPr>
            <w:r>
              <w:rPr>
                <w:rFonts w:hint="eastAsia"/>
                <w:sz w:val="21"/>
                <w:szCs w:val="21"/>
              </w:rPr>
              <w:t>反应失控</w:t>
            </w:r>
          </w:p>
        </w:tc>
        <w:tc>
          <w:tcPr>
            <w:tcW w:w="2578" w:type="dxa"/>
            <w:vAlign w:val="center"/>
          </w:tcPr>
          <w:p w14:paraId="79661916">
            <w:pPr>
              <w:spacing w:line="360" w:lineRule="exact"/>
              <w:ind w:firstLine="0" w:firstLineChars="0"/>
              <w:jc w:val="center"/>
              <w:rPr>
                <w:sz w:val="21"/>
                <w:szCs w:val="21"/>
              </w:rPr>
            </w:pPr>
            <w:r>
              <w:rPr>
                <w:rFonts w:hint="eastAsia"/>
                <w:sz w:val="21"/>
                <w:szCs w:val="21"/>
              </w:rPr>
              <w:t>10.4</w:t>
            </w:r>
          </w:p>
        </w:tc>
      </w:tr>
      <w:tr w14:paraId="212C5F83">
        <w:tblPrEx>
          <w:tblBorders>
            <w:top w:val="single" w:color="auto" w:sz="8" w:space="0"/>
            <w:left w:val="single" w:color="auto" w:sz="8" w:space="0"/>
            <w:bottom w:val="single" w:color="auto" w:sz="8"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84" w:type="dxa"/>
            <w:vAlign w:val="center"/>
          </w:tcPr>
          <w:p w14:paraId="32E3D88D">
            <w:pPr>
              <w:spacing w:line="360" w:lineRule="exact"/>
              <w:ind w:firstLine="0" w:firstLineChars="0"/>
              <w:jc w:val="center"/>
              <w:rPr>
                <w:sz w:val="21"/>
                <w:szCs w:val="21"/>
              </w:rPr>
            </w:pPr>
            <w:r>
              <w:rPr>
                <w:rFonts w:hint="eastAsia"/>
                <w:sz w:val="21"/>
                <w:szCs w:val="21"/>
              </w:rPr>
              <w:t>6</w:t>
            </w:r>
          </w:p>
        </w:tc>
        <w:tc>
          <w:tcPr>
            <w:tcW w:w="3726" w:type="dxa"/>
            <w:vAlign w:val="center"/>
          </w:tcPr>
          <w:p w14:paraId="69F76CD7">
            <w:pPr>
              <w:spacing w:line="360" w:lineRule="exact"/>
              <w:ind w:firstLine="0" w:firstLineChars="0"/>
              <w:jc w:val="center"/>
              <w:rPr>
                <w:sz w:val="21"/>
                <w:szCs w:val="21"/>
              </w:rPr>
            </w:pPr>
            <w:r>
              <w:rPr>
                <w:rFonts w:hint="eastAsia"/>
                <w:sz w:val="21"/>
                <w:szCs w:val="21"/>
              </w:rPr>
              <w:t>雷击等自然灾害</w:t>
            </w:r>
          </w:p>
        </w:tc>
        <w:tc>
          <w:tcPr>
            <w:tcW w:w="2578" w:type="dxa"/>
            <w:vAlign w:val="center"/>
          </w:tcPr>
          <w:p w14:paraId="54176938">
            <w:pPr>
              <w:spacing w:line="360" w:lineRule="exact"/>
              <w:ind w:firstLine="0" w:firstLineChars="0"/>
              <w:jc w:val="center"/>
              <w:rPr>
                <w:sz w:val="21"/>
                <w:szCs w:val="21"/>
              </w:rPr>
            </w:pPr>
            <w:r>
              <w:rPr>
                <w:rFonts w:hint="eastAsia"/>
                <w:sz w:val="21"/>
                <w:szCs w:val="21"/>
              </w:rPr>
              <w:t>8.2</w:t>
            </w:r>
          </w:p>
        </w:tc>
      </w:tr>
    </w:tbl>
    <w:p w14:paraId="1D9AFDB9">
      <w:pPr>
        <w:pStyle w:val="99"/>
        <w:numPr>
          <w:ilvl w:val="4"/>
          <w:numId w:val="45"/>
        </w:numPr>
        <w:ind w:left="0" w:firstLine="480"/>
        <w:jc w:val="left"/>
        <w:rPr>
          <w:rFonts w:eastAsia="黑体"/>
          <w:bCs/>
        </w:rPr>
      </w:pPr>
      <w:r>
        <w:rPr>
          <w:rFonts w:hint="eastAsia" w:eastAsia="黑体"/>
          <w:bCs/>
        </w:rPr>
        <w:t xml:space="preserve">                典型事故案例</w:t>
      </w:r>
    </w:p>
    <w:tbl>
      <w:tblPr>
        <w:tblStyle w:val="41"/>
        <w:tblW w:w="5000" w:type="pct"/>
        <w:jc w:val="center"/>
        <w:tblBorders>
          <w:top w:val="single" w:color="auto" w:sz="8" w:space="0"/>
          <w:left w:val="single" w:color="auto" w:sz="8"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576"/>
        <w:gridCol w:w="1691"/>
        <w:gridCol w:w="6057"/>
      </w:tblGrid>
      <w:tr w14:paraId="54272AD5">
        <w:tblPrEx>
          <w:tblBorders>
            <w:top w:val="single" w:color="auto" w:sz="8" w:space="0"/>
            <w:left w:val="single" w:color="auto" w:sz="8"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74" w:type="dxa"/>
            <w:vAlign w:val="center"/>
          </w:tcPr>
          <w:p w14:paraId="615F75CC">
            <w:pPr>
              <w:spacing w:line="240" w:lineRule="auto"/>
              <w:ind w:firstLine="0" w:firstLineChars="0"/>
              <w:jc w:val="center"/>
              <w:rPr>
                <w:b/>
                <w:sz w:val="21"/>
                <w:szCs w:val="21"/>
                <w:u w:val="single"/>
              </w:rPr>
            </w:pPr>
            <w:r>
              <w:rPr>
                <w:rFonts w:hint="eastAsia"/>
                <w:b/>
                <w:sz w:val="21"/>
                <w:szCs w:val="21"/>
                <w:u w:val="single"/>
              </w:rPr>
              <w:t>序号</w:t>
            </w:r>
          </w:p>
        </w:tc>
        <w:tc>
          <w:tcPr>
            <w:tcW w:w="1684" w:type="dxa"/>
            <w:vAlign w:val="center"/>
          </w:tcPr>
          <w:p w14:paraId="2636FD49">
            <w:pPr>
              <w:spacing w:line="240" w:lineRule="auto"/>
              <w:ind w:firstLine="0" w:firstLineChars="0"/>
              <w:jc w:val="center"/>
              <w:rPr>
                <w:b/>
                <w:sz w:val="21"/>
                <w:szCs w:val="21"/>
                <w:u w:val="single"/>
              </w:rPr>
            </w:pPr>
            <w:r>
              <w:rPr>
                <w:rFonts w:hint="eastAsia"/>
                <w:b/>
                <w:sz w:val="21"/>
                <w:szCs w:val="21"/>
                <w:u w:val="single"/>
              </w:rPr>
              <w:t>时间地点</w:t>
            </w:r>
          </w:p>
        </w:tc>
        <w:tc>
          <w:tcPr>
            <w:tcW w:w="6030" w:type="dxa"/>
            <w:vAlign w:val="center"/>
          </w:tcPr>
          <w:p w14:paraId="269F9BC2">
            <w:pPr>
              <w:spacing w:line="240" w:lineRule="auto"/>
              <w:ind w:firstLine="0" w:firstLineChars="0"/>
              <w:jc w:val="center"/>
              <w:rPr>
                <w:b/>
                <w:sz w:val="21"/>
                <w:szCs w:val="21"/>
                <w:u w:val="single"/>
              </w:rPr>
            </w:pPr>
            <w:r>
              <w:rPr>
                <w:rFonts w:hint="eastAsia"/>
                <w:b/>
                <w:sz w:val="21"/>
                <w:szCs w:val="21"/>
                <w:u w:val="single"/>
              </w:rPr>
              <w:t>事故后果及原因</w:t>
            </w:r>
          </w:p>
        </w:tc>
      </w:tr>
      <w:tr w14:paraId="49420BC1">
        <w:tblPrEx>
          <w:tblBorders>
            <w:top w:val="single" w:color="auto" w:sz="8" w:space="0"/>
            <w:left w:val="single" w:color="auto" w:sz="8"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4" w:type="dxa"/>
            <w:vAlign w:val="center"/>
          </w:tcPr>
          <w:p w14:paraId="68845089">
            <w:pPr>
              <w:spacing w:line="240" w:lineRule="auto"/>
              <w:ind w:firstLine="0" w:firstLineChars="0"/>
              <w:jc w:val="center"/>
              <w:rPr>
                <w:sz w:val="21"/>
                <w:szCs w:val="21"/>
                <w:u w:val="single"/>
              </w:rPr>
            </w:pPr>
            <w:r>
              <w:rPr>
                <w:rFonts w:hint="eastAsia"/>
                <w:sz w:val="21"/>
                <w:szCs w:val="21"/>
                <w:u w:val="single"/>
              </w:rPr>
              <w:t>1</w:t>
            </w:r>
          </w:p>
        </w:tc>
        <w:tc>
          <w:tcPr>
            <w:tcW w:w="1684" w:type="dxa"/>
            <w:vAlign w:val="center"/>
          </w:tcPr>
          <w:p w14:paraId="371278E1">
            <w:pPr>
              <w:spacing w:line="240" w:lineRule="auto"/>
              <w:ind w:firstLine="0" w:firstLineChars="0"/>
              <w:jc w:val="center"/>
              <w:rPr>
                <w:sz w:val="21"/>
                <w:szCs w:val="21"/>
                <w:u w:val="single"/>
              </w:rPr>
            </w:pPr>
            <w:r>
              <w:rPr>
                <w:rFonts w:hint="eastAsia"/>
                <w:sz w:val="21"/>
                <w:szCs w:val="21"/>
                <w:u w:val="single"/>
              </w:rPr>
              <w:t>2023年1月4日，蚌埠市圣光化工有限公司厂区内</w:t>
            </w:r>
          </w:p>
        </w:tc>
        <w:tc>
          <w:tcPr>
            <w:tcW w:w="6030" w:type="dxa"/>
            <w:vAlign w:val="center"/>
          </w:tcPr>
          <w:p w14:paraId="5AB412CC">
            <w:pPr>
              <w:spacing w:line="240" w:lineRule="auto"/>
              <w:ind w:firstLine="0" w:firstLineChars="0"/>
              <w:jc w:val="center"/>
              <w:rPr>
                <w:sz w:val="21"/>
                <w:szCs w:val="21"/>
                <w:u w:val="single"/>
              </w:rPr>
            </w:pPr>
            <w:r>
              <w:rPr>
                <w:rFonts w:hint="eastAsia"/>
                <w:sz w:val="21"/>
                <w:szCs w:val="21"/>
                <w:u w:val="single"/>
              </w:rPr>
              <w:t>该公司主要从事硫酸镁（非危险化学品）生产，企业两周前违规将硫酸储罐用于储存混酸，物料在存放过程中逐渐与罐体反应并生热膨胀，导致反应物及混酸从储罐上部进料口溢出。</w:t>
            </w:r>
          </w:p>
        </w:tc>
      </w:tr>
      <w:tr w14:paraId="15A31D99">
        <w:tblPrEx>
          <w:tblBorders>
            <w:top w:val="single" w:color="auto" w:sz="8" w:space="0"/>
            <w:left w:val="single" w:color="auto" w:sz="8"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4" w:type="dxa"/>
            <w:vAlign w:val="center"/>
          </w:tcPr>
          <w:p w14:paraId="7DA3008C">
            <w:pPr>
              <w:spacing w:line="240" w:lineRule="auto"/>
              <w:ind w:firstLine="0" w:firstLineChars="0"/>
              <w:jc w:val="center"/>
              <w:rPr>
                <w:sz w:val="21"/>
                <w:szCs w:val="21"/>
                <w:u w:val="single"/>
              </w:rPr>
            </w:pPr>
            <w:r>
              <w:rPr>
                <w:rFonts w:hint="eastAsia"/>
                <w:sz w:val="21"/>
                <w:szCs w:val="21"/>
                <w:u w:val="single"/>
              </w:rPr>
              <w:t>2</w:t>
            </w:r>
          </w:p>
        </w:tc>
        <w:tc>
          <w:tcPr>
            <w:tcW w:w="1684" w:type="dxa"/>
            <w:vAlign w:val="center"/>
          </w:tcPr>
          <w:p w14:paraId="7158EC86">
            <w:pPr>
              <w:spacing w:line="240" w:lineRule="auto"/>
              <w:ind w:firstLine="0" w:firstLineChars="0"/>
              <w:jc w:val="center"/>
              <w:rPr>
                <w:sz w:val="21"/>
                <w:szCs w:val="21"/>
                <w:u w:val="single"/>
              </w:rPr>
            </w:pPr>
            <w:r>
              <w:rPr>
                <w:rFonts w:hint="eastAsia"/>
                <w:sz w:val="21"/>
                <w:szCs w:val="21"/>
                <w:u w:val="single"/>
              </w:rPr>
              <w:t>2013年3月1日，建平县鸿燊商贸有限公司</w:t>
            </w:r>
          </w:p>
        </w:tc>
        <w:tc>
          <w:tcPr>
            <w:tcW w:w="6030" w:type="dxa"/>
            <w:vAlign w:val="center"/>
          </w:tcPr>
          <w:p w14:paraId="7B76BFA5">
            <w:pPr>
              <w:spacing w:line="240" w:lineRule="auto"/>
              <w:ind w:firstLine="0" w:firstLineChars="0"/>
              <w:jc w:val="center"/>
              <w:rPr>
                <w:sz w:val="21"/>
                <w:szCs w:val="21"/>
                <w:u w:val="single"/>
              </w:rPr>
            </w:pPr>
            <w:r>
              <w:rPr>
                <w:rFonts w:hint="eastAsia"/>
                <w:sz w:val="21"/>
                <w:szCs w:val="21"/>
                <w:u w:val="single"/>
              </w:rPr>
              <w:t>硫酸储罐内的浓硫酸被局部稀释后，与储罐材质反应产生氢气，与含有氧气的空气形成爆炸性混合气体，当混合气体从放空管通气口和罐顶周围的小缺口冒出时，遇焊接明火引起爆炸，导致2号罐体爆裂。飞出的罐体碎片，将1号储罐下部连接管法兰砸断，罐内硫酸泄漏。2号储罐和1号储罐泄漏的硫酸流入附近农田、河床及高速公路涵洞，引发较严重的次生环境灾害。</w:t>
            </w:r>
          </w:p>
        </w:tc>
      </w:tr>
      <w:tr w14:paraId="456A5952">
        <w:tblPrEx>
          <w:tblBorders>
            <w:top w:val="single" w:color="auto" w:sz="8" w:space="0"/>
            <w:left w:val="single" w:color="auto" w:sz="8"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4" w:type="dxa"/>
            <w:vAlign w:val="center"/>
          </w:tcPr>
          <w:p w14:paraId="2DB3256A">
            <w:pPr>
              <w:spacing w:line="240" w:lineRule="auto"/>
              <w:ind w:firstLine="0" w:firstLineChars="0"/>
              <w:jc w:val="center"/>
              <w:rPr>
                <w:sz w:val="21"/>
                <w:szCs w:val="21"/>
                <w:u w:val="single"/>
              </w:rPr>
            </w:pPr>
            <w:r>
              <w:rPr>
                <w:rFonts w:hint="eastAsia"/>
                <w:sz w:val="21"/>
                <w:szCs w:val="21"/>
                <w:u w:val="single"/>
              </w:rPr>
              <w:t>3</w:t>
            </w:r>
          </w:p>
        </w:tc>
        <w:tc>
          <w:tcPr>
            <w:tcW w:w="1684" w:type="dxa"/>
            <w:vAlign w:val="center"/>
          </w:tcPr>
          <w:p w14:paraId="4CAF1B24">
            <w:pPr>
              <w:spacing w:line="240" w:lineRule="auto"/>
              <w:ind w:firstLine="0" w:firstLineChars="0"/>
              <w:jc w:val="center"/>
              <w:rPr>
                <w:sz w:val="21"/>
                <w:szCs w:val="21"/>
                <w:u w:val="single"/>
              </w:rPr>
            </w:pPr>
            <w:r>
              <w:rPr>
                <w:rFonts w:hint="eastAsia"/>
                <w:sz w:val="21"/>
                <w:szCs w:val="21"/>
                <w:u w:val="single"/>
              </w:rPr>
              <w:t>2017年1月24日，江西三美化工有限公司</w:t>
            </w:r>
          </w:p>
        </w:tc>
        <w:tc>
          <w:tcPr>
            <w:tcW w:w="6030" w:type="dxa"/>
            <w:vAlign w:val="center"/>
          </w:tcPr>
          <w:p w14:paraId="74B1006D">
            <w:pPr>
              <w:spacing w:line="240" w:lineRule="auto"/>
              <w:ind w:firstLine="0" w:firstLineChars="0"/>
              <w:jc w:val="center"/>
              <w:rPr>
                <w:sz w:val="21"/>
                <w:szCs w:val="21"/>
                <w:u w:val="single"/>
              </w:rPr>
            </w:pPr>
            <w:r>
              <w:rPr>
                <w:rFonts w:hint="eastAsia"/>
                <w:sz w:val="21"/>
                <w:szCs w:val="21"/>
                <w:u w:val="single"/>
              </w:rPr>
              <w:t>新进原材料发烟硫酸3槽车（约80吨），在原料卸入储罐过程中发生放热反应，造成部分水蒸气和烟气外泄。事故共造成2人死亡，36人住院治疗(其中6人重伤)。</w:t>
            </w:r>
          </w:p>
        </w:tc>
      </w:tr>
      <w:tr w14:paraId="2AEA00D0">
        <w:tblPrEx>
          <w:tblBorders>
            <w:top w:val="single" w:color="auto" w:sz="8" w:space="0"/>
            <w:left w:val="single" w:color="auto" w:sz="8"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4" w:type="dxa"/>
            <w:vAlign w:val="center"/>
          </w:tcPr>
          <w:p w14:paraId="1BF18538">
            <w:pPr>
              <w:spacing w:line="240" w:lineRule="auto"/>
              <w:ind w:firstLine="0" w:firstLineChars="0"/>
              <w:jc w:val="center"/>
              <w:rPr>
                <w:sz w:val="21"/>
                <w:szCs w:val="21"/>
                <w:u w:val="single"/>
              </w:rPr>
            </w:pPr>
            <w:r>
              <w:rPr>
                <w:rFonts w:hint="eastAsia"/>
                <w:sz w:val="21"/>
                <w:szCs w:val="21"/>
                <w:u w:val="single"/>
              </w:rPr>
              <w:t>4</w:t>
            </w:r>
          </w:p>
        </w:tc>
        <w:tc>
          <w:tcPr>
            <w:tcW w:w="1684" w:type="dxa"/>
            <w:vAlign w:val="center"/>
          </w:tcPr>
          <w:p w14:paraId="1B907470">
            <w:pPr>
              <w:spacing w:line="240" w:lineRule="auto"/>
              <w:ind w:firstLine="0" w:firstLineChars="0"/>
              <w:jc w:val="center"/>
              <w:rPr>
                <w:sz w:val="21"/>
                <w:szCs w:val="21"/>
                <w:u w:val="single"/>
              </w:rPr>
            </w:pPr>
            <w:r>
              <w:rPr>
                <w:rFonts w:hint="eastAsia"/>
                <w:sz w:val="21"/>
                <w:szCs w:val="21"/>
                <w:u w:val="single"/>
              </w:rPr>
              <w:t>2020年11月9日，浙江衢州中天东方氟硅材料有限公司</w:t>
            </w:r>
          </w:p>
        </w:tc>
        <w:tc>
          <w:tcPr>
            <w:tcW w:w="6030" w:type="dxa"/>
            <w:vAlign w:val="center"/>
          </w:tcPr>
          <w:p w14:paraId="0FCF9DEB">
            <w:pPr>
              <w:spacing w:line="240" w:lineRule="auto"/>
              <w:ind w:firstLine="0" w:firstLineChars="0"/>
              <w:jc w:val="center"/>
              <w:rPr>
                <w:sz w:val="21"/>
                <w:szCs w:val="21"/>
                <w:u w:val="single"/>
              </w:rPr>
            </w:pPr>
            <w:r>
              <w:rPr>
                <w:rFonts w:hint="eastAsia"/>
                <w:sz w:val="21"/>
                <w:szCs w:val="21"/>
                <w:u w:val="single"/>
              </w:rPr>
              <w:t>3号堆场的吨桶装高沸物达到燃点，进而引发流淌火，导致火势蔓延。发生火灾的该单位主要生产成品包括二甲基硅氧烷混合环体（DMC）、八甲基环四硅氧烷（D4）、六甲基环三硅氧烷（D3）、一甲基三氯硅烷（M1）、三甲基一氯硅烷（M3）、一甲基二氯氢硅烷（MH）、高沸物等，这些都是易燃化学危险品。</w:t>
            </w:r>
            <w:r>
              <w:rPr>
                <w:sz w:val="21"/>
                <w:szCs w:val="21"/>
                <w:u w:val="single"/>
              </w:rPr>
              <w:t>火灾燃烧区域包括高沸物堆场、三甲氧工段、含氢硅油工段、白炭黑工段等化工装置，以及第五车间、第六车间。之所以蔓延迅速是由于高沸物形成大面积流淌火。</w:t>
            </w:r>
            <w:r>
              <w:rPr>
                <w:rFonts w:hint="eastAsia"/>
                <w:sz w:val="21"/>
                <w:szCs w:val="21"/>
                <w:u w:val="single"/>
              </w:rPr>
              <w:t>燃烧后产生的主要污染物为氯化氢、烟粉尘、二氧化硅。经应急监测，下风向敏感点氯化氢最高值是13时26分在廿里监测点位检测出的0.4毫克/立方米，超过《工业企业设计卫生标准》（TJ36-79）中居住区大气污染物最高允许排放浓度标准（0.05毫克/立方米）7倍。</w:t>
            </w:r>
          </w:p>
        </w:tc>
      </w:tr>
    </w:tbl>
    <w:p w14:paraId="5C880178">
      <w:pPr>
        <w:ind w:firstLine="482"/>
        <w:outlineLvl w:val="4"/>
        <w:rPr>
          <w:b/>
          <w:bCs/>
        </w:rPr>
      </w:pPr>
      <w:r>
        <w:rPr>
          <w:rFonts w:hint="eastAsia"/>
          <w:b/>
          <w:bCs/>
        </w:rPr>
        <w:t>1、泄露事故发生概率</w:t>
      </w:r>
    </w:p>
    <w:p w14:paraId="676EEB36">
      <w:pPr>
        <w:ind w:firstLine="480"/>
      </w:pPr>
      <w:r>
        <w:rPr>
          <w:rFonts w:hint="eastAsia"/>
        </w:rPr>
        <w:t>化学品泄漏事故类型包括容器、管道、泵体、压缩机、装卸臂和装卸软管的泄漏和破裂等。根据《建设项目环境风险评价技术导则》（HJ169-2018）附录E，常见设备的泄漏频率见下表。</w:t>
      </w:r>
    </w:p>
    <w:p w14:paraId="7CD321A3">
      <w:pPr>
        <w:pStyle w:val="99"/>
        <w:numPr>
          <w:ilvl w:val="4"/>
          <w:numId w:val="45"/>
        </w:numPr>
        <w:ind w:left="0" w:firstLine="480"/>
        <w:jc w:val="left"/>
        <w:rPr>
          <w:rFonts w:eastAsia="黑体"/>
          <w:bCs/>
        </w:rPr>
      </w:pPr>
      <w:r>
        <w:rPr>
          <w:rFonts w:hint="eastAsia" w:eastAsia="黑体"/>
          <w:bCs/>
        </w:rPr>
        <w:t xml:space="preserve">         常见设备泄露事故频率一览表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2155"/>
        <w:gridCol w:w="3969"/>
        <w:gridCol w:w="2238"/>
      </w:tblGrid>
      <w:tr w14:paraId="15593B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2135" w:type="dxa"/>
            <w:vAlign w:val="center"/>
          </w:tcPr>
          <w:p w14:paraId="17667465">
            <w:pPr>
              <w:spacing w:line="360" w:lineRule="exact"/>
              <w:ind w:firstLine="0" w:firstLineChars="0"/>
              <w:jc w:val="center"/>
              <w:rPr>
                <w:b/>
                <w:sz w:val="21"/>
                <w:szCs w:val="21"/>
              </w:rPr>
            </w:pPr>
            <w:r>
              <w:rPr>
                <w:b/>
                <w:sz w:val="21"/>
                <w:szCs w:val="21"/>
              </w:rPr>
              <w:t>部件类型</w:t>
            </w:r>
          </w:p>
        </w:tc>
        <w:tc>
          <w:tcPr>
            <w:tcW w:w="3934" w:type="dxa"/>
            <w:vAlign w:val="center"/>
          </w:tcPr>
          <w:p w14:paraId="508C0C60">
            <w:pPr>
              <w:spacing w:line="360" w:lineRule="exact"/>
              <w:ind w:firstLine="0" w:firstLineChars="0"/>
              <w:jc w:val="center"/>
              <w:rPr>
                <w:b/>
                <w:sz w:val="21"/>
                <w:szCs w:val="21"/>
              </w:rPr>
            </w:pPr>
            <w:r>
              <w:rPr>
                <w:b/>
                <w:sz w:val="21"/>
                <w:szCs w:val="21"/>
              </w:rPr>
              <w:t>泄漏模型</w:t>
            </w:r>
          </w:p>
        </w:tc>
        <w:tc>
          <w:tcPr>
            <w:tcW w:w="2219" w:type="dxa"/>
            <w:vAlign w:val="center"/>
          </w:tcPr>
          <w:p w14:paraId="27C395DE">
            <w:pPr>
              <w:spacing w:line="360" w:lineRule="exact"/>
              <w:ind w:firstLine="0" w:firstLineChars="0"/>
              <w:jc w:val="center"/>
              <w:rPr>
                <w:b/>
                <w:sz w:val="21"/>
                <w:szCs w:val="21"/>
              </w:rPr>
            </w:pPr>
            <w:r>
              <w:rPr>
                <w:b/>
                <w:sz w:val="21"/>
                <w:szCs w:val="21"/>
              </w:rPr>
              <w:t>泄露频率</w:t>
            </w:r>
          </w:p>
        </w:tc>
      </w:tr>
      <w:tr w14:paraId="55CACB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restart"/>
            <w:vAlign w:val="center"/>
          </w:tcPr>
          <w:p w14:paraId="1B3BD7B7">
            <w:pPr>
              <w:spacing w:line="360" w:lineRule="exact"/>
              <w:ind w:firstLine="0" w:firstLineChars="0"/>
              <w:jc w:val="center"/>
              <w:rPr>
                <w:sz w:val="21"/>
                <w:szCs w:val="21"/>
              </w:rPr>
            </w:pPr>
            <w:r>
              <w:rPr>
                <w:sz w:val="21"/>
                <w:szCs w:val="21"/>
              </w:rPr>
              <w:t>反应器/工艺储罐/气体储罐/塔器</w:t>
            </w:r>
          </w:p>
        </w:tc>
        <w:tc>
          <w:tcPr>
            <w:tcW w:w="3934" w:type="dxa"/>
            <w:vAlign w:val="center"/>
          </w:tcPr>
          <w:p w14:paraId="61CF4778">
            <w:pPr>
              <w:spacing w:line="360" w:lineRule="exact"/>
              <w:ind w:firstLine="0" w:firstLineChars="0"/>
              <w:jc w:val="center"/>
              <w:rPr>
                <w:sz w:val="21"/>
                <w:szCs w:val="21"/>
              </w:rPr>
            </w:pPr>
            <w:r>
              <w:rPr>
                <w:sz w:val="21"/>
                <w:szCs w:val="21"/>
              </w:rPr>
              <w:t>泄漏孔径为10mm孔径</w:t>
            </w:r>
          </w:p>
        </w:tc>
        <w:tc>
          <w:tcPr>
            <w:tcW w:w="2219" w:type="dxa"/>
            <w:vAlign w:val="center"/>
          </w:tcPr>
          <w:p w14:paraId="67F5A514">
            <w:pPr>
              <w:spacing w:line="360" w:lineRule="exact"/>
              <w:ind w:firstLine="0" w:firstLineChars="0"/>
              <w:jc w:val="center"/>
              <w:rPr>
                <w:sz w:val="21"/>
                <w:szCs w:val="21"/>
              </w:rPr>
            </w:pPr>
            <w:r>
              <w:rPr>
                <w:sz w:val="21"/>
                <w:szCs w:val="21"/>
              </w:rPr>
              <w:t>1.00×10</w:t>
            </w:r>
            <w:r>
              <w:rPr>
                <w:sz w:val="21"/>
                <w:szCs w:val="21"/>
                <w:vertAlign w:val="superscript"/>
              </w:rPr>
              <w:t>-4</w:t>
            </w:r>
            <w:r>
              <w:rPr>
                <w:sz w:val="21"/>
                <w:szCs w:val="21"/>
              </w:rPr>
              <w:t>/a</w:t>
            </w:r>
          </w:p>
        </w:tc>
      </w:tr>
      <w:tr w14:paraId="40C934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60001C3F">
            <w:pPr>
              <w:spacing w:line="360" w:lineRule="exact"/>
              <w:ind w:firstLine="0" w:firstLineChars="0"/>
              <w:jc w:val="center"/>
              <w:rPr>
                <w:sz w:val="21"/>
                <w:szCs w:val="21"/>
              </w:rPr>
            </w:pPr>
          </w:p>
        </w:tc>
        <w:tc>
          <w:tcPr>
            <w:tcW w:w="3934" w:type="dxa"/>
            <w:vAlign w:val="center"/>
          </w:tcPr>
          <w:p w14:paraId="7F488256">
            <w:pPr>
              <w:spacing w:line="360" w:lineRule="exact"/>
              <w:ind w:firstLine="0" w:firstLineChars="0"/>
              <w:jc w:val="center"/>
              <w:rPr>
                <w:sz w:val="21"/>
                <w:szCs w:val="21"/>
              </w:rPr>
            </w:pPr>
            <w:r>
              <w:rPr>
                <w:sz w:val="21"/>
                <w:szCs w:val="21"/>
              </w:rPr>
              <w:t>10min内储罐泄漏完</w:t>
            </w:r>
          </w:p>
        </w:tc>
        <w:tc>
          <w:tcPr>
            <w:tcW w:w="2219" w:type="dxa"/>
            <w:vAlign w:val="center"/>
          </w:tcPr>
          <w:p w14:paraId="1BBD1B33">
            <w:pPr>
              <w:spacing w:line="360" w:lineRule="exact"/>
              <w:ind w:firstLine="0" w:firstLineChars="0"/>
              <w:jc w:val="center"/>
              <w:rPr>
                <w:sz w:val="21"/>
                <w:szCs w:val="21"/>
              </w:rPr>
            </w:pPr>
            <w:r>
              <w:rPr>
                <w:sz w:val="21"/>
                <w:szCs w:val="21"/>
              </w:rPr>
              <w:t>5.00×10</w:t>
            </w:r>
            <w:r>
              <w:rPr>
                <w:sz w:val="21"/>
                <w:szCs w:val="21"/>
                <w:vertAlign w:val="superscript"/>
              </w:rPr>
              <w:t>-6</w:t>
            </w:r>
            <w:r>
              <w:rPr>
                <w:sz w:val="21"/>
                <w:szCs w:val="21"/>
              </w:rPr>
              <w:t>/a</w:t>
            </w:r>
          </w:p>
        </w:tc>
      </w:tr>
      <w:tr w14:paraId="6D3106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01DE4C89">
            <w:pPr>
              <w:spacing w:line="360" w:lineRule="exact"/>
              <w:ind w:firstLine="0" w:firstLineChars="0"/>
              <w:jc w:val="center"/>
              <w:rPr>
                <w:sz w:val="21"/>
                <w:szCs w:val="21"/>
              </w:rPr>
            </w:pPr>
          </w:p>
        </w:tc>
        <w:tc>
          <w:tcPr>
            <w:tcW w:w="3934" w:type="dxa"/>
            <w:vAlign w:val="center"/>
          </w:tcPr>
          <w:p w14:paraId="482AE2A2">
            <w:pPr>
              <w:spacing w:line="360" w:lineRule="exact"/>
              <w:ind w:firstLine="0" w:firstLineChars="0"/>
              <w:jc w:val="center"/>
              <w:rPr>
                <w:sz w:val="21"/>
                <w:szCs w:val="21"/>
              </w:rPr>
            </w:pPr>
            <w:r>
              <w:rPr>
                <w:sz w:val="21"/>
                <w:szCs w:val="21"/>
              </w:rPr>
              <w:t>储罐全破裂</w:t>
            </w:r>
          </w:p>
        </w:tc>
        <w:tc>
          <w:tcPr>
            <w:tcW w:w="2219" w:type="dxa"/>
            <w:vAlign w:val="center"/>
          </w:tcPr>
          <w:p w14:paraId="304549E8">
            <w:pPr>
              <w:spacing w:line="360" w:lineRule="exact"/>
              <w:ind w:firstLine="0" w:firstLineChars="0"/>
              <w:jc w:val="center"/>
              <w:rPr>
                <w:sz w:val="21"/>
                <w:szCs w:val="21"/>
              </w:rPr>
            </w:pPr>
            <w:r>
              <w:rPr>
                <w:sz w:val="21"/>
                <w:szCs w:val="21"/>
              </w:rPr>
              <w:t>5.00×10</w:t>
            </w:r>
            <w:r>
              <w:rPr>
                <w:sz w:val="21"/>
                <w:szCs w:val="21"/>
                <w:vertAlign w:val="superscript"/>
              </w:rPr>
              <w:t>-6</w:t>
            </w:r>
            <w:r>
              <w:rPr>
                <w:sz w:val="21"/>
                <w:szCs w:val="21"/>
              </w:rPr>
              <w:t>/a</w:t>
            </w:r>
          </w:p>
        </w:tc>
      </w:tr>
      <w:tr w14:paraId="041B05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restart"/>
            <w:vAlign w:val="center"/>
          </w:tcPr>
          <w:p w14:paraId="0CDBBEF4">
            <w:pPr>
              <w:spacing w:line="360" w:lineRule="exact"/>
              <w:ind w:firstLine="0" w:firstLineChars="0"/>
              <w:jc w:val="center"/>
              <w:rPr>
                <w:sz w:val="21"/>
                <w:szCs w:val="21"/>
              </w:rPr>
            </w:pPr>
            <w:r>
              <w:rPr>
                <w:sz w:val="21"/>
                <w:szCs w:val="21"/>
              </w:rPr>
              <w:t>常压单包容储罐</w:t>
            </w:r>
          </w:p>
        </w:tc>
        <w:tc>
          <w:tcPr>
            <w:tcW w:w="3934" w:type="dxa"/>
            <w:vAlign w:val="center"/>
          </w:tcPr>
          <w:p w14:paraId="65393EBA">
            <w:pPr>
              <w:spacing w:line="360" w:lineRule="exact"/>
              <w:ind w:firstLine="0" w:firstLineChars="0"/>
              <w:jc w:val="center"/>
              <w:rPr>
                <w:sz w:val="21"/>
                <w:szCs w:val="21"/>
              </w:rPr>
            </w:pPr>
            <w:r>
              <w:rPr>
                <w:sz w:val="21"/>
                <w:szCs w:val="21"/>
              </w:rPr>
              <w:t>泄漏孔径为10mm</w:t>
            </w:r>
          </w:p>
        </w:tc>
        <w:tc>
          <w:tcPr>
            <w:tcW w:w="2219" w:type="dxa"/>
            <w:vAlign w:val="center"/>
          </w:tcPr>
          <w:p w14:paraId="6028463A">
            <w:pPr>
              <w:spacing w:line="360" w:lineRule="exact"/>
              <w:ind w:firstLine="0" w:firstLineChars="0"/>
              <w:jc w:val="center"/>
              <w:rPr>
                <w:sz w:val="21"/>
                <w:szCs w:val="21"/>
              </w:rPr>
            </w:pPr>
            <w:r>
              <w:rPr>
                <w:sz w:val="21"/>
                <w:szCs w:val="21"/>
              </w:rPr>
              <w:t>1.00×10</w:t>
            </w:r>
            <w:r>
              <w:rPr>
                <w:sz w:val="21"/>
                <w:szCs w:val="21"/>
                <w:vertAlign w:val="superscript"/>
              </w:rPr>
              <w:t>-4</w:t>
            </w:r>
            <w:r>
              <w:rPr>
                <w:sz w:val="21"/>
                <w:szCs w:val="21"/>
              </w:rPr>
              <w:t>/a</w:t>
            </w:r>
          </w:p>
        </w:tc>
      </w:tr>
      <w:tr w14:paraId="6FE78D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1B9D7F5E">
            <w:pPr>
              <w:spacing w:line="360" w:lineRule="exact"/>
              <w:ind w:firstLine="0" w:firstLineChars="0"/>
              <w:jc w:val="center"/>
              <w:rPr>
                <w:sz w:val="21"/>
                <w:szCs w:val="21"/>
              </w:rPr>
            </w:pPr>
          </w:p>
        </w:tc>
        <w:tc>
          <w:tcPr>
            <w:tcW w:w="3934" w:type="dxa"/>
            <w:vAlign w:val="center"/>
          </w:tcPr>
          <w:p w14:paraId="042C031B">
            <w:pPr>
              <w:spacing w:line="360" w:lineRule="exact"/>
              <w:ind w:firstLine="0" w:firstLineChars="0"/>
              <w:jc w:val="center"/>
              <w:rPr>
                <w:sz w:val="21"/>
                <w:szCs w:val="21"/>
              </w:rPr>
            </w:pPr>
            <w:r>
              <w:rPr>
                <w:sz w:val="21"/>
                <w:szCs w:val="21"/>
              </w:rPr>
              <w:t>孔径10min内储罐泄漏完</w:t>
            </w:r>
          </w:p>
        </w:tc>
        <w:tc>
          <w:tcPr>
            <w:tcW w:w="2219" w:type="dxa"/>
            <w:vAlign w:val="center"/>
          </w:tcPr>
          <w:p w14:paraId="277FE100">
            <w:pPr>
              <w:spacing w:line="360" w:lineRule="exact"/>
              <w:ind w:firstLine="0" w:firstLineChars="0"/>
              <w:jc w:val="center"/>
              <w:rPr>
                <w:sz w:val="21"/>
                <w:szCs w:val="21"/>
              </w:rPr>
            </w:pPr>
            <w:r>
              <w:rPr>
                <w:sz w:val="21"/>
                <w:szCs w:val="21"/>
              </w:rPr>
              <w:t>5.00×10</w:t>
            </w:r>
            <w:r>
              <w:rPr>
                <w:sz w:val="21"/>
                <w:szCs w:val="21"/>
                <w:vertAlign w:val="superscript"/>
              </w:rPr>
              <w:t>-6</w:t>
            </w:r>
            <w:r>
              <w:rPr>
                <w:sz w:val="21"/>
                <w:szCs w:val="21"/>
              </w:rPr>
              <w:t>/a</w:t>
            </w:r>
          </w:p>
        </w:tc>
      </w:tr>
      <w:tr w14:paraId="6FD052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2133D78F">
            <w:pPr>
              <w:spacing w:line="360" w:lineRule="exact"/>
              <w:ind w:firstLine="0" w:firstLineChars="0"/>
              <w:jc w:val="center"/>
              <w:rPr>
                <w:sz w:val="21"/>
                <w:szCs w:val="21"/>
              </w:rPr>
            </w:pPr>
          </w:p>
        </w:tc>
        <w:tc>
          <w:tcPr>
            <w:tcW w:w="3934" w:type="dxa"/>
            <w:vAlign w:val="center"/>
          </w:tcPr>
          <w:p w14:paraId="5CE14005">
            <w:pPr>
              <w:spacing w:line="360" w:lineRule="exact"/>
              <w:ind w:firstLine="0" w:firstLineChars="0"/>
              <w:jc w:val="center"/>
              <w:rPr>
                <w:sz w:val="21"/>
                <w:szCs w:val="21"/>
              </w:rPr>
            </w:pPr>
            <w:r>
              <w:rPr>
                <w:sz w:val="21"/>
                <w:szCs w:val="21"/>
              </w:rPr>
              <w:t>储罐全破裂</w:t>
            </w:r>
          </w:p>
        </w:tc>
        <w:tc>
          <w:tcPr>
            <w:tcW w:w="2219" w:type="dxa"/>
            <w:vAlign w:val="center"/>
          </w:tcPr>
          <w:p w14:paraId="4861ED10">
            <w:pPr>
              <w:spacing w:line="360" w:lineRule="exact"/>
              <w:ind w:firstLine="0" w:firstLineChars="0"/>
              <w:jc w:val="center"/>
              <w:rPr>
                <w:sz w:val="21"/>
                <w:szCs w:val="21"/>
              </w:rPr>
            </w:pPr>
            <w:r>
              <w:rPr>
                <w:sz w:val="21"/>
                <w:szCs w:val="21"/>
              </w:rPr>
              <w:t>5.00×10</w:t>
            </w:r>
            <w:r>
              <w:rPr>
                <w:sz w:val="21"/>
                <w:szCs w:val="21"/>
                <w:vertAlign w:val="superscript"/>
              </w:rPr>
              <w:t>-6</w:t>
            </w:r>
            <w:r>
              <w:rPr>
                <w:sz w:val="21"/>
                <w:szCs w:val="21"/>
              </w:rPr>
              <w:t>/a</w:t>
            </w:r>
          </w:p>
        </w:tc>
      </w:tr>
      <w:tr w14:paraId="136F86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restart"/>
            <w:vAlign w:val="center"/>
          </w:tcPr>
          <w:p w14:paraId="25EE9B77">
            <w:pPr>
              <w:spacing w:line="360" w:lineRule="exact"/>
              <w:ind w:firstLine="0" w:firstLineChars="0"/>
              <w:jc w:val="center"/>
              <w:rPr>
                <w:sz w:val="21"/>
                <w:szCs w:val="21"/>
              </w:rPr>
            </w:pPr>
            <w:r>
              <w:rPr>
                <w:sz w:val="21"/>
                <w:szCs w:val="21"/>
              </w:rPr>
              <w:t>常压双包容储罐</w:t>
            </w:r>
          </w:p>
        </w:tc>
        <w:tc>
          <w:tcPr>
            <w:tcW w:w="3934" w:type="dxa"/>
            <w:vAlign w:val="center"/>
          </w:tcPr>
          <w:p w14:paraId="4DCEE066">
            <w:pPr>
              <w:spacing w:line="360" w:lineRule="exact"/>
              <w:ind w:firstLine="0" w:firstLineChars="0"/>
              <w:jc w:val="center"/>
              <w:rPr>
                <w:sz w:val="21"/>
                <w:szCs w:val="21"/>
              </w:rPr>
            </w:pPr>
            <w:r>
              <w:rPr>
                <w:sz w:val="21"/>
                <w:szCs w:val="21"/>
              </w:rPr>
              <w:t>泄漏孔径为10mm</w:t>
            </w:r>
          </w:p>
        </w:tc>
        <w:tc>
          <w:tcPr>
            <w:tcW w:w="2219" w:type="dxa"/>
            <w:vAlign w:val="center"/>
          </w:tcPr>
          <w:p w14:paraId="14837D6D">
            <w:pPr>
              <w:spacing w:line="360" w:lineRule="exact"/>
              <w:ind w:firstLine="0" w:firstLineChars="0"/>
              <w:jc w:val="center"/>
              <w:rPr>
                <w:sz w:val="21"/>
                <w:szCs w:val="21"/>
              </w:rPr>
            </w:pPr>
            <w:r>
              <w:rPr>
                <w:sz w:val="21"/>
                <w:szCs w:val="21"/>
              </w:rPr>
              <w:t>1.00×10</w:t>
            </w:r>
            <w:r>
              <w:rPr>
                <w:sz w:val="21"/>
                <w:szCs w:val="21"/>
                <w:vertAlign w:val="superscript"/>
              </w:rPr>
              <w:t>-4</w:t>
            </w:r>
            <w:r>
              <w:rPr>
                <w:sz w:val="21"/>
                <w:szCs w:val="21"/>
              </w:rPr>
              <w:t>/a</w:t>
            </w:r>
          </w:p>
        </w:tc>
      </w:tr>
      <w:tr w14:paraId="66B93A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388031A8">
            <w:pPr>
              <w:spacing w:line="360" w:lineRule="exact"/>
              <w:ind w:firstLine="0" w:firstLineChars="0"/>
              <w:jc w:val="center"/>
              <w:rPr>
                <w:sz w:val="21"/>
                <w:szCs w:val="21"/>
              </w:rPr>
            </w:pPr>
          </w:p>
        </w:tc>
        <w:tc>
          <w:tcPr>
            <w:tcW w:w="3934" w:type="dxa"/>
            <w:vAlign w:val="center"/>
          </w:tcPr>
          <w:p w14:paraId="28FDD346">
            <w:pPr>
              <w:spacing w:line="360" w:lineRule="exact"/>
              <w:ind w:firstLine="0" w:firstLineChars="0"/>
              <w:jc w:val="center"/>
              <w:rPr>
                <w:sz w:val="21"/>
                <w:szCs w:val="21"/>
              </w:rPr>
            </w:pPr>
            <w:r>
              <w:rPr>
                <w:sz w:val="21"/>
                <w:szCs w:val="21"/>
              </w:rPr>
              <w:t>孔径10min内储罐泄漏完</w:t>
            </w:r>
          </w:p>
        </w:tc>
        <w:tc>
          <w:tcPr>
            <w:tcW w:w="2219" w:type="dxa"/>
            <w:vAlign w:val="center"/>
          </w:tcPr>
          <w:p w14:paraId="2C9EE4B8">
            <w:pPr>
              <w:spacing w:line="360" w:lineRule="exact"/>
              <w:ind w:firstLine="0" w:firstLineChars="0"/>
              <w:jc w:val="center"/>
              <w:rPr>
                <w:sz w:val="21"/>
                <w:szCs w:val="21"/>
              </w:rPr>
            </w:pPr>
            <w:r>
              <w:rPr>
                <w:sz w:val="21"/>
                <w:szCs w:val="21"/>
              </w:rPr>
              <w:t>1.25×10</w:t>
            </w:r>
            <w:r>
              <w:rPr>
                <w:sz w:val="21"/>
                <w:szCs w:val="21"/>
                <w:vertAlign w:val="superscript"/>
              </w:rPr>
              <w:t>-8</w:t>
            </w:r>
            <w:r>
              <w:rPr>
                <w:sz w:val="21"/>
                <w:szCs w:val="21"/>
              </w:rPr>
              <w:t>/a</w:t>
            </w:r>
          </w:p>
        </w:tc>
      </w:tr>
      <w:tr w14:paraId="56F9C7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6B131555">
            <w:pPr>
              <w:spacing w:line="360" w:lineRule="exact"/>
              <w:ind w:firstLine="0" w:firstLineChars="0"/>
              <w:jc w:val="center"/>
              <w:rPr>
                <w:sz w:val="21"/>
                <w:szCs w:val="21"/>
              </w:rPr>
            </w:pPr>
          </w:p>
        </w:tc>
        <w:tc>
          <w:tcPr>
            <w:tcW w:w="3934" w:type="dxa"/>
            <w:vAlign w:val="center"/>
          </w:tcPr>
          <w:p w14:paraId="562645CE">
            <w:pPr>
              <w:spacing w:line="360" w:lineRule="exact"/>
              <w:ind w:firstLine="0" w:firstLineChars="0"/>
              <w:jc w:val="center"/>
              <w:rPr>
                <w:sz w:val="21"/>
                <w:szCs w:val="21"/>
              </w:rPr>
            </w:pPr>
            <w:r>
              <w:rPr>
                <w:sz w:val="21"/>
                <w:szCs w:val="21"/>
              </w:rPr>
              <w:t>储罐全破裂</w:t>
            </w:r>
          </w:p>
        </w:tc>
        <w:tc>
          <w:tcPr>
            <w:tcW w:w="2219" w:type="dxa"/>
            <w:vAlign w:val="center"/>
          </w:tcPr>
          <w:p w14:paraId="1550C748">
            <w:pPr>
              <w:spacing w:line="360" w:lineRule="exact"/>
              <w:ind w:firstLine="0" w:firstLineChars="0"/>
              <w:jc w:val="center"/>
              <w:rPr>
                <w:sz w:val="21"/>
                <w:szCs w:val="21"/>
              </w:rPr>
            </w:pPr>
            <w:r>
              <w:rPr>
                <w:sz w:val="21"/>
                <w:szCs w:val="21"/>
              </w:rPr>
              <w:t>1.25×10</w:t>
            </w:r>
            <w:r>
              <w:rPr>
                <w:sz w:val="21"/>
                <w:szCs w:val="21"/>
                <w:vertAlign w:val="superscript"/>
              </w:rPr>
              <w:t>-8</w:t>
            </w:r>
            <w:r>
              <w:rPr>
                <w:sz w:val="21"/>
                <w:szCs w:val="21"/>
              </w:rPr>
              <w:t>/a</w:t>
            </w:r>
          </w:p>
        </w:tc>
      </w:tr>
      <w:tr w14:paraId="610F59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Align w:val="center"/>
          </w:tcPr>
          <w:p w14:paraId="476D6234">
            <w:pPr>
              <w:spacing w:line="360" w:lineRule="exact"/>
              <w:ind w:firstLine="0" w:firstLineChars="0"/>
              <w:jc w:val="center"/>
              <w:rPr>
                <w:sz w:val="21"/>
                <w:szCs w:val="21"/>
              </w:rPr>
            </w:pPr>
            <w:r>
              <w:rPr>
                <w:sz w:val="21"/>
                <w:szCs w:val="21"/>
              </w:rPr>
              <w:t>常压全包容储罐</w:t>
            </w:r>
          </w:p>
        </w:tc>
        <w:tc>
          <w:tcPr>
            <w:tcW w:w="3934" w:type="dxa"/>
            <w:vAlign w:val="center"/>
          </w:tcPr>
          <w:p w14:paraId="4A5D4D7D">
            <w:pPr>
              <w:spacing w:line="360" w:lineRule="exact"/>
              <w:ind w:firstLine="0" w:firstLineChars="0"/>
              <w:jc w:val="center"/>
              <w:rPr>
                <w:sz w:val="21"/>
                <w:szCs w:val="21"/>
              </w:rPr>
            </w:pPr>
            <w:r>
              <w:rPr>
                <w:sz w:val="21"/>
                <w:szCs w:val="21"/>
              </w:rPr>
              <w:t>储罐全破裂</w:t>
            </w:r>
          </w:p>
        </w:tc>
        <w:tc>
          <w:tcPr>
            <w:tcW w:w="2219" w:type="dxa"/>
            <w:vAlign w:val="center"/>
          </w:tcPr>
          <w:p w14:paraId="7872A420">
            <w:pPr>
              <w:spacing w:line="360" w:lineRule="exact"/>
              <w:ind w:firstLine="0" w:firstLineChars="0"/>
              <w:jc w:val="center"/>
              <w:rPr>
                <w:sz w:val="21"/>
                <w:szCs w:val="21"/>
              </w:rPr>
            </w:pPr>
            <w:r>
              <w:rPr>
                <w:sz w:val="21"/>
                <w:szCs w:val="21"/>
              </w:rPr>
              <w:t>1.00×10</w:t>
            </w:r>
            <w:r>
              <w:rPr>
                <w:sz w:val="21"/>
                <w:szCs w:val="21"/>
                <w:vertAlign w:val="superscript"/>
              </w:rPr>
              <w:t>-8</w:t>
            </w:r>
            <w:r>
              <w:rPr>
                <w:sz w:val="21"/>
                <w:szCs w:val="21"/>
              </w:rPr>
              <w:t>/a</w:t>
            </w:r>
          </w:p>
        </w:tc>
      </w:tr>
      <w:tr w14:paraId="0A9D97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restart"/>
            <w:vAlign w:val="center"/>
          </w:tcPr>
          <w:p w14:paraId="24DC4559">
            <w:pPr>
              <w:spacing w:line="360" w:lineRule="exact"/>
              <w:ind w:firstLine="0" w:firstLineChars="0"/>
              <w:jc w:val="center"/>
              <w:rPr>
                <w:sz w:val="21"/>
                <w:szCs w:val="21"/>
              </w:rPr>
            </w:pPr>
            <w:r>
              <w:rPr>
                <w:sz w:val="21"/>
                <w:szCs w:val="21"/>
              </w:rPr>
              <w:t>内径≤75mm的管道</w:t>
            </w:r>
          </w:p>
        </w:tc>
        <w:tc>
          <w:tcPr>
            <w:tcW w:w="3934" w:type="dxa"/>
            <w:vAlign w:val="center"/>
          </w:tcPr>
          <w:p w14:paraId="315D3DCD">
            <w:pPr>
              <w:spacing w:line="360" w:lineRule="exact"/>
              <w:ind w:firstLine="0" w:firstLineChars="0"/>
              <w:jc w:val="center"/>
              <w:rPr>
                <w:sz w:val="21"/>
                <w:szCs w:val="21"/>
              </w:rPr>
            </w:pPr>
            <w:r>
              <w:rPr>
                <w:sz w:val="21"/>
                <w:szCs w:val="21"/>
              </w:rPr>
              <w:t>泄漏孔径为10%孔径</w:t>
            </w:r>
          </w:p>
        </w:tc>
        <w:tc>
          <w:tcPr>
            <w:tcW w:w="2219" w:type="dxa"/>
            <w:vAlign w:val="center"/>
          </w:tcPr>
          <w:p w14:paraId="6118AC79">
            <w:pPr>
              <w:spacing w:line="360" w:lineRule="exact"/>
              <w:ind w:firstLine="0" w:firstLineChars="0"/>
              <w:jc w:val="center"/>
              <w:rPr>
                <w:sz w:val="21"/>
                <w:szCs w:val="21"/>
              </w:rPr>
            </w:pPr>
            <w:r>
              <w:rPr>
                <w:sz w:val="21"/>
                <w:szCs w:val="21"/>
              </w:rPr>
              <w:t>5.00×10</w:t>
            </w:r>
            <w:r>
              <w:rPr>
                <w:sz w:val="21"/>
                <w:szCs w:val="21"/>
                <w:vertAlign w:val="superscript"/>
              </w:rPr>
              <w:t>-6</w:t>
            </w:r>
            <w:r>
              <w:rPr>
                <w:sz w:val="21"/>
                <w:szCs w:val="21"/>
              </w:rPr>
              <w:t>/</w:t>
            </w:r>
            <w:r>
              <w:rPr>
                <w:rFonts w:hint="eastAsia"/>
                <w:sz w:val="21"/>
                <w:szCs w:val="21"/>
              </w:rPr>
              <w:t>（</w:t>
            </w:r>
            <w:r>
              <w:rPr>
                <w:sz w:val="21"/>
                <w:szCs w:val="21"/>
              </w:rPr>
              <w:t>m·a</w:t>
            </w:r>
            <w:r>
              <w:rPr>
                <w:rFonts w:hint="eastAsia"/>
                <w:sz w:val="21"/>
                <w:szCs w:val="21"/>
              </w:rPr>
              <w:t>）</w:t>
            </w:r>
          </w:p>
        </w:tc>
      </w:tr>
      <w:tr w14:paraId="0C185E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5AC3C855">
            <w:pPr>
              <w:spacing w:line="360" w:lineRule="exact"/>
              <w:ind w:firstLine="0" w:firstLineChars="0"/>
              <w:jc w:val="center"/>
              <w:rPr>
                <w:sz w:val="21"/>
                <w:szCs w:val="21"/>
              </w:rPr>
            </w:pPr>
          </w:p>
        </w:tc>
        <w:tc>
          <w:tcPr>
            <w:tcW w:w="3934" w:type="dxa"/>
            <w:vAlign w:val="center"/>
          </w:tcPr>
          <w:p w14:paraId="23E95C04">
            <w:pPr>
              <w:spacing w:line="360" w:lineRule="exact"/>
              <w:ind w:firstLine="0" w:firstLineChars="0"/>
              <w:jc w:val="center"/>
              <w:rPr>
                <w:sz w:val="21"/>
                <w:szCs w:val="21"/>
              </w:rPr>
            </w:pPr>
            <w:r>
              <w:rPr>
                <w:sz w:val="21"/>
                <w:szCs w:val="21"/>
              </w:rPr>
              <w:t>全管径泄漏</w:t>
            </w:r>
          </w:p>
        </w:tc>
        <w:tc>
          <w:tcPr>
            <w:tcW w:w="2219" w:type="dxa"/>
            <w:vAlign w:val="center"/>
          </w:tcPr>
          <w:p w14:paraId="4A7BD7F3">
            <w:pPr>
              <w:spacing w:line="360" w:lineRule="exact"/>
              <w:ind w:firstLine="0" w:firstLineChars="0"/>
              <w:jc w:val="center"/>
              <w:rPr>
                <w:sz w:val="21"/>
                <w:szCs w:val="21"/>
              </w:rPr>
            </w:pPr>
            <w:r>
              <w:rPr>
                <w:sz w:val="21"/>
                <w:szCs w:val="21"/>
              </w:rPr>
              <w:t>1.00×10</w:t>
            </w:r>
            <w:r>
              <w:rPr>
                <w:sz w:val="21"/>
                <w:szCs w:val="21"/>
                <w:vertAlign w:val="superscript"/>
              </w:rPr>
              <w:t>-6</w:t>
            </w:r>
            <w:r>
              <w:rPr>
                <w:sz w:val="21"/>
                <w:szCs w:val="21"/>
              </w:rPr>
              <w:t>/</w:t>
            </w:r>
            <w:r>
              <w:rPr>
                <w:rFonts w:hint="eastAsia"/>
                <w:sz w:val="21"/>
                <w:szCs w:val="21"/>
              </w:rPr>
              <w:t>（</w:t>
            </w:r>
            <w:r>
              <w:rPr>
                <w:sz w:val="21"/>
                <w:szCs w:val="21"/>
              </w:rPr>
              <w:t>m·a</w:t>
            </w:r>
            <w:r>
              <w:rPr>
                <w:rFonts w:hint="eastAsia"/>
                <w:sz w:val="21"/>
                <w:szCs w:val="21"/>
              </w:rPr>
              <w:t>）</w:t>
            </w:r>
          </w:p>
        </w:tc>
      </w:tr>
      <w:tr w14:paraId="62D924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restart"/>
            <w:vAlign w:val="center"/>
          </w:tcPr>
          <w:p w14:paraId="1DF1B47A">
            <w:pPr>
              <w:spacing w:line="360" w:lineRule="exact"/>
              <w:ind w:firstLine="0" w:firstLineChars="0"/>
              <w:jc w:val="center"/>
              <w:rPr>
                <w:sz w:val="21"/>
                <w:szCs w:val="21"/>
              </w:rPr>
            </w:pPr>
            <w:r>
              <w:rPr>
                <w:sz w:val="21"/>
                <w:szCs w:val="21"/>
              </w:rPr>
              <w:t>75mm＜内径≤150mm的管道</w:t>
            </w:r>
          </w:p>
        </w:tc>
        <w:tc>
          <w:tcPr>
            <w:tcW w:w="3934" w:type="dxa"/>
            <w:vAlign w:val="center"/>
          </w:tcPr>
          <w:p w14:paraId="5CA57C31">
            <w:pPr>
              <w:spacing w:line="360" w:lineRule="exact"/>
              <w:ind w:firstLine="0" w:firstLineChars="0"/>
              <w:jc w:val="center"/>
              <w:rPr>
                <w:sz w:val="21"/>
                <w:szCs w:val="21"/>
              </w:rPr>
            </w:pPr>
            <w:r>
              <w:rPr>
                <w:sz w:val="21"/>
                <w:szCs w:val="21"/>
              </w:rPr>
              <w:t>泄漏孔径为10%孔径</w:t>
            </w:r>
          </w:p>
        </w:tc>
        <w:tc>
          <w:tcPr>
            <w:tcW w:w="2219" w:type="dxa"/>
            <w:vAlign w:val="center"/>
          </w:tcPr>
          <w:p w14:paraId="539A55C4">
            <w:pPr>
              <w:spacing w:line="360" w:lineRule="exact"/>
              <w:ind w:firstLine="0" w:firstLineChars="0"/>
              <w:jc w:val="center"/>
              <w:rPr>
                <w:sz w:val="21"/>
                <w:szCs w:val="21"/>
              </w:rPr>
            </w:pPr>
            <w:r>
              <w:rPr>
                <w:sz w:val="21"/>
                <w:szCs w:val="21"/>
              </w:rPr>
              <w:t>2.00×10</w:t>
            </w:r>
            <w:r>
              <w:rPr>
                <w:sz w:val="21"/>
                <w:szCs w:val="21"/>
                <w:vertAlign w:val="superscript"/>
              </w:rPr>
              <w:t>-6</w:t>
            </w:r>
            <w:r>
              <w:rPr>
                <w:sz w:val="21"/>
                <w:szCs w:val="21"/>
              </w:rPr>
              <w:t>/</w:t>
            </w:r>
            <w:r>
              <w:rPr>
                <w:rFonts w:hint="eastAsia"/>
                <w:sz w:val="21"/>
                <w:szCs w:val="21"/>
              </w:rPr>
              <w:t>（</w:t>
            </w:r>
            <w:r>
              <w:rPr>
                <w:sz w:val="21"/>
                <w:szCs w:val="21"/>
              </w:rPr>
              <w:t>m·a</w:t>
            </w:r>
            <w:r>
              <w:rPr>
                <w:rFonts w:hint="eastAsia"/>
                <w:sz w:val="21"/>
                <w:szCs w:val="21"/>
              </w:rPr>
              <w:t>）</w:t>
            </w:r>
          </w:p>
        </w:tc>
      </w:tr>
      <w:tr w14:paraId="22839D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3F5E376F">
            <w:pPr>
              <w:spacing w:line="360" w:lineRule="exact"/>
              <w:ind w:firstLine="0" w:firstLineChars="0"/>
              <w:jc w:val="center"/>
              <w:rPr>
                <w:sz w:val="21"/>
                <w:szCs w:val="21"/>
              </w:rPr>
            </w:pPr>
          </w:p>
        </w:tc>
        <w:tc>
          <w:tcPr>
            <w:tcW w:w="3934" w:type="dxa"/>
            <w:vAlign w:val="center"/>
          </w:tcPr>
          <w:p w14:paraId="1C817119">
            <w:pPr>
              <w:spacing w:line="360" w:lineRule="exact"/>
              <w:ind w:firstLine="0" w:firstLineChars="0"/>
              <w:jc w:val="center"/>
              <w:rPr>
                <w:sz w:val="21"/>
                <w:szCs w:val="21"/>
              </w:rPr>
            </w:pPr>
            <w:r>
              <w:rPr>
                <w:sz w:val="21"/>
                <w:szCs w:val="21"/>
              </w:rPr>
              <w:t>全管径泄漏</w:t>
            </w:r>
          </w:p>
        </w:tc>
        <w:tc>
          <w:tcPr>
            <w:tcW w:w="2219" w:type="dxa"/>
            <w:vAlign w:val="center"/>
          </w:tcPr>
          <w:p w14:paraId="2CDC8268">
            <w:pPr>
              <w:spacing w:line="360" w:lineRule="exact"/>
              <w:ind w:firstLine="0" w:firstLineChars="0"/>
              <w:jc w:val="center"/>
              <w:rPr>
                <w:sz w:val="21"/>
                <w:szCs w:val="21"/>
              </w:rPr>
            </w:pPr>
            <w:r>
              <w:rPr>
                <w:sz w:val="21"/>
                <w:szCs w:val="21"/>
              </w:rPr>
              <w:t>3.00×10</w:t>
            </w:r>
            <w:r>
              <w:rPr>
                <w:sz w:val="21"/>
                <w:szCs w:val="21"/>
                <w:vertAlign w:val="superscript"/>
              </w:rPr>
              <w:t>-7</w:t>
            </w:r>
            <w:r>
              <w:rPr>
                <w:sz w:val="21"/>
                <w:szCs w:val="21"/>
              </w:rPr>
              <w:t>/</w:t>
            </w:r>
            <w:r>
              <w:rPr>
                <w:rFonts w:hint="eastAsia"/>
                <w:sz w:val="21"/>
                <w:szCs w:val="21"/>
              </w:rPr>
              <w:t>（</w:t>
            </w:r>
            <w:r>
              <w:rPr>
                <w:sz w:val="21"/>
                <w:szCs w:val="21"/>
              </w:rPr>
              <w:t>m·a</w:t>
            </w:r>
            <w:r>
              <w:rPr>
                <w:rFonts w:hint="eastAsia"/>
                <w:sz w:val="21"/>
                <w:szCs w:val="21"/>
              </w:rPr>
              <w:t>）</w:t>
            </w:r>
          </w:p>
        </w:tc>
      </w:tr>
      <w:tr w14:paraId="663770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restart"/>
            <w:vAlign w:val="center"/>
          </w:tcPr>
          <w:p w14:paraId="2E45FEFF">
            <w:pPr>
              <w:spacing w:line="360" w:lineRule="exact"/>
              <w:ind w:firstLine="0" w:firstLineChars="0"/>
              <w:jc w:val="center"/>
              <w:rPr>
                <w:sz w:val="21"/>
                <w:szCs w:val="21"/>
              </w:rPr>
            </w:pPr>
            <w:r>
              <w:rPr>
                <w:sz w:val="21"/>
                <w:szCs w:val="21"/>
              </w:rPr>
              <w:t>内径＞150mm的管道</w:t>
            </w:r>
          </w:p>
        </w:tc>
        <w:tc>
          <w:tcPr>
            <w:tcW w:w="3934" w:type="dxa"/>
            <w:vAlign w:val="center"/>
          </w:tcPr>
          <w:p w14:paraId="14EAF378">
            <w:pPr>
              <w:spacing w:line="360" w:lineRule="exact"/>
              <w:ind w:firstLine="0" w:firstLineChars="0"/>
              <w:jc w:val="center"/>
              <w:rPr>
                <w:sz w:val="21"/>
                <w:szCs w:val="21"/>
              </w:rPr>
            </w:pPr>
            <w:r>
              <w:rPr>
                <w:sz w:val="21"/>
                <w:szCs w:val="21"/>
              </w:rPr>
              <w:t>泄漏孔径为10%孔径（最大50mm）</w:t>
            </w:r>
          </w:p>
        </w:tc>
        <w:tc>
          <w:tcPr>
            <w:tcW w:w="2219" w:type="dxa"/>
            <w:vAlign w:val="center"/>
          </w:tcPr>
          <w:p w14:paraId="335F3315">
            <w:pPr>
              <w:spacing w:line="360" w:lineRule="exact"/>
              <w:ind w:firstLine="0" w:firstLineChars="0"/>
              <w:jc w:val="center"/>
              <w:rPr>
                <w:sz w:val="21"/>
                <w:szCs w:val="21"/>
              </w:rPr>
            </w:pPr>
            <w:r>
              <w:rPr>
                <w:sz w:val="21"/>
                <w:szCs w:val="21"/>
              </w:rPr>
              <w:t>2.40×10</w:t>
            </w:r>
            <w:r>
              <w:rPr>
                <w:sz w:val="21"/>
                <w:szCs w:val="21"/>
                <w:vertAlign w:val="superscript"/>
              </w:rPr>
              <w:t>-6</w:t>
            </w:r>
            <w:r>
              <w:rPr>
                <w:sz w:val="21"/>
                <w:szCs w:val="21"/>
              </w:rPr>
              <w:t>/</w:t>
            </w:r>
            <w:r>
              <w:rPr>
                <w:rFonts w:hint="eastAsia"/>
                <w:sz w:val="21"/>
                <w:szCs w:val="21"/>
              </w:rPr>
              <w:t>（</w:t>
            </w:r>
            <w:r>
              <w:rPr>
                <w:sz w:val="21"/>
                <w:szCs w:val="21"/>
              </w:rPr>
              <w:t>m·a</w:t>
            </w:r>
            <w:r>
              <w:rPr>
                <w:rFonts w:hint="eastAsia"/>
                <w:sz w:val="21"/>
                <w:szCs w:val="21"/>
              </w:rPr>
              <w:t>）</w:t>
            </w:r>
          </w:p>
        </w:tc>
      </w:tr>
      <w:tr w14:paraId="0529821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77D8C1AC">
            <w:pPr>
              <w:spacing w:line="360" w:lineRule="exact"/>
              <w:ind w:firstLine="0" w:firstLineChars="0"/>
              <w:jc w:val="center"/>
              <w:rPr>
                <w:sz w:val="21"/>
                <w:szCs w:val="21"/>
              </w:rPr>
            </w:pPr>
          </w:p>
        </w:tc>
        <w:tc>
          <w:tcPr>
            <w:tcW w:w="3934" w:type="dxa"/>
            <w:vAlign w:val="center"/>
          </w:tcPr>
          <w:p w14:paraId="518ADF91">
            <w:pPr>
              <w:spacing w:line="360" w:lineRule="exact"/>
              <w:ind w:firstLine="0" w:firstLineChars="0"/>
              <w:jc w:val="center"/>
              <w:rPr>
                <w:sz w:val="21"/>
                <w:szCs w:val="21"/>
              </w:rPr>
            </w:pPr>
            <w:r>
              <w:rPr>
                <w:sz w:val="21"/>
                <w:szCs w:val="21"/>
              </w:rPr>
              <w:t>全管径泄漏</w:t>
            </w:r>
          </w:p>
        </w:tc>
        <w:tc>
          <w:tcPr>
            <w:tcW w:w="2219" w:type="dxa"/>
            <w:vAlign w:val="center"/>
          </w:tcPr>
          <w:p w14:paraId="57AF8FB9">
            <w:pPr>
              <w:spacing w:line="360" w:lineRule="exact"/>
              <w:ind w:firstLine="0" w:firstLineChars="0"/>
              <w:jc w:val="center"/>
              <w:rPr>
                <w:sz w:val="21"/>
                <w:szCs w:val="21"/>
              </w:rPr>
            </w:pPr>
            <w:r>
              <w:rPr>
                <w:sz w:val="21"/>
                <w:szCs w:val="21"/>
              </w:rPr>
              <w:t>1.00×10</w:t>
            </w:r>
            <w:r>
              <w:rPr>
                <w:sz w:val="21"/>
                <w:szCs w:val="21"/>
                <w:vertAlign w:val="superscript"/>
              </w:rPr>
              <w:t>-7</w:t>
            </w:r>
            <w:r>
              <w:rPr>
                <w:sz w:val="21"/>
                <w:szCs w:val="21"/>
              </w:rPr>
              <w:t>/</w:t>
            </w:r>
            <w:r>
              <w:rPr>
                <w:rFonts w:hint="eastAsia"/>
                <w:sz w:val="21"/>
                <w:szCs w:val="21"/>
              </w:rPr>
              <w:t>（</w:t>
            </w:r>
            <w:r>
              <w:rPr>
                <w:sz w:val="21"/>
                <w:szCs w:val="21"/>
              </w:rPr>
              <w:t>m·a</w:t>
            </w:r>
            <w:r>
              <w:rPr>
                <w:rFonts w:hint="eastAsia"/>
                <w:sz w:val="21"/>
                <w:szCs w:val="21"/>
              </w:rPr>
              <w:t>）</w:t>
            </w:r>
          </w:p>
        </w:tc>
      </w:tr>
      <w:tr w14:paraId="145CFC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restart"/>
            <w:vAlign w:val="center"/>
          </w:tcPr>
          <w:p w14:paraId="246FF2E3">
            <w:pPr>
              <w:spacing w:line="360" w:lineRule="exact"/>
              <w:ind w:firstLine="0" w:firstLineChars="0"/>
              <w:jc w:val="center"/>
              <w:rPr>
                <w:sz w:val="21"/>
                <w:szCs w:val="21"/>
              </w:rPr>
            </w:pPr>
            <w:r>
              <w:rPr>
                <w:sz w:val="21"/>
                <w:szCs w:val="21"/>
              </w:rPr>
              <w:t>泵体和压缩机</w:t>
            </w:r>
          </w:p>
        </w:tc>
        <w:tc>
          <w:tcPr>
            <w:tcW w:w="3934" w:type="dxa"/>
            <w:vAlign w:val="center"/>
          </w:tcPr>
          <w:p w14:paraId="75C5BC16">
            <w:pPr>
              <w:spacing w:line="360" w:lineRule="exact"/>
              <w:ind w:firstLine="0" w:firstLineChars="0"/>
              <w:jc w:val="center"/>
              <w:rPr>
                <w:sz w:val="21"/>
                <w:szCs w:val="21"/>
              </w:rPr>
            </w:pPr>
            <w:r>
              <w:rPr>
                <w:sz w:val="21"/>
                <w:szCs w:val="21"/>
              </w:rPr>
              <w:t>泵体和压缩机最大连接管泄漏孔径为10%孔径（最大50mm）</w:t>
            </w:r>
          </w:p>
        </w:tc>
        <w:tc>
          <w:tcPr>
            <w:tcW w:w="2219" w:type="dxa"/>
            <w:vAlign w:val="center"/>
          </w:tcPr>
          <w:p w14:paraId="3DCD9F17">
            <w:pPr>
              <w:spacing w:line="360" w:lineRule="exact"/>
              <w:ind w:firstLine="0" w:firstLineChars="0"/>
              <w:jc w:val="center"/>
              <w:rPr>
                <w:sz w:val="21"/>
                <w:szCs w:val="21"/>
              </w:rPr>
            </w:pPr>
            <w:r>
              <w:rPr>
                <w:sz w:val="21"/>
                <w:szCs w:val="21"/>
              </w:rPr>
              <w:t>5.00×10</w:t>
            </w:r>
            <w:r>
              <w:rPr>
                <w:sz w:val="21"/>
                <w:szCs w:val="21"/>
                <w:vertAlign w:val="superscript"/>
              </w:rPr>
              <w:t>-4</w:t>
            </w:r>
            <w:r>
              <w:rPr>
                <w:sz w:val="21"/>
                <w:szCs w:val="21"/>
              </w:rPr>
              <w:t>/a</w:t>
            </w:r>
          </w:p>
        </w:tc>
      </w:tr>
      <w:tr w14:paraId="3FD376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4E3CE3F1">
            <w:pPr>
              <w:spacing w:line="360" w:lineRule="exact"/>
              <w:ind w:firstLine="0" w:firstLineChars="0"/>
              <w:jc w:val="center"/>
              <w:rPr>
                <w:sz w:val="21"/>
                <w:szCs w:val="21"/>
              </w:rPr>
            </w:pPr>
          </w:p>
        </w:tc>
        <w:tc>
          <w:tcPr>
            <w:tcW w:w="3934" w:type="dxa"/>
            <w:vAlign w:val="center"/>
          </w:tcPr>
          <w:p w14:paraId="11018120">
            <w:pPr>
              <w:spacing w:line="360" w:lineRule="exact"/>
              <w:ind w:firstLine="0" w:firstLineChars="0"/>
              <w:jc w:val="center"/>
              <w:rPr>
                <w:sz w:val="21"/>
                <w:szCs w:val="21"/>
              </w:rPr>
            </w:pPr>
            <w:r>
              <w:rPr>
                <w:sz w:val="21"/>
                <w:szCs w:val="21"/>
              </w:rPr>
              <w:t>泵体和压缩机最大连接管全管径泄漏</w:t>
            </w:r>
          </w:p>
        </w:tc>
        <w:tc>
          <w:tcPr>
            <w:tcW w:w="2219" w:type="dxa"/>
            <w:vAlign w:val="center"/>
          </w:tcPr>
          <w:p w14:paraId="01C363AC">
            <w:pPr>
              <w:spacing w:line="360" w:lineRule="exact"/>
              <w:ind w:firstLine="0" w:firstLineChars="0"/>
              <w:jc w:val="center"/>
              <w:rPr>
                <w:sz w:val="21"/>
                <w:szCs w:val="21"/>
              </w:rPr>
            </w:pPr>
            <w:r>
              <w:rPr>
                <w:sz w:val="21"/>
                <w:szCs w:val="21"/>
              </w:rPr>
              <w:t>1.00×10</w:t>
            </w:r>
            <w:r>
              <w:rPr>
                <w:sz w:val="21"/>
                <w:szCs w:val="21"/>
                <w:vertAlign w:val="superscript"/>
              </w:rPr>
              <w:t>-4</w:t>
            </w:r>
            <w:r>
              <w:rPr>
                <w:sz w:val="21"/>
                <w:szCs w:val="21"/>
              </w:rPr>
              <w:t>/a</w:t>
            </w:r>
          </w:p>
        </w:tc>
      </w:tr>
      <w:tr w14:paraId="7950B3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restart"/>
            <w:vAlign w:val="center"/>
          </w:tcPr>
          <w:p w14:paraId="2E64D640">
            <w:pPr>
              <w:spacing w:line="360" w:lineRule="exact"/>
              <w:ind w:firstLine="0" w:firstLineChars="0"/>
              <w:jc w:val="center"/>
              <w:rPr>
                <w:sz w:val="21"/>
                <w:szCs w:val="21"/>
              </w:rPr>
            </w:pPr>
            <w:r>
              <w:rPr>
                <w:sz w:val="21"/>
                <w:szCs w:val="21"/>
              </w:rPr>
              <w:t>装卸臂</w:t>
            </w:r>
          </w:p>
        </w:tc>
        <w:tc>
          <w:tcPr>
            <w:tcW w:w="3934" w:type="dxa"/>
            <w:vAlign w:val="center"/>
          </w:tcPr>
          <w:p w14:paraId="6D7C1397">
            <w:pPr>
              <w:spacing w:line="360" w:lineRule="exact"/>
              <w:ind w:firstLine="0" w:firstLineChars="0"/>
              <w:jc w:val="center"/>
              <w:rPr>
                <w:sz w:val="21"/>
                <w:szCs w:val="21"/>
              </w:rPr>
            </w:pPr>
            <w:r>
              <w:rPr>
                <w:sz w:val="21"/>
                <w:szCs w:val="21"/>
              </w:rPr>
              <w:t>装卸臂连接管泄漏孔径为10%孔径（最大50mm）</w:t>
            </w:r>
          </w:p>
        </w:tc>
        <w:tc>
          <w:tcPr>
            <w:tcW w:w="2219" w:type="dxa"/>
            <w:vAlign w:val="center"/>
          </w:tcPr>
          <w:p w14:paraId="4C08667D">
            <w:pPr>
              <w:spacing w:line="360" w:lineRule="exact"/>
              <w:ind w:firstLine="0" w:firstLineChars="0"/>
              <w:jc w:val="center"/>
              <w:rPr>
                <w:sz w:val="21"/>
                <w:szCs w:val="21"/>
              </w:rPr>
            </w:pPr>
            <w:r>
              <w:rPr>
                <w:sz w:val="21"/>
                <w:szCs w:val="21"/>
              </w:rPr>
              <w:t>3.00×10</w:t>
            </w:r>
            <w:r>
              <w:rPr>
                <w:sz w:val="21"/>
                <w:szCs w:val="21"/>
                <w:vertAlign w:val="superscript"/>
              </w:rPr>
              <w:t>-7</w:t>
            </w:r>
            <w:r>
              <w:rPr>
                <w:sz w:val="21"/>
                <w:szCs w:val="21"/>
              </w:rPr>
              <w:t>/h</w:t>
            </w:r>
          </w:p>
        </w:tc>
      </w:tr>
      <w:tr w14:paraId="7E9784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27F50482">
            <w:pPr>
              <w:spacing w:line="360" w:lineRule="exact"/>
              <w:ind w:firstLine="0" w:firstLineChars="0"/>
              <w:jc w:val="center"/>
              <w:rPr>
                <w:sz w:val="21"/>
                <w:szCs w:val="21"/>
              </w:rPr>
            </w:pPr>
          </w:p>
        </w:tc>
        <w:tc>
          <w:tcPr>
            <w:tcW w:w="3934" w:type="dxa"/>
            <w:vAlign w:val="center"/>
          </w:tcPr>
          <w:p w14:paraId="7DBAAB17">
            <w:pPr>
              <w:spacing w:line="360" w:lineRule="exact"/>
              <w:ind w:firstLine="0" w:firstLineChars="0"/>
              <w:jc w:val="center"/>
              <w:rPr>
                <w:sz w:val="21"/>
                <w:szCs w:val="21"/>
              </w:rPr>
            </w:pPr>
            <w:r>
              <w:rPr>
                <w:sz w:val="21"/>
                <w:szCs w:val="21"/>
              </w:rPr>
              <w:t>装卸臂全管径泄漏</w:t>
            </w:r>
          </w:p>
        </w:tc>
        <w:tc>
          <w:tcPr>
            <w:tcW w:w="2219" w:type="dxa"/>
            <w:vAlign w:val="center"/>
          </w:tcPr>
          <w:p w14:paraId="7D429693">
            <w:pPr>
              <w:spacing w:line="360" w:lineRule="exact"/>
              <w:ind w:firstLine="0" w:firstLineChars="0"/>
              <w:jc w:val="center"/>
              <w:rPr>
                <w:sz w:val="21"/>
                <w:szCs w:val="21"/>
              </w:rPr>
            </w:pPr>
            <w:r>
              <w:rPr>
                <w:sz w:val="21"/>
                <w:szCs w:val="21"/>
              </w:rPr>
              <w:t>3.00×10</w:t>
            </w:r>
            <w:r>
              <w:rPr>
                <w:sz w:val="21"/>
                <w:szCs w:val="21"/>
                <w:vertAlign w:val="superscript"/>
              </w:rPr>
              <w:t>-8</w:t>
            </w:r>
            <w:r>
              <w:rPr>
                <w:sz w:val="21"/>
                <w:szCs w:val="21"/>
              </w:rPr>
              <w:t>/h</w:t>
            </w:r>
          </w:p>
        </w:tc>
      </w:tr>
      <w:tr w14:paraId="66ABA5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restart"/>
            <w:vAlign w:val="center"/>
          </w:tcPr>
          <w:p w14:paraId="15B3DFA5">
            <w:pPr>
              <w:spacing w:line="360" w:lineRule="exact"/>
              <w:ind w:firstLine="0" w:firstLineChars="0"/>
              <w:jc w:val="center"/>
              <w:rPr>
                <w:sz w:val="21"/>
                <w:szCs w:val="21"/>
              </w:rPr>
            </w:pPr>
            <w:r>
              <w:rPr>
                <w:sz w:val="21"/>
                <w:szCs w:val="21"/>
              </w:rPr>
              <w:t>装卸软管</w:t>
            </w:r>
          </w:p>
        </w:tc>
        <w:tc>
          <w:tcPr>
            <w:tcW w:w="3934" w:type="dxa"/>
            <w:vAlign w:val="center"/>
          </w:tcPr>
          <w:p w14:paraId="30977CB5">
            <w:pPr>
              <w:spacing w:line="360" w:lineRule="exact"/>
              <w:ind w:firstLine="0" w:firstLineChars="0"/>
              <w:jc w:val="center"/>
              <w:rPr>
                <w:sz w:val="21"/>
                <w:szCs w:val="21"/>
              </w:rPr>
            </w:pPr>
            <w:r>
              <w:rPr>
                <w:sz w:val="21"/>
                <w:szCs w:val="21"/>
              </w:rPr>
              <w:t>装卸软管连接管泄漏孔径为10%孔径（最大50mm）</w:t>
            </w:r>
          </w:p>
        </w:tc>
        <w:tc>
          <w:tcPr>
            <w:tcW w:w="2219" w:type="dxa"/>
            <w:vAlign w:val="center"/>
          </w:tcPr>
          <w:p w14:paraId="3E97F555">
            <w:pPr>
              <w:spacing w:line="360" w:lineRule="exact"/>
              <w:ind w:firstLine="0" w:firstLineChars="0"/>
              <w:jc w:val="center"/>
              <w:rPr>
                <w:sz w:val="21"/>
                <w:szCs w:val="21"/>
              </w:rPr>
            </w:pPr>
            <w:r>
              <w:rPr>
                <w:sz w:val="21"/>
                <w:szCs w:val="21"/>
              </w:rPr>
              <w:t>4.00×10</w:t>
            </w:r>
            <w:r>
              <w:rPr>
                <w:sz w:val="21"/>
                <w:szCs w:val="21"/>
                <w:vertAlign w:val="superscript"/>
              </w:rPr>
              <w:t>-5</w:t>
            </w:r>
            <w:r>
              <w:rPr>
                <w:sz w:val="21"/>
                <w:szCs w:val="21"/>
              </w:rPr>
              <w:t>/h</w:t>
            </w:r>
          </w:p>
        </w:tc>
      </w:tr>
      <w:tr w14:paraId="7AD60C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2135" w:type="dxa"/>
            <w:vMerge w:val="continue"/>
            <w:vAlign w:val="center"/>
          </w:tcPr>
          <w:p w14:paraId="620A66F1">
            <w:pPr>
              <w:spacing w:line="360" w:lineRule="exact"/>
              <w:ind w:firstLine="0" w:firstLineChars="0"/>
              <w:jc w:val="center"/>
              <w:rPr>
                <w:sz w:val="21"/>
                <w:szCs w:val="21"/>
              </w:rPr>
            </w:pPr>
          </w:p>
        </w:tc>
        <w:tc>
          <w:tcPr>
            <w:tcW w:w="3934" w:type="dxa"/>
            <w:vAlign w:val="center"/>
          </w:tcPr>
          <w:p w14:paraId="441C1B92">
            <w:pPr>
              <w:spacing w:line="360" w:lineRule="exact"/>
              <w:ind w:firstLine="0" w:firstLineChars="0"/>
              <w:jc w:val="center"/>
              <w:rPr>
                <w:sz w:val="21"/>
                <w:szCs w:val="21"/>
              </w:rPr>
            </w:pPr>
            <w:r>
              <w:rPr>
                <w:sz w:val="21"/>
                <w:szCs w:val="21"/>
              </w:rPr>
              <w:t>装卸软管全管径泄漏</w:t>
            </w:r>
          </w:p>
        </w:tc>
        <w:tc>
          <w:tcPr>
            <w:tcW w:w="2219" w:type="dxa"/>
            <w:vAlign w:val="center"/>
          </w:tcPr>
          <w:p w14:paraId="055A78B9">
            <w:pPr>
              <w:spacing w:line="360" w:lineRule="exact"/>
              <w:ind w:firstLine="0" w:firstLineChars="0"/>
              <w:jc w:val="center"/>
              <w:rPr>
                <w:sz w:val="21"/>
                <w:szCs w:val="21"/>
              </w:rPr>
            </w:pPr>
            <w:r>
              <w:rPr>
                <w:sz w:val="21"/>
                <w:szCs w:val="21"/>
              </w:rPr>
              <w:t>4.00×10</w:t>
            </w:r>
            <w:r>
              <w:rPr>
                <w:sz w:val="21"/>
                <w:szCs w:val="21"/>
                <w:vertAlign w:val="superscript"/>
              </w:rPr>
              <w:t>-6</w:t>
            </w:r>
            <w:r>
              <w:rPr>
                <w:sz w:val="21"/>
                <w:szCs w:val="21"/>
              </w:rPr>
              <w:t>/h</w:t>
            </w:r>
          </w:p>
        </w:tc>
      </w:tr>
    </w:tbl>
    <w:p w14:paraId="70666CE4">
      <w:pPr>
        <w:ind w:firstLine="482"/>
        <w:outlineLvl w:val="4"/>
        <w:rPr>
          <w:b/>
          <w:bCs/>
        </w:rPr>
      </w:pPr>
      <w:r>
        <w:rPr>
          <w:rFonts w:hint="eastAsia"/>
          <w:b/>
          <w:bCs/>
        </w:rPr>
        <w:t>2、火灾、爆炸事故发生概率分析</w:t>
      </w:r>
    </w:p>
    <w:p w14:paraId="056FE359">
      <w:pPr>
        <w:ind w:firstLine="480"/>
      </w:pPr>
      <w:r>
        <w:rPr>
          <w:rFonts w:hint="eastAsia"/>
        </w:rPr>
        <w:t>本项目为化工项目，根据有关统计资料，并参考《化工企业定量风险评价导则》（AQ/T3046-2013）和《危险化学品生产装置和储存设施外部安全防护距离确定方法》（GB/T37243-2019）附录资料，确定生产装置发生火灾炸的概率为2.0×10</w:t>
      </w:r>
      <w:r>
        <w:rPr>
          <w:rFonts w:hint="eastAsia"/>
          <w:vertAlign w:val="superscript"/>
        </w:rPr>
        <w:t>-7</w:t>
      </w:r>
      <w:r>
        <w:rPr>
          <w:rFonts w:hint="eastAsia"/>
        </w:rPr>
        <w:t>/a，贮罐破裂爆炸的概率为1.5×10</w:t>
      </w:r>
      <w:r>
        <w:rPr>
          <w:rFonts w:hint="eastAsia"/>
          <w:vertAlign w:val="superscript"/>
        </w:rPr>
        <w:t>-7</w:t>
      </w:r>
      <w:r>
        <w:rPr>
          <w:rFonts w:hint="eastAsia"/>
        </w:rPr>
        <w:t>/a；甲类仓库的火灾炸的概率为6.5×10</w:t>
      </w:r>
      <w:r>
        <w:rPr>
          <w:rFonts w:hint="eastAsia"/>
          <w:vertAlign w:val="superscript"/>
        </w:rPr>
        <w:t>-7</w:t>
      </w:r>
      <w:r>
        <w:rPr>
          <w:rFonts w:hint="eastAsia"/>
        </w:rPr>
        <w:t>/a（其中泄漏频率为1×10</w:t>
      </w:r>
      <w:r>
        <w:rPr>
          <w:rFonts w:hint="eastAsia"/>
          <w:vertAlign w:val="superscript"/>
        </w:rPr>
        <w:t>-5</w:t>
      </w:r>
      <w:r>
        <w:rPr>
          <w:rFonts w:hint="eastAsia"/>
        </w:rPr>
        <w:t>/a，立即点火频率为0.065），丙类仓库的火灾炸的概率为1×10</w:t>
      </w:r>
      <w:r>
        <w:rPr>
          <w:rFonts w:hint="eastAsia"/>
          <w:vertAlign w:val="superscript"/>
        </w:rPr>
        <w:t>-7</w:t>
      </w:r>
      <w:r>
        <w:rPr>
          <w:rFonts w:hint="eastAsia"/>
        </w:rPr>
        <w:t>/a（其中泄漏频率为1×10</w:t>
      </w:r>
      <w:r>
        <w:rPr>
          <w:rFonts w:hint="eastAsia"/>
          <w:vertAlign w:val="superscript"/>
        </w:rPr>
        <w:t>-5</w:t>
      </w:r>
      <w:r>
        <w:rPr>
          <w:rFonts w:hint="eastAsia"/>
        </w:rPr>
        <w:t>/a，立即点火频率为0.01）。</w:t>
      </w:r>
    </w:p>
    <w:p w14:paraId="57D09780">
      <w:pPr>
        <w:pStyle w:val="6"/>
        <w:ind w:left="0" w:firstLine="482"/>
      </w:pPr>
      <w:r>
        <w:rPr>
          <w:rFonts w:hint="eastAsia"/>
        </w:rPr>
        <w:t>风险事故情形设定</w:t>
      </w:r>
    </w:p>
    <w:p w14:paraId="575FC5F5">
      <w:pPr>
        <w:ind w:firstLine="482"/>
        <w:outlineLvl w:val="4"/>
        <w:rPr>
          <w:b/>
          <w:bCs/>
        </w:rPr>
      </w:pPr>
      <w:r>
        <w:rPr>
          <w:rFonts w:hint="eastAsia"/>
          <w:b/>
          <w:bCs/>
        </w:rPr>
        <w:t>1、风险事故清洗设定原则</w:t>
      </w:r>
    </w:p>
    <w:p w14:paraId="103A35A1">
      <w:pPr>
        <w:ind w:firstLine="480"/>
      </w:pPr>
      <w:r>
        <w:rPr>
          <w:rFonts w:hint="eastAsia"/>
        </w:rPr>
        <w:t>（1）同一种危险物质可能有多种环境风险类型。风险事故情形应包括危险物质泄漏，以及火灾、爆炸引发的伴生/次生污染物排放情形。对不同环境要素产生影响的风险事故情形，应分别进行设定。</w:t>
      </w:r>
    </w:p>
    <w:p w14:paraId="24280B00">
      <w:pPr>
        <w:ind w:firstLine="480"/>
      </w:pPr>
      <w:r>
        <w:rPr>
          <w:rFonts w:hint="eastAsia"/>
        </w:rPr>
        <w:t>（2）对于火灾、爆炸事故，需将事故中未完全燃烧的危险物质在高温下迅速挥发释放至大气，以及燃烧过程产生的伴生/次生污染物对环境的影响作为风险事故情形设定的内容。</w:t>
      </w:r>
    </w:p>
    <w:p w14:paraId="2F3ACA9B">
      <w:pPr>
        <w:ind w:firstLine="480"/>
      </w:pPr>
      <w:r>
        <w:rPr>
          <w:rFonts w:hint="eastAsia"/>
        </w:rPr>
        <w:t>（3）设定风险事故情形发生的可能性应在处于合理的区间，并与经济技术发展水平相适应。一般而言，发生频率小于10</w:t>
      </w:r>
      <w:r>
        <w:rPr>
          <w:rFonts w:hint="eastAsia"/>
          <w:vertAlign w:val="superscript"/>
        </w:rPr>
        <w:t>-6</w:t>
      </w:r>
      <w:r>
        <w:rPr>
          <w:rFonts w:hint="eastAsia"/>
        </w:rPr>
        <w:t>/年的事件是极小概率事件，可作为代表性事故情形中最大可信事故设定的参考。</w:t>
      </w:r>
    </w:p>
    <w:p w14:paraId="7D7B5A59">
      <w:pPr>
        <w:ind w:firstLine="482"/>
        <w:outlineLvl w:val="4"/>
        <w:rPr>
          <w:b/>
          <w:bCs/>
        </w:rPr>
      </w:pPr>
      <w:r>
        <w:rPr>
          <w:rFonts w:hint="eastAsia"/>
          <w:b/>
          <w:bCs/>
        </w:rPr>
        <w:t>2、事故发生概率分析</w:t>
      </w:r>
    </w:p>
    <w:p w14:paraId="7850F89E">
      <w:pPr>
        <w:ind w:firstLine="480"/>
      </w:pPr>
      <w:r>
        <w:rPr>
          <w:rFonts w:hint="eastAsia"/>
        </w:rPr>
        <w:t>由于事故触发因素具有不确定性，因此事故情形的设定并不能包含全部可能的环境风险，但通过具有代表性的事故情形分析可为风险管理提供科学依据。事故情形的设定应在环境风险识别的基础上筛选，设定的事故情形应具有危险物质、环境危害、影响途径等方面的代表性。</w:t>
      </w:r>
    </w:p>
    <w:p w14:paraId="555EAD8C">
      <w:pPr>
        <w:pStyle w:val="99"/>
        <w:numPr>
          <w:ilvl w:val="4"/>
          <w:numId w:val="45"/>
        </w:numPr>
        <w:ind w:left="0" w:firstLine="480"/>
        <w:jc w:val="left"/>
        <w:rPr>
          <w:rFonts w:eastAsia="黑体"/>
          <w:bCs/>
        </w:rPr>
      </w:pPr>
      <w:r>
        <w:rPr>
          <w:rFonts w:hint="eastAsia" w:eastAsia="黑体"/>
          <w:bCs/>
        </w:rPr>
        <w:t xml:space="preserve">          风险类型及统计概率一览表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880"/>
        <w:gridCol w:w="1538"/>
        <w:gridCol w:w="1701"/>
        <w:gridCol w:w="1424"/>
        <w:gridCol w:w="1549"/>
        <w:gridCol w:w="1232"/>
      </w:tblGrid>
      <w:tr w14:paraId="66BF46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876" w:type="dxa"/>
            <w:tcBorders>
              <w:top w:val="single" w:color="auto" w:sz="8" w:space="0"/>
              <w:left w:val="single" w:color="auto" w:sz="8" w:space="0"/>
              <w:bottom w:val="single" w:color="auto" w:sz="6" w:space="0"/>
              <w:right w:val="single" w:color="auto" w:sz="6" w:space="0"/>
            </w:tcBorders>
            <w:vAlign w:val="center"/>
          </w:tcPr>
          <w:p w14:paraId="08CC0DF0">
            <w:pPr>
              <w:spacing w:line="360" w:lineRule="exact"/>
              <w:ind w:firstLine="0" w:firstLineChars="0"/>
              <w:jc w:val="center"/>
              <w:rPr>
                <w:b/>
                <w:sz w:val="21"/>
                <w:szCs w:val="21"/>
              </w:rPr>
            </w:pPr>
            <w:r>
              <w:rPr>
                <w:rFonts w:hint="eastAsia"/>
                <w:b/>
                <w:sz w:val="21"/>
                <w:szCs w:val="21"/>
              </w:rPr>
              <w:t>危险单元</w:t>
            </w:r>
          </w:p>
        </w:tc>
        <w:tc>
          <w:tcPr>
            <w:tcW w:w="1531" w:type="dxa"/>
            <w:tcBorders>
              <w:top w:val="single" w:color="auto" w:sz="8" w:space="0"/>
              <w:left w:val="single" w:color="auto" w:sz="6" w:space="0"/>
              <w:bottom w:val="single" w:color="auto" w:sz="6" w:space="0"/>
              <w:right w:val="single" w:color="auto" w:sz="6" w:space="0"/>
            </w:tcBorders>
            <w:vAlign w:val="center"/>
          </w:tcPr>
          <w:p w14:paraId="173F72CD">
            <w:pPr>
              <w:spacing w:line="360" w:lineRule="exact"/>
              <w:ind w:firstLine="0" w:firstLineChars="0"/>
              <w:jc w:val="center"/>
              <w:rPr>
                <w:b/>
                <w:sz w:val="21"/>
                <w:szCs w:val="21"/>
              </w:rPr>
            </w:pPr>
            <w:r>
              <w:rPr>
                <w:rFonts w:hint="eastAsia"/>
                <w:b/>
                <w:sz w:val="21"/>
                <w:szCs w:val="21"/>
              </w:rPr>
              <w:t>风险源</w:t>
            </w:r>
          </w:p>
        </w:tc>
        <w:tc>
          <w:tcPr>
            <w:tcW w:w="1694" w:type="dxa"/>
            <w:tcBorders>
              <w:top w:val="single" w:color="auto" w:sz="8" w:space="0"/>
              <w:left w:val="single" w:color="auto" w:sz="6" w:space="0"/>
              <w:bottom w:val="single" w:color="auto" w:sz="6" w:space="0"/>
              <w:right w:val="single" w:color="auto" w:sz="6" w:space="0"/>
            </w:tcBorders>
            <w:vAlign w:val="center"/>
          </w:tcPr>
          <w:p w14:paraId="7823E84D">
            <w:pPr>
              <w:spacing w:line="360" w:lineRule="exact"/>
              <w:ind w:firstLine="0" w:firstLineChars="0"/>
              <w:jc w:val="center"/>
              <w:rPr>
                <w:b/>
                <w:sz w:val="21"/>
                <w:szCs w:val="21"/>
              </w:rPr>
            </w:pPr>
            <w:r>
              <w:rPr>
                <w:rFonts w:hint="eastAsia"/>
                <w:b/>
                <w:sz w:val="21"/>
                <w:szCs w:val="21"/>
              </w:rPr>
              <w:t>危险物质</w:t>
            </w:r>
          </w:p>
        </w:tc>
        <w:tc>
          <w:tcPr>
            <w:tcW w:w="1418" w:type="dxa"/>
            <w:tcBorders>
              <w:top w:val="single" w:color="auto" w:sz="8" w:space="0"/>
              <w:left w:val="single" w:color="auto" w:sz="6" w:space="0"/>
              <w:bottom w:val="single" w:color="auto" w:sz="6" w:space="0"/>
              <w:right w:val="single" w:color="auto" w:sz="6" w:space="0"/>
            </w:tcBorders>
            <w:vAlign w:val="center"/>
          </w:tcPr>
          <w:p w14:paraId="1493DD44">
            <w:pPr>
              <w:spacing w:line="360" w:lineRule="exact"/>
              <w:ind w:firstLine="0" w:firstLineChars="0"/>
              <w:jc w:val="center"/>
              <w:rPr>
                <w:b/>
                <w:sz w:val="21"/>
                <w:szCs w:val="21"/>
              </w:rPr>
            </w:pPr>
            <w:r>
              <w:rPr>
                <w:rFonts w:hint="eastAsia"/>
                <w:b/>
                <w:sz w:val="21"/>
                <w:szCs w:val="21"/>
              </w:rPr>
              <w:t>事故类型</w:t>
            </w:r>
          </w:p>
        </w:tc>
        <w:tc>
          <w:tcPr>
            <w:tcW w:w="1542" w:type="dxa"/>
            <w:tcBorders>
              <w:top w:val="single" w:color="auto" w:sz="8" w:space="0"/>
              <w:left w:val="single" w:color="auto" w:sz="6" w:space="0"/>
              <w:bottom w:val="single" w:color="auto" w:sz="6" w:space="0"/>
              <w:right w:val="single" w:color="auto" w:sz="6" w:space="0"/>
            </w:tcBorders>
            <w:vAlign w:val="center"/>
          </w:tcPr>
          <w:p w14:paraId="079C46F5">
            <w:pPr>
              <w:spacing w:line="360" w:lineRule="exact"/>
              <w:ind w:firstLine="0" w:firstLineChars="0"/>
              <w:jc w:val="center"/>
              <w:rPr>
                <w:b/>
                <w:sz w:val="21"/>
                <w:szCs w:val="21"/>
              </w:rPr>
            </w:pPr>
            <w:r>
              <w:rPr>
                <w:rFonts w:hint="eastAsia"/>
                <w:b/>
                <w:sz w:val="21"/>
                <w:szCs w:val="21"/>
              </w:rPr>
              <w:t>发生概率</w:t>
            </w:r>
          </w:p>
        </w:tc>
        <w:tc>
          <w:tcPr>
            <w:tcW w:w="1227" w:type="dxa"/>
            <w:tcBorders>
              <w:top w:val="single" w:color="auto" w:sz="8" w:space="0"/>
              <w:left w:val="single" w:color="auto" w:sz="6" w:space="0"/>
              <w:bottom w:val="single" w:color="auto" w:sz="6" w:space="0"/>
              <w:right w:val="single" w:color="auto" w:sz="6" w:space="0"/>
            </w:tcBorders>
            <w:vAlign w:val="center"/>
          </w:tcPr>
          <w:p w14:paraId="115AE2E6">
            <w:pPr>
              <w:spacing w:line="360" w:lineRule="exact"/>
              <w:ind w:firstLine="0" w:firstLineChars="0"/>
              <w:jc w:val="center"/>
              <w:rPr>
                <w:b/>
                <w:sz w:val="21"/>
                <w:szCs w:val="21"/>
              </w:rPr>
            </w:pPr>
            <w:r>
              <w:rPr>
                <w:rFonts w:hint="eastAsia"/>
                <w:b/>
                <w:sz w:val="21"/>
                <w:szCs w:val="21"/>
              </w:rPr>
              <w:t>备注</w:t>
            </w:r>
          </w:p>
        </w:tc>
      </w:tr>
      <w:tr w14:paraId="610877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82" w:hRule="atLeast"/>
          <w:jc w:val="center"/>
        </w:trPr>
        <w:tc>
          <w:tcPr>
            <w:tcW w:w="876" w:type="dxa"/>
            <w:vMerge w:val="restart"/>
            <w:tcBorders>
              <w:top w:val="single" w:color="auto" w:sz="6" w:space="0"/>
              <w:left w:val="single" w:color="auto" w:sz="8" w:space="0"/>
              <w:right w:val="single" w:color="auto" w:sz="6" w:space="0"/>
            </w:tcBorders>
            <w:vAlign w:val="center"/>
          </w:tcPr>
          <w:p w14:paraId="52FBD340">
            <w:pPr>
              <w:spacing w:line="360" w:lineRule="exact"/>
              <w:ind w:firstLine="0" w:firstLineChars="0"/>
              <w:jc w:val="center"/>
              <w:rPr>
                <w:sz w:val="21"/>
                <w:szCs w:val="21"/>
              </w:rPr>
            </w:pPr>
            <w:r>
              <w:rPr>
                <w:rFonts w:hint="eastAsia"/>
                <w:sz w:val="21"/>
                <w:szCs w:val="21"/>
              </w:rPr>
              <w:t>生产系统</w:t>
            </w:r>
          </w:p>
        </w:tc>
        <w:tc>
          <w:tcPr>
            <w:tcW w:w="1531" w:type="dxa"/>
            <w:vMerge w:val="restart"/>
            <w:tcBorders>
              <w:top w:val="single" w:color="auto" w:sz="6" w:space="0"/>
              <w:left w:val="single" w:color="auto" w:sz="6" w:space="0"/>
              <w:right w:val="single" w:color="auto" w:sz="6" w:space="0"/>
            </w:tcBorders>
            <w:vAlign w:val="center"/>
          </w:tcPr>
          <w:p w14:paraId="21E41A30">
            <w:pPr>
              <w:spacing w:line="360" w:lineRule="exact"/>
              <w:ind w:firstLine="0" w:firstLineChars="0"/>
              <w:jc w:val="center"/>
              <w:rPr>
                <w:sz w:val="21"/>
                <w:szCs w:val="21"/>
              </w:rPr>
            </w:pPr>
            <w:r>
              <w:rPr>
                <w:rFonts w:hint="eastAsia"/>
                <w:sz w:val="21"/>
                <w:szCs w:val="21"/>
              </w:rPr>
              <w:t>反应釜、导热油缓存罐等</w:t>
            </w:r>
          </w:p>
        </w:tc>
        <w:tc>
          <w:tcPr>
            <w:tcW w:w="1694" w:type="dxa"/>
            <w:vMerge w:val="restart"/>
            <w:tcBorders>
              <w:top w:val="single" w:color="auto" w:sz="6" w:space="0"/>
              <w:left w:val="single" w:color="auto" w:sz="6" w:space="0"/>
              <w:right w:val="single" w:color="auto" w:sz="6" w:space="0"/>
            </w:tcBorders>
            <w:vAlign w:val="center"/>
          </w:tcPr>
          <w:p w14:paraId="46CD7868">
            <w:pPr>
              <w:spacing w:line="360" w:lineRule="exact"/>
              <w:ind w:firstLine="0" w:firstLineChars="0"/>
              <w:jc w:val="center"/>
              <w:rPr>
                <w:sz w:val="21"/>
                <w:szCs w:val="21"/>
              </w:rPr>
            </w:pPr>
            <w:r>
              <w:rPr>
                <w:rFonts w:hint="eastAsia"/>
                <w:sz w:val="21"/>
                <w:szCs w:val="21"/>
              </w:rPr>
              <w:t>D4（八甲基环四硅氧烷）、硫酸、导热油等</w:t>
            </w:r>
          </w:p>
        </w:tc>
        <w:tc>
          <w:tcPr>
            <w:tcW w:w="1418" w:type="dxa"/>
            <w:tcBorders>
              <w:top w:val="single" w:color="auto" w:sz="6" w:space="0"/>
              <w:left w:val="single" w:color="auto" w:sz="6" w:space="0"/>
              <w:right w:val="single" w:color="auto" w:sz="6" w:space="0"/>
            </w:tcBorders>
            <w:vAlign w:val="center"/>
          </w:tcPr>
          <w:p w14:paraId="539106DF">
            <w:pPr>
              <w:spacing w:line="360" w:lineRule="exact"/>
              <w:ind w:firstLine="0" w:firstLineChars="0"/>
              <w:jc w:val="center"/>
              <w:rPr>
                <w:sz w:val="21"/>
                <w:szCs w:val="21"/>
              </w:rPr>
            </w:pPr>
            <w:r>
              <w:rPr>
                <w:rFonts w:hint="eastAsia"/>
                <w:sz w:val="21"/>
                <w:szCs w:val="21"/>
              </w:rPr>
              <w:t>火灾、爆炸</w:t>
            </w:r>
          </w:p>
        </w:tc>
        <w:tc>
          <w:tcPr>
            <w:tcW w:w="1542" w:type="dxa"/>
            <w:tcBorders>
              <w:top w:val="single" w:color="auto" w:sz="6" w:space="0"/>
              <w:left w:val="single" w:color="auto" w:sz="6" w:space="0"/>
              <w:bottom w:val="single" w:color="auto" w:sz="6" w:space="0"/>
              <w:right w:val="single" w:color="auto" w:sz="6" w:space="0"/>
            </w:tcBorders>
            <w:vAlign w:val="center"/>
          </w:tcPr>
          <w:p w14:paraId="7DC171B9">
            <w:pPr>
              <w:spacing w:line="360" w:lineRule="exact"/>
              <w:ind w:firstLine="0" w:firstLineChars="0"/>
              <w:jc w:val="center"/>
              <w:rPr>
                <w:sz w:val="21"/>
                <w:szCs w:val="21"/>
              </w:rPr>
            </w:pPr>
            <w:r>
              <w:rPr>
                <w:rFonts w:hint="eastAsia"/>
                <w:sz w:val="21"/>
                <w:szCs w:val="21"/>
              </w:rPr>
              <w:t>2</w:t>
            </w:r>
            <w:r>
              <w:rPr>
                <w:sz w:val="21"/>
                <w:szCs w:val="21"/>
              </w:rPr>
              <w:t>×</w:t>
            </w:r>
            <w:r>
              <w:rPr>
                <w:rFonts w:hint="eastAsia"/>
                <w:sz w:val="21"/>
                <w:szCs w:val="21"/>
              </w:rPr>
              <w:t>10</w:t>
            </w:r>
            <w:r>
              <w:rPr>
                <w:rFonts w:hint="eastAsia"/>
                <w:sz w:val="21"/>
                <w:szCs w:val="21"/>
                <w:vertAlign w:val="superscript"/>
              </w:rPr>
              <w:t>-7</w:t>
            </w:r>
            <w:r>
              <w:rPr>
                <w:rFonts w:hint="eastAsia"/>
                <w:sz w:val="21"/>
                <w:szCs w:val="21"/>
              </w:rPr>
              <w:t>/a</w:t>
            </w:r>
          </w:p>
        </w:tc>
        <w:tc>
          <w:tcPr>
            <w:tcW w:w="1227" w:type="dxa"/>
            <w:tcBorders>
              <w:top w:val="single" w:color="auto" w:sz="6" w:space="0"/>
              <w:left w:val="single" w:color="auto" w:sz="6" w:space="0"/>
              <w:bottom w:val="single" w:color="auto" w:sz="6" w:space="0"/>
              <w:right w:val="single" w:color="auto" w:sz="6" w:space="0"/>
            </w:tcBorders>
            <w:vAlign w:val="center"/>
          </w:tcPr>
          <w:p w14:paraId="0134C8D0">
            <w:pPr>
              <w:spacing w:line="360" w:lineRule="exact"/>
              <w:ind w:firstLine="0" w:firstLineChars="0"/>
              <w:jc w:val="center"/>
              <w:rPr>
                <w:sz w:val="21"/>
                <w:szCs w:val="21"/>
              </w:rPr>
            </w:pPr>
            <w:r>
              <w:rPr>
                <w:rFonts w:hint="eastAsia"/>
                <w:sz w:val="21"/>
                <w:szCs w:val="21"/>
              </w:rPr>
              <w:t>/</w:t>
            </w:r>
          </w:p>
        </w:tc>
      </w:tr>
      <w:tr w14:paraId="04EF87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80" w:hRule="atLeast"/>
          <w:jc w:val="center"/>
        </w:trPr>
        <w:tc>
          <w:tcPr>
            <w:tcW w:w="876" w:type="dxa"/>
            <w:vMerge w:val="continue"/>
            <w:tcBorders>
              <w:left w:val="single" w:color="auto" w:sz="8" w:space="0"/>
              <w:right w:val="single" w:color="auto" w:sz="6" w:space="0"/>
            </w:tcBorders>
            <w:vAlign w:val="center"/>
          </w:tcPr>
          <w:p w14:paraId="1CE6F6B1">
            <w:pPr>
              <w:spacing w:line="360" w:lineRule="exact"/>
              <w:ind w:firstLine="0" w:firstLineChars="0"/>
              <w:jc w:val="center"/>
              <w:rPr>
                <w:sz w:val="21"/>
                <w:szCs w:val="21"/>
              </w:rPr>
            </w:pPr>
          </w:p>
        </w:tc>
        <w:tc>
          <w:tcPr>
            <w:tcW w:w="1531" w:type="dxa"/>
            <w:vMerge w:val="continue"/>
            <w:tcBorders>
              <w:left w:val="single" w:color="auto" w:sz="6" w:space="0"/>
              <w:right w:val="single" w:color="auto" w:sz="6" w:space="0"/>
            </w:tcBorders>
            <w:vAlign w:val="center"/>
          </w:tcPr>
          <w:p w14:paraId="63929F7E">
            <w:pPr>
              <w:spacing w:line="360" w:lineRule="exact"/>
              <w:ind w:firstLine="0" w:firstLineChars="0"/>
              <w:jc w:val="center"/>
              <w:rPr>
                <w:sz w:val="21"/>
                <w:szCs w:val="21"/>
              </w:rPr>
            </w:pPr>
          </w:p>
        </w:tc>
        <w:tc>
          <w:tcPr>
            <w:tcW w:w="1694" w:type="dxa"/>
            <w:vMerge w:val="continue"/>
            <w:tcBorders>
              <w:left w:val="single" w:color="auto" w:sz="6" w:space="0"/>
              <w:right w:val="single" w:color="auto" w:sz="6" w:space="0"/>
            </w:tcBorders>
            <w:vAlign w:val="center"/>
          </w:tcPr>
          <w:p w14:paraId="0AFD91A6">
            <w:pPr>
              <w:spacing w:line="360" w:lineRule="exact"/>
              <w:ind w:firstLine="0" w:firstLineChars="0"/>
              <w:jc w:val="center"/>
              <w:rPr>
                <w:sz w:val="21"/>
                <w:szCs w:val="21"/>
              </w:rPr>
            </w:pPr>
          </w:p>
        </w:tc>
        <w:tc>
          <w:tcPr>
            <w:tcW w:w="1418" w:type="dxa"/>
            <w:vMerge w:val="restart"/>
            <w:tcBorders>
              <w:left w:val="single" w:color="auto" w:sz="6" w:space="0"/>
              <w:right w:val="single" w:color="auto" w:sz="6" w:space="0"/>
            </w:tcBorders>
            <w:vAlign w:val="center"/>
          </w:tcPr>
          <w:p w14:paraId="3CC93DDC">
            <w:pPr>
              <w:spacing w:line="360" w:lineRule="exact"/>
              <w:ind w:firstLine="0" w:firstLineChars="0"/>
              <w:jc w:val="center"/>
              <w:rPr>
                <w:sz w:val="21"/>
                <w:szCs w:val="21"/>
              </w:rPr>
            </w:pPr>
            <w:r>
              <w:rPr>
                <w:rFonts w:hint="eastAsia"/>
                <w:sz w:val="21"/>
                <w:szCs w:val="21"/>
              </w:rPr>
              <w:t>装置破裂、物料泄露</w:t>
            </w:r>
          </w:p>
        </w:tc>
        <w:tc>
          <w:tcPr>
            <w:tcW w:w="1542" w:type="dxa"/>
            <w:tcBorders>
              <w:top w:val="single" w:color="auto" w:sz="6" w:space="0"/>
              <w:left w:val="single" w:color="auto" w:sz="6" w:space="0"/>
              <w:bottom w:val="single" w:color="auto" w:sz="6" w:space="0"/>
              <w:right w:val="single" w:color="auto" w:sz="6" w:space="0"/>
            </w:tcBorders>
            <w:vAlign w:val="center"/>
          </w:tcPr>
          <w:p w14:paraId="0F56EF60">
            <w:pPr>
              <w:spacing w:line="360" w:lineRule="exact"/>
              <w:ind w:firstLine="0" w:firstLineChars="0"/>
              <w:jc w:val="center"/>
              <w:rPr>
                <w:sz w:val="21"/>
                <w:szCs w:val="21"/>
              </w:rPr>
            </w:pPr>
            <w:r>
              <w:rPr>
                <w:rFonts w:hint="eastAsia"/>
                <w:sz w:val="21"/>
                <w:szCs w:val="21"/>
              </w:rPr>
              <w:t>1</w:t>
            </w:r>
            <w:r>
              <w:rPr>
                <w:sz w:val="21"/>
                <w:szCs w:val="21"/>
              </w:rPr>
              <w:t>×</w:t>
            </w:r>
            <w:r>
              <w:rPr>
                <w:rFonts w:hint="eastAsia"/>
                <w:sz w:val="21"/>
                <w:szCs w:val="21"/>
              </w:rPr>
              <w:t>10</w:t>
            </w:r>
            <w:r>
              <w:rPr>
                <w:rFonts w:hint="eastAsia"/>
                <w:sz w:val="21"/>
                <w:szCs w:val="21"/>
                <w:vertAlign w:val="superscript"/>
              </w:rPr>
              <w:t>-4</w:t>
            </w:r>
            <w:r>
              <w:rPr>
                <w:rFonts w:hint="eastAsia"/>
                <w:sz w:val="21"/>
                <w:szCs w:val="21"/>
              </w:rPr>
              <w:t>/a</w:t>
            </w:r>
          </w:p>
        </w:tc>
        <w:tc>
          <w:tcPr>
            <w:tcW w:w="1227" w:type="dxa"/>
            <w:tcBorders>
              <w:top w:val="single" w:color="auto" w:sz="6" w:space="0"/>
              <w:left w:val="single" w:color="auto" w:sz="6" w:space="0"/>
              <w:bottom w:val="single" w:color="auto" w:sz="6" w:space="0"/>
              <w:right w:val="single" w:color="auto" w:sz="6" w:space="0"/>
            </w:tcBorders>
            <w:vAlign w:val="center"/>
          </w:tcPr>
          <w:p w14:paraId="1529F02C">
            <w:pPr>
              <w:spacing w:line="360" w:lineRule="exact"/>
              <w:ind w:firstLine="0" w:firstLineChars="0"/>
              <w:jc w:val="center"/>
              <w:rPr>
                <w:sz w:val="21"/>
                <w:szCs w:val="21"/>
              </w:rPr>
            </w:pPr>
            <w:r>
              <w:rPr>
                <w:rFonts w:hint="eastAsia"/>
                <w:sz w:val="21"/>
                <w:szCs w:val="21"/>
              </w:rPr>
              <w:t>泄漏孔径为10mm</w:t>
            </w:r>
          </w:p>
        </w:tc>
      </w:tr>
      <w:tr w14:paraId="503DDC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80" w:hRule="atLeast"/>
          <w:jc w:val="center"/>
        </w:trPr>
        <w:tc>
          <w:tcPr>
            <w:tcW w:w="876" w:type="dxa"/>
            <w:vMerge w:val="continue"/>
            <w:tcBorders>
              <w:left w:val="single" w:color="auto" w:sz="8" w:space="0"/>
              <w:right w:val="single" w:color="auto" w:sz="6" w:space="0"/>
            </w:tcBorders>
            <w:vAlign w:val="center"/>
          </w:tcPr>
          <w:p w14:paraId="7431DA96">
            <w:pPr>
              <w:spacing w:line="360" w:lineRule="exact"/>
              <w:ind w:firstLine="0" w:firstLineChars="0"/>
              <w:jc w:val="center"/>
              <w:rPr>
                <w:sz w:val="21"/>
                <w:szCs w:val="21"/>
              </w:rPr>
            </w:pPr>
          </w:p>
        </w:tc>
        <w:tc>
          <w:tcPr>
            <w:tcW w:w="1531" w:type="dxa"/>
            <w:vMerge w:val="continue"/>
            <w:tcBorders>
              <w:left w:val="single" w:color="auto" w:sz="6" w:space="0"/>
              <w:right w:val="single" w:color="auto" w:sz="6" w:space="0"/>
            </w:tcBorders>
            <w:vAlign w:val="center"/>
          </w:tcPr>
          <w:p w14:paraId="379B9CCF">
            <w:pPr>
              <w:spacing w:line="360" w:lineRule="exact"/>
              <w:ind w:firstLine="0" w:firstLineChars="0"/>
              <w:jc w:val="center"/>
              <w:rPr>
                <w:sz w:val="21"/>
                <w:szCs w:val="21"/>
              </w:rPr>
            </w:pPr>
          </w:p>
        </w:tc>
        <w:tc>
          <w:tcPr>
            <w:tcW w:w="1694" w:type="dxa"/>
            <w:vMerge w:val="continue"/>
            <w:tcBorders>
              <w:left w:val="single" w:color="auto" w:sz="6" w:space="0"/>
              <w:right w:val="single" w:color="auto" w:sz="6" w:space="0"/>
            </w:tcBorders>
            <w:vAlign w:val="center"/>
          </w:tcPr>
          <w:p w14:paraId="67DB95D3">
            <w:pPr>
              <w:spacing w:line="360" w:lineRule="exact"/>
              <w:ind w:firstLine="0" w:firstLineChars="0"/>
              <w:jc w:val="center"/>
              <w:rPr>
                <w:sz w:val="21"/>
                <w:szCs w:val="21"/>
              </w:rPr>
            </w:pPr>
          </w:p>
        </w:tc>
        <w:tc>
          <w:tcPr>
            <w:tcW w:w="1418" w:type="dxa"/>
            <w:vMerge w:val="continue"/>
            <w:tcBorders>
              <w:left w:val="single" w:color="auto" w:sz="6" w:space="0"/>
              <w:right w:val="single" w:color="auto" w:sz="6" w:space="0"/>
            </w:tcBorders>
            <w:vAlign w:val="center"/>
          </w:tcPr>
          <w:p w14:paraId="6E0FBDAE">
            <w:pPr>
              <w:spacing w:line="360" w:lineRule="exact"/>
              <w:ind w:firstLine="0" w:firstLineChars="0"/>
              <w:jc w:val="center"/>
              <w:rPr>
                <w:sz w:val="21"/>
                <w:szCs w:val="21"/>
              </w:rPr>
            </w:pPr>
          </w:p>
        </w:tc>
        <w:tc>
          <w:tcPr>
            <w:tcW w:w="1542" w:type="dxa"/>
            <w:tcBorders>
              <w:top w:val="single" w:color="auto" w:sz="6" w:space="0"/>
              <w:left w:val="single" w:color="auto" w:sz="6" w:space="0"/>
              <w:bottom w:val="single" w:color="auto" w:sz="6" w:space="0"/>
              <w:right w:val="single" w:color="auto" w:sz="6" w:space="0"/>
            </w:tcBorders>
            <w:vAlign w:val="center"/>
          </w:tcPr>
          <w:p w14:paraId="6CECA9FA">
            <w:pPr>
              <w:spacing w:line="360" w:lineRule="exact"/>
              <w:ind w:firstLine="0" w:firstLineChars="0"/>
              <w:jc w:val="center"/>
              <w:rPr>
                <w:sz w:val="21"/>
                <w:szCs w:val="21"/>
              </w:rPr>
            </w:pPr>
            <w:r>
              <w:rPr>
                <w:rFonts w:hint="eastAsia"/>
                <w:sz w:val="21"/>
                <w:szCs w:val="21"/>
              </w:rPr>
              <w:t>5</w:t>
            </w:r>
            <w:r>
              <w:rPr>
                <w:sz w:val="21"/>
                <w:szCs w:val="21"/>
              </w:rPr>
              <w:t>×</w:t>
            </w:r>
            <w:r>
              <w:rPr>
                <w:rFonts w:hint="eastAsia"/>
                <w:sz w:val="21"/>
                <w:szCs w:val="21"/>
              </w:rPr>
              <w:t>10</w:t>
            </w:r>
            <w:r>
              <w:rPr>
                <w:rFonts w:hint="eastAsia"/>
                <w:sz w:val="21"/>
                <w:szCs w:val="21"/>
                <w:vertAlign w:val="superscript"/>
              </w:rPr>
              <w:t>-6</w:t>
            </w:r>
            <w:r>
              <w:rPr>
                <w:rFonts w:hint="eastAsia"/>
                <w:sz w:val="21"/>
                <w:szCs w:val="21"/>
              </w:rPr>
              <w:t>/a</w:t>
            </w:r>
          </w:p>
        </w:tc>
        <w:tc>
          <w:tcPr>
            <w:tcW w:w="1227" w:type="dxa"/>
            <w:tcBorders>
              <w:top w:val="single" w:color="auto" w:sz="6" w:space="0"/>
              <w:left w:val="single" w:color="auto" w:sz="6" w:space="0"/>
              <w:bottom w:val="single" w:color="auto" w:sz="6" w:space="0"/>
              <w:right w:val="single" w:color="auto" w:sz="6" w:space="0"/>
            </w:tcBorders>
            <w:vAlign w:val="center"/>
          </w:tcPr>
          <w:p w14:paraId="4E41E011">
            <w:pPr>
              <w:spacing w:line="360" w:lineRule="exact"/>
              <w:ind w:firstLine="0" w:firstLineChars="0"/>
              <w:jc w:val="center"/>
              <w:rPr>
                <w:sz w:val="21"/>
                <w:szCs w:val="21"/>
              </w:rPr>
            </w:pPr>
            <w:r>
              <w:rPr>
                <w:rFonts w:hint="eastAsia"/>
                <w:sz w:val="21"/>
                <w:szCs w:val="21"/>
              </w:rPr>
              <w:t>10min内储罐泄漏完</w:t>
            </w:r>
          </w:p>
        </w:tc>
      </w:tr>
      <w:tr w14:paraId="66336D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80" w:hRule="atLeast"/>
          <w:jc w:val="center"/>
        </w:trPr>
        <w:tc>
          <w:tcPr>
            <w:tcW w:w="876" w:type="dxa"/>
            <w:vMerge w:val="continue"/>
            <w:tcBorders>
              <w:left w:val="single" w:color="auto" w:sz="8" w:space="0"/>
              <w:right w:val="single" w:color="auto" w:sz="6" w:space="0"/>
            </w:tcBorders>
            <w:vAlign w:val="center"/>
          </w:tcPr>
          <w:p w14:paraId="7051F18C">
            <w:pPr>
              <w:spacing w:line="360" w:lineRule="exact"/>
              <w:ind w:firstLine="0" w:firstLineChars="0"/>
              <w:jc w:val="center"/>
              <w:rPr>
                <w:sz w:val="21"/>
                <w:szCs w:val="21"/>
              </w:rPr>
            </w:pPr>
          </w:p>
        </w:tc>
        <w:tc>
          <w:tcPr>
            <w:tcW w:w="1531" w:type="dxa"/>
            <w:vMerge w:val="continue"/>
            <w:tcBorders>
              <w:left w:val="single" w:color="auto" w:sz="6" w:space="0"/>
              <w:right w:val="single" w:color="auto" w:sz="6" w:space="0"/>
            </w:tcBorders>
            <w:vAlign w:val="center"/>
          </w:tcPr>
          <w:p w14:paraId="12AC8C8F">
            <w:pPr>
              <w:spacing w:line="360" w:lineRule="exact"/>
              <w:ind w:firstLine="0" w:firstLineChars="0"/>
              <w:jc w:val="center"/>
              <w:rPr>
                <w:sz w:val="21"/>
                <w:szCs w:val="21"/>
              </w:rPr>
            </w:pPr>
          </w:p>
        </w:tc>
        <w:tc>
          <w:tcPr>
            <w:tcW w:w="1694" w:type="dxa"/>
            <w:vMerge w:val="continue"/>
            <w:tcBorders>
              <w:left w:val="single" w:color="auto" w:sz="6" w:space="0"/>
              <w:right w:val="single" w:color="auto" w:sz="6" w:space="0"/>
            </w:tcBorders>
            <w:vAlign w:val="center"/>
          </w:tcPr>
          <w:p w14:paraId="009917CE">
            <w:pPr>
              <w:spacing w:line="360" w:lineRule="exact"/>
              <w:ind w:firstLine="0" w:firstLineChars="0"/>
              <w:jc w:val="center"/>
              <w:rPr>
                <w:sz w:val="21"/>
                <w:szCs w:val="21"/>
              </w:rPr>
            </w:pPr>
          </w:p>
        </w:tc>
        <w:tc>
          <w:tcPr>
            <w:tcW w:w="1418" w:type="dxa"/>
            <w:vMerge w:val="restart"/>
            <w:tcBorders>
              <w:left w:val="single" w:color="auto" w:sz="6" w:space="0"/>
              <w:right w:val="single" w:color="auto" w:sz="6" w:space="0"/>
            </w:tcBorders>
            <w:vAlign w:val="center"/>
          </w:tcPr>
          <w:p w14:paraId="0C32E2C0">
            <w:pPr>
              <w:spacing w:line="360" w:lineRule="exact"/>
              <w:ind w:firstLine="0" w:firstLineChars="0"/>
              <w:jc w:val="center"/>
              <w:rPr>
                <w:sz w:val="21"/>
                <w:szCs w:val="21"/>
              </w:rPr>
            </w:pPr>
            <w:r>
              <w:rPr>
                <w:rFonts w:hint="eastAsia"/>
                <w:sz w:val="21"/>
                <w:szCs w:val="21"/>
              </w:rPr>
              <w:t>管道破裂、物料泄露</w:t>
            </w:r>
          </w:p>
        </w:tc>
        <w:tc>
          <w:tcPr>
            <w:tcW w:w="1542" w:type="dxa"/>
            <w:tcBorders>
              <w:top w:val="single" w:color="auto" w:sz="6" w:space="0"/>
              <w:left w:val="single" w:color="auto" w:sz="6" w:space="0"/>
              <w:bottom w:val="single" w:color="auto" w:sz="6" w:space="0"/>
              <w:right w:val="single" w:color="auto" w:sz="6" w:space="0"/>
            </w:tcBorders>
            <w:vAlign w:val="center"/>
          </w:tcPr>
          <w:p w14:paraId="173199F9">
            <w:pPr>
              <w:spacing w:line="360" w:lineRule="exact"/>
              <w:ind w:firstLine="0" w:firstLineChars="0"/>
              <w:jc w:val="center"/>
              <w:rPr>
                <w:sz w:val="21"/>
                <w:szCs w:val="21"/>
              </w:rPr>
            </w:pPr>
            <w:r>
              <w:rPr>
                <w:rFonts w:hint="eastAsia"/>
                <w:sz w:val="21"/>
                <w:szCs w:val="21"/>
              </w:rPr>
              <w:t>2.4</w:t>
            </w:r>
            <w:r>
              <w:rPr>
                <w:sz w:val="21"/>
                <w:szCs w:val="21"/>
              </w:rPr>
              <w:t>×</w:t>
            </w:r>
            <w:r>
              <w:rPr>
                <w:rFonts w:hint="eastAsia"/>
                <w:sz w:val="21"/>
                <w:szCs w:val="21"/>
              </w:rPr>
              <w:t>10</w:t>
            </w:r>
            <w:r>
              <w:rPr>
                <w:rFonts w:hint="eastAsia"/>
                <w:sz w:val="21"/>
                <w:szCs w:val="21"/>
                <w:vertAlign w:val="superscript"/>
              </w:rPr>
              <w:t>-6</w:t>
            </w:r>
            <w:r>
              <w:rPr>
                <w:rFonts w:hint="eastAsia"/>
                <w:sz w:val="21"/>
                <w:szCs w:val="21"/>
              </w:rPr>
              <w:t>/</w:t>
            </w:r>
            <w:r>
              <w:rPr>
                <w:sz w:val="21"/>
                <w:szCs w:val="21"/>
              </w:rPr>
              <w:t>（m·a）</w:t>
            </w:r>
          </w:p>
        </w:tc>
        <w:tc>
          <w:tcPr>
            <w:tcW w:w="1227" w:type="dxa"/>
            <w:tcBorders>
              <w:top w:val="single" w:color="auto" w:sz="6" w:space="0"/>
              <w:left w:val="single" w:color="auto" w:sz="6" w:space="0"/>
              <w:bottom w:val="single" w:color="auto" w:sz="6" w:space="0"/>
              <w:right w:val="single" w:color="auto" w:sz="6" w:space="0"/>
            </w:tcBorders>
            <w:vAlign w:val="center"/>
          </w:tcPr>
          <w:p w14:paraId="64ECA99A">
            <w:pPr>
              <w:spacing w:line="360" w:lineRule="exact"/>
              <w:ind w:firstLine="0" w:firstLineChars="0"/>
              <w:jc w:val="center"/>
              <w:rPr>
                <w:sz w:val="21"/>
                <w:szCs w:val="21"/>
              </w:rPr>
            </w:pPr>
            <w:r>
              <w:rPr>
                <w:rFonts w:hint="eastAsia"/>
                <w:sz w:val="21"/>
                <w:szCs w:val="21"/>
              </w:rPr>
              <w:t>泄漏孔径为10%孔径</w:t>
            </w:r>
          </w:p>
        </w:tc>
      </w:tr>
      <w:tr w14:paraId="0E3FB4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80" w:hRule="atLeast"/>
          <w:jc w:val="center"/>
        </w:trPr>
        <w:tc>
          <w:tcPr>
            <w:tcW w:w="876" w:type="dxa"/>
            <w:vMerge w:val="continue"/>
            <w:tcBorders>
              <w:left w:val="single" w:color="auto" w:sz="8" w:space="0"/>
              <w:bottom w:val="single" w:color="auto" w:sz="6" w:space="0"/>
              <w:right w:val="single" w:color="auto" w:sz="6" w:space="0"/>
            </w:tcBorders>
            <w:vAlign w:val="center"/>
          </w:tcPr>
          <w:p w14:paraId="5E051C3C">
            <w:pPr>
              <w:spacing w:line="360" w:lineRule="exact"/>
              <w:ind w:firstLine="0" w:firstLineChars="0"/>
              <w:jc w:val="center"/>
              <w:rPr>
                <w:sz w:val="21"/>
                <w:szCs w:val="21"/>
              </w:rPr>
            </w:pPr>
          </w:p>
        </w:tc>
        <w:tc>
          <w:tcPr>
            <w:tcW w:w="1531" w:type="dxa"/>
            <w:vMerge w:val="continue"/>
            <w:tcBorders>
              <w:left w:val="single" w:color="auto" w:sz="6" w:space="0"/>
              <w:bottom w:val="single" w:color="auto" w:sz="6" w:space="0"/>
              <w:right w:val="single" w:color="auto" w:sz="6" w:space="0"/>
            </w:tcBorders>
            <w:vAlign w:val="center"/>
          </w:tcPr>
          <w:p w14:paraId="05191553">
            <w:pPr>
              <w:spacing w:line="360" w:lineRule="exact"/>
              <w:ind w:firstLine="0" w:firstLineChars="0"/>
              <w:jc w:val="center"/>
              <w:rPr>
                <w:sz w:val="21"/>
                <w:szCs w:val="21"/>
              </w:rPr>
            </w:pPr>
          </w:p>
        </w:tc>
        <w:tc>
          <w:tcPr>
            <w:tcW w:w="1694" w:type="dxa"/>
            <w:vMerge w:val="continue"/>
            <w:tcBorders>
              <w:left w:val="single" w:color="auto" w:sz="6" w:space="0"/>
              <w:bottom w:val="single" w:color="auto" w:sz="6" w:space="0"/>
              <w:right w:val="single" w:color="auto" w:sz="6" w:space="0"/>
            </w:tcBorders>
            <w:vAlign w:val="center"/>
          </w:tcPr>
          <w:p w14:paraId="2E53B75E">
            <w:pPr>
              <w:spacing w:line="360" w:lineRule="exact"/>
              <w:ind w:firstLine="0" w:firstLineChars="0"/>
              <w:jc w:val="center"/>
              <w:rPr>
                <w:sz w:val="21"/>
                <w:szCs w:val="21"/>
              </w:rPr>
            </w:pPr>
          </w:p>
        </w:tc>
        <w:tc>
          <w:tcPr>
            <w:tcW w:w="1418" w:type="dxa"/>
            <w:vMerge w:val="continue"/>
            <w:tcBorders>
              <w:left w:val="single" w:color="auto" w:sz="6" w:space="0"/>
              <w:bottom w:val="single" w:color="auto" w:sz="6" w:space="0"/>
              <w:right w:val="single" w:color="auto" w:sz="6" w:space="0"/>
            </w:tcBorders>
            <w:vAlign w:val="center"/>
          </w:tcPr>
          <w:p w14:paraId="5CAE5D0D">
            <w:pPr>
              <w:spacing w:line="360" w:lineRule="exact"/>
              <w:ind w:firstLine="0" w:firstLineChars="0"/>
              <w:jc w:val="center"/>
              <w:rPr>
                <w:sz w:val="21"/>
                <w:szCs w:val="21"/>
              </w:rPr>
            </w:pPr>
          </w:p>
        </w:tc>
        <w:tc>
          <w:tcPr>
            <w:tcW w:w="1542" w:type="dxa"/>
            <w:tcBorders>
              <w:top w:val="single" w:color="auto" w:sz="6" w:space="0"/>
              <w:left w:val="single" w:color="auto" w:sz="6" w:space="0"/>
              <w:bottom w:val="single" w:color="auto" w:sz="6" w:space="0"/>
              <w:right w:val="single" w:color="auto" w:sz="6" w:space="0"/>
            </w:tcBorders>
            <w:vAlign w:val="center"/>
          </w:tcPr>
          <w:p w14:paraId="283495A3">
            <w:pPr>
              <w:spacing w:line="360" w:lineRule="exact"/>
              <w:ind w:firstLine="0" w:firstLineChars="0"/>
              <w:jc w:val="center"/>
              <w:rPr>
                <w:sz w:val="21"/>
                <w:szCs w:val="21"/>
              </w:rPr>
            </w:pPr>
            <w:r>
              <w:rPr>
                <w:rFonts w:hint="eastAsia"/>
                <w:sz w:val="21"/>
                <w:szCs w:val="21"/>
              </w:rPr>
              <w:t>1</w:t>
            </w:r>
            <w:r>
              <w:rPr>
                <w:sz w:val="21"/>
                <w:szCs w:val="21"/>
              </w:rPr>
              <w:t>×</w:t>
            </w:r>
            <w:r>
              <w:rPr>
                <w:rFonts w:hint="eastAsia"/>
                <w:sz w:val="21"/>
                <w:szCs w:val="21"/>
              </w:rPr>
              <w:t>10</w:t>
            </w:r>
            <w:r>
              <w:rPr>
                <w:rFonts w:hint="eastAsia"/>
                <w:sz w:val="21"/>
                <w:szCs w:val="21"/>
                <w:vertAlign w:val="superscript"/>
              </w:rPr>
              <w:t>-6</w:t>
            </w:r>
            <w:r>
              <w:rPr>
                <w:rFonts w:hint="eastAsia"/>
                <w:sz w:val="21"/>
                <w:szCs w:val="21"/>
              </w:rPr>
              <w:t>/</w:t>
            </w:r>
            <w:r>
              <w:rPr>
                <w:sz w:val="21"/>
                <w:szCs w:val="21"/>
              </w:rPr>
              <w:t>（m·a）</w:t>
            </w:r>
          </w:p>
        </w:tc>
        <w:tc>
          <w:tcPr>
            <w:tcW w:w="1227" w:type="dxa"/>
            <w:tcBorders>
              <w:top w:val="single" w:color="auto" w:sz="6" w:space="0"/>
              <w:left w:val="single" w:color="auto" w:sz="6" w:space="0"/>
              <w:bottom w:val="single" w:color="auto" w:sz="6" w:space="0"/>
              <w:right w:val="single" w:color="auto" w:sz="6" w:space="0"/>
            </w:tcBorders>
            <w:vAlign w:val="center"/>
          </w:tcPr>
          <w:p w14:paraId="045D66DC">
            <w:pPr>
              <w:spacing w:line="360" w:lineRule="exact"/>
              <w:ind w:firstLine="0" w:firstLineChars="0"/>
              <w:jc w:val="center"/>
              <w:rPr>
                <w:sz w:val="21"/>
                <w:szCs w:val="21"/>
              </w:rPr>
            </w:pPr>
            <w:r>
              <w:rPr>
                <w:rFonts w:hint="eastAsia"/>
                <w:sz w:val="21"/>
                <w:szCs w:val="21"/>
              </w:rPr>
              <w:t>全管径泄漏</w:t>
            </w:r>
          </w:p>
        </w:tc>
      </w:tr>
      <w:tr w14:paraId="55A4A8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76" w:type="dxa"/>
            <w:vMerge w:val="restart"/>
            <w:tcBorders>
              <w:top w:val="single" w:color="auto" w:sz="6" w:space="0"/>
              <w:left w:val="single" w:color="auto" w:sz="8" w:space="0"/>
              <w:right w:val="single" w:color="auto" w:sz="6" w:space="0"/>
            </w:tcBorders>
            <w:vAlign w:val="center"/>
          </w:tcPr>
          <w:p w14:paraId="3D08F79E">
            <w:pPr>
              <w:spacing w:line="360" w:lineRule="exact"/>
              <w:ind w:firstLine="0" w:firstLineChars="0"/>
              <w:jc w:val="center"/>
              <w:rPr>
                <w:sz w:val="21"/>
                <w:szCs w:val="21"/>
              </w:rPr>
            </w:pPr>
            <w:r>
              <w:rPr>
                <w:rFonts w:hint="eastAsia"/>
                <w:sz w:val="21"/>
                <w:szCs w:val="21"/>
              </w:rPr>
              <w:t>原料区</w:t>
            </w:r>
          </w:p>
        </w:tc>
        <w:tc>
          <w:tcPr>
            <w:tcW w:w="1531" w:type="dxa"/>
            <w:vMerge w:val="restart"/>
            <w:tcBorders>
              <w:top w:val="single" w:color="auto" w:sz="6" w:space="0"/>
              <w:left w:val="single" w:color="auto" w:sz="6" w:space="0"/>
              <w:right w:val="single" w:color="auto" w:sz="6" w:space="0"/>
            </w:tcBorders>
            <w:vAlign w:val="center"/>
          </w:tcPr>
          <w:p w14:paraId="1C1030A2">
            <w:pPr>
              <w:spacing w:line="360" w:lineRule="exact"/>
              <w:ind w:firstLine="0" w:firstLineChars="0"/>
              <w:jc w:val="center"/>
              <w:rPr>
                <w:sz w:val="21"/>
                <w:szCs w:val="21"/>
              </w:rPr>
            </w:pPr>
            <w:r>
              <w:rPr>
                <w:rFonts w:hint="eastAsia"/>
                <w:sz w:val="21"/>
                <w:szCs w:val="21"/>
              </w:rPr>
              <w:t>风险物质储存区</w:t>
            </w:r>
          </w:p>
        </w:tc>
        <w:tc>
          <w:tcPr>
            <w:tcW w:w="1694" w:type="dxa"/>
            <w:vMerge w:val="restart"/>
            <w:tcBorders>
              <w:top w:val="single" w:color="auto" w:sz="6" w:space="0"/>
              <w:left w:val="single" w:color="auto" w:sz="6" w:space="0"/>
              <w:right w:val="single" w:color="auto" w:sz="6" w:space="0"/>
            </w:tcBorders>
            <w:vAlign w:val="center"/>
          </w:tcPr>
          <w:p w14:paraId="34266E3A">
            <w:pPr>
              <w:spacing w:line="360" w:lineRule="exact"/>
              <w:ind w:firstLine="0" w:firstLineChars="0"/>
              <w:jc w:val="center"/>
              <w:rPr>
                <w:sz w:val="21"/>
                <w:szCs w:val="21"/>
              </w:rPr>
            </w:pPr>
            <w:r>
              <w:rPr>
                <w:rFonts w:hint="eastAsia"/>
                <w:sz w:val="21"/>
                <w:szCs w:val="21"/>
              </w:rPr>
              <w:t>D4（八甲基环四硅氧烷）、硫酸</w:t>
            </w:r>
          </w:p>
        </w:tc>
        <w:tc>
          <w:tcPr>
            <w:tcW w:w="1418" w:type="dxa"/>
            <w:tcBorders>
              <w:top w:val="single" w:color="auto" w:sz="6" w:space="0"/>
              <w:left w:val="single" w:color="auto" w:sz="6" w:space="0"/>
              <w:bottom w:val="single" w:color="auto" w:sz="6" w:space="0"/>
              <w:right w:val="single" w:color="auto" w:sz="6" w:space="0"/>
            </w:tcBorders>
            <w:vAlign w:val="center"/>
          </w:tcPr>
          <w:p w14:paraId="415F6376">
            <w:pPr>
              <w:spacing w:line="360" w:lineRule="exact"/>
              <w:ind w:firstLine="0" w:firstLineChars="0"/>
              <w:jc w:val="center"/>
              <w:rPr>
                <w:sz w:val="21"/>
                <w:szCs w:val="21"/>
              </w:rPr>
            </w:pPr>
            <w:r>
              <w:rPr>
                <w:rFonts w:hint="eastAsia"/>
                <w:sz w:val="21"/>
                <w:szCs w:val="21"/>
              </w:rPr>
              <w:t>火灾、爆炸</w:t>
            </w:r>
          </w:p>
        </w:tc>
        <w:tc>
          <w:tcPr>
            <w:tcW w:w="1542" w:type="dxa"/>
            <w:tcBorders>
              <w:top w:val="single" w:color="auto" w:sz="6" w:space="0"/>
              <w:left w:val="single" w:color="auto" w:sz="6" w:space="0"/>
              <w:bottom w:val="single" w:color="auto" w:sz="6" w:space="0"/>
              <w:right w:val="single" w:color="auto" w:sz="6" w:space="0"/>
            </w:tcBorders>
            <w:vAlign w:val="center"/>
          </w:tcPr>
          <w:p w14:paraId="03778F25">
            <w:pPr>
              <w:spacing w:line="360" w:lineRule="exact"/>
              <w:ind w:firstLine="0" w:firstLineChars="0"/>
              <w:jc w:val="center"/>
              <w:rPr>
                <w:sz w:val="21"/>
                <w:szCs w:val="21"/>
              </w:rPr>
            </w:pPr>
            <w:r>
              <w:rPr>
                <w:rFonts w:hint="eastAsia"/>
                <w:sz w:val="21"/>
                <w:szCs w:val="21"/>
              </w:rPr>
              <w:t>1.5</w:t>
            </w:r>
            <w:r>
              <w:rPr>
                <w:sz w:val="21"/>
                <w:szCs w:val="21"/>
              </w:rPr>
              <w:t>×</w:t>
            </w:r>
            <w:r>
              <w:rPr>
                <w:rFonts w:hint="eastAsia"/>
                <w:sz w:val="21"/>
                <w:szCs w:val="21"/>
              </w:rPr>
              <w:t>10</w:t>
            </w:r>
            <w:r>
              <w:rPr>
                <w:rFonts w:hint="eastAsia"/>
                <w:sz w:val="21"/>
                <w:szCs w:val="21"/>
                <w:vertAlign w:val="superscript"/>
              </w:rPr>
              <w:t>-7</w:t>
            </w:r>
            <w:r>
              <w:rPr>
                <w:rFonts w:hint="eastAsia"/>
                <w:sz w:val="21"/>
                <w:szCs w:val="21"/>
              </w:rPr>
              <w:t>/a</w:t>
            </w:r>
          </w:p>
        </w:tc>
        <w:tc>
          <w:tcPr>
            <w:tcW w:w="1227" w:type="dxa"/>
            <w:tcBorders>
              <w:top w:val="single" w:color="auto" w:sz="6" w:space="0"/>
              <w:left w:val="single" w:color="auto" w:sz="6" w:space="0"/>
              <w:bottom w:val="single" w:color="auto" w:sz="6" w:space="0"/>
              <w:right w:val="single" w:color="auto" w:sz="6" w:space="0"/>
            </w:tcBorders>
            <w:vAlign w:val="center"/>
          </w:tcPr>
          <w:p w14:paraId="1CBB39C9">
            <w:pPr>
              <w:spacing w:line="360" w:lineRule="exact"/>
              <w:ind w:firstLine="0" w:firstLineChars="0"/>
              <w:jc w:val="center"/>
              <w:rPr>
                <w:sz w:val="21"/>
                <w:szCs w:val="21"/>
              </w:rPr>
            </w:pPr>
            <w:r>
              <w:rPr>
                <w:rFonts w:hint="eastAsia"/>
                <w:sz w:val="21"/>
                <w:szCs w:val="21"/>
              </w:rPr>
              <w:t>/</w:t>
            </w:r>
          </w:p>
        </w:tc>
      </w:tr>
      <w:tr w14:paraId="3FB0B1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76" w:type="dxa"/>
            <w:vMerge w:val="continue"/>
            <w:tcBorders>
              <w:left w:val="single" w:color="auto" w:sz="8" w:space="0"/>
              <w:bottom w:val="single" w:color="auto" w:sz="6" w:space="0"/>
              <w:right w:val="single" w:color="auto" w:sz="6" w:space="0"/>
            </w:tcBorders>
            <w:vAlign w:val="center"/>
          </w:tcPr>
          <w:p w14:paraId="28DFABE8">
            <w:pPr>
              <w:spacing w:line="360" w:lineRule="exact"/>
              <w:ind w:firstLine="0" w:firstLineChars="0"/>
              <w:jc w:val="center"/>
              <w:rPr>
                <w:sz w:val="21"/>
                <w:szCs w:val="21"/>
              </w:rPr>
            </w:pPr>
          </w:p>
        </w:tc>
        <w:tc>
          <w:tcPr>
            <w:tcW w:w="1531" w:type="dxa"/>
            <w:vMerge w:val="continue"/>
            <w:tcBorders>
              <w:left w:val="single" w:color="auto" w:sz="6" w:space="0"/>
              <w:bottom w:val="single" w:color="auto" w:sz="6" w:space="0"/>
              <w:right w:val="single" w:color="auto" w:sz="6" w:space="0"/>
            </w:tcBorders>
            <w:vAlign w:val="center"/>
          </w:tcPr>
          <w:p w14:paraId="27D2B27B">
            <w:pPr>
              <w:spacing w:line="360" w:lineRule="exact"/>
              <w:ind w:firstLine="0" w:firstLineChars="0"/>
              <w:jc w:val="center"/>
              <w:rPr>
                <w:sz w:val="21"/>
                <w:szCs w:val="21"/>
              </w:rPr>
            </w:pPr>
          </w:p>
        </w:tc>
        <w:tc>
          <w:tcPr>
            <w:tcW w:w="1694" w:type="dxa"/>
            <w:vMerge w:val="continue"/>
            <w:tcBorders>
              <w:left w:val="single" w:color="auto" w:sz="6" w:space="0"/>
              <w:bottom w:val="single" w:color="auto" w:sz="6" w:space="0"/>
              <w:right w:val="single" w:color="auto" w:sz="6" w:space="0"/>
            </w:tcBorders>
            <w:vAlign w:val="center"/>
          </w:tcPr>
          <w:p w14:paraId="5915F24C">
            <w:pPr>
              <w:spacing w:line="360" w:lineRule="exact"/>
              <w:ind w:firstLine="0" w:firstLineChars="0"/>
              <w:jc w:val="center"/>
              <w:rPr>
                <w:sz w:val="21"/>
                <w:szCs w:val="21"/>
              </w:rPr>
            </w:pPr>
          </w:p>
        </w:tc>
        <w:tc>
          <w:tcPr>
            <w:tcW w:w="1418" w:type="dxa"/>
            <w:tcBorders>
              <w:top w:val="single" w:color="auto" w:sz="6" w:space="0"/>
              <w:left w:val="single" w:color="auto" w:sz="6" w:space="0"/>
              <w:bottom w:val="single" w:color="auto" w:sz="6" w:space="0"/>
              <w:right w:val="single" w:color="auto" w:sz="6" w:space="0"/>
            </w:tcBorders>
            <w:vAlign w:val="center"/>
          </w:tcPr>
          <w:p w14:paraId="39FD30BD">
            <w:pPr>
              <w:spacing w:line="360" w:lineRule="exact"/>
              <w:ind w:firstLine="0" w:firstLineChars="0"/>
              <w:jc w:val="center"/>
              <w:rPr>
                <w:sz w:val="21"/>
                <w:szCs w:val="21"/>
              </w:rPr>
            </w:pPr>
            <w:r>
              <w:rPr>
                <w:rFonts w:hint="eastAsia"/>
                <w:sz w:val="21"/>
                <w:szCs w:val="21"/>
              </w:rPr>
              <w:t>包装桶破裂、物料泄露</w:t>
            </w:r>
          </w:p>
        </w:tc>
        <w:tc>
          <w:tcPr>
            <w:tcW w:w="1542" w:type="dxa"/>
            <w:tcBorders>
              <w:top w:val="single" w:color="auto" w:sz="6" w:space="0"/>
              <w:left w:val="single" w:color="auto" w:sz="6" w:space="0"/>
              <w:bottom w:val="single" w:color="auto" w:sz="6" w:space="0"/>
              <w:right w:val="single" w:color="auto" w:sz="6" w:space="0"/>
            </w:tcBorders>
            <w:vAlign w:val="center"/>
          </w:tcPr>
          <w:p w14:paraId="4143A86A">
            <w:pPr>
              <w:spacing w:line="360" w:lineRule="exact"/>
              <w:ind w:firstLine="0" w:firstLineChars="0"/>
              <w:jc w:val="center"/>
              <w:rPr>
                <w:sz w:val="21"/>
                <w:szCs w:val="21"/>
              </w:rPr>
            </w:pPr>
            <w:r>
              <w:rPr>
                <w:rFonts w:hint="eastAsia"/>
                <w:sz w:val="21"/>
                <w:szCs w:val="21"/>
              </w:rPr>
              <w:t>1</w:t>
            </w:r>
            <w:r>
              <w:rPr>
                <w:sz w:val="21"/>
                <w:szCs w:val="21"/>
              </w:rPr>
              <w:t>×</w:t>
            </w:r>
            <w:r>
              <w:rPr>
                <w:rFonts w:hint="eastAsia"/>
                <w:sz w:val="21"/>
                <w:szCs w:val="21"/>
              </w:rPr>
              <w:t>10</w:t>
            </w:r>
            <w:r>
              <w:rPr>
                <w:rFonts w:hint="eastAsia"/>
                <w:sz w:val="21"/>
                <w:szCs w:val="21"/>
                <w:vertAlign w:val="superscript"/>
              </w:rPr>
              <w:t>-5</w:t>
            </w:r>
            <w:r>
              <w:rPr>
                <w:rFonts w:hint="eastAsia"/>
                <w:sz w:val="21"/>
                <w:szCs w:val="21"/>
              </w:rPr>
              <w:t>/a</w:t>
            </w:r>
          </w:p>
        </w:tc>
        <w:tc>
          <w:tcPr>
            <w:tcW w:w="1227" w:type="dxa"/>
            <w:tcBorders>
              <w:top w:val="single" w:color="auto" w:sz="6" w:space="0"/>
              <w:left w:val="single" w:color="auto" w:sz="6" w:space="0"/>
              <w:bottom w:val="single" w:color="auto" w:sz="6" w:space="0"/>
              <w:right w:val="single" w:color="auto" w:sz="6" w:space="0"/>
            </w:tcBorders>
            <w:vAlign w:val="center"/>
          </w:tcPr>
          <w:p w14:paraId="5BA0B79C">
            <w:pPr>
              <w:spacing w:line="360" w:lineRule="exact"/>
              <w:ind w:firstLine="0" w:firstLineChars="0"/>
              <w:jc w:val="center"/>
              <w:rPr>
                <w:sz w:val="21"/>
                <w:szCs w:val="21"/>
              </w:rPr>
            </w:pPr>
            <w:r>
              <w:rPr>
                <w:rFonts w:hint="eastAsia"/>
                <w:sz w:val="21"/>
                <w:szCs w:val="21"/>
              </w:rPr>
              <w:t>泄漏孔径为10mm</w:t>
            </w:r>
          </w:p>
        </w:tc>
      </w:tr>
    </w:tbl>
    <w:p w14:paraId="2C34C048">
      <w:pPr>
        <w:ind w:firstLine="482"/>
        <w:outlineLvl w:val="4"/>
      </w:pPr>
      <w:r>
        <w:rPr>
          <w:rFonts w:hint="eastAsia"/>
          <w:b/>
          <w:bCs/>
        </w:rPr>
        <w:t>3、最大可信事故确定</w:t>
      </w:r>
    </w:p>
    <w:p w14:paraId="7EC15D9F">
      <w:pPr>
        <w:pStyle w:val="2"/>
        <w:spacing w:after="0"/>
        <w:ind w:firstLine="480"/>
      </w:pPr>
      <w:r>
        <w:rPr>
          <w:rFonts w:hint="eastAsia"/>
        </w:rPr>
        <w:t>根据《建设项目环境风险评价技术导则》（HJ169-2018）中提出的风险事故情形设定原则，结合本项目生产系统危险性及物质危险性识别结果，本次评价选取D4（八甲基环四硅氧烷）、硫酸包装桶泄露，以及泄露引起的火灾爆炸作为最大可信事故。</w:t>
      </w:r>
    </w:p>
    <w:p w14:paraId="5B31AA4D">
      <w:pPr>
        <w:ind w:firstLine="482"/>
        <w:outlineLvl w:val="4"/>
        <w:rPr>
          <w:b/>
          <w:bCs/>
        </w:rPr>
      </w:pPr>
      <w:r>
        <w:rPr>
          <w:rFonts w:hint="eastAsia"/>
          <w:b/>
          <w:bCs/>
        </w:rPr>
        <w:t>4、风险评价因子筛选</w:t>
      </w:r>
    </w:p>
    <w:p w14:paraId="1B5F2A76">
      <w:pPr>
        <w:pStyle w:val="2"/>
        <w:spacing w:after="0"/>
        <w:ind w:firstLine="480"/>
      </w:pPr>
      <w:r>
        <w:rPr>
          <w:rFonts w:hint="eastAsia"/>
        </w:rPr>
        <w:t>根据拟建项目涉及的有毒有害、易燃易爆物质进行的危险性识别和综合评价，根据《建设项目环境风险评价技术导则》（HJ169-2018）附录B筛选本项目环境风险评级因子主要为：D4（八甲基环四硅氧烷）、硫酸。</w:t>
      </w:r>
    </w:p>
    <w:p w14:paraId="2CECA638">
      <w:pPr>
        <w:pStyle w:val="5"/>
        <w:spacing w:before="312" w:after="312"/>
        <w:ind w:left="0" w:firstLine="510"/>
      </w:pPr>
      <w:r>
        <w:rPr>
          <w:rFonts w:hint="eastAsia"/>
        </w:rPr>
        <w:t>源项分析</w:t>
      </w:r>
    </w:p>
    <w:p w14:paraId="0DB17269">
      <w:pPr>
        <w:pStyle w:val="2"/>
        <w:spacing w:after="0"/>
        <w:ind w:firstLine="482"/>
        <w:outlineLvl w:val="3"/>
        <w:rPr>
          <w:b/>
          <w:bCs/>
        </w:rPr>
      </w:pPr>
      <w:r>
        <w:rPr>
          <w:rFonts w:hint="eastAsia"/>
          <w:b/>
          <w:bCs/>
        </w:rPr>
        <w:t>1、液体泄漏</w:t>
      </w:r>
    </w:p>
    <w:p w14:paraId="6B7EE53B">
      <w:pPr>
        <w:ind w:firstLine="480"/>
      </w:pPr>
      <w:r>
        <w:rPr>
          <w:rFonts w:hint="eastAsia"/>
        </w:rPr>
        <w:t>本项目风险评价液体泄漏主要为D4（八甲基环四硅氧烷）、硫酸包装桶泄漏，D4（八甲基环四硅氧烷）单桶最大含液量为200kg，最大泄漏量为200kg；硫酸单桶最大含液量为1t，最大泄漏量为1t。贮存区地面应采取防渗防腐处理，并设置整体托盘，能防止泄漏液体渗漏和腐蚀，贮存区应配备吸收棉对泄漏液体进行围堵和吸收，处理后的泄漏物放置于防渗漏桶内作为危险废物处理或进入事故废水池待处理后达标排放。D4（八甲基环四硅氧烷）、硫酸设计10min全部泄露完，结算泄漏速率见下表。</w:t>
      </w:r>
    </w:p>
    <w:p w14:paraId="7E2D0662">
      <w:pPr>
        <w:pStyle w:val="99"/>
        <w:numPr>
          <w:ilvl w:val="4"/>
          <w:numId w:val="45"/>
        </w:numPr>
        <w:ind w:left="0" w:firstLine="480"/>
        <w:jc w:val="left"/>
        <w:rPr>
          <w:rFonts w:eastAsia="黑体"/>
          <w:bCs/>
        </w:rPr>
      </w:pPr>
      <w:r>
        <w:rPr>
          <w:rFonts w:hint="eastAsia" w:eastAsia="黑体"/>
          <w:bCs/>
        </w:rPr>
        <w:t xml:space="preserve">             泄漏计算相关参数一览表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16"/>
        <w:gridCol w:w="1807"/>
        <w:gridCol w:w="1402"/>
        <w:gridCol w:w="1978"/>
        <w:gridCol w:w="1823"/>
      </w:tblGrid>
      <w:tr w14:paraId="230A4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90" w:type="pct"/>
            <w:vMerge w:val="restart"/>
            <w:vAlign w:val="center"/>
          </w:tcPr>
          <w:p w14:paraId="1532BD43">
            <w:pPr>
              <w:spacing w:line="240" w:lineRule="auto"/>
              <w:ind w:firstLine="0" w:firstLineChars="0"/>
              <w:jc w:val="center"/>
              <w:rPr>
                <w:b/>
                <w:sz w:val="21"/>
                <w:szCs w:val="21"/>
              </w:rPr>
            </w:pPr>
            <w:r>
              <w:rPr>
                <w:b/>
                <w:sz w:val="21"/>
                <w:szCs w:val="21"/>
              </w:rPr>
              <w:t>项目</w:t>
            </w:r>
          </w:p>
        </w:tc>
        <w:tc>
          <w:tcPr>
            <w:tcW w:w="1085" w:type="pct"/>
            <w:vAlign w:val="center"/>
          </w:tcPr>
          <w:p w14:paraId="56936F82">
            <w:pPr>
              <w:spacing w:line="240" w:lineRule="auto"/>
              <w:ind w:firstLine="0" w:firstLineChars="0"/>
              <w:jc w:val="center"/>
              <w:rPr>
                <w:b/>
                <w:sz w:val="21"/>
                <w:szCs w:val="21"/>
              </w:rPr>
            </w:pPr>
            <w:r>
              <w:rPr>
                <w:b/>
                <w:sz w:val="21"/>
                <w:szCs w:val="21"/>
              </w:rPr>
              <w:t>参数</w:t>
            </w:r>
          </w:p>
        </w:tc>
        <w:tc>
          <w:tcPr>
            <w:tcW w:w="842" w:type="pct"/>
            <w:vAlign w:val="center"/>
          </w:tcPr>
          <w:p w14:paraId="7129A298">
            <w:pPr>
              <w:spacing w:line="240" w:lineRule="auto"/>
              <w:ind w:firstLine="0" w:firstLineChars="0"/>
              <w:jc w:val="center"/>
              <w:rPr>
                <w:b/>
                <w:sz w:val="21"/>
                <w:szCs w:val="21"/>
              </w:rPr>
            </w:pPr>
            <w:r>
              <w:rPr>
                <w:rFonts w:hint="eastAsia"/>
                <w:b/>
                <w:sz w:val="21"/>
                <w:szCs w:val="21"/>
              </w:rPr>
              <w:t>泄露量</w:t>
            </w:r>
          </w:p>
        </w:tc>
        <w:tc>
          <w:tcPr>
            <w:tcW w:w="1188" w:type="pct"/>
            <w:vAlign w:val="center"/>
          </w:tcPr>
          <w:p w14:paraId="3838DD47">
            <w:pPr>
              <w:spacing w:line="240" w:lineRule="auto"/>
              <w:ind w:firstLine="0" w:firstLineChars="0"/>
              <w:jc w:val="center"/>
              <w:rPr>
                <w:b/>
                <w:sz w:val="21"/>
                <w:szCs w:val="21"/>
              </w:rPr>
            </w:pPr>
            <w:r>
              <w:rPr>
                <w:rFonts w:hint="eastAsia"/>
                <w:b/>
                <w:sz w:val="21"/>
                <w:szCs w:val="21"/>
              </w:rPr>
              <w:t>泄露时间</w:t>
            </w:r>
          </w:p>
        </w:tc>
        <w:tc>
          <w:tcPr>
            <w:tcW w:w="1095" w:type="pct"/>
            <w:vAlign w:val="center"/>
          </w:tcPr>
          <w:p w14:paraId="788DCCFF">
            <w:pPr>
              <w:spacing w:line="240" w:lineRule="auto"/>
              <w:ind w:firstLine="0" w:firstLineChars="0"/>
              <w:jc w:val="center"/>
              <w:rPr>
                <w:b/>
                <w:iCs/>
                <w:sz w:val="21"/>
                <w:szCs w:val="21"/>
              </w:rPr>
            </w:pPr>
            <w:r>
              <w:rPr>
                <w:b/>
                <w:iCs/>
                <w:sz w:val="21"/>
                <w:szCs w:val="21"/>
              </w:rPr>
              <w:t>Q</w:t>
            </w:r>
            <w:r>
              <w:rPr>
                <w:b/>
                <w:iCs/>
                <w:sz w:val="21"/>
                <w:szCs w:val="21"/>
                <w:vertAlign w:val="subscript"/>
              </w:rPr>
              <w:t>L</w:t>
            </w:r>
          </w:p>
        </w:tc>
      </w:tr>
      <w:tr w14:paraId="08046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90" w:type="pct"/>
            <w:vMerge w:val="continue"/>
            <w:vAlign w:val="center"/>
          </w:tcPr>
          <w:p w14:paraId="5C002DF2">
            <w:pPr>
              <w:widowControl/>
              <w:spacing w:line="240" w:lineRule="auto"/>
              <w:ind w:firstLine="0" w:firstLineChars="0"/>
              <w:jc w:val="center"/>
              <w:rPr>
                <w:b/>
                <w:sz w:val="21"/>
                <w:szCs w:val="21"/>
              </w:rPr>
            </w:pPr>
          </w:p>
        </w:tc>
        <w:tc>
          <w:tcPr>
            <w:tcW w:w="1085" w:type="pct"/>
            <w:vAlign w:val="center"/>
          </w:tcPr>
          <w:p w14:paraId="0DEF7316">
            <w:pPr>
              <w:spacing w:line="240" w:lineRule="auto"/>
              <w:ind w:firstLine="0" w:firstLineChars="0"/>
              <w:jc w:val="center"/>
              <w:rPr>
                <w:b/>
                <w:sz w:val="21"/>
                <w:szCs w:val="21"/>
              </w:rPr>
            </w:pPr>
            <w:r>
              <w:rPr>
                <w:b/>
                <w:sz w:val="21"/>
                <w:szCs w:val="21"/>
              </w:rPr>
              <w:t>单位</w:t>
            </w:r>
          </w:p>
        </w:tc>
        <w:tc>
          <w:tcPr>
            <w:tcW w:w="842" w:type="pct"/>
            <w:vAlign w:val="center"/>
          </w:tcPr>
          <w:p w14:paraId="361EC21F">
            <w:pPr>
              <w:spacing w:line="240" w:lineRule="auto"/>
              <w:ind w:firstLine="0" w:firstLineChars="0"/>
              <w:jc w:val="center"/>
              <w:rPr>
                <w:b/>
                <w:sz w:val="21"/>
                <w:szCs w:val="21"/>
              </w:rPr>
            </w:pPr>
            <w:r>
              <w:rPr>
                <w:rFonts w:hint="eastAsia"/>
                <w:b/>
                <w:sz w:val="21"/>
                <w:szCs w:val="21"/>
              </w:rPr>
              <w:t>t</w:t>
            </w:r>
          </w:p>
        </w:tc>
        <w:tc>
          <w:tcPr>
            <w:tcW w:w="1188" w:type="pct"/>
            <w:vAlign w:val="center"/>
          </w:tcPr>
          <w:p w14:paraId="7C18FB6E">
            <w:pPr>
              <w:spacing w:line="240" w:lineRule="auto"/>
              <w:ind w:firstLine="0" w:firstLineChars="0"/>
              <w:jc w:val="center"/>
              <w:rPr>
                <w:b/>
                <w:sz w:val="21"/>
                <w:szCs w:val="21"/>
              </w:rPr>
            </w:pPr>
            <w:r>
              <w:rPr>
                <w:rFonts w:hint="eastAsia"/>
                <w:b/>
                <w:sz w:val="21"/>
                <w:szCs w:val="21"/>
              </w:rPr>
              <w:t>min</w:t>
            </w:r>
          </w:p>
        </w:tc>
        <w:tc>
          <w:tcPr>
            <w:tcW w:w="1095" w:type="pct"/>
            <w:vAlign w:val="center"/>
          </w:tcPr>
          <w:p w14:paraId="6572B02E">
            <w:pPr>
              <w:spacing w:line="240" w:lineRule="auto"/>
              <w:ind w:firstLine="0" w:firstLineChars="0"/>
              <w:jc w:val="center"/>
              <w:rPr>
                <w:b/>
                <w:sz w:val="21"/>
                <w:szCs w:val="21"/>
              </w:rPr>
            </w:pPr>
            <w:r>
              <w:rPr>
                <w:b/>
                <w:sz w:val="21"/>
                <w:szCs w:val="21"/>
              </w:rPr>
              <w:t>kg/s</w:t>
            </w:r>
          </w:p>
        </w:tc>
      </w:tr>
      <w:tr w14:paraId="6A778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75" w:type="pct"/>
            <w:gridSpan w:val="2"/>
            <w:vAlign w:val="center"/>
          </w:tcPr>
          <w:p w14:paraId="2C4734F0">
            <w:pPr>
              <w:spacing w:line="240" w:lineRule="auto"/>
              <w:ind w:firstLine="0" w:firstLineChars="0"/>
              <w:jc w:val="center"/>
              <w:rPr>
                <w:sz w:val="21"/>
                <w:szCs w:val="21"/>
              </w:rPr>
            </w:pPr>
            <w:r>
              <w:rPr>
                <w:rFonts w:hint="eastAsia"/>
                <w:sz w:val="21"/>
                <w:szCs w:val="21"/>
              </w:rPr>
              <w:t>D4（八甲基环四硅氧烷）</w:t>
            </w:r>
          </w:p>
        </w:tc>
        <w:tc>
          <w:tcPr>
            <w:tcW w:w="842" w:type="pct"/>
            <w:vAlign w:val="center"/>
          </w:tcPr>
          <w:p w14:paraId="42C6AFDB">
            <w:pPr>
              <w:spacing w:line="240" w:lineRule="auto"/>
              <w:ind w:firstLine="0" w:firstLineChars="0"/>
              <w:jc w:val="center"/>
              <w:rPr>
                <w:sz w:val="21"/>
                <w:szCs w:val="21"/>
              </w:rPr>
            </w:pPr>
            <w:r>
              <w:rPr>
                <w:rFonts w:hint="eastAsia"/>
                <w:sz w:val="21"/>
                <w:szCs w:val="21"/>
              </w:rPr>
              <w:t>0.2</w:t>
            </w:r>
          </w:p>
        </w:tc>
        <w:tc>
          <w:tcPr>
            <w:tcW w:w="1188" w:type="pct"/>
            <w:vAlign w:val="center"/>
          </w:tcPr>
          <w:p w14:paraId="71BD4FE9">
            <w:pPr>
              <w:spacing w:line="240" w:lineRule="auto"/>
              <w:ind w:firstLine="0" w:firstLineChars="0"/>
              <w:jc w:val="center"/>
              <w:rPr>
                <w:sz w:val="21"/>
                <w:szCs w:val="21"/>
              </w:rPr>
            </w:pPr>
            <w:r>
              <w:rPr>
                <w:rFonts w:hint="eastAsia"/>
                <w:sz w:val="21"/>
                <w:szCs w:val="21"/>
              </w:rPr>
              <w:t>10</w:t>
            </w:r>
          </w:p>
        </w:tc>
        <w:tc>
          <w:tcPr>
            <w:tcW w:w="1095" w:type="pct"/>
            <w:vAlign w:val="center"/>
          </w:tcPr>
          <w:p w14:paraId="06AF9EC0">
            <w:pPr>
              <w:spacing w:line="240" w:lineRule="auto"/>
              <w:ind w:firstLine="0" w:firstLineChars="0"/>
              <w:jc w:val="center"/>
              <w:rPr>
                <w:sz w:val="21"/>
                <w:szCs w:val="21"/>
              </w:rPr>
            </w:pPr>
            <w:r>
              <w:rPr>
                <w:rFonts w:hint="eastAsia"/>
                <w:sz w:val="21"/>
                <w:szCs w:val="21"/>
              </w:rPr>
              <w:t>0.33</w:t>
            </w:r>
          </w:p>
        </w:tc>
      </w:tr>
      <w:tr w14:paraId="7A579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75" w:type="pct"/>
            <w:gridSpan w:val="2"/>
            <w:vAlign w:val="center"/>
          </w:tcPr>
          <w:p w14:paraId="06A2052B">
            <w:pPr>
              <w:spacing w:line="240" w:lineRule="auto"/>
              <w:ind w:firstLine="0" w:firstLineChars="0"/>
              <w:jc w:val="center"/>
              <w:rPr>
                <w:sz w:val="21"/>
                <w:szCs w:val="21"/>
              </w:rPr>
            </w:pPr>
            <w:r>
              <w:rPr>
                <w:rFonts w:hint="eastAsia"/>
                <w:sz w:val="21"/>
                <w:szCs w:val="21"/>
              </w:rPr>
              <w:t>硫酸</w:t>
            </w:r>
          </w:p>
        </w:tc>
        <w:tc>
          <w:tcPr>
            <w:tcW w:w="842" w:type="pct"/>
            <w:vAlign w:val="center"/>
          </w:tcPr>
          <w:p w14:paraId="10ACE47E">
            <w:pPr>
              <w:spacing w:line="240" w:lineRule="auto"/>
              <w:ind w:firstLine="0" w:firstLineChars="0"/>
              <w:jc w:val="center"/>
              <w:rPr>
                <w:sz w:val="21"/>
                <w:szCs w:val="21"/>
              </w:rPr>
            </w:pPr>
            <w:r>
              <w:rPr>
                <w:rFonts w:hint="eastAsia"/>
                <w:sz w:val="21"/>
                <w:szCs w:val="21"/>
              </w:rPr>
              <w:t>1</w:t>
            </w:r>
          </w:p>
        </w:tc>
        <w:tc>
          <w:tcPr>
            <w:tcW w:w="1188" w:type="pct"/>
            <w:vAlign w:val="center"/>
          </w:tcPr>
          <w:p w14:paraId="7E560732">
            <w:pPr>
              <w:spacing w:line="240" w:lineRule="auto"/>
              <w:ind w:firstLine="0" w:firstLineChars="0"/>
              <w:jc w:val="center"/>
              <w:rPr>
                <w:sz w:val="21"/>
                <w:szCs w:val="21"/>
              </w:rPr>
            </w:pPr>
            <w:r>
              <w:rPr>
                <w:rFonts w:hint="eastAsia"/>
                <w:sz w:val="21"/>
                <w:szCs w:val="21"/>
              </w:rPr>
              <w:t>10</w:t>
            </w:r>
          </w:p>
        </w:tc>
        <w:tc>
          <w:tcPr>
            <w:tcW w:w="1095" w:type="pct"/>
            <w:vAlign w:val="center"/>
          </w:tcPr>
          <w:p w14:paraId="455EF270">
            <w:pPr>
              <w:spacing w:line="240" w:lineRule="auto"/>
              <w:ind w:firstLine="0" w:firstLineChars="0"/>
              <w:jc w:val="center"/>
              <w:rPr>
                <w:sz w:val="21"/>
                <w:szCs w:val="21"/>
              </w:rPr>
            </w:pPr>
            <w:r>
              <w:rPr>
                <w:rFonts w:hint="eastAsia"/>
                <w:sz w:val="21"/>
                <w:szCs w:val="21"/>
              </w:rPr>
              <w:t>1.67</w:t>
            </w:r>
          </w:p>
        </w:tc>
      </w:tr>
    </w:tbl>
    <w:p w14:paraId="577FA64F">
      <w:pPr>
        <w:pStyle w:val="2"/>
        <w:spacing w:after="0"/>
        <w:ind w:firstLine="482"/>
        <w:outlineLvl w:val="3"/>
        <w:rPr>
          <w:b/>
          <w:bCs/>
        </w:rPr>
      </w:pPr>
      <w:r>
        <w:rPr>
          <w:rFonts w:hint="eastAsia"/>
          <w:b/>
          <w:bCs/>
        </w:rPr>
        <w:t>2、蒸发量计算</w:t>
      </w:r>
    </w:p>
    <w:p w14:paraId="5A74D57A">
      <w:pPr>
        <w:ind w:firstLine="480"/>
      </w:pPr>
      <w:r>
        <w:rPr>
          <w:rFonts w:hint="eastAsia"/>
        </w:rPr>
        <w:t>根据《建设项目环境风险评价技术导则》（HJ169-2018）附录F，泄漏液体的蒸发分为闪蒸蒸发、热量蒸发和质量蒸发三种，其蒸发总量为这三种蒸发之和。</w:t>
      </w:r>
    </w:p>
    <w:p w14:paraId="4F2EA03B">
      <w:pPr>
        <w:ind w:firstLine="480"/>
      </w:pPr>
      <w:r>
        <w:rPr>
          <w:rFonts w:hint="eastAsia"/>
        </w:rPr>
        <w:t>本项目</w:t>
      </w:r>
      <w:r>
        <w:t>D4</w:t>
      </w:r>
      <w:r>
        <w:rPr>
          <w:rFonts w:hint="eastAsia"/>
        </w:rPr>
        <w:t>（八甲基环四硅氧烷）、硫酸在常温条件下贮存，发生泄漏时，物料温度与环境温度基本相同，且其沸点均高于环境温度，因此通常不会发生闪蒸和热量蒸发。泄漏后的物料在其周围形成液池，液面不断扩大，同时不断挥发成气体并扩散，造成大气污染。由液池表面气流运动使液体蒸发，称之为质量蒸发。</w:t>
      </w:r>
    </w:p>
    <w:p w14:paraId="205AEAD8">
      <w:pPr>
        <w:ind w:firstLine="480"/>
      </w:pPr>
      <w:r>
        <w:rPr>
          <w:rFonts w:hint="eastAsia"/>
        </w:rPr>
        <w:t>质量蒸发效率按下式计算：</w:t>
      </w:r>
    </w:p>
    <w:p w14:paraId="700984C9">
      <w:pPr>
        <w:spacing w:before="312" w:beforeLines="100" w:after="156" w:afterLines="50"/>
        <w:ind w:firstLine="480"/>
        <w:jc w:val="center"/>
        <w:rPr>
          <w:rFonts w:hint="eastAsia" w:ascii="黑体" w:hAnsi="黑体" w:eastAsia="黑体"/>
          <w:iCs/>
          <w:szCs w:val="28"/>
        </w:rPr>
      </w:pPr>
      <m:oMathPara>
        <m:oMath>
          <m:sSub>
            <m:sSubPr>
              <m:ctrlPr>
                <w:rPr>
                  <w:rFonts w:ascii="Cambria Math" w:hAnsi="Cambria Math" w:eastAsia="黑体"/>
                  <w:iCs/>
                </w:rPr>
              </m:ctrlPr>
            </m:sSubPr>
            <m:e>
              <m:r>
                <m:rPr>
                  <m:sty m:val="p"/>
                </m:rPr>
                <w:rPr>
                  <w:rFonts w:ascii="Cambria Math" w:hAnsi="Cambria Math" w:eastAsia="黑体"/>
                  <w:szCs w:val="28"/>
                </w:rPr>
                <m:t>Q</m:t>
              </m:r>
              <m:ctrlPr>
                <w:rPr>
                  <w:rFonts w:ascii="Cambria Math" w:hAnsi="Cambria Math" w:eastAsia="黑体"/>
                  <w:iCs/>
                </w:rPr>
              </m:ctrlPr>
            </m:e>
            <m:sub>
              <m:r>
                <m:rPr>
                  <m:sty m:val="p"/>
                </m:rPr>
                <w:rPr>
                  <w:rFonts w:ascii="Cambria Math" w:hAnsi="Cambria Math" w:eastAsia="黑体"/>
                  <w:szCs w:val="28"/>
                </w:rPr>
                <m:t>3</m:t>
              </m:r>
              <m:ctrlPr>
                <w:rPr>
                  <w:rFonts w:ascii="Cambria Math" w:hAnsi="Cambria Math" w:eastAsia="黑体"/>
                  <w:iCs/>
                </w:rPr>
              </m:ctrlPr>
            </m:sub>
          </m:sSub>
          <m:r>
            <m:rPr>
              <m:sty m:val="p"/>
            </m:rPr>
            <w:rPr>
              <w:rFonts w:ascii="Cambria Math" w:hAnsi="Cambria Math" w:eastAsia="黑体"/>
              <w:szCs w:val="28"/>
            </w:rPr>
            <m:t>=αp</m:t>
          </m:r>
          <m:f>
            <m:fPr>
              <m:ctrlPr>
                <w:rPr>
                  <w:rFonts w:ascii="Cambria Math" w:hAnsi="Cambria Math" w:eastAsia="黑体"/>
                  <w:iCs/>
                </w:rPr>
              </m:ctrlPr>
            </m:fPr>
            <m:num>
              <m:r>
                <m:rPr>
                  <m:sty m:val="p"/>
                </m:rPr>
                <w:rPr>
                  <w:rFonts w:ascii="Cambria Math" w:hAnsi="Cambria Math" w:eastAsia="黑体"/>
                  <w:szCs w:val="28"/>
                </w:rPr>
                <m:t>M</m:t>
              </m:r>
              <m:ctrlPr>
                <w:rPr>
                  <w:rFonts w:ascii="Cambria Math" w:hAnsi="Cambria Math" w:eastAsia="黑体"/>
                  <w:iCs/>
                </w:rPr>
              </m:ctrlPr>
            </m:num>
            <m:den>
              <m:r>
                <m:rPr>
                  <m:sty m:val="p"/>
                </m:rPr>
                <w:rPr>
                  <w:rFonts w:ascii="Cambria Math" w:hAnsi="Cambria Math" w:eastAsia="黑体"/>
                  <w:szCs w:val="28"/>
                </w:rPr>
                <m:t>R</m:t>
              </m:r>
              <m:sSub>
                <m:sSubPr>
                  <m:ctrlPr>
                    <w:rPr>
                      <w:rFonts w:ascii="Cambria Math" w:hAnsi="Cambria Math" w:eastAsia="黑体"/>
                      <w:iCs/>
                    </w:rPr>
                  </m:ctrlPr>
                </m:sSubPr>
                <m:e>
                  <m:r>
                    <m:rPr>
                      <m:sty m:val="p"/>
                    </m:rPr>
                    <w:rPr>
                      <w:rFonts w:ascii="Cambria Math" w:hAnsi="Cambria Math" w:eastAsia="黑体"/>
                      <w:szCs w:val="28"/>
                    </w:rPr>
                    <m:t>T</m:t>
                  </m:r>
                  <m:ctrlPr>
                    <w:rPr>
                      <w:rFonts w:ascii="Cambria Math" w:hAnsi="Cambria Math" w:eastAsia="黑体"/>
                      <w:iCs/>
                    </w:rPr>
                  </m:ctrlPr>
                </m:e>
                <m:sub>
                  <m:r>
                    <m:rPr>
                      <m:sty m:val="p"/>
                    </m:rPr>
                    <w:rPr>
                      <w:rFonts w:ascii="Cambria Math" w:hAnsi="Cambria Math" w:eastAsia="黑体"/>
                      <w:szCs w:val="28"/>
                    </w:rPr>
                    <m:t>0</m:t>
                  </m:r>
                  <m:ctrlPr>
                    <w:rPr>
                      <w:rFonts w:ascii="Cambria Math" w:hAnsi="Cambria Math" w:eastAsia="黑体"/>
                      <w:iCs/>
                    </w:rPr>
                  </m:ctrlPr>
                </m:sub>
              </m:sSub>
              <m:ctrlPr>
                <w:rPr>
                  <w:rFonts w:ascii="Cambria Math" w:hAnsi="Cambria Math" w:eastAsia="黑体"/>
                  <w:iCs/>
                </w:rPr>
              </m:ctrlPr>
            </m:den>
          </m:f>
          <m:sSup>
            <m:sSupPr>
              <m:ctrlPr>
                <w:rPr>
                  <w:rFonts w:ascii="Cambria Math" w:hAnsi="Cambria Math" w:eastAsia="黑体"/>
                  <w:iCs/>
                </w:rPr>
              </m:ctrlPr>
            </m:sSupPr>
            <m:e>
              <m:r>
                <m:rPr>
                  <m:sty m:val="p"/>
                </m:rPr>
                <w:rPr>
                  <w:rFonts w:ascii="Cambria Math" w:hAnsi="Cambria Math" w:eastAsia="黑体"/>
                  <w:szCs w:val="28"/>
                </w:rPr>
                <m:t>u</m:t>
              </m:r>
              <m:ctrlPr>
                <w:rPr>
                  <w:rFonts w:ascii="Cambria Math" w:hAnsi="Cambria Math" w:eastAsia="黑体"/>
                  <w:iCs/>
                </w:rPr>
              </m:ctrlPr>
            </m:e>
            <m:sup>
              <m:f>
                <m:fPr>
                  <m:ctrlPr>
                    <w:rPr>
                      <w:rFonts w:ascii="Cambria Math" w:hAnsi="Cambria Math" w:eastAsia="黑体"/>
                      <w:iCs/>
                    </w:rPr>
                  </m:ctrlPr>
                </m:fPr>
                <m:num>
                  <m:r>
                    <m:rPr>
                      <m:sty m:val="p"/>
                    </m:rPr>
                    <w:rPr>
                      <w:rFonts w:ascii="Cambria Math" w:hAnsi="Cambria Math" w:eastAsia="黑体"/>
                      <w:szCs w:val="28"/>
                    </w:rPr>
                    <m:t>(2−n)</m:t>
                  </m:r>
                  <m:ctrlPr>
                    <w:rPr>
                      <w:rFonts w:ascii="Cambria Math" w:hAnsi="Cambria Math" w:eastAsia="黑体"/>
                      <w:iCs/>
                    </w:rPr>
                  </m:ctrlPr>
                </m:num>
                <m:den>
                  <m:r>
                    <m:rPr>
                      <m:sty m:val="p"/>
                    </m:rPr>
                    <w:rPr>
                      <w:rFonts w:ascii="Cambria Math" w:hAnsi="Cambria Math" w:eastAsia="黑体"/>
                      <w:szCs w:val="28"/>
                    </w:rPr>
                    <m:t>(2+n)</m:t>
                  </m:r>
                  <m:ctrlPr>
                    <w:rPr>
                      <w:rFonts w:ascii="Cambria Math" w:hAnsi="Cambria Math" w:eastAsia="黑体"/>
                      <w:iCs/>
                    </w:rPr>
                  </m:ctrlPr>
                </m:den>
              </m:f>
              <m:ctrlPr>
                <w:rPr>
                  <w:rFonts w:ascii="Cambria Math" w:hAnsi="Cambria Math" w:eastAsia="黑体"/>
                  <w:iCs/>
                </w:rPr>
              </m:ctrlPr>
            </m:sup>
          </m:sSup>
          <m:sSup>
            <m:sSupPr>
              <m:ctrlPr>
                <w:rPr>
                  <w:rFonts w:ascii="Cambria Math" w:hAnsi="Cambria Math" w:eastAsia="黑体"/>
                  <w:iCs/>
                </w:rPr>
              </m:ctrlPr>
            </m:sSupPr>
            <m:e>
              <m:r>
                <m:rPr>
                  <m:sty m:val="p"/>
                </m:rPr>
                <w:rPr>
                  <w:rFonts w:ascii="Cambria Math" w:hAnsi="Cambria Math" w:eastAsia="黑体"/>
                  <w:szCs w:val="28"/>
                </w:rPr>
                <m:t>r</m:t>
              </m:r>
              <m:ctrlPr>
                <w:rPr>
                  <w:rFonts w:ascii="Cambria Math" w:hAnsi="Cambria Math" w:eastAsia="黑体"/>
                  <w:iCs/>
                </w:rPr>
              </m:ctrlPr>
            </m:e>
            <m:sup>
              <m:f>
                <m:fPr>
                  <m:ctrlPr>
                    <w:rPr>
                      <w:rFonts w:ascii="Cambria Math" w:hAnsi="Cambria Math" w:eastAsia="黑体"/>
                      <w:iCs/>
                    </w:rPr>
                  </m:ctrlPr>
                </m:fPr>
                <m:num>
                  <m:r>
                    <m:rPr>
                      <m:sty m:val="p"/>
                    </m:rPr>
                    <w:rPr>
                      <w:rFonts w:ascii="Cambria Math" w:hAnsi="Cambria Math" w:eastAsia="黑体"/>
                      <w:szCs w:val="28"/>
                    </w:rPr>
                    <m:t>(4+n)</m:t>
                  </m:r>
                  <m:ctrlPr>
                    <w:rPr>
                      <w:rFonts w:ascii="Cambria Math" w:hAnsi="Cambria Math" w:eastAsia="黑体"/>
                      <w:iCs/>
                    </w:rPr>
                  </m:ctrlPr>
                </m:num>
                <m:den>
                  <m:r>
                    <m:rPr>
                      <m:sty m:val="p"/>
                    </m:rPr>
                    <w:rPr>
                      <w:rFonts w:ascii="Cambria Math" w:hAnsi="Cambria Math" w:eastAsia="黑体"/>
                      <w:szCs w:val="28"/>
                    </w:rPr>
                    <m:t>(2+n)</m:t>
                  </m:r>
                  <m:ctrlPr>
                    <w:rPr>
                      <w:rFonts w:ascii="Cambria Math" w:hAnsi="Cambria Math" w:eastAsia="黑体"/>
                      <w:iCs/>
                    </w:rPr>
                  </m:ctrlPr>
                </m:den>
              </m:f>
              <m:ctrlPr>
                <w:rPr>
                  <w:rFonts w:ascii="Cambria Math" w:hAnsi="Cambria Math" w:eastAsia="黑体"/>
                  <w:iCs/>
                </w:rPr>
              </m:ctrlPr>
            </m:sup>
          </m:sSup>
        </m:oMath>
      </m:oMathPara>
    </w:p>
    <w:p w14:paraId="3CB829BC">
      <w:pPr>
        <w:pStyle w:val="2"/>
        <w:spacing w:after="0"/>
        <w:ind w:firstLine="480"/>
      </w:pPr>
      <w:r>
        <w:rPr>
          <w:rFonts w:hint="eastAsia"/>
        </w:rPr>
        <w:t>式中：Q</w:t>
      </w:r>
      <w:r>
        <w:rPr>
          <w:rFonts w:hint="eastAsia"/>
          <w:vertAlign w:val="subscript"/>
        </w:rPr>
        <w:t>3</w:t>
      </w:r>
      <w:r>
        <w:rPr>
          <w:rFonts w:hint="eastAsia"/>
        </w:rPr>
        <w:t>—质量蒸发速率，kg/s；</w:t>
      </w:r>
    </w:p>
    <w:p w14:paraId="0025D928">
      <w:pPr>
        <w:pStyle w:val="2"/>
        <w:spacing w:after="0"/>
        <w:ind w:firstLine="480"/>
      </w:pPr>
      <w:r>
        <w:rPr>
          <w:rFonts w:hint="eastAsia"/>
        </w:rPr>
        <w:t xml:space="preserve">      p—液体表面蒸气压，Pa；</w:t>
      </w:r>
    </w:p>
    <w:p w14:paraId="47088E6D">
      <w:pPr>
        <w:pStyle w:val="2"/>
        <w:spacing w:after="0"/>
        <w:ind w:firstLine="480"/>
      </w:pPr>
      <w:r>
        <w:rPr>
          <w:rFonts w:hint="eastAsia"/>
        </w:rPr>
        <w:t xml:space="preserve">      R—气体常数，8.314J/(mol·K)；</w:t>
      </w:r>
    </w:p>
    <w:p w14:paraId="2E4CBC99">
      <w:pPr>
        <w:pStyle w:val="2"/>
        <w:spacing w:after="0"/>
        <w:ind w:firstLine="480"/>
      </w:pPr>
      <w:r>
        <w:rPr>
          <w:rFonts w:hint="eastAsia"/>
        </w:rPr>
        <w:t xml:space="preserve">      T</w:t>
      </w:r>
      <w:r>
        <w:rPr>
          <w:rFonts w:hint="eastAsia"/>
          <w:vertAlign w:val="subscript"/>
        </w:rPr>
        <w:t>0</w:t>
      </w:r>
      <w:r>
        <w:rPr>
          <w:rFonts w:hint="eastAsia"/>
        </w:rPr>
        <w:t>—环境温度，K；本项目为298K；</w:t>
      </w:r>
    </w:p>
    <w:p w14:paraId="50EC0901">
      <w:pPr>
        <w:pStyle w:val="2"/>
        <w:spacing w:after="0"/>
        <w:ind w:firstLine="1200" w:firstLineChars="500"/>
      </w:pPr>
      <w:r>
        <w:rPr>
          <w:rFonts w:hint="eastAsia"/>
        </w:rPr>
        <w:t>M—物质的摩尔质量，kg/mol；</w:t>
      </w:r>
    </w:p>
    <w:p w14:paraId="0A2259E3">
      <w:pPr>
        <w:pStyle w:val="2"/>
        <w:spacing w:after="0"/>
        <w:ind w:firstLine="1200" w:firstLineChars="500"/>
      </w:pPr>
      <w:r>
        <w:rPr>
          <w:rFonts w:hint="eastAsia"/>
        </w:rPr>
        <w:t>u—风速，m/s；取1.5m/s；</w:t>
      </w:r>
    </w:p>
    <w:p w14:paraId="62DF09DE">
      <w:pPr>
        <w:pStyle w:val="2"/>
        <w:spacing w:after="0"/>
        <w:ind w:firstLine="1200" w:firstLineChars="500"/>
      </w:pPr>
      <w:r>
        <w:rPr>
          <w:rFonts w:hint="eastAsia"/>
        </w:rPr>
        <w:t>r—液池半径，m；</w:t>
      </w:r>
    </w:p>
    <w:p w14:paraId="218A7087">
      <w:pPr>
        <w:pStyle w:val="2"/>
        <w:spacing w:after="0"/>
        <w:ind w:firstLine="1200" w:firstLineChars="500"/>
      </w:pPr>
      <w:r>
        <w:rPr>
          <w:rFonts w:hint="eastAsia"/>
        </w:rPr>
        <w:t>α，n—大气稳定度系数，α取5.285×10-3，n取0.3。</w:t>
      </w:r>
    </w:p>
    <w:p w14:paraId="5AF02314">
      <w:pPr>
        <w:pStyle w:val="2"/>
        <w:spacing w:after="0"/>
        <w:ind w:firstLine="480"/>
      </w:pPr>
      <w:r>
        <w:rPr>
          <w:rFonts w:hint="eastAsia"/>
        </w:rPr>
        <w:t>泄漏事故源强见下表。</w:t>
      </w:r>
    </w:p>
    <w:p w14:paraId="1A2B6DCC">
      <w:pPr>
        <w:pStyle w:val="99"/>
        <w:numPr>
          <w:ilvl w:val="4"/>
          <w:numId w:val="45"/>
        </w:numPr>
        <w:ind w:left="0" w:firstLine="480"/>
        <w:jc w:val="left"/>
      </w:pPr>
      <w:r>
        <w:rPr>
          <w:rFonts w:hint="eastAsia" w:eastAsia="黑体"/>
          <w:bCs/>
        </w:rPr>
        <w:t xml:space="preserve">        物料泄漏及质量蒸发源强一览表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472"/>
        <w:gridCol w:w="864"/>
        <w:gridCol w:w="823"/>
        <w:gridCol w:w="701"/>
        <w:gridCol w:w="701"/>
        <w:gridCol w:w="1120"/>
        <w:gridCol w:w="702"/>
        <w:gridCol w:w="1158"/>
        <w:gridCol w:w="854"/>
        <w:gridCol w:w="929"/>
      </w:tblGrid>
      <w:tr w14:paraId="337B3A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84" w:type="pct"/>
            <w:tcBorders>
              <w:top w:val="single" w:color="auto" w:sz="8" w:space="0"/>
              <w:left w:val="single" w:color="auto" w:sz="8" w:space="0"/>
              <w:bottom w:val="single" w:color="auto" w:sz="6" w:space="0"/>
              <w:right w:val="single" w:color="auto" w:sz="6" w:space="0"/>
            </w:tcBorders>
            <w:vAlign w:val="center"/>
          </w:tcPr>
          <w:p w14:paraId="33860770">
            <w:pPr>
              <w:spacing w:line="240" w:lineRule="auto"/>
              <w:ind w:firstLine="0" w:firstLineChars="0"/>
              <w:jc w:val="center"/>
              <w:rPr>
                <w:b/>
                <w:sz w:val="21"/>
                <w:szCs w:val="21"/>
              </w:rPr>
            </w:pPr>
            <w:r>
              <w:rPr>
                <w:b/>
                <w:sz w:val="21"/>
                <w:szCs w:val="21"/>
              </w:rPr>
              <w:t>事故类型</w:t>
            </w:r>
          </w:p>
        </w:tc>
        <w:tc>
          <w:tcPr>
            <w:tcW w:w="519" w:type="pct"/>
            <w:tcBorders>
              <w:top w:val="single" w:color="auto" w:sz="8" w:space="0"/>
              <w:left w:val="single" w:color="auto" w:sz="6" w:space="0"/>
              <w:bottom w:val="single" w:color="auto" w:sz="6" w:space="0"/>
              <w:right w:val="single" w:color="auto" w:sz="6" w:space="0"/>
            </w:tcBorders>
            <w:vAlign w:val="center"/>
          </w:tcPr>
          <w:p w14:paraId="37D8164D">
            <w:pPr>
              <w:spacing w:line="240" w:lineRule="auto"/>
              <w:ind w:firstLine="0" w:firstLineChars="0"/>
              <w:jc w:val="center"/>
              <w:rPr>
                <w:b/>
                <w:sz w:val="21"/>
                <w:szCs w:val="21"/>
              </w:rPr>
            </w:pPr>
            <w:r>
              <w:rPr>
                <w:b/>
                <w:sz w:val="21"/>
                <w:szCs w:val="21"/>
              </w:rPr>
              <w:t>原料</w:t>
            </w:r>
          </w:p>
          <w:p w14:paraId="77DC4DCE">
            <w:pPr>
              <w:spacing w:line="240" w:lineRule="auto"/>
              <w:ind w:firstLine="0" w:firstLineChars="0"/>
              <w:jc w:val="center"/>
              <w:rPr>
                <w:b/>
                <w:sz w:val="21"/>
                <w:szCs w:val="21"/>
              </w:rPr>
            </w:pPr>
            <w:r>
              <w:rPr>
                <w:b/>
                <w:sz w:val="21"/>
                <w:szCs w:val="21"/>
              </w:rPr>
              <w:t>名称</w:t>
            </w:r>
          </w:p>
        </w:tc>
        <w:tc>
          <w:tcPr>
            <w:tcW w:w="494" w:type="pct"/>
            <w:tcBorders>
              <w:top w:val="single" w:color="auto" w:sz="8" w:space="0"/>
              <w:left w:val="single" w:color="auto" w:sz="6" w:space="0"/>
              <w:bottom w:val="single" w:color="auto" w:sz="6" w:space="0"/>
              <w:right w:val="single" w:color="auto" w:sz="6" w:space="0"/>
            </w:tcBorders>
            <w:vAlign w:val="center"/>
          </w:tcPr>
          <w:p w14:paraId="59A1BCC3">
            <w:pPr>
              <w:spacing w:line="240" w:lineRule="auto"/>
              <w:ind w:firstLine="0" w:firstLineChars="0"/>
              <w:jc w:val="center"/>
              <w:rPr>
                <w:b/>
                <w:sz w:val="21"/>
                <w:szCs w:val="21"/>
              </w:rPr>
            </w:pPr>
            <w:r>
              <w:rPr>
                <w:b/>
                <w:sz w:val="21"/>
                <w:szCs w:val="21"/>
              </w:rPr>
              <w:t>泄漏速率(kg/s)</w:t>
            </w:r>
          </w:p>
        </w:tc>
        <w:tc>
          <w:tcPr>
            <w:tcW w:w="421" w:type="pct"/>
            <w:tcBorders>
              <w:top w:val="single" w:color="auto" w:sz="8" w:space="0"/>
              <w:left w:val="single" w:color="auto" w:sz="6" w:space="0"/>
              <w:bottom w:val="single" w:color="auto" w:sz="6" w:space="0"/>
              <w:right w:val="single" w:color="auto" w:sz="6" w:space="0"/>
            </w:tcBorders>
            <w:vAlign w:val="center"/>
          </w:tcPr>
          <w:p w14:paraId="2CD37875">
            <w:pPr>
              <w:spacing w:line="240" w:lineRule="auto"/>
              <w:ind w:firstLine="0" w:firstLineChars="0"/>
              <w:jc w:val="center"/>
              <w:rPr>
                <w:b/>
                <w:sz w:val="21"/>
                <w:szCs w:val="21"/>
              </w:rPr>
            </w:pPr>
            <w:r>
              <w:rPr>
                <w:b/>
                <w:sz w:val="21"/>
                <w:szCs w:val="21"/>
              </w:rPr>
              <w:t>泄漏量(t)</w:t>
            </w:r>
          </w:p>
        </w:tc>
        <w:tc>
          <w:tcPr>
            <w:tcW w:w="421" w:type="pct"/>
            <w:tcBorders>
              <w:top w:val="single" w:color="auto" w:sz="8" w:space="0"/>
              <w:left w:val="single" w:color="auto" w:sz="6" w:space="0"/>
              <w:bottom w:val="single" w:color="auto" w:sz="6" w:space="0"/>
              <w:right w:val="single" w:color="auto" w:sz="4" w:space="0"/>
            </w:tcBorders>
            <w:vAlign w:val="center"/>
          </w:tcPr>
          <w:p w14:paraId="47C0DE65">
            <w:pPr>
              <w:spacing w:line="240" w:lineRule="auto"/>
              <w:ind w:firstLine="0" w:firstLineChars="0"/>
              <w:jc w:val="center"/>
              <w:rPr>
                <w:b/>
                <w:sz w:val="21"/>
                <w:szCs w:val="21"/>
              </w:rPr>
            </w:pPr>
            <w:r>
              <w:rPr>
                <w:b/>
                <w:sz w:val="21"/>
                <w:szCs w:val="21"/>
              </w:rPr>
              <w:t>液池半径(m)</w:t>
            </w:r>
          </w:p>
        </w:tc>
        <w:tc>
          <w:tcPr>
            <w:tcW w:w="673" w:type="pct"/>
            <w:tcBorders>
              <w:top w:val="single" w:color="auto" w:sz="8" w:space="0"/>
              <w:left w:val="single" w:color="auto" w:sz="4" w:space="0"/>
              <w:bottom w:val="single" w:color="auto" w:sz="6" w:space="0"/>
              <w:right w:val="single" w:color="auto" w:sz="4" w:space="0"/>
            </w:tcBorders>
            <w:vAlign w:val="center"/>
          </w:tcPr>
          <w:p w14:paraId="4D20A3E1">
            <w:pPr>
              <w:spacing w:line="240" w:lineRule="auto"/>
              <w:ind w:firstLine="0" w:firstLineChars="0"/>
              <w:jc w:val="center"/>
              <w:rPr>
                <w:b/>
                <w:sz w:val="21"/>
                <w:szCs w:val="21"/>
              </w:rPr>
            </w:pPr>
            <w:r>
              <w:rPr>
                <w:b/>
                <w:sz w:val="21"/>
                <w:szCs w:val="21"/>
              </w:rPr>
              <w:t>摩尔质量</w:t>
            </w:r>
          </w:p>
          <w:p w14:paraId="783BCABF">
            <w:pPr>
              <w:spacing w:line="240" w:lineRule="auto"/>
              <w:ind w:firstLine="0" w:firstLineChars="0"/>
              <w:jc w:val="center"/>
              <w:rPr>
                <w:b/>
                <w:sz w:val="21"/>
                <w:szCs w:val="21"/>
              </w:rPr>
            </w:pPr>
            <w:r>
              <w:rPr>
                <w:b/>
                <w:sz w:val="21"/>
                <w:szCs w:val="21"/>
              </w:rPr>
              <w:t>（kg/mol）</w:t>
            </w:r>
          </w:p>
        </w:tc>
        <w:tc>
          <w:tcPr>
            <w:tcW w:w="422" w:type="pct"/>
            <w:tcBorders>
              <w:top w:val="single" w:color="auto" w:sz="8" w:space="0"/>
              <w:left w:val="single" w:color="auto" w:sz="4" w:space="0"/>
              <w:bottom w:val="single" w:color="auto" w:sz="6" w:space="0"/>
              <w:right w:val="single" w:color="auto" w:sz="4" w:space="0"/>
            </w:tcBorders>
            <w:vAlign w:val="center"/>
          </w:tcPr>
          <w:p w14:paraId="28DE03B0">
            <w:pPr>
              <w:spacing w:line="240" w:lineRule="auto"/>
              <w:ind w:firstLine="0" w:firstLineChars="0"/>
              <w:jc w:val="center"/>
              <w:rPr>
                <w:b/>
                <w:sz w:val="21"/>
                <w:szCs w:val="21"/>
              </w:rPr>
            </w:pPr>
            <w:r>
              <w:rPr>
                <w:b/>
                <w:sz w:val="21"/>
                <w:szCs w:val="21"/>
              </w:rPr>
              <w:t>表面</w:t>
            </w:r>
            <w:r>
              <w:rPr>
                <w:rFonts w:hint="eastAsia"/>
                <w:b/>
                <w:sz w:val="21"/>
                <w:szCs w:val="21"/>
              </w:rPr>
              <w:t>蒸气</w:t>
            </w:r>
            <w:r>
              <w:rPr>
                <w:b/>
                <w:sz w:val="21"/>
                <w:szCs w:val="21"/>
              </w:rPr>
              <w:t>压(Pa)</w:t>
            </w:r>
          </w:p>
        </w:tc>
        <w:tc>
          <w:tcPr>
            <w:tcW w:w="695" w:type="pct"/>
            <w:tcBorders>
              <w:top w:val="single" w:color="auto" w:sz="8" w:space="0"/>
              <w:left w:val="single" w:color="auto" w:sz="4" w:space="0"/>
              <w:bottom w:val="single" w:color="auto" w:sz="6" w:space="0"/>
              <w:right w:val="single" w:color="auto" w:sz="6" w:space="0"/>
            </w:tcBorders>
            <w:vAlign w:val="center"/>
          </w:tcPr>
          <w:p w14:paraId="68404BFB">
            <w:pPr>
              <w:spacing w:line="240" w:lineRule="auto"/>
              <w:ind w:firstLine="0" w:firstLineChars="0"/>
              <w:jc w:val="center"/>
              <w:rPr>
                <w:b/>
                <w:sz w:val="21"/>
                <w:szCs w:val="21"/>
              </w:rPr>
            </w:pPr>
            <w:r>
              <w:rPr>
                <w:b/>
                <w:sz w:val="21"/>
                <w:szCs w:val="21"/>
              </w:rPr>
              <w:t>蒸发速率(kg/s)</w:t>
            </w:r>
          </w:p>
        </w:tc>
        <w:tc>
          <w:tcPr>
            <w:tcW w:w="513" w:type="pct"/>
            <w:tcBorders>
              <w:top w:val="single" w:color="auto" w:sz="8" w:space="0"/>
              <w:left w:val="single" w:color="auto" w:sz="6" w:space="0"/>
              <w:bottom w:val="single" w:color="auto" w:sz="6" w:space="0"/>
              <w:right w:val="single" w:color="auto" w:sz="6" w:space="0"/>
            </w:tcBorders>
            <w:vAlign w:val="center"/>
          </w:tcPr>
          <w:p w14:paraId="05AFBC3F">
            <w:pPr>
              <w:spacing w:line="240" w:lineRule="auto"/>
              <w:ind w:firstLine="0" w:firstLineChars="0"/>
              <w:jc w:val="center"/>
              <w:rPr>
                <w:b/>
                <w:sz w:val="21"/>
                <w:szCs w:val="21"/>
              </w:rPr>
            </w:pPr>
            <w:r>
              <w:rPr>
                <w:b/>
                <w:sz w:val="21"/>
                <w:szCs w:val="21"/>
              </w:rPr>
              <w:t>蒸发量(</w:t>
            </w:r>
            <w:r>
              <w:rPr>
                <w:rFonts w:hint="eastAsia"/>
                <w:b/>
                <w:sz w:val="21"/>
                <w:szCs w:val="21"/>
              </w:rPr>
              <w:t>kg</w:t>
            </w:r>
            <w:r>
              <w:rPr>
                <w:b/>
                <w:sz w:val="21"/>
                <w:szCs w:val="21"/>
              </w:rPr>
              <w:t>)</w:t>
            </w:r>
          </w:p>
        </w:tc>
        <w:tc>
          <w:tcPr>
            <w:tcW w:w="558" w:type="pct"/>
            <w:tcBorders>
              <w:top w:val="single" w:color="auto" w:sz="8" w:space="0"/>
              <w:left w:val="single" w:color="auto" w:sz="6" w:space="0"/>
              <w:bottom w:val="single" w:color="auto" w:sz="6" w:space="0"/>
              <w:right w:val="single" w:color="auto" w:sz="8" w:space="0"/>
            </w:tcBorders>
            <w:vAlign w:val="center"/>
          </w:tcPr>
          <w:p w14:paraId="41D56B1E">
            <w:pPr>
              <w:spacing w:line="240" w:lineRule="auto"/>
              <w:ind w:firstLine="0" w:firstLineChars="0"/>
              <w:jc w:val="center"/>
              <w:rPr>
                <w:b/>
                <w:sz w:val="21"/>
                <w:szCs w:val="21"/>
              </w:rPr>
            </w:pPr>
            <w:r>
              <w:rPr>
                <w:b/>
                <w:sz w:val="21"/>
                <w:szCs w:val="21"/>
              </w:rPr>
              <w:t>蒸发时间(min)</w:t>
            </w:r>
          </w:p>
        </w:tc>
      </w:tr>
      <w:tr w14:paraId="28A3BE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84" w:type="pct"/>
            <w:vMerge w:val="restart"/>
            <w:tcBorders>
              <w:left w:val="single" w:color="auto" w:sz="8" w:space="0"/>
              <w:right w:val="single" w:color="auto" w:sz="6" w:space="0"/>
            </w:tcBorders>
            <w:vAlign w:val="center"/>
          </w:tcPr>
          <w:p w14:paraId="74B5D585">
            <w:pPr>
              <w:widowControl/>
              <w:spacing w:line="240" w:lineRule="auto"/>
              <w:ind w:firstLine="0" w:firstLineChars="0"/>
              <w:jc w:val="center"/>
              <w:rPr>
                <w:sz w:val="21"/>
                <w:szCs w:val="21"/>
              </w:rPr>
            </w:pPr>
            <w:r>
              <w:rPr>
                <w:rFonts w:hint="eastAsia"/>
                <w:sz w:val="21"/>
                <w:szCs w:val="21"/>
              </w:rPr>
              <w:t>桶破裂</w:t>
            </w:r>
          </w:p>
        </w:tc>
        <w:tc>
          <w:tcPr>
            <w:tcW w:w="519" w:type="pct"/>
            <w:tcBorders>
              <w:top w:val="single" w:color="auto" w:sz="6" w:space="0"/>
              <w:left w:val="single" w:color="auto" w:sz="6" w:space="0"/>
              <w:bottom w:val="single" w:color="auto" w:sz="6" w:space="0"/>
              <w:right w:val="single" w:color="auto" w:sz="6" w:space="0"/>
            </w:tcBorders>
            <w:vAlign w:val="center"/>
          </w:tcPr>
          <w:p w14:paraId="7ECD3E6E">
            <w:pPr>
              <w:spacing w:line="240" w:lineRule="auto"/>
              <w:ind w:firstLine="0" w:firstLineChars="0"/>
              <w:jc w:val="center"/>
              <w:rPr>
                <w:sz w:val="21"/>
                <w:szCs w:val="21"/>
              </w:rPr>
            </w:pPr>
            <w:r>
              <w:rPr>
                <w:rFonts w:hint="eastAsia"/>
                <w:sz w:val="21"/>
                <w:szCs w:val="21"/>
              </w:rPr>
              <w:t>D4（八甲基环四硅氧烷）</w:t>
            </w:r>
          </w:p>
        </w:tc>
        <w:tc>
          <w:tcPr>
            <w:tcW w:w="494" w:type="pct"/>
            <w:tcBorders>
              <w:top w:val="single" w:color="auto" w:sz="6" w:space="0"/>
              <w:left w:val="single" w:color="auto" w:sz="6" w:space="0"/>
              <w:bottom w:val="single" w:color="auto" w:sz="6" w:space="0"/>
              <w:right w:val="single" w:color="auto" w:sz="6" w:space="0"/>
            </w:tcBorders>
            <w:vAlign w:val="center"/>
          </w:tcPr>
          <w:p w14:paraId="22E1108D">
            <w:pPr>
              <w:spacing w:line="240" w:lineRule="auto"/>
              <w:ind w:firstLine="0" w:firstLineChars="0"/>
              <w:jc w:val="center"/>
              <w:rPr>
                <w:sz w:val="21"/>
                <w:szCs w:val="21"/>
              </w:rPr>
            </w:pPr>
            <w:r>
              <w:rPr>
                <w:rFonts w:hint="eastAsia"/>
                <w:sz w:val="21"/>
                <w:szCs w:val="21"/>
              </w:rPr>
              <w:t>0.33</w:t>
            </w:r>
          </w:p>
        </w:tc>
        <w:tc>
          <w:tcPr>
            <w:tcW w:w="421" w:type="pct"/>
            <w:tcBorders>
              <w:top w:val="single" w:color="auto" w:sz="4" w:space="0"/>
              <w:left w:val="single" w:color="auto" w:sz="6" w:space="0"/>
              <w:bottom w:val="single" w:color="auto" w:sz="4" w:space="0"/>
              <w:right w:val="single" w:color="auto" w:sz="6" w:space="0"/>
            </w:tcBorders>
            <w:vAlign w:val="center"/>
          </w:tcPr>
          <w:p w14:paraId="2F44BE2D">
            <w:pPr>
              <w:spacing w:line="240" w:lineRule="auto"/>
              <w:ind w:firstLine="0" w:firstLineChars="0"/>
              <w:jc w:val="center"/>
              <w:rPr>
                <w:sz w:val="21"/>
                <w:szCs w:val="21"/>
              </w:rPr>
            </w:pPr>
            <w:r>
              <w:rPr>
                <w:rFonts w:hint="eastAsia"/>
                <w:sz w:val="21"/>
                <w:szCs w:val="21"/>
              </w:rPr>
              <w:t>0.2</w:t>
            </w:r>
          </w:p>
        </w:tc>
        <w:tc>
          <w:tcPr>
            <w:tcW w:w="421" w:type="pct"/>
            <w:tcBorders>
              <w:top w:val="single" w:color="auto" w:sz="4" w:space="0"/>
              <w:left w:val="single" w:color="auto" w:sz="6" w:space="0"/>
              <w:bottom w:val="single" w:color="auto" w:sz="4" w:space="0"/>
              <w:right w:val="single" w:color="auto" w:sz="4" w:space="0"/>
            </w:tcBorders>
            <w:vAlign w:val="center"/>
          </w:tcPr>
          <w:p w14:paraId="7B408CBA">
            <w:pPr>
              <w:spacing w:line="240" w:lineRule="auto"/>
              <w:ind w:firstLine="0" w:firstLineChars="0"/>
              <w:jc w:val="center"/>
              <w:rPr>
                <w:caps/>
                <w:sz w:val="21"/>
                <w:szCs w:val="21"/>
              </w:rPr>
            </w:pPr>
            <w:r>
              <w:rPr>
                <w:rFonts w:hint="eastAsia"/>
                <w:caps/>
                <w:sz w:val="21"/>
                <w:szCs w:val="21"/>
              </w:rPr>
              <w:t>5</w:t>
            </w:r>
          </w:p>
        </w:tc>
        <w:tc>
          <w:tcPr>
            <w:tcW w:w="673" w:type="pct"/>
            <w:tcBorders>
              <w:top w:val="single" w:color="auto" w:sz="4" w:space="0"/>
              <w:left w:val="single" w:color="auto" w:sz="4" w:space="0"/>
              <w:bottom w:val="single" w:color="auto" w:sz="4" w:space="0"/>
              <w:right w:val="single" w:color="auto" w:sz="4" w:space="0"/>
            </w:tcBorders>
            <w:vAlign w:val="center"/>
          </w:tcPr>
          <w:p w14:paraId="7663A73D">
            <w:pPr>
              <w:spacing w:line="240" w:lineRule="auto"/>
              <w:ind w:firstLine="0" w:firstLineChars="0"/>
              <w:jc w:val="center"/>
              <w:rPr>
                <w:sz w:val="21"/>
                <w:szCs w:val="21"/>
              </w:rPr>
            </w:pPr>
            <w:r>
              <w:rPr>
                <w:rFonts w:hint="eastAsia"/>
                <w:sz w:val="21"/>
                <w:szCs w:val="21"/>
              </w:rPr>
              <w:t>0.297</w:t>
            </w:r>
          </w:p>
        </w:tc>
        <w:tc>
          <w:tcPr>
            <w:tcW w:w="422" w:type="pct"/>
            <w:tcBorders>
              <w:top w:val="single" w:color="auto" w:sz="6" w:space="0"/>
              <w:left w:val="single" w:color="auto" w:sz="4" w:space="0"/>
              <w:bottom w:val="single" w:color="auto" w:sz="6" w:space="0"/>
              <w:right w:val="single" w:color="auto" w:sz="4" w:space="0"/>
            </w:tcBorders>
            <w:vAlign w:val="center"/>
          </w:tcPr>
          <w:p w14:paraId="6813D01C">
            <w:pPr>
              <w:spacing w:line="240" w:lineRule="auto"/>
              <w:ind w:firstLine="0" w:firstLineChars="0"/>
              <w:jc w:val="center"/>
              <w:rPr>
                <w:sz w:val="21"/>
                <w:szCs w:val="21"/>
              </w:rPr>
            </w:pPr>
            <w:r>
              <w:rPr>
                <w:rFonts w:hint="eastAsia"/>
                <w:sz w:val="21"/>
                <w:szCs w:val="21"/>
              </w:rPr>
              <w:t>209</w:t>
            </w:r>
          </w:p>
        </w:tc>
        <w:tc>
          <w:tcPr>
            <w:tcW w:w="695" w:type="pct"/>
            <w:tcBorders>
              <w:top w:val="single" w:color="auto" w:sz="6" w:space="0"/>
              <w:left w:val="single" w:color="auto" w:sz="4" w:space="0"/>
              <w:bottom w:val="single" w:color="auto" w:sz="6" w:space="0"/>
              <w:right w:val="single" w:color="auto" w:sz="6" w:space="0"/>
            </w:tcBorders>
            <w:vAlign w:val="center"/>
          </w:tcPr>
          <w:p w14:paraId="5B23B33D">
            <w:pPr>
              <w:spacing w:line="240" w:lineRule="auto"/>
              <w:ind w:firstLine="0" w:firstLineChars="0"/>
              <w:jc w:val="center"/>
              <w:rPr>
                <w:sz w:val="21"/>
                <w:szCs w:val="21"/>
              </w:rPr>
            </w:pPr>
            <w:r>
              <w:rPr>
                <w:rFonts w:hint="eastAsia"/>
                <w:sz w:val="21"/>
                <w:szCs w:val="21"/>
              </w:rPr>
              <w:t>1.4799E-03</w:t>
            </w:r>
          </w:p>
        </w:tc>
        <w:tc>
          <w:tcPr>
            <w:tcW w:w="513" w:type="pct"/>
            <w:tcBorders>
              <w:top w:val="single" w:color="auto" w:sz="6" w:space="0"/>
              <w:left w:val="single" w:color="auto" w:sz="6" w:space="0"/>
              <w:bottom w:val="single" w:color="auto" w:sz="6" w:space="0"/>
              <w:right w:val="single" w:color="auto" w:sz="6" w:space="0"/>
            </w:tcBorders>
            <w:vAlign w:val="center"/>
          </w:tcPr>
          <w:p w14:paraId="03A008AD">
            <w:pPr>
              <w:spacing w:line="240" w:lineRule="auto"/>
              <w:ind w:firstLine="0" w:firstLineChars="0"/>
              <w:jc w:val="center"/>
              <w:rPr>
                <w:sz w:val="21"/>
                <w:szCs w:val="21"/>
              </w:rPr>
            </w:pPr>
            <w:r>
              <w:rPr>
                <w:rFonts w:hint="eastAsia"/>
                <w:sz w:val="21"/>
                <w:szCs w:val="21"/>
              </w:rPr>
              <w:t>2.6638</w:t>
            </w:r>
          </w:p>
        </w:tc>
        <w:tc>
          <w:tcPr>
            <w:tcW w:w="558" w:type="pct"/>
            <w:tcBorders>
              <w:top w:val="single" w:color="auto" w:sz="6" w:space="0"/>
              <w:left w:val="single" w:color="auto" w:sz="6" w:space="0"/>
              <w:bottom w:val="single" w:color="auto" w:sz="6" w:space="0"/>
              <w:right w:val="single" w:color="auto" w:sz="8" w:space="0"/>
            </w:tcBorders>
            <w:vAlign w:val="center"/>
          </w:tcPr>
          <w:p w14:paraId="2D797C56">
            <w:pPr>
              <w:spacing w:line="240" w:lineRule="auto"/>
              <w:ind w:firstLine="0" w:firstLineChars="0"/>
              <w:jc w:val="center"/>
              <w:rPr>
                <w:sz w:val="21"/>
                <w:szCs w:val="21"/>
              </w:rPr>
            </w:pPr>
            <w:r>
              <w:rPr>
                <w:rFonts w:hint="eastAsia"/>
                <w:sz w:val="21"/>
                <w:szCs w:val="21"/>
              </w:rPr>
              <w:t>30</w:t>
            </w:r>
          </w:p>
        </w:tc>
      </w:tr>
      <w:tr w14:paraId="3DCEDE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84" w:type="pct"/>
            <w:vMerge w:val="continue"/>
            <w:tcBorders>
              <w:left w:val="single" w:color="auto" w:sz="8" w:space="0"/>
              <w:bottom w:val="single" w:color="auto" w:sz="8" w:space="0"/>
              <w:right w:val="single" w:color="auto" w:sz="6" w:space="0"/>
            </w:tcBorders>
            <w:vAlign w:val="center"/>
          </w:tcPr>
          <w:p w14:paraId="48D327AE">
            <w:pPr>
              <w:widowControl/>
              <w:spacing w:line="240" w:lineRule="auto"/>
              <w:ind w:firstLine="0" w:firstLineChars="0"/>
              <w:jc w:val="center"/>
              <w:rPr>
                <w:sz w:val="21"/>
                <w:szCs w:val="21"/>
              </w:rPr>
            </w:pPr>
          </w:p>
        </w:tc>
        <w:tc>
          <w:tcPr>
            <w:tcW w:w="519" w:type="pct"/>
            <w:tcBorders>
              <w:top w:val="single" w:color="auto" w:sz="6" w:space="0"/>
              <w:left w:val="single" w:color="auto" w:sz="6" w:space="0"/>
              <w:bottom w:val="single" w:color="auto" w:sz="8" w:space="0"/>
              <w:right w:val="single" w:color="auto" w:sz="6" w:space="0"/>
            </w:tcBorders>
            <w:vAlign w:val="center"/>
          </w:tcPr>
          <w:p w14:paraId="67A61F77">
            <w:pPr>
              <w:spacing w:line="240" w:lineRule="auto"/>
              <w:ind w:firstLine="0" w:firstLineChars="0"/>
              <w:jc w:val="center"/>
              <w:rPr>
                <w:sz w:val="21"/>
                <w:szCs w:val="21"/>
              </w:rPr>
            </w:pPr>
            <w:r>
              <w:rPr>
                <w:rFonts w:hint="eastAsia"/>
                <w:sz w:val="21"/>
                <w:szCs w:val="21"/>
              </w:rPr>
              <w:t>硫酸</w:t>
            </w:r>
          </w:p>
        </w:tc>
        <w:tc>
          <w:tcPr>
            <w:tcW w:w="494" w:type="pct"/>
            <w:tcBorders>
              <w:top w:val="single" w:color="auto" w:sz="6" w:space="0"/>
              <w:left w:val="single" w:color="auto" w:sz="6" w:space="0"/>
              <w:bottom w:val="single" w:color="auto" w:sz="8" w:space="0"/>
              <w:right w:val="single" w:color="auto" w:sz="6" w:space="0"/>
            </w:tcBorders>
            <w:vAlign w:val="center"/>
          </w:tcPr>
          <w:p w14:paraId="6B120F97">
            <w:pPr>
              <w:spacing w:line="240" w:lineRule="auto"/>
              <w:ind w:firstLine="0" w:firstLineChars="0"/>
              <w:jc w:val="center"/>
              <w:rPr>
                <w:sz w:val="21"/>
                <w:szCs w:val="21"/>
              </w:rPr>
            </w:pPr>
            <w:r>
              <w:rPr>
                <w:rFonts w:hint="eastAsia"/>
                <w:sz w:val="21"/>
                <w:szCs w:val="21"/>
              </w:rPr>
              <w:t>1.67</w:t>
            </w:r>
          </w:p>
        </w:tc>
        <w:tc>
          <w:tcPr>
            <w:tcW w:w="421" w:type="pct"/>
            <w:tcBorders>
              <w:top w:val="single" w:color="auto" w:sz="4" w:space="0"/>
              <w:left w:val="single" w:color="auto" w:sz="6" w:space="0"/>
              <w:bottom w:val="single" w:color="auto" w:sz="8" w:space="0"/>
              <w:right w:val="single" w:color="auto" w:sz="6" w:space="0"/>
            </w:tcBorders>
            <w:vAlign w:val="center"/>
          </w:tcPr>
          <w:p w14:paraId="2EECFB42">
            <w:pPr>
              <w:spacing w:line="240" w:lineRule="auto"/>
              <w:ind w:firstLine="0" w:firstLineChars="0"/>
              <w:jc w:val="center"/>
              <w:rPr>
                <w:sz w:val="21"/>
                <w:szCs w:val="21"/>
              </w:rPr>
            </w:pPr>
            <w:r>
              <w:rPr>
                <w:rFonts w:hint="eastAsia"/>
                <w:sz w:val="21"/>
                <w:szCs w:val="21"/>
              </w:rPr>
              <w:t>1</w:t>
            </w:r>
          </w:p>
        </w:tc>
        <w:tc>
          <w:tcPr>
            <w:tcW w:w="421" w:type="pct"/>
            <w:tcBorders>
              <w:top w:val="single" w:color="auto" w:sz="4" w:space="0"/>
              <w:left w:val="single" w:color="auto" w:sz="6" w:space="0"/>
              <w:bottom w:val="single" w:color="auto" w:sz="8" w:space="0"/>
              <w:right w:val="single" w:color="auto" w:sz="4" w:space="0"/>
            </w:tcBorders>
            <w:vAlign w:val="center"/>
          </w:tcPr>
          <w:p w14:paraId="546FDFED">
            <w:pPr>
              <w:spacing w:line="240" w:lineRule="auto"/>
              <w:ind w:firstLine="0" w:firstLineChars="0"/>
              <w:jc w:val="center"/>
              <w:rPr>
                <w:caps/>
                <w:sz w:val="21"/>
                <w:szCs w:val="21"/>
              </w:rPr>
            </w:pPr>
            <w:r>
              <w:rPr>
                <w:rFonts w:hint="eastAsia"/>
                <w:caps/>
                <w:sz w:val="21"/>
                <w:szCs w:val="21"/>
              </w:rPr>
              <w:t>0.75</w:t>
            </w:r>
          </w:p>
        </w:tc>
        <w:tc>
          <w:tcPr>
            <w:tcW w:w="673" w:type="pct"/>
            <w:tcBorders>
              <w:top w:val="single" w:color="auto" w:sz="4" w:space="0"/>
              <w:left w:val="single" w:color="auto" w:sz="4" w:space="0"/>
              <w:bottom w:val="single" w:color="auto" w:sz="8" w:space="0"/>
              <w:right w:val="single" w:color="auto" w:sz="4" w:space="0"/>
            </w:tcBorders>
            <w:vAlign w:val="center"/>
          </w:tcPr>
          <w:p w14:paraId="62EE75D7">
            <w:pPr>
              <w:spacing w:line="240" w:lineRule="auto"/>
              <w:ind w:firstLine="0" w:firstLineChars="0"/>
              <w:jc w:val="center"/>
              <w:rPr>
                <w:sz w:val="21"/>
                <w:szCs w:val="21"/>
              </w:rPr>
            </w:pPr>
            <w:r>
              <w:rPr>
                <w:rFonts w:hint="eastAsia"/>
                <w:sz w:val="21"/>
                <w:szCs w:val="21"/>
              </w:rPr>
              <w:t>0.098</w:t>
            </w:r>
          </w:p>
        </w:tc>
        <w:tc>
          <w:tcPr>
            <w:tcW w:w="422" w:type="pct"/>
            <w:tcBorders>
              <w:top w:val="single" w:color="auto" w:sz="6" w:space="0"/>
              <w:left w:val="single" w:color="auto" w:sz="4" w:space="0"/>
              <w:bottom w:val="single" w:color="auto" w:sz="8" w:space="0"/>
              <w:right w:val="single" w:color="auto" w:sz="4" w:space="0"/>
            </w:tcBorders>
            <w:vAlign w:val="center"/>
          </w:tcPr>
          <w:p w14:paraId="712BA4C6">
            <w:pPr>
              <w:spacing w:line="240" w:lineRule="auto"/>
              <w:ind w:firstLine="0" w:firstLineChars="0"/>
              <w:jc w:val="center"/>
              <w:rPr>
                <w:sz w:val="21"/>
                <w:szCs w:val="21"/>
              </w:rPr>
            </w:pPr>
            <w:r>
              <w:rPr>
                <w:rFonts w:hint="eastAsia"/>
                <w:sz w:val="21"/>
                <w:szCs w:val="21"/>
              </w:rPr>
              <w:t>130</w:t>
            </w:r>
          </w:p>
        </w:tc>
        <w:tc>
          <w:tcPr>
            <w:tcW w:w="695" w:type="pct"/>
            <w:tcBorders>
              <w:top w:val="single" w:color="auto" w:sz="6" w:space="0"/>
              <w:left w:val="single" w:color="auto" w:sz="4" w:space="0"/>
              <w:bottom w:val="single" w:color="auto" w:sz="8" w:space="0"/>
              <w:right w:val="single" w:color="auto" w:sz="6" w:space="0"/>
            </w:tcBorders>
            <w:vAlign w:val="center"/>
          </w:tcPr>
          <w:p w14:paraId="325D40CF">
            <w:pPr>
              <w:spacing w:line="240" w:lineRule="auto"/>
              <w:ind w:firstLine="0" w:firstLineChars="0"/>
              <w:jc w:val="center"/>
              <w:rPr>
                <w:sz w:val="21"/>
                <w:szCs w:val="21"/>
              </w:rPr>
            </w:pPr>
            <w:r>
              <w:rPr>
                <w:rFonts w:hint="eastAsia"/>
                <w:sz w:val="21"/>
                <w:szCs w:val="21"/>
              </w:rPr>
              <w:t>2.5358E-05</w:t>
            </w:r>
          </w:p>
        </w:tc>
        <w:tc>
          <w:tcPr>
            <w:tcW w:w="513" w:type="pct"/>
            <w:tcBorders>
              <w:top w:val="single" w:color="auto" w:sz="6" w:space="0"/>
              <w:left w:val="single" w:color="auto" w:sz="6" w:space="0"/>
              <w:bottom w:val="single" w:color="auto" w:sz="8" w:space="0"/>
              <w:right w:val="single" w:color="auto" w:sz="6" w:space="0"/>
            </w:tcBorders>
            <w:vAlign w:val="center"/>
          </w:tcPr>
          <w:p w14:paraId="3E8C08DC">
            <w:pPr>
              <w:spacing w:line="240" w:lineRule="auto"/>
              <w:ind w:firstLine="0" w:firstLineChars="0"/>
              <w:jc w:val="center"/>
              <w:rPr>
                <w:sz w:val="21"/>
                <w:szCs w:val="21"/>
              </w:rPr>
            </w:pPr>
            <w:r>
              <w:rPr>
                <w:rFonts w:hint="eastAsia"/>
                <w:sz w:val="21"/>
                <w:szCs w:val="21"/>
              </w:rPr>
              <w:t>0.0456</w:t>
            </w:r>
          </w:p>
        </w:tc>
        <w:tc>
          <w:tcPr>
            <w:tcW w:w="558" w:type="pct"/>
            <w:tcBorders>
              <w:top w:val="single" w:color="auto" w:sz="6" w:space="0"/>
              <w:left w:val="single" w:color="auto" w:sz="6" w:space="0"/>
              <w:bottom w:val="single" w:color="auto" w:sz="8" w:space="0"/>
              <w:right w:val="single" w:color="auto" w:sz="8" w:space="0"/>
            </w:tcBorders>
            <w:vAlign w:val="center"/>
          </w:tcPr>
          <w:p w14:paraId="1D3CBA96">
            <w:pPr>
              <w:spacing w:line="240" w:lineRule="auto"/>
              <w:ind w:firstLine="0" w:firstLineChars="0"/>
              <w:jc w:val="center"/>
              <w:rPr>
                <w:sz w:val="21"/>
                <w:szCs w:val="21"/>
              </w:rPr>
            </w:pPr>
            <w:r>
              <w:rPr>
                <w:rFonts w:hint="eastAsia"/>
                <w:sz w:val="21"/>
                <w:szCs w:val="21"/>
              </w:rPr>
              <w:t>30</w:t>
            </w:r>
          </w:p>
        </w:tc>
      </w:tr>
    </w:tbl>
    <w:p w14:paraId="0F1FF84A">
      <w:pPr>
        <w:ind w:firstLine="480"/>
      </w:pPr>
    </w:p>
    <w:p w14:paraId="1E9FD7C5">
      <w:pPr>
        <w:pStyle w:val="2"/>
        <w:spacing w:after="0"/>
        <w:ind w:firstLine="482"/>
        <w:outlineLvl w:val="3"/>
        <w:rPr>
          <w:b/>
          <w:bCs/>
        </w:rPr>
      </w:pPr>
      <w:r>
        <w:rPr>
          <w:rFonts w:hint="eastAsia"/>
          <w:b/>
          <w:bCs/>
        </w:rPr>
        <w:t>3、火灾源项分析</w:t>
      </w:r>
    </w:p>
    <w:p w14:paraId="3868A9E1">
      <w:pPr>
        <w:ind w:firstLine="480"/>
      </w:pPr>
      <w:r>
        <w:rPr>
          <w:rFonts w:hint="eastAsia"/>
        </w:rPr>
        <w:t>本项目可燃风险物质为D4（八甲基环四硅氧烷）。</w:t>
      </w:r>
    </w:p>
    <w:p w14:paraId="6E0304EC">
      <w:pPr>
        <w:pStyle w:val="2"/>
        <w:spacing w:after="0"/>
        <w:ind w:firstLine="480"/>
      </w:pPr>
      <w:r>
        <w:rPr>
          <w:rFonts w:hint="eastAsia"/>
        </w:rPr>
        <w:t>（1）项目火灾爆炸事故有毒有害物质释放</w:t>
      </w:r>
    </w:p>
    <w:p w14:paraId="70E12BBA">
      <w:pPr>
        <w:pStyle w:val="2"/>
        <w:spacing w:after="0"/>
        <w:ind w:firstLine="480"/>
      </w:pPr>
      <w:r>
        <w:rPr>
          <w:rFonts w:hint="eastAsia"/>
        </w:rPr>
        <w:t>根据《建设项目环境风险评价技术导则》（HJ169-2018）附录F，本项目各可燃物的Q值、LC</w:t>
      </w:r>
      <w:r>
        <w:rPr>
          <w:rFonts w:hint="eastAsia"/>
          <w:vertAlign w:val="subscript"/>
        </w:rPr>
        <w:t>50</w:t>
      </w:r>
      <w:r>
        <w:rPr>
          <w:rFonts w:hint="eastAsia"/>
        </w:rPr>
        <w:t>值及根据附录F中F.2火灾、爆炸事故中未参与燃烧有毒有害物质的释放比例取值表F.4得出的未完全燃烧的危险物质的释放量结果见下表。</w:t>
      </w:r>
    </w:p>
    <w:p w14:paraId="2D5DA73D">
      <w:pPr>
        <w:pStyle w:val="99"/>
        <w:numPr>
          <w:ilvl w:val="4"/>
          <w:numId w:val="45"/>
        </w:numPr>
        <w:ind w:left="0" w:firstLine="480"/>
        <w:jc w:val="left"/>
      </w:pPr>
      <w:r>
        <w:rPr>
          <w:rFonts w:hint="eastAsia" w:eastAsia="黑体"/>
          <w:bCs/>
        </w:rPr>
        <w:t xml:space="preserve">    未完全燃烧的危险物质的释放量参数及结果</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659"/>
        <w:gridCol w:w="690"/>
        <w:gridCol w:w="833"/>
        <w:gridCol w:w="1108"/>
        <w:gridCol w:w="1246"/>
        <w:gridCol w:w="1244"/>
        <w:gridCol w:w="1248"/>
        <w:gridCol w:w="1298"/>
      </w:tblGrid>
      <w:tr w14:paraId="33D90A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396" w:type="pct"/>
            <w:vMerge w:val="restart"/>
            <w:tcBorders>
              <w:right w:val="single" w:color="auto" w:sz="4" w:space="0"/>
            </w:tcBorders>
            <w:vAlign w:val="center"/>
          </w:tcPr>
          <w:p w14:paraId="51C5630A">
            <w:pPr>
              <w:pStyle w:val="67"/>
              <w:rPr>
                <w:rFonts w:cs="Times New Roman"/>
                <w:color w:val="auto"/>
                <w:szCs w:val="21"/>
              </w:rPr>
            </w:pPr>
            <w:r>
              <w:rPr>
                <w:rFonts w:cs="Times New Roman"/>
                <w:color w:val="auto"/>
                <w:szCs w:val="21"/>
              </w:rPr>
              <w:t>危险单元</w:t>
            </w:r>
          </w:p>
        </w:tc>
        <w:tc>
          <w:tcPr>
            <w:tcW w:w="415" w:type="pct"/>
            <w:vMerge w:val="restart"/>
            <w:tcBorders>
              <w:left w:val="single" w:color="auto" w:sz="4" w:space="0"/>
            </w:tcBorders>
            <w:vAlign w:val="center"/>
          </w:tcPr>
          <w:p w14:paraId="1C755126">
            <w:pPr>
              <w:pStyle w:val="67"/>
              <w:rPr>
                <w:rFonts w:cs="Times New Roman"/>
                <w:color w:val="auto"/>
                <w:szCs w:val="21"/>
              </w:rPr>
            </w:pPr>
            <w:r>
              <w:rPr>
                <w:rFonts w:cs="Times New Roman"/>
                <w:color w:val="auto"/>
                <w:szCs w:val="21"/>
              </w:rPr>
              <w:t>项目</w:t>
            </w:r>
          </w:p>
        </w:tc>
        <w:tc>
          <w:tcPr>
            <w:tcW w:w="500" w:type="pct"/>
            <w:vAlign w:val="center"/>
          </w:tcPr>
          <w:p w14:paraId="5BB6EDED">
            <w:pPr>
              <w:pStyle w:val="67"/>
              <w:rPr>
                <w:rFonts w:cs="Times New Roman"/>
                <w:color w:val="auto"/>
                <w:szCs w:val="21"/>
              </w:rPr>
            </w:pPr>
            <w:r>
              <w:rPr>
                <w:rFonts w:cs="Times New Roman"/>
                <w:color w:val="auto"/>
                <w:szCs w:val="21"/>
              </w:rPr>
              <w:t>参数</w:t>
            </w:r>
          </w:p>
        </w:tc>
        <w:tc>
          <w:tcPr>
            <w:tcW w:w="665" w:type="pct"/>
            <w:vAlign w:val="center"/>
          </w:tcPr>
          <w:p w14:paraId="13D2961C">
            <w:pPr>
              <w:pStyle w:val="67"/>
              <w:rPr>
                <w:rFonts w:cs="Times New Roman"/>
                <w:color w:val="auto"/>
                <w:szCs w:val="21"/>
              </w:rPr>
            </w:pPr>
            <w:r>
              <w:rPr>
                <w:rFonts w:cs="Times New Roman"/>
                <w:color w:val="auto"/>
                <w:szCs w:val="21"/>
              </w:rPr>
              <w:t>存在量</w:t>
            </w:r>
          </w:p>
        </w:tc>
        <w:tc>
          <w:tcPr>
            <w:tcW w:w="748" w:type="pct"/>
            <w:vAlign w:val="center"/>
          </w:tcPr>
          <w:p w14:paraId="10D57110">
            <w:pPr>
              <w:pStyle w:val="67"/>
              <w:rPr>
                <w:rFonts w:cs="Times New Roman"/>
                <w:color w:val="auto"/>
                <w:szCs w:val="21"/>
              </w:rPr>
            </w:pPr>
            <w:r>
              <w:rPr>
                <w:rFonts w:cs="Times New Roman"/>
                <w:color w:val="auto"/>
                <w:szCs w:val="21"/>
              </w:rPr>
              <w:t>临界量</w:t>
            </w:r>
          </w:p>
        </w:tc>
        <w:tc>
          <w:tcPr>
            <w:tcW w:w="747" w:type="pct"/>
            <w:vAlign w:val="center"/>
          </w:tcPr>
          <w:p w14:paraId="675F31D3">
            <w:pPr>
              <w:pStyle w:val="67"/>
              <w:rPr>
                <w:rFonts w:cs="Times New Roman"/>
                <w:color w:val="auto"/>
                <w:szCs w:val="21"/>
              </w:rPr>
            </w:pPr>
            <w:r>
              <w:rPr>
                <w:rFonts w:cs="Times New Roman"/>
                <w:color w:val="auto"/>
                <w:szCs w:val="21"/>
              </w:rPr>
              <w:t>Q值</w:t>
            </w:r>
          </w:p>
        </w:tc>
        <w:tc>
          <w:tcPr>
            <w:tcW w:w="749" w:type="pct"/>
            <w:vAlign w:val="center"/>
          </w:tcPr>
          <w:p w14:paraId="4A0762A3">
            <w:pPr>
              <w:pStyle w:val="67"/>
              <w:rPr>
                <w:rFonts w:cs="Times New Roman"/>
                <w:color w:val="auto"/>
                <w:szCs w:val="21"/>
              </w:rPr>
            </w:pPr>
            <w:r>
              <w:rPr>
                <w:rFonts w:cs="Times New Roman"/>
                <w:color w:val="auto"/>
                <w:szCs w:val="21"/>
              </w:rPr>
              <w:t>LC</w:t>
            </w:r>
            <w:r>
              <w:rPr>
                <w:rFonts w:cs="Times New Roman"/>
                <w:color w:val="auto"/>
                <w:szCs w:val="21"/>
                <w:vertAlign w:val="subscript"/>
              </w:rPr>
              <w:t>50</w:t>
            </w:r>
            <w:r>
              <w:rPr>
                <w:rFonts w:cs="Times New Roman"/>
                <w:color w:val="auto"/>
                <w:szCs w:val="21"/>
              </w:rPr>
              <w:t>值</w:t>
            </w:r>
          </w:p>
        </w:tc>
        <w:tc>
          <w:tcPr>
            <w:tcW w:w="779" w:type="pct"/>
            <w:vAlign w:val="center"/>
          </w:tcPr>
          <w:p w14:paraId="185FF224">
            <w:pPr>
              <w:pStyle w:val="67"/>
              <w:rPr>
                <w:rFonts w:cs="Times New Roman"/>
                <w:color w:val="auto"/>
                <w:szCs w:val="21"/>
              </w:rPr>
            </w:pPr>
            <w:r>
              <w:rPr>
                <w:rFonts w:cs="Times New Roman"/>
                <w:color w:val="auto"/>
                <w:szCs w:val="21"/>
              </w:rPr>
              <w:t>未完全燃烧释放量</w:t>
            </w:r>
          </w:p>
        </w:tc>
      </w:tr>
      <w:tr w14:paraId="77E3D7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396" w:type="pct"/>
            <w:vMerge w:val="continue"/>
            <w:tcBorders>
              <w:right w:val="single" w:color="auto" w:sz="4" w:space="0"/>
            </w:tcBorders>
            <w:vAlign w:val="center"/>
          </w:tcPr>
          <w:p w14:paraId="286BE5F0">
            <w:pPr>
              <w:pStyle w:val="67"/>
              <w:spacing w:line="360" w:lineRule="exact"/>
              <w:rPr>
                <w:rFonts w:cs="Times New Roman"/>
                <w:color w:val="auto"/>
                <w:szCs w:val="21"/>
              </w:rPr>
            </w:pPr>
          </w:p>
        </w:tc>
        <w:tc>
          <w:tcPr>
            <w:tcW w:w="415" w:type="pct"/>
            <w:vMerge w:val="continue"/>
            <w:tcBorders>
              <w:left w:val="single" w:color="auto" w:sz="4" w:space="0"/>
            </w:tcBorders>
            <w:vAlign w:val="center"/>
          </w:tcPr>
          <w:p w14:paraId="4E60FF1B">
            <w:pPr>
              <w:pStyle w:val="67"/>
              <w:spacing w:line="360" w:lineRule="exact"/>
              <w:rPr>
                <w:rFonts w:cs="Times New Roman"/>
                <w:color w:val="auto"/>
                <w:szCs w:val="21"/>
              </w:rPr>
            </w:pPr>
          </w:p>
        </w:tc>
        <w:tc>
          <w:tcPr>
            <w:tcW w:w="500" w:type="pct"/>
            <w:vAlign w:val="center"/>
          </w:tcPr>
          <w:p w14:paraId="7A277D41">
            <w:pPr>
              <w:pStyle w:val="67"/>
              <w:spacing w:line="360" w:lineRule="exact"/>
              <w:rPr>
                <w:rFonts w:cs="Times New Roman"/>
                <w:color w:val="auto"/>
                <w:szCs w:val="21"/>
              </w:rPr>
            </w:pPr>
            <w:r>
              <w:rPr>
                <w:rFonts w:cs="Times New Roman"/>
                <w:color w:val="auto"/>
                <w:szCs w:val="21"/>
              </w:rPr>
              <w:t>单位</w:t>
            </w:r>
          </w:p>
        </w:tc>
        <w:tc>
          <w:tcPr>
            <w:tcW w:w="665" w:type="pct"/>
            <w:vAlign w:val="center"/>
          </w:tcPr>
          <w:p w14:paraId="57FD2DA2">
            <w:pPr>
              <w:pStyle w:val="67"/>
              <w:spacing w:line="360" w:lineRule="exact"/>
              <w:rPr>
                <w:rFonts w:cs="Times New Roman"/>
                <w:color w:val="auto"/>
                <w:szCs w:val="21"/>
              </w:rPr>
            </w:pPr>
            <w:r>
              <w:rPr>
                <w:rFonts w:cs="Times New Roman"/>
                <w:color w:val="auto"/>
                <w:szCs w:val="21"/>
              </w:rPr>
              <w:t>t</w:t>
            </w:r>
          </w:p>
        </w:tc>
        <w:tc>
          <w:tcPr>
            <w:tcW w:w="748" w:type="pct"/>
            <w:vAlign w:val="center"/>
          </w:tcPr>
          <w:p w14:paraId="26CC85FB">
            <w:pPr>
              <w:pStyle w:val="67"/>
              <w:spacing w:line="360" w:lineRule="exact"/>
              <w:rPr>
                <w:rFonts w:cs="Times New Roman"/>
                <w:color w:val="auto"/>
                <w:szCs w:val="21"/>
              </w:rPr>
            </w:pPr>
            <w:r>
              <w:rPr>
                <w:rFonts w:cs="Times New Roman"/>
                <w:color w:val="auto"/>
                <w:szCs w:val="21"/>
              </w:rPr>
              <w:t>t</w:t>
            </w:r>
          </w:p>
        </w:tc>
        <w:tc>
          <w:tcPr>
            <w:tcW w:w="747" w:type="pct"/>
            <w:vAlign w:val="center"/>
          </w:tcPr>
          <w:p w14:paraId="0F3CB7C4">
            <w:pPr>
              <w:pStyle w:val="67"/>
              <w:spacing w:line="360" w:lineRule="exact"/>
              <w:rPr>
                <w:rFonts w:cs="Times New Roman"/>
                <w:color w:val="auto"/>
                <w:szCs w:val="21"/>
              </w:rPr>
            </w:pPr>
            <w:r>
              <w:rPr>
                <w:rFonts w:cs="Times New Roman"/>
                <w:color w:val="auto"/>
                <w:szCs w:val="21"/>
              </w:rPr>
              <w:t>/</w:t>
            </w:r>
          </w:p>
        </w:tc>
        <w:tc>
          <w:tcPr>
            <w:tcW w:w="749" w:type="pct"/>
            <w:vAlign w:val="center"/>
          </w:tcPr>
          <w:p w14:paraId="27629BEB">
            <w:pPr>
              <w:pStyle w:val="67"/>
              <w:spacing w:line="360" w:lineRule="exact"/>
              <w:rPr>
                <w:rFonts w:cs="Times New Roman"/>
                <w:color w:val="auto"/>
                <w:szCs w:val="21"/>
              </w:rPr>
            </w:pPr>
            <w:r>
              <w:rPr>
                <w:rFonts w:cs="Times New Roman"/>
                <w:color w:val="auto"/>
                <w:szCs w:val="21"/>
              </w:rPr>
              <w:t>mg/m</w:t>
            </w:r>
            <w:r>
              <w:rPr>
                <w:rFonts w:cs="Times New Roman"/>
                <w:color w:val="auto"/>
                <w:szCs w:val="21"/>
                <w:vertAlign w:val="superscript"/>
              </w:rPr>
              <w:t>3</w:t>
            </w:r>
          </w:p>
        </w:tc>
        <w:tc>
          <w:tcPr>
            <w:tcW w:w="779" w:type="pct"/>
            <w:vAlign w:val="center"/>
          </w:tcPr>
          <w:p w14:paraId="0D044550">
            <w:pPr>
              <w:pStyle w:val="67"/>
              <w:spacing w:line="360" w:lineRule="exact"/>
              <w:rPr>
                <w:rFonts w:cs="Times New Roman"/>
                <w:color w:val="auto"/>
                <w:szCs w:val="21"/>
              </w:rPr>
            </w:pPr>
            <w:r>
              <w:rPr>
                <w:rFonts w:cs="Times New Roman"/>
                <w:color w:val="auto"/>
                <w:szCs w:val="21"/>
              </w:rPr>
              <w:t>%</w:t>
            </w:r>
          </w:p>
        </w:tc>
      </w:tr>
      <w:tr w14:paraId="688763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96" w:type="pct"/>
            <w:tcBorders>
              <w:right w:val="single" w:color="auto" w:sz="4" w:space="0"/>
            </w:tcBorders>
            <w:vAlign w:val="center"/>
          </w:tcPr>
          <w:p w14:paraId="7AD77685">
            <w:pPr>
              <w:pStyle w:val="62"/>
              <w:spacing w:line="360" w:lineRule="exact"/>
            </w:pPr>
            <w:r>
              <w:rPr>
                <w:rFonts w:hint="eastAsia"/>
              </w:rPr>
              <w:t>原料区</w:t>
            </w:r>
          </w:p>
        </w:tc>
        <w:tc>
          <w:tcPr>
            <w:tcW w:w="915" w:type="pct"/>
            <w:gridSpan w:val="2"/>
            <w:tcBorders>
              <w:left w:val="single" w:color="auto" w:sz="4" w:space="0"/>
            </w:tcBorders>
            <w:vAlign w:val="center"/>
          </w:tcPr>
          <w:p w14:paraId="36EAD403">
            <w:pPr>
              <w:pStyle w:val="62"/>
              <w:spacing w:line="360" w:lineRule="exact"/>
            </w:pPr>
            <w:r>
              <w:rPr>
                <w:rFonts w:hint="eastAsia"/>
              </w:rPr>
              <w:t>D4（八甲基环四硅氧烷）</w:t>
            </w:r>
          </w:p>
        </w:tc>
        <w:tc>
          <w:tcPr>
            <w:tcW w:w="665" w:type="pct"/>
            <w:vAlign w:val="center"/>
          </w:tcPr>
          <w:p w14:paraId="69D44F21">
            <w:pPr>
              <w:pStyle w:val="62"/>
              <w:spacing w:line="360" w:lineRule="exact"/>
              <w:rPr>
                <w:rFonts w:eastAsia="等线"/>
              </w:rPr>
            </w:pPr>
            <w:r>
              <w:rPr>
                <w:rFonts w:hint="eastAsia" w:eastAsia="等线"/>
              </w:rPr>
              <w:t>53.144</w:t>
            </w:r>
          </w:p>
        </w:tc>
        <w:tc>
          <w:tcPr>
            <w:tcW w:w="748" w:type="pct"/>
            <w:vAlign w:val="center"/>
          </w:tcPr>
          <w:p w14:paraId="10EC8F3D">
            <w:pPr>
              <w:pStyle w:val="62"/>
              <w:spacing w:line="360" w:lineRule="exact"/>
              <w:rPr>
                <w:rFonts w:eastAsia="等线"/>
              </w:rPr>
            </w:pPr>
            <w:r>
              <w:t>5</w:t>
            </w:r>
          </w:p>
        </w:tc>
        <w:tc>
          <w:tcPr>
            <w:tcW w:w="747" w:type="pct"/>
            <w:vAlign w:val="center"/>
          </w:tcPr>
          <w:p w14:paraId="5E3FE05D">
            <w:pPr>
              <w:pStyle w:val="62"/>
              <w:spacing w:line="360" w:lineRule="exact"/>
              <w:rPr>
                <w:rFonts w:eastAsia="等线"/>
              </w:rPr>
            </w:pPr>
            <w:r>
              <w:rPr>
                <w:rFonts w:hint="eastAsia" w:eastAsia="等线"/>
              </w:rPr>
              <w:t>10.6288</w:t>
            </w:r>
          </w:p>
        </w:tc>
        <w:tc>
          <w:tcPr>
            <w:tcW w:w="749" w:type="pct"/>
            <w:vAlign w:val="center"/>
          </w:tcPr>
          <w:p w14:paraId="538F3B62">
            <w:pPr>
              <w:pStyle w:val="62"/>
              <w:spacing w:line="360" w:lineRule="exact"/>
            </w:pPr>
            <w:r>
              <w:rPr>
                <w:rFonts w:hint="eastAsia"/>
              </w:rPr>
              <w:t>360</w:t>
            </w:r>
            <w:r>
              <w:t>00</w:t>
            </w:r>
          </w:p>
        </w:tc>
        <w:tc>
          <w:tcPr>
            <w:tcW w:w="779" w:type="pct"/>
            <w:vAlign w:val="center"/>
          </w:tcPr>
          <w:p w14:paraId="38E5F226">
            <w:pPr>
              <w:pStyle w:val="62"/>
              <w:spacing w:line="360" w:lineRule="exact"/>
            </w:pPr>
            <w:r>
              <w:rPr>
                <w:rFonts w:hint="eastAsia"/>
              </w:rPr>
              <w:t>不存在</w:t>
            </w:r>
          </w:p>
        </w:tc>
      </w:tr>
    </w:tbl>
    <w:p w14:paraId="7C51078E">
      <w:pPr>
        <w:ind w:firstLine="480"/>
      </w:pPr>
      <w:r>
        <w:rPr>
          <w:rFonts w:hint="eastAsia"/>
        </w:rPr>
        <w:t>由上表可知，本项目D4（八甲基环四硅氧烷）不再考虑其未参与燃烧的释放废气。</w:t>
      </w:r>
    </w:p>
    <w:p w14:paraId="245329FA">
      <w:pPr>
        <w:pStyle w:val="2"/>
        <w:spacing w:after="0"/>
        <w:ind w:firstLine="480"/>
      </w:pPr>
      <w:r>
        <w:rPr>
          <w:rFonts w:hint="eastAsia"/>
        </w:rPr>
        <w:t>（2）项目火灾伴生/次生二氧化硫</w:t>
      </w:r>
    </w:p>
    <w:p w14:paraId="257E264D">
      <w:pPr>
        <w:pStyle w:val="2"/>
        <w:spacing w:after="0"/>
        <w:ind w:firstLine="480"/>
      </w:pPr>
      <w:r>
        <w:rPr>
          <w:rFonts w:hint="eastAsia"/>
        </w:rPr>
        <w:t>本项目可燃物质中D4（八甲基环四硅氧烷）不含硫，因此该可燃物质发生火灾后不考虑其产生的二氧化硫。</w:t>
      </w:r>
    </w:p>
    <w:p w14:paraId="08A2D957">
      <w:pPr>
        <w:pStyle w:val="2"/>
        <w:spacing w:after="0"/>
        <w:ind w:firstLine="480"/>
      </w:pPr>
      <w:r>
        <w:rPr>
          <w:rFonts w:hint="eastAsia"/>
        </w:rPr>
        <w:t>（3）本项目火灾伴生/次生一氧化碳产生量：</w:t>
      </w:r>
    </w:p>
    <w:p w14:paraId="7347BD26">
      <w:pPr>
        <w:ind w:firstLine="0" w:firstLineChars="0"/>
        <w:jc w:val="center"/>
      </w:pPr>
      <w:r>
        <w:rPr>
          <w:rFonts w:hint="eastAsia"/>
        </w:rPr>
        <w:t>G一氧化碳=2330qCQ</w:t>
      </w:r>
    </w:p>
    <w:p w14:paraId="22305BAF">
      <w:pPr>
        <w:ind w:firstLine="480"/>
      </w:pPr>
      <w:r>
        <w:rPr>
          <w:rFonts w:hint="eastAsia"/>
        </w:rPr>
        <w:t>式中：G一氧化碳—一氧化碳的产生量，kg/s；</w:t>
      </w:r>
    </w:p>
    <w:p w14:paraId="343A0C3C">
      <w:pPr>
        <w:ind w:firstLine="480"/>
      </w:pPr>
      <w:r>
        <w:rPr>
          <w:rFonts w:hint="eastAsia"/>
        </w:rPr>
        <w:t xml:space="preserve">            C—物质中碳的含量。</w:t>
      </w:r>
    </w:p>
    <w:p w14:paraId="31F43476">
      <w:pPr>
        <w:ind w:firstLine="1920" w:firstLineChars="800"/>
      </w:pPr>
      <w:r>
        <w:rPr>
          <w:rFonts w:hint="eastAsia"/>
        </w:rPr>
        <w:t>q—化学不完全燃烧值，取1.5%~6.0%；本次评价取1.5%；</w:t>
      </w:r>
    </w:p>
    <w:p w14:paraId="008D6478">
      <w:pPr>
        <w:ind w:firstLine="480"/>
      </w:pPr>
      <w:r>
        <w:rPr>
          <w:rFonts w:hint="eastAsia"/>
        </w:rPr>
        <w:t xml:space="preserve">            Q—参与燃烧的物质量，t/s。</w:t>
      </w:r>
    </w:p>
    <w:p w14:paraId="309429C4">
      <w:pPr>
        <w:ind w:firstLine="480"/>
      </w:pPr>
      <w:r>
        <w:rPr>
          <w:rFonts w:hint="eastAsia"/>
        </w:rPr>
        <w:t>本项目可燃物质的一氧化碳产生情况见下表。</w:t>
      </w:r>
    </w:p>
    <w:p w14:paraId="583882EA">
      <w:pPr>
        <w:pStyle w:val="99"/>
        <w:numPr>
          <w:ilvl w:val="4"/>
          <w:numId w:val="45"/>
        </w:numPr>
        <w:ind w:left="0" w:firstLine="480"/>
        <w:jc w:val="left"/>
        <w:rPr>
          <w:rFonts w:eastAsia="黑体"/>
          <w:bCs/>
        </w:rPr>
      </w:pPr>
      <w:r>
        <w:rPr>
          <w:rFonts w:hint="eastAsia" w:eastAsia="黑体"/>
          <w:bCs/>
        </w:rPr>
        <w:t xml:space="preserve">          燃烧产生的一氧化碳参数及结果</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1215"/>
        <w:gridCol w:w="1384"/>
        <w:gridCol w:w="1802"/>
        <w:gridCol w:w="1937"/>
        <w:gridCol w:w="1988"/>
      </w:tblGrid>
      <w:tr w14:paraId="275726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54" w:hRule="atLeast"/>
          <w:jc w:val="center"/>
        </w:trPr>
        <w:tc>
          <w:tcPr>
            <w:tcW w:w="730" w:type="pct"/>
            <w:vMerge w:val="restart"/>
            <w:tcBorders>
              <w:top w:val="single" w:color="auto" w:sz="8" w:space="0"/>
              <w:left w:val="single" w:color="auto" w:sz="8" w:space="0"/>
              <w:bottom w:val="single" w:color="auto" w:sz="6" w:space="0"/>
              <w:right w:val="single" w:color="auto" w:sz="6" w:space="0"/>
            </w:tcBorders>
            <w:vAlign w:val="center"/>
          </w:tcPr>
          <w:p w14:paraId="15CAB2B2">
            <w:pPr>
              <w:spacing w:line="360" w:lineRule="exact"/>
              <w:ind w:firstLine="0" w:firstLineChars="0"/>
              <w:jc w:val="center"/>
              <w:rPr>
                <w:b/>
                <w:sz w:val="21"/>
                <w:szCs w:val="21"/>
                <w:u w:val="single"/>
              </w:rPr>
            </w:pPr>
            <w:r>
              <w:rPr>
                <w:b/>
                <w:sz w:val="21"/>
                <w:szCs w:val="21"/>
                <w:u w:val="single"/>
              </w:rPr>
              <w:t>项目</w:t>
            </w:r>
          </w:p>
        </w:tc>
        <w:tc>
          <w:tcPr>
            <w:tcW w:w="831" w:type="pct"/>
            <w:tcBorders>
              <w:top w:val="single" w:color="auto" w:sz="8" w:space="0"/>
              <w:left w:val="single" w:color="auto" w:sz="6" w:space="0"/>
              <w:bottom w:val="single" w:color="auto" w:sz="6" w:space="0"/>
              <w:right w:val="single" w:color="auto" w:sz="6" w:space="0"/>
            </w:tcBorders>
            <w:vAlign w:val="center"/>
          </w:tcPr>
          <w:p w14:paraId="1C360306">
            <w:pPr>
              <w:spacing w:line="360" w:lineRule="exact"/>
              <w:ind w:firstLine="0" w:firstLineChars="0"/>
              <w:jc w:val="center"/>
              <w:rPr>
                <w:b/>
                <w:sz w:val="21"/>
                <w:szCs w:val="21"/>
                <w:u w:val="single"/>
              </w:rPr>
            </w:pPr>
            <w:r>
              <w:rPr>
                <w:b/>
                <w:sz w:val="21"/>
                <w:szCs w:val="21"/>
                <w:u w:val="single"/>
              </w:rPr>
              <w:t>参数</w:t>
            </w:r>
          </w:p>
        </w:tc>
        <w:tc>
          <w:tcPr>
            <w:tcW w:w="1082" w:type="pct"/>
            <w:tcBorders>
              <w:top w:val="single" w:color="auto" w:sz="8" w:space="0"/>
              <w:left w:val="single" w:color="auto" w:sz="6" w:space="0"/>
              <w:bottom w:val="single" w:color="auto" w:sz="6" w:space="0"/>
              <w:right w:val="single" w:color="auto" w:sz="6" w:space="0"/>
            </w:tcBorders>
            <w:vAlign w:val="center"/>
          </w:tcPr>
          <w:p w14:paraId="5F1EC509">
            <w:pPr>
              <w:spacing w:line="360" w:lineRule="exact"/>
              <w:ind w:firstLine="0" w:firstLineChars="0"/>
              <w:jc w:val="center"/>
              <w:rPr>
                <w:b/>
                <w:sz w:val="21"/>
                <w:szCs w:val="21"/>
                <w:u w:val="single"/>
              </w:rPr>
            </w:pPr>
            <w:r>
              <w:rPr>
                <w:b/>
                <w:sz w:val="21"/>
                <w:szCs w:val="21"/>
                <w:u w:val="single"/>
              </w:rPr>
              <w:t>C</w:t>
            </w:r>
          </w:p>
        </w:tc>
        <w:tc>
          <w:tcPr>
            <w:tcW w:w="1163" w:type="pct"/>
            <w:tcBorders>
              <w:top w:val="single" w:color="auto" w:sz="8" w:space="0"/>
              <w:left w:val="single" w:color="auto" w:sz="6" w:space="0"/>
              <w:bottom w:val="single" w:color="auto" w:sz="6" w:space="0"/>
              <w:right w:val="single" w:color="auto" w:sz="6" w:space="0"/>
            </w:tcBorders>
            <w:vAlign w:val="center"/>
          </w:tcPr>
          <w:p w14:paraId="3A79CB87">
            <w:pPr>
              <w:spacing w:line="360" w:lineRule="exact"/>
              <w:ind w:firstLine="0" w:firstLineChars="0"/>
              <w:jc w:val="center"/>
              <w:rPr>
                <w:b/>
                <w:sz w:val="21"/>
                <w:szCs w:val="21"/>
                <w:u w:val="single"/>
              </w:rPr>
            </w:pPr>
            <w:r>
              <w:rPr>
                <w:b/>
                <w:sz w:val="21"/>
                <w:szCs w:val="21"/>
                <w:u w:val="single"/>
              </w:rPr>
              <w:t>Q</w:t>
            </w:r>
            <w:r>
              <w:rPr>
                <w:b/>
                <w:sz w:val="21"/>
                <w:szCs w:val="21"/>
                <w:u w:val="single"/>
                <w:vertAlign w:val="superscript"/>
              </w:rPr>
              <w:t>#</w:t>
            </w:r>
          </w:p>
        </w:tc>
        <w:tc>
          <w:tcPr>
            <w:tcW w:w="1194" w:type="pct"/>
            <w:tcBorders>
              <w:top w:val="single" w:color="auto" w:sz="8" w:space="0"/>
              <w:left w:val="single" w:color="auto" w:sz="6" w:space="0"/>
              <w:bottom w:val="single" w:color="auto" w:sz="6" w:space="0"/>
              <w:right w:val="single" w:color="auto" w:sz="8" w:space="0"/>
            </w:tcBorders>
            <w:vAlign w:val="center"/>
          </w:tcPr>
          <w:p w14:paraId="6D81CB0A">
            <w:pPr>
              <w:spacing w:line="360" w:lineRule="exact"/>
              <w:ind w:firstLine="0" w:firstLineChars="0"/>
              <w:jc w:val="center"/>
              <w:rPr>
                <w:b/>
                <w:sz w:val="21"/>
                <w:szCs w:val="21"/>
                <w:u w:val="single"/>
              </w:rPr>
            </w:pPr>
            <w:r>
              <w:rPr>
                <w:b/>
                <w:sz w:val="21"/>
                <w:szCs w:val="21"/>
                <w:u w:val="single"/>
              </w:rPr>
              <w:t>G</w:t>
            </w:r>
            <w:r>
              <w:rPr>
                <w:b/>
                <w:sz w:val="21"/>
                <w:szCs w:val="21"/>
                <w:u w:val="single"/>
                <w:vertAlign w:val="subscript"/>
              </w:rPr>
              <w:t>一氧化碳</w:t>
            </w:r>
          </w:p>
        </w:tc>
      </w:tr>
      <w:tr w14:paraId="6FBF98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54" w:hRule="atLeast"/>
          <w:jc w:val="center"/>
        </w:trPr>
        <w:tc>
          <w:tcPr>
            <w:tcW w:w="0" w:type="auto"/>
            <w:vMerge w:val="continue"/>
            <w:tcBorders>
              <w:top w:val="single" w:color="auto" w:sz="8" w:space="0"/>
              <w:left w:val="single" w:color="auto" w:sz="8" w:space="0"/>
              <w:bottom w:val="single" w:color="auto" w:sz="6" w:space="0"/>
              <w:right w:val="single" w:color="auto" w:sz="6" w:space="0"/>
            </w:tcBorders>
            <w:vAlign w:val="center"/>
          </w:tcPr>
          <w:p w14:paraId="555AF438">
            <w:pPr>
              <w:widowControl/>
              <w:spacing w:line="360" w:lineRule="exact"/>
              <w:ind w:firstLine="0" w:firstLineChars="0"/>
              <w:jc w:val="center"/>
              <w:rPr>
                <w:b/>
                <w:sz w:val="21"/>
                <w:szCs w:val="21"/>
                <w:u w:val="single"/>
              </w:rPr>
            </w:pPr>
          </w:p>
        </w:tc>
        <w:tc>
          <w:tcPr>
            <w:tcW w:w="831" w:type="pct"/>
            <w:tcBorders>
              <w:top w:val="single" w:color="auto" w:sz="6" w:space="0"/>
              <w:left w:val="single" w:color="auto" w:sz="6" w:space="0"/>
              <w:bottom w:val="single" w:color="auto" w:sz="6" w:space="0"/>
              <w:right w:val="single" w:color="auto" w:sz="6" w:space="0"/>
            </w:tcBorders>
            <w:vAlign w:val="center"/>
          </w:tcPr>
          <w:p w14:paraId="1D57F717">
            <w:pPr>
              <w:spacing w:line="360" w:lineRule="exact"/>
              <w:ind w:firstLine="0" w:firstLineChars="0"/>
              <w:jc w:val="center"/>
              <w:rPr>
                <w:b/>
                <w:sz w:val="21"/>
                <w:szCs w:val="21"/>
                <w:u w:val="single"/>
              </w:rPr>
            </w:pPr>
            <w:r>
              <w:rPr>
                <w:b/>
                <w:sz w:val="21"/>
                <w:szCs w:val="21"/>
                <w:u w:val="single"/>
              </w:rPr>
              <w:t>单位</w:t>
            </w:r>
          </w:p>
        </w:tc>
        <w:tc>
          <w:tcPr>
            <w:tcW w:w="1082" w:type="pct"/>
            <w:tcBorders>
              <w:top w:val="single" w:color="auto" w:sz="6" w:space="0"/>
              <w:left w:val="single" w:color="auto" w:sz="6" w:space="0"/>
              <w:bottom w:val="single" w:color="auto" w:sz="6" w:space="0"/>
              <w:right w:val="single" w:color="auto" w:sz="6" w:space="0"/>
            </w:tcBorders>
            <w:vAlign w:val="center"/>
          </w:tcPr>
          <w:p w14:paraId="52AEF2AA">
            <w:pPr>
              <w:spacing w:line="360" w:lineRule="exact"/>
              <w:ind w:firstLine="0" w:firstLineChars="0"/>
              <w:jc w:val="center"/>
              <w:rPr>
                <w:b/>
                <w:sz w:val="21"/>
                <w:szCs w:val="21"/>
                <w:u w:val="single"/>
              </w:rPr>
            </w:pPr>
            <w:r>
              <w:rPr>
                <w:b/>
                <w:sz w:val="21"/>
                <w:szCs w:val="21"/>
                <w:u w:val="single"/>
              </w:rPr>
              <w:t>%</w:t>
            </w:r>
          </w:p>
        </w:tc>
        <w:tc>
          <w:tcPr>
            <w:tcW w:w="1163" w:type="pct"/>
            <w:tcBorders>
              <w:top w:val="single" w:color="auto" w:sz="6" w:space="0"/>
              <w:left w:val="single" w:color="auto" w:sz="6" w:space="0"/>
              <w:bottom w:val="single" w:color="auto" w:sz="6" w:space="0"/>
              <w:right w:val="single" w:color="auto" w:sz="6" w:space="0"/>
            </w:tcBorders>
            <w:vAlign w:val="center"/>
          </w:tcPr>
          <w:p w14:paraId="1CA03E46">
            <w:pPr>
              <w:spacing w:line="360" w:lineRule="exact"/>
              <w:ind w:firstLine="0" w:firstLineChars="0"/>
              <w:jc w:val="center"/>
              <w:rPr>
                <w:b/>
                <w:sz w:val="21"/>
                <w:szCs w:val="21"/>
                <w:u w:val="single"/>
              </w:rPr>
            </w:pPr>
            <w:r>
              <w:rPr>
                <w:b/>
                <w:sz w:val="21"/>
                <w:szCs w:val="21"/>
                <w:u w:val="single"/>
              </w:rPr>
              <w:t>t/s</w:t>
            </w:r>
          </w:p>
        </w:tc>
        <w:tc>
          <w:tcPr>
            <w:tcW w:w="1194" w:type="pct"/>
            <w:tcBorders>
              <w:top w:val="single" w:color="auto" w:sz="6" w:space="0"/>
              <w:left w:val="single" w:color="auto" w:sz="6" w:space="0"/>
              <w:bottom w:val="single" w:color="auto" w:sz="6" w:space="0"/>
              <w:right w:val="single" w:color="auto" w:sz="8" w:space="0"/>
            </w:tcBorders>
            <w:vAlign w:val="center"/>
          </w:tcPr>
          <w:p w14:paraId="4A81C717">
            <w:pPr>
              <w:spacing w:line="360" w:lineRule="exact"/>
              <w:ind w:firstLine="0" w:firstLineChars="0"/>
              <w:jc w:val="center"/>
              <w:rPr>
                <w:b/>
                <w:sz w:val="21"/>
                <w:szCs w:val="21"/>
                <w:u w:val="single"/>
              </w:rPr>
            </w:pPr>
            <w:r>
              <w:rPr>
                <w:b/>
                <w:sz w:val="21"/>
                <w:szCs w:val="21"/>
                <w:u w:val="single"/>
              </w:rPr>
              <w:t>kg/s</w:t>
            </w:r>
          </w:p>
        </w:tc>
      </w:tr>
      <w:tr w14:paraId="1A70D6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54" w:hRule="atLeast"/>
          <w:jc w:val="center"/>
        </w:trPr>
        <w:tc>
          <w:tcPr>
            <w:tcW w:w="1561" w:type="pct"/>
            <w:gridSpan w:val="2"/>
            <w:tcBorders>
              <w:top w:val="single" w:color="auto" w:sz="6" w:space="0"/>
              <w:left w:val="single" w:color="auto" w:sz="8" w:space="0"/>
              <w:bottom w:val="single" w:color="auto" w:sz="6" w:space="0"/>
              <w:right w:val="single" w:color="auto" w:sz="6" w:space="0"/>
            </w:tcBorders>
            <w:vAlign w:val="center"/>
          </w:tcPr>
          <w:p w14:paraId="2437C96A">
            <w:pPr>
              <w:spacing w:line="360" w:lineRule="exact"/>
              <w:ind w:firstLine="0" w:firstLineChars="0"/>
              <w:jc w:val="center"/>
              <w:rPr>
                <w:sz w:val="21"/>
                <w:szCs w:val="21"/>
                <w:u w:val="single"/>
              </w:rPr>
            </w:pPr>
            <w:r>
              <w:rPr>
                <w:rFonts w:hint="eastAsia"/>
                <w:sz w:val="21"/>
                <w:szCs w:val="21"/>
                <w:u w:val="single"/>
              </w:rPr>
              <w:t>D4（八甲基环四硅氧烷）</w:t>
            </w:r>
          </w:p>
        </w:tc>
        <w:tc>
          <w:tcPr>
            <w:tcW w:w="1082" w:type="pct"/>
            <w:tcBorders>
              <w:top w:val="single" w:color="auto" w:sz="6" w:space="0"/>
              <w:left w:val="single" w:color="auto" w:sz="6" w:space="0"/>
              <w:bottom w:val="single" w:color="auto" w:sz="6" w:space="0"/>
              <w:right w:val="single" w:color="auto" w:sz="6" w:space="0"/>
            </w:tcBorders>
            <w:vAlign w:val="center"/>
          </w:tcPr>
          <w:p w14:paraId="0B36BA02">
            <w:pPr>
              <w:spacing w:line="360" w:lineRule="exact"/>
              <w:ind w:firstLine="0" w:firstLineChars="0"/>
              <w:contextualSpacing/>
              <w:jc w:val="center"/>
              <w:rPr>
                <w:sz w:val="21"/>
                <w:szCs w:val="21"/>
                <w:u w:val="single"/>
              </w:rPr>
            </w:pPr>
            <w:r>
              <w:rPr>
                <w:rFonts w:hint="eastAsia"/>
                <w:sz w:val="21"/>
                <w:szCs w:val="21"/>
                <w:u w:val="single"/>
              </w:rPr>
              <w:t>32.36</w:t>
            </w:r>
          </w:p>
        </w:tc>
        <w:tc>
          <w:tcPr>
            <w:tcW w:w="1163" w:type="pct"/>
            <w:tcBorders>
              <w:top w:val="single" w:color="auto" w:sz="6" w:space="0"/>
              <w:left w:val="single" w:color="auto" w:sz="6" w:space="0"/>
              <w:bottom w:val="single" w:color="auto" w:sz="6" w:space="0"/>
              <w:right w:val="single" w:color="auto" w:sz="6" w:space="0"/>
            </w:tcBorders>
            <w:vAlign w:val="center"/>
          </w:tcPr>
          <w:p w14:paraId="4D8A91AD">
            <w:pPr>
              <w:spacing w:line="360" w:lineRule="exact"/>
              <w:ind w:firstLine="0" w:firstLineChars="0"/>
              <w:contextualSpacing/>
              <w:jc w:val="center"/>
              <w:rPr>
                <w:sz w:val="21"/>
                <w:szCs w:val="21"/>
                <w:u w:val="single"/>
              </w:rPr>
            </w:pPr>
            <w:r>
              <w:rPr>
                <w:rFonts w:hint="eastAsia"/>
                <w:sz w:val="21"/>
                <w:szCs w:val="21"/>
                <w:u w:val="single"/>
              </w:rPr>
              <w:t>0.002</w:t>
            </w:r>
          </w:p>
        </w:tc>
        <w:tc>
          <w:tcPr>
            <w:tcW w:w="1194" w:type="pct"/>
            <w:tcBorders>
              <w:top w:val="single" w:color="auto" w:sz="6" w:space="0"/>
              <w:left w:val="single" w:color="auto" w:sz="6" w:space="0"/>
              <w:bottom w:val="single" w:color="auto" w:sz="6" w:space="0"/>
              <w:right w:val="single" w:color="auto" w:sz="8" w:space="0"/>
            </w:tcBorders>
            <w:vAlign w:val="center"/>
          </w:tcPr>
          <w:p w14:paraId="58038777">
            <w:pPr>
              <w:spacing w:line="360" w:lineRule="exact"/>
              <w:ind w:firstLine="0" w:firstLineChars="0"/>
              <w:contextualSpacing/>
              <w:jc w:val="center"/>
              <w:rPr>
                <w:sz w:val="21"/>
                <w:szCs w:val="21"/>
                <w:u w:val="single"/>
              </w:rPr>
            </w:pPr>
            <w:r>
              <w:rPr>
                <w:rFonts w:hint="eastAsia"/>
                <w:sz w:val="21"/>
                <w:szCs w:val="21"/>
                <w:u w:val="single"/>
              </w:rPr>
              <w:t>0.0226</w:t>
            </w:r>
          </w:p>
        </w:tc>
      </w:tr>
    </w:tbl>
    <w:p w14:paraId="123C2F6C">
      <w:pPr>
        <w:spacing w:line="240" w:lineRule="auto"/>
        <w:ind w:firstLine="420"/>
        <w:rPr>
          <w:rFonts w:eastAsia="黑体"/>
          <w:sz w:val="21"/>
          <w:szCs w:val="21"/>
          <w:u w:val="single"/>
        </w:rPr>
      </w:pPr>
      <w:r>
        <w:rPr>
          <w:rFonts w:eastAsia="黑体"/>
          <w:sz w:val="21"/>
          <w:szCs w:val="21"/>
          <w:u w:val="single"/>
        </w:rPr>
        <w:t>注：#泄漏的物质不会立即全部燃烧，物质燃烧速率按泄漏量的</w:t>
      </w:r>
      <w:r>
        <w:rPr>
          <w:rFonts w:hint="eastAsia" w:eastAsia="黑体"/>
          <w:sz w:val="21"/>
          <w:szCs w:val="21"/>
          <w:u w:val="single"/>
        </w:rPr>
        <w:t>1</w:t>
      </w:r>
      <w:r>
        <w:rPr>
          <w:rFonts w:eastAsia="黑体"/>
          <w:sz w:val="21"/>
          <w:szCs w:val="21"/>
          <w:u w:val="single"/>
        </w:rPr>
        <w:t>%计。</w:t>
      </w:r>
    </w:p>
    <w:p w14:paraId="0F8D9423">
      <w:pPr>
        <w:pStyle w:val="4"/>
      </w:pPr>
      <w:bookmarkStart w:id="333" w:name="_Toc176105883"/>
      <w:r>
        <w:rPr>
          <w:rFonts w:hint="eastAsia"/>
        </w:rPr>
        <w:t>风险预测与评价</w:t>
      </w:r>
      <w:bookmarkEnd w:id="333"/>
    </w:p>
    <w:p w14:paraId="45A946AD">
      <w:pPr>
        <w:pStyle w:val="5"/>
        <w:spacing w:before="312" w:after="312"/>
        <w:ind w:left="0" w:firstLine="510"/>
      </w:pPr>
      <w:r>
        <w:rPr>
          <w:rFonts w:hint="eastAsia"/>
        </w:rPr>
        <w:t>大气风险预测与评价</w:t>
      </w:r>
    </w:p>
    <w:p w14:paraId="1FC98382">
      <w:pPr>
        <w:pStyle w:val="6"/>
        <w:ind w:left="0" w:firstLine="482"/>
      </w:pPr>
      <w:r>
        <w:rPr>
          <w:rFonts w:hint="eastAsia"/>
        </w:rPr>
        <w:t>预测模型筛选</w:t>
      </w:r>
    </w:p>
    <w:p w14:paraId="3CC20B70">
      <w:pPr>
        <w:ind w:firstLine="480"/>
        <w:rPr>
          <w:bCs/>
          <w:szCs w:val="24"/>
        </w:rPr>
      </w:pPr>
      <w:r>
        <w:rPr>
          <w:rFonts w:hint="eastAsia"/>
          <w:bCs/>
          <w:szCs w:val="24"/>
        </w:rPr>
        <w:t>1、泄露及蒸发</w:t>
      </w:r>
    </w:p>
    <w:p w14:paraId="7B3D8DD1">
      <w:pPr>
        <w:ind w:firstLine="480"/>
        <w:rPr>
          <w:bCs/>
          <w:szCs w:val="24"/>
        </w:rPr>
      </w:pPr>
      <w:r>
        <w:rPr>
          <w:rFonts w:hint="eastAsia"/>
          <w:bCs/>
          <w:szCs w:val="24"/>
        </w:rPr>
        <w:t>根据《建设项目环境风险评价技术导则》（HJ169-2018）附录G中的要求，预测计算时，应区分重质气体与轻质气体排放选择合适的大气风险预测模型。判断依据可采用导则附录G中G.2推荐的理查德森数进行判断。</w:t>
      </w:r>
    </w:p>
    <w:p w14:paraId="0634923C">
      <w:pPr>
        <w:ind w:firstLine="480"/>
        <w:rPr>
          <w:bCs/>
          <w:szCs w:val="24"/>
        </w:rPr>
      </w:pPr>
      <w:r>
        <w:rPr>
          <w:rFonts w:hint="eastAsia"/>
          <w:bCs/>
          <w:szCs w:val="24"/>
        </w:rPr>
        <w:t>本次评价采用以2018年版中国大气环境影响评价导则和风险导则为依据开发的EIAPro2018专业软件对储罐泄漏情况理查德森数Ri值进行了计算。导则规定判断标准为：对于连续排放，理查德森数Ri值≥1/6为重质气体，Ri值&lt;1/6为轻质气体。本项目环境风险属于连续排放，本项目泄漏蒸发理查德森数（Ri）计算结果见下表。</w:t>
      </w:r>
    </w:p>
    <w:p w14:paraId="494EE715">
      <w:pPr>
        <w:pStyle w:val="99"/>
        <w:numPr>
          <w:ilvl w:val="4"/>
          <w:numId w:val="46"/>
        </w:numPr>
        <w:ind w:left="0" w:firstLine="480"/>
        <w:rPr>
          <w:rFonts w:eastAsia="黑体"/>
          <w:bCs/>
          <w:szCs w:val="24"/>
        </w:rPr>
      </w:pPr>
      <w:r>
        <w:rPr>
          <w:rFonts w:eastAsia="黑体"/>
          <w:bCs/>
          <w:szCs w:val="24"/>
        </w:rPr>
        <w:t xml:space="preserve">        项目风险物质理查德森数计算结果</w:t>
      </w:r>
    </w:p>
    <w:tbl>
      <w:tblPr>
        <w:tblStyle w:val="41"/>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1414"/>
        <w:gridCol w:w="1708"/>
        <w:gridCol w:w="2564"/>
        <w:gridCol w:w="1425"/>
        <w:gridCol w:w="1215"/>
      </w:tblGrid>
      <w:tr w14:paraId="5C7AAE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49" w:type="pct"/>
            <w:tcBorders>
              <w:top w:val="single" w:color="auto" w:sz="8" w:space="0"/>
              <w:left w:val="single" w:color="auto" w:sz="8" w:space="0"/>
              <w:bottom w:val="single" w:color="auto" w:sz="6" w:space="0"/>
              <w:right w:val="single" w:color="auto" w:sz="6" w:space="0"/>
            </w:tcBorders>
            <w:vAlign w:val="center"/>
          </w:tcPr>
          <w:p w14:paraId="12449DC1">
            <w:pPr>
              <w:spacing w:line="240" w:lineRule="auto"/>
              <w:ind w:firstLine="0" w:firstLineChars="0"/>
              <w:jc w:val="center"/>
              <w:rPr>
                <w:b/>
                <w:sz w:val="21"/>
                <w:szCs w:val="21"/>
              </w:rPr>
            </w:pPr>
            <w:r>
              <w:rPr>
                <w:b/>
                <w:sz w:val="21"/>
                <w:szCs w:val="21"/>
              </w:rPr>
              <w:t>风险物质</w:t>
            </w:r>
          </w:p>
        </w:tc>
        <w:tc>
          <w:tcPr>
            <w:tcW w:w="1026" w:type="pct"/>
            <w:tcBorders>
              <w:top w:val="single" w:color="auto" w:sz="8" w:space="0"/>
              <w:left w:val="single" w:color="auto" w:sz="4" w:space="0"/>
              <w:bottom w:val="single" w:color="auto" w:sz="6" w:space="0"/>
              <w:right w:val="single" w:color="auto" w:sz="4" w:space="0"/>
            </w:tcBorders>
          </w:tcPr>
          <w:p w14:paraId="6D649FD2">
            <w:pPr>
              <w:spacing w:line="240" w:lineRule="auto"/>
              <w:ind w:firstLine="0" w:firstLineChars="0"/>
              <w:jc w:val="center"/>
              <w:rPr>
                <w:b/>
                <w:bCs/>
                <w:sz w:val="21"/>
                <w:szCs w:val="21"/>
              </w:rPr>
            </w:pPr>
            <w:r>
              <w:rPr>
                <w:b/>
                <w:bCs/>
                <w:sz w:val="21"/>
                <w:szCs w:val="21"/>
              </w:rPr>
              <w:t>气象条件</w:t>
            </w:r>
          </w:p>
        </w:tc>
        <w:tc>
          <w:tcPr>
            <w:tcW w:w="1540" w:type="pct"/>
            <w:tcBorders>
              <w:top w:val="single" w:color="auto" w:sz="8" w:space="0"/>
              <w:left w:val="single" w:color="auto" w:sz="4" w:space="0"/>
              <w:bottom w:val="single" w:color="auto" w:sz="6" w:space="0"/>
              <w:right w:val="single" w:color="auto" w:sz="4" w:space="0"/>
            </w:tcBorders>
            <w:vAlign w:val="center"/>
          </w:tcPr>
          <w:p w14:paraId="485429A9">
            <w:pPr>
              <w:spacing w:line="240" w:lineRule="auto"/>
              <w:ind w:firstLine="0" w:firstLineChars="0"/>
              <w:jc w:val="center"/>
              <w:rPr>
                <w:b/>
                <w:bCs/>
                <w:sz w:val="21"/>
                <w:szCs w:val="21"/>
              </w:rPr>
            </w:pPr>
            <w:r>
              <w:rPr>
                <w:b/>
                <w:bCs/>
                <w:sz w:val="21"/>
                <w:szCs w:val="21"/>
              </w:rPr>
              <w:t>理查德森数Ri</w:t>
            </w:r>
          </w:p>
        </w:tc>
        <w:tc>
          <w:tcPr>
            <w:tcW w:w="856" w:type="pct"/>
            <w:tcBorders>
              <w:top w:val="single" w:color="auto" w:sz="8" w:space="0"/>
              <w:left w:val="single" w:color="auto" w:sz="4" w:space="0"/>
              <w:bottom w:val="single" w:color="auto" w:sz="6" w:space="0"/>
              <w:right w:val="single" w:color="auto" w:sz="4" w:space="0"/>
            </w:tcBorders>
            <w:vAlign w:val="center"/>
          </w:tcPr>
          <w:p w14:paraId="5FCF014C">
            <w:pPr>
              <w:spacing w:line="240" w:lineRule="auto"/>
              <w:ind w:firstLine="0" w:firstLineChars="0"/>
              <w:jc w:val="center"/>
              <w:rPr>
                <w:b/>
                <w:bCs/>
                <w:sz w:val="21"/>
                <w:szCs w:val="21"/>
              </w:rPr>
            </w:pPr>
            <w:r>
              <w:rPr>
                <w:b/>
                <w:bCs/>
                <w:sz w:val="21"/>
                <w:szCs w:val="21"/>
              </w:rPr>
              <w:t>气体类型</w:t>
            </w:r>
          </w:p>
        </w:tc>
        <w:tc>
          <w:tcPr>
            <w:tcW w:w="729" w:type="pct"/>
            <w:tcBorders>
              <w:top w:val="single" w:color="auto" w:sz="8" w:space="0"/>
              <w:left w:val="single" w:color="auto" w:sz="4" w:space="0"/>
              <w:bottom w:val="single" w:color="auto" w:sz="6" w:space="0"/>
              <w:right w:val="single" w:color="auto" w:sz="8" w:space="0"/>
            </w:tcBorders>
            <w:vAlign w:val="center"/>
          </w:tcPr>
          <w:p w14:paraId="2371B6B3">
            <w:pPr>
              <w:spacing w:line="240" w:lineRule="auto"/>
              <w:ind w:firstLine="0" w:firstLineChars="0"/>
              <w:jc w:val="center"/>
              <w:rPr>
                <w:b/>
                <w:bCs/>
                <w:sz w:val="21"/>
                <w:szCs w:val="21"/>
              </w:rPr>
            </w:pPr>
            <w:r>
              <w:rPr>
                <w:b/>
                <w:bCs/>
                <w:sz w:val="21"/>
                <w:szCs w:val="21"/>
              </w:rPr>
              <w:t>扩散模式</w:t>
            </w:r>
          </w:p>
        </w:tc>
      </w:tr>
      <w:tr w14:paraId="7F80FD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49" w:type="pct"/>
            <w:vMerge w:val="restart"/>
            <w:tcBorders>
              <w:top w:val="single" w:color="auto" w:sz="6" w:space="0"/>
              <w:left w:val="single" w:color="auto" w:sz="8" w:space="0"/>
              <w:bottom w:val="single" w:color="auto" w:sz="6" w:space="0"/>
              <w:right w:val="single" w:color="auto" w:sz="6" w:space="0"/>
            </w:tcBorders>
            <w:vAlign w:val="center"/>
          </w:tcPr>
          <w:p w14:paraId="698CA8F2">
            <w:pPr>
              <w:spacing w:line="240" w:lineRule="auto"/>
              <w:ind w:firstLine="0" w:firstLineChars="0"/>
              <w:jc w:val="center"/>
              <w:rPr>
                <w:sz w:val="21"/>
                <w:szCs w:val="21"/>
              </w:rPr>
            </w:pPr>
            <w:r>
              <w:rPr>
                <w:rFonts w:hint="eastAsia"/>
                <w:sz w:val="21"/>
                <w:szCs w:val="21"/>
              </w:rPr>
              <w:t>D4（八甲基环四硅氧烷）</w:t>
            </w:r>
          </w:p>
        </w:tc>
        <w:tc>
          <w:tcPr>
            <w:tcW w:w="1026" w:type="pct"/>
            <w:tcBorders>
              <w:top w:val="single" w:color="auto" w:sz="6" w:space="0"/>
              <w:left w:val="single" w:color="auto" w:sz="4" w:space="0"/>
              <w:bottom w:val="single" w:color="auto" w:sz="6" w:space="0"/>
              <w:right w:val="single" w:color="auto" w:sz="4" w:space="0"/>
            </w:tcBorders>
            <w:vAlign w:val="center"/>
          </w:tcPr>
          <w:p w14:paraId="543A344A">
            <w:pPr>
              <w:spacing w:line="240" w:lineRule="auto"/>
              <w:ind w:firstLine="0" w:firstLineChars="0"/>
              <w:jc w:val="center"/>
              <w:rPr>
                <w:sz w:val="21"/>
                <w:szCs w:val="21"/>
              </w:rPr>
            </w:pPr>
            <w:r>
              <w:rPr>
                <w:sz w:val="21"/>
                <w:szCs w:val="21"/>
              </w:rPr>
              <w:t>最常见气象条件</w:t>
            </w:r>
          </w:p>
        </w:tc>
        <w:tc>
          <w:tcPr>
            <w:tcW w:w="1540" w:type="pct"/>
            <w:tcBorders>
              <w:top w:val="single" w:color="auto" w:sz="6" w:space="0"/>
              <w:left w:val="single" w:color="auto" w:sz="4" w:space="0"/>
              <w:bottom w:val="single" w:color="auto" w:sz="6" w:space="0"/>
              <w:right w:val="single" w:color="auto" w:sz="4" w:space="0"/>
            </w:tcBorders>
            <w:vAlign w:val="center"/>
          </w:tcPr>
          <w:p w14:paraId="57F4D5B2">
            <w:pPr>
              <w:spacing w:line="240" w:lineRule="auto"/>
              <w:ind w:firstLine="0" w:firstLineChars="0"/>
              <w:jc w:val="center"/>
              <w:rPr>
                <w:sz w:val="21"/>
                <w:szCs w:val="21"/>
              </w:rPr>
            </w:pPr>
            <w:r>
              <w:rPr>
                <w:sz w:val="21"/>
                <w:szCs w:val="21"/>
              </w:rPr>
              <w:t>Ri =</w:t>
            </w:r>
            <w:r>
              <w:rPr>
                <w:rFonts w:hint="eastAsia"/>
                <w:sz w:val="21"/>
                <w:szCs w:val="21"/>
              </w:rPr>
              <w:t>1.636412</w:t>
            </w:r>
            <w:r>
              <w:rPr>
                <w:sz w:val="21"/>
                <w:szCs w:val="21"/>
              </w:rPr>
              <w:t>E-02，Ri&lt;1/6</w:t>
            </w:r>
          </w:p>
        </w:tc>
        <w:tc>
          <w:tcPr>
            <w:tcW w:w="856" w:type="pct"/>
            <w:tcBorders>
              <w:top w:val="single" w:color="auto" w:sz="6" w:space="0"/>
              <w:left w:val="single" w:color="auto" w:sz="4" w:space="0"/>
              <w:bottom w:val="single" w:color="auto" w:sz="6" w:space="0"/>
              <w:right w:val="single" w:color="auto" w:sz="4" w:space="0"/>
            </w:tcBorders>
            <w:vAlign w:val="center"/>
          </w:tcPr>
          <w:p w14:paraId="66B6ED32">
            <w:pPr>
              <w:spacing w:line="240" w:lineRule="auto"/>
              <w:ind w:firstLine="0" w:firstLineChars="0"/>
              <w:jc w:val="center"/>
              <w:rPr>
                <w:sz w:val="21"/>
                <w:szCs w:val="21"/>
              </w:rPr>
            </w:pPr>
            <w:r>
              <w:rPr>
                <w:rFonts w:hint="eastAsia"/>
                <w:sz w:val="21"/>
                <w:szCs w:val="21"/>
              </w:rPr>
              <w:t>轻质气体</w:t>
            </w:r>
          </w:p>
        </w:tc>
        <w:tc>
          <w:tcPr>
            <w:tcW w:w="729" w:type="pct"/>
            <w:tcBorders>
              <w:top w:val="single" w:color="auto" w:sz="6" w:space="0"/>
              <w:left w:val="single" w:color="auto" w:sz="4" w:space="0"/>
              <w:bottom w:val="single" w:color="auto" w:sz="6" w:space="0"/>
              <w:right w:val="single" w:color="auto" w:sz="8" w:space="0"/>
            </w:tcBorders>
            <w:vAlign w:val="center"/>
          </w:tcPr>
          <w:p w14:paraId="12B687B6">
            <w:pPr>
              <w:spacing w:line="240" w:lineRule="auto"/>
              <w:ind w:firstLine="0" w:firstLineChars="0"/>
              <w:jc w:val="center"/>
              <w:rPr>
                <w:sz w:val="21"/>
                <w:szCs w:val="21"/>
              </w:rPr>
            </w:pPr>
            <w:r>
              <w:rPr>
                <w:sz w:val="21"/>
                <w:szCs w:val="21"/>
              </w:rPr>
              <w:t>AFTOX</w:t>
            </w:r>
          </w:p>
        </w:tc>
      </w:tr>
      <w:tr w14:paraId="30D46D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49" w:type="pct"/>
            <w:vMerge w:val="continue"/>
            <w:tcBorders>
              <w:top w:val="single" w:color="auto" w:sz="6" w:space="0"/>
              <w:left w:val="single" w:color="auto" w:sz="8" w:space="0"/>
              <w:bottom w:val="single" w:color="auto" w:sz="6" w:space="0"/>
              <w:right w:val="single" w:color="auto" w:sz="6" w:space="0"/>
            </w:tcBorders>
            <w:vAlign w:val="center"/>
          </w:tcPr>
          <w:p w14:paraId="12975888">
            <w:pPr>
              <w:spacing w:line="240" w:lineRule="auto"/>
              <w:ind w:firstLine="0" w:firstLineChars="0"/>
              <w:jc w:val="center"/>
              <w:rPr>
                <w:sz w:val="21"/>
                <w:szCs w:val="21"/>
              </w:rPr>
            </w:pPr>
          </w:p>
        </w:tc>
        <w:tc>
          <w:tcPr>
            <w:tcW w:w="1026" w:type="pct"/>
            <w:tcBorders>
              <w:top w:val="single" w:color="auto" w:sz="6" w:space="0"/>
              <w:left w:val="single" w:color="auto" w:sz="4" w:space="0"/>
              <w:bottom w:val="single" w:color="auto" w:sz="6" w:space="0"/>
              <w:right w:val="single" w:color="auto" w:sz="4" w:space="0"/>
            </w:tcBorders>
            <w:vAlign w:val="center"/>
          </w:tcPr>
          <w:p w14:paraId="532C260F">
            <w:pPr>
              <w:spacing w:line="240" w:lineRule="auto"/>
              <w:ind w:firstLine="0" w:firstLineChars="0"/>
              <w:jc w:val="center"/>
              <w:rPr>
                <w:sz w:val="21"/>
                <w:szCs w:val="21"/>
              </w:rPr>
            </w:pPr>
            <w:r>
              <w:rPr>
                <w:sz w:val="21"/>
                <w:szCs w:val="21"/>
              </w:rPr>
              <w:t>最不利气象条件</w:t>
            </w:r>
          </w:p>
        </w:tc>
        <w:tc>
          <w:tcPr>
            <w:tcW w:w="1540" w:type="pct"/>
            <w:tcBorders>
              <w:top w:val="single" w:color="auto" w:sz="6" w:space="0"/>
              <w:left w:val="single" w:color="auto" w:sz="4" w:space="0"/>
              <w:bottom w:val="single" w:color="auto" w:sz="6" w:space="0"/>
              <w:right w:val="single" w:color="auto" w:sz="4" w:space="0"/>
            </w:tcBorders>
            <w:vAlign w:val="center"/>
          </w:tcPr>
          <w:p w14:paraId="5FBCE051">
            <w:pPr>
              <w:spacing w:line="240" w:lineRule="auto"/>
              <w:ind w:firstLine="0" w:firstLineChars="0"/>
              <w:jc w:val="center"/>
              <w:rPr>
                <w:sz w:val="21"/>
                <w:szCs w:val="21"/>
              </w:rPr>
            </w:pPr>
            <w:r>
              <w:rPr>
                <w:sz w:val="21"/>
                <w:szCs w:val="21"/>
              </w:rPr>
              <w:t>Ri =</w:t>
            </w:r>
            <w:r>
              <w:rPr>
                <w:rFonts w:hint="eastAsia"/>
                <w:sz w:val="21"/>
                <w:szCs w:val="21"/>
              </w:rPr>
              <w:t>2.159788</w:t>
            </w:r>
            <w:r>
              <w:rPr>
                <w:sz w:val="21"/>
                <w:szCs w:val="21"/>
              </w:rPr>
              <w:t>E-0</w:t>
            </w:r>
            <w:r>
              <w:rPr>
                <w:rFonts w:hint="eastAsia"/>
                <w:sz w:val="21"/>
                <w:szCs w:val="21"/>
              </w:rPr>
              <w:t>2</w:t>
            </w:r>
            <w:r>
              <w:rPr>
                <w:sz w:val="21"/>
                <w:szCs w:val="21"/>
              </w:rPr>
              <w:t>，Ri&lt;1/6</w:t>
            </w:r>
          </w:p>
        </w:tc>
        <w:tc>
          <w:tcPr>
            <w:tcW w:w="856" w:type="pct"/>
            <w:tcBorders>
              <w:top w:val="single" w:color="auto" w:sz="6" w:space="0"/>
              <w:left w:val="single" w:color="auto" w:sz="4" w:space="0"/>
              <w:bottom w:val="single" w:color="auto" w:sz="6" w:space="0"/>
              <w:right w:val="single" w:color="auto" w:sz="4" w:space="0"/>
            </w:tcBorders>
            <w:vAlign w:val="center"/>
          </w:tcPr>
          <w:p w14:paraId="6BF67F94">
            <w:pPr>
              <w:spacing w:line="240" w:lineRule="auto"/>
              <w:ind w:firstLine="0" w:firstLineChars="0"/>
              <w:jc w:val="center"/>
              <w:rPr>
                <w:sz w:val="21"/>
                <w:szCs w:val="21"/>
              </w:rPr>
            </w:pPr>
            <w:r>
              <w:rPr>
                <w:rFonts w:hint="eastAsia"/>
                <w:sz w:val="21"/>
                <w:szCs w:val="21"/>
              </w:rPr>
              <w:t>轻质气体</w:t>
            </w:r>
          </w:p>
        </w:tc>
        <w:tc>
          <w:tcPr>
            <w:tcW w:w="729" w:type="pct"/>
            <w:tcBorders>
              <w:top w:val="single" w:color="auto" w:sz="6" w:space="0"/>
              <w:left w:val="single" w:color="auto" w:sz="4" w:space="0"/>
              <w:bottom w:val="single" w:color="auto" w:sz="6" w:space="0"/>
              <w:right w:val="single" w:color="auto" w:sz="8" w:space="0"/>
            </w:tcBorders>
            <w:vAlign w:val="center"/>
          </w:tcPr>
          <w:p w14:paraId="6A895024">
            <w:pPr>
              <w:spacing w:line="240" w:lineRule="auto"/>
              <w:ind w:firstLine="0" w:firstLineChars="0"/>
              <w:jc w:val="center"/>
              <w:rPr>
                <w:sz w:val="21"/>
                <w:szCs w:val="21"/>
              </w:rPr>
            </w:pPr>
            <w:r>
              <w:rPr>
                <w:sz w:val="21"/>
                <w:szCs w:val="21"/>
              </w:rPr>
              <w:t>AFTOX</w:t>
            </w:r>
          </w:p>
        </w:tc>
      </w:tr>
      <w:tr w14:paraId="7186CB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49" w:type="pct"/>
            <w:vMerge w:val="restart"/>
            <w:tcBorders>
              <w:top w:val="single" w:color="auto" w:sz="6" w:space="0"/>
              <w:left w:val="single" w:color="auto" w:sz="8" w:space="0"/>
              <w:bottom w:val="single" w:color="auto" w:sz="6" w:space="0"/>
              <w:right w:val="single" w:color="auto" w:sz="6" w:space="0"/>
            </w:tcBorders>
            <w:vAlign w:val="center"/>
          </w:tcPr>
          <w:p w14:paraId="606DAACB">
            <w:pPr>
              <w:spacing w:line="240" w:lineRule="auto"/>
              <w:ind w:firstLine="0" w:firstLineChars="0"/>
              <w:jc w:val="center"/>
              <w:rPr>
                <w:sz w:val="21"/>
                <w:szCs w:val="21"/>
              </w:rPr>
            </w:pPr>
            <w:r>
              <w:rPr>
                <w:rFonts w:hint="eastAsia"/>
                <w:sz w:val="21"/>
                <w:szCs w:val="21"/>
              </w:rPr>
              <w:t>硫酸</w:t>
            </w:r>
          </w:p>
        </w:tc>
        <w:tc>
          <w:tcPr>
            <w:tcW w:w="1026" w:type="pct"/>
            <w:tcBorders>
              <w:top w:val="single" w:color="auto" w:sz="6" w:space="0"/>
              <w:left w:val="single" w:color="auto" w:sz="4" w:space="0"/>
              <w:bottom w:val="single" w:color="auto" w:sz="6" w:space="0"/>
              <w:right w:val="single" w:color="auto" w:sz="4" w:space="0"/>
            </w:tcBorders>
            <w:vAlign w:val="center"/>
          </w:tcPr>
          <w:p w14:paraId="6A3E1E36">
            <w:pPr>
              <w:spacing w:line="240" w:lineRule="auto"/>
              <w:ind w:firstLine="0" w:firstLineChars="0"/>
              <w:jc w:val="center"/>
              <w:rPr>
                <w:sz w:val="21"/>
                <w:szCs w:val="21"/>
              </w:rPr>
            </w:pPr>
            <w:r>
              <w:rPr>
                <w:sz w:val="21"/>
                <w:szCs w:val="21"/>
              </w:rPr>
              <w:t>最常见气象条件</w:t>
            </w:r>
          </w:p>
        </w:tc>
        <w:tc>
          <w:tcPr>
            <w:tcW w:w="1540" w:type="pct"/>
            <w:tcBorders>
              <w:top w:val="single" w:color="auto" w:sz="6" w:space="0"/>
              <w:left w:val="single" w:color="auto" w:sz="4" w:space="0"/>
              <w:bottom w:val="single" w:color="auto" w:sz="6" w:space="0"/>
              <w:right w:val="single" w:color="auto" w:sz="4" w:space="0"/>
            </w:tcBorders>
            <w:vAlign w:val="center"/>
          </w:tcPr>
          <w:p w14:paraId="6C19F01B">
            <w:pPr>
              <w:spacing w:line="240" w:lineRule="auto"/>
              <w:ind w:firstLine="0" w:firstLineChars="0"/>
              <w:jc w:val="center"/>
              <w:rPr>
                <w:sz w:val="21"/>
                <w:szCs w:val="21"/>
              </w:rPr>
            </w:pPr>
            <w:r>
              <w:rPr>
                <w:sz w:val="21"/>
                <w:szCs w:val="21"/>
              </w:rPr>
              <w:t>Ri=</w:t>
            </w:r>
            <w:r>
              <w:rPr>
                <w:rFonts w:hint="eastAsia"/>
                <w:sz w:val="21"/>
                <w:szCs w:val="21"/>
              </w:rPr>
              <w:t>3.577149</w:t>
            </w:r>
            <w:r>
              <w:rPr>
                <w:sz w:val="21"/>
                <w:szCs w:val="21"/>
              </w:rPr>
              <w:t>E-0</w:t>
            </w:r>
            <w:r>
              <w:rPr>
                <w:rFonts w:hint="eastAsia"/>
                <w:sz w:val="21"/>
                <w:szCs w:val="21"/>
              </w:rPr>
              <w:t>3</w:t>
            </w:r>
            <w:r>
              <w:rPr>
                <w:sz w:val="21"/>
                <w:szCs w:val="21"/>
              </w:rPr>
              <w:t>，Ri&lt;1/6</w:t>
            </w:r>
          </w:p>
        </w:tc>
        <w:tc>
          <w:tcPr>
            <w:tcW w:w="856" w:type="pct"/>
            <w:tcBorders>
              <w:top w:val="single" w:color="auto" w:sz="6" w:space="0"/>
              <w:left w:val="single" w:color="auto" w:sz="4" w:space="0"/>
              <w:bottom w:val="single" w:color="auto" w:sz="6" w:space="0"/>
              <w:right w:val="single" w:color="auto" w:sz="4" w:space="0"/>
            </w:tcBorders>
            <w:vAlign w:val="center"/>
          </w:tcPr>
          <w:p w14:paraId="3A1D2AA1">
            <w:pPr>
              <w:spacing w:line="240" w:lineRule="auto"/>
              <w:ind w:firstLine="0" w:firstLineChars="0"/>
              <w:jc w:val="center"/>
              <w:rPr>
                <w:sz w:val="21"/>
                <w:szCs w:val="21"/>
              </w:rPr>
            </w:pPr>
            <w:r>
              <w:rPr>
                <w:rFonts w:hint="eastAsia"/>
                <w:sz w:val="21"/>
                <w:szCs w:val="21"/>
              </w:rPr>
              <w:t>轻质气体</w:t>
            </w:r>
          </w:p>
        </w:tc>
        <w:tc>
          <w:tcPr>
            <w:tcW w:w="729" w:type="pct"/>
            <w:tcBorders>
              <w:top w:val="single" w:color="auto" w:sz="6" w:space="0"/>
              <w:left w:val="single" w:color="auto" w:sz="4" w:space="0"/>
              <w:bottom w:val="single" w:color="auto" w:sz="6" w:space="0"/>
              <w:right w:val="single" w:color="auto" w:sz="8" w:space="0"/>
            </w:tcBorders>
            <w:vAlign w:val="center"/>
          </w:tcPr>
          <w:p w14:paraId="0BF92ED8">
            <w:pPr>
              <w:spacing w:line="240" w:lineRule="auto"/>
              <w:ind w:firstLine="0" w:firstLineChars="0"/>
              <w:jc w:val="center"/>
              <w:rPr>
                <w:sz w:val="21"/>
                <w:szCs w:val="21"/>
              </w:rPr>
            </w:pPr>
            <w:r>
              <w:rPr>
                <w:sz w:val="21"/>
                <w:szCs w:val="21"/>
              </w:rPr>
              <w:t>AFTOX</w:t>
            </w:r>
          </w:p>
        </w:tc>
      </w:tr>
      <w:tr w14:paraId="1C9B4D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49" w:type="pct"/>
            <w:vMerge w:val="continue"/>
            <w:tcBorders>
              <w:top w:val="single" w:color="auto" w:sz="6" w:space="0"/>
              <w:left w:val="single" w:color="auto" w:sz="8" w:space="0"/>
              <w:bottom w:val="single" w:color="auto" w:sz="8" w:space="0"/>
              <w:right w:val="single" w:color="auto" w:sz="6" w:space="0"/>
            </w:tcBorders>
            <w:vAlign w:val="center"/>
          </w:tcPr>
          <w:p w14:paraId="5B387A82">
            <w:pPr>
              <w:spacing w:line="240" w:lineRule="auto"/>
              <w:ind w:firstLine="0" w:firstLineChars="0"/>
              <w:jc w:val="center"/>
              <w:rPr>
                <w:sz w:val="21"/>
                <w:szCs w:val="21"/>
              </w:rPr>
            </w:pPr>
          </w:p>
        </w:tc>
        <w:tc>
          <w:tcPr>
            <w:tcW w:w="1026" w:type="pct"/>
            <w:tcBorders>
              <w:top w:val="single" w:color="auto" w:sz="6" w:space="0"/>
              <w:left w:val="single" w:color="auto" w:sz="4" w:space="0"/>
              <w:bottom w:val="single" w:color="auto" w:sz="8" w:space="0"/>
              <w:right w:val="single" w:color="auto" w:sz="4" w:space="0"/>
            </w:tcBorders>
            <w:vAlign w:val="center"/>
          </w:tcPr>
          <w:p w14:paraId="20C0A4D2">
            <w:pPr>
              <w:spacing w:line="240" w:lineRule="auto"/>
              <w:ind w:firstLine="0" w:firstLineChars="0"/>
              <w:jc w:val="center"/>
              <w:rPr>
                <w:sz w:val="21"/>
                <w:szCs w:val="21"/>
              </w:rPr>
            </w:pPr>
            <w:r>
              <w:rPr>
                <w:sz w:val="21"/>
                <w:szCs w:val="21"/>
              </w:rPr>
              <w:t>最不利气象条件</w:t>
            </w:r>
          </w:p>
        </w:tc>
        <w:tc>
          <w:tcPr>
            <w:tcW w:w="1540" w:type="pct"/>
            <w:tcBorders>
              <w:top w:val="single" w:color="auto" w:sz="6" w:space="0"/>
              <w:left w:val="single" w:color="auto" w:sz="4" w:space="0"/>
              <w:bottom w:val="single" w:color="auto" w:sz="8" w:space="0"/>
              <w:right w:val="single" w:color="auto" w:sz="4" w:space="0"/>
            </w:tcBorders>
            <w:vAlign w:val="center"/>
          </w:tcPr>
          <w:p w14:paraId="197FCCBB">
            <w:pPr>
              <w:spacing w:line="240" w:lineRule="auto"/>
              <w:ind w:firstLine="0" w:firstLineChars="0"/>
              <w:jc w:val="center"/>
              <w:rPr>
                <w:sz w:val="21"/>
                <w:szCs w:val="21"/>
              </w:rPr>
            </w:pPr>
            <w:r>
              <w:rPr>
                <w:sz w:val="21"/>
                <w:szCs w:val="21"/>
              </w:rPr>
              <w:t>Ri =</w:t>
            </w:r>
            <w:r>
              <w:rPr>
                <w:rFonts w:hint="eastAsia"/>
                <w:sz w:val="21"/>
                <w:szCs w:val="21"/>
              </w:rPr>
              <w:t>4.76141</w:t>
            </w:r>
            <w:r>
              <w:rPr>
                <w:sz w:val="21"/>
                <w:szCs w:val="21"/>
              </w:rPr>
              <w:t>E-0</w:t>
            </w:r>
            <w:r>
              <w:rPr>
                <w:rFonts w:hint="eastAsia"/>
                <w:sz w:val="21"/>
                <w:szCs w:val="21"/>
              </w:rPr>
              <w:t>3</w:t>
            </w:r>
            <w:r>
              <w:rPr>
                <w:sz w:val="21"/>
                <w:szCs w:val="21"/>
              </w:rPr>
              <w:t>，Ri&lt;1/6</w:t>
            </w:r>
          </w:p>
        </w:tc>
        <w:tc>
          <w:tcPr>
            <w:tcW w:w="856" w:type="pct"/>
            <w:tcBorders>
              <w:top w:val="single" w:color="auto" w:sz="6" w:space="0"/>
              <w:left w:val="single" w:color="auto" w:sz="4" w:space="0"/>
              <w:bottom w:val="single" w:color="auto" w:sz="8" w:space="0"/>
              <w:right w:val="single" w:color="auto" w:sz="4" w:space="0"/>
            </w:tcBorders>
            <w:vAlign w:val="center"/>
          </w:tcPr>
          <w:p w14:paraId="56DDDD80">
            <w:pPr>
              <w:spacing w:line="240" w:lineRule="auto"/>
              <w:ind w:firstLine="0" w:firstLineChars="0"/>
              <w:jc w:val="center"/>
              <w:rPr>
                <w:sz w:val="21"/>
                <w:szCs w:val="21"/>
              </w:rPr>
            </w:pPr>
            <w:r>
              <w:rPr>
                <w:rFonts w:hint="eastAsia"/>
                <w:sz w:val="21"/>
                <w:szCs w:val="21"/>
              </w:rPr>
              <w:t>轻质气体</w:t>
            </w:r>
          </w:p>
        </w:tc>
        <w:tc>
          <w:tcPr>
            <w:tcW w:w="729" w:type="pct"/>
            <w:tcBorders>
              <w:top w:val="single" w:color="auto" w:sz="6" w:space="0"/>
              <w:left w:val="single" w:color="auto" w:sz="4" w:space="0"/>
              <w:bottom w:val="single" w:color="auto" w:sz="8" w:space="0"/>
              <w:right w:val="single" w:color="auto" w:sz="8" w:space="0"/>
            </w:tcBorders>
            <w:vAlign w:val="center"/>
          </w:tcPr>
          <w:p w14:paraId="188760DA">
            <w:pPr>
              <w:spacing w:line="240" w:lineRule="auto"/>
              <w:ind w:firstLine="0" w:firstLineChars="0"/>
              <w:jc w:val="center"/>
              <w:rPr>
                <w:sz w:val="21"/>
                <w:szCs w:val="21"/>
              </w:rPr>
            </w:pPr>
            <w:r>
              <w:rPr>
                <w:sz w:val="21"/>
                <w:szCs w:val="21"/>
              </w:rPr>
              <w:t>AFTOX</w:t>
            </w:r>
          </w:p>
        </w:tc>
      </w:tr>
    </w:tbl>
    <w:p w14:paraId="0A9B356A">
      <w:pPr>
        <w:ind w:firstLine="480"/>
        <w:rPr>
          <w:bCs/>
          <w:szCs w:val="24"/>
        </w:rPr>
      </w:pPr>
      <w:r>
        <w:rPr>
          <w:rFonts w:hint="eastAsia"/>
          <w:bCs/>
          <w:szCs w:val="24"/>
        </w:rPr>
        <w:t>2、火灾事故</w:t>
      </w:r>
    </w:p>
    <w:p w14:paraId="7F5CE72A">
      <w:pPr>
        <w:ind w:firstLine="480"/>
        <w:rPr>
          <w:bCs/>
          <w:szCs w:val="24"/>
          <w:u w:val="single"/>
        </w:rPr>
      </w:pPr>
      <w:r>
        <w:rPr>
          <w:rFonts w:hint="eastAsia"/>
          <w:bCs/>
          <w:szCs w:val="24"/>
          <w:u w:val="single"/>
        </w:rPr>
        <w:t>经计算，火灾伴生/次生污染物一氧化碳产生量为0.0226kg/s。</w:t>
      </w:r>
    </w:p>
    <w:p w14:paraId="2A1D3749">
      <w:pPr>
        <w:ind w:firstLine="480"/>
        <w:rPr>
          <w:bCs/>
          <w:szCs w:val="24"/>
        </w:rPr>
      </w:pPr>
      <w:r>
        <w:rPr>
          <w:rFonts w:hint="eastAsia"/>
          <w:bCs/>
          <w:szCs w:val="24"/>
        </w:rPr>
        <w:t>根据《建设项目环境风险评价技术导则》（HJ169-2018）附录G分别对CO的Ri值进行计算，计算结果如下：</w:t>
      </w:r>
    </w:p>
    <w:p w14:paraId="3DDEBD44">
      <w:pPr>
        <w:ind w:firstLine="480"/>
        <w:rPr>
          <w:bCs/>
          <w:szCs w:val="24"/>
        </w:rPr>
      </w:pPr>
      <w:r>
        <w:rPr>
          <w:rFonts w:hint="eastAsia"/>
          <w:bCs/>
          <w:szCs w:val="24"/>
        </w:rPr>
        <w:t>一氧化碳产生源按照钢瓶泄露进行分析，下风向最近的敏感点为西南640的仁里屯村，则根据附录G的G.2.1可计算出T值为610s，而火灾灭火时间Td为1.5h（5400s），Td&gt;T，认为其为连续排放，采用连续排放公式进行Ri的计算。</w:t>
      </w:r>
    </w:p>
    <w:p w14:paraId="7783580F">
      <w:pPr>
        <w:ind w:firstLine="480"/>
        <w:rPr>
          <w:bCs/>
          <w:szCs w:val="24"/>
        </w:rPr>
      </w:pPr>
      <w:r>
        <w:rPr>
          <w:rFonts w:hint="eastAsia"/>
          <w:bCs/>
          <w:szCs w:val="24"/>
        </w:rPr>
        <w:t>综上所述，CO的Ri值均按照连续排放公式计算，即：</w:t>
      </w:r>
    </w:p>
    <w:p w14:paraId="251701F9">
      <w:pPr>
        <w:spacing w:line="360" w:lineRule="auto"/>
        <w:ind w:firstLine="0" w:firstLineChars="0"/>
        <w:jc w:val="center"/>
        <w:rPr>
          <w:bCs/>
          <w:szCs w:val="24"/>
        </w:rPr>
      </w:pPr>
      <w:r>
        <w:rPr>
          <w:szCs w:val="28"/>
        </w:rPr>
        <w:drawing>
          <wp:inline distT="0" distB="0" distL="0" distR="0">
            <wp:extent cx="2219325" cy="762000"/>
            <wp:effectExtent l="0" t="0" r="9525" b="0"/>
            <wp:docPr id="192" name="图片 4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4" descr="图片包含 文本&#10;&#10;描述已自动生成"/>
                    <pic:cNvPicPr>
                      <a:picLocks noChangeAspect="1" noChangeArrowheads="1"/>
                    </pic:cNvPicPr>
                  </pic:nvPicPr>
                  <pic:blipFill>
                    <a:blip r:embed="rId149"/>
                    <a:srcRect/>
                    <a:stretch>
                      <a:fillRect/>
                    </a:stretch>
                  </pic:blipFill>
                  <pic:spPr>
                    <a:xfrm>
                      <a:off x="0" y="0"/>
                      <a:ext cx="2219325" cy="762000"/>
                    </a:xfrm>
                    <a:prstGeom prst="rect">
                      <a:avLst/>
                    </a:prstGeom>
                    <a:noFill/>
                    <a:ln>
                      <a:noFill/>
                    </a:ln>
                  </pic:spPr>
                </pic:pic>
              </a:graphicData>
            </a:graphic>
          </wp:inline>
        </w:drawing>
      </w:r>
    </w:p>
    <w:p w14:paraId="2748AEF6">
      <w:pPr>
        <w:ind w:firstLine="480"/>
        <w:rPr>
          <w:bCs/>
          <w:szCs w:val="24"/>
        </w:rPr>
      </w:pPr>
      <w:r>
        <w:rPr>
          <w:rFonts w:hint="eastAsia"/>
          <w:bCs/>
          <w:szCs w:val="24"/>
        </w:rPr>
        <w:t>式中：</w:t>
      </w:r>
      <w:r>
        <w:rPr>
          <w:bCs/>
          <w:szCs w:val="24"/>
        </w:rPr>
        <w:t>ρ</w:t>
      </w:r>
      <w:r>
        <w:rPr>
          <w:rFonts w:hint="eastAsia"/>
          <w:bCs/>
          <w:szCs w:val="24"/>
          <w:vertAlign w:val="subscript"/>
        </w:rPr>
        <w:t>rel</w:t>
      </w:r>
      <w:r>
        <w:rPr>
          <w:rFonts w:hint="eastAsia"/>
          <w:bCs/>
          <w:szCs w:val="24"/>
        </w:rPr>
        <w:t>—排放物质进入大气的初始密度，kg/m</w:t>
      </w:r>
      <w:r>
        <w:rPr>
          <w:rFonts w:hint="eastAsia"/>
          <w:bCs/>
          <w:szCs w:val="24"/>
          <w:vertAlign w:val="superscript"/>
        </w:rPr>
        <w:t>3</w:t>
      </w:r>
      <w:r>
        <w:rPr>
          <w:rFonts w:hint="eastAsia"/>
          <w:bCs/>
          <w:szCs w:val="24"/>
        </w:rPr>
        <w:t>；CO为1.25kg/m</w:t>
      </w:r>
      <w:r>
        <w:rPr>
          <w:rFonts w:hint="eastAsia"/>
          <w:bCs/>
          <w:szCs w:val="24"/>
          <w:vertAlign w:val="superscript"/>
        </w:rPr>
        <w:t>3</w:t>
      </w:r>
      <w:r>
        <w:rPr>
          <w:rFonts w:hint="eastAsia"/>
          <w:bCs/>
          <w:szCs w:val="24"/>
        </w:rPr>
        <w:t>；</w:t>
      </w:r>
    </w:p>
    <w:p w14:paraId="2A6CDB4D">
      <w:pPr>
        <w:ind w:firstLine="480"/>
        <w:rPr>
          <w:bCs/>
          <w:szCs w:val="24"/>
        </w:rPr>
      </w:pPr>
      <w:r>
        <w:rPr>
          <w:bCs/>
          <w:szCs w:val="24"/>
        </w:rPr>
        <w:t>ρ</w:t>
      </w:r>
      <w:r>
        <w:rPr>
          <w:rFonts w:hint="eastAsia"/>
          <w:bCs/>
          <w:szCs w:val="24"/>
          <w:vertAlign w:val="subscript"/>
        </w:rPr>
        <w:t>a</w:t>
      </w:r>
      <w:r>
        <w:rPr>
          <w:rFonts w:hint="eastAsia"/>
          <w:bCs/>
          <w:szCs w:val="24"/>
        </w:rPr>
        <w:t>—环境空气密度，kg/m</w:t>
      </w:r>
      <w:r>
        <w:rPr>
          <w:rFonts w:hint="eastAsia"/>
          <w:bCs/>
          <w:szCs w:val="24"/>
          <w:vertAlign w:val="superscript"/>
        </w:rPr>
        <w:t>3</w:t>
      </w:r>
      <w:r>
        <w:rPr>
          <w:rFonts w:hint="eastAsia"/>
          <w:bCs/>
          <w:szCs w:val="24"/>
        </w:rPr>
        <w:t>；1.293kg/m</w:t>
      </w:r>
      <w:r>
        <w:rPr>
          <w:rFonts w:hint="eastAsia"/>
          <w:bCs/>
          <w:szCs w:val="24"/>
          <w:vertAlign w:val="superscript"/>
        </w:rPr>
        <w:t>3</w:t>
      </w:r>
      <w:r>
        <w:rPr>
          <w:rFonts w:hint="eastAsia"/>
          <w:bCs/>
          <w:szCs w:val="24"/>
        </w:rPr>
        <w:t>；</w:t>
      </w:r>
    </w:p>
    <w:p w14:paraId="2D25DAD6">
      <w:pPr>
        <w:ind w:firstLine="480"/>
        <w:rPr>
          <w:bCs/>
          <w:szCs w:val="24"/>
        </w:rPr>
      </w:pPr>
      <w:r>
        <w:rPr>
          <w:rFonts w:hint="eastAsia"/>
          <w:bCs/>
          <w:szCs w:val="24"/>
        </w:rPr>
        <w:t>Q—连续排放烟羽的排放速率，kg/s；</w:t>
      </w:r>
      <w:r>
        <w:rPr>
          <w:rFonts w:hint="eastAsia"/>
          <w:bCs/>
          <w:szCs w:val="24"/>
          <w:u w:val="single"/>
        </w:rPr>
        <w:t>CO排放速率为0.0226；</w:t>
      </w:r>
    </w:p>
    <w:p w14:paraId="2049109F">
      <w:pPr>
        <w:ind w:firstLine="480"/>
        <w:rPr>
          <w:bCs/>
          <w:szCs w:val="24"/>
        </w:rPr>
      </w:pPr>
      <w:r>
        <w:rPr>
          <w:rFonts w:hint="eastAsia"/>
          <w:bCs/>
          <w:szCs w:val="24"/>
        </w:rPr>
        <w:t>D</w:t>
      </w:r>
      <w:r>
        <w:rPr>
          <w:rFonts w:hint="eastAsia"/>
          <w:bCs/>
          <w:szCs w:val="24"/>
          <w:vertAlign w:val="subscript"/>
        </w:rPr>
        <w:t>rel</w:t>
      </w:r>
      <w:r>
        <w:rPr>
          <w:rFonts w:hint="eastAsia"/>
          <w:bCs/>
          <w:szCs w:val="24"/>
        </w:rPr>
        <w:t>—初始烟团密度宽度，即源直径，m；CO取最大宽度为4m；</w:t>
      </w:r>
    </w:p>
    <w:p w14:paraId="2E0F652D">
      <w:pPr>
        <w:ind w:firstLine="480"/>
        <w:rPr>
          <w:bCs/>
          <w:szCs w:val="24"/>
        </w:rPr>
      </w:pPr>
      <w:r>
        <w:rPr>
          <w:rFonts w:hint="eastAsia"/>
          <w:bCs/>
          <w:szCs w:val="24"/>
        </w:rPr>
        <w:t>Ur—10m高处风速，m/s。</w:t>
      </w:r>
    </w:p>
    <w:p w14:paraId="47716AC2">
      <w:pPr>
        <w:ind w:firstLine="480"/>
        <w:rPr>
          <w:bCs/>
          <w:szCs w:val="24"/>
        </w:rPr>
      </w:pPr>
      <w:r>
        <w:rPr>
          <w:rFonts w:hint="eastAsia"/>
          <w:bCs/>
          <w:szCs w:val="24"/>
        </w:rPr>
        <w:t>本项目CO的Ri值计算结果见下表。</w:t>
      </w:r>
    </w:p>
    <w:p w14:paraId="68CB8920">
      <w:pPr>
        <w:pStyle w:val="2"/>
        <w:ind w:firstLine="480"/>
      </w:pPr>
    </w:p>
    <w:p w14:paraId="5407313C">
      <w:pPr>
        <w:ind w:firstLine="480"/>
      </w:pPr>
    </w:p>
    <w:p w14:paraId="19E3BF89">
      <w:pPr>
        <w:pStyle w:val="99"/>
        <w:numPr>
          <w:ilvl w:val="4"/>
          <w:numId w:val="46"/>
        </w:numPr>
        <w:ind w:left="0" w:firstLine="480"/>
        <w:rPr>
          <w:rFonts w:eastAsia="黑体"/>
          <w:bCs/>
          <w:szCs w:val="24"/>
        </w:rPr>
      </w:pPr>
      <w:r>
        <w:rPr>
          <w:rFonts w:hint="eastAsia" w:eastAsia="黑体"/>
          <w:bCs/>
          <w:szCs w:val="24"/>
        </w:rPr>
        <w:t xml:space="preserve">        燃烧产生的一氧化碳参数及结果</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859"/>
        <w:gridCol w:w="1778"/>
        <w:gridCol w:w="1060"/>
        <w:gridCol w:w="947"/>
        <w:gridCol w:w="924"/>
        <w:gridCol w:w="947"/>
        <w:gridCol w:w="947"/>
        <w:gridCol w:w="862"/>
      </w:tblGrid>
      <w:tr w14:paraId="1EDDB9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6" w:type="pct"/>
            <w:vMerge w:val="restart"/>
            <w:tcBorders>
              <w:top w:val="single" w:color="auto" w:sz="8" w:space="0"/>
              <w:left w:val="single" w:color="auto" w:sz="6" w:space="0"/>
              <w:right w:val="single" w:color="auto" w:sz="6" w:space="0"/>
            </w:tcBorders>
            <w:vAlign w:val="center"/>
          </w:tcPr>
          <w:p w14:paraId="238B8115">
            <w:pPr>
              <w:spacing w:line="360" w:lineRule="exact"/>
              <w:ind w:firstLine="0" w:firstLineChars="0"/>
              <w:jc w:val="center"/>
              <w:rPr>
                <w:b/>
                <w:sz w:val="21"/>
                <w:szCs w:val="21"/>
                <w:u w:val="single"/>
              </w:rPr>
            </w:pPr>
            <w:r>
              <w:rPr>
                <w:b/>
                <w:sz w:val="21"/>
                <w:szCs w:val="21"/>
                <w:u w:val="single"/>
              </w:rPr>
              <w:t>项目</w:t>
            </w:r>
          </w:p>
        </w:tc>
        <w:tc>
          <w:tcPr>
            <w:tcW w:w="1068" w:type="pct"/>
            <w:vMerge w:val="restart"/>
            <w:tcBorders>
              <w:top w:val="single" w:color="auto" w:sz="8" w:space="0"/>
              <w:left w:val="single" w:color="auto" w:sz="6" w:space="0"/>
              <w:right w:val="single" w:color="auto" w:sz="6" w:space="0"/>
            </w:tcBorders>
            <w:vAlign w:val="center"/>
          </w:tcPr>
          <w:p w14:paraId="39E3BE1F">
            <w:pPr>
              <w:spacing w:line="360" w:lineRule="exact"/>
              <w:ind w:firstLine="0" w:firstLineChars="0"/>
              <w:jc w:val="center"/>
              <w:rPr>
                <w:b/>
                <w:sz w:val="21"/>
                <w:szCs w:val="21"/>
                <w:u w:val="single"/>
              </w:rPr>
            </w:pPr>
            <w:r>
              <w:rPr>
                <w:rFonts w:hint="eastAsia"/>
                <w:b/>
                <w:sz w:val="21"/>
                <w:szCs w:val="21"/>
                <w:u w:val="single"/>
              </w:rPr>
              <w:t>气象条件</w:t>
            </w:r>
          </w:p>
        </w:tc>
        <w:tc>
          <w:tcPr>
            <w:tcW w:w="637" w:type="pct"/>
            <w:tcBorders>
              <w:top w:val="single" w:color="auto" w:sz="8" w:space="0"/>
              <w:left w:val="single" w:color="auto" w:sz="6" w:space="0"/>
              <w:bottom w:val="single" w:color="auto" w:sz="6" w:space="0"/>
              <w:right w:val="single" w:color="auto" w:sz="6" w:space="0"/>
            </w:tcBorders>
            <w:vAlign w:val="center"/>
          </w:tcPr>
          <w:p w14:paraId="71018DA4">
            <w:pPr>
              <w:spacing w:line="360" w:lineRule="exact"/>
              <w:ind w:firstLine="0" w:firstLineChars="0"/>
              <w:jc w:val="center"/>
              <w:rPr>
                <w:b/>
                <w:sz w:val="21"/>
                <w:szCs w:val="21"/>
                <w:u w:val="single"/>
              </w:rPr>
            </w:pPr>
            <w:r>
              <w:rPr>
                <w:b/>
                <w:sz w:val="21"/>
                <w:szCs w:val="21"/>
                <w:u w:val="single"/>
              </w:rPr>
              <w:t>ρrel</w:t>
            </w:r>
          </w:p>
        </w:tc>
        <w:tc>
          <w:tcPr>
            <w:tcW w:w="569" w:type="pct"/>
            <w:tcBorders>
              <w:top w:val="single" w:color="auto" w:sz="8" w:space="0"/>
              <w:left w:val="single" w:color="auto" w:sz="6" w:space="0"/>
              <w:bottom w:val="single" w:color="auto" w:sz="6" w:space="0"/>
              <w:right w:val="single" w:color="auto" w:sz="6" w:space="0"/>
            </w:tcBorders>
            <w:vAlign w:val="center"/>
          </w:tcPr>
          <w:p w14:paraId="63A3B95F">
            <w:pPr>
              <w:spacing w:line="360" w:lineRule="exact"/>
              <w:ind w:firstLine="0" w:firstLineChars="0"/>
              <w:jc w:val="center"/>
              <w:rPr>
                <w:b/>
                <w:sz w:val="21"/>
                <w:szCs w:val="21"/>
                <w:u w:val="single"/>
              </w:rPr>
            </w:pPr>
            <w:r>
              <w:rPr>
                <w:b/>
                <w:sz w:val="21"/>
                <w:szCs w:val="21"/>
                <w:u w:val="single"/>
              </w:rPr>
              <w:t>ρa</w:t>
            </w:r>
          </w:p>
        </w:tc>
        <w:tc>
          <w:tcPr>
            <w:tcW w:w="555" w:type="pct"/>
            <w:tcBorders>
              <w:top w:val="single" w:color="auto" w:sz="8" w:space="0"/>
              <w:left w:val="single" w:color="auto" w:sz="6" w:space="0"/>
              <w:bottom w:val="single" w:color="auto" w:sz="6" w:space="0"/>
              <w:right w:val="single" w:color="auto" w:sz="4" w:space="0"/>
            </w:tcBorders>
            <w:vAlign w:val="center"/>
          </w:tcPr>
          <w:p w14:paraId="1B0B67D3">
            <w:pPr>
              <w:spacing w:line="360" w:lineRule="exact"/>
              <w:ind w:firstLine="0" w:firstLineChars="0"/>
              <w:jc w:val="center"/>
              <w:rPr>
                <w:b/>
                <w:sz w:val="21"/>
                <w:szCs w:val="21"/>
                <w:u w:val="single"/>
              </w:rPr>
            </w:pPr>
            <w:r>
              <w:rPr>
                <w:b/>
                <w:sz w:val="21"/>
                <w:szCs w:val="21"/>
                <w:u w:val="single"/>
              </w:rPr>
              <w:t>Q</w:t>
            </w:r>
          </w:p>
        </w:tc>
        <w:tc>
          <w:tcPr>
            <w:tcW w:w="569" w:type="pct"/>
            <w:tcBorders>
              <w:top w:val="single" w:color="auto" w:sz="8" w:space="0"/>
              <w:left w:val="single" w:color="auto" w:sz="4" w:space="0"/>
              <w:bottom w:val="single" w:color="auto" w:sz="6" w:space="0"/>
              <w:right w:val="single" w:color="auto" w:sz="4" w:space="0"/>
            </w:tcBorders>
            <w:vAlign w:val="center"/>
          </w:tcPr>
          <w:p w14:paraId="1F9ADC3A">
            <w:pPr>
              <w:spacing w:line="360" w:lineRule="exact"/>
              <w:ind w:firstLine="0" w:firstLineChars="0"/>
              <w:jc w:val="center"/>
              <w:rPr>
                <w:b/>
                <w:sz w:val="21"/>
                <w:szCs w:val="21"/>
                <w:u w:val="single"/>
              </w:rPr>
            </w:pPr>
            <w:r>
              <w:rPr>
                <w:b/>
                <w:sz w:val="21"/>
                <w:szCs w:val="21"/>
                <w:u w:val="single"/>
              </w:rPr>
              <w:t>Drel</w:t>
            </w:r>
          </w:p>
        </w:tc>
        <w:tc>
          <w:tcPr>
            <w:tcW w:w="569" w:type="pct"/>
            <w:tcBorders>
              <w:top w:val="single" w:color="auto" w:sz="8" w:space="0"/>
              <w:left w:val="single" w:color="auto" w:sz="4" w:space="0"/>
              <w:bottom w:val="single" w:color="auto" w:sz="6" w:space="0"/>
              <w:right w:val="single" w:color="auto" w:sz="4" w:space="0"/>
            </w:tcBorders>
            <w:vAlign w:val="center"/>
          </w:tcPr>
          <w:p w14:paraId="12FF56FE">
            <w:pPr>
              <w:spacing w:line="360" w:lineRule="exact"/>
              <w:ind w:firstLine="0" w:firstLineChars="0"/>
              <w:jc w:val="center"/>
              <w:rPr>
                <w:b/>
                <w:sz w:val="21"/>
                <w:szCs w:val="21"/>
                <w:u w:val="single"/>
              </w:rPr>
            </w:pPr>
            <w:r>
              <w:rPr>
                <w:b/>
                <w:sz w:val="21"/>
                <w:szCs w:val="21"/>
                <w:u w:val="single"/>
              </w:rPr>
              <w:t>Ur</w:t>
            </w:r>
          </w:p>
        </w:tc>
        <w:tc>
          <w:tcPr>
            <w:tcW w:w="517" w:type="pct"/>
            <w:tcBorders>
              <w:top w:val="single" w:color="auto" w:sz="8" w:space="0"/>
              <w:left w:val="single" w:color="auto" w:sz="4" w:space="0"/>
              <w:bottom w:val="single" w:color="auto" w:sz="6" w:space="0"/>
              <w:right w:val="single" w:color="auto" w:sz="8" w:space="0"/>
            </w:tcBorders>
            <w:vAlign w:val="center"/>
          </w:tcPr>
          <w:p w14:paraId="68B91168">
            <w:pPr>
              <w:spacing w:line="360" w:lineRule="exact"/>
              <w:ind w:firstLine="0" w:firstLineChars="0"/>
              <w:jc w:val="center"/>
              <w:rPr>
                <w:b/>
                <w:sz w:val="21"/>
                <w:szCs w:val="21"/>
                <w:u w:val="single"/>
              </w:rPr>
            </w:pPr>
            <w:r>
              <w:rPr>
                <w:b/>
                <w:sz w:val="21"/>
                <w:szCs w:val="21"/>
                <w:u w:val="single"/>
              </w:rPr>
              <w:t>Ri</w:t>
            </w:r>
          </w:p>
        </w:tc>
      </w:tr>
      <w:tr w14:paraId="3819ECD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6" w:type="pct"/>
            <w:vMerge w:val="continue"/>
            <w:tcBorders>
              <w:left w:val="single" w:color="auto" w:sz="6" w:space="0"/>
              <w:bottom w:val="single" w:color="auto" w:sz="6" w:space="0"/>
              <w:right w:val="single" w:color="auto" w:sz="6" w:space="0"/>
            </w:tcBorders>
            <w:vAlign w:val="center"/>
          </w:tcPr>
          <w:p w14:paraId="3B1E1FC6">
            <w:pPr>
              <w:spacing w:line="360" w:lineRule="exact"/>
              <w:ind w:firstLine="0" w:firstLineChars="0"/>
              <w:jc w:val="center"/>
              <w:rPr>
                <w:b/>
                <w:sz w:val="21"/>
                <w:szCs w:val="21"/>
                <w:u w:val="single"/>
              </w:rPr>
            </w:pPr>
          </w:p>
        </w:tc>
        <w:tc>
          <w:tcPr>
            <w:tcW w:w="1068" w:type="pct"/>
            <w:vMerge w:val="continue"/>
            <w:tcBorders>
              <w:left w:val="single" w:color="auto" w:sz="6" w:space="0"/>
              <w:bottom w:val="single" w:color="auto" w:sz="6" w:space="0"/>
              <w:right w:val="single" w:color="auto" w:sz="6" w:space="0"/>
            </w:tcBorders>
            <w:vAlign w:val="center"/>
          </w:tcPr>
          <w:p w14:paraId="0DB5BEBB">
            <w:pPr>
              <w:spacing w:line="360" w:lineRule="exact"/>
              <w:ind w:firstLine="0" w:firstLineChars="0"/>
              <w:jc w:val="center"/>
              <w:rPr>
                <w:b/>
                <w:sz w:val="21"/>
                <w:szCs w:val="21"/>
                <w:u w:val="single"/>
              </w:rPr>
            </w:pPr>
          </w:p>
        </w:tc>
        <w:tc>
          <w:tcPr>
            <w:tcW w:w="637" w:type="pct"/>
            <w:tcBorders>
              <w:top w:val="single" w:color="auto" w:sz="6" w:space="0"/>
              <w:left w:val="single" w:color="auto" w:sz="6" w:space="0"/>
              <w:bottom w:val="single" w:color="auto" w:sz="6" w:space="0"/>
              <w:right w:val="single" w:color="auto" w:sz="6" w:space="0"/>
            </w:tcBorders>
            <w:vAlign w:val="center"/>
          </w:tcPr>
          <w:p w14:paraId="1062D092">
            <w:pPr>
              <w:spacing w:line="360" w:lineRule="exact"/>
              <w:ind w:firstLine="0" w:firstLineChars="0"/>
              <w:jc w:val="center"/>
              <w:rPr>
                <w:b/>
                <w:sz w:val="21"/>
                <w:szCs w:val="21"/>
                <w:u w:val="single"/>
              </w:rPr>
            </w:pPr>
            <w:r>
              <w:rPr>
                <w:b/>
                <w:sz w:val="21"/>
                <w:szCs w:val="21"/>
                <w:u w:val="single"/>
              </w:rPr>
              <w:t>kg/m</w:t>
            </w:r>
            <w:r>
              <w:rPr>
                <w:b/>
                <w:sz w:val="21"/>
                <w:szCs w:val="21"/>
                <w:u w:val="single"/>
                <w:vertAlign w:val="superscript"/>
              </w:rPr>
              <w:t>3</w:t>
            </w:r>
          </w:p>
        </w:tc>
        <w:tc>
          <w:tcPr>
            <w:tcW w:w="569" w:type="pct"/>
            <w:tcBorders>
              <w:top w:val="single" w:color="auto" w:sz="6" w:space="0"/>
              <w:left w:val="single" w:color="auto" w:sz="6" w:space="0"/>
              <w:bottom w:val="single" w:color="auto" w:sz="6" w:space="0"/>
              <w:right w:val="single" w:color="auto" w:sz="6" w:space="0"/>
            </w:tcBorders>
            <w:vAlign w:val="center"/>
          </w:tcPr>
          <w:p w14:paraId="39E83334">
            <w:pPr>
              <w:spacing w:line="360" w:lineRule="exact"/>
              <w:ind w:firstLine="0" w:firstLineChars="0"/>
              <w:jc w:val="center"/>
              <w:rPr>
                <w:b/>
                <w:sz w:val="21"/>
                <w:szCs w:val="21"/>
                <w:u w:val="single"/>
              </w:rPr>
            </w:pPr>
            <w:r>
              <w:rPr>
                <w:b/>
                <w:sz w:val="21"/>
                <w:szCs w:val="21"/>
                <w:u w:val="single"/>
              </w:rPr>
              <w:t>kg/m</w:t>
            </w:r>
            <w:r>
              <w:rPr>
                <w:b/>
                <w:sz w:val="21"/>
                <w:szCs w:val="21"/>
                <w:u w:val="single"/>
                <w:vertAlign w:val="superscript"/>
              </w:rPr>
              <w:t>3</w:t>
            </w:r>
          </w:p>
        </w:tc>
        <w:tc>
          <w:tcPr>
            <w:tcW w:w="555" w:type="pct"/>
            <w:tcBorders>
              <w:top w:val="single" w:color="auto" w:sz="6" w:space="0"/>
              <w:left w:val="single" w:color="auto" w:sz="6" w:space="0"/>
              <w:bottom w:val="single" w:color="auto" w:sz="6" w:space="0"/>
              <w:right w:val="single" w:color="auto" w:sz="4" w:space="0"/>
            </w:tcBorders>
            <w:vAlign w:val="center"/>
          </w:tcPr>
          <w:p w14:paraId="1C011448">
            <w:pPr>
              <w:spacing w:line="360" w:lineRule="exact"/>
              <w:ind w:firstLine="0" w:firstLineChars="0"/>
              <w:jc w:val="center"/>
              <w:rPr>
                <w:b/>
                <w:sz w:val="21"/>
                <w:szCs w:val="21"/>
                <w:u w:val="single"/>
              </w:rPr>
            </w:pPr>
            <w:r>
              <w:rPr>
                <w:b/>
                <w:sz w:val="21"/>
                <w:szCs w:val="21"/>
                <w:u w:val="single"/>
              </w:rPr>
              <w:t>kg/s</w:t>
            </w:r>
          </w:p>
        </w:tc>
        <w:tc>
          <w:tcPr>
            <w:tcW w:w="569" w:type="pct"/>
            <w:tcBorders>
              <w:top w:val="single" w:color="auto" w:sz="6" w:space="0"/>
              <w:left w:val="single" w:color="auto" w:sz="4" w:space="0"/>
              <w:bottom w:val="single" w:color="auto" w:sz="6" w:space="0"/>
              <w:right w:val="single" w:color="auto" w:sz="4" w:space="0"/>
            </w:tcBorders>
            <w:vAlign w:val="center"/>
          </w:tcPr>
          <w:p w14:paraId="7073BF15">
            <w:pPr>
              <w:spacing w:line="360" w:lineRule="exact"/>
              <w:ind w:firstLine="0" w:firstLineChars="0"/>
              <w:jc w:val="center"/>
              <w:rPr>
                <w:b/>
                <w:sz w:val="21"/>
                <w:szCs w:val="21"/>
                <w:u w:val="single"/>
              </w:rPr>
            </w:pPr>
            <w:r>
              <w:rPr>
                <w:b/>
                <w:sz w:val="21"/>
                <w:szCs w:val="21"/>
                <w:u w:val="single"/>
              </w:rPr>
              <w:t>m</w:t>
            </w:r>
          </w:p>
        </w:tc>
        <w:tc>
          <w:tcPr>
            <w:tcW w:w="569" w:type="pct"/>
            <w:tcBorders>
              <w:top w:val="single" w:color="auto" w:sz="6" w:space="0"/>
              <w:left w:val="single" w:color="auto" w:sz="4" w:space="0"/>
              <w:bottom w:val="single" w:color="auto" w:sz="6" w:space="0"/>
              <w:right w:val="single" w:color="auto" w:sz="4" w:space="0"/>
            </w:tcBorders>
            <w:vAlign w:val="center"/>
          </w:tcPr>
          <w:p w14:paraId="237679EC">
            <w:pPr>
              <w:spacing w:line="360" w:lineRule="exact"/>
              <w:ind w:firstLine="0" w:firstLineChars="0"/>
              <w:jc w:val="center"/>
              <w:rPr>
                <w:b/>
                <w:sz w:val="21"/>
                <w:szCs w:val="21"/>
                <w:u w:val="single"/>
              </w:rPr>
            </w:pPr>
            <w:r>
              <w:rPr>
                <w:b/>
                <w:sz w:val="21"/>
                <w:szCs w:val="21"/>
                <w:u w:val="single"/>
              </w:rPr>
              <w:t>m/s</w:t>
            </w:r>
          </w:p>
        </w:tc>
        <w:tc>
          <w:tcPr>
            <w:tcW w:w="517" w:type="pct"/>
            <w:tcBorders>
              <w:top w:val="single" w:color="auto" w:sz="6" w:space="0"/>
              <w:left w:val="single" w:color="auto" w:sz="4" w:space="0"/>
              <w:bottom w:val="single" w:color="auto" w:sz="6" w:space="0"/>
              <w:right w:val="single" w:color="auto" w:sz="8" w:space="0"/>
            </w:tcBorders>
            <w:vAlign w:val="center"/>
          </w:tcPr>
          <w:p w14:paraId="13301ECA">
            <w:pPr>
              <w:spacing w:line="360" w:lineRule="exact"/>
              <w:ind w:firstLine="0" w:firstLineChars="0"/>
              <w:jc w:val="center"/>
              <w:rPr>
                <w:b/>
                <w:sz w:val="21"/>
                <w:szCs w:val="21"/>
                <w:u w:val="single"/>
              </w:rPr>
            </w:pPr>
            <w:r>
              <w:rPr>
                <w:b/>
                <w:sz w:val="21"/>
                <w:szCs w:val="21"/>
                <w:u w:val="single"/>
              </w:rPr>
              <w:t>/</w:t>
            </w:r>
          </w:p>
        </w:tc>
      </w:tr>
      <w:tr w14:paraId="26EFBF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6" w:type="pct"/>
            <w:tcBorders>
              <w:top w:val="single" w:color="auto" w:sz="6" w:space="0"/>
              <w:left w:val="single" w:color="auto" w:sz="6" w:space="0"/>
              <w:bottom w:val="single" w:color="auto" w:sz="8" w:space="0"/>
              <w:right w:val="single" w:color="auto" w:sz="6" w:space="0"/>
            </w:tcBorders>
            <w:vAlign w:val="center"/>
          </w:tcPr>
          <w:p w14:paraId="26F24B0A">
            <w:pPr>
              <w:spacing w:line="360" w:lineRule="exact"/>
              <w:ind w:firstLine="0" w:firstLineChars="0"/>
              <w:jc w:val="center"/>
              <w:rPr>
                <w:sz w:val="21"/>
                <w:szCs w:val="21"/>
                <w:u w:val="single"/>
              </w:rPr>
            </w:pPr>
            <w:r>
              <w:rPr>
                <w:sz w:val="21"/>
                <w:szCs w:val="21"/>
                <w:u w:val="single"/>
              </w:rPr>
              <w:t>CO</w:t>
            </w:r>
          </w:p>
        </w:tc>
        <w:tc>
          <w:tcPr>
            <w:tcW w:w="1068" w:type="pct"/>
            <w:tcBorders>
              <w:top w:val="single" w:color="auto" w:sz="6" w:space="0"/>
              <w:left w:val="single" w:color="auto" w:sz="6" w:space="0"/>
              <w:bottom w:val="single" w:color="auto" w:sz="8" w:space="0"/>
              <w:right w:val="single" w:color="auto" w:sz="6" w:space="0"/>
            </w:tcBorders>
            <w:vAlign w:val="center"/>
          </w:tcPr>
          <w:p w14:paraId="38357721">
            <w:pPr>
              <w:spacing w:line="360" w:lineRule="exact"/>
              <w:ind w:firstLine="0" w:firstLineChars="0"/>
              <w:jc w:val="center"/>
              <w:rPr>
                <w:sz w:val="21"/>
                <w:szCs w:val="21"/>
                <w:u w:val="single"/>
              </w:rPr>
            </w:pPr>
            <w:r>
              <w:rPr>
                <w:sz w:val="21"/>
                <w:szCs w:val="21"/>
                <w:u w:val="single"/>
              </w:rPr>
              <w:t>最不利气象条件</w:t>
            </w:r>
          </w:p>
        </w:tc>
        <w:tc>
          <w:tcPr>
            <w:tcW w:w="637" w:type="pct"/>
            <w:tcBorders>
              <w:top w:val="single" w:color="auto" w:sz="6" w:space="0"/>
              <w:left w:val="single" w:color="auto" w:sz="6" w:space="0"/>
              <w:bottom w:val="single" w:color="auto" w:sz="8" w:space="0"/>
              <w:right w:val="single" w:color="auto" w:sz="6" w:space="0"/>
            </w:tcBorders>
            <w:vAlign w:val="center"/>
          </w:tcPr>
          <w:p w14:paraId="7628052D">
            <w:pPr>
              <w:spacing w:line="360" w:lineRule="exact"/>
              <w:ind w:firstLine="0" w:firstLineChars="0"/>
              <w:jc w:val="center"/>
              <w:rPr>
                <w:sz w:val="21"/>
                <w:szCs w:val="21"/>
                <w:u w:val="single"/>
              </w:rPr>
            </w:pPr>
            <w:r>
              <w:rPr>
                <w:sz w:val="21"/>
                <w:szCs w:val="21"/>
                <w:u w:val="single"/>
              </w:rPr>
              <w:t>1.25</w:t>
            </w:r>
          </w:p>
        </w:tc>
        <w:tc>
          <w:tcPr>
            <w:tcW w:w="569" w:type="pct"/>
            <w:tcBorders>
              <w:top w:val="single" w:color="auto" w:sz="6" w:space="0"/>
              <w:left w:val="single" w:color="auto" w:sz="6" w:space="0"/>
              <w:bottom w:val="single" w:color="auto" w:sz="8" w:space="0"/>
              <w:right w:val="single" w:color="auto" w:sz="6" w:space="0"/>
            </w:tcBorders>
            <w:vAlign w:val="center"/>
          </w:tcPr>
          <w:p w14:paraId="785B8788">
            <w:pPr>
              <w:spacing w:line="360" w:lineRule="exact"/>
              <w:ind w:firstLine="0" w:firstLineChars="0"/>
              <w:jc w:val="center"/>
              <w:rPr>
                <w:sz w:val="21"/>
                <w:szCs w:val="21"/>
                <w:u w:val="single"/>
              </w:rPr>
            </w:pPr>
            <w:r>
              <w:rPr>
                <w:sz w:val="21"/>
                <w:szCs w:val="21"/>
                <w:u w:val="single"/>
              </w:rPr>
              <w:t>1.293</w:t>
            </w:r>
          </w:p>
        </w:tc>
        <w:tc>
          <w:tcPr>
            <w:tcW w:w="555" w:type="pct"/>
            <w:tcBorders>
              <w:top w:val="single" w:color="auto" w:sz="6" w:space="0"/>
              <w:left w:val="single" w:color="auto" w:sz="6" w:space="0"/>
              <w:bottom w:val="single" w:color="auto" w:sz="8" w:space="0"/>
              <w:right w:val="single" w:color="auto" w:sz="4" w:space="0"/>
            </w:tcBorders>
            <w:vAlign w:val="center"/>
          </w:tcPr>
          <w:p w14:paraId="6A6B53BB">
            <w:pPr>
              <w:spacing w:line="360" w:lineRule="exact"/>
              <w:ind w:firstLine="0" w:firstLineChars="0"/>
              <w:jc w:val="center"/>
              <w:rPr>
                <w:sz w:val="21"/>
                <w:szCs w:val="21"/>
                <w:u w:val="single"/>
              </w:rPr>
            </w:pPr>
            <w:r>
              <w:rPr>
                <w:sz w:val="21"/>
                <w:szCs w:val="21"/>
                <w:u w:val="single"/>
              </w:rPr>
              <w:t>0.</w:t>
            </w:r>
            <w:r>
              <w:rPr>
                <w:rFonts w:hint="eastAsia"/>
                <w:sz w:val="21"/>
                <w:szCs w:val="21"/>
                <w:u w:val="single"/>
              </w:rPr>
              <w:t>0226</w:t>
            </w:r>
          </w:p>
        </w:tc>
        <w:tc>
          <w:tcPr>
            <w:tcW w:w="569" w:type="pct"/>
            <w:tcBorders>
              <w:top w:val="single" w:color="auto" w:sz="6" w:space="0"/>
              <w:left w:val="single" w:color="auto" w:sz="4" w:space="0"/>
              <w:bottom w:val="single" w:color="auto" w:sz="8" w:space="0"/>
              <w:right w:val="single" w:color="auto" w:sz="4" w:space="0"/>
            </w:tcBorders>
            <w:vAlign w:val="center"/>
          </w:tcPr>
          <w:p w14:paraId="3278195B">
            <w:pPr>
              <w:spacing w:line="360" w:lineRule="exact"/>
              <w:ind w:firstLine="0" w:firstLineChars="0"/>
              <w:jc w:val="center"/>
              <w:rPr>
                <w:sz w:val="21"/>
                <w:szCs w:val="21"/>
                <w:u w:val="single"/>
              </w:rPr>
            </w:pPr>
            <w:r>
              <w:rPr>
                <w:sz w:val="21"/>
                <w:szCs w:val="21"/>
                <w:u w:val="single"/>
              </w:rPr>
              <w:t>4</w:t>
            </w:r>
          </w:p>
        </w:tc>
        <w:tc>
          <w:tcPr>
            <w:tcW w:w="569" w:type="pct"/>
            <w:tcBorders>
              <w:top w:val="single" w:color="auto" w:sz="6" w:space="0"/>
              <w:left w:val="single" w:color="auto" w:sz="4" w:space="0"/>
              <w:bottom w:val="single" w:color="auto" w:sz="8" w:space="0"/>
              <w:right w:val="single" w:color="auto" w:sz="4" w:space="0"/>
            </w:tcBorders>
            <w:vAlign w:val="center"/>
          </w:tcPr>
          <w:p w14:paraId="44718B87">
            <w:pPr>
              <w:spacing w:line="360" w:lineRule="exact"/>
              <w:ind w:firstLine="0" w:firstLineChars="0"/>
              <w:jc w:val="center"/>
              <w:rPr>
                <w:sz w:val="21"/>
                <w:szCs w:val="21"/>
                <w:u w:val="single"/>
              </w:rPr>
            </w:pPr>
            <w:r>
              <w:rPr>
                <w:rFonts w:hint="eastAsia"/>
                <w:sz w:val="21"/>
                <w:szCs w:val="21"/>
                <w:u w:val="single"/>
              </w:rPr>
              <w:t>1.5</w:t>
            </w:r>
          </w:p>
        </w:tc>
        <w:tc>
          <w:tcPr>
            <w:tcW w:w="517" w:type="pct"/>
            <w:tcBorders>
              <w:top w:val="single" w:color="auto" w:sz="6" w:space="0"/>
              <w:left w:val="single" w:color="auto" w:sz="4" w:space="0"/>
              <w:bottom w:val="single" w:color="auto" w:sz="8" w:space="0"/>
              <w:right w:val="single" w:color="auto" w:sz="8" w:space="0"/>
            </w:tcBorders>
            <w:vAlign w:val="center"/>
          </w:tcPr>
          <w:p w14:paraId="5302A138">
            <w:pPr>
              <w:spacing w:line="360" w:lineRule="exact"/>
              <w:ind w:firstLine="0" w:firstLineChars="0"/>
              <w:jc w:val="center"/>
              <w:rPr>
                <w:sz w:val="21"/>
                <w:szCs w:val="21"/>
                <w:u w:val="single"/>
              </w:rPr>
            </w:pPr>
            <w:r>
              <w:rPr>
                <w:sz w:val="21"/>
                <w:szCs w:val="21"/>
                <w:u w:val="single"/>
              </w:rPr>
              <w:t>-0.</w:t>
            </w:r>
            <w:r>
              <w:rPr>
                <w:rFonts w:hint="eastAsia"/>
                <w:sz w:val="21"/>
                <w:szCs w:val="21"/>
                <w:u w:val="single"/>
              </w:rPr>
              <w:t>076</w:t>
            </w:r>
          </w:p>
        </w:tc>
      </w:tr>
    </w:tbl>
    <w:p w14:paraId="5D852B25">
      <w:pPr>
        <w:ind w:firstLine="480"/>
        <w:rPr>
          <w:bCs/>
          <w:szCs w:val="24"/>
        </w:rPr>
      </w:pPr>
      <w:r>
        <w:rPr>
          <w:rFonts w:hint="eastAsia"/>
          <w:bCs/>
          <w:szCs w:val="24"/>
        </w:rPr>
        <w:t>由上表可知，CO的Ri值均&lt;1/6，为轻质气体，采用AFTOX模型进行预测。</w:t>
      </w:r>
    </w:p>
    <w:p w14:paraId="7FDB46C6">
      <w:pPr>
        <w:pStyle w:val="6"/>
        <w:ind w:left="0" w:firstLine="482"/>
      </w:pPr>
      <w:r>
        <w:rPr>
          <w:rFonts w:hint="eastAsia"/>
        </w:rPr>
        <w:t>预测模型参数</w:t>
      </w:r>
    </w:p>
    <w:p w14:paraId="4BE47F46">
      <w:pPr>
        <w:ind w:firstLine="480"/>
        <w:rPr>
          <w:bCs/>
          <w:szCs w:val="24"/>
        </w:rPr>
      </w:pPr>
      <w:r>
        <w:rPr>
          <w:rFonts w:hint="eastAsia"/>
          <w:bCs/>
          <w:szCs w:val="24"/>
        </w:rPr>
        <w:t>本项目大气风险预测为二级预测，选取最不利气象条件进行后果预测，预测模型主要参数见下表。</w:t>
      </w:r>
    </w:p>
    <w:p w14:paraId="74E28100">
      <w:pPr>
        <w:pStyle w:val="99"/>
        <w:numPr>
          <w:ilvl w:val="4"/>
          <w:numId w:val="46"/>
        </w:numPr>
        <w:ind w:left="0" w:firstLine="480"/>
        <w:rPr>
          <w:rFonts w:eastAsia="黑体"/>
          <w:bCs/>
          <w:szCs w:val="24"/>
        </w:rPr>
      </w:pPr>
      <w:r>
        <w:rPr>
          <w:rFonts w:hint="eastAsia" w:eastAsia="黑体"/>
          <w:bCs/>
          <w:szCs w:val="24"/>
        </w:rPr>
        <w:t xml:space="preserve">              风险预测模型参数表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1445"/>
        <w:gridCol w:w="1417"/>
        <w:gridCol w:w="1704"/>
        <w:gridCol w:w="3796"/>
      </w:tblGrid>
      <w:tr w14:paraId="7A2A28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864" w:type="pct"/>
            <w:tcBorders>
              <w:top w:val="single" w:color="auto" w:sz="8" w:space="0"/>
              <w:left w:val="single" w:color="auto" w:sz="8" w:space="0"/>
              <w:bottom w:val="single" w:color="auto" w:sz="6" w:space="0"/>
              <w:right w:val="single" w:color="auto" w:sz="6" w:space="0"/>
            </w:tcBorders>
            <w:vAlign w:val="center"/>
          </w:tcPr>
          <w:p w14:paraId="795102C9">
            <w:pPr>
              <w:spacing w:line="360" w:lineRule="exact"/>
              <w:ind w:firstLine="0" w:firstLineChars="0"/>
              <w:jc w:val="center"/>
              <w:rPr>
                <w:b/>
                <w:sz w:val="21"/>
                <w:szCs w:val="21"/>
              </w:rPr>
            </w:pPr>
            <w:r>
              <w:rPr>
                <w:b/>
                <w:sz w:val="21"/>
                <w:szCs w:val="21"/>
              </w:rPr>
              <w:t>参数类型</w:t>
            </w:r>
          </w:p>
        </w:tc>
        <w:tc>
          <w:tcPr>
            <w:tcW w:w="1866" w:type="pct"/>
            <w:gridSpan w:val="2"/>
            <w:tcBorders>
              <w:top w:val="single" w:color="auto" w:sz="8" w:space="0"/>
              <w:left w:val="single" w:color="auto" w:sz="6" w:space="0"/>
              <w:bottom w:val="single" w:color="auto" w:sz="6" w:space="0"/>
              <w:right w:val="single" w:color="auto" w:sz="6" w:space="0"/>
            </w:tcBorders>
            <w:vAlign w:val="center"/>
          </w:tcPr>
          <w:p w14:paraId="33E4E224">
            <w:pPr>
              <w:spacing w:line="360" w:lineRule="exact"/>
              <w:ind w:firstLine="0" w:firstLineChars="0"/>
              <w:jc w:val="center"/>
              <w:rPr>
                <w:b/>
                <w:sz w:val="21"/>
                <w:szCs w:val="21"/>
              </w:rPr>
            </w:pPr>
            <w:r>
              <w:rPr>
                <w:b/>
                <w:sz w:val="21"/>
                <w:szCs w:val="21"/>
              </w:rPr>
              <w:t>选项</w:t>
            </w:r>
          </w:p>
        </w:tc>
        <w:tc>
          <w:tcPr>
            <w:tcW w:w="2270" w:type="pct"/>
            <w:tcBorders>
              <w:top w:val="single" w:color="auto" w:sz="8" w:space="0"/>
              <w:left w:val="single" w:color="auto" w:sz="6" w:space="0"/>
              <w:bottom w:val="single" w:color="auto" w:sz="6" w:space="0"/>
              <w:right w:val="single" w:color="auto" w:sz="8" w:space="0"/>
            </w:tcBorders>
            <w:vAlign w:val="center"/>
          </w:tcPr>
          <w:p w14:paraId="6EC44223">
            <w:pPr>
              <w:spacing w:line="360" w:lineRule="exact"/>
              <w:ind w:firstLine="0" w:firstLineChars="0"/>
              <w:jc w:val="center"/>
              <w:rPr>
                <w:b/>
                <w:sz w:val="21"/>
                <w:szCs w:val="21"/>
              </w:rPr>
            </w:pPr>
            <w:r>
              <w:rPr>
                <w:b/>
                <w:sz w:val="21"/>
                <w:szCs w:val="21"/>
              </w:rPr>
              <w:t>参数</w:t>
            </w:r>
          </w:p>
        </w:tc>
      </w:tr>
      <w:tr w14:paraId="633F77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restart"/>
            <w:tcBorders>
              <w:top w:val="single" w:color="auto" w:sz="6" w:space="0"/>
              <w:left w:val="single" w:color="auto" w:sz="8" w:space="0"/>
              <w:right w:val="single" w:color="auto" w:sz="6" w:space="0"/>
            </w:tcBorders>
            <w:vAlign w:val="center"/>
          </w:tcPr>
          <w:p w14:paraId="3E5B1DC6">
            <w:pPr>
              <w:spacing w:line="360" w:lineRule="exact"/>
              <w:ind w:firstLine="0" w:firstLineChars="0"/>
              <w:jc w:val="center"/>
              <w:rPr>
                <w:sz w:val="21"/>
                <w:szCs w:val="21"/>
              </w:rPr>
            </w:pPr>
            <w:r>
              <w:rPr>
                <w:sz w:val="21"/>
                <w:szCs w:val="21"/>
              </w:rPr>
              <w:t>基本情况</w:t>
            </w:r>
          </w:p>
        </w:tc>
        <w:tc>
          <w:tcPr>
            <w:tcW w:w="847" w:type="pct"/>
            <w:vMerge w:val="restart"/>
            <w:tcBorders>
              <w:top w:val="single" w:color="auto" w:sz="6" w:space="0"/>
              <w:left w:val="single" w:color="auto" w:sz="6" w:space="0"/>
              <w:right w:val="single" w:color="auto" w:sz="4" w:space="0"/>
            </w:tcBorders>
            <w:vAlign w:val="center"/>
          </w:tcPr>
          <w:p w14:paraId="4892125D">
            <w:pPr>
              <w:spacing w:line="360" w:lineRule="exact"/>
              <w:ind w:firstLine="0" w:firstLineChars="0"/>
              <w:jc w:val="center"/>
              <w:rPr>
                <w:sz w:val="21"/>
                <w:szCs w:val="21"/>
              </w:rPr>
            </w:pPr>
            <w:r>
              <w:rPr>
                <w:rFonts w:hint="eastAsia"/>
                <w:sz w:val="21"/>
                <w:szCs w:val="21"/>
              </w:rPr>
              <w:t>D4（八甲基环四硅氧烷）泄露</w:t>
            </w:r>
          </w:p>
        </w:tc>
        <w:tc>
          <w:tcPr>
            <w:tcW w:w="1019" w:type="pct"/>
            <w:tcBorders>
              <w:top w:val="single" w:color="auto" w:sz="6" w:space="0"/>
              <w:left w:val="single" w:color="auto" w:sz="4" w:space="0"/>
              <w:bottom w:val="single" w:color="auto" w:sz="6" w:space="0"/>
              <w:right w:val="single" w:color="auto" w:sz="6" w:space="0"/>
            </w:tcBorders>
            <w:vAlign w:val="center"/>
          </w:tcPr>
          <w:p w14:paraId="26D76708">
            <w:pPr>
              <w:spacing w:line="360" w:lineRule="exact"/>
              <w:ind w:firstLine="0" w:firstLineChars="0"/>
              <w:jc w:val="center"/>
              <w:rPr>
                <w:sz w:val="21"/>
                <w:szCs w:val="21"/>
              </w:rPr>
            </w:pPr>
            <w:r>
              <w:rPr>
                <w:sz w:val="21"/>
                <w:szCs w:val="21"/>
              </w:rPr>
              <w:t>事故源经度/（°）</w:t>
            </w:r>
          </w:p>
        </w:tc>
        <w:tc>
          <w:tcPr>
            <w:tcW w:w="2270" w:type="pct"/>
            <w:tcBorders>
              <w:top w:val="single" w:color="auto" w:sz="6" w:space="0"/>
              <w:left w:val="single" w:color="auto" w:sz="6" w:space="0"/>
              <w:bottom w:val="single" w:color="auto" w:sz="6" w:space="0"/>
              <w:right w:val="single" w:color="auto" w:sz="8" w:space="0"/>
            </w:tcBorders>
            <w:vAlign w:val="center"/>
          </w:tcPr>
          <w:p w14:paraId="3098714D">
            <w:pPr>
              <w:spacing w:line="360" w:lineRule="exact"/>
              <w:ind w:firstLine="0" w:firstLineChars="0"/>
              <w:jc w:val="center"/>
              <w:rPr>
                <w:sz w:val="21"/>
                <w:szCs w:val="21"/>
              </w:rPr>
            </w:pPr>
            <w:r>
              <w:rPr>
                <w:sz w:val="21"/>
                <w:szCs w:val="21"/>
              </w:rPr>
              <w:t>114.</w:t>
            </w:r>
            <w:r>
              <w:rPr>
                <w:rFonts w:hint="eastAsia"/>
                <w:sz w:val="21"/>
                <w:szCs w:val="21"/>
              </w:rPr>
              <w:t>034218</w:t>
            </w:r>
          </w:p>
        </w:tc>
      </w:tr>
      <w:tr w14:paraId="5D473C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left w:val="single" w:color="auto" w:sz="8" w:space="0"/>
              <w:right w:val="single" w:color="auto" w:sz="6" w:space="0"/>
            </w:tcBorders>
            <w:vAlign w:val="center"/>
          </w:tcPr>
          <w:p w14:paraId="14CC023F">
            <w:pPr>
              <w:widowControl/>
              <w:spacing w:line="360" w:lineRule="exact"/>
              <w:ind w:firstLine="0" w:firstLineChars="0"/>
              <w:jc w:val="left"/>
              <w:rPr>
                <w:sz w:val="21"/>
                <w:szCs w:val="21"/>
              </w:rPr>
            </w:pPr>
          </w:p>
        </w:tc>
        <w:tc>
          <w:tcPr>
            <w:tcW w:w="847" w:type="pct"/>
            <w:vMerge w:val="continue"/>
            <w:tcBorders>
              <w:left w:val="single" w:color="auto" w:sz="6" w:space="0"/>
              <w:right w:val="single" w:color="auto" w:sz="4" w:space="0"/>
            </w:tcBorders>
            <w:vAlign w:val="center"/>
          </w:tcPr>
          <w:p w14:paraId="717ED8E4">
            <w:pPr>
              <w:spacing w:line="360" w:lineRule="exact"/>
              <w:ind w:firstLine="0" w:firstLineChars="0"/>
              <w:jc w:val="center"/>
              <w:rPr>
                <w:sz w:val="21"/>
                <w:szCs w:val="21"/>
              </w:rPr>
            </w:pPr>
          </w:p>
        </w:tc>
        <w:tc>
          <w:tcPr>
            <w:tcW w:w="1019" w:type="pct"/>
            <w:tcBorders>
              <w:top w:val="single" w:color="auto" w:sz="6" w:space="0"/>
              <w:left w:val="single" w:color="auto" w:sz="4" w:space="0"/>
              <w:bottom w:val="single" w:color="auto" w:sz="6" w:space="0"/>
              <w:right w:val="single" w:color="auto" w:sz="6" w:space="0"/>
            </w:tcBorders>
            <w:vAlign w:val="center"/>
          </w:tcPr>
          <w:p w14:paraId="2A5390E6">
            <w:pPr>
              <w:spacing w:line="360" w:lineRule="exact"/>
              <w:ind w:firstLine="0" w:firstLineChars="0"/>
              <w:jc w:val="center"/>
              <w:rPr>
                <w:sz w:val="21"/>
                <w:szCs w:val="21"/>
              </w:rPr>
            </w:pPr>
            <w:r>
              <w:rPr>
                <w:sz w:val="21"/>
                <w:szCs w:val="21"/>
              </w:rPr>
              <w:t>事故源纬度/（°）</w:t>
            </w:r>
          </w:p>
        </w:tc>
        <w:tc>
          <w:tcPr>
            <w:tcW w:w="2270" w:type="pct"/>
            <w:tcBorders>
              <w:top w:val="single" w:color="auto" w:sz="6" w:space="0"/>
              <w:left w:val="single" w:color="auto" w:sz="6" w:space="0"/>
              <w:bottom w:val="single" w:color="auto" w:sz="6" w:space="0"/>
              <w:right w:val="single" w:color="auto" w:sz="8" w:space="0"/>
            </w:tcBorders>
            <w:vAlign w:val="center"/>
          </w:tcPr>
          <w:p w14:paraId="62EA9AF3">
            <w:pPr>
              <w:spacing w:line="360" w:lineRule="exact"/>
              <w:ind w:firstLine="0" w:firstLineChars="0"/>
              <w:jc w:val="center"/>
              <w:rPr>
                <w:sz w:val="21"/>
                <w:szCs w:val="21"/>
              </w:rPr>
            </w:pPr>
            <w:r>
              <w:rPr>
                <w:sz w:val="21"/>
                <w:szCs w:val="21"/>
              </w:rPr>
              <w:t>35.</w:t>
            </w:r>
            <w:r>
              <w:rPr>
                <w:rFonts w:hint="eastAsia"/>
                <w:sz w:val="21"/>
                <w:szCs w:val="21"/>
              </w:rPr>
              <w:t>426607</w:t>
            </w:r>
          </w:p>
        </w:tc>
      </w:tr>
      <w:tr w14:paraId="745F4D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left w:val="single" w:color="auto" w:sz="8" w:space="0"/>
              <w:right w:val="single" w:color="auto" w:sz="6" w:space="0"/>
            </w:tcBorders>
            <w:vAlign w:val="center"/>
          </w:tcPr>
          <w:p w14:paraId="10E84395">
            <w:pPr>
              <w:widowControl/>
              <w:spacing w:line="360" w:lineRule="exact"/>
              <w:ind w:firstLine="0" w:firstLineChars="0"/>
              <w:jc w:val="left"/>
              <w:rPr>
                <w:sz w:val="21"/>
                <w:szCs w:val="21"/>
              </w:rPr>
            </w:pPr>
          </w:p>
        </w:tc>
        <w:tc>
          <w:tcPr>
            <w:tcW w:w="847" w:type="pct"/>
            <w:vMerge w:val="continue"/>
            <w:tcBorders>
              <w:left w:val="single" w:color="auto" w:sz="6" w:space="0"/>
              <w:bottom w:val="single" w:color="auto" w:sz="6" w:space="0"/>
              <w:right w:val="single" w:color="auto" w:sz="4" w:space="0"/>
            </w:tcBorders>
            <w:vAlign w:val="center"/>
          </w:tcPr>
          <w:p w14:paraId="39755923">
            <w:pPr>
              <w:spacing w:line="360" w:lineRule="exact"/>
              <w:ind w:firstLine="0" w:firstLineChars="0"/>
              <w:jc w:val="center"/>
              <w:rPr>
                <w:sz w:val="21"/>
                <w:szCs w:val="21"/>
              </w:rPr>
            </w:pPr>
          </w:p>
        </w:tc>
        <w:tc>
          <w:tcPr>
            <w:tcW w:w="1019" w:type="pct"/>
            <w:tcBorders>
              <w:top w:val="single" w:color="auto" w:sz="6" w:space="0"/>
              <w:left w:val="single" w:color="auto" w:sz="4" w:space="0"/>
              <w:bottom w:val="single" w:color="auto" w:sz="6" w:space="0"/>
              <w:right w:val="single" w:color="auto" w:sz="6" w:space="0"/>
            </w:tcBorders>
            <w:vAlign w:val="center"/>
          </w:tcPr>
          <w:p w14:paraId="65E95B6B">
            <w:pPr>
              <w:spacing w:line="360" w:lineRule="exact"/>
              <w:ind w:firstLine="0" w:firstLineChars="0"/>
              <w:jc w:val="center"/>
              <w:rPr>
                <w:sz w:val="21"/>
                <w:szCs w:val="21"/>
              </w:rPr>
            </w:pPr>
            <w:r>
              <w:rPr>
                <w:sz w:val="21"/>
                <w:szCs w:val="21"/>
              </w:rPr>
              <w:t>事故源类型</w:t>
            </w:r>
          </w:p>
        </w:tc>
        <w:tc>
          <w:tcPr>
            <w:tcW w:w="2270" w:type="pct"/>
            <w:tcBorders>
              <w:top w:val="single" w:color="auto" w:sz="6" w:space="0"/>
              <w:left w:val="single" w:color="auto" w:sz="6" w:space="0"/>
              <w:bottom w:val="single" w:color="auto" w:sz="6" w:space="0"/>
              <w:right w:val="single" w:color="auto" w:sz="8" w:space="0"/>
            </w:tcBorders>
            <w:vAlign w:val="center"/>
          </w:tcPr>
          <w:p w14:paraId="4465118E">
            <w:pPr>
              <w:spacing w:line="360" w:lineRule="exact"/>
              <w:ind w:firstLine="0" w:firstLineChars="0"/>
              <w:jc w:val="center"/>
              <w:rPr>
                <w:sz w:val="21"/>
                <w:szCs w:val="21"/>
              </w:rPr>
            </w:pPr>
            <w:r>
              <w:rPr>
                <w:rFonts w:hint="eastAsia"/>
                <w:sz w:val="21"/>
                <w:szCs w:val="21"/>
              </w:rPr>
              <w:t>桶破</w:t>
            </w:r>
            <w:r>
              <w:rPr>
                <w:sz w:val="21"/>
                <w:szCs w:val="21"/>
              </w:rPr>
              <w:t>泄漏</w:t>
            </w:r>
          </w:p>
        </w:tc>
      </w:tr>
      <w:tr w14:paraId="32BA58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left w:val="single" w:color="auto" w:sz="8" w:space="0"/>
              <w:right w:val="single" w:color="auto" w:sz="6" w:space="0"/>
            </w:tcBorders>
            <w:vAlign w:val="center"/>
          </w:tcPr>
          <w:p w14:paraId="271680BA">
            <w:pPr>
              <w:widowControl/>
              <w:spacing w:line="360" w:lineRule="exact"/>
              <w:ind w:firstLine="0" w:firstLineChars="0"/>
              <w:jc w:val="left"/>
              <w:rPr>
                <w:sz w:val="21"/>
                <w:szCs w:val="21"/>
              </w:rPr>
            </w:pPr>
          </w:p>
        </w:tc>
        <w:tc>
          <w:tcPr>
            <w:tcW w:w="847" w:type="pct"/>
            <w:vMerge w:val="restart"/>
            <w:tcBorders>
              <w:left w:val="single" w:color="auto" w:sz="6" w:space="0"/>
              <w:right w:val="single" w:color="auto" w:sz="4" w:space="0"/>
            </w:tcBorders>
            <w:vAlign w:val="center"/>
          </w:tcPr>
          <w:p w14:paraId="25551E23">
            <w:pPr>
              <w:spacing w:line="360" w:lineRule="exact"/>
              <w:ind w:firstLine="0" w:firstLineChars="0"/>
              <w:jc w:val="center"/>
              <w:rPr>
                <w:sz w:val="21"/>
                <w:szCs w:val="21"/>
              </w:rPr>
            </w:pPr>
            <w:r>
              <w:rPr>
                <w:rFonts w:hint="eastAsia"/>
                <w:sz w:val="21"/>
                <w:szCs w:val="21"/>
              </w:rPr>
              <w:t>硫酸泄露</w:t>
            </w:r>
          </w:p>
        </w:tc>
        <w:tc>
          <w:tcPr>
            <w:tcW w:w="1019" w:type="pct"/>
            <w:tcBorders>
              <w:top w:val="single" w:color="auto" w:sz="6" w:space="0"/>
              <w:left w:val="single" w:color="auto" w:sz="4" w:space="0"/>
              <w:bottom w:val="single" w:color="auto" w:sz="6" w:space="0"/>
              <w:right w:val="single" w:color="auto" w:sz="6" w:space="0"/>
            </w:tcBorders>
            <w:vAlign w:val="center"/>
          </w:tcPr>
          <w:p w14:paraId="4D71F1E4">
            <w:pPr>
              <w:spacing w:line="360" w:lineRule="exact"/>
              <w:ind w:firstLine="0" w:firstLineChars="0"/>
              <w:jc w:val="center"/>
              <w:rPr>
                <w:sz w:val="21"/>
                <w:szCs w:val="21"/>
              </w:rPr>
            </w:pPr>
            <w:r>
              <w:rPr>
                <w:sz w:val="21"/>
                <w:szCs w:val="21"/>
              </w:rPr>
              <w:t>事故源经度/（°）</w:t>
            </w:r>
          </w:p>
        </w:tc>
        <w:tc>
          <w:tcPr>
            <w:tcW w:w="2270" w:type="pct"/>
            <w:tcBorders>
              <w:top w:val="single" w:color="auto" w:sz="6" w:space="0"/>
              <w:left w:val="single" w:color="auto" w:sz="6" w:space="0"/>
              <w:bottom w:val="single" w:color="auto" w:sz="6" w:space="0"/>
              <w:right w:val="single" w:color="auto" w:sz="8" w:space="0"/>
            </w:tcBorders>
            <w:vAlign w:val="center"/>
          </w:tcPr>
          <w:p w14:paraId="2759951E">
            <w:pPr>
              <w:spacing w:line="360" w:lineRule="exact"/>
              <w:ind w:firstLine="0" w:firstLineChars="0"/>
              <w:jc w:val="center"/>
              <w:rPr>
                <w:sz w:val="21"/>
                <w:szCs w:val="21"/>
              </w:rPr>
            </w:pPr>
            <w:r>
              <w:rPr>
                <w:sz w:val="21"/>
                <w:szCs w:val="21"/>
              </w:rPr>
              <w:t>114.</w:t>
            </w:r>
            <w:r>
              <w:rPr>
                <w:rFonts w:hint="eastAsia"/>
                <w:sz w:val="21"/>
                <w:szCs w:val="21"/>
              </w:rPr>
              <w:t>034283</w:t>
            </w:r>
          </w:p>
        </w:tc>
      </w:tr>
      <w:tr w14:paraId="597EB9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left w:val="single" w:color="auto" w:sz="8" w:space="0"/>
              <w:right w:val="single" w:color="auto" w:sz="6" w:space="0"/>
            </w:tcBorders>
            <w:vAlign w:val="center"/>
          </w:tcPr>
          <w:p w14:paraId="31EF321B">
            <w:pPr>
              <w:widowControl/>
              <w:spacing w:line="360" w:lineRule="exact"/>
              <w:ind w:firstLine="0" w:firstLineChars="0"/>
              <w:jc w:val="left"/>
              <w:rPr>
                <w:sz w:val="21"/>
                <w:szCs w:val="21"/>
              </w:rPr>
            </w:pPr>
          </w:p>
        </w:tc>
        <w:tc>
          <w:tcPr>
            <w:tcW w:w="847" w:type="pct"/>
            <w:vMerge w:val="continue"/>
            <w:tcBorders>
              <w:left w:val="single" w:color="auto" w:sz="6" w:space="0"/>
              <w:right w:val="single" w:color="auto" w:sz="4" w:space="0"/>
            </w:tcBorders>
            <w:vAlign w:val="center"/>
          </w:tcPr>
          <w:p w14:paraId="40621544">
            <w:pPr>
              <w:spacing w:line="360" w:lineRule="exact"/>
              <w:ind w:firstLine="0" w:firstLineChars="0"/>
              <w:jc w:val="center"/>
              <w:rPr>
                <w:sz w:val="21"/>
                <w:szCs w:val="21"/>
              </w:rPr>
            </w:pPr>
          </w:p>
        </w:tc>
        <w:tc>
          <w:tcPr>
            <w:tcW w:w="1019" w:type="pct"/>
            <w:tcBorders>
              <w:top w:val="single" w:color="auto" w:sz="6" w:space="0"/>
              <w:left w:val="single" w:color="auto" w:sz="4" w:space="0"/>
              <w:bottom w:val="single" w:color="auto" w:sz="6" w:space="0"/>
              <w:right w:val="single" w:color="auto" w:sz="6" w:space="0"/>
            </w:tcBorders>
            <w:vAlign w:val="center"/>
          </w:tcPr>
          <w:p w14:paraId="0DD6BB48">
            <w:pPr>
              <w:spacing w:line="360" w:lineRule="exact"/>
              <w:ind w:firstLine="0" w:firstLineChars="0"/>
              <w:jc w:val="center"/>
              <w:rPr>
                <w:sz w:val="21"/>
                <w:szCs w:val="21"/>
              </w:rPr>
            </w:pPr>
            <w:r>
              <w:rPr>
                <w:sz w:val="21"/>
                <w:szCs w:val="21"/>
              </w:rPr>
              <w:t>事故源纬度/（°）</w:t>
            </w:r>
          </w:p>
        </w:tc>
        <w:tc>
          <w:tcPr>
            <w:tcW w:w="2270" w:type="pct"/>
            <w:tcBorders>
              <w:top w:val="single" w:color="auto" w:sz="6" w:space="0"/>
              <w:left w:val="single" w:color="auto" w:sz="6" w:space="0"/>
              <w:bottom w:val="single" w:color="auto" w:sz="6" w:space="0"/>
              <w:right w:val="single" w:color="auto" w:sz="8" w:space="0"/>
            </w:tcBorders>
            <w:vAlign w:val="center"/>
          </w:tcPr>
          <w:p w14:paraId="01DB6A03">
            <w:pPr>
              <w:spacing w:line="360" w:lineRule="exact"/>
              <w:ind w:firstLine="0" w:firstLineChars="0"/>
              <w:jc w:val="center"/>
              <w:rPr>
                <w:sz w:val="21"/>
                <w:szCs w:val="21"/>
              </w:rPr>
            </w:pPr>
            <w:r>
              <w:rPr>
                <w:sz w:val="21"/>
                <w:szCs w:val="21"/>
              </w:rPr>
              <w:t>35.</w:t>
            </w:r>
            <w:r>
              <w:rPr>
                <w:rFonts w:hint="eastAsia"/>
                <w:sz w:val="21"/>
                <w:szCs w:val="21"/>
              </w:rPr>
              <w:t>426586</w:t>
            </w:r>
          </w:p>
        </w:tc>
      </w:tr>
      <w:tr w14:paraId="4B5F0CC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left w:val="single" w:color="auto" w:sz="8" w:space="0"/>
              <w:bottom w:val="single" w:color="auto" w:sz="6" w:space="0"/>
              <w:right w:val="single" w:color="auto" w:sz="6" w:space="0"/>
            </w:tcBorders>
            <w:vAlign w:val="center"/>
          </w:tcPr>
          <w:p w14:paraId="6D8DF7E5">
            <w:pPr>
              <w:widowControl/>
              <w:spacing w:line="360" w:lineRule="exact"/>
              <w:ind w:firstLine="0" w:firstLineChars="0"/>
              <w:jc w:val="left"/>
              <w:rPr>
                <w:sz w:val="21"/>
                <w:szCs w:val="21"/>
              </w:rPr>
            </w:pPr>
          </w:p>
        </w:tc>
        <w:tc>
          <w:tcPr>
            <w:tcW w:w="847" w:type="pct"/>
            <w:vMerge w:val="continue"/>
            <w:tcBorders>
              <w:left w:val="single" w:color="auto" w:sz="6" w:space="0"/>
              <w:bottom w:val="single" w:color="auto" w:sz="6" w:space="0"/>
              <w:right w:val="single" w:color="auto" w:sz="4" w:space="0"/>
            </w:tcBorders>
            <w:vAlign w:val="center"/>
          </w:tcPr>
          <w:p w14:paraId="7A6C0AAB">
            <w:pPr>
              <w:spacing w:line="360" w:lineRule="exact"/>
              <w:ind w:firstLine="0" w:firstLineChars="0"/>
              <w:jc w:val="center"/>
              <w:rPr>
                <w:sz w:val="21"/>
                <w:szCs w:val="21"/>
              </w:rPr>
            </w:pPr>
          </w:p>
        </w:tc>
        <w:tc>
          <w:tcPr>
            <w:tcW w:w="1019" w:type="pct"/>
            <w:tcBorders>
              <w:top w:val="single" w:color="auto" w:sz="6" w:space="0"/>
              <w:left w:val="single" w:color="auto" w:sz="4" w:space="0"/>
              <w:bottom w:val="single" w:color="auto" w:sz="6" w:space="0"/>
              <w:right w:val="single" w:color="auto" w:sz="6" w:space="0"/>
            </w:tcBorders>
            <w:vAlign w:val="center"/>
          </w:tcPr>
          <w:p w14:paraId="1DE23357">
            <w:pPr>
              <w:spacing w:line="360" w:lineRule="exact"/>
              <w:ind w:firstLine="0" w:firstLineChars="0"/>
              <w:jc w:val="center"/>
              <w:rPr>
                <w:sz w:val="21"/>
                <w:szCs w:val="21"/>
              </w:rPr>
            </w:pPr>
            <w:r>
              <w:rPr>
                <w:sz w:val="21"/>
                <w:szCs w:val="21"/>
              </w:rPr>
              <w:t>事故源类型</w:t>
            </w:r>
          </w:p>
        </w:tc>
        <w:tc>
          <w:tcPr>
            <w:tcW w:w="2270" w:type="pct"/>
            <w:tcBorders>
              <w:top w:val="single" w:color="auto" w:sz="6" w:space="0"/>
              <w:left w:val="single" w:color="auto" w:sz="6" w:space="0"/>
              <w:bottom w:val="single" w:color="auto" w:sz="6" w:space="0"/>
              <w:right w:val="single" w:color="auto" w:sz="8" w:space="0"/>
            </w:tcBorders>
            <w:vAlign w:val="center"/>
          </w:tcPr>
          <w:p w14:paraId="09D855C5">
            <w:pPr>
              <w:spacing w:line="360" w:lineRule="exact"/>
              <w:ind w:firstLine="0" w:firstLineChars="0"/>
              <w:jc w:val="center"/>
              <w:rPr>
                <w:sz w:val="21"/>
                <w:szCs w:val="21"/>
              </w:rPr>
            </w:pPr>
            <w:r>
              <w:rPr>
                <w:rFonts w:hint="eastAsia"/>
                <w:sz w:val="21"/>
                <w:szCs w:val="21"/>
              </w:rPr>
              <w:t>桶破</w:t>
            </w:r>
            <w:r>
              <w:rPr>
                <w:sz w:val="21"/>
                <w:szCs w:val="21"/>
              </w:rPr>
              <w:t>泄漏</w:t>
            </w:r>
          </w:p>
        </w:tc>
      </w:tr>
      <w:tr w14:paraId="6B4CE2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restart"/>
            <w:tcBorders>
              <w:top w:val="single" w:color="auto" w:sz="6" w:space="0"/>
              <w:left w:val="single" w:color="auto" w:sz="8" w:space="0"/>
              <w:bottom w:val="single" w:color="auto" w:sz="6" w:space="0"/>
              <w:right w:val="single" w:color="auto" w:sz="6" w:space="0"/>
            </w:tcBorders>
            <w:vAlign w:val="center"/>
          </w:tcPr>
          <w:p w14:paraId="187A2090">
            <w:pPr>
              <w:spacing w:line="360" w:lineRule="exact"/>
              <w:ind w:firstLine="0" w:firstLineChars="0"/>
              <w:jc w:val="center"/>
              <w:rPr>
                <w:sz w:val="21"/>
                <w:szCs w:val="21"/>
              </w:rPr>
            </w:pPr>
            <w:r>
              <w:rPr>
                <w:sz w:val="21"/>
                <w:szCs w:val="21"/>
              </w:rPr>
              <w:t>气象参数</w:t>
            </w:r>
          </w:p>
        </w:tc>
        <w:tc>
          <w:tcPr>
            <w:tcW w:w="1866" w:type="pct"/>
            <w:gridSpan w:val="2"/>
            <w:tcBorders>
              <w:top w:val="single" w:color="auto" w:sz="6" w:space="0"/>
              <w:left w:val="single" w:color="auto" w:sz="6" w:space="0"/>
              <w:bottom w:val="single" w:color="auto" w:sz="6" w:space="0"/>
              <w:right w:val="single" w:color="auto" w:sz="6" w:space="0"/>
            </w:tcBorders>
            <w:vAlign w:val="center"/>
          </w:tcPr>
          <w:p w14:paraId="203FE7DE">
            <w:pPr>
              <w:spacing w:line="360" w:lineRule="exact"/>
              <w:ind w:firstLine="0" w:firstLineChars="0"/>
              <w:jc w:val="center"/>
              <w:rPr>
                <w:sz w:val="21"/>
                <w:szCs w:val="21"/>
              </w:rPr>
            </w:pPr>
            <w:r>
              <w:rPr>
                <w:sz w:val="21"/>
                <w:szCs w:val="21"/>
              </w:rPr>
              <w:t>气象条件类型</w:t>
            </w:r>
          </w:p>
        </w:tc>
        <w:tc>
          <w:tcPr>
            <w:tcW w:w="2270" w:type="pct"/>
            <w:tcBorders>
              <w:top w:val="single" w:color="auto" w:sz="6" w:space="0"/>
              <w:left w:val="single" w:color="auto" w:sz="6" w:space="0"/>
              <w:bottom w:val="single" w:color="auto" w:sz="6" w:space="0"/>
              <w:right w:val="single" w:color="auto" w:sz="8" w:space="0"/>
            </w:tcBorders>
            <w:vAlign w:val="center"/>
          </w:tcPr>
          <w:p w14:paraId="261E165E">
            <w:pPr>
              <w:spacing w:line="360" w:lineRule="exact"/>
              <w:ind w:firstLine="0" w:firstLineChars="0"/>
              <w:jc w:val="center"/>
              <w:rPr>
                <w:sz w:val="21"/>
                <w:szCs w:val="21"/>
              </w:rPr>
            </w:pPr>
            <w:r>
              <w:rPr>
                <w:sz w:val="21"/>
                <w:szCs w:val="21"/>
              </w:rPr>
              <w:t>最不利气象</w:t>
            </w:r>
          </w:p>
        </w:tc>
      </w:tr>
      <w:tr w14:paraId="33AB4A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top w:val="single" w:color="auto" w:sz="6" w:space="0"/>
              <w:left w:val="single" w:color="auto" w:sz="8" w:space="0"/>
              <w:bottom w:val="single" w:color="auto" w:sz="6" w:space="0"/>
              <w:right w:val="single" w:color="auto" w:sz="6" w:space="0"/>
            </w:tcBorders>
            <w:vAlign w:val="center"/>
          </w:tcPr>
          <w:p w14:paraId="7FA3A7FA">
            <w:pPr>
              <w:widowControl/>
              <w:spacing w:line="360" w:lineRule="exact"/>
              <w:ind w:firstLine="0" w:firstLineChars="0"/>
              <w:jc w:val="left"/>
              <w:rPr>
                <w:sz w:val="21"/>
                <w:szCs w:val="21"/>
                <w:u w:val="single"/>
              </w:rPr>
            </w:pPr>
          </w:p>
        </w:tc>
        <w:tc>
          <w:tcPr>
            <w:tcW w:w="1866" w:type="pct"/>
            <w:gridSpan w:val="2"/>
            <w:tcBorders>
              <w:top w:val="single" w:color="auto" w:sz="6" w:space="0"/>
              <w:left w:val="single" w:color="auto" w:sz="6" w:space="0"/>
              <w:bottom w:val="single" w:color="auto" w:sz="6" w:space="0"/>
              <w:right w:val="single" w:color="auto" w:sz="6" w:space="0"/>
            </w:tcBorders>
            <w:vAlign w:val="center"/>
          </w:tcPr>
          <w:p w14:paraId="447025EB">
            <w:pPr>
              <w:spacing w:line="360" w:lineRule="exact"/>
              <w:ind w:firstLine="0" w:firstLineChars="0"/>
              <w:jc w:val="center"/>
              <w:rPr>
                <w:sz w:val="21"/>
                <w:szCs w:val="21"/>
              </w:rPr>
            </w:pPr>
            <w:r>
              <w:rPr>
                <w:sz w:val="21"/>
                <w:szCs w:val="21"/>
              </w:rPr>
              <w:t>风速/（m/s）</w:t>
            </w:r>
          </w:p>
        </w:tc>
        <w:tc>
          <w:tcPr>
            <w:tcW w:w="2270" w:type="pct"/>
            <w:tcBorders>
              <w:top w:val="single" w:color="auto" w:sz="6" w:space="0"/>
              <w:left w:val="single" w:color="auto" w:sz="6" w:space="0"/>
              <w:bottom w:val="single" w:color="auto" w:sz="6" w:space="0"/>
              <w:right w:val="single" w:color="auto" w:sz="8" w:space="0"/>
            </w:tcBorders>
            <w:vAlign w:val="center"/>
          </w:tcPr>
          <w:p w14:paraId="41C813C5">
            <w:pPr>
              <w:spacing w:line="360" w:lineRule="exact"/>
              <w:ind w:firstLine="0" w:firstLineChars="0"/>
              <w:jc w:val="center"/>
              <w:rPr>
                <w:sz w:val="21"/>
                <w:szCs w:val="21"/>
              </w:rPr>
            </w:pPr>
            <w:r>
              <w:rPr>
                <w:sz w:val="21"/>
                <w:szCs w:val="21"/>
              </w:rPr>
              <w:t>1.5</w:t>
            </w:r>
          </w:p>
        </w:tc>
      </w:tr>
      <w:tr w14:paraId="614F54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top w:val="single" w:color="auto" w:sz="6" w:space="0"/>
              <w:left w:val="single" w:color="auto" w:sz="8" w:space="0"/>
              <w:bottom w:val="single" w:color="auto" w:sz="6" w:space="0"/>
              <w:right w:val="single" w:color="auto" w:sz="6" w:space="0"/>
            </w:tcBorders>
            <w:vAlign w:val="center"/>
          </w:tcPr>
          <w:p w14:paraId="4D488EFC">
            <w:pPr>
              <w:widowControl/>
              <w:spacing w:line="360" w:lineRule="exact"/>
              <w:ind w:firstLine="0" w:firstLineChars="0"/>
              <w:jc w:val="left"/>
              <w:rPr>
                <w:sz w:val="21"/>
                <w:szCs w:val="21"/>
                <w:u w:val="single"/>
              </w:rPr>
            </w:pPr>
          </w:p>
        </w:tc>
        <w:tc>
          <w:tcPr>
            <w:tcW w:w="1866" w:type="pct"/>
            <w:gridSpan w:val="2"/>
            <w:tcBorders>
              <w:top w:val="single" w:color="auto" w:sz="6" w:space="0"/>
              <w:left w:val="single" w:color="auto" w:sz="6" w:space="0"/>
              <w:bottom w:val="single" w:color="auto" w:sz="6" w:space="0"/>
              <w:right w:val="single" w:color="auto" w:sz="6" w:space="0"/>
            </w:tcBorders>
            <w:vAlign w:val="center"/>
          </w:tcPr>
          <w:p w14:paraId="73A24B0F">
            <w:pPr>
              <w:spacing w:line="360" w:lineRule="exact"/>
              <w:ind w:firstLine="0" w:firstLineChars="0"/>
              <w:jc w:val="center"/>
              <w:rPr>
                <w:sz w:val="21"/>
                <w:szCs w:val="21"/>
              </w:rPr>
            </w:pPr>
            <w:r>
              <w:rPr>
                <w:sz w:val="21"/>
                <w:szCs w:val="21"/>
              </w:rPr>
              <w:t>环境温度/（℃）</w:t>
            </w:r>
          </w:p>
        </w:tc>
        <w:tc>
          <w:tcPr>
            <w:tcW w:w="2270" w:type="pct"/>
            <w:tcBorders>
              <w:top w:val="single" w:color="auto" w:sz="6" w:space="0"/>
              <w:left w:val="single" w:color="auto" w:sz="6" w:space="0"/>
              <w:bottom w:val="single" w:color="auto" w:sz="6" w:space="0"/>
              <w:right w:val="single" w:color="auto" w:sz="8" w:space="0"/>
            </w:tcBorders>
            <w:vAlign w:val="center"/>
          </w:tcPr>
          <w:p w14:paraId="44E6B234">
            <w:pPr>
              <w:spacing w:line="360" w:lineRule="exact"/>
              <w:ind w:firstLine="0" w:firstLineChars="0"/>
              <w:jc w:val="center"/>
              <w:rPr>
                <w:sz w:val="21"/>
                <w:szCs w:val="21"/>
              </w:rPr>
            </w:pPr>
            <w:r>
              <w:rPr>
                <w:sz w:val="21"/>
                <w:szCs w:val="21"/>
              </w:rPr>
              <w:t>25</w:t>
            </w:r>
          </w:p>
        </w:tc>
      </w:tr>
      <w:tr w14:paraId="65ABA5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top w:val="single" w:color="auto" w:sz="6" w:space="0"/>
              <w:left w:val="single" w:color="auto" w:sz="8" w:space="0"/>
              <w:bottom w:val="single" w:color="auto" w:sz="6" w:space="0"/>
              <w:right w:val="single" w:color="auto" w:sz="6" w:space="0"/>
            </w:tcBorders>
            <w:vAlign w:val="center"/>
          </w:tcPr>
          <w:p w14:paraId="3B63C3E8">
            <w:pPr>
              <w:widowControl/>
              <w:spacing w:line="360" w:lineRule="exact"/>
              <w:ind w:firstLine="0" w:firstLineChars="0"/>
              <w:jc w:val="left"/>
              <w:rPr>
                <w:sz w:val="21"/>
                <w:szCs w:val="21"/>
                <w:u w:val="single"/>
              </w:rPr>
            </w:pPr>
          </w:p>
        </w:tc>
        <w:tc>
          <w:tcPr>
            <w:tcW w:w="1866" w:type="pct"/>
            <w:gridSpan w:val="2"/>
            <w:tcBorders>
              <w:top w:val="single" w:color="auto" w:sz="6" w:space="0"/>
              <w:left w:val="single" w:color="auto" w:sz="6" w:space="0"/>
              <w:bottom w:val="single" w:color="auto" w:sz="6" w:space="0"/>
              <w:right w:val="single" w:color="auto" w:sz="6" w:space="0"/>
            </w:tcBorders>
            <w:vAlign w:val="center"/>
          </w:tcPr>
          <w:p w14:paraId="7D5F727F">
            <w:pPr>
              <w:spacing w:line="360" w:lineRule="exact"/>
              <w:ind w:firstLine="0" w:firstLineChars="0"/>
              <w:jc w:val="center"/>
              <w:rPr>
                <w:sz w:val="21"/>
                <w:szCs w:val="21"/>
              </w:rPr>
            </w:pPr>
            <w:r>
              <w:rPr>
                <w:sz w:val="21"/>
                <w:szCs w:val="21"/>
              </w:rPr>
              <w:t>相对湿度/%</w:t>
            </w:r>
          </w:p>
        </w:tc>
        <w:tc>
          <w:tcPr>
            <w:tcW w:w="2270" w:type="pct"/>
            <w:tcBorders>
              <w:top w:val="single" w:color="auto" w:sz="6" w:space="0"/>
              <w:left w:val="single" w:color="auto" w:sz="6" w:space="0"/>
              <w:bottom w:val="single" w:color="auto" w:sz="6" w:space="0"/>
              <w:right w:val="single" w:color="auto" w:sz="8" w:space="0"/>
            </w:tcBorders>
            <w:vAlign w:val="center"/>
          </w:tcPr>
          <w:p w14:paraId="28BFEB1E">
            <w:pPr>
              <w:spacing w:line="360" w:lineRule="exact"/>
              <w:ind w:firstLine="0" w:firstLineChars="0"/>
              <w:jc w:val="center"/>
              <w:rPr>
                <w:sz w:val="21"/>
                <w:szCs w:val="21"/>
              </w:rPr>
            </w:pPr>
            <w:r>
              <w:rPr>
                <w:sz w:val="21"/>
                <w:szCs w:val="21"/>
              </w:rPr>
              <w:t>50</w:t>
            </w:r>
          </w:p>
        </w:tc>
      </w:tr>
      <w:tr w14:paraId="710DEA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top w:val="single" w:color="auto" w:sz="6" w:space="0"/>
              <w:left w:val="single" w:color="auto" w:sz="8" w:space="0"/>
              <w:bottom w:val="single" w:color="auto" w:sz="6" w:space="0"/>
              <w:right w:val="single" w:color="auto" w:sz="6" w:space="0"/>
            </w:tcBorders>
            <w:vAlign w:val="center"/>
          </w:tcPr>
          <w:p w14:paraId="050B5DFC">
            <w:pPr>
              <w:widowControl/>
              <w:spacing w:line="360" w:lineRule="exact"/>
              <w:ind w:firstLine="0" w:firstLineChars="0"/>
              <w:jc w:val="left"/>
              <w:rPr>
                <w:sz w:val="21"/>
                <w:szCs w:val="21"/>
                <w:u w:val="single"/>
              </w:rPr>
            </w:pPr>
          </w:p>
        </w:tc>
        <w:tc>
          <w:tcPr>
            <w:tcW w:w="1866" w:type="pct"/>
            <w:gridSpan w:val="2"/>
            <w:tcBorders>
              <w:top w:val="single" w:color="auto" w:sz="6" w:space="0"/>
              <w:left w:val="single" w:color="auto" w:sz="6" w:space="0"/>
              <w:bottom w:val="single" w:color="auto" w:sz="6" w:space="0"/>
              <w:right w:val="single" w:color="auto" w:sz="6" w:space="0"/>
            </w:tcBorders>
            <w:vAlign w:val="center"/>
          </w:tcPr>
          <w:p w14:paraId="2021512F">
            <w:pPr>
              <w:spacing w:line="360" w:lineRule="exact"/>
              <w:ind w:firstLine="0" w:firstLineChars="0"/>
              <w:jc w:val="center"/>
              <w:rPr>
                <w:sz w:val="21"/>
                <w:szCs w:val="21"/>
              </w:rPr>
            </w:pPr>
            <w:r>
              <w:rPr>
                <w:sz w:val="21"/>
                <w:szCs w:val="21"/>
              </w:rPr>
              <w:t>稳定度</w:t>
            </w:r>
          </w:p>
        </w:tc>
        <w:tc>
          <w:tcPr>
            <w:tcW w:w="2270" w:type="pct"/>
            <w:tcBorders>
              <w:top w:val="single" w:color="auto" w:sz="6" w:space="0"/>
              <w:left w:val="single" w:color="auto" w:sz="6" w:space="0"/>
              <w:bottom w:val="single" w:color="auto" w:sz="6" w:space="0"/>
              <w:right w:val="single" w:color="auto" w:sz="8" w:space="0"/>
            </w:tcBorders>
            <w:vAlign w:val="center"/>
          </w:tcPr>
          <w:p w14:paraId="23AAF88C">
            <w:pPr>
              <w:spacing w:line="360" w:lineRule="exact"/>
              <w:ind w:firstLine="0" w:firstLineChars="0"/>
              <w:jc w:val="center"/>
              <w:rPr>
                <w:sz w:val="21"/>
                <w:szCs w:val="21"/>
              </w:rPr>
            </w:pPr>
            <w:r>
              <w:rPr>
                <w:sz w:val="21"/>
                <w:szCs w:val="21"/>
              </w:rPr>
              <w:t>F</w:t>
            </w:r>
          </w:p>
        </w:tc>
      </w:tr>
      <w:tr w14:paraId="5D71F7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restart"/>
            <w:tcBorders>
              <w:top w:val="single" w:color="auto" w:sz="6" w:space="0"/>
              <w:left w:val="single" w:color="auto" w:sz="8" w:space="0"/>
              <w:bottom w:val="single" w:color="auto" w:sz="6" w:space="0"/>
              <w:right w:val="single" w:color="auto" w:sz="6" w:space="0"/>
            </w:tcBorders>
            <w:vAlign w:val="center"/>
          </w:tcPr>
          <w:p w14:paraId="3DDCA519">
            <w:pPr>
              <w:spacing w:line="360" w:lineRule="exact"/>
              <w:ind w:firstLine="0" w:firstLineChars="0"/>
              <w:jc w:val="center"/>
              <w:rPr>
                <w:sz w:val="21"/>
                <w:szCs w:val="21"/>
              </w:rPr>
            </w:pPr>
            <w:r>
              <w:rPr>
                <w:sz w:val="21"/>
                <w:szCs w:val="21"/>
              </w:rPr>
              <w:t>其他参数</w:t>
            </w:r>
          </w:p>
        </w:tc>
        <w:tc>
          <w:tcPr>
            <w:tcW w:w="1866" w:type="pct"/>
            <w:gridSpan w:val="2"/>
            <w:tcBorders>
              <w:top w:val="single" w:color="auto" w:sz="6" w:space="0"/>
              <w:left w:val="single" w:color="auto" w:sz="6" w:space="0"/>
              <w:bottom w:val="single" w:color="auto" w:sz="6" w:space="0"/>
              <w:right w:val="single" w:color="auto" w:sz="6" w:space="0"/>
            </w:tcBorders>
            <w:vAlign w:val="center"/>
          </w:tcPr>
          <w:p w14:paraId="54B67C22">
            <w:pPr>
              <w:spacing w:line="360" w:lineRule="exact"/>
              <w:ind w:firstLine="0" w:firstLineChars="0"/>
              <w:jc w:val="center"/>
              <w:rPr>
                <w:sz w:val="21"/>
                <w:szCs w:val="21"/>
              </w:rPr>
            </w:pPr>
            <w:r>
              <w:rPr>
                <w:sz w:val="21"/>
                <w:szCs w:val="21"/>
              </w:rPr>
              <w:t>风向</w:t>
            </w:r>
          </w:p>
        </w:tc>
        <w:tc>
          <w:tcPr>
            <w:tcW w:w="2270" w:type="pct"/>
            <w:tcBorders>
              <w:top w:val="single" w:color="auto" w:sz="6" w:space="0"/>
              <w:left w:val="single" w:color="auto" w:sz="6" w:space="0"/>
              <w:bottom w:val="single" w:color="auto" w:sz="6" w:space="0"/>
              <w:right w:val="single" w:color="auto" w:sz="8" w:space="0"/>
            </w:tcBorders>
            <w:vAlign w:val="center"/>
          </w:tcPr>
          <w:p w14:paraId="77C50C33">
            <w:pPr>
              <w:spacing w:line="360" w:lineRule="exact"/>
              <w:ind w:firstLine="0" w:firstLineChars="0"/>
              <w:jc w:val="center"/>
              <w:rPr>
                <w:sz w:val="21"/>
                <w:szCs w:val="21"/>
              </w:rPr>
            </w:pPr>
            <w:r>
              <w:rPr>
                <w:sz w:val="21"/>
                <w:szCs w:val="21"/>
              </w:rPr>
              <w:t>东北</w:t>
            </w:r>
          </w:p>
        </w:tc>
      </w:tr>
      <w:tr w14:paraId="05B4741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top w:val="single" w:color="auto" w:sz="6" w:space="0"/>
              <w:left w:val="single" w:color="auto" w:sz="8" w:space="0"/>
              <w:bottom w:val="single" w:color="auto" w:sz="6" w:space="0"/>
              <w:right w:val="single" w:color="auto" w:sz="6" w:space="0"/>
            </w:tcBorders>
            <w:vAlign w:val="center"/>
          </w:tcPr>
          <w:p w14:paraId="7828A7F9">
            <w:pPr>
              <w:widowControl/>
              <w:spacing w:line="360" w:lineRule="exact"/>
              <w:ind w:firstLine="0" w:firstLineChars="0"/>
              <w:jc w:val="left"/>
              <w:rPr>
                <w:sz w:val="21"/>
                <w:szCs w:val="21"/>
              </w:rPr>
            </w:pPr>
          </w:p>
        </w:tc>
        <w:tc>
          <w:tcPr>
            <w:tcW w:w="1866" w:type="pct"/>
            <w:gridSpan w:val="2"/>
            <w:tcBorders>
              <w:top w:val="single" w:color="auto" w:sz="6" w:space="0"/>
              <w:left w:val="single" w:color="auto" w:sz="6" w:space="0"/>
              <w:bottom w:val="single" w:color="auto" w:sz="6" w:space="0"/>
              <w:right w:val="single" w:color="auto" w:sz="6" w:space="0"/>
            </w:tcBorders>
            <w:vAlign w:val="center"/>
          </w:tcPr>
          <w:p w14:paraId="4AC0F058">
            <w:pPr>
              <w:spacing w:line="360" w:lineRule="exact"/>
              <w:ind w:firstLine="0" w:firstLineChars="0"/>
              <w:jc w:val="center"/>
              <w:rPr>
                <w:sz w:val="21"/>
                <w:szCs w:val="21"/>
              </w:rPr>
            </w:pPr>
            <w:r>
              <w:rPr>
                <w:sz w:val="21"/>
                <w:szCs w:val="21"/>
              </w:rPr>
              <w:t>测风向地表粗糙度cm</w:t>
            </w:r>
          </w:p>
        </w:tc>
        <w:tc>
          <w:tcPr>
            <w:tcW w:w="2270" w:type="pct"/>
            <w:tcBorders>
              <w:top w:val="single" w:color="auto" w:sz="6" w:space="0"/>
              <w:left w:val="single" w:color="auto" w:sz="6" w:space="0"/>
              <w:bottom w:val="single" w:color="auto" w:sz="6" w:space="0"/>
              <w:right w:val="single" w:color="auto" w:sz="8" w:space="0"/>
            </w:tcBorders>
            <w:vAlign w:val="center"/>
          </w:tcPr>
          <w:p w14:paraId="66D14798">
            <w:pPr>
              <w:spacing w:line="360" w:lineRule="exact"/>
              <w:ind w:firstLine="0" w:firstLineChars="0"/>
              <w:jc w:val="center"/>
              <w:rPr>
                <w:sz w:val="21"/>
                <w:szCs w:val="21"/>
              </w:rPr>
            </w:pPr>
            <w:r>
              <w:rPr>
                <w:sz w:val="21"/>
                <w:szCs w:val="21"/>
              </w:rPr>
              <w:t>3</w:t>
            </w:r>
          </w:p>
        </w:tc>
      </w:tr>
      <w:tr w14:paraId="16B494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64" w:type="pct"/>
            <w:vMerge w:val="continue"/>
            <w:tcBorders>
              <w:top w:val="single" w:color="auto" w:sz="6" w:space="0"/>
              <w:left w:val="single" w:color="auto" w:sz="8" w:space="0"/>
              <w:bottom w:val="single" w:color="auto" w:sz="6" w:space="0"/>
              <w:right w:val="single" w:color="auto" w:sz="6" w:space="0"/>
            </w:tcBorders>
            <w:vAlign w:val="center"/>
          </w:tcPr>
          <w:p w14:paraId="76D5DF48">
            <w:pPr>
              <w:widowControl/>
              <w:spacing w:line="360" w:lineRule="exact"/>
              <w:ind w:firstLine="0" w:firstLineChars="0"/>
              <w:jc w:val="left"/>
              <w:rPr>
                <w:sz w:val="21"/>
                <w:szCs w:val="21"/>
              </w:rPr>
            </w:pPr>
          </w:p>
        </w:tc>
        <w:tc>
          <w:tcPr>
            <w:tcW w:w="1866" w:type="pct"/>
            <w:gridSpan w:val="2"/>
            <w:tcBorders>
              <w:top w:val="single" w:color="auto" w:sz="6" w:space="0"/>
              <w:left w:val="single" w:color="auto" w:sz="6" w:space="0"/>
              <w:bottom w:val="single" w:color="auto" w:sz="8" w:space="0"/>
              <w:right w:val="single" w:color="auto" w:sz="6" w:space="0"/>
            </w:tcBorders>
            <w:vAlign w:val="center"/>
          </w:tcPr>
          <w:p w14:paraId="05E3B9F5">
            <w:pPr>
              <w:spacing w:line="360" w:lineRule="exact"/>
              <w:ind w:firstLine="0" w:firstLineChars="0"/>
              <w:jc w:val="center"/>
              <w:rPr>
                <w:sz w:val="21"/>
                <w:szCs w:val="21"/>
              </w:rPr>
            </w:pPr>
            <w:r>
              <w:rPr>
                <w:sz w:val="21"/>
                <w:szCs w:val="21"/>
              </w:rPr>
              <w:t>事故处地表粗糙度cm</w:t>
            </w:r>
          </w:p>
        </w:tc>
        <w:tc>
          <w:tcPr>
            <w:tcW w:w="2270" w:type="pct"/>
            <w:tcBorders>
              <w:top w:val="single" w:color="auto" w:sz="6" w:space="0"/>
              <w:left w:val="single" w:color="auto" w:sz="6" w:space="0"/>
              <w:bottom w:val="single" w:color="auto" w:sz="8" w:space="0"/>
              <w:right w:val="single" w:color="auto" w:sz="8" w:space="0"/>
            </w:tcBorders>
            <w:vAlign w:val="center"/>
          </w:tcPr>
          <w:p w14:paraId="0C619598">
            <w:pPr>
              <w:spacing w:line="360" w:lineRule="exact"/>
              <w:ind w:firstLine="0" w:firstLineChars="0"/>
              <w:jc w:val="center"/>
              <w:rPr>
                <w:sz w:val="21"/>
                <w:szCs w:val="21"/>
              </w:rPr>
            </w:pPr>
            <w:r>
              <w:rPr>
                <w:sz w:val="21"/>
                <w:szCs w:val="21"/>
              </w:rPr>
              <w:t>10</w:t>
            </w:r>
          </w:p>
        </w:tc>
      </w:tr>
    </w:tbl>
    <w:p w14:paraId="18A5DF4D">
      <w:pPr>
        <w:ind w:firstLine="480"/>
        <w:rPr>
          <w:bCs/>
          <w:szCs w:val="24"/>
        </w:rPr>
      </w:pPr>
    </w:p>
    <w:p w14:paraId="3EF2D544">
      <w:pPr>
        <w:pStyle w:val="6"/>
        <w:ind w:left="0" w:firstLine="482"/>
      </w:pPr>
      <w:r>
        <w:rPr>
          <w:rFonts w:hint="eastAsia"/>
        </w:rPr>
        <w:t>大气毒性终点浓度</w:t>
      </w:r>
    </w:p>
    <w:p w14:paraId="7C53EBC3">
      <w:pPr>
        <w:ind w:firstLine="480"/>
        <w:rPr>
          <w:bCs/>
          <w:szCs w:val="24"/>
        </w:rPr>
      </w:pPr>
      <w:r>
        <w:rPr>
          <w:rFonts w:hint="eastAsia"/>
          <w:bCs/>
          <w:szCs w:val="24"/>
        </w:rPr>
        <w:t>大气毒性终点浓度即预测评价标准。大气毒性终点浓度值选取参见《建设项目环境风险评价技术导则》（HJ169-2018）附录H，分为1、2级。根据《建设项目环境风险评价技术导则》（HJ169-2018）附录H：各风险物质的毒性终点浓度值见下表。</w:t>
      </w:r>
    </w:p>
    <w:p w14:paraId="222CF320">
      <w:pPr>
        <w:pStyle w:val="99"/>
        <w:numPr>
          <w:ilvl w:val="4"/>
          <w:numId w:val="46"/>
        </w:numPr>
        <w:ind w:left="0" w:firstLine="480"/>
        <w:rPr>
          <w:rFonts w:eastAsia="黑体"/>
          <w:bCs/>
          <w:szCs w:val="24"/>
        </w:rPr>
      </w:pPr>
      <w:r>
        <w:rPr>
          <w:rFonts w:hint="eastAsia" w:eastAsia="黑体"/>
          <w:bCs/>
          <w:szCs w:val="24"/>
        </w:rPr>
        <w:t xml:space="preserve">        项目风险物质毒性终点浓度</w:t>
      </w:r>
    </w:p>
    <w:tbl>
      <w:tblPr>
        <w:tblStyle w:val="4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85"/>
        <w:gridCol w:w="1557"/>
        <w:gridCol w:w="2693"/>
        <w:gridCol w:w="2791"/>
      </w:tblGrid>
      <w:tr w14:paraId="0DF77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772" w:type="pct"/>
            <w:vAlign w:val="center"/>
          </w:tcPr>
          <w:p w14:paraId="27CD3252">
            <w:pPr>
              <w:spacing w:line="360" w:lineRule="exact"/>
              <w:ind w:firstLine="0" w:firstLineChars="0"/>
              <w:jc w:val="center"/>
              <w:rPr>
                <w:b/>
                <w:sz w:val="21"/>
                <w:szCs w:val="21"/>
              </w:rPr>
            </w:pPr>
            <w:r>
              <w:rPr>
                <w:b/>
                <w:sz w:val="21"/>
                <w:szCs w:val="21"/>
              </w:rPr>
              <w:t>风险物质</w:t>
            </w:r>
          </w:p>
        </w:tc>
        <w:tc>
          <w:tcPr>
            <w:tcW w:w="935" w:type="pct"/>
            <w:vAlign w:val="center"/>
          </w:tcPr>
          <w:p w14:paraId="06104CA8">
            <w:pPr>
              <w:spacing w:line="360" w:lineRule="exact"/>
              <w:ind w:firstLine="0" w:firstLineChars="0"/>
              <w:jc w:val="center"/>
              <w:rPr>
                <w:b/>
                <w:sz w:val="21"/>
                <w:szCs w:val="21"/>
              </w:rPr>
            </w:pPr>
            <w:r>
              <w:rPr>
                <w:b/>
                <w:sz w:val="21"/>
                <w:szCs w:val="21"/>
              </w:rPr>
              <w:t>CAS</w:t>
            </w:r>
          </w:p>
        </w:tc>
        <w:tc>
          <w:tcPr>
            <w:tcW w:w="1617" w:type="pct"/>
            <w:vAlign w:val="center"/>
          </w:tcPr>
          <w:p w14:paraId="3A598CD8">
            <w:pPr>
              <w:spacing w:line="360" w:lineRule="exact"/>
              <w:ind w:firstLine="0" w:firstLineChars="0"/>
              <w:jc w:val="center"/>
              <w:rPr>
                <w:b/>
                <w:sz w:val="21"/>
                <w:szCs w:val="21"/>
              </w:rPr>
            </w:pPr>
            <w:r>
              <w:rPr>
                <w:b/>
                <w:sz w:val="21"/>
                <w:szCs w:val="21"/>
              </w:rPr>
              <w:t>毒性终点浓度-1/（mg/m³）</w:t>
            </w:r>
          </w:p>
        </w:tc>
        <w:tc>
          <w:tcPr>
            <w:tcW w:w="1676" w:type="pct"/>
            <w:vAlign w:val="center"/>
          </w:tcPr>
          <w:p w14:paraId="187CFCB5">
            <w:pPr>
              <w:spacing w:line="360" w:lineRule="exact"/>
              <w:ind w:firstLine="0" w:firstLineChars="0"/>
              <w:jc w:val="center"/>
              <w:rPr>
                <w:b/>
                <w:sz w:val="21"/>
                <w:szCs w:val="21"/>
              </w:rPr>
            </w:pPr>
            <w:r>
              <w:rPr>
                <w:b/>
                <w:sz w:val="21"/>
                <w:szCs w:val="21"/>
              </w:rPr>
              <w:t>毒性终点浓度-2/（mg/m³）</w:t>
            </w:r>
          </w:p>
        </w:tc>
      </w:tr>
      <w:tr w14:paraId="3F0CC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72" w:type="pct"/>
            <w:vAlign w:val="center"/>
          </w:tcPr>
          <w:p w14:paraId="69548657">
            <w:pPr>
              <w:spacing w:line="360" w:lineRule="exact"/>
              <w:ind w:firstLine="0" w:firstLineChars="0"/>
              <w:jc w:val="center"/>
              <w:rPr>
                <w:sz w:val="21"/>
                <w:szCs w:val="21"/>
              </w:rPr>
            </w:pPr>
            <w:r>
              <w:rPr>
                <w:rFonts w:hint="eastAsia"/>
                <w:sz w:val="21"/>
                <w:szCs w:val="21"/>
              </w:rPr>
              <w:t>D4（八甲基环四硅氧烷）</w:t>
            </w:r>
          </w:p>
        </w:tc>
        <w:tc>
          <w:tcPr>
            <w:tcW w:w="935" w:type="pct"/>
            <w:vAlign w:val="center"/>
          </w:tcPr>
          <w:p w14:paraId="6AB2A945">
            <w:pPr>
              <w:spacing w:line="360" w:lineRule="exact"/>
              <w:ind w:firstLine="0" w:firstLineChars="0"/>
              <w:jc w:val="center"/>
              <w:rPr>
                <w:rFonts w:eastAsiaTheme="minorEastAsia"/>
                <w:sz w:val="21"/>
                <w:szCs w:val="21"/>
              </w:rPr>
            </w:pPr>
            <w:r>
              <w:rPr>
                <w:rFonts w:hint="eastAsia" w:eastAsiaTheme="minorEastAsia"/>
                <w:sz w:val="21"/>
                <w:szCs w:val="21"/>
              </w:rPr>
              <w:t>556-67-2</w:t>
            </w:r>
          </w:p>
        </w:tc>
        <w:tc>
          <w:tcPr>
            <w:tcW w:w="1617" w:type="pct"/>
            <w:vAlign w:val="center"/>
          </w:tcPr>
          <w:p w14:paraId="6314AAF5">
            <w:pPr>
              <w:spacing w:line="360" w:lineRule="exact"/>
              <w:ind w:firstLine="0" w:firstLineChars="0"/>
              <w:jc w:val="center"/>
              <w:rPr>
                <w:rFonts w:eastAsiaTheme="minorEastAsia"/>
                <w:sz w:val="21"/>
                <w:szCs w:val="21"/>
              </w:rPr>
            </w:pPr>
            <w:r>
              <w:rPr>
                <w:rFonts w:hint="eastAsia" w:eastAsiaTheme="minorEastAsia"/>
                <w:sz w:val="21"/>
                <w:szCs w:val="21"/>
              </w:rPr>
              <w:t>1600</w:t>
            </w:r>
          </w:p>
        </w:tc>
        <w:tc>
          <w:tcPr>
            <w:tcW w:w="1676" w:type="pct"/>
            <w:vAlign w:val="center"/>
          </w:tcPr>
          <w:p w14:paraId="2AEF729D">
            <w:pPr>
              <w:spacing w:line="360" w:lineRule="exact"/>
              <w:ind w:firstLine="0" w:firstLineChars="0"/>
              <w:jc w:val="center"/>
              <w:rPr>
                <w:rFonts w:eastAsiaTheme="minorEastAsia"/>
                <w:sz w:val="21"/>
                <w:szCs w:val="21"/>
              </w:rPr>
            </w:pPr>
            <w:r>
              <w:rPr>
                <w:rFonts w:hint="eastAsia" w:eastAsiaTheme="minorEastAsia"/>
                <w:sz w:val="21"/>
                <w:szCs w:val="21"/>
              </w:rPr>
              <w:t>830</w:t>
            </w:r>
          </w:p>
        </w:tc>
      </w:tr>
      <w:tr w14:paraId="5AA38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72" w:type="pct"/>
            <w:vAlign w:val="center"/>
          </w:tcPr>
          <w:p w14:paraId="69CE1F45">
            <w:pPr>
              <w:spacing w:line="360" w:lineRule="exact"/>
              <w:ind w:firstLine="0" w:firstLineChars="0"/>
              <w:jc w:val="center"/>
              <w:rPr>
                <w:sz w:val="21"/>
                <w:szCs w:val="21"/>
              </w:rPr>
            </w:pPr>
            <w:r>
              <w:rPr>
                <w:rFonts w:hint="eastAsia"/>
                <w:sz w:val="21"/>
                <w:szCs w:val="21"/>
              </w:rPr>
              <w:t>硫酸*</w:t>
            </w:r>
          </w:p>
        </w:tc>
        <w:tc>
          <w:tcPr>
            <w:tcW w:w="935" w:type="pct"/>
            <w:vAlign w:val="center"/>
          </w:tcPr>
          <w:p w14:paraId="23928272">
            <w:pPr>
              <w:spacing w:line="360" w:lineRule="exact"/>
              <w:ind w:firstLine="0" w:firstLineChars="0"/>
              <w:jc w:val="center"/>
              <w:rPr>
                <w:rFonts w:eastAsiaTheme="minorEastAsia"/>
                <w:sz w:val="21"/>
                <w:szCs w:val="21"/>
              </w:rPr>
            </w:pPr>
            <w:r>
              <w:rPr>
                <w:rFonts w:hint="eastAsia" w:eastAsiaTheme="minorEastAsia"/>
                <w:sz w:val="21"/>
                <w:szCs w:val="21"/>
              </w:rPr>
              <w:t>7664-93-9</w:t>
            </w:r>
          </w:p>
        </w:tc>
        <w:tc>
          <w:tcPr>
            <w:tcW w:w="1617" w:type="pct"/>
            <w:vAlign w:val="center"/>
          </w:tcPr>
          <w:p w14:paraId="46A303DD">
            <w:pPr>
              <w:spacing w:line="240" w:lineRule="auto"/>
              <w:ind w:firstLine="0" w:firstLineChars="0"/>
              <w:jc w:val="center"/>
              <w:rPr>
                <w:rFonts w:eastAsia="Times New Roman"/>
                <w:sz w:val="21"/>
                <w:szCs w:val="21"/>
              </w:rPr>
            </w:pPr>
            <w:r>
              <w:rPr>
                <w:rFonts w:hint="eastAsia"/>
              </w:rPr>
              <w:t>160</w:t>
            </w:r>
          </w:p>
        </w:tc>
        <w:tc>
          <w:tcPr>
            <w:tcW w:w="1676" w:type="pct"/>
            <w:vAlign w:val="center"/>
          </w:tcPr>
          <w:p w14:paraId="76D814D1">
            <w:pPr>
              <w:spacing w:line="240" w:lineRule="auto"/>
              <w:ind w:firstLine="0" w:firstLineChars="0"/>
              <w:jc w:val="center"/>
              <w:rPr>
                <w:rFonts w:eastAsia="Times New Roman"/>
                <w:sz w:val="21"/>
                <w:szCs w:val="21"/>
              </w:rPr>
            </w:pPr>
            <w:r>
              <w:rPr>
                <w:rFonts w:hint="eastAsia"/>
              </w:rPr>
              <w:t>8.7</w:t>
            </w:r>
          </w:p>
        </w:tc>
      </w:tr>
      <w:tr w14:paraId="5517E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72" w:type="pct"/>
            <w:vAlign w:val="center"/>
          </w:tcPr>
          <w:p w14:paraId="67AD721B">
            <w:pPr>
              <w:spacing w:line="360" w:lineRule="exact"/>
              <w:ind w:firstLine="0" w:firstLineChars="0"/>
              <w:jc w:val="center"/>
              <w:rPr>
                <w:sz w:val="21"/>
                <w:szCs w:val="21"/>
              </w:rPr>
            </w:pPr>
            <w:r>
              <w:rPr>
                <w:sz w:val="21"/>
                <w:szCs w:val="21"/>
              </w:rPr>
              <w:t>CO</w:t>
            </w:r>
          </w:p>
        </w:tc>
        <w:tc>
          <w:tcPr>
            <w:tcW w:w="935" w:type="pct"/>
            <w:vAlign w:val="center"/>
          </w:tcPr>
          <w:p w14:paraId="03FF6FCC">
            <w:pPr>
              <w:spacing w:line="360" w:lineRule="exact"/>
              <w:ind w:firstLine="0" w:firstLineChars="0"/>
              <w:jc w:val="center"/>
              <w:rPr>
                <w:rFonts w:eastAsia="Times New Roman"/>
                <w:sz w:val="21"/>
                <w:szCs w:val="21"/>
              </w:rPr>
            </w:pPr>
            <w:r>
              <w:rPr>
                <w:sz w:val="21"/>
                <w:szCs w:val="21"/>
              </w:rPr>
              <w:t>630-08-0</w:t>
            </w:r>
          </w:p>
        </w:tc>
        <w:tc>
          <w:tcPr>
            <w:tcW w:w="1617" w:type="pct"/>
            <w:vAlign w:val="center"/>
          </w:tcPr>
          <w:p w14:paraId="79708D7E">
            <w:pPr>
              <w:spacing w:line="360" w:lineRule="exact"/>
              <w:ind w:firstLine="0" w:firstLineChars="0"/>
              <w:jc w:val="center"/>
              <w:rPr>
                <w:rFonts w:eastAsia="Times New Roman"/>
                <w:sz w:val="21"/>
                <w:szCs w:val="21"/>
              </w:rPr>
            </w:pPr>
            <w:r>
              <w:rPr>
                <w:sz w:val="21"/>
                <w:szCs w:val="21"/>
              </w:rPr>
              <w:t>380</w:t>
            </w:r>
          </w:p>
        </w:tc>
        <w:tc>
          <w:tcPr>
            <w:tcW w:w="1676" w:type="pct"/>
            <w:vAlign w:val="center"/>
          </w:tcPr>
          <w:p w14:paraId="6DF1174D">
            <w:pPr>
              <w:spacing w:line="360" w:lineRule="exact"/>
              <w:ind w:firstLine="0" w:firstLineChars="0"/>
              <w:jc w:val="center"/>
              <w:rPr>
                <w:rFonts w:eastAsia="Times New Roman"/>
                <w:sz w:val="21"/>
                <w:szCs w:val="21"/>
              </w:rPr>
            </w:pPr>
            <w:r>
              <w:rPr>
                <w:sz w:val="21"/>
                <w:szCs w:val="21"/>
              </w:rPr>
              <w:t>95</w:t>
            </w:r>
          </w:p>
        </w:tc>
      </w:tr>
    </w:tbl>
    <w:p w14:paraId="5EDD183D">
      <w:pPr>
        <w:spacing w:line="240" w:lineRule="auto"/>
        <w:ind w:firstLine="420"/>
        <w:rPr>
          <w:rFonts w:eastAsia="黑体"/>
          <w:bCs/>
          <w:sz w:val="21"/>
          <w:szCs w:val="21"/>
        </w:rPr>
      </w:pPr>
      <w:r>
        <w:rPr>
          <w:rFonts w:eastAsia="黑体"/>
          <w:bCs/>
          <w:sz w:val="21"/>
          <w:szCs w:val="21"/>
        </w:rPr>
        <w:t>注*：导则附录H中无硫酸的毒性终点浓度，因此本次评价根据导则要求，查阅国家环境保护环境影响评价数值模拟重点实验室发布的危险物质大气毒性终点浓度得出硫酸的大气毒性终点浓度。</w:t>
      </w:r>
    </w:p>
    <w:p w14:paraId="58272077">
      <w:pPr>
        <w:pStyle w:val="6"/>
        <w:ind w:left="0" w:firstLine="482"/>
      </w:pPr>
      <w:r>
        <w:rPr>
          <w:rFonts w:hint="eastAsia"/>
        </w:rPr>
        <w:t>预测结果</w:t>
      </w:r>
    </w:p>
    <w:p w14:paraId="040D6B82">
      <w:pPr>
        <w:ind w:firstLine="482"/>
        <w:outlineLvl w:val="4"/>
        <w:rPr>
          <w:b/>
          <w:szCs w:val="24"/>
        </w:rPr>
      </w:pPr>
      <w:r>
        <w:rPr>
          <w:rFonts w:hint="eastAsia"/>
          <w:b/>
          <w:szCs w:val="24"/>
        </w:rPr>
        <w:t>1、泄漏及蒸发预测</w:t>
      </w:r>
    </w:p>
    <w:p w14:paraId="0102239D">
      <w:pPr>
        <w:ind w:firstLine="480"/>
        <w:rPr>
          <w:bCs/>
          <w:szCs w:val="24"/>
        </w:rPr>
      </w:pPr>
      <w:r>
        <w:rPr>
          <w:rFonts w:hint="eastAsia"/>
          <w:bCs/>
          <w:szCs w:val="24"/>
        </w:rPr>
        <w:t>本次评价采用EIAPro专业软件对包装桶泄漏后的蒸发进行预测，轻质气体预测模型采用AFTOX模型进行预测。在最不利气象条件下，预测结果见下表。</w:t>
      </w:r>
    </w:p>
    <w:p w14:paraId="06991ACC">
      <w:pPr>
        <w:pStyle w:val="99"/>
        <w:numPr>
          <w:ilvl w:val="4"/>
          <w:numId w:val="46"/>
        </w:numPr>
        <w:ind w:left="0" w:firstLine="480"/>
        <w:rPr>
          <w:rFonts w:eastAsia="黑体"/>
          <w:bCs/>
          <w:szCs w:val="24"/>
        </w:rPr>
      </w:pPr>
      <w:r>
        <w:rPr>
          <w:rFonts w:hint="eastAsia" w:eastAsia="黑体"/>
          <w:bCs/>
          <w:szCs w:val="24"/>
        </w:rPr>
        <w:t xml:space="preserve">        下风向不同距离处硫酸的最大浓度</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448"/>
        <w:gridCol w:w="3203"/>
        <w:gridCol w:w="2711"/>
      </w:tblGrid>
      <w:tr w14:paraId="2DFD5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tblHeader/>
          <w:jc w:val="center"/>
        </w:trPr>
        <w:tc>
          <w:tcPr>
            <w:tcW w:w="1464" w:type="pct"/>
            <w:vAlign w:val="center"/>
          </w:tcPr>
          <w:p w14:paraId="5682056E">
            <w:pPr>
              <w:pStyle w:val="67"/>
              <w:rPr>
                <w:rFonts w:cs="Times New Roman"/>
                <w:color w:val="auto"/>
              </w:rPr>
            </w:pPr>
            <w:r>
              <w:rPr>
                <w:rFonts w:cs="Times New Roman"/>
                <w:color w:val="auto"/>
              </w:rPr>
              <w:t>下风向距离 m</w:t>
            </w:r>
          </w:p>
        </w:tc>
        <w:tc>
          <w:tcPr>
            <w:tcW w:w="1915" w:type="pct"/>
            <w:vAlign w:val="center"/>
          </w:tcPr>
          <w:p w14:paraId="55173B2E">
            <w:pPr>
              <w:pStyle w:val="67"/>
              <w:rPr>
                <w:rFonts w:cs="Times New Roman"/>
                <w:color w:val="auto"/>
              </w:rPr>
            </w:pPr>
            <w:r>
              <w:rPr>
                <w:rFonts w:cs="Times New Roman"/>
                <w:color w:val="auto"/>
              </w:rPr>
              <w:t>浓度出现时间min</w:t>
            </w:r>
          </w:p>
        </w:tc>
        <w:tc>
          <w:tcPr>
            <w:tcW w:w="1621" w:type="pct"/>
            <w:vAlign w:val="center"/>
          </w:tcPr>
          <w:p w14:paraId="5B6ADF17">
            <w:pPr>
              <w:pStyle w:val="67"/>
              <w:rPr>
                <w:rFonts w:cs="Times New Roman"/>
                <w:color w:val="auto"/>
              </w:rPr>
            </w:pPr>
            <w:r>
              <w:rPr>
                <w:rFonts w:cs="Times New Roman"/>
                <w:color w:val="auto"/>
              </w:rPr>
              <w:t>高峰浓度mg/m</w:t>
            </w:r>
            <w:r>
              <w:rPr>
                <w:rFonts w:cs="Times New Roman"/>
                <w:color w:val="auto"/>
                <w:vertAlign w:val="superscript"/>
              </w:rPr>
              <w:t>3</w:t>
            </w:r>
          </w:p>
        </w:tc>
      </w:tr>
      <w:tr w14:paraId="7C9B1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6BDF2B4C">
            <w:pPr>
              <w:pStyle w:val="62"/>
            </w:pPr>
            <w:r>
              <w:t>10</w:t>
            </w:r>
          </w:p>
        </w:tc>
        <w:tc>
          <w:tcPr>
            <w:tcW w:w="1915" w:type="pct"/>
            <w:vAlign w:val="center"/>
          </w:tcPr>
          <w:p w14:paraId="6B8CED3B">
            <w:pPr>
              <w:pStyle w:val="62"/>
            </w:pPr>
            <w:r>
              <w:t>1.1111E-01</w:t>
            </w:r>
          </w:p>
        </w:tc>
        <w:tc>
          <w:tcPr>
            <w:tcW w:w="1621" w:type="pct"/>
            <w:vAlign w:val="center"/>
          </w:tcPr>
          <w:p w14:paraId="1875DC8F">
            <w:pPr>
              <w:pStyle w:val="62"/>
            </w:pPr>
            <w:r>
              <w:rPr>
                <w:lang w:val="zh-CN"/>
              </w:rPr>
              <w:t>6.3144E-01</w:t>
            </w:r>
          </w:p>
        </w:tc>
      </w:tr>
      <w:tr w14:paraId="292D1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63FFD907">
            <w:pPr>
              <w:pStyle w:val="62"/>
            </w:pPr>
            <w:r>
              <w:t>30</w:t>
            </w:r>
          </w:p>
        </w:tc>
        <w:tc>
          <w:tcPr>
            <w:tcW w:w="1915" w:type="pct"/>
            <w:vAlign w:val="center"/>
          </w:tcPr>
          <w:p w14:paraId="6935BA7B">
            <w:pPr>
              <w:pStyle w:val="62"/>
            </w:pPr>
            <w:r>
              <w:t>3.3333E-01</w:t>
            </w:r>
          </w:p>
        </w:tc>
        <w:tc>
          <w:tcPr>
            <w:tcW w:w="1621" w:type="pct"/>
            <w:vAlign w:val="center"/>
          </w:tcPr>
          <w:p w14:paraId="4D3FF1D3">
            <w:pPr>
              <w:pStyle w:val="62"/>
            </w:pPr>
            <w:r>
              <w:t>9.7462E-02</w:t>
            </w:r>
          </w:p>
        </w:tc>
      </w:tr>
      <w:tr w14:paraId="4742F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40D0B215">
            <w:pPr>
              <w:pStyle w:val="62"/>
            </w:pPr>
            <w:r>
              <w:t>50</w:t>
            </w:r>
          </w:p>
        </w:tc>
        <w:tc>
          <w:tcPr>
            <w:tcW w:w="1915" w:type="pct"/>
            <w:vAlign w:val="center"/>
          </w:tcPr>
          <w:p w14:paraId="214C9F48">
            <w:pPr>
              <w:pStyle w:val="62"/>
            </w:pPr>
            <w:r>
              <w:t>5.5556E-01</w:t>
            </w:r>
          </w:p>
        </w:tc>
        <w:tc>
          <w:tcPr>
            <w:tcW w:w="1621" w:type="pct"/>
            <w:vAlign w:val="center"/>
          </w:tcPr>
          <w:p w14:paraId="138743DB">
            <w:pPr>
              <w:pStyle w:val="62"/>
            </w:pPr>
            <w:r>
              <w:rPr>
                <w:lang w:val="zh-CN"/>
              </w:rPr>
              <w:t>3.4064E-02</w:t>
            </w:r>
          </w:p>
        </w:tc>
      </w:tr>
      <w:tr w14:paraId="7E55D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6E6FAF5D">
            <w:pPr>
              <w:pStyle w:val="62"/>
            </w:pPr>
            <w:r>
              <w:t>70</w:t>
            </w:r>
          </w:p>
        </w:tc>
        <w:tc>
          <w:tcPr>
            <w:tcW w:w="1915" w:type="pct"/>
            <w:vAlign w:val="center"/>
          </w:tcPr>
          <w:p w14:paraId="4DA7877C">
            <w:pPr>
              <w:pStyle w:val="62"/>
            </w:pPr>
            <w:r>
              <w:t>7.7778E-0</w:t>
            </w:r>
            <w:r>
              <w:rPr>
                <w:rFonts w:hint="eastAsia"/>
              </w:rPr>
              <w:t>1</w:t>
            </w:r>
          </w:p>
        </w:tc>
        <w:tc>
          <w:tcPr>
            <w:tcW w:w="1621" w:type="pct"/>
            <w:vAlign w:val="center"/>
          </w:tcPr>
          <w:p w14:paraId="2F056DE6">
            <w:pPr>
              <w:pStyle w:val="62"/>
            </w:pPr>
            <w:r>
              <w:rPr>
                <w:lang w:val="zh-CN"/>
              </w:rPr>
              <w:t>1.6924E-02</w:t>
            </w:r>
          </w:p>
        </w:tc>
      </w:tr>
      <w:tr w14:paraId="14971905">
        <w:tblPrEx>
          <w:tblCellMar>
            <w:top w:w="0" w:type="dxa"/>
            <w:left w:w="28" w:type="dxa"/>
            <w:bottom w:w="0" w:type="dxa"/>
            <w:right w:w="28" w:type="dxa"/>
          </w:tblCellMar>
        </w:tblPrEx>
        <w:trPr>
          <w:trHeight w:val="425" w:hRule="atLeast"/>
          <w:jc w:val="center"/>
        </w:trPr>
        <w:tc>
          <w:tcPr>
            <w:tcW w:w="1464" w:type="pct"/>
            <w:vAlign w:val="center"/>
          </w:tcPr>
          <w:p w14:paraId="3F78A899">
            <w:pPr>
              <w:pStyle w:val="62"/>
            </w:pPr>
            <w:r>
              <w:t>90</w:t>
            </w:r>
          </w:p>
        </w:tc>
        <w:tc>
          <w:tcPr>
            <w:tcW w:w="1915" w:type="pct"/>
            <w:vAlign w:val="center"/>
          </w:tcPr>
          <w:p w14:paraId="12E8D4AB">
            <w:pPr>
              <w:pStyle w:val="62"/>
            </w:pPr>
            <w:r>
              <w:t>1.0000E+00</w:t>
            </w:r>
          </w:p>
        </w:tc>
        <w:tc>
          <w:tcPr>
            <w:tcW w:w="1621" w:type="pct"/>
            <w:vAlign w:val="center"/>
          </w:tcPr>
          <w:p w14:paraId="09336ADB">
            <w:pPr>
              <w:pStyle w:val="62"/>
            </w:pPr>
            <w:r>
              <w:rPr>
                <w:lang w:val="zh-CN"/>
              </w:rPr>
              <w:t>9.8602E-03</w:t>
            </w:r>
          </w:p>
        </w:tc>
      </w:tr>
      <w:tr w14:paraId="27DF9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03A796E8">
            <w:pPr>
              <w:pStyle w:val="62"/>
            </w:pPr>
            <w:r>
              <w:t>110</w:t>
            </w:r>
          </w:p>
        </w:tc>
        <w:tc>
          <w:tcPr>
            <w:tcW w:w="1915" w:type="pct"/>
            <w:vAlign w:val="center"/>
          </w:tcPr>
          <w:p w14:paraId="4F54FDB3">
            <w:pPr>
              <w:pStyle w:val="62"/>
            </w:pPr>
            <w:r>
              <w:t>1.2222E+00</w:t>
            </w:r>
          </w:p>
        </w:tc>
        <w:tc>
          <w:tcPr>
            <w:tcW w:w="1621" w:type="pct"/>
            <w:vAlign w:val="center"/>
          </w:tcPr>
          <w:p w14:paraId="0A959772">
            <w:pPr>
              <w:pStyle w:val="62"/>
            </w:pPr>
            <w:r>
              <w:rPr>
                <w:lang w:val="zh-CN"/>
              </w:rPr>
              <w:t>6.3693E-03</w:t>
            </w:r>
          </w:p>
        </w:tc>
      </w:tr>
      <w:tr w14:paraId="2F2E3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4754CDE2">
            <w:pPr>
              <w:pStyle w:val="62"/>
            </w:pPr>
            <w:r>
              <w:t>130</w:t>
            </w:r>
          </w:p>
        </w:tc>
        <w:tc>
          <w:tcPr>
            <w:tcW w:w="1915" w:type="pct"/>
            <w:vAlign w:val="center"/>
          </w:tcPr>
          <w:p w14:paraId="1B6B2D32">
            <w:pPr>
              <w:pStyle w:val="62"/>
            </w:pPr>
            <w:r>
              <w:t>1.4444E+00</w:t>
            </w:r>
          </w:p>
        </w:tc>
        <w:tc>
          <w:tcPr>
            <w:tcW w:w="1621" w:type="pct"/>
            <w:vAlign w:val="center"/>
          </w:tcPr>
          <w:p w14:paraId="79B1A5B0">
            <w:pPr>
              <w:pStyle w:val="62"/>
            </w:pPr>
            <w:r>
              <w:rPr>
                <w:lang w:val="zh-CN"/>
              </w:rPr>
              <w:t>4.4167E-03</w:t>
            </w:r>
          </w:p>
        </w:tc>
      </w:tr>
      <w:tr w14:paraId="63826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1B3CCE3F">
            <w:pPr>
              <w:pStyle w:val="62"/>
            </w:pPr>
            <w:r>
              <w:t>150</w:t>
            </w:r>
          </w:p>
        </w:tc>
        <w:tc>
          <w:tcPr>
            <w:tcW w:w="1915" w:type="pct"/>
            <w:vAlign w:val="center"/>
          </w:tcPr>
          <w:p w14:paraId="06C109E0">
            <w:pPr>
              <w:pStyle w:val="62"/>
            </w:pPr>
            <w:r>
              <w:t>1.6667E+00</w:t>
            </w:r>
          </w:p>
        </w:tc>
        <w:tc>
          <w:tcPr>
            <w:tcW w:w="1621" w:type="pct"/>
            <w:vAlign w:val="center"/>
          </w:tcPr>
          <w:p w14:paraId="36A498B0">
            <w:pPr>
              <w:pStyle w:val="62"/>
            </w:pPr>
            <w:r>
              <w:rPr>
                <w:lang w:val="zh-CN"/>
              </w:rPr>
              <w:t>3.2243E-03</w:t>
            </w:r>
          </w:p>
        </w:tc>
      </w:tr>
      <w:tr w14:paraId="542F6B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1CE6A164">
            <w:pPr>
              <w:pStyle w:val="62"/>
            </w:pPr>
            <w:r>
              <w:t>170</w:t>
            </w:r>
          </w:p>
        </w:tc>
        <w:tc>
          <w:tcPr>
            <w:tcW w:w="1915" w:type="pct"/>
            <w:vAlign w:val="center"/>
          </w:tcPr>
          <w:p w14:paraId="56CA4501">
            <w:pPr>
              <w:pStyle w:val="62"/>
            </w:pPr>
            <w:r>
              <w:t>1.8889E+00</w:t>
            </w:r>
          </w:p>
        </w:tc>
        <w:tc>
          <w:tcPr>
            <w:tcW w:w="1621" w:type="pct"/>
            <w:vAlign w:val="center"/>
          </w:tcPr>
          <w:p w14:paraId="28C622BD">
            <w:pPr>
              <w:pStyle w:val="62"/>
            </w:pPr>
            <w:r>
              <w:rPr>
                <w:lang w:val="zh-CN"/>
              </w:rPr>
              <w:t>2.4472E-03</w:t>
            </w:r>
          </w:p>
        </w:tc>
      </w:tr>
      <w:tr w14:paraId="242D3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3A343D1E">
            <w:pPr>
              <w:pStyle w:val="62"/>
            </w:pPr>
            <w:r>
              <w:t>190</w:t>
            </w:r>
          </w:p>
        </w:tc>
        <w:tc>
          <w:tcPr>
            <w:tcW w:w="1915" w:type="pct"/>
            <w:vAlign w:val="center"/>
          </w:tcPr>
          <w:p w14:paraId="01198111">
            <w:pPr>
              <w:pStyle w:val="62"/>
            </w:pPr>
            <w:r>
              <w:t>2.1111E+00</w:t>
            </w:r>
          </w:p>
        </w:tc>
        <w:tc>
          <w:tcPr>
            <w:tcW w:w="1621" w:type="pct"/>
            <w:vAlign w:val="center"/>
          </w:tcPr>
          <w:p w14:paraId="4A79227F">
            <w:pPr>
              <w:pStyle w:val="62"/>
            </w:pPr>
            <w:r>
              <w:rPr>
                <w:lang w:val="zh-CN"/>
              </w:rPr>
              <w:t>1.9147E-03</w:t>
            </w:r>
          </w:p>
        </w:tc>
      </w:tr>
      <w:tr w14:paraId="28CF5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7620A5ED">
            <w:pPr>
              <w:pStyle w:val="62"/>
            </w:pPr>
            <w:r>
              <w:t>210</w:t>
            </w:r>
          </w:p>
        </w:tc>
        <w:tc>
          <w:tcPr>
            <w:tcW w:w="1915" w:type="pct"/>
            <w:vAlign w:val="center"/>
          </w:tcPr>
          <w:p w14:paraId="5D8A7EE4">
            <w:pPr>
              <w:pStyle w:val="62"/>
            </w:pPr>
            <w:r>
              <w:t>2.3333E+00</w:t>
            </w:r>
          </w:p>
        </w:tc>
        <w:tc>
          <w:tcPr>
            <w:tcW w:w="1621" w:type="pct"/>
            <w:vAlign w:val="center"/>
          </w:tcPr>
          <w:p w14:paraId="2532CC2B">
            <w:pPr>
              <w:pStyle w:val="62"/>
            </w:pPr>
            <w:r>
              <w:rPr>
                <w:lang w:val="zh-CN"/>
              </w:rPr>
              <w:t>1.5350E-03</w:t>
            </w:r>
          </w:p>
        </w:tc>
      </w:tr>
      <w:tr w14:paraId="6D6E63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346B31F3">
            <w:pPr>
              <w:pStyle w:val="62"/>
            </w:pPr>
            <w:r>
              <w:t>230</w:t>
            </w:r>
          </w:p>
        </w:tc>
        <w:tc>
          <w:tcPr>
            <w:tcW w:w="1915" w:type="pct"/>
            <w:vAlign w:val="center"/>
          </w:tcPr>
          <w:p w14:paraId="0F680D00">
            <w:pPr>
              <w:pStyle w:val="62"/>
            </w:pPr>
            <w:r>
              <w:t>2.5556E+00</w:t>
            </w:r>
          </w:p>
        </w:tc>
        <w:tc>
          <w:tcPr>
            <w:tcW w:w="1621" w:type="pct"/>
            <w:vAlign w:val="center"/>
          </w:tcPr>
          <w:p w14:paraId="25C764AF">
            <w:pPr>
              <w:pStyle w:val="62"/>
            </w:pPr>
            <w:r>
              <w:rPr>
                <w:lang w:val="zh-CN"/>
              </w:rPr>
              <w:t>1.2555E-03</w:t>
            </w:r>
          </w:p>
        </w:tc>
      </w:tr>
      <w:tr w14:paraId="044C3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3EE9C609">
            <w:pPr>
              <w:pStyle w:val="62"/>
            </w:pPr>
            <w:r>
              <w:t>250</w:t>
            </w:r>
          </w:p>
        </w:tc>
        <w:tc>
          <w:tcPr>
            <w:tcW w:w="1915" w:type="pct"/>
            <w:vAlign w:val="center"/>
          </w:tcPr>
          <w:p w14:paraId="295F14F9">
            <w:pPr>
              <w:pStyle w:val="62"/>
            </w:pPr>
            <w:r>
              <w:t>2.7778E+00</w:t>
            </w:r>
          </w:p>
        </w:tc>
        <w:tc>
          <w:tcPr>
            <w:tcW w:w="1621" w:type="pct"/>
            <w:vAlign w:val="center"/>
          </w:tcPr>
          <w:p w14:paraId="3FB455CB">
            <w:pPr>
              <w:pStyle w:val="62"/>
            </w:pPr>
            <w:r>
              <w:rPr>
                <w:lang w:val="zh-CN"/>
              </w:rPr>
              <w:t>1.0442E-03</w:t>
            </w:r>
          </w:p>
        </w:tc>
      </w:tr>
      <w:tr w14:paraId="21714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7AB0004C">
            <w:pPr>
              <w:pStyle w:val="62"/>
            </w:pPr>
            <w:r>
              <w:t>270</w:t>
            </w:r>
          </w:p>
        </w:tc>
        <w:tc>
          <w:tcPr>
            <w:tcW w:w="1915" w:type="pct"/>
            <w:vAlign w:val="center"/>
          </w:tcPr>
          <w:p w14:paraId="4D0850C8">
            <w:pPr>
              <w:pStyle w:val="62"/>
            </w:pPr>
            <w:r>
              <w:t>3.0000E+00</w:t>
            </w:r>
          </w:p>
        </w:tc>
        <w:tc>
          <w:tcPr>
            <w:tcW w:w="1621" w:type="pct"/>
            <w:vAlign w:val="center"/>
          </w:tcPr>
          <w:p w14:paraId="530FD528">
            <w:pPr>
              <w:pStyle w:val="62"/>
            </w:pPr>
            <w:r>
              <w:rPr>
                <w:lang w:val="zh-CN"/>
              </w:rPr>
              <w:t>8.8075E-04</w:t>
            </w:r>
          </w:p>
        </w:tc>
      </w:tr>
      <w:tr w14:paraId="479D6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1250850E">
            <w:pPr>
              <w:pStyle w:val="62"/>
            </w:pPr>
            <w:r>
              <w:t>290</w:t>
            </w:r>
          </w:p>
        </w:tc>
        <w:tc>
          <w:tcPr>
            <w:tcW w:w="1915" w:type="pct"/>
            <w:vAlign w:val="center"/>
          </w:tcPr>
          <w:p w14:paraId="360D1BFD">
            <w:pPr>
              <w:pStyle w:val="62"/>
            </w:pPr>
            <w:r>
              <w:t>3.2222E+00</w:t>
            </w:r>
          </w:p>
        </w:tc>
        <w:tc>
          <w:tcPr>
            <w:tcW w:w="1621" w:type="pct"/>
            <w:vAlign w:val="center"/>
          </w:tcPr>
          <w:p w14:paraId="2FF791B4">
            <w:pPr>
              <w:pStyle w:val="62"/>
            </w:pPr>
            <w:r>
              <w:rPr>
                <w:lang w:val="zh-CN"/>
              </w:rPr>
              <w:t>7.5198E-04</w:t>
            </w:r>
          </w:p>
        </w:tc>
      </w:tr>
      <w:tr w14:paraId="1E41E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7BF4BB27">
            <w:pPr>
              <w:pStyle w:val="62"/>
            </w:pPr>
            <w:r>
              <w:t>310</w:t>
            </w:r>
          </w:p>
        </w:tc>
        <w:tc>
          <w:tcPr>
            <w:tcW w:w="1915" w:type="pct"/>
            <w:vAlign w:val="center"/>
          </w:tcPr>
          <w:p w14:paraId="76BCB682">
            <w:pPr>
              <w:pStyle w:val="62"/>
            </w:pPr>
            <w:r>
              <w:t>3.4444E+00</w:t>
            </w:r>
          </w:p>
        </w:tc>
        <w:tc>
          <w:tcPr>
            <w:tcW w:w="1621" w:type="pct"/>
            <w:vAlign w:val="center"/>
          </w:tcPr>
          <w:p w14:paraId="40B2966F">
            <w:pPr>
              <w:pStyle w:val="62"/>
            </w:pPr>
            <w:r>
              <w:rPr>
                <w:lang w:val="zh-CN"/>
              </w:rPr>
              <w:t>6.4883E-04</w:t>
            </w:r>
          </w:p>
        </w:tc>
      </w:tr>
      <w:tr w14:paraId="58CB2AF3">
        <w:tblPrEx>
          <w:tblCellMar>
            <w:top w:w="0" w:type="dxa"/>
            <w:left w:w="28" w:type="dxa"/>
            <w:bottom w:w="0" w:type="dxa"/>
            <w:right w:w="28" w:type="dxa"/>
          </w:tblCellMar>
        </w:tblPrEx>
        <w:trPr>
          <w:trHeight w:val="425" w:hRule="atLeast"/>
          <w:jc w:val="center"/>
        </w:trPr>
        <w:tc>
          <w:tcPr>
            <w:tcW w:w="1464" w:type="pct"/>
            <w:vAlign w:val="center"/>
          </w:tcPr>
          <w:p w14:paraId="61698E7C">
            <w:pPr>
              <w:pStyle w:val="62"/>
            </w:pPr>
            <w:r>
              <w:t>330</w:t>
            </w:r>
          </w:p>
        </w:tc>
        <w:tc>
          <w:tcPr>
            <w:tcW w:w="1915" w:type="pct"/>
            <w:vAlign w:val="center"/>
          </w:tcPr>
          <w:p w14:paraId="298C0C88">
            <w:pPr>
              <w:pStyle w:val="62"/>
            </w:pPr>
            <w:r>
              <w:t>3.6667E+00</w:t>
            </w:r>
          </w:p>
        </w:tc>
        <w:tc>
          <w:tcPr>
            <w:tcW w:w="1621" w:type="pct"/>
            <w:vAlign w:val="center"/>
          </w:tcPr>
          <w:p w14:paraId="7CC97CF1">
            <w:pPr>
              <w:pStyle w:val="62"/>
            </w:pPr>
            <w:r>
              <w:rPr>
                <w:lang w:val="zh-CN"/>
              </w:rPr>
              <w:t>5.6500E-04</w:t>
            </w:r>
          </w:p>
        </w:tc>
      </w:tr>
      <w:tr w14:paraId="79F7D25E">
        <w:tblPrEx>
          <w:tblCellMar>
            <w:top w:w="0" w:type="dxa"/>
            <w:left w:w="28" w:type="dxa"/>
            <w:bottom w:w="0" w:type="dxa"/>
            <w:right w:w="28" w:type="dxa"/>
          </w:tblCellMar>
        </w:tblPrEx>
        <w:trPr>
          <w:trHeight w:val="425" w:hRule="atLeast"/>
          <w:jc w:val="center"/>
        </w:trPr>
        <w:tc>
          <w:tcPr>
            <w:tcW w:w="1464" w:type="pct"/>
            <w:vAlign w:val="center"/>
          </w:tcPr>
          <w:p w14:paraId="053BA0CB">
            <w:pPr>
              <w:pStyle w:val="62"/>
            </w:pPr>
            <w:r>
              <w:t>350</w:t>
            </w:r>
          </w:p>
        </w:tc>
        <w:tc>
          <w:tcPr>
            <w:tcW w:w="1915" w:type="pct"/>
            <w:vAlign w:val="center"/>
          </w:tcPr>
          <w:p w14:paraId="5B945087">
            <w:pPr>
              <w:pStyle w:val="62"/>
            </w:pPr>
            <w:r>
              <w:t>3.8889E+00</w:t>
            </w:r>
          </w:p>
        </w:tc>
        <w:tc>
          <w:tcPr>
            <w:tcW w:w="1621" w:type="pct"/>
            <w:vAlign w:val="center"/>
          </w:tcPr>
          <w:p w14:paraId="63E24181">
            <w:pPr>
              <w:pStyle w:val="62"/>
            </w:pPr>
            <w:r>
              <w:rPr>
                <w:lang w:val="zh-CN"/>
              </w:rPr>
              <w:t>4.9601E-04</w:t>
            </w:r>
          </w:p>
        </w:tc>
      </w:tr>
      <w:tr w14:paraId="53485262">
        <w:tblPrEx>
          <w:tblCellMar>
            <w:top w:w="0" w:type="dxa"/>
            <w:left w:w="28" w:type="dxa"/>
            <w:bottom w:w="0" w:type="dxa"/>
            <w:right w:w="28" w:type="dxa"/>
          </w:tblCellMar>
        </w:tblPrEx>
        <w:trPr>
          <w:trHeight w:val="425" w:hRule="atLeast"/>
          <w:jc w:val="center"/>
        </w:trPr>
        <w:tc>
          <w:tcPr>
            <w:tcW w:w="1464" w:type="pct"/>
            <w:vAlign w:val="center"/>
          </w:tcPr>
          <w:p w14:paraId="334E5E8E">
            <w:pPr>
              <w:pStyle w:val="62"/>
            </w:pPr>
            <w:r>
              <w:t>370</w:t>
            </w:r>
          </w:p>
        </w:tc>
        <w:tc>
          <w:tcPr>
            <w:tcW w:w="1915" w:type="pct"/>
            <w:vAlign w:val="center"/>
          </w:tcPr>
          <w:p w14:paraId="608E318B">
            <w:pPr>
              <w:pStyle w:val="62"/>
            </w:pPr>
            <w:r>
              <w:t>4.1111E+00</w:t>
            </w:r>
          </w:p>
        </w:tc>
        <w:tc>
          <w:tcPr>
            <w:tcW w:w="1621" w:type="pct"/>
            <w:vAlign w:val="center"/>
          </w:tcPr>
          <w:p w14:paraId="4A0F9808">
            <w:pPr>
              <w:pStyle w:val="62"/>
            </w:pPr>
            <w:r>
              <w:rPr>
                <w:lang w:val="zh-CN"/>
              </w:rPr>
              <w:t>4.3861E-04</w:t>
            </w:r>
          </w:p>
        </w:tc>
      </w:tr>
      <w:tr w14:paraId="47B664F0">
        <w:tblPrEx>
          <w:tblCellMar>
            <w:top w:w="0" w:type="dxa"/>
            <w:left w:w="28" w:type="dxa"/>
            <w:bottom w:w="0" w:type="dxa"/>
            <w:right w:w="28" w:type="dxa"/>
          </w:tblCellMar>
        </w:tblPrEx>
        <w:trPr>
          <w:trHeight w:val="425" w:hRule="atLeast"/>
          <w:jc w:val="center"/>
        </w:trPr>
        <w:tc>
          <w:tcPr>
            <w:tcW w:w="1464" w:type="pct"/>
            <w:vAlign w:val="center"/>
          </w:tcPr>
          <w:p w14:paraId="188D4D86">
            <w:pPr>
              <w:pStyle w:val="62"/>
            </w:pPr>
            <w:r>
              <w:t>390</w:t>
            </w:r>
          </w:p>
        </w:tc>
        <w:tc>
          <w:tcPr>
            <w:tcW w:w="1915" w:type="pct"/>
            <w:vAlign w:val="center"/>
          </w:tcPr>
          <w:p w14:paraId="7FE3D1F0">
            <w:pPr>
              <w:pStyle w:val="62"/>
            </w:pPr>
            <w:r>
              <w:t>4.3333E+00</w:t>
            </w:r>
          </w:p>
        </w:tc>
        <w:tc>
          <w:tcPr>
            <w:tcW w:w="1621" w:type="pct"/>
            <w:vAlign w:val="center"/>
          </w:tcPr>
          <w:p w14:paraId="61F9D03B">
            <w:pPr>
              <w:pStyle w:val="62"/>
            </w:pPr>
            <w:r>
              <w:rPr>
                <w:lang w:val="zh-CN"/>
              </w:rPr>
              <w:t>3.9037E-04</w:t>
            </w:r>
          </w:p>
        </w:tc>
      </w:tr>
      <w:tr w14:paraId="2F33367D">
        <w:tblPrEx>
          <w:tblCellMar>
            <w:top w:w="0" w:type="dxa"/>
            <w:left w:w="28" w:type="dxa"/>
            <w:bottom w:w="0" w:type="dxa"/>
            <w:right w:w="28" w:type="dxa"/>
          </w:tblCellMar>
        </w:tblPrEx>
        <w:trPr>
          <w:trHeight w:val="425" w:hRule="atLeast"/>
          <w:jc w:val="center"/>
        </w:trPr>
        <w:tc>
          <w:tcPr>
            <w:tcW w:w="1464" w:type="pct"/>
            <w:vAlign w:val="center"/>
          </w:tcPr>
          <w:p w14:paraId="3B4B2E8B">
            <w:pPr>
              <w:pStyle w:val="62"/>
            </w:pPr>
            <w:r>
              <w:t>410</w:t>
            </w:r>
          </w:p>
        </w:tc>
        <w:tc>
          <w:tcPr>
            <w:tcW w:w="1915" w:type="pct"/>
            <w:vAlign w:val="center"/>
          </w:tcPr>
          <w:p w14:paraId="4E455ECA">
            <w:pPr>
              <w:pStyle w:val="62"/>
            </w:pPr>
            <w:r>
              <w:t>4.5556E+00</w:t>
            </w:r>
          </w:p>
        </w:tc>
        <w:tc>
          <w:tcPr>
            <w:tcW w:w="1621" w:type="pct"/>
            <w:vAlign w:val="center"/>
          </w:tcPr>
          <w:p w14:paraId="5652527C">
            <w:pPr>
              <w:pStyle w:val="62"/>
            </w:pPr>
            <w:r>
              <w:rPr>
                <w:lang w:val="zh-CN"/>
              </w:rPr>
              <w:t>3.4946E-04</w:t>
            </w:r>
          </w:p>
        </w:tc>
      </w:tr>
      <w:tr w14:paraId="46CE2937">
        <w:tblPrEx>
          <w:tblCellMar>
            <w:top w:w="0" w:type="dxa"/>
            <w:left w:w="28" w:type="dxa"/>
            <w:bottom w:w="0" w:type="dxa"/>
            <w:right w:w="28" w:type="dxa"/>
          </w:tblCellMar>
        </w:tblPrEx>
        <w:trPr>
          <w:trHeight w:val="425" w:hRule="atLeast"/>
          <w:jc w:val="center"/>
        </w:trPr>
        <w:tc>
          <w:tcPr>
            <w:tcW w:w="1464" w:type="pct"/>
            <w:vAlign w:val="center"/>
          </w:tcPr>
          <w:p w14:paraId="5ABE3246">
            <w:pPr>
              <w:pStyle w:val="62"/>
            </w:pPr>
            <w:r>
              <w:t>430</w:t>
            </w:r>
          </w:p>
        </w:tc>
        <w:tc>
          <w:tcPr>
            <w:tcW w:w="1915" w:type="pct"/>
            <w:vAlign w:val="center"/>
          </w:tcPr>
          <w:p w14:paraId="4D9B919A">
            <w:pPr>
              <w:pStyle w:val="62"/>
            </w:pPr>
            <w:r>
              <w:t>4.7778E+00</w:t>
            </w:r>
          </w:p>
        </w:tc>
        <w:tc>
          <w:tcPr>
            <w:tcW w:w="1621" w:type="pct"/>
            <w:vAlign w:val="center"/>
          </w:tcPr>
          <w:p w14:paraId="642DA98B">
            <w:pPr>
              <w:pStyle w:val="62"/>
            </w:pPr>
            <w:r>
              <w:rPr>
                <w:lang w:val="zh-CN"/>
              </w:rPr>
              <w:t>3.1448E-04</w:t>
            </w:r>
          </w:p>
        </w:tc>
      </w:tr>
      <w:tr w14:paraId="0D923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6E0FF626">
            <w:pPr>
              <w:pStyle w:val="62"/>
            </w:pPr>
            <w:r>
              <w:t>450</w:t>
            </w:r>
          </w:p>
        </w:tc>
        <w:tc>
          <w:tcPr>
            <w:tcW w:w="1915" w:type="pct"/>
            <w:vAlign w:val="center"/>
          </w:tcPr>
          <w:p w14:paraId="75630178">
            <w:pPr>
              <w:pStyle w:val="62"/>
            </w:pPr>
            <w:r>
              <w:t>5.0000E+00</w:t>
            </w:r>
          </w:p>
        </w:tc>
        <w:tc>
          <w:tcPr>
            <w:tcW w:w="1621" w:type="pct"/>
            <w:vAlign w:val="center"/>
          </w:tcPr>
          <w:p w14:paraId="723C478F">
            <w:pPr>
              <w:pStyle w:val="62"/>
            </w:pPr>
            <w:r>
              <w:rPr>
                <w:lang w:val="zh-CN"/>
              </w:rPr>
              <w:t>2.8437E-04</w:t>
            </w:r>
          </w:p>
        </w:tc>
      </w:tr>
      <w:tr w14:paraId="15250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3DB89E24">
            <w:pPr>
              <w:pStyle w:val="62"/>
            </w:pPr>
            <w:r>
              <w:t>470</w:t>
            </w:r>
          </w:p>
        </w:tc>
        <w:tc>
          <w:tcPr>
            <w:tcW w:w="1915" w:type="pct"/>
            <w:vAlign w:val="center"/>
          </w:tcPr>
          <w:p w14:paraId="6E9792B5">
            <w:pPr>
              <w:pStyle w:val="62"/>
            </w:pPr>
            <w:r>
              <w:t>5.2222E+00</w:t>
            </w:r>
          </w:p>
        </w:tc>
        <w:tc>
          <w:tcPr>
            <w:tcW w:w="1621" w:type="pct"/>
            <w:vAlign w:val="center"/>
          </w:tcPr>
          <w:p w14:paraId="47E41C78">
            <w:pPr>
              <w:pStyle w:val="62"/>
            </w:pPr>
            <w:r>
              <w:rPr>
                <w:lang w:val="zh-CN"/>
              </w:rPr>
              <w:t>2.5827E-04</w:t>
            </w:r>
          </w:p>
        </w:tc>
      </w:tr>
      <w:tr w14:paraId="52A68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483ECACA">
            <w:pPr>
              <w:pStyle w:val="62"/>
            </w:pPr>
            <w:r>
              <w:t>490</w:t>
            </w:r>
          </w:p>
        </w:tc>
        <w:tc>
          <w:tcPr>
            <w:tcW w:w="1915" w:type="pct"/>
            <w:vAlign w:val="center"/>
          </w:tcPr>
          <w:p w14:paraId="2BF67AC8">
            <w:pPr>
              <w:pStyle w:val="62"/>
            </w:pPr>
            <w:r>
              <w:t>5.4444E+00</w:t>
            </w:r>
          </w:p>
        </w:tc>
        <w:tc>
          <w:tcPr>
            <w:tcW w:w="1621" w:type="pct"/>
            <w:vAlign w:val="center"/>
          </w:tcPr>
          <w:p w14:paraId="29D10481">
            <w:pPr>
              <w:pStyle w:val="62"/>
            </w:pPr>
            <w:r>
              <w:rPr>
                <w:lang w:val="zh-CN"/>
              </w:rPr>
              <w:t>2.3550E-04</w:t>
            </w:r>
          </w:p>
        </w:tc>
      </w:tr>
      <w:tr w14:paraId="75886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594A5846">
            <w:pPr>
              <w:pStyle w:val="62"/>
            </w:pPr>
            <w:r>
              <w:t>510</w:t>
            </w:r>
          </w:p>
        </w:tc>
        <w:tc>
          <w:tcPr>
            <w:tcW w:w="1915" w:type="pct"/>
            <w:vAlign w:val="center"/>
          </w:tcPr>
          <w:p w14:paraId="14296381">
            <w:pPr>
              <w:pStyle w:val="62"/>
            </w:pPr>
            <w:r>
              <w:t>5.6667E+00</w:t>
            </w:r>
          </w:p>
        </w:tc>
        <w:tc>
          <w:tcPr>
            <w:tcW w:w="1621" w:type="pct"/>
            <w:vAlign w:val="center"/>
          </w:tcPr>
          <w:p w14:paraId="12DAF8D3">
            <w:pPr>
              <w:pStyle w:val="62"/>
            </w:pPr>
            <w:r>
              <w:rPr>
                <w:lang w:val="zh-CN"/>
              </w:rPr>
              <w:t>2.1554E-04</w:t>
            </w:r>
          </w:p>
        </w:tc>
      </w:tr>
      <w:tr w14:paraId="0B8C5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0D4546B3">
            <w:pPr>
              <w:pStyle w:val="62"/>
            </w:pPr>
            <w:r>
              <w:t>1010</w:t>
            </w:r>
          </w:p>
        </w:tc>
        <w:tc>
          <w:tcPr>
            <w:tcW w:w="1915" w:type="pct"/>
            <w:vAlign w:val="center"/>
          </w:tcPr>
          <w:p w14:paraId="35B5EECF">
            <w:pPr>
              <w:pStyle w:val="62"/>
            </w:pPr>
            <w:r>
              <w:t>1.1222E+01</w:t>
            </w:r>
          </w:p>
        </w:tc>
        <w:tc>
          <w:tcPr>
            <w:tcW w:w="1621" w:type="pct"/>
            <w:vAlign w:val="center"/>
          </w:tcPr>
          <w:p w14:paraId="1F97545E">
            <w:pPr>
              <w:pStyle w:val="62"/>
            </w:pPr>
            <w:r>
              <w:t>3.8107E-05</w:t>
            </w:r>
          </w:p>
        </w:tc>
      </w:tr>
      <w:tr w14:paraId="0A1CA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216AFAB6">
            <w:pPr>
              <w:pStyle w:val="62"/>
            </w:pPr>
            <w:r>
              <w:t>2010</w:t>
            </w:r>
          </w:p>
        </w:tc>
        <w:tc>
          <w:tcPr>
            <w:tcW w:w="1915" w:type="pct"/>
            <w:vAlign w:val="center"/>
          </w:tcPr>
          <w:p w14:paraId="2020E2F9">
            <w:pPr>
              <w:pStyle w:val="62"/>
            </w:pPr>
            <w:r>
              <w:t>2.9333E+01</w:t>
            </w:r>
          </w:p>
        </w:tc>
        <w:tc>
          <w:tcPr>
            <w:tcW w:w="1621" w:type="pct"/>
            <w:vAlign w:val="center"/>
          </w:tcPr>
          <w:p w14:paraId="28B02F8B">
            <w:pPr>
              <w:pStyle w:val="62"/>
            </w:pPr>
            <w:r>
              <w:t>3.9576E-06</w:t>
            </w:r>
          </w:p>
        </w:tc>
      </w:tr>
      <w:tr w14:paraId="5BB49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64" w:type="pct"/>
            <w:vAlign w:val="center"/>
          </w:tcPr>
          <w:p w14:paraId="0929B4D6">
            <w:pPr>
              <w:pStyle w:val="62"/>
            </w:pPr>
            <w:r>
              <w:t>3010</w:t>
            </w:r>
          </w:p>
        </w:tc>
        <w:tc>
          <w:tcPr>
            <w:tcW w:w="1915" w:type="pct"/>
            <w:vAlign w:val="center"/>
          </w:tcPr>
          <w:p w14:paraId="200B28EC">
            <w:pPr>
              <w:pStyle w:val="62"/>
            </w:pPr>
            <w:r>
              <w:t>4.0444E+01</w:t>
            </w:r>
          </w:p>
        </w:tc>
        <w:tc>
          <w:tcPr>
            <w:tcW w:w="1621" w:type="pct"/>
            <w:vAlign w:val="center"/>
          </w:tcPr>
          <w:p w14:paraId="672D9B88">
            <w:pPr>
              <w:pStyle w:val="62"/>
            </w:pPr>
            <w:r>
              <w:t>9.3045E-07</w:t>
            </w:r>
          </w:p>
        </w:tc>
      </w:tr>
      <w:tr w14:paraId="7C2C8E18">
        <w:tblPrEx>
          <w:tblCellMar>
            <w:top w:w="0" w:type="dxa"/>
            <w:left w:w="28" w:type="dxa"/>
            <w:bottom w:w="0" w:type="dxa"/>
            <w:right w:w="28" w:type="dxa"/>
          </w:tblCellMar>
        </w:tblPrEx>
        <w:trPr>
          <w:trHeight w:val="425" w:hRule="atLeast"/>
          <w:jc w:val="center"/>
        </w:trPr>
        <w:tc>
          <w:tcPr>
            <w:tcW w:w="1464" w:type="pct"/>
            <w:vAlign w:val="center"/>
          </w:tcPr>
          <w:p w14:paraId="3A8F88E2">
            <w:pPr>
              <w:pStyle w:val="62"/>
            </w:pPr>
            <w:r>
              <w:t>4010</w:t>
            </w:r>
          </w:p>
        </w:tc>
        <w:tc>
          <w:tcPr>
            <w:tcW w:w="1915" w:type="pct"/>
            <w:vAlign w:val="center"/>
          </w:tcPr>
          <w:p w14:paraId="2F831FF1">
            <w:pPr>
              <w:pStyle w:val="62"/>
            </w:pPr>
            <w:r>
              <w:t>5.1555E+01</w:t>
            </w:r>
          </w:p>
        </w:tc>
        <w:tc>
          <w:tcPr>
            <w:tcW w:w="1621" w:type="pct"/>
            <w:vAlign w:val="center"/>
          </w:tcPr>
          <w:p w14:paraId="546D3239">
            <w:pPr>
              <w:pStyle w:val="62"/>
            </w:pPr>
            <w:r>
              <w:t>3.1957E-07</w:t>
            </w:r>
          </w:p>
        </w:tc>
      </w:tr>
      <w:tr w14:paraId="7DC9F6C7">
        <w:tblPrEx>
          <w:tblCellMar>
            <w:top w:w="0" w:type="dxa"/>
            <w:left w:w="28" w:type="dxa"/>
            <w:bottom w:w="0" w:type="dxa"/>
            <w:right w:w="28" w:type="dxa"/>
          </w:tblCellMar>
        </w:tblPrEx>
        <w:trPr>
          <w:trHeight w:val="425" w:hRule="atLeast"/>
          <w:jc w:val="center"/>
        </w:trPr>
        <w:tc>
          <w:tcPr>
            <w:tcW w:w="1464" w:type="pct"/>
            <w:vAlign w:val="center"/>
          </w:tcPr>
          <w:p w14:paraId="5454234E">
            <w:pPr>
              <w:pStyle w:val="62"/>
            </w:pPr>
            <w:r>
              <w:t>5000</w:t>
            </w:r>
          </w:p>
        </w:tc>
        <w:tc>
          <w:tcPr>
            <w:tcW w:w="1915" w:type="pct"/>
            <w:vAlign w:val="center"/>
          </w:tcPr>
          <w:p w14:paraId="3ADB5974">
            <w:pPr>
              <w:pStyle w:val="62"/>
            </w:pPr>
            <w:r>
              <w:t>6.2555E+01</w:t>
            </w:r>
          </w:p>
        </w:tc>
        <w:tc>
          <w:tcPr>
            <w:tcW w:w="1621" w:type="pct"/>
            <w:vAlign w:val="center"/>
          </w:tcPr>
          <w:p w14:paraId="0C03831F">
            <w:pPr>
              <w:pStyle w:val="62"/>
            </w:pPr>
            <w:r>
              <w:t>1.3837E-07</w:t>
            </w:r>
          </w:p>
        </w:tc>
      </w:tr>
    </w:tbl>
    <w:p w14:paraId="5B6E80E0">
      <w:pPr>
        <w:pStyle w:val="99"/>
        <w:numPr>
          <w:ilvl w:val="4"/>
          <w:numId w:val="46"/>
        </w:numPr>
        <w:ind w:left="0" w:firstLine="480"/>
        <w:rPr>
          <w:rFonts w:eastAsia="黑体"/>
          <w:bCs/>
          <w:szCs w:val="24"/>
        </w:rPr>
      </w:pPr>
      <w:r>
        <w:rPr>
          <w:rFonts w:hint="eastAsia" w:eastAsia="黑体"/>
          <w:bCs/>
          <w:szCs w:val="24"/>
        </w:rPr>
        <w:t xml:space="preserve">   下风向不同距离处D4（八甲基环四硅氧烷）的最大浓度</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448"/>
        <w:gridCol w:w="3203"/>
        <w:gridCol w:w="2711"/>
      </w:tblGrid>
      <w:tr w14:paraId="1D659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464" w:type="pct"/>
            <w:vAlign w:val="center"/>
          </w:tcPr>
          <w:p w14:paraId="35918557">
            <w:pPr>
              <w:pStyle w:val="67"/>
              <w:rPr>
                <w:color w:val="auto"/>
              </w:rPr>
            </w:pPr>
            <w:r>
              <w:rPr>
                <w:rFonts w:hint="eastAsia"/>
                <w:color w:val="auto"/>
              </w:rPr>
              <w:t>下风向距离 m</w:t>
            </w:r>
          </w:p>
        </w:tc>
        <w:tc>
          <w:tcPr>
            <w:tcW w:w="1915" w:type="pct"/>
            <w:vAlign w:val="center"/>
          </w:tcPr>
          <w:p w14:paraId="2AB53246">
            <w:pPr>
              <w:pStyle w:val="67"/>
              <w:rPr>
                <w:color w:val="auto"/>
              </w:rPr>
            </w:pPr>
            <w:r>
              <w:rPr>
                <w:rFonts w:hint="eastAsia"/>
                <w:color w:val="auto"/>
              </w:rPr>
              <w:t>浓度出现时间min</w:t>
            </w:r>
          </w:p>
        </w:tc>
        <w:tc>
          <w:tcPr>
            <w:tcW w:w="1621" w:type="pct"/>
            <w:vAlign w:val="center"/>
          </w:tcPr>
          <w:p w14:paraId="04566ED7">
            <w:pPr>
              <w:pStyle w:val="67"/>
              <w:rPr>
                <w:color w:val="auto"/>
              </w:rPr>
            </w:pPr>
            <w:r>
              <w:rPr>
                <w:rFonts w:hint="eastAsia"/>
                <w:color w:val="auto"/>
              </w:rPr>
              <w:t>高峰浓度</w:t>
            </w:r>
            <w:r>
              <w:rPr>
                <w:color w:val="auto"/>
              </w:rPr>
              <w:t>mg/m</w:t>
            </w:r>
            <w:r>
              <w:rPr>
                <w:color w:val="auto"/>
                <w:vertAlign w:val="superscript"/>
              </w:rPr>
              <w:t>3</w:t>
            </w:r>
          </w:p>
        </w:tc>
      </w:tr>
      <w:tr w14:paraId="2DAB2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D87BD55">
            <w:pPr>
              <w:pStyle w:val="62"/>
              <w:rPr>
                <w:rFonts w:hint="eastAsia" w:ascii="宋体" w:hAnsi="宋体" w:cs="宋体"/>
              </w:rPr>
            </w:pPr>
            <w:r>
              <w:rPr>
                <w:rFonts w:hint="eastAsia"/>
              </w:rPr>
              <w:t>10</w:t>
            </w:r>
          </w:p>
        </w:tc>
        <w:tc>
          <w:tcPr>
            <w:tcW w:w="1915" w:type="pct"/>
            <w:vAlign w:val="center"/>
          </w:tcPr>
          <w:p w14:paraId="3B775B11">
            <w:pPr>
              <w:pStyle w:val="62"/>
            </w:pPr>
            <w:r>
              <w:t>1.1111E-01</w:t>
            </w:r>
          </w:p>
        </w:tc>
        <w:tc>
          <w:tcPr>
            <w:tcW w:w="1621" w:type="pct"/>
            <w:vAlign w:val="center"/>
          </w:tcPr>
          <w:p w14:paraId="6CED784F">
            <w:pPr>
              <w:pStyle w:val="62"/>
            </w:pPr>
            <w:r>
              <w:t>4.6898E+00</w:t>
            </w:r>
          </w:p>
        </w:tc>
      </w:tr>
      <w:tr w14:paraId="379A1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1AFA2ADB">
            <w:pPr>
              <w:pStyle w:val="62"/>
              <w:rPr>
                <w:rFonts w:hint="eastAsia" w:ascii="宋体" w:hAnsi="宋体" w:cs="宋体"/>
              </w:rPr>
            </w:pPr>
            <w:r>
              <w:rPr>
                <w:rFonts w:hint="eastAsia"/>
              </w:rPr>
              <w:t>30</w:t>
            </w:r>
          </w:p>
        </w:tc>
        <w:tc>
          <w:tcPr>
            <w:tcW w:w="1915" w:type="pct"/>
            <w:vAlign w:val="center"/>
          </w:tcPr>
          <w:p w14:paraId="0A4ADAE5">
            <w:pPr>
              <w:pStyle w:val="62"/>
            </w:pPr>
            <w:r>
              <w:t>3.3333E-01</w:t>
            </w:r>
          </w:p>
        </w:tc>
        <w:tc>
          <w:tcPr>
            <w:tcW w:w="1621" w:type="pct"/>
            <w:vAlign w:val="center"/>
          </w:tcPr>
          <w:p w14:paraId="74BC33AB">
            <w:pPr>
              <w:pStyle w:val="62"/>
            </w:pPr>
            <w:r>
              <w:t>5.5450E+00</w:t>
            </w:r>
          </w:p>
        </w:tc>
      </w:tr>
      <w:tr w14:paraId="51F29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2E49CA32">
            <w:pPr>
              <w:pStyle w:val="62"/>
              <w:rPr>
                <w:rFonts w:hint="eastAsia" w:ascii="宋体" w:hAnsi="宋体" w:cs="宋体"/>
              </w:rPr>
            </w:pPr>
            <w:r>
              <w:rPr>
                <w:rFonts w:hint="eastAsia"/>
              </w:rPr>
              <w:t>50</w:t>
            </w:r>
          </w:p>
        </w:tc>
        <w:tc>
          <w:tcPr>
            <w:tcW w:w="1915" w:type="pct"/>
            <w:vAlign w:val="center"/>
          </w:tcPr>
          <w:p w14:paraId="5FDEBB5A">
            <w:pPr>
              <w:pStyle w:val="62"/>
            </w:pPr>
            <w:r>
              <w:t>5.5556E-01</w:t>
            </w:r>
          </w:p>
        </w:tc>
        <w:tc>
          <w:tcPr>
            <w:tcW w:w="1621" w:type="pct"/>
            <w:vAlign w:val="center"/>
          </w:tcPr>
          <w:p w14:paraId="7EC647B4">
            <w:pPr>
              <w:pStyle w:val="62"/>
            </w:pPr>
            <w:r>
              <w:t>2.0099E+00</w:t>
            </w:r>
          </w:p>
        </w:tc>
      </w:tr>
      <w:tr w14:paraId="4DD07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624C0223">
            <w:pPr>
              <w:pStyle w:val="62"/>
              <w:rPr>
                <w:rFonts w:hint="eastAsia" w:ascii="宋体" w:hAnsi="宋体" w:cs="宋体"/>
              </w:rPr>
            </w:pPr>
            <w:r>
              <w:rPr>
                <w:rFonts w:hint="eastAsia"/>
              </w:rPr>
              <w:t>70</w:t>
            </w:r>
          </w:p>
        </w:tc>
        <w:tc>
          <w:tcPr>
            <w:tcW w:w="1915" w:type="pct"/>
            <w:vAlign w:val="center"/>
          </w:tcPr>
          <w:p w14:paraId="18FAD554">
            <w:pPr>
              <w:pStyle w:val="62"/>
            </w:pPr>
            <w:r>
              <w:t>7.7778E-0</w:t>
            </w:r>
            <w:r>
              <w:rPr>
                <w:rFonts w:hint="eastAsia"/>
              </w:rPr>
              <w:t>1</w:t>
            </w:r>
          </w:p>
        </w:tc>
        <w:tc>
          <w:tcPr>
            <w:tcW w:w="1621" w:type="pct"/>
            <w:vAlign w:val="center"/>
          </w:tcPr>
          <w:p w14:paraId="69D6BE78">
            <w:pPr>
              <w:pStyle w:val="62"/>
            </w:pPr>
            <w:r>
              <w:t>9.7819E-01</w:t>
            </w:r>
          </w:p>
        </w:tc>
      </w:tr>
      <w:tr w14:paraId="25975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17FB5F3">
            <w:pPr>
              <w:pStyle w:val="62"/>
              <w:rPr>
                <w:rFonts w:hint="eastAsia" w:ascii="宋体" w:hAnsi="宋体" w:cs="宋体"/>
              </w:rPr>
            </w:pPr>
            <w:r>
              <w:rPr>
                <w:rFonts w:hint="eastAsia"/>
              </w:rPr>
              <w:t>90</w:t>
            </w:r>
          </w:p>
        </w:tc>
        <w:tc>
          <w:tcPr>
            <w:tcW w:w="1915" w:type="pct"/>
            <w:vAlign w:val="center"/>
          </w:tcPr>
          <w:p w14:paraId="2B740797">
            <w:pPr>
              <w:pStyle w:val="62"/>
            </w:pPr>
            <w:r>
              <w:t>1.0000E+00</w:t>
            </w:r>
          </w:p>
        </w:tc>
        <w:tc>
          <w:tcPr>
            <w:tcW w:w="1621" w:type="pct"/>
            <w:vAlign w:val="center"/>
          </w:tcPr>
          <w:p w14:paraId="1D53FD4E">
            <w:pPr>
              <w:pStyle w:val="62"/>
            </w:pPr>
            <w:r>
              <w:t>5.6565E-01</w:t>
            </w:r>
          </w:p>
        </w:tc>
      </w:tr>
      <w:tr w14:paraId="59835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391959B1">
            <w:pPr>
              <w:pStyle w:val="62"/>
              <w:rPr>
                <w:rFonts w:hint="eastAsia" w:ascii="宋体" w:hAnsi="宋体" w:cs="宋体"/>
              </w:rPr>
            </w:pPr>
            <w:r>
              <w:rPr>
                <w:rFonts w:hint="eastAsia"/>
              </w:rPr>
              <w:t>110</w:t>
            </w:r>
          </w:p>
        </w:tc>
        <w:tc>
          <w:tcPr>
            <w:tcW w:w="1915" w:type="pct"/>
            <w:vAlign w:val="center"/>
          </w:tcPr>
          <w:p w14:paraId="1C92AD46">
            <w:pPr>
              <w:pStyle w:val="62"/>
            </w:pPr>
            <w:r>
              <w:t>1.2222E+00</w:t>
            </w:r>
          </w:p>
        </w:tc>
        <w:tc>
          <w:tcPr>
            <w:tcW w:w="1621" w:type="pct"/>
            <w:vAlign w:val="center"/>
          </w:tcPr>
          <w:p w14:paraId="420E2554">
            <w:pPr>
              <w:pStyle w:val="62"/>
            </w:pPr>
            <w:r>
              <w:t>3.6416E-01</w:t>
            </w:r>
          </w:p>
        </w:tc>
      </w:tr>
      <w:tr w14:paraId="7A57A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1EBAA629">
            <w:pPr>
              <w:pStyle w:val="62"/>
              <w:rPr>
                <w:rFonts w:hint="eastAsia" w:ascii="宋体" w:hAnsi="宋体" w:cs="宋体"/>
              </w:rPr>
            </w:pPr>
            <w:r>
              <w:rPr>
                <w:rFonts w:hint="eastAsia"/>
              </w:rPr>
              <w:t>130</w:t>
            </w:r>
          </w:p>
        </w:tc>
        <w:tc>
          <w:tcPr>
            <w:tcW w:w="1915" w:type="pct"/>
            <w:vAlign w:val="center"/>
          </w:tcPr>
          <w:p w14:paraId="7985288A">
            <w:pPr>
              <w:pStyle w:val="62"/>
            </w:pPr>
            <w:r>
              <w:t>1.4444E+00</w:t>
            </w:r>
          </w:p>
        </w:tc>
        <w:tc>
          <w:tcPr>
            <w:tcW w:w="1621" w:type="pct"/>
            <w:vAlign w:val="center"/>
          </w:tcPr>
          <w:p w14:paraId="04713870">
            <w:pPr>
              <w:pStyle w:val="62"/>
            </w:pPr>
            <w:r>
              <w:t>2.5208E-01</w:t>
            </w:r>
          </w:p>
        </w:tc>
      </w:tr>
      <w:tr w14:paraId="52422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10422372">
            <w:pPr>
              <w:pStyle w:val="62"/>
              <w:rPr>
                <w:rFonts w:hint="eastAsia" w:ascii="宋体" w:hAnsi="宋体" w:cs="宋体"/>
              </w:rPr>
            </w:pPr>
            <w:r>
              <w:rPr>
                <w:rFonts w:hint="eastAsia"/>
              </w:rPr>
              <w:t>150</w:t>
            </w:r>
          </w:p>
        </w:tc>
        <w:tc>
          <w:tcPr>
            <w:tcW w:w="1915" w:type="pct"/>
            <w:vAlign w:val="center"/>
          </w:tcPr>
          <w:p w14:paraId="5456935F">
            <w:pPr>
              <w:pStyle w:val="62"/>
            </w:pPr>
            <w:r>
              <w:t>1.6667E+00</w:t>
            </w:r>
          </w:p>
        </w:tc>
        <w:tc>
          <w:tcPr>
            <w:tcW w:w="1621" w:type="pct"/>
            <w:vAlign w:val="center"/>
          </w:tcPr>
          <w:p w14:paraId="18607DE1">
            <w:pPr>
              <w:pStyle w:val="62"/>
            </w:pPr>
            <w:r>
              <w:t>1.8385E-01</w:t>
            </w:r>
          </w:p>
        </w:tc>
      </w:tr>
      <w:tr w14:paraId="3DEBD73B">
        <w:tblPrEx>
          <w:tblCellMar>
            <w:top w:w="0" w:type="dxa"/>
            <w:left w:w="28" w:type="dxa"/>
            <w:bottom w:w="0" w:type="dxa"/>
            <w:right w:w="28" w:type="dxa"/>
          </w:tblCellMar>
        </w:tblPrEx>
        <w:trPr>
          <w:trHeight w:val="454" w:hRule="atLeast"/>
          <w:jc w:val="center"/>
        </w:trPr>
        <w:tc>
          <w:tcPr>
            <w:tcW w:w="1464" w:type="pct"/>
            <w:vAlign w:val="center"/>
          </w:tcPr>
          <w:p w14:paraId="502FBEC2">
            <w:pPr>
              <w:pStyle w:val="62"/>
              <w:rPr>
                <w:rFonts w:hint="eastAsia" w:ascii="宋体" w:hAnsi="宋体" w:cs="宋体"/>
              </w:rPr>
            </w:pPr>
            <w:r>
              <w:rPr>
                <w:rFonts w:hint="eastAsia"/>
              </w:rPr>
              <w:t>170</w:t>
            </w:r>
          </w:p>
        </w:tc>
        <w:tc>
          <w:tcPr>
            <w:tcW w:w="1915" w:type="pct"/>
            <w:vAlign w:val="center"/>
          </w:tcPr>
          <w:p w14:paraId="52B604AC">
            <w:pPr>
              <w:pStyle w:val="62"/>
            </w:pPr>
            <w:r>
              <w:t>1.8889E+00</w:t>
            </w:r>
          </w:p>
        </w:tc>
        <w:tc>
          <w:tcPr>
            <w:tcW w:w="1621" w:type="pct"/>
            <w:vAlign w:val="center"/>
          </w:tcPr>
          <w:p w14:paraId="2BDE1F6A">
            <w:pPr>
              <w:pStyle w:val="62"/>
            </w:pPr>
            <w:r>
              <w:t>1.3945E-01</w:t>
            </w:r>
          </w:p>
        </w:tc>
      </w:tr>
      <w:tr w14:paraId="4982B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1BACCE13">
            <w:pPr>
              <w:pStyle w:val="62"/>
              <w:rPr>
                <w:rFonts w:hint="eastAsia" w:ascii="宋体" w:hAnsi="宋体" w:cs="宋体"/>
              </w:rPr>
            </w:pPr>
            <w:r>
              <w:rPr>
                <w:rFonts w:hint="eastAsia"/>
              </w:rPr>
              <w:t>190</w:t>
            </w:r>
          </w:p>
        </w:tc>
        <w:tc>
          <w:tcPr>
            <w:tcW w:w="1915" w:type="pct"/>
            <w:vAlign w:val="center"/>
          </w:tcPr>
          <w:p w14:paraId="4F6A67FF">
            <w:pPr>
              <w:pStyle w:val="62"/>
            </w:pPr>
            <w:r>
              <w:t>2.1111E+00</w:t>
            </w:r>
          </w:p>
        </w:tc>
        <w:tc>
          <w:tcPr>
            <w:tcW w:w="1621" w:type="pct"/>
            <w:vAlign w:val="center"/>
          </w:tcPr>
          <w:p w14:paraId="40248B36">
            <w:pPr>
              <w:pStyle w:val="62"/>
            </w:pPr>
            <w:r>
              <w:t>1.0906E-01</w:t>
            </w:r>
          </w:p>
        </w:tc>
      </w:tr>
      <w:tr w14:paraId="274ACB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37FBDECA">
            <w:pPr>
              <w:pStyle w:val="62"/>
              <w:rPr>
                <w:rFonts w:hint="eastAsia" w:ascii="宋体" w:hAnsi="宋体" w:cs="宋体"/>
              </w:rPr>
            </w:pPr>
            <w:r>
              <w:rPr>
                <w:rFonts w:hint="eastAsia"/>
              </w:rPr>
              <w:t>210</w:t>
            </w:r>
          </w:p>
        </w:tc>
        <w:tc>
          <w:tcPr>
            <w:tcW w:w="1915" w:type="pct"/>
            <w:vAlign w:val="center"/>
          </w:tcPr>
          <w:p w14:paraId="549EBF4D">
            <w:pPr>
              <w:pStyle w:val="62"/>
            </w:pPr>
            <w:r>
              <w:t>2.3333E+00</w:t>
            </w:r>
          </w:p>
        </w:tc>
        <w:tc>
          <w:tcPr>
            <w:tcW w:w="1621" w:type="pct"/>
            <w:vAlign w:val="center"/>
          </w:tcPr>
          <w:p w14:paraId="691DD798">
            <w:pPr>
              <w:pStyle w:val="62"/>
            </w:pPr>
            <w:r>
              <w:t>8.7412E-02</w:t>
            </w:r>
          </w:p>
        </w:tc>
      </w:tr>
      <w:tr w14:paraId="0D8F7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7B5DC129">
            <w:pPr>
              <w:pStyle w:val="62"/>
              <w:rPr>
                <w:rFonts w:hint="eastAsia" w:ascii="宋体" w:hAnsi="宋体" w:cs="宋体"/>
              </w:rPr>
            </w:pPr>
            <w:r>
              <w:rPr>
                <w:rFonts w:hint="eastAsia"/>
              </w:rPr>
              <w:t>230</w:t>
            </w:r>
          </w:p>
        </w:tc>
        <w:tc>
          <w:tcPr>
            <w:tcW w:w="1915" w:type="pct"/>
            <w:vAlign w:val="center"/>
          </w:tcPr>
          <w:p w14:paraId="56C84E9C">
            <w:pPr>
              <w:pStyle w:val="62"/>
            </w:pPr>
            <w:r>
              <w:t>2.5556E+00</w:t>
            </w:r>
          </w:p>
        </w:tc>
        <w:tc>
          <w:tcPr>
            <w:tcW w:w="1621" w:type="pct"/>
            <w:vAlign w:val="center"/>
          </w:tcPr>
          <w:p w14:paraId="5D7C954E">
            <w:pPr>
              <w:pStyle w:val="62"/>
            </w:pPr>
            <w:r>
              <w:t>7.1481E-02</w:t>
            </w:r>
          </w:p>
        </w:tc>
      </w:tr>
      <w:tr w14:paraId="71D93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340D643">
            <w:pPr>
              <w:pStyle w:val="62"/>
              <w:rPr>
                <w:rFonts w:hint="eastAsia" w:ascii="宋体" w:hAnsi="宋体" w:cs="宋体"/>
              </w:rPr>
            </w:pPr>
            <w:r>
              <w:rPr>
                <w:rFonts w:hint="eastAsia"/>
              </w:rPr>
              <w:t>250</w:t>
            </w:r>
          </w:p>
        </w:tc>
        <w:tc>
          <w:tcPr>
            <w:tcW w:w="1915" w:type="pct"/>
            <w:vAlign w:val="center"/>
          </w:tcPr>
          <w:p w14:paraId="7968AC4A">
            <w:pPr>
              <w:pStyle w:val="62"/>
            </w:pPr>
            <w:r>
              <w:t>2.7778E+00</w:t>
            </w:r>
          </w:p>
        </w:tc>
        <w:tc>
          <w:tcPr>
            <w:tcW w:w="1621" w:type="pct"/>
            <w:vAlign w:val="center"/>
          </w:tcPr>
          <w:p w14:paraId="3FA69EED">
            <w:pPr>
              <w:pStyle w:val="62"/>
            </w:pPr>
            <w:r>
              <w:t>5.9440E-02</w:t>
            </w:r>
          </w:p>
        </w:tc>
      </w:tr>
      <w:tr w14:paraId="7984D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34D17A2A">
            <w:pPr>
              <w:pStyle w:val="62"/>
              <w:rPr>
                <w:rFonts w:hint="eastAsia" w:ascii="宋体" w:hAnsi="宋体" w:cs="宋体"/>
              </w:rPr>
            </w:pPr>
            <w:r>
              <w:rPr>
                <w:rFonts w:hint="eastAsia"/>
              </w:rPr>
              <w:t>270</w:t>
            </w:r>
          </w:p>
        </w:tc>
        <w:tc>
          <w:tcPr>
            <w:tcW w:w="1915" w:type="pct"/>
            <w:vAlign w:val="center"/>
          </w:tcPr>
          <w:p w14:paraId="63486B1B">
            <w:pPr>
              <w:pStyle w:val="62"/>
            </w:pPr>
            <w:r>
              <w:t>3.0000E+00</w:t>
            </w:r>
          </w:p>
        </w:tc>
        <w:tc>
          <w:tcPr>
            <w:tcW w:w="1621" w:type="pct"/>
            <w:vAlign w:val="center"/>
          </w:tcPr>
          <w:p w14:paraId="6C41E072">
            <w:pPr>
              <w:pStyle w:val="62"/>
            </w:pPr>
            <w:r>
              <w:t>5.0133E-02</w:t>
            </w:r>
          </w:p>
        </w:tc>
      </w:tr>
      <w:tr w14:paraId="49261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79432C02">
            <w:pPr>
              <w:pStyle w:val="62"/>
              <w:rPr>
                <w:rFonts w:hint="eastAsia" w:ascii="宋体" w:hAnsi="宋体" w:cs="宋体"/>
              </w:rPr>
            </w:pPr>
            <w:r>
              <w:rPr>
                <w:rFonts w:hint="eastAsia"/>
              </w:rPr>
              <w:t>290</w:t>
            </w:r>
          </w:p>
        </w:tc>
        <w:tc>
          <w:tcPr>
            <w:tcW w:w="1915" w:type="pct"/>
            <w:vAlign w:val="center"/>
          </w:tcPr>
          <w:p w14:paraId="20FC3141">
            <w:pPr>
              <w:pStyle w:val="62"/>
            </w:pPr>
            <w:r>
              <w:t>3.2222E+00</w:t>
            </w:r>
          </w:p>
        </w:tc>
        <w:tc>
          <w:tcPr>
            <w:tcW w:w="1621" w:type="pct"/>
            <w:vAlign w:val="center"/>
          </w:tcPr>
          <w:p w14:paraId="05FA4D14">
            <w:pPr>
              <w:pStyle w:val="62"/>
            </w:pPr>
            <w:r>
              <w:t>4.2800E-02</w:t>
            </w:r>
          </w:p>
        </w:tc>
      </w:tr>
      <w:tr w14:paraId="0835C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4A76225">
            <w:pPr>
              <w:pStyle w:val="62"/>
              <w:rPr>
                <w:rFonts w:hint="eastAsia" w:ascii="宋体" w:hAnsi="宋体" w:cs="宋体"/>
              </w:rPr>
            </w:pPr>
            <w:r>
              <w:rPr>
                <w:rFonts w:hint="eastAsia"/>
              </w:rPr>
              <w:t>310</w:t>
            </w:r>
          </w:p>
        </w:tc>
        <w:tc>
          <w:tcPr>
            <w:tcW w:w="1915" w:type="pct"/>
            <w:vAlign w:val="center"/>
          </w:tcPr>
          <w:p w14:paraId="346D037A">
            <w:pPr>
              <w:pStyle w:val="62"/>
            </w:pPr>
            <w:r>
              <w:t>3.4444E+00</w:t>
            </w:r>
          </w:p>
        </w:tc>
        <w:tc>
          <w:tcPr>
            <w:tcW w:w="1621" w:type="pct"/>
            <w:vAlign w:val="center"/>
          </w:tcPr>
          <w:p w14:paraId="552B3796">
            <w:pPr>
              <w:pStyle w:val="62"/>
            </w:pPr>
            <w:r>
              <w:t>3.6926E-02</w:t>
            </w:r>
          </w:p>
        </w:tc>
      </w:tr>
      <w:tr w14:paraId="71A4C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130BCD6D">
            <w:pPr>
              <w:pStyle w:val="62"/>
              <w:rPr>
                <w:rFonts w:hint="eastAsia" w:ascii="宋体" w:hAnsi="宋体" w:cs="宋体"/>
              </w:rPr>
            </w:pPr>
            <w:r>
              <w:rPr>
                <w:rFonts w:hint="eastAsia"/>
              </w:rPr>
              <w:t>330</w:t>
            </w:r>
          </w:p>
        </w:tc>
        <w:tc>
          <w:tcPr>
            <w:tcW w:w="1915" w:type="pct"/>
            <w:vAlign w:val="center"/>
          </w:tcPr>
          <w:p w14:paraId="46D47EED">
            <w:pPr>
              <w:pStyle w:val="62"/>
            </w:pPr>
            <w:r>
              <w:t>3.6667E+00</w:t>
            </w:r>
          </w:p>
        </w:tc>
        <w:tc>
          <w:tcPr>
            <w:tcW w:w="1621" w:type="pct"/>
            <w:vAlign w:val="center"/>
          </w:tcPr>
          <w:p w14:paraId="61162A01">
            <w:pPr>
              <w:pStyle w:val="62"/>
            </w:pPr>
            <w:r>
              <w:t>3.2154E-02</w:t>
            </w:r>
          </w:p>
        </w:tc>
      </w:tr>
      <w:tr w14:paraId="03201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AC15A86">
            <w:pPr>
              <w:pStyle w:val="62"/>
              <w:rPr>
                <w:rFonts w:hint="eastAsia" w:ascii="宋体" w:hAnsi="宋体" w:cs="宋体"/>
              </w:rPr>
            </w:pPr>
            <w:r>
              <w:rPr>
                <w:rFonts w:hint="eastAsia"/>
              </w:rPr>
              <w:t>350</w:t>
            </w:r>
          </w:p>
        </w:tc>
        <w:tc>
          <w:tcPr>
            <w:tcW w:w="1915" w:type="pct"/>
            <w:vAlign w:val="center"/>
          </w:tcPr>
          <w:p w14:paraId="46BAA59D">
            <w:pPr>
              <w:pStyle w:val="62"/>
            </w:pPr>
            <w:r>
              <w:t>3.8889E+00</w:t>
            </w:r>
          </w:p>
        </w:tc>
        <w:tc>
          <w:tcPr>
            <w:tcW w:w="1621" w:type="pct"/>
            <w:vAlign w:val="center"/>
          </w:tcPr>
          <w:p w14:paraId="01705733">
            <w:pPr>
              <w:pStyle w:val="62"/>
            </w:pPr>
            <w:r>
              <w:t>2.8227E-02</w:t>
            </w:r>
          </w:p>
        </w:tc>
      </w:tr>
      <w:tr w14:paraId="58321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024BCDFD">
            <w:pPr>
              <w:pStyle w:val="62"/>
              <w:rPr>
                <w:rFonts w:hint="eastAsia" w:ascii="宋体" w:hAnsi="宋体" w:cs="宋体"/>
              </w:rPr>
            </w:pPr>
            <w:r>
              <w:rPr>
                <w:rFonts w:hint="eastAsia"/>
              </w:rPr>
              <w:t>370</w:t>
            </w:r>
          </w:p>
        </w:tc>
        <w:tc>
          <w:tcPr>
            <w:tcW w:w="1915" w:type="pct"/>
            <w:vAlign w:val="center"/>
          </w:tcPr>
          <w:p w14:paraId="312A1903">
            <w:pPr>
              <w:pStyle w:val="62"/>
            </w:pPr>
            <w:r>
              <w:t>4.1111E+00</w:t>
            </w:r>
          </w:p>
        </w:tc>
        <w:tc>
          <w:tcPr>
            <w:tcW w:w="1621" w:type="pct"/>
            <w:vAlign w:val="center"/>
          </w:tcPr>
          <w:p w14:paraId="370E581C">
            <w:pPr>
              <w:pStyle w:val="62"/>
            </w:pPr>
            <w:r>
              <w:t>2.4959E-02</w:t>
            </w:r>
          </w:p>
        </w:tc>
      </w:tr>
      <w:tr w14:paraId="2E675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13E2723E">
            <w:pPr>
              <w:pStyle w:val="62"/>
              <w:rPr>
                <w:rFonts w:hint="eastAsia" w:ascii="宋体" w:hAnsi="宋体" w:cs="宋体"/>
              </w:rPr>
            </w:pPr>
            <w:r>
              <w:rPr>
                <w:rFonts w:hint="eastAsia"/>
              </w:rPr>
              <w:t>390</w:t>
            </w:r>
          </w:p>
        </w:tc>
        <w:tc>
          <w:tcPr>
            <w:tcW w:w="1915" w:type="pct"/>
            <w:vAlign w:val="center"/>
          </w:tcPr>
          <w:p w14:paraId="71457CE7">
            <w:pPr>
              <w:pStyle w:val="62"/>
            </w:pPr>
            <w:r>
              <w:t>4.3333E+00</w:t>
            </w:r>
          </w:p>
        </w:tc>
        <w:tc>
          <w:tcPr>
            <w:tcW w:w="1621" w:type="pct"/>
            <w:vAlign w:val="center"/>
          </w:tcPr>
          <w:p w14:paraId="11D59598">
            <w:pPr>
              <w:pStyle w:val="62"/>
            </w:pPr>
            <w:r>
              <w:t>2.2213E-02</w:t>
            </w:r>
          </w:p>
        </w:tc>
      </w:tr>
      <w:tr w14:paraId="4525D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4DBC781B">
            <w:pPr>
              <w:pStyle w:val="62"/>
              <w:rPr>
                <w:rFonts w:hint="eastAsia" w:ascii="宋体" w:hAnsi="宋体" w:cs="宋体"/>
              </w:rPr>
            </w:pPr>
            <w:r>
              <w:rPr>
                <w:rFonts w:hint="eastAsia"/>
              </w:rPr>
              <w:t>410</w:t>
            </w:r>
          </w:p>
        </w:tc>
        <w:tc>
          <w:tcPr>
            <w:tcW w:w="1915" w:type="pct"/>
            <w:vAlign w:val="center"/>
          </w:tcPr>
          <w:p w14:paraId="525872B5">
            <w:pPr>
              <w:pStyle w:val="62"/>
            </w:pPr>
            <w:r>
              <w:t>4.5556E+00</w:t>
            </w:r>
          </w:p>
        </w:tc>
        <w:tc>
          <w:tcPr>
            <w:tcW w:w="1621" w:type="pct"/>
            <w:vAlign w:val="center"/>
          </w:tcPr>
          <w:p w14:paraId="26356DDC">
            <w:pPr>
              <w:pStyle w:val="62"/>
            </w:pPr>
            <w:r>
              <w:t>1.9885E-02</w:t>
            </w:r>
          </w:p>
        </w:tc>
      </w:tr>
      <w:tr w14:paraId="68077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8100758">
            <w:pPr>
              <w:pStyle w:val="62"/>
              <w:rPr>
                <w:rFonts w:hint="eastAsia" w:ascii="宋体" w:hAnsi="宋体" w:cs="宋体"/>
              </w:rPr>
            </w:pPr>
            <w:r>
              <w:rPr>
                <w:rFonts w:hint="eastAsia"/>
              </w:rPr>
              <w:t>430</w:t>
            </w:r>
          </w:p>
        </w:tc>
        <w:tc>
          <w:tcPr>
            <w:tcW w:w="1915" w:type="pct"/>
            <w:vAlign w:val="center"/>
          </w:tcPr>
          <w:p w14:paraId="79F696E7">
            <w:pPr>
              <w:pStyle w:val="62"/>
            </w:pPr>
            <w:r>
              <w:t>4.7778E+00</w:t>
            </w:r>
          </w:p>
        </w:tc>
        <w:tc>
          <w:tcPr>
            <w:tcW w:w="1621" w:type="pct"/>
            <w:vAlign w:val="center"/>
          </w:tcPr>
          <w:p w14:paraId="04081741">
            <w:pPr>
              <w:pStyle w:val="62"/>
            </w:pPr>
            <w:r>
              <w:t>1.7895E-02</w:t>
            </w:r>
          </w:p>
        </w:tc>
      </w:tr>
      <w:tr w14:paraId="5F804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0165AE6E">
            <w:pPr>
              <w:pStyle w:val="62"/>
              <w:rPr>
                <w:rFonts w:hint="eastAsia" w:ascii="宋体" w:hAnsi="宋体" w:cs="宋体"/>
              </w:rPr>
            </w:pPr>
            <w:r>
              <w:rPr>
                <w:rFonts w:hint="eastAsia"/>
              </w:rPr>
              <w:t>450</w:t>
            </w:r>
          </w:p>
        </w:tc>
        <w:tc>
          <w:tcPr>
            <w:tcW w:w="1915" w:type="pct"/>
            <w:vAlign w:val="center"/>
          </w:tcPr>
          <w:p w14:paraId="34E17386">
            <w:pPr>
              <w:pStyle w:val="62"/>
            </w:pPr>
            <w:r>
              <w:t>5.0000E+00</w:t>
            </w:r>
          </w:p>
        </w:tc>
        <w:tc>
          <w:tcPr>
            <w:tcW w:w="1621" w:type="pct"/>
            <w:vAlign w:val="center"/>
          </w:tcPr>
          <w:p w14:paraId="4819B30C">
            <w:pPr>
              <w:pStyle w:val="62"/>
            </w:pPr>
            <w:r>
              <w:t>1.6181E-02</w:t>
            </w:r>
          </w:p>
        </w:tc>
      </w:tr>
      <w:tr w14:paraId="15D31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7238C2C">
            <w:pPr>
              <w:pStyle w:val="62"/>
              <w:rPr>
                <w:rFonts w:hint="eastAsia" w:ascii="宋体" w:hAnsi="宋体" w:cs="宋体"/>
              </w:rPr>
            </w:pPr>
            <w:r>
              <w:rPr>
                <w:rFonts w:hint="eastAsia"/>
              </w:rPr>
              <w:t>470</w:t>
            </w:r>
          </w:p>
        </w:tc>
        <w:tc>
          <w:tcPr>
            <w:tcW w:w="1915" w:type="pct"/>
            <w:vAlign w:val="center"/>
          </w:tcPr>
          <w:p w14:paraId="09C55878">
            <w:pPr>
              <w:pStyle w:val="62"/>
            </w:pPr>
            <w:r>
              <w:t>5.2222E+00</w:t>
            </w:r>
          </w:p>
        </w:tc>
        <w:tc>
          <w:tcPr>
            <w:tcW w:w="1621" w:type="pct"/>
            <w:vAlign w:val="center"/>
          </w:tcPr>
          <w:p w14:paraId="72DF96F5">
            <w:pPr>
              <w:pStyle w:val="62"/>
            </w:pPr>
            <w:r>
              <w:t>1.4695E-02</w:t>
            </w:r>
          </w:p>
        </w:tc>
      </w:tr>
      <w:tr w14:paraId="3B428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D957BF3">
            <w:pPr>
              <w:pStyle w:val="62"/>
              <w:rPr>
                <w:rFonts w:hint="eastAsia" w:ascii="宋体" w:hAnsi="宋体" w:cs="宋体"/>
              </w:rPr>
            </w:pPr>
            <w:r>
              <w:rPr>
                <w:rFonts w:hint="eastAsia"/>
              </w:rPr>
              <w:t>490</w:t>
            </w:r>
          </w:p>
        </w:tc>
        <w:tc>
          <w:tcPr>
            <w:tcW w:w="1915" w:type="pct"/>
            <w:vAlign w:val="center"/>
          </w:tcPr>
          <w:p w14:paraId="4AC0F7FD">
            <w:pPr>
              <w:pStyle w:val="62"/>
            </w:pPr>
            <w:r>
              <w:t>5.4444E+00</w:t>
            </w:r>
          </w:p>
        </w:tc>
        <w:tc>
          <w:tcPr>
            <w:tcW w:w="1621" w:type="pct"/>
            <w:vAlign w:val="center"/>
          </w:tcPr>
          <w:p w14:paraId="67F66F29">
            <w:pPr>
              <w:pStyle w:val="62"/>
            </w:pPr>
            <w:r>
              <w:t>1.3400E-02</w:t>
            </w:r>
          </w:p>
        </w:tc>
      </w:tr>
      <w:tr w14:paraId="25EBD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02E4EC92">
            <w:pPr>
              <w:pStyle w:val="62"/>
              <w:rPr>
                <w:rFonts w:hint="eastAsia" w:ascii="宋体" w:hAnsi="宋体" w:cs="宋体"/>
              </w:rPr>
            </w:pPr>
            <w:r>
              <w:rPr>
                <w:rFonts w:hint="eastAsia"/>
              </w:rPr>
              <w:t>510</w:t>
            </w:r>
          </w:p>
        </w:tc>
        <w:tc>
          <w:tcPr>
            <w:tcW w:w="1915" w:type="pct"/>
            <w:vAlign w:val="center"/>
          </w:tcPr>
          <w:p w14:paraId="23545A1C">
            <w:pPr>
              <w:pStyle w:val="62"/>
            </w:pPr>
            <w:r>
              <w:t>5.6667E+00</w:t>
            </w:r>
          </w:p>
        </w:tc>
        <w:tc>
          <w:tcPr>
            <w:tcW w:w="1621" w:type="pct"/>
            <w:vAlign w:val="center"/>
          </w:tcPr>
          <w:p w14:paraId="76119912">
            <w:pPr>
              <w:pStyle w:val="62"/>
            </w:pPr>
            <w:r>
              <w:t>1.2264E-02</w:t>
            </w:r>
          </w:p>
        </w:tc>
      </w:tr>
      <w:tr w14:paraId="5E19B1B2">
        <w:tblPrEx>
          <w:tblCellMar>
            <w:top w:w="0" w:type="dxa"/>
            <w:left w:w="28" w:type="dxa"/>
            <w:bottom w:w="0" w:type="dxa"/>
            <w:right w:w="28" w:type="dxa"/>
          </w:tblCellMar>
        </w:tblPrEx>
        <w:trPr>
          <w:trHeight w:val="454" w:hRule="atLeast"/>
          <w:jc w:val="center"/>
        </w:trPr>
        <w:tc>
          <w:tcPr>
            <w:tcW w:w="1464" w:type="pct"/>
            <w:vAlign w:val="center"/>
          </w:tcPr>
          <w:p w14:paraId="62E9117B">
            <w:pPr>
              <w:pStyle w:val="62"/>
              <w:rPr>
                <w:rFonts w:hint="eastAsia" w:ascii="宋体" w:hAnsi="宋体" w:cs="宋体"/>
              </w:rPr>
            </w:pPr>
            <w:r>
              <w:rPr>
                <w:rFonts w:hint="eastAsia"/>
              </w:rPr>
              <w:t>1010</w:t>
            </w:r>
          </w:p>
        </w:tc>
        <w:tc>
          <w:tcPr>
            <w:tcW w:w="1915" w:type="pct"/>
            <w:vAlign w:val="center"/>
          </w:tcPr>
          <w:p w14:paraId="22507F31">
            <w:pPr>
              <w:pStyle w:val="62"/>
            </w:pPr>
            <w:r>
              <w:t>1.1222E+01</w:t>
            </w:r>
          </w:p>
        </w:tc>
        <w:tc>
          <w:tcPr>
            <w:tcW w:w="1621" w:type="pct"/>
            <w:vAlign w:val="center"/>
          </w:tcPr>
          <w:p w14:paraId="052C36AC">
            <w:pPr>
              <w:pStyle w:val="62"/>
            </w:pPr>
            <w:r>
              <w:t>2.1680E-03</w:t>
            </w:r>
          </w:p>
        </w:tc>
      </w:tr>
      <w:tr w14:paraId="21A18A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1AC2E0FE">
            <w:pPr>
              <w:pStyle w:val="62"/>
              <w:rPr>
                <w:rFonts w:hint="eastAsia" w:ascii="宋体" w:hAnsi="宋体" w:cs="宋体"/>
              </w:rPr>
            </w:pPr>
            <w:r>
              <w:rPr>
                <w:rFonts w:hint="eastAsia"/>
              </w:rPr>
              <w:t>2010</w:t>
            </w:r>
          </w:p>
        </w:tc>
        <w:tc>
          <w:tcPr>
            <w:tcW w:w="1915" w:type="pct"/>
            <w:vAlign w:val="center"/>
          </w:tcPr>
          <w:p w14:paraId="413E3642">
            <w:pPr>
              <w:pStyle w:val="62"/>
            </w:pPr>
            <w:r>
              <w:t>2.9333E+01</w:t>
            </w:r>
          </w:p>
        </w:tc>
        <w:tc>
          <w:tcPr>
            <w:tcW w:w="1621" w:type="pct"/>
            <w:vAlign w:val="center"/>
          </w:tcPr>
          <w:p w14:paraId="0AB44E7B">
            <w:pPr>
              <w:pStyle w:val="62"/>
            </w:pPr>
            <w:r>
              <w:t>2.2516E-04</w:t>
            </w:r>
          </w:p>
        </w:tc>
      </w:tr>
      <w:tr w14:paraId="679FD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4D4E9BA5">
            <w:pPr>
              <w:pStyle w:val="62"/>
              <w:rPr>
                <w:rFonts w:hint="eastAsia" w:ascii="宋体" w:hAnsi="宋体" w:cs="宋体"/>
              </w:rPr>
            </w:pPr>
            <w:r>
              <w:rPr>
                <w:rFonts w:hint="eastAsia"/>
              </w:rPr>
              <w:t>3010</w:t>
            </w:r>
          </w:p>
        </w:tc>
        <w:tc>
          <w:tcPr>
            <w:tcW w:w="1915" w:type="pct"/>
            <w:vAlign w:val="center"/>
          </w:tcPr>
          <w:p w14:paraId="5BB5EC25">
            <w:pPr>
              <w:pStyle w:val="62"/>
            </w:pPr>
            <w:r>
              <w:t>4.0444E+01</w:t>
            </w:r>
          </w:p>
        </w:tc>
        <w:tc>
          <w:tcPr>
            <w:tcW w:w="1621" w:type="pct"/>
            <w:vAlign w:val="center"/>
          </w:tcPr>
          <w:p w14:paraId="6D313429">
            <w:pPr>
              <w:pStyle w:val="62"/>
            </w:pPr>
            <w:r>
              <w:t>5.2937E-05</w:t>
            </w:r>
          </w:p>
        </w:tc>
      </w:tr>
      <w:tr w14:paraId="7972F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79B5473E">
            <w:pPr>
              <w:pStyle w:val="62"/>
              <w:rPr>
                <w:rFonts w:hint="eastAsia" w:ascii="宋体" w:hAnsi="宋体" w:cs="宋体"/>
              </w:rPr>
            </w:pPr>
            <w:r>
              <w:rPr>
                <w:rFonts w:hint="eastAsia"/>
              </w:rPr>
              <w:t>4010</w:t>
            </w:r>
          </w:p>
        </w:tc>
        <w:tc>
          <w:tcPr>
            <w:tcW w:w="1915" w:type="pct"/>
            <w:vAlign w:val="center"/>
          </w:tcPr>
          <w:p w14:paraId="3A7B217D">
            <w:pPr>
              <w:pStyle w:val="62"/>
            </w:pPr>
            <w:r>
              <w:t>5.1555E+01</w:t>
            </w:r>
          </w:p>
        </w:tc>
        <w:tc>
          <w:tcPr>
            <w:tcW w:w="1621" w:type="pct"/>
            <w:vAlign w:val="center"/>
          </w:tcPr>
          <w:p w14:paraId="20C09DF1">
            <w:pPr>
              <w:pStyle w:val="62"/>
            </w:pPr>
            <w:r>
              <w:t>1.8182E-05</w:t>
            </w:r>
          </w:p>
        </w:tc>
      </w:tr>
      <w:tr w14:paraId="1C4D2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4A66B283">
            <w:pPr>
              <w:pStyle w:val="62"/>
              <w:rPr>
                <w:rFonts w:hint="eastAsia" w:ascii="宋体" w:hAnsi="宋体" w:cs="宋体"/>
              </w:rPr>
            </w:pPr>
            <w:r>
              <w:rPr>
                <w:rFonts w:hint="eastAsia"/>
              </w:rPr>
              <w:t>5000</w:t>
            </w:r>
          </w:p>
        </w:tc>
        <w:tc>
          <w:tcPr>
            <w:tcW w:w="1915" w:type="pct"/>
            <w:vAlign w:val="center"/>
          </w:tcPr>
          <w:p w14:paraId="60DB1FBC">
            <w:pPr>
              <w:pStyle w:val="62"/>
            </w:pPr>
            <w:r>
              <w:t>6.2555E+01</w:t>
            </w:r>
          </w:p>
        </w:tc>
        <w:tc>
          <w:tcPr>
            <w:tcW w:w="1621" w:type="pct"/>
            <w:vAlign w:val="center"/>
          </w:tcPr>
          <w:p w14:paraId="515D4876">
            <w:pPr>
              <w:pStyle w:val="62"/>
            </w:pPr>
            <w:r>
              <w:t>7.8724E-06</w:t>
            </w:r>
          </w:p>
        </w:tc>
      </w:tr>
    </w:tbl>
    <w:p w14:paraId="599DE39A">
      <w:pPr>
        <w:spacing w:before="156" w:beforeLines="50" w:line="360" w:lineRule="auto"/>
        <w:ind w:firstLine="0" w:firstLineChars="0"/>
        <w:jc w:val="center"/>
      </w:pPr>
      <w:r>
        <w:drawing>
          <wp:inline distT="0" distB="0" distL="0" distR="0">
            <wp:extent cx="5274310" cy="2681605"/>
            <wp:effectExtent l="0" t="0" r="2540" b="4445"/>
            <wp:docPr id="1852911844" name="图片 1"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11844" name="图片 1" descr="文本&#10;&#10;低可信度描述已自动生成"/>
                    <pic:cNvPicPr>
                      <a:picLocks noChangeAspect="1"/>
                    </pic:cNvPicPr>
                  </pic:nvPicPr>
                  <pic:blipFill>
                    <a:blip r:embed="rId150"/>
                    <a:stretch>
                      <a:fillRect/>
                    </a:stretch>
                  </pic:blipFill>
                  <pic:spPr>
                    <a:xfrm>
                      <a:off x="0" y="0"/>
                      <a:ext cx="5274310" cy="2681605"/>
                    </a:xfrm>
                    <a:prstGeom prst="rect">
                      <a:avLst/>
                    </a:prstGeom>
                  </pic:spPr>
                </pic:pic>
              </a:graphicData>
            </a:graphic>
          </wp:inline>
        </w:drawing>
      </w:r>
    </w:p>
    <w:p w14:paraId="2E8D67FB">
      <w:pPr>
        <w:pStyle w:val="99"/>
        <w:numPr>
          <w:ilvl w:val="4"/>
          <w:numId w:val="47"/>
        </w:numPr>
        <w:ind w:left="0" w:firstLine="0" w:firstLineChars="0"/>
        <w:jc w:val="center"/>
        <w:rPr>
          <w:b/>
          <w:bCs/>
        </w:rPr>
      </w:pPr>
      <w:r>
        <w:rPr>
          <w:rFonts w:hint="eastAsia"/>
          <w:b/>
          <w:bCs/>
        </w:rPr>
        <w:t xml:space="preserve">   硫酸最不利气象下风向最大浓度-距离曲线</w:t>
      </w:r>
    </w:p>
    <w:p w14:paraId="0C627DB0">
      <w:pPr>
        <w:pStyle w:val="2"/>
        <w:spacing w:before="156" w:beforeLines="50" w:after="0" w:line="360" w:lineRule="auto"/>
        <w:ind w:firstLine="0" w:firstLineChars="0"/>
        <w:jc w:val="center"/>
        <w:rPr>
          <w:highlight w:val="yellow"/>
        </w:rPr>
      </w:pPr>
      <w:r>
        <w:drawing>
          <wp:inline distT="0" distB="0" distL="0" distR="0">
            <wp:extent cx="5274310" cy="2661920"/>
            <wp:effectExtent l="0" t="0" r="2540" b="5080"/>
            <wp:docPr id="855138229" name="图片 1"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38229" name="图片 1" descr="图表&#10;&#10;中度可信度描述已自动生成"/>
                    <pic:cNvPicPr>
                      <a:picLocks noChangeAspect="1"/>
                    </pic:cNvPicPr>
                  </pic:nvPicPr>
                  <pic:blipFill>
                    <a:blip r:embed="rId151"/>
                    <a:stretch>
                      <a:fillRect/>
                    </a:stretch>
                  </pic:blipFill>
                  <pic:spPr>
                    <a:xfrm>
                      <a:off x="0" y="0"/>
                      <a:ext cx="5274310" cy="2661920"/>
                    </a:xfrm>
                    <a:prstGeom prst="rect">
                      <a:avLst/>
                    </a:prstGeom>
                  </pic:spPr>
                </pic:pic>
              </a:graphicData>
            </a:graphic>
          </wp:inline>
        </w:drawing>
      </w:r>
    </w:p>
    <w:p w14:paraId="207748AF">
      <w:pPr>
        <w:pStyle w:val="99"/>
        <w:numPr>
          <w:ilvl w:val="4"/>
          <w:numId w:val="47"/>
        </w:numPr>
        <w:ind w:left="0" w:firstLine="0" w:firstLineChars="0"/>
        <w:jc w:val="center"/>
        <w:rPr>
          <w:b/>
          <w:bCs/>
        </w:rPr>
      </w:pPr>
      <w:r>
        <w:rPr>
          <w:rFonts w:hint="eastAsia"/>
          <w:b/>
          <w:bCs/>
        </w:rPr>
        <w:t xml:space="preserve">  D4（八甲基环四硅氧烷）最不利气象气象下风向最大浓度-距离曲线</w:t>
      </w:r>
    </w:p>
    <w:p w14:paraId="3EE1EB8E">
      <w:pPr>
        <w:pStyle w:val="99"/>
        <w:numPr>
          <w:ilvl w:val="4"/>
          <w:numId w:val="46"/>
        </w:numPr>
        <w:ind w:left="0" w:firstLine="480"/>
        <w:rPr>
          <w:rFonts w:eastAsia="黑体"/>
          <w:bCs/>
          <w:szCs w:val="24"/>
        </w:rPr>
      </w:pPr>
      <w:r>
        <w:rPr>
          <w:rFonts w:hint="eastAsia" w:eastAsia="黑体"/>
          <w:bCs/>
          <w:szCs w:val="24"/>
        </w:rPr>
        <w:t xml:space="preserve">            阈值范围内最大影响范围</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952"/>
        <w:gridCol w:w="1012"/>
        <w:gridCol w:w="1975"/>
        <w:gridCol w:w="824"/>
        <w:gridCol w:w="878"/>
        <w:gridCol w:w="903"/>
        <w:gridCol w:w="840"/>
        <w:gridCol w:w="978"/>
      </w:tblGrid>
      <w:tr w14:paraId="590313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9" w:type="pct"/>
            <w:vAlign w:val="center"/>
          </w:tcPr>
          <w:p w14:paraId="7C167050">
            <w:pPr>
              <w:pStyle w:val="67"/>
              <w:rPr>
                <w:color w:val="auto"/>
              </w:rPr>
            </w:pPr>
            <w:r>
              <w:rPr>
                <w:rFonts w:hint="eastAsia"/>
                <w:color w:val="auto"/>
              </w:rPr>
              <w:t>危险物质</w:t>
            </w:r>
          </w:p>
        </w:tc>
        <w:tc>
          <w:tcPr>
            <w:tcW w:w="605" w:type="pct"/>
            <w:vAlign w:val="center"/>
          </w:tcPr>
          <w:p w14:paraId="03DFA314">
            <w:pPr>
              <w:pStyle w:val="67"/>
              <w:rPr>
                <w:color w:val="auto"/>
              </w:rPr>
            </w:pPr>
            <w:r>
              <w:rPr>
                <w:rFonts w:hint="eastAsia"/>
                <w:color w:val="auto"/>
              </w:rPr>
              <w:t>气象条件</w:t>
            </w:r>
          </w:p>
        </w:tc>
        <w:tc>
          <w:tcPr>
            <w:tcW w:w="1674" w:type="pct"/>
            <w:gridSpan w:val="2"/>
            <w:vAlign w:val="center"/>
          </w:tcPr>
          <w:p w14:paraId="357FED0A">
            <w:pPr>
              <w:pStyle w:val="67"/>
              <w:rPr>
                <w:color w:val="auto"/>
              </w:rPr>
            </w:pPr>
            <w:r>
              <w:rPr>
                <w:rFonts w:hint="eastAsia"/>
                <w:color w:val="auto"/>
              </w:rPr>
              <w:t>阈值</w:t>
            </w:r>
          </w:p>
          <w:p w14:paraId="07B56A02">
            <w:pPr>
              <w:pStyle w:val="67"/>
              <w:rPr>
                <w:color w:val="auto"/>
              </w:rPr>
            </w:pPr>
            <w:r>
              <w:rPr>
                <w:color w:val="auto"/>
              </w:rPr>
              <w:t>mg/m</w:t>
            </w:r>
            <w:r>
              <w:rPr>
                <w:rFonts w:hint="eastAsia"/>
                <w:color w:val="auto"/>
              </w:rPr>
              <w:t>³</w:t>
            </w:r>
          </w:p>
        </w:tc>
        <w:tc>
          <w:tcPr>
            <w:tcW w:w="525" w:type="pct"/>
            <w:vAlign w:val="center"/>
          </w:tcPr>
          <w:p w14:paraId="55B08C3E">
            <w:pPr>
              <w:pStyle w:val="67"/>
              <w:rPr>
                <w:color w:val="auto"/>
              </w:rPr>
            </w:pPr>
            <w:r>
              <w:rPr>
                <w:color w:val="auto"/>
              </w:rPr>
              <w:t>X</w:t>
            </w:r>
            <w:r>
              <w:rPr>
                <w:rFonts w:hint="eastAsia"/>
                <w:color w:val="auto"/>
              </w:rPr>
              <w:t>起点</w:t>
            </w:r>
          </w:p>
          <w:p w14:paraId="7101053B">
            <w:pPr>
              <w:pStyle w:val="67"/>
              <w:rPr>
                <w:color w:val="auto"/>
              </w:rPr>
            </w:pPr>
            <w:r>
              <w:rPr>
                <w:color w:val="auto"/>
              </w:rPr>
              <w:t>m</w:t>
            </w:r>
          </w:p>
        </w:tc>
        <w:tc>
          <w:tcPr>
            <w:tcW w:w="540" w:type="pct"/>
            <w:vAlign w:val="center"/>
          </w:tcPr>
          <w:p w14:paraId="4F32990D">
            <w:pPr>
              <w:pStyle w:val="67"/>
              <w:rPr>
                <w:color w:val="auto"/>
              </w:rPr>
            </w:pPr>
            <w:r>
              <w:rPr>
                <w:color w:val="auto"/>
              </w:rPr>
              <w:t>X</w:t>
            </w:r>
            <w:r>
              <w:rPr>
                <w:rFonts w:hint="eastAsia"/>
                <w:color w:val="auto"/>
              </w:rPr>
              <w:t>终点</w:t>
            </w:r>
          </w:p>
          <w:p w14:paraId="632661DC">
            <w:pPr>
              <w:pStyle w:val="67"/>
              <w:rPr>
                <w:color w:val="auto"/>
              </w:rPr>
            </w:pPr>
            <w:r>
              <w:rPr>
                <w:color w:val="auto"/>
              </w:rPr>
              <w:t>m</w:t>
            </w:r>
          </w:p>
        </w:tc>
        <w:tc>
          <w:tcPr>
            <w:tcW w:w="502" w:type="pct"/>
            <w:vAlign w:val="center"/>
          </w:tcPr>
          <w:p w14:paraId="52852277">
            <w:pPr>
              <w:pStyle w:val="67"/>
              <w:rPr>
                <w:color w:val="auto"/>
              </w:rPr>
            </w:pPr>
            <w:r>
              <w:rPr>
                <w:rFonts w:hint="eastAsia"/>
                <w:color w:val="auto"/>
              </w:rPr>
              <w:t>最大</w:t>
            </w:r>
          </w:p>
          <w:p w14:paraId="58881E7F">
            <w:pPr>
              <w:pStyle w:val="67"/>
              <w:rPr>
                <w:color w:val="auto"/>
              </w:rPr>
            </w:pPr>
            <w:r>
              <w:rPr>
                <w:rFonts w:hint="eastAsia"/>
                <w:color w:val="auto"/>
              </w:rPr>
              <w:t>半宽</w:t>
            </w:r>
          </w:p>
          <w:p w14:paraId="7906E438">
            <w:pPr>
              <w:pStyle w:val="67"/>
              <w:rPr>
                <w:color w:val="auto"/>
              </w:rPr>
            </w:pPr>
            <w:r>
              <w:rPr>
                <w:color w:val="auto"/>
              </w:rPr>
              <w:t>m</w:t>
            </w:r>
          </w:p>
        </w:tc>
        <w:tc>
          <w:tcPr>
            <w:tcW w:w="585" w:type="pct"/>
            <w:vAlign w:val="center"/>
          </w:tcPr>
          <w:p w14:paraId="186E42BD">
            <w:pPr>
              <w:pStyle w:val="67"/>
              <w:rPr>
                <w:color w:val="auto"/>
              </w:rPr>
            </w:pPr>
            <w:r>
              <w:rPr>
                <w:rFonts w:hint="eastAsia"/>
                <w:color w:val="auto"/>
              </w:rPr>
              <w:t>最大半宽对应</w:t>
            </w:r>
            <w:r>
              <w:rPr>
                <w:color w:val="auto"/>
              </w:rPr>
              <w:t>X</w:t>
            </w:r>
            <w:r>
              <w:rPr>
                <w:rFonts w:hint="eastAsia"/>
                <w:color w:val="auto"/>
              </w:rPr>
              <w:t>（</w:t>
            </w:r>
            <w:r>
              <w:rPr>
                <w:color w:val="auto"/>
              </w:rPr>
              <w:t>m</w:t>
            </w:r>
            <w:r>
              <w:rPr>
                <w:rFonts w:hint="eastAsia"/>
                <w:color w:val="auto"/>
              </w:rPr>
              <w:t>）</w:t>
            </w:r>
          </w:p>
        </w:tc>
      </w:tr>
      <w:tr w14:paraId="126E9F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9" w:type="pct"/>
            <w:vMerge w:val="restart"/>
            <w:vAlign w:val="center"/>
          </w:tcPr>
          <w:p w14:paraId="65FD6FCB">
            <w:pPr>
              <w:pStyle w:val="62"/>
            </w:pPr>
            <w:r>
              <w:rPr>
                <w:rFonts w:hint="eastAsia"/>
              </w:rPr>
              <w:t>D4（八甲基环四硅氧烷）</w:t>
            </w:r>
          </w:p>
        </w:tc>
        <w:tc>
          <w:tcPr>
            <w:tcW w:w="605" w:type="pct"/>
            <w:vMerge w:val="restart"/>
            <w:vAlign w:val="center"/>
          </w:tcPr>
          <w:p w14:paraId="1910EC65">
            <w:pPr>
              <w:pStyle w:val="62"/>
            </w:pPr>
            <w:r>
              <w:rPr>
                <w:rFonts w:hint="eastAsia"/>
              </w:rPr>
              <w:t>最不利</w:t>
            </w:r>
          </w:p>
          <w:p w14:paraId="6B4F8761">
            <w:pPr>
              <w:pStyle w:val="62"/>
            </w:pPr>
            <w:r>
              <w:rPr>
                <w:rFonts w:hint="eastAsia"/>
              </w:rPr>
              <w:t>气象</w:t>
            </w:r>
          </w:p>
        </w:tc>
        <w:tc>
          <w:tcPr>
            <w:tcW w:w="1181" w:type="pct"/>
            <w:vAlign w:val="center"/>
          </w:tcPr>
          <w:p w14:paraId="65098142">
            <w:pPr>
              <w:pStyle w:val="62"/>
            </w:pPr>
            <w:r>
              <w:t>毒性终点浓度-1</w:t>
            </w:r>
          </w:p>
        </w:tc>
        <w:tc>
          <w:tcPr>
            <w:tcW w:w="493" w:type="pct"/>
            <w:vAlign w:val="center"/>
          </w:tcPr>
          <w:p w14:paraId="38B0A5E8">
            <w:pPr>
              <w:pStyle w:val="62"/>
            </w:pPr>
            <w:r>
              <w:rPr>
                <w:rFonts w:hint="eastAsia"/>
              </w:rPr>
              <w:t>1600</w:t>
            </w:r>
          </w:p>
        </w:tc>
        <w:tc>
          <w:tcPr>
            <w:tcW w:w="2152" w:type="pct"/>
            <w:gridSpan w:val="4"/>
            <w:vAlign w:val="center"/>
          </w:tcPr>
          <w:p w14:paraId="6BD98274">
            <w:pPr>
              <w:pStyle w:val="62"/>
            </w:pPr>
            <w:r>
              <w:rPr>
                <w:rFonts w:hint="eastAsia"/>
              </w:rPr>
              <w:t>计算浓度均小于此阈值</w:t>
            </w:r>
          </w:p>
        </w:tc>
      </w:tr>
      <w:tr w14:paraId="76988F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9" w:type="pct"/>
            <w:vMerge w:val="continue"/>
            <w:vAlign w:val="center"/>
          </w:tcPr>
          <w:p w14:paraId="38F4E7C4">
            <w:pPr>
              <w:pStyle w:val="62"/>
            </w:pPr>
          </w:p>
        </w:tc>
        <w:tc>
          <w:tcPr>
            <w:tcW w:w="605" w:type="pct"/>
            <w:vMerge w:val="continue"/>
            <w:vAlign w:val="center"/>
          </w:tcPr>
          <w:p w14:paraId="266C2CD0">
            <w:pPr>
              <w:pStyle w:val="62"/>
            </w:pPr>
          </w:p>
        </w:tc>
        <w:tc>
          <w:tcPr>
            <w:tcW w:w="1181" w:type="pct"/>
            <w:vAlign w:val="center"/>
          </w:tcPr>
          <w:p w14:paraId="1EFFDC8A">
            <w:pPr>
              <w:pStyle w:val="62"/>
            </w:pPr>
            <w:r>
              <w:t>毒性终点浓度-2</w:t>
            </w:r>
          </w:p>
        </w:tc>
        <w:tc>
          <w:tcPr>
            <w:tcW w:w="493" w:type="pct"/>
            <w:vAlign w:val="center"/>
          </w:tcPr>
          <w:p w14:paraId="58BC5DB8">
            <w:pPr>
              <w:pStyle w:val="62"/>
            </w:pPr>
            <w:r>
              <w:rPr>
                <w:rFonts w:hint="eastAsia"/>
              </w:rPr>
              <w:t>830</w:t>
            </w:r>
          </w:p>
        </w:tc>
        <w:tc>
          <w:tcPr>
            <w:tcW w:w="2152" w:type="pct"/>
            <w:gridSpan w:val="4"/>
            <w:vAlign w:val="center"/>
          </w:tcPr>
          <w:p w14:paraId="07DE4F65">
            <w:pPr>
              <w:pStyle w:val="62"/>
            </w:pPr>
            <w:r>
              <w:rPr>
                <w:rFonts w:hint="eastAsia"/>
              </w:rPr>
              <w:t>计算浓度均小于此阈值</w:t>
            </w:r>
          </w:p>
        </w:tc>
      </w:tr>
      <w:tr w14:paraId="7394C9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9" w:type="pct"/>
            <w:vMerge w:val="restart"/>
            <w:vAlign w:val="center"/>
          </w:tcPr>
          <w:p w14:paraId="705C0DF4">
            <w:pPr>
              <w:pStyle w:val="62"/>
            </w:pPr>
            <w:r>
              <w:rPr>
                <w:rFonts w:hint="eastAsia"/>
              </w:rPr>
              <w:t>硫酸</w:t>
            </w:r>
          </w:p>
        </w:tc>
        <w:tc>
          <w:tcPr>
            <w:tcW w:w="605" w:type="pct"/>
            <w:vMerge w:val="restart"/>
            <w:vAlign w:val="center"/>
          </w:tcPr>
          <w:p w14:paraId="3CF0781E">
            <w:pPr>
              <w:pStyle w:val="62"/>
            </w:pPr>
            <w:r>
              <w:rPr>
                <w:rFonts w:hint="eastAsia"/>
              </w:rPr>
              <w:t>最不利</w:t>
            </w:r>
          </w:p>
          <w:p w14:paraId="16903DA2">
            <w:pPr>
              <w:pStyle w:val="62"/>
            </w:pPr>
            <w:r>
              <w:rPr>
                <w:rFonts w:hint="eastAsia"/>
              </w:rPr>
              <w:t>气象</w:t>
            </w:r>
          </w:p>
        </w:tc>
        <w:tc>
          <w:tcPr>
            <w:tcW w:w="1181" w:type="pct"/>
            <w:vAlign w:val="center"/>
          </w:tcPr>
          <w:p w14:paraId="36992A39">
            <w:pPr>
              <w:pStyle w:val="62"/>
            </w:pPr>
            <w:r>
              <w:t>毒性终点浓度-1</w:t>
            </w:r>
          </w:p>
        </w:tc>
        <w:tc>
          <w:tcPr>
            <w:tcW w:w="493" w:type="pct"/>
            <w:vAlign w:val="center"/>
          </w:tcPr>
          <w:p w14:paraId="2CF5934A">
            <w:pPr>
              <w:pStyle w:val="62"/>
            </w:pPr>
            <w:r>
              <w:rPr>
                <w:rFonts w:hint="eastAsia"/>
              </w:rPr>
              <w:t>160</w:t>
            </w:r>
          </w:p>
        </w:tc>
        <w:tc>
          <w:tcPr>
            <w:tcW w:w="2152" w:type="pct"/>
            <w:gridSpan w:val="4"/>
            <w:vAlign w:val="center"/>
          </w:tcPr>
          <w:p w14:paraId="3AEB652A">
            <w:pPr>
              <w:pStyle w:val="62"/>
            </w:pPr>
            <w:r>
              <w:rPr>
                <w:rFonts w:hint="eastAsia"/>
              </w:rPr>
              <w:t>计算浓度均小于此阈值</w:t>
            </w:r>
          </w:p>
        </w:tc>
      </w:tr>
      <w:tr w14:paraId="4C5F64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9" w:type="pct"/>
            <w:vMerge w:val="continue"/>
            <w:vAlign w:val="center"/>
          </w:tcPr>
          <w:p w14:paraId="13361FF8">
            <w:pPr>
              <w:pStyle w:val="62"/>
            </w:pPr>
          </w:p>
        </w:tc>
        <w:tc>
          <w:tcPr>
            <w:tcW w:w="605" w:type="pct"/>
            <w:vMerge w:val="continue"/>
            <w:vAlign w:val="center"/>
          </w:tcPr>
          <w:p w14:paraId="1E751F13">
            <w:pPr>
              <w:pStyle w:val="62"/>
            </w:pPr>
          </w:p>
        </w:tc>
        <w:tc>
          <w:tcPr>
            <w:tcW w:w="1181" w:type="pct"/>
            <w:vAlign w:val="center"/>
          </w:tcPr>
          <w:p w14:paraId="0E35D54D">
            <w:pPr>
              <w:pStyle w:val="62"/>
            </w:pPr>
            <w:r>
              <w:t>毒性终点浓度-2</w:t>
            </w:r>
          </w:p>
        </w:tc>
        <w:tc>
          <w:tcPr>
            <w:tcW w:w="493" w:type="pct"/>
            <w:vAlign w:val="center"/>
          </w:tcPr>
          <w:p w14:paraId="4244A3B2">
            <w:pPr>
              <w:pStyle w:val="62"/>
            </w:pPr>
            <w:r>
              <w:rPr>
                <w:rFonts w:hint="eastAsia"/>
              </w:rPr>
              <w:t>8.7</w:t>
            </w:r>
          </w:p>
        </w:tc>
        <w:tc>
          <w:tcPr>
            <w:tcW w:w="2152" w:type="pct"/>
            <w:gridSpan w:val="4"/>
            <w:vAlign w:val="center"/>
          </w:tcPr>
          <w:p w14:paraId="75F4D369">
            <w:pPr>
              <w:pStyle w:val="62"/>
            </w:pPr>
            <w:r>
              <w:rPr>
                <w:rFonts w:hint="eastAsia"/>
              </w:rPr>
              <w:t>计算浓度均小于此阈值</w:t>
            </w:r>
          </w:p>
        </w:tc>
      </w:tr>
    </w:tbl>
    <w:p w14:paraId="7AFF5AAC">
      <w:pPr>
        <w:ind w:firstLine="480"/>
        <w:rPr>
          <w:highlight w:val="yellow"/>
        </w:rPr>
      </w:pPr>
      <w:r>
        <w:rPr>
          <w:rFonts w:hint="eastAsia"/>
        </w:rPr>
        <w:t>泄漏对近距离周边敏感点的浓度-时间曲线及敏感点浓度时间分布表情况如下：</w:t>
      </w:r>
    </w:p>
    <w:p w14:paraId="4608840E">
      <w:pPr>
        <w:pStyle w:val="2"/>
        <w:spacing w:before="156" w:beforeLines="50" w:after="0" w:line="360" w:lineRule="auto"/>
        <w:ind w:firstLine="0" w:firstLineChars="0"/>
        <w:jc w:val="center"/>
        <w:rPr>
          <w:highlight w:val="yellow"/>
        </w:rPr>
      </w:pPr>
      <w:r>
        <w:drawing>
          <wp:inline distT="0" distB="0" distL="0" distR="0">
            <wp:extent cx="4741545" cy="2392680"/>
            <wp:effectExtent l="0" t="0" r="1905" b="7620"/>
            <wp:docPr id="2000918094"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18094" name="图片 1" descr="图表, 折线图&#10;&#10;描述已自动生成"/>
                    <pic:cNvPicPr>
                      <a:picLocks noChangeAspect="1"/>
                    </pic:cNvPicPr>
                  </pic:nvPicPr>
                  <pic:blipFill>
                    <a:blip r:embed="rId152"/>
                    <a:stretch>
                      <a:fillRect/>
                    </a:stretch>
                  </pic:blipFill>
                  <pic:spPr>
                    <a:xfrm>
                      <a:off x="0" y="0"/>
                      <a:ext cx="4741545" cy="2397839"/>
                    </a:xfrm>
                    <a:prstGeom prst="rect">
                      <a:avLst/>
                    </a:prstGeom>
                  </pic:spPr>
                </pic:pic>
              </a:graphicData>
            </a:graphic>
          </wp:inline>
        </w:drawing>
      </w:r>
    </w:p>
    <w:p w14:paraId="571F12EB">
      <w:pPr>
        <w:pStyle w:val="99"/>
        <w:numPr>
          <w:ilvl w:val="4"/>
          <w:numId w:val="47"/>
        </w:numPr>
        <w:ind w:left="0" w:firstLine="0" w:firstLineChars="0"/>
        <w:jc w:val="center"/>
        <w:rPr>
          <w:b/>
          <w:bCs/>
        </w:rPr>
      </w:pPr>
      <w:r>
        <w:rPr>
          <w:rFonts w:hint="eastAsia"/>
          <w:b/>
          <w:bCs/>
        </w:rPr>
        <w:t xml:space="preserve">  硫酸最不利气象敏感点浓度时间分布</w:t>
      </w:r>
    </w:p>
    <w:p w14:paraId="2E99629E">
      <w:pPr>
        <w:pStyle w:val="2"/>
        <w:spacing w:before="156" w:beforeLines="50" w:after="0" w:line="360" w:lineRule="auto"/>
        <w:ind w:firstLine="0" w:firstLineChars="0"/>
        <w:jc w:val="center"/>
        <w:rPr>
          <w:highlight w:val="yellow"/>
        </w:rPr>
      </w:pPr>
      <w:r>
        <w:drawing>
          <wp:inline distT="0" distB="0" distL="0" distR="0">
            <wp:extent cx="4638040" cy="2371725"/>
            <wp:effectExtent l="0" t="0" r="10160" b="9525"/>
            <wp:docPr id="1875517629"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17629" name="图片 1" descr="图表, 折线图&#10;&#10;描述已自动生成"/>
                    <pic:cNvPicPr>
                      <a:picLocks noChangeAspect="1"/>
                    </pic:cNvPicPr>
                  </pic:nvPicPr>
                  <pic:blipFill>
                    <a:blip r:embed="rId153"/>
                    <a:stretch>
                      <a:fillRect/>
                    </a:stretch>
                  </pic:blipFill>
                  <pic:spPr>
                    <a:xfrm>
                      <a:off x="0" y="0"/>
                      <a:ext cx="4638040" cy="2378897"/>
                    </a:xfrm>
                    <a:prstGeom prst="rect">
                      <a:avLst/>
                    </a:prstGeom>
                  </pic:spPr>
                </pic:pic>
              </a:graphicData>
            </a:graphic>
          </wp:inline>
        </w:drawing>
      </w:r>
    </w:p>
    <w:p w14:paraId="0EFB3277">
      <w:pPr>
        <w:pStyle w:val="99"/>
        <w:numPr>
          <w:ilvl w:val="4"/>
          <w:numId w:val="47"/>
        </w:numPr>
        <w:ind w:left="0" w:firstLine="0" w:firstLineChars="0"/>
        <w:jc w:val="center"/>
        <w:rPr>
          <w:b/>
          <w:bCs/>
        </w:rPr>
      </w:pPr>
      <w:r>
        <w:rPr>
          <w:rFonts w:hint="eastAsia"/>
          <w:b/>
          <w:bCs/>
        </w:rPr>
        <w:t xml:space="preserve">  D4（八甲基环四硅氧烷）最不利气象敏感点浓度时间分布</w:t>
      </w:r>
    </w:p>
    <w:p w14:paraId="31AD418B">
      <w:pPr>
        <w:ind w:firstLine="480"/>
        <w:rPr>
          <w:highlight w:val="yellow"/>
        </w:rPr>
        <w:sectPr>
          <w:pgSz w:w="11906" w:h="16838"/>
          <w:pgMar w:top="1440" w:right="1800" w:bottom="1440" w:left="1800" w:header="851" w:footer="992" w:gutter="0"/>
          <w:cols w:space="425" w:num="1"/>
          <w:docGrid w:type="lines" w:linePitch="312" w:charSpace="0"/>
        </w:sectPr>
      </w:pPr>
    </w:p>
    <w:p w14:paraId="6BE14A6B">
      <w:pPr>
        <w:pStyle w:val="99"/>
        <w:numPr>
          <w:ilvl w:val="4"/>
          <w:numId w:val="46"/>
        </w:numPr>
        <w:ind w:left="0" w:firstLine="480"/>
        <w:rPr>
          <w:rFonts w:eastAsia="黑体"/>
          <w:bCs/>
          <w:szCs w:val="24"/>
        </w:rPr>
      </w:pPr>
      <w:r>
        <w:rPr>
          <w:rFonts w:hint="eastAsia" w:eastAsia="黑体"/>
          <w:bCs/>
          <w:szCs w:val="24"/>
        </w:rPr>
        <w:t xml:space="preserve">                           硫酸最不利气象条件下泄漏敏感点浓度时间分布</w:t>
      </w: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 w:type="dxa"/>
          <w:bottom w:w="0" w:type="dxa"/>
          <w:right w:w="11" w:type="dxa"/>
        </w:tblCellMar>
      </w:tblPr>
      <w:tblGrid>
        <w:gridCol w:w="673"/>
        <w:gridCol w:w="1883"/>
        <w:gridCol w:w="2058"/>
        <w:gridCol w:w="1543"/>
        <w:gridCol w:w="1545"/>
        <w:gridCol w:w="1679"/>
        <w:gridCol w:w="1531"/>
        <w:gridCol w:w="1552"/>
        <w:gridCol w:w="1516"/>
      </w:tblGrid>
      <w:tr w14:paraId="11721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7F80B6EE">
            <w:pPr>
              <w:pStyle w:val="2"/>
              <w:spacing w:after="0" w:line="240" w:lineRule="auto"/>
              <w:ind w:firstLine="0" w:firstLineChars="0"/>
              <w:jc w:val="center"/>
              <w:rPr>
                <w:b/>
                <w:bCs/>
                <w:sz w:val="21"/>
                <w:szCs w:val="21"/>
              </w:rPr>
            </w:pPr>
            <w:r>
              <w:rPr>
                <w:rFonts w:hint="eastAsia"/>
                <w:b/>
                <w:bCs/>
                <w:sz w:val="21"/>
                <w:szCs w:val="21"/>
              </w:rPr>
              <w:t>序号</w:t>
            </w:r>
          </w:p>
        </w:tc>
        <w:tc>
          <w:tcPr>
            <w:tcW w:w="1878" w:type="dxa"/>
            <w:vAlign w:val="center"/>
          </w:tcPr>
          <w:p w14:paraId="07F6CD2A">
            <w:pPr>
              <w:pStyle w:val="2"/>
              <w:spacing w:after="0" w:line="240" w:lineRule="auto"/>
              <w:ind w:firstLine="0" w:firstLineChars="0"/>
              <w:jc w:val="center"/>
              <w:rPr>
                <w:b/>
                <w:bCs/>
                <w:sz w:val="21"/>
                <w:szCs w:val="21"/>
              </w:rPr>
            </w:pPr>
            <w:r>
              <w:rPr>
                <w:rFonts w:hint="eastAsia"/>
                <w:b/>
                <w:bCs/>
                <w:sz w:val="21"/>
                <w:szCs w:val="21"/>
              </w:rPr>
              <w:t>名称</w:t>
            </w:r>
          </w:p>
        </w:tc>
        <w:tc>
          <w:tcPr>
            <w:tcW w:w="2052" w:type="dxa"/>
            <w:vAlign w:val="center"/>
          </w:tcPr>
          <w:p w14:paraId="2EDF5B6D">
            <w:pPr>
              <w:pStyle w:val="2"/>
              <w:spacing w:after="0" w:line="240" w:lineRule="auto"/>
              <w:ind w:firstLine="0" w:firstLineChars="0"/>
              <w:jc w:val="center"/>
              <w:rPr>
                <w:b/>
                <w:bCs/>
                <w:sz w:val="21"/>
                <w:szCs w:val="21"/>
              </w:rPr>
            </w:pPr>
            <w:r>
              <w:rPr>
                <w:rFonts w:hint="eastAsia"/>
                <w:b/>
                <w:bCs/>
                <w:sz w:val="21"/>
                <w:szCs w:val="21"/>
              </w:rPr>
              <w:t>最大浓度|时间(min)</w:t>
            </w:r>
          </w:p>
        </w:tc>
        <w:tc>
          <w:tcPr>
            <w:tcW w:w="1538" w:type="dxa"/>
            <w:vAlign w:val="center"/>
          </w:tcPr>
          <w:p w14:paraId="776D6F6E">
            <w:pPr>
              <w:pStyle w:val="2"/>
              <w:spacing w:after="0" w:line="240" w:lineRule="auto"/>
              <w:ind w:firstLine="0" w:firstLineChars="0"/>
              <w:jc w:val="center"/>
              <w:rPr>
                <w:b/>
                <w:bCs/>
                <w:sz w:val="21"/>
                <w:szCs w:val="21"/>
              </w:rPr>
            </w:pPr>
            <w:r>
              <w:rPr>
                <w:rFonts w:hint="eastAsia"/>
                <w:b/>
                <w:bCs/>
                <w:sz w:val="21"/>
                <w:szCs w:val="21"/>
              </w:rPr>
              <w:t>5min</w:t>
            </w:r>
          </w:p>
        </w:tc>
        <w:tc>
          <w:tcPr>
            <w:tcW w:w="1540" w:type="dxa"/>
            <w:vAlign w:val="center"/>
          </w:tcPr>
          <w:p w14:paraId="026816EA">
            <w:pPr>
              <w:pStyle w:val="2"/>
              <w:spacing w:after="0" w:line="240" w:lineRule="auto"/>
              <w:ind w:firstLine="0" w:firstLineChars="0"/>
              <w:jc w:val="center"/>
              <w:rPr>
                <w:b/>
                <w:bCs/>
                <w:sz w:val="21"/>
                <w:szCs w:val="21"/>
              </w:rPr>
            </w:pPr>
            <w:r>
              <w:rPr>
                <w:rFonts w:hint="eastAsia"/>
                <w:b/>
                <w:bCs/>
                <w:sz w:val="21"/>
                <w:szCs w:val="21"/>
              </w:rPr>
              <w:t>10min</w:t>
            </w:r>
          </w:p>
        </w:tc>
        <w:tc>
          <w:tcPr>
            <w:tcW w:w="1674" w:type="dxa"/>
            <w:vAlign w:val="center"/>
          </w:tcPr>
          <w:p w14:paraId="6E43B8E4">
            <w:pPr>
              <w:pStyle w:val="2"/>
              <w:spacing w:after="0" w:line="240" w:lineRule="auto"/>
              <w:ind w:firstLine="0" w:firstLineChars="0"/>
              <w:jc w:val="center"/>
              <w:rPr>
                <w:b/>
                <w:bCs/>
                <w:sz w:val="21"/>
                <w:szCs w:val="21"/>
              </w:rPr>
            </w:pPr>
            <w:r>
              <w:rPr>
                <w:rFonts w:hint="eastAsia"/>
                <w:b/>
                <w:bCs/>
                <w:sz w:val="21"/>
                <w:szCs w:val="21"/>
              </w:rPr>
              <w:t>15min</w:t>
            </w:r>
          </w:p>
        </w:tc>
        <w:tc>
          <w:tcPr>
            <w:tcW w:w="1526" w:type="dxa"/>
            <w:vAlign w:val="center"/>
          </w:tcPr>
          <w:p w14:paraId="3718F147">
            <w:pPr>
              <w:pStyle w:val="2"/>
              <w:spacing w:after="0" w:line="240" w:lineRule="auto"/>
              <w:ind w:firstLine="0" w:firstLineChars="0"/>
              <w:jc w:val="center"/>
              <w:rPr>
                <w:b/>
                <w:bCs/>
                <w:sz w:val="21"/>
                <w:szCs w:val="21"/>
              </w:rPr>
            </w:pPr>
            <w:r>
              <w:rPr>
                <w:rFonts w:hint="eastAsia"/>
                <w:b/>
                <w:bCs/>
                <w:sz w:val="21"/>
                <w:szCs w:val="21"/>
              </w:rPr>
              <w:t>20min</w:t>
            </w:r>
          </w:p>
        </w:tc>
        <w:tc>
          <w:tcPr>
            <w:tcW w:w="1547" w:type="dxa"/>
            <w:vAlign w:val="center"/>
          </w:tcPr>
          <w:p w14:paraId="52ECF14E">
            <w:pPr>
              <w:pStyle w:val="2"/>
              <w:spacing w:after="0" w:line="240" w:lineRule="auto"/>
              <w:ind w:firstLine="0" w:firstLineChars="0"/>
              <w:jc w:val="center"/>
              <w:rPr>
                <w:b/>
                <w:bCs/>
                <w:sz w:val="21"/>
                <w:szCs w:val="21"/>
              </w:rPr>
            </w:pPr>
            <w:r>
              <w:rPr>
                <w:rFonts w:hint="eastAsia"/>
                <w:b/>
                <w:bCs/>
                <w:sz w:val="21"/>
                <w:szCs w:val="21"/>
              </w:rPr>
              <w:t>25min</w:t>
            </w:r>
          </w:p>
        </w:tc>
        <w:tc>
          <w:tcPr>
            <w:tcW w:w="1511" w:type="dxa"/>
            <w:vAlign w:val="center"/>
          </w:tcPr>
          <w:p w14:paraId="037DF023">
            <w:pPr>
              <w:pStyle w:val="2"/>
              <w:spacing w:after="0" w:line="240" w:lineRule="auto"/>
              <w:ind w:firstLine="0" w:firstLineChars="0"/>
              <w:jc w:val="center"/>
              <w:rPr>
                <w:b/>
                <w:bCs/>
                <w:sz w:val="21"/>
                <w:szCs w:val="21"/>
              </w:rPr>
            </w:pPr>
            <w:r>
              <w:rPr>
                <w:rFonts w:hint="eastAsia"/>
                <w:b/>
                <w:bCs/>
                <w:sz w:val="21"/>
                <w:szCs w:val="21"/>
              </w:rPr>
              <w:t>30min</w:t>
            </w:r>
          </w:p>
        </w:tc>
      </w:tr>
      <w:tr w14:paraId="5DC0A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7B8565BC">
            <w:pPr>
              <w:pStyle w:val="2"/>
              <w:spacing w:after="0" w:line="240" w:lineRule="auto"/>
              <w:ind w:firstLine="0" w:firstLineChars="0"/>
              <w:jc w:val="center"/>
              <w:rPr>
                <w:sz w:val="21"/>
                <w:szCs w:val="21"/>
              </w:rPr>
            </w:pPr>
            <w:r>
              <w:rPr>
                <w:rFonts w:hint="eastAsia"/>
                <w:sz w:val="21"/>
                <w:szCs w:val="21"/>
              </w:rPr>
              <w:t>1</w:t>
            </w:r>
          </w:p>
        </w:tc>
        <w:tc>
          <w:tcPr>
            <w:tcW w:w="1878" w:type="dxa"/>
            <w:vAlign w:val="center"/>
          </w:tcPr>
          <w:p w14:paraId="479CD2B6">
            <w:pPr>
              <w:pStyle w:val="2"/>
              <w:spacing w:after="0" w:line="240" w:lineRule="auto"/>
              <w:ind w:firstLine="0" w:firstLineChars="0"/>
              <w:jc w:val="center"/>
              <w:rPr>
                <w:sz w:val="21"/>
                <w:szCs w:val="21"/>
              </w:rPr>
            </w:pPr>
            <w:r>
              <w:rPr>
                <w:rFonts w:hint="eastAsia"/>
                <w:sz w:val="21"/>
                <w:szCs w:val="21"/>
              </w:rPr>
              <w:t>代庄村</w:t>
            </w:r>
          </w:p>
        </w:tc>
        <w:tc>
          <w:tcPr>
            <w:tcW w:w="2052" w:type="dxa"/>
            <w:vAlign w:val="center"/>
          </w:tcPr>
          <w:p w14:paraId="64A4D283">
            <w:pPr>
              <w:pStyle w:val="2"/>
              <w:spacing w:after="0" w:line="240" w:lineRule="auto"/>
              <w:ind w:firstLine="0" w:firstLineChars="0"/>
              <w:jc w:val="center"/>
              <w:rPr>
                <w:sz w:val="21"/>
                <w:szCs w:val="21"/>
              </w:rPr>
            </w:pPr>
            <w:r>
              <w:rPr>
                <w:rFonts w:hint="eastAsia"/>
                <w:sz w:val="21"/>
                <w:szCs w:val="21"/>
              </w:rPr>
              <w:t>5.54E-08</w:t>
            </w:r>
            <w:r>
              <w:rPr>
                <w:rFonts w:hint="eastAsia"/>
                <w:b/>
                <w:bCs/>
                <w:sz w:val="21"/>
                <w:szCs w:val="21"/>
              </w:rPr>
              <w:t>|10</w:t>
            </w:r>
          </w:p>
        </w:tc>
        <w:tc>
          <w:tcPr>
            <w:tcW w:w="1538" w:type="dxa"/>
            <w:vAlign w:val="center"/>
          </w:tcPr>
          <w:p w14:paraId="5D7A1E79">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7BB27D09">
            <w:pPr>
              <w:pStyle w:val="2"/>
              <w:spacing w:after="0" w:line="240" w:lineRule="auto"/>
              <w:ind w:firstLine="0" w:firstLineChars="0"/>
              <w:jc w:val="center"/>
              <w:rPr>
                <w:sz w:val="21"/>
                <w:szCs w:val="21"/>
              </w:rPr>
            </w:pPr>
            <w:r>
              <w:rPr>
                <w:rFonts w:hint="eastAsia"/>
                <w:sz w:val="21"/>
                <w:szCs w:val="21"/>
              </w:rPr>
              <w:t>5.54E-08</w:t>
            </w:r>
          </w:p>
        </w:tc>
        <w:tc>
          <w:tcPr>
            <w:tcW w:w="1674" w:type="dxa"/>
            <w:vAlign w:val="center"/>
          </w:tcPr>
          <w:p w14:paraId="0973C2DA">
            <w:pPr>
              <w:pStyle w:val="2"/>
              <w:spacing w:after="0" w:line="240" w:lineRule="auto"/>
              <w:ind w:firstLine="0" w:firstLineChars="0"/>
              <w:jc w:val="center"/>
              <w:rPr>
                <w:sz w:val="21"/>
                <w:szCs w:val="21"/>
              </w:rPr>
            </w:pPr>
            <w:r>
              <w:rPr>
                <w:rFonts w:hint="eastAsia"/>
                <w:sz w:val="21"/>
                <w:szCs w:val="21"/>
              </w:rPr>
              <w:t>5.54E-08</w:t>
            </w:r>
          </w:p>
        </w:tc>
        <w:tc>
          <w:tcPr>
            <w:tcW w:w="1526" w:type="dxa"/>
            <w:vAlign w:val="center"/>
          </w:tcPr>
          <w:p w14:paraId="3906CCFC">
            <w:pPr>
              <w:pStyle w:val="2"/>
              <w:spacing w:after="0" w:line="240" w:lineRule="auto"/>
              <w:ind w:firstLine="0" w:firstLineChars="0"/>
              <w:jc w:val="center"/>
              <w:rPr>
                <w:sz w:val="21"/>
                <w:szCs w:val="21"/>
              </w:rPr>
            </w:pPr>
            <w:r>
              <w:rPr>
                <w:rFonts w:hint="eastAsia"/>
                <w:sz w:val="21"/>
                <w:szCs w:val="21"/>
              </w:rPr>
              <w:t>5.09E-08</w:t>
            </w:r>
          </w:p>
        </w:tc>
        <w:tc>
          <w:tcPr>
            <w:tcW w:w="1547" w:type="dxa"/>
            <w:vAlign w:val="center"/>
          </w:tcPr>
          <w:p w14:paraId="54F2A455">
            <w:pPr>
              <w:pStyle w:val="2"/>
              <w:spacing w:after="0" w:line="240" w:lineRule="auto"/>
              <w:ind w:firstLine="0" w:firstLineChars="0"/>
              <w:jc w:val="center"/>
              <w:rPr>
                <w:sz w:val="21"/>
                <w:szCs w:val="21"/>
              </w:rPr>
            </w:pPr>
            <w:r>
              <w:rPr>
                <w:rFonts w:hint="eastAsia"/>
                <w:sz w:val="21"/>
                <w:szCs w:val="21"/>
              </w:rPr>
              <w:t>9.37E-09</w:t>
            </w:r>
          </w:p>
        </w:tc>
        <w:tc>
          <w:tcPr>
            <w:tcW w:w="1511" w:type="dxa"/>
            <w:vAlign w:val="center"/>
          </w:tcPr>
          <w:p w14:paraId="592AE5D9">
            <w:pPr>
              <w:pStyle w:val="2"/>
              <w:spacing w:after="0" w:line="240" w:lineRule="auto"/>
              <w:ind w:firstLine="0" w:firstLineChars="0"/>
              <w:jc w:val="center"/>
              <w:rPr>
                <w:sz w:val="21"/>
                <w:szCs w:val="21"/>
              </w:rPr>
            </w:pPr>
            <w:r>
              <w:rPr>
                <w:rFonts w:hint="eastAsia"/>
                <w:sz w:val="21"/>
                <w:szCs w:val="21"/>
              </w:rPr>
              <w:t>2.45E-11</w:t>
            </w:r>
          </w:p>
        </w:tc>
      </w:tr>
      <w:tr w14:paraId="53237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60299F68">
            <w:pPr>
              <w:pStyle w:val="2"/>
              <w:spacing w:after="0" w:line="240" w:lineRule="auto"/>
              <w:ind w:firstLine="0" w:firstLineChars="0"/>
              <w:jc w:val="center"/>
              <w:rPr>
                <w:sz w:val="21"/>
                <w:szCs w:val="21"/>
              </w:rPr>
            </w:pPr>
            <w:r>
              <w:rPr>
                <w:rFonts w:hint="eastAsia"/>
                <w:sz w:val="21"/>
                <w:szCs w:val="21"/>
              </w:rPr>
              <w:t>2</w:t>
            </w:r>
          </w:p>
        </w:tc>
        <w:tc>
          <w:tcPr>
            <w:tcW w:w="1878" w:type="dxa"/>
            <w:vAlign w:val="center"/>
          </w:tcPr>
          <w:p w14:paraId="37D539F7">
            <w:pPr>
              <w:pStyle w:val="2"/>
              <w:spacing w:after="0" w:line="240" w:lineRule="auto"/>
              <w:ind w:firstLine="0" w:firstLineChars="0"/>
              <w:jc w:val="center"/>
              <w:rPr>
                <w:sz w:val="21"/>
                <w:szCs w:val="21"/>
              </w:rPr>
            </w:pPr>
            <w:r>
              <w:rPr>
                <w:rFonts w:hint="eastAsia"/>
                <w:sz w:val="21"/>
                <w:szCs w:val="21"/>
              </w:rPr>
              <w:t>仁里屯村</w:t>
            </w:r>
          </w:p>
        </w:tc>
        <w:tc>
          <w:tcPr>
            <w:tcW w:w="2052" w:type="dxa"/>
            <w:vAlign w:val="center"/>
          </w:tcPr>
          <w:p w14:paraId="12A4087C">
            <w:pPr>
              <w:pStyle w:val="2"/>
              <w:spacing w:after="0" w:line="240" w:lineRule="auto"/>
              <w:ind w:firstLine="0" w:firstLineChars="0"/>
              <w:jc w:val="center"/>
              <w:rPr>
                <w:sz w:val="21"/>
                <w:szCs w:val="21"/>
              </w:rPr>
            </w:pPr>
            <w:r>
              <w:rPr>
                <w:rFonts w:hint="eastAsia"/>
                <w:sz w:val="21"/>
                <w:szCs w:val="21"/>
              </w:rPr>
              <w:t>1.06E-04</w:t>
            </w:r>
            <w:r>
              <w:rPr>
                <w:rFonts w:hint="eastAsia"/>
                <w:b/>
                <w:bCs/>
                <w:sz w:val="21"/>
                <w:szCs w:val="21"/>
              </w:rPr>
              <w:t>|10</w:t>
            </w:r>
          </w:p>
        </w:tc>
        <w:tc>
          <w:tcPr>
            <w:tcW w:w="1538" w:type="dxa"/>
            <w:vAlign w:val="center"/>
          </w:tcPr>
          <w:p w14:paraId="64606D15">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4D297384">
            <w:pPr>
              <w:pStyle w:val="2"/>
              <w:spacing w:after="0" w:line="240" w:lineRule="auto"/>
              <w:ind w:firstLine="0" w:firstLineChars="0"/>
              <w:jc w:val="center"/>
              <w:rPr>
                <w:sz w:val="21"/>
                <w:szCs w:val="21"/>
              </w:rPr>
            </w:pPr>
            <w:r>
              <w:rPr>
                <w:rFonts w:hint="eastAsia"/>
                <w:sz w:val="21"/>
                <w:szCs w:val="21"/>
              </w:rPr>
              <w:t>1.06E-04</w:t>
            </w:r>
          </w:p>
        </w:tc>
        <w:tc>
          <w:tcPr>
            <w:tcW w:w="1674" w:type="dxa"/>
            <w:vAlign w:val="center"/>
          </w:tcPr>
          <w:p w14:paraId="4A41638C">
            <w:pPr>
              <w:pStyle w:val="2"/>
              <w:spacing w:after="0" w:line="240" w:lineRule="auto"/>
              <w:ind w:firstLine="0" w:firstLineChars="0"/>
              <w:jc w:val="center"/>
              <w:rPr>
                <w:sz w:val="21"/>
                <w:szCs w:val="21"/>
              </w:rPr>
            </w:pPr>
            <w:r>
              <w:rPr>
                <w:rFonts w:hint="eastAsia"/>
                <w:sz w:val="21"/>
                <w:szCs w:val="21"/>
              </w:rPr>
              <w:t>1.06E-04</w:t>
            </w:r>
          </w:p>
        </w:tc>
        <w:tc>
          <w:tcPr>
            <w:tcW w:w="1526" w:type="dxa"/>
            <w:vAlign w:val="center"/>
          </w:tcPr>
          <w:p w14:paraId="4994CE78">
            <w:pPr>
              <w:pStyle w:val="2"/>
              <w:spacing w:after="0" w:line="240" w:lineRule="auto"/>
              <w:ind w:firstLine="0" w:firstLineChars="0"/>
              <w:jc w:val="center"/>
              <w:rPr>
                <w:sz w:val="21"/>
                <w:szCs w:val="21"/>
              </w:rPr>
            </w:pPr>
            <w:r>
              <w:rPr>
                <w:rFonts w:hint="eastAsia"/>
                <w:sz w:val="21"/>
                <w:szCs w:val="21"/>
              </w:rPr>
              <w:t>9.49E-05</w:t>
            </w:r>
          </w:p>
        </w:tc>
        <w:tc>
          <w:tcPr>
            <w:tcW w:w="1547" w:type="dxa"/>
            <w:vAlign w:val="center"/>
          </w:tcPr>
          <w:p w14:paraId="6CC1BEE9">
            <w:pPr>
              <w:pStyle w:val="2"/>
              <w:spacing w:after="0" w:line="240" w:lineRule="auto"/>
              <w:ind w:firstLine="0" w:firstLineChars="0"/>
              <w:jc w:val="center"/>
              <w:rPr>
                <w:sz w:val="21"/>
                <w:szCs w:val="21"/>
              </w:rPr>
            </w:pPr>
            <w:r>
              <w:rPr>
                <w:rFonts w:hint="eastAsia"/>
                <w:sz w:val="21"/>
                <w:szCs w:val="21"/>
              </w:rPr>
              <w:t>1.20E-05</w:t>
            </w:r>
          </w:p>
        </w:tc>
        <w:tc>
          <w:tcPr>
            <w:tcW w:w="1511" w:type="dxa"/>
            <w:vAlign w:val="center"/>
          </w:tcPr>
          <w:p w14:paraId="1EF90AE3">
            <w:pPr>
              <w:pStyle w:val="2"/>
              <w:spacing w:after="0" w:line="240" w:lineRule="auto"/>
              <w:ind w:firstLine="0" w:firstLineChars="0"/>
              <w:jc w:val="center"/>
              <w:rPr>
                <w:sz w:val="21"/>
                <w:szCs w:val="21"/>
              </w:rPr>
            </w:pPr>
            <w:r>
              <w:rPr>
                <w:rFonts w:hint="eastAsia"/>
                <w:sz w:val="21"/>
                <w:szCs w:val="21"/>
              </w:rPr>
              <w:t>9.77E-09</w:t>
            </w:r>
          </w:p>
        </w:tc>
      </w:tr>
      <w:tr w14:paraId="28C4F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11DEBA74">
            <w:pPr>
              <w:pStyle w:val="2"/>
              <w:spacing w:after="0" w:line="240" w:lineRule="auto"/>
              <w:ind w:firstLine="0" w:firstLineChars="0"/>
              <w:jc w:val="center"/>
              <w:rPr>
                <w:sz w:val="21"/>
                <w:szCs w:val="21"/>
              </w:rPr>
            </w:pPr>
            <w:r>
              <w:rPr>
                <w:rFonts w:hint="eastAsia"/>
                <w:sz w:val="21"/>
                <w:szCs w:val="21"/>
              </w:rPr>
              <w:t>3</w:t>
            </w:r>
          </w:p>
        </w:tc>
        <w:tc>
          <w:tcPr>
            <w:tcW w:w="1878" w:type="dxa"/>
            <w:vAlign w:val="center"/>
          </w:tcPr>
          <w:p w14:paraId="28A3B2C8">
            <w:pPr>
              <w:pStyle w:val="2"/>
              <w:spacing w:after="0" w:line="240" w:lineRule="auto"/>
              <w:ind w:firstLine="0" w:firstLineChars="0"/>
              <w:jc w:val="center"/>
              <w:rPr>
                <w:sz w:val="21"/>
                <w:szCs w:val="21"/>
              </w:rPr>
            </w:pPr>
            <w:r>
              <w:rPr>
                <w:rFonts w:hint="eastAsia"/>
                <w:sz w:val="21"/>
                <w:szCs w:val="21"/>
              </w:rPr>
              <w:t>田庄</w:t>
            </w:r>
            <w:r>
              <w:rPr>
                <w:sz w:val="21"/>
                <w:szCs w:val="21"/>
              </w:rPr>
              <w:t>村</w:t>
            </w:r>
          </w:p>
        </w:tc>
        <w:tc>
          <w:tcPr>
            <w:tcW w:w="2052" w:type="dxa"/>
            <w:vAlign w:val="center"/>
          </w:tcPr>
          <w:p w14:paraId="210CE65E">
            <w:pPr>
              <w:pStyle w:val="2"/>
              <w:spacing w:after="0" w:line="240" w:lineRule="auto"/>
              <w:ind w:firstLine="0" w:firstLineChars="0"/>
              <w:jc w:val="center"/>
              <w:rPr>
                <w:sz w:val="21"/>
                <w:szCs w:val="21"/>
              </w:rPr>
            </w:pPr>
            <w:r>
              <w:rPr>
                <w:rFonts w:hint="eastAsia"/>
                <w:sz w:val="21"/>
                <w:szCs w:val="21"/>
              </w:rPr>
              <w:t>2.87E-07</w:t>
            </w:r>
            <w:r>
              <w:rPr>
                <w:rFonts w:hint="eastAsia"/>
                <w:b/>
                <w:bCs/>
                <w:sz w:val="21"/>
                <w:szCs w:val="21"/>
              </w:rPr>
              <w:t>|15</w:t>
            </w:r>
          </w:p>
        </w:tc>
        <w:tc>
          <w:tcPr>
            <w:tcW w:w="1538" w:type="dxa"/>
            <w:vAlign w:val="center"/>
          </w:tcPr>
          <w:p w14:paraId="1D07A8FD">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64816DF1">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54639901">
            <w:pPr>
              <w:pStyle w:val="2"/>
              <w:spacing w:after="0" w:line="240" w:lineRule="auto"/>
              <w:ind w:firstLine="0" w:firstLineChars="0"/>
              <w:jc w:val="center"/>
              <w:rPr>
                <w:sz w:val="21"/>
                <w:szCs w:val="21"/>
              </w:rPr>
            </w:pPr>
            <w:r>
              <w:rPr>
                <w:rFonts w:hint="eastAsia"/>
                <w:sz w:val="21"/>
                <w:szCs w:val="21"/>
              </w:rPr>
              <w:t>2.87E-07</w:t>
            </w:r>
          </w:p>
        </w:tc>
        <w:tc>
          <w:tcPr>
            <w:tcW w:w="1526" w:type="dxa"/>
            <w:vAlign w:val="center"/>
          </w:tcPr>
          <w:p w14:paraId="0BF1AF22">
            <w:pPr>
              <w:pStyle w:val="2"/>
              <w:spacing w:after="0" w:line="240" w:lineRule="auto"/>
              <w:ind w:firstLine="0" w:firstLineChars="0"/>
              <w:jc w:val="center"/>
              <w:rPr>
                <w:sz w:val="21"/>
                <w:szCs w:val="21"/>
              </w:rPr>
            </w:pPr>
            <w:r>
              <w:rPr>
                <w:rFonts w:hint="eastAsia"/>
                <w:sz w:val="21"/>
                <w:szCs w:val="21"/>
              </w:rPr>
              <w:t>1.98E-07</w:t>
            </w:r>
          </w:p>
        </w:tc>
        <w:tc>
          <w:tcPr>
            <w:tcW w:w="1547" w:type="dxa"/>
            <w:vAlign w:val="center"/>
          </w:tcPr>
          <w:p w14:paraId="51D850D1">
            <w:pPr>
              <w:pStyle w:val="2"/>
              <w:spacing w:after="0" w:line="240" w:lineRule="auto"/>
              <w:ind w:firstLine="0" w:firstLineChars="0"/>
              <w:jc w:val="center"/>
              <w:rPr>
                <w:sz w:val="21"/>
                <w:szCs w:val="21"/>
              </w:rPr>
            </w:pPr>
            <w:r>
              <w:rPr>
                <w:rFonts w:hint="eastAsia"/>
                <w:sz w:val="21"/>
                <w:szCs w:val="21"/>
              </w:rPr>
              <w:t>2.61E-07</w:t>
            </w:r>
          </w:p>
        </w:tc>
        <w:tc>
          <w:tcPr>
            <w:tcW w:w="1511" w:type="dxa"/>
            <w:vAlign w:val="center"/>
          </w:tcPr>
          <w:p w14:paraId="28643EAB">
            <w:pPr>
              <w:pStyle w:val="2"/>
              <w:spacing w:after="0" w:line="240" w:lineRule="auto"/>
              <w:ind w:firstLine="0" w:firstLineChars="0"/>
              <w:jc w:val="center"/>
              <w:rPr>
                <w:sz w:val="21"/>
                <w:szCs w:val="21"/>
              </w:rPr>
            </w:pPr>
            <w:r>
              <w:rPr>
                <w:rFonts w:hint="eastAsia"/>
                <w:sz w:val="21"/>
                <w:szCs w:val="21"/>
              </w:rPr>
              <w:t>2.11E-07</w:t>
            </w:r>
          </w:p>
        </w:tc>
      </w:tr>
      <w:tr w14:paraId="379E2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2890D28F">
            <w:pPr>
              <w:pStyle w:val="2"/>
              <w:spacing w:after="0" w:line="240" w:lineRule="auto"/>
              <w:ind w:firstLine="0" w:firstLineChars="0"/>
              <w:jc w:val="center"/>
              <w:rPr>
                <w:sz w:val="21"/>
                <w:szCs w:val="21"/>
              </w:rPr>
            </w:pPr>
            <w:r>
              <w:rPr>
                <w:rFonts w:hint="eastAsia"/>
                <w:sz w:val="21"/>
                <w:szCs w:val="21"/>
              </w:rPr>
              <w:t>4</w:t>
            </w:r>
          </w:p>
        </w:tc>
        <w:tc>
          <w:tcPr>
            <w:tcW w:w="1878" w:type="dxa"/>
            <w:vAlign w:val="center"/>
          </w:tcPr>
          <w:p w14:paraId="56EA7B75">
            <w:pPr>
              <w:pStyle w:val="2"/>
              <w:spacing w:after="0" w:line="240" w:lineRule="auto"/>
              <w:ind w:firstLine="0" w:firstLineChars="0"/>
              <w:jc w:val="center"/>
              <w:rPr>
                <w:sz w:val="21"/>
                <w:szCs w:val="21"/>
              </w:rPr>
            </w:pPr>
            <w:r>
              <w:rPr>
                <w:rFonts w:hint="eastAsia"/>
                <w:sz w:val="21"/>
                <w:szCs w:val="21"/>
              </w:rPr>
              <w:t>双兰村</w:t>
            </w:r>
          </w:p>
        </w:tc>
        <w:tc>
          <w:tcPr>
            <w:tcW w:w="2052" w:type="dxa"/>
            <w:vAlign w:val="center"/>
          </w:tcPr>
          <w:p w14:paraId="69EB412C">
            <w:pPr>
              <w:pStyle w:val="2"/>
              <w:spacing w:after="0" w:line="240" w:lineRule="auto"/>
              <w:ind w:firstLine="0" w:firstLineChars="0"/>
              <w:jc w:val="center"/>
              <w:rPr>
                <w:sz w:val="21"/>
                <w:szCs w:val="21"/>
              </w:rPr>
            </w:pPr>
            <w:r>
              <w:rPr>
                <w:rFonts w:hint="eastAsia"/>
                <w:sz w:val="21"/>
                <w:szCs w:val="21"/>
              </w:rPr>
              <w:t>4.58E-09</w:t>
            </w:r>
            <w:r>
              <w:rPr>
                <w:rFonts w:hint="eastAsia"/>
                <w:b/>
                <w:bCs/>
                <w:sz w:val="21"/>
                <w:szCs w:val="21"/>
              </w:rPr>
              <w:t>|15</w:t>
            </w:r>
          </w:p>
        </w:tc>
        <w:tc>
          <w:tcPr>
            <w:tcW w:w="1538" w:type="dxa"/>
            <w:vAlign w:val="center"/>
          </w:tcPr>
          <w:p w14:paraId="40EA294D">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4AA55F7C">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454D078A">
            <w:pPr>
              <w:pStyle w:val="2"/>
              <w:spacing w:after="0" w:line="240" w:lineRule="auto"/>
              <w:ind w:firstLine="0" w:firstLineChars="0"/>
              <w:jc w:val="center"/>
              <w:rPr>
                <w:sz w:val="21"/>
                <w:szCs w:val="21"/>
              </w:rPr>
            </w:pPr>
            <w:r>
              <w:rPr>
                <w:rFonts w:hint="eastAsia"/>
                <w:sz w:val="21"/>
                <w:szCs w:val="21"/>
              </w:rPr>
              <w:t>4.58E-09</w:t>
            </w:r>
          </w:p>
        </w:tc>
        <w:tc>
          <w:tcPr>
            <w:tcW w:w="1526" w:type="dxa"/>
            <w:vAlign w:val="center"/>
          </w:tcPr>
          <w:p w14:paraId="37271DC3">
            <w:pPr>
              <w:pStyle w:val="2"/>
              <w:spacing w:after="0" w:line="240" w:lineRule="auto"/>
              <w:ind w:firstLine="0" w:firstLineChars="0"/>
              <w:jc w:val="center"/>
              <w:rPr>
                <w:sz w:val="21"/>
                <w:szCs w:val="21"/>
              </w:rPr>
            </w:pPr>
            <w:r>
              <w:rPr>
                <w:rFonts w:hint="eastAsia"/>
                <w:sz w:val="21"/>
                <w:szCs w:val="21"/>
              </w:rPr>
              <w:t>2.67E-09</w:t>
            </w:r>
          </w:p>
        </w:tc>
        <w:tc>
          <w:tcPr>
            <w:tcW w:w="1547" w:type="dxa"/>
            <w:vAlign w:val="center"/>
          </w:tcPr>
          <w:p w14:paraId="72AD9981">
            <w:pPr>
              <w:pStyle w:val="2"/>
              <w:spacing w:after="0" w:line="240" w:lineRule="auto"/>
              <w:ind w:firstLine="0" w:firstLineChars="0"/>
              <w:jc w:val="center"/>
              <w:rPr>
                <w:sz w:val="21"/>
                <w:szCs w:val="21"/>
              </w:rPr>
            </w:pPr>
            <w:r>
              <w:rPr>
                <w:rFonts w:hint="eastAsia"/>
                <w:sz w:val="21"/>
                <w:szCs w:val="21"/>
              </w:rPr>
              <w:t>3.99E-09</w:t>
            </w:r>
          </w:p>
        </w:tc>
        <w:tc>
          <w:tcPr>
            <w:tcW w:w="1511" w:type="dxa"/>
            <w:vAlign w:val="center"/>
          </w:tcPr>
          <w:p w14:paraId="140FA79F">
            <w:pPr>
              <w:pStyle w:val="2"/>
              <w:spacing w:after="0" w:line="240" w:lineRule="auto"/>
              <w:ind w:firstLine="0" w:firstLineChars="0"/>
              <w:jc w:val="center"/>
              <w:rPr>
                <w:sz w:val="21"/>
                <w:szCs w:val="21"/>
              </w:rPr>
            </w:pPr>
            <w:r>
              <w:rPr>
                <w:rFonts w:hint="eastAsia"/>
                <w:sz w:val="21"/>
                <w:szCs w:val="21"/>
              </w:rPr>
              <w:t>3.63E-09</w:t>
            </w:r>
          </w:p>
        </w:tc>
      </w:tr>
      <w:tr w14:paraId="7088B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4A75E5C8">
            <w:pPr>
              <w:pStyle w:val="2"/>
              <w:spacing w:after="0" w:line="240" w:lineRule="auto"/>
              <w:ind w:firstLine="0" w:firstLineChars="0"/>
              <w:jc w:val="center"/>
              <w:rPr>
                <w:sz w:val="21"/>
                <w:szCs w:val="21"/>
              </w:rPr>
            </w:pPr>
            <w:r>
              <w:rPr>
                <w:rFonts w:hint="eastAsia"/>
                <w:sz w:val="21"/>
                <w:szCs w:val="21"/>
              </w:rPr>
              <w:t>5</w:t>
            </w:r>
          </w:p>
        </w:tc>
        <w:tc>
          <w:tcPr>
            <w:tcW w:w="1878" w:type="dxa"/>
            <w:vAlign w:val="center"/>
          </w:tcPr>
          <w:p w14:paraId="27FD00CD">
            <w:pPr>
              <w:pStyle w:val="2"/>
              <w:spacing w:after="0" w:line="240" w:lineRule="auto"/>
              <w:ind w:firstLine="0" w:firstLineChars="0"/>
              <w:jc w:val="center"/>
              <w:rPr>
                <w:sz w:val="21"/>
                <w:szCs w:val="21"/>
              </w:rPr>
            </w:pPr>
            <w:r>
              <w:rPr>
                <w:rFonts w:hint="eastAsia"/>
                <w:sz w:val="21"/>
                <w:szCs w:val="21"/>
              </w:rPr>
              <w:t>班庄</w:t>
            </w:r>
          </w:p>
        </w:tc>
        <w:tc>
          <w:tcPr>
            <w:tcW w:w="2052" w:type="dxa"/>
            <w:vAlign w:val="center"/>
          </w:tcPr>
          <w:p w14:paraId="7F9C158D">
            <w:pPr>
              <w:pStyle w:val="2"/>
              <w:spacing w:after="0" w:line="240" w:lineRule="auto"/>
              <w:ind w:firstLine="0" w:firstLineChars="0"/>
              <w:jc w:val="center"/>
              <w:rPr>
                <w:sz w:val="21"/>
                <w:szCs w:val="21"/>
              </w:rPr>
            </w:pPr>
            <w:r>
              <w:rPr>
                <w:rFonts w:hint="eastAsia"/>
                <w:sz w:val="21"/>
                <w:szCs w:val="21"/>
              </w:rPr>
              <w:t>3.89E-12</w:t>
            </w:r>
            <w:r>
              <w:rPr>
                <w:rFonts w:hint="eastAsia"/>
                <w:b/>
                <w:bCs/>
                <w:sz w:val="21"/>
                <w:szCs w:val="21"/>
              </w:rPr>
              <w:t>|15</w:t>
            </w:r>
          </w:p>
        </w:tc>
        <w:tc>
          <w:tcPr>
            <w:tcW w:w="1538" w:type="dxa"/>
            <w:vAlign w:val="center"/>
          </w:tcPr>
          <w:p w14:paraId="13D43532">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4669E391">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674C0751">
            <w:pPr>
              <w:pStyle w:val="2"/>
              <w:spacing w:after="0" w:line="240" w:lineRule="auto"/>
              <w:ind w:firstLine="0" w:firstLineChars="0"/>
              <w:jc w:val="center"/>
              <w:rPr>
                <w:sz w:val="21"/>
                <w:szCs w:val="21"/>
              </w:rPr>
            </w:pPr>
            <w:r>
              <w:rPr>
                <w:rFonts w:hint="eastAsia"/>
                <w:sz w:val="21"/>
                <w:szCs w:val="21"/>
              </w:rPr>
              <w:t>3.89E-012</w:t>
            </w:r>
          </w:p>
        </w:tc>
        <w:tc>
          <w:tcPr>
            <w:tcW w:w="1526" w:type="dxa"/>
            <w:vAlign w:val="center"/>
          </w:tcPr>
          <w:p w14:paraId="6AC19FDD">
            <w:pPr>
              <w:pStyle w:val="2"/>
              <w:spacing w:after="0" w:line="240" w:lineRule="auto"/>
              <w:ind w:firstLine="0" w:firstLineChars="0"/>
              <w:jc w:val="center"/>
              <w:rPr>
                <w:sz w:val="21"/>
                <w:szCs w:val="21"/>
              </w:rPr>
            </w:pPr>
            <w:r>
              <w:rPr>
                <w:rFonts w:hint="eastAsia"/>
                <w:sz w:val="21"/>
                <w:szCs w:val="21"/>
              </w:rPr>
              <w:t>3.73E-12</w:t>
            </w:r>
          </w:p>
        </w:tc>
        <w:tc>
          <w:tcPr>
            <w:tcW w:w="1547" w:type="dxa"/>
            <w:vAlign w:val="center"/>
          </w:tcPr>
          <w:p w14:paraId="211EE1A4">
            <w:pPr>
              <w:pStyle w:val="2"/>
              <w:spacing w:after="0" w:line="240" w:lineRule="auto"/>
              <w:ind w:firstLine="0" w:firstLineChars="0"/>
              <w:jc w:val="center"/>
              <w:rPr>
                <w:sz w:val="21"/>
                <w:szCs w:val="21"/>
              </w:rPr>
            </w:pPr>
            <w:r>
              <w:rPr>
                <w:rFonts w:hint="eastAsia"/>
                <w:sz w:val="21"/>
                <w:szCs w:val="21"/>
              </w:rPr>
              <w:t>3.33E-12</w:t>
            </w:r>
          </w:p>
        </w:tc>
        <w:tc>
          <w:tcPr>
            <w:tcW w:w="1511" w:type="dxa"/>
            <w:vAlign w:val="center"/>
          </w:tcPr>
          <w:p w14:paraId="3A33CE93">
            <w:pPr>
              <w:pStyle w:val="2"/>
              <w:spacing w:after="0" w:line="240" w:lineRule="auto"/>
              <w:ind w:firstLine="0" w:firstLineChars="0"/>
              <w:jc w:val="center"/>
              <w:rPr>
                <w:sz w:val="21"/>
                <w:szCs w:val="21"/>
              </w:rPr>
            </w:pPr>
            <w:r>
              <w:rPr>
                <w:rFonts w:hint="eastAsia"/>
                <w:sz w:val="21"/>
                <w:szCs w:val="21"/>
              </w:rPr>
              <w:t>1.41E-07</w:t>
            </w:r>
          </w:p>
        </w:tc>
      </w:tr>
      <w:tr w14:paraId="69924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46EAC2B5">
            <w:pPr>
              <w:pStyle w:val="2"/>
              <w:spacing w:after="0" w:line="240" w:lineRule="auto"/>
              <w:ind w:firstLine="0" w:firstLineChars="0"/>
              <w:jc w:val="center"/>
              <w:rPr>
                <w:sz w:val="21"/>
                <w:szCs w:val="21"/>
              </w:rPr>
            </w:pPr>
            <w:r>
              <w:rPr>
                <w:rFonts w:hint="eastAsia"/>
                <w:sz w:val="21"/>
                <w:szCs w:val="21"/>
              </w:rPr>
              <w:t>6</w:t>
            </w:r>
          </w:p>
        </w:tc>
        <w:tc>
          <w:tcPr>
            <w:tcW w:w="1878" w:type="dxa"/>
            <w:vAlign w:val="center"/>
          </w:tcPr>
          <w:p w14:paraId="373C625C">
            <w:pPr>
              <w:pStyle w:val="2"/>
              <w:spacing w:after="0" w:line="240" w:lineRule="auto"/>
              <w:ind w:firstLine="0" w:firstLineChars="0"/>
              <w:jc w:val="center"/>
              <w:rPr>
                <w:sz w:val="21"/>
                <w:szCs w:val="21"/>
              </w:rPr>
            </w:pPr>
            <w:r>
              <w:rPr>
                <w:rFonts w:hint="eastAsia"/>
                <w:bCs/>
                <w:sz w:val="21"/>
                <w:szCs w:val="21"/>
              </w:rPr>
              <w:t>郭全屯村</w:t>
            </w:r>
          </w:p>
        </w:tc>
        <w:tc>
          <w:tcPr>
            <w:tcW w:w="2052" w:type="dxa"/>
            <w:vAlign w:val="center"/>
          </w:tcPr>
          <w:p w14:paraId="32151EAE">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|15</w:t>
            </w:r>
          </w:p>
        </w:tc>
        <w:tc>
          <w:tcPr>
            <w:tcW w:w="1538" w:type="dxa"/>
            <w:vAlign w:val="center"/>
          </w:tcPr>
          <w:p w14:paraId="58D72EB8">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056A0EE3">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50C9DCC7">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6B278E9D">
            <w:pPr>
              <w:pStyle w:val="2"/>
              <w:spacing w:after="0" w:line="240" w:lineRule="auto"/>
              <w:ind w:firstLine="0" w:firstLineChars="0"/>
              <w:jc w:val="center"/>
              <w:rPr>
                <w:sz w:val="21"/>
                <w:szCs w:val="21"/>
              </w:rPr>
            </w:pPr>
            <w:r>
              <w:rPr>
                <w:rFonts w:hint="eastAsia"/>
                <w:sz w:val="21"/>
                <w:szCs w:val="21"/>
              </w:rPr>
              <w:t>0</w:t>
            </w:r>
          </w:p>
        </w:tc>
        <w:tc>
          <w:tcPr>
            <w:tcW w:w="1547" w:type="dxa"/>
            <w:vAlign w:val="center"/>
          </w:tcPr>
          <w:p w14:paraId="67971272">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6E3B0742">
            <w:pPr>
              <w:pStyle w:val="2"/>
              <w:spacing w:after="0" w:line="240" w:lineRule="auto"/>
              <w:ind w:firstLine="0" w:firstLineChars="0"/>
              <w:jc w:val="center"/>
              <w:rPr>
                <w:sz w:val="21"/>
                <w:szCs w:val="21"/>
              </w:rPr>
            </w:pPr>
            <w:r>
              <w:rPr>
                <w:rFonts w:hint="eastAsia"/>
                <w:sz w:val="21"/>
                <w:szCs w:val="21"/>
              </w:rPr>
              <w:t>0</w:t>
            </w:r>
          </w:p>
        </w:tc>
      </w:tr>
      <w:tr w14:paraId="4BF73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2CE08196">
            <w:pPr>
              <w:pStyle w:val="2"/>
              <w:spacing w:after="0" w:line="240" w:lineRule="auto"/>
              <w:ind w:firstLine="0" w:firstLineChars="0"/>
              <w:jc w:val="center"/>
              <w:rPr>
                <w:sz w:val="21"/>
                <w:szCs w:val="21"/>
              </w:rPr>
            </w:pPr>
            <w:r>
              <w:rPr>
                <w:rFonts w:hint="eastAsia"/>
                <w:sz w:val="21"/>
                <w:szCs w:val="21"/>
              </w:rPr>
              <w:t>7</w:t>
            </w:r>
          </w:p>
        </w:tc>
        <w:tc>
          <w:tcPr>
            <w:tcW w:w="1878" w:type="dxa"/>
            <w:vAlign w:val="center"/>
          </w:tcPr>
          <w:p w14:paraId="3BD82951">
            <w:pPr>
              <w:pStyle w:val="2"/>
              <w:spacing w:after="0" w:line="240" w:lineRule="auto"/>
              <w:ind w:firstLine="0" w:firstLineChars="0"/>
              <w:jc w:val="center"/>
              <w:rPr>
                <w:sz w:val="21"/>
                <w:szCs w:val="21"/>
              </w:rPr>
            </w:pPr>
            <w:r>
              <w:rPr>
                <w:rFonts w:hint="eastAsia"/>
                <w:bCs/>
                <w:sz w:val="21"/>
                <w:szCs w:val="21"/>
              </w:rPr>
              <w:t>郝庄村</w:t>
            </w:r>
          </w:p>
        </w:tc>
        <w:tc>
          <w:tcPr>
            <w:tcW w:w="2052" w:type="dxa"/>
            <w:vAlign w:val="center"/>
          </w:tcPr>
          <w:p w14:paraId="3FBFF916">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|15</w:t>
            </w:r>
          </w:p>
        </w:tc>
        <w:tc>
          <w:tcPr>
            <w:tcW w:w="1538" w:type="dxa"/>
            <w:vAlign w:val="center"/>
          </w:tcPr>
          <w:p w14:paraId="2A8A817B">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51958916">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70B8EBF4">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0140DD1D">
            <w:pPr>
              <w:pStyle w:val="2"/>
              <w:spacing w:after="0" w:line="240" w:lineRule="auto"/>
              <w:ind w:firstLine="0" w:firstLineChars="0"/>
              <w:jc w:val="center"/>
              <w:rPr>
                <w:sz w:val="21"/>
                <w:szCs w:val="21"/>
              </w:rPr>
            </w:pPr>
            <w:r>
              <w:rPr>
                <w:rFonts w:hint="eastAsia"/>
                <w:sz w:val="21"/>
                <w:szCs w:val="21"/>
              </w:rPr>
              <w:t>0</w:t>
            </w:r>
          </w:p>
        </w:tc>
        <w:tc>
          <w:tcPr>
            <w:tcW w:w="1547" w:type="dxa"/>
            <w:vAlign w:val="center"/>
          </w:tcPr>
          <w:p w14:paraId="306F638C">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3C6D6638">
            <w:pPr>
              <w:pStyle w:val="2"/>
              <w:spacing w:after="0" w:line="240" w:lineRule="auto"/>
              <w:ind w:firstLine="0" w:firstLineChars="0"/>
              <w:jc w:val="center"/>
              <w:rPr>
                <w:sz w:val="21"/>
                <w:szCs w:val="21"/>
              </w:rPr>
            </w:pPr>
            <w:r>
              <w:rPr>
                <w:rFonts w:hint="eastAsia"/>
                <w:sz w:val="21"/>
                <w:szCs w:val="21"/>
              </w:rPr>
              <w:t>0</w:t>
            </w:r>
          </w:p>
        </w:tc>
      </w:tr>
      <w:tr w14:paraId="123B9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66E81320">
            <w:pPr>
              <w:pStyle w:val="2"/>
              <w:spacing w:after="0" w:line="240" w:lineRule="auto"/>
              <w:ind w:firstLine="0" w:firstLineChars="0"/>
              <w:jc w:val="center"/>
              <w:rPr>
                <w:sz w:val="21"/>
                <w:szCs w:val="21"/>
              </w:rPr>
            </w:pPr>
            <w:r>
              <w:rPr>
                <w:rFonts w:hint="eastAsia"/>
                <w:sz w:val="21"/>
                <w:szCs w:val="21"/>
              </w:rPr>
              <w:t>8</w:t>
            </w:r>
          </w:p>
        </w:tc>
        <w:tc>
          <w:tcPr>
            <w:tcW w:w="1878" w:type="dxa"/>
            <w:vAlign w:val="center"/>
          </w:tcPr>
          <w:p w14:paraId="7032AF14">
            <w:pPr>
              <w:pStyle w:val="2"/>
              <w:spacing w:after="0" w:line="240" w:lineRule="auto"/>
              <w:ind w:firstLine="0" w:firstLineChars="0"/>
              <w:jc w:val="center"/>
              <w:rPr>
                <w:sz w:val="21"/>
                <w:szCs w:val="21"/>
              </w:rPr>
            </w:pPr>
            <w:r>
              <w:rPr>
                <w:rFonts w:hint="eastAsia"/>
                <w:bCs/>
                <w:sz w:val="21"/>
                <w:szCs w:val="21"/>
              </w:rPr>
              <w:t>阮庄</w:t>
            </w:r>
          </w:p>
        </w:tc>
        <w:tc>
          <w:tcPr>
            <w:tcW w:w="2052" w:type="dxa"/>
            <w:vAlign w:val="center"/>
          </w:tcPr>
          <w:p w14:paraId="115BFAB9">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|15</w:t>
            </w:r>
          </w:p>
        </w:tc>
        <w:tc>
          <w:tcPr>
            <w:tcW w:w="1538" w:type="dxa"/>
            <w:vAlign w:val="center"/>
          </w:tcPr>
          <w:p w14:paraId="6C117761">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2BBF74E4">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6AF4290A">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33D75926">
            <w:pPr>
              <w:pStyle w:val="2"/>
              <w:spacing w:after="0" w:line="240" w:lineRule="auto"/>
              <w:ind w:firstLine="0" w:firstLineChars="0"/>
              <w:jc w:val="center"/>
              <w:rPr>
                <w:sz w:val="21"/>
                <w:szCs w:val="21"/>
              </w:rPr>
            </w:pPr>
            <w:r>
              <w:rPr>
                <w:rFonts w:hint="eastAsia"/>
                <w:sz w:val="21"/>
                <w:szCs w:val="21"/>
              </w:rPr>
              <w:t>0</w:t>
            </w:r>
          </w:p>
        </w:tc>
        <w:tc>
          <w:tcPr>
            <w:tcW w:w="1547" w:type="dxa"/>
            <w:vAlign w:val="center"/>
          </w:tcPr>
          <w:p w14:paraId="6783CBA9">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5A5F39DC">
            <w:pPr>
              <w:pStyle w:val="2"/>
              <w:spacing w:after="0" w:line="240" w:lineRule="auto"/>
              <w:ind w:firstLine="0" w:firstLineChars="0"/>
              <w:jc w:val="center"/>
              <w:rPr>
                <w:sz w:val="21"/>
                <w:szCs w:val="21"/>
              </w:rPr>
            </w:pPr>
            <w:r>
              <w:rPr>
                <w:rFonts w:hint="eastAsia"/>
                <w:sz w:val="21"/>
                <w:szCs w:val="21"/>
              </w:rPr>
              <w:t>0</w:t>
            </w:r>
          </w:p>
        </w:tc>
      </w:tr>
      <w:tr w14:paraId="64D97C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6F23CEF6">
            <w:pPr>
              <w:pStyle w:val="2"/>
              <w:spacing w:after="0" w:line="240" w:lineRule="auto"/>
              <w:ind w:firstLine="0" w:firstLineChars="0"/>
              <w:jc w:val="center"/>
              <w:rPr>
                <w:sz w:val="21"/>
                <w:szCs w:val="21"/>
              </w:rPr>
            </w:pPr>
            <w:r>
              <w:rPr>
                <w:rFonts w:hint="eastAsia"/>
                <w:sz w:val="21"/>
                <w:szCs w:val="21"/>
              </w:rPr>
              <w:t>9</w:t>
            </w:r>
          </w:p>
        </w:tc>
        <w:tc>
          <w:tcPr>
            <w:tcW w:w="1878" w:type="dxa"/>
            <w:vAlign w:val="center"/>
          </w:tcPr>
          <w:p w14:paraId="4BC7A795">
            <w:pPr>
              <w:pStyle w:val="2"/>
              <w:spacing w:after="0" w:line="240" w:lineRule="auto"/>
              <w:ind w:firstLine="0" w:firstLineChars="0"/>
              <w:jc w:val="center"/>
              <w:rPr>
                <w:sz w:val="21"/>
                <w:szCs w:val="21"/>
              </w:rPr>
            </w:pPr>
            <w:r>
              <w:rPr>
                <w:rFonts w:hint="eastAsia"/>
                <w:bCs/>
                <w:sz w:val="21"/>
                <w:szCs w:val="21"/>
              </w:rPr>
              <w:t>八里屯村</w:t>
            </w:r>
          </w:p>
        </w:tc>
        <w:tc>
          <w:tcPr>
            <w:tcW w:w="2052" w:type="dxa"/>
            <w:vAlign w:val="center"/>
          </w:tcPr>
          <w:p w14:paraId="320EE5B8">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|15</w:t>
            </w:r>
          </w:p>
        </w:tc>
        <w:tc>
          <w:tcPr>
            <w:tcW w:w="1538" w:type="dxa"/>
            <w:vAlign w:val="center"/>
          </w:tcPr>
          <w:p w14:paraId="42E7F084">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5702CCB2">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2173B337">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6EAF03B1">
            <w:pPr>
              <w:pStyle w:val="2"/>
              <w:spacing w:after="0" w:line="240" w:lineRule="auto"/>
              <w:ind w:firstLine="0" w:firstLineChars="0"/>
              <w:jc w:val="center"/>
              <w:rPr>
                <w:sz w:val="21"/>
                <w:szCs w:val="21"/>
              </w:rPr>
            </w:pPr>
            <w:r>
              <w:rPr>
                <w:rFonts w:hint="eastAsia"/>
                <w:sz w:val="21"/>
                <w:szCs w:val="21"/>
              </w:rPr>
              <w:t>0</w:t>
            </w:r>
          </w:p>
        </w:tc>
        <w:tc>
          <w:tcPr>
            <w:tcW w:w="1547" w:type="dxa"/>
            <w:vAlign w:val="center"/>
          </w:tcPr>
          <w:p w14:paraId="4B2D9EC7">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30310D56">
            <w:pPr>
              <w:pStyle w:val="2"/>
              <w:spacing w:after="0" w:line="240" w:lineRule="auto"/>
              <w:ind w:firstLine="0" w:firstLineChars="0"/>
              <w:jc w:val="center"/>
              <w:rPr>
                <w:sz w:val="21"/>
                <w:szCs w:val="21"/>
              </w:rPr>
            </w:pPr>
            <w:r>
              <w:rPr>
                <w:rFonts w:hint="eastAsia"/>
                <w:sz w:val="21"/>
                <w:szCs w:val="21"/>
              </w:rPr>
              <w:t>0</w:t>
            </w:r>
          </w:p>
        </w:tc>
      </w:tr>
      <w:tr w14:paraId="5A064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34AD2EC9">
            <w:pPr>
              <w:pStyle w:val="2"/>
              <w:spacing w:after="0" w:line="240" w:lineRule="auto"/>
              <w:ind w:firstLine="0" w:firstLineChars="0"/>
              <w:jc w:val="center"/>
              <w:rPr>
                <w:sz w:val="21"/>
                <w:szCs w:val="21"/>
              </w:rPr>
            </w:pPr>
            <w:r>
              <w:rPr>
                <w:rFonts w:hint="eastAsia"/>
                <w:sz w:val="21"/>
                <w:szCs w:val="21"/>
              </w:rPr>
              <w:t>10</w:t>
            </w:r>
          </w:p>
        </w:tc>
        <w:tc>
          <w:tcPr>
            <w:tcW w:w="1878" w:type="dxa"/>
            <w:vAlign w:val="center"/>
          </w:tcPr>
          <w:p w14:paraId="72E8A213">
            <w:pPr>
              <w:pStyle w:val="2"/>
              <w:spacing w:after="0" w:line="240" w:lineRule="auto"/>
              <w:ind w:firstLine="0" w:firstLineChars="0"/>
              <w:jc w:val="center"/>
              <w:rPr>
                <w:sz w:val="21"/>
                <w:szCs w:val="21"/>
              </w:rPr>
            </w:pPr>
            <w:r>
              <w:rPr>
                <w:rFonts w:hint="eastAsia"/>
                <w:bCs/>
                <w:sz w:val="21"/>
                <w:szCs w:val="21"/>
              </w:rPr>
              <w:t>电机厂家属院</w:t>
            </w:r>
          </w:p>
        </w:tc>
        <w:tc>
          <w:tcPr>
            <w:tcW w:w="2052" w:type="dxa"/>
            <w:vAlign w:val="center"/>
          </w:tcPr>
          <w:p w14:paraId="4DDF0D08">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|15</w:t>
            </w:r>
          </w:p>
        </w:tc>
        <w:tc>
          <w:tcPr>
            <w:tcW w:w="1538" w:type="dxa"/>
            <w:vAlign w:val="center"/>
          </w:tcPr>
          <w:p w14:paraId="707BD17D">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59209F78">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5392B08F">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3D8C425B">
            <w:pPr>
              <w:pStyle w:val="2"/>
              <w:spacing w:after="0" w:line="240" w:lineRule="auto"/>
              <w:ind w:firstLine="0" w:firstLineChars="0"/>
              <w:jc w:val="center"/>
              <w:rPr>
                <w:sz w:val="21"/>
                <w:szCs w:val="21"/>
              </w:rPr>
            </w:pPr>
            <w:r>
              <w:rPr>
                <w:rFonts w:hint="eastAsia"/>
                <w:sz w:val="21"/>
                <w:szCs w:val="21"/>
              </w:rPr>
              <w:t>0</w:t>
            </w:r>
          </w:p>
        </w:tc>
        <w:tc>
          <w:tcPr>
            <w:tcW w:w="1547" w:type="dxa"/>
            <w:vAlign w:val="center"/>
          </w:tcPr>
          <w:p w14:paraId="48DA5FD2">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7C9ACF0E">
            <w:pPr>
              <w:pStyle w:val="2"/>
              <w:spacing w:after="0" w:line="240" w:lineRule="auto"/>
              <w:ind w:firstLine="0" w:firstLineChars="0"/>
              <w:jc w:val="center"/>
              <w:rPr>
                <w:sz w:val="21"/>
                <w:szCs w:val="21"/>
              </w:rPr>
            </w:pPr>
            <w:r>
              <w:rPr>
                <w:rFonts w:hint="eastAsia"/>
                <w:sz w:val="21"/>
                <w:szCs w:val="21"/>
              </w:rPr>
              <w:t>0</w:t>
            </w:r>
          </w:p>
        </w:tc>
      </w:tr>
      <w:tr w14:paraId="3B311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226BCFA1">
            <w:pPr>
              <w:pStyle w:val="2"/>
              <w:spacing w:after="0" w:line="240" w:lineRule="auto"/>
              <w:ind w:firstLine="0" w:firstLineChars="0"/>
              <w:jc w:val="center"/>
              <w:rPr>
                <w:sz w:val="21"/>
                <w:szCs w:val="21"/>
              </w:rPr>
            </w:pPr>
            <w:r>
              <w:rPr>
                <w:rFonts w:hint="eastAsia"/>
                <w:sz w:val="21"/>
                <w:szCs w:val="21"/>
              </w:rPr>
              <w:t>11</w:t>
            </w:r>
          </w:p>
        </w:tc>
        <w:tc>
          <w:tcPr>
            <w:tcW w:w="1878" w:type="dxa"/>
            <w:vAlign w:val="center"/>
          </w:tcPr>
          <w:p w14:paraId="1D090EFC">
            <w:pPr>
              <w:pStyle w:val="2"/>
              <w:spacing w:after="0" w:line="240" w:lineRule="auto"/>
              <w:ind w:firstLine="0" w:firstLineChars="0"/>
              <w:jc w:val="center"/>
              <w:rPr>
                <w:sz w:val="21"/>
                <w:szCs w:val="21"/>
              </w:rPr>
            </w:pPr>
            <w:r>
              <w:rPr>
                <w:rFonts w:hint="eastAsia"/>
                <w:bCs/>
                <w:sz w:val="21"/>
                <w:szCs w:val="21"/>
              </w:rPr>
              <w:t>天和 龙岸北郡</w:t>
            </w:r>
          </w:p>
        </w:tc>
        <w:tc>
          <w:tcPr>
            <w:tcW w:w="2052" w:type="dxa"/>
            <w:vAlign w:val="center"/>
          </w:tcPr>
          <w:p w14:paraId="647FE3CF">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|15</w:t>
            </w:r>
          </w:p>
        </w:tc>
        <w:tc>
          <w:tcPr>
            <w:tcW w:w="1538" w:type="dxa"/>
            <w:vAlign w:val="center"/>
          </w:tcPr>
          <w:p w14:paraId="524B9A22">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3964DA4D">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6D178E8B">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3BC44AC8">
            <w:pPr>
              <w:pStyle w:val="2"/>
              <w:spacing w:after="0" w:line="240" w:lineRule="auto"/>
              <w:ind w:firstLine="0" w:firstLineChars="0"/>
              <w:jc w:val="center"/>
              <w:rPr>
                <w:sz w:val="21"/>
                <w:szCs w:val="21"/>
              </w:rPr>
            </w:pPr>
            <w:r>
              <w:rPr>
                <w:rFonts w:hint="eastAsia"/>
                <w:sz w:val="21"/>
                <w:szCs w:val="21"/>
              </w:rPr>
              <w:t>0</w:t>
            </w:r>
          </w:p>
        </w:tc>
        <w:tc>
          <w:tcPr>
            <w:tcW w:w="1547" w:type="dxa"/>
            <w:vAlign w:val="center"/>
          </w:tcPr>
          <w:p w14:paraId="74759DDD">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5F3624DD">
            <w:pPr>
              <w:pStyle w:val="2"/>
              <w:spacing w:after="0" w:line="240" w:lineRule="auto"/>
              <w:ind w:firstLine="0" w:firstLineChars="0"/>
              <w:jc w:val="center"/>
              <w:rPr>
                <w:sz w:val="21"/>
                <w:szCs w:val="21"/>
              </w:rPr>
            </w:pPr>
            <w:r>
              <w:rPr>
                <w:rFonts w:hint="eastAsia"/>
                <w:sz w:val="21"/>
                <w:szCs w:val="21"/>
              </w:rPr>
              <w:t>0</w:t>
            </w:r>
          </w:p>
        </w:tc>
      </w:tr>
      <w:tr w14:paraId="0B0E3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5CFEDB7A">
            <w:pPr>
              <w:pStyle w:val="2"/>
              <w:spacing w:after="0" w:line="240" w:lineRule="auto"/>
              <w:ind w:firstLine="0" w:firstLineChars="0"/>
              <w:jc w:val="center"/>
              <w:rPr>
                <w:sz w:val="21"/>
                <w:szCs w:val="21"/>
              </w:rPr>
            </w:pPr>
            <w:r>
              <w:rPr>
                <w:rFonts w:hint="eastAsia"/>
                <w:sz w:val="21"/>
                <w:szCs w:val="21"/>
              </w:rPr>
              <w:t>12</w:t>
            </w:r>
          </w:p>
        </w:tc>
        <w:tc>
          <w:tcPr>
            <w:tcW w:w="1878" w:type="dxa"/>
            <w:vAlign w:val="center"/>
          </w:tcPr>
          <w:p w14:paraId="3836CCE2">
            <w:pPr>
              <w:pStyle w:val="2"/>
              <w:spacing w:after="0" w:line="240" w:lineRule="auto"/>
              <w:ind w:firstLine="0" w:firstLineChars="0"/>
              <w:jc w:val="center"/>
              <w:rPr>
                <w:sz w:val="21"/>
                <w:szCs w:val="21"/>
              </w:rPr>
            </w:pPr>
            <w:r>
              <w:rPr>
                <w:rFonts w:hint="eastAsia"/>
                <w:bCs/>
                <w:sz w:val="21"/>
                <w:szCs w:val="21"/>
              </w:rPr>
              <w:t>辛庄村</w:t>
            </w:r>
          </w:p>
        </w:tc>
        <w:tc>
          <w:tcPr>
            <w:tcW w:w="2052" w:type="dxa"/>
            <w:vAlign w:val="center"/>
          </w:tcPr>
          <w:p w14:paraId="0EE402A0">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|15</w:t>
            </w:r>
          </w:p>
        </w:tc>
        <w:tc>
          <w:tcPr>
            <w:tcW w:w="1538" w:type="dxa"/>
            <w:vAlign w:val="center"/>
          </w:tcPr>
          <w:p w14:paraId="326FE868">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0A33B5AD">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7CCD63CB">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6E7A5A8E">
            <w:pPr>
              <w:pStyle w:val="2"/>
              <w:spacing w:after="0" w:line="240" w:lineRule="auto"/>
              <w:ind w:firstLine="0" w:firstLineChars="0"/>
              <w:jc w:val="center"/>
              <w:rPr>
                <w:sz w:val="21"/>
                <w:szCs w:val="21"/>
              </w:rPr>
            </w:pPr>
            <w:r>
              <w:rPr>
                <w:rFonts w:hint="eastAsia"/>
                <w:sz w:val="21"/>
                <w:szCs w:val="21"/>
              </w:rPr>
              <w:t>0</w:t>
            </w:r>
          </w:p>
        </w:tc>
        <w:tc>
          <w:tcPr>
            <w:tcW w:w="1547" w:type="dxa"/>
            <w:vAlign w:val="center"/>
          </w:tcPr>
          <w:p w14:paraId="66F0E482">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427B30DC">
            <w:pPr>
              <w:pStyle w:val="2"/>
              <w:spacing w:after="0" w:line="240" w:lineRule="auto"/>
              <w:ind w:firstLine="0" w:firstLineChars="0"/>
              <w:jc w:val="center"/>
              <w:rPr>
                <w:sz w:val="21"/>
                <w:szCs w:val="21"/>
              </w:rPr>
            </w:pPr>
            <w:r>
              <w:rPr>
                <w:rFonts w:hint="eastAsia"/>
                <w:sz w:val="21"/>
                <w:szCs w:val="21"/>
              </w:rPr>
              <w:t>0</w:t>
            </w:r>
          </w:p>
        </w:tc>
      </w:tr>
      <w:tr w14:paraId="4EDAA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2C4FC0FB">
            <w:pPr>
              <w:pStyle w:val="2"/>
              <w:spacing w:after="0" w:line="240" w:lineRule="auto"/>
              <w:ind w:firstLine="0" w:firstLineChars="0"/>
              <w:jc w:val="center"/>
              <w:rPr>
                <w:sz w:val="21"/>
                <w:szCs w:val="21"/>
              </w:rPr>
            </w:pPr>
            <w:r>
              <w:rPr>
                <w:rFonts w:hint="eastAsia"/>
                <w:sz w:val="21"/>
                <w:szCs w:val="21"/>
              </w:rPr>
              <w:t>13</w:t>
            </w:r>
          </w:p>
        </w:tc>
        <w:tc>
          <w:tcPr>
            <w:tcW w:w="1878" w:type="dxa"/>
            <w:vAlign w:val="center"/>
          </w:tcPr>
          <w:p w14:paraId="0AAB1695">
            <w:pPr>
              <w:pStyle w:val="2"/>
              <w:spacing w:after="0" w:line="240" w:lineRule="auto"/>
              <w:ind w:firstLine="0" w:firstLineChars="0"/>
              <w:jc w:val="center"/>
              <w:rPr>
                <w:sz w:val="21"/>
                <w:szCs w:val="21"/>
              </w:rPr>
            </w:pPr>
            <w:r>
              <w:rPr>
                <w:rFonts w:hint="eastAsia"/>
                <w:sz w:val="21"/>
                <w:szCs w:val="21"/>
              </w:rPr>
              <w:t>卫辉市区</w:t>
            </w:r>
          </w:p>
        </w:tc>
        <w:tc>
          <w:tcPr>
            <w:tcW w:w="2052" w:type="dxa"/>
            <w:vAlign w:val="center"/>
          </w:tcPr>
          <w:p w14:paraId="12C9134F">
            <w:pPr>
              <w:pStyle w:val="2"/>
              <w:spacing w:after="0" w:line="240" w:lineRule="auto"/>
              <w:ind w:firstLine="0" w:firstLineChars="0"/>
              <w:jc w:val="center"/>
              <w:rPr>
                <w:sz w:val="21"/>
                <w:szCs w:val="21"/>
              </w:rPr>
            </w:pPr>
            <w:r>
              <w:rPr>
                <w:rFonts w:hint="eastAsia"/>
                <w:sz w:val="21"/>
                <w:szCs w:val="21"/>
              </w:rPr>
              <w:t>9.97E-31</w:t>
            </w:r>
            <w:r>
              <w:rPr>
                <w:rFonts w:hint="eastAsia"/>
                <w:b/>
                <w:bCs/>
                <w:sz w:val="21"/>
                <w:szCs w:val="21"/>
              </w:rPr>
              <w:t>|5</w:t>
            </w:r>
          </w:p>
        </w:tc>
        <w:tc>
          <w:tcPr>
            <w:tcW w:w="1538" w:type="dxa"/>
            <w:vAlign w:val="center"/>
          </w:tcPr>
          <w:p w14:paraId="2E640A81">
            <w:pPr>
              <w:pStyle w:val="2"/>
              <w:spacing w:after="0" w:line="240" w:lineRule="auto"/>
              <w:ind w:firstLine="0" w:firstLineChars="0"/>
              <w:jc w:val="center"/>
              <w:rPr>
                <w:sz w:val="21"/>
                <w:szCs w:val="21"/>
              </w:rPr>
            </w:pPr>
            <w:r>
              <w:rPr>
                <w:rFonts w:hint="eastAsia"/>
                <w:sz w:val="21"/>
                <w:szCs w:val="21"/>
              </w:rPr>
              <w:t>9.97E-31</w:t>
            </w:r>
          </w:p>
        </w:tc>
        <w:tc>
          <w:tcPr>
            <w:tcW w:w="1540" w:type="dxa"/>
            <w:vAlign w:val="center"/>
          </w:tcPr>
          <w:p w14:paraId="4EF3B9D9">
            <w:pPr>
              <w:pStyle w:val="2"/>
              <w:spacing w:after="0" w:line="240" w:lineRule="auto"/>
              <w:ind w:firstLine="0" w:firstLineChars="0"/>
              <w:jc w:val="center"/>
              <w:rPr>
                <w:sz w:val="21"/>
                <w:szCs w:val="21"/>
              </w:rPr>
            </w:pPr>
            <w:r>
              <w:rPr>
                <w:rFonts w:hint="eastAsia"/>
                <w:sz w:val="21"/>
                <w:szCs w:val="21"/>
              </w:rPr>
              <w:t>9.97E-31</w:t>
            </w:r>
          </w:p>
        </w:tc>
        <w:tc>
          <w:tcPr>
            <w:tcW w:w="1674" w:type="dxa"/>
            <w:vAlign w:val="center"/>
          </w:tcPr>
          <w:p w14:paraId="772DA281">
            <w:pPr>
              <w:pStyle w:val="2"/>
              <w:spacing w:after="0" w:line="240" w:lineRule="auto"/>
              <w:ind w:firstLine="0" w:firstLineChars="0"/>
              <w:jc w:val="center"/>
              <w:rPr>
                <w:sz w:val="21"/>
                <w:szCs w:val="21"/>
              </w:rPr>
            </w:pPr>
            <w:r>
              <w:rPr>
                <w:rFonts w:hint="eastAsia"/>
                <w:sz w:val="21"/>
                <w:szCs w:val="21"/>
              </w:rPr>
              <w:t>9.97E-31</w:t>
            </w:r>
          </w:p>
        </w:tc>
        <w:tc>
          <w:tcPr>
            <w:tcW w:w="1526" w:type="dxa"/>
            <w:vAlign w:val="center"/>
          </w:tcPr>
          <w:p w14:paraId="2CC0258D">
            <w:pPr>
              <w:pStyle w:val="2"/>
              <w:spacing w:after="0" w:line="240" w:lineRule="auto"/>
              <w:ind w:firstLine="0" w:firstLineChars="0"/>
              <w:jc w:val="center"/>
              <w:rPr>
                <w:sz w:val="21"/>
                <w:szCs w:val="21"/>
              </w:rPr>
            </w:pPr>
            <w:r>
              <w:rPr>
                <w:rFonts w:hint="eastAsia"/>
                <w:sz w:val="21"/>
                <w:szCs w:val="21"/>
              </w:rPr>
              <w:t>2.60E-31</w:t>
            </w:r>
          </w:p>
        </w:tc>
        <w:tc>
          <w:tcPr>
            <w:tcW w:w="1547" w:type="dxa"/>
            <w:vAlign w:val="center"/>
          </w:tcPr>
          <w:p w14:paraId="626D6145">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1939861C">
            <w:pPr>
              <w:pStyle w:val="2"/>
              <w:spacing w:after="0" w:line="240" w:lineRule="auto"/>
              <w:ind w:firstLine="0" w:firstLineChars="0"/>
              <w:jc w:val="center"/>
              <w:rPr>
                <w:sz w:val="21"/>
                <w:szCs w:val="21"/>
              </w:rPr>
            </w:pPr>
            <w:r>
              <w:rPr>
                <w:rFonts w:hint="eastAsia"/>
                <w:sz w:val="21"/>
                <w:szCs w:val="21"/>
              </w:rPr>
              <w:t>0</w:t>
            </w:r>
          </w:p>
        </w:tc>
      </w:tr>
      <w:tr w14:paraId="1A659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5C130D99">
            <w:pPr>
              <w:pStyle w:val="2"/>
              <w:spacing w:after="0" w:line="240" w:lineRule="auto"/>
              <w:ind w:firstLine="0" w:firstLineChars="0"/>
              <w:jc w:val="center"/>
              <w:rPr>
                <w:sz w:val="21"/>
                <w:szCs w:val="21"/>
              </w:rPr>
            </w:pPr>
            <w:r>
              <w:rPr>
                <w:rFonts w:hint="eastAsia"/>
                <w:sz w:val="21"/>
                <w:szCs w:val="21"/>
              </w:rPr>
              <w:t>14</w:t>
            </w:r>
          </w:p>
        </w:tc>
        <w:tc>
          <w:tcPr>
            <w:tcW w:w="1878" w:type="dxa"/>
            <w:vAlign w:val="center"/>
          </w:tcPr>
          <w:p w14:paraId="61FDA030">
            <w:pPr>
              <w:pStyle w:val="2"/>
              <w:spacing w:after="0" w:line="240" w:lineRule="auto"/>
              <w:ind w:firstLine="0" w:firstLineChars="0"/>
              <w:jc w:val="center"/>
              <w:rPr>
                <w:sz w:val="21"/>
                <w:szCs w:val="21"/>
              </w:rPr>
            </w:pPr>
            <w:r>
              <w:rPr>
                <w:rFonts w:hint="eastAsia"/>
                <w:sz w:val="21"/>
                <w:szCs w:val="21"/>
              </w:rPr>
              <w:t>新乡医学院第一附属医院</w:t>
            </w:r>
          </w:p>
        </w:tc>
        <w:tc>
          <w:tcPr>
            <w:tcW w:w="2052" w:type="dxa"/>
            <w:vAlign w:val="center"/>
          </w:tcPr>
          <w:p w14:paraId="2CB871F2">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38" w:type="dxa"/>
            <w:vAlign w:val="center"/>
          </w:tcPr>
          <w:p w14:paraId="62C91668">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576D7377">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1CF37459">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42C34530">
            <w:pPr>
              <w:pStyle w:val="2"/>
              <w:spacing w:after="0" w:line="240" w:lineRule="auto"/>
              <w:ind w:firstLine="0" w:firstLineChars="0"/>
              <w:jc w:val="center"/>
              <w:rPr>
                <w:sz w:val="21"/>
                <w:szCs w:val="21"/>
              </w:rPr>
            </w:pPr>
            <w:r>
              <w:rPr>
                <w:rFonts w:hint="eastAsia"/>
                <w:sz w:val="21"/>
                <w:szCs w:val="21"/>
              </w:rPr>
              <w:t>0</w:t>
            </w:r>
          </w:p>
        </w:tc>
        <w:tc>
          <w:tcPr>
            <w:tcW w:w="1547" w:type="dxa"/>
            <w:vAlign w:val="center"/>
          </w:tcPr>
          <w:p w14:paraId="58420785">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78276549">
            <w:pPr>
              <w:pStyle w:val="2"/>
              <w:spacing w:after="0" w:line="240" w:lineRule="auto"/>
              <w:ind w:firstLine="0" w:firstLineChars="0"/>
              <w:jc w:val="center"/>
              <w:rPr>
                <w:sz w:val="21"/>
                <w:szCs w:val="21"/>
              </w:rPr>
            </w:pPr>
            <w:r>
              <w:rPr>
                <w:rFonts w:hint="eastAsia"/>
                <w:sz w:val="21"/>
                <w:szCs w:val="21"/>
              </w:rPr>
              <w:t>0</w:t>
            </w:r>
          </w:p>
        </w:tc>
      </w:tr>
      <w:tr w14:paraId="1F1E4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6BC47F41">
            <w:pPr>
              <w:pStyle w:val="2"/>
              <w:spacing w:after="0" w:line="240" w:lineRule="auto"/>
              <w:ind w:firstLine="0" w:firstLineChars="0"/>
              <w:jc w:val="center"/>
              <w:rPr>
                <w:sz w:val="21"/>
                <w:szCs w:val="21"/>
              </w:rPr>
            </w:pPr>
            <w:r>
              <w:rPr>
                <w:rFonts w:hint="eastAsia"/>
                <w:sz w:val="21"/>
                <w:szCs w:val="21"/>
              </w:rPr>
              <w:t>015</w:t>
            </w:r>
          </w:p>
        </w:tc>
        <w:tc>
          <w:tcPr>
            <w:tcW w:w="1878" w:type="dxa"/>
            <w:vAlign w:val="center"/>
          </w:tcPr>
          <w:p w14:paraId="6C52DFFD">
            <w:pPr>
              <w:pStyle w:val="2"/>
              <w:spacing w:after="0" w:line="240" w:lineRule="auto"/>
              <w:ind w:firstLine="0" w:firstLineChars="0"/>
              <w:jc w:val="center"/>
              <w:rPr>
                <w:sz w:val="21"/>
                <w:szCs w:val="21"/>
              </w:rPr>
            </w:pPr>
            <w:r>
              <w:rPr>
                <w:rFonts w:hint="eastAsia"/>
                <w:sz w:val="21"/>
                <w:szCs w:val="21"/>
              </w:rPr>
              <w:t>下园村</w:t>
            </w:r>
          </w:p>
        </w:tc>
        <w:tc>
          <w:tcPr>
            <w:tcW w:w="2052" w:type="dxa"/>
            <w:vAlign w:val="center"/>
          </w:tcPr>
          <w:p w14:paraId="1AA509E3">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38" w:type="dxa"/>
            <w:vAlign w:val="center"/>
          </w:tcPr>
          <w:p w14:paraId="629A603E">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576B166B">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4247F64A">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5DC0528B">
            <w:pPr>
              <w:pStyle w:val="2"/>
              <w:spacing w:after="0" w:line="240" w:lineRule="auto"/>
              <w:ind w:firstLine="0" w:firstLineChars="0"/>
              <w:jc w:val="center"/>
              <w:rPr>
                <w:sz w:val="21"/>
                <w:szCs w:val="21"/>
              </w:rPr>
            </w:pPr>
          </w:p>
        </w:tc>
        <w:tc>
          <w:tcPr>
            <w:tcW w:w="1547" w:type="dxa"/>
            <w:vAlign w:val="center"/>
          </w:tcPr>
          <w:p w14:paraId="362B7A49">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3CFF098D">
            <w:pPr>
              <w:pStyle w:val="2"/>
              <w:spacing w:after="0" w:line="240" w:lineRule="auto"/>
              <w:ind w:firstLine="0" w:firstLineChars="0"/>
              <w:jc w:val="center"/>
              <w:rPr>
                <w:sz w:val="21"/>
                <w:szCs w:val="21"/>
              </w:rPr>
            </w:pPr>
            <w:r>
              <w:rPr>
                <w:rFonts w:hint="eastAsia"/>
                <w:sz w:val="21"/>
                <w:szCs w:val="21"/>
              </w:rPr>
              <w:t>0</w:t>
            </w:r>
          </w:p>
        </w:tc>
      </w:tr>
      <w:tr w14:paraId="5E489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25" w:hRule="atLeast"/>
          <w:jc w:val="center"/>
        </w:trPr>
        <w:tc>
          <w:tcPr>
            <w:tcW w:w="672" w:type="dxa"/>
            <w:vAlign w:val="center"/>
          </w:tcPr>
          <w:p w14:paraId="0564D01A">
            <w:pPr>
              <w:pStyle w:val="2"/>
              <w:spacing w:after="0" w:line="240" w:lineRule="auto"/>
              <w:ind w:firstLine="0" w:firstLineChars="0"/>
              <w:jc w:val="center"/>
              <w:rPr>
                <w:sz w:val="21"/>
                <w:szCs w:val="21"/>
              </w:rPr>
            </w:pPr>
            <w:r>
              <w:rPr>
                <w:rFonts w:hint="eastAsia"/>
                <w:sz w:val="21"/>
                <w:szCs w:val="21"/>
              </w:rPr>
              <w:t>16</w:t>
            </w:r>
          </w:p>
        </w:tc>
        <w:tc>
          <w:tcPr>
            <w:tcW w:w="1878" w:type="dxa"/>
            <w:vAlign w:val="center"/>
          </w:tcPr>
          <w:p w14:paraId="0790166B">
            <w:pPr>
              <w:pStyle w:val="2"/>
              <w:spacing w:after="0" w:line="240" w:lineRule="auto"/>
              <w:ind w:firstLine="0" w:firstLineChars="0"/>
              <w:jc w:val="center"/>
              <w:rPr>
                <w:sz w:val="21"/>
                <w:szCs w:val="21"/>
              </w:rPr>
            </w:pPr>
            <w:r>
              <w:rPr>
                <w:rFonts w:hint="eastAsia"/>
                <w:sz w:val="21"/>
                <w:szCs w:val="21"/>
              </w:rPr>
              <w:t>龙王庙</w:t>
            </w:r>
          </w:p>
        </w:tc>
        <w:tc>
          <w:tcPr>
            <w:tcW w:w="2052" w:type="dxa"/>
            <w:vAlign w:val="center"/>
          </w:tcPr>
          <w:p w14:paraId="1EFC7462">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38" w:type="dxa"/>
            <w:vAlign w:val="center"/>
          </w:tcPr>
          <w:p w14:paraId="2546C027">
            <w:pPr>
              <w:pStyle w:val="2"/>
              <w:spacing w:after="0" w:line="240" w:lineRule="auto"/>
              <w:ind w:firstLine="0" w:firstLineChars="0"/>
              <w:jc w:val="center"/>
              <w:rPr>
                <w:sz w:val="21"/>
                <w:szCs w:val="21"/>
              </w:rPr>
            </w:pPr>
            <w:r>
              <w:rPr>
                <w:rFonts w:hint="eastAsia"/>
                <w:sz w:val="21"/>
                <w:szCs w:val="21"/>
              </w:rPr>
              <w:t>0</w:t>
            </w:r>
          </w:p>
        </w:tc>
        <w:tc>
          <w:tcPr>
            <w:tcW w:w="1540" w:type="dxa"/>
            <w:vAlign w:val="center"/>
          </w:tcPr>
          <w:p w14:paraId="26466964">
            <w:pPr>
              <w:pStyle w:val="2"/>
              <w:spacing w:after="0" w:line="240" w:lineRule="auto"/>
              <w:ind w:firstLine="0" w:firstLineChars="0"/>
              <w:jc w:val="center"/>
              <w:rPr>
                <w:sz w:val="21"/>
                <w:szCs w:val="21"/>
              </w:rPr>
            </w:pPr>
            <w:r>
              <w:rPr>
                <w:rFonts w:hint="eastAsia"/>
                <w:sz w:val="21"/>
                <w:szCs w:val="21"/>
              </w:rPr>
              <w:t>0</w:t>
            </w:r>
          </w:p>
        </w:tc>
        <w:tc>
          <w:tcPr>
            <w:tcW w:w="1674" w:type="dxa"/>
            <w:vAlign w:val="center"/>
          </w:tcPr>
          <w:p w14:paraId="7645F745">
            <w:pPr>
              <w:pStyle w:val="2"/>
              <w:spacing w:after="0" w:line="240" w:lineRule="auto"/>
              <w:ind w:firstLine="0" w:firstLineChars="0"/>
              <w:jc w:val="center"/>
              <w:rPr>
                <w:sz w:val="21"/>
                <w:szCs w:val="21"/>
              </w:rPr>
            </w:pPr>
            <w:r>
              <w:rPr>
                <w:rFonts w:hint="eastAsia"/>
                <w:sz w:val="21"/>
                <w:szCs w:val="21"/>
              </w:rPr>
              <w:t>0</w:t>
            </w:r>
          </w:p>
        </w:tc>
        <w:tc>
          <w:tcPr>
            <w:tcW w:w="1526" w:type="dxa"/>
            <w:vAlign w:val="center"/>
          </w:tcPr>
          <w:p w14:paraId="752BF904">
            <w:pPr>
              <w:pStyle w:val="2"/>
              <w:spacing w:after="0" w:line="240" w:lineRule="auto"/>
              <w:ind w:firstLine="0" w:firstLineChars="0"/>
              <w:jc w:val="center"/>
              <w:rPr>
                <w:sz w:val="21"/>
                <w:szCs w:val="21"/>
              </w:rPr>
            </w:pPr>
          </w:p>
        </w:tc>
        <w:tc>
          <w:tcPr>
            <w:tcW w:w="1547" w:type="dxa"/>
            <w:vAlign w:val="center"/>
          </w:tcPr>
          <w:p w14:paraId="32FCFE79">
            <w:pPr>
              <w:pStyle w:val="2"/>
              <w:spacing w:after="0" w:line="240" w:lineRule="auto"/>
              <w:ind w:firstLine="0" w:firstLineChars="0"/>
              <w:jc w:val="center"/>
              <w:rPr>
                <w:sz w:val="21"/>
                <w:szCs w:val="21"/>
              </w:rPr>
            </w:pPr>
            <w:r>
              <w:rPr>
                <w:rFonts w:hint="eastAsia"/>
                <w:sz w:val="21"/>
                <w:szCs w:val="21"/>
              </w:rPr>
              <w:t>0</w:t>
            </w:r>
          </w:p>
        </w:tc>
        <w:tc>
          <w:tcPr>
            <w:tcW w:w="1511" w:type="dxa"/>
            <w:vAlign w:val="center"/>
          </w:tcPr>
          <w:p w14:paraId="2EBB30B7">
            <w:pPr>
              <w:pStyle w:val="2"/>
              <w:spacing w:after="0" w:line="240" w:lineRule="auto"/>
              <w:ind w:firstLine="0" w:firstLineChars="0"/>
              <w:jc w:val="center"/>
              <w:rPr>
                <w:sz w:val="21"/>
                <w:szCs w:val="21"/>
              </w:rPr>
            </w:pPr>
            <w:r>
              <w:rPr>
                <w:rFonts w:hint="eastAsia"/>
                <w:sz w:val="21"/>
                <w:szCs w:val="21"/>
              </w:rPr>
              <w:t>0</w:t>
            </w:r>
          </w:p>
        </w:tc>
      </w:tr>
    </w:tbl>
    <w:p w14:paraId="3FFAF9EA">
      <w:pPr>
        <w:pStyle w:val="99"/>
        <w:numPr>
          <w:ilvl w:val="4"/>
          <w:numId w:val="46"/>
        </w:numPr>
        <w:ind w:left="0" w:firstLine="480"/>
      </w:pPr>
      <w:r>
        <w:rPr>
          <w:rFonts w:hint="eastAsia" w:eastAsia="黑体"/>
          <w:bCs/>
          <w:szCs w:val="24"/>
        </w:rPr>
        <w:t xml:space="preserve">                        D4（八甲基环四硅氧烷）最不利气象条件下泄漏敏感点浓度时间分布</w:t>
      </w: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 w:type="dxa"/>
          <w:bottom w:w="0" w:type="dxa"/>
          <w:right w:w="11" w:type="dxa"/>
        </w:tblCellMar>
      </w:tblPr>
      <w:tblGrid>
        <w:gridCol w:w="573"/>
        <w:gridCol w:w="1981"/>
        <w:gridCol w:w="2069"/>
        <w:gridCol w:w="1533"/>
        <w:gridCol w:w="1590"/>
        <w:gridCol w:w="1556"/>
        <w:gridCol w:w="1554"/>
        <w:gridCol w:w="1524"/>
        <w:gridCol w:w="1600"/>
      </w:tblGrid>
      <w:tr w14:paraId="1E598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5E402975">
            <w:pPr>
              <w:pStyle w:val="2"/>
              <w:spacing w:after="0" w:line="240" w:lineRule="auto"/>
              <w:ind w:firstLine="0" w:firstLineChars="0"/>
              <w:jc w:val="center"/>
              <w:rPr>
                <w:b/>
                <w:bCs/>
                <w:sz w:val="21"/>
                <w:szCs w:val="21"/>
              </w:rPr>
            </w:pPr>
            <w:r>
              <w:rPr>
                <w:rFonts w:hint="eastAsia"/>
                <w:b/>
                <w:bCs/>
                <w:sz w:val="21"/>
                <w:szCs w:val="21"/>
              </w:rPr>
              <w:t>序号</w:t>
            </w:r>
          </w:p>
        </w:tc>
        <w:tc>
          <w:tcPr>
            <w:tcW w:w="1976" w:type="dxa"/>
            <w:vAlign w:val="center"/>
          </w:tcPr>
          <w:p w14:paraId="5E834744">
            <w:pPr>
              <w:pStyle w:val="2"/>
              <w:spacing w:after="0" w:line="240" w:lineRule="auto"/>
              <w:ind w:firstLine="0" w:firstLineChars="0"/>
              <w:jc w:val="center"/>
              <w:rPr>
                <w:b/>
                <w:bCs/>
                <w:sz w:val="21"/>
                <w:szCs w:val="21"/>
              </w:rPr>
            </w:pPr>
            <w:r>
              <w:rPr>
                <w:rFonts w:hint="eastAsia"/>
                <w:b/>
                <w:bCs/>
                <w:sz w:val="21"/>
                <w:szCs w:val="21"/>
              </w:rPr>
              <w:t>名称</w:t>
            </w:r>
          </w:p>
        </w:tc>
        <w:tc>
          <w:tcPr>
            <w:tcW w:w="2063" w:type="dxa"/>
            <w:vAlign w:val="center"/>
          </w:tcPr>
          <w:p w14:paraId="10026D81">
            <w:pPr>
              <w:pStyle w:val="2"/>
              <w:spacing w:after="0" w:line="240" w:lineRule="auto"/>
              <w:ind w:firstLine="0" w:firstLineChars="0"/>
              <w:jc w:val="center"/>
              <w:rPr>
                <w:b/>
                <w:bCs/>
                <w:sz w:val="21"/>
                <w:szCs w:val="21"/>
              </w:rPr>
            </w:pPr>
            <w:r>
              <w:rPr>
                <w:rFonts w:hint="eastAsia"/>
                <w:b/>
                <w:bCs/>
                <w:sz w:val="21"/>
                <w:szCs w:val="21"/>
              </w:rPr>
              <w:t>最大浓度|时间(min)</w:t>
            </w:r>
          </w:p>
        </w:tc>
        <w:tc>
          <w:tcPr>
            <w:tcW w:w="1528" w:type="dxa"/>
            <w:vAlign w:val="center"/>
          </w:tcPr>
          <w:p w14:paraId="6335A81E">
            <w:pPr>
              <w:pStyle w:val="2"/>
              <w:spacing w:after="0" w:line="240" w:lineRule="auto"/>
              <w:ind w:firstLine="0" w:firstLineChars="0"/>
              <w:jc w:val="center"/>
              <w:rPr>
                <w:b/>
                <w:bCs/>
                <w:sz w:val="21"/>
                <w:szCs w:val="21"/>
              </w:rPr>
            </w:pPr>
            <w:r>
              <w:rPr>
                <w:rFonts w:hint="eastAsia"/>
                <w:b/>
                <w:bCs/>
                <w:sz w:val="21"/>
                <w:szCs w:val="21"/>
              </w:rPr>
              <w:t>5min</w:t>
            </w:r>
          </w:p>
        </w:tc>
        <w:tc>
          <w:tcPr>
            <w:tcW w:w="1585" w:type="dxa"/>
            <w:vAlign w:val="center"/>
          </w:tcPr>
          <w:p w14:paraId="1C7F817C">
            <w:pPr>
              <w:pStyle w:val="2"/>
              <w:spacing w:after="0" w:line="240" w:lineRule="auto"/>
              <w:ind w:firstLine="0" w:firstLineChars="0"/>
              <w:jc w:val="center"/>
              <w:rPr>
                <w:b/>
                <w:bCs/>
                <w:sz w:val="21"/>
                <w:szCs w:val="21"/>
              </w:rPr>
            </w:pPr>
            <w:r>
              <w:rPr>
                <w:rFonts w:hint="eastAsia"/>
                <w:b/>
                <w:bCs/>
                <w:sz w:val="21"/>
                <w:szCs w:val="21"/>
              </w:rPr>
              <w:t>10min</w:t>
            </w:r>
          </w:p>
        </w:tc>
        <w:tc>
          <w:tcPr>
            <w:tcW w:w="1551" w:type="dxa"/>
            <w:vAlign w:val="center"/>
          </w:tcPr>
          <w:p w14:paraId="62972BD1">
            <w:pPr>
              <w:pStyle w:val="2"/>
              <w:spacing w:after="0" w:line="240" w:lineRule="auto"/>
              <w:ind w:firstLine="0" w:firstLineChars="0"/>
              <w:jc w:val="center"/>
              <w:rPr>
                <w:b/>
                <w:bCs/>
                <w:sz w:val="21"/>
                <w:szCs w:val="21"/>
              </w:rPr>
            </w:pPr>
            <w:r>
              <w:rPr>
                <w:rFonts w:hint="eastAsia"/>
                <w:b/>
                <w:bCs/>
                <w:sz w:val="21"/>
                <w:szCs w:val="21"/>
              </w:rPr>
              <w:t>15min</w:t>
            </w:r>
          </w:p>
        </w:tc>
        <w:tc>
          <w:tcPr>
            <w:tcW w:w="1549" w:type="dxa"/>
            <w:vAlign w:val="center"/>
          </w:tcPr>
          <w:p w14:paraId="5C78CC7D">
            <w:pPr>
              <w:pStyle w:val="2"/>
              <w:spacing w:after="0" w:line="240" w:lineRule="auto"/>
              <w:ind w:firstLine="0" w:firstLineChars="0"/>
              <w:jc w:val="center"/>
              <w:rPr>
                <w:b/>
                <w:bCs/>
                <w:sz w:val="21"/>
                <w:szCs w:val="21"/>
              </w:rPr>
            </w:pPr>
            <w:r>
              <w:rPr>
                <w:rFonts w:hint="eastAsia"/>
                <w:b/>
                <w:bCs/>
                <w:sz w:val="21"/>
                <w:szCs w:val="21"/>
              </w:rPr>
              <w:t>20min</w:t>
            </w:r>
          </w:p>
        </w:tc>
        <w:tc>
          <w:tcPr>
            <w:tcW w:w="1519" w:type="dxa"/>
            <w:vAlign w:val="center"/>
          </w:tcPr>
          <w:p w14:paraId="2149AFE7">
            <w:pPr>
              <w:pStyle w:val="2"/>
              <w:spacing w:after="0" w:line="240" w:lineRule="auto"/>
              <w:ind w:firstLine="0" w:firstLineChars="0"/>
              <w:jc w:val="center"/>
              <w:rPr>
                <w:b/>
                <w:bCs/>
                <w:sz w:val="21"/>
                <w:szCs w:val="21"/>
              </w:rPr>
            </w:pPr>
            <w:r>
              <w:rPr>
                <w:rFonts w:hint="eastAsia"/>
                <w:b/>
                <w:bCs/>
                <w:sz w:val="21"/>
                <w:szCs w:val="21"/>
              </w:rPr>
              <w:t>25min</w:t>
            </w:r>
          </w:p>
        </w:tc>
        <w:tc>
          <w:tcPr>
            <w:tcW w:w="1595" w:type="dxa"/>
            <w:vAlign w:val="center"/>
          </w:tcPr>
          <w:p w14:paraId="22EDF840">
            <w:pPr>
              <w:pStyle w:val="2"/>
              <w:spacing w:after="0" w:line="240" w:lineRule="auto"/>
              <w:ind w:firstLine="0" w:firstLineChars="0"/>
              <w:jc w:val="center"/>
              <w:rPr>
                <w:b/>
                <w:bCs/>
                <w:sz w:val="21"/>
                <w:szCs w:val="21"/>
              </w:rPr>
            </w:pPr>
            <w:r>
              <w:rPr>
                <w:rFonts w:hint="eastAsia"/>
                <w:b/>
                <w:bCs/>
                <w:sz w:val="21"/>
                <w:szCs w:val="21"/>
              </w:rPr>
              <w:t>30min</w:t>
            </w:r>
          </w:p>
        </w:tc>
      </w:tr>
      <w:tr w14:paraId="5F710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6B7A0E33">
            <w:pPr>
              <w:pStyle w:val="2"/>
              <w:spacing w:after="0" w:line="240" w:lineRule="auto"/>
              <w:ind w:firstLine="0" w:firstLineChars="0"/>
              <w:jc w:val="center"/>
              <w:rPr>
                <w:sz w:val="21"/>
                <w:szCs w:val="21"/>
              </w:rPr>
            </w:pPr>
            <w:r>
              <w:rPr>
                <w:rFonts w:hint="eastAsia"/>
                <w:sz w:val="21"/>
                <w:szCs w:val="21"/>
              </w:rPr>
              <w:t>1</w:t>
            </w:r>
          </w:p>
        </w:tc>
        <w:tc>
          <w:tcPr>
            <w:tcW w:w="1976" w:type="dxa"/>
            <w:vAlign w:val="center"/>
          </w:tcPr>
          <w:p w14:paraId="447F9F4E">
            <w:pPr>
              <w:pStyle w:val="2"/>
              <w:spacing w:after="0" w:line="240" w:lineRule="auto"/>
              <w:ind w:firstLine="0" w:firstLineChars="0"/>
              <w:jc w:val="center"/>
              <w:rPr>
                <w:sz w:val="21"/>
                <w:szCs w:val="21"/>
              </w:rPr>
            </w:pPr>
            <w:r>
              <w:rPr>
                <w:rFonts w:hint="eastAsia"/>
                <w:sz w:val="21"/>
                <w:szCs w:val="21"/>
              </w:rPr>
              <w:t>代庄村</w:t>
            </w:r>
          </w:p>
        </w:tc>
        <w:tc>
          <w:tcPr>
            <w:tcW w:w="2063" w:type="dxa"/>
            <w:vAlign w:val="center"/>
          </w:tcPr>
          <w:p w14:paraId="1B678AF7">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4E2F1F06">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00C5F9A8">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460758A7">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22E0E878">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294314D1">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0D826BDF">
            <w:pPr>
              <w:pStyle w:val="2"/>
              <w:spacing w:after="0" w:line="240" w:lineRule="auto"/>
              <w:ind w:firstLine="0" w:firstLineChars="0"/>
              <w:jc w:val="center"/>
              <w:rPr>
                <w:sz w:val="21"/>
                <w:szCs w:val="21"/>
              </w:rPr>
            </w:pPr>
            <w:r>
              <w:rPr>
                <w:rFonts w:hint="eastAsia"/>
                <w:sz w:val="21"/>
                <w:szCs w:val="21"/>
              </w:rPr>
              <w:t>0</w:t>
            </w:r>
          </w:p>
        </w:tc>
      </w:tr>
      <w:tr w14:paraId="54514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0EB07F74">
            <w:pPr>
              <w:pStyle w:val="2"/>
              <w:spacing w:after="0" w:line="240" w:lineRule="auto"/>
              <w:ind w:firstLine="0" w:firstLineChars="0"/>
              <w:jc w:val="center"/>
              <w:rPr>
                <w:sz w:val="21"/>
                <w:szCs w:val="21"/>
              </w:rPr>
            </w:pPr>
            <w:r>
              <w:rPr>
                <w:rFonts w:hint="eastAsia"/>
                <w:sz w:val="21"/>
                <w:szCs w:val="21"/>
              </w:rPr>
              <w:t>2</w:t>
            </w:r>
          </w:p>
        </w:tc>
        <w:tc>
          <w:tcPr>
            <w:tcW w:w="1976" w:type="dxa"/>
            <w:vAlign w:val="center"/>
          </w:tcPr>
          <w:p w14:paraId="24163FE3">
            <w:pPr>
              <w:pStyle w:val="2"/>
              <w:spacing w:after="0" w:line="240" w:lineRule="auto"/>
              <w:ind w:firstLine="0" w:firstLineChars="0"/>
              <w:jc w:val="center"/>
              <w:rPr>
                <w:sz w:val="21"/>
                <w:szCs w:val="21"/>
              </w:rPr>
            </w:pPr>
            <w:r>
              <w:rPr>
                <w:rFonts w:hint="eastAsia"/>
                <w:sz w:val="21"/>
                <w:szCs w:val="21"/>
              </w:rPr>
              <w:t>仁里屯村</w:t>
            </w:r>
          </w:p>
        </w:tc>
        <w:tc>
          <w:tcPr>
            <w:tcW w:w="2063" w:type="dxa"/>
            <w:vAlign w:val="center"/>
          </w:tcPr>
          <w:p w14:paraId="71DA1FD3">
            <w:pPr>
              <w:pStyle w:val="2"/>
              <w:spacing w:after="0" w:line="240" w:lineRule="auto"/>
              <w:ind w:firstLine="0" w:firstLineChars="0"/>
              <w:jc w:val="center"/>
              <w:rPr>
                <w:sz w:val="21"/>
                <w:szCs w:val="21"/>
              </w:rPr>
            </w:pPr>
            <w:r>
              <w:rPr>
                <w:rFonts w:hint="eastAsia"/>
                <w:sz w:val="21"/>
                <w:szCs w:val="21"/>
              </w:rPr>
              <w:t>2.54E-06</w:t>
            </w:r>
            <w:r>
              <w:rPr>
                <w:rFonts w:hint="eastAsia"/>
                <w:b/>
                <w:bCs/>
                <w:sz w:val="21"/>
                <w:szCs w:val="21"/>
              </w:rPr>
              <w:t>|5</w:t>
            </w:r>
          </w:p>
        </w:tc>
        <w:tc>
          <w:tcPr>
            <w:tcW w:w="1528" w:type="dxa"/>
            <w:vAlign w:val="center"/>
          </w:tcPr>
          <w:p w14:paraId="6BEAC22E">
            <w:pPr>
              <w:pStyle w:val="2"/>
              <w:spacing w:after="0" w:line="240" w:lineRule="auto"/>
              <w:ind w:firstLine="0" w:firstLineChars="0"/>
              <w:jc w:val="center"/>
              <w:rPr>
                <w:sz w:val="21"/>
                <w:szCs w:val="21"/>
              </w:rPr>
            </w:pPr>
            <w:r>
              <w:rPr>
                <w:rFonts w:hint="eastAsia"/>
                <w:sz w:val="21"/>
                <w:szCs w:val="21"/>
              </w:rPr>
              <w:t>2.54E-06</w:t>
            </w:r>
          </w:p>
        </w:tc>
        <w:tc>
          <w:tcPr>
            <w:tcW w:w="1585" w:type="dxa"/>
            <w:vAlign w:val="center"/>
          </w:tcPr>
          <w:p w14:paraId="282843F1">
            <w:pPr>
              <w:pStyle w:val="2"/>
              <w:spacing w:after="0" w:line="240" w:lineRule="auto"/>
              <w:ind w:firstLine="0" w:firstLineChars="0"/>
              <w:jc w:val="center"/>
              <w:rPr>
                <w:sz w:val="21"/>
                <w:szCs w:val="21"/>
              </w:rPr>
            </w:pPr>
            <w:r>
              <w:rPr>
                <w:rFonts w:hint="eastAsia"/>
                <w:sz w:val="21"/>
                <w:szCs w:val="21"/>
              </w:rPr>
              <w:t>2.54E-06</w:t>
            </w:r>
          </w:p>
        </w:tc>
        <w:tc>
          <w:tcPr>
            <w:tcW w:w="1551" w:type="dxa"/>
            <w:vAlign w:val="center"/>
          </w:tcPr>
          <w:p w14:paraId="2BC33750">
            <w:pPr>
              <w:pStyle w:val="2"/>
              <w:spacing w:after="0" w:line="240" w:lineRule="auto"/>
              <w:ind w:firstLine="0" w:firstLineChars="0"/>
              <w:jc w:val="center"/>
              <w:rPr>
                <w:sz w:val="21"/>
                <w:szCs w:val="21"/>
              </w:rPr>
            </w:pPr>
            <w:r>
              <w:rPr>
                <w:rFonts w:hint="eastAsia"/>
                <w:sz w:val="21"/>
                <w:szCs w:val="21"/>
              </w:rPr>
              <w:t>2.54E-06</w:t>
            </w:r>
          </w:p>
        </w:tc>
        <w:tc>
          <w:tcPr>
            <w:tcW w:w="1549" w:type="dxa"/>
            <w:vAlign w:val="center"/>
          </w:tcPr>
          <w:p w14:paraId="7B2DCBD4">
            <w:pPr>
              <w:pStyle w:val="2"/>
              <w:spacing w:after="0" w:line="240" w:lineRule="auto"/>
              <w:ind w:firstLine="0" w:firstLineChars="0"/>
              <w:jc w:val="center"/>
              <w:rPr>
                <w:sz w:val="21"/>
                <w:szCs w:val="21"/>
              </w:rPr>
            </w:pPr>
            <w:r>
              <w:rPr>
                <w:rFonts w:hint="eastAsia"/>
                <w:sz w:val="21"/>
                <w:szCs w:val="21"/>
              </w:rPr>
              <w:t>1.18E-06</w:t>
            </w:r>
          </w:p>
        </w:tc>
        <w:tc>
          <w:tcPr>
            <w:tcW w:w="1519" w:type="dxa"/>
            <w:vAlign w:val="center"/>
          </w:tcPr>
          <w:p w14:paraId="26F18711">
            <w:pPr>
              <w:pStyle w:val="2"/>
              <w:spacing w:after="0" w:line="240" w:lineRule="auto"/>
              <w:ind w:firstLine="0" w:firstLineChars="0"/>
              <w:jc w:val="center"/>
              <w:rPr>
                <w:sz w:val="21"/>
                <w:szCs w:val="21"/>
              </w:rPr>
            </w:pPr>
            <w:r>
              <w:rPr>
                <w:rFonts w:hint="eastAsia"/>
                <w:sz w:val="21"/>
                <w:szCs w:val="21"/>
              </w:rPr>
              <w:t>1.72E-10</w:t>
            </w:r>
          </w:p>
        </w:tc>
        <w:tc>
          <w:tcPr>
            <w:tcW w:w="1595" w:type="dxa"/>
            <w:vAlign w:val="center"/>
          </w:tcPr>
          <w:p w14:paraId="1AD7652E">
            <w:pPr>
              <w:pStyle w:val="2"/>
              <w:spacing w:after="0" w:line="240" w:lineRule="auto"/>
              <w:ind w:firstLine="0" w:firstLineChars="0"/>
              <w:jc w:val="center"/>
              <w:rPr>
                <w:sz w:val="21"/>
                <w:szCs w:val="21"/>
              </w:rPr>
            </w:pPr>
            <w:r>
              <w:rPr>
                <w:rFonts w:hint="eastAsia"/>
                <w:sz w:val="21"/>
                <w:szCs w:val="21"/>
              </w:rPr>
              <w:t>0</w:t>
            </w:r>
          </w:p>
        </w:tc>
      </w:tr>
      <w:tr w14:paraId="64A01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4DF2E24A">
            <w:pPr>
              <w:pStyle w:val="2"/>
              <w:spacing w:after="0" w:line="240" w:lineRule="auto"/>
              <w:ind w:firstLine="0" w:firstLineChars="0"/>
              <w:jc w:val="center"/>
              <w:rPr>
                <w:sz w:val="21"/>
                <w:szCs w:val="21"/>
              </w:rPr>
            </w:pPr>
            <w:r>
              <w:rPr>
                <w:rFonts w:hint="eastAsia"/>
                <w:sz w:val="21"/>
                <w:szCs w:val="21"/>
              </w:rPr>
              <w:t>3</w:t>
            </w:r>
          </w:p>
        </w:tc>
        <w:tc>
          <w:tcPr>
            <w:tcW w:w="1976" w:type="dxa"/>
            <w:vAlign w:val="center"/>
          </w:tcPr>
          <w:p w14:paraId="79E010A3">
            <w:pPr>
              <w:pStyle w:val="2"/>
              <w:spacing w:after="0" w:line="240" w:lineRule="auto"/>
              <w:ind w:firstLine="0" w:firstLineChars="0"/>
              <w:jc w:val="center"/>
              <w:rPr>
                <w:sz w:val="21"/>
                <w:szCs w:val="21"/>
              </w:rPr>
            </w:pPr>
            <w:r>
              <w:rPr>
                <w:rFonts w:hint="eastAsia"/>
                <w:sz w:val="21"/>
                <w:szCs w:val="21"/>
              </w:rPr>
              <w:t>田庄</w:t>
            </w:r>
            <w:r>
              <w:rPr>
                <w:sz w:val="21"/>
                <w:szCs w:val="21"/>
              </w:rPr>
              <w:t>村</w:t>
            </w:r>
          </w:p>
        </w:tc>
        <w:tc>
          <w:tcPr>
            <w:tcW w:w="2063" w:type="dxa"/>
            <w:vAlign w:val="center"/>
          </w:tcPr>
          <w:p w14:paraId="6B22F62D">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3E0E44F5">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44782F90">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51C588DE">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22209985">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57AE5A3B">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56C87E3F">
            <w:pPr>
              <w:pStyle w:val="2"/>
              <w:spacing w:after="0" w:line="240" w:lineRule="auto"/>
              <w:ind w:firstLine="0" w:firstLineChars="0"/>
              <w:jc w:val="center"/>
              <w:rPr>
                <w:sz w:val="21"/>
                <w:szCs w:val="21"/>
              </w:rPr>
            </w:pPr>
            <w:r>
              <w:rPr>
                <w:rFonts w:hint="eastAsia"/>
                <w:sz w:val="21"/>
                <w:szCs w:val="21"/>
              </w:rPr>
              <w:t>0</w:t>
            </w:r>
          </w:p>
        </w:tc>
      </w:tr>
      <w:tr w14:paraId="29985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6CB41579">
            <w:pPr>
              <w:pStyle w:val="2"/>
              <w:spacing w:after="0" w:line="240" w:lineRule="auto"/>
              <w:ind w:firstLine="0" w:firstLineChars="0"/>
              <w:jc w:val="center"/>
              <w:rPr>
                <w:sz w:val="21"/>
                <w:szCs w:val="21"/>
              </w:rPr>
            </w:pPr>
            <w:r>
              <w:rPr>
                <w:rFonts w:hint="eastAsia"/>
                <w:sz w:val="21"/>
                <w:szCs w:val="21"/>
              </w:rPr>
              <w:t>4</w:t>
            </w:r>
          </w:p>
        </w:tc>
        <w:tc>
          <w:tcPr>
            <w:tcW w:w="1976" w:type="dxa"/>
            <w:vAlign w:val="center"/>
          </w:tcPr>
          <w:p w14:paraId="53A8A4F6">
            <w:pPr>
              <w:pStyle w:val="2"/>
              <w:spacing w:after="0" w:line="240" w:lineRule="auto"/>
              <w:ind w:firstLine="0" w:firstLineChars="0"/>
              <w:jc w:val="center"/>
              <w:rPr>
                <w:sz w:val="21"/>
                <w:szCs w:val="21"/>
              </w:rPr>
            </w:pPr>
            <w:r>
              <w:rPr>
                <w:rFonts w:hint="eastAsia"/>
                <w:sz w:val="21"/>
                <w:szCs w:val="21"/>
              </w:rPr>
              <w:t>双兰村</w:t>
            </w:r>
          </w:p>
        </w:tc>
        <w:tc>
          <w:tcPr>
            <w:tcW w:w="2063" w:type="dxa"/>
            <w:vAlign w:val="center"/>
          </w:tcPr>
          <w:p w14:paraId="09305FAF">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6C7C300D">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734C5702">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52B2E455">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33EE6D6B">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5CE861DC">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59FF1368">
            <w:pPr>
              <w:pStyle w:val="2"/>
              <w:spacing w:after="0" w:line="240" w:lineRule="auto"/>
              <w:ind w:firstLine="0" w:firstLineChars="0"/>
              <w:jc w:val="center"/>
              <w:rPr>
                <w:sz w:val="21"/>
                <w:szCs w:val="21"/>
              </w:rPr>
            </w:pPr>
            <w:r>
              <w:rPr>
                <w:rFonts w:hint="eastAsia"/>
                <w:sz w:val="21"/>
                <w:szCs w:val="21"/>
              </w:rPr>
              <w:t>0</w:t>
            </w:r>
          </w:p>
        </w:tc>
      </w:tr>
      <w:tr w14:paraId="7C6C6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5487C033">
            <w:pPr>
              <w:pStyle w:val="2"/>
              <w:spacing w:after="0" w:line="240" w:lineRule="auto"/>
              <w:ind w:firstLine="0" w:firstLineChars="0"/>
              <w:jc w:val="center"/>
              <w:rPr>
                <w:sz w:val="21"/>
                <w:szCs w:val="21"/>
              </w:rPr>
            </w:pPr>
            <w:r>
              <w:rPr>
                <w:rFonts w:hint="eastAsia"/>
                <w:sz w:val="21"/>
                <w:szCs w:val="21"/>
              </w:rPr>
              <w:t>5</w:t>
            </w:r>
          </w:p>
        </w:tc>
        <w:tc>
          <w:tcPr>
            <w:tcW w:w="1976" w:type="dxa"/>
            <w:vAlign w:val="center"/>
          </w:tcPr>
          <w:p w14:paraId="76E549FA">
            <w:pPr>
              <w:pStyle w:val="2"/>
              <w:spacing w:after="0" w:line="240" w:lineRule="auto"/>
              <w:ind w:firstLine="0" w:firstLineChars="0"/>
              <w:jc w:val="center"/>
              <w:rPr>
                <w:sz w:val="21"/>
                <w:szCs w:val="21"/>
              </w:rPr>
            </w:pPr>
            <w:r>
              <w:rPr>
                <w:rFonts w:hint="eastAsia"/>
                <w:sz w:val="21"/>
                <w:szCs w:val="21"/>
              </w:rPr>
              <w:t>班庄</w:t>
            </w:r>
          </w:p>
        </w:tc>
        <w:tc>
          <w:tcPr>
            <w:tcW w:w="2063" w:type="dxa"/>
            <w:vAlign w:val="center"/>
          </w:tcPr>
          <w:p w14:paraId="48F0861F">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6CD8305B">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3CC41330">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4920E34A">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0DBC7955">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1287777E">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71FFC66E">
            <w:pPr>
              <w:pStyle w:val="2"/>
              <w:spacing w:after="0" w:line="240" w:lineRule="auto"/>
              <w:ind w:firstLine="0" w:firstLineChars="0"/>
              <w:jc w:val="center"/>
              <w:rPr>
                <w:sz w:val="21"/>
                <w:szCs w:val="21"/>
              </w:rPr>
            </w:pPr>
            <w:r>
              <w:rPr>
                <w:rFonts w:hint="eastAsia"/>
                <w:sz w:val="21"/>
                <w:szCs w:val="21"/>
              </w:rPr>
              <w:t>0</w:t>
            </w:r>
          </w:p>
        </w:tc>
      </w:tr>
      <w:tr w14:paraId="18A53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66261F85">
            <w:pPr>
              <w:pStyle w:val="2"/>
              <w:spacing w:after="0" w:line="240" w:lineRule="auto"/>
              <w:ind w:firstLine="0" w:firstLineChars="0"/>
              <w:jc w:val="center"/>
              <w:rPr>
                <w:sz w:val="21"/>
                <w:szCs w:val="21"/>
              </w:rPr>
            </w:pPr>
            <w:r>
              <w:rPr>
                <w:rFonts w:hint="eastAsia"/>
                <w:sz w:val="21"/>
                <w:szCs w:val="21"/>
              </w:rPr>
              <w:t>6</w:t>
            </w:r>
          </w:p>
        </w:tc>
        <w:tc>
          <w:tcPr>
            <w:tcW w:w="1976" w:type="dxa"/>
            <w:vAlign w:val="center"/>
          </w:tcPr>
          <w:p w14:paraId="5F94223B">
            <w:pPr>
              <w:pStyle w:val="2"/>
              <w:spacing w:after="0" w:line="240" w:lineRule="auto"/>
              <w:ind w:firstLine="0" w:firstLineChars="0"/>
              <w:jc w:val="center"/>
              <w:rPr>
                <w:sz w:val="21"/>
                <w:szCs w:val="21"/>
              </w:rPr>
            </w:pPr>
            <w:r>
              <w:rPr>
                <w:rFonts w:hint="eastAsia"/>
                <w:bCs/>
                <w:sz w:val="21"/>
                <w:szCs w:val="21"/>
              </w:rPr>
              <w:t>郭全屯村</w:t>
            </w:r>
          </w:p>
        </w:tc>
        <w:tc>
          <w:tcPr>
            <w:tcW w:w="2063" w:type="dxa"/>
            <w:vAlign w:val="center"/>
          </w:tcPr>
          <w:p w14:paraId="5EB5897A">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58C8D618">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2BCA2A0A">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05BB9AE0">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093143AB">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41FDA4C1">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3AA64B58">
            <w:pPr>
              <w:pStyle w:val="2"/>
              <w:spacing w:after="0" w:line="240" w:lineRule="auto"/>
              <w:ind w:firstLine="0" w:firstLineChars="0"/>
              <w:jc w:val="center"/>
              <w:rPr>
                <w:sz w:val="21"/>
                <w:szCs w:val="21"/>
              </w:rPr>
            </w:pPr>
            <w:r>
              <w:rPr>
                <w:rFonts w:hint="eastAsia"/>
                <w:sz w:val="21"/>
                <w:szCs w:val="21"/>
              </w:rPr>
              <w:t>0</w:t>
            </w:r>
          </w:p>
        </w:tc>
      </w:tr>
      <w:tr w14:paraId="1CADC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1443A8C7">
            <w:pPr>
              <w:pStyle w:val="2"/>
              <w:spacing w:after="0" w:line="240" w:lineRule="auto"/>
              <w:ind w:firstLine="0" w:firstLineChars="0"/>
              <w:jc w:val="center"/>
              <w:rPr>
                <w:sz w:val="21"/>
                <w:szCs w:val="21"/>
              </w:rPr>
            </w:pPr>
            <w:r>
              <w:rPr>
                <w:rFonts w:hint="eastAsia"/>
                <w:sz w:val="21"/>
                <w:szCs w:val="21"/>
              </w:rPr>
              <w:t>7</w:t>
            </w:r>
          </w:p>
        </w:tc>
        <w:tc>
          <w:tcPr>
            <w:tcW w:w="1976" w:type="dxa"/>
            <w:vAlign w:val="center"/>
          </w:tcPr>
          <w:p w14:paraId="02AE85D5">
            <w:pPr>
              <w:pStyle w:val="2"/>
              <w:spacing w:after="0" w:line="240" w:lineRule="auto"/>
              <w:ind w:firstLine="0" w:firstLineChars="0"/>
              <w:jc w:val="center"/>
              <w:rPr>
                <w:sz w:val="21"/>
                <w:szCs w:val="21"/>
              </w:rPr>
            </w:pPr>
            <w:r>
              <w:rPr>
                <w:rFonts w:hint="eastAsia"/>
                <w:bCs/>
                <w:sz w:val="21"/>
                <w:szCs w:val="21"/>
              </w:rPr>
              <w:t>郝庄村</w:t>
            </w:r>
          </w:p>
        </w:tc>
        <w:tc>
          <w:tcPr>
            <w:tcW w:w="2063" w:type="dxa"/>
            <w:vAlign w:val="center"/>
          </w:tcPr>
          <w:p w14:paraId="78ABFAB7">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46183B07">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2A9D4AE5">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6F4EF460">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43020820">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3FFE9A34">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256E89EB">
            <w:pPr>
              <w:pStyle w:val="2"/>
              <w:spacing w:after="0" w:line="240" w:lineRule="auto"/>
              <w:ind w:firstLine="0" w:firstLineChars="0"/>
              <w:jc w:val="center"/>
              <w:rPr>
                <w:sz w:val="21"/>
                <w:szCs w:val="21"/>
              </w:rPr>
            </w:pPr>
            <w:r>
              <w:rPr>
                <w:rFonts w:hint="eastAsia"/>
                <w:sz w:val="21"/>
                <w:szCs w:val="21"/>
              </w:rPr>
              <w:t>0</w:t>
            </w:r>
          </w:p>
        </w:tc>
      </w:tr>
      <w:tr w14:paraId="11185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526D3965">
            <w:pPr>
              <w:pStyle w:val="2"/>
              <w:spacing w:after="0" w:line="240" w:lineRule="auto"/>
              <w:ind w:firstLine="0" w:firstLineChars="0"/>
              <w:jc w:val="center"/>
              <w:rPr>
                <w:sz w:val="21"/>
                <w:szCs w:val="21"/>
              </w:rPr>
            </w:pPr>
            <w:r>
              <w:rPr>
                <w:rFonts w:hint="eastAsia"/>
                <w:sz w:val="21"/>
                <w:szCs w:val="21"/>
              </w:rPr>
              <w:t>8</w:t>
            </w:r>
          </w:p>
        </w:tc>
        <w:tc>
          <w:tcPr>
            <w:tcW w:w="1976" w:type="dxa"/>
            <w:vAlign w:val="center"/>
          </w:tcPr>
          <w:p w14:paraId="433FB294">
            <w:pPr>
              <w:pStyle w:val="2"/>
              <w:spacing w:after="0" w:line="240" w:lineRule="auto"/>
              <w:ind w:firstLine="0" w:firstLineChars="0"/>
              <w:jc w:val="center"/>
              <w:rPr>
                <w:sz w:val="21"/>
                <w:szCs w:val="21"/>
              </w:rPr>
            </w:pPr>
            <w:r>
              <w:rPr>
                <w:rFonts w:hint="eastAsia"/>
                <w:bCs/>
                <w:sz w:val="21"/>
                <w:szCs w:val="21"/>
              </w:rPr>
              <w:t>阮庄</w:t>
            </w:r>
          </w:p>
        </w:tc>
        <w:tc>
          <w:tcPr>
            <w:tcW w:w="2063" w:type="dxa"/>
            <w:vAlign w:val="center"/>
          </w:tcPr>
          <w:p w14:paraId="6405D321">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44A6FF08">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5592B2E4">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77E5BEA0">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43CEEC3F">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744A0AEB">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5791D800">
            <w:pPr>
              <w:pStyle w:val="2"/>
              <w:spacing w:after="0" w:line="240" w:lineRule="auto"/>
              <w:ind w:firstLine="0" w:firstLineChars="0"/>
              <w:jc w:val="center"/>
              <w:rPr>
                <w:sz w:val="21"/>
                <w:szCs w:val="21"/>
              </w:rPr>
            </w:pPr>
            <w:r>
              <w:rPr>
                <w:rFonts w:hint="eastAsia"/>
                <w:sz w:val="21"/>
                <w:szCs w:val="21"/>
              </w:rPr>
              <w:t>0</w:t>
            </w:r>
          </w:p>
        </w:tc>
      </w:tr>
      <w:tr w14:paraId="57A1F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6CE5F854">
            <w:pPr>
              <w:pStyle w:val="2"/>
              <w:spacing w:after="0" w:line="240" w:lineRule="auto"/>
              <w:ind w:firstLine="0" w:firstLineChars="0"/>
              <w:jc w:val="center"/>
              <w:rPr>
                <w:sz w:val="21"/>
                <w:szCs w:val="21"/>
              </w:rPr>
            </w:pPr>
            <w:r>
              <w:rPr>
                <w:rFonts w:hint="eastAsia"/>
                <w:sz w:val="21"/>
                <w:szCs w:val="21"/>
              </w:rPr>
              <w:t>9</w:t>
            </w:r>
          </w:p>
        </w:tc>
        <w:tc>
          <w:tcPr>
            <w:tcW w:w="1976" w:type="dxa"/>
            <w:vAlign w:val="center"/>
          </w:tcPr>
          <w:p w14:paraId="4D7492FE">
            <w:pPr>
              <w:pStyle w:val="2"/>
              <w:spacing w:after="0" w:line="240" w:lineRule="auto"/>
              <w:ind w:firstLine="0" w:firstLineChars="0"/>
              <w:jc w:val="center"/>
              <w:rPr>
                <w:sz w:val="21"/>
                <w:szCs w:val="21"/>
              </w:rPr>
            </w:pPr>
            <w:r>
              <w:rPr>
                <w:rFonts w:hint="eastAsia"/>
                <w:bCs/>
                <w:sz w:val="21"/>
                <w:szCs w:val="21"/>
              </w:rPr>
              <w:t>八里屯村</w:t>
            </w:r>
          </w:p>
        </w:tc>
        <w:tc>
          <w:tcPr>
            <w:tcW w:w="2063" w:type="dxa"/>
            <w:vAlign w:val="center"/>
          </w:tcPr>
          <w:p w14:paraId="51C42D35">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329B71DF">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106C426B">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243CC483">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4A4B8D90">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4F829B16">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608489A9">
            <w:pPr>
              <w:pStyle w:val="2"/>
              <w:spacing w:after="0" w:line="240" w:lineRule="auto"/>
              <w:ind w:firstLine="0" w:firstLineChars="0"/>
              <w:jc w:val="center"/>
              <w:rPr>
                <w:sz w:val="21"/>
                <w:szCs w:val="21"/>
              </w:rPr>
            </w:pPr>
            <w:r>
              <w:rPr>
                <w:rFonts w:hint="eastAsia"/>
                <w:sz w:val="21"/>
                <w:szCs w:val="21"/>
              </w:rPr>
              <w:t>0</w:t>
            </w:r>
          </w:p>
        </w:tc>
      </w:tr>
      <w:tr w14:paraId="639A6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7C7786B7">
            <w:pPr>
              <w:pStyle w:val="2"/>
              <w:spacing w:after="0" w:line="240" w:lineRule="auto"/>
              <w:ind w:firstLine="0" w:firstLineChars="0"/>
              <w:jc w:val="center"/>
              <w:rPr>
                <w:sz w:val="21"/>
                <w:szCs w:val="21"/>
              </w:rPr>
            </w:pPr>
            <w:r>
              <w:rPr>
                <w:rFonts w:hint="eastAsia"/>
                <w:sz w:val="21"/>
                <w:szCs w:val="21"/>
              </w:rPr>
              <w:t>10</w:t>
            </w:r>
          </w:p>
        </w:tc>
        <w:tc>
          <w:tcPr>
            <w:tcW w:w="1976" w:type="dxa"/>
            <w:vAlign w:val="center"/>
          </w:tcPr>
          <w:p w14:paraId="10780422">
            <w:pPr>
              <w:pStyle w:val="2"/>
              <w:spacing w:after="0" w:line="240" w:lineRule="auto"/>
              <w:ind w:firstLine="0" w:firstLineChars="0"/>
              <w:jc w:val="center"/>
              <w:rPr>
                <w:sz w:val="21"/>
                <w:szCs w:val="21"/>
              </w:rPr>
            </w:pPr>
            <w:r>
              <w:rPr>
                <w:rFonts w:hint="eastAsia"/>
                <w:bCs/>
                <w:sz w:val="21"/>
                <w:szCs w:val="21"/>
              </w:rPr>
              <w:t>电机厂家属院</w:t>
            </w:r>
          </w:p>
        </w:tc>
        <w:tc>
          <w:tcPr>
            <w:tcW w:w="2063" w:type="dxa"/>
            <w:vAlign w:val="center"/>
          </w:tcPr>
          <w:p w14:paraId="40E49D28">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08D35D30">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2FAAA4A0">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407A4BB7">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2EB79129">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53489807">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22FD1EFC">
            <w:pPr>
              <w:pStyle w:val="2"/>
              <w:spacing w:after="0" w:line="240" w:lineRule="auto"/>
              <w:ind w:firstLine="0" w:firstLineChars="0"/>
              <w:jc w:val="center"/>
              <w:rPr>
                <w:sz w:val="21"/>
                <w:szCs w:val="21"/>
              </w:rPr>
            </w:pPr>
            <w:r>
              <w:rPr>
                <w:rFonts w:hint="eastAsia"/>
                <w:sz w:val="21"/>
                <w:szCs w:val="21"/>
              </w:rPr>
              <w:t>0</w:t>
            </w:r>
          </w:p>
        </w:tc>
      </w:tr>
      <w:tr w14:paraId="27542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355110F2">
            <w:pPr>
              <w:pStyle w:val="2"/>
              <w:spacing w:after="0" w:line="240" w:lineRule="auto"/>
              <w:ind w:firstLine="0" w:firstLineChars="0"/>
              <w:jc w:val="center"/>
              <w:rPr>
                <w:sz w:val="21"/>
                <w:szCs w:val="21"/>
              </w:rPr>
            </w:pPr>
            <w:r>
              <w:rPr>
                <w:rFonts w:hint="eastAsia"/>
                <w:sz w:val="21"/>
                <w:szCs w:val="21"/>
              </w:rPr>
              <w:t>11</w:t>
            </w:r>
          </w:p>
        </w:tc>
        <w:tc>
          <w:tcPr>
            <w:tcW w:w="1976" w:type="dxa"/>
            <w:vAlign w:val="center"/>
          </w:tcPr>
          <w:p w14:paraId="0203E524">
            <w:pPr>
              <w:pStyle w:val="2"/>
              <w:spacing w:after="0" w:line="240" w:lineRule="auto"/>
              <w:ind w:firstLine="0" w:firstLineChars="0"/>
              <w:jc w:val="center"/>
              <w:rPr>
                <w:sz w:val="21"/>
                <w:szCs w:val="21"/>
              </w:rPr>
            </w:pPr>
            <w:r>
              <w:rPr>
                <w:rFonts w:hint="eastAsia"/>
                <w:bCs/>
                <w:sz w:val="21"/>
                <w:szCs w:val="21"/>
              </w:rPr>
              <w:t>天和 龙岸北郡</w:t>
            </w:r>
          </w:p>
        </w:tc>
        <w:tc>
          <w:tcPr>
            <w:tcW w:w="2063" w:type="dxa"/>
            <w:vAlign w:val="center"/>
          </w:tcPr>
          <w:p w14:paraId="0FD3EC44">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6E703446">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619243CF">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43404912">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14400E75">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78776CF3">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189BAD4D">
            <w:pPr>
              <w:pStyle w:val="2"/>
              <w:spacing w:after="0" w:line="240" w:lineRule="auto"/>
              <w:ind w:firstLine="0" w:firstLineChars="0"/>
              <w:jc w:val="center"/>
              <w:rPr>
                <w:sz w:val="21"/>
                <w:szCs w:val="21"/>
              </w:rPr>
            </w:pPr>
            <w:r>
              <w:rPr>
                <w:rFonts w:hint="eastAsia"/>
                <w:sz w:val="21"/>
                <w:szCs w:val="21"/>
              </w:rPr>
              <w:t>0</w:t>
            </w:r>
          </w:p>
        </w:tc>
      </w:tr>
      <w:tr w14:paraId="606D6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61C5763D">
            <w:pPr>
              <w:pStyle w:val="2"/>
              <w:spacing w:after="0" w:line="240" w:lineRule="auto"/>
              <w:ind w:firstLine="0" w:firstLineChars="0"/>
              <w:jc w:val="center"/>
              <w:rPr>
                <w:sz w:val="21"/>
                <w:szCs w:val="21"/>
              </w:rPr>
            </w:pPr>
            <w:r>
              <w:rPr>
                <w:rFonts w:hint="eastAsia"/>
                <w:sz w:val="21"/>
                <w:szCs w:val="21"/>
              </w:rPr>
              <w:t>12</w:t>
            </w:r>
          </w:p>
        </w:tc>
        <w:tc>
          <w:tcPr>
            <w:tcW w:w="1976" w:type="dxa"/>
            <w:vAlign w:val="center"/>
          </w:tcPr>
          <w:p w14:paraId="6F55EA3C">
            <w:pPr>
              <w:pStyle w:val="2"/>
              <w:spacing w:after="0" w:line="240" w:lineRule="auto"/>
              <w:ind w:firstLine="0" w:firstLineChars="0"/>
              <w:jc w:val="center"/>
              <w:rPr>
                <w:sz w:val="21"/>
                <w:szCs w:val="21"/>
              </w:rPr>
            </w:pPr>
            <w:r>
              <w:rPr>
                <w:rFonts w:hint="eastAsia"/>
                <w:bCs/>
                <w:sz w:val="21"/>
                <w:szCs w:val="21"/>
              </w:rPr>
              <w:t>辛庄村</w:t>
            </w:r>
          </w:p>
        </w:tc>
        <w:tc>
          <w:tcPr>
            <w:tcW w:w="2063" w:type="dxa"/>
            <w:vAlign w:val="center"/>
          </w:tcPr>
          <w:p w14:paraId="0CB6B296">
            <w:pPr>
              <w:pStyle w:val="2"/>
              <w:spacing w:after="0" w:line="240" w:lineRule="auto"/>
              <w:ind w:firstLine="0" w:firstLineChars="0"/>
              <w:jc w:val="center"/>
              <w:rPr>
                <w:sz w:val="21"/>
                <w:szCs w:val="21"/>
              </w:rPr>
            </w:pPr>
            <w:r>
              <w:rPr>
                <w:rFonts w:hint="eastAsia"/>
                <w:sz w:val="21"/>
                <w:szCs w:val="21"/>
              </w:rPr>
              <w:t>0.00E+00</w:t>
            </w:r>
            <w:r>
              <w:rPr>
                <w:rFonts w:hint="eastAsia"/>
                <w:b/>
                <w:bCs/>
                <w:sz w:val="21"/>
                <w:szCs w:val="21"/>
              </w:rPr>
              <w:t>|5</w:t>
            </w:r>
          </w:p>
        </w:tc>
        <w:tc>
          <w:tcPr>
            <w:tcW w:w="1528" w:type="dxa"/>
            <w:vAlign w:val="center"/>
          </w:tcPr>
          <w:p w14:paraId="759CAE29">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16D242BF">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1B5769F0">
            <w:pPr>
              <w:pStyle w:val="2"/>
              <w:spacing w:after="0" w:line="240" w:lineRule="auto"/>
              <w:ind w:firstLine="0" w:firstLineChars="0"/>
              <w:jc w:val="center"/>
              <w:rPr>
                <w:sz w:val="21"/>
                <w:szCs w:val="21"/>
              </w:rPr>
            </w:pPr>
            <w:r>
              <w:rPr>
                <w:rFonts w:hint="eastAsia"/>
                <w:sz w:val="21"/>
                <w:szCs w:val="21"/>
              </w:rPr>
              <w:t>0</w:t>
            </w:r>
          </w:p>
        </w:tc>
        <w:tc>
          <w:tcPr>
            <w:tcW w:w="1549" w:type="dxa"/>
            <w:vAlign w:val="center"/>
          </w:tcPr>
          <w:p w14:paraId="0387D9C8">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0DBA8CF9">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48BEF297">
            <w:pPr>
              <w:pStyle w:val="2"/>
              <w:spacing w:after="0" w:line="240" w:lineRule="auto"/>
              <w:ind w:firstLine="0" w:firstLineChars="0"/>
              <w:jc w:val="center"/>
              <w:rPr>
                <w:sz w:val="21"/>
                <w:szCs w:val="21"/>
              </w:rPr>
            </w:pPr>
            <w:r>
              <w:rPr>
                <w:rFonts w:hint="eastAsia"/>
                <w:sz w:val="21"/>
                <w:szCs w:val="21"/>
              </w:rPr>
              <w:t>0</w:t>
            </w:r>
          </w:p>
        </w:tc>
      </w:tr>
      <w:tr w14:paraId="073A8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5FD3D14D">
            <w:pPr>
              <w:pStyle w:val="2"/>
              <w:spacing w:after="0" w:line="240" w:lineRule="auto"/>
              <w:ind w:firstLine="0" w:firstLineChars="0"/>
              <w:jc w:val="center"/>
              <w:rPr>
                <w:sz w:val="21"/>
                <w:szCs w:val="21"/>
              </w:rPr>
            </w:pPr>
            <w:r>
              <w:rPr>
                <w:rFonts w:hint="eastAsia"/>
                <w:sz w:val="21"/>
                <w:szCs w:val="21"/>
              </w:rPr>
              <w:t>13</w:t>
            </w:r>
          </w:p>
        </w:tc>
        <w:tc>
          <w:tcPr>
            <w:tcW w:w="1976" w:type="dxa"/>
            <w:vAlign w:val="center"/>
          </w:tcPr>
          <w:p w14:paraId="5C1155C1">
            <w:pPr>
              <w:pStyle w:val="2"/>
              <w:spacing w:after="0" w:line="240" w:lineRule="auto"/>
              <w:ind w:firstLine="0" w:firstLineChars="0"/>
              <w:jc w:val="center"/>
              <w:rPr>
                <w:sz w:val="21"/>
                <w:szCs w:val="21"/>
              </w:rPr>
            </w:pPr>
            <w:r>
              <w:rPr>
                <w:rFonts w:hint="eastAsia"/>
                <w:sz w:val="21"/>
                <w:szCs w:val="21"/>
              </w:rPr>
              <w:t>卫辉市区</w:t>
            </w:r>
          </w:p>
        </w:tc>
        <w:tc>
          <w:tcPr>
            <w:tcW w:w="2063" w:type="dxa"/>
            <w:vAlign w:val="center"/>
          </w:tcPr>
          <w:p w14:paraId="3A116747">
            <w:pPr>
              <w:pStyle w:val="2"/>
              <w:spacing w:after="0" w:line="240" w:lineRule="auto"/>
              <w:ind w:firstLine="0" w:firstLineChars="0"/>
              <w:jc w:val="center"/>
              <w:rPr>
                <w:sz w:val="21"/>
                <w:szCs w:val="21"/>
              </w:rPr>
            </w:pPr>
            <w:r>
              <w:rPr>
                <w:rFonts w:hint="eastAsia"/>
                <w:sz w:val="21"/>
                <w:szCs w:val="21"/>
              </w:rPr>
              <w:t>5.00E-05</w:t>
            </w:r>
            <w:r>
              <w:rPr>
                <w:rFonts w:hint="eastAsia"/>
                <w:b/>
                <w:bCs/>
                <w:sz w:val="21"/>
                <w:szCs w:val="21"/>
              </w:rPr>
              <w:t>|15</w:t>
            </w:r>
          </w:p>
        </w:tc>
        <w:tc>
          <w:tcPr>
            <w:tcW w:w="1528" w:type="dxa"/>
            <w:vAlign w:val="center"/>
          </w:tcPr>
          <w:p w14:paraId="016155E6">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0E29019E">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562FD28E">
            <w:pPr>
              <w:pStyle w:val="2"/>
              <w:spacing w:after="0" w:line="240" w:lineRule="auto"/>
              <w:ind w:firstLine="0" w:firstLineChars="0"/>
              <w:jc w:val="center"/>
              <w:rPr>
                <w:sz w:val="21"/>
                <w:szCs w:val="21"/>
              </w:rPr>
            </w:pPr>
            <w:r>
              <w:rPr>
                <w:rFonts w:hint="eastAsia"/>
                <w:sz w:val="21"/>
                <w:szCs w:val="21"/>
              </w:rPr>
              <w:t>5.00E-05</w:t>
            </w:r>
          </w:p>
        </w:tc>
        <w:tc>
          <w:tcPr>
            <w:tcW w:w="1549" w:type="dxa"/>
            <w:vAlign w:val="center"/>
          </w:tcPr>
          <w:p w14:paraId="03AD73DC">
            <w:pPr>
              <w:pStyle w:val="2"/>
              <w:spacing w:after="0" w:line="240" w:lineRule="auto"/>
              <w:ind w:firstLine="0" w:firstLineChars="0"/>
              <w:jc w:val="center"/>
              <w:rPr>
                <w:sz w:val="21"/>
                <w:szCs w:val="21"/>
              </w:rPr>
            </w:pPr>
            <w:r>
              <w:rPr>
                <w:rFonts w:hint="eastAsia"/>
                <w:sz w:val="21"/>
                <w:szCs w:val="21"/>
              </w:rPr>
              <w:t>2.69E-05</w:t>
            </w:r>
          </w:p>
        </w:tc>
        <w:tc>
          <w:tcPr>
            <w:tcW w:w="1519" w:type="dxa"/>
            <w:vAlign w:val="center"/>
          </w:tcPr>
          <w:p w14:paraId="304267AF">
            <w:pPr>
              <w:pStyle w:val="2"/>
              <w:spacing w:after="0" w:line="240" w:lineRule="auto"/>
              <w:ind w:firstLine="0" w:firstLineChars="0"/>
              <w:jc w:val="center"/>
              <w:rPr>
                <w:sz w:val="21"/>
                <w:szCs w:val="21"/>
              </w:rPr>
            </w:pPr>
            <w:r>
              <w:rPr>
                <w:rFonts w:hint="eastAsia"/>
                <w:sz w:val="21"/>
                <w:szCs w:val="21"/>
              </w:rPr>
              <w:t>4.24E-05</w:t>
            </w:r>
          </w:p>
        </w:tc>
        <w:tc>
          <w:tcPr>
            <w:tcW w:w="1595" w:type="dxa"/>
            <w:vAlign w:val="center"/>
          </w:tcPr>
          <w:p w14:paraId="7E907737">
            <w:pPr>
              <w:pStyle w:val="2"/>
              <w:spacing w:after="0" w:line="240" w:lineRule="auto"/>
              <w:ind w:firstLine="0" w:firstLineChars="0"/>
              <w:jc w:val="center"/>
              <w:rPr>
                <w:sz w:val="21"/>
                <w:szCs w:val="21"/>
              </w:rPr>
            </w:pPr>
            <w:r>
              <w:rPr>
                <w:rFonts w:hint="eastAsia"/>
                <w:sz w:val="21"/>
                <w:szCs w:val="21"/>
              </w:rPr>
              <w:t>4.06E-05</w:t>
            </w:r>
          </w:p>
        </w:tc>
      </w:tr>
      <w:tr w14:paraId="7C098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6B4A5ABF">
            <w:pPr>
              <w:pStyle w:val="2"/>
              <w:spacing w:after="0" w:line="240" w:lineRule="auto"/>
              <w:ind w:firstLine="0" w:firstLineChars="0"/>
              <w:jc w:val="center"/>
              <w:rPr>
                <w:sz w:val="21"/>
                <w:szCs w:val="21"/>
              </w:rPr>
            </w:pPr>
            <w:r>
              <w:rPr>
                <w:rFonts w:hint="eastAsia"/>
                <w:sz w:val="21"/>
                <w:szCs w:val="21"/>
              </w:rPr>
              <w:t>14</w:t>
            </w:r>
          </w:p>
        </w:tc>
        <w:tc>
          <w:tcPr>
            <w:tcW w:w="1976" w:type="dxa"/>
            <w:vAlign w:val="center"/>
          </w:tcPr>
          <w:p w14:paraId="1E882FF3">
            <w:pPr>
              <w:pStyle w:val="2"/>
              <w:spacing w:after="0" w:line="240" w:lineRule="auto"/>
              <w:ind w:firstLine="0" w:firstLineChars="0"/>
              <w:jc w:val="center"/>
              <w:rPr>
                <w:sz w:val="21"/>
                <w:szCs w:val="21"/>
              </w:rPr>
            </w:pPr>
            <w:r>
              <w:rPr>
                <w:rFonts w:hint="eastAsia"/>
                <w:sz w:val="21"/>
                <w:szCs w:val="21"/>
              </w:rPr>
              <w:t>新乡医学院第一附属医院</w:t>
            </w:r>
          </w:p>
        </w:tc>
        <w:tc>
          <w:tcPr>
            <w:tcW w:w="2063" w:type="dxa"/>
            <w:vAlign w:val="center"/>
          </w:tcPr>
          <w:p w14:paraId="126BE55E">
            <w:pPr>
              <w:pStyle w:val="2"/>
              <w:spacing w:after="0" w:line="240" w:lineRule="auto"/>
              <w:ind w:firstLine="0" w:firstLineChars="0"/>
              <w:jc w:val="center"/>
              <w:rPr>
                <w:sz w:val="21"/>
                <w:szCs w:val="21"/>
              </w:rPr>
            </w:pPr>
            <w:r>
              <w:rPr>
                <w:rFonts w:hint="eastAsia"/>
                <w:sz w:val="21"/>
                <w:szCs w:val="21"/>
              </w:rPr>
              <w:t>1.14E-10</w:t>
            </w:r>
            <w:r>
              <w:rPr>
                <w:rFonts w:hint="eastAsia"/>
                <w:b/>
                <w:bCs/>
                <w:sz w:val="21"/>
                <w:szCs w:val="21"/>
              </w:rPr>
              <w:t>|15</w:t>
            </w:r>
          </w:p>
        </w:tc>
        <w:tc>
          <w:tcPr>
            <w:tcW w:w="1528" w:type="dxa"/>
            <w:vAlign w:val="center"/>
          </w:tcPr>
          <w:p w14:paraId="169334E7">
            <w:pPr>
              <w:pStyle w:val="2"/>
              <w:spacing w:after="0" w:line="240" w:lineRule="auto"/>
              <w:ind w:firstLine="0" w:firstLineChars="0"/>
              <w:jc w:val="center"/>
              <w:rPr>
                <w:sz w:val="21"/>
                <w:szCs w:val="21"/>
              </w:rPr>
            </w:pPr>
            <w:r>
              <w:rPr>
                <w:rFonts w:hint="eastAsia"/>
                <w:sz w:val="21"/>
                <w:szCs w:val="21"/>
              </w:rPr>
              <w:t>0</w:t>
            </w:r>
          </w:p>
        </w:tc>
        <w:tc>
          <w:tcPr>
            <w:tcW w:w="1585" w:type="dxa"/>
            <w:vAlign w:val="center"/>
          </w:tcPr>
          <w:p w14:paraId="28614DBF">
            <w:pPr>
              <w:pStyle w:val="2"/>
              <w:spacing w:after="0" w:line="240" w:lineRule="auto"/>
              <w:ind w:firstLine="0" w:firstLineChars="0"/>
              <w:jc w:val="center"/>
              <w:rPr>
                <w:sz w:val="21"/>
                <w:szCs w:val="21"/>
              </w:rPr>
            </w:pPr>
            <w:r>
              <w:rPr>
                <w:rFonts w:hint="eastAsia"/>
                <w:sz w:val="21"/>
                <w:szCs w:val="21"/>
              </w:rPr>
              <w:t>0</w:t>
            </w:r>
          </w:p>
        </w:tc>
        <w:tc>
          <w:tcPr>
            <w:tcW w:w="1551" w:type="dxa"/>
            <w:vAlign w:val="center"/>
          </w:tcPr>
          <w:p w14:paraId="37F06B55">
            <w:pPr>
              <w:pStyle w:val="2"/>
              <w:spacing w:after="0" w:line="240" w:lineRule="auto"/>
              <w:ind w:firstLine="0" w:firstLineChars="0"/>
              <w:jc w:val="center"/>
              <w:rPr>
                <w:sz w:val="21"/>
                <w:szCs w:val="21"/>
              </w:rPr>
            </w:pPr>
            <w:r>
              <w:rPr>
                <w:rFonts w:hint="eastAsia"/>
                <w:sz w:val="21"/>
                <w:szCs w:val="21"/>
              </w:rPr>
              <w:t>1.14E-10</w:t>
            </w:r>
          </w:p>
        </w:tc>
        <w:tc>
          <w:tcPr>
            <w:tcW w:w="1549" w:type="dxa"/>
            <w:vAlign w:val="center"/>
          </w:tcPr>
          <w:p w14:paraId="1D5278A4">
            <w:pPr>
              <w:pStyle w:val="2"/>
              <w:spacing w:after="0" w:line="240" w:lineRule="auto"/>
              <w:ind w:firstLine="0" w:firstLineChars="0"/>
              <w:jc w:val="center"/>
              <w:rPr>
                <w:sz w:val="21"/>
                <w:szCs w:val="21"/>
              </w:rPr>
            </w:pPr>
            <w:r>
              <w:rPr>
                <w:rFonts w:hint="eastAsia"/>
                <w:sz w:val="21"/>
                <w:szCs w:val="21"/>
              </w:rPr>
              <w:t>9.21E-11</w:t>
            </w:r>
          </w:p>
        </w:tc>
        <w:tc>
          <w:tcPr>
            <w:tcW w:w="1519" w:type="dxa"/>
            <w:vAlign w:val="center"/>
          </w:tcPr>
          <w:p w14:paraId="7FEB0078">
            <w:pPr>
              <w:pStyle w:val="2"/>
              <w:spacing w:after="0" w:line="240" w:lineRule="auto"/>
              <w:ind w:firstLine="0" w:firstLineChars="0"/>
              <w:jc w:val="center"/>
              <w:rPr>
                <w:sz w:val="21"/>
                <w:szCs w:val="21"/>
              </w:rPr>
            </w:pPr>
            <w:r>
              <w:rPr>
                <w:rFonts w:hint="eastAsia"/>
                <w:sz w:val="21"/>
                <w:szCs w:val="21"/>
              </w:rPr>
              <w:t>1.05E-10</w:t>
            </w:r>
          </w:p>
        </w:tc>
        <w:tc>
          <w:tcPr>
            <w:tcW w:w="1595" w:type="dxa"/>
            <w:vAlign w:val="center"/>
          </w:tcPr>
          <w:p w14:paraId="757DF413">
            <w:pPr>
              <w:pStyle w:val="2"/>
              <w:spacing w:after="0" w:line="240" w:lineRule="auto"/>
              <w:ind w:firstLine="0" w:firstLineChars="0"/>
              <w:jc w:val="center"/>
              <w:rPr>
                <w:sz w:val="21"/>
                <w:szCs w:val="21"/>
              </w:rPr>
            </w:pPr>
            <w:r>
              <w:rPr>
                <w:rFonts w:hint="eastAsia"/>
                <w:sz w:val="21"/>
                <w:szCs w:val="21"/>
              </w:rPr>
              <w:t>7.20E-11</w:t>
            </w:r>
          </w:p>
        </w:tc>
      </w:tr>
      <w:tr w14:paraId="3B2EE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13844163">
            <w:pPr>
              <w:pStyle w:val="2"/>
              <w:spacing w:after="0" w:line="240" w:lineRule="auto"/>
              <w:ind w:firstLine="0" w:firstLineChars="0"/>
              <w:jc w:val="center"/>
              <w:rPr>
                <w:sz w:val="21"/>
                <w:szCs w:val="21"/>
              </w:rPr>
            </w:pPr>
            <w:r>
              <w:rPr>
                <w:rFonts w:hint="eastAsia"/>
                <w:sz w:val="21"/>
                <w:szCs w:val="21"/>
              </w:rPr>
              <w:t>15</w:t>
            </w:r>
          </w:p>
        </w:tc>
        <w:tc>
          <w:tcPr>
            <w:tcW w:w="1976" w:type="dxa"/>
            <w:vAlign w:val="center"/>
          </w:tcPr>
          <w:p w14:paraId="53CD21A5">
            <w:pPr>
              <w:pStyle w:val="2"/>
              <w:spacing w:after="0" w:line="240" w:lineRule="auto"/>
              <w:ind w:firstLine="0" w:firstLineChars="0"/>
              <w:jc w:val="center"/>
              <w:rPr>
                <w:sz w:val="21"/>
                <w:szCs w:val="21"/>
              </w:rPr>
            </w:pPr>
            <w:r>
              <w:rPr>
                <w:rFonts w:hint="eastAsia"/>
                <w:sz w:val="21"/>
                <w:szCs w:val="21"/>
              </w:rPr>
              <w:t>下园村</w:t>
            </w:r>
          </w:p>
        </w:tc>
        <w:tc>
          <w:tcPr>
            <w:tcW w:w="2063" w:type="dxa"/>
            <w:vAlign w:val="center"/>
          </w:tcPr>
          <w:p w14:paraId="34E4E329">
            <w:pPr>
              <w:pStyle w:val="2"/>
              <w:spacing w:after="0" w:line="240" w:lineRule="auto"/>
              <w:ind w:firstLine="0" w:firstLineChars="0"/>
              <w:jc w:val="center"/>
              <w:rPr>
                <w:sz w:val="21"/>
                <w:szCs w:val="21"/>
              </w:rPr>
            </w:pPr>
            <w:r>
              <w:rPr>
                <w:rFonts w:hint="eastAsia"/>
                <w:sz w:val="21"/>
                <w:szCs w:val="21"/>
              </w:rPr>
              <w:t>1.21E-29</w:t>
            </w:r>
            <w:r>
              <w:rPr>
                <w:rFonts w:hint="eastAsia"/>
                <w:b/>
                <w:bCs/>
                <w:sz w:val="21"/>
                <w:szCs w:val="21"/>
              </w:rPr>
              <w:t>|5</w:t>
            </w:r>
          </w:p>
        </w:tc>
        <w:tc>
          <w:tcPr>
            <w:tcW w:w="1528" w:type="dxa"/>
            <w:vAlign w:val="center"/>
          </w:tcPr>
          <w:p w14:paraId="77F51955">
            <w:pPr>
              <w:pStyle w:val="2"/>
              <w:spacing w:after="0" w:line="240" w:lineRule="auto"/>
              <w:ind w:firstLine="0" w:firstLineChars="0"/>
              <w:jc w:val="center"/>
              <w:rPr>
                <w:sz w:val="21"/>
                <w:szCs w:val="21"/>
              </w:rPr>
            </w:pPr>
            <w:r>
              <w:rPr>
                <w:rFonts w:hint="eastAsia"/>
                <w:sz w:val="21"/>
                <w:szCs w:val="21"/>
              </w:rPr>
              <w:t>1.21E-29</w:t>
            </w:r>
          </w:p>
        </w:tc>
        <w:tc>
          <w:tcPr>
            <w:tcW w:w="1585" w:type="dxa"/>
            <w:vAlign w:val="center"/>
          </w:tcPr>
          <w:p w14:paraId="10D9D395">
            <w:pPr>
              <w:pStyle w:val="2"/>
              <w:spacing w:after="0" w:line="240" w:lineRule="auto"/>
              <w:ind w:firstLine="0" w:firstLineChars="0"/>
              <w:jc w:val="center"/>
              <w:rPr>
                <w:sz w:val="21"/>
                <w:szCs w:val="21"/>
              </w:rPr>
            </w:pPr>
            <w:r>
              <w:rPr>
                <w:rFonts w:hint="eastAsia"/>
                <w:sz w:val="21"/>
                <w:szCs w:val="21"/>
              </w:rPr>
              <w:t>1.21E-29</w:t>
            </w:r>
          </w:p>
        </w:tc>
        <w:tc>
          <w:tcPr>
            <w:tcW w:w="1551" w:type="dxa"/>
            <w:vAlign w:val="center"/>
          </w:tcPr>
          <w:p w14:paraId="0F96BECB">
            <w:pPr>
              <w:pStyle w:val="2"/>
              <w:spacing w:after="0" w:line="240" w:lineRule="auto"/>
              <w:ind w:firstLine="0" w:firstLineChars="0"/>
              <w:jc w:val="center"/>
              <w:rPr>
                <w:sz w:val="21"/>
                <w:szCs w:val="21"/>
              </w:rPr>
            </w:pPr>
            <w:r>
              <w:rPr>
                <w:rFonts w:hint="eastAsia"/>
                <w:sz w:val="21"/>
                <w:szCs w:val="21"/>
              </w:rPr>
              <w:t>1.21E-29</w:t>
            </w:r>
          </w:p>
        </w:tc>
        <w:tc>
          <w:tcPr>
            <w:tcW w:w="1549" w:type="dxa"/>
            <w:vAlign w:val="center"/>
          </w:tcPr>
          <w:p w14:paraId="2522260C">
            <w:pPr>
              <w:pStyle w:val="2"/>
              <w:spacing w:after="0" w:line="240" w:lineRule="auto"/>
              <w:ind w:firstLine="0" w:firstLineChars="0"/>
              <w:jc w:val="center"/>
              <w:rPr>
                <w:sz w:val="21"/>
                <w:szCs w:val="21"/>
              </w:rPr>
            </w:pPr>
            <w:r>
              <w:rPr>
                <w:rFonts w:hint="eastAsia"/>
                <w:sz w:val="21"/>
                <w:szCs w:val="21"/>
              </w:rPr>
              <w:t>0</w:t>
            </w:r>
          </w:p>
        </w:tc>
        <w:tc>
          <w:tcPr>
            <w:tcW w:w="1519" w:type="dxa"/>
            <w:vAlign w:val="center"/>
          </w:tcPr>
          <w:p w14:paraId="2A1A6BF5">
            <w:pPr>
              <w:pStyle w:val="2"/>
              <w:spacing w:after="0" w:line="240" w:lineRule="auto"/>
              <w:ind w:firstLine="0" w:firstLineChars="0"/>
              <w:jc w:val="center"/>
              <w:rPr>
                <w:sz w:val="21"/>
                <w:szCs w:val="21"/>
              </w:rPr>
            </w:pPr>
            <w:r>
              <w:rPr>
                <w:rFonts w:hint="eastAsia"/>
                <w:sz w:val="21"/>
                <w:szCs w:val="21"/>
              </w:rPr>
              <w:t>0</w:t>
            </w:r>
          </w:p>
        </w:tc>
        <w:tc>
          <w:tcPr>
            <w:tcW w:w="1595" w:type="dxa"/>
            <w:vAlign w:val="center"/>
          </w:tcPr>
          <w:p w14:paraId="52AC686D">
            <w:pPr>
              <w:pStyle w:val="2"/>
              <w:spacing w:after="0" w:line="240" w:lineRule="auto"/>
              <w:ind w:firstLine="0" w:firstLineChars="0"/>
              <w:jc w:val="center"/>
              <w:rPr>
                <w:sz w:val="21"/>
                <w:szCs w:val="21"/>
              </w:rPr>
            </w:pPr>
            <w:r>
              <w:rPr>
                <w:rFonts w:hint="eastAsia"/>
                <w:sz w:val="21"/>
                <w:szCs w:val="21"/>
              </w:rPr>
              <w:t>0</w:t>
            </w:r>
          </w:p>
        </w:tc>
      </w:tr>
      <w:tr w14:paraId="7530F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12B7E24C">
            <w:pPr>
              <w:pStyle w:val="2"/>
              <w:spacing w:after="0" w:line="240" w:lineRule="auto"/>
              <w:ind w:firstLine="0" w:firstLineChars="0"/>
              <w:jc w:val="center"/>
              <w:rPr>
                <w:sz w:val="21"/>
                <w:szCs w:val="21"/>
              </w:rPr>
            </w:pPr>
            <w:r>
              <w:rPr>
                <w:rFonts w:hint="eastAsia"/>
                <w:sz w:val="21"/>
                <w:szCs w:val="21"/>
              </w:rPr>
              <w:t>16</w:t>
            </w:r>
          </w:p>
        </w:tc>
        <w:tc>
          <w:tcPr>
            <w:tcW w:w="1976" w:type="dxa"/>
            <w:vAlign w:val="center"/>
          </w:tcPr>
          <w:p w14:paraId="337126BF">
            <w:pPr>
              <w:pStyle w:val="2"/>
              <w:spacing w:after="0" w:line="240" w:lineRule="auto"/>
              <w:ind w:firstLine="0" w:firstLineChars="0"/>
              <w:jc w:val="center"/>
              <w:rPr>
                <w:sz w:val="21"/>
                <w:szCs w:val="21"/>
              </w:rPr>
            </w:pPr>
            <w:r>
              <w:rPr>
                <w:rFonts w:hint="eastAsia"/>
                <w:sz w:val="21"/>
                <w:szCs w:val="21"/>
              </w:rPr>
              <w:t>龙王庙</w:t>
            </w:r>
          </w:p>
        </w:tc>
        <w:tc>
          <w:tcPr>
            <w:tcW w:w="2063" w:type="dxa"/>
            <w:vAlign w:val="center"/>
          </w:tcPr>
          <w:p w14:paraId="0A00FAC8">
            <w:pPr>
              <w:pStyle w:val="2"/>
              <w:spacing w:after="0" w:line="240" w:lineRule="auto"/>
              <w:ind w:firstLine="0" w:firstLineChars="0"/>
              <w:jc w:val="center"/>
              <w:rPr>
                <w:sz w:val="21"/>
                <w:szCs w:val="21"/>
              </w:rPr>
            </w:pPr>
            <w:r>
              <w:rPr>
                <w:rFonts w:hint="eastAsia"/>
                <w:sz w:val="21"/>
                <w:szCs w:val="21"/>
              </w:rPr>
              <w:t>2.26E-06</w:t>
            </w:r>
            <w:r>
              <w:rPr>
                <w:rFonts w:hint="eastAsia"/>
                <w:b/>
                <w:bCs/>
                <w:sz w:val="21"/>
                <w:szCs w:val="21"/>
              </w:rPr>
              <w:t>|5</w:t>
            </w:r>
          </w:p>
        </w:tc>
        <w:tc>
          <w:tcPr>
            <w:tcW w:w="1528" w:type="dxa"/>
            <w:vAlign w:val="center"/>
          </w:tcPr>
          <w:p w14:paraId="6583A35C">
            <w:pPr>
              <w:pStyle w:val="2"/>
              <w:spacing w:after="0" w:line="240" w:lineRule="auto"/>
              <w:ind w:firstLine="0" w:firstLineChars="0"/>
              <w:jc w:val="center"/>
              <w:rPr>
                <w:sz w:val="21"/>
                <w:szCs w:val="21"/>
              </w:rPr>
            </w:pPr>
            <w:r>
              <w:rPr>
                <w:rFonts w:hint="eastAsia"/>
                <w:sz w:val="21"/>
                <w:szCs w:val="21"/>
              </w:rPr>
              <w:t>2.26E-06</w:t>
            </w:r>
          </w:p>
        </w:tc>
        <w:tc>
          <w:tcPr>
            <w:tcW w:w="1585" w:type="dxa"/>
            <w:vAlign w:val="center"/>
          </w:tcPr>
          <w:p w14:paraId="061EFA2F">
            <w:pPr>
              <w:pStyle w:val="2"/>
              <w:spacing w:after="0" w:line="240" w:lineRule="auto"/>
              <w:ind w:firstLine="0" w:firstLineChars="0"/>
              <w:jc w:val="center"/>
              <w:rPr>
                <w:sz w:val="21"/>
                <w:szCs w:val="21"/>
              </w:rPr>
            </w:pPr>
            <w:r>
              <w:rPr>
                <w:rFonts w:hint="eastAsia"/>
                <w:sz w:val="21"/>
                <w:szCs w:val="21"/>
              </w:rPr>
              <w:t>2.26E-06</w:t>
            </w:r>
          </w:p>
        </w:tc>
        <w:tc>
          <w:tcPr>
            <w:tcW w:w="1551" w:type="dxa"/>
            <w:vAlign w:val="center"/>
          </w:tcPr>
          <w:p w14:paraId="6D7096EB">
            <w:pPr>
              <w:pStyle w:val="2"/>
              <w:spacing w:after="0" w:line="240" w:lineRule="auto"/>
              <w:ind w:firstLine="0" w:firstLineChars="0"/>
              <w:jc w:val="center"/>
              <w:rPr>
                <w:sz w:val="21"/>
                <w:szCs w:val="21"/>
              </w:rPr>
            </w:pPr>
            <w:r>
              <w:rPr>
                <w:rFonts w:hint="eastAsia"/>
                <w:sz w:val="21"/>
                <w:szCs w:val="21"/>
              </w:rPr>
              <w:t>2.26E-06</w:t>
            </w:r>
          </w:p>
        </w:tc>
        <w:tc>
          <w:tcPr>
            <w:tcW w:w="1549" w:type="dxa"/>
            <w:vAlign w:val="center"/>
          </w:tcPr>
          <w:p w14:paraId="135A97E8">
            <w:pPr>
              <w:pStyle w:val="2"/>
              <w:spacing w:after="0" w:line="240" w:lineRule="auto"/>
              <w:ind w:firstLine="0" w:firstLineChars="0"/>
              <w:jc w:val="center"/>
              <w:rPr>
                <w:sz w:val="21"/>
                <w:szCs w:val="21"/>
              </w:rPr>
            </w:pPr>
            <w:r>
              <w:rPr>
                <w:rFonts w:hint="eastAsia"/>
                <w:sz w:val="21"/>
                <w:szCs w:val="21"/>
              </w:rPr>
              <w:t>1.39E-06</w:t>
            </w:r>
          </w:p>
        </w:tc>
        <w:tc>
          <w:tcPr>
            <w:tcW w:w="1519" w:type="dxa"/>
            <w:vAlign w:val="center"/>
          </w:tcPr>
          <w:p w14:paraId="15824D5D">
            <w:pPr>
              <w:pStyle w:val="2"/>
              <w:spacing w:after="0" w:line="240" w:lineRule="auto"/>
              <w:ind w:firstLine="0" w:firstLineChars="0"/>
              <w:jc w:val="center"/>
              <w:rPr>
                <w:sz w:val="21"/>
                <w:szCs w:val="21"/>
              </w:rPr>
            </w:pPr>
            <w:r>
              <w:rPr>
                <w:rFonts w:hint="eastAsia"/>
                <w:sz w:val="21"/>
                <w:szCs w:val="21"/>
              </w:rPr>
              <w:t>2.77E-09</w:t>
            </w:r>
          </w:p>
        </w:tc>
        <w:tc>
          <w:tcPr>
            <w:tcW w:w="1595" w:type="dxa"/>
            <w:vAlign w:val="center"/>
          </w:tcPr>
          <w:p w14:paraId="42DEB776">
            <w:pPr>
              <w:pStyle w:val="2"/>
              <w:spacing w:after="0" w:line="240" w:lineRule="auto"/>
              <w:ind w:firstLine="0" w:firstLineChars="0"/>
              <w:jc w:val="center"/>
              <w:rPr>
                <w:sz w:val="21"/>
                <w:szCs w:val="21"/>
              </w:rPr>
            </w:pPr>
            <w:r>
              <w:rPr>
                <w:rFonts w:hint="eastAsia"/>
                <w:sz w:val="21"/>
                <w:szCs w:val="21"/>
              </w:rPr>
              <w:t>0</w:t>
            </w:r>
          </w:p>
        </w:tc>
      </w:tr>
    </w:tbl>
    <w:p w14:paraId="7494A488">
      <w:pPr>
        <w:ind w:firstLine="480"/>
        <w:sectPr>
          <w:pgSz w:w="16838" w:h="11906" w:orient="landscape"/>
          <w:pgMar w:top="1800" w:right="1440" w:bottom="1800" w:left="1440" w:header="851" w:footer="992" w:gutter="0"/>
          <w:cols w:space="425" w:num="1"/>
          <w:docGrid w:type="lines" w:linePitch="326" w:charSpace="0"/>
        </w:sectPr>
      </w:pPr>
    </w:p>
    <w:p w14:paraId="0F6B2BC3">
      <w:pPr>
        <w:ind w:firstLine="480"/>
      </w:pPr>
      <w:r>
        <w:rPr>
          <w:rFonts w:hint="eastAsia"/>
        </w:rPr>
        <w:t>泄漏事故结论：</w:t>
      </w:r>
    </w:p>
    <w:p w14:paraId="1D7A9FEC">
      <w:pPr>
        <w:ind w:left="440" w:firstLine="0" w:firstLineChars="0"/>
      </w:pPr>
      <w:r>
        <w:rPr>
          <w:rFonts w:hint="eastAsia"/>
        </w:rPr>
        <w:t>（1）物料泄漏</w:t>
      </w:r>
    </w:p>
    <w:p w14:paraId="28839CD9">
      <w:pPr>
        <w:ind w:firstLine="480"/>
      </w:pPr>
      <w:r>
        <w:rPr>
          <w:rFonts w:hint="eastAsia"/>
        </w:rPr>
        <w:t>①硫酸泄漏</w:t>
      </w:r>
    </w:p>
    <w:p w14:paraId="75883D8B">
      <w:pPr>
        <w:ind w:firstLine="480"/>
      </w:pPr>
      <w:r>
        <w:rPr>
          <w:rFonts w:hint="eastAsia"/>
        </w:rPr>
        <w:t>最不利气象条件下，当硫酸包装桶泄漏时，下风向最大高峰浓度为0.63144mg/m</w:t>
      </w:r>
      <w:r>
        <w:rPr>
          <w:rFonts w:hint="eastAsia"/>
          <w:vertAlign w:val="superscript"/>
        </w:rPr>
        <w:t>3</w:t>
      </w:r>
      <w:r>
        <w:rPr>
          <w:rFonts w:hint="eastAsia"/>
        </w:rPr>
        <w:t>，出现距离为10m；不存在毒性终点浓度-1浓度影响范围和毒性终点浓度-2浓度影响范围。该范围内无环境空气敏感点。</w:t>
      </w:r>
    </w:p>
    <w:p w14:paraId="6D498EC8">
      <w:pPr>
        <w:ind w:firstLine="480" w:firstLineChars="0"/>
      </w:pPr>
      <w:r>
        <w:rPr>
          <w:rFonts w:hint="eastAsia"/>
        </w:rPr>
        <w:t>②D4（八甲基环四硅氧烷）泄漏</w:t>
      </w:r>
    </w:p>
    <w:p w14:paraId="1780E65E">
      <w:pPr>
        <w:ind w:firstLine="480"/>
      </w:pPr>
      <w:r>
        <w:rPr>
          <w:rFonts w:hint="eastAsia"/>
        </w:rPr>
        <w:t>最不利气象条件下，当D4（八甲基环四硅氧烷）包装桶泄漏时，下风向最大高峰浓度为5.545mg/m</w:t>
      </w:r>
      <w:r>
        <w:rPr>
          <w:rFonts w:hint="eastAsia"/>
          <w:vertAlign w:val="superscript"/>
        </w:rPr>
        <w:t>3</w:t>
      </w:r>
      <w:r>
        <w:rPr>
          <w:rFonts w:hint="eastAsia"/>
        </w:rPr>
        <w:t>，出现距离为30m；不存在毒性终点浓度-1浓度影响范围和毒性终点浓度-2浓度影响范围。该范围内无环境空气敏感点。</w:t>
      </w:r>
    </w:p>
    <w:p w14:paraId="6FF97C67">
      <w:pPr>
        <w:ind w:firstLine="480"/>
      </w:pPr>
      <w:r>
        <w:rPr>
          <w:rFonts w:hint="eastAsia"/>
        </w:rPr>
        <w:t>（2）敏感点预测结果</w:t>
      </w:r>
    </w:p>
    <w:p w14:paraId="4818CAC8">
      <w:pPr>
        <w:ind w:firstLine="480"/>
      </w:pPr>
      <w:r>
        <w:rPr>
          <w:rFonts w:hint="eastAsia"/>
        </w:rPr>
        <w:t>①硫酸泄漏</w:t>
      </w:r>
    </w:p>
    <w:p w14:paraId="70CA0374">
      <w:pPr>
        <w:ind w:firstLine="480"/>
        <w:rPr>
          <w:highlight w:val="yellow"/>
        </w:rPr>
      </w:pPr>
      <w:r>
        <w:rPr>
          <w:rFonts w:hint="eastAsia"/>
        </w:rPr>
        <w:t>根据预测结果，最不利气象条件下，当硫酸包装桶泄漏时，周边敏感点仁里屯村出现的污染物浓度最大，为0.00195mg/m</w:t>
      </w:r>
      <w:r>
        <w:rPr>
          <w:rFonts w:hint="eastAsia"/>
          <w:vertAlign w:val="superscript"/>
        </w:rPr>
        <w:t>3</w:t>
      </w:r>
      <w:r>
        <w:rPr>
          <w:rFonts w:hint="eastAsia"/>
        </w:rPr>
        <w:t>，小于毒性终点浓度-1浓度160mg/m</w:t>
      </w:r>
      <w:r>
        <w:rPr>
          <w:rFonts w:hint="eastAsia"/>
          <w:vertAlign w:val="superscript"/>
        </w:rPr>
        <w:t>3</w:t>
      </w:r>
      <w:r>
        <w:rPr>
          <w:rFonts w:hint="eastAsia"/>
        </w:rPr>
        <w:t>和毒性终点浓度-2浓度8.7mg/m</w:t>
      </w:r>
      <w:r>
        <w:rPr>
          <w:rFonts w:hint="eastAsia"/>
          <w:vertAlign w:val="superscript"/>
        </w:rPr>
        <w:t>3</w:t>
      </w:r>
      <w:r>
        <w:rPr>
          <w:rFonts w:hint="eastAsia"/>
        </w:rPr>
        <w:t>，出现时间为5min，则硫酸泄漏对周边敏感点影响较小。</w:t>
      </w:r>
    </w:p>
    <w:p w14:paraId="5A96278A">
      <w:pPr>
        <w:ind w:firstLine="480" w:firstLineChars="0"/>
      </w:pPr>
      <w:r>
        <w:rPr>
          <w:rFonts w:hint="eastAsia"/>
        </w:rPr>
        <w:t>②D4（八甲基环四硅氧烷）泄漏</w:t>
      </w:r>
    </w:p>
    <w:p w14:paraId="09B4FEDE">
      <w:pPr>
        <w:ind w:firstLine="480"/>
        <w:rPr>
          <w:highlight w:val="yellow"/>
        </w:rPr>
      </w:pPr>
      <w:r>
        <w:rPr>
          <w:rFonts w:hint="eastAsia"/>
        </w:rPr>
        <w:t>根据预测结果，最不利气象条件下，当D4（八甲基环四硅氧烷）包装桶泄漏时，周边敏感点仁里屯村出现的污染物浓度最大，为0.00000254mg/m</w:t>
      </w:r>
      <w:r>
        <w:rPr>
          <w:rFonts w:hint="eastAsia"/>
          <w:vertAlign w:val="superscript"/>
        </w:rPr>
        <w:t>3</w:t>
      </w:r>
      <w:r>
        <w:rPr>
          <w:rFonts w:hint="eastAsia"/>
        </w:rPr>
        <w:t>，小于毒性终点浓度-1浓度1600mg/m</w:t>
      </w:r>
      <w:r>
        <w:rPr>
          <w:rFonts w:hint="eastAsia"/>
          <w:vertAlign w:val="superscript"/>
        </w:rPr>
        <w:t>3</w:t>
      </w:r>
      <w:r>
        <w:rPr>
          <w:rFonts w:hint="eastAsia"/>
        </w:rPr>
        <w:t>和毒性终点浓度-2浓度830mg/m</w:t>
      </w:r>
      <w:r>
        <w:rPr>
          <w:rFonts w:hint="eastAsia"/>
          <w:vertAlign w:val="superscript"/>
        </w:rPr>
        <w:t>3</w:t>
      </w:r>
      <w:r>
        <w:rPr>
          <w:rFonts w:hint="eastAsia"/>
        </w:rPr>
        <w:t>，出现时间为5min，则D4（八甲基环四硅氧烷）泄漏对周边敏感点影响较小。</w:t>
      </w:r>
    </w:p>
    <w:p w14:paraId="1B7BEB6B">
      <w:pPr>
        <w:pStyle w:val="2"/>
        <w:ind w:firstLine="480"/>
        <w:rPr>
          <w:highlight w:val="yellow"/>
        </w:rPr>
      </w:pPr>
    </w:p>
    <w:p w14:paraId="0E18C426">
      <w:pPr>
        <w:ind w:firstLine="480"/>
        <w:rPr>
          <w:highlight w:val="yellow"/>
        </w:rPr>
        <w:sectPr>
          <w:pgSz w:w="11906" w:h="16838"/>
          <w:pgMar w:top="1440" w:right="1800" w:bottom="1440" w:left="1800" w:header="851" w:footer="992" w:gutter="0"/>
          <w:cols w:space="425" w:num="1"/>
          <w:docGrid w:type="lines" w:linePitch="326" w:charSpace="0"/>
        </w:sectPr>
      </w:pPr>
    </w:p>
    <w:p w14:paraId="5706020C">
      <w:pPr>
        <w:ind w:firstLine="482"/>
        <w:outlineLvl w:val="4"/>
        <w:rPr>
          <w:b/>
          <w:szCs w:val="24"/>
        </w:rPr>
      </w:pPr>
      <w:r>
        <w:rPr>
          <w:rFonts w:hint="eastAsia"/>
          <w:b/>
          <w:szCs w:val="24"/>
        </w:rPr>
        <w:t>2、火灾/爆炸伴生/次生污染物影响预测</w:t>
      </w:r>
    </w:p>
    <w:p w14:paraId="63F7A7BA">
      <w:pPr>
        <w:ind w:firstLine="480"/>
        <w:rPr>
          <w:highlight w:val="yellow"/>
        </w:rPr>
      </w:pPr>
      <w:r>
        <w:rPr>
          <w:rFonts w:hint="eastAsia"/>
        </w:rPr>
        <w:t>本次评价采用EIAPro专业软件AFTOX模型对火灾/爆炸事故产生废伴生/次生CO废气进行预测。</w:t>
      </w:r>
    </w:p>
    <w:p w14:paraId="75BB2C88">
      <w:pPr>
        <w:pStyle w:val="99"/>
        <w:numPr>
          <w:ilvl w:val="4"/>
          <w:numId w:val="46"/>
        </w:numPr>
        <w:ind w:left="0" w:firstLine="480"/>
        <w:rPr>
          <w:rFonts w:eastAsia="黑体"/>
          <w:bCs/>
          <w:szCs w:val="24"/>
        </w:rPr>
      </w:pPr>
      <w:r>
        <w:rPr>
          <w:rFonts w:hint="eastAsia" w:eastAsia="黑体"/>
          <w:bCs/>
          <w:szCs w:val="24"/>
        </w:rPr>
        <w:t xml:space="preserve"> 伴生/次生污染物CO最不利气象条件下风向不同距离处最大浓度</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448"/>
        <w:gridCol w:w="3203"/>
        <w:gridCol w:w="2711"/>
      </w:tblGrid>
      <w:tr w14:paraId="43884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tblHeader/>
          <w:jc w:val="center"/>
        </w:trPr>
        <w:tc>
          <w:tcPr>
            <w:tcW w:w="1464" w:type="pct"/>
            <w:vAlign w:val="center"/>
          </w:tcPr>
          <w:p w14:paraId="503540DC">
            <w:pPr>
              <w:pStyle w:val="67"/>
              <w:rPr>
                <w:color w:val="auto"/>
                <w:u w:val="single"/>
              </w:rPr>
            </w:pPr>
            <w:r>
              <w:rPr>
                <w:rFonts w:hint="eastAsia"/>
                <w:color w:val="auto"/>
                <w:u w:val="single"/>
              </w:rPr>
              <w:t>下风向距离 m</w:t>
            </w:r>
          </w:p>
        </w:tc>
        <w:tc>
          <w:tcPr>
            <w:tcW w:w="1915" w:type="pct"/>
            <w:vAlign w:val="center"/>
          </w:tcPr>
          <w:p w14:paraId="260619C8">
            <w:pPr>
              <w:pStyle w:val="67"/>
              <w:rPr>
                <w:color w:val="auto"/>
                <w:u w:val="single"/>
              </w:rPr>
            </w:pPr>
            <w:r>
              <w:rPr>
                <w:rFonts w:hint="eastAsia"/>
                <w:color w:val="auto"/>
                <w:u w:val="single"/>
              </w:rPr>
              <w:t>浓度出现时间min</w:t>
            </w:r>
          </w:p>
        </w:tc>
        <w:tc>
          <w:tcPr>
            <w:tcW w:w="1621" w:type="pct"/>
            <w:vAlign w:val="center"/>
          </w:tcPr>
          <w:p w14:paraId="5317C9AC">
            <w:pPr>
              <w:pStyle w:val="67"/>
              <w:rPr>
                <w:color w:val="auto"/>
                <w:u w:val="single"/>
              </w:rPr>
            </w:pPr>
            <w:r>
              <w:rPr>
                <w:rFonts w:hint="eastAsia"/>
                <w:color w:val="auto"/>
                <w:u w:val="single"/>
              </w:rPr>
              <w:t>高峰浓度</w:t>
            </w:r>
            <w:r>
              <w:rPr>
                <w:color w:val="auto"/>
                <w:u w:val="single"/>
              </w:rPr>
              <w:t>mg/m</w:t>
            </w:r>
            <w:r>
              <w:rPr>
                <w:color w:val="auto"/>
                <w:u w:val="single"/>
                <w:vertAlign w:val="superscript"/>
              </w:rPr>
              <w:t>3</w:t>
            </w:r>
          </w:p>
        </w:tc>
      </w:tr>
      <w:tr w14:paraId="1C076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E4D91AB">
            <w:pPr>
              <w:pStyle w:val="62"/>
              <w:rPr>
                <w:rFonts w:hint="eastAsia" w:ascii="宋体" w:hAnsi="宋体" w:cs="宋体"/>
                <w:u w:val="single"/>
              </w:rPr>
            </w:pPr>
            <w:r>
              <w:rPr>
                <w:rFonts w:hint="eastAsia"/>
                <w:u w:val="single"/>
              </w:rPr>
              <w:t>10</w:t>
            </w:r>
          </w:p>
        </w:tc>
        <w:tc>
          <w:tcPr>
            <w:tcW w:w="1915" w:type="pct"/>
            <w:vAlign w:val="center"/>
          </w:tcPr>
          <w:p w14:paraId="60DA448E">
            <w:pPr>
              <w:pStyle w:val="62"/>
              <w:rPr>
                <w:u w:val="single"/>
              </w:rPr>
            </w:pPr>
            <w:r>
              <w:rPr>
                <w:u w:val="single"/>
              </w:rPr>
              <w:t>1.1111E-01</w:t>
            </w:r>
          </w:p>
        </w:tc>
        <w:tc>
          <w:tcPr>
            <w:tcW w:w="1621" w:type="pct"/>
            <w:vAlign w:val="center"/>
          </w:tcPr>
          <w:p w14:paraId="3084E9F5">
            <w:pPr>
              <w:pStyle w:val="62"/>
              <w:rPr>
                <w:u w:val="single"/>
              </w:rPr>
            </w:pPr>
            <w:r>
              <w:rPr>
                <w:rFonts w:hint="eastAsia"/>
                <w:u w:val="single"/>
              </w:rPr>
              <w:t>1.0279</w:t>
            </w:r>
            <w:r>
              <w:rPr>
                <w:u w:val="single"/>
              </w:rPr>
              <w:t>E</w:t>
            </w:r>
            <w:r>
              <w:rPr>
                <w:rFonts w:hint="eastAsia"/>
                <w:u w:val="single"/>
              </w:rPr>
              <w:t>+</w:t>
            </w:r>
            <w:r>
              <w:rPr>
                <w:u w:val="single"/>
              </w:rPr>
              <w:t>0</w:t>
            </w:r>
            <w:r>
              <w:rPr>
                <w:rFonts w:hint="eastAsia"/>
                <w:u w:val="single"/>
              </w:rPr>
              <w:t>0</w:t>
            </w:r>
          </w:p>
        </w:tc>
      </w:tr>
      <w:tr w14:paraId="1C77D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62EECAA9">
            <w:pPr>
              <w:pStyle w:val="62"/>
              <w:rPr>
                <w:rFonts w:hint="eastAsia" w:ascii="宋体" w:hAnsi="宋体" w:cs="宋体"/>
                <w:u w:val="single"/>
              </w:rPr>
            </w:pPr>
            <w:r>
              <w:rPr>
                <w:rFonts w:hint="eastAsia"/>
                <w:u w:val="single"/>
              </w:rPr>
              <w:t>30</w:t>
            </w:r>
          </w:p>
        </w:tc>
        <w:tc>
          <w:tcPr>
            <w:tcW w:w="1915" w:type="pct"/>
            <w:vAlign w:val="center"/>
          </w:tcPr>
          <w:p w14:paraId="7DE19D2B">
            <w:pPr>
              <w:pStyle w:val="62"/>
              <w:rPr>
                <w:u w:val="single"/>
              </w:rPr>
            </w:pPr>
            <w:r>
              <w:rPr>
                <w:u w:val="single"/>
              </w:rPr>
              <w:t>3.3333E-01</w:t>
            </w:r>
          </w:p>
        </w:tc>
        <w:tc>
          <w:tcPr>
            <w:tcW w:w="1621" w:type="pct"/>
            <w:vAlign w:val="center"/>
          </w:tcPr>
          <w:p w14:paraId="53576A6A">
            <w:pPr>
              <w:pStyle w:val="62"/>
              <w:rPr>
                <w:u w:val="single"/>
              </w:rPr>
            </w:pPr>
            <w:r>
              <w:rPr>
                <w:rFonts w:hint="eastAsia"/>
                <w:u w:val="single"/>
              </w:rPr>
              <w:t>4.7571</w:t>
            </w:r>
            <w:r>
              <w:rPr>
                <w:u w:val="single"/>
              </w:rPr>
              <w:t>E+02</w:t>
            </w:r>
          </w:p>
        </w:tc>
      </w:tr>
      <w:tr w14:paraId="040BA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3D723C26">
            <w:pPr>
              <w:pStyle w:val="62"/>
              <w:rPr>
                <w:rFonts w:hint="eastAsia" w:ascii="宋体" w:hAnsi="宋体" w:cs="宋体"/>
                <w:u w:val="single"/>
              </w:rPr>
            </w:pPr>
            <w:r>
              <w:rPr>
                <w:rFonts w:hint="eastAsia"/>
                <w:u w:val="single"/>
              </w:rPr>
              <w:t>50</w:t>
            </w:r>
          </w:p>
        </w:tc>
        <w:tc>
          <w:tcPr>
            <w:tcW w:w="1915" w:type="pct"/>
            <w:vAlign w:val="center"/>
          </w:tcPr>
          <w:p w14:paraId="627A61D5">
            <w:pPr>
              <w:pStyle w:val="62"/>
              <w:rPr>
                <w:u w:val="single"/>
              </w:rPr>
            </w:pPr>
            <w:r>
              <w:rPr>
                <w:u w:val="single"/>
              </w:rPr>
              <w:t>5.5556E-01</w:t>
            </w:r>
          </w:p>
        </w:tc>
        <w:tc>
          <w:tcPr>
            <w:tcW w:w="1621" w:type="pct"/>
            <w:vAlign w:val="center"/>
          </w:tcPr>
          <w:p w14:paraId="0C081507">
            <w:pPr>
              <w:pStyle w:val="62"/>
              <w:rPr>
                <w:u w:val="single"/>
              </w:rPr>
            </w:pPr>
            <w:r>
              <w:rPr>
                <w:rFonts w:hint="eastAsia"/>
                <w:u w:val="single"/>
              </w:rPr>
              <w:t>5.3902</w:t>
            </w:r>
            <w:r>
              <w:rPr>
                <w:u w:val="single"/>
              </w:rPr>
              <w:t>E+02</w:t>
            </w:r>
          </w:p>
        </w:tc>
      </w:tr>
      <w:tr w14:paraId="324225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4E75D009">
            <w:pPr>
              <w:pStyle w:val="62"/>
              <w:rPr>
                <w:rFonts w:hint="eastAsia" w:ascii="宋体" w:hAnsi="宋体" w:cs="宋体"/>
                <w:u w:val="single"/>
              </w:rPr>
            </w:pPr>
            <w:r>
              <w:rPr>
                <w:rFonts w:hint="eastAsia"/>
                <w:u w:val="single"/>
              </w:rPr>
              <w:t>70</w:t>
            </w:r>
          </w:p>
        </w:tc>
        <w:tc>
          <w:tcPr>
            <w:tcW w:w="1915" w:type="pct"/>
            <w:vAlign w:val="center"/>
          </w:tcPr>
          <w:p w14:paraId="18BABC5E">
            <w:pPr>
              <w:pStyle w:val="62"/>
              <w:rPr>
                <w:u w:val="single"/>
              </w:rPr>
            </w:pPr>
            <w:r>
              <w:rPr>
                <w:u w:val="single"/>
              </w:rPr>
              <w:t>7.7778E-0</w:t>
            </w:r>
            <w:r>
              <w:rPr>
                <w:rFonts w:hint="eastAsia"/>
                <w:u w:val="single"/>
              </w:rPr>
              <w:t>1</w:t>
            </w:r>
          </w:p>
        </w:tc>
        <w:tc>
          <w:tcPr>
            <w:tcW w:w="1621" w:type="pct"/>
            <w:vAlign w:val="center"/>
          </w:tcPr>
          <w:p w14:paraId="4ED9267C">
            <w:pPr>
              <w:pStyle w:val="62"/>
              <w:rPr>
                <w:u w:val="single"/>
              </w:rPr>
            </w:pPr>
            <w:r>
              <w:rPr>
                <w:rFonts w:hint="eastAsia"/>
                <w:u w:val="single"/>
              </w:rPr>
              <w:t>4.2769</w:t>
            </w:r>
            <w:r>
              <w:rPr>
                <w:u w:val="single"/>
              </w:rPr>
              <w:t>E+02</w:t>
            </w:r>
          </w:p>
        </w:tc>
      </w:tr>
      <w:tr w14:paraId="532D1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2EA56017">
            <w:pPr>
              <w:pStyle w:val="62"/>
              <w:rPr>
                <w:rFonts w:hint="eastAsia" w:ascii="宋体" w:hAnsi="宋体" w:cs="宋体"/>
                <w:u w:val="single"/>
              </w:rPr>
            </w:pPr>
            <w:r>
              <w:rPr>
                <w:rFonts w:hint="eastAsia"/>
                <w:u w:val="single"/>
              </w:rPr>
              <w:t>90</w:t>
            </w:r>
          </w:p>
        </w:tc>
        <w:tc>
          <w:tcPr>
            <w:tcW w:w="1915" w:type="pct"/>
            <w:vAlign w:val="center"/>
          </w:tcPr>
          <w:p w14:paraId="19641BDD">
            <w:pPr>
              <w:pStyle w:val="62"/>
              <w:rPr>
                <w:u w:val="single"/>
              </w:rPr>
            </w:pPr>
            <w:r>
              <w:rPr>
                <w:u w:val="single"/>
              </w:rPr>
              <w:t>1.0000E+00</w:t>
            </w:r>
          </w:p>
        </w:tc>
        <w:tc>
          <w:tcPr>
            <w:tcW w:w="1621" w:type="pct"/>
            <w:vAlign w:val="center"/>
          </w:tcPr>
          <w:p w14:paraId="308DA808">
            <w:pPr>
              <w:pStyle w:val="62"/>
              <w:rPr>
                <w:u w:val="single"/>
              </w:rPr>
            </w:pPr>
            <w:r>
              <w:rPr>
                <w:rFonts w:hint="eastAsia"/>
                <w:u w:val="single"/>
              </w:rPr>
              <w:t>3.2859</w:t>
            </w:r>
            <w:r>
              <w:rPr>
                <w:u w:val="single"/>
              </w:rPr>
              <w:t>E+02</w:t>
            </w:r>
          </w:p>
        </w:tc>
      </w:tr>
      <w:tr w14:paraId="76A31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04749DB2">
            <w:pPr>
              <w:pStyle w:val="62"/>
              <w:rPr>
                <w:rFonts w:hint="eastAsia" w:ascii="宋体" w:hAnsi="宋体" w:cs="宋体"/>
                <w:u w:val="single"/>
              </w:rPr>
            </w:pPr>
            <w:r>
              <w:rPr>
                <w:rFonts w:hint="eastAsia"/>
                <w:u w:val="single"/>
              </w:rPr>
              <w:t>110</w:t>
            </w:r>
          </w:p>
        </w:tc>
        <w:tc>
          <w:tcPr>
            <w:tcW w:w="1915" w:type="pct"/>
            <w:vAlign w:val="center"/>
          </w:tcPr>
          <w:p w14:paraId="08D25776">
            <w:pPr>
              <w:pStyle w:val="62"/>
              <w:rPr>
                <w:u w:val="single"/>
              </w:rPr>
            </w:pPr>
            <w:r>
              <w:rPr>
                <w:u w:val="single"/>
              </w:rPr>
              <w:t>1.2222E+00</w:t>
            </w:r>
          </w:p>
        </w:tc>
        <w:tc>
          <w:tcPr>
            <w:tcW w:w="1621" w:type="pct"/>
            <w:vAlign w:val="center"/>
          </w:tcPr>
          <w:p w14:paraId="0871FA46">
            <w:pPr>
              <w:pStyle w:val="62"/>
              <w:rPr>
                <w:u w:val="single"/>
              </w:rPr>
            </w:pPr>
            <w:r>
              <w:rPr>
                <w:rFonts w:hint="eastAsia"/>
                <w:u w:val="single"/>
              </w:rPr>
              <w:t>2.5655</w:t>
            </w:r>
            <w:r>
              <w:rPr>
                <w:u w:val="single"/>
              </w:rPr>
              <w:t>E+02</w:t>
            </w:r>
          </w:p>
        </w:tc>
      </w:tr>
      <w:tr w14:paraId="48093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69900D69">
            <w:pPr>
              <w:pStyle w:val="62"/>
              <w:rPr>
                <w:rFonts w:hint="eastAsia" w:ascii="宋体" w:hAnsi="宋体" w:cs="宋体"/>
                <w:u w:val="single"/>
              </w:rPr>
            </w:pPr>
            <w:r>
              <w:rPr>
                <w:rFonts w:hint="eastAsia"/>
                <w:u w:val="single"/>
              </w:rPr>
              <w:t>130</w:t>
            </w:r>
          </w:p>
        </w:tc>
        <w:tc>
          <w:tcPr>
            <w:tcW w:w="1915" w:type="pct"/>
            <w:vAlign w:val="center"/>
          </w:tcPr>
          <w:p w14:paraId="565F6875">
            <w:pPr>
              <w:pStyle w:val="62"/>
              <w:rPr>
                <w:u w:val="single"/>
              </w:rPr>
            </w:pPr>
            <w:r>
              <w:rPr>
                <w:u w:val="single"/>
              </w:rPr>
              <w:t>1.4444E+00</w:t>
            </w:r>
          </w:p>
        </w:tc>
        <w:tc>
          <w:tcPr>
            <w:tcW w:w="1621" w:type="pct"/>
            <w:vAlign w:val="center"/>
          </w:tcPr>
          <w:p w14:paraId="25373F40">
            <w:pPr>
              <w:pStyle w:val="62"/>
              <w:rPr>
                <w:u w:val="single"/>
              </w:rPr>
            </w:pPr>
            <w:r>
              <w:rPr>
                <w:rFonts w:hint="eastAsia"/>
                <w:u w:val="single"/>
              </w:rPr>
              <w:t>2.0502</w:t>
            </w:r>
            <w:r>
              <w:rPr>
                <w:u w:val="single"/>
              </w:rPr>
              <w:t>E+02</w:t>
            </w:r>
          </w:p>
        </w:tc>
      </w:tr>
      <w:tr w14:paraId="5B861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24B2007E">
            <w:pPr>
              <w:pStyle w:val="62"/>
              <w:rPr>
                <w:rFonts w:hint="eastAsia" w:ascii="宋体" w:hAnsi="宋体" w:cs="宋体"/>
                <w:u w:val="single"/>
              </w:rPr>
            </w:pPr>
            <w:r>
              <w:rPr>
                <w:rFonts w:hint="eastAsia"/>
                <w:u w:val="single"/>
              </w:rPr>
              <w:t>150</w:t>
            </w:r>
          </w:p>
        </w:tc>
        <w:tc>
          <w:tcPr>
            <w:tcW w:w="1915" w:type="pct"/>
            <w:vAlign w:val="center"/>
          </w:tcPr>
          <w:p w14:paraId="5BC9B35E">
            <w:pPr>
              <w:pStyle w:val="62"/>
              <w:rPr>
                <w:u w:val="single"/>
              </w:rPr>
            </w:pPr>
            <w:r>
              <w:rPr>
                <w:u w:val="single"/>
              </w:rPr>
              <w:t>1.6667E+00</w:t>
            </w:r>
          </w:p>
        </w:tc>
        <w:tc>
          <w:tcPr>
            <w:tcW w:w="1621" w:type="pct"/>
            <w:vAlign w:val="center"/>
          </w:tcPr>
          <w:p w14:paraId="63F315EE">
            <w:pPr>
              <w:pStyle w:val="62"/>
              <w:rPr>
                <w:u w:val="single"/>
              </w:rPr>
            </w:pPr>
            <w:r>
              <w:rPr>
                <w:rFonts w:hint="eastAsia"/>
                <w:u w:val="single"/>
              </w:rPr>
              <w:t>1.6749</w:t>
            </w:r>
            <w:r>
              <w:rPr>
                <w:u w:val="single"/>
              </w:rPr>
              <w:t>E+02</w:t>
            </w:r>
          </w:p>
        </w:tc>
      </w:tr>
      <w:tr w14:paraId="3DC88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42B0F163">
            <w:pPr>
              <w:pStyle w:val="62"/>
              <w:rPr>
                <w:rFonts w:hint="eastAsia" w:ascii="宋体" w:hAnsi="宋体" w:cs="宋体"/>
                <w:u w:val="single"/>
              </w:rPr>
            </w:pPr>
            <w:r>
              <w:rPr>
                <w:rFonts w:hint="eastAsia"/>
                <w:u w:val="single"/>
              </w:rPr>
              <w:t>170</w:t>
            </w:r>
          </w:p>
        </w:tc>
        <w:tc>
          <w:tcPr>
            <w:tcW w:w="1915" w:type="pct"/>
            <w:vAlign w:val="center"/>
          </w:tcPr>
          <w:p w14:paraId="19292D5F">
            <w:pPr>
              <w:pStyle w:val="62"/>
              <w:rPr>
                <w:u w:val="single"/>
              </w:rPr>
            </w:pPr>
            <w:r>
              <w:rPr>
                <w:u w:val="single"/>
              </w:rPr>
              <w:t>1.8889E+00</w:t>
            </w:r>
          </w:p>
        </w:tc>
        <w:tc>
          <w:tcPr>
            <w:tcW w:w="1621" w:type="pct"/>
            <w:vAlign w:val="center"/>
          </w:tcPr>
          <w:p w14:paraId="5BBE5726">
            <w:pPr>
              <w:pStyle w:val="62"/>
              <w:rPr>
                <w:u w:val="single"/>
              </w:rPr>
            </w:pPr>
            <w:r>
              <w:rPr>
                <w:u w:val="single"/>
              </w:rPr>
              <w:t>1.</w:t>
            </w:r>
            <w:r>
              <w:rPr>
                <w:rFonts w:hint="eastAsia"/>
                <w:u w:val="single"/>
              </w:rPr>
              <w:t>3948</w:t>
            </w:r>
            <w:r>
              <w:rPr>
                <w:u w:val="single"/>
              </w:rPr>
              <w:t>E+02</w:t>
            </w:r>
          </w:p>
        </w:tc>
      </w:tr>
      <w:tr w14:paraId="24432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0EAB0FD">
            <w:pPr>
              <w:pStyle w:val="62"/>
              <w:rPr>
                <w:rFonts w:hint="eastAsia" w:ascii="宋体" w:hAnsi="宋体" w:cs="宋体"/>
                <w:u w:val="single"/>
              </w:rPr>
            </w:pPr>
            <w:r>
              <w:rPr>
                <w:rFonts w:hint="eastAsia"/>
                <w:u w:val="single"/>
              </w:rPr>
              <w:t>190</w:t>
            </w:r>
          </w:p>
        </w:tc>
        <w:tc>
          <w:tcPr>
            <w:tcW w:w="1915" w:type="pct"/>
            <w:vAlign w:val="center"/>
          </w:tcPr>
          <w:p w14:paraId="5694B88B">
            <w:pPr>
              <w:pStyle w:val="62"/>
              <w:rPr>
                <w:u w:val="single"/>
              </w:rPr>
            </w:pPr>
            <w:r>
              <w:rPr>
                <w:u w:val="single"/>
              </w:rPr>
              <w:t>2.1111E+00</w:t>
            </w:r>
          </w:p>
        </w:tc>
        <w:tc>
          <w:tcPr>
            <w:tcW w:w="1621" w:type="pct"/>
            <w:vAlign w:val="center"/>
          </w:tcPr>
          <w:p w14:paraId="22789626">
            <w:pPr>
              <w:pStyle w:val="62"/>
              <w:rPr>
                <w:u w:val="single"/>
              </w:rPr>
            </w:pPr>
            <w:r>
              <w:rPr>
                <w:rFonts w:hint="eastAsia"/>
                <w:u w:val="single"/>
              </w:rPr>
              <w:t>1.1808</w:t>
            </w:r>
            <w:r>
              <w:rPr>
                <w:u w:val="single"/>
              </w:rPr>
              <w:t>E+01</w:t>
            </w:r>
          </w:p>
        </w:tc>
      </w:tr>
      <w:tr w14:paraId="4D168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3F1817C4">
            <w:pPr>
              <w:pStyle w:val="62"/>
              <w:rPr>
                <w:rFonts w:hint="eastAsia" w:ascii="宋体" w:hAnsi="宋体" w:cs="宋体"/>
                <w:u w:val="single"/>
              </w:rPr>
            </w:pPr>
            <w:r>
              <w:rPr>
                <w:rFonts w:hint="eastAsia"/>
                <w:u w:val="single"/>
              </w:rPr>
              <w:t>210</w:t>
            </w:r>
          </w:p>
        </w:tc>
        <w:tc>
          <w:tcPr>
            <w:tcW w:w="1915" w:type="pct"/>
            <w:vAlign w:val="center"/>
          </w:tcPr>
          <w:p w14:paraId="1A549FE2">
            <w:pPr>
              <w:pStyle w:val="62"/>
              <w:rPr>
                <w:u w:val="single"/>
              </w:rPr>
            </w:pPr>
            <w:r>
              <w:rPr>
                <w:u w:val="single"/>
              </w:rPr>
              <w:t>2.3333E+00</w:t>
            </w:r>
          </w:p>
        </w:tc>
        <w:tc>
          <w:tcPr>
            <w:tcW w:w="1621" w:type="pct"/>
            <w:vAlign w:val="center"/>
          </w:tcPr>
          <w:p w14:paraId="3B86673C">
            <w:pPr>
              <w:pStyle w:val="62"/>
              <w:rPr>
                <w:u w:val="single"/>
              </w:rPr>
            </w:pPr>
            <w:r>
              <w:rPr>
                <w:rFonts w:hint="eastAsia"/>
                <w:u w:val="single"/>
              </w:rPr>
              <w:t>1.0138</w:t>
            </w:r>
            <w:r>
              <w:rPr>
                <w:u w:val="single"/>
              </w:rPr>
              <w:t>E+01</w:t>
            </w:r>
          </w:p>
        </w:tc>
      </w:tr>
      <w:tr w14:paraId="2F79A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73F8627A">
            <w:pPr>
              <w:pStyle w:val="62"/>
              <w:rPr>
                <w:rFonts w:hint="eastAsia" w:ascii="宋体" w:hAnsi="宋体" w:cs="宋体"/>
                <w:u w:val="single"/>
              </w:rPr>
            </w:pPr>
            <w:r>
              <w:rPr>
                <w:rFonts w:hint="eastAsia"/>
                <w:u w:val="single"/>
              </w:rPr>
              <w:t>230</w:t>
            </w:r>
          </w:p>
        </w:tc>
        <w:tc>
          <w:tcPr>
            <w:tcW w:w="1915" w:type="pct"/>
            <w:vAlign w:val="center"/>
          </w:tcPr>
          <w:p w14:paraId="1AE6E599">
            <w:pPr>
              <w:pStyle w:val="62"/>
              <w:rPr>
                <w:u w:val="single"/>
              </w:rPr>
            </w:pPr>
            <w:r>
              <w:rPr>
                <w:u w:val="single"/>
              </w:rPr>
              <w:t>2.5556E+00</w:t>
            </w:r>
          </w:p>
        </w:tc>
        <w:tc>
          <w:tcPr>
            <w:tcW w:w="1621" w:type="pct"/>
            <w:vAlign w:val="center"/>
          </w:tcPr>
          <w:p w14:paraId="2702DB0D">
            <w:pPr>
              <w:pStyle w:val="62"/>
              <w:rPr>
                <w:u w:val="single"/>
              </w:rPr>
            </w:pPr>
            <w:r>
              <w:rPr>
                <w:rFonts w:hint="eastAsia"/>
                <w:u w:val="single"/>
              </w:rPr>
              <w:t>8.8083</w:t>
            </w:r>
            <w:r>
              <w:rPr>
                <w:u w:val="single"/>
              </w:rPr>
              <w:t>E+01</w:t>
            </w:r>
          </w:p>
        </w:tc>
      </w:tr>
      <w:tr w14:paraId="1F24A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68EACA39">
            <w:pPr>
              <w:pStyle w:val="62"/>
              <w:rPr>
                <w:rFonts w:hint="eastAsia" w:ascii="宋体" w:hAnsi="宋体" w:cs="宋体"/>
                <w:u w:val="single"/>
              </w:rPr>
            </w:pPr>
            <w:r>
              <w:rPr>
                <w:rFonts w:hint="eastAsia"/>
                <w:u w:val="single"/>
              </w:rPr>
              <w:t>250</w:t>
            </w:r>
          </w:p>
        </w:tc>
        <w:tc>
          <w:tcPr>
            <w:tcW w:w="1915" w:type="pct"/>
            <w:vAlign w:val="center"/>
          </w:tcPr>
          <w:p w14:paraId="125CCDAB">
            <w:pPr>
              <w:pStyle w:val="62"/>
              <w:rPr>
                <w:u w:val="single"/>
              </w:rPr>
            </w:pPr>
            <w:r>
              <w:rPr>
                <w:u w:val="single"/>
              </w:rPr>
              <w:t>2.7778E+00</w:t>
            </w:r>
          </w:p>
        </w:tc>
        <w:tc>
          <w:tcPr>
            <w:tcW w:w="1621" w:type="pct"/>
            <w:vAlign w:val="center"/>
          </w:tcPr>
          <w:p w14:paraId="0D4ACE40">
            <w:pPr>
              <w:pStyle w:val="62"/>
              <w:rPr>
                <w:u w:val="single"/>
              </w:rPr>
            </w:pPr>
            <w:r>
              <w:rPr>
                <w:rFonts w:hint="eastAsia"/>
                <w:u w:val="single"/>
              </w:rPr>
              <w:t>7.7330</w:t>
            </w:r>
            <w:r>
              <w:rPr>
                <w:u w:val="single"/>
              </w:rPr>
              <w:t>E+01</w:t>
            </w:r>
          </w:p>
        </w:tc>
      </w:tr>
      <w:tr w14:paraId="7855A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5C2968B9">
            <w:pPr>
              <w:pStyle w:val="62"/>
              <w:rPr>
                <w:rFonts w:hint="eastAsia" w:ascii="宋体" w:hAnsi="宋体" w:cs="宋体"/>
                <w:u w:val="single"/>
              </w:rPr>
            </w:pPr>
            <w:r>
              <w:rPr>
                <w:rFonts w:hint="eastAsia"/>
                <w:u w:val="single"/>
              </w:rPr>
              <w:t>270</w:t>
            </w:r>
          </w:p>
        </w:tc>
        <w:tc>
          <w:tcPr>
            <w:tcW w:w="1915" w:type="pct"/>
            <w:vAlign w:val="center"/>
          </w:tcPr>
          <w:p w14:paraId="3BA37A97">
            <w:pPr>
              <w:pStyle w:val="62"/>
              <w:rPr>
                <w:u w:val="single"/>
              </w:rPr>
            </w:pPr>
            <w:r>
              <w:rPr>
                <w:u w:val="single"/>
              </w:rPr>
              <w:t>3.0000E+00</w:t>
            </w:r>
          </w:p>
        </w:tc>
        <w:tc>
          <w:tcPr>
            <w:tcW w:w="1621" w:type="pct"/>
            <w:vAlign w:val="center"/>
          </w:tcPr>
          <w:p w14:paraId="09A2D697">
            <w:pPr>
              <w:pStyle w:val="62"/>
              <w:rPr>
                <w:u w:val="single"/>
              </w:rPr>
            </w:pPr>
            <w:r>
              <w:rPr>
                <w:rFonts w:hint="eastAsia"/>
                <w:u w:val="single"/>
              </w:rPr>
              <w:t>6.8502</w:t>
            </w:r>
            <w:r>
              <w:rPr>
                <w:u w:val="single"/>
              </w:rPr>
              <w:t>E+01</w:t>
            </w:r>
          </w:p>
        </w:tc>
      </w:tr>
      <w:tr w14:paraId="5FCF1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08C816BB">
            <w:pPr>
              <w:pStyle w:val="62"/>
              <w:rPr>
                <w:rFonts w:hint="eastAsia" w:ascii="宋体" w:hAnsi="宋体" w:cs="宋体"/>
                <w:u w:val="single"/>
              </w:rPr>
            </w:pPr>
            <w:r>
              <w:rPr>
                <w:rFonts w:hint="eastAsia"/>
                <w:u w:val="single"/>
              </w:rPr>
              <w:t>290</w:t>
            </w:r>
          </w:p>
        </w:tc>
        <w:tc>
          <w:tcPr>
            <w:tcW w:w="1915" w:type="pct"/>
            <w:vAlign w:val="center"/>
          </w:tcPr>
          <w:p w14:paraId="7F1CAD84">
            <w:pPr>
              <w:pStyle w:val="62"/>
              <w:rPr>
                <w:u w:val="single"/>
              </w:rPr>
            </w:pPr>
            <w:r>
              <w:rPr>
                <w:u w:val="single"/>
              </w:rPr>
              <w:t>3.2222E+00</w:t>
            </w:r>
          </w:p>
        </w:tc>
        <w:tc>
          <w:tcPr>
            <w:tcW w:w="1621" w:type="pct"/>
            <w:vAlign w:val="center"/>
          </w:tcPr>
          <w:p w14:paraId="0A3999E4">
            <w:pPr>
              <w:pStyle w:val="62"/>
              <w:rPr>
                <w:u w:val="single"/>
              </w:rPr>
            </w:pPr>
            <w:r>
              <w:rPr>
                <w:rFonts w:hint="eastAsia"/>
                <w:u w:val="single"/>
              </w:rPr>
              <w:t>6.1163</w:t>
            </w:r>
            <w:r>
              <w:rPr>
                <w:u w:val="single"/>
              </w:rPr>
              <w:t>E+01</w:t>
            </w:r>
          </w:p>
        </w:tc>
      </w:tr>
      <w:tr w14:paraId="0DA7E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25DEFDF8">
            <w:pPr>
              <w:pStyle w:val="62"/>
              <w:rPr>
                <w:rFonts w:hint="eastAsia" w:ascii="宋体" w:hAnsi="宋体" w:cs="宋体"/>
                <w:u w:val="single"/>
              </w:rPr>
            </w:pPr>
            <w:r>
              <w:rPr>
                <w:rFonts w:hint="eastAsia"/>
                <w:u w:val="single"/>
              </w:rPr>
              <w:t>310</w:t>
            </w:r>
          </w:p>
        </w:tc>
        <w:tc>
          <w:tcPr>
            <w:tcW w:w="1915" w:type="pct"/>
            <w:vAlign w:val="center"/>
          </w:tcPr>
          <w:p w14:paraId="76C1DBD9">
            <w:pPr>
              <w:pStyle w:val="62"/>
              <w:rPr>
                <w:u w:val="single"/>
              </w:rPr>
            </w:pPr>
            <w:r>
              <w:rPr>
                <w:u w:val="single"/>
              </w:rPr>
              <w:t>3.4444E+00</w:t>
            </w:r>
          </w:p>
        </w:tc>
        <w:tc>
          <w:tcPr>
            <w:tcW w:w="1621" w:type="pct"/>
            <w:vAlign w:val="center"/>
          </w:tcPr>
          <w:p w14:paraId="061BFBFC">
            <w:pPr>
              <w:pStyle w:val="62"/>
              <w:rPr>
                <w:u w:val="single"/>
              </w:rPr>
            </w:pPr>
            <w:r>
              <w:rPr>
                <w:rFonts w:hint="eastAsia"/>
                <w:u w:val="single"/>
              </w:rPr>
              <w:t>5.4990</w:t>
            </w:r>
            <w:r>
              <w:rPr>
                <w:u w:val="single"/>
              </w:rPr>
              <w:t>E+01</w:t>
            </w:r>
          </w:p>
        </w:tc>
      </w:tr>
      <w:tr w14:paraId="6D70A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7DE09BBE">
            <w:pPr>
              <w:pStyle w:val="62"/>
              <w:rPr>
                <w:rFonts w:hint="eastAsia" w:ascii="宋体" w:hAnsi="宋体" w:cs="宋体"/>
                <w:u w:val="single"/>
              </w:rPr>
            </w:pPr>
            <w:r>
              <w:rPr>
                <w:rFonts w:hint="eastAsia"/>
                <w:u w:val="single"/>
              </w:rPr>
              <w:t>330</w:t>
            </w:r>
          </w:p>
        </w:tc>
        <w:tc>
          <w:tcPr>
            <w:tcW w:w="1915" w:type="pct"/>
            <w:vAlign w:val="center"/>
          </w:tcPr>
          <w:p w14:paraId="2CC3BAE4">
            <w:pPr>
              <w:pStyle w:val="62"/>
              <w:rPr>
                <w:u w:val="single"/>
              </w:rPr>
            </w:pPr>
            <w:r>
              <w:rPr>
                <w:u w:val="single"/>
              </w:rPr>
              <w:t>3.6667E+00</w:t>
            </w:r>
          </w:p>
        </w:tc>
        <w:tc>
          <w:tcPr>
            <w:tcW w:w="1621" w:type="pct"/>
            <w:vAlign w:val="center"/>
          </w:tcPr>
          <w:p w14:paraId="6BE581D6">
            <w:pPr>
              <w:pStyle w:val="62"/>
              <w:rPr>
                <w:u w:val="single"/>
              </w:rPr>
            </w:pPr>
            <w:r>
              <w:rPr>
                <w:rFonts w:hint="eastAsia"/>
                <w:u w:val="single"/>
              </w:rPr>
              <w:t>4.9746</w:t>
            </w:r>
            <w:r>
              <w:rPr>
                <w:u w:val="single"/>
              </w:rPr>
              <w:t>E+01</w:t>
            </w:r>
          </w:p>
        </w:tc>
      </w:tr>
      <w:tr w14:paraId="51383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16993CBA">
            <w:pPr>
              <w:pStyle w:val="62"/>
              <w:rPr>
                <w:rFonts w:hint="eastAsia" w:ascii="宋体" w:hAnsi="宋体" w:cs="宋体"/>
                <w:u w:val="single"/>
              </w:rPr>
            </w:pPr>
            <w:r>
              <w:rPr>
                <w:rFonts w:hint="eastAsia"/>
                <w:u w:val="single"/>
              </w:rPr>
              <w:t>350</w:t>
            </w:r>
          </w:p>
        </w:tc>
        <w:tc>
          <w:tcPr>
            <w:tcW w:w="1915" w:type="pct"/>
            <w:vAlign w:val="center"/>
          </w:tcPr>
          <w:p w14:paraId="0FBB5D67">
            <w:pPr>
              <w:pStyle w:val="62"/>
              <w:rPr>
                <w:u w:val="single"/>
              </w:rPr>
            </w:pPr>
            <w:r>
              <w:rPr>
                <w:u w:val="single"/>
              </w:rPr>
              <w:t>3.8889E+00</w:t>
            </w:r>
          </w:p>
        </w:tc>
        <w:tc>
          <w:tcPr>
            <w:tcW w:w="1621" w:type="pct"/>
            <w:vAlign w:val="center"/>
          </w:tcPr>
          <w:p w14:paraId="21FAE3E1">
            <w:pPr>
              <w:pStyle w:val="62"/>
              <w:rPr>
                <w:u w:val="single"/>
              </w:rPr>
            </w:pPr>
            <w:r>
              <w:rPr>
                <w:rFonts w:hint="eastAsia"/>
                <w:u w:val="single"/>
              </w:rPr>
              <w:t>4.5251</w:t>
            </w:r>
            <w:r>
              <w:rPr>
                <w:u w:val="single"/>
              </w:rPr>
              <w:t>E+01</w:t>
            </w:r>
          </w:p>
        </w:tc>
      </w:tr>
      <w:tr w14:paraId="53BE1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74FE032B">
            <w:pPr>
              <w:pStyle w:val="62"/>
              <w:rPr>
                <w:rFonts w:hint="eastAsia" w:ascii="宋体" w:hAnsi="宋体" w:cs="宋体"/>
                <w:u w:val="single"/>
              </w:rPr>
            </w:pPr>
            <w:r>
              <w:rPr>
                <w:rFonts w:hint="eastAsia"/>
                <w:u w:val="single"/>
              </w:rPr>
              <w:t>370</w:t>
            </w:r>
          </w:p>
        </w:tc>
        <w:tc>
          <w:tcPr>
            <w:tcW w:w="1915" w:type="pct"/>
            <w:vAlign w:val="center"/>
          </w:tcPr>
          <w:p w14:paraId="4FCC8D05">
            <w:pPr>
              <w:pStyle w:val="62"/>
              <w:rPr>
                <w:u w:val="single"/>
              </w:rPr>
            </w:pPr>
            <w:r>
              <w:rPr>
                <w:u w:val="single"/>
              </w:rPr>
              <w:t>4.1111E+00</w:t>
            </w:r>
          </w:p>
        </w:tc>
        <w:tc>
          <w:tcPr>
            <w:tcW w:w="1621" w:type="pct"/>
            <w:vAlign w:val="center"/>
          </w:tcPr>
          <w:p w14:paraId="754AD127">
            <w:pPr>
              <w:pStyle w:val="62"/>
              <w:rPr>
                <w:u w:val="single"/>
              </w:rPr>
            </w:pPr>
            <w:r>
              <w:rPr>
                <w:rFonts w:hint="eastAsia"/>
                <w:u w:val="single"/>
              </w:rPr>
              <w:t>4.1366</w:t>
            </w:r>
            <w:r>
              <w:rPr>
                <w:u w:val="single"/>
              </w:rPr>
              <w:t>E+01</w:t>
            </w:r>
          </w:p>
        </w:tc>
      </w:tr>
      <w:tr w14:paraId="13070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3E27E242">
            <w:pPr>
              <w:pStyle w:val="62"/>
              <w:rPr>
                <w:rFonts w:hint="eastAsia" w:ascii="宋体" w:hAnsi="宋体" w:cs="宋体"/>
                <w:u w:val="single"/>
              </w:rPr>
            </w:pPr>
            <w:r>
              <w:rPr>
                <w:rFonts w:hint="eastAsia"/>
                <w:u w:val="single"/>
              </w:rPr>
              <w:t>390</w:t>
            </w:r>
          </w:p>
        </w:tc>
        <w:tc>
          <w:tcPr>
            <w:tcW w:w="1915" w:type="pct"/>
            <w:vAlign w:val="center"/>
          </w:tcPr>
          <w:p w14:paraId="1B1FCC47">
            <w:pPr>
              <w:pStyle w:val="62"/>
              <w:rPr>
                <w:u w:val="single"/>
              </w:rPr>
            </w:pPr>
            <w:r>
              <w:rPr>
                <w:u w:val="single"/>
              </w:rPr>
              <w:t>4.3333E+00</w:t>
            </w:r>
          </w:p>
        </w:tc>
        <w:tc>
          <w:tcPr>
            <w:tcW w:w="1621" w:type="pct"/>
            <w:vAlign w:val="center"/>
          </w:tcPr>
          <w:p w14:paraId="2DEC9284">
            <w:pPr>
              <w:pStyle w:val="62"/>
              <w:rPr>
                <w:u w:val="single"/>
              </w:rPr>
            </w:pPr>
            <w:r>
              <w:rPr>
                <w:rFonts w:hint="eastAsia"/>
                <w:u w:val="single"/>
              </w:rPr>
              <w:t>3.7984</w:t>
            </w:r>
            <w:r>
              <w:rPr>
                <w:u w:val="single"/>
              </w:rPr>
              <w:t>E+01</w:t>
            </w:r>
          </w:p>
        </w:tc>
      </w:tr>
      <w:tr w14:paraId="7528E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0FDDFDFB">
            <w:pPr>
              <w:pStyle w:val="62"/>
              <w:rPr>
                <w:rFonts w:hint="eastAsia" w:ascii="宋体" w:hAnsi="宋体" w:cs="宋体"/>
                <w:u w:val="single"/>
              </w:rPr>
            </w:pPr>
            <w:r>
              <w:rPr>
                <w:rFonts w:hint="eastAsia"/>
                <w:u w:val="single"/>
              </w:rPr>
              <w:t>410</w:t>
            </w:r>
          </w:p>
        </w:tc>
        <w:tc>
          <w:tcPr>
            <w:tcW w:w="1915" w:type="pct"/>
            <w:vAlign w:val="center"/>
          </w:tcPr>
          <w:p w14:paraId="526533BD">
            <w:pPr>
              <w:pStyle w:val="62"/>
              <w:rPr>
                <w:u w:val="single"/>
              </w:rPr>
            </w:pPr>
            <w:r>
              <w:rPr>
                <w:u w:val="single"/>
              </w:rPr>
              <w:t>4.5556E+00</w:t>
            </w:r>
          </w:p>
        </w:tc>
        <w:tc>
          <w:tcPr>
            <w:tcW w:w="1621" w:type="pct"/>
            <w:vAlign w:val="center"/>
          </w:tcPr>
          <w:p w14:paraId="0F7EC449">
            <w:pPr>
              <w:pStyle w:val="62"/>
              <w:rPr>
                <w:u w:val="single"/>
              </w:rPr>
            </w:pPr>
            <w:r>
              <w:rPr>
                <w:rFonts w:hint="eastAsia"/>
                <w:u w:val="single"/>
              </w:rPr>
              <w:t>3.5020</w:t>
            </w:r>
            <w:r>
              <w:rPr>
                <w:u w:val="single"/>
              </w:rPr>
              <w:t>E+01</w:t>
            </w:r>
          </w:p>
        </w:tc>
      </w:tr>
      <w:tr w14:paraId="3703B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3DB9CCDA">
            <w:pPr>
              <w:pStyle w:val="62"/>
              <w:rPr>
                <w:rFonts w:hint="eastAsia" w:ascii="宋体" w:hAnsi="宋体" w:cs="宋体"/>
                <w:u w:val="single"/>
              </w:rPr>
            </w:pPr>
            <w:r>
              <w:rPr>
                <w:rFonts w:hint="eastAsia"/>
                <w:u w:val="single"/>
              </w:rPr>
              <w:t>430</w:t>
            </w:r>
          </w:p>
        </w:tc>
        <w:tc>
          <w:tcPr>
            <w:tcW w:w="1915" w:type="pct"/>
            <w:vAlign w:val="center"/>
          </w:tcPr>
          <w:p w14:paraId="1BF4ADA0">
            <w:pPr>
              <w:pStyle w:val="62"/>
              <w:rPr>
                <w:u w:val="single"/>
              </w:rPr>
            </w:pPr>
            <w:r>
              <w:rPr>
                <w:u w:val="single"/>
              </w:rPr>
              <w:t>4.7778E+00</w:t>
            </w:r>
          </w:p>
        </w:tc>
        <w:tc>
          <w:tcPr>
            <w:tcW w:w="1621" w:type="pct"/>
            <w:vAlign w:val="center"/>
          </w:tcPr>
          <w:p w14:paraId="14B59238">
            <w:pPr>
              <w:pStyle w:val="62"/>
              <w:rPr>
                <w:u w:val="single"/>
              </w:rPr>
            </w:pPr>
            <w:r>
              <w:rPr>
                <w:rFonts w:hint="eastAsia"/>
                <w:u w:val="single"/>
              </w:rPr>
              <w:t>3.2406</w:t>
            </w:r>
            <w:r>
              <w:rPr>
                <w:u w:val="single"/>
              </w:rPr>
              <w:t>E+01</w:t>
            </w:r>
          </w:p>
        </w:tc>
      </w:tr>
      <w:tr w14:paraId="4EDF4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25518E9F">
            <w:pPr>
              <w:pStyle w:val="62"/>
              <w:rPr>
                <w:rFonts w:hint="eastAsia" w:ascii="宋体" w:hAnsi="宋体" w:cs="宋体"/>
                <w:u w:val="single"/>
              </w:rPr>
            </w:pPr>
            <w:r>
              <w:rPr>
                <w:rFonts w:hint="eastAsia"/>
                <w:u w:val="single"/>
              </w:rPr>
              <w:t>450</w:t>
            </w:r>
          </w:p>
        </w:tc>
        <w:tc>
          <w:tcPr>
            <w:tcW w:w="1915" w:type="pct"/>
            <w:vAlign w:val="center"/>
          </w:tcPr>
          <w:p w14:paraId="44D92C13">
            <w:pPr>
              <w:pStyle w:val="62"/>
              <w:rPr>
                <w:u w:val="single"/>
              </w:rPr>
            </w:pPr>
            <w:r>
              <w:rPr>
                <w:u w:val="single"/>
              </w:rPr>
              <w:t>5.0000E+00</w:t>
            </w:r>
          </w:p>
        </w:tc>
        <w:tc>
          <w:tcPr>
            <w:tcW w:w="1621" w:type="pct"/>
            <w:vAlign w:val="center"/>
          </w:tcPr>
          <w:p w14:paraId="5A7CA539">
            <w:pPr>
              <w:pStyle w:val="62"/>
              <w:rPr>
                <w:u w:val="single"/>
              </w:rPr>
            </w:pPr>
            <w:r>
              <w:rPr>
                <w:rFonts w:hint="eastAsia"/>
                <w:u w:val="single"/>
              </w:rPr>
              <w:t>3.0089</w:t>
            </w:r>
            <w:r>
              <w:rPr>
                <w:u w:val="single"/>
              </w:rPr>
              <w:t>E+01</w:t>
            </w:r>
          </w:p>
        </w:tc>
      </w:tr>
      <w:tr w14:paraId="6F8C6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676851B1">
            <w:pPr>
              <w:pStyle w:val="62"/>
              <w:rPr>
                <w:rFonts w:hint="eastAsia" w:ascii="宋体" w:hAnsi="宋体" w:cs="宋体"/>
                <w:u w:val="single"/>
              </w:rPr>
            </w:pPr>
            <w:r>
              <w:rPr>
                <w:rFonts w:hint="eastAsia"/>
                <w:u w:val="single"/>
              </w:rPr>
              <w:t>470</w:t>
            </w:r>
          </w:p>
        </w:tc>
        <w:tc>
          <w:tcPr>
            <w:tcW w:w="1915" w:type="pct"/>
            <w:vAlign w:val="center"/>
          </w:tcPr>
          <w:p w14:paraId="2812E591">
            <w:pPr>
              <w:pStyle w:val="62"/>
              <w:rPr>
                <w:u w:val="single"/>
              </w:rPr>
            </w:pPr>
            <w:r>
              <w:rPr>
                <w:u w:val="single"/>
              </w:rPr>
              <w:t>5.2222E+00</w:t>
            </w:r>
          </w:p>
        </w:tc>
        <w:tc>
          <w:tcPr>
            <w:tcW w:w="1621" w:type="pct"/>
            <w:vAlign w:val="center"/>
          </w:tcPr>
          <w:p w14:paraId="77FDC596">
            <w:pPr>
              <w:pStyle w:val="62"/>
              <w:rPr>
                <w:u w:val="single"/>
              </w:rPr>
            </w:pPr>
            <w:r>
              <w:rPr>
                <w:rFonts w:hint="eastAsia"/>
                <w:u w:val="single"/>
              </w:rPr>
              <w:t>2.8024</w:t>
            </w:r>
            <w:r>
              <w:rPr>
                <w:u w:val="single"/>
              </w:rPr>
              <w:t>E+01</w:t>
            </w:r>
          </w:p>
        </w:tc>
      </w:tr>
      <w:tr w14:paraId="6ED2C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7861ECB8">
            <w:pPr>
              <w:pStyle w:val="62"/>
              <w:rPr>
                <w:rFonts w:hint="eastAsia" w:ascii="宋体" w:hAnsi="宋体" w:cs="宋体"/>
                <w:u w:val="single"/>
              </w:rPr>
            </w:pPr>
            <w:r>
              <w:rPr>
                <w:rFonts w:hint="eastAsia"/>
                <w:u w:val="single"/>
              </w:rPr>
              <w:t>490</w:t>
            </w:r>
          </w:p>
        </w:tc>
        <w:tc>
          <w:tcPr>
            <w:tcW w:w="1915" w:type="pct"/>
            <w:vAlign w:val="center"/>
          </w:tcPr>
          <w:p w14:paraId="5FC35364">
            <w:pPr>
              <w:pStyle w:val="62"/>
              <w:rPr>
                <w:u w:val="single"/>
              </w:rPr>
            </w:pPr>
            <w:r>
              <w:rPr>
                <w:u w:val="single"/>
              </w:rPr>
              <w:t>5.4444E+00</w:t>
            </w:r>
          </w:p>
        </w:tc>
        <w:tc>
          <w:tcPr>
            <w:tcW w:w="1621" w:type="pct"/>
            <w:vAlign w:val="center"/>
          </w:tcPr>
          <w:p w14:paraId="6363099A">
            <w:pPr>
              <w:pStyle w:val="62"/>
              <w:rPr>
                <w:u w:val="single"/>
              </w:rPr>
            </w:pPr>
            <w:r>
              <w:rPr>
                <w:rFonts w:hint="eastAsia"/>
                <w:u w:val="single"/>
              </w:rPr>
              <w:t>2.6175</w:t>
            </w:r>
            <w:r>
              <w:rPr>
                <w:u w:val="single"/>
              </w:rPr>
              <w:t>E+01</w:t>
            </w:r>
          </w:p>
        </w:tc>
      </w:tr>
      <w:tr w14:paraId="1A786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272CF30F">
            <w:pPr>
              <w:pStyle w:val="62"/>
              <w:rPr>
                <w:rFonts w:hint="eastAsia" w:ascii="宋体" w:hAnsi="宋体" w:cs="宋体"/>
                <w:u w:val="single"/>
              </w:rPr>
            </w:pPr>
            <w:r>
              <w:rPr>
                <w:rFonts w:hint="eastAsia"/>
                <w:u w:val="single"/>
              </w:rPr>
              <w:t>510</w:t>
            </w:r>
          </w:p>
        </w:tc>
        <w:tc>
          <w:tcPr>
            <w:tcW w:w="1915" w:type="pct"/>
            <w:vAlign w:val="center"/>
          </w:tcPr>
          <w:p w14:paraId="02754C5D">
            <w:pPr>
              <w:pStyle w:val="62"/>
              <w:rPr>
                <w:u w:val="single"/>
              </w:rPr>
            </w:pPr>
            <w:r>
              <w:rPr>
                <w:u w:val="single"/>
              </w:rPr>
              <w:t>5.6667E+00</w:t>
            </w:r>
          </w:p>
        </w:tc>
        <w:tc>
          <w:tcPr>
            <w:tcW w:w="1621" w:type="pct"/>
            <w:vAlign w:val="center"/>
          </w:tcPr>
          <w:p w14:paraId="68FF2AF4">
            <w:pPr>
              <w:pStyle w:val="62"/>
              <w:rPr>
                <w:u w:val="single"/>
              </w:rPr>
            </w:pPr>
            <w:r>
              <w:rPr>
                <w:rFonts w:hint="eastAsia"/>
                <w:u w:val="single"/>
              </w:rPr>
              <w:t>2.4513</w:t>
            </w:r>
            <w:r>
              <w:rPr>
                <w:u w:val="single"/>
              </w:rPr>
              <w:t>E+01</w:t>
            </w:r>
          </w:p>
        </w:tc>
      </w:tr>
      <w:tr w14:paraId="238FE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1737E8D6">
            <w:pPr>
              <w:pStyle w:val="62"/>
              <w:rPr>
                <w:rFonts w:hint="eastAsia" w:ascii="宋体" w:hAnsi="宋体" w:cs="宋体"/>
                <w:u w:val="single"/>
              </w:rPr>
            </w:pPr>
            <w:r>
              <w:rPr>
                <w:rFonts w:hint="eastAsia"/>
                <w:u w:val="single"/>
              </w:rPr>
              <w:t>1010</w:t>
            </w:r>
          </w:p>
        </w:tc>
        <w:tc>
          <w:tcPr>
            <w:tcW w:w="1915" w:type="pct"/>
            <w:vAlign w:val="center"/>
          </w:tcPr>
          <w:p w14:paraId="56EC14A2">
            <w:pPr>
              <w:pStyle w:val="62"/>
              <w:rPr>
                <w:u w:val="single"/>
              </w:rPr>
            </w:pPr>
            <w:r>
              <w:rPr>
                <w:u w:val="single"/>
              </w:rPr>
              <w:t>1.1222E+01</w:t>
            </w:r>
          </w:p>
        </w:tc>
        <w:tc>
          <w:tcPr>
            <w:tcW w:w="1621" w:type="pct"/>
            <w:vAlign w:val="center"/>
          </w:tcPr>
          <w:p w14:paraId="39E08237">
            <w:pPr>
              <w:pStyle w:val="62"/>
              <w:rPr>
                <w:u w:val="single"/>
              </w:rPr>
            </w:pPr>
            <w:r>
              <w:rPr>
                <w:rFonts w:hint="eastAsia"/>
                <w:u w:val="single"/>
              </w:rPr>
              <w:t>7.9086</w:t>
            </w:r>
            <w:r>
              <w:rPr>
                <w:u w:val="single"/>
              </w:rPr>
              <w:t>E+00</w:t>
            </w:r>
          </w:p>
        </w:tc>
      </w:tr>
      <w:tr w14:paraId="1933E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63381174">
            <w:pPr>
              <w:pStyle w:val="62"/>
              <w:rPr>
                <w:rFonts w:hint="eastAsia" w:ascii="宋体" w:hAnsi="宋体" w:cs="宋体"/>
                <w:u w:val="single"/>
              </w:rPr>
            </w:pPr>
            <w:r>
              <w:rPr>
                <w:rFonts w:hint="eastAsia"/>
                <w:u w:val="single"/>
              </w:rPr>
              <w:t>2010</w:t>
            </w:r>
          </w:p>
        </w:tc>
        <w:tc>
          <w:tcPr>
            <w:tcW w:w="1915" w:type="pct"/>
            <w:vAlign w:val="center"/>
          </w:tcPr>
          <w:p w14:paraId="79028BE5">
            <w:pPr>
              <w:pStyle w:val="62"/>
              <w:rPr>
                <w:u w:val="single"/>
              </w:rPr>
            </w:pPr>
            <w:r>
              <w:rPr>
                <w:u w:val="single"/>
              </w:rPr>
              <w:t>2.9333E+01</w:t>
            </w:r>
          </w:p>
        </w:tc>
        <w:tc>
          <w:tcPr>
            <w:tcW w:w="1621" w:type="pct"/>
            <w:vAlign w:val="center"/>
          </w:tcPr>
          <w:p w14:paraId="71BDBA96">
            <w:pPr>
              <w:pStyle w:val="62"/>
              <w:rPr>
                <w:u w:val="single"/>
              </w:rPr>
            </w:pPr>
            <w:r>
              <w:rPr>
                <w:rFonts w:hint="eastAsia"/>
                <w:u w:val="single"/>
              </w:rPr>
              <w:t>2.8102</w:t>
            </w:r>
            <w:r>
              <w:rPr>
                <w:u w:val="single"/>
              </w:rPr>
              <w:t>E+00</w:t>
            </w:r>
          </w:p>
        </w:tc>
      </w:tr>
      <w:tr w14:paraId="30D64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77B5ADAA">
            <w:pPr>
              <w:pStyle w:val="62"/>
              <w:rPr>
                <w:rFonts w:hint="eastAsia" w:ascii="宋体" w:hAnsi="宋体" w:cs="宋体"/>
                <w:u w:val="single"/>
              </w:rPr>
            </w:pPr>
            <w:r>
              <w:rPr>
                <w:rFonts w:hint="eastAsia"/>
                <w:u w:val="single"/>
              </w:rPr>
              <w:t>3010</w:t>
            </w:r>
          </w:p>
        </w:tc>
        <w:tc>
          <w:tcPr>
            <w:tcW w:w="1915" w:type="pct"/>
            <w:vAlign w:val="center"/>
          </w:tcPr>
          <w:p w14:paraId="0FD450F1">
            <w:pPr>
              <w:pStyle w:val="62"/>
              <w:rPr>
                <w:u w:val="single"/>
              </w:rPr>
            </w:pPr>
            <w:r>
              <w:rPr>
                <w:u w:val="single"/>
              </w:rPr>
              <w:t>4.0444E+01</w:t>
            </w:r>
          </w:p>
        </w:tc>
        <w:tc>
          <w:tcPr>
            <w:tcW w:w="1621" w:type="pct"/>
            <w:vAlign w:val="center"/>
          </w:tcPr>
          <w:p w14:paraId="5F31DC87">
            <w:pPr>
              <w:pStyle w:val="62"/>
              <w:rPr>
                <w:u w:val="single"/>
              </w:rPr>
            </w:pPr>
            <w:r>
              <w:rPr>
                <w:rFonts w:hint="eastAsia"/>
                <w:u w:val="single"/>
              </w:rPr>
              <w:t>1.6406</w:t>
            </w:r>
            <w:r>
              <w:rPr>
                <w:u w:val="single"/>
              </w:rPr>
              <w:t>E+00</w:t>
            </w:r>
          </w:p>
        </w:tc>
      </w:tr>
      <w:tr w14:paraId="5F1E7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28445C46">
            <w:pPr>
              <w:pStyle w:val="62"/>
              <w:rPr>
                <w:rFonts w:hint="eastAsia" w:ascii="宋体" w:hAnsi="宋体" w:cs="宋体"/>
                <w:u w:val="single"/>
              </w:rPr>
            </w:pPr>
            <w:r>
              <w:rPr>
                <w:rFonts w:hint="eastAsia"/>
                <w:u w:val="single"/>
              </w:rPr>
              <w:t>4010</w:t>
            </w:r>
          </w:p>
        </w:tc>
        <w:tc>
          <w:tcPr>
            <w:tcW w:w="1915" w:type="pct"/>
            <w:vAlign w:val="center"/>
          </w:tcPr>
          <w:p w14:paraId="6194BE19">
            <w:pPr>
              <w:pStyle w:val="62"/>
              <w:rPr>
                <w:u w:val="single"/>
              </w:rPr>
            </w:pPr>
            <w:r>
              <w:rPr>
                <w:u w:val="single"/>
              </w:rPr>
              <w:t>5.1555E+01</w:t>
            </w:r>
          </w:p>
        </w:tc>
        <w:tc>
          <w:tcPr>
            <w:tcW w:w="1621" w:type="pct"/>
            <w:vAlign w:val="center"/>
          </w:tcPr>
          <w:p w14:paraId="224DA8AA">
            <w:pPr>
              <w:pStyle w:val="62"/>
              <w:rPr>
                <w:u w:val="single"/>
              </w:rPr>
            </w:pPr>
            <w:r>
              <w:rPr>
                <w:rFonts w:hint="eastAsia"/>
                <w:u w:val="single"/>
              </w:rPr>
              <w:t>1.1188</w:t>
            </w:r>
            <w:r>
              <w:rPr>
                <w:u w:val="single"/>
              </w:rPr>
              <w:t>E</w:t>
            </w:r>
            <w:r>
              <w:rPr>
                <w:rFonts w:hint="eastAsia"/>
                <w:u w:val="single"/>
              </w:rPr>
              <w:t>+00</w:t>
            </w:r>
          </w:p>
        </w:tc>
      </w:tr>
      <w:tr w14:paraId="4B22E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64" w:type="pct"/>
            <w:vAlign w:val="center"/>
          </w:tcPr>
          <w:p w14:paraId="2DD15F57">
            <w:pPr>
              <w:pStyle w:val="62"/>
              <w:rPr>
                <w:rFonts w:hint="eastAsia" w:ascii="宋体" w:hAnsi="宋体" w:cs="宋体"/>
                <w:u w:val="single"/>
              </w:rPr>
            </w:pPr>
            <w:r>
              <w:rPr>
                <w:rFonts w:hint="eastAsia"/>
                <w:u w:val="single"/>
              </w:rPr>
              <w:t>5000</w:t>
            </w:r>
          </w:p>
        </w:tc>
        <w:tc>
          <w:tcPr>
            <w:tcW w:w="1915" w:type="pct"/>
            <w:vAlign w:val="center"/>
          </w:tcPr>
          <w:p w14:paraId="54435F53">
            <w:pPr>
              <w:pStyle w:val="62"/>
              <w:rPr>
                <w:u w:val="single"/>
              </w:rPr>
            </w:pPr>
            <w:r>
              <w:rPr>
                <w:u w:val="single"/>
              </w:rPr>
              <w:t>6.2555E+01</w:t>
            </w:r>
          </w:p>
        </w:tc>
        <w:tc>
          <w:tcPr>
            <w:tcW w:w="1621" w:type="pct"/>
            <w:vAlign w:val="center"/>
          </w:tcPr>
          <w:p w14:paraId="37ACE15F">
            <w:pPr>
              <w:pStyle w:val="62"/>
              <w:rPr>
                <w:u w:val="single"/>
              </w:rPr>
            </w:pPr>
            <w:r>
              <w:rPr>
                <w:rFonts w:hint="eastAsia"/>
                <w:u w:val="single"/>
              </w:rPr>
              <w:t>8.3334</w:t>
            </w:r>
            <w:r>
              <w:rPr>
                <w:u w:val="single"/>
              </w:rPr>
              <w:t>E-01</w:t>
            </w:r>
          </w:p>
        </w:tc>
      </w:tr>
    </w:tbl>
    <w:p w14:paraId="0CA94A00">
      <w:pPr>
        <w:spacing w:before="156" w:beforeLines="50" w:line="360" w:lineRule="auto"/>
        <w:ind w:firstLine="0" w:firstLineChars="0"/>
        <w:jc w:val="center"/>
        <w:rPr>
          <w:u w:val="single"/>
        </w:rPr>
      </w:pPr>
      <w:r>
        <w:rPr>
          <w:u w:val="single"/>
        </w:rPr>
        <w:drawing>
          <wp:inline distT="0" distB="0" distL="0" distR="0">
            <wp:extent cx="5274310" cy="2656840"/>
            <wp:effectExtent l="0" t="0" r="2540" b="10160"/>
            <wp:docPr id="1120454539"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54539" name="图片 1" descr="图形用户界面, 文本&#10;&#10;描述已自动生成"/>
                    <pic:cNvPicPr>
                      <a:picLocks noChangeAspect="1"/>
                    </pic:cNvPicPr>
                  </pic:nvPicPr>
                  <pic:blipFill>
                    <a:blip r:embed="rId154"/>
                    <a:stretch>
                      <a:fillRect/>
                    </a:stretch>
                  </pic:blipFill>
                  <pic:spPr>
                    <a:xfrm>
                      <a:off x="0" y="0"/>
                      <a:ext cx="5274310" cy="2656840"/>
                    </a:xfrm>
                    <a:prstGeom prst="rect">
                      <a:avLst/>
                    </a:prstGeom>
                  </pic:spPr>
                </pic:pic>
              </a:graphicData>
            </a:graphic>
          </wp:inline>
        </w:drawing>
      </w:r>
    </w:p>
    <w:p w14:paraId="3EF7A408">
      <w:pPr>
        <w:pStyle w:val="99"/>
        <w:numPr>
          <w:ilvl w:val="4"/>
          <w:numId w:val="47"/>
        </w:numPr>
        <w:ind w:left="0" w:firstLine="0" w:firstLineChars="0"/>
        <w:jc w:val="center"/>
        <w:rPr>
          <w:b/>
          <w:bCs/>
          <w:u w:val="single"/>
        </w:rPr>
      </w:pPr>
      <w:r>
        <w:rPr>
          <w:rFonts w:hint="eastAsia"/>
          <w:b/>
          <w:bCs/>
          <w:u w:val="single"/>
        </w:rPr>
        <w:t>火灾/爆炸伴生/次生污染物CO最不利气象下风向最大浓度-距离曲线</w:t>
      </w:r>
    </w:p>
    <w:p w14:paraId="3693E571">
      <w:pPr>
        <w:ind w:firstLine="480"/>
        <w:rPr>
          <w:highlight w:val="yellow"/>
        </w:rPr>
      </w:pPr>
      <w:r>
        <w:rPr>
          <w:rFonts w:hint="eastAsia"/>
        </w:rPr>
        <w:t>CO的阈值范围内最大影响范围如下：</w:t>
      </w:r>
    </w:p>
    <w:p w14:paraId="4259DA1C">
      <w:pPr>
        <w:pStyle w:val="99"/>
        <w:numPr>
          <w:ilvl w:val="4"/>
          <w:numId w:val="46"/>
        </w:numPr>
        <w:ind w:left="0" w:firstLine="480"/>
        <w:rPr>
          <w:rFonts w:eastAsia="黑体"/>
          <w:bCs/>
          <w:szCs w:val="24"/>
        </w:rPr>
      </w:pPr>
      <w:r>
        <w:rPr>
          <w:rFonts w:hint="eastAsia" w:eastAsia="黑体"/>
          <w:bCs/>
          <w:szCs w:val="24"/>
        </w:rPr>
        <w:t xml:space="preserve">           阈值范围内最大影响范围</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935"/>
        <w:gridCol w:w="993"/>
        <w:gridCol w:w="1784"/>
        <w:gridCol w:w="716"/>
        <w:gridCol w:w="711"/>
        <w:gridCol w:w="714"/>
        <w:gridCol w:w="1144"/>
        <w:gridCol w:w="1365"/>
      </w:tblGrid>
      <w:tr w14:paraId="4F34BF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59" w:type="pct"/>
            <w:vAlign w:val="center"/>
          </w:tcPr>
          <w:p w14:paraId="51F32B7C">
            <w:pPr>
              <w:pStyle w:val="67"/>
              <w:rPr>
                <w:color w:val="auto"/>
                <w:u w:val="single"/>
              </w:rPr>
            </w:pPr>
            <w:r>
              <w:rPr>
                <w:rFonts w:hint="eastAsia"/>
                <w:color w:val="auto"/>
                <w:u w:val="single"/>
              </w:rPr>
              <w:t>危险物质</w:t>
            </w:r>
          </w:p>
        </w:tc>
        <w:tc>
          <w:tcPr>
            <w:tcW w:w="594" w:type="pct"/>
            <w:vAlign w:val="center"/>
          </w:tcPr>
          <w:p w14:paraId="78D81779">
            <w:pPr>
              <w:pStyle w:val="67"/>
              <w:rPr>
                <w:color w:val="auto"/>
                <w:u w:val="single"/>
              </w:rPr>
            </w:pPr>
            <w:r>
              <w:rPr>
                <w:rFonts w:hint="eastAsia"/>
                <w:color w:val="auto"/>
                <w:u w:val="single"/>
              </w:rPr>
              <w:t>气象条件</w:t>
            </w:r>
          </w:p>
        </w:tc>
        <w:tc>
          <w:tcPr>
            <w:tcW w:w="1495" w:type="pct"/>
            <w:gridSpan w:val="2"/>
            <w:vAlign w:val="center"/>
          </w:tcPr>
          <w:p w14:paraId="15097E96">
            <w:pPr>
              <w:pStyle w:val="67"/>
              <w:rPr>
                <w:color w:val="auto"/>
                <w:u w:val="single"/>
              </w:rPr>
            </w:pPr>
            <w:r>
              <w:rPr>
                <w:rFonts w:hint="eastAsia"/>
                <w:color w:val="auto"/>
                <w:u w:val="single"/>
              </w:rPr>
              <w:t>阈值</w:t>
            </w:r>
          </w:p>
          <w:p w14:paraId="2849FD43">
            <w:pPr>
              <w:pStyle w:val="67"/>
              <w:rPr>
                <w:color w:val="auto"/>
                <w:u w:val="single"/>
              </w:rPr>
            </w:pPr>
            <w:r>
              <w:rPr>
                <w:color w:val="auto"/>
                <w:u w:val="single"/>
              </w:rPr>
              <w:t>mg/m</w:t>
            </w:r>
            <w:r>
              <w:rPr>
                <w:rFonts w:hint="eastAsia"/>
                <w:color w:val="auto"/>
                <w:u w:val="single"/>
              </w:rPr>
              <w:t>³</w:t>
            </w:r>
          </w:p>
        </w:tc>
        <w:tc>
          <w:tcPr>
            <w:tcW w:w="425" w:type="pct"/>
            <w:vAlign w:val="center"/>
          </w:tcPr>
          <w:p w14:paraId="3985B2BB">
            <w:pPr>
              <w:pStyle w:val="67"/>
              <w:rPr>
                <w:color w:val="auto"/>
                <w:u w:val="single"/>
              </w:rPr>
            </w:pPr>
            <w:r>
              <w:rPr>
                <w:color w:val="auto"/>
                <w:u w:val="single"/>
              </w:rPr>
              <w:t>X</w:t>
            </w:r>
            <w:r>
              <w:rPr>
                <w:rFonts w:hint="eastAsia"/>
                <w:color w:val="auto"/>
                <w:u w:val="single"/>
              </w:rPr>
              <w:t>起点</w:t>
            </w:r>
          </w:p>
          <w:p w14:paraId="59267D09">
            <w:pPr>
              <w:pStyle w:val="67"/>
              <w:rPr>
                <w:color w:val="auto"/>
                <w:u w:val="single"/>
              </w:rPr>
            </w:pPr>
            <w:r>
              <w:rPr>
                <w:color w:val="auto"/>
                <w:u w:val="single"/>
              </w:rPr>
              <w:t>m</w:t>
            </w:r>
          </w:p>
        </w:tc>
        <w:tc>
          <w:tcPr>
            <w:tcW w:w="427" w:type="pct"/>
            <w:vAlign w:val="center"/>
          </w:tcPr>
          <w:p w14:paraId="34979897">
            <w:pPr>
              <w:pStyle w:val="67"/>
              <w:rPr>
                <w:color w:val="auto"/>
                <w:u w:val="single"/>
              </w:rPr>
            </w:pPr>
            <w:r>
              <w:rPr>
                <w:color w:val="auto"/>
                <w:u w:val="single"/>
              </w:rPr>
              <w:t>X</w:t>
            </w:r>
            <w:r>
              <w:rPr>
                <w:rFonts w:hint="eastAsia"/>
                <w:color w:val="auto"/>
                <w:u w:val="single"/>
              </w:rPr>
              <w:t>终点</w:t>
            </w:r>
          </w:p>
          <w:p w14:paraId="36C595EC">
            <w:pPr>
              <w:pStyle w:val="67"/>
              <w:rPr>
                <w:color w:val="auto"/>
                <w:u w:val="single"/>
              </w:rPr>
            </w:pPr>
            <w:r>
              <w:rPr>
                <w:color w:val="auto"/>
                <w:u w:val="single"/>
              </w:rPr>
              <w:t>m</w:t>
            </w:r>
          </w:p>
        </w:tc>
        <w:tc>
          <w:tcPr>
            <w:tcW w:w="684" w:type="pct"/>
            <w:vAlign w:val="center"/>
          </w:tcPr>
          <w:p w14:paraId="2F2A6E9E">
            <w:pPr>
              <w:pStyle w:val="67"/>
              <w:rPr>
                <w:color w:val="auto"/>
                <w:u w:val="single"/>
              </w:rPr>
            </w:pPr>
            <w:r>
              <w:rPr>
                <w:rFonts w:hint="eastAsia"/>
                <w:color w:val="auto"/>
                <w:u w:val="single"/>
              </w:rPr>
              <w:t>最大半宽</w:t>
            </w:r>
          </w:p>
          <w:p w14:paraId="09E27B38">
            <w:pPr>
              <w:pStyle w:val="67"/>
              <w:rPr>
                <w:color w:val="auto"/>
                <w:u w:val="single"/>
              </w:rPr>
            </w:pPr>
            <w:r>
              <w:rPr>
                <w:color w:val="auto"/>
                <w:u w:val="single"/>
              </w:rPr>
              <w:t>m</w:t>
            </w:r>
          </w:p>
        </w:tc>
        <w:tc>
          <w:tcPr>
            <w:tcW w:w="816" w:type="pct"/>
            <w:vAlign w:val="center"/>
          </w:tcPr>
          <w:p w14:paraId="509DC253">
            <w:pPr>
              <w:pStyle w:val="67"/>
              <w:rPr>
                <w:color w:val="auto"/>
                <w:u w:val="single"/>
              </w:rPr>
            </w:pPr>
            <w:r>
              <w:rPr>
                <w:rFonts w:hint="eastAsia"/>
                <w:color w:val="auto"/>
                <w:u w:val="single"/>
              </w:rPr>
              <w:t>最大半宽对应</w:t>
            </w:r>
            <w:r>
              <w:rPr>
                <w:color w:val="auto"/>
                <w:u w:val="single"/>
              </w:rPr>
              <w:t>X</w:t>
            </w:r>
            <w:r>
              <w:rPr>
                <w:rFonts w:hint="eastAsia"/>
                <w:color w:val="auto"/>
                <w:u w:val="single"/>
              </w:rPr>
              <w:t>（</w:t>
            </w:r>
            <w:r>
              <w:rPr>
                <w:color w:val="auto"/>
                <w:u w:val="single"/>
              </w:rPr>
              <w:t>m</w:t>
            </w:r>
            <w:r>
              <w:rPr>
                <w:rFonts w:hint="eastAsia"/>
                <w:color w:val="auto"/>
                <w:u w:val="single"/>
              </w:rPr>
              <w:t>）</w:t>
            </w:r>
          </w:p>
        </w:tc>
      </w:tr>
      <w:tr w14:paraId="566BF9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59" w:type="pct"/>
            <w:vMerge w:val="restart"/>
            <w:vAlign w:val="center"/>
          </w:tcPr>
          <w:p w14:paraId="484A7543">
            <w:pPr>
              <w:pStyle w:val="62"/>
              <w:rPr>
                <w:u w:val="single"/>
              </w:rPr>
            </w:pPr>
            <w:r>
              <w:rPr>
                <w:rFonts w:hint="eastAsia"/>
                <w:u w:val="single"/>
              </w:rPr>
              <w:t>CO</w:t>
            </w:r>
          </w:p>
        </w:tc>
        <w:tc>
          <w:tcPr>
            <w:tcW w:w="594" w:type="pct"/>
            <w:vMerge w:val="restart"/>
            <w:vAlign w:val="center"/>
          </w:tcPr>
          <w:p w14:paraId="6B8172D0">
            <w:pPr>
              <w:pStyle w:val="62"/>
              <w:rPr>
                <w:u w:val="single"/>
              </w:rPr>
            </w:pPr>
            <w:r>
              <w:rPr>
                <w:rFonts w:hint="eastAsia"/>
                <w:u w:val="single"/>
              </w:rPr>
              <w:t>最不利</w:t>
            </w:r>
          </w:p>
          <w:p w14:paraId="601E8FD8">
            <w:pPr>
              <w:pStyle w:val="62"/>
              <w:rPr>
                <w:u w:val="single"/>
              </w:rPr>
            </w:pPr>
            <w:r>
              <w:rPr>
                <w:rFonts w:hint="eastAsia"/>
                <w:u w:val="single"/>
              </w:rPr>
              <w:t>气象</w:t>
            </w:r>
          </w:p>
        </w:tc>
        <w:tc>
          <w:tcPr>
            <w:tcW w:w="1067" w:type="pct"/>
            <w:vAlign w:val="center"/>
          </w:tcPr>
          <w:p w14:paraId="0F813C18">
            <w:pPr>
              <w:pStyle w:val="62"/>
              <w:rPr>
                <w:u w:val="single"/>
              </w:rPr>
            </w:pPr>
            <w:r>
              <w:rPr>
                <w:u w:val="single"/>
              </w:rPr>
              <w:t>毒性终点浓度-1</w:t>
            </w:r>
          </w:p>
        </w:tc>
        <w:tc>
          <w:tcPr>
            <w:tcW w:w="428" w:type="pct"/>
            <w:vAlign w:val="center"/>
          </w:tcPr>
          <w:p w14:paraId="6BEB2A66">
            <w:pPr>
              <w:pStyle w:val="62"/>
              <w:rPr>
                <w:u w:val="single"/>
              </w:rPr>
            </w:pPr>
            <w:r>
              <w:rPr>
                <w:rFonts w:hint="eastAsia"/>
                <w:u w:val="single"/>
              </w:rPr>
              <w:t>380</w:t>
            </w:r>
          </w:p>
        </w:tc>
        <w:tc>
          <w:tcPr>
            <w:tcW w:w="425" w:type="pct"/>
            <w:vAlign w:val="center"/>
          </w:tcPr>
          <w:p w14:paraId="0DEF41BD">
            <w:pPr>
              <w:pStyle w:val="62"/>
              <w:rPr>
                <w:u w:val="single"/>
              </w:rPr>
            </w:pPr>
            <w:r>
              <w:rPr>
                <w:rFonts w:hint="eastAsia"/>
                <w:u w:val="single"/>
              </w:rPr>
              <w:t>30</w:t>
            </w:r>
          </w:p>
        </w:tc>
        <w:tc>
          <w:tcPr>
            <w:tcW w:w="427" w:type="pct"/>
            <w:vAlign w:val="center"/>
          </w:tcPr>
          <w:p w14:paraId="2EB9A456">
            <w:pPr>
              <w:pStyle w:val="62"/>
              <w:rPr>
                <w:u w:val="single"/>
              </w:rPr>
            </w:pPr>
            <w:r>
              <w:rPr>
                <w:rFonts w:hint="eastAsia"/>
                <w:u w:val="single"/>
              </w:rPr>
              <w:t>70</w:t>
            </w:r>
          </w:p>
        </w:tc>
        <w:tc>
          <w:tcPr>
            <w:tcW w:w="684" w:type="pct"/>
            <w:vAlign w:val="center"/>
          </w:tcPr>
          <w:p w14:paraId="22E24552">
            <w:pPr>
              <w:pStyle w:val="62"/>
              <w:rPr>
                <w:u w:val="single"/>
              </w:rPr>
            </w:pPr>
            <w:r>
              <w:rPr>
                <w:rFonts w:hint="eastAsia"/>
                <w:u w:val="single"/>
              </w:rPr>
              <w:t>2</w:t>
            </w:r>
          </w:p>
        </w:tc>
        <w:tc>
          <w:tcPr>
            <w:tcW w:w="816" w:type="pct"/>
            <w:vAlign w:val="center"/>
          </w:tcPr>
          <w:p w14:paraId="37C68869">
            <w:pPr>
              <w:pStyle w:val="62"/>
              <w:rPr>
                <w:u w:val="single"/>
              </w:rPr>
            </w:pPr>
            <w:r>
              <w:rPr>
                <w:rFonts w:hint="eastAsia"/>
                <w:u w:val="single"/>
              </w:rPr>
              <w:t>50</w:t>
            </w:r>
          </w:p>
        </w:tc>
      </w:tr>
      <w:tr w14:paraId="3BF40C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59" w:type="pct"/>
            <w:vMerge w:val="continue"/>
            <w:vAlign w:val="center"/>
          </w:tcPr>
          <w:p w14:paraId="0754C5B9">
            <w:pPr>
              <w:pStyle w:val="62"/>
              <w:rPr>
                <w:u w:val="single"/>
              </w:rPr>
            </w:pPr>
          </w:p>
        </w:tc>
        <w:tc>
          <w:tcPr>
            <w:tcW w:w="594" w:type="pct"/>
            <w:vMerge w:val="continue"/>
            <w:vAlign w:val="center"/>
          </w:tcPr>
          <w:p w14:paraId="5A320613">
            <w:pPr>
              <w:pStyle w:val="62"/>
              <w:rPr>
                <w:u w:val="single"/>
              </w:rPr>
            </w:pPr>
          </w:p>
        </w:tc>
        <w:tc>
          <w:tcPr>
            <w:tcW w:w="1067" w:type="pct"/>
            <w:vAlign w:val="center"/>
          </w:tcPr>
          <w:p w14:paraId="4C1FE5C3">
            <w:pPr>
              <w:pStyle w:val="62"/>
              <w:rPr>
                <w:u w:val="single"/>
              </w:rPr>
            </w:pPr>
            <w:r>
              <w:rPr>
                <w:u w:val="single"/>
              </w:rPr>
              <w:t>毒性终点浓度-2</w:t>
            </w:r>
          </w:p>
        </w:tc>
        <w:tc>
          <w:tcPr>
            <w:tcW w:w="428" w:type="pct"/>
            <w:vAlign w:val="center"/>
          </w:tcPr>
          <w:p w14:paraId="7EBE4207">
            <w:pPr>
              <w:pStyle w:val="62"/>
              <w:rPr>
                <w:u w:val="single"/>
              </w:rPr>
            </w:pPr>
            <w:r>
              <w:rPr>
                <w:rFonts w:hint="eastAsia"/>
                <w:u w:val="single"/>
              </w:rPr>
              <w:t>95</w:t>
            </w:r>
          </w:p>
        </w:tc>
        <w:tc>
          <w:tcPr>
            <w:tcW w:w="425" w:type="pct"/>
            <w:vAlign w:val="center"/>
          </w:tcPr>
          <w:p w14:paraId="1F551895">
            <w:pPr>
              <w:pStyle w:val="62"/>
              <w:rPr>
                <w:u w:val="single"/>
              </w:rPr>
            </w:pPr>
            <w:r>
              <w:rPr>
                <w:rFonts w:hint="eastAsia"/>
                <w:u w:val="single"/>
              </w:rPr>
              <w:t>20</w:t>
            </w:r>
          </w:p>
        </w:tc>
        <w:tc>
          <w:tcPr>
            <w:tcW w:w="427" w:type="pct"/>
            <w:vAlign w:val="center"/>
          </w:tcPr>
          <w:p w14:paraId="1E9CC2C1">
            <w:pPr>
              <w:pStyle w:val="62"/>
              <w:rPr>
                <w:u w:val="single"/>
              </w:rPr>
            </w:pPr>
            <w:r>
              <w:rPr>
                <w:rFonts w:hint="eastAsia"/>
                <w:u w:val="single"/>
              </w:rPr>
              <w:t>210</w:t>
            </w:r>
          </w:p>
        </w:tc>
        <w:tc>
          <w:tcPr>
            <w:tcW w:w="684" w:type="pct"/>
            <w:vAlign w:val="center"/>
          </w:tcPr>
          <w:p w14:paraId="7EE8298C">
            <w:pPr>
              <w:pStyle w:val="62"/>
              <w:rPr>
                <w:u w:val="single"/>
              </w:rPr>
            </w:pPr>
            <w:r>
              <w:rPr>
                <w:rFonts w:hint="eastAsia"/>
                <w:u w:val="single"/>
              </w:rPr>
              <w:t>6</w:t>
            </w:r>
          </w:p>
        </w:tc>
        <w:tc>
          <w:tcPr>
            <w:tcW w:w="816" w:type="pct"/>
            <w:vAlign w:val="center"/>
          </w:tcPr>
          <w:p w14:paraId="63F7FEBA">
            <w:pPr>
              <w:pStyle w:val="62"/>
              <w:rPr>
                <w:u w:val="single"/>
              </w:rPr>
            </w:pPr>
            <w:r>
              <w:rPr>
                <w:rFonts w:hint="eastAsia"/>
                <w:u w:val="single"/>
              </w:rPr>
              <w:t>80</w:t>
            </w:r>
          </w:p>
        </w:tc>
      </w:tr>
    </w:tbl>
    <w:p w14:paraId="0AE6DD63">
      <w:pPr>
        <w:spacing w:before="156" w:beforeLines="50" w:line="360" w:lineRule="auto"/>
        <w:ind w:firstLine="0" w:firstLineChars="0"/>
        <w:jc w:val="center"/>
        <w:rPr>
          <w:highlight w:val="yellow"/>
          <w:u w:val="single"/>
        </w:rPr>
      </w:pPr>
      <w:r>
        <w:rPr>
          <w:u w:val="single"/>
        </w:rPr>
        <w:drawing>
          <wp:inline distT="0" distB="0" distL="0" distR="0">
            <wp:extent cx="5274310" cy="3505200"/>
            <wp:effectExtent l="12700" t="12700" r="27940" b="25400"/>
            <wp:docPr id="1157397234" name="图片 1" descr="图片包含 游戏机, 电路, 发动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97234" name="图片 1" descr="图片包含 游戏机, 电路, 发动机&#10;&#10;描述已自动生成"/>
                    <pic:cNvPicPr>
                      <a:picLocks noChangeAspect="1"/>
                    </pic:cNvPicPr>
                  </pic:nvPicPr>
                  <pic:blipFill>
                    <a:blip r:embed="rId155"/>
                    <a:stretch>
                      <a:fillRect/>
                    </a:stretch>
                  </pic:blipFill>
                  <pic:spPr>
                    <a:xfrm>
                      <a:off x="0" y="0"/>
                      <a:ext cx="5274310" cy="3505200"/>
                    </a:xfrm>
                    <a:prstGeom prst="rect">
                      <a:avLst/>
                    </a:prstGeom>
                    <a:ln w="12700">
                      <a:solidFill>
                        <a:schemeClr val="tx1"/>
                      </a:solidFill>
                    </a:ln>
                  </pic:spPr>
                </pic:pic>
              </a:graphicData>
            </a:graphic>
          </wp:inline>
        </w:drawing>
      </w:r>
    </w:p>
    <w:p w14:paraId="7081AC75">
      <w:pPr>
        <w:pStyle w:val="99"/>
        <w:numPr>
          <w:ilvl w:val="4"/>
          <w:numId w:val="47"/>
        </w:numPr>
        <w:spacing w:line="360" w:lineRule="auto"/>
        <w:ind w:left="0" w:firstLine="0" w:firstLineChars="0"/>
        <w:jc w:val="center"/>
        <w:rPr>
          <w:b/>
          <w:bCs/>
          <w:u w:val="single"/>
        </w:rPr>
      </w:pPr>
      <w:r>
        <w:rPr>
          <w:rFonts w:hint="eastAsia"/>
          <w:b/>
          <w:bCs/>
          <w:u w:val="single"/>
        </w:rPr>
        <w:t xml:space="preserve"> 火灾/爆炸产生的C</w:t>
      </w:r>
      <w:r>
        <w:rPr>
          <w:b/>
          <w:bCs/>
          <w:u w:val="single"/>
        </w:rPr>
        <w:t>O</w:t>
      </w:r>
      <w:r>
        <w:rPr>
          <w:rFonts w:hint="eastAsia"/>
          <w:b/>
          <w:bCs/>
          <w:u w:val="single"/>
        </w:rPr>
        <w:t>最不利气象最大影响范围图</w:t>
      </w:r>
    </w:p>
    <w:p w14:paraId="6260EF54">
      <w:pPr>
        <w:ind w:firstLine="480"/>
        <w:rPr>
          <w:highlight w:val="yellow"/>
        </w:rPr>
      </w:pPr>
      <w:r>
        <w:rPr>
          <w:rFonts w:hint="eastAsia"/>
        </w:rPr>
        <w:t>火灾/爆炸产生的伴生/次生污染物对近距离周边敏感点的浓度-时间曲线及敏感点浓度时间分布表情况如下：</w:t>
      </w:r>
    </w:p>
    <w:p w14:paraId="13483924">
      <w:pPr>
        <w:spacing w:before="156" w:beforeLines="50" w:line="360" w:lineRule="auto"/>
        <w:ind w:firstLine="0" w:firstLineChars="0"/>
        <w:jc w:val="center"/>
        <w:rPr>
          <w:highlight w:val="yellow"/>
          <w:u w:val="single"/>
        </w:rPr>
      </w:pPr>
      <w:r>
        <w:rPr>
          <w:u w:val="single"/>
        </w:rPr>
        <w:drawing>
          <wp:inline distT="0" distB="0" distL="0" distR="0">
            <wp:extent cx="5274310" cy="2678430"/>
            <wp:effectExtent l="0" t="0" r="2540" b="7620"/>
            <wp:docPr id="70062874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28742" name="图片 1" descr="图表, 折线图&#10;&#10;描述已自动生成"/>
                    <pic:cNvPicPr>
                      <a:picLocks noChangeAspect="1"/>
                    </pic:cNvPicPr>
                  </pic:nvPicPr>
                  <pic:blipFill>
                    <a:blip r:embed="rId156"/>
                    <a:stretch>
                      <a:fillRect/>
                    </a:stretch>
                  </pic:blipFill>
                  <pic:spPr>
                    <a:xfrm>
                      <a:off x="0" y="0"/>
                      <a:ext cx="5274310" cy="2678430"/>
                    </a:xfrm>
                    <a:prstGeom prst="rect">
                      <a:avLst/>
                    </a:prstGeom>
                  </pic:spPr>
                </pic:pic>
              </a:graphicData>
            </a:graphic>
          </wp:inline>
        </w:drawing>
      </w:r>
    </w:p>
    <w:p w14:paraId="56B477F0">
      <w:pPr>
        <w:pStyle w:val="99"/>
        <w:numPr>
          <w:ilvl w:val="4"/>
          <w:numId w:val="47"/>
        </w:numPr>
        <w:ind w:left="0" w:firstLine="0" w:firstLineChars="0"/>
        <w:jc w:val="center"/>
        <w:rPr>
          <w:b/>
          <w:bCs/>
          <w:u w:val="single"/>
        </w:rPr>
      </w:pPr>
      <w:r>
        <w:rPr>
          <w:rFonts w:hint="eastAsia"/>
          <w:b/>
          <w:bCs/>
          <w:u w:val="single"/>
        </w:rPr>
        <w:t xml:space="preserve">  伴生/次生CO最不利气象近距离敏感点浓度时间分布图</w:t>
      </w:r>
    </w:p>
    <w:p w14:paraId="1DB54AC2">
      <w:pPr>
        <w:ind w:firstLine="480"/>
        <w:rPr>
          <w:highlight w:val="yellow"/>
        </w:rPr>
      </w:pPr>
    </w:p>
    <w:p w14:paraId="327A0272">
      <w:pPr>
        <w:pStyle w:val="2"/>
        <w:ind w:firstLine="480"/>
        <w:rPr>
          <w:highlight w:val="yellow"/>
        </w:rPr>
        <w:sectPr>
          <w:pgSz w:w="11906" w:h="16838"/>
          <w:pgMar w:top="1440" w:right="1800" w:bottom="1440" w:left="1800" w:header="851" w:footer="992" w:gutter="0"/>
          <w:cols w:space="425" w:num="1"/>
          <w:docGrid w:type="lines" w:linePitch="312" w:charSpace="0"/>
        </w:sectPr>
      </w:pPr>
    </w:p>
    <w:p w14:paraId="2568148E">
      <w:pPr>
        <w:pStyle w:val="99"/>
        <w:numPr>
          <w:ilvl w:val="4"/>
          <w:numId w:val="46"/>
        </w:numPr>
        <w:ind w:left="0" w:firstLine="480"/>
        <w:rPr>
          <w:rFonts w:eastAsia="黑体"/>
          <w:bCs/>
          <w:szCs w:val="24"/>
        </w:rPr>
      </w:pPr>
      <w:r>
        <w:rPr>
          <w:rFonts w:hint="eastAsia" w:eastAsia="黑体"/>
          <w:bCs/>
          <w:szCs w:val="24"/>
        </w:rPr>
        <w:t xml:space="preserve">                     伴生/次生CO最不利气象条件下敏感点浓度时间分布</w:t>
      </w: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 w:type="dxa"/>
          <w:bottom w:w="0" w:type="dxa"/>
          <w:right w:w="11" w:type="dxa"/>
        </w:tblCellMar>
      </w:tblPr>
      <w:tblGrid>
        <w:gridCol w:w="573"/>
        <w:gridCol w:w="1981"/>
        <w:gridCol w:w="2069"/>
        <w:gridCol w:w="1533"/>
        <w:gridCol w:w="1590"/>
        <w:gridCol w:w="1556"/>
        <w:gridCol w:w="1554"/>
        <w:gridCol w:w="1524"/>
        <w:gridCol w:w="1600"/>
      </w:tblGrid>
      <w:tr w14:paraId="4B46B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7CFDA47F">
            <w:pPr>
              <w:pStyle w:val="2"/>
              <w:spacing w:after="0" w:line="240" w:lineRule="auto"/>
              <w:ind w:firstLine="0" w:firstLineChars="0"/>
              <w:jc w:val="center"/>
              <w:rPr>
                <w:b/>
                <w:bCs/>
                <w:sz w:val="21"/>
                <w:szCs w:val="21"/>
                <w:u w:val="single"/>
              </w:rPr>
            </w:pPr>
            <w:r>
              <w:rPr>
                <w:rFonts w:hint="eastAsia"/>
                <w:b/>
                <w:bCs/>
                <w:sz w:val="21"/>
                <w:szCs w:val="21"/>
                <w:u w:val="single"/>
              </w:rPr>
              <w:t>序号</w:t>
            </w:r>
          </w:p>
        </w:tc>
        <w:tc>
          <w:tcPr>
            <w:tcW w:w="1976" w:type="dxa"/>
            <w:vAlign w:val="center"/>
          </w:tcPr>
          <w:p w14:paraId="299CA136">
            <w:pPr>
              <w:pStyle w:val="2"/>
              <w:spacing w:after="0" w:line="240" w:lineRule="auto"/>
              <w:ind w:firstLine="0" w:firstLineChars="0"/>
              <w:jc w:val="center"/>
              <w:rPr>
                <w:b/>
                <w:bCs/>
                <w:sz w:val="21"/>
                <w:szCs w:val="21"/>
                <w:u w:val="single"/>
              </w:rPr>
            </w:pPr>
            <w:r>
              <w:rPr>
                <w:rFonts w:hint="eastAsia"/>
                <w:b/>
                <w:bCs/>
                <w:sz w:val="21"/>
                <w:szCs w:val="21"/>
                <w:u w:val="single"/>
              </w:rPr>
              <w:t>名称</w:t>
            </w:r>
          </w:p>
        </w:tc>
        <w:tc>
          <w:tcPr>
            <w:tcW w:w="2063" w:type="dxa"/>
            <w:vAlign w:val="center"/>
          </w:tcPr>
          <w:p w14:paraId="67B8150C">
            <w:pPr>
              <w:pStyle w:val="2"/>
              <w:spacing w:after="0" w:line="240" w:lineRule="auto"/>
              <w:ind w:firstLine="0" w:firstLineChars="0"/>
              <w:jc w:val="center"/>
              <w:rPr>
                <w:b/>
                <w:bCs/>
                <w:sz w:val="21"/>
                <w:szCs w:val="21"/>
                <w:u w:val="single"/>
              </w:rPr>
            </w:pPr>
            <w:r>
              <w:rPr>
                <w:rFonts w:hint="eastAsia"/>
                <w:b/>
                <w:bCs/>
                <w:sz w:val="21"/>
                <w:szCs w:val="21"/>
                <w:u w:val="single"/>
              </w:rPr>
              <w:t>最大浓度|时间(min)</w:t>
            </w:r>
          </w:p>
        </w:tc>
        <w:tc>
          <w:tcPr>
            <w:tcW w:w="1528" w:type="dxa"/>
            <w:vAlign w:val="center"/>
          </w:tcPr>
          <w:p w14:paraId="1C0C6B2B">
            <w:pPr>
              <w:pStyle w:val="2"/>
              <w:spacing w:after="0" w:line="240" w:lineRule="auto"/>
              <w:ind w:firstLine="0" w:firstLineChars="0"/>
              <w:jc w:val="center"/>
              <w:rPr>
                <w:b/>
                <w:bCs/>
                <w:sz w:val="21"/>
                <w:szCs w:val="21"/>
                <w:u w:val="single"/>
              </w:rPr>
            </w:pPr>
            <w:r>
              <w:rPr>
                <w:rFonts w:hint="eastAsia"/>
                <w:b/>
                <w:bCs/>
                <w:sz w:val="21"/>
                <w:szCs w:val="21"/>
                <w:u w:val="single"/>
              </w:rPr>
              <w:t>5min</w:t>
            </w:r>
          </w:p>
        </w:tc>
        <w:tc>
          <w:tcPr>
            <w:tcW w:w="1585" w:type="dxa"/>
            <w:vAlign w:val="center"/>
          </w:tcPr>
          <w:p w14:paraId="23780320">
            <w:pPr>
              <w:pStyle w:val="2"/>
              <w:spacing w:after="0" w:line="240" w:lineRule="auto"/>
              <w:ind w:firstLine="0" w:firstLineChars="0"/>
              <w:jc w:val="center"/>
              <w:rPr>
                <w:b/>
                <w:bCs/>
                <w:sz w:val="21"/>
                <w:szCs w:val="21"/>
                <w:u w:val="single"/>
              </w:rPr>
            </w:pPr>
            <w:r>
              <w:rPr>
                <w:rFonts w:hint="eastAsia"/>
                <w:b/>
                <w:bCs/>
                <w:sz w:val="21"/>
                <w:szCs w:val="21"/>
                <w:u w:val="single"/>
              </w:rPr>
              <w:t>10min</w:t>
            </w:r>
          </w:p>
        </w:tc>
        <w:tc>
          <w:tcPr>
            <w:tcW w:w="1551" w:type="dxa"/>
            <w:vAlign w:val="center"/>
          </w:tcPr>
          <w:p w14:paraId="4E1CA66F">
            <w:pPr>
              <w:pStyle w:val="2"/>
              <w:spacing w:after="0" w:line="240" w:lineRule="auto"/>
              <w:ind w:firstLine="0" w:firstLineChars="0"/>
              <w:jc w:val="center"/>
              <w:rPr>
                <w:b/>
                <w:bCs/>
                <w:sz w:val="21"/>
                <w:szCs w:val="21"/>
                <w:u w:val="single"/>
              </w:rPr>
            </w:pPr>
            <w:r>
              <w:rPr>
                <w:rFonts w:hint="eastAsia"/>
                <w:b/>
                <w:bCs/>
                <w:sz w:val="21"/>
                <w:szCs w:val="21"/>
                <w:u w:val="single"/>
              </w:rPr>
              <w:t>15min</w:t>
            </w:r>
          </w:p>
        </w:tc>
        <w:tc>
          <w:tcPr>
            <w:tcW w:w="1549" w:type="dxa"/>
            <w:vAlign w:val="center"/>
          </w:tcPr>
          <w:p w14:paraId="3C29D8ED">
            <w:pPr>
              <w:pStyle w:val="2"/>
              <w:spacing w:after="0" w:line="240" w:lineRule="auto"/>
              <w:ind w:firstLine="0" w:firstLineChars="0"/>
              <w:jc w:val="center"/>
              <w:rPr>
                <w:b/>
                <w:bCs/>
                <w:sz w:val="21"/>
                <w:szCs w:val="21"/>
                <w:u w:val="single"/>
              </w:rPr>
            </w:pPr>
            <w:r>
              <w:rPr>
                <w:rFonts w:hint="eastAsia"/>
                <w:b/>
                <w:bCs/>
                <w:sz w:val="21"/>
                <w:szCs w:val="21"/>
                <w:u w:val="single"/>
              </w:rPr>
              <w:t>20min</w:t>
            </w:r>
          </w:p>
        </w:tc>
        <w:tc>
          <w:tcPr>
            <w:tcW w:w="1519" w:type="dxa"/>
            <w:vAlign w:val="center"/>
          </w:tcPr>
          <w:p w14:paraId="2C73C574">
            <w:pPr>
              <w:pStyle w:val="2"/>
              <w:spacing w:after="0" w:line="240" w:lineRule="auto"/>
              <w:ind w:firstLine="0" w:firstLineChars="0"/>
              <w:jc w:val="center"/>
              <w:rPr>
                <w:b/>
                <w:bCs/>
                <w:sz w:val="21"/>
                <w:szCs w:val="21"/>
                <w:u w:val="single"/>
              </w:rPr>
            </w:pPr>
            <w:r>
              <w:rPr>
                <w:rFonts w:hint="eastAsia"/>
                <w:b/>
                <w:bCs/>
                <w:sz w:val="21"/>
                <w:szCs w:val="21"/>
                <w:u w:val="single"/>
              </w:rPr>
              <w:t>25min</w:t>
            </w:r>
          </w:p>
        </w:tc>
        <w:tc>
          <w:tcPr>
            <w:tcW w:w="1595" w:type="dxa"/>
            <w:vAlign w:val="center"/>
          </w:tcPr>
          <w:p w14:paraId="706AC64F">
            <w:pPr>
              <w:pStyle w:val="2"/>
              <w:spacing w:after="0" w:line="240" w:lineRule="auto"/>
              <w:ind w:firstLine="0" w:firstLineChars="0"/>
              <w:jc w:val="center"/>
              <w:rPr>
                <w:b/>
                <w:bCs/>
                <w:sz w:val="21"/>
                <w:szCs w:val="21"/>
                <w:u w:val="single"/>
              </w:rPr>
            </w:pPr>
            <w:r>
              <w:rPr>
                <w:rFonts w:hint="eastAsia"/>
                <w:b/>
                <w:bCs/>
                <w:sz w:val="21"/>
                <w:szCs w:val="21"/>
                <w:u w:val="single"/>
              </w:rPr>
              <w:t>30min</w:t>
            </w:r>
          </w:p>
        </w:tc>
      </w:tr>
      <w:tr w14:paraId="7B573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72CEFCC0">
            <w:pPr>
              <w:pStyle w:val="2"/>
              <w:spacing w:after="0" w:line="240" w:lineRule="auto"/>
              <w:ind w:firstLine="0" w:firstLineChars="0"/>
              <w:jc w:val="center"/>
              <w:rPr>
                <w:sz w:val="21"/>
                <w:szCs w:val="21"/>
                <w:u w:val="single"/>
              </w:rPr>
            </w:pPr>
            <w:r>
              <w:rPr>
                <w:rFonts w:hint="eastAsia"/>
                <w:sz w:val="21"/>
                <w:szCs w:val="21"/>
                <w:u w:val="single"/>
              </w:rPr>
              <w:t>1</w:t>
            </w:r>
          </w:p>
        </w:tc>
        <w:tc>
          <w:tcPr>
            <w:tcW w:w="1976" w:type="dxa"/>
            <w:vAlign w:val="center"/>
          </w:tcPr>
          <w:p w14:paraId="09C35255">
            <w:pPr>
              <w:pStyle w:val="2"/>
              <w:spacing w:after="0" w:line="240" w:lineRule="auto"/>
              <w:ind w:firstLine="0" w:firstLineChars="0"/>
              <w:jc w:val="center"/>
              <w:rPr>
                <w:sz w:val="21"/>
                <w:szCs w:val="21"/>
                <w:u w:val="single"/>
              </w:rPr>
            </w:pPr>
            <w:r>
              <w:rPr>
                <w:rFonts w:hint="eastAsia"/>
                <w:sz w:val="21"/>
                <w:szCs w:val="21"/>
                <w:u w:val="single"/>
              </w:rPr>
              <w:t>代庄村</w:t>
            </w:r>
          </w:p>
        </w:tc>
        <w:tc>
          <w:tcPr>
            <w:tcW w:w="2063" w:type="dxa"/>
            <w:vAlign w:val="center"/>
          </w:tcPr>
          <w:p w14:paraId="62ABABDD">
            <w:pPr>
              <w:pStyle w:val="2"/>
              <w:spacing w:after="0" w:line="240" w:lineRule="auto"/>
              <w:ind w:firstLine="0" w:firstLineChars="0"/>
              <w:jc w:val="center"/>
              <w:rPr>
                <w:sz w:val="21"/>
                <w:szCs w:val="21"/>
                <w:u w:val="single"/>
              </w:rPr>
            </w:pPr>
            <w:r>
              <w:rPr>
                <w:rFonts w:hint="eastAsia"/>
                <w:sz w:val="21"/>
                <w:szCs w:val="21"/>
                <w:u w:val="single"/>
              </w:rPr>
              <w:t>8.78E-07</w:t>
            </w:r>
            <w:r>
              <w:rPr>
                <w:rFonts w:hint="eastAsia"/>
                <w:b/>
                <w:bCs/>
                <w:sz w:val="21"/>
                <w:szCs w:val="21"/>
                <w:u w:val="single"/>
              </w:rPr>
              <w:t>|15</w:t>
            </w:r>
          </w:p>
        </w:tc>
        <w:tc>
          <w:tcPr>
            <w:tcW w:w="1528" w:type="dxa"/>
            <w:vAlign w:val="center"/>
          </w:tcPr>
          <w:p w14:paraId="6EED3731">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1D6B40F3">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36A75E5A">
            <w:pPr>
              <w:pStyle w:val="2"/>
              <w:spacing w:after="0" w:line="240" w:lineRule="auto"/>
              <w:ind w:firstLine="0" w:firstLineChars="0"/>
              <w:jc w:val="center"/>
              <w:rPr>
                <w:sz w:val="21"/>
                <w:szCs w:val="21"/>
                <w:u w:val="single"/>
              </w:rPr>
            </w:pPr>
            <w:r>
              <w:rPr>
                <w:rFonts w:hint="eastAsia"/>
                <w:sz w:val="21"/>
                <w:szCs w:val="21"/>
                <w:u w:val="single"/>
              </w:rPr>
              <w:t>8.78E-07</w:t>
            </w:r>
          </w:p>
        </w:tc>
        <w:tc>
          <w:tcPr>
            <w:tcW w:w="1549" w:type="dxa"/>
            <w:vAlign w:val="center"/>
          </w:tcPr>
          <w:p w14:paraId="4DDB85C0">
            <w:pPr>
              <w:pStyle w:val="2"/>
              <w:spacing w:after="0" w:line="240" w:lineRule="auto"/>
              <w:ind w:firstLine="0" w:firstLineChars="0"/>
              <w:jc w:val="center"/>
              <w:rPr>
                <w:sz w:val="21"/>
                <w:szCs w:val="21"/>
                <w:u w:val="single"/>
              </w:rPr>
            </w:pPr>
            <w:r>
              <w:rPr>
                <w:rFonts w:hint="eastAsia"/>
                <w:sz w:val="21"/>
                <w:szCs w:val="21"/>
                <w:u w:val="single"/>
              </w:rPr>
              <w:t>8.78E-07</w:t>
            </w:r>
          </w:p>
        </w:tc>
        <w:tc>
          <w:tcPr>
            <w:tcW w:w="1519" w:type="dxa"/>
            <w:vAlign w:val="center"/>
          </w:tcPr>
          <w:p w14:paraId="79A6F588">
            <w:pPr>
              <w:pStyle w:val="2"/>
              <w:spacing w:after="0" w:line="240" w:lineRule="auto"/>
              <w:ind w:firstLine="0" w:firstLineChars="0"/>
              <w:jc w:val="center"/>
              <w:rPr>
                <w:sz w:val="21"/>
                <w:szCs w:val="21"/>
                <w:u w:val="single"/>
              </w:rPr>
            </w:pPr>
            <w:r>
              <w:rPr>
                <w:rFonts w:hint="eastAsia"/>
                <w:sz w:val="21"/>
                <w:szCs w:val="21"/>
                <w:u w:val="single"/>
              </w:rPr>
              <w:t>8.78E-07</w:t>
            </w:r>
          </w:p>
        </w:tc>
        <w:tc>
          <w:tcPr>
            <w:tcW w:w="1595" w:type="dxa"/>
            <w:vAlign w:val="center"/>
          </w:tcPr>
          <w:p w14:paraId="152659FF">
            <w:pPr>
              <w:pStyle w:val="2"/>
              <w:spacing w:after="0" w:line="240" w:lineRule="auto"/>
              <w:ind w:firstLine="0" w:firstLineChars="0"/>
              <w:jc w:val="center"/>
              <w:rPr>
                <w:sz w:val="21"/>
                <w:szCs w:val="21"/>
                <w:u w:val="single"/>
              </w:rPr>
            </w:pPr>
            <w:r>
              <w:rPr>
                <w:rFonts w:hint="eastAsia"/>
                <w:sz w:val="21"/>
                <w:szCs w:val="21"/>
                <w:u w:val="single"/>
              </w:rPr>
              <w:t>0</w:t>
            </w:r>
          </w:p>
        </w:tc>
      </w:tr>
      <w:tr w14:paraId="35E9A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5C8793EE">
            <w:pPr>
              <w:pStyle w:val="2"/>
              <w:spacing w:after="0" w:line="240" w:lineRule="auto"/>
              <w:ind w:firstLine="0" w:firstLineChars="0"/>
              <w:jc w:val="center"/>
              <w:rPr>
                <w:sz w:val="21"/>
                <w:szCs w:val="21"/>
                <w:u w:val="single"/>
              </w:rPr>
            </w:pPr>
            <w:r>
              <w:rPr>
                <w:rFonts w:hint="eastAsia"/>
                <w:sz w:val="21"/>
                <w:szCs w:val="21"/>
                <w:u w:val="single"/>
              </w:rPr>
              <w:t>2</w:t>
            </w:r>
          </w:p>
        </w:tc>
        <w:tc>
          <w:tcPr>
            <w:tcW w:w="1976" w:type="dxa"/>
            <w:vAlign w:val="center"/>
          </w:tcPr>
          <w:p w14:paraId="5843017A">
            <w:pPr>
              <w:pStyle w:val="2"/>
              <w:spacing w:after="0" w:line="240" w:lineRule="auto"/>
              <w:ind w:firstLine="0" w:firstLineChars="0"/>
              <w:jc w:val="center"/>
              <w:rPr>
                <w:sz w:val="21"/>
                <w:szCs w:val="21"/>
                <w:u w:val="single"/>
              </w:rPr>
            </w:pPr>
            <w:r>
              <w:rPr>
                <w:rFonts w:hint="eastAsia"/>
                <w:sz w:val="21"/>
                <w:szCs w:val="21"/>
                <w:u w:val="single"/>
              </w:rPr>
              <w:t>仁里屯村</w:t>
            </w:r>
          </w:p>
        </w:tc>
        <w:tc>
          <w:tcPr>
            <w:tcW w:w="2063" w:type="dxa"/>
            <w:vAlign w:val="center"/>
          </w:tcPr>
          <w:p w14:paraId="32D86C02">
            <w:pPr>
              <w:pStyle w:val="2"/>
              <w:spacing w:after="0" w:line="240" w:lineRule="auto"/>
              <w:ind w:firstLine="0" w:firstLineChars="0"/>
              <w:jc w:val="center"/>
              <w:rPr>
                <w:sz w:val="21"/>
                <w:szCs w:val="21"/>
                <w:u w:val="single"/>
              </w:rPr>
            </w:pPr>
            <w:r>
              <w:rPr>
                <w:rFonts w:hint="eastAsia"/>
                <w:sz w:val="21"/>
                <w:szCs w:val="21"/>
                <w:u w:val="single"/>
              </w:rPr>
              <w:t>3.91E-34</w:t>
            </w:r>
            <w:r>
              <w:rPr>
                <w:rFonts w:hint="eastAsia"/>
                <w:b/>
                <w:bCs/>
                <w:sz w:val="21"/>
                <w:szCs w:val="21"/>
                <w:u w:val="single"/>
              </w:rPr>
              <w:t>|15</w:t>
            </w:r>
          </w:p>
        </w:tc>
        <w:tc>
          <w:tcPr>
            <w:tcW w:w="1528" w:type="dxa"/>
            <w:vAlign w:val="center"/>
          </w:tcPr>
          <w:p w14:paraId="33B45DFF">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2986CE3D">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33A2C264">
            <w:pPr>
              <w:pStyle w:val="2"/>
              <w:spacing w:after="0" w:line="240" w:lineRule="auto"/>
              <w:ind w:firstLine="0" w:firstLineChars="0"/>
              <w:jc w:val="center"/>
              <w:rPr>
                <w:sz w:val="21"/>
                <w:szCs w:val="21"/>
                <w:u w:val="single"/>
              </w:rPr>
            </w:pPr>
            <w:r>
              <w:rPr>
                <w:rFonts w:hint="eastAsia"/>
                <w:sz w:val="21"/>
                <w:szCs w:val="21"/>
                <w:u w:val="single"/>
              </w:rPr>
              <w:t>3.91E-34</w:t>
            </w:r>
          </w:p>
        </w:tc>
        <w:tc>
          <w:tcPr>
            <w:tcW w:w="1549" w:type="dxa"/>
            <w:vAlign w:val="center"/>
          </w:tcPr>
          <w:p w14:paraId="06085411">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088DCC92">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42EDBFF3">
            <w:pPr>
              <w:pStyle w:val="2"/>
              <w:spacing w:after="0" w:line="240" w:lineRule="auto"/>
              <w:ind w:firstLine="0" w:firstLineChars="0"/>
              <w:jc w:val="center"/>
              <w:rPr>
                <w:sz w:val="21"/>
                <w:szCs w:val="21"/>
                <w:u w:val="single"/>
              </w:rPr>
            </w:pPr>
            <w:r>
              <w:rPr>
                <w:rFonts w:hint="eastAsia"/>
                <w:sz w:val="21"/>
                <w:szCs w:val="21"/>
                <w:u w:val="single"/>
              </w:rPr>
              <w:t>0</w:t>
            </w:r>
          </w:p>
        </w:tc>
      </w:tr>
      <w:tr w14:paraId="0A0D1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60EACDFD">
            <w:pPr>
              <w:pStyle w:val="2"/>
              <w:spacing w:after="0" w:line="240" w:lineRule="auto"/>
              <w:ind w:firstLine="0" w:firstLineChars="0"/>
              <w:jc w:val="center"/>
              <w:rPr>
                <w:sz w:val="21"/>
                <w:szCs w:val="21"/>
                <w:u w:val="single"/>
              </w:rPr>
            </w:pPr>
            <w:r>
              <w:rPr>
                <w:rFonts w:hint="eastAsia"/>
                <w:sz w:val="21"/>
                <w:szCs w:val="21"/>
                <w:u w:val="single"/>
              </w:rPr>
              <w:t>3</w:t>
            </w:r>
          </w:p>
        </w:tc>
        <w:tc>
          <w:tcPr>
            <w:tcW w:w="1976" w:type="dxa"/>
            <w:vAlign w:val="center"/>
          </w:tcPr>
          <w:p w14:paraId="2AED57F3">
            <w:pPr>
              <w:pStyle w:val="2"/>
              <w:spacing w:after="0" w:line="240" w:lineRule="auto"/>
              <w:ind w:firstLine="0" w:firstLineChars="0"/>
              <w:jc w:val="center"/>
              <w:rPr>
                <w:sz w:val="21"/>
                <w:szCs w:val="21"/>
                <w:u w:val="single"/>
              </w:rPr>
            </w:pPr>
            <w:r>
              <w:rPr>
                <w:rFonts w:hint="eastAsia"/>
                <w:sz w:val="21"/>
                <w:szCs w:val="21"/>
                <w:u w:val="single"/>
              </w:rPr>
              <w:t>田庄</w:t>
            </w:r>
            <w:r>
              <w:rPr>
                <w:sz w:val="21"/>
                <w:szCs w:val="21"/>
                <w:u w:val="single"/>
              </w:rPr>
              <w:t>村</w:t>
            </w:r>
          </w:p>
        </w:tc>
        <w:tc>
          <w:tcPr>
            <w:tcW w:w="2063" w:type="dxa"/>
            <w:vAlign w:val="center"/>
          </w:tcPr>
          <w:p w14:paraId="71403BAD">
            <w:pPr>
              <w:pStyle w:val="2"/>
              <w:spacing w:after="0" w:line="240" w:lineRule="auto"/>
              <w:ind w:firstLine="0" w:firstLineChars="0"/>
              <w:jc w:val="center"/>
              <w:rPr>
                <w:sz w:val="21"/>
                <w:szCs w:val="21"/>
                <w:u w:val="single"/>
              </w:rPr>
            </w:pPr>
            <w:r>
              <w:rPr>
                <w:rFonts w:hint="eastAsia"/>
                <w:sz w:val="21"/>
                <w:szCs w:val="21"/>
                <w:u w:val="single"/>
              </w:rPr>
              <w:t>3.01E-14</w:t>
            </w:r>
            <w:r>
              <w:rPr>
                <w:rFonts w:hint="eastAsia"/>
                <w:b/>
                <w:bCs/>
                <w:sz w:val="21"/>
                <w:szCs w:val="21"/>
                <w:u w:val="single"/>
              </w:rPr>
              <w:t>|25</w:t>
            </w:r>
          </w:p>
        </w:tc>
        <w:tc>
          <w:tcPr>
            <w:tcW w:w="1528" w:type="dxa"/>
            <w:vAlign w:val="center"/>
          </w:tcPr>
          <w:p w14:paraId="483E3F34">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170B8256">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2F93EBEB">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58CE6592">
            <w:pPr>
              <w:pStyle w:val="2"/>
              <w:spacing w:after="0" w:line="240" w:lineRule="auto"/>
              <w:ind w:firstLine="0" w:firstLineChars="0"/>
              <w:jc w:val="center"/>
              <w:rPr>
                <w:sz w:val="21"/>
                <w:szCs w:val="21"/>
                <w:u w:val="single"/>
              </w:rPr>
            </w:pPr>
            <w:r>
              <w:rPr>
                <w:rFonts w:hint="eastAsia"/>
                <w:sz w:val="21"/>
                <w:szCs w:val="21"/>
                <w:u w:val="single"/>
              </w:rPr>
              <w:t>3.17E-16</w:t>
            </w:r>
          </w:p>
        </w:tc>
        <w:tc>
          <w:tcPr>
            <w:tcW w:w="1519" w:type="dxa"/>
            <w:vAlign w:val="center"/>
          </w:tcPr>
          <w:p w14:paraId="011B6BA8">
            <w:pPr>
              <w:pStyle w:val="2"/>
              <w:spacing w:after="0" w:line="240" w:lineRule="auto"/>
              <w:ind w:firstLine="0" w:firstLineChars="0"/>
              <w:jc w:val="center"/>
              <w:rPr>
                <w:sz w:val="21"/>
                <w:szCs w:val="21"/>
                <w:u w:val="single"/>
              </w:rPr>
            </w:pPr>
            <w:r>
              <w:rPr>
                <w:rFonts w:hint="eastAsia"/>
                <w:sz w:val="21"/>
                <w:szCs w:val="21"/>
                <w:u w:val="single"/>
              </w:rPr>
              <w:t>3.01E-14</w:t>
            </w:r>
          </w:p>
        </w:tc>
        <w:tc>
          <w:tcPr>
            <w:tcW w:w="1595" w:type="dxa"/>
            <w:vAlign w:val="center"/>
          </w:tcPr>
          <w:p w14:paraId="13FDC8CD">
            <w:pPr>
              <w:pStyle w:val="2"/>
              <w:spacing w:after="0" w:line="240" w:lineRule="auto"/>
              <w:ind w:firstLine="0" w:firstLineChars="0"/>
              <w:jc w:val="center"/>
              <w:rPr>
                <w:sz w:val="21"/>
                <w:szCs w:val="21"/>
                <w:u w:val="single"/>
              </w:rPr>
            </w:pPr>
            <w:r>
              <w:rPr>
                <w:rFonts w:hint="eastAsia"/>
                <w:sz w:val="21"/>
                <w:szCs w:val="21"/>
                <w:u w:val="single"/>
              </w:rPr>
              <w:t>3.01E-14</w:t>
            </w:r>
          </w:p>
        </w:tc>
      </w:tr>
      <w:tr w14:paraId="1D549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348C39E4">
            <w:pPr>
              <w:pStyle w:val="2"/>
              <w:spacing w:after="0" w:line="240" w:lineRule="auto"/>
              <w:ind w:firstLine="0" w:firstLineChars="0"/>
              <w:jc w:val="center"/>
              <w:rPr>
                <w:sz w:val="21"/>
                <w:szCs w:val="21"/>
                <w:u w:val="single"/>
              </w:rPr>
            </w:pPr>
            <w:r>
              <w:rPr>
                <w:rFonts w:hint="eastAsia"/>
                <w:sz w:val="21"/>
                <w:szCs w:val="21"/>
                <w:u w:val="single"/>
              </w:rPr>
              <w:t>4</w:t>
            </w:r>
          </w:p>
        </w:tc>
        <w:tc>
          <w:tcPr>
            <w:tcW w:w="1976" w:type="dxa"/>
            <w:vAlign w:val="center"/>
          </w:tcPr>
          <w:p w14:paraId="02959E6F">
            <w:pPr>
              <w:pStyle w:val="2"/>
              <w:spacing w:after="0" w:line="240" w:lineRule="auto"/>
              <w:ind w:firstLine="0" w:firstLineChars="0"/>
              <w:jc w:val="center"/>
              <w:rPr>
                <w:sz w:val="21"/>
                <w:szCs w:val="21"/>
                <w:u w:val="single"/>
              </w:rPr>
            </w:pPr>
            <w:r>
              <w:rPr>
                <w:rFonts w:hint="eastAsia"/>
                <w:sz w:val="21"/>
                <w:szCs w:val="21"/>
                <w:u w:val="single"/>
              </w:rPr>
              <w:t>双兰村</w:t>
            </w:r>
          </w:p>
        </w:tc>
        <w:tc>
          <w:tcPr>
            <w:tcW w:w="2063" w:type="dxa"/>
            <w:vAlign w:val="center"/>
          </w:tcPr>
          <w:p w14:paraId="3AD6A048">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56CFBDB3">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7AAD6A2B">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69CEF445">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437DF6A0">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526B1FC1">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72AE21D3">
            <w:pPr>
              <w:pStyle w:val="2"/>
              <w:spacing w:after="0" w:line="240" w:lineRule="auto"/>
              <w:ind w:firstLine="0" w:firstLineChars="0"/>
              <w:jc w:val="center"/>
              <w:rPr>
                <w:sz w:val="21"/>
                <w:szCs w:val="21"/>
                <w:u w:val="single"/>
              </w:rPr>
            </w:pPr>
            <w:r>
              <w:rPr>
                <w:rFonts w:hint="eastAsia"/>
                <w:sz w:val="21"/>
                <w:szCs w:val="21"/>
                <w:u w:val="single"/>
              </w:rPr>
              <w:t>0</w:t>
            </w:r>
          </w:p>
        </w:tc>
      </w:tr>
      <w:tr w14:paraId="7FF7E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52730C4D">
            <w:pPr>
              <w:pStyle w:val="2"/>
              <w:spacing w:after="0" w:line="240" w:lineRule="auto"/>
              <w:ind w:firstLine="0" w:firstLineChars="0"/>
              <w:jc w:val="center"/>
              <w:rPr>
                <w:sz w:val="21"/>
                <w:szCs w:val="21"/>
                <w:u w:val="single"/>
              </w:rPr>
            </w:pPr>
            <w:r>
              <w:rPr>
                <w:rFonts w:hint="eastAsia"/>
                <w:sz w:val="21"/>
                <w:szCs w:val="21"/>
                <w:u w:val="single"/>
              </w:rPr>
              <w:t>5</w:t>
            </w:r>
          </w:p>
        </w:tc>
        <w:tc>
          <w:tcPr>
            <w:tcW w:w="1976" w:type="dxa"/>
            <w:vAlign w:val="center"/>
          </w:tcPr>
          <w:p w14:paraId="22ABCB6D">
            <w:pPr>
              <w:pStyle w:val="2"/>
              <w:spacing w:after="0" w:line="240" w:lineRule="auto"/>
              <w:ind w:firstLine="0" w:firstLineChars="0"/>
              <w:jc w:val="center"/>
              <w:rPr>
                <w:sz w:val="21"/>
                <w:szCs w:val="21"/>
                <w:u w:val="single"/>
              </w:rPr>
            </w:pPr>
            <w:r>
              <w:rPr>
                <w:rFonts w:hint="eastAsia"/>
                <w:sz w:val="21"/>
                <w:szCs w:val="21"/>
                <w:u w:val="single"/>
              </w:rPr>
              <w:t>班庄</w:t>
            </w:r>
          </w:p>
        </w:tc>
        <w:tc>
          <w:tcPr>
            <w:tcW w:w="2063" w:type="dxa"/>
            <w:vAlign w:val="center"/>
          </w:tcPr>
          <w:p w14:paraId="33BB72CB">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392F9B21">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725F2278">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46BA3B7F">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7189522C">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3C22566C">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0C5A5191">
            <w:pPr>
              <w:pStyle w:val="2"/>
              <w:spacing w:after="0" w:line="240" w:lineRule="auto"/>
              <w:ind w:firstLine="0" w:firstLineChars="0"/>
              <w:jc w:val="center"/>
              <w:rPr>
                <w:sz w:val="21"/>
                <w:szCs w:val="21"/>
                <w:u w:val="single"/>
              </w:rPr>
            </w:pPr>
            <w:r>
              <w:rPr>
                <w:rFonts w:hint="eastAsia"/>
                <w:sz w:val="21"/>
                <w:szCs w:val="21"/>
                <w:u w:val="single"/>
              </w:rPr>
              <w:t>0</w:t>
            </w:r>
          </w:p>
        </w:tc>
      </w:tr>
      <w:tr w14:paraId="1D4F7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63DE4A7C">
            <w:pPr>
              <w:pStyle w:val="2"/>
              <w:spacing w:after="0" w:line="240" w:lineRule="auto"/>
              <w:ind w:firstLine="0" w:firstLineChars="0"/>
              <w:jc w:val="center"/>
              <w:rPr>
                <w:sz w:val="21"/>
                <w:szCs w:val="21"/>
                <w:u w:val="single"/>
              </w:rPr>
            </w:pPr>
            <w:r>
              <w:rPr>
                <w:rFonts w:hint="eastAsia"/>
                <w:sz w:val="21"/>
                <w:szCs w:val="21"/>
                <w:u w:val="single"/>
              </w:rPr>
              <w:t>6</w:t>
            </w:r>
          </w:p>
        </w:tc>
        <w:tc>
          <w:tcPr>
            <w:tcW w:w="1976" w:type="dxa"/>
            <w:vAlign w:val="center"/>
          </w:tcPr>
          <w:p w14:paraId="61DC536F">
            <w:pPr>
              <w:pStyle w:val="2"/>
              <w:spacing w:after="0" w:line="240" w:lineRule="auto"/>
              <w:ind w:firstLine="0" w:firstLineChars="0"/>
              <w:jc w:val="center"/>
              <w:rPr>
                <w:sz w:val="21"/>
                <w:szCs w:val="21"/>
                <w:u w:val="single"/>
              </w:rPr>
            </w:pPr>
            <w:r>
              <w:rPr>
                <w:rFonts w:hint="eastAsia"/>
                <w:bCs/>
                <w:sz w:val="21"/>
                <w:szCs w:val="21"/>
                <w:u w:val="single"/>
              </w:rPr>
              <w:t>郭全屯村</w:t>
            </w:r>
          </w:p>
        </w:tc>
        <w:tc>
          <w:tcPr>
            <w:tcW w:w="2063" w:type="dxa"/>
            <w:vAlign w:val="center"/>
          </w:tcPr>
          <w:p w14:paraId="361D9042">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27340D71">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12F47D3F">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4875A185">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63C237AB">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2CDE787C">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6DC0ECF5">
            <w:pPr>
              <w:pStyle w:val="2"/>
              <w:spacing w:after="0" w:line="240" w:lineRule="auto"/>
              <w:ind w:firstLine="0" w:firstLineChars="0"/>
              <w:jc w:val="center"/>
              <w:rPr>
                <w:sz w:val="21"/>
                <w:szCs w:val="21"/>
                <w:u w:val="single"/>
              </w:rPr>
            </w:pPr>
            <w:r>
              <w:rPr>
                <w:rFonts w:hint="eastAsia"/>
                <w:sz w:val="21"/>
                <w:szCs w:val="21"/>
                <w:u w:val="single"/>
              </w:rPr>
              <w:t>0</w:t>
            </w:r>
          </w:p>
        </w:tc>
      </w:tr>
      <w:tr w14:paraId="48F89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0BAA6DF0">
            <w:pPr>
              <w:pStyle w:val="2"/>
              <w:spacing w:after="0" w:line="240" w:lineRule="auto"/>
              <w:ind w:firstLine="0" w:firstLineChars="0"/>
              <w:jc w:val="center"/>
              <w:rPr>
                <w:sz w:val="21"/>
                <w:szCs w:val="21"/>
                <w:u w:val="single"/>
              </w:rPr>
            </w:pPr>
            <w:r>
              <w:rPr>
                <w:rFonts w:hint="eastAsia"/>
                <w:sz w:val="21"/>
                <w:szCs w:val="21"/>
                <w:u w:val="single"/>
              </w:rPr>
              <w:t>7</w:t>
            </w:r>
          </w:p>
        </w:tc>
        <w:tc>
          <w:tcPr>
            <w:tcW w:w="1976" w:type="dxa"/>
            <w:vAlign w:val="center"/>
          </w:tcPr>
          <w:p w14:paraId="24484FE1">
            <w:pPr>
              <w:pStyle w:val="2"/>
              <w:spacing w:after="0" w:line="240" w:lineRule="auto"/>
              <w:ind w:firstLine="0" w:firstLineChars="0"/>
              <w:jc w:val="center"/>
              <w:rPr>
                <w:sz w:val="21"/>
                <w:szCs w:val="21"/>
                <w:u w:val="single"/>
              </w:rPr>
            </w:pPr>
            <w:r>
              <w:rPr>
                <w:rFonts w:hint="eastAsia"/>
                <w:bCs/>
                <w:sz w:val="21"/>
                <w:szCs w:val="21"/>
                <w:u w:val="single"/>
              </w:rPr>
              <w:t>郝庄村</w:t>
            </w:r>
          </w:p>
        </w:tc>
        <w:tc>
          <w:tcPr>
            <w:tcW w:w="2063" w:type="dxa"/>
            <w:vAlign w:val="center"/>
          </w:tcPr>
          <w:p w14:paraId="57D51375">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24586020">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6D6C5F53">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7191D9BA">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035AA80A">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47ED37A9">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727D38CA">
            <w:pPr>
              <w:pStyle w:val="2"/>
              <w:spacing w:after="0" w:line="240" w:lineRule="auto"/>
              <w:ind w:firstLine="0" w:firstLineChars="0"/>
              <w:jc w:val="center"/>
              <w:rPr>
                <w:sz w:val="21"/>
                <w:szCs w:val="21"/>
                <w:u w:val="single"/>
              </w:rPr>
            </w:pPr>
            <w:r>
              <w:rPr>
                <w:rFonts w:hint="eastAsia"/>
                <w:sz w:val="21"/>
                <w:szCs w:val="21"/>
                <w:u w:val="single"/>
              </w:rPr>
              <w:t>0</w:t>
            </w:r>
          </w:p>
        </w:tc>
      </w:tr>
      <w:tr w14:paraId="02597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045AD9E6">
            <w:pPr>
              <w:pStyle w:val="2"/>
              <w:spacing w:after="0" w:line="240" w:lineRule="auto"/>
              <w:ind w:firstLine="0" w:firstLineChars="0"/>
              <w:jc w:val="center"/>
              <w:rPr>
                <w:sz w:val="21"/>
                <w:szCs w:val="21"/>
                <w:u w:val="single"/>
              </w:rPr>
            </w:pPr>
            <w:r>
              <w:rPr>
                <w:rFonts w:hint="eastAsia"/>
                <w:sz w:val="21"/>
                <w:szCs w:val="21"/>
                <w:u w:val="single"/>
              </w:rPr>
              <w:t>8</w:t>
            </w:r>
          </w:p>
        </w:tc>
        <w:tc>
          <w:tcPr>
            <w:tcW w:w="1976" w:type="dxa"/>
            <w:vAlign w:val="center"/>
          </w:tcPr>
          <w:p w14:paraId="2C660175">
            <w:pPr>
              <w:pStyle w:val="2"/>
              <w:spacing w:after="0" w:line="240" w:lineRule="auto"/>
              <w:ind w:firstLine="0" w:firstLineChars="0"/>
              <w:jc w:val="center"/>
              <w:rPr>
                <w:sz w:val="21"/>
                <w:szCs w:val="21"/>
                <w:u w:val="single"/>
              </w:rPr>
            </w:pPr>
            <w:r>
              <w:rPr>
                <w:rFonts w:hint="eastAsia"/>
                <w:bCs/>
                <w:sz w:val="21"/>
                <w:szCs w:val="21"/>
                <w:u w:val="single"/>
              </w:rPr>
              <w:t>阮庄</w:t>
            </w:r>
          </w:p>
        </w:tc>
        <w:tc>
          <w:tcPr>
            <w:tcW w:w="2063" w:type="dxa"/>
            <w:vAlign w:val="center"/>
          </w:tcPr>
          <w:p w14:paraId="33E4979E">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6399459D">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0A10813D">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363AB589">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05532157">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6132AE8A">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705EDD37">
            <w:pPr>
              <w:pStyle w:val="2"/>
              <w:spacing w:after="0" w:line="240" w:lineRule="auto"/>
              <w:ind w:firstLine="0" w:firstLineChars="0"/>
              <w:jc w:val="center"/>
              <w:rPr>
                <w:sz w:val="21"/>
                <w:szCs w:val="21"/>
                <w:u w:val="single"/>
              </w:rPr>
            </w:pPr>
            <w:r>
              <w:rPr>
                <w:rFonts w:hint="eastAsia"/>
                <w:sz w:val="21"/>
                <w:szCs w:val="21"/>
                <w:u w:val="single"/>
              </w:rPr>
              <w:t>0</w:t>
            </w:r>
          </w:p>
        </w:tc>
      </w:tr>
      <w:tr w14:paraId="1E77E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3CF206DC">
            <w:pPr>
              <w:pStyle w:val="2"/>
              <w:spacing w:after="0" w:line="240" w:lineRule="auto"/>
              <w:ind w:firstLine="0" w:firstLineChars="0"/>
              <w:jc w:val="center"/>
              <w:rPr>
                <w:sz w:val="21"/>
                <w:szCs w:val="21"/>
                <w:u w:val="single"/>
              </w:rPr>
            </w:pPr>
            <w:r>
              <w:rPr>
                <w:rFonts w:hint="eastAsia"/>
                <w:sz w:val="21"/>
                <w:szCs w:val="21"/>
                <w:u w:val="single"/>
              </w:rPr>
              <w:t>9</w:t>
            </w:r>
          </w:p>
        </w:tc>
        <w:tc>
          <w:tcPr>
            <w:tcW w:w="1976" w:type="dxa"/>
            <w:vAlign w:val="center"/>
          </w:tcPr>
          <w:p w14:paraId="2BFDFDE4">
            <w:pPr>
              <w:pStyle w:val="2"/>
              <w:spacing w:after="0" w:line="240" w:lineRule="auto"/>
              <w:ind w:firstLine="0" w:firstLineChars="0"/>
              <w:jc w:val="center"/>
              <w:rPr>
                <w:sz w:val="21"/>
                <w:szCs w:val="21"/>
                <w:u w:val="single"/>
              </w:rPr>
            </w:pPr>
            <w:r>
              <w:rPr>
                <w:rFonts w:hint="eastAsia"/>
                <w:bCs/>
                <w:sz w:val="21"/>
                <w:szCs w:val="21"/>
                <w:u w:val="single"/>
              </w:rPr>
              <w:t>八里屯村</w:t>
            </w:r>
          </w:p>
        </w:tc>
        <w:tc>
          <w:tcPr>
            <w:tcW w:w="2063" w:type="dxa"/>
            <w:vAlign w:val="center"/>
          </w:tcPr>
          <w:p w14:paraId="166664B7">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7132724E">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37581286">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48CB5FA4">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3D2102ED">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367A0A9A">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02F57AE2">
            <w:pPr>
              <w:pStyle w:val="2"/>
              <w:spacing w:after="0" w:line="240" w:lineRule="auto"/>
              <w:ind w:firstLine="0" w:firstLineChars="0"/>
              <w:jc w:val="center"/>
              <w:rPr>
                <w:sz w:val="21"/>
                <w:szCs w:val="21"/>
                <w:u w:val="single"/>
              </w:rPr>
            </w:pPr>
            <w:r>
              <w:rPr>
                <w:rFonts w:hint="eastAsia"/>
                <w:sz w:val="21"/>
                <w:szCs w:val="21"/>
                <w:u w:val="single"/>
              </w:rPr>
              <w:t>0</w:t>
            </w:r>
          </w:p>
        </w:tc>
      </w:tr>
      <w:tr w14:paraId="34E10C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79036F32">
            <w:pPr>
              <w:pStyle w:val="2"/>
              <w:spacing w:after="0" w:line="240" w:lineRule="auto"/>
              <w:ind w:firstLine="0" w:firstLineChars="0"/>
              <w:jc w:val="center"/>
              <w:rPr>
                <w:sz w:val="21"/>
                <w:szCs w:val="21"/>
                <w:u w:val="single"/>
              </w:rPr>
            </w:pPr>
            <w:r>
              <w:rPr>
                <w:rFonts w:hint="eastAsia"/>
                <w:sz w:val="21"/>
                <w:szCs w:val="21"/>
                <w:u w:val="single"/>
              </w:rPr>
              <w:t>10</w:t>
            </w:r>
          </w:p>
        </w:tc>
        <w:tc>
          <w:tcPr>
            <w:tcW w:w="1976" w:type="dxa"/>
            <w:vAlign w:val="center"/>
          </w:tcPr>
          <w:p w14:paraId="13CDC0F6">
            <w:pPr>
              <w:pStyle w:val="2"/>
              <w:spacing w:after="0" w:line="240" w:lineRule="auto"/>
              <w:ind w:firstLine="0" w:firstLineChars="0"/>
              <w:jc w:val="center"/>
              <w:rPr>
                <w:sz w:val="21"/>
                <w:szCs w:val="21"/>
                <w:u w:val="single"/>
              </w:rPr>
            </w:pPr>
            <w:r>
              <w:rPr>
                <w:rFonts w:hint="eastAsia"/>
                <w:bCs/>
                <w:sz w:val="21"/>
                <w:szCs w:val="21"/>
                <w:u w:val="single"/>
              </w:rPr>
              <w:t>电机厂家属院</w:t>
            </w:r>
          </w:p>
        </w:tc>
        <w:tc>
          <w:tcPr>
            <w:tcW w:w="2063" w:type="dxa"/>
            <w:vAlign w:val="center"/>
          </w:tcPr>
          <w:p w14:paraId="5F582AD1">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546F7375">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52AD400C">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5B7EDF74">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2D4F4FD7">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56B6B7C2">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3AB46059">
            <w:pPr>
              <w:pStyle w:val="2"/>
              <w:spacing w:after="0" w:line="240" w:lineRule="auto"/>
              <w:ind w:firstLine="0" w:firstLineChars="0"/>
              <w:jc w:val="center"/>
              <w:rPr>
                <w:sz w:val="21"/>
                <w:szCs w:val="21"/>
                <w:u w:val="single"/>
              </w:rPr>
            </w:pPr>
            <w:r>
              <w:rPr>
                <w:rFonts w:hint="eastAsia"/>
                <w:sz w:val="21"/>
                <w:szCs w:val="21"/>
                <w:u w:val="single"/>
              </w:rPr>
              <w:t>0</w:t>
            </w:r>
          </w:p>
        </w:tc>
      </w:tr>
      <w:tr w14:paraId="0102E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389B00A4">
            <w:pPr>
              <w:pStyle w:val="2"/>
              <w:spacing w:after="0" w:line="240" w:lineRule="auto"/>
              <w:ind w:firstLine="0" w:firstLineChars="0"/>
              <w:jc w:val="center"/>
              <w:rPr>
                <w:sz w:val="21"/>
                <w:szCs w:val="21"/>
                <w:u w:val="single"/>
              </w:rPr>
            </w:pPr>
            <w:r>
              <w:rPr>
                <w:rFonts w:hint="eastAsia"/>
                <w:sz w:val="21"/>
                <w:szCs w:val="21"/>
                <w:u w:val="single"/>
              </w:rPr>
              <w:t>11</w:t>
            </w:r>
          </w:p>
        </w:tc>
        <w:tc>
          <w:tcPr>
            <w:tcW w:w="1976" w:type="dxa"/>
            <w:vAlign w:val="center"/>
          </w:tcPr>
          <w:p w14:paraId="2D746554">
            <w:pPr>
              <w:pStyle w:val="2"/>
              <w:spacing w:after="0" w:line="240" w:lineRule="auto"/>
              <w:ind w:firstLine="0" w:firstLineChars="0"/>
              <w:jc w:val="center"/>
              <w:rPr>
                <w:sz w:val="21"/>
                <w:szCs w:val="21"/>
                <w:u w:val="single"/>
              </w:rPr>
            </w:pPr>
            <w:r>
              <w:rPr>
                <w:rFonts w:hint="eastAsia"/>
                <w:bCs/>
                <w:sz w:val="21"/>
                <w:szCs w:val="21"/>
                <w:u w:val="single"/>
              </w:rPr>
              <w:t>天和 龙岸北郡</w:t>
            </w:r>
          </w:p>
        </w:tc>
        <w:tc>
          <w:tcPr>
            <w:tcW w:w="2063" w:type="dxa"/>
            <w:vAlign w:val="center"/>
          </w:tcPr>
          <w:p w14:paraId="7BE9FA7E">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5A3BB1BA">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3F1E1372">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7FDCE54F">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5856134A">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792EE701">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17610B80">
            <w:pPr>
              <w:pStyle w:val="2"/>
              <w:spacing w:after="0" w:line="240" w:lineRule="auto"/>
              <w:ind w:firstLine="0" w:firstLineChars="0"/>
              <w:jc w:val="center"/>
              <w:rPr>
                <w:sz w:val="21"/>
                <w:szCs w:val="21"/>
                <w:u w:val="single"/>
              </w:rPr>
            </w:pPr>
            <w:r>
              <w:rPr>
                <w:rFonts w:hint="eastAsia"/>
                <w:sz w:val="21"/>
                <w:szCs w:val="21"/>
                <w:u w:val="single"/>
              </w:rPr>
              <w:t>0</w:t>
            </w:r>
          </w:p>
        </w:tc>
      </w:tr>
      <w:tr w14:paraId="0AF0B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66F0A351">
            <w:pPr>
              <w:pStyle w:val="2"/>
              <w:spacing w:after="0" w:line="240" w:lineRule="auto"/>
              <w:ind w:firstLine="0" w:firstLineChars="0"/>
              <w:jc w:val="center"/>
              <w:rPr>
                <w:sz w:val="21"/>
                <w:szCs w:val="21"/>
                <w:u w:val="single"/>
              </w:rPr>
            </w:pPr>
            <w:r>
              <w:rPr>
                <w:rFonts w:hint="eastAsia"/>
                <w:sz w:val="21"/>
                <w:szCs w:val="21"/>
                <w:u w:val="single"/>
              </w:rPr>
              <w:t>12</w:t>
            </w:r>
          </w:p>
        </w:tc>
        <w:tc>
          <w:tcPr>
            <w:tcW w:w="1976" w:type="dxa"/>
            <w:vAlign w:val="center"/>
          </w:tcPr>
          <w:p w14:paraId="38B64ECB">
            <w:pPr>
              <w:pStyle w:val="2"/>
              <w:spacing w:after="0" w:line="240" w:lineRule="auto"/>
              <w:ind w:firstLine="0" w:firstLineChars="0"/>
              <w:jc w:val="center"/>
              <w:rPr>
                <w:sz w:val="21"/>
                <w:szCs w:val="21"/>
                <w:u w:val="single"/>
              </w:rPr>
            </w:pPr>
            <w:r>
              <w:rPr>
                <w:rFonts w:hint="eastAsia"/>
                <w:bCs/>
                <w:sz w:val="21"/>
                <w:szCs w:val="21"/>
                <w:u w:val="single"/>
              </w:rPr>
              <w:t>辛庄村</w:t>
            </w:r>
          </w:p>
        </w:tc>
        <w:tc>
          <w:tcPr>
            <w:tcW w:w="2063" w:type="dxa"/>
            <w:vAlign w:val="center"/>
          </w:tcPr>
          <w:p w14:paraId="493320DB">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4980513E">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5AB98FA3">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1BC8516F">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6EE8D468">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752985C0">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54FD0D36">
            <w:pPr>
              <w:pStyle w:val="2"/>
              <w:spacing w:after="0" w:line="240" w:lineRule="auto"/>
              <w:ind w:firstLine="0" w:firstLineChars="0"/>
              <w:jc w:val="center"/>
              <w:rPr>
                <w:sz w:val="21"/>
                <w:szCs w:val="21"/>
                <w:u w:val="single"/>
              </w:rPr>
            </w:pPr>
            <w:r>
              <w:rPr>
                <w:rFonts w:hint="eastAsia"/>
                <w:sz w:val="21"/>
                <w:szCs w:val="21"/>
                <w:u w:val="single"/>
              </w:rPr>
              <w:t>0</w:t>
            </w:r>
          </w:p>
        </w:tc>
      </w:tr>
      <w:tr w14:paraId="38BC4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4ECAD089">
            <w:pPr>
              <w:pStyle w:val="2"/>
              <w:spacing w:after="0" w:line="240" w:lineRule="auto"/>
              <w:ind w:firstLine="0" w:firstLineChars="0"/>
              <w:jc w:val="center"/>
              <w:rPr>
                <w:sz w:val="21"/>
                <w:szCs w:val="21"/>
                <w:u w:val="single"/>
              </w:rPr>
            </w:pPr>
            <w:r>
              <w:rPr>
                <w:rFonts w:hint="eastAsia"/>
                <w:sz w:val="21"/>
                <w:szCs w:val="21"/>
                <w:u w:val="single"/>
              </w:rPr>
              <w:t>13</w:t>
            </w:r>
          </w:p>
        </w:tc>
        <w:tc>
          <w:tcPr>
            <w:tcW w:w="1976" w:type="dxa"/>
            <w:vAlign w:val="center"/>
          </w:tcPr>
          <w:p w14:paraId="55AEFDE5">
            <w:pPr>
              <w:pStyle w:val="2"/>
              <w:spacing w:after="0" w:line="240" w:lineRule="auto"/>
              <w:ind w:firstLine="0" w:firstLineChars="0"/>
              <w:jc w:val="center"/>
              <w:rPr>
                <w:sz w:val="21"/>
                <w:szCs w:val="21"/>
                <w:u w:val="single"/>
              </w:rPr>
            </w:pPr>
            <w:r>
              <w:rPr>
                <w:rFonts w:hint="eastAsia"/>
                <w:sz w:val="21"/>
                <w:szCs w:val="21"/>
                <w:u w:val="single"/>
              </w:rPr>
              <w:t>卫辉市区</w:t>
            </w:r>
          </w:p>
        </w:tc>
        <w:tc>
          <w:tcPr>
            <w:tcW w:w="2063" w:type="dxa"/>
            <w:vAlign w:val="center"/>
          </w:tcPr>
          <w:p w14:paraId="6BAB8E60">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2F81EBD1">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26407CFB">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13076AAD">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1E9418E3">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328B6C1F">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29BFA8D2">
            <w:pPr>
              <w:pStyle w:val="2"/>
              <w:spacing w:after="0" w:line="240" w:lineRule="auto"/>
              <w:ind w:firstLine="0" w:firstLineChars="0"/>
              <w:jc w:val="center"/>
              <w:rPr>
                <w:sz w:val="21"/>
                <w:szCs w:val="21"/>
                <w:u w:val="single"/>
              </w:rPr>
            </w:pPr>
            <w:r>
              <w:rPr>
                <w:rFonts w:hint="eastAsia"/>
                <w:sz w:val="21"/>
                <w:szCs w:val="21"/>
                <w:u w:val="single"/>
              </w:rPr>
              <w:t>0</w:t>
            </w:r>
          </w:p>
        </w:tc>
      </w:tr>
      <w:tr w14:paraId="4DCFB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29C9B8F8">
            <w:pPr>
              <w:pStyle w:val="2"/>
              <w:spacing w:after="0" w:line="240" w:lineRule="auto"/>
              <w:ind w:firstLine="0" w:firstLineChars="0"/>
              <w:jc w:val="center"/>
              <w:rPr>
                <w:sz w:val="21"/>
                <w:szCs w:val="21"/>
                <w:u w:val="single"/>
              </w:rPr>
            </w:pPr>
            <w:r>
              <w:rPr>
                <w:rFonts w:hint="eastAsia"/>
                <w:sz w:val="21"/>
                <w:szCs w:val="21"/>
                <w:u w:val="single"/>
              </w:rPr>
              <w:t>14</w:t>
            </w:r>
          </w:p>
        </w:tc>
        <w:tc>
          <w:tcPr>
            <w:tcW w:w="1976" w:type="dxa"/>
            <w:vAlign w:val="center"/>
          </w:tcPr>
          <w:p w14:paraId="3AC9C1A2">
            <w:pPr>
              <w:pStyle w:val="2"/>
              <w:spacing w:after="0" w:line="240" w:lineRule="auto"/>
              <w:ind w:firstLine="0" w:firstLineChars="0"/>
              <w:jc w:val="center"/>
              <w:rPr>
                <w:sz w:val="21"/>
                <w:szCs w:val="21"/>
                <w:u w:val="single"/>
              </w:rPr>
            </w:pPr>
            <w:r>
              <w:rPr>
                <w:rFonts w:hint="eastAsia"/>
                <w:sz w:val="21"/>
                <w:szCs w:val="21"/>
                <w:u w:val="single"/>
              </w:rPr>
              <w:t>新乡医学院第一附属医院</w:t>
            </w:r>
          </w:p>
        </w:tc>
        <w:tc>
          <w:tcPr>
            <w:tcW w:w="2063" w:type="dxa"/>
            <w:vAlign w:val="center"/>
          </w:tcPr>
          <w:p w14:paraId="384D6A70">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0CF9194A">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4B4BF41D">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3BE0DA45">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3C226BD3">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0F8F4091">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05ACB606">
            <w:pPr>
              <w:pStyle w:val="2"/>
              <w:spacing w:after="0" w:line="240" w:lineRule="auto"/>
              <w:ind w:firstLine="0" w:firstLineChars="0"/>
              <w:jc w:val="center"/>
              <w:rPr>
                <w:sz w:val="21"/>
                <w:szCs w:val="21"/>
                <w:u w:val="single"/>
              </w:rPr>
            </w:pPr>
            <w:r>
              <w:rPr>
                <w:rFonts w:hint="eastAsia"/>
                <w:sz w:val="21"/>
                <w:szCs w:val="21"/>
                <w:u w:val="single"/>
              </w:rPr>
              <w:t>0</w:t>
            </w:r>
          </w:p>
        </w:tc>
      </w:tr>
      <w:tr w14:paraId="48A1E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33F68304">
            <w:pPr>
              <w:pStyle w:val="2"/>
              <w:spacing w:after="0" w:line="240" w:lineRule="auto"/>
              <w:ind w:firstLine="0" w:firstLineChars="0"/>
              <w:jc w:val="center"/>
              <w:rPr>
                <w:sz w:val="21"/>
                <w:szCs w:val="21"/>
                <w:u w:val="single"/>
              </w:rPr>
            </w:pPr>
            <w:r>
              <w:rPr>
                <w:rFonts w:hint="eastAsia"/>
                <w:sz w:val="21"/>
                <w:szCs w:val="21"/>
                <w:u w:val="single"/>
              </w:rPr>
              <w:t>15</w:t>
            </w:r>
          </w:p>
        </w:tc>
        <w:tc>
          <w:tcPr>
            <w:tcW w:w="1976" w:type="dxa"/>
            <w:vAlign w:val="center"/>
          </w:tcPr>
          <w:p w14:paraId="130CFFA8">
            <w:pPr>
              <w:pStyle w:val="2"/>
              <w:spacing w:after="0" w:line="240" w:lineRule="auto"/>
              <w:ind w:firstLine="0" w:firstLineChars="0"/>
              <w:jc w:val="center"/>
              <w:rPr>
                <w:sz w:val="21"/>
                <w:szCs w:val="21"/>
                <w:u w:val="single"/>
              </w:rPr>
            </w:pPr>
            <w:r>
              <w:rPr>
                <w:rFonts w:hint="eastAsia"/>
                <w:sz w:val="21"/>
                <w:szCs w:val="21"/>
                <w:u w:val="single"/>
              </w:rPr>
              <w:t>下园村</w:t>
            </w:r>
          </w:p>
        </w:tc>
        <w:tc>
          <w:tcPr>
            <w:tcW w:w="2063" w:type="dxa"/>
            <w:vAlign w:val="center"/>
          </w:tcPr>
          <w:p w14:paraId="57DF5148">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2D3E17E4">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42274C69">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78AB3607">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5B449B3C">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72042DD4">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255F0079">
            <w:pPr>
              <w:pStyle w:val="2"/>
              <w:spacing w:after="0" w:line="240" w:lineRule="auto"/>
              <w:ind w:firstLine="0" w:firstLineChars="0"/>
              <w:jc w:val="center"/>
              <w:rPr>
                <w:sz w:val="21"/>
                <w:szCs w:val="21"/>
                <w:u w:val="single"/>
              </w:rPr>
            </w:pPr>
            <w:r>
              <w:rPr>
                <w:rFonts w:hint="eastAsia"/>
                <w:sz w:val="21"/>
                <w:szCs w:val="21"/>
                <w:u w:val="single"/>
              </w:rPr>
              <w:t>0</w:t>
            </w:r>
          </w:p>
        </w:tc>
      </w:tr>
      <w:tr w14:paraId="6F4DB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72" w:type="dxa"/>
            <w:vAlign w:val="center"/>
          </w:tcPr>
          <w:p w14:paraId="076E27FF">
            <w:pPr>
              <w:pStyle w:val="2"/>
              <w:spacing w:after="0" w:line="240" w:lineRule="auto"/>
              <w:ind w:firstLine="0" w:firstLineChars="0"/>
              <w:jc w:val="center"/>
              <w:rPr>
                <w:sz w:val="21"/>
                <w:szCs w:val="21"/>
                <w:u w:val="single"/>
              </w:rPr>
            </w:pPr>
            <w:r>
              <w:rPr>
                <w:rFonts w:hint="eastAsia"/>
                <w:sz w:val="21"/>
                <w:szCs w:val="21"/>
                <w:u w:val="single"/>
              </w:rPr>
              <w:t>16</w:t>
            </w:r>
          </w:p>
        </w:tc>
        <w:tc>
          <w:tcPr>
            <w:tcW w:w="1976" w:type="dxa"/>
            <w:vAlign w:val="center"/>
          </w:tcPr>
          <w:p w14:paraId="280105FB">
            <w:pPr>
              <w:pStyle w:val="2"/>
              <w:spacing w:after="0" w:line="240" w:lineRule="auto"/>
              <w:ind w:firstLine="0" w:firstLineChars="0"/>
              <w:jc w:val="center"/>
              <w:rPr>
                <w:sz w:val="21"/>
                <w:szCs w:val="21"/>
                <w:u w:val="single"/>
              </w:rPr>
            </w:pPr>
            <w:r>
              <w:rPr>
                <w:rFonts w:hint="eastAsia"/>
                <w:sz w:val="21"/>
                <w:szCs w:val="21"/>
                <w:u w:val="single"/>
              </w:rPr>
              <w:t>龙王庙</w:t>
            </w:r>
          </w:p>
        </w:tc>
        <w:tc>
          <w:tcPr>
            <w:tcW w:w="2063" w:type="dxa"/>
            <w:vAlign w:val="center"/>
          </w:tcPr>
          <w:p w14:paraId="215130A7">
            <w:pPr>
              <w:pStyle w:val="2"/>
              <w:spacing w:after="0" w:line="240" w:lineRule="auto"/>
              <w:ind w:firstLine="0" w:firstLineChars="0"/>
              <w:jc w:val="center"/>
              <w:rPr>
                <w:sz w:val="21"/>
                <w:szCs w:val="21"/>
                <w:u w:val="single"/>
              </w:rPr>
            </w:pPr>
            <w:r>
              <w:rPr>
                <w:rFonts w:hint="eastAsia"/>
                <w:sz w:val="21"/>
                <w:szCs w:val="21"/>
                <w:u w:val="single"/>
              </w:rPr>
              <w:t>0.00E+00</w:t>
            </w:r>
            <w:r>
              <w:rPr>
                <w:rFonts w:hint="eastAsia"/>
                <w:b/>
                <w:bCs/>
                <w:sz w:val="21"/>
                <w:szCs w:val="21"/>
                <w:u w:val="single"/>
              </w:rPr>
              <w:t>|25</w:t>
            </w:r>
          </w:p>
        </w:tc>
        <w:tc>
          <w:tcPr>
            <w:tcW w:w="1528" w:type="dxa"/>
            <w:vAlign w:val="center"/>
          </w:tcPr>
          <w:p w14:paraId="42C4439F">
            <w:pPr>
              <w:pStyle w:val="2"/>
              <w:spacing w:after="0" w:line="240" w:lineRule="auto"/>
              <w:ind w:firstLine="0" w:firstLineChars="0"/>
              <w:jc w:val="center"/>
              <w:rPr>
                <w:sz w:val="21"/>
                <w:szCs w:val="21"/>
                <w:u w:val="single"/>
              </w:rPr>
            </w:pPr>
            <w:r>
              <w:rPr>
                <w:rFonts w:hint="eastAsia"/>
                <w:sz w:val="21"/>
                <w:szCs w:val="21"/>
                <w:u w:val="single"/>
              </w:rPr>
              <w:t>0</w:t>
            </w:r>
          </w:p>
        </w:tc>
        <w:tc>
          <w:tcPr>
            <w:tcW w:w="1585" w:type="dxa"/>
            <w:vAlign w:val="center"/>
          </w:tcPr>
          <w:p w14:paraId="7E62F324">
            <w:pPr>
              <w:pStyle w:val="2"/>
              <w:spacing w:after="0" w:line="240" w:lineRule="auto"/>
              <w:ind w:firstLine="0" w:firstLineChars="0"/>
              <w:jc w:val="center"/>
              <w:rPr>
                <w:sz w:val="21"/>
                <w:szCs w:val="21"/>
                <w:u w:val="single"/>
              </w:rPr>
            </w:pPr>
            <w:r>
              <w:rPr>
                <w:rFonts w:hint="eastAsia"/>
                <w:sz w:val="21"/>
                <w:szCs w:val="21"/>
                <w:u w:val="single"/>
              </w:rPr>
              <w:t>0</w:t>
            </w:r>
          </w:p>
        </w:tc>
        <w:tc>
          <w:tcPr>
            <w:tcW w:w="1551" w:type="dxa"/>
            <w:vAlign w:val="center"/>
          </w:tcPr>
          <w:p w14:paraId="351697C0">
            <w:pPr>
              <w:pStyle w:val="2"/>
              <w:spacing w:after="0" w:line="240" w:lineRule="auto"/>
              <w:ind w:firstLine="0" w:firstLineChars="0"/>
              <w:jc w:val="center"/>
              <w:rPr>
                <w:sz w:val="21"/>
                <w:szCs w:val="21"/>
                <w:u w:val="single"/>
              </w:rPr>
            </w:pPr>
            <w:r>
              <w:rPr>
                <w:rFonts w:hint="eastAsia"/>
                <w:sz w:val="21"/>
                <w:szCs w:val="21"/>
                <w:u w:val="single"/>
              </w:rPr>
              <w:t>0</w:t>
            </w:r>
          </w:p>
        </w:tc>
        <w:tc>
          <w:tcPr>
            <w:tcW w:w="1549" w:type="dxa"/>
            <w:vAlign w:val="center"/>
          </w:tcPr>
          <w:p w14:paraId="3EC87B57">
            <w:pPr>
              <w:pStyle w:val="2"/>
              <w:spacing w:after="0" w:line="240" w:lineRule="auto"/>
              <w:ind w:firstLine="0" w:firstLineChars="0"/>
              <w:jc w:val="center"/>
              <w:rPr>
                <w:sz w:val="21"/>
                <w:szCs w:val="21"/>
                <w:u w:val="single"/>
              </w:rPr>
            </w:pPr>
            <w:r>
              <w:rPr>
                <w:rFonts w:hint="eastAsia"/>
                <w:sz w:val="21"/>
                <w:szCs w:val="21"/>
                <w:u w:val="single"/>
              </w:rPr>
              <w:t>0</w:t>
            </w:r>
          </w:p>
        </w:tc>
        <w:tc>
          <w:tcPr>
            <w:tcW w:w="1519" w:type="dxa"/>
            <w:vAlign w:val="center"/>
          </w:tcPr>
          <w:p w14:paraId="2C30833C">
            <w:pPr>
              <w:pStyle w:val="2"/>
              <w:spacing w:after="0" w:line="240" w:lineRule="auto"/>
              <w:ind w:firstLine="0" w:firstLineChars="0"/>
              <w:jc w:val="center"/>
              <w:rPr>
                <w:sz w:val="21"/>
                <w:szCs w:val="21"/>
                <w:u w:val="single"/>
              </w:rPr>
            </w:pPr>
            <w:r>
              <w:rPr>
                <w:rFonts w:hint="eastAsia"/>
                <w:sz w:val="21"/>
                <w:szCs w:val="21"/>
                <w:u w:val="single"/>
              </w:rPr>
              <w:t>0</w:t>
            </w:r>
          </w:p>
        </w:tc>
        <w:tc>
          <w:tcPr>
            <w:tcW w:w="1595" w:type="dxa"/>
            <w:vAlign w:val="center"/>
          </w:tcPr>
          <w:p w14:paraId="5C276B56">
            <w:pPr>
              <w:pStyle w:val="2"/>
              <w:spacing w:after="0" w:line="240" w:lineRule="auto"/>
              <w:ind w:firstLine="0" w:firstLineChars="0"/>
              <w:jc w:val="center"/>
              <w:rPr>
                <w:sz w:val="21"/>
                <w:szCs w:val="21"/>
                <w:u w:val="single"/>
              </w:rPr>
            </w:pPr>
            <w:r>
              <w:rPr>
                <w:rFonts w:hint="eastAsia"/>
                <w:sz w:val="21"/>
                <w:szCs w:val="21"/>
                <w:u w:val="single"/>
              </w:rPr>
              <w:t>0</w:t>
            </w:r>
          </w:p>
        </w:tc>
      </w:tr>
    </w:tbl>
    <w:p w14:paraId="3F19AB76">
      <w:pPr>
        <w:pStyle w:val="2"/>
        <w:spacing w:after="0"/>
        <w:ind w:firstLine="480"/>
        <w:sectPr>
          <w:pgSz w:w="16838" w:h="11906" w:orient="landscape"/>
          <w:pgMar w:top="1800" w:right="1440" w:bottom="1800" w:left="1440" w:header="851" w:footer="992" w:gutter="0"/>
          <w:cols w:space="425" w:num="1"/>
          <w:docGrid w:type="lines" w:linePitch="326" w:charSpace="0"/>
        </w:sectPr>
      </w:pPr>
    </w:p>
    <w:p w14:paraId="7C767E13">
      <w:pPr>
        <w:pStyle w:val="2"/>
        <w:spacing w:after="0"/>
        <w:ind w:firstLine="480"/>
      </w:pPr>
      <w:r>
        <w:rPr>
          <w:rFonts w:hint="eastAsia"/>
        </w:rPr>
        <w:t>火灾/爆炸事故结论：</w:t>
      </w:r>
    </w:p>
    <w:p w14:paraId="68CF98CF">
      <w:pPr>
        <w:pStyle w:val="2"/>
        <w:spacing w:after="0"/>
        <w:ind w:firstLine="480"/>
        <w:rPr>
          <w:u w:val="single"/>
        </w:rPr>
      </w:pPr>
      <w:r>
        <w:rPr>
          <w:rFonts w:hint="eastAsia"/>
          <w:u w:val="single"/>
        </w:rPr>
        <w:t>①最不利气象条件下物料火灾/爆炸产生的伴生/次生污染物：</w:t>
      </w:r>
    </w:p>
    <w:p w14:paraId="302FD22D">
      <w:pPr>
        <w:pStyle w:val="2"/>
        <w:spacing w:after="0"/>
        <w:ind w:firstLine="480"/>
        <w:rPr>
          <w:u w:val="single"/>
        </w:rPr>
      </w:pPr>
      <w:r>
        <w:rPr>
          <w:rFonts w:hint="eastAsia"/>
          <w:u w:val="single"/>
        </w:rPr>
        <w:t>最不利气象条件下，当发生火灾/爆炸时，CO下风向最大高峰浓度为559.54mg/m</w:t>
      </w:r>
      <w:r>
        <w:rPr>
          <w:rFonts w:hint="eastAsia"/>
          <w:u w:val="single"/>
          <w:vertAlign w:val="superscript"/>
        </w:rPr>
        <w:t>3</w:t>
      </w:r>
      <w:r>
        <w:rPr>
          <w:rFonts w:hint="eastAsia"/>
          <w:u w:val="single"/>
        </w:rPr>
        <w:t>，出现距离为40m，毒性终点浓度-1浓度影响范围为50m，毒性终点浓度-2浓度影响范围为80m。在上述范围内均无环境空气敏感点。</w:t>
      </w:r>
    </w:p>
    <w:p w14:paraId="765C8920">
      <w:pPr>
        <w:pStyle w:val="2"/>
        <w:spacing w:after="0"/>
        <w:ind w:firstLine="480"/>
        <w:rPr>
          <w:u w:val="single"/>
        </w:rPr>
      </w:pPr>
      <w:r>
        <w:rPr>
          <w:rFonts w:hint="eastAsia"/>
          <w:u w:val="single"/>
        </w:rPr>
        <w:t>②敏感点预测结果</w:t>
      </w:r>
    </w:p>
    <w:p w14:paraId="20977899">
      <w:pPr>
        <w:pStyle w:val="2"/>
        <w:spacing w:after="0"/>
        <w:ind w:firstLine="480"/>
        <w:rPr>
          <w:u w:val="single"/>
        </w:rPr>
      </w:pPr>
      <w:r>
        <w:rPr>
          <w:rFonts w:hint="eastAsia"/>
          <w:u w:val="single"/>
        </w:rPr>
        <w:t>根据预测结果，最不利气象条件下，当发生火灾/爆炸时，周边敏感点代庄村出现的污染物浓度最大，为</w:t>
      </w:r>
      <w:r>
        <w:rPr>
          <w:u w:val="single"/>
        </w:rPr>
        <w:t>8.78E-07</w:t>
      </w:r>
      <w:r>
        <w:rPr>
          <w:rFonts w:hint="eastAsia"/>
          <w:u w:val="single"/>
        </w:rPr>
        <w:t>mg/m</w:t>
      </w:r>
      <w:r>
        <w:rPr>
          <w:rFonts w:hint="eastAsia"/>
          <w:u w:val="single"/>
          <w:vertAlign w:val="superscript"/>
        </w:rPr>
        <w:t>3</w:t>
      </w:r>
      <w:r>
        <w:rPr>
          <w:rFonts w:hint="eastAsia"/>
          <w:u w:val="single"/>
        </w:rPr>
        <w:t>，小于毒性终点浓度-1浓度380mg/m</w:t>
      </w:r>
      <w:r>
        <w:rPr>
          <w:rFonts w:hint="eastAsia"/>
          <w:u w:val="single"/>
          <w:vertAlign w:val="superscript"/>
        </w:rPr>
        <w:t>3</w:t>
      </w:r>
      <w:r>
        <w:rPr>
          <w:rFonts w:hint="eastAsia"/>
          <w:u w:val="single"/>
        </w:rPr>
        <w:t>和毒性终点浓度-2浓度95mg/m</w:t>
      </w:r>
      <w:r>
        <w:rPr>
          <w:rFonts w:hint="eastAsia"/>
          <w:u w:val="single"/>
          <w:vertAlign w:val="superscript"/>
        </w:rPr>
        <w:t>3</w:t>
      </w:r>
      <w:r>
        <w:rPr>
          <w:rFonts w:hint="eastAsia"/>
          <w:u w:val="single"/>
        </w:rPr>
        <w:t>，出现时间为15min，则发生火灾/爆炸时对周边敏感点影响较小。</w:t>
      </w:r>
    </w:p>
    <w:p w14:paraId="11F05B23">
      <w:pPr>
        <w:pStyle w:val="6"/>
        <w:ind w:left="0" w:firstLine="482"/>
      </w:pPr>
      <w:r>
        <w:rPr>
          <w:rFonts w:hint="eastAsia"/>
        </w:rPr>
        <w:t>影响范围及敏感点</w:t>
      </w:r>
    </w:p>
    <w:p w14:paraId="3F1767A6">
      <w:pPr>
        <w:ind w:firstLine="480"/>
        <w:rPr>
          <w:highlight w:val="yellow"/>
        </w:rPr>
      </w:pPr>
      <w:r>
        <w:rPr>
          <w:rFonts w:hint="eastAsia"/>
        </w:rPr>
        <w:t>由上述分析可知，工程发生泄漏、火灾/爆炸事故引起的环境影响范围及影响的敏感点分布情况见下表：</w:t>
      </w:r>
    </w:p>
    <w:p w14:paraId="3AAE2F89">
      <w:pPr>
        <w:pStyle w:val="99"/>
        <w:numPr>
          <w:ilvl w:val="4"/>
          <w:numId w:val="46"/>
        </w:numPr>
        <w:ind w:left="0" w:firstLine="480"/>
        <w:rPr>
          <w:rFonts w:eastAsia="黑体"/>
          <w:bCs/>
          <w:szCs w:val="24"/>
        </w:rPr>
      </w:pPr>
      <w:r>
        <w:rPr>
          <w:rFonts w:hint="eastAsia" w:eastAsia="黑体"/>
          <w:bCs/>
          <w:szCs w:val="24"/>
        </w:rPr>
        <w:t xml:space="preserve">          阈值范围内最大影响范围</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1421"/>
        <w:gridCol w:w="1716"/>
        <w:gridCol w:w="716"/>
        <w:gridCol w:w="2863"/>
        <w:gridCol w:w="1646"/>
      </w:tblGrid>
      <w:tr w14:paraId="217904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850" w:type="pct"/>
            <w:vAlign w:val="center"/>
          </w:tcPr>
          <w:p w14:paraId="0FE2C22D">
            <w:pPr>
              <w:pStyle w:val="67"/>
              <w:rPr>
                <w:color w:val="auto"/>
              </w:rPr>
            </w:pPr>
            <w:r>
              <w:rPr>
                <w:rFonts w:hint="eastAsia"/>
                <w:color w:val="auto"/>
              </w:rPr>
              <w:t>危险物质</w:t>
            </w:r>
          </w:p>
        </w:tc>
        <w:tc>
          <w:tcPr>
            <w:tcW w:w="1454" w:type="pct"/>
            <w:gridSpan w:val="2"/>
            <w:vAlign w:val="center"/>
          </w:tcPr>
          <w:p w14:paraId="75636285">
            <w:pPr>
              <w:pStyle w:val="67"/>
              <w:rPr>
                <w:color w:val="auto"/>
              </w:rPr>
            </w:pPr>
            <w:r>
              <w:rPr>
                <w:rFonts w:hint="eastAsia"/>
                <w:color w:val="auto"/>
              </w:rPr>
              <w:t>阈值</w:t>
            </w:r>
            <w:r>
              <w:rPr>
                <w:color w:val="auto"/>
              </w:rPr>
              <w:t>mg/m</w:t>
            </w:r>
            <w:r>
              <w:rPr>
                <w:rFonts w:hint="eastAsia"/>
                <w:color w:val="auto"/>
              </w:rPr>
              <w:t>³</w:t>
            </w:r>
          </w:p>
        </w:tc>
        <w:tc>
          <w:tcPr>
            <w:tcW w:w="1712" w:type="pct"/>
            <w:vAlign w:val="center"/>
          </w:tcPr>
          <w:p w14:paraId="00C76FB9">
            <w:pPr>
              <w:pStyle w:val="67"/>
              <w:rPr>
                <w:color w:val="auto"/>
              </w:rPr>
            </w:pPr>
            <w:r>
              <w:rPr>
                <w:rFonts w:hint="eastAsia"/>
                <w:color w:val="auto"/>
              </w:rPr>
              <w:t>最不利气象最大影响范围m</w:t>
            </w:r>
          </w:p>
        </w:tc>
        <w:tc>
          <w:tcPr>
            <w:tcW w:w="984" w:type="pct"/>
            <w:vAlign w:val="center"/>
          </w:tcPr>
          <w:p w14:paraId="7E15B2CB">
            <w:pPr>
              <w:pStyle w:val="67"/>
              <w:rPr>
                <w:color w:val="auto"/>
              </w:rPr>
            </w:pPr>
            <w:r>
              <w:rPr>
                <w:rFonts w:hint="eastAsia"/>
                <w:color w:val="auto"/>
              </w:rPr>
              <w:t>影响敏感点分布</w:t>
            </w:r>
          </w:p>
        </w:tc>
      </w:tr>
      <w:tr w14:paraId="655BF8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50" w:type="pct"/>
            <w:vMerge w:val="restart"/>
            <w:vAlign w:val="center"/>
          </w:tcPr>
          <w:p w14:paraId="3AAE269F">
            <w:pPr>
              <w:pStyle w:val="62"/>
            </w:pPr>
            <w:r>
              <w:rPr>
                <w:rFonts w:hint="eastAsia"/>
              </w:rPr>
              <w:t>硫酸</w:t>
            </w:r>
          </w:p>
        </w:tc>
        <w:tc>
          <w:tcPr>
            <w:tcW w:w="1026" w:type="pct"/>
            <w:vAlign w:val="center"/>
          </w:tcPr>
          <w:p w14:paraId="460C7B3A">
            <w:pPr>
              <w:pStyle w:val="62"/>
            </w:pPr>
            <w:r>
              <w:rPr>
                <w:rFonts w:hint="eastAsia"/>
              </w:rPr>
              <w:t>毒性终点浓度</w:t>
            </w:r>
            <w:r>
              <w:t>-1</w:t>
            </w:r>
          </w:p>
        </w:tc>
        <w:tc>
          <w:tcPr>
            <w:tcW w:w="428" w:type="pct"/>
            <w:vAlign w:val="center"/>
          </w:tcPr>
          <w:p w14:paraId="67E03543">
            <w:pPr>
              <w:pStyle w:val="62"/>
            </w:pPr>
            <w:r>
              <w:rPr>
                <w:rFonts w:hint="eastAsia"/>
              </w:rPr>
              <w:t>160</w:t>
            </w:r>
          </w:p>
        </w:tc>
        <w:tc>
          <w:tcPr>
            <w:tcW w:w="1712" w:type="pct"/>
            <w:vAlign w:val="center"/>
          </w:tcPr>
          <w:p w14:paraId="1F683956">
            <w:pPr>
              <w:pStyle w:val="62"/>
            </w:pPr>
            <w:r>
              <w:rPr>
                <w:rFonts w:hint="eastAsia"/>
              </w:rPr>
              <w:t>/</w:t>
            </w:r>
          </w:p>
        </w:tc>
        <w:tc>
          <w:tcPr>
            <w:tcW w:w="984" w:type="pct"/>
            <w:vAlign w:val="center"/>
          </w:tcPr>
          <w:p w14:paraId="7C6C6497">
            <w:pPr>
              <w:pStyle w:val="62"/>
            </w:pPr>
            <w:r>
              <w:rPr>
                <w:rFonts w:hint="eastAsia"/>
              </w:rPr>
              <w:t>无</w:t>
            </w:r>
          </w:p>
        </w:tc>
      </w:tr>
      <w:tr w14:paraId="3750F3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50" w:type="pct"/>
            <w:vMerge w:val="continue"/>
            <w:vAlign w:val="center"/>
          </w:tcPr>
          <w:p w14:paraId="145C2C32">
            <w:pPr>
              <w:pStyle w:val="62"/>
            </w:pPr>
          </w:p>
        </w:tc>
        <w:tc>
          <w:tcPr>
            <w:tcW w:w="1026" w:type="pct"/>
            <w:vAlign w:val="center"/>
          </w:tcPr>
          <w:p w14:paraId="2F183941">
            <w:pPr>
              <w:pStyle w:val="62"/>
            </w:pPr>
            <w:r>
              <w:rPr>
                <w:rFonts w:hint="eastAsia"/>
              </w:rPr>
              <w:t>毒性终点浓度</w:t>
            </w:r>
            <w:r>
              <w:t>-2</w:t>
            </w:r>
          </w:p>
        </w:tc>
        <w:tc>
          <w:tcPr>
            <w:tcW w:w="428" w:type="pct"/>
            <w:vAlign w:val="center"/>
          </w:tcPr>
          <w:p w14:paraId="4F594A34">
            <w:pPr>
              <w:pStyle w:val="62"/>
            </w:pPr>
            <w:r>
              <w:rPr>
                <w:rFonts w:hint="eastAsia"/>
              </w:rPr>
              <w:t>8.7</w:t>
            </w:r>
          </w:p>
        </w:tc>
        <w:tc>
          <w:tcPr>
            <w:tcW w:w="1712" w:type="pct"/>
            <w:vAlign w:val="center"/>
          </w:tcPr>
          <w:p w14:paraId="2F8093B2">
            <w:pPr>
              <w:pStyle w:val="62"/>
            </w:pPr>
            <w:r>
              <w:rPr>
                <w:rFonts w:hint="eastAsia"/>
              </w:rPr>
              <w:t>/</w:t>
            </w:r>
          </w:p>
        </w:tc>
        <w:tc>
          <w:tcPr>
            <w:tcW w:w="984" w:type="pct"/>
            <w:vAlign w:val="center"/>
          </w:tcPr>
          <w:p w14:paraId="72AECF3B">
            <w:pPr>
              <w:pStyle w:val="62"/>
            </w:pPr>
            <w:r>
              <w:rPr>
                <w:rFonts w:hint="eastAsia"/>
              </w:rPr>
              <w:t>无</w:t>
            </w:r>
          </w:p>
        </w:tc>
      </w:tr>
      <w:tr w14:paraId="35952F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50" w:type="pct"/>
            <w:vMerge w:val="restart"/>
            <w:vAlign w:val="center"/>
          </w:tcPr>
          <w:p w14:paraId="564843E4">
            <w:pPr>
              <w:pStyle w:val="62"/>
            </w:pPr>
            <w:r>
              <w:rPr>
                <w:rFonts w:hint="eastAsia"/>
              </w:rPr>
              <w:t>D4（八甲基环四硅氧烷）</w:t>
            </w:r>
          </w:p>
        </w:tc>
        <w:tc>
          <w:tcPr>
            <w:tcW w:w="1026" w:type="pct"/>
            <w:vAlign w:val="center"/>
          </w:tcPr>
          <w:p w14:paraId="2D61675B">
            <w:pPr>
              <w:pStyle w:val="62"/>
            </w:pPr>
            <w:r>
              <w:rPr>
                <w:rFonts w:hint="eastAsia"/>
              </w:rPr>
              <w:t>毒性终点浓度</w:t>
            </w:r>
            <w:r>
              <w:t>-1</w:t>
            </w:r>
          </w:p>
        </w:tc>
        <w:tc>
          <w:tcPr>
            <w:tcW w:w="428" w:type="pct"/>
            <w:vAlign w:val="center"/>
          </w:tcPr>
          <w:p w14:paraId="0CC6EC9F">
            <w:pPr>
              <w:pStyle w:val="62"/>
            </w:pPr>
            <w:r>
              <w:rPr>
                <w:rFonts w:hint="eastAsia"/>
              </w:rPr>
              <w:t>1600</w:t>
            </w:r>
          </w:p>
        </w:tc>
        <w:tc>
          <w:tcPr>
            <w:tcW w:w="1712" w:type="pct"/>
            <w:vAlign w:val="center"/>
          </w:tcPr>
          <w:p w14:paraId="46704C14">
            <w:pPr>
              <w:pStyle w:val="62"/>
            </w:pPr>
            <w:r>
              <w:rPr>
                <w:rFonts w:hint="eastAsia"/>
              </w:rPr>
              <w:t>/</w:t>
            </w:r>
          </w:p>
        </w:tc>
        <w:tc>
          <w:tcPr>
            <w:tcW w:w="984" w:type="pct"/>
            <w:vAlign w:val="center"/>
          </w:tcPr>
          <w:p w14:paraId="5D237D92">
            <w:pPr>
              <w:pStyle w:val="62"/>
            </w:pPr>
            <w:r>
              <w:rPr>
                <w:rFonts w:hint="eastAsia"/>
              </w:rPr>
              <w:t>无</w:t>
            </w:r>
          </w:p>
        </w:tc>
      </w:tr>
      <w:tr w14:paraId="206178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50" w:type="pct"/>
            <w:vMerge w:val="continue"/>
            <w:vAlign w:val="center"/>
          </w:tcPr>
          <w:p w14:paraId="716771EE">
            <w:pPr>
              <w:pStyle w:val="62"/>
            </w:pPr>
          </w:p>
        </w:tc>
        <w:tc>
          <w:tcPr>
            <w:tcW w:w="1026" w:type="pct"/>
            <w:vAlign w:val="center"/>
          </w:tcPr>
          <w:p w14:paraId="288AA190">
            <w:pPr>
              <w:pStyle w:val="62"/>
            </w:pPr>
            <w:r>
              <w:rPr>
                <w:rFonts w:hint="eastAsia"/>
              </w:rPr>
              <w:t>毒性终点浓度</w:t>
            </w:r>
            <w:r>
              <w:t>-2</w:t>
            </w:r>
          </w:p>
        </w:tc>
        <w:tc>
          <w:tcPr>
            <w:tcW w:w="428" w:type="pct"/>
            <w:vAlign w:val="center"/>
          </w:tcPr>
          <w:p w14:paraId="6964CC94">
            <w:pPr>
              <w:pStyle w:val="62"/>
            </w:pPr>
            <w:r>
              <w:rPr>
                <w:rFonts w:hint="eastAsia"/>
              </w:rPr>
              <w:t>830</w:t>
            </w:r>
          </w:p>
        </w:tc>
        <w:tc>
          <w:tcPr>
            <w:tcW w:w="1712" w:type="pct"/>
            <w:vAlign w:val="center"/>
          </w:tcPr>
          <w:p w14:paraId="5B093D9A">
            <w:pPr>
              <w:pStyle w:val="62"/>
            </w:pPr>
            <w:r>
              <w:rPr>
                <w:rFonts w:hint="eastAsia"/>
              </w:rPr>
              <w:t>/</w:t>
            </w:r>
          </w:p>
        </w:tc>
        <w:tc>
          <w:tcPr>
            <w:tcW w:w="984" w:type="pct"/>
            <w:vAlign w:val="center"/>
          </w:tcPr>
          <w:p w14:paraId="0C8D361C">
            <w:pPr>
              <w:pStyle w:val="62"/>
            </w:pPr>
            <w:r>
              <w:rPr>
                <w:rFonts w:hint="eastAsia"/>
              </w:rPr>
              <w:t>无</w:t>
            </w:r>
          </w:p>
        </w:tc>
      </w:tr>
      <w:tr w14:paraId="432418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50" w:type="pct"/>
            <w:vMerge w:val="restart"/>
            <w:vAlign w:val="center"/>
          </w:tcPr>
          <w:p w14:paraId="37A5287B">
            <w:pPr>
              <w:pStyle w:val="62"/>
              <w:rPr>
                <w:u w:val="single"/>
              </w:rPr>
            </w:pPr>
            <w:r>
              <w:rPr>
                <w:rFonts w:hint="eastAsia"/>
                <w:u w:val="single"/>
              </w:rPr>
              <w:t>燃烧产生C</w:t>
            </w:r>
            <w:r>
              <w:rPr>
                <w:u w:val="single"/>
              </w:rPr>
              <w:t>O</w:t>
            </w:r>
          </w:p>
        </w:tc>
        <w:tc>
          <w:tcPr>
            <w:tcW w:w="1026" w:type="pct"/>
            <w:vAlign w:val="center"/>
          </w:tcPr>
          <w:p w14:paraId="560ED4F1">
            <w:pPr>
              <w:pStyle w:val="62"/>
              <w:rPr>
                <w:u w:val="single"/>
              </w:rPr>
            </w:pPr>
            <w:r>
              <w:rPr>
                <w:rFonts w:hint="eastAsia"/>
                <w:u w:val="single"/>
              </w:rPr>
              <w:t>毒性终点浓度</w:t>
            </w:r>
            <w:r>
              <w:rPr>
                <w:u w:val="single"/>
              </w:rPr>
              <w:t>-1</w:t>
            </w:r>
          </w:p>
        </w:tc>
        <w:tc>
          <w:tcPr>
            <w:tcW w:w="428" w:type="pct"/>
            <w:vAlign w:val="center"/>
          </w:tcPr>
          <w:p w14:paraId="120C0EB9">
            <w:pPr>
              <w:pStyle w:val="62"/>
              <w:rPr>
                <w:u w:val="single"/>
              </w:rPr>
            </w:pPr>
            <w:r>
              <w:rPr>
                <w:rFonts w:hint="eastAsia"/>
                <w:u w:val="single"/>
              </w:rPr>
              <w:t>3</w:t>
            </w:r>
            <w:r>
              <w:rPr>
                <w:u w:val="single"/>
              </w:rPr>
              <w:t>80</w:t>
            </w:r>
          </w:p>
        </w:tc>
        <w:tc>
          <w:tcPr>
            <w:tcW w:w="1712" w:type="pct"/>
            <w:vAlign w:val="center"/>
          </w:tcPr>
          <w:p w14:paraId="739D9BA2">
            <w:pPr>
              <w:pStyle w:val="62"/>
              <w:rPr>
                <w:u w:val="single"/>
              </w:rPr>
            </w:pPr>
            <w:r>
              <w:rPr>
                <w:rFonts w:hint="eastAsia"/>
                <w:u w:val="single"/>
              </w:rPr>
              <w:t>50</w:t>
            </w:r>
          </w:p>
        </w:tc>
        <w:tc>
          <w:tcPr>
            <w:tcW w:w="984" w:type="pct"/>
            <w:vAlign w:val="center"/>
          </w:tcPr>
          <w:p w14:paraId="00687A2F">
            <w:pPr>
              <w:pStyle w:val="62"/>
              <w:rPr>
                <w:u w:val="single"/>
              </w:rPr>
            </w:pPr>
            <w:r>
              <w:rPr>
                <w:rFonts w:hint="eastAsia"/>
                <w:u w:val="single"/>
              </w:rPr>
              <w:t>无</w:t>
            </w:r>
          </w:p>
        </w:tc>
      </w:tr>
      <w:tr w14:paraId="4EC1CE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50" w:type="pct"/>
            <w:vMerge w:val="continue"/>
            <w:vAlign w:val="center"/>
          </w:tcPr>
          <w:p w14:paraId="5ADDB469">
            <w:pPr>
              <w:pStyle w:val="62"/>
              <w:rPr>
                <w:u w:val="single"/>
              </w:rPr>
            </w:pPr>
          </w:p>
        </w:tc>
        <w:tc>
          <w:tcPr>
            <w:tcW w:w="1026" w:type="pct"/>
            <w:vAlign w:val="center"/>
          </w:tcPr>
          <w:p w14:paraId="065F06BA">
            <w:pPr>
              <w:pStyle w:val="62"/>
              <w:rPr>
                <w:u w:val="single"/>
              </w:rPr>
            </w:pPr>
            <w:r>
              <w:rPr>
                <w:rFonts w:hint="eastAsia"/>
                <w:u w:val="single"/>
              </w:rPr>
              <w:t>毒性终点浓度</w:t>
            </w:r>
            <w:r>
              <w:rPr>
                <w:u w:val="single"/>
              </w:rPr>
              <w:t>-2</w:t>
            </w:r>
          </w:p>
        </w:tc>
        <w:tc>
          <w:tcPr>
            <w:tcW w:w="428" w:type="pct"/>
            <w:vAlign w:val="center"/>
          </w:tcPr>
          <w:p w14:paraId="0691B43D">
            <w:pPr>
              <w:pStyle w:val="62"/>
              <w:rPr>
                <w:u w:val="single"/>
              </w:rPr>
            </w:pPr>
            <w:r>
              <w:rPr>
                <w:rFonts w:hint="eastAsia"/>
                <w:u w:val="single"/>
              </w:rPr>
              <w:t>9</w:t>
            </w:r>
            <w:r>
              <w:rPr>
                <w:u w:val="single"/>
              </w:rPr>
              <w:t>5</w:t>
            </w:r>
          </w:p>
        </w:tc>
        <w:tc>
          <w:tcPr>
            <w:tcW w:w="1712" w:type="pct"/>
            <w:vAlign w:val="center"/>
          </w:tcPr>
          <w:p w14:paraId="1EBC3126">
            <w:pPr>
              <w:pStyle w:val="62"/>
              <w:rPr>
                <w:u w:val="single"/>
              </w:rPr>
            </w:pPr>
            <w:r>
              <w:rPr>
                <w:rFonts w:hint="eastAsia"/>
                <w:u w:val="single"/>
              </w:rPr>
              <w:t>80</w:t>
            </w:r>
          </w:p>
        </w:tc>
        <w:tc>
          <w:tcPr>
            <w:tcW w:w="984" w:type="pct"/>
            <w:vAlign w:val="center"/>
          </w:tcPr>
          <w:p w14:paraId="34B63FFE">
            <w:pPr>
              <w:pStyle w:val="62"/>
              <w:rPr>
                <w:u w:val="single"/>
              </w:rPr>
            </w:pPr>
            <w:r>
              <w:rPr>
                <w:rFonts w:hint="eastAsia"/>
                <w:u w:val="single"/>
              </w:rPr>
              <w:t>无</w:t>
            </w:r>
          </w:p>
        </w:tc>
      </w:tr>
    </w:tbl>
    <w:p w14:paraId="0A31B20B">
      <w:pPr>
        <w:ind w:firstLine="480"/>
        <w:rPr>
          <w:highlight w:val="yellow"/>
        </w:rPr>
      </w:pPr>
      <w:r>
        <w:rPr>
          <w:rFonts w:hint="eastAsia"/>
        </w:rPr>
        <w:t>综上所述，本项目泄漏事故以及火灾/爆炸事故引起的污染影响范围内均无敏感点。本次评价将毒性终点浓度-1最大影响范围设定为安全防护距离，则安全防护距离内不涉及敏感点，无需对居民进行安全疏散。</w:t>
      </w:r>
    </w:p>
    <w:p w14:paraId="508E8C60">
      <w:pPr>
        <w:pStyle w:val="6"/>
        <w:ind w:left="0" w:firstLine="482"/>
      </w:pPr>
      <w:r>
        <w:rPr>
          <w:rFonts w:hint="eastAsia"/>
        </w:rPr>
        <w:t>大气环境风险结论</w:t>
      </w:r>
    </w:p>
    <w:p w14:paraId="57D41FAA">
      <w:pPr>
        <w:pStyle w:val="2"/>
        <w:spacing w:after="0"/>
        <w:ind w:firstLine="480"/>
      </w:pPr>
      <w:r>
        <w:rPr>
          <w:rFonts w:hint="eastAsia"/>
        </w:rPr>
        <w:t>项目原料包装桶发生泄漏，及发生火灾引起的伴生/次生污染物造成的大气污染物毒性终点浓度-1范围内无居民居住，企业能够及时采取相应处理措施，并通知及配合疏散周围居民，不会对人员安全造成较大影响。</w:t>
      </w:r>
    </w:p>
    <w:p w14:paraId="3D615FF4">
      <w:pPr>
        <w:pStyle w:val="2"/>
        <w:spacing w:after="0"/>
        <w:ind w:firstLine="480"/>
        <w:rPr>
          <w:highlight w:val="yellow"/>
          <w:u w:val="single"/>
        </w:rPr>
      </w:pPr>
      <w:r>
        <w:rPr>
          <w:rFonts w:hint="eastAsia"/>
          <w:u w:val="single"/>
        </w:rPr>
        <w:t>根据风险结果计算，各危险物质的毒性终点浓度-1最不利气象最大影响范围不超过50m，毒性终点浓度-2最不利气象最大影响范围不超过80m，项目风险值不大，环境风险较小，项目大气环境风险可接受。</w:t>
      </w:r>
    </w:p>
    <w:p w14:paraId="48162170">
      <w:pPr>
        <w:pStyle w:val="5"/>
        <w:spacing w:before="312" w:after="312"/>
        <w:ind w:left="0" w:firstLine="510"/>
      </w:pPr>
      <w:r>
        <w:rPr>
          <w:rFonts w:hint="eastAsia"/>
        </w:rPr>
        <w:t>地表水环境风险评价</w:t>
      </w:r>
    </w:p>
    <w:p w14:paraId="4AE7F23B">
      <w:pPr>
        <w:pStyle w:val="2"/>
        <w:spacing w:after="0"/>
        <w:ind w:firstLine="480"/>
      </w:pPr>
      <w:r>
        <w:rPr>
          <w:rFonts w:hint="eastAsia"/>
        </w:rPr>
        <w:t>建设项目一旦发生物料泄漏进而发生火灾事故时，应急小组立即采取应急措施，在最短时间内关闭各功能区围堰管道阀门，放下雨水管网闸门。泄漏的物料及消防废水全部收集进入事故水池、围堰临时贮存，待后续妥善处置，事故废水不会通过地面漫流或雨水管网直接进入周围水体。</w:t>
      </w:r>
    </w:p>
    <w:p w14:paraId="3F449966">
      <w:pPr>
        <w:pStyle w:val="2"/>
        <w:spacing w:after="0"/>
        <w:ind w:firstLine="480"/>
      </w:pPr>
      <w:r>
        <w:rPr>
          <w:rFonts w:hint="eastAsia"/>
        </w:rPr>
        <w:t>本项目污染物在采取了相应的应急措施后，可有效防止其扩散到周围水体，并可以得到妥善处置，采用在线监测手段，确保事故废水不对唐庄污水处理厂造成冲击。</w:t>
      </w:r>
    </w:p>
    <w:p w14:paraId="1F9754DB">
      <w:pPr>
        <w:pStyle w:val="2"/>
        <w:spacing w:after="0"/>
        <w:ind w:firstLine="480"/>
        <w:rPr>
          <w:highlight w:val="yellow"/>
        </w:rPr>
      </w:pPr>
      <w:r>
        <w:rPr>
          <w:rFonts w:hint="eastAsia"/>
        </w:rPr>
        <w:t>因此，本项目建成后地表水环境风险事故影响较小，可接受。</w:t>
      </w:r>
    </w:p>
    <w:p w14:paraId="71B9D274">
      <w:pPr>
        <w:pStyle w:val="5"/>
        <w:spacing w:before="312" w:after="312"/>
        <w:ind w:left="0" w:firstLine="510"/>
      </w:pPr>
      <w:r>
        <w:rPr>
          <w:rFonts w:hint="eastAsia"/>
        </w:rPr>
        <w:t>地下水环境风险评价</w:t>
      </w:r>
    </w:p>
    <w:p w14:paraId="1DB9DF16">
      <w:pPr>
        <w:pStyle w:val="2"/>
        <w:ind w:firstLine="480"/>
        <w:rPr>
          <w:highlight w:val="yellow"/>
        </w:rPr>
      </w:pPr>
      <w:r>
        <w:rPr>
          <w:rFonts w:hint="eastAsia"/>
        </w:rPr>
        <w:t>本项目各原料储存区的地面均采取了防渗措施，车间、危险品库地面均采取防渗措施，车间危险物质在发生泄漏风险事故的情况下可及时进行水稀释后由备用泵和管线抽入事故水池暂存，液体与地面接触时间较短，不存在短时间内进入包气带的可能性。泄漏后经水稀释的物料排入事故水池暂存后分批次经厂区污水处理站处置，事故水池将严格按照防渗要求进行防渗并定期巡检。本次评价已在5.3章节对调节池泄漏对地下水的影响进行了一级评价。根据预测结果，项目非正常排放期间，不会对饮用水源水质造成影响，从出现超标到超标范围结束，超标范围被约束在工业用地范围内，超标范围内没有饮用水取水井。因此评价认为，项目地下水风险可以接受。</w:t>
      </w:r>
    </w:p>
    <w:p w14:paraId="40B1FA66">
      <w:pPr>
        <w:pStyle w:val="5"/>
        <w:spacing w:before="312" w:after="312"/>
        <w:ind w:left="0" w:firstLine="510"/>
      </w:pPr>
      <w:r>
        <w:rPr>
          <w:rFonts w:hint="eastAsia"/>
        </w:rPr>
        <w:t>环境风险防范措施及应急要求</w:t>
      </w:r>
    </w:p>
    <w:p w14:paraId="57195A01">
      <w:pPr>
        <w:pStyle w:val="2"/>
        <w:ind w:firstLine="480"/>
        <w:rPr>
          <w:highlight w:val="yellow"/>
        </w:rPr>
      </w:pPr>
      <w:r>
        <w:rPr>
          <w:rFonts w:hint="eastAsia"/>
        </w:rPr>
        <w:t>根据有关要求，本项目应建立重大事故管理和应急预案，设立厂内急救指挥小组，并和当地有关化学事故应急救援部门建立正常的定期联系。</w:t>
      </w:r>
    </w:p>
    <w:p w14:paraId="327614E0">
      <w:pPr>
        <w:pStyle w:val="6"/>
        <w:ind w:left="0" w:firstLine="482"/>
      </w:pPr>
      <w:r>
        <w:rPr>
          <w:rFonts w:hint="eastAsia"/>
        </w:rPr>
        <w:t>风险防范措施</w:t>
      </w:r>
    </w:p>
    <w:p w14:paraId="1565A0A8">
      <w:pPr>
        <w:pStyle w:val="2"/>
        <w:spacing w:after="0"/>
        <w:ind w:firstLine="480"/>
      </w:pPr>
      <w:r>
        <w:rPr>
          <w:rFonts w:hint="eastAsia"/>
        </w:rPr>
        <w:t>风险事故应通过严格的生产管理和技术手段予以杜绝，制定防范事故发生的工作计划、消除事故隐患的措施等，从源头上控制风险事故的发生，一旦发生事故，应通过应急措施与预案，尽量减轻事故影响程度。为了有效地处理风险事故，应有切实可行的处置措施：</w:t>
      </w:r>
    </w:p>
    <w:p w14:paraId="76D0F7F6">
      <w:pPr>
        <w:pStyle w:val="2"/>
        <w:spacing w:after="0"/>
        <w:ind w:firstLine="480"/>
      </w:pPr>
      <w:r>
        <w:rPr>
          <w:rFonts w:hint="eastAsia"/>
        </w:rPr>
        <w:t>①制定有效处理事故的应急行动方案，并得到有关部门的认可，能与有关部门有效配合；</w:t>
      </w:r>
    </w:p>
    <w:p w14:paraId="49C59BA4">
      <w:pPr>
        <w:pStyle w:val="2"/>
        <w:spacing w:after="0"/>
        <w:ind w:firstLine="480"/>
      </w:pPr>
      <w:r>
        <w:rPr>
          <w:rFonts w:hint="eastAsia"/>
        </w:rPr>
        <w:t>②明确职责，并落实到单位和有关人员。</w:t>
      </w:r>
    </w:p>
    <w:p w14:paraId="3CF0C569">
      <w:pPr>
        <w:pStyle w:val="2"/>
        <w:spacing w:after="0"/>
        <w:ind w:firstLine="480"/>
      </w:pPr>
      <w:r>
        <w:rPr>
          <w:rFonts w:hint="eastAsia"/>
        </w:rPr>
        <w:t>③制定控制和减少事故影响范围、程度以及补救行动的实施计划。</w:t>
      </w:r>
    </w:p>
    <w:p w14:paraId="7BD21705">
      <w:pPr>
        <w:pStyle w:val="2"/>
        <w:spacing w:after="0"/>
        <w:ind w:firstLine="480"/>
      </w:pPr>
      <w:r>
        <w:rPr>
          <w:rFonts w:hint="eastAsia"/>
        </w:rPr>
        <w:t>④对事故现场管理以及事故处置全过程的监督，应由富有事故处置经验的人员或有关部门工作人员承担；</w:t>
      </w:r>
    </w:p>
    <w:p w14:paraId="151FD03C">
      <w:pPr>
        <w:pStyle w:val="2"/>
        <w:spacing w:after="0"/>
        <w:ind w:firstLine="480"/>
        <w:rPr>
          <w:highlight w:val="yellow"/>
        </w:rPr>
      </w:pPr>
      <w:r>
        <w:rPr>
          <w:rFonts w:hint="eastAsia"/>
        </w:rPr>
        <w:t>⑤为提高事故处置队伍的协同救援水平和实战能力，检验救援体系的应急综合运作状态，提高其实战水平，应进行应急救援演练。</w:t>
      </w:r>
    </w:p>
    <w:p w14:paraId="6E559A41">
      <w:pPr>
        <w:ind w:firstLine="482"/>
        <w:outlineLvl w:val="4"/>
        <w:rPr>
          <w:b/>
          <w:bCs/>
        </w:rPr>
      </w:pPr>
      <w:r>
        <w:rPr>
          <w:rFonts w:hint="eastAsia"/>
          <w:b/>
          <w:bCs/>
        </w:rPr>
        <w:t>1、总平面图布置风险防范措施</w:t>
      </w:r>
    </w:p>
    <w:p w14:paraId="56EF8785">
      <w:pPr>
        <w:pStyle w:val="2"/>
        <w:spacing w:after="0"/>
        <w:ind w:firstLine="480"/>
      </w:pPr>
      <w:r>
        <w:rPr>
          <w:rFonts w:hint="eastAsia"/>
        </w:rPr>
        <w:t>（1）建筑物应严格执行《石油化工企业设计防火规范》（GB50160-2008）和《工业企业总平面设计规范》（GB50187-2012）等相关规范要求，项目厂区建筑物之间、构筑物与储罐之间留有足够的防火间距，防止在火灾或爆炸时相互影响。</w:t>
      </w:r>
    </w:p>
    <w:p w14:paraId="3E2EE0B8">
      <w:pPr>
        <w:pStyle w:val="2"/>
        <w:spacing w:after="0"/>
        <w:ind w:firstLine="480"/>
      </w:pPr>
      <w:r>
        <w:rPr>
          <w:rFonts w:hint="eastAsia"/>
        </w:rPr>
        <w:t>（2）按《安全标志及其使用导则》（GB2894-2008）规定在装置区设置有关的安全标志。</w:t>
      </w:r>
    </w:p>
    <w:p w14:paraId="276FBFCC">
      <w:pPr>
        <w:pStyle w:val="2"/>
        <w:spacing w:after="0"/>
        <w:ind w:firstLine="480"/>
      </w:pPr>
      <w:r>
        <w:rPr>
          <w:rFonts w:hint="eastAsia"/>
        </w:rPr>
        <w:t>（3）生产装置区应利于可燃气体的扩散，防止爆炸。对人身造成危险的运转设备配备安全罩。高处作业平台、高空走廊、楼梯、钢爬梯上要按规范要求设计围栏、踢脚板或防护栏杆，围栏高度不低于1.05米，脚板应使用防滑板。在楼板操作及检修平台有孔洞的地方设有盖板。</w:t>
      </w:r>
    </w:p>
    <w:p w14:paraId="051DBD7E">
      <w:pPr>
        <w:pStyle w:val="2"/>
        <w:spacing w:after="0"/>
        <w:ind w:firstLine="480"/>
      </w:pPr>
      <w:r>
        <w:rPr>
          <w:rFonts w:hint="eastAsia"/>
        </w:rPr>
        <w:t>（4）根据火灾危险性等级和防火、防爆要求，建筑物的防火等级应采用国家现行规范要求耐火等级设计，满足建筑防火要求。凡禁火区均设置明显标志牌。易燃易爆物料均储存在阴凉、通风处，远离火源，避免与强氧化剂接触；安放易发生爆炸设备的房间，不允许任何人员随便入内，操作全部在控制室进行。安全出口及安全疏散距离应符合《石油化工企业设计防火规范》（GB 50160-2008）的要求。</w:t>
      </w:r>
    </w:p>
    <w:p w14:paraId="07967991">
      <w:pPr>
        <w:pStyle w:val="2"/>
        <w:spacing w:after="0"/>
        <w:ind w:firstLine="480"/>
        <w:rPr>
          <w:highlight w:val="yellow"/>
        </w:rPr>
      </w:pPr>
      <w:r>
        <w:rPr>
          <w:rFonts w:hint="eastAsia"/>
        </w:rPr>
        <w:t>（5）根据生产装置的特点，在生产车间按物料性质和人身可能意外接触到有害物质而引起烧伤、刺激或伤害皮肤的区域内，均设置紧急淋浴和洗眼器，并加以明显标记，并在装置区设置救护箱。工作人员配备必要的个人防护用品。</w:t>
      </w:r>
    </w:p>
    <w:p w14:paraId="6A70053E">
      <w:pPr>
        <w:ind w:firstLine="482"/>
        <w:outlineLvl w:val="4"/>
        <w:rPr>
          <w:b/>
          <w:bCs/>
        </w:rPr>
      </w:pPr>
      <w:r>
        <w:rPr>
          <w:rFonts w:hint="eastAsia"/>
          <w:b/>
          <w:bCs/>
        </w:rPr>
        <w:t>2、电气、电讯风险防范措施</w:t>
      </w:r>
    </w:p>
    <w:p w14:paraId="1097894D">
      <w:pPr>
        <w:ind w:firstLine="480"/>
      </w:pPr>
      <w:r>
        <w:rPr>
          <w:rFonts w:hint="eastAsia"/>
        </w:rPr>
        <w:t>（1）电气设计均按环境要求选择，防爆和火灾环境电力装置规范按《爆炸危险环境电力装置设计规范》（GB50058-2014）执行，供电配电规范按《供配电系统设计规范》（GB50052-2009）执行，低压配电规范按《低压配电设计规范》（GB50054-2011）执行，通用用电设备规范按《通用用电设备配电设计规范》（GB50055-2011）执行。在设计中应强调执行《电气装置安装工程施工和验收规范》（GB50254-96）等的要求，确保工程电气安全符合要求。</w:t>
      </w:r>
    </w:p>
    <w:p w14:paraId="207B07C5">
      <w:pPr>
        <w:ind w:firstLine="480"/>
      </w:pPr>
      <w:r>
        <w:rPr>
          <w:rFonts w:hint="eastAsia"/>
        </w:rPr>
        <w:t>（2）供电变压器、配电箱开关等设施外壳，除接零外还设置可靠的触电保护接地装置及安全围栏，并在现场挂警示标志。配电室必须设置挡鼠板及金属网，以防飞行物、小动物进入室内。地下电缆沟设支撑架，用沙填埋；电缆使用带钢甲电缆。沿地面或低支架敷设的管道，不环绕工艺装置或组四周布置。</w:t>
      </w:r>
    </w:p>
    <w:p w14:paraId="6711F8F3">
      <w:pPr>
        <w:ind w:firstLine="480"/>
        <w:rPr>
          <w:highlight w:val="yellow"/>
        </w:rPr>
      </w:pPr>
      <w:r>
        <w:rPr>
          <w:rFonts w:hint="eastAsia"/>
        </w:rPr>
        <w:t>（3）在爆炸危险区域内选用防爆型电气、仪表及通信设备；所有可能产生爆炸危险和产生静电的设备及管道均设有防静电接地设施；装置区内建构筑物的防雷保护按《建筑物防雷设计规范》（GB50057-2010）设计；不同区域的照明设施根据不同环境特点，选用防爆、防水、防尘或普通型灯具。</w:t>
      </w:r>
    </w:p>
    <w:p w14:paraId="50F31061">
      <w:pPr>
        <w:ind w:firstLine="482"/>
        <w:outlineLvl w:val="4"/>
        <w:rPr>
          <w:b/>
          <w:bCs/>
        </w:rPr>
      </w:pPr>
      <w:r>
        <w:rPr>
          <w:rFonts w:hint="eastAsia"/>
          <w:b/>
          <w:bCs/>
        </w:rPr>
        <w:t>3、储运设施风险防范措施</w:t>
      </w:r>
    </w:p>
    <w:p w14:paraId="680302D8">
      <w:pPr>
        <w:pStyle w:val="2"/>
        <w:spacing w:after="0"/>
        <w:ind w:firstLine="480"/>
      </w:pPr>
      <w:r>
        <w:rPr>
          <w:rFonts w:hint="eastAsia"/>
        </w:rPr>
        <w:t>（1）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14:paraId="478338B3">
      <w:pPr>
        <w:pStyle w:val="2"/>
        <w:spacing w:after="0"/>
        <w:ind w:firstLine="480"/>
      </w:pPr>
      <w:r>
        <w:rPr>
          <w:rFonts w:hint="eastAsia"/>
        </w:rPr>
        <w:t>（2）本项目仓库为危化品仓库，危化品仓库具有良好的通风、隔热条件，配备降温、防潮、防汛、防雷等设施。仓库内设施皆需要防爆功能，比如防爆灯、防爆风扇、防爆开关等。库房门采用外开式防火门，且有良好接地。仓库的窗户下部离地面不得低于1.8m。仓库地面需采用不燃烧且易洗的地坪。仓库内地坪需比外面地坪高至少0.2m，仓库门口有斜坡。仓库内根据不同的化学品特性配置齐全的个人防护用品。</w:t>
      </w:r>
    </w:p>
    <w:p w14:paraId="5690F946">
      <w:pPr>
        <w:pStyle w:val="2"/>
        <w:spacing w:after="0"/>
        <w:ind w:firstLine="480"/>
      </w:pPr>
      <w:r>
        <w:rPr>
          <w:rFonts w:hint="eastAsia"/>
        </w:rPr>
        <w:t>（3）按照化学品不同性质、灭火方法等进行严格的分区分类和分库存放，各危险物品贮存地点设立安全标志或涂刷相应的安全色。</w:t>
      </w:r>
    </w:p>
    <w:p w14:paraId="12B7E659">
      <w:pPr>
        <w:pStyle w:val="2"/>
        <w:spacing w:after="0"/>
        <w:ind w:firstLine="480"/>
      </w:pPr>
      <w:r>
        <w:rPr>
          <w:rFonts w:hint="eastAsia"/>
        </w:rPr>
        <w:t>（4）原料库和各生产车间应根据所存原料的特性配备必要的事故急救设备和器材，如手提式灭火器、防毒面具等；建立健全安全规程及值勤制度设置通讯、报警装置，确保其处于完好状态。</w:t>
      </w:r>
    </w:p>
    <w:p w14:paraId="6225D200">
      <w:pPr>
        <w:pStyle w:val="2"/>
        <w:spacing w:after="0"/>
        <w:ind w:firstLine="480"/>
      </w:pPr>
      <w:r>
        <w:rPr>
          <w:rFonts w:hint="eastAsia"/>
        </w:rPr>
        <w:t>（5）各物料存储、供应系统相关管道、阀门、法兰、仪表、泵等设备选择时，应满足抗腐蚀要求，采用防爆、防腐型户外电气装置。</w:t>
      </w:r>
    </w:p>
    <w:p w14:paraId="5FF62782">
      <w:pPr>
        <w:pStyle w:val="2"/>
        <w:spacing w:after="0"/>
        <w:ind w:firstLine="480"/>
      </w:pPr>
      <w:r>
        <w:rPr>
          <w:rFonts w:hint="eastAsia"/>
        </w:rPr>
        <w:t>（6）提高与酸碱直接接触的设备及管道等构件的耐腐蚀性和密封性，采用防腐性电机及仪表。对生产管线、阀门进行定期检查、维修，保证设备完好，预防跑、冒、滴、漏等现象的发生。</w:t>
      </w:r>
    </w:p>
    <w:p w14:paraId="07C3BFBC">
      <w:pPr>
        <w:pStyle w:val="2"/>
        <w:spacing w:after="0"/>
        <w:ind w:firstLine="480"/>
      </w:pPr>
      <w:r>
        <w:rPr>
          <w:rFonts w:hint="eastAsia"/>
        </w:rPr>
        <w:t>（7）采取现场液位和液位远传的相结合的方式，同时在控制室内设置液位指示仪表及高低液位报警设施。</w:t>
      </w:r>
    </w:p>
    <w:p w14:paraId="015C4821">
      <w:pPr>
        <w:pStyle w:val="2"/>
        <w:ind w:firstLine="480"/>
        <w:rPr>
          <w:u w:val="single"/>
        </w:rPr>
      </w:pPr>
      <w:r>
        <w:rPr>
          <w:rFonts w:hint="eastAsia"/>
          <w:u w:val="single"/>
        </w:rPr>
        <w:t>（8）危废贮存库应严格按《危险废物贮存污染控制标准》（GB18597-2023）、《危险废物规范化管理指标体系》（2016）和《河南省危险废物规范化管理工作指南》的规定执行。</w:t>
      </w:r>
      <w:r>
        <w:rPr>
          <w:u w:val="single"/>
        </w:rPr>
        <w:t>，主要有以下要求</w:t>
      </w:r>
      <w:r>
        <w:rPr>
          <w:rFonts w:hint="eastAsia"/>
          <w:u w:val="single"/>
        </w:rPr>
        <w:t>。</w:t>
      </w:r>
    </w:p>
    <w:p w14:paraId="4C47CDC3">
      <w:pPr>
        <w:pStyle w:val="2"/>
        <w:spacing w:after="0"/>
        <w:ind w:firstLine="480"/>
        <w:rPr>
          <w:u w:val="single"/>
        </w:rPr>
      </w:pPr>
      <w:r>
        <w:rPr>
          <w:rFonts w:hint="eastAsia"/>
          <w:u w:val="single"/>
        </w:rPr>
        <w:t>①</w:t>
      </w:r>
      <w:r>
        <w:rPr>
          <w:u w:val="single"/>
        </w:rPr>
        <w:t>危废</w:t>
      </w:r>
      <w:r>
        <w:rPr>
          <w:rFonts w:hint="eastAsia"/>
          <w:u w:val="single"/>
        </w:rPr>
        <w:t>贮存库采取防风、防晒、防雨、防漏、防渗、防腐以及其他环境污染防治措施，不应露天堆放危险废物。</w:t>
      </w:r>
    </w:p>
    <w:p w14:paraId="79AD9F62">
      <w:pPr>
        <w:pStyle w:val="2"/>
        <w:spacing w:after="0"/>
        <w:ind w:firstLine="480"/>
        <w:rPr>
          <w:u w:val="single"/>
        </w:rPr>
      </w:pPr>
      <w:r>
        <w:rPr>
          <w:rFonts w:hint="eastAsia"/>
          <w:u w:val="single"/>
        </w:rPr>
        <w:t>②</w:t>
      </w:r>
      <w:r>
        <w:rPr>
          <w:u w:val="single"/>
        </w:rPr>
        <w:t>危废</w:t>
      </w:r>
      <w:r>
        <w:rPr>
          <w:rFonts w:hint="eastAsia"/>
          <w:u w:val="single"/>
        </w:rPr>
        <w:t>贮存库应根据危险废物的类别、数量、形态、物理化学性质和污染防治等要求设置必要的贮存分区，避免不相容的危险废物接触、混合。</w:t>
      </w:r>
    </w:p>
    <w:p w14:paraId="14C86D56">
      <w:pPr>
        <w:pStyle w:val="2"/>
        <w:spacing w:after="0"/>
        <w:ind w:firstLine="480"/>
        <w:rPr>
          <w:u w:val="single"/>
        </w:rPr>
      </w:pPr>
      <w:r>
        <w:rPr>
          <w:rFonts w:hint="eastAsia"/>
          <w:u w:val="single"/>
        </w:rPr>
        <w:t>③</w:t>
      </w:r>
      <w:r>
        <w:rPr>
          <w:u w:val="single"/>
        </w:rPr>
        <w:t>危废</w:t>
      </w:r>
      <w:r>
        <w:rPr>
          <w:rFonts w:hint="eastAsia"/>
          <w:u w:val="single"/>
        </w:rPr>
        <w:t>贮存库地面、墙面裙脚、堵截泄漏的围堰、接触危险废物的隔板和墙体等应采用坚固的材料建造，表面无裂缝。</w:t>
      </w:r>
    </w:p>
    <w:p w14:paraId="68174419">
      <w:pPr>
        <w:pStyle w:val="2"/>
        <w:spacing w:after="0"/>
        <w:ind w:firstLine="480"/>
        <w:rPr>
          <w:u w:val="single"/>
        </w:rPr>
      </w:pPr>
      <w:r>
        <w:rPr>
          <w:rFonts w:hint="eastAsia"/>
          <w:u w:val="single"/>
        </w:rPr>
        <w:t>④</w:t>
      </w:r>
      <w:r>
        <w:rPr>
          <w:u w:val="single"/>
        </w:rPr>
        <w:t>危废</w:t>
      </w:r>
      <w:r>
        <w:rPr>
          <w:rFonts w:hint="eastAsia"/>
          <w:u w:val="single"/>
        </w:rPr>
        <w:t>贮存库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层（渗透系数不大于10cm/s），或至少2mm厚高密度聚乙烯膜等人工防渗材料(渗透系数不大于1-10cm/s)，或其他防渗性能等效的材料。</w:t>
      </w:r>
    </w:p>
    <w:p w14:paraId="5F9C5456">
      <w:pPr>
        <w:pStyle w:val="2"/>
        <w:spacing w:after="0"/>
        <w:ind w:firstLine="480"/>
        <w:rPr>
          <w:u w:val="single"/>
        </w:rPr>
      </w:pPr>
      <w:r>
        <w:rPr>
          <w:rFonts w:hint="eastAsia"/>
          <w:u w:val="single"/>
        </w:rPr>
        <w:t>⑤贮存库应采取技术和管理措施防止无关人员进入。</w:t>
      </w:r>
    </w:p>
    <w:p w14:paraId="0B5C5E9B">
      <w:pPr>
        <w:pStyle w:val="2"/>
        <w:spacing w:after="0"/>
        <w:ind w:firstLine="480"/>
        <w:rPr>
          <w:u w:val="single"/>
        </w:rPr>
      </w:pPr>
      <w:r>
        <w:rPr>
          <w:rFonts w:hint="eastAsia"/>
          <w:u w:val="single"/>
        </w:rPr>
        <w:t>⑥贮存库内不同贮存分区之间应采取隔离措施。隔离措施可根据危险废物特性采用过道、隔板或隔墙等方式。</w:t>
      </w:r>
    </w:p>
    <w:p w14:paraId="71A62158">
      <w:pPr>
        <w:pStyle w:val="2"/>
        <w:spacing w:after="0"/>
        <w:ind w:firstLine="480"/>
        <w:rPr>
          <w:u w:val="single"/>
        </w:rPr>
      </w:pPr>
      <w:r>
        <w:rPr>
          <w:rFonts w:hint="eastAsia"/>
          <w:u w:val="single"/>
        </w:rPr>
        <w:t>⑦在贮存库内或通过贮存分区方式贮存液态危险废物的，应具有液体泄漏堵截设施，堵截设施最小容积不应低于对应贮存区域最大液态废物容器容积或液态废物总储量1/10（二者取较大者）：用于存可能产生渗滤液的危险废物的贮存库或贮存分区应设计渗滤液收集设施，收集设施容积应满足渗滤液的收集要求。</w:t>
      </w:r>
    </w:p>
    <w:p w14:paraId="0D5A2049">
      <w:pPr>
        <w:pStyle w:val="2"/>
        <w:spacing w:after="0"/>
        <w:ind w:firstLine="480"/>
        <w:rPr>
          <w:u w:val="single"/>
        </w:rPr>
      </w:pPr>
      <w:r>
        <w:rPr>
          <w:rFonts w:hint="eastAsia"/>
          <w:u w:val="single"/>
        </w:rPr>
        <w:t>⑧</w:t>
      </w:r>
      <w:r>
        <w:rPr>
          <w:u w:val="single"/>
        </w:rPr>
        <w:t>按照有关要求设置明显规范的警示标识；</w:t>
      </w:r>
    </w:p>
    <w:p w14:paraId="42011F10">
      <w:pPr>
        <w:pStyle w:val="2"/>
        <w:spacing w:after="0"/>
        <w:ind w:firstLine="480"/>
        <w:rPr>
          <w:u w:val="single"/>
        </w:rPr>
      </w:pPr>
      <w:r>
        <w:rPr>
          <w:rFonts w:hint="eastAsia"/>
          <w:u w:val="single"/>
        </w:rPr>
        <w:t>⑨</w:t>
      </w:r>
      <w:r>
        <w:rPr>
          <w:u w:val="single"/>
        </w:rPr>
        <w:t>制定相应的管理制度，做好危险废物情况的记录，记录上必须注明危险废物的名称、来源、数量、特性和包装容器的类别、废物出入库日期及处置去向。</w:t>
      </w:r>
    </w:p>
    <w:p w14:paraId="0927AFBA">
      <w:pPr>
        <w:ind w:firstLine="482"/>
        <w:outlineLvl w:val="4"/>
        <w:rPr>
          <w:highlight w:val="yellow"/>
        </w:rPr>
      </w:pPr>
      <w:r>
        <w:rPr>
          <w:rFonts w:hint="eastAsia"/>
          <w:b/>
          <w:bCs/>
        </w:rPr>
        <w:t>4、工艺技术设计中应采取的风险防范措施</w:t>
      </w:r>
    </w:p>
    <w:p w14:paraId="49767256">
      <w:pPr>
        <w:pStyle w:val="2"/>
        <w:spacing w:after="0"/>
        <w:ind w:firstLine="480"/>
      </w:pPr>
      <w:r>
        <w:rPr>
          <w:rFonts w:hint="eastAsia"/>
        </w:rPr>
        <w:t>①本项目新增设备、装置和所有管道系统必须委托专业设计单位进行设计、制作及安装，并经当地有关质检部门进行验收。工艺输送泵采用密封防泄漏驱动泵；物料输送管线要定期试压检漏。易燃液体可能泄漏，发生火灾、爆炸的场所，必须采用防爆电机及器材。对生产过程中带压设备和系统均设置安全阀，泄压排出的气体回收或高空排放，避免易燃、易爆气体在装置内的积累</w:t>
      </w:r>
    </w:p>
    <w:p w14:paraId="600D2D13">
      <w:pPr>
        <w:pStyle w:val="2"/>
        <w:spacing w:after="0"/>
        <w:ind w:firstLine="480"/>
      </w:pPr>
      <w:r>
        <w:rPr>
          <w:rFonts w:hint="eastAsia"/>
        </w:rPr>
        <w:t>②制定各岗位工艺安全措施和安全操作规程，并教育职工严格执行。必须做到：建立完整的工艺规程和操作法，工艺规程中除了考虑正常的开停车、正常操作外，还应考虑异常操作处理及紧急事故处理的安全措施和设施；工艺流程设计，应尽量减少工艺流程中易燃、易爆及有毒危险物料的存量；严格控制各单元反应的操作温度，操作压力和加料速度等工艺指标，要尽可能采取具体的防范措施，防止工艺指标的失控。</w:t>
      </w:r>
    </w:p>
    <w:p w14:paraId="0B4A13EC">
      <w:pPr>
        <w:pStyle w:val="2"/>
        <w:spacing w:after="0"/>
        <w:ind w:firstLine="480"/>
        <w:rPr>
          <w:highlight w:val="yellow"/>
        </w:rPr>
      </w:pPr>
      <w:r>
        <w:rPr>
          <w:rFonts w:hint="eastAsia"/>
        </w:rPr>
        <w:t>③评价提出项目应结合目前最新政策要求严格落实安全、环保方面的要求，建设自动化控制设施，是确保降低环境、安全等风险的一个要素。设计将根据项目规模、流程特点、产品质量、工艺操作要求全面提升本工程自动化水平。体现如下：</w:t>
      </w:r>
    </w:p>
    <w:p w14:paraId="768D795F">
      <w:pPr>
        <w:ind w:firstLine="480"/>
      </w:pPr>
      <w:r>
        <w:rPr>
          <w:rFonts w:hint="eastAsia"/>
        </w:rPr>
        <w:t>1）评价要求主要工艺装置采用分散型控制系统（DCS）进行集中监控，安全仪表系统（SIS）将实现装置的紧急停车和安全连锁保护，可燃气体有毒气体检测系统（GDS）对装置可能发生有毒有害物泄漏实施集中监视并按需要进行相关设施联动。</w:t>
      </w:r>
    </w:p>
    <w:p w14:paraId="2C76238E">
      <w:pPr>
        <w:ind w:firstLine="480"/>
      </w:pPr>
      <w:r>
        <w:rPr>
          <w:rFonts w:hint="eastAsia"/>
        </w:rPr>
        <w:t>2）考虑将生产装置等相关仪表信号均引入中心控制室。</w:t>
      </w:r>
    </w:p>
    <w:p w14:paraId="4B3EC3BF">
      <w:pPr>
        <w:ind w:firstLine="480"/>
      </w:pPr>
      <w:r>
        <w:rPr>
          <w:rFonts w:hint="eastAsia"/>
        </w:rPr>
        <w:t>3）紧急停车和安全联锁。联锁系统选用独立的传感器，触发联锁系统动作的接点一般为直接型（压力、液位、流量、温度或限位开关），也可选用DCS/PLC系统的内部开关。确保各单元出出现安全等事故时能进行有效的紧急停车及安全联锁，防控事故升级带来更大环境风险。</w:t>
      </w:r>
    </w:p>
    <w:p w14:paraId="41E842F7">
      <w:pPr>
        <w:ind w:firstLine="480"/>
      </w:pPr>
      <w:r>
        <w:rPr>
          <w:rFonts w:hint="eastAsia"/>
        </w:rPr>
        <w:t>4）输送易燃液体时需严格控制流速，防止产生静电。所有设备、管道的法兰必须有消除静电的跨接措施。设备和管线必须防静电接地，电阻值应符合规定的要求，物料管线设置物料名称及流向标志。</w:t>
      </w:r>
    </w:p>
    <w:p w14:paraId="065DC9A3">
      <w:pPr>
        <w:ind w:firstLine="480"/>
      </w:pPr>
      <w:r>
        <w:rPr>
          <w:rFonts w:hint="eastAsia"/>
        </w:rPr>
        <w:t>5）输送易燃易爆物质的装置，应采用防爆或封闭式电机。泵的选型也应符合防爆要求，叶轮宜采用不易产生火花的材质，防止碰击产生火花引起燃烧或爆炸。</w:t>
      </w:r>
    </w:p>
    <w:p w14:paraId="570D25C4">
      <w:pPr>
        <w:ind w:firstLine="480"/>
      </w:pPr>
      <w:r>
        <w:rPr>
          <w:rFonts w:hint="eastAsia"/>
        </w:rPr>
        <w:t>6）加强设备的日常管理，杜绝跑、冒、滴、漏，对事故漏下的物料应及时清除。维护设备卫生，加强设备管理，对设备上的视镜、液面计等经常进行清理，确保能够透视，并有上下液位红线等。</w:t>
      </w:r>
    </w:p>
    <w:p w14:paraId="2E6EA8D8">
      <w:pPr>
        <w:ind w:firstLine="480"/>
      </w:pPr>
      <w:r>
        <w:rPr>
          <w:rFonts w:hint="eastAsia"/>
        </w:rPr>
        <w:t>7）生产装置的供电、供水、供风、供汽等公用设施必须满足正常生产和事故状态下的要求，符合有关的防爆法规、标准的规定。采用双回路供电、自动联锁系统，当一回路出现断电情况时，另一回路立即供电，杜绝停电而导致的风险事故发生，从而保证整个系统安全运转。变电站变压器实施安全保护接地，防电火花产生。生产装置、管线、储罐等建构筑物，设置防静电接地保护及接地装置，防静电起火、雷击等。</w:t>
      </w:r>
    </w:p>
    <w:p w14:paraId="66503BBC">
      <w:pPr>
        <w:ind w:firstLine="480"/>
      </w:pPr>
      <w:r>
        <w:rPr>
          <w:rFonts w:hint="eastAsia"/>
        </w:rPr>
        <w:t>8）设计单位可参考《石油化工可燃气体和有毒气体检测报警设计规范》（GB50493-2009）来设计和实施可燃和有毒气体检测报警系统，根据项目平面布局、装置布局、有毒有害气体产生、输送、暂存等环节以及员工接触时间最长的作业点布设检测报警仪器，尽可能将将可燃和有毒有害气体检测报警系统并到过程生产控制系统DCS内，实现全程监控。就本项目而言，关注有毒有害气体节点如下：储罐区管线法兰、加料管线法兰、反应釜进出口法兰等。</w:t>
      </w:r>
    </w:p>
    <w:p w14:paraId="5B5D3D77">
      <w:pPr>
        <w:ind w:firstLine="480"/>
        <w:rPr>
          <w:highlight w:val="yellow"/>
        </w:rPr>
      </w:pPr>
      <w:r>
        <w:rPr>
          <w:rFonts w:hint="eastAsia"/>
        </w:rPr>
        <w:t>9）涉及易燃易爆物质的设备、管线等均设置氮气吹扫，防止残留气体与空气混合发生爆炸。</w:t>
      </w:r>
    </w:p>
    <w:p w14:paraId="19C30CD3">
      <w:pPr>
        <w:ind w:firstLine="482"/>
        <w:outlineLvl w:val="4"/>
        <w:rPr>
          <w:b/>
          <w:bCs/>
        </w:rPr>
      </w:pPr>
      <w:r>
        <w:rPr>
          <w:rFonts w:hint="eastAsia"/>
          <w:b/>
          <w:bCs/>
        </w:rPr>
        <w:t>5、生产过程中的风险防范措施</w:t>
      </w:r>
    </w:p>
    <w:p w14:paraId="4C6B9844">
      <w:pPr>
        <w:ind w:firstLine="480"/>
      </w:pPr>
      <w:r>
        <w:rPr>
          <w:rFonts w:hint="eastAsia"/>
        </w:rPr>
        <w:t>①项目施工阶段的风险防范措施</w:t>
      </w:r>
    </w:p>
    <w:p w14:paraId="56BD4670">
      <w:pPr>
        <w:ind w:firstLine="480"/>
      </w:pPr>
      <w:r>
        <w:rPr>
          <w:rFonts w:hint="eastAsia"/>
        </w:rPr>
        <w:t>1）在施工过程中，加强监理，确保涂层施工质量；</w:t>
      </w:r>
    </w:p>
    <w:p w14:paraId="36441972">
      <w:pPr>
        <w:ind w:firstLine="480"/>
      </w:pPr>
      <w:r>
        <w:rPr>
          <w:rFonts w:hint="eastAsia"/>
        </w:rPr>
        <w:t>2）建立施工质量保证体系，提高施工检验人员的水平，加强检验手段；</w:t>
      </w:r>
    </w:p>
    <w:p w14:paraId="6D90ED53">
      <w:pPr>
        <w:ind w:firstLine="480"/>
      </w:pPr>
      <w:r>
        <w:rPr>
          <w:rFonts w:hint="eastAsia"/>
        </w:rPr>
        <w:t>3）制定严格的规章制度，发现缺陷及时正确修补并做好记录；</w:t>
      </w:r>
    </w:p>
    <w:p w14:paraId="6BED6ADB">
      <w:pPr>
        <w:ind w:firstLine="480"/>
      </w:pPr>
      <w:r>
        <w:rPr>
          <w:rFonts w:hint="eastAsia"/>
        </w:rPr>
        <w:t>4）进行水压试验，排除更多的存在于焊缝和母材的缺陷，从而增加管道的安全性；</w:t>
      </w:r>
    </w:p>
    <w:p w14:paraId="0E294E5F">
      <w:pPr>
        <w:ind w:firstLine="480"/>
      </w:pPr>
      <w:r>
        <w:rPr>
          <w:rFonts w:hint="eastAsia"/>
        </w:rPr>
        <w:t>5）选择有丰富经验的单位进行施工，并有优秀的第三方对其施工质量进行强有力的监督，减少施工误操作。</w:t>
      </w:r>
    </w:p>
    <w:p w14:paraId="61B03AE5">
      <w:pPr>
        <w:ind w:firstLine="480"/>
      </w:pPr>
      <w:r>
        <w:rPr>
          <w:rFonts w:hint="eastAsia"/>
        </w:rPr>
        <w:t>②项目生产阶段的风险防范措施</w:t>
      </w:r>
    </w:p>
    <w:p w14:paraId="40D05FB9">
      <w:pPr>
        <w:ind w:firstLine="480"/>
      </w:pPr>
      <w:r>
        <w:rPr>
          <w:rFonts w:hint="eastAsia"/>
        </w:rPr>
        <w:t>1）根据设计、安评报告、环评报告等内容，对项目重要岗位人员进行安全、环保及危险物质常识性教育培训，重点岗位悬挂危险物质危险特性及应急处理措施标识等；安全环保部门制定危险物质生产、处置等管理手册，强化岗位、主要负责人、安环人员相关知识学习；加强有毒有害报警系统设备检维修，及时更换老化、落后的报警设备，定期测试报警设备信息传输效果；重点岗位或工作场所保证通风，加强个体防护用品的佩戴，现场应注意设备的维护和气密性。</w:t>
      </w:r>
    </w:p>
    <w:p w14:paraId="14F511B4">
      <w:pPr>
        <w:ind w:firstLine="480"/>
      </w:pPr>
      <w:r>
        <w:rPr>
          <w:rFonts w:hint="eastAsia"/>
        </w:rPr>
        <w:t>2）严禁吸烟和使用明火，防止火源进入，预防火灾事故的发生。在装置生产区设置消防灭火设施，合理配置灭火器材；同时应在事故现场营救是配置防毒面具，保证安全。</w:t>
      </w:r>
    </w:p>
    <w:p w14:paraId="18B4E389">
      <w:pPr>
        <w:ind w:firstLine="480"/>
      </w:pPr>
      <w:r>
        <w:rPr>
          <w:rFonts w:hint="eastAsia"/>
        </w:rPr>
        <w:t>3）对产生高温的设备、管道热源均采用保温隔热，在一些温度较高的岗位设置机械通风。</w:t>
      </w:r>
    </w:p>
    <w:p w14:paraId="6E89BAA2">
      <w:pPr>
        <w:ind w:firstLine="480"/>
      </w:pPr>
      <w:r>
        <w:rPr>
          <w:rFonts w:hint="eastAsia"/>
        </w:rPr>
        <w:t>4）严格执行安全操作规程，及时排除泄露和设备隐患，检修部门定期对容器等设备进行检修和检测，保证设备完好。</w:t>
      </w:r>
    </w:p>
    <w:p w14:paraId="34C9DE13">
      <w:pPr>
        <w:ind w:firstLine="482"/>
        <w:outlineLvl w:val="4"/>
        <w:rPr>
          <w:b/>
          <w:bCs/>
        </w:rPr>
      </w:pPr>
      <w:r>
        <w:rPr>
          <w:rFonts w:hint="eastAsia"/>
          <w:b/>
          <w:bCs/>
        </w:rPr>
        <w:t>6、运输过程中的风险防范措施</w:t>
      </w:r>
    </w:p>
    <w:p w14:paraId="3F59573E">
      <w:pPr>
        <w:ind w:firstLine="480"/>
      </w:pPr>
      <w:r>
        <w:rPr>
          <w:rFonts w:hint="eastAsia"/>
        </w:rPr>
        <w:t>①危险品运输车辆配备必要的事故急救设备和器材，如手提式灭火器、防毒面具、急救箱等。</w:t>
      </w:r>
    </w:p>
    <w:p w14:paraId="6174C548">
      <w:pPr>
        <w:ind w:firstLine="480"/>
      </w:pPr>
      <w:r>
        <w:rPr>
          <w:rFonts w:hint="eastAsia"/>
        </w:rPr>
        <w:t>②加强对车辆的管理，加强车检工作，保证上路车辆车况良好；依据国务院发布的《化学危险物品安全管理条例》有关要求，运输危险品须持有关部门颁发的三张证书，即运输许可证、驾驶员执照及保安员证书。所有从事化学危险品运输的车辆，必须在车前醒目位置悬挂黄底黑字“危险品”字样三角旗；严格禁止车辆超载。</w:t>
      </w:r>
    </w:p>
    <w:p w14:paraId="57C13A3D">
      <w:pPr>
        <w:ind w:firstLine="480"/>
      </w:pPr>
      <w:r>
        <w:rPr>
          <w:rFonts w:hint="eastAsia"/>
        </w:rPr>
        <w:t>③具有危险品运输资质的企业必须严格按照危险品运输的相关规定，如必须配备固定装运危险品的车辆和驾驶员，运输危险品车辆的驾驶员一定要经过专业的培训，运输危险品的车辆必须在运输道路上保持安全车速，严禁外来明火，同时还必须有随车人员负责押运，随车人员必须经过专业的培训。</w:t>
      </w:r>
    </w:p>
    <w:p w14:paraId="2AE42342">
      <w:pPr>
        <w:ind w:firstLine="480"/>
      </w:pPr>
      <w:r>
        <w:rPr>
          <w:rFonts w:hint="eastAsia"/>
        </w:rPr>
        <w:t>④危险品运输途中，道路管理部门应予以严密控制，以便发生情况能及时采取措施。</w:t>
      </w:r>
    </w:p>
    <w:p w14:paraId="28025568">
      <w:pPr>
        <w:ind w:firstLine="480"/>
        <w:rPr>
          <w:highlight w:val="yellow"/>
        </w:rPr>
      </w:pPr>
      <w:r>
        <w:rPr>
          <w:rFonts w:hint="eastAsia"/>
        </w:rPr>
        <w:t>⑤一旦发生危险品泄漏事故，由当事人或目击者通过应急电话，立即通知应急指挥部，由其依据应急预案联络当地环保部门、公安部门、消防部门及其他应急事故处理能力的当地部门，及时采取应急行动，确保在最短的时间将事故控制，以减少对环境的危害。</w:t>
      </w:r>
    </w:p>
    <w:p w14:paraId="6D685EC5">
      <w:pPr>
        <w:ind w:firstLine="482"/>
        <w:outlineLvl w:val="4"/>
        <w:rPr>
          <w:b/>
          <w:bCs/>
        </w:rPr>
      </w:pPr>
      <w:r>
        <w:rPr>
          <w:rFonts w:hint="eastAsia"/>
          <w:b/>
          <w:bCs/>
        </w:rPr>
        <w:t>7、废气治理装置风险防范措施</w:t>
      </w:r>
    </w:p>
    <w:p w14:paraId="35679B2C">
      <w:pPr>
        <w:pStyle w:val="2"/>
        <w:spacing w:after="0"/>
        <w:ind w:firstLine="480"/>
      </w:pPr>
      <w:r>
        <w:rPr>
          <w:rFonts w:hint="eastAsia"/>
        </w:rPr>
        <w:t>项目新增有机废气治理措施采用深冷+喷淋+水喷淋+除雾器+活性炭吸附装置。若由于操作不当、废气治理设施运行不稳定，造成废气高浓度的排放，进而影响项目周边大气环境。具体风险防范措施如下。</w:t>
      </w:r>
    </w:p>
    <w:p w14:paraId="62B8B1E9">
      <w:pPr>
        <w:pStyle w:val="2"/>
        <w:spacing w:after="0"/>
        <w:ind w:firstLine="480"/>
      </w:pPr>
      <w:r>
        <w:rPr>
          <w:rFonts w:hint="eastAsia"/>
        </w:rPr>
        <w:t>①增设必要的仪器设备，车间废气进入废气治理设施前先进行降温处理。</w:t>
      </w:r>
    </w:p>
    <w:p w14:paraId="628E2A0F">
      <w:pPr>
        <w:pStyle w:val="2"/>
        <w:spacing w:after="0"/>
        <w:ind w:firstLine="480"/>
      </w:pPr>
      <w:r>
        <w:rPr>
          <w:rFonts w:hint="eastAsia"/>
        </w:rPr>
        <w:t>②优化收集系统。对吸风罩、风机选用进行规范设计，同时废气收集管线需统筹规划，形成支管→主管→处理装置→总排口的收集处理系统，确保废气收集效果。</w:t>
      </w:r>
    </w:p>
    <w:p w14:paraId="35BA6CC9">
      <w:pPr>
        <w:pStyle w:val="2"/>
        <w:spacing w:after="0"/>
        <w:ind w:firstLine="480"/>
        <w:rPr>
          <w:highlight w:val="yellow"/>
        </w:rPr>
      </w:pPr>
      <w:r>
        <w:rPr>
          <w:rFonts w:hint="eastAsia"/>
        </w:rPr>
        <w:t>③安装在线监控系统，设置电控系统操作间。有机废气治理设施须安排专人进行维护与管理。管理人员一旦发现有机废气治理设施运行不稳定，应及时发出预警并采取必要的措施，避免高浓度废气超标排放的发生；同时根据当地环保部门要求对系统尾气安装VOCs浓度在线监控系统，为企业管理提供必要的数据支撑。</w:t>
      </w:r>
    </w:p>
    <w:p w14:paraId="1A2D4772">
      <w:pPr>
        <w:ind w:firstLine="482"/>
        <w:outlineLvl w:val="4"/>
        <w:rPr>
          <w:b/>
          <w:bCs/>
        </w:rPr>
      </w:pPr>
      <w:r>
        <w:rPr>
          <w:rFonts w:hint="eastAsia"/>
          <w:b/>
          <w:bCs/>
        </w:rPr>
        <w:t>8、事故状态下应急建议</w:t>
      </w:r>
    </w:p>
    <w:p w14:paraId="582C1B05">
      <w:pPr>
        <w:pStyle w:val="2"/>
        <w:spacing w:after="0"/>
        <w:ind w:firstLine="480"/>
        <w:rPr>
          <w:highlight w:val="yellow"/>
        </w:rPr>
      </w:pPr>
      <w:r>
        <w:rPr>
          <w:rFonts w:hint="eastAsia"/>
        </w:rPr>
        <w:t>评价提出一旦发生事故应及时启动应急预案，对泄漏物进行收集，对泄漏物质采取有针对性的应急处置措施，工程需配备相关应急处置物资。此外，事故发生时并及时通知厂址周边新乡市太行水泥粉磨有限公司、新乡市天凤水泥有限公司、卫辉市天意水泥有限公司、卫辉市金光商砼有限公司、卫辉市康迪粉业有限公司。</w:t>
      </w:r>
    </w:p>
    <w:p w14:paraId="65764E84">
      <w:pPr>
        <w:ind w:firstLine="482"/>
        <w:outlineLvl w:val="4"/>
        <w:rPr>
          <w:b/>
          <w:bCs/>
        </w:rPr>
      </w:pPr>
      <w:r>
        <w:rPr>
          <w:rFonts w:hint="eastAsia"/>
          <w:b/>
          <w:bCs/>
        </w:rPr>
        <w:t>9、事故废水环境风险防范措施</w:t>
      </w:r>
    </w:p>
    <w:p w14:paraId="3C025515">
      <w:pPr>
        <w:pStyle w:val="2"/>
        <w:spacing w:after="0"/>
        <w:ind w:firstLine="480"/>
      </w:pPr>
      <w:r>
        <w:rPr>
          <w:rFonts w:hint="eastAsia"/>
        </w:rPr>
        <w:t>项目涉及危险化学品，应引起高度重视。项目事故状态下的废水主要是因为泄漏或者火灾产生的消防废水和冲洗废水。在发生包装桶泄漏事故时，首先泄漏单元设置有托盘，对泄漏物质进行拦截并收集。收集完毕后，需要进行冲洗的事故废水通过专门管道收集入厂内事故废水收集池，再分批次送厂内污水处理处理达标后通过市政管网排入园区污水处理厂。厂内应做到“雨污分流”，建设专门的雨水管网和雨水总排口切换阀，收集初期雨水至事故废水收集池中，分批送污水站处理达标后排入园区污水处理厂。</w:t>
      </w:r>
    </w:p>
    <w:p w14:paraId="06921CCD">
      <w:pPr>
        <w:pStyle w:val="2"/>
        <w:spacing w:after="0"/>
        <w:ind w:firstLine="480"/>
        <w:rPr>
          <w:highlight w:val="yellow"/>
        </w:rPr>
      </w:pPr>
      <w:r>
        <w:rPr>
          <w:rFonts w:hint="eastAsia"/>
        </w:rPr>
        <w:t>通过以上措施，可确保生产过程中事故废水排放不会对地表水环境产生较大的影响。企业将制定全厂废水监测方案并承担日常监测工作，一旦发现废水异常应及时启动突发环境事件应急预案，并与区域三级防控措施联动，确保事故废水分批次处理至达标方能外排。在此基础上可有效减小对外环境的影响。</w:t>
      </w:r>
    </w:p>
    <w:p w14:paraId="2DF54B8C">
      <w:pPr>
        <w:ind w:firstLine="482"/>
        <w:outlineLvl w:val="4"/>
        <w:rPr>
          <w:b/>
          <w:bCs/>
        </w:rPr>
      </w:pPr>
      <w:r>
        <w:rPr>
          <w:rFonts w:hint="eastAsia"/>
          <w:b/>
          <w:bCs/>
        </w:rPr>
        <w:t>10、事故池及初期雨水收集</w:t>
      </w:r>
    </w:p>
    <w:p w14:paraId="1C87C6BB">
      <w:pPr>
        <w:pStyle w:val="2"/>
        <w:ind w:firstLine="480"/>
        <w:rPr>
          <w:highlight w:val="yellow"/>
        </w:rPr>
      </w:pPr>
      <w:r>
        <w:rPr>
          <w:rFonts w:hint="eastAsia"/>
        </w:rPr>
        <w:t>本次评价根据《事故状态下水体污染的预防与控制技术要求》（QSY1190 - 2019），对本项目建成后全厂的事故储存设施总有效容积进行计算。</w:t>
      </w:r>
    </w:p>
    <w:p w14:paraId="1D3EECB5">
      <w:pPr>
        <w:ind w:firstLine="480"/>
        <w:jc w:val="center"/>
      </w:pPr>
      <w:r>
        <w:t>V</w:t>
      </w:r>
      <w:r>
        <w:rPr>
          <w:vertAlign w:val="subscript"/>
        </w:rPr>
        <w:t>总</w:t>
      </w:r>
      <w:r>
        <w:t>=（V</w:t>
      </w:r>
      <w:r>
        <w:rPr>
          <w:vertAlign w:val="subscript"/>
        </w:rPr>
        <w:t>1</w:t>
      </w:r>
      <w:r>
        <w:t>+V</w:t>
      </w:r>
      <w:r>
        <w:rPr>
          <w:vertAlign w:val="subscript"/>
        </w:rPr>
        <w:t>2</w:t>
      </w:r>
      <w:r>
        <w:t>-V</w:t>
      </w:r>
      <w:r>
        <w:rPr>
          <w:vertAlign w:val="subscript"/>
        </w:rPr>
        <w:t>3</w:t>
      </w:r>
      <w:r>
        <w:t>）</w:t>
      </w:r>
      <w:r>
        <w:rPr>
          <w:vertAlign w:val="subscript"/>
        </w:rPr>
        <w:t>max</w:t>
      </w:r>
      <w:r>
        <w:t>+V</w:t>
      </w:r>
      <w:r>
        <w:rPr>
          <w:vertAlign w:val="subscript"/>
        </w:rPr>
        <w:t>4</w:t>
      </w:r>
      <w:r>
        <w:t>+V</w:t>
      </w:r>
      <w:r>
        <w:rPr>
          <w:vertAlign w:val="subscript"/>
        </w:rPr>
        <w:t>5</w:t>
      </w:r>
    </w:p>
    <w:p w14:paraId="1D3EECB6">
      <w:pPr>
        <w:ind w:firstLine="480"/>
        <w:jc w:val="left"/>
      </w:pPr>
      <w:r>
        <w:t>注：（V</w:t>
      </w:r>
      <w:r>
        <w:rPr>
          <w:vertAlign w:val="subscript"/>
        </w:rPr>
        <w:t>1</w:t>
      </w:r>
      <w:r>
        <w:t>+V</w:t>
      </w:r>
      <w:r>
        <w:rPr>
          <w:vertAlign w:val="subscript"/>
        </w:rPr>
        <w:t>2</w:t>
      </w:r>
      <w:r>
        <w:t>-V</w:t>
      </w:r>
      <w:r>
        <w:rPr>
          <w:vertAlign w:val="subscript"/>
        </w:rPr>
        <w:t>3</w:t>
      </w:r>
      <w:r>
        <w:t>）max是指对收集系统范围内不同罐组或装置分别计算V</w:t>
      </w:r>
      <w:r>
        <w:rPr>
          <w:vertAlign w:val="subscript"/>
        </w:rPr>
        <w:t>1</w:t>
      </w:r>
      <w:r>
        <w:t>+V</w:t>
      </w:r>
      <w:r>
        <w:rPr>
          <w:vertAlign w:val="subscript"/>
        </w:rPr>
        <w:t>2</w:t>
      </w:r>
      <w:r>
        <w:t>-V</w:t>
      </w:r>
      <w:r>
        <w:rPr>
          <w:vertAlign w:val="subscript"/>
        </w:rPr>
        <w:t>3</w:t>
      </w:r>
      <w:r>
        <w:t>，取其中最大值。</w:t>
      </w:r>
    </w:p>
    <w:p w14:paraId="1D3EECB7">
      <w:pPr>
        <w:ind w:firstLine="480"/>
        <w:jc w:val="left"/>
      </w:pPr>
      <w:r>
        <w:t>V</w:t>
      </w:r>
      <w:r>
        <w:rPr>
          <w:vertAlign w:val="subscript"/>
        </w:rPr>
        <w:t>1</w:t>
      </w:r>
      <w:r>
        <w:t>——收集系统范围内发生事故的一个罐组或一套装置的物料量。储存相同物料的罐组按一个最大储罐计，装置物料量按存留最大物料量的一台反应器或中间储罐计；</w:t>
      </w:r>
    </w:p>
    <w:p w14:paraId="1D3EECB8">
      <w:pPr>
        <w:ind w:firstLine="480"/>
        <w:jc w:val="left"/>
      </w:pPr>
      <w:r>
        <w:t>V</w:t>
      </w:r>
      <w:r>
        <w:rPr>
          <w:vertAlign w:val="subscript"/>
        </w:rPr>
        <w:t>2</w:t>
      </w:r>
      <w:r>
        <w:t>——发生事故的储罐或装置的消防水量，m</w:t>
      </w:r>
      <w:r>
        <w:rPr>
          <w:vertAlign w:val="superscript"/>
        </w:rPr>
        <w:t>3</w:t>
      </w:r>
      <w:r>
        <w:t xml:space="preserve">； </w:t>
      </w:r>
    </w:p>
    <w:p w14:paraId="1D3EECB9">
      <w:pPr>
        <w:ind w:firstLine="480"/>
        <w:jc w:val="center"/>
      </w:pPr>
      <w:r>
        <w:t>V</w:t>
      </w:r>
      <w:r>
        <w:rPr>
          <w:vertAlign w:val="subscript"/>
        </w:rPr>
        <w:t>2</w:t>
      </w:r>
      <w:r>
        <w:t>=∑Q</w:t>
      </w:r>
      <w:r>
        <w:rPr>
          <w:vertAlign w:val="subscript"/>
        </w:rPr>
        <w:t>消</w:t>
      </w:r>
      <w:r>
        <w:t>t</w:t>
      </w:r>
      <w:r>
        <w:rPr>
          <w:vertAlign w:val="subscript"/>
        </w:rPr>
        <w:t>消</w:t>
      </w:r>
    </w:p>
    <w:p w14:paraId="1D3EECBA">
      <w:pPr>
        <w:ind w:firstLine="480"/>
        <w:jc w:val="left"/>
      </w:pPr>
      <w:r>
        <w:t>Q</w:t>
      </w:r>
      <w:r>
        <w:rPr>
          <w:vertAlign w:val="subscript"/>
        </w:rPr>
        <w:t>消</w:t>
      </w:r>
      <w:r>
        <w:t>——发生事故的储罐或装置的同时使用的消防设施给水流量，m</w:t>
      </w:r>
      <w:r>
        <w:rPr>
          <w:vertAlign w:val="superscript"/>
        </w:rPr>
        <w:t>3</w:t>
      </w:r>
      <w:r>
        <w:t>/h；</w:t>
      </w:r>
    </w:p>
    <w:p w14:paraId="1D3EECBB">
      <w:pPr>
        <w:ind w:firstLine="480"/>
        <w:jc w:val="left"/>
      </w:pPr>
      <w:r>
        <w:t>t</w:t>
      </w:r>
      <w:r>
        <w:rPr>
          <w:vertAlign w:val="subscript"/>
        </w:rPr>
        <w:t>消</w:t>
      </w:r>
      <w:r>
        <w:t>——消防设施对应的设计消防历时，h；</w:t>
      </w:r>
    </w:p>
    <w:p w14:paraId="1D3EECBC">
      <w:pPr>
        <w:ind w:firstLine="480"/>
        <w:jc w:val="left"/>
      </w:pPr>
      <w:r>
        <w:t>V</w:t>
      </w:r>
      <w:r>
        <w:rPr>
          <w:vertAlign w:val="subscript"/>
        </w:rPr>
        <w:t>3</w:t>
      </w:r>
      <w:r>
        <w:t>——发生事故时可以转输到其他储存或处理设施的物料量，m</w:t>
      </w:r>
      <w:r>
        <w:rPr>
          <w:vertAlign w:val="superscript"/>
        </w:rPr>
        <w:t>3</w:t>
      </w:r>
      <w:r>
        <w:t>；</w:t>
      </w:r>
    </w:p>
    <w:p w14:paraId="1D3EECBD">
      <w:pPr>
        <w:ind w:firstLine="480"/>
        <w:jc w:val="left"/>
      </w:pPr>
      <w:r>
        <w:t>V</w:t>
      </w:r>
      <w:r>
        <w:rPr>
          <w:vertAlign w:val="subscript"/>
        </w:rPr>
        <w:t>4</w:t>
      </w:r>
      <w:r>
        <w:t>——发生事故时仍必须进入该收集系统的生产废水量，m</w:t>
      </w:r>
      <w:r>
        <w:rPr>
          <w:vertAlign w:val="superscript"/>
        </w:rPr>
        <w:t>3</w:t>
      </w:r>
      <w:r>
        <w:t>；</w:t>
      </w:r>
    </w:p>
    <w:p w14:paraId="1D3EECBE">
      <w:pPr>
        <w:ind w:firstLine="480"/>
        <w:jc w:val="left"/>
      </w:pPr>
      <w:r>
        <w:t>V</w:t>
      </w:r>
      <w:r>
        <w:rPr>
          <w:vertAlign w:val="subscript"/>
        </w:rPr>
        <w:t>5</w:t>
      </w:r>
      <w:r>
        <w:t>——发生事故时可能进入该收集系统的降雨量，m</w:t>
      </w:r>
      <w:r>
        <w:rPr>
          <w:vertAlign w:val="superscript"/>
        </w:rPr>
        <w:t>3</w:t>
      </w:r>
      <w:r>
        <w:t>；</w:t>
      </w:r>
    </w:p>
    <w:p w14:paraId="1D3EECBF">
      <w:pPr>
        <w:ind w:firstLine="480"/>
        <w:jc w:val="center"/>
      </w:pPr>
      <w:r>
        <w:t>V</w:t>
      </w:r>
      <w:r>
        <w:rPr>
          <w:vertAlign w:val="subscript"/>
        </w:rPr>
        <w:t>5</w:t>
      </w:r>
      <w:r>
        <w:t>=10qF</w:t>
      </w:r>
    </w:p>
    <w:p w14:paraId="1D3EECC0">
      <w:pPr>
        <w:ind w:firstLine="480"/>
        <w:jc w:val="left"/>
      </w:pPr>
      <w:r>
        <w:t>q——降雨强度，mm；按平均日降雨量；</w:t>
      </w:r>
    </w:p>
    <w:p w14:paraId="1D3EECC1">
      <w:pPr>
        <w:ind w:firstLine="480"/>
        <w:jc w:val="center"/>
      </w:pPr>
      <w:r>
        <w:t>q=qa/n</w:t>
      </w:r>
    </w:p>
    <w:p w14:paraId="1D3EECC2">
      <w:pPr>
        <w:ind w:firstLine="480"/>
        <w:jc w:val="left"/>
      </w:pPr>
      <w:r>
        <w:t>qa——年平均降雨量，mm；</w:t>
      </w:r>
    </w:p>
    <w:p w14:paraId="1D3EECC3">
      <w:pPr>
        <w:ind w:firstLine="480"/>
        <w:jc w:val="left"/>
      </w:pPr>
      <w:r>
        <w:t>n——年平均降雨日数。</w:t>
      </w:r>
    </w:p>
    <w:p w14:paraId="1D3EECC4">
      <w:pPr>
        <w:ind w:firstLine="480"/>
        <w:jc w:val="left"/>
      </w:pPr>
      <w:r>
        <w:t>F——必须进入事故废水收集系统的雨水汇水面积，</w:t>
      </w:r>
      <w:r>
        <w:rPr>
          <w:rFonts w:hint="eastAsia"/>
        </w:rPr>
        <w:t>公顷（</w:t>
      </w:r>
      <w:r>
        <w:t>ha</w:t>
      </w:r>
      <w:r>
        <w:rPr>
          <w:rFonts w:hint="eastAsia"/>
        </w:rPr>
        <w:t>）</w:t>
      </w:r>
      <w:r>
        <w:t>；</w:t>
      </w:r>
    </w:p>
    <w:p w14:paraId="7566474D">
      <w:pPr>
        <w:ind w:firstLine="480"/>
        <w:rPr>
          <w:rFonts w:hint="eastAsia" w:ascii="宋体" w:hAnsi="宋体" w:cs="宋体"/>
          <w:highlight w:val="yellow"/>
        </w:rPr>
      </w:pPr>
      <w:r>
        <w:rPr>
          <w:rFonts w:ascii="Cambria Math" w:hAnsi="Cambria Math" w:cs="Cambria Math"/>
        </w:rPr>
        <w:t>①</w:t>
      </w:r>
      <w:r>
        <w:t>本项目硫酸、D4（八甲基环四硅氧烷）</w:t>
      </w:r>
      <w:r>
        <w:rPr>
          <w:rFonts w:hint="eastAsia" w:ascii="宋体" w:hAnsi="宋体" w:cs="宋体"/>
        </w:rPr>
        <w:t>为桶装，根据环评最不利原则，考虑到单桶</w:t>
      </w:r>
      <w:r>
        <w:t>硫酸、D4（八甲基环四硅氧烷）</w:t>
      </w:r>
      <w:r>
        <w:rPr>
          <w:rFonts w:hint="eastAsia" w:ascii="宋体" w:hAnsi="宋体" w:cs="宋体"/>
        </w:rPr>
        <w:t>全部泄露，则泄露</w:t>
      </w:r>
      <w:r>
        <w:rPr>
          <w:rFonts w:hint="eastAsia"/>
        </w:rPr>
        <w:t>V</w:t>
      </w:r>
      <w:r>
        <w:rPr>
          <w:rFonts w:hint="eastAsia"/>
          <w:vertAlign w:val="subscript"/>
        </w:rPr>
        <w:t>1</w:t>
      </w:r>
      <w:r>
        <w:rPr>
          <w:rFonts w:hint="eastAsia"/>
        </w:rPr>
        <w:t>=0.8m</w:t>
      </w:r>
      <w:r>
        <w:rPr>
          <w:rFonts w:hint="eastAsia"/>
          <w:vertAlign w:val="superscript"/>
        </w:rPr>
        <w:t>3</w:t>
      </w:r>
      <w:r>
        <w:rPr>
          <w:rFonts w:hint="eastAsia"/>
        </w:rPr>
        <w:t>。</w:t>
      </w:r>
    </w:p>
    <w:p w14:paraId="1D3EECC5">
      <w:pPr>
        <w:ind w:firstLine="480"/>
      </w:pPr>
      <w:r>
        <w:rPr>
          <w:rFonts w:hint="eastAsia" w:ascii="宋体" w:hAnsi="宋体" w:cs="宋体"/>
        </w:rPr>
        <w:t>②</w:t>
      </w:r>
      <w:r>
        <w:t>消防废水量计算（V</w:t>
      </w:r>
      <w:r>
        <w:rPr>
          <w:vertAlign w:val="subscript"/>
        </w:rPr>
        <w:t>2</w:t>
      </w:r>
      <w:r>
        <w:t>）</w:t>
      </w:r>
    </w:p>
    <w:p w14:paraId="1D3EECC6">
      <w:pPr>
        <w:ind w:firstLine="480"/>
        <w:rPr>
          <w:u w:val="single"/>
        </w:rPr>
      </w:pPr>
      <w:r>
        <w:rPr>
          <w:rFonts w:hint="eastAsia"/>
          <w:u w:val="single"/>
        </w:rPr>
        <w:t>本项目租赁厂房为二级丙类厂房，建筑体积为20000m</w:t>
      </w:r>
      <w:r>
        <w:rPr>
          <w:rFonts w:hint="eastAsia"/>
          <w:u w:val="single"/>
          <w:vertAlign w:val="superscript"/>
        </w:rPr>
        <w:t>3</w:t>
      </w:r>
      <w:r>
        <w:rPr>
          <w:rFonts w:hint="eastAsia"/>
          <w:u w:val="single"/>
        </w:rPr>
        <w:t>＜28320m</w:t>
      </w:r>
      <w:r>
        <w:rPr>
          <w:rFonts w:hint="eastAsia"/>
          <w:u w:val="single"/>
          <w:vertAlign w:val="superscript"/>
        </w:rPr>
        <w:t>3</w:t>
      </w:r>
      <w:r>
        <w:rPr>
          <w:rFonts w:hint="eastAsia"/>
          <w:u w:val="single"/>
        </w:rPr>
        <w:t>＜50000m³，根据</w:t>
      </w:r>
      <w:r>
        <w:rPr>
          <w:u w:val="single"/>
        </w:rPr>
        <w:t>《消防给水及消火栓系统技术规范》（GB50974-2014）对消防水量的要求</w:t>
      </w:r>
      <w:r>
        <w:rPr>
          <w:rFonts w:hint="eastAsia"/>
          <w:u w:val="single"/>
        </w:rPr>
        <w:t>及不同厂房类型火灾延续时间</w:t>
      </w:r>
      <w:r>
        <w:rPr>
          <w:u w:val="single"/>
        </w:rPr>
        <w:t>，</w:t>
      </w:r>
      <w:r>
        <w:rPr>
          <w:rFonts w:hint="eastAsia"/>
          <w:u w:val="single"/>
        </w:rPr>
        <w:t>建筑物室内</w:t>
      </w:r>
      <w:r>
        <w:rPr>
          <w:u w:val="single"/>
        </w:rPr>
        <w:t>消防用水量为</w:t>
      </w:r>
      <w:r>
        <w:rPr>
          <w:rFonts w:hint="eastAsia"/>
          <w:u w:val="single"/>
        </w:rPr>
        <w:t>3</w:t>
      </w:r>
      <w:r>
        <w:rPr>
          <w:u w:val="single"/>
        </w:rPr>
        <w:t>0L/s，火灾延续时间为</w:t>
      </w:r>
      <w:r>
        <w:rPr>
          <w:rFonts w:hint="eastAsia"/>
          <w:u w:val="single"/>
        </w:rPr>
        <w:t>3</w:t>
      </w:r>
      <w:r>
        <w:rPr>
          <w:u w:val="single"/>
        </w:rPr>
        <w:t>h，</w:t>
      </w:r>
      <w:r>
        <w:rPr>
          <w:rFonts w:hint="eastAsia"/>
          <w:u w:val="single"/>
        </w:rPr>
        <w:t>则</w:t>
      </w:r>
      <w:r>
        <w:rPr>
          <w:u w:val="single"/>
        </w:rPr>
        <w:t>本项目发生火灾时消防水产生量为</w:t>
      </w:r>
      <w:r>
        <w:rPr>
          <w:rFonts w:hint="eastAsia"/>
          <w:u w:val="single"/>
        </w:rPr>
        <w:t>324</w:t>
      </w:r>
      <w:r>
        <w:rPr>
          <w:u w:val="single"/>
        </w:rPr>
        <w:t>m</w:t>
      </w:r>
      <w:r>
        <w:rPr>
          <w:u w:val="single"/>
          <w:vertAlign w:val="superscript"/>
        </w:rPr>
        <w:t>3</w:t>
      </w:r>
      <w:r>
        <w:rPr>
          <w:u w:val="single"/>
        </w:rPr>
        <w:t>/次。</w:t>
      </w:r>
    </w:p>
    <w:p w14:paraId="72B895B7">
      <w:pPr>
        <w:ind w:firstLine="480"/>
      </w:pPr>
      <w:r>
        <w:rPr>
          <w:rFonts w:hint="eastAsia"/>
        </w:rPr>
        <w:t>③</w:t>
      </w:r>
      <w:r>
        <w:t>可转到其他设施水量（V</w:t>
      </w:r>
      <w:r>
        <w:rPr>
          <w:vertAlign w:val="subscript"/>
        </w:rPr>
        <w:t>3</w:t>
      </w:r>
      <w:r>
        <w:t>）</w:t>
      </w:r>
    </w:p>
    <w:p w14:paraId="2E547389">
      <w:pPr>
        <w:ind w:firstLine="480"/>
      </w:pPr>
      <w:r>
        <w:t>在不考虑围堰收集效果的情况下，评价按照V</w:t>
      </w:r>
      <w:r>
        <w:rPr>
          <w:vertAlign w:val="subscript"/>
        </w:rPr>
        <w:t>3</w:t>
      </w:r>
      <w:r>
        <w:t>为0m³进行考虑。</w:t>
      </w:r>
    </w:p>
    <w:p w14:paraId="78E11187">
      <w:pPr>
        <w:ind w:firstLine="480"/>
      </w:pPr>
      <w:r>
        <w:rPr>
          <w:rFonts w:hint="eastAsia" w:ascii="宋体" w:hAnsi="宋体" w:cs="宋体"/>
        </w:rPr>
        <w:t>④</w:t>
      </w:r>
      <w:r>
        <w:t>事故时仍必须进入收集系统水量（V</w:t>
      </w:r>
      <w:r>
        <w:rPr>
          <w:vertAlign w:val="subscript"/>
        </w:rPr>
        <w:t>4</w:t>
      </w:r>
      <w:r>
        <w:t>）</w:t>
      </w:r>
    </w:p>
    <w:p w14:paraId="6533DC67">
      <w:pPr>
        <w:ind w:firstLine="480"/>
      </w:pPr>
      <w:r>
        <w:t>发生事故时仍必须进入该收集系统的生产废水量。装置发生事故时将停止排放生产废水量，V</w:t>
      </w:r>
      <w:r>
        <w:rPr>
          <w:vertAlign w:val="subscript"/>
        </w:rPr>
        <w:t>4</w:t>
      </w:r>
      <w:r>
        <w:t>=0。</w:t>
      </w:r>
    </w:p>
    <w:p w14:paraId="0ADB30B4">
      <w:pPr>
        <w:ind w:firstLine="480"/>
        <w:rPr>
          <w:rFonts w:hint="eastAsia" w:ascii="宋体" w:hAnsi="宋体" w:cs="宋体"/>
        </w:rPr>
      </w:pPr>
      <w:r>
        <w:rPr>
          <w:rFonts w:hint="eastAsia" w:ascii="宋体" w:hAnsi="宋体" w:cs="宋体"/>
        </w:rPr>
        <w:t>⑤</w:t>
      </w:r>
      <w:r>
        <w:rPr>
          <w:rFonts w:ascii="宋体" w:hAnsi="宋体" w:cs="宋体"/>
        </w:rPr>
        <w:t>发生事故时可能进入该收集系统的降雨量</w:t>
      </w:r>
      <w:r>
        <w:rPr>
          <w:rFonts w:hint="eastAsia" w:ascii="宋体" w:hAnsi="宋体" w:cs="宋体"/>
        </w:rPr>
        <w:t>（</w:t>
      </w:r>
      <w:r>
        <w:t>V</w:t>
      </w:r>
      <w:r>
        <w:rPr>
          <w:vertAlign w:val="subscript"/>
        </w:rPr>
        <w:t>5</w:t>
      </w:r>
      <w:r>
        <w:rPr>
          <w:rFonts w:hint="eastAsia" w:ascii="宋体" w:hAnsi="宋体" w:cs="宋体"/>
        </w:rPr>
        <w:t>）</w:t>
      </w:r>
    </w:p>
    <w:p w14:paraId="089B4BC0">
      <w:pPr>
        <w:ind w:firstLine="480"/>
      </w:pPr>
      <w:r>
        <w:t>在雨季，散落在厂址内的物料将随雨水流入外环境对区域水环境造成较大影响，因此评价建议对前期雨水进行收集处理。</w:t>
      </w:r>
    </w:p>
    <w:p w14:paraId="3D7AAD77">
      <w:pPr>
        <w:ind w:firstLine="480"/>
        <w:rPr>
          <w:highlight w:val="yellow"/>
        </w:rPr>
      </w:pPr>
      <w:r>
        <w:rPr>
          <w:rFonts w:hint="eastAsia"/>
        </w:rPr>
        <w:t>发生事故时降雨量V</w:t>
      </w:r>
      <w:r>
        <w:rPr>
          <w:rFonts w:hint="eastAsia"/>
          <w:vertAlign w:val="subscript"/>
        </w:rPr>
        <w:t>5</w:t>
      </w:r>
      <w:r>
        <w:rPr>
          <w:rFonts w:hint="eastAsia"/>
        </w:rPr>
        <w:t>=20m</w:t>
      </w:r>
      <w:r>
        <w:rPr>
          <w:rFonts w:hint="eastAsia"/>
          <w:vertAlign w:val="superscript"/>
        </w:rPr>
        <w:t>3</w:t>
      </w:r>
      <w:r>
        <w:rPr>
          <w:rFonts w:hint="eastAsia"/>
        </w:rPr>
        <w:t>，按照项目所在地区的平均日降雨量进行考虑；本地区年平均降雨量为576.5mm；n-年平均降雨日数，本地区为87天；F-必须进入事故废水收集系统的雨水汇水面积，厂房占地约0.3ha。</w:t>
      </w:r>
    </w:p>
    <w:p w14:paraId="6BC71CE4">
      <w:pPr>
        <w:ind w:firstLine="480"/>
      </w:pPr>
      <w:r>
        <w:rPr>
          <w:rFonts w:hint="eastAsia"/>
        </w:rPr>
        <w:t>⑥事故</w:t>
      </w:r>
      <w:r>
        <w:t>储池池容</w:t>
      </w:r>
    </w:p>
    <w:p w14:paraId="72E84001">
      <w:pPr>
        <w:ind w:firstLine="480"/>
        <w:rPr>
          <w:szCs w:val="24"/>
        </w:rPr>
      </w:pPr>
      <w:r>
        <w:rPr>
          <w:szCs w:val="24"/>
        </w:rPr>
        <w:t>本项目完成后事故储池所需有效容积至少为：</w:t>
      </w:r>
    </w:p>
    <w:p w14:paraId="52EC4958">
      <w:pPr>
        <w:ind w:firstLine="480"/>
        <w:rPr>
          <w:szCs w:val="24"/>
          <w:u w:val="single"/>
        </w:rPr>
      </w:pPr>
      <w:r>
        <w:rPr>
          <w:szCs w:val="24"/>
          <w:u w:val="single"/>
        </w:rPr>
        <w:t>V=（V</w:t>
      </w:r>
      <w:r>
        <w:rPr>
          <w:szCs w:val="24"/>
          <w:u w:val="single"/>
          <w:vertAlign w:val="subscript"/>
        </w:rPr>
        <w:t>1</w:t>
      </w:r>
      <w:r>
        <w:rPr>
          <w:szCs w:val="24"/>
          <w:u w:val="single"/>
        </w:rPr>
        <w:t>+V</w:t>
      </w:r>
      <w:r>
        <w:rPr>
          <w:szCs w:val="24"/>
          <w:u w:val="single"/>
          <w:vertAlign w:val="subscript"/>
        </w:rPr>
        <w:t>2</w:t>
      </w:r>
      <w:r>
        <w:rPr>
          <w:szCs w:val="24"/>
          <w:u w:val="single"/>
        </w:rPr>
        <w:t>-V</w:t>
      </w:r>
      <w:r>
        <w:rPr>
          <w:szCs w:val="24"/>
          <w:u w:val="single"/>
          <w:vertAlign w:val="subscript"/>
        </w:rPr>
        <w:t>3</w:t>
      </w:r>
      <w:r>
        <w:rPr>
          <w:szCs w:val="24"/>
          <w:u w:val="single"/>
        </w:rPr>
        <w:t>）+V</w:t>
      </w:r>
      <w:r>
        <w:rPr>
          <w:szCs w:val="24"/>
          <w:u w:val="single"/>
          <w:vertAlign w:val="subscript"/>
        </w:rPr>
        <w:t>4</w:t>
      </w:r>
      <w:r>
        <w:rPr>
          <w:szCs w:val="24"/>
          <w:u w:val="single"/>
        </w:rPr>
        <w:t>+V</w:t>
      </w:r>
      <w:r>
        <w:rPr>
          <w:szCs w:val="24"/>
          <w:u w:val="single"/>
          <w:vertAlign w:val="subscript"/>
        </w:rPr>
        <w:t>5</w:t>
      </w:r>
      <w:r>
        <w:rPr>
          <w:szCs w:val="24"/>
          <w:u w:val="single"/>
        </w:rPr>
        <w:t>=（</w:t>
      </w:r>
      <w:r>
        <w:rPr>
          <w:rFonts w:hint="eastAsia"/>
          <w:szCs w:val="24"/>
          <w:u w:val="single"/>
        </w:rPr>
        <w:t>0.8</w:t>
      </w:r>
      <w:r>
        <w:rPr>
          <w:szCs w:val="24"/>
          <w:u w:val="single"/>
        </w:rPr>
        <w:t>+</w:t>
      </w:r>
      <w:r>
        <w:rPr>
          <w:rFonts w:hint="eastAsia"/>
          <w:szCs w:val="24"/>
          <w:u w:val="single"/>
        </w:rPr>
        <w:t>324</w:t>
      </w:r>
      <w:r>
        <w:rPr>
          <w:szCs w:val="24"/>
          <w:u w:val="single"/>
        </w:rPr>
        <w:t>-0）+0+</w:t>
      </w:r>
      <w:r>
        <w:rPr>
          <w:rFonts w:hint="eastAsia"/>
          <w:szCs w:val="24"/>
          <w:u w:val="single"/>
        </w:rPr>
        <w:t>20</w:t>
      </w:r>
      <w:r>
        <w:rPr>
          <w:szCs w:val="24"/>
          <w:u w:val="single"/>
        </w:rPr>
        <w:t>=</w:t>
      </w:r>
      <w:r>
        <w:rPr>
          <w:rFonts w:hint="eastAsia"/>
          <w:szCs w:val="24"/>
          <w:u w:val="single"/>
        </w:rPr>
        <w:t>344.8</w:t>
      </w:r>
      <w:r>
        <w:rPr>
          <w:szCs w:val="24"/>
          <w:u w:val="single"/>
        </w:rPr>
        <w:t>m</w:t>
      </w:r>
      <w:r>
        <w:rPr>
          <w:szCs w:val="24"/>
          <w:u w:val="single"/>
          <w:vertAlign w:val="superscript"/>
        </w:rPr>
        <w:t>3</w:t>
      </w:r>
    </w:p>
    <w:p w14:paraId="1D3EECCB">
      <w:pPr>
        <w:ind w:firstLine="480"/>
        <w:rPr>
          <w:highlight w:val="yellow"/>
        </w:rPr>
      </w:pPr>
      <w:r>
        <w:rPr>
          <w:u w:val="single"/>
        </w:rPr>
        <w:t>本工程事故池池容需求为</w:t>
      </w:r>
      <w:r>
        <w:rPr>
          <w:rFonts w:hint="eastAsia"/>
          <w:u w:val="single"/>
        </w:rPr>
        <w:t>344.8</w:t>
      </w:r>
      <w:r>
        <w:rPr>
          <w:u w:val="single"/>
        </w:rPr>
        <w:t>m</w:t>
      </w:r>
      <w:r>
        <w:rPr>
          <w:u w:val="single"/>
          <w:vertAlign w:val="superscript"/>
        </w:rPr>
        <w:t>3</w:t>
      </w:r>
      <w:r>
        <w:rPr>
          <w:u w:val="single"/>
        </w:rPr>
        <w:t>，企业拟建一座事故池</w:t>
      </w:r>
      <w:r>
        <w:rPr>
          <w:rFonts w:hint="eastAsia"/>
          <w:u w:val="single"/>
        </w:rPr>
        <w:t>，总容积350</w:t>
      </w:r>
      <w:r>
        <w:rPr>
          <w:u w:val="single"/>
        </w:rPr>
        <w:t>m</w:t>
      </w:r>
      <w:r>
        <w:rPr>
          <w:u w:val="single"/>
          <w:vertAlign w:val="superscript"/>
        </w:rPr>
        <w:t>3</w:t>
      </w:r>
      <w:r>
        <w:rPr>
          <w:u w:val="single"/>
        </w:rPr>
        <w:t>，</w:t>
      </w:r>
      <w:r>
        <w:t>能够满足项目需要。事故废水与事故池之间修建管线，事故废水可自流入事故水池。</w:t>
      </w:r>
      <w:r>
        <w:rPr>
          <w:rFonts w:hint="eastAsia"/>
        </w:rPr>
        <w:t>事故水池收集的废水应逐步进入厂区污水处理站，防止冲击污水处理系统，确保达标排放。</w:t>
      </w:r>
    </w:p>
    <w:p w14:paraId="1D3EECCC">
      <w:pPr>
        <w:ind w:firstLine="482"/>
        <w:outlineLvl w:val="4"/>
        <w:rPr>
          <w:b/>
          <w:bCs/>
          <w:szCs w:val="24"/>
        </w:rPr>
      </w:pPr>
      <w:r>
        <w:rPr>
          <w:rFonts w:hint="eastAsia"/>
          <w:b/>
          <w:bCs/>
          <w:szCs w:val="24"/>
        </w:rPr>
        <w:t>11</w:t>
      </w:r>
      <w:r>
        <w:rPr>
          <w:b/>
          <w:bCs/>
          <w:szCs w:val="24"/>
        </w:rPr>
        <w:t>、</w:t>
      </w:r>
      <w:r>
        <w:rPr>
          <w:rFonts w:hint="eastAsia"/>
          <w:b/>
          <w:bCs/>
          <w:szCs w:val="24"/>
        </w:rPr>
        <w:t>事故废水污染“三级防控系统”</w:t>
      </w:r>
    </w:p>
    <w:p w14:paraId="1D3EECCD">
      <w:pPr>
        <w:ind w:firstLine="480"/>
      </w:pPr>
      <w:r>
        <w:rPr>
          <w:u w:val="single"/>
        </w:rPr>
        <w:t>本项目水环境风险主要是泄漏事故</w:t>
      </w:r>
      <w:r>
        <w:rPr>
          <w:rFonts w:hint="eastAsia"/>
          <w:u w:val="single"/>
        </w:rPr>
        <w:t>，</w:t>
      </w:r>
      <w:r>
        <w:rPr>
          <w:u w:val="single"/>
        </w:rPr>
        <w:t>火灾、爆炸消防期间形成的废水，根据计算本项目</w:t>
      </w:r>
      <w:r>
        <w:rPr>
          <w:rFonts w:hint="eastAsia"/>
          <w:u w:val="single"/>
        </w:rPr>
        <w:t>事故</w:t>
      </w:r>
      <w:r>
        <w:rPr>
          <w:u w:val="single"/>
        </w:rPr>
        <w:t>废水最大产生量为</w:t>
      </w:r>
      <w:r>
        <w:rPr>
          <w:rFonts w:hint="eastAsia"/>
          <w:u w:val="single"/>
        </w:rPr>
        <w:t>344.8</w:t>
      </w:r>
      <w:r>
        <w:rPr>
          <w:u w:val="single"/>
        </w:rPr>
        <w:t>m</w:t>
      </w:r>
      <w:r>
        <w:rPr>
          <w:u w:val="single"/>
          <w:vertAlign w:val="superscript"/>
        </w:rPr>
        <w:t>3</w:t>
      </w:r>
      <w:r>
        <w:rPr>
          <w:u w:val="single"/>
        </w:rPr>
        <w:t>，本项目</w:t>
      </w:r>
      <w:r>
        <w:rPr>
          <w:rFonts w:hint="eastAsia"/>
          <w:u w:val="single"/>
        </w:rPr>
        <w:t>拟建</w:t>
      </w:r>
      <w:r>
        <w:rPr>
          <w:u w:val="single"/>
        </w:rPr>
        <w:t>一座事故水池</w:t>
      </w:r>
      <w:r>
        <w:rPr>
          <w:rFonts w:hint="eastAsia"/>
          <w:u w:val="single"/>
        </w:rPr>
        <w:t>350</w:t>
      </w:r>
      <w:r>
        <w:rPr>
          <w:u w:val="single"/>
        </w:rPr>
        <w:t>m</w:t>
      </w:r>
      <w:r>
        <w:rPr>
          <w:u w:val="single"/>
          <w:vertAlign w:val="superscript"/>
        </w:rPr>
        <w:t>3</w:t>
      </w:r>
      <w:r>
        <w:rPr>
          <w:u w:val="single"/>
        </w:rPr>
        <w:t>储存，可以满足本项目需求。</w:t>
      </w:r>
      <w:r>
        <w:rPr>
          <w:rFonts w:hint="eastAsia"/>
        </w:rPr>
        <w:t>要求</w:t>
      </w:r>
      <w:r>
        <w:t>在事故水池前设置阀门，发生火灾事故后，可及时关闭闸板，防止污水沿雨水系统外流，保证事故后能及时将废水导入事故池。收集的污水分批次送</w:t>
      </w:r>
      <w:r>
        <w:rPr>
          <w:rFonts w:hint="eastAsia"/>
        </w:rPr>
        <w:t>至厂区污水处理站处理达标后排入唐庄污水处理厂</w:t>
      </w:r>
      <w:r>
        <w:t>进行处理</w:t>
      </w:r>
      <w:r>
        <w:rPr>
          <w:rFonts w:hint="eastAsia"/>
        </w:rPr>
        <w:t>，</w:t>
      </w:r>
      <w:r>
        <w:t>达标后再外排。针对本项目水环境风险，企业拟采取以下防控措施：</w:t>
      </w:r>
    </w:p>
    <w:p w14:paraId="1D3EECCE">
      <w:pPr>
        <w:ind w:firstLine="480"/>
      </w:pPr>
      <w:r>
        <w:t>（1）本项目生产装置区地面设置消防水、污水、初期雨水收排设施（沟渠、地漏等），连接连接事故池，确保事故期间能自由切换排水途径。</w:t>
      </w:r>
    </w:p>
    <w:p w14:paraId="1D3EECCF">
      <w:pPr>
        <w:ind w:firstLine="480"/>
      </w:pPr>
      <w:r>
        <w:t>（2）根据生态环境部的相关要求以及《水体污染防控紧急措施设计导则》，企业按照要求设置装置、区域、污水处理站三级防控体系，完善预防水污染的能力，在发生重大生产事故时，可将泄漏物质和污染消防水控制在厂区内，防止环境风险事故造成水环境污染。具体三级防控体系示意图详见下图。</w:t>
      </w:r>
    </w:p>
    <w:p w14:paraId="1D3EECD0">
      <w:pPr>
        <w:pStyle w:val="104"/>
        <w:jc w:val="center"/>
        <w:rPr>
          <w:rFonts w:ascii="Times New Roman" w:hAnsi="Times New Roman"/>
        </w:rPr>
      </w:pPr>
      <w:r>
        <w:drawing>
          <wp:inline distT="0" distB="0" distL="0" distR="0">
            <wp:extent cx="5274310" cy="2747010"/>
            <wp:effectExtent l="0" t="0" r="2540" b="15240"/>
            <wp:docPr id="1790017543"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7543" name="图片 1" descr="图示, 示意图&#10;&#10;描述已自动生成"/>
                    <pic:cNvPicPr>
                      <a:picLocks noChangeAspect="1"/>
                    </pic:cNvPicPr>
                  </pic:nvPicPr>
                  <pic:blipFill>
                    <a:blip r:embed="rId157"/>
                    <a:stretch>
                      <a:fillRect/>
                    </a:stretch>
                  </pic:blipFill>
                  <pic:spPr>
                    <a:xfrm>
                      <a:off x="0" y="0"/>
                      <a:ext cx="5274310" cy="2747010"/>
                    </a:xfrm>
                    <a:prstGeom prst="rect">
                      <a:avLst/>
                    </a:prstGeom>
                  </pic:spPr>
                </pic:pic>
              </a:graphicData>
            </a:graphic>
          </wp:inline>
        </w:drawing>
      </w:r>
    </w:p>
    <w:p w14:paraId="1D3EECD1">
      <w:pPr>
        <w:pStyle w:val="99"/>
        <w:numPr>
          <w:ilvl w:val="0"/>
          <w:numId w:val="39"/>
        </w:numPr>
        <w:ind w:left="0" w:firstLine="0" w:firstLineChars="0"/>
        <w:jc w:val="center"/>
        <w:rPr>
          <w:b/>
          <w:kern w:val="2"/>
          <w:szCs w:val="24"/>
        </w:rPr>
      </w:pPr>
      <w:r>
        <w:rPr>
          <w:b/>
          <w:kern w:val="2"/>
          <w:szCs w:val="24"/>
        </w:rPr>
        <w:t xml:space="preserve">   三级防控体系示意图</w:t>
      </w:r>
    </w:p>
    <w:p w14:paraId="187687F6">
      <w:pPr>
        <w:spacing w:line="500" w:lineRule="exact"/>
        <w:ind w:firstLine="480"/>
      </w:pPr>
      <w:r>
        <w:rPr>
          <w:rFonts w:hint="eastAsia"/>
        </w:rPr>
        <w:t>全厂布局严格按照三级防控系统原则，从原料区托盘、装置区地沟及事故池或收集池、装置区至污水处理终端输送管道等方面加强废水三级防控，确保废水不出装置区，出装置情况不出厂区，将废水截留在厂界内，降低区域事故废水风险，同时本项目建成后应积极与园区三级防控系统进行衔接。</w:t>
      </w:r>
    </w:p>
    <w:p w14:paraId="1D3EECD2">
      <w:pPr>
        <w:spacing w:line="500" w:lineRule="exact"/>
        <w:ind w:firstLine="480"/>
      </w:pPr>
      <w:r>
        <w:rPr>
          <w:rFonts w:hint="eastAsia"/>
        </w:rPr>
        <w:t>经采取以上水环境风险预防措施情况下，评价认为工程事故状态下废水可被有效收集及处理。</w:t>
      </w:r>
    </w:p>
    <w:p w14:paraId="30C4260E">
      <w:pPr>
        <w:pStyle w:val="2"/>
        <w:spacing w:after="0"/>
        <w:ind w:firstLine="480"/>
        <w:rPr>
          <w:u w:val="single"/>
        </w:rPr>
      </w:pPr>
      <w:r>
        <w:rPr>
          <w:rFonts w:hint="eastAsia"/>
        </w:rPr>
        <w:t>（2）</w:t>
      </w:r>
      <w:r>
        <w:t>“单元-厂区-园区”风险防控体系</w:t>
      </w:r>
    </w:p>
    <w:p w14:paraId="04046483">
      <w:pPr>
        <w:pStyle w:val="2"/>
        <w:spacing w:after="0"/>
        <w:ind w:firstLine="480"/>
      </w:pPr>
      <w:r>
        <w:t>本项目</w:t>
      </w:r>
      <w:r>
        <w:rPr>
          <w:rFonts w:hint="eastAsia"/>
        </w:rPr>
        <w:t>原料储存区</w:t>
      </w:r>
      <w:r>
        <w:t>设置有</w:t>
      </w:r>
      <w:r>
        <w:rPr>
          <w:rFonts w:hint="eastAsia"/>
        </w:rPr>
        <w:t>托盘</w:t>
      </w:r>
      <w:r>
        <w:t>，厂区设置事故池，确保项目单元-厂区事故废水不出厂界。园区配套污水处理厂运行正常，园区配套污水处理厂设置有事故池缓冲池，在突发环境事故状态下，确保废水纳入园区配套污水厂设置的事故池，以确保</w:t>
      </w:r>
      <w:r>
        <w:rPr>
          <w:rFonts w:hint="eastAsia"/>
        </w:rPr>
        <w:t>共产主义渠</w:t>
      </w:r>
      <w:r>
        <w:t>水体安全，确保园区水环境风险防控到位。</w:t>
      </w:r>
    </w:p>
    <w:p w14:paraId="0048542D">
      <w:pPr>
        <w:ind w:firstLine="482"/>
        <w:outlineLvl w:val="4"/>
        <w:rPr>
          <w:b/>
          <w:bCs/>
          <w:szCs w:val="24"/>
        </w:rPr>
      </w:pPr>
      <w:r>
        <w:rPr>
          <w:rFonts w:hint="eastAsia"/>
          <w:b/>
          <w:bCs/>
          <w:szCs w:val="24"/>
        </w:rPr>
        <w:t>12</w:t>
      </w:r>
      <w:r>
        <w:rPr>
          <w:b/>
          <w:bCs/>
          <w:szCs w:val="24"/>
        </w:rPr>
        <w:t>、</w:t>
      </w:r>
      <w:r>
        <w:rPr>
          <w:rFonts w:hint="eastAsia"/>
          <w:b/>
          <w:bCs/>
          <w:szCs w:val="24"/>
        </w:rPr>
        <w:t>地下水环境风险防范措施</w:t>
      </w:r>
    </w:p>
    <w:p w14:paraId="1FCA3FBD">
      <w:pPr>
        <w:ind w:firstLine="480"/>
      </w:pPr>
      <w:r>
        <w:rPr>
          <w:rFonts w:hint="eastAsia"/>
        </w:rPr>
        <w:t>依据《环境影响评价技术导则  地下水环境》（HJ 610-2016），本项目地下水影响评价等级为一级，地下水预测及评价、防范措施等详见第5章、第7章。本次评价从源头控制和分区防渗、地下水监控方面提出了相关防范措施。在发生本次风险所设定的事故情形时，通过应急连锁，可以对泄漏物质进行及时收集倒罐并处理，项目在建设阶段要求生产装置区、原料区按照规范要求采取分区防渗处理措施，在此情况下，事故状态下能进入地下水环境的几率较小。从风险防范角度考虑，项目通过分区防渗措施、应急处置等可以减小对地下水环境的影响。</w:t>
      </w:r>
    </w:p>
    <w:p w14:paraId="58A16493">
      <w:pPr>
        <w:pStyle w:val="6"/>
        <w:ind w:left="0" w:firstLine="482"/>
      </w:pPr>
      <w:r>
        <w:rPr>
          <w:rFonts w:hint="eastAsia"/>
        </w:rPr>
        <w:t>风险监控及应急监测系统</w:t>
      </w:r>
    </w:p>
    <w:p w14:paraId="06CDE16B">
      <w:pPr>
        <w:ind w:firstLine="480"/>
      </w:pPr>
      <w:r>
        <w:rPr>
          <w:rFonts w:hint="eastAsia"/>
        </w:rPr>
        <w:t>企业在突发性污染事故发生时，按事故处置预案进行处置的同时，应立即开展环境风险应急监测，以确定污染的范围和程度，为政府和环保管理部门采取应急响应级别和采取措施提供依据。</w:t>
      </w:r>
    </w:p>
    <w:p w14:paraId="234D7E72">
      <w:pPr>
        <w:ind w:firstLine="480"/>
        <w:rPr>
          <w:u w:val="single"/>
        </w:rPr>
      </w:pPr>
      <w:r>
        <w:rPr>
          <w:rFonts w:hint="eastAsia"/>
          <w:u w:val="single"/>
        </w:rPr>
        <w:t>企业在发生事故时，可能进入大气环境的有毒有害化学物质有硫酸、D4（八甲基环四硅氧烷）等，进入水环境的主要物质为COD、石油类等。</w:t>
      </w:r>
    </w:p>
    <w:p w14:paraId="7DD5DBA4">
      <w:pPr>
        <w:ind w:firstLine="480"/>
      </w:pPr>
      <w:r>
        <w:rPr>
          <w:rFonts w:hint="eastAsia"/>
        </w:rPr>
        <w:t>为了快速有效地监测污染事故的污染范围和程度，建设单位应配备必要的应急环境监测仪器设备，并保持于良好状况，一旦发生事故，各应急监测设备能立即投入使用。如事故较大，建设单位监测仪器、人员不能满足要求，应立即上报当地环保管理部门，组织环境监测单位进行监测。事故应急监测方案见下表。</w:t>
      </w:r>
    </w:p>
    <w:p w14:paraId="1D3EECFB">
      <w:pPr>
        <w:pStyle w:val="99"/>
        <w:numPr>
          <w:ilvl w:val="4"/>
          <w:numId w:val="46"/>
        </w:numPr>
        <w:ind w:left="0" w:firstLine="480"/>
        <w:rPr>
          <w:rFonts w:eastAsia="黑体"/>
          <w:bCs/>
          <w:szCs w:val="24"/>
        </w:rPr>
      </w:pPr>
      <w:r>
        <w:rPr>
          <w:rFonts w:hint="eastAsia" w:eastAsia="黑体"/>
          <w:bCs/>
          <w:szCs w:val="24"/>
        </w:rPr>
        <w:t xml:space="preserve">         事故应急监测方案一览表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3989"/>
        <w:gridCol w:w="3359"/>
      </w:tblGrid>
      <w:tr w14:paraId="14F655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54" w:hRule="atLeast"/>
          <w:jc w:val="center"/>
        </w:trPr>
        <w:tc>
          <w:tcPr>
            <w:tcW w:w="1142" w:type="dxa"/>
            <w:vAlign w:val="center"/>
          </w:tcPr>
          <w:p w14:paraId="5F1A77EA">
            <w:pPr>
              <w:pStyle w:val="67"/>
              <w:rPr>
                <w:color w:val="auto"/>
              </w:rPr>
            </w:pPr>
            <w:r>
              <w:rPr>
                <w:rFonts w:hint="eastAsia"/>
                <w:color w:val="auto"/>
              </w:rPr>
              <w:t>类别</w:t>
            </w:r>
          </w:p>
        </w:tc>
        <w:tc>
          <w:tcPr>
            <w:tcW w:w="3882" w:type="dxa"/>
            <w:vAlign w:val="center"/>
          </w:tcPr>
          <w:p w14:paraId="157737C2">
            <w:pPr>
              <w:pStyle w:val="67"/>
              <w:rPr>
                <w:color w:val="auto"/>
              </w:rPr>
            </w:pPr>
            <w:r>
              <w:rPr>
                <w:rFonts w:hint="eastAsia"/>
                <w:color w:val="auto"/>
              </w:rPr>
              <w:t>监测点位</w:t>
            </w:r>
          </w:p>
        </w:tc>
        <w:tc>
          <w:tcPr>
            <w:tcW w:w="3269" w:type="dxa"/>
            <w:vAlign w:val="center"/>
          </w:tcPr>
          <w:p w14:paraId="19A2C899">
            <w:pPr>
              <w:pStyle w:val="67"/>
              <w:rPr>
                <w:color w:val="auto"/>
              </w:rPr>
            </w:pPr>
            <w:r>
              <w:rPr>
                <w:rFonts w:hint="eastAsia"/>
                <w:color w:val="auto"/>
              </w:rPr>
              <w:t>监测因子</w:t>
            </w:r>
          </w:p>
        </w:tc>
      </w:tr>
      <w:tr w14:paraId="11526F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42" w:type="dxa"/>
            <w:vAlign w:val="center"/>
          </w:tcPr>
          <w:p w14:paraId="492C614D">
            <w:pPr>
              <w:pStyle w:val="62"/>
            </w:pPr>
            <w:r>
              <w:rPr>
                <w:rFonts w:hint="eastAsia"/>
              </w:rPr>
              <w:t>环境空气</w:t>
            </w:r>
          </w:p>
        </w:tc>
        <w:tc>
          <w:tcPr>
            <w:tcW w:w="3882" w:type="dxa"/>
            <w:vAlign w:val="center"/>
          </w:tcPr>
          <w:p w14:paraId="469D950C">
            <w:pPr>
              <w:pStyle w:val="62"/>
            </w:pPr>
            <w:r>
              <w:rPr>
                <w:rFonts w:hint="eastAsia"/>
              </w:rPr>
              <w:t>厂内、污染源下风向</w:t>
            </w:r>
            <w:r>
              <w:t>200m</w:t>
            </w:r>
            <w:r>
              <w:rPr>
                <w:rFonts w:hint="eastAsia"/>
              </w:rPr>
              <w:t>、</w:t>
            </w:r>
            <w:r>
              <w:t>500m</w:t>
            </w:r>
            <w:r>
              <w:rPr>
                <w:rFonts w:hint="eastAsia"/>
              </w:rPr>
              <w:t>、</w:t>
            </w:r>
            <w:r>
              <w:t>1000m</w:t>
            </w:r>
            <w:r>
              <w:rPr>
                <w:rFonts w:hint="eastAsia"/>
              </w:rPr>
              <w:t>及</w:t>
            </w:r>
            <w:r>
              <w:t>1000m</w:t>
            </w:r>
            <w:r>
              <w:rPr>
                <w:rFonts w:hint="eastAsia"/>
              </w:rPr>
              <w:t>以内的环境敏感点</w:t>
            </w:r>
          </w:p>
        </w:tc>
        <w:tc>
          <w:tcPr>
            <w:tcW w:w="3269" w:type="dxa"/>
            <w:vAlign w:val="center"/>
          </w:tcPr>
          <w:p w14:paraId="266BD18A">
            <w:pPr>
              <w:pStyle w:val="62"/>
            </w:pPr>
            <w:r>
              <w:rPr>
                <w:rFonts w:hint="eastAsia"/>
              </w:rPr>
              <w:t>硫酸、非甲烷总烃、TVOC</w:t>
            </w:r>
          </w:p>
        </w:tc>
      </w:tr>
      <w:tr w14:paraId="7436E4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42" w:type="dxa"/>
            <w:vAlign w:val="center"/>
          </w:tcPr>
          <w:p w14:paraId="2286AFD5">
            <w:pPr>
              <w:pStyle w:val="62"/>
            </w:pPr>
            <w:r>
              <w:rPr>
                <w:rFonts w:hint="eastAsia"/>
              </w:rPr>
              <w:t>地表水</w:t>
            </w:r>
          </w:p>
        </w:tc>
        <w:tc>
          <w:tcPr>
            <w:tcW w:w="3882" w:type="dxa"/>
            <w:vAlign w:val="center"/>
          </w:tcPr>
          <w:p w14:paraId="24143394">
            <w:pPr>
              <w:pStyle w:val="62"/>
            </w:pPr>
            <w:r>
              <w:rPr>
                <w:rFonts w:hint="eastAsia"/>
              </w:rPr>
              <w:t>厂区污水总排口</w:t>
            </w:r>
          </w:p>
        </w:tc>
        <w:tc>
          <w:tcPr>
            <w:tcW w:w="3269" w:type="dxa"/>
            <w:vAlign w:val="center"/>
          </w:tcPr>
          <w:p w14:paraId="360B8D42">
            <w:pPr>
              <w:pStyle w:val="62"/>
            </w:pPr>
            <w:r>
              <w:t>pH</w:t>
            </w:r>
            <w:r>
              <w:rPr>
                <w:rFonts w:hint="eastAsia"/>
              </w:rPr>
              <w:t>、</w:t>
            </w:r>
            <w:r>
              <w:t>COD</w:t>
            </w:r>
            <w:r>
              <w:rPr>
                <w:rFonts w:hint="eastAsia"/>
              </w:rPr>
              <w:t>、BOD</w:t>
            </w:r>
            <w:r>
              <w:rPr>
                <w:rFonts w:hint="eastAsia"/>
                <w:vertAlign w:val="subscript"/>
              </w:rPr>
              <w:t>5</w:t>
            </w:r>
            <w:r>
              <w:rPr>
                <w:rFonts w:hint="eastAsia"/>
              </w:rPr>
              <w:t>、SS、</w:t>
            </w:r>
            <w:r>
              <w:t>TP</w:t>
            </w:r>
            <w:r>
              <w:rPr>
                <w:rFonts w:hint="eastAsia"/>
              </w:rPr>
              <w:t>、氨氮、</w:t>
            </w:r>
            <w:r>
              <w:t>TN</w:t>
            </w:r>
            <w:r>
              <w:rPr>
                <w:rFonts w:hint="eastAsia"/>
              </w:rPr>
              <w:t>、石油类</w:t>
            </w:r>
          </w:p>
        </w:tc>
      </w:tr>
    </w:tbl>
    <w:p w14:paraId="2B7A1B4F">
      <w:pPr>
        <w:pStyle w:val="99"/>
        <w:ind w:firstLine="0" w:firstLineChars="0"/>
        <w:rPr>
          <w:b/>
          <w:kern w:val="2"/>
          <w:szCs w:val="24"/>
          <w:highlight w:val="yellow"/>
        </w:rPr>
      </w:pPr>
    </w:p>
    <w:p w14:paraId="0A8EE83D">
      <w:pPr>
        <w:pStyle w:val="6"/>
        <w:ind w:left="0" w:firstLine="482"/>
      </w:pPr>
      <w:r>
        <w:rPr>
          <w:rFonts w:hint="eastAsia"/>
        </w:rPr>
        <w:t>其他事故预防措施</w:t>
      </w:r>
    </w:p>
    <w:p w14:paraId="0D5C99A6">
      <w:pPr>
        <w:pStyle w:val="99"/>
        <w:ind w:firstLine="480"/>
        <w:rPr>
          <w:bCs/>
          <w:kern w:val="2"/>
          <w:szCs w:val="24"/>
        </w:rPr>
      </w:pPr>
      <w:r>
        <w:rPr>
          <w:rFonts w:hint="eastAsia"/>
          <w:bCs/>
          <w:kern w:val="2"/>
          <w:szCs w:val="24"/>
        </w:rPr>
        <w:t>1、在有围护结构的厂房，设置强制机械通风装置、净化设施。使车间空气中有害物质浓度限制在规定最高允许浓度下；在可能造成有毒物质泄漏的设备和工作场所设置应急防护设施，并在有毒作业工作环境中配置急救箱和个人防护用品。</w:t>
      </w:r>
    </w:p>
    <w:p w14:paraId="347F25A2">
      <w:pPr>
        <w:pStyle w:val="99"/>
        <w:ind w:firstLine="480"/>
        <w:rPr>
          <w:bCs/>
          <w:kern w:val="2"/>
          <w:szCs w:val="24"/>
        </w:rPr>
      </w:pPr>
      <w:r>
        <w:rPr>
          <w:rFonts w:hint="eastAsia"/>
          <w:bCs/>
          <w:kern w:val="2"/>
          <w:szCs w:val="24"/>
        </w:rPr>
        <w:t>2、具有毒性危害的作业环境，应设计必要的洗眼器、淋洗器等安全防护措施，并在装置区设置救护箱。</w:t>
      </w:r>
    </w:p>
    <w:p w14:paraId="165A60C8">
      <w:pPr>
        <w:pStyle w:val="99"/>
        <w:ind w:firstLine="480"/>
        <w:rPr>
          <w:bCs/>
          <w:kern w:val="2"/>
          <w:szCs w:val="24"/>
          <w:highlight w:val="yellow"/>
        </w:rPr>
      </w:pPr>
      <w:r>
        <w:rPr>
          <w:rFonts w:hint="eastAsia"/>
          <w:bCs/>
          <w:kern w:val="2"/>
          <w:szCs w:val="24"/>
        </w:rPr>
        <w:t>3、建设单位应根据《生产经营单位安全生产事故应急预案编制指导》（GB/T29639-2013）及河南省《河南省人民政府办公厅关于印发河南省突发环境事件应急预案的通知》（豫环文〔2022〕10号）的要求，针对可能发生的各类事故和所有危险源编制突发环境事件应急预案。</w:t>
      </w:r>
    </w:p>
    <w:p w14:paraId="37BE65B1">
      <w:pPr>
        <w:pStyle w:val="5"/>
        <w:spacing w:before="312" w:after="312"/>
        <w:ind w:left="0" w:firstLine="510"/>
      </w:pPr>
      <w:r>
        <w:rPr>
          <w:rFonts w:hint="eastAsia"/>
        </w:rPr>
        <w:t>突发环境事件应急预案</w:t>
      </w:r>
    </w:p>
    <w:p w14:paraId="5862B76F">
      <w:pPr>
        <w:pStyle w:val="99"/>
        <w:ind w:firstLine="480"/>
        <w:rPr>
          <w:bCs/>
          <w:kern w:val="2"/>
          <w:szCs w:val="24"/>
        </w:rPr>
      </w:pPr>
      <w:r>
        <w:rPr>
          <w:rFonts w:hint="eastAsia"/>
          <w:bCs/>
          <w:kern w:val="2"/>
          <w:szCs w:val="24"/>
        </w:rPr>
        <w:t>建设项目在生产过程和运输过程将产生潜在的危害，如果安全措施水平高，则事故的概率必然会降低，但不会为零。为使环境风险减小到最低程度，必须加强劳动安全管理，制定完善、有效的安全措施，尽可能降低事故发生概率。一旦发生事故，需要采取应急措施，控制和减少事故危害。而有毒有害物质泄漏至周围环境，则可能危害环境需要实施社会救援，因此建设单位需要对现有应急预案进行修正。</w:t>
      </w:r>
    </w:p>
    <w:p w14:paraId="0171DAF6">
      <w:pPr>
        <w:pStyle w:val="99"/>
        <w:ind w:firstLine="480"/>
        <w:rPr>
          <w:bCs/>
          <w:kern w:val="2"/>
          <w:szCs w:val="24"/>
          <w:highlight w:val="yellow"/>
        </w:rPr>
      </w:pPr>
      <w:r>
        <w:rPr>
          <w:rFonts w:hint="eastAsia"/>
          <w:bCs/>
          <w:kern w:val="2"/>
          <w:szCs w:val="24"/>
        </w:rPr>
        <w:t>应急预案涉及的主要内容见下表。</w:t>
      </w:r>
    </w:p>
    <w:p w14:paraId="1D3EED19">
      <w:pPr>
        <w:pStyle w:val="99"/>
        <w:numPr>
          <w:ilvl w:val="4"/>
          <w:numId w:val="46"/>
        </w:numPr>
        <w:ind w:left="0" w:firstLine="480"/>
        <w:rPr>
          <w:rFonts w:eastAsia="黑体"/>
          <w:bCs/>
          <w:szCs w:val="24"/>
        </w:rPr>
      </w:pPr>
      <w:r>
        <w:rPr>
          <w:rFonts w:eastAsia="黑体"/>
          <w:bCs/>
          <w:szCs w:val="24"/>
        </w:rPr>
        <w:t xml:space="preserve">              </w:t>
      </w:r>
      <w:r>
        <w:rPr>
          <w:rFonts w:hint="eastAsia" w:eastAsia="黑体"/>
          <w:bCs/>
          <w:szCs w:val="24"/>
        </w:rPr>
        <w:t xml:space="preserve">  </w:t>
      </w:r>
      <w:r>
        <w:rPr>
          <w:rFonts w:eastAsia="黑体"/>
          <w:bCs/>
          <w:szCs w:val="24"/>
        </w:rPr>
        <w:t xml:space="preserve"> 应急预案内容</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93"/>
        <w:gridCol w:w="693"/>
        <w:gridCol w:w="216"/>
        <w:gridCol w:w="668"/>
        <w:gridCol w:w="241"/>
        <w:gridCol w:w="5915"/>
      </w:tblGrid>
      <w:tr w14:paraId="1D3EE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1A">
            <w:pPr>
              <w:spacing w:line="240" w:lineRule="auto"/>
              <w:ind w:firstLine="0" w:firstLineChars="0"/>
              <w:jc w:val="center"/>
              <w:rPr>
                <w:b/>
                <w:bCs/>
                <w:szCs w:val="21"/>
              </w:rPr>
            </w:pPr>
            <w:r>
              <w:rPr>
                <w:b/>
                <w:bCs/>
                <w:kern w:val="2"/>
                <w:sz w:val="21"/>
                <w:szCs w:val="21"/>
              </w:rPr>
              <w:t>序号</w:t>
            </w:r>
          </w:p>
        </w:tc>
        <w:tc>
          <w:tcPr>
            <w:tcW w:w="1570" w:type="dxa"/>
            <w:gridSpan w:val="3"/>
            <w:tcBorders>
              <w:tl2br w:val="nil"/>
              <w:tr2bl w:val="nil"/>
            </w:tcBorders>
            <w:vAlign w:val="center"/>
          </w:tcPr>
          <w:p w14:paraId="1D3EED1B">
            <w:pPr>
              <w:spacing w:line="240" w:lineRule="auto"/>
              <w:ind w:firstLine="0" w:firstLineChars="0"/>
              <w:jc w:val="center"/>
              <w:rPr>
                <w:b/>
                <w:bCs/>
                <w:szCs w:val="21"/>
              </w:rPr>
            </w:pPr>
            <w:r>
              <w:rPr>
                <w:b/>
                <w:bCs/>
                <w:kern w:val="2"/>
                <w:sz w:val="21"/>
                <w:szCs w:val="21"/>
              </w:rPr>
              <w:t>项目</w:t>
            </w:r>
          </w:p>
        </w:tc>
        <w:tc>
          <w:tcPr>
            <w:tcW w:w="6126" w:type="dxa"/>
            <w:gridSpan w:val="2"/>
            <w:tcBorders>
              <w:tl2br w:val="nil"/>
              <w:tr2bl w:val="nil"/>
            </w:tcBorders>
            <w:vAlign w:val="center"/>
          </w:tcPr>
          <w:p w14:paraId="1D3EED1C">
            <w:pPr>
              <w:spacing w:line="240" w:lineRule="auto"/>
              <w:ind w:firstLine="0" w:firstLineChars="0"/>
              <w:jc w:val="center"/>
              <w:rPr>
                <w:b/>
                <w:bCs/>
                <w:szCs w:val="21"/>
              </w:rPr>
            </w:pPr>
            <w:r>
              <w:rPr>
                <w:b/>
                <w:bCs/>
                <w:kern w:val="2"/>
                <w:sz w:val="21"/>
                <w:szCs w:val="21"/>
              </w:rPr>
              <w:t>内容及要求</w:t>
            </w:r>
          </w:p>
        </w:tc>
      </w:tr>
      <w:tr w14:paraId="1D3EE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1E">
            <w:pPr>
              <w:spacing w:line="240" w:lineRule="auto"/>
              <w:ind w:firstLine="0" w:firstLineChars="0"/>
              <w:jc w:val="center"/>
              <w:rPr>
                <w:szCs w:val="21"/>
              </w:rPr>
            </w:pPr>
            <w:r>
              <w:rPr>
                <w:kern w:val="2"/>
                <w:sz w:val="21"/>
                <w:szCs w:val="21"/>
              </w:rPr>
              <w:t>1</w:t>
            </w:r>
          </w:p>
        </w:tc>
        <w:tc>
          <w:tcPr>
            <w:tcW w:w="1570" w:type="dxa"/>
            <w:gridSpan w:val="3"/>
            <w:tcBorders>
              <w:tl2br w:val="nil"/>
              <w:tr2bl w:val="nil"/>
            </w:tcBorders>
            <w:vAlign w:val="center"/>
          </w:tcPr>
          <w:p w14:paraId="1D3EED1F">
            <w:pPr>
              <w:spacing w:line="240" w:lineRule="auto"/>
              <w:ind w:firstLine="0" w:firstLineChars="0"/>
              <w:jc w:val="center"/>
              <w:rPr>
                <w:szCs w:val="21"/>
              </w:rPr>
            </w:pPr>
            <w:r>
              <w:rPr>
                <w:kern w:val="2"/>
                <w:sz w:val="21"/>
                <w:szCs w:val="21"/>
              </w:rPr>
              <w:t>总则</w:t>
            </w:r>
          </w:p>
        </w:tc>
        <w:tc>
          <w:tcPr>
            <w:tcW w:w="6126" w:type="dxa"/>
            <w:gridSpan w:val="2"/>
            <w:tcBorders>
              <w:tl2br w:val="nil"/>
              <w:tr2bl w:val="nil"/>
            </w:tcBorders>
            <w:vAlign w:val="center"/>
          </w:tcPr>
          <w:p w14:paraId="1D3EED20">
            <w:pPr>
              <w:spacing w:line="240" w:lineRule="auto"/>
              <w:ind w:firstLine="0" w:firstLineChars="0"/>
              <w:jc w:val="center"/>
              <w:rPr>
                <w:szCs w:val="21"/>
              </w:rPr>
            </w:pPr>
            <w:r>
              <w:rPr>
                <w:kern w:val="2"/>
                <w:sz w:val="21"/>
                <w:szCs w:val="21"/>
              </w:rPr>
              <w:t>预案的编制目的、编制依据、适用范围和工作原则</w:t>
            </w:r>
          </w:p>
        </w:tc>
      </w:tr>
      <w:tr w14:paraId="1D3EE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22">
            <w:pPr>
              <w:spacing w:line="240" w:lineRule="auto"/>
              <w:ind w:firstLine="0" w:firstLineChars="0"/>
              <w:jc w:val="center"/>
              <w:rPr>
                <w:szCs w:val="21"/>
              </w:rPr>
            </w:pPr>
            <w:r>
              <w:rPr>
                <w:kern w:val="2"/>
                <w:sz w:val="21"/>
                <w:szCs w:val="21"/>
              </w:rPr>
              <w:t>2</w:t>
            </w:r>
          </w:p>
        </w:tc>
        <w:tc>
          <w:tcPr>
            <w:tcW w:w="1570" w:type="dxa"/>
            <w:gridSpan w:val="3"/>
            <w:tcBorders>
              <w:tl2br w:val="nil"/>
              <w:tr2bl w:val="nil"/>
            </w:tcBorders>
            <w:vAlign w:val="center"/>
          </w:tcPr>
          <w:p w14:paraId="1D3EED23">
            <w:pPr>
              <w:spacing w:line="240" w:lineRule="auto"/>
              <w:ind w:firstLine="0" w:firstLineChars="0"/>
              <w:jc w:val="center"/>
              <w:rPr>
                <w:szCs w:val="21"/>
              </w:rPr>
            </w:pPr>
            <w:r>
              <w:rPr>
                <w:kern w:val="2"/>
                <w:sz w:val="21"/>
                <w:szCs w:val="21"/>
              </w:rPr>
              <w:t>基本情况调查</w:t>
            </w:r>
          </w:p>
        </w:tc>
        <w:tc>
          <w:tcPr>
            <w:tcW w:w="6126" w:type="dxa"/>
            <w:gridSpan w:val="2"/>
            <w:tcBorders>
              <w:tl2br w:val="nil"/>
              <w:tr2bl w:val="nil"/>
            </w:tcBorders>
            <w:vAlign w:val="center"/>
          </w:tcPr>
          <w:p w14:paraId="1D3EED24">
            <w:pPr>
              <w:spacing w:line="240" w:lineRule="auto"/>
              <w:ind w:firstLine="0" w:firstLineChars="0"/>
              <w:rPr>
                <w:szCs w:val="21"/>
              </w:rPr>
            </w:pPr>
            <w:r>
              <w:rPr>
                <w:kern w:val="2"/>
                <w:sz w:val="21"/>
                <w:szCs w:val="21"/>
              </w:rPr>
              <w:t>企业基本情况及厂区布置、企业生产现状、企业周边环境状况及环境保护目标</w:t>
            </w:r>
          </w:p>
        </w:tc>
      </w:tr>
      <w:tr w14:paraId="1D3EE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26">
            <w:pPr>
              <w:spacing w:line="240" w:lineRule="auto"/>
              <w:ind w:firstLine="0" w:firstLineChars="0"/>
              <w:jc w:val="center"/>
              <w:rPr>
                <w:szCs w:val="21"/>
              </w:rPr>
            </w:pPr>
            <w:r>
              <w:rPr>
                <w:kern w:val="2"/>
                <w:sz w:val="21"/>
                <w:szCs w:val="21"/>
              </w:rPr>
              <w:t>3</w:t>
            </w:r>
          </w:p>
        </w:tc>
        <w:tc>
          <w:tcPr>
            <w:tcW w:w="1570" w:type="dxa"/>
            <w:gridSpan w:val="3"/>
            <w:tcBorders>
              <w:tl2br w:val="nil"/>
              <w:tr2bl w:val="nil"/>
            </w:tcBorders>
            <w:vAlign w:val="center"/>
          </w:tcPr>
          <w:p w14:paraId="1D3EED27">
            <w:pPr>
              <w:spacing w:line="240" w:lineRule="auto"/>
              <w:ind w:firstLine="0" w:firstLineChars="0"/>
              <w:jc w:val="center"/>
              <w:rPr>
                <w:szCs w:val="21"/>
              </w:rPr>
            </w:pPr>
            <w:r>
              <w:rPr>
                <w:kern w:val="2"/>
                <w:sz w:val="21"/>
                <w:szCs w:val="21"/>
              </w:rPr>
              <w:t>环境风险分析</w:t>
            </w:r>
          </w:p>
        </w:tc>
        <w:tc>
          <w:tcPr>
            <w:tcW w:w="6126" w:type="dxa"/>
            <w:gridSpan w:val="2"/>
            <w:tcBorders>
              <w:tl2br w:val="nil"/>
              <w:tr2bl w:val="nil"/>
            </w:tcBorders>
            <w:vAlign w:val="center"/>
          </w:tcPr>
          <w:p w14:paraId="1D3EED28">
            <w:pPr>
              <w:spacing w:line="240" w:lineRule="auto"/>
              <w:ind w:firstLine="0" w:firstLineChars="0"/>
              <w:jc w:val="center"/>
              <w:rPr>
                <w:spacing w:val="-4"/>
                <w:szCs w:val="21"/>
              </w:rPr>
            </w:pPr>
            <w:r>
              <w:rPr>
                <w:spacing w:val="-4"/>
                <w:kern w:val="2"/>
                <w:sz w:val="21"/>
                <w:szCs w:val="21"/>
              </w:rPr>
              <w:t>环境风险源与环境风险评价、潜在环境风险分析、企业应急能力评估</w:t>
            </w:r>
          </w:p>
        </w:tc>
      </w:tr>
      <w:tr w14:paraId="1D3EE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2A">
            <w:pPr>
              <w:spacing w:line="240" w:lineRule="auto"/>
              <w:ind w:firstLine="0" w:firstLineChars="0"/>
              <w:jc w:val="center"/>
              <w:rPr>
                <w:szCs w:val="21"/>
              </w:rPr>
            </w:pPr>
            <w:r>
              <w:rPr>
                <w:kern w:val="2"/>
                <w:sz w:val="21"/>
                <w:szCs w:val="21"/>
              </w:rPr>
              <w:t>4</w:t>
            </w:r>
          </w:p>
        </w:tc>
        <w:tc>
          <w:tcPr>
            <w:tcW w:w="1570" w:type="dxa"/>
            <w:gridSpan w:val="3"/>
            <w:tcBorders>
              <w:tl2br w:val="nil"/>
              <w:tr2bl w:val="nil"/>
            </w:tcBorders>
            <w:vAlign w:val="center"/>
          </w:tcPr>
          <w:p w14:paraId="1D3EED2B">
            <w:pPr>
              <w:spacing w:line="240" w:lineRule="auto"/>
              <w:ind w:firstLine="0" w:firstLineChars="0"/>
              <w:jc w:val="center"/>
              <w:rPr>
                <w:szCs w:val="21"/>
              </w:rPr>
            </w:pPr>
            <w:r>
              <w:rPr>
                <w:spacing w:val="-8"/>
                <w:kern w:val="2"/>
                <w:sz w:val="21"/>
                <w:szCs w:val="21"/>
              </w:rPr>
              <w:t>应急组织机构及职责</w:t>
            </w:r>
          </w:p>
        </w:tc>
        <w:tc>
          <w:tcPr>
            <w:tcW w:w="6126" w:type="dxa"/>
            <w:gridSpan w:val="2"/>
            <w:tcBorders>
              <w:tl2br w:val="nil"/>
              <w:tr2bl w:val="nil"/>
            </w:tcBorders>
            <w:vAlign w:val="center"/>
          </w:tcPr>
          <w:p w14:paraId="1D3EED2C">
            <w:pPr>
              <w:spacing w:line="240" w:lineRule="auto"/>
              <w:ind w:firstLine="0" w:firstLineChars="0"/>
              <w:jc w:val="center"/>
              <w:rPr>
                <w:szCs w:val="21"/>
              </w:rPr>
            </w:pPr>
            <w:r>
              <w:rPr>
                <w:kern w:val="2"/>
                <w:sz w:val="21"/>
                <w:szCs w:val="21"/>
              </w:rPr>
              <w:t>组织体系、指挥机构组成及职责</w:t>
            </w:r>
          </w:p>
        </w:tc>
      </w:tr>
      <w:tr w14:paraId="1D3EE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restart"/>
            <w:tcBorders>
              <w:tl2br w:val="nil"/>
              <w:tr2bl w:val="nil"/>
            </w:tcBorders>
            <w:vAlign w:val="center"/>
          </w:tcPr>
          <w:p w14:paraId="1D3EED2E">
            <w:pPr>
              <w:spacing w:line="240" w:lineRule="auto"/>
              <w:ind w:firstLine="0" w:firstLineChars="0"/>
              <w:jc w:val="center"/>
              <w:rPr>
                <w:szCs w:val="21"/>
              </w:rPr>
            </w:pPr>
            <w:r>
              <w:rPr>
                <w:kern w:val="2"/>
                <w:sz w:val="21"/>
                <w:szCs w:val="21"/>
              </w:rPr>
              <w:t>5</w:t>
            </w:r>
          </w:p>
        </w:tc>
        <w:tc>
          <w:tcPr>
            <w:tcW w:w="690" w:type="dxa"/>
            <w:vMerge w:val="restart"/>
            <w:tcBorders>
              <w:tl2br w:val="nil"/>
              <w:tr2bl w:val="nil"/>
            </w:tcBorders>
            <w:vAlign w:val="center"/>
          </w:tcPr>
          <w:p w14:paraId="1D3EED2F">
            <w:pPr>
              <w:spacing w:line="240" w:lineRule="auto"/>
              <w:ind w:firstLine="0" w:firstLineChars="0"/>
              <w:jc w:val="center"/>
              <w:rPr>
                <w:szCs w:val="21"/>
              </w:rPr>
            </w:pPr>
            <w:r>
              <w:rPr>
                <w:kern w:val="2"/>
                <w:sz w:val="21"/>
                <w:szCs w:val="21"/>
              </w:rPr>
              <w:t>预防与预警</w:t>
            </w:r>
          </w:p>
        </w:tc>
        <w:tc>
          <w:tcPr>
            <w:tcW w:w="880" w:type="dxa"/>
            <w:gridSpan w:val="2"/>
            <w:tcBorders>
              <w:tl2br w:val="nil"/>
              <w:tr2bl w:val="nil"/>
            </w:tcBorders>
            <w:vAlign w:val="center"/>
          </w:tcPr>
          <w:p w14:paraId="1D3EED30">
            <w:pPr>
              <w:spacing w:line="240" w:lineRule="auto"/>
              <w:ind w:firstLine="0" w:firstLineChars="0"/>
              <w:jc w:val="center"/>
              <w:rPr>
                <w:spacing w:val="-4"/>
                <w:szCs w:val="21"/>
              </w:rPr>
            </w:pPr>
            <w:r>
              <w:rPr>
                <w:spacing w:val="-4"/>
                <w:kern w:val="2"/>
                <w:sz w:val="21"/>
                <w:szCs w:val="21"/>
              </w:rPr>
              <w:t>预防及措施</w:t>
            </w:r>
          </w:p>
        </w:tc>
        <w:tc>
          <w:tcPr>
            <w:tcW w:w="6126" w:type="dxa"/>
            <w:gridSpan w:val="2"/>
            <w:tcBorders>
              <w:tl2br w:val="nil"/>
              <w:tr2bl w:val="nil"/>
            </w:tcBorders>
            <w:vAlign w:val="center"/>
          </w:tcPr>
          <w:p w14:paraId="1D3EED31">
            <w:pPr>
              <w:spacing w:line="240" w:lineRule="auto"/>
              <w:ind w:firstLine="0" w:firstLineChars="0"/>
              <w:outlineLvl w:val="2"/>
              <w:rPr>
                <w:szCs w:val="21"/>
              </w:rPr>
            </w:pPr>
            <w:r>
              <w:rPr>
                <w:kern w:val="2"/>
                <w:sz w:val="21"/>
                <w:szCs w:val="21"/>
              </w:rPr>
              <w:t>环境风险源监控：明确厂区内监控设备设施、监控内容、监控人员、物资配备等内容；预防措施：明确厂区内生产、储存、运输、管理及操作、职业卫生等环节风险预防措施内容</w:t>
            </w:r>
          </w:p>
        </w:tc>
      </w:tr>
      <w:tr w14:paraId="1D3EE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vAlign w:val="center"/>
          </w:tcPr>
          <w:p w14:paraId="1D3EED33">
            <w:pPr>
              <w:widowControl/>
              <w:spacing w:line="240" w:lineRule="auto"/>
              <w:ind w:firstLine="0" w:firstLineChars="0"/>
              <w:jc w:val="left"/>
              <w:rPr>
                <w:szCs w:val="21"/>
              </w:rPr>
            </w:pPr>
          </w:p>
        </w:tc>
        <w:tc>
          <w:tcPr>
            <w:tcW w:w="690" w:type="dxa"/>
            <w:vMerge w:val="continue"/>
            <w:tcBorders>
              <w:tl2br w:val="nil"/>
              <w:tr2bl w:val="nil"/>
            </w:tcBorders>
            <w:vAlign w:val="center"/>
          </w:tcPr>
          <w:p w14:paraId="1D3EED34">
            <w:pPr>
              <w:widowControl/>
              <w:spacing w:line="240" w:lineRule="auto"/>
              <w:ind w:firstLine="0" w:firstLineChars="0"/>
              <w:jc w:val="left"/>
              <w:rPr>
                <w:szCs w:val="21"/>
              </w:rPr>
            </w:pPr>
          </w:p>
        </w:tc>
        <w:tc>
          <w:tcPr>
            <w:tcW w:w="880" w:type="dxa"/>
            <w:gridSpan w:val="2"/>
            <w:tcBorders>
              <w:tl2br w:val="nil"/>
              <w:tr2bl w:val="nil"/>
            </w:tcBorders>
            <w:vAlign w:val="center"/>
          </w:tcPr>
          <w:p w14:paraId="1D3EED35">
            <w:pPr>
              <w:spacing w:line="240" w:lineRule="auto"/>
              <w:ind w:firstLine="0" w:firstLineChars="0"/>
              <w:jc w:val="center"/>
              <w:rPr>
                <w:spacing w:val="-4"/>
                <w:szCs w:val="21"/>
              </w:rPr>
            </w:pPr>
            <w:r>
              <w:rPr>
                <w:spacing w:val="-4"/>
                <w:kern w:val="2"/>
                <w:sz w:val="21"/>
                <w:szCs w:val="21"/>
              </w:rPr>
              <w:t>预警及措施</w:t>
            </w:r>
          </w:p>
        </w:tc>
        <w:tc>
          <w:tcPr>
            <w:tcW w:w="6126" w:type="dxa"/>
            <w:gridSpan w:val="2"/>
            <w:tcBorders>
              <w:tl2br w:val="nil"/>
              <w:tr2bl w:val="nil"/>
            </w:tcBorders>
            <w:vAlign w:val="center"/>
          </w:tcPr>
          <w:p w14:paraId="1D3EED36">
            <w:pPr>
              <w:spacing w:line="240" w:lineRule="auto"/>
              <w:ind w:firstLine="0" w:firstLineChars="0"/>
              <w:jc w:val="center"/>
              <w:rPr>
                <w:spacing w:val="-4"/>
                <w:szCs w:val="21"/>
              </w:rPr>
            </w:pPr>
            <w:r>
              <w:rPr>
                <w:kern w:val="2"/>
                <w:sz w:val="21"/>
                <w:szCs w:val="21"/>
              </w:rPr>
              <w:t>明确事件预警的条件、方式、方法以及进入预警状态后企业各部门，以及报请政府相关部门应当采取的措施等</w:t>
            </w:r>
          </w:p>
        </w:tc>
      </w:tr>
      <w:tr w14:paraId="1D3EE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restart"/>
            <w:tcBorders>
              <w:tl2br w:val="nil"/>
              <w:tr2bl w:val="nil"/>
            </w:tcBorders>
            <w:vAlign w:val="center"/>
          </w:tcPr>
          <w:p w14:paraId="1D3EED38">
            <w:pPr>
              <w:spacing w:line="240" w:lineRule="auto"/>
              <w:ind w:firstLine="0" w:firstLineChars="0"/>
              <w:jc w:val="center"/>
              <w:rPr>
                <w:szCs w:val="21"/>
              </w:rPr>
            </w:pPr>
            <w:r>
              <w:rPr>
                <w:kern w:val="2"/>
                <w:sz w:val="21"/>
                <w:szCs w:val="21"/>
              </w:rPr>
              <w:t>6</w:t>
            </w:r>
          </w:p>
        </w:tc>
        <w:tc>
          <w:tcPr>
            <w:tcW w:w="690" w:type="dxa"/>
            <w:vMerge w:val="restart"/>
            <w:tcBorders>
              <w:tl2br w:val="nil"/>
              <w:tr2bl w:val="nil"/>
            </w:tcBorders>
            <w:vAlign w:val="center"/>
          </w:tcPr>
          <w:p w14:paraId="1D3EED39">
            <w:pPr>
              <w:spacing w:line="240" w:lineRule="auto"/>
              <w:ind w:firstLine="0" w:firstLineChars="0"/>
              <w:jc w:val="center"/>
              <w:rPr>
                <w:szCs w:val="21"/>
              </w:rPr>
            </w:pPr>
            <w:r>
              <w:rPr>
                <w:kern w:val="2"/>
                <w:sz w:val="21"/>
                <w:szCs w:val="21"/>
              </w:rPr>
              <w:t>应急响应与措施</w:t>
            </w:r>
          </w:p>
        </w:tc>
        <w:tc>
          <w:tcPr>
            <w:tcW w:w="880" w:type="dxa"/>
            <w:gridSpan w:val="2"/>
            <w:tcBorders>
              <w:tl2br w:val="nil"/>
              <w:tr2bl w:val="nil"/>
            </w:tcBorders>
            <w:vAlign w:val="center"/>
          </w:tcPr>
          <w:p w14:paraId="1D3EED3A">
            <w:pPr>
              <w:spacing w:line="240" w:lineRule="auto"/>
              <w:ind w:firstLine="0" w:firstLineChars="0"/>
              <w:jc w:val="center"/>
              <w:rPr>
                <w:szCs w:val="21"/>
              </w:rPr>
            </w:pPr>
            <w:r>
              <w:rPr>
                <w:kern w:val="2"/>
                <w:sz w:val="21"/>
                <w:szCs w:val="21"/>
              </w:rPr>
              <w:t>响应分级</w:t>
            </w:r>
          </w:p>
        </w:tc>
        <w:tc>
          <w:tcPr>
            <w:tcW w:w="6126" w:type="dxa"/>
            <w:gridSpan w:val="2"/>
            <w:tcBorders>
              <w:tl2br w:val="nil"/>
              <w:tr2bl w:val="nil"/>
            </w:tcBorders>
            <w:vAlign w:val="center"/>
          </w:tcPr>
          <w:p w14:paraId="1D3EED3B">
            <w:pPr>
              <w:spacing w:line="240" w:lineRule="auto"/>
              <w:ind w:firstLine="0" w:firstLineChars="0"/>
              <w:rPr>
                <w:szCs w:val="21"/>
              </w:rPr>
            </w:pPr>
            <w:r>
              <w:rPr>
                <w:kern w:val="2"/>
                <w:sz w:val="21"/>
                <w:szCs w:val="21"/>
              </w:rPr>
              <w:t>针对突发环境事件严重性、紧急程度、危害程度、影响范围、企业单位内部控制事态的能力以及需要调动的应急资源，将企业单位突发环境事件分为不同的等级。</w:t>
            </w:r>
          </w:p>
        </w:tc>
      </w:tr>
      <w:tr w14:paraId="1D3EED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590" w:type="dxa"/>
            <w:vMerge w:val="continue"/>
            <w:tcBorders>
              <w:tl2br w:val="nil"/>
              <w:tr2bl w:val="nil"/>
            </w:tcBorders>
            <w:vAlign w:val="center"/>
          </w:tcPr>
          <w:p w14:paraId="1D3EED3D">
            <w:pPr>
              <w:widowControl/>
              <w:spacing w:line="240" w:lineRule="auto"/>
              <w:ind w:firstLine="0" w:firstLineChars="0"/>
              <w:jc w:val="left"/>
              <w:rPr>
                <w:szCs w:val="21"/>
              </w:rPr>
            </w:pPr>
          </w:p>
        </w:tc>
        <w:tc>
          <w:tcPr>
            <w:tcW w:w="690" w:type="dxa"/>
            <w:vMerge w:val="continue"/>
            <w:tcBorders>
              <w:tl2br w:val="nil"/>
              <w:tr2bl w:val="nil"/>
            </w:tcBorders>
            <w:vAlign w:val="center"/>
          </w:tcPr>
          <w:p w14:paraId="1D3EED3E">
            <w:pPr>
              <w:widowControl/>
              <w:spacing w:line="240" w:lineRule="auto"/>
              <w:ind w:firstLine="0" w:firstLineChars="0"/>
              <w:jc w:val="left"/>
              <w:rPr>
                <w:szCs w:val="21"/>
              </w:rPr>
            </w:pPr>
          </w:p>
        </w:tc>
        <w:tc>
          <w:tcPr>
            <w:tcW w:w="880" w:type="dxa"/>
            <w:gridSpan w:val="2"/>
            <w:tcBorders>
              <w:tl2br w:val="nil"/>
              <w:tr2bl w:val="nil"/>
            </w:tcBorders>
            <w:vAlign w:val="center"/>
          </w:tcPr>
          <w:p w14:paraId="1D3EED3F">
            <w:pPr>
              <w:spacing w:line="240" w:lineRule="auto"/>
              <w:ind w:firstLine="0" w:firstLineChars="0"/>
              <w:jc w:val="center"/>
              <w:rPr>
                <w:szCs w:val="21"/>
              </w:rPr>
            </w:pPr>
            <w:r>
              <w:rPr>
                <w:kern w:val="2"/>
                <w:sz w:val="21"/>
                <w:szCs w:val="21"/>
              </w:rPr>
              <w:t>应急程序</w:t>
            </w:r>
          </w:p>
        </w:tc>
        <w:tc>
          <w:tcPr>
            <w:tcW w:w="6126" w:type="dxa"/>
            <w:gridSpan w:val="2"/>
            <w:tcBorders>
              <w:tl2br w:val="nil"/>
              <w:tr2bl w:val="nil"/>
            </w:tcBorders>
            <w:vAlign w:val="center"/>
          </w:tcPr>
          <w:p w14:paraId="1D3EED40">
            <w:pPr>
              <w:spacing w:line="240" w:lineRule="auto"/>
              <w:ind w:firstLine="0" w:firstLineChars="0"/>
              <w:rPr>
                <w:szCs w:val="21"/>
              </w:rPr>
            </w:pPr>
            <w:r>
              <w:rPr>
                <w:kern w:val="2"/>
                <w:sz w:val="21"/>
                <w:szCs w:val="21"/>
              </w:rPr>
              <w:t>根据不同响应级别，分级阐述应急程序。给出应急响应程序示意图。</w:t>
            </w:r>
          </w:p>
        </w:tc>
      </w:tr>
      <w:tr w14:paraId="1D3EE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vAlign w:val="center"/>
          </w:tcPr>
          <w:p w14:paraId="1D3EED42">
            <w:pPr>
              <w:widowControl/>
              <w:spacing w:line="240" w:lineRule="auto"/>
              <w:ind w:firstLine="0" w:firstLineChars="0"/>
              <w:jc w:val="left"/>
              <w:rPr>
                <w:szCs w:val="21"/>
              </w:rPr>
            </w:pPr>
          </w:p>
        </w:tc>
        <w:tc>
          <w:tcPr>
            <w:tcW w:w="690" w:type="dxa"/>
            <w:vMerge w:val="continue"/>
            <w:tcBorders>
              <w:tl2br w:val="nil"/>
              <w:tr2bl w:val="nil"/>
            </w:tcBorders>
            <w:vAlign w:val="center"/>
          </w:tcPr>
          <w:p w14:paraId="1D3EED43">
            <w:pPr>
              <w:widowControl/>
              <w:spacing w:line="240" w:lineRule="auto"/>
              <w:ind w:firstLine="0" w:firstLineChars="0"/>
              <w:jc w:val="left"/>
              <w:rPr>
                <w:szCs w:val="21"/>
              </w:rPr>
            </w:pPr>
          </w:p>
        </w:tc>
        <w:tc>
          <w:tcPr>
            <w:tcW w:w="880" w:type="dxa"/>
            <w:gridSpan w:val="2"/>
            <w:tcBorders>
              <w:tl2br w:val="nil"/>
              <w:tr2bl w:val="nil"/>
            </w:tcBorders>
            <w:vAlign w:val="center"/>
          </w:tcPr>
          <w:p w14:paraId="1D3EED44">
            <w:pPr>
              <w:spacing w:line="240" w:lineRule="auto"/>
              <w:ind w:firstLine="0" w:firstLineChars="0"/>
              <w:jc w:val="center"/>
              <w:rPr>
                <w:szCs w:val="21"/>
              </w:rPr>
            </w:pPr>
            <w:r>
              <w:rPr>
                <w:kern w:val="2"/>
                <w:sz w:val="21"/>
                <w:szCs w:val="21"/>
              </w:rPr>
              <w:t>应急措施</w:t>
            </w:r>
          </w:p>
        </w:tc>
        <w:tc>
          <w:tcPr>
            <w:tcW w:w="6126" w:type="dxa"/>
            <w:gridSpan w:val="2"/>
            <w:tcBorders>
              <w:tl2br w:val="nil"/>
              <w:tr2bl w:val="nil"/>
            </w:tcBorders>
            <w:vAlign w:val="center"/>
          </w:tcPr>
          <w:p w14:paraId="1D3EED45">
            <w:pPr>
              <w:spacing w:line="240" w:lineRule="auto"/>
              <w:ind w:firstLine="0" w:firstLineChars="0"/>
              <w:rPr>
                <w:szCs w:val="21"/>
              </w:rPr>
            </w:pPr>
            <w:r>
              <w:rPr>
                <w:kern w:val="2"/>
                <w:sz w:val="21"/>
                <w:szCs w:val="21"/>
              </w:rPr>
              <w:t>企业自身救援队伍和当地其他应急救援队伍应做好如下应急工作；待应急专家抵达后，根据专家指导意见进行处理。应急措施包括：突发环境事件厂区内现场应急措施、突发环境事件厂区外应急措施和受伤人员现场救护、救治与医院救治。</w:t>
            </w:r>
          </w:p>
        </w:tc>
      </w:tr>
      <w:tr w14:paraId="1D3EE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vAlign w:val="center"/>
          </w:tcPr>
          <w:p w14:paraId="1D3EED47">
            <w:pPr>
              <w:widowControl/>
              <w:spacing w:line="240" w:lineRule="auto"/>
              <w:ind w:firstLine="0" w:firstLineChars="0"/>
              <w:jc w:val="left"/>
              <w:rPr>
                <w:szCs w:val="21"/>
              </w:rPr>
            </w:pPr>
          </w:p>
        </w:tc>
        <w:tc>
          <w:tcPr>
            <w:tcW w:w="690" w:type="dxa"/>
            <w:vMerge w:val="continue"/>
            <w:tcBorders>
              <w:tl2br w:val="nil"/>
              <w:tr2bl w:val="nil"/>
            </w:tcBorders>
            <w:vAlign w:val="center"/>
          </w:tcPr>
          <w:p w14:paraId="1D3EED48">
            <w:pPr>
              <w:widowControl/>
              <w:spacing w:line="240" w:lineRule="auto"/>
              <w:ind w:firstLine="0" w:firstLineChars="0"/>
              <w:jc w:val="left"/>
              <w:rPr>
                <w:szCs w:val="21"/>
              </w:rPr>
            </w:pPr>
          </w:p>
        </w:tc>
        <w:tc>
          <w:tcPr>
            <w:tcW w:w="880" w:type="dxa"/>
            <w:gridSpan w:val="2"/>
            <w:tcBorders>
              <w:tl2br w:val="nil"/>
              <w:tr2bl w:val="nil"/>
            </w:tcBorders>
            <w:vAlign w:val="center"/>
          </w:tcPr>
          <w:p w14:paraId="1D3EED49">
            <w:pPr>
              <w:spacing w:line="240" w:lineRule="auto"/>
              <w:ind w:firstLine="0" w:firstLineChars="0"/>
              <w:jc w:val="center"/>
              <w:rPr>
                <w:szCs w:val="21"/>
              </w:rPr>
            </w:pPr>
            <w:r>
              <w:rPr>
                <w:kern w:val="2"/>
                <w:sz w:val="21"/>
                <w:szCs w:val="21"/>
              </w:rPr>
              <w:t>应急监测</w:t>
            </w:r>
          </w:p>
        </w:tc>
        <w:tc>
          <w:tcPr>
            <w:tcW w:w="6126" w:type="dxa"/>
            <w:gridSpan w:val="2"/>
            <w:tcBorders>
              <w:tl2br w:val="nil"/>
              <w:tr2bl w:val="nil"/>
            </w:tcBorders>
            <w:vAlign w:val="center"/>
          </w:tcPr>
          <w:p w14:paraId="1D3EED4A">
            <w:pPr>
              <w:spacing w:line="240" w:lineRule="auto"/>
              <w:ind w:firstLine="0" w:firstLineChars="0"/>
              <w:rPr>
                <w:spacing w:val="-2"/>
                <w:szCs w:val="21"/>
              </w:rPr>
            </w:pPr>
            <w:r>
              <w:rPr>
                <w:spacing w:val="-2"/>
                <w:kern w:val="2"/>
                <w:sz w:val="21"/>
                <w:szCs w:val="21"/>
              </w:rPr>
              <w:t>企业单位应根据事件发生时可能产生的污染物种类和性质，配置（或依托其他单位配置）必要的监测设备、器材和环境监测人员。当地环境应急监测部门或企业内部环境应急监测组应迅速组织监测人员赶赴事件现场，根据实际情况，迅速确定监测方案（包括废水和废气监测布点、频次、项目和方法等），及时开展应急监测工作，</w:t>
            </w:r>
          </w:p>
        </w:tc>
      </w:tr>
      <w:tr w14:paraId="1D3EE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vAlign w:val="center"/>
          </w:tcPr>
          <w:p w14:paraId="1D3EED4C">
            <w:pPr>
              <w:widowControl/>
              <w:spacing w:line="240" w:lineRule="auto"/>
              <w:ind w:firstLine="0" w:firstLineChars="0"/>
              <w:jc w:val="left"/>
              <w:rPr>
                <w:szCs w:val="21"/>
              </w:rPr>
            </w:pPr>
          </w:p>
        </w:tc>
        <w:tc>
          <w:tcPr>
            <w:tcW w:w="690" w:type="dxa"/>
            <w:vMerge w:val="continue"/>
            <w:tcBorders>
              <w:tl2br w:val="nil"/>
              <w:tr2bl w:val="nil"/>
            </w:tcBorders>
            <w:vAlign w:val="center"/>
          </w:tcPr>
          <w:p w14:paraId="1D3EED4D">
            <w:pPr>
              <w:widowControl/>
              <w:spacing w:line="240" w:lineRule="auto"/>
              <w:ind w:firstLine="0" w:firstLineChars="0"/>
              <w:jc w:val="left"/>
              <w:rPr>
                <w:szCs w:val="21"/>
              </w:rPr>
            </w:pPr>
          </w:p>
        </w:tc>
        <w:tc>
          <w:tcPr>
            <w:tcW w:w="880" w:type="dxa"/>
            <w:gridSpan w:val="2"/>
            <w:tcBorders>
              <w:tl2br w:val="nil"/>
              <w:tr2bl w:val="nil"/>
            </w:tcBorders>
            <w:vAlign w:val="center"/>
          </w:tcPr>
          <w:p w14:paraId="1D3EED4E">
            <w:pPr>
              <w:spacing w:line="240" w:lineRule="auto"/>
              <w:ind w:firstLine="0" w:firstLineChars="0"/>
              <w:jc w:val="center"/>
              <w:rPr>
                <w:szCs w:val="21"/>
              </w:rPr>
            </w:pPr>
            <w:r>
              <w:rPr>
                <w:kern w:val="2"/>
                <w:sz w:val="21"/>
                <w:szCs w:val="21"/>
              </w:rPr>
              <w:t>信息报告</w:t>
            </w:r>
          </w:p>
        </w:tc>
        <w:tc>
          <w:tcPr>
            <w:tcW w:w="6126" w:type="dxa"/>
            <w:gridSpan w:val="2"/>
            <w:tcBorders>
              <w:tl2br w:val="nil"/>
              <w:tr2bl w:val="nil"/>
            </w:tcBorders>
            <w:vAlign w:val="center"/>
          </w:tcPr>
          <w:p w14:paraId="1D3EED4F">
            <w:pPr>
              <w:spacing w:line="240" w:lineRule="auto"/>
              <w:ind w:firstLine="0" w:firstLineChars="0"/>
              <w:rPr>
                <w:szCs w:val="21"/>
              </w:rPr>
            </w:pPr>
            <w:r>
              <w:rPr>
                <w:kern w:val="2"/>
                <w:sz w:val="21"/>
                <w:szCs w:val="21"/>
              </w:rPr>
              <w:t>突发环境事件发生后，要及时发布准确、权威的信息，正确引导社会舆论。</w:t>
            </w:r>
          </w:p>
        </w:tc>
      </w:tr>
      <w:tr w14:paraId="1D3EE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vAlign w:val="center"/>
          </w:tcPr>
          <w:p w14:paraId="1D3EED51">
            <w:pPr>
              <w:widowControl/>
              <w:spacing w:line="240" w:lineRule="auto"/>
              <w:ind w:firstLine="0" w:firstLineChars="0"/>
              <w:jc w:val="left"/>
              <w:rPr>
                <w:szCs w:val="21"/>
              </w:rPr>
            </w:pPr>
          </w:p>
        </w:tc>
        <w:tc>
          <w:tcPr>
            <w:tcW w:w="690" w:type="dxa"/>
            <w:vMerge w:val="continue"/>
            <w:tcBorders>
              <w:tl2br w:val="nil"/>
              <w:tr2bl w:val="nil"/>
            </w:tcBorders>
            <w:vAlign w:val="center"/>
          </w:tcPr>
          <w:p w14:paraId="1D3EED52">
            <w:pPr>
              <w:widowControl/>
              <w:spacing w:line="240" w:lineRule="auto"/>
              <w:ind w:firstLine="0" w:firstLineChars="0"/>
              <w:jc w:val="left"/>
              <w:rPr>
                <w:szCs w:val="21"/>
              </w:rPr>
            </w:pPr>
          </w:p>
        </w:tc>
        <w:tc>
          <w:tcPr>
            <w:tcW w:w="880" w:type="dxa"/>
            <w:gridSpan w:val="2"/>
            <w:tcBorders>
              <w:tl2br w:val="nil"/>
              <w:tr2bl w:val="nil"/>
            </w:tcBorders>
            <w:vAlign w:val="center"/>
          </w:tcPr>
          <w:p w14:paraId="1D3EED53">
            <w:pPr>
              <w:spacing w:line="240" w:lineRule="auto"/>
              <w:ind w:firstLine="0" w:firstLineChars="0"/>
              <w:jc w:val="center"/>
              <w:rPr>
                <w:szCs w:val="21"/>
              </w:rPr>
            </w:pPr>
            <w:r>
              <w:rPr>
                <w:kern w:val="2"/>
                <w:sz w:val="21"/>
                <w:szCs w:val="21"/>
              </w:rPr>
              <w:t>应急终止</w:t>
            </w:r>
          </w:p>
        </w:tc>
        <w:tc>
          <w:tcPr>
            <w:tcW w:w="6126" w:type="dxa"/>
            <w:gridSpan w:val="2"/>
            <w:tcBorders>
              <w:tl2br w:val="nil"/>
              <w:tr2bl w:val="nil"/>
            </w:tcBorders>
            <w:vAlign w:val="center"/>
          </w:tcPr>
          <w:p w14:paraId="1D3EED54">
            <w:pPr>
              <w:spacing w:line="240" w:lineRule="auto"/>
              <w:ind w:firstLine="0" w:firstLineChars="0"/>
              <w:rPr>
                <w:szCs w:val="21"/>
              </w:rPr>
            </w:pPr>
            <w:r>
              <w:rPr>
                <w:kern w:val="2"/>
                <w:sz w:val="21"/>
                <w:szCs w:val="21"/>
              </w:rPr>
              <w:t>（1）明确应急终止的条件。事件现场得以控制，环境符合有关标准，导致次生衍生事件隐患消除后，经事件现场应急指挥机构批准后，现场应急结束；</w:t>
            </w:r>
          </w:p>
          <w:p w14:paraId="1D3EED55">
            <w:pPr>
              <w:spacing w:line="240" w:lineRule="auto"/>
              <w:ind w:firstLine="0" w:firstLineChars="0"/>
              <w:rPr>
                <w:szCs w:val="21"/>
              </w:rPr>
            </w:pPr>
            <w:r>
              <w:rPr>
                <w:kern w:val="2"/>
                <w:sz w:val="21"/>
                <w:szCs w:val="21"/>
              </w:rPr>
              <w:t>（2）明确应急终止的程序和措施；</w:t>
            </w:r>
          </w:p>
          <w:p w14:paraId="1D3EED56">
            <w:pPr>
              <w:spacing w:line="240" w:lineRule="auto"/>
              <w:ind w:firstLine="0" w:firstLineChars="0"/>
              <w:rPr>
                <w:szCs w:val="21"/>
              </w:rPr>
            </w:pPr>
            <w:r>
              <w:rPr>
                <w:kern w:val="2"/>
                <w:sz w:val="21"/>
                <w:szCs w:val="21"/>
              </w:rPr>
              <w:t>（3）明确应急状态终止后，继续进行跟踪环境监测和评估工作的方案。</w:t>
            </w:r>
          </w:p>
        </w:tc>
      </w:tr>
      <w:tr w14:paraId="1D3EE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58">
            <w:pPr>
              <w:spacing w:line="240" w:lineRule="auto"/>
              <w:ind w:firstLine="0" w:firstLineChars="0"/>
              <w:jc w:val="center"/>
              <w:rPr>
                <w:szCs w:val="21"/>
              </w:rPr>
            </w:pPr>
            <w:r>
              <w:rPr>
                <w:kern w:val="2"/>
                <w:sz w:val="21"/>
                <w:szCs w:val="21"/>
              </w:rPr>
              <w:t>7</w:t>
            </w:r>
          </w:p>
        </w:tc>
        <w:tc>
          <w:tcPr>
            <w:tcW w:w="690" w:type="dxa"/>
            <w:tcBorders>
              <w:tl2br w:val="nil"/>
              <w:tr2bl w:val="nil"/>
            </w:tcBorders>
            <w:vAlign w:val="center"/>
          </w:tcPr>
          <w:p w14:paraId="1D3EED59">
            <w:pPr>
              <w:spacing w:line="240" w:lineRule="auto"/>
              <w:ind w:firstLine="0" w:firstLineChars="0"/>
              <w:jc w:val="center"/>
              <w:rPr>
                <w:szCs w:val="21"/>
              </w:rPr>
            </w:pPr>
            <w:r>
              <w:rPr>
                <w:kern w:val="2"/>
                <w:sz w:val="21"/>
                <w:szCs w:val="21"/>
              </w:rPr>
              <w:t>后期</w:t>
            </w:r>
          </w:p>
          <w:p w14:paraId="1D3EED5A">
            <w:pPr>
              <w:spacing w:line="240" w:lineRule="auto"/>
              <w:ind w:firstLine="0" w:firstLineChars="0"/>
              <w:jc w:val="center"/>
              <w:rPr>
                <w:szCs w:val="21"/>
              </w:rPr>
            </w:pPr>
            <w:r>
              <w:rPr>
                <w:kern w:val="2"/>
                <w:sz w:val="21"/>
                <w:szCs w:val="21"/>
              </w:rPr>
              <w:t>处置</w:t>
            </w:r>
          </w:p>
        </w:tc>
        <w:tc>
          <w:tcPr>
            <w:tcW w:w="7006" w:type="dxa"/>
            <w:gridSpan w:val="4"/>
            <w:tcBorders>
              <w:tl2br w:val="nil"/>
              <w:tr2bl w:val="nil"/>
            </w:tcBorders>
            <w:vAlign w:val="center"/>
          </w:tcPr>
          <w:p w14:paraId="1D3EED5B">
            <w:pPr>
              <w:spacing w:line="240" w:lineRule="auto"/>
              <w:ind w:firstLine="0" w:firstLineChars="0"/>
              <w:jc w:val="center"/>
              <w:rPr>
                <w:spacing w:val="-4"/>
                <w:szCs w:val="21"/>
              </w:rPr>
            </w:pPr>
            <w:r>
              <w:rPr>
                <w:spacing w:val="-4"/>
                <w:kern w:val="2"/>
                <w:sz w:val="21"/>
                <w:szCs w:val="21"/>
              </w:rPr>
              <w:t>应明确受灾人员安置及损失补偿；对生态环境的恢复；应急过程评价；事件原因、损失调查与责任认定；提出事件应急救援工作总结报告；环境应急预案的修订；维护、保养、增补应急物资及仪器设备</w:t>
            </w:r>
          </w:p>
        </w:tc>
      </w:tr>
      <w:tr w14:paraId="1D3EE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5D">
            <w:pPr>
              <w:spacing w:line="240" w:lineRule="auto"/>
              <w:ind w:firstLine="0" w:firstLineChars="0"/>
              <w:jc w:val="center"/>
              <w:rPr>
                <w:szCs w:val="21"/>
              </w:rPr>
            </w:pPr>
            <w:r>
              <w:rPr>
                <w:kern w:val="2"/>
                <w:sz w:val="21"/>
                <w:szCs w:val="21"/>
              </w:rPr>
              <w:t>8</w:t>
            </w:r>
          </w:p>
        </w:tc>
        <w:tc>
          <w:tcPr>
            <w:tcW w:w="690" w:type="dxa"/>
            <w:tcBorders>
              <w:tl2br w:val="nil"/>
              <w:tr2bl w:val="nil"/>
            </w:tcBorders>
            <w:vAlign w:val="center"/>
          </w:tcPr>
          <w:p w14:paraId="1D3EED5E">
            <w:pPr>
              <w:spacing w:line="240" w:lineRule="auto"/>
              <w:ind w:firstLine="0" w:firstLineChars="0"/>
              <w:jc w:val="center"/>
              <w:rPr>
                <w:spacing w:val="-6"/>
                <w:szCs w:val="21"/>
              </w:rPr>
            </w:pPr>
            <w:r>
              <w:rPr>
                <w:spacing w:val="-6"/>
                <w:kern w:val="2"/>
                <w:sz w:val="21"/>
                <w:szCs w:val="21"/>
              </w:rPr>
              <w:t>应急培训和演练</w:t>
            </w:r>
          </w:p>
        </w:tc>
        <w:tc>
          <w:tcPr>
            <w:tcW w:w="7006" w:type="dxa"/>
            <w:gridSpan w:val="4"/>
            <w:tcBorders>
              <w:tl2br w:val="nil"/>
              <w:tr2bl w:val="nil"/>
            </w:tcBorders>
            <w:vAlign w:val="center"/>
          </w:tcPr>
          <w:p w14:paraId="1D3EED5F">
            <w:pPr>
              <w:spacing w:line="240" w:lineRule="auto"/>
              <w:ind w:firstLine="0" w:firstLineChars="0"/>
              <w:jc w:val="center"/>
              <w:rPr>
                <w:spacing w:val="-4"/>
                <w:szCs w:val="21"/>
              </w:rPr>
            </w:pPr>
            <w:r>
              <w:rPr>
                <w:spacing w:val="-4"/>
                <w:kern w:val="2"/>
                <w:sz w:val="21"/>
                <w:szCs w:val="21"/>
              </w:rPr>
              <w:t>制定培训计划，明确各类人员培训内容方法、时间地点和频次等；明确企业单位根据环境应急预案进行演练的内容、范围和频次等内容。</w:t>
            </w:r>
          </w:p>
        </w:tc>
      </w:tr>
      <w:tr w14:paraId="1D3EED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61">
            <w:pPr>
              <w:spacing w:line="240" w:lineRule="auto"/>
              <w:ind w:firstLine="0" w:firstLineChars="0"/>
              <w:jc w:val="center"/>
              <w:rPr>
                <w:szCs w:val="21"/>
              </w:rPr>
            </w:pPr>
            <w:r>
              <w:rPr>
                <w:kern w:val="2"/>
                <w:sz w:val="21"/>
                <w:szCs w:val="21"/>
              </w:rPr>
              <w:t>9</w:t>
            </w:r>
          </w:p>
        </w:tc>
        <w:tc>
          <w:tcPr>
            <w:tcW w:w="690" w:type="dxa"/>
            <w:tcBorders>
              <w:tl2br w:val="nil"/>
              <w:tr2bl w:val="nil"/>
            </w:tcBorders>
            <w:vAlign w:val="center"/>
          </w:tcPr>
          <w:p w14:paraId="1D3EED62">
            <w:pPr>
              <w:spacing w:line="240" w:lineRule="auto"/>
              <w:ind w:firstLine="0" w:firstLineChars="0"/>
              <w:jc w:val="center"/>
              <w:rPr>
                <w:szCs w:val="21"/>
              </w:rPr>
            </w:pPr>
            <w:r>
              <w:rPr>
                <w:kern w:val="2"/>
                <w:sz w:val="21"/>
                <w:szCs w:val="21"/>
              </w:rPr>
              <w:t>奖惩</w:t>
            </w:r>
          </w:p>
        </w:tc>
        <w:tc>
          <w:tcPr>
            <w:tcW w:w="7006" w:type="dxa"/>
            <w:gridSpan w:val="4"/>
            <w:tcBorders>
              <w:tl2br w:val="nil"/>
              <w:tr2bl w:val="nil"/>
            </w:tcBorders>
            <w:vAlign w:val="center"/>
          </w:tcPr>
          <w:p w14:paraId="1D3EED63">
            <w:pPr>
              <w:spacing w:line="240" w:lineRule="auto"/>
              <w:ind w:firstLine="0" w:firstLineChars="0"/>
              <w:jc w:val="center"/>
              <w:rPr>
                <w:szCs w:val="21"/>
              </w:rPr>
            </w:pPr>
            <w:r>
              <w:rPr>
                <w:kern w:val="2"/>
                <w:sz w:val="21"/>
                <w:szCs w:val="21"/>
              </w:rPr>
              <w:t>明确突发环境事件应急救援工作中奖励和处罚的条件和内容。</w:t>
            </w:r>
          </w:p>
        </w:tc>
      </w:tr>
      <w:tr w14:paraId="1D3EE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restart"/>
            <w:tcBorders>
              <w:tl2br w:val="nil"/>
              <w:tr2bl w:val="nil"/>
            </w:tcBorders>
            <w:vAlign w:val="center"/>
          </w:tcPr>
          <w:p w14:paraId="1D3EED65">
            <w:pPr>
              <w:spacing w:line="240" w:lineRule="auto"/>
              <w:ind w:firstLine="0" w:firstLineChars="0"/>
              <w:jc w:val="center"/>
              <w:rPr>
                <w:szCs w:val="21"/>
              </w:rPr>
            </w:pPr>
            <w:r>
              <w:rPr>
                <w:kern w:val="2"/>
                <w:sz w:val="21"/>
                <w:szCs w:val="21"/>
              </w:rPr>
              <w:t>10</w:t>
            </w:r>
          </w:p>
        </w:tc>
        <w:tc>
          <w:tcPr>
            <w:tcW w:w="690" w:type="dxa"/>
            <w:vMerge w:val="restart"/>
            <w:tcBorders>
              <w:tl2br w:val="nil"/>
              <w:tr2bl w:val="nil"/>
            </w:tcBorders>
            <w:vAlign w:val="center"/>
          </w:tcPr>
          <w:p w14:paraId="1D3EED66">
            <w:pPr>
              <w:spacing w:line="240" w:lineRule="auto"/>
              <w:ind w:firstLine="0" w:firstLineChars="0"/>
              <w:jc w:val="center"/>
              <w:rPr>
                <w:szCs w:val="21"/>
              </w:rPr>
            </w:pPr>
            <w:r>
              <w:rPr>
                <w:kern w:val="2"/>
                <w:sz w:val="21"/>
                <w:szCs w:val="21"/>
              </w:rPr>
              <w:t>保障</w:t>
            </w:r>
          </w:p>
          <w:p w14:paraId="1D3EED67">
            <w:pPr>
              <w:spacing w:line="240" w:lineRule="auto"/>
              <w:ind w:firstLine="0" w:firstLineChars="0"/>
              <w:jc w:val="center"/>
              <w:rPr>
                <w:szCs w:val="21"/>
              </w:rPr>
            </w:pPr>
            <w:r>
              <w:rPr>
                <w:kern w:val="2"/>
                <w:sz w:val="21"/>
                <w:szCs w:val="21"/>
              </w:rPr>
              <w:t>措施</w:t>
            </w:r>
          </w:p>
        </w:tc>
        <w:tc>
          <w:tcPr>
            <w:tcW w:w="1120" w:type="dxa"/>
            <w:gridSpan w:val="3"/>
            <w:tcBorders>
              <w:tl2br w:val="nil"/>
              <w:tr2bl w:val="nil"/>
            </w:tcBorders>
            <w:vAlign w:val="center"/>
          </w:tcPr>
          <w:p w14:paraId="1D3EED68">
            <w:pPr>
              <w:spacing w:line="240" w:lineRule="auto"/>
              <w:ind w:firstLine="0" w:firstLineChars="0"/>
              <w:jc w:val="center"/>
              <w:rPr>
                <w:szCs w:val="21"/>
              </w:rPr>
            </w:pPr>
            <w:r>
              <w:rPr>
                <w:kern w:val="2"/>
                <w:sz w:val="21"/>
                <w:szCs w:val="21"/>
              </w:rPr>
              <w:t>通信与信息保障</w:t>
            </w:r>
          </w:p>
        </w:tc>
        <w:tc>
          <w:tcPr>
            <w:tcW w:w="5886" w:type="dxa"/>
            <w:tcBorders>
              <w:tl2br w:val="nil"/>
              <w:tr2bl w:val="nil"/>
            </w:tcBorders>
            <w:vAlign w:val="center"/>
          </w:tcPr>
          <w:p w14:paraId="1D3EED69">
            <w:pPr>
              <w:spacing w:line="240" w:lineRule="auto"/>
              <w:ind w:firstLine="0" w:firstLineChars="0"/>
              <w:rPr>
                <w:szCs w:val="21"/>
              </w:rPr>
            </w:pPr>
            <w:r>
              <w:rPr>
                <w:kern w:val="2"/>
                <w:sz w:val="21"/>
                <w:szCs w:val="21"/>
              </w:rPr>
              <w:t>明确与应急工作相关联的单位或人员通信联系方式，并提供备用方案。建立信息通信系统及维护方案，确保应急期间信息通畅</w:t>
            </w:r>
          </w:p>
        </w:tc>
      </w:tr>
      <w:tr w14:paraId="1D3EE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vAlign w:val="center"/>
          </w:tcPr>
          <w:p w14:paraId="1D3EED6B">
            <w:pPr>
              <w:widowControl/>
              <w:spacing w:line="240" w:lineRule="auto"/>
              <w:ind w:firstLine="0" w:firstLineChars="0"/>
              <w:jc w:val="left"/>
              <w:rPr>
                <w:szCs w:val="21"/>
              </w:rPr>
            </w:pPr>
          </w:p>
        </w:tc>
        <w:tc>
          <w:tcPr>
            <w:tcW w:w="690" w:type="dxa"/>
            <w:vMerge w:val="continue"/>
            <w:tcBorders>
              <w:tl2br w:val="nil"/>
              <w:tr2bl w:val="nil"/>
            </w:tcBorders>
            <w:vAlign w:val="center"/>
          </w:tcPr>
          <w:p w14:paraId="1D3EED6C">
            <w:pPr>
              <w:widowControl/>
              <w:spacing w:line="240" w:lineRule="auto"/>
              <w:ind w:firstLine="0" w:firstLineChars="0"/>
              <w:jc w:val="left"/>
              <w:rPr>
                <w:szCs w:val="21"/>
              </w:rPr>
            </w:pPr>
          </w:p>
        </w:tc>
        <w:tc>
          <w:tcPr>
            <w:tcW w:w="1120" w:type="dxa"/>
            <w:gridSpan w:val="3"/>
            <w:tcBorders>
              <w:tl2br w:val="nil"/>
              <w:tr2bl w:val="nil"/>
            </w:tcBorders>
            <w:vAlign w:val="center"/>
          </w:tcPr>
          <w:p w14:paraId="1D3EED6D">
            <w:pPr>
              <w:spacing w:line="240" w:lineRule="auto"/>
              <w:ind w:firstLine="0" w:firstLineChars="0"/>
              <w:jc w:val="center"/>
              <w:rPr>
                <w:szCs w:val="21"/>
              </w:rPr>
            </w:pPr>
            <w:r>
              <w:rPr>
                <w:kern w:val="2"/>
                <w:sz w:val="21"/>
                <w:szCs w:val="21"/>
              </w:rPr>
              <w:t>应急队伍保障</w:t>
            </w:r>
          </w:p>
        </w:tc>
        <w:tc>
          <w:tcPr>
            <w:tcW w:w="5886" w:type="dxa"/>
            <w:tcBorders>
              <w:tl2br w:val="nil"/>
              <w:tr2bl w:val="nil"/>
            </w:tcBorders>
            <w:vAlign w:val="center"/>
          </w:tcPr>
          <w:p w14:paraId="1D3EED6E">
            <w:pPr>
              <w:spacing w:line="240" w:lineRule="auto"/>
              <w:ind w:firstLine="0" w:firstLineChars="0"/>
              <w:rPr>
                <w:szCs w:val="21"/>
              </w:rPr>
            </w:pPr>
            <w:r>
              <w:rPr>
                <w:kern w:val="2"/>
                <w:sz w:val="21"/>
                <w:szCs w:val="21"/>
              </w:rPr>
              <w:t>明确各类应急队伍的组成，包括专业应急队伍、兼职应急队伍及志愿者等社会团体的组织与保障方案</w:t>
            </w:r>
          </w:p>
        </w:tc>
      </w:tr>
      <w:tr w14:paraId="1D3EE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vAlign w:val="center"/>
          </w:tcPr>
          <w:p w14:paraId="1D3EED70">
            <w:pPr>
              <w:widowControl/>
              <w:spacing w:line="240" w:lineRule="auto"/>
              <w:ind w:firstLine="0" w:firstLineChars="0"/>
              <w:jc w:val="left"/>
              <w:rPr>
                <w:szCs w:val="21"/>
                <w:highlight w:val="yellow"/>
              </w:rPr>
            </w:pPr>
          </w:p>
        </w:tc>
        <w:tc>
          <w:tcPr>
            <w:tcW w:w="690" w:type="dxa"/>
            <w:vMerge w:val="continue"/>
            <w:tcBorders>
              <w:tl2br w:val="nil"/>
              <w:tr2bl w:val="nil"/>
            </w:tcBorders>
            <w:vAlign w:val="center"/>
          </w:tcPr>
          <w:p w14:paraId="1D3EED71">
            <w:pPr>
              <w:widowControl/>
              <w:spacing w:line="240" w:lineRule="auto"/>
              <w:ind w:firstLine="0" w:firstLineChars="0"/>
              <w:jc w:val="left"/>
              <w:rPr>
                <w:szCs w:val="21"/>
                <w:highlight w:val="yellow"/>
              </w:rPr>
            </w:pPr>
          </w:p>
        </w:tc>
        <w:tc>
          <w:tcPr>
            <w:tcW w:w="1120" w:type="dxa"/>
            <w:gridSpan w:val="3"/>
            <w:tcBorders>
              <w:tl2br w:val="nil"/>
              <w:tr2bl w:val="nil"/>
            </w:tcBorders>
            <w:vAlign w:val="center"/>
          </w:tcPr>
          <w:p w14:paraId="1D3EED72">
            <w:pPr>
              <w:spacing w:line="240" w:lineRule="auto"/>
              <w:ind w:firstLine="0" w:firstLineChars="0"/>
              <w:jc w:val="center"/>
              <w:rPr>
                <w:szCs w:val="21"/>
              </w:rPr>
            </w:pPr>
            <w:r>
              <w:rPr>
                <w:kern w:val="2"/>
                <w:sz w:val="21"/>
                <w:szCs w:val="21"/>
              </w:rPr>
              <w:t>应急物资装备保障</w:t>
            </w:r>
          </w:p>
        </w:tc>
        <w:tc>
          <w:tcPr>
            <w:tcW w:w="5886" w:type="dxa"/>
            <w:tcBorders>
              <w:tl2br w:val="nil"/>
              <w:tr2bl w:val="nil"/>
            </w:tcBorders>
            <w:vAlign w:val="center"/>
          </w:tcPr>
          <w:p w14:paraId="1D3EED73">
            <w:pPr>
              <w:spacing w:line="240" w:lineRule="auto"/>
              <w:ind w:firstLine="0" w:firstLineChars="0"/>
              <w:rPr>
                <w:szCs w:val="21"/>
              </w:rPr>
            </w:pPr>
            <w:r>
              <w:rPr>
                <w:kern w:val="2"/>
                <w:sz w:val="21"/>
                <w:szCs w:val="21"/>
              </w:rPr>
              <w:t>明确应急救援需要使用的应急物资和装备的类型、数量、性能、存放位置、管理责任人及其联系方式等内容</w:t>
            </w:r>
          </w:p>
        </w:tc>
      </w:tr>
      <w:tr w14:paraId="1D3EE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vAlign w:val="center"/>
          </w:tcPr>
          <w:p w14:paraId="1D3EED75">
            <w:pPr>
              <w:widowControl/>
              <w:spacing w:line="240" w:lineRule="auto"/>
              <w:ind w:firstLine="0" w:firstLineChars="0"/>
              <w:jc w:val="left"/>
              <w:rPr>
                <w:szCs w:val="21"/>
                <w:highlight w:val="yellow"/>
              </w:rPr>
            </w:pPr>
          </w:p>
        </w:tc>
        <w:tc>
          <w:tcPr>
            <w:tcW w:w="690" w:type="dxa"/>
            <w:vMerge w:val="continue"/>
            <w:tcBorders>
              <w:tl2br w:val="nil"/>
              <w:tr2bl w:val="nil"/>
            </w:tcBorders>
            <w:vAlign w:val="center"/>
          </w:tcPr>
          <w:p w14:paraId="1D3EED76">
            <w:pPr>
              <w:widowControl/>
              <w:spacing w:line="240" w:lineRule="auto"/>
              <w:ind w:firstLine="0" w:firstLineChars="0"/>
              <w:jc w:val="left"/>
              <w:rPr>
                <w:szCs w:val="21"/>
                <w:highlight w:val="yellow"/>
              </w:rPr>
            </w:pPr>
          </w:p>
        </w:tc>
        <w:tc>
          <w:tcPr>
            <w:tcW w:w="1120" w:type="dxa"/>
            <w:gridSpan w:val="3"/>
            <w:tcBorders>
              <w:tl2br w:val="nil"/>
              <w:tr2bl w:val="nil"/>
            </w:tcBorders>
            <w:vAlign w:val="center"/>
          </w:tcPr>
          <w:p w14:paraId="1D3EED77">
            <w:pPr>
              <w:spacing w:line="240" w:lineRule="auto"/>
              <w:ind w:firstLine="0" w:firstLineChars="0"/>
              <w:jc w:val="center"/>
              <w:rPr>
                <w:szCs w:val="21"/>
              </w:rPr>
            </w:pPr>
            <w:r>
              <w:rPr>
                <w:kern w:val="2"/>
                <w:sz w:val="21"/>
                <w:szCs w:val="21"/>
              </w:rPr>
              <w:t>经费保障</w:t>
            </w:r>
          </w:p>
        </w:tc>
        <w:tc>
          <w:tcPr>
            <w:tcW w:w="5886" w:type="dxa"/>
            <w:tcBorders>
              <w:tl2br w:val="nil"/>
              <w:tr2bl w:val="nil"/>
            </w:tcBorders>
            <w:vAlign w:val="center"/>
          </w:tcPr>
          <w:p w14:paraId="1D3EED78">
            <w:pPr>
              <w:spacing w:line="240" w:lineRule="auto"/>
              <w:ind w:firstLine="0" w:firstLineChars="0"/>
              <w:rPr>
                <w:spacing w:val="-4"/>
                <w:szCs w:val="21"/>
              </w:rPr>
            </w:pPr>
            <w:r>
              <w:rPr>
                <w:spacing w:val="-4"/>
                <w:kern w:val="2"/>
                <w:sz w:val="21"/>
                <w:szCs w:val="21"/>
              </w:rPr>
              <w:t>明确应急专项经费（如培训、演练经费，应急物资购置、维护费用和事件处置费用等）来源、使用范围、数量和监督管理措施，保障应急状态时单位应急经费的及时到位</w:t>
            </w:r>
          </w:p>
        </w:tc>
      </w:tr>
      <w:tr w14:paraId="1D3EE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vMerge w:val="continue"/>
            <w:tcBorders>
              <w:tl2br w:val="nil"/>
              <w:tr2bl w:val="nil"/>
            </w:tcBorders>
            <w:vAlign w:val="center"/>
          </w:tcPr>
          <w:p w14:paraId="1D3EED7A">
            <w:pPr>
              <w:widowControl/>
              <w:spacing w:line="240" w:lineRule="auto"/>
              <w:ind w:firstLine="0" w:firstLineChars="0"/>
              <w:jc w:val="left"/>
              <w:rPr>
                <w:szCs w:val="21"/>
                <w:highlight w:val="yellow"/>
              </w:rPr>
            </w:pPr>
          </w:p>
        </w:tc>
        <w:tc>
          <w:tcPr>
            <w:tcW w:w="690" w:type="dxa"/>
            <w:vMerge w:val="continue"/>
            <w:tcBorders>
              <w:tl2br w:val="nil"/>
              <w:tr2bl w:val="nil"/>
            </w:tcBorders>
            <w:vAlign w:val="center"/>
          </w:tcPr>
          <w:p w14:paraId="1D3EED7B">
            <w:pPr>
              <w:widowControl/>
              <w:spacing w:line="240" w:lineRule="auto"/>
              <w:ind w:firstLine="0" w:firstLineChars="0"/>
              <w:jc w:val="left"/>
              <w:rPr>
                <w:szCs w:val="21"/>
                <w:highlight w:val="yellow"/>
              </w:rPr>
            </w:pPr>
          </w:p>
        </w:tc>
        <w:tc>
          <w:tcPr>
            <w:tcW w:w="1120" w:type="dxa"/>
            <w:gridSpan w:val="3"/>
            <w:tcBorders>
              <w:tl2br w:val="nil"/>
              <w:tr2bl w:val="nil"/>
            </w:tcBorders>
            <w:vAlign w:val="center"/>
          </w:tcPr>
          <w:p w14:paraId="1D3EED7C">
            <w:pPr>
              <w:spacing w:line="240" w:lineRule="auto"/>
              <w:ind w:firstLine="0" w:firstLineChars="0"/>
              <w:jc w:val="center"/>
              <w:rPr>
                <w:szCs w:val="21"/>
              </w:rPr>
            </w:pPr>
            <w:r>
              <w:rPr>
                <w:kern w:val="2"/>
                <w:sz w:val="21"/>
                <w:szCs w:val="21"/>
              </w:rPr>
              <w:t>其它保障</w:t>
            </w:r>
          </w:p>
        </w:tc>
        <w:tc>
          <w:tcPr>
            <w:tcW w:w="5886" w:type="dxa"/>
            <w:tcBorders>
              <w:tl2br w:val="nil"/>
              <w:tr2bl w:val="nil"/>
            </w:tcBorders>
            <w:vAlign w:val="center"/>
          </w:tcPr>
          <w:p w14:paraId="1D3EED7D">
            <w:pPr>
              <w:spacing w:line="240" w:lineRule="auto"/>
              <w:ind w:firstLine="0" w:firstLineChars="0"/>
              <w:rPr>
                <w:szCs w:val="21"/>
              </w:rPr>
            </w:pPr>
            <w:r>
              <w:rPr>
                <w:kern w:val="2"/>
                <w:sz w:val="21"/>
                <w:szCs w:val="21"/>
              </w:rPr>
              <w:t>根据本单位应急工作需求而确定的其他相关保障措施，如：交通运输保障、治安保障、技术保障、医疗保障、后勤保障等。</w:t>
            </w:r>
          </w:p>
        </w:tc>
      </w:tr>
      <w:tr w14:paraId="1D3EE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7F">
            <w:pPr>
              <w:spacing w:line="240" w:lineRule="auto"/>
              <w:ind w:firstLine="0" w:firstLineChars="0"/>
              <w:jc w:val="center"/>
              <w:rPr>
                <w:szCs w:val="21"/>
              </w:rPr>
            </w:pPr>
            <w:r>
              <w:rPr>
                <w:kern w:val="2"/>
                <w:sz w:val="21"/>
                <w:szCs w:val="21"/>
              </w:rPr>
              <w:t>11</w:t>
            </w:r>
          </w:p>
        </w:tc>
        <w:tc>
          <w:tcPr>
            <w:tcW w:w="1810" w:type="dxa"/>
            <w:gridSpan w:val="4"/>
            <w:tcBorders>
              <w:tl2br w:val="nil"/>
              <w:tr2bl w:val="nil"/>
            </w:tcBorders>
            <w:vAlign w:val="center"/>
          </w:tcPr>
          <w:p w14:paraId="1D3EED80">
            <w:pPr>
              <w:spacing w:line="240" w:lineRule="auto"/>
              <w:ind w:firstLine="0" w:firstLineChars="0"/>
              <w:jc w:val="center"/>
              <w:rPr>
                <w:szCs w:val="21"/>
              </w:rPr>
            </w:pPr>
            <w:r>
              <w:rPr>
                <w:kern w:val="2"/>
                <w:sz w:val="21"/>
                <w:szCs w:val="21"/>
              </w:rPr>
              <w:t>预案的修订、评估和备案</w:t>
            </w:r>
          </w:p>
        </w:tc>
        <w:tc>
          <w:tcPr>
            <w:tcW w:w="5886" w:type="dxa"/>
            <w:tcBorders>
              <w:tl2br w:val="nil"/>
              <w:tr2bl w:val="nil"/>
            </w:tcBorders>
            <w:vAlign w:val="center"/>
          </w:tcPr>
          <w:p w14:paraId="1D3EED81">
            <w:pPr>
              <w:spacing w:line="240" w:lineRule="auto"/>
              <w:ind w:firstLine="0" w:firstLineChars="0"/>
              <w:rPr>
                <w:szCs w:val="21"/>
              </w:rPr>
            </w:pPr>
            <w:r>
              <w:rPr>
                <w:kern w:val="2"/>
                <w:sz w:val="21"/>
                <w:szCs w:val="21"/>
              </w:rPr>
              <w:t>明确预案的修订条件、评估方式方法、备案部门与时限等要求</w:t>
            </w:r>
          </w:p>
        </w:tc>
      </w:tr>
      <w:tr w14:paraId="1D3EE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83">
            <w:pPr>
              <w:spacing w:line="240" w:lineRule="auto"/>
              <w:ind w:firstLine="0" w:firstLineChars="0"/>
              <w:jc w:val="center"/>
              <w:rPr>
                <w:szCs w:val="21"/>
              </w:rPr>
            </w:pPr>
            <w:r>
              <w:rPr>
                <w:kern w:val="2"/>
                <w:sz w:val="21"/>
                <w:szCs w:val="21"/>
              </w:rPr>
              <w:t>12</w:t>
            </w:r>
          </w:p>
        </w:tc>
        <w:tc>
          <w:tcPr>
            <w:tcW w:w="1810" w:type="dxa"/>
            <w:gridSpan w:val="4"/>
            <w:tcBorders>
              <w:tl2br w:val="nil"/>
              <w:tr2bl w:val="nil"/>
            </w:tcBorders>
            <w:vAlign w:val="center"/>
          </w:tcPr>
          <w:p w14:paraId="1D3EED84">
            <w:pPr>
              <w:spacing w:line="240" w:lineRule="auto"/>
              <w:ind w:firstLine="0" w:firstLineChars="0"/>
              <w:jc w:val="center"/>
              <w:rPr>
                <w:szCs w:val="21"/>
              </w:rPr>
            </w:pPr>
            <w:r>
              <w:rPr>
                <w:spacing w:val="-10"/>
                <w:kern w:val="2"/>
                <w:sz w:val="21"/>
                <w:szCs w:val="21"/>
              </w:rPr>
              <w:t>预案的实施和生效时间</w:t>
            </w:r>
          </w:p>
        </w:tc>
        <w:tc>
          <w:tcPr>
            <w:tcW w:w="5886" w:type="dxa"/>
            <w:tcBorders>
              <w:tl2br w:val="nil"/>
              <w:tr2bl w:val="nil"/>
            </w:tcBorders>
            <w:vAlign w:val="center"/>
          </w:tcPr>
          <w:p w14:paraId="1D3EED85">
            <w:pPr>
              <w:spacing w:line="240" w:lineRule="auto"/>
              <w:ind w:firstLine="0" w:firstLineChars="0"/>
              <w:rPr>
                <w:szCs w:val="21"/>
              </w:rPr>
            </w:pPr>
            <w:r>
              <w:rPr>
                <w:kern w:val="2"/>
                <w:sz w:val="21"/>
                <w:szCs w:val="21"/>
              </w:rPr>
              <w:t>列出预案实施和生效的具体时间；预案更新的发布与通知，抄送的部门、园区、企业等。</w:t>
            </w:r>
          </w:p>
        </w:tc>
      </w:tr>
      <w:tr w14:paraId="1D3EE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0" w:type="dxa"/>
            <w:tcBorders>
              <w:tl2br w:val="nil"/>
              <w:tr2bl w:val="nil"/>
            </w:tcBorders>
            <w:vAlign w:val="center"/>
          </w:tcPr>
          <w:p w14:paraId="1D3EED87">
            <w:pPr>
              <w:spacing w:line="240" w:lineRule="auto"/>
              <w:ind w:firstLine="0" w:firstLineChars="0"/>
              <w:jc w:val="center"/>
              <w:rPr>
                <w:szCs w:val="21"/>
              </w:rPr>
            </w:pPr>
            <w:r>
              <w:rPr>
                <w:kern w:val="2"/>
                <w:sz w:val="21"/>
                <w:szCs w:val="21"/>
              </w:rPr>
              <w:t>13</w:t>
            </w:r>
          </w:p>
        </w:tc>
        <w:tc>
          <w:tcPr>
            <w:tcW w:w="905" w:type="dxa"/>
            <w:gridSpan w:val="2"/>
            <w:tcBorders>
              <w:tl2br w:val="nil"/>
              <w:tr2bl w:val="nil"/>
            </w:tcBorders>
            <w:vAlign w:val="center"/>
          </w:tcPr>
          <w:p w14:paraId="1D3EED88">
            <w:pPr>
              <w:spacing w:line="240" w:lineRule="auto"/>
              <w:ind w:firstLine="0" w:firstLineChars="0"/>
              <w:jc w:val="center"/>
              <w:rPr>
                <w:szCs w:val="21"/>
              </w:rPr>
            </w:pPr>
            <w:r>
              <w:rPr>
                <w:kern w:val="2"/>
                <w:sz w:val="21"/>
                <w:szCs w:val="21"/>
              </w:rPr>
              <w:t>附件</w:t>
            </w:r>
          </w:p>
        </w:tc>
        <w:tc>
          <w:tcPr>
            <w:tcW w:w="6791" w:type="dxa"/>
            <w:gridSpan w:val="3"/>
            <w:tcBorders>
              <w:tl2br w:val="nil"/>
              <w:tr2bl w:val="nil"/>
            </w:tcBorders>
            <w:vAlign w:val="center"/>
          </w:tcPr>
          <w:p w14:paraId="1D3EED89">
            <w:pPr>
              <w:spacing w:line="240" w:lineRule="auto"/>
              <w:ind w:firstLine="0" w:firstLineChars="0"/>
              <w:rPr>
                <w:szCs w:val="21"/>
              </w:rPr>
            </w:pPr>
            <w:r>
              <w:rPr>
                <w:kern w:val="2"/>
                <w:sz w:val="21"/>
                <w:szCs w:val="21"/>
              </w:rPr>
              <w:t>（1）环境风险评价文件（包括环境风险源分析评价过程、突发环境事件的危害性定量分析）；</w:t>
            </w:r>
          </w:p>
          <w:p w14:paraId="1D3EED8A">
            <w:pPr>
              <w:spacing w:line="240" w:lineRule="auto"/>
              <w:ind w:firstLine="0" w:firstLineChars="0"/>
              <w:rPr>
                <w:szCs w:val="21"/>
              </w:rPr>
            </w:pPr>
            <w:r>
              <w:rPr>
                <w:kern w:val="2"/>
                <w:sz w:val="21"/>
                <w:szCs w:val="21"/>
              </w:rPr>
              <w:t>（2）危险废物登记文件及委托处理合同；</w:t>
            </w:r>
          </w:p>
          <w:p w14:paraId="1D3EED8B">
            <w:pPr>
              <w:spacing w:line="240" w:lineRule="auto"/>
              <w:ind w:firstLine="0" w:firstLineChars="0"/>
              <w:rPr>
                <w:szCs w:val="21"/>
              </w:rPr>
            </w:pPr>
            <w:r>
              <w:rPr>
                <w:kern w:val="2"/>
                <w:sz w:val="21"/>
                <w:szCs w:val="21"/>
              </w:rPr>
              <w:t>（3）区域位置及周围环境保护目标分布、位置关系图；</w:t>
            </w:r>
          </w:p>
          <w:p w14:paraId="1D3EED8C">
            <w:pPr>
              <w:spacing w:line="240" w:lineRule="auto"/>
              <w:ind w:firstLine="0" w:firstLineChars="0"/>
              <w:rPr>
                <w:szCs w:val="21"/>
              </w:rPr>
            </w:pPr>
            <w:r>
              <w:rPr>
                <w:kern w:val="2"/>
                <w:sz w:val="21"/>
                <w:szCs w:val="21"/>
              </w:rPr>
              <w:t>（4）重大环境风险源、应急设施（备）、应急物资储备及分布一览表；雨水、清净下水和污水收集管网、污水处理设施平面布置图；事故废水处理流程图。</w:t>
            </w:r>
          </w:p>
          <w:p w14:paraId="1D3EED8D">
            <w:pPr>
              <w:spacing w:line="240" w:lineRule="auto"/>
              <w:ind w:firstLine="0" w:firstLineChars="0"/>
              <w:rPr>
                <w:szCs w:val="21"/>
              </w:rPr>
            </w:pPr>
            <w:r>
              <w:rPr>
                <w:kern w:val="2"/>
                <w:sz w:val="21"/>
                <w:szCs w:val="21"/>
              </w:rPr>
              <w:t>（5）企业周边区域道路交通图、疏散路线、交通管制示意图。</w:t>
            </w:r>
          </w:p>
          <w:p w14:paraId="1D3EED8E">
            <w:pPr>
              <w:spacing w:line="240" w:lineRule="auto"/>
              <w:ind w:firstLine="0" w:firstLineChars="0"/>
              <w:rPr>
                <w:szCs w:val="21"/>
              </w:rPr>
            </w:pPr>
            <w:r>
              <w:rPr>
                <w:kern w:val="2"/>
                <w:sz w:val="21"/>
                <w:szCs w:val="21"/>
              </w:rPr>
              <w:t>（6）内部应急人员的职责、姓名、电话清单；</w:t>
            </w:r>
          </w:p>
          <w:p w14:paraId="1D3EED8F">
            <w:pPr>
              <w:spacing w:line="240" w:lineRule="auto"/>
              <w:ind w:firstLine="0" w:firstLineChars="0"/>
              <w:rPr>
                <w:szCs w:val="21"/>
              </w:rPr>
            </w:pPr>
            <w:r>
              <w:rPr>
                <w:kern w:val="2"/>
                <w:sz w:val="21"/>
                <w:szCs w:val="21"/>
              </w:rPr>
              <w:t>（7）外部（政府有关部门、园区、救援单位、专家、环境保护目标等）联系单位、人员、电话；企业突发环境事件报告单。</w:t>
            </w:r>
          </w:p>
          <w:p w14:paraId="1D3EED90">
            <w:pPr>
              <w:spacing w:line="240" w:lineRule="auto"/>
              <w:ind w:firstLine="0" w:firstLineChars="0"/>
              <w:rPr>
                <w:szCs w:val="21"/>
              </w:rPr>
            </w:pPr>
            <w:r>
              <w:rPr>
                <w:kern w:val="2"/>
                <w:sz w:val="21"/>
                <w:szCs w:val="21"/>
              </w:rPr>
              <w:t>（8）各种制度、程序、方案等；</w:t>
            </w:r>
          </w:p>
          <w:p w14:paraId="1D3EED91">
            <w:pPr>
              <w:spacing w:line="240" w:lineRule="auto"/>
              <w:ind w:firstLine="0" w:firstLineChars="0"/>
              <w:rPr>
                <w:szCs w:val="21"/>
              </w:rPr>
            </w:pPr>
            <w:r>
              <w:rPr>
                <w:kern w:val="2"/>
                <w:sz w:val="21"/>
                <w:szCs w:val="21"/>
              </w:rPr>
              <w:t>（9）其他。</w:t>
            </w:r>
          </w:p>
        </w:tc>
      </w:tr>
    </w:tbl>
    <w:p w14:paraId="1D3EED93">
      <w:pPr>
        <w:pStyle w:val="6"/>
        <w:ind w:left="0" w:firstLine="482"/>
      </w:pPr>
      <w:r>
        <w:t>应急组织</w:t>
      </w:r>
    </w:p>
    <w:p w14:paraId="06A6620A">
      <w:pPr>
        <w:ind w:firstLine="480"/>
      </w:pPr>
      <w:r>
        <w:rPr>
          <w:rFonts w:hint="eastAsia"/>
        </w:rPr>
        <w:t>公司应根据本厂生产、使用、储存危险化学品的品种、数量、性质及可能引起重大事故的特点，确定应急计划区，并将其分布情况绘制成图，以便在一旦发生紧急事故后，可迅速确定其方位，及时采取行动。项目应急计划区主要有：</w:t>
      </w:r>
    </w:p>
    <w:p w14:paraId="380BD5BA">
      <w:pPr>
        <w:ind w:firstLine="480"/>
      </w:pPr>
      <w:r>
        <w:rPr>
          <w:rFonts w:hint="eastAsia"/>
        </w:rPr>
        <w:t>1、原料区。</w:t>
      </w:r>
    </w:p>
    <w:p w14:paraId="6584C644">
      <w:pPr>
        <w:ind w:firstLine="480"/>
      </w:pPr>
      <w:r>
        <w:rPr>
          <w:rFonts w:hint="eastAsia"/>
        </w:rPr>
        <w:t>2、生产车间。</w:t>
      </w:r>
    </w:p>
    <w:p w14:paraId="5463D2EA">
      <w:pPr>
        <w:pStyle w:val="6"/>
        <w:ind w:left="0" w:firstLine="482"/>
      </w:pPr>
      <w:r>
        <w:rPr>
          <w:rFonts w:hint="eastAsia"/>
        </w:rPr>
        <w:t>应急计划区确定及分布</w:t>
      </w:r>
    </w:p>
    <w:p w14:paraId="1D3EED94">
      <w:pPr>
        <w:ind w:firstLine="480"/>
      </w:pPr>
      <w:r>
        <w:t>1、企业应急组织</w:t>
      </w:r>
    </w:p>
    <w:p w14:paraId="1D3EED95">
      <w:pPr>
        <w:ind w:firstLine="480"/>
      </w:pPr>
      <w:r>
        <w:t>设立企业内部急救指挥部，由公司总指挥、副总指挥、抢险抢救组、安全警戒组、疏散组、医疗救护组、消防组、物资供应组等组成，并明确各自的责任和分工，设立专业救援队伍。</w:t>
      </w:r>
    </w:p>
    <w:p w14:paraId="1D3EED96">
      <w:pPr>
        <w:ind w:firstLine="480"/>
      </w:pPr>
      <w:r>
        <w:t>2、地区应急组织</w:t>
      </w:r>
    </w:p>
    <w:p w14:paraId="1D3EED97">
      <w:pPr>
        <w:ind w:firstLine="480"/>
      </w:pPr>
      <w:r>
        <w:t>一旦发生事故，应及时和当地有关化学事故应急救援部门联系，迅速报告，请求当地社会救援中心组织救援。</w:t>
      </w:r>
    </w:p>
    <w:p w14:paraId="1D3EED98">
      <w:pPr>
        <w:pStyle w:val="6"/>
        <w:ind w:left="0" w:firstLine="482"/>
      </w:pPr>
      <w:r>
        <w:t>应急保护目标</w:t>
      </w:r>
    </w:p>
    <w:p w14:paraId="1D3EED99">
      <w:pPr>
        <w:ind w:firstLine="480"/>
      </w:pPr>
      <w:r>
        <w:t>根据突发事故大小，确定应急保护目标。当发生危险化学品泄漏或者燃烧爆炸事故时，厂区周围5000m内的居民点都应为应急保护目标。</w:t>
      </w:r>
    </w:p>
    <w:p w14:paraId="1D3EED9A">
      <w:pPr>
        <w:pStyle w:val="6"/>
        <w:ind w:left="0" w:firstLine="482"/>
      </w:pPr>
      <w:r>
        <w:t>应急报警</w:t>
      </w:r>
    </w:p>
    <w:p w14:paraId="1D3EED9B">
      <w:pPr>
        <w:ind w:firstLine="480"/>
      </w:pPr>
      <w:r>
        <w:t>在发生突发性大量泄漏或火灾事故时，事故单位或现场人员，在积极组织自救的同时，必须及时将事故向有关部门报告。</w:t>
      </w:r>
    </w:p>
    <w:p w14:paraId="1D3EED9C">
      <w:pPr>
        <w:pStyle w:val="6"/>
        <w:ind w:left="0" w:firstLine="482"/>
      </w:pPr>
      <w:r>
        <w:t>应急处置预案</w:t>
      </w:r>
    </w:p>
    <w:p w14:paraId="1D3EED9D">
      <w:pPr>
        <w:ind w:firstLine="480"/>
      </w:pPr>
      <w:r>
        <w:t>在接到事故报警后，应迅速组织应急救援队伍，救援队伍在做好自身防护的基础上，快速实施救援，控制事故发展，做好撤离、疏散、危险物的清除工作。</w:t>
      </w:r>
    </w:p>
    <w:p w14:paraId="20987DAB">
      <w:pPr>
        <w:ind w:firstLine="480"/>
      </w:pPr>
      <w:r>
        <w:rPr>
          <w:rFonts w:hint="eastAsia"/>
        </w:rPr>
        <w:t>1、生产装置区事故处理</w:t>
      </w:r>
    </w:p>
    <w:p w14:paraId="1519DC85">
      <w:pPr>
        <w:ind w:firstLine="480"/>
      </w:pPr>
      <w:r>
        <w:rPr>
          <w:rFonts w:hint="eastAsia"/>
        </w:rPr>
        <w:t>①联系调度相关技术人员；②启用备用电源；③启动消防系统。</w:t>
      </w:r>
    </w:p>
    <w:p w14:paraId="1C2D942A">
      <w:pPr>
        <w:ind w:firstLine="480"/>
      </w:pPr>
      <w:r>
        <w:rPr>
          <w:rFonts w:hint="eastAsia"/>
        </w:rPr>
        <w:t>发生停电事故时及时启动备用电源，同时启动废气污染治理设施，回收物料后再排放。对于泄漏的物料应及时收集输送至应急事故池中，产生的物料冲洗水及时收集至事故废水收集池中。</w:t>
      </w:r>
    </w:p>
    <w:p w14:paraId="1B99CB6E">
      <w:pPr>
        <w:ind w:firstLine="480"/>
      </w:pPr>
      <w:r>
        <w:rPr>
          <w:rFonts w:hint="eastAsia"/>
        </w:rPr>
        <w:t>2、原料区事故处理</w:t>
      </w:r>
    </w:p>
    <w:p w14:paraId="1D3EEDA0">
      <w:pPr>
        <w:ind w:firstLine="480"/>
        <w:rPr>
          <w:highlight w:val="yellow"/>
        </w:rPr>
      </w:pPr>
      <w:r>
        <w:rPr>
          <w:rFonts w:hint="eastAsia"/>
        </w:rPr>
        <w:t>原料区一旦发生泄漏事故，应按照相关技术规范要求进行处置，设置详细的应急处置方案。</w:t>
      </w:r>
    </w:p>
    <w:p w14:paraId="1D3EEDA1">
      <w:pPr>
        <w:pStyle w:val="6"/>
        <w:ind w:left="0" w:firstLine="482"/>
      </w:pPr>
      <w:r>
        <w:t>应急撤离</w:t>
      </w:r>
    </w:p>
    <w:p w14:paraId="1D3EEDA2">
      <w:pPr>
        <w:ind w:firstLine="480"/>
      </w:pPr>
      <w:r>
        <w:t>根据事故情况，建立警戒区域，并迅速将警戒区内与事故处理无关人员撤离。</w:t>
      </w:r>
    </w:p>
    <w:p w14:paraId="1D3EEDA3">
      <w:pPr>
        <w:ind w:firstLine="480"/>
      </w:pPr>
      <w:r>
        <w:t>应急撤离应注意以下几点：</w:t>
      </w:r>
    </w:p>
    <w:p w14:paraId="1D3EEDA4">
      <w:pPr>
        <w:ind w:firstLine="480"/>
      </w:pPr>
      <w:r>
        <w:t>（1）装置负责人在撤离前，利用最短的时间，关闭该领域内可能会引起更大事故的生产装置、电源、储罐和管道阀门等。</w:t>
      </w:r>
    </w:p>
    <w:p w14:paraId="1D3EEDA5">
      <w:pPr>
        <w:ind w:firstLine="480"/>
      </w:pPr>
      <w:r>
        <w:t>（2）警戒区域的边界应设警示标志并有专人警戒，并进行道路交通管制；除消防及应急人员外，其他人员禁止进入警戒区；</w:t>
      </w:r>
    </w:p>
    <w:p w14:paraId="1D3EEDA6">
      <w:pPr>
        <w:ind w:firstLine="480"/>
      </w:pPr>
      <w:r>
        <w:t>（3）应向上风向转移，不要在低洼处停留，并查清是否有人留在污染区和着火区。</w:t>
      </w:r>
    </w:p>
    <w:p w14:paraId="21A477C1">
      <w:pPr>
        <w:pStyle w:val="2"/>
        <w:spacing w:after="0" w:line="240" w:lineRule="auto"/>
        <w:ind w:firstLine="0" w:firstLineChars="0"/>
      </w:pPr>
      <w:r>
        <w:drawing>
          <wp:inline distT="0" distB="0" distL="0" distR="0">
            <wp:extent cx="5274310" cy="6282690"/>
            <wp:effectExtent l="0" t="0" r="2540" b="3810"/>
            <wp:docPr id="40059393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93935" name="图片 1" descr="图示&#10;&#10;描述已自动生成"/>
                    <pic:cNvPicPr>
                      <a:picLocks noChangeAspect="1"/>
                    </pic:cNvPicPr>
                  </pic:nvPicPr>
                  <pic:blipFill>
                    <a:blip r:embed="rId158"/>
                    <a:stretch>
                      <a:fillRect/>
                    </a:stretch>
                  </pic:blipFill>
                  <pic:spPr>
                    <a:xfrm>
                      <a:off x="0" y="0"/>
                      <a:ext cx="5274310" cy="6282690"/>
                    </a:xfrm>
                    <a:prstGeom prst="rect">
                      <a:avLst/>
                    </a:prstGeom>
                  </pic:spPr>
                </pic:pic>
              </a:graphicData>
            </a:graphic>
          </wp:inline>
        </w:drawing>
      </w:r>
    </w:p>
    <w:p w14:paraId="46D3740C">
      <w:pPr>
        <w:pStyle w:val="99"/>
        <w:numPr>
          <w:ilvl w:val="0"/>
          <w:numId w:val="39"/>
        </w:numPr>
        <w:ind w:left="0" w:firstLine="0" w:firstLineChars="0"/>
        <w:jc w:val="center"/>
        <w:rPr>
          <w:b/>
          <w:kern w:val="2"/>
          <w:szCs w:val="24"/>
          <w:u w:val="single"/>
        </w:rPr>
      </w:pPr>
      <w:r>
        <w:rPr>
          <w:b/>
          <w:kern w:val="2"/>
          <w:szCs w:val="24"/>
          <w:u w:val="single"/>
        </w:rPr>
        <w:t xml:space="preserve">   </w:t>
      </w:r>
      <w:r>
        <w:rPr>
          <w:rFonts w:hint="eastAsia"/>
          <w:b/>
          <w:kern w:val="2"/>
          <w:szCs w:val="24"/>
          <w:u w:val="single"/>
        </w:rPr>
        <w:t>应急疏散</w:t>
      </w:r>
      <w:r>
        <w:rPr>
          <w:b/>
          <w:kern w:val="2"/>
          <w:szCs w:val="24"/>
          <w:u w:val="single"/>
        </w:rPr>
        <w:t>图</w:t>
      </w:r>
    </w:p>
    <w:p w14:paraId="1D3EEDA7">
      <w:pPr>
        <w:pStyle w:val="6"/>
        <w:ind w:left="0" w:firstLine="482"/>
      </w:pPr>
      <w:r>
        <w:t>应急设施、设备与器材</w:t>
      </w:r>
    </w:p>
    <w:p w14:paraId="1D3EEDA8">
      <w:pPr>
        <w:ind w:firstLine="480"/>
      </w:pPr>
      <w:r>
        <w:t>（1）配备一定的消防器材，如泡沫、二氧化碳灭火器及喷水设施；</w:t>
      </w:r>
    </w:p>
    <w:p w14:paraId="1D3EEDA9">
      <w:pPr>
        <w:ind w:firstLine="480"/>
      </w:pPr>
      <w:r>
        <w:t>（2）配备一定的防毒面具、呼吸器及急救设施等；</w:t>
      </w:r>
    </w:p>
    <w:p w14:paraId="54D5D3E8">
      <w:pPr>
        <w:ind w:firstLine="480"/>
      </w:pPr>
      <w:r>
        <w:t>（3）应规定应急状态下的报警通讯方式、通知方式和交通保障</w:t>
      </w:r>
      <w:r>
        <w:rPr>
          <w:rFonts w:hint="eastAsia"/>
        </w:rPr>
        <w:t>。</w:t>
      </w:r>
    </w:p>
    <w:p w14:paraId="1D3EEDAB">
      <w:pPr>
        <w:pStyle w:val="6"/>
        <w:ind w:left="0" w:firstLine="482"/>
      </w:pPr>
      <w:r>
        <w:t>应急医疗救护组织</w:t>
      </w:r>
    </w:p>
    <w:p w14:paraId="1D3EEDAC">
      <w:pPr>
        <w:ind w:firstLine="480"/>
      </w:pPr>
      <w:r>
        <w:t>应急医疗救护组织包括厂内医疗救护组织和厂外医疗机构。负责事故现场、工厂邻近区受事故影响的临近区域人员及公众对毒物应急剂量控制规定，撤离组织计划及救护。</w:t>
      </w:r>
    </w:p>
    <w:p w14:paraId="1D3EEDAD">
      <w:pPr>
        <w:pStyle w:val="6"/>
        <w:ind w:left="0" w:firstLine="482"/>
      </w:pPr>
      <w:r>
        <w:t>应急环境监测及事故后评估</w:t>
      </w:r>
    </w:p>
    <w:p w14:paraId="1D3EEDAE">
      <w:pPr>
        <w:ind w:firstLine="480"/>
      </w:pPr>
      <w:r>
        <w:t>配备专业队伍负责对事故现场和近距离环境敏感点进行监测，配备一定现场事故监测设备，及时准确发现事故灾害，并对事故性质、参数预后果进行评估，为指挥部门提供决策依据。</w:t>
      </w:r>
    </w:p>
    <w:p w14:paraId="1D3EEDAF">
      <w:pPr>
        <w:pStyle w:val="6"/>
        <w:ind w:left="0" w:firstLine="482"/>
      </w:pPr>
      <w:r>
        <w:t>应急状态终止与恢复</w:t>
      </w:r>
    </w:p>
    <w:p w14:paraId="1D3EEDB0">
      <w:pPr>
        <w:ind w:firstLine="480"/>
      </w:pPr>
      <w:r>
        <w:t>规定应急状态终止程度：事故善后处理，恢复措施，邻近区域解除事故警戒及善后恢复措施。</w:t>
      </w:r>
    </w:p>
    <w:p w14:paraId="1D3EEDB1">
      <w:pPr>
        <w:ind w:firstLine="480"/>
      </w:pPr>
      <w:r>
        <w:t>善后计划应包括对事故现场做进一步的安全检查，尤其是由于事故或抢救过程中留下的隐患，是否可能进一步引起新的事故。对事故原因分析、教训的吸取，改进措施及总结，写出事故报告。</w:t>
      </w:r>
    </w:p>
    <w:p w14:paraId="1D3EEDB2">
      <w:pPr>
        <w:pStyle w:val="6"/>
        <w:ind w:left="0" w:firstLine="482"/>
      </w:pPr>
      <w:r>
        <w:t>人员培训与演练</w:t>
      </w:r>
    </w:p>
    <w:p w14:paraId="1D3EEDB3">
      <w:pPr>
        <w:ind w:firstLine="480"/>
      </w:pPr>
      <w:r>
        <w:t>定期组织救援培训与演练，各队伍按专业分工定期训练，提高指挥水平和救援能力。对全厂职工进行经常性的应急常识教育。</w:t>
      </w:r>
    </w:p>
    <w:p w14:paraId="1D3EEDB4">
      <w:pPr>
        <w:pStyle w:val="6"/>
        <w:ind w:left="0" w:firstLine="482"/>
      </w:pPr>
      <w:r>
        <w:t>公众教育和信息</w:t>
      </w:r>
    </w:p>
    <w:p w14:paraId="1D3EEDB5">
      <w:pPr>
        <w:ind w:firstLine="480"/>
      </w:pPr>
      <w:r>
        <w:t>对工厂邻近地区开展公众教育、培训和发布有关信息。编写可能泄漏物质的毒性介绍、应急自救的措施小册子，向事故可能波及的村庄散发。</w:t>
      </w:r>
    </w:p>
    <w:p w14:paraId="1D3EEDB6">
      <w:pPr>
        <w:pStyle w:val="6"/>
        <w:ind w:left="0" w:firstLine="482"/>
      </w:pPr>
      <w:r>
        <w:t>记录和报告</w:t>
      </w:r>
    </w:p>
    <w:p w14:paraId="1D3EEDB7">
      <w:pPr>
        <w:ind w:firstLine="480"/>
      </w:pPr>
      <w:r>
        <w:t>设置应急事故专门记录，建立档案和专门报告制度，设专门部门负责管理。</w:t>
      </w:r>
    </w:p>
    <w:p w14:paraId="1D3EEDB8">
      <w:pPr>
        <w:pStyle w:val="6"/>
        <w:ind w:left="0" w:firstLine="482"/>
      </w:pPr>
      <w:r>
        <w:t>与区域环境风险管理联动</w:t>
      </w:r>
    </w:p>
    <w:p w14:paraId="1D3EEDB9">
      <w:pPr>
        <w:ind w:firstLine="480"/>
      </w:pPr>
      <w:r>
        <w:t>园区建有专门的风险预警体系，企业应完善自身体系，并入区域联动，主动与集聚区防控系统结合，纳入集聚区应急防控体系建设，应急预案的编制应考虑园区应急救援预案总体内容，形成园区-企业预案的上下位衔接关系，确保园区环境风险处于可控水平。</w:t>
      </w:r>
    </w:p>
    <w:p w14:paraId="1D3EEDBA">
      <w:pPr>
        <w:pStyle w:val="5"/>
        <w:spacing w:before="312" w:after="312"/>
        <w:ind w:left="0" w:firstLine="510"/>
      </w:pPr>
      <w:r>
        <w:t>风险事故应急措施及投资估算</w:t>
      </w:r>
    </w:p>
    <w:p w14:paraId="4F67DAE1">
      <w:pPr>
        <w:ind w:firstLine="480"/>
      </w:pPr>
      <w:r>
        <w:t>企业应重视风险防范，力争将事故风险降低到最低限度，本项目风险设施共需投资</w:t>
      </w:r>
      <w:r>
        <w:rPr>
          <w:rFonts w:hint="eastAsia"/>
        </w:rPr>
        <w:t>50</w:t>
      </w:r>
      <w:r>
        <w:t>万元，企业应认真逐一落实，工程需要建设的设施名称及投资概算详见下表。</w:t>
      </w:r>
    </w:p>
    <w:p w14:paraId="1D3EEDBC">
      <w:pPr>
        <w:pStyle w:val="99"/>
        <w:numPr>
          <w:ilvl w:val="4"/>
          <w:numId w:val="46"/>
        </w:numPr>
        <w:ind w:left="0" w:firstLine="480"/>
        <w:rPr>
          <w:rFonts w:eastAsia="黑体"/>
          <w:bCs/>
          <w:szCs w:val="24"/>
        </w:rPr>
      </w:pPr>
      <w:r>
        <w:rPr>
          <w:rFonts w:eastAsia="黑体"/>
          <w:bCs/>
          <w:szCs w:val="24"/>
        </w:rPr>
        <w:t xml:space="preserve">      风险事故应急措施和设施投资估算一览表</w:t>
      </w:r>
    </w:p>
    <w:tbl>
      <w:tblPr>
        <w:tblStyle w:val="41"/>
        <w:tblW w:w="87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4835"/>
        <w:gridCol w:w="1005"/>
        <w:gridCol w:w="1221"/>
      </w:tblGrid>
      <w:tr w14:paraId="1D3EE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tcBorders>
              <w:tl2br w:val="nil"/>
              <w:tr2bl w:val="nil"/>
            </w:tcBorders>
            <w:vAlign w:val="center"/>
          </w:tcPr>
          <w:p w14:paraId="1D3EEDBD">
            <w:pPr>
              <w:spacing w:line="240" w:lineRule="auto"/>
              <w:ind w:firstLine="0" w:firstLineChars="0"/>
              <w:jc w:val="center"/>
              <w:rPr>
                <w:b/>
                <w:bCs/>
                <w:sz w:val="21"/>
                <w:szCs w:val="21"/>
              </w:rPr>
            </w:pPr>
            <w:r>
              <w:rPr>
                <w:b/>
                <w:bCs/>
                <w:sz w:val="21"/>
                <w:szCs w:val="21"/>
              </w:rPr>
              <w:t>项目</w:t>
            </w:r>
          </w:p>
        </w:tc>
        <w:tc>
          <w:tcPr>
            <w:tcW w:w="4835" w:type="dxa"/>
            <w:tcBorders>
              <w:tl2br w:val="nil"/>
              <w:tr2bl w:val="nil"/>
            </w:tcBorders>
            <w:vAlign w:val="center"/>
          </w:tcPr>
          <w:p w14:paraId="1D3EEDBE">
            <w:pPr>
              <w:spacing w:line="240" w:lineRule="auto"/>
              <w:ind w:firstLine="0" w:firstLineChars="0"/>
              <w:jc w:val="center"/>
              <w:rPr>
                <w:b/>
                <w:bCs/>
                <w:sz w:val="21"/>
                <w:szCs w:val="21"/>
              </w:rPr>
            </w:pPr>
            <w:r>
              <w:rPr>
                <w:b/>
                <w:bCs/>
                <w:sz w:val="21"/>
                <w:szCs w:val="21"/>
              </w:rPr>
              <w:t>主要设施</w:t>
            </w:r>
          </w:p>
        </w:tc>
        <w:tc>
          <w:tcPr>
            <w:tcW w:w="1005" w:type="dxa"/>
            <w:tcBorders>
              <w:tl2br w:val="nil"/>
              <w:tr2bl w:val="nil"/>
            </w:tcBorders>
            <w:vAlign w:val="center"/>
          </w:tcPr>
          <w:p w14:paraId="1D3EEDBF">
            <w:pPr>
              <w:spacing w:line="240" w:lineRule="auto"/>
              <w:ind w:firstLine="0" w:firstLineChars="0"/>
              <w:jc w:val="center"/>
              <w:rPr>
                <w:b/>
                <w:bCs/>
                <w:sz w:val="21"/>
                <w:szCs w:val="21"/>
              </w:rPr>
            </w:pPr>
            <w:r>
              <w:rPr>
                <w:b/>
                <w:bCs/>
                <w:sz w:val="21"/>
                <w:szCs w:val="21"/>
              </w:rPr>
              <w:t>规模</w:t>
            </w:r>
          </w:p>
        </w:tc>
        <w:tc>
          <w:tcPr>
            <w:tcW w:w="1221" w:type="dxa"/>
            <w:tcBorders>
              <w:tl2br w:val="nil"/>
              <w:tr2bl w:val="nil"/>
            </w:tcBorders>
            <w:vAlign w:val="center"/>
          </w:tcPr>
          <w:p w14:paraId="1D3EEDC0">
            <w:pPr>
              <w:spacing w:line="240" w:lineRule="auto"/>
              <w:ind w:firstLine="0" w:firstLineChars="0"/>
              <w:jc w:val="center"/>
              <w:rPr>
                <w:b/>
                <w:bCs/>
                <w:sz w:val="21"/>
                <w:szCs w:val="21"/>
              </w:rPr>
            </w:pPr>
            <w:r>
              <w:rPr>
                <w:b/>
                <w:bCs/>
                <w:sz w:val="21"/>
                <w:szCs w:val="21"/>
              </w:rPr>
              <w:t>投资</w:t>
            </w:r>
          </w:p>
          <w:p w14:paraId="1D3EEDC1">
            <w:pPr>
              <w:spacing w:line="240" w:lineRule="auto"/>
              <w:ind w:firstLine="0" w:firstLineChars="0"/>
              <w:jc w:val="center"/>
              <w:rPr>
                <w:b/>
                <w:bCs/>
                <w:sz w:val="21"/>
                <w:szCs w:val="21"/>
              </w:rPr>
            </w:pPr>
            <w:r>
              <w:rPr>
                <w:b/>
                <w:bCs/>
                <w:sz w:val="21"/>
                <w:szCs w:val="21"/>
              </w:rPr>
              <w:t>(万元)</w:t>
            </w:r>
          </w:p>
        </w:tc>
      </w:tr>
      <w:tr w14:paraId="1D3EE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tcBorders>
              <w:tl2br w:val="nil"/>
              <w:tr2bl w:val="nil"/>
            </w:tcBorders>
            <w:vAlign w:val="center"/>
          </w:tcPr>
          <w:p w14:paraId="1D3EEDC3">
            <w:pPr>
              <w:spacing w:line="240" w:lineRule="auto"/>
              <w:ind w:firstLine="0" w:firstLineChars="0"/>
              <w:jc w:val="center"/>
              <w:rPr>
                <w:sz w:val="21"/>
                <w:szCs w:val="21"/>
              </w:rPr>
            </w:pPr>
            <w:r>
              <w:rPr>
                <w:sz w:val="21"/>
                <w:szCs w:val="21"/>
              </w:rPr>
              <w:t>废水防范设施</w:t>
            </w:r>
          </w:p>
        </w:tc>
        <w:tc>
          <w:tcPr>
            <w:tcW w:w="4835" w:type="dxa"/>
            <w:tcBorders>
              <w:tl2br w:val="nil"/>
              <w:tr2bl w:val="nil"/>
            </w:tcBorders>
            <w:vAlign w:val="center"/>
          </w:tcPr>
          <w:p w14:paraId="1D3EEDC4">
            <w:pPr>
              <w:spacing w:line="240" w:lineRule="auto"/>
              <w:ind w:firstLine="0" w:firstLineChars="0"/>
              <w:jc w:val="center"/>
              <w:rPr>
                <w:sz w:val="21"/>
                <w:szCs w:val="21"/>
              </w:rPr>
            </w:pPr>
            <w:r>
              <w:rPr>
                <w:rFonts w:hint="eastAsia"/>
                <w:sz w:val="21"/>
                <w:szCs w:val="21"/>
              </w:rPr>
              <w:t>围堰、</w:t>
            </w:r>
            <w:r>
              <w:rPr>
                <w:sz w:val="21"/>
                <w:szCs w:val="21"/>
              </w:rPr>
              <w:t>事故废水配套收集管网</w:t>
            </w:r>
            <w:r>
              <w:rPr>
                <w:rFonts w:hint="eastAsia"/>
                <w:sz w:val="21"/>
                <w:szCs w:val="21"/>
              </w:rPr>
              <w:t>及事故水池3</w:t>
            </w:r>
            <w:r>
              <w:rPr>
                <w:sz w:val="21"/>
                <w:szCs w:val="21"/>
              </w:rPr>
              <w:t>50m</w:t>
            </w:r>
            <w:r>
              <w:rPr>
                <w:sz w:val="21"/>
                <w:szCs w:val="21"/>
                <w:vertAlign w:val="superscript"/>
              </w:rPr>
              <w:t>3</w:t>
            </w:r>
          </w:p>
        </w:tc>
        <w:tc>
          <w:tcPr>
            <w:tcW w:w="1005" w:type="dxa"/>
            <w:tcBorders>
              <w:tl2br w:val="nil"/>
              <w:tr2bl w:val="nil"/>
            </w:tcBorders>
            <w:vAlign w:val="center"/>
          </w:tcPr>
          <w:p w14:paraId="1D3EEDC5">
            <w:pPr>
              <w:spacing w:line="240" w:lineRule="auto"/>
              <w:ind w:firstLine="0" w:firstLineChars="0"/>
              <w:jc w:val="center"/>
              <w:rPr>
                <w:sz w:val="21"/>
                <w:szCs w:val="21"/>
              </w:rPr>
            </w:pPr>
            <w:r>
              <w:rPr>
                <w:sz w:val="21"/>
                <w:szCs w:val="21"/>
              </w:rPr>
              <w:t>/</w:t>
            </w:r>
          </w:p>
        </w:tc>
        <w:tc>
          <w:tcPr>
            <w:tcW w:w="1221" w:type="dxa"/>
            <w:tcBorders>
              <w:tl2br w:val="nil"/>
              <w:tr2bl w:val="nil"/>
            </w:tcBorders>
            <w:vAlign w:val="center"/>
          </w:tcPr>
          <w:p w14:paraId="1D3EEDC6">
            <w:pPr>
              <w:spacing w:line="240" w:lineRule="auto"/>
              <w:ind w:firstLine="0" w:firstLineChars="0"/>
              <w:jc w:val="center"/>
              <w:rPr>
                <w:sz w:val="21"/>
                <w:szCs w:val="21"/>
              </w:rPr>
            </w:pPr>
            <w:r>
              <w:rPr>
                <w:rFonts w:hint="eastAsia"/>
                <w:sz w:val="21"/>
                <w:szCs w:val="21"/>
              </w:rPr>
              <w:t>10</w:t>
            </w:r>
          </w:p>
        </w:tc>
      </w:tr>
      <w:tr w14:paraId="1D3EE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tcBorders>
              <w:tl2br w:val="nil"/>
              <w:tr2bl w:val="nil"/>
            </w:tcBorders>
            <w:vAlign w:val="center"/>
          </w:tcPr>
          <w:p w14:paraId="1D3EEDCE">
            <w:pPr>
              <w:spacing w:line="240" w:lineRule="auto"/>
              <w:ind w:firstLine="0" w:firstLineChars="0"/>
              <w:jc w:val="center"/>
              <w:rPr>
                <w:sz w:val="21"/>
                <w:szCs w:val="21"/>
              </w:rPr>
            </w:pPr>
            <w:r>
              <w:rPr>
                <w:sz w:val="21"/>
                <w:szCs w:val="21"/>
              </w:rPr>
              <w:t>地下水防范措施</w:t>
            </w:r>
          </w:p>
        </w:tc>
        <w:tc>
          <w:tcPr>
            <w:tcW w:w="4835" w:type="dxa"/>
            <w:tcBorders>
              <w:tl2br w:val="nil"/>
              <w:tr2bl w:val="nil"/>
            </w:tcBorders>
            <w:vAlign w:val="center"/>
          </w:tcPr>
          <w:p w14:paraId="1D3EEDCF">
            <w:pPr>
              <w:spacing w:line="240" w:lineRule="auto"/>
              <w:ind w:firstLine="0" w:firstLineChars="0"/>
              <w:jc w:val="center"/>
              <w:rPr>
                <w:sz w:val="21"/>
                <w:szCs w:val="21"/>
              </w:rPr>
            </w:pPr>
            <w:r>
              <w:rPr>
                <w:sz w:val="21"/>
                <w:szCs w:val="21"/>
              </w:rPr>
              <w:t>厂区防渗工程，防火及降温系统等</w:t>
            </w:r>
          </w:p>
        </w:tc>
        <w:tc>
          <w:tcPr>
            <w:tcW w:w="1005" w:type="dxa"/>
            <w:tcBorders>
              <w:tl2br w:val="nil"/>
              <w:tr2bl w:val="nil"/>
            </w:tcBorders>
            <w:vAlign w:val="center"/>
          </w:tcPr>
          <w:p w14:paraId="1D3EEDD0">
            <w:pPr>
              <w:spacing w:line="240" w:lineRule="auto"/>
              <w:ind w:firstLine="0" w:firstLineChars="0"/>
              <w:jc w:val="center"/>
              <w:rPr>
                <w:sz w:val="21"/>
                <w:szCs w:val="21"/>
              </w:rPr>
            </w:pPr>
            <w:r>
              <w:rPr>
                <w:sz w:val="21"/>
                <w:szCs w:val="21"/>
              </w:rPr>
              <w:t>1套</w:t>
            </w:r>
          </w:p>
        </w:tc>
        <w:tc>
          <w:tcPr>
            <w:tcW w:w="1221" w:type="dxa"/>
            <w:tcBorders>
              <w:tl2br w:val="nil"/>
              <w:tr2bl w:val="nil"/>
            </w:tcBorders>
            <w:vAlign w:val="center"/>
          </w:tcPr>
          <w:p w14:paraId="1D3EEDD1">
            <w:pPr>
              <w:spacing w:line="240" w:lineRule="auto"/>
              <w:ind w:firstLine="0" w:firstLineChars="0"/>
              <w:jc w:val="center"/>
              <w:rPr>
                <w:sz w:val="21"/>
                <w:szCs w:val="21"/>
              </w:rPr>
            </w:pPr>
            <w:r>
              <w:rPr>
                <w:sz w:val="21"/>
                <w:szCs w:val="21"/>
              </w:rPr>
              <w:t>1</w:t>
            </w:r>
            <w:r>
              <w:rPr>
                <w:rFonts w:hint="eastAsia"/>
                <w:sz w:val="21"/>
                <w:szCs w:val="21"/>
              </w:rPr>
              <w:t>0</w:t>
            </w:r>
          </w:p>
        </w:tc>
      </w:tr>
      <w:tr w14:paraId="1D3EE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vMerge w:val="restart"/>
            <w:tcBorders>
              <w:tl2br w:val="nil"/>
              <w:tr2bl w:val="nil"/>
            </w:tcBorders>
            <w:vAlign w:val="center"/>
          </w:tcPr>
          <w:p w14:paraId="1D3EEDD3">
            <w:pPr>
              <w:spacing w:line="240" w:lineRule="auto"/>
              <w:ind w:firstLine="0" w:firstLineChars="0"/>
              <w:jc w:val="center"/>
              <w:rPr>
                <w:sz w:val="21"/>
                <w:szCs w:val="21"/>
              </w:rPr>
            </w:pPr>
            <w:r>
              <w:rPr>
                <w:sz w:val="21"/>
                <w:szCs w:val="21"/>
              </w:rPr>
              <w:t>其他消防、安全设施</w:t>
            </w:r>
          </w:p>
        </w:tc>
        <w:tc>
          <w:tcPr>
            <w:tcW w:w="4835" w:type="dxa"/>
            <w:tcBorders>
              <w:tl2br w:val="nil"/>
              <w:tr2bl w:val="nil"/>
            </w:tcBorders>
            <w:vAlign w:val="center"/>
          </w:tcPr>
          <w:p w14:paraId="1D3EEDD4">
            <w:pPr>
              <w:spacing w:line="240" w:lineRule="auto"/>
              <w:ind w:firstLine="0" w:firstLineChars="0"/>
              <w:jc w:val="center"/>
              <w:rPr>
                <w:sz w:val="21"/>
                <w:szCs w:val="21"/>
              </w:rPr>
            </w:pPr>
            <w:r>
              <w:rPr>
                <w:sz w:val="21"/>
                <w:szCs w:val="21"/>
              </w:rPr>
              <w:t>火灾自动报警系统及消防灭火系统</w:t>
            </w:r>
          </w:p>
        </w:tc>
        <w:tc>
          <w:tcPr>
            <w:tcW w:w="1005" w:type="dxa"/>
            <w:tcBorders>
              <w:tl2br w:val="nil"/>
              <w:tr2bl w:val="nil"/>
            </w:tcBorders>
            <w:vAlign w:val="center"/>
          </w:tcPr>
          <w:p w14:paraId="1D3EEDD5">
            <w:pPr>
              <w:spacing w:line="240" w:lineRule="auto"/>
              <w:ind w:firstLine="0" w:firstLineChars="0"/>
              <w:jc w:val="center"/>
              <w:rPr>
                <w:sz w:val="21"/>
                <w:szCs w:val="21"/>
              </w:rPr>
            </w:pPr>
            <w:r>
              <w:rPr>
                <w:sz w:val="21"/>
                <w:szCs w:val="21"/>
              </w:rPr>
              <w:t>1套</w:t>
            </w:r>
          </w:p>
        </w:tc>
        <w:tc>
          <w:tcPr>
            <w:tcW w:w="1221" w:type="dxa"/>
            <w:tcBorders>
              <w:tl2br w:val="nil"/>
              <w:tr2bl w:val="nil"/>
            </w:tcBorders>
            <w:vAlign w:val="center"/>
          </w:tcPr>
          <w:p w14:paraId="1D3EEDD6">
            <w:pPr>
              <w:spacing w:line="240" w:lineRule="auto"/>
              <w:ind w:firstLine="0" w:firstLineChars="0"/>
              <w:jc w:val="center"/>
              <w:rPr>
                <w:sz w:val="21"/>
                <w:szCs w:val="21"/>
              </w:rPr>
            </w:pPr>
            <w:r>
              <w:rPr>
                <w:rFonts w:hint="eastAsia"/>
                <w:sz w:val="21"/>
                <w:szCs w:val="21"/>
              </w:rPr>
              <w:t>15</w:t>
            </w:r>
          </w:p>
        </w:tc>
      </w:tr>
      <w:tr w14:paraId="1D3EE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vMerge w:val="continue"/>
            <w:tcBorders>
              <w:tl2br w:val="nil"/>
              <w:tr2bl w:val="nil"/>
            </w:tcBorders>
            <w:vAlign w:val="center"/>
          </w:tcPr>
          <w:p w14:paraId="1D3EEDD8">
            <w:pPr>
              <w:widowControl/>
              <w:spacing w:line="240" w:lineRule="auto"/>
              <w:ind w:firstLine="0" w:firstLineChars="0"/>
              <w:jc w:val="left"/>
              <w:rPr>
                <w:sz w:val="21"/>
                <w:szCs w:val="21"/>
              </w:rPr>
            </w:pPr>
          </w:p>
        </w:tc>
        <w:tc>
          <w:tcPr>
            <w:tcW w:w="4835" w:type="dxa"/>
            <w:tcBorders>
              <w:tl2br w:val="nil"/>
              <w:tr2bl w:val="nil"/>
            </w:tcBorders>
            <w:vAlign w:val="center"/>
          </w:tcPr>
          <w:p w14:paraId="1D3EEDD9">
            <w:pPr>
              <w:spacing w:line="240" w:lineRule="auto"/>
              <w:ind w:firstLine="0" w:firstLineChars="0"/>
              <w:jc w:val="center"/>
              <w:rPr>
                <w:sz w:val="21"/>
                <w:szCs w:val="21"/>
              </w:rPr>
            </w:pPr>
            <w:r>
              <w:rPr>
                <w:sz w:val="21"/>
                <w:szCs w:val="21"/>
              </w:rPr>
              <w:t>防毒面具、自给式正压呼吸器、橡胶防护服、防护手套、防护眼镜、淋浴、洗眼器等劳保用品及急救药品等</w:t>
            </w:r>
          </w:p>
        </w:tc>
        <w:tc>
          <w:tcPr>
            <w:tcW w:w="1005" w:type="dxa"/>
            <w:tcBorders>
              <w:tl2br w:val="nil"/>
              <w:tr2bl w:val="nil"/>
            </w:tcBorders>
            <w:vAlign w:val="center"/>
          </w:tcPr>
          <w:p w14:paraId="1D3EEDDA">
            <w:pPr>
              <w:spacing w:line="240" w:lineRule="auto"/>
              <w:ind w:firstLine="0" w:firstLineChars="0"/>
              <w:jc w:val="center"/>
              <w:rPr>
                <w:sz w:val="21"/>
                <w:szCs w:val="21"/>
              </w:rPr>
            </w:pPr>
            <w:r>
              <w:rPr>
                <w:sz w:val="21"/>
                <w:szCs w:val="21"/>
              </w:rPr>
              <w:t>若干</w:t>
            </w:r>
          </w:p>
        </w:tc>
        <w:tc>
          <w:tcPr>
            <w:tcW w:w="1221" w:type="dxa"/>
            <w:tcBorders>
              <w:tl2br w:val="nil"/>
              <w:tr2bl w:val="nil"/>
            </w:tcBorders>
            <w:vAlign w:val="center"/>
          </w:tcPr>
          <w:p w14:paraId="1D3EEDDB">
            <w:pPr>
              <w:spacing w:line="240" w:lineRule="auto"/>
              <w:ind w:firstLine="0" w:firstLineChars="0"/>
              <w:jc w:val="center"/>
              <w:rPr>
                <w:sz w:val="21"/>
                <w:szCs w:val="21"/>
              </w:rPr>
            </w:pPr>
            <w:r>
              <w:rPr>
                <w:sz w:val="21"/>
                <w:szCs w:val="21"/>
              </w:rPr>
              <w:t>5</w:t>
            </w:r>
          </w:p>
        </w:tc>
      </w:tr>
      <w:tr w14:paraId="1D3EE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vMerge w:val="continue"/>
            <w:tcBorders>
              <w:tl2br w:val="nil"/>
              <w:tr2bl w:val="nil"/>
            </w:tcBorders>
            <w:vAlign w:val="center"/>
          </w:tcPr>
          <w:p w14:paraId="1D3EEDDD">
            <w:pPr>
              <w:widowControl/>
              <w:spacing w:line="240" w:lineRule="auto"/>
              <w:ind w:firstLine="0" w:firstLineChars="0"/>
              <w:jc w:val="left"/>
              <w:rPr>
                <w:sz w:val="21"/>
                <w:szCs w:val="21"/>
              </w:rPr>
            </w:pPr>
          </w:p>
        </w:tc>
        <w:tc>
          <w:tcPr>
            <w:tcW w:w="4835" w:type="dxa"/>
            <w:tcBorders>
              <w:tl2br w:val="nil"/>
              <w:tr2bl w:val="nil"/>
            </w:tcBorders>
            <w:vAlign w:val="center"/>
          </w:tcPr>
          <w:p w14:paraId="1D3EEDDE">
            <w:pPr>
              <w:spacing w:line="240" w:lineRule="auto"/>
              <w:ind w:firstLine="0" w:firstLineChars="0"/>
              <w:jc w:val="center"/>
              <w:rPr>
                <w:spacing w:val="-8"/>
                <w:sz w:val="21"/>
                <w:szCs w:val="21"/>
              </w:rPr>
            </w:pPr>
            <w:r>
              <w:rPr>
                <w:sz w:val="21"/>
                <w:szCs w:val="21"/>
              </w:rPr>
              <w:t>干砂池、干粉灭火器、消火栓等消防设施</w:t>
            </w:r>
          </w:p>
        </w:tc>
        <w:tc>
          <w:tcPr>
            <w:tcW w:w="1005" w:type="dxa"/>
            <w:tcBorders>
              <w:tl2br w:val="nil"/>
              <w:tr2bl w:val="nil"/>
            </w:tcBorders>
            <w:vAlign w:val="center"/>
          </w:tcPr>
          <w:p w14:paraId="1D3EEDDF">
            <w:pPr>
              <w:spacing w:line="240" w:lineRule="auto"/>
              <w:ind w:firstLine="0" w:firstLineChars="0"/>
              <w:jc w:val="center"/>
              <w:rPr>
                <w:sz w:val="21"/>
                <w:szCs w:val="21"/>
              </w:rPr>
            </w:pPr>
            <w:r>
              <w:rPr>
                <w:sz w:val="21"/>
                <w:szCs w:val="21"/>
              </w:rPr>
              <w:t>若干</w:t>
            </w:r>
          </w:p>
        </w:tc>
        <w:tc>
          <w:tcPr>
            <w:tcW w:w="1221" w:type="dxa"/>
            <w:tcBorders>
              <w:tl2br w:val="nil"/>
              <w:tr2bl w:val="nil"/>
            </w:tcBorders>
            <w:vAlign w:val="center"/>
          </w:tcPr>
          <w:p w14:paraId="1D3EEDE0">
            <w:pPr>
              <w:spacing w:line="240" w:lineRule="auto"/>
              <w:ind w:firstLine="0" w:firstLineChars="0"/>
              <w:jc w:val="center"/>
              <w:rPr>
                <w:sz w:val="21"/>
                <w:szCs w:val="21"/>
              </w:rPr>
            </w:pPr>
            <w:r>
              <w:rPr>
                <w:sz w:val="21"/>
                <w:szCs w:val="21"/>
              </w:rPr>
              <w:t>5</w:t>
            </w:r>
          </w:p>
        </w:tc>
      </w:tr>
      <w:tr w14:paraId="1D3EE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tcBorders>
              <w:tl2br w:val="nil"/>
              <w:tr2bl w:val="nil"/>
            </w:tcBorders>
            <w:vAlign w:val="center"/>
          </w:tcPr>
          <w:p w14:paraId="1D3EEDE2">
            <w:pPr>
              <w:spacing w:line="240" w:lineRule="auto"/>
              <w:ind w:firstLine="0" w:firstLineChars="0"/>
              <w:jc w:val="center"/>
              <w:rPr>
                <w:sz w:val="21"/>
                <w:szCs w:val="21"/>
              </w:rPr>
            </w:pPr>
            <w:r>
              <w:rPr>
                <w:sz w:val="21"/>
                <w:szCs w:val="21"/>
              </w:rPr>
              <w:t>制定事故应急</w:t>
            </w:r>
          </w:p>
          <w:p w14:paraId="1D3EEDE3">
            <w:pPr>
              <w:spacing w:line="240" w:lineRule="auto"/>
              <w:ind w:firstLine="0" w:firstLineChars="0"/>
              <w:jc w:val="center"/>
              <w:rPr>
                <w:sz w:val="21"/>
                <w:szCs w:val="21"/>
              </w:rPr>
            </w:pPr>
            <w:r>
              <w:rPr>
                <w:sz w:val="21"/>
                <w:szCs w:val="21"/>
              </w:rPr>
              <w:t>预案</w:t>
            </w:r>
          </w:p>
        </w:tc>
        <w:tc>
          <w:tcPr>
            <w:tcW w:w="4835" w:type="dxa"/>
            <w:tcBorders>
              <w:tl2br w:val="nil"/>
              <w:tr2bl w:val="nil"/>
            </w:tcBorders>
            <w:vAlign w:val="center"/>
          </w:tcPr>
          <w:p w14:paraId="1D3EEDE4">
            <w:pPr>
              <w:spacing w:line="240" w:lineRule="auto"/>
              <w:ind w:firstLine="0" w:firstLineChars="0"/>
              <w:jc w:val="center"/>
              <w:rPr>
                <w:sz w:val="21"/>
                <w:szCs w:val="21"/>
              </w:rPr>
            </w:pPr>
            <w:r>
              <w:rPr>
                <w:sz w:val="21"/>
                <w:szCs w:val="21"/>
              </w:rPr>
              <w:t>应急求援器材及监测仪器及安全教育培训、应急预案制定、事故应急演练</w:t>
            </w:r>
          </w:p>
        </w:tc>
        <w:tc>
          <w:tcPr>
            <w:tcW w:w="1005" w:type="dxa"/>
            <w:tcBorders>
              <w:tl2br w:val="nil"/>
              <w:tr2bl w:val="nil"/>
            </w:tcBorders>
            <w:vAlign w:val="center"/>
          </w:tcPr>
          <w:p w14:paraId="1D3EEDE5">
            <w:pPr>
              <w:spacing w:line="240" w:lineRule="auto"/>
              <w:ind w:firstLine="0" w:firstLineChars="0"/>
              <w:jc w:val="center"/>
              <w:rPr>
                <w:sz w:val="21"/>
                <w:szCs w:val="21"/>
              </w:rPr>
            </w:pPr>
            <w:r>
              <w:rPr>
                <w:sz w:val="21"/>
                <w:szCs w:val="21"/>
              </w:rPr>
              <w:t>/</w:t>
            </w:r>
          </w:p>
        </w:tc>
        <w:tc>
          <w:tcPr>
            <w:tcW w:w="1221" w:type="dxa"/>
            <w:tcBorders>
              <w:tl2br w:val="nil"/>
              <w:tr2bl w:val="nil"/>
            </w:tcBorders>
            <w:vAlign w:val="center"/>
          </w:tcPr>
          <w:p w14:paraId="1D3EEDE6">
            <w:pPr>
              <w:spacing w:line="240" w:lineRule="auto"/>
              <w:ind w:firstLine="0" w:firstLineChars="0"/>
              <w:jc w:val="center"/>
              <w:rPr>
                <w:sz w:val="21"/>
                <w:szCs w:val="21"/>
              </w:rPr>
            </w:pPr>
            <w:r>
              <w:rPr>
                <w:sz w:val="21"/>
                <w:szCs w:val="21"/>
              </w:rPr>
              <w:t>5</w:t>
            </w:r>
          </w:p>
        </w:tc>
      </w:tr>
      <w:tr w14:paraId="1D3EE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4" w:type="dxa"/>
            <w:gridSpan w:val="3"/>
            <w:tcBorders>
              <w:tl2br w:val="nil"/>
              <w:tr2bl w:val="nil"/>
            </w:tcBorders>
            <w:vAlign w:val="center"/>
          </w:tcPr>
          <w:p w14:paraId="1D3EEDE8">
            <w:pPr>
              <w:spacing w:line="240" w:lineRule="auto"/>
              <w:ind w:firstLine="0" w:firstLineChars="0"/>
              <w:jc w:val="center"/>
              <w:rPr>
                <w:sz w:val="21"/>
                <w:szCs w:val="21"/>
              </w:rPr>
            </w:pPr>
            <w:r>
              <w:rPr>
                <w:sz w:val="21"/>
                <w:szCs w:val="21"/>
              </w:rPr>
              <w:t>合计</w:t>
            </w:r>
          </w:p>
        </w:tc>
        <w:tc>
          <w:tcPr>
            <w:tcW w:w="1221" w:type="dxa"/>
            <w:tcBorders>
              <w:tl2br w:val="nil"/>
              <w:tr2bl w:val="nil"/>
            </w:tcBorders>
            <w:vAlign w:val="center"/>
          </w:tcPr>
          <w:p w14:paraId="1D3EEDE9">
            <w:pPr>
              <w:spacing w:line="240" w:lineRule="auto"/>
              <w:ind w:firstLine="0" w:firstLineChars="0"/>
              <w:jc w:val="center"/>
              <w:rPr>
                <w:sz w:val="21"/>
                <w:szCs w:val="21"/>
              </w:rPr>
            </w:pPr>
            <w:r>
              <w:rPr>
                <w:rFonts w:hint="eastAsia"/>
                <w:sz w:val="21"/>
                <w:szCs w:val="21"/>
              </w:rPr>
              <w:t>50</w:t>
            </w:r>
          </w:p>
        </w:tc>
      </w:tr>
    </w:tbl>
    <w:p w14:paraId="1D3EEE4E">
      <w:pPr>
        <w:pStyle w:val="4"/>
      </w:pPr>
      <w:bookmarkStart w:id="334" w:name="_Toc176105884"/>
      <w:r>
        <w:t>本次项目环境风险评价结论</w:t>
      </w:r>
      <w:bookmarkEnd w:id="334"/>
    </w:p>
    <w:p w14:paraId="10A37344">
      <w:pPr>
        <w:spacing w:line="500" w:lineRule="exact"/>
        <w:ind w:firstLine="480"/>
      </w:pPr>
      <w:r>
        <w:rPr>
          <w:rFonts w:hint="eastAsia"/>
        </w:rPr>
        <w:t>本项目的原料具有一定的燃烧爆炸性或毒性，其生产、贮存过程中存在一定泄漏污染及火灾爆炸风险。在采取相应的风险防范措施后，项目发生泄漏和火灾爆炸事故时对周围敏感目标的危害后果较小。为了降低环境风险事故的影响，建议企业定期安排环境风险应急演练，提高职工防范环境风险的素质，另外加强与园区总体应急方案的衔接，进一步减少项目环境风险可能造成的影响。</w:t>
      </w:r>
    </w:p>
    <w:p w14:paraId="1D3EEE50">
      <w:pPr>
        <w:spacing w:line="500" w:lineRule="exact"/>
        <w:ind w:firstLine="480"/>
        <w:rPr>
          <w:highlight w:val="yellow"/>
        </w:rPr>
      </w:pPr>
      <w:r>
        <w:rPr>
          <w:rFonts w:hint="eastAsia"/>
        </w:rPr>
        <w:t>综上，建设单位在认真落实环境风险评价提出的各项风险防范措施及应急预案的基础上，本项目的环境风险可防控。</w:t>
      </w:r>
    </w:p>
    <w:p w14:paraId="642FDBDE">
      <w:pPr>
        <w:ind w:firstLine="480"/>
        <w:rPr>
          <w:highlight w:val="yellow"/>
        </w:rPr>
        <w:sectPr>
          <w:pgSz w:w="11906" w:h="16838"/>
          <w:pgMar w:top="1440" w:right="1800" w:bottom="1440" w:left="1800" w:header="851" w:footer="992" w:gutter="0"/>
          <w:cols w:space="425" w:num="1"/>
          <w:docGrid w:type="lines" w:linePitch="312" w:charSpace="0"/>
        </w:sectPr>
      </w:pPr>
    </w:p>
    <w:bookmarkEnd w:id="315"/>
    <w:p w14:paraId="1D3EEE78">
      <w:pPr>
        <w:pStyle w:val="3"/>
      </w:pPr>
      <w:bookmarkStart w:id="335" w:name="_Toc324839578"/>
      <w:bookmarkStart w:id="336" w:name="_Toc324839281"/>
      <w:bookmarkStart w:id="337" w:name="_Toc176105885"/>
      <w:bookmarkStart w:id="338" w:name="_Toc311812653"/>
      <w:bookmarkStart w:id="339" w:name="_Toc304300483"/>
      <w:r>
        <w:t>环境保护措施及其可行性分析</w:t>
      </w:r>
      <w:bookmarkEnd w:id="335"/>
      <w:bookmarkEnd w:id="336"/>
      <w:bookmarkEnd w:id="337"/>
      <w:bookmarkEnd w:id="338"/>
    </w:p>
    <w:p w14:paraId="1D3EEE79">
      <w:pPr>
        <w:pStyle w:val="4"/>
      </w:pPr>
      <w:bookmarkStart w:id="340" w:name="_Toc176105886"/>
      <w:bookmarkStart w:id="341" w:name="_Hlk116490244"/>
      <w:bookmarkStart w:id="342" w:name="_Toc311812655"/>
      <w:bookmarkStart w:id="343" w:name="_Toc324839580"/>
      <w:bookmarkStart w:id="344" w:name="_Toc324839283"/>
      <w:r>
        <w:t>施工期污染防治措施分析</w:t>
      </w:r>
      <w:bookmarkEnd w:id="340"/>
    </w:p>
    <w:bookmarkEnd w:id="341"/>
    <w:p w14:paraId="502AFFD0">
      <w:pPr>
        <w:ind w:firstLine="480"/>
      </w:pPr>
      <w:r>
        <w:rPr>
          <w:rFonts w:hint="eastAsia"/>
        </w:rPr>
        <w:t>本项目租赁新乡市太行水泥粉磨有限公司现有厂房进行建设，不存在构筑物的建设，施工期主要工作为设备的安装，设备安装主要是人工组装，仅涉及少量的焊接。</w:t>
      </w:r>
    </w:p>
    <w:p w14:paraId="1D3EEEA5">
      <w:pPr>
        <w:ind w:firstLine="480"/>
        <w:rPr>
          <w:szCs w:val="24"/>
          <w:highlight w:val="yellow"/>
        </w:rPr>
      </w:pPr>
      <w:r>
        <w:rPr>
          <w:rFonts w:hint="eastAsia"/>
        </w:rPr>
        <w:t>施工期主要污染为施工噪声和工人生活污水，全部施工均在现有厂房内，经厂房隔声和距离衰减后施工噪声对周边环境影响不大；生活污水经新乡市太行水泥粉磨有限公司现有的化粪池处理后经园区污水管网排入唐庄污水处理厂进一步处理。项目施工时间短暂，随着施工期的结束，施工影响也随之消失。</w:t>
      </w:r>
    </w:p>
    <w:p w14:paraId="1D3EEEA6">
      <w:pPr>
        <w:pStyle w:val="4"/>
      </w:pPr>
      <w:bookmarkStart w:id="345" w:name="_Toc176105887"/>
      <w:r>
        <w:t>营运期污染防治措施分析</w:t>
      </w:r>
      <w:bookmarkEnd w:id="345"/>
    </w:p>
    <w:p w14:paraId="1D3EEEA7">
      <w:pPr>
        <w:pStyle w:val="5"/>
        <w:spacing w:before="240" w:after="240"/>
      </w:pPr>
      <w:r>
        <w:t>废水污染防治措施</w:t>
      </w:r>
      <w:bookmarkEnd w:id="342"/>
      <w:r>
        <w:t>分析</w:t>
      </w:r>
      <w:bookmarkEnd w:id="343"/>
      <w:bookmarkEnd w:id="344"/>
    </w:p>
    <w:p w14:paraId="1D3EEEA8">
      <w:pPr>
        <w:pStyle w:val="6"/>
        <w:ind w:left="0" w:firstLine="482" w:firstLineChars="200"/>
        <w:rPr>
          <w:snapToGrid w:val="0"/>
        </w:rPr>
      </w:pPr>
      <w:r>
        <w:rPr>
          <w:snapToGrid w:val="0"/>
        </w:rPr>
        <w:t>工程废水产生及处理情况</w:t>
      </w:r>
    </w:p>
    <w:p w14:paraId="1246D946">
      <w:pPr>
        <w:spacing w:line="500" w:lineRule="exact"/>
        <w:ind w:firstLine="480"/>
        <w:rPr>
          <w:bCs/>
        </w:rPr>
        <w:sectPr>
          <w:pgSz w:w="11907" w:h="16840"/>
          <w:pgMar w:top="1440" w:right="1797" w:bottom="1440" w:left="1797" w:header="907" w:footer="907" w:gutter="0"/>
          <w:cols w:space="425" w:num="1"/>
          <w:docGrid w:linePitch="380" w:charSpace="0"/>
        </w:sectPr>
      </w:pPr>
      <w:r>
        <w:t>本项目废水主要为循环冷却水系统排水、</w:t>
      </w:r>
      <w:r>
        <w:rPr>
          <w:rFonts w:hint="eastAsia"/>
        </w:rPr>
        <w:t>职工生活污水、喷淋废水和车间地面清洗水</w:t>
      </w:r>
      <w:r>
        <w:t>。</w:t>
      </w:r>
      <w:r>
        <w:rPr>
          <w:rFonts w:hint="eastAsia"/>
          <w:kern w:val="2"/>
          <w:szCs w:val="24"/>
        </w:rPr>
        <w:t>喷淋废水、车间地面清洗废水经厂区污水处理站处理后与经化粪池处理后的生活污水、</w:t>
      </w:r>
      <w:r>
        <w:t>循环冷却水系统排水</w:t>
      </w:r>
      <w:r>
        <w:rPr>
          <w:kern w:val="2"/>
          <w:szCs w:val="24"/>
        </w:rPr>
        <w:t>一起由厂区总排口排入园区污水管网，再</w:t>
      </w:r>
      <w:r>
        <w:rPr>
          <w:rFonts w:hint="eastAsia"/>
          <w:kern w:val="2"/>
          <w:szCs w:val="24"/>
        </w:rPr>
        <w:t>进入唐庄</w:t>
      </w:r>
      <w:r>
        <w:rPr>
          <w:kern w:val="2"/>
          <w:szCs w:val="24"/>
        </w:rPr>
        <w:t>污水处理厂进行进一步处理，处理后排入</w:t>
      </w:r>
      <w:r>
        <w:rPr>
          <w:rFonts w:hint="eastAsia"/>
          <w:kern w:val="2"/>
          <w:szCs w:val="24"/>
        </w:rPr>
        <w:t>共产主义渠</w:t>
      </w:r>
      <w:r>
        <w:rPr>
          <w:kern w:val="2"/>
          <w:szCs w:val="24"/>
        </w:rPr>
        <w:t>。</w:t>
      </w:r>
      <w:r>
        <w:rPr>
          <w:rFonts w:hint="eastAsia"/>
          <w:bCs/>
        </w:rPr>
        <w:t>本项目废水水质和水量汇总情况见下表。</w:t>
      </w:r>
    </w:p>
    <w:p w14:paraId="01045FB9">
      <w:pPr>
        <w:pStyle w:val="99"/>
        <w:numPr>
          <w:ilvl w:val="4"/>
          <w:numId w:val="48"/>
        </w:numPr>
        <w:ind w:left="0" w:firstLine="480"/>
        <w:rPr>
          <w:rFonts w:eastAsia="黑体"/>
          <w:szCs w:val="24"/>
        </w:rPr>
      </w:pPr>
      <w:r>
        <w:rPr>
          <w:rFonts w:eastAsia="黑体"/>
          <w:szCs w:val="24"/>
        </w:rPr>
        <w:t xml:space="preserve">    </w:t>
      </w:r>
      <w:r>
        <w:rPr>
          <w:rFonts w:hint="eastAsia" w:eastAsia="黑体"/>
          <w:szCs w:val="24"/>
        </w:rPr>
        <w:t xml:space="preserve">               </w:t>
      </w:r>
      <w:r>
        <w:rPr>
          <w:rFonts w:eastAsia="黑体"/>
          <w:szCs w:val="24"/>
        </w:rPr>
        <w:t xml:space="preserve">   项目废水水质和水量汇总情况一览表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39"/>
        <w:gridCol w:w="1755"/>
        <w:gridCol w:w="995"/>
        <w:gridCol w:w="995"/>
        <w:gridCol w:w="1137"/>
        <w:gridCol w:w="995"/>
        <w:gridCol w:w="853"/>
        <w:gridCol w:w="995"/>
        <w:gridCol w:w="995"/>
        <w:gridCol w:w="996"/>
        <w:gridCol w:w="1117"/>
        <w:gridCol w:w="1117"/>
        <w:gridCol w:w="1091"/>
      </w:tblGrid>
      <w:tr w14:paraId="58FF5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tblHeader/>
          <w:jc w:val="center"/>
        </w:trPr>
        <w:tc>
          <w:tcPr>
            <w:tcW w:w="2684" w:type="dxa"/>
            <w:gridSpan w:val="2"/>
            <w:vMerge w:val="restart"/>
            <w:vAlign w:val="center"/>
          </w:tcPr>
          <w:p w14:paraId="55D57454">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废水种类</w:t>
            </w:r>
          </w:p>
        </w:tc>
        <w:tc>
          <w:tcPr>
            <w:tcW w:w="992" w:type="dxa"/>
            <w:vMerge w:val="restart"/>
            <w:vAlign w:val="center"/>
          </w:tcPr>
          <w:p w14:paraId="78DCB026">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废水量</w:t>
            </w:r>
          </w:p>
          <w:p w14:paraId="455EA8C0">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(m</w:t>
            </w:r>
            <w:r>
              <w:rPr>
                <w:rFonts w:ascii="Times New Roman" w:hAnsi="Times New Roman"/>
                <w:b/>
                <w:bCs/>
                <w:szCs w:val="21"/>
                <w:u w:val="single"/>
                <w:vertAlign w:val="superscript"/>
              </w:rPr>
              <w:t>3</w:t>
            </w:r>
            <w:r>
              <w:rPr>
                <w:rFonts w:ascii="Times New Roman" w:hAnsi="Times New Roman"/>
                <w:b/>
                <w:bCs/>
                <w:szCs w:val="21"/>
                <w:u w:val="single"/>
              </w:rPr>
              <w:t>/d)</w:t>
            </w:r>
          </w:p>
        </w:tc>
        <w:tc>
          <w:tcPr>
            <w:tcW w:w="10262" w:type="dxa"/>
            <w:gridSpan w:val="10"/>
            <w:vAlign w:val="center"/>
          </w:tcPr>
          <w:p w14:paraId="5B7CACD5">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主要污染物浓度（mg/L，pH除外）</w:t>
            </w:r>
          </w:p>
        </w:tc>
      </w:tr>
      <w:tr w14:paraId="46174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tblHeader/>
          <w:jc w:val="center"/>
        </w:trPr>
        <w:tc>
          <w:tcPr>
            <w:tcW w:w="2684" w:type="dxa"/>
            <w:gridSpan w:val="2"/>
            <w:vMerge w:val="continue"/>
            <w:vAlign w:val="center"/>
          </w:tcPr>
          <w:p w14:paraId="565891C7">
            <w:pPr>
              <w:spacing w:line="240" w:lineRule="exact"/>
              <w:ind w:firstLine="420"/>
              <w:rPr>
                <w:sz w:val="21"/>
                <w:szCs w:val="21"/>
                <w:u w:val="single"/>
              </w:rPr>
            </w:pPr>
          </w:p>
        </w:tc>
        <w:tc>
          <w:tcPr>
            <w:tcW w:w="992" w:type="dxa"/>
            <w:vMerge w:val="continue"/>
            <w:vAlign w:val="center"/>
          </w:tcPr>
          <w:p w14:paraId="1EDD67BF">
            <w:pPr>
              <w:spacing w:line="240" w:lineRule="exact"/>
              <w:ind w:firstLine="420"/>
              <w:rPr>
                <w:sz w:val="21"/>
                <w:szCs w:val="21"/>
                <w:u w:val="single"/>
              </w:rPr>
            </w:pPr>
          </w:p>
        </w:tc>
        <w:tc>
          <w:tcPr>
            <w:tcW w:w="992" w:type="dxa"/>
            <w:vAlign w:val="center"/>
          </w:tcPr>
          <w:p w14:paraId="2EE1C5CE">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pH</w:t>
            </w:r>
          </w:p>
        </w:tc>
        <w:tc>
          <w:tcPr>
            <w:tcW w:w="1134" w:type="dxa"/>
            <w:vAlign w:val="center"/>
          </w:tcPr>
          <w:p w14:paraId="266E4B40">
            <w:pPr>
              <w:pStyle w:val="13"/>
              <w:spacing w:line="240" w:lineRule="exact"/>
              <w:ind w:firstLine="0" w:firstLineChars="0"/>
              <w:jc w:val="center"/>
              <w:rPr>
                <w:rFonts w:ascii="Times New Roman" w:hAnsi="Times New Roman"/>
                <w:b/>
                <w:bCs/>
                <w:szCs w:val="21"/>
                <w:u w:val="single"/>
              </w:rPr>
            </w:pPr>
            <w:r>
              <w:rPr>
                <w:rFonts w:hint="eastAsia" w:ascii="Times New Roman" w:hAnsi="Times New Roman"/>
                <w:b/>
                <w:bCs/>
                <w:szCs w:val="21"/>
                <w:u w:val="single"/>
              </w:rPr>
              <w:t>色度（倍）</w:t>
            </w:r>
          </w:p>
        </w:tc>
        <w:tc>
          <w:tcPr>
            <w:tcW w:w="992" w:type="dxa"/>
            <w:vAlign w:val="center"/>
          </w:tcPr>
          <w:p w14:paraId="7049A0CD">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COD</w:t>
            </w:r>
          </w:p>
        </w:tc>
        <w:tc>
          <w:tcPr>
            <w:tcW w:w="851" w:type="dxa"/>
            <w:vAlign w:val="center"/>
          </w:tcPr>
          <w:p w14:paraId="53AACE69">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BOD</w:t>
            </w:r>
            <w:r>
              <w:rPr>
                <w:rFonts w:ascii="Times New Roman" w:hAnsi="Times New Roman"/>
                <w:b/>
                <w:bCs/>
                <w:szCs w:val="21"/>
                <w:u w:val="single"/>
                <w:vertAlign w:val="subscript"/>
              </w:rPr>
              <w:t>5</w:t>
            </w:r>
          </w:p>
        </w:tc>
        <w:tc>
          <w:tcPr>
            <w:tcW w:w="992" w:type="dxa"/>
            <w:vAlign w:val="center"/>
          </w:tcPr>
          <w:p w14:paraId="5ABD6863">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氨氮</w:t>
            </w:r>
          </w:p>
        </w:tc>
        <w:tc>
          <w:tcPr>
            <w:tcW w:w="992" w:type="dxa"/>
            <w:vAlign w:val="center"/>
          </w:tcPr>
          <w:p w14:paraId="2F5A7A6D">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SS</w:t>
            </w:r>
          </w:p>
        </w:tc>
        <w:tc>
          <w:tcPr>
            <w:tcW w:w="993" w:type="dxa"/>
            <w:vAlign w:val="center"/>
          </w:tcPr>
          <w:p w14:paraId="3D1786FB">
            <w:pPr>
              <w:pStyle w:val="13"/>
              <w:spacing w:line="240" w:lineRule="exact"/>
              <w:ind w:firstLine="0" w:firstLineChars="0"/>
              <w:jc w:val="center"/>
              <w:rPr>
                <w:rFonts w:ascii="Times New Roman" w:hAnsi="Times New Roman"/>
                <w:b/>
                <w:bCs/>
                <w:szCs w:val="21"/>
                <w:u w:val="single"/>
              </w:rPr>
            </w:pPr>
            <w:r>
              <w:rPr>
                <w:rFonts w:hint="eastAsia" w:ascii="Times New Roman" w:hAnsi="Times New Roman"/>
                <w:b/>
                <w:bCs/>
                <w:szCs w:val="21"/>
                <w:u w:val="single"/>
              </w:rPr>
              <w:t>硫酸钠</w:t>
            </w:r>
          </w:p>
        </w:tc>
        <w:tc>
          <w:tcPr>
            <w:tcW w:w="1114" w:type="dxa"/>
            <w:vAlign w:val="center"/>
          </w:tcPr>
          <w:p w14:paraId="4AA22DCA">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总氮</w:t>
            </w:r>
          </w:p>
        </w:tc>
        <w:tc>
          <w:tcPr>
            <w:tcW w:w="1114" w:type="dxa"/>
            <w:vAlign w:val="center"/>
          </w:tcPr>
          <w:p w14:paraId="4AC379B8">
            <w:pPr>
              <w:pStyle w:val="13"/>
              <w:spacing w:line="240" w:lineRule="exact"/>
              <w:ind w:firstLine="0" w:firstLineChars="0"/>
              <w:jc w:val="center"/>
              <w:rPr>
                <w:rFonts w:ascii="Times New Roman" w:hAnsi="Times New Roman"/>
                <w:b/>
                <w:bCs/>
                <w:szCs w:val="21"/>
                <w:u w:val="single"/>
              </w:rPr>
            </w:pPr>
            <w:r>
              <w:rPr>
                <w:rFonts w:hint="eastAsia" w:ascii="Times New Roman" w:hAnsi="Times New Roman"/>
                <w:b/>
                <w:bCs/>
                <w:szCs w:val="21"/>
                <w:u w:val="single"/>
              </w:rPr>
              <w:t>总磷</w:t>
            </w:r>
          </w:p>
        </w:tc>
        <w:tc>
          <w:tcPr>
            <w:tcW w:w="1088" w:type="dxa"/>
            <w:vAlign w:val="center"/>
          </w:tcPr>
          <w:p w14:paraId="482171CB">
            <w:pPr>
              <w:pStyle w:val="13"/>
              <w:spacing w:line="240" w:lineRule="exact"/>
              <w:ind w:firstLine="0" w:firstLineChars="0"/>
              <w:jc w:val="center"/>
              <w:rPr>
                <w:rFonts w:ascii="Times New Roman" w:hAnsi="Times New Roman"/>
                <w:b/>
                <w:bCs/>
                <w:szCs w:val="21"/>
                <w:u w:val="single"/>
              </w:rPr>
            </w:pPr>
            <w:r>
              <w:rPr>
                <w:rFonts w:ascii="Times New Roman" w:hAnsi="Times New Roman"/>
                <w:b/>
                <w:bCs/>
                <w:szCs w:val="21"/>
                <w:u w:val="single"/>
              </w:rPr>
              <w:t>石油类</w:t>
            </w:r>
          </w:p>
        </w:tc>
      </w:tr>
      <w:tr w14:paraId="6720E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restart"/>
            <w:vAlign w:val="center"/>
          </w:tcPr>
          <w:p w14:paraId="06DC60C6">
            <w:pPr>
              <w:pStyle w:val="13"/>
              <w:spacing w:line="240" w:lineRule="exact"/>
              <w:ind w:firstLine="0" w:firstLineChars="0"/>
              <w:jc w:val="center"/>
              <w:rPr>
                <w:rFonts w:ascii="Times New Roman" w:hAnsi="Times New Roman"/>
                <w:szCs w:val="21"/>
                <w:highlight w:val="yellow"/>
                <w:u w:val="single"/>
              </w:rPr>
            </w:pPr>
            <w:r>
              <w:rPr>
                <w:rFonts w:ascii="Times New Roman" w:hAnsi="Times New Roman"/>
                <w:szCs w:val="21"/>
                <w:u w:val="single"/>
              </w:rPr>
              <w:t>工艺废水</w:t>
            </w:r>
          </w:p>
        </w:tc>
        <w:tc>
          <w:tcPr>
            <w:tcW w:w="1749" w:type="dxa"/>
            <w:vAlign w:val="center"/>
          </w:tcPr>
          <w:p w14:paraId="4F79379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喷淋废水</w:t>
            </w:r>
          </w:p>
        </w:tc>
        <w:tc>
          <w:tcPr>
            <w:tcW w:w="992" w:type="dxa"/>
            <w:vAlign w:val="center"/>
          </w:tcPr>
          <w:p w14:paraId="785757E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0.72</w:t>
            </w:r>
          </w:p>
        </w:tc>
        <w:tc>
          <w:tcPr>
            <w:tcW w:w="992" w:type="dxa"/>
            <w:vAlign w:val="center"/>
          </w:tcPr>
          <w:p w14:paraId="49D418E7">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9</w:t>
            </w:r>
            <w:r>
              <w:rPr>
                <w:rFonts w:ascii="Times New Roman" w:hAnsi="Times New Roman"/>
                <w:szCs w:val="21"/>
                <w:u w:val="single"/>
              </w:rPr>
              <w:t>~</w:t>
            </w:r>
            <w:r>
              <w:rPr>
                <w:rFonts w:hint="eastAsia" w:ascii="Times New Roman" w:hAnsi="Times New Roman"/>
                <w:szCs w:val="21"/>
                <w:u w:val="single"/>
              </w:rPr>
              <w:t>10</w:t>
            </w:r>
          </w:p>
        </w:tc>
        <w:tc>
          <w:tcPr>
            <w:tcW w:w="1134" w:type="dxa"/>
            <w:vAlign w:val="center"/>
          </w:tcPr>
          <w:p w14:paraId="68CC239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7A7F4C19">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2650</w:t>
            </w:r>
            <w:r>
              <w:rPr>
                <w:rFonts w:ascii="Times New Roman" w:hAnsi="Times New Roman"/>
                <w:szCs w:val="21"/>
                <w:u w:val="single"/>
              </w:rPr>
              <w:t>0</w:t>
            </w:r>
          </w:p>
        </w:tc>
        <w:tc>
          <w:tcPr>
            <w:tcW w:w="851" w:type="dxa"/>
            <w:vAlign w:val="center"/>
          </w:tcPr>
          <w:p w14:paraId="009743E9">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30</w:t>
            </w:r>
            <w:r>
              <w:rPr>
                <w:rFonts w:ascii="Times New Roman" w:hAnsi="Times New Roman"/>
                <w:szCs w:val="21"/>
                <w:u w:val="single"/>
              </w:rPr>
              <w:t>0</w:t>
            </w:r>
          </w:p>
        </w:tc>
        <w:tc>
          <w:tcPr>
            <w:tcW w:w="992" w:type="dxa"/>
            <w:vAlign w:val="center"/>
          </w:tcPr>
          <w:p w14:paraId="4614F99E">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992" w:type="dxa"/>
            <w:vAlign w:val="center"/>
          </w:tcPr>
          <w:p w14:paraId="2DB8F02D">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30</w:t>
            </w:r>
            <w:r>
              <w:rPr>
                <w:rFonts w:ascii="Times New Roman" w:hAnsi="Times New Roman"/>
                <w:szCs w:val="21"/>
                <w:u w:val="single"/>
              </w:rPr>
              <w:t>0</w:t>
            </w:r>
          </w:p>
        </w:tc>
        <w:tc>
          <w:tcPr>
            <w:tcW w:w="993" w:type="dxa"/>
            <w:vAlign w:val="center"/>
          </w:tcPr>
          <w:p w14:paraId="2AE2C21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1413</w:t>
            </w:r>
          </w:p>
        </w:tc>
        <w:tc>
          <w:tcPr>
            <w:tcW w:w="1114" w:type="dxa"/>
            <w:vAlign w:val="center"/>
          </w:tcPr>
          <w:p w14:paraId="583DD595">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5737A96B">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0D6B441E">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46.1</w:t>
            </w:r>
          </w:p>
        </w:tc>
      </w:tr>
      <w:tr w14:paraId="17AC5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continue"/>
            <w:vAlign w:val="center"/>
          </w:tcPr>
          <w:p w14:paraId="74975E04">
            <w:pPr>
              <w:pStyle w:val="13"/>
              <w:spacing w:line="240" w:lineRule="exact"/>
              <w:ind w:firstLine="0" w:firstLineChars="0"/>
              <w:jc w:val="center"/>
              <w:rPr>
                <w:rFonts w:ascii="Times New Roman" w:hAnsi="Times New Roman"/>
                <w:szCs w:val="21"/>
                <w:highlight w:val="yellow"/>
                <w:u w:val="single"/>
              </w:rPr>
            </w:pPr>
          </w:p>
        </w:tc>
        <w:tc>
          <w:tcPr>
            <w:tcW w:w="1749" w:type="dxa"/>
            <w:vAlign w:val="center"/>
          </w:tcPr>
          <w:p w14:paraId="6DFEC86B">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车间地面拖洗废水</w:t>
            </w:r>
          </w:p>
        </w:tc>
        <w:tc>
          <w:tcPr>
            <w:tcW w:w="992" w:type="dxa"/>
            <w:vAlign w:val="center"/>
          </w:tcPr>
          <w:p w14:paraId="625BB29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4.53</w:t>
            </w:r>
          </w:p>
        </w:tc>
        <w:tc>
          <w:tcPr>
            <w:tcW w:w="992" w:type="dxa"/>
            <w:vAlign w:val="center"/>
          </w:tcPr>
          <w:p w14:paraId="72DE750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w:t>
            </w:r>
            <w:r>
              <w:rPr>
                <w:rFonts w:hint="eastAsia" w:ascii="Times New Roman" w:hAnsi="Times New Roman"/>
                <w:szCs w:val="21"/>
                <w:u w:val="single"/>
              </w:rPr>
              <w:t>9</w:t>
            </w:r>
          </w:p>
        </w:tc>
        <w:tc>
          <w:tcPr>
            <w:tcW w:w="1134" w:type="dxa"/>
            <w:vAlign w:val="center"/>
          </w:tcPr>
          <w:p w14:paraId="5B3DC179">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500</w:t>
            </w:r>
          </w:p>
        </w:tc>
        <w:tc>
          <w:tcPr>
            <w:tcW w:w="992" w:type="dxa"/>
            <w:vAlign w:val="center"/>
          </w:tcPr>
          <w:p w14:paraId="6B343711">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500</w:t>
            </w:r>
          </w:p>
        </w:tc>
        <w:tc>
          <w:tcPr>
            <w:tcW w:w="851" w:type="dxa"/>
            <w:vAlign w:val="center"/>
          </w:tcPr>
          <w:p w14:paraId="4D316788">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25</w:t>
            </w:r>
            <w:r>
              <w:rPr>
                <w:rFonts w:ascii="Times New Roman" w:hAnsi="Times New Roman"/>
                <w:szCs w:val="21"/>
                <w:u w:val="single"/>
              </w:rPr>
              <w:t>0</w:t>
            </w:r>
          </w:p>
        </w:tc>
        <w:tc>
          <w:tcPr>
            <w:tcW w:w="992" w:type="dxa"/>
            <w:vAlign w:val="center"/>
          </w:tcPr>
          <w:p w14:paraId="7B5DBD05">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992" w:type="dxa"/>
            <w:vAlign w:val="center"/>
          </w:tcPr>
          <w:p w14:paraId="5629693E">
            <w:pPr>
              <w:pStyle w:val="13"/>
              <w:spacing w:line="240" w:lineRule="exact"/>
              <w:ind w:firstLine="0" w:firstLineChars="0"/>
              <w:jc w:val="center"/>
              <w:rPr>
                <w:rFonts w:ascii="Times New Roman" w:hAnsi="Times New Roman"/>
                <w:szCs w:val="21"/>
                <w:highlight w:val="yellow"/>
                <w:u w:val="single"/>
              </w:rPr>
            </w:pPr>
            <w:r>
              <w:rPr>
                <w:rFonts w:ascii="Times New Roman" w:hAnsi="Times New Roman"/>
                <w:szCs w:val="21"/>
                <w:u w:val="single"/>
              </w:rPr>
              <w:t>500</w:t>
            </w:r>
          </w:p>
        </w:tc>
        <w:tc>
          <w:tcPr>
            <w:tcW w:w="993" w:type="dxa"/>
            <w:vAlign w:val="center"/>
          </w:tcPr>
          <w:p w14:paraId="0DB75641">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1114" w:type="dxa"/>
            <w:vAlign w:val="center"/>
          </w:tcPr>
          <w:p w14:paraId="4D74B036">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1114" w:type="dxa"/>
            <w:vAlign w:val="center"/>
          </w:tcPr>
          <w:p w14:paraId="1098F517">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w:t>
            </w:r>
          </w:p>
        </w:tc>
        <w:tc>
          <w:tcPr>
            <w:tcW w:w="1088" w:type="dxa"/>
            <w:vAlign w:val="center"/>
          </w:tcPr>
          <w:p w14:paraId="56FF354B">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5</w:t>
            </w:r>
            <w:r>
              <w:rPr>
                <w:rFonts w:ascii="Times New Roman" w:hAnsi="Times New Roman"/>
                <w:szCs w:val="21"/>
                <w:u w:val="single"/>
              </w:rPr>
              <w:t>0</w:t>
            </w:r>
          </w:p>
        </w:tc>
      </w:tr>
      <w:tr w14:paraId="37F7B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Align w:val="center"/>
          </w:tcPr>
          <w:p w14:paraId="48D62003">
            <w:pPr>
              <w:pStyle w:val="13"/>
              <w:spacing w:line="240" w:lineRule="exact"/>
              <w:ind w:firstLine="0" w:firstLineChars="0"/>
              <w:jc w:val="center"/>
              <w:rPr>
                <w:rFonts w:ascii="Times New Roman" w:hAnsi="Times New Roman"/>
                <w:szCs w:val="21"/>
                <w:highlight w:val="yellow"/>
                <w:u w:val="single"/>
              </w:rPr>
            </w:pPr>
            <w:r>
              <w:rPr>
                <w:rFonts w:ascii="Times New Roman" w:hAnsi="Times New Roman"/>
                <w:szCs w:val="21"/>
                <w:u w:val="single"/>
              </w:rPr>
              <w:t>调节池</w:t>
            </w:r>
          </w:p>
        </w:tc>
        <w:tc>
          <w:tcPr>
            <w:tcW w:w="1749" w:type="dxa"/>
            <w:vAlign w:val="center"/>
          </w:tcPr>
          <w:p w14:paraId="5996DCE5">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进出水</w:t>
            </w:r>
          </w:p>
        </w:tc>
        <w:tc>
          <w:tcPr>
            <w:tcW w:w="992" w:type="dxa"/>
            <w:vAlign w:val="center"/>
          </w:tcPr>
          <w:p w14:paraId="0BA513D0">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5.25</w:t>
            </w:r>
          </w:p>
        </w:tc>
        <w:tc>
          <w:tcPr>
            <w:tcW w:w="992" w:type="dxa"/>
            <w:vAlign w:val="center"/>
          </w:tcPr>
          <w:p w14:paraId="56F5C523">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2D98C0DC">
            <w:pPr>
              <w:pStyle w:val="13"/>
              <w:spacing w:line="240" w:lineRule="exact"/>
              <w:ind w:firstLine="0" w:firstLineChars="0"/>
              <w:jc w:val="center"/>
              <w:rPr>
                <w:rFonts w:ascii="Times New Roman" w:hAnsi="Times New Roman"/>
                <w:szCs w:val="21"/>
                <w:highlight w:val="yellow"/>
                <w:u w:val="single"/>
              </w:rPr>
            </w:pPr>
            <w:r>
              <w:rPr>
                <w:rFonts w:hint="eastAsia" w:ascii="Times New Roman" w:hAnsi="Times New Roman"/>
                <w:szCs w:val="21"/>
                <w:u w:val="single"/>
              </w:rPr>
              <w:t>450</w:t>
            </w:r>
          </w:p>
        </w:tc>
        <w:tc>
          <w:tcPr>
            <w:tcW w:w="992" w:type="dxa"/>
            <w:vAlign w:val="center"/>
          </w:tcPr>
          <w:p w14:paraId="582B7609">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4066</w:t>
            </w:r>
          </w:p>
        </w:tc>
        <w:tc>
          <w:tcPr>
            <w:tcW w:w="851" w:type="dxa"/>
            <w:vAlign w:val="center"/>
          </w:tcPr>
          <w:p w14:paraId="165C275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257</w:t>
            </w:r>
          </w:p>
        </w:tc>
        <w:tc>
          <w:tcPr>
            <w:tcW w:w="992" w:type="dxa"/>
            <w:vAlign w:val="center"/>
          </w:tcPr>
          <w:p w14:paraId="685EEA6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1C54816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473</w:t>
            </w:r>
          </w:p>
        </w:tc>
        <w:tc>
          <w:tcPr>
            <w:tcW w:w="993" w:type="dxa"/>
            <w:vAlign w:val="center"/>
          </w:tcPr>
          <w:p w14:paraId="70F47D5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6E7A6725">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68D3FB2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275661E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49.5</w:t>
            </w:r>
          </w:p>
        </w:tc>
      </w:tr>
      <w:tr w14:paraId="06DC1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restart"/>
            <w:vAlign w:val="center"/>
          </w:tcPr>
          <w:p w14:paraId="352A2AE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隔油池+气浮</w:t>
            </w:r>
          </w:p>
        </w:tc>
        <w:tc>
          <w:tcPr>
            <w:tcW w:w="1749" w:type="dxa"/>
            <w:vAlign w:val="center"/>
          </w:tcPr>
          <w:p w14:paraId="2DBBD8C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处理效率</w:t>
            </w:r>
          </w:p>
        </w:tc>
        <w:tc>
          <w:tcPr>
            <w:tcW w:w="992" w:type="dxa"/>
            <w:vAlign w:val="center"/>
          </w:tcPr>
          <w:p w14:paraId="1A76FD84">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61E87A88">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2EB19B7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6EA6A2F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w:t>
            </w:r>
            <w:r>
              <w:rPr>
                <w:rFonts w:ascii="Times New Roman" w:hAnsi="Times New Roman"/>
                <w:szCs w:val="21"/>
                <w:u w:val="single"/>
              </w:rPr>
              <w:t>5%</w:t>
            </w:r>
          </w:p>
        </w:tc>
        <w:tc>
          <w:tcPr>
            <w:tcW w:w="851" w:type="dxa"/>
            <w:vAlign w:val="center"/>
          </w:tcPr>
          <w:p w14:paraId="09C78D9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10%</w:t>
            </w:r>
          </w:p>
        </w:tc>
        <w:tc>
          <w:tcPr>
            <w:tcW w:w="992" w:type="dxa"/>
            <w:vAlign w:val="center"/>
          </w:tcPr>
          <w:p w14:paraId="478EBC6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49DFB01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50</w:t>
            </w:r>
            <w:r>
              <w:rPr>
                <w:rFonts w:ascii="Times New Roman" w:hAnsi="Times New Roman"/>
                <w:szCs w:val="21"/>
                <w:u w:val="single"/>
              </w:rPr>
              <w:t>%</w:t>
            </w:r>
          </w:p>
        </w:tc>
        <w:tc>
          <w:tcPr>
            <w:tcW w:w="993" w:type="dxa"/>
            <w:vAlign w:val="center"/>
          </w:tcPr>
          <w:p w14:paraId="25740E7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705AF0F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6BDA6355">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3421919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85%</w:t>
            </w:r>
          </w:p>
        </w:tc>
      </w:tr>
      <w:tr w14:paraId="12960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continue"/>
            <w:vAlign w:val="center"/>
          </w:tcPr>
          <w:p w14:paraId="44660C87">
            <w:pPr>
              <w:pStyle w:val="13"/>
              <w:spacing w:line="240" w:lineRule="exact"/>
              <w:ind w:firstLine="0" w:firstLineChars="0"/>
              <w:jc w:val="center"/>
              <w:rPr>
                <w:rFonts w:ascii="Times New Roman" w:hAnsi="Times New Roman"/>
                <w:szCs w:val="21"/>
                <w:u w:val="single"/>
              </w:rPr>
            </w:pPr>
          </w:p>
        </w:tc>
        <w:tc>
          <w:tcPr>
            <w:tcW w:w="1749" w:type="dxa"/>
            <w:vAlign w:val="center"/>
          </w:tcPr>
          <w:p w14:paraId="19FB74A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处理后</w:t>
            </w:r>
          </w:p>
        </w:tc>
        <w:tc>
          <w:tcPr>
            <w:tcW w:w="992" w:type="dxa"/>
            <w:vAlign w:val="center"/>
          </w:tcPr>
          <w:p w14:paraId="5EB6194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5.25</w:t>
            </w:r>
          </w:p>
        </w:tc>
        <w:tc>
          <w:tcPr>
            <w:tcW w:w="992" w:type="dxa"/>
            <w:vAlign w:val="center"/>
          </w:tcPr>
          <w:p w14:paraId="0AF5B6DB">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0F74AA2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400</w:t>
            </w:r>
          </w:p>
        </w:tc>
        <w:tc>
          <w:tcPr>
            <w:tcW w:w="992" w:type="dxa"/>
            <w:vAlign w:val="center"/>
          </w:tcPr>
          <w:p w14:paraId="09B075A9">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3050</w:t>
            </w:r>
          </w:p>
        </w:tc>
        <w:tc>
          <w:tcPr>
            <w:tcW w:w="851" w:type="dxa"/>
            <w:vAlign w:val="center"/>
          </w:tcPr>
          <w:p w14:paraId="519E7F8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231</w:t>
            </w:r>
          </w:p>
        </w:tc>
        <w:tc>
          <w:tcPr>
            <w:tcW w:w="992" w:type="dxa"/>
            <w:vAlign w:val="center"/>
          </w:tcPr>
          <w:p w14:paraId="4890360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5F75F419">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237</w:t>
            </w:r>
          </w:p>
        </w:tc>
        <w:tc>
          <w:tcPr>
            <w:tcW w:w="993" w:type="dxa"/>
            <w:vAlign w:val="center"/>
          </w:tcPr>
          <w:p w14:paraId="4B22547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7F0E92CB">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6D227FD6">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5F8F2BF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7.4</w:t>
            </w:r>
          </w:p>
        </w:tc>
      </w:tr>
      <w:tr w14:paraId="68F4A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restart"/>
            <w:vAlign w:val="center"/>
          </w:tcPr>
          <w:p w14:paraId="20EB05E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水解酸化</w:t>
            </w:r>
          </w:p>
        </w:tc>
        <w:tc>
          <w:tcPr>
            <w:tcW w:w="1749" w:type="dxa"/>
            <w:vAlign w:val="center"/>
          </w:tcPr>
          <w:p w14:paraId="734D25E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处理效率</w:t>
            </w:r>
          </w:p>
        </w:tc>
        <w:tc>
          <w:tcPr>
            <w:tcW w:w="992" w:type="dxa"/>
            <w:vAlign w:val="center"/>
          </w:tcPr>
          <w:p w14:paraId="71B3423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04FF2BA5">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4C3A045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68C4C48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w:t>
            </w:r>
            <w:r>
              <w:rPr>
                <w:rFonts w:ascii="Times New Roman" w:hAnsi="Times New Roman"/>
                <w:szCs w:val="21"/>
                <w:u w:val="single"/>
              </w:rPr>
              <w:t>0%</w:t>
            </w:r>
          </w:p>
        </w:tc>
        <w:tc>
          <w:tcPr>
            <w:tcW w:w="851" w:type="dxa"/>
            <w:vAlign w:val="center"/>
          </w:tcPr>
          <w:p w14:paraId="5FB39FB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w:t>
            </w:r>
            <w:r>
              <w:rPr>
                <w:rFonts w:ascii="Times New Roman" w:hAnsi="Times New Roman"/>
                <w:szCs w:val="21"/>
                <w:u w:val="single"/>
              </w:rPr>
              <w:t>0%</w:t>
            </w:r>
          </w:p>
        </w:tc>
        <w:tc>
          <w:tcPr>
            <w:tcW w:w="992" w:type="dxa"/>
            <w:vAlign w:val="center"/>
          </w:tcPr>
          <w:p w14:paraId="09023BCB">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35BCA334">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3" w:type="dxa"/>
            <w:vAlign w:val="center"/>
          </w:tcPr>
          <w:p w14:paraId="20CDCE2B">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126B1E0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326B437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5808E98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r>
      <w:tr w14:paraId="4E85A1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continue"/>
            <w:vAlign w:val="center"/>
          </w:tcPr>
          <w:p w14:paraId="0D1A6710">
            <w:pPr>
              <w:pStyle w:val="13"/>
              <w:spacing w:line="240" w:lineRule="exact"/>
              <w:ind w:firstLine="0" w:firstLineChars="0"/>
              <w:jc w:val="center"/>
              <w:rPr>
                <w:rFonts w:ascii="Times New Roman" w:hAnsi="Times New Roman"/>
                <w:szCs w:val="21"/>
                <w:u w:val="single"/>
              </w:rPr>
            </w:pPr>
          </w:p>
        </w:tc>
        <w:tc>
          <w:tcPr>
            <w:tcW w:w="1749" w:type="dxa"/>
            <w:vAlign w:val="center"/>
          </w:tcPr>
          <w:p w14:paraId="48F0918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处理后</w:t>
            </w:r>
          </w:p>
        </w:tc>
        <w:tc>
          <w:tcPr>
            <w:tcW w:w="992" w:type="dxa"/>
            <w:vAlign w:val="center"/>
          </w:tcPr>
          <w:p w14:paraId="500CA5A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5.25</w:t>
            </w:r>
          </w:p>
        </w:tc>
        <w:tc>
          <w:tcPr>
            <w:tcW w:w="992" w:type="dxa"/>
            <w:vAlign w:val="center"/>
          </w:tcPr>
          <w:p w14:paraId="103C43A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72FB14E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400</w:t>
            </w:r>
          </w:p>
        </w:tc>
        <w:tc>
          <w:tcPr>
            <w:tcW w:w="992" w:type="dxa"/>
            <w:vAlign w:val="center"/>
          </w:tcPr>
          <w:p w14:paraId="255EFD6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1830</w:t>
            </w:r>
          </w:p>
        </w:tc>
        <w:tc>
          <w:tcPr>
            <w:tcW w:w="851" w:type="dxa"/>
            <w:vAlign w:val="center"/>
          </w:tcPr>
          <w:p w14:paraId="482D07F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185</w:t>
            </w:r>
          </w:p>
        </w:tc>
        <w:tc>
          <w:tcPr>
            <w:tcW w:w="992" w:type="dxa"/>
            <w:vAlign w:val="center"/>
          </w:tcPr>
          <w:p w14:paraId="0296EED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73546CD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237</w:t>
            </w:r>
          </w:p>
        </w:tc>
        <w:tc>
          <w:tcPr>
            <w:tcW w:w="993" w:type="dxa"/>
            <w:vAlign w:val="center"/>
          </w:tcPr>
          <w:p w14:paraId="08E1492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45C15409">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24C1AD7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3527AF87">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7.4</w:t>
            </w:r>
          </w:p>
        </w:tc>
      </w:tr>
      <w:tr w14:paraId="77475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restart"/>
            <w:vAlign w:val="center"/>
          </w:tcPr>
          <w:p w14:paraId="77A344F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接触氧化</w:t>
            </w:r>
            <w:r>
              <w:rPr>
                <w:rFonts w:hint="eastAsia" w:ascii="Times New Roman" w:hAnsi="Times New Roman"/>
                <w:szCs w:val="21"/>
                <w:u w:val="single"/>
              </w:rPr>
              <w:t>+二沉池</w:t>
            </w:r>
          </w:p>
        </w:tc>
        <w:tc>
          <w:tcPr>
            <w:tcW w:w="1749" w:type="dxa"/>
            <w:vAlign w:val="center"/>
          </w:tcPr>
          <w:p w14:paraId="4D9A89F5">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处理效率</w:t>
            </w:r>
          </w:p>
        </w:tc>
        <w:tc>
          <w:tcPr>
            <w:tcW w:w="992" w:type="dxa"/>
            <w:vAlign w:val="center"/>
          </w:tcPr>
          <w:p w14:paraId="3CAB5325">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13A195C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38FC876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75%</w:t>
            </w:r>
          </w:p>
        </w:tc>
        <w:tc>
          <w:tcPr>
            <w:tcW w:w="992" w:type="dxa"/>
            <w:vAlign w:val="center"/>
          </w:tcPr>
          <w:p w14:paraId="4AE36185">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85</w:t>
            </w:r>
            <w:r>
              <w:rPr>
                <w:rFonts w:ascii="Times New Roman" w:hAnsi="Times New Roman"/>
                <w:szCs w:val="21"/>
                <w:u w:val="single"/>
              </w:rPr>
              <w:t>%</w:t>
            </w:r>
          </w:p>
        </w:tc>
        <w:tc>
          <w:tcPr>
            <w:tcW w:w="851" w:type="dxa"/>
            <w:vAlign w:val="center"/>
          </w:tcPr>
          <w:p w14:paraId="102102C3">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7</w:t>
            </w:r>
            <w:r>
              <w:rPr>
                <w:rFonts w:hint="eastAsia" w:ascii="Times New Roman" w:hAnsi="Times New Roman"/>
                <w:szCs w:val="21"/>
                <w:u w:val="single"/>
              </w:rPr>
              <w:t>0</w:t>
            </w:r>
            <w:r>
              <w:rPr>
                <w:rFonts w:ascii="Times New Roman" w:hAnsi="Times New Roman"/>
                <w:szCs w:val="21"/>
                <w:u w:val="single"/>
              </w:rPr>
              <w:t>%</w:t>
            </w:r>
          </w:p>
        </w:tc>
        <w:tc>
          <w:tcPr>
            <w:tcW w:w="992" w:type="dxa"/>
            <w:vAlign w:val="center"/>
          </w:tcPr>
          <w:p w14:paraId="5D73A557">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389AE4C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70%</w:t>
            </w:r>
          </w:p>
        </w:tc>
        <w:tc>
          <w:tcPr>
            <w:tcW w:w="993" w:type="dxa"/>
            <w:vAlign w:val="center"/>
          </w:tcPr>
          <w:p w14:paraId="29478EE5">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3941B08C">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1114" w:type="dxa"/>
            <w:vAlign w:val="center"/>
          </w:tcPr>
          <w:p w14:paraId="281EBE0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3E6D043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r>
      <w:tr w14:paraId="71EB1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35" w:type="dxa"/>
            <w:vMerge w:val="continue"/>
            <w:vAlign w:val="center"/>
          </w:tcPr>
          <w:p w14:paraId="0674090E">
            <w:pPr>
              <w:pStyle w:val="13"/>
              <w:spacing w:line="240" w:lineRule="exact"/>
              <w:ind w:firstLine="0" w:firstLineChars="0"/>
              <w:jc w:val="center"/>
              <w:rPr>
                <w:rFonts w:ascii="Times New Roman" w:hAnsi="Times New Roman"/>
                <w:szCs w:val="21"/>
                <w:u w:val="single"/>
              </w:rPr>
            </w:pPr>
          </w:p>
        </w:tc>
        <w:tc>
          <w:tcPr>
            <w:tcW w:w="1749" w:type="dxa"/>
            <w:vAlign w:val="center"/>
          </w:tcPr>
          <w:p w14:paraId="2C8C0A1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处理后</w:t>
            </w:r>
          </w:p>
        </w:tc>
        <w:tc>
          <w:tcPr>
            <w:tcW w:w="992" w:type="dxa"/>
            <w:vAlign w:val="center"/>
          </w:tcPr>
          <w:p w14:paraId="136B1FE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5.25</w:t>
            </w:r>
          </w:p>
        </w:tc>
        <w:tc>
          <w:tcPr>
            <w:tcW w:w="992" w:type="dxa"/>
            <w:vAlign w:val="center"/>
          </w:tcPr>
          <w:p w14:paraId="0FB449E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1282BF2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100</w:t>
            </w:r>
          </w:p>
        </w:tc>
        <w:tc>
          <w:tcPr>
            <w:tcW w:w="992" w:type="dxa"/>
            <w:vAlign w:val="center"/>
          </w:tcPr>
          <w:p w14:paraId="3CEB745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275</w:t>
            </w:r>
          </w:p>
        </w:tc>
        <w:tc>
          <w:tcPr>
            <w:tcW w:w="851" w:type="dxa"/>
            <w:vAlign w:val="center"/>
          </w:tcPr>
          <w:p w14:paraId="2FDBD4A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55.5</w:t>
            </w:r>
          </w:p>
        </w:tc>
        <w:tc>
          <w:tcPr>
            <w:tcW w:w="992" w:type="dxa"/>
            <w:vAlign w:val="center"/>
          </w:tcPr>
          <w:p w14:paraId="1F7AAFD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40B981E9">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71.1</w:t>
            </w:r>
          </w:p>
        </w:tc>
        <w:tc>
          <w:tcPr>
            <w:tcW w:w="993" w:type="dxa"/>
            <w:vAlign w:val="center"/>
          </w:tcPr>
          <w:p w14:paraId="27B98C35">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1444887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24336A49">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6381496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7.4</w:t>
            </w:r>
          </w:p>
        </w:tc>
      </w:tr>
      <w:tr w14:paraId="7783D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63A34B5F">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化粪池处理后生活污水</w:t>
            </w:r>
          </w:p>
        </w:tc>
        <w:tc>
          <w:tcPr>
            <w:tcW w:w="992" w:type="dxa"/>
            <w:vAlign w:val="center"/>
          </w:tcPr>
          <w:p w14:paraId="0A8F61A4">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0.</w:t>
            </w:r>
            <w:r>
              <w:rPr>
                <w:rFonts w:hint="eastAsia" w:ascii="Times New Roman" w:hAnsi="Times New Roman"/>
                <w:szCs w:val="21"/>
                <w:u w:val="single"/>
              </w:rPr>
              <w:t>96</w:t>
            </w:r>
          </w:p>
        </w:tc>
        <w:tc>
          <w:tcPr>
            <w:tcW w:w="992" w:type="dxa"/>
            <w:vAlign w:val="center"/>
          </w:tcPr>
          <w:p w14:paraId="39A19A29">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07A3D89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33B9979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250</w:t>
            </w:r>
          </w:p>
        </w:tc>
        <w:tc>
          <w:tcPr>
            <w:tcW w:w="851" w:type="dxa"/>
            <w:vAlign w:val="center"/>
          </w:tcPr>
          <w:p w14:paraId="71FA2BB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120</w:t>
            </w:r>
          </w:p>
        </w:tc>
        <w:tc>
          <w:tcPr>
            <w:tcW w:w="992" w:type="dxa"/>
            <w:vAlign w:val="center"/>
          </w:tcPr>
          <w:p w14:paraId="256AEDFC">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30</w:t>
            </w:r>
          </w:p>
        </w:tc>
        <w:tc>
          <w:tcPr>
            <w:tcW w:w="992" w:type="dxa"/>
            <w:vAlign w:val="center"/>
          </w:tcPr>
          <w:p w14:paraId="12389785">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200</w:t>
            </w:r>
          </w:p>
        </w:tc>
        <w:tc>
          <w:tcPr>
            <w:tcW w:w="993" w:type="dxa"/>
            <w:vAlign w:val="center"/>
          </w:tcPr>
          <w:p w14:paraId="20197AEC">
            <w:pPr>
              <w:pStyle w:val="13"/>
              <w:spacing w:line="240" w:lineRule="exact"/>
              <w:ind w:firstLine="0" w:firstLineChars="0"/>
              <w:jc w:val="center"/>
              <w:rPr>
                <w:rFonts w:ascii="Times New Roman" w:hAnsi="Times New Roman"/>
                <w:szCs w:val="21"/>
                <w:u w:val="single"/>
              </w:rPr>
            </w:pPr>
          </w:p>
        </w:tc>
        <w:tc>
          <w:tcPr>
            <w:tcW w:w="1114" w:type="dxa"/>
            <w:vAlign w:val="center"/>
          </w:tcPr>
          <w:p w14:paraId="0C8D6CA8">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55</w:t>
            </w:r>
          </w:p>
        </w:tc>
        <w:tc>
          <w:tcPr>
            <w:tcW w:w="1114" w:type="dxa"/>
            <w:vAlign w:val="center"/>
          </w:tcPr>
          <w:p w14:paraId="288E0FFF">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3.5</w:t>
            </w:r>
          </w:p>
        </w:tc>
        <w:tc>
          <w:tcPr>
            <w:tcW w:w="1088" w:type="dxa"/>
            <w:vAlign w:val="center"/>
          </w:tcPr>
          <w:p w14:paraId="6D086E7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r>
      <w:tr w14:paraId="5C42E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1797086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循环冷却系统排水</w:t>
            </w:r>
          </w:p>
        </w:tc>
        <w:tc>
          <w:tcPr>
            <w:tcW w:w="992" w:type="dxa"/>
            <w:vAlign w:val="center"/>
          </w:tcPr>
          <w:p w14:paraId="182B2407">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2.56</w:t>
            </w:r>
          </w:p>
        </w:tc>
        <w:tc>
          <w:tcPr>
            <w:tcW w:w="992" w:type="dxa"/>
            <w:vAlign w:val="center"/>
          </w:tcPr>
          <w:p w14:paraId="4A11DFA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2ABD217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34B8D2D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60</w:t>
            </w:r>
          </w:p>
        </w:tc>
        <w:tc>
          <w:tcPr>
            <w:tcW w:w="851" w:type="dxa"/>
            <w:vAlign w:val="center"/>
          </w:tcPr>
          <w:p w14:paraId="317DD72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15</w:t>
            </w:r>
          </w:p>
        </w:tc>
        <w:tc>
          <w:tcPr>
            <w:tcW w:w="992" w:type="dxa"/>
            <w:vAlign w:val="center"/>
          </w:tcPr>
          <w:p w14:paraId="43B2CFF9">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3DE16C2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80</w:t>
            </w:r>
          </w:p>
        </w:tc>
        <w:tc>
          <w:tcPr>
            <w:tcW w:w="993" w:type="dxa"/>
            <w:vAlign w:val="center"/>
          </w:tcPr>
          <w:p w14:paraId="0BFE24A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2FD1CFE6">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1F21763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088" w:type="dxa"/>
            <w:vAlign w:val="center"/>
          </w:tcPr>
          <w:p w14:paraId="61C1A0C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r>
      <w:tr w14:paraId="745B2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0D2B8341">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合计</w:t>
            </w:r>
          </w:p>
        </w:tc>
        <w:tc>
          <w:tcPr>
            <w:tcW w:w="992" w:type="dxa"/>
            <w:vAlign w:val="center"/>
          </w:tcPr>
          <w:p w14:paraId="5957076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8.77</w:t>
            </w:r>
          </w:p>
        </w:tc>
        <w:tc>
          <w:tcPr>
            <w:tcW w:w="992" w:type="dxa"/>
            <w:vAlign w:val="center"/>
          </w:tcPr>
          <w:p w14:paraId="7AC44D3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57D228EA">
            <w:pPr>
              <w:pStyle w:val="13"/>
              <w:spacing w:line="240" w:lineRule="exact"/>
              <w:ind w:firstLine="0" w:firstLineChars="0"/>
              <w:jc w:val="center"/>
              <w:rPr>
                <w:rFonts w:ascii="Times New Roman" w:hAnsi="Times New Roman"/>
                <w:spacing w:val="-6"/>
                <w:szCs w:val="21"/>
                <w:u w:val="single"/>
              </w:rPr>
            </w:pPr>
            <w:r>
              <w:rPr>
                <w:rFonts w:hint="eastAsia" w:ascii="Times New Roman" w:hAnsi="Times New Roman"/>
                <w:spacing w:val="-6"/>
                <w:szCs w:val="21"/>
                <w:u w:val="single"/>
              </w:rPr>
              <w:t>60</w:t>
            </w:r>
          </w:p>
        </w:tc>
        <w:tc>
          <w:tcPr>
            <w:tcW w:w="992" w:type="dxa"/>
            <w:vAlign w:val="center"/>
          </w:tcPr>
          <w:p w14:paraId="34788A3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210</w:t>
            </w:r>
          </w:p>
        </w:tc>
        <w:tc>
          <w:tcPr>
            <w:tcW w:w="851" w:type="dxa"/>
            <w:vAlign w:val="center"/>
          </w:tcPr>
          <w:p w14:paraId="0F5B9828">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50.7</w:t>
            </w:r>
          </w:p>
        </w:tc>
        <w:tc>
          <w:tcPr>
            <w:tcW w:w="992" w:type="dxa"/>
            <w:vAlign w:val="center"/>
          </w:tcPr>
          <w:p w14:paraId="47E8FC24">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3.3</w:t>
            </w:r>
          </w:p>
        </w:tc>
        <w:tc>
          <w:tcPr>
            <w:tcW w:w="992" w:type="dxa"/>
            <w:vAlign w:val="center"/>
          </w:tcPr>
          <w:p w14:paraId="501DC11A">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87.8</w:t>
            </w:r>
          </w:p>
        </w:tc>
        <w:tc>
          <w:tcPr>
            <w:tcW w:w="993" w:type="dxa"/>
            <w:vAlign w:val="center"/>
          </w:tcPr>
          <w:p w14:paraId="2085DBF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194</w:t>
            </w:r>
          </w:p>
        </w:tc>
        <w:tc>
          <w:tcPr>
            <w:tcW w:w="1114" w:type="dxa"/>
            <w:vAlign w:val="center"/>
          </w:tcPr>
          <w:p w14:paraId="4A552EB5">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6</w:t>
            </w:r>
          </w:p>
        </w:tc>
        <w:tc>
          <w:tcPr>
            <w:tcW w:w="1114" w:type="dxa"/>
            <w:vAlign w:val="center"/>
          </w:tcPr>
          <w:p w14:paraId="40EDBFA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0.38</w:t>
            </w:r>
          </w:p>
        </w:tc>
        <w:tc>
          <w:tcPr>
            <w:tcW w:w="1088" w:type="dxa"/>
            <w:vAlign w:val="center"/>
          </w:tcPr>
          <w:p w14:paraId="7BDD5036">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4.4</w:t>
            </w:r>
          </w:p>
        </w:tc>
      </w:tr>
      <w:tr w14:paraId="5C274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68137509">
            <w:pPr>
              <w:pStyle w:val="13"/>
              <w:spacing w:line="240" w:lineRule="exact"/>
              <w:ind w:firstLine="0" w:firstLineChars="0"/>
              <w:jc w:val="center"/>
              <w:rPr>
                <w:rFonts w:ascii="Times New Roman" w:hAnsi="Times New Roman"/>
                <w:szCs w:val="21"/>
                <w:highlight w:val="yellow"/>
                <w:u w:val="single"/>
              </w:rPr>
            </w:pPr>
            <w:r>
              <w:rPr>
                <w:rFonts w:ascii="Times New Roman" w:hAnsi="Times New Roman"/>
                <w:bCs/>
                <w:szCs w:val="21"/>
                <w:u w:val="single"/>
              </w:rPr>
              <w:t>唐庄污水处理厂收水标准</w:t>
            </w:r>
          </w:p>
        </w:tc>
        <w:tc>
          <w:tcPr>
            <w:tcW w:w="992" w:type="dxa"/>
            <w:vAlign w:val="center"/>
          </w:tcPr>
          <w:p w14:paraId="4D7DBAB4">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6B705C7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5098093C">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73A7321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360</w:t>
            </w:r>
          </w:p>
        </w:tc>
        <w:tc>
          <w:tcPr>
            <w:tcW w:w="851" w:type="dxa"/>
            <w:vAlign w:val="center"/>
          </w:tcPr>
          <w:p w14:paraId="703885E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200</w:t>
            </w:r>
          </w:p>
        </w:tc>
        <w:tc>
          <w:tcPr>
            <w:tcW w:w="992" w:type="dxa"/>
            <w:vAlign w:val="center"/>
          </w:tcPr>
          <w:p w14:paraId="4375AC9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30</w:t>
            </w:r>
          </w:p>
        </w:tc>
        <w:tc>
          <w:tcPr>
            <w:tcW w:w="992" w:type="dxa"/>
            <w:vAlign w:val="center"/>
          </w:tcPr>
          <w:p w14:paraId="146ABCDA">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280</w:t>
            </w:r>
          </w:p>
        </w:tc>
        <w:tc>
          <w:tcPr>
            <w:tcW w:w="993" w:type="dxa"/>
            <w:vAlign w:val="center"/>
          </w:tcPr>
          <w:p w14:paraId="5DDBC02D">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5268550A">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40</w:t>
            </w:r>
          </w:p>
        </w:tc>
        <w:tc>
          <w:tcPr>
            <w:tcW w:w="1114" w:type="dxa"/>
            <w:vAlign w:val="center"/>
          </w:tcPr>
          <w:p w14:paraId="0793408B">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w:t>
            </w:r>
          </w:p>
        </w:tc>
        <w:tc>
          <w:tcPr>
            <w:tcW w:w="1088" w:type="dxa"/>
            <w:vAlign w:val="center"/>
          </w:tcPr>
          <w:p w14:paraId="371FDB28">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r>
      <w:tr w14:paraId="44015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6A9C4863">
            <w:pPr>
              <w:pStyle w:val="13"/>
              <w:spacing w:line="240" w:lineRule="exact"/>
              <w:ind w:firstLine="0" w:firstLineChars="0"/>
              <w:jc w:val="center"/>
              <w:rPr>
                <w:rFonts w:ascii="Times New Roman" w:hAnsi="Times New Roman"/>
                <w:bCs/>
                <w:szCs w:val="21"/>
                <w:u w:val="single"/>
              </w:rPr>
            </w:pPr>
            <w:r>
              <w:rPr>
                <w:rFonts w:ascii="Times New Roman" w:hAnsi="Times New Roman"/>
                <w:bCs/>
                <w:szCs w:val="21"/>
                <w:u w:val="single"/>
              </w:rPr>
              <w:t>《化工行业水污染物间接排放标准》（DB41/1135-2016）</w:t>
            </w:r>
          </w:p>
        </w:tc>
        <w:tc>
          <w:tcPr>
            <w:tcW w:w="992" w:type="dxa"/>
            <w:vAlign w:val="center"/>
          </w:tcPr>
          <w:p w14:paraId="0891DF60">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5F331E7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6～9</w:t>
            </w:r>
          </w:p>
        </w:tc>
        <w:tc>
          <w:tcPr>
            <w:tcW w:w="1134" w:type="dxa"/>
            <w:vAlign w:val="center"/>
          </w:tcPr>
          <w:p w14:paraId="4723DA93">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992" w:type="dxa"/>
            <w:vAlign w:val="center"/>
          </w:tcPr>
          <w:p w14:paraId="4585071A">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300</w:t>
            </w:r>
          </w:p>
        </w:tc>
        <w:tc>
          <w:tcPr>
            <w:tcW w:w="851" w:type="dxa"/>
            <w:vAlign w:val="center"/>
          </w:tcPr>
          <w:p w14:paraId="1B6E582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150</w:t>
            </w:r>
          </w:p>
        </w:tc>
        <w:tc>
          <w:tcPr>
            <w:tcW w:w="992" w:type="dxa"/>
            <w:vAlign w:val="center"/>
          </w:tcPr>
          <w:p w14:paraId="73386C43">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30</w:t>
            </w:r>
          </w:p>
        </w:tc>
        <w:tc>
          <w:tcPr>
            <w:tcW w:w="992" w:type="dxa"/>
            <w:vAlign w:val="center"/>
          </w:tcPr>
          <w:p w14:paraId="569E4AF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150</w:t>
            </w:r>
          </w:p>
        </w:tc>
        <w:tc>
          <w:tcPr>
            <w:tcW w:w="993" w:type="dxa"/>
            <w:vAlign w:val="center"/>
          </w:tcPr>
          <w:p w14:paraId="11AEACB1">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w:t>
            </w:r>
          </w:p>
        </w:tc>
        <w:tc>
          <w:tcPr>
            <w:tcW w:w="1114" w:type="dxa"/>
            <w:vAlign w:val="center"/>
          </w:tcPr>
          <w:p w14:paraId="7523B64C">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50</w:t>
            </w:r>
          </w:p>
        </w:tc>
        <w:tc>
          <w:tcPr>
            <w:tcW w:w="1114" w:type="dxa"/>
            <w:vAlign w:val="center"/>
          </w:tcPr>
          <w:p w14:paraId="7615840E">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5</w:t>
            </w:r>
          </w:p>
        </w:tc>
        <w:tc>
          <w:tcPr>
            <w:tcW w:w="1088" w:type="dxa"/>
            <w:vAlign w:val="center"/>
          </w:tcPr>
          <w:p w14:paraId="3278166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20</w:t>
            </w:r>
          </w:p>
        </w:tc>
      </w:tr>
      <w:tr w14:paraId="1A36E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684" w:type="dxa"/>
            <w:gridSpan w:val="2"/>
            <w:vAlign w:val="center"/>
          </w:tcPr>
          <w:p w14:paraId="01ADF483">
            <w:pPr>
              <w:pStyle w:val="13"/>
              <w:spacing w:line="240" w:lineRule="exact"/>
              <w:ind w:firstLine="0" w:firstLineChars="0"/>
              <w:jc w:val="center"/>
              <w:rPr>
                <w:rFonts w:ascii="Times New Roman" w:hAnsi="Times New Roman"/>
                <w:bCs/>
                <w:szCs w:val="21"/>
                <w:u w:val="single"/>
              </w:rPr>
            </w:pPr>
            <w:r>
              <w:rPr>
                <w:rFonts w:ascii="Times New Roman" w:hAnsi="Times New Roman"/>
                <w:bCs/>
                <w:szCs w:val="21"/>
                <w:u w:val="single"/>
              </w:rPr>
              <w:t>达标情况</w:t>
            </w:r>
          </w:p>
        </w:tc>
        <w:tc>
          <w:tcPr>
            <w:tcW w:w="992" w:type="dxa"/>
            <w:vAlign w:val="center"/>
          </w:tcPr>
          <w:p w14:paraId="0989F0AD">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w:t>
            </w:r>
          </w:p>
        </w:tc>
        <w:tc>
          <w:tcPr>
            <w:tcW w:w="992" w:type="dxa"/>
            <w:vAlign w:val="center"/>
          </w:tcPr>
          <w:p w14:paraId="0BE2E157">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1134" w:type="dxa"/>
            <w:vAlign w:val="center"/>
          </w:tcPr>
          <w:p w14:paraId="19EB6B77">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992" w:type="dxa"/>
            <w:vAlign w:val="center"/>
          </w:tcPr>
          <w:p w14:paraId="77866688">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851" w:type="dxa"/>
            <w:vAlign w:val="center"/>
          </w:tcPr>
          <w:p w14:paraId="7A187274">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992" w:type="dxa"/>
            <w:vAlign w:val="center"/>
          </w:tcPr>
          <w:p w14:paraId="16EBC082">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992" w:type="dxa"/>
            <w:vAlign w:val="center"/>
          </w:tcPr>
          <w:p w14:paraId="6D44F22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993" w:type="dxa"/>
            <w:vAlign w:val="center"/>
          </w:tcPr>
          <w:p w14:paraId="090A7B1E">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1114" w:type="dxa"/>
            <w:vAlign w:val="center"/>
          </w:tcPr>
          <w:p w14:paraId="7221E32B">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c>
          <w:tcPr>
            <w:tcW w:w="1114" w:type="dxa"/>
            <w:vAlign w:val="center"/>
          </w:tcPr>
          <w:p w14:paraId="1914EE72">
            <w:pPr>
              <w:pStyle w:val="13"/>
              <w:spacing w:line="240" w:lineRule="exact"/>
              <w:ind w:firstLine="0" w:firstLineChars="0"/>
              <w:jc w:val="center"/>
              <w:rPr>
                <w:rFonts w:ascii="Times New Roman" w:hAnsi="Times New Roman"/>
                <w:szCs w:val="21"/>
                <w:u w:val="single"/>
              </w:rPr>
            </w:pPr>
            <w:r>
              <w:rPr>
                <w:rFonts w:hint="eastAsia" w:ascii="Times New Roman" w:hAnsi="Times New Roman"/>
                <w:szCs w:val="21"/>
                <w:u w:val="single"/>
              </w:rPr>
              <w:t>达标</w:t>
            </w:r>
          </w:p>
        </w:tc>
        <w:tc>
          <w:tcPr>
            <w:tcW w:w="1088" w:type="dxa"/>
            <w:vAlign w:val="center"/>
          </w:tcPr>
          <w:p w14:paraId="530C4EC6">
            <w:pPr>
              <w:pStyle w:val="13"/>
              <w:spacing w:line="240" w:lineRule="exact"/>
              <w:ind w:firstLine="0" w:firstLineChars="0"/>
              <w:jc w:val="center"/>
              <w:rPr>
                <w:rFonts w:ascii="Times New Roman" w:hAnsi="Times New Roman"/>
                <w:szCs w:val="21"/>
                <w:u w:val="single"/>
              </w:rPr>
            </w:pPr>
            <w:r>
              <w:rPr>
                <w:rFonts w:ascii="Times New Roman" w:hAnsi="Times New Roman"/>
                <w:szCs w:val="21"/>
                <w:u w:val="single"/>
              </w:rPr>
              <w:t>达标</w:t>
            </w:r>
          </w:p>
        </w:tc>
      </w:tr>
    </w:tbl>
    <w:p w14:paraId="73D07C4A">
      <w:pPr>
        <w:pStyle w:val="2"/>
        <w:ind w:firstLine="480"/>
      </w:pPr>
    </w:p>
    <w:p w14:paraId="249FA268">
      <w:pPr>
        <w:ind w:firstLine="480"/>
        <w:sectPr>
          <w:pgSz w:w="16840" w:h="11907" w:orient="landscape"/>
          <w:pgMar w:top="1797" w:right="1440" w:bottom="1797" w:left="1440" w:header="907" w:footer="907" w:gutter="0"/>
          <w:cols w:space="425" w:num="1"/>
          <w:docGrid w:linePitch="380" w:charSpace="0"/>
        </w:sectPr>
      </w:pPr>
    </w:p>
    <w:p w14:paraId="62C1E1FC">
      <w:pPr>
        <w:ind w:firstLine="480"/>
        <w:rPr>
          <w:highlight w:val="yellow"/>
        </w:rPr>
      </w:pPr>
      <w:r>
        <w:rPr>
          <w:rFonts w:hint="eastAsia"/>
        </w:rPr>
        <w:t>根据上表，厂区总排口废水水质为</w:t>
      </w:r>
      <w:r>
        <w:rPr>
          <w:rFonts w:hint="eastAsia"/>
          <w:bCs/>
          <w:u w:val="single"/>
        </w:rPr>
        <w:t>pH 6~9、COD 210mg/L、BOD</w:t>
      </w:r>
      <w:r>
        <w:rPr>
          <w:rFonts w:hint="eastAsia"/>
          <w:bCs/>
          <w:u w:val="single"/>
          <w:vertAlign w:val="subscript"/>
        </w:rPr>
        <w:t>5</w:t>
      </w:r>
      <w:r>
        <w:rPr>
          <w:rFonts w:hint="eastAsia"/>
          <w:bCs/>
          <w:u w:val="single"/>
        </w:rPr>
        <w:t xml:space="preserve"> 50.7mg/L、SS 87.8mg/L、NH</w:t>
      </w:r>
      <w:r>
        <w:rPr>
          <w:rFonts w:hint="eastAsia"/>
          <w:bCs/>
          <w:u w:val="single"/>
          <w:vertAlign w:val="subscript"/>
        </w:rPr>
        <w:t>3</w:t>
      </w:r>
      <w:r>
        <w:rPr>
          <w:rFonts w:hint="eastAsia"/>
          <w:bCs/>
          <w:u w:val="single"/>
        </w:rPr>
        <w:t>-N 3.3mg/L、TN 6mg/L、TP 0.39mg/L、石油类4.4mg/L、硫酸钠194mg/L，能够满足</w:t>
      </w:r>
      <w:r>
        <w:rPr>
          <w:bCs/>
          <w:u w:val="single"/>
        </w:rPr>
        <w:t>《化工行业水污染物间接排放标准》（DB41/1</w:t>
      </w:r>
      <w:r>
        <w:rPr>
          <w:rFonts w:hint="eastAsia"/>
          <w:bCs/>
          <w:u w:val="single"/>
        </w:rPr>
        <w:t>135-2016</w:t>
      </w:r>
      <w:r>
        <w:rPr>
          <w:bCs/>
          <w:u w:val="single"/>
        </w:rPr>
        <w:t>）</w:t>
      </w:r>
      <w:r>
        <w:rPr>
          <w:rFonts w:hint="eastAsia"/>
          <w:bCs/>
          <w:u w:val="single"/>
        </w:rPr>
        <w:t>表1、表2间接排放限值要求（pH 6~9、COD 300mg/L、SS 150mg/L、NH</w:t>
      </w:r>
      <w:r>
        <w:rPr>
          <w:rFonts w:hint="eastAsia"/>
          <w:bCs/>
          <w:u w:val="single"/>
          <w:vertAlign w:val="subscript"/>
        </w:rPr>
        <w:t>3</w:t>
      </w:r>
      <w:r>
        <w:rPr>
          <w:rFonts w:hint="eastAsia"/>
          <w:bCs/>
          <w:u w:val="single"/>
        </w:rPr>
        <w:t>-N 30mg/L、TN 50mg/L、TP 5mg/L、石油类20</w:t>
      </w:r>
      <w:r>
        <w:rPr>
          <w:bCs/>
          <w:u w:val="single"/>
        </w:rPr>
        <w:t>mg/L</w:t>
      </w:r>
      <w:r>
        <w:rPr>
          <w:rFonts w:hint="eastAsia"/>
          <w:bCs/>
          <w:u w:val="single"/>
        </w:rPr>
        <w:t>），同时满足唐庄</w:t>
      </w:r>
      <w:r>
        <w:rPr>
          <w:bCs/>
          <w:u w:val="single"/>
        </w:rPr>
        <w:t>污水处理厂收水标准</w:t>
      </w:r>
      <w:r>
        <w:rPr>
          <w:rFonts w:hint="eastAsia"/>
          <w:bCs/>
          <w:u w:val="single"/>
        </w:rPr>
        <w:t>（pH 6~9、COD 360mg/L、BOD</w:t>
      </w:r>
      <w:r>
        <w:rPr>
          <w:rFonts w:hint="eastAsia"/>
          <w:bCs/>
          <w:u w:val="single"/>
          <w:vertAlign w:val="subscript"/>
        </w:rPr>
        <w:t>5</w:t>
      </w:r>
      <w:r>
        <w:rPr>
          <w:rFonts w:hint="eastAsia"/>
          <w:bCs/>
          <w:u w:val="single"/>
        </w:rPr>
        <w:t xml:space="preserve"> 200mg/L、SS 280mg/L、NH</w:t>
      </w:r>
      <w:r>
        <w:rPr>
          <w:rFonts w:hint="eastAsia"/>
          <w:bCs/>
          <w:u w:val="single"/>
          <w:vertAlign w:val="subscript"/>
        </w:rPr>
        <w:t>3</w:t>
      </w:r>
      <w:r>
        <w:rPr>
          <w:rFonts w:hint="eastAsia"/>
          <w:bCs/>
          <w:u w:val="single"/>
        </w:rPr>
        <w:t>-N 30mg/L、TN 40mg/L、TP 5mg/L）。</w:t>
      </w:r>
    </w:p>
    <w:p w14:paraId="78B3AAFC">
      <w:pPr>
        <w:pStyle w:val="6"/>
        <w:ind w:left="0" w:firstLine="482" w:firstLineChars="200"/>
        <w:rPr>
          <w:snapToGrid w:val="0"/>
        </w:rPr>
      </w:pPr>
      <w:r>
        <w:rPr>
          <w:rFonts w:hint="eastAsia"/>
          <w:snapToGrid w:val="0"/>
        </w:rPr>
        <w:t>污水处理站工艺介绍</w:t>
      </w:r>
    </w:p>
    <w:p w14:paraId="17A4B5EF">
      <w:pPr>
        <w:ind w:firstLine="480"/>
      </w:pPr>
      <w:r>
        <w:rPr>
          <w:rFonts w:hint="eastAsia"/>
          <w:u w:val="single"/>
        </w:rPr>
        <w:t>企业拟建一座处理能力为8m</w:t>
      </w:r>
      <w:r>
        <w:rPr>
          <w:rFonts w:hint="eastAsia"/>
          <w:u w:val="single"/>
          <w:vertAlign w:val="superscript"/>
        </w:rPr>
        <w:t>3</w:t>
      </w:r>
      <w:r>
        <w:rPr>
          <w:rFonts w:hint="eastAsia"/>
          <w:u w:val="single"/>
        </w:rPr>
        <w:t>/d的污水处理站，采用“调节池+隔油池+气浮+水解酸化+接触氧化+沉淀池”工艺进行处理废水，处理后进入唐庄污水处理厂进行进一步处理，最后排入共产主义渠。</w:t>
      </w:r>
      <w:r>
        <w:rPr>
          <w:rFonts w:hint="eastAsia"/>
        </w:rPr>
        <w:t>厂区污水处理站工艺流程图见下图。</w:t>
      </w:r>
    </w:p>
    <w:p w14:paraId="3F0E327E">
      <w:pPr>
        <w:pStyle w:val="2"/>
        <w:spacing w:after="0" w:line="360" w:lineRule="auto"/>
        <w:ind w:firstLine="0" w:firstLineChars="0"/>
        <w:jc w:val="center"/>
        <w:rPr>
          <w:u w:val="single"/>
        </w:rPr>
      </w:pPr>
      <w:r>
        <w:drawing>
          <wp:inline distT="0" distB="0" distL="0" distR="0">
            <wp:extent cx="4486910" cy="4445635"/>
            <wp:effectExtent l="0" t="0" r="8890" b="12065"/>
            <wp:docPr id="216535619"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35619" name="图片 1" descr="图示, 示意图&#10;&#10;描述已自动生成"/>
                    <pic:cNvPicPr>
                      <a:picLocks noChangeAspect="1"/>
                    </pic:cNvPicPr>
                  </pic:nvPicPr>
                  <pic:blipFill>
                    <a:blip r:embed="rId159"/>
                    <a:stretch>
                      <a:fillRect/>
                    </a:stretch>
                  </pic:blipFill>
                  <pic:spPr>
                    <a:xfrm>
                      <a:off x="0" y="0"/>
                      <a:ext cx="4486910" cy="4452968"/>
                    </a:xfrm>
                    <a:prstGeom prst="rect">
                      <a:avLst/>
                    </a:prstGeom>
                  </pic:spPr>
                </pic:pic>
              </a:graphicData>
            </a:graphic>
          </wp:inline>
        </w:drawing>
      </w:r>
    </w:p>
    <w:p w14:paraId="443ECF8A">
      <w:pPr>
        <w:ind w:firstLine="482"/>
        <w:jc w:val="center"/>
        <w:rPr>
          <w:b/>
          <w:bCs/>
          <w:u w:val="single"/>
        </w:rPr>
      </w:pPr>
      <w:r>
        <w:rPr>
          <w:rFonts w:hint="eastAsia"/>
          <w:b/>
          <w:bCs/>
          <w:u w:val="single"/>
        </w:rPr>
        <w:t>图7.2-1 厂区污水处理站工艺流程图</w:t>
      </w:r>
    </w:p>
    <w:p w14:paraId="4030A125">
      <w:pPr>
        <w:ind w:firstLine="482"/>
      </w:pPr>
      <w:r>
        <w:rPr>
          <w:rFonts w:hint="eastAsia"/>
          <w:b/>
          <w:bCs/>
        </w:rPr>
        <w:t>污水处理站工艺介绍</w:t>
      </w:r>
      <w:r>
        <w:rPr>
          <w:rFonts w:hint="eastAsia"/>
        </w:rPr>
        <w:t>：</w:t>
      </w:r>
    </w:p>
    <w:p w14:paraId="0EE9FFF9">
      <w:pPr>
        <w:ind w:firstLine="482"/>
      </w:pPr>
      <w:r>
        <w:rPr>
          <w:rFonts w:hint="eastAsia"/>
          <w:b/>
          <w:bCs/>
        </w:rPr>
        <w:t>调节池：</w:t>
      </w:r>
      <w:r>
        <w:rPr>
          <w:rFonts w:hint="eastAsia"/>
        </w:rPr>
        <w:t>本项目喷淋废水、车间地面清洗水进入新建调节池，废水在调节池内均化水质及水量。</w:t>
      </w:r>
    </w:p>
    <w:p w14:paraId="4B7E16E8">
      <w:pPr>
        <w:ind w:firstLine="482"/>
      </w:pPr>
      <w:r>
        <w:rPr>
          <w:rFonts w:hint="eastAsia"/>
          <w:b/>
          <w:bCs/>
        </w:rPr>
        <w:t>隔油池：</w:t>
      </w:r>
      <w:r>
        <w:rPr>
          <w:rFonts w:hint="eastAsia"/>
        </w:rPr>
        <w:t>经调节池调节后的废水进入隔油池，利用油滴与水的密度差产生上浮作用去除含油废水中可浮性油类物质。</w:t>
      </w:r>
    </w:p>
    <w:p w14:paraId="40B4995E">
      <w:pPr>
        <w:pStyle w:val="2"/>
        <w:spacing w:after="0"/>
        <w:ind w:firstLine="482"/>
        <w:rPr>
          <w:u w:val="single"/>
        </w:rPr>
      </w:pPr>
      <w:r>
        <w:rPr>
          <w:rFonts w:hint="eastAsia"/>
          <w:b/>
          <w:bCs/>
          <w:u w:val="single"/>
        </w:rPr>
        <w:t>气浮设备：</w:t>
      </w:r>
      <w:r>
        <w:rPr>
          <w:rFonts w:hint="eastAsia"/>
          <w:u w:val="single"/>
        </w:rPr>
        <w:t>经隔油池含有未去除的少部分油的废水提升至一体化气浮设备，去除废水中的含有的非水溶性硅油类物质等。气浮法是在水中形成高度分散的微小气泡，粘附废水中疏水基的固体或液体颗粒，形成水-气-颗粒三相混合体系，颗粒粘附气泡后，形成表观密度小于水的絮体而上浮到水面，形成浮渣层被刮除，从而实现固液或者液液分离的过程。</w:t>
      </w:r>
    </w:p>
    <w:p w14:paraId="16AF652F">
      <w:pPr>
        <w:ind w:firstLine="482"/>
        <w:rPr>
          <w:szCs w:val="24"/>
        </w:rPr>
      </w:pPr>
      <w:r>
        <w:rPr>
          <w:rFonts w:hint="eastAsia"/>
          <w:b/>
          <w:bCs/>
        </w:rPr>
        <w:t>水解酸化池：</w:t>
      </w:r>
      <w:r>
        <w:rPr>
          <w:szCs w:val="24"/>
        </w:rPr>
        <w:t>水解酸化处理方法是一种介于好氧和厌氧处理法之间的方法，可以将其视作厌氧处理第一和第二阶段，即在大量水解细菌、酸化菌作用下降不溶性有机物水解为溶解性有机物，将难生物降解的大分子物质转化为易生物降解的小分子物质。</w:t>
      </w:r>
    </w:p>
    <w:p w14:paraId="61C97757">
      <w:pPr>
        <w:ind w:firstLine="480"/>
        <w:rPr>
          <w:szCs w:val="24"/>
        </w:rPr>
      </w:pPr>
      <w:r>
        <w:rPr>
          <w:szCs w:val="24"/>
        </w:rPr>
        <w:t>水解和酸化是厌氧消化过程的两个阶段，水解是指有机物进入微生物细胞前，在胞外进行的生物化学反应。微生物通过释放胞外自由酶或者链接在细胞外壁上的固定酶来完成生物催化反应；酸化是一类典型的发酵过程，微生物的代谢产物主要是各种有机酸。在不同的工艺中水解酸化的处理目的也不同。水解酸化在好氧生物处理工艺中的水解目的主要是将原有废水中的非溶解性有机物转变为溶解性有机物，主要将其中难溶解的有机物分解为易生物降解的有机物，提高废水的可生化性，以利于后续的好氧处理；而在混合厌氧消化工艺中水解酸化的目的主要是为混合厌氧消化过程中的甲烷发酵提供底物。而两相厌氧消化工艺中的产酸相是将混合厌氧消化中的产酸相和产甲烷相分开。</w:t>
      </w:r>
    </w:p>
    <w:p w14:paraId="535F9F50">
      <w:pPr>
        <w:pStyle w:val="2"/>
        <w:spacing w:after="0"/>
        <w:ind w:firstLine="480"/>
      </w:pPr>
      <w:r>
        <w:rPr>
          <w:szCs w:val="24"/>
        </w:rPr>
        <w:t>水解酸化可以将废水中难生物降解的有机物转变为易生物降解的有机物，提高废水的可生化性，以便后续的生物处理。</w:t>
      </w:r>
    </w:p>
    <w:p w14:paraId="459A5C16">
      <w:pPr>
        <w:ind w:firstLine="482"/>
      </w:pPr>
      <w:r>
        <w:rPr>
          <w:rFonts w:hint="eastAsia"/>
          <w:b/>
          <w:bCs/>
        </w:rPr>
        <w:t>接触氧化池：</w:t>
      </w:r>
      <w:r>
        <w:rPr>
          <w:rFonts w:hint="eastAsia"/>
        </w:rPr>
        <w:t>接触氧化是一种以生物膜法为主兼有活性污泥法的生物处理工艺。经过充分充氧的污水，浸没全部填料并以一定的速度流经填料，生满生物膜的填料表面经过与充氧的污水充分接触，使水中有机物得到吸附和降解，从而使污水得到进化。它的处理效果优于完全混合式或二、三级串联完全混合式生物接触氧化池，且比活性污泥池体积小，对水质适应性强，耐冲击性能好，出水水质稳定，不会产生污泥膨胀。同时在生物接触氧化池中采用了新型污水绳型填料，它具有实际表面积大，微生物挂膜方便等优点，在同样有机负荷条件下，能提高空气中的氧在水中的溶解度，比其它填料对有机物的去除率高。项目废水处理后水质可满足排放标准。</w:t>
      </w:r>
    </w:p>
    <w:p w14:paraId="0C8F9873">
      <w:pPr>
        <w:pStyle w:val="2"/>
        <w:ind w:firstLine="482"/>
      </w:pPr>
      <w:r>
        <w:rPr>
          <w:rFonts w:hint="eastAsia"/>
          <w:b/>
          <w:bCs/>
        </w:rPr>
        <w:t>二沉池：</w:t>
      </w:r>
      <w:r>
        <w:rPr>
          <w:rFonts w:hint="eastAsia"/>
        </w:rPr>
        <w:t>二沉池是活性污泥系统的重要组成部分，其作用主要是使污泥分离，使混合液澄清、浓缩和回流活性污泥。其工作效果能够直接影响活性污泥系统的出水水质和回流污泥浓度。</w:t>
      </w:r>
    </w:p>
    <w:p w14:paraId="25F3FA9C">
      <w:pPr>
        <w:pStyle w:val="6"/>
        <w:ind w:left="0" w:firstLine="482" w:firstLineChars="200"/>
        <w:rPr>
          <w:snapToGrid w:val="0"/>
        </w:rPr>
      </w:pPr>
      <w:r>
        <w:rPr>
          <w:rFonts w:hint="eastAsia"/>
          <w:snapToGrid w:val="0"/>
        </w:rPr>
        <w:t>处理费用合理性分析</w:t>
      </w:r>
    </w:p>
    <w:p w14:paraId="70AFCE45">
      <w:pPr>
        <w:ind w:firstLine="480"/>
      </w:pPr>
      <w:r>
        <w:rPr>
          <w:rFonts w:hint="eastAsia"/>
        </w:rPr>
        <w:t>污水处理费用包括药剂费、电费、人员工资等，废水处理费用需要约30万元。本项目建成后年均净利润665万元，占年均净利润的4.5%，占比较小，在企业能够承受的范围之内。</w:t>
      </w:r>
    </w:p>
    <w:p w14:paraId="7BF82FD6">
      <w:pPr>
        <w:ind w:firstLine="480"/>
      </w:pPr>
      <w:r>
        <w:rPr>
          <w:rFonts w:hint="eastAsia"/>
        </w:rPr>
        <w:t>根据以上技术、经济分析，评价认为厂区废水处理工艺成熟、可靠，能保证本项目废水稳定达标排放，措施可行。</w:t>
      </w:r>
    </w:p>
    <w:p w14:paraId="0EA2DB14">
      <w:pPr>
        <w:pStyle w:val="6"/>
        <w:ind w:left="0" w:firstLine="482" w:firstLineChars="200"/>
        <w:rPr>
          <w:snapToGrid w:val="0"/>
        </w:rPr>
      </w:pPr>
      <w:r>
        <w:rPr>
          <w:rFonts w:hint="eastAsia"/>
          <w:snapToGrid w:val="0"/>
        </w:rPr>
        <w:t>污水处理站可行性分析</w:t>
      </w:r>
    </w:p>
    <w:p w14:paraId="598A6620">
      <w:pPr>
        <w:ind w:firstLine="480"/>
      </w:pPr>
      <w:r>
        <w:rPr>
          <w:rFonts w:hint="eastAsia"/>
        </w:rPr>
        <w:t>（1）污水处理站处理能力可行性分析</w:t>
      </w:r>
    </w:p>
    <w:p w14:paraId="2D7CBB1C">
      <w:pPr>
        <w:ind w:firstLine="480"/>
      </w:pPr>
      <w:r>
        <w:rPr>
          <w:rFonts w:hint="eastAsia"/>
        </w:rPr>
        <w:t>本项目喷淋废水、车间地面清洗废水经厂区污水处理站处理后与经化粪池处理后的生活污水、循环冷却系统排水</w:t>
      </w:r>
      <w:r>
        <w:t>一起由厂区总排口排入园区污水管网，再</w:t>
      </w:r>
      <w:r>
        <w:rPr>
          <w:rFonts w:hint="eastAsia"/>
        </w:rPr>
        <w:t>进入唐庄</w:t>
      </w:r>
      <w:r>
        <w:t>污水处理厂进行进一步处理，处理后排入</w:t>
      </w:r>
      <w:r>
        <w:rPr>
          <w:rFonts w:hint="eastAsia"/>
        </w:rPr>
        <w:t>共产主义渠</w:t>
      </w:r>
      <w:r>
        <w:t>。</w:t>
      </w:r>
      <w:r>
        <w:rPr>
          <w:rFonts w:hint="eastAsia"/>
          <w:u w:val="single"/>
        </w:rPr>
        <w:t>本项目喷淋废水、车间地面清洗废水产生量为5.2</w:t>
      </w:r>
      <w:r>
        <w:rPr>
          <w:u w:val="single"/>
        </w:rPr>
        <w:t>m</w:t>
      </w:r>
      <w:r>
        <w:rPr>
          <w:u w:val="single"/>
          <w:vertAlign w:val="superscript"/>
        </w:rPr>
        <w:t>3</w:t>
      </w:r>
      <w:r>
        <w:rPr>
          <w:rFonts w:hint="eastAsia"/>
          <w:u w:val="single"/>
        </w:rPr>
        <w:t>/d，则</w:t>
      </w:r>
      <w:r>
        <w:rPr>
          <w:u w:val="single"/>
        </w:rPr>
        <w:t>污水处理站设计规模为</w:t>
      </w:r>
      <w:r>
        <w:rPr>
          <w:rFonts w:hint="eastAsia"/>
          <w:u w:val="single"/>
        </w:rPr>
        <w:t>8</w:t>
      </w:r>
      <w:r>
        <w:rPr>
          <w:u w:val="single"/>
        </w:rPr>
        <w:t>m</w:t>
      </w:r>
      <w:r>
        <w:rPr>
          <w:u w:val="single"/>
          <w:vertAlign w:val="superscript"/>
        </w:rPr>
        <w:t>3</w:t>
      </w:r>
      <w:r>
        <w:rPr>
          <w:u w:val="single"/>
        </w:rPr>
        <w:t>/d</w:t>
      </w:r>
      <w:r>
        <w:rPr>
          <w:rFonts w:hint="eastAsia"/>
        </w:rPr>
        <w:t>。项目废水处理设施设计处理能力能够满足污水处理站处理废水量的要求。</w:t>
      </w:r>
    </w:p>
    <w:p w14:paraId="2522E0B7">
      <w:pPr>
        <w:ind w:firstLine="480"/>
      </w:pPr>
      <w:r>
        <w:rPr>
          <w:rFonts w:hint="eastAsia"/>
        </w:rPr>
        <w:t>（2）污水处理站工艺可行性分析</w:t>
      </w:r>
    </w:p>
    <w:p w14:paraId="46138128">
      <w:pPr>
        <w:ind w:firstLine="480"/>
        <w:rPr>
          <w:u w:val="single"/>
        </w:rPr>
      </w:pPr>
      <w:r>
        <w:rPr>
          <w:rFonts w:hint="eastAsia"/>
        </w:rPr>
        <w:t>本项目喷淋废水、车间地面清洗废水、化验室废水经厂区污水处理站处理后与经化粪池处理后的生活污水、循环冷却系统排水</w:t>
      </w:r>
      <w:r>
        <w:t>一起由厂区总排口排入园区污水管网，再</w:t>
      </w:r>
      <w:r>
        <w:rPr>
          <w:rFonts w:hint="eastAsia"/>
        </w:rPr>
        <w:t>进入唐庄</w:t>
      </w:r>
      <w:r>
        <w:t>污水处理厂进行进一步处理</w:t>
      </w:r>
      <w:r>
        <w:rPr>
          <w:rFonts w:hint="eastAsia"/>
        </w:rPr>
        <w:t>。</w:t>
      </w:r>
      <w:r>
        <w:rPr>
          <w:rFonts w:hint="eastAsia"/>
          <w:u w:val="single"/>
        </w:rPr>
        <w:t>本工程污水处理站拟采用“</w:t>
      </w:r>
      <w:r>
        <w:rPr>
          <w:rFonts w:hint="eastAsia"/>
          <w:bCs/>
          <w:u w:val="single"/>
        </w:rPr>
        <w:t>调节池+隔油池+气浮+水解酸化+</w:t>
      </w:r>
      <w:r>
        <w:rPr>
          <w:rFonts w:hint="eastAsia"/>
          <w:u w:val="single"/>
        </w:rPr>
        <w:t>接触氧化+沉淀”处理工艺。本次评价通过以下途径确定项目污水处理站工艺：</w:t>
      </w:r>
    </w:p>
    <w:p w14:paraId="6EF802FD">
      <w:pPr>
        <w:ind w:firstLine="480"/>
      </w:pPr>
      <w:r>
        <w:rPr>
          <w:rFonts w:hint="eastAsia"/>
        </w:rPr>
        <w:t>根据</w:t>
      </w:r>
      <w:r>
        <w:t xml:space="preserve">《排污许可证申请与核发技术规范 </w:t>
      </w:r>
      <w:r>
        <w:rPr>
          <w:rFonts w:hint="eastAsia"/>
        </w:rPr>
        <w:t>专用化学产品制造</w:t>
      </w:r>
      <w:r>
        <w:t>工业》（HJ 1</w:t>
      </w:r>
      <w:r>
        <w:rPr>
          <w:rFonts w:hint="eastAsia"/>
        </w:rPr>
        <w:t>103</w:t>
      </w:r>
      <w:r>
        <w:t>-20</w:t>
      </w:r>
      <w:r>
        <w:rPr>
          <w:rFonts w:hint="eastAsia"/>
        </w:rPr>
        <w:t>20</w:t>
      </w:r>
      <w:r>
        <w:t>），该标准适用于</w:t>
      </w:r>
      <w:r>
        <w:rPr>
          <w:rFonts w:hint="eastAsia"/>
        </w:rPr>
        <w:t>专用化学产品制造工业排污单位排放的大气污染物、水污染物的排污许可管理</w:t>
      </w:r>
      <w:r>
        <w:t>。</w:t>
      </w:r>
      <w:r>
        <w:rPr>
          <w:rFonts w:hint="eastAsia"/>
        </w:rPr>
        <w:t>根据</w:t>
      </w:r>
      <w:r>
        <w:t>该规范中</w:t>
      </w:r>
      <w:r>
        <w:rPr>
          <w:rFonts w:hint="eastAsia"/>
        </w:rPr>
        <w:t>附录C表C.2废水治理可行性技术表，所有行业厂内综合污水处理站的综合污水废水可行技术为预处理：预处理：格栅、过滤、中和沉淀法、气浮、混凝沉淀；生化处理：活性污泥法、序批式活性污泥法SBR法)、缺氧/好样活性污泥法、生物接触氧化法、厌氧/缺氧/好氧法、膜生物反应器法(MBR法)；除磷处理：化学除磷、生物除磷、化学与生物组合除磷；深度及回用处理：多效蒸发、过滤、超滤、纳滤、反渗透。</w:t>
      </w:r>
    </w:p>
    <w:p w14:paraId="183A26B5">
      <w:pPr>
        <w:ind w:firstLine="480"/>
        <w:rPr>
          <w:u w:val="single"/>
        </w:rPr>
      </w:pPr>
      <w:r>
        <w:rPr>
          <w:rFonts w:hint="eastAsia"/>
          <w:u w:val="single"/>
        </w:rPr>
        <w:t>经对比，本项目采用“</w:t>
      </w:r>
      <w:r>
        <w:rPr>
          <w:rFonts w:hint="eastAsia"/>
          <w:bCs/>
          <w:u w:val="single"/>
        </w:rPr>
        <w:t>调节池+隔油池+气浮+水解酸化+</w:t>
      </w:r>
      <w:r>
        <w:rPr>
          <w:rFonts w:hint="eastAsia"/>
          <w:u w:val="single"/>
        </w:rPr>
        <w:t>接触氧化+沉淀”污水处理工艺是可行的。</w:t>
      </w:r>
    </w:p>
    <w:p w14:paraId="09EBAE7F">
      <w:pPr>
        <w:ind w:firstLine="480"/>
      </w:pPr>
      <w:r>
        <w:rPr>
          <w:rFonts w:hint="eastAsia"/>
        </w:rPr>
        <w:t>（3）项目废水达标分析</w:t>
      </w:r>
    </w:p>
    <w:p w14:paraId="22407EF1">
      <w:pPr>
        <w:ind w:firstLine="480"/>
      </w:pPr>
      <w:r>
        <w:rPr>
          <w:rFonts w:hint="eastAsia"/>
          <w:kern w:val="2"/>
          <w:szCs w:val="24"/>
        </w:rPr>
        <w:t>根据表7.2-1，</w:t>
      </w:r>
      <w:r>
        <w:rPr>
          <w:rFonts w:hint="eastAsia"/>
        </w:rPr>
        <w:t>厂区总排口废水水质为</w:t>
      </w:r>
      <w:r>
        <w:rPr>
          <w:rFonts w:hint="eastAsia"/>
          <w:bCs/>
          <w:u w:val="single"/>
        </w:rPr>
        <w:t>pH 6~9、COD 210mg/L、BOD</w:t>
      </w:r>
      <w:r>
        <w:rPr>
          <w:rFonts w:hint="eastAsia"/>
          <w:bCs/>
          <w:u w:val="single"/>
          <w:vertAlign w:val="subscript"/>
        </w:rPr>
        <w:t>5</w:t>
      </w:r>
      <w:r>
        <w:rPr>
          <w:rFonts w:hint="eastAsia"/>
          <w:bCs/>
          <w:u w:val="single"/>
        </w:rPr>
        <w:t xml:space="preserve"> 50.7mg/L、SS 87.8mg/L、NH</w:t>
      </w:r>
      <w:r>
        <w:rPr>
          <w:rFonts w:hint="eastAsia"/>
          <w:bCs/>
          <w:u w:val="single"/>
          <w:vertAlign w:val="subscript"/>
        </w:rPr>
        <w:t>3</w:t>
      </w:r>
      <w:r>
        <w:rPr>
          <w:rFonts w:hint="eastAsia"/>
          <w:bCs/>
          <w:u w:val="single"/>
        </w:rPr>
        <w:t>-N 3.3mg/L、TN 6mg/L、TP 0.39mg/L、石油类4.4mg/L、硫酸钠194mg/L，能够满足</w:t>
      </w:r>
      <w:r>
        <w:rPr>
          <w:bCs/>
          <w:u w:val="single"/>
        </w:rPr>
        <w:t>《化工行业水污染物间接排放标准》（DB41/1</w:t>
      </w:r>
      <w:r>
        <w:rPr>
          <w:rFonts w:hint="eastAsia"/>
          <w:bCs/>
          <w:u w:val="single"/>
        </w:rPr>
        <w:t>135-2016</w:t>
      </w:r>
      <w:r>
        <w:rPr>
          <w:bCs/>
          <w:u w:val="single"/>
        </w:rPr>
        <w:t>）</w:t>
      </w:r>
      <w:r>
        <w:rPr>
          <w:rFonts w:hint="eastAsia"/>
          <w:bCs/>
          <w:u w:val="single"/>
        </w:rPr>
        <w:t>表1、表2间接排放限值要求（pH 6~9、COD 300mg/L、SS 150mg/L、NH</w:t>
      </w:r>
      <w:r>
        <w:rPr>
          <w:rFonts w:hint="eastAsia"/>
          <w:bCs/>
          <w:u w:val="single"/>
          <w:vertAlign w:val="subscript"/>
        </w:rPr>
        <w:t>3</w:t>
      </w:r>
      <w:r>
        <w:rPr>
          <w:rFonts w:hint="eastAsia"/>
          <w:bCs/>
          <w:u w:val="single"/>
        </w:rPr>
        <w:t>-N 30mg/L、TN 50mg/L、TP 5mg/L、石油类20</w:t>
      </w:r>
      <w:r>
        <w:rPr>
          <w:bCs/>
          <w:u w:val="single"/>
        </w:rPr>
        <w:t>mg/L</w:t>
      </w:r>
      <w:r>
        <w:rPr>
          <w:rFonts w:hint="eastAsia"/>
          <w:bCs/>
          <w:u w:val="single"/>
        </w:rPr>
        <w:t>），同时满足唐庄</w:t>
      </w:r>
      <w:r>
        <w:rPr>
          <w:bCs/>
          <w:u w:val="single"/>
        </w:rPr>
        <w:t>污水处理厂收水标准</w:t>
      </w:r>
      <w:r>
        <w:rPr>
          <w:rFonts w:hint="eastAsia"/>
          <w:bCs/>
          <w:u w:val="single"/>
        </w:rPr>
        <w:t>（pH 6~9、COD 360mg/L、BOD</w:t>
      </w:r>
      <w:r>
        <w:rPr>
          <w:rFonts w:hint="eastAsia"/>
          <w:bCs/>
          <w:u w:val="single"/>
          <w:vertAlign w:val="subscript"/>
        </w:rPr>
        <w:t>5</w:t>
      </w:r>
      <w:r>
        <w:rPr>
          <w:rFonts w:hint="eastAsia"/>
          <w:bCs/>
          <w:u w:val="single"/>
        </w:rPr>
        <w:t xml:space="preserve"> 200mg/L、SS 280mg/L、NH</w:t>
      </w:r>
      <w:r>
        <w:rPr>
          <w:rFonts w:hint="eastAsia"/>
          <w:bCs/>
          <w:u w:val="single"/>
          <w:vertAlign w:val="subscript"/>
        </w:rPr>
        <w:t>3</w:t>
      </w:r>
      <w:r>
        <w:rPr>
          <w:rFonts w:hint="eastAsia"/>
          <w:bCs/>
          <w:u w:val="single"/>
        </w:rPr>
        <w:t>-N 30mg/L、TN 40mg/L、TP 5mg/L）</w:t>
      </w:r>
      <w:r>
        <w:rPr>
          <w:rFonts w:hint="eastAsia"/>
          <w:bCs/>
        </w:rPr>
        <w:t>。</w:t>
      </w:r>
    </w:p>
    <w:p w14:paraId="1D3EEEC1">
      <w:pPr>
        <w:pStyle w:val="6"/>
        <w:ind w:left="0" w:firstLine="482" w:firstLineChars="200"/>
        <w:rPr>
          <w:snapToGrid w:val="0"/>
        </w:rPr>
      </w:pPr>
      <w:r>
        <w:rPr>
          <w:rFonts w:hint="eastAsia"/>
          <w:snapToGrid w:val="0"/>
        </w:rPr>
        <w:t>污水处理厂依托可行性分析</w:t>
      </w:r>
    </w:p>
    <w:p w14:paraId="4FA521BE">
      <w:pPr>
        <w:pStyle w:val="2"/>
        <w:spacing w:after="0"/>
        <w:ind w:firstLine="480"/>
      </w:pPr>
      <w:r>
        <w:t>目前该项目区域污水管网已建成，本项目废水经园区污水管网入</w:t>
      </w:r>
      <w:r>
        <w:rPr>
          <w:rFonts w:hint="eastAsia"/>
        </w:rPr>
        <w:t>唐庄</w:t>
      </w:r>
      <w:r>
        <w:t>污水处理厂经二次处理后，排入</w:t>
      </w:r>
      <w:r>
        <w:rPr>
          <w:rFonts w:hint="eastAsia"/>
        </w:rPr>
        <w:t>共产主义渠</w:t>
      </w:r>
      <w:r>
        <w:t>。</w:t>
      </w:r>
    </w:p>
    <w:p w14:paraId="0D0C68AB">
      <w:pPr>
        <w:ind w:firstLine="480"/>
        <w:outlineLvl w:val="4"/>
        <w:rPr>
          <w:snapToGrid w:val="0"/>
        </w:rPr>
      </w:pPr>
      <w:r>
        <w:rPr>
          <w:rFonts w:hint="eastAsia" w:ascii="宋体" w:hAnsi="宋体" w:cs="宋体"/>
          <w:snapToGrid w:val="0"/>
        </w:rPr>
        <w:t>①唐庄</w:t>
      </w:r>
      <w:r>
        <w:rPr>
          <w:bCs/>
          <w:snapToGrid w:val="0"/>
        </w:rPr>
        <w:t>污水</w:t>
      </w:r>
      <w:r>
        <w:rPr>
          <w:rFonts w:hint="eastAsia"/>
          <w:bCs/>
          <w:snapToGrid w:val="0"/>
        </w:rPr>
        <w:t>处理</w:t>
      </w:r>
      <w:r>
        <w:rPr>
          <w:bCs/>
          <w:snapToGrid w:val="0"/>
        </w:rPr>
        <w:t>厂</w:t>
      </w:r>
      <w:r>
        <w:rPr>
          <w:rFonts w:hint="eastAsia"/>
          <w:bCs/>
          <w:snapToGrid w:val="0"/>
        </w:rPr>
        <w:t>概况</w:t>
      </w:r>
    </w:p>
    <w:p w14:paraId="27635434">
      <w:pPr>
        <w:ind w:firstLine="480"/>
        <w:rPr>
          <w:snapToGrid w:val="0"/>
          <w:highlight w:val="yellow"/>
        </w:rPr>
      </w:pPr>
      <w:r>
        <w:rPr>
          <w:bCs/>
          <w:snapToGrid w:val="0"/>
        </w:rPr>
        <w:t>唐庄污水处理厂位于唐庄村东、石骆驼村西，唐庄污水处理厂设计处理规模为4万m</w:t>
      </w:r>
      <w:r>
        <w:rPr>
          <w:bCs/>
          <w:snapToGrid w:val="0"/>
          <w:vertAlign w:val="superscript"/>
        </w:rPr>
        <w:t>3</w:t>
      </w:r>
      <w:r>
        <w:rPr>
          <w:bCs/>
          <w:snapToGrid w:val="0"/>
        </w:rPr>
        <w:t>/d，一期工程已建成运行，日处理规模为2万m</w:t>
      </w:r>
      <w:r>
        <w:rPr>
          <w:bCs/>
          <w:snapToGrid w:val="0"/>
          <w:vertAlign w:val="superscript"/>
        </w:rPr>
        <w:t>3</w:t>
      </w:r>
      <w:r>
        <w:rPr>
          <w:bCs/>
          <w:snapToGrid w:val="0"/>
        </w:rPr>
        <w:t>/d，二期工程尚未建成，目前已提上日程，设计处理规模2万m</w:t>
      </w:r>
      <w:r>
        <w:rPr>
          <w:bCs/>
          <w:snapToGrid w:val="0"/>
          <w:vertAlign w:val="superscript"/>
        </w:rPr>
        <w:t>3</w:t>
      </w:r>
      <w:r>
        <w:rPr>
          <w:bCs/>
          <w:snapToGrid w:val="0"/>
        </w:rPr>
        <w:t>/d。设计进水水质：COD</w:t>
      </w:r>
      <w:r>
        <w:rPr>
          <w:rFonts w:hint="eastAsia"/>
          <w:bCs/>
          <w:snapToGrid w:val="0"/>
        </w:rPr>
        <w:t xml:space="preserve"> </w:t>
      </w:r>
      <w:r>
        <w:rPr>
          <w:bCs/>
          <w:snapToGrid w:val="0"/>
        </w:rPr>
        <w:t>360mg/L、BOD</w:t>
      </w:r>
      <w:r>
        <w:rPr>
          <w:bCs/>
          <w:snapToGrid w:val="0"/>
          <w:vertAlign w:val="subscript"/>
        </w:rPr>
        <w:t>5</w:t>
      </w:r>
      <w:r>
        <w:rPr>
          <w:bCs/>
          <w:snapToGrid w:val="0"/>
        </w:rPr>
        <w:t xml:space="preserve"> 200mg/L、SS</w:t>
      </w:r>
      <w:r>
        <w:rPr>
          <w:rFonts w:hint="eastAsia"/>
          <w:bCs/>
          <w:snapToGrid w:val="0"/>
        </w:rPr>
        <w:t xml:space="preserve"> </w:t>
      </w:r>
      <w:r>
        <w:rPr>
          <w:bCs/>
          <w:snapToGrid w:val="0"/>
        </w:rPr>
        <w:t>280mg/L、氨氮30mg/L，污水处理工艺为复合型氧化沟工艺+混凝沉淀+超滤膜系统，出水水质执行《城镇污水处理厂污染物排放标准》（GB18918-2002）的一级A标准</w:t>
      </w:r>
      <w:r>
        <w:rPr>
          <w:rFonts w:hint="eastAsia"/>
          <w:bCs/>
          <w:snapToGrid w:val="0"/>
        </w:rPr>
        <w:t>（</w:t>
      </w:r>
      <w:r>
        <w:rPr>
          <w:bCs/>
          <w:snapToGrid w:val="0"/>
        </w:rPr>
        <w:t>TN</w:t>
      </w:r>
      <w:r>
        <w:rPr>
          <w:rFonts w:hint="eastAsia"/>
          <w:bCs/>
          <w:snapToGrid w:val="0"/>
        </w:rPr>
        <w:t xml:space="preserve"> </w:t>
      </w:r>
      <w:r>
        <w:rPr>
          <w:bCs/>
          <w:snapToGrid w:val="0"/>
        </w:rPr>
        <w:t>15mg/L</w:t>
      </w:r>
      <w:r>
        <w:rPr>
          <w:rFonts w:hint="eastAsia"/>
          <w:bCs/>
          <w:snapToGrid w:val="0"/>
        </w:rPr>
        <w:t>）及</w:t>
      </w:r>
      <w:r>
        <w:rPr>
          <w:bCs/>
          <w:snapToGrid w:val="0"/>
        </w:rPr>
        <w:t>COD 40mg/L</w:t>
      </w:r>
      <w:r>
        <w:rPr>
          <w:rFonts w:hint="eastAsia"/>
          <w:bCs/>
          <w:snapToGrid w:val="0"/>
        </w:rPr>
        <w:t>、</w:t>
      </w:r>
      <w:r>
        <w:rPr>
          <w:bCs/>
          <w:snapToGrid w:val="0"/>
        </w:rPr>
        <w:t>氨氮2mg/L</w:t>
      </w:r>
      <w:r>
        <w:rPr>
          <w:rFonts w:hint="eastAsia"/>
          <w:bCs/>
          <w:snapToGrid w:val="0"/>
        </w:rPr>
        <w:t>、总磷0.4mg/L的限值要求，</w:t>
      </w:r>
      <w:r>
        <w:rPr>
          <w:bCs/>
          <w:snapToGrid w:val="0"/>
        </w:rPr>
        <w:t>废水最终排入</w:t>
      </w:r>
      <w:r>
        <w:rPr>
          <w:rFonts w:hint="eastAsia"/>
          <w:bCs/>
          <w:snapToGrid w:val="0"/>
        </w:rPr>
        <w:t>共产主义渠</w:t>
      </w:r>
      <w:r>
        <w:rPr>
          <w:bCs/>
          <w:snapToGrid w:val="0"/>
        </w:rPr>
        <w:t>。</w:t>
      </w:r>
    </w:p>
    <w:p w14:paraId="28A22609">
      <w:pPr>
        <w:ind w:firstLine="480"/>
        <w:outlineLvl w:val="4"/>
        <w:rPr>
          <w:snapToGrid w:val="0"/>
        </w:rPr>
      </w:pPr>
      <w:r>
        <w:rPr>
          <w:rFonts w:hint="eastAsia"/>
          <w:snapToGrid w:val="0"/>
        </w:rPr>
        <w:t>②废水进唐庄污水处理厂的</w:t>
      </w:r>
      <w:r>
        <w:rPr>
          <w:rFonts w:hint="eastAsia"/>
          <w:bCs/>
          <w:snapToGrid w:val="0"/>
        </w:rPr>
        <w:t>可行性分析</w:t>
      </w:r>
    </w:p>
    <w:p w14:paraId="6F99E442">
      <w:pPr>
        <w:ind w:firstLine="480"/>
        <w:rPr>
          <w:snapToGrid w:val="0"/>
        </w:rPr>
      </w:pPr>
      <w:r>
        <w:rPr>
          <w:rFonts w:hint="eastAsia"/>
          <w:snapToGrid w:val="0"/>
        </w:rPr>
        <w:t>i）收水范围</w:t>
      </w:r>
    </w:p>
    <w:p w14:paraId="7DD6B2A1">
      <w:pPr>
        <w:ind w:firstLine="480"/>
        <w:rPr>
          <w:snapToGrid w:val="0"/>
          <w:highlight w:val="yellow"/>
        </w:rPr>
      </w:pPr>
      <w:r>
        <w:rPr>
          <w:rFonts w:hint="eastAsia"/>
          <w:snapToGrid w:val="0"/>
        </w:rPr>
        <w:t>唐庄</w:t>
      </w:r>
      <w:r>
        <w:rPr>
          <w:snapToGrid w:val="0"/>
        </w:rPr>
        <w:t>污水处理厂位于</w:t>
      </w:r>
      <w:r>
        <w:rPr>
          <w:rFonts w:hint="eastAsia"/>
          <w:snapToGrid w:val="0"/>
        </w:rPr>
        <w:t>西南唐庄镇，石骆驼村西北200m处。唐庄污水处理厂服务范围：107国道及沿线以北、卫柿线以南、桃园东路以西、致富路以东所围的区域。</w:t>
      </w:r>
      <w:r>
        <w:rPr>
          <w:snapToGrid w:val="0"/>
        </w:rPr>
        <w:t>本项目属于</w:t>
      </w:r>
      <w:r>
        <w:rPr>
          <w:rFonts w:hint="eastAsia"/>
          <w:snapToGrid w:val="0"/>
        </w:rPr>
        <w:t>唐庄</w:t>
      </w:r>
      <w:r>
        <w:rPr>
          <w:snapToGrid w:val="0"/>
        </w:rPr>
        <w:t>污水处理厂的收水范围。</w:t>
      </w:r>
    </w:p>
    <w:p w14:paraId="308FD807">
      <w:pPr>
        <w:ind w:firstLine="480"/>
        <w:rPr>
          <w:snapToGrid w:val="0"/>
        </w:rPr>
      </w:pPr>
      <w:r>
        <w:rPr>
          <w:rFonts w:hint="eastAsia"/>
          <w:snapToGrid w:val="0"/>
        </w:rPr>
        <w:t>ii</w:t>
      </w:r>
      <w:r>
        <w:rPr>
          <w:snapToGrid w:val="0"/>
        </w:rPr>
        <w:t>）管网铺设</w:t>
      </w:r>
    </w:p>
    <w:p w14:paraId="195F6308">
      <w:pPr>
        <w:ind w:firstLine="480"/>
        <w:rPr>
          <w:snapToGrid w:val="0"/>
          <w:highlight w:val="yellow"/>
        </w:rPr>
      </w:pPr>
      <w:r>
        <w:rPr>
          <w:rFonts w:hint="eastAsia"/>
          <w:snapToGrid w:val="0"/>
        </w:rPr>
        <w:t>卫辉市铁西（化工）园区</w:t>
      </w:r>
      <w:r>
        <w:rPr>
          <w:snapToGrid w:val="0"/>
        </w:rPr>
        <w:t>北区污水管网分为主干管、干管和支管。集聚区内生产、生活污水均经污水支管、干管收集后进入污水主干管，最后输送至</w:t>
      </w:r>
      <w:r>
        <w:rPr>
          <w:rFonts w:hint="eastAsia"/>
          <w:snapToGrid w:val="0"/>
        </w:rPr>
        <w:t>唐庄</w:t>
      </w:r>
      <w:r>
        <w:rPr>
          <w:snapToGrid w:val="0"/>
        </w:rPr>
        <w:t>污水处理厂。项目区域污水主干管</w:t>
      </w:r>
      <w:r>
        <w:rPr>
          <w:rFonts w:hint="eastAsia"/>
          <w:snapToGrid w:val="0"/>
        </w:rPr>
        <w:t>S226与G107</w:t>
      </w:r>
      <w:r>
        <w:rPr>
          <w:snapToGrid w:val="0"/>
        </w:rPr>
        <w:t>污水管网已经敷设完毕，本次工程位于</w:t>
      </w:r>
      <w:r>
        <w:rPr>
          <w:rFonts w:hint="eastAsia"/>
          <w:snapToGrid w:val="0"/>
        </w:rPr>
        <w:t>卫辉市铁西（化工）园区S226与G107交叉口向东250m路北</w:t>
      </w:r>
      <w:r>
        <w:rPr>
          <w:snapToGrid w:val="0"/>
        </w:rPr>
        <w:t>，本工程废水进入</w:t>
      </w:r>
      <w:r>
        <w:rPr>
          <w:rFonts w:hint="eastAsia"/>
          <w:snapToGrid w:val="0"/>
        </w:rPr>
        <w:t>唐庄</w:t>
      </w:r>
      <w:r>
        <w:rPr>
          <w:snapToGrid w:val="0"/>
        </w:rPr>
        <w:t>污水处理厂不存在管网制约因素。</w:t>
      </w:r>
    </w:p>
    <w:p w14:paraId="7B66DF40">
      <w:pPr>
        <w:ind w:firstLine="480"/>
        <w:rPr>
          <w:snapToGrid w:val="0"/>
        </w:rPr>
      </w:pPr>
      <w:r>
        <w:rPr>
          <w:rFonts w:hint="eastAsia"/>
          <w:snapToGrid w:val="0"/>
        </w:rPr>
        <w:t>iii</w:t>
      </w:r>
      <w:r>
        <w:rPr>
          <w:snapToGrid w:val="0"/>
        </w:rPr>
        <w:t>）水量</w:t>
      </w:r>
    </w:p>
    <w:p w14:paraId="348FA70B">
      <w:pPr>
        <w:ind w:firstLine="480"/>
        <w:rPr>
          <w:snapToGrid w:val="0"/>
          <w:highlight w:val="yellow"/>
        </w:rPr>
      </w:pPr>
      <w:r>
        <w:rPr>
          <w:rFonts w:hint="eastAsia"/>
          <w:snapToGrid w:val="0"/>
        </w:rPr>
        <w:t>唐庄</w:t>
      </w:r>
      <w:r>
        <w:rPr>
          <w:snapToGrid w:val="0"/>
        </w:rPr>
        <w:t>污水处理厂设计</w:t>
      </w:r>
      <w:r>
        <w:rPr>
          <w:rFonts w:hint="eastAsia"/>
          <w:snapToGrid w:val="0"/>
        </w:rPr>
        <w:t>总处理</w:t>
      </w:r>
      <w:r>
        <w:rPr>
          <w:snapToGrid w:val="0"/>
        </w:rPr>
        <w:t>规模</w:t>
      </w:r>
      <w:r>
        <w:rPr>
          <w:rFonts w:hint="eastAsia"/>
          <w:snapToGrid w:val="0"/>
        </w:rPr>
        <w:t>4</w:t>
      </w:r>
      <w:r>
        <w:rPr>
          <w:snapToGrid w:val="0"/>
        </w:rPr>
        <w:t>万m</w:t>
      </w:r>
      <w:r>
        <w:rPr>
          <w:snapToGrid w:val="0"/>
          <w:vertAlign w:val="superscript"/>
        </w:rPr>
        <w:t>3</w:t>
      </w:r>
      <w:r>
        <w:rPr>
          <w:snapToGrid w:val="0"/>
        </w:rPr>
        <w:t>/d，</w:t>
      </w:r>
      <w:r>
        <w:rPr>
          <w:rFonts w:hint="eastAsia"/>
          <w:snapToGrid w:val="0"/>
        </w:rPr>
        <w:t>分两期建设，一期规模为2万m</w:t>
      </w:r>
      <w:r>
        <w:rPr>
          <w:rFonts w:hint="eastAsia"/>
          <w:snapToGrid w:val="0"/>
          <w:vertAlign w:val="superscript"/>
        </w:rPr>
        <w:t>3</w:t>
      </w:r>
      <w:r>
        <w:rPr>
          <w:rFonts w:hint="eastAsia"/>
          <w:snapToGrid w:val="0"/>
        </w:rPr>
        <w:t>/d，已建成投产运行，二期规模为2万m</w:t>
      </w:r>
      <w:r>
        <w:rPr>
          <w:rFonts w:hint="eastAsia"/>
          <w:snapToGrid w:val="0"/>
          <w:vertAlign w:val="superscript"/>
        </w:rPr>
        <w:t>3</w:t>
      </w:r>
      <w:r>
        <w:rPr>
          <w:rFonts w:hint="eastAsia"/>
          <w:snapToGrid w:val="0"/>
        </w:rPr>
        <w:t>/d，尚未开始二期扩建工程，已提上日程。</w:t>
      </w:r>
      <w:r>
        <w:rPr>
          <w:snapToGrid w:val="0"/>
        </w:rPr>
        <w:t>根据</w:t>
      </w:r>
      <w:r>
        <w:rPr>
          <w:rFonts w:hint="eastAsia"/>
          <w:snapToGrid w:val="0"/>
        </w:rPr>
        <w:t>唐庄</w:t>
      </w:r>
      <w:r>
        <w:rPr>
          <w:snapToGrid w:val="0"/>
        </w:rPr>
        <w:t>污水处理厂202</w:t>
      </w:r>
      <w:r>
        <w:rPr>
          <w:rFonts w:hint="eastAsia"/>
          <w:snapToGrid w:val="0"/>
        </w:rPr>
        <w:t>4</w:t>
      </w:r>
      <w:r>
        <w:rPr>
          <w:snapToGrid w:val="0"/>
        </w:rPr>
        <w:t>年</w:t>
      </w:r>
      <w:r>
        <w:rPr>
          <w:rFonts w:hint="eastAsia"/>
          <w:snapToGrid w:val="0"/>
        </w:rPr>
        <w:t>1</w:t>
      </w:r>
      <w:r>
        <w:rPr>
          <w:snapToGrid w:val="0"/>
        </w:rPr>
        <w:t>-</w:t>
      </w:r>
      <w:r>
        <w:rPr>
          <w:rFonts w:hint="eastAsia"/>
          <w:snapToGrid w:val="0"/>
        </w:rPr>
        <w:t>6</w:t>
      </w:r>
      <w:r>
        <w:rPr>
          <w:snapToGrid w:val="0"/>
        </w:rPr>
        <w:t>月在线监测数据可知，</w:t>
      </w:r>
      <w:r>
        <w:rPr>
          <w:rFonts w:hint="eastAsia"/>
          <w:snapToGrid w:val="0"/>
        </w:rPr>
        <w:t>唐庄</w:t>
      </w:r>
      <w:r>
        <w:rPr>
          <w:snapToGrid w:val="0"/>
        </w:rPr>
        <w:t>污水处理厂废水量均值为</w:t>
      </w:r>
      <w:r>
        <w:rPr>
          <w:rFonts w:hint="eastAsia"/>
          <w:snapToGrid w:val="0"/>
        </w:rPr>
        <w:t>1.18</w:t>
      </w:r>
      <w:r>
        <w:rPr>
          <w:snapToGrid w:val="0"/>
        </w:rPr>
        <w:t>万m</w:t>
      </w:r>
      <w:r>
        <w:rPr>
          <w:snapToGrid w:val="0"/>
          <w:vertAlign w:val="superscript"/>
        </w:rPr>
        <w:t>3</w:t>
      </w:r>
      <w:r>
        <w:rPr>
          <w:snapToGrid w:val="0"/>
        </w:rPr>
        <w:t>/d。</w:t>
      </w:r>
      <w:r>
        <w:rPr>
          <w:rFonts w:hint="eastAsia"/>
          <w:snapToGrid w:val="0"/>
          <w:u w:val="single"/>
        </w:rPr>
        <w:t>唐庄</w:t>
      </w:r>
      <w:r>
        <w:rPr>
          <w:snapToGrid w:val="0"/>
          <w:u w:val="single"/>
        </w:rPr>
        <w:t>污水处理厂剩余处理能力为</w:t>
      </w:r>
      <w:r>
        <w:rPr>
          <w:rFonts w:hint="eastAsia"/>
          <w:snapToGrid w:val="0"/>
          <w:u w:val="single"/>
        </w:rPr>
        <w:t>0.82</w:t>
      </w:r>
      <w:r>
        <w:rPr>
          <w:snapToGrid w:val="0"/>
          <w:u w:val="single"/>
        </w:rPr>
        <w:t>万m</w:t>
      </w:r>
      <w:r>
        <w:rPr>
          <w:snapToGrid w:val="0"/>
          <w:u w:val="single"/>
          <w:vertAlign w:val="superscript"/>
        </w:rPr>
        <w:t>3</w:t>
      </w:r>
      <w:r>
        <w:rPr>
          <w:snapToGrid w:val="0"/>
          <w:u w:val="single"/>
        </w:rPr>
        <w:t>/d。本项目外排废水最大量为</w:t>
      </w:r>
      <w:r>
        <w:rPr>
          <w:rFonts w:hint="eastAsia"/>
          <w:bCs/>
          <w:szCs w:val="24"/>
          <w:u w:val="single"/>
        </w:rPr>
        <w:t>8.77</w:t>
      </w:r>
      <w:r>
        <w:rPr>
          <w:bCs/>
          <w:szCs w:val="24"/>
          <w:u w:val="single"/>
        </w:rPr>
        <w:t>m</w:t>
      </w:r>
      <w:r>
        <w:rPr>
          <w:bCs/>
          <w:szCs w:val="24"/>
          <w:u w:val="single"/>
          <w:vertAlign w:val="superscript"/>
        </w:rPr>
        <w:t>3</w:t>
      </w:r>
      <w:r>
        <w:rPr>
          <w:bCs/>
          <w:szCs w:val="24"/>
          <w:u w:val="single"/>
        </w:rPr>
        <w:t>/d</w:t>
      </w:r>
      <w:r>
        <w:rPr>
          <w:snapToGrid w:val="0"/>
          <w:u w:val="single"/>
        </w:rPr>
        <w:t>，仅占污水处理厂剩余处理能力的0.</w:t>
      </w:r>
      <w:r>
        <w:rPr>
          <w:rFonts w:hint="eastAsia"/>
          <w:snapToGrid w:val="0"/>
          <w:u w:val="single"/>
        </w:rPr>
        <w:t>1</w:t>
      </w:r>
      <w:r>
        <w:rPr>
          <w:snapToGrid w:val="0"/>
          <w:u w:val="single"/>
        </w:rPr>
        <w:t>%，满足项目处理的需要，不会对污水处理厂造成冲击，可以稳定达标排放。</w:t>
      </w:r>
    </w:p>
    <w:p w14:paraId="0608102A">
      <w:pPr>
        <w:ind w:firstLine="480"/>
        <w:rPr>
          <w:snapToGrid w:val="0"/>
        </w:rPr>
      </w:pPr>
      <w:r>
        <w:rPr>
          <w:snapToGrid w:val="0"/>
        </w:rPr>
        <w:t>I</w:t>
      </w:r>
      <w:r>
        <w:rPr>
          <w:rFonts w:hint="eastAsia"/>
          <w:snapToGrid w:val="0"/>
        </w:rPr>
        <w:t>v</w:t>
      </w:r>
      <w:r>
        <w:rPr>
          <w:snapToGrid w:val="0"/>
        </w:rPr>
        <w:t>）水质</w:t>
      </w:r>
    </w:p>
    <w:p w14:paraId="7E60D373">
      <w:pPr>
        <w:ind w:firstLine="480"/>
        <w:rPr>
          <w:snapToGrid w:val="0"/>
        </w:rPr>
      </w:pPr>
      <w:r>
        <w:rPr>
          <w:snapToGrid w:val="0"/>
        </w:rPr>
        <w:t>本项目排水水质与</w:t>
      </w:r>
      <w:r>
        <w:rPr>
          <w:rFonts w:hint="eastAsia"/>
          <w:snapToGrid w:val="0"/>
        </w:rPr>
        <w:t>唐庄</w:t>
      </w:r>
      <w:r>
        <w:rPr>
          <w:snapToGrid w:val="0"/>
        </w:rPr>
        <w:t>污水处理厂收水水质对比见下表。</w:t>
      </w:r>
    </w:p>
    <w:p w14:paraId="639CEBD2">
      <w:pPr>
        <w:pStyle w:val="99"/>
        <w:numPr>
          <w:ilvl w:val="4"/>
          <w:numId w:val="48"/>
        </w:numPr>
        <w:ind w:left="0" w:firstLine="480"/>
        <w:rPr>
          <w:rFonts w:eastAsia="黑体"/>
        </w:rPr>
      </w:pPr>
      <w:r>
        <w:rPr>
          <w:rFonts w:hint="eastAsia" w:eastAsia="黑体"/>
        </w:rPr>
        <w:t xml:space="preserve">    </w:t>
      </w:r>
      <w:r>
        <w:rPr>
          <w:rFonts w:eastAsia="黑体"/>
        </w:rPr>
        <w:t>项目排水与</w:t>
      </w:r>
      <w:r>
        <w:rPr>
          <w:rFonts w:hint="eastAsia" w:eastAsia="黑体"/>
        </w:rPr>
        <w:t>唐庄</w:t>
      </w:r>
      <w:r>
        <w:rPr>
          <w:rFonts w:eastAsia="黑体"/>
        </w:rPr>
        <w:t xml:space="preserve">污水处理厂收水水质对比  </w:t>
      </w:r>
      <w:r>
        <w:rPr>
          <w:rFonts w:hint="eastAsia" w:eastAsia="黑体"/>
        </w:rPr>
        <w:t xml:space="preserve">  </w:t>
      </w:r>
      <w:r>
        <w:rPr>
          <w:rFonts w:eastAsia="黑体"/>
        </w:rPr>
        <w:t>单位：</w:t>
      </w:r>
      <w:r>
        <w:rPr>
          <w:rFonts w:hint="eastAsia" w:eastAsia="黑体"/>
        </w:rPr>
        <w:t>m</w:t>
      </w:r>
      <w:r>
        <w:rPr>
          <w:rFonts w:eastAsia="黑体"/>
        </w:rPr>
        <w:t>g/L</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05"/>
        <w:gridCol w:w="669"/>
        <w:gridCol w:w="775"/>
        <w:gridCol w:w="785"/>
        <w:gridCol w:w="1019"/>
        <w:gridCol w:w="685"/>
        <w:gridCol w:w="568"/>
        <w:gridCol w:w="568"/>
        <w:gridCol w:w="568"/>
        <w:gridCol w:w="791"/>
      </w:tblGrid>
      <w:tr w14:paraId="77A86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4039E9C8">
            <w:pPr>
              <w:pStyle w:val="67"/>
              <w:adjustRightInd w:val="0"/>
              <w:snapToGrid w:val="0"/>
              <w:rPr>
                <w:rFonts w:cs="Times New Roman"/>
                <w:color w:val="auto"/>
                <w:kern w:val="0"/>
              </w:rPr>
            </w:pPr>
            <w:r>
              <w:rPr>
                <w:rFonts w:cs="Times New Roman"/>
                <w:color w:val="auto"/>
                <w:kern w:val="0"/>
              </w:rPr>
              <w:t>项目</w:t>
            </w:r>
          </w:p>
        </w:tc>
        <w:tc>
          <w:tcPr>
            <w:tcW w:w="403" w:type="pct"/>
            <w:vAlign w:val="center"/>
          </w:tcPr>
          <w:p w14:paraId="08CA6930">
            <w:pPr>
              <w:pStyle w:val="67"/>
              <w:adjustRightInd w:val="0"/>
              <w:snapToGrid w:val="0"/>
              <w:rPr>
                <w:rFonts w:cs="Times New Roman"/>
                <w:color w:val="auto"/>
              </w:rPr>
            </w:pPr>
            <w:r>
              <w:rPr>
                <w:rFonts w:cs="Times New Roman"/>
                <w:color w:val="auto"/>
              </w:rPr>
              <w:t>pH</w:t>
            </w:r>
          </w:p>
        </w:tc>
        <w:tc>
          <w:tcPr>
            <w:tcW w:w="467" w:type="pct"/>
            <w:vAlign w:val="center"/>
          </w:tcPr>
          <w:p w14:paraId="58320D82">
            <w:pPr>
              <w:pStyle w:val="67"/>
              <w:adjustRightInd w:val="0"/>
              <w:snapToGrid w:val="0"/>
              <w:rPr>
                <w:rFonts w:cs="Times New Roman"/>
                <w:color w:val="auto"/>
              </w:rPr>
            </w:pPr>
            <w:r>
              <w:rPr>
                <w:rFonts w:hint="eastAsia"/>
                <w:bCs/>
                <w:color w:val="auto"/>
                <w:szCs w:val="21"/>
              </w:rPr>
              <w:t>色度（倍）</w:t>
            </w:r>
          </w:p>
        </w:tc>
        <w:tc>
          <w:tcPr>
            <w:tcW w:w="473" w:type="pct"/>
            <w:vAlign w:val="center"/>
          </w:tcPr>
          <w:p w14:paraId="133D217A">
            <w:pPr>
              <w:pStyle w:val="67"/>
              <w:adjustRightInd w:val="0"/>
              <w:snapToGrid w:val="0"/>
              <w:rPr>
                <w:rFonts w:cs="Times New Roman"/>
                <w:color w:val="auto"/>
              </w:rPr>
            </w:pPr>
            <w:r>
              <w:rPr>
                <w:rFonts w:cs="Times New Roman"/>
                <w:color w:val="auto"/>
              </w:rPr>
              <w:t>COD</w:t>
            </w:r>
          </w:p>
        </w:tc>
        <w:tc>
          <w:tcPr>
            <w:tcW w:w="613" w:type="pct"/>
            <w:vAlign w:val="center"/>
          </w:tcPr>
          <w:p w14:paraId="2B39F25B">
            <w:pPr>
              <w:pStyle w:val="67"/>
              <w:adjustRightInd w:val="0"/>
              <w:snapToGrid w:val="0"/>
              <w:rPr>
                <w:rFonts w:cs="Times New Roman"/>
                <w:color w:val="auto"/>
              </w:rPr>
            </w:pPr>
            <w:r>
              <w:rPr>
                <w:rFonts w:cs="Times New Roman"/>
                <w:color w:val="auto"/>
                <w:szCs w:val="21"/>
              </w:rPr>
              <w:t>BOD</w:t>
            </w:r>
            <w:r>
              <w:rPr>
                <w:rFonts w:cs="Times New Roman"/>
                <w:color w:val="auto"/>
                <w:szCs w:val="21"/>
                <w:vertAlign w:val="subscript"/>
              </w:rPr>
              <w:t>5</w:t>
            </w:r>
          </w:p>
        </w:tc>
        <w:tc>
          <w:tcPr>
            <w:tcW w:w="413" w:type="pct"/>
            <w:vAlign w:val="center"/>
          </w:tcPr>
          <w:p w14:paraId="691346E7">
            <w:pPr>
              <w:pStyle w:val="67"/>
              <w:adjustRightInd w:val="0"/>
              <w:snapToGrid w:val="0"/>
              <w:rPr>
                <w:rFonts w:cs="Times New Roman"/>
                <w:color w:val="auto"/>
              </w:rPr>
            </w:pPr>
            <w:r>
              <w:rPr>
                <w:rFonts w:cs="Times New Roman"/>
                <w:color w:val="auto"/>
              </w:rPr>
              <w:t>NH</w:t>
            </w:r>
            <w:r>
              <w:rPr>
                <w:rFonts w:cs="Times New Roman"/>
                <w:color w:val="auto"/>
                <w:vertAlign w:val="subscript"/>
              </w:rPr>
              <w:t>3</w:t>
            </w:r>
            <w:r>
              <w:rPr>
                <w:rFonts w:cs="Times New Roman"/>
                <w:color w:val="auto"/>
              </w:rPr>
              <w:t>-N</w:t>
            </w:r>
          </w:p>
        </w:tc>
        <w:tc>
          <w:tcPr>
            <w:tcW w:w="342" w:type="pct"/>
            <w:vAlign w:val="center"/>
          </w:tcPr>
          <w:p w14:paraId="2393EE73">
            <w:pPr>
              <w:pStyle w:val="67"/>
              <w:adjustRightInd w:val="0"/>
              <w:snapToGrid w:val="0"/>
              <w:rPr>
                <w:rFonts w:cs="Times New Roman"/>
                <w:color w:val="auto"/>
              </w:rPr>
            </w:pPr>
            <w:r>
              <w:rPr>
                <w:rFonts w:cs="Times New Roman"/>
                <w:color w:val="auto"/>
              </w:rPr>
              <w:t>SS</w:t>
            </w:r>
          </w:p>
        </w:tc>
        <w:tc>
          <w:tcPr>
            <w:tcW w:w="342" w:type="pct"/>
            <w:vAlign w:val="center"/>
          </w:tcPr>
          <w:p w14:paraId="7D2F8625">
            <w:pPr>
              <w:pStyle w:val="67"/>
              <w:adjustRightInd w:val="0"/>
              <w:snapToGrid w:val="0"/>
              <w:rPr>
                <w:rFonts w:cs="Times New Roman"/>
                <w:color w:val="auto"/>
              </w:rPr>
            </w:pPr>
            <w:r>
              <w:rPr>
                <w:rFonts w:cs="Times New Roman"/>
                <w:color w:val="auto"/>
              </w:rPr>
              <w:t>TP</w:t>
            </w:r>
          </w:p>
        </w:tc>
        <w:tc>
          <w:tcPr>
            <w:tcW w:w="342" w:type="pct"/>
            <w:vAlign w:val="center"/>
          </w:tcPr>
          <w:p w14:paraId="233A2783">
            <w:pPr>
              <w:pStyle w:val="67"/>
              <w:adjustRightInd w:val="0"/>
              <w:snapToGrid w:val="0"/>
              <w:rPr>
                <w:rFonts w:cs="Times New Roman"/>
                <w:color w:val="auto"/>
              </w:rPr>
            </w:pPr>
            <w:r>
              <w:rPr>
                <w:rFonts w:cs="Times New Roman"/>
                <w:color w:val="auto"/>
              </w:rPr>
              <w:t>TN</w:t>
            </w:r>
          </w:p>
        </w:tc>
        <w:tc>
          <w:tcPr>
            <w:tcW w:w="476" w:type="pct"/>
            <w:vAlign w:val="center"/>
          </w:tcPr>
          <w:p w14:paraId="090A9FFD">
            <w:pPr>
              <w:pStyle w:val="67"/>
              <w:adjustRightInd w:val="0"/>
              <w:snapToGrid w:val="0"/>
              <w:rPr>
                <w:rFonts w:cs="Times New Roman"/>
                <w:color w:val="auto"/>
              </w:rPr>
            </w:pPr>
            <w:r>
              <w:rPr>
                <w:rFonts w:hint="eastAsia" w:cs="Times New Roman"/>
                <w:color w:val="auto"/>
              </w:rPr>
              <w:t>石油类</w:t>
            </w:r>
          </w:p>
        </w:tc>
      </w:tr>
      <w:tr w14:paraId="3AD5C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127ADCA6">
            <w:pPr>
              <w:pStyle w:val="62"/>
              <w:adjustRightInd w:val="0"/>
              <w:snapToGrid w:val="0"/>
              <w:contextualSpacing w:val="0"/>
            </w:pPr>
            <w:r>
              <w:rPr>
                <w:rFonts w:hint="eastAsia"/>
              </w:rPr>
              <w:t>厂区</w:t>
            </w:r>
            <w:r>
              <w:t>总排口</w:t>
            </w:r>
          </w:p>
        </w:tc>
        <w:tc>
          <w:tcPr>
            <w:tcW w:w="403" w:type="pct"/>
            <w:vAlign w:val="center"/>
          </w:tcPr>
          <w:p w14:paraId="0E6F7A64">
            <w:pPr>
              <w:pStyle w:val="62"/>
              <w:adjustRightInd w:val="0"/>
              <w:snapToGrid w:val="0"/>
              <w:contextualSpacing w:val="0"/>
            </w:pPr>
            <w:r>
              <w:t>6~9</w:t>
            </w:r>
          </w:p>
        </w:tc>
        <w:tc>
          <w:tcPr>
            <w:tcW w:w="467" w:type="pct"/>
            <w:vAlign w:val="center"/>
          </w:tcPr>
          <w:p w14:paraId="65B6F6A3">
            <w:pPr>
              <w:pStyle w:val="62"/>
              <w:adjustRightInd w:val="0"/>
              <w:snapToGrid w:val="0"/>
              <w:contextualSpacing w:val="0"/>
              <w:rPr>
                <w:u w:val="single"/>
              </w:rPr>
            </w:pPr>
            <w:r>
              <w:rPr>
                <w:rFonts w:hint="eastAsia"/>
                <w:u w:val="single"/>
              </w:rPr>
              <w:t>60</w:t>
            </w:r>
          </w:p>
        </w:tc>
        <w:tc>
          <w:tcPr>
            <w:tcW w:w="473" w:type="pct"/>
            <w:vAlign w:val="center"/>
          </w:tcPr>
          <w:p w14:paraId="3720C0C7">
            <w:pPr>
              <w:pStyle w:val="62"/>
              <w:adjustRightInd w:val="0"/>
              <w:snapToGrid w:val="0"/>
              <w:contextualSpacing w:val="0"/>
              <w:rPr>
                <w:highlight w:val="yellow"/>
                <w:u w:val="single"/>
              </w:rPr>
            </w:pPr>
            <w:r>
              <w:rPr>
                <w:rFonts w:hint="eastAsia"/>
                <w:u w:val="single"/>
              </w:rPr>
              <w:t>210</w:t>
            </w:r>
          </w:p>
        </w:tc>
        <w:tc>
          <w:tcPr>
            <w:tcW w:w="613" w:type="pct"/>
            <w:vAlign w:val="center"/>
          </w:tcPr>
          <w:p w14:paraId="7E906BE7">
            <w:pPr>
              <w:pStyle w:val="62"/>
              <w:adjustRightInd w:val="0"/>
              <w:snapToGrid w:val="0"/>
              <w:contextualSpacing w:val="0"/>
              <w:rPr>
                <w:highlight w:val="yellow"/>
                <w:u w:val="single"/>
              </w:rPr>
            </w:pPr>
            <w:r>
              <w:rPr>
                <w:rFonts w:hint="eastAsia"/>
                <w:u w:val="single"/>
              </w:rPr>
              <w:t>50.7</w:t>
            </w:r>
          </w:p>
        </w:tc>
        <w:tc>
          <w:tcPr>
            <w:tcW w:w="413" w:type="pct"/>
            <w:vAlign w:val="center"/>
          </w:tcPr>
          <w:p w14:paraId="0588866A">
            <w:pPr>
              <w:pStyle w:val="62"/>
              <w:adjustRightInd w:val="0"/>
              <w:snapToGrid w:val="0"/>
              <w:contextualSpacing w:val="0"/>
              <w:rPr>
                <w:highlight w:val="yellow"/>
                <w:u w:val="single"/>
              </w:rPr>
            </w:pPr>
            <w:r>
              <w:rPr>
                <w:rFonts w:hint="eastAsia"/>
                <w:u w:val="single"/>
              </w:rPr>
              <w:t>3.3</w:t>
            </w:r>
          </w:p>
        </w:tc>
        <w:tc>
          <w:tcPr>
            <w:tcW w:w="342" w:type="pct"/>
            <w:vAlign w:val="center"/>
          </w:tcPr>
          <w:p w14:paraId="61994FF8">
            <w:pPr>
              <w:pStyle w:val="62"/>
              <w:adjustRightInd w:val="0"/>
              <w:snapToGrid w:val="0"/>
              <w:contextualSpacing w:val="0"/>
              <w:rPr>
                <w:highlight w:val="yellow"/>
                <w:u w:val="single"/>
              </w:rPr>
            </w:pPr>
            <w:r>
              <w:rPr>
                <w:rFonts w:hint="eastAsia"/>
                <w:u w:val="single"/>
              </w:rPr>
              <w:t>87.8</w:t>
            </w:r>
          </w:p>
        </w:tc>
        <w:tc>
          <w:tcPr>
            <w:tcW w:w="342" w:type="pct"/>
            <w:vAlign w:val="center"/>
          </w:tcPr>
          <w:p w14:paraId="519DD787">
            <w:pPr>
              <w:pStyle w:val="62"/>
              <w:adjustRightInd w:val="0"/>
              <w:snapToGrid w:val="0"/>
              <w:contextualSpacing w:val="0"/>
              <w:rPr>
                <w:highlight w:val="yellow"/>
                <w:u w:val="single"/>
              </w:rPr>
            </w:pPr>
            <w:r>
              <w:rPr>
                <w:rFonts w:hint="eastAsia"/>
                <w:u w:val="single"/>
              </w:rPr>
              <w:t>0.39</w:t>
            </w:r>
          </w:p>
        </w:tc>
        <w:tc>
          <w:tcPr>
            <w:tcW w:w="342" w:type="pct"/>
            <w:vAlign w:val="center"/>
          </w:tcPr>
          <w:p w14:paraId="2F62283E">
            <w:pPr>
              <w:pStyle w:val="62"/>
              <w:adjustRightInd w:val="0"/>
              <w:snapToGrid w:val="0"/>
              <w:contextualSpacing w:val="0"/>
              <w:rPr>
                <w:highlight w:val="yellow"/>
                <w:u w:val="single"/>
              </w:rPr>
            </w:pPr>
            <w:r>
              <w:rPr>
                <w:rFonts w:hint="eastAsia"/>
                <w:u w:val="single"/>
              </w:rPr>
              <w:t>6</w:t>
            </w:r>
          </w:p>
        </w:tc>
        <w:tc>
          <w:tcPr>
            <w:tcW w:w="476" w:type="pct"/>
            <w:vAlign w:val="center"/>
          </w:tcPr>
          <w:p w14:paraId="63AE8FF6">
            <w:pPr>
              <w:pStyle w:val="62"/>
              <w:adjustRightInd w:val="0"/>
              <w:snapToGrid w:val="0"/>
              <w:contextualSpacing w:val="0"/>
              <w:rPr>
                <w:highlight w:val="yellow"/>
                <w:u w:val="single"/>
              </w:rPr>
            </w:pPr>
            <w:r>
              <w:rPr>
                <w:rFonts w:hint="eastAsia"/>
                <w:u w:val="single"/>
              </w:rPr>
              <w:t>4.4</w:t>
            </w:r>
          </w:p>
        </w:tc>
      </w:tr>
      <w:tr w14:paraId="7C514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375EC655">
            <w:pPr>
              <w:pStyle w:val="62"/>
              <w:adjustRightInd w:val="0"/>
              <w:snapToGrid w:val="0"/>
              <w:contextualSpacing w:val="0"/>
              <w:rPr>
                <w:highlight w:val="yellow"/>
              </w:rPr>
            </w:pPr>
            <w:r>
              <w:rPr>
                <w:rFonts w:hint="eastAsia"/>
                <w:bCs/>
              </w:rPr>
              <w:t>唐庄</w:t>
            </w:r>
            <w:r>
              <w:rPr>
                <w:bCs/>
              </w:rPr>
              <w:t>污水处理厂收水标准</w:t>
            </w:r>
          </w:p>
        </w:tc>
        <w:tc>
          <w:tcPr>
            <w:tcW w:w="403" w:type="pct"/>
            <w:vAlign w:val="center"/>
          </w:tcPr>
          <w:p w14:paraId="49EB8491">
            <w:pPr>
              <w:pStyle w:val="62"/>
              <w:adjustRightInd w:val="0"/>
              <w:snapToGrid w:val="0"/>
              <w:contextualSpacing w:val="0"/>
              <w:rPr>
                <w:highlight w:val="yellow"/>
              </w:rPr>
            </w:pPr>
            <w:r>
              <w:t>6～9</w:t>
            </w:r>
          </w:p>
        </w:tc>
        <w:tc>
          <w:tcPr>
            <w:tcW w:w="467" w:type="pct"/>
            <w:vAlign w:val="center"/>
          </w:tcPr>
          <w:p w14:paraId="6B4998C6">
            <w:pPr>
              <w:pStyle w:val="62"/>
              <w:adjustRightInd w:val="0"/>
              <w:snapToGrid w:val="0"/>
              <w:contextualSpacing w:val="0"/>
            </w:pPr>
            <w:r>
              <w:rPr>
                <w:rFonts w:hint="eastAsia"/>
              </w:rPr>
              <w:t>/</w:t>
            </w:r>
          </w:p>
        </w:tc>
        <w:tc>
          <w:tcPr>
            <w:tcW w:w="473" w:type="pct"/>
            <w:vAlign w:val="center"/>
          </w:tcPr>
          <w:p w14:paraId="0176C591">
            <w:pPr>
              <w:pStyle w:val="62"/>
              <w:adjustRightInd w:val="0"/>
              <w:snapToGrid w:val="0"/>
              <w:contextualSpacing w:val="0"/>
              <w:rPr>
                <w:highlight w:val="yellow"/>
              </w:rPr>
            </w:pPr>
            <w:r>
              <w:rPr>
                <w:rFonts w:hint="eastAsia"/>
              </w:rPr>
              <w:t>360</w:t>
            </w:r>
          </w:p>
        </w:tc>
        <w:tc>
          <w:tcPr>
            <w:tcW w:w="613" w:type="pct"/>
            <w:vAlign w:val="center"/>
          </w:tcPr>
          <w:p w14:paraId="4485F2DD">
            <w:pPr>
              <w:pStyle w:val="62"/>
              <w:adjustRightInd w:val="0"/>
              <w:snapToGrid w:val="0"/>
              <w:contextualSpacing w:val="0"/>
              <w:rPr>
                <w:highlight w:val="yellow"/>
              </w:rPr>
            </w:pPr>
            <w:r>
              <w:rPr>
                <w:rFonts w:hint="eastAsia"/>
              </w:rPr>
              <w:t>200</w:t>
            </w:r>
          </w:p>
        </w:tc>
        <w:tc>
          <w:tcPr>
            <w:tcW w:w="413" w:type="pct"/>
            <w:vAlign w:val="center"/>
          </w:tcPr>
          <w:p w14:paraId="61C2E20C">
            <w:pPr>
              <w:pStyle w:val="62"/>
              <w:adjustRightInd w:val="0"/>
              <w:snapToGrid w:val="0"/>
              <w:contextualSpacing w:val="0"/>
              <w:rPr>
                <w:highlight w:val="yellow"/>
              </w:rPr>
            </w:pPr>
            <w:r>
              <w:rPr>
                <w:rFonts w:hint="eastAsia"/>
              </w:rPr>
              <w:t>30</w:t>
            </w:r>
          </w:p>
        </w:tc>
        <w:tc>
          <w:tcPr>
            <w:tcW w:w="342" w:type="pct"/>
            <w:vAlign w:val="center"/>
          </w:tcPr>
          <w:p w14:paraId="0C66E2E5">
            <w:pPr>
              <w:pStyle w:val="62"/>
              <w:adjustRightInd w:val="0"/>
              <w:snapToGrid w:val="0"/>
              <w:contextualSpacing w:val="0"/>
              <w:rPr>
                <w:highlight w:val="yellow"/>
              </w:rPr>
            </w:pPr>
            <w:r>
              <w:rPr>
                <w:rFonts w:hint="eastAsia"/>
              </w:rPr>
              <w:t>280</w:t>
            </w:r>
          </w:p>
        </w:tc>
        <w:tc>
          <w:tcPr>
            <w:tcW w:w="342" w:type="pct"/>
            <w:vAlign w:val="center"/>
          </w:tcPr>
          <w:p w14:paraId="621B1A52">
            <w:pPr>
              <w:pStyle w:val="62"/>
              <w:adjustRightInd w:val="0"/>
              <w:snapToGrid w:val="0"/>
              <w:contextualSpacing w:val="0"/>
              <w:rPr>
                <w:highlight w:val="yellow"/>
              </w:rPr>
            </w:pPr>
            <w:r>
              <w:rPr>
                <w:rFonts w:hint="eastAsia"/>
              </w:rPr>
              <w:t>5</w:t>
            </w:r>
          </w:p>
        </w:tc>
        <w:tc>
          <w:tcPr>
            <w:tcW w:w="342" w:type="pct"/>
            <w:vAlign w:val="center"/>
          </w:tcPr>
          <w:p w14:paraId="44CD9F4B">
            <w:pPr>
              <w:pStyle w:val="62"/>
              <w:adjustRightInd w:val="0"/>
              <w:snapToGrid w:val="0"/>
              <w:contextualSpacing w:val="0"/>
              <w:rPr>
                <w:highlight w:val="yellow"/>
              </w:rPr>
            </w:pPr>
            <w:r>
              <w:rPr>
                <w:rFonts w:hint="eastAsia"/>
              </w:rPr>
              <w:t>40</w:t>
            </w:r>
          </w:p>
        </w:tc>
        <w:tc>
          <w:tcPr>
            <w:tcW w:w="476" w:type="pct"/>
            <w:vAlign w:val="center"/>
          </w:tcPr>
          <w:p w14:paraId="1F64E27B">
            <w:pPr>
              <w:pStyle w:val="62"/>
              <w:adjustRightInd w:val="0"/>
              <w:snapToGrid w:val="0"/>
              <w:contextualSpacing w:val="0"/>
              <w:rPr>
                <w:highlight w:val="yellow"/>
              </w:rPr>
            </w:pPr>
            <w:r>
              <w:rPr>
                <w:rFonts w:hint="eastAsia"/>
              </w:rPr>
              <w:t>-</w:t>
            </w:r>
          </w:p>
        </w:tc>
      </w:tr>
      <w:tr w14:paraId="0747D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543E59E7">
            <w:pPr>
              <w:pStyle w:val="62"/>
              <w:adjustRightInd w:val="0"/>
              <w:snapToGrid w:val="0"/>
              <w:contextualSpacing w:val="0"/>
              <w:rPr>
                <w:caps/>
                <w:highlight w:val="yellow"/>
              </w:rPr>
            </w:pPr>
            <w:r>
              <w:rPr>
                <w:bCs/>
              </w:rPr>
              <w:t>《化工行业水污染物间接排放标准》（DB41/1</w:t>
            </w:r>
            <w:r>
              <w:rPr>
                <w:rFonts w:hint="eastAsia"/>
                <w:bCs/>
              </w:rPr>
              <w:t>135-2016</w:t>
            </w:r>
            <w:r>
              <w:rPr>
                <w:bCs/>
              </w:rPr>
              <w:t>）</w:t>
            </w:r>
          </w:p>
        </w:tc>
        <w:tc>
          <w:tcPr>
            <w:tcW w:w="403" w:type="pct"/>
            <w:vAlign w:val="center"/>
          </w:tcPr>
          <w:p w14:paraId="770BC4D0">
            <w:pPr>
              <w:pStyle w:val="62"/>
              <w:adjustRightInd w:val="0"/>
              <w:snapToGrid w:val="0"/>
              <w:contextualSpacing w:val="0"/>
              <w:rPr>
                <w:highlight w:val="yellow"/>
              </w:rPr>
            </w:pPr>
            <w:r>
              <w:t>6～9</w:t>
            </w:r>
          </w:p>
        </w:tc>
        <w:tc>
          <w:tcPr>
            <w:tcW w:w="467" w:type="pct"/>
            <w:vAlign w:val="center"/>
          </w:tcPr>
          <w:p w14:paraId="198A4DDC">
            <w:pPr>
              <w:pStyle w:val="62"/>
              <w:adjustRightInd w:val="0"/>
              <w:snapToGrid w:val="0"/>
              <w:contextualSpacing w:val="0"/>
            </w:pPr>
            <w:r>
              <w:rPr>
                <w:rFonts w:hint="eastAsia"/>
              </w:rPr>
              <w:t>/</w:t>
            </w:r>
          </w:p>
        </w:tc>
        <w:tc>
          <w:tcPr>
            <w:tcW w:w="473" w:type="pct"/>
            <w:vAlign w:val="center"/>
          </w:tcPr>
          <w:p w14:paraId="69D9B2C8">
            <w:pPr>
              <w:pStyle w:val="62"/>
              <w:adjustRightInd w:val="0"/>
              <w:snapToGrid w:val="0"/>
              <w:contextualSpacing w:val="0"/>
              <w:rPr>
                <w:caps/>
                <w:highlight w:val="yellow"/>
              </w:rPr>
            </w:pPr>
            <w:r>
              <w:rPr>
                <w:rFonts w:hint="eastAsia"/>
              </w:rPr>
              <w:t>300</w:t>
            </w:r>
          </w:p>
        </w:tc>
        <w:tc>
          <w:tcPr>
            <w:tcW w:w="613" w:type="pct"/>
            <w:vAlign w:val="center"/>
          </w:tcPr>
          <w:p w14:paraId="5FAC95E5">
            <w:pPr>
              <w:pStyle w:val="62"/>
              <w:adjustRightInd w:val="0"/>
              <w:snapToGrid w:val="0"/>
              <w:contextualSpacing w:val="0"/>
              <w:rPr>
                <w:caps/>
                <w:highlight w:val="yellow"/>
              </w:rPr>
            </w:pPr>
            <w:r>
              <w:rPr>
                <w:rFonts w:hint="eastAsia"/>
              </w:rPr>
              <w:t>150</w:t>
            </w:r>
          </w:p>
        </w:tc>
        <w:tc>
          <w:tcPr>
            <w:tcW w:w="413" w:type="pct"/>
            <w:vAlign w:val="center"/>
          </w:tcPr>
          <w:p w14:paraId="7AFF59F7">
            <w:pPr>
              <w:pStyle w:val="62"/>
              <w:adjustRightInd w:val="0"/>
              <w:snapToGrid w:val="0"/>
              <w:contextualSpacing w:val="0"/>
              <w:rPr>
                <w:highlight w:val="yellow"/>
              </w:rPr>
            </w:pPr>
            <w:r>
              <w:rPr>
                <w:rFonts w:hint="eastAsia"/>
              </w:rPr>
              <w:t>30</w:t>
            </w:r>
          </w:p>
        </w:tc>
        <w:tc>
          <w:tcPr>
            <w:tcW w:w="342" w:type="pct"/>
            <w:vAlign w:val="center"/>
          </w:tcPr>
          <w:p w14:paraId="312B4886">
            <w:pPr>
              <w:pStyle w:val="62"/>
              <w:adjustRightInd w:val="0"/>
              <w:snapToGrid w:val="0"/>
              <w:contextualSpacing w:val="0"/>
              <w:rPr>
                <w:caps/>
                <w:highlight w:val="yellow"/>
              </w:rPr>
            </w:pPr>
            <w:r>
              <w:rPr>
                <w:rFonts w:hint="eastAsia"/>
              </w:rPr>
              <w:t>150</w:t>
            </w:r>
          </w:p>
        </w:tc>
        <w:tc>
          <w:tcPr>
            <w:tcW w:w="342" w:type="pct"/>
            <w:vAlign w:val="center"/>
          </w:tcPr>
          <w:p w14:paraId="648A16D1">
            <w:pPr>
              <w:pStyle w:val="62"/>
              <w:adjustRightInd w:val="0"/>
              <w:snapToGrid w:val="0"/>
              <w:contextualSpacing w:val="0"/>
              <w:rPr>
                <w:highlight w:val="yellow"/>
              </w:rPr>
            </w:pPr>
            <w:r>
              <w:rPr>
                <w:rFonts w:hint="eastAsia"/>
              </w:rPr>
              <w:t>5</w:t>
            </w:r>
          </w:p>
        </w:tc>
        <w:tc>
          <w:tcPr>
            <w:tcW w:w="342" w:type="pct"/>
            <w:vAlign w:val="center"/>
          </w:tcPr>
          <w:p w14:paraId="209A3D79">
            <w:pPr>
              <w:pStyle w:val="62"/>
              <w:adjustRightInd w:val="0"/>
              <w:snapToGrid w:val="0"/>
              <w:contextualSpacing w:val="0"/>
              <w:rPr>
                <w:highlight w:val="yellow"/>
              </w:rPr>
            </w:pPr>
            <w:r>
              <w:rPr>
                <w:rFonts w:hint="eastAsia"/>
              </w:rPr>
              <w:t>50</w:t>
            </w:r>
          </w:p>
        </w:tc>
        <w:tc>
          <w:tcPr>
            <w:tcW w:w="476" w:type="pct"/>
            <w:vAlign w:val="center"/>
          </w:tcPr>
          <w:p w14:paraId="583513DC">
            <w:pPr>
              <w:pStyle w:val="62"/>
              <w:adjustRightInd w:val="0"/>
              <w:snapToGrid w:val="0"/>
              <w:contextualSpacing w:val="0"/>
              <w:rPr>
                <w:highlight w:val="yellow"/>
              </w:rPr>
            </w:pPr>
            <w:r>
              <w:rPr>
                <w:rFonts w:hint="eastAsia"/>
              </w:rPr>
              <w:t>20</w:t>
            </w:r>
          </w:p>
        </w:tc>
      </w:tr>
      <w:tr w14:paraId="1EEAE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9" w:type="pct"/>
            <w:vAlign w:val="center"/>
          </w:tcPr>
          <w:p w14:paraId="69C391C1">
            <w:pPr>
              <w:pStyle w:val="62"/>
              <w:adjustRightInd w:val="0"/>
              <w:snapToGrid w:val="0"/>
              <w:contextualSpacing w:val="0"/>
            </w:pPr>
            <w:r>
              <w:t>达标情况</w:t>
            </w:r>
          </w:p>
        </w:tc>
        <w:tc>
          <w:tcPr>
            <w:tcW w:w="403" w:type="pct"/>
            <w:vAlign w:val="center"/>
          </w:tcPr>
          <w:p w14:paraId="0EBB85C3">
            <w:pPr>
              <w:pStyle w:val="62"/>
              <w:adjustRightInd w:val="0"/>
              <w:snapToGrid w:val="0"/>
              <w:contextualSpacing w:val="0"/>
              <w:rPr>
                <w:bCs/>
              </w:rPr>
            </w:pPr>
            <w:r>
              <w:rPr>
                <w:bCs/>
              </w:rPr>
              <w:t>达标</w:t>
            </w:r>
          </w:p>
        </w:tc>
        <w:tc>
          <w:tcPr>
            <w:tcW w:w="467" w:type="pct"/>
            <w:vAlign w:val="center"/>
          </w:tcPr>
          <w:p w14:paraId="4B074BDA">
            <w:pPr>
              <w:pStyle w:val="62"/>
              <w:adjustRightInd w:val="0"/>
              <w:snapToGrid w:val="0"/>
              <w:contextualSpacing w:val="0"/>
              <w:rPr>
                <w:bCs/>
              </w:rPr>
            </w:pPr>
            <w:r>
              <w:rPr>
                <w:bCs/>
              </w:rPr>
              <w:t>达标</w:t>
            </w:r>
          </w:p>
        </w:tc>
        <w:tc>
          <w:tcPr>
            <w:tcW w:w="473" w:type="pct"/>
            <w:vAlign w:val="center"/>
          </w:tcPr>
          <w:p w14:paraId="71F5C501">
            <w:pPr>
              <w:pStyle w:val="62"/>
              <w:adjustRightInd w:val="0"/>
              <w:snapToGrid w:val="0"/>
              <w:contextualSpacing w:val="0"/>
            </w:pPr>
            <w:r>
              <w:rPr>
                <w:bCs/>
              </w:rPr>
              <w:t>达标</w:t>
            </w:r>
          </w:p>
        </w:tc>
        <w:tc>
          <w:tcPr>
            <w:tcW w:w="613" w:type="pct"/>
            <w:vAlign w:val="center"/>
          </w:tcPr>
          <w:p w14:paraId="7C93BD42">
            <w:pPr>
              <w:pStyle w:val="62"/>
              <w:adjustRightInd w:val="0"/>
              <w:snapToGrid w:val="0"/>
              <w:contextualSpacing w:val="0"/>
              <w:rPr>
                <w:bCs/>
              </w:rPr>
            </w:pPr>
            <w:r>
              <w:rPr>
                <w:bCs/>
              </w:rPr>
              <w:t>达标</w:t>
            </w:r>
          </w:p>
        </w:tc>
        <w:tc>
          <w:tcPr>
            <w:tcW w:w="413" w:type="pct"/>
            <w:vAlign w:val="center"/>
          </w:tcPr>
          <w:p w14:paraId="4AD07D98">
            <w:pPr>
              <w:pStyle w:val="62"/>
              <w:adjustRightInd w:val="0"/>
              <w:snapToGrid w:val="0"/>
              <w:contextualSpacing w:val="0"/>
              <w:rPr>
                <w:bCs/>
              </w:rPr>
            </w:pPr>
            <w:r>
              <w:rPr>
                <w:bCs/>
              </w:rPr>
              <w:t>达标</w:t>
            </w:r>
          </w:p>
        </w:tc>
        <w:tc>
          <w:tcPr>
            <w:tcW w:w="342" w:type="pct"/>
            <w:vAlign w:val="center"/>
          </w:tcPr>
          <w:p w14:paraId="3B6F0A5C">
            <w:pPr>
              <w:pStyle w:val="62"/>
              <w:adjustRightInd w:val="0"/>
              <w:snapToGrid w:val="0"/>
              <w:contextualSpacing w:val="0"/>
            </w:pPr>
            <w:r>
              <w:rPr>
                <w:bCs/>
              </w:rPr>
              <w:t>达标</w:t>
            </w:r>
          </w:p>
        </w:tc>
        <w:tc>
          <w:tcPr>
            <w:tcW w:w="342" w:type="pct"/>
            <w:vAlign w:val="center"/>
          </w:tcPr>
          <w:p w14:paraId="2DED329B">
            <w:pPr>
              <w:pStyle w:val="62"/>
              <w:adjustRightInd w:val="0"/>
              <w:snapToGrid w:val="0"/>
              <w:contextualSpacing w:val="0"/>
            </w:pPr>
            <w:r>
              <w:rPr>
                <w:bCs/>
              </w:rPr>
              <w:t>达标</w:t>
            </w:r>
          </w:p>
        </w:tc>
        <w:tc>
          <w:tcPr>
            <w:tcW w:w="342" w:type="pct"/>
            <w:vAlign w:val="center"/>
          </w:tcPr>
          <w:p w14:paraId="7FBB2D36">
            <w:pPr>
              <w:pStyle w:val="62"/>
              <w:adjustRightInd w:val="0"/>
              <w:snapToGrid w:val="0"/>
              <w:contextualSpacing w:val="0"/>
              <w:rPr>
                <w:bCs/>
              </w:rPr>
            </w:pPr>
            <w:r>
              <w:rPr>
                <w:bCs/>
              </w:rPr>
              <w:t>达标</w:t>
            </w:r>
          </w:p>
        </w:tc>
        <w:tc>
          <w:tcPr>
            <w:tcW w:w="476" w:type="pct"/>
            <w:vAlign w:val="center"/>
          </w:tcPr>
          <w:p w14:paraId="4AC266B4">
            <w:pPr>
              <w:pStyle w:val="62"/>
              <w:adjustRightInd w:val="0"/>
              <w:snapToGrid w:val="0"/>
              <w:contextualSpacing w:val="0"/>
              <w:rPr>
                <w:bCs/>
              </w:rPr>
            </w:pPr>
            <w:r>
              <w:rPr>
                <w:bCs/>
              </w:rPr>
              <w:t>达标</w:t>
            </w:r>
          </w:p>
        </w:tc>
      </w:tr>
    </w:tbl>
    <w:p w14:paraId="5F95B4A5">
      <w:pPr>
        <w:pStyle w:val="182"/>
        <w:rPr>
          <w:rFonts w:ascii="Times New Roman" w:hAnsi="Times New Roman" w:cs="Times New Roman"/>
          <w:color w:val="auto"/>
        </w:rPr>
      </w:pPr>
      <w:r>
        <w:rPr>
          <w:rFonts w:ascii="Times New Roman" w:hAnsi="Times New Roman" w:cs="Times New Roman"/>
          <w:color w:val="auto"/>
        </w:rPr>
        <w:t>由上表可知，本项目外排水质能够满足</w:t>
      </w:r>
      <w:r>
        <w:rPr>
          <w:rFonts w:hint="eastAsia" w:ascii="Times New Roman" w:hAnsi="Times New Roman" w:cs="Times New Roman"/>
          <w:caps/>
          <w:color w:val="auto"/>
          <w:szCs w:val="21"/>
        </w:rPr>
        <w:t>唐庄</w:t>
      </w:r>
      <w:r>
        <w:rPr>
          <w:rFonts w:ascii="Times New Roman" w:hAnsi="Times New Roman" w:cs="Times New Roman"/>
          <w:caps/>
          <w:color w:val="auto"/>
          <w:szCs w:val="21"/>
        </w:rPr>
        <w:t>污水处理厂</w:t>
      </w:r>
      <w:r>
        <w:rPr>
          <w:rFonts w:ascii="Times New Roman" w:hAnsi="Times New Roman" w:cs="Times New Roman"/>
          <w:color w:val="auto"/>
        </w:rPr>
        <w:t>进水水质要求。评价认为本项目废水排放不会对</w:t>
      </w:r>
      <w:r>
        <w:rPr>
          <w:rFonts w:hint="eastAsia" w:ascii="Times New Roman" w:hAnsi="Times New Roman" w:cs="Times New Roman"/>
          <w:caps/>
          <w:color w:val="auto"/>
          <w:szCs w:val="21"/>
        </w:rPr>
        <w:t>唐庄</w:t>
      </w:r>
      <w:r>
        <w:rPr>
          <w:rFonts w:ascii="Times New Roman" w:hAnsi="Times New Roman" w:cs="Times New Roman"/>
          <w:caps/>
          <w:color w:val="auto"/>
          <w:szCs w:val="21"/>
        </w:rPr>
        <w:t>污水处理厂</w:t>
      </w:r>
      <w:r>
        <w:rPr>
          <w:rFonts w:ascii="Times New Roman" w:hAnsi="Times New Roman" w:cs="Times New Roman"/>
          <w:color w:val="auto"/>
        </w:rPr>
        <w:t>系统造成冲击或其他不利影响。</w:t>
      </w:r>
    </w:p>
    <w:p w14:paraId="14D77E22">
      <w:pPr>
        <w:ind w:firstLine="480"/>
        <w:rPr>
          <w:snapToGrid w:val="0"/>
          <w:highlight w:val="yellow"/>
        </w:rPr>
      </w:pPr>
      <w:r>
        <w:t>综上所述，本工程废水进入</w:t>
      </w:r>
      <w:r>
        <w:rPr>
          <w:rFonts w:hint="eastAsia"/>
          <w:caps/>
          <w:szCs w:val="21"/>
        </w:rPr>
        <w:t>唐庄</w:t>
      </w:r>
      <w:r>
        <w:rPr>
          <w:caps/>
          <w:szCs w:val="21"/>
        </w:rPr>
        <w:t>污水处理厂</w:t>
      </w:r>
      <w:r>
        <w:t>处理的方案可行。</w:t>
      </w:r>
    </w:p>
    <w:p w14:paraId="2A0E9859">
      <w:pPr>
        <w:ind w:firstLine="480"/>
        <w:outlineLvl w:val="4"/>
        <w:rPr>
          <w:snapToGrid w:val="0"/>
        </w:rPr>
      </w:pPr>
      <w:r>
        <w:rPr>
          <w:rFonts w:hint="eastAsia" w:ascii="宋体" w:hAnsi="宋体" w:cs="宋体"/>
          <w:snapToGrid w:val="0"/>
        </w:rPr>
        <w:t>③</w:t>
      </w:r>
      <w:r>
        <w:rPr>
          <w:snapToGrid w:val="0"/>
        </w:rPr>
        <w:t>依托污水处理厂稳定达标排放分析</w:t>
      </w:r>
    </w:p>
    <w:p w14:paraId="0CF75871">
      <w:pPr>
        <w:ind w:firstLine="480"/>
        <w:rPr>
          <w:snapToGrid w:val="0"/>
        </w:rPr>
      </w:pPr>
      <w:r>
        <w:rPr>
          <w:snapToGrid w:val="0"/>
        </w:rPr>
        <w:t>本项目废水经</w:t>
      </w:r>
      <w:r>
        <w:rPr>
          <w:rFonts w:hint="eastAsia"/>
          <w:snapToGrid w:val="0"/>
        </w:rPr>
        <w:t>唐庄</w:t>
      </w:r>
      <w:r>
        <w:rPr>
          <w:snapToGrid w:val="0"/>
        </w:rPr>
        <w:t>污水处理厂处理后，最终汇入</w:t>
      </w:r>
      <w:r>
        <w:rPr>
          <w:rFonts w:hint="eastAsia"/>
          <w:snapToGrid w:val="0"/>
        </w:rPr>
        <w:t>共产主义渠</w:t>
      </w:r>
      <w:r>
        <w:rPr>
          <w:snapToGrid w:val="0"/>
        </w:rPr>
        <w:t>。根据</w:t>
      </w:r>
      <w:r>
        <w:rPr>
          <w:rFonts w:hint="eastAsia"/>
          <w:snapToGrid w:val="0"/>
        </w:rPr>
        <w:t>唐庄</w:t>
      </w:r>
      <w:r>
        <w:rPr>
          <w:snapToGrid w:val="0"/>
        </w:rPr>
        <w:t>污水处理厂202</w:t>
      </w:r>
      <w:r>
        <w:rPr>
          <w:rFonts w:hint="eastAsia"/>
          <w:snapToGrid w:val="0"/>
        </w:rPr>
        <w:t>4</w:t>
      </w:r>
      <w:r>
        <w:rPr>
          <w:snapToGrid w:val="0"/>
        </w:rPr>
        <w:t>年</w:t>
      </w:r>
      <w:r>
        <w:rPr>
          <w:rFonts w:hint="eastAsia"/>
          <w:snapToGrid w:val="0"/>
        </w:rPr>
        <w:t>1</w:t>
      </w:r>
      <w:r>
        <w:rPr>
          <w:snapToGrid w:val="0"/>
        </w:rPr>
        <w:t>-</w:t>
      </w:r>
      <w:r>
        <w:rPr>
          <w:rFonts w:hint="eastAsia"/>
          <w:snapToGrid w:val="0"/>
        </w:rPr>
        <w:t>6</w:t>
      </w:r>
      <w:r>
        <w:rPr>
          <w:snapToGrid w:val="0"/>
        </w:rPr>
        <w:t>月在线监测数据，出水数量及水质见下表</w:t>
      </w:r>
      <w:r>
        <w:rPr>
          <w:rFonts w:hint="eastAsia"/>
          <w:snapToGrid w:val="0"/>
        </w:rPr>
        <w:t>。</w:t>
      </w:r>
    </w:p>
    <w:p w14:paraId="08088CD2">
      <w:pPr>
        <w:pStyle w:val="99"/>
        <w:numPr>
          <w:ilvl w:val="4"/>
          <w:numId w:val="48"/>
        </w:numPr>
        <w:ind w:left="0" w:firstLine="480"/>
        <w:rPr>
          <w:rFonts w:eastAsia="黑体"/>
        </w:rPr>
      </w:pPr>
      <w:r>
        <w:rPr>
          <w:rFonts w:eastAsia="黑体"/>
        </w:rPr>
        <w:t xml:space="preserve">      </w:t>
      </w:r>
      <w:r>
        <w:rPr>
          <w:rFonts w:hint="eastAsia" w:eastAsia="黑体"/>
        </w:rPr>
        <w:t xml:space="preserve">  </w:t>
      </w:r>
      <w:r>
        <w:rPr>
          <w:rFonts w:eastAsia="黑体"/>
        </w:rPr>
        <w:t xml:space="preserve"> </w:t>
      </w:r>
      <w:r>
        <w:rPr>
          <w:rFonts w:hint="eastAsia" w:eastAsia="黑体"/>
        </w:rPr>
        <w:t>唐庄</w:t>
      </w:r>
      <w:r>
        <w:rPr>
          <w:rFonts w:eastAsia="黑体"/>
        </w:rPr>
        <w:t>污水处理厂出水一览表</w:t>
      </w:r>
    </w:p>
    <w:tbl>
      <w:tblPr>
        <w:tblStyle w:val="41"/>
        <w:tblpPr w:leftFromText="180" w:rightFromText="180" w:vertAnchor="text" w:tblpXSpec="center" w:tblpY="1"/>
        <w:tblOverlap w:val="never"/>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76"/>
        <w:gridCol w:w="1450"/>
        <w:gridCol w:w="1450"/>
        <w:gridCol w:w="1450"/>
        <w:gridCol w:w="1450"/>
        <w:gridCol w:w="1457"/>
      </w:tblGrid>
      <w:tr w14:paraId="0096D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Merge w:val="restart"/>
            <w:noWrap/>
            <w:vAlign w:val="center"/>
          </w:tcPr>
          <w:p w14:paraId="1C9093D7">
            <w:pPr>
              <w:spacing w:line="360" w:lineRule="exact"/>
              <w:ind w:firstLine="0" w:firstLineChars="0"/>
              <w:jc w:val="center"/>
              <w:rPr>
                <w:b/>
                <w:bCs/>
                <w:sz w:val="21"/>
                <w:szCs w:val="21"/>
              </w:rPr>
            </w:pPr>
            <w:r>
              <w:rPr>
                <w:b/>
                <w:bCs/>
                <w:sz w:val="21"/>
                <w:szCs w:val="21"/>
              </w:rPr>
              <w:t>时间</w:t>
            </w:r>
          </w:p>
        </w:tc>
        <w:tc>
          <w:tcPr>
            <w:tcW w:w="4354" w:type="pct"/>
            <w:gridSpan w:val="5"/>
            <w:vAlign w:val="center"/>
          </w:tcPr>
          <w:p w14:paraId="71846EAD">
            <w:pPr>
              <w:spacing w:line="360" w:lineRule="exact"/>
              <w:ind w:firstLine="0" w:firstLineChars="0"/>
              <w:jc w:val="center"/>
              <w:rPr>
                <w:b/>
                <w:bCs/>
                <w:sz w:val="21"/>
                <w:szCs w:val="21"/>
              </w:rPr>
            </w:pPr>
            <w:r>
              <w:rPr>
                <w:b/>
                <w:bCs/>
                <w:sz w:val="21"/>
                <w:szCs w:val="21"/>
              </w:rPr>
              <w:t>污水处理厂202</w:t>
            </w:r>
            <w:r>
              <w:rPr>
                <w:rFonts w:hint="eastAsia"/>
                <w:b/>
                <w:bCs/>
                <w:sz w:val="21"/>
                <w:szCs w:val="21"/>
              </w:rPr>
              <w:t>4</w:t>
            </w:r>
            <w:r>
              <w:rPr>
                <w:b/>
                <w:bCs/>
                <w:sz w:val="21"/>
                <w:szCs w:val="21"/>
              </w:rPr>
              <w:t>年</w:t>
            </w:r>
            <w:r>
              <w:rPr>
                <w:rFonts w:hint="eastAsia"/>
                <w:b/>
                <w:bCs/>
                <w:sz w:val="21"/>
                <w:szCs w:val="21"/>
              </w:rPr>
              <w:t>1</w:t>
            </w:r>
            <w:r>
              <w:rPr>
                <w:b/>
                <w:bCs/>
                <w:sz w:val="21"/>
                <w:szCs w:val="21"/>
              </w:rPr>
              <w:t>-</w:t>
            </w:r>
            <w:r>
              <w:rPr>
                <w:rFonts w:hint="eastAsia"/>
                <w:b/>
                <w:bCs/>
                <w:sz w:val="21"/>
                <w:szCs w:val="21"/>
              </w:rPr>
              <w:t>6</w:t>
            </w:r>
            <w:r>
              <w:rPr>
                <w:b/>
                <w:bCs/>
                <w:sz w:val="21"/>
                <w:szCs w:val="21"/>
              </w:rPr>
              <w:t>月运行情况</w:t>
            </w:r>
          </w:p>
        </w:tc>
      </w:tr>
      <w:tr w14:paraId="5A0781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Merge w:val="continue"/>
            <w:vAlign w:val="center"/>
          </w:tcPr>
          <w:p w14:paraId="370181F0">
            <w:pPr>
              <w:widowControl/>
              <w:spacing w:line="360" w:lineRule="exact"/>
              <w:ind w:firstLine="0" w:firstLineChars="0"/>
              <w:jc w:val="center"/>
              <w:rPr>
                <w:b/>
                <w:bCs/>
                <w:sz w:val="21"/>
                <w:szCs w:val="21"/>
              </w:rPr>
            </w:pPr>
          </w:p>
        </w:tc>
        <w:tc>
          <w:tcPr>
            <w:tcW w:w="870" w:type="pct"/>
            <w:vAlign w:val="center"/>
          </w:tcPr>
          <w:p w14:paraId="4FE29C6B">
            <w:pPr>
              <w:widowControl/>
              <w:spacing w:line="360" w:lineRule="exact"/>
              <w:ind w:firstLine="0" w:firstLineChars="0"/>
              <w:jc w:val="center"/>
              <w:rPr>
                <w:b/>
                <w:bCs/>
                <w:sz w:val="21"/>
                <w:szCs w:val="21"/>
              </w:rPr>
            </w:pPr>
            <w:r>
              <w:rPr>
                <w:b/>
                <w:bCs/>
                <w:sz w:val="21"/>
                <w:szCs w:val="21"/>
              </w:rPr>
              <w:t>水量均值（m</w:t>
            </w:r>
            <w:r>
              <w:rPr>
                <w:b/>
                <w:bCs/>
                <w:sz w:val="21"/>
                <w:szCs w:val="21"/>
                <w:vertAlign w:val="superscript"/>
              </w:rPr>
              <w:t>3</w:t>
            </w:r>
            <w:r>
              <w:rPr>
                <w:b/>
                <w:bCs/>
                <w:sz w:val="21"/>
                <w:szCs w:val="21"/>
              </w:rPr>
              <w:t>/d）</w:t>
            </w:r>
          </w:p>
        </w:tc>
        <w:tc>
          <w:tcPr>
            <w:tcW w:w="870" w:type="pct"/>
            <w:noWrap/>
            <w:vAlign w:val="center"/>
          </w:tcPr>
          <w:p w14:paraId="43979E12">
            <w:pPr>
              <w:widowControl/>
              <w:spacing w:line="360" w:lineRule="exact"/>
              <w:ind w:firstLine="0" w:firstLineChars="0"/>
              <w:jc w:val="center"/>
              <w:rPr>
                <w:b/>
                <w:bCs/>
                <w:sz w:val="21"/>
                <w:szCs w:val="21"/>
              </w:rPr>
            </w:pPr>
            <w:r>
              <w:rPr>
                <w:b/>
                <w:bCs/>
                <w:sz w:val="21"/>
                <w:szCs w:val="21"/>
              </w:rPr>
              <w:t>COD均值(mg/L)</w:t>
            </w:r>
          </w:p>
        </w:tc>
        <w:tc>
          <w:tcPr>
            <w:tcW w:w="870" w:type="pct"/>
            <w:noWrap/>
            <w:vAlign w:val="center"/>
          </w:tcPr>
          <w:p w14:paraId="2A97F347">
            <w:pPr>
              <w:widowControl/>
              <w:spacing w:line="360" w:lineRule="exact"/>
              <w:ind w:firstLine="0" w:firstLineChars="0"/>
              <w:jc w:val="center"/>
              <w:rPr>
                <w:b/>
                <w:bCs/>
                <w:sz w:val="21"/>
                <w:szCs w:val="21"/>
              </w:rPr>
            </w:pPr>
            <w:r>
              <w:rPr>
                <w:b/>
                <w:bCs/>
                <w:sz w:val="21"/>
                <w:szCs w:val="21"/>
              </w:rPr>
              <w:t>氨氮均值(mg/L)</w:t>
            </w:r>
          </w:p>
        </w:tc>
        <w:tc>
          <w:tcPr>
            <w:tcW w:w="870" w:type="pct"/>
            <w:noWrap/>
            <w:vAlign w:val="center"/>
          </w:tcPr>
          <w:p w14:paraId="225CC35C">
            <w:pPr>
              <w:widowControl/>
              <w:spacing w:line="360" w:lineRule="exact"/>
              <w:ind w:firstLine="0" w:firstLineChars="0"/>
              <w:jc w:val="center"/>
              <w:rPr>
                <w:b/>
                <w:bCs/>
                <w:sz w:val="21"/>
                <w:szCs w:val="21"/>
              </w:rPr>
            </w:pPr>
            <w:r>
              <w:rPr>
                <w:b/>
                <w:bCs/>
                <w:sz w:val="21"/>
                <w:szCs w:val="21"/>
              </w:rPr>
              <w:t>总氮均值(mg/L)</w:t>
            </w:r>
          </w:p>
        </w:tc>
        <w:tc>
          <w:tcPr>
            <w:tcW w:w="874" w:type="pct"/>
            <w:noWrap/>
            <w:vAlign w:val="center"/>
          </w:tcPr>
          <w:p w14:paraId="5BBF6EB8">
            <w:pPr>
              <w:widowControl/>
              <w:spacing w:line="360" w:lineRule="exact"/>
              <w:ind w:firstLine="0" w:firstLineChars="0"/>
              <w:jc w:val="center"/>
              <w:rPr>
                <w:b/>
                <w:bCs/>
                <w:sz w:val="21"/>
                <w:szCs w:val="21"/>
              </w:rPr>
            </w:pPr>
            <w:r>
              <w:rPr>
                <w:b/>
                <w:bCs/>
                <w:sz w:val="21"/>
                <w:szCs w:val="21"/>
              </w:rPr>
              <w:t>总磷均值(mg/L)</w:t>
            </w:r>
          </w:p>
        </w:tc>
      </w:tr>
      <w:tr w14:paraId="344C8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6D104F51">
            <w:pPr>
              <w:widowControl/>
              <w:spacing w:line="360" w:lineRule="exact"/>
              <w:ind w:firstLine="0" w:firstLineChars="0"/>
              <w:jc w:val="center"/>
              <w:rPr>
                <w:sz w:val="21"/>
                <w:szCs w:val="21"/>
              </w:rPr>
            </w:pPr>
            <w:r>
              <w:rPr>
                <w:rFonts w:hint="eastAsia"/>
                <w:sz w:val="21"/>
                <w:szCs w:val="21"/>
              </w:rPr>
              <w:t>2024.1</w:t>
            </w:r>
          </w:p>
        </w:tc>
        <w:tc>
          <w:tcPr>
            <w:tcW w:w="870" w:type="pct"/>
            <w:noWrap/>
            <w:vAlign w:val="center"/>
          </w:tcPr>
          <w:p w14:paraId="25BFB7AF">
            <w:pPr>
              <w:widowControl/>
              <w:spacing w:line="360" w:lineRule="exact"/>
              <w:ind w:firstLine="0" w:firstLineChars="0"/>
              <w:jc w:val="center"/>
              <w:rPr>
                <w:sz w:val="21"/>
                <w:szCs w:val="21"/>
              </w:rPr>
            </w:pPr>
            <w:r>
              <w:rPr>
                <w:rFonts w:hint="eastAsia"/>
                <w:sz w:val="21"/>
                <w:szCs w:val="21"/>
              </w:rPr>
              <w:t>10237.37</w:t>
            </w:r>
          </w:p>
        </w:tc>
        <w:tc>
          <w:tcPr>
            <w:tcW w:w="870" w:type="pct"/>
            <w:noWrap/>
            <w:vAlign w:val="bottom"/>
          </w:tcPr>
          <w:p w14:paraId="46F685B9">
            <w:pPr>
              <w:widowControl/>
              <w:spacing w:line="360" w:lineRule="exact"/>
              <w:ind w:firstLine="0" w:firstLineChars="0"/>
              <w:jc w:val="center"/>
              <w:rPr>
                <w:sz w:val="21"/>
                <w:szCs w:val="21"/>
              </w:rPr>
            </w:pPr>
            <w:r>
              <w:rPr>
                <w:sz w:val="21"/>
                <w:szCs w:val="21"/>
              </w:rPr>
              <w:t>19.513</w:t>
            </w:r>
          </w:p>
        </w:tc>
        <w:tc>
          <w:tcPr>
            <w:tcW w:w="870" w:type="pct"/>
            <w:noWrap/>
            <w:vAlign w:val="bottom"/>
          </w:tcPr>
          <w:p w14:paraId="7A74D92E">
            <w:pPr>
              <w:widowControl/>
              <w:spacing w:line="360" w:lineRule="exact"/>
              <w:ind w:firstLine="0" w:firstLineChars="0"/>
              <w:jc w:val="center"/>
              <w:rPr>
                <w:sz w:val="21"/>
                <w:szCs w:val="21"/>
              </w:rPr>
            </w:pPr>
            <w:r>
              <w:rPr>
                <w:sz w:val="21"/>
                <w:szCs w:val="21"/>
              </w:rPr>
              <w:t>0.419</w:t>
            </w:r>
          </w:p>
        </w:tc>
        <w:tc>
          <w:tcPr>
            <w:tcW w:w="870" w:type="pct"/>
            <w:noWrap/>
            <w:vAlign w:val="bottom"/>
          </w:tcPr>
          <w:p w14:paraId="6FBCA4C8">
            <w:pPr>
              <w:widowControl/>
              <w:spacing w:line="360" w:lineRule="exact"/>
              <w:ind w:firstLine="0" w:firstLineChars="0"/>
              <w:jc w:val="center"/>
              <w:rPr>
                <w:sz w:val="21"/>
                <w:szCs w:val="21"/>
              </w:rPr>
            </w:pPr>
            <w:r>
              <w:rPr>
                <w:sz w:val="21"/>
                <w:szCs w:val="21"/>
              </w:rPr>
              <w:t>4.458</w:t>
            </w:r>
          </w:p>
        </w:tc>
        <w:tc>
          <w:tcPr>
            <w:tcW w:w="874" w:type="pct"/>
            <w:noWrap/>
            <w:vAlign w:val="bottom"/>
          </w:tcPr>
          <w:p w14:paraId="330A7C3A">
            <w:pPr>
              <w:widowControl/>
              <w:spacing w:line="360" w:lineRule="exact"/>
              <w:ind w:firstLine="0" w:firstLineChars="0"/>
              <w:jc w:val="center"/>
              <w:rPr>
                <w:sz w:val="21"/>
                <w:szCs w:val="21"/>
              </w:rPr>
            </w:pPr>
            <w:r>
              <w:rPr>
                <w:sz w:val="21"/>
                <w:szCs w:val="21"/>
              </w:rPr>
              <w:t>0.189</w:t>
            </w:r>
          </w:p>
        </w:tc>
      </w:tr>
      <w:tr w14:paraId="18B10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76329DC0">
            <w:pPr>
              <w:widowControl/>
              <w:spacing w:line="360" w:lineRule="exact"/>
              <w:ind w:firstLine="0" w:firstLineChars="0"/>
              <w:jc w:val="center"/>
              <w:rPr>
                <w:sz w:val="21"/>
                <w:szCs w:val="21"/>
              </w:rPr>
            </w:pPr>
            <w:r>
              <w:rPr>
                <w:rFonts w:hint="eastAsia"/>
                <w:sz w:val="21"/>
                <w:szCs w:val="21"/>
              </w:rPr>
              <w:t>2024.2</w:t>
            </w:r>
          </w:p>
        </w:tc>
        <w:tc>
          <w:tcPr>
            <w:tcW w:w="870" w:type="pct"/>
            <w:noWrap/>
            <w:vAlign w:val="center"/>
          </w:tcPr>
          <w:p w14:paraId="0EDAB8C7">
            <w:pPr>
              <w:widowControl/>
              <w:spacing w:line="360" w:lineRule="exact"/>
              <w:ind w:firstLine="0" w:firstLineChars="0"/>
              <w:jc w:val="center"/>
              <w:rPr>
                <w:sz w:val="21"/>
                <w:szCs w:val="21"/>
              </w:rPr>
            </w:pPr>
            <w:r>
              <w:rPr>
                <w:rFonts w:hint="eastAsia"/>
                <w:sz w:val="21"/>
                <w:szCs w:val="21"/>
              </w:rPr>
              <w:t>8878.51</w:t>
            </w:r>
          </w:p>
        </w:tc>
        <w:tc>
          <w:tcPr>
            <w:tcW w:w="870" w:type="pct"/>
            <w:noWrap/>
            <w:vAlign w:val="bottom"/>
          </w:tcPr>
          <w:p w14:paraId="77EF5EAA">
            <w:pPr>
              <w:widowControl/>
              <w:spacing w:line="360" w:lineRule="exact"/>
              <w:ind w:firstLine="0" w:firstLineChars="0"/>
              <w:jc w:val="center"/>
              <w:rPr>
                <w:sz w:val="21"/>
                <w:szCs w:val="21"/>
              </w:rPr>
            </w:pPr>
            <w:r>
              <w:rPr>
                <w:sz w:val="21"/>
                <w:szCs w:val="21"/>
              </w:rPr>
              <w:t>25.094</w:t>
            </w:r>
          </w:p>
        </w:tc>
        <w:tc>
          <w:tcPr>
            <w:tcW w:w="870" w:type="pct"/>
            <w:noWrap/>
            <w:vAlign w:val="bottom"/>
          </w:tcPr>
          <w:p w14:paraId="350F9EB0">
            <w:pPr>
              <w:widowControl/>
              <w:spacing w:line="360" w:lineRule="exact"/>
              <w:ind w:firstLine="0" w:firstLineChars="0"/>
              <w:jc w:val="center"/>
              <w:rPr>
                <w:sz w:val="21"/>
                <w:szCs w:val="21"/>
              </w:rPr>
            </w:pPr>
            <w:r>
              <w:rPr>
                <w:sz w:val="21"/>
                <w:szCs w:val="21"/>
              </w:rPr>
              <w:t>0.684</w:t>
            </w:r>
          </w:p>
        </w:tc>
        <w:tc>
          <w:tcPr>
            <w:tcW w:w="870" w:type="pct"/>
            <w:noWrap/>
            <w:vAlign w:val="bottom"/>
          </w:tcPr>
          <w:p w14:paraId="33479463">
            <w:pPr>
              <w:widowControl/>
              <w:spacing w:line="360" w:lineRule="exact"/>
              <w:ind w:firstLine="0" w:firstLineChars="0"/>
              <w:jc w:val="center"/>
              <w:rPr>
                <w:sz w:val="21"/>
                <w:szCs w:val="21"/>
              </w:rPr>
            </w:pPr>
            <w:r>
              <w:rPr>
                <w:sz w:val="21"/>
                <w:szCs w:val="21"/>
              </w:rPr>
              <w:t>5.159</w:t>
            </w:r>
          </w:p>
        </w:tc>
        <w:tc>
          <w:tcPr>
            <w:tcW w:w="874" w:type="pct"/>
            <w:noWrap/>
            <w:vAlign w:val="bottom"/>
          </w:tcPr>
          <w:p w14:paraId="5C147A9F">
            <w:pPr>
              <w:widowControl/>
              <w:spacing w:line="360" w:lineRule="exact"/>
              <w:ind w:firstLine="0" w:firstLineChars="0"/>
              <w:jc w:val="center"/>
              <w:rPr>
                <w:sz w:val="21"/>
                <w:szCs w:val="21"/>
              </w:rPr>
            </w:pPr>
            <w:r>
              <w:rPr>
                <w:sz w:val="21"/>
                <w:szCs w:val="21"/>
              </w:rPr>
              <w:t>0.226</w:t>
            </w:r>
          </w:p>
        </w:tc>
      </w:tr>
      <w:tr w14:paraId="76411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5B1C33AA">
            <w:pPr>
              <w:widowControl/>
              <w:spacing w:line="360" w:lineRule="exact"/>
              <w:ind w:firstLine="0" w:firstLineChars="0"/>
              <w:jc w:val="center"/>
              <w:rPr>
                <w:sz w:val="21"/>
                <w:szCs w:val="21"/>
              </w:rPr>
            </w:pPr>
            <w:r>
              <w:rPr>
                <w:rFonts w:hint="eastAsia"/>
                <w:sz w:val="21"/>
                <w:szCs w:val="21"/>
              </w:rPr>
              <w:t>2024.3</w:t>
            </w:r>
          </w:p>
        </w:tc>
        <w:tc>
          <w:tcPr>
            <w:tcW w:w="870" w:type="pct"/>
            <w:noWrap/>
            <w:vAlign w:val="center"/>
          </w:tcPr>
          <w:p w14:paraId="63F6F113">
            <w:pPr>
              <w:widowControl/>
              <w:spacing w:line="360" w:lineRule="exact"/>
              <w:ind w:firstLine="0" w:firstLineChars="0"/>
              <w:jc w:val="center"/>
              <w:rPr>
                <w:sz w:val="21"/>
                <w:szCs w:val="21"/>
              </w:rPr>
            </w:pPr>
            <w:r>
              <w:rPr>
                <w:rFonts w:hint="eastAsia"/>
                <w:sz w:val="21"/>
                <w:szCs w:val="21"/>
              </w:rPr>
              <w:t>11573.54</w:t>
            </w:r>
          </w:p>
        </w:tc>
        <w:tc>
          <w:tcPr>
            <w:tcW w:w="870" w:type="pct"/>
            <w:noWrap/>
            <w:vAlign w:val="bottom"/>
          </w:tcPr>
          <w:p w14:paraId="138B4A76">
            <w:pPr>
              <w:widowControl/>
              <w:spacing w:line="360" w:lineRule="exact"/>
              <w:ind w:firstLine="0" w:firstLineChars="0"/>
              <w:jc w:val="center"/>
              <w:rPr>
                <w:sz w:val="21"/>
                <w:szCs w:val="21"/>
              </w:rPr>
            </w:pPr>
            <w:r>
              <w:rPr>
                <w:sz w:val="21"/>
                <w:szCs w:val="21"/>
              </w:rPr>
              <w:t>24.58</w:t>
            </w:r>
          </w:p>
        </w:tc>
        <w:tc>
          <w:tcPr>
            <w:tcW w:w="870" w:type="pct"/>
            <w:noWrap/>
            <w:vAlign w:val="bottom"/>
          </w:tcPr>
          <w:p w14:paraId="61B43B33">
            <w:pPr>
              <w:widowControl/>
              <w:spacing w:line="360" w:lineRule="exact"/>
              <w:ind w:firstLine="0" w:firstLineChars="0"/>
              <w:jc w:val="center"/>
              <w:rPr>
                <w:sz w:val="21"/>
                <w:szCs w:val="21"/>
              </w:rPr>
            </w:pPr>
            <w:r>
              <w:rPr>
                <w:sz w:val="21"/>
                <w:szCs w:val="21"/>
              </w:rPr>
              <w:t>0.864</w:t>
            </w:r>
          </w:p>
        </w:tc>
        <w:tc>
          <w:tcPr>
            <w:tcW w:w="870" w:type="pct"/>
            <w:noWrap/>
            <w:vAlign w:val="bottom"/>
          </w:tcPr>
          <w:p w14:paraId="5A50056B">
            <w:pPr>
              <w:widowControl/>
              <w:spacing w:line="360" w:lineRule="exact"/>
              <w:ind w:firstLine="0" w:firstLineChars="0"/>
              <w:jc w:val="center"/>
              <w:rPr>
                <w:sz w:val="21"/>
                <w:szCs w:val="21"/>
              </w:rPr>
            </w:pPr>
            <w:r>
              <w:rPr>
                <w:sz w:val="21"/>
                <w:szCs w:val="21"/>
              </w:rPr>
              <w:t>3.832</w:t>
            </w:r>
          </w:p>
        </w:tc>
        <w:tc>
          <w:tcPr>
            <w:tcW w:w="874" w:type="pct"/>
            <w:noWrap/>
            <w:vAlign w:val="bottom"/>
          </w:tcPr>
          <w:p w14:paraId="4AECB74E">
            <w:pPr>
              <w:widowControl/>
              <w:spacing w:line="360" w:lineRule="exact"/>
              <w:ind w:firstLine="0" w:firstLineChars="0"/>
              <w:jc w:val="center"/>
              <w:rPr>
                <w:sz w:val="21"/>
                <w:szCs w:val="21"/>
              </w:rPr>
            </w:pPr>
            <w:r>
              <w:rPr>
                <w:sz w:val="21"/>
                <w:szCs w:val="21"/>
              </w:rPr>
              <w:t>0.223</w:t>
            </w:r>
          </w:p>
        </w:tc>
      </w:tr>
      <w:tr w14:paraId="22A67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3A58DF86">
            <w:pPr>
              <w:widowControl/>
              <w:spacing w:line="360" w:lineRule="exact"/>
              <w:ind w:firstLine="0" w:firstLineChars="0"/>
              <w:jc w:val="center"/>
              <w:rPr>
                <w:sz w:val="21"/>
                <w:szCs w:val="21"/>
              </w:rPr>
            </w:pPr>
            <w:r>
              <w:rPr>
                <w:rFonts w:hint="eastAsia"/>
                <w:sz w:val="21"/>
                <w:szCs w:val="21"/>
              </w:rPr>
              <w:t>2024.4</w:t>
            </w:r>
          </w:p>
        </w:tc>
        <w:tc>
          <w:tcPr>
            <w:tcW w:w="870" w:type="pct"/>
            <w:noWrap/>
            <w:vAlign w:val="center"/>
          </w:tcPr>
          <w:p w14:paraId="7E83F7F6">
            <w:pPr>
              <w:widowControl/>
              <w:spacing w:line="360" w:lineRule="exact"/>
              <w:ind w:firstLine="0" w:firstLineChars="0"/>
              <w:jc w:val="center"/>
              <w:rPr>
                <w:sz w:val="21"/>
                <w:szCs w:val="21"/>
              </w:rPr>
            </w:pPr>
            <w:r>
              <w:rPr>
                <w:rFonts w:hint="eastAsia"/>
                <w:sz w:val="21"/>
                <w:szCs w:val="21"/>
              </w:rPr>
              <w:t>9938.91</w:t>
            </w:r>
          </w:p>
        </w:tc>
        <w:tc>
          <w:tcPr>
            <w:tcW w:w="870" w:type="pct"/>
            <w:noWrap/>
            <w:vAlign w:val="bottom"/>
          </w:tcPr>
          <w:p w14:paraId="27CC81DE">
            <w:pPr>
              <w:widowControl/>
              <w:spacing w:line="360" w:lineRule="exact"/>
              <w:ind w:firstLine="0" w:firstLineChars="0"/>
              <w:jc w:val="center"/>
              <w:rPr>
                <w:sz w:val="21"/>
                <w:szCs w:val="21"/>
              </w:rPr>
            </w:pPr>
            <w:r>
              <w:rPr>
                <w:sz w:val="21"/>
                <w:szCs w:val="21"/>
              </w:rPr>
              <w:t>20.953</w:t>
            </w:r>
          </w:p>
        </w:tc>
        <w:tc>
          <w:tcPr>
            <w:tcW w:w="870" w:type="pct"/>
            <w:noWrap/>
            <w:vAlign w:val="bottom"/>
          </w:tcPr>
          <w:p w14:paraId="6B9EF1E5">
            <w:pPr>
              <w:widowControl/>
              <w:spacing w:line="360" w:lineRule="exact"/>
              <w:ind w:firstLine="0" w:firstLineChars="0"/>
              <w:jc w:val="center"/>
              <w:rPr>
                <w:sz w:val="21"/>
                <w:szCs w:val="21"/>
              </w:rPr>
            </w:pPr>
            <w:r>
              <w:rPr>
                <w:sz w:val="21"/>
                <w:szCs w:val="21"/>
              </w:rPr>
              <w:t>0.28</w:t>
            </w:r>
          </w:p>
        </w:tc>
        <w:tc>
          <w:tcPr>
            <w:tcW w:w="870" w:type="pct"/>
            <w:noWrap/>
            <w:vAlign w:val="bottom"/>
          </w:tcPr>
          <w:p w14:paraId="4BB2CCA3">
            <w:pPr>
              <w:widowControl/>
              <w:spacing w:line="360" w:lineRule="exact"/>
              <w:ind w:firstLine="0" w:firstLineChars="0"/>
              <w:jc w:val="center"/>
              <w:rPr>
                <w:sz w:val="21"/>
                <w:szCs w:val="21"/>
              </w:rPr>
            </w:pPr>
            <w:r>
              <w:rPr>
                <w:sz w:val="21"/>
                <w:szCs w:val="21"/>
              </w:rPr>
              <w:t>6.953</w:t>
            </w:r>
          </w:p>
        </w:tc>
        <w:tc>
          <w:tcPr>
            <w:tcW w:w="874" w:type="pct"/>
            <w:noWrap/>
            <w:vAlign w:val="bottom"/>
          </w:tcPr>
          <w:p w14:paraId="2561592A">
            <w:pPr>
              <w:widowControl/>
              <w:spacing w:line="360" w:lineRule="exact"/>
              <w:ind w:firstLine="0" w:firstLineChars="0"/>
              <w:jc w:val="center"/>
              <w:rPr>
                <w:sz w:val="21"/>
                <w:szCs w:val="21"/>
              </w:rPr>
            </w:pPr>
            <w:r>
              <w:rPr>
                <w:sz w:val="21"/>
                <w:szCs w:val="21"/>
              </w:rPr>
              <w:t>0.223</w:t>
            </w:r>
          </w:p>
        </w:tc>
      </w:tr>
      <w:tr w14:paraId="2DD56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66900F4C">
            <w:pPr>
              <w:widowControl/>
              <w:spacing w:line="360" w:lineRule="exact"/>
              <w:ind w:firstLine="0" w:firstLineChars="0"/>
              <w:jc w:val="center"/>
              <w:rPr>
                <w:sz w:val="21"/>
                <w:szCs w:val="21"/>
              </w:rPr>
            </w:pPr>
            <w:r>
              <w:rPr>
                <w:rFonts w:hint="eastAsia"/>
                <w:sz w:val="21"/>
                <w:szCs w:val="21"/>
              </w:rPr>
              <w:t>2024.5</w:t>
            </w:r>
          </w:p>
        </w:tc>
        <w:tc>
          <w:tcPr>
            <w:tcW w:w="870" w:type="pct"/>
            <w:noWrap/>
            <w:vAlign w:val="center"/>
          </w:tcPr>
          <w:p w14:paraId="3FA7C01C">
            <w:pPr>
              <w:widowControl/>
              <w:spacing w:line="360" w:lineRule="exact"/>
              <w:ind w:firstLine="0" w:firstLineChars="0"/>
              <w:jc w:val="center"/>
              <w:rPr>
                <w:sz w:val="21"/>
                <w:szCs w:val="21"/>
              </w:rPr>
            </w:pPr>
            <w:r>
              <w:rPr>
                <w:rFonts w:hint="eastAsia"/>
                <w:sz w:val="21"/>
                <w:szCs w:val="21"/>
              </w:rPr>
              <w:t>14635.69</w:t>
            </w:r>
          </w:p>
        </w:tc>
        <w:tc>
          <w:tcPr>
            <w:tcW w:w="870" w:type="pct"/>
            <w:noWrap/>
            <w:vAlign w:val="bottom"/>
          </w:tcPr>
          <w:p w14:paraId="2181C26C">
            <w:pPr>
              <w:widowControl/>
              <w:spacing w:line="360" w:lineRule="exact"/>
              <w:ind w:firstLine="0" w:firstLineChars="0"/>
              <w:jc w:val="center"/>
              <w:rPr>
                <w:sz w:val="21"/>
                <w:szCs w:val="21"/>
              </w:rPr>
            </w:pPr>
            <w:r>
              <w:rPr>
                <w:sz w:val="21"/>
                <w:szCs w:val="21"/>
              </w:rPr>
              <w:t>16.673</w:t>
            </w:r>
          </w:p>
        </w:tc>
        <w:tc>
          <w:tcPr>
            <w:tcW w:w="870" w:type="pct"/>
            <w:noWrap/>
            <w:vAlign w:val="bottom"/>
          </w:tcPr>
          <w:p w14:paraId="0A0C7152">
            <w:pPr>
              <w:widowControl/>
              <w:spacing w:line="360" w:lineRule="exact"/>
              <w:ind w:firstLine="0" w:firstLineChars="0"/>
              <w:jc w:val="center"/>
              <w:rPr>
                <w:sz w:val="21"/>
                <w:szCs w:val="21"/>
              </w:rPr>
            </w:pPr>
            <w:r>
              <w:rPr>
                <w:sz w:val="21"/>
                <w:szCs w:val="21"/>
              </w:rPr>
              <w:t>0.277</w:t>
            </w:r>
          </w:p>
        </w:tc>
        <w:tc>
          <w:tcPr>
            <w:tcW w:w="870" w:type="pct"/>
            <w:noWrap/>
            <w:vAlign w:val="bottom"/>
          </w:tcPr>
          <w:p w14:paraId="1A64003A">
            <w:pPr>
              <w:widowControl/>
              <w:spacing w:line="360" w:lineRule="exact"/>
              <w:ind w:firstLine="0" w:firstLineChars="0"/>
              <w:jc w:val="center"/>
              <w:rPr>
                <w:sz w:val="21"/>
                <w:szCs w:val="21"/>
              </w:rPr>
            </w:pPr>
            <w:r>
              <w:rPr>
                <w:sz w:val="21"/>
                <w:szCs w:val="21"/>
              </w:rPr>
              <w:t>5.165</w:t>
            </w:r>
          </w:p>
        </w:tc>
        <w:tc>
          <w:tcPr>
            <w:tcW w:w="874" w:type="pct"/>
            <w:noWrap/>
            <w:vAlign w:val="bottom"/>
          </w:tcPr>
          <w:p w14:paraId="096975B5">
            <w:pPr>
              <w:widowControl/>
              <w:spacing w:line="360" w:lineRule="exact"/>
              <w:ind w:firstLine="0" w:firstLineChars="0"/>
              <w:jc w:val="center"/>
              <w:rPr>
                <w:sz w:val="21"/>
                <w:szCs w:val="21"/>
              </w:rPr>
            </w:pPr>
            <w:r>
              <w:rPr>
                <w:sz w:val="21"/>
                <w:szCs w:val="21"/>
              </w:rPr>
              <w:t>0.221</w:t>
            </w:r>
          </w:p>
        </w:tc>
      </w:tr>
      <w:tr w14:paraId="008F8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vAlign w:val="center"/>
          </w:tcPr>
          <w:p w14:paraId="6E4093C1">
            <w:pPr>
              <w:widowControl/>
              <w:spacing w:line="360" w:lineRule="exact"/>
              <w:ind w:firstLine="0" w:firstLineChars="0"/>
              <w:jc w:val="center"/>
              <w:rPr>
                <w:sz w:val="21"/>
                <w:szCs w:val="21"/>
              </w:rPr>
            </w:pPr>
            <w:r>
              <w:rPr>
                <w:rFonts w:hint="eastAsia"/>
                <w:sz w:val="21"/>
                <w:szCs w:val="21"/>
              </w:rPr>
              <w:t>2024.6</w:t>
            </w:r>
          </w:p>
        </w:tc>
        <w:tc>
          <w:tcPr>
            <w:tcW w:w="870" w:type="pct"/>
            <w:noWrap/>
            <w:vAlign w:val="center"/>
          </w:tcPr>
          <w:p w14:paraId="3E7150C5">
            <w:pPr>
              <w:widowControl/>
              <w:spacing w:line="360" w:lineRule="exact"/>
              <w:ind w:firstLine="0" w:firstLineChars="0"/>
              <w:jc w:val="center"/>
              <w:rPr>
                <w:sz w:val="21"/>
                <w:szCs w:val="21"/>
              </w:rPr>
            </w:pPr>
            <w:r>
              <w:rPr>
                <w:rFonts w:hint="eastAsia"/>
                <w:sz w:val="21"/>
                <w:szCs w:val="21"/>
              </w:rPr>
              <w:t>15687.04</w:t>
            </w:r>
          </w:p>
        </w:tc>
        <w:tc>
          <w:tcPr>
            <w:tcW w:w="870" w:type="pct"/>
            <w:noWrap/>
            <w:vAlign w:val="bottom"/>
          </w:tcPr>
          <w:p w14:paraId="1C346092">
            <w:pPr>
              <w:widowControl/>
              <w:spacing w:line="360" w:lineRule="exact"/>
              <w:ind w:firstLine="0" w:firstLineChars="0"/>
              <w:jc w:val="center"/>
              <w:rPr>
                <w:sz w:val="21"/>
                <w:szCs w:val="21"/>
              </w:rPr>
            </w:pPr>
            <w:r>
              <w:rPr>
                <w:sz w:val="21"/>
                <w:szCs w:val="21"/>
              </w:rPr>
              <w:t>25.369</w:t>
            </w:r>
          </w:p>
        </w:tc>
        <w:tc>
          <w:tcPr>
            <w:tcW w:w="870" w:type="pct"/>
            <w:noWrap/>
            <w:vAlign w:val="bottom"/>
          </w:tcPr>
          <w:p w14:paraId="20699410">
            <w:pPr>
              <w:widowControl/>
              <w:spacing w:line="360" w:lineRule="exact"/>
              <w:ind w:firstLine="0" w:firstLineChars="0"/>
              <w:jc w:val="center"/>
              <w:rPr>
                <w:sz w:val="21"/>
                <w:szCs w:val="21"/>
              </w:rPr>
            </w:pPr>
            <w:r>
              <w:rPr>
                <w:sz w:val="21"/>
                <w:szCs w:val="21"/>
              </w:rPr>
              <w:t>0.27</w:t>
            </w:r>
          </w:p>
        </w:tc>
        <w:tc>
          <w:tcPr>
            <w:tcW w:w="870" w:type="pct"/>
            <w:noWrap/>
            <w:vAlign w:val="bottom"/>
          </w:tcPr>
          <w:p w14:paraId="0D61E72F">
            <w:pPr>
              <w:widowControl/>
              <w:spacing w:line="360" w:lineRule="exact"/>
              <w:ind w:firstLine="0" w:firstLineChars="0"/>
              <w:jc w:val="center"/>
              <w:rPr>
                <w:sz w:val="21"/>
                <w:szCs w:val="21"/>
              </w:rPr>
            </w:pPr>
            <w:r>
              <w:rPr>
                <w:sz w:val="21"/>
                <w:szCs w:val="21"/>
              </w:rPr>
              <w:t>3.772</w:t>
            </w:r>
          </w:p>
        </w:tc>
        <w:tc>
          <w:tcPr>
            <w:tcW w:w="874" w:type="pct"/>
            <w:noWrap/>
            <w:vAlign w:val="bottom"/>
          </w:tcPr>
          <w:p w14:paraId="7FEEA07B">
            <w:pPr>
              <w:widowControl/>
              <w:spacing w:line="360" w:lineRule="exact"/>
              <w:ind w:firstLine="0" w:firstLineChars="0"/>
              <w:jc w:val="center"/>
              <w:rPr>
                <w:sz w:val="21"/>
                <w:szCs w:val="21"/>
              </w:rPr>
            </w:pPr>
            <w:r>
              <w:rPr>
                <w:sz w:val="21"/>
                <w:szCs w:val="21"/>
              </w:rPr>
              <w:t>0.225</w:t>
            </w:r>
          </w:p>
        </w:tc>
      </w:tr>
      <w:tr w14:paraId="37D61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noWrap/>
            <w:vAlign w:val="center"/>
          </w:tcPr>
          <w:p w14:paraId="1D4FB8E3">
            <w:pPr>
              <w:widowControl/>
              <w:spacing w:line="360" w:lineRule="exact"/>
              <w:ind w:firstLine="0" w:firstLineChars="0"/>
              <w:jc w:val="center"/>
              <w:rPr>
                <w:sz w:val="21"/>
                <w:szCs w:val="21"/>
              </w:rPr>
            </w:pPr>
            <w:r>
              <w:rPr>
                <w:sz w:val="21"/>
                <w:szCs w:val="21"/>
              </w:rPr>
              <w:t>平均值</w:t>
            </w:r>
          </w:p>
        </w:tc>
        <w:tc>
          <w:tcPr>
            <w:tcW w:w="870" w:type="pct"/>
            <w:noWrap/>
            <w:vAlign w:val="center"/>
          </w:tcPr>
          <w:p w14:paraId="1674AAB2">
            <w:pPr>
              <w:widowControl/>
              <w:spacing w:line="360" w:lineRule="exact"/>
              <w:ind w:firstLine="0" w:firstLineChars="0"/>
              <w:jc w:val="center"/>
              <w:rPr>
                <w:sz w:val="21"/>
                <w:szCs w:val="21"/>
              </w:rPr>
            </w:pPr>
            <w:r>
              <w:rPr>
                <w:rFonts w:hint="eastAsia"/>
                <w:sz w:val="21"/>
                <w:szCs w:val="21"/>
              </w:rPr>
              <w:t>11825.177</w:t>
            </w:r>
          </w:p>
        </w:tc>
        <w:tc>
          <w:tcPr>
            <w:tcW w:w="870" w:type="pct"/>
            <w:noWrap/>
            <w:vAlign w:val="center"/>
          </w:tcPr>
          <w:p w14:paraId="14C51F8F">
            <w:pPr>
              <w:widowControl/>
              <w:spacing w:line="360" w:lineRule="exact"/>
              <w:ind w:firstLine="0" w:firstLineChars="0"/>
              <w:jc w:val="center"/>
              <w:rPr>
                <w:sz w:val="21"/>
                <w:szCs w:val="21"/>
              </w:rPr>
            </w:pPr>
            <w:r>
              <w:rPr>
                <w:rFonts w:hint="eastAsia"/>
                <w:sz w:val="21"/>
                <w:szCs w:val="21"/>
              </w:rPr>
              <w:t>22.03</w:t>
            </w:r>
          </w:p>
        </w:tc>
        <w:tc>
          <w:tcPr>
            <w:tcW w:w="870" w:type="pct"/>
            <w:noWrap/>
            <w:vAlign w:val="center"/>
          </w:tcPr>
          <w:p w14:paraId="69586536">
            <w:pPr>
              <w:widowControl/>
              <w:spacing w:line="360" w:lineRule="exact"/>
              <w:ind w:firstLine="0" w:firstLineChars="0"/>
              <w:jc w:val="center"/>
              <w:rPr>
                <w:sz w:val="21"/>
                <w:szCs w:val="21"/>
              </w:rPr>
            </w:pPr>
            <w:r>
              <w:rPr>
                <w:rFonts w:hint="eastAsia"/>
                <w:sz w:val="21"/>
                <w:szCs w:val="21"/>
              </w:rPr>
              <w:t>0.466</w:t>
            </w:r>
          </w:p>
        </w:tc>
        <w:tc>
          <w:tcPr>
            <w:tcW w:w="870" w:type="pct"/>
            <w:noWrap/>
            <w:vAlign w:val="center"/>
          </w:tcPr>
          <w:p w14:paraId="7F2FA9E8">
            <w:pPr>
              <w:widowControl/>
              <w:spacing w:line="360" w:lineRule="exact"/>
              <w:ind w:firstLine="0" w:firstLineChars="0"/>
              <w:jc w:val="center"/>
              <w:rPr>
                <w:sz w:val="21"/>
                <w:szCs w:val="21"/>
              </w:rPr>
            </w:pPr>
            <w:r>
              <w:rPr>
                <w:rFonts w:hint="eastAsia"/>
                <w:sz w:val="21"/>
                <w:szCs w:val="21"/>
              </w:rPr>
              <w:t>4.89</w:t>
            </w:r>
          </w:p>
        </w:tc>
        <w:tc>
          <w:tcPr>
            <w:tcW w:w="874" w:type="pct"/>
            <w:noWrap/>
            <w:vAlign w:val="center"/>
          </w:tcPr>
          <w:p w14:paraId="62963758">
            <w:pPr>
              <w:widowControl/>
              <w:spacing w:line="360" w:lineRule="exact"/>
              <w:ind w:firstLine="0" w:firstLineChars="0"/>
              <w:jc w:val="center"/>
              <w:rPr>
                <w:sz w:val="21"/>
                <w:szCs w:val="21"/>
              </w:rPr>
            </w:pPr>
            <w:r>
              <w:rPr>
                <w:rFonts w:hint="eastAsia"/>
                <w:sz w:val="21"/>
                <w:szCs w:val="21"/>
              </w:rPr>
              <w:t>0.218</w:t>
            </w:r>
          </w:p>
        </w:tc>
      </w:tr>
      <w:tr w14:paraId="2CB98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noWrap/>
            <w:vAlign w:val="center"/>
          </w:tcPr>
          <w:p w14:paraId="2AC23102">
            <w:pPr>
              <w:widowControl/>
              <w:spacing w:line="360" w:lineRule="exact"/>
              <w:ind w:firstLine="0" w:firstLineChars="0"/>
              <w:jc w:val="center"/>
              <w:rPr>
                <w:sz w:val="21"/>
                <w:szCs w:val="21"/>
              </w:rPr>
            </w:pPr>
            <w:r>
              <w:rPr>
                <w:sz w:val="21"/>
                <w:szCs w:val="21"/>
              </w:rPr>
              <w:t>标准值</w:t>
            </w:r>
          </w:p>
        </w:tc>
        <w:tc>
          <w:tcPr>
            <w:tcW w:w="870" w:type="pct"/>
            <w:noWrap/>
            <w:vAlign w:val="center"/>
          </w:tcPr>
          <w:p w14:paraId="76DEE088">
            <w:pPr>
              <w:widowControl/>
              <w:spacing w:line="360" w:lineRule="exact"/>
              <w:ind w:firstLine="0" w:firstLineChars="0"/>
              <w:jc w:val="center"/>
              <w:rPr>
                <w:sz w:val="21"/>
                <w:szCs w:val="21"/>
              </w:rPr>
            </w:pPr>
            <w:r>
              <w:rPr>
                <w:rFonts w:hint="eastAsia"/>
                <w:sz w:val="21"/>
                <w:szCs w:val="21"/>
              </w:rPr>
              <w:t>/</w:t>
            </w:r>
          </w:p>
        </w:tc>
        <w:tc>
          <w:tcPr>
            <w:tcW w:w="870" w:type="pct"/>
            <w:noWrap/>
            <w:vAlign w:val="center"/>
          </w:tcPr>
          <w:p w14:paraId="5F58B432">
            <w:pPr>
              <w:widowControl/>
              <w:spacing w:line="360" w:lineRule="exact"/>
              <w:ind w:firstLine="0" w:firstLineChars="0"/>
              <w:jc w:val="center"/>
              <w:rPr>
                <w:sz w:val="21"/>
                <w:szCs w:val="21"/>
              </w:rPr>
            </w:pPr>
            <w:r>
              <w:rPr>
                <w:rFonts w:hint="eastAsia"/>
                <w:sz w:val="21"/>
                <w:szCs w:val="21"/>
              </w:rPr>
              <w:t>40</w:t>
            </w:r>
          </w:p>
        </w:tc>
        <w:tc>
          <w:tcPr>
            <w:tcW w:w="870" w:type="pct"/>
            <w:noWrap/>
            <w:vAlign w:val="center"/>
          </w:tcPr>
          <w:p w14:paraId="6905C67E">
            <w:pPr>
              <w:widowControl/>
              <w:spacing w:line="360" w:lineRule="exact"/>
              <w:ind w:firstLine="0" w:firstLineChars="0"/>
              <w:jc w:val="center"/>
              <w:rPr>
                <w:sz w:val="21"/>
                <w:szCs w:val="21"/>
              </w:rPr>
            </w:pPr>
            <w:r>
              <w:rPr>
                <w:rFonts w:hint="eastAsia"/>
                <w:sz w:val="21"/>
                <w:szCs w:val="21"/>
              </w:rPr>
              <w:t>2</w:t>
            </w:r>
          </w:p>
        </w:tc>
        <w:tc>
          <w:tcPr>
            <w:tcW w:w="870" w:type="pct"/>
            <w:noWrap/>
            <w:vAlign w:val="center"/>
          </w:tcPr>
          <w:p w14:paraId="1D9CB1EF">
            <w:pPr>
              <w:widowControl/>
              <w:spacing w:line="360" w:lineRule="exact"/>
              <w:ind w:firstLine="0" w:firstLineChars="0"/>
              <w:jc w:val="center"/>
              <w:rPr>
                <w:sz w:val="21"/>
                <w:szCs w:val="21"/>
              </w:rPr>
            </w:pPr>
            <w:r>
              <w:rPr>
                <w:rFonts w:hint="eastAsia"/>
                <w:sz w:val="21"/>
                <w:szCs w:val="21"/>
              </w:rPr>
              <w:t>15</w:t>
            </w:r>
          </w:p>
        </w:tc>
        <w:tc>
          <w:tcPr>
            <w:tcW w:w="874" w:type="pct"/>
            <w:noWrap/>
            <w:vAlign w:val="center"/>
          </w:tcPr>
          <w:p w14:paraId="1F62CF5B">
            <w:pPr>
              <w:widowControl/>
              <w:spacing w:line="360" w:lineRule="exact"/>
              <w:ind w:firstLine="0" w:firstLineChars="0"/>
              <w:jc w:val="center"/>
              <w:rPr>
                <w:sz w:val="21"/>
                <w:szCs w:val="21"/>
              </w:rPr>
            </w:pPr>
            <w:r>
              <w:rPr>
                <w:rFonts w:hint="eastAsia"/>
                <w:sz w:val="21"/>
                <w:szCs w:val="21"/>
              </w:rPr>
              <w:t>0.4</w:t>
            </w:r>
          </w:p>
        </w:tc>
      </w:tr>
    </w:tbl>
    <w:p w14:paraId="1D3EEFF6">
      <w:pPr>
        <w:ind w:firstLine="480"/>
        <w:rPr>
          <w:b/>
          <w:bCs/>
          <w:snapToGrid w:val="0"/>
          <w:highlight w:val="yellow"/>
          <w:u w:val="single"/>
        </w:rPr>
      </w:pPr>
      <w:r>
        <w:rPr>
          <w:snapToGrid w:val="0"/>
        </w:rPr>
        <w:t>根据上表数据，</w:t>
      </w:r>
      <w:r>
        <w:rPr>
          <w:rFonts w:hint="eastAsia"/>
          <w:snapToGrid w:val="0"/>
        </w:rPr>
        <w:t>唐庄</w:t>
      </w:r>
      <w:r>
        <w:rPr>
          <w:snapToGrid w:val="0"/>
        </w:rPr>
        <w:t>污水处理厂出水水质能够满足</w:t>
      </w:r>
      <w:r>
        <w:rPr>
          <w:bCs/>
          <w:snapToGrid w:val="0"/>
        </w:rPr>
        <w:t>《城镇污水处理厂污染物排放标准》（GB18918-2002）的一级A标准</w:t>
      </w:r>
      <w:r>
        <w:rPr>
          <w:rFonts w:hint="eastAsia"/>
          <w:bCs/>
          <w:snapToGrid w:val="0"/>
        </w:rPr>
        <w:t>（</w:t>
      </w:r>
      <w:r>
        <w:rPr>
          <w:bCs/>
          <w:snapToGrid w:val="0"/>
        </w:rPr>
        <w:t>TN</w:t>
      </w:r>
      <w:r>
        <w:rPr>
          <w:rFonts w:hint="eastAsia"/>
          <w:bCs/>
          <w:snapToGrid w:val="0"/>
        </w:rPr>
        <w:t xml:space="preserve"> </w:t>
      </w:r>
      <w:r>
        <w:rPr>
          <w:bCs/>
          <w:snapToGrid w:val="0"/>
        </w:rPr>
        <w:t>15mg/L</w:t>
      </w:r>
      <w:r>
        <w:rPr>
          <w:rFonts w:hint="eastAsia"/>
          <w:bCs/>
          <w:snapToGrid w:val="0"/>
        </w:rPr>
        <w:t>）及</w:t>
      </w:r>
      <w:r>
        <w:rPr>
          <w:bCs/>
          <w:snapToGrid w:val="0"/>
        </w:rPr>
        <w:t>COD 40mg/L</w:t>
      </w:r>
      <w:r>
        <w:rPr>
          <w:rFonts w:hint="eastAsia"/>
          <w:bCs/>
          <w:snapToGrid w:val="0"/>
        </w:rPr>
        <w:t>、</w:t>
      </w:r>
      <w:r>
        <w:rPr>
          <w:bCs/>
          <w:snapToGrid w:val="0"/>
        </w:rPr>
        <w:t>氨氮2mg/L</w:t>
      </w:r>
      <w:r>
        <w:rPr>
          <w:rFonts w:hint="eastAsia"/>
          <w:bCs/>
          <w:snapToGrid w:val="0"/>
        </w:rPr>
        <w:t>、总磷0.4mg/L的限值要求</w:t>
      </w:r>
      <w:r>
        <w:rPr>
          <w:rFonts w:hint="eastAsia"/>
          <w:snapToGrid w:val="0"/>
        </w:rPr>
        <w:t>。</w:t>
      </w:r>
    </w:p>
    <w:p w14:paraId="1D3EF01D">
      <w:pPr>
        <w:ind w:firstLine="480"/>
      </w:pPr>
      <w:r>
        <w:t>综上所述，本工程废水进入</w:t>
      </w:r>
      <w:r>
        <w:rPr>
          <w:rFonts w:hint="eastAsia"/>
        </w:rPr>
        <w:t>唐庄</w:t>
      </w:r>
      <w:r>
        <w:t>污水处理厂处理的方案可行。</w:t>
      </w:r>
    </w:p>
    <w:p w14:paraId="1D3EF01E">
      <w:pPr>
        <w:pStyle w:val="5"/>
        <w:spacing w:before="240" w:after="240"/>
      </w:pPr>
      <w:bookmarkStart w:id="346" w:name="_Toc114215005"/>
      <w:r>
        <w:t>废气污染防治措施可行性分析</w:t>
      </w:r>
      <w:bookmarkEnd w:id="346"/>
    </w:p>
    <w:p w14:paraId="457CD189">
      <w:pPr>
        <w:ind w:firstLine="480"/>
        <w:rPr>
          <w:u w:val="single"/>
        </w:rPr>
      </w:pPr>
      <w:r>
        <w:rPr>
          <w:rFonts w:hint="eastAsia"/>
        </w:rPr>
        <w:t>本项目产品聚醚改性硅油生产废气主要为聚合和中和废气、</w:t>
      </w:r>
      <w:r>
        <w:t>硅氢化反应</w:t>
      </w:r>
      <w:r>
        <w:rPr>
          <w:rFonts w:hint="eastAsia"/>
        </w:rPr>
        <w:t>和</w:t>
      </w:r>
      <w:r>
        <w:t>脱色</w:t>
      </w:r>
      <w:r>
        <w:rPr>
          <w:rFonts w:hint="eastAsia"/>
        </w:rPr>
        <w:t>废气、小苏打和活性炭投料废气、污水处理站废气、危险废物贮存库废气、化验室废气。其中，因每批次投加小苏打和椰壳活性炭的量较少，且采用真空投料机进行投料，故其投料废气产生极少，不再考虑。</w:t>
      </w:r>
      <w:r>
        <w:rPr>
          <w:rFonts w:hint="eastAsia"/>
          <w:u w:val="single"/>
        </w:rPr>
        <w:t>产品色浆生产废气主要为投料废气。聚合、中和与硅氢化反应、脱色产生的非甲烷总烃经密闭管道负压</w:t>
      </w:r>
      <w:r>
        <w:rPr>
          <w:u w:val="single"/>
        </w:rPr>
        <w:t>收集后</w:t>
      </w:r>
      <w:r>
        <w:rPr>
          <w:rFonts w:hint="eastAsia"/>
          <w:u w:val="single"/>
        </w:rPr>
        <w:t>经设备自带冷凝处理，处理后与污水处理站废气一起引入“碱喷淋+水喷淋+除雾器”处理，处理后与危险废物贮存库废气、化验室废气一起引入活性炭吸附装置后经1根15m高的排气筒DA001排放，色粉投料粉尘经袋式除尘器处理后经1根15m高的排气筒DA002排放。</w:t>
      </w:r>
    </w:p>
    <w:p w14:paraId="1145DC81">
      <w:pPr>
        <w:pStyle w:val="2"/>
        <w:numPr>
          <w:ilvl w:val="4"/>
          <w:numId w:val="49"/>
        </w:numPr>
        <w:spacing w:after="0"/>
        <w:ind w:left="0" w:firstLine="480"/>
        <w:rPr>
          <w:rFonts w:eastAsia="黑体"/>
        </w:rPr>
      </w:pPr>
      <w:r>
        <w:rPr>
          <w:rFonts w:eastAsia="黑体"/>
        </w:rPr>
        <w:t xml:space="preserve">         各废气处置方式及去向一览表</w:t>
      </w:r>
    </w:p>
    <w:tbl>
      <w:tblPr>
        <w:tblStyle w:val="41"/>
        <w:tblW w:w="5000" w:type="pct"/>
        <w:tblInd w:w="0" w:type="dxa"/>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28" w:type="dxa"/>
          <w:bottom w:w="0" w:type="dxa"/>
          <w:right w:w="28" w:type="dxa"/>
        </w:tblCellMar>
      </w:tblPr>
      <w:tblGrid>
        <w:gridCol w:w="753"/>
        <w:gridCol w:w="753"/>
        <w:gridCol w:w="1058"/>
        <w:gridCol w:w="1289"/>
        <w:gridCol w:w="1342"/>
        <w:gridCol w:w="753"/>
        <w:gridCol w:w="753"/>
        <w:gridCol w:w="753"/>
        <w:gridCol w:w="915"/>
      </w:tblGrid>
      <w:tr w14:paraId="589DFEE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blHeader/>
        </w:trPr>
        <w:tc>
          <w:tcPr>
            <w:tcW w:w="450" w:type="pct"/>
            <w:shd w:val="clear" w:color="auto" w:fill="auto"/>
            <w:tcMar>
              <w:top w:w="28" w:type="dxa"/>
              <w:bottom w:w="28" w:type="dxa"/>
            </w:tcMar>
            <w:vAlign w:val="center"/>
          </w:tcPr>
          <w:p w14:paraId="54AE18A7">
            <w:pPr>
              <w:pStyle w:val="67"/>
              <w:rPr>
                <w:rFonts w:cs="Times New Roman"/>
                <w:color w:val="auto"/>
                <w:u w:val="single"/>
              </w:rPr>
            </w:pPr>
            <w:r>
              <w:rPr>
                <w:rFonts w:cs="Times New Roman"/>
                <w:color w:val="auto"/>
                <w:u w:val="single"/>
              </w:rPr>
              <w:t>项目</w:t>
            </w:r>
          </w:p>
        </w:tc>
        <w:tc>
          <w:tcPr>
            <w:tcW w:w="1082" w:type="pct"/>
            <w:gridSpan w:val="2"/>
            <w:shd w:val="clear" w:color="auto" w:fill="auto"/>
            <w:tcMar>
              <w:top w:w="28" w:type="dxa"/>
              <w:bottom w:w="28" w:type="dxa"/>
            </w:tcMar>
            <w:vAlign w:val="center"/>
          </w:tcPr>
          <w:p w14:paraId="35F4A1A6">
            <w:pPr>
              <w:pStyle w:val="67"/>
              <w:rPr>
                <w:rFonts w:cs="Times New Roman"/>
                <w:color w:val="auto"/>
                <w:u w:val="single"/>
              </w:rPr>
            </w:pPr>
            <w:r>
              <w:rPr>
                <w:rFonts w:cs="Times New Roman"/>
                <w:color w:val="auto"/>
                <w:u w:val="single"/>
              </w:rPr>
              <w:t>产污环节</w:t>
            </w:r>
          </w:p>
        </w:tc>
        <w:tc>
          <w:tcPr>
            <w:tcW w:w="770" w:type="pct"/>
            <w:shd w:val="clear" w:color="auto" w:fill="auto"/>
            <w:tcMar>
              <w:top w:w="28" w:type="dxa"/>
              <w:bottom w:w="28" w:type="dxa"/>
            </w:tcMar>
            <w:vAlign w:val="center"/>
          </w:tcPr>
          <w:p w14:paraId="04EA3520">
            <w:pPr>
              <w:pStyle w:val="67"/>
              <w:rPr>
                <w:rFonts w:cs="Times New Roman"/>
                <w:color w:val="auto"/>
                <w:u w:val="single"/>
              </w:rPr>
            </w:pPr>
            <w:r>
              <w:rPr>
                <w:rFonts w:cs="Times New Roman"/>
                <w:color w:val="auto"/>
                <w:u w:val="single"/>
              </w:rPr>
              <w:t>污染因子</w:t>
            </w:r>
          </w:p>
        </w:tc>
        <w:tc>
          <w:tcPr>
            <w:tcW w:w="2151" w:type="pct"/>
            <w:gridSpan w:val="4"/>
            <w:shd w:val="clear" w:color="auto" w:fill="auto"/>
            <w:vAlign w:val="center"/>
          </w:tcPr>
          <w:p w14:paraId="79B4017D">
            <w:pPr>
              <w:pStyle w:val="67"/>
              <w:rPr>
                <w:rFonts w:cs="Times New Roman"/>
                <w:color w:val="auto"/>
                <w:u w:val="single"/>
              </w:rPr>
            </w:pPr>
            <w:r>
              <w:rPr>
                <w:rFonts w:cs="Times New Roman"/>
                <w:color w:val="auto"/>
                <w:u w:val="single"/>
              </w:rPr>
              <w:t>治理措施</w:t>
            </w:r>
          </w:p>
        </w:tc>
        <w:tc>
          <w:tcPr>
            <w:tcW w:w="546" w:type="pct"/>
            <w:shd w:val="clear" w:color="auto" w:fill="auto"/>
            <w:vAlign w:val="center"/>
          </w:tcPr>
          <w:p w14:paraId="2804BB9B">
            <w:pPr>
              <w:pStyle w:val="67"/>
              <w:rPr>
                <w:rFonts w:cs="Times New Roman"/>
                <w:color w:val="auto"/>
                <w:u w:val="single"/>
              </w:rPr>
            </w:pPr>
            <w:r>
              <w:rPr>
                <w:rFonts w:hint="eastAsia" w:cs="Times New Roman"/>
                <w:color w:val="auto"/>
                <w:u w:val="single"/>
              </w:rPr>
              <w:t>排放去向</w:t>
            </w:r>
          </w:p>
        </w:tc>
      </w:tr>
      <w:tr w14:paraId="0090D61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50" w:type="pct"/>
            <w:vMerge w:val="restart"/>
            <w:shd w:val="clear" w:color="auto" w:fill="auto"/>
            <w:tcMar>
              <w:top w:w="28" w:type="dxa"/>
              <w:bottom w:w="28" w:type="dxa"/>
            </w:tcMar>
            <w:vAlign w:val="center"/>
          </w:tcPr>
          <w:p w14:paraId="4047C1D9">
            <w:pPr>
              <w:pStyle w:val="62"/>
              <w:rPr>
                <w:highlight w:val="yellow"/>
                <w:u w:val="single"/>
              </w:rPr>
            </w:pPr>
            <w:r>
              <w:rPr>
                <w:u w:val="single"/>
              </w:rPr>
              <w:t>废气</w:t>
            </w:r>
          </w:p>
        </w:tc>
        <w:tc>
          <w:tcPr>
            <w:tcW w:w="450" w:type="pct"/>
            <w:vMerge w:val="restart"/>
            <w:shd w:val="clear" w:color="auto" w:fill="auto"/>
            <w:tcMar>
              <w:top w:w="28" w:type="dxa"/>
              <w:bottom w:w="28" w:type="dxa"/>
            </w:tcMar>
            <w:vAlign w:val="center"/>
          </w:tcPr>
          <w:p w14:paraId="1BE47FF2">
            <w:pPr>
              <w:pStyle w:val="62"/>
              <w:rPr>
                <w:u w:val="single"/>
              </w:rPr>
            </w:pPr>
            <w:r>
              <w:rPr>
                <w:rFonts w:hint="eastAsia"/>
                <w:u w:val="single"/>
              </w:rPr>
              <w:t>聚醚改性硅油</w:t>
            </w:r>
          </w:p>
        </w:tc>
        <w:tc>
          <w:tcPr>
            <w:tcW w:w="632" w:type="pct"/>
            <w:shd w:val="clear" w:color="auto" w:fill="auto"/>
            <w:vAlign w:val="center"/>
          </w:tcPr>
          <w:p w14:paraId="280D1FC9">
            <w:pPr>
              <w:pStyle w:val="62"/>
              <w:rPr>
                <w:u w:val="single"/>
              </w:rPr>
            </w:pPr>
            <w:r>
              <w:rPr>
                <w:rFonts w:hint="eastAsia"/>
                <w:u w:val="single"/>
              </w:rPr>
              <w:t>聚合</w:t>
            </w:r>
          </w:p>
        </w:tc>
        <w:tc>
          <w:tcPr>
            <w:tcW w:w="770" w:type="pct"/>
            <w:shd w:val="clear" w:color="auto" w:fill="auto"/>
            <w:tcMar>
              <w:top w:w="28" w:type="dxa"/>
              <w:bottom w:w="28" w:type="dxa"/>
            </w:tcMar>
            <w:vAlign w:val="center"/>
          </w:tcPr>
          <w:p w14:paraId="1A8936B1">
            <w:pPr>
              <w:pStyle w:val="62"/>
              <w:rPr>
                <w:highlight w:val="yellow"/>
                <w:u w:val="single"/>
                <w:lang w:val="pt-BR"/>
              </w:rPr>
            </w:pPr>
            <w:r>
              <w:rPr>
                <w:rFonts w:hint="eastAsia"/>
                <w:u w:val="single"/>
                <w:lang w:val="pt-BR"/>
              </w:rPr>
              <w:t>非甲烷总烃、硫酸雾</w:t>
            </w:r>
          </w:p>
        </w:tc>
        <w:tc>
          <w:tcPr>
            <w:tcW w:w="802" w:type="pct"/>
            <w:vMerge w:val="restart"/>
            <w:shd w:val="clear" w:color="auto" w:fill="auto"/>
            <w:vAlign w:val="center"/>
          </w:tcPr>
          <w:p w14:paraId="1D03E185">
            <w:pPr>
              <w:pStyle w:val="62"/>
              <w:rPr>
                <w:u w:val="single"/>
              </w:rPr>
            </w:pPr>
            <w:r>
              <w:rPr>
                <w:rFonts w:hint="eastAsia"/>
                <w:u w:val="single"/>
              </w:rPr>
              <w:t>密闭负压收集管道</w:t>
            </w:r>
          </w:p>
        </w:tc>
        <w:tc>
          <w:tcPr>
            <w:tcW w:w="450" w:type="pct"/>
            <w:vMerge w:val="restart"/>
            <w:shd w:val="clear" w:color="auto" w:fill="auto"/>
            <w:vAlign w:val="center"/>
          </w:tcPr>
          <w:p w14:paraId="38EF6E27">
            <w:pPr>
              <w:pStyle w:val="62"/>
              <w:rPr>
                <w:highlight w:val="yellow"/>
                <w:u w:val="single"/>
              </w:rPr>
            </w:pPr>
            <w:r>
              <w:rPr>
                <w:rFonts w:hint="eastAsia"/>
                <w:u w:val="single"/>
              </w:rPr>
              <w:t>设备自带冷凝</w:t>
            </w:r>
          </w:p>
        </w:tc>
        <w:tc>
          <w:tcPr>
            <w:tcW w:w="450" w:type="pct"/>
            <w:vMerge w:val="restart"/>
            <w:shd w:val="clear" w:color="auto" w:fill="auto"/>
            <w:vAlign w:val="center"/>
          </w:tcPr>
          <w:p w14:paraId="5461A8E8">
            <w:pPr>
              <w:pStyle w:val="62"/>
              <w:rPr>
                <w:highlight w:val="yellow"/>
                <w:u w:val="single"/>
              </w:rPr>
            </w:pPr>
            <w:r>
              <w:rPr>
                <w:rFonts w:hint="eastAsia"/>
                <w:u w:val="single"/>
              </w:rPr>
              <w:t>碱喷淋+水喷淋+除雾器</w:t>
            </w:r>
          </w:p>
        </w:tc>
        <w:tc>
          <w:tcPr>
            <w:tcW w:w="450" w:type="pct"/>
            <w:vMerge w:val="restart"/>
            <w:shd w:val="clear" w:color="auto" w:fill="auto"/>
            <w:vAlign w:val="center"/>
          </w:tcPr>
          <w:p w14:paraId="4199A4D9">
            <w:pPr>
              <w:pStyle w:val="62"/>
              <w:rPr>
                <w:highlight w:val="yellow"/>
                <w:u w:val="single"/>
              </w:rPr>
            </w:pPr>
            <w:r>
              <w:rPr>
                <w:rFonts w:hint="eastAsia"/>
                <w:u w:val="single"/>
              </w:rPr>
              <w:t>活性炭吸附装置</w:t>
            </w:r>
          </w:p>
        </w:tc>
        <w:tc>
          <w:tcPr>
            <w:tcW w:w="546" w:type="pct"/>
            <w:vMerge w:val="restart"/>
            <w:shd w:val="clear" w:color="auto" w:fill="auto"/>
            <w:vAlign w:val="center"/>
          </w:tcPr>
          <w:p w14:paraId="3E55E722">
            <w:pPr>
              <w:pStyle w:val="62"/>
              <w:rPr>
                <w:highlight w:val="yellow"/>
                <w:u w:val="single"/>
              </w:rPr>
            </w:pPr>
            <w:r>
              <w:rPr>
                <w:rFonts w:hint="eastAsia"/>
                <w:u w:val="single"/>
              </w:rPr>
              <w:t>15m高排气筒DA001</w:t>
            </w:r>
          </w:p>
        </w:tc>
      </w:tr>
      <w:tr w14:paraId="4B2073D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50" w:type="pct"/>
            <w:vMerge w:val="continue"/>
            <w:shd w:val="clear" w:color="auto" w:fill="auto"/>
            <w:tcMar>
              <w:top w:w="28" w:type="dxa"/>
              <w:bottom w:w="28" w:type="dxa"/>
            </w:tcMar>
            <w:vAlign w:val="center"/>
          </w:tcPr>
          <w:p w14:paraId="29783658">
            <w:pPr>
              <w:pStyle w:val="62"/>
              <w:rPr>
                <w:u w:val="single"/>
              </w:rPr>
            </w:pPr>
          </w:p>
        </w:tc>
        <w:tc>
          <w:tcPr>
            <w:tcW w:w="450" w:type="pct"/>
            <w:vMerge w:val="continue"/>
            <w:shd w:val="clear" w:color="auto" w:fill="auto"/>
            <w:tcMar>
              <w:top w:w="28" w:type="dxa"/>
              <w:bottom w:w="28" w:type="dxa"/>
            </w:tcMar>
            <w:vAlign w:val="center"/>
          </w:tcPr>
          <w:p w14:paraId="03C98E90">
            <w:pPr>
              <w:pStyle w:val="62"/>
              <w:rPr>
                <w:u w:val="single"/>
              </w:rPr>
            </w:pPr>
          </w:p>
        </w:tc>
        <w:tc>
          <w:tcPr>
            <w:tcW w:w="632" w:type="pct"/>
            <w:shd w:val="clear" w:color="auto" w:fill="auto"/>
            <w:vAlign w:val="center"/>
          </w:tcPr>
          <w:p w14:paraId="666ECD74">
            <w:pPr>
              <w:pStyle w:val="62"/>
              <w:rPr>
                <w:u w:val="single"/>
              </w:rPr>
            </w:pPr>
            <w:r>
              <w:rPr>
                <w:rFonts w:hint="eastAsia"/>
                <w:u w:val="single"/>
              </w:rPr>
              <w:t>中和</w:t>
            </w:r>
          </w:p>
        </w:tc>
        <w:tc>
          <w:tcPr>
            <w:tcW w:w="770" w:type="pct"/>
            <w:shd w:val="clear" w:color="auto" w:fill="auto"/>
            <w:tcMar>
              <w:top w:w="28" w:type="dxa"/>
              <w:bottom w:w="28" w:type="dxa"/>
            </w:tcMar>
            <w:vAlign w:val="center"/>
          </w:tcPr>
          <w:p w14:paraId="43CCBC3F">
            <w:pPr>
              <w:pStyle w:val="62"/>
              <w:rPr>
                <w:u w:val="single"/>
                <w:lang w:val="pt-BR"/>
              </w:rPr>
            </w:pPr>
            <w:r>
              <w:rPr>
                <w:rFonts w:hint="eastAsia"/>
                <w:u w:val="single"/>
                <w:lang w:val="pt-BR"/>
              </w:rPr>
              <w:t>非甲烷总烃</w:t>
            </w:r>
          </w:p>
        </w:tc>
        <w:tc>
          <w:tcPr>
            <w:tcW w:w="802" w:type="pct"/>
            <w:vMerge w:val="continue"/>
            <w:shd w:val="clear" w:color="auto" w:fill="auto"/>
            <w:vAlign w:val="center"/>
          </w:tcPr>
          <w:p w14:paraId="205EA650">
            <w:pPr>
              <w:pStyle w:val="62"/>
              <w:rPr>
                <w:u w:val="single"/>
              </w:rPr>
            </w:pPr>
          </w:p>
        </w:tc>
        <w:tc>
          <w:tcPr>
            <w:tcW w:w="450" w:type="pct"/>
            <w:vMerge w:val="continue"/>
            <w:shd w:val="clear" w:color="auto" w:fill="auto"/>
            <w:vAlign w:val="center"/>
          </w:tcPr>
          <w:p w14:paraId="6A1F1457">
            <w:pPr>
              <w:pStyle w:val="62"/>
              <w:rPr>
                <w:u w:val="single"/>
              </w:rPr>
            </w:pPr>
          </w:p>
        </w:tc>
        <w:tc>
          <w:tcPr>
            <w:tcW w:w="450" w:type="pct"/>
            <w:vMerge w:val="continue"/>
            <w:shd w:val="clear" w:color="auto" w:fill="auto"/>
            <w:vAlign w:val="center"/>
          </w:tcPr>
          <w:p w14:paraId="455C402C">
            <w:pPr>
              <w:pStyle w:val="62"/>
              <w:rPr>
                <w:u w:val="single"/>
              </w:rPr>
            </w:pPr>
          </w:p>
        </w:tc>
        <w:tc>
          <w:tcPr>
            <w:tcW w:w="450" w:type="pct"/>
            <w:vMerge w:val="continue"/>
            <w:shd w:val="clear" w:color="auto" w:fill="auto"/>
            <w:vAlign w:val="center"/>
          </w:tcPr>
          <w:p w14:paraId="7F16A768">
            <w:pPr>
              <w:pStyle w:val="62"/>
              <w:rPr>
                <w:u w:val="single"/>
              </w:rPr>
            </w:pPr>
          </w:p>
        </w:tc>
        <w:tc>
          <w:tcPr>
            <w:tcW w:w="546" w:type="pct"/>
            <w:vMerge w:val="continue"/>
            <w:shd w:val="clear" w:color="auto" w:fill="auto"/>
            <w:vAlign w:val="center"/>
          </w:tcPr>
          <w:p w14:paraId="23212F4D">
            <w:pPr>
              <w:pStyle w:val="62"/>
              <w:rPr>
                <w:u w:val="single"/>
              </w:rPr>
            </w:pPr>
          </w:p>
        </w:tc>
      </w:tr>
      <w:tr w14:paraId="466BD89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50" w:type="pct"/>
            <w:vMerge w:val="continue"/>
            <w:shd w:val="clear" w:color="auto" w:fill="auto"/>
            <w:tcMar>
              <w:top w:w="28" w:type="dxa"/>
              <w:bottom w:w="28" w:type="dxa"/>
            </w:tcMar>
            <w:vAlign w:val="center"/>
          </w:tcPr>
          <w:p w14:paraId="4F715EC2">
            <w:pPr>
              <w:pStyle w:val="62"/>
              <w:rPr>
                <w:highlight w:val="yellow"/>
                <w:u w:val="single"/>
              </w:rPr>
            </w:pPr>
          </w:p>
        </w:tc>
        <w:tc>
          <w:tcPr>
            <w:tcW w:w="450" w:type="pct"/>
            <w:vMerge w:val="continue"/>
            <w:shd w:val="clear" w:color="auto" w:fill="auto"/>
            <w:tcMar>
              <w:top w:w="28" w:type="dxa"/>
              <w:bottom w:w="28" w:type="dxa"/>
            </w:tcMar>
            <w:vAlign w:val="center"/>
          </w:tcPr>
          <w:p w14:paraId="4B4D19BC">
            <w:pPr>
              <w:pStyle w:val="62"/>
              <w:rPr>
                <w:u w:val="single"/>
              </w:rPr>
            </w:pPr>
          </w:p>
        </w:tc>
        <w:tc>
          <w:tcPr>
            <w:tcW w:w="632" w:type="pct"/>
            <w:shd w:val="clear" w:color="auto" w:fill="auto"/>
            <w:vAlign w:val="center"/>
          </w:tcPr>
          <w:p w14:paraId="67E11DC2">
            <w:pPr>
              <w:pStyle w:val="62"/>
              <w:rPr>
                <w:u w:val="single"/>
              </w:rPr>
            </w:pPr>
            <w:r>
              <w:rPr>
                <w:rFonts w:hint="eastAsia"/>
                <w:u w:val="single"/>
              </w:rPr>
              <w:t>硅氢化反应、脱色</w:t>
            </w:r>
          </w:p>
        </w:tc>
        <w:tc>
          <w:tcPr>
            <w:tcW w:w="770" w:type="pct"/>
            <w:shd w:val="clear" w:color="auto" w:fill="auto"/>
            <w:tcMar>
              <w:top w:w="28" w:type="dxa"/>
              <w:bottom w:w="28" w:type="dxa"/>
            </w:tcMar>
            <w:vAlign w:val="center"/>
          </w:tcPr>
          <w:p w14:paraId="423F7ADC">
            <w:pPr>
              <w:pStyle w:val="62"/>
              <w:rPr>
                <w:highlight w:val="yellow"/>
                <w:u w:val="single"/>
                <w:lang w:val="pt-BR"/>
              </w:rPr>
            </w:pPr>
            <w:r>
              <w:rPr>
                <w:rFonts w:hint="eastAsia"/>
                <w:u w:val="single"/>
                <w:lang w:val="pt-BR"/>
              </w:rPr>
              <w:t>非甲烷总烃</w:t>
            </w:r>
          </w:p>
        </w:tc>
        <w:tc>
          <w:tcPr>
            <w:tcW w:w="802" w:type="pct"/>
            <w:shd w:val="clear" w:color="auto" w:fill="auto"/>
            <w:vAlign w:val="center"/>
          </w:tcPr>
          <w:p w14:paraId="18592C88">
            <w:pPr>
              <w:pStyle w:val="62"/>
              <w:rPr>
                <w:u w:val="single"/>
                <w:lang w:val="pt-BR"/>
              </w:rPr>
            </w:pPr>
            <w:r>
              <w:rPr>
                <w:rFonts w:hint="eastAsia"/>
                <w:u w:val="single"/>
              </w:rPr>
              <w:t>密闭负压收集管道</w:t>
            </w:r>
          </w:p>
        </w:tc>
        <w:tc>
          <w:tcPr>
            <w:tcW w:w="450" w:type="pct"/>
            <w:vMerge w:val="continue"/>
            <w:shd w:val="clear" w:color="auto" w:fill="auto"/>
            <w:vAlign w:val="center"/>
          </w:tcPr>
          <w:p w14:paraId="300E1262">
            <w:pPr>
              <w:pStyle w:val="62"/>
              <w:rPr>
                <w:highlight w:val="yellow"/>
                <w:u w:val="single"/>
                <w:lang w:val="pt-BR"/>
              </w:rPr>
            </w:pPr>
          </w:p>
        </w:tc>
        <w:tc>
          <w:tcPr>
            <w:tcW w:w="450" w:type="pct"/>
            <w:vMerge w:val="continue"/>
            <w:shd w:val="clear" w:color="auto" w:fill="auto"/>
            <w:vAlign w:val="center"/>
          </w:tcPr>
          <w:p w14:paraId="26E3FD30">
            <w:pPr>
              <w:pStyle w:val="62"/>
              <w:rPr>
                <w:highlight w:val="yellow"/>
                <w:u w:val="single"/>
                <w:lang w:val="pt-BR"/>
              </w:rPr>
            </w:pPr>
          </w:p>
        </w:tc>
        <w:tc>
          <w:tcPr>
            <w:tcW w:w="450" w:type="pct"/>
            <w:vMerge w:val="continue"/>
            <w:shd w:val="clear" w:color="auto" w:fill="auto"/>
            <w:vAlign w:val="center"/>
          </w:tcPr>
          <w:p w14:paraId="1374EE23">
            <w:pPr>
              <w:pStyle w:val="62"/>
              <w:rPr>
                <w:highlight w:val="yellow"/>
                <w:u w:val="single"/>
                <w:lang w:val="pt-BR"/>
              </w:rPr>
            </w:pPr>
          </w:p>
        </w:tc>
        <w:tc>
          <w:tcPr>
            <w:tcW w:w="546" w:type="pct"/>
            <w:vMerge w:val="continue"/>
            <w:shd w:val="clear" w:color="auto" w:fill="auto"/>
            <w:vAlign w:val="center"/>
          </w:tcPr>
          <w:p w14:paraId="07E06413">
            <w:pPr>
              <w:pStyle w:val="62"/>
              <w:rPr>
                <w:highlight w:val="yellow"/>
                <w:u w:val="single"/>
                <w:lang w:val="pt-BR"/>
              </w:rPr>
            </w:pPr>
          </w:p>
        </w:tc>
      </w:tr>
      <w:tr w14:paraId="145DA6B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50" w:type="pct"/>
            <w:vMerge w:val="continue"/>
            <w:shd w:val="clear" w:color="auto" w:fill="auto"/>
            <w:tcMar>
              <w:top w:w="28" w:type="dxa"/>
              <w:bottom w:w="28" w:type="dxa"/>
            </w:tcMar>
            <w:vAlign w:val="center"/>
          </w:tcPr>
          <w:p w14:paraId="3260C85C">
            <w:pPr>
              <w:pStyle w:val="62"/>
              <w:rPr>
                <w:highlight w:val="yellow"/>
                <w:u w:val="single"/>
              </w:rPr>
            </w:pPr>
          </w:p>
        </w:tc>
        <w:tc>
          <w:tcPr>
            <w:tcW w:w="1082" w:type="pct"/>
            <w:gridSpan w:val="2"/>
            <w:shd w:val="clear" w:color="auto" w:fill="auto"/>
            <w:tcMar>
              <w:top w:w="28" w:type="dxa"/>
              <w:bottom w:w="28" w:type="dxa"/>
            </w:tcMar>
            <w:vAlign w:val="center"/>
          </w:tcPr>
          <w:p w14:paraId="45F35168">
            <w:pPr>
              <w:pStyle w:val="62"/>
              <w:rPr>
                <w:u w:val="single"/>
              </w:rPr>
            </w:pPr>
            <w:r>
              <w:rPr>
                <w:rFonts w:hint="eastAsia"/>
                <w:u w:val="single"/>
              </w:rPr>
              <w:t>污水处理站废气</w:t>
            </w:r>
          </w:p>
        </w:tc>
        <w:tc>
          <w:tcPr>
            <w:tcW w:w="770" w:type="pct"/>
            <w:shd w:val="clear" w:color="auto" w:fill="auto"/>
            <w:tcMar>
              <w:top w:w="28" w:type="dxa"/>
              <w:bottom w:w="28" w:type="dxa"/>
            </w:tcMar>
            <w:vAlign w:val="center"/>
          </w:tcPr>
          <w:p w14:paraId="2286D069">
            <w:pPr>
              <w:pStyle w:val="62"/>
              <w:rPr>
                <w:u w:val="single"/>
                <w:lang w:val="pt-BR"/>
              </w:rPr>
            </w:pPr>
            <w:r>
              <w:rPr>
                <w:rFonts w:hint="eastAsia"/>
                <w:u w:val="single"/>
                <w:lang w:val="pt-BR"/>
              </w:rPr>
              <w:t>氨、硫化氢、臭气浓度、非甲烷总烃</w:t>
            </w:r>
          </w:p>
        </w:tc>
        <w:tc>
          <w:tcPr>
            <w:tcW w:w="802" w:type="pct"/>
            <w:shd w:val="clear" w:color="auto" w:fill="auto"/>
            <w:vAlign w:val="center"/>
          </w:tcPr>
          <w:p w14:paraId="28F60684">
            <w:pPr>
              <w:pStyle w:val="62"/>
              <w:rPr>
                <w:u w:val="single"/>
              </w:rPr>
            </w:pPr>
            <w:r>
              <w:rPr>
                <w:rFonts w:hint="eastAsia"/>
                <w:u w:val="single"/>
              </w:rPr>
              <w:t>密闭负压收集管道</w:t>
            </w:r>
          </w:p>
        </w:tc>
        <w:tc>
          <w:tcPr>
            <w:tcW w:w="450" w:type="pct"/>
            <w:shd w:val="clear" w:color="auto" w:fill="auto"/>
            <w:vAlign w:val="center"/>
          </w:tcPr>
          <w:p w14:paraId="0164BC8A">
            <w:pPr>
              <w:pStyle w:val="62"/>
              <w:rPr>
                <w:highlight w:val="yellow"/>
                <w:u w:val="single"/>
                <w:lang w:val="pt-BR"/>
              </w:rPr>
            </w:pPr>
            <w:r>
              <w:rPr>
                <w:rFonts w:hint="eastAsia"/>
                <w:u w:val="single"/>
                <w:lang w:val="pt-BR"/>
              </w:rPr>
              <w:t>/</w:t>
            </w:r>
          </w:p>
        </w:tc>
        <w:tc>
          <w:tcPr>
            <w:tcW w:w="450" w:type="pct"/>
            <w:vMerge w:val="continue"/>
            <w:shd w:val="clear" w:color="auto" w:fill="auto"/>
            <w:vAlign w:val="center"/>
          </w:tcPr>
          <w:p w14:paraId="10A1B1A8">
            <w:pPr>
              <w:pStyle w:val="62"/>
              <w:rPr>
                <w:highlight w:val="yellow"/>
                <w:u w:val="single"/>
                <w:lang w:val="pt-BR"/>
              </w:rPr>
            </w:pPr>
          </w:p>
        </w:tc>
        <w:tc>
          <w:tcPr>
            <w:tcW w:w="450" w:type="pct"/>
            <w:vMerge w:val="continue"/>
            <w:shd w:val="clear" w:color="auto" w:fill="auto"/>
            <w:vAlign w:val="center"/>
          </w:tcPr>
          <w:p w14:paraId="2629445D">
            <w:pPr>
              <w:pStyle w:val="62"/>
              <w:rPr>
                <w:highlight w:val="yellow"/>
                <w:u w:val="single"/>
                <w:lang w:val="pt-BR"/>
              </w:rPr>
            </w:pPr>
          </w:p>
        </w:tc>
        <w:tc>
          <w:tcPr>
            <w:tcW w:w="546" w:type="pct"/>
            <w:vMerge w:val="continue"/>
            <w:shd w:val="clear" w:color="auto" w:fill="auto"/>
            <w:vAlign w:val="center"/>
          </w:tcPr>
          <w:p w14:paraId="183069F5">
            <w:pPr>
              <w:pStyle w:val="62"/>
              <w:rPr>
                <w:highlight w:val="yellow"/>
                <w:u w:val="single"/>
                <w:lang w:val="pt-BR"/>
              </w:rPr>
            </w:pPr>
          </w:p>
        </w:tc>
      </w:tr>
      <w:tr w14:paraId="5D2E5F8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50" w:type="pct"/>
            <w:vMerge w:val="continue"/>
            <w:shd w:val="clear" w:color="auto" w:fill="auto"/>
            <w:tcMar>
              <w:top w:w="28" w:type="dxa"/>
              <w:bottom w:w="28" w:type="dxa"/>
            </w:tcMar>
            <w:vAlign w:val="center"/>
          </w:tcPr>
          <w:p w14:paraId="67D2BB33">
            <w:pPr>
              <w:pStyle w:val="62"/>
              <w:rPr>
                <w:highlight w:val="yellow"/>
                <w:u w:val="single"/>
              </w:rPr>
            </w:pPr>
          </w:p>
        </w:tc>
        <w:tc>
          <w:tcPr>
            <w:tcW w:w="1082" w:type="pct"/>
            <w:gridSpan w:val="2"/>
            <w:shd w:val="clear" w:color="auto" w:fill="auto"/>
            <w:tcMar>
              <w:top w:w="28" w:type="dxa"/>
              <w:bottom w:w="28" w:type="dxa"/>
            </w:tcMar>
            <w:vAlign w:val="center"/>
          </w:tcPr>
          <w:p w14:paraId="1A647280">
            <w:pPr>
              <w:pStyle w:val="62"/>
              <w:rPr>
                <w:u w:val="single"/>
              </w:rPr>
            </w:pPr>
            <w:r>
              <w:rPr>
                <w:rFonts w:hint="eastAsia"/>
                <w:u w:val="single"/>
              </w:rPr>
              <w:t>危险废物贮存库废气</w:t>
            </w:r>
          </w:p>
        </w:tc>
        <w:tc>
          <w:tcPr>
            <w:tcW w:w="770" w:type="pct"/>
            <w:shd w:val="clear" w:color="auto" w:fill="auto"/>
            <w:tcMar>
              <w:top w:w="28" w:type="dxa"/>
              <w:bottom w:w="28" w:type="dxa"/>
            </w:tcMar>
            <w:vAlign w:val="center"/>
          </w:tcPr>
          <w:p w14:paraId="1A8967ED">
            <w:pPr>
              <w:pStyle w:val="62"/>
              <w:rPr>
                <w:u w:val="single"/>
                <w:lang w:val="pt-BR"/>
              </w:rPr>
            </w:pPr>
            <w:r>
              <w:rPr>
                <w:rFonts w:hint="eastAsia"/>
                <w:u w:val="single"/>
                <w:lang w:val="pt-BR"/>
              </w:rPr>
              <w:t>非甲烷总烃</w:t>
            </w:r>
          </w:p>
        </w:tc>
        <w:tc>
          <w:tcPr>
            <w:tcW w:w="802" w:type="pct"/>
            <w:shd w:val="clear" w:color="auto" w:fill="auto"/>
            <w:vAlign w:val="center"/>
          </w:tcPr>
          <w:p w14:paraId="2464B741">
            <w:pPr>
              <w:pStyle w:val="62"/>
              <w:rPr>
                <w:u w:val="single"/>
              </w:rPr>
            </w:pPr>
            <w:r>
              <w:rPr>
                <w:rFonts w:hint="eastAsia"/>
                <w:u w:val="single"/>
              </w:rPr>
              <w:t>密闭负压收集管道</w:t>
            </w:r>
          </w:p>
        </w:tc>
        <w:tc>
          <w:tcPr>
            <w:tcW w:w="900" w:type="pct"/>
            <w:gridSpan w:val="2"/>
            <w:shd w:val="clear" w:color="auto" w:fill="auto"/>
            <w:vAlign w:val="center"/>
          </w:tcPr>
          <w:p w14:paraId="46D70F61">
            <w:pPr>
              <w:pStyle w:val="62"/>
              <w:rPr>
                <w:u w:val="single"/>
                <w:lang w:val="pt-BR"/>
              </w:rPr>
            </w:pPr>
            <w:r>
              <w:rPr>
                <w:rFonts w:hint="eastAsia"/>
                <w:u w:val="single"/>
                <w:lang w:val="pt-BR"/>
              </w:rPr>
              <w:t>/</w:t>
            </w:r>
          </w:p>
        </w:tc>
        <w:tc>
          <w:tcPr>
            <w:tcW w:w="450" w:type="pct"/>
            <w:vMerge w:val="continue"/>
            <w:shd w:val="clear" w:color="auto" w:fill="auto"/>
            <w:vAlign w:val="center"/>
          </w:tcPr>
          <w:p w14:paraId="4375E31D">
            <w:pPr>
              <w:pStyle w:val="62"/>
              <w:rPr>
                <w:highlight w:val="yellow"/>
                <w:u w:val="single"/>
                <w:lang w:val="pt-BR"/>
              </w:rPr>
            </w:pPr>
          </w:p>
        </w:tc>
        <w:tc>
          <w:tcPr>
            <w:tcW w:w="546" w:type="pct"/>
            <w:vMerge w:val="continue"/>
            <w:shd w:val="clear" w:color="auto" w:fill="auto"/>
            <w:vAlign w:val="center"/>
          </w:tcPr>
          <w:p w14:paraId="1C96B870">
            <w:pPr>
              <w:pStyle w:val="62"/>
              <w:rPr>
                <w:highlight w:val="yellow"/>
                <w:u w:val="single"/>
                <w:lang w:val="pt-BR"/>
              </w:rPr>
            </w:pPr>
          </w:p>
        </w:tc>
      </w:tr>
      <w:tr w14:paraId="6EF3AB1C">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50" w:type="pct"/>
            <w:vMerge w:val="continue"/>
            <w:shd w:val="clear" w:color="auto" w:fill="auto"/>
            <w:tcMar>
              <w:top w:w="28" w:type="dxa"/>
              <w:bottom w:w="28" w:type="dxa"/>
            </w:tcMar>
            <w:vAlign w:val="center"/>
          </w:tcPr>
          <w:p w14:paraId="57148D45">
            <w:pPr>
              <w:pStyle w:val="62"/>
              <w:rPr>
                <w:highlight w:val="yellow"/>
                <w:u w:val="single"/>
              </w:rPr>
            </w:pPr>
          </w:p>
        </w:tc>
        <w:tc>
          <w:tcPr>
            <w:tcW w:w="1082" w:type="pct"/>
            <w:gridSpan w:val="2"/>
            <w:shd w:val="clear" w:color="auto" w:fill="auto"/>
            <w:tcMar>
              <w:top w:w="28" w:type="dxa"/>
              <w:bottom w:w="28" w:type="dxa"/>
            </w:tcMar>
            <w:vAlign w:val="center"/>
          </w:tcPr>
          <w:p w14:paraId="4A7C833B">
            <w:pPr>
              <w:pStyle w:val="62"/>
              <w:rPr>
                <w:u w:val="single"/>
              </w:rPr>
            </w:pPr>
            <w:r>
              <w:rPr>
                <w:rFonts w:hint="eastAsia"/>
                <w:u w:val="single"/>
              </w:rPr>
              <w:t>化验室废气</w:t>
            </w:r>
          </w:p>
        </w:tc>
        <w:tc>
          <w:tcPr>
            <w:tcW w:w="770" w:type="pct"/>
            <w:shd w:val="clear" w:color="auto" w:fill="auto"/>
            <w:tcMar>
              <w:top w:w="28" w:type="dxa"/>
              <w:bottom w:w="28" w:type="dxa"/>
            </w:tcMar>
            <w:vAlign w:val="center"/>
          </w:tcPr>
          <w:p w14:paraId="25C34F3E">
            <w:pPr>
              <w:pStyle w:val="62"/>
              <w:rPr>
                <w:u w:val="single"/>
                <w:lang w:val="pt-BR"/>
              </w:rPr>
            </w:pPr>
            <w:r>
              <w:rPr>
                <w:rFonts w:hint="eastAsia"/>
                <w:u w:val="single"/>
                <w:lang w:val="pt-BR"/>
              </w:rPr>
              <w:t>非甲烷总烃</w:t>
            </w:r>
          </w:p>
        </w:tc>
        <w:tc>
          <w:tcPr>
            <w:tcW w:w="802" w:type="pct"/>
            <w:shd w:val="clear" w:color="auto" w:fill="auto"/>
            <w:vAlign w:val="center"/>
          </w:tcPr>
          <w:p w14:paraId="50C3CB13">
            <w:pPr>
              <w:pStyle w:val="62"/>
              <w:rPr>
                <w:u w:val="single"/>
              </w:rPr>
            </w:pPr>
            <w:r>
              <w:rPr>
                <w:rFonts w:hint="eastAsia"/>
                <w:u w:val="single"/>
              </w:rPr>
              <w:t>负压收集管道</w:t>
            </w:r>
          </w:p>
        </w:tc>
        <w:tc>
          <w:tcPr>
            <w:tcW w:w="900" w:type="pct"/>
            <w:gridSpan w:val="2"/>
            <w:shd w:val="clear" w:color="auto" w:fill="auto"/>
            <w:vAlign w:val="center"/>
          </w:tcPr>
          <w:p w14:paraId="025271AC">
            <w:pPr>
              <w:pStyle w:val="62"/>
              <w:rPr>
                <w:u w:val="single"/>
                <w:lang w:val="pt-BR"/>
              </w:rPr>
            </w:pPr>
            <w:r>
              <w:rPr>
                <w:rFonts w:hint="eastAsia"/>
                <w:u w:val="single"/>
                <w:lang w:val="pt-BR"/>
              </w:rPr>
              <w:t>/</w:t>
            </w:r>
          </w:p>
        </w:tc>
        <w:tc>
          <w:tcPr>
            <w:tcW w:w="450" w:type="pct"/>
            <w:vMerge w:val="continue"/>
            <w:shd w:val="clear" w:color="auto" w:fill="auto"/>
            <w:vAlign w:val="center"/>
          </w:tcPr>
          <w:p w14:paraId="2FDF77D3">
            <w:pPr>
              <w:pStyle w:val="62"/>
              <w:rPr>
                <w:highlight w:val="yellow"/>
                <w:u w:val="single"/>
                <w:lang w:val="pt-BR"/>
              </w:rPr>
            </w:pPr>
          </w:p>
        </w:tc>
        <w:tc>
          <w:tcPr>
            <w:tcW w:w="546" w:type="pct"/>
            <w:vMerge w:val="continue"/>
            <w:shd w:val="clear" w:color="auto" w:fill="auto"/>
            <w:vAlign w:val="center"/>
          </w:tcPr>
          <w:p w14:paraId="2B04B72B">
            <w:pPr>
              <w:pStyle w:val="62"/>
              <w:rPr>
                <w:highlight w:val="yellow"/>
                <w:u w:val="single"/>
                <w:lang w:val="pt-BR"/>
              </w:rPr>
            </w:pPr>
          </w:p>
        </w:tc>
      </w:tr>
      <w:tr w14:paraId="6C75409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50" w:type="pct"/>
            <w:vMerge w:val="continue"/>
            <w:shd w:val="clear" w:color="auto" w:fill="auto"/>
            <w:tcMar>
              <w:top w:w="28" w:type="dxa"/>
              <w:bottom w:w="28" w:type="dxa"/>
            </w:tcMar>
            <w:vAlign w:val="center"/>
          </w:tcPr>
          <w:p w14:paraId="14F83DBF">
            <w:pPr>
              <w:pStyle w:val="62"/>
              <w:rPr>
                <w:highlight w:val="yellow"/>
                <w:u w:val="single"/>
              </w:rPr>
            </w:pPr>
          </w:p>
        </w:tc>
        <w:tc>
          <w:tcPr>
            <w:tcW w:w="450" w:type="pct"/>
            <w:shd w:val="clear" w:color="auto" w:fill="auto"/>
            <w:tcMar>
              <w:top w:w="28" w:type="dxa"/>
              <w:bottom w:w="28" w:type="dxa"/>
            </w:tcMar>
            <w:vAlign w:val="center"/>
          </w:tcPr>
          <w:p w14:paraId="12658382">
            <w:pPr>
              <w:pStyle w:val="62"/>
              <w:rPr>
                <w:u w:val="single"/>
              </w:rPr>
            </w:pPr>
            <w:r>
              <w:rPr>
                <w:rFonts w:hint="eastAsia"/>
                <w:u w:val="single"/>
              </w:rPr>
              <w:t>色浆</w:t>
            </w:r>
          </w:p>
        </w:tc>
        <w:tc>
          <w:tcPr>
            <w:tcW w:w="632" w:type="pct"/>
            <w:shd w:val="clear" w:color="auto" w:fill="auto"/>
            <w:vAlign w:val="center"/>
          </w:tcPr>
          <w:p w14:paraId="5B72D1C4">
            <w:pPr>
              <w:pStyle w:val="62"/>
              <w:rPr>
                <w:highlight w:val="yellow"/>
                <w:u w:val="single"/>
              </w:rPr>
            </w:pPr>
            <w:r>
              <w:rPr>
                <w:rFonts w:hint="eastAsia"/>
                <w:u w:val="single"/>
              </w:rPr>
              <w:t>投料</w:t>
            </w:r>
          </w:p>
        </w:tc>
        <w:tc>
          <w:tcPr>
            <w:tcW w:w="770" w:type="pct"/>
            <w:shd w:val="clear" w:color="auto" w:fill="auto"/>
            <w:tcMar>
              <w:top w:w="28" w:type="dxa"/>
              <w:bottom w:w="28" w:type="dxa"/>
            </w:tcMar>
            <w:vAlign w:val="center"/>
          </w:tcPr>
          <w:p w14:paraId="5EE6273D">
            <w:pPr>
              <w:pStyle w:val="62"/>
              <w:rPr>
                <w:u w:val="single"/>
              </w:rPr>
            </w:pPr>
            <w:r>
              <w:rPr>
                <w:rFonts w:hint="eastAsia"/>
                <w:u w:val="single"/>
              </w:rPr>
              <w:t>颗粒物</w:t>
            </w:r>
          </w:p>
        </w:tc>
        <w:tc>
          <w:tcPr>
            <w:tcW w:w="2697" w:type="pct"/>
            <w:gridSpan w:val="5"/>
            <w:shd w:val="clear" w:color="auto" w:fill="auto"/>
            <w:vAlign w:val="center"/>
          </w:tcPr>
          <w:p w14:paraId="123A9510">
            <w:pPr>
              <w:pStyle w:val="62"/>
              <w:rPr>
                <w:highlight w:val="yellow"/>
                <w:u w:val="single"/>
              </w:rPr>
            </w:pPr>
            <w:r>
              <w:rPr>
                <w:rFonts w:hint="eastAsia"/>
                <w:u w:val="single"/>
              </w:rPr>
              <w:t>密闭负压收集管道+袋式除尘器+15m高排气筒DA002</w:t>
            </w:r>
          </w:p>
        </w:tc>
      </w:tr>
    </w:tbl>
    <w:p w14:paraId="1D3EF032">
      <w:pPr>
        <w:pStyle w:val="6"/>
        <w:ind w:left="0" w:firstLine="482" w:firstLineChars="200"/>
        <w:rPr>
          <w:snapToGrid w:val="0"/>
        </w:rPr>
      </w:pPr>
      <w:r>
        <w:rPr>
          <w:snapToGrid w:val="0"/>
        </w:rPr>
        <w:t>废气治理措施可行性分析</w:t>
      </w:r>
    </w:p>
    <w:p w14:paraId="1823CB6F">
      <w:pPr>
        <w:ind w:firstLine="480"/>
        <w:outlineLvl w:val="4"/>
      </w:pPr>
      <w:r>
        <w:rPr>
          <w:rFonts w:hint="eastAsia"/>
        </w:rPr>
        <w:t>（1）涉VOCs废气</w:t>
      </w:r>
    </w:p>
    <w:p w14:paraId="77FA4287">
      <w:pPr>
        <w:pStyle w:val="2"/>
        <w:spacing w:after="0"/>
        <w:ind w:firstLine="480"/>
        <w:outlineLvl w:val="5"/>
      </w:pPr>
      <w:r>
        <w:rPr>
          <w:rFonts w:hint="eastAsia"/>
        </w:rPr>
        <w:t>①本次拟建工程涉VOCs废气产生及治理措施</w:t>
      </w:r>
    </w:p>
    <w:p w14:paraId="56D72DAD">
      <w:pPr>
        <w:pStyle w:val="2"/>
        <w:spacing w:after="0"/>
        <w:ind w:firstLine="480"/>
      </w:pPr>
      <w:r>
        <w:rPr>
          <w:rFonts w:hint="eastAsia"/>
        </w:rPr>
        <w:t>本项目拟建工程涉VOCs</w:t>
      </w:r>
      <w:r>
        <w:t>废气主要包括</w:t>
      </w:r>
      <w:r>
        <w:rPr>
          <w:rFonts w:hint="eastAsia"/>
        </w:rPr>
        <w:t>聚合和中和废气、</w:t>
      </w:r>
      <w:r>
        <w:t>硅氢化反应</w:t>
      </w:r>
      <w:r>
        <w:rPr>
          <w:rFonts w:hint="eastAsia"/>
        </w:rPr>
        <w:t>和</w:t>
      </w:r>
      <w:r>
        <w:t>脱色</w:t>
      </w:r>
      <w:r>
        <w:rPr>
          <w:rFonts w:hint="eastAsia"/>
        </w:rPr>
        <w:t>废气、小苏打和活性炭投料废气、污水处理站废气、危险废物贮存库废气、化验室废气。</w:t>
      </w:r>
      <w:r>
        <w:rPr>
          <w:rFonts w:hint="eastAsia"/>
          <w:u w:val="single"/>
        </w:rPr>
        <w:t>本次拟建工程采用组合处理技术，聚合、中和与硅氢化反应、脱色产生的非甲烷总烃经密闭管道负压收集后经“设备自带冷凝”处理，处理后与污水处理站废气一起引入“碱喷淋+水喷淋+除雾器”处理，处理后与危险废物贮存库废气、化验室废气一起引入活性炭吸附装置后经1根15m高的排气筒DA001排放。</w:t>
      </w:r>
    </w:p>
    <w:p w14:paraId="180030C6">
      <w:pPr>
        <w:pStyle w:val="2"/>
        <w:spacing w:after="0"/>
        <w:ind w:firstLine="480"/>
        <w:outlineLvl w:val="5"/>
      </w:pPr>
      <w:r>
        <w:rPr>
          <w:rFonts w:hint="eastAsia"/>
        </w:rPr>
        <w:t>②VOCs废气常用处理措施介绍</w:t>
      </w:r>
    </w:p>
    <w:p w14:paraId="5A5BD71F">
      <w:pPr>
        <w:pStyle w:val="2"/>
        <w:spacing w:after="0"/>
        <w:ind w:firstLine="480"/>
      </w:pPr>
      <w:r>
        <w:rPr>
          <w:rFonts w:hint="eastAsia"/>
        </w:rPr>
        <w:t>VOCs处理技术主要有破坏法和回收法两大类，具体有热力燃烧、催化燃烧、活性炭吸附、冷凝和生物处理等。VOCs净化处理可以是单一处理技术，也可以是处理技术的组合。常见的VOCs废气治理措施如下。</w:t>
      </w:r>
    </w:p>
    <w:p w14:paraId="1058AD23">
      <w:pPr>
        <w:pStyle w:val="2"/>
        <w:spacing w:after="0"/>
        <w:ind w:firstLine="480"/>
      </w:pPr>
      <w:r>
        <w:rPr>
          <w:rFonts w:hint="eastAsia"/>
        </w:rPr>
        <w:t>i）生物处理：将VOCs通过生物处理系统，利用微生物的分解、氧化、转化等机制，将污染物完全氧化分解成CO2、H2O等无害的无机物。</w:t>
      </w:r>
    </w:p>
    <w:p w14:paraId="34F6C845">
      <w:pPr>
        <w:pStyle w:val="2"/>
        <w:spacing w:after="0"/>
        <w:ind w:firstLine="480"/>
      </w:pPr>
      <w:r>
        <w:rPr>
          <w:rFonts w:hint="eastAsia"/>
        </w:rPr>
        <w:t>ii）冷凝：将废气降温至VOCs露点温度以下，使其凝结成为液态并加以回收的方法。冷凝法对有机物质的回收程度，与废气中VOCs的浓度，以及冷却的温度和冷却介质的种类有关，对VOCs处理效率通常在50%~95%之间。</w:t>
      </w:r>
    </w:p>
    <w:p w14:paraId="7A6DCD83">
      <w:pPr>
        <w:pStyle w:val="2"/>
        <w:spacing w:after="0"/>
        <w:ind w:firstLine="480"/>
      </w:pPr>
      <w:r>
        <w:rPr>
          <w:rFonts w:hint="eastAsia"/>
        </w:rPr>
        <w:t>iii）活性炭吸附：主要利用高孔隙率、高比表面积的吸附剂，将VOCs气体分子分离达到净化废气的目的。设计良好的吸附系统处理效率可达95%~99%，吸附到一定程度后用热蒸汽进行脱附，达到有效回收有机物的目的。</w:t>
      </w:r>
    </w:p>
    <w:p w14:paraId="6172219C">
      <w:pPr>
        <w:pStyle w:val="2"/>
        <w:spacing w:after="0"/>
        <w:ind w:firstLine="480"/>
      </w:pPr>
      <w:r>
        <w:rPr>
          <w:rFonts w:hint="eastAsia"/>
        </w:rPr>
        <w:t>iv）催化燃烧：利用催化剂降低化学反应活化能，使VOCs的燃烧反应可在较低的温度（300~400℃）下进行，将废气中的VOCs氧化成无害的CO2和H2O。处理有机废气的催化剂主要有金属氧化物（Cr2O3、CuO等）和贵金属（Pt、Pd等）。VOCs去除效率通常可达90%以上。</w:t>
      </w:r>
    </w:p>
    <w:p w14:paraId="728043CC">
      <w:pPr>
        <w:pStyle w:val="2"/>
        <w:spacing w:after="0"/>
        <w:ind w:firstLine="480"/>
      </w:pPr>
      <w:r>
        <w:rPr>
          <w:rFonts w:hint="eastAsia"/>
        </w:rPr>
        <w:t>v）酸、碱吸收：亦称洗涤，气态污染物与吸收液接触，使污染物由气相转移到液相，以达到净化废气的目的。对VOCs最高吸收效率可达95%。</w:t>
      </w:r>
    </w:p>
    <w:p w14:paraId="3DB5D90D">
      <w:pPr>
        <w:pStyle w:val="2"/>
        <w:spacing w:after="0"/>
        <w:ind w:firstLine="480"/>
      </w:pPr>
      <w:r>
        <w:rPr>
          <w:rFonts w:hint="eastAsia"/>
        </w:rPr>
        <w:t>vi）热力燃烧：利用燃料燃烧产生的热量，对污染物进行高温氧化反应，将VOCs转变成CO2及H2O等无害物质。优点为去除VOCs效果良好（正常操作处理效率可达98%以上），缺点为高温操作时易产生NOx。燃烧器中产生的高温烟道气，具有较高的热能，需要进行热量回收。</w:t>
      </w:r>
    </w:p>
    <w:p w14:paraId="0454AFF4">
      <w:pPr>
        <w:pStyle w:val="2"/>
        <w:spacing w:after="0"/>
        <w:ind w:firstLine="480"/>
      </w:pPr>
      <w:r>
        <w:rPr>
          <w:rFonts w:hint="eastAsia"/>
        </w:rPr>
        <w:t>vii）RTO蓄热氧化</w:t>
      </w:r>
    </w:p>
    <w:p w14:paraId="3FEECA27">
      <w:pPr>
        <w:pStyle w:val="2"/>
        <w:spacing w:after="0"/>
        <w:ind w:firstLine="480"/>
      </w:pPr>
      <w:r>
        <w:rPr>
          <w:rFonts w:hint="eastAsia"/>
        </w:rPr>
        <w:t>RTO (Regenerative Thermal Oxidizer)，蓄热式氧化炉。其原理是在高温下将废气中的有机物(VOCs)氧化成对应的二氧化碳和水，从而净化废气，并回收废气分解时所释放出来的热量，三室RTO废气分解效率达到99%以上，热回收效率达到95%以上。RTO主体结构由燃烧室、蓄热室和切换阀等组成。是一种高效有机废气治理设备。与传统的催化燃烧、直燃式热氧化炉(TO)相比，具有热效率高(≥95%)、运行成本低、能处理大风量、中低浓度废气等特点，浓度稍高时，还可进行二次余热回收，大大降低生产运营成本。</w:t>
      </w:r>
    </w:p>
    <w:p w14:paraId="46CE21F2">
      <w:pPr>
        <w:pStyle w:val="2"/>
        <w:spacing w:after="0"/>
        <w:ind w:firstLine="480"/>
      </w:pPr>
      <w:r>
        <w:rPr>
          <w:rFonts w:hint="eastAsia"/>
        </w:rPr>
        <w:t>针对VOCs的不同产生浓度及产生风量，其治理技术有不同的适用范围，详见下图及分析。</w:t>
      </w:r>
    </w:p>
    <w:p w14:paraId="6CF90A57">
      <w:pPr>
        <w:spacing w:line="360" w:lineRule="auto"/>
        <w:ind w:firstLine="0" w:firstLineChars="0"/>
        <w:jc w:val="center"/>
      </w:pPr>
      <w:r>
        <w:drawing>
          <wp:inline distT="0" distB="0" distL="0" distR="0">
            <wp:extent cx="3985260" cy="2625090"/>
            <wp:effectExtent l="0" t="0" r="15240" b="3810"/>
            <wp:docPr id="8202" name="图片 31" descr="F:\微信截图_20220711150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图片 31" descr="F:\微信截图_20220711150957.png"/>
                    <pic:cNvPicPr>
                      <a:picLocks noChangeAspect="1" noChangeArrowheads="1"/>
                    </pic:cNvPicPr>
                  </pic:nvPicPr>
                  <pic:blipFill>
                    <a:blip r:embed="rId160"/>
                    <a:srcRect/>
                    <a:stretch>
                      <a:fillRect/>
                    </a:stretch>
                  </pic:blipFill>
                  <pic:spPr>
                    <a:xfrm>
                      <a:off x="0" y="0"/>
                      <a:ext cx="3985260" cy="2634800"/>
                    </a:xfrm>
                    <a:prstGeom prst="rect">
                      <a:avLst/>
                    </a:prstGeom>
                    <a:noFill/>
                    <a:ln w="9525">
                      <a:noFill/>
                      <a:miter lim="800000"/>
                      <a:headEnd/>
                      <a:tailEnd/>
                    </a:ln>
                  </pic:spPr>
                </pic:pic>
              </a:graphicData>
            </a:graphic>
          </wp:inline>
        </w:drawing>
      </w:r>
    </w:p>
    <w:p w14:paraId="290EAC1C">
      <w:pPr>
        <w:ind w:firstLine="482"/>
        <w:jc w:val="center"/>
        <w:rPr>
          <w:b/>
          <w:bCs/>
        </w:rPr>
      </w:pPr>
      <w:r>
        <w:rPr>
          <w:b/>
          <w:bCs/>
        </w:rPr>
        <w:t>图</w:t>
      </w:r>
      <w:r>
        <w:rPr>
          <w:rFonts w:hint="eastAsia"/>
          <w:b/>
          <w:bCs/>
        </w:rPr>
        <w:t>7.2-2</w:t>
      </w:r>
      <w:r>
        <w:rPr>
          <w:b/>
          <w:bCs/>
        </w:rPr>
        <w:t xml:space="preserve">  VOCs治理技术适用范围</w:t>
      </w:r>
    </w:p>
    <w:p w14:paraId="32ED756E">
      <w:pPr>
        <w:pStyle w:val="2"/>
        <w:spacing w:after="0"/>
        <w:ind w:firstLine="480"/>
      </w:pPr>
      <w:r>
        <w:rPr>
          <w:rFonts w:hint="eastAsia"/>
        </w:rPr>
        <w:t>上图直观地给出了不同单元治理技术所适用的有机物浓度和废气流量的大致范围。对于废气流量，图中给出的是单套处理设备最大处理能力和比较经济的流量范围。当废气流量较大时，可以采用多套设备分开进行处理。由图可知，吸附浓缩+脱附排气高温焚烧/催化燃烧组合技术适用于大风量低浓度VOCs废气的治理；生物法适用于中等风量较低浓度VOCs废气的治理；吸附法（更换活性炭）适用于小风量低浓度VOCs废气的治理；活性炭/活性炭纤维吸附溶剂回收适用于中大风量中低浓度VOCs废气的治理；催化燃烧法、高温燃烧治理技术适用于中小风量中高浓度VOCs废气的治理；冷凝回收法适用于中低风量高浓度VOCs废气的治理。高浓度的VOCs废气一般都不能只靠单一的技术来进行治理，一般都是利用组合技术来进行一个有效的治理，如采用冷凝回收+活性炭纤维吸附回收技术、活性炭吸附/脱附+催化燃烧装置等。</w:t>
      </w:r>
    </w:p>
    <w:p w14:paraId="5ABECCD5">
      <w:pPr>
        <w:ind w:firstLine="480"/>
      </w:pPr>
      <w:r>
        <w:rPr>
          <w:rFonts w:hint="eastAsia"/>
        </w:rPr>
        <w:t>综上所述，本项目溶剂种类较多且复杂，主要包含D4、KF-99、二丙二醇、封端聚醚以及生产过程中产生的低含氢硅油，同时废气中还包含有硫酸雾废气，因此本项目不适用于燃烧法（因原料D4易燃易爆，存在安全风险）。</w:t>
      </w:r>
      <w:r>
        <w:rPr>
          <w:rFonts w:hint="eastAsia"/>
          <w:u w:val="single"/>
        </w:rPr>
        <w:t>本项目含有较高浓度VOCs，且主要污染物二丙二醇、封端聚醚易溶于水，因此采取“设备自带冷凝+碱喷淋+水喷淋+除雾器+活性炭吸附装置”治理工艺废气，总体去除效率可达99%</w:t>
      </w:r>
      <w:r>
        <w:rPr>
          <w:rFonts w:hint="eastAsia"/>
        </w:rPr>
        <w:t>；本项目危险废物贮存库废气、污水处理站废气及化验室废气污染物产生浓度较低，不适用于冷凝回收等深度治理设施，因此采用“活性炭吸附”装置治理。</w:t>
      </w:r>
    </w:p>
    <w:p w14:paraId="64C4F958">
      <w:pPr>
        <w:pStyle w:val="2"/>
        <w:spacing w:after="0"/>
        <w:ind w:firstLine="480"/>
        <w:outlineLvl w:val="5"/>
      </w:pPr>
      <w:r>
        <w:rPr>
          <w:rFonts w:hint="eastAsia"/>
        </w:rPr>
        <w:t>③废气排放达标情况</w:t>
      </w:r>
    </w:p>
    <w:p w14:paraId="739E895F">
      <w:pPr>
        <w:ind w:firstLine="480"/>
      </w:pPr>
      <w:r>
        <w:rPr>
          <w:szCs w:val="24"/>
        </w:rPr>
        <w:t>本项目污染物</w:t>
      </w:r>
      <w:r>
        <w:rPr>
          <w:rFonts w:hint="eastAsia"/>
          <w:szCs w:val="24"/>
        </w:rPr>
        <w:t>非甲烷总烃、硫酸雾</w:t>
      </w:r>
      <w:r>
        <w:rPr>
          <w:bCs/>
          <w:szCs w:val="24"/>
        </w:rPr>
        <w:t>排放浓度能够满足《大气污染物综合排放标准》（GB16297-1996）表2限值</w:t>
      </w:r>
      <w:r>
        <w:rPr>
          <w:rFonts w:hint="eastAsia"/>
          <w:bCs/>
          <w:szCs w:val="24"/>
        </w:rPr>
        <w:t>（非甲烷总烃</w:t>
      </w:r>
      <w:r>
        <w:rPr>
          <w:bCs/>
          <w:kern w:val="24"/>
          <w:szCs w:val="24"/>
        </w:rPr>
        <w:t>120mg/m</w:t>
      </w:r>
      <w:r>
        <w:rPr>
          <w:bCs/>
          <w:kern w:val="24"/>
          <w:szCs w:val="24"/>
          <w:vertAlign w:val="superscript"/>
        </w:rPr>
        <w:t>3</w:t>
      </w:r>
      <w:r>
        <w:rPr>
          <w:bCs/>
          <w:kern w:val="24"/>
          <w:szCs w:val="24"/>
        </w:rPr>
        <w:t>、10kg/h</w:t>
      </w:r>
      <w:r>
        <w:rPr>
          <w:rFonts w:hint="eastAsia"/>
          <w:bCs/>
          <w:kern w:val="24"/>
          <w:szCs w:val="24"/>
        </w:rPr>
        <w:t>，硫酸雾45</w:t>
      </w:r>
      <w:r>
        <w:rPr>
          <w:bCs/>
          <w:kern w:val="24"/>
          <w:szCs w:val="24"/>
        </w:rPr>
        <w:t>mg/m</w:t>
      </w:r>
      <w:r>
        <w:rPr>
          <w:bCs/>
          <w:kern w:val="24"/>
          <w:szCs w:val="24"/>
          <w:vertAlign w:val="superscript"/>
        </w:rPr>
        <w:t>3</w:t>
      </w:r>
      <w:r>
        <w:rPr>
          <w:bCs/>
          <w:kern w:val="24"/>
          <w:szCs w:val="24"/>
        </w:rPr>
        <w:t>、</w:t>
      </w:r>
      <w:r>
        <w:rPr>
          <w:rFonts w:hint="eastAsia"/>
          <w:bCs/>
          <w:kern w:val="24"/>
          <w:szCs w:val="24"/>
        </w:rPr>
        <w:t>1.5</w:t>
      </w:r>
      <w:r>
        <w:rPr>
          <w:bCs/>
          <w:kern w:val="24"/>
          <w:szCs w:val="24"/>
        </w:rPr>
        <w:t>kg/h</w:t>
      </w:r>
      <w:r>
        <w:rPr>
          <w:rFonts w:hint="eastAsia"/>
          <w:bCs/>
          <w:szCs w:val="24"/>
        </w:rPr>
        <w:t>）、</w:t>
      </w:r>
      <w:r>
        <w:rPr>
          <w:bCs/>
          <w:kern w:val="24"/>
          <w:szCs w:val="24"/>
        </w:rPr>
        <w:t>《关于全省开展工业挥发性有机物专项治理工作中排放建议值的通知》（豫环攻坚办〔2017〕162号）中限值要求（非甲烷总烃80mg/m</w:t>
      </w:r>
      <w:r>
        <w:rPr>
          <w:bCs/>
          <w:kern w:val="24"/>
          <w:szCs w:val="24"/>
          <w:vertAlign w:val="superscript"/>
        </w:rPr>
        <w:t>3</w:t>
      </w:r>
      <w:r>
        <w:rPr>
          <w:bCs/>
          <w:kern w:val="24"/>
          <w:szCs w:val="24"/>
        </w:rPr>
        <w:t>）</w:t>
      </w:r>
      <w:r>
        <w:rPr>
          <w:rFonts w:hint="eastAsia"/>
          <w:bCs/>
          <w:kern w:val="24"/>
          <w:szCs w:val="24"/>
        </w:rPr>
        <w:t>及</w:t>
      </w:r>
      <w:r>
        <w:rPr>
          <w:bCs/>
          <w:kern w:val="24"/>
          <w:szCs w:val="24"/>
        </w:rPr>
        <w:t>《河南省重污染天气重点行业应急减排措施技术指南》（2021年修订版）中有机化工A级绩效指标（非甲烷总烃20mg/m</w:t>
      </w:r>
      <w:r>
        <w:rPr>
          <w:bCs/>
          <w:kern w:val="24"/>
          <w:szCs w:val="24"/>
          <w:vertAlign w:val="superscript"/>
        </w:rPr>
        <w:t>3</w:t>
      </w:r>
      <w:r>
        <w:rPr>
          <w:bCs/>
          <w:kern w:val="24"/>
          <w:szCs w:val="24"/>
        </w:rPr>
        <w:t>）。</w:t>
      </w:r>
    </w:p>
    <w:p w14:paraId="5B35169D">
      <w:pPr>
        <w:pStyle w:val="2"/>
        <w:spacing w:after="0"/>
        <w:ind w:firstLine="480"/>
        <w:outlineLvl w:val="5"/>
      </w:pPr>
      <w:r>
        <w:rPr>
          <w:rFonts w:hint="eastAsia"/>
        </w:rPr>
        <w:t>④技术规范可行性</w:t>
      </w:r>
    </w:p>
    <w:p w14:paraId="0C1D6932">
      <w:pPr>
        <w:ind w:firstLine="480"/>
        <w:rPr>
          <w:u w:val="single"/>
        </w:rPr>
      </w:pPr>
      <w:r>
        <w:t xml:space="preserve">根据《排污许可证申请与核发技术规范 </w:t>
      </w:r>
      <w:r>
        <w:rPr>
          <w:rFonts w:hint="eastAsia"/>
        </w:rPr>
        <w:t>专用化学产品制造</w:t>
      </w:r>
      <w:r>
        <w:t>工业》（HJ 1</w:t>
      </w:r>
      <w:r>
        <w:rPr>
          <w:rFonts w:hint="eastAsia"/>
        </w:rPr>
        <w:t>103</w:t>
      </w:r>
      <w:r>
        <w:t>-20</w:t>
      </w:r>
      <w:r>
        <w:rPr>
          <w:rFonts w:hint="eastAsia"/>
        </w:rPr>
        <w:t>20</w:t>
      </w:r>
      <w:r>
        <w:t>），该标准适用于</w:t>
      </w:r>
      <w:r>
        <w:rPr>
          <w:rFonts w:hint="eastAsia"/>
        </w:rPr>
        <w:t>专用化学产品制造工业排污单位排放的大气污染物、水污染物的排污许可管理</w:t>
      </w:r>
      <w:r>
        <w:t>。</w:t>
      </w:r>
      <w:r>
        <w:rPr>
          <w:rFonts w:hint="eastAsia"/>
        </w:rPr>
        <w:t>根据</w:t>
      </w:r>
      <w:r>
        <w:t>该规范中</w:t>
      </w:r>
      <w:r>
        <w:rPr>
          <w:rFonts w:hint="eastAsia"/>
        </w:rPr>
        <w:t>附录C表C.1废气治理可行性技术表，所有行业产生的挥发性有机物采取的可行技术有冷凝、吸收、吸附、燃烧（直接燃烧、热力燃烧、催化燃烧）、冷凝-吸附、冷凝-吸附-燃烧，产生的酸雾采取的可行技术有碱液吸收、电除雾、多级水洗-多级碱洗。</w:t>
      </w:r>
      <w:r>
        <w:rPr>
          <w:rFonts w:hint="eastAsia"/>
          <w:u w:val="single"/>
        </w:rPr>
        <w:t>本项目产生的非甲烷总烃采用“设备自带冷凝+碱喷淋+水喷淋+除雾器+活性炭吸附装置”进行处理，聚合、中和工序产生的硫酸雾采用“碱喷淋+水喷淋”进行处理，均</w:t>
      </w:r>
      <w:r>
        <w:rPr>
          <w:u w:val="single"/>
        </w:rPr>
        <w:t>能够满足规范的要求，属于可行技术。</w:t>
      </w:r>
    </w:p>
    <w:p w14:paraId="252FC178">
      <w:pPr>
        <w:pStyle w:val="2"/>
        <w:spacing w:after="0"/>
        <w:ind w:firstLine="480"/>
        <w:outlineLvl w:val="4"/>
      </w:pPr>
      <w:r>
        <w:rPr>
          <w:rFonts w:hint="eastAsia"/>
        </w:rPr>
        <w:t>（2）颗粒物废气</w:t>
      </w:r>
    </w:p>
    <w:p w14:paraId="341DD882">
      <w:pPr>
        <w:pStyle w:val="2"/>
        <w:spacing w:after="0"/>
        <w:ind w:firstLine="480"/>
        <w:outlineLvl w:val="5"/>
      </w:pPr>
      <w:r>
        <w:rPr>
          <w:rFonts w:hint="eastAsia"/>
        </w:rPr>
        <w:t>①废气产生及治理措施</w:t>
      </w:r>
    </w:p>
    <w:p w14:paraId="7807CABD">
      <w:pPr>
        <w:pStyle w:val="2"/>
        <w:spacing w:after="0"/>
        <w:ind w:firstLine="480"/>
      </w:pPr>
      <w:r>
        <w:rPr>
          <w:rFonts w:hint="eastAsia"/>
        </w:rPr>
        <w:t>本项目色粉投料产生的粉尘经密闭投料站密闭管道负压收集后进入袋式除尘器进行处理，处理后经1根15m高排气筒DA002排放。</w:t>
      </w:r>
    </w:p>
    <w:p w14:paraId="5DF9BADB">
      <w:pPr>
        <w:pStyle w:val="2"/>
        <w:spacing w:after="0"/>
        <w:ind w:firstLine="480"/>
        <w:outlineLvl w:val="5"/>
      </w:pPr>
      <w:r>
        <w:rPr>
          <w:rFonts w:hint="eastAsia"/>
        </w:rPr>
        <w:t>②袋式除尘器介绍</w:t>
      </w:r>
    </w:p>
    <w:p w14:paraId="508249AF">
      <w:pPr>
        <w:pStyle w:val="2"/>
        <w:spacing w:after="0"/>
        <w:ind w:firstLine="480"/>
      </w:pPr>
      <w:r>
        <w:rPr>
          <w:rFonts w:hint="eastAsia"/>
        </w:rPr>
        <w:t>袋式除尘器主要由箱体、进气口、出气口、滤袋、清灰系统、排灰系统、支撑骨架等组成。含尘气体进入箱体后，经过滤袋的过滤，粉尘被阻留在滤袋上，而净化后的气体则从出气口排出。滤袋通常采用纺织的滤布或非纺织的毡制成，利用纤维织物的过滤作用对含尘气体进行过滤。当含尘气体进入袋式除尘器后，颗粒大、比重大的粉尘由于重力的作用沉降下来，落入灰斗，而含有较细小粉尘的气体在通过滤料时，粉尘被阻留，使气体得到净化。</w:t>
      </w:r>
    </w:p>
    <w:p w14:paraId="3151AE85">
      <w:pPr>
        <w:pStyle w:val="2"/>
        <w:spacing w:after="0"/>
        <w:ind w:firstLine="480"/>
        <w:outlineLvl w:val="5"/>
      </w:pPr>
      <w:r>
        <w:rPr>
          <w:rFonts w:hint="eastAsia"/>
        </w:rPr>
        <w:t>③废气排放达标情况</w:t>
      </w:r>
    </w:p>
    <w:p w14:paraId="25A0E608">
      <w:pPr>
        <w:ind w:firstLine="480"/>
      </w:pPr>
      <w:r>
        <w:rPr>
          <w:szCs w:val="24"/>
        </w:rPr>
        <w:t>本项目污染物</w:t>
      </w:r>
      <w:r>
        <w:rPr>
          <w:rFonts w:hint="eastAsia"/>
          <w:szCs w:val="24"/>
        </w:rPr>
        <w:t>颗粒物</w:t>
      </w:r>
      <w:r>
        <w:rPr>
          <w:bCs/>
          <w:szCs w:val="24"/>
        </w:rPr>
        <w:t>排放浓度能够满足《大气污染物综合排放标准》（GB16297-1996）表2限值</w:t>
      </w:r>
      <w:r>
        <w:rPr>
          <w:rFonts w:hint="eastAsia"/>
          <w:bCs/>
          <w:szCs w:val="24"/>
        </w:rPr>
        <w:t>（</w:t>
      </w:r>
      <w:r>
        <w:rPr>
          <w:rFonts w:hint="eastAsia"/>
          <w:bCs/>
          <w:kern w:val="24"/>
          <w:szCs w:val="24"/>
        </w:rPr>
        <w:t>颗粒物</w:t>
      </w:r>
      <w:r>
        <w:rPr>
          <w:bCs/>
          <w:kern w:val="24"/>
          <w:szCs w:val="24"/>
        </w:rPr>
        <w:t>1</w:t>
      </w:r>
      <w:r>
        <w:rPr>
          <w:rFonts w:hint="eastAsia"/>
          <w:bCs/>
          <w:kern w:val="24"/>
          <w:szCs w:val="24"/>
        </w:rPr>
        <w:t>2</w:t>
      </w:r>
      <w:r>
        <w:rPr>
          <w:bCs/>
          <w:kern w:val="24"/>
          <w:szCs w:val="24"/>
        </w:rPr>
        <w:t>0mg/m</w:t>
      </w:r>
      <w:r>
        <w:rPr>
          <w:bCs/>
          <w:kern w:val="24"/>
          <w:szCs w:val="24"/>
          <w:vertAlign w:val="superscript"/>
        </w:rPr>
        <w:t>3</w:t>
      </w:r>
      <w:r>
        <w:rPr>
          <w:bCs/>
          <w:kern w:val="24"/>
          <w:szCs w:val="24"/>
        </w:rPr>
        <w:t>、</w:t>
      </w:r>
      <w:r>
        <w:rPr>
          <w:rFonts w:hint="eastAsia"/>
          <w:bCs/>
          <w:kern w:val="24"/>
          <w:szCs w:val="24"/>
        </w:rPr>
        <w:t>3.5</w:t>
      </w:r>
      <w:r>
        <w:rPr>
          <w:bCs/>
          <w:kern w:val="24"/>
          <w:szCs w:val="24"/>
        </w:rPr>
        <w:t>kg/h</w:t>
      </w:r>
      <w:r>
        <w:rPr>
          <w:rFonts w:hint="eastAsia"/>
          <w:bCs/>
          <w:szCs w:val="24"/>
        </w:rPr>
        <w:t>）</w:t>
      </w:r>
      <w:r>
        <w:rPr>
          <w:rFonts w:hint="eastAsia"/>
          <w:bCs/>
          <w:kern w:val="24"/>
          <w:szCs w:val="24"/>
        </w:rPr>
        <w:t>、</w:t>
      </w:r>
      <w:r>
        <w:rPr>
          <w:bCs/>
          <w:kern w:val="24"/>
          <w:szCs w:val="24"/>
        </w:rPr>
        <w:t>《新乡市生态环境局关于进一步规范工业企业颗粒物排放限值的通知》（颗粒物10mg/m</w:t>
      </w:r>
      <w:r>
        <w:rPr>
          <w:bCs/>
          <w:kern w:val="24"/>
          <w:szCs w:val="24"/>
          <w:vertAlign w:val="superscript"/>
        </w:rPr>
        <w:t>3</w:t>
      </w:r>
      <w:r>
        <w:rPr>
          <w:bCs/>
          <w:kern w:val="24"/>
          <w:szCs w:val="24"/>
        </w:rPr>
        <w:t>）。</w:t>
      </w:r>
    </w:p>
    <w:p w14:paraId="656770A8">
      <w:pPr>
        <w:pStyle w:val="2"/>
        <w:spacing w:after="0"/>
        <w:ind w:firstLine="480"/>
        <w:outlineLvl w:val="5"/>
      </w:pPr>
      <w:r>
        <w:rPr>
          <w:rFonts w:hint="eastAsia"/>
        </w:rPr>
        <w:t>④技术规范可行性</w:t>
      </w:r>
    </w:p>
    <w:p w14:paraId="034CF871">
      <w:pPr>
        <w:ind w:firstLine="480"/>
      </w:pPr>
      <w:r>
        <w:t>根据</w:t>
      </w:r>
      <w:r>
        <w:rPr>
          <w:rFonts w:hint="eastAsia"/>
        </w:rPr>
        <w:t>《排污许可证申请与核发技术规范 涂料、油墨、颜料及类似产品制造业》（HJ 1116-2020），</w:t>
      </w:r>
      <w:r>
        <w:t>该标准适用于</w:t>
      </w:r>
      <w:r>
        <w:rPr>
          <w:rFonts w:hint="eastAsia"/>
        </w:rPr>
        <w:t>涂料、油墨、颜料及类似产品制造业排污单位排放大气污染物、水污染物的排污许可管理。根据</w:t>
      </w:r>
      <w:r>
        <w:t>该规范中</w:t>
      </w:r>
      <w:r>
        <w:rPr>
          <w:rFonts w:hint="eastAsia"/>
        </w:rPr>
        <w:t>附录A表A3排污单位废气治理可行技术参照表，其他工业颜料产生的颗粒物采取的可行技术有袋式除尘、旋风除尘、湿法除尘，本项目产生的颗粒物采用袋式除尘器进行处理，</w:t>
      </w:r>
      <w:r>
        <w:t>能够满足规范的要求，属于可行技术。</w:t>
      </w:r>
    </w:p>
    <w:p w14:paraId="6EE1515F">
      <w:pPr>
        <w:pStyle w:val="2"/>
        <w:ind w:firstLine="480"/>
      </w:pPr>
      <w:r>
        <w:rPr>
          <w:rFonts w:hint="eastAsia"/>
          <w:u w:val="single"/>
        </w:rPr>
        <w:t>另外，根据《国家污染防治技术指导目录（2024年，限制类和淘汰类）》（公示稿）（以下简称《目录》），本项目袋式除尘器不属于《目录》中限制类中的低效干式除尘技术：该技术为利用颗粒物的重力、惯性力和离心力等机械力，采用旋风除尘、重力沉降、惯性除尘等干式除尘技术及其组合的除尘净化技术；不属于淘汰类中的正压反吸风类袋式除尘技术：该技术为采用正压过滤和反吸风方式清灰，且无排气筒，直接排放的袋式除尘技术。“设备自带冷凝+碱喷淋+水喷淋+除雾器+活性炭吸附装置”不属于《目录》中限制类中的VOCs（挥发性有机物）洗涤吸收净化技术：该技术仅采用水、酸液、碱液洗涤吸收工业废气中VOCs后直接排放；和无控制系统或控制系统未实现对设施关键参数进行自动调节控制的燃烧、冷凝、吸附-脱附VOCs治理技术：未对燃烧设施的辅助燃料用量、燃烧温度，冷凝设施的冷凝温度，吸附设施的吸附床层吸脱附时间和温度等关键参数进行自动调节与控制的VOCs治理技术。</w:t>
      </w:r>
    </w:p>
    <w:p w14:paraId="1D3EF034">
      <w:pPr>
        <w:pStyle w:val="6"/>
        <w:ind w:left="0" w:firstLine="482" w:firstLineChars="200"/>
      </w:pPr>
      <w:r>
        <w:t>处理费用合理性分析</w:t>
      </w:r>
    </w:p>
    <w:p w14:paraId="1D3EF035">
      <w:pPr>
        <w:ind w:firstLine="480"/>
      </w:pPr>
      <w:r>
        <w:rPr>
          <w:u w:val="single"/>
        </w:rPr>
        <w:t>本项目废气新建一套</w:t>
      </w:r>
      <w:r>
        <w:rPr>
          <w:rFonts w:hint="eastAsia"/>
          <w:u w:val="single"/>
        </w:rPr>
        <w:t>袋式除尘器</w:t>
      </w:r>
      <w:r>
        <w:rPr>
          <w:u w:val="single"/>
        </w:rPr>
        <w:t>装置</w:t>
      </w:r>
      <w:r>
        <w:rPr>
          <w:rFonts w:hint="eastAsia"/>
          <w:u w:val="single"/>
        </w:rPr>
        <w:t>和“设备自带冷凝+碱喷淋+水喷淋+除雾器+活性炭吸附装置”</w:t>
      </w:r>
      <w:r>
        <w:rPr>
          <w:u w:val="single"/>
        </w:rPr>
        <w:t>进行处理，新增环保设施费用为</w:t>
      </w:r>
      <w:r>
        <w:rPr>
          <w:rFonts w:hint="eastAsia"/>
          <w:u w:val="single"/>
        </w:rPr>
        <w:t>50</w:t>
      </w:r>
      <w:r>
        <w:rPr>
          <w:u w:val="single"/>
        </w:rPr>
        <w:t>万。</w:t>
      </w:r>
      <w:r>
        <w:t>本次项目投运后，废气处理装置需进行定期检修维护，</w:t>
      </w:r>
      <w:r>
        <w:rPr>
          <w:rFonts w:hint="eastAsia"/>
        </w:rPr>
        <w:t>定期</w:t>
      </w:r>
      <w:r>
        <w:t>更换</w:t>
      </w:r>
      <w:r>
        <w:rPr>
          <w:rFonts w:hint="eastAsia"/>
        </w:rPr>
        <w:t>布袋</w:t>
      </w:r>
      <w:r>
        <w:t>，用以保证处理效率，年新增运行费用</w:t>
      </w:r>
      <w:r>
        <w:rPr>
          <w:rFonts w:hint="eastAsia"/>
        </w:rPr>
        <w:t>5</w:t>
      </w:r>
      <w:r>
        <w:t>万元。企业可以承受该废气处理成本。</w:t>
      </w:r>
    </w:p>
    <w:p w14:paraId="1D3EF039">
      <w:pPr>
        <w:pStyle w:val="5"/>
        <w:spacing w:before="240" w:after="240"/>
      </w:pPr>
      <w:bookmarkStart w:id="347" w:name="_Toc114215006"/>
      <w:r>
        <w:t>噪声治理措施可行性分析</w:t>
      </w:r>
      <w:bookmarkEnd w:id="347"/>
    </w:p>
    <w:p w14:paraId="1D3EF03A">
      <w:pPr>
        <w:spacing w:line="500" w:lineRule="exact"/>
        <w:ind w:firstLine="480"/>
        <w:rPr>
          <w:kern w:val="2"/>
        </w:rPr>
      </w:pPr>
      <w:r>
        <w:rPr>
          <w:kern w:val="2"/>
          <w:u w:val="single"/>
        </w:rPr>
        <w:t>本工程高噪声设备主要为</w:t>
      </w:r>
      <w:r>
        <w:rPr>
          <w:rFonts w:hint="eastAsia"/>
          <w:u w:val="single"/>
        </w:rPr>
        <w:t>真空上料机</w:t>
      </w:r>
      <w:r>
        <w:rPr>
          <w:u w:val="single"/>
        </w:rPr>
        <w:t>、</w:t>
      </w:r>
      <w:r>
        <w:rPr>
          <w:rFonts w:hint="eastAsia"/>
          <w:u w:val="single"/>
        </w:rPr>
        <w:t>离心机</w:t>
      </w:r>
      <w:r>
        <w:rPr>
          <w:u w:val="single"/>
        </w:rPr>
        <w:t>、</w:t>
      </w:r>
      <w:r>
        <w:rPr>
          <w:rFonts w:hint="eastAsia"/>
          <w:u w:val="single"/>
        </w:rPr>
        <w:t>自动灌装</w:t>
      </w:r>
      <w:r>
        <w:rPr>
          <w:u w:val="single"/>
        </w:rPr>
        <w:t>机、</w:t>
      </w:r>
      <w:r>
        <w:rPr>
          <w:rFonts w:hint="eastAsia"/>
          <w:u w:val="single"/>
        </w:rPr>
        <w:t>进料泵、循环水站</w:t>
      </w:r>
      <w:r>
        <w:rPr>
          <w:u w:val="single"/>
        </w:rPr>
        <w:t>等</w:t>
      </w:r>
      <w:r>
        <w:rPr>
          <w:kern w:val="2"/>
          <w:u w:val="single"/>
        </w:rPr>
        <w:t>，噪声源强为8</w:t>
      </w:r>
      <w:r>
        <w:rPr>
          <w:rFonts w:hint="eastAsia"/>
          <w:kern w:val="2"/>
          <w:u w:val="single"/>
        </w:rPr>
        <w:t>0</w:t>
      </w:r>
      <w:r>
        <w:rPr>
          <w:kern w:val="2"/>
          <w:u w:val="single"/>
        </w:rPr>
        <w:t>~9</w:t>
      </w:r>
      <w:r>
        <w:rPr>
          <w:rFonts w:hint="eastAsia"/>
          <w:kern w:val="2"/>
          <w:u w:val="single"/>
        </w:rPr>
        <w:t>0</w:t>
      </w:r>
      <w:r>
        <w:rPr>
          <w:kern w:val="2"/>
          <w:u w:val="single"/>
        </w:rPr>
        <w:t>dB(A)。</w:t>
      </w:r>
      <w:r>
        <w:rPr>
          <w:kern w:val="2"/>
        </w:rPr>
        <w:t>本工程针对不同的噪声特性，采取相应的防治措施：</w:t>
      </w:r>
    </w:p>
    <w:p w14:paraId="1D3EF03B">
      <w:pPr>
        <w:spacing w:line="500" w:lineRule="exact"/>
        <w:ind w:firstLine="480"/>
        <w:rPr>
          <w:kern w:val="2"/>
        </w:rPr>
      </w:pPr>
      <w:r>
        <w:rPr>
          <w:kern w:val="2"/>
        </w:rPr>
        <w:t>（1）设备选型时向厂家提出降噪要求。</w:t>
      </w:r>
    </w:p>
    <w:p w14:paraId="1D3EF03C">
      <w:pPr>
        <w:spacing w:line="500" w:lineRule="exact"/>
        <w:ind w:firstLine="480"/>
        <w:rPr>
          <w:kern w:val="2"/>
        </w:rPr>
      </w:pPr>
      <w:r>
        <w:rPr>
          <w:kern w:val="2"/>
        </w:rPr>
        <w:t>（2）风机、机泵等加装隔声罩。</w:t>
      </w:r>
    </w:p>
    <w:p w14:paraId="1D3EF03D">
      <w:pPr>
        <w:spacing w:line="500" w:lineRule="exact"/>
        <w:ind w:firstLine="480"/>
        <w:rPr>
          <w:kern w:val="2"/>
        </w:rPr>
      </w:pPr>
      <w:r>
        <w:rPr>
          <w:kern w:val="2"/>
        </w:rPr>
        <w:t>（3）风机在运行过程中产生空气动力性噪声，工程采取风机进出口安装消声器；减振基础、加装减震垫；采用弹性支承或弹性连接以减少振动；安装在密闭车间或设备房内，降低设备运转噪声。</w:t>
      </w:r>
    </w:p>
    <w:p w14:paraId="1D3EF03E">
      <w:pPr>
        <w:spacing w:line="500" w:lineRule="exact"/>
        <w:ind w:firstLine="480"/>
        <w:rPr>
          <w:kern w:val="2"/>
        </w:rPr>
      </w:pPr>
      <w:r>
        <w:rPr>
          <w:kern w:val="2"/>
        </w:rPr>
        <w:t>（4）</w:t>
      </w:r>
      <w:r>
        <w:rPr>
          <w:rFonts w:hint="eastAsia"/>
          <w:kern w:val="2"/>
        </w:rPr>
        <w:t>真空上料机、离心机、自动灌装机</w:t>
      </w:r>
      <w:r>
        <w:rPr>
          <w:kern w:val="2"/>
        </w:rPr>
        <w:t>采取机座加减震垫，通过减震、建筑隔音削减噪声源强。</w:t>
      </w:r>
    </w:p>
    <w:p w14:paraId="1D3EF03F">
      <w:pPr>
        <w:spacing w:line="500" w:lineRule="exact"/>
        <w:ind w:firstLine="480"/>
        <w:rPr>
          <w:kern w:val="2"/>
        </w:rPr>
      </w:pPr>
      <w:r>
        <w:rPr>
          <w:kern w:val="2"/>
        </w:rPr>
        <w:t>本工程拟采取的噪声治理措施均比较成熟，可以达到较好的降噪效果，预计厂界噪声满足《工业企业厂界环境噪声排放标准》（GB12348-2008）</w:t>
      </w:r>
      <w:r>
        <w:rPr>
          <w:rFonts w:hint="eastAsia"/>
          <w:kern w:val="2"/>
        </w:rPr>
        <w:t>3</w:t>
      </w:r>
      <w:r>
        <w:rPr>
          <w:kern w:val="2"/>
        </w:rPr>
        <w:t>类标准要求。评价认为噪声防治措施切实可行。</w:t>
      </w:r>
    </w:p>
    <w:p w14:paraId="1D3EF040">
      <w:pPr>
        <w:spacing w:line="500" w:lineRule="exact"/>
        <w:ind w:firstLine="480"/>
        <w:rPr>
          <w:kern w:val="2"/>
        </w:rPr>
      </w:pPr>
      <w:r>
        <w:rPr>
          <w:kern w:val="2"/>
        </w:rPr>
        <w:t>本次工程噪声治理投资</w:t>
      </w:r>
      <w:r>
        <w:rPr>
          <w:rFonts w:hint="eastAsia"/>
          <w:kern w:val="2"/>
        </w:rPr>
        <w:t>10</w:t>
      </w:r>
      <w:r>
        <w:rPr>
          <w:kern w:val="2"/>
        </w:rPr>
        <w:t>万元。</w:t>
      </w:r>
    </w:p>
    <w:p w14:paraId="1D3EF041">
      <w:pPr>
        <w:pStyle w:val="5"/>
        <w:spacing w:before="240" w:after="240"/>
      </w:pPr>
      <w:bookmarkStart w:id="348" w:name="_Toc104880008"/>
      <w:bookmarkStart w:id="349" w:name="_Toc114215007"/>
      <w:r>
        <w:t>固体废物防治措施可行性分析</w:t>
      </w:r>
      <w:bookmarkEnd w:id="348"/>
      <w:bookmarkEnd w:id="349"/>
    </w:p>
    <w:p w14:paraId="1D3EF042">
      <w:pPr>
        <w:spacing w:line="500" w:lineRule="exact"/>
        <w:ind w:firstLine="480"/>
        <w:rPr>
          <w:u w:val="single"/>
        </w:rPr>
      </w:pPr>
      <w:r>
        <w:rPr>
          <w:rFonts w:hint="eastAsia"/>
          <w:u w:val="single"/>
        </w:rPr>
        <w:t>本项目营运期间产生的固废主要为废原料包装袋、生产过程过滤和离心产生的废活性炭、废气治理设施产生的废活性炭、化验室废物、废溶剂包装桶、污水处理站产生的污泥和污油、加热制冷设施产生的废导热油。废原料包装袋在一般固废暂存间暂存，定期出售。废活性炭、化验室废物、污泥、污油、废导热油</w:t>
      </w:r>
      <w:r>
        <w:rPr>
          <w:u w:val="single"/>
        </w:rPr>
        <w:t>暂存于</w:t>
      </w:r>
      <w:r>
        <w:rPr>
          <w:rFonts w:hint="eastAsia"/>
          <w:u w:val="single"/>
        </w:rPr>
        <w:t>危险废物贮存库</w:t>
      </w:r>
      <w:r>
        <w:rPr>
          <w:u w:val="single"/>
        </w:rPr>
        <w:t>内，定期交由有资质单位处置。</w:t>
      </w:r>
      <w:r>
        <w:rPr>
          <w:rFonts w:hint="eastAsia"/>
          <w:u w:val="single"/>
        </w:rPr>
        <w:t>废溶剂包装桶暂存于厂区专门的暂存点，定期交由</w:t>
      </w:r>
      <w:r>
        <w:rPr>
          <w:u w:val="single"/>
        </w:rPr>
        <w:t>生产厂家回收并回用于原始用途</w:t>
      </w:r>
      <w:r>
        <w:rPr>
          <w:rFonts w:hint="eastAsia"/>
          <w:u w:val="single"/>
        </w:rPr>
        <w:t>。</w:t>
      </w:r>
      <w:r>
        <w:rPr>
          <w:u w:val="single"/>
        </w:rPr>
        <w:t>本项目</w:t>
      </w:r>
      <w:r>
        <w:rPr>
          <w:snapToGrid w:val="0"/>
          <w:u w:val="single"/>
        </w:rPr>
        <w:t>固废产生及处置措施见下表</w:t>
      </w:r>
      <w:r>
        <w:rPr>
          <w:u w:val="single"/>
        </w:rPr>
        <w:t>：</w:t>
      </w:r>
    </w:p>
    <w:p w14:paraId="294E258A">
      <w:pPr>
        <w:pStyle w:val="99"/>
        <w:numPr>
          <w:ilvl w:val="4"/>
          <w:numId w:val="48"/>
        </w:numPr>
        <w:ind w:left="0" w:firstLine="480"/>
      </w:pPr>
      <w:r>
        <w:rPr>
          <w:rFonts w:hint="eastAsia" w:eastAsia="黑体"/>
        </w:rPr>
        <w:t xml:space="preserve">         </w:t>
      </w:r>
      <w:r>
        <w:rPr>
          <w:rFonts w:eastAsia="黑体"/>
        </w:rPr>
        <w:t>本项目固体废物产生及处置情况</w:t>
      </w:r>
    </w:p>
    <w:tbl>
      <w:tblPr>
        <w:tblStyle w:val="41"/>
        <w:tblW w:w="5000"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28" w:type="dxa"/>
          <w:bottom w:w="0" w:type="dxa"/>
          <w:right w:w="28" w:type="dxa"/>
        </w:tblCellMar>
      </w:tblPr>
      <w:tblGrid>
        <w:gridCol w:w="1421"/>
        <w:gridCol w:w="1573"/>
        <w:gridCol w:w="1573"/>
        <w:gridCol w:w="1527"/>
        <w:gridCol w:w="2275"/>
      </w:tblGrid>
      <w:tr w14:paraId="4576329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9" w:type="pct"/>
            <w:shd w:val="clear" w:color="auto" w:fill="auto"/>
            <w:vAlign w:val="center"/>
          </w:tcPr>
          <w:p w14:paraId="3F58AA86">
            <w:pPr>
              <w:pStyle w:val="67"/>
              <w:rPr>
                <w:rFonts w:cs="Times New Roman"/>
                <w:color w:val="auto"/>
              </w:rPr>
            </w:pPr>
            <w:r>
              <w:rPr>
                <w:rFonts w:cs="Times New Roman"/>
                <w:color w:val="auto"/>
              </w:rPr>
              <w:t>产污环节</w:t>
            </w:r>
          </w:p>
        </w:tc>
        <w:tc>
          <w:tcPr>
            <w:tcW w:w="940" w:type="pct"/>
            <w:shd w:val="clear" w:color="auto" w:fill="auto"/>
            <w:vAlign w:val="center"/>
          </w:tcPr>
          <w:p w14:paraId="4792A1C2">
            <w:pPr>
              <w:pStyle w:val="67"/>
              <w:rPr>
                <w:rFonts w:cs="Times New Roman"/>
                <w:color w:val="auto"/>
              </w:rPr>
            </w:pPr>
            <w:r>
              <w:rPr>
                <w:rFonts w:cs="Times New Roman"/>
                <w:color w:val="auto"/>
              </w:rPr>
              <w:t>固废名称</w:t>
            </w:r>
          </w:p>
        </w:tc>
        <w:tc>
          <w:tcPr>
            <w:tcW w:w="940" w:type="pct"/>
            <w:shd w:val="clear" w:color="auto" w:fill="auto"/>
            <w:vAlign w:val="center"/>
          </w:tcPr>
          <w:p w14:paraId="5F546977">
            <w:pPr>
              <w:pStyle w:val="67"/>
              <w:rPr>
                <w:rFonts w:cs="Times New Roman"/>
                <w:color w:val="auto"/>
              </w:rPr>
            </w:pPr>
            <w:r>
              <w:rPr>
                <w:rFonts w:cs="Times New Roman"/>
                <w:color w:val="auto"/>
              </w:rPr>
              <w:t>废物特性</w:t>
            </w:r>
          </w:p>
        </w:tc>
        <w:tc>
          <w:tcPr>
            <w:tcW w:w="912" w:type="pct"/>
            <w:shd w:val="clear" w:color="auto" w:fill="auto"/>
            <w:vAlign w:val="center"/>
          </w:tcPr>
          <w:p w14:paraId="445ED9D7">
            <w:pPr>
              <w:pStyle w:val="67"/>
              <w:rPr>
                <w:rFonts w:cs="Times New Roman"/>
                <w:color w:val="auto"/>
              </w:rPr>
            </w:pPr>
            <w:r>
              <w:rPr>
                <w:rFonts w:cs="Times New Roman"/>
                <w:color w:val="auto"/>
              </w:rPr>
              <w:t>产生量（t/a）</w:t>
            </w:r>
          </w:p>
        </w:tc>
        <w:tc>
          <w:tcPr>
            <w:tcW w:w="1359" w:type="pct"/>
            <w:shd w:val="clear" w:color="auto" w:fill="auto"/>
            <w:vAlign w:val="center"/>
          </w:tcPr>
          <w:p w14:paraId="05D7DE42">
            <w:pPr>
              <w:pStyle w:val="67"/>
              <w:rPr>
                <w:rFonts w:cs="Times New Roman"/>
                <w:color w:val="auto"/>
              </w:rPr>
            </w:pPr>
            <w:r>
              <w:rPr>
                <w:rFonts w:cs="Times New Roman"/>
                <w:color w:val="auto"/>
              </w:rPr>
              <w:t>治理措施</w:t>
            </w:r>
          </w:p>
        </w:tc>
      </w:tr>
      <w:tr w14:paraId="2CD0724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9" w:type="pct"/>
            <w:shd w:val="clear" w:color="auto" w:fill="auto"/>
            <w:vAlign w:val="center"/>
          </w:tcPr>
          <w:p w14:paraId="627F8F90">
            <w:pPr>
              <w:pStyle w:val="62"/>
              <w:rPr>
                <w:u w:val="single"/>
              </w:rPr>
            </w:pPr>
            <w:r>
              <w:rPr>
                <w:rFonts w:hint="eastAsia"/>
                <w:u w:val="single"/>
              </w:rPr>
              <w:t>原料包装</w:t>
            </w:r>
          </w:p>
        </w:tc>
        <w:tc>
          <w:tcPr>
            <w:tcW w:w="940" w:type="pct"/>
            <w:shd w:val="clear" w:color="auto" w:fill="auto"/>
            <w:vAlign w:val="center"/>
          </w:tcPr>
          <w:p w14:paraId="52B376CE">
            <w:pPr>
              <w:pStyle w:val="62"/>
              <w:rPr>
                <w:u w:val="single"/>
              </w:rPr>
            </w:pPr>
            <w:r>
              <w:rPr>
                <w:rFonts w:hint="eastAsia"/>
                <w:u w:val="single"/>
              </w:rPr>
              <w:t>废原料包装袋</w:t>
            </w:r>
          </w:p>
        </w:tc>
        <w:tc>
          <w:tcPr>
            <w:tcW w:w="940" w:type="pct"/>
            <w:shd w:val="clear" w:color="auto" w:fill="auto"/>
            <w:vAlign w:val="center"/>
          </w:tcPr>
          <w:p w14:paraId="49E1A177">
            <w:pPr>
              <w:pStyle w:val="62"/>
              <w:rPr>
                <w:u w:val="single"/>
              </w:rPr>
            </w:pPr>
            <w:r>
              <w:rPr>
                <w:u w:val="single"/>
              </w:rPr>
              <w:t>一般固废</w:t>
            </w:r>
          </w:p>
        </w:tc>
        <w:tc>
          <w:tcPr>
            <w:tcW w:w="912" w:type="pct"/>
            <w:shd w:val="clear" w:color="auto" w:fill="auto"/>
            <w:vAlign w:val="center"/>
          </w:tcPr>
          <w:p w14:paraId="6FFC29E5">
            <w:pPr>
              <w:pStyle w:val="62"/>
              <w:rPr>
                <w:rFonts w:eastAsia="等线"/>
              </w:rPr>
            </w:pPr>
            <w:r>
              <w:rPr>
                <w:rFonts w:hint="eastAsia" w:eastAsia="等线"/>
                <w:u w:val="single"/>
              </w:rPr>
              <w:t>1.6</w:t>
            </w:r>
          </w:p>
        </w:tc>
        <w:tc>
          <w:tcPr>
            <w:tcW w:w="1359" w:type="pct"/>
            <w:shd w:val="clear" w:color="auto" w:fill="auto"/>
            <w:vAlign w:val="center"/>
          </w:tcPr>
          <w:p w14:paraId="37E023F6">
            <w:pPr>
              <w:pStyle w:val="62"/>
            </w:pPr>
            <w:r>
              <w:rPr>
                <w:rFonts w:hint="eastAsia"/>
              </w:rPr>
              <w:t>在一般固废暂存间暂存，定期外售</w:t>
            </w:r>
          </w:p>
        </w:tc>
      </w:tr>
      <w:tr w14:paraId="362F378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9" w:type="pct"/>
            <w:shd w:val="clear" w:color="auto" w:fill="auto"/>
            <w:vAlign w:val="center"/>
          </w:tcPr>
          <w:p w14:paraId="53BBF1F1">
            <w:pPr>
              <w:pStyle w:val="62"/>
              <w:rPr>
                <w:u w:val="single"/>
              </w:rPr>
            </w:pPr>
            <w:r>
              <w:rPr>
                <w:rFonts w:hint="eastAsia"/>
                <w:u w:val="single"/>
              </w:rPr>
              <w:t>生产过程过滤和离心</w:t>
            </w:r>
          </w:p>
        </w:tc>
        <w:tc>
          <w:tcPr>
            <w:tcW w:w="940" w:type="pct"/>
            <w:vMerge w:val="restart"/>
            <w:shd w:val="clear" w:color="auto" w:fill="auto"/>
            <w:vAlign w:val="center"/>
          </w:tcPr>
          <w:p w14:paraId="6C3D8B95">
            <w:pPr>
              <w:pStyle w:val="62"/>
              <w:rPr>
                <w:u w:val="single"/>
              </w:rPr>
            </w:pPr>
            <w:r>
              <w:rPr>
                <w:rFonts w:hint="eastAsia"/>
                <w:u w:val="single"/>
              </w:rPr>
              <w:t>废活性炭</w:t>
            </w:r>
          </w:p>
        </w:tc>
        <w:tc>
          <w:tcPr>
            <w:tcW w:w="940" w:type="pct"/>
            <w:vMerge w:val="restart"/>
            <w:shd w:val="clear" w:color="auto" w:fill="auto"/>
            <w:vAlign w:val="center"/>
          </w:tcPr>
          <w:p w14:paraId="1020B597">
            <w:pPr>
              <w:pStyle w:val="62"/>
              <w:rPr>
                <w:u w:val="single"/>
              </w:rPr>
            </w:pPr>
            <w:r>
              <w:rPr>
                <w:u w:val="single"/>
              </w:rPr>
              <w:t>危险废物</w:t>
            </w:r>
          </w:p>
        </w:tc>
        <w:tc>
          <w:tcPr>
            <w:tcW w:w="912" w:type="pct"/>
            <w:shd w:val="clear" w:color="auto" w:fill="auto"/>
            <w:vAlign w:val="center"/>
          </w:tcPr>
          <w:p w14:paraId="51E3090B">
            <w:pPr>
              <w:pStyle w:val="62"/>
              <w:rPr>
                <w:rFonts w:eastAsia="等线"/>
              </w:rPr>
            </w:pPr>
            <w:r>
              <w:rPr>
                <w:rFonts w:hint="eastAsia"/>
                <w:u w:val="single"/>
              </w:rPr>
              <w:t>81.25</w:t>
            </w:r>
          </w:p>
        </w:tc>
        <w:tc>
          <w:tcPr>
            <w:tcW w:w="1359" w:type="pct"/>
            <w:vMerge w:val="restart"/>
            <w:shd w:val="clear" w:color="auto" w:fill="auto"/>
            <w:vAlign w:val="center"/>
          </w:tcPr>
          <w:p w14:paraId="0DDEC4C3">
            <w:pPr>
              <w:pStyle w:val="62"/>
            </w:pPr>
            <w:r>
              <w:t>暂存于危废贮存库内，定期委托有危废资质的单位处置</w:t>
            </w:r>
          </w:p>
        </w:tc>
      </w:tr>
      <w:tr w14:paraId="21E4B00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9" w:type="pct"/>
            <w:shd w:val="clear" w:color="auto" w:fill="auto"/>
            <w:vAlign w:val="center"/>
          </w:tcPr>
          <w:p w14:paraId="4C72AD02">
            <w:pPr>
              <w:pStyle w:val="62"/>
              <w:rPr>
                <w:u w:val="single"/>
              </w:rPr>
            </w:pPr>
            <w:r>
              <w:rPr>
                <w:rFonts w:hint="eastAsia"/>
                <w:u w:val="single"/>
              </w:rPr>
              <w:t>废气治理设施</w:t>
            </w:r>
          </w:p>
        </w:tc>
        <w:tc>
          <w:tcPr>
            <w:tcW w:w="940" w:type="pct"/>
            <w:vMerge w:val="continue"/>
            <w:shd w:val="clear" w:color="auto" w:fill="auto"/>
            <w:vAlign w:val="center"/>
          </w:tcPr>
          <w:p w14:paraId="6663F393">
            <w:pPr>
              <w:pStyle w:val="62"/>
              <w:rPr>
                <w:u w:val="single"/>
              </w:rPr>
            </w:pPr>
          </w:p>
        </w:tc>
        <w:tc>
          <w:tcPr>
            <w:tcW w:w="940" w:type="pct"/>
            <w:vMerge w:val="continue"/>
            <w:shd w:val="clear" w:color="auto" w:fill="auto"/>
            <w:vAlign w:val="center"/>
          </w:tcPr>
          <w:p w14:paraId="2384440B">
            <w:pPr>
              <w:pStyle w:val="62"/>
              <w:rPr>
                <w:u w:val="single"/>
              </w:rPr>
            </w:pPr>
          </w:p>
        </w:tc>
        <w:tc>
          <w:tcPr>
            <w:tcW w:w="912" w:type="pct"/>
            <w:shd w:val="clear" w:color="auto" w:fill="auto"/>
            <w:vAlign w:val="center"/>
          </w:tcPr>
          <w:p w14:paraId="24331438">
            <w:pPr>
              <w:pStyle w:val="62"/>
              <w:rPr>
                <w:rFonts w:eastAsia="等线"/>
              </w:rPr>
            </w:pPr>
            <w:r>
              <w:rPr>
                <w:rFonts w:hint="eastAsia" w:eastAsia="等线"/>
                <w:u w:val="single"/>
              </w:rPr>
              <w:t>1.3</w:t>
            </w:r>
          </w:p>
        </w:tc>
        <w:tc>
          <w:tcPr>
            <w:tcW w:w="1359" w:type="pct"/>
            <w:vMerge w:val="continue"/>
            <w:shd w:val="clear" w:color="auto" w:fill="auto"/>
            <w:vAlign w:val="center"/>
          </w:tcPr>
          <w:p w14:paraId="569B60FD">
            <w:pPr>
              <w:pStyle w:val="62"/>
            </w:pPr>
          </w:p>
        </w:tc>
      </w:tr>
      <w:tr w14:paraId="31CA82C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9" w:type="pct"/>
            <w:shd w:val="clear" w:color="auto" w:fill="auto"/>
            <w:vAlign w:val="center"/>
          </w:tcPr>
          <w:p w14:paraId="6644A38B">
            <w:pPr>
              <w:pStyle w:val="62"/>
              <w:rPr>
                <w:u w:val="single"/>
              </w:rPr>
            </w:pPr>
            <w:r>
              <w:rPr>
                <w:rFonts w:hint="eastAsia"/>
                <w:u w:val="single"/>
              </w:rPr>
              <w:t>化验室</w:t>
            </w:r>
          </w:p>
        </w:tc>
        <w:tc>
          <w:tcPr>
            <w:tcW w:w="940" w:type="pct"/>
            <w:shd w:val="clear" w:color="auto" w:fill="auto"/>
            <w:vAlign w:val="center"/>
          </w:tcPr>
          <w:p w14:paraId="7242F704">
            <w:pPr>
              <w:pStyle w:val="62"/>
              <w:rPr>
                <w:u w:val="single"/>
              </w:rPr>
            </w:pPr>
            <w:r>
              <w:rPr>
                <w:rFonts w:hint="eastAsia"/>
                <w:u w:val="single"/>
              </w:rPr>
              <w:t>化验室废物</w:t>
            </w:r>
          </w:p>
        </w:tc>
        <w:tc>
          <w:tcPr>
            <w:tcW w:w="940" w:type="pct"/>
            <w:shd w:val="clear" w:color="auto" w:fill="auto"/>
            <w:vAlign w:val="center"/>
          </w:tcPr>
          <w:p w14:paraId="0E0B4766">
            <w:pPr>
              <w:pStyle w:val="62"/>
              <w:rPr>
                <w:u w:val="single"/>
              </w:rPr>
            </w:pPr>
            <w:r>
              <w:rPr>
                <w:u w:val="single"/>
              </w:rPr>
              <w:t>危险废物</w:t>
            </w:r>
          </w:p>
        </w:tc>
        <w:tc>
          <w:tcPr>
            <w:tcW w:w="912" w:type="pct"/>
            <w:shd w:val="clear" w:color="auto" w:fill="auto"/>
            <w:vAlign w:val="center"/>
          </w:tcPr>
          <w:p w14:paraId="61BEB9BE">
            <w:pPr>
              <w:pStyle w:val="62"/>
              <w:rPr>
                <w:rFonts w:eastAsia="等线"/>
              </w:rPr>
            </w:pPr>
            <w:r>
              <w:rPr>
                <w:rFonts w:hint="eastAsia" w:eastAsia="等线"/>
                <w:u w:val="single"/>
              </w:rPr>
              <w:t>5.1</w:t>
            </w:r>
          </w:p>
        </w:tc>
        <w:tc>
          <w:tcPr>
            <w:tcW w:w="1359" w:type="pct"/>
            <w:vMerge w:val="continue"/>
            <w:shd w:val="clear" w:color="auto" w:fill="auto"/>
            <w:vAlign w:val="center"/>
          </w:tcPr>
          <w:p w14:paraId="6CE895DF">
            <w:pPr>
              <w:pStyle w:val="62"/>
            </w:pPr>
          </w:p>
        </w:tc>
      </w:tr>
      <w:tr w14:paraId="7B4A248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9" w:type="pct"/>
            <w:vMerge w:val="restart"/>
            <w:shd w:val="clear" w:color="auto" w:fill="auto"/>
            <w:vAlign w:val="center"/>
          </w:tcPr>
          <w:p w14:paraId="4107BC06">
            <w:pPr>
              <w:pStyle w:val="62"/>
            </w:pPr>
            <w:r>
              <w:rPr>
                <w:rFonts w:hint="eastAsia"/>
              </w:rPr>
              <w:t>污水处理站</w:t>
            </w:r>
          </w:p>
        </w:tc>
        <w:tc>
          <w:tcPr>
            <w:tcW w:w="940" w:type="pct"/>
            <w:shd w:val="clear" w:color="auto" w:fill="auto"/>
            <w:vAlign w:val="center"/>
          </w:tcPr>
          <w:p w14:paraId="60C500B4">
            <w:pPr>
              <w:pStyle w:val="62"/>
            </w:pPr>
            <w:r>
              <w:rPr>
                <w:rFonts w:hint="eastAsia"/>
              </w:rPr>
              <w:t>污泥</w:t>
            </w:r>
          </w:p>
        </w:tc>
        <w:tc>
          <w:tcPr>
            <w:tcW w:w="940" w:type="pct"/>
            <w:shd w:val="clear" w:color="auto" w:fill="auto"/>
            <w:vAlign w:val="center"/>
          </w:tcPr>
          <w:p w14:paraId="00B8E105">
            <w:pPr>
              <w:pStyle w:val="62"/>
            </w:pPr>
            <w:r>
              <w:t>危险废物</w:t>
            </w:r>
          </w:p>
        </w:tc>
        <w:tc>
          <w:tcPr>
            <w:tcW w:w="912" w:type="pct"/>
            <w:shd w:val="clear" w:color="auto" w:fill="auto"/>
            <w:vAlign w:val="center"/>
          </w:tcPr>
          <w:p w14:paraId="4F9D384F">
            <w:pPr>
              <w:pStyle w:val="62"/>
              <w:rPr>
                <w:rFonts w:eastAsia="等线"/>
              </w:rPr>
            </w:pPr>
            <w:r>
              <w:rPr>
                <w:rFonts w:hint="eastAsia" w:eastAsia="等线"/>
                <w:u w:val="single"/>
              </w:rPr>
              <w:t>5.81</w:t>
            </w:r>
          </w:p>
        </w:tc>
        <w:tc>
          <w:tcPr>
            <w:tcW w:w="1359" w:type="pct"/>
            <w:vMerge w:val="continue"/>
            <w:shd w:val="clear" w:color="auto" w:fill="auto"/>
            <w:vAlign w:val="center"/>
          </w:tcPr>
          <w:p w14:paraId="5D861114">
            <w:pPr>
              <w:pStyle w:val="62"/>
            </w:pPr>
          </w:p>
        </w:tc>
      </w:tr>
      <w:tr w14:paraId="14497C6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9" w:type="pct"/>
            <w:vMerge w:val="continue"/>
            <w:shd w:val="clear" w:color="auto" w:fill="auto"/>
            <w:vAlign w:val="center"/>
          </w:tcPr>
          <w:p w14:paraId="16F1E175">
            <w:pPr>
              <w:pStyle w:val="62"/>
            </w:pPr>
          </w:p>
        </w:tc>
        <w:tc>
          <w:tcPr>
            <w:tcW w:w="940" w:type="pct"/>
            <w:shd w:val="clear" w:color="auto" w:fill="auto"/>
            <w:vAlign w:val="center"/>
          </w:tcPr>
          <w:p w14:paraId="5862FB60">
            <w:pPr>
              <w:pStyle w:val="62"/>
            </w:pPr>
            <w:r>
              <w:rPr>
                <w:rFonts w:hint="eastAsia"/>
              </w:rPr>
              <w:t>污油</w:t>
            </w:r>
          </w:p>
        </w:tc>
        <w:tc>
          <w:tcPr>
            <w:tcW w:w="940" w:type="pct"/>
            <w:shd w:val="clear" w:color="auto" w:fill="auto"/>
            <w:vAlign w:val="center"/>
          </w:tcPr>
          <w:p w14:paraId="685282B7">
            <w:pPr>
              <w:pStyle w:val="62"/>
            </w:pPr>
            <w:r>
              <w:t>危险废物</w:t>
            </w:r>
          </w:p>
        </w:tc>
        <w:tc>
          <w:tcPr>
            <w:tcW w:w="912" w:type="pct"/>
            <w:shd w:val="clear" w:color="auto" w:fill="auto"/>
            <w:vAlign w:val="center"/>
          </w:tcPr>
          <w:p w14:paraId="406D9573">
            <w:pPr>
              <w:pStyle w:val="62"/>
              <w:rPr>
                <w:rFonts w:eastAsia="等线"/>
              </w:rPr>
            </w:pPr>
            <w:r>
              <w:rPr>
                <w:rFonts w:hint="eastAsia" w:eastAsia="等线"/>
                <w:u w:val="single"/>
              </w:rPr>
              <w:t>0.055</w:t>
            </w:r>
          </w:p>
        </w:tc>
        <w:tc>
          <w:tcPr>
            <w:tcW w:w="1359" w:type="pct"/>
            <w:vMerge w:val="continue"/>
            <w:shd w:val="clear" w:color="auto" w:fill="auto"/>
            <w:vAlign w:val="center"/>
          </w:tcPr>
          <w:p w14:paraId="470B36FE">
            <w:pPr>
              <w:pStyle w:val="62"/>
            </w:pPr>
          </w:p>
        </w:tc>
      </w:tr>
      <w:tr w14:paraId="3DF34F9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9" w:type="pct"/>
            <w:shd w:val="clear" w:color="auto" w:fill="auto"/>
            <w:vAlign w:val="center"/>
          </w:tcPr>
          <w:p w14:paraId="666816F9">
            <w:pPr>
              <w:pStyle w:val="62"/>
            </w:pPr>
            <w:r>
              <w:rPr>
                <w:rFonts w:hint="eastAsia"/>
              </w:rPr>
              <w:t>加热制冷设施</w:t>
            </w:r>
          </w:p>
        </w:tc>
        <w:tc>
          <w:tcPr>
            <w:tcW w:w="940" w:type="pct"/>
            <w:shd w:val="clear" w:color="auto" w:fill="auto"/>
            <w:vAlign w:val="center"/>
          </w:tcPr>
          <w:p w14:paraId="424636AF">
            <w:pPr>
              <w:pStyle w:val="62"/>
              <w:rPr>
                <w:u w:val="single"/>
              </w:rPr>
            </w:pPr>
            <w:r>
              <w:rPr>
                <w:rFonts w:hint="eastAsia"/>
                <w:u w:val="single"/>
              </w:rPr>
              <w:t>废导热油</w:t>
            </w:r>
          </w:p>
        </w:tc>
        <w:tc>
          <w:tcPr>
            <w:tcW w:w="940" w:type="pct"/>
            <w:shd w:val="clear" w:color="auto" w:fill="auto"/>
            <w:vAlign w:val="center"/>
          </w:tcPr>
          <w:p w14:paraId="1AACA474">
            <w:pPr>
              <w:pStyle w:val="62"/>
              <w:rPr>
                <w:u w:val="single"/>
              </w:rPr>
            </w:pPr>
            <w:r>
              <w:rPr>
                <w:rFonts w:hint="eastAsia"/>
                <w:u w:val="single"/>
              </w:rPr>
              <w:t>危险废物</w:t>
            </w:r>
          </w:p>
        </w:tc>
        <w:tc>
          <w:tcPr>
            <w:tcW w:w="912" w:type="pct"/>
            <w:shd w:val="clear" w:color="auto" w:fill="auto"/>
            <w:vAlign w:val="center"/>
          </w:tcPr>
          <w:p w14:paraId="6C2DB78D">
            <w:pPr>
              <w:pStyle w:val="62"/>
              <w:rPr>
                <w:rFonts w:eastAsia="等线"/>
                <w:u w:val="single"/>
              </w:rPr>
            </w:pPr>
            <w:r>
              <w:rPr>
                <w:rFonts w:hint="eastAsia" w:eastAsia="等线"/>
                <w:u w:val="single"/>
              </w:rPr>
              <w:t>17t/5a</w:t>
            </w:r>
          </w:p>
        </w:tc>
        <w:tc>
          <w:tcPr>
            <w:tcW w:w="1359" w:type="pct"/>
            <w:vMerge w:val="continue"/>
            <w:shd w:val="clear" w:color="auto" w:fill="auto"/>
            <w:vAlign w:val="center"/>
          </w:tcPr>
          <w:p w14:paraId="30E78C04">
            <w:pPr>
              <w:pStyle w:val="62"/>
            </w:pPr>
          </w:p>
        </w:tc>
      </w:tr>
    </w:tbl>
    <w:p w14:paraId="1D3EF090">
      <w:pPr>
        <w:pStyle w:val="6"/>
        <w:ind w:left="0" w:firstLine="482" w:firstLineChars="200"/>
        <w:rPr>
          <w:snapToGrid w:val="0"/>
        </w:rPr>
      </w:pPr>
      <w:r>
        <w:rPr>
          <w:snapToGrid w:val="0"/>
        </w:rPr>
        <w:t>一般固废管理措施</w:t>
      </w:r>
    </w:p>
    <w:p w14:paraId="6A1C8D6A">
      <w:pPr>
        <w:ind w:firstLine="480"/>
        <w:rPr>
          <w:bCs/>
          <w:szCs w:val="24"/>
        </w:rPr>
      </w:pPr>
      <w:r>
        <w:rPr>
          <w:bCs/>
          <w:szCs w:val="24"/>
        </w:rPr>
        <w:t>本项目需暂存一般固废主要为</w:t>
      </w:r>
      <w:r>
        <w:rPr>
          <w:rFonts w:hint="eastAsia"/>
          <w:bCs/>
          <w:szCs w:val="24"/>
        </w:rPr>
        <w:t>废原料包装袋，废原料包装袋</w:t>
      </w:r>
      <w:r>
        <w:rPr>
          <w:bCs/>
          <w:szCs w:val="24"/>
        </w:rPr>
        <w:t>收集至一般固废间</w:t>
      </w:r>
      <w:r>
        <w:rPr>
          <w:rFonts w:hint="eastAsia"/>
          <w:bCs/>
          <w:szCs w:val="24"/>
        </w:rPr>
        <w:t>（</w:t>
      </w:r>
      <w:r>
        <w:rPr>
          <w:rFonts w:hint="eastAsia"/>
        </w:rPr>
        <w:t>5m</w:t>
      </w:r>
      <w:r>
        <w:rPr>
          <w:vertAlign w:val="superscript"/>
        </w:rPr>
        <w:t>2</w:t>
      </w:r>
      <w:r>
        <w:rPr>
          <w:rFonts w:hint="eastAsia"/>
          <w:bCs/>
          <w:szCs w:val="24"/>
        </w:rPr>
        <w:t>）</w:t>
      </w:r>
      <w:r>
        <w:rPr>
          <w:bCs/>
          <w:szCs w:val="24"/>
        </w:rPr>
        <w:t>暂存后，</w:t>
      </w:r>
      <w:r>
        <w:rPr>
          <w:rFonts w:hint="eastAsia"/>
          <w:bCs/>
          <w:szCs w:val="24"/>
        </w:rPr>
        <w:t>定期外售。</w:t>
      </w:r>
    </w:p>
    <w:p w14:paraId="1D3EF091">
      <w:pPr>
        <w:ind w:firstLine="480"/>
        <w:rPr>
          <w:bCs/>
        </w:rPr>
      </w:pPr>
      <w:r>
        <w:rPr>
          <w:bCs/>
          <w:szCs w:val="24"/>
        </w:rPr>
        <w:t>根据《一般工业固体废物贮存和填埋污染控制标准》（GB18599-2020），采用库房贮存一般工业固体废物过程的污染控制，不适用本标准，其贮存过程应满足相应防渗漏、防雨淋、防扬尘等环境保护要求。</w:t>
      </w:r>
    </w:p>
    <w:p w14:paraId="1D3EF092">
      <w:pPr>
        <w:pStyle w:val="6"/>
        <w:ind w:left="0" w:firstLine="482" w:firstLineChars="200"/>
        <w:rPr>
          <w:snapToGrid w:val="0"/>
        </w:rPr>
      </w:pPr>
      <w:r>
        <w:rPr>
          <w:snapToGrid w:val="0"/>
        </w:rPr>
        <w:t>危险废物管理措施</w:t>
      </w:r>
    </w:p>
    <w:p w14:paraId="269520FC">
      <w:pPr>
        <w:spacing w:line="500" w:lineRule="exact"/>
        <w:ind w:firstLine="480"/>
        <w:rPr>
          <w:u w:val="single"/>
        </w:rPr>
      </w:pPr>
      <w:bookmarkStart w:id="350" w:name="_Toc104880009"/>
      <w:r>
        <w:rPr>
          <w:u w:val="single"/>
        </w:rPr>
        <w:t>本项目产生的危险固废主要为</w:t>
      </w:r>
      <w:r>
        <w:rPr>
          <w:rFonts w:hint="eastAsia"/>
          <w:u w:val="single"/>
        </w:rPr>
        <w:t>化验室产生的化验室废物、生产过程过滤和离心、污水处理站产生的污泥和污油、废气治理设施产生的废活性炭、加热制冷设施产生的废导热油，收集后暂存于</w:t>
      </w:r>
      <w:r>
        <w:rPr>
          <w:u w:val="single"/>
        </w:rPr>
        <w:t>危废</w:t>
      </w:r>
      <w:r>
        <w:rPr>
          <w:rFonts w:hint="eastAsia"/>
          <w:u w:val="single"/>
        </w:rPr>
        <w:t>贮存库</w:t>
      </w:r>
      <w:r>
        <w:rPr>
          <w:u w:val="single"/>
        </w:rPr>
        <w:t>（</w:t>
      </w:r>
      <w:r>
        <w:rPr>
          <w:rFonts w:hint="eastAsia"/>
          <w:u w:val="single"/>
        </w:rPr>
        <w:t>50</w:t>
      </w:r>
      <w:r>
        <w:rPr>
          <w:u w:val="single"/>
        </w:rPr>
        <w:t>m</w:t>
      </w:r>
      <w:r>
        <w:rPr>
          <w:u w:val="single"/>
          <w:vertAlign w:val="superscript"/>
        </w:rPr>
        <w:t>2</w:t>
      </w:r>
      <w:r>
        <w:rPr>
          <w:u w:val="single"/>
        </w:rPr>
        <w:t>）。</w:t>
      </w:r>
    </w:p>
    <w:p w14:paraId="5166C7A5">
      <w:pPr>
        <w:spacing w:line="500" w:lineRule="exact"/>
        <w:ind w:firstLine="480"/>
      </w:pPr>
      <w:r>
        <w:t>建设单位危险废物根据理化性质应采用耐腐蚀、耐压、密封的塑料</w:t>
      </w:r>
      <w:r>
        <w:rPr>
          <w:rFonts w:hint="eastAsia"/>
        </w:rPr>
        <w:t>或</w:t>
      </w:r>
      <w:r>
        <w:t>金属桶</w:t>
      </w:r>
      <w:r>
        <w:rPr>
          <w:rFonts w:hint="eastAsia"/>
        </w:rPr>
        <w:t>、双层袋</w:t>
      </w:r>
      <w:r>
        <w:t>进行盛装，并在危废贮存库内分类、分区存放。为防止发生二次污染，危废</w:t>
      </w:r>
      <w:r>
        <w:rPr>
          <w:rFonts w:hint="eastAsia"/>
        </w:rPr>
        <w:t>贮存库</w:t>
      </w:r>
      <w:r>
        <w:t>应严格按</w:t>
      </w:r>
      <w:bookmarkStart w:id="351" w:name="_Hlk141115985"/>
      <w:r>
        <w:t>《危险废物贮存污染控制标准》（GB18597-2023</w:t>
      </w:r>
      <w:r>
        <w:rPr>
          <w:rFonts w:hint="eastAsia"/>
        </w:rPr>
        <w:t>）</w:t>
      </w:r>
      <w:bookmarkEnd w:id="351"/>
      <w:r>
        <w:t>、《危险废物规范化管理指标体系》（2016）和《河南省危险废物规范化管理工作指南》的规定执行，主要有以下要求</w:t>
      </w:r>
      <w:r>
        <w:rPr>
          <w:rFonts w:hint="eastAsia"/>
        </w:rPr>
        <w:t>。</w:t>
      </w:r>
    </w:p>
    <w:p w14:paraId="6F05E286">
      <w:pPr>
        <w:spacing w:line="500" w:lineRule="exact"/>
        <w:ind w:firstLine="480"/>
      </w:pPr>
      <w:r>
        <w:rPr>
          <w:rFonts w:hint="eastAsia"/>
        </w:rPr>
        <w:t>（1）</w:t>
      </w:r>
      <w:r>
        <w:t>危废</w:t>
      </w:r>
      <w:r>
        <w:rPr>
          <w:rFonts w:hint="eastAsia"/>
        </w:rPr>
        <w:t>贮存库采取防风、防晒、防雨、防漏、防渗、防腐以及其他环境污染防治措施，不应露天堆放危险废物。</w:t>
      </w:r>
    </w:p>
    <w:p w14:paraId="4FD029DC">
      <w:pPr>
        <w:spacing w:line="500" w:lineRule="exact"/>
        <w:ind w:firstLine="480"/>
      </w:pPr>
      <w:r>
        <w:rPr>
          <w:rFonts w:hint="eastAsia"/>
        </w:rPr>
        <w:t>（2）</w:t>
      </w:r>
      <w:r>
        <w:t>危废</w:t>
      </w:r>
      <w:r>
        <w:rPr>
          <w:rFonts w:hint="eastAsia"/>
        </w:rPr>
        <w:t>贮存库应根据危险废物的类别、数量、形态、物理化学性质和污染防治等要求设置必要的贮存分区，避免不相容的危险废物接触、混合。</w:t>
      </w:r>
    </w:p>
    <w:p w14:paraId="7FE2CE6F">
      <w:pPr>
        <w:spacing w:line="500" w:lineRule="exact"/>
        <w:ind w:firstLine="480"/>
      </w:pPr>
      <w:r>
        <w:rPr>
          <w:rFonts w:hint="eastAsia"/>
        </w:rPr>
        <w:t>（3）</w:t>
      </w:r>
      <w:r>
        <w:t>危废</w:t>
      </w:r>
      <w:r>
        <w:rPr>
          <w:rFonts w:hint="eastAsia"/>
        </w:rPr>
        <w:t>贮存库地面、墙面裙脚、堵截泄漏的围堰、接触危险废物的隔板和墙体等应采用坚固的材料建造，表面无裂缝。</w:t>
      </w:r>
    </w:p>
    <w:p w14:paraId="3B167FA5">
      <w:pPr>
        <w:spacing w:line="500" w:lineRule="exact"/>
        <w:ind w:firstLine="480"/>
      </w:pPr>
      <w:r>
        <w:rPr>
          <w:rFonts w:hint="eastAsia"/>
        </w:rPr>
        <w:t>（4）</w:t>
      </w:r>
      <w:r>
        <w:t>危废</w:t>
      </w:r>
      <w:r>
        <w:rPr>
          <w:rFonts w:hint="eastAsia"/>
        </w:rPr>
        <w:t>贮存库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层（渗透系数不大于10cm/s），或至少2mm厚高密度聚乙烯膜等人工防渗材料(渗透系数不大于1-10cm/s)，或其他防渗性能等效的材料。</w:t>
      </w:r>
    </w:p>
    <w:p w14:paraId="692BB894">
      <w:pPr>
        <w:spacing w:line="500" w:lineRule="exact"/>
        <w:ind w:firstLine="480"/>
      </w:pPr>
      <w:r>
        <w:rPr>
          <w:rFonts w:hint="eastAsia"/>
        </w:rPr>
        <w:t>（5）贮存库应采取技术和管理措施防止无关人员进入。</w:t>
      </w:r>
    </w:p>
    <w:p w14:paraId="4D54E539">
      <w:pPr>
        <w:spacing w:line="500" w:lineRule="exact"/>
        <w:ind w:firstLine="480"/>
      </w:pPr>
      <w:r>
        <w:rPr>
          <w:rFonts w:hint="eastAsia"/>
        </w:rPr>
        <w:t>（</w:t>
      </w:r>
      <w:r>
        <w:t>6</w:t>
      </w:r>
      <w:r>
        <w:rPr>
          <w:rFonts w:hint="eastAsia"/>
        </w:rPr>
        <w:t>）贮存库内不同贮存分区之间应采取隔离措施。隔离措施可根据危险废物特性采用过道、隔板或隔墙等方式。</w:t>
      </w:r>
    </w:p>
    <w:p w14:paraId="09E9184B">
      <w:pPr>
        <w:spacing w:line="500" w:lineRule="exact"/>
        <w:ind w:firstLine="480"/>
      </w:pPr>
      <w:r>
        <w:rPr>
          <w:rFonts w:hint="eastAsia"/>
        </w:rPr>
        <w:t>（</w:t>
      </w:r>
      <w:r>
        <w:t>7</w:t>
      </w:r>
      <w:r>
        <w:rPr>
          <w:rFonts w:hint="eastAsia"/>
        </w:rPr>
        <w:t>）在贮存库内或通过贮存分区方式贮存液态危险废物的，应具有液体泄漏堵截设施，堵截设施最小容积不应低于对应贮存区域最大液态废物容器容积或液态废物总储量1/10（二者取较大者）：用于存可能产生渗滤液的危险废物的贮存库或贮存分区应设计渗滤液收集设施，收集设施容积应满足渗滤液的收集要求。</w:t>
      </w:r>
    </w:p>
    <w:p w14:paraId="1D3EF096">
      <w:pPr>
        <w:spacing w:line="500" w:lineRule="exact"/>
        <w:ind w:firstLine="480"/>
      </w:pPr>
      <w:r>
        <w:rPr>
          <w:rFonts w:hint="eastAsia"/>
        </w:rPr>
        <w:t>（8）</w:t>
      </w:r>
      <w:r>
        <w:t>按照有关要求设置明显规范的警示标识；</w:t>
      </w:r>
    </w:p>
    <w:p w14:paraId="1D3EF099">
      <w:pPr>
        <w:ind w:firstLine="480"/>
      </w:pPr>
      <w:r>
        <w:t>（</w:t>
      </w:r>
      <w:r>
        <w:rPr>
          <w:rFonts w:hint="eastAsia"/>
        </w:rPr>
        <w:t>9</w:t>
      </w:r>
      <w:r>
        <w:t>）制定相应的管理制度，做好危险废物情况的记录，记录上必须注明危险废物的名称、来源、数量、特性和包装容器的类别、废物出入库日期及处置去向。</w:t>
      </w:r>
    </w:p>
    <w:p w14:paraId="62242981">
      <w:pPr>
        <w:pStyle w:val="2"/>
        <w:spacing w:after="0"/>
        <w:ind w:firstLine="480"/>
      </w:pPr>
      <w:r>
        <w:t>危险废物</w:t>
      </w:r>
      <w:r>
        <w:rPr>
          <w:rFonts w:hint="eastAsia"/>
        </w:rPr>
        <w:t>贮存库内</w:t>
      </w:r>
      <w:r>
        <w:t>符合《危险废物贮存污染控制标准》（GB18597-2023</w:t>
      </w:r>
      <w:r>
        <w:rPr>
          <w:rFonts w:hint="eastAsia"/>
        </w:rPr>
        <w:t>）</w:t>
      </w:r>
      <w:r>
        <w:t>、</w:t>
      </w:r>
      <w:r>
        <w:rPr>
          <w:bCs/>
        </w:rPr>
        <w:t>《危险废物收集贮存运输技术规范》（HJ2025-2012）</w:t>
      </w:r>
      <w:r>
        <w:t>对危险废物的暂存要求。为了避免危险废物在厂区贮存过程中对环境的影响，评价要求工程应将其全部装入密闭容器中后临时存放于危废</w:t>
      </w:r>
      <w:r>
        <w:rPr>
          <w:rFonts w:hint="eastAsia"/>
        </w:rPr>
        <w:t>贮存库</w:t>
      </w:r>
      <w:r>
        <w:t>内，定期送有相应危废处置资质的单位处置；在危废的转移处置过程中，应严格按照《中华人民共和国固体废物污染环境防治法》和《危险废物转移联单管理办法》有关规定执行。</w:t>
      </w:r>
    </w:p>
    <w:p w14:paraId="4498E929">
      <w:pPr>
        <w:spacing w:line="500" w:lineRule="exact"/>
        <w:ind w:firstLine="480"/>
      </w:pPr>
      <w:r>
        <w:t>危险废物收集和运输过程的污染防治措施：</w:t>
      </w:r>
    </w:p>
    <w:p w14:paraId="3935950C">
      <w:pPr>
        <w:spacing w:line="500" w:lineRule="exact"/>
        <w:ind w:firstLine="480"/>
      </w:pPr>
      <w:r>
        <w:t>危险废物应按照《危险废物收集 贮存 运输技术规范》(HJ2025-2012)要求，在收集和运输过程中采取相关措施。</w:t>
      </w:r>
    </w:p>
    <w:p w14:paraId="57A3CE51">
      <w:pPr>
        <w:spacing w:line="500" w:lineRule="exact"/>
        <w:ind w:firstLine="480"/>
      </w:pPr>
      <w:r>
        <w:t>（1）在厂区内部转运时应采取的措施</w:t>
      </w:r>
    </w:p>
    <w:p w14:paraId="422ED4EA">
      <w:pPr>
        <w:spacing w:line="500" w:lineRule="exact"/>
        <w:ind w:firstLine="480"/>
      </w:pPr>
      <w:r>
        <w:t>危险废物从厂区内产生工艺环节运输到危废贮存库，应有专人负责，专用桶收集、转运，避免可能引起的散落、泄漏。</w:t>
      </w:r>
    </w:p>
    <w:p w14:paraId="19AAE688">
      <w:pPr>
        <w:spacing w:line="500" w:lineRule="exact"/>
        <w:ind w:firstLine="480"/>
      </w:pPr>
      <w:r>
        <w:t>危险废物内部转运作业应采用专用的工具，危险废物内部转运应填写《危险废物厂内转运记录表》，危险废物内部转运结束后，应对转运路线进行检查和清理，确保无危险废物遗失在转运路线上，并对转运工具进行清洗。</w:t>
      </w:r>
    </w:p>
    <w:p w14:paraId="4C5ABADC">
      <w:pPr>
        <w:spacing w:line="500" w:lineRule="exact"/>
        <w:ind w:firstLine="480"/>
      </w:pPr>
      <w:r>
        <w:t>（2）外部转移运输环节应采取的措施：</w:t>
      </w:r>
    </w:p>
    <w:p w14:paraId="4FBF6063">
      <w:pPr>
        <w:spacing w:line="500" w:lineRule="exact"/>
        <w:ind w:firstLine="480"/>
      </w:pPr>
      <w:r>
        <w:t>对危险废物的转移运输应按《危险废物转移管理办法》（部令第23号）的规定报批危险废物转移计划，填写好转运联单，并必须交由有资质的单位承运。做好外运处置废弃物的运输等级登记，认真填写危险废物转移联单(每种废物填写一份联单)，并加盖公司公章，经运输单位核实验收签字后，将联单第一联副联自留存档，将联单第二联交移出地环境保护行政主管部门，第三联及其余联交付运输单位，随危险废物转移运行，将第四联交接收单位，第五联交接收地环保局。</w:t>
      </w:r>
    </w:p>
    <w:p w14:paraId="7BE1A754">
      <w:pPr>
        <w:spacing w:line="500" w:lineRule="exact"/>
        <w:ind w:firstLine="480"/>
      </w:pPr>
      <w:r>
        <w:t>危险废物的运输要求：</w:t>
      </w:r>
    </w:p>
    <w:p w14:paraId="1ADD3AE7">
      <w:pPr>
        <w:spacing w:line="500" w:lineRule="exact"/>
        <w:ind w:firstLine="480"/>
      </w:pPr>
      <w:r>
        <w:t>运输危险废物的，应当遵守国家有关危险货物运输管理的规定。未经公安机关批准，危险废物运输车辆不得进入危险货物运输车辆限制通行的区域。</w:t>
      </w:r>
    </w:p>
    <w:p w14:paraId="34296D49">
      <w:pPr>
        <w:spacing w:line="500" w:lineRule="exact"/>
        <w:ind w:firstLine="480"/>
      </w:pPr>
      <w:r>
        <w:t>按照危险废物污染环境防治和危险货物运输相关规定运行危险废物，记录运输轨迹、防范危险废物丢失、包装破损、泄漏或者发生突发环境事件。</w:t>
      </w:r>
    </w:p>
    <w:p w14:paraId="34525A4B">
      <w:pPr>
        <w:spacing w:line="500" w:lineRule="exact"/>
        <w:ind w:firstLine="480"/>
      </w:pPr>
      <w:r>
        <w:t>危险废物运输应由持有危险废物经营许可证的单位按照其许可证的经营范围组织实施，承担危险废物运输的单位应获得交通运输部门颁发的危险货物运输资质。</w:t>
      </w:r>
    </w:p>
    <w:p w14:paraId="565EC1BE">
      <w:pPr>
        <w:spacing w:line="500" w:lineRule="exact"/>
        <w:ind w:firstLine="480"/>
      </w:pPr>
      <w:r>
        <w:t>运输危险公路运输应按照《道路危险货物运输管理规定》（交通部令[2005]年第9号）、JT617以及JT618执行。</w:t>
      </w:r>
    </w:p>
    <w:p w14:paraId="0C3B6F57">
      <w:pPr>
        <w:spacing w:line="500" w:lineRule="exact"/>
        <w:ind w:firstLine="480"/>
      </w:pPr>
      <w:r>
        <w:t>运输单位承运危险废物时，应在危险废物包装上按照GB18597附录A设置标志。</w:t>
      </w:r>
    </w:p>
    <w:p w14:paraId="5F2B23DC">
      <w:pPr>
        <w:spacing w:line="500" w:lineRule="exact"/>
        <w:ind w:firstLine="480"/>
      </w:pPr>
      <w:r>
        <w:t>危险废物公路运输时，运输车辆应按GB13392设置车辆标志。</w:t>
      </w:r>
    </w:p>
    <w:p w14:paraId="150BA529">
      <w:pPr>
        <w:spacing w:line="500" w:lineRule="exact"/>
        <w:ind w:firstLine="480"/>
      </w:pPr>
      <w:r>
        <w:t>危险废物运输时的中转、装卸过程应遵守如下技术要求：</w:t>
      </w:r>
      <w:r>
        <w:rPr>
          <w:rFonts w:hint="eastAsia" w:ascii="宋体" w:hAnsi="宋体" w:cs="宋体"/>
        </w:rPr>
        <w:t>①</w:t>
      </w:r>
      <w:r>
        <w:t>卸载区的工作人员应熟悉废物的危险特性，并配备适当的个人防护设备。</w:t>
      </w:r>
      <w:r>
        <w:rPr>
          <w:rFonts w:hint="eastAsia" w:ascii="宋体" w:hAnsi="宋体" w:cs="宋体"/>
        </w:rPr>
        <w:t>②</w:t>
      </w:r>
      <w:r>
        <w:t>卸载区应配备必要的消防设备和设施，并设置明显的指示标志；</w:t>
      </w:r>
      <w:r>
        <w:rPr>
          <w:rFonts w:hint="eastAsia" w:ascii="宋体" w:hAnsi="宋体" w:cs="宋体"/>
        </w:rPr>
        <w:t>③</w:t>
      </w:r>
      <w:r>
        <w:t>危险废物装卸区应设置隔离设施，液态废物卸载区应设置收集槽和缓冲罐。</w:t>
      </w:r>
    </w:p>
    <w:p w14:paraId="1D3EF0AA">
      <w:pPr>
        <w:pStyle w:val="2"/>
        <w:spacing w:after="0"/>
        <w:ind w:firstLine="480"/>
      </w:pPr>
      <w:r>
        <w:t>综上所述，本工程固废能够实现综合利用和安全处置，并采取相应的固废污染防治措施，预计不会对周边环境产生明显的不良影响。</w:t>
      </w:r>
    </w:p>
    <w:p w14:paraId="1D3EF0AB">
      <w:pPr>
        <w:pStyle w:val="5"/>
        <w:spacing w:before="240" w:after="240"/>
      </w:pPr>
      <w:bookmarkStart w:id="352" w:name="_Toc114215008"/>
      <w:r>
        <w:t>地下水污染防治措施</w:t>
      </w:r>
      <w:bookmarkEnd w:id="350"/>
      <w:r>
        <w:t>可行性分析</w:t>
      </w:r>
      <w:bookmarkEnd w:id="352"/>
    </w:p>
    <w:p w14:paraId="5EA7F4E0">
      <w:pPr>
        <w:spacing w:line="500" w:lineRule="exact"/>
        <w:ind w:firstLine="480"/>
      </w:pPr>
      <w:r>
        <w:rPr>
          <w:rFonts w:hint="eastAsia"/>
        </w:rPr>
        <w:t>根据《环境影响技术评价导则 地下水环境》(HJ610-2016)的要求，地下水保护措施与对策应符合《中华人民共和国水污染防治法》的相关规定，按照“源头控制，分区防治，污染监控，应急响应”、突出饮用水安全的原则确定，项目地下水污染防治原则如下:</w:t>
      </w:r>
    </w:p>
    <w:p w14:paraId="6C6A29F6">
      <w:pPr>
        <w:spacing w:line="500" w:lineRule="exact"/>
        <w:ind w:firstLine="480"/>
      </w:pPr>
      <w:r>
        <w:rPr>
          <w:rFonts w:hint="eastAsia"/>
        </w:rPr>
        <w:t>（1）源头控制。主要包括在工艺、管道、设备、储存及处理构筑物采取相应措施防止和降低污染物跑、冒、滴、漏，将污染物泄漏的环境风险事故降到最低程度。</w:t>
      </w:r>
    </w:p>
    <w:p w14:paraId="3FD8B47C">
      <w:pPr>
        <w:spacing w:line="500" w:lineRule="exact"/>
        <w:ind w:firstLine="480"/>
      </w:pPr>
      <w:r>
        <w:rPr>
          <w:rFonts w:hint="eastAsia"/>
        </w:rPr>
        <w:t>（2）分区防治措施。结合建设项目各生产设备、管廊或管线、贮存与运输装置、污染物贮存与处理装置、事故应急装置等的布局，根据可能进入地下水环境的各种有毒有害原辅材料、中间物料和产品的泄漏（含跑、冒、滴、漏）量及其他各类污染物的性质、产生量和排放量，划分污染防治区，提出不同区域的地面防渗方案，给出具体的防渗材料及防渗标准要求，建立防渗设施的检漏系统。</w:t>
      </w:r>
    </w:p>
    <w:p w14:paraId="7790C519">
      <w:pPr>
        <w:spacing w:line="500" w:lineRule="exact"/>
        <w:ind w:firstLine="480"/>
      </w:pPr>
      <w:r>
        <w:rPr>
          <w:rFonts w:hint="eastAsia"/>
        </w:rPr>
        <w:t>（3）地下水污染监控。建立场地区地下水环境监控体系，包括建立地下水污染监控制度和环境管理体系、制定监测计划、配备先进的检测仪器和设备，以便及时发现问题，及时采取措施。</w:t>
      </w:r>
    </w:p>
    <w:p w14:paraId="1D3EF0AC">
      <w:pPr>
        <w:spacing w:line="500" w:lineRule="exact"/>
        <w:ind w:firstLine="480"/>
      </w:pPr>
      <w:r>
        <w:rPr>
          <w:rFonts w:hint="eastAsia"/>
        </w:rPr>
        <w:t>（4）制定地下水风险事故应急响应预案。明确风险非正常状况下应采取的封闭、截流等措施，提出防止受污染的地下水扩散和对受污染的地下水进行治理的方案。</w:t>
      </w:r>
    </w:p>
    <w:p w14:paraId="1D3EF0AD">
      <w:pPr>
        <w:pStyle w:val="6"/>
        <w:ind w:left="0" w:firstLine="482" w:firstLineChars="200"/>
        <w:rPr>
          <w:snapToGrid w:val="0"/>
        </w:rPr>
      </w:pPr>
      <w:r>
        <w:rPr>
          <w:snapToGrid w:val="0"/>
        </w:rPr>
        <w:t>源头控制措施</w:t>
      </w:r>
    </w:p>
    <w:p w14:paraId="789C54A1">
      <w:pPr>
        <w:spacing w:line="500" w:lineRule="exact"/>
        <w:ind w:firstLine="480"/>
      </w:pPr>
      <w:r>
        <w:rPr>
          <w:rFonts w:hint="eastAsia"/>
        </w:rPr>
        <w:t>为了保护地下水环境，采取措施从源头上控制对地下水的污染。</w:t>
      </w:r>
    </w:p>
    <w:p w14:paraId="20679076">
      <w:pPr>
        <w:spacing w:line="500" w:lineRule="exact"/>
        <w:ind w:firstLine="480"/>
      </w:pPr>
      <w:r>
        <w:rPr>
          <w:rFonts w:hint="eastAsia"/>
        </w:rPr>
        <w:t>（1）本项目将选择先进、成熟、可靠的工艺技术和较清洁的原辅材料，减少废水、废气、固废等污染物的排放量。</w:t>
      </w:r>
    </w:p>
    <w:p w14:paraId="401DCEF7">
      <w:pPr>
        <w:spacing w:line="500" w:lineRule="exact"/>
        <w:ind w:firstLine="480"/>
      </w:pPr>
      <w:r>
        <w:rPr>
          <w:rFonts w:hint="eastAsia"/>
        </w:rPr>
        <w:t>（2）严格按照国家相关规范要求，工艺装置、管道、设备、污水和固废储存及处理构筑物均采取对应的防渗或防腐措施，防止和降低污染物的跑、冒、滴、漏，将污染物泄露的环境风险事故降低到最低程度。</w:t>
      </w:r>
    </w:p>
    <w:p w14:paraId="5299BA3D">
      <w:pPr>
        <w:spacing w:line="500" w:lineRule="exact"/>
        <w:ind w:firstLine="480"/>
      </w:pPr>
      <w:r>
        <w:rPr>
          <w:rFonts w:hint="eastAsia"/>
        </w:rPr>
        <w:t>（3）危废贮存仓库均为单元式货架，避免危险废物与地面的直接接触，危险废物均使用符合规范的容器收集，源头避免了危废贮存渗滤液的产生。</w:t>
      </w:r>
    </w:p>
    <w:p w14:paraId="1D3EF0B0">
      <w:pPr>
        <w:spacing w:line="500" w:lineRule="exact"/>
        <w:ind w:firstLine="480"/>
      </w:pPr>
      <w:r>
        <w:rPr>
          <w:rFonts w:hint="eastAsia"/>
        </w:rPr>
        <w:t>（4）工艺废水、初期雨水等在厂界内收集后通过管线送预处理设施或污水处理站处理；管线敷设尽量采用“可视化”原则，即管道尽可能地上敷设，做到污染物“早发现、早处理”，且定期巡视，及时发现泄漏避免污染地下水。</w:t>
      </w:r>
    </w:p>
    <w:p w14:paraId="1D3EF0B1">
      <w:pPr>
        <w:pStyle w:val="6"/>
        <w:ind w:left="0" w:firstLine="482" w:firstLineChars="200"/>
        <w:rPr>
          <w:snapToGrid w:val="0"/>
        </w:rPr>
      </w:pPr>
      <w:r>
        <w:rPr>
          <w:snapToGrid w:val="0"/>
        </w:rPr>
        <w:t>分区防渗措施</w:t>
      </w:r>
    </w:p>
    <w:p w14:paraId="52379BD2">
      <w:pPr>
        <w:spacing w:line="500" w:lineRule="exact"/>
        <w:ind w:firstLine="480"/>
        <w:rPr>
          <w:szCs w:val="24"/>
        </w:rPr>
      </w:pPr>
      <w:r>
        <w:rPr>
          <w:rFonts w:hint="eastAsia"/>
          <w:szCs w:val="24"/>
        </w:rPr>
        <w:t>根据厂区可能泄漏至地面区域污染物的性质和生产单元的构筑方式，以及潜在的地下水污染源分类分析，将厂区划分为简单防渗区、一般防渗区和重点防渗区，并按照不同分区要求，采取不同等级的防渗措施，并确保其可靠性和有效性。简单防渗区为非污染区，满足地面硬化要求；一般污染区的防渗设计参照 HJ610-2016中表7中提出防渗技术要求；重点防渗区的防渗设计参照《危险废物贮存污染控制标准》（GB18597-2023）和HJ610-2016中表7中提出防渗技术要求等要求。</w:t>
      </w:r>
    </w:p>
    <w:p w14:paraId="3A61AADF">
      <w:pPr>
        <w:spacing w:line="500" w:lineRule="exact"/>
        <w:ind w:firstLine="480"/>
        <w:outlineLvl w:val="4"/>
        <w:rPr>
          <w:szCs w:val="24"/>
        </w:rPr>
      </w:pPr>
      <w:r>
        <w:rPr>
          <w:rFonts w:hint="eastAsia"/>
          <w:szCs w:val="24"/>
        </w:rPr>
        <w:t>1、防渗工程设计标准</w:t>
      </w:r>
    </w:p>
    <w:p w14:paraId="268AF7C2">
      <w:pPr>
        <w:spacing w:line="500" w:lineRule="exact"/>
        <w:ind w:firstLine="480"/>
        <w:rPr>
          <w:szCs w:val="24"/>
        </w:rPr>
      </w:pPr>
      <w:r>
        <w:rPr>
          <w:rFonts w:hint="eastAsia"/>
          <w:szCs w:val="24"/>
        </w:rPr>
        <w:t>石油化工设备、地下管道或建、构筑物防渗的设计使用年限分别不低于相应设备、地下管道或建、构筑物的设计使用年限。</w:t>
      </w:r>
    </w:p>
    <w:p w14:paraId="5651D8CD">
      <w:pPr>
        <w:spacing w:line="500" w:lineRule="exact"/>
        <w:ind w:firstLine="480"/>
        <w:rPr>
          <w:szCs w:val="24"/>
        </w:rPr>
      </w:pPr>
      <w:r>
        <w:rPr>
          <w:rFonts w:hint="eastAsia"/>
          <w:szCs w:val="24"/>
        </w:rPr>
        <w:t>一般污染防治区防渗层的防渗性能应不低于1.5m厚渗透系数为1</w:t>
      </w:r>
      <w:r>
        <w:rPr>
          <w:szCs w:val="24"/>
        </w:rPr>
        <w:t>×</w:t>
      </w:r>
      <w:r>
        <w:rPr>
          <w:rFonts w:hint="eastAsia"/>
          <w:szCs w:val="24"/>
        </w:rPr>
        <w:t>10</w:t>
      </w:r>
      <w:r>
        <w:rPr>
          <w:rFonts w:hint="eastAsia"/>
          <w:szCs w:val="24"/>
          <w:vertAlign w:val="superscript"/>
        </w:rPr>
        <w:t>-7</w:t>
      </w:r>
      <w:r>
        <w:rPr>
          <w:rFonts w:hint="eastAsia"/>
          <w:szCs w:val="24"/>
        </w:rPr>
        <w:t>cm/s的粘土层的防渗性能；重点污染防治区防渗层的防渗性能应不低于6.0m厚渗透系数为1</w:t>
      </w:r>
      <w:r>
        <w:rPr>
          <w:szCs w:val="24"/>
        </w:rPr>
        <w:t>×</w:t>
      </w:r>
      <w:r>
        <w:rPr>
          <w:rFonts w:hint="eastAsia"/>
          <w:szCs w:val="24"/>
        </w:rPr>
        <w:t>10</w:t>
      </w:r>
      <w:r>
        <w:rPr>
          <w:rFonts w:hint="eastAsia"/>
          <w:szCs w:val="24"/>
          <w:vertAlign w:val="superscript"/>
        </w:rPr>
        <w:t>-7</w:t>
      </w:r>
      <w:r>
        <w:rPr>
          <w:rFonts w:hint="eastAsia"/>
          <w:szCs w:val="24"/>
        </w:rPr>
        <w:t>cm/s的粘土层的防渗性能。</w:t>
      </w:r>
    </w:p>
    <w:p w14:paraId="1CF71734">
      <w:pPr>
        <w:spacing w:line="500" w:lineRule="exact"/>
        <w:ind w:firstLine="480"/>
        <w:outlineLvl w:val="4"/>
        <w:rPr>
          <w:szCs w:val="24"/>
        </w:rPr>
      </w:pPr>
      <w:r>
        <w:rPr>
          <w:rFonts w:hint="eastAsia"/>
          <w:szCs w:val="24"/>
        </w:rPr>
        <w:t>2、防渗分区</w:t>
      </w:r>
    </w:p>
    <w:p w14:paraId="4E41DA7D">
      <w:pPr>
        <w:spacing w:line="500" w:lineRule="exact"/>
        <w:ind w:firstLine="480"/>
        <w:rPr>
          <w:szCs w:val="24"/>
        </w:rPr>
      </w:pPr>
      <w:r>
        <w:rPr>
          <w:rFonts w:hint="eastAsia"/>
          <w:szCs w:val="24"/>
        </w:rPr>
        <w:t>参考《石油化工防渗工程技术规范》有关要求，结合物料或者污染物泄漏的途径和生产功能单元所处的位置，将本次工程划分为重点防渗区、一般防渗区、简单防渗区。</w:t>
      </w:r>
    </w:p>
    <w:p w14:paraId="07A9726B">
      <w:pPr>
        <w:spacing w:line="500" w:lineRule="exact"/>
        <w:ind w:firstLine="480"/>
        <w:rPr>
          <w:szCs w:val="24"/>
        </w:rPr>
      </w:pPr>
      <w:r>
        <w:rPr>
          <w:rFonts w:hint="eastAsia"/>
          <w:szCs w:val="24"/>
        </w:rPr>
        <w:t>重点防渗区：主要为原料区、聚醚改性硅油生产区、化验室、污水处理站、事故水池及污水管线管沟、</w:t>
      </w:r>
      <w:r>
        <w:rPr>
          <w:bCs/>
          <w:szCs w:val="24"/>
        </w:rPr>
        <w:t>危废</w:t>
      </w:r>
      <w:r>
        <w:rPr>
          <w:rFonts w:hint="eastAsia"/>
          <w:bCs/>
          <w:szCs w:val="24"/>
        </w:rPr>
        <w:t>贮存库</w:t>
      </w:r>
      <w:r>
        <w:rPr>
          <w:rFonts w:hint="eastAsia"/>
          <w:szCs w:val="24"/>
        </w:rPr>
        <w:t>等区域；防渗性能应与6.0m厚粘土层（渗透系数1.0×10</w:t>
      </w:r>
      <w:r>
        <w:rPr>
          <w:rFonts w:hint="eastAsia"/>
          <w:szCs w:val="24"/>
          <w:vertAlign w:val="superscript"/>
        </w:rPr>
        <w:t>-7</w:t>
      </w:r>
      <w:r>
        <w:rPr>
          <w:rFonts w:hint="eastAsia"/>
          <w:szCs w:val="24"/>
        </w:rPr>
        <w:t>cm/s）等效。</w:t>
      </w:r>
    </w:p>
    <w:p w14:paraId="0A973A22">
      <w:pPr>
        <w:spacing w:line="500" w:lineRule="exact"/>
        <w:ind w:firstLine="480"/>
        <w:rPr>
          <w:szCs w:val="24"/>
        </w:rPr>
      </w:pPr>
      <w:r>
        <w:rPr>
          <w:rFonts w:hint="eastAsia"/>
          <w:szCs w:val="24"/>
        </w:rPr>
        <w:t>一般防渗区：产品干燥包装区、产品缓存区、一般固废暂存间等；防渗性能应与1.5m厚粘土层（渗透系数1.0×10</w:t>
      </w:r>
      <w:r>
        <w:rPr>
          <w:rFonts w:hint="eastAsia"/>
          <w:szCs w:val="24"/>
          <w:vertAlign w:val="superscript"/>
        </w:rPr>
        <w:t>-7</w:t>
      </w:r>
      <w:r>
        <w:rPr>
          <w:rFonts w:hint="eastAsia"/>
          <w:szCs w:val="24"/>
        </w:rPr>
        <w:t>cm/s）等效。</w:t>
      </w:r>
    </w:p>
    <w:p w14:paraId="669DD3DC">
      <w:pPr>
        <w:spacing w:line="500" w:lineRule="exact"/>
        <w:ind w:firstLine="480"/>
        <w:rPr>
          <w:szCs w:val="24"/>
        </w:rPr>
      </w:pPr>
      <w:r>
        <w:rPr>
          <w:rFonts w:hint="eastAsia"/>
          <w:szCs w:val="24"/>
        </w:rPr>
        <w:t>简单防渗区：办公室、更衣室等；地面硬化或绿化，不要求防渗系数。</w:t>
      </w:r>
    </w:p>
    <w:p w14:paraId="7C84C593">
      <w:pPr>
        <w:spacing w:line="500" w:lineRule="exact"/>
        <w:ind w:firstLine="480"/>
        <w:outlineLvl w:val="4"/>
        <w:rPr>
          <w:szCs w:val="24"/>
          <w:u w:val="single"/>
        </w:rPr>
      </w:pPr>
      <w:r>
        <w:rPr>
          <w:rFonts w:hint="eastAsia"/>
          <w:szCs w:val="24"/>
          <w:u w:val="single"/>
        </w:rPr>
        <w:t>3、分区防渗措施</w:t>
      </w:r>
    </w:p>
    <w:p w14:paraId="36BABBF7">
      <w:pPr>
        <w:spacing w:line="500" w:lineRule="exact"/>
        <w:ind w:firstLine="480"/>
        <w:rPr>
          <w:szCs w:val="24"/>
          <w:u w:val="single"/>
        </w:rPr>
      </w:pPr>
      <w:r>
        <w:rPr>
          <w:rFonts w:hint="eastAsia"/>
          <w:szCs w:val="24"/>
          <w:u w:val="single"/>
        </w:rPr>
        <w:t>目前项目租赁厂房地面防渗情况为：地面上覆盖20cm水泥混凝土C30，不能满足本项目重点防渗和一般防渗区的要求，故在此基础上应对重点防渗区和一般防渗区进行进一步的防渗。</w:t>
      </w:r>
    </w:p>
    <w:p w14:paraId="0808B180">
      <w:pPr>
        <w:spacing w:line="500" w:lineRule="exact"/>
        <w:ind w:firstLine="480"/>
        <w:rPr>
          <w:szCs w:val="24"/>
          <w:u w:val="single"/>
        </w:rPr>
      </w:pPr>
      <w:r>
        <w:rPr>
          <w:rFonts w:hint="eastAsia"/>
          <w:szCs w:val="24"/>
          <w:u w:val="single"/>
        </w:rPr>
        <w:t>（1）重点防渗区防渗区：对于项目原料区、聚醚改性硅油生产区、化验室、污水处理站、事故水池及污水管线管沟、</w:t>
      </w:r>
      <w:r>
        <w:rPr>
          <w:bCs/>
          <w:szCs w:val="24"/>
          <w:u w:val="single"/>
        </w:rPr>
        <w:t>危废</w:t>
      </w:r>
      <w:r>
        <w:rPr>
          <w:rFonts w:hint="eastAsia"/>
          <w:bCs/>
          <w:szCs w:val="24"/>
          <w:u w:val="single"/>
        </w:rPr>
        <w:t>贮存库</w:t>
      </w:r>
      <w:r>
        <w:rPr>
          <w:rFonts w:hint="eastAsia"/>
          <w:szCs w:val="24"/>
          <w:u w:val="single"/>
        </w:rPr>
        <w:t>等区域均在混凝土地面基础上进行重点防渗处理，防渗性能应与6.0m厚粘土层（渗透</w:t>
      </w:r>
      <w:r>
        <w:rPr>
          <w:szCs w:val="24"/>
          <w:u w:val="single"/>
        </w:rPr>
        <w:t>系数1.0×10</w:t>
      </w:r>
      <w:r>
        <w:rPr>
          <w:szCs w:val="24"/>
          <w:u w:val="single"/>
          <w:vertAlign w:val="superscript"/>
        </w:rPr>
        <w:t>-7</w:t>
      </w:r>
      <w:r>
        <w:rPr>
          <w:szCs w:val="24"/>
          <w:u w:val="single"/>
        </w:rPr>
        <w:t>cm/s）</w:t>
      </w:r>
      <w:r>
        <w:rPr>
          <w:rFonts w:hint="eastAsia"/>
          <w:szCs w:val="24"/>
          <w:u w:val="single"/>
        </w:rPr>
        <w:t>等效。底层为混凝土层；上层采用合成高密度人工防渗膜，厚度不宜小于1.50mm膜铺设应由中心坡向四周，坡度不宜小于1.5%；膜上、膜下应设置保护层，保护层可采用长丝无纺土工布，膜下保护层也可采用不含尖锐颗粒的砂层，厚度不宜小于100mm；膜上保护层以上应设置砂石层，厚度不宜小于200mm。对于事故池需要设置地下及半地下池时，应对池体进行防渗处理。</w:t>
      </w:r>
    </w:p>
    <w:p w14:paraId="508E398A">
      <w:pPr>
        <w:spacing w:line="500" w:lineRule="exact"/>
        <w:ind w:firstLine="480"/>
        <w:rPr>
          <w:szCs w:val="24"/>
          <w:u w:val="single"/>
        </w:rPr>
      </w:pPr>
      <w:r>
        <w:rPr>
          <w:rFonts w:hint="eastAsia"/>
          <w:szCs w:val="24"/>
          <w:u w:val="single"/>
        </w:rPr>
        <w:t>（2）一般防渗区防渗区：对于色浆生产区、成品区、一般固废暂存间等区域</w:t>
      </w:r>
      <w:r>
        <w:rPr>
          <w:szCs w:val="24"/>
          <w:u w:val="single"/>
        </w:rPr>
        <w:t>均在混凝土地面基础上进行一般防渗处理，</w:t>
      </w:r>
      <w:r>
        <w:rPr>
          <w:iCs/>
          <w:szCs w:val="24"/>
          <w:u w:val="single"/>
        </w:rPr>
        <w:t>防渗性能应与1.5m厚粘土层（渗透系数1.0×10</w:t>
      </w:r>
      <w:r>
        <w:rPr>
          <w:iCs/>
          <w:szCs w:val="24"/>
          <w:u w:val="single"/>
          <w:vertAlign w:val="superscript"/>
        </w:rPr>
        <w:t>-7</w:t>
      </w:r>
      <w:r>
        <w:rPr>
          <w:iCs/>
          <w:szCs w:val="24"/>
          <w:u w:val="single"/>
        </w:rPr>
        <w:t>cm/s）等效。建议使用</w:t>
      </w:r>
      <w:r>
        <w:rPr>
          <w:szCs w:val="24"/>
          <w:u w:val="single"/>
        </w:rPr>
        <w:t>1m厚黏土层（渗透系数不大于1×10</w:t>
      </w:r>
      <w:r>
        <w:rPr>
          <w:szCs w:val="24"/>
          <w:u w:val="single"/>
          <w:vertAlign w:val="superscript"/>
        </w:rPr>
        <w:t>-7</w:t>
      </w:r>
      <w:r>
        <w:rPr>
          <w:szCs w:val="24"/>
          <w:u w:val="single"/>
        </w:rPr>
        <w:t>m/s），或2mm厚高密度聚乙烯，或至少2mm厚的其它人工材料（渗透系数不大于1×10</w:t>
      </w:r>
      <w:r>
        <w:rPr>
          <w:szCs w:val="24"/>
          <w:u w:val="single"/>
          <w:vertAlign w:val="superscript"/>
        </w:rPr>
        <w:t>-10</w:t>
      </w:r>
      <w:r>
        <w:rPr>
          <w:szCs w:val="24"/>
          <w:u w:val="single"/>
        </w:rPr>
        <w:t>m/s）</w:t>
      </w:r>
      <w:r>
        <w:rPr>
          <w:rFonts w:hint="eastAsia"/>
          <w:szCs w:val="24"/>
          <w:u w:val="single"/>
        </w:rPr>
        <w:t>。做</w:t>
      </w:r>
      <w:r>
        <w:rPr>
          <w:szCs w:val="24"/>
          <w:u w:val="single"/>
        </w:rPr>
        <w:t>好防风、防雨及防渗的</w:t>
      </w:r>
      <w:r>
        <w:rPr>
          <w:rFonts w:hint="eastAsia"/>
          <w:szCs w:val="24"/>
          <w:u w:val="single"/>
        </w:rPr>
        <w:t>“</w:t>
      </w:r>
      <w:r>
        <w:rPr>
          <w:szCs w:val="24"/>
          <w:u w:val="single"/>
        </w:rPr>
        <w:t>三防</w:t>
      </w:r>
      <w:r>
        <w:rPr>
          <w:rFonts w:hint="eastAsia"/>
          <w:szCs w:val="24"/>
          <w:u w:val="single"/>
        </w:rPr>
        <w:t>”</w:t>
      </w:r>
      <w:r>
        <w:rPr>
          <w:szCs w:val="24"/>
          <w:u w:val="single"/>
        </w:rPr>
        <w:t>措施，并保证其贮存过程中不易老化、破损和变形。</w:t>
      </w:r>
    </w:p>
    <w:p w14:paraId="7B424C41">
      <w:pPr>
        <w:pStyle w:val="2"/>
        <w:spacing w:after="0"/>
        <w:ind w:firstLine="480"/>
        <w:rPr>
          <w:u w:val="single"/>
        </w:rPr>
      </w:pPr>
      <w:r>
        <w:rPr>
          <w:rFonts w:hint="eastAsia"/>
          <w:u w:val="single"/>
        </w:rPr>
        <w:t>另外，车间地坪自下而上至少设垫层、防水层和防腐层三层。项目工艺废水管线按可视、可控原则排布，应采取地上明渠明管或架空敷设，废水管道应满足防腐、防渗漏要求，生产线区域、污水处理站、事故池、原料库和危废贮存库等易污染区地面应进行防渗处理。</w:t>
      </w:r>
    </w:p>
    <w:p w14:paraId="397453BF">
      <w:pPr>
        <w:ind w:firstLine="480"/>
        <w:rPr>
          <w:u w:val="single"/>
        </w:rPr>
      </w:pPr>
      <w:r>
        <w:rPr>
          <w:rFonts w:hint="eastAsia"/>
          <w:u w:val="single"/>
        </w:rPr>
        <w:t>各污染防治区在满足上述防渗要求的前提下，工程产生的固废必须堆放在固废贮存场内，贮存场必须有防雨、防渗、防流失的“三防”措施。</w:t>
      </w:r>
      <w:r>
        <w:rPr>
          <w:u w:val="single"/>
        </w:rPr>
        <w:t>综上所述，在落实环评所提的相关建议后，本项目产生的废水不会对区域地下水质量有较大影响，地下水质量仍维持现有水平。</w:t>
      </w:r>
    </w:p>
    <w:p w14:paraId="3EBDA339">
      <w:pPr>
        <w:pStyle w:val="2"/>
        <w:spacing w:after="0"/>
        <w:ind w:firstLine="480"/>
        <w:rPr>
          <w:iCs/>
          <w:u w:val="single"/>
        </w:rPr>
      </w:pPr>
      <w:r>
        <w:rPr>
          <w:rFonts w:hint="eastAsia"/>
          <w:u w:val="single"/>
        </w:rPr>
        <w:t>（3）非污染防渗区：要求进行地面硬化，未硬化部分进行绿化。</w:t>
      </w:r>
    </w:p>
    <w:p w14:paraId="0C2B9D93">
      <w:pPr>
        <w:pStyle w:val="2"/>
        <w:spacing w:after="0"/>
        <w:ind w:firstLine="480"/>
        <w:rPr>
          <w:u w:val="single"/>
        </w:rPr>
      </w:pPr>
      <w:r>
        <w:rPr>
          <w:rFonts w:hint="eastAsia"/>
          <w:u w:val="single"/>
        </w:rPr>
        <w:t>各污染防治区在满足上述防渗要求的前提下，厂区地面除绿化区外均要进行硬化处理；工程产生的固废必须堆放在固废贮存场内，贮存场必须有防雨、防渗、防流失的“三防”措施。</w:t>
      </w:r>
    </w:p>
    <w:p w14:paraId="7E290AD7">
      <w:pPr>
        <w:spacing w:line="500" w:lineRule="exact"/>
        <w:ind w:firstLine="480"/>
        <w:rPr>
          <w:szCs w:val="24"/>
        </w:rPr>
      </w:pPr>
      <w:r>
        <w:rPr>
          <w:u w:val="single"/>
        </w:rPr>
        <w:t>综上所述，在落实环评所提的相关建议后，本项目不会对区域地下水质量有较大影响，地下水质量仍维持现有水平</w:t>
      </w:r>
      <w:r>
        <w:rPr>
          <w:rFonts w:hint="eastAsia"/>
          <w:u w:val="single"/>
        </w:rPr>
        <w:t>。</w:t>
      </w:r>
    </w:p>
    <w:p w14:paraId="7D30D5DF">
      <w:pPr>
        <w:spacing w:line="500" w:lineRule="exact"/>
        <w:ind w:firstLine="480"/>
        <w:rPr>
          <w:szCs w:val="24"/>
        </w:rPr>
      </w:pPr>
      <w:r>
        <w:rPr>
          <w:rFonts w:hint="eastAsia"/>
          <w:szCs w:val="24"/>
        </w:rPr>
        <w:t>本次工程厂区防渗工程投资估算为10万元。项目厂区分区防渗区见下图。</w:t>
      </w:r>
    </w:p>
    <w:p w14:paraId="46DDE10A">
      <w:pPr>
        <w:pStyle w:val="2"/>
        <w:spacing w:after="0" w:line="360" w:lineRule="auto"/>
        <w:ind w:firstLine="0" w:firstLineChars="0"/>
        <w:jc w:val="center"/>
      </w:pPr>
      <w:r>
        <w:drawing>
          <wp:inline distT="0" distB="0" distL="0" distR="0">
            <wp:extent cx="5546725" cy="6616065"/>
            <wp:effectExtent l="0" t="0" r="15875" b="13335"/>
            <wp:docPr id="1264644387"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44387" name="图片 1" descr="图片包含 图示&#10;&#10;描述已自动生成"/>
                    <pic:cNvPicPr>
                      <a:picLocks noChangeAspect="1"/>
                    </pic:cNvPicPr>
                  </pic:nvPicPr>
                  <pic:blipFill>
                    <a:blip r:embed="rId161"/>
                    <a:stretch>
                      <a:fillRect/>
                    </a:stretch>
                  </pic:blipFill>
                  <pic:spPr>
                    <a:xfrm>
                      <a:off x="0" y="0"/>
                      <a:ext cx="5546725" cy="6623552"/>
                    </a:xfrm>
                    <a:prstGeom prst="rect">
                      <a:avLst/>
                    </a:prstGeom>
                  </pic:spPr>
                </pic:pic>
              </a:graphicData>
            </a:graphic>
          </wp:inline>
        </w:drawing>
      </w:r>
    </w:p>
    <w:p w14:paraId="5834D9D2">
      <w:pPr>
        <w:pStyle w:val="99"/>
        <w:ind w:firstLine="0" w:firstLineChars="0"/>
        <w:jc w:val="center"/>
        <w:rPr>
          <w:b/>
          <w:kern w:val="2"/>
          <w:szCs w:val="24"/>
          <w:u w:val="single"/>
        </w:rPr>
      </w:pPr>
      <w:r>
        <w:rPr>
          <w:rFonts w:hint="eastAsia"/>
          <w:b/>
          <w:kern w:val="2"/>
          <w:szCs w:val="24"/>
          <w:u w:val="single"/>
        </w:rPr>
        <w:t xml:space="preserve">图7.2-2  </w:t>
      </w:r>
      <w:r>
        <w:rPr>
          <w:b/>
          <w:kern w:val="2"/>
          <w:szCs w:val="24"/>
          <w:u w:val="single"/>
        </w:rPr>
        <w:t>厂区防渗示意图</w:t>
      </w:r>
    </w:p>
    <w:p w14:paraId="1D3EF0BF">
      <w:pPr>
        <w:pStyle w:val="6"/>
        <w:ind w:left="0" w:firstLine="482" w:firstLineChars="200"/>
        <w:rPr>
          <w:snapToGrid w:val="0"/>
        </w:rPr>
      </w:pPr>
      <w:r>
        <w:rPr>
          <w:rFonts w:hint="eastAsia"/>
          <w:snapToGrid w:val="0"/>
        </w:rPr>
        <w:t>地下水监测计划</w:t>
      </w:r>
    </w:p>
    <w:p w14:paraId="1D3EF0C0">
      <w:pPr>
        <w:ind w:firstLine="480"/>
        <w:rPr>
          <w:kern w:val="2"/>
        </w:rPr>
      </w:pPr>
      <w:r>
        <w:rPr>
          <w:rFonts w:hint="eastAsia"/>
          <w:kern w:val="2"/>
        </w:rPr>
        <w:t>本项目地下水环境监测依据《地下水环境监测技术规范》（HJ164-2020）、《工业企业土壤和地下水自行监测  技术指南（试行）》（HJ1209—2021），并结合项目区含水层系统和地下水径流系统特征，考虑潜在污染源、环境保护目标等因素，并结合模型预测的结果来布置地下水监测点。</w:t>
      </w:r>
    </w:p>
    <w:p w14:paraId="258DAA58">
      <w:pPr>
        <w:pStyle w:val="2"/>
        <w:spacing w:after="0"/>
        <w:ind w:firstLine="480"/>
        <w:outlineLvl w:val="4"/>
      </w:pPr>
      <w:r>
        <w:rPr>
          <w:rFonts w:hint="eastAsia"/>
        </w:rPr>
        <w:t>1、</w:t>
      </w:r>
      <w:r>
        <w:t>监测点布设</w:t>
      </w:r>
    </w:p>
    <w:p w14:paraId="46CCABE3">
      <w:pPr>
        <w:pStyle w:val="2"/>
        <w:spacing w:after="0"/>
        <w:ind w:firstLine="480"/>
      </w:pPr>
      <w:r>
        <w:t>本项目所在区域地下水流向由西</w:t>
      </w:r>
      <w:r>
        <w:rPr>
          <w:rFonts w:hint="eastAsia"/>
        </w:rPr>
        <w:t>北</w:t>
      </w:r>
      <w:r>
        <w:t>向东</w:t>
      </w:r>
      <w:r>
        <w:rPr>
          <w:rFonts w:hint="eastAsia"/>
        </w:rPr>
        <w:t>南</w:t>
      </w:r>
      <w:r>
        <w:t>流。项目位于</w:t>
      </w:r>
      <w:r>
        <w:rPr>
          <w:rFonts w:hint="eastAsia"/>
        </w:rPr>
        <w:t>卫辉市铁西（化工）园区</w:t>
      </w:r>
      <w:r>
        <w:t>内</w:t>
      </w:r>
      <w:r>
        <w:rPr>
          <w:rFonts w:hint="eastAsia"/>
        </w:rPr>
        <w:t>新乡市太行水泥粉磨有限公司厂区内，</w:t>
      </w:r>
      <w:r>
        <w:t>周边均为</w:t>
      </w:r>
      <w:r>
        <w:rPr>
          <w:rFonts w:hint="eastAsia"/>
        </w:rPr>
        <w:t>工业</w:t>
      </w:r>
      <w:r>
        <w:t>企业。根据《环境影响评价技术导则  地下水环境》（HJ610-2016），对于一级评价的项目，跟踪监测点一般不少于3个，应至少在建设项目场地，上、下游各布设1个。</w:t>
      </w:r>
    </w:p>
    <w:p w14:paraId="34EB0CF7">
      <w:pPr>
        <w:pStyle w:val="2"/>
        <w:spacing w:after="0"/>
        <w:ind w:firstLine="480"/>
        <w:outlineLvl w:val="4"/>
      </w:pPr>
      <w:r>
        <w:rPr>
          <w:rFonts w:hint="eastAsia"/>
        </w:rPr>
        <w:t>2、</w:t>
      </w:r>
      <w:r>
        <w:t>监测频率</w:t>
      </w:r>
    </w:p>
    <w:p w14:paraId="385D2FFB">
      <w:pPr>
        <w:pStyle w:val="2"/>
        <w:spacing w:after="0"/>
        <w:ind w:firstLine="480"/>
      </w:pPr>
      <w:r>
        <w:t>参照《地下水环境监测技术规范》（HJ164-2020）、《工业企业土壤和地下水自行监测 技术指南（试行）》（HJ 1209—2021），对照监测井每年采样1次，全年1次；污染控制监测井每</w:t>
      </w:r>
      <w:r>
        <w:rPr>
          <w:rFonts w:hint="eastAsia"/>
        </w:rPr>
        <w:t>季度</w:t>
      </w:r>
      <w:r>
        <w:t>采样1次，全年2次。</w:t>
      </w:r>
    </w:p>
    <w:p w14:paraId="6A067843">
      <w:pPr>
        <w:pStyle w:val="2"/>
        <w:spacing w:after="0"/>
        <w:ind w:firstLine="480"/>
        <w:outlineLvl w:val="4"/>
      </w:pPr>
      <w:r>
        <w:rPr>
          <w:rFonts w:hint="eastAsia"/>
        </w:rPr>
        <w:t>3、</w:t>
      </w:r>
      <w:r>
        <w:t>监测项目</w:t>
      </w:r>
    </w:p>
    <w:p w14:paraId="15409881">
      <w:pPr>
        <w:pStyle w:val="2"/>
        <w:spacing w:after="0"/>
        <w:ind w:firstLine="480"/>
      </w:pPr>
      <w:r>
        <w:t>初次监测：监测指标至少应包括GB/T 14848表1常规指标（微生物指标、放射性指标除外）。</w:t>
      </w:r>
    </w:p>
    <w:p w14:paraId="6B7C8377">
      <w:pPr>
        <w:pStyle w:val="2"/>
        <w:spacing w:after="0"/>
        <w:ind w:firstLine="480"/>
      </w:pPr>
      <w:r>
        <w:t>后续监测：后续监测按照重点单元确定监测指标，每个重点单元对应的监测指标至少应包括：1）该重点单元对应的任一地下水监测井在前期监测中曾超标的污染物，受地质背景等因素影响造成超标的指标可不监测：2）该重点单元涉及的所有关注污染物。</w:t>
      </w:r>
    </w:p>
    <w:p w14:paraId="05FAFC59">
      <w:pPr>
        <w:pStyle w:val="99"/>
        <w:numPr>
          <w:ilvl w:val="4"/>
          <w:numId w:val="48"/>
        </w:numPr>
        <w:ind w:left="0" w:firstLine="482"/>
        <w:rPr>
          <w:rFonts w:eastAsiaTheme="minorEastAsia"/>
          <w:b/>
        </w:rPr>
      </w:pPr>
      <w:r>
        <w:rPr>
          <w:rFonts w:eastAsiaTheme="minorEastAsia"/>
          <w:b/>
        </w:rPr>
        <w:t xml:space="preserve">           </w:t>
      </w:r>
      <w:r>
        <w:rPr>
          <w:rFonts w:hint="eastAsia" w:eastAsiaTheme="minorEastAsia"/>
          <w:b/>
        </w:rPr>
        <w:t xml:space="preserve">  </w:t>
      </w:r>
      <w:r>
        <w:rPr>
          <w:rFonts w:eastAsiaTheme="minorEastAsia"/>
          <w:b/>
        </w:rPr>
        <w:t xml:space="preserve"> 地下水</w:t>
      </w:r>
      <w:r>
        <w:rPr>
          <w:rFonts w:eastAsia="黑体"/>
        </w:rPr>
        <w:t>监测</w:t>
      </w:r>
      <w:r>
        <w:rPr>
          <w:rFonts w:eastAsiaTheme="minorEastAsia"/>
          <w:b/>
        </w:rPr>
        <w:t>要求</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8"/>
        <w:gridCol w:w="998"/>
        <w:gridCol w:w="2135"/>
        <w:gridCol w:w="2423"/>
        <w:gridCol w:w="2219"/>
      </w:tblGrid>
      <w:tr w14:paraId="2018C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35" w:type="pct"/>
            <w:vAlign w:val="center"/>
          </w:tcPr>
          <w:p w14:paraId="08AFA014">
            <w:pPr>
              <w:pStyle w:val="67"/>
              <w:rPr>
                <w:color w:val="auto"/>
              </w:rPr>
            </w:pPr>
            <w:r>
              <w:rPr>
                <w:color w:val="auto"/>
              </w:rPr>
              <w:t>序号</w:t>
            </w:r>
          </w:p>
        </w:tc>
        <w:tc>
          <w:tcPr>
            <w:tcW w:w="599" w:type="pct"/>
            <w:shd w:val="clear" w:color="auto" w:fill="auto"/>
            <w:vAlign w:val="center"/>
          </w:tcPr>
          <w:p w14:paraId="549CC627">
            <w:pPr>
              <w:pStyle w:val="67"/>
              <w:rPr>
                <w:color w:val="auto"/>
              </w:rPr>
            </w:pPr>
            <w:r>
              <w:rPr>
                <w:color w:val="auto"/>
              </w:rPr>
              <w:t>类别</w:t>
            </w:r>
          </w:p>
        </w:tc>
        <w:tc>
          <w:tcPr>
            <w:tcW w:w="4065" w:type="pct"/>
            <w:gridSpan w:val="3"/>
            <w:vAlign w:val="center"/>
          </w:tcPr>
          <w:p w14:paraId="1D6AAA6D">
            <w:pPr>
              <w:pStyle w:val="67"/>
              <w:rPr>
                <w:color w:val="auto"/>
              </w:rPr>
            </w:pPr>
            <w:r>
              <w:rPr>
                <w:color w:val="auto"/>
              </w:rPr>
              <w:t>内容</w:t>
            </w:r>
          </w:p>
        </w:tc>
      </w:tr>
      <w:tr w14:paraId="31258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5" w:type="pct"/>
            <w:vAlign w:val="center"/>
          </w:tcPr>
          <w:p w14:paraId="7267273E">
            <w:pPr>
              <w:pStyle w:val="62"/>
            </w:pPr>
            <w:r>
              <w:rPr>
                <w:rFonts w:hint="eastAsia"/>
              </w:rPr>
              <w:t>1</w:t>
            </w:r>
          </w:p>
        </w:tc>
        <w:tc>
          <w:tcPr>
            <w:tcW w:w="599" w:type="pct"/>
            <w:shd w:val="clear" w:color="auto" w:fill="auto"/>
            <w:vAlign w:val="center"/>
          </w:tcPr>
          <w:p w14:paraId="7A5977D2">
            <w:pPr>
              <w:pStyle w:val="62"/>
            </w:pPr>
            <w:r>
              <w:rPr>
                <w:rFonts w:hint="eastAsia"/>
              </w:rPr>
              <w:t>编号</w:t>
            </w:r>
          </w:p>
        </w:tc>
        <w:tc>
          <w:tcPr>
            <w:tcW w:w="1281" w:type="pct"/>
            <w:vAlign w:val="center"/>
          </w:tcPr>
          <w:p w14:paraId="5556AEB2">
            <w:pPr>
              <w:pStyle w:val="62"/>
            </w:pPr>
            <w:r>
              <w:rPr>
                <w:rFonts w:hint="eastAsia"/>
              </w:rPr>
              <w:t>JC</w:t>
            </w:r>
            <w:r>
              <w:t>01</w:t>
            </w:r>
          </w:p>
        </w:tc>
        <w:tc>
          <w:tcPr>
            <w:tcW w:w="1454" w:type="pct"/>
            <w:vAlign w:val="center"/>
          </w:tcPr>
          <w:p w14:paraId="7978C2CB">
            <w:pPr>
              <w:pStyle w:val="62"/>
            </w:pPr>
            <w:r>
              <w:rPr>
                <w:rFonts w:hint="eastAsia"/>
              </w:rPr>
              <w:t>JC</w:t>
            </w:r>
            <w:r>
              <w:t>02</w:t>
            </w:r>
          </w:p>
        </w:tc>
        <w:tc>
          <w:tcPr>
            <w:tcW w:w="1331" w:type="pct"/>
            <w:vAlign w:val="center"/>
          </w:tcPr>
          <w:p w14:paraId="28D5E7AC">
            <w:pPr>
              <w:pStyle w:val="62"/>
            </w:pPr>
            <w:r>
              <w:rPr>
                <w:rFonts w:hint="eastAsia"/>
              </w:rPr>
              <w:t>JC</w:t>
            </w:r>
            <w:r>
              <w:t>03</w:t>
            </w:r>
          </w:p>
        </w:tc>
      </w:tr>
      <w:tr w14:paraId="4E841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5" w:type="pct"/>
            <w:vAlign w:val="center"/>
          </w:tcPr>
          <w:p w14:paraId="0830C2E6">
            <w:pPr>
              <w:pStyle w:val="62"/>
            </w:pPr>
            <w:r>
              <w:t>2</w:t>
            </w:r>
          </w:p>
        </w:tc>
        <w:tc>
          <w:tcPr>
            <w:tcW w:w="599" w:type="pct"/>
            <w:shd w:val="clear" w:color="auto" w:fill="auto"/>
            <w:vAlign w:val="center"/>
          </w:tcPr>
          <w:p w14:paraId="51B199CA">
            <w:pPr>
              <w:pStyle w:val="62"/>
            </w:pPr>
            <w:r>
              <w:t>监测点位</w:t>
            </w:r>
          </w:p>
        </w:tc>
        <w:tc>
          <w:tcPr>
            <w:tcW w:w="1281" w:type="pct"/>
            <w:vAlign w:val="center"/>
          </w:tcPr>
          <w:p w14:paraId="2DAFA901">
            <w:pPr>
              <w:pStyle w:val="62"/>
            </w:pPr>
            <w:r>
              <w:rPr>
                <w:rFonts w:hint="eastAsia"/>
              </w:rPr>
              <w:t>厂区上游</w:t>
            </w:r>
          </w:p>
          <w:p w14:paraId="2565C8FB">
            <w:pPr>
              <w:pStyle w:val="62"/>
            </w:pPr>
            <w:r>
              <w:rPr>
                <w:rFonts w:hint="eastAsia"/>
              </w:rPr>
              <w:t>（</w:t>
            </w:r>
            <w:r>
              <w:rPr>
                <w:rFonts w:hint="eastAsia"/>
                <w:bCs/>
                <w:u w:val="single"/>
              </w:rPr>
              <w:t>郭全屯村水井</w:t>
            </w:r>
            <w:r>
              <w:rPr>
                <w:rFonts w:hint="eastAsia"/>
              </w:rPr>
              <w:t>）</w:t>
            </w:r>
          </w:p>
        </w:tc>
        <w:tc>
          <w:tcPr>
            <w:tcW w:w="1454" w:type="pct"/>
            <w:vAlign w:val="center"/>
          </w:tcPr>
          <w:p w14:paraId="4CDBFC8E">
            <w:pPr>
              <w:pStyle w:val="62"/>
            </w:pPr>
            <w:r>
              <w:rPr>
                <w:rFonts w:hint="eastAsia"/>
              </w:rPr>
              <w:t>厂区</w:t>
            </w:r>
          </w:p>
        </w:tc>
        <w:tc>
          <w:tcPr>
            <w:tcW w:w="1331" w:type="pct"/>
            <w:vAlign w:val="center"/>
          </w:tcPr>
          <w:p w14:paraId="2ADD83D9">
            <w:pPr>
              <w:pStyle w:val="62"/>
            </w:pPr>
            <w:r>
              <w:rPr>
                <w:rFonts w:hint="eastAsia"/>
              </w:rPr>
              <w:t>厂区下游</w:t>
            </w:r>
          </w:p>
          <w:p w14:paraId="2E74B658">
            <w:pPr>
              <w:pStyle w:val="62"/>
            </w:pPr>
            <w:r>
              <w:rPr>
                <w:rFonts w:hint="eastAsia"/>
              </w:rPr>
              <w:t>（</w:t>
            </w:r>
            <w:r>
              <w:rPr>
                <w:rFonts w:hint="eastAsia"/>
                <w:bCs/>
                <w:u w:val="single"/>
              </w:rPr>
              <w:t>下园村西南灌溉井</w:t>
            </w:r>
            <w:r>
              <w:rPr>
                <w:rFonts w:hint="eastAsia"/>
              </w:rPr>
              <w:t>）</w:t>
            </w:r>
          </w:p>
        </w:tc>
      </w:tr>
      <w:tr w14:paraId="175D3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5" w:type="pct"/>
            <w:vAlign w:val="center"/>
          </w:tcPr>
          <w:p w14:paraId="3B886972">
            <w:pPr>
              <w:pStyle w:val="62"/>
            </w:pPr>
            <w:r>
              <w:t>3</w:t>
            </w:r>
          </w:p>
        </w:tc>
        <w:tc>
          <w:tcPr>
            <w:tcW w:w="599" w:type="pct"/>
            <w:shd w:val="clear" w:color="auto" w:fill="auto"/>
            <w:vAlign w:val="center"/>
          </w:tcPr>
          <w:p w14:paraId="7B420EDB">
            <w:pPr>
              <w:pStyle w:val="62"/>
            </w:pPr>
            <w:r>
              <w:t>功能</w:t>
            </w:r>
          </w:p>
        </w:tc>
        <w:tc>
          <w:tcPr>
            <w:tcW w:w="1281" w:type="pct"/>
            <w:vAlign w:val="center"/>
          </w:tcPr>
          <w:p w14:paraId="3040DC99">
            <w:pPr>
              <w:pStyle w:val="62"/>
            </w:pPr>
            <w:r>
              <w:rPr>
                <w:rFonts w:hint="eastAsia"/>
              </w:rPr>
              <w:t>地下水对照监测点</w:t>
            </w:r>
          </w:p>
        </w:tc>
        <w:tc>
          <w:tcPr>
            <w:tcW w:w="1454" w:type="pct"/>
            <w:vAlign w:val="center"/>
          </w:tcPr>
          <w:p w14:paraId="435BA8EE">
            <w:pPr>
              <w:pStyle w:val="62"/>
            </w:pPr>
            <w:r>
              <w:rPr>
                <w:rFonts w:hint="eastAsia"/>
              </w:rPr>
              <w:t>地下水跟踪监测点</w:t>
            </w:r>
          </w:p>
        </w:tc>
        <w:tc>
          <w:tcPr>
            <w:tcW w:w="1331" w:type="pct"/>
            <w:vAlign w:val="center"/>
          </w:tcPr>
          <w:p w14:paraId="2E6C9A03">
            <w:pPr>
              <w:pStyle w:val="62"/>
            </w:pPr>
            <w:r>
              <w:rPr>
                <w:rFonts w:hint="eastAsia"/>
              </w:rPr>
              <w:t>地下水跟踪监测点</w:t>
            </w:r>
          </w:p>
        </w:tc>
      </w:tr>
      <w:tr w14:paraId="4F245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5" w:type="pct"/>
            <w:vAlign w:val="center"/>
          </w:tcPr>
          <w:p w14:paraId="6F6C4052">
            <w:pPr>
              <w:pStyle w:val="62"/>
            </w:pPr>
            <w:r>
              <w:t>4</w:t>
            </w:r>
          </w:p>
        </w:tc>
        <w:tc>
          <w:tcPr>
            <w:tcW w:w="599" w:type="pct"/>
            <w:shd w:val="clear" w:color="auto" w:fill="auto"/>
            <w:vAlign w:val="center"/>
          </w:tcPr>
          <w:p w14:paraId="26EC7636">
            <w:pPr>
              <w:pStyle w:val="62"/>
            </w:pPr>
            <w:r>
              <w:t>井结构</w:t>
            </w:r>
          </w:p>
        </w:tc>
        <w:tc>
          <w:tcPr>
            <w:tcW w:w="1281" w:type="pct"/>
            <w:vAlign w:val="center"/>
          </w:tcPr>
          <w:p w14:paraId="587FC929">
            <w:pPr>
              <w:pStyle w:val="62"/>
            </w:pPr>
            <w:r>
              <w:t>竖向圆形</w:t>
            </w:r>
          </w:p>
        </w:tc>
        <w:tc>
          <w:tcPr>
            <w:tcW w:w="1454" w:type="pct"/>
            <w:vAlign w:val="center"/>
          </w:tcPr>
          <w:p w14:paraId="3955180A">
            <w:pPr>
              <w:pStyle w:val="62"/>
            </w:pPr>
            <w:r>
              <w:t>竖向圆形</w:t>
            </w:r>
          </w:p>
        </w:tc>
        <w:tc>
          <w:tcPr>
            <w:tcW w:w="1331" w:type="pct"/>
            <w:vAlign w:val="center"/>
          </w:tcPr>
          <w:p w14:paraId="108811ED">
            <w:pPr>
              <w:pStyle w:val="62"/>
            </w:pPr>
            <w:r>
              <w:t>竖向圆形</w:t>
            </w:r>
          </w:p>
        </w:tc>
      </w:tr>
      <w:tr w14:paraId="125C0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5" w:type="pct"/>
            <w:vAlign w:val="center"/>
          </w:tcPr>
          <w:p w14:paraId="417E1539">
            <w:pPr>
              <w:pStyle w:val="62"/>
            </w:pPr>
            <w:r>
              <w:t>5</w:t>
            </w:r>
          </w:p>
        </w:tc>
        <w:tc>
          <w:tcPr>
            <w:tcW w:w="599" w:type="pct"/>
            <w:shd w:val="clear" w:color="auto" w:fill="auto"/>
            <w:vAlign w:val="center"/>
          </w:tcPr>
          <w:p w14:paraId="1D00FC2F">
            <w:pPr>
              <w:pStyle w:val="62"/>
            </w:pPr>
            <w:r>
              <w:t>监测层位</w:t>
            </w:r>
          </w:p>
        </w:tc>
        <w:tc>
          <w:tcPr>
            <w:tcW w:w="1281" w:type="pct"/>
            <w:vAlign w:val="center"/>
          </w:tcPr>
          <w:p w14:paraId="49D74DB2">
            <w:pPr>
              <w:pStyle w:val="62"/>
            </w:pPr>
            <w:r>
              <w:rPr>
                <w:rFonts w:hint="eastAsia"/>
              </w:rPr>
              <w:t>含水层，</w:t>
            </w:r>
            <w:r>
              <w:t>水位线下</w:t>
            </w:r>
            <w:r>
              <w:rPr>
                <w:rFonts w:hint="eastAsia"/>
              </w:rPr>
              <w:t>1米</w:t>
            </w:r>
          </w:p>
        </w:tc>
        <w:tc>
          <w:tcPr>
            <w:tcW w:w="1454" w:type="pct"/>
            <w:vAlign w:val="center"/>
          </w:tcPr>
          <w:p w14:paraId="63CC8F76">
            <w:pPr>
              <w:pStyle w:val="62"/>
            </w:pPr>
            <w:r>
              <w:rPr>
                <w:rFonts w:hint="eastAsia"/>
              </w:rPr>
              <w:t>含水层，</w:t>
            </w:r>
            <w:r>
              <w:t>水位线下</w:t>
            </w:r>
            <w:r>
              <w:rPr>
                <w:rFonts w:hint="eastAsia"/>
              </w:rPr>
              <w:t>1米</w:t>
            </w:r>
          </w:p>
        </w:tc>
        <w:tc>
          <w:tcPr>
            <w:tcW w:w="1331" w:type="pct"/>
            <w:vAlign w:val="center"/>
          </w:tcPr>
          <w:p w14:paraId="39A88DFD">
            <w:pPr>
              <w:pStyle w:val="62"/>
            </w:pPr>
            <w:r>
              <w:rPr>
                <w:rFonts w:hint="eastAsia"/>
              </w:rPr>
              <w:t>含水层，</w:t>
            </w:r>
            <w:r>
              <w:t>水位线下</w:t>
            </w:r>
            <w:r>
              <w:rPr>
                <w:rFonts w:hint="eastAsia"/>
              </w:rPr>
              <w:t>1米</w:t>
            </w:r>
          </w:p>
        </w:tc>
      </w:tr>
      <w:tr w14:paraId="755FF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5" w:type="pct"/>
            <w:vAlign w:val="center"/>
          </w:tcPr>
          <w:p w14:paraId="6E9A3C4E">
            <w:pPr>
              <w:pStyle w:val="62"/>
            </w:pPr>
            <w:r>
              <w:t>6</w:t>
            </w:r>
          </w:p>
        </w:tc>
        <w:tc>
          <w:tcPr>
            <w:tcW w:w="599" w:type="pct"/>
            <w:shd w:val="clear" w:color="auto" w:fill="auto"/>
            <w:vAlign w:val="center"/>
          </w:tcPr>
          <w:p w14:paraId="2E087F9D">
            <w:pPr>
              <w:pStyle w:val="62"/>
            </w:pPr>
            <w:r>
              <w:t>监测频次</w:t>
            </w:r>
          </w:p>
        </w:tc>
        <w:tc>
          <w:tcPr>
            <w:tcW w:w="1281" w:type="pct"/>
            <w:vAlign w:val="center"/>
          </w:tcPr>
          <w:p w14:paraId="17146681">
            <w:pPr>
              <w:pStyle w:val="62"/>
            </w:pPr>
            <w:r>
              <w:rPr>
                <w:u w:val="single"/>
              </w:rPr>
              <w:t>1次/年</w:t>
            </w:r>
          </w:p>
        </w:tc>
        <w:tc>
          <w:tcPr>
            <w:tcW w:w="1454" w:type="pct"/>
            <w:vAlign w:val="center"/>
          </w:tcPr>
          <w:p w14:paraId="04AD2CBF">
            <w:pPr>
              <w:pStyle w:val="62"/>
            </w:pPr>
            <w:r>
              <w:rPr>
                <w:rFonts w:hint="eastAsia"/>
                <w:u w:val="single"/>
              </w:rPr>
              <w:t>1</w:t>
            </w:r>
            <w:r>
              <w:rPr>
                <w:u w:val="single"/>
              </w:rPr>
              <w:t>次/</w:t>
            </w:r>
            <w:r>
              <w:rPr>
                <w:rFonts w:hint="eastAsia"/>
                <w:u w:val="single"/>
              </w:rPr>
              <w:t>季度</w:t>
            </w:r>
          </w:p>
        </w:tc>
        <w:tc>
          <w:tcPr>
            <w:tcW w:w="1331" w:type="pct"/>
            <w:vAlign w:val="center"/>
          </w:tcPr>
          <w:p w14:paraId="029A529D">
            <w:pPr>
              <w:pStyle w:val="62"/>
            </w:pPr>
            <w:r>
              <w:rPr>
                <w:rFonts w:hint="eastAsia"/>
                <w:u w:val="single"/>
              </w:rPr>
              <w:t>1</w:t>
            </w:r>
            <w:r>
              <w:rPr>
                <w:u w:val="single"/>
              </w:rPr>
              <w:t>次/</w:t>
            </w:r>
            <w:r>
              <w:rPr>
                <w:rFonts w:hint="eastAsia"/>
                <w:u w:val="single"/>
              </w:rPr>
              <w:t>季度</w:t>
            </w:r>
          </w:p>
        </w:tc>
      </w:tr>
      <w:tr w14:paraId="4EA44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35" w:type="pct"/>
            <w:vAlign w:val="center"/>
          </w:tcPr>
          <w:p w14:paraId="7ED94FED">
            <w:pPr>
              <w:pStyle w:val="62"/>
            </w:pPr>
            <w:r>
              <w:t>7</w:t>
            </w:r>
          </w:p>
        </w:tc>
        <w:tc>
          <w:tcPr>
            <w:tcW w:w="599" w:type="pct"/>
            <w:shd w:val="clear" w:color="auto" w:fill="auto"/>
            <w:vAlign w:val="center"/>
          </w:tcPr>
          <w:p w14:paraId="71DC2F0E">
            <w:pPr>
              <w:pStyle w:val="62"/>
            </w:pPr>
            <w:r>
              <w:t>监测因子</w:t>
            </w:r>
          </w:p>
        </w:tc>
        <w:tc>
          <w:tcPr>
            <w:tcW w:w="4065" w:type="pct"/>
            <w:gridSpan w:val="3"/>
            <w:vAlign w:val="center"/>
          </w:tcPr>
          <w:p w14:paraId="347A7016">
            <w:pPr>
              <w:pStyle w:val="62"/>
              <w:jc w:val="both"/>
              <w:rPr>
                <w:bCs/>
                <w:kern w:val="2"/>
                <w:szCs w:val="18"/>
                <w:u w:val="single"/>
              </w:rPr>
            </w:pPr>
            <w:r>
              <w:rPr>
                <w:rFonts w:hint="eastAsia"/>
                <w:bCs/>
                <w:kern w:val="2"/>
                <w:szCs w:val="18"/>
                <w:u w:val="single"/>
              </w:rPr>
              <w:t>初次监测：GB/T 14848表1常规指标（微生物指标、放射性指标除外）、石油类。</w:t>
            </w:r>
          </w:p>
          <w:p w14:paraId="31C4314E">
            <w:pPr>
              <w:pStyle w:val="62"/>
              <w:jc w:val="both"/>
            </w:pPr>
            <w:r>
              <w:rPr>
                <w:rFonts w:hint="eastAsia"/>
                <w:bCs/>
                <w:kern w:val="2"/>
                <w:szCs w:val="18"/>
                <w:u w:val="single"/>
              </w:rPr>
              <w:t>后续监测：pH、石油类、耗氧量</w:t>
            </w:r>
          </w:p>
        </w:tc>
      </w:tr>
    </w:tbl>
    <w:p w14:paraId="26CF371F">
      <w:pPr>
        <w:ind w:firstLine="480"/>
      </w:pPr>
      <w:r>
        <w:rPr>
          <w:rFonts w:hint="eastAsia"/>
        </w:rPr>
        <w:t>如发现异常或发生事故，加密监测频次，改为每天监测一次，并分析污染原因，确定泄漏污染源，及时采取应急措施。</w:t>
      </w:r>
    </w:p>
    <w:p w14:paraId="7C96D4FC">
      <w:pPr>
        <w:pStyle w:val="2"/>
        <w:spacing w:after="0"/>
        <w:ind w:firstLine="480"/>
        <w:outlineLvl w:val="4"/>
      </w:pPr>
      <w:r>
        <w:rPr>
          <w:rFonts w:hint="eastAsia"/>
        </w:rPr>
        <w:t>4、信息公开</w:t>
      </w:r>
    </w:p>
    <w:p w14:paraId="4175CEDE">
      <w:pPr>
        <w:pStyle w:val="2"/>
        <w:spacing w:after="0"/>
        <w:ind w:firstLine="480"/>
      </w:pPr>
      <w:r>
        <w:rPr>
          <w:rFonts w:hint="eastAsia"/>
        </w:rPr>
        <w:t>上述监测结果应按项目有关规定及时建立档案，并定期向厂区安全环保部门汇报，对于项目特征因子的监测数据应该进行公开。公示内容：监测时间、监测点位、监测因子及监测结果、达标分析等内容。</w:t>
      </w:r>
    </w:p>
    <w:p w14:paraId="1D3EF0C2">
      <w:pPr>
        <w:pStyle w:val="6"/>
        <w:ind w:left="0" w:firstLine="482" w:firstLineChars="200"/>
        <w:rPr>
          <w:snapToGrid w:val="0"/>
        </w:rPr>
      </w:pPr>
      <w:r>
        <w:rPr>
          <w:snapToGrid w:val="0"/>
        </w:rPr>
        <w:t>风险事故应急响应</w:t>
      </w:r>
    </w:p>
    <w:p w14:paraId="1D3EF0C3">
      <w:pPr>
        <w:ind w:firstLine="480"/>
      </w:pPr>
      <w:r>
        <w:t>建设单位应严格按照相关要求制定地下水风险事故应急响应预案，在事故状态下，应紧急启动应急预案，查明污染源所在位置，并及时采取措施进行污染源处理，并制定行之有效的地下水污染防治措施和实施方案。</w:t>
      </w:r>
    </w:p>
    <w:p w14:paraId="1D3EF0C4">
      <w:pPr>
        <w:ind w:firstLine="480"/>
      </w:pPr>
      <w:r>
        <w:t>评价认为在严格落实上述措施的基础上，本工程投产后不会对区域地下水环境造成大的不利影响，措施可行。</w:t>
      </w:r>
    </w:p>
    <w:p w14:paraId="1D3EF0C5">
      <w:pPr>
        <w:pStyle w:val="5"/>
        <w:spacing w:before="240" w:after="240"/>
      </w:pPr>
      <w:r>
        <w:t>土壤污染防治措施</w:t>
      </w:r>
    </w:p>
    <w:p w14:paraId="1D3EF0C6">
      <w:pPr>
        <w:pStyle w:val="6"/>
        <w:ind w:left="0" w:firstLine="482" w:firstLineChars="200"/>
        <w:rPr>
          <w:snapToGrid w:val="0"/>
        </w:rPr>
      </w:pPr>
      <w:r>
        <w:rPr>
          <w:snapToGrid w:val="0"/>
        </w:rPr>
        <w:t>防治措施</w:t>
      </w:r>
    </w:p>
    <w:p w14:paraId="1D3EF0C7">
      <w:pPr>
        <w:ind w:firstLine="480"/>
      </w:pPr>
      <w:r>
        <w:t>土壤污染防治重在预防，由于与地下水防治措施有通用之处，在制订项目地下水污染防治措施时可一并考虑，再结合土壤环境的特殊性采取措施。本项目对土壤的环境影响途径主要是垂直入渗污染，主要采取以下措施。</w:t>
      </w:r>
    </w:p>
    <w:p w14:paraId="1D3EF0C8">
      <w:pPr>
        <w:ind w:firstLine="482"/>
        <w:outlineLvl w:val="4"/>
        <w:rPr>
          <w:b/>
          <w:bCs/>
        </w:rPr>
      </w:pPr>
      <w:r>
        <w:rPr>
          <w:b/>
          <w:bCs/>
        </w:rPr>
        <w:t>1、源头控制措施</w:t>
      </w:r>
    </w:p>
    <w:p w14:paraId="0DCDB095">
      <w:pPr>
        <w:ind w:firstLine="480"/>
      </w:pPr>
      <w:r>
        <w:rPr>
          <w:rFonts w:hint="eastAsia"/>
        </w:rPr>
        <w:t>项目运营过程中，对土壤污染的主要途径为废水治理及收集措施垂直入渗进入土壤环境。故本项目尽可能从源头上减少可能污染物产生，严格按照国家相关规范要求，对厂区采取相应的措施，以防止和降低污染物的跑、冒、滴、漏，将水污染物泄漏的环境风险事故降低到最低程度。从原料和产品储存、装卸、运输、生产过程、污染处理装置等全过程控制有毒有害物质可能泄漏到地面的区域采取防渗措施，阻止其进入土壤中，即从源头到末端全方位采取控制措施，防止项目的建设对土壤造成污染。</w:t>
      </w:r>
    </w:p>
    <w:p w14:paraId="1D3EF0CA">
      <w:pPr>
        <w:ind w:firstLine="480"/>
        <w:rPr>
          <w:highlight w:val="yellow"/>
        </w:rPr>
      </w:pPr>
      <w:r>
        <w:rPr>
          <w:rFonts w:hint="eastAsia"/>
        </w:rPr>
        <w:t>从生产过程入手，在工艺、管道、设备、给排水等方面尽可能地采取泄漏控制措施，从源头最大限度降低污染物质泄漏的可能性和泄漏量，使项目污染物对土壤的影响降至最低，一旦出现泄漏等即可由区域内的各种配套措施进行收集、处置，同时经过防渗处理的地面有效阻止污染物的下渗。</w:t>
      </w:r>
    </w:p>
    <w:p w14:paraId="1D3EF0CB">
      <w:pPr>
        <w:ind w:firstLine="482"/>
        <w:outlineLvl w:val="4"/>
        <w:rPr>
          <w:b/>
          <w:bCs/>
        </w:rPr>
      </w:pPr>
      <w:r>
        <w:rPr>
          <w:b/>
          <w:bCs/>
        </w:rPr>
        <w:t>2、地面漫流污染防治措施</w:t>
      </w:r>
    </w:p>
    <w:p w14:paraId="1D3EF0CC">
      <w:pPr>
        <w:ind w:firstLine="480"/>
      </w:pPr>
      <w:r>
        <w:t>对于项目事故状态的废水，项目须贯彻“围、堵、截”的原则，采取多级防护措施，确保事故废水未经处理不得出厂界。事故情况下，泄漏的废水、废液应有有效的截留措施，并引至事故池内，杜绝事故废水外排。</w:t>
      </w:r>
    </w:p>
    <w:p w14:paraId="1D3EF0CD">
      <w:pPr>
        <w:ind w:firstLine="480"/>
      </w:pPr>
      <w:r>
        <w:t>项目厂区对绿化区以外的地面均进行硬化处理，避免污染物直接污染地表裸露土壤。</w:t>
      </w:r>
    </w:p>
    <w:p w14:paraId="74081530">
      <w:pPr>
        <w:ind w:firstLine="480"/>
        <w:rPr>
          <w:highlight w:val="yellow"/>
        </w:rPr>
      </w:pPr>
      <w:r>
        <w:t>采取上述地面漫流污染途治理措施后，本项目事故废水不会发生地面漫流，进入土壤产生污染。</w:t>
      </w:r>
    </w:p>
    <w:p w14:paraId="4F89A4EE">
      <w:pPr>
        <w:pStyle w:val="6"/>
        <w:ind w:left="0" w:firstLine="482" w:firstLineChars="200"/>
        <w:rPr>
          <w:snapToGrid w:val="0"/>
        </w:rPr>
      </w:pPr>
      <w:r>
        <w:rPr>
          <w:rFonts w:hint="eastAsia"/>
          <w:snapToGrid w:val="0"/>
        </w:rPr>
        <w:t>厂区绿化措施</w:t>
      </w:r>
    </w:p>
    <w:p w14:paraId="3B7A9C43">
      <w:pPr>
        <w:ind w:firstLine="480"/>
      </w:pPr>
      <w:r>
        <w:t>本项目应根据工程排放污染物的特点，采用混合式布置，点、线、面相结合的方法，选择抗污染能力强，适应当地气候、土壤条件的栽种花草开展绿化。以植树为主，栽花种草为辅，在生产车间周围可种植对有害气体抗性能力强的树种，在厂区道路两侧可采取乔木、灌木和绿篱搭配栽植的形式，在办公</w:t>
      </w:r>
      <w:r>
        <w:rPr>
          <w:rFonts w:hint="eastAsia"/>
        </w:rPr>
        <w:t>室外</w:t>
      </w:r>
      <w:r>
        <w:t>设置较宽的防护隔离林带，形成净化隔声的绿色屏障，保持行政办公区的清洁、安静，应尽可能利用厂内空地铺设草坪、植树种花，把绿化与美化结合起来，为职工创建一个清洁、安静、优美的劳动和生活环境。这样不仅美观，有利厂区厂容，又净化空气，美化环境，减少污染。</w:t>
      </w:r>
    </w:p>
    <w:p w14:paraId="1D3EF0CF">
      <w:pPr>
        <w:pStyle w:val="6"/>
        <w:ind w:left="0" w:firstLine="482" w:firstLineChars="200"/>
        <w:rPr>
          <w:snapToGrid w:val="0"/>
        </w:rPr>
      </w:pPr>
      <w:r>
        <w:rPr>
          <w:rFonts w:hint="eastAsia"/>
          <w:snapToGrid w:val="0"/>
        </w:rPr>
        <w:t>土壤监测计划</w:t>
      </w:r>
    </w:p>
    <w:p w14:paraId="3EF68D8F">
      <w:pPr>
        <w:ind w:firstLine="480"/>
        <w:outlineLvl w:val="4"/>
      </w:pPr>
      <w:r>
        <w:rPr>
          <w:rFonts w:hint="eastAsia"/>
        </w:rPr>
        <w:t>1、土壤跟踪监测计划</w:t>
      </w:r>
    </w:p>
    <w:p w14:paraId="1D3EF0D0">
      <w:pPr>
        <w:ind w:firstLine="480"/>
      </w:pPr>
      <w:r>
        <w:rPr>
          <w:rFonts w:hint="eastAsia"/>
        </w:rPr>
        <w:t>评价建议建设单位结合园区的土壤监控计划，制定本项目土壤跟踪监测计划，对厂区重点影响区及土壤环境敏感目标附近进行监测，一旦发生土壤污染，应立即停止生产，查明污染来源。参照《环境影响评价技术导则  土壤环境（试行）》（HJ964-2018）、《工业企业土壤和地下水自行监测 技术指南（试行）》（HJ 1209-2021），评价建议设置2个土壤跟踪监测点位。土壤跟踪监测计划见下表。</w:t>
      </w:r>
    </w:p>
    <w:p w14:paraId="0D59854D">
      <w:pPr>
        <w:pStyle w:val="99"/>
        <w:numPr>
          <w:ilvl w:val="4"/>
          <w:numId w:val="48"/>
        </w:numPr>
        <w:ind w:left="0" w:firstLine="482"/>
        <w:rPr>
          <w:rFonts w:eastAsiaTheme="minorEastAsia"/>
          <w:b/>
        </w:rPr>
      </w:pPr>
      <w:r>
        <w:rPr>
          <w:rFonts w:eastAsiaTheme="minorEastAsia"/>
          <w:b/>
        </w:rPr>
        <w:t xml:space="preserve">               土壤监测计划一览表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61"/>
        <w:gridCol w:w="1145"/>
        <w:gridCol w:w="1860"/>
        <w:gridCol w:w="2146"/>
        <w:gridCol w:w="1003"/>
        <w:gridCol w:w="1654"/>
      </w:tblGrid>
      <w:tr w14:paraId="69F5E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6" w:type="pct"/>
            <w:vAlign w:val="center"/>
          </w:tcPr>
          <w:p w14:paraId="3E5B8575">
            <w:pPr>
              <w:pStyle w:val="62"/>
              <w:rPr>
                <w:b/>
                <w:bCs/>
              </w:rPr>
            </w:pPr>
            <w:r>
              <w:rPr>
                <w:b/>
                <w:bCs/>
              </w:rPr>
              <w:t>序号</w:t>
            </w:r>
          </w:p>
        </w:tc>
        <w:tc>
          <w:tcPr>
            <w:tcW w:w="1795" w:type="pct"/>
            <w:gridSpan w:val="2"/>
            <w:shd w:val="clear" w:color="auto" w:fill="auto"/>
            <w:vAlign w:val="center"/>
          </w:tcPr>
          <w:p w14:paraId="581BB2F8">
            <w:pPr>
              <w:pStyle w:val="62"/>
              <w:rPr>
                <w:b/>
                <w:bCs/>
              </w:rPr>
            </w:pPr>
            <w:r>
              <w:rPr>
                <w:b/>
                <w:bCs/>
              </w:rPr>
              <w:t>监测点位</w:t>
            </w:r>
          </w:p>
        </w:tc>
        <w:tc>
          <w:tcPr>
            <w:tcW w:w="1282" w:type="pct"/>
            <w:vAlign w:val="center"/>
          </w:tcPr>
          <w:p w14:paraId="39ADA94A">
            <w:pPr>
              <w:pStyle w:val="62"/>
              <w:rPr>
                <w:b/>
                <w:bCs/>
              </w:rPr>
            </w:pPr>
            <w:r>
              <w:rPr>
                <w:b/>
                <w:bCs/>
              </w:rPr>
              <w:t>监测指标</w:t>
            </w:r>
          </w:p>
        </w:tc>
        <w:tc>
          <w:tcPr>
            <w:tcW w:w="599" w:type="pct"/>
            <w:vAlign w:val="center"/>
          </w:tcPr>
          <w:p w14:paraId="56444383">
            <w:pPr>
              <w:pStyle w:val="62"/>
              <w:rPr>
                <w:b/>
                <w:bCs/>
              </w:rPr>
            </w:pPr>
            <w:r>
              <w:rPr>
                <w:b/>
                <w:bCs/>
              </w:rPr>
              <w:t>监测频次</w:t>
            </w:r>
          </w:p>
        </w:tc>
        <w:tc>
          <w:tcPr>
            <w:tcW w:w="988" w:type="pct"/>
            <w:vAlign w:val="center"/>
          </w:tcPr>
          <w:p w14:paraId="13DEEB4F">
            <w:pPr>
              <w:pStyle w:val="62"/>
              <w:rPr>
                <w:b/>
                <w:bCs/>
              </w:rPr>
            </w:pPr>
            <w:r>
              <w:rPr>
                <w:b/>
                <w:bCs/>
              </w:rPr>
              <w:t>执行标准</w:t>
            </w:r>
          </w:p>
        </w:tc>
      </w:tr>
      <w:tr w14:paraId="5DFEC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6" w:type="pct"/>
            <w:vAlign w:val="center"/>
          </w:tcPr>
          <w:p w14:paraId="1A864EF2">
            <w:pPr>
              <w:pStyle w:val="62"/>
              <w:rPr>
                <w:szCs w:val="20"/>
              </w:rPr>
            </w:pPr>
            <w:r>
              <w:rPr>
                <w:szCs w:val="20"/>
              </w:rPr>
              <w:t>1</w:t>
            </w:r>
          </w:p>
        </w:tc>
        <w:tc>
          <w:tcPr>
            <w:tcW w:w="684" w:type="pct"/>
            <w:vMerge w:val="restart"/>
            <w:shd w:val="clear" w:color="auto" w:fill="auto"/>
            <w:vAlign w:val="center"/>
          </w:tcPr>
          <w:p w14:paraId="2D8F4B12">
            <w:pPr>
              <w:pStyle w:val="62"/>
              <w:rPr>
                <w:szCs w:val="20"/>
                <w:highlight w:val="yellow"/>
              </w:rPr>
            </w:pPr>
            <w:r>
              <w:rPr>
                <w:rFonts w:hint="eastAsia"/>
                <w:szCs w:val="20"/>
              </w:rPr>
              <w:t>厂区污水处理站</w:t>
            </w:r>
            <w:r>
              <w:rPr>
                <w:szCs w:val="20"/>
              </w:rPr>
              <w:t>附近</w:t>
            </w:r>
          </w:p>
        </w:tc>
        <w:tc>
          <w:tcPr>
            <w:tcW w:w="1111" w:type="pct"/>
            <w:shd w:val="clear" w:color="auto" w:fill="auto"/>
            <w:vAlign w:val="center"/>
          </w:tcPr>
          <w:p w14:paraId="4EE38748">
            <w:pPr>
              <w:pStyle w:val="62"/>
              <w:rPr>
                <w:szCs w:val="20"/>
              </w:rPr>
            </w:pPr>
            <w:r>
              <w:rPr>
                <w:szCs w:val="20"/>
              </w:rPr>
              <w:t>表层土壤</w:t>
            </w:r>
          </w:p>
          <w:p w14:paraId="6D3FAB02">
            <w:pPr>
              <w:pStyle w:val="62"/>
              <w:rPr>
                <w:szCs w:val="20"/>
                <w:highlight w:val="yellow"/>
              </w:rPr>
            </w:pPr>
            <w:r>
              <w:rPr>
                <w:rFonts w:hint="eastAsia"/>
                <w:szCs w:val="20"/>
              </w:rPr>
              <w:t>（0-0.5m）</w:t>
            </w:r>
          </w:p>
        </w:tc>
        <w:tc>
          <w:tcPr>
            <w:tcW w:w="1282" w:type="pct"/>
            <w:vMerge w:val="restart"/>
            <w:vAlign w:val="center"/>
          </w:tcPr>
          <w:p w14:paraId="3E9051C8">
            <w:pPr>
              <w:pStyle w:val="62"/>
              <w:rPr>
                <w:szCs w:val="20"/>
                <w:highlight w:val="yellow"/>
              </w:rPr>
            </w:pPr>
            <w:r>
              <w:rPr>
                <w:szCs w:val="20"/>
              </w:rPr>
              <w:t>GB36600-2018表1基本45个基本项目+pH、</w:t>
            </w:r>
            <w:r>
              <w:rPr>
                <w:rFonts w:hint="eastAsia"/>
                <w:szCs w:val="20"/>
              </w:rPr>
              <w:t>石油烃</w:t>
            </w:r>
          </w:p>
        </w:tc>
        <w:tc>
          <w:tcPr>
            <w:tcW w:w="599" w:type="pct"/>
            <w:vAlign w:val="center"/>
          </w:tcPr>
          <w:p w14:paraId="419E286B">
            <w:pPr>
              <w:pStyle w:val="62"/>
              <w:rPr>
                <w:szCs w:val="20"/>
              </w:rPr>
            </w:pPr>
            <w:r>
              <w:rPr>
                <w:szCs w:val="20"/>
              </w:rPr>
              <w:t>1次/年</w:t>
            </w:r>
          </w:p>
        </w:tc>
        <w:tc>
          <w:tcPr>
            <w:tcW w:w="988" w:type="pct"/>
            <w:vMerge w:val="restart"/>
            <w:vAlign w:val="center"/>
          </w:tcPr>
          <w:p w14:paraId="6B8164A3">
            <w:pPr>
              <w:pStyle w:val="62"/>
              <w:rPr>
                <w:szCs w:val="20"/>
              </w:rPr>
            </w:pPr>
            <w:r>
              <w:rPr>
                <w:szCs w:val="20"/>
              </w:rPr>
              <w:t>GB15618-2018筛选值第二类用地</w:t>
            </w:r>
          </w:p>
        </w:tc>
      </w:tr>
      <w:tr w14:paraId="0EE59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6" w:type="pct"/>
            <w:vAlign w:val="center"/>
          </w:tcPr>
          <w:p w14:paraId="4FD1722F">
            <w:pPr>
              <w:pStyle w:val="62"/>
              <w:rPr>
                <w:szCs w:val="20"/>
              </w:rPr>
            </w:pPr>
            <w:r>
              <w:rPr>
                <w:rFonts w:hint="eastAsia"/>
                <w:szCs w:val="20"/>
              </w:rPr>
              <w:t>2</w:t>
            </w:r>
          </w:p>
        </w:tc>
        <w:tc>
          <w:tcPr>
            <w:tcW w:w="684" w:type="pct"/>
            <w:vMerge w:val="continue"/>
            <w:shd w:val="clear" w:color="auto" w:fill="auto"/>
            <w:vAlign w:val="center"/>
          </w:tcPr>
          <w:p w14:paraId="31164313">
            <w:pPr>
              <w:pStyle w:val="62"/>
              <w:rPr>
                <w:szCs w:val="20"/>
                <w:highlight w:val="yellow"/>
              </w:rPr>
            </w:pPr>
          </w:p>
        </w:tc>
        <w:tc>
          <w:tcPr>
            <w:tcW w:w="1111" w:type="pct"/>
            <w:shd w:val="clear" w:color="auto" w:fill="auto"/>
            <w:vAlign w:val="center"/>
          </w:tcPr>
          <w:p w14:paraId="2FFF8DF8">
            <w:pPr>
              <w:pStyle w:val="62"/>
              <w:rPr>
                <w:szCs w:val="20"/>
              </w:rPr>
            </w:pPr>
            <w:r>
              <w:rPr>
                <w:szCs w:val="20"/>
              </w:rPr>
              <w:t>深层土壤</w:t>
            </w:r>
          </w:p>
          <w:p w14:paraId="3E180D1D">
            <w:pPr>
              <w:pStyle w:val="62"/>
              <w:rPr>
                <w:szCs w:val="20"/>
                <w:highlight w:val="yellow"/>
              </w:rPr>
            </w:pPr>
            <w:r>
              <w:rPr>
                <w:rFonts w:hint="eastAsia"/>
                <w:szCs w:val="20"/>
              </w:rPr>
              <w:t>（1.5-3m）</w:t>
            </w:r>
          </w:p>
        </w:tc>
        <w:tc>
          <w:tcPr>
            <w:tcW w:w="1282" w:type="pct"/>
            <w:vMerge w:val="continue"/>
            <w:vAlign w:val="center"/>
          </w:tcPr>
          <w:p w14:paraId="3BBBE9E0">
            <w:pPr>
              <w:pStyle w:val="62"/>
              <w:rPr>
                <w:szCs w:val="20"/>
                <w:highlight w:val="yellow"/>
              </w:rPr>
            </w:pPr>
          </w:p>
        </w:tc>
        <w:tc>
          <w:tcPr>
            <w:tcW w:w="599" w:type="pct"/>
            <w:vAlign w:val="center"/>
          </w:tcPr>
          <w:p w14:paraId="33081622">
            <w:pPr>
              <w:pStyle w:val="62"/>
              <w:rPr>
                <w:szCs w:val="20"/>
                <w:highlight w:val="yellow"/>
              </w:rPr>
            </w:pPr>
            <w:r>
              <w:rPr>
                <w:szCs w:val="20"/>
              </w:rPr>
              <w:t>1次/3年</w:t>
            </w:r>
          </w:p>
        </w:tc>
        <w:tc>
          <w:tcPr>
            <w:tcW w:w="988" w:type="pct"/>
            <w:vMerge w:val="continue"/>
            <w:vAlign w:val="center"/>
          </w:tcPr>
          <w:p w14:paraId="5845F56F">
            <w:pPr>
              <w:pStyle w:val="62"/>
              <w:rPr>
                <w:szCs w:val="20"/>
                <w:highlight w:val="yellow"/>
              </w:rPr>
            </w:pPr>
          </w:p>
        </w:tc>
      </w:tr>
    </w:tbl>
    <w:p w14:paraId="44E693F4">
      <w:pPr>
        <w:ind w:firstLine="480"/>
        <w:outlineLvl w:val="4"/>
      </w:pPr>
      <w:r>
        <w:rPr>
          <w:rFonts w:hint="eastAsia"/>
        </w:rPr>
        <w:t>2、信息公开</w:t>
      </w:r>
    </w:p>
    <w:p w14:paraId="7EF5847C">
      <w:pPr>
        <w:pStyle w:val="2"/>
        <w:spacing w:after="0"/>
        <w:ind w:firstLine="480"/>
      </w:pPr>
      <w:r>
        <w:rPr>
          <w:rFonts w:hint="eastAsia"/>
        </w:rPr>
        <w:t>评价建议企业在其公司网站或地方政府网站及时公开土壤监测结果。公示内容：监测时间、监测点位、监测因子及监测结果、达标分析等内容。</w:t>
      </w:r>
    </w:p>
    <w:p w14:paraId="1D3EF0DF">
      <w:pPr>
        <w:pStyle w:val="4"/>
      </w:pPr>
      <w:bookmarkStart w:id="353" w:name="_Toc104880010"/>
      <w:bookmarkStart w:id="354" w:name="_Toc114215010"/>
      <w:bookmarkStart w:id="355" w:name="_Toc176105888"/>
      <w:r>
        <w:t>工程污染防治措施汇总</w:t>
      </w:r>
      <w:bookmarkEnd w:id="353"/>
      <w:bookmarkEnd w:id="354"/>
      <w:bookmarkEnd w:id="355"/>
    </w:p>
    <w:p w14:paraId="1D3EF0E0">
      <w:pPr>
        <w:ind w:firstLine="480"/>
        <w:rPr>
          <w:b/>
          <w:bCs/>
          <w:szCs w:val="24"/>
          <w:highlight w:val="yellow"/>
          <w:u w:val="single"/>
        </w:rPr>
      </w:pPr>
      <w:r>
        <w:rPr>
          <w:szCs w:val="24"/>
        </w:rPr>
        <w:t>工程针对废气、废水、噪声、固废的产生情况和工艺要求，采取了技术成熟、运行稳定可靠、净化效率高、满足达标排放和废物综合利用、安全处置要求的污染防治措施。</w:t>
      </w:r>
      <w:r>
        <w:rPr>
          <w:szCs w:val="24"/>
          <w:u w:val="single"/>
        </w:rPr>
        <w:t>本次工程总投资为</w:t>
      </w:r>
      <w:r>
        <w:rPr>
          <w:rFonts w:hint="eastAsia"/>
          <w:szCs w:val="24"/>
          <w:u w:val="single"/>
        </w:rPr>
        <w:t>3000</w:t>
      </w:r>
      <w:r>
        <w:rPr>
          <w:szCs w:val="24"/>
          <w:u w:val="single"/>
        </w:rPr>
        <w:t>万元，所需新增环保投资约</w:t>
      </w:r>
      <w:r>
        <w:rPr>
          <w:rFonts w:hint="eastAsia"/>
          <w:szCs w:val="24"/>
          <w:u w:val="single"/>
        </w:rPr>
        <w:t>150</w:t>
      </w:r>
      <w:r>
        <w:rPr>
          <w:szCs w:val="24"/>
          <w:u w:val="single"/>
        </w:rPr>
        <w:t>万元，占总投资的</w:t>
      </w:r>
      <w:r>
        <w:rPr>
          <w:rFonts w:hint="eastAsia"/>
          <w:szCs w:val="24"/>
          <w:u w:val="single"/>
        </w:rPr>
        <w:t>5</w:t>
      </w:r>
      <w:r>
        <w:rPr>
          <w:szCs w:val="24"/>
          <w:u w:val="single"/>
        </w:rPr>
        <w:t>%。工程污染防治措施及投资概算见下表。</w:t>
      </w:r>
    </w:p>
    <w:p w14:paraId="1D3EF0E1">
      <w:pPr>
        <w:pStyle w:val="99"/>
        <w:numPr>
          <w:ilvl w:val="4"/>
          <w:numId w:val="50"/>
        </w:numPr>
        <w:adjustRightInd/>
        <w:snapToGrid/>
        <w:ind w:left="0" w:firstLine="480"/>
        <w:textAlignment w:val="auto"/>
        <w:rPr>
          <w:rFonts w:eastAsia="黑体"/>
          <w:bCs/>
          <w:kern w:val="2"/>
          <w:szCs w:val="24"/>
        </w:rPr>
      </w:pPr>
      <w:r>
        <w:rPr>
          <w:rFonts w:eastAsia="黑体"/>
          <w:bCs/>
          <w:kern w:val="2"/>
          <w:szCs w:val="24"/>
        </w:rPr>
        <w:t xml:space="preserve">   </w:t>
      </w:r>
      <w:r>
        <w:rPr>
          <w:rFonts w:hint="eastAsia" w:eastAsia="黑体"/>
          <w:bCs/>
          <w:kern w:val="2"/>
          <w:szCs w:val="24"/>
        </w:rPr>
        <w:t xml:space="preserve">     </w:t>
      </w:r>
      <w:r>
        <w:rPr>
          <w:rFonts w:eastAsia="黑体"/>
          <w:bCs/>
          <w:kern w:val="2"/>
          <w:szCs w:val="24"/>
        </w:rPr>
        <w:t xml:space="preserve">   工程污染防治措施及投资概算</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 w:type="dxa"/>
          <w:bottom w:w="0" w:type="dxa"/>
          <w:right w:w="11" w:type="dxa"/>
        </w:tblCellMar>
      </w:tblPr>
      <w:tblGrid>
        <w:gridCol w:w="527"/>
        <w:gridCol w:w="670"/>
        <w:gridCol w:w="30"/>
        <w:gridCol w:w="1039"/>
        <w:gridCol w:w="1610"/>
        <w:gridCol w:w="1020"/>
        <w:gridCol w:w="465"/>
        <w:gridCol w:w="628"/>
        <w:gridCol w:w="627"/>
        <w:gridCol w:w="735"/>
        <w:gridCol w:w="984"/>
      </w:tblGrid>
      <w:tr w14:paraId="1D3EF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Align w:val="center"/>
          </w:tcPr>
          <w:p w14:paraId="1D3EF0E2">
            <w:pPr>
              <w:adjustRightInd/>
              <w:snapToGrid/>
              <w:spacing w:line="240" w:lineRule="auto"/>
              <w:ind w:firstLine="0" w:firstLineChars="0"/>
              <w:jc w:val="center"/>
              <w:textAlignment w:val="auto"/>
              <w:rPr>
                <w:b/>
                <w:kern w:val="2"/>
                <w:sz w:val="21"/>
                <w:u w:val="single"/>
              </w:rPr>
            </w:pPr>
            <w:r>
              <w:rPr>
                <w:b/>
                <w:kern w:val="2"/>
                <w:sz w:val="21"/>
                <w:u w:val="single"/>
              </w:rPr>
              <w:t>项目</w:t>
            </w:r>
          </w:p>
        </w:tc>
        <w:tc>
          <w:tcPr>
            <w:tcW w:w="1043" w:type="pct"/>
            <w:gridSpan w:val="3"/>
            <w:vAlign w:val="center"/>
          </w:tcPr>
          <w:p w14:paraId="1D3EF0E3">
            <w:pPr>
              <w:adjustRightInd/>
              <w:snapToGrid/>
              <w:spacing w:line="240" w:lineRule="auto"/>
              <w:ind w:firstLine="0" w:firstLineChars="0"/>
              <w:jc w:val="center"/>
              <w:textAlignment w:val="auto"/>
              <w:rPr>
                <w:b/>
                <w:kern w:val="2"/>
                <w:sz w:val="21"/>
                <w:u w:val="single"/>
              </w:rPr>
            </w:pPr>
            <w:r>
              <w:rPr>
                <w:b/>
                <w:kern w:val="2"/>
                <w:sz w:val="21"/>
                <w:u w:val="single"/>
              </w:rPr>
              <w:t>产污环节</w:t>
            </w:r>
          </w:p>
        </w:tc>
        <w:tc>
          <w:tcPr>
            <w:tcW w:w="966" w:type="pct"/>
            <w:vAlign w:val="center"/>
          </w:tcPr>
          <w:p w14:paraId="1D3EF0E4">
            <w:pPr>
              <w:adjustRightInd/>
              <w:snapToGrid/>
              <w:spacing w:line="240" w:lineRule="auto"/>
              <w:ind w:firstLine="0" w:firstLineChars="0"/>
              <w:jc w:val="center"/>
              <w:textAlignment w:val="auto"/>
              <w:rPr>
                <w:b/>
                <w:kern w:val="2"/>
                <w:sz w:val="21"/>
                <w:u w:val="single"/>
              </w:rPr>
            </w:pPr>
            <w:r>
              <w:rPr>
                <w:b/>
                <w:kern w:val="2"/>
                <w:sz w:val="21"/>
                <w:u w:val="single"/>
              </w:rPr>
              <w:t>主要污染物</w:t>
            </w:r>
          </w:p>
        </w:tc>
        <w:tc>
          <w:tcPr>
            <w:tcW w:w="2085" w:type="pct"/>
            <w:gridSpan w:val="5"/>
            <w:vAlign w:val="center"/>
          </w:tcPr>
          <w:p w14:paraId="1D3EF0E5">
            <w:pPr>
              <w:adjustRightInd/>
              <w:snapToGrid/>
              <w:spacing w:line="240" w:lineRule="auto"/>
              <w:ind w:firstLine="0" w:firstLineChars="0"/>
              <w:jc w:val="center"/>
              <w:textAlignment w:val="auto"/>
              <w:rPr>
                <w:b/>
                <w:kern w:val="2"/>
                <w:sz w:val="21"/>
                <w:u w:val="single"/>
              </w:rPr>
            </w:pPr>
            <w:r>
              <w:rPr>
                <w:b/>
                <w:kern w:val="2"/>
                <w:sz w:val="21"/>
                <w:u w:val="single"/>
              </w:rPr>
              <w:t>治理措施</w:t>
            </w:r>
          </w:p>
        </w:tc>
        <w:tc>
          <w:tcPr>
            <w:tcW w:w="590" w:type="pct"/>
            <w:vAlign w:val="center"/>
          </w:tcPr>
          <w:p w14:paraId="1D3EF0E7">
            <w:pPr>
              <w:adjustRightInd/>
              <w:snapToGrid/>
              <w:spacing w:line="240" w:lineRule="auto"/>
              <w:ind w:firstLine="0" w:firstLineChars="0"/>
              <w:jc w:val="center"/>
              <w:textAlignment w:val="auto"/>
              <w:rPr>
                <w:b/>
                <w:kern w:val="2"/>
                <w:sz w:val="21"/>
                <w:u w:val="single"/>
              </w:rPr>
            </w:pPr>
            <w:r>
              <w:rPr>
                <w:b/>
                <w:kern w:val="2"/>
                <w:sz w:val="21"/>
                <w:u w:val="single"/>
              </w:rPr>
              <w:t>投资估算（万元）</w:t>
            </w:r>
          </w:p>
        </w:tc>
      </w:tr>
      <w:tr w14:paraId="1D3EF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restart"/>
            <w:vAlign w:val="center"/>
          </w:tcPr>
          <w:p w14:paraId="1D3EF0EB">
            <w:pPr>
              <w:adjustRightInd/>
              <w:snapToGrid/>
              <w:spacing w:line="240" w:lineRule="auto"/>
              <w:ind w:firstLine="0" w:firstLineChars="0"/>
              <w:contextualSpacing/>
              <w:jc w:val="center"/>
              <w:rPr>
                <w:bCs/>
                <w:sz w:val="21"/>
                <w:szCs w:val="21"/>
                <w:u w:val="single"/>
              </w:rPr>
            </w:pPr>
            <w:r>
              <w:rPr>
                <w:bCs/>
                <w:sz w:val="21"/>
                <w:szCs w:val="21"/>
                <w:u w:val="single"/>
              </w:rPr>
              <w:t>废气</w:t>
            </w:r>
          </w:p>
        </w:tc>
        <w:tc>
          <w:tcPr>
            <w:tcW w:w="402" w:type="pct"/>
            <w:vMerge w:val="restart"/>
            <w:vAlign w:val="center"/>
          </w:tcPr>
          <w:p w14:paraId="7AF1A67F">
            <w:pPr>
              <w:adjustRightInd/>
              <w:snapToGrid/>
              <w:spacing w:line="240" w:lineRule="auto"/>
              <w:ind w:firstLine="0" w:firstLineChars="0"/>
              <w:contextualSpacing/>
              <w:jc w:val="center"/>
              <w:rPr>
                <w:bCs/>
                <w:sz w:val="21"/>
                <w:szCs w:val="21"/>
                <w:u w:val="single"/>
              </w:rPr>
            </w:pPr>
            <w:r>
              <w:rPr>
                <w:rFonts w:hint="eastAsia"/>
                <w:bCs/>
                <w:sz w:val="21"/>
                <w:szCs w:val="21"/>
                <w:u w:val="single"/>
              </w:rPr>
              <w:t>聚醚改性硅油</w:t>
            </w:r>
          </w:p>
        </w:tc>
        <w:tc>
          <w:tcPr>
            <w:tcW w:w="641" w:type="pct"/>
            <w:gridSpan w:val="2"/>
            <w:vAlign w:val="center"/>
          </w:tcPr>
          <w:p w14:paraId="1D3EF0EC">
            <w:pPr>
              <w:adjustRightInd/>
              <w:snapToGrid/>
              <w:spacing w:line="240" w:lineRule="auto"/>
              <w:ind w:firstLine="0" w:firstLineChars="0"/>
              <w:contextualSpacing/>
              <w:jc w:val="center"/>
              <w:rPr>
                <w:bCs/>
                <w:sz w:val="21"/>
                <w:szCs w:val="21"/>
                <w:u w:val="single"/>
              </w:rPr>
            </w:pPr>
            <w:r>
              <w:rPr>
                <w:rFonts w:hint="eastAsia"/>
                <w:sz w:val="21"/>
                <w:szCs w:val="21"/>
                <w:u w:val="single"/>
              </w:rPr>
              <w:t>聚合</w:t>
            </w:r>
          </w:p>
        </w:tc>
        <w:tc>
          <w:tcPr>
            <w:tcW w:w="966" w:type="pct"/>
            <w:vAlign w:val="center"/>
          </w:tcPr>
          <w:p w14:paraId="1D3EF0ED">
            <w:pPr>
              <w:adjustRightInd/>
              <w:snapToGrid/>
              <w:spacing w:line="240" w:lineRule="auto"/>
              <w:ind w:firstLine="0" w:firstLineChars="0"/>
              <w:contextualSpacing/>
              <w:jc w:val="center"/>
              <w:rPr>
                <w:bCs/>
                <w:sz w:val="21"/>
                <w:szCs w:val="21"/>
                <w:highlight w:val="yellow"/>
                <w:u w:val="single"/>
              </w:rPr>
            </w:pPr>
            <w:r>
              <w:rPr>
                <w:rFonts w:hint="eastAsia"/>
                <w:sz w:val="21"/>
                <w:szCs w:val="21"/>
                <w:u w:val="single"/>
                <w:lang w:val="pt-BR"/>
              </w:rPr>
              <w:t>非甲烷总烃、硫酸雾</w:t>
            </w:r>
          </w:p>
        </w:tc>
        <w:tc>
          <w:tcPr>
            <w:tcW w:w="612" w:type="pct"/>
            <w:vMerge w:val="restart"/>
            <w:vAlign w:val="center"/>
          </w:tcPr>
          <w:p w14:paraId="33E37FD7">
            <w:pPr>
              <w:adjustRightInd/>
              <w:snapToGrid/>
              <w:spacing w:line="240" w:lineRule="auto"/>
              <w:ind w:firstLine="0" w:firstLineChars="0"/>
              <w:contextualSpacing/>
              <w:jc w:val="center"/>
              <w:rPr>
                <w:b/>
                <w:sz w:val="21"/>
                <w:szCs w:val="21"/>
                <w:highlight w:val="yellow"/>
                <w:u w:val="single"/>
              </w:rPr>
            </w:pPr>
            <w:r>
              <w:rPr>
                <w:rFonts w:hint="eastAsia"/>
                <w:sz w:val="21"/>
                <w:szCs w:val="21"/>
                <w:u w:val="single"/>
              </w:rPr>
              <w:t>密闭负压收集管道</w:t>
            </w:r>
          </w:p>
        </w:tc>
        <w:tc>
          <w:tcPr>
            <w:tcW w:w="279" w:type="pct"/>
            <w:vMerge w:val="restart"/>
            <w:vAlign w:val="center"/>
          </w:tcPr>
          <w:p w14:paraId="659F30B0">
            <w:pPr>
              <w:adjustRightInd/>
              <w:snapToGrid/>
              <w:spacing w:line="240" w:lineRule="auto"/>
              <w:ind w:firstLine="0" w:firstLineChars="0"/>
              <w:contextualSpacing/>
              <w:jc w:val="center"/>
              <w:rPr>
                <w:bCs/>
                <w:sz w:val="21"/>
                <w:szCs w:val="21"/>
                <w:highlight w:val="yellow"/>
                <w:u w:val="single"/>
              </w:rPr>
            </w:pPr>
            <w:r>
              <w:rPr>
                <w:rFonts w:hint="eastAsia"/>
                <w:bCs/>
                <w:sz w:val="21"/>
                <w:szCs w:val="21"/>
                <w:u w:val="single"/>
              </w:rPr>
              <w:t>设备自带冷凝</w:t>
            </w:r>
          </w:p>
        </w:tc>
        <w:tc>
          <w:tcPr>
            <w:tcW w:w="377" w:type="pct"/>
            <w:vMerge w:val="restart"/>
            <w:vAlign w:val="center"/>
          </w:tcPr>
          <w:p w14:paraId="3431ECE2">
            <w:pPr>
              <w:adjustRightInd/>
              <w:snapToGrid/>
              <w:spacing w:line="240" w:lineRule="auto"/>
              <w:ind w:firstLine="0" w:firstLineChars="0"/>
              <w:contextualSpacing/>
              <w:jc w:val="center"/>
              <w:rPr>
                <w:bCs/>
                <w:sz w:val="21"/>
                <w:szCs w:val="21"/>
                <w:highlight w:val="yellow"/>
                <w:u w:val="single"/>
              </w:rPr>
            </w:pPr>
            <w:r>
              <w:rPr>
                <w:rFonts w:hint="eastAsia"/>
                <w:bCs/>
                <w:sz w:val="21"/>
                <w:szCs w:val="21"/>
                <w:u w:val="single"/>
              </w:rPr>
              <w:t>碱喷淋+水喷淋+除雾器</w:t>
            </w:r>
          </w:p>
        </w:tc>
        <w:tc>
          <w:tcPr>
            <w:tcW w:w="376" w:type="pct"/>
            <w:vMerge w:val="restart"/>
            <w:vAlign w:val="center"/>
          </w:tcPr>
          <w:p w14:paraId="0FF35914">
            <w:pPr>
              <w:adjustRightInd/>
              <w:snapToGrid/>
              <w:spacing w:line="240" w:lineRule="auto"/>
              <w:ind w:firstLine="0" w:firstLineChars="0"/>
              <w:contextualSpacing/>
              <w:jc w:val="center"/>
              <w:rPr>
                <w:bCs/>
                <w:sz w:val="21"/>
                <w:szCs w:val="21"/>
                <w:highlight w:val="yellow"/>
                <w:u w:val="single"/>
              </w:rPr>
            </w:pPr>
            <w:r>
              <w:rPr>
                <w:rFonts w:hint="eastAsia"/>
                <w:bCs/>
                <w:sz w:val="21"/>
                <w:szCs w:val="21"/>
                <w:u w:val="single"/>
              </w:rPr>
              <w:t>活性炭吸附装置</w:t>
            </w:r>
          </w:p>
        </w:tc>
        <w:tc>
          <w:tcPr>
            <w:tcW w:w="441" w:type="pct"/>
            <w:vMerge w:val="restart"/>
            <w:vAlign w:val="center"/>
          </w:tcPr>
          <w:p w14:paraId="1D3EF0EE">
            <w:pPr>
              <w:adjustRightInd/>
              <w:snapToGrid/>
              <w:spacing w:line="240" w:lineRule="auto"/>
              <w:ind w:firstLine="0" w:firstLineChars="0"/>
              <w:contextualSpacing/>
              <w:jc w:val="center"/>
              <w:rPr>
                <w:bCs/>
                <w:sz w:val="21"/>
                <w:szCs w:val="21"/>
                <w:highlight w:val="yellow"/>
                <w:u w:val="single"/>
              </w:rPr>
            </w:pPr>
            <w:r>
              <w:rPr>
                <w:rFonts w:hint="eastAsia"/>
                <w:sz w:val="21"/>
                <w:szCs w:val="21"/>
                <w:u w:val="single"/>
              </w:rPr>
              <w:t>15m高排气筒DA001</w:t>
            </w:r>
          </w:p>
        </w:tc>
        <w:tc>
          <w:tcPr>
            <w:tcW w:w="590" w:type="pct"/>
            <w:vMerge w:val="restart"/>
            <w:vAlign w:val="center"/>
          </w:tcPr>
          <w:p w14:paraId="1D3EF0EF">
            <w:pPr>
              <w:adjustRightInd/>
              <w:snapToGrid/>
              <w:spacing w:line="240" w:lineRule="auto"/>
              <w:ind w:firstLine="0" w:firstLineChars="0"/>
              <w:contextualSpacing/>
              <w:jc w:val="center"/>
              <w:rPr>
                <w:bCs/>
                <w:sz w:val="21"/>
                <w:szCs w:val="21"/>
                <w:highlight w:val="yellow"/>
                <w:u w:val="single"/>
              </w:rPr>
            </w:pPr>
            <w:r>
              <w:rPr>
                <w:rFonts w:hint="eastAsia"/>
                <w:bCs/>
                <w:sz w:val="21"/>
                <w:szCs w:val="21"/>
                <w:u w:val="single"/>
              </w:rPr>
              <w:t>50</w:t>
            </w:r>
          </w:p>
        </w:tc>
      </w:tr>
      <w:tr w14:paraId="25CFC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vAlign w:val="center"/>
          </w:tcPr>
          <w:p w14:paraId="5FD89CD0">
            <w:pPr>
              <w:adjustRightInd/>
              <w:snapToGrid/>
              <w:spacing w:line="240" w:lineRule="auto"/>
              <w:ind w:firstLine="0" w:firstLineChars="0"/>
              <w:contextualSpacing/>
              <w:jc w:val="center"/>
              <w:rPr>
                <w:bCs/>
                <w:sz w:val="21"/>
                <w:szCs w:val="21"/>
                <w:u w:val="single"/>
              </w:rPr>
            </w:pPr>
          </w:p>
        </w:tc>
        <w:tc>
          <w:tcPr>
            <w:tcW w:w="402" w:type="pct"/>
            <w:vMerge w:val="continue"/>
            <w:vAlign w:val="center"/>
          </w:tcPr>
          <w:p w14:paraId="1404C017">
            <w:pPr>
              <w:adjustRightInd/>
              <w:snapToGrid/>
              <w:spacing w:line="240" w:lineRule="auto"/>
              <w:ind w:firstLine="0" w:firstLineChars="0"/>
              <w:contextualSpacing/>
              <w:jc w:val="center"/>
              <w:rPr>
                <w:bCs/>
                <w:sz w:val="21"/>
                <w:szCs w:val="21"/>
                <w:u w:val="single"/>
              </w:rPr>
            </w:pPr>
          </w:p>
        </w:tc>
        <w:tc>
          <w:tcPr>
            <w:tcW w:w="641" w:type="pct"/>
            <w:gridSpan w:val="2"/>
            <w:vAlign w:val="center"/>
          </w:tcPr>
          <w:p w14:paraId="1549F4BF">
            <w:pPr>
              <w:adjustRightInd/>
              <w:snapToGrid/>
              <w:spacing w:line="240" w:lineRule="auto"/>
              <w:ind w:firstLine="0" w:firstLineChars="0"/>
              <w:contextualSpacing/>
              <w:jc w:val="center"/>
              <w:rPr>
                <w:sz w:val="21"/>
                <w:szCs w:val="21"/>
                <w:u w:val="single"/>
              </w:rPr>
            </w:pPr>
            <w:r>
              <w:rPr>
                <w:rFonts w:hint="eastAsia"/>
                <w:sz w:val="21"/>
                <w:szCs w:val="21"/>
                <w:u w:val="single"/>
              </w:rPr>
              <w:t>中和</w:t>
            </w:r>
          </w:p>
        </w:tc>
        <w:tc>
          <w:tcPr>
            <w:tcW w:w="966" w:type="pct"/>
            <w:vAlign w:val="center"/>
          </w:tcPr>
          <w:p w14:paraId="513EF450">
            <w:pPr>
              <w:adjustRightInd/>
              <w:snapToGrid/>
              <w:spacing w:line="240" w:lineRule="auto"/>
              <w:ind w:firstLine="0" w:firstLineChars="0"/>
              <w:contextualSpacing/>
              <w:jc w:val="center"/>
              <w:rPr>
                <w:sz w:val="21"/>
                <w:szCs w:val="21"/>
                <w:u w:val="single"/>
                <w:lang w:val="pt-BR"/>
              </w:rPr>
            </w:pPr>
            <w:r>
              <w:rPr>
                <w:rFonts w:hint="eastAsia"/>
                <w:sz w:val="21"/>
                <w:szCs w:val="21"/>
                <w:u w:val="single"/>
                <w:lang w:val="pt-BR"/>
              </w:rPr>
              <w:t>非甲烷总烃</w:t>
            </w:r>
          </w:p>
        </w:tc>
        <w:tc>
          <w:tcPr>
            <w:tcW w:w="612" w:type="pct"/>
            <w:vMerge w:val="continue"/>
            <w:vAlign w:val="center"/>
          </w:tcPr>
          <w:p w14:paraId="772F925A">
            <w:pPr>
              <w:adjustRightInd/>
              <w:snapToGrid/>
              <w:spacing w:line="240" w:lineRule="auto"/>
              <w:ind w:firstLine="0" w:firstLineChars="0"/>
              <w:contextualSpacing/>
              <w:jc w:val="center"/>
              <w:rPr>
                <w:sz w:val="21"/>
                <w:szCs w:val="21"/>
                <w:u w:val="single"/>
              </w:rPr>
            </w:pPr>
          </w:p>
        </w:tc>
        <w:tc>
          <w:tcPr>
            <w:tcW w:w="279" w:type="pct"/>
            <w:vMerge w:val="continue"/>
            <w:vAlign w:val="center"/>
          </w:tcPr>
          <w:p w14:paraId="770E791C">
            <w:pPr>
              <w:adjustRightInd/>
              <w:snapToGrid/>
              <w:spacing w:line="240" w:lineRule="auto"/>
              <w:ind w:firstLine="0" w:firstLineChars="0"/>
              <w:contextualSpacing/>
              <w:jc w:val="center"/>
              <w:rPr>
                <w:bCs/>
                <w:sz w:val="21"/>
                <w:szCs w:val="21"/>
                <w:u w:val="single"/>
              </w:rPr>
            </w:pPr>
          </w:p>
        </w:tc>
        <w:tc>
          <w:tcPr>
            <w:tcW w:w="377" w:type="pct"/>
            <w:vMerge w:val="continue"/>
            <w:vAlign w:val="center"/>
          </w:tcPr>
          <w:p w14:paraId="01490F1A">
            <w:pPr>
              <w:adjustRightInd/>
              <w:snapToGrid/>
              <w:spacing w:line="240" w:lineRule="auto"/>
              <w:ind w:firstLine="0" w:firstLineChars="0"/>
              <w:contextualSpacing/>
              <w:jc w:val="center"/>
              <w:rPr>
                <w:bCs/>
                <w:sz w:val="21"/>
                <w:szCs w:val="21"/>
                <w:u w:val="single"/>
              </w:rPr>
            </w:pPr>
          </w:p>
        </w:tc>
        <w:tc>
          <w:tcPr>
            <w:tcW w:w="376" w:type="pct"/>
            <w:vMerge w:val="continue"/>
            <w:vAlign w:val="center"/>
          </w:tcPr>
          <w:p w14:paraId="6AD50985">
            <w:pPr>
              <w:adjustRightInd/>
              <w:snapToGrid/>
              <w:spacing w:line="240" w:lineRule="auto"/>
              <w:ind w:firstLine="0" w:firstLineChars="0"/>
              <w:contextualSpacing/>
              <w:jc w:val="center"/>
              <w:rPr>
                <w:bCs/>
                <w:sz w:val="21"/>
                <w:szCs w:val="21"/>
                <w:u w:val="single"/>
              </w:rPr>
            </w:pPr>
          </w:p>
        </w:tc>
        <w:tc>
          <w:tcPr>
            <w:tcW w:w="441" w:type="pct"/>
            <w:vMerge w:val="continue"/>
            <w:vAlign w:val="center"/>
          </w:tcPr>
          <w:p w14:paraId="09DB328D">
            <w:pPr>
              <w:adjustRightInd/>
              <w:snapToGrid/>
              <w:spacing w:line="240" w:lineRule="auto"/>
              <w:ind w:firstLine="0" w:firstLineChars="0"/>
              <w:contextualSpacing/>
              <w:jc w:val="center"/>
              <w:rPr>
                <w:sz w:val="21"/>
                <w:szCs w:val="21"/>
                <w:u w:val="single"/>
              </w:rPr>
            </w:pPr>
          </w:p>
        </w:tc>
        <w:tc>
          <w:tcPr>
            <w:tcW w:w="590" w:type="pct"/>
            <w:vMerge w:val="continue"/>
            <w:vAlign w:val="center"/>
          </w:tcPr>
          <w:p w14:paraId="392EF436">
            <w:pPr>
              <w:adjustRightInd/>
              <w:snapToGrid/>
              <w:spacing w:line="240" w:lineRule="auto"/>
              <w:ind w:firstLine="0" w:firstLineChars="0"/>
              <w:contextualSpacing/>
              <w:jc w:val="center"/>
              <w:rPr>
                <w:bCs/>
                <w:sz w:val="21"/>
                <w:szCs w:val="21"/>
                <w:u w:val="single"/>
              </w:rPr>
            </w:pPr>
          </w:p>
        </w:tc>
      </w:tr>
      <w:tr w14:paraId="123F2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vAlign w:val="center"/>
          </w:tcPr>
          <w:p w14:paraId="4B058ABD">
            <w:pPr>
              <w:adjustRightInd/>
              <w:snapToGrid/>
              <w:spacing w:line="240" w:lineRule="auto"/>
              <w:ind w:firstLine="0" w:firstLineChars="0"/>
              <w:contextualSpacing/>
              <w:jc w:val="center"/>
              <w:rPr>
                <w:bCs/>
                <w:sz w:val="21"/>
                <w:szCs w:val="21"/>
                <w:u w:val="single"/>
              </w:rPr>
            </w:pPr>
          </w:p>
        </w:tc>
        <w:tc>
          <w:tcPr>
            <w:tcW w:w="402" w:type="pct"/>
            <w:vMerge w:val="continue"/>
            <w:vAlign w:val="center"/>
          </w:tcPr>
          <w:p w14:paraId="4E1A2900">
            <w:pPr>
              <w:adjustRightInd/>
              <w:snapToGrid/>
              <w:spacing w:line="240" w:lineRule="auto"/>
              <w:ind w:firstLine="0" w:firstLineChars="0"/>
              <w:contextualSpacing/>
              <w:jc w:val="center"/>
              <w:rPr>
                <w:bCs/>
                <w:sz w:val="21"/>
                <w:szCs w:val="21"/>
                <w:u w:val="single"/>
              </w:rPr>
            </w:pPr>
          </w:p>
        </w:tc>
        <w:tc>
          <w:tcPr>
            <w:tcW w:w="641" w:type="pct"/>
            <w:gridSpan w:val="2"/>
            <w:vAlign w:val="center"/>
          </w:tcPr>
          <w:p w14:paraId="2EA84B34">
            <w:pPr>
              <w:adjustRightInd/>
              <w:snapToGrid/>
              <w:spacing w:line="240" w:lineRule="auto"/>
              <w:ind w:firstLine="0" w:firstLineChars="0"/>
              <w:contextualSpacing/>
              <w:jc w:val="center"/>
              <w:rPr>
                <w:bCs/>
                <w:sz w:val="21"/>
                <w:szCs w:val="21"/>
                <w:u w:val="single"/>
              </w:rPr>
            </w:pPr>
            <w:r>
              <w:rPr>
                <w:rFonts w:hint="eastAsia"/>
                <w:sz w:val="21"/>
                <w:szCs w:val="21"/>
                <w:u w:val="single"/>
              </w:rPr>
              <w:t>硅氢化反应、脱色</w:t>
            </w:r>
          </w:p>
        </w:tc>
        <w:tc>
          <w:tcPr>
            <w:tcW w:w="966" w:type="pct"/>
            <w:vAlign w:val="center"/>
          </w:tcPr>
          <w:p w14:paraId="0959DBDE">
            <w:pPr>
              <w:adjustRightInd/>
              <w:snapToGrid/>
              <w:spacing w:line="240" w:lineRule="auto"/>
              <w:ind w:firstLine="0" w:firstLineChars="0"/>
              <w:contextualSpacing/>
              <w:jc w:val="center"/>
              <w:rPr>
                <w:bCs/>
                <w:sz w:val="21"/>
                <w:szCs w:val="21"/>
                <w:highlight w:val="yellow"/>
                <w:u w:val="single"/>
              </w:rPr>
            </w:pPr>
            <w:r>
              <w:rPr>
                <w:rFonts w:hint="eastAsia"/>
                <w:sz w:val="21"/>
                <w:szCs w:val="21"/>
                <w:u w:val="single"/>
                <w:lang w:val="pt-BR"/>
              </w:rPr>
              <w:t>非甲烷总烃</w:t>
            </w:r>
          </w:p>
        </w:tc>
        <w:tc>
          <w:tcPr>
            <w:tcW w:w="612" w:type="pct"/>
            <w:vAlign w:val="center"/>
          </w:tcPr>
          <w:p w14:paraId="0B4CAD2C">
            <w:pPr>
              <w:adjustRightInd/>
              <w:snapToGrid/>
              <w:spacing w:line="240" w:lineRule="auto"/>
              <w:ind w:firstLine="0" w:firstLineChars="0"/>
              <w:contextualSpacing/>
              <w:jc w:val="center"/>
              <w:rPr>
                <w:b/>
                <w:sz w:val="21"/>
                <w:szCs w:val="21"/>
                <w:highlight w:val="yellow"/>
                <w:u w:val="single"/>
              </w:rPr>
            </w:pPr>
            <w:r>
              <w:rPr>
                <w:rFonts w:hint="eastAsia"/>
                <w:sz w:val="21"/>
                <w:szCs w:val="21"/>
                <w:u w:val="single"/>
              </w:rPr>
              <w:t>密闭负压收集管道</w:t>
            </w:r>
          </w:p>
        </w:tc>
        <w:tc>
          <w:tcPr>
            <w:tcW w:w="279" w:type="pct"/>
            <w:vMerge w:val="continue"/>
            <w:vAlign w:val="center"/>
          </w:tcPr>
          <w:p w14:paraId="7C3B1F42">
            <w:pPr>
              <w:adjustRightInd/>
              <w:snapToGrid/>
              <w:spacing w:line="240" w:lineRule="auto"/>
              <w:ind w:firstLine="0" w:firstLineChars="0"/>
              <w:contextualSpacing/>
              <w:jc w:val="center"/>
              <w:rPr>
                <w:b/>
                <w:sz w:val="21"/>
                <w:szCs w:val="21"/>
                <w:highlight w:val="yellow"/>
                <w:u w:val="single"/>
              </w:rPr>
            </w:pPr>
          </w:p>
        </w:tc>
        <w:tc>
          <w:tcPr>
            <w:tcW w:w="377" w:type="pct"/>
            <w:vMerge w:val="continue"/>
            <w:vAlign w:val="center"/>
          </w:tcPr>
          <w:p w14:paraId="24CB68EB">
            <w:pPr>
              <w:adjustRightInd/>
              <w:snapToGrid/>
              <w:spacing w:line="240" w:lineRule="auto"/>
              <w:ind w:firstLine="0" w:firstLineChars="0"/>
              <w:contextualSpacing/>
              <w:jc w:val="center"/>
              <w:rPr>
                <w:b/>
                <w:sz w:val="21"/>
                <w:szCs w:val="21"/>
                <w:highlight w:val="yellow"/>
                <w:u w:val="single"/>
              </w:rPr>
            </w:pPr>
          </w:p>
        </w:tc>
        <w:tc>
          <w:tcPr>
            <w:tcW w:w="376" w:type="pct"/>
            <w:vMerge w:val="continue"/>
            <w:vAlign w:val="center"/>
          </w:tcPr>
          <w:p w14:paraId="082882BC">
            <w:pPr>
              <w:adjustRightInd/>
              <w:snapToGrid/>
              <w:spacing w:line="240" w:lineRule="auto"/>
              <w:ind w:firstLine="0" w:firstLineChars="0"/>
              <w:contextualSpacing/>
              <w:jc w:val="center"/>
              <w:rPr>
                <w:b/>
                <w:sz w:val="21"/>
                <w:szCs w:val="21"/>
                <w:highlight w:val="yellow"/>
                <w:u w:val="single"/>
              </w:rPr>
            </w:pPr>
          </w:p>
        </w:tc>
        <w:tc>
          <w:tcPr>
            <w:tcW w:w="441" w:type="pct"/>
            <w:vMerge w:val="continue"/>
            <w:vAlign w:val="center"/>
          </w:tcPr>
          <w:p w14:paraId="57547C2F">
            <w:pPr>
              <w:adjustRightInd/>
              <w:snapToGrid/>
              <w:spacing w:line="240" w:lineRule="auto"/>
              <w:ind w:firstLine="0" w:firstLineChars="0"/>
              <w:contextualSpacing/>
              <w:jc w:val="center"/>
              <w:rPr>
                <w:b/>
                <w:sz w:val="21"/>
                <w:szCs w:val="21"/>
                <w:highlight w:val="yellow"/>
                <w:u w:val="single"/>
              </w:rPr>
            </w:pPr>
          </w:p>
        </w:tc>
        <w:tc>
          <w:tcPr>
            <w:tcW w:w="590" w:type="pct"/>
            <w:vMerge w:val="continue"/>
            <w:vAlign w:val="center"/>
          </w:tcPr>
          <w:p w14:paraId="5F2CFB2D">
            <w:pPr>
              <w:adjustRightInd/>
              <w:snapToGrid/>
              <w:spacing w:line="240" w:lineRule="auto"/>
              <w:ind w:firstLine="0" w:firstLineChars="0"/>
              <w:contextualSpacing/>
              <w:jc w:val="center"/>
              <w:rPr>
                <w:b/>
                <w:sz w:val="21"/>
                <w:szCs w:val="21"/>
                <w:highlight w:val="yellow"/>
                <w:u w:val="single"/>
              </w:rPr>
            </w:pPr>
          </w:p>
        </w:tc>
      </w:tr>
      <w:tr w14:paraId="2DC11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vAlign w:val="center"/>
          </w:tcPr>
          <w:p w14:paraId="2D9B6403">
            <w:pPr>
              <w:adjustRightInd/>
              <w:snapToGrid/>
              <w:spacing w:line="240" w:lineRule="auto"/>
              <w:ind w:firstLine="0" w:firstLineChars="0"/>
              <w:contextualSpacing/>
              <w:jc w:val="center"/>
              <w:rPr>
                <w:bCs/>
                <w:sz w:val="21"/>
                <w:szCs w:val="21"/>
                <w:highlight w:val="yellow"/>
                <w:u w:val="single"/>
              </w:rPr>
            </w:pPr>
          </w:p>
        </w:tc>
        <w:tc>
          <w:tcPr>
            <w:tcW w:w="1043" w:type="pct"/>
            <w:gridSpan w:val="3"/>
            <w:vAlign w:val="center"/>
          </w:tcPr>
          <w:p w14:paraId="3D5885CE">
            <w:pPr>
              <w:adjustRightInd/>
              <w:snapToGrid/>
              <w:spacing w:line="240" w:lineRule="auto"/>
              <w:ind w:firstLine="0" w:firstLineChars="0"/>
              <w:contextualSpacing/>
              <w:jc w:val="center"/>
              <w:rPr>
                <w:bCs/>
                <w:sz w:val="21"/>
                <w:szCs w:val="21"/>
                <w:u w:val="single"/>
              </w:rPr>
            </w:pPr>
            <w:r>
              <w:rPr>
                <w:rFonts w:hint="eastAsia"/>
                <w:sz w:val="21"/>
                <w:szCs w:val="21"/>
                <w:u w:val="single"/>
              </w:rPr>
              <w:t>污水处理站废气</w:t>
            </w:r>
          </w:p>
        </w:tc>
        <w:tc>
          <w:tcPr>
            <w:tcW w:w="966" w:type="pct"/>
            <w:vAlign w:val="center"/>
          </w:tcPr>
          <w:p w14:paraId="08120AF4">
            <w:pPr>
              <w:adjustRightInd/>
              <w:snapToGrid/>
              <w:spacing w:line="240" w:lineRule="auto"/>
              <w:ind w:firstLine="0" w:firstLineChars="0"/>
              <w:contextualSpacing/>
              <w:jc w:val="center"/>
              <w:rPr>
                <w:bCs/>
                <w:sz w:val="21"/>
                <w:szCs w:val="21"/>
                <w:u w:val="single"/>
              </w:rPr>
            </w:pPr>
            <w:r>
              <w:rPr>
                <w:rFonts w:hint="eastAsia"/>
                <w:sz w:val="21"/>
                <w:szCs w:val="21"/>
                <w:u w:val="single"/>
                <w:lang w:val="pt-BR"/>
              </w:rPr>
              <w:t>氨、硫化氢、臭气浓度、非甲烷总烃</w:t>
            </w:r>
          </w:p>
        </w:tc>
        <w:tc>
          <w:tcPr>
            <w:tcW w:w="612" w:type="pct"/>
            <w:vAlign w:val="center"/>
          </w:tcPr>
          <w:p w14:paraId="21751134">
            <w:pPr>
              <w:adjustRightInd/>
              <w:snapToGrid/>
              <w:spacing w:line="240" w:lineRule="auto"/>
              <w:ind w:firstLine="0" w:firstLineChars="0"/>
              <w:contextualSpacing/>
              <w:jc w:val="center"/>
              <w:rPr>
                <w:b/>
                <w:sz w:val="21"/>
                <w:szCs w:val="21"/>
                <w:u w:val="single"/>
              </w:rPr>
            </w:pPr>
            <w:r>
              <w:rPr>
                <w:rFonts w:hint="eastAsia"/>
                <w:sz w:val="21"/>
                <w:szCs w:val="21"/>
                <w:u w:val="single"/>
              </w:rPr>
              <w:t>密闭负压收集管道</w:t>
            </w:r>
          </w:p>
        </w:tc>
        <w:tc>
          <w:tcPr>
            <w:tcW w:w="279" w:type="pct"/>
            <w:vAlign w:val="center"/>
          </w:tcPr>
          <w:p w14:paraId="2357A793">
            <w:pPr>
              <w:adjustRightInd/>
              <w:snapToGrid/>
              <w:spacing w:line="240" w:lineRule="auto"/>
              <w:ind w:firstLine="0" w:firstLineChars="0"/>
              <w:contextualSpacing/>
              <w:jc w:val="center"/>
              <w:rPr>
                <w:bCs/>
                <w:sz w:val="21"/>
                <w:szCs w:val="21"/>
                <w:u w:val="single"/>
              </w:rPr>
            </w:pPr>
            <w:r>
              <w:rPr>
                <w:rFonts w:hint="eastAsia"/>
                <w:bCs/>
                <w:sz w:val="21"/>
                <w:szCs w:val="21"/>
                <w:u w:val="single"/>
              </w:rPr>
              <w:t>/</w:t>
            </w:r>
          </w:p>
        </w:tc>
        <w:tc>
          <w:tcPr>
            <w:tcW w:w="377" w:type="pct"/>
            <w:vMerge w:val="continue"/>
            <w:vAlign w:val="center"/>
          </w:tcPr>
          <w:p w14:paraId="480F662E">
            <w:pPr>
              <w:adjustRightInd/>
              <w:snapToGrid/>
              <w:spacing w:line="240" w:lineRule="auto"/>
              <w:ind w:firstLine="0" w:firstLineChars="0"/>
              <w:contextualSpacing/>
              <w:jc w:val="center"/>
              <w:rPr>
                <w:b/>
                <w:sz w:val="21"/>
                <w:szCs w:val="21"/>
                <w:u w:val="single"/>
              </w:rPr>
            </w:pPr>
          </w:p>
        </w:tc>
        <w:tc>
          <w:tcPr>
            <w:tcW w:w="376" w:type="pct"/>
            <w:vMerge w:val="continue"/>
            <w:vAlign w:val="center"/>
          </w:tcPr>
          <w:p w14:paraId="4F799D41">
            <w:pPr>
              <w:adjustRightInd/>
              <w:snapToGrid/>
              <w:spacing w:line="240" w:lineRule="auto"/>
              <w:ind w:firstLine="0" w:firstLineChars="0"/>
              <w:contextualSpacing/>
              <w:jc w:val="center"/>
              <w:rPr>
                <w:b/>
                <w:sz w:val="21"/>
                <w:szCs w:val="21"/>
                <w:u w:val="single"/>
              </w:rPr>
            </w:pPr>
          </w:p>
        </w:tc>
        <w:tc>
          <w:tcPr>
            <w:tcW w:w="441" w:type="pct"/>
            <w:vMerge w:val="continue"/>
            <w:vAlign w:val="center"/>
          </w:tcPr>
          <w:p w14:paraId="373AE152">
            <w:pPr>
              <w:adjustRightInd/>
              <w:snapToGrid/>
              <w:spacing w:line="240" w:lineRule="auto"/>
              <w:ind w:firstLine="0" w:firstLineChars="0"/>
              <w:contextualSpacing/>
              <w:jc w:val="center"/>
              <w:rPr>
                <w:b/>
                <w:sz w:val="21"/>
                <w:szCs w:val="21"/>
                <w:u w:val="single"/>
              </w:rPr>
            </w:pPr>
          </w:p>
        </w:tc>
        <w:tc>
          <w:tcPr>
            <w:tcW w:w="590" w:type="pct"/>
            <w:vMerge w:val="continue"/>
            <w:vAlign w:val="center"/>
          </w:tcPr>
          <w:p w14:paraId="68E2E6D8">
            <w:pPr>
              <w:adjustRightInd/>
              <w:snapToGrid/>
              <w:spacing w:line="240" w:lineRule="auto"/>
              <w:ind w:firstLine="0" w:firstLineChars="0"/>
              <w:contextualSpacing/>
              <w:jc w:val="center"/>
              <w:rPr>
                <w:b/>
                <w:sz w:val="21"/>
                <w:szCs w:val="21"/>
                <w:highlight w:val="yellow"/>
                <w:u w:val="single"/>
              </w:rPr>
            </w:pPr>
          </w:p>
        </w:tc>
      </w:tr>
      <w:tr w14:paraId="3B54A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vAlign w:val="center"/>
          </w:tcPr>
          <w:p w14:paraId="3E5C59EF">
            <w:pPr>
              <w:adjustRightInd/>
              <w:snapToGrid/>
              <w:spacing w:line="240" w:lineRule="auto"/>
              <w:ind w:firstLine="0" w:firstLineChars="0"/>
              <w:contextualSpacing/>
              <w:jc w:val="center"/>
              <w:rPr>
                <w:bCs/>
                <w:sz w:val="21"/>
                <w:szCs w:val="21"/>
                <w:highlight w:val="yellow"/>
                <w:u w:val="single"/>
              </w:rPr>
            </w:pPr>
          </w:p>
        </w:tc>
        <w:tc>
          <w:tcPr>
            <w:tcW w:w="1043" w:type="pct"/>
            <w:gridSpan w:val="3"/>
            <w:vAlign w:val="center"/>
          </w:tcPr>
          <w:p w14:paraId="77F3031B">
            <w:pPr>
              <w:adjustRightInd/>
              <w:snapToGrid/>
              <w:spacing w:line="240" w:lineRule="auto"/>
              <w:ind w:firstLine="0" w:firstLineChars="0"/>
              <w:contextualSpacing/>
              <w:jc w:val="center"/>
              <w:rPr>
                <w:bCs/>
                <w:sz w:val="21"/>
                <w:szCs w:val="21"/>
                <w:u w:val="single"/>
              </w:rPr>
            </w:pPr>
            <w:r>
              <w:rPr>
                <w:rFonts w:hint="eastAsia"/>
                <w:sz w:val="21"/>
                <w:szCs w:val="21"/>
                <w:u w:val="single"/>
              </w:rPr>
              <w:t>危险废物贮存库废气</w:t>
            </w:r>
          </w:p>
        </w:tc>
        <w:tc>
          <w:tcPr>
            <w:tcW w:w="966" w:type="pct"/>
            <w:vAlign w:val="center"/>
          </w:tcPr>
          <w:p w14:paraId="40CB287B">
            <w:pPr>
              <w:adjustRightInd/>
              <w:snapToGrid/>
              <w:spacing w:line="240" w:lineRule="auto"/>
              <w:ind w:firstLine="0" w:firstLineChars="0"/>
              <w:contextualSpacing/>
              <w:jc w:val="center"/>
              <w:rPr>
                <w:bCs/>
                <w:sz w:val="21"/>
                <w:szCs w:val="21"/>
                <w:u w:val="single"/>
              </w:rPr>
            </w:pPr>
            <w:r>
              <w:rPr>
                <w:rFonts w:hint="eastAsia"/>
                <w:sz w:val="21"/>
                <w:szCs w:val="21"/>
                <w:u w:val="single"/>
                <w:lang w:val="pt-BR"/>
              </w:rPr>
              <w:t>非甲烷总烃</w:t>
            </w:r>
          </w:p>
        </w:tc>
        <w:tc>
          <w:tcPr>
            <w:tcW w:w="612" w:type="pct"/>
            <w:vAlign w:val="center"/>
          </w:tcPr>
          <w:p w14:paraId="1FD75D94">
            <w:pPr>
              <w:adjustRightInd/>
              <w:snapToGrid/>
              <w:spacing w:line="240" w:lineRule="auto"/>
              <w:ind w:firstLine="0" w:firstLineChars="0"/>
              <w:contextualSpacing/>
              <w:jc w:val="center"/>
              <w:rPr>
                <w:b/>
                <w:sz w:val="21"/>
                <w:szCs w:val="21"/>
                <w:u w:val="single"/>
              </w:rPr>
            </w:pPr>
            <w:r>
              <w:rPr>
                <w:rFonts w:hint="eastAsia"/>
                <w:sz w:val="21"/>
                <w:szCs w:val="21"/>
                <w:u w:val="single"/>
              </w:rPr>
              <w:t>负压收集管道</w:t>
            </w:r>
          </w:p>
        </w:tc>
        <w:tc>
          <w:tcPr>
            <w:tcW w:w="656" w:type="pct"/>
            <w:gridSpan w:val="2"/>
            <w:vAlign w:val="center"/>
          </w:tcPr>
          <w:p w14:paraId="4CDCD252">
            <w:pPr>
              <w:adjustRightInd/>
              <w:snapToGrid/>
              <w:spacing w:line="240" w:lineRule="auto"/>
              <w:ind w:firstLine="0" w:firstLineChars="0"/>
              <w:contextualSpacing/>
              <w:jc w:val="center"/>
              <w:rPr>
                <w:bCs/>
                <w:sz w:val="21"/>
                <w:szCs w:val="21"/>
                <w:u w:val="single"/>
              </w:rPr>
            </w:pPr>
            <w:r>
              <w:rPr>
                <w:rFonts w:hint="eastAsia"/>
                <w:bCs/>
                <w:sz w:val="21"/>
                <w:szCs w:val="21"/>
                <w:u w:val="single"/>
              </w:rPr>
              <w:t>/</w:t>
            </w:r>
          </w:p>
        </w:tc>
        <w:tc>
          <w:tcPr>
            <w:tcW w:w="376" w:type="pct"/>
            <w:vMerge w:val="continue"/>
            <w:vAlign w:val="center"/>
          </w:tcPr>
          <w:p w14:paraId="6292D1D2">
            <w:pPr>
              <w:adjustRightInd/>
              <w:snapToGrid/>
              <w:spacing w:line="240" w:lineRule="auto"/>
              <w:ind w:firstLine="0" w:firstLineChars="0"/>
              <w:contextualSpacing/>
              <w:jc w:val="center"/>
              <w:rPr>
                <w:b/>
                <w:sz w:val="21"/>
                <w:szCs w:val="21"/>
                <w:u w:val="single"/>
              </w:rPr>
            </w:pPr>
          </w:p>
        </w:tc>
        <w:tc>
          <w:tcPr>
            <w:tcW w:w="441" w:type="pct"/>
            <w:vMerge w:val="continue"/>
            <w:vAlign w:val="center"/>
          </w:tcPr>
          <w:p w14:paraId="4E7D733F">
            <w:pPr>
              <w:adjustRightInd/>
              <w:snapToGrid/>
              <w:spacing w:line="240" w:lineRule="auto"/>
              <w:ind w:firstLine="0" w:firstLineChars="0"/>
              <w:contextualSpacing/>
              <w:jc w:val="center"/>
              <w:rPr>
                <w:b/>
                <w:sz w:val="21"/>
                <w:szCs w:val="21"/>
                <w:u w:val="single"/>
              </w:rPr>
            </w:pPr>
          </w:p>
        </w:tc>
        <w:tc>
          <w:tcPr>
            <w:tcW w:w="590" w:type="pct"/>
            <w:vMerge w:val="continue"/>
            <w:vAlign w:val="center"/>
          </w:tcPr>
          <w:p w14:paraId="3DBB2176">
            <w:pPr>
              <w:adjustRightInd/>
              <w:snapToGrid/>
              <w:spacing w:line="240" w:lineRule="auto"/>
              <w:ind w:firstLine="0" w:firstLineChars="0"/>
              <w:contextualSpacing/>
              <w:jc w:val="center"/>
              <w:rPr>
                <w:b/>
                <w:sz w:val="21"/>
                <w:szCs w:val="21"/>
                <w:highlight w:val="yellow"/>
                <w:u w:val="single"/>
              </w:rPr>
            </w:pPr>
          </w:p>
        </w:tc>
      </w:tr>
      <w:tr w14:paraId="4961C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vAlign w:val="center"/>
          </w:tcPr>
          <w:p w14:paraId="64C0216A">
            <w:pPr>
              <w:adjustRightInd/>
              <w:snapToGrid/>
              <w:spacing w:line="240" w:lineRule="auto"/>
              <w:ind w:firstLine="0" w:firstLineChars="0"/>
              <w:contextualSpacing/>
              <w:jc w:val="center"/>
              <w:rPr>
                <w:bCs/>
                <w:sz w:val="21"/>
                <w:szCs w:val="21"/>
                <w:highlight w:val="yellow"/>
                <w:u w:val="single"/>
              </w:rPr>
            </w:pPr>
          </w:p>
        </w:tc>
        <w:tc>
          <w:tcPr>
            <w:tcW w:w="1043" w:type="pct"/>
            <w:gridSpan w:val="3"/>
            <w:vAlign w:val="center"/>
          </w:tcPr>
          <w:p w14:paraId="39CEC5DC">
            <w:pPr>
              <w:adjustRightInd/>
              <w:snapToGrid/>
              <w:spacing w:line="240" w:lineRule="auto"/>
              <w:ind w:firstLine="0" w:firstLineChars="0"/>
              <w:contextualSpacing/>
              <w:jc w:val="center"/>
              <w:rPr>
                <w:bCs/>
                <w:sz w:val="21"/>
                <w:szCs w:val="21"/>
                <w:u w:val="single"/>
              </w:rPr>
            </w:pPr>
            <w:r>
              <w:rPr>
                <w:rFonts w:hint="eastAsia"/>
                <w:sz w:val="21"/>
                <w:szCs w:val="21"/>
                <w:u w:val="single"/>
              </w:rPr>
              <w:t>化验室废气</w:t>
            </w:r>
          </w:p>
        </w:tc>
        <w:tc>
          <w:tcPr>
            <w:tcW w:w="966" w:type="pct"/>
            <w:vAlign w:val="center"/>
          </w:tcPr>
          <w:p w14:paraId="4C896768">
            <w:pPr>
              <w:adjustRightInd/>
              <w:snapToGrid/>
              <w:spacing w:line="240" w:lineRule="auto"/>
              <w:ind w:firstLine="0" w:firstLineChars="0"/>
              <w:contextualSpacing/>
              <w:jc w:val="center"/>
              <w:rPr>
                <w:bCs/>
                <w:sz w:val="21"/>
                <w:szCs w:val="21"/>
                <w:u w:val="single"/>
              </w:rPr>
            </w:pPr>
            <w:r>
              <w:rPr>
                <w:rFonts w:hint="eastAsia"/>
                <w:sz w:val="21"/>
                <w:szCs w:val="21"/>
                <w:u w:val="single"/>
                <w:lang w:val="pt-BR"/>
              </w:rPr>
              <w:t>非甲烷总烃</w:t>
            </w:r>
          </w:p>
        </w:tc>
        <w:tc>
          <w:tcPr>
            <w:tcW w:w="612" w:type="pct"/>
            <w:vAlign w:val="center"/>
          </w:tcPr>
          <w:p w14:paraId="0E7727EC">
            <w:pPr>
              <w:adjustRightInd/>
              <w:snapToGrid/>
              <w:spacing w:line="240" w:lineRule="auto"/>
              <w:ind w:firstLine="0" w:firstLineChars="0"/>
              <w:contextualSpacing/>
              <w:jc w:val="center"/>
              <w:rPr>
                <w:b/>
                <w:sz w:val="21"/>
                <w:szCs w:val="21"/>
                <w:u w:val="single"/>
              </w:rPr>
            </w:pPr>
            <w:r>
              <w:rPr>
                <w:rFonts w:hint="eastAsia"/>
                <w:sz w:val="21"/>
                <w:szCs w:val="21"/>
                <w:u w:val="single"/>
              </w:rPr>
              <w:t>负压收集管道</w:t>
            </w:r>
          </w:p>
        </w:tc>
        <w:tc>
          <w:tcPr>
            <w:tcW w:w="656" w:type="pct"/>
            <w:gridSpan w:val="2"/>
            <w:vAlign w:val="center"/>
          </w:tcPr>
          <w:p w14:paraId="4E50DC7E">
            <w:pPr>
              <w:adjustRightInd/>
              <w:snapToGrid/>
              <w:spacing w:line="240" w:lineRule="auto"/>
              <w:ind w:firstLine="0" w:firstLineChars="0"/>
              <w:contextualSpacing/>
              <w:jc w:val="center"/>
              <w:rPr>
                <w:bCs/>
                <w:sz w:val="21"/>
                <w:szCs w:val="21"/>
                <w:u w:val="single"/>
              </w:rPr>
            </w:pPr>
            <w:r>
              <w:rPr>
                <w:rFonts w:hint="eastAsia"/>
                <w:bCs/>
                <w:sz w:val="21"/>
                <w:szCs w:val="21"/>
                <w:u w:val="single"/>
              </w:rPr>
              <w:t>/</w:t>
            </w:r>
          </w:p>
        </w:tc>
        <w:tc>
          <w:tcPr>
            <w:tcW w:w="376" w:type="pct"/>
            <w:vMerge w:val="continue"/>
            <w:vAlign w:val="center"/>
          </w:tcPr>
          <w:p w14:paraId="3C6820BC">
            <w:pPr>
              <w:adjustRightInd/>
              <w:snapToGrid/>
              <w:spacing w:line="240" w:lineRule="auto"/>
              <w:ind w:firstLine="0" w:firstLineChars="0"/>
              <w:contextualSpacing/>
              <w:jc w:val="center"/>
              <w:rPr>
                <w:b/>
                <w:sz w:val="21"/>
                <w:szCs w:val="21"/>
                <w:u w:val="single"/>
              </w:rPr>
            </w:pPr>
          </w:p>
        </w:tc>
        <w:tc>
          <w:tcPr>
            <w:tcW w:w="441" w:type="pct"/>
            <w:vMerge w:val="continue"/>
            <w:vAlign w:val="center"/>
          </w:tcPr>
          <w:p w14:paraId="0F27B434">
            <w:pPr>
              <w:adjustRightInd/>
              <w:snapToGrid/>
              <w:spacing w:line="240" w:lineRule="auto"/>
              <w:ind w:firstLine="0" w:firstLineChars="0"/>
              <w:contextualSpacing/>
              <w:jc w:val="center"/>
              <w:rPr>
                <w:b/>
                <w:sz w:val="21"/>
                <w:szCs w:val="21"/>
                <w:u w:val="single"/>
              </w:rPr>
            </w:pPr>
          </w:p>
        </w:tc>
        <w:tc>
          <w:tcPr>
            <w:tcW w:w="590" w:type="pct"/>
            <w:vMerge w:val="continue"/>
            <w:vAlign w:val="center"/>
          </w:tcPr>
          <w:p w14:paraId="0138EDFC">
            <w:pPr>
              <w:adjustRightInd/>
              <w:snapToGrid/>
              <w:spacing w:line="240" w:lineRule="auto"/>
              <w:ind w:firstLine="0" w:firstLineChars="0"/>
              <w:contextualSpacing/>
              <w:jc w:val="center"/>
              <w:rPr>
                <w:b/>
                <w:sz w:val="21"/>
                <w:szCs w:val="21"/>
                <w:highlight w:val="yellow"/>
                <w:u w:val="single"/>
              </w:rPr>
            </w:pPr>
          </w:p>
        </w:tc>
      </w:tr>
      <w:tr w14:paraId="53998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vAlign w:val="center"/>
          </w:tcPr>
          <w:p w14:paraId="3333E6C0">
            <w:pPr>
              <w:adjustRightInd/>
              <w:snapToGrid/>
              <w:spacing w:line="240" w:lineRule="auto"/>
              <w:ind w:firstLine="0" w:firstLineChars="0"/>
              <w:contextualSpacing/>
              <w:jc w:val="center"/>
              <w:rPr>
                <w:bCs/>
                <w:sz w:val="21"/>
                <w:szCs w:val="21"/>
                <w:highlight w:val="yellow"/>
                <w:u w:val="single"/>
              </w:rPr>
            </w:pPr>
          </w:p>
        </w:tc>
        <w:tc>
          <w:tcPr>
            <w:tcW w:w="420" w:type="pct"/>
            <w:gridSpan w:val="2"/>
            <w:vAlign w:val="center"/>
          </w:tcPr>
          <w:p w14:paraId="132D0ABE">
            <w:pPr>
              <w:adjustRightInd/>
              <w:snapToGrid/>
              <w:spacing w:line="240" w:lineRule="auto"/>
              <w:ind w:firstLine="0" w:firstLineChars="0"/>
              <w:contextualSpacing/>
              <w:jc w:val="center"/>
              <w:rPr>
                <w:bCs/>
                <w:sz w:val="21"/>
                <w:szCs w:val="21"/>
                <w:u w:val="single"/>
              </w:rPr>
            </w:pPr>
            <w:r>
              <w:rPr>
                <w:rFonts w:hint="eastAsia"/>
                <w:sz w:val="21"/>
                <w:szCs w:val="21"/>
                <w:u w:val="single"/>
              </w:rPr>
              <w:t>色浆</w:t>
            </w:r>
          </w:p>
        </w:tc>
        <w:tc>
          <w:tcPr>
            <w:tcW w:w="623" w:type="pct"/>
            <w:vAlign w:val="center"/>
          </w:tcPr>
          <w:p w14:paraId="69281B61">
            <w:pPr>
              <w:adjustRightInd/>
              <w:snapToGrid/>
              <w:spacing w:line="240" w:lineRule="auto"/>
              <w:ind w:firstLine="0" w:firstLineChars="0"/>
              <w:contextualSpacing/>
              <w:jc w:val="center"/>
              <w:rPr>
                <w:bCs/>
                <w:sz w:val="21"/>
                <w:szCs w:val="21"/>
                <w:u w:val="single"/>
              </w:rPr>
            </w:pPr>
            <w:r>
              <w:rPr>
                <w:rFonts w:hint="eastAsia"/>
                <w:sz w:val="21"/>
                <w:szCs w:val="21"/>
                <w:u w:val="single"/>
              </w:rPr>
              <w:t>投料</w:t>
            </w:r>
          </w:p>
        </w:tc>
        <w:tc>
          <w:tcPr>
            <w:tcW w:w="966" w:type="pct"/>
            <w:vAlign w:val="center"/>
          </w:tcPr>
          <w:p w14:paraId="42AF4AF4">
            <w:pPr>
              <w:adjustRightInd/>
              <w:snapToGrid/>
              <w:spacing w:line="240" w:lineRule="auto"/>
              <w:ind w:firstLine="0" w:firstLineChars="0"/>
              <w:contextualSpacing/>
              <w:jc w:val="center"/>
              <w:rPr>
                <w:bCs/>
                <w:sz w:val="21"/>
                <w:szCs w:val="21"/>
                <w:u w:val="single"/>
              </w:rPr>
            </w:pPr>
            <w:r>
              <w:rPr>
                <w:rFonts w:hint="eastAsia"/>
                <w:bCs/>
                <w:sz w:val="21"/>
                <w:szCs w:val="21"/>
                <w:u w:val="single"/>
              </w:rPr>
              <w:t>颗粒物</w:t>
            </w:r>
          </w:p>
        </w:tc>
        <w:tc>
          <w:tcPr>
            <w:tcW w:w="2085" w:type="pct"/>
            <w:gridSpan w:val="5"/>
            <w:vAlign w:val="center"/>
          </w:tcPr>
          <w:p w14:paraId="59DB5000">
            <w:pPr>
              <w:adjustRightInd/>
              <w:snapToGrid/>
              <w:spacing w:line="240" w:lineRule="auto"/>
              <w:ind w:firstLine="0" w:firstLineChars="0"/>
              <w:contextualSpacing/>
              <w:jc w:val="center"/>
              <w:rPr>
                <w:bCs/>
                <w:sz w:val="21"/>
                <w:szCs w:val="21"/>
                <w:u w:val="single"/>
              </w:rPr>
            </w:pPr>
            <w:r>
              <w:rPr>
                <w:rFonts w:hint="eastAsia"/>
                <w:sz w:val="21"/>
                <w:szCs w:val="21"/>
                <w:u w:val="single"/>
              </w:rPr>
              <w:t>密闭负压收集管道+</w:t>
            </w:r>
            <w:r>
              <w:rPr>
                <w:rFonts w:hint="eastAsia"/>
                <w:bCs/>
                <w:sz w:val="21"/>
                <w:szCs w:val="21"/>
                <w:u w:val="single"/>
              </w:rPr>
              <w:t>袋式除尘器+1</w:t>
            </w:r>
            <w:r>
              <w:rPr>
                <w:rFonts w:hint="eastAsia"/>
                <w:sz w:val="21"/>
                <w:szCs w:val="21"/>
                <w:u w:val="single"/>
              </w:rPr>
              <w:t>5m高排气筒DA002</w:t>
            </w:r>
          </w:p>
        </w:tc>
        <w:tc>
          <w:tcPr>
            <w:tcW w:w="590" w:type="pct"/>
            <w:vMerge w:val="continue"/>
            <w:vAlign w:val="center"/>
          </w:tcPr>
          <w:p w14:paraId="4D98F647">
            <w:pPr>
              <w:adjustRightInd/>
              <w:snapToGrid/>
              <w:spacing w:line="240" w:lineRule="auto"/>
              <w:ind w:firstLine="0" w:firstLineChars="0"/>
              <w:contextualSpacing/>
              <w:jc w:val="center"/>
              <w:rPr>
                <w:b/>
                <w:sz w:val="21"/>
                <w:szCs w:val="21"/>
                <w:highlight w:val="yellow"/>
                <w:u w:val="single"/>
              </w:rPr>
            </w:pPr>
          </w:p>
        </w:tc>
      </w:tr>
      <w:tr w14:paraId="1D3EF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restart"/>
            <w:vAlign w:val="center"/>
          </w:tcPr>
          <w:p w14:paraId="1D3EF0F2">
            <w:pPr>
              <w:adjustRightInd/>
              <w:snapToGrid/>
              <w:spacing w:line="240" w:lineRule="auto"/>
              <w:ind w:firstLine="0" w:firstLineChars="0"/>
              <w:contextualSpacing/>
              <w:jc w:val="center"/>
              <w:rPr>
                <w:sz w:val="21"/>
                <w:szCs w:val="21"/>
                <w:highlight w:val="yellow"/>
                <w:u w:val="single"/>
              </w:rPr>
            </w:pPr>
            <w:r>
              <w:rPr>
                <w:sz w:val="21"/>
                <w:szCs w:val="21"/>
                <w:u w:val="single"/>
              </w:rPr>
              <w:t>废水</w:t>
            </w:r>
          </w:p>
        </w:tc>
        <w:tc>
          <w:tcPr>
            <w:tcW w:w="1043" w:type="pct"/>
            <w:gridSpan w:val="3"/>
            <w:vAlign w:val="center"/>
          </w:tcPr>
          <w:p w14:paraId="1D3EF0F3">
            <w:pPr>
              <w:adjustRightInd/>
              <w:snapToGrid/>
              <w:spacing w:line="240" w:lineRule="auto"/>
              <w:ind w:firstLine="0" w:firstLineChars="0"/>
              <w:contextualSpacing/>
              <w:jc w:val="center"/>
              <w:rPr>
                <w:sz w:val="21"/>
                <w:szCs w:val="21"/>
                <w:u w:val="single"/>
              </w:rPr>
            </w:pPr>
            <w:r>
              <w:rPr>
                <w:sz w:val="21"/>
                <w:szCs w:val="21"/>
                <w:u w:val="single"/>
              </w:rPr>
              <w:t>循环</w:t>
            </w:r>
            <w:r>
              <w:rPr>
                <w:rFonts w:hint="eastAsia"/>
                <w:sz w:val="21"/>
                <w:szCs w:val="21"/>
                <w:u w:val="single"/>
              </w:rPr>
              <w:t>冷却</w:t>
            </w:r>
            <w:r>
              <w:rPr>
                <w:sz w:val="21"/>
                <w:szCs w:val="21"/>
                <w:u w:val="single"/>
              </w:rPr>
              <w:t>水系统排水</w:t>
            </w:r>
          </w:p>
        </w:tc>
        <w:tc>
          <w:tcPr>
            <w:tcW w:w="966" w:type="pct"/>
            <w:vAlign w:val="center"/>
          </w:tcPr>
          <w:p w14:paraId="4CE3FC6D">
            <w:pPr>
              <w:adjustRightInd/>
              <w:snapToGrid/>
              <w:spacing w:line="240" w:lineRule="auto"/>
              <w:ind w:firstLine="0" w:firstLineChars="0"/>
              <w:contextualSpacing/>
              <w:jc w:val="center"/>
              <w:rPr>
                <w:sz w:val="21"/>
                <w:szCs w:val="21"/>
                <w:u w:val="single"/>
              </w:rPr>
            </w:pPr>
            <w:r>
              <w:rPr>
                <w:sz w:val="21"/>
                <w:szCs w:val="21"/>
                <w:u w:val="single"/>
              </w:rPr>
              <w:t>COD、SS、BOD</w:t>
            </w:r>
            <w:r>
              <w:rPr>
                <w:sz w:val="21"/>
                <w:szCs w:val="21"/>
                <w:u w:val="single"/>
                <w:vertAlign w:val="subscript"/>
              </w:rPr>
              <w:t>5</w:t>
            </w:r>
          </w:p>
        </w:tc>
        <w:tc>
          <w:tcPr>
            <w:tcW w:w="1268" w:type="pct"/>
            <w:gridSpan w:val="3"/>
            <w:vAlign w:val="center"/>
          </w:tcPr>
          <w:p w14:paraId="5F775975">
            <w:pPr>
              <w:adjustRightInd/>
              <w:snapToGrid/>
              <w:spacing w:line="240" w:lineRule="auto"/>
              <w:ind w:firstLine="0" w:firstLineChars="0"/>
              <w:contextualSpacing/>
              <w:jc w:val="center"/>
              <w:rPr>
                <w:sz w:val="21"/>
                <w:szCs w:val="21"/>
                <w:u w:val="single"/>
              </w:rPr>
            </w:pPr>
            <w:r>
              <w:rPr>
                <w:rFonts w:hint="eastAsia"/>
                <w:sz w:val="21"/>
                <w:szCs w:val="21"/>
                <w:u w:val="single"/>
              </w:rPr>
              <w:t>/</w:t>
            </w:r>
          </w:p>
        </w:tc>
        <w:tc>
          <w:tcPr>
            <w:tcW w:w="817" w:type="pct"/>
            <w:gridSpan w:val="2"/>
            <w:vMerge w:val="restart"/>
            <w:vAlign w:val="center"/>
          </w:tcPr>
          <w:p w14:paraId="1D3EF0F4">
            <w:pPr>
              <w:spacing w:line="240" w:lineRule="auto"/>
              <w:ind w:firstLine="0" w:firstLineChars="0"/>
              <w:contextualSpacing/>
              <w:jc w:val="center"/>
              <w:rPr>
                <w:sz w:val="21"/>
                <w:szCs w:val="21"/>
                <w:u w:val="single"/>
              </w:rPr>
            </w:pPr>
            <w:r>
              <w:rPr>
                <w:rFonts w:hint="eastAsia"/>
                <w:bCs/>
                <w:sz w:val="21"/>
                <w:szCs w:val="21"/>
                <w:u w:val="single"/>
              </w:rPr>
              <w:t>唐庄</w:t>
            </w:r>
            <w:r>
              <w:rPr>
                <w:bCs/>
                <w:sz w:val="21"/>
                <w:szCs w:val="21"/>
                <w:u w:val="single"/>
              </w:rPr>
              <w:t>污水处理厂</w:t>
            </w:r>
          </w:p>
        </w:tc>
        <w:tc>
          <w:tcPr>
            <w:tcW w:w="590" w:type="pct"/>
            <w:vMerge w:val="restart"/>
            <w:vAlign w:val="center"/>
          </w:tcPr>
          <w:p w14:paraId="1D3EF0F5">
            <w:pPr>
              <w:adjustRightInd/>
              <w:snapToGrid/>
              <w:spacing w:line="240" w:lineRule="auto"/>
              <w:ind w:firstLine="0" w:firstLineChars="0"/>
              <w:contextualSpacing/>
              <w:jc w:val="center"/>
              <w:rPr>
                <w:sz w:val="21"/>
                <w:szCs w:val="21"/>
                <w:highlight w:val="yellow"/>
                <w:u w:val="single"/>
              </w:rPr>
            </w:pPr>
            <w:r>
              <w:rPr>
                <w:rFonts w:hint="eastAsia"/>
                <w:sz w:val="21"/>
                <w:szCs w:val="21"/>
                <w:u w:val="single"/>
              </w:rPr>
              <w:t>20</w:t>
            </w:r>
          </w:p>
        </w:tc>
      </w:tr>
      <w:tr w14:paraId="314AD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vAlign w:val="center"/>
          </w:tcPr>
          <w:p w14:paraId="708F095E">
            <w:pPr>
              <w:adjustRightInd/>
              <w:snapToGrid/>
              <w:spacing w:line="240" w:lineRule="auto"/>
              <w:ind w:firstLine="0" w:firstLineChars="0"/>
              <w:contextualSpacing/>
              <w:jc w:val="center"/>
              <w:rPr>
                <w:sz w:val="21"/>
                <w:szCs w:val="21"/>
                <w:u w:val="single"/>
              </w:rPr>
            </w:pPr>
          </w:p>
        </w:tc>
        <w:tc>
          <w:tcPr>
            <w:tcW w:w="1043" w:type="pct"/>
            <w:gridSpan w:val="3"/>
            <w:vAlign w:val="center"/>
          </w:tcPr>
          <w:p w14:paraId="3A675AFA">
            <w:pPr>
              <w:adjustRightInd/>
              <w:snapToGrid/>
              <w:spacing w:line="240" w:lineRule="auto"/>
              <w:ind w:firstLine="0" w:firstLineChars="0"/>
              <w:contextualSpacing/>
              <w:jc w:val="center"/>
              <w:rPr>
                <w:sz w:val="21"/>
                <w:szCs w:val="21"/>
                <w:highlight w:val="yellow"/>
                <w:u w:val="single"/>
              </w:rPr>
            </w:pPr>
            <w:r>
              <w:rPr>
                <w:rFonts w:hint="eastAsia"/>
                <w:sz w:val="21"/>
                <w:szCs w:val="21"/>
                <w:u w:val="single"/>
              </w:rPr>
              <w:t>喷淋废水</w:t>
            </w:r>
          </w:p>
        </w:tc>
        <w:tc>
          <w:tcPr>
            <w:tcW w:w="966" w:type="pct"/>
            <w:vAlign w:val="center"/>
          </w:tcPr>
          <w:p w14:paraId="2A19FE2A">
            <w:pPr>
              <w:adjustRightInd/>
              <w:snapToGrid/>
              <w:spacing w:line="240" w:lineRule="auto"/>
              <w:ind w:firstLine="0" w:firstLineChars="0"/>
              <w:contextualSpacing/>
              <w:jc w:val="center"/>
              <w:rPr>
                <w:sz w:val="21"/>
                <w:szCs w:val="21"/>
                <w:highlight w:val="yellow"/>
                <w:u w:val="single"/>
              </w:rPr>
            </w:pPr>
            <w:r>
              <w:rPr>
                <w:sz w:val="21"/>
                <w:szCs w:val="21"/>
                <w:u w:val="single"/>
              </w:rPr>
              <w:t>COD、SS、BOD</w:t>
            </w:r>
            <w:r>
              <w:rPr>
                <w:sz w:val="21"/>
                <w:szCs w:val="21"/>
                <w:u w:val="single"/>
                <w:vertAlign w:val="subscript"/>
              </w:rPr>
              <w:t>5</w:t>
            </w:r>
            <w:r>
              <w:rPr>
                <w:sz w:val="21"/>
                <w:szCs w:val="21"/>
                <w:u w:val="single"/>
              </w:rPr>
              <w:t>、</w:t>
            </w:r>
            <w:r>
              <w:rPr>
                <w:rFonts w:hint="eastAsia"/>
                <w:sz w:val="21"/>
                <w:szCs w:val="21"/>
                <w:u w:val="single"/>
              </w:rPr>
              <w:t>石油类、硫酸钠</w:t>
            </w:r>
          </w:p>
        </w:tc>
        <w:tc>
          <w:tcPr>
            <w:tcW w:w="1268" w:type="pct"/>
            <w:gridSpan w:val="3"/>
            <w:vMerge w:val="restart"/>
            <w:vAlign w:val="center"/>
          </w:tcPr>
          <w:p w14:paraId="346E8AF0">
            <w:pPr>
              <w:adjustRightInd/>
              <w:snapToGrid/>
              <w:spacing w:line="240" w:lineRule="auto"/>
              <w:ind w:firstLine="0" w:firstLineChars="0"/>
              <w:contextualSpacing/>
              <w:jc w:val="center"/>
              <w:rPr>
                <w:sz w:val="21"/>
                <w:szCs w:val="21"/>
                <w:u w:val="single"/>
              </w:rPr>
            </w:pPr>
            <w:r>
              <w:rPr>
                <w:rFonts w:hint="eastAsia"/>
                <w:sz w:val="21"/>
                <w:szCs w:val="21"/>
                <w:u w:val="single"/>
              </w:rPr>
              <w:t>污水处理站</w:t>
            </w:r>
          </w:p>
          <w:p w14:paraId="423866D3">
            <w:pPr>
              <w:adjustRightInd/>
              <w:snapToGrid/>
              <w:spacing w:line="240" w:lineRule="auto"/>
              <w:ind w:firstLine="0" w:firstLineChars="0"/>
              <w:contextualSpacing/>
              <w:jc w:val="center"/>
              <w:rPr>
                <w:sz w:val="21"/>
                <w:szCs w:val="21"/>
                <w:highlight w:val="yellow"/>
                <w:u w:val="single"/>
              </w:rPr>
            </w:pPr>
            <w:r>
              <w:rPr>
                <w:rFonts w:hint="eastAsia"/>
                <w:sz w:val="21"/>
                <w:szCs w:val="21"/>
                <w:u w:val="single"/>
              </w:rPr>
              <w:t>（</w:t>
            </w:r>
            <w:r>
              <w:rPr>
                <w:bCs/>
                <w:sz w:val="21"/>
                <w:szCs w:val="21"/>
                <w:u w:val="single"/>
              </w:rPr>
              <w:t>调节池</w:t>
            </w:r>
            <w:r>
              <w:rPr>
                <w:rFonts w:hint="eastAsia"/>
                <w:bCs/>
                <w:sz w:val="21"/>
                <w:szCs w:val="21"/>
                <w:u w:val="single"/>
              </w:rPr>
              <w:t>+隔油池+水解酸化+</w:t>
            </w:r>
            <w:r>
              <w:rPr>
                <w:rFonts w:hint="eastAsia"/>
                <w:sz w:val="21"/>
                <w:szCs w:val="21"/>
                <w:u w:val="single"/>
              </w:rPr>
              <w:t>接触氧化+二沉池，8m</w:t>
            </w:r>
            <w:r>
              <w:rPr>
                <w:rFonts w:hint="eastAsia"/>
                <w:sz w:val="21"/>
                <w:szCs w:val="21"/>
                <w:u w:val="single"/>
                <w:vertAlign w:val="superscript"/>
              </w:rPr>
              <w:t>3</w:t>
            </w:r>
            <w:r>
              <w:rPr>
                <w:rFonts w:hint="eastAsia"/>
                <w:sz w:val="21"/>
                <w:szCs w:val="21"/>
                <w:u w:val="single"/>
              </w:rPr>
              <w:t>/d）</w:t>
            </w:r>
          </w:p>
        </w:tc>
        <w:tc>
          <w:tcPr>
            <w:tcW w:w="817" w:type="pct"/>
            <w:gridSpan w:val="2"/>
            <w:vMerge w:val="continue"/>
            <w:vAlign w:val="center"/>
          </w:tcPr>
          <w:p w14:paraId="08CD9721">
            <w:pPr>
              <w:adjustRightInd/>
              <w:snapToGrid/>
              <w:spacing w:line="240" w:lineRule="auto"/>
              <w:ind w:firstLine="0" w:firstLineChars="0"/>
              <w:contextualSpacing/>
              <w:jc w:val="center"/>
              <w:rPr>
                <w:bCs/>
                <w:sz w:val="21"/>
                <w:szCs w:val="21"/>
                <w:highlight w:val="yellow"/>
                <w:u w:val="single"/>
              </w:rPr>
            </w:pPr>
          </w:p>
        </w:tc>
        <w:tc>
          <w:tcPr>
            <w:tcW w:w="590" w:type="pct"/>
            <w:vMerge w:val="continue"/>
            <w:vAlign w:val="center"/>
          </w:tcPr>
          <w:p w14:paraId="522B84BC">
            <w:pPr>
              <w:adjustRightInd/>
              <w:snapToGrid/>
              <w:spacing w:line="240" w:lineRule="auto"/>
              <w:ind w:firstLine="0" w:firstLineChars="0"/>
              <w:contextualSpacing/>
              <w:jc w:val="center"/>
              <w:rPr>
                <w:sz w:val="21"/>
                <w:szCs w:val="21"/>
                <w:highlight w:val="yellow"/>
                <w:u w:val="single"/>
              </w:rPr>
            </w:pPr>
          </w:p>
        </w:tc>
      </w:tr>
      <w:tr w14:paraId="30DBC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vAlign w:val="center"/>
          </w:tcPr>
          <w:p w14:paraId="2899EA08">
            <w:pPr>
              <w:adjustRightInd/>
              <w:snapToGrid/>
              <w:spacing w:line="240" w:lineRule="auto"/>
              <w:ind w:firstLine="0" w:firstLineChars="0"/>
              <w:contextualSpacing/>
              <w:jc w:val="center"/>
              <w:rPr>
                <w:sz w:val="21"/>
                <w:szCs w:val="21"/>
                <w:u w:val="single"/>
              </w:rPr>
            </w:pPr>
          </w:p>
        </w:tc>
        <w:tc>
          <w:tcPr>
            <w:tcW w:w="1043" w:type="pct"/>
            <w:gridSpan w:val="3"/>
            <w:vAlign w:val="center"/>
          </w:tcPr>
          <w:p w14:paraId="33B3F81E">
            <w:pPr>
              <w:adjustRightInd/>
              <w:snapToGrid/>
              <w:spacing w:line="240" w:lineRule="auto"/>
              <w:ind w:firstLine="0" w:firstLineChars="0"/>
              <w:contextualSpacing/>
              <w:jc w:val="center"/>
              <w:rPr>
                <w:sz w:val="21"/>
                <w:szCs w:val="21"/>
                <w:highlight w:val="yellow"/>
                <w:u w:val="single"/>
              </w:rPr>
            </w:pPr>
            <w:r>
              <w:rPr>
                <w:rFonts w:hint="eastAsia"/>
                <w:sz w:val="21"/>
                <w:szCs w:val="21"/>
                <w:u w:val="single"/>
              </w:rPr>
              <w:t>车间地面拖洗废水</w:t>
            </w:r>
          </w:p>
        </w:tc>
        <w:tc>
          <w:tcPr>
            <w:tcW w:w="966" w:type="pct"/>
            <w:vAlign w:val="center"/>
          </w:tcPr>
          <w:p w14:paraId="1A426E1E">
            <w:pPr>
              <w:adjustRightInd/>
              <w:snapToGrid/>
              <w:spacing w:line="240" w:lineRule="auto"/>
              <w:ind w:firstLine="0" w:firstLineChars="0"/>
              <w:contextualSpacing/>
              <w:jc w:val="center"/>
              <w:rPr>
                <w:sz w:val="21"/>
                <w:szCs w:val="21"/>
                <w:highlight w:val="yellow"/>
                <w:u w:val="single"/>
              </w:rPr>
            </w:pPr>
            <w:r>
              <w:rPr>
                <w:sz w:val="21"/>
                <w:szCs w:val="21"/>
                <w:u w:val="single"/>
              </w:rPr>
              <w:t>COD、</w:t>
            </w:r>
            <w:r>
              <w:rPr>
                <w:rFonts w:hint="eastAsia"/>
                <w:sz w:val="21"/>
                <w:szCs w:val="21"/>
                <w:u w:val="single"/>
              </w:rPr>
              <w:t>色度、</w:t>
            </w:r>
            <w:r>
              <w:rPr>
                <w:sz w:val="21"/>
                <w:szCs w:val="21"/>
                <w:u w:val="single"/>
              </w:rPr>
              <w:t>SS、BOD</w:t>
            </w:r>
            <w:r>
              <w:rPr>
                <w:sz w:val="21"/>
                <w:szCs w:val="21"/>
                <w:u w:val="single"/>
                <w:vertAlign w:val="subscript"/>
              </w:rPr>
              <w:t>5</w:t>
            </w:r>
            <w:r>
              <w:rPr>
                <w:sz w:val="21"/>
                <w:szCs w:val="21"/>
                <w:u w:val="single"/>
              </w:rPr>
              <w:t>、</w:t>
            </w:r>
            <w:r>
              <w:rPr>
                <w:rFonts w:hint="eastAsia"/>
                <w:sz w:val="21"/>
                <w:szCs w:val="21"/>
                <w:u w:val="single"/>
              </w:rPr>
              <w:t>石油类</w:t>
            </w:r>
          </w:p>
        </w:tc>
        <w:tc>
          <w:tcPr>
            <w:tcW w:w="1268" w:type="pct"/>
            <w:gridSpan w:val="3"/>
            <w:vMerge w:val="continue"/>
            <w:vAlign w:val="center"/>
          </w:tcPr>
          <w:p w14:paraId="018738DD">
            <w:pPr>
              <w:adjustRightInd/>
              <w:snapToGrid/>
              <w:spacing w:line="240" w:lineRule="auto"/>
              <w:ind w:firstLine="0" w:firstLineChars="0"/>
              <w:contextualSpacing/>
              <w:jc w:val="center"/>
              <w:rPr>
                <w:sz w:val="21"/>
                <w:szCs w:val="21"/>
                <w:highlight w:val="yellow"/>
                <w:u w:val="single"/>
              </w:rPr>
            </w:pPr>
          </w:p>
        </w:tc>
        <w:tc>
          <w:tcPr>
            <w:tcW w:w="817" w:type="pct"/>
            <w:gridSpan w:val="2"/>
            <w:vMerge w:val="continue"/>
            <w:vAlign w:val="center"/>
          </w:tcPr>
          <w:p w14:paraId="3B9D2019">
            <w:pPr>
              <w:adjustRightInd/>
              <w:snapToGrid/>
              <w:spacing w:line="240" w:lineRule="auto"/>
              <w:ind w:firstLine="0" w:firstLineChars="0"/>
              <w:contextualSpacing/>
              <w:jc w:val="center"/>
              <w:rPr>
                <w:bCs/>
                <w:sz w:val="21"/>
                <w:szCs w:val="21"/>
                <w:highlight w:val="yellow"/>
                <w:u w:val="single"/>
              </w:rPr>
            </w:pPr>
          </w:p>
        </w:tc>
        <w:tc>
          <w:tcPr>
            <w:tcW w:w="590" w:type="pct"/>
            <w:vMerge w:val="continue"/>
            <w:vAlign w:val="center"/>
          </w:tcPr>
          <w:p w14:paraId="15E52033">
            <w:pPr>
              <w:adjustRightInd/>
              <w:snapToGrid/>
              <w:spacing w:line="240" w:lineRule="auto"/>
              <w:ind w:firstLine="0" w:firstLineChars="0"/>
              <w:contextualSpacing/>
              <w:jc w:val="center"/>
              <w:rPr>
                <w:sz w:val="21"/>
                <w:szCs w:val="21"/>
                <w:highlight w:val="yellow"/>
                <w:u w:val="single"/>
              </w:rPr>
            </w:pPr>
          </w:p>
        </w:tc>
      </w:tr>
      <w:tr w14:paraId="395D8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vAlign w:val="center"/>
          </w:tcPr>
          <w:p w14:paraId="2D2527DD">
            <w:pPr>
              <w:adjustRightInd/>
              <w:snapToGrid/>
              <w:spacing w:line="240" w:lineRule="auto"/>
              <w:ind w:firstLine="0" w:firstLineChars="0"/>
              <w:contextualSpacing/>
              <w:jc w:val="center"/>
              <w:rPr>
                <w:sz w:val="21"/>
                <w:szCs w:val="21"/>
                <w:highlight w:val="yellow"/>
                <w:u w:val="single"/>
              </w:rPr>
            </w:pPr>
          </w:p>
        </w:tc>
        <w:tc>
          <w:tcPr>
            <w:tcW w:w="1043" w:type="pct"/>
            <w:gridSpan w:val="3"/>
            <w:vAlign w:val="center"/>
          </w:tcPr>
          <w:p w14:paraId="057709CD">
            <w:pPr>
              <w:adjustRightInd/>
              <w:snapToGrid/>
              <w:spacing w:line="240" w:lineRule="auto"/>
              <w:ind w:firstLine="0" w:firstLineChars="0"/>
              <w:contextualSpacing/>
              <w:jc w:val="center"/>
              <w:rPr>
                <w:sz w:val="21"/>
                <w:szCs w:val="21"/>
                <w:u w:val="single"/>
              </w:rPr>
            </w:pPr>
            <w:r>
              <w:rPr>
                <w:rFonts w:hint="eastAsia"/>
                <w:sz w:val="21"/>
                <w:szCs w:val="21"/>
                <w:u w:val="single"/>
              </w:rPr>
              <w:t>生活污水</w:t>
            </w:r>
          </w:p>
        </w:tc>
        <w:tc>
          <w:tcPr>
            <w:tcW w:w="966" w:type="pct"/>
            <w:vAlign w:val="center"/>
          </w:tcPr>
          <w:p w14:paraId="0510A597">
            <w:pPr>
              <w:adjustRightInd/>
              <w:snapToGrid/>
              <w:spacing w:line="240" w:lineRule="auto"/>
              <w:ind w:firstLine="0" w:firstLineChars="0"/>
              <w:contextualSpacing/>
              <w:jc w:val="center"/>
              <w:rPr>
                <w:sz w:val="21"/>
                <w:szCs w:val="21"/>
                <w:u w:val="single"/>
              </w:rPr>
            </w:pPr>
            <w:r>
              <w:rPr>
                <w:sz w:val="21"/>
                <w:szCs w:val="21"/>
                <w:u w:val="single"/>
              </w:rPr>
              <w:t>COD、SS、BOD</w:t>
            </w:r>
            <w:r>
              <w:rPr>
                <w:sz w:val="21"/>
                <w:szCs w:val="21"/>
                <w:u w:val="single"/>
                <w:vertAlign w:val="subscript"/>
              </w:rPr>
              <w:t>5</w:t>
            </w:r>
            <w:r>
              <w:rPr>
                <w:sz w:val="21"/>
                <w:szCs w:val="21"/>
                <w:u w:val="single"/>
              </w:rPr>
              <w:t>、氨氮、总磷、总氮</w:t>
            </w:r>
          </w:p>
        </w:tc>
        <w:tc>
          <w:tcPr>
            <w:tcW w:w="1268" w:type="pct"/>
            <w:gridSpan w:val="3"/>
            <w:vAlign w:val="center"/>
          </w:tcPr>
          <w:p w14:paraId="6AAD5570">
            <w:pPr>
              <w:adjustRightInd/>
              <w:snapToGrid/>
              <w:spacing w:line="240" w:lineRule="auto"/>
              <w:ind w:firstLine="0" w:firstLineChars="0"/>
              <w:contextualSpacing/>
              <w:jc w:val="center"/>
              <w:rPr>
                <w:sz w:val="21"/>
                <w:szCs w:val="21"/>
                <w:u w:val="single"/>
              </w:rPr>
            </w:pPr>
            <w:r>
              <w:rPr>
                <w:rFonts w:hint="eastAsia"/>
                <w:sz w:val="21"/>
                <w:szCs w:val="21"/>
                <w:u w:val="single"/>
              </w:rPr>
              <w:t>化粪池</w:t>
            </w:r>
          </w:p>
        </w:tc>
        <w:tc>
          <w:tcPr>
            <w:tcW w:w="817" w:type="pct"/>
            <w:gridSpan w:val="2"/>
            <w:vMerge w:val="continue"/>
            <w:vAlign w:val="center"/>
          </w:tcPr>
          <w:p w14:paraId="42BFC002">
            <w:pPr>
              <w:adjustRightInd/>
              <w:snapToGrid/>
              <w:spacing w:line="240" w:lineRule="auto"/>
              <w:ind w:firstLine="0" w:firstLineChars="0"/>
              <w:contextualSpacing/>
              <w:jc w:val="center"/>
              <w:rPr>
                <w:sz w:val="21"/>
                <w:szCs w:val="21"/>
                <w:highlight w:val="yellow"/>
                <w:u w:val="single"/>
              </w:rPr>
            </w:pPr>
          </w:p>
        </w:tc>
        <w:tc>
          <w:tcPr>
            <w:tcW w:w="590" w:type="pct"/>
            <w:vMerge w:val="continue"/>
            <w:vAlign w:val="center"/>
          </w:tcPr>
          <w:p w14:paraId="5135F1F4">
            <w:pPr>
              <w:adjustRightInd/>
              <w:snapToGrid/>
              <w:spacing w:line="240" w:lineRule="auto"/>
              <w:ind w:firstLine="0" w:firstLineChars="0"/>
              <w:contextualSpacing/>
              <w:jc w:val="center"/>
              <w:rPr>
                <w:sz w:val="21"/>
                <w:szCs w:val="21"/>
                <w:highlight w:val="yellow"/>
                <w:u w:val="single"/>
              </w:rPr>
            </w:pPr>
          </w:p>
        </w:tc>
      </w:tr>
      <w:tr w14:paraId="1D3EF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restart"/>
            <w:shd w:val="clear" w:color="auto" w:fill="auto"/>
            <w:vAlign w:val="center"/>
          </w:tcPr>
          <w:p w14:paraId="1D3EF0F8">
            <w:pPr>
              <w:adjustRightInd/>
              <w:snapToGrid/>
              <w:spacing w:line="240" w:lineRule="auto"/>
              <w:ind w:firstLine="0" w:firstLineChars="0"/>
              <w:contextualSpacing/>
              <w:jc w:val="center"/>
              <w:rPr>
                <w:sz w:val="21"/>
                <w:szCs w:val="21"/>
                <w:u w:val="single"/>
              </w:rPr>
            </w:pPr>
            <w:r>
              <w:rPr>
                <w:sz w:val="21"/>
                <w:szCs w:val="21"/>
                <w:u w:val="single"/>
              </w:rPr>
              <w:t>固废</w:t>
            </w:r>
          </w:p>
        </w:tc>
        <w:tc>
          <w:tcPr>
            <w:tcW w:w="1043" w:type="pct"/>
            <w:gridSpan w:val="3"/>
            <w:shd w:val="clear" w:color="auto" w:fill="auto"/>
            <w:vAlign w:val="center"/>
          </w:tcPr>
          <w:p w14:paraId="1D3EF0F9">
            <w:pPr>
              <w:adjustRightInd/>
              <w:snapToGrid/>
              <w:spacing w:line="240" w:lineRule="auto"/>
              <w:ind w:firstLine="0" w:firstLineChars="0"/>
              <w:contextualSpacing/>
              <w:jc w:val="center"/>
              <w:rPr>
                <w:sz w:val="21"/>
                <w:szCs w:val="21"/>
                <w:u w:val="single"/>
              </w:rPr>
            </w:pPr>
            <w:r>
              <w:rPr>
                <w:sz w:val="21"/>
                <w:szCs w:val="21"/>
                <w:u w:val="single"/>
              </w:rPr>
              <w:t>一般固废</w:t>
            </w:r>
          </w:p>
        </w:tc>
        <w:tc>
          <w:tcPr>
            <w:tcW w:w="966" w:type="pct"/>
            <w:vAlign w:val="center"/>
          </w:tcPr>
          <w:p w14:paraId="1D3EF0FA">
            <w:pPr>
              <w:adjustRightInd/>
              <w:snapToGrid/>
              <w:spacing w:line="240" w:lineRule="auto"/>
              <w:ind w:firstLine="0" w:firstLineChars="0"/>
              <w:contextualSpacing/>
              <w:jc w:val="center"/>
              <w:rPr>
                <w:sz w:val="21"/>
                <w:szCs w:val="21"/>
                <w:highlight w:val="yellow"/>
                <w:u w:val="single"/>
              </w:rPr>
            </w:pPr>
            <w:r>
              <w:rPr>
                <w:sz w:val="21"/>
                <w:szCs w:val="21"/>
                <w:u w:val="single"/>
              </w:rPr>
              <w:t>废</w:t>
            </w:r>
            <w:r>
              <w:rPr>
                <w:rFonts w:hint="eastAsia"/>
                <w:sz w:val="21"/>
                <w:szCs w:val="21"/>
                <w:u w:val="single"/>
              </w:rPr>
              <w:t>包装袋</w:t>
            </w:r>
          </w:p>
        </w:tc>
        <w:tc>
          <w:tcPr>
            <w:tcW w:w="2085" w:type="pct"/>
            <w:gridSpan w:val="5"/>
            <w:vAlign w:val="center"/>
          </w:tcPr>
          <w:p w14:paraId="1D3EF0FB">
            <w:pPr>
              <w:adjustRightInd/>
              <w:snapToGrid/>
              <w:spacing w:line="240" w:lineRule="auto"/>
              <w:ind w:firstLine="0" w:firstLineChars="0"/>
              <w:contextualSpacing/>
              <w:jc w:val="center"/>
              <w:rPr>
                <w:sz w:val="21"/>
                <w:szCs w:val="21"/>
                <w:u w:val="single"/>
              </w:rPr>
            </w:pPr>
            <w:r>
              <w:rPr>
                <w:rFonts w:hint="eastAsia"/>
                <w:sz w:val="21"/>
                <w:szCs w:val="21"/>
                <w:u w:val="single"/>
              </w:rPr>
              <w:t>一般固废暂存间</w:t>
            </w:r>
            <w:r>
              <w:rPr>
                <w:sz w:val="21"/>
                <w:szCs w:val="21"/>
                <w:u w:val="single"/>
              </w:rPr>
              <w:t>1</w:t>
            </w:r>
            <w:r>
              <w:rPr>
                <w:rFonts w:hint="eastAsia"/>
                <w:sz w:val="21"/>
                <w:szCs w:val="21"/>
                <w:u w:val="single"/>
              </w:rPr>
              <w:t>座</w:t>
            </w:r>
            <w:r>
              <w:rPr>
                <w:sz w:val="21"/>
                <w:szCs w:val="21"/>
                <w:u w:val="single"/>
              </w:rPr>
              <w:t>（</w:t>
            </w:r>
            <w:r>
              <w:rPr>
                <w:rFonts w:hint="eastAsia"/>
                <w:sz w:val="21"/>
                <w:szCs w:val="21"/>
                <w:u w:val="single"/>
              </w:rPr>
              <w:t>5</w:t>
            </w:r>
            <w:r>
              <w:rPr>
                <w:sz w:val="21"/>
                <w:szCs w:val="21"/>
                <w:u w:val="single"/>
              </w:rPr>
              <w:t>m</w:t>
            </w:r>
            <w:r>
              <w:rPr>
                <w:sz w:val="21"/>
                <w:szCs w:val="21"/>
                <w:u w:val="single"/>
                <w:vertAlign w:val="superscript"/>
              </w:rPr>
              <w:t>2</w:t>
            </w:r>
            <w:r>
              <w:rPr>
                <w:sz w:val="21"/>
                <w:szCs w:val="21"/>
                <w:u w:val="single"/>
              </w:rPr>
              <w:t>）</w:t>
            </w:r>
          </w:p>
        </w:tc>
        <w:tc>
          <w:tcPr>
            <w:tcW w:w="590" w:type="pct"/>
            <w:vMerge w:val="restart"/>
            <w:vAlign w:val="center"/>
          </w:tcPr>
          <w:p w14:paraId="1D3EF0FC">
            <w:pPr>
              <w:spacing w:line="240" w:lineRule="auto"/>
              <w:ind w:firstLine="0" w:firstLineChars="0"/>
              <w:contextualSpacing/>
              <w:jc w:val="center"/>
              <w:rPr>
                <w:sz w:val="21"/>
                <w:szCs w:val="21"/>
                <w:highlight w:val="yellow"/>
                <w:u w:val="single"/>
              </w:rPr>
            </w:pPr>
            <w:r>
              <w:rPr>
                <w:rFonts w:hint="eastAsia"/>
                <w:sz w:val="21"/>
                <w:szCs w:val="21"/>
                <w:u w:val="single"/>
              </w:rPr>
              <w:t>10</w:t>
            </w:r>
          </w:p>
        </w:tc>
      </w:tr>
      <w:tr w14:paraId="1523B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Merge w:val="continue"/>
            <w:shd w:val="clear" w:color="auto" w:fill="auto"/>
            <w:vAlign w:val="center"/>
          </w:tcPr>
          <w:p w14:paraId="7E922A8D">
            <w:pPr>
              <w:adjustRightInd/>
              <w:snapToGrid/>
              <w:spacing w:line="240" w:lineRule="auto"/>
              <w:ind w:firstLine="0" w:firstLineChars="0"/>
              <w:contextualSpacing/>
              <w:jc w:val="center"/>
              <w:rPr>
                <w:sz w:val="21"/>
                <w:szCs w:val="21"/>
                <w:u w:val="single"/>
              </w:rPr>
            </w:pPr>
          </w:p>
        </w:tc>
        <w:tc>
          <w:tcPr>
            <w:tcW w:w="1043" w:type="pct"/>
            <w:gridSpan w:val="3"/>
            <w:shd w:val="clear" w:color="auto" w:fill="auto"/>
            <w:vAlign w:val="center"/>
          </w:tcPr>
          <w:p w14:paraId="48777209">
            <w:pPr>
              <w:adjustRightInd/>
              <w:snapToGrid/>
              <w:spacing w:line="240" w:lineRule="auto"/>
              <w:ind w:firstLine="0" w:firstLineChars="0"/>
              <w:contextualSpacing/>
              <w:jc w:val="center"/>
              <w:rPr>
                <w:sz w:val="21"/>
                <w:szCs w:val="21"/>
                <w:u w:val="single"/>
              </w:rPr>
            </w:pPr>
            <w:r>
              <w:rPr>
                <w:rFonts w:hint="eastAsia"/>
                <w:sz w:val="21"/>
                <w:szCs w:val="21"/>
                <w:u w:val="single"/>
              </w:rPr>
              <w:t>/*</w:t>
            </w:r>
          </w:p>
        </w:tc>
        <w:tc>
          <w:tcPr>
            <w:tcW w:w="966" w:type="pct"/>
            <w:vAlign w:val="center"/>
          </w:tcPr>
          <w:p w14:paraId="295EA534">
            <w:pPr>
              <w:adjustRightInd/>
              <w:snapToGrid/>
              <w:spacing w:line="240" w:lineRule="auto"/>
              <w:ind w:firstLine="0" w:firstLineChars="0"/>
              <w:contextualSpacing/>
              <w:jc w:val="center"/>
              <w:rPr>
                <w:sz w:val="21"/>
                <w:szCs w:val="21"/>
                <w:highlight w:val="yellow"/>
                <w:u w:val="single"/>
              </w:rPr>
            </w:pPr>
            <w:r>
              <w:rPr>
                <w:rFonts w:hint="eastAsia"/>
                <w:sz w:val="21"/>
                <w:szCs w:val="21"/>
                <w:u w:val="single"/>
              </w:rPr>
              <w:t>废溶剂包装桶</w:t>
            </w:r>
          </w:p>
        </w:tc>
        <w:tc>
          <w:tcPr>
            <w:tcW w:w="2085" w:type="pct"/>
            <w:gridSpan w:val="5"/>
            <w:vAlign w:val="center"/>
          </w:tcPr>
          <w:p w14:paraId="2EF47EE1">
            <w:pPr>
              <w:adjustRightInd/>
              <w:snapToGrid/>
              <w:spacing w:line="240" w:lineRule="auto"/>
              <w:ind w:firstLine="0" w:firstLineChars="0"/>
              <w:contextualSpacing/>
              <w:jc w:val="center"/>
              <w:rPr>
                <w:sz w:val="21"/>
                <w:szCs w:val="21"/>
                <w:highlight w:val="yellow"/>
                <w:u w:val="single"/>
              </w:rPr>
            </w:pPr>
            <w:r>
              <w:rPr>
                <w:rFonts w:hint="eastAsia"/>
                <w:sz w:val="21"/>
                <w:szCs w:val="21"/>
                <w:u w:val="single"/>
              </w:rPr>
              <w:t>废溶剂包装桶暂存区（100</w:t>
            </w:r>
            <w:r>
              <w:rPr>
                <w:sz w:val="21"/>
                <w:szCs w:val="21"/>
                <w:u w:val="single"/>
              </w:rPr>
              <w:t>m</w:t>
            </w:r>
            <w:r>
              <w:rPr>
                <w:sz w:val="21"/>
                <w:szCs w:val="21"/>
                <w:u w:val="single"/>
                <w:vertAlign w:val="superscript"/>
              </w:rPr>
              <w:t>2</w:t>
            </w:r>
            <w:r>
              <w:rPr>
                <w:rFonts w:hint="eastAsia"/>
                <w:sz w:val="21"/>
                <w:szCs w:val="21"/>
                <w:u w:val="single"/>
              </w:rPr>
              <w:t>）</w:t>
            </w:r>
          </w:p>
        </w:tc>
        <w:tc>
          <w:tcPr>
            <w:tcW w:w="590" w:type="pct"/>
            <w:vMerge w:val="continue"/>
            <w:vAlign w:val="center"/>
          </w:tcPr>
          <w:p w14:paraId="74B4400C">
            <w:pPr>
              <w:spacing w:line="240" w:lineRule="auto"/>
              <w:ind w:firstLine="420"/>
              <w:contextualSpacing/>
              <w:jc w:val="center"/>
              <w:rPr>
                <w:sz w:val="21"/>
                <w:szCs w:val="21"/>
                <w:highlight w:val="yellow"/>
                <w:u w:val="single"/>
              </w:rPr>
            </w:pPr>
          </w:p>
        </w:tc>
      </w:tr>
      <w:tr w14:paraId="3291A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0" w:type="auto"/>
            <w:vMerge w:val="continue"/>
            <w:shd w:val="clear" w:color="auto" w:fill="auto"/>
            <w:vAlign w:val="center"/>
          </w:tcPr>
          <w:p w14:paraId="4F1A3605">
            <w:pPr>
              <w:adjustRightInd/>
              <w:snapToGrid/>
              <w:spacing w:line="240" w:lineRule="auto"/>
              <w:ind w:firstLine="0" w:firstLineChars="0"/>
              <w:contextualSpacing/>
              <w:jc w:val="center"/>
              <w:rPr>
                <w:sz w:val="21"/>
                <w:szCs w:val="21"/>
                <w:u w:val="single"/>
              </w:rPr>
            </w:pPr>
          </w:p>
        </w:tc>
        <w:tc>
          <w:tcPr>
            <w:tcW w:w="1043" w:type="pct"/>
            <w:gridSpan w:val="3"/>
            <w:vMerge w:val="restart"/>
            <w:shd w:val="clear" w:color="auto" w:fill="auto"/>
            <w:vAlign w:val="center"/>
          </w:tcPr>
          <w:p w14:paraId="3B973F60">
            <w:pPr>
              <w:spacing w:line="240" w:lineRule="auto"/>
              <w:ind w:firstLine="0" w:firstLineChars="0"/>
              <w:contextualSpacing/>
              <w:jc w:val="center"/>
              <w:rPr>
                <w:sz w:val="21"/>
                <w:szCs w:val="21"/>
                <w:u w:val="single"/>
              </w:rPr>
            </w:pPr>
            <w:r>
              <w:rPr>
                <w:sz w:val="21"/>
                <w:szCs w:val="21"/>
                <w:u w:val="single"/>
              </w:rPr>
              <w:t>危险废物</w:t>
            </w:r>
          </w:p>
        </w:tc>
        <w:tc>
          <w:tcPr>
            <w:tcW w:w="966" w:type="pct"/>
            <w:vAlign w:val="center"/>
          </w:tcPr>
          <w:p w14:paraId="34670C62">
            <w:pPr>
              <w:adjustRightInd/>
              <w:snapToGrid/>
              <w:spacing w:line="240" w:lineRule="auto"/>
              <w:ind w:firstLine="0" w:firstLineChars="0"/>
              <w:contextualSpacing/>
              <w:jc w:val="center"/>
              <w:rPr>
                <w:sz w:val="21"/>
                <w:szCs w:val="21"/>
                <w:highlight w:val="yellow"/>
                <w:u w:val="single"/>
              </w:rPr>
            </w:pPr>
            <w:r>
              <w:rPr>
                <w:rFonts w:hint="eastAsia"/>
                <w:sz w:val="21"/>
                <w:szCs w:val="21"/>
                <w:u w:val="single"/>
              </w:rPr>
              <w:t>废活性炭</w:t>
            </w:r>
          </w:p>
        </w:tc>
        <w:tc>
          <w:tcPr>
            <w:tcW w:w="2085" w:type="pct"/>
            <w:gridSpan w:val="5"/>
            <w:vMerge w:val="restart"/>
            <w:vAlign w:val="center"/>
          </w:tcPr>
          <w:p w14:paraId="7052E284">
            <w:pPr>
              <w:spacing w:line="240" w:lineRule="auto"/>
              <w:ind w:firstLine="420"/>
              <w:contextualSpacing/>
              <w:jc w:val="center"/>
              <w:rPr>
                <w:sz w:val="21"/>
                <w:szCs w:val="21"/>
                <w:u w:val="single"/>
              </w:rPr>
            </w:pPr>
            <w:r>
              <w:rPr>
                <w:sz w:val="21"/>
                <w:szCs w:val="21"/>
                <w:u w:val="single"/>
              </w:rPr>
              <w:t>危废贮存库1</w:t>
            </w:r>
            <w:r>
              <w:rPr>
                <w:rFonts w:hint="eastAsia"/>
                <w:sz w:val="21"/>
                <w:szCs w:val="21"/>
                <w:u w:val="single"/>
              </w:rPr>
              <w:t>间</w:t>
            </w:r>
            <w:r>
              <w:rPr>
                <w:sz w:val="21"/>
                <w:szCs w:val="21"/>
                <w:u w:val="single"/>
              </w:rPr>
              <w:t>（</w:t>
            </w:r>
            <w:r>
              <w:rPr>
                <w:rFonts w:hint="eastAsia"/>
                <w:sz w:val="21"/>
                <w:szCs w:val="21"/>
                <w:u w:val="single"/>
              </w:rPr>
              <w:t>50</w:t>
            </w:r>
            <w:r>
              <w:rPr>
                <w:sz w:val="21"/>
                <w:szCs w:val="21"/>
                <w:u w:val="single"/>
              </w:rPr>
              <w:t>m</w:t>
            </w:r>
            <w:r>
              <w:rPr>
                <w:sz w:val="21"/>
                <w:szCs w:val="21"/>
                <w:u w:val="single"/>
                <w:vertAlign w:val="superscript"/>
              </w:rPr>
              <w:t>2</w:t>
            </w:r>
            <w:r>
              <w:rPr>
                <w:sz w:val="21"/>
                <w:szCs w:val="21"/>
                <w:u w:val="single"/>
              </w:rPr>
              <w:t>）</w:t>
            </w:r>
          </w:p>
        </w:tc>
        <w:tc>
          <w:tcPr>
            <w:tcW w:w="590" w:type="pct"/>
            <w:vMerge w:val="continue"/>
            <w:vAlign w:val="center"/>
          </w:tcPr>
          <w:p w14:paraId="36C8D6C4">
            <w:pPr>
              <w:spacing w:line="240" w:lineRule="auto"/>
              <w:ind w:firstLine="420"/>
              <w:contextualSpacing/>
              <w:jc w:val="center"/>
              <w:rPr>
                <w:sz w:val="21"/>
                <w:szCs w:val="21"/>
                <w:highlight w:val="yellow"/>
                <w:u w:val="single"/>
              </w:rPr>
            </w:pPr>
          </w:p>
        </w:tc>
      </w:tr>
      <w:tr w14:paraId="457AA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0" w:type="auto"/>
            <w:vMerge w:val="continue"/>
            <w:shd w:val="clear" w:color="auto" w:fill="auto"/>
            <w:vAlign w:val="center"/>
          </w:tcPr>
          <w:p w14:paraId="22A51C35">
            <w:pPr>
              <w:adjustRightInd/>
              <w:snapToGrid/>
              <w:spacing w:line="240" w:lineRule="auto"/>
              <w:ind w:firstLine="0" w:firstLineChars="0"/>
              <w:contextualSpacing/>
              <w:jc w:val="center"/>
              <w:rPr>
                <w:sz w:val="21"/>
                <w:szCs w:val="21"/>
                <w:u w:val="single"/>
              </w:rPr>
            </w:pPr>
          </w:p>
        </w:tc>
        <w:tc>
          <w:tcPr>
            <w:tcW w:w="1043" w:type="pct"/>
            <w:gridSpan w:val="3"/>
            <w:vMerge w:val="continue"/>
            <w:shd w:val="clear" w:color="auto" w:fill="auto"/>
            <w:vAlign w:val="center"/>
          </w:tcPr>
          <w:p w14:paraId="3337EABB">
            <w:pPr>
              <w:spacing w:line="240" w:lineRule="auto"/>
              <w:ind w:firstLine="0" w:firstLineChars="0"/>
              <w:contextualSpacing/>
              <w:jc w:val="center"/>
              <w:rPr>
                <w:sz w:val="21"/>
                <w:szCs w:val="21"/>
                <w:u w:val="single"/>
              </w:rPr>
            </w:pPr>
          </w:p>
        </w:tc>
        <w:tc>
          <w:tcPr>
            <w:tcW w:w="966" w:type="pct"/>
            <w:vAlign w:val="center"/>
          </w:tcPr>
          <w:p w14:paraId="0334DABC">
            <w:pPr>
              <w:adjustRightInd/>
              <w:snapToGrid/>
              <w:spacing w:line="240" w:lineRule="auto"/>
              <w:ind w:firstLine="0" w:firstLineChars="0"/>
              <w:contextualSpacing/>
              <w:jc w:val="center"/>
              <w:rPr>
                <w:sz w:val="21"/>
                <w:szCs w:val="21"/>
                <w:u w:val="single"/>
              </w:rPr>
            </w:pPr>
            <w:r>
              <w:rPr>
                <w:rFonts w:hint="eastAsia"/>
                <w:sz w:val="21"/>
                <w:szCs w:val="21"/>
                <w:u w:val="single"/>
              </w:rPr>
              <w:t>废导热油</w:t>
            </w:r>
          </w:p>
        </w:tc>
        <w:tc>
          <w:tcPr>
            <w:tcW w:w="2085" w:type="pct"/>
            <w:gridSpan w:val="5"/>
            <w:vMerge w:val="continue"/>
            <w:vAlign w:val="center"/>
          </w:tcPr>
          <w:p w14:paraId="1DB806C3">
            <w:pPr>
              <w:spacing w:line="240" w:lineRule="auto"/>
              <w:ind w:firstLine="420"/>
              <w:contextualSpacing/>
              <w:jc w:val="center"/>
              <w:rPr>
                <w:sz w:val="21"/>
                <w:szCs w:val="21"/>
                <w:u w:val="single"/>
              </w:rPr>
            </w:pPr>
          </w:p>
        </w:tc>
        <w:tc>
          <w:tcPr>
            <w:tcW w:w="590" w:type="pct"/>
            <w:vMerge w:val="continue"/>
            <w:vAlign w:val="center"/>
          </w:tcPr>
          <w:p w14:paraId="37E81D9E">
            <w:pPr>
              <w:spacing w:line="240" w:lineRule="auto"/>
              <w:ind w:firstLine="420"/>
              <w:contextualSpacing/>
              <w:jc w:val="center"/>
              <w:rPr>
                <w:sz w:val="21"/>
                <w:szCs w:val="21"/>
                <w:highlight w:val="yellow"/>
                <w:u w:val="single"/>
              </w:rPr>
            </w:pPr>
          </w:p>
        </w:tc>
      </w:tr>
      <w:tr w14:paraId="56546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0" w:type="auto"/>
            <w:vMerge w:val="continue"/>
            <w:shd w:val="clear" w:color="auto" w:fill="auto"/>
            <w:vAlign w:val="center"/>
          </w:tcPr>
          <w:p w14:paraId="04ABC9F1">
            <w:pPr>
              <w:adjustRightInd/>
              <w:snapToGrid/>
              <w:spacing w:line="240" w:lineRule="auto"/>
              <w:ind w:firstLine="0" w:firstLineChars="0"/>
              <w:contextualSpacing/>
              <w:jc w:val="center"/>
              <w:rPr>
                <w:sz w:val="21"/>
                <w:szCs w:val="21"/>
                <w:u w:val="single"/>
              </w:rPr>
            </w:pPr>
          </w:p>
        </w:tc>
        <w:tc>
          <w:tcPr>
            <w:tcW w:w="1043" w:type="pct"/>
            <w:gridSpan w:val="3"/>
            <w:vMerge w:val="continue"/>
            <w:shd w:val="clear" w:color="auto" w:fill="auto"/>
            <w:vAlign w:val="center"/>
          </w:tcPr>
          <w:p w14:paraId="4D6ED25B">
            <w:pPr>
              <w:spacing w:line="240" w:lineRule="auto"/>
              <w:ind w:firstLine="0" w:firstLineChars="0"/>
              <w:contextualSpacing/>
              <w:jc w:val="center"/>
              <w:rPr>
                <w:sz w:val="21"/>
                <w:szCs w:val="21"/>
                <w:u w:val="single"/>
              </w:rPr>
            </w:pPr>
          </w:p>
        </w:tc>
        <w:tc>
          <w:tcPr>
            <w:tcW w:w="966" w:type="pct"/>
            <w:vAlign w:val="center"/>
          </w:tcPr>
          <w:p w14:paraId="2F88C28E">
            <w:pPr>
              <w:adjustRightInd/>
              <w:snapToGrid/>
              <w:spacing w:line="240" w:lineRule="auto"/>
              <w:ind w:firstLine="0" w:firstLineChars="0"/>
              <w:contextualSpacing/>
              <w:jc w:val="center"/>
              <w:rPr>
                <w:sz w:val="21"/>
                <w:szCs w:val="21"/>
                <w:highlight w:val="yellow"/>
                <w:u w:val="single"/>
              </w:rPr>
            </w:pPr>
            <w:r>
              <w:rPr>
                <w:rFonts w:hint="eastAsia"/>
                <w:sz w:val="21"/>
                <w:szCs w:val="21"/>
                <w:u w:val="single"/>
              </w:rPr>
              <w:t>化验室废物</w:t>
            </w:r>
          </w:p>
        </w:tc>
        <w:tc>
          <w:tcPr>
            <w:tcW w:w="2085" w:type="pct"/>
            <w:gridSpan w:val="5"/>
            <w:vMerge w:val="continue"/>
            <w:vAlign w:val="center"/>
          </w:tcPr>
          <w:p w14:paraId="2C9C7EBB">
            <w:pPr>
              <w:spacing w:line="240" w:lineRule="auto"/>
              <w:ind w:firstLine="420"/>
              <w:contextualSpacing/>
              <w:jc w:val="center"/>
              <w:rPr>
                <w:sz w:val="21"/>
                <w:szCs w:val="21"/>
                <w:highlight w:val="yellow"/>
                <w:u w:val="single"/>
              </w:rPr>
            </w:pPr>
          </w:p>
        </w:tc>
        <w:tc>
          <w:tcPr>
            <w:tcW w:w="590" w:type="pct"/>
            <w:vMerge w:val="continue"/>
            <w:vAlign w:val="center"/>
          </w:tcPr>
          <w:p w14:paraId="0AB687CE">
            <w:pPr>
              <w:spacing w:line="240" w:lineRule="auto"/>
              <w:ind w:firstLine="420"/>
              <w:contextualSpacing/>
              <w:jc w:val="center"/>
              <w:rPr>
                <w:sz w:val="21"/>
                <w:szCs w:val="21"/>
                <w:highlight w:val="yellow"/>
                <w:u w:val="single"/>
              </w:rPr>
            </w:pPr>
          </w:p>
        </w:tc>
      </w:tr>
      <w:tr w14:paraId="614C0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0" w:type="auto"/>
            <w:vMerge w:val="continue"/>
            <w:shd w:val="clear" w:color="auto" w:fill="auto"/>
            <w:vAlign w:val="center"/>
          </w:tcPr>
          <w:p w14:paraId="58DB71BF">
            <w:pPr>
              <w:adjustRightInd/>
              <w:snapToGrid/>
              <w:spacing w:line="240" w:lineRule="auto"/>
              <w:ind w:firstLine="0" w:firstLineChars="0"/>
              <w:contextualSpacing/>
              <w:jc w:val="center"/>
              <w:rPr>
                <w:sz w:val="21"/>
                <w:szCs w:val="21"/>
                <w:highlight w:val="yellow"/>
                <w:u w:val="single"/>
              </w:rPr>
            </w:pPr>
          </w:p>
        </w:tc>
        <w:tc>
          <w:tcPr>
            <w:tcW w:w="1043" w:type="pct"/>
            <w:gridSpan w:val="3"/>
            <w:vMerge w:val="continue"/>
            <w:shd w:val="clear" w:color="auto" w:fill="auto"/>
            <w:vAlign w:val="center"/>
          </w:tcPr>
          <w:p w14:paraId="75A78F37">
            <w:pPr>
              <w:adjustRightInd/>
              <w:snapToGrid/>
              <w:spacing w:line="240" w:lineRule="auto"/>
              <w:ind w:firstLine="0" w:firstLineChars="0"/>
              <w:contextualSpacing/>
              <w:jc w:val="center"/>
              <w:rPr>
                <w:sz w:val="21"/>
                <w:szCs w:val="21"/>
                <w:highlight w:val="yellow"/>
                <w:u w:val="single"/>
              </w:rPr>
            </w:pPr>
          </w:p>
        </w:tc>
        <w:tc>
          <w:tcPr>
            <w:tcW w:w="966" w:type="pct"/>
            <w:vAlign w:val="center"/>
          </w:tcPr>
          <w:p w14:paraId="382E2139">
            <w:pPr>
              <w:adjustRightInd/>
              <w:snapToGrid/>
              <w:spacing w:line="240" w:lineRule="auto"/>
              <w:ind w:firstLine="0" w:firstLineChars="0"/>
              <w:contextualSpacing/>
              <w:jc w:val="center"/>
              <w:rPr>
                <w:sz w:val="21"/>
                <w:szCs w:val="21"/>
                <w:u w:val="single"/>
              </w:rPr>
            </w:pPr>
            <w:r>
              <w:rPr>
                <w:rFonts w:hint="eastAsia"/>
                <w:sz w:val="21"/>
                <w:szCs w:val="21"/>
                <w:u w:val="single"/>
              </w:rPr>
              <w:t>污油</w:t>
            </w:r>
          </w:p>
        </w:tc>
        <w:tc>
          <w:tcPr>
            <w:tcW w:w="2085" w:type="pct"/>
            <w:gridSpan w:val="5"/>
            <w:vMerge w:val="continue"/>
            <w:vAlign w:val="center"/>
          </w:tcPr>
          <w:p w14:paraId="5CBD6571">
            <w:pPr>
              <w:adjustRightInd/>
              <w:snapToGrid/>
              <w:spacing w:line="240" w:lineRule="auto"/>
              <w:ind w:firstLine="0" w:firstLineChars="0"/>
              <w:contextualSpacing/>
              <w:jc w:val="center"/>
              <w:rPr>
                <w:sz w:val="21"/>
                <w:szCs w:val="21"/>
                <w:highlight w:val="yellow"/>
                <w:u w:val="single"/>
              </w:rPr>
            </w:pPr>
          </w:p>
        </w:tc>
        <w:tc>
          <w:tcPr>
            <w:tcW w:w="590" w:type="pct"/>
            <w:vMerge w:val="continue"/>
            <w:vAlign w:val="center"/>
          </w:tcPr>
          <w:p w14:paraId="68E982CE">
            <w:pPr>
              <w:adjustRightInd/>
              <w:snapToGrid/>
              <w:spacing w:line="240" w:lineRule="auto"/>
              <w:ind w:firstLine="0" w:firstLineChars="0"/>
              <w:contextualSpacing/>
              <w:jc w:val="center"/>
              <w:rPr>
                <w:sz w:val="21"/>
                <w:szCs w:val="21"/>
                <w:highlight w:val="yellow"/>
                <w:u w:val="single"/>
              </w:rPr>
            </w:pPr>
          </w:p>
        </w:tc>
      </w:tr>
      <w:tr w14:paraId="1D3EF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0" w:type="auto"/>
            <w:vMerge w:val="continue"/>
            <w:shd w:val="clear" w:color="auto" w:fill="auto"/>
            <w:vAlign w:val="center"/>
          </w:tcPr>
          <w:p w14:paraId="1D3EF0FF">
            <w:pPr>
              <w:adjustRightInd/>
              <w:snapToGrid/>
              <w:spacing w:line="240" w:lineRule="auto"/>
              <w:ind w:firstLine="0" w:firstLineChars="0"/>
              <w:contextualSpacing/>
              <w:jc w:val="center"/>
              <w:rPr>
                <w:sz w:val="21"/>
                <w:szCs w:val="21"/>
                <w:highlight w:val="yellow"/>
                <w:u w:val="single"/>
              </w:rPr>
            </w:pPr>
          </w:p>
        </w:tc>
        <w:tc>
          <w:tcPr>
            <w:tcW w:w="1043" w:type="pct"/>
            <w:gridSpan w:val="3"/>
            <w:vMerge w:val="continue"/>
            <w:shd w:val="clear" w:color="auto" w:fill="auto"/>
            <w:vAlign w:val="center"/>
          </w:tcPr>
          <w:p w14:paraId="1D3EF100">
            <w:pPr>
              <w:adjustRightInd/>
              <w:snapToGrid/>
              <w:spacing w:line="240" w:lineRule="auto"/>
              <w:ind w:firstLine="0" w:firstLineChars="0"/>
              <w:contextualSpacing/>
              <w:jc w:val="center"/>
              <w:rPr>
                <w:sz w:val="21"/>
                <w:szCs w:val="21"/>
                <w:highlight w:val="yellow"/>
                <w:u w:val="single"/>
              </w:rPr>
            </w:pPr>
          </w:p>
        </w:tc>
        <w:tc>
          <w:tcPr>
            <w:tcW w:w="966" w:type="pct"/>
            <w:vAlign w:val="center"/>
          </w:tcPr>
          <w:p w14:paraId="1D3EF101">
            <w:pPr>
              <w:adjustRightInd/>
              <w:snapToGrid/>
              <w:spacing w:line="240" w:lineRule="auto"/>
              <w:ind w:firstLine="0" w:firstLineChars="0"/>
              <w:contextualSpacing/>
              <w:jc w:val="center"/>
              <w:rPr>
                <w:sz w:val="21"/>
                <w:szCs w:val="21"/>
                <w:highlight w:val="yellow"/>
                <w:u w:val="single"/>
              </w:rPr>
            </w:pPr>
            <w:r>
              <w:rPr>
                <w:rFonts w:hint="eastAsia"/>
                <w:sz w:val="21"/>
                <w:szCs w:val="21"/>
                <w:u w:val="single"/>
              </w:rPr>
              <w:t>污泥</w:t>
            </w:r>
          </w:p>
        </w:tc>
        <w:tc>
          <w:tcPr>
            <w:tcW w:w="2085" w:type="pct"/>
            <w:gridSpan w:val="5"/>
            <w:vMerge w:val="continue"/>
            <w:vAlign w:val="center"/>
          </w:tcPr>
          <w:p w14:paraId="1D3EF102">
            <w:pPr>
              <w:adjustRightInd/>
              <w:snapToGrid/>
              <w:spacing w:line="240" w:lineRule="auto"/>
              <w:ind w:firstLine="0" w:firstLineChars="0"/>
              <w:contextualSpacing/>
              <w:jc w:val="center"/>
              <w:rPr>
                <w:sz w:val="21"/>
                <w:szCs w:val="21"/>
                <w:highlight w:val="yellow"/>
                <w:u w:val="single"/>
              </w:rPr>
            </w:pPr>
          </w:p>
        </w:tc>
        <w:tc>
          <w:tcPr>
            <w:tcW w:w="590" w:type="pct"/>
            <w:vMerge w:val="continue"/>
            <w:vAlign w:val="center"/>
          </w:tcPr>
          <w:p w14:paraId="1D3EF103">
            <w:pPr>
              <w:adjustRightInd/>
              <w:snapToGrid/>
              <w:spacing w:line="240" w:lineRule="auto"/>
              <w:ind w:firstLine="0" w:firstLineChars="0"/>
              <w:contextualSpacing/>
              <w:jc w:val="center"/>
              <w:rPr>
                <w:sz w:val="21"/>
                <w:szCs w:val="21"/>
                <w:highlight w:val="yellow"/>
                <w:u w:val="single"/>
              </w:rPr>
            </w:pPr>
          </w:p>
        </w:tc>
      </w:tr>
      <w:tr w14:paraId="1D3EF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316" w:type="pct"/>
            <w:vAlign w:val="center"/>
          </w:tcPr>
          <w:p w14:paraId="1D3EF106">
            <w:pPr>
              <w:adjustRightInd/>
              <w:snapToGrid/>
              <w:spacing w:line="240" w:lineRule="auto"/>
              <w:ind w:firstLine="0" w:firstLineChars="0"/>
              <w:contextualSpacing/>
              <w:jc w:val="center"/>
              <w:rPr>
                <w:sz w:val="21"/>
                <w:szCs w:val="21"/>
                <w:u w:val="single"/>
              </w:rPr>
            </w:pPr>
            <w:r>
              <w:rPr>
                <w:sz w:val="21"/>
                <w:szCs w:val="21"/>
                <w:u w:val="single"/>
              </w:rPr>
              <w:t>噪声</w:t>
            </w:r>
          </w:p>
        </w:tc>
        <w:tc>
          <w:tcPr>
            <w:tcW w:w="1043" w:type="pct"/>
            <w:gridSpan w:val="3"/>
            <w:vAlign w:val="center"/>
          </w:tcPr>
          <w:p w14:paraId="1D3EF107">
            <w:pPr>
              <w:adjustRightInd/>
              <w:snapToGrid/>
              <w:spacing w:line="240" w:lineRule="auto"/>
              <w:ind w:firstLine="0" w:firstLineChars="0"/>
              <w:contextualSpacing/>
              <w:jc w:val="center"/>
              <w:rPr>
                <w:sz w:val="21"/>
                <w:szCs w:val="21"/>
                <w:u w:val="single"/>
              </w:rPr>
            </w:pPr>
            <w:r>
              <w:rPr>
                <w:rFonts w:hint="eastAsia"/>
                <w:sz w:val="21"/>
                <w:szCs w:val="21"/>
                <w:u w:val="single"/>
              </w:rPr>
              <w:t>真空上料机</w:t>
            </w:r>
            <w:r>
              <w:rPr>
                <w:sz w:val="21"/>
                <w:szCs w:val="21"/>
                <w:u w:val="single"/>
              </w:rPr>
              <w:t>、</w:t>
            </w:r>
            <w:r>
              <w:rPr>
                <w:rFonts w:hint="eastAsia"/>
                <w:sz w:val="21"/>
                <w:szCs w:val="21"/>
                <w:u w:val="single"/>
              </w:rPr>
              <w:t>离心机</w:t>
            </w:r>
            <w:r>
              <w:rPr>
                <w:sz w:val="21"/>
                <w:szCs w:val="21"/>
                <w:u w:val="single"/>
              </w:rPr>
              <w:t>、</w:t>
            </w:r>
            <w:r>
              <w:rPr>
                <w:rFonts w:hint="eastAsia"/>
                <w:sz w:val="21"/>
                <w:szCs w:val="21"/>
                <w:u w:val="single"/>
              </w:rPr>
              <w:t>自动灌装</w:t>
            </w:r>
            <w:r>
              <w:rPr>
                <w:sz w:val="21"/>
                <w:szCs w:val="21"/>
                <w:u w:val="single"/>
              </w:rPr>
              <w:t>机、</w:t>
            </w:r>
            <w:r>
              <w:rPr>
                <w:rFonts w:hint="eastAsia"/>
                <w:sz w:val="21"/>
                <w:szCs w:val="21"/>
                <w:u w:val="single"/>
              </w:rPr>
              <w:t>进料泵、循环水站</w:t>
            </w:r>
            <w:r>
              <w:rPr>
                <w:sz w:val="21"/>
                <w:szCs w:val="21"/>
                <w:u w:val="single"/>
              </w:rPr>
              <w:t>等</w:t>
            </w:r>
          </w:p>
        </w:tc>
        <w:tc>
          <w:tcPr>
            <w:tcW w:w="966" w:type="pct"/>
            <w:vAlign w:val="center"/>
          </w:tcPr>
          <w:p w14:paraId="1D3EF108">
            <w:pPr>
              <w:adjustRightInd/>
              <w:snapToGrid/>
              <w:spacing w:line="240" w:lineRule="auto"/>
              <w:ind w:firstLine="0" w:firstLineChars="0"/>
              <w:contextualSpacing/>
              <w:jc w:val="center"/>
              <w:rPr>
                <w:sz w:val="21"/>
                <w:szCs w:val="21"/>
                <w:u w:val="single"/>
              </w:rPr>
            </w:pPr>
            <w:r>
              <w:rPr>
                <w:sz w:val="21"/>
                <w:szCs w:val="21"/>
                <w:u w:val="single"/>
              </w:rPr>
              <w:t>机械噪声</w:t>
            </w:r>
          </w:p>
        </w:tc>
        <w:tc>
          <w:tcPr>
            <w:tcW w:w="2085" w:type="pct"/>
            <w:gridSpan w:val="5"/>
            <w:vAlign w:val="center"/>
          </w:tcPr>
          <w:p w14:paraId="1D3EF109">
            <w:pPr>
              <w:adjustRightInd/>
              <w:snapToGrid/>
              <w:spacing w:line="240" w:lineRule="auto"/>
              <w:ind w:firstLine="0" w:firstLineChars="0"/>
              <w:contextualSpacing/>
              <w:jc w:val="center"/>
              <w:rPr>
                <w:sz w:val="21"/>
                <w:szCs w:val="21"/>
                <w:u w:val="single"/>
              </w:rPr>
            </w:pPr>
            <w:r>
              <w:rPr>
                <w:sz w:val="21"/>
                <w:szCs w:val="21"/>
                <w:u w:val="single"/>
              </w:rPr>
              <w:t>减振、隔声、消声</w:t>
            </w:r>
          </w:p>
        </w:tc>
        <w:tc>
          <w:tcPr>
            <w:tcW w:w="590" w:type="pct"/>
            <w:vAlign w:val="center"/>
          </w:tcPr>
          <w:p w14:paraId="1D3EF10A">
            <w:pPr>
              <w:adjustRightInd/>
              <w:snapToGrid/>
              <w:spacing w:line="240" w:lineRule="auto"/>
              <w:ind w:firstLine="0" w:firstLineChars="0"/>
              <w:contextualSpacing/>
              <w:jc w:val="center"/>
              <w:rPr>
                <w:sz w:val="21"/>
                <w:szCs w:val="21"/>
                <w:u w:val="single"/>
              </w:rPr>
            </w:pPr>
            <w:r>
              <w:rPr>
                <w:rFonts w:hint="eastAsia"/>
                <w:sz w:val="21"/>
                <w:szCs w:val="21"/>
                <w:u w:val="single"/>
              </w:rPr>
              <w:t>10</w:t>
            </w:r>
          </w:p>
        </w:tc>
      </w:tr>
      <w:tr w14:paraId="1D3EF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1359" w:type="pct"/>
            <w:gridSpan w:val="4"/>
            <w:vAlign w:val="center"/>
          </w:tcPr>
          <w:p w14:paraId="1D3EF10D">
            <w:pPr>
              <w:adjustRightInd/>
              <w:snapToGrid/>
              <w:spacing w:line="240" w:lineRule="auto"/>
              <w:ind w:firstLine="0" w:firstLineChars="0"/>
              <w:contextualSpacing/>
              <w:jc w:val="center"/>
              <w:rPr>
                <w:sz w:val="21"/>
                <w:szCs w:val="21"/>
                <w:u w:val="single"/>
              </w:rPr>
            </w:pPr>
            <w:r>
              <w:rPr>
                <w:sz w:val="21"/>
                <w:szCs w:val="21"/>
                <w:u w:val="single"/>
              </w:rPr>
              <w:t>地下水</w:t>
            </w:r>
            <w:r>
              <w:rPr>
                <w:rFonts w:hint="eastAsia"/>
                <w:sz w:val="21"/>
                <w:szCs w:val="21"/>
                <w:u w:val="single"/>
              </w:rPr>
              <w:t>和土壤</w:t>
            </w:r>
          </w:p>
        </w:tc>
        <w:tc>
          <w:tcPr>
            <w:tcW w:w="3051" w:type="pct"/>
            <w:gridSpan w:val="6"/>
            <w:vAlign w:val="center"/>
          </w:tcPr>
          <w:p w14:paraId="1D3EF10F">
            <w:pPr>
              <w:adjustRightInd/>
              <w:snapToGrid/>
              <w:spacing w:line="240" w:lineRule="auto"/>
              <w:ind w:firstLine="0" w:firstLineChars="0"/>
              <w:contextualSpacing/>
              <w:jc w:val="center"/>
              <w:rPr>
                <w:sz w:val="21"/>
                <w:szCs w:val="21"/>
                <w:u w:val="single"/>
              </w:rPr>
            </w:pPr>
            <w:r>
              <w:rPr>
                <w:sz w:val="21"/>
                <w:szCs w:val="21"/>
                <w:u w:val="single"/>
              </w:rPr>
              <w:t>加强厂区各重点防渗单元检查，采取地面硬化、分区防渗等措施；厂区绿化；土壤和地下水跟踪监测</w:t>
            </w:r>
          </w:p>
        </w:tc>
        <w:tc>
          <w:tcPr>
            <w:tcW w:w="590" w:type="pct"/>
            <w:vAlign w:val="center"/>
          </w:tcPr>
          <w:p w14:paraId="1D3EF110">
            <w:pPr>
              <w:adjustRightInd/>
              <w:snapToGrid/>
              <w:spacing w:line="240" w:lineRule="auto"/>
              <w:ind w:firstLine="0" w:firstLineChars="0"/>
              <w:contextualSpacing/>
              <w:jc w:val="center"/>
              <w:rPr>
                <w:sz w:val="21"/>
                <w:szCs w:val="21"/>
                <w:u w:val="single"/>
              </w:rPr>
            </w:pPr>
            <w:r>
              <w:rPr>
                <w:rFonts w:hint="eastAsia"/>
                <w:sz w:val="21"/>
                <w:szCs w:val="21"/>
                <w:u w:val="single"/>
              </w:rPr>
              <w:t>30</w:t>
            </w:r>
          </w:p>
        </w:tc>
      </w:tr>
      <w:tr w14:paraId="1D3EF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1359" w:type="pct"/>
            <w:gridSpan w:val="4"/>
            <w:vAlign w:val="center"/>
          </w:tcPr>
          <w:p w14:paraId="1D3EF113">
            <w:pPr>
              <w:adjustRightInd/>
              <w:snapToGrid/>
              <w:spacing w:line="240" w:lineRule="auto"/>
              <w:ind w:firstLine="0" w:firstLineChars="0"/>
              <w:contextualSpacing/>
              <w:jc w:val="center"/>
              <w:rPr>
                <w:sz w:val="21"/>
                <w:szCs w:val="21"/>
                <w:highlight w:val="yellow"/>
                <w:u w:val="single"/>
              </w:rPr>
            </w:pPr>
            <w:r>
              <w:rPr>
                <w:sz w:val="21"/>
                <w:szCs w:val="21"/>
                <w:u w:val="single"/>
              </w:rPr>
              <w:t>风险防范</w:t>
            </w:r>
          </w:p>
        </w:tc>
        <w:tc>
          <w:tcPr>
            <w:tcW w:w="3051" w:type="pct"/>
            <w:gridSpan w:val="6"/>
            <w:vAlign w:val="center"/>
          </w:tcPr>
          <w:p w14:paraId="1D3EF114">
            <w:pPr>
              <w:adjustRightInd/>
              <w:snapToGrid/>
              <w:spacing w:line="240" w:lineRule="auto"/>
              <w:ind w:firstLine="0" w:firstLineChars="0"/>
              <w:contextualSpacing/>
              <w:jc w:val="center"/>
              <w:rPr>
                <w:sz w:val="21"/>
                <w:szCs w:val="21"/>
                <w:highlight w:val="yellow"/>
                <w:u w:val="single"/>
              </w:rPr>
            </w:pPr>
            <w:r>
              <w:rPr>
                <w:sz w:val="21"/>
                <w:szCs w:val="21"/>
                <w:u w:val="single"/>
              </w:rPr>
              <w:t>事故水池</w:t>
            </w:r>
            <w:r>
              <w:rPr>
                <w:rFonts w:hint="eastAsia"/>
                <w:sz w:val="21"/>
                <w:szCs w:val="21"/>
                <w:u w:val="single"/>
              </w:rPr>
              <w:t>35</w:t>
            </w:r>
            <w:r>
              <w:rPr>
                <w:sz w:val="21"/>
                <w:szCs w:val="21"/>
                <w:u w:val="single"/>
              </w:rPr>
              <w:t>0m</w:t>
            </w:r>
            <w:r>
              <w:rPr>
                <w:sz w:val="21"/>
                <w:szCs w:val="21"/>
                <w:u w:val="single"/>
                <w:vertAlign w:val="superscript"/>
              </w:rPr>
              <w:t>3</w:t>
            </w:r>
            <w:r>
              <w:rPr>
                <w:sz w:val="21"/>
                <w:szCs w:val="21"/>
                <w:u w:val="single"/>
              </w:rPr>
              <w:t>，配套</w:t>
            </w:r>
            <w:r>
              <w:rPr>
                <w:bCs/>
                <w:sz w:val="21"/>
                <w:szCs w:val="21"/>
                <w:u w:val="single"/>
              </w:rPr>
              <w:t>收集管网、废水拦截设施</w:t>
            </w:r>
            <w:r>
              <w:rPr>
                <w:rFonts w:hint="eastAsia"/>
                <w:bCs/>
                <w:sz w:val="21"/>
                <w:szCs w:val="21"/>
                <w:u w:val="single"/>
              </w:rPr>
              <w:t>，</w:t>
            </w:r>
            <w:r>
              <w:rPr>
                <w:bCs/>
                <w:sz w:val="21"/>
                <w:szCs w:val="21"/>
                <w:u w:val="single"/>
              </w:rPr>
              <w:t>生产装置区设置火灾自动报警系统及消防灭火系统；防爆电机、防爆电器、监控等；其他人员防护、消防设施、备用电源；制定事故应急预案及定期演练</w:t>
            </w:r>
          </w:p>
        </w:tc>
        <w:tc>
          <w:tcPr>
            <w:tcW w:w="590" w:type="pct"/>
            <w:vAlign w:val="center"/>
          </w:tcPr>
          <w:p w14:paraId="1D3EF115">
            <w:pPr>
              <w:adjustRightInd/>
              <w:snapToGrid/>
              <w:spacing w:line="240" w:lineRule="auto"/>
              <w:ind w:firstLine="0" w:firstLineChars="0"/>
              <w:contextualSpacing/>
              <w:jc w:val="center"/>
              <w:rPr>
                <w:sz w:val="21"/>
                <w:szCs w:val="21"/>
                <w:u w:val="single"/>
              </w:rPr>
            </w:pPr>
            <w:r>
              <w:rPr>
                <w:rFonts w:hint="eastAsia"/>
                <w:sz w:val="21"/>
                <w:szCs w:val="21"/>
                <w:u w:val="single"/>
              </w:rPr>
              <w:t>3</w:t>
            </w:r>
            <w:r>
              <w:rPr>
                <w:sz w:val="21"/>
                <w:szCs w:val="21"/>
                <w:u w:val="single"/>
              </w:rPr>
              <w:t>0</w:t>
            </w:r>
          </w:p>
        </w:tc>
      </w:tr>
      <w:tr w14:paraId="1D3EF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4410" w:type="pct"/>
            <w:gridSpan w:val="10"/>
            <w:vAlign w:val="center"/>
          </w:tcPr>
          <w:p w14:paraId="1D3EF11D">
            <w:pPr>
              <w:adjustRightInd/>
              <w:snapToGrid/>
              <w:spacing w:line="240" w:lineRule="auto"/>
              <w:ind w:firstLine="0" w:firstLineChars="0"/>
              <w:contextualSpacing/>
              <w:jc w:val="center"/>
              <w:rPr>
                <w:sz w:val="21"/>
                <w:szCs w:val="21"/>
                <w:u w:val="single"/>
              </w:rPr>
            </w:pPr>
            <w:r>
              <w:rPr>
                <w:sz w:val="21"/>
                <w:szCs w:val="21"/>
                <w:u w:val="single"/>
              </w:rPr>
              <w:t>合计</w:t>
            </w:r>
          </w:p>
        </w:tc>
        <w:tc>
          <w:tcPr>
            <w:tcW w:w="590" w:type="pct"/>
            <w:vAlign w:val="center"/>
          </w:tcPr>
          <w:p w14:paraId="1D3EF11E">
            <w:pPr>
              <w:adjustRightInd/>
              <w:snapToGrid/>
              <w:spacing w:line="240" w:lineRule="auto"/>
              <w:ind w:firstLine="0" w:firstLineChars="0"/>
              <w:contextualSpacing/>
              <w:jc w:val="center"/>
              <w:rPr>
                <w:sz w:val="21"/>
                <w:szCs w:val="21"/>
                <w:u w:val="single"/>
              </w:rPr>
            </w:pPr>
            <w:r>
              <w:rPr>
                <w:rFonts w:hint="eastAsia"/>
                <w:sz w:val="21"/>
                <w:szCs w:val="21"/>
                <w:u w:val="single"/>
              </w:rPr>
              <w:t>150</w:t>
            </w:r>
          </w:p>
        </w:tc>
      </w:tr>
    </w:tbl>
    <w:p w14:paraId="77520A1E">
      <w:pPr>
        <w:spacing w:line="240" w:lineRule="auto"/>
        <w:ind w:firstLine="420"/>
        <w:rPr>
          <w:rFonts w:eastAsia="黑体"/>
          <w:sz w:val="21"/>
          <w:szCs w:val="21"/>
        </w:rPr>
      </w:pPr>
      <w:r>
        <w:rPr>
          <w:rFonts w:eastAsia="黑体"/>
          <w:sz w:val="21"/>
          <w:szCs w:val="21"/>
        </w:rPr>
        <w:t>据《固体废物鉴别标准通则》（GB 34330-2017）第6.1条的a）类，任何不需要修复和加工即可用于其原始用途的物质，或者在产生点经过修复和加工后满足国家、地方制定或行业通行的产品质量标准并且用于原始用途的物质不作为固体废物管理。本项目产生的溶剂包装桶交由生产厂家回收并回用于原始用途，因此本项目产生的废溶剂包装桶不再作为固体废物管理。</w:t>
      </w:r>
    </w:p>
    <w:p w14:paraId="1D3EF121">
      <w:pPr>
        <w:ind w:firstLine="480"/>
      </w:pPr>
      <w:r>
        <w:t>本项目环境保护“三同时”验收设施见下表。</w:t>
      </w:r>
    </w:p>
    <w:p w14:paraId="1D3EF122">
      <w:pPr>
        <w:pStyle w:val="99"/>
        <w:numPr>
          <w:ilvl w:val="4"/>
          <w:numId w:val="50"/>
        </w:numPr>
        <w:adjustRightInd/>
        <w:snapToGrid/>
        <w:ind w:left="0" w:firstLine="480"/>
        <w:textAlignment w:val="auto"/>
        <w:rPr>
          <w:rFonts w:eastAsia="黑体"/>
          <w:bCs/>
          <w:kern w:val="2"/>
          <w:szCs w:val="24"/>
        </w:rPr>
      </w:pPr>
      <w:r>
        <w:rPr>
          <w:rFonts w:eastAsia="黑体"/>
          <w:bCs/>
          <w:kern w:val="2"/>
          <w:szCs w:val="24"/>
        </w:rPr>
        <w:t xml:space="preserve">        工程环保“三同时”验收一览表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60"/>
        <w:gridCol w:w="503"/>
        <w:gridCol w:w="72"/>
        <w:gridCol w:w="859"/>
        <w:gridCol w:w="999"/>
        <w:gridCol w:w="572"/>
        <w:gridCol w:w="719"/>
        <w:gridCol w:w="717"/>
        <w:gridCol w:w="3369"/>
      </w:tblGrid>
      <w:tr w14:paraId="1D3EF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335" w:type="pct"/>
            <w:vAlign w:val="center"/>
          </w:tcPr>
          <w:p w14:paraId="1D3EF123">
            <w:pPr>
              <w:adjustRightInd/>
              <w:snapToGrid/>
              <w:spacing w:line="240" w:lineRule="auto"/>
              <w:ind w:firstLine="0" w:firstLineChars="0"/>
              <w:jc w:val="center"/>
              <w:textAlignment w:val="auto"/>
              <w:rPr>
                <w:b/>
                <w:kern w:val="2"/>
                <w:sz w:val="21"/>
              </w:rPr>
            </w:pPr>
            <w:r>
              <w:rPr>
                <w:b/>
                <w:kern w:val="2"/>
                <w:sz w:val="21"/>
              </w:rPr>
              <w:t>项目</w:t>
            </w:r>
          </w:p>
        </w:tc>
        <w:tc>
          <w:tcPr>
            <w:tcW w:w="856" w:type="pct"/>
            <w:gridSpan w:val="3"/>
            <w:vAlign w:val="center"/>
          </w:tcPr>
          <w:p w14:paraId="1D3EF124">
            <w:pPr>
              <w:adjustRightInd/>
              <w:snapToGrid/>
              <w:spacing w:line="240" w:lineRule="auto"/>
              <w:ind w:firstLine="0" w:firstLineChars="0"/>
              <w:jc w:val="center"/>
              <w:textAlignment w:val="auto"/>
              <w:rPr>
                <w:b/>
                <w:kern w:val="2"/>
                <w:sz w:val="21"/>
              </w:rPr>
            </w:pPr>
            <w:r>
              <w:rPr>
                <w:b/>
                <w:kern w:val="2"/>
                <w:sz w:val="21"/>
              </w:rPr>
              <w:t>产污环节</w:t>
            </w:r>
          </w:p>
        </w:tc>
        <w:tc>
          <w:tcPr>
            <w:tcW w:w="1796" w:type="pct"/>
            <w:gridSpan w:val="4"/>
            <w:vAlign w:val="center"/>
          </w:tcPr>
          <w:p w14:paraId="1D3EF125">
            <w:pPr>
              <w:adjustRightInd/>
              <w:snapToGrid/>
              <w:spacing w:line="240" w:lineRule="auto"/>
              <w:ind w:firstLine="0" w:firstLineChars="0"/>
              <w:jc w:val="center"/>
              <w:textAlignment w:val="auto"/>
              <w:rPr>
                <w:b/>
                <w:kern w:val="2"/>
                <w:sz w:val="21"/>
              </w:rPr>
            </w:pPr>
            <w:r>
              <w:rPr>
                <w:b/>
                <w:kern w:val="2"/>
                <w:sz w:val="21"/>
              </w:rPr>
              <w:t>治理措施</w:t>
            </w:r>
          </w:p>
        </w:tc>
        <w:tc>
          <w:tcPr>
            <w:tcW w:w="2013" w:type="pct"/>
            <w:vAlign w:val="center"/>
          </w:tcPr>
          <w:p w14:paraId="1D3EF126">
            <w:pPr>
              <w:adjustRightInd/>
              <w:snapToGrid/>
              <w:spacing w:line="240" w:lineRule="auto"/>
              <w:ind w:firstLine="0" w:firstLineChars="0"/>
              <w:jc w:val="center"/>
              <w:textAlignment w:val="auto"/>
              <w:rPr>
                <w:b/>
                <w:kern w:val="2"/>
                <w:sz w:val="21"/>
              </w:rPr>
            </w:pPr>
            <w:r>
              <w:rPr>
                <w:b/>
                <w:kern w:val="2"/>
                <w:sz w:val="21"/>
              </w:rPr>
              <w:t>执行标准</w:t>
            </w:r>
          </w:p>
        </w:tc>
      </w:tr>
      <w:tr w14:paraId="1D3EF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restart"/>
            <w:vAlign w:val="center"/>
          </w:tcPr>
          <w:p w14:paraId="1D3EF12E">
            <w:pPr>
              <w:adjustRightInd/>
              <w:snapToGrid/>
              <w:spacing w:line="240" w:lineRule="auto"/>
              <w:ind w:firstLine="0" w:firstLineChars="0"/>
              <w:contextualSpacing/>
              <w:jc w:val="center"/>
              <w:rPr>
                <w:sz w:val="21"/>
                <w:szCs w:val="21"/>
              </w:rPr>
            </w:pPr>
            <w:r>
              <w:rPr>
                <w:sz w:val="21"/>
                <w:szCs w:val="21"/>
              </w:rPr>
              <w:t>废气</w:t>
            </w:r>
          </w:p>
        </w:tc>
        <w:tc>
          <w:tcPr>
            <w:tcW w:w="300" w:type="pct"/>
            <w:vMerge w:val="restart"/>
            <w:vAlign w:val="center"/>
          </w:tcPr>
          <w:p w14:paraId="4EAC30BB">
            <w:pPr>
              <w:adjustRightInd/>
              <w:snapToGrid/>
              <w:spacing w:line="240" w:lineRule="auto"/>
              <w:ind w:firstLine="0" w:firstLineChars="0"/>
              <w:contextualSpacing/>
              <w:jc w:val="center"/>
              <w:rPr>
                <w:sz w:val="21"/>
                <w:szCs w:val="21"/>
                <w:u w:val="single"/>
              </w:rPr>
            </w:pPr>
            <w:r>
              <w:rPr>
                <w:rFonts w:hint="eastAsia"/>
                <w:sz w:val="21"/>
                <w:szCs w:val="21"/>
                <w:u w:val="single"/>
              </w:rPr>
              <w:t>聚醚改性硅油</w:t>
            </w:r>
          </w:p>
        </w:tc>
        <w:tc>
          <w:tcPr>
            <w:tcW w:w="556" w:type="pct"/>
            <w:gridSpan w:val="2"/>
            <w:vAlign w:val="center"/>
          </w:tcPr>
          <w:p w14:paraId="1D3EF12F">
            <w:pPr>
              <w:adjustRightInd/>
              <w:snapToGrid/>
              <w:spacing w:line="240" w:lineRule="auto"/>
              <w:ind w:firstLine="0" w:firstLineChars="0"/>
              <w:contextualSpacing/>
              <w:jc w:val="center"/>
              <w:rPr>
                <w:sz w:val="21"/>
                <w:szCs w:val="21"/>
                <w:u w:val="single"/>
              </w:rPr>
            </w:pPr>
            <w:r>
              <w:rPr>
                <w:rFonts w:hint="eastAsia"/>
                <w:sz w:val="21"/>
                <w:szCs w:val="21"/>
                <w:u w:val="single"/>
              </w:rPr>
              <w:t>聚合</w:t>
            </w:r>
          </w:p>
        </w:tc>
        <w:tc>
          <w:tcPr>
            <w:tcW w:w="597" w:type="pct"/>
            <w:vMerge w:val="restart"/>
            <w:vAlign w:val="center"/>
          </w:tcPr>
          <w:p w14:paraId="707FEFE3">
            <w:pPr>
              <w:adjustRightInd/>
              <w:snapToGrid/>
              <w:spacing w:line="240" w:lineRule="auto"/>
              <w:ind w:firstLine="0" w:firstLineChars="0"/>
              <w:contextualSpacing/>
              <w:jc w:val="center"/>
              <w:rPr>
                <w:sz w:val="21"/>
                <w:szCs w:val="21"/>
                <w:u w:val="single"/>
              </w:rPr>
            </w:pPr>
            <w:r>
              <w:rPr>
                <w:rFonts w:hint="eastAsia"/>
                <w:sz w:val="21"/>
                <w:szCs w:val="21"/>
                <w:u w:val="single"/>
              </w:rPr>
              <w:t>密闭负压收集管道</w:t>
            </w:r>
          </w:p>
        </w:tc>
        <w:tc>
          <w:tcPr>
            <w:tcW w:w="342" w:type="pct"/>
            <w:vMerge w:val="restart"/>
            <w:vAlign w:val="center"/>
          </w:tcPr>
          <w:p w14:paraId="7722DA96">
            <w:pPr>
              <w:adjustRightInd/>
              <w:snapToGrid/>
              <w:spacing w:line="240" w:lineRule="auto"/>
              <w:ind w:firstLine="0" w:firstLineChars="0"/>
              <w:contextualSpacing/>
              <w:jc w:val="center"/>
              <w:rPr>
                <w:sz w:val="21"/>
                <w:szCs w:val="21"/>
                <w:u w:val="single"/>
              </w:rPr>
            </w:pPr>
            <w:r>
              <w:rPr>
                <w:rFonts w:hint="eastAsia"/>
                <w:sz w:val="21"/>
                <w:szCs w:val="21"/>
                <w:u w:val="single"/>
              </w:rPr>
              <w:t>设备自带冷凝</w:t>
            </w:r>
          </w:p>
        </w:tc>
        <w:tc>
          <w:tcPr>
            <w:tcW w:w="429" w:type="pct"/>
            <w:vMerge w:val="restart"/>
            <w:vAlign w:val="center"/>
          </w:tcPr>
          <w:p w14:paraId="1D3EF130">
            <w:pPr>
              <w:adjustRightInd/>
              <w:snapToGrid/>
              <w:spacing w:line="240" w:lineRule="auto"/>
              <w:ind w:firstLine="0" w:firstLineChars="0"/>
              <w:contextualSpacing/>
              <w:jc w:val="center"/>
              <w:rPr>
                <w:sz w:val="21"/>
                <w:szCs w:val="21"/>
                <w:u w:val="single"/>
              </w:rPr>
            </w:pPr>
            <w:r>
              <w:rPr>
                <w:rFonts w:hint="eastAsia"/>
                <w:sz w:val="21"/>
                <w:szCs w:val="21"/>
                <w:u w:val="single"/>
              </w:rPr>
              <w:t>碱喷淋+水喷淋+除雾器</w:t>
            </w:r>
          </w:p>
        </w:tc>
        <w:tc>
          <w:tcPr>
            <w:tcW w:w="428" w:type="pct"/>
            <w:vMerge w:val="restart"/>
            <w:vAlign w:val="center"/>
          </w:tcPr>
          <w:p w14:paraId="1D3EF131">
            <w:pPr>
              <w:adjustRightInd/>
              <w:snapToGrid/>
              <w:spacing w:line="240" w:lineRule="auto"/>
              <w:ind w:firstLine="0" w:firstLineChars="0"/>
              <w:contextualSpacing/>
              <w:jc w:val="center"/>
              <w:rPr>
                <w:sz w:val="21"/>
                <w:szCs w:val="21"/>
                <w:u w:val="single"/>
              </w:rPr>
            </w:pPr>
            <w:r>
              <w:rPr>
                <w:rFonts w:hint="eastAsia"/>
                <w:bCs/>
                <w:sz w:val="21"/>
                <w:szCs w:val="21"/>
                <w:u w:val="single"/>
              </w:rPr>
              <w:t>15m高排气筒DA001</w:t>
            </w:r>
          </w:p>
        </w:tc>
        <w:tc>
          <w:tcPr>
            <w:tcW w:w="2013" w:type="pct"/>
            <w:vMerge w:val="restart"/>
            <w:vAlign w:val="center"/>
          </w:tcPr>
          <w:p w14:paraId="1D3EF132">
            <w:pPr>
              <w:adjustRightInd/>
              <w:snapToGrid/>
              <w:spacing w:line="240" w:lineRule="auto"/>
              <w:ind w:firstLine="0" w:firstLineChars="0"/>
              <w:contextualSpacing/>
              <w:jc w:val="center"/>
              <w:rPr>
                <w:sz w:val="21"/>
                <w:szCs w:val="21"/>
              </w:rPr>
            </w:pPr>
            <w:r>
              <w:rPr>
                <w:rFonts w:hint="eastAsia"/>
                <w:bCs/>
                <w:sz w:val="21"/>
                <w:szCs w:val="21"/>
              </w:rPr>
              <w:t>《恶臭污染物排放标准》（GB14554-93）、《关于全省开展工业挥发性有机物专项治理工作中排放建议值的通知》（豫环攻坚办〔2017〕162号）中限值要求、《河南省重污染天气重点行业应急减排措施技术指南》（2021年修订版）中有机化工A级绩效指标、《大气污染物综合排放标准》（GB 16297-1996）二级</w:t>
            </w:r>
          </w:p>
        </w:tc>
      </w:tr>
      <w:tr w14:paraId="6F0DF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3AB65FD2">
            <w:pPr>
              <w:adjustRightInd/>
              <w:snapToGrid/>
              <w:spacing w:line="240" w:lineRule="auto"/>
              <w:ind w:firstLine="0" w:firstLineChars="0"/>
              <w:contextualSpacing/>
              <w:jc w:val="center"/>
              <w:rPr>
                <w:sz w:val="21"/>
                <w:szCs w:val="21"/>
              </w:rPr>
            </w:pPr>
          </w:p>
        </w:tc>
        <w:tc>
          <w:tcPr>
            <w:tcW w:w="300" w:type="pct"/>
            <w:vMerge w:val="continue"/>
            <w:vAlign w:val="center"/>
          </w:tcPr>
          <w:p w14:paraId="0186DC1A">
            <w:pPr>
              <w:adjustRightInd/>
              <w:snapToGrid/>
              <w:spacing w:line="240" w:lineRule="auto"/>
              <w:ind w:firstLine="0" w:firstLineChars="0"/>
              <w:contextualSpacing/>
              <w:jc w:val="center"/>
              <w:rPr>
                <w:sz w:val="21"/>
                <w:szCs w:val="21"/>
                <w:u w:val="single"/>
              </w:rPr>
            </w:pPr>
          </w:p>
        </w:tc>
        <w:tc>
          <w:tcPr>
            <w:tcW w:w="556" w:type="pct"/>
            <w:gridSpan w:val="2"/>
            <w:vAlign w:val="center"/>
          </w:tcPr>
          <w:p w14:paraId="2DB678A2">
            <w:pPr>
              <w:adjustRightInd/>
              <w:snapToGrid/>
              <w:spacing w:line="240" w:lineRule="auto"/>
              <w:ind w:firstLine="0" w:firstLineChars="0"/>
              <w:contextualSpacing/>
              <w:jc w:val="center"/>
              <w:rPr>
                <w:sz w:val="21"/>
                <w:szCs w:val="21"/>
                <w:u w:val="single"/>
              </w:rPr>
            </w:pPr>
            <w:r>
              <w:rPr>
                <w:rFonts w:hint="eastAsia"/>
                <w:sz w:val="21"/>
                <w:szCs w:val="21"/>
                <w:u w:val="single"/>
              </w:rPr>
              <w:t>中和</w:t>
            </w:r>
          </w:p>
        </w:tc>
        <w:tc>
          <w:tcPr>
            <w:tcW w:w="597" w:type="pct"/>
            <w:vMerge w:val="continue"/>
            <w:vAlign w:val="center"/>
          </w:tcPr>
          <w:p w14:paraId="4C3EB89E">
            <w:pPr>
              <w:adjustRightInd/>
              <w:snapToGrid/>
              <w:spacing w:line="240" w:lineRule="auto"/>
              <w:ind w:firstLine="0" w:firstLineChars="0"/>
              <w:contextualSpacing/>
              <w:jc w:val="center"/>
              <w:rPr>
                <w:sz w:val="21"/>
                <w:szCs w:val="21"/>
                <w:u w:val="single"/>
              </w:rPr>
            </w:pPr>
          </w:p>
        </w:tc>
        <w:tc>
          <w:tcPr>
            <w:tcW w:w="342" w:type="pct"/>
            <w:vMerge w:val="continue"/>
            <w:vAlign w:val="center"/>
          </w:tcPr>
          <w:p w14:paraId="1D3D5B9B">
            <w:pPr>
              <w:adjustRightInd/>
              <w:snapToGrid/>
              <w:spacing w:line="240" w:lineRule="auto"/>
              <w:ind w:firstLine="0" w:firstLineChars="0"/>
              <w:contextualSpacing/>
              <w:jc w:val="center"/>
              <w:rPr>
                <w:sz w:val="21"/>
                <w:szCs w:val="21"/>
                <w:u w:val="single"/>
              </w:rPr>
            </w:pPr>
          </w:p>
        </w:tc>
        <w:tc>
          <w:tcPr>
            <w:tcW w:w="429" w:type="pct"/>
            <w:vMerge w:val="continue"/>
            <w:vAlign w:val="center"/>
          </w:tcPr>
          <w:p w14:paraId="55F00F24">
            <w:pPr>
              <w:adjustRightInd/>
              <w:snapToGrid/>
              <w:spacing w:line="240" w:lineRule="auto"/>
              <w:ind w:firstLine="0" w:firstLineChars="0"/>
              <w:contextualSpacing/>
              <w:jc w:val="center"/>
              <w:rPr>
                <w:sz w:val="21"/>
                <w:szCs w:val="21"/>
              </w:rPr>
            </w:pPr>
          </w:p>
        </w:tc>
        <w:tc>
          <w:tcPr>
            <w:tcW w:w="428" w:type="pct"/>
            <w:vMerge w:val="continue"/>
            <w:vAlign w:val="center"/>
          </w:tcPr>
          <w:p w14:paraId="7581BD01">
            <w:pPr>
              <w:adjustRightInd/>
              <w:snapToGrid/>
              <w:spacing w:line="240" w:lineRule="auto"/>
              <w:ind w:firstLine="0" w:firstLineChars="0"/>
              <w:contextualSpacing/>
              <w:jc w:val="center"/>
              <w:rPr>
                <w:bCs/>
                <w:sz w:val="21"/>
                <w:szCs w:val="21"/>
              </w:rPr>
            </w:pPr>
          </w:p>
        </w:tc>
        <w:tc>
          <w:tcPr>
            <w:tcW w:w="2013" w:type="pct"/>
            <w:vMerge w:val="continue"/>
            <w:vAlign w:val="center"/>
          </w:tcPr>
          <w:p w14:paraId="0D3CC2E8">
            <w:pPr>
              <w:adjustRightInd/>
              <w:snapToGrid/>
              <w:spacing w:line="240" w:lineRule="auto"/>
              <w:ind w:firstLine="0" w:firstLineChars="0"/>
              <w:contextualSpacing/>
              <w:jc w:val="center"/>
              <w:rPr>
                <w:bCs/>
                <w:sz w:val="21"/>
                <w:szCs w:val="21"/>
              </w:rPr>
            </w:pPr>
          </w:p>
        </w:tc>
      </w:tr>
      <w:tr w14:paraId="2FCFA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1A0C4C94">
            <w:pPr>
              <w:adjustRightInd/>
              <w:snapToGrid/>
              <w:spacing w:line="240" w:lineRule="auto"/>
              <w:ind w:firstLine="0" w:firstLineChars="0"/>
              <w:contextualSpacing/>
              <w:jc w:val="center"/>
              <w:rPr>
                <w:sz w:val="21"/>
                <w:szCs w:val="21"/>
              </w:rPr>
            </w:pPr>
          </w:p>
        </w:tc>
        <w:tc>
          <w:tcPr>
            <w:tcW w:w="300" w:type="pct"/>
            <w:vMerge w:val="continue"/>
            <w:vAlign w:val="center"/>
          </w:tcPr>
          <w:p w14:paraId="0DF27AC4">
            <w:pPr>
              <w:adjustRightInd/>
              <w:snapToGrid/>
              <w:spacing w:line="240" w:lineRule="auto"/>
              <w:ind w:firstLine="0" w:firstLineChars="0"/>
              <w:contextualSpacing/>
              <w:jc w:val="center"/>
              <w:rPr>
                <w:sz w:val="21"/>
                <w:szCs w:val="21"/>
                <w:u w:val="single"/>
              </w:rPr>
            </w:pPr>
          </w:p>
        </w:tc>
        <w:tc>
          <w:tcPr>
            <w:tcW w:w="556" w:type="pct"/>
            <w:gridSpan w:val="2"/>
            <w:vAlign w:val="center"/>
          </w:tcPr>
          <w:p w14:paraId="64E27BBE">
            <w:pPr>
              <w:adjustRightInd/>
              <w:snapToGrid/>
              <w:spacing w:line="240" w:lineRule="auto"/>
              <w:ind w:firstLine="0" w:firstLineChars="0"/>
              <w:contextualSpacing/>
              <w:jc w:val="center"/>
              <w:rPr>
                <w:sz w:val="21"/>
                <w:szCs w:val="21"/>
                <w:u w:val="single"/>
              </w:rPr>
            </w:pPr>
            <w:r>
              <w:rPr>
                <w:rFonts w:hint="eastAsia"/>
                <w:sz w:val="21"/>
                <w:szCs w:val="21"/>
                <w:u w:val="single"/>
              </w:rPr>
              <w:t>硅氢化反应、脱色</w:t>
            </w:r>
          </w:p>
        </w:tc>
        <w:tc>
          <w:tcPr>
            <w:tcW w:w="597" w:type="pct"/>
            <w:vAlign w:val="center"/>
          </w:tcPr>
          <w:p w14:paraId="09DE4826">
            <w:pPr>
              <w:adjustRightInd/>
              <w:snapToGrid/>
              <w:spacing w:line="240" w:lineRule="auto"/>
              <w:ind w:firstLine="0" w:firstLineChars="0"/>
              <w:contextualSpacing/>
              <w:jc w:val="center"/>
              <w:rPr>
                <w:sz w:val="21"/>
                <w:szCs w:val="21"/>
                <w:u w:val="single"/>
              </w:rPr>
            </w:pPr>
            <w:r>
              <w:rPr>
                <w:rFonts w:hint="eastAsia"/>
                <w:sz w:val="21"/>
                <w:szCs w:val="21"/>
                <w:u w:val="single"/>
              </w:rPr>
              <w:t>密闭负压收集管道</w:t>
            </w:r>
          </w:p>
        </w:tc>
        <w:tc>
          <w:tcPr>
            <w:tcW w:w="342" w:type="pct"/>
            <w:vMerge w:val="continue"/>
            <w:vAlign w:val="center"/>
          </w:tcPr>
          <w:p w14:paraId="2F828D22">
            <w:pPr>
              <w:adjustRightInd/>
              <w:snapToGrid/>
              <w:spacing w:line="240" w:lineRule="auto"/>
              <w:ind w:firstLine="0" w:firstLineChars="0"/>
              <w:contextualSpacing/>
              <w:jc w:val="center"/>
              <w:rPr>
                <w:sz w:val="21"/>
                <w:szCs w:val="21"/>
                <w:u w:val="single"/>
              </w:rPr>
            </w:pPr>
          </w:p>
        </w:tc>
        <w:tc>
          <w:tcPr>
            <w:tcW w:w="429" w:type="pct"/>
            <w:vMerge w:val="continue"/>
            <w:vAlign w:val="center"/>
          </w:tcPr>
          <w:p w14:paraId="5FB207C8">
            <w:pPr>
              <w:adjustRightInd/>
              <w:snapToGrid/>
              <w:spacing w:line="240" w:lineRule="auto"/>
              <w:ind w:firstLine="0" w:firstLineChars="0"/>
              <w:contextualSpacing/>
              <w:jc w:val="center"/>
              <w:rPr>
                <w:sz w:val="21"/>
                <w:szCs w:val="21"/>
              </w:rPr>
            </w:pPr>
          </w:p>
        </w:tc>
        <w:tc>
          <w:tcPr>
            <w:tcW w:w="428" w:type="pct"/>
            <w:vMerge w:val="continue"/>
            <w:vAlign w:val="center"/>
          </w:tcPr>
          <w:p w14:paraId="4BE162BD">
            <w:pPr>
              <w:adjustRightInd/>
              <w:snapToGrid/>
              <w:spacing w:line="240" w:lineRule="auto"/>
              <w:ind w:firstLine="0" w:firstLineChars="0"/>
              <w:contextualSpacing/>
              <w:jc w:val="center"/>
              <w:rPr>
                <w:sz w:val="21"/>
                <w:szCs w:val="21"/>
              </w:rPr>
            </w:pPr>
          </w:p>
        </w:tc>
        <w:tc>
          <w:tcPr>
            <w:tcW w:w="2013" w:type="pct"/>
            <w:vMerge w:val="continue"/>
            <w:vAlign w:val="center"/>
          </w:tcPr>
          <w:p w14:paraId="2095D9C2">
            <w:pPr>
              <w:adjustRightInd/>
              <w:snapToGrid/>
              <w:spacing w:line="240" w:lineRule="auto"/>
              <w:ind w:firstLine="0" w:firstLineChars="0"/>
              <w:contextualSpacing/>
              <w:jc w:val="center"/>
              <w:rPr>
                <w:sz w:val="21"/>
                <w:szCs w:val="21"/>
              </w:rPr>
            </w:pPr>
          </w:p>
        </w:tc>
      </w:tr>
      <w:tr w14:paraId="5CB31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59378F24">
            <w:pPr>
              <w:adjustRightInd/>
              <w:snapToGrid/>
              <w:spacing w:line="240" w:lineRule="auto"/>
              <w:ind w:firstLine="0" w:firstLineChars="0"/>
              <w:contextualSpacing/>
              <w:jc w:val="center"/>
              <w:rPr>
                <w:sz w:val="21"/>
                <w:szCs w:val="21"/>
              </w:rPr>
            </w:pPr>
          </w:p>
        </w:tc>
        <w:tc>
          <w:tcPr>
            <w:tcW w:w="856" w:type="pct"/>
            <w:gridSpan w:val="3"/>
            <w:vAlign w:val="center"/>
          </w:tcPr>
          <w:p w14:paraId="437B4CF7">
            <w:pPr>
              <w:adjustRightInd/>
              <w:snapToGrid/>
              <w:spacing w:line="240" w:lineRule="auto"/>
              <w:ind w:firstLine="0" w:firstLineChars="0"/>
              <w:contextualSpacing/>
              <w:jc w:val="center"/>
              <w:rPr>
                <w:sz w:val="21"/>
                <w:szCs w:val="21"/>
                <w:u w:val="single"/>
              </w:rPr>
            </w:pPr>
            <w:r>
              <w:rPr>
                <w:rFonts w:hint="eastAsia"/>
                <w:sz w:val="21"/>
                <w:szCs w:val="21"/>
                <w:u w:val="single"/>
              </w:rPr>
              <w:t>污水处理站废气</w:t>
            </w:r>
          </w:p>
        </w:tc>
        <w:tc>
          <w:tcPr>
            <w:tcW w:w="597" w:type="pct"/>
            <w:vAlign w:val="center"/>
          </w:tcPr>
          <w:p w14:paraId="2EEAF146">
            <w:pPr>
              <w:adjustRightInd/>
              <w:snapToGrid/>
              <w:spacing w:line="240" w:lineRule="auto"/>
              <w:ind w:firstLine="0" w:firstLineChars="0"/>
              <w:contextualSpacing/>
              <w:jc w:val="center"/>
              <w:rPr>
                <w:sz w:val="21"/>
                <w:szCs w:val="21"/>
                <w:u w:val="single"/>
              </w:rPr>
            </w:pPr>
            <w:r>
              <w:rPr>
                <w:rFonts w:hint="eastAsia"/>
                <w:sz w:val="21"/>
                <w:szCs w:val="21"/>
                <w:u w:val="single"/>
              </w:rPr>
              <w:t>密闭负压收集管道</w:t>
            </w:r>
          </w:p>
        </w:tc>
        <w:tc>
          <w:tcPr>
            <w:tcW w:w="342" w:type="pct"/>
            <w:vAlign w:val="center"/>
          </w:tcPr>
          <w:p w14:paraId="0636D909">
            <w:pPr>
              <w:adjustRightInd/>
              <w:snapToGrid/>
              <w:spacing w:line="240" w:lineRule="auto"/>
              <w:ind w:firstLine="0" w:firstLineChars="0"/>
              <w:contextualSpacing/>
              <w:jc w:val="center"/>
              <w:rPr>
                <w:sz w:val="21"/>
                <w:szCs w:val="21"/>
                <w:u w:val="single"/>
              </w:rPr>
            </w:pPr>
            <w:r>
              <w:rPr>
                <w:rFonts w:hint="eastAsia"/>
                <w:sz w:val="21"/>
                <w:szCs w:val="21"/>
                <w:u w:val="single"/>
              </w:rPr>
              <w:t>/</w:t>
            </w:r>
          </w:p>
        </w:tc>
        <w:tc>
          <w:tcPr>
            <w:tcW w:w="429" w:type="pct"/>
            <w:vMerge w:val="continue"/>
            <w:vAlign w:val="center"/>
          </w:tcPr>
          <w:p w14:paraId="6C44875B">
            <w:pPr>
              <w:adjustRightInd/>
              <w:snapToGrid/>
              <w:spacing w:line="240" w:lineRule="auto"/>
              <w:ind w:firstLine="0" w:firstLineChars="0"/>
              <w:contextualSpacing/>
              <w:jc w:val="center"/>
              <w:rPr>
                <w:sz w:val="21"/>
                <w:szCs w:val="21"/>
              </w:rPr>
            </w:pPr>
          </w:p>
        </w:tc>
        <w:tc>
          <w:tcPr>
            <w:tcW w:w="428" w:type="pct"/>
            <w:vMerge w:val="continue"/>
            <w:vAlign w:val="center"/>
          </w:tcPr>
          <w:p w14:paraId="1C098FEB">
            <w:pPr>
              <w:adjustRightInd/>
              <w:snapToGrid/>
              <w:spacing w:line="240" w:lineRule="auto"/>
              <w:ind w:firstLine="0" w:firstLineChars="0"/>
              <w:contextualSpacing/>
              <w:jc w:val="center"/>
              <w:rPr>
                <w:sz w:val="21"/>
                <w:szCs w:val="21"/>
              </w:rPr>
            </w:pPr>
          </w:p>
        </w:tc>
        <w:tc>
          <w:tcPr>
            <w:tcW w:w="2013" w:type="pct"/>
            <w:vMerge w:val="continue"/>
            <w:vAlign w:val="center"/>
          </w:tcPr>
          <w:p w14:paraId="35E2E68A">
            <w:pPr>
              <w:adjustRightInd/>
              <w:snapToGrid/>
              <w:spacing w:line="240" w:lineRule="auto"/>
              <w:ind w:firstLine="0" w:firstLineChars="0"/>
              <w:contextualSpacing/>
              <w:jc w:val="center"/>
              <w:rPr>
                <w:sz w:val="21"/>
                <w:szCs w:val="21"/>
              </w:rPr>
            </w:pPr>
          </w:p>
        </w:tc>
      </w:tr>
      <w:tr w14:paraId="2C6774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7EBC16FF">
            <w:pPr>
              <w:adjustRightInd/>
              <w:snapToGrid/>
              <w:spacing w:line="240" w:lineRule="auto"/>
              <w:ind w:firstLine="0" w:firstLineChars="0"/>
              <w:contextualSpacing/>
              <w:jc w:val="center"/>
              <w:rPr>
                <w:sz w:val="21"/>
                <w:szCs w:val="21"/>
              </w:rPr>
            </w:pPr>
          </w:p>
        </w:tc>
        <w:tc>
          <w:tcPr>
            <w:tcW w:w="856" w:type="pct"/>
            <w:gridSpan w:val="3"/>
            <w:vAlign w:val="center"/>
          </w:tcPr>
          <w:p w14:paraId="10CB4015">
            <w:pPr>
              <w:adjustRightInd/>
              <w:snapToGrid/>
              <w:spacing w:line="240" w:lineRule="auto"/>
              <w:ind w:firstLine="0" w:firstLineChars="0"/>
              <w:contextualSpacing/>
              <w:jc w:val="center"/>
              <w:rPr>
                <w:sz w:val="21"/>
                <w:szCs w:val="21"/>
                <w:u w:val="single"/>
              </w:rPr>
            </w:pPr>
            <w:r>
              <w:rPr>
                <w:rFonts w:hint="eastAsia"/>
                <w:sz w:val="21"/>
                <w:szCs w:val="21"/>
                <w:u w:val="single"/>
              </w:rPr>
              <w:t>危险废物贮存库废气</w:t>
            </w:r>
          </w:p>
        </w:tc>
        <w:tc>
          <w:tcPr>
            <w:tcW w:w="597" w:type="pct"/>
            <w:vAlign w:val="center"/>
          </w:tcPr>
          <w:p w14:paraId="3820274C">
            <w:pPr>
              <w:adjustRightInd/>
              <w:snapToGrid/>
              <w:spacing w:line="240" w:lineRule="auto"/>
              <w:ind w:firstLine="0" w:firstLineChars="0"/>
              <w:contextualSpacing/>
              <w:jc w:val="center"/>
              <w:rPr>
                <w:sz w:val="21"/>
                <w:szCs w:val="21"/>
                <w:u w:val="single"/>
              </w:rPr>
            </w:pPr>
            <w:r>
              <w:rPr>
                <w:rFonts w:hint="eastAsia"/>
                <w:sz w:val="21"/>
                <w:szCs w:val="21"/>
                <w:u w:val="single"/>
              </w:rPr>
              <w:t>负压收集管道</w:t>
            </w:r>
          </w:p>
        </w:tc>
        <w:tc>
          <w:tcPr>
            <w:tcW w:w="771" w:type="pct"/>
            <w:gridSpan w:val="2"/>
            <w:vAlign w:val="center"/>
          </w:tcPr>
          <w:p w14:paraId="60661A74">
            <w:pPr>
              <w:adjustRightInd/>
              <w:snapToGrid/>
              <w:spacing w:line="240" w:lineRule="auto"/>
              <w:ind w:firstLine="0" w:firstLineChars="0"/>
              <w:contextualSpacing/>
              <w:jc w:val="center"/>
              <w:rPr>
                <w:sz w:val="21"/>
                <w:szCs w:val="21"/>
                <w:u w:val="single"/>
              </w:rPr>
            </w:pPr>
            <w:r>
              <w:rPr>
                <w:rFonts w:hint="eastAsia"/>
                <w:sz w:val="21"/>
                <w:szCs w:val="21"/>
                <w:u w:val="single"/>
              </w:rPr>
              <w:t>/</w:t>
            </w:r>
          </w:p>
        </w:tc>
        <w:tc>
          <w:tcPr>
            <w:tcW w:w="428" w:type="pct"/>
            <w:vMerge w:val="continue"/>
            <w:vAlign w:val="center"/>
          </w:tcPr>
          <w:p w14:paraId="4811B027">
            <w:pPr>
              <w:adjustRightInd/>
              <w:snapToGrid/>
              <w:spacing w:line="240" w:lineRule="auto"/>
              <w:ind w:firstLine="0" w:firstLineChars="0"/>
              <w:contextualSpacing/>
              <w:jc w:val="center"/>
              <w:rPr>
                <w:sz w:val="21"/>
                <w:szCs w:val="21"/>
              </w:rPr>
            </w:pPr>
          </w:p>
        </w:tc>
        <w:tc>
          <w:tcPr>
            <w:tcW w:w="2013" w:type="pct"/>
            <w:vMerge w:val="continue"/>
            <w:vAlign w:val="center"/>
          </w:tcPr>
          <w:p w14:paraId="699FA41A">
            <w:pPr>
              <w:adjustRightInd/>
              <w:snapToGrid/>
              <w:spacing w:line="240" w:lineRule="auto"/>
              <w:ind w:firstLine="0" w:firstLineChars="0"/>
              <w:contextualSpacing/>
              <w:jc w:val="center"/>
              <w:rPr>
                <w:sz w:val="21"/>
                <w:szCs w:val="21"/>
              </w:rPr>
            </w:pPr>
          </w:p>
        </w:tc>
      </w:tr>
      <w:tr w14:paraId="0E6CB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4FBDFF7E">
            <w:pPr>
              <w:adjustRightInd/>
              <w:snapToGrid/>
              <w:spacing w:line="240" w:lineRule="auto"/>
              <w:ind w:firstLine="0" w:firstLineChars="0"/>
              <w:contextualSpacing/>
              <w:jc w:val="center"/>
              <w:rPr>
                <w:sz w:val="21"/>
                <w:szCs w:val="21"/>
              </w:rPr>
            </w:pPr>
          </w:p>
        </w:tc>
        <w:tc>
          <w:tcPr>
            <w:tcW w:w="856" w:type="pct"/>
            <w:gridSpan w:val="3"/>
            <w:vAlign w:val="center"/>
          </w:tcPr>
          <w:p w14:paraId="46FF59E4">
            <w:pPr>
              <w:adjustRightInd/>
              <w:snapToGrid/>
              <w:spacing w:line="240" w:lineRule="auto"/>
              <w:ind w:firstLine="0" w:firstLineChars="0"/>
              <w:contextualSpacing/>
              <w:jc w:val="center"/>
              <w:rPr>
                <w:sz w:val="21"/>
                <w:szCs w:val="21"/>
                <w:u w:val="single"/>
              </w:rPr>
            </w:pPr>
            <w:r>
              <w:rPr>
                <w:rFonts w:hint="eastAsia"/>
                <w:sz w:val="21"/>
                <w:szCs w:val="21"/>
                <w:u w:val="single"/>
              </w:rPr>
              <w:t>化验室废气</w:t>
            </w:r>
          </w:p>
        </w:tc>
        <w:tc>
          <w:tcPr>
            <w:tcW w:w="597" w:type="pct"/>
            <w:vAlign w:val="center"/>
          </w:tcPr>
          <w:p w14:paraId="2DC171A8">
            <w:pPr>
              <w:adjustRightInd/>
              <w:snapToGrid/>
              <w:spacing w:line="240" w:lineRule="auto"/>
              <w:ind w:firstLine="0" w:firstLineChars="0"/>
              <w:contextualSpacing/>
              <w:jc w:val="center"/>
              <w:rPr>
                <w:sz w:val="21"/>
                <w:szCs w:val="21"/>
                <w:u w:val="single"/>
              </w:rPr>
            </w:pPr>
            <w:r>
              <w:rPr>
                <w:rFonts w:hint="eastAsia"/>
                <w:sz w:val="21"/>
                <w:szCs w:val="21"/>
                <w:u w:val="single"/>
              </w:rPr>
              <w:t>负压收集管道</w:t>
            </w:r>
          </w:p>
        </w:tc>
        <w:tc>
          <w:tcPr>
            <w:tcW w:w="771" w:type="pct"/>
            <w:gridSpan w:val="2"/>
            <w:vAlign w:val="center"/>
          </w:tcPr>
          <w:p w14:paraId="4D2866DB">
            <w:pPr>
              <w:adjustRightInd/>
              <w:snapToGrid/>
              <w:spacing w:line="240" w:lineRule="auto"/>
              <w:ind w:firstLine="0" w:firstLineChars="0"/>
              <w:contextualSpacing/>
              <w:jc w:val="center"/>
              <w:rPr>
                <w:sz w:val="21"/>
                <w:szCs w:val="21"/>
                <w:u w:val="single"/>
              </w:rPr>
            </w:pPr>
            <w:r>
              <w:rPr>
                <w:rFonts w:hint="eastAsia"/>
                <w:sz w:val="21"/>
                <w:szCs w:val="21"/>
                <w:u w:val="single"/>
              </w:rPr>
              <w:t>/</w:t>
            </w:r>
          </w:p>
        </w:tc>
        <w:tc>
          <w:tcPr>
            <w:tcW w:w="428" w:type="pct"/>
            <w:vMerge w:val="continue"/>
            <w:vAlign w:val="center"/>
          </w:tcPr>
          <w:p w14:paraId="21FEB009">
            <w:pPr>
              <w:adjustRightInd/>
              <w:snapToGrid/>
              <w:spacing w:line="240" w:lineRule="auto"/>
              <w:ind w:firstLine="0" w:firstLineChars="0"/>
              <w:contextualSpacing/>
              <w:jc w:val="center"/>
              <w:rPr>
                <w:sz w:val="21"/>
                <w:szCs w:val="21"/>
              </w:rPr>
            </w:pPr>
          </w:p>
        </w:tc>
        <w:tc>
          <w:tcPr>
            <w:tcW w:w="2013" w:type="pct"/>
            <w:vMerge w:val="continue"/>
            <w:vAlign w:val="center"/>
          </w:tcPr>
          <w:p w14:paraId="42B3FFE4">
            <w:pPr>
              <w:adjustRightInd/>
              <w:snapToGrid/>
              <w:spacing w:line="240" w:lineRule="auto"/>
              <w:ind w:firstLine="0" w:firstLineChars="0"/>
              <w:contextualSpacing/>
              <w:jc w:val="center"/>
              <w:rPr>
                <w:sz w:val="21"/>
                <w:szCs w:val="21"/>
              </w:rPr>
            </w:pPr>
          </w:p>
        </w:tc>
      </w:tr>
      <w:tr w14:paraId="4C533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2B639911">
            <w:pPr>
              <w:adjustRightInd/>
              <w:snapToGrid/>
              <w:spacing w:line="240" w:lineRule="auto"/>
              <w:ind w:firstLine="0" w:firstLineChars="0"/>
              <w:contextualSpacing/>
              <w:jc w:val="center"/>
              <w:rPr>
                <w:sz w:val="21"/>
                <w:szCs w:val="21"/>
              </w:rPr>
            </w:pPr>
          </w:p>
        </w:tc>
        <w:tc>
          <w:tcPr>
            <w:tcW w:w="343" w:type="pct"/>
            <w:gridSpan w:val="2"/>
            <w:vAlign w:val="center"/>
          </w:tcPr>
          <w:p w14:paraId="2C6D433B">
            <w:pPr>
              <w:adjustRightInd/>
              <w:snapToGrid/>
              <w:spacing w:line="240" w:lineRule="auto"/>
              <w:ind w:firstLine="0" w:firstLineChars="0"/>
              <w:contextualSpacing/>
              <w:jc w:val="center"/>
              <w:rPr>
                <w:sz w:val="21"/>
                <w:szCs w:val="21"/>
              </w:rPr>
            </w:pPr>
            <w:r>
              <w:rPr>
                <w:rFonts w:hint="eastAsia"/>
                <w:sz w:val="21"/>
                <w:szCs w:val="21"/>
              </w:rPr>
              <w:t>色浆</w:t>
            </w:r>
          </w:p>
        </w:tc>
        <w:tc>
          <w:tcPr>
            <w:tcW w:w="513" w:type="pct"/>
            <w:vAlign w:val="center"/>
          </w:tcPr>
          <w:p w14:paraId="26F3F685">
            <w:pPr>
              <w:adjustRightInd/>
              <w:snapToGrid/>
              <w:spacing w:line="240" w:lineRule="auto"/>
              <w:ind w:firstLine="0" w:firstLineChars="0"/>
              <w:contextualSpacing/>
              <w:jc w:val="center"/>
              <w:rPr>
                <w:sz w:val="21"/>
                <w:szCs w:val="21"/>
              </w:rPr>
            </w:pPr>
            <w:r>
              <w:rPr>
                <w:rFonts w:hint="eastAsia"/>
                <w:sz w:val="21"/>
                <w:szCs w:val="21"/>
              </w:rPr>
              <w:t>投料</w:t>
            </w:r>
          </w:p>
        </w:tc>
        <w:tc>
          <w:tcPr>
            <w:tcW w:w="1796" w:type="pct"/>
            <w:gridSpan w:val="4"/>
            <w:vAlign w:val="center"/>
          </w:tcPr>
          <w:p w14:paraId="0F31C594">
            <w:pPr>
              <w:adjustRightInd/>
              <w:snapToGrid/>
              <w:spacing w:line="240" w:lineRule="auto"/>
              <w:ind w:firstLine="0" w:firstLineChars="0"/>
              <w:contextualSpacing/>
              <w:jc w:val="center"/>
              <w:rPr>
                <w:sz w:val="21"/>
                <w:szCs w:val="21"/>
              </w:rPr>
            </w:pPr>
            <w:r>
              <w:rPr>
                <w:rFonts w:hint="eastAsia"/>
                <w:sz w:val="21"/>
                <w:szCs w:val="21"/>
              </w:rPr>
              <w:t>密闭负压收集管道+</w:t>
            </w:r>
            <w:r>
              <w:rPr>
                <w:rFonts w:hint="eastAsia"/>
                <w:bCs/>
                <w:sz w:val="21"/>
                <w:szCs w:val="21"/>
              </w:rPr>
              <w:t>袋式除尘器+15m高排气筒DA002</w:t>
            </w:r>
          </w:p>
        </w:tc>
        <w:tc>
          <w:tcPr>
            <w:tcW w:w="2013" w:type="pct"/>
            <w:vAlign w:val="center"/>
          </w:tcPr>
          <w:p w14:paraId="03757697">
            <w:pPr>
              <w:adjustRightInd/>
              <w:snapToGrid/>
              <w:spacing w:line="240" w:lineRule="auto"/>
              <w:ind w:firstLine="0" w:firstLineChars="0"/>
              <w:contextualSpacing/>
              <w:jc w:val="center"/>
              <w:rPr>
                <w:sz w:val="21"/>
                <w:szCs w:val="21"/>
              </w:rPr>
            </w:pPr>
            <w:r>
              <w:rPr>
                <w:bCs/>
                <w:sz w:val="21"/>
                <w:szCs w:val="21"/>
              </w:rPr>
              <w:t>《新乡市生态环境局关于进一步规范工业企业颗粒物排放限值的通知》</w:t>
            </w:r>
            <w:r>
              <w:rPr>
                <w:rFonts w:hint="eastAsia"/>
                <w:bCs/>
                <w:sz w:val="21"/>
                <w:szCs w:val="21"/>
              </w:rPr>
              <w:t>、《大气污染物综合排放标准》（GB 16297-1996）二级</w:t>
            </w:r>
          </w:p>
        </w:tc>
      </w:tr>
      <w:tr w14:paraId="08359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restart"/>
            <w:vAlign w:val="center"/>
          </w:tcPr>
          <w:p w14:paraId="5FF335B5">
            <w:pPr>
              <w:spacing w:line="240" w:lineRule="auto"/>
              <w:ind w:firstLine="0" w:firstLineChars="0"/>
              <w:contextualSpacing/>
              <w:jc w:val="center"/>
              <w:rPr>
                <w:sz w:val="21"/>
                <w:szCs w:val="21"/>
              </w:rPr>
            </w:pPr>
            <w:r>
              <w:rPr>
                <w:sz w:val="21"/>
                <w:szCs w:val="21"/>
              </w:rPr>
              <w:t>废水</w:t>
            </w:r>
          </w:p>
        </w:tc>
        <w:tc>
          <w:tcPr>
            <w:tcW w:w="856" w:type="pct"/>
            <w:gridSpan w:val="3"/>
            <w:vAlign w:val="center"/>
          </w:tcPr>
          <w:p w14:paraId="10603A72">
            <w:pPr>
              <w:adjustRightInd/>
              <w:snapToGrid/>
              <w:spacing w:line="240" w:lineRule="auto"/>
              <w:ind w:firstLine="0" w:firstLineChars="0"/>
              <w:contextualSpacing/>
              <w:jc w:val="center"/>
              <w:rPr>
                <w:sz w:val="21"/>
                <w:szCs w:val="21"/>
                <w:u w:val="single"/>
              </w:rPr>
            </w:pPr>
            <w:r>
              <w:rPr>
                <w:sz w:val="21"/>
                <w:szCs w:val="21"/>
                <w:u w:val="single"/>
              </w:rPr>
              <w:t>循环</w:t>
            </w:r>
            <w:r>
              <w:rPr>
                <w:rFonts w:hint="eastAsia"/>
                <w:sz w:val="21"/>
                <w:szCs w:val="21"/>
                <w:u w:val="single"/>
              </w:rPr>
              <w:t>冷却</w:t>
            </w:r>
            <w:r>
              <w:rPr>
                <w:sz w:val="21"/>
                <w:szCs w:val="21"/>
                <w:u w:val="single"/>
              </w:rPr>
              <w:t>水系统排水</w:t>
            </w:r>
          </w:p>
        </w:tc>
        <w:tc>
          <w:tcPr>
            <w:tcW w:w="1368" w:type="pct"/>
            <w:gridSpan w:val="3"/>
            <w:vAlign w:val="center"/>
          </w:tcPr>
          <w:p w14:paraId="3CC93A97">
            <w:pPr>
              <w:adjustRightInd/>
              <w:snapToGrid/>
              <w:spacing w:line="240" w:lineRule="auto"/>
              <w:ind w:firstLine="0" w:firstLineChars="0"/>
              <w:contextualSpacing/>
              <w:jc w:val="center"/>
              <w:rPr>
                <w:sz w:val="21"/>
                <w:szCs w:val="21"/>
                <w:u w:val="single"/>
              </w:rPr>
            </w:pPr>
            <w:r>
              <w:rPr>
                <w:rFonts w:hint="eastAsia"/>
                <w:sz w:val="21"/>
                <w:szCs w:val="21"/>
                <w:u w:val="single"/>
              </w:rPr>
              <w:t>/</w:t>
            </w:r>
          </w:p>
        </w:tc>
        <w:tc>
          <w:tcPr>
            <w:tcW w:w="428" w:type="pct"/>
            <w:vMerge w:val="restart"/>
            <w:vAlign w:val="center"/>
          </w:tcPr>
          <w:p w14:paraId="0F7FF271">
            <w:pPr>
              <w:spacing w:line="240" w:lineRule="auto"/>
              <w:ind w:firstLine="0" w:firstLineChars="0"/>
              <w:contextualSpacing/>
              <w:jc w:val="center"/>
              <w:rPr>
                <w:sz w:val="21"/>
                <w:szCs w:val="21"/>
                <w:u w:val="single"/>
              </w:rPr>
            </w:pPr>
            <w:r>
              <w:rPr>
                <w:rFonts w:hint="eastAsia"/>
                <w:bCs/>
                <w:sz w:val="21"/>
                <w:szCs w:val="21"/>
                <w:u w:val="single"/>
              </w:rPr>
              <w:t>唐庄</w:t>
            </w:r>
            <w:r>
              <w:rPr>
                <w:bCs/>
                <w:sz w:val="21"/>
                <w:szCs w:val="21"/>
                <w:u w:val="single"/>
              </w:rPr>
              <w:t>污水处理厂</w:t>
            </w:r>
          </w:p>
        </w:tc>
        <w:tc>
          <w:tcPr>
            <w:tcW w:w="2013" w:type="pct"/>
            <w:vMerge w:val="restart"/>
            <w:shd w:val="clear" w:color="auto" w:fill="auto"/>
            <w:vAlign w:val="center"/>
          </w:tcPr>
          <w:p w14:paraId="3A84802A">
            <w:pPr>
              <w:spacing w:line="240" w:lineRule="auto"/>
              <w:ind w:firstLine="420"/>
              <w:contextualSpacing/>
              <w:jc w:val="center"/>
              <w:rPr>
                <w:sz w:val="21"/>
                <w:szCs w:val="21"/>
              </w:rPr>
            </w:pPr>
            <w:r>
              <w:rPr>
                <w:rFonts w:hint="eastAsia"/>
                <w:sz w:val="21"/>
                <w:szCs w:val="21"/>
              </w:rPr>
              <w:t>《化工行业水污染物间接排放标准》（DB41/1135-2016）和唐庄</w:t>
            </w:r>
            <w:r>
              <w:rPr>
                <w:sz w:val="21"/>
                <w:szCs w:val="21"/>
              </w:rPr>
              <w:t>污水处理厂收水指标</w:t>
            </w:r>
          </w:p>
        </w:tc>
      </w:tr>
      <w:tr w14:paraId="60AFA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7FD8EC76">
            <w:pPr>
              <w:spacing w:line="240" w:lineRule="auto"/>
              <w:ind w:firstLine="0" w:firstLineChars="0"/>
              <w:contextualSpacing/>
              <w:jc w:val="center"/>
              <w:rPr>
                <w:sz w:val="21"/>
                <w:szCs w:val="21"/>
              </w:rPr>
            </w:pPr>
          </w:p>
        </w:tc>
        <w:tc>
          <w:tcPr>
            <w:tcW w:w="856" w:type="pct"/>
            <w:gridSpan w:val="3"/>
            <w:vAlign w:val="center"/>
          </w:tcPr>
          <w:p w14:paraId="3FF4587D">
            <w:pPr>
              <w:adjustRightInd/>
              <w:snapToGrid/>
              <w:spacing w:line="240" w:lineRule="auto"/>
              <w:ind w:firstLine="0" w:firstLineChars="0"/>
              <w:contextualSpacing/>
              <w:jc w:val="center"/>
              <w:rPr>
                <w:sz w:val="21"/>
                <w:szCs w:val="21"/>
                <w:u w:val="single"/>
              </w:rPr>
            </w:pPr>
            <w:r>
              <w:rPr>
                <w:rFonts w:hint="eastAsia"/>
                <w:sz w:val="21"/>
                <w:szCs w:val="21"/>
                <w:u w:val="single"/>
              </w:rPr>
              <w:t>喷淋废水</w:t>
            </w:r>
          </w:p>
        </w:tc>
        <w:tc>
          <w:tcPr>
            <w:tcW w:w="1368" w:type="pct"/>
            <w:gridSpan w:val="3"/>
            <w:vMerge w:val="restart"/>
            <w:vAlign w:val="center"/>
          </w:tcPr>
          <w:p w14:paraId="250BB1AC">
            <w:pPr>
              <w:adjustRightInd/>
              <w:snapToGrid/>
              <w:spacing w:line="240" w:lineRule="auto"/>
              <w:ind w:firstLine="0" w:firstLineChars="0"/>
              <w:contextualSpacing/>
              <w:jc w:val="center"/>
              <w:rPr>
                <w:sz w:val="21"/>
                <w:szCs w:val="21"/>
                <w:u w:val="single"/>
              </w:rPr>
            </w:pPr>
            <w:r>
              <w:rPr>
                <w:rFonts w:hint="eastAsia"/>
                <w:sz w:val="21"/>
                <w:szCs w:val="21"/>
                <w:u w:val="single"/>
              </w:rPr>
              <w:t>污水处理站</w:t>
            </w:r>
          </w:p>
          <w:p w14:paraId="1BF3835C">
            <w:pPr>
              <w:adjustRightInd/>
              <w:snapToGrid/>
              <w:spacing w:line="240" w:lineRule="auto"/>
              <w:ind w:firstLine="0" w:firstLineChars="0"/>
              <w:contextualSpacing/>
              <w:jc w:val="center"/>
              <w:rPr>
                <w:sz w:val="21"/>
                <w:szCs w:val="21"/>
                <w:u w:val="single"/>
              </w:rPr>
            </w:pPr>
            <w:r>
              <w:rPr>
                <w:rFonts w:hint="eastAsia"/>
                <w:sz w:val="21"/>
                <w:szCs w:val="21"/>
                <w:u w:val="single"/>
              </w:rPr>
              <w:t>（调节池+隔油池+水解酸化+接触氧化+二沉池，8m</w:t>
            </w:r>
            <w:r>
              <w:rPr>
                <w:rFonts w:hint="eastAsia"/>
                <w:sz w:val="21"/>
                <w:szCs w:val="21"/>
                <w:u w:val="single"/>
                <w:vertAlign w:val="superscript"/>
              </w:rPr>
              <w:t>3</w:t>
            </w:r>
            <w:r>
              <w:rPr>
                <w:rFonts w:hint="eastAsia"/>
                <w:sz w:val="21"/>
                <w:szCs w:val="21"/>
                <w:u w:val="single"/>
              </w:rPr>
              <w:t>/d）</w:t>
            </w:r>
          </w:p>
        </w:tc>
        <w:tc>
          <w:tcPr>
            <w:tcW w:w="428" w:type="pct"/>
            <w:vMerge w:val="continue"/>
            <w:vAlign w:val="center"/>
          </w:tcPr>
          <w:p w14:paraId="680332FE">
            <w:pPr>
              <w:spacing w:line="240" w:lineRule="auto"/>
              <w:ind w:firstLine="0" w:firstLineChars="0"/>
              <w:contextualSpacing/>
              <w:jc w:val="center"/>
              <w:rPr>
                <w:bCs/>
                <w:sz w:val="21"/>
                <w:szCs w:val="21"/>
              </w:rPr>
            </w:pPr>
          </w:p>
        </w:tc>
        <w:tc>
          <w:tcPr>
            <w:tcW w:w="2013" w:type="pct"/>
            <w:vMerge w:val="continue"/>
            <w:shd w:val="clear" w:color="auto" w:fill="auto"/>
            <w:vAlign w:val="center"/>
          </w:tcPr>
          <w:p w14:paraId="5DC81A8E">
            <w:pPr>
              <w:adjustRightInd/>
              <w:snapToGrid/>
              <w:spacing w:line="240" w:lineRule="auto"/>
              <w:ind w:firstLine="0" w:firstLineChars="0"/>
              <w:contextualSpacing/>
              <w:jc w:val="center"/>
              <w:rPr>
                <w:sz w:val="21"/>
                <w:szCs w:val="21"/>
              </w:rPr>
            </w:pPr>
          </w:p>
        </w:tc>
      </w:tr>
      <w:tr w14:paraId="10A94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3452DE3F">
            <w:pPr>
              <w:spacing w:line="240" w:lineRule="auto"/>
              <w:ind w:firstLine="0" w:firstLineChars="0"/>
              <w:contextualSpacing/>
              <w:jc w:val="center"/>
              <w:rPr>
                <w:sz w:val="21"/>
                <w:szCs w:val="21"/>
              </w:rPr>
            </w:pPr>
          </w:p>
        </w:tc>
        <w:tc>
          <w:tcPr>
            <w:tcW w:w="856" w:type="pct"/>
            <w:gridSpan w:val="3"/>
            <w:vAlign w:val="center"/>
          </w:tcPr>
          <w:p w14:paraId="6A24F525">
            <w:pPr>
              <w:adjustRightInd/>
              <w:snapToGrid/>
              <w:spacing w:line="240" w:lineRule="auto"/>
              <w:ind w:firstLine="0" w:firstLineChars="0"/>
              <w:contextualSpacing/>
              <w:jc w:val="center"/>
              <w:rPr>
                <w:sz w:val="21"/>
                <w:szCs w:val="21"/>
                <w:u w:val="single"/>
              </w:rPr>
            </w:pPr>
            <w:r>
              <w:rPr>
                <w:rFonts w:hint="eastAsia"/>
                <w:sz w:val="21"/>
                <w:szCs w:val="21"/>
                <w:u w:val="single"/>
              </w:rPr>
              <w:t>车间地面拖洗废水</w:t>
            </w:r>
          </w:p>
        </w:tc>
        <w:tc>
          <w:tcPr>
            <w:tcW w:w="1368" w:type="pct"/>
            <w:gridSpan w:val="3"/>
            <w:vMerge w:val="continue"/>
            <w:vAlign w:val="center"/>
          </w:tcPr>
          <w:p w14:paraId="26DD799D">
            <w:pPr>
              <w:adjustRightInd/>
              <w:snapToGrid/>
              <w:spacing w:line="240" w:lineRule="auto"/>
              <w:ind w:firstLine="0" w:firstLineChars="0"/>
              <w:contextualSpacing/>
              <w:jc w:val="center"/>
              <w:rPr>
                <w:sz w:val="21"/>
                <w:szCs w:val="21"/>
                <w:u w:val="single"/>
              </w:rPr>
            </w:pPr>
          </w:p>
        </w:tc>
        <w:tc>
          <w:tcPr>
            <w:tcW w:w="428" w:type="pct"/>
            <w:vMerge w:val="continue"/>
            <w:vAlign w:val="center"/>
          </w:tcPr>
          <w:p w14:paraId="198F4877">
            <w:pPr>
              <w:adjustRightInd/>
              <w:snapToGrid/>
              <w:spacing w:line="240" w:lineRule="auto"/>
              <w:ind w:firstLine="0" w:firstLineChars="0"/>
              <w:contextualSpacing/>
              <w:jc w:val="center"/>
              <w:rPr>
                <w:bCs/>
                <w:sz w:val="21"/>
                <w:szCs w:val="21"/>
              </w:rPr>
            </w:pPr>
          </w:p>
        </w:tc>
        <w:tc>
          <w:tcPr>
            <w:tcW w:w="2013" w:type="pct"/>
            <w:vMerge w:val="continue"/>
            <w:shd w:val="clear" w:color="auto" w:fill="auto"/>
            <w:vAlign w:val="center"/>
          </w:tcPr>
          <w:p w14:paraId="28DBBB33">
            <w:pPr>
              <w:adjustRightInd/>
              <w:snapToGrid/>
              <w:spacing w:line="240" w:lineRule="auto"/>
              <w:ind w:firstLine="0" w:firstLineChars="0"/>
              <w:contextualSpacing/>
              <w:jc w:val="center"/>
              <w:rPr>
                <w:sz w:val="21"/>
                <w:szCs w:val="21"/>
              </w:rPr>
            </w:pPr>
          </w:p>
        </w:tc>
      </w:tr>
      <w:tr w14:paraId="1D3EF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1D3EF134">
            <w:pPr>
              <w:adjustRightInd/>
              <w:snapToGrid/>
              <w:spacing w:line="240" w:lineRule="auto"/>
              <w:ind w:firstLine="0" w:firstLineChars="0"/>
              <w:contextualSpacing/>
              <w:jc w:val="center"/>
              <w:rPr>
                <w:sz w:val="21"/>
                <w:szCs w:val="21"/>
              </w:rPr>
            </w:pPr>
          </w:p>
        </w:tc>
        <w:tc>
          <w:tcPr>
            <w:tcW w:w="856" w:type="pct"/>
            <w:gridSpan w:val="3"/>
            <w:vAlign w:val="center"/>
          </w:tcPr>
          <w:p w14:paraId="1D3EF135">
            <w:pPr>
              <w:adjustRightInd/>
              <w:snapToGrid/>
              <w:spacing w:line="240" w:lineRule="auto"/>
              <w:ind w:firstLine="0" w:firstLineChars="0"/>
              <w:contextualSpacing/>
              <w:jc w:val="center"/>
              <w:rPr>
                <w:sz w:val="21"/>
                <w:szCs w:val="21"/>
                <w:u w:val="single"/>
              </w:rPr>
            </w:pPr>
            <w:r>
              <w:rPr>
                <w:rFonts w:hint="eastAsia"/>
                <w:sz w:val="21"/>
                <w:szCs w:val="21"/>
                <w:u w:val="single"/>
              </w:rPr>
              <w:t>生活污水</w:t>
            </w:r>
          </w:p>
        </w:tc>
        <w:tc>
          <w:tcPr>
            <w:tcW w:w="1368" w:type="pct"/>
            <w:gridSpan w:val="3"/>
            <w:vAlign w:val="center"/>
          </w:tcPr>
          <w:p w14:paraId="1D3EF136">
            <w:pPr>
              <w:adjustRightInd/>
              <w:snapToGrid/>
              <w:spacing w:line="240" w:lineRule="auto"/>
              <w:ind w:firstLine="0" w:firstLineChars="0"/>
              <w:contextualSpacing/>
              <w:jc w:val="center"/>
              <w:rPr>
                <w:sz w:val="21"/>
                <w:szCs w:val="21"/>
                <w:u w:val="single"/>
              </w:rPr>
            </w:pPr>
            <w:r>
              <w:rPr>
                <w:rFonts w:hint="eastAsia"/>
                <w:sz w:val="21"/>
                <w:szCs w:val="21"/>
                <w:u w:val="single"/>
              </w:rPr>
              <w:t>化粪池</w:t>
            </w:r>
          </w:p>
        </w:tc>
        <w:tc>
          <w:tcPr>
            <w:tcW w:w="428" w:type="pct"/>
            <w:vMerge w:val="continue"/>
            <w:vAlign w:val="center"/>
          </w:tcPr>
          <w:p w14:paraId="1D3EF137">
            <w:pPr>
              <w:adjustRightInd/>
              <w:snapToGrid/>
              <w:spacing w:line="240" w:lineRule="auto"/>
              <w:ind w:firstLine="0" w:firstLineChars="0"/>
              <w:contextualSpacing/>
              <w:jc w:val="center"/>
              <w:rPr>
                <w:sz w:val="21"/>
                <w:szCs w:val="21"/>
              </w:rPr>
            </w:pPr>
          </w:p>
        </w:tc>
        <w:tc>
          <w:tcPr>
            <w:tcW w:w="2013" w:type="pct"/>
            <w:vMerge w:val="continue"/>
            <w:shd w:val="clear" w:color="auto" w:fill="auto"/>
            <w:vAlign w:val="center"/>
          </w:tcPr>
          <w:p w14:paraId="1D3EF138">
            <w:pPr>
              <w:adjustRightInd/>
              <w:snapToGrid/>
              <w:spacing w:line="240" w:lineRule="auto"/>
              <w:ind w:firstLine="0" w:firstLineChars="0"/>
              <w:contextualSpacing/>
              <w:jc w:val="center"/>
              <w:rPr>
                <w:sz w:val="21"/>
                <w:szCs w:val="21"/>
              </w:rPr>
            </w:pPr>
          </w:p>
        </w:tc>
      </w:tr>
      <w:tr w14:paraId="1D3EF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restart"/>
            <w:vAlign w:val="center"/>
          </w:tcPr>
          <w:p w14:paraId="1D3EF13A">
            <w:pPr>
              <w:adjustRightInd/>
              <w:snapToGrid/>
              <w:spacing w:line="240" w:lineRule="auto"/>
              <w:ind w:firstLine="0" w:firstLineChars="0"/>
              <w:contextualSpacing/>
              <w:jc w:val="center"/>
              <w:rPr>
                <w:sz w:val="21"/>
                <w:szCs w:val="21"/>
              </w:rPr>
            </w:pPr>
            <w:r>
              <w:rPr>
                <w:sz w:val="21"/>
                <w:szCs w:val="21"/>
              </w:rPr>
              <w:t>固废</w:t>
            </w:r>
          </w:p>
        </w:tc>
        <w:tc>
          <w:tcPr>
            <w:tcW w:w="856" w:type="pct"/>
            <w:gridSpan w:val="3"/>
            <w:vAlign w:val="center"/>
          </w:tcPr>
          <w:p w14:paraId="1D3EF13B">
            <w:pPr>
              <w:adjustRightInd/>
              <w:snapToGrid/>
              <w:spacing w:line="240" w:lineRule="auto"/>
              <w:ind w:firstLine="0" w:firstLineChars="0"/>
              <w:contextualSpacing/>
              <w:jc w:val="center"/>
              <w:rPr>
                <w:sz w:val="21"/>
                <w:szCs w:val="21"/>
              </w:rPr>
            </w:pPr>
            <w:r>
              <w:rPr>
                <w:sz w:val="21"/>
                <w:szCs w:val="21"/>
              </w:rPr>
              <w:t>危险废物</w:t>
            </w:r>
          </w:p>
        </w:tc>
        <w:tc>
          <w:tcPr>
            <w:tcW w:w="1796" w:type="pct"/>
            <w:gridSpan w:val="4"/>
            <w:vAlign w:val="center"/>
          </w:tcPr>
          <w:p w14:paraId="1D3EF13D">
            <w:pPr>
              <w:adjustRightInd/>
              <w:snapToGrid/>
              <w:spacing w:line="240" w:lineRule="auto"/>
              <w:ind w:firstLine="0" w:firstLineChars="0"/>
              <w:contextualSpacing/>
              <w:jc w:val="center"/>
              <w:rPr>
                <w:sz w:val="21"/>
                <w:szCs w:val="21"/>
              </w:rPr>
            </w:pPr>
            <w:r>
              <w:rPr>
                <w:sz w:val="21"/>
                <w:szCs w:val="21"/>
              </w:rPr>
              <w:t>危险废物暂存间1间（</w:t>
            </w:r>
            <w:r>
              <w:rPr>
                <w:rFonts w:hint="eastAsia"/>
                <w:sz w:val="21"/>
                <w:szCs w:val="21"/>
              </w:rPr>
              <w:t>50</w:t>
            </w:r>
            <w:r>
              <w:rPr>
                <w:sz w:val="21"/>
                <w:szCs w:val="21"/>
              </w:rPr>
              <w:t>m</w:t>
            </w:r>
            <w:r>
              <w:rPr>
                <w:sz w:val="21"/>
                <w:szCs w:val="21"/>
                <w:vertAlign w:val="superscript"/>
              </w:rPr>
              <w:t>2</w:t>
            </w:r>
            <w:r>
              <w:rPr>
                <w:sz w:val="21"/>
                <w:szCs w:val="21"/>
              </w:rPr>
              <w:t>）</w:t>
            </w:r>
          </w:p>
        </w:tc>
        <w:tc>
          <w:tcPr>
            <w:tcW w:w="2013" w:type="pct"/>
            <w:vMerge w:val="restart"/>
            <w:vAlign w:val="center"/>
          </w:tcPr>
          <w:p w14:paraId="1D3EF13E">
            <w:pPr>
              <w:adjustRightInd/>
              <w:snapToGrid/>
              <w:spacing w:line="240" w:lineRule="auto"/>
              <w:ind w:firstLine="0" w:firstLineChars="0"/>
              <w:contextualSpacing/>
              <w:jc w:val="center"/>
              <w:rPr>
                <w:sz w:val="21"/>
                <w:szCs w:val="21"/>
              </w:rPr>
            </w:pPr>
            <w:r>
              <w:rPr>
                <w:sz w:val="21"/>
                <w:szCs w:val="21"/>
              </w:rPr>
              <w:t>《危险废物贮存污染控制标准》（GB18597-2023）</w:t>
            </w:r>
          </w:p>
        </w:tc>
      </w:tr>
      <w:tr w14:paraId="6CB82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6FBE2FCB">
            <w:pPr>
              <w:adjustRightInd/>
              <w:snapToGrid/>
              <w:spacing w:line="240" w:lineRule="auto"/>
              <w:ind w:firstLine="0" w:firstLineChars="0"/>
              <w:contextualSpacing/>
              <w:jc w:val="center"/>
              <w:rPr>
                <w:sz w:val="21"/>
                <w:szCs w:val="21"/>
              </w:rPr>
            </w:pPr>
          </w:p>
        </w:tc>
        <w:tc>
          <w:tcPr>
            <w:tcW w:w="856" w:type="pct"/>
            <w:gridSpan w:val="3"/>
            <w:vAlign w:val="center"/>
          </w:tcPr>
          <w:p w14:paraId="6E3C6EC3">
            <w:pPr>
              <w:adjustRightInd/>
              <w:snapToGrid/>
              <w:spacing w:line="240" w:lineRule="auto"/>
              <w:ind w:firstLine="0" w:firstLineChars="0"/>
              <w:contextualSpacing/>
              <w:jc w:val="center"/>
              <w:rPr>
                <w:sz w:val="21"/>
                <w:szCs w:val="21"/>
              </w:rPr>
            </w:pPr>
            <w:r>
              <w:rPr>
                <w:rFonts w:hint="eastAsia"/>
                <w:sz w:val="21"/>
                <w:szCs w:val="21"/>
              </w:rPr>
              <w:t>/</w:t>
            </w:r>
          </w:p>
        </w:tc>
        <w:tc>
          <w:tcPr>
            <w:tcW w:w="1796" w:type="pct"/>
            <w:gridSpan w:val="4"/>
            <w:vAlign w:val="center"/>
          </w:tcPr>
          <w:p w14:paraId="1F721DF6">
            <w:pPr>
              <w:adjustRightInd/>
              <w:snapToGrid/>
              <w:spacing w:line="240" w:lineRule="auto"/>
              <w:ind w:firstLine="0" w:firstLineChars="0"/>
              <w:contextualSpacing/>
              <w:jc w:val="center"/>
              <w:rPr>
                <w:sz w:val="21"/>
                <w:szCs w:val="21"/>
              </w:rPr>
            </w:pPr>
            <w:r>
              <w:rPr>
                <w:rFonts w:hint="eastAsia"/>
                <w:sz w:val="21"/>
                <w:szCs w:val="21"/>
              </w:rPr>
              <w:t>废溶剂包装桶暂存区（</w:t>
            </w:r>
            <w:r>
              <w:rPr>
                <w:sz w:val="21"/>
                <w:szCs w:val="21"/>
              </w:rPr>
              <w:t>1</w:t>
            </w:r>
            <w:r>
              <w:rPr>
                <w:rFonts w:hint="eastAsia"/>
                <w:sz w:val="21"/>
                <w:szCs w:val="21"/>
              </w:rPr>
              <w:t>00</w:t>
            </w:r>
            <w:r>
              <w:rPr>
                <w:sz w:val="21"/>
                <w:szCs w:val="21"/>
              </w:rPr>
              <w:t>m</w:t>
            </w:r>
            <w:r>
              <w:rPr>
                <w:sz w:val="21"/>
                <w:szCs w:val="21"/>
                <w:vertAlign w:val="superscript"/>
              </w:rPr>
              <w:t>2</w:t>
            </w:r>
            <w:r>
              <w:rPr>
                <w:rFonts w:hint="eastAsia"/>
                <w:sz w:val="21"/>
                <w:szCs w:val="21"/>
              </w:rPr>
              <w:t>）</w:t>
            </w:r>
          </w:p>
        </w:tc>
        <w:tc>
          <w:tcPr>
            <w:tcW w:w="2013" w:type="pct"/>
            <w:vMerge w:val="continue"/>
            <w:vAlign w:val="center"/>
          </w:tcPr>
          <w:p w14:paraId="77F4283A">
            <w:pPr>
              <w:adjustRightInd/>
              <w:snapToGrid/>
              <w:spacing w:line="240" w:lineRule="auto"/>
              <w:ind w:firstLine="0" w:firstLineChars="0"/>
              <w:contextualSpacing/>
              <w:jc w:val="center"/>
              <w:rPr>
                <w:sz w:val="21"/>
                <w:szCs w:val="21"/>
              </w:rPr>
            </w:pPr>
          </w:p>
        </w:tc>
      </w:tr>
      <w:tr w14:paraId="1D3EF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Merge w:val="continue"/>
            <w:vAlign w:val="center"/>
          </w:tcPr>
          <w:p w14:paraId="1D3EF140">
            <w:pPr>
              <w:adjustRightInd/>
              <w:snapToGrid/>
              <w:spacing w:line="240" w:lineRule="auto"/>
              <w:ind w:firstLine="0" w:firstLineChars="0"/>
              <w:contextualSpacing/>
              <w:jc w:val="center"/>
              <w:rPr>
                <w:sz w:val="21"/>
                <w:szCs w:val="21"/>
              </w:rPr>
            </w:pPr>
          </w:p>
        </w:tc>
        <w:tc>
          <w:tcPr>
            <w:tcW w:w="856" w:type="pct"/>
            <w:gridSpan w:val="3"/>
            <w:vAlign w:val="center"/>
          </w:tcPr>
          <w:p w14:paraId="1D3EF141">
            <w:pPr>
              <w:adjustRightInd/>
              <w:snapToGrid/>
              <w:spacing w:line="240" w:lineRule="auto"/>
              <w:ind w:firstLine="0" w:firstLineChars="0"/>
              <w:contextualSpacing/>
              <w:jc w:val="center"/>
              <w:rPr>
                <w:sz w:val="21"/>
                <w:szCs w:val="21"/>
              </w:rPr>
            </w:pPr>
            <w:r>
              <w:rPr>
                <w:sz w:val="21"/>
                <w:szCs w:val="21"/>
              </w:rPr>
              <w:t>一般固废</w:t>
            </w:r>
          </w:p>
        </w:tc>
        <w:tc>
          <w:tcPr>
            <w:tcW w:w="1796" w:type="pct"/>
            <w:gridSpan w:val="4"/>
            <w:vAlign w:val="center"/>
          </w:tcPr>
          <w:p w14:paraId="1D3EF143">
            <w:pPr>
              <w:adjustRightInd/>
              <w:snapToGrid/>
              <w:spacing w:line="240" w:lineRule="auto"/>
              <w:ind w:firstLine="0" w:firstLineChars="0"/>
              <w:contextualSpacing/>
              <w:jc w:val="center"/>
              <w:rPr>
                <w:sz w:val="21"/>
                <w:szCs w:val="21"/>
              </w:rPr>
            </w:pPr>
            <w:r>
              <w:rPr>
                <w:sz w:val="21"/>
                <w:szCs w:val="21"/>
              </w:rPr>
              <w:t>一般固废暂存间1处（</w:t>
            </w:r>
            <w:r>
              <w:rPr>
                <w:rFonts w:hint="eastAsia"/>
                <w:sz w:val="21"/>
                <w:szCs w:val="21"/>
              </w:rPr>
              <w:t>5</w:t>
            </w:r>
            <w:r>
              <w:rPr>
                <w:sz w:val="21"/>
                <w:szCs w:val="21"/>
              </w:rPr>
              <w:t>m</w:t>
            </w:r>
            <w:r>
              <w:rPr>
                <w:sz w:val="21"/>
                <w:szCs w:val="21"/>
                <w:vertAlign w:val="superscript"/>
              </w:rPr>
              <w:t>2</w:t>
            </w:r>
            <w:r>
              <w:rPr>
                <w:sz w:val="21"/>
                <w:szCs w:val="21"/>
              </w:rPr>
              <w:t>）</w:t>
            </w:r>
          </w:p>
        </w:tc>
        <w:tc>
          <w:tcPr>
            <w:tcW w:w="2013" w:type="pct"/>
            <w:vAlign w:val="center"/>
          </w:tcPr>
          <w:p w14:paraId="1D3EF144">
            <w:pPr>
              <w:adjustRightInd/>
              <w:snapToGrid/>
              <w:spacing w:line="240" w:lineRule="auto"/>
              <w:ind w:firstLine="0" w:firstLineChars="0"/>
              <w:contextualSpacing/>
              <w:jc w:val="center"/>
              <w:rPr>
                <w:sz w:val="21"/>
                <w:szCs w:val="21"/>
              </w:rPr>
            </w:pPr>
            <w:r>
              <w:rPr>
                <w:sz w:val="21"/>
                <w:szCs w:val="21"/>
              </w:rPr>
              <w:t>《一般工业固体废物贮存和填埋污染控制标准》（GB18599-2020）</w:t>
            </w:r>
          </w:p>
        </w:tc>
      </w:tr>
      <w:tr w14:paraId="1D3EF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5" w:type="pct"/>
            <w:vAlign w:val="center"/>
          </w:tcPr>
          <w:p w14:paraId="1D3EF146">
            <w:pPr>
              <w:adjustRightInd/>
              <w:snapToGrid/>
              <w:spacing w:line="240" w:lineRule="auto"/>
              <w:ind w:firstLine="0" w:firstLineChars="0"/>
              <w:contextualSpacing/>
              <w:jc w:val="center"/>
              <w:rPr>
                <w:sz w:val="21"/>
                <w:szCs w:val="21"/>
              </w:rPr>
            </w:pPr>
            <w:r>
              <w:rPr>
                <w:sz w:val="21"/>
                <w:szCs w:val="21"/>
              </w:rPr>
              <w:t>噪声</w:t>
            </w:r>
          </w:p>
        </w:tc>
        <w:tc>
          <w:tcPr>
            <w:tcW w:w="856" w:type="pct"/>
            <w:gridSpan w:val="3"/>
            <w:vAlign w:val="center"/>
          </w:tcPr>
          <w:p w14:paraId="1D3EF147">
            <w:pPr>
              <w:adjustRightInd/>
              <w:snapToGrid/>
              <w:spacing w:line="240" w:lineRule="auto"/>
              <w:ind w:firstLine="0" w:firstLineChars="0"/>
              <w:contextualSpacing/>
              <w:jc w:val="center"/>
              <w:rPr>
                <w:sz w:val="21"/>
                <w:szCs w:val="21"/>
              </w:rPr>
            </w:pPr>
            <w:r>
              <w:rPr>
                <w:sz w:val="21"/>
                <w:szCs w:val="21"/>
              </w:rPr>
              <w:t>生产设备</w:t>
            </w:r>
          </w:p>
        </w:tc>
        <w:tc>
          <w:tcPr>
            <w:tcW w:w="1796" w:type="pct"/>
            <w:gridSpan w:val="4"/>
            <w:vAlign w:val="center"/>
          </w:tcPr>
          <w:p w14:paraId="1D3EF149">
            <w:pPr>
              <w:adjustRightInd/>
              <w:snapToGrid/>
              <w:spacing w:line="240" w:lineRule="auto"/>
              <w:ind w:firstLine="0" w:firstLineChars="0"/>
              <w:contextualSpacing/>
              <w:jc w:val="center"/>
              <w:rPr>
                <w:sz w:val="21"/>
                <w:szCs w:val="21"/>
              </w:rPr>
            </w:pPr>
            <w:r>
              <w:rPr>
                <w:sz w:val="21"/>
                <w:szCs w:val="21"/>
              </w:rPr>
              <w:t>减振、隔声、消声</w:t>
            </w:r>
          </w:p>
        </w:tc>
        <w:tc>
          <w:tcPr>
            <w:tcW w:w="2013" w:type="pct"/>
            <w:vAlign w:val="center"/>
          </w:tcPr>
          <w:p w14:paraId="1D3EF14A">
            <w:pPr>
              <w:adjustRightInd/>
              <w:snapToGrid/>
              <w:spacing w:line="240" w:lineRule="auto"/>
              <w:ind w:firstLine="0" w:firstLineChars="0"/>
              <w:contextualSpacing/>
              <w:jc w:val="center"/>
              <w:rPr>
                <w:spacing w:val="-16"/>
                <w:sz w:val="21"/>
                <w:szCs w:val="21"/>
              </w:rPr>
            </w:pPr>
            <w:r>
              <w:rPr>
                <w:sz w:val="21"/>
                <w:szCs w:val="21"/>
              </w:rPr>
              <w:t>《工业企业厂界环境噪声排放标准》（GB12348-2008）</w:t>
            </w:r>
            <w:r>
              <w:rPr>
                <w:rFonts w:hint="eastAsia"/>
                <w:sz w:val="21"/>
                <w:szCs w:val="21"/>
              </w:rPr>
              <w:t>3</w:t>
            </w:r>
            <w:r>
              <w:rPr>
                <w:sz w:val="21"/>
                <w:szCs w:val="21"/>
              </w:rPr>
              <w:t>类昼间</w:t>
            </w:r>
            <w:r>
              <w:rPr>
                <w:rFonts w:hint="eastAsia"/>
                <w:sz w:val="21"/>
                <w:szCs w:val="21"/>
              </w:rPr>
              <w:t>65</w:t>
            </w:r>
            <w:r>
              <w:rPr>
                <w:sz w:val="21"/>
                <w:szCs w:val="21"/>
              </w:rPr>
              <w:t>dB(A)、夜间5</w:t>
            </w:r>
            <w:r>
              <w:rPr>
                <w:rFonts w:hint="eastAsia"/>
                <w:sz w:val="21"/>
                <w:szCs w:val="21"/>
              </w:rPr>
              <w:t>5</w:t>
            </w:r>
            <w:r>
              <w:rPr>
                <w:sz w:val="21"/>
                <w:szCs w:val="21"/>
              </w:rPr>
              <w:t>dB(A)</w:t>
            </w:r>
          </w:p>
        </w:tc>
      </w:tr>
      <w:tr w14:paraId="1D3EF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91" w:type="pct"/>
            <w:gridSpan w:val="4"/>
            <w:vAlign w:val="center"/>
          </w:tcPr>
          <w:p w14:paraId="1D3EF14C">
            <w:pPr>
              <w:adjustRightInd/>
              <w:snapToGrid/>
              <w:spacing w:line="240" w:lineRule="auto"/>
              <w:ind w:firstLine="0" w:firstLineChars="0"/>
              <w:contextualSpacing/>
              <w:jc w:val="center"/>
              <w:rPr>
                <w:sz w:val="21"/>
                <w:szCs w:val="21"/>
              </w:rPr>
            </w:pPr>
            <w:r>
              <w:rPr>
                <w:sz w:val="21"/>
                <w:szCs w:val="21"/>
              </w:rPr>
              <w:t>风险防范</w:t>
            </w:r>
          </w:p>
        </w:tc>
        <w:tc>
          <w:tcPr>
            <w:tcW w:w="3809" w:type="pct"/>
            <w:gridSpan w:val="5"/>
            <w:vAlign w:val="center"/>
          </w:tcPr>
          <w:p w14:paraId="1D3EF14D">
            <w:pPr>
              <w:adjustRightInd/>
              <w:snapToGrid/>
              <w:spacing w:line="240" w:lineRule="auto"/>
              <w:ind w:firstLine="0" w:firstLineChars="0"/>
              <w:contextualSpacing/>
              <w:jc w:val="center"/>
              <w:rPr>
                <w:sz w:val="21"/>
                <w:szCs w:val="21"/>
              </w:rPr>
            </w:pPr>
            <w:r>
              <w:rPr>
                <w:sz w:val="21"/>
                <w:szCs w:val="21"/>
                <w:u w:val="single"/>
              </w:rPr>
              <w:t>事故水池</w:t>
            </w:r>
            <w:r>
              <w:rPr>
                <w:rFonts w:hint="eastAsia"/>
                <w:sz w:val="21"/>
                <w:szCs w:val="21"/>
                <w:u w:val="single"/>
              </w:rPr>
              <w:t>35</w:t>
            </w:r>
            <w:r>
              <w:rPr>
                <w:sz w:val="21"/>
                <w:szCs w:val="21"/>
                <w:u w:val="single"/>
              </w:rPr>
              <w:t>0m</w:t>
            </w:r>
            <w:r>
              <w:rPr>
                <w:sz w:val="21"/>
                <w:szCs w:val="21"/>
                <w:u w:val="single"/>
                <w:vertAlign w:val="superscript"/>
              </w:rPr>
              <w:t>3</w:t>
            </w:r>
            <w:r>
              <w:rPr>
                <w:sz w:val="21"/>
                <w:szCs w:val="21"/>
                <w:u w:val="single"/>
              </w:rPr>
              <w:t>，配套</w:t>
            </w:r>
            <w:r>
              <w:rPr>
                <w:bCs/>
                <w:sz w:val="21"/>
                <w:szCs w:val="21"/>
                <w:u w:val="single"/>
              </w:rPr>
              <w:t>收集管网、废水拦截设施，生产装置区设置火灾自动报警系统及消防灭火系统；防爆电机、防爆电器、监控等；其他人员防护、消防设施、备用电源；制定事故应急预案及定期演练</w:t>
            </w:r>
          </w:p>
        </w:tc>
      </w:tr>
    </w:tbl>
    <w:p w14:paraId="1D3EF152">
      <w:pPr>
        <w:ind w:firstLine="480"/>
      </w:pPr>
      <w:r>
        <w:t>综上，评价认为项目在采取工程设计和评价提出的废气、废水、噪声、固废污染防治措施后，废气、废水污染物均能做到稳定达标排放，噪声污染做到有效控制，固废全部综合利用和合理处置，措施可行。</w:t>
      </w:r>
    </w:p>
    <w:p w14:paraId="1D3EF153">
      <w:pPr>
        <w:pStyle w:val="4"/>
      </w:pPr>
      <w:bookmarkStart w:id="356" w:name="_Toc176105889"/>
      <w:r>
        <w:t>厂址</w:t>
      </w:r>
      <w:r>
        <w:rPr>
          <w:rFonts w:hint="eastAsia"/>
        </w:rPr>
        <w:t>合理性分析</w:t>
      </w:r>
      <w:bookmarkEnd w:id="356"/>
    </w:p>
    <w:p w14:paraId="1D3EF154">
      <w:pPr>
        <w:pStyle w:val="5"/>
        <w:spacing w:before="240" w:after="240"/>
      </w:pPr>
      <w:r>
        <w:rPr>
          <w:rFonts w:hint="eastAsia"/>
        </w:rPr>
        <w:t>工程选址符合规划要求</w:t>
      </w:r>
    </w:p>
    <w:p w14:paraId="4CD4CE79">
      <w:pPr>
        <w:ind w:firstLine="480"/>
      </w:pPr>
      <w:r>
        <w:t>本项目选址位于</w:t>
      </w:r>
      <w:r>
        <w:rPr>
          <w:rFonts w:hint="eastAsia"/>
        </w:rPr>
        <w:t>新乡市卫辉市唐庄镇代庄村99号卫辉市铁西（化工）园区内，</w:t>
      </w:r>
      <w:r>
        <w:t>根据</w:t>
      </w:r>
      <w:r>
        <w:rPr>
          <w:rFonts w:hint="eastAsia"/>
        </w:rPr>
        <w:t>《</w:t>
      </w:r>
      <w:r>
        <w:t>卫辉市铁西（</w:t>
      </w:r>
      <w:r>
        <w:rPr>
          <w:rFonts w:hint="eastAsia"/>
        </w:rPr>
        <w:t>化工</w:t>
      </w:r>
      <w:r>
        <w:t>）</w:t>
      </w:r>
      <w:r>
        <w:rPr>
          <w:rFonts w:hint="eastAsia"/>
        </w:rPr>
        <w:t>专业园区总体规划（2022-2035）-土地使用规划图》</w:t>
      </w:r>
      <w:r>
        <w:t>（见附图二</w:t>
      </w:r>
      <w:r>
        <w:rPr>
          <w:rFonts w:hint="eastAsia"/>
        </w:rPr>
        <w:t>（1）</w:t>
      </w:r>
      <w:r>
        <w:t>）</w:t>
      </w:r>
      <w:r>
        <w:rPr>
          <w:rFonts w:hint="eastAsia"/>
        </w:rPr>
        <w:t>和《</w:t>
      </w:r>
      <w:r>
        <w:t>卫辉市铁西（</w:t>
      </w:r>
      <w:r>
        <w:rPr>
          <w:rFonts w:hint="eastAsia"/>
        </w:rPr>
        <w:t>化工</w:t>
      </w:r>
      <w:r>
        <w:t>）</w:t>
      </w:r>
      <w:r>
        <w:rPr>
          <w:rFonts w:hint="eastAsia"/>
        </w:rPr>
        <w:t>专业园区总体规划（2022-2035）-产业功能布局图》</w:t>
      </w:r>
      <w:r>
        <w:t>（见附图二</w:t>
      </w:r>
      <w:r>
        <w:rPr>
          <w:rFonts w:hint="eastAsia"/>
        </w:rPr>
        <w:t>（2）</w:t>
      </w:r>
      <w:r>
        <w:t>），项目厂址用地为</w:t>
      </w:r>
      <w:r>
        <w:rPr>
          <w:rFonts w:hint="eastAsia"/>
        </w:rPr>
        <w:t>二类</w:t>
      </w:r>
      <w:r>
        <w:t>工业用地，</w:t>
      </w:r>
      <w:r>
        <w:rPr>
          <w:rFonts w:hint="eastAsia"/>
        </w:rPr>
        <w:t>位于食品添加剂及助剂产业区</w:t>
      </w:r>
      <w:r>
        <w:t>；本项目建设符合卫辉市铁西（</w:t>
      </w:r>
      <w:r>
        <w:rPr>
          <w:rFonts w:hint="eastAsia"/>
        </w:rPr>
        <w:t>化工</w:t>
      </w:r>
      <w:r>
        <w:t>）专业园区规划。</w:t>
      </w:r>
    </w:p>
    <w:p w14:paraId="1D3EF155">
      <w:pPr>
        <w:ind w:firstLine="480"/>
      </w:pPr>
      <w:r>
        <w:t>综上，本项目选址合理可行。</w:t>
      </w:r>
    </w:p>
    <w:p w14:paraId="1D3EF156">
      <w:pPr>
        <w:pStyle w:val="5"/>
        <w:spacing w:before="240" w:after="240"/>
      </w:pPr>
      <w:r>
        <w:rPr>
          <w:rFonts w:hint="eastAsia"/>
        </w:rPr>
        <w:t>环境敏感性分析</w:t>
      </w:r>
    </w:p>
    <w:p w14:paraId="1D3EF158">
      <w:pPr>
        <w:ind w:firstLine="480"/>
        <w:rPr>
          <w:bCs/>
          <w:highlight w:val="yellow"/>
        </w:rPr>
      </w:pPr>
      <w:r>
        <w:t>本项目选址位于</w:t>
      </w:r>
      <w:r>
        <w:rPr>
          <w:rFonts w:hint="eastAsia"/>
        </w:rPr>
        <w:t>新乡市卫辉市唐庄镇代庄村99号卫辉市铁西（化工）园区内，</w:t>
      </w:r>
      <w:r>
        <w:t>厂区周围多为工业企业。距本项目最近敏感点为项目</w:t>
      </w:r>
      <w:r>
        <w:rPr>
          <w:rFonts w:hint="eastAsia"/>
        </w:rPr>
        <w:t>东南侧约580</w:t>
      </w:r>
      <w:r>
        <w:t>m</w:t>
      </w:r>
      <w:r>
        <w:rPr>
          <w:rFonts w:hint="eastAsia"/>
        </w:rPr>
        <w:t>的下园村</w:t>
      </w:r>
      <w:r>
        <w:rPr>
          <w:rFonts w:hint="eastAsia"/>
          <w:bCs/>
        </w:rPr>
        <w:t>。</w:t>
      </w:r>
      <w:r>
        <w:rPr>
          <w:bCs/>
        </w:rPr>
        <w:t>本项目厂址距凤泉水厂地下水饮用水源保护区约12.06km；距</w:t>
      </w:r>
      <w:r>
        <w:rPr>
          <w:rFonts w:hint="eastAsia"/>
          <w:bCs/>
        </w:rPr>
        <w:t>卫辉市唐庄镇地下水井</w:t>
      </w:r>
      <w:r>
        <w:rPr>
          <w:bCs/>
        </w:rPr>
        <w:t>约为5.15km</w:t>
      </w:r>
      <w:r>
        <w:rPr>
          <w:rFonts w:hint="eastAsia"/>
          <w:bCs/>
        </w:rPr>
        <w:t>；</w:t>
      </w:r>
      <w:r>
        <w:rPr>
          <w:rFonts w:hint="eastAsia"/>
        </w:rPr>
        <w:t>距</w:t>
      </w:r>
      <w:r>
        <w:t>南水北调中线工程</w:t>
      </w:r>
      <w:r>
        <w:rPr>
          <w:rFonts w:hint="eastAsia"/>
        </w:rPr>
        <w:t>约</w:t>
      </w:r>
      <w:r>
        <w:t>4.45</w:t>
      </w:r>
      <w:r>
        <w:rPr>
          <w:rFonts w:hint="eastAsia"/>
        </w:rPr>
        <w:t>km，</w:t>
      </w:r>
      <w:r>
        <w:rPr>
          <w:bCs/>
        </w:rPr>
        <w:t>均不在其保护区范围内。本项目周边无集中或分散式水源地保护区及文物古迹等。</w:t>
      </w:r>
    </w:p>
    <w:p w14:paraId="1D3EF159">
      <w:pPr>
        <w:pStyle w:val="5"/>
        <w:spacing w:before="240" w:after="240"/>
      </w:pPr>
      <w:r>
        <w:t>项目对周边环境的影响可接受</w:t>
      </w:r>
    </w:p>
    <w:p w14:paraId="1D3EF15A">
      <w:pPr>
        <w:pStyle w:val="6"/>
        <w:ind w:left="0" w:firstLine="482" w:firstLineChars="200"/>
      </w:pPr>
      <w:r>
        <w:t>环境空气影响</w:t>
      </w:r>
    </w:p>
    <w:p w14:paraId="1D3EF15B">
      <w:pPr>
        <w:spacing w:line="500" w:lineRule="exact"/>
        <w:ind w:firstLine="480"/>
        <w:rPr>
          <w:highlight w:val="yellow"/>
          <w:u w:val="single"/>
        </w:rPr>
      </w:pPr>
      <w:r>
        <w:rPr>
          <w:rFonts w:hint="eastAsia"/>
          <w:szCs w:val="24"/>
          <w:u w:val="single"/>
        </w:rPr>
        <w:t>本项目废气</w:t>
      </w:r>
      <w:r>
        <w:rPr>
          <w:szCs w:val="24"/>
          <w:u w:val="single"/>
        </w:rPr>
        <w:t>污染物</w:t>
      </w:r>
      <w:r>
        <w:rPr>
          <w:bCs/>
          <w:szCs w:val="24"/>
          <w:u w:val="single"/>
        </w:rPr>
        <w:t>排放浓度</w:t>
      </w:r>
      <w:r>
        <w:rPr>
          <w:rFonts w:hint="eastAsia"/>
          <w:szCs w:val="24"/>
          <w:u w:val="single"/>
        </w:rPr>
        <w:t>非甲烷总烃</w:t>
      </w:r>
      <w:r>
        <w:rPr>
          <w:bCs/>
          <w:kern w:val="24"/>
          <w:szCs w:val="24"/>
          <w:u w:val="single"/>
        </w:rPr>
        <w:t>1</w:t>
      </w:r>
      <w:r>
        <w:rPr>
          <w:rFonts w:hint="eastAsia"/>
          <w:bCs/>
          <w:kern w:val="24"/>
          <w:szCs w:val="24"/>
          <w:u w:val="single"/>
        </w:rPr>
        <w:t>4.2</w:t>
      </w:r>
      <w:r>
        <w:rPr>
          <w:bCs/>
          <w:kern w:val="24"/>
          <w:szCs w:val="24"/>
          <w:u w:val="single"/>
        </w:rPr>
        <w:t>mg/m</w:t>
      </w:r>
      <w:r>
        <w:rPr>
          <w:bCs/>
          <w:kern w:val="24"/>
          <w:szCs w:val="24"/>
          <w:u w:val="single"/>
          <w:vertAlign w:val="superscript"/>
        </w:rPr>
        <w:t>3</w:t>
      </w:r>
      <w:r>
        <w:rPr>
          <w:rFonts w:hint="eastAsia"/>
          <w:szCs w:val="24"/>
          <w:u w:val="single"/>
        </w:rPr>
        <w:t>、硫酸雾</w:t>
      </w:r>
      <w:r>
        <w:rPr>
          <w:bCs/>
          <w:kern w:val="24"/>
          <w:szCs w:val="24"/>
          <w:u w:val="single"/>
        </w:rPr>
        <w:t>1</w:t>
      </w:r>
      <w:r>
        <w:rPr>
          <w:rFonts w:hint="eastAsia"/>
          <w:bCs/>
          <w:kern w:val="24"/>
          <w:szCs w:val="24"/>
          <w:u w:val="single"/>
        </w:rPr>
        <w:t>.56</w:t>
      </w:r>
      <w:r>
        <w:rPr>
          <w:bCs/>
          <w:kern w:val="24"/>
          <w:szCs w:val="24"/>
          <w:u w:val="single"/>
        </w:rPr>
        <w:t>mg/m</w:t>
      </w:r>
      <w:r>
        <w:rPr>
          <w:bCs/>
          <w:kern w:val="24"/>
          <w:szCs w:val="24"/>
          <w:u w:val="single"/>
          <w:vertAlign w:val="superscript"/>
        </w:rPr>
        <w:t>3</w:t>
      </w:r>
      <w:r>
        <w:rPr>
          <w:rFonts w:hint="eastAsia"/>
          <w:szCs w:val="24"/>
          <w:u w:val="single"/>
        </w:rPr>
        <w:t>、颗粒物</w:t>
      </w:r>
      <w:r>
        <w:rPr>
          <w:rFonts w:hint="eastAsia"/>
          <w:bCs/>
          <w:kern w:val="24"/>
          <w:szCs w:val="24"/>
          <w:u w:val="single"/>
        </w:rPr>
        <w:t>6</w:t>
      </w:r>
      <w:r>
        <w:rPr>
          <w:bCs/>
          <w:kern w:val="24"/>
          <w:szCs w:val="24"/>
          <w:u w:val="single"/>
        </w:rPr>
        <w:t>mg/m</w:t>
      </w:r>
      <w:r>
        <w:rPr>
          <w:bCs/>
          <w:kern w:val="24"/>
          <w:szCs w:val="24"/>
          <w:u w:val="single"/>
          <w:vertAlign w:val="superscript"/>
        </w:rPr>
        <w:t>3</w:t>
      </w:r>
      <w:r>
        <w:rPr>
          <w:bCs/>
          <w:szCs w:val="24"/>
          <w:u w:val="single"/>
        </w:rPr>
        <w:t>能够满足《大气污染物综合排放标准》（GB16297-1996）表2限值</w:t>
      </w:r>
      <w:r>
        <w:rPr>
          <w:rFonts w:hint="eastAsia"/>
          <w:bCs/>
          <w:szCs w:val="24"/>
          <w:u w:val="single"/>
        </w:rPr>
        <w:t>（非甲烷总烃</w:t>
      </w:r>
      <w:r>
        <w:rPr>
          <w:bCs/>
          <w:kern w:val="24"/>
          <w:szCs w:val="24"/>
          <w:u w:val="single"/>
        </w:rPr>
        <w:t>120mg/m</w:t>
      </w:r>
      <w:r>
        <w:rPr>
          <w:bCs/>
          <w:kern w:val="24"/>
          <w:szCs w:val="24"/>
          <w:u w:val="single"/>
          <w:vertAlign w:val="superscript"/>
        </w:rPr>
        <w:t>3</w:t>
      </w:r>
      <w:r>
        <w:rPr>
          <w:bCs/>
          <w:kern w:val="24"/>
          <w:szCs w:val="24"/>
          <w:u w:val="single"/>
        </w:rPr>
        <w:t>、10kg/h</w:t>
      </w:r>
      <w:r>
        <w:rPr>
          <w:rFonts w:hint="eastAsia"/>
          <w:bCs/>
          <w:kern w:val="24"/>
          <w:szCs w:val="24"/>
          <w:u w:val="single"/>
        </w:rPr>
        <w:t>，颗粒物</w:t>
      </w:r>
      <w:r>
        <w:rPr>
          <w:bCs/>
          <w:kern w:val="24"/>
          <w:szCs w:val="24"/>
          <w:u w:val="single"/>
        </w:rPr>
        <w:t>1</w:t>
      </w:r>
      <w:r>
        <w:rPr>
          <w:rFonts w:hint="eastAsia"/>
          <w:bCs/>
          <w:kern w:val="24"/>
          <w:szCs w:val="24"/>
          <w:u w:val="single"/>
        </w:rPr>
        <w:t>2</w:t>
      </w:r>
      <w:r>
        <w:rPr>
          <w:bCs/>
          <w:kern w:val="24"/>
          <w:szCs w:val="24"/>
          <w:u w:val="single"/>
        </w:rPr>
        <w:t>0mg/m</w:t>
      </w:r>
      <w:r>
        <w:rPr>
          <w:bCs/>
          <w:kern w:val="24"/>
          <w:szCs w:val="24"/>
          <w:u w:val="single"/>
          <w:vertAlign w:val="superscript"/>
        </w:rPr>
        <w:t>3</w:t>
      </w:r>
      <w:r>
        <w:rPr>
          <w:bCs/>
          <w:kern w:val="24"/>
          <w:szCs w:val="24"/>
          <w:u w:val="single"/>
        </w:rPr>
        <w:t>、</w:t>
      </w:r>
      <w:r>
        <w:rPr>
          <w:rFonts w:hint="eastAsia"/>
          <w:bCs/>
          <w:kern w:val="24"/>
          <w:szCs w:val="24"/>
          <w:u w:val="single"/>
        </w:rPr>
        <w:t>3.5</w:t>
      </w:r>
      <w:r>
        <w:rPr>
          <w:bCs/>
          <w:kern w:val="24"/>
          <w:szCs w:val="24"/>
          <w:u w:val="single"/>
        </w:rPr>
        <w:t>kg/h</w:t>
      </w:r>
      <w:r>
        <w:rPr>
          <w:rFonts w:hint="eastAsia"/>
          <w:bCs/>
          <w:kern w:val="24"/>
          <w:szCs w:val="24"/>
          <w:u w:val="single"/>
        </w:rPr>
        <w:t>，硫酸雾45</w:t>
      </w:r>
      <w:r>
        <w:rPr>
          <w:bCs/>
          <w:kern w:val="24"/>
          <w:szCs w:val="24"/>
          <w:u w:val="single"/>
        </w:rPr>
        <w:t>mg/m</w:t>
      </w:r>
      <w:r>
        <w:rPr>
          <w:bCs/>
          <w:kern w:val="24"/>
          <w:szCs w:val="24"/>
          <w:u w:val="single"/>
          <w:vertAlign w:val="superscript"/>
        </w:rPr>
        <w:t>3</w:t>
      </w:r>
      <w:r>
        <w:rPr>
          <w:bCs/>
          <w:kern w:val="24"/>
          <w:szCs w:val="24"/>
          <w:u w:val="single"/>
        </w:rPr>
        <w:t>、</w:t>
      </w:r>
      <w:r>
        <w:rPr>
          <w:rFonts w:hint="eastAsia"/>
          <w:bCs/>
          <w:kern w:val="24"/>
          <w:szCs w:val="24"/>
          <w:u w:val="single"/>
        </w:rPr>
        <w:t>1.5</w:t>
      </w:r>
      <w:r>
        <w:rPr>
          <w:bCs/>
          <w:kern w:val="24"/>
          <w:szCs w:val="24"/>
          <w:u w:val="single"/>
        </w:rPr>
        <w:t>kg/h</w:t>
      </w:r>
      <w:r>
        <w:rPr>
          <w:rFonts w:hint="eastAsia"/>
          <w:bCs/>
          <w:szCs w:val="24"/>
          <w:u w:val="single"/>
        </w:rPr>
        <w:t>）、</w:t>
      </w:r>
      <w:r>
        <w:rPr>
          <w:bCs/>
          <w:kern w:val="24"/>
          <w:szCs w:val="24"/>
          <w:u w:val="single"/>
        </w:rPr>
        <w:t>《关于全省开展工业挥发性有机物专项治理工作中排放建议值的通知》（豫环攻坚办〔2017〕162号）中限值要求（非甲烷总烃80mg/m</w:t>
      </w:r>
      <w:r>
        <w:rPr>
          <w:bCs/>
          <w:kern w:val="24"/>
          <w:szCs w:val="24"/>
          <w:u w:val="single"/>
          <w:vertAlign w:val="superscript"/>
        </w:rPr>
        <w:t>3</w:t>
      </w:r>
      <w:r>
        <w:rPr>
          <w:bCs/>
          <w:kern w:val="24"/>
          <w:szCs w:val="24"/>
          <w:u w:val="single"/>
        </w:rPr>
        <w:t>）</w:t>
      </w:r>
      <w:r>
        <w:rPr>
          <w:rFonts w:hint="eastAsia"/>
          <w:bCs/>
          <w:kern w:val="24"/>
          <w:szCs w:val="24"/>
          <w:u w:val="single"/>
        </w:rPr>
        <w:t>及</w:t>
      </w:r>
      <w:r>
        <w:rPr>
          <w:bCs/>
          <w:kern w:val="24"/>
          <w:szCs w:val="24"/>
          <w:u w:val="single"/>
        </w:rPr>
        <w:t>《河南省重污染天气重点行业应急减排措施技术指南》（2021年修订版）中有机化工A级绩效指标（非甲烷总烃20mg/m</w:t>
      </w:r>
      <w:r>
        <w:rPr>
          <w:bCs/>
          <w:kern w:val="24"/>
          <w:szCs w:val="24"/>
          <w:u w:val="single"/>
          <w:vertAlign w:val="superscript"/>
        </w:rPr>
        <w:t>3</w:t>
      </w:r>
      <w:r>
        <w:rPr>
          <w:bCs/>
          <w:kern w:val="24"/>
          <w:szCs w:val="24"/>
          <w:u w:val="single"/>
        </w:rPr>
        <w:t>）</w:t>
      </w:r>
      <w:r>
        <w:rPr>
          <w:rFonts w:hint="eastAsia"/>
          <w:bCs/>
          <w:kern w:val="24"/>
          <w:szCs w:val="24"/>
          <w:u w:val="single"/>
        </w:rPr>
        <w:t>、</w:t>
      </w:r>
      <w:r>
        <w:rPr>
          <w:bCs/>
          <w:kern w:val="24"/>
          <w:szCs w:val="24"/>
          <w:u w:val="single"/>
        </w:rPr>
        <w:t>《新乡市生态环境局关于进一步规范工业企业颗粒物排放限值的通知》（颗粒物10mg/m</w:t>
      </w:r>
      <w:r>
        <w:rPr>
          <w:bCs/>
          <w:kern w:val="24"/>
          <w:szCs w:val="24"/>
          <w:u w:val="single"/>
          <w:vertAlign w:val="superscript"/>
        </w:rPr>
        <w:t>3</w:t>
      </w:r>
      <w:r>
        <w:rPr>
          <w:bCs/>
          <w:kern w:val="24"/>
          <w:szCs w:val="24"/>
          <w:u w:val="single"/>
        </w:rPr>
        <w:t>）。</w:t>
      </w:r>
    </w:p>
    <w:p w14:paraId="4EEF66D3">
      <w:pPr>
        <w:pStyle w:val="2"/>
        <w:ind w:firstLine="480"/>
      </w:pPr>
      <w:r>
        <w:t>项目废气排放满足标准要求，经预测，废气污染物对敏感点的影响均可达满足标准要求，项目废气对周边环境的影响可接受。</w:t>
      </w:r>
    </w:p>
    <w:p w14:paraId="1D3EF15C">
      <w:pPr>
        <w:pStyle w:val="6"/>
        <w:ind w:left="0" w:firstLine="482" w:firstLineChars="200"/>
      </w:pPr>
      <w:r>
        <w:t>地表水环境影响</w:t>
      </w:r>
    </w:p>
    <w:p w14:paraId="2D8C4015">
      <w:pPr>
        <w:ind w:firstLine="480"/>
        <w:rPr>
          <w:bCs/>
          <w:highlight w:val="yellow"/>
        </w:rPr>
      </w:pPr>
      <w:r>
        <w:rPr>
          <w:rFonts w:hint="eastAsia"/>
        </w:rPr>
        <w:t>本项目喷淋废水、车间地面清洗废水经厂区污水处理站处理后与经化粪池处理后的生活污水、循环冷却系统排水</w:t>
      </w:r>
      <w:r>
        <w:t>一起由厂区总排口排入园区污水管网，再</w:t>
      </w:r>
      <w:r>
        <w:rPr>
          <w:rFonts w:hint="eastAsia"/>
        </w:rPr>
        <w:t>进入唐庄</w:t>
      </w:r>
      <w:r>
        <w:t>污水处理厂进行进一步处理，处理后排入</w:t>
      </w:r>
      <w:r>
        <w:rPr>
          <w:rFonts w:hint="eastAsia"/>
        </w:rPr>
        <w:t>共产主义渠</w:t>
      </w:r>
      <w:r>
        <w:t>。</w:t>
      </w:r>
      <w:r>
        <w:rPr>
          <w:rFonts w:hint="eastAsia"/>
        </w:rPr>
        <w:t>厂区总排口废水水质为</w:t>
      </w:r>
      <w:r>
        <w:rPr>
          <w:rFonts w:hint="eastAsia"/>
          <w:bCs/>
          <w:u w:val="single"/>
        </w:rPr>
        <w:t>pH 6~9、COD 210mg/L、BOD</w:t>
      </w:r>
      <w:r>
        <w:rPr>
          <w:rFonts w:hint="eastAsia"/>
          <w:bCs/>
          <w:u w:val="single"/>
          <w:vertAlign w:val="subscript"/>
        </w:rPr>
        <w:t>5</w:t>
      </w:r>
      <w:r>
        <w:rPr>
          <w:rFonts w:hint="eastAsia"/>
          <w:bCs/>
          <w:u w:val="single"/>
        </w:rPr>
        <w:t xml:space="preserve"> 50.7mg/L、SS 87.8mg/L、NH</w:t>
      </w:r>
      <w:r>
        <w:rPr>
          <w:rFonts w:hint="eastAsia"/>
          <w:bCs/>
          <w:u w:val="single"/>
          <w:vertAlign w:val="subscript"/>
        </w:rPr>
        <w:t>3</w:t>
      </w:r>
      <w:r>
        <w:rPr>
          <w:rFonts w:hint="eastAsia"/>
          <w:bCs/>
          <w:u w:val="single"/>
        </w:rPr>
        <w:t>-N 3.3mg/L、TN 6mg/L、TP 0.39mg/L、石油类4.4mg/L、硫酸钠194mg/L，能够满足</w:t>
      </w:r>
      <w:r>
        <w:rPr>
          <w:bCs/>
          <w:u w:val="single"/>
        </w:rPr>
        <w:t>《化工行业水污染物间接排放标准》（DB41/1</w:t>
      </w:r>
      <w:r>
        <w:rPr>
          <w:rFonts w:hint="eastAsia"/>
          <w:bCs/>
          <w:u w:val="single"/>
        </w:rPr>
        <w:t>135-2016</w:t>
      </w:r>
      <w:r>
        <w:rPr>
          <w:bCs/>
          <w:u w:val="single"/>
        </w:rPr>
        <w:t>）</w:t>
      </w:r>
      <w:r>
        <w:rPr>
          <w:rFonts w:hint="eastAsia"/>
          <w:bCs/>
          <w:u w:val="single"/>
        </w:rPr>
        <w:t>表1、表2间接排放限值要求（pH 6~9、COD 300mg/L、SS 150mg/L、NH</w:t>
      </w:r>
      <w:r>
        <w:rPr>
          <w:rFonts w:hint="eastAsia"/>
          <w:bCs/>
          <w:u w:val="single"/>
          <w:vertAlign w:val="subscript"/>
        </w:rPr>
        <w:t>3</w:t>
      </w:r>
      <w:r>
        <w:rPr>
          <w:rFonts w:hint="eastAsia"/>
          <w:bCs/>
          <w:u w:val="single"/>
        </w:rPr>
        <w:t>-N 30mg/L、TN 50mg/L、TP 5mg/L、石油类20</w:t>
      </w:r>
      <w:r>
        <w:rPr>
          <w:bCs/>
          <w:u w:val="single"/>
        </w:rPr>
        <w:t>mg/L</w:t>
      </w:r>
      <w:r>
        <w:rPr>
          <w:rFonts w:hint="eastAsia"/>
          <w:bCs/>
          <w:u w:val="single"/>
        </w:rPr>
        <w:t>），同时满足唐庄</w:t>
      </w:r>
      <w:r>
        <w:rPr>
          <w:bCs/>
          <w:u w:val="single"/>
        </w:rPr>
        <w:t>污水处理厂收水标准</w:t>
      </w:r>
      <w:r>
        <w:rPr>
          <w:rFonts w:hint="eastAsia"/>
          <w:bCs/>
          <w:u w:val="single"/>
        </w:rPr>
        <w:t>（pH 6~9、COD 360mg/L、BOD</w:t>
      </w:r>
      <w:r>
        <w:rPr>
          <w:rFonts w:hint="eastAsia"/>
          <w:bCs/>
          <w:u w:val="single"/>
          <w:vertAlign w:val="subscript"/>
        </w:rPr>
        <w:t>5</w:t>
      </w:r>
      <w:r>
        <w:rPr>
          <w:rFonts w:hint="eastAsia"/>
          <w:bCs/>
          <w:u w:val="single"/>
        </w:rPr>
        <w:t xml:space="preserve"> 200mg/L、SS 280mg/L、NH</w:t>
      </w:r>
      <w:r>
        <w:rPr>
          <w:rFonts w:hint="eastAsia"/>
          <w:bCs/>
          <w:u w:val="single"/>
          <w:vertAlign w:val="subscript"/>
        </w:rPr>
        <w:t>3</w:t>
      </w:r>
      <w:r>
        <w:rPr>
          <w:rFonts w:hint="eastAsia"/>
          <w:bCs/>
          <w:u w:val="single"/>
        </w:rPr>
        <w:t>-N 30mg/L、TN 40mg/L、TP 5mg/L）。</w:t>
      </w:r>
    </w:p>
    <w:p w14:paraId="40E63D0A">
      <w:pPr>
        <w:ind w:firstLine="480"/>
        <w:rPr>
          <w:snapToGrid w:val="0"/>
        </w:rPr>
      </w:pPr>
      <w:r>
        <w:rPr>
          <w:snapToGrid w:val="0"/>
        </w:rPr>
        <w:t>项目排放废水量占</w:t>
      </w:r>
      <w:r>
        <w:rPr>
          <w:rFonts w:hint="eastAsia"/>
          <w:snapToGrid w:val="0"/>
        </w:rPr>
        <w:t>唐庄</w:t>
      </w:r>
      <w:r>
        <w:rPr>
          <w:snapToGrid w:val="0"/>
        </w:rPr>
        <w:t>污水处理厂处理负荷量比例较小、总处理量未超出设计处理负荷量，不会对</w:t>
      </w:r>
      <w:r>
        <w:rPr>
          <w:rFonts w:hint="eastAsia"/>
          <w:snapToGrid w:val="0"/>
        </w:rPr>
        <w:t>唐庄</w:t>
      </w:r>
      <w:r>
        <w:rPr>
          <w:snapToGrid w:val="0"/>
        </w:rPr>
        <w:t>污水处理厂的出水水质产生影响。因此评价认为：项目废水经处理后，对地表水环境的影响可接受。</w:t>
      </w:r>
    </w:p>
    <w:p w14:paraId="1D3EF15E">
      <w:pPr>
        <w:pStyle w:val="6"/>
        <w:ind w:left="0" w:firstLine="482" w:firstLineChars="200"/>
      </w:pPr>
      <w:r>
        <w:t>声环境影响</w:t>
      </w:r>
    </w:p>
    <w:p w14:paraId="1D3EF15F">
      <w:pPr>
        <w:spacing w:line="500" w:lineRule="exact"/>
        <w:ind w:firstLine="480"/>
      </w:pPr>
      <w:r>
        <w:rPr>
          <w:rFonts w:hint="eastAsia"/>
          <w:u w:val="single"/>
        </w:rPr>
        <w:t>由预测结果可知，本工程完成后，项目厂界四周噪声贡献值为46~53.4</w:t>
      </w:r>
      <w:r>
        <w:rPr>
          <w:kern w:val="2"/>
          <w:szCs w:val="24"/>
          <w:u w:val="single"/>
        </w:rPr>
        <w:t>dB(A)</w:t>
      </w:r>
      <w:r>
        <w:rPr>
          <w:rFonts w:hint="eastAsia"/>
          <w:u w:val="single"/>
        </w:rPr>
        <w:t>，均能达到《工业企业厂界环境噪声排放标准》（GB12348-2008）3类标准要求（</w:t>
      </w:r>
      <w:r>
        <w:rPr>
          <w:u w:val="single"/>
        </w:rPr>
        <w:t>昼间6</w:t>
      </w:r>
      <w:r>
        <w:rPr>
          <w:rFonts w:hint="eastAsia"/>
          <w:u w:val="single"/>
        </w:rPr>
        <w:t>5</w:t>
      </w:r>
      <w:r>
        <w:rPr>
          <w:u w:val="single"/>
        </w:rPr>
        <w:t>dB(A)，夜间5</w:t>
      </w:r>
      <w:r>
        <w:rPr>
          <w:rFonts w:hint="eastAsia"/>
          <w:u w:val="single"/>
        </w:rPr>
        <w:t>5</w:t>
      </w:r>
      <w:r>
        <w:rPr>
          <w:u w:val="single"/>
        </w:rPr>
        <w:t>dB(A)</w:t>
      </w:r>
      <w:r>
        <w:rPr>
          <w:rFonts w:hint="eastAsia"/>
        </w:rPr>
        <w:t>）。</w:t>
      </w:r>
    </w:p>
    <w:p w14:paraId="1D3EF160">
      <w:pPr>
        <w:pStyle w:val="6"/>
        <w:ind w:left="0" w:firstLine="482" w:firstLineChars="200"/>
      </w:pPr>
      <w:r>
        <w:t>地下水环境影响分析</w:t>
      </w:r>
    </w:p>
    <w:p w14:paraId="776C0719">
      <w:pPr>
        <w:ind w:firstLine="480"/>
        <w:rPr>
          <w:highlight w:val="yellow"/>
          <w:u w:val="single"/>
        </w:rPr>
      </w:pPr>
      <w:r>
        <w:rPr>
          <w:rFonts w:hint="eastAsia"/>
        </w:rPr>
        <w:t>在本次评价假定的泄漏情景下，含水层耗氧量</w:t>
      </w:r>
      <w:r>
        <w:rPr>
          <w:spacing w:val="10"/>
          <w:u w:val="single"/>
        </w:rPr>
        <w:t>泄漏发生100天，含水层污染物影响范围</w:t>
      </w:r>
      <w:r>
        <w:rPr>
          <w:rFonts w:hint="eastAsia"/>
          <w:u w:val="single"/>
        </w:rPr>
        <w:t>125</w:t>
      </w:r>
      <w:r>
        <w:rPr>
          <w:spacing w:val="10"/>
          <w:u w:val="single"/>
        </w:rPr>
        <w:t>m</w:t>
      </w:r>
      <w:r>
        <w:rPr>
          <w:spacing w:val="10"/>
          <w:u w:val="single"/>
          <w:vertAlign w:val="superscript"/>
        </w:rPr>
        <w:t>2</w:t>
      </w:r>
      <w:r>
        <w:rPr>
          <w:spacing w:val="10"/>
          <w:u w:val="single"/>
        </w:rPr>
        <w:t>，超标范围</w:t>
      </w:r>
      <w:r>
        <w:rPr>
          <w:rFonts w:hint="eastAsia"/>
          <w:u w:val="single"/>
        </w:rPr>
        <w:t>25</w:t>
      </w:r>
      <w:r>
        <w:rPr>
          <w:spacing w:val="10"/>
          <w:u w:val="single"/>
        </w:rPr>
        <w:t>m</w:t>
      </w:r>
      <w:r>
        <w:rPr>
          <w:spacing w:val="10"/>
          <w:u w:val="single"/>
          <w:vertAlign w:val="superscript"/>
        </w:rPr>
        <w:t>2</w:t>
      </w:r>
      <w:r>
        <w:rPr>
          <w:spacing w:val="10"/>
          <w:u w:val="single"/>
        </w:rPr>
        <w:t>，最大运移距离</w:t>
      </w:r>
      <w:r>
        <w:rPr>
          <w:u w:val="single"/>
        </w:rPr>
        <w:t>1</w:t>
      </w:r>
      <w:r>
        <w:rPr>
          <w:rFonts w:hint="eastAsia"/>
          <w:u w:val="single"/>
        </w:rPr>
        <w:t>1</w:t>
      </w:r>
      <w:r>
        <w:rPr>
          <w:spacing w:val="10"/>
          <w:u w:val="single"/>
        </w:rPr>
        <w:t>m，超标距离</w:t>
      </w:r>
      <w:r>
        <w:rPr>
          <w:rFonts w:hint="eastAsia"/>
          <w:spacing w:val="10"/>
          <w:u w:val="single"/>
        </w:rPr>
        <w:t>5</w:t>
      </w:r>
      <w:r>
        <w:rPr>
          <w:spacing w:val="10"/>
          <w:u w:val="single"/>
        </w:rPr>
        <w:t>m；泄漏发生1000天，影响范围</w:t>
      </w:r>
      <w:r>
        <w:rPr>
          <w:rFonts w:hint="eastAsia"/>
          <w:u w:val="single"/>
        </w:rPr>
        <w:t>1350</w:t>
      </w:r>
      <w:r>
        <w:rPr>
          <w:spacing w:val="10"/>
          <w:u w:val="single"/>
        </w:rPr>
        <w:t>m</w:t>
      </w:r>
      <w:r>
        <w:rPr>
          <w:spacing w:val="10"/>
          <w:u w:val="single"/>
          <w:vertAlign w:val="superscript"/>
        </w:rPr>
        <w:t>2</w:t>
      </w:r>
      <w:r>
        <w:rPr>
          <w:spacing w:val="10"/>
          <w:u w:val="single"/>
        </w:rPr>
        <w:t>，超标范围</w:t>
      </w:r>
      <w:r>
        <w:rPr>
          <w:rFonts w:hint="eastAsia"/>
          <w:spacing w:val="10"/>
          <w:u w:val="single"/>
        </w:rPr>
        <w:t>250</w:t>
      </w:r>
      <w:r>
        <w:rPr>
          <w:spacing w:val="10"/>
          <w:u w:val="single"/>
        </w:rPr>
        <w:t>m</w:t>
      </w:r>
      <w:r>
        <w:rPr>
          <w:spacing w:val="10"/>
          <w:u w:val="single"/>
          <w:vertAlign w:val="superscript"/>
        </w:rPr>
        <w:t>2</w:t>
      </w:r>
      <w:r>
        <w:rPr>
          <w:spacing w:val="10"/>
          <w:u w:val="single"/>
        </w:rPr>
        <w:t>，最大运移距离</w:t>
      </w:r>
      <w:r>
        <w:rPr>
          <w:rFonts w:hint="eastAsia"/>
          <w:u w:val="single"/>
        </w:rPr>
        <w:t>39</w:t>
      </w:r>
      <w:r>
        <w:rPr>
          <w:spacing w:val="10"/>
          <w:u w:val="single"/>
        </w:rPr>
        <w:t>m，超标距离</w:t>
      </w:r>
      <w:r>
        <w:rPr>
          <w:rFonts w:hint="eastAsia"/>
          <w:spacing w:val="10"/>
          <w:u w:val="single"/>
        </w:rPr>
        <w:t>17</w:t>
      </w:r>
      <w:r>
        <w:rPr>
          <w:spacing w:val="10"/>
          <w:u w:val="single"/>
        </w:rPr>
        <w:t>m；泄漏发生10年，影响范围</w:t>
      </w:r>
      <w:r>
        <w:rPr>
          <w:rFonts w:hint="eastAsia"/>
          <w:u w:val="single"/>
        </w:rPr>
        <w:t>4700</w:t>
      </w:r>
      <w:r>
        <w:rPr>
          <w:spacing w:val="10"/>
          <w:u w:val="single"/>
        </w:rPr>
        <w:t>m</w:t>
      </w:r>
      <w:r>
        <w:rPr>
          <w:spacing w:val="10"/>
          <w:u w:val="single"/>
          <w:vertAlign w:val="superscript"/>
        </w:rPr>
        <w:t>2</w:t>
      </w:r>
      <w:r>
        <w:rPr>
          <w:spacing w:val="10"/>
          <w:u w:val="single"/>
        </w:rPr>
        <w:t>，超标范围</w:t>
      </w:r>
      <w:r>
        <w:rPr>
          <w:rFonts w:hint="eastAsia"/>
          <w:u w:val="single"/>
        </w:rPr>
        <w:t>850</w:t>
      </w:r>
      <w:r>
        <w:rPr>
          <w:spacing w:val="10"/>
          <w:u w:val="single"/>
        </w:rPr>
        <w:t>m</w:t>
      </w:r>
      <w:r>
        <w:rPr>
          <w:spacing w:val="10"/>
          <w:u w:val="single"/>
          <w:vertAlign w:val="superscript"/>
        </w:rPr>
        <w:t>2</w:t>
      </w:r>
      <w:r>
        <w:rPr>
          <w:spacing w:val="10"/>
          <w:u w:val="single"/>
        </w:rPr>
        <w:t>，最大运移距离</w:t>
      </w:r>
      <w:r>
        <w:rPr>
          <w:rFonts w:hint="eastAsia"/>
          <w:spacing w:val="10"/>
          <w:u w:val="single"/>
        </w:rPr>
        <w:t>82</w:t>
      </w:r>
      <w:r>
        <w:rPr>
          <w:spacing w:val="10"/>
          <w:u w:val="single"/>
        </w:rPr>
        <w:t>m，超标距离</w:t>
      </w:r>
      <w:r>
        <w:rPr>
          <w:rFonts w:hint="eastAsia"/>
          <w:spacing w:val="10"/>
          <w:u w:val="single"/>
        </w:rPr>
        <w:t>37</w:t>
      </w:r>
      <w:r>
        <w:rPr>
          <w:spacing w:val="10"/>
          <w:u w:val="single"/>
        </w:rPr>
        <w:t>m；泄漏发生20年，影响范围</w:t>
      </w:r>
      <w:r>
        <w:rPr>
          <w:rFonts w:hint="eastAsia"/>
          <w:u w:val="single"/>
        </w:rPr>
        <w:t>9575</w:t>
      </w:r>
      <w:r>
        <w:rPr>
          <w:spacing w:val="10"/>
          <w:u w:val="single"/>
        </w:rPr>
        <w:t>m</w:t>
      </w:r>
      <w:r>
        <w:rPr>
          <w:spacing w:val="10"/>
          <w:u w:val="single"/>
          <w:vertAlign w:val="superscript"/>
        </w:rPr>
        <w:t>2</w:t>
      </w:r>
      <w:r>
        <w:rPr>
          <w:spacing w:val="10"/>
          <w:u w:val="single"/>
        </w:rPr>
        <w:t>，超标范围</w:t>
      </w:r>
      <w:r>
        <w:rPr>
          <w:rFonts w:hint="eastAsia"/>
          <w:u w:val="single"/>
        </w:rPr>
        <w:t>1775</w:t>
      </w:r>
      <w:r>
        <w:rPr>
          <w:spacing w:val="10"/>
          <w:u w:val="single"/>
        </w:rPr>
        <w:t>m</w:t>
      </w:r>
      <w:r>
        <w:rPr>
          <w:spacing w:val="10"/>
          <w:u w:val="single"/>
          <w:vertAlign w:val="superscript"/>
        </w:rPr>
        <w:t>2</w:t>
      </w:r>
      <w:r>
        <w:rPr>
          <w:spacing w:val="10"/>
          <w:u w:val="single"/>
        </w:rPr>
        <w:t>，最大运移距离</w:t>
      </w:r>
      <w:r>
        <w:rPr>
          <w:rFonts w:hint="eastAsia"/>
          <w:u w:val="single"/>
        </w:rPr>
        <w:t>125</w:t>
      </w:r>
      <w:r>
        <w:rPr>
          <w:spacing w:val="10"/>
          <w:u w:val="single"/>
        </w:rPr>
        <w:t>m，超标距离</w:t>
      </w:r>
      <w:r>
        <w:rPr>
          <w:rFonts w:hint="eastAsia"/>
          <w:spacing w:val="10"/>
          <w:u w:val="single"/>
        </w:rPr>
        <w:t>58</w:t>
      </w:r>
      <w:r>
        <w:rPr>
          <w:spacing w:val="10"/>
          <w:u w:val="single"/>
        </w:rPr>
        <w:t>m</w:t>
      </w:r>
      <w:r>
        <w:rPr>
          <w:rFonts w:hint="eastAsia"/>
          <w:spacing w:val="10"/>
          <w:u w:val="single"/>
        </w:rPr>
        <w:t>。</w:t>
      </w:r>
      <w:r>
        <w:rPr>
          <w:rFonts w:hint="eastAsia"/>
          <w:u w:val="single"/>
        </w:rPr>
        <w:t>含水层污染物石油类泄漏发生100天，影响范围75m</w:t>
      </w:r>
      <w:r>
        <w:rPr>
          <w:rFonts w:hint="eastAsia"/>
          <w:u w:val="single"/>
          <w:vertAlign w:val="superscript"/>
        </w:rPr>
        <w:t>2</w:t>
      </w:r>
      <w:r>
        <w:rPr>
          <w:rFonts w:hint="eastAsia"/>
          <w:u w:val="single"/>
        </w:rPr>
        <w:t>，最大运移距离9m；泄漏发生1000天，影响范围875m</w:t>
      </w:r>
      <w:r>
        <w:rPr>
          <w:rFonts w:hint="eastAsia"/>
          <w:u w:val="single"/>
          <w:vertAlign w:val="superscript"/>
        </w:rPr>
        <w:t>2</w:t>
      </w:r>
      <w:r>
        <w:rPr>
          <w:rFonts w:hint="eastAsia"/>
          <w:u w:val="single"/>
        </w:rPr>
        <w:t>，最大运移距离32m；泄漏发生10年，影响范围3175m</w:t>
      </w:r>
      <w:r>
        <w:rPr>
          <w:rFonts w:hint="eastAsia"/>
          <w:u w:val="single"/>
          <w:vertAlign w:val="superscript"/>
        </w:rPr>
        <w:t>2</w:t>
      </w:r>
      <w:r>
        <w:rPr>
          <w:rFonts w:hint="eastAsia"/>
          <w:u w:val="single"/>
        </w:rPr>
        <w:t>，最大运移距离68m；泄漏发生20年，影响范围10000m</w:t>
      </w:r>
      <w:r>
        <w:rPr>
          <w:rFonts w:hint="eastAsia"/>
          <w:u w:val="single"/>
          <w:vertAlign w:val="superscript"/>
        </w:rPr>
        <w:t>2</w:t>
      </w:r>
      <w:r>
        <w:rPr>
          <w:rFonts w:hint="eastAsia"/>
          <w:u w:val="single"/>
        </w:rPr>
        <w:t>，最大运移距离203m。其中，</w:t>
      </w:r>
      <w:r>
        <w:rPr>
          <w:u w:val="single"/>
        </w:rPr>
        <w:t>泄漏发生后厂界处地下水中耗氧量浓度先增大后减小，泄漏发生后约</w:t>
      </w:r>
      <w:r>
        <w:rPr>
          <w:rFonts w:hint="eastAsia"/>
          <w:u w:val="single"/>
        </w:rPr>
        <w:t>2230</w:t>
      </w:r>
      <w:r>
        <w:rPr>
          <w:u w:val="single"/>
        </w:rPr>
        <w:t>天时，浓度达到最大值</w:t>
      </w:r>
      <w:r>
        <w:rPr>
          <w:rFonts w:hint="eastAsia"/>
          <w:u w:val="single"/>
        </w:rPr>
        <w:t>63.3</w:t>
      </w:r>
      <w:r>
        <w:rPr>
          <w:u w:val="single"/>
        </w:rPr>
        <w:t>mg/L，</w:t>
      </w:r>
      <w:r>
        <w:rPr>
          <w:rFonts w:hint="eastAsia"/>
          <w:u w:val="single"/>
        </w:rPr>
        <w:t>叠加现状值后高于</w:t>
      </w:r>
      <w:r>
        <w:rPr>
          <w:u w:val="single"/>
        </w:rPr>
        <w:t>标准值3.0mg/L，之后浓度缓慢下降，</w:t>
      </w:r>
      <w:r>
        <w:rPr>
          <w:rFonts w:hint="eastAsia"/>
          <w:u w:val="single"/>
        </w:rPr>
        <w:t>泄露发生约8780天后，浓度降为1.5mg/L，叠加现状值后小于</w:t>
      </w:r>
      <w:r>
        <w:rPr>
          <w:u w:val="single"/>
        </w:rPr>
        <w:t>标准值3.0mg/L</w:t>
      </w:r>
      <w:r>
        <w:rPr>
          <w:rFonts w:hint="eastAsia"/>
          <w:u w:val="single"/>
        </w:rPr>
        <w:t>。</w:t>
      </w:r>
      <w:r>
        <w:rPr>
          <w:u w:val="single"/>
        </w:rPr>
        <w:t>泄漏发生后厂界处地下水中</w:t>
      </w:r>
      <w:r>
        <w:rPr>
          <w:rFonts w:hint="eastAsia"/>
          <w:u w:val="single"/>
        </w:rPr>
        <w:t>石油类</w:t>
      </w:r>
      <w:r>
        <w:rPr>
          <w:u w:val="single"/>
        </w:rPr>
        <w:t>浓度先增大后减小，泄漏发生后约</w:t>
      </w:r>
      <w:r>
        <w:rPr>
          <w:rFonts w:hint="eastAsia"/>
          <w:u w:val="single"/>
        </w:rPr>
        <w:t>1000</w:t>
      </w:r>
      <w:r>
        <w:rPr>
          <w:u w:val="single"/>
        </w:rPr>
        <w:t>天时，浓度达到最大值0.00</w:t>
      </w:r>
      <w:r>
        <w:rPr>
          <w:rFonts w:hint="eastAsia"/>
          <w:u w:val="single"/>
        </w:rPr>
        <w:t>743</w:t>
      </w:r>
      <w:r>
        <w:rPr>
          <w:u w:val="single"/>
        </w:rPr>
        <w:t>mg/L，之后浓度缓慢下降</w:t>
      </w:r>
      <w:r>
        <w:rPr>
          <w:rFonts w:hint="eastAsia"/>
          <w:u w:val="single"/>
        </w:rPr>
        <w:t>。</w:t>
      </w:r>
    </w:p>
    <w:p w14:paraId="06593A1B">
      <w:pPr>
        <w:ind w:firstLine="480"/>
        <w:rPr>
          <w:u w:val="single"/>
        </w:rPr>
      </w:pPr>
      <w:r>
        <w:rPr>
          <w:rFonts w:hint="eastAsia"/>
          <w:u w:val="single"/>
        </w:rPr>
        <w:t>在非正常状况下，调节池池底渗漏后地下水中耗氧量、氨氮等个别预测因子虽有检出但不会出现超标现象，随着时间的推移个别污染羽运移距离相应的会有所扩大，但在及时发现并采取措施后，污染物不再渗漏，影响的范围逐渐缩小，泄漏污染可控，不会对下游的敏感目标造成影响。</w:t>
      </w:r>
    </w:p>
    <w:p w14:paraId="1D3EF162">
      <w:pPr>
        <w:ind w:firstLine="480"/>
        <w:rPr>
          <w:u w:val="single"/>
        </w:rPr>
      </w:pPr>
      <w:r>
        <w:rPr>
          <w:rFonts w:hint="eastAsia"/>
          <w:u w:val="single"/>
        </w:rPr>
        <w:t>针对预测结果，本次环评提出了相应的防控方案，在落实本环评提出的措施情况下，评价认为本项目运营期内对地下水影响较小，环境可以接受。</w:t>
      </w:r>
    </w:p>
    <w:p w14:paraId="4497DFFE">
      <w:pPr>
        <w:pStyle w:val="6"/>
        <w:ind w:left="0" w:firstLine="482" w:firstLineChars="200"/>
      </w:pPr>
      <w:r>
        <w:rPr>
          <w:rFonts w:hint="eastAsia"/>
        </w:rPr>
        <w:t>土壤环境影响分析</w:t>
      </w:r>
    </w:p>
    <w:p w14:paraId="659235B3">
      <w:pPr>
        <w:ind w:firstLine="480"/>
        <w:rPr>
          <w:u w:val="single"/>
        </w:rPr>
      </w:pPr>
      <w:r>
        <w:rPr>
          <w:rFonts w:hint="eastAsia"/>
          <w:u w:val="single"/>
        </w:rPr>
        <w:t>本项目运营期按30年后，石油类的最大迁移深度约为25m，未达到地下水潜水层，最大浓度为12.8mg/kg，能够满足《土壤环境质量-建设用地土壤污染风险管控标准（试行）》（GB36600-2018）表2基其他项目第二类用地筛选值石油类4500mg/kg的限值要求。因此，本项目建成后对土壤环境影响可接受，本项目建设可行。</w:t>
      </w:r>
    </w:p>
    <w:p w14:paraId="1D3EF163">
      <w:pPr>
        <w:pStyle w:val="5"/>
        <w:spacing w:before="240" w:after="240"/>
      </w:pPr>
      <w:r>
        <w:t>环境风险可接受</w:t>
      </w:r>
    </w:p>
    <w:p w14:paraId="2EEB0557">
      <w:pPr>
        <w:pStyle w:val="2"/>
        <w:ind w:firstLine="480"/>
        <w:rPr>
          <w:highlight w:val="yellow"/>
        </w:rPr>
      </w:pPr>
      <w:bookmarkStart w:id="357" w:name="_Toc428287317"/>
      <w:bookmarkStart w:id="358" w:name="_Toc428287669"/>
      <w:bookmarkStart w:id="359" w:name="_Toc428286964"/>
      <w:r>
        <w:rPr>
          <w:rFonts w:hint="eastAsia"/>
        </w:rPr>
        <w:t>本项目的原料具有一定的燃烧爆炸性，其生产、贮存过程中存在一定泄漏污染及火灾爆炸风险。但风险事故发生概率比较低，发生事故对周围敏感目标的危害后果较小，在采取风险防范措施后，项目的风险可防控。</w:t>
      </w:r>
    </w:p>
    <w:bookmarkEnd w:id="357"/>
    <w:bookmarkEnd w:id="358"/>
    <w:bookmarkEnd w:id="359"/>
    <w:p w14:paraId="7772896C">
      <w:pPr>
        <w:pStyle w:val="5"/>
        <w:spacing w:before="240" w:after="240"/>
      </w:pPr>
      <w:r>
        <w:rPr>
          <w:rFonts w:hint="eastAsia"/>
        </w:rPr>
        <w:t>厂址交通条件</w:t>
      </w:r>
    </w:p>
    <w:p w14:paraId="6C53F3A6">
      <w:pPr>
        <w:ind w:firstLine="480"/>
      </w:pPr>
      <w:r>
        <w:t>本项目选址位于</w:t>
      </w:r>
      <w:r>
        <w:rPr>
          <w:rFonts w:hint="eastAsia"/>
        </w:rPr>
        <w:t>新乡市卫辉市唐庄镇代庄村99号卫辉市铁西（化工）园区内，</w:t>
      </w:r>
      <w:r>
        <w:t>距离</w:t>
      </w:r>
      <w:r>
        <w:rPr>
          <w:rFonts w:hint="eastAsia"/>
        </w:rPr>
        <w:t>G</w:t>
      </w:r>
      <w:r>
        <w:t>107约90m，厂址周边交通便利，方便项目原料及产品的公路运输。</w:t>
      </w:r>
    </w:p>
    <w:p w14:paraId="1D3EF165">
      <w:pPr>
        <w:pStyle w:val="5"/>
        <w:spacing w:before="240" w:after="240"/>
      </w:pPr>
      <w:r>
        <w:t>区平面布置合理性</w:t>
      </w:r>
    </w:p>
    <w:p w14:paraId="1D3EF166">
      <w:pPr>
        <w:spacing w:line="510" w:lineRule="exact"/>
        <w:ind w:firstLine="480"/>
      </w:pPr>
      <w:r>
        <w:t>根据企业提供的拟建工程厂区总平面布置图，厂区的平面布置较为合理，主要体现在以下几个方面：</w:t>
      </w:r>
    </w:p>
    <w:p w14:paraId="1D3EF167">
      <w:pPr>
        <w:spacing w:line="510" w:lineRule="exact"/>
        <w:ind w:firstLine="480"/>
      </w:pPr>
      <w:r>
        <w:t>（1）项目设计生产区与办公区相分离，有利于物流和人流的管理；</w:t>
      </w:r>
    </w:p>
    <w:p w14:paraId="1D3EF168">
      <w:pPr>
        <w:spacing w:line="510" w:lineRule="exact"/>
        <w:ind w:firstLine="480"/>
      </w:pPr>
      <w:r>
        <w:t>（2）项目根据工艺流程和设备运转的要求，按照工艺运转顺序和安全生产的需要布置生产装置，工艺流程顺畅，厂区布局紧凑；</w:t>
      </w:r>
    </w:p>
    <w:p w14:paraId="1D3EF16A">
      <w:pPr>
        <w:spacing w:line="510" w:lineRule="exact"/>
        <w:ind w:firstLine="480"/>
      </w:pPr>
      <w:r>
        <w:t>（</w:t>
      </w:r>
      <w:r>
        <w:rPr>
          <w:rFonts w:hint="eastAsia"/>
        </w:rPr>
        <w:t>3</w:t>
      </w:r>
      <w:r>
        <w:t>）根据生产单元的需要进行了合理的布局，减少了物料在输送过程中的跑、冒、滴、漏，提高了项目的清洁生产水平；</w:t>
      </w:r>
    </w:p>
    <w:p w14:paraId="1D3EF16B">
      <w:pPr>
        <w:spacing w:line="510" w:lineRule="exact"/>
        <w:ind w:firstLine="480"/>
      </w:pPr>
      <w:r>
        <w:t>综上所述，评价认为厂区总平面布置基本合理。</w:t>
      </w:r>
    </w:p>
    <w:p w14:paraId="1D3EF16C">
      <w:pPr>
        <w:pStyle w:val="5"/>
        <w:spacing w:before="240" w:after="240"/>
      </w:pPr>
      <w:r>
        <w:t>小结</w:t>
      </w:r>
    </w:p>
    <w:p w14:paraId="1D3EF16D">
      <w:pPr>
        <w:ind w:firstLine="480"/>
      </w:pPr>
      <w:r>
        <w:t>综上所述，本项目的建设符合卫辉市铁西（</w:t>
      </w:r>
      <w:r>
        <w:rPr>
          <w:rFonts w:hint="eastAsia"/>
        </w:rPr>
        <w:t>化工</w:t>
      </w:r>
      <w:r>
        <w:t>）</w:t>
      </w:r>
      <w:r>
        <w:rPr>
          <w:rFonts w:hint="eastAsia"/>
        </w:rPr>
        <w:t>专业园区</w:t>
      </w:r>
      <w:r>
        <w:t>总体发展规划和土地性质规划；满足新乡市饮用水源地保护要求；对周边环境影响可接受，环境风险可防控；厂区平面布置较合理。因此，本项目厂址选择可行。</w:t>
      </w:r>
    </w:p>
    <w:p w14:paraId="1D3EF16F">
      <w:pPr>
        <w:ind w:firstLine="482"/>
        <w:rPr>
          <w:b/>
          <w:bCs/>
          <w:highlight w:val="yellow"/>
          <w:u w:val="single"/>
        </w:rPr>
      </w:pPr>
      <w:bookmarkStart w:id="360" w:name="_Toc324839290"/>
      <w:bookmarkStart w:id="361" w:name="_Toc311812662"/>
      <w:bookmarkStart w:id="362" w:name="_Toc324839587"/>
    </w:p>
    <w:p w14:paraId="1D3EF235">
      <w:pPr>
        <w:ind w:firstLine="198" w:firstLineChars="82"/>
        <w:rPr>
          <w:b/>
          <w:bCs/>
          <w:highlight w:val="yellow"/>
          <w:u w:val="single"/>
        </w:rPr>
      </w:pPr>
    </w:p>
    <w:bookmarkEnd w:id="360"/>
    <w:bookmarkEnd w:id="361"/>
    <w:bookmarkEnd w:id="362"/>
    <w:p w14:paraId="1D3EF236">
      <w:pPr>
        <w:pStyle w:val="3"/>
      </w:pPr>
      <w:bookmarkStart w:id="363" w:name="_Toc176105890"/>
      <w:r>
        <w:t>环境影响经济损益分析</w:t>
      </w:r>
      <w:bookmarkEnd w:id="339"/>
      <w:bookmarkEnd w:id="363"/>
    </w:p>
    <w:p w14:paraId="1D3EF237">
      <w:pPr>
        <w:ind w:firstLine="480"/>
      </w:pPr>
      <w:r>
        <w:t>环境经济损益分析是建设项目环境影响评价的一个重要组成部分，它是综合评价判断建设项目的投资经济效益和环保措施是否能够补偿或多大程度上补偿由于项目的建设可能造成的环境影响和损失的重要依据。</w:t>
      </w:r>
    </w:p>
    <w:p w14:paraId="1D3EF238">
      <w:pPr>
        <w:pStyle w:val="4"/>
      </w:pPr>
      <w:bookmarkStart w:id="364" w:name="_Toc428287656"/>
      <w:bookmarkStart w:id="365" w:name="_Toc281942361"/>
      <w:bookmarkStart w:id="366" w:name="_Toc428287304"/>
      <w:bookmarkStart w:id="367" w:name="_Toc421256163"/>
      <w:bookmarkStart w:id="368" w:name="_Toc429318452"/>
      <w:bookmarkStart w:id="369" w:name="_Toc176105891"/>
      <w:bookmarkStart w:id="370" w:name="_Toc281942362"/>
      <w:bookmarkStart w:id="371" w:name="_Toc304300485"/>
      <w:r>
        <w:t>社会效益分析</w:t>
      </w:r>
      <w:bookmarkEnd w:id="364"/>
      <w:bookmarkEnd w:id="365"/>
      <w:bookmarkEnd w:id="366"/>
      <w:bookmarkEnd w:id="367"/>
      <w:bookmarkEnd w:id="368"/>
      <w:bookmarkEnd w:id="369"/>
    </w:p>
    <w:p w14:paraId="1D3EF239">
      <w:pPr>
        <w:ind w:firstLine="460"/>
      </w:pPr>
      <w:r>
        <w:rPr>
          <w:spacing w:val="-5"/>
        </w:rPr>
        <w:t>河南欣姣芬化工有限公司年产10000吨聚醚改性硅油、1000吨色浆项目</w:t>
      </w:r>
      <w:r>
        <w:t>具有的社会效益：</w:t>
      </w:r>
    </w:p>
    <w:p w14:paraId="4FE8B744">
      <w:pPr>
        <w:ind w:firstLine="480"/>
      </w:pPr>
      <w:r>
        <w:t>（1）河南欣姣芬化工有限公司拟投资</w:t>
      </w:r>
      <w:r>
        <w:rPr>
          <w:rFonts w:hint="eastAsia"/>
        </w:rPr>
        <w:t>3</w:t>
      </w:r>
      <w:r>
        <w:t>000万元在</w:t>
      </w:r>
      <w:r>
        <w:rPr>
          <w:rFonts w:hint="eastAsia"/>
        </w:rPr>
        <w:t>新乡市卫辉市唐庄镇代庄村99号卫辉市铁西（化工）园区内</w:t>
      </w:r>
      <w:r>
        <w:t>建设年产10000吨聚醚改性硅油、1000吨色浆项目，本项目的建设，在为企业创造经济效益的同时，还可增加当地财政收入，带动当地经济发展和产业结构调整。</w:t>
      </w:r>
    </w:p>
    <w:p w14:paraId="35110C88">
      <w:pPr>
        <w:pStyle w:val="2"/>
        <w:spacing w:after="0"/>
        <w:ind w:firstLine="480"/>
      </w:pPr>
      <w:r>
        <w:t>（2）本项目符合国家的产业政策，选址符合城市规划和土地政策。项目投产后，公司既满足了市场需求，又为当地经济发展作出了贡献；还能拉动了周边相关产业的发展，对当地的社会经济发展起到积极作用；生产需要各种辅助原料，以及产品的流通，可带动和促进当地相应的工业、交通运输业的发展，更能促进区域经济多方面的交流发展。因此，项目的建设社会效益显著。</w:t>
      </w:r>
    </w:p>
    <w:p w14:paraId="59AD2428">
      <w:pPr>
        <w:pStyle w:val="2"/>
        <w:spacing w:after="0"/>
        <w:ind w:firstLine="480"/>
      </w:pPr>
      <w:r>
        <w:rPr>
          <w:rFonts w:hint="eastAsia"/>
        </w:rPr>
        <w:t>（3）</w:t>
      </w:r>
      <w:r>
        <w:t>项目建成后，可以充分利用当地劳动力资源，提供多个就业机会，提高当地的经济收入，提高当地居民生活水平。</w:t>
      </w:r>
    </w:p>
    <w:p w14:paraId="1D3EF23D">
      <w:pPr>
        <w:ind w:firstLine="720" w:firstLineChars="300"/>
      </w:pPr>
      <w:r>
        <w:t>综上所述，项目的建设可有效地促进当地社会和经济的协调发展，评价认为，项目的建设具有良好的社会效益。</w:t>
      </w:r>
    </w:p>
    <w:p w14:paraId="1D3EF23E">
      <w:pPr>
        <w:pStyle w:val="4"/>
      </w:pPr>
      <w:bookmarkStart w:id="372" w:name="_Toc176105892"/>
      <w:r>
        <w:t>经济效益分析</w:t>
      </w:r>
      <w:bookmarkEnd w:id="370"/>
      <w:bookmarkEnd w:id="371"/>
      <w:bookmarkEnd w:id="372"/>
    </w:p>
    <w:p w14:paraId="1D3EF23F">
      <w:pPr>
        <w:ind w:firstLine="480"/>
      </w:pPr>
      <w:r>
        <w:t>根据建设单位提供的本项目的建议书及其他初步经济数据，本项目的主要经济指标见下表：</w:t>
      </w:r>
    </w:p>
    <w:p w14:paraId="05769C4F">
      <w:pPr>
        <w:pStyle w:val="2"/>
        <w:ind w:firstLine="480"/>
      </w:pPr>
    </w:p>
    <w:p w14:paraId="1D3EF240">
      <w:pPr>
        <w:pStyle w:val="64"/>
        <w:numPr>
          <w:ilvl w:val="2"/>
          <w:numId w:val="51"/>
        </w:numPr>
        <w:spacing w:before="0" w:beforeLines="0" w:line="520" w:lineRule="exact"/>
        <w:ind w:left="0" w:firstLine="480" w:firstLineChars="200"/>
      </w:pPr>
      <w:r>
        <w:t xml:space="preserve">     </w:t>
      </w:r>
      <w:r>
        <w:rPr>
          <w:rFonts w:hint="eastAsia"/>
        </w:rPr>
        <w:t xml:space="preserve">    </w:t>
      </w:r>
      <w:r>
        <w:t xml:space="preserve">  工程经济效益分析</w:t>
      </w:r>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3202"/>
        <w:gridCol w:w="2068"/>
        <w:gridCol w:w="2083"/>
      </w:tblGrid>
      <w:tr w14:paraId="1D3EF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40" w:type="dxa"/>
            <w:vAlign w:val="center"/>
          </w:tcPr>
          <w:p w14:paraId="1D3EF241">
            <w:pPr>
              <w:pStyle w:val="67"/>
              <w:rPr>
                <w:rFonts w:cs="Times New Roman"/>
                <w:color w:val="auto"/>
              </w:rPr>
            </w:pPr>
            <w:bookmarkStart w:id="373" w:name="_Hlk112252331"/>
            <w:r>
              <w:rPr>
                <w:rFonts w:cs="Times New Roman"/>
                <w:color w:val="auto"/>
              </w:rPr>
              <w:t>序号</w:t>
            </w:r>
          </w:p>
        </w:tc>
        <w:tc>
          <w:tcPr>
            <w:tcW w:w="3202" w:type="dxa"/>
            <w:vAlign w:val="center"/>
          </w:tcPr>
          <w:p w14:paraId="1D3EF242">
            <w:pPr>
              <w:pStyle w:val="67"/>
              <w:rPr>
                <w:rFonts w:cs="Times New Roman"/>
                <w:color w:val="auto"/>
              </w:rPr>
            </w:pPr>
            <w:r>
              <w:rPr>
                <w:rFonts w:cs="Times New Roman"/>
                <w:color w:val="auto"/>
              </w:rPr>
              <w:t>项目</w:t>
            </w:r>
          </w:p>
        </w:tc>
        <w:tc>
          <w:tcPr>
            <w:tcW w:w="2068" w:type="dxa"/>
            <w:vAlign w:val="center"/>
          </w:tcPr>
          <w:p w14:paraId="1D3EF243">
            <w:pPr>
              <w:pStyle w:val="67"/>
              <w:rPr>
                <w:rFonts w:cs="Times New Roman"/>
                <w:color w:val="auto"/>
              </w:rPr>
            </w:pPr>
            <w:r>
              <w:rPr>
                <w:rFonts w:cs="Times New Roman"/>
                <w:color w:val="auto"/>
              </w:rPr>
              <w:t>单位</w:t>
            </w:r>
          </w:p>
        </w:tc>
        <w:tc>
          <w:tcPr>
            <w:tcW w:w="2083" w:type="dxa"/>
            <w:vAlign w:val="center"/>
          </w:tcPr>
          <w:p w14:paraId="1D3EF244">
            <w:pPr>
              <w:pStyle w:val="67"/>
              <w:rPr>
                <w:rFonts w:cs="Times New Roman"/>
                <w:color w:val="auto"/>
              </w:rPr>
            </w:pPr>
            <w:r>
              <w:rPr>
                <w:rFonts w:cs="Times New Roman"/>
                <w:color w:val="auto"/>
              </w:rPr>
              <w:t>数量</w:t>
            </w:r>
          </w:p>
        </w:tc>
      </w:tr>
      <w:tr w14:paraId="1D3EF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restart"/>
            <w:vAlign w:val="center"/>
          </w:tcPr>
          <w:p w14:paraId="1D3EF246">
            <w:pPr>
              <w:pStyle w:val="62"/>
            </w:pPr>
            <w:r>
              <w:t>1</w:t>
            </w:r>
          </w:p>
        </w:tc>
        <w:tc>
          <w:tcPr>
            <w:tcW w:w="3202" w:type="dxa"/>
            <w:vAlign w:val="center"/>
          </w:tcPr>
          <w:p w14:paraId="1D3EF247">
            <w:pPr>
              <w:pStyle w:val="62"/>
            </w:pPr>
            <w:r>
              <w:t>总投资</w:t>
            </w:r>
          </w:p>
        </w:tc>
        <w:tc>
          <w:tcPr>
            <w:tcW w:w="2068" w:type="dxa"/>
            <w:vAlign w:val="center"/>
          </w:tcPr>
          <w:p w14:paraId="1D3EF248">
            <w:pPr>
              <w:pStyle w:val="62"/>
            </w:pPr>
            <w:r>
              <w:t>万元</w:t>
            </w:r>
          </w:p>
        </w:tc>
        <w:tc>
          <w:tcPr>
            <w:tcW w:w="2083" w:type="dxa"/>
            <w:vAlign w:val="center"/>
          </w:tcPr>
          <w:p w14:paraId="1D3EF249">
            <w:pPr>
              <w:pStyle w:val="62"/>
            </w:pPr>
            <w:r>
              <w:rPr>
                <w:rFonts w:hint="eastAsia"/>
              </w:rPr>
              <w:t>3000</w:t>
            </w:r>
          </w:p>
        </w:tc>
      </w:tr>
      <w:tr w14:paraId="7E0FE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2359F2DA">
            <w:pPr>
              <w:pStyle w:val="62"/>
              <w:rPr>
                <w:highlight w:val="yellow"/>
              </w:rPr>
            </w:pPr>
          </w:p>
        </w:tc>
        <w:tc>
          <w:tcPr>
            <w:tcW w:w="3202" w:type="dxa"/>
            <w:vAlign w:val="center"/>
          </w:tcPr>
          <w:p w14:paraId="4CC66D3C">
            <w:pPr>
              <w:pStyle w:val="62"/>
            </w:pPr>
            <w:r>
              <w:t>其中：固定资产投资</w:t>
            </w:r>
          </w:p>
        </w:tc>
        <w:tc>
          <w:tcPr>
            <w:tcW w:w="2068" w:type="dxa"/>
            <w:vAlign w:val="center"/>
          </w:tcPr>
          <w:p w14:paraId="7359810B">
            <w:pPr>
              <w:pStyle w:val="62"/>
            </w:pPr>
            <w:r>
              <w:t>万元</w:t>
            </w:r>
          </w:p>
        </w:tc>
        <w:tc>
          <w:tcPr>
            <w:tcW w:w="2083" w:type="dxa"/>
            <w:vAlign w:val="center"/>
          </w:tcPr>
          <w:p w14:paraId="4BB87290">
            <w:pPr>
              <w:pStyle w:val="62"/>
            </w:pPr>
            <w:r>
              <w:t>5</w:t>
            </w:r>
            <w:r>
              <w:rPr>
                <w:rFonts w:hint="eastAsia"/>
              </w:rPr>
              <w:t>00</w:t>
            </w:r>
          </w:p>
        </w:tc>
      </w:tr>
      <w:tr w14:paraId="1D3EF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1D3EF24B">
            <w:pPr>
              <w:pStyle w:val="62"/>
              <w:rPr>
                <w:highlight w:val="yellow"/>
              </w:rPr>
            </w:pPr>
          </w:p>
        </w:tc>
        <w:tc>
          <w:tcPr>
            <w:tcW w:w="3202" w:type="dxa"/>
            <w:vAlign w:val="center"/>
          </w:tcPr>
          <w:p w14:paraId="1D3EF24C">
            <w:pPr>
              <w:pStyle w:val="62"/>
            </w:pPr>
            <w:r>
              <w:t>流动资金</w:t>
            </w:r>
          </w:p>
        </w:tc>
        <w:tc>
          <w:tcPr>
            <w:tcW w:w="2068" w:type="dxa"/>
            <w:vAlign w:val="center"/>
          </w:tcPr>
          <w:p w14:paraId="1D3EF24D">
            <w:pPr>
              <w:pStyle w:val="62"/>
            </w:pPr>
            <w:r>
              <w:t>万元</w:t>
            </w:r>
          </w:p>
        </w:tc>
        <w:tc>
          <w:tcPr>
            <w:tcW w:w="2083" w:type="dxa"/>
            <w:vAlign w:val="center"/>
          </w:tcPr>
          <w:p w14:paraId="1D3EF24E">
            <w:pPr>
              <w:pStyle w:val="62"/>
            </w:pPr>
            <w:r>
              <w:t>25</w:t>
            </w:r>
            <w:r>
              <w:rPr>
                <w:rFonts w:hint="eastAsia"/>
              </w:rPr>
              <w:t>00</w:t>
            </w:r>
          </w:p>
        </w:tc>
      </w:tr>
      <w:tr w14:paraId="1D3EF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Align w:val="center"/>
          </w:tcPr>
          <w:p w14:paraId="1D3EF250">
            <w:pPr>
              <w:pStyle w:val="62"/>
            </w:pPr>
            <w:r>
              <w:t>2</w:t>
            </w:r>
          </w:p>
        </w:tc>
        <w:tc>
          <w:tcPr>
            <w:tcW w:w="3202" w:type="dxa"/>
            <w:vAlign w:val="center"/>
          </w:tcPr>
          <w:p w14:paraId="1D3EF251">
            <w:pPr>
              <w:pStyle w:val="62"/>
            </w:pPr>
            <w:r>
              <w:t>年销售收入</w:t>
            </w:r>
          </w:p>
        </w:tc>
        <w:tc>
          <w:tcPr>
            <w:tcW w:w="2068" w:type="dxa"/>
            <w:vAlign w:val="center"/>
          </w:tcPr>
          <w:p w14:paraId="1D3EF252">
            <w:pPr>
              <w:pStyle w:val="62"/>
            </w:pPr>
            <w:r>
              <w:t>万元</w:t>
            </w:r>
          </w:p>
        </w:tc>
        <w:tc>
          <w:tcPr>
            <w:tcW w:w="2083" w:type="dxa"/>
            <w:vAlign w:val="center"/>
          </w:tcPr>
          <w:p w14:paraId="1D3EF253">
            <w:pPr>
              <w:pStyle w:val="62"/>
            </w:pPr>
            <w:r>
              <w:rPr>
                <w:rFonts w:hint="eastAsia"/>
              </w:rPr>
              <w:t>5</w:t>
            </w:r>
            <w:r>
              <w:t>400</w:t>
            </w:r>
          </w:p>
        </w:tc>
      </w:tr>
      <w:tr w14:paraId="1D3EF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Align w:val="center"/>
          </w:tcPr>
          <w:p w14:paraId="1D3EF255">
            <w:pPr>
              <w:pStyle w:val="62"/>
            </w:pPr>
            <w:r>
              <w:t>3</w:t>
            </w:r>
          </w:p>
        </w:tc>
        <w:tc>
          <w:tcPr>
            <w:tcW w:w="3202" w:type="dxa"/>
            <w:vAlign w:val="center"/>
          </w:tcPr>
          <w:p w14:paraId="1D3EF256">
            <w:pPr>
              <w:pStyle w:val="62"/>
            </w:pPr>
            <w:r>
              <w:t>总成本</w:t>
            </w:r>
          </w:p>
        </w:tc>
        <w:tc>
          <w:tcPr>
            <w:tcW w:w="2068" w:type="dxa"/>
            <w:vAlign w:val="center"/>
          </w:tcPr>
          <w:p w14:paraId="1D3EF257">
            <w:pPr>
              <w:pStyle w:val="62"/>
            </w:pPr>
            <w:r>
              <w:t>万元</w:t>
            </w:r>
          </w:p>
        </w:tc>
        <w:tc>
          <w:tcPr>
            <w:tcW w:w="2083" w:type="dxa"/>
            <w:vAlign w:val="center"/>
          </w:tcPr>
          <w:p w14:paraId="1D3EF258">
            <w:pPr>
              <w:pStyle w:val="62"/>
            </w:pPr>
            <w:r>
              <w:t>5</w:t>
            </w:r>
            <w:r>
              <w:rPr>
                <w:rFonts w:hint="eastAsia"/>
              </w:rPr>
              <w:t>200</w:t>
            </w:r>
          </w:p>
        </w:tc>
      </w:tr>
      <w:tr w14:paraId="1D3EF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Align w:val="center"/>
          </w:tcPr>
          <w:p w14:paraId="1D3EF25A">
            <w:pPr>
              <w:pStyle w:val="62"/>
            </w:pPr>
            <w:r>
              <w:t>4</w:t>
            </w:r>
          </w:p>
        </w:tc>
        <w:tc>
          <w:tcPr>
            <w:tcW w:w="3202" w:type="dxa"/>
            <w:vAlign w:val="center"/>
          </w:tcPr>
          <w:p w14:paraId="1D3EF25B">
            <w:pPr>
              <w:pStyle w:val="62"/>
            </w:pPr>
            <w:r>
              <w:t>企业所得税</w:t>
            </w:r>
          </w:p>
        </w:tc>
        <w:tc>
          <w:tcPr>
            <w:tcW w:w="2068" w:type="dxa"/>
            <w:vAlign w:val="center"/>
          </w:tcPr>
          <w:p w14:paraId="1D3EF25C">
            <w:pPr>
              <w:pStyle w:val="62"/>
            </w:pPr>
            <w:r>
              <w:t>万元</w:t>
            </w:r>
          </w:p>
        </w:tc>
        <w:tc>
          <w:tcPr>
            <w:tcW w:w="2083" w:type="dxa"/>
            <w:vAlign w:val="center"/>
          </w:tcPr>
          <w:p w14:paraId="1D3EF25D">
            <w:pPr>
              <w:pStyle w:val="62"/>
            </w:pPr>
            <w:r>
              <w:rPr>
                <w:rFonts w:hint="eastAsia"/>
              </w:rPr>
              <w:t>135</w:t>
            </w:r>
          </w:p>
        </w:tc>
      </w:tr>
      <w:tr w14:paraId="1D3EF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Align w:val="center"/>
          </w:tcPr>
          <w:p w14:paraId="1D3EF25F">
            <w:pPr>
              <w:pStyle w:val="62"/>
            </w:pPr>
            <w:r>
              <w:t>5</w:t>
            </w:r>
          </w:p>
        </w:tc>
        <w:tc>
          <w:tcPr>
            <w:tcW w:w="3202" w:type="dxa"/>
            <w:vAlign w:val="center"/>
          </w:tcPr>
          <w:p w14:paraId="1D3EF260">
            <w:pPr>
              <w:pStyle w:val="62"/>
            </w:pPr>
            <w:r>
              <w:t>年销售利润（税</w:t>
            </w:r>
            <w:r>
              <w:rPr>
                <w:rFonts w:hint="eastAsia"/>
              </w:rPr>
              <w:t>前</w:t>
            </w:r>
            <w:r>
              <w:t>）</w:t>
            </w:r>
          </w:p>
        </w:tc>
        <w:tc>
          <w:tcPr>
            <w:tcW w:w="2068" w:type="dxa"/>
            <w:vAlign w:val="center"/>
          </w:tcPr>
          <w:p w14:paraId="1D3EF261">
            <w:pPr>
              <w:pStyle w:val="62"/>
            </w:pPr>
            <w:r>
              <w:t>万元</w:t>
            </w:r>
          </w:p>
        </w:tc>
        <w:tc>
          <w:tcPr>
            <w:tcW w:w="2083" w:type="dxa"/>
            <w:vAlign w:val="center"/>
          </w:tcPr>
          <w:p w14:paraId="1D3EF262">
            <w:pPr>
              <w:pStyle w:val="62"/>
              <w:rPr>
                <w:highlight w:val="yellow"/>
              </w:rPr>
            </w:pPr>
            <w:r>
              <w:rPr>
                <w:rFonts w:hint="eastAsia"/>
              </w:rPr>
              <w:t>800</w:t>
            </w:r>
          </w:p>
        </w:tc>
      </w:tr>
      <w:tr w14:paraId="3EE77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Align w:val="center"/>
          </w:tcPr>
          <w:p w14:paraId="54327F08">
            <w:pPr>
              <w:pStyle w:val="62"/>
            </w:pPr>
            <w:r>
              <w:t>6</w:t>
            </w:r>
          </w:p>
        </w:tc>
        <w:tc>
          <w:tcPr>
            <w:tcW w:w="3202" w:type="dxa"/>
            <w:vAlign w:val="center"/>
          </w:tcPr>
          <w:p w14:paraId="30403E2C">
            <w:pPr>
              <w:pStyle w:val="62"/>
            </w:pPr>
            <w:r>
              <w:rPr>
                <w:rFonts w:hint="eastAsia"/>
              </w:rPr>
              <w:t>净利润</w:t>
            </w:r>
          </w:p>
        </w:tc>
        <w:tc>
          <w:tcPr>
            <w:tcW w:w="2068" w:type="dxa"/>
            <w:vAlign w:val="center"/>
          </w:tcPr>
          <w:p w14:paraId="2B9DDB21">
            <w:pPr>
              <w:pStyle w:val="62"/>
            </w:pPr>
            <w:r>
              <w:t>万元</w:t>
            </w:r>
          </w:p>
        </w:tc>
        <w:tc>
          <w:tcPr>
            <w:tcW w:w="2083" w:type="dxa"/>
            <w:vAlign w:val="center"/>
          </w:tcPr>
          <w:p w14:paraId="61EC3CDB">
            <w:pPr>
              <w:pStyle w:val="62"/>
            </w:pPr>
            <w:r>
              <w:rPr>
                <w:rFonts w:hint="eastAsia"/>
              </w:rPr>
              <w:t>665</w:t>
            </w:r>
          </w:p>
        </w:tc>
      </w:tr>
      <w:tr w14:paraId="1D3EF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Align w:val="center"/>
          </w:tcPr>
          <w:p w14:paraId="1D3EF269">
            <w:pPr>
              <w:pStyle w:val="62"/>
            </w:pPr>
            <w:r>
              <w:t>7</w:t>
            </w:r>
          </w:p>
        </w:tc>
        <w:tc>
          <w:tcPr>
            <w:tcW w:w="3202" w:type="dxa"/>
            <w:vAlign w:val="center"/>
          </w:tcPr>
          <w:p w14:paraId="1D3EF26A">
            <w:pPr>
              <w:pStyle w:val="62"/>
            </w:pPr>
            <w:r>
              <w:t>投资利润率</w:t>
            </w:r>
          </w:p>
        </w:tc>
        <w:tc>
          <w:tcPr>
            <w:tcW w:w="2068" w:type="dxa"/>
            <w:vAlign w:val="center"/>
          </w:tcPr>
          <w:p w14:paraId="1D3EF26B">
            <w:pPr>
              <w:pStyle w:val="62"/>
            </w:pPr>
            <w:r>
              <w:t>%</w:t>
            </w:r>
          </w:p>
        </w:tc>
        <w:tc>
          <w:tcPr>
            <w:tcW w:w="2083" w:type="dxa"/>
            <w:vAlign w:val="center"/>
          </w:tcPr>
          <w:p w14:paraId="1D3EF26C">
            <w:pPr>
              <w:pStyle w:val="62"/>
              <w:rPr>
                <w:highlight w:val="yellow"/>
              </w:rPr>
            </w:pPr>
            <w:r>
              <w:rPr>
                <w:rFonts w:hint="eastAsia"/>
              </w:rPr>
              <w:t>26.7</w:t>
            </w:r>
          </w:p>
        </w:tc>
      </w:tr>
      <w:tr w14:paraId="1D3EF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Align w:val="center"/>
          </w:tcPr>
          <w:p w14:paraId="1D3EF26E">
            <w:pPr>
              <w:pStyle w:val="62"/>
            </w:pPr>
            <w:r>
              <w:rPr>
                <w:rFonts w:hint="eastAsia"/>
              </w:rPr>
              <w:t>8</w:t>
            </w:r>
          </w:p>
        </w:tc>
        <w:tc>
          <w:tcPr>
            <w:tcW w:w="3202" w:type="dxa"/>
            <w:vAlign w:val="center"/>
          </w:tcPr>
          <w:p w14:paraId="1D3EF26F">
            <w:pPr>
              <w:pStyle w:val="62"/>
            </w:pPr>
            <w:r>
              <w:t>投资回收期（含建设期）</w:t>
            </w:r>
          </w:p>
        </w:tc>
        <w:tc>
          <w:tcPr>
            <w:tcW w:w="2068" w:type="dxa"/>
            <w:vAlign w:val="center"/>
          </w:tcPr>
          <w:p w14:paraId="1D3EF270">
            <w:pPr>
              <w:pStyle w:val="62"/>
            </w:pPr>
            <w:r>
              <w:t>年</w:t>
            </w:r>
          </w:p>
        </w:tc>
        <w:tc>
          <w:tcPr>
            <w:tcW w:w="2083" w:type="dxa"/>
            <w:vAlign w:val="center"/>
          </w:tcPr>
          <w:p w14:paraId="1D3EF271">
            <w:pPr>
              <w:pStyle w:val="62"/>
              <w:rPr>
                <w:highlight w:val="yellow"/>
              </w:rPr>
            </w:pPr>
            <w:r>
              <w:rPr>
                <w:rFonts w:hint="eastAsia"/>
              </w:rPr>
              <w:t>6</w:t>
            </w:r>
          </w:p>
        </w:tc>
      </w:tr>
      <w:bookmarkEnd w:id="373"/>
    </w:tbl>
    <w:p w14:paraId="1D3EF273">
      <w:pPr>
        <w:ind w:firstLine="480"/>
      </w:pPr>
      <w:r>
        <w:t>本项目完成后正常年销售收入</w:t>
      </w:r>
      <w:r>
        <w:rPr>
          <w:rFonts w:hint="eastAsia"/>
        </w:rPr>
        <w:t>5400</w:t>
      </w:r>
      <w:r>
        <w:t>万元，年税后利润总额</w:t>
      </w:r>
      <w:r>
        <w:rPr>
          <w:rFonts w:hint="eastAsia"/>
        </w:rPr>
        <w:t>665</w:t>
      </w:r>
      <w:r>
        <w:t>万元，年税前利润总额</w:t>
      </w:r>
      <w:r>
        <w:rPr>
          <w:rFonts w:hint="eastAsia"/>
        </w:rPr>
        <w:t>800</w:t>
      </w:r>
      <w:r>
        <w:t>万元，投资利润率为</w:t>
      </w:r>
      <w:r>
        <w:rPr>
          <w:rFonts w:hint="eastAsia"/>
        </w:rPr>
        <w:t>26.7</w:t>
      </w:r>
      <w:r>
        <w:t>%。从上述各项经济指标可以看出，工程投资产生的经济效益显著，企业具有较强的抗风险能力，项目建设投产后可获得较稳定的经济效益。工程投资回收期为</w:t>
      </w:r>
      <w:r>
        <w:rPr>
          <w:rFonts w:hint="eastAsia"/>
        </w:rPr>
        <w:t>6</w:t>
      </w:r>
      <w:r>
        <w:t>年，具有良好的发展潜力。因此，从经济角度考虑本项目的建设是可行的。</w:t>
      </w:r>
    </w:p>
    <w:p w14:paraId="1D3EF274">
      <w:pPr>
        <w:pStyle w:val="4"/>
      </w:pPr>
      <w:bookmarkStart w:id="374" w:name="_Toc176105893"/>
      <w:r>
        <w:t>环境损益分析</w:t>
      </w:r>
      <w:bookmarkEnd w:id="374"/>
    </w:p>
    <w:p w14:paraId="1D3EF275">
      <w:pPr>
        <w:pStyle w:val="5"/>
        <w:spacing w:before="240" w:after="240"/>
      </w:pPr>
      <w:r>
        <w:t>环保投资估算</w:t>
      </w:r>
    </w:p>
    <w:p w14:paraId="1D3EF276">
      <w:pPr>
        <w:ind w:firstLine="480"/>
        <w:rPr>
          <w:u w:val="single"/>
        </w:rPr>
      </w:pPr>
      <w:r>
        <w:rPr>
          <w:u w:val="single"/>
        </w:rPr>
        <w:t>本次项目投资</w:t>
      </w:r>
      <w:r>
        <w:rPr>
          <w:rFonts w:hint="eastAsia"/>
          <w:u w:val="single"/>
        </w:rPr>
        <w:t>3000</w:t>
      </w:r>
      <w:r>
        <w:rPr>
          <w:u w:val="single"/>
        </w:rPr>
        <w:t>万元，估算环保投资共</w:t>
      </w:r>
      <w:r>
        <w:rPr>
          <w:rFonts w:hint="eastAsia"/>
          <w:u w:val="single"/>
        </w:rPr>
        <w:t>150</w:t>
      </w:r>
      <w:r>
        <w:rPr>
          <w:u w:val="single"/>
        </w:rPr>
        <w:t>万元，其中环保投资主要投资内容及投资估算详见下表。</w:t>
      </w:r>
    </w:p>
    <w:p w14:paraId="1D3EF277">
      <w:pPr>
        <w:pStyle w:val="64"/>
        <w:numPr>
          <w:ilvl w:val="2"/>
          <w:numId w:val="52"/>
        </w:numPr>
        <w:spacing w:before="0" w:beforeLines="0" w:line="520" w:lineRule="exact"/>
        <w:ind w:left="0" w:firstLine="480" w:firstLineChars="200"/>
      </w:pPr>
      <w:r>
        <w:t xml:space="preserve">              工程完成后环保投资一览表</w:t>
      </w:r>
    </w:p>
    <w:tbl>
      <w:tblPr>
        <w:tblStyle w:val="41"/>
        <w:tblW w:w="88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29"/>
        <w:gridCol w:w="1378"/>
        <w:gridCol w:w="1843"/>
        <w:gridCol w:w="4658"/>
      </w:tblGrid>
      <w:tr w14:paraId="1D3EF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929" w:type="dxa"/>
            <w:vAlign w:val="center"/>
          </w:tcPr>
          <w:p w14:paraId="1D3EF278">
            <w:pPr>
              <w:pStyle w:val="67"/>
              <w:rPr>
                <w:rFonts w:cs="Times New Roman"/>
                <w:color w:val="auto"/>
                <w:u w:val="single"/>
              </w:rPr>
            </w:pPr>
            <w:r>
              <w:rPr>
                <w:rFonts w:cs="Times New Roman"/>
                <w:color w:val="auto"/>
                <w:u w:val="single"/>
              </w:rPr>
              <w:t>序号</w:t>
            </w:r>
          </w:p>
        </w:tc>
        <w:tc>
          <w:tcPr>
            <w:tcW w:w="1378" w:type="dxa"/>
            <w:vAlign w:val="center"/>
          </w:tcPr>
          <w:p w14:paraId="1D3EF279">
            <w:pPr>
              <w:pStyle w:val="67"/>
              <w:rPr>
                <w:rFonts w:cs="Times New Roman"/>
                <w:color w:val="auto"/>
                <w:u w:val="single"/>
              </w:rPr>
            </w:pPr>
            <w:r>
              <w:rPr>
                <w:rFonts w:cs="Times New Roman"/>
                <w:color w:val="auto"/>
                <w:u w:val="single"/>
              </w:rPr>
              <w:t>项目名称</w:t>
            </w:r>
          </w:p>
        </w:tc>
        <w:tc>
          <w:tcPr>
            <w:tcW w:w="1843" w:type="dxa"/>
            <w:vAlign w:val="center"/>
          </w:tcPr>
          <w:p w14:paraId="1D3EF27A">
            <w:pPr>
              <w:pStyle w:val="67"/>
              <w:rPr>
                <w:rFonts w:cs="Times New Roman"/>
                <w:color w:val="auto"/>
                <w:u w:val="single"/>
              </w:rPr>
            </w:pPr>
            <w:r>
              <w:rPr>
                <w:rFonts w:cs="Times New Roman"/>
                <w:color w:val="auto"/>
                <w:u w:val="single"/>
              </w:rPr>
              <w:t>投资费用（万元）</w:t>
            </w:r>
          </w:p>
        </w:tc>
        <w:tc>
          <w:tcPr>
            <w:tcW w:w="4658" w:type="dxa"/>
            <w:vAlign w:val="center"/>
          </w:tcPr>
          <w:p w14:paraId="1D3EF27B">
            <w:pPr>
              <w:pStyle w:val="67"/>
              <w:rPr>
                <w:rFonts w:cs="Times New Roman"/>
                <w:color w:val="auto"/>
                <w:u w:val="single"/>
              </w:rPr>
            </w:pPr>
            <w:r>
              <w:rPr>
                <w:rFonts w:cs="Times New Roman"/>
                <w:color w:val="auto"/>
                <w:u w:val="single"/>
              </w:rPr>
              <w:t>环保设施、设备</w:t>
            </w:r>
          </w:p>
        </w:tc>
      </w:tr>
      <w:tr w14:paraId="1D3EF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9" w:type="dxa"/>
            <w:vMerge w:val="restart"/>
            <w:vAlign w:val="center"/>
          </w:tcPr>
          <w:p w14:paraId="1D3EF27D">
            <w:pPr>
              <w:pStyle w:val="62"/>
              <w:rPr>
                <w:u w:val="single"/>
              </w:rPr>
            </w:pPr>
            <w:r>
              <w:rPr>
                <w:u w:val="single"/>
              </w:rPr>
              <w:t>1</w:t>
            </w:r>
          </w:p>
        </w:tc>
        <w:tc>
          <w:tcPr>
            <w:tcW w:w="1378" w:type="dxa"/>
            <w:vMerge w:val="restart"/>
            <w:vAlign w:val="center"/>
          </w:tcPr>
          <w:p w14:paraId="1D3EF27E">
            <w:pPr>
              <w:pStyle w:val="62"/>
              <w:rPr>
                <w:u w:val="single"/>
              </w:rPr>
            </w:pPr>
            <w:r>
              <w:rPr>
                <w:u w:val="single"/>
              </w:rPr>
              <w:t>废气治理</w:t>
            </w:r>
          </w:p>
        </w:tc>
        <w:tc>
          <w:tcPr>
            <w:tcW w:w="1843" w:type="dxa"/>
            <w:vMerge w:val="restart"/>
            <w:vAlign w:val="center"/>
          </w:tcPr>
          <w:p w14:paraId="1D3EF27F">
            <w:pPr>
              <w:pStyle w:val="62"/>
              <w:rPr>
                <w:u w:val="single"/>
              </w:rPr>
            </w:pPr>
            <w:r>
              <w:rPr>
                <w:rFonts w:hint="eastAsia"/>
                <w:u w:val="single"/>
              </w:rPr>
              <w:t>50</w:t>
            </w:r>
          </w:p>
        </w:tc>
        <w:tc>
          <w:tcPr>
            <w:tcW w:w="4658" w:type="dxa"/>
            <w:vAlign w:val="center"/>
          </w:tcPr>
          <w:p w14:paraId="1D3EF280">
            <w:pPr>
              <w:pStyle w:val="62"/>
              <w:rPr>
                <w:u w:val="single"/>
              </w:rPr>
            </w:pPr>
            <w:r>
              <w:rPr>
                <w:rFonts w:hint="eastAsia"/>
                <w:u w:val="single"/>
              </w:rPr>
              <w:t>袋式除尘器1套</w:t>
            </w:r>
          </w:p>
        </w:tc>
      </w:tr>
      <w:tr w14:paraId="150F3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9" w:type="dxa"/>
            <w:vMerge w:val="continue"/>
            <w:vAlign w:val="center"/>
          </w:tcPr>
          <w:p w14:paraId="0F8DAE5D">
            <w:pPr>
              <w:pStyle w:val="62"/>
              <w:rPr>
                <w:u w:val="single"/>
              </w:rPr>
            </w:pPr>
          </w:p>
        </w:tc>
        <w:tc>
          <w:tcPr>
            <w:tcW w:w="1378" w:type="dxa"/>
            <w:vMerge w:val="continue"/>
            <w:vAlign w:val="center"/>
          </w:tcPr>
          <w:p w14:paraId="4966E087">
            <w:pPr>
              <w:pStyle w:val="62"/>
              <w:rPr>
                <w:u w:val="single"/>
              </w:rPr>
            </w:pPr>
          </w:p>
        </w:tc>
        <w:tc>
          <w:tcPr>
            <w:tcW w:w="1843" w:type="dxa"/>
            <w:vMerge w:val="continue"/>
            <w:vAlign w:val="center"/>
          </w:tcPr>
          <w:p w14:paraId="0AC08478">
            <w:pPr>
              <w:pStyle w:val="62"/>
              <w:rPr>
                <w:u w:val="single"/>
              </w:rPr>
            </w:pPr>
          </w:p>
        </w:tc>
        <w:tc>
          <w:tcPr>
            <w:tcW w:w="4658" w:type="dxa"/>
            <w:vAlign w:val="center"/>
          </w:tcPr>
          <w:p w14:paraId="16A6B8E0">
            <w:pPr>
              <w:pStyle w:val="62"/>
              <w:rPr>
                <w:u w:val="single"/>
              </w:rPr>
            </w:pPr>
            <w:r>
              <w:rPr>
                <w:rFonts w:hint="eastAsia"/>
                <w:u w:val="single"/>
              </w:rPr>
              <w:t>负压收集管道6套</w:t>
            </w:r>
          </w:p>
        </w:tc>
      </w:tr>
      <w:tr w14:paraId="24A0F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9" w:type="dxa"/>
            <w:vMerge w:val="continue"/>
            <w:vAlign w:val="center"/>
          </w:tcPr>
          <w:p w14:paraId="3F8DC1B1">
            <w:pPr>
              <w:pStyle w:val="62"/>
              <w:rPr>
                <w:u w:val="single"/>
              </w:rPr>
            </w:pPr>
          </w:p>
        </w:tc>
        <w:tc>
          <w:tcPr>
            <w:tcW w:w="1378" w:type="dxa"/>
            <w:vMerge w:val="continue"/>
            <w:vAlign w:val="center"/>
          </w:tcPr>
          <w:p w14:paraId="3C4C804A">
            <w:pPr>
              <w:pStyle w:val="62"/>
              <w:rPr>
                <w:u w:val="single"/>
              </w:rPr>
            </w:pPr>
          </w:p>
        </w:tc>
        <w:tc>
          <w:tcPr>
            <w:tcW w:w="1843" w:type="dxa"/>
            <w:vMerge w:val="continue"/>
            <w:vAlign w:val="center"/>
          </w:tcPr>
          <w:p w14:paraId="5DE25A51">
            <w:pPr>
              <w:pStyle w:val="62"/>
              <w:rPr>
                <w:u w:val="single"/>
              </w:rPr>
            </w:pPr>
          </w:p>
        </w:tc>
        <w:tc>
          <w:tcPr>
            <w:tcW w:w="4658" w:type="dxa"/>
            <w:vAlign w:val="center"/>
          </w:tcPr>
          <w:p w14:paraId="4FAFC18C">
            <w:pPr>
              <w:pStyle w:val="62"/>
              <w:rPr>
                <w:highlight w:val="yellow"/>
                <w:u w:val="single"/>
              </w:rPr>
            </w:pPr>
            <w:r>
              <w:rPr>
                <w:rFonts w:hint="eastAsia"/>
                <w:bCs/>
                <w:u w:val="single"/>
              </w:rPr>
              <w:t>设备自带冷凝+碱喷淋+水喷淋+除雾器+活性炭吸附装置1套</w:t>
            </w:r>
          </w:p>
        </w:tc>
      </w:tr>
      <w:tr w14:paraId="678A8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9" w:type="dxa"/>
            <w:vAlign w:val="center"/>
          </w:tcPr>
          <w:p w14:paraId="42FA218E">
            <w:pPr>
              <w:pStyle w:val="62"/>
              <w:rPr>
                <w:u w:val="single"/>
              </w:rPr>
            </w:pPr>
            <w:r>
              <w:rPr>
                <w:rFonts w:hint="eastAsia"/>
                <w:u w:val="single"/>
              </w:rPr>
              <w:t>2</w:t>
            </w:r>
          </w:p>
        </w:tc>
        <w:tc>
          <w:tcPr>
            <w:tcW w:w="1378" w:type="dxa"/>
            <w:vAlign w:val="center"/>
          </w:tcPr>
          <w:p w14:paraId="10E62000">
            <w:pPr>
              <w:pStyle w:val="62"/>
              <w:rPr>
                <w:u w:val="single"/>
              </w:rPr>
            </w:pPr>
            <w:r>
              <w:rPr>
                <w:rFonts w:hint="eastAsia"/>
                <w:u w:val="single"/>
              </w:rPr>
              <w:t>废水治理</w:t>
            </w:r>
          </w:p>
        </w:tc>
        <w:tc>
          <w:tcPr>
            <w:tcW w:w="1843" w:type="dxa"/>
            <w:vAlign w:val="center"/>
          </w:tcPr>
          <w:p w14:paraId="67666A8D">
            <w:pPr>
              <w:pStyle w:val="62"/>
              <w:rPr>
                <w:u w:val="single"/>
              </w:rPr>
            </w:pPr>
            <w:r>
              <w:rPr>
                <w:rFonts w:hint="eastAsia"/>
                <w:u w:val="single"/>
              </w:rPr>
              <w:t>20</w:t>
            </w:r>
          </w:p>
        </w:tc>
        <w:tc>
          <w:tcPr>
            <w:tcW w:w="4658" w:type="dxa"/>
            <w:vAlign w:val="center"/>
          </w:tcPr>
          <w:p w14:paraId="1AAED7A8">
            <w:pPr>
              <w:pStyle w:val="62"/>
              <w:rPr>
                <w:u w:val="single"/>
              </w:rPr>
            </w:pPr>
            <w:r>
              <w:rPr>
                <w:rFonts w:hint="eastAsia"/>
                <w:u w:val="single"/>
              </w:rPr>
              <w:t>污水处理站</w:t>
            </w:r>
          </w:p>
          <w:p w14:paraId="5F129929">
            <w:pPr>
              <w:pStyle w:val="62"/>
              <w:rPr>
                <w:highlight w:val="yellow"/>
                <w:u w:val="single"/>
              </w:rPr>
            </w:pPr>
            <w:r>
              <w:rPr>
                <w:rFonts w:hint="eastAsia"/>
                <w:u w:val="single"/>
              </w:rPr>
              <w:t>（调节池+隔油池+水解酸化+接触氧化+二沉池，8m</w:t>
            </w:r>
            <w:r>
              <w:rPr>
                <w:rFonts w:hint="eastAsia"/>
                <w:u w:val="single"/>
                <w:vertAlign w:val="superscript"/>
              </w:rPr>
              <w:t>3</w:t>
            </w:r>
            <w:r>
              <w:rPr>
                <w:rFonts w:hint="eastAsia"/>
                <w:u w:val="single"/>
              </w:rPr>
              <w:t>/d）1套及配套污水管网</w:t>
            </w:r>
          </w:p>
        </w:tc>
      </w:tr>
      <w:tr w14:paraId="1D3EF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9" w:type="dxa"/>
            <w:vAlign w:val="center"/>
          </w:tcPr>
          <w:p w14:paraId="1D3EF282">
            <w:pPr>
              <w:pStyle w:val="62"/>
              <w:rPr>
                <w:u w:val="single"/>
              </w:rPr>
            </w:pPr>
            <w:r>
              <w:rPr>
                <w:rFonts w:hint="eastAsia"/>
                <w:u w:val="single"/>
              </w:rPr>
              <w:t>3</w:t>
            </w:r>
          </w:p>
        </w:tc>
        <w:tc>
          <w:tcPr>
            <w:tcW w:w="1378" w:type="dxa"/>
            <w:vAlign w:val="center"/>
          </w:tcPr>
          <w:p w14:paraId="1D3EF283">
            <w:pPr>
              <w:pStyle w:val="62"/>
              <w:rPr>
                <w:u w:val="single"/>
              </w:rPr>
            </w:pPr>
            <w:r>
              <w:rPr>
                <w:u w:val="single"/>
              </w:rPr>
              <w:t>噪声治理</w:t>
            </w:r>
          </w:p>
        </w:tc>
        <w:tc>
          <w:tcPr>
            <w:tcW w:w="1843" w:type="dxa"/>
            <w:vAlign w:val="center"/>
          </w:tcPr>
          <w:p w14:paraId="1D3EF284">
            <w:pPr>
              <w:pStyle w:val="62"/>
              <w:rPr>
                <w:u w:val="single"/>
              </w:rPr>
            </w:pPr>
            <w:r>
              <w:rPr>
                <w:rFonts w:hint="eastAsia"/>
                <w:u w:val="single"/>
              </w:rPr>
              <w:t>10</w:t>
            </w:r>
          </w:p>
        </w:tc>
        <w:tc>
          <w:tcPr>
            <w:tcW w:w="4658" w:type="dxa"/>
            <w:vAlign w:val="center"/>
          </w:tcPr>
          <w:p w14:paraId="1D3EF285">
            <w:pPr>
              <w:pStyle w:val="62"/>
              <w:rPr>
                <w:u w:val="single"/>
              </w:rPr>
            </w:pPr>
            <w:r>
              <w:rPr>
                <w:u w:val="single"/>
              </w:rPr>
              <w:t>厂房隔声、基础减振、隔音和消音装置</w:t>
            </w:r>
          </w:p>
        </w:tc>
      </w:tr>
      <w:tr w14:paraId="1D3EF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9" w:type="dxa"/>
            <w:vAlign w:val="center"/>
          </w:tcPr>
          <w:p w14:paraId="1D3EF28C">
            <w:pPr>
              <w:pStyle w:val="62"/>
              <w:rPr>
                <w:u w:val="single"/>
              </w:rPr>
            </w:pPr>
            <w:r>
              <w:rPr>
                <w:u w:val="single"/>
              </w:rPr>
              <w:t>4</w:t>
            </w:r>
          </w:p>
        </w:tc>
        <w:tc>
          <w:tcPr>
            <w:tcW w:w="1378" w:type="dxa"/>
            <w:vAlign w:val="center"/>
          </w:tcPr>
          <w:p w14:paraId="1D3EF28D">
            <w:pPr>
              <w:pStyle w:val="62"/>
              <w:rPr>
                <w:u w:val="single"/>
              </w:rPr>
            </w:pPr>
            <w:r>
              <w:rPr>
                <w:u w:val="single"/>
              </w:rPr>
              <w:t>固废治理</w:t>
            </w:r>
          </w:p>
        </w:tc>
        <w:tc>
          <w:tcPr>
            <w:tcW w:w="1843" w:type="dxa"/>
            <w:vAlign w:val="center"/>
          </w:tcPr>
          <w:p w14:paraId="1D3EF28E">
            <w:pPr>
              <w:pStyle w:val="62"/>
              <w:rPr>
                <w:u w:val="single"/>
              </w:rPr>
            </w:pPr>
            <w:r>
              <w:rPr>
                <w:rFonts w:hint="eastAsia"/>
                <w:u w:val="single"/>
              </w:rPr>
              <w:t>10</w:t>
            </w:r>
          </w:p>
        </w:tc>
        <w:tc>
          <w:tcPr>
            <w:tcW w:w="4658" w:type="dxa"/>
            <w:vAlign w:val="center"/>
          </w:tcPr>
          <w:p w14:paraId="1D3EF28F">
            <w:pPr>
              <w:pStyle w:val="62"/>
              <w:rPr>
                <w:u w:val="single"/>
                <w:vertAlign w:val="superscript"/>
              </w:rPr>
            </w:pPr>
            <w:r>
              <w:rPr>
                <w:u w:val="single"/>
              </w:rPr>
              <w:t>一般固废暂存间1座，</w:t>
            </w:r>
            <w:r>
              <w:rPr>
                <w:rFonts w:hint="eastAsia"/>
                <w:u w:val="single"/>
              </w:rPr>
              <w:t>5</w:t>
            </w:r>
            <w:r>
              <w:rPr>
                <w:u w:val="single"/>
              </w:rPr>
              <w:t>m</w:t>
            </w:r>
            <w:r>
              <w:rPr>
                <w:u w:val="single"/>
                <w:vertAlign w:val="superscript"/>
              </w:rPr>
              <w:t>2</w:t>
            </w:r>
          </w:p>
          <w:p w14:paraId="0DDC295A">
            <w:pPr>
              <w:pStyle w:val="62"/>
              <w:rPr>
                <w:u w:val="single"/>
              </w:rPr>
            </w:pPr>
            <w:r>
              <w:rPr>
                <w:u w:val="single"/>
              </w:rPr>
              <w:t>危废贮存库1座，</w:t>
            </w:r>
            <w:r>
              <w:rPr>
                <w:rFonts w:hint="eastAsia"/>
                <w:u w:val="single"/>
              </w:rPr>
              <w:t>50</w:t>
            </w:r>
            <w:r>
              <w:rPr>
                <w:u w:val="single"/>
              </w:rPr>
              <w:t>m</w:t>
            </w:r>
            <w:r>
              <w:rPr>
                <w:u w:val="single"/>
                <w:vertAlign w:val="superscript"/>
              </w:rPr>
              <w:t>2</w:t>
            </w:r>
          </w:p>
          <w:p w14:paraId="1D3EF290">
            <w:pPr>
              <w:pStyle w:val="62"/>
              <w:rPr>
                <w:u w:val="single"/>
              </w:rPr>
            </w:pPr>
            <w:r>
              <w:rPr>
                <w:rFonts w:hint="eastAsia"/>
                <w:u w:val="single"/>
              </w:rPr>
              <w:t>废溶剂包装桶暂存区1处，</w:t>
            </w:r>
            <w:r>
              <w:rPr>
                <w:u w:val="single"/>
              </w:rPr>
              <w:t>1</w:t>
            </w:r>
            <w:r>
              <w:rPr>
                <w:rFonts w:hint="eastAsia"/>
                <w:u w:val="single"/>
              </w:rPr>
              <w:t>00</w:t>
            </w:r>
            <w:r>
              <w:rPr>
                <w:u w:val="single"/>
              </w:rPr>
              <w:t>m</w:t>
            </w:r>
            <w:r>
              <w:rPr>
                <w:u w:val="single"/>
                <w:vertAlign w:val="superscript"/>
              </w:rPr>
              <w:t>2</w:t>
            </w:r>
          </w:p>
        </w:tc>
      </w:tr>
      <w:tr w14:paraId="1D3EF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9" w:type="dxa"/>
            <w:vAlign w:val="center"/>
          </w:tcPr>
          <w:p w14:paraId="1D3EF292">
            <w:pPr>
              <w:pStyle w:val="62"/>
              <w:rPr>
                <w:u w:val="single"/>
              </w:rPr>
            </w:pPr>
            <w:r>
              <w:rPr>
                <w:u w:val="single"/>
              </w:rPr>
              <w:t>5</w:t>
            </w:r>
          </w:p>
        </w:tc>
        <w:tc>
          <w:tcPr>
            <w:tcW w:w="1378" w:type="dxa"/>
            <w:vAlign w:val="center"/>
          </w:tcPr>
          <w:p w14:paraId="1D3EF293">
            <w:pPr>
              <w:pStyle w:val="62"/>
              <w:rPr>
                <w:u w:val="single"/>
              </w:rPr>
            </w:pPr>
            <w:r>
              <w:rPr>
                <w:rFonts w:hint="eastAsia"/>
                <w:u w:val="single"/>
              </w:rPr>
              <w:t>地下水和土壤</w:t>
            </w:r>
          </w:p>
        </w:tc>
        <w:tc>
          <w:tcPr>
            <w:tcW w:w="1843" w:type="dxa"/>
            <w:vAlign w:val="center"/>
          </w:tcPr>
          <w:p w14:paraId="1D3EF294">
            <w:pPr>
              <w:pStyle w:val="62"/>
              <w:rPr>
                <w:u w:val="single"/>
              </w:rPr>
            </w:pPr>
            <w:r>
              <w:rPr>
                <w:rFonts w:hint="eastAsia"/>
                <w:u w:val="single"/>
              </w:rPr>
              <w:t>30</w:t>
            </w:r>
          </w:p>
        </w:tc>
        <w:tc>
          <w:tcPr>
            <w:tcW w:w="4658" w:type="dxa"/>
            <w:vAlign w:val="center"/>
          </w:tcPr>
          <w:p w14:paraId="1D3EF295">
            <w:pPr>
              <w:pStyle w:val="62"/>
              <w:rPr>
                <w:u w:val="single"/>
              </w:rPr>
            </w:pPr>
            <w:r>
              <w:rPr>
                <w:rFonts w:hint="eastAsia"/>
                <w:u w:val="single"/>
              </w:rPr>
              <w:t>加强厂区各重点防渗单元检查，采取地面硬化、分区防渗等措施；厂区绿化；土壤和地下水跟踪监测</w:t>
            </w:r>
          </w:p>
        </w:tc>
      </w:tr>
      <w:tr w14:paraId="1D3EF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9" w:type="dxa"/>
            <w:vAlign w:val="center"/>
          </w:tcPr>
          <w:p w14:paraId="1D3EF297">
            <w:pPr>
              <w:pStyle w:val="62"/>
              <w:rPr>
                <w:u w:val="single"/>
              </w:rPr>
            </w:pPr>
            <w:r>
              <w:rPr>
                <w:u w:val="single"/>
              </w:rPr>
              <w:t>6</w:t>
            </w:r>
          </w:p>
        </w:tc>
        <w:tc>
          <w:tcPr>
            <w:tcW w:w="1378" w:type="dxa"/>
            <w:vAlign w:val="center"/>
          </w:tcPr>
          <w:p w14:paraId="1D3EF298">
            <w:pPr>
              <w:pStyle w:val="62"/>
              <w:rPr>
                <w:u w:val="single"/>
              </w:rPr>
            </w:pPr>
            <w:r>
              <w:rPr>
                <w:u w:val="single"/>
              </w:rPr>
              <w:t>事故防范</w:t>
            </w:r>
          </w:p>
        </w:tc>
        <w:tc>
          <w:tcPr>
            <w:tcW w:w="1843" w:type="dxa"/>
            <w:vAlign w:val="center"/>
          </w:tcPr>
          <w:p w14:paraId="1D3EF299">
            <w:pPr>
              <w:pStyle w:val="62"/>
              <w:rPr>
                <w:u w:val="single"/>
              </w:rPr>
            </w:pPr>
            <w:r>
              <w:rPr>
                <w:rFonts w:hint="eastAsia"/>
                <w:u w:val="single"/>
              </w:rPr>
              <w:t>30</w:t>
            </w:r>
          </w:p>
        </w:tc>
        <w:tc>
          <w:tcPr>
            <w:tcW w:w="4658" w:type="dxa"/>
            <w:vAlign w:val="center"/>
          </w:tcPr>
          <w:p w14:paraId="1D3EF29A">
            <w:pPr>
              <w:pStyle w:val="62"/>
              <w:rPr>
                <w:u w:val="single"/>
              </w:rPr>
            </w:pPr>
            <w:r>
              <w:rPr>
                <w:u w:val="single"/>
              </w:rPr>
              <w:t>事故水池</w:t>
            </w:r>
            <w:r>
              <w:rPr>
                <w:rFonts w:hint="eastAsia"/>
                <w:u w:val="single"/>
              </w:rPr>
              <w:t>35</w:t>
            </w:r>
            <w:r>
              <w:rPr>
                <w:u w:val="single"/>
              </w:rPr>
              <w:t>0m</w:t>
            </w:r>
            <w:r>
              <w:rPr>
                <w:u w:val="single"/>
                <w:vertAlign w:val="superscript"/>
              </w:rPr>
              <w:t>3</w:t>
            </w:r>
            <w:r>
              <w:rPr>
                <w:u w:val="single"/>
              </w:rPr>
              <w:t>，配套</w:t>
            </w:r>
            <w:r>
              <w:rPr>
                <w:bCs/>
                <w:u w:val="single"/>
              </w:rPr>
              <w:t>收集管网、废水拦截设施，生产装置区设置火灾自动报警系统及消防灭火系统；防爆电机、防爆电器、监控等；其他人员防护、消防设施、备用电源；制定事故应急预案及定期演练</w:t>
            </w:r>
          </w:p>
        </w:tc>
      </w:tr>
      <w:tr w14:paraId="1D3EF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07" w:type="dxa"/>
            <w:gridSpan w:val="2"/>
            <w:vAlign w:val="center"/>
          </w:tcPr>
          <w:p w14:paraId="1D3EF2A1">
            <w:pPr>
              <w:pStyle w:val="62"/>
              <w:rPr>
                <w:u w:val="single"/>
              </w:rPr>
            </w:pPr>
            <w:r>
              <w:rPr>
                <w:u w:val="single"/>
              </w:rPr>
              <w:t>合计</w:t>
            </w:r>
          </w:p>
        </w:tc>
        <w:tc>
          <w:tcPr>
            <w:tcW w:w="1843" w:type="dxa"/>
            <w:vAlign w:val="center"/>
          </w:tcPr>
          <w:p w14:paraId="1D3EF2A2">
            <w:pPr>
              <w:pStyle w:val="62"/>
              <w:rPr>
                <w:u w:val="single"/>
              </w:rPr>
            </w:pPr>
            <w:r>
              <w:rPr>
                <w:rFonts w:hint="eastAsia"/>
                <w:u w:val="single"/>
              </w:rPr>
              <w:t>150</w:t>
            </w:r>
          </w:p>
        </w:tc>
        <w:tc>
          <w:tcPr>
            <w:tcW w:w="4658" w:type="dxa"/>
            <w:vAlign w:val="center"/>
          </w:tcPr>
          <w:p w14:paraId="1D3EF2A3">
            <w:pPr>
              <w:pStyle w:val="62"/>
              <w:rPr>
                <w:u w:val="single"/>
              </w:rPr>
            </w:pPr>
            <w:r>
              <w:rPr>
                <w:u w:val="single"/>
              </w:rPr>
              <w:t>占工程总投资的</w:t>
            </w:r>
            <w:r>
              <w:rPr>
                <w:rFonts w:hint="eastAsia"/>
                <w:u w:val="single"/>
              </w:rPr>
              <w:t>5</w:t>
            </w:r>
            <w:r>
              <w:rPr>
                <w:u w:val="single"/>
              </w:rPr>
              <w:t>%</w:t>
            </w:r>
          </w:p>
        </w:tc>
      </w:tr>
    </w:tbl>
    <w:p w14:paraId="1D3EF2A5">
      <w:pPr>
        <w:pStyle w:val="5"/>
        <w:spacing w:before="240" w:after="240"/>
      </w:pPr>
      <w:r>
        <w:t>环境效益分析</w:t>
      </w:r>
    </w:p>
    <w:p w14:paraId="1D3EF2A6">
      <w:pPr>
        <w:pStyle w:val="6"/>
        <w:ind w:left="0" w:firstLine="482" w:firstLineChars="200"/>
      </w:pPr>
      <w:r>
        <w:t>环保运行费用</w:t>
      </w:r>
    </w:p>
    <w:p w14:paraId="1D3EF2A7">
      <w:pPr>
        <w:ind w:firstLine="480"/>
      </w:pPr>
      <w:r>
        <w:t>工程完成后项目环保运行费用主要包括环保设备的维修费、折旧费、环保管理及其他费用，成本费用主要包括原辅材料消耗费，动力消耗费及人员工资，福利等。设备的折旧年限为15年，设备的修理费率为2.5%。为使项目环保治理设施正常运行，并达到预期的治理效果，环保运行费用估算：</w:t>
      </w:r>
    </w:p>
    <w:p w14:paraId="1D3EF2A8">
      <w:pPr>
        <w:ind w:firstLine="480"/>
      </w:pPr>
      <w:r>
        <w:t>（1）环保设施运营费及修理费</w:t>
      </w:r>
    </w:p>
    <w:p w14:paraId="1D3EF2A9">
      <w:pPr>
        <w:ind w:firstLine="480"/>
      </w:pPr>
      <w:r>
        <w:t>根据防污减污措施评价，本项目污染防治措施的运行费用主要为污水站运行费和废气治理设施运行费用。</w:t>
      </w:r>
      <w:r>
        <w:rPr>
          <w:u w:val="single"/>
        </w:rPr>
        <w:t>运营费用按照环保总投资的20%估算，设备的修理费用按照环保总投资的2.5%估算，则项目环保设施运营费用约为</w:t>
      </w:r>
      <w:r>
        <w:rPr>
          <w:rFonts w:hint="eastAsia"/>
          <w:u w:val="single"/>
        </w:rPr>
        <w:t>30</w:t>
      </w:r>
      <w:r>
        <w:rPr>
          <w:u w:val="single"/>
        </w:rPr>
        <w:t>万元，环保设备的修理费约为</w:t>
      </w:r>
      <w:r>
        <w:rPr>
          <w:rFonts w:hint="eastAsia"/>
          <w:u w:val="single"/>
        </w:rPr>
        <w:t>3.75</w:t>
      </w:r>
      <w:r>
        <w:rPr>
          <w:u w:val="single"/>
        </w:rPr>
        <w:t>万元。</w:t>
      </w:r>
    </w:p>
    <w:p w14:paraId="1D3EF2AA">
      <w:pPr>
        <w:ind w:firstLine="480"/>
      </w:pPr>
      <w:r>
        <w:t>（2）环保设施折旧费</w:t>
      </w:r>
    </w:p>
    <w:p w14:paraId="1D3EF2AB">
      <w:pPr>
        <w:ind w:firstLine="480"/>
      </w:pPr>
      <w:r>
        <w:t>项目环保设施运营期间会产生环保设施的折旧费，项目按照折旧年限15年进行考虑，项目环保设施的折旧费用计算如下：</w:t>
      </w:r>
    </w:p>
    <w:p w14:paraId="1D3EF2AC">
      <w:pPr>
        <w:pStyle w:val="66"/>
      </w:pPr>
      <w:r>
        <w:t>C</w:t>
      </w:r>
      <w:r>
        <w:rPr>
          <w:vertAlign w:val="subscript"/>
        </w:rPr>
        <w:t>2</w:t>
      </w:r>
      <w:r>
        <w:t>=a×C</w:t>
      </w:r>
      <w:r>
        <w:rPr>
          <w:vertAlign w:val="subscript"/>
        </w:rPr>
        <w:t>0</w:t>
      </w:r>
      <w:r>
        <w:t xml:space="preserve">/n </w:t>
      </w:r>
    </w:p>
    <w:p w14:paraId="1D3EF2AD">
      <w:pPr>
        <w:ind w:firstLine="480"/>
      </w:pPr>
      <w:r>
        <w:t>式中，a—固定资产形成率，取90%；</w:t>
      </w:r>
    </w:p>
    <w:p w14:paraId="1D3EF2AE">
      <w:pPr>
        <w:ind w:firstLine="1200" w:firstLineChars="500"/>
      </w:pPr>
      <w:r>
        <w:t>n—折旧年限，取15年；</w:t>
      </w:r>
    </w:p>
    <w:p w14:paraId="1D3EF2AF">
      <w:pPr>
        <w:ind w:firstLine="1200" w:firstLineChars="500"/>
      </w:pPr>
      <w:r>
        <w:t>C</w:t>
      </w:r>
      <w:r>
        <w:rPr>
          <w:vertAlign w:val="subscript"/>
        </w:rPr>
        <w:t>0</w:t>
      </w:r>
      <w:r>
        <w:t>—环保设施投资。</w:t>
      </w:r>
    </w:p>
    <w:p w14:paraId="1D3EF2B0">
      <w:pPr>
        <w:ind w:firstLine="480"/>
        <w:rPr>
          <w:u w:val="single"/>
        </w:rPr>
      </w:pPr>
      <w:r>
        <w:rPr>
          <w:u w:val="single"/>
        </w:rPr>
        <w:t>经计算，项目环保设施折旧费为</w:t>
      </w:r>
      <w:r>
        <w:rPr>
          <w:rFonts w:hint="eastAsia"/>
          <w:u w:val="single"/>
        </w:rPr>
        <w:t>9</w:t>
      </w:r>
      <w:r>
        <w:rPr>
          <w:u w:val="single"/>
        </w:rPr>
        <w:t>万元。</w:t>
      </w:r>
    </w:p>
    <w:p w14:paraId="1D3EF2B1">
      <w:pPr>
        <w:ind w:firstLine="480"/>
      </w:pPr>
      <w:r>
        <w:t>（3）环保管理费</w:t>
      </w:r>
    </w:p>
    <w:p w14:paraId="1D3EF2B2">
      <w:pPr>
        <w:ind w:firstLine="480"/>
        <w:rPr>
          <w:u w:val="single"/>
        </w:rPr>
      </w:pPr>
      <w:r>
        <w:rPr>
          <w:u w:val="single"/>
        </w:rPr>
        <w:t>环保管理费用包括管理部门的办公费、监测费和技术咨询费等，按环保设施投资折旧费用与运行费用的5%计算，则项目运营期环保管理费为</w:t>
      </w:r>
      <w:r>
        <w:rPr>
          <w:rFonts w:hint="eastAsia"/>
          <w:u w:val="single"/>
        </w:rPr>
        <w:t>2.14</w:t>
      </w:r>
      <w:r>
        <w:rPr>
          <w:u w:val="single"/>
        </w:rPr>
        <w:t>万元。</w:t>
      </w:r>
    </w:p>
    <w:p w14:paraId="1D3EF2B3">
      <w:pPr>
        <w:ind w:firstLine="480"/>
        <w:rPr>
          <w:u w:val="single"/>
        </w:rPr>
      </w:pPr>
      <w:r>
        <w:rPr>
          <w:u w:val="single"/>
        </w:rPr>
        <w:t>综上所述，项目环保设施总运行费用为</w:t>
      </w:r>
      <w:r>
        <w:rPr>
          <w:rFonts w:hint="eastAsia"/>
          <w:u w:val="single"/>
        </w:rPr>
        <w:t>30</w:t>
      </w:r>
      <w:r>
        <w:rPr>
          <w:u w:val="single"/>
        </w:rPr>
        <w:t>+</w:t>
      </w:r>
      <w:r>
        <w:rPr>
          <w:rFonts w:hint="eastAsia"/>
          <w:u w:val="single"/>
        </w:rPr>
        <w:t>3.75</w:t>
      </w:r>
      <w:r>
        <w:rPr>
          <w:u w:val="single"/>
        </w:rPr>
        <w:t>+</w:t>
      </w:r>
      <w:r>
        <w:rPr>
          <w:rFonts w:hint="eastAsia"/>
          <w:u w:val="single"/>
        </w:rPr>
        <w:t>9</w:t>
      </w:r>
      <w:r>
        <w:rPr>
          <w:u w:val="single"/>
        </w:rPr>
        <w:t>+</w:t>
      </w:r>
      <w:r>
        <w:rPr>
          <w:rFonts w:hint="eastAsia"/>
          <w:u w:val="single"/>
        </w:rPr>
        <w:t>2.14</w:t>
      </w:r>
      <w:r>
        <w:rPr>
          <w:u w:val="single"/>
        </w:rPr>
        <w:t>=</w:t>
      </w:r>
      <w:r>
        <w:rPr>
          <w:rFonts w:hint="eastAsia"/>
          <w:u w:val="single"/>
        </w:rPr>
        <w:t>44.89</w:t>
      </w:r>
      <w:r>
        <w:rPr>
          <w:u w:val="single"/>
        </w:rPr>
        <w:t>万元，占全年净利润的</w:t>
      </w:r>
      <w:r>
        <w:rPr>
          <w:rFonts w:hint="eastAsia"/>
          <w:u w:val="single"/>
        </w:rPr>
        <w:t>6.75</w:t>
      </w:r>
      <w:r>
        <w:rPr>
          <w:u w:val="single"/>
        </w:rPr>
        <w:t>%</w:t>
      </w:r>
      <w:r>
        <w:rPr>
          <w:rFonts w:hint="eastAsia"/>
          <w:u w:val="single"/>
        </w:rPr>
        <w:t>，环境代价较小</w:t>
      </w:r>
      <w:r>
        <w:rPr>
          <w:u w:val="single"/>
        </w:rPr>
        <w:t>。</w:t>
      </w:r>
    </w:p>
    <w:p w14:paraId="4F5FA5E5">
      <w:pPr>
        <w:pStyle w:val="5"/>
        <w:spacing w:before="240" w:after="240"/>
      </w:pPr>
      <w:r>
        <w:rPr>
          <w:rFonts w:hint="eastAsia"/>
        </w:rPr>
        <w:t>工程环境收益估算</w:t>
      </w:r>
    </w:p>
    <w:p w14:paraId="7127BE60">
      <w:pPr>
        <w:ind w:firstLine="480"/>
      </w:pPr>
      <w:r>
        <w:rPr>
          <w:rFonts w:hint="eastAsia"/>
        </w:rPr>
        <w:t>通过设置专项资金进行污染治理，不仅可以最大限度的减少污染物的排放量，而且实现了部分可利用废物的回收，降低了企业的运行成本，产生了良好的环境效益：</w:t>
      </w:r>
    </w:p>
    <w:p w14:paraId="1CBF6449">
      <w:pPr>
        <w:ind w:firstLine="480"/>
      </w:pPr>
      <w:r>
        <w:rPr>
          <w:rFonts w:hint="eastAsia"/>
        </w:rPr>
        <w:t>1、废气治理环境效益</w:t>
      </w:r>
    </w:p>
    <w:p w14:paraId="7576FE49">
      <w:pPr>
        <w:ind w:firstLine="480"/>
      </w:pPr>
      <w:r>
        <w:rPr>
          <w:rFonts w:hint="eastAsia"/>
        </w:rPr>
        <w:t>工艺废气经治理后能够达标排放，对废气污染物的治理有效地保护了环境空气质量。</w:t>
      </w:r>
    </w:p>
    <w:p w14:paraId="02FF82A0">
      <w:pPr>
        <w:ind w:firstLine="480"/>
      </w:pPr>
      <w:r>
        <w:rPr>
          <w:rFonts w:hint="eastAsia"/>
        </w:rPr>
        <w:t>2、废水治理环境效益</w:t>
      </w:r>
    </w:p>
    <w:p w14:paraId="1B6A479D">
      <w:pPr>
        <w:pStyle w:val="2"/>
        <w:spacing w:after="0"/>
        <w:ind w:firstLine="480"/>
        <w:rPr>
          <w:highlight w:val="yellow"/>
        </w:rPr>
      </w:pPr>
      <w:r>
        <w:rPr>
          <w:rFonts w:hint="eastAsia"/>
        </w:rPr>
        <w:t>项目建成后，喷淋废水、车间地面清洗废水经厂区污水处理站处理后与经化粪池处理后的生活污水、循环冷却系统排水一起由厂区总排口排入园区污水管网，再进入唐庄污水处理厂进行进一步处理，处理后排入共产主义渠。各污染物指标达标排放。生产过程产生的冷凝液回用于生产。</w:t>
      </w:r>
    </w:p>
    <w:p w14:paraId="574A1B04">
      <w:pPr>
        <w:pStyle w:val="2"/>
        <w:spacing w:after="0"/>
        <w:ind w:firstLine="480"/>
      </w:pPr>
      <w:r>
        <w:rPr>
          <w:rFonts w:hint="eastAsia"/>
        </w:rPr>
        <w:t>3、环保投资收益</w:t>
      </w:r>
    </w:p>
    <w:p w14:paraId="6FFD061F">
      <w:pPr>
        <w:pStyle w:val="2"/>
        <w:spacing w:after="0"/>
        <w:ind w:firstLine="480"/>
        <w:rPr>
          <w:highlight w:val="yellow"/>
        </w:rPr>
      </w:pPr>
      <w:r>
        <w:rPr>
          <w:rFonts w:hint="eastAsia"/>
        </w:rPr>
        <w:t>本项目循生产过程产生的冷凝液回用于生产，可以减少排污费和超标排污费的缴纳额度等。</w:t>
      </w:r>
    </w:p>
    <w:p w14:paraId="756D580B">
      <w:pPr>
        <w:ind w:firstLine="480"/>
      </w:pPr>
      <w:r>
        <w:t>综上所述，本项目环保工程主要收益见下表。</w:t>
      </w:r>
    </w:p>
    <w:p w14:paraId="5ACD2308">
      <w:pPr>
        <w:pStyle w:val="2"/>
        <w:ind w:firstLine="480"/>
      </w:pPr>
    </w:p>
    <w:p w14:paraId="7ED7A503">
      <w:pPr>
        <w:pStyle w:val="64"/>
        <w:numPr>
          <w:ilvl w:val="2"/>
          <w:numId w:val="52"/>
        </w:numPr>
        <w:spacing w:before="0" w:beforeLines="0" w:line="520" w:lineRule="exact"/>
        <w:ind w:left="0" w:firstLine="480" w:firstLineChars="200"/>
      </w:pPr>
      <w:r>
        <w:t xml:space="preserve">            主要环保收益一览表</w:t>
      </w:r>
    </w:p>
    <w:tbl>
      <w:tblPr>
        <w:tblStyle w:val="41"/>
        <w:tblW w:w="87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96"/>
        <w:gridCol w:w="4206"/>
        <w:gridCol w:w="2972"/>
      </w:tblGrid>
      <w:tr w14:paraId="66EE9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96" w:type="dxa"/>
            <w:vAlign w:val="center"/>
          </w:tcPr>
          <w:p w14:paraId="31E27095">
            <w:pPr>
              <w:pStyle w:val="67"/>
              <w:rPr>
                <w:rFonts w:cs="Times New Roman"/>
                <w:color w:val="auto"/>
              </w:rPr>
            </w:pPr>
            <w:r>
              <w:rPr>
                <w:rFonts w:cs="Times New Roman"/>
                <w:color w:val="auto"/>
              </w:rPr>
              <w:t>序号</w:t>
            </w:r>
          </w:p>
        </w:tc>
        <w:tc>
          <w:tcPr>
            <w:tcW w:w="4206" w:type="dxa"/>
            <w:vAlign w:val="center"/>
          </w:tcPr>
          <w:p w14:paraId="5705CDC8">
            <w:pPr>
              <w:pStyle w:val="67"/>
              <w:rPr>
                <w:rFonts w:cs="Times New Roman"/>
                <w:color w:val="auto"/>
              </w:rPr>
            </w:pPr>
            <w:r>
              <w:rPr>
                <w:rFonts w:cs="Times New Roman"/>
                <w:color w:val="auto"/>
              </w:rPr>
              <w:t>项目</w:t>
            </w:r>
          </w:p>
        </w:tc>
        <w:tc>
          <w:tcPr>
            <w:tcW w:w="2972" w:type="dxa"/>
            <w:vAlign w:val="center"/>
          </w:tcPr>
          <w:p w14:paraId="14B460B4">
            <w:pPr>
              <w:pStyle w:val="67"/>
              <w:rPr>
                <w:rFonts w:cs="Times New Roman"/>
                <w:color w:val="auto"/>
              </w:rPr>
            </w:pPr>
            <w:r>
              <w:rPr>
                <w:rFonts w:cs="Times New Roman"/>
                <w:color w:val="auto"/>
              </w:rPr>
              <w:t>环保收益（万元/年）</w:t>
            </w:r>
          </w:p>
        </w:tc>
      </w:tr>
      <w:tr w14:paraId="08151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96" w:type="dxa"/>
            <w:vAlign w:val="center"/>
          </w:tcPr>
          <w:p w14:paraId="69B8A5A5">
            <w:pPr>
              <w:pStyle w:val="62"/>
            </w:pPr>
            <w:r>
              <w:t>1</w:t>
            </w:r>
          </w:p>
        </w:tc>
        <w:tc>
          <w:tcPr>
            <w:tcW w:w="4206" w:type="dxa"/>
            <w:vAlign w:val="center"/>
          </w:tcPr>
          <w:p w14:paraId="6BB79676">
            <w:pPr>
              <w:pStyle w:val="62"/>
              <w:rPr>
                <w:highlight w:val="yellow"/>
              </w:rPr>
            </w:pPr>
            <w:r>
              <w:rPr>
                <w:rFonts w:hint="eastAsia"/>
              </w:rPr>
              <w:t>生产过程产生的冷凝液回用于生产</w:t>
            </w:r>
          </w:p>
        </w:tc>
        <w:tc>
          <w:tcPr>
            <w:tcW w:w="2972" w:type="dxa"/>
            <w:vAlign w:val="center"/>
          </w:tcPr>
          <w:p w14:paraId="7D141FCE">
            <w:pPr>
              <w:pStyle w:val="62"/>
            </w:pPr>
            <w:r>
              <w:rPr>
                <w:rFonts w:hint="eastAsia"/>
              </w:rPr>
              <w:t>5</w:t>
            </w:r>
          </w:p>
        </w:tc>
      </w:tr>
      <w:tr w14:paraId="3038A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96" w:type="dxa"/>
            <w:vAlign w:val="center"/>
          </w:tcPr>
          <w:p w14:paraId="2BB6C32D">
            <w:pPr>
              <w:pStyle w:val="62"/>
            </w:pPr>
            <w:r>
              <w:t>2</w:t>
            </w:r>
          </w:p>
        </w:tc>
        <w:tc>
          <w:tcPr>
            <w:tcW w:w="4206" w:type="dxa"/>
            <w:vAlign w:val="center"/>
          </w:tcPr>
          <w:p w14:paraId="1D6A6CB7">
            <w:pPr>
              <w:pStyle w:val="62"/>
            </w:pPr>
            <w:r>
              <w:t>减少污染物超标排放费用</w:t>
            </w:r>
          </w:p>
        </w:tc>
        <w:tc>
          <w:tcPr>
            <w:tcW w:w="2972" w:type="dxa"/>
            <w:vAlign w:val="center"/>
          </w:tcPr>
          <w:p w14:paraId="16D97A61">
            <w:pPr>
              <w:pStyle w:val="62"/>
            </w:pPr>
            <w:r>
              <w:t>5</w:t>
            </w:r>
          </w:p>
        </w:tc>
      </w:tr>
      <w:tr w14:paraId="2FFD8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802" w:type="dxa"/>
            <w:gridSpan w:val="2"/>
            <w:vAlign w:val="center"/>
          </w:tcPr>
          <w:p w14:paraId="07D890DA">
            <w:pPr>
              <w:pStyle w:val="62"/>
            </w:pPr>
            <w:r>
              <w:t>合计</w:t>
            </w:r>
          </w:p>
        </w:tc>
        <w:tc>
          <w:tcPr>
            <w:tcW w:w="2972" w:type="dxa"/>
            <w:vAlign w:val="center"/>
          </w:tcPr>
          <w:p w14:paraId="1A39A1B6">
            <w:pPr>
              <w:pStyle w:val="62"/>
            </w:pPr>
            <w:r>
              <w:rPr>
                <w:rFonts w:hint="eastAsia"/>
              </w:rPr>
              <w:t>10</w:t>
            </w:r>
          </w:p>
        </w:tc>
      </w:tr>
    </w:tbl>
    <w:p w14:paraId="07A14ABE">
      <w:pPr>
        <w:ind w:firstLine="480"/>
        <w:rPr>
          <w:highlight w:val="yellow"/>
        </w:rPr>
      </w:pPr>
    </w:p>
    <w:p w14:paraId="1D3EF2CD">
      <w:pPr>
        <w:pStyle w:val="5"/>
        <w:spacing w:before="240" w:after="240"/>
      </w:pPr>
      <w:r>
        <w:t>环保投资比例系数 Hz</w:t>
      </w:r>
    </w:p>
    <w:p w14:paraId="1D3EF2CE">
      <w:pPr>
        <w:ind w:firstLine="480"/>
      </w:pPr>
      <w:r>
        <w:t>环保投资比例系数是指环保建设投资与企业建设总投资的比值，它体现了企业对环保工作的重视程度。</w:t>
      </w:r>
    </w:p>
    <w:p w14:paraId="1D3EF2CF">
      <w:pPr>
        <w:pStyle w:val="66"/>
      </w:pPr>
      <w:r>
        <w:t>Hz=（E</w:t>
      </w:r>
      <w:r>
        <w:rPr>
          <w:vertAlign w:val="subscript"/>
        </w:rPr>
        <w:t>O</w:t>
      </w:r>
      <w:r>
        <w:t>/E</w:t>
      </w:r>
      <w:r>
        <w:rPr>
          <w:vertAlign w:val="subscript"/>
        </w:rPr>
        <w:t>R</w:t>
      </w:r>
      <w:r>
        <w:t>）×100%</w:t>
      </w:r>
    </w:p>
    <w:p w14:paraId="1D3EF2D0">
      <w:pPr>
        <w:ind w:firstLine="480"/>
      </w:pPr>
      <w:r>
        <w:t>式中：E</w:t>
      </w:r>
      <w:r>
        <w:rPr>
          <w:vertAlign w:val="subscript"/>
        </w:rPr>
        <w:t>O</w:t>
      </w:r>
      <w:r>
        <w:t>——环保建设投资，万元</w:t>
      </w:r>
    </w:p>
    <w:p w14:paraId="1D3EF2D1">
      <w:pPr>
        <w:ind w:firstLine="1200" w:firstLineChars="500"/>
      </w:pPr>
      <w:r>
        <w:t>E</w:t>
      </w:r>
      <w:r>
        <w:rPr>
          <w:vertAlign w:val="subscript"/>
        </w:rPr>
        <w:t>R</w:t>
      </w:r>
      <w:r>
        <w:t>——企业建设总投资，万元</w:t>
      </w:r>
    </w:p>
    <w:p w14:paraId="1D3EF2D2">
      <w:pPr>
        <w:ind w:firstLine="480"/>
      </w:pPr>
      <w:r>
        <w:rPr>
          <w:u w:val="single"/>
        </w:rPr>
        <w:t>项目各项环保投资费用为</w:t>
      </w:r>
      <w:r>
        <w:rPr>
          <w:rFonts w:hint="eastAsia"/>
          <w:u w:val="single"/>
        </w:rPr>
        <w:t>150</w:t>
      </w:r>
      <w:r>
        <w:rPr>
          <w:u w:val="single"/>
        </w:rPr>
        <w:t>万元，项目总投资费用为</w:t>
      </w:r>
      <w:r>
        <w:rPr>
          <w:rFonts w:hint="eastAsia"/>
          <w:u w:val="single"/>
        </w:rPr>
        <w:t>3000</w:t>
      </w:r>
      <w:r>
        <w:rPr>
          <w:u w:val="single"/>
        </w:rPr>
        <w:t>万元，环保投资占工程计划总投资的</w:t>
      </w:r>
      <w:r>
        <w:rPr>
          <w:rFonts w:hint="eastAsia"/>
          <w:u w:val="single"/>
        </w:rPr>
        <w:t>5</w:t>
      </w:r>
      <w:r>
        <w:rPr>
          <w:u w:val="single"/>
        </w:rPr>
        <w:t>%。</w:t>
      </w:r>
      <w:r>
        <w:t>本工程的环保投资能有效地提高水</w:t>
      </w:r>
      <w:r>
        <w:rPr>
          <w:rFonts w:hint="eastAsia"/>
        </w:rPr>
        <w:t>及原料</w:t>
      </w:r>
      <w:r>
        <w:t>的利用率，降低能耗、物耗，特别是较大幅度地减少了</w:t>
      </w:r>
      <w:r>
        <w:rPr>
          <w:rFonts w:hint="eastAsia"/>
        </w:rPr>
        <w:t>有机废气</w:t>
      </w:r>
      <w:r>
        <w:t>的排放量，减轻了对周围环境的影响。总的来说，该项目的环保投资在企业的可接受范围内。</w:t>
      </w:r>
    </w:p>
    <w:p w14:paraId="1D3EF2D3">
      <w:pPr>
        <w:pStyle w:val="5"/>
        <w:spacing w:before="240" w:after="240"/>
      </w:pPr>
      <w:r>
        <w:t>产值环境系数Fg</w:t>
      </w:r>
    </w:p>
    <w:p w14:paraId="1D3EF2D4">
      <w:pPr>
        <w:ind w:firstLine="480"/>
      </w:pPr>
      <w:r>
        <w:t>产值环境系数是指年环保运行费用与工业总产值的比值，年环保费用是指环保治理设施及综合利用装置的运行费用、折旧费、日常管理费等。产值环境系数的表达式为：</w:t>
      </w:r>
    </w:p>
    <w:p w14:paraId="1D3EF2D5">
      <w:pPr>
        <w:pStyle w:val="66"/>
        <w:rPr>
          <w:lang w:val="pt-BR"/>
        </w:rPr>
      </w:pPr>
      <w:r>
        <w:rPr>
          <w:lang w:val="pt-BR"/>
        </w:rPr>
        <w:t>Fg=（E</w:t>
      </w:r>
      <w:r>
        <w:rPr>
          <w:vertAlign w:val="subscript"/>
          <w:lang w:val="pt-BR"/>
        </w:rPr>
        <w:t>Z</w:t>
      </w:r>
      <w:r>
        <w:rPr>
          <w:lang w:val="pt-BR"/>
        </w:rPr>
        <w:t>/E</w:t>
      </w:r>
      <w:r>
        <w:rPr>
          <w:vertAlign w:val="subscript"/>
          <w:lang w:val="pt-BR"/>
        </w:rPr>
        <w:t>RS</w:t>
      </w:r>
      <w:r>
        <w:rPr>
          <w:lang w:val="pt-BR"/>
        </w:rPr>
        <w:t>）×100%</w:t>
      </w:r>
    </w:p>
    <w:p w14:paraId="1D3EF2D6">
      <w:pPr>
        <w:ind w:firstLine="480"/>
      </w:pPr>
      <w:r>
        <w:t>式中：E</w:t>
      </w:r>
      <w:r>
        <w:rPr>
          <w:vertAlign w:val="subscript"/>
        </w:rPr>
        <w:t>Z</w:t>
      </w:r>
      <w:r>
        <w:t>——年环保费用，万元</w:t>
      </w:r>
    </w:p>
    <w:p w14:paraId="1D3EF2D7">
      <w:pPr>
        <w:ind w:firstLine="1200" w:firstLineChars="500"/>
      </w:pPr>
      <w:r>
        <w:t>E</w:t>
      </w:r>
      <w:r>
        <w:rPr>
          <w:vertAlign w:val="subscript"/>
        </w:rPr>
        <w:t>RS</w:t>
      </w:r>
      <w:r>
        <w:t>——年工业总产值，万元</w:t>
      </w:r>
    </w:p>
    <w:p w14:paraId="1D3EF2D8">
      <w:pPr>
        <w:ind w:firstLine="480"/>
        <w:rPr>
          <w:u w:val="single"/>
        </w:rPr>
      </w:pPr>
      <w:r>
        <w:rPr>
          <w:u w:val="single"/>
        </w:rPr>
        <w:t>项目实施后，每年环保运行费用为</w:t>
      </w:r>
      <w:r>
        <w:rPr>
          <w:rFonts w:hint="eastAsia"/>
          <w:u w:val="single"/>
        </w:rPr>
        <w:t>44.89</w:t>
      </w:r>
      <w:r>
        <w:rPr>
          <w:u w:val="single"/>
        </w:rPr>
        <w:t>万元，本项目年工业总产值</w:t>
      </w:r>
      <w:r>
        <w:rPr>
          <w:rFonts w:hint="eastAsia"/>
          <w:u w:val="single"/>
        </w:rPr>
        <w:t>5400</w:t>
      </w:r>
      <w:r>
        <w:rPr>
          <w:u w:val="single"/>
        </w:rPr>
        <w:t>万元，则产值环境系数为0.</w:t>
      </w:r>
      <w:r>
        <w:rPr>
          <w:rFonts w:hint="eastAsia"/>
          <w:u w:val="single"/>
        </w:rPr>
        <w:t>831</w:t>
      </w:r>
      <w:r>
        <w:rPr>
          <w:u w:val="single"/>
        </w:rPr>
        <w:t>%，这意味着每生产万元产值所花费的环保费用为</w:t>
      </w:r>
      <w:r>
        <w:rPr>
          <w:rFonts w:hint="eastAsia"/>
          <w:u w:val="single"/>
        </w:rPr>
        <w:t>83.1</w:t>
      </w:r>
      <w:r>
        <w:rPr>
          <w:u w:val="single"/>
        </w:rPr>
        <w:t>元。</w:t>
      </w:r>
    </w:p>
    <w:p w14:paraId="1D3EF2D9">
      <w:pPr>
        <w:pStyle w:val="5"/>
        <w:spacing w:before="240" w:after="240"/>
      </w:pPr>
      <w:r>
        <w:t>环境经济效益系数 J</w:t>
      </w:r>
      <w:r>
        <w:rPr>
          <w:vertAlign w:val="subscript"/>
        </w:rPr>
        <w:t>X</w:t>
      </w:r>
    </w:p>
    <w:p w14:paraId="1D3EF2DA">
      <w:pPr>
        <w:ind w:firstLine="480"/>
      </w:pPr>
      <w:r>
        <w:t>环境经济效益系数JX是指因有效的环境保护措施而挽回的经济价值与环境保护费用之比，其表达式为：</w:t>
      </w:r>
    </w:p>
    <w:p w14:paraId="1D3EF2DB">
      <w:pPr>
        <w:pStyle w:val="66"/>
      </w:pPr>
      <w:r>
        <w:t>J</w:t>
      </w:r>
      <w:r>
        <w:rPr>
          <w:vertAlign w:val="subscript"/>
        </w:rPr>
        <w:t>X</w:t>
      </w:r>
      <w:r>
        <w:t>=E</w:t>
      </w:r>
      <w:r>
        <w:rPr>
          <w:vertAlign w:val="subscript"/>
        </w:rPr>
        <w:t>i</w:t>
      </w:r>
      <w:r>
        <w:t>/E</w:t>
      </w:r>
      <w:r>
        <w:rPr>
          <w:vertAlign w:val="subscript"/>
        </w:rPr>
        <w:t>Z</w:t>
      </w:r>
    </w:p>
    <w:p w14:paraId="1D3EF2DC">
      <w:pPr>
        <w:ind w:firstLine="480"/>
      </w:pPr>
      <w:r>
        <w:t>式中：E</w:t>
      </w:r>
      <w:r>
        <w:rPr>
          <w:vertAlign w:val="subscript"/>
        </w:rPr>
        <w:t>i</w:t>
      </w:r>
      <w:r>
        <w:t>——每年环保措施挽回的经济效益，万元</w:t>
      </w:r>
    </w:p>
    <w:p w14:paraId="1D3EF2DD">
      <w:pPr>
        <w:ind w:firstLine="1200" w:firstLineChars="500"/>
      </w:pPr>
      <w:r>
        <w:t>E</w:t>
      </w:r>
      <w:r>
        <w:rPr>
          <w:vertAlign w:val="subscript"/>
        </w:rPr>
        <w:t>Z</w:t>
      </w:r>
      <w:r>
        <w:t>——年环保费用，万元</w:t>
      </w:r>
    </w:p>
    <w:p w14:paraId="1D3EF2DE">
      <w:pPr>
        <w:ind w:firstLine="480"/>
        <w:rPr>
          <w:u w:val="single"/>
        </w:rPr>
      </w:pPr>
      <w:r>
        <w:rPr>
          <w:u w:val="single"/>
        </w:rPr>
        <w:t>项目每年环境经济效益为</w:t>
      </w:r>
      <w:r>
        <w:rPr>
          <w:rFonts w:hint="eastAsia"/>
          <w:u w:val="single"/>
        </w:rPr>
        <w:t>10</w:t>
      </w:r>
      <w:r>
        <w:rPr>
          <w:u w:val="single"/>
        </w:rPr>
        <w:t>万元，年环保费用为</w:t>
      </w:r>
      <w:r>
        <w:rPr>
          <w:rFonts w:hint="eastAsia"/>
          <w:u w:val="single"/>
        </w:rPr>
        <w:t>150</w:t>
      </w:r>
      <w:r>
        <w:rPr>
          <w:u w:val="single"/>
        </w:rPr>
        <w:t>万元，则环境经济效益系数为0.</w:t>
      </w:r>
      <w:r>
        <w:rPr>
          <w:rFonts w:hint="eastAsia"/>
          <w:u w:val="single"/>
        </w:rPr>
        <w:t>07:</w:t>
      </w:r>
      <w:r>
        <w:rPr>
          <w:u w:val="single"/>
        </w:rPr>
        <w:t>1。</w:t>
      </w:r>
    </w:p>
    <w:p w14:paraId="1D3EF2DF">
      <w:pPr>
        <w:pStyle w:val="5"/>
        <w:spacing w:before="240" w:after="240"/>
      </w:pPr>
      <w:r>
        <w:t>工程环境效益综述</w:t>
      </w:r>
    </w:p>
    <w:p w14:paraId="1D3EF2E0">
      <w:pPr>
        <w:ind w:firstLine="480"/>
        <w:rPr>
          <w:highlight w:val="yellow"/>
        </w:rPr>
      </w:pPr>
      <w:r>
        <w:t>本项目的环境效益主要体现在环保投资减轻项目对环境的影响程度，</w:t>
      </w:r>
      <w:r>
        <w:rPr>
          <w:u w:val="single"/>
        </w:rPr>
        <w:t>本项目针对大气污染物排放，采用</w:t>
      </w:r>
      <w:r>
        <w:rPr>
          <w:rFonts w:hint="eastAsia"/>
          <w:u w:val="single"/>
        </w:rPr>
        <w:t>袋式除尘器、“设备自带冷凝+碱喷淋+水喷淋+除雾器+活性炭吸附装置”</w:t>
      </w:r>
      <w:r>
        <w:rPr>
          <w:u w:val="single"/>
        </w:rPr>
        <w:t>废气治理措施</w:t>
      </w:r>
      <w:r>
        <w:t>；针对废水，</w:t>
      </w:r>
      <w:r>
        <w:rPr>
          <w:rFonts w:hint="eastAsia"/>
        </w:rPr>
        <w:t>喷淋废水、车间地面清洗废水经厂区污水处理站处理后与经化粪池处理后的生活污水、循环冷却水系统排水一起由厂区总排口排入园区污水管网，再进入唐庄污水处理厂进行进一步处理。</w:t>
      </w:r>
      <w:r>
        <w:t>各类污染物均能实现稳定达标排放。同时，本项目充分考虑了固废的综合利用与处置。经计算：</w:t>
      </w:r>
    </w:p>
    <w:p w14:paraId="1D3EF2E1">
      <w:pPr>
        <w:ind w:firstLine="480"/>
        <w:rPr>
          <w:u w:val="single"/>
        </w:rPr>
      </w:pPr>
      <w:r>
        <w:rPr>
          <w:u w:val="single"/>
        </w:rPr>
        <w:t>（1）项目完成后项目环保投资比例系数Hz为</w:t>
      </w:r>
      <w:r>
        <w:rPr>
          <w:rFonts w:hint="eastAsia"/>
          <w:u w:val="single"/>
        </w:rPr>
        <w:t>5</w:t>
      </w:r>
      <w:r>
        <w:rPr>
          <w:u w:val="single"/>
        </w:rPr>
        <w:t>%，表示环保投资占工程计划总投资的</w:t>
      </w:r>
      <w:r>
        <w:rPr>
          <w:rFonts w:hint="eastAsia"/>
          <w:u w:val="single"/>
        </w:rPr>
        <w:t>5</w:t>
      </w:r>
      <w:r>
        <w:rPr>
          <w:u w:val="single"/>
        </w:rPr>
        <w:t>%；</w:t>
      </w:r>
    </w:p>
    <w:p w14:paraId="1D3EF2E2">
      <w:pPr>
        <w:ind w:firstLine="480"/>
        <w:rPr>
          <w:u w:val="single"/>
        </w:rPr>
      </w:pPr>
      <w:r>
        <w:rPr>
          <w:u w:val="single"/>
        </w:rPr>
        <w:t>（2）Fg产值环境系数为0.</w:t>
      </w:r>
      <w:r>
        <w:rPr>
          <w:rFonts w:hint="eastAsia"/>
          <w:u w:val="single"/>
        </w:rPr>
        <w:t>831</w:t>
      </w:r>
      <w:r>
        <w:rPr>
          <w:u w:val="single"/>
        </w:rPr>
        <w:t>%，这意味着每生产万元产值所花费的环保费用为</w:t>
      </w:r>
      <w:r>
        <w:rPr>
          <w:rFonts w:hint="eastAsia"/>
          <w:u w:val="single"/>
        </w:rPr>
        <w:t>83.1</w:t>
      </w:r>
      <w:r>
        <w:rPr>
          <w:u w:val="single"/>
        </w:rPr>
        <w:t>元；</w:t>
      </w:r>
    </w:p>
    <w:p w14:paraId="1D3EF2E3">
      <w:pPr>
        <w:ind w:firstLine="480"/>
        <w:rPr>
          <w:u w:val="single"/>
        </w:rPr>
      </w:pPr>
      <w:r>
        <w:rPr>
          <w:u w:val="single"/>
        </w:rPr>
        <w:t>（3）环境经济效益系数J</w:t>
      </w:r>
      <w:r>
        <w:rPr>
          <w:u w:val="single"/>
          <w:vertAlign w:val="subscript"/>
        </w:rPr>
        <w:t>X</w:t>
      </w:r>
      <w:r>
        <w:rPr>
          <w:u w:val="single"/>
        </w:rPr>
        <w:t>为0.</w:t>
      </w:r>
      <w:r>
        <w:rPr>
          <w:rFonts w:hint="eastAsia"/>
          <w:u w:val="single"/>
        </w:rPr>
        <w:t>07：</w:t>
      </w:r>
      <w:r>
        <w:rPr>
          <w:u w:val="single"/>
        </w:rPr>
        <w:t>1，表示每投入1元环保投资可挽回0</w:t>
      </w:r>
      <w:r>
        <w:rPr>
          <w:rFonts w:hint="eastAsia"/>
          <w:u w:val="single"/>
        </w:rPr>
        <w:t>.07</w:t>
      </w:r>
      <w:r>
        <w:rPr>
          <w:u w:val="single"/>
        </w:rPr>
        <w:t>元经济价值。</w:t>
      </w:r>
    </w:p>
    <w:p w14:paraId="1D3EF2E4">
      <w:pPr>
        <w:ind w:firstLine="480"/>
      </w:pPr>
      <w:r>
        <w:t>建设项目环境效益的核算是一项复杂、系统的工作，本项目通过适当的环保投资实现污染物达标排放，并纳入区域总量控制指标内，在达到经济目标的同时亦实现环境目标和持续发展。</w:t>
      </w:r>
    </w:p>
    <w:p w14:paraId="1D3EF2E5">
      <w:pPr>
        <w:ind w:firstLine="480"/>
      </w:pPr>
      <w:r>
        <w:t>综上所述，虽然项目需要付出一定的经济代价进行污染治理，但在治理污染物的同时也为企业带来了一定程度的收益，综合评定后，评价认为项目设置的环保投资是必要的，设置环保投资带来的环境效益是明显的。</w:t>
      </w:r>
    </w:p>
    <w:bookmarkEnd w:id="316"/>
    <w:bookmarkEnd w:id="317"/>
    <w:bookmarkEnd w:id="318"/>
    <w:p w14:paraId="1D3EF2E6">
      <w:pPr>
        <w:pStyle w:val="3"/>
      </w:pPr>
      <w:bookmarkStart w:id="375" w:name="_Toc324839375"/>
      <w:bookmarkStart w:id="376" w:name="_Toc311812690"/>
      <w:bookmarkStart w:id="377" w:name="_Toc176105894"/>
      <w:bookmarkStart w:id="378" w:name="_Toc453042557"/>
      <w:bookmarkStart w:id="379" w:name="_Toc456001777"/>
      <w:bookmarkStart w:id="380" w:name="_Toc457301423"/>
      <w:bookmarkStart w:id="381" w:name="_Toc324839658"/>
      <w:bookmarkStart w:id="382" w:name="_Toc33416107"/>
      <w:r>
        <w:t>环境管理与监测计划</w:t>
      </w:r>
      <w:bookmarkEnd w:id="375"/>
      <w:bookmarkEnd w:id="376"/>
      <w:bookmarkEnd w:id="377"/>
      <w:bookmarkEnd w:id="378"/>
      <w:bookmarkEnd w:id="379"/>
      <w:bookmarkEnd w:id="380"/>
      <w:bookmarkEnd w:id="381"/>
      <w:bookmarkEnd w:id="382"/>
      <w:bookmarkStart w:id="383" w:name="_Toc37949203"/>
      <w:bookmarkStart w:id="384" w:name="_Toc457301424"/>
      <w:bookmarkStart w:id="385" w:name="_Toc453042558"/>
      <w:bookmarkStart w:id="386" w:name="_Toc456001778"/>
      <w:bookmarkStart w:id="387" w:name="_Toc33416111"/>
    </w:p>
    <w:bookmarkEnd w:id="383"/>
    <w:p w14:paraId="1D3EF2E7">
      <w:pPr>
        <w:pStyle w:val="4"/>
      </w:pPr>
      <w:bookmarkStart w:id="388" w:name="_Toc311812691"/>
      <w:bookmarkStart w:id="389" w:name="_Toc4832214"/>
      <w:bookmarkStart w:id="390" w:name="_Toc510512230"/>
      <w:bookmarkStart w:id="391" w:name="_Toc324839659"/>
      <w:bookmarkStart w:id="392" w:name="_Toc104860209"/>
      <w:bookmarkStart w:id="393" w:name="_Toc176105895"/>
      <w:bookmarkStart w:id="394" w:name="_Toc324839376"/>
      <w:bookmarkStart w:id="395" w:name="_Toc489346016"/>
      <w:r>
        <w:t>环境管理</w:t>
      </w:r>
      <w:bookmarkEnd w:id="388"/>
      <w:bookmarkEnd w:id="389"/>
      <w:bookmarkEnd w:id="390"/>
      <w:bookmarkEnd w:id="391"/>
      <w:bookmarkEnd w:id="392"/>
      <w:bookmarkEnd w:id="393"/>
      <w:bookmarkEnd w:id="394"/>
      <w:bookmarkEnd w:id="395"/>
    </w:p>
    <w:p w14:paraId="1D3EF2E8">
      <w:pPr>
        <w:ind w:firstLine="480"/>
      </w:pPr>
      <w:bookmarkStart w:id="396" w:name="_Toc311812692"/>
      <w:bookmarkStart w:id="397" w:name="_Toc324839660"/>
      <w:bookmarkStart w:id="398" w:name="_Toc104860210"/>
      <w:bookmarkStart w:id="399" w:name="_Toc324839377"/>
      <w:r>
        <w:t>环境管理是企业管理中的一项重要内容，加大环境管理力度是实现企业环境效益、社会效益协调发展和走可持续发展道路的重要措施，是企业生存和发展的重要保障之一，环境监测是工业污染防治的依据和环境管理的基础，加强污染监控工作是了解和掌握排污特征、研究污染发展趋势、开展环保技术研究和综合利用能源的有效途径。随着人民生活水平的不断提高和环保意识的不断增强，对于建设项目所引起的环境质量影响日益受到普遍关注，这就要求企业领导者能够及时地掌握本企业的生产和排污状况，因此制定并落实严格的环境管理与监控计划，才能最大限度的减少污染物的产生与排放。</w:t>
      </w:r>
    </w:p>
    <w:bookmarkEnd w:id="396"/>
    <w:bookmarkEnd w:id="397"/>
    <w:bookmarkEnd w:id="398"/>
    <w:bookmarkEnd w:id="399"/>
    <w:p w14:paraId="1D3EF2E9">
      <w:pPr>
        <w:pStyle w:val="5"/>
        <w:spacing w:before="240" w:after="240"/>
      </w:pPr>
      <w:bookmarkStart w:id="400" w:name="_Toc835"/>
      <w:r>
        <w:t>环境管理的原则</w:t>
      </w:r>
    </w:p>
    <w:p w14:paraId="1D3EF2EA">
      <w:pPr>
        <w:ind w:firstLine="480"/>
      </w:pPr>
      <w:r>
        <w:t>根据工程特点及国家环境保护发展要求，环境管理应遵循如下原则：</w:t>
      </w:r>
    </w:p>
    <w:p w14:paraId="1D3EF2EB">
      <w:pPr>
        <w:ind w:firstLine="480"/>
      </w:pPr>
      <w:r>
        <w:rPr>
          <w:rFonts w:hint="eastAsia" w:ascii="宋体" w:hAnsi="宋体" w:cs="宋体"/>
        </w:rPr>
        <w:t>①</w:t>
      </w:r>
      <w:r>
        <w:t>经济、社会和环境三效益统一，坚持可持续发展的原则。</w:t>
      </w:r>
    </w:p>
    <w:p w14:paraId="1D3EF2EC">
      <w:pPr>
        <w:ind w:firstLine="480"/>
      </w:pPr>
      <w:r>
        <w:rPr>
          <w:rFonts w:hint="eastAsia" w:ascii="宋体" w:hAnsi="宋体" w:cs="宋体"/>
        </w:rPr>
        <w:t>②</w:t>
      </w:r>
      <w:r>
        <w:t>预防为主，管治结合的原则。在生产运行过程中，坚持设备“大修大改、小修小改和逢修必改”的环保原则。</w:t>
      </w:r>
    </w:p>
    <w:p w14:paraId="1D3EF2ED">
      <w:pPr>
        <w:ind w:firstLine="480"/>
      </w:pPr>
      <w:r>
        <w:rPr>
          <w:rFonts w:hint="eastAsia" w:ascii="宋体" w:hAnsi="宋体" w:cs="宋体"/>
        </w:rPr>
        <w:t>③</w:t>
      </w:r>
      <w:r>
        <w:t>环保优先的原则。主要工艺设施的改进，新工艺、新技术的采用，企业发展规划的制定，坚持统筹规划、合理布局、清洁生产、集中控制和治理污染。</w:t>
      </w:r>
    </w:p>
    <w:p w14:paraId="1D3EF2EE">
      <w:pPr>
        <w:ind w:firstLine="480"/>
      </w:pPr>
      <w:r>
        <w:rPr>
          <w:rFonts w:hint="eastAsia" w:ascii="宋体" w:hAnsi="宋体" w:cs="宋体"/>
        </w:rPr>
        <w:t>④</w:t>
      </w:r>
      <w:r>
        <w:t>依靠科技进步，推进清洁生产，节能降耗，降低污染的原则。</w:t>
      </w:r>
    </w:p>
    <w:p w14:paraId="1D3EF2EF">
      <w:pPr>
        <w:ind w:firstLine="480"/>
      </w:pPr>
      <w:r>
        <w:rPr>
          <w:rFonts w:hint="eastAsia" w:ascii="宋体" w:hAnsi="宋体" w:cs="宋体"/>
        </w:rPr>
        <w:t>⑤</w:t>
      </w:r>
      <w:r>
        <w:t>专业环保管理与公众参与相结合的原则。加强环保宣传，提高全体员工的环保意识，推动本工程的环境保护工作。</w:t>
      </w:r>
    </w:p>
    <w:p w14:paraId="1D3EF2F0">
      <w:pPr>
        <w:pStyle w:val="5"/>
        <w:spacing w:before="240" w:after="240"/>
      </w:pPr>
      <w:r>
        <w:t>环境管理机构的设置</w:t>
      </w:r>
      <w:bookmarkEnd w:id="400"/>
    </w:p>
    <w:p w14:paraId="1D3EF2F1">
      <w:pPr>
        <w:ind w:firstLine="480"/>
        <w:rPr>
          <w:highlight w:val="yellow"/>
        </w:rPr>
      </w:pPr>
      <w:bookmarkStart w:id="401" w:name="_Toc489346017"/>
      <w:bookmarkStart w:id="402" w:name="_Toc2084"/>
      <w:r>
        <w:t>根据《建设项目环境保护设计规定》，新建、扩建企业应设置环境保护管理机构，负责组织、落实、监督本企业的环保工作。</w:t>
      </w:r>
      <w:r>
        <w:rPr>
          <w:rFonts w:hint="eastAsia"/>
        </w:rPr>
        <w:t>本项目设置员工1名为环境管理专员，负责企业日常环境及安全管理工作，并与厂内其他各部门积极配合，加强厂内管理，根据国家和地方法律法规，落实正常生产中的环保措施，并及时回馈污染治理措施的运行情况。</w:t>
      </w:r>
    </w:p>
    <w:p w14:paraId="1D3EF2F2">
      <w:pPr>
        <w:ind w:firstLine="480"/>
      </w:pPr>
      <w:r>
        <w:t>环境管理专员对本项目的基本职能和主要工作职责见</w:t>
      </w:r>
      <w:r>
        <w:fldChar w:fldCharType="begin"/>
      </w:r>
      <w:r>
        <w:instrText xml:space="preserve"> REF _Ref113466451 \h  \* MERGEFORMAT </w:instrText>
      </w:r>
      <w:r>
        <w:fldChar w:fldCharType="separate"/>
      </w:r>
      <w:r>
        <w:rPr>
          <w:rFonts w:hint="eastAsia"/>
          <w:b/>
          <w:bCs/>
        </w:rPr>
        <w:t>错误!未找到引用源。</w:t>
      </w:r>
      <w:r>
        <w:fldChar w:fldCharType="end"/>
      </w:r>
      <w:r>
        <w:t>。环境管理专员应具备的素质见表</w:t>
      </w:r>
      <w:r>
        <w:rPr>
          <w:rFonts w:hint="eastAsia"/>
        </w:rPr>
        <w:t>9</w:t>
      </w:r>
      <w:r>
        <w:t>.1-2。</w:t>
      </w:r>
    </w:p>
    <w:p w14:paraId="76A2DB20">
      <w:pPr>
        <w:pStyle w:val="99"/>
        <w:numPr>
          <w:ilvl w:val="4"/>
          <w:numId w:val="53"/>
        </w:numPr>
        <w:adjustRightInd/>
        <w:snapToGrid/>
        <w:ind w:left="0" w:firstLine="480"/>
        <w:textAlignment w:val="auto"/>
        <w:rPr>
          <w:rFonts w:eastAsia="黑体"/>
          <w:bCs/>
          <w:kern w:val="2"/>
          <w:szCs w:val="24"/>
        </w:rPr>
      </w:pPr>
      <w:r>
        <w:rPr>
          <w:rFonts w:eastAsia="黑体"/>
          <w:bCs/>
          <w:kern w:val="2"/>
          <w:szCs w:val="24"/>
        </w:rPr>
        <w:t xml:space="preserve">         </w:t>
      </w:r>
      <w:r>
        <w:rPr>
          <w:rFonts w:hint="eastAsia" w:eastAsia="黑体"/>
          <w:bCs/>
          <w:kern w:val="2"/>
          <w:szCs w:val="24"/>
        </w:rPr>
        <w:t xml:space="preserve">  </w:t>
      </w:r>
      <w:r>
        <w:rPr>
          <w:rFonts w:eastAsia="黑体"/>
          <w:bCs/>
          <w:kern w:val="2"/>
          <w:szCs w:val="24"/>
        </w:rPr>
        <w:t xml:space="preserve">  环境管理机构职能</w:t>
      </w:r>
    </w:p>
    <w:tbl>
      <w:tblPr>
        <w:tblStyle w:val="4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570"/>
      </w:tblGrid>
      <w:tr w14:paraId="4A2D1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62" w:type="pct"/>
            <w:vAlign w:val="center"/>
          </w:tcPr>
          <w:p w14:paraId="60BD42B3">
            <w:pPr>
              <w:pStyle w:val="67"/>
              <w:rPr>
                <w:rFonts w:cs="Times New Roman"/>
                <w:color w:val="auto"/>
              </w:rPr>
            </w:pPr>
            <w:r>
              <w:rPr>
                <w:rFonts w:cs="Times New Roman"/>
                <w:color w:val="auto"/>
              </w:rPr>
              <w:t>项目</w:t>
            </w:r>
          </w:p>
        </w:tc>
        <w:tc>
          <w:tcPr>
            <w:tcW w:w="4438" w:type="pct"/>
            <w:vAlign w:val="center"/>
          </w:tcPr>
          <w:p w14:paraId="57B4B267">
            <w:pPr>
              <w:pStyle w:val="67"/>
              <w:rPr>
                <w:rFonts w:cs="Times New Roman"/>
                <w:color w:val="auto"/>
              </w:rPr>
            </w:pPr>
            <w:r>
              <w:rPr>
                <w:rFonts w:cs="Times New Roman"/>
                <w:color w:val="auto"/>
              </w:rPr>
              <w:t>管理职能</w:t>
            </w:r>
          </w:p>
        </w:tc>
      </w:tr>
      <w:tr w14:paraId="27DD4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pct"/>
            <w:vAlign w:val="center"/>
          </w:tcPr>
          <w:p w14:paraId="3DDB2A57">
            <w:pPr>
              <w:pStyle w:val="62"/>
            </w:pPr>
            <w:r>
              <w:t>施工期</w:t>
            </w:r>
          </w:p>
        </w:tc>
        <w:tc>
          <w:tcPr>
            <w:tcW w:w="4438" w:type="pct"/>
            <w:vAlign w:val="center"/>
          </w:tcPr>
          <w:p w14:paraId="1BF42D2A">
            <w:pPr>
              <w:pStyle w:val="63"/>
              <w:ind w:firstLine="210"/>
            </w:pPr>
            <w:r>
              <w:t>•制定培训计划，对聘用的技术和生产人员进行岗前培训</w:t>
            </w:r>
          </w:p>
          <w:p w14:paraId="01756AC5">
            <w:pPr>
              <w:pStyle w:val="63"/>
              <w:ind w:firstLine="210"/>
            </w:pPr>
            <w:r>
              <w:t>•制定施工期环境管理规章制度</w:t>
            </w:r>
          </w:p>
          <w:p w14:paraId="108DB820">
            <w:pPr>
              <w:pStyle w:val="63"/>
              <w:ind w:firstLine="210"/>
            </w:pPr>
            <w:r>
              <w:t>•严格执行“三同时”制度和建设期环保措施的落实，并注意在本工程建成投入运行之前，全面检查施工现场环境恢复情况</w:t>
            </w:r>
          </w:p>
        </w:tc>
      </w:tr>
      <w:tr w14:paraId="79A92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pct"/>
            <w:vAlign w:val="center"/>
          </w:tcPr>
          <w:p w14:paraId="6FAE7146">
            <w:pPr>
              <w:pStyle w:val="62"/>
            </w:pPr>
            <w:r>
              <w:t>竣工验收管理</w:t>
            </w:r>
          </w:p>
        </w:tc>
        <w:tc>
          <w:tcPr>
            <w:tcW w:w="4438" w:type="pct"/>
            <w:vAlign w:val="center"/>
          </w:tcPr>
          <w:p w14:paraId="123C7F0F">
            <w:pPr>
              <w:pStyle w:val="63"/>
              <w:ind w:firstLine="210"/>
            </w:pPr>
            <w:r>
              <w:t>•建设项目竣工后，建设单位应当如实查验、监测、记载建设项目环境保护设施的建设和调试情况，编制验收监测报告</w:t>
            </w:r>
          </w:p>
          <w:p w14:paraId="35E31E9E">
            <w:pPr>
              <w:pStyle w:val="63"/>
              <w:ind w:firstLine="210"/>
            </w:pPr>
            <w:r>
              <w:t>•需要对建设项目配套建设的环境保护设施进行调试的，建设单位应当确保调试期间污染物排放符合国家和地方有关污染物排放标准和排污许可证等相关管理规定。</w:t>
            </w:r>
          </w:p>
          <w:p w14:paraId="651A67C4">
            <w:pPr>
              <w:pStyle w:val="63"/>
              <w:ind w:firstLine="210"/>
            </w:pPr>
            <w:r>
              <w:t>环境保护设施未与主体工程同时建成的，或者应当取得排污许可证但未取得的，建设单位不得对该建设项目环境保护设施进行调试</w:t>
            </w:r>
          </w:p>
          <w:p w14:paraId="410BB846">
            <w:pPr>
              <w:pStyle w:val="63"/>
              <w:ind w:firstLine="210"/>
            </w:pPr>
            <w:r>
              <w:t>•建设项目经建设单位组织验收通过后，工程才能正式运行</w:t>
            </w:r>
          </w:p>
        </w:tc>
      </w:tr>
      <w:tr w14:paraId="58A77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pct"/>
            <w:vAlign w:val="center"/>
          </w:tcPr>
          <w:p w14:paraId="698D26FD">
            <w:pPr>
              <w:pStyle w:val="62"/>
            </w:pPr>
            <w:r>
              <w:t>运行期</w:t>
            </w:r>
          </w:p>
        </w:tc>
        <w:tc>
          <w:tcPr>
            <w:tcW w:w="4438" w:type="pct"/>
            <w:vAlign w:val="center"/>
          </w:tcPr>
          <w:p w14:paraId="671D9EA3">
            <w:pPr>
              <w:pStyle w:val="63"/>
              <w:ind w:firstLine="210"/>
            </w:pPr>
            <w:r>
              <w:t>•认真贯彻执行国家、省、市及行业部门制定的环保法规和各项规章制度及具体要求</w:t>
            </w:r>
          </w:p>
          <w:p w14:paraId="765BAE2D">
            <w:pPr>
              <w:pStyle w:val="63"/>
              <w:ind w:firstLine="210"/>
            </w:pPr>
            <w:r>
              <w:t>•制定符合本公司实际生产技术水平的环护管理制度和条例并监督执行，组织制定实施全公司环保规划和计划</w:t>
            </w:r>
          </w:p>
          <w:p w14:paraId="3635E1D2">
            <w:pPr>
              <w:pStyle w:val="63"/>
              <w:ind w:firstLine="210"/>
            </w:pPr>
            <w:r>
              <w:t>•制定并负责实施环保设备的运行管理计划、操作规程</w:t>
            </w:r>
          </w:p>
          <w:p w14:paraId="4C24F74D">
            <w:pPr>
              <w:pStyle w:val="63"/>
              <w:ind w:firstLine="210"/>
            </w:pPr>
            <w:r>
              <w:t>•对环保设施的运行情况进行监控，负责环保设施及设备的常规维护，确保其正常、高效运转</w:t>
            </w:r>
          </w:p>
          <w:p w14:paraId="41301FC9">
            <w:pPr>
              <w:pStyle w:val="63"/>
              <w:ind w:firstLine="210"/>
            </w:pPr>
            <w:r>
              <w:t>•监督、管理本厂环境监测站的日常监测工作，负责环境监测资料管理</w:t>
            </w:r>
          </w:p>
          <w:p w14:paraId="6E40418D">
            <w:pPr>
              <w:pStyle w:val="63"/>
              <w:ind w:firstLine="210"/>
            </w:pPr>
            <w:r>
              <w:t>•负责环保排污管理、审定工作，处理全厂的环境污染事故，随时做好应急准备，对已发生的事故应及时处理并上报有关部门</w:t>
            </w:r>
          </w:p>
          <w:p w14:paraId="321FAEC4">
            <w:pPr>
              <w:pStyle w:val="63"/>
              <w:ind w:firstLine="210"/>
            </w:pPr>
            <w:r>
              <w:t>•研究开发污染治理和综合利用技术，收集、推广和应用先进的环境保护经验和技术</w:t>
            </w:r>
          </w:p>
          <w:p w14:paraId="04806874">
            <w:pPr>
              <w:pStyle w:val="63"/>
              <w:ind w:firstLine="210"/>
            </w:pPr>
            <w:r>
              <w:t>•加强企业职工的清洁生产教育和培训，提高企业推行清洁生产的自觉性，对生产实施全过程清洁生产和环境管理</w:t>
            </w:r>
          </w:p>
          <w:p w14:paraId="4D33D60C">
            <w:pPr>
              <w:pStyle w:val="63"/>
              <w:ind w:firstLine="210"/>
            </w:pPr>
            <w:r>
              <w:t>•对公司环保设施运行情况和环境保护管理情况分别编制月报、季报和年报，并报上级部门</w:t>
            </w:r>
          </w:p>
        </w:tc>
      </w:tr>
    </w:tbl>
    <w:p w14:paraId="2B456CF9">
      <w:pPr>
        <w:pStyle w:val="99"/>
        <w:numPr>
          <w:ilvl w:val="4"/>
          <w:numId w:val="53"/>
        </w:numPr>
        <w:adjustRightInd/>
        <w:snapToGrid/>
        <w:ind w:left="0" w:firstLine="480"/>
        <w:textAlignment w:val="auto"/>
        <w:rPr>
          <w:rFonts w:eastAsia="黑体"/>
          <w:bCs/>
          <w:kern w:val="2"/>
          <w:szCs w:val="24"/>
        </w:rPr>
      </w:pPr>
      <w:r>
        <w:rPr>
          <w:rFonts w:hint="eastAsia" w:eastAsia="黑体"/>
          <w:bCs/>
          <w:kern w:val="2"/>
          <w:szCs w:val="24"/>
        </w:rPr>
        <w:t xml:space="preserve"> </w:t>
      </w:r>
      <w:r>
        <w:rPr>
          <w:rFonts w:eastAsia="黑体"/>
          <w:bCs/>
          <w:kern w:val="2"/>
          <w:szCs w:val="24"/>
        </w:rPr>
        <w:t xml:space="preserve">         环境管理专员素质要求</w:t>
      </w:r>
    </w:p>
    <w:tbl>
      <w:tblPr>
        <w:tblStyle w:val="4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804"/>
      </w:tblGrid>
      <w:tr w14:paraId="1C2BC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Align w:val="center"/>
          </w:tcPr>
          <w:p w14:paraId="21725B35">
            <w:pPr>
              <w:pStyle w:val="67"/>
              <w:rPr>
                <w:rFonts w:cs="Times New Roman"/>
                <w:color w:val="auto"/>
              </w:rPr>
            </w:pPr>
            <w:r>
              <w:rPr>
                <w:rFonts w:cs="Times New Roman"/>
                <w:color w:val="auto"/>
              </w:rPr>
              <w:t>序号</w:t>
            </w:r>
          </w:p>
        </w:tc>
        <w:tc>
          <w:tcPr>
            <w:tcW w:w="4575" w:type="pct"/>
            <w:vAlign w:val="center"/>
          </w:tcPr>
          <w:p w14:paraId="3B21D66C">
            <w:pPr>
              <w:pStyle w:val="67"/>
              <w:rPr>
                <w:rFonts w:cs="Times New Roman"/>
                <w:color w:val="auto"/>
              </w:rPr>
            </w:pPr>
            <w:r>
              <w:rPr>
                <w:rFonts w:cs="Times New Roman"/>
                <w:color w:val="auto"/>
              </w:rPr>
              <w:t>素质要求</w:t>
            </w:r>
          </w:p>
        </w:tc>
      </w:tr>
      <w:tr w14:paraId="4FEDC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Align w:val="center"/>
          </w:tcPr>
          <w:p w14:paraId="55DA3D13">
            <w:pPr>
              <w:pStyle w:val="62"/>
            </w:pPr>
            <w:r>
              <w:t>1</w:t>
            </w:r>
          </w:p>
        </w:tc>
        <w:tc>
          <w:tcPr>
            <w:tcW w:w="4575" w:type="pct"/>
            <w:vAlign w:val="center"/>
          </w:tcPr>
          <w:p w14:paraId="3065E422">
            <w:pPr>
              <w:pStyle w:val="62"/>
            </w:pPr>
            <w:r>
              <w:t>热爱环保事业，熟悉国家有关环保法规、方针政策、条例和标准等</w:t>
            </w:r>
          </w:p>
        </w:tc>
      </w:tr>
      <w:tr w14:paraId="2C046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Align w:val="center"/>
          </w:tcPr>
          <w:p w14:paraId="7099AECE">
            <w:pPr>
              <w:pStyle w:val="62"/>
            </w:pPr>
            <w:r>
              <w:t>2</w:t>
            </w:r>
          </w:p>
        </w:tc>
        <w:tc>
          <w:tcPr>
            <w:tcW w:w="4575" w:type="pct"/>
            <w:vAlign w:val="center"/>
          </w:tcPr>
          <w:p w14:paraId="52D40D05">
            <w:pPr>
              <w:pStyle w:val="62"/>
            </w:pPr>
            <w:r>
              <w:t>熟悉企业生产工艺，了解企业各项管理内容，能够提出本工程环境管理与综合防治的合理方案和建议</w:t>
            </w:r>
          </w:p>
        </w:tc>
      </w:tr>
      <w:tr w14:paraId="64F67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Align w:val="center"/>
          </w:tcPr>
          <w:p w14:paraId="3EE9316D">
            <w:pPr>
              <w:pStyle w:val="62"/>
            </w:pPr>
            <w:r>
              <w:t>3</w:t>
            </w:r>
          </w:p>
        </w:tc>
        <w:tc>
          <w:tcPr>
            <w:tcW w:w="4575" w:type="pct"/>
            <w:vAlign w:val="center"/>
          </w:tcPr>
          <w:p w14:paraId="1319EF1A">
            <w:pPr>
              <w:pStyle w:val="62"/>
            </w:pPr>
            <w:r>
              <w:t>具备清洁生产知识，能够提出合理的清洁生产方案，不断改进企业清洁生产水平</w:t>
            </w:r>
          </w:p>
        </w:tc>
      </w:tr>
    </w:tbl>
    <w:p w14:paraId="6A1E28CE">
      <w:pPr>
        <w:pStyle w:val="2"/>
        <w:ind w:firstLine="480"/>
      </w:pPr>
      <w:r>
        <w:rPr>
          <w:rFonts w:hint="eastAsia"/>
        </w:rPr>
        <w:t>为保证工作的顺利进行，安全环保处应在各车间培训业务熟练、责任心强的技术人员担任车间兼职管理人员，以便于监督管理，防患于未然。</w:t>
      </w:r>
    </w:p>
    <w:p w14:paraId="1D3EF31A">
      <w:pPr>
        <w:pStyle w:val="5"/>
        <w:spacing w:before="240" w:after="240"/>
      </w:pPr>
      <w:r>
        <w:t>环境保护管理规划和制度</w:t>
      </w:r>
    </w:p>
    <w:p w14:paraId="1D3EF31B">
      <w:pPr>
        <w:ind w:firstLine="480"/>
      </w:pPr>
      <w:r>
        <w:t>为保证工作的顺利进行，建设单位安环科将结合企业发展规划和工程特点，制定适合不同时期的环保管理和年度规划。结合生产工艺管理和操作管理制定各车间、岗位的环境保护管理制度。制定明确的环境管理目标，并逐项分解到各个部门、岗位。</w:t>
      </w:r>
    </w:p>
    <w:p w14:paraId="1D3EF31C">
      <w:pPr>
        <w:pStyle w:val="5"/>
        <w:spacing w:before="240" w:after="240"/>
      </w:pPr>
      <w:r>
        <w:t>环境保护管理规划和制度</w:t>
      </w:r>
    </w:p>
    <w:p w14:paraId="1D3EF31D">
      <w:pPr>
        <w:ind w:firstLine="480"/>
      </w:pPr>
      <w:r>
        <w:t>针对企业运行及排污情况，确定企业环保管理部门的具体责任及任务，主要有：</w:t>
      </w:r>
    </w:p>
    <w:p w14:paraId="1D3EF31E">
      <w:pPr>
        <w:ind w:firstLine="480"/>
      </w:pPr>
      <w:r>
        <w:rPr>
          <w:rFonts w:hint="eastAsia" w:ascii="宋体" w:hAnsi="宋体" w:cs="宋体"/>
        </w:rPr>
        <w:t>①</w:t>
      </w:r>
      <w:r>
        <w:t>贯彻执行国家及地方环境保护的法律、法规和方针、政策。并督促、检查本企业的执行情况。</w:t>
      </w:r>
    </w:p>
    <w:p w14:paraId="1D3EF31F">
      <w:pPr>
        <w:ind w:firstLine="480"/>
      </w:pPr>
      <w:r>
        <w:rPr>
          <w:rFonts w:hint="eastAsia" w:ascii="宋体" w:hAnsi="宋体" w:cs="宋体"/>
        </w:rPr>
        <w:t>②</w:t>
      </w:r>
      <w:r>
        <w:t>结合本项目生产特点，编制并实施本企业环境保护的计划，开展环境污染防治工作。</w:t>
      </w:r>
    </w:p>
    <w:p w14:paraId="1D3EF320">
      <w:pPr>
        <w:ind w:firstLine="480"/>
      </w:pPr>
      <w:r>
        <w:rPr>
          <w:rFonts w:hint="eastAsia" w:ascii="宋体" w:hAnsi="宋体" w:cs="宋体"/>
        </w:rPr>
        <w:t>③</w:t>
      </w:r>
      <w:r>
        <w:t>实施上级主管部门和地方政府下达的环境保护任务。</w:t>
      </w:r>
    </w:p>
    <w:p w14:paraId="1D3EF321">
      <w:pPr>
        <w:ind w:firstLine="480"/>
      </w:pPr>
      <w:r>
        <w:rPr>
          <w:rFonts w:hint="eastAsia" w:ascii="宋体" w:hAnsi="宋体" w:cs="宋体"/>
        </w:rPr>
        <w:t>④</w:t>
      </w:r>
      <w:r>
        <w:t>负责对企业各污染源环境监测的领导和组织工作，建立和健全日常环境保护管理及环境污染防治设施、设备运行管理制度，对环保设施的运行情况及治理效果进行监控，及时了解存在的问题并给予解决，确保污染防治设施的正常运行并达到设计指标要求，为公司环境保护数据资料统计、各污染源治理提供基础数据，建立本项目环境管理台账。</w:t>
      </w:r>
    </w:p>
    <w:p w14:paraId="1D3EF322">
      <w:pPr>
        <w:ind w:firstLine="480"/>
      </w:pPr>
      <w:r>
        <w:rPr>
          <w:rFonts w:hint="eastAsia" w:ascii="宋体" w:hAnsi="宋体" w:cs="宋体"/>
        </w:rPr>
        <w:t>⑤</w:t>
      </w:r>
      <w:r>
        <w:t>负责组织本企业环境管理考核、环境监督监测和环境保护统计。结合本厂年度监测项目进行各项监测项目定期监测，按时提交监测分析报告。</w:t>
      </w:r>
    </w:p>
    <w:p w14:paraId="1D3EF323">
      <w:pPr>
        <w:ind w:firstLine="480"/>
      </w:pPr>
      <w:r>
        <w:rPr>
          <w:rFonts w:hint="eastAsia" w:ascii="宋体" w:hAnsi="宋体" w:cs="宋体"/>
        </w:rPr>
        <w:t>⑥</w:t>
      </w:r>
      <w:r>
        <w:t>负责环保排污缴费管理、审定工作，处理本企业环境污染事故、污染纠纷，及时向上级部门报告情况。</w:t>
      </w:r>
    </w:p>
    <w:p w14:paraId="1D3EF324">
      <w:pPr>
        <w:ind w:firstLine="480"/>
      </w:pPr>
      <w:r>
        <w:rPr>
          <w:rFonts w:hint="eastAsia" w:ascii="宋体" w:hAnsi="宋体" w:cs="宋体"/>
        </w:rPr>
        <w:t>⑦</w:t>
      </w:r>
      <w:r>
        <w:t>组织开展环境保护宣传、教育和培训等。将员工的环保考核纳入到生产考核之中并作为其重要组成部分，以提高员工的环保意识。便于环境管理工作的开展。</w:t>
      </w:r>
    </w:p>
    <w:p w14:paraId="1D3EF325">
      <w:pPr>
        <w:ind w:firstLine="480"/>
      </w:pPr>
      <w:r>
        <w:rPr>
          <w:rFonts w:hint="eastAsia" w:ascii="宋体" w:hAnsi="宋体" w:cs="宋体"/>
        </w:rPr>
        <w:t>⑧</w:t>
      </w:r>
      <w:r>
        <w:t>制定本企业的环境事故应急计划，发现事故及其隐患应及时处理并记录在案及时上报有关部门。</w:t>
      </w:r>
    </w:p>
    <w:p w14:paraId="1D3EF326">
      <w:pPr>
        <w:ind w:firstLine="480"/>
      </w:pPr>
      <w:r>
        <w:rPr>
          <w:rFonts w:hint="eastAsia" w:ascii="宋体" w:hAnsi="宋体" w:cs="宋体"/>
        </w:rPr>
        <w:t>⑨</w:t>
      </w:r>
      <w:r>
        <w:t>加强从领导到职工的清洁生产意识教育，提高企业领导和职工推行清洁生产的自觉性，对生产实施全过程环境管理，使污染防治贯穿到生产的各个环节。</w:t>
      </w:r>
    </w:p>
    <w:p w14:paraId="1D3EF327">
      <w:pPr>
        <w:ind w:firstLine="480"/>
      </w:pPr>
      <w:r>
        <w:rPr>
          <w:rFonts w:hint="eastAsia" w:ascii="宋体" w:hAnsi="宋体" w:cs="宋体"/>
        </w:rPr>
        <w:t>⑩</w:t>
      </w:r>
      <w:r>
        <w:t>根据《排污许可证申请与核发技术规范 总则》（HJ942-2018）</w:t>
      </w:r>
      <w:r>
        <w:rPr>
          <w:rFonts w:hint="eastAsia"/>
        </w:rPr>
        <w:t>、</w:t>
      </w:r>
      <w:r>
        <w:t>《排污许可证申请与核发技术规范</w:t>
      </w:r>
      <w:r>
        <w:rPr>
          <w:rFonts w:hint="eastAsia"/>
        </w:rPr>
        <w:t>专用化学产品制造工业</w:t>
      </w:r>
      <w:r>
        <w:t>》（HJ</w:t>
      </w:r>
      <w:r>
        <w:rPr>
          <w:rFonts w:hint="eastAsia"/>
        </w:rPr>
        <w:t xml:space="preserve"> 1103-2020</w:t>
      </w:r>
      <w:r>
        <w:t>）要求，建立环境管理台账记录制度，落实环境管理台账记录的责任部门和责任人，明确工作职责，包括台账的记录、整理、维护和管理等，并对台账记录结果的真实性、完整性和规范性负责；按许可证规定落实自行监测、台账记录、执行报告、信息公开等环境管理要求。</w:t>
      </w:r>
    </w:p>
    <w:p w14:paraId="1D3EF328">
      <w:pPr>
        <w:pStyle w:val="4"/>
      </w:pPr>
      <w:bookmarkStart w:id="403" w:name="_Toc176105896"/>
      <w:r>
        <w:t>环境监测计划</w:t>
      </w:r>
      <w:bookmarkEnd w:id="401"/>
      <w:bookmarkEnd w:id="402"/>
      <w:bookmarkEnd w:id="403"/>
    </w:p>
    <w:p w14:paraId="1D3EF329">
      <w:pPr>
        <w:pStyle w:val="5"/>
        <w:spacing w:before="240" w:after="240"/>
      </w:pPr>
      <w:r>
        <w:t>环境监测的目的</w:t>
      </w:r>
    </w:p>
    <w:p w14:paraId="1D3EF32A">
      <w:pPr>
        <w:ind w:firstLine="480"/>
      </w:pPr>
      <w:r>
        <w:t>环境监测的目的是为了准确、及时、全面地反映环境质量现状及发展趋势，对该厂主要污染物排放进行定期监测，为环境管理、污染源控制、环境规划等提供科学依据。因此，环境监测是环境管理工作必不可少的手段，是科学管理企业环保工作的基础。通过监测计划的制定与实施，及时发现环保措施的不足，进行修正和改进，确保环保设施长期高效稳定的进行。</w:t>
      </w:r>
    </w:p>
    <w:p w14:paraId="1D3EF32B">
      <w:pPr>
        <w:pStyle w:val="5"/>
        <w:spacing w:before="240" w:after="240"/>
      </w:pPr>
      <w:r>
        <w:t>监测任务</w:t>
      </w:r>
    </w:p>
    <w:p w14:paraId="1D3EF32C">
      <w:pPr>
        <w:ind w:firstLine="480"/>
      </w:pPr>
      <w:r>
        <w:t>环境监测是环境管理的基础，并为企业制定污染防治对策和规划提供依据。根据工程污染物排放的实际情况和就近方便的原则，该项目具体监测工作建议委托有资质的环境监测机构完成。主要任务如下：</w:t>
      </w:r>
    </w:p>
    <w:p w14:paraId="1D3EF32D">
      <w:pPr>
        <w:ind w:firstLine="480"/>
      </w:pPr>
      <w:r>
        <w:rPr>
          <w:rFonts w:hint="eastAsia" w:ascii="宋体" w:hAnsi="宋体" w:cs="宋体"/>
        </w:rPr>
        <w:t>①</w:t>
      </w:r>
      <w:r>
        <w:t>定期监测建设项目排放的污染物是否符合国家所规定的排放标准；</w:t>
      </w:r>
    </w:p>
    <w:p w14:paraId="1D3EF32E">
      <w:pPr>
        <w:ind w:firstLine="480"/>
      </w:pPr>
      <w:r>
        <w:rPr>
          <w:rFonts w:hint="eastAsia" w:ascii="宋体" w:hAnsi="宋体" w:cs="宋体"/>
        </w:rPr>
        <w:t>②</w:t>
      </w:r>
      <w:r>
        <w:t>分析所排污染物的变化规律，为制定污染控制措施提供依据；</w:t>
      </w:r>
    </w:p>
    <w:p w14:paraId="1D3EF32F">
      <w:pPr>
        <w:ind w:firstLine="480"/>
      </w:pPr>
      <w:r>
        <w:rPr>
          <w:rFonts w:hint="eastAsia" w:ascii="宋体" w:hAnsi="宋体" w:cs="宋体"/>
        </w:rPr>
        <w:t>③</w:t>
      </w:r>
      <w:r>
        <w:t>负责污染事故的监测及报告；</w:t>
      </w:r>
    </w:p>
    <w:p w14:paraId="1D3EF330">
      <w:pPr>
        <w:ind w:firstLine="480"/>
      </w:pPr>
      <w:r>
        <w:rPr>
          <w:rFonts w:hint="eastAsia" w:ascii="宋体" w:hAnsi="宋体" w:cs="宋体"/>
        </w:rPr>
        <w:t>④</w:t>
      </w:r>
      <w:r>
        <w:t>环境监测对象主要有两个方面，即污染源监测和企业环境质量监测。</w:t>
      </w:r>
    </w:p>
    <w:p w14:paraId="1D3EF331">
      <w:pPr>
        <w:pStyle w:val="5"/>
        <w:spacing w:before="240" w:after="240"/>
      </w:pPr>
      <w:bookmarkStart w:id="404" w:name="_Toc14736"/>
      <w:r>
        <w:t>监控要求</w:t>
      </w:r>
      <w:bookmarkEnd w:id="404"/>
    </w:p>
    <w:p w14:paraId="1D3EF332">
      <w:pPr>
        <w:ind w:firstLine="480"/>
      </w:pPr>
      <w:r>
        <w:t>（1）根据《大气污染物综合排放标准》（GB16297-1996）及《固定污染源排气中颗粒物测定与气态污染物采样方法》（GB/T16157-1996）要求，在废气治理设施前、后分别预留监测孔，设置明显标志。</w:t>
      </w:r>
    </w:p>
    <w:p w14:paraId="1D3EF333">
      <w:pPr>
        <w:ind w:firstLine="480"/>
      </w:pPr>
      <w:r>
        <w:t>（2）根据《环境保护图形标志—排放口（源）》（GB15562.1-1995）及其修改单要求，分别在废气排放口和噪声排放源设置环境保护图形标志，便于污染源的监督管理和常规监测工作的进行。</w:t>
      </w:r>
    </w:p>
    <w:p w14:paraId="1D3EF334">
      <w:pPr>
        <w:ind w:firstLine="480"/>
      </w:pPr>
      <w:r>
        <w:t>（3）污染监控应严格按照国家有关标准和技术规范进行。</w:t>
      </w:r>
    </w:p>
    <w:p w14:paraId="1D3EF335">
      <w:pPr>
        <w:pStyle w:val="5"/>
        <w:spacing w:before="240" w:after="240"/>
      </w:pPr>
      <w:bookmarkStart w:id="405" w:name="_Toc6246"/>
      <w:r>
        <w:t>运行期监控计划</w:t>
      </w:r>
      <w:bookmarkEnd w:id="405"/>
    </w:p>
    <w:p w14:paraId="52EB0F12">
      <w:pPr>
        <w:pStyle w:val="6"/>
        <w:ind w:left="0"/>
        <w:rPr>
          <w:snapToGrid w:val="0"/>
        </w:rPr>
      </w:pPr>
      <w:r>
        <w:rPr>
          <w:rFonts w:hint="eastAsia"/>
          <w:snapToGrid w:val="0"/>
        </w:rPr>
        <w:t>污染源监测计划</w:t>
      </w:r>
    </w:p>
    <w:p w14:paraId="1D3EF336">
      <w:pPr>
        <w:ind w:firstLine="480"/>
        <w:rPr>
          <w:b/>
          <w:bCs/>
          <w:u w:val="single"/>
        </w:rPr>
      </w:pPr>
      <w:r>
        <w:t>对生产过程中产生的废气、废水、噪声进行监控，具体监测工作建议委托有资质的环境监测机构完成。根据《排污单位自行监测技术指南 总则》（HJ 819—2017）</w:t>
      </w:r>
      <w:r>
        <w:rPr>
          <w:rFonts w:hint="eastAsia"/>
        </w:rPr>
        <w:t>、《排污许可证申请与核发技术规范 专用化学产品制造工业》（HJ 1103-2020）、《排污单位自行监测技术指南 涂料油墨制造》（HJ 1087—2020）、《排污许可证申请与核发技术规范 工业噪声》（HJ 1301-2023）的规定要求，本项目</w:t>
      </w:r>
      <w:r>
        <w:t>运行期环境监测内容及监测频率见下表。</w:t>
      </w:r>
    </w:p>
    <w:p w14:paraId="1D3EF337">
      <w:pPr>
        <w:pStyle w:val="64"/>
        <w:numPr>
          <w:ilvl w:val="2"/>
          <w:numId w:val="54"/>
        </w:numPr>
        <w:spacing w:before="0" w:beforeLines="0" w:line="520" w:lineRule="atLeast"/>
        <w:ind w:left="0" w:firstLine="480" w:firstLineChars="200"/>
      </w:pPr>
      <w:r>
        <w:t xml:space="preserve">      </w:t>
      </w:r>
      <w:r>
        <w:rPr>
          <w:rFonts w:hint="eastAsia"/>
        </w:rPr>
        <w:t xml:space="preserve"> </w:t>
      </w:r>
      <w:r>
        <w:t xml:space="preserve">   工程营运期环境监测计划表</w:t>
      </w:r>
    </w:p>
    <w:tbl>
      <w:tblPr>
        <w:tblStyle w:val="41"/>
        <w:tblW w:w="83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43"/>
        <w:gridCol w:w="4253"/>
        <w:gridCol w:w="1146"/>
      </w:tblGrid>
      <w:tr w14:paraId="1D3EF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24" w:type="dxa"/>
            <w:tcMar>
              <w:top w:w="0" w:type="dxa"/>
              <w:left w:w="28" w:type="dxa"/>
              <w:bottom w:w="0" w:type="dxa"/>
              <w:right w:w="28" w:type="dxa"/>
            </w:tcMar>
            <w:vAlign w:val="center"/>
          </w:tcPr>
          <w:p w14:paraId="1D3EF338">
            <w:pPr>
              <w:pStyle w:val="67"/>
              <w:rPr>
                <w:rFonts w:cs="Times New Roman"/>
                <w:color w:val="auto"/>
              </w:rPr>
            </w:pPr>
            <w:r>
              <w:rPr>
                <w:rFonts w:cs="Times New Roman"/>
                <w:color w:val="auto"/>
              </w:rPr>
              <w:t>污染物/环境要素</w:t>
            </w:r>
          </w:p>
        </w:tc>
        <w:tc>
          <w:tcPr>
            <w:tcW w:w="1843" w:type="dxa"/>
            <w:tcMar>
              <w:top w:w="0" w:type="dxa"/>
              <w:left w:w="28" w:type="dxa"/>
              <w:bottom w:w="0" w:type="dxa"/>
              <w:right w:w="28" w:type="dxa"/>
            </w:tcMar>
            <w:vAlign w:val="center"/>
          </w:tcPr>
          <w:p w14:paraId="1D3EF339">
            <w:pPr>
              <w:pStyle w:val="67"/>
              <w:rPr>
                <w:rFonts w:cs="Times New Roman"/>
                <w:color w:val="auto"/>
              </w:rPr>
            </w:pPr>
            <w:r>
              <w:rPr>
                <w:rFonts w:cs="Times New Roman"/>
                <w:color w:val="auto"/>
              </w:rPr>
              <w:t>监测点</w:t>
            </w:r>
          </w:p>
        </w:tc>
        <w:tc>
          <w:tcPr>
            <w:tcW w:w="4253" w:type="dxa"/>
            <w:tcMar>
              <w:top w:w="0" w:type="dxa"/>
              <w:left w:w="28" w:type="dxa"/>
              <w:bottom w:w="0" w:type="dxa"/>
              <w:right w:w="28" w:type="dxa"/>
            </w:tcMar>
            <w:vAlign w:val="center"/>
          </w:tcPr>
          <w:p w14:paraId="1D3EF33A">
            <w:pPr>
              <w:pStyle w:val="67"/>
              <w:rPr>
                <w:rFonts w:cs="Times New Roman"/>
                <w:color w:val="auto"/>
                <w:highlight w:val="yellow"/>
              </w:rPr>
            </w:pPr>
            <w:r>
              <w:rPr>
                <w:rFonts w:cs="Times New Roman"/>
                <w:color w:val="auto"/>
              </w:rPr>
              <w:t>监测</w:t>
            </w:r>
            <w:r>
              <w:rPr>
                <w:rFonts w:hint="eastAsia" w:cs="Times New Roman"/>
                <w:color w:val="auto"/>
              </w:rPr>
              <w:t>指标</w:t>
            </w:r>
          </w:p>
        </w:tc>
        <w:tc>
          <w:tcPr>
            <w:tcW w:w="1146" w:type="dxa"/>
            <w:tcMar>
              <w:top w:w="0" w:type="dxa"/>
              <w:left w:w="28" w:type="dxa"/>
              <w:bottom w:w="0" w:type="dxa"/>
              <w:right w:w="28" w:type="dxa"/>
            </w:tcMar>
            <w:vAlign w:val="center"/>
          </w:tcPr>
          <w:p w14:paraId="1D3EF33B">
            <w:pPr>
              <w:pStyle w:val="67"/>
              <w:rPr>
                <w:rFonts w:cs="Times New Roman"/>
                <w:color w:val="auto"/>
              </w:rPr>
            </w:pPr>
            <w:r>
              <w:rPr>
                <w:rFonts w:cs="Times New Roman"/>
                <w:color w:val="auto"/>
              </w:rPr>
              <w:t>监测频次</w:t>
            </w:r>
          </w:p>
        </w:tc>
      </w:tr>
      <w:tr w14:paraId="1D3EF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vMerge w:val="restart"/>
            <w:tcMar>
              <w:top w:w="0" w:type="dxa"/>
              <w:left w:w="28" w:type="dxa"/>
              <w:bottom w:w="0" w:type="dxa"/>
              <w:right w:w="28" w:type="dxa"/>
            </w:tcMar>
            <w:vAlign w:val="center"/>
          </w:tcPr>
          <w:p w14:paraId="1D3EF33D">
            <w:pPr>
              <w:pStyle w:val="62"/>
            </w:pPr>
            <w:r>
              <w:t>废气</w:t>
            </w:r>
          </w:p>
        </w:tc>
        <w:tc>
          <w:tcPr>
            <w:tcW w:w="1843" w:type="dxa"/>
            <w:tcMar>
              <w:top w:w="0" w:type="dxa"/>
              <w:left w:w="28" w:type="dxa"/>
              <w:bottom w:w="0" w:type="dxa"/>
              <w:right w:w="28" w:type="dxa"/>
            </w:tcMar>
            <w:vAlign w:val="center"/>
          </w:tcPr>
          <w:p w14:paraId="1D3EF33E">
            <w:pPr>
              <w:pStyle w:val="62"/>
            </w:pPr>
            <w:r>
              <w:rPr>
                <w:rFonts w:hint="eastAsia"/>
              </w:rPr>
              <w:t>排气筒DA001</w:t>
            </w:r>
          </w:p>
        </w:tc>
        <w:tc>
          <w:tcPr>
            <w:tcW w:w="4253" w:type="dxa"/>
            <w:tcMar>
              <w:top w:w="0" w:type="dxa"/>
              <w:left w:w="28" w:type="dxa"/>
              <w:bottom w:w="0" w:type="dxa"/>
              <w:right w:w="28" w:type="dxa"/>
            </w:tcMar>
            <w:vAlign w:val="center"/>
          </w:tcPr>
          <w:p w14:paraId="1D3EF33F">
            <w:pPr>
              <w:pStyle w:val="62"/>
              <w:rPr>
                <w:highlight w:val="yellow"/>
              </w:rPr>
            </w:pPr>
            <w:r>
              <w:rPr>
                <w:rFonts w:hint="eastAsia"/>
              </w:rPr>
              <w:t>非甲烷总烃、</w:t>
            </w:r>
            <w:r>
              <w:rPr>
                <w:rFonts w:hint="eastAsia"/>
                <w:lang w:val="pt-BR"/>
              </w:rPr>
              <w:t>硫酸雾、</w:t>
            </w:r>
            <w:r>
              <w:rPr>
                <w:rFonts w:hint="eastAsia"/>
              </w:rPr>
              <w:t>氨、硫化氢、臭气浓度</w:t>
            </w:r>
          </w:p>
        </w:tc>
        <w:tc>
          <w:tcPr>
            <w:tcW w:w="1146" w:type="dxa"/>
            <w:tcMar>
              <w:top w:w="0" w:type="dxa"/>
              <w:left w:w="28" w:type="dxa"/>
              <w:bottom w:w="0" w:type="dxa"/>
              <w:right w:w="28" w:type="dxa"/>
            </w:tcMar>
            <w:vAlign w:val="center"/>
          </w:tcPr>
          <w:p w14:paraId="1D3EF340">
            <w:pPr>
              <w:pStyle w:val="62"/>
            </w:pPr>
            <w:r>
              <w:rPr>
                <w:rFonts w:hint="eastAsia"/>
                <w:kern w:val="2"/>
              </w:rPr>
              <w:t>1次/半</w:t>
            </w:r>
            <w:r>
              <w:rPr>
                <w:kern w:val="2"/>
              </w:rPr>
              <w:t>年</w:t>
            </w:r>
          </w:p>
        </w:tc>
      </w:tr>
      <w:tr w14:paraId="55CB8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vMerge w:val="continue"/>
            <w:tcMar>
              <w:top w:w="0" w:type="dxa"/>
              <w:left w:w="28" w:type="dxa"/>
              <w:bottom w:w="0" w:type="dxa"/>
              <w:right w:w="28" w:type="dxa"/>
            </w:tcMar>
            <w:vAlign w:val="center"/>
          </w:tcPr>
          <w:p w14:paraId="2BDA1EBE">
            <w:pPr>
              <w:pStyle w:val="62"/>
            </w:pPr>
          </w:p>
        </w:tc>
        <w:tc>
          <w:tcPr>
            <w:tcW w:w="1843" w:type="dxa"/>
            <w:tcMar>
              <w:top w:w="0" w:type="dxa"/>
              <w:left w:w="28" w:type="dxa"/>
              <w:bottom w:w="0" w:type="dxa"/>
              <w:right w:w="28" w:type="dxa"/>
            </w:tcMar>
            <w:vAlign w:val="center"/>
          </w:tcPr>
          <w:p w14:paraId="69DA1A24">
            <w:pPr>
              <w:pStyle w:val="62"/>
            </w:pPr>
            <w:r>
              <w:rPr>
                <w:rFonts w:hint="eastAsia"/>
              </w:rPr>
              <w:t>排气筒DA002</w:t>
            </w:r>
          </w:p>
        </w:tc>
        <w:tc>
          <w:tcPr>
            <w:tcW w:w="4253" w:type="dxa"/>
            <w:tcMar>
              <w:top w:w="0" w:type="dxa"/>
              <w:left w:w="28" w:type="dxa"/>
              <w:bottom w:w="0" w:type="dxa"/>
              <w:right w:w="28" w:type="dxa"/>
            </w:tcMar>
            <w:vAlign w:val="center"/>
          </w:tcPr>
          <w:p w14:paraId="6F29BCFA">
            <w:pPr>
              <w:pStyle w:val="62"/>
            </w:pPr>
            <w:r>
              <w:rPr>
                <w:rFonts w:hint="eastAsia"/>
              </w:rPr>
              <w:t>颗粒物</w:t>
            </w:r>
          </w:p>
        </w:tc>
        <w:tc>
          <w:tcPr>
            <w:tcW w:w="1146" w:type="dxa"/>
            <w:tcMar>
              <w:top w:w="0" w:type="dxa"/>
              <w:left w:w="28" w:type="dxa"/>
              <w:bottom w:w="0" w:type="dxa"/>
              <w:right w:w="28" w:type="dxa"/>
            </w:tcMar>
            <w:vAlign w:val="center"/>
          </w:tcPr>
          <w:p w14:paraId="2F43C439">
            <w:pPr>
              <w:pStyle w:val="62"/>
              <w:rPr>
                <w:kern w:val="2"/>
              </w:rPr>
            </w:pPr>
            <w:r>
              <w:rPr>
                <w:rFonts w:hint="eastAsia"/>
                <w:kern w:val="2"/>
              </w:rPr>
              <w:t>1次/季度</w:t>
            </w:r>
          </w:p>
        </w:tc>
      </w:tr>
      <w:tr w14:paraId="06D32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vMerge w:val="continue"/>
            <w:tcMar>
              <w:top w:w="0" w:type="dxa"/>
              <w:left w:w="28" w:type="dxa"/>
              <w:bottom w:w="0" w:type="dxa"/>
              <w:right w:w="28" w:type="dxa"/>
            </w:tcMar>
            <w:vAlign w:val="center"/>
          </w:tcPr>
          <w:p w14:paraId="1E90A4C4">
            <w:pPr>
              <w:pStyle w:val="62"/>
            </w:pPr>
          </w:p>
        </w:tc>
        <w:tc>
          <w:tcPr>
            <w:tcW w:w="1843" w:type="dxa"/>
            <w:tcMar>
              <w:top w:w="0" w:type="dxa"/>
              <w:left w:w="28" w:type="dxa"/>
              <w:bottom w:w="0" w:type="dxa"/>
              <w:right w:w="28" w:type="dxa"/>
            </w:tcMar>
            <w:vAlign w:val="center"/>
          </w:tcPr>
          <w:p w14:paraId="2E0DC447">
            <w:pPr>
              <w:pStyle w:val="62"/>
              <w:rPr>
                <w:kern w:val="2"/>
              </w:rPr>
            </w:pPr>
            <w:r>
              <w:rPr>
                <w:kern w:val="2"/>
              </w:rPr>
              <w:t>厂界</w:t>
            </w:r>
          </w:p>
        </w:tc>
        <w:tc>
          <w:tcPr>
            <w:tcW w:w="4253" w:type="dxa"/>
            <w:tcMar>
              <w:top w:w="0" w:type="dxa"/>
              <w:left w:w="28" w:type="dxa"/>
              <w:bottom w:w="0" w:type="dxa"/>
              <w:right w:w="28" w:type="dxa"/>
            </w:tcMar>
            <w:vAlign w:val="center"/>
          </w:tcPr>
          <w:p w14:paraId="612F9FCC">
            <w:pPr>
              <w:pStyle w:val="62"/>
              <w:rPr>
                <w:highlight w:val="yellow"/>
              </w:rPr>
            </w:pPr>
            <w:r>
              <w:rPr>
                <w:rFonts w:hint="eastAsia"/>
              </w:rPr>
              <w:t>非甲烷总烃、</w:t>
            </w:r>
            <w:r>
              <w:rPr>
                <w:rFonts w:hint="eastAsia"/>
                <w:lang w:val="pt-BR"/>
              </w:rPr>
              <w:t>硫酸雾、</w:t>
            </w:r>
            <w:r>
              <w:rPr>
                <w:rFonts w:hint="eastAsia"/>
              </w:rPr>
              <w:t>颗粒物、氨、硫化氢、臭气浓度</w:t>
            </w:r>
          </w:p>
        </w:tc>
        <w:tc>
          <w:tcPr>
            <w:tcW w:w="1146" w:type="dxa"/>
            <w:tcMar>
              <w:top w:w="0" w:type="dxa"/>
              <w:left w:w="28" w:type="dxa"/>
              <w:bottom w:w="0" w:type="dxa"/>
              <w:right w:w="28" w:type="dxa"/>
            </w:tcMar>
            <w:vAlign w:val="center"/>
          </w:tcPr>
          <w:p w14:paraId="7B12444D">
            <w:pPr>
              <w:pStyle w:val="62"/>
              <w:rPr>
                <w:kern w:val="2"/>
              </w:rPr>
            </w:pPr>
            <w:r>
              <w:rPr>
                <w:rFonts w:hint="eastAsia"/>
                <w:kern w:val="2"/>
              </w:rPr>
              <w:t>1次/半</w:t>
            </w:r>
            <w:r>
              <w:rPr>
                <w:kern w:val="2"/>
              </w:rPr>
              <w:t>年</w:t>
            </w:r>
          </w:p>
        </w:tc>
      </w:tr>
      <w:tr w14:paraId="1D3EF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vMerge w:val="restart"/>
            <w:vAlign w:val="center"/>
          </w:tcPr>
          <w:p w14:paraId="1D3EF347">
            <w:pPr>
              <w:pStyle w:val="62"/>
              <w:rPr>
                <w:kern w:val="2"/>
              </w:rPr>
            </w:pPr>
            <w:r>
              <w:rPr>
                <w:kern w:val="2"/>
              </w:rPr>
              <w:t>废水</w:t>
            </w:r>
          </w:p>
        </w:tc>
        <w:tc>
          <w:tcPr>
            <w:tcW w:w="1843" w:type="dxa"/>
            <w:vMerge w:val="restart"/>
            <w:tcMar>
              <w:top w:w="0" w:type="dxa"/>
              <w:left w:w="28" w:type="dxa"/>
              <w:bottom w:w="0" w:type="dxa"/>
              <w:right w:w="28" w:type="dxa"/>
            </w:tcMar>
            <w:vAlign w:val="center"/>
          </w:tcPr>
          <w:p w14:paraId="1D3EF349">
            <w:pPr>
              <w:pStyle w:val="62"/>
            </w:pPr>
            <w:r>
              <w:t>废水总排口</w:t>
            </w:r>
          </w:p>
        </w:tc>
        <w:tc>
          <w:tcPr>
            <w:tcW w:w="4253" w:type="dxa"/>
            <w:tcMar>
              <w:top w:w="0" w:type="dxa"/>
              <w:left w:w="28" w:type="dxa"/>
              <w:bottom w:w="0" w:type="dxa"/>
              <w:right w:w="28" w:type="dxa"/>
            </w:tcMar>
            <w:vAlign w:val="center"/>
          </w:tcPr>
          <w:p w14:paraId="1D3EF34A">
            <w:pPr>
              <w:pStyle w:val="62"/>
            </w:pPr>
            <w:r>
              <w:t>流量、</w:t>
            </w:r>
            <w:r>
              <w:rPr>
                <w:rFonts w:hint="eastAsia"/>
              </w:rPr>
              <w:t>pH、色度、</w:t>
            </w:r>
            <w:r>
              <w:t>COD、BOD</w:t>
            </w:r>
            <w:r>
              <w:rPr>
                <w:vertAlign w:val="subscript"/>
              </w:rPr>
              <w:t>5</w:t>
            </w:r>
            <w:r>
              <w:t>、氨氮</w:t>
            </w:r>
          </w:p>
        </w:tc>
        <w:tc>
          <w:tcPr>
            <w:tcW w:w="1146" w:type="dxa"/>
            <w:vAlign w:val="center"/>
          </w:tcPr>
          <w:p w14:paraId="1D3EF34B">
            <w:pPr>
              <w:pStyle w:val="62"/>
              <w:rPr>
                <w:kern w:val="2"/>
              </w:rPr>
            </w:pPr>
            <w:r>
              <w:rPr>
                <w:rFonts w:hint="eastAsia"/>
                <w:kern w:val="2"/>
              </w:rPr>
              <w:t>1次/半年</w:t>
            </w:r>
          </w:p>
        </w:tc>
      </w:tr>
      <w:tr w14:paraId="08D4F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vMerge w:val="continue"/>
            <w:vAlign w:val="center"/>
          </w:tcPr>
          <w:p w14:paraId="77BB1558">
            <w:pPr>
              <w:pStyle w:val="62"/>
              <w:rPr>
                <w:kern w:val="2"/>
              </w:rPr>
            </w:pPr>
          </w:p>
        </w:tc>
        <w:tc>
          <w:tcPr>
            <w:tcW w:w="1843" w:type="dxa"/>
            <w:vMerge w:val="continue"/>
            <w:tcMar>
              <w:top w:w="0" w:type="dxa"/>
              <w:left w:w="28" w:type="dxa"/>
              <w:bottom w:w="0" w:type="dxa"/>
              <w:right w:w="28" w:type="dxa"/>
            </w:tcMar>
            <w:vAlign w:val="center"/>
          </w:tcPr>
          <w:p w14:paraId="5F2ED0CB">
            <w:pPr>
              <w:pStyle w:val="62"/>
            </w:pPr>
          </w:p>
        </w:tc>
        <w:tc>
          <w:tcPr>
            <w:tcW w:w="4253" w:type="dxa"/>
            <w:tcMar>
              <w:top w:w="0" w:type="dxa"/>
              <w:left w:w="28" w:type="dxa"/>
              <w:bottom w:w="0" w:type="dxa"/>
              <w:right w:w="28" w:type="dxa"/>
            </w:tcMar>
            <w:vAlign w:val="center"/>
          </w:tcPr>
          <w:p w14:paraId="220CF774">
            <w:pPr>
              <w:pStyle w:val="62"/>
            </w:pPr>
            <w:r>
              <w:t>SS、总磷、总氮</w:t>
            </w:r>
            <w:r>
              <w:rPr>
                <w:rFonts w:hint="eastAsia"/>
              </w:rPr>
              <w:t>、石油类</w:t>
            </w:r>
          </w:p>
        </w:tc>
        <w:tc>
          <w:tcPr>
            <w:tcW w:w="1146" w:type="dxa"/>
            <w:vAlign w:val="center"/>
          </w:tcPr>
          <w:p w14:paraId="667DF2B5">
            <w:pPr>
              <w:pStyle w:val="62"/>
              <w:rPr>
                <w:kern w:val="2"/>
              </w:rPr>
            </w:pPr>
            <w:r>
              <w:rPr>
                <w:rFonts w:hint="eastAsia"/>
                <w:kern w:val="2"/>
              </w:rPr>
              <w:t>1次/年</w:t>
            </w:r>
          </w:p>
        </w:tc>
      </w:tr>
      <w:tr w14:paraId="1D3EF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vMerge w:val="restart"/>
            <w:tcMar>
              <w:top w:w="0" w:type="dxa"/>
              <w:left w:w="28" w:type="dxa"/>
              <w:bottom w:w="0" w:type="dxa"/>
              <w:right w:w="28" w:type="dxa"/>
            </w:tcMar>
            <w:vAlign w:val="center"/>
          </w:tcPr>
          <w:p w14:paraId="1D3EF352">
            <w:pPr>
              <w:pStyle w:val="62"/>
              <w:rPr>
                <w:kern w:val="2"/>
              </w:rPr>
            </w:pPr>
            <w:r>
              <w:t>噪声</w:t>
            </w:r>
          </w:p>
        </w:tc>
        <w:tc>
          <w:tcPr>
            <w:tcW w:w="1843" w:type="dxa"/>
            <w:tcMar>
              <w:top w:w="0" w:type="dxa"/>
              <w:left w:w="28" w:type="dxa"/>
              <w:bottom w:w="0" w:type="dxa"/>
              <w:right w:w="28" w:type="dxa"/>
            </w:tcMar>
            <w:vAlign w:val="center"/>
          </w:tcPr>
          <w:p w14:paraId="1D3EF353">
            <w:pPr>
              <w:pStyle w:val="62"/>
              <w:rPr>
                <w:kern w:val="2"/>
              </w:rPr>
            </w:pPr>
            <w:r>
              <w:t>厂界外1m处</w:t>
            </w:r>
          </w:p>
        </w:tc>
        <w:tc>
          <w:tcPr>
            <w:tcW w:w="4253" w:type="dxa"/>
            <w:tcMar>
              <w:top w:w="0" w:type="dxa"/>
              <w:left w:w="28" w:type="dxa"/>
              <w:bottom w:w="0" w:type="dxa"/>
              <w:right w:w="28" w:type="dxa"/>
            </w:tcMar>
            <w:vAlign w:val="center"/>
          </w:tcPr>
          <w:p w14:paraId="1D3EF354">
            <w:pPr>
              <w:pStyle w:val="62"/>
              <w:rPr>
                <w:kern w:val="2"/>
              </w:rPr>
            </w:pPr>
            <w:r>
              <w:t>等效连续A声级</w:t>
            </w:r>
          </w:p>
        </w:tc>
        <w:tc>
          <w:tcPr>
            <w:tcW w:w="1146" w:type="dxa"/>
            <w:tcMar>
              <w:top w:w="0" w:type="dxa"/>
              <w:left w:w="28" w:type="dxa"/>
              <w:bottom w:w="0" w:type="dxa"/>
              <w:right w:w="28" w:type="dxa"/>
            </w:tcMar>
            <w:vAlign w:val="center"/>
          </w:tcPr>
          <w:p w14:paraId="1D3EF355">
            <w:pPr>
              <w:pStyle w:val="62"/>
            </w:pPr>
            <w:r>
              <w:rPr>
                <w:rFonts w:hint="eastAsia"/>
                <w:kern w:val="2"/>
              </w:rPr>
              <w:t>1次/</w:t>
            </w:r>
            <w:r>
              <w:t>季</w:t>
            </w:r>
          </w:p>
        </w:tc>
      </w:tr>
      <w:tr w14:paraId="31E50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vMerge w:val="continue"/>
            <w:tcMar>
              <w:top w:w="0" w:type="dxa"/>
              <w:left w:w="28" w:type="dxa"/>
              <w:bottom w:w="0" w:type="dxa"/>
              <w:right w:w="28" w:type="dxa"/>
            </w:tcMar>
            <w:vAlign w:val="center"/>
          </w:tcPr>
          <w:p w14:paraId="7432FE77">
            <w:pPr>
              <w:pStyle w:val="62"/>
            </w:pPr>
          </w:p>
        </w:tc>
        <w:tc>
          <w:tcPr>
            <w:tcW w:w="1843" w:type="dxa"/>
            <w:tcMar>
              <w:top w:w="0" w:type="dxa"/>
              <w:left w:w="28" w:type="dxa"/>
              <w:bottom w:w="0" w:type="dxa"/>
              <w:right w:w="28" w:type="dxa"/>
            </w:tcMar>
            <w:vAlign w:val="center"/>
          </w:tcPr>
          <w:p w14:paraId="63590481">
            <w:pPr>
              <w:pStyle w:val="62"/>
            </w:pPr>
            <w:r>
              <w:rPr>
                <w:rFonts w:hint="eastAsia"/>
              </w:rPr>
              <w:t>新乡市太行水泥粉磨有限公司</w:t>
            </w:r>
            <w:r>
              <w:t>厂界外1m处</w:t>
            </w:r>
          </w:p>
        </w:tc>
        <w:tc>
          <w:tcPr>
            <w:tcW w:w="4253" w:type="dxa"/>
            <w:tcMar>
              <w:top w:w="0" w:type="dxa"/>
              <w:left w:w="28" w:type="dxa"/>
              <w:bottom w:w="0" w:type="dxa"/>
              <w:right w:w="28" w:type="dxa"/>
            </w:tcMar>
            <w:vAlign w:val="center"/>
          </w:tcPr>
          <w:p w14:paraId="690EAAA4">
            <w:pPr>
              <w:pStyle w:val="62"/>
            </w:pPr>
            <w:r>
              <w:t>等效连续A声级</w:t>
            </w:r>
          </w:p>
        </w:tc>
        <w:tc>
          <w:tcPr>
            <w:tcW w:w="1146" w:type="dxa"/>
            <w:tcMar>
              <w:top w:w="0" w:type="dxa"/>
              <w:left w:w="28" w:type="dxa"/>
              <w:bottom w:w="0" w:type="dxa"/>
              <w:right w:w="28" w:type="dxa"/>
            </w:tcMar>
            <w:vAlign w:val="center"/>
          </w:tcPr>
          <w:p w14:paraId="72B5575A">
            <w:pPr>
              <w:pStyle w:val="62"/>
              <w:rPr>
                <w:kern w:val="2"/>
              </w:rPr>
            </w:pPr>
            <w:r>
              <w:rPr>
                <w:rFonts w:hint="eastAsia"/>
                <w:kern w:val="2"/>
              </w:rPr>
              <w:t>1次/</w:t>
            </w:r>
            <w:r>
              <w:t>季</w:t>
            </w:r>
          </w:p>
        </w:tc>
      </w:tr>
    </w:tbl>
    <w:p w14:paraId="1D3EF357">
      <w:pPr>
        <w:pStyle w:val="96"/>
        <w:ind w:firstLine="480"/>
        <w:rPr>
          <w:rFonts w:eastAsia="黑体"/>
          <w:b w:val="0"/>
          <w:bCs/>
          <w:sz w:val="24"/>
          <w:szCs w:val="24"/>
        </w:rPr>
      </w:pPr>
      <w:r>
        <w:rPr>
          <w:rFonts w:eastAsia="黑体"/>
          <w:b w:val="0"/>
          <w:bCs/>
          <w:sz w:val="24"/>
          <w:szCs w:val="24"/>
        </w:rPr>
        <w:t>注：</w:t>
      </w:r>
      <w:r>
        <w:rPr>
          <w:rFonts w:hint="eastAsia" w:ascii="宋体" w:hAnsi="宋体" w:cs="宋体"/>
          <w:b w:val="0"/>
          <w:bCs/>
          <w:sz w:val="24"/>
          <w:szCs w:val="24"/>
        </w:rPr>
        <w:t>①</w:t>
      </w:r>
      <w:r>
        <w:rPr>
          <w:rFonts w:eastAsia="黑体"/>
          <w:b w:val="0"/>
          <w:bCs/>
          <w:sz w:val="24"/>
          <w:szCs w:val="24"/>
        </w:rPr>
        <w:t>可自行监测或委托当地有资质单位监测，监测结果应向社会公开。</w:t>
      </w:r>
    </w:p>
    <w:p w14:paraId="7A074089">
      <w:pPr>
        <w:pStyle w:val="96"/>
        <w:ind w:firstLine="480"/>
        <w:rPr>
          <w:rFonts w:eastAsia="黑体"/>
          <w:b w:val="0"/>
          <w:bCs/>
          <w:sz w:val="24"/>
          <w:szCs w:val="24"/>
        </w:rPr>
      </w:pPr>
      <w:r>
        <w:rPr>
          <w:rFonts w:hint="eastAsia" w:ascii="宋体" w:hAnsi="宋体" w:cs="宋体"/>
          <w:b w:val="0"/>
          <w:bCs/>
          <w:sz w:val="24"/>
          <w:szCs w:val="24"/>
        </w:rPr>
        <w:t>②</w:t>
      </w:r>
      <w:r>
        <w:rPr>
          <w:rFonts w:eastAsia="黑体"/>
          <w:b w:val="0"/>
          <w:bCs/>
          <w:sz w:val="24"/>
          <w:szCs w:val="24"/>
        </w:rPr>
        <w:t>因本项目租赁新乡市太行水泥粉磨有限公司内空厂房进行生产，若仅对本项目厂界进行监测，则新乡市太行水泥粉磨有限公司的生产会对本项目厂界噪声监测产生影响，故为了</w:t>
      </w:r>
      <w:r>
        <w:rPr>
          <w:rFonts w:hint="eastAsia" w:eastAsia="黑体"/>
          <w:b w:val="0"/>
          <w:bCs/>
          <w:sz w:val="24"/>
          <w:szCs w:val="24"/>
        </w:rPr>
        <w:t>更准确的掌握本项目产生的噪声对周边环境的影响，在</w:t>
      </w:r>
      <w:r>
        <w:rPr>
          <w:rFonts w:eastAsia="黑体"/>
          <w:b w:val="0"/>
          <w:bCs/>
          <w:sz w:val="24"/>
          <w:szCs w:val="24"/>
        </w:rPr>
        <w:t>新乡市太行水泥粉磨有限公司</w:t>
      </w:r>
      <w:r>
        <w:rPr>
          <w:rFonts w:hint="eastAsia" w:eastAsia="黑体"/>
          <w:b w:val="0"/>
          <w:bCs/>
          <w:sz w:val="24"/>
          <w:szCs w:val="24"/>
        </w:rPr>
        <w:t>四周厂界设置点位进行监测。</w:t>
      </w:r>
    </w:p>
    <w:p w14:paraId="29F39FA1">
      <w:pPr>
        <w:pStyle w:val="6"/>
        <w:ind w:left="0"/>
        <w:rPr>
          <w:snapToGrid w:val="0"/>
        </w:rPr>
      </w:pPr>
      <w:r>
        <w:rPr>
          <w:rFonts w:hint="eastAsia"/>
          <w:snapToGrid w:val="0"/>
        </w:rPr>
        <w:t>环境质量监测计划</w:t>
      </w:r>
    </w:p>
    <w:p w14:paraId="1D3EF358">
      <w:pPr>
        <w:ind w:firstLine="480"/>
      </w:pPr>
      <w:r>
        <w:rPr>
          <w:rFonts w:hint="eastAsia"/>
        </w:rPr>
        <w:t>为了保护周边环境和人群健康，需要定期对周围环境敏感点进行环境空气、地下水、声环境、土壤的监测。根据工程内容和周边环境敏感点分布情况，本评价根据《环境影响评价技术导则 大气环境》（HJ2.2-2018）、《地下水环境监测技术规范》（HJ164-2020）、《工业企业土壤和地下水自行监测技术指南（试行）》（HJ1209-2021），建议制定环境质量监测计划见下表。</w:t>
      </w:r>
    </w:p>
    <w:p w14:paraId="1D3EF359">
      <w:pPr>
        <w:pStyle w:val="64"/>
        <w:numPr>
          <w:ilvl w:val="2"/>
          <w:numId w:val="54"/>
        </w:numPr>
        <w:spacing w:before="0" w:beforeLines="0" w:line="520" w:lineRule="atLeast"/>
        <w:ind w:left="0" w:firstLine="480" w:firstLineChars="200"/>
      </w:pPr>
      <w:r>
        <w:t xml:space="preserve">         工程营运期环境</w:t>
      </w:r>
      <w:r>
        <w:rPr>
          <w:rFonts w:hint="eastAsia"/>
        </w:rPr>
        <w:t>质量</w:t>
      </w:r>
      <w:r>
        <w:t>监测计划表</w:t>
      </w:r>
    </w:p>
    <w:tbl>
      <w:tblPr>
        <w:tblStyle w:val="41"/>
        <w:tblW w:w="83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83"/>
        <w:gridCol w:w="567"/>
        <w:gridCol w:w="1842"/>
        <w:gridCol w:w="3969"/>
        <w:gridCol w:w="1005"/>
      </w:tblGrid>
      <w:tr w14:paraId="1D3EF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983" w:type="dxa"/>
            <w:tcMar>
              <w:top w:w="0" w:type="dxa"/>
              <w:left w:w="28" w:type="dxa"/>
              <w:bottom w:w="0" w:type="dxa"/>
              <w:right w:w="28" w:type="dxa"/>
            </w:tcMar>
            <w:vAlign w:val="center"/>
          </w:tcPr>
          <w:p w14:paraId="1D3EF35A">
            <w:pPr>
              <w:pStyle w:val="67"/>
              <w:rPr>
                <w:rFonts w:cs="Times New Roman"/>
                <w:color w:val="auto"/>
                <w:u w:val="single"/>
              </w:rPr>
            </w:pPr>
            <w:r>
              <w:rPr>
                <w:rFonts w:cs="Times New Roman"/>
                <w:color w:val="auto"/>
                <w:u w:val="single"/>
              </w:rPr>
              <w:t>污染物/环境要素</w:t>
            </w:r>
          </w:p>
        </w:tc>
        <w:tc>
          <w:tcPr>
            <w:tcW w:w="2409" w:type="dxa"/>
            <w:gridSpan w:val="2"/>
            <w:tcMar>
              <w:top w:w="0" w:type="dxa"/>
              <w:left w:w="28" w:type="dxa"/>
              <w:bottom w:w="0" w:type="dxa"/>
              <w:right w:w="28" w:type="dxa"/>
            </w:tcMar>
            <w:vAlign w:val="center"/>
          </w:tcPr>
          <w:p w14:paraId="1D3EF35B">
            <w:pPr>
              <w:pStyle w:val="67"/>
              <w:rPr>
                <w:rFonts w:cs="Times New Roman"/>
                <w:color w:val="auto"/>
                <w:u w:val="single"/>
              </w:rPr>
            </w:pPr>
            <w:r>
              <w:rPr>
                <w:rFonts w:cs="Times New Roman"/>
                <w:color w:val="auto"/>
                <w:u w:val="single"/>
              </w:rPr>
              <w:t>监测点</w:t>
            </w:r>
          </w:p>
        </w:tc>
        <w:tc>
          <w:tcPr>
            <w:tcW w:w="3969" w:type="dxa"/>
            <w:tcMar>
              <w:top w:w="0" w:type="dxa"/>
              <w:left w:w="28" w:type="dxa"/>
              <w:bottom w:w="0" w:type="dxa"/>
              <w:right w:w="28" w:type="dxa"/>
            </w:tcMar>
            <w:vAlign w:val="center"/>
          </w:tcPr>
          <w:p w14:paraId="1D3EF35C">
            <w:pPr>
              <w:pStyle w:val="67"/>
              <w:rPr>
                <w:rFonts w:cs="Times New Roman"/>
                <w:color w:val="auto"/>
                <w:u w:val="single"/>
              </w:rPr>
            </w:pPr>
            <w:r>
              <w:rPr>
                <w:rFonts w:cs="Times New Roman"/>
                <w:color w:val="auto"/>
                <w:u w:val="single"/>
              </w:rPr>
              <w:t>监测项目</w:t>
            </w:r>
          </w:p>
        </w:tc>
        <w:tc>
          <w:tcPr>
            <w:tcW w:w="1005" w:type="dxa"/>
            <w:tcMar>
              <w:top w:w="0" w:type="dxa"/>
              <w:left w:w="28" w:type="dxa"/>
              <w:bottom w:w="0" w:type="dxa"/>
              <w:right w:w="28" w:type="dxa"/>
            </w:tcMar>
            <w:vAlign w:val="center"/>
          </w:tcPr>
          <w:p w14:paraId="1D3EF35D">
            <w:pPr>
              <w:pStyle w:val="67"/>
              <w:rPr>
                <w:rFonts w:cs="Times New Roman"/>
                <w:color w:val="auto"/>
                <w:u w:val="single"/>
              </w:rPr>
            </w:pPr>
            <w:r>
              <w:rPr>
                <w:rFonts w:cs="Times New Roman"/>
                <w:color w:val="auto"/>
                <w:u w:val="single"/>
              </w:rPr>
              <w:t>监测频次</w:t>
            </w:r>
          </w:p>
        </w:tc>
      </w:tr>
      <w:tr w14:paraId="1D3EF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83" w:type="dxa"/>
            <w:vMerge w:val="restart"/>
            <w:tcMar>
              <w:top w:w="0" w:type="dxa"/>
              <w:left w:w="28" w:type="dxa"/>
              <w:bottom w:w="0" w:type="dxa"/>
              <w:right w:w="28" w:type="dxa"/>
            </w:tcMar>
            <w:vAlign w:val="center"/>
          </w:tcPr>
          <w:p w14:paraId="1D3EF364">
            <w:pPr>
              <w:pStyle w:val="62"/>
              <w:rPr>
                <w:bCs/>
                <w:kern w:val="2"/>
                <w:szCs w:val="18"/>
                <w:u w:val="single"/>
              </w:rPr>
            </w:pPr>
            <w:r>
              <w:rPr>
                <w:bCs/>
                <w:szCs w:val="18"/>
                <w:u w:val="single"/>
              </w:rPr>
              <w:t>地下水</w:t>
            </w:r>
          </w:p>
        </w:tc>
        <w:tc>
          <w:tcPr>
            <w:tcW w:w="567" w:type="dxa"/>
            <w:tcMar>
              <w:top w:w="0" w:type="dxa"/>
              <w:left w:w="28" w:type="dxa"/>
              <w:bottom w:w="0" w:type="dxa"/>
              <w:right w:w="28" w:type="dxa"/>
            </w:tcMar>
            <w:vAlign w:val="center"/>
          </w:tcPr>
          <w:p w14:paraId="4D551413">
            <w:pPr>
              <w:pStyle w:val="62"/>
              <w:rPr>
                <w:bCs/>
                <w:szCs w:val="18"/>
                <w:u w:val="single"/>
              </w:rPr>
            </w:pPr>
            <w:r>
              <w:rPr>
                <w:bCs/>
                <w:u w:val="single"/>
              </w:rPr>
              <w:t>厂区上游</w:t>
            </w:r>
          </w:p>
        </w:tc>
        <w:tc>
          <w:tcPr>
            <w:tcW w:w="1842" w:type="dxa"/>
            <w:vAlign w:val="center"/>
          </w:tcPr>
          <w:p w14:paraId="1D3EF365">
            <w:pPr>
              <w:pStyle w:val="62"/>
              <w:rPr>
                <w:bCs/>
                <w:szCs w:val="18"/>
                <w:u w:val="single"/>
              </w:rPr>
            </w:pPr>
            <w:r>
              <w:rPr>
                <w:rFonts w:hint="eastAsia"/>
                <w:bCs/>
                <w:szCs w:val="18"/>
                <w:u w:val="single"/>
              </w:rPr>
              <w:t>郭全屯村水井</w:t>
            </w:r>
          </w:p>
        </w:tc>
        <w:tc>
          <w:tcPr>
            <w:tcW w:w="3969" w:type="dxa"/>
            <w:vMerge w:val="restart"/>
            <w:tcMar>
              <w:top w:w="0" w:type="dxa"/>
              <w:left w:w="28" w:type="dxa"/>
              <w:bottom w:w="0" w:type="dxa"/>
              <w:right w:w="28" w:type="dxa"/>
            </w:tcMar>
            <w:vAlign w:val="center"/>
          </w:tcPr>
          <w:p w14:paraId="6E72C31A">
            <w:pPr>
              <w:pStyle w:val="62"/>
              <w:jc w:val="both"/>
              <w:rPr>
                <w:bCs/>
                <w:kern w:val="2"/>
                <w:szCs w:val="18"/>
                <w:u w:val="single"/>
              </w:rPr>
            </w:pPr>
            <w:r>
              <w:rPr>
                <w:rFonts w:hint="eastAsia"/>
                <w:bCs/>
                <w:kern w:val="2"/>
                <w:szCs w:val="18"/>
                <w:u w:val="single"/>
              </w:rPr>
              <w:t>初次监测：GB/T 14848表1常规指标（微生物指标、放射性指标除外）、石油类。</w:t>
            </w:r>
          </w:p>
          <w:p w14:paraId="1D3EF366">
            <w:pPr>
              <w:pStyle w:val="62"/>
              <w:jc w:val="both"/>
              <w:rPr>
                <w:bCs/>
                <w:kern w:val="2"/>
                <w:szCs w:val="18"/>
                <w:u w:val="single"/>
              </w:rPr>
            </w:pPr>
            <w:r>
              <w:rPr>
                <w:rFonts w:hint="eastAsia"/>
                <w:bCs/>
                <w:kern w:val="2"/>
                <w:szCs w:val="18"/>
                <w:u w:val="single"/>
              </w:rPr>
              <w:t>后续监测：pH、石油类、耗氧量</w:t>
            </w:r>
          </w:p>
        </w:tc>
        <w:tc>
          <w:tcPr>
            <w:tcW w:w="1005" w:type="dxa"/>
            <w:tcMar>
              <w:top w:w="0" w:type="dxa"/>
              <w:left w:w="28" w:type="dxa"/>
              <w:bottom w:w="0" w:type="dxa"/>
              <w:right w:w="28" w:type="dxa"/>
            </w:tcMar>
            <w:vAlign w:val="center"/>
          </w:tcPr>
          <w:p w14:paraId="1D3EF367">
            <w:pPr>
              <w:pStyle w:val="62"/>
              <w:rPr>
                <w:bCs/>
                <w:kern w:val="2"/>
                <w:szCs w:val="18"/>
                <w:u w:val="single"/>
              </w:rPr>
            </w:pPr>
            <w:r>
              <w:rPr>
                <w:u w:val="single"/>
              </w:rPr>
              <w:t>1次/年</w:t>
            </w:r>
          </w:p>
        </w:tc>
      </w:tr>
      <w:tr w14:paraId="78F94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83" w:type="dxa"/>
            <w:vMerge w:val="continue"/>
            <w:tcMar>
              <w:top w:w="0" w:type="dxa"/>
              <w:left w:w="28" w:type="dxa"/>
              <w:bottom w:w="0" w:type="dxa"/>
              <w:right w:w="28" w:type="dxa"/>
            </w:tcMar>
            <w:vAlign w:val="center"/>
          </w:tcPr>
          <w:p w14:paraId="0215E647">
            <w:pPr>
              <w:pStyle w:val="62"/>
              <w:rPr>
                <w:bCs/>
                <w:szCs w:val="18"/>
                <w:u w:val="single"/>
              </w:rPr>
            </w:pPr>
          </w:p>
        </w:tc>
        <w:tc>
          <w:tcPr>
            <w:tcW w:w="567" w:type="dxa"/>
            <w:tcMar>
              <w:top w:w="0" w:type="dxa"/>
              <w:left w:w="28" w:type="dxa"/>
              <w:bottom w:w="0" w:type="dxa"/>
              <w:right w:w="28" w:type="dxa"/>
            </w:tcMar>
            <w:vAlign w:val="center"/>
          </w:tcPr>
          <w:p w14:paraId="2AED0D84">
            <w:pPr>
              <w:pStyle w:val="62"/>
              <w:rPr>
                <w:bCs/>
                <w:u w:val="single"/>
              </w:rPr>
            </w:pPr>
            <w:r>
              <w:rPr>
                <w:bCs/>
                <w:szCs w:val="18"/>
                <w:u w:val="single"/>
              </w:rPr>
              <w:t>厂区</w:t>
            </w:r>
          </w:p>
        </w:tc>
        <w:tc>
          <w:tcPr>
            <w:tcW w:w="1842" w:type="dxa"/>
            <w:vAlign w:val="center"/>
          </w:tcPr>
          <w:p w14:paraId="1D2FD084">
            <w:pPr>
              <w:pStyle w:val="62"/>
              <w:rPr>
                <w:bCs/>
                <w:u w:val="single"/>
              </w:rPr>
            </w:pPr>
            <w:r>
              <w:rPr>
                <w:rFonts w:hint="eastAsia"/>
                <w:bCs/>
                <w:u w:val="single"/>
              </w:rPr>
              <w:t>厂区内</w:t>
            </w:r>
          </w:p>
        </w:tc>
        <w:tc>
          <w:tcPr>
            <w:tcW w:w="3969" w:type="dxa"/>
            <w:vMerge w:val="continue"/>
            <w:tcMar>
              <w:top w:w="0" w:type="dxa"/>
              <w:left w:w="28" w:type="dxa"/>
              <w:bottom w:w="0" w:type="dxa"/>
              <w:right w:w="28" w:type="dxa"/>
            </w:tcMar>
            <w:vAlign w:val="center"/>
          </w:tcPr>
          <w:p w14:paraId="4E5F1D90">
            <w:pPr>
              <w:pStyle w:val="62"/>
              <w:rPr>
                <w:bCs/>
                <w:kern w:val="2"/>
                <w:szCs w:val="18"/>
                <w:u w:val="single"/>
              </w:rPr>
            </w:pPr>
          </w:p>
        </w:tc>
        <w:tc>
          <w:tcPr>
            <w:tcW w:w="1005" w:type="dxa"/>
            <w:tcMar>
              <w:top w:w="0" w:type="dxa"/>
              <w:left w:w="28" w:type="dxa"/>
              <w:bottom w:w="0" w:type="dxa"/>
              <w:right w:w="28" w:type="dxa"/>
            </w:tcMar>
            <w:vAlign w:val="center"/>
          </w:tcPr>
          <w:p w14:paraId="31FE0457">
            <w:pPr>
              <w:pStyle w:val="62"/>
              <w:rPr>
                <w:bCs/>
                <w:u w:val="single"/>
              </w:rPr>
            </w:pPr>
            <w:r>
              <w:rPr>
                <w:rFonts w:hint="eastAsia"/>
                <w:u w:val="single"/>
              </w:rPr>
              <w:t>1</w:t>
            </w:r>
            <w:r>
              <w:rPr>
                <w:u w:val="single"/>
              </w:rPr>
              <w:t>次/</w:t>
            </w:r>
            <w:r>
              <w:rPr>
                <w:rFonts w:hint="eastAsia"/>
                <w:u w:val="single"/>
              </w:rPr>
              <w:t>季度</w:t>
            </w:r>
          </w:p>
        </w:tc>
      </w:tr>
      <w:tr w14:paraId="1CB3C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83" w:type="dxa"/>
            <w:vMerge w:val="continue"/>
            <w:tcMar>
              <w:top w:w="0" w:type="dxa"/>
              <w:left w:w="28" w:type="dxa"/>
              <w:bottom w:w="0" w:type="dxa"/>
              <w:right w:w="28" w:type="dxa"/>
            </w:tcMar>
            <w:vAlign w:val="center"/>
          </w:tcPr>
          <w:p w14:paraId="251A16FA">
            <w:pPr>
              <w:pStyle w:val="62"/>
              <w:rPr>
                <w:bCs/>
                <w:szCs w:val="18"/>
                <w:u w:val="single"/>
              </w:rPr>
            </w:pPr>
          </w:p>
        </w:tc>
        <w:tc>
          <w:tcPr>
            <w:tcW w:w="567" w:type="dxa"/>
            <w:tcMar>
              <w:top w:w="0" w:type="dxa"/>
              <w:left w:w="28" w:type="dxa"/>
              <w:bottom w:w="0" w:type="dxa"/>
              <w:right w:w="28" w:type="dxa"/>
            </w:tcMar>
            <w:vAlign w:val="center"/>
          </w:tcPr>
          <w:p w14:paraId="372EF842">
            <w:pPr>
              <w:pStyle w:val="62"/>
              <w:rPr>
                <w:bCs/>
                <w:u w:val="single"/>
              </w:rPr>
            </w:pPr>
            <w:r>
              <w:rPr>
                <w:bCs/>
                <w:u w:val="single"/>
              </w:rPr>
              <w:t>厂区</w:t>
            </w:r>
            <w:r>
              <w:rPr>
                <w:rFonts w:hint="eastAsia"/>
                <w:bCs/>
                <w:u w:val="single"/>
              </w:rPr>
              <w:t>下</w:t>
            </w:r>
            <w:r>
              <w:rPr>
                <w:bCs/>
                <w:u w:val="single"/>
              </w:rPr>
              <w:t>游</w:t>
            </w:r>
          </w:p>
        </w:tc>
        <w:tc>
          <w:tcPr>
            <w:tcW w:w="1842" w:type="dxa"/>
            <w:vAlign w:val="center"/>
          </w:tcPr>
          <w:p w14:paraId="74F02BBD">
            <w:pPr>
              <w:pStyle w:val="62"/>
              <w:rPr>
                <w:bCs/>
                <w:u w:val="single"/>
              </w:rPr>
            </w:pPr>
            <w:r>
              <w:rPr>
                <w:rFonts w:hint="eastAsia"/>
                <w:bCs/>
                <w:szCs w:val="18"/>
                <w:u w:val="single"/>
              </w:rPr>
              <w:t>下园村西南灌溉井</w:t>
            </w:r>
          </w:p>
        </w:tc>
        <w:tc>
          <w:tcPr>
            <w:tcW w:w="3969" w:type="dxa"/>
            <w:vMerge w:val="continue"/>
            <w:tcMar>
              <w:top w:w="0" w:type="dxa"/>
              <w:left w:w="28" w:type="dxa"/>
              <w:bottom w:w="0" w:type="dxa"/>
              <w:right w:w="28" w:type="dxa"/>
            </w:tcMar>
            <w:vAlign w:val="center"/>
          </w:tcPr>
          <w:p w14:paraId="3CCAF755">
            <w:pPr>
              <w:pStyle w:val="62"/>
              <w:rPr>
                <w:bCs/>
                <w:kern w:val="2"/>
                <w:szCs w:val="18"/>
                <w:u w:val="single"/>
              </w:rPr>
            </w:pPr>
          </w:p>
        </w:tc>
        <w:tc>
          <w:tcPr>
            <w:tcW w:w="1005" w:type="dxa"/>
            <w:tcMar>
              <w:top w:w="0" w:type="dxa"/>
              <w:left w:w="28" w:type="dxa"/>
              <w:bottom w:w="0" w:type="dxa"/>
              <w:right w:w="28" w:type="dxa"/>
            </w:tcMar>
            <w:vAlign w:val="center"/>
          </w:tcPr>
          <w:p w14:paraId="517F5384">
            <w:pPr>
              <w:pStyle w:val="62"/>
              <w:rPr>
                <w:bCs/>
                <w:u w:val="single"/>
              </w:rPr>
            </w:pPr>
            <w:r>
              <w:rPr>
                <w:rFonts w:hint="eastAsia"/>
                <w:u w:val="single"/>
              </w:rPr>
              <w:t>1</w:t>
            </w:r>
            <w:r>
              <w:rPr>
                <w:u w:val="single"/>
              </w:rPr>
              <w:t>次/</w:t>
            </w:r>
            <w:r>
              <w:rPr>
                <w:rFonts w:hint="eastAsia"/>
                <w:u w:val="single"/>
              </w:rPr>
              <w:t>季度</w:t>
            </w:r>
          </w:p>
        </w:tc>
      </w:tr>
      <w:tr w14:paraId="1D3EF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83" w:type="dxa"/>
            <w:vMerge w:val="restart"/>
            <w:tcMar>
              <w:top w:w="0" w:type="dxa"/>
              <w:left w:w="28" w:type="dxa"/>
              <w:bottom w:w="0" w:type="dxa"/>
              <w:right w:w="28" w:type="dxa"/>
            </w:tcMar>
            <w:vAlign w:val="center"/>
          </w:tcPr>
          <w:p w14:paraId="1D3EF373">
            <w:pPr>
              <w:pStyle w:val="62"/>
              <w:rPr>
                <w:bCs/>
                <w:u w:val="single"/>
              </w:rPr>
            </w:pPr>
            <w:r>
              <w:rPr>
                <w:bCs/>
                <w:u w:val="single"/>
              </w:rPr>
              <w:t>土壤</w:t>
            </w:r>
          </w:p>
        </w:tc>
        <w:tc>
          <w:tcPr>
            <w:tcW w:w="567" w:type="dxa"/>
            <w:vMerge w:val="restart"/>
            <w:tcMar>
              <w:top w:w="0" w:type="dxa"/>
              <w:left w:w="28" w:type="dxa"/>
              <w:bottom w:w="0" w:type="dxa"/>
              <w:right w:w="28" w:type="dxa"/>
            </w:tcMar>
            <w:vAlign w:val="center"/>
          </w:tcPr>
          <w:p w14:paraId="75058891">
            <w:pPr>
              <w:pStyle w:val="62"/>
              <w:rPr>
                <w:bCs/>
                <w:u w:val="single"/>
              </w:rPr>
            </w:pPr>
            <w:r>
              <w:rPr>
                <w:rFonts w:hint="eastAsia"/>
                <w:bCs/>
                <w:u w:val="single"/>
              </w:rPr>
              <w:t>污水处理站</w:t>
            </w:r>
            <w:r>
              <w:rPr>
                <w:bCs/>
                <w:u w:val="single"/>
              </w:rPr>
              <w:t>附近</w:t>
            </w:r>
          </w:p>
        </w:tc>
        <w:tc>
          <w:tcPr>
            <w:tcW w:w="1842" w:type="dxa"/>
            <w:vAlign w:val="center"/>
          </w:tcPr>
          <w:p w14:paraId="1D3EF374">
            <w:pPr>
              <w:pStyle w:val="62"/>
              <w:rPr>
                <w:bCs/>
                <w:u w:val="single"/>
              </w:rPr>
            </w:pPr>
            <w:r>
              <w:rPr>
                <w:bCs/>
                <w:u w:val="single"/>
              </w:rPr>
              <w:t>表层土壤（0-0.5m）</w:t>
            </w:r>
          </w:p>
        </w:tc>
        <w:tc>
          <w:tcPr>
            <w:tcW w:w="3969" w:type="dxa"/>
            <w:vMerge w:val="restart"/>
            <w:tcMar>
              <w:top w:w="0" w:type="dxa"/>
              <w:left w:w="28" w:type="dxa"/>
              <w:bottom w:w="0" w:type="dxa"/>
              <w:right w:w="28" w:type="dxa"/>
            </w:tcMar>
            <w:vAlign w:val="center"/>
          </w:tcPr>
          <w:p w14:paraId="1D3EF375">
            <w:pPr>
              <w:pStyle w:val="62"/>
              <w:rPr>
                <w:bCs/>
                <w:u w:val="single"/>
              </w:rPr>
            </w:pPr>
            <w:r>
              <w:rPr>
                <w:bCs/>
                <w:u w:val="single"/>
              </w:rPr>
              <w:t>GB36600-2018表1基本45个基本项目、pH</w:t>
            </w:r>
            <w:r>
              <w:rPr>
                <w:rFonts w:hint="eastAsia"/>
                <w:bCs/>
                <w:u w:val="single"/>
              </w:rPr>
              <w:t>、石油类</w:t>
            </w:r>
          </w:p>
        </w:tc>
        <w:tc>
          <w:tcPr>
            <w:tcW w:w="1005" w:type="dxa"/>
            <w:tcMar>
              <w:top w:w="0" w:type="dxa"/>
              <w:left w:w="28" w:type="dxa"/>
              <w:bottom w:w="0" w:type="dxa"/>
              <w:right w:w="28" w:type="dxa"/>
            </w:tcMar>
            <w:vAlign w:val="center"/>
          </w:tcPr>
          <w:p w14:paraId="1D3EF376">
            <w:pPr>
              <w:pStyle w:val="62"/>
              <w:rPr>
                <w:bCs/>
                <w:u w:val="single"/>
              </w:rPr>
            </w:pPr>
            <w:r>
              <w:rPr>
                <w:bCs/>
                <w:u w:val="single"/>
              </w:rPr>
              <w:t>1年1次</w:t>
            </w:r>
          </w:p>
        </w:tc>
      </w:tr>
      <w:tr w14:paraId="44EC3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83" w:type="dxa"/>
            <w:vMerge w:val="continue"/>
            <w:tcMar>
              <w:top w:w="0" w:type="dxa"/>
              <w:left w:w="28" w:type="dxa"/>
              <w:bottom w:w="0" w:type="dxa"/>
              <w:right w:w="28" w:type="dxa"/>
            </w:tcMar>
            <w:vAlign w:val="center"/>
          </w:tcPr>
          <w:p w14:paraId="370D4920">
            <w:pPr>
              <w:pStyle w:val="62"/>
              <w:rPr>
                <w:bCs/>
                <w:u w:val="single"/>
              </w:rPr>
            </w:pPr>
          </w:p>
        </w:tc>
        <w:tc>
          <w:tcPr>
            <w:tcW w:w="567" w:type="dxa"/>
            <w:vMerge w:val="continue"/>
            <w:tcMar>
              <w:top w:w="0" w:type="dxa"/>
              <w:left w:w="28" w:type="dxa"/>
              <w:bottom w:w="0" w:type="dxa"/>
              <w:right w:w="28" w:type="dxa"/>
            </w:tcMar>
            <w:vAlign w:val="center"/>
          </w:tcPr>
          <w:p w14:paraId="028F7472">
            <w:pPr>
              <w:pStyle w:val="62"/>
              <w:rPr>
                <w:bCs/>
                <w:u w:val="single"/>
              </w:rPr>
            </w:pPr>
          </w:p>
        </w:tc>
        <w:tc>
          <w:tcPr>
            <w:tcW w:w="1842" w:type="dxa"/>
            <w:vAlign w:val="center"/>
          </w:tcPr>
          <w:p w14:paraId="201D768B">
            <w:pPr>
              <w:pStyle w:val="62"/>
              <w:rPr>
                <w:bCs/>
                <w:u w:val="single"/>
              </w:rPr>
            </w:pPr>
            <w:r>
              <w:rPr>
                <w:bCs/>
                <w:u w:val="single"/>
              </w:rPr>
              <w:t>深层土壤</w:t>
            </w:r>
          </w:p>
          <w:p w14:paraId="13BB1D5B">
            <w:pPr>
              <w:pStyle w:val="62"/>
              <w:rPr>
                <w:bCs/>
                <w:u w:val="single"/>
              </w:rPr>
            </w:pPr>
            <w:r>
              <w:rPr>
                <w:rFonts w:hint="eastAsia"/>
                <w:szCs w:val="20"/>
                <w:u w:val="single"/>
              </w:rPr>
              <w:t>（1.5-3m）</w:t>
            </w:r>
          </w:p>
        </w:tc>
        <w:tc>
          <w:tcPr>
            <w:tcW w:w="3969" w:type="dxa"/>
            <w:vMerge w:val="continue"/>
            <w:tcMar>
              <w:top w:w="0" w:type="dxa"/>
              <w:left w:w="28" w:type="dxa"/>
              <w:bottom w:w="0" w:type="dxa"/>
              <w:right w:w="28" w:type="dxa"/>
            </w:tcMar>
            <w:vAlign w:val="center"/>
          </w:tcPr>
          <w:p w14:paraId="0C61DF8A">
            <w:pPr>
              <w:pStyle w:val="62"/>
              <w:rPr>
                <w:bCs/>
                <w:u w:val="single"/>
              </w:rPr>
            </w:pPr>
          </w:p>
        </w:tc>
        <w:tc>
          <w:tcPr>
            <w:tcW w:w="1005" w:type="dxa"/>
            <w:tcMar>
              <w:top w:w="0" w:type="dxa"/>
              <w:left w:w="28" w:type="dxa"/>
              <w:bottom w:w="0" w:type="dxa"/>
              <w:right w:w="28" w:type="dxa"/>
            </w:tcMar>
            <w:vAlign w:val="center"/>
          </w:tcPr>
          <w:p w14:paraId="21C95C72">
            <w:pPr>
              <w:pStyle w:val="62"/>
              <w:rPr>
                <w:bCs/>
                <w:u w:val="single"/>
              </w:rPr>
            </w:pPr>
            <w:r>
              <w:rPr>
                <w:bCs/>
                <w:u w:val="single"/>
              </w:rPr>
              <w:t>3年1次</w:t>
            </w:r>
          </w:p>
        </w:tc>
      </w:tr>
    </w:tbl>
    <w:p w14:paraId="1D3EF378">
      <w:pPr>
        <w:pStyle w:val="96"/>
        <w:ind w:firstLine="420"/>
        <w:rPr>
          <w:b w:val="0"/>
          <w:bCs/>
        </w:rPr>
      </w:pPr>
      <w:r>
        <w:rPr>
          <w:b w:val="0"/>
          <w:bCs/>
        </w:rPr>
        <w:t>注</w:t>
      </w:r>
      <w:r>
        <w:rPr>
          <w:rFonts w:hint="eastAsia"/>
          <w:b w:val="0"/>
          <w:bCs/>
        </w:rPr>
        <w:t>（1）</w:t>
      </w:r>
      <w:r>
        <w:rPr>
          <w:b w:val="0"/>
          <w:bCs/>
        </w:rPr>
        <w:t>可委托当地有资质单位监测，监测结果应向社会公开。</w:t>
      </w:r>
    </w:p>
    <w:p w14:paraId="43C6DDAC">
      <w:pPr>
        <w:pStyle w:val="96"/>
        <w:ind w:firstLine="420"/>
        <w:rPr>
          <w:b w:val="0"/>
          <w:bCs/>
        </w:rPr>
      </w:pPr>
      <w:r>
        <w:rPr>
          <w:rFonts w:hint="eastAsia"/>
          <w:b w:val="0"/>
          <w:bCs/>
        </w:rPr>
        <w:t>（2）根据《环境影响评价技术导则 大气环境》（HJ2.2-2018）9.3.1，筛选按5.3.2要求计算的项目排放污染物Pi≥1%的其他污染物作为环境质量监测因子，根据第五章环境空气质量影响预测，本项目</w:t>
      </w:r>
      <w:r>
        <w:rPr>
          <w:b w:val="0"/>
          <w:bCs/>
        </w:rPr>
        <w:t>环境空气影响预测因子</w:t>
      </w:r>
      <w:r>
        <w:rPr>
          <w:rFonts w:hint="eastAsia"/>
          <w:b w:val="0"/>
          <w:bCs/>
        </w:rPr>
        <w:t>Pi均小于1%，故本项目不再对环境空气制定环境质量监测计划。</w:t>
      </w:r>
    </w:p>
    <w:p w14:paraId="1D3EF379">
      <w:pPr>
        <w:pStyle w:val="5"/>
        <w:spacing w:before="240" w:after="240"/>
      </w:pPr>
      <w:bookmarkStart w:id="406" w:name="_Toc489346018"/>
      <w:bookmarkStart w:id="407" w:name="_Toc7368"/>
      <w:r>
        <w:t>应急监测计划</w:t>
      </w:r>
    </w:p>
    <w:p w14:paraId="1D3EF37A">
      <w:pPr>
        <w:ind w:firstLine="480"/>
      </w:pPr>
      <w:r>
        <w:t>当企业发生非正常工况或污染防治设施运行不正常时，大量未经处理的污染物排放可能对环境产生严重的污染，本公司环境监测站应对该情况下可能产生的污染源及时分析，并立即委托地方环境监测站同时监测，以便采取应急措施，将产生的环境影响控制在最小程度；对发生较大的污染影响，应立即报告上级主管部门，果断采取联合措施，制止污染事故的蔓延。</w:t>
      </w:r>
      <w:r>
        <w:rPr>
          <w:rFonts w:hint="eastAsia"/>
        </w:rPr>
        <w:t>根据《突发环境事件应急监测技术规范》（HJ 589-2021）、《重特大突发环境事件空气应急监测工作规程》（环办监测函[2022]231号），</w:t>
      </w:r>
      <w:r>
        <w:t>应急监测计划见下表。</w:t>
      </w:r>
    </w:p>
    <w:p w14:paraId="1D3EF37B">
      <w:pPr>
        <w:pStyle w:val="64"/>
        <w:numPr>
          <w:ilvl w:val="2"/>
          <w:numId w:val="54"/>
        </w:numPr>
        <w:spacing w:before="0" w:beforeLines="0" w:line="520" w:lineRule="atLeast"/>
        <w:ind w:left="0" w:firstLine="480" w:firstLineChars="200"/>
      </w:pPr>
      <w:r>
        <w:t xml:space="preserve">              应急监测计划表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987"/>
        <w:gridCol w:w="2003"/>
        <w:gridCol w:w="2250"/>
        <w:gridCol w:w="1332"/>
      </w:tblGrid>
      <w:tr w14:paraId="1D3EF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pct"/>
            <w:vAlign w:val="center"/>
          </w:tcPr>
          <w:p w14:paraId="1D3EF37C">
            <w:pPr>
              <w:pStyle w:val="67"/>
              <w:rPr>
                <w:rFonts w:cs="Times New Roman"/>
                <w:color w:val="auto"/>
                <w:u w:val="single"/>
              </w:rPr>
            </w:pPr>
            <w:r>
              <w:rPr>
                <w:rFonts w:cs="Times New Roman"/>
                <w:color w:val="auto"/>
                <w:u w:val="single"/>
              </w:rPr>
              <w:t>序号</w:t>
            </w:r>
          </w:p>
        </w:tc>
        <w:tc>
          <w:tcPr>
            <w:tcW w:w="1165" w:type="pct"/>
            <w:vAlign w:val="center"/>
          </w:tcPr>
          <w:p w14:paraId="1D3EF37D">
            <w:pPr>
              <w:pStyle w:val="67"/>
              <w:rPr>
                <w:rFonts w:cs="Times New Roman"/>
                <w:color w:val="auto"/>
                <w:u w:val="single"/>
              </w:rPr>
            </w:pPr>
            <w:r>
              <w:rPr>
                <w:rFonts w:cs="Times New Roman"/>
                <w:color w:val="auto"/>
                <w:u w:val="single"/>
              </w:rPr>
              <w:t>事故类型</w:t>
            </w:r>
          </w:p>
        </w:tc>
        <w:tc>
          <w:tcPr>
            <w:tcW w:w="1174" w:type="pct"/>
            <w:vAlign w:val="center"/>
          </w:tcPr>
          <w:p w14:paraId="1D3EF37E">
            <w:pPr>
              <w:pStyle w:val="67"/>
              <w:rPr>
                <w:rFonts w:cs="Times New Roman"/>
                <w:color w:val="auto"/>
                <w:u w:val="single"/>
              </w:rPr>
            </w:pPr>
            <w:r>
              <w:rPr>
                <w:rFonts w:cs="Times New Roman"/>
                <w:color w:val="auto"/>
                <w:u w:val="single"/>
              </w:rPr>
              <w:t>监测位置</w:t>
            </w:r>
          </w:p>
        </w:tc>
        <w:tc>
          <w:tcPr>
            <w:tcW w:w="1319" w:type="pct"/>
            <w:vAlign w:val="center"/>
          </w:tcPr>
          <w:p w14:paraId="1D3EF37F">
            <w:pPr>
              <w:pStyle w:val="67"/>
              <w:rPr>
                <w:rFonts w:cs="Times New Roman"/>
                <w:color w:val="auto"/>
                <w:highlight w:val="yellow"/>
                <w:u w:val="single"/>
              </w:rPr>
            </w:pPr>
            <w:r>
              <w:rPr>
                <w:rFonts w:cs="Times New Roman"/>
                <w:color w:val="auto"/>
                <w:u w:val="single"/>
              </w:rPr>
              <w:t>监测项目</w:t>
            </w:r>
          </w:p>
        </w:tc>
        <w:tc>
          <w:tcPr>
            <w:tcW w:w="781" w:type="pct"/>
            <w:vAlign w:val="center"/>
          </w:tcPr>
          <w:p w14:paraId="1D3EF380">
            <w:pPr>
              <w:pStyle w:val="67"/>
              <w:rPr>
                <w:rFonts w:cs="Times New Roman"/>
                <w:color w:val="auto"/>
                <w:u w:val="single"/>
              </w:rPr>
            </w:pPr>
            <w:r>
              <w:rPr>
                <w:rFonts w:cs="Times New Roman"/>
                <w:color w:val="auto"/>
                <w:u w:val="single"/>
              </w:rPr>
              <w:t>监测频率</w:t>
            </w:r>
          </w:p>
        </w:tc>
      </w:tr>
      <w:tr w14:paraId="1D3EF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pct"/>
            <w:vAlign w:val="center"/>
          </w:tcPr>
          <w:p w14:paraId="1D3EF382">
            <w:pPr>
              <w:pStyle w:val="62"/>
              <w:rPr>
                <w:kern w:val="2"/>
                <w:u w:val="single"/>
              </w:rPr>
            </w:pPr>
            <w:r>
              <w:rPr>
                <w:kern w:val="2"/>
                <w:u w:val="single"/>
              </w:rPr>
              <w:t>废气</w:t>
            </w:r>
          </w:p>
        </w:tc>
        <w:tc>
          <w:tcPr>
            <w:tcW w:w="1165" w:type="pct"/>
            <w:vAlign w:val="center"/>
          </w:tcPr>
          <w:p w14:paraId="1D3EF383">
            <w:pPr>
              <w:pStyle w:val="62"/>
              <w:rPr>
                <w:kern w:val="2"/>
                <w:u w:val="single"/>
              </w:rPr>
            </w:pPr>
            <w:r>
              <w:rPr>
                <w:kern w:val="2"/>
                <w:u w:val="single"/>
              </w:rPr>
              <w:t>废气治理设施不正常运行</w:t>
            </w:r>
          </w:p>
        </w:tc>
        <w:tc>
          <w:tcPr>
            <w:tcW w:w="1174" w:type="pct"/>
            <w:vAlign w:val="center"/>
          </w:tcPr>
          <w:p w14:paraId="1D3EF384">
            <w:pPr>
              <w:pStyle w:val="62"/>
              <w:rPr>
                <w:kern w:val="2"/>
                <w:u w:val="single"/>
              </w:rPr>
            </w:pPr>
            <w:r>
              <w:rPr>
                <w:kern w:val="2"/>
                <w:u w:val="single"/>
              </w:rPr>
              <w:t>厂界四周</w:t>
            </w:r>
          </w:p>
        </w:tc>
        <w:tc>
          <w:tcPr>
            <w:tcW w:w="1319" w:type="pct"/>
            <w:vAlign w:val="center"/>
          </w:tcPr>
          <w:p w14:paraId="1D3EF385">
            <w:pPr>
              <w:pStyle w:val="62"/>
              <w:rPr>
                <w:kern w:val="2"/>
                <w:highlight w:val="yellow"/>
                <w:u w:val="single"/>
              </w:rPr>
            </w:pPr>
            <w:r>
              <w:rPr>
                <w:rFonts w:hint="eastAsia"/>
                <w:u w:val="single"/>
              </w:rPr>
              <w:t>非甲烷总烃、硫酸雾、颗粒物、氨、硫化氢、臭气浓度</w:t>
            </w:r>
          </w:p>
        </w:tc>
        <w:tc>
          <w:tcPr>
            <w:tcW w:w="781" w:type="pct"/>
            <w:vAlign w:val="center"/>
          </w:tcPr>
          <w:p w14:paraId="1D3EF386">
            <w:pPr>
              <w:pStyle w:val="62"/>
              <w:rPr>
                <w:kern w:val="2"/>
                <w:u w:val="single"/>
              </w:rPr>
            </w:pPr>
            <w:r>
              <w:rPr>
                <w:kern w:val="2"/>
                <w:u w:val="single"/>
              </w:rPr>
              <w:t>每天</w:t>
            </w:r>
            <w:r>
              <w:rPr>
                <w:rFonts w:hint="eastAsia"/>
                <w:kern w:val="2"/>
                <w:u w:val="single"/>
              </w:rPr>
              <w:t>不少于</w:t>
            </w:r>
            <w:r>
              <w:rPr>
                <w:kern w:val="2"/>
                <w:u w:val="single"/>
              </w:rPr>
              <w:t>四次</w:t>
            </w:r>
          </w:p>
        </w:tc>
      </w:tr>
      <w:tr w14:paraId="1D3EF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1" w:type="pct"/>
            <w:vAlign w:val="center"/>
          </w:tcPr>
          <w:p w14:paraId="1D3EF388">
            <w:pPr>
              <w:pStyle w:val="62"/>
              <w:rPr>
                <w:kern w:val="2"/>
                <w:u w:val="single"/>
              </w:rPr>
            </w:pPr>
            <w:r>
              <w:rPr>
                <w:kern w:val="2"/>
                <w:u w:val="single"/>
              </w:rPr>
              <w:t>地表水</w:t>
            </w:r>
          </w:p>
        </w:tc>
        <w:tc>
          <w:tcPr>
            <w:tcW w:w="1165" w:type="pct"/>
            <w:vAlign w:val="center"/>
          </w:tcPr>
          <w:p w14:paraId="1D3EF389">
            <w:pPr>
              <w:pStyle w:val="62"/>
              <w:rPr>
                <w:kern w:val="2"/>
                <w:u w:val="single"/>
              </w:rPr>
            </w:pPr>
            <w:r>
              <w:rPr>
                <w:kern w:val="2"/>
                <w:u w:val="single"/>
              </w:rPr>
              <w:t>火灾</w:t>
            </w:r>
          </w:p>
        </w:tc>
        <w:tc>
          <w:tcPr>
            <w:tcW w:w="1174" w:type="pct"/>
            <w:vAlign w:val="center"/>
          </w:tcPr>
          <w:p w14:paraId="1D3EF38A">
            <w:pPr>
              <w:pStyle w:val="62"/>
              <w:rPr>
                <w:kern w:val="2"/>
                <w:u w:val="single"/>
              </w:rPr>
            </w:pPr>
            <w:r>
              <w:rPr>
                <w:kern w:val="2"/>
                <w:u w:val="single"/>
              </w:rPr>
              <w:t>事故废水收集池内</w:t>
            </w:r>
          </w:p>
        </w:tc>
        <w:tc>
          <w:tcPr>
            <w:tcW w:w="1319" w:type="pct"/>
            <w:vAlign w:val="center"/>
          </w:tcPr>
          <w:p w14:paraId="1D3EF38B">
            <w:pPr>
              <w:pStyle w:val="62"/>
              <w:rPr>
                <w:kern w:val="2"/>
                <w:u w:val="single"/>
              </w:rPr>
            </w:pPr>
            <w:r>
              <w:rPr>
                <w:kern w:val="2"/>
                <w:u w:val="single"/>
              </w:rPr>
              <w:t>pH、</w:t>
            </w:r>
            <w:r>
              <w:rPr>
                <w:rFonts w:hint="eastAsia"/>
                <w:kern w:val="2"/>
                <w:u w:val="single"/>
              </w:rPr>
              <w:t>色度、</w:t>
            </w:r>
            <w:r>
              <w:rPr>
                <w:kern w:val="2"/>
                <w:u w:val="single"/>
              </w:rPr>
              <w:t>COD、BOD</w:t>
            </w:r>
            <w:r>
              <w:rPr>
                <w:kern w:val="2"/>
                <w:u w:val="single"/>
                <w:vertAlign w:val="subscript"/>
              </w:rPr>
              <w:t>5</w:t>
            </w:r>
            <w:r>
              <w:rPr>
                <w:kern w:val="2"/>
                <w:u w:val="single"/>
              </w:rPr>
              <w:t>、SS、</w:t>
            </w:r>
            <w:r>
              <w:rPr>
                <w:rFonts w:hint="eastAsia"/>
                <w:kern w:val="2"/>
                <w:u w:val="single"/>
              </w:rPr>
              <w:t>石油类</w:t>
            </w:r>
          </w:p>
        </w:tc>
        <w:tc>
          <w:tcPr>
            <w:tcW w:w="781" w:type="pct"/>
            <w:vAlign w:val="center"/>
          </w:tcPr>
          <w:p w14:paraId="1D3EF38C">
            <w:pPr>
              <w:pStyle w:val="62"/>
              <w:rPr>
                <w:kern w:val="2"/>
                <w:u w:val="single"/>
              </w:rPr>
            </w:pPr>
            <w:r>
              <w:rPr>
                <w:kern w:val="2"/>
                <w:u w:val="single"/>
              </w:rPr>
              <w:t>每2h一次</w:t>
            </w:r>
          </w:p>
        </w:tc>
      </w:tr>
    </w:tbl>
    <w:p w14:paraId="1D3EF394">
      <w:pPr>
        <w:pStyle w:val="5"/>
        <w:spacing w:before="240" w:after="240"/>
      </w:pPr>
      <w:r>
        <w:t>验收监测质量保证与质量控制</w:t>
      </w:r>
    </w:p>
    <w:p w14:paraId="1D3EF395">
      <w:pPr>
        <w:ind w:firstLine="480"/>
      </w:pPr>
      <w:r>
        <w:t>验收监测采样及样品分析均严格按照《环境水质监测质量保证手册》（第二版）、《环境空气监测质量保证手册》及《环境监测技术规范》等要求进行，实施全程质量控制。具体质控要求如下：</w:t>
      </w:r>
    </w:p>
    <w:p w14:paraId="1D3EF396">
      <w:pPr>
        <w:ind w:firstLine="480"/>
      </w:pPr>
      <w:r>
        <w:t>A、验收监测应当在确保主体工程工况稳定、环境保护设施运行正常的情况下进行。</w:t>
      </w:r>
    </w:p>
    <w:p w14:paraId="1D3EF397">
      <w:pPr>
        <w:ind w:firstLine="480"/>
      </w:pPr>
      <w:r>
        <w:t>B、合理布设监测点位，保证各监测点位布设的科学性和可比性。</w:t>
      </w:r>
    </w:p>
    <w:p w14:paraId="1D3EF398">
      <w:pPr>
        <w:pStyle w:val="5"/>
        <w:spacing w:before="240" w:after="240"/>
      </w:pPr>
      <w:r>
        <w:t>监测分析方法</w:t>
      </w:r>
    </w:p>
    <w:p w14:paraId="1D3EF399">
      <w:pPr>
        <w:ind w:firstLine="480"/>
      </w:pPr>
      <w:r>
        <w:t>样品采集及分析采用国标（或推荐）方法，对目前尚无国标方法的项目，则采用《空气和废气监测分析方法》（第四版）中的分析方法。</w:t>
      </w:r>
    </w:p>
    <w:bookmarkEnd w:id="406"/>
    <w:bookmarkEnd w:id="407"/>
    <w:p w14:paraId="1E12204D">
      <w:pPr>
        <w:pStyle w:val="4"/>
      </w:pPr>
      <w:bookmarkStart w:id="408" w:name="_Toc489346019"/>
      <w:bookmarkStart w:id="409" w:name="_Toc176105897"/>
      <w:r>
        <w:rPr>
          <w:rFonts w:hint="eastAsia"/>
        </w:rPr>
        <w:t>环境管理台账</w:t>
      </w:r>
    </w:p>
    <w:p w14:paraId="21C8A9A1">
      <w:pPr>
        <w:ind w:firstLine="480"/>
      </w:pPr>
      <w:r>
        <w:t>建立公司环境保护台账，台账主要包括生产设施运行记录表、废水处理设施运行记录表、废气处理设施运行记录表</w:t>
      </w:r>
      <w:r>
        <w:rPr>
          <w:rFonts w:hint="eastAsia"/>
        </w:rPr>
        <w:t>、危险废物进出台帐、及污染物排放监测资料、环境管理档案资料等</w:t>
      </w:r>
      <w:r>
        <w:t>相关内容</w:t>
      </w:r>
      <w:r>
        <w:rPr>
          <w:rFonts w:hint="eastAsia"/>
        </w:rPr>
        <w:t>。</w:t>
      </w:r>
    </w:p>
    <w:p w14:paraId="1D3EF39A">
      <w:pPr>
        <w:pStyle w:val="4"/>
      </w:pPr>
      <w:r>
        <w:rPr>
          <w:rFonts w:hint="eastAsia"/>
        </w:rPr>
        <w:t>工程概况及</w:t>
      </w:r>
      <w:r>
        <w:t>信息公开</w:t>
      </w:r>
      <w:bookmarkEnd w:id="408"/>
      <w:r>
        <w:t>内容</w:t>
      </w:r>
      <w:bookmarkEnd w:id="409"/>
    </w:p>
    <w:p w14:paraId="1D3EF39B">
      <w:pPr>
        <w:ind w:firstLine="480"/>
      </w:pPr>
      <w:r>
        <w:rPr>
          <w:rFonts w:hint="eastAsia"/>
        </w:rPr>
        <w:t>建设单位应该根据《排污许可管理办法》（部令第32号）和《企业环境信息依法披露管理办法》(该文件2022.2.8实施)等要求，按时公开项目基本情况，如项目主要组成情况、项目产品方案、污染物产排及治理措施等情况。企业在运行期间内，应自行开展污染物排放监测或者委托有资质的监测单位对企业的排污情况进行监测，并通过多种渠道向社会公开相关信息。</w:t>
      </w:r>
    </w:p>
    <w:p w14:paraId="1551AEB8">
      <w:pPr>
        <w:pStyle w:val="2"/>
        <w:spacing w:after="0"/>
        <w:ind w:firstLine="482"/>
        <w:rPr>
          <w:b/>
          <w:bCs/>
        </w:rPr>
      </w:pPr>
      <w:r>
        <w:rPr>
          <w:rFonts w:hint="eastAsia"/>
          <w:b/>
          <w:bCs/>
        </w:rPr>
        <w:t>（1）项目概况</w:t>
      </w:r>
    </w:p>
    <w:p w14:paraId="0E065D9B">
      <w:pPr>
        <w:pStyle w:val="2"/>
        <w:spacing w:after="0"/>
        <w:ind w:firstLine="480"/>
      </w:pPr>
      <w:r>
        <w:rPr>
          <w:rFonts w:hint="eastAsia"/>
        </w:rPr>
        <w:t>根据市场需求以及企业自身的发展规划，</w:t>
      </w:r>
      <w:r>
        <w:t>河南欣姣芬化工有限公司拟投资</w:t>
      </w:r>
      <w:r>
        <w:rPr>
          <w:rFonts w:hint="eastAsia"/>
        </w:rPr>
        <w:t>3</w:t>
      </w:r>
      <w:r>
        <w:t>000万元，租赁</w:t>
      </w:r>
      <w:r>
        <w:rPr>
          <w:rFonts w:hint="eastAsia"/>
        </w:rPr>
        <w:t>新乡市太行水泥粉磨有限公司现有厂房2832m</w:t>
      </w:r>
      <w:r>
        <w:rPr>
          <w:rFonts w:hint="eastAsia"/>
          <w:vertAlign w:val="superscript"/>
        </w:rPr>
        <w:t>2</w:t>
      </w:r>
      <w:r>
        <w:rPr>
          <w:rFonts w:hint="eastAsia"/>
        </w:rPr>
        <w:t>及办公用房200m</w:t>
      </w:r>
      <w:r>
        <w:rPr>
          <w:rFonts w:hint="eastAsia"/>
          <w:vertAlign w:val="superscript"/>
        </w:rPr>
        <w:t>2</w:t>
      </w:r>
      <w:r>
        <w:t>建设“年产10000吨聚醚改性硅油、1000吨色浆项目”。</w:t>
      </w:r>
      <w:r>
        <w:rPr>
          <w:rFonts w:hint="eastAsia"/>
        </w:rPr>
        <w:t>本项目主要组成情况见下表。</w:t>
      </w:r>
    </w:p>
    <w:p w14:paraId="12412D05">
      <w:pPr>
        <w:pStyle w:val="99"/>
        <w:numPr>
          <w:ilvl w:val="4"/>
          <w:numId w:val="55"/>
        </w:numPr>
        <w:ind w:left="0" w:firstLine="480"/>
        <w:rPr>
          <w:rFonts w:eastAsia="黑体"/>
        </w:rPr>
      </w:pPr>
      <w:r>
        <w:rPr>
          <w:rFonts w:eastAsia="黑体"/>
        </w:rPr>
        <w:t xml:space="preserve">     </w:t>
      </w:r>
      <w:r>
        <w:rPr>
          <w:rFonts w:hint="eastAsia" w:eastAsia="黑体"/>
        </w:rPr>
        <w:t xml:space="preserve">   </w:t>
      </w:r>
      <w:r>
        <w:rPr>
          <w:rFonts w:eastAsia="黑体"/>
        </w:rPr>
        <w:t xml:space="preserve"> 本项目主要组成及建设情况一览表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40"/>
        <w:gridCol w:w="671"/>
        <w:gridCol w:w="681"/>
        <w:gridCol w:w="1009"/>
        <w:gridCol w:w="1009"/>
        <w:gridCol w:w="1429"/>
        <w:gridCol w:w="864"/>
        <w:gridCol w:w="716"/>
        <w:gridCol w:w="718"/>
        <w:gridCol w:w="932"/>
      </w:tblGrid>
      <w:tr w14:paraId="0C297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203" w:type="pct"/>
            <w:vAlign w:val="center"/>
          </w:tcPr>
          <w:p w14:paraId="1036FFB3">
            <w:pPr>
              <w:pStyle w:val="67"/>
              <w:rPr>
                <w:rFonts w:cs="Times New Roman"/>
                <w:color w:val="auto"/>
                <w:u w:val="single"/>
              </w:rPr>
            </w:pPr>
            <w:r>
              <w:rPr>
                <w:rFonts w:cs="Times New Roman"/>
                <w:color w:val="auto"/>
                <w:u w:val="single"/>
              </w:rPr>
              <w:t>序号</w:t>
            </w:r>
          </w:p>
        </w:tc>
        <w:tc>
          <w:tcPr>
            <w:tcW w:w="401" w:type="pct"/>
            <w:vAlign w:val="center"/>
          </w:tcPr>
          <w:p w14:paraId="28FC37E4">
            <w:pPr>
              <w:pStyle w:val="67"/>
              <w:rPr>
                <w:rFonts w:cs="Times New Roman"/>
                <w:color w:val="auto"/>
                <w:u w:val="single"/>
              </w:rPr>
            </w:pPr>
            <w:r>
              <w:rPr>
                <w:rFonts w:cs="Times New Roman"/>
                <w:color w:val="auto"/>
                <w:u w:val="single"/>
              </w:rPr>
              <w:t>工程类别</w:t>
            </w:r>
          </w:p>
        </w:tc>
        <w:tc>
          <w:tcPr>
            <w:tcW w:w="1613" w:type="pct"/>
            <w:gridSpan w:val="3"/>
            <w:vAlign w:val="center"/>
          </w:tcPr>
          <w:p w14:paraId="6EF8F2B4">
            <w:pPr>
              <w:pStyle w:val="67"/>
              <w:rPr>
                <w:rFonts w:cs="Times New Roman"/>
                <w:color w:val="auto"/>
                <w:u w:val="single"/>
              </w:rPr>
            </w:pPr>
            <w:r>
              <w:rPr>
                <w:rFonts w:cs="Times New Roman"/>
                <w:color w:val="auto"/>
                <w:u w:val="single"/>
              </w:rPr>
              <w:t>工程名称</w:t>
            </w:r>
          </w:p>
        </w:tc>
        <w:tc>
          <w:tcPr>
            <w:tcW w:w="2227" w:type="pct"/>
            <w:gridSpan w:val="4"/>
            <w:vAlign w:val="center"/>
          </w:tcPr>
          <w:p w14:paraId="5F83CB2A">
            <w:pPr>
              <w:pStyle w:val="67"/>
              <w:rPr>
                <w:rFonts w:cs="Times New Roman"/>
                <w:color w:val="auto"/>
                <w:u w:val="single"/>
              </w:rPr>
            </w:pPr>
            <w:r>
              <w:rPr>
                <w:rFonts w:cs="Times New Roman"/>
                <w:color w:val="auto"/>
                <w:u w:val="single"/>
                <w:lang w:val="pt-BR"/>
              </w:rPr>
              <w:t>数量、规模或要求</w:t>
            </w:r>
          </w:p>
        </w:tc>
        <w:tc>
          <w:tcPr>
            <w:tcW w:w="556" w:type="pct"/>
            <w:vAlign w:val="center"/>
          </w:tcPr>
          <w:p w14:paraId="5E15FA20">
            <w:pPr>
              <w:pStyle w:val="67"/>
              <w:rPr>
                <w:rFonts w:cs="Times New Roman"/>
                <w:color w:val="auto"/>
                <w:u w:val="single"/>
              </w:rPr>
            </w:pPr>
            <w:r>
              <w:rPr>
                <w:rFonts w:cs="Times New Roman"/>
                <w:color w:val="auto"/>
                <w:u w:val="single"/>
                <w:lang w:val="pt-BR"/>
              </w:rPr>
              <w:t>备注</w:t>
            </w:r>
          </w:p>
        </w:tc>
      </w:tr>
      <w:tr w14:paraId="60A53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restart"/>
            <w:vAlign w:val="center"/>
          </w:tcPr>
          <w:p w14:paraId="2EEFB55C">
            <w:pPr>
              <w:pStyle w:val="62"/>
              <w:rPr>
                <w:u w:val="single"/>
              </w:rPr>
            </w:pPr>
            <w:r>
              <w:rPr>
                <w:u w:val="single"/>
              </w:rPr>
              <w:t>1</w:t>
            </w:r>
          </w:p>
        </w:tc>
        <w:tc>
          <w:tcPr>
            <w:tcW w:w="401" w:type="pct"/>
            <w:vMerge w:val="restart"/>
            <w:vAlign w:val="center"/>
          </w:tcPr>
          <w:p w14:paraId="3D0D53B4">
            <w:pPr>
              <w:pStyle w:val="62"/>
              <w:rPr>
                <w:u w:val="single"/>
              </w:rPr>
            </w:pPr>
            <w:r>
              <w:rPr>
                <w:u w:val="single"/>
              </w:rPr>
              <w:t>主体工程</w:t>
            </w:r>
          </w:p>
        </w:tc>
        <w:tc>
          <w:tcPr>
            <w:tcW w:w="407" w:type="pct"/>
            <w:vMerge w:val="restart"/>
            <w:vAlign w:val="center"/>
          </w:tcPr>
          <w:p w14:paraId="4350EC98">
            <w:pPr>
              <w:pStyle w:val="62"/>
              <w:rPr>
                <w:u w:val="single"/>
              </w:rPr>
            </w:pPr>
            <w:r>
              <w:rPr>
                <w:rFonts w:hint="eastAsia"/>
                <w:u w:val="single"/>
              </w:rPr>
              <w:t>车间</w:t>
            </w:r>
          </w:p>
        </w:tc>
        <w:tc>
          <w:tcPr>
            <w:tcW w:w="1206" w:type="pct"/>
            <w:gridSpan w:val="2"/>
            <w:vAlign w:val="center"/>
          </w:tcPr>
          <w:p w14:paraId="129152A5">
            <w:pPr>
              <w:pStyle w:val="62"/>
              <w:rPr>
                <w:u w:val="single"/>
              </w:rPr>
            </w:pPr>
            <w:r>
              <w:rPr>
                <w:rFonts w:hint="eastAsia"/>
                <w:u w:val="single"/>
              </w:rPr>
              <w:t>反应釜区</w:t>
            </w:r>
          </w:p>
        </w:tc>
        <w:tc>
          <w:tcPr>
            <w:tcW w:w="2227" w:type="pct"/>
            <w:gridSpan w:val="4"/>
            <w:vAlign w:val="center"/>
          </w:tcPr>
          <w:p w14:paraId="6C1C4C18">
            <w:pPr>
              <w:pStyle w:val="62"/>
              <w:rPr>
                <w:u w:val="single"/>
              </w:rPr>
            </w:pPr>
            <w:r>
              <w:rPr>
                <w:bCs/>
                <w:u w:val="single"/>
              </w:rPr>
              <w:t>占地面积1</w:t>
            </w:r>
            <w:r>
              <w:rPr>
                <w:rFonts w:hint="eastAsia"/>
                <w:bCs/>
                <w:u w:val="single"/>
              </w:rPr>
              <w:t>98</w:t>
            </w:r>
            <w:r>
              <w:rPr>
                <w:bCs/>
                <w:u w:val="single"/>
              </w:rPr>
              <w:t>m</w:t>
            </w:r>
            <w:r>
              <w:rPr>
                <w:bCs/>
                <w:u w:val="single"/>
                <w:vertAlign w:val="superscript"/>
              </w:rPr>
              <w:t>2</w:t>
            </w:r>
          </w:p>
        </w:tc>
        <w:tc>
          <w:tcPr>
            <w:tcW w:w="556" w:type="pct"/>
            <w:vAlign w:val="center"/>
          </w:tcPr>
          <w:p w14:paraId="14A031DA">
            <w:pPr>
              <w:pStyle w:val="62"/>
              <w:rPr>
                <w:u w:val="single"/>
              </w:rPr>
            </w:pPr>
            <w:r>
              <w:rPr>
                <w:u w:val="single"/>
              </w:rPr>
              <w:t>新建</w:t>
            </w:r>
          </w:p>
        </w:tc>
      </w:tr>
      <w:tr w14:paraId="3CC37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3D832065">
            <w:pPr>
              <w:pStyle w:val="62"/>
              <w:rPr>
                <w:highlight w:val="yellow"/>
                <w:u w:val="single"/>
              </w:rPr>
            </w:pPr>
          </w:p>
        </w:tc>
        <w:tc>
          <w:tcPr>
            <w:tcW w:w="401" w:type="pct"/>
            <w:vMerge w:val="continue"/>
            <w:vAlign w:val="center"/>
          </w:tcPr>
          <w:p w14:paraId="6A7E9FAD">
            <w:pPr>
              <w:pStyle w:val="62"/>
              <w:rPr>
                <w:highlight w:val="yellow"/>
                <w:u w:val="single"/>
              </w:rPr>
            </w:pPr>
          </w:p>
        </w:tc>
        <w:tc>
          <w:tcPr>
            <w:tcW w:w="407" w:type="pct"/>
            <w:vMerge w:val="continue"/>
            <w:vAlign w:val="center"/>
          </w:tcPr>
          <w:p w14:paraId="16C099A6">
            <w:pPr>
              <w:pStyle w:val="62"/>
              <w:rPr>
                <w:u w:val="single"/>
              </w:rPr>
            </w:pPr>
          </w:p>
        </w:tc>
        <w:tc>
          <w:tcPr>
            <w:tcW w:w="1206" w:type="pct"/>
            <w:gridSpan w:val="2"/>
            <w:vAlign w:val="center"/>
          </w:tcPr>
          <w:p w14:paraId="75D33B0F">
            <w:pPr>
              <w:pStyle w:val="62"/>
              <w:rPr>
                <w:u w:val="single"/>
              </w:rPr>
            </w:pPr>
            <w:r>
              <w:rPr>
                <w:rFonts w:hint="eastAsia"/>
                <w:u w:val="single"/>
              </w:rPr>
              <w:t>搅拌区</w:t>
            </w:r>
          </w:p>
        </w:tc>
        <w:tc>
          <w:tcPr>
            <w:tcW w:w="2227" w:type="pct"/>
            <w:gridSpan w:val="4"/>
            <w:vAlign w:val="center"/>
          </w:tcPr>
          <w:p w14:paraId="438DB2C6">
            <w:pPr>
              <w:pStyle w:val="62"/>
              <w:rPr>
                <w:u w:val="single"/>
              </w:rPr>
            </w:pPr>
            <w:r>
              <w:rPr>
                <w:bCs/>
                <w:u w:val="single"/>
              </w:rPr>
              <w:t>占地面积</w:t>
            </w:r>
            <w:r>
              <w:rPr>
                <w:rFonts w:hint="eastAsia"/>
                <w:bCs/>
                <w:u w:val="single"/>
              </w:rPr>
              <w:t>116</w:t>
            </w:r>
            <w:r>
              <w:rPr>
                <w:bCs/>
                <w:u w:val="single"/>
              </w:rPr>
              <w:t>m</w:t>
            </w:r>
            <w:r>
              <w:rPr>
                <w:bCs/>
                <w:u w:val="single"/>
                <w:vertAlign w:val="superscript"/>
              </w:rPr>
              <w:t>2</w:t>
            </w:r>
          </w:p>
        </w:tc>
        <w:tc>
          <w:tcPr>
            <w:tcW w:w="556" w:type="pct"/>
            <w:vAlign w:val="center"/>
          </w:tcPr>
          <w:p w14:paraId="2E102761">
            <w:pPr>
              <w:pStyle w:val="62"/>
              <w:rPr>
                <w:u w:val="single"/>
              </w:rPr>
            </w:pPr>
            <w:r>
              <w:rPr>
                <w:u w:val="single"/>
              </w:rPr>
              <w:t>新建</w:t>
            </w:r>
          </w:p>
        </w:tc>
      </w:tr>
      <w:tr w14:paraId="5C5F7D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31FB2BCC">
            <w:pPr>
              <w:pStyle w:val="62"/>
              <w:rPr>
                <w:highlight w:val="yellow"/>
                <w:u w:val="single"/>
              </w:rPr>
            </w:pPr>
          </w:p>
        </w:tc>
        <w:tc>
          <w:tcPr>
            <w:tcW w:w="401" w:type="pct"/>
            <w:vMerge w:val="continue"/>
            <w:vAlign w:val="center"/>
          </w:tcPr>
          <w:p w14:paraId="0BCBFBBE">
            <w:pPr>
              <w:pStyle w:val="62"/>
              <w:rPr>
                <w:highlight w:val="yellow"/>
                <w:u w:val="single"/>
              </w:rPr>
            </w:pPr>
          </w:p>
        </w:tc>
        <w:tc>
          <w:tcPr>
            <w:tcW w:w="407" w:type="pct"/>
            <w:vMerge w:val="continue"/>
            <w:vAlign w:val="center"/>
          </w:tcPr>
          <w:p w14:paraId="2B855834">
            <w:pPr>
              <w:pStyle w:val="62"/>
              <w:rPr>
                <w:u w:val="single"/>
              </w:rPr>
            </w:pPr>
          </w:p>
        </w:tc>
        <w:tc>
          <w:tcPr>
            <w:tcW w:w="1206" w:type="pct"/>
            <w:gridSpan w:val="2"/>
            <w:vAlign w:val="center"/>
          </w:tcPr>
          <w:p w14:paraId="359594DD">
            <w:pPr>
              <w:pStyle w:val="62"/>
              <w:rPr>
                <w:u w:val="single"/>
              </w:rPr>
            </w:pPr>
            <w:r>
              <w:rPr>
                <w:rFonts w:hint="eastAsia"/>
                <w:u w:val="single"/>
              </w:rPr>
              <w:t>罐装区</w:t>
            </w:r>
          </w:p>
        </w:tc>
        <w:tc>
          <w:tcPr>
            <w:tcW w:w="2227" w:type="pct"/>
            <w:gridSpan w:val="4"/>
            <w:vAlign w:val="center"/>
          </w:tcPr>
          <w:p w14:paraId="467CB12F">
            <w:pPr>
              <w:pStyle w:val="62"/>
              <w:rPr>
                <w:bCs/>
                <w:u w:val="single"/>
              </w:rPr>
            </w:pPr>
            <w:r>
              <w:rPr>
                <w:bCs/>
                <w:u w:val="single"/>
              </w:rPr>
              <w:t>占地面积</w:t>
            </w:r>
            <w:r>
              <w:rPr>
                <w:rFonts w:hint="eastAsia"/>
                <w:bCs/>
                <w:u w:val="single"/>
              </w:rPr>
              <w:t>24</w:t>
            </w:r>
            <w:r>
              <w:rPr>
                <w:bCs/>
                <w:u w:val="single"/>
              </w:rPr>
              <w:t>m</w:t>
            </w:r>
            <w:r>
              <w:rPr>
                <w:bCs/>
                <w:u w:val="single"/>
                <w:vertAlign w:val="superscript"/>
              </w:rPr>
              <w:t>2</w:t>
            </w:r>
          </w:p>
        </w:tc>
        <w:tc>
          <w:tcPr>
            <w:tcW w:w="556" w:type="pct"/>
            <w:vAlign w:val="center"/>
          </w:tcPr>
          <w:p w14:paraId="38A63C2E">
            <w:pPr>
              <w:pStyle w:val="62"/>
              <w:rPr>
                <w:u w:val="single"/>
              </w:rPr>
            </w:pPr>
            <w:r>
              <w:rPr>
                <w:u w:val="single"/>
              </w:rPr>
              <w:t>新建</w:t>
            </w:r>
          </w:p>
        </w:tc>
      </w:tr>
      <w:tr w14:paraId="7107D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56702A9F">
            <w:pPr>
              <w:pStyle w:val="62"/>
              <w:rPr>
                <w:highlight w:val="yellow"/>
                <w:u w:val="single"/>
              </w:rPr>
            </w:pPr>
          </w:p>
        </w:tc>
        <w:tc>
          <w:tcPr>
            <w:tcW w:w="401" w:type="pct"/>
            <w:vMerge w:val="continue"/>
            <w:vAlign w:val="center"/>
          </w:tcPr>
          <w:p w14:paraId="281FF0F4">
            <w:pPr>
              <w:pStyle w:val="62"/>
              <w:rPr>
                <w:highlight w:val="yellow"/>
                <w:u w:val="single"/>
              </w:rPr>
            </w:pPr>
          </w:p>
        </w:tc>
        <w:tc>
          <w:tcPr>
            <w:tcW w:w="407" w:type="pct"/>
            <w:vMerge w:val="continue"/>
            <w:vAlign w:val="center"/>
          </w:tcPr>
          <w:p w14:paraId="6C6B7649">
            <w:pPr>
              <w:pStyle w:val="62"/>
              <w:rPr>
                <w:u w:val="single"/>
              </w:rPr>
            </w:pPr>
          </w:p>
        </w:tc>
        <w:tc>
          <w:tcPr>
            <w:tcW w:w="1206" w:type="pct"/>
            <w:gridSpan w:val="2"/>
            <w:vAlign w:val="center"/>
          </w:tcPr>
          <w:p w14:paraId="71A5D0D1">
            <w:pPr>
              <w:pStyle w:val="62"/>
              <w:rPr>
                <w:u w:val="single"/>
              </w:rPr>
            </w:pPr>
            <w:r>
              <w:rPr>
                <w:rFonts w:hint="eastAsia"/>
                <w:u w:val="single"/>
              </w:rPr>
              <w:t>压滤离心区</w:t>
            </w:r>
          </w:p>
        </w:tc>
        <w:tc>
          <w:tcPr>
            <w:tcW w:w="2227" w:type="pct"/>
            <w:gridSpan w:val="4"/>
            <w:vAlign w:val="center"/>
          </w:tcPr>
          <w:p w14:paraId="0148DD56">
            <w:pPr>
              <w:pStyle w:val="62"/>
              <w:rPr>
                <w:bCs/>
                <w:highlight w:val="yellow"/>
                <w:u w:val="single"/>
              </w:rPr>
            </w:pPr>
            <w:r>
              <w:rPr>
                <w:bCs/>
                <w:u w:val="single"/>
              </w:rPr>
              <w:t>占地面积</w:t>
            </w:r>
            <w:r>
              <w:rPr>
                <w:rFonts w:hint="eastAsia"/>
                <w:bCs/>
                <w:u w:val="single"/>
              </w:rPr>
              <w:t>84</w:t>
            </w:r>
            <w:r>
              <w:rPr>
                <w:bCs/>
                <w:u w:val="single"/>
              </w:rPr>
              <w:t>m</w:t>
            </w:r>
            <w:r>
              <w:rPr>
                <w:bCs/>
                <w:u w:val="single"/>
                <w:vertAlign w:val="superscript"/>
              </w:rPr>
              <w:t>2</w:t>
            </w:r>
          </w:p>
        </w:tc>
        <w:tc>
          <w:tcPr>
            <w:tcW w:w="556" w:type="pct"/>
            <w:vAlign w:val="center"/>
          </w:tcPr>
          <w:p w14:paraId="635FE603">
            <w:pPr>
              <w:pStyle w:val="62"/>
              <w:rPr>
                <w:highlight w:val="yellow"/>
                <w:u w:val="single"/>
              </w:rPr>
            </w:pPr>
            <w:r>
              <w:rPr>
                <w:u w:val="single"/>
              </w:rPr>
              <w:t>新建</w:t>
            </w:r>
          </w:p>
        </w:tc>
      </w:tr>
      <w:tr w14:paraId="6E06E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55A8D69F">
            <w:pPr>
              <w:pStyle w:val="62"/>
              <w:rPr>
                <w:highlight w:val="yellow"/>
                <w:u w:val="single"/>
              </w:rPr>
            </w:pPr>
          </w:p>
        </w:tc>
        <w:tc>
          <w:tcPr>
            <w:tcW w:w="401" w:type="pct"/>
            <w:vMerge w:val="continue"/>
            <w:vAlign w:val="center"/>
          </w:tcPr>
          <w:p w14:paraId="493E7797">
            <w:pPr>
              <w:pStyle w:val="62"/>
              <w:rPr>
                <w:highlight w:val="yellow"/>
                <w:u w:val="single"/>
              </w:rPr>
            </w:pPr>
          </w:p>
        </w:tc>
        <w:tc>
          <w:tcPr>
            <w:tcW w:w="407" w:type="pct"/>
            <w:vMerge w:val="continue"/>
            <w:vAlign w:val="center"/>
          </w:tcPr>
          <w:p w14:paraId="7C7EAFEC">
            <w:pPr>
              <w:pStyle w:val="62"/>
              <w:rPr>
                <w:u w:val="single"/>
              </w:rPr>
            </w:pPr>
          </w:p>
        </w:tc>
        <w:tc>
          <w:tcPr>
            <w:tcW w:w="1206" w:type="pct"/>
            <w:gridSpan w:val="2"/>
            <w:vAlign w:val="center"/>
          </w:tcPr>
          <w:p w14:paraId="232FE94C">
            <w:pPr>
              <w:pStyle w:val="62"/>
              <w:rPr>
                <w:u w:val="single"/>
              </w:rPr>
            </w:pPr>
            <w:r>
              <w:rPr>
                <w:rFonts w:hint="eastAsia"/>
                <w:u w:val="single"/>
              </w:rPr>
              <w:t>色浆生产区</w:t>
            </w:r>
          </w:p>
        </w:tc>
        <w:tc>
          <w:tcPr>
            <w:tcW w:w="2227" w:type="pct"/>
            <w:gridSpan w:val="4"/>
            <w:vAlign w:val="center"/>
          </w:tcPr>
          <w:p w14:paraId="0015C621">
            <w:pPr>
              <w:pStyle w:val="62"/>
              <w:rPr>
                <w:u w:val="single"/>
                <w:lang w:val="zh-CN"/>
              </w:rPr>
            </w:pPr>
            <w:r>
              <w:rPr>
                <w:bCs/>
                <w:u w:val="single"/>
              </w:rPr>
              <w:t>占地面积</w:t>
            </w:r>
            <w:r>
              <w:rPr>
                <w:rFonts w:hint="eastAsia"/>
                <w:bCs/>
                <w:u w:val="single"/>
              </w:rPr>
              <w:t>68</w:t>
            </w:r>
            <w:r>
              <w:rPr>
                <w:bCs/>
                <w:u w:val="single"/>
              </w:rPr>
              <w:t>m</w:t>
            </w:r>
            <w:r>
              <w:rPr>
                <w:bCs/>
                <w:u w:val="single"/>
                <w:vertAlign w:val="superscript"/>
              </w:rPr>
              <w:t>2</w:t>
            </w:r>
          </w:p>
        </w:tc>
        <w:tc>
          <w:tcPr>
            <w:tcW w:w="556" w:type="pct"/>
            <w:vAlign w:val="center"/>
          </w:tcPr>
          <w:p w14:paraId="5E5E9855">
            <w:pPr>
              <w:pStyle w:val="62"/>
              <w:rPr>
                <w:u w:val="single"/>
              </w:rPr>
            </w:pPr>
            <w:r>
              <w:rPr>
                <w:u w:val="single"/>
              </w:rPr>
              <w:t>新建</w:t>
            </w:r>
          </w:p>
        </w:tc>
      </w:tr>
      <w:tr w14:paraId="71A7D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restart"/>
            <w:vAlign w:val="center"/>
          </w:tcPr>
          <w:p w14:paraId="199F20D7">
            <w:pPr>
              <w:pStyle w:val="62"/>
              <w:rPr>
                <w:u w:val="single"/>
              </w:rPr>
            </w:pPr>
            <w:r>
              <w:rPr>
                <w:u w:val="single"/>
              </w:rPr>
              <w:t>2</w:t>
            </w:r>
          </w:p>
        </w:tc>
        <w:tc>
          <w:tcPr>
            <w:tcW w:w="401" w:type="pct"/>
            <w:vMerge w:val="restart"/>
            <w:vAlign w:val="center"/>
          </w:tcPr>
          <w:p w14:paraId="08BB9A92">
            <w:pPr>
              <w:pStyle w:val="62"/>
              <w:rPr>
                <w:u w:val="single"/>
              </w:rPr>
            </w:pPr>
            <w:r>
              <w:rPr>
                <w:u w:val="single"/>
              </w:rPr>
              <w:t>辅助工程</w:t>
            </w:r>
          </w:p>
        </w:tc>
        <w:tc>
          <w:tcPr>
            <w:tcW w:w="407" w:type="pct"/>
            <w:vMerge w:val="restart"/>
            <w:vAlign w:val="center"/>
          </w:tcPr>
          <w:p w14:paraId="20258AF0">
            <w:pPr>
              <w:pStyle w:val="62"/>
              <w:rPr>
                <w:u w:val="single"/>
              </w:rPr>
            </w:pPr>
            <w:r>
              <w:rPr>
                <w:rFonts w:hint="eastAsia"/>
                <w:u w:val="single"/>
              </w:rPr>
              <w:t>车间</w:t>
            </w:r>
          </w:p>
        </w:tc>
        <w:tc>
          <w:tcPr>
            <w:tcW w:w="1206" w:type="pct"/>
            <w:gridSpan w:val="2"/>
            <w:vAlign w:val="center"/>
          </w:tcPr>
          <w:p w14:paraId="5B4FDFFE">
            <w:pPr>
              <w:pStyle w:val="62"/>
              <w:rPr>
                <w:u w:val="single"/>
              </w:rPr>
            </w:pPr>
            <w:r>
              <w:rPr>
                <w:rFonts w:hint="eastAsia"/>
                <w:u w:val="single"/>
              </w:rPr>
              <w:t>原料</w:t>
            </w:r>
            <w:r>
              <w:rPr>
                <w:u w:val="single"/>
              </w:rPr>
              <w:t>区</w:t>
            </w:r>
          </w:p>
        </w:tc>
        <w:tc>
          <w:tcPr>
            <w:tcW w:w="2227" w:type="pct"/>
            <w:gridSpan w:val="4"/>
            <w:vAlign w:val="center"/>
          </w:tcPr>
          <w:p w14:paraId="22510611">
            <w:pPr>
              <w:pStyle w:val="62"/>
              <w:rPr>
                <w:bCs/>
                <w:u w:val="single"/>
              </w:rPr>
            </w:pPr>
            <w:r>
              <w:rPr>
                <w:bCs/>
                <w:u w:val="single"/>
              </w:rPr>
              <w:t>占地面积</w:t>
            </w:r>
            <w:r>
              <w:rPr>
                <w:rFonts w:hint="eastAsia"/>
                <w:bCs/>
                <w:u w:val="single"/>
              </w:rPr>
              <w:t>140</w:t>
            </w:r>
            <w:r>
              <w:rPr>
                <w:bCs/>
                <w:u w:val="single"/>
              </w:rPr>
              <w:t>m</w:t>
            </w:r>
            <w:r>
              <w:rPr>
                <w:rFonts w:hint="eastAsia"/>
                <w:u w:val="single"/>
                <w:vertAlign w:val="superscript"/>
              </w:rPr>
              <w:t>2</w:t>
            </w:r>
          </w:p>
        </w:tc>
        <w:tc>
          <w:tcPr>
            <w:tcW w:w="556" w:type="pct"/>
            <w:vAlign w:val="center"/>
          </w:tcPr>
          <w:p w14:paraId="19627825">
            <w:pPr>
              <w:pStyle w:val="62"/>
              <w:rPr>
                <w:u w:val="single"/>
              </w:rPr>
            </w:pPr>
            <w:r>
              <w:rPr>
                <w:u w:val="single"/>
              </w:rPr>
              <w:t>新建</w:t>
            </w:r>
          </w:p>
        </w:tc>
      </w:tr>
      <w:tr w14:paraId="64B99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502BD8B0">
            <w:pPr>
              <w:pStyle w:val="62"/>
              <w:rPr>
                <w:highlight w:val="yellow"/>
                <w:u w:val="single"/>
              </w:rPr>
            </w:pPr>
          </w:p>
        </w:tc>
        <w:tc>
          <w:tcPr>
            <w:tcW w:w="401" w:type="pct"/>
            <w:vMerge w:val="continue"/>
            <w:vAlign w:val="center"/>
          </w:tcPr>
          <w:p w14:paraId="3D24B453">
            <w:pPr>
              <w:pStyle w:val="62"/>
              <w:rPr>
                <w:highlight w:val="yellow"/>
                <w:u w:val="single"/>
              </w:rPr>
            </w:pPr>
          </w:p>
        </w:tc>
        <w:tc>
          <w:tcPr>
            <w:tcW w:w="407" w:type="pct"/>
            <w:vMerge w:val="continue"/>
            <w:vAlign w:val="center"/>
          </w:tcPr>
          <w:p w14:paraId="4426AC91">
            <w:pPr>
              <w:pStyle w:val="62"/>
              <w:rPr>
                <w:bCs/>
                <w:u w:val="single"/>
              </w:rPr>
            </w:pPr>
          </w:p>
        </w:tc>
        <w:tc>
          <w:tcPr>
            <w:tcW w:w="1206" w:type="pct"/>
            <w:gridSpan w:val="2"/>
            <w:vAlign w:val="center"/>
          </w:tcPr>
          <w:p w14:paraId="1AB71D68">
            <w:pPr>
              <w:pStyle w:val="62"/>
              <w:rPr>
                <w:bCs/>
                <w:u w:val="single"/>
              </w:rPr>
            </w:pPr>
            <w:r>
              <w:rPr>
                <w:rFonts w:hint="eastAsia"/>
                <w:bCs/>
                <w:u w:val="single"/>
              </w:rPr>
              <w:t>成品</w:t>
            </w:r>
            <w:r>
              <w:rPr>
                <w:bCs/>
                <w:u w:val="single"/>
              </w:rPr>
              <w:t>区</w:t>
            </w:r>
          </w:p>
        </w:tc>
        <w:tc>
          <w:tcPr>
            <w:tcW w:w="2227" w:type="pct"/>
            <w:gridSpan w:val="4"/>
            <w:vAlign w:val="center"/>
          </w:tcPr>
          <w:p w14:paraId="7DEFD361">
            <w:pPr>
              <w:pStyle w:val="62"/>
              <w:rPr>
                <w:bCs/>
                <w:u w:val="single"/>
              </w:rPr>
            </w:pPr>
            <w:r>
              <w:rPr>
                <w:bCs/>
                <w:u w:val="single"/>
              </w:rPr>
              <w:t>占地面积</w:t>
            </w:r>
            <w:r>
              <w:rPr>
                <w:rFonts w:hint="eastAsia"/>
                <w:bCs/>
                <w:u w:val="single"/>
              </w:rPr>
              <w:t>70</w:t>
            </w:r>
            <w:r>
              <w:rPr>
                <w:bCs/>
                <w:u w:val="single"/>
              </w:rPr>
              <w:t>m</w:t>
            </w:r>
            <w:r>
              <w:rPr>
                <w:bCs/>
                <w:u w:val="single"/>
                <w:vertAlign w:val="superscript"/>
              </w:rPr>
              <w:t>2</w:t>
            </w:r>
          </w:p>
        </w:tc>
        <w:tc>
          <w:tcPr>
            <w:tcW w:w="556" w:type="pct"/>
            <w:vAlign w:val="center"/>
          </w:tcPr>
          <w:p w14:paraId="748D1DB5">
            <w:pPr>
              <w:pStyle w:val="62"/>
              <w:rPr>
                <w:u w:val="single"/>
              </w:rPr>
            </w:pPr>
            <w:r>
              <w:rPr>
                <w:u w:val="single"/>
              </w:rPr>
              <w:t>新建</w:t>
            </w:r>
          </w:p>
        </w:tc>
      </w:tr>
      <w:tr w14:paraId="39F76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3E0179E0">
            <w:pPr>
              <w:pStyle w:val="62"/>
              <w:rPr>
                <w:highlight w:val="yellow"/>
                <w:u w:val="single"/>
              </w:rPr>
            </w:pPr>
          </w:p>
        </w:tc>
        <w:tc>
          <w:tcPr>
            <w:tcW w:w="401" w:type="pct"/>
            <w:vMerge w:val="continue"/>
            <w:vAlign w:val="center"/>
          </w:tcPr>
          <w:p w14:paraId="59AD6CE0">
            <w:pPr>
              <w:pStyle w:val="62"/>
              <w:rPr>
                <w:highlight w:val="yellow"/>
                <w:u w:val="single"/>
              </w:rPr>
            </w:pPr>
          </w:p>
        </w:tc>
        <w:tc>
          <w:tcPr>
            <w:tcW w:w="407" w:type="pct"/>
            <w:vMerge w:val="continue"/>
            <w:vAlign w:val="center"/>
          </w:tcPr>
          <w:p w14:paraId="6D36B9CB">
            <w:pPr>
              <w:pStyle w:val="62"/>
              <w:rPr>
                <w:u w:val="single"/>
              </w:rPr>
            </w:pPr>
          </w:p>
        </w:tc>
        <w:tc>
          <w:tcPr>
            <w:tcW w:w="1206" w:type="pct"/>
            <w:gridSpan w:val="2"/>
            <w:vAlign w:val="center"/>
          </w:tcPr>
          <w:p w14:paraId="67829A94">
            <w:pPr>
              <w:pStyle w:val="62"/>
              <w:rPr>
                <w:u w:val="single"/>
              </w:rPr>
            </w:pPr>
            <w:r>
              <w:rPr>
                <w:rFonts w:hint="eastAsia"/>
                <w:u w:val="single"/>
              </w:rPr>
              <w:t>化验室</w:t>
            </w:r>
          </w:p>
        </w:tc>
        <w:tc>
          <w:tcPr>
            <w:tcW w:w="2227" w:type="pct"/>
            <w:gridSpan w:val="4"/>
            <w:vAlign w:val="center"/>
          </w:tcPr>
          <w:p w14:paraId="18710718">
            <w:pPr>
              <w:pStyle w:val="62"/>
              <w:rPr>
                <w:u w:val="single"/>
                <w:lang w:val="zh-CN"/>
              </w:rPr>
            </w:pPr>
            <w:r>
              <w:rPr>
                <w:bCs/>
                <w:u w:val="single"/>
              </w:rPr>
              <w:t>占地面积</w:t>
            </w:r>
            <w:r>
              <w:rPr>
                <w:rFonts w:hint="eastAsia"/>
                <w:bCs/>
                <w:u w:val="single"/>
              </w:rPr>
              <w:t>50</w:t>
            </w:r>
            <w:r>
              <w:rPr>
                <w:bCs/>
                <w:u w:val="single"/>
              </w:rPr>
              <w:t>m</w:t>
            </w:r>
            <w:r>
              <w:rPr>
                <w:bCs/>
                <w:u w:val="single"/>
                <w:vertAlign w:val="superscript"/>
              </w:rPr>
              <w:t>2</w:t>
            </w:r>
          </w:p>
        </w:tc>
        <w:tc>
          <w:tcPr>
            <w:tcW w:w="556" w:type="pct"/>
            <w:vAlign w:val="center"/>
          </w:tcPr>
          <w:p w14:paraId="4329E9B4">
            <w:pPr>
              <w:pStyle w:val="62"/>
              <w:rPr>
                <w:u w:val="single"/>
              </w:rPr>
            </w:pPr>
            <w:r>
              <w:rPr>
                <w:u w:val="single"/>
              </w:rPr>
              <w:t>新建</w:t>
            </w:r>
          </w:p>
        </w:tc>
      </w:tr>
      <w:tr w14:paraId="58F10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63CC9820">
            <w:pPr>
              <w:pStyle w:val="62"/>
              <w:rPr>
                <w:highlight w:val="yellow"/>
                <w:u w:val="single"/>
              </w:rPr>
            </w:pPr>
          </w:p>
        </w:tc>
        <w:tc>
          <w:tcPr>
            <w:tcW w:w="401" w:type="pct"/>
            <w:vMerge w:val="continue"/>
            <w:vAlign w:val="center"/>
          </w:tcPr>
          <w:p w14:paraId="3AF4E1A9">
            <w:pPr>
              <w:pStyle w:val="62"/>
              <w:rPr>
                <w:highlight w:val="yellow"/>
                <w:u w:val="single"/>
              </w:rPr>
            </w:pPr>
          </w:p>
        </w:tc>
        <w:tc>
          <w:tcPr>
            <w:tcW w:w="407" w:type="pct"/>
            <w:vMerge w:val="continue"/>
            <w:vAlign w:val="center"/>
          </w:tcPr>
          <w:p w14:paraId="5F81E8A9">
            <w:pPr>
              <w:pStyle w:val="62"/>
              <w:rPr>
                <w:highlight w:val="yellow"/>
                <w:u w:val="single"/>
              </w:rPr>
            </w:pPr>
          </w:p>
        </w:tc>
        <w:tc>
          <w:tcPr>
            <w:tcW w:w="1206" w:type="pct"/>
            <w:gridSpan w:val="2"/>
            <w:vAlign w:val="center"/>
          </w:tcPr>
          <w:p w14:paraId="15C77430">
            <w:pPr>
              <w:pStyle w:val="62"/>
              <w:rPr>
                <w:highlight w:val="yellow"/>
                <w:u w:val="single"/>
              </w:rPr>
            </w:pPr>
            <w:r>
              <w:rPr>
                <w:rFonts w:hint="eastAsia"/>
                <w:u w:val="single"/>
              </w:rPr>
              <w:t>更衣室</w:t>
            </w:r>
          </w:p>
        </w:tc>
        <w:tc>
          <w:tcPr>
            <w:tcW w:w="2227" w:type="pct"/>
            <w:gridSpan w:val="4"/>
            <w:vAlign w:val="center"/>
          </w:tcPr>
          <w:p w14:paraId="1FC11248">
            <w:pPr>
              <w:pStyle w:val="62"/>
              <w:rPr>
                <w:bCs/>
                <w:highlight w:val="yellow"/>
                <w:u w:val="single"/>
              </w:rPr>
            </w:pPr>
            <w:r>
              <w:rPr>
                <w:bCs/>
                <w:u w:val="single"/>
              </w:rPr>
              <w:t>占地面积</w:t>
            </w:r>
            <w:r>
              <w:rPr>
                <w:rFonts w:hint="eastAsia"/>
                <w:bCs/>
                <w:u w:val="single"/>
              </w:rPr>
              <w:t>35</w:t>
            </w:r>
            <w:r>
              <w:rPr>
                <w:bCs/>
                <w:u w:val="single"/>
              </w:rPr>
              <w:t>m</w:t>
            </w:r>
            <w:r>
              <w:rPr>
                <w:bCs/>
                <w:u w:val="single"/>
                <w:vertAlign w:val="superscript"/>
              </w:rPr>
              <w:t>2</w:t>
            </w:r>
          </w:p>
        </w:tc>
        <w:tc>
          <w:tcPr>
            <w:tcW w:w="556" w:type="pct"/>
            <w:vAlign w:val="center"/>
          </w:tcPr>
          <w:p w14:paraId="4CE71A83">
            <w:pPr>
              <w:pStyle w:val="62"/>
              <w:rPr>
                <w:highlight w:val="yellow"/>
                <w:u w:val="single"/>
              </w:rPr>
            </w:pPr>
            <w:r>
              <w:rPr>
                <w:u w:val="single"/>
              </w:rPr>
              <w:t>新建</w:t>
            </w:r>
          </w:p>
        </w:tc>
      </w:tr>
      <w:tr w14:paraId="08F36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310A6184">
            <w:pPr>
              <w:pStyle w:val="62"/>
              <w:rPr>
                <w:highlight w:val="yellow"/>
                <w:u w:val="single"/>
              </w:rPr>
            </w:pPr>
          </w:p>
        </w:tc>
        <w:tc>
          <w:tcPr>
            <w:tcW w:w="401" w:type="pct"/>
            <w:vMerge w:val="continue"/>
            <w:vAlign w:val="center"/>
          </w:tcPr>
          <w:p w14:paraId="764BE4DC">
            <w:pPr>
              <w:pStyle w:val="62"/>
              <w:rPr>
                <w:highlight w:val="yellow"/>
                <w:u w:val="single"/>
              </w:rPr>
            </w:pPr>
          </w:p>
        </w:tc>
        <w:tc>
          <w:tcPr>
            <w:tcW w:w="1613" w:type="pct"/>
            <w:gridSpan w:val="3"/>
            <w:vAlign w:val="center"/>
          </w:tcPr>
          <w:p w14:paraId="5897B8F1">
            <w:pPr>
              <w:pStyle w:val="62"/>
              <w:rPr>
                <w:highlight w:val="yellow"/>
                <w:u w:val="single"/>
              </w:rPr>
            </w:pPr>
            <w:r>
              <w:rPr>
                <w:rFonts w:hint="eastAsia"/>
                <w:u w:val="single"/>
              </w:rPr>
              <w:t>办公室</w:t>
            </w:r>
          </w:p>
        </w:tc>
        <w:tc>
          <w:tcPr>
            <w:tcW w:w="2227" w:type="pct"/>
            <w:gridSpan w:val="4"/>
            <w:vAlign w:val="center"/>
          </w:tcPr>
          <w:p w14:paraId="4F9EDA7B">
            <w:pPr>
              <w:pStyle w:val="62"/>
              <w:rPr>
                <w:u w:val="single"/>
                <w:lang w:val="zh-CN"/>
              </w:rPr>
            </w:pPr>
            <w:r>
              <w:rPr>
                <w:bCs/>
                <w:u w:val="single"/>
              </w:rPr>
              <w:t>占地面积</w:t>
            </w:r>
            <w:r>
              <w:rPr>
                <w:rFonts w:hint="eastAsia"/>
                <w:bCs/>
                <w:u w:val="single"/>
              </w:rPr>
              <w:t>200</w:t>
            </w:r>
            <w:r>
              <w:rPr>
                <w:bCs/>
                <w:u w:val="single"/>
              </w:rPr>
              <w:t>m</w:t>
            </w:r>
            <w:r>
              <w:rPr>
                <w:bCs/>
                <w:u w:val="single"/>
                <w:vertAlign w:val="superscript"/>
              </w:rPr>
              <w:t>2</w:t>
            </w:r>
          </w:p>
        </w:tc>
        <w:tc>
          <w:tcPr>
            <w:tcW w:w="556" w:type="pct"/>
            <w:vAlign w:val="center"/>
          </w:tcPr>
          <w:p w14:paraId="1C306DDD">
            <w:pPr>
              <w:pStyle w:val="62"/>
              <w:rPr>
                <w:u w:val="single"/>
              </w:rPr>
            </w:pPr>
            <w:r>
              <w:rPr>
                <w:rFonts w:hint="eastAsia"/>
                <w:u w:val="single"/>
              </w:rPr>
              <w:t>利用现有</w:t>
            </w:r>
          </w:p>
        </w:tc>
      </w:tr>
      <w:tr w14:paraId="5517F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restart"/>
            <w:vAlign w:val="center"/>
          </w:tcPr>
          <w:p w14:paraId="7DD7C68F">
            <w:pPr>
              <w:pStyle w:val="62"/>
              <w:rPr>
                <w:u w:val="single"/>
              </w:rPr>
            </w:pPr>
            <w:r>
              <w:rPr>
                <w:u w:val="single"/>
              </w:rPr>
              <w:t>3</w:t>
            </w:r>
          </w:p>
        </w:tc>
        <w:tc>
          <w:tcPr>
            <w:tcW w:w="401" w:type="pct"/>
            <w:vMerge w:val="restart"/>
            <w:vAlign w:val="center"/>
          </w:tcPr>
          <w:p w14:paraId="59E95DF3">
            <w:pPr>
              <w:pStyle w:val="62"/>
              <w:rPr>
                <w:u w:val="single"/>
              </w:rPr>
            </w:pPr>
            <w:r>
              <w:rPr>
                <w:u w:val="single"/>
              </w:rPr>
              <w:t>环保工程</w:t>
            </w:r>
          </w:p>
        </w:tc>
        <w:tc>
          <w:tcPr>
            <w:tcW w:w="407" w:type="pct"/>
            <w:vMerge w:val="restart"/>
            <w:vAlign w:val="center"/>
          </w:tcPr>
          <w:p w14:paraId="68C612CF">
            <w:pPr>
              <w:pStyle w:val="62"/>
              <w:rPr>
                <w:highlight w:val="yellow"/>
                <w:u w:val="single"/>
              </w:rPr>
            </w:pPr>
            <w:r>
              <w:rPr>
                <w:u w:val="single"/>
              </w:rPr>
              <w:t>废水</w:t>
            </w:r>
          </w:p>
        </w:tc>
        <w:tc>
          <w:tcPr>
            <w:tcW w:w="1206" w:type="pct"/>
            <w:gridSpan w:val="2"/>
            <w:vAlign w:val="center"/>
          </w:tcPr>
          <w:p w14:paraId="11CC7FBF">
            <w:pPr>
              <w:pStyle w:val="62"/>
              <w:rPr>
                <w:u w:val="single"/>
              </w:rPr>
            </w:pPr>
            <w:r>
              <w:rPr>
                <w:rFonts w:hint="eastAsia"/>
                <w:u w:val="single"/>
              </w:rPr>
              <w:t>生活污水</w:t>
            </w:r>
          </w:p>
        </w:tc>
        <w:tc>
          <w:tcPr>
            <w:tcW w:w="1370" w:type="pct"/>
            <w:gridSpan w:val="2"/>
            <w:vAlign w:val="center"/>
          </w:tcPr>
          <w:p w14:paraId="6D4D6F1E">
            <w:pPr>
              <w:pStyle w:val="62"/>
              <w:rPr>
                <w:u w:val="single"/>
              </w:rPr>
            </w:pPr>
            <w:r>
              <w:rPr>
                <w:rFonts w:hint="eastAsia"/>
                <w:u w:val="single"/>
              </w:rPr>
              <w:t>化粪池</w:t>
            </w:r>
          </w:p>
        </w:tc>
        <w:tc>
          <w:tcPr>
            <w:tcW w:w="857" w:type="pct"/>
            <w:gridSpan w:val="2"/>
            <w:vMerge w:val="restart"/>
            <w:vAlign w:val="center"/>
          </w:tcPr>
          <w:p w14:paraId="4EACBC99">
            <w:pPr>
              <w:pStyle w:val="62"/>
              <w:rPr>
                <w:u w:val="single"/>
              </w:rPr>
            </w:pPr>
            <w:r>
              <w:rPr>
                <w:rFonts w:hint="eastAsia"/>
                <w:u w:val="single"/>
              </w:rPr>
              <w:t>唐庄污水处理厂</w:t>
            </w:r>
          </w:p>
        </w:tc>
        <w:tc>
          <w:tcPr>
            <w:tcW w:w="556" w:type="pct"/>
            <w:vMerge w:val="restart"/>
            <w:vAlign w:val="center"/>
          </w:tcPr>
          <w:p w14:paraId="53CC063C">
            <w:pPr>
              <w:pStyle w:val="62"/>
              <w:rPr>
                <w:u w:val="single"/>
              </w:rPr>
            </w:pPr>
            <w:r>
              <w:rPr>
                <w:rFonts w:hint="eastAsia"/>
                <w:u w:val="single"/>
              </w:rPr>
              <w:t>新建</w:t>
            </w:r>
          </w:p>
        </w:tc>
      </w:tr>
      <w:tr w14:paraId="0FD35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491BBEB">
            <w:pPr>
              <w:pStyle w:val="62"/>
              <w:rPr>
                <w:highlight w:val="yellow"/>
                <w:u w:val="single"/>
              </w:rPr>
            </w:pPr>
          </w:p>
        </w:tc>
        <w:tc>
          <w:tcPr>
            <w:tcW w:w="401" w:type="pct"/>
            <w:vMerge w:val="continue"/>
            <w:vAlign w:val="center"/>
          </w:tcPr>
          <w:p w14:paraId="35E2D906">
            <w:pPr>
              <w:pStyle w:val="62"/>
              <w:rPr>
                <w:highlight w:val="yellow"/>
                <w:u w:val="single"/>
              </w:rPr>
            </w:pPr>
          </w:p>
        </w:tc>
        <w:tc>
          <w:tcPr>
            <w:tcW w:w="407" w:type="pct"/>
            <w:vMerge w:val="continue"/>
            <w:vAlign w:val="center"/>
          </w:tcPr>
          <w:p w14:paraId="5AAC8CED">
            <w:pPr>
              <w:pStyle w:val="62"/>
              <w:rPr>
                <w:highlight w:val="yellow"/>
                <w:u w:val="single"/>
              </w:rPr>
            </w:pPr>
          </w:p>
        </w:tc>
        <w:tc>
          <w:tcPr>
            <w:tcW w:w="1206" w:type="pct"/>
            <w:gridSpan w:val="2"/>
            <w:vAlign w:val="center"/>
          </w:tcPr>
          <w:p w14:paraId="28A74075">
            <w:pPr>
              <w:pStyle w:val="62"/>
              <w:rPr>
                <w:u w:val="single"/>
              </w:rPr>
            </w:pPr>
            <w:r>
              <w:rPr>
                <w:rFonts w:hint="eastAsia"/>
                <w:u w:val="single"/>
              </w:rPr>
              <w:t>喷淋废水</w:t>
            </w:r>
          </w:p>
        </w:tc>
        <w:tc>
          <w:tcPr>
            <w:tcW w:w="1370" w:type="pct"/>
            <w:gridSpan w:val="2"/>
            <w:vMerge w:val="restart"/>
            <w:vAlign w:val="center"/>
          </w:tcPr>
          <w:p w14:paraId="3360929C">
            <w:pPr>
              <w:pStyle w:val="62"/>
              <w:rPr>
                <w:highlight w:val="yellow"/>
                <w:u w:val="single"/>
              </w:rPr>
            </w:pPr>
            <w:r>
              <w:rPr>
                <w:rFonts w:hint="eastAsia"/>
                <w:u w:val="single"/>
              </w:rPr>
              <w:t>厂区污水处理站（</w:t>
            </w:r>
            <w:r>
              <w:rPr>
                <w:bCs/>
                <w:u w:val="single"/>
              </w:rPr>
              <w:t>调节池</w:t>
            </w:r>
            <w:r>
              <w:rPr>
                <w:rFonts w:hint="eastAsia"/>
                <w:bCs/>
                <w:u w:val="single"/>
              </w:rPr>
              <w:t>+隔油池+水解酸化+</w:t>
            </w:r>
            <w:r>
              <w:rPr>
                <w:rFonts w:hint="eastAsia"/>
                <w:u w:val="single"/>
              </w:rPr>
              <w:t>接触氧化，8</w:t>
            </w:r>
            <w:r>
              <w:rPr>
                <w:u w:val="single"/>
              </w:rPr>
              <w:t>m</w:t>
            </w:r>
            <w:r>
              <w:rPr>
                <w:u w:val="single"/>
                <w:vertAlign w:val="superscript"/>
              </w:rPr>
              <w:t>3</w:t>
            </w:r>
            <w:r>
              <w:rPr>
                <w:u w:val="single"/>
              </w:rPr>
              <w:t>/d</w:t>
            </w:r>
            <w:r>
              <w:rPr>
                <w:rFonts w:hint="eastAsia"/>
                <w:u w:val="single"/>
              </w:rPr>
              <w:t>）</w:t>
            </w:r>
          </w:p>
        </w:tc>
        <w:tc>
          <w:tcPr>
            <w:tcW w:w="857" w:type="pct"/>
            <w:gridSpan w:val="2"/>
            <w:vMerge w:val="continue"/>
            <w:vAlign w:val="center"/>
          </w:tcPr>
          <w:p w14:paraId="1AE536CD">
            <w:pPr>
              <w:pStyle w:val="62"/>
              <w:rPr>
                <w:highlight w:val="yellow"/>
                <w:u w:val="single"/>
              </w:rPr>
            </w:pPr>
          </w:p>
        </w:tc>
        <w:tc>
          <w:tcPr>
            <w:tcW w:w="556" w:type="pct"/>
            <w:vMerge w:val="continue"/>
            <w:vAlign w:val="center"/>
          </w:tcPr>
          <w:p w14:paraId="66741EED">
            <w:pPr>
              <w:pStyle w:val="62"/>
              <w:rPr>
                <w:highlight w:val="yellow"/>
                <w:u w:val="single"/>
              </w:rPr>
            </w:pPr>
          </w:p>
        </w:tc>
      </w:tr>
      <w:tr w14:paraId="51C81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3A99950E">
            <w:pPr>
              <w:pStyle w:val="62"/>
              <w:rPr>
                <w:highlight w:val="yellow"/>
                <w:u w:val="single"/>
              </w:rPr>
            </w:pPr>
          </w:p>
        </w:tc>
        <w:tc>
          <w:tcPr>
            <w:tcW w:w="401" w:type="pct"/>
            <w:vMerge w:val="continue"/>
            <w:vAlign w:val="center"/>
          </w:tcPr>
          <w:p w14:paraId="30F7FE1F">
            <w:pPr>
              <w:pStyle w:val="62"/>
              <w:rPr>
                <w:highlight w:val="yellow"/>
                <w:u w:val="single"/>
              </w:rPr>
            </w:pPr>
          </w:p>
        </w:tc>
        <w:tc>
          <w:tcPr>
            <w:tcW w:w="407" w:type="pct"/>
            <w:vMerge w:val="continue"/>
            <w:vAlign w:val="center"/>
          </w:tcPr>
          <w:p w14:paraId="34DCC268">
            <w:pPr>
              <w:pStyle w:val="62"/>
              <w:rPr>
                <w:highlight w:val="yellow"/>
                <w:u w:val="single"/>
              </w:rPr>
            </w:pPr>
          </w:p>
        </w:tc>
        <w:tc>
          <w:tcPr>
            <w:tcW w:w="1206" w:type="pct"/>
            <w:gridSpan w:val="2"/>
            <w:vAlign w:val="center"/>
          </w:tcPr>
          <w:p w14:paraId="141ACCC7">
            <w:pPr>
              <w:pStyle w:val="62"/>
              <w:rPr>
                <w:u w:val="single"/>
              </w:rPr>
            </w:pPr>
            <w:r>
              <w:rPr>
                <w:rFonts w:hint="eastAsia"/>
                <w:u w:val="single"/>
              </w:rPr>
              <w:t>车间地面拖洗废水</w:t>
            </w:r>
          </w:p>
        </w:tc>
        <w:tc>
          <w:tcPr>
            <w:tcW w:w="1370" w:type="pct"/>
            <w:gridSpan w:val="2"/>
            <w:vMerge w:val="continue"/>
            <w:vAlign w:val="center"/>
          </w:tcPr>
          <w:p w14:paraId="632E9C39">
            <w:pPr>
              <w:pStyle w:val="62"/>
              <w:rPr>
                <w:highlight w:val="yellow"/>
                <w:u w:val="single"/>
              </w:rPr>
            </w:pPr>
          </w:p>
        </w:tc>
        <w:tc>
          <w:tcPr>
            <w:tcW w:w="857" w:type="pct"/>
            <w:gridSpan w:val="2"/>
            <w:vMerge w:val="continue"/>
            <w:vAlign w:val="center"/>
          </w:tcPr>
          <w:p w14:paraId="0E2C1DD0">
            <w:pPr>
              <w:pStyle w:val="62"/>
              <w:rPr>
                <w:highlight w:val="yellow"/>
                <w:u w:val="single"/>
              </w:rPr>
            </w:pPr>
          </w:p>
        </w:tc>
        <w:tc>
          <w:tcPr>
            <w:tcW w:w="556" w:type="pct"/>
            <w:vMerge w:val="continue"/>
            <w:vAlign w:val="center"/>
          </w:tcPr>
          <w:p w14:paraId="4D8065A4">
            <w:pPr>
              <w:pStyle w:val="62"/>
              <w:rPr>
                <w:highlight w:val="yellow"/>
                <w:u w:val="single"/>
              </w:rPr>
            </w:pPr>
          </w:p>
        </w:tc>
      </w:tr>
      <w:tr w14:paraId="08AC5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051E623A">
            <w:pPr>
              <w:pStyle w:val="62"/>
              <w:rPr>
                <w:highlight w:val="yellow"/>
                <w:u w:val="single"/>
              </w:rPr>
            </w:pPr>
          </w:p>
        </w:tc>
        <w:tc>
          <w:tcPr>
            <w:tcW w:w="401" w:type="pct"/>
            <w:vMerge w:val="continue"/>
            <w:vAlign w:val="center"/>
          </w:tcPr>
          <w:p w14:paraId="79AB0D4E">
            <w:pPr>
              <w:pStyle w:val="62"/>
              <w:rPr>
                <w:highlight w:val="yellow"/>
                <w:u w:val="single"/>
              </w:rPr>
            </w:pPr>
          </w:p>
        </w:tc>
        <w:tc>
          <w:tcPr>
            <w:tcW w:w="407" w:type="pct"/>
            <w:vMerge w:val="continue"/>
            <w:vAlign w:val="center"/>
          </w:tcPr>
          <w:p w14:paraId="322A590E">
            <w:pPr>
              <w:pStyle w:val="62"/>
              <w:rPr>
                <w:highlight w:val="yellow"/>
                <w:u w:val="single"/>
              </w:rPr>
            </w:pPr>
          </w:p>
        </w:tc>
        <w:tc>
          <w:tcPr>
            <w:tcW w:w="1206" w:type="pct"/>
            <w:gridSpan w:val="2"/>
            <w:vAlign w:val="center"/>
          </w:tcPr>
          <w:p w14:paraId="1DA74155">
            <w:pPr>
              <w:pStyle w:val="62"/>
              <w:rPr>
                <w:u w:val="single"/>
              </w:rPr>
            </w:pPr>
            <w:r>
              <w:rPr>
                <w:u w:val="single"/>
              </w:rPr>
              <w:t>循环冷却水系统排水</w:t>
            </w:r>
          </w:p>
        </w:tc>
        <w:tc>
          <w:tcPr>
            <w:tcW w:w="1370" w:type="pct"/>
            <w:gridSpan w:val="2"/>
            <w:vAlign w:val="center"/>
          </w:tcPr>
          <w:p w14:paraId="34822C27">
            <w:pPr>
              <w:pStyle w:val="62"/>
              <w:rPr>
                <w:highlight w:val="yellow"/>
                <w:u w:val="single"/>
              </w:rPr>
            </w:pPr>
            <w:r>
              <w:rPr>
                <w:rFonts w:hint="eastAsia"/>
                <w:u w:val="single"/>
              </w:rPr>
              <w:t>/</w:t>
            </w:r>
          </w:p>
        </w:tc>
        <w:tc>
          <w:tcPr>
            <w:tcW w:w="857" w:type="pct"/>
            <w:gridSpan w:val="2"/>
            <w:vMerge w:val="continue"/>
            <w:vAlign w:val="center"/>
          </w:tcPr>
          <w:p w14:paraId="00E49895">
            <w:pPr>
              <w:pStyle w:val="62"/>
              <w:rPr>
                <w:highlight w:val="yellow"/>
                <w:u w:val="single"/>
              </w:rPr>
            </w:pPr>
          </w:p>
        </w:tc>
        <w:tc>
          <w:tcPr>
            <w:tcW w:w="556" w:type="pct"/>
            <w:vMerge w:val="continue"/>
            <w:vAlign w:val="center"/>
          </w:tcPr>
          <w:p w14:paraId="5CBE3962">
            <w:pPr>
              <w:pStyle w:val="62"/>
              <w:rPr>
                <w:highlight w:val="yellow"/>
                <w:u w:val="single"/>
              </w:rPr>
            </w:pPr>
          </w:p>
        </w:tc>
      </w:tr>
      <w:tr w14:paraId="3BA9A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56FAA31C">
            <w:pPr>
              <w:pStyle w:val="62"/>
              <w:rPr>
                <w:highlight w:val="yellow"/>
                <w:u w:val="single"/>
              </w:rPr>
            </w:pPr>
          </w:p>
        </w:tc>
        <w:tc>
          <w:tcPr>
            <w:tcW w:w="401" w:type="pct"/>
            <w:vMerge w:val="continue"/>
            <w:vAlign w:val="center"/>
          </w:tcPr>
          <w:p w14:paraId="68505D02">
            <w:pPr>
              <w:pStyle w:val="62"/>
              <w:rPr>
                <w:highlight w:val="yellow"/>
                <w:u w:val="single"/>
              </w:rPr>
            </w:pPr>
          </w:p>
        </w:tc>
        <w:tc>
          <w:tcPr>
            <w:tcW w:w="407" w:type="pct"/>
            <w:vMerge w:val="restart"/>
            <w:vAlign w:val="center"/>
          </w:tcPr>
          <w:p w14:paraId="6E0D0EE2">
            <w:pPr>
              <w:pStyle w:val="62"/>
              <w:rPr>
                <w:highlight w:val="yellow"/>
                <w:u w:val="single"/>
              </w:rPr>
            </w:pPr>
            <w:r>
              <w:rPr>
                <w:u w:val="single"/>
              </w:rPr>
              <w:t>废气</w:t>
            </w:r>
          </w:p>
        </w:tc>
        <w:tc>
          <w:tcPr>
            <w:tcW w:w="603" w:type="pct"/>
            <w:vMerge w:val="restart"/>
            <w:vAlign w:val="center"/>
          </w:tcPr>
          <w:p w14:paraId="0600E94B">
            <w:pPr>
              <w:pStyle w:val="62"/>
              <w:rPr>
                <w:highlight w:val="yellow"/>
                <w:u w:val="single"/>
              </w:rPr>
            </w:pPr>
            <w:r>
              <w:rPr>
                <w:rFonts w:hint="eastAsia"/>
                <w:u w:val="single"/>
              </w:rPr>
              <w:t>聚醚改性硅油</w:t>
            </w:r>
          </w:p>
        </w:tc>
        <w:tc>
          <w:tcPr>
            <w:tcW w:w="603" w:type="pct"/>
            <w:vAlign w:val="center"/>
          </w:tcPr>
          <w:p w14:paraId="6C029904">
            <w:pPr>
              <w:pStyle w:val="62"/>
              <w:rPr>
                <w:highlight w:val="yellow"/>
                <w:u w:val="single"/>
              </w:rPr>
            </w:pPr>
            <w:r>
              <w:rPr>
                <w:rFonts w:hint="eastAsia"/>
                <w:u w:val="single"/>
              </w:rPr>
              <w:t>聚合</w:t>
            </w:r>
          </w:p>
        </w:tc>
        <w:tc>
          <w:tcPr>
            <w:tcW w:w="854" w:type="pct"/>
            <w:vMerge w:val="restart"/>
            <w:vAlign w:val="center"/>
          </w:tcPr>
          <w:p w14:paraId="3AB52630">
            <w:pPr>
              <w:pStyle w:val="62"/>
              <w:rPr>
                <w:highlight w:val="yellow"/>
                <w:u w:val="single"/>
              </w:rPr>
            </w:pPr>
            <w:r>
              <w:rPr>
                <w:rFonts w:hint="eastAsia"/>
                <w:u w:val="single"/>
              </w:rPr>
              <w:t>密闭负压收集管道</w:t>
            </w:r>
          </w:p>
        </w:tc>
        <w:tc>
          <w:tcPr>
            <w:tcW w:w="516" w:type="pct"/>
            <w:vMerge w:val="restart"/>
            <w:vAlign w:val="center"/>
          </w:tcPr>
          <w:p w14:paraId="5286E377">
            <w:pPr>
              <w:pStyle w:val="62"/>
              <w:rPr>
                <w:highlight w:val="yellow"/>
                <w:u w:val="single"/>
              </w:rPr>
            </w:pPr>
            <w:r>
              <w:rPr>
                <w:rFonts w:hint="eastAsia"/>
                <w:u w:val="single"/>
              </w:rPr>
              <w:t>设备自带冷凝+碱喷淋+水喷淋+除雾器</w:t>
            </w:r>
          </w:p>
        </w:tc>
        <w:tc>
          <w:tcPr>
            <w:tcW w:w="428" w:type="pct"/>
            <w:vMerge w:val="restart"/>
            <w:vAlign w:val="center"/>
          </w:tcPr>
          <w:p w14:paraId="1BD138E1">
            <w:pPr>
              <w:pStyle w:val="62"/>
              <w:rPr>
                <w:highlight w:val="yellow"/>
                <w:u w:val="single"/>
              </w:rPr>
            </w:pPr>
            <w:r>
              <w:rPr>
                <w:rFonts w:hint="eastAsia"/>
                <w:u w:val="single"/>
              </w:rPr>
              <w:t>活性炭吸附装置</w:t>
            </w:r>
          </w:p>
        </w:tc>
        <w:tc>
          <w:tcPr>
            <w:tcW w:w="429" w:type="pct"/>
            <w:vMerge w:val="restart"/>
            <w:vAlign w:val="center"/>
          </w:tcPr>
          <w:p w14:paraId="447FD1C0">
            <w:pPr>
              <w:pStyle w:val="62"/>
              <w:rPr>
                <w:highlight w:val="yellow"/>
                <w:u w:val="single"/>
              </w:rPr>
            </w:pPr>
            <w:r>
              <w:rPr>
                <w:rFonts w:hint="eastAsia"/>
                <w:u w:val="single"/>
              </w:rPr>
              <w:t>15m高排气筒DA001</w:t>
            </w:r>
          </w:p>
        </w:tc>
        <w:tc>
          <w:tcPr>
            <w:tcW w:w="556" w:type="pct"/>
            <w:vMerge w:val="restart"/>
            <w:vAlign w:val="center"/>
          </w:tcPr>
          <w:p w14:paraId="769E8D8F">
            <w:pPr>
              <w:pStyle w:val="62"/>
              <w:rPr>
                <w:highlight w:val="yellow"/>
                <w:u w:val="single"/>
              </w:rPr>
            </w:pPr>
            <w:r>
              <w:rPr>
                <w:u w:val="single"/>
              </w:rPr>
              <w:t>新建</w:t>
            </w:r>
          </w:p>
        </w:tc>
      </w:tr>
      <w:tr w14:paraId="0F8A6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62E5B0E6">
            <w:pPr>
              <w:pStyle w:val="62"/>
              <w:rPr>
                <w:highlight w:val="yellow"/>
                <w:u w:val="single"/>
              </w:rPr>
            </w:pPr>
          </w:p>
        </w:tc>
        <w:tc>
          <w:tcPr>
            <w:tcW w:w="401" w:type="pct"/>
            <w:vMerge w:val="continue"/>
            <w:vAlign w:val="center"/>
          </w:tcPr>
          <w:p w14:paraId="20C0527B">
            <w:pPr>
              <w:pStyle w:val="62"/>
              <w:rPr>
                <w:highlight w:val="yellow"/>
                <w:u w:val="single"/>
              </w:rPr>
            </w:pPr>
          </w:p>
        </w:tc>
        <w:tc>
          <w:tcPr>
            <w:tcW w:w="407" w:type="pct"/>
            <w:vMerge w:val="continue"/>
            <w:vAlign w:val="center"/>
          </w:tcPr>
          <w:p w14:paraId="0D28F3E1">
            <w:pPr>
              <w:pStyle w:val="62"/>
              <w:rPr>
                <w:u w:val="single"/>
              </w:rPr>
            </w:pPr>
          </w:p>
        </w:tc>
        <w:tc>
          <w:tcPr>
            <w:tcW w:w="603" w:type="pct"/>
            <w:vMerge w:val="continue"/>
            <w:vAlign w:val="center"/>
          </w:tcPr>
          <w:p w14:paraId="7720C53E">
            <w:pPr>
              <w:pStyle w:val="62"/>
              <w:rPr>
                <w:u w:val="single"/>
              </w:rPr>
            </w:pPr>
          </w:p>
        </w:tc>
        <w:tc>
          <w:tcPr>
            <w:tcW w:w="603" w:type="pct"/>
            <w:vAlign w:val="center"/>
          </w:tcPr>
          <w:p w14:paraId="3F3BD8CE">
            <w:pPr>
              <w:pStyle w:val="62"/>
              <w:rPr>
                <w:u w:val="single"/>
              </w:rPr>
            </w:pPr>
            <w:r>
              <w:rPr>
                <w:rFonts w:hint="eastAsia"/>
                <w:u w:val="single"/>
              </w:rPr>
              <w:t>中和</w:t>
            </w:r>
          </w:p>
        </w:tc>
        <w:tc>
          <w:tcPr>
            <w:tcW w:w="854" w:type="pct"/>
            <w:vMerge w:val="continue"/>
            <w:vAlign w:val="center"/>
          </w:tcPr>
          <w:p w14:paraId="75F92548">
            <w:pPr>
              <w:pStyle w:val="62"/>
              <w:rPr>
                <w:u w:val="single"/>
              </w:rPr>
            </w:pPr>
          </w:p>
        </w:tc>
        <w:tc>
          <w:tcPr>
            <w:tcW w:w="516" w:type="pct"/>
            <w:vMerge w:val="continue"/>
            <w:vAlign w:val="center"/>
          </w:tcPr>
          <w:p w14:paraId="7218422D">
            <w:pPr>
              <w:pStyle w:val="62"/>
              <w:rPr>
                <w:u w:val="single"/>
              </w:rPr>
            </w:pPr>
          </w:p>
        </w:tc>
        <w:tc>
          <w:tcPr>
            <w:tcW w:w="428" w:type="pct"/>
            <w:vMerge w:val="continue"/>
            <w:vAlign w:val="center"/>
          </w:tcPr>
          <w:p w14:paraId="27AF9E7A">
            <w:pPr>
              <w:pStyle w:val="62"/>
              <w:rPr>
                <w:u w:val="single"/>
              </w:rPr>
            </w:pPr>
          </w:p>
        </w:tc>
        <w:tc>
          <w:tcPr>
            <w:tcW w:w="429" w:type="pct"/>
            <w:vMerge w:val="continue"/>
            <w:vAlign w:val="center"/>
          </w:tcPr>
          <w:p w14:paraId="175F77FA">
            <w:pPr>
              <w:pStyle w:val="62"/>
              <w:rPr>
                <w:u w:val="single"/>
              </w:rPr>
            </w:pPr>
          </w:p>
        </w:tc>
        <w:tc>
          <w:tcPr>
            <w:tcW w:w="556" w:type="pct"/>
            <w:vMerge w:val="continue"/>
            <w:vAlign w:val="center"/>
          </w:tcPr>
          <w:p w14:paraId="448A7A80">
            <w:pPr>
              <w:pStyle w:val="62"/>
              <w:rPr>
                <w:u w:val="single"/>
              </w:rPr>
            </w:pPr>
          </w:p>
        </w:tc>
      </w:tr>
      <w:tr w14:paraId="48C7B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7758CB15">
            <w:pPr>
              <w:pStyle w:val="62"/>
              <w:rPr>
                <w:highlight w:val="yellow"/>
                <w:u w:val="single"/>
              </w:rPr>
            </w:pPr>
          </w:p>
        </w:tc>
        <w:tc>
          <w:tcPr>
            <w:tcW w:w="401" w:type="pct"/>
            <w:vMerge w:val="continue"/>
            <w:vAlign w:val="center"/>
          </w:tcPr>
          <w:p w14:paraId="2473E50F">
            <w:pPr>
              <w:pStyle w:val="62"/>
              <w:rPr>
                <w:highlight w:val="yellow"/>
                <w:u w:val="single"/>
              </w:rPr>
            </w:pPr>
          </w:p>
        </w:tc>
        <w:tc>
          <w:tcPr>
            <w:tcW w:w="407" w:type="pct"/>
            <w:vMerge w:val="continue"/>
            <w:vAlign w:val="center"/>
          </w:tcPr>
          <w:p w14:paraId="0D2730D1">
            <w:pPr>
              <w:pStyle w:val="62"/>
              <w:rPr>
                <w:highlight w:val="yellow"/>
                <w:u w:val="single"/>
              </w:rPr>
            </w:pPr>
          </w:p>
        </w:tc>
        <w:tc>
          <w:tcPr>
            <w:tcW w:w="603" w:type="pct"/>
            <w:vMerge w:val="continue"/>
            <w:vAlign w:val="center"/>
          </w:tcPr>
          <w:p w14:paraId="33887687">
            <w:pPr>
              <w:pStyle w:val="62"/>
              <w:rPr>
                <w:highlight w:val="yellow"/>
                <w:u w:val="single"/>
              </w:rPr>
            </w:pPr>
          </w:p>
        </w:tc>
        <w:tc>
          <w:tcPr>
            <w:tcW w:w="603" w:type="pct"/>
            <w:vAlign w:val="center"/>
          </w:tcPr>
          <w:p w14:paraId="1537E027">
            <w:pPr>
              <w:pStyle w:val="62"/>
              <w:rPr>
                <w:highlight w:val="yellow"/>
                <w:u w:val="single"/>
              </w:rPr>
            </w:pPr>
            <w:r>
              <w:rPr>
                <w:rFonts w:hint="eastAsia"/>
                <w:u w:val="single"/>
              </w:rPr>
              <w:t>硅氢化反应、脱色</w:t>
            </w:r>
          </w:p>
        </w:tc>
        <w:tc>
          <w:tcPr>
            <w:tcW w:w="854" w:type="pct"/>
            <w:vAlign w:val="center"/>
          </w:tcPr>
          <w:p w14:paraId="1B9EFA1B">
            <w:pPr>
              <w:pStyle w:val="62"/>
              <w:rPr>
                <w:highlight w:val="yellow"/>
                <w:u w:val="single"/>
              </w:rPr>
            </w:pPr>
            <w:r>
              <w:rPr>
                <w:rFonts w:hint="eastAsia"/>
                <w:u w:val="single"/>
              </w:rPr>
              <w:t>密闭负压收集管道</w:t>
            </w:r>
          </w:p>
        </w:tc>
        <w:tc>
          <w:tcPr>
            <w:tcW w:w="516" w:type="pct"/>
            <w:vMerge w:val="continue"/>
            <w:vAlign w:val="center"/>
          </w:tcPr>
          <w:p w14:paraId="3CEDB1A7">
            <w:pPr>
              <w:pStyle w:val="62"/>
              <w:rPr>
                <w:highlight w:val="yellow"/>
                <w:u w:val="single"/>
              </w:rPr>
            </w:pPr>
          </w:p>
        </w:tc>
        <w:tc>
          <w:tcPr>
            <w:tcW w:w="428" w:type="pct"/>
            <w:vMerge w:val="continue"/>
            <w:vAlign w:val="center"/>
          </w:tcPr>
          <w:p w14:paraId="05C53754">
            <w:pPr>
              <w:pStyle w:val="62"/>
              <w:rPr>
                <w:highlight w:val="yellow"/>
                <w:u w:val="single"/>
              </w:rPr>
            </w:pPr>
          </w:p>
        </w:tc>
        <w:tc>
          <w:tcPr>
            <w:tcW w:w="429" w:type="pct"/>
            <w:vMerge w:val="continue"/>
            <w:vAlign w:val="center"/>
          </w:tcPr>
          <w:p w14:paraId="79E834F4">
            <w:pPr>
              <w:pStyle w:val="62"/>
              <w:rPr>
                <w:highlight w:val="yellow"/>
                <w:u w:val="single"/>
              </w:rPr>
            </w:pPr>
          </w:p>
        </w:tc>
        <w:tc>
          <w:tcPr>
            <w:tcW w:w="556" w:type="pct"/>
            <w:vMerge w:val="continue"/>
            <w:vAlign w:val="center"/>
          </w:tcPr>
          <w:p w14:paraId="5C44719F">
            <w:pPr>
              <w:pStyle w:val="62"/>
              <w:rPr>
                <w:highlight w:val="yellow"/>
                <w:u w:val="single"/>
              </w:rPr>
            </w:pPr>
          </w:p>
        </w:tc>
      </w:tr>
      <w:tr w14:paraId="49499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312BF92C">
            <w:pPr>
              <w:pStyle w:val="62"/>
              <w:rPr>
                <w:highlight w:val="yellow"/>
                <w:u w:val="single"/>
              </w:rPr>
            </w:pPr>
          </w:p>
        </w:tc>
        <w:tc>
          <w:tcPr>
            <w:tcW w:w="401" w:type="pct"/>
            <w:vMerge w:val="continue"/>
            <w:vAlign w:val="center"/>
          </w:tcPr>
          <w:p w14:paraId="7F02CB19">
            <w:pPr>
              <w:pStyle w:val="62"/>
              <w:rPr>
                <w:highlight w:val="yellow"/>
                <w:u w:val="single"/>
              </w:rPr>
            </w:pPr>
          </w:p>
        </w:tc>
        <w:tc>
          <w:tcPr>
            <w:tcW w:w="407" w:type="pct"/>
            <w:vMerge w:val="continue"/>
            <w:vAlign w:val="center"/>
          </w:tcPr>
          <w:p w14:paraId="29366E2D">
            <w:pPr>
              <w:pStyle w:val="62"/>
              <w:rPr>
                <w:highlight w:val="yellow"/>
                <w:u w:val="single"/>
              </w:rPr>
            </w:pPr>
          </w:p>
        </w:tc>
        <w:tc>
          <w:tcPr>
            <w:tcW w:w="1206" w:type="pct"/>
            <w:gridSpan w:val="2"/>
            <w:vAlign w:val="center"/>
          </w:tcPr>
          <w:p w14:paraId="282D8400">
            <w:pPr>
              <w:pStyle w:val="62"/>
              <w:rPr>
                <w:highlight w:val="yellow"/>
                <w:u w:val="single"/>
              </w:rPr>
            </w:pPr>
            <w:r>
              <w:rPr>
                <w:rFonts w:hint="eastAsia"/>
                <w:u w:val="single"/>
              </w:rPr>
              <w:t>危险废物贮存库废气</w:t>
            </w:r>
          </w:p>
        </w:tc>
        <w:tc>
          <w:tcPr>
            <w:tcW w:w="854" w:type="pct"/>
            <w:vAlign w:val="center"/>
          </w:tcPr>
          <w:p w14:paraId="752DAAB2">
            <w:pPr>
              <w:pStyle w:val="62"/>
              <w:rPr>
                <w:highlight w:val="yellow"/>
                <w:u w:val="single"/>
              </w:rPr>
            </w:pPr>
            <w:r>
              <w:rPr>
                <w:rFonts w:hint="eastAsia"/>
                <w:u w:val="single"/>
              </w:rPr>
              <w:t>负压收集管道</w:t>
            </w:r>
          </w:p>
        </w:tc>
        <w:tc>
          <w:tcPr>
            <w:tcW w:w="516" w:type="pct"/>
            <w:vAlign w:val="center"/>
          </w:tcPr>
          <w:p w14:paraId="73FA5F6E">
            <w:pPr>
              <w:pStyle w:val="62"/>
              <w:rPr>
                <w:u w:val="single"/>
              </w:rPr>
            </w:pPr>
            <w:r>
              <w:rPr>
                <w:rFonts w:hint="eastAsia"/>
                <w:u w:val="single"/>
              </w:rPr>
              <w:t>/</w:t>
            </w:r>
          </w:p>
        </w:tc>
        <w:tc>
          <w:tcPr>
            <w:tcW w:w="428" w:type="pct"/>
            <w:vMerge w:val="continue"/>
            <w:vAlign w:val="center"/>
          </w:tcPr>
          <w:p w14:paraId="672BE709">
            <w:pPr>
              <w:pStyle w:val="62"/>
              <w:rPr>
                <w:highlight w:val="yellow"/>
                <w:u w:val="single"/>
              </w:rPr>
            </w:pPr>
          </w:p>
        </w:tc>
        <w:tc>
          <w:tcPr>
            <w:tcW w:w="429" w:type="pct"/>
            <w:vMerge w:val="continue"/>
            <w:vAlign w:val="center"/>
          </w:tcPr>
          <w:p w14:paraId="1A4B29A6">
            <w:pPr>
              <w:pStyle w:val="62"/>
              <w:rPr>
                <w:highlight w:val="yellow"/>
                <w:u w:val="single"/>
              </w:rPr>
            </w:pPr>
          </w:p>
        </w:tc>
        <w:tc>
          <w:tcPr>
            <w:tcW w:w="556" w:type="pct"/>
            <w:vMerge w:val="continue"/>
            <w:vAlign w:val="center"/>
          </w:tcPr>
          <w:p w14:paraId="508995ED">
            <w:pPr>
              <w:pStyle w:val="62"/>
              <w:rPr>
                <w:highlight w:val="yellow"/>
                <w:u w:val="single"/>
              </w:rPr>
            </w:pPr>
          </w:p>
        </w:tc>
      </w:tr>
      <w:tr w14:paraId="4FE7B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2626F160">
            <w:pPr>
              <w:pStyle w:val="62"/>
              <w:rPr>
                <w:highlight w:val="yellow"/>
                <w:u w:val="single"/>
              </w:rPr>
            </w:pPr>
          </w:p>
        </w:tc>
        <w:tc>
          <w:tcPr>
            <w:tcW w:w="401" w:type="pct"/>
            <w:vMerge w:val="continue"/>
            <w:vAlign w:val="center"/>
          </w:tcPr>
          <w:p w14:paraId="3F06B662">
            <w:pPr>
              <w:pStyle w:val="62"/>
              <w:rPr>
                <w:highlight w:val="yellow"/>
                <w:u w:val="single"/>
              </w:rPr>
            </w:pPr>
          </w:p>
        </w:tc>
        <w:tc>
          <w:tcPr>
            <w:tcW w:w="407" w:type="pct"/>
            <w:vMerge w:val="continue"/>
            <w:vAlign w:val="center"/>
          </w:tcPr>
          <w:p w14:paraId="7F8FA484">
            <w:pPr>
              <w:pStyle w:val="62"/>
              <w:rPr>
                <w:highlight w:val="yellow"/>
                <w:u w:val="single"/>
              </w:rPr>
            </w:pPr>
          </w:p>
        </w:tc>
        <w:tc>
          <w:tcPr>
            <w:tcW w:w="1206" w:type="pct"/>
            <w:gridSpan w:val="2"/>
            <w:vAlign w:val="center"/>
          </w:tcPr>
          <w:p w14:paraId="44A750C4">
            <w:pPr>
              <w:pStyle w:val="62"/>
              <w:rPr>
                <w:highlight w:val="yellow"/>
                <w:u w:val="single"/>
              </w:rPr>
            </w:pPr>
            <w:r>
              <w:rPr>
                <w:rFonts w:hint="eastAsia"/>
                <w:u w:val="single"/>
              </w:rPr>
              <w:t>化验室废气</w:t>
            </w:r>
          </w:p>
        </w:tc>
        <w:tc>
          <w:tcPr>
            <w:tcW w:w="854" w:type="pct"/>
            <w:vAlign w:val="center"/>
          </w:tcPr>
          <w:p w14:paraId="61D24FEF">
            <w:pPr>
              <w:pStyle w:val="62"/>
              <w:rPr>
                <w:highlight w:val="yellow"/>
                <w:u w:val="single"/>
              </w:rPr>
            </w:pPr>
            <w:r>
              <w:rPr>
                <w:rFonts w:hint="eastAsia"/>
                <w:u w:val="single"/>
              </w:rPr>
              <w:t>负压收集管道</w:t>
            </w:r>
          </w:p>
        </w:tc>
        <w:tc>
          <w:tcPr>
            <w:tcW w:w="516" w:type="pct"/>
            <w:vAlign w:val="center"/>
          </w:tcPr>
          <w:p w14:paraId="5C5170C5">
            <w:pPr>
              <w:pStyle w:val="62"/>
              <w:rPr>
                <w:u w:val="single"/>
              </w:rPr>
            </w:pPr>
            <w:r>
              <w:rPr>
                <w:rFonts w:hint="eastAsia"/>
                <w:u w:val="single"/>
              </w:rPr>
              <w:t>/</w:t>
            </w:r>
          </w:p>
        </w:tc>
        <w:tc>
          <w:tcPr>
            <w:tcW w:w="428" w:type="pct"/>
            <w:vMerge w:val="continue"/>
            <w:vAlign w:val="center"/>
          </w:tcPr>
          <w:p w14:paraId="3B601374">
            <w:pPr>
              <w:pStyle w:val="62"/>
              <w:rPr>
                <w:highlight w:val="yellow"/>
                <w:u w:val="single"/>
              </w:rPr>
            </w:pPr>
          </w:p>
        </w:tc>
        <w:tc>
          <w:tcPr>
            <w:tcW w:w="429" w:type="pct"/>
            <w:vMerge w:val="continue"/>
            <w:vAlign w:val="center"/>
          </w:tcPr>
          <w:p w14:paraId="6FD71378">
            <w:pPr>
              <w:pStyle w:val="62"/>
              <w:rPr>
                <w:highlight w:val="yellow"/>
                <w:u w:val="single"/>
              </w:rPr>
            </w:pPr>
          </w:p>
        </w:tc>
        <w:tc>
          <w:tcPr>
            <w:tcW w:w="556" w:type="pct"/>
            <w:vMerge w:val="continue"/>
            <w:vAlign w:val="center"/>
          </w:tcPr>
          <w:p w14:paraId="2912C3A1">
            <w:pPr>
              <w:pStyle w:val="62"/>
              <w:rPr>
                <w:highlight w:val="yellow"/>
                <w:u w:val="single"/>
              </w:rPr>
            </w:pPr>
          </w:p>
        </w:tc>
      </w:tr>
      <w:tr w14:paraId="60E01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06E40868">
            <w:pPr>
              <w:pStyle w:val="62"/>
              <w:rPr>
                <w:highlight w:val="yellow"/>
                <w:u w:val="single"/>
              </w:rPr>
            </w:pPr>
          </w:p>
        </w:tc>
        <w:tc>
          <w:tcPr>
            <w:tcW w:w="401" w:type="pct"/>
            <w:vMerge w:val="continue"/>
            <w:vAlign w:val="center"/>
          </w:tcPr>
          <w:p w14:paraId="75231F1F">
            <w:pPr>
              <w:pStyle w:val="62"/>
              <w:rPr>
                <w:highlight w:val="yellow"/>
                <w:u w:val="single"/>
              </w:rPr>
            </w:pPr>
          </w:p>
        </w:tc>
        <w:tc>
          <w:tcPr>
            <w:tcW w:w="407" w:type="pct"/>
            <w:vMerge w:val="continue"/>
            <w:vAlign w:val="center"/>
          </w:tcPr>
          <w:p w14:paraId="5F6DE1F2">
            <w:pPr>
              <w:pStyle w:val="62"/>
              <w:rPr>
                <w:highlight w:val="yellow"/>
                <w:u w:val="single"/>
              </w:rPr>
            </w:pPr>
          </w:p>
        </w:tc>
        <w:tc>
          <w:tcPr>
            <w:tcW w:w="603" w:type="pct"/>
            <w:vAlign w:val="center"/>
          </w:tcPr>
          <w:p w14:paraId="1581DA28">
            <w:pPr>
              <w:pStyle w:val="62"/>
              <w:rPr>
                <w:highlight w:val="yellow"/>
                <w:u w:val="single"/>
              </w:rPr>
            </w:pPr>
            <w:r>
              <w:rPr>
                <w:rFonts w:hint="eastAsia"/>
                <w:u w:val="single"/>
              </w:rPr>
              <w:t>色浆</w:t>
            </w:r>
          </w:p>
        </w:tc>
        <w:tc>
          <w:tcPr>
            <w:tcW w:w="603" w:type="pct"/>
            <w:vAlign w:val="center"/>
          </w:tcPr>
          <w:p w14:paraId="319AF0D2">
            <w:pPr>
              <w:pStyle w:val="62"/>
              <w:rPr>
                <w:highlight w:val="yellow"/>
                <w:u w:val="single"/>
              </w:rPr>
            </w:pPr>
            <w:r>
              <w:rPr>
                <w:rFonts w:hint="eastAsia"/>
                <w:u w:val="single"/>
              </w:rPr>
              <w:t>投料</w:t>
            </w:r>
          </w:p>
        </w:tc>
        <w:tc>
          <w:tcPr>
            <w:tcW w:w="854" w:type="pct"/>
            <w:vAlign w:val="center"/>
          </w:tcPr>
          <w:p w14:paraId="20157C49">
            <w:pPr>
              <w:pStyle w:val="62"/>
              <w:rPr>
                <w:highlight w:val="yellow"/>
                <w:u w:val="single"/>
              </w:rPr>
            </w:pPr>
            <w:r>
              <w:rPr>
                <w:rFonts w:hint="eastAsia"/>
                <w:u w:val="single"/>
              </w:rPr>
              <w:t>密闭负压收集管道</w:t>
            </w:r>
          </w:p>
        </w:tc>
        <w:tc>
          <w:tcPr>
            <w:tcW w:w="944" w:type="pct"/>
            <w:gridSpan w:val="2"/>
            <w:vAlign w:val="center"/>
          </w:tcPr>
          <w:p w14:paraId="734DC7BF">
            <w:pPr>
              <w:pStyle w:val="62"/>
              <w:rPr>
                <w:highlight w:val="yellow"/>
                <w:u w:val="single"/>
              </w:rPr>
            </w:pPr>
            <w:r>
              <w:rPr>
                <w:rFonts w:hint="eastAsia"/>
                <w:u w:val="single"/>
              </w:rPr>
              <w:t>袋式除尘器</w:t>
            </w:r>
          </w:p>
        </w:tc>
        <w:tc>
          <w:tcPr>
            <w:tcW w:w="429" w:type="pct"/>
            <w:vAlign w:val="center"/>
          </w:tcPr>
          <w:p w14:paraId="09F4D251">
            <w:pPr>
              <w:pStyle w:val="62"/>
              <w:rPr>
                <w:highlight w:val="yellow"/>
                <w:u w:val="single"/>
              </w:rPr>
            </w:pPr>
            <w:r>
              <w:rPr>
                <w:rFonts w:hint="eastAsia"/>
                <w:u w:val="single"/>
              </w:rPr>
              <w:t>15m高排气筒DA002</w:t>
            </w:r>
          </w:p>
        </w:tc>
        <w:tc>
          <w:tcPr>
            <w:tcW w:w="556" w:type="pct"/>
            <w:vMerge w:val="continue"/>
            <w:vAlign w:val="center"/>
          </w:tcPr>
          <w:p w14:paraId="10351E82">
            <w:pPr>
              <w:pStyle w:val="62"/>
              <w:rPr>
                <w:highlight w:val="yellow"/>
                <w:u w:val="single"/>
              </w:rPr>
            </w:pPr>
          </w:p>
        </w:tc>
      </w:tr>
      <w:tr w14:paraId="23FD8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0F61B0BF">
            <w:pPr>
              <w:pStyle w:val="62"/>
              <w:rPr>
                <w:highlight w:val="yellow"/>
                <w:u w:val="single"/>
              </w:rPr>
            </w:pPr>
          </w:p>
        </w:tc>
        <w:tc>
          <w:tcPr>
            <w:tcW w:w="401" w:type="pct"/>
            <w:vMerge w:val="continue"/>
            <w:vAlign w:val="center"/>
          </w:tcPr>
          <w:p w14:paraId="31C651A0">
            <w:pPr>
              <w:pStyle w:val="62"/>
              <w:rPr>
                <w:highlight w:val="yellow"/>
                <w:u w:val="single"/>
              </w:rPr>
            </w:pPr>
          </w:p>
        </w:tc>
        <w:tc>
          <w:tcPr>
            <w:tcW w:w="1613" w:type="pct"/>
            <w:gridSpan w:val="3"/>
            <w:vAlign w:val="center"/>
          </w:tcPr>
          <w:p w14:paraId="2036307B">
            <w:pPr>
              <w:pStyle w:val="62"/>
              <w:rPr>
                <w:u w:val="single"/>
              </w:rPr>
            </w:pPr>
            <w:r>
              <w:rPr>
                <w:u w:val="single"/>
              </w:rPr>
              <w:t>噪声</w:t>
            </w:r>
          </w:p>
        </w:tc>
        <w:tc>
          <w:tcPr>
            <w:tcW w:w="2227" w:type="pct"/>
            <w:gridSpan w:val="4"/>
            <w:vAlign w:val="center"/>
          </w:tcPr>
          <w:p w14:paraId="59EEB1DA">
            <w:pPr>
              <w:pStyle w:val="62"/>
              <w:rPr>
                <w:u w:val="single"/>
              </w:rPr>
            </w:pPr>
            <w:r>
              <w:rPr>
                <w:u w:val="single"/>
              </w:rPr>
              <w:t>基础减振、厂房隔声</w:t>
            </w:r>
          </w:p>
        </w:tc>
        <w:tc>
          <w:tcPr>
            <w:tcW w:w="556" w:type="pct"/>
            <w:vAlign w:val="center"/>
          </w:tcPr>
          <w:p w14:paraId="3529E9DD">
            <w:pPr>
              <w:pStyle w:val="62"/>
              <w:rPr>
                <w:u w:val="single"/>
              </w:rPr>
            </w:pPr>
            <w:r>
              <w:rPr>
                <w:u w:val="single"/>
              </w:rPr>
              <w:t>新建</w:t>
            </w:r>
          </w:p>
        </w:tc>
      </w:tr>
      <w:tr w14:paraId="5127F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50E9A42C">
            <w:pPr>
              <w:pStyle w:val="62"/>
              <w:rPr>
                <w:highlight w:val="yellow"/>
                <w:u w:val="single"/>
              </w:rPr>
            </w:pPr>
          </w:p>
        </w:tc>
        <w:tc>
          <w:tcPr>
            <w:tcW w:w="401" w:type="pct"/>
            <w:vMerge w:val="continue"/>
            <w:vAlign w:val="center"/>
          </w:tcPr>
          <w:p w14:paraId="2E4BFE42">
            <w:pPr>
              <w:pStyle w:val="62"/>
              <w:rPr>
                <w:highlight w:val="yellow"/>
                <w:u w:val="single"/>
              </w:rPr>
            </w:pPr>
          </w:p>
        </w:tc>
        <w:tc>
          <w:tcPr>
            <w:tcW w:w="1613" w:type="pct"/>
            <w:gridSpan w:val="3"/>
            <w:vMerge w:val="restart"/>
            <w:vAlign w:val="center"/>
          </w:tcPr>
          <w:p w14:paraId="3465EE63">
            <w:pPr>
              <w:pStyle w:val="62"/>
              <w:rPr>
                <w:u w:val="single"/>
              </w:rPr>
            </w:pPr>
            <w:r>
              <w:rPr>
                <w:u w:val="single"/>
              </w:rPr>
              <w:t>固废</w:t>
            </w:r>
          </w:p>
        </w:tc>
        <w:tc>
          <w:tcPr>
            <w:tcW w:w="2227" w:type="pct"/>
            <w:gridSpan w:val="4"/>
            <w:vAlign w:val="center"/>
          </w:tcPr>
          <w:p w14:paraId="45771F96">
            <w:pPr>
              <w:pStyle w:val="62"/>
              <w:rPr>
                <w:u w:val="single"/>
              </w:rPr>
            </w:pPr>
            <w:r>
              <w:rPr>
                <w:u w:val="single"/>
              </w:rPr>
              <w:t>一般固废</w:t>
            </w:r>
            <w:r>
              <w:rPr>
                <w:rFonts w:hint="eastAsia"/>
                <w:u w:val="single"/>
              </w:rPr>
              <w:t>暂存间</w:t>
            </w:r>
            <w:r>
              <w:rPr>
                <w:u w:val="single"/>
              </w:rPr>
              <w:t>（</w:t>
            </w:r>
            <w:r>
              <w:rPr>
                <w:rFonts w:hint="eastAsia"/>
                <w:u w:val="single"/>
              </w:rPr>
              <w:t>5</w:t>
            </w:r>
            <w:r>
              <w:rPr>
                <w:u w:val="single"/>
              </w:rPr>
              <w:t>m</w:t>
            </w:r>
            <w:r>
              <w:rPr>
                <w:u w:val="single"/>
                <w:vertAlign w:val="superscript"/>
              </w:rPr>
              <w:t>2</w:t>
            </w:r>
            <w:r>
              <w:rPr>
                <w:u w:val="single"/>
              </w:rPr>
              <w:t>）</w:t>
            </w:r>
          </w:p>
        </w:tc>
        <w:tc>
          <w:tcPr>
            <w:tcW w:w="556" w:type="pct"/>
            <w:vAlign w:val="center"/>
          </w:tcPr>
          <w:p w14:paraId="06038C3F">
            <w:pPr>
              <w:pStyle w:val="62"/>
              <w:rPr>
                <w:u w:val="single"/>
              </w:rPr>
            </w:pPr>
            <w:r>
              <w:rPr>
                <w:u w:val="single"/>
              </w:rPr>
              <w:t>新建</w:t>
            </w:r>
          </w:p>
        </w:tc>
      </w:tr>
      <w:tr w14:paraId="565ED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0615E7CC">
            <w:pPr>
              <w:pStyle w:val="62"/>
              <w:rPr>
                <w:highlight w:val="yellow"/>
                <w:u w:val="single"/>
              </w:rPr>
            </w:pPr>
          </w:p>
        </w:tc>
        <w:tc>
          <w:tcPr>
            <w:tcW w:w="401" w:type="pct"/>
            <w:vMerge w:val="continue"/>
            <w:vAlign w:val="center"/>
          </w:tcPr>
          <w:p w14:paraId="116A3A41">
            <w:pPr>
              <w:pStyle w:val="62"/>
              <w:rPr>
                <w:highlight w:val="yellow"/>
                <w:u w:val="single"/>
              </w:rPr>
            </w:pPr>
          </w:p>
        </w:tc>
        <w:tc>
          <w:tcPr>
            <w:tcW w:w="1613" w:type="pct"/>
            <w:gridSpan w:val="3"/>
            <w:vMerge w:val="continue"/>
            <w:vAlign w:val="center"/>
          </w:tcPr>
          <w:p w14:paraId="33498B7B">
            <w:pPr>
              <w:pStyle w:val="62"/>
              <w:rPr>
                <w:u w:val="single"/>
              </w:rPr>
            </w:pPr>
          </w:p>
        </w:tc>
        <w:tc>
          <w:tcPr>
            <w:tcW w:w="2227" w:type="pct"/>
            <w:gridSpan w:val="4"/>
            <w:vAlign w:val="center"/>
          </w:tcPr>
          <w:p w14:paraId="2778CC8B">
            <w:pPr>
              <w:pStyle w:val="62"/>
              <w:rPr>
                <w:u w:val="single"/>
              </w:rPr>
            </w:pPr>
            <w:r>
              <w:rPr>
                <w:u w:val="single"/>
              </w:rPr>
              <w:t>危废贮存库1座（</w:t>
            </w:r>
            <w:r>
              <w:rPr>
                <w:rFonts w:hint="eastAsia"/>
                <w:u w:val="single"/>
              </w:rPr>
              <w:t>50</w:t>
            </w:r>
            <w:r>
              <w:rPr>
                <w:u w:val="single"/>
              </w:rPr>
              <w:t>m</w:t>
            </w:r>
            <w:r>
              <w:rPr>
                <w:u w:val="single"/>
                <w:vertAlign w:val="superscript"/>
              </w:rPr>
              <w:t>2</w:t>
            </w:r>
            <w:r>
              <w:rPr>
                <w:u w:val="single"/>
              </w:rPr>
              <w:t>）</w:t>
            </w:r>
          </w:p>
        </w:tc>
        <w:tc>
          <w:tcPr>
            <w:tcW w:w="556" w:type="pct"/>
            <w:vAlign w:val="center"/>
          </w:tcPr>
          <w:p w14:paraId="604BC8AF">
            <w:pPr>
              <w:pStyle w:val="62"/>
              <w:rPr>
                <w:u w:val="single"/>
              </w:rPr>
            </w:pPr>
            <w:r>
              <w:rPr>
                <w:u w:val="single"/>
              </w:rPr>
              <w:t>新建</w:t>
            </w:r>
          </w:p>
        </w:tc>
      </w:tr>
      <w:tr w14:paraId="0F85D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restart"/>
            <w:vAlign w:val="center"/>
          </w:tcPr>
          <w:p w14:paraId="0FD4CECE">
            <w:pPr>
              <w:pStyle w:val="62"/>
              <w:rPr>
                <w:u w:val="single"/>
              </w:rPr>
            </w:pPr>
            <w:r>
              <w:rPr>
                <w:u w:val="single"/>
              </w:rPr>
              <w:t>4</w:t>
            </w:r>
          </w:p>
        </w:tc>
        <w:tc>
          <w:tcPr>
            <w:tcW w:w="401" w:type="pct"/>
            <w:vMerge w:val="restart"/>
            <w:vAlign w:val="center"/>
          </w:tcPr>
          <w:p w14:paraId="720E7AD1">
            <w:pPr>
              <w:pStyle w:val="62"/>
              <w:rPr>
                <w:u w:val="single"/>
              </w:rPr>
            </w:pPr>
            <w:r>
              <w:rPr>
                <w:u w:val="single"/>
              </w:rPr>
              <w:t>公用工程</w:t>
            </w:r>
          </w:p>
        </w:tc>
        <w:tc>
          <w:tcPr>
            <w:tcW w:w="1613" w:type="pct"/>
            <w:gridSpan w:val="3"/>
            <w:vAlign w:val="center"/>
          </w:tcPr>
          <w:p w14:paraId="308A96CB">
            <w:pPr>
              <w:pStyle w:val="62"/>
              <w:rPr>
                <w:u w:val="single"/>
              </w:rPr>
            </w:pPr>
            <w:r>
              <w:rPr>
                <w:u w:val="single"/>
              </w:rPr>
              <w:t>供水</w:t>
            </w:r>
          </w:p>
        </w:tc>
        <w:tc>
          <w:tcPr>
            <w:tcW w:w="2227" w:type="pct"/>
            <w:gridSpan w:val="4"/>
            <w:vAlign w:val="center"/>
          </w:tcPr>
          <w:p w14:paraId="4FC7AEC1">
            <w:pPr>
              <w:pStyle w:val="62"/>
              <w:rPr>
                <w:u w:val="single"/>
              </w:rPr>
            </w:pPr>
            <w:r>
              <w:rPr>
                <w:rFonts w:hint="eastAsia"/>
                <w:u w:val="single"/>
              </w:rPr>
              <w:t>目前园区生产用水管网正在建设中，生活用水管网已建成，建成之前生产用水暂时使用本项目租赁厂区新乡市太行水泥粉磨有限公司的自备井水，生活用水使用园区统一供水，待园区生产用水管网建成后，采用园区统一供应用水。</w:t>
            </w:r>
          </w:p>
        </w:tc>
        <w:tc>
          <w:tcPr>
            <w:tcW w:w="556" w:type="pct"/>
            <w:vAlign w:val="center"/>
          </w:tcPr>
          <w:p w14:paraId="3A88071E">
            <w:pPr>
              <w:pStyle w:val="62"/>
              <w:rPr>
                <w:u w:val="single"/>
              </w:rPr>
            </w:pPr>
            <w:r>
              <w:rPr>
                <w:u w:val="single"/>
              </w:rPr>
              <w:t>/</w:t>
            </w:r>
          </w:p>
        </w:tc>
      </w:tr>
      <w:tr w14:paraId="5BF7C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03" w:type="pct"/>
            <w:vMerge w:val="continue"/>
            <w:vAlign w:val="center"/>
          </w:tcPr>
          <w:p w14:paraId="1DA4252A">
            <w:pPr>
              <w:pStyle w:val="62"/>
              <w:rPr>
                <w:u w:val="single"/>
              </w:rPr>
            </w:pPr>
          </w:p>
        </w:tc>
        <w:tc>
          <w:tcPr>
            <w:tcW w:w="401" w:type="pct"/>
            <w:vMerge w:val="continue"/>
            <w:vAlign w:val="center"/>
          </w:tcPr>
          <w:p w14:paraId="3D327594">
            <w:pPr>
              <w:pStyle w:val="62"/>
              <w:rPr>
                <w:u w:val="single"/>
              </w:rPr>
            </w:pPr>
          </w:p>
        </w:tc>
        <w:tc>
          <w:tcPr>
            <w:tcW w:w="1613" w:type="pct"/>
            <w:gridSpan w:val="3"/>
            <w:vAlign w:val="center"/>
          </w:tcPr>
          <w:p w14:paraId="53D586E1">
            <w:pPr>
              <w:pStyle w:val="62"/>
              <w:rPr>
                <w:u w:val="single"/>
              </w:rPr>
            </w:pPr>
            <w:r>
              <w:rPr>
                <w:u w:val="single"/>
              </w:rPr>
              <w:t>供电</w:t>
            </w:r>
          </w:p>
        </w:tc>
        <w:tc>
          <w:tcPr>
            <w:tcW w:w="2227" w:type="pct"/>
            <w:gridSpan w:val="4"/>
            <w:vAlign w:val="center"/>
          </w:tcPr>
          <w:p w14:paraId="41A456F5">
            <w:pPr>
              <w:pStyle w:val="62"/>
              <w:rPr>
                <w:u w:val="single"/>
              </w:rPr>
            </w:pPr>
            <w:r>
              <w:rPr>
                <w:u w:val="single"/>
              </w:rPr>
              <w:t>园区集中供应</w:t>
            </w:r>
          </w:p>
        </w:tc>
        <w:tc>
          <w:tcPr>
            <w:tcW w:w="556" w:type="pct"/>
            <w:vAlign w:val="center"/>
          </w:tcPr>
          <w:p w14:paraId="58A8BA16">
            <w:pPr>
              <w:pStyle w:val="62"/>
              <w:rPr>
                <w:u w:val="single"/>
              </w:rPr>
            </w:pPr>
            <w:r>
              <w:rPr>
                <w:u w:val="single"/>
              </w:rPr>
              <w:t>/</w:t>
            </w:r>
          </w:p>
        </w:tc>
      </w:tr>
    </w:tbl>
    <w:p w14:paraId="7DA1FA8F">
      <w:pPr>
        <w:ind w:firstLine="482"/>
        <w:rPr>
          <w:b/>
          <w:bCs/>
        </w:rPr>
      </w:pPr>
      <w:r>
        <w:rPr>
          <w:rFonts w:hint="eastAsia"/>
          <w:b/>
          <w:bCs/>
        </w:rPr>
        <w:t>（2）主要原辅材料及能源消耗</w:t>
      </w:r>
    </w:p>
    <w:p w14:paraId="4A1631FD">
      <w:pPr>
        <w:ind w:firstLine="480"/>
        <w:rPr>
          <w:b/>
          <w:bCs/>
        </w:rPr>
      </w:pPr>
      <w:r>
        <w:rPr>
          <w:rFonts w:hint="eastAsia"/>
        </w:rPr>
        <w:t>本项目原辅材料及能源消耗见下表。</w:t>
      </w:r>
    </w:p>
    <w:p w14:paraId="0AC662C4">
      <w:pPr>
        <w:pStyle w:val="99"/>
        <w:numPr>
          <w:ilvl w:val="4"/>
          <w:numId w:val="55"/>
        </w:numPr>
        <w:ind w:left="0" w:firstLine="480"/>
        <w:rPr>
          <w:rFonts w:eastAsia="黑体"/>
        </w:rPr>
      </w:pPr>
      <w:r>
        <w:rPr>
          <w:rFonts w:hint="eastAsia" w:eastAsia="黑体"/>
        </w:rPr>
        <w:t xml:space="preserve">     </w:t>
      </w:r>
      <w:r>
        <w:rPr>
          <w:rFonts w:eastAsia="黑体"/>
        </w:rPr>
        <w:t>本项目原辅材料及能源消耗一览表</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9"/>
        <w:gridCol w:w="468"/>
        <w:gridCol w:w="1953"/>
        <w:gridCol w:w="853"/>
        <w:gridCol w:w="2280"/>
        <w:gridCol w:w="855"/>
        <w:gridCol w:w="945"/>
        <w:gridCol w:w="560"/>
      </w:tblGrid>
      <w:tr w14:paraId="085D6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1" w:type="pct"/>
            <w:vAlign w:val="center"/>
          </w:tcPr>
          <w:p w14:paraId="058A33C0">
            <w:pPr>
              <w:spacing w:line="240" w:lineRule="auto"/>
              <w:ind w:firstLine="0" w:firstLineChars="0"/>
              <w:jc w:val="center"/>
              <w:rPr>
                <w:b/>
                <w:bCs/>
                <w:kern w:val="2"/>
                <w:sz w:val="21"/>
                <w:szCs w:val="21"/>
                <w:u w:val="single"/>
              </w:rPr>
            </w:pPr>
            <w:r>
              <w:rPr>
                <w:b/>
                <w:bCs/>
                <w:sz w:val="21"/>
                <w:szCs w:val="21"/>
                <w:u w:val="single"/>
              </w:rPr>
              <w:t>序号</w:t>
            </w:r>
          </w:p>
        </w:tc>
        <w:tc>
          <w:tcPr>
            <w:tcW w:w="1453" w:type="pct"/>
            <w:gridSpan w:val="2"/>
            <w:vAlign w:val="center"/>
          </w:tcPr>
          <w:p w14:paraId="21EFF98F">
            <w:pPr>
              <w:spacing w:line="240" w:lineRule="auto"/>
              <w:ind w:firstLine="0" w:firstLineChars="0"/>
              <w:jc w:val="center"/>
              <w:rPr>
                <w:b/>
                <w:bCs/>
                <w:kern w:val="2"/>
                <w:sz w:val="21"/>
                <w:szCs w:val="21"/>
                <w:u w:val="single"/>
              </w:rPr>
            </w:pPr>
            <w:r>
              <w:rPr>
                <w:b/>
                <w:bCs/>
                <w:kern w:val="2"/>
                <w:sz w:val="21"/>
                <w:szCs w:val="21"/>
                <w:u w:val="single"/>
              </w:rPr>
              <w:t>名称</w:t>
            </w:r>
          </w:p>
        </w:tc>
        <w:tc>
          <w:tcPr>
            <w:tcW w:w="512" w:type="pct"/>
            <w:vAlign w:val="center"/>
          </w:tcPr>
          <w:p w14:paraId="0E45AE41">
            <w:pPr>
              <w:spacing w:line="240" w:lineRule="auto"/>
              <w:ind w:firstLine="0" w:firstLineChars="0"/>
              <w:jc w:val="center"/>
              <w:rPr>
                <w:b/>
                <w:bCs/>
                <w:kern w:val="2"/>
                <w:sz w:val="21"/>
                <w:szCs w:val="21"/>
                <w:u w:val="single"/>
              </w:rPr>
            </w:pPr>
            <w:r>
              <w:rPr>
                <w:rFonts w:hint="eastAsia"/>
                <w:b/>
                <w:bCs/>
                <w:kern w:val="2"/>
                <w:sz w:val="21"/>
                <w:szCs w:val="21"/>
                <w:u w:val="single"/>
              </w:rPr>
              <w:t>使用量/</w:t>
            </w:r>
            <w:r>
              <w:rPr>
                <w:b/>
                <w:bCs/>
                <w:kern w:val="2"/>
                <w:sz w:val="21"/>
                <w:szCs w:val="21"/>
                <w:u w:val="single"/>
              </w:rPr>
              <w:t>t</w:t>
            </w:r>
          </w:p>
        </w:tc>
        <w:tc>
          <w:tcPr>
            <w:tcW w:w="1368" w:type="pct"/>
            <w:vAlign w:val="center"/>
          </w:tcPr>
          <w:p w14:paraId="223ABC25">
            <w:pPr>
              <w:spacing w:line="240" w:lineRule="auto"/>
              <w:ind w:firstLine="0" w:firstLineChars="0"/>
              <w:jc w:val="center"/>
              <w:rPr>
                <w:b/>
                <w:bCs/>
                <w:kern w:val="2"/>
                <w:sz w:val="21"/>
                <w:szCs w:val="21"/>
                <w:u w:val="single"/>
              </w:rPr>
            </w:pPr>
            <w:r>
              <w:rPr>
                <w:rFonts w:hint="eastAsia"/>
                <w:b/>
                <w:bCs/>
                <w:kern w:val="2"/>
                <w:sz w:val="21"/>
                <w:szCs w:val="21"/>
                <w:u w:val="single"/>
              </w:rPr>
              <w:t>包装方式及规格</w:t>
            </w:r>
          </w:p>
        </w:tc>
        <w:tc>
          <w:tcPr>
            <w:tcW w:w="513" w:type="pct"/>
            <w:vAlign w:val="center"/>
          </w:tcPr>
          <w:p w14:paraId="4250AAB0">
            <w:pPr>
              <w:spacing w:line="240" w:lineRule="auto"/>
              <w:ind w:firstLine="0" w:firstLineChars="0"/>
              <w:jc w:val="center"/>
              <w:rPr>
                <w:b/>
                <w:bCs/>
                <w:kern w:val="2"/>
                <w:sz w:val="21"/>
                <w:szCs w:val="21"/>
                <w:u w:val="single"/>
              </w:rPr>
            </w:pPr>
            <w:r>
              <w:rPr>
                <w:rFonts w:hint="eastAsia"/>
                <w:b/>
                <w:bCs/>
                <w:kern w:val="2"/>
                <w:sz w:val="21"/>
                <w:szCs w:val="21"/>
                <w:u w:val="single"/>
              </w:rPr>
              <w:t>最大储存量/</w:t>
            </w:r>
            <w:r>
              <w:rPr>
                <w:b/>
                <w:bCs/>
                <w:kern w:val="2"/>
                <w:sz w:val="21"/>
                <w:szCs w:val="21"/>
                <w:u w:val="single"/>
              </w:rPr>
              <w:t>t</w:t>
            </w:r>
          </w:p>
        </w:tc>
        <w:tc>
          <w:tcPr>
            <w:tcW w:w="567" w:type="pct"/>
            <w:vAlign w:val="center"/>
          </w:tcPr>
          <w:p w14:paraId="2BB0F436">
            <w:pPr>
              <w:spacing w:line="240" w:lineRule="auto"/>
              <w:ind w:firstLine="0" w:firstLineChars="0"/>
              <w:jc w:val="center"/>
              <w:rPr>
                <w:b/>
                <w:bCs/>
                <w:kern w:val="2"/>
                <w:sz w:val="21"/>
                <w:szCs w:val="21"/>
                <w:u w:val="single"/>
              </w:rPr>
            </w:pPr>
            <w:r>
              <w:rPr>
                <w:rFonts w:hint="eastAsia"/>
                <w:b/>
                <w:bCs/>
                <w:kern w:val="2"/>
                <w:sz w:val="21"/>
                <w:szCs w:val="21"/>
                <w:u w:val="single"/>
              </w:rPr>
              <w:t>储存位置</w:t>
            </w:r>
          </w:p>
        </w:tc>
        <w:tc>
          <w:tcPr>
            <w:tcW w:w="336" w:type="pct"/>
            <w:vAlign w:val="center"/>
          </w:tcPr>
          <w:p w14:paraId="3E958007">
            <w:pPr>
              <w:spacing w:line="240" w:lineRule="auto"/>
              <w:ind w:firstLine="0" w:firstLineChars="0"/>
              <w:jc w:val="center"/>
              <w:rPr>
                <w:b/>
                <w:bCs/>
                <w:kern w:val="2"/>
                <w:sz w:val="21"/>
                <w:szCs w:val="21"/>
                <w:u w:val="single"/>
              </w:rPr>
            </w:pPr>
            <w:r>
              <w:rPr>
                <w:rFonts w:hint="eastAsia"/>
                <w:b/>
                <w:bCs/>
                <w:kern w:val="2"/>
                <w:sz w:val="21"/>
                <w:szCs w:val="21"/>
                <w:u w:val="single"/>
              </w:rPr>
              <w:t>来源</w:t>
            </w:r>
          </w:p>
        </w:tc>
      </w:tr>
      <w:tr w14:paraId="6809F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8"/>
            <w:vAlign w:val="center"/>
          </w:tcPr>
          <w:p w14:paraId="013EFA03">
            <w:pPr>
              <w:spacing w:line="240" w:lineRule="auto"/>
              <w:ind w:firstLine="0" w:firstLineChars="0"/>
              <w:jc w:val="center"/>
              <w:rPr>
                <w:b/>
                <w:sz w:val="21"/>
                <w:szCs w:val="21"/>
                <w:highlight w:val="yellow"/>
                <w:u w:val="single"/>
              </w:rPr>
            </w:pPr>
            <w:r>
              <w:rPr>
                <w:rFonts w:hint="eastAsia"/>
                <w:b/>
                <w:bCs/>
                <w:sz w:val="21"/>
                <w:szCs w:val="21"/>
                <w:u w:val="single"/>
              </w:rPr>
              <w:t>聚醚改性硅油</w:t>
            </w:r>
          </w:p>
        </w:tc>
      </w:tr>
      <w:tr w14:paraId="25124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6104CAAF">
            <w:pPr>
              <w:spacing w:line="240" w:lineRule="auto"/>
              <w:ind w:firstLine="0" w:firstLineChars="0"/>
              <w:jc w:val="center"/>
              <w:rPr>
                <w:sz w:val="21"/>
                <w:szCs w:val="21"/>
                <w:u w:val="single"/>
              </w:rPr>
            </w:pPr>
            <w:r>
              <w:rPr>
                <w:sz w:val="21"/>
                <w:szCs w:val="21"/>
                <w:u w:val="single"/>
              </w:rPr>
              <w:t>1</w:t>
            </w:r>
          </w:p>
        </w:tc>
        <w:tc>
          <w:tcPr>
            <w:tcW w:w="1453" w:type="pct"/>
            <w:gridSpan w:val="2"/>
            <w:vAlign w:val="center"/>
          </w:tcPr>
          <w:p w14:paraId="0FE08A8C">
            <w:pPr>
              <w:pStyle w:val="40"/>
              <w:spacing w:after="0" w:line="240" w:lineRule="auto"/>
              <w:ind w:left="0" w:leftChars="0" w:firstLine="0" w:firstLineChars="0"/>
              <w:jc w:val="center"/>
              <w:rPr>
                <w:sz w:val="21"/>
                <w:szCs w:val="21"/>
                <w:u w:val="single"/>
              </w:rPr>
            </w:pPr>
            <w:r>
              <w:rPr>
                <w:rFonts w:hint="eastAsia"/>
                <w:sz w:val="21"/>
                <w:szCs w:val="21"/>
                <w:u w:val="single"/>
              </w:rPr>
              <w:t>D4（八甲基环四硅氧烷）</w:t>
            </w:r>
          </w:p>
        </w:tc>
        <w:tc>
          <w:tcPr>
            <w:tcW w:w="512" w:type="pct"/>
            <w:vAlign w:val="center"/>
          </w:tcPr>
          <w:p w14:paraId="342FD0B6">
            <w:pPr>
              <w:spacing w:line="240" w:lineRule="auto"/>
              <w:ind w:firstLine="0" w:firstLineChars="0"/>
              <w:jc w:val="center"/>
              <w:rPr>
                <w:sz w:val="21"/>
                <w:szCs w:val="21"/>
                <w:u w:val="single"/>
              </w:rPr>
            </w:pPr>
            <w:r>
              <w:rPr>
                <w:rFonts w:hint="eastAsia"/>
                <w:sz w:val="21"/>
                <w:szCs w:val="21"/>
                <w:u w:val="single"/>
              </w:rPr>
              <w:t>769.135</w:t>
            </w:r>
          </w:p>
        </w:tc>
        <w:tc>
          <w:tcPr>
            <w:tcW w:w="1368" w:type="pct"/>
            <w:vAlign w:val="center"/>
          </w:tcPr>
          <w:p w14:paraId="2966A445">
            <w:pPr>
              <w:spacing w:line="240" w:lineRule="auto"/>
              <w:ind w:firstLine="0" w:firstLineChars="0"/>
              <w:jc w:val="center"/>
              <w:rPr>
                <w:spacing w:val="-11"/>
                <w:sz w:val="21"/>
                <w:szCs w:val="21"/>
                <w:highlight w:val="yellow"/>
                <w:u w:val="single"/>
              </w:rPr>
            </w:pPr>
            <w:r>
              <w:rPr>
                <w:spacing w:val="-11"/>
                <w:sz w:val="21"/>
                <w:szCs w:val="21"/>
                <w:u w:val="single"/>
              </w:rPr>
              <w:t>99.9%</w:t>
            </w:r>
            <w:r>
              <w:rPr>
                <w:rFonts w:hint="eastAsia"/>
                <w:spacing w:val="-11"/>
                <w:sz w:val="21"/>
                <w:szCs w:val="21"/>
                <w:u w:val="single"/>
              </w:rPr>
              <w:t>，液态，200kg/桶</w:t>
            </w:r>
          </w:p>
        </w:tc>
        <w:tc>
          <w:tcPr>
            <w:tcW w:w="513" w:type="pct"/>
            <w:vAlign w:val="center"/>
          </w:tcPr>
          <w:p w14:paraId="61B8AFD9">
            <w:pPr>
              <w:spacing w:line="240" w:lineRule="auto"/>
              <w:ind w:firstLine="0" w:firstLineChars="0"/>
              <w:jc w:val="center"/>
              <w:rPr>
                <w:sz w:val="21"/>
                <w:szCs w:val="21"/>
                <w:highlight w:val="yellow"/>
                <w:u w:val="single"/>
              </w:rPr>
            </w:pPr>
            <w:r>
              <w:rPr>
                <w:rFonts w:hint="eastAsia"/>
                <w:sz w:val="21"/>
                <w:szCs w:val="21"/>
                <w:u w:val="single"/>
              </w:rPr>
              <w:t>30</w:t>
            </w:r>
          </w:p>
        </w:tc>
        <w:tc>
          <w:tcPr>
            <w:tcW w:w="567" w:type="pct"/>
            <w:vMerge w:val="restart"/>
            <w:vAlign w:val="center"/>
          </w:tcPr>
          <w:p w14:paraId="053F0E4C">
            <w:pPr>
              <w:spacing w:line="240" w:lineRule="auto"/>
              <w:ind w:firstLine="0" w:firstLineChars="0"/>
              <w:jc w:val="center"/>
              <w:rPr>
                <w:sz w:val="21"/>
                <w:szCs w:val="21"/>
                <w:highlight w:val="yellow"/>
                <w:u w:val="single"/>
              </w:rPr>
            </w:pPr>
            <w:r>
              <w:rPr>
                <w:rFonts w:hint="eastAsia"/>
                <w:sz w:val="21"/>
                <w:szCs w:val="21"/>
                <w:u w:val="single"/>
              </w:rPr>
              <w:t>原料区</w:t>
            </w:r>
          </w:p>
        </w:tc>
        <w:tc>
          <w:tcPr>
            <w:tcW w:w="336" w:type="pct"/>
            <w:vAlign w:val="center"/>
          </w:tcPr>
          <w:p w14:paraId="5F1433C1">
            <w:pPr>
              <w:spacing w:line="240" w:lineRule="auto"/>
              <w:ind w:firstLine="0" w:firstLineChars="0"/>
              <w:jc w:val="center"/>
              <w:rPr>
                <w:sz w:val="21"/>
                <w:szCs w:val="21"/>
                <w:u w:val="single"/>
              </w:rPr>
            </w:pPr>
            <w:r>
              <w:rPr>
                <w:rFonts w:hint="eastAsia"/>
                <w:sz w:val="21"/>
                <w:szCs w:val="21"/>
                <w:u w:val="single"/>
              </w:rPr>
              <w:t>外购</w:t>
            </w:r>
          </w:p>
        </w:tc>
      </w:tr>
      <w:tr w14:paraId="33997E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49DA016A">
            <w:pPr>
              <w:spacing w:line="240" w:lineRule="auto"/>
              <w:ind w:firstLine="0" w:firstLineChars="0"/>
              <w:jc w:val="center"/>
              <w:rPr>
                <w:sz w:val="21"/>
                <w:szCs w:val="21"/>
                <w:u w:val="single"/>
              </w:rPr>
            </w:pPr>
            <w:r>
              <w:rPr>
                <w:sz w:val="21"/>
                <w:szCs w:val="21"/>
                <w:u w:val="single"/>
              </w:rPr>
              <w:t>2</w:t>
            </w:r>
          </w:p>
        </w:tc>
        <w:tc>
          <w:tcPr>
            <w:tcW w:w="1453" w:type="pct"/>
            <w:gridSpan w:val="2"/>
            <w:vAlign w:val="center"/>
          </w:tcPr>
          <w:p w14:paraId="4B752F13">
            <w:pPr>
              <w:spacing w:line="240" w:lineRule="auto"/>
              <w:ind w:firstLine="0" w:firstLineChars="0"/>
              <w:jc w:val="center"/>
              <w:rPr>
                <w:sz w:val="21"/>
                <w:szCs w:val="21"/>
                <w:u w:val="single"/>
              </w:rPr>
            </w:pPr>
            <w:r>
              <w:rPr>
                <w:rFonts w:hint="eastAsia"/>
                <w:sz w:val="21"/>
                <w:szCs w:val="21"/>
                <w:u w:val="single"/>
              </w:rPr>
              <w:t>K</w:t>
            </w:r>
            <w:r>
              <w:rPr>
                <w:sz w:val="21"/>
                <w:szCs w:val="21"/>
                <w:u w:val="single"/>
              </w:rPr>
              <w:t>F-99</w:t>
            </w:r>
            <w:r>
              <w:rPr>
                <w:rFonts w:hint="eastAsia"/>
                <w:sz w:val="21"/>
                <w:szCs w:val="21"/>
                <w:u w:val="single"/>
              </w:rPr>
              <w:t>（</w:t>
            </w:r>
            <w:r>
              <w:rPr>
                <w:sz w:val="21"/>
                <w:szCs w:val="21"/>
                <w:u w:val="single"/>
              </w:rPr>
              <w:t>高含氢硅油</w:t>
            </w:r>
            <w:r>
              <w:rPr>
                <w:rFonts w:hint="eastAsia"/>
                <w:sz w:val="21"/>
                <w:szCs w:val="21"/>
                <w:u w:val="single"/>
              </w:rPr>
              <w:t>）</w:t>
            </w:r>
          </w:p>
        </w:tc>
        <w:tc>
          <w:tcPr>
            <w:tcW w:w="512" w:type="pct"/>
            <w:vAlign w:val="center"/>
          </w:tcPr>
          <w:p w14:paraId="699BD77F">
            <w:pPr>
              <w:spacing w:line="240" w:lineRule="auto"/>
              <w:ind w:firstLine="0" w:firstLineChars="0"/>
              <w:jc w:val="center"/>
              <w:rPr>
                <w:sz w:val="21"/>
                <w:szCs w:val="21"/>
                <w:u w:val="single"/>
              </w:rPr>
            </w:pPr>
            <w:r>
              <w:rPr>
                <w:rFonts w:hint="eastAsia"/>
                <w:sz w:val="21"/>
                <w:szCs w:val="21"/>
                <w:u w:val="single"/>
              </w:rPr>
              <w:t>256.5025</w:t>
            </w:r>
          </w:p>
        </w:tc>
        <w:tc>
          <w:tcPr>
            <w:tcW w:w="1368" w:type="pct"/>
            <w:vAlign w:val="center"/>
          </w:tcPr>
          <w:p w14:paraId="1AA71D0C">
            <w:pPr>
              <w:spacing w:line="240" w:lineRule="auto"/>
              <w:ind w:firstLine="0" w:firstLineChars="0"/>
              <w:jc w:val="center"/>
              <w:rPr>
                <w:spacing w:val="-11"/>
                <w:sz w:val="21"/>
                <w:szCs w:val="21"/>
                <w:highlight w:val="yellow"/>
                <w:u w:val="single"/>
              </w:rPr>
            </w:pPr>
            <w:r>
              <w:rPr>
                <w:rFonts w:hint="eastAsia"/>
                <w:spacing w:val="-11"/>
                <w:sz w:val="21"/>
                <w:szCs w:val="21"/>
                <w:u w:val="single"/>
              </w:rPr>
              <w:t>99</w:t>
            </w:r>
            <w:r>
              <w:rPr>
                <w:spacing w:val="-11"/>
                <w:sz w:val="21"/>
                <w:szCs w:val="21"/>
                <w:u w:val="single"/>
              </w:rPr>
              <w:t>.9</w:t>
            </w:r>
            <w:r>
              <w:rPr>
                <w:rFonts w:hint="eastAsia"/>
                <w:spacing w:val="-11"/>
                <w:sz w:val="21"/>
                <w:szCs w:val="21"/>
                <w:u w:val="single"/>
              </w:rPr>
              <w:t>%，液态，2</w:t>
            </w:r>
            <w:r>
              <w:rPr>
                <w:spacing w:val="-11"/>
                <w:sz w:val="21"/>
                <w:szCs w:val="21"/>
                <w:u w:val="single"/>
              </w:rPr>
              <w:t>00</w:t>
            </w:r>
            <w:r>
              <w:rPr>
                <w:rFonts w:hint="eastAsia"/>
                <w:spacing w:val="-11"/>
                <w:sz w:val="21"/>
                <w:szCs w:val="21"/>
                <w:u w:val="single"/>
              </w:rPr>
              <w:t>kg/桶</w:t>
            </w:r>
          </w:p>
        </w:tc>
        <w:tc>
          <w:tcPr>
            <w:tcW w:w="513" w:type="pct"/>
            <w:vAlign w:val="center"/>
          </w:tcPr>
          <w:p w14:paraId="18121D25">
            <w:pPr>
              <w:spacing w:line="240" w:lineRule="auto"/>
              <w:ind w:firstLine="0" w:firstLineChars="0"/>
              <w:jc w:val="center"/>
              <w:rPr>
                <w:sz w:val="21"/>
                <w:szCs w:val="21"/>
                <w:highlight w:val="yellow"/>
                <w:u w:val="single"/>
              </w:rPr>
            </w:pPr>
            <w:r>
              <w:rPr>
                <w:rFonts w:hint="eastAsia"/>
                <w:sz w:val="21"/>
                <w:szCs w:val="21"/>
                <w:u w:val="single"/>
              </w:rPr>
              <w:t>6</w:t>
            </w:r>
          </w:p>
        </w:tc>
        <w:tc>
          <w:tcPr>
            <w:tcW w:w="567" w:type="pct"/>
            <w:vMerge w:val="continue"/>
            <w:vAlign w:val="center"/>
          </w:tcPr>
          <w:p w14:paraId="09F4C85F">
            <w:pPr>
              <w:spacing w:line="240" w:lineRule="auto"/>
              <w:ind w:firstLine="0" w:firstLineChars="0"/>
              <w:jc w:val="center"/>
              <w:rPr>
                <w:sz w:val="21"/>
                <w:szCs w:val="21"/>
                <w:highlight w:val="yellow"/>
                <w:u w:val="single"/>
              </w:rPr>
            </w:pPr>
          </w:p>
        </w:tc>
        <w:tc>
          <w:tcPr>
            <w:tcW w:w="336" w:type="pct"/>
            <w:vAlign w:val="center"/>
          </w:tcPr>
          <w:p w14:paraId="0EB79345">
            <w:pPr>
              <w:spacing w:line="240" w:lineRule="auto"/>
              <w:ind w:firstLine="0" w:firstLineChars="0"/>
              <w:jc w:val="center"/>
              <w:rPr>
                <w:sz w:val="21"/>
                <w:szCs w:val="21"/>
                <w:u w:val="single"/>
              </w:rPr>
            </w:pPr>
            <w:r>
              <w:rPr>
                <w:rFonts w:hint="eastAsia"/>
                <w:sz w:val="21"/>
                <w:szCs w:val="21"/>
                <w:u w:val="single"/>
              </w:rPr>
              <w:t>外购</w:t>
            </w:r>
          </w:p>
        </w:tc>
      </w:tr>
      <w:tr w14:paraId="67897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229F9C69">
            <w:pPr>
              <w:spacing w:line="240" w:lineRule="auto"/>
              <w:ind w:firstLine="0" w:firstLineChars="0"/>
              <w:jc w:val="center"/>
              <w:rPr>
                <w:sz w:val="21"/>
                <w:szCs w:val="21"/>
                <w:u w:val="single"/>
              </w:rPr>
            </w:pPr>
            <w:r>
              <w:rPr>
                <w:sz w:val="21"/>
                <w:szCs w:val="21"/>
                <w:u w:val="single"/>
              </w:rPr>
              <w:t>3</w:t>
            </w:r>
          </w:p>
        </w:tc>
        <w:tc>
          <w:tcPr>
            <w:tcW w:w="1453" w:type="pct"/>
            <w:gridSpan w:val="2"/>
            <w:vAlign w:val="center"/>
          </w:tcPr>
          <w:p w14:paraId="60401EC4">
            <w:pPr>
              <w:spacing w:line="240" w:lineRule="auto"/>
              <w:ind w:firstLine="0" w:firstLineChars="0"/>
              <w:jc w:val="center"/>
              <w:rPr>
                <w:sz w:val="21"/>
                <w:szCs w:val="21"/>
                <w:u w:val="single"/>
              </w:rPr>
            </w:pPr>
            <w:r>
              <w:rPr>
                <w:rFonts w:hint="eastAsia"/>
                <w:sz w:val="21"/>
                <w:szCs w:val="21"/>
                <w:u w:val="single"/>
              </w:rPr>
              <w:t>硫酸</w:t>
            </w:r>
          </w:p>
        </w:tc>
        <w:tc>
          <w:tcPr>
            <w:tcW w:w="512" w:type="pct"/>
            <w:vAlign w:val="center"/>
          </w:tcPr>
          <w:p w14:paraId="16E92F01">
            <w:pPr>
              <w:spacing w:line="240" w:lineRule="auto"/>
              <w:ind w:firstLine="0" w:firstLineChars="0"/>
              <w:jc w:val="center"/>
              <w:rPr>
                <w:sz w:val="21"/>
                <w:szCs w:val="21"/>
                <w:highlight w:val="yellow"/>
                <w:u w:val="single"/>
              </w:rPr>
            </w:pPr>
            <w:r>
              <w:rPr>
                <w:rFonts w:hint="eastAsia"/>
                <w:sz w:val="21"/>
                <w:szCs w:val="21"/>
                <w:u w:val="single"/>
              </w:rPr>
              <w:t>10</w:t>
            </w:r>
          </w:p>
        </w:tc>
        <w:tc>
          <w:tcPr>
            <w:tcW w:w="1368" w:type="pct"/>
            <w:vAlign w:val="center"/>
          </w:tcPr>
          <w:p w14:paraId="0ABCFF20">
            <w:pPr>
              <w:spacing w:line="240" w:lineRule="auto"/>
              <w:ind w:firstLine="0" w:firstLineChars="0"/>
              <w:jc w:val="center"/>
              <w:rPr>
                <w:sz w:val="21"/>
                <w:szCs w:val="21"/>
                <w:highlight w:val="yellow"/>
                <w:u w:val="single"/>
              </w:rPr>
            </w:pPr>
            <w:r>
              <w:rPr>
                <w:rFonts w:hint="eastAsia"/>
                <w:spacing w:val="-11"/>
                <w:sz w:val="21"/>
                <w:szCs w:val="21"/>
                <w:u w:val="single"/>
              </w:rPr>
              <w:t>9</w:t>
            </w:r>
            <w:r>
              <w:rPr>
                <w:spacing w:val="-11"/>
                <w:sz w:val="21"/>
                <w:szCs w:val="21"/>
                <w:u w:val="single"/>
              </w:rPr>
              <w:t>8%</w:t>
            </w:r>
            <w:r>
              <w:rPr>
                <w:rFonts w:hint="eastAsia"/>
                <w:spacing w:val="-11"/>
                <w:sz w:val="21"/>
                <w:szCs w:val="21"/>
                <w:u w:val="single"/>
              </w:rPr>
              <w:t>，液态，吨桶</w:t>
            </w:r>
          </w:p>
        </w:tc>
        <w:tc>
          <w:tcPr>
            <w:tcW w:w="513" w:type="pct"/>
            <w:vAlign w:val="center"/>
          </w:tcPr>
          <w:p w14:paraId="0F94263A">
            <w:pPr>
              <w:spacing w:line="240" w:lineRule="auto"/>
              <w:ind w:firstLine="0" w:firstLineChars="0"/>
              <w:jc w:val="center"/>
              <w:rPr>
                <w:sz w:val="21"/>
                <w:szCs w:val="21"/>
                <w:highlight w:val="yellow"/>
                <w:u w:val="single"/>
              </w:rPr>
            </w:pPr>
            <w:r>
              <w:rPr>
                <w:rFonts w:hint="eastAsia"/>
                <w:sz w:val="21"/>
                <w:szCs w:val="21"/>
                <w:u w:val="single"/>
              </w:rPr>
              <w:t>1</w:t>
            </w:r>
          </w:p>
        </w:tc>
        <w:tc>
          <w:tcPr>
            <w:tcW w:w="567" w:type="pct"/>
            <w:vMerge w:val="continue"/>
            <w:vAlign w:val="center"/>
          </w:tcPr>
          <w:p w14:paraId="418B2A01">
            <w:pPr>
              <w:spacing w:line="240" w:lineRule="auto"/>
              <w:ind w:firstLine="0" w:firstLineChars="0"/>
              <w:jc w:val="center"/>
              <w:rPr>
                <w:sz w:val="21"/>
                <w:szCs w:val="21"/>
                <w:highlight w:val="yellow"/>
                <w:u w:val="single"/>
              </w:rPr>
            </w:pPr>
          </w:p>
        </w:tc>
        <w:tc>
          <w:tcPr>
            <w:tcW w:w="336" w:type="pct"/>
            <w:vAlign w:val="center"/>
          </w:tcPr>
          <w:p w14:paraId="12D74547">
            <w:pPr>
              <w:spacing w:line="240" w:lineRule="auto"/>
              <w:ind w:firstLine="0" w:firstLineChars="0"/>
              <w:jc w:val="center"/>
              <w:rPr>
                <w:sz w:val="21"/>
                <w:szCs w:val="21"/>
                <w:u w:val="single"/>
              </w:rPr>
            </w:pPr>
            <w:r>
              <w:rPr>
                <w:rFonts w:hint="eastAsia"/>
                <w:sz w:val="21"/>
                <w:szCs w:val="21"/>
                <w:u w:val="single"/>
              </w:rPr>
              <w:t>外购</w:t>
            </w:r>
          </w:p>
        </w:tc>
      </w:tr>
      <w:tr w14:paraId="054A5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ECAE139">
            <w:pPr>
              <w:spacing w:line="240" w:lineRule="auto"/>
              <w:ind w:firstLine="0" w:firstLineChars="0"/>
              <w:jc w:val="center"/>
              <w:rPr>
                <w:sz w:val="21"/>
                <w:szCs w:val="21"/>
                <w:u w:val="single"/>
              </w:rPr>
            </w:pPr>
            <w:r>
              <w:rPr>
                <w:sz w:val="21"/>
                <w:szCs w:val="21"/>
                <w:u w:val="single"/>
              </w:rPr>
              <w:t>4</w:t>
            </w:r>
          </w:p>
        </w:tc>
        <w:tc>
          <w:tcPr>
            <w:tcW w:w="1453" w:type="pct"/>
            <w:gridSpan w:val="2"/>
            <w:vAlign w:val="center"/>
          </w:tcPr>
          <w:p w14:paraId="682EFEED">
            <w:pPr>
              <w:spacing w:line="240" w:lineRule="auto"/>
              <w:ind w:firstLine="0" w:firstLineChars="0"/>
              <w:jc w:val="center"/>
              <w:rPr>
                <w:sz w:val="21"/>
                <w:szCs w:val="21"/>
                <w:u w:val="single"/>
              </w:rPr>
            </w:pPr>
            <w:r>
              <w:rPr>
                <w:rFonts w:hint="eastAsia"/>
                <w:sz w:val="21"/>
                <w:szCs w:val="21"/>
                <w:u w:val="single"/>
              </w:rPr>
              <w:t>小苏打（碳酸氢钠）</w:t>
            </w:r>
          </w:p>
        </w:tc>
        <w:tc>
          <w:tcPr>
            <w:tcW w:w="512" w:type="pct"/>
            <w:vAlign w:val="center"/>
          </w:tcPr>
          <w:p w14:paraId="6DF6C547">
            <w:pPr>
              <w:spacing w:line="240" w:lineRule="auto"/>
              <w:ind w:firstLine="0" w:firstLineChars="0"/>
              <w:jc w:val="center"/>
              <w:rPr>
                <w:sz w:val="21"/>
                <w:szCs w:val="21"/>
                <w:highlight w:val="yellow"/>
                <w:u w:val="single"/>
              </w:rPr>
            </w:pPr>
            <w:r>
              <w:rPr>
                <w:rFonts w:hint="eastAsia"/>
                <w:sz w:val="21"/>
                <w:szCs w:val="21"/>
                <w:u w:val="single"/>
              </w:rPr>
              <w:t>25</w:t>
            </w:r>
          </w:p>
        </w:tc>
        <w:tc>
          <w:tcPr>
            <w:tcW w:w="1368" w:type="pct"/>
            <w:vAlign w:val="center"/>
          </w:tcPr>
          <w:p w14:paraId="2EFB2650">
            <w:pPr>
              <w:spacing w:line="240" w:lineRule="auto"/>
              <w:ind w:firstLine="0" w:firstLineChars="0"/>
              <w:jc w:val="center"/>
              <w:rPr>
                <w:sz w:val="21"/>
                <w:szCs w:val="21"/>
                <w:u w:val="single"/>
              </w:rPr>
            </w:pPr>
            <w:r>
              <w:rPr>
                <w:rFonts w:hint="eastAsia"/>
                <w:sz w:val="21"/>
                <w:szCs w:val="21"/>
                <w:u w:val="single"/>
              </w:rPr>
              <w:t>食品级，粉状，2</w:t>
            </w:r>
            <w:r>
              <w:rPr>
                <w:sz w:val="21"/>
                <w:szCs w:val="21"/>
                <w:u w:val="single"/>
              </w:rPr>
              <w:t>5</w:t>
            </w:r>
            <w:r>
              <w:rPr>
                <w:rFonts w:hint="eastAsia"/>
                <w:sz w:val="21"/>
                <w:szCs w:val="21"/>
                <w:u w:val="single"/>
              </w:rPr>
              <w:t>kg/袋</w:t>
            </w:r>
          </w:p>
        </w:tc>
        <w:tc>
          <w:tcPr>
            <w:tcW w:w="513" w:type="pct"/>
            <w:vAlign w:val="center"/>
          </w:tcPr>
          <w:p w14:paraId="73F985BA">
            <w:pPr>
              <w:spacing w:line="240" w:lineRule="auto"/>
              <w:ind w:firstLine="0" w:firstLineChars="0"/>
              <w:jc w:val="center"/>
              <w:rPr>
                <w:sz w:val="21"/>
                <w:szCs w:val="21"/>
                <w:u w:val="single"/>
              </w:rPr>
            </w:pPr>
            <w:r>
              <w:rPr>
                <w:rFonts w:hint="eastAsia"/>
                <w:sz w:val="21"/>
                <w:szCs w:val="21"/>
                <w:u w:val="single"/>
              </w:rPr>
              <w:t>2</w:t>
            </w:r>
          </w:p>
        </w:tc>
        <w:tc>
          <w:tcPr>
            <w:tcW w:w="567" w:type="pct"/>
            <w:vMerge w:val="continue"/>
            <w:vAlign w:val="center"/>
          </w:tcPr>
          <w:p w14:paraId="468C3964">
            <w:pPr>
              <w:spacing w:line="240" w:lineRule="auto"/>
              <w:ind w:firstLine="0" w:firstLineChars="0"/>
              <w:jc w:val="center"/>
              <w:rPr>
                <w:sz w:val="21"/>
                <w:szCs w:val="21"/>
                <w:highlight w:val="yellow"/>
                <w:u w:val="single"/>
              </w:rPr>
            </w:pPr>
          </w:p>
        </w:tc>
        <w:tc>
          <w:tcPr>
            <w:tcW w:w="336" w:type="pct"/>
            <w:vAlign w:val="center"/>
          </w:tcPr>
          <w:p w14:paraId="0C827EE2">
            <w:pPr>
              <w:spacing w:line="240" w:lineRule="auto"/>
              <w:ind w:firstLine="0" w:firstLineChars="0"/>
              <w:jc w:val="center"/>
              <w:rPr>
                <w:sz w:val="21"/>
                <w:szCs w:val="21"/>
                <w:u w:val="single"/>
              </w:rPr>
            </w:pPr>
            <w:r>
              <w:rPr>
                <w:rFonts w:hint="eastAsia"/>
                <w:sz w:val="21"/>
                <w:szCs w:val="21"/>
                <w:u w:val="single"/>
              </w:rPr>
              <w:t>外购</w:t>
            </w:r>
          </w:p>
        </w:tc>
      </w:tr>
      <w:tr w14:paraId="300E3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00BBA92">
            <w:pPr>
              <w:spacing w:line="240" w:lineRule="auto"/>
              <w:ind w:firstLine="0" w:firstLineChars="0"/>
              <w:jc w:val="center"/>
              <w:rPr>
                <w:sz w:val="21"/>
                <w:szCs w:val="21"/>
                <w:u w:val="single"/>
              </w:rPr>
            </w:pPr>
            <w:r>
              <w:rPr>
                <w:sz w:val="21"/>
                <w:szCs w:val="21"/>
                <w:u w:val="single"/>
              </w:rPr>
              <w:t>5</w:t>
            </w:r>
          </w:p>
        </w:tc>
        <w:tc>
          <w:tcPr>
            <w:tcW w:w="1453" w:type="pct"/>
            <w:gridSpan w:val="2"/>
            <w:vAlign w:val="center"/>
          </w:tcPr>
          <w:p w14:paraId="2D012A30">
            <w:pPr>
              <w:spacing w:line="240" w:lineRule="auto"/>
              <w:ind w:firstLine="0" w:firstLineChars="0"/>
              <w:jc w:val="center"/>
              <w:rPr>
                <w:sz w:val="21"/>
                <w:szCs w:val="21"/>
                <w:u w:val="single"/>
              </w:rPr>
            </w:pPr>
            <w:r>
              <w:rPr>
                <w:rFonts w:hint="eastAsia"/>
                <w:sz w:val="21"/>
                <w:szCs w:val="21"/>
                <w:u w:val="single"/>
              </w:rPr>
              <w:t>椰壳活性炭</w:t>
            </w:r>
          </w:p>
        </w:tc>
        <w:tc>
          <w:tcPr>
            <w:tcW w:w="512" w:type="pct"/>
            <w:vAlign w:val="center"/>
          </w:tcPr>
          <w:p w14:paraId="20BC414A">
            <w:pPr>
              <w:spacing w:line="240" w:lineRule="auto"/>
              <w:ind w:firstLine="0" w:firstLineChars="0"/>
              <w:jc w:val="center"/>
              <w:rPr>
                <w:sz w:val="21"/>
                <w:szCs w:val="21"/>
                <w:highlight w:val="yellow"/>
                <w:u w:val="single"/>
              </w:rPr>
            </w:pPr>
            <w:r>
              <w:rPr>
                <w:rFonts w:hint="eastAsia"/>
                <w:sz w:val="21"/>
                <w:szCs w:val="21"/>
                <w:u w:val="single"/>
              </w:rPr>
              <w:t>25</w:t>
            </w:r>
          </w:p>
        </w:tc>
        <w:tc>
          <w:tcPr>
            <w:tcW w:w="1368" w:type="pct"/>
            <w:vAlign w:val="center"/>
          </w:tcPr>
          <w:p w14:paraId="71218327">
            <w:pPr>
              <w:spacing w:line="240" w:lineRule="auto"/>
              <w:ind w:firstLine="0" w:firstLineChars="0"/>
              <w:jc w:val="center"/>
              <w:rPr>
                <w:sz w:val="21"/>
                <w:szCs w:val="21"/>
                <w:u w:val="single"/>
              </w:rPr>
            </w:pPr>
            <w:r>
              <w:rPr>
                <w:rFonts w:hint="eastAsia"/>
                <w:sz w:val="21"/>
                <w:szCs w:val="21"/>
                <w:u w:val="single"/>
              </w:rPr>
              <w:t>粒状，2</w:t>
            </w:r>
            <w:r>
              <w:rPr>
                <w:sz w:val="21"/>
                <w:szCs w:val="21"/>
                <w:u w:val="single"/>
              </w:rPr>
              <w:t>5</w:t>
            </w:r>
            <w:r>
              <w:rPr>
                <w:rFonts w:hint="eastAsia"/>
                <w:sz w:val="21"/>
                <w:szCs w:val="21"/>
                <w:u w:val="single"/>
              </w:rPr>
              <w:t>kg/袋</w:t>
            </w:r>
          </w:p>
        </w:tc>
        <w:tc>
          <w:tcPr>
            <w:tcW w:w="513" w:type="pct"/>
            <w:vAlign w:val="center"/>
          </w:tcPr>
          <w:p w14:paraId="2DB1761E">
            <w:pPr>
              <w:spacing w:line="240" w:lineRule="auto"/>
              <w:ind w:firstLine="0" w:firstLineChars="0"/>
              <w:jc w:val="center"/>
              <w:rPr>
                <w:sz w:val="21"/>
                <w:szCs w:val="21"/>
                <w:u w:val="single"/>
              </w:rPr>
            </w:pPr>
            <w:r>
              <w:rPr>
                <w:rFonts w:hint="eastAsia"/>
                <w:sz w:val="21"/>
                <w:szCs w:val="21"/>
                <w:u w:val="single"/>
              </w:rPr>
              <w:t>2</w:t>
            </w:r>
          </w:p>
        </w:tc>
        <w:tc>
          <w:tcPr>
            <w:tcW w:w="567" w:type="pct"/>
            <w:vMerge w:val="continue"/>
            <w:vAlign w:val="center"/>
          </w:tcPr>
          <w:p w14:paraId="0C0D159F">
            <w:pPr>
              <w:spacing w:line="240" w:lineRule="auto"/>
              <w:ind w:firstLine="0" w:firstLineChars="0"/>
              <w:jc w:val="center"/>
              <w:rPr>
                <w:sz w:val="21"/>
                <w:szCs w:val="21"/>
                <w:highlight w:val="yellow"/>
                <w:u w:val="single"/>
              </w:rPr>
            </w:pPr>
          </w:p>
        </w:tc>
        <w:tc>
          <w:tcPr>
            <w:tcW w:w="336" w:type="pct"/>
            <w:vAlign w:val="center"/>
          </w:tcPr>
          <w:p w14:paraId="6D033B7E">
            <w:pPr>
              <w:spacing w:line="240" w:lineRule="auto"/>
              <w:ind w:firstLine="0" w:firstLineChars="0"/>
              <w:jc w:val="center"/>
              <w:rPr>
                <w:sz w:val="21"/>
                <w:szCs w:val="21"/>
                <w:highlight w:val="yellow"/>
                <w:u w:val="single"/>
              </w:rPr>
            </w:pPr>
            <w:r>
              <w:rPr>
                <w:rFonts w:hint="eastAsia"/>
                <w:sz w:val="21"/>
                <w:szCs w:val="21"/>
                <w:u w:val="single"/>
              </w:rPr>
              <w:t>外购</w:t>
            </w:r>
          </w:p>
        </w:tc>
      </w:tr>
      <w:tr w14:paraId="60CEC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Merge w:val="restart"/>
            <w:vAlign w:val="center"/>
          </w:tcPr>
          <w:p w14:paraId="2D377BBF">
            <w:pPr>
              <w:spacing w:line="240" w:lineRule="auto"/>
              <w:ind w:firstLine="0" w:firstLineChars="0"/>
              <w:jc w:val="center"/>
              <w:rPr>
                <w:sz w:val="21"/>
                <w:szCs w:val="21"/>
                <w:u w:val="single"/>
              </w:rPr>
            </w:pPr>
            <w:r>
              <w:rPr>
                <w:sz w:val="21"/>
                <w:szCs w:val="21"/>
                <w:u w:val="single"/>
              </w:rPr>
              <w:t>6</w:t>
            </w:r>
          </w:p>
        </w:tc>
        <w:tc>
          <w:tcPr>
            <w:tcW w:w="281" w:type="pct"/>
            <w:vMerge w:val="restart"/>
            <w:vAlign w:val="center"/>
          </w:tcPr>
          <w:p w14:paraId="449310C6">
            <w:pPr>
              <w:spacing w:line="240" w:lineRule="auto"/>
              <w:ind w:firstLine="0" w:firstLineChars="0"/>
              <w:jc w:val="center"/>
              <w:rPr>
                <w:sz w:val="21"/>
                <w:szCs w:val="21"/>
                <w:u w:val="single"/>
              </w:rPr>
            </w:pPr>
            <w:r>
              <w:rPr>
                <w:rFonts w:hint="eastAsia"/>
                <w:sz w:val="21"/>
                <w:szCs w:val="21"/>
                <w:u w:val="single"/>
              </w:rPr>
              <w:t>封端聚醚</w:t>
            </w:r>
          </w:p>
        </w:tc>
        <w:tc>
          <w:tcPr>
            <w:tcW w:w="1172" w:type="pct"/>
            <w:vAlign w:val="center"/>
          </w:tcPr>
          <w:p w14:paraId="58F75338">
            <w:pPr>
              <w:spacing w:line="240" w:lineRule="auto"/>
              <w:ind w:firstLine="0" w:firstLineChars="0"/>
              <w:jc w:val="center"/>
              <w:rPr>
                <w:sz w:val="21"/>
                <w:szCs w:val="21"/>
                <w:u w:val="single"/>
              </w:rPr>
            </w:pPr>
            <w:r>
              <w:rPr>
                <w:rFonts w:hint="eastAsia"/>
                <w:sz w:val="21"/>
                <w:szCs w:val="21"/>
                <w:u w:val="single"/>
              </w:rPr>
              <w:t>烯丙醇聚醚乙酰基封端（H</w:t>
            </w:r>
            <w:r>
              <w:rPr>
                <w:sz w:val="21"/>
                <w:szCs w:val="21"/>
                <w:u w:val="single"/>
              </w:rPr>
              <w:t>MS-218M</w:t>
            </w:r>
            <w:r>
              <w:rPr>
                <w:rFonts w:hint="eastAsia"/>
                <w:sz w:val="21"/>
                <w:szCs w:val="21"/>
                <w:u w:val="single"/>
              </w:rPr>
              <w:t>）</w:t>
            </w:r>
          </w:p>
        </w:tc>
        <w:tc>
          <w:tcPr>
            <w:tcW w:w="512" w:type="pct"/>
            <w:vAlign w:val="center"/>
          </w:tcPr>
          <w:p w14:paraId="23407CA3">
            <w:pPr>
              <w:spacing w:line="240" w:lineRule="auto"/>
              <w:ind w:firstLine="0" w:firstLineChars="0"/>
              <w:jc w:val="center"/>
              <w:rPr>
                <w:sz w:val="21"/>
                <w:szCs w:val="21"/>
                <w:u w:val="single"/>
              </w:rPr>
            </w:pPr>
            <w:r>
              <w:rPr>
                <w:rFonts w:hint="eastAsia"/>
                <w:sz w:val="21"/>
                <w:szCs w:val="21"/>
                <w:u w:val="single"/>
              </w:rPr>
              <w:t>3522.44</w:t>
            </w:r>
          </w:p>
        </w:tc>
        <w:tc>
          <w:tcPr>
            <w:tcW w:w="1368" w:type="pct"/>
            <w:vAlign w:val="center"/>
          </w:tcPr>
          <w:p w14:paraId="7BFA4544">
            <w:pPr>
              <w:spacing w:line="240" w:lineRule="auto"/>
              <w:ind w:firstLine="0" w:firstLineChars="0"/>
              <w:jc w:val="center"/>
              <w:rPr>
                <w:sz w:val="21"/>
                <w:szCs w:val="21"/>
                <w:u w:val="single"/>
              </w:rPr>
            </w:pPr>
            <w:r>
              <w:rPr>
                <w:spacing w:val="-11"/>
                <w:sz w:val="21"/>
                <w:szCs w:val="21"/>
                <w:u w:val="single"/>
              </w:rPr>
              <w:t>99.8%</w:t>
            </w:r>
            <w:r>
              <w:rPr>
                <w:rFonts w:hint="eastAsia"/>
                <w:spacing w:val="-11"/>
                <w:sz w:val="21"/>
                <w:szCs w:val="21"/>
                <w:u w:val="single"/>
              </w:rPr>
              <w:t>，液态，吨桶</w:t>
            </w:r>
          </w:p>
        </w:tc>
        <w:tc>
          <w:tcPr>
            <w:tcW w:w="513" w:type="pct"/>
            <w:vAlign w:val="center"/>
          </w:tcPr>
          <w:p w14:paraId="4B40298E">
            <w:pPr>
              <w:spacing w:line="240" w:lineRule="auto"/>
              <w:ind w:firstLine="0" w:firstLineChars="0"/>
              <w:jc w:val="center"/>
              <w:rPr>
                <w:sz w:val="21"/>
                <w:szCs w:val="21"/>
                <w:u w:val="single"/>
              </w:rPr>
            </w:pPr>
            <w:r>
              <w:rPr>
                <w:rFonts w:hint="eastAsia"/>
                <w:sz w:val="21"/>
                <w:szCs w:val="21"/>
                <w:u w:val="single"/>
              </w:rPr>
              <w:t>80</w:t>
            </w:r>
          </w:p>
        </w:tc>
        <w:tc>
          <w:tcPr>
            <w:tcW w:w="567" w:type="pct"/>
            <w:vMerge w:val="continue"/>
            <w:vAlign w:val="center"/>
          </w:tcPr>
          <w:p w14:paraId="7786FD21">
            <w:pPr>
              <w:spacing w:line="240" w:lineRule="auto"/>
              <w:ind w:firstLine="0" w:firstLineChars="0"/>
              <w:jc w:val="center"/>
              <w:rPr>
                <w:sz w:val="21"/>
                <w:szCs w:val="21"/>
                <w:highlight w:val="yellow"/>
                <w:u w:val="single"/>
              </w:rPr>
            </w:pPr>
          </w:p>
        </w:tc>
        <w:tc>
          <w:tcPr>
            <w:tcW w:w="336" w:type="pct"/>
            <w:vAlign w:val="center"/>
          </w:tcPr>
          <w:p w14:paraId="10A9E54F">
            <w:pPr>
              <w:spacing w:line="240" w:lineRule="auto"/>
              <w:ind w:firstLine="0" w:firstLineChars="0"/>
              <w:jc w:val="center"/>
              <w:rPr>
                <w:sz w:val="21"/>
                <w:szCs w:val="21"/>
                <w:highlight w:val="yellow"/>
                <w:u w:val="single"/>
              </w:rPr>
            </w:pPr>
            <w:r>
              <w:rPr>
                <w:rFonts w:hint="eastAsia"/>
                <w:sz w:val="21"/>
                <w:szCs w:val="21"/>
                <w:u w:val="single"/>
              </w:rPr>
              <w:t>外购</w:t>
            </w:r>
          </w:p>
        </w:tc>
      </w:tr>
      <w:tr w14:paraId="50BC4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Merge w:val="continue"/>
            <w:vAlign w:val="center"/>
          </w:tcPr>
          <w:p w14:paraId="77BB6A53">
            <w:pPr>
              <w:spacing w:line="240" w:lineRule="auto"/>
              <w:ind w:firstLine="0" w:firstLineChars="0"/>
              <w:jc w:val="center"/>
              <w:rPr>
                <w:sz w:val="21"/>
                <w:szCs w:val="21"/>
                <w:u w:val="single"/>
              </w:rPr>
            </w:pPr>
          </w:p>
        </w:tc>
        <w:tc>
          <w:tcPr>
            <w:tcW w:w="281" w:type="pct"/>
            <w:vMerge w:val="continue"/>
            <w:vAlign w:val="center"/>
          </w:tcPr>
          <w:p w14:paraId="6BEAEAB6">
            <w:pPr>
              <w:spacing w:line="240" w:lineRule="auto"/>
              <w:ind w:firstLine="0" w:firstLineChars="0"/>
              <w:jc w:val="center"/>
              <w:rPr>
                <w:sz w:val="21"/>
                <w:szCs w:val="21"/>
                <w:u w:val="single"/>
              </w:rPr>
            </w:pPr>
          </w:p>
        </w:tc>
        <w:tc>
          <w:tcPr>
            <w:tcW w:w="1172" w:type="pct"/>
            <w:vAlign w:val="center"/>
          </w:tcPr>
          <w:p w14:paraId="2E3B2BFF">
            <w:pPr>
              <w:spacing w:line="240" w:lineRule="auto"/>
              <w:ind w:firstLine="0" w:firstLineChars="0"/>
              <w:jc w:val="center"/>
              <w:rPr>
                <w:sz w:val="21"/>
                <w:szCs w:val="21"/>
                <w:u w:val="single"/>
              </w:rPr>
            </w:pPr>
            <w:r>
              <w:rPr>
                <w:rFonts w:hint="eastAsia"/>
                <w:sz w:val="21"/>
                <w:szCs w:val="21"/>
                <w:u w:val="single"/>
              </w:rPr>
              <w:t>烯丙醇聚氧乙醚乙酰基封端（H</w:t>
            </w:r>
            <w:r>
              <w:rPr>
                <w:sz w:val="21"/>
                <w:szCs w:val="21"/>
                <w:u w:val="single"/>
              </w:rPr>
              <w:t>MS-215M</w:t>
            </w:r>
            <w:r>
              <w:rPr>
                <w:rFonts w:hint="eastAsia"/>
                <w:sz w:val="21"/>
                <w:szCs w:val="21"/>
                <w:u w:val="single"/>
              </w:rPr>
              <w:t>）</w:t>
            </w:r>
          </w:p>
        </w:tc>
        <w:tc>
          <w:tcPr>
            <w:tcW w:w="512" w:type="pct"/>
            <w:vAlign w:val="center"/>
          </w:tcPr>
          <w:p w14:paraId="2F13B46C">
            <w:pPr>
              <w:spacing w:line="240" w:lineRule="auto"/>
              <w:ind w:firstLine="0" w:firstLineChars="0"/>
              <w:jc w:val="center"/>
              <w:rPr>
                <w:sz w:val="21"/>
                <w:szCs w:val="21"/>
                <w:u w:val="single"/>
              </w:rPr>
            </w:pPr>
            <w:r>
              <w:rPr>
                <w:rFonts w:hint="eastAsia"/>
                <w:sz w:val="21"/>
                <w:szCs w:val="21"/>
                <w:u w:val="single"/>
              </w:rPr>
              <w:t>761.385</w:t>
            </w:r>
          </w:p>
        </w:tc>
        <w:tc>
          <w:tcPr>
            <w:tcW w:w="1368" w:type="pct"/>
            <w:vAlign w:val="center"/>
          </w:tcPr>
          <w:p w14:paraId="21FD6475">
            <w:pPr>
              <w:spacing w:line="240" w:lineRule="auto"/>
              <w:ind w:firstLine="0" w:firstLineChars="0"/>
              <w:jc w:val="center"/>
              <w:rPr>
                <w:spacing w:val="-11"/>
                <w:sz w:val="21"/>
                <w:szCs w:val="21"/>
                <w:u w:val="single"/>
              </w:rPr>
            </w:pPr>
            <w:r>
              <w:rPr>
                <w:spacing w:val="-11"/>
                <w:sz w:val="21"/>
                <w:szCs w:val="21"/>
                <w:u w:val="single"/>
              </w:rPr>
              <w:t>99.8%</w:t>
            </w:r>
            <w:r>
              <w:rPr>
                <w:rFonts w:hint="eastAsia"/>
                <w:spacing w:val="-11"/>
                <w:sz w:val="21"/>
                <w:szCs w:val="21"/>
                <w:u w:val="single"/>
              </w:rPr>
              <w:t>，液态，吨桶</w:t>
            </w:r>
          </w:p>
        </w:tc>
        <w:tc>
          <w:tcPr>
            <w:tcW w:w="513" w:type="pct"/>
            <w:vAlign w:val="center"/>
          </w:tcPr>
          <w:p w14:paraId="1103B273">
            <w:pPr>
              <w:spacing w:line="240" w:lineRule="auto"/>
              <w:ind w:firstLine="0" w:firstLineChars="0"/>
              <w:jc w:val="center"/>
              <w:rPr>
                <w:sz w:val="21"/>
                <w:szCs w:val="21"/>
                <w:u w:val="single"/>
              </w:rPr>
            </w:pPr>
            <w:r>
              <w:rPr>
                <w:rFonts w:hint="eastAsia"/>
                <w:sz w:val="21"/>
                <w:szCs w:val="21"/>
                <w:u w:val="single"/>
              </w:rPr>
              <w:t>20</w:t>
            </w:r>
          </w:p>
        </w:tc>
        <w:tc>
          <w:tcPr>
            <w:tcW w:w="567" w:type="pct"/>
            <w:vMerge w:val="continue"/>
            <w:vAlign w:val="center"/>
          </w:tcPr>
          <w:p w14:paraId="55E1A65D">
            <w:pPr>
              <w:spacing w:line="240" w:lineRule="auto"/>
              <w:ind w:firstLine="0" w:firstLineChars="0"/>
              <w:jc w:val="center"/>
              <w:rPr>
                <w:sz w:val="21"/>
                <w:szCs w:val="21"/>
                <w:highlight w:val="yellow"/>
                <w:u w:val="single"/>
              </w:rPr>
            </w:pPr>
          </w:p>
        </w:tc>
        <w:tc>
          <w:tcPr>
            <w:tcW w:w="336" w:type="pct"/>
            <w:vAlign w:val="center"/>
          </w:tcPr>
          <w:p w14:paraId="4CB82DA7">
            <w:pPr>
              <w:spacing w:line="240" w:lineRule="auto"/>
              <w:ind w:firstLine="0" w:firstLineChars="0"/>
              <w:jc w:val="center"/>
              <w:rPr>
                <w:sz w:val="21"/>
                <w:szCs w:val="21"/>
                <w:highlight w:val="yellow"/>
                <w:u w:val="single"/>
              </w:rPr>
            </w:pPr>
            <w:r>
              <w:rPr>
                <w:rFonts w:hint="eastAsia"/>
                <w:sz w:val="21"/>
                <w:szCs w:val="21"/>
                <w:u w:val="single"/>
              </w:rPr>
              <w:t>外购</w:t>
            </w:r>
          </w:p>
        </w:tc>
      </w:tr>
      <w:tr w14:paraId="7E8A1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Merge w:val="continue"/>
            <w:vAlign w:val="center"/>
          </w:tcPr>
          <w:p w14:paraId="610DD55A">
            <w:pPr>
              <w:spacing w:line="240" w:lineRule="auto"/>
              <w:ind w:firstLine="0" w:firstLineChars="0"/>
              <w:jc w:val="center"/>
              <w:rPr>
                <w:sz w:val="21"/>
                <w:szCs w:val="21"/>
                <w:u w:val="single"/>
              </w:rPr>
            </w:pPr>
          </w:p>
        </w:tc>
        <w:tc>
          <w:tcPr>
            <w:tcW w:w="281" w:type="pct"/>
            <w:vMerge w:val="continue"/>
            <w:vAlign w:val="center"/>
          </w:tcPr>
          <w:p w14:paraId="6ABECD56">
            <w:pPr>
              <w:spacing w:line="240" w:lineRule="auto"/>
              <w:ind w:firstLine="0" w:firstLineChars="0"/>
              <w:jc w:val="center"/>
              <w:rPr>
                <w:sz w:val="21"/>
                <w:szCs w:val="21"/>
                <w:u w:val="single"/>
              </w:rPr>
            </w:pPr>
          </w:p>
        </w:tc>
        <w:tc>
          <w:tcPr>
            <w:tcW w:w="1172" w:type="pct"/>
            <w:vAlign w:val="center"/>
          </w:tcPr>
          <w:p w14:paraId="34D84ECF">
            <w:pPr>
              <w:spacing w:line="240" w:lineRule="auto"/>
              <w:ind w:firstLine="0" w:firstLineChars="0"/>
              <w:jc w:val="center"/>
              <w:rPr>
                <w:sz w:val="21"/>
                <w:szCs w:val="21"/>
                <w:u w:val="single"/>
              </w:rPr>
            </w:pPr>
            <w:r>
              <w:rPr>
                <w:rFonts w:hint="eastAsia"/>
                <w:sz w:val="21"/>
                <w:szCs w:val="21"/>
                <w:u w:val="single"/>
              </w:rPr>
              <w:t>烯丙醇聚氧乙烯醚乙酰基封端（H</w:t>
            </w:r>
            <w:r>
              <w:rPr>
                <w:sz w:val="21"/>
                <w:szCs w:val="21"/>
                <w:u w:val="single"/>
              </w:rPr>
              <w:t>MS-222M</w:t>
            </w:r>
            <w:r>
              <w:rPr>
                <w:rFonts w:hint="eastAsia"/>
                <w:sz w:val="21"/>
                <w:szCs w:val="21"/>
                <w:u w:val="single"/>
              </w:rPr>
              <w:t>）</w:t>
            </w:r>
          </w:p>
        </w:tc>
        <w:tc>
          <w:tcPr>
            <w:tcW w:w="512" w:type="pct"/>
            <w:vAlign w:val="center"/>
          </w:tcPr>
          <w:p w14:paraId="69542A9F">
            <w:pPr>
              <w:spacing w:line="240" w:lineRule="auto"/>
              <w:ind w:firstLine="0" w:firstLineChars="0"/>
              <w:jc w:val="center"/>
              <w:rPr>
                <w:sz w:val="21"/>
                <w:szCs w:val="21"/>
                <w:u w:val="single"/>
              </w:rPr>
            </w:pPr>
            <w:r>
              <w:rPr>
                <w:rFonts w:hint="eastAsia"/>
                <w:sz w:val="21"/>
                <w:szCs w:val="21"/>
                <w:u w:val="single"/>
              </w:rPr>
              <w:t>761.3225</w:t>
            </w:r>
          </w:p>
        </w:tc>
        <w:tc>
          <w:tcPr>
            <w:tcW w:w="1368" w:type="pct"/>
            <w:vAlign w:val="center"/>
          </w:tcPr>
          <w:p w14:paraId="5CF40448">
            <w:pPr>
              <w:spacing w:line="240" w:lineRule="auto"/>
              <w:ind w:firstLine="0" w:firstLineChars="0"/>
              <w:jc w:val="center"/>
              <w:rPr>
                <w:spacing w:val="-11"/>
                <w:sz w:val="21"/>
                <w:szCs w:val="21"/>
                <w:u w:val="single"/>
              </w:rPr>
            </w:pPr>
            <w:r>
              <w:rPr>
                <w:spacing w:val="-11"/>
                <w:sz w:val="21"/>
                <w:szCs w:val="21"/>
                <w:u w:val="single"/>
              </w:rPr>
              <w:t>99.8%</w:t>
            </w:r>
            <w:r>
              <w:rPr>
                <w:rFonts w:hint="eastAsia"/>
                <w:spacing w:val="-11"/>
                <w:sz w:val="21"/>
                <w:szCs w:val="21"/>
                <w:u w:val="single"/>
              </w:rPr>
              <w:t>，液态，吨桶</w:t>
            </w:r>
          </w:p>
        </w:tc>
        <w:tc>
          <w:tcPr>
            <w:tcW w:w="513" w:type="pct"/>
            <w:vAlign w:val="center"/>
          </w:tcPr>
          <w:p w14:paraId="185514ED">
            <w:pPr>
              <w:spacing w:line="240" w:lineRule="auto"/>
              <w:ind w:firstLine="0" w:firstLineChars="0"/>
              <w:jc w:val="center"/>
              <w:rPr>
                <w:sz w:val="21"/>
                <w:szCs w:val="21"/>
                <w:u w:val="single"/>
              </w:rPr>
            </w:pPr>
            <w:r>
              <w:rPr>
                <w:rFonts w:hint="eastAsia"/>
                <w:sz w:val="21"/>
                <w:szCs w:val="21"/>
                <w:u w:val="single"/>
              </w:rPr>
              <w:t>20</w:t>
            </w:r>
          </w:p>
        </w:tc>
        <w:tc>
          <w:tcPr>
            <w:tcW w:w="567" w:type="pct"/>
            <w:vMerge w:val="continue"/>
            <w:vAlign w:val="center"/>
          </w:tcPr>
          <w:p w14:paraId="1310889D">
            <w:pPr>
              <w:spacing w:line="240" w:lineRule="auto"/>
              <w:ind w:firstLine="0" w:firstLineChars="0"/>
              <w:jc w:val="center"/>
              <w:rPr>
                <w:sz w:val="21"/>
                <w:szCs w:val="21"/>
                <w:highlight w:val="yellow"/>
                <w:u w:val="single"/>
              </w:rPr>
            </w:pPr>
          </w:p>
        </w:tc>
        <w:tc>
          <w:tcPr>
            <w:tcW w:w="336" w:type="pct"/>
            <w:vAlign w:val="center"/>
          </w:tcPr>
          <w:p w14:paraId="7C55B191">
            <w:pPr>
              <w:spacing w:line="240" w:lineRule="auto"/>
              <w:ind w:firstLine="0" w:firstLineChars="0"/>
              <w:jc w:val="center"/>
              <w:rPr>
                <w:sz w:val="21"/>
                <w:szCs w:val="21"/>
                <w:highlight w:val="yellow"/>
                <w:u w:val="single"/>
              </w:rPr>
            </w:pPr>
            <w:r>
              <w:rPr>
                <w:rFonts w:hint="eastAsia"/>
                <w:sz w:val="21"/>
                <w:szCs w:val="21"/>
                <w:u w:val="single"/>
              </w:rPr>
              <w:t>外购</w:t>
            </w:r>
          </w:p>
        </w:tc>
      </w:tr>
      <w:tr w14:paraId="33056F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121200D5">
            <w:pPr>
              <w:spacing w:line="240" w:lineRule="auto"/>
              <w:ind w:firstLine="0" w:firstLineChars="0"/>
              <w:jc w:val="center"/>
              <w:rPr>
                <w:sz w:val="21"/>
                <w:szCs w:val="21"/>
                <w:u w:val="single"/>
              </w:rPr>
            </w:pPr>
            <w:r>
              <w:rPr>
                <w:sz w:val="21"/>
                <w:szCs w:val="21"/>
                <w:u w:val="single"/>
              </w:rPr>
              <w:t>7</w:t>
            </w:r>
          </w:p>
        </w:tc>
        <w:tc>
          <w:tcPr>
            <w:tcW w:w="1453" w:type="pct"/>
            <w:gridSpan w:val="2"/>
            <w:vAlign w:val="center"/>
          </w:tcPr>
          <w:p w14:paraId="57B698DC">
            <w:pPr>
              <w:spacing w:line="240" w:lineRule="auto"/>
              <w:ind w:firstLine="0" w:firstLineChars="0"/>
              <w:jc w:val="center"/>
              <w:rPr>
                <w:sz w:val="21"/>
                <w:szCs w:val="21"/>
                <w:u w:val="single"/>
              </w:rPr>
            </w:pPr>
            <w:r>
              <w:rPr>
                <w:rFonts w:hint="eastAsia"/>
                <w:sz w:val="21"/>
                <w:szCs w:val="21"/>
                <w:u w:val="single"/>
              </w:rPr>
              <w:t>氯铂酸</w:t>
            </w:r>
          </w:p>
        </w:tc>
        <w:tc>
          <w:tcPr>
            <w:tcW w:w="512" w:type="pct"/>
            <w:vAlign w:val="center"/>
          </w:tcPr>
          <w:p w14:paraId="13131394">
            <w:pPr>
              <w:spacing w:line="240" w:lineRule="auto"/>
              <w:ind w:firstLine="0" w:firstLineChars="0"/>
              <w:jc w:val="center"/>
              <w:rPr>
                <w:sz w:val="21"/>
                <w:szCs w:val="21"/>
                <w:highlight w:val="yellow"/>
                <w:u w:val="single"/>
              </w:rPr>
            </w:pPr>
            <w:r>
              <w:rPr>
                <w:rFonts w:hint="eastAsia"/>
                <w:sz w:val="21"/>
                <w:szCs w:val="21"/>
                <w:u w:val="single"/>
              </w:rPr>
              <w:t>0.025</w:t>
            </w:r>
          </w:p>
        </w:tc>
        <w:tc>
          <w:tcPr>
            <w:tcW w:w="1368" w:type="pct"/>
            <w:vAlign w:val="center"/>
          </w:tcPr>
          <w:p w14:paraId="5DE2DE92">
            <w:pPr>
              <w:spacing w:line="240" w:lineRule="auto"/>
              <w:ind w:firstLine="0" w:firstLineChars="0"/>
              <w:jc w:val="center"/>
              <w:rPr>
                <w:sz w:val="21"/>
                <w:szCs w:val="21"/>
                <w:u w:val="single"/>
              </w:rPr>
            </w:pPr>
            <w:r>
              <w:rPr>
                <w:spacing w:val="-11"/>
                <w:sz w:val="21"/>
                <w:szCs w:val="21"/>
                <w:u w:val="single"/>
              </w:rPr>
              <w:t>99.95%</w:t>
            </w:r>
            <w:r>
              <w:rPr>
                <w:rFonts w:hint="eastAsia"/>
                <w:spacing w:val="-11"/>
                <w:sz w:val="21"/>
                <w:szCs w:val="21"/>
                <w:u w:val="single"/>
              </w:rPr>
              <w:t>，颗粒，5</w:t>
            </w:r>
            <w:r>
              <w:rPr>
                <w:spacing w:val="-11"/>
                <w:sz w:val="21"/>
                <w:szCs w:val="21"/>
                <w:u w:val="single"/>
              </w:rPr>
              <w:t>00g/</w:t>
            </w:r>
            <w:r>
              <w:rPr>
                <w:rFonts w:hint="eastAsia"/>
                <w:spacing w:val="-11"/>
                <w:sz w:val="21"/>
                <w:szCs w:val="21"/>
                <w:u w:val="single"/>
              </w:rPr>
              <w:t>瓶</w:t>
            </w:r>
          </w:p>
        </w:tc>
        <w:tc>
          <w:tcPr>
            <w:tcW w:w="513" w:type="pct"/>
            <w:vAlign w:val="center"/>
          </w:tcPr>
          <w:p w14:paraId="63815DA8">
            <w:pPr>
              <w:spacing w:line="240" w:lineRule="auto"/>
              <w:ind w:firstLine="0" w:firstLineChars="0"/>
              <w:jc w:val="center"/>
              <w:rPr>
                <w:sz w:val="21"/>
                <w:szCs w:val="21"/>
                <w:u w:val="single"/>
              </w:rPr>
            </w:pPr>
            <w:r>
              <w:rPr>
                <w:rFonts w:hint="eastAsia"/>
                <w:sz w:val="21"/>
                <w:szCs w:val="21"/>
                <w:u w:val="single"/>
              </w:rPr>
              <w:t>0.05</w:t>
            </w:r>
          </w:p>
        </w:tc>
        <w:tc>
          <w:tcPr>
            <w:tcW w:w="567" w:type="pct"/>
            <w:vMerge w:val="continue"/>
            <w:vAlign w:val="center"/>
          </w:tcPr>
          <w:p w14:paraId="74F2CEF8">
            <w:pPr>
              <w:spacing w:line="240" w:lineRule="auto"/>
              <w:ind w:firstLine="0" w:firstLineChars="0"/>
              <w:jc w:val="center"/>
              <w:rPr>
                <w:sz w:val="21"/>
                <w:szCs w:val="21"/>
                <w:highlight w:val="yellow"/>
                <w:u w:val="single"/>
              </w:rPr>
            </w:pPr>
          </w:p>
        </w:tc>
        <w:tc>
          <w:tcPr>
            <w:tcW w:w="336" w:type="pct"/>
            <w:vAlign w:val="center"/>
          </w:tcPr>
          <w:p w14:paraId="21FAF13D">
            <w:pPr>
              <w:spacing w:line="240" w:lineRule="auto"/>
              <w:ind w:firstLine="0" w:firstLineChars="0"/>
              <w:jc w:val="center"/>
              <w:rPr>
                <w:sz w:val="21"/>
                <w:szCs w:val="21"/>
                <w:highlight w:val="yellow"/>
                <w:u w:val="single"/>
              </w:rPr>
            </w:pPr>
            <w:r>
              <w:rPr>
                <w:rFonts w:hint="eastAsia"/>
                <w:sz w:val="21"/>
                <w:szCs w:val="21"/>
                <w:u w:val="single"/>
              </w:rPr>
              <w:t>外购</w:t>
            </w:r>
          </w:p>
        </w:tc>
      </w:tr>
      <w:tr w14:paraId="47AB2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72908043">
            <w:pPr>
              <w:spacing w:line="240" w:lineRule="auto"/>
              <w:ind w:firstLine="0" w:firstLineChars="0"/>
              <w:jc w:val="center"/>
              <w:rPr>
                <w:sz w:val="21"/>
                <w:szCs w:val="21"/>
                <w:u w:val="single"/>
              </w:rPr>
            </w:pPr>
            <w:r>
              <w:rPr>
                <w:rFonts w:hint="eastAsia"/>
                <w:sz w:val="21"/>
                <w:szCs w:val="21"/>
                <w:u w:val="single"/>
              </w:rPr>
              <w:t>8</w:t>
            </w:r>
          </w:p>
        </w:tc>
        <w:tc>
          <w:tcPr>
            <w:tcW w:w="1453" w:type="pct"/>
            <w:gridSpan w:val="2"/>
            <w:vAlign w:val="center"/>
          </w:tcPr>
          <w:p w14:paraId="2C95781C">
            <w:pPr>
              <w:spacing w:line="240" w:lineRule="auto"/>
              <w:ind w:firstLine="0" w:firstLineChars="0"/>
              <w:jc w:val="center"/>
              <w:rPr>
                <w:sz w:val="21"/>
                <w:szCs w:val="21"/>
                <w:u w:val="single"/>
              </w:rPr>
            </w:pPr>
            <w:r>
              <w:rPr>
                <w:rFonts w:hint="eastAsia"/>
                <w:sz w:val="21"/>
                <w:szCs w:val="21"/>
                <w:u w:val="single"/>
              </w:rPr>
              <w:t>双氧水</w:t>
            </w:r>
          </w:p>
        </w:tc>
        <w:tc>
          <w:tcPr>
            <w:tcW w:w="512" w:type="pct"/>
            <w:vAlign w:val="center"/>
          </w:tcPr>
          <w:p w14:paraId="7D2DA80E">
            <w:pPr>
              <w:spacing w:line="240" w:lineRule="auto"/>
              <w:ind w:firstLine="0" w:firstLineChars="0"/>
              <w:jc w:val="center"/>
              <w:rPr>
                <w:sz w:val="21"/>
                <w:szCs w:val="21"/>
                <w:highlight w:val="yellow"/>
                <w:u w:val="single"/>
              </w:rPr>
            </w:pPr>
            <w:r>
              <w:rPr>
                <w:rFonts w:hint="eastAsia"/>
                <w:sz w:val="21"/>
                <w:szCs w:val="21"/>
                <w:u w:val="single"/>
              </w:rPr>
              <w:t>1.25</w:t>
            </w:r>
          </w:p>
        </w:tc>
        <w:tc>
          <w:tcPr>
            <w:tcW w:w="1368" w:type="pct"/>
            <w:vAlign w:val="center"/>
          </w:tcPr>
          <w:p w14:paraId="5B9511C7">
            <w:pPr>
              <w:spacing w:line="240" w:lineRule="auto"/>
              <w:ind w:firstLine="0" w:firstLineChars="0"/>
              <w:jc w:val="center"/>
              <w:rPr>
                <w:sz w:val="21"/>
                <w:szCs w:val="21"/>
                <w:u w:val="single"/>
              </w:rPr>
            </w:pPr>
            <w:r>
              <w:rPr>
                <w:rFonts w:hint="eastAsia"/>
                <w:sz w:val="21"/>
                <w:szCs w:val="21"/>
                <w:u w:val="single"/>
              </w:rPr>
              <w:t>3</w:t>
            </w:r>
            <w:r>
              <w:rPr>
                <w:sz w:val="21"/>
                <w:szCs w:val="21"/>
                <w:u w:val="single"/>
              </w:rPr>
              <w:t>7%</w:t>
            </w:r>
            <w:r>
              <w:rPr>
                <w:rFonts w:hint="eastAsia"/>
                <w:sz w:val="21"/>
                <w:szCs w:val="21"/>
                <w:u w:val="single"/>
              </w:rPr>
              <w:t>，</w:t>
            </w:r>
            <w:r>
              <w:rPr>
                <w:rFonts w:hint="eastAsia"/>
                <w:spacing w:val="-11"/>
                <w:sz w:val="21"/>
                <w:szCs w:val="21"/>
                <w:u w:val="single"/>
              </w:rPr>
              <w:t>液态，</w:t>
            </w:r>
            <w:r>
              <w:rPr>
                <w:rFonts w:hint="eastAsia"/>
                <w:sz w:val="21"/>
                <w:szCs w:val="21"/>
                <w:u w:val="single"/>
              </w:rPr>
              <w:t>2</w:t>
            </w:r>
            <w:r>
              <w:rPr>
                <w:sz w:val="21"/>
                <w:szCs w:val="21"/>
                <w:u w:val="single"/>
              </w:rPr>
              <w:t>5</w:t>
            </w:r>
            <w:r>
              <w:rPr>
                <w:rFonts w:hint="eastAsia"/>
                <w:sz w:val="21"/>
                <w:szCs w:val="21"/>
                <w:u w:val="single"/>
              </w:rPr>
              <w:t>kg/桶</w:t>
            </w:r>
          </w:p>
        </w:tc>
        <w:tc>
          <w:tcPr>
            <w:tcW w:w="513" w:type="pct"/>
            <w:vAlign w:val="center"/>
          </w:tcPr>
          <w:p w14:paraId="00D7E054">
            <w:pPr>
              <w:spacing w:line="240" w:lineRule="auto"/>
              <w:ind w:firstLine="0" w:firstLineChars="0"/>
              <w:jc w:val="center"/>
              <w:rPr>
                <w:sz w:val="21"/>
                <w:szCs w:val="21"/>
                <w:u w:val="single"/>
              </w:rPr>
            </w:pPr>
            <w:r>
              <w:rPr>
                <w:rFonts w:hint="eastAsia"/>
                <w:sz w:val="21"/>
                <w:szCs w:val="21"/>
                <w:u w:val="single"/>
              </w:rPr>
              <w:t>0.1</w:t>
            </w:r>
          </w:p>
        </w:tc>
        <w:tc>
          <w:tcPr>
            <w:tcW w:w="567" w:type="pct"/>
            <w:vMerge w:val="continue"/>
            <w:vAlign w:val="center"/>
          </w:tcPr>
          <w:p w14:paraId="74C5B29B">
            <w:pPr>
              <w:spacing w:line="240" w:lineRule="auto"/>
              <w:ind w:firstLine="0" w:firstLineChars="0"/>
              <w:jc w:val="center"/>
              <w:rPr>
                <w:sz w:val="21"/>
                <w:szCs w:val="21"/>
                <w:highlight w:val="yellow"/>
                <w:u w:val="single"/>
              </w:rPr>
            </w:pPr>
          </w:p>
        </w:tc>
        <w:tc>
          <w:tcPr>
            <w:tcW w:w="336" w:type="pct"/>
            <w:vAlign w:val="center"/>
          </w:tcPr>
          <w:p w14:paraId="5F61D813">
            <w:pPr>
              <w:spacing w:line="240" w:lineRule="auto"/>
              <w:ind w:firstLine="0" w:firstLineChars="0"/>
              <w:jc w:val="center"/>
              <w:rPr>
                <w:sz w:val="21"/>
                <w:szCs w:val="21"/>
                <w:highlight w:val="yellow"/>
                <w:u w:val="single"/>
              </w:rPr>
            </w:pPr>
            <w:r>
              <w:rPr>
                <w:rFonts w:hint="eastAsia"/>
                <w:sz w:val="21"/>
                <w:szCs w:val="21"/>
                <w:u w:val="single"/>
              </w:rPr>
              <w:t>外购</w:t>
            </w:r>
          </w:p>
        </w:tc>
      </w:tr>
      <w:tr w14:paraId="3F323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0C3790D6">
            <w:pPr>
              <w:spacing w:line="240" w:lineRule="auto"/>
              <w:ind w:firstLine="0" w:firstLineChars="0"/>
              <w:jc w:val="center"/>
              <w:rPr>
                <w:sz w:val="21"/>
                <w:szCs w:val="21"/>
                <w:u w:val="single"/>
              </w:rPr>
            </w:pPr>
            <w:r>
              <w:rPr>
                <w:rFonts w:hint="eastAsia"/>
                <w:sz w:val="21"/>
                <w:szCs w:val="21"/>
                <w:u w:val="single"/>
              </w:rPr>
              <w:t>9</w:t>
            </w:r>
          </w:p>
        </w:tc>
        <w:tc>
          <w:tcPr>
            <w:tcW w:w="1453" w:type="pct"/>
            <w:gridSpan w:val="2"/>
            <w:vAlign w:val="center"/>
          </w:tcPr>
          <w:p w14:paraId="4ABC258D">
            <w:pPr>
              <w:spacing w:line="240" w:lineRule="auto"/>
              <w:ind w:firstLine="0" w:firstLineChars="0"/>
              <w:jc w:val="center"/>
              <w:rPr>
                <w:sz w:val="21"/>
                <w:szCs w:val="21"/>
                <w:u w:val="single"/>
              </w:rPr>
            </w:pPr>
            <w:r>
              <w:rPr>
                <w:rFonts w:hint="eastAsia"/>
                <w:sz w:val="21"/>
                <w:szCs w:val="21"/>
                <w:u w:val="single"/>
              </w:rPr>
              <w:t>氮气</w:t>
            </w:r>
          </w:p>
        </w:tc>
        <w:tc>
          <w:tcPr>
            <w:tcW w:w="512" w:type="pct"/>
            <w:vAlign w:val="center"/>
          </w:tcPr>
          <w:p w14:paraId="2EF97AD3">
            <w:pPr>
              <w:spacing w:line="240" w:lineRule="auto"/>
              <w:ind w:firstLine="0" w:firstLineChars="0"/>
              <w:jc w:val="center"/>
              <w:rPr>
                <w:sz w:val="21"/>
                <w:szCs w:val="21"/>
                <w:highlight w:val="yellow"/>
                <w:u w:val="single"/>
              </w:rPr>
            </w:pPr>
            <w:r>
              <w:rPr>
                <w:rFonts w:hint="eastAsia"/>
                <w:sz w:val="21"/>
                <w:szCs w:val="21"/>
                <w:u w:val="single"/>
              </w:rPr>
              <w:t>3.25</w:t>
            </w:r>
          </w:p>
        </w:tc>
        <w:tc>
          <w:tcPr>
            <w:tcW w:w="1368" w:type="pct"/>
            <w:vAlign w:val="center"/>
          </w:tcPr>
          <w:p w14:paraId="33E9BA02">
            <w:pPr>
              <w:spacing w:line="240" w:lineRule="auto"/>
              <w:ind w:firstLine="0" w:firstLineChars="0"/>
              <w:jc w:val="center"/>
              <w:rPr>
                <w:sz w:val="21"/>
                <w:szCs w:val="21"/>
                <w:u w:val="single"/>
              </w:rPr>
            </w:pPr>
            <w:r>
              <w:rPr>
                <w:rFonts w:hint="eastAsia"/>
                <w:sz w:val="21"/>
                <w:szCs w:val="21"/>
                <w:u w:val="single"/>
              </w:rPr>
              <w:t>气态，1</w:t>
            </w:r>
            <w:r>
              <w:rPr>
                <w:sz w:val="21"/>
                <w:szCs w:val="21"/>
                <w:u w:val="single"/>
              </w:rPr>
              <w:t>3</w:t>
            </w:r>
            <w:r>
              <w:rPr>
                <w:rFonts w:hint="eastAsia"/>
                <w:sz w:val="21"/>
                <w:szCs w:val="21"/>
                <w:u w:val="single"/>
              </w:rPr>
              <w:t>kg/罐</w:t>
            </w:r>
          </w:p>
        </w:tc>
        <w:tc>
          <w:tcPr>
            <w:tcW w:w="513" w:type="pct"/>
            <w:vAlign w:val="center"/>
          </w:tcPr>
          <w:p w14:paraId="2891B1E6">
            <w:pPr>
              <w:spacing w:line="240" w:lineRule="auto"/>
              <w:ind w:firstLine="0" w:firstLineChars="0"/>
              <w:jc w:val="center"/>
              <w:rPr>
                <w:sz w:val="21"/>
                <w:szCs w:val="21"/>
                <w:u w:val="single"/>
              </w:rPr>
            </w:pPr>
            <w:r>
              <w:rPr>
                <w:rFonts w:hint="eastAsia"/>
                <w:sz w:val="21"/>
                <w:szCs w:val="21"/>
                <w:u w:val="single"/>
              </w:rPr>
              <w:t>0.13</w:t>
            </w:r>
          </w:p>
        </w:tc>
        <w:tc>
          <w:tcPr>
            <w:tcW w:w="567" w:type="pct"/>
            <w:vMerge w:val="continue"/>
            <w:vAlign w:val="center"/>
          </w:tcPr>
          <w:p w14:paraId="78628FDB">
            <w:pPr>
              <w:spacing w:line="240" w:lineRule="auto"/>
              <w:ind w:firstLine="0" w:firstLineChars="0"/>
              <w:jc w:val="center"/>
              <w:rPr>
                <w:sz w:val="21"/>
                <w:szCs w:val="21"/>
                <w:highlight w:val="yellow"/>
                <w:u w:val="single"/>
              </w:rPr>
            </w:pPr>
          </w:p>
        </w:tc>
        <w:tc>
          <w:tcPr>
            <w:tcW w:w="336" w:type="pct"/>
            <w:vAlign w:val="center"/>
          </w:tcPr>
          <w:p w14:paraId="7835B373">
            <w:pPr>
              <w:spacing w:line="240" w:lineRule="auto"/>
              <w:ind w:firstLine="0" w:firstLineChars="0"/>
              <w:jc w:val="center"/>
              <w:rPr>
                <w:sz w:val="21"/>
                <w:szCs w:val="21"/>
                <w:highlight w:val="yellow"/>
                <w:u w:val="single"/>
              </w:rPr>
            </w:pPr>
            <w:r>
              <w:rPr>
                <w:rFonts w:hint="eastAsia"/>
                <w:sz w:val="21"/>
                <w:szCs w:val="21"/>
                <w:u w:val="single"/>
              </w:rPr>
              <w:t>外购</w:t>
            </w:r>
          </w:p>
        </w:tc>
      </w:tr>
      <w:tr w14:paraId="2E8E5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05437451">
            <w:pPr>
              <w:spacing w:line="240" w:lineRule="auto"/>
              <w:ind w:firstLine="0" w:firstLineChars="0"/>
              <w:jc w:val="center"/>
              <w:rPr>
                <w:sz w:val="21"/>
                <w:szCs w:val="21"/>
                <w:u w:val="single"/>
              </w:rPr>
            </w:pPr>
            <w:r>
              <w:rPr>
                <w:rFonts w:hint="eastAsia"/>
                <w:sz w:val="21"/>
                <w:szCs w:val="21"/>
                <w:u w:val="single"/>
              </w:rPr>
              <w:t>1</w:t>
            </w:r>
            <w:r>
              <w:rPr>
                <w:sz w:val="21"/>
                <w:szCs w:val="21"/>
                <w:u w:val="single"/>
              </w:rPr>
              <w:t>0</w:t>
            </w:r>
          </w:p>
        </w:tc>
        <w:tc>
          <w:tcPr>
            <w:tcW w:w="1453" w:type="pct"/>
            <w:gridSpan w:val="2"/>
            <w:vAlign w:val="center"/>
          </w:tcPr>
          <w:p w14:paraId="07D1EC72">
            <w:pPr>
              <w:spacing w:line="240" w:lineRule="auto"/>
              <w:ind w:firstLine="0" w:firstLineChars="0"/>
              <w:jc w:val="center"/>
              <w:rPr>
                <w:sz w:val="21"/>
                <w:szCs w:val="21"/>
                <w:u w:val="single"/>
              </w:rPr>
            </w:pPr>
            <w:r>
              <w:rPr>
                <w:rFonts w:hint="eastAsia"/>
                <w:sz w:val="21"/>
                <w:szCs w:val="21"/>
                <w:u w:val="single"/>
              </w:rPr>
              <w:t>二丙二醇</w:t>
            </w:r>
          </w:p>
        </w:tc>
        <w:tc>
          <w:tcPr>
            <w:tcW w:w="512" w:type="pct"/>
            <w:vAlign w:val="center"/>
          </w:tcPr>
          <w:p w14:paraId="1B687A8D">
            <w:pPr>
              <w:spacing w:line="240" w:lineRule="auto"/>
              <w:ind w:firstLine="0" w:firstLineChars="0"/>
              <w:jc w:val="center"/>
              <w:rPr>
                <w:sz w:val="21"/>
                <w:szCs w:val="21"/>
                <w:highlight w:val="yellow"/>
                <w:u w:val="single"/>
              </w:rPr>
            </w:pPr>
            <w:r>
              <w:rPr>
                <w:rFonts w:hint="eastAsia"/>
                <w:sz w:val="21"/>
                <w:szCs w:val="21"/>
                <w:u w:val="single"/>
              </w:rPr>
              <w:t>3960.16</w:t>
            </w:r>
          </w:p>
        </w:tc>
        <w:tc>
          <w:tcPr>
            <w:tcW w:w="1368" w:type="pct"/>
            <w:vAlign w:val="center"/>
          </w:tcPr>
          <w:p w14:paraId="1232425A">
            <w:pPr>
              <w:spacing w:line="240" w:lineRule="auto"/>
              <w:ind w:firstLine="0" w:firstLineChars="0"/>
              <w:jc w:val="center"/>
              <w:rPr>
                <w:sz w:val="21"/>
                <w:szCs w:val="21"/>
                <w:u w:val="single"/>
              </w:rPr>
            </w:pPr>
            <w:r>
              <w:rPr>
                <w:rFonts w:hint="eastAsia"/>
                <w:spacing w:val="-11"/>
                <w:sz w:val="21"/>
                <w:szCs w:val="21"/>
                <w:u w:val="single"/>
              </w:rPr>
              <w:t>99</w:t>
            </w:r>
            <w:r>
              <w:rPr>
                <w:spacing w:val="-11"/>
                <w:sz w:val="21"/>
                <w:szCs w:val="21"/>
                <w:u w:val="single"/>
              </w:rPr>
              <w:t>%</w:t>
            </w:r>
            <w:r>
              <w:rPr>
                <w:rFonts w:hint="eastAsia"/>
                <w:spacing w:val="-11"/>
                <w:sz w:val="21"/>
                <w:szCs w:val="21"/>
                <w:u w:val="single"/>
              </w:rPr>
              <w:t>，液态，吨桶</w:t>
            </w:r>
          </w:p>
        </w:tc>
        <w:tc>
          <w:tcPr>
            <w:tcW w:w="513" w:type="pct"/>
            <w:vAlign w:val="center"/>
          </w:tcPr>
          <w:p w14:paraId="2D2822FB">
            <w:pPr>
              <w:spacing w:line="240" w:lineRule="auto"/>
              <w:ind w:firstLine="0" w:firstLineChars="0"/>
              <w:jc w:val="center"/>
              <w:rPr>
                <w:sz w:val="21"/>
                <w:szCs w:val="21"/>
                <w:u w:val="single"/>
              </w:rPr>
            </w:pPr>
            <w:r>
              <w:rPr>
                <w:rFonts w:hint="eastAsia"/>
                <w:sz w:val="21"/>
                <w:szCs w:val="21"/>
                <w:u w:val="single"/>
              </w:rPr>
              <w:t>90</w:t>
            </w:r>
          </w:p>
        </w:tc>
        <w:tc>
          <w:tcPr>
            <w:tcW w:w="567" w:type="pct"/>
            <w:vMerge w:val="continue"/>
            <w:vAlign w:val="center"/>
          </w:tcPr>
          <w:p w14:paraId="77D2B812">
            <w:pPr>
              <w:spacing w:line="240" w:lineRule="auto"/>
              <w:ind w:firstLine="0" w:firstLineChars="0"/>
              <w:jc w:val="center"/>
              <w:rPr>
                <w:sz w:val="21"/>
                <w:szCs w:val="21"/>
                <w:highlight w:val="yellow"/>
                <w:u w:val="single"/>
              </w:rPr>
            </w:pPr>
          </w:p>
        </w:tc>
        <w:tc>
          <w:tcPr>
            <w:tcW w:w="336" w:type="pct"/>
            <w:vAlign w:val="center"/>
          </w:tcPr>
          <w:p w14:paraId="69EC6FEA">
            <w:pPr>
              <w:spacing w:line="240" w:lineRule="auto"/>
              <w:ind w:firstLine="0" w:firstLineChars="0"/>
              <w:jc w:val="center"/>
              <w:rPr>
                <w:sz w:val="21"/>
                <w:szCs w:val="21"/>
                <w:highlight w:val="yellow"/>
                <w:u w:val="single"/>
              </w:rPr>
            </w:pPr>
            <w:r>
              <w:rPr>
                <w:rFonts w:hint="eastAsia"/>
                <w:sz w:val="21"/>
                <w:szCs w:val="21"/>
                <w:u w:val="single"/>
              </w:rPr>
              <w:t>外购</w:t>
            </w:r>
          </w:p>
        </w:tc>
      </w:tr>
      <w:tr w14:paraId="1EA5D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26488D12">
            <w:pPr>
              <w:spacing w:line="240" w:lineRule="auto"/>
              <w:ind w:firstLine="0" w:firstLineChars="0"/>
              <w:jc w:val="center"/>
              <w:rPr>
                <w:sz w:val="21"/>
                <w:szCs w:val="21"/>
                <w:u w:val="single"/>
              </w:rPr>
            </w:pPr>
            <w:r>
              <w:rPr>
                <w:rFonts w:hint="eastAsia"/>
                <w:sz w:val="21"/>
                <w:szCs w:val="21"/>
                <w:u w:val="single"/>
              </w:rPr>
              <w:t>11</w:t>
            </w:r>
          </w:p>
        </w:tc>
        <w:tc>
          <w:tcPr>
            <w:tcW w:w="1453" w:type="pct"/>
            <w:gridSpan w:val="2"/>
            <w:vAlign w:val="center"/>
          </w:tcPr>
          <w:p w14:paraId="4858A29C">
            <w:pPr>
              <w:spacing w:line="240" w:lineRule="auto"/>
              <w:ind w:firstLine="0" w:firstLineChars="0"/>
              <w:jc w:val="center"/>
              <w:rPr>
                <w:sz w:val="21"/>
                <w:szCs w:val="21"/>
                <w:u w:val="single"/>
              </w:rPr>
            </w:pPr>
            <w:r>
              <w:rPr>
                <w:rFonts w:hint="eastAsia"/>
                <w:sz w:val="21"/>
                <w:szCs w:val="21"/>
                <w:u w:val="single"/>
              </w:rPr>
              <w:t>导热油</w:t>
            </w:r>
          </w:p>
        </w:tc>
        <w:tc>
          <w:tcPr>
            <w:tcW w:w="512" w:type="pct"/>
            <w:vAlign w:val="center"/>
          </w:tcPr>
          <w:p w14:paraId="0B6327EC">
            <w:pPr>
              <w:spacing w:line="240" w:lineRule="auto"/>
              <w:ind w:firstLine="0" w:firstLineChars="0"/>
              <w:jc w:val="center"/>
              <w:rPr>
                <w:sz w:val="21"/>
                <w:szCs w:val="21"/>
                <w:u w:val="single"/>
              </w:rPr>
            </w:pPr>
            <w:r>
              <w:rPr>
                <w:rFonts w:hint="eastAsia"/>
                <w:sz w:val="21"/>
                <w:szCs w:val="21"/>
                <w:u w:val="single"/>
              </w:rPr>
              <w:t>17t/10a</w:t>
            </w:r>
          </w:p>
        </w:tc>
        <w:tc>
          <w:tcPr>
            <w:tcW w:w="1368" w:type="pct"/>
            <w:vAlign w:val="center"/>
          </w:tcPr>
          <w:p w14:paraId="75FF35C3">
            <w:pPr>
              <w:spacing w:line="240" w:lineRule="auto"/>
              <w:ind w:firstLine="0" w:firstLineChars="0"/>
              <w:jc w:val="center"/>
              <w:rPr>
                <w:spacing w:val="-11"/>
                <w:sz w:val="21"/>
                <w:szCs w:val="21"/>
                <w:u w:val="single"/>
              </w:rPr>
            </w:pPr>
            <w:r>
              <w:rPr>
                <w:rFonts w:hint="eastAsia"/>
                <w:spacing w:val="-11"/>
                <w:sz w:val="21"/>
                <w:szCs w:val="21"/>
                <w:u w:val="single"/>
              </w:rPr>
              <w:t>液态，3t缓存罐和反应釜夹层内</w:t>
            </w:r>
          </w:p>
        </w:tc>
        <w:tc>
          <w:tcPr>
            <w:tcW w:w="513" w:type="pct"/>
            <w:vAlign w:val="center"/>
          </w:tcPr>
          <w:p w14:paraId="5ABE8069">
            <w:pPr>
              <w:spacing w:line="240" w:lineRule="auto"/>
              <w:ind w:firstLine="0" w:firstLineChars="0"/>
              <w:jc w:val="center"/>
              <w:rPr>
                <w:sz w:val="21"/>
                <w:szCs w:val="21"/>
                <w:u w:val="single"/>
              </w:rPr>
            </w:pPr>
            <w:r>
              <w:rPr>
                <w:rFonts w:hint="eastAsia"/>
                <w:sz w:val="21"/>
                <w:szCs w:val="21"/>
                <w:u w:val="single"/>
              </w:rPr>
              <w:t>17t</w:t>
            </w:r>
          </w:p>
        </w:tc>
        <w:tc>
          <w:tcPr>
            <w:tcW w:w="567" w:type="pct"/>
            <w:vAlign w:val="center"/>
          </w:tcPr>
          <w:p w14:paraId="59511EAD">
            <w:pPr>
              <w:spacing w:line="240" w:lineRule="auto"/>
              <w:ind w:firstLine="0" w:firstLineChars="0"/>
              <w:jc w:val="center"/>
              <w:rPr>
                <w:sz w:val="21"/>
                <w:szCs w:val="21"/>
                <w:highlight w:val="yellow"/>
                <w:u w:val="single"/>
              </w:rPr>
            </w:pPr>
            <w:r>
              <w:rPr>
                <w:rFonts w:hint="eastAsia"/>
                <w:sz w:val="21"/>
                <w:szCs w:val="21"/>
                <w:u w:val="single"/>
              </w:rPr>
              <w:t>电加热、制冷区，反应釜区</w:t>
            </w:r>
          </w:p>
        </w:tc>
        <w:tc>
          <w:tcPr>
            <w:tcW w:w="336" w:type="pct"/>
            <w:vAlign w:val="center"/>
          </w:tcPr>
          <w:p w14:paraId="1812A738">
            <w:pPr>
              <w:spacing w:line="240" w:lineRule="auto"/>
              <w:ind w:firstLine="0" w:firstLineChars="0"/>
              <w:jc w:val="center"/>
              <w:rPr>
                <w:sz w:val="21"/>
                <w:szCs w:val="21"/>
                <w:u w:val="single"/>
              </w:rPr>
            </w:pPr>
            <w:r>
              <w:rPr>
                <w:rFonts w:hint="eastAsia"/>
                <w:sz w:val="21"/>
                <w:szCs w:val="21"/>
                <w:u w:val="single"/>
              </w:rPr>
              <w:t>外购</w:t>
            </w:r>
          </w:p>
        </w:tc>
      </w:tr>
      <w:tr w14:paraId="09C13C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8"/>
            <w:vAlign w:val="center"/>
          </w:tcPr>
          <w:p w14:paraId="5B37E10B">
            <w:pPr>
              <w:spacing w:line="240" w:lineRule="auto"/>
              <w:ind w:firstLine="0" w:firstLineChars="0"/>
              <w:jc w:val="center"/>
              <w:rPr>
                <w:b/>
                <w:sz w:val="21"/>
                <w:szCs w:val="21"/>
                <w:highlight w:val="yellow"/>
                <w:u w:val="single"/>
              </w:rPr>
            </w:pPr>
            <w:r>
              <w:rPr>
                <w:b/>
                <w:sz w:val="21"/>
                <w:szCs w:val="21"/>
                <w:u w:val="single"/>
              </w:rPr>
              <w:t>色浆</w:t>
            </w:r>
          </w:p>
        </w:tc>
      </w:tr>
      <w:tr w14:paraId="69656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5530B073">
            <w:pPr>
              <w:spacing w:line="240" w:lineRule="auto"/>
              <w:ind w:firstLine="0" w:firstLineChars="0"/>
              <w:jc w:val="center"/>
              <w:rPr>
                <w:sz w:val="21"/>
                <w:szCs w:val="21"/>
                <w:u w:val="single"/>
              </w:rPr>
            </w:pPr>
            <w:r>
              <w:rPr>
                <w:rFonts w:hint="eastAsia"/>
                <w:sz w:val="21"/>
                <w:szCs w:val="21"/>
                <w:u w:val="single"/>
              </w:rPr>
              <w:t>1</w:t>
            </w:r>
          </w:p>
        </w:tc>
        <w:tc>
          <w:tcPr>
            <w:tcW w:w="1453" w:type="pct"/>
            <w:gridSpan w:val="2"/>
            <w:vAlign w:val="center"/>
          </w:tcPr>
          <w:p w14:paraId="47EDFFC6">
            <w:pPr>
              <w:spacing w:line="240" w:lineRule="auto"/>
              <w:ind w:firstLine="0" w:firstLineChars="0"/>
              <w:jc w:val="center"/>
              <w:rPr>
                <w:sz w:val="21"/>
                <w:szCs w:val="21"/>
                <w:u w:val="single"/>
              </w:rPr>
            </w:pPr>
            <w:r>
              <w:rPr>
                <w:rFonts w:hint="eastAsia"/>
                <w:sz w:val="21"/>
                <w:szCs w:val="21"/>
                <w:u w:val="single"/>
              </w:rPr>
              <w:t>色粉</w:t>
            </w:r>
          </w:p>
        </w:tc>
        <w:tc>
          <w:tcPr>
            <w:tcW w:w="512" w:type="pct"/>
            <w:vAlign w:val="center"/>
          </w:tcPr>
          <w:p w14:paraId="107A1A29">
            <w:pPr>
              <w:spacing w:line="240" w:lineRule="auto"/>
              <w:ind w:firstLine="0" w:firstLineChars="0"/>
              <w:jc w:val="center"/>
              <w:rPr>
                <w:sz w:val="21"/>
                <w:szCs w:val="21"/>
                <w:u w:val="single"/>
              </w:rPr>
            </w:pPr>
            <w:r>
              <w:rPr>
                <w:rFonts w:hint="eastAsia"/>
                <w:sz w:val="21"/>
                <w:szCs w:val="21"/>
                <w:u w:val="single"/>
              </w:rPr>
              <w:t>700.12</w:t>
            </w:r>
          </w:p>
        </w:tc>
        <w:tc>
          <w:tcPr>
            <w:tcW w:w="1368" w:type="pct"/>
            <w:vAlign w:val="center"/>
          </w:tcPr>
          <w:p w14:paraId="374A5875">
            <w:pPr>
              <w:spacing w:line="240" w:lineRule="auto"/>
              <w:ind w:firstLine="0" w:firstLineChars="0"/>
              <w:jc w:val="center"/>
              <w:rPr>
                <w:sz w:val="21"/>
                <w:szCs w:val="21"/>
                <w:highlight w:val="yellow"/>
                <w:u w:val="single"/>
              </w:rPr>
            </w:pPr>
            <w:r>
              <w:rPr>
                <w:rFonts w:hint="eastAsia"/>
                <w:sz w:val="21"/>
                <w:szCs w:val="21"/>
                <w:u w:val="single"/>
              </w:rPr>
              <w:t>9</w:t>
            </w:r>
            <w:r>
              <w:rPr>
                <w:sz w:val="21"/>
                <w:szCs w:val="21"/>
                <w:u w:val="single"/>
              </w:rPr>
              <w:t>9.7%</w:t>
            </w:r>
            <w:r>
              <w:rPr>
                <w:rFonts w:hint="eastAsia"/>
                <w:sz w:val="21"/>
                <w:szCs w:val="21"/>
                <w:u w:val="single"/>
              </w:rPr>
              <w:t>，粉状</w:t>
            </w:r>
            <w:r>
              <w:rPr>
                <w:sz w:val="21"/>
                <w:szCs w:val="21"/>
                <w:u w:val="single"/>
              </w:rPr>
              <w:t>，</w:t>
            </w:r>
            <w:r>
              <w:rPr>
                <w:rFonts w:hint="eastAsia"/>
                <w:sz w:val="21"/>
                <w:szCs w:val="21"/>
                <w:u w:val="single"/>
              </w:rPr>
              <w:t>吨包</w:t>
            </w:r>
          </w:p>
        </w:tc>
        <w:tc>
          <w:tcPr>
            <w:tcW w:w="513" w:type="pct"/>
            <w:vAlign w:val="center"/>
          </w:tcPr>
          <w:p w14:paraId="3A3057DF">
            <w:pPr>
              <w:spacing w:line="240" w:lineRule="auto"/>
              <w:ind w:firstLine="0" w:firstLineChars="0"/>
              <w:jc w:val="center"/>
              <w:rPr>
                <w:sz w:val="21"/>
                <w:szCs w:val="21"/>
                <w:u w:val="single"/>
              </w:rPr>
            </w:pPr>
            <w:r>
              <w:rPr>
                <w:rFonts w:hint="eastAsia"/>
                <w:sz w:val="21"/>
                <w:szCs w:val="21"/>
                <w:u w:val="single"/>
              </w:rPr>
              <w:t>17</w:t>
            </w:r>
          </w:p>
        </w:tc>
        <w:tc>
          <w:tcPr>
            <w:tcW w:w="567" w:type="pct"/>
            <w:vMerge w:val="restart"/>
            <w:vAlign w:val="center"/>
          </w:tcPr>
          <w:p w14:paraId="6BA7D7E8">
            <w:pPr>
              <w:spacing w:line="240" w:lineRule="auto"/>
              <w:ind w:firstLine="0" w:firstLineChars="0"/>
              <w:jc w:val="center"/>
              <w:rPr>
                <w:sz w:val="21"/>
                <w:szCs w:val="21"/>
                <w:highlight w:val="yellow"/>
                <w:u w:val="single"/>
              </w:rPr>
            </w:pPr>
            <w:r>
              <w:rPr>
                <w:rFonts w:hint="eastAsia"/>
                <w:sz w:val="21"/>
                <w:szCs w:val="21"/>
                <w:u w:val="single"/>
              </w:rPr>
              <w:t>原料区</w:t>
            </w:r>
          </w:p>
        </w:tc>
        <w:tc>
          <w:tcPr>
            <w:tcW w:w="336" w:type="pct"/>
            <w:vAlign w:val="center"/>
          </w:tcPr>
          <w:p w14:paraId="2112CD94">
            <w:pPr>
              <w:spacing w:line="240" w:lineRule="auto"/>
              <w:ind w:firstLine="0" w:firstLineChars="0"/>
              <w:jc w:val="center"/>
              <w:rPr>
                <w:sz w:val="21"/>
                <w:szCs w:val="21"/>
                <w:highlight w:val="yellow"/>
                <w:u w:val="single"/>
              </w:rPr>
            </w:pPr>
            <w:r>
              <w:rPr>
                <w:rFonts w:hint="eastAsia"/>
                <w:sz w:val="21"/>
                <w:szCs w:val="21"/>
                <w:u w:val="single"/>
              </w:rPr>
              <w:t>外购</w:t>
            </w:r>
          </w:p>
        </w:tc>
      </w:tr>
      <w:tr w14:paraId="2A8D7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726BB55D">
            <w:pPr>
              <w:spacing w:line="240" w:lineRule="auto"/>
              <w:ind w:firstLine="0" w:firstLineChars="0"/>
              <w:jc w:val="center"/>
              <w:rPr>
                <w:sz w:val="21"/>
                <w:szCs w:val="21"/>
                <w:u w:val="single"/>
              </w:rPr>
            </w:pPr>
            <w:r>
              <w:rPr>
                <w:rFonts w:hint="eastAsia"/>
                <w:sz w:val="21"/>
                <w:szCs w:val="21"/>
                <w:u w:val="single"/>
              </w:rPr>
              <w:t>2</w:t>
            </w:r>
          </w:p>
        </w:tc>
        <w:tc>
          <w:tcPr>
            <w:tcW w:w="1453" w:type="pct"/>
            <w:gridSpan w:val="2"/>
            <w:vAlign w:val="center"/>
          </w:tcPr>
          <w:p w14:paraId="29199890">
            <w:pPr>
              <w:spacing w:line="240" w:lineRule="auto"/>
              <w:ind w:firstLine="0" w:firstLineChars="0"/>
              <w:jc w:val="center"/>
              <w:rPr>
                <w:sz w:val="21"/>
                <w:szCs w:val="21"/>
                <w:u w:val="single"/>
              </w:rPr>
            </w:pPr>
            <w:r>
              <w:rPr>
                <w:rFonts w:hint="eastAsia"/>
                <w:sz w:val="21"/>
                <w:szCs w:val="21"/>
                <w:u w:val="single"/>
              </w:rPr>
              <w:t>聚醚多元醇（三羟基聚氧化丙烯氧化乙烯醚）</w:t>
            </w:r>
          </w:p>
        </w:tc>
        <w:tc>
          <w:tcPr>
            <w:tcW w:w="512" w:type="pct"/>
            <w:vAlign w:val="center"/>
          </w:tcPr>
          <w:p w14:paraId="55FE95D1">
            <w:pPr>
              <w:spacing w:line="240" w:lineRule="auto"/>
              <w:ind w:firstLine="0" w:firstLineChars="0"/>
              <w:jc w:val="center"/>
              <w:rPr>
                <w:sz w:val="21"/>
                <w:szCs w:val="21"/>
                <w:u w:val="single"/>
              </w:rPr>
            </w:pPr>
            <w:r>
              <w:rPr>
                <w:rFonts w:hint="eastAsia"/>
                <w:sz w:val="21"/>
                <w:szCs w:val="21"/>
                <w:u w:val="single"/>
              </w:rPr>
              <w:t>3</w:t>
            </w:r>
            <w:r>
              <w:rPr>
                <w:sz w:val="21"/>
                <w:szCs w:val="21"/>
                <w:u w:val="single"/>
              </w:rPr>
              <w:t>00</w:t>
            </w:r>
          </w:p>
        </w:tc>
        <w:tc>
          <w:tcPr>
            <w:tcW w:w="1368" w:type="pct"/>
            <w:vAlign w:val="center"/>
          </w:tcPr>
          <w:p w14:paraId="22C65409">
            <w:pPr>
              <w:spacing w:line="240" w:lineRule="auto"/>
              <w:ind w:firstLine="0" w:firstLineChars="0"/>
              <w:jc w:val="center"/>
              <w:rPr>
                <w:sz w:val="21"/>
                <w:szCs w:val="21"/>
                <w:highlight w:val="yellow"/>
                <w:u w:val="single"/>
              </w:rPr>
            </w:pPr>
            <w:r>
              <w:rPr>
                <w:spacing w:val="-11"/>
                <w:sz w:val="21"/>
                <w:szCs w:val="21"/>
                <w:u w:val="single"/>
              </w:rPr>
              <w:t>98%</w:t>
            </w:r>
            <w:r>
              <w:rPr>
                <w:rFonts w:hint="eastAsia"/>
                <w:spacing w:val="-11"/>
                <w:sz w:val="21"/>
                <w:szCs w:val="21"/>
                <w:u w:val="single"/>
              </w:rPr>
              <w:t>，液态，吨桶</w:t>
            </w:r>
          </w:p>
        </w:tc>
        <w:tc>
          <w:tcPr>
            <w:tcW w:w="513" w:type="pct"/>
            <w:vAlign w:val="center"/>
          </w:tcPr>
          <w:p w14:paraId="2D92A055">
            <w:pPr>
              <w:spacing w:line="240" w:lineRule="auto"/>
              <w:ind w:firstLine="0" w:firstLineChars="0"/>
              <w:jc w:val="center"/>
              <w:rPr>
                <w:sz w:val="21"/>
                <w:szCs w:val="21"/>
                <w:u w:val="single"/>
              </w:rPr>
            </w:pPr>
            <w:r>
              <w:rPr>
                <w:rFonts w:hint="eastAsia"/>
                <w:sz w:val="21"/>
                <w:szCs w:val="21"/>
                <w:u w:val="single"/>
              </w:rPr>
              <w:t>7</w:t>
            </w:r>
          </w:p>
        </w:tc>
        <w:tc>
          <w:tcPr>
            <w:tcW w:w="567" w:type="pct"/>
            <w:vMerge w:val="continue"/>
            <w:vAlign w:val="center"/>
          </w:tcPr>
          <w:p w14:paraId="6D1DA628">
            <w:pPr>
              <w:spacing w:line="240" w:lineRule="auto"/>
              <w:ind w:firstLine="0" w:firstLineChars="0"/>
              <w:jc w:val="center"/>
              <w:rPr>
                <w:sz w:val="21"/>
                <w:szCs w:val="21"/>
                <w:highlight w:val="yellow"/>
                <w:u w:val="single"/>
              </w:rPr>
            </w:pPr>
          </w:p>
        </w:tc>
        <w:tc>
          <w:tcPr>
            <w:tcW w:w="336" w:type="pct"/>
            <w:vAlign w:val="center"/>
          </w:tcPr>
          <w:p w14:paraId="257C3F19">
            <w:pPr>
              <w:spacing w:line="240" w:lineRule="auto"/>
              <w:ind w:firstLine="0" w:firstLineChars="0"/>
              <w:jc w:val="center"/>
              <w:rPr>
                <w:sz w:val="21"/>
                <w:szCs w:val="21"/>
                <w:highlight w:val="yellow"/>
                <w:u w:val="single"/>
              </w:rPr>
            </w:pPr>
            <w:r>
              <w:rPr>
                <w:rFonts w:hint="eastAsia"/>
                <w:sz w:val="21"/>
                <w:szCs w:val="21"/>
                <w:u w:val="single"/>
              </w:rPr>
              <w:t>外购</w:t>
            </w:r>
          </w:p>
        </w:tc>
      </w:tr>
      <w:tr w14:paraId="52870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8"/>
            <w:vAlign w:val="center"/>
          </w:tcPr>
          <w:p w14:paraId="0F4B3042">
            <w:pPr>
              <w:spacing w:line="240" w:lineRule="auto"/>
              <w:ind w:firstLine="0" w:firstLineChars="0"/>
              <w:jc w:val="center"/>
              <w:rPr>
                <w:sz w:val="21"/>
                <w:szCs w:val="21"/>
                <w:highlight w:val="yellow"/>
                <w:u w:val="single"/>
              </w:rPr>
            </w:pPr>
            <w:r>
              <w:rPr>
                <w:sz w:val="21"/>
                <w:szCs w:val="21"/>
                <w:u w:val="single"/>
              </w:rPr>
              <w:t>资源能源</w:t>
            </w:r>
          </w:p>
        </w:tc>
      </w:tr>
      <w:tr w14:paraId="43BE2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2021CB3B">
            <w:pPr>
              <w:spacing w:line="240" w:lineRule="auto"/>
              <w:ind w:firstLine="0" w:firstLineChars="0"/>
              <w:jc w:val="center"/>
              <w:rPr>
                <w:sz w:val="21"/>
                <w:szCs w:val="21"/>
                <w:u w:val="single"/>
              </w:rPr>
            </w:pPr>
            <w:r>
              <w:rPr>
                <w:sz w:val="21"/>
                <w:szCs w:val="21"/>
                <w:u w:val="single"/>
              </w:rPr>
              <w:t>1</w:t>
            </w:r>
          </w:p>
        </w:tc>
        <w:tc>
          <w:tcPr>
            <w:tcW w:w="1453" w:type="pct"/>
            <w:gridSpan w:val="2"/>
            <w:vAlign w:val="center"/>
          </w:tcPr>
          <w:p w14:paraId="4B7E5573">
            <w:pPr>
              <w:spacing w:line="240" w:lineRule="auto"/>
              <w:ind w:firstLine="0" w:firstLineChars="0"/>
              <w:jc w:val="center"/>
              <w:rPr>
                <w:sz w:val="21"/>
                <w:szCs w:val="21"/>
                <w:u w:val="single"/>
              </w:rPr>
            </w:pPr>
            <w:r>
              <w:rPr>
                <w:sz w:val="21"/>
                <w:szCs w:val="21"/>
                <w:u w:val="single"/>
              </w:rPr>
              <w:t>电</w:t>
            </w:r>
          </w:p>
        </w:tc>
        <w:tc>
          <w:tcPr>
            <w:tcW w:w="512" w:type="pct"/>
            <w:vAlign w:val="center"/>
          </w:tcPr>
          <w:p w14:paraId="48A0ED66">
            <w:pPr>
              <w:spacing w:line="240" w:lineRule="auto"/>
              <w:ind w:firstLine="0" w:firstLineChars="0"/>
              <w:jc w:val="center"/>
              <w:rPr>
                <w:sz w:val="21"/>
                <w:szCs w:val="21"/>
                <w:u w:val="single"/>
              </w:rPr>
            </w:pPr>
            <w:r>
              <w:rPr>
                <w:sz w:val="21"/>
                <w:szCs w:val="21"/>
                <w:u w:val="single"/>
              </w:rPr>
              <w:t>3</w:t>
            </w:r>
            <w:r>
              <w:rPr>
                <w:rFonts w:hint="eastAsia"/>
                <w:sz w:val="21"/>
                <w:szCs w:val="21"/>
                <w:u w:val="single"/>
              </w:rPr>
              <w:t>0万</w:t>
            </w:r>
            <w:r>
              <w:rPr>
                <w:sz w:val="21"/>
                <w:szCs w:val="21"/>
                <w:u w:val="single"/>
              </w:rPr>
              <w:t>kW</w:t>
            </w:r>
            <w:r>
              <w:rPr>
                <w:rFonts w:hint="eastAsia"/>
                <w:sz w:val="21"/>
                <w:szCs w:val="21"/>
                <w:u w:val="single"/>
              </w:rPr>
              <w:t>·</w:t>
            </w:r>
            <w:r>
              <w:rPr>
                <w:sz w:val="21"/>
                <w:szCs w:val="21"/>
                <w:u w:val="single"/>
              </w:rPr>
              <w:t>h/a</w:t>
            </w:r>
          </w:p>
        </w:tc>
        <w:tc>
          <w:tcPr>
            <w:tcW w:w="1368" w:type="pct"/>
            <w:vAlign w:val="center"/>
          </w:tcPr>
          <w:p w14:paraId="60C04CFA">
            <w:pPr>
              <w:spacing w:line="240" w:lineRule="auto"/>
              <w:ind w:firstLine="0" w:firstLineChars="0"/>
              <w:jc w:val="center"/>
              <w:rPr>
                <w:sz w:val="21"/>
                <w:szCs w:val="21"/>
                <w:u w:val="single"/>
              </w:rPr>
            </w:pPr>
            <w:r>
              <w:rPr>
                <w:rFonts w:hint="eastAsia"/>
                <w:sz w:val="21"/>
                <w:szCs w:val="21"/>
                <w:u w:val="single"/>
              </w:rPr>
              <w:t>/</w:t>
            </w:r>
          </w:p>
        </w:tc>
        <w:tc>
          <w:tcPr>
            <w:tcW w:w="513" w:type="pct"/>
            <w:vAlign w:val="center"/>
          </w:tcPr>
          <w:p w14:paraId="4C55F460">
            <w:pPr>
              <w:spacing w:line="240" w:lineRule="auto"/>
              <w:ind w:firstLine="0" w:firstLineChars="0"/>
              <w:jc w:val="center"/>
              <w:rPr>
                <w:sz w:val="21"/>
                <w:szCs w:val="21"/>
                <w:u w:val="single"/>
              </w:rPr>
            </w:pPr>
            <w:r>
              <w:rPr>
                <w:rFonts w:hint="eastAsia"/>
                <w:sz w:val="21"/>
                <w:szCs w:val="21"/>
                <w:u w:val="single"/>
              </w:rPr>
              <w:t>/</w:t>
            </w:r>
          </w:p>
        </w:tc>
        <w:tc>
          <w:tcPr>
            <w:tcW w:w="567" w:type="pct"/>
            <w:vAlign w:val="center"/>
          </w:tcPr>
          <w:p w14:paraId="188CF3C0">
            <w:pPr>
              <w:spacing w:line="240" w:lineRule="auto"/>
              <w:ind w:firstLine="0" w:firstLineChars="0"/>
              <w:jc w:val="center"/>
              <w:rPr>
                <w:sz w:val="21"/>
                <w:szCs w:val="21"/>
                <w:u w:val="single"/>
              </w:rPr>
            </w:pPr>
            <w:r>
              <w:rPr>
                <w:rFonts w:hint="eastAsia"/>
                <w:sz w:val="21"/>
                <w:szCs w:val="21"/>
                <w:u w:val="single"/>
              </w:rPr>
              <w:t>/</w:t>
            </w:r>
          </w:p>
        </w:tc>
        <w:tc>
          <w:tcPr>
            <w:tcW w:w="336" w:type="pct"/>
            <w:vAlign w:val="center"/>
          </w:tcPr>
          <w:p w14:paraId="726FBD4D">
            <w:pPr>
              <w:spacing w:line="240" w:lineRule="auto"/>
              <w:ind w:firstLine="0" w:firstLineChars="0"/>
              <w:jc w:val="center"/>
              <w:rPr>
                <w:sz w:val="21"/>
                <w:szCs w:val="21"/>
                <w:u w:val="single"/>
              </w:rPr>
            </w:pPr>
            <w:r>
              <w:rPr>
                <w:rFonts w:hint="eastAsia"/>
                <w:sz w:val="21"/>
                <w:szCs w:val="21"/>
                <w:u w:val="single"/>
              </w:rPr>
              <w:t>园区电网</w:t>
            </w:r>
          </w:p>
        </w:tc>
      </w:tr>
      <w:tr w14:paraId="262FA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1" w:type="pct"/>
            <w:vAlign w:val="center"/>
          </w:tcPr>
          <w:p w14:paraId="71092AC0">
            <w:pPr>
              <w:spacing w:line="240" w:lineRule="auto"/>
              <w:ind w:firstLine="0" w:firstLineChars="0"/>
              <w:jc w:val="center"/>
              <w:rPr>
                <w:sz w:val="21"/>
                <w:szCs w:val="21"/>
                <w:u w:val="single"/>
              </w:rPr>
            </w:pPr>
            <w:r>
              <w:rPr>
                <w:rFonts w:hint="eastAsia"/>
                <w:sz w:val="21"/>
                <w:szCs w:val="21"/>
                <w:u w:val="single"/>
              </w:rPr>
              <w:t>2</w:t>
            </w:r>
          </w:p>
        </w:tc>
        <w:tc>
          <w:tcPr>
            <w:tcW w:w="1453" w:type="pct"/>
            <w:gridSpan w:val="2"/>
            <w:vAlign w:val="center"/>
          </w:tcPr>
          <w:p w14:paraId="07B9F4B3">
            <w:pPr>
              <w:spacing w:line="240" w:lineRule="auto"/>
              <w:ind w:firstLine="0" w:firstLineChars="0"/>
              <w:jc w:val="center"/>
              <w:rPr>
                <w:sz w:val="21"/>
                <w:szCs w:val="21"/>
                <w:u w:val="single"/>
              </w:rPr>
            </w:pPr>
            <w:r>
              <w:rPr>
                <w:rFonts w:hint="eastAsia"/>
                <w:sz w:val="21"/>
                <w:szCs w:val="21"/>
                <w:u w:val="single"/>
              </w:rPr>
              <w:t>水</w:t>
            </w:r>
          </w:p>
        </w:tc>
        <w:tc>
          <w:tcPr>
            <w:tcW w:w="512" w:type="pct"/>
            <w:vAlign w:val="center"/>
          </w:tcPr>
          <w:p w14:paraId="03ED2EB4">
            <w:pPr>
              <w:spacing w:line="240" w:lineRule="auto"/>
              <w:ind w:firstLine="0" w:firstLineChars="0"/>
              <w:jc w:val="center"/>
              <w:rPr>
                <w:sz w:val="21"/>
                <w:szCs w:val="21"/>
                <w:u w:val="single"/>
              </w:rPr>
            </w:pPr>
            <w:r>
              <w:rPr>
                <w:rFonts w:hint="eastAsia"/>
                <w:sz w:val="21"/>
                <w:szCs w:val="21"/>
                <w:u w:val="single"/>
              </w:rPr>
              <w:t>4080t/a</w:t>
            </w:r>
          </w:p>
        </w:tc>
        <w:tc>
          <w:tcPr>
            <w:tcW w:w="1368" w:type="pct"/>
            <w:vAlign w:val="center"/>
          </w:tcPr>
          <w:p w14:paraId="3D25614B">
            <w:pPr>
              <w:spacing w:line="240" w:lineRule="auto"/>
              <w:ind w:firstLine="0" w:firstLineChars="0"/>
              <w:jc w:val="center"/>
              <w:rPr>
                <w:sz w:val="21"/>
                <w:szCs w:val="21"/>
                <w:u w:val="single"/>
              </w:rPr>
            </w:pPr>
            <w:r>
              <w:rPr>
                <w:rFonts w:hint="eastAsia"/>
                <w:sz w:val="21"/>
                <w:szCs w:val="21"/>
                <w:u w:val="single"/>
              </w:rPr>
              <w:t>/</w:t>
            </w:r>
          </w:p>
        </w:tc>
        <w:tc>
          <w:tcPr>
            <w:tcW w:w="513" w:type="pct"/>
            <w:vAlign w:val="center"/>
          </w:tcPr>
          <w:p w14:paraId="5E125309">
            <w:pPr>
              <w:spacing w:line="240" w:lineRule="auto"/>
              <w:ind w:firstLine="0" w:firstLineChars="0"/>
              <w:jc w:val="center"/>
              <w:rPr>
                <w:sz w:val="21"/>
                <w:szCs w:val="21"/>
                <w:u w:val="single"/>
              </w:rPr>
            </w:pPr>
            <w:r>
              <w:rPr>
                <w:rFonts w:hint="eastAsia"/>
                <w:sz w:val="21"/>
                <w:szCs w:val="21"/>
                <w:u w:val="single"/>
              </w:rPr>
              <w:t>/</w:t>
            </w:r>
          </w:p>
        </w:tc>
        <w:tc>
          <w:tcPr>
            <w:tcW w:w="567" w:type="pct"/>
            <w:vAlign w:val="center"/>
          </w:tcPr>
          <w:p w14:paraId="0008637B">
            <w:pPr>
              <w:spacing w:line="240" w:lineRule="auto"/>
              <w:ind w:firstLine="0" w:firstLineChars="0"/>
              <w:jc w:val="center"/>
              <w:rPr>
                <w:sz w:val="21"/>
                <w:szCs w:val="21"/>
                <w:u w:val="single"/>
              </w:rPr>
            </w:pPr>
            <w:r>
              <w:rPr>
                <w:rFonts w:hint="eastAsia"/>
                <w:sz w:val="21"/>
                <w:szCs w:val="21"/>
                <w:u w:val="single"/>
              </w:rPr>
              <w:t>/</w:t>
            </w:r>
          </w:p>
        </w:tc>
        <w:tc>
          <w:tcPr>
            <w:tcW w:w="336" w:type="pct"/>
            <w:vAlign w:val="center"/>
          </w:tcPr>
          <w:p w14:paraId="5CDD05AD">
            <w:pPr>
              <w:spacing w:line="240" w:lineRule="auto"/>
              <w:ind w:firstLine="0" w:firstLineChars="0"/>
              <w:jc w:val="center"/>
              <w:rPr>
                <w:sz w:val="21"/>
                <w:szCs w:val="21"/>
                <w:u w:val="single"/>
              </w:rPr>
            </w:pPr>
            <w:r>
              <w:rPr>
                <w:rFonts w:hint="eastAsia"/>
                <w:sz w:val="21"/>
                <w:szCs w:val="21"/>
                <w:u w:val="single"/>
              </w:rPr>
              <w:t>园区管网</w:t>
            </w:r>
          </w:p>
        </w:tc>
      </w:tr>
    </w:tbl>
    <w:p w14:paraId="59A96339">
      <w:pPr>
        <w:ind w:firstLine="482"/>
        <w:rPr>
          <w:b/>
          <w:bCs/>
        </w:rPr>
      </w:pPr>
      <w:r>
        <w:rPr>
          <w:rFonts w:hint="eastAsia"/>
          <w:b/>
          <w:bCs/>
        </w:rPr>
        <w:t>（3）针对项目运营期产生的环境影响采取的防治措施</w:t>
      </w:r>
    </w:p>
    <w:p w14:paraId="48D6D9E0">
      <w:pPr>
        <w:ind w:firstLine="480"/>
      </w:pPr>
      <w:r>
        <w:rPr>
          <w:rFonts w:hint="eastAsia"/>
        </w:rPr>
        <w:t>废气：</w:t>
      </w:r>
      <w:r>
        <w:rPr>
          <w:rFonts w:hint="eastAsia"/>
          <w:u w:val="single"/>
        </w:rPr>
        <w:t>聚合、中和与硅氢化反应、脱色产生有机废气的经密闭管道负压</w:t>
      </w:r>
      <w:r>
        <w:rPr>
          <w:u w:val="single"/>
        </w:rPr>
        <w:t>收集后</w:t>
      </w:r>
      <w:r>
        <w:rPr>
          <w:rFonts w:hint="eastAsia"/>
          <w:u w:val="single"/>
        </w:rPr>
        <w:t>经“设备自带冷凝”处理，处理后与污水处理站废气一起引入“碱喷淋+水喷淋+除雾器”处理，处理后与危险废物贮存库废气、化验室废气一起引入活性炭吸附装置，最终经1根15m高的排气筒DA001排放</w:t>
      </w:r>
      <w:r>
        <w:rPr>
          <w:rFonts w:hint="eastAsia"/>
        </w:rPr>
        <w:t>；色粉投料粉尘经袋式除尘器处理后经1根15m高的排气筒DA002排放。</w:t>
      </w:r>
    </w:p>
    <w:p w14:paraId="757141C9">
      <w:pPr>
        <w:ind w:firstLine="480"/>
      </w:pPr>
      <w:r>
        <w:rPr>
          <w:rFonts w:hint="eastAsia"/>
        </w:rPr>
        <w:t>废水：本项目</w:t>
      </w:r>
      <w:r>
        <w:rPr>
          <w:rFonts w:hint="eastAsia"/>
          <w:kern w:val="2"/>
          <w:szCs w:val="24"/>
        </w:rPr>
        <w:t>喷淋废水、车间地面清洗废水经厂区污水处理站处理后与经化粪池处理后的生活污水、</w:t>
      </w:r>
      <w:r>
        <w:t>循环冷却水系统排水</w:t>
      </w:r>
      <w:r>
        <w:rPr>
          <w:kern w:val="2"/>
          <w:szCs w:val="24"/>
        </w:rPr>
        <w:t>一起由厂区总排口排入园区污水管网，再</w:t>
      </w:r>
      <w:r>
        <w:rPr>
          <w:rFonts w:hint="eastAsia"/>
          <w:kern w:val="2"/>
          <w:szCs w:val="24"/>
        </w:rPr>
        <w:t>进入唐庄</w:t>
      </w:r>
      <w:r>
        <w:rPr>
          <w:kern w:val="2"/>
          <w:szCs w:val="24"/>
        </w:rPr>
        <w:t>污水处理厂进行进一步处理，处理后排入</w:t>
      </w:r>
      <w:r>
        <w:rPr>
          <w:rFonts w:hint="eastAsia"/>
          <w:kern w:val="2"/>
          <w:szCs w:val="24"/>
        </w:rPr>
        <w:t>共产主义渠</w:t>
      </w:r>
      <w:r>
        <w:rPr>
          <w:kern w:val="2"/>
          <w:szCs w:val="24"/>
        </w:rPr>
        <w:t>。</w:t>
      </w:r>
    </w:p>
    <w:p w14:paraId="14F5C3F1">
      <w:pPr>
        <w:ind w:firstLine="480"/>
        <w:rPr>
          <w:u w:val="single"/>
        </w:rPr>
      </w:pPr>
      <w:r>
        <w:rPr>
          <w:rFonts w:hint="eastAsia"/>
          <w:u w:val="single"/>
        </w:rPr>
        <w:t>噪声：工程噪声源主要为真空上料机</w:t>
      </w:r>
      <w:r>
        <w:rPr>
          <w:u w:val="single"/>
        </w:rPr>
        <w:t>、</w:t>
      </w:r>
      <w:r>
        <w:rPr>
          <w:rFonts w:hint="eastAsia"/>
          <w:u w:val="single"/>
        </w:rPr>
        <w:t>离心机</w:t>
      </w:r>
      <w:r>
        <w:rPr>
          <w:u w:val="single"/>
        </w:rPr>
        <w:t>、</w:t>
      </w:r>
      <w:r>
        <w:rPr>
          <w:rFonts w:hint="eastAsia"/>
          <w:u w:val="single"/>
        </w:rPr>
        <w:t>自动灌装</w:t>
      </w:r>
      <w:r>
        <w:rPr>
          <w:u w:val="single"/>
        </w:rPr>
        <w:t>机、</w:t>
      </w:r>
      <w:r>
        <w:rPr>
          <w:rFonts w:hint="eastAsia"/>
          <w:u w:val="single"/>
        </w:rPr>
        <w:t>进料泵、循环水站</w:t>
      </w:r>
      <w:r>
        <w:rPr>
          <w:bCs/>
          <w:u w:val="single"/>
        </w:rPr>
        <w:t>等</w:t>
      </w:r>
      <w:r>
        <w:rPr>
          <w:rFonts w:hint="eastAsia"/>
          <w:u w:val="single"/>
        </w:rPr>
        <w:t>，</w:t>
      </w:r>
      <w:r>
        <w:rPr>
          <w:u w:val="single"/>
        </w:rPr>
        <w:t>经减振、隔音等措施治理后，</w:t>
      </w:r>
      <w:r>
        <w:rPr>
          <w:rFonts w:hint="eastAsia"/>
          <w:u w:val="single"/>
        </w:rPr>
        <w:t>各厂界噪声均能够达到《工业企业厂界环境噪声排放标准》（GB12348-2008）3类昼间65dB(A)、夜间55dB(A)的标准要求。</w:t>
      </w:r>
    </w:p>
    <w:p w14:paraId="298C0435">
      <w:pPr>
        <w:ind w:firstLine="480"/>
        <w:rPr>
          <w:highlight w:val="yellow"/>
          <w:u w:val="single"/>
        </w:rPr>
      </w:pPr>
      <w:r>
        <w:rPr>
          <w:rFonts w:hint="eastAsia"/>
        </w:rPr>
        <w:t>固废：该工程营运期间产生的固废包括一般固废和危险废物两大类。其中，</w:t>
      </w:r>
      <w:r>
        <w:t>一般固废主要为</w:t>
      </w:r>
      <w:r>
        <w:rPr>
          <w:rFonts w:hint="eastAsia"/>
        </w:rPr>
        <w:t>废原料包装袋，废原料包装袋在一般固废暂存间暂存，定期出售。废溶剂包装桶</w:t>
      </w:r>
      <w:r>
        <w:t>交由生产厂家回收并回用于原始用途</w:t>
      </w:r>
      <w:r>
        <w:rPr>
          <w:rFonts w:hint="eastAsia"/>
        </w:rPr>
        <w:t>，不再作为固体废物管理，</w:t>
      </w:r>
      <w:r>
        <w:t>对于厂区内尚未转移出去的包装桶，建议在厂区内设置专门的暂存点</w:t>
      </w:r>
      <w:r>
        <w:rPr>
          <w:rFonts w:hint="eastAsia"/>
        </w:rPr>
        <w:t>。</w:t>
      </w:r>
      <w:r>
        <w:rPr>
          <w:rFonts w:hint="eastAsia"/>
          <w:u w:val="single"/>
        </w:rPr>
        <w:t>危险废物</w:t>
      </w:r>
      <w:r>
        <w:rPr>
          <w:u w:val="single"/>
        </w:rPr>
        <w:t>主要为</w:t>
      </w:r>
      <w:r>
        <w:rPr>
          <w:rFonts w:hint="eastAsia"/>
          <w:u w:val="single"/>
        </w:rPr>
        <w:t>生产过程过滤和离心产生的废活性炭、废气治理设施产生的废活性炭、化验室废物、污水处理站产生的污泥和污油、加热制冷设施产生的废导热油</w:t>
      </w:r>
      <w:r>
        <w:rPr>
          <w:u w:val="single"/>
        </w:rPr>
        <w:t>，收集后暂存于危废贮存库内，委托有资质的单位处理。</w:t>
      </w:r>
    </w:p>
    <w:p w14:paraId="7EEE8C8E">
      <w:pPr>
        <w:pStyle w:val="2"/>
        <w:ind w:firstLine="480"/>
        <w:rPr>
          <w:highlight w:val="yellow"/>
        </w:rPr>
      </w:pPr>
    </w:p>
    <w:p w14:paraId="27BAA727">
      <w:pPr>
        <w:ind w:firstLine="480"/>
        <w:rPr>
          <w:highlight w:val="yellow"/>
        </w:rPr>
        <w:sectPr>
          <w:pgSz w:w="11907" w:h="16840"/>
          <w:pgMar w:top="1440" w:right="1797" w:bottom="1440" w:left="1797" w:header="907" w:footer="907" w:gutter="0"/>
          <w:cols w:space="425" w:num="1"/>
          <w:docGrid w:linePitch="380" w:charSpace="0"/>
        </w:sectPr>
      </w:pPr>
    </w:p>
    <w:p w14:paraId="1D3EF3A3">
      <w:pPr>
        <w:pStyle w:val="4"/>
      </w:pPr>
      <w:bookmarkStart w:id="410" w:name="_Toc176105898"/>
      <w:r>
        <w:t>工程污染物总量控制分析</w:t>
      </w:r>
      <w:bookmarkEnd w:id="410"/>
    </w:p>
    <w:p w14:paraId="1D3EF3A4">
      <w:pPr>
        <w:ind w:firstLine="480"/>
      </w:pPr>
      <w:r>
        <w:t>污染物排放总量控制是针对工程分析、环保治理措施及环境影响预测和分析的结果，贯彻“总量控制”、“达标排放”的原则，分析确定本项目废水、废气污染物排放总量控制指标，为环保部门监督管理提供依据。</w:t>
      </w:r>
    </w:p>
    <w:p w14:paraId="1D3EF3A5">
      <w:pPr>
        <w:pStyle w:val="5"/>
        <w:spacing w:before="240" w:after="240"/>
      </w:pPr>
      <w:bookmarkStart w:id="411" w:name="_Toc32352"/>
      <w:r>
        <w:t>工程建成后污染物排放情况</w:t>
      </w:r>
      <w:bookmarkEnd w:id="411"/>
    </w:p>
    <w:p w14:paraId="1D3EF3A6">
      <w:pPr>
        <w:ind w:firstLine="480"/>
      </w:pPr>
      <w:r>
        <w:t>根据工程分析，</w:t>
      </w:r>
      <w:r>
        <w:rPr>
          <w:rFonts w:hint="eastAsia"/>
        </w:rPr>
        <w:t>本次</w:t>
      </w:r>
      <w:r>
        <w:t>工程</w:t>
      </w:r>
      <w:r>
        <w:rPr>
          <w:rFonts w:hint="eastAsia"/>
        </w:rPr>
        <w:t>建</w:t>
      </w:r>
      <w:r>
        <w:t>成后污染物排放情况见下表。</w:t>
      </w:r>
    </w:p>
    <w:p w14:paraId="1D3EF3A7">
      <w:pPr>
        <w:pStyle w:val="64"/>
        <w:numPr>
          <w:ilvl w:val="2"/>
          <w:numId w:val="56"/>
        </w:numPr>
        <w:spacing w:before="120" w:after="120"/>
        <w:ind w:left="0" w:firstLine="480" w:firstLineChars="200"/>
      </w:pPr>
      <w:bookmarkStart w:id="412" w:name="_Toc22795"/>
      <w:r>
        <w:t xml:space="preserve">        本次工程建成后污染物排放情况          单位：t/a</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750"/>
        <w:gridCol w:w="1458"/>
        <w:gridCol w:w="1467"/>
        <w:gridCol w:w="1407"/>
        <w:gridCol w:w="1728"/>
      </w:tblGrid>
      <w:tr w14:paraId="27996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47" w:type="pct"/>
            <w:gridSpan w:val="2"/>
            <w:shd w:val="clear" w:color="auto" w:fill="auto"/>
            <w:vAlign w:val="center"/>
          </w:tcPr>
          <w:p w14:paraId="08363128">
            <w:pPr>
              <w:pStyle w:val="67"/>
              <w:rPr>
                <w:rFonts w:cs="Times New Roman"/>
                <w:color w:val="auto"/>
                <w:szCs w:val="21"/>
              </w:rPr>
            </w:pPr>
            <w:r>
              <w:rPr>
                <w:rFonts w:cs="Times New Roman"/>
                <w:color w:val="auto"/>
                <w:szCs w:val="21"/>
              </w:rPr>
              <w:t>污染物</w:t>
            </w:r>
          </w:p>
        </w:tc>
        <w:tc>
          <w:tcPr>
            <w:tcW w:w="855" w:type="pct"/>
            <w:shd w:val="clear" w:color="auto" w:fill="auto"/>
            <w:vAlign w:val="center"/>
          </w:tcPr>
          <w:p w14:paraId="22089291">
            <w:pPr>
              <w:pStyle w:val="67"/>
              <w:rPr>
                <w:rFonts w:cs="Times New Roman"/>
                <w:color w:val="auto"/>
                <w:szCs w:val="21"/>
              </w:rPr>
            </w:pPr>
            <w:r>
              <w:rPr>
                <w:rFonts w:cs="Times New Roman"/>
                <w:color w:val="auto"/>
                <w:szCs w:val="21"/>
              </w:rPr>
              <w:t>工程产生量</w:t>
            </w:r>
          </w:p>
        </w:tc>
        <w:tc>
          <w:tcPr>
            <w:tcW w:w="860" w:type="pct"/>
            <w:shd w:val="clear" w:color="auto" w:fill="auto"/>
            <w:vAlign w:val="center"/>
          </w:tcPr>
          <w:p w14:paraId="3DEB7FA5">
            <w:pPr>
              <w:pStyle w:val="67"/>
              <w:rPr>
                <w:rFonts w:cs="Times New Roman"/>
                <w:color w:val="auto"/>
                <w:szCs w:val="21"/>
              </w:rPr>
            </w:pPr>
            <w:r>
              <w:rPr>
                <w:rFonts w:cs="Times New Roman"/>
                <w:color w:val="auto"/>
                <w:szCs w:val="21"/>
              </w:rPr>
              <w:t>工程削减量</w:t>
            </w:r>
          </w:p>
        </w:tc>
        <w:tc>
          <w:tcPr>
            <w:tcW w:w="825" w:type="pct"/>
            <w:shd w:val="clear" w:color="auto" w:fill="auto"/>
            <w:vAlign w:val="center"/>
          </w:tcPr>
          <w:p w14:paraId="0E8CB4E9">
            <w:pPr>
              <w:pStyle w:val="67"/>
              <w:rPr>
                <w:rFonts w:cs="Times New Roman"/>
                <w:color w:val="auto"/>
                <w:szCs w:val="21"/>
              </w:rPr>
            </w:pPr>
            <w:r>
              <w:rPr>
                <w:rFonts w:cs="Times New Roman"/>
                <w:color w:val="auto"/>
                <w:szCs w:val="21"/>
              </w:rPr>
              <w:t>工程排放量</w:t>
            </w:r>
          </w:p>
        </w:tc>
        <w:tc>
          <w:tcPr>
            <w:tcW w:w="1013" w:type="pct"/>
            <w:vAlign w:val="center"/>
          </w:tcPr>
          <w:p w14:paraId="47050B90">
            <w:pPr>
              <w:pStyle w:val="67"/>
              <w:rPr>
                <w:rFonts w:cs="Times New Roman"/>
                <w:color w:val="auto"/>
                <w:szCs w:val="21"/>
              </w:rPr>
            </w:pPr>
            <w:r>
              <w:rPr>
                <w:rFonts w:hint="eastAsia" w:cs="Times New Roman"/>
                <w:color w:val="auto"/>
                <w:szCs w:val="21"/>
              </w:rPr>
              <w:t>唐庄</w:t>
            </w:r>
            <w:r>
              <w:rPr>
                <w:rFonts w:cs="Times New Roman"/>
                <w:color w:val="auto"/>
                <w:szCs w:val="21"/>
              </w:rPr>
              <w:t>污水处理厂处理后的排放量</w:t>
            </w:r>
          </w:p>
        </w:tc>
      </w:tr>
      <w:tr w14:paraId="50C7A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restart"/>
            <w:shd w:val="clear" w:color="auto" w:fill="auto"/>
            <w:vAlign w:val="center"/>
          </w:tcPr>
          <w:p w14:paraId="421D3870">
            <w:pPr>
              <w:pStyle w:val="62"/>
              <w:rPr>
                <w:bCs/>
                <w:highlight w:val="yellow"/>
              </w:rPr>
            </w:pPr>
            <w:r>
              <w:rPr>
                <w:bCs/>
              </w:rPr>
              <w:t>废水</w:t>
            </w:r>
          </w:p>
        </w:tc>
        <w:tc>
          <w:tcPr>
            <w:tcW w:w="1026" w:type="pct"/>
            <w:shd w:val="clear" w:color="auto" w:fill="auto"/>
            <w:vAlign w:val="center"/>
          </w:tcPr>
          <w:p w14:paraId="760AF7C0">
            <w:pPr>
              <w:pStyle w:val="62"/>
              <w:rPr>
                <w:bCs/>
              </w:rPr>
            </w:pPr>
            <w:r>
              <w:rPr>
                <w:bCs/>
              </w:rPr>
              <w:t>COD</w:t>
            </w:r>
          </w:p>
        </w:tc>
        <w:tc>
          <w:tcPr>
            <w:tcW w:w="855" w:type="pct"/>
            <w:shd w:val="clear" w:color="auto" w:fill="auto"/>
            <w:vAlign w:val="center"/>
          </w:tcPr>
          <w:p w14:paraId="1DCF8381">
            <w:pPr>
              <w:pStyle w:val="62"/>
              <w:rPr>
                <w:bCs/>
                <w:u w:val="single"/>
              </w:rPr>
            </w:pPr>
            <w:r>
              <w:rPr>
                <w:rFonts w:hint="eastAsia"/>
                <w:bCs/>
                <w:u w:val="single"/>
              </w:rPr>
              <w:t>5.459</w:t>
            </w:r>
          </w:p>
        </w:tc>
        <w:tc>
          <w:tcPr>
            <w:tcW w:w="860" w:type="pct"/>
            <w:shd w:val="clear" w:color="auto" w:fill="auto"/>
            <w:vAlign w:val="center"/>
          </w:tcPr>
          <w:p w14:paraId="3CF49DFE">
            <w:pPr>
              <w:pStyle w:val="62"/>
              <w:rPr>
                <w:bCs/>
                <w:u w:val="single"/>
              </w:rPr>
            </w:pPr>
            <w:r>
              <w:rPr>
                <w:rFonts w:hint="eastAsia"/>
                <w:bCs/>
                <w:u w:val="single"/>
              </w:rPr>
              <w:t>4.9986</w:t>
            </w:r>
          </w:p>
        </w:tc>
        <w:tc>
          <w:tcPr>
            <w:tcW w:w="825" w:type="pct"/>
            <w:shd w:val="clear" w:color="auto" w:fill="auto"/>
            <w:vAlign w:val="center"/>
          </w:tcPr>
          <w:p w14:paraId="0F5DE09C">
            <w:pPr>
              <w:pStyle w:val="62"/>
              <w:rPr>
                <w:bCs/>
                <w:u w:val="single"/>
              </w:rPr>
            </w:pPr>
            <w:r>
              <w:rPr>
                <w:rFonts w:hint="eastAsia"/>
                <w:bCs/>
                <w:u w:val="single"/>
              </w:rPr>
              <w:t>0.4604</w:t>
            </w:r>
          </w:p>
        </w:tc>
        <w:tc>
          <w:tcPr>
            <w:tcW w:w="1013" w:type="pct"/>
            <w:vAlign w:val="center"/>
          </w:tcPr>
          <w:p w14:paraId="1F7E7127">
            <w:pPr>
              <w:pStyle w:val="62"/>
              <w:rPr>
                <w:bCs/>
                <w:u w:val="single"/>
              </w:rPr>
            </w:pPr>
            <w:r>
              <w:rPr>
                <w:rFonts w:hint="eastAsia"/>
                <w:bCs/>
                <w:u w:val="single"/>
              </w:rPr>
              <w:t>0.0877</w:t>
            </w:r>
          </w:p>
        </w:tc>
      </w:tr>
      <w:tr w14:paraId="1B43F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17374116">
            <w:pPr>
              <w:pStyle w:val="62"/>
              <w:rPr>
                <w:bCs/>
                <w:highlight w:val="yellow"/>
              </w:rPr>
            </w:pPr>
          </w:p>
        </w:tc>
        <w:tc>
          <w:tcPr>
            <w:tcW w:w="1026" w:type="pct"/>
            <w:shd w:val="clear" w:color="auto" w:fill="auto"/>
            <w:vAlign w:val="center"/>
          </w:tcPr>
          <w:p w14:paraId="3DC8A83B">
            <w:pPr>
              <w:pStyle w:val="62"/>
              <w:rPr>
                <w:bCs/>
              </w:rPr>
            </w:pPr>
            <w:r>
              <w:rPr>
                <w:bCs/>
              </w:rPr>
              <w:t>氨氮</w:t>
            </w:r>
          </w:p>
        </w:tc>
        <w:tc>
          <w:tcPr>
            <w:tcW w:w="855" w:type="pct"/>
            <w:shd w:val="clear" w:color="auto" w:fill="auto"/>
            <w:vAlign w:val="center"/>
          </w:tcPr>
          <w:p w14:paraId="55EAC4F6">
            <w:pPr>
              <w:pStyle w:val="62"/>
              <w:rPr>
                <w:bCs/>
                <w:u w:val="single"/>
              </w:rPr>
            </w:pPr>
            <w:r>
              <w:rPr>
                <w:rFonts w:hint="eastAsia"/>
                <w:bCs/>
                <w:u w:val="single"/>
              </w:rPr>
              <w:t>0.0072</w:t>
            </w:r>
          </w:p>
        </w:tc>
        <w:tc>
          <w:tcPr>
            <w:tcW w:w="860" w:type="pct"/>
            <w:shd w:val="clear" w:color="auto" w:fill="auto"/>
            <w:vAlign w:val="center"/>
          </w:tcPr>
          <w:p w14:paraId="2A92EFEE">
            <w:pPr>
              <w:pStyle w:val="62"/>
              <w:rPr>
                <w:bCs/>
                <w:u w:val="single"/>
              </w:rPr>
            </w:pPr>
            <w:r>
              <w:rPr>
                <w:rFonts w:hint="eastAsia"/>
                <w:bCs/>
                <w:u w:val="single"/>
              </w:rPr>
              <w:t>0</w:t>
            </w:r>
          </w:p>
        </w:tc>
        <w:tc>
          <w:tcPr>
            <w:tcW w:w="825" w:type="pct"/>
            <w:shd w:val="clear" w:color="auto" w:fill="auto"/>
            <w:vAlign w:val="center"/>
          </w:tcPr>
          <w:p w14:paraId="620B39C7">
            <w:pPr>
              <w:pStyle w:val="62"/>
              <w:rPr>
                <w:bCs/>
                <w:u w:val="single"/>
              </w:rPr>
            </w:pPr>
            <w:r>
              <w:rPr>
                <w:rFonts w:hint="eastAsia"/>
                <w:bCs/>
                <w:u w:val="single"/>
              </w:rPr>
              <w:t>0.0072</w:t>
            </w:r>
          </w:p>
        </w:tc>
        <w:tc>
          <w:tcPr>
            <w:tcW w:w="1013" w:type="pct"/>
            <w:vAlign w:val="center"/>
          </w:tcPr>
          <w:p w14:paraId="63B46999">
            <w:pPr>
              <w:pStyle w:val="62"/>
              <w:rPr>
                <w:bCs/>
                <w:u w:val="single"/>
              </w:rPr>
            </w:pPr>
            <w:r>
              <w:rPr>
                <w:rFonts w:hint="eastAsia"/>
                <w:bCs/>
                <w:u w:val="single"/>
              </w:rPr>
              <w:t>0.0044</w:t>
            </w:r>
          </w:p>
        </w:tc>
      </w:tr>
      <w:tr w14:paraId="668A6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199DA837">
            <w:pPr>
              <w:pStyle w:val="62"/>
              <w:rPr>
                <w:bCs/>
                <w:highlight w:val="yellow"/>
              </w:rPr>
            </w:pPr>
          </w:p>
        </w:tc>
        <w:tc>
          <w:tcPr>
            <w:tcW w:w="1026" w:type="pct"/>
            <w:shd w:val="clear" w:color="auto" w:fill="auto"/>
            <w:vAlign w:val="center"/>
          </w:tcPr>
          <w:p w14:paraId="504B182D">
            <w:pPr>
              <w:pStyle w:val="62"/>
              <w:rPr>
                <w:bCs/>
              </w:rPr>
            </w:pPr>
            <w:r>
              <w:rPr>
                <w:bCs/>
              </w:rPr>
              <w:t>TP</w:t>
            </w:r>
          </w:p>
        </w:tc>
        <w:tc>
          <w:tcPr>
            <w:tcW w:w="855" w:type="pct"/>
            <w:shd w:val="clear" w:color="auto" w:fill="auto"/>
            <w:vAlign w:val="center"/>
          </w:tcPr>
          <w:p w14:paraId="6BEB5A26">
            <w:pPr>
              <w:pStyle w:val="62"/>
              <w:rPr>
                <w:bCs/>
                <w:u w:val="single"/>
              </w:rPr>
            </w:pPr>
            <w:r>
              <w:rPr>
                <w:rFonts w:hint="eastAsia"/>
                <w:bCs/>
                <w:u w:val="single"/>
              </w:rPr>
              <w:t>0.0008</w:t>
            </w:r>
          </w:p>
        </w:tc>
        <w:tc>
          <w:tcPr>
            <w:tcW w:w="860" w:type="pct"/>
            <w:shd w:val="clear" w:color="auto" w:fill="auto"/>
            <w:vAlign w:val="center"/>
          </w:tcPr>
          <w:p w14:paraId="3EEE61E9">
            <w:pPr>
              <w:pStyle w:val="62"/>
              <w:rPr>
                <w:bCs/>
                <w:u w:val="single"/>
              </w:rPr>
            </w:pPr>
            <w:r>
              <w:rPr>
                <w:rFonts w:hint="eastAsia"/>
                <w:bCs/>
                <w:u w:val="single"/>
              </w:rPr>
              <w:t>-0.0001</w:t>
            </w:r>
          </w:p>
        </w:tc>
        <w:tc>
          <w:tcPr>
            <w:tcW w:w="825" w:type="pct"/>
            <w:shd w:val="clear" w:color="auto" w:fill="auto"/>
            <w:vAlign w:val="center"/>
          </w:tcPr>
          <w:p w14:paraId="5A2EF618">
            <w:pPr>
              <w:pStyle w:val="62"/>
              <w:rPr>
                <w:bCs/>
                <w:u w:val="single"/>
              </w:rPr>
            </w:pPr>
            <w:r>
              <w:rPr>
                <w:rFonts w:hint="eastAsia"/>
                <w:bCs/>
                <w:u w:val="single"/>
              </w:rPr>
              <w:t>0.0009</w:t>
            </w:r>
          </w:p>
        </w:tc>
        <w:tc>
          <w:tcPr>
            <w:tcW w:w="1013" w:type="pct"/>
            <w:vAlign w:val="center"/>
          </w:tcPr>
          <w:p w14:paraId="56A3D760">
            <w:pPr>
              <w:pStyle w:val="62"/>
              <w:rPr>
                <w:bCs/>
                <w:u w:val="single"/>
              </w:rPr>
            </w:pPr>
            <w:r>
              <w:rPr>
                <w:rFonts w:hint="eastAsia"/>
                <w:bCs/>
                <w:u w:val="single"/>
              </w:rPr>
              <w:t>0.0009</w:t>
            </w:r>
          </w:p>
        </w:tc>
      </w:tr>
      <w:tr w14:paraId="1EC64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66258433">
            <w:pPr>
              <w:pStyle w:val="62"/>
              <w:rPr>
                <w:bCs/>
                <w:highlight w:val="yellow"/>
              </w:rPr>
            </w:pPr>
          </w:p>
        </w:tc>
        <w:tc>
          <w:tcPr>
            <w:tcW w:w="1026" w:type="pct"/>
            <w:shd w:val="clear" w:color="auto" w:fill="auto"/>
            <w:vAlign w:val="center"/>
          </w:tcPr>
          <w:p w14:paraId="484D88D8">
            <w:pPr>
              <w:pStyle w:val="62"/>
              <w:rPr>
                <w:bCs/>
              </w:rPr>
            </w:pPr>
            <w:r>
              <w:rPr>
                <w:bCs/>
              </w:rPr>
              <w:t>TN</w:t>
            </w:r>
          </w:p>
        </w:tc>
        <w:tc>
          <w:tcPr>
            <w:tcW w:w="855" w:type="pct"/>
            <w:shd w:val="clear" w:color="auto" w:fill="auto"/>
            <w:vAlign w:val="center"/>
          </w:tcPr>
          <w:p w14:paraId="6187AB05">
            <w:pPr>
              <w:pStyle w:val="62"/>
              <w:rPr>
                <w:bCs/>
                <w:u w:val="single"/>
              </w:rPr>
            </w:pPr>
            <w:r>
              <w:rPr>
                <w:rFonts w:hint="eastAsia"/>
                <w:bCs/>
                <w:u w:val="single"/>
              </w:rPr>
              <w:t>0.0008</w:t>
            </w:r>
          </w:p>
        </w:tc>
        <w:tc>
          <w:tcPr>
            <w:tcW w:w="860" w:type="pct"/>
            <w:shd w:val="clear" w:color="auto" w:fill="auto"/>
            <w:vAlign w:val="center"/>
          </w:tcPr>
          <w:p w14:paraId="2CB8D5E1">
            <w:pPr>
              <w:pStyle w:val="62"/>
              <w:rPr>
                <w:bCs/>
                <w:u w:val="single"/>
              </w:rPr>
            </w:pPr>
            <w:r>
              <w:rPr>
                <w:rFonts w:hint="eastAsia"/>
                <w:bCs/>
                <w:u w:val="single"/>
              </w:rPr>
              <w:t>-0.0124</w:t>
            </w:r>
          </w:p>
        </w:tc>
        <w:tc>
          <w:tcPr>
            <w:tcW w:w="825" w:type="pct"/>
            <w:shd w:val="clear" w:color="auto" w:fill="auto"/>
            <w:vAlign w:val="center"/>
          </w:tcPr>
          <w:p w14:paraId="49F1E444">
            <w:pPr>
              <w:pStyle w:val="62"/>
              <w:rPr>
                <w:bCs/>
                <w:u w:val="single"/>
              </w:rPr>
            </w:pPr>
            <w:r>
              <w:rPr>
                <w:rFonts w:hint="eastAsia"/>
                <w:bCs/>
                <w:u w:val="single"/>
              </w:rPr>
              <w:t>0.0132</w:t>
            </w:r>
          </w:p>
        </w:tc>
        <w:tc>
          <w:tcPr>
            <w:tcW w:w="1013" w:type="pct"/>
            <w:vAlign w:val="center"/>
          </w:tcPr>
          <w:p w14:paraId="5FCEE223">
            <w:pPr>
              <w:pStyle w:val="62"/>
              <w:rPr>
                <w:bCs/>
                <w:u w:val="single"/>
              </w:rPr>
            </w:pPr>
            <w:r>
              <w:rPr>
                <w:rFonts w:hint="eastAsia"/>
                <w:bCs/>
                <w:u w:val="single"/>
              </w:rPr>
              <w:t>0.0132</w:t>
            </w:r>
          </w:p>
        </w:tc>
      </w:tr>
      <w:tr w14:paraId="5C34E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3776C1C3">
            <w:pPr>
              <w:pStyle w:val="62"/>
              <w:rPr>
                <w:bCs/>
                <w:highlight w:val="yellow"/>
              </w:rPr>
            </w:pPr>
          </w:p>
        </w:tc>
        <w:tc>
          <w:tcPr>
            <w:tcW w:w="1026" w:type="pct"/>
            <w:shd w:val="clear" w:color="auto" w:fill="auto"/>
            <w:vAlign w:val="center"/>
          </w:tcPr>
          <w:p w14:paraId="61F4360C">
            <w:pPr>
              <w:pStyle w:val="62"/>
              <w:rPr>
                <w:bCs/>
              </w:rPr>
            </w:pPr>
            <w:r>
              <w:rPr>
                <w:bCs/>
              </w:rPr>
              <w:t>水量（万t/a）</w:t>
            </w:r>
          </w:p>
        </w:tc>
        <w:tc>
          <w:tcPr>
            <w:tcW w:w="855" w:type="pct"/>
            <w:shd w:val="clear" w:color="auto" w:fill="auto"/>
            <w:vAlign w:val="center"/>
          </w:tcPr>
          <w:p w14:paraId="70CA4CE3">
            <w:pPr>
              <w:pStyle w:val="62"/>
              <w:rPr>
                <w:bCs/>
                <w:u w:val="single"/>
              </w:rPr>
            </w:pPr>
            <w:r>
              <w:rPr>
                <w:rFonts w:hint="eastAsia"/>
                <w:bCs/>
                <w:u w:val="single"/>
              </w:rPr>
              <w:t>0.2193</w:t>
            </w:r>
          </w:p>
        </w:tc>
        <w:tc>
          <w:tcPr>
            <w:tcW w:w="860" w:type="pct"/>
            <w:shd w:val="clear" w:color="auto" w:fill="auto"/>
            <w:vAlign w:val="center"/>
          </w:tcPr>
          <w:p w14:paraId="1BF49B33">
            <w:pPr>
              <w:pStyle w:val="62"/>
              <w:rPr>
                <w:bCs/>
                <w:u w:val="single"/>
              </w:rPr>
            </w:pPr>
            <w:r>
              <w:rPr>
                <w:rFonts w:hint="eastAsia"/>
                <w:bCs/>
                <w:u w:val="single"/>
              </w:rPr>
              <w:t>0</w:t>
            </w:r>
          </w:p>
        </w:tc>
        <w:tc>
          <w:tcPr>
            <w:tcW w:w="825" w:type="pct"/>
            <w:shd w:val="clear" w:color="auto" w:fill="auto"/>
            <w:vAlign w:val="center"/>
          </w:tcPr>
          <w:p w14:paraId="11F2BB63">
            <w:pPr>
              <w:pStyle w:val="62"/>
              <w:rPr>
                <w:bCs/>
                <w:u w:val="single"/>
              </w:rPr>
            </w:pPr>
            <w:r>
              <w:rPr>
                <w:rFonts w:hint="eastAsia"/>
                <w:bCs/>
                <w:u w:val="single"/>
              </w:rPr>
              <w:t>0.2193</w:t>
            </w:r>
          </w:p>
        </w:tc>
        <w:tc>
          <w:tcPr>
            <w:tcW w:w="1013" w:type="pct"/>
            <w:vAlign w:val="center"/>
          </w:tcPr>
          <w:p w14:paraId="280B7FDC">
            <w:pPr>
              <w:pStyle w:val="62"/>
              <w:rPr>
                <w:bCs/>
                <w:u w:val="single"/>
              </w:rPr>
            </w:pPr>
            <w:r>
              <w:rPr>
                <w:rFonts w:hint="eastAsia"/>
                <w:bCs/>
                <w:u w:val="single"/>
              </w:rPr>
              <w:t>0.2193</w:t>
            </w:r>
          </w:p>
        </w:tc>
      </w:tr>
      <w:tr w14:paraId="4F03E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restart"/>
            <w:shd w:val="clear" w:color="auto" w:fill="auto"/>
            <w:vAlign w:val="center"/>
          </w:tcPr>
          <w:p w14:paraId="754B7DC5">
            <w:pPr>
              <w:pStyle w:val="62"/>
              <w:rPr>
                <w:bCs/>
              </w:rPr>
            </w:pPr>
            <w:r>
              <w:rPr>
                <w:bCs/>
              </w:rPr>
              <w:t>废气</w:t>
            </w:r>
          </w:p>
        </w:tc>
        <w:tc>
          <w:tcPr>
            <w:tcW w:w="1026" w:type="pct"/>
            <w:shd w:val="clear" w:color="auto" w:fill="auto"/>
            <w:vAlign w:val="center"/>
          </w:tcPr>
          <w:p w14:paraId="6C24E1E1">
            <w:pPr>
              <w:pStyle w:val="62"/>
              <w:rPr>
                <w:bCs/>
              </w:rPr>
            </w:pPr>
            <w:r>
              <w:rPr>
                <w:bCs/>
              </w:rPr>
              <w:t>非甲烷总烃</w:t>
            </w:r>
          </w:p>
        </w:tc>
        <w:tc>
          <w:tcPr>
            <w:tcW w:w="855" w:type="pct"/>
            <w:shd w:val="clear" w:color="auto" w:fill="auto"/>
            <w:vAlign w:val="center"/>
          </w:tcPr>
          <w:p w14:paraId="5DFA638E">
            <w:pPr>
              <w:pStyle w:val="62"/>
              <w:rPr>
                <w:bCs/>
                <w:u w:val="single"/>
              </w:rPr>
            </w:pPr>
            <w:r>
              <w:rPr>
                <w:rFonts w:hint="eastAsia"/>
                <w:bCs/>
                <w:u w:val="single"/>
              </w:rPr>
              <w:t>7.8</w:t>
            </w:r>
          </w:p>
        </w:tc>
        <w:tc>
          <w:tcPr>
            <w:tcW w:w="860" w:type="pct"/>
            <w:shd w:val="clear" w:color="auto" w:fill="auto"/>
            <w:vAlign w:val="center"/>
          </w:tcPr>
          <w:p w14:paraId="69CA314D">
            <w:pPr>
              <w:pStyle w:val="62"/>
              <w:rPr>
                <w:bCs/>
                <w:u w:val="single"/>
              </w:rPr>
            </w:pPr>
            <w:r>
              <w:rPr>
                <w:rFonts w:hint="eastAsia"/>
                <w:bCs/>
                <w:u w:val="single"/>
              </w:rPr>
              <w:t>7.722</w:t>
            </w:r>
          </w:p>
        </w:tc>
        <w:tc>
          <w:tcPr>
            <w:tcW w:w="825" w:type="pct"/>
            <w:shd w:val="clear" w:color="auto" w:fill="auto"/>
            <w:vAlign w:val="center"/>
          </w:tcPr>
          <w:p w14:paraId="0CD23456">
            <w:pPr>
              <w:pStyle w:val="62"/>
              <w:rPr>
                <w:bCs/>
                <w:u w:val="single"/>
              </w:rPr>
            </w:pPr>
            <w:r>
              <w:rPr>
                <w:rFonts w:hint="eastAsia"/>
                <w:bCs/>
                <w:u w:val="single"/>
              </w:rPr>
              <w:t>0.078</w:t>
            </w:r>
          </w:p>
        </w:tc>
        <w:tc>
          <w:tcPr>
            <w:tcW w:w="1013" w:type="pct"/>
            <w:vAlign w:val="center"/>
          </w:tcPr>
          <w:p w14:paraId="772E8727">
            <w:pPr>
              <w:pStyle w:val="62"/>
              <w:rPr>
                <w:bCs/>
              </w:rPr>
            </w:pPr>
            <w:r>
              <w:rPr>
                <w:bCs/>
              </w:rPr>
              <w:t>/</w:t>
            </w:r>
          </w:p>
        </w:tc>
      </w:tr>
      <w:tr w14:paraId="58063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62DD6931">
            <w:pPr>
              <w:pStyle w:val="62"/>
              <w:rPr>
                <w:bCs/>
              </w:rPr>
            </w:pPr>
          </w:p>
        </w:tc>
        <w:tc>
          <w:tcPr>
            <w:tcW w:w="1026" w:type="pct"/>
            <w:shd w:val="clear" w:color="auto" w:fill="auto"/>
            <w:vAlign w:val="center"/>
          </w:tcPr>
          <w:p w14:paraId="631962DA">
            <w:pPr>
              <w:pStyle w:val="62"/>
              <w:rPr>
                <w:bCs/>
              </w:rPr>
            </w:pPr>
            <w:r>
              <w:rPr>
                <w:bCs/>
              </w:rPr>
              <w:t>硫酸雾</w:t>
            </w:r>
          </w:p>
        </w:tc>
        <w:tc>
          <w:tcPr>
            <w:tcW w:w="855" w:type="pct"/>
            <w:shd w:val="clear" w:color="auto" w:fill="auto"/>
            <w:vAlign w:val="center"/>
          </w:tcPr>
          <w:p w14:paraId="5FF22E2B">
            <w:pPr>
              <w:pStyle w:val="62"/>
              <w:rPr>
                <w:bCs/>
                <w:u w:val="single"/>
              </w:rPr>
            </w:pPr>
            <w:r>
              <w:rPr>
                <w:bCs/>
                <w:u w:val="single"/>
              </w:rPr>
              <w:t>0.</w:t>
            </w:r>
            <w:r>
              <w:rPr>
                <w:rFonts w:hint="eastAsia"/>
                <w:bCs/>
                <w:u w:val="single"/>
              </w:rPr>
              <w:t>19</w:t>
            </w:r>
            <w:r>
              <w:rPr>
                <w:bCs/>
                <w:u w:val="single"/>
              </w:rPr>
              <w:t>5</w:t>
            </w:r>
          </w:p>
        </w:tc>
        <w:tc>
          <w:tcPr>
            <w:tcW w:w="860" w:type="pct"/>
            <w:shd w:val="clear" w:color="auto" w:fill="auto"/>
            <w:vAlign w:val="center"/>
          </w:tcPr>
          <w:p w14:paraId="68E213D1">
            <w:pPr>
              <w:pStyle w:val="62"/>
              <w:rPr>
                <w:bCs/>
                <w:u w:val="single"/>
              </w:rPr>
            </w:pPr>
            <w:r>
              <w:rPr>
                <w:rFonts w:hint="eastAsia"/>
                <w:bCs/>
                <w:u w:val="single"/>
              </w:rPr>
              <w:t>0.1755</w:t>
            </w:r>
          </w:p>
        </w:tc>
        <w:tc>
          <w:tcPr>
            <w:tcW w:w="825" w:type="pct"/>
            <w:shd w:val="clear" w:color="auto" w:fill="auto"/>
            <w:vAlign w:val="center"/>
          </w:tcPr>
          <w:p w14:paraId="441F1DDB">
            <w:pPr>
              <w:pStyle w:val="62"/>
              <w:rPr>
                <w:bCs/>
                <w:u w:val="single"/>
              </w:rPr>
            </w:pPr>
            <w:r>
              <w:rPr>
                <w:rFonts w:hint="eastAsia"/>
                <w:bCs/>
                <w:u w:val="single"/>
              </w:rPr>
              <w:t>0.0195</w:t>
            </w:r>
          </w:p>
        </w:tc>
        <w:tc>
          <w:tcPr>
            <w:tcW w:w="1013" w:type="pct"/>
            <w:vAlign w:val="center"/>
          </w:tcPr>
          <w:p w14:paraId="78C927BB">
            <w:pPr>
              <w:pStyle w:val="62"/>
              <w:rPr>
                <w:bCs/>
              </w:rPr>
            </w:pPr>
            <w:r>
              <w:rPr>
                <w:bCs/>
              </w:rPr>
              <w:t>/</w:t>
            </w:r>
          </w:p>
        </w:tc>
      </w:tr>
      <w:tr w14:paraId="5A43E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011C1784">
            <w:pPr>
              <w:pStyle w:val="62"/>
              <w:rPr>
                <w:bCs/>
              </w:rPr>
            </w:pPr>
          </w:p>
        </w:tc>
        <w:tc>
          <w:tcPr>
            <w:tcW w:w="1026" w:type="pct"/>
            <w:shd w:val="clear" w:color="auto" w:fill="auto"/>
            <w:vAlign w:val="center"/>
          </w:tcPr>
          <w:p w14:paraId="2DBEDF32">
            <w:pPr>
              <w:pStyle w:val="62"/>
              <w:rPr>
                <w:bCs/>
                <w:highlight w:val="yellow"/>
              </w:rPr>
            </w:pPr>
            <w:r>
              <w:rPr>
                <w:bCs/>
              </w:rPr>
              <w:t>颗粒物</w:t>
            </w:r>
          </w:p>
        </w:tc>
        <w:tc>
          <w:tcPr>
            <w:tcW w:w="855" w:type="pct"/>
            <w:shd w:val="clear" w:color="auto" w:fill="auto"/>
            <w:vAlign w:val="center"/>
          </w:tcPr>
          <w:p w14:paraId="0E855C82">
            <w:pPr>
              <w:pStyle w:val="62"/>
              <w:rPr>
                <w:bCs/>
              </w:rPr>
            </w:pPr>
            <w:r>
              <w:rPr>
                <w:rFonts w:hint="eastAsia"/>
                <w:bCs/>
              </w:rPr>
              <w:t>12</w:t>
            </w:r>
          </w:p>
        </w:tc>
        <w:tc>
          <w:tcPr>
            <w:tcW w:w="860" w:type="pct"/>
            <w:shd w:val="clear" w:color="auto" w:fill="auto"/>
            <w:vAlign w:val="center"/>
          </w:tcPr>
          <w:p w14:paraId="2D3A8FF4">
            <w:pPr>
              <w:pStyle w:val="62"/>
              <w:rPr>
                <w:bCs/>
              </w:rPr>
            </w:pPr>
            <w:r>
              <w:rPr>
                <w:rFonts w:hint="eastAsia"/>
                <w:bCs/>
              </w:rPr>
              <w:t>11.88</w:t>
            </w:r>
          </w:p>
        </w:tc>
        <w:tc>
          <w:tcPr>
            <w:tcW w:w="825" w:type="pct"/>
            <w:shd w:val="clear" w:color="auto" w:fill="auto"/>
            <w:vAlign w:val="center"/>
          </w:tcPr>
          <w:p w14:paraId="3AB13F9F">
            <w:pPr>
              <w:pStyle w:val="62"/>
              <w:rPr>
                <w:bCs/>
              </w:rPr>
            </w:pPr>
            <w:r>
              <w:rPr>
                <w:rFonts w:hint="eastAsia"/>
                <w:bCs/>
              </w:rPr>
              <w:t>0.12</w:t>
            </w:r>
          </w:p>
        </w:tc>
        <w:tc>
          <w:tcPr>
            <w:tcW w:w="1013" w:type="pct"/>
            <w:vAlign w:val="center"/>
          </w:tcPr>
          <w:p w14:paraId="3CE28CE4">
            <w:pPr>
              <w:pStyle w:val="62"/>
              <w:rPr>
                <w:bCs/>
                <w:highlight w:val="yellow"/>
              </w:rPr>
            </w:pPr>
            <w:r>
              <w:rPr>
                <w:bCs/>
              </w:rPr>
              <w:t>/</w:t>
            </w:r>
          </w:p>
        </w:tc>
      </w:tr>
      <w:tr w14:paraId="32983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restart"/>
            <w:shd w:val="clear" w:color="auto" w:fill="auto"/>
            <w:vAlign w:val="center"/>
          </w:tcPr>
          <w:p w14:paraId="7AC0DE43">
            <w:pPr>
              <w:pStyle w:val="62"/>
              <w:rPr>
                <w:bCs/>
              </w:rPr>
            </w:pPr>
            <w:r>
              <w:rPr>
                <w:bCs/>
              </w:rPr>
              <w:t>固废</w:t>
            </w:r>
          </w:p>
        </w:tc>
        <w:tc>
          <w:tcPr>
            <w:tcW w:w="1026" w:type="pct"/>
            <w:shd w:val="clear" w:color="auto" w:fill="auto"/>
            <w:vAlign w:val="center"/>
          </w:tcPr>
          <w:p w14:paraId="541BA7A0">
            <w:pPr>
              <w:pStyle w:val="62"/>
              <w:rPr>
                <w:bCs/>
              </w:rPr>
            </w:pPr>
            <w:r>
              <w:rPr>
                <w:bCs/>
              </w:rPr>
              <w:t>一般固废</w:t>
            </w:r>
          </w:p>
        </w:tc>
        <w:tc>
          <w:tcPr>
            <w:tcW w:w="855" w:type="pct"/>
            <w:shd w:val="clear" w:color="auto" w:fill="auto"/>
            <w:vAlign w:val="center"/>
          </w:tcPr>
          <w:p w14:paraId="43FA858F">
            <w:pPr>
              <w:pStyle w:val="62"/>
              <w:rPr>
                <w:bCs/>
                <w:u w:val="single"/>
              </w:rPr>
            </w:pPr>
            <w:r>
              <w:rPr>
                <w:bCs/>
                <w:u w:val="single"/>
              </w:rPr>
              <w:t>1.6</w:t>
            </w:r>
          </w:p>
        </w:tc>
        <w:tc>
          <w:tcPr>
            <w:tcW w:w="860" w:type="pct"/>
            <w:shd w:val="clear" w:color="auto" w:fill="auto"/>
            <w:vAlign w:val="center"/>
          </w:tcPr>
          <w:p w14:paraId="7CE29005">
            <w:pPr>
              <w:pStyle w:val="62"/>
              <w:rPr>
                <w:bCs/>
                <w:u w:val="single"/>
              </w:rPr>
            </w:pPr>
            <w:r>
              <w:rPr>
                <w:bCs/>
                <w:u w:val="single"/>
              </w:rPr>
              <w:t>1.6</w:t>
            </w:r>
          </w:p>
        </w:tc>
        <w:tc>
          <w:tcPr>
            <w:tcW w:w="825" w:type="pct"/>
            <w:shd w:val="clear" w:color="auto" w:fill="auto"/>
            <w:vAlign w:val="center"/>
          </w:tcPr>
          <w:p w14:paraId="1ABBFE30">
            <w:pPr>
              <w:pStyle w:val="62"/>
              <w:rPr>
                <w:bCs/>
                <w:u w:val="single"/>
              </w:rPr>
            </w:pPr>
            <w:r>
              <w:rPr>
                <w:bCs/>
                <w:u w:val="single"/>
              </w:rPr>
              <w:t>0</w:t>
            </w:r>
          </w:p>
        </w:tc>
        <w:tc>
          <w:tcPr>
            <w:tcW w:w="1013" w:type="pct"/>
            <w:vAlign w:val="center"/>
          </w:tcPr>
          <w:p w14:paraId="39134058">
            <w:pPr>
              <w:pStyle w:val="62"/>
              <w:rPr>
                <w:bCs/>
              </w:rPr>
            </w:pPr>
            <w:r>
              <w:rPr>
                <w:bCs/>
              </w:rPr>
              <w:t>/</w:t>
            </w:r>
          </w:p>
        </w:tc>
      </w:tr>
      <w:tr w14:paraId="7BBD3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vMerge w:val="continue"/>
            <w:shd w:val="clear" w:color="auto" w:fill="auto"/>
            <w:vAlign w:val="center"/>
          </w:tcPr>
          <w:p w14:paraId="15D04D55">
            <w:pPr>
              <w:pStyle w:val="62"/>
              <w:rPr>
                <w:bCs/>
                <w:highlight w:val="yellow"/>
              </w:rPr>
            </w:pPr>
          </w:p>
        </w:tc>
        <w:tc>
          <w:tcPr>
            <w:tcW w:w="1026" w:type="pct"/>
            <w:shd w:val="clear" w:color="auto" w:fill="auto"/>
            <w:vAlign w:val="center"/>
          </w:tcPr>
          <w:p w14:paraId="73337C29">
            <w:pPr>
              <w:pStyle w:val="62"/>
              <w:rPr>
                <w:bCs/>
              </w:rPr>
            </w:pPr>
            <w:r>
              <w:rPr>
                <w:bCs/>
              </w:rPr>
              <w:t>危险废物</w:t>
            </w:r>
          </w:p>
        </w:tc>
        <w:tc>
          <w:tcPr>
            <w:tcW w:w="855" w:type="pct"/>
            <w:shd w:val="clear" w:color="auto" w:fill="auto"/>
            <w:vAlign w:val="center"/>
          </w:tcPr>
          <w:p w14:paraId="192F1946">
            <w:pPr>
              <w:pStyle w:val="62"/>
              <w:rPr>
                <w:bCs/>
              </w:rPr>
            </w:pPr>
            <w:r>
              <w:rPr>
                <w:rFonts w:hint="eastAsia"/>
                <w:bCs/>
                <w:u w:val="single"/>
              </w:rPr>
              <w:t>97.215</w:t>
            </w:r>
          </w:p>
        </w:tc>
        <w:tc>
          <w:tcPr>
            <w:tcW w:w="860" w:type="pct"/>
            <w:shd w:val="clear" w:color="auto" w:fill="auto"/>
            <w:vAlign w:val="center"/>
          </w:tcPr>
          <w:p w14:paraId="3EE946F4">
            <w:pPr>
              <w:pStyle w:val="62"/>
              <w:rPr>
                <w:bCs/>
              </w:rPr>
            </w:pPr>
            <w:r>
              <w:rPr>
                <w:rFonts w:hint="eastAsia"/>
                <w:bCs/>
                <w:u w:val="single"/>
              </w:rPr>
              <w:t>97.215</w:t>
            </w:r>
          </w:p>
        </w:tc>
        <w:tc>
          <w:tcPr>
            <w:tcW w:w="825" w:type="pct"/>
            <w:shd w:val="clear" w:color="auto" w:fill="auto"/>
            <w:vAlign w:val="center"/>
          </w:tcPr>
          <w:p w14:paraId="1653E525">
            <w:pPr>
              <w:pStyle w:val="62"/>
              <w:rPr>
                <w:bCs/>
              </w:rPr>
            </w:pPr>
            <w:r>
              <w:rPr>
                <w:bCs/>
              </w:rPr>
              <w:t>0</w:t>
            </w:r>
          </w:p>
        </w:tc>
        <w:tc>
          <w:tcPr>
            <w:tcW w:w="1013" w:type="pct"/>
            <w:vAlign w:val="center"/>
          </w:tcPr>
          <w:p w14:paraId="2B8A8280">
            <w:pPr>
              <w:pStyle w:val="62"/>
              <w:rPr>
                <w:bCs/>
              </w:rPr>
            </w:pPr>
            <w:r>
              <w:rPr>
                <w:bCs/>
              </w:rPr>
              <w:t>/</w:t>
            </w:r>
          </w:p>
        </w:tc>
      </w:tr>
    </w:tbl>
    <w:p w14:paraId="23017D9B">
      <w:pPr>
        <w:ind w:firstLine="482"/>
        <w:rPr>
          <w:b/>
          <w:bCs/>
          <w:highlight w:val="yellow"/>
          <w:u w:val="single"/>
        </w:rPr>
      </w:pPr>
    </w:p>
    <w:p w14:paraId="1D3EF46C">
      <w:pPr>
        <w:pStyle w:val="5"/>
        <w:spacing w:before="240" w:after="240"/>
      </w:pPr>
      <w:r>
        <w:t>工程污染物排放总量控制建议指标</w:t>
      </w:r>
      <w:bookmarkEnd w:id="412"/>
    </w:p>
    <w:p w14:paraId="18ADE5BE">
      <w:pPr>
        <w:ind w:firstLine="480"/>
        <w:rPr>
          <w:szCs w:val="24"/>
        </w:rPr>
      </w:pPr>
      <w:r>
        <w:rPr>
          <w:szCs w:val="24"/>
        </w:rPr>
        <w:t>本次工程污染物排放总量如下。</w:t>
      </w:r>
    </w:p>
    <w:p w14:paraId="6B432BE4">
      <w:pPr>
        <w:ind w:firstLine="480"/>
      </w:pPr>
      <w:r>
        <w:rPr>
          <w:rFonts w:hint="eastAsia"/>
          <w:u w:val="single"/>
        </w:rPr>
        <w:t>废水污染物：出厂量：</w:t>
      </w:r>
      <w:r>
        <w:rPr>
          <w:u w:val="single"/>
        </w:rPr>
        <w:t>COD 0.</w:t>
      </w:r>
      <w:r>
        <w:rPr>
          <w:rFonts w:hint="eastAsia"/>
          <w:u w:val="single"/>
        </w:rPr>
        <w:t>4604</w:t>
      </w:r>
      <w:r>
        <w:rPr>
          <w:u w:val="single"/>
        </w:rPr>
        <w:t>t/a、NH</w:t>
      </w:r>
      <w:r>
        <w:rPr>
          <w:u w:val="single"/>
          <w:vertAlign w:val="subscript"/>
        </w:rPr>
        <w:t>3</w:t>
      </w:r>
      <w:r>
        <w:rPr>
          <w:u w:val="single"/>
        </w:rPr>
        <w:t>-N 0.0</w:t>
      </w:r>
      <w:r>
        <w:rPr>
          <w:rFonts w:hint="eastAsia"/>
          <w:u w:val="single"/>
        </w:rPr>
        <w:t>072</w:t>
      </w:r>
      <w:r>
        <w:rPr>
          <w:u w:val="single"/>
        </w:rPr>
        <w:t>t/a、TN 0.0</w:t>
      </w:r>
      <w:r>
        <w:rPr>
          <w:rFonts w:hint="eastAsia"/>
          <w:u w:val="single"/>
        </w:rPr>
        <w:t>132</w:t>
      </w:r>
      <w:r>
        <w:rPr>
          <w:u w:val="single"/>
        </w:rPr>
        <w:t>t/a、TP 0.0</w:t>
      </w:r>
      <w:r>
        <w:rPr>
          <w:rFonts w:hint="eastAsia"/>
          <w:u w:val="single"/>
        </w:rPr>
        <w:t>009</w:t>
      </w:r>
      <w:r>
        <w:rPr>
          <w:u w:val="single"/>
        </w:rPr>
        <w:t>t/a</w:t>
      </w:r>
      <w:r>
        <w:rPr>
          <w:rFonts w:hint="eastAsia"/>
          <w:u w:val="single"/>
        </w:rPr>
        <w:t>；</w:t>
      </w:r>
    </w:p>
    <w:p w14:paraId="5E9332CE">
      <w:pPr>
        <w:ind w:firstLine="480"/>
      </w:pPr>
      <w:r>
        <w:rPr>
          <w:rFonts w:hint="eastAsia"/>
          <w:u w:val="single"/>
        </w:rPr>
        <w:t>排入环境量：</w:t>
      </w:r>
      <w:r>
        <w:rPr>
          <w:u w:val="single"/>
        </w:rPr>
        <w:t>COD 0.</w:t>
      </w:r>
      <w:r>
        <w:rPr>
          <w:rFonts w:hint="eastAsia"/>
          <w:u w:val="single"/>
        </w:rPr>
        <w:t>0877</w:t>
      </w:r>
      <w:r>
        <w:rPr>
          <w:u w:val="single"/>
        </w:rPr>
        <w:t>t/a、氨氮0.0</w:t>
      </w:r>
      <w:r>
        <w:rPr>
          <w:rFonts w:hint="eastAsia"/>
          <w:u w:val="single"/>
        </w:rPr>
        <w:t>044</w:t>
      </w:r>
      <w:r>
        <w:rPr>
          <w:u w:val="single"/>
        </w:rPr>
        <w:t>t/a、</w:t>
      </w:r>
      <w:r>
        <w:rPr>
          <w:rFonts w:hint="eastAsia"/>
          <w:u w:val="single"/>
        </w:rPr>
        <w:t>总磷0.0009t/a、总氮0.0132t/a</w:t>
      </w:r>
      <w:r>
        <w:rPr>
          <w:rFonts w:hint="eastAsia"/>
        </w:rPr>
        <w:t>；</w:t>
      </w:r>
    </w:p>
    <w:p w14:paraId="5010F69B">
      <w:pPr>
        <w:pStyle w:val="2"/>
        <w:spacing w:after="0"/>
        <w:ind w:firstLine="480"/>
      </w:pPr>
      <w:r>
        <w:rPr>
          <w:rFonts w:hint="eastAsia"/>
          <w:u w:val="single"/>
        </w:rPr>
        <w:t>废气污染物：颗粒物</w:t>
      </w:r>
      <w:r>
        <w:rPr>
          <w:u w:val="single"/>
        </w:rPr>
        <w:t>0.</w:t>
      </w:r>
      <w:r>
        <w:rPr>
          <w:rFonts w:hint="eastAsia"/>
          <w:u w:val="single"/>
        </w:rPr>
        <w:t>12</w:t>
      </w:r>
      <w:r>
        <w:rPr>
          <w:u w:val="single"/>
        </w:rPr>
        <w:t>t/a</w:t>
      </w:r>
      <w:r>
        <w:rPr>
          <w:rFonts w:hint="eastAsia"/>
          <w:u w:val="single"/>
        </w:rPr>
        <w:t>、非甲烷总烃0.078t/a、硫酸雾0.0195t/a</w:t>
      </w:r>
      <w:r>
        <w:rPr>
          <w:rFonts w:hint="eastAsia"/>
        </w:rPr>
        <w:t>。</w:t>
      </w:r>
    </w:p>
    <w:p w14:paraId="28BFD32B">
      <w:pPr>
        <w:pStyle w:val="2"/>
        <w:spacing w:after="0"/>
        <w:ind w:firstLine="480"/>
        <w:rPr>
          <w:szCs w:val="24"/>
          <w:highlight w:val="yellow"/>
          <w:u w:val="single"/>
        </w:rPr>
      </w:pPr>
      <w:r>
        <w:rPr>
          <w:u w:val="single"/>
        </w:rPr>
        <w:t>本项目新增重点污染物排放量为COD 0.</w:t>
      </w:r>
      <w:r>
        <w:rPr>
          <w:rFonts w:hint="eastAsia"/>
          <w:u w:val="single"/>
        </w:rPr>
        <w:t>0877</w:t>
      </w:r>
      <w:r>
        <w:rPr>
          <w:u w:val="single"/>
        </w:rPr>
        <w:t>t/a、氨氮0.0</w:t>
      </w:r>
      <w:r>
        <w:rPr>
          <w:rFonts w:hint="eastAsia"/>
          <w:u w:val="single"/>
        </w:rPr>
        <w:t>044</w:t>
      </w:r>
      <w:r>
        <w:rPr>
          <w:u w:val="single"/>
        </w:rPr>
        <w:t>t/a</w:t>
      </w:r>
      <w:r>
        <w:rPr>
          <w:rFonts w:hint="eastAsia"/>
          <w:u w:val="single"/>
        </w:rPr>
        <w:t>、颗粒物</w:t>
      </w:r>
      <w:r>
        <w:rPr>
          <w:u w:val="single"/>
        </w:rPr>
        <w:t>0.</w:t>
      </w:r>
      <w:r>
        <w:rPr>
          <w:rFonts w:hint="eastAsia"/>
          <w:u w:val="single"/>
        </w:rPr>
        <w:t>12</w:t>
      </w:r>
      <w:r>
        <w:rPr>
          <w:u w:val="single"/>
        </w:rPr>
        <w:t>t/a</w:t>
      </w:r>
      <w:r>
        <w:rPr>
          <w:rFonts w:hint="eastAsia"/>
          <w:u w:val="single"/>
        </w:rPr>
        <w:t>、非甲烷总烃0.078t/a</w:t>
      </w:r>
      <w:r>
        <w:rPr>
          <w:u w:val="single"/>
        </w:rPr>
        <w:t>。本项目建成后全厂重点污染物排放量为COD 0.</w:t>
      </w:r>
      <w:r>
        <w:rPr>
          <w:rFonts w:hint="eastAsia"/>
          <w:u w:val="single"/>
        </w:rPr>
        <w:t>0877</w:t>
      </w:r>
      <w:r>
        <w:rPr>
          <w:u w:val="single"/>
        </w:rPr>
        <w:t>t/a、氨氮0.0</w:t>
      </w:r>
      <w:r>
        <w:rPr>
          <w:rFonts w:hint="eastAsia"/>
          <w:u w:val="single"/>
        </w:rPr>
        <w:t>044</w:t>
      </w:r>
      <w:r>
        <w:rPr>
          <w:u w:val="single"/>
        </w:rPr>
        <w:t>t/a、</w:t>
      </w:r>
      <w:r>
        <w:rPr>
          <w:rFonts w:hint="eastAsia"/>
          <w:u w:val="single"/>
        </w:rPr>
        <w:t>颗粒物</w:t>
      </w:r>
      <w:r>
        <w:rPr>
          <w:u w:val="single"/>
        </w:rPr>
        <w:t>0.</w:t>
      </w:r>
      <w:r>
        <w:rPr>
          <w:rFonts w:hint="eastAsia"/>
          <w:u w:val="single"/>
        </w:rPr>
        <w:t>12</w:t>
      </w:r>
      <w:r>
        <w:rPr>
          <w:u w:val="single"/>
        </w:rPr>
        <w:t>t/a</w:t>
      </w:r>
      <w:r>
        <w:rPr>
          <w:rFonts w:hint="eastAsia"/>
          <w:u w:val="single"/>
        </w:rPr>
        <w:t>、非甲烷总烃0.078t/a</w:t>
      </w:r>
      <w:r>
        <w:rPr>
          <w:u w:val="single"/>
        </w:rPr>
        <w:t>。</w:t>
      </w:r>
    </w:p>
    <w:p w14:paraId="41F02075">
      <w:pPr>
        <w:ind w:firstLine="480"/>
        <w:rPr>
          <w:highlight w:val="yellow"/>
        </w:rPr>
        <w:sectPr>
          <w:pgSz w:w="11907" w:h="16840"/>
          <w:pgMar w:top="1440" w:right="1797" w:bottom="1440" w:left="1797" w:header="907" w:footer="907" w:gutter="0"/>
          <w:cols w:space="425" w:num="1"/>
          <w:docGrid w:linePitch="380" w:charSpace="0"/>
        </w:sectPr>
      </w:pPr>
      <w:r>
        <w:rPr>
          <w:rFonts w:hint="eastAsia"/>
          <w:u w:val="single"/>
        </w:rPr>
        <w:t>本项目大气污染物需倍量替代，所需替代量为颗粒物0.24t/a、非甲烷总烃0.156t/a；水污染物需单倍替代，所需替代量为</w:t>
      </w:r>
      <w:r>
        <w:rPr>
          <w:u w:val="single"/>
        </w:rPr>
        <w:t>COD 0.</w:t>
      </w:r>
      <w:r>
        <w:rPr>
          <w:rFonts w:hint="eastAsia"/>
          <w:u w:val="single"/>
        </w:rPr>
        <w:t>0877</w:t>
      </w:r>
      <w:r>
        <w:rPr>
          <w:u w:val="single"/>
        </w:rPr>
        <w:t>t/a、氨氮0.0</w:t>
      </w:r>
      <w:r>
        <w:rPr>
          <w:rFonts w:hint="eastAsia"/>
          <w:u w:val="single"/>
        </w:rPr>
        <w:t>044</w:t>
      </w:r>
      <w:r>
        <w:rPr>
          <w:u w:val="single"/>
        </w:rPr>
        <w:t>t/a</w:t>
      </w:r>
      <w:r>
        <w:rPr>
          <w:rFonts w:hint="eastAsia"/>
        </w:rPr>
        <w:t>。</w:t>
      </w:r>
      <w:r>
        <w:rPr>
          <w:rFonts w:hint="eastAsia"/>
          <w:u w:val="single"/>
        </w:rPr>
        <w:t>其中COD、</w:t>
      </w:r>
      <w:r>
        <w:rPr>
          <w:u w:val="single"/>
        </w:rPr>
        <w:t>氨氮</w:t>
      </w:r>
      <w:r>
        <w:rPr>
          <w:rFonts w:hint="eastAsia"/>
          <w:u w:val="single"/>
        </w:rPr>
        <w:t>总量替代来自倒闭的卫辉市凌峰特种纸有限公司减排量剩余量COD 11.2843t、氨氮0.32422t。颗粒物来自河南世纪新峰水泥有限公司无组织排放治理剩余的48.1594吨；VOCs来自卫辉市鑫虎家具厂关停剩余的0.3344吨。</w:t>
      </w:r>
    </w:p>
    <w:p w14:paraId="1D3EF46F">
      <w:pPr>
        <w:pStyle w:val="4"/>
      </w:pPr>
      <w:bookmarkStart w:id="413" w:name="_Toc489346020"/>
      <w:bookmarkStart w:id="414" w:name="_Toc176105899"/>
      <w:r>
        <w:t>排污口</w:t>
      </w:r>
      <w:bookmarkEnd w:id="413"/>
      <w:r>
        <w:rPr>
          <w:rFonts w:hint="eastAsia"/>
        </w:rPr>
        <w:t>规范化设置</w:t>
      </w:r>
      <w:bookmarkEnd w:id="414"/>
    </w:p>
    <w:p w14:paraId="3E2B3CB5">
      <w:pPr>
        <w:ind w:firstLine="480"/>
      </w:pPr>
      <w:r>
        <w:rPr>
          <w:rFonts w:hint="eastAsia"/>
        </w:rPr>
        <w:t>根据《国家环境保护总局关于开展排放口规范化整治工作的通知》（环发[1999]24号）中相关规定，排放口规范化整治是实施污染物总量控制计划的基础性工作之一，目的是为了促进排污单位加强经营管理和污染治理；环境管理部门加大执法力度，更好地履行“三查、二调、一收费”的职责，逐步实现污染物排放的科学化、定量化管理。排污口应符合“一明显、二合理、三便于”的要求，即环保标志明显，排污口设置合理排污去向合理，便于采集样品、便于监测计量、便于公众监督管理；并按照《环境保护图形标志》（GB15562.1-1995、GB15562.2-1995）的规定，对各排污口设立相应的标志牌。</w:t>
      </w:r>
    </w:p>
    <w:p w14:paraId="4BE0F2C5">
      <w:pPr>
        <w:pStyle w:val="2"/>
        <w:spacing w:after="0"/>
        <w:ind w:firstLine="480"/>
      </w:pPr>
      <w:r>
        <w:rPr>
          <w:rFonts w:hint="eastAsia"/>
        </w:rPr>
        <w:t>1、废水排放口要求</w:t>
      </w:r>
    </w:p>
    <w:p w14:paraId="0FCE546C">
      <w:pPr>
        <w:pStyle w:val="2"/>
        <w:spacing w:after="0"/>
        <w:ind w:firstLine="480"/>
      </w:pPr>
      <w:r>
        <w:rPr>
          <w:rFonts w:hint="eastAsia"/>
        </w:rPr>
        <w:t>应在企业辖区边界内污水排放口设置采样口。排污口和采样点处水深一般情况下应&lt;1.2m，周围应设置既能方便采样，又能保障人员安全的护栏等设施；排污口和采样点处水深≥1.2m的，应设置水深警告标志，并强化安全防护设施设置。若排污管有压力，则应安装采样阀。废水排污口安装三角堰、矩形堰等测流装置或其它污水流量计量装置。</w:t>
      </w:r>
    </w:p>
    <w:p w14:paraId="79897970">
      <w:pPr>
        <w:pStyle w:val="2"/>
        <w:spacing w:after="0"/>
        <w:ind w:firstLine="480"/>
      </w:pPr>
      <w:r>
        <w:rPr>
          <w:rFonts w:hint="eastAsia"/>
        </w:rPr>
        <w:t>2、废气排放口要求</w:t>
      </w:r>
    </w:p>
    <w:p w14:paraId="2A04C576">
      <w:pPr>
        <w:pStyle w:val="2"/>
        <w:spacing w:after="0"/>
        <w:ind w:firstLine="480"/>
      </w:pPr>
      <w:r>
        <w:rPr>
          <w:rFonts w:hint="eastAsia"/>
        </w:rPr>
        <w:t>本项目各废气处理设施的进气口、排气筒排气口均应设置便于采样、监测的采样口和监测平台，设置直径不小于40mm的采样口。</w:t>
      </w:r>
    </w:p>
    <w:p w14:paraId="1417F871">
      <w:pPr>
        <w:pStyle w:val="2"/>
        <w:spacing w:after="0"/>
        <w:ind w:firstLine="480"/>
      </w:pPr>
      <w:r>
        <w:rPr>
          <w:rFonts w:hint="eastAsia"/>
        </w:rPr>
        <w:t>3、固定噪声排放源</w:t>
      </w:r>
    </w:p>
    <w:p w14:paraId="76A2BFD8">
      <w:pPr>
        <w:pStyle w:val="2"/>
        <w:spacing w:after="0"/>
        <w:ind w:firstLine="480"/>
      </w:pPr>
      <w:r>
        <w:rPr>
          <w:rFonts w:hint="eastAsia"/>
        </w:rPr>
        <w:t>按规定对固定噪声进行治理，并在边界噪声敏感点、且对外界影响最大处设置标志牌。</w:t>
      </w:r>
    </w:p>
    <w:p w14:paraId="5CA6B588">
      <w:pPr>
        <w:pStyle w:val="2"/>
        <w:spacing w:after="0"/>
        <w:ind w:firstLine="480"/>
      </w:pPr>
      <w:r>
        <w:rPr>
          <w:rFonts w:hint="eastAsia"/>
        </w:rPr>
        <w:t>4、固体废物储存场</w:t>
      </w:r>
    </w:p>
    <w:p w14:paraId="028F0A30">
      <w:pPr>
        <w:pStyle w:val="2"/>
        <w:spacing w:after="0"/>
        <w:ind w:firstLine="480"/>
      </w:pPr>
      <w:r>
        <w:rPr>
          <w:rFonts w:hint="eastAsia"/>
        </w:rPr>
        <w:t>一般工业固体废物和危险废物必须设置专用堆放场所，有防扬散、防流失、防渗漏等措施，设置环境保护图形标志和警示标志。</w:t>
      </w:r>
    </w:p>
    <w:p w14:paraId="44867681">
      <w:pPr>
        <w:pStyle w:val="2"/>
        <w:spacing w:after="0"/>
        <w:ind w:firstLine="480"/>
      </w:pPr>
      <w:r>
        <w:rPr>
          <w:rFonts w:hint="eastAsia"/>
        </w:rPr>
        <w:t>5、设置标志牌</w:t>
      </w:r>
    </w:p>
    <w:p w14:paraId="757D0D00">
      <w:pPr>
        <w:pStyle w:val="2"/>
        <w:spacing w:after="0"/>
        <w:ind w:firstLine="480"/>
      </w:pPr>
      <w:r>
        <w:rPr>
          <w:rFonts w:hint="eastAsia"/>
        </w:rPr>
        <w:t>环境保护图形标志牌由国家生态环境部统一定点制作，并由环境监理部门根据企业排污情况统一向国家环保部订购。各建设单位排污口分布图由环境监理部门统一绘制。排放一般污染物排污口（源），设置提示式标志牌，排放有毒有害等污染物的排污口设置警告式标志牌。标志牌设置位置在排污口（采样点）附近且醒目处，高度为标志牌上缘离地面2m。排污口附近1m范围内有建筑物的，设平面式标志牌，无建筑物的设立式标志牌。</w:t>
      </w:r>
    </w:p>
    <w:p w14:paraId="5968BD8C">
      <w:pPr>
        <w:pStyle w:val="2"/>
        <w:spacing w:after="0"/>
        <w:ind w:firstLine="480"/>
      </w:pPr>
      <w:r>
        <w:rPr>
          <w:rFonts w:hint="eastAsia"/>
        </w:rPr>
        <w:t>规范化排污口的有关设置（如图形标志牌、计量装置、监控装置等）属环保设施，排污单位必须负责日常的维护保养，任何单位和个人不得擅自拆除，如需变更的需报环境监理部门同意并办理变更手续。</w:t>
      </w:r>
    </w:p>
    <w:p w14:paraId="223C8A23">
      <w:pPr>
        <w:pStyle w:val="2"/>
        <w:spacing w:after="0"/>
        <w:ind w:firstLine="480"/>
      </w:pPr>
      <w:r>
        <w:rPr>
          <w:rFonts w:hint="eastAsia"/>
        </w:rPr>
        <w:t>排放口规范化整治工作由环保行政主管部门统一组织考核验收。</w:t>
      </w:r>
    </w:p>
    <w:p w14:paraId="078C383C">
      <w:pPr>
        <w:pStyle w:val="2"/>
        <w:spacing w:after="0"/>
        <w:ind w:firstLine="480"/>
      </w:pPr>
      <w:r>
        <w:rPr>
          <w:rFonts w:hint="eastAsia"/>
        </w:rPr>
        <w:t>污染物排放口及固体废物处置场所，应按照国家</w:t>
      </w:r>
      <w:r>
        <w:t>《环境保护图形标志－排放口（源）》（GB15562.1-1995）</w:t>
      </w:r>
      <w:r>
        <w:rPr>
          <w:rFonts w:hint="eastAsia"/>
        </w:rPr>
        <w:t>及其修改单</w:t>
      </w:r>
      <w:r>
        <w:t>标准要求，本项目应在废气、废水排放口、固废贮存场所分别设置环境保护图形标志牌，便于污染源监督管理及常规监测工作的进行，具体见</w:t>
      </w:r>
      <w:r>
        <w:rPr>
          <w:rFonts w:hint="eastAsia"/>
        </w:rPr>
        <w:t>下</w:t>
      </w:r>
      <w:r>
        <w:t>表。</w:t>
      </w:r>
    </w:p>
    <w:p w14:paraId="1D3EF471">
      <w:pPr>
        <w:pStyle w:val="64"/>
        <w:numPr>
          <w:ilvl w:val="2"/>
          <w:numId w:val="57"/>
        </w:numPr>
        <w:spacing w:before="0" w:beforeLines="0"/>
        <w:ind w:left="0" w:firstLine="480" w:firstLineChars="200"/>
      </w:pPr>
      <w:r>
        <w:t xml:space="preserve">     </w:t>
      </w:r>
      <w:r>
        <w:rPr>
          <w:rFonts w:hint="eastAsia"/>
        </w:rPr>
        <w:t xml:space="preserve">   </w:t>
      </w:r>
      <w:r>
        <w:t xml:space="preserve"> </w:t>
      </w:r>
      <w:r>
        <w:rPr>
          <w:rFonts w:hint="eastAsia"/>
        </w:rPr>
        <w:t xml:space="preserve"> </w:t>
      </w:r>
      <w:r>
        <w:t xml:space="preserve"> 厂区排污口图形标志一览表</w:t>
      </w:r>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69"/>
        <w:gridCol w:w="1100"/>
        <w:gridCol w:w="1809"/>
        <w:gridCol w:w="1696"/>
        <w:gridCol w:w="1740"/>
        <w:gridCol w:w="1827"/>
      </w:tblGrid>
      <w:tr w14:paraId="1D3EF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restart"/>
            <w:vAlign w:val="center"/>
          </w:tcPr>
          <w:p w14:paraId="1D3EF472">
            <w:pPr>
              <w:pStyle w:val="67"/>
              <w:rPr>
                <w:rFonts w:cs="Times New Roman"/>
                <w:color w:val="auto"/>
              </w:rPr>
            </w:pPr>
            <w:r>
              <w:rPr>
                <w:rFonts w:cs="Times New Roman"/>
                <w:color w:val="auto"/>
              </w:rPr>
              <w:t>序号</w:t>
            </w:r>
          </w:p>
        </w:tc>
        <w:tc>
          <w:tcPr>
            <w:tcW w:w="1100" w:type="dxa"/>
            <w:vMerge w:val="restart"/>
            <w:vAlign w:val="center"/>
          </w:tcPr>
          <w:p w14:paraId="1D3EF473">
            <w:pPr>
              <w:pStyle w:val="67"/>
              <w:rPr>
                <w:rFonts w:cs="Times New Roman"/>
                <w:color w:val="auto"/>
              </w:rPr>
            </w:pPr>
            <w:r>
              <w:rPr>
                <w:rFonts w:cs="Times New Roman"/>
                <w:color w:val="auto"/>
              </w:rPr>
              <w:t>要求</w:t>
            </w:r>
          </w:p>
        </w:tc>
        <w:tc>
          <w:tcPr>
            <w:tcW w:w="7072" w:type="dxa"/>
            <w:gridSpan w:val="4"/>
            <w:vAlign w:val="center"/>
          </w:tcPr>
          <w:p w14:paraId="1D3EF474">
            <w:pPr>
              <w:pStyle w:val="67"/>
              <w:rPr>
                <w:rFonts w:cs="Times New Roman"/>
                <w:color w:val="auto"/>
              </w:rPr>
            </w:pPr>
            <w:r>
              <w:rPr>
                <w:rFonts w:cs="Times New Roman"/>
                <w:color w:val="auto"/>
              </w:rPr>
              <w:t>排放部位</w:t>
            </w:r>
          </w:p>
        </w:tc>
      </w:tr>
      <w:tr w14:paraId="1D3EF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Merge w:val="continue"/>
            <w:vAlign w:val="center"/>
          </w:tcPr>
          <w:p w14:paraId="1D3EF476">
            <w:pPr>
              <w:pStyle w:val="67"/>
              <w:rPr>
                <w:rFonts w:cs="Times New Roman"/>
                <w:color w:val="auto"/>
              </w:rPr>
            </w:pPr>
          </w:p>
        </w:tc>
        <w:tc>
          <w:tcPr>
            <w:tcW w:w="1100" w:type="dxa"/>
            <w:vMerge w:val="continue"/>
            <w:vAlign w:val="center"/>
          </w:tcPr>
          <w:p w14:paraId="1D3EF477">
            <w:pPr>
              <w:pStyle w:val="67"/>
              <w:rPr>
                <w:rFonts w:cs="Times New Roman"/>
                <w:color w:val="auto"/>
              </w:rPr>
            </w:pPr>
          </w:p>
        </w:tc>
        <w:tc>
          <w:tcPr>
            <w:tcW w:w="1809" w:type="dxa"/>
            <w:vAlign w:val="center"/>
          </w:tcPr>
          <w:p w14:paraId="1D3EF478">
            <w:pPr>
              <w:pStyle w:val="67"/>
              <w:rPr>
                <w:rFonts w:cs="Times New Roman"/>
                <w:color w:val="auto"/>
              </w:rPr>
            </w:pPr>
            <w:r>
              <w:rPr>
                <w:rFonts w:cs="Times New Roman"/>
                <w:color w:val="auto"/>
              </w:rPr>
              <w:t>废气排放口</w:t>
            </w:r>
          </w:p>
        </w:tc>
        <w:tc>
          <w:tcPr>
            <w:tcW w:w="1696" w:type="dxa"/>
            <w:vAlign w:val="center"/>
          </w:tcPr>
          <w:p w14:paraId="1D3EF479">
            <w:pPr>
              <w:pStyle w:val="67"/>
              <w:rPr>
                <w:rFonts w:cs="Times New Roman"/>
                <w:color w:val="auto"/>
              </w:rPr>
            </w:pPr>
            <w:r>
              <w:rPr>
                <w:rFonts w:cs="Times New Roman"/>
                <w:color w:val="auto"/>
              </w:rPr>
              <w:t>废水排放口</w:t>
            </w:r>
          </w:p>
        </w:tc>
        <w:tc>
          <w:tcPr>
            <w:tcW w:w="1740" w:type="dxa"/>
            <w:vAlign w:val="center"/>
          </w:tcPr>
          <w:p w14:paraId="1D3EF47A">
            <w:pPr>
              <w:pStyle w:val="67"/>
              <w:rPr>
                <w:rFonts w:cs="Times New Roman"/>
                <w:color w:val="auto"/>
              </w:rPr>
            </w:pPr>
            <w:r>
              <w:rPr>
                <w:rFonts w:cs="Times New Roman"/>
                <w:color w:val="auto"/>
              </w:rPr>
              <w:t>危险废物</w:t>
            </w:r>
          </w:p>
        </w:tc>
        <w:tc>
          <w:tcPr>
            <w:tcW w:w="1827" w:type="dxa"/>
            <w:vAlign w:val="center"/>
          </w:tcPr>
          <w:p w14:paraId="1D3EF47B">
            <w:pPr>
              <w:pStyle w:val="67"/>
              <w:rPr>
                <w:rFonts w:cs="Times New Roman"/>
                <w:color w:val="auto"/>
              </w:rPr>
            </w:pPr>
            <w:r>
              <w:rPr>
                <w:rFonts w:cs="Times New Roman"/>
                <w:color w:val="auto"/>
              </w:rPr>
              <w:t>噪声</w:t>
            </w:r>
          </w:p>
        </w:tc>
      </w:tr>
      <w:tr w14:paraId="1D3EF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Align w:val="center"/>
          </w:tcPr>
          <w:p w14:paraId="1D3EF47D">
            <w:pPr>
              <w:pStyle w:val="62"/>
            </w:pPr>
            <w:r>
              <w:t>1</w:t>
            </w:r>
          </w:p>
        </w:tc>
        <w:tc>
          <w:tcPr>
            <w:tcW w:w="1100" w:type="dxa"/>
            <w:vAlign w:val="center"/>
          </w:tcPr>
          <w:p w14:paraId="1D3EF47E">
            <w:pPr>
              <w:pStyle w:val="62"/>
            </w:pPr>
            <w:r>
              <w:t>图形符号</w:t>
            </w:r>
          </w:p>
        </w:tc>
        <w:tc>
          <w:tcPr>
            <w:tcW w:w="1809" w:type="dxa"/>
            <w:vAlign w:val="center"/>
          </w:tcPr>
          <w:p w14:paraId="1D3EF47F">
            <w:pPr>
              <w:pStyle w:val="62"/>
              <w:rPr>
                <w:sz w:val="20"/>
              </w:rPr>
            </w:pPr>
            <w:r>
              <w:drawing>
                <wp:inline distT="0" distB="0" distL="0" distR="0">
                  <wp:extent cx="1064260" cy="1068070"/>
                  <wp:effectExtent l="0" t="0" r="2540" b="17780"/>
                  <wp:docPr id="2095242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2592" name="图片 1"/>
                          <pic:cNvPicPr>
                            <a:picLocks noChangeAspect="1"/>
                          </pic:cNvPicPr>
                        </pic:nvPicPr>
                        <pic:blipFill>
                          <a:blip r:embed="rId162"/>
                          <a:stretch>
                            <a:fillRect/>
                          </a:stretch>
                        </pic:blipFill>
                        <pic:spPr>
                          <a:xfrm>
                            <a:off x="0" y="0"/>
                            <a:ext cx="1066865" cy="1068070"/>
                          </a:xfrm>
                          <a:prstGeom prst="rect">
                            <a:avLst/>
                          </a:prstGeom>
                        </pic:spPr>
                      </pic:pic>
                    </a:graphicData>
                  </a:graphic>
                </wp:inline>
              </w:drawing>
            </w:r>
          </w:p>
        </w:tc>
        <w:tc>
          <w:tcPr>
            <w:tcW w:w="1696" w:type="dxa"/>
            <w:vAlign w:val="center"/>
          </w:tcPr>
          <w:p w14:paraId="1D3EF480">
            <w:pPr>
              <w:pStyle w:val="62"/>
              <w:rPr>
                <w:sz w:val="20"/>
              </w:rPr>
            </w:pPr>
            <w:r>
              <w:drawing>
                <wp:inline distT="0" distB="0" distL="0" distR="0">
                  <wp:extent cx="1067435" cy="1071880"/>
                  <wp:effectExtent l="0" t="0" r="18415" b="13970"/>
                  <wp:docPr id="413020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20461" name="图片 1"/>
                          <pic:cNvPicPr>
                            <a:picLocks noChangeAspect="1"/>
                          </pic:cNvPicPr>
                        </pic:nvPicPr>
                        <pic:blipFill>
                          <a:blip r:embed="rId163"/>
                          <a:stretch>
                            <a:fillRect/>
                          </a:stretch>
                        </pic:blipFill>
                        <pic:spPr>
                          <a:xfrm>
                            <a:off x="0" y="0"/>
                            <a:ext cx="1067435" cy="1071880"/>
                          </a:xfrm>
                          <a:prstGeom prst="rect">
                            <a:avLst/>
                          </a:prstGeom>
                        </pic:spPr>
                      </pic:pic>
                    </a:graphicData>
                  </a:graphic>
                </wp:inline>
              </w:drawing>
            </w:r>
          </w:p>
        </w:tc>
        <w:tc>
          <w:tcPr>
            <w:tcW w:w="1740" w:type="dxa"/>
            <w:vAlign w:val="center"/>
          </w:tcPr>
          <w:p w14:paraId="1D3EF481">
            <w:pPr>
              <w:pStyle w:val="62"/>
              <w:rPr>
                <w:sz w:val="20"/>
              </w:rPr>
            </w:pPr>
            <w:r>
              <w:drawing>
                <wp:inline distT="0" distB="0" distL="0" distR="0">
                  <wp:extent cx="1095375" cy="973455"/>
                  <wp:effectExtent l="0" t="0" r="9525" b="17145"/>
                  <wp:docPr id="725565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65293" name="图片 1"/>
                          <pic:cNvPicPr>
                            <a:picLocks noChangeAspect="1"/>
                          </pic:cNvPicPr>
                        </pic:nvPicPr>
                        <pic:blipFill>
                          <a:blip r:embed="rId164"/>
                          <a:stretch>
                            <a:fillRect/>
                          </a:stretch>
                        </pic:blipFill>
                        <pic:spPr>
                          <a:xfrm>
                            <a:off x="0" y="0"/>
                            <a:ext cx="1095375" cy="973455"/>
                          </a:xfrm>
                          <a:prstGeom prst="rect">
                            <a:avLst/>
                          </a:prstGeom>
                        </pic:spPr>
                      </pic:pic>
                    </a:graphicData>
                  </a:graphic>
                </wp:inline>
              </w:drawing>
            </w:r>
          </w:p>
        </w:tc>
        <w:tc>
          <w:tcPr>
            <w:tcW w:w="1827" w:type="dxa"/>
            <w:vAlign w:val="center"/>
          </w:tcPr>
          <w:p w14:paraId="1D3EF482">
            <w:pPr>
              <w:pStyle w:val="62"/>
              <w:rPr>
                <w:sz w:val="20"/>
              </w:rPr>
            </w:pPr>
            <w:r>
              <w:drawing>
                <wp:inline distT="0" distB="0" distL="0" distR="0">
                  <wp:extent cx="1033145" cy="1033145"/>
                  <wp:effectExtent l="0" t="0" r="14605" b="14605"/>
                  <wp:docPr id="520888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88551" name="图片 1"/>
                          <pic:cNvPicPr>
                            <a:picLocks noChangeAspect="1"/>
                          </pic:cNvPicPr>
                        </pic:nvPicPr>
                        <pic:blipFill>
                          <a:blip r:embed="rId165"/>
                          <a:stretch>
                            <a:fillRect/>
                          </a:stretch>
                        </pic:blipFill>
                        <pic:spPr>
                          <a:xfrm>
                            <a:off x="0" y="0"/>
                            <a:ext cx="1033145" cy="1035960"/>
                          </a:xfrm>
                          <a:prstGeom prst="rect">
                            <a:avLst/>
                          </a:prstGeom>
                        </pic:spPr>
                      </pic:pic>
                    </a:graphicData>
                  </a:graphic>
                </wp:inline>
              </w:drawing>
            </w:r>
          </w:p>
        </w:tc>
      </w:tr>
      <w:tr w14:paraId="1D3EF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Align w:val="center"/>
          </w:tcPr>
          <w:p w14:paraId="1D3EF484">
            <w:pPr>
              <w:pStyle w:val="62"/>
            </w:pPr>
            <w:r>
              <w:t>2</w:t>
            </w:r>
          </w:p>
        </w:tc>
        <w:tc>
          <w:tcPr>
            <w:tcW w:w="1100" w:type="dxa"/>
            <w:vAlign w:val="center"/>
          </w:tcPr>
          <w:p w14:paraId="1D3EF485">
            <w:pPr>
              <w:pStyle w:val="62"/>
            </w:pPr>
            <w:r>
              <w:t>背景颜色</w:t>
            </w:r>
          </w:p>
        </w:tc>
        <w:tc>
          <w:tcPr>
            <w:tcW w:w="7072" w:type="dxa"/>
            <w:gridSpan w:val="4"/>
            <w:vAlign w:val="center"/>
          </w:tcPr>
          <w:p w14:paraId="1D3EF486">
            <w:pPr>
              <w:pStyle w:val="62"/>
            </w:pPr>
            <w:r>
              <w:t>绿色，危险废物黄色</w:t>
            </w:r>
          </w:p>
        </w:tc>
      </w:tr>
      <w:tr w14:paraId="1D3EF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9" w:type="dxa"/>
            <w:vAlign w:val="center"/>
          </w:tcPr>
          <w:p w14:paraId="1D3EF488">
            <w:pPr>
              <w:pStyle w:val="62"/>
            </w:pPr>
            <w:r>
              <w:t>3</w:t>
            </w:r>
          </w:p>
        </w:tc>
        <w:tc>
          <w:tcPr>
            <w:tcW w:w="1100" w:type="dxa"/>
            <w:vAlign w:val="center"/>
          </w:tcPr>
          <w:p w14:paraId="1D3EF489">
            <w:pPr>
              <w:pStyle w:val="62"/>
            </w:pPr>
            <w:r>
              <w:t>图形颜色</w:t>
            </w:r>
          </w:p>
        </w:tc>
        <w:tc>
          <w:tcPr>
            <w:tcW w:w="7072" w:type="dxa"/>
            <w:gridSpan w:val="4"/>
            <w:vAlign w:val="center"/>
          </w:tcPr>
          <w:p w14:paraId="1D3EF48A">
            <w:pPr>
              <w:pStyle w:val="62"/>
            </w:pPr>
            <w:r>
              <w:t>白色，危险废物黑色</w:t>
            </w:r>
          </w:p>
        </w:tc>
      </w:tr>
    </w:tbl>
    <w:p w14:paraId="1D3EF48C">
      <w:pPr>
        <w:ind w:firstLine="480"/>
      </w:pPr>
      <w:r>
        <w:t>排污口标志牌设在醒目处，设置高度为上边缘距地面约</w:t>
      </w:r>
      <w:r>
        <w:rPr>
          <w:rFonts w:eastAsia="Times New Roman"/>
        </w:rPr>
        <w:t>2m</w:t>
      </w:r>
      <w:r>
        <w:t>。建议每年对标志牌进行检查和维护一次，确保标志牌清晰完整。</w:t>
      </w:r>
    </w:p>
    <w:p w14:paraId="11C6EB1A">
      <w:pPr>
        <w:pStyle w:val="2"/>
        <w:spacing w:after="0"/>
        <w:ind w:firstLine="480"/>
      </w:pPr>
      <w:r>
        <w:rPr>
          <w:rFonts w:hint="eastAsia"/>
        </w:rPr>
        <w:t>6、排污口建档管理</w:t>
      </w:r>
    </w:p>
    <w:p w14:paraId="1735F680">
      <w:pPr>
        <w:pStyle w:val="2"/>
        <w:spacing w:after="0"/>
        <w:ind w:firstLine="480"/>
      </w:pPr>
      <w:r>
        <w:rPr>
          <w:rFonts w:hint="eastAsia"/>
        </w:rPr>
        <w:t>（1）要求使用原国家生态环境部统一印制的《中华人民共和国规范化排污口标志牌登记证》，并按要求填写有关内容。</w:t>
      </w:r>
    </w:p>
    <w:p w14:paraId="0C3E4CDE">
      <w:pPr>
        <w:pStyle w:val="2"/>
        <w:spacing w:after="0"/>
        <w:ind w:firstLine="480"/>
      </w:pPr>
      <w:r>
        <w:rPr>
          <w:rFonts w:hint="eastAsia"/>
        </w:rPr>
        <w:t>（2）根据排污口管理档案内容要求，项目建成投产后，应将主要污染物种类、数量、浓度、排放去向、达标情况及设施运行情况记录于档案。</w:t>
      </w:r>
    </w:p>
    <w:p w14:paraId="2EB9322E">
      <w:pPr>
        <w:pStyle w:val="2"/>
        <w:ind w:firstLine="480"/>
        <w:rPr>
          <w:highlight w:val="yellow"/>
        </w:rPr>
      </w:pPr>
    </w:p>
    <w:p w14:paraId="1D3EF48D">
      <w:pPr>
        <w:pStyle w:val="3"/>
      </w:pPr>
      <w:bookmarkStart w:id="415" w:name="_Toc324839668"/>
      <w:bookmarkStart w:id="416" w:name="_Toc176105900"/>
      <w:bookmarkStart w:id="417" w:name="_Toc324839385"/>
      <w:bookmarkStart w:id="418" w:name="_Toc311812694"/>
      <w:r>
        <w:t>评价结论</w:t>
      </w:r>
      <w:bookmarkEnd w:id="384"/>
      <w:bookmarkEnd w:id="385"/>
      <w:bookmarkEnd w:id="386"/>
      <w:r>
        <w:t>与建议</w:t>
      </w:r>
      <w:bookmarkEnd w:id="387"/>
      <w:bookmarkEnd w:id="415"/>
      <w:bookmarkEnd w:id="416"/>
      <w:bookmarkEnd w:id="417"/>
      <w:bookmarkEnd w:id="418"/>
    </w:p>
    <w:p w14:paraId="1D3EF48E">
      <w:pPr>
        <w:pStyle w:val="4"/>
      </w:pPr>
      <w:bookmarkStart w:id="419" w:name="_Toc311812696"/>
      <w:bookmarkStart w:id="420" w:name="_Toc176105901"/>
      <w:bookmarkStart w:id="421" w:name="_Toc324839386"/>
      <w:bookmarkStart w:id="422" w:name="_Toc324839669"/>
      <w:r>
        <w:t>评价结论</w:t>
      </w:r>
      <w:bookmarkEnd w:id="419"/>
      <w:bookmarkEnd w:id="420"/>
      <w:bookmarkEnd w:id="421"/>
      <w:bookmarkEnd w:id="422"/>
    </w:p>
    <w:p w14:paraId="1D3EF48F">
      <w:pPr>
        <w:pStyle w:val="5"/>
        <w:spacing w:before="240" w:after="240"/>
      </w:pPr>
      <w:bookmarkStart w:id="423" w:name="_Toc7939"/>
      <w:r>
        <w:t>工程建设符合国家产业政策</w:t>
      </w:r>
      <w:bookmarkEnd w:id="423"/>
    </w:p>
    <w:p w14:paraId="1D3EF490">
      <w:pPr>
        <w:ind w:firstLine="480"/>
        <w:rPr>
          <w:highlight w:val="yellow"/>
        </w:rPr>
      </w:pPr>
      <w:r>
        <w:t>根据《产业结构调整指导目录（2024）》，该项目属于</w:t>
      </w:r>
      <w:r>
        <w:rPr>
          <w:rFonts w:hint="eastAsia"/>
        </w:rPr>
        <w:t>允许</w:t>
      </w:r>
      <w:r>
        <w:t>类项目。本项目已经</w:t>
      </w:r>
      <w:r>
        <w:rPr>
          <w:rFonts w:hint="eastAsia"/>
        </w:rPr>
        <w:t>卫辉市发展和改革委员会备案</w:t>
      </w:r>
      <w:r>
        <w:t>（项目代码：2406-410781-04-05-341608）。</w:t>
      </w:r>
    </w:p>
    <w:p w14:paraId="1D3EF491">
      <w:pPr>
        <w:pStyle w:val="5"/>
        <w:spacing w:before="240" w:after="240"/>
      </w:pPr>
      <w:bookmarkStart w:id="424" w:name="_Toc2430"/>
      <w:r>
        <w:t>工程选址符合区域规划要求，厂区平面布置较为合理</w:t>
      </w:r>
    </w:p>
    <w:p w14:paraId="6FAAD8EB">
      <w:pPr>
        <w:ind w:firstLine="480"/>
        <w:rPr>
          <w:highlight w:val="yellow"/>
        </w:rPr>
      </w:pPr>
      <w:r>
        <w:t>本项目选址位于</w:t>
      </w:r>
      <w:r>
        <w:rPr>
          <w:rFonts w:hint="eastAsia"/>
        </w:rPr>
        <w:t>新乡市卫辉市唐庄镇代庄村99号卫辉市铁西（化工）园区内，</w:t>
      </w:r>
      <w:r>
        <w:t>根据</w:t>
      </w:r>
      <w:r>
        <w:rPr>
          <w:rFonts w:hint="eastAsia"/>
        </w:rPr>
        <w:t>《</w:t>
      </w:r>
      <w:r>
        <w:t>卫辉市铁西（</w:t>
      </w:r>
      <w:r>
        <w:rPr>
          <w:rFonts w:hint="eastAsia"/>
        </w:rPr>
        <w:t>化工</w:t>
      </w:r>
      <w:r>
        <w:t>）</w:t>
      </w:r>
      <w:r>
        <w:rPr>
          <w:rFonts w:hint="eastAsia"/>
        </w:rPr>
        <w:t>专业园区总体规划（2022-2035）-土地使用规划图》</w:t>
      </w:r>
      <w:r>
        <w:t>（见附图二</w:t>
      </w:r>
      <w:r>
        <w:rPr>
          <w:rFonts w:hint="eastAsia"/>
        </w:rPr>
        <w:t>（1）</w:t>
      </w:r>
      <w:r>
        <w:t>）</w:t>
      </w:r>
      <w:r>
        <w:rPr>
          <w:rFonts w:hint="eastAsia"/>
        </w:rPr>
        <w:t>和《</w:t>
      </w:r>
      <w:r>
        <w:t>卫辉市铁西（</w:t>
      </w:r>
      <w:r>
        <w:rPr>
          <w:rFonts w:hint="eastAsia"/>
        </w:rPr>
        <w:t>化工</w:t>
      </w:r>
      <w:r>
        <w:t>）</w:t>
      </w:r>
      <w:r>
        <w:rPr>
          <w:rFonts w:hint="eastAsia"/>
        </w:rPr>
        <w:t>专业园区总体规划（2022-2035）-产业功能布局图》</w:t>
      </w:r>
      <w:r>
        <w:t>（见附图二</w:t>
      </w:r>
      <w:r>
        <w:rPr>
          <w:rFonts w:hint="eastAsia"/>
        </w:rPr>
        <w:t>（2）</w:t>
      </w:r>
      <w:r>
        <w:t>），项目厂址用地为</w:t>
      </w:r>
      <w:r>
        <w:rPr>
          <w:rFonts w:hint="eastAsia"/>
        </w:rPr>
        <w:t>二类</w:t>
      </w:r>
      <w:r>
        <w:t>工业用地，</w:t>
      </w:r>
      <w:r>
        <w:rPr>
          <w:rFonts w:hint="eastAsia"/>
        </w:rPr>
        <w:t>位于食品添加剂及助剂产业区</w:t>
      </w:r>
      <w:r>
        <w:t>；本项目建设符合卫辉市铁西（</w:t>
      </w:r>
      <w:r>
        <w:rPr>
          <w:rFonts w:hint="eastAsia"/>
        </w:rPr>
        <w:t>化工</w:t>
      </w:r>
      <w:r>
        <w:t>）专业园区规划</w:t>
      </w:r>
      <w:r>
        <w:rPr>
          <w:rFonts w:hint="eastAsia"/>
        </w:rPr>
        <w:t>。</w:t>
      </w:r>
    </w:p>
    <w:p w14:paraId="2F5AC5F8">
      <w:pPr>
        <w:pStyle w:val="2"/>
        <w:spacing w:after="0"/>
        <w:ind w:firstLine="480"/>
        <w:rPr>
          <w:highlight w:val="yellow"/>
        </w:rPr>
      </w:pPr>
      <w:r>
        <w:t>距本项目最近敏感点为项目</w:t>
      </w:r>
      <w:r>
        <w:rPr>
          <w:rFonts w:hint="eastAsia"/>
        </w:rPr>
        <w:t>东南侧约580</w:t>
      </w:r>
      <w:r>
        <w:t>m</w:t>
      </w:r>
      <w:r>
        <w:rPr>
          <w:rFonts w:hint="eastAsia"/>
        </w:rPr>
        <w:t>的下园村</w:t>
      </w:r>
      <w:r>
        <w:rPr>
          <w:rFonts w:hint="eastAsia"/>
          <w:bCs/>
        </w:rPr>
        <w:t>。</w:t>
      </w:r>
      <w:r>
        <w:rPr>
          <w:bCs/>
        </w:rPr>
        <w:t>本项目厂址距凤泉水厂地下水饮用水源保护区约12.06km；距</w:t>
      </w:r>
      <w:r>
        <w:rPr>
          <w:rFonts w:hint="eastAsia"/>
          <w:bCs/>
        </w:rPr>
        <w:t>卫辉市唐庄镇地下水井</w:t>
      </w:r>
      <w:r>
        <w:rPr>
          <w:bCs/>
        </w:rPr>
        <w:t>约为5.15km</w:t>
      </w:r>
      <w:r>
        <w:rPr>
          <w:rFonts w:hint="eastAsia"/>
          <w:bCs/>
        </w:rPr>
        <w:t>；</w:t>
      </w:r>
      <w:r>
        <w:rPr>
          <w:rFonts w:hint="eastAsia"/>
        </w:rPr>
        <w:t>距</w:t>
      </w:r>
      <w:r>
        <w:t>南水北调中线工程</w:t>
      </w:r>
      <w:r>
        <w:rPr>
          <w:rFonts w:hint="eastAsia"/>
        </w:rPr>
        <w:t>约</w:t>
      </w:r>
      <w:r>
        <w:t>4.45</w:t>
      </w:r>
      <w:r>
        <w:rPr>
          <w:rFonts w:hint="eastAsia"/>
        </w:rPr>
        <w:t>km，</w:t>
      </w:r>
      <w:r>
        <w:rPr>
          <w:bCs/>
        </w:rPr>
        <w:t>均不在其保护区范围内。本项目周边无集中或分散式水源地保护区及文物古迹等</w:t>
      </w:r>
      <w:r>
        <w:rPr>
          <w:rFonts w:hint="eastAsia"/>
          <w:bCs/>
        </w:rPr>
        <w:t>。</w:t>
      </w:r>
    </w:p>
    <w:p w14:paraId="2EA2A083">
      <w:pPr>
        <w:ind w:firstLine="480"/>
      </w:pPr>
      <w:r>
        <w:t>厂区的平面布置较为合理，主要体现在以下几个方面：（1）项目设计生产区与办公区相分离，有利于物流和人流的管理；（2）项目根据工艺流程和设备运转的要求，按照工艺运转顺序和安全生产的需要布置生产装置，工艺流程顺畅，厂区布局紧凑；（</w:t>
      </w:r>
      <w:r>
        <w:rPr>
          <w:rFonts w:hint="eastAsia"/>
        </w:rPr>
        <w:t>3</w:t>
      </w:r>
      <w:r>
        <w:t>）根据生产单元的需要进行了合理的布局，减少了物料在输送过程中的跑、冒、滴、漏，提高了项目的清洁生产水平；</w:t>
      </w:r>
    </w:p>
    <w:p w14:paraId="578FB9C5">
      <w:pPr>
        <w:pStyle w:val="2"/>
        <w:ind w:firstLine="480"/>
      </w:pPr>
      <w:r>
        <w:t>综上，本项目选址合理可行</w:t>
      </w:r>
      <w:r>
        <w:rPr>
          <w:rFonts w:hint="eastAsia"/>
        </w:rPr>
        <w:t>、厂区平面布置合理</w:t>
      </w:r>
      <w:r>
        <w:t>。</w:t>
      </w:r>
    </w:p>
    <w:bookmarkEnd w:id="424"/>
    <w:p w14:paraId="1D3EF493">
      <w:pPr>
        <w:pStyle w:val="5"/>
        <w:spacing w:before="240" w:after="240"/>
      </w:pPr>
      <w:bookmarkStart w:id="425" w:name="_Toc22293"/>
      <w:r>
        <w:t>评价区域内的环境质量现状</w:t>
      </w:r>
      <w:bookmarkEnd w:id="425"/>
    </w:p>
    <w:p w14:paraId="1D3EF494">
      <w:pPr>
        <w:pStyle w:val="6"/>
        <w:ind w:left="0" w:firstLine="482" w:firstLineChars="200"/>
      </w:pPr>
      <w:r>
        <w:t>环境空气质量现状</w:t>
      </w:r>
    </w:p>
    <w:p w14:paraId="1D3EF495">
      <w:pPr>
        <w:ind w:firstLine="480"/>
        <w:rPr>
          <w:b/>
          <w:bCs/>
          <w:highlight w:val="yellow"/>
          <w:u w:val="single"/>
        </w:rPr>
      </w:pPr>
      <w:r>
        <w:t>评价区基本污染物（SO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r>
        <w:t>）</w:t>
      </w:r>
      <w:r>
        <w:rPr>
          <w:rFonts w:hint="eastAsia"/>
        </w:rPr>
        <w:t>中的</w:t>
      </w:r>
      <w:r>
        <w:t>PM</w:t>
      </w:r>
      <w:r>
        <w:rPr>
          <w:vertAlign w:val="subscript"/>
        </w:rPr>
        <w:t>10</w:t>
      </w:r>
      <w:r>
        <w:t>、PM</w:t>
      </w:r>
      <w:r>
        <w:rPr>
          <w:vertAlign w:val="subscript"/>
        </w:rPr>
        <w:t>2.5</w:t>
      </w:r>
      <w:r>
        <w:t>、O</w:t>
      </w:r>
      <w:r>
        <w:rPr>
          <w:vertAlign w:val="subscript"/>
        </w:rPr>
        <w:t>3</w:t>
      </w:r>
      <w:r>
        <w:t>环境质量现状监测结果不能全部满足《环境空气质量标准》（GB3095-2012）二级标准要求，属于不达标区；其他污染物：</w:t>
      </w:r>
      <w:r>
        <w:rPr>
          <w:rFonts w:hint="eastAsia"/>
        </w:rPr>
        <w:t>硫酸雾、氨、硫化氢、TVOC浓度能够满足《环境影响评价技术导则大气环境》（HJ2.2-2018）附录D 表D.1其他污染物空气质量浓度参考限值要求；非甲烷总烃浓度能够满足《大气综合污染物排放标准详解》第四章标准值说明的限值要求。</w:t>
      </w:r>
    </w:p>
    <w:p w14:paraId="1D3EF496">
      <w:pPr>
        <w:pStyle w:val="6"/>
        <w:ind w:left="0" w:firstLine="482" w:firstLineChars="200"/>
      </w:pPr>
      <w:r>
        <w:t>地表水环境质量现状</w:t>
      </w:r>
    </w:p>
    <w:p w14:paraId="1D3EF497">
      <w:pPr>
        <w:ind w:firstLine="480"/>
      </w:pPr>
      <w:r>
        <w:t>根据《新乡市生态环境局关于下达2023年地表水环境质量目标的函》</w:t>
      </w:r>
      <w:r>
        <w:rPr>
          <w:rFonts w:hint="eastAsia"/>
        </w:rPr>
        <w:t>、《新乡市生态环境局关于印发2024年地表水环境质量目标的函》，共产主义渠下马营断面</w:t>
      </w:r>
      <w:r>
        <w:t>2023年</w:t>
      </w:r>
      <w:r>
        <w:rPr>
          <w:rFonts w:hint="eastAsia"/>
        </w:rPr>
        <w:t>、2024年</w:t>
      </w:r>
      <w:r>
        <w:t>目标</w:t>
      </w:r>
      <w:r>
        <w:rPr>
          <w:rFonts w:hint="eastAsia"/>
        </w:rPr>
        <w:t>均</w:t>
      </w:r>
      <w:r>
        <w:t>为Ⅳ类水体标准</w:t>
      </w:r>
      <w:r>
        <w:rPr>
          <w:rFonts w:hint="eastAsia"/>
        </w:rPr>
        <w:t>，</w:t>
      </w:r>
      <w:r>
        <w:t>断面2023年水质年均值可以达</w:t>
      </w:r>
      <w:r>
        <w:rPr>
          <w:rFonts w:hint="eastAsia"/>
        </w:rPr>
        <w:t>到</w:t>
      </w:r>
      <w:r>
        <w:t>Ⅳ类水体标准。</w:t>
      </w:r>
    </w:p>
    <w:p w14:paraId="1D3EF498">
      <w:pPr>
        <w:pStyle w:val="6"/>
        <w:ind w:left="0" w:firstLine="482" w:firstLineChars="200"/>
      </w:pPr>
      <w:r>
        <w:t>地下水环境质量现状</w:t>
      </w:r>
    </w:p>
    <w:p w14:paraId="1D3EF499">
      <w:pPr>
        <w:ind w:firstLine="480"/>
      </w:pPr>
      <w:r>
        <w:t>根据检测结果，项目区域地下水质量符合《地下水质量标准》（GB/T14848-2017）III类水质。</w:t>
      </w:r>
    </w:p>
    <w:p w14:paraId="1D3EF49A">
      <w:pPr>
        <w:pStyle w:val="6"/>
        <w:ind w:left="0" w:firstLine="482" w:firstLineChars="200"/>
      </w:pPr>
      <w:r>
        <w:t>声环境质量现状</w:t>
      </w:r>
    </w:p>
    <w:p w14:paraId="1D3EF49B">
      <w:pPr>
        <w:ind w:firstLine="480"/>
      </w:pPr>
      <w:r>
        <w:t>工程完成后，工程各厂界昼间、夜间噪声贡献值均能满足《工业企业厂界环境噪声排放标准》（GB12348-2008）</w:t>
      </w:r>
      <w:r>
        <w:rPr>
          <w:rFonts w:hint="eastAsia"/>
        </w:rPr>
        <w:t>3</w:t>
      </w:r>
      <w:r>
        <w:t>类标准要求，工程噪声对周围声环境影响不大，可接受。</w:t>
      </w:r>
    </w:p>
    <w:p w14:paraId="1D3EF49C">
      <w:pPr>
        <w:pStyle w:val="6"/>
        <w:ind w:left="0" w:firstLine="482" w:firstLineChars="200"/>
      </w:pPr>
      <w:r>
        <w:t>土壤环境质量</w:t>
      </w:r>
    </w:p>
    <w:p w14:paraId="1D3EF49D">
      <w:pPr>
        <w:ind w:firstLine="480"/>
      </w:pPr>
      <w:r>
        <w:t>项目所在区域建设用地的土壤环境检测值均符合《土壤环境质量建设用地土壤污染风险管控标准（试行）（GB36600-2018）表1筛选值第二类用地的限值要求。同时，厂区外土壤环境检测值均符合《土壤环境质量农用地土壤污染风险管控标准（试行）（GB15618-2018）表1风险筛选值的限值要求。</w:t>
      </w:r>
    </w:p>
    <w:p w14:paraId="1D3EF49E">
      <w:pPr>
        <w:pStyle w:val="5"/>
        <w:spacing w:before="240" w:after="240"/>
      </w:pPr>
      <w:bookmarkStart w:id="426" w:name="_Toc4331"/>
      <w:r>
        <w:t>环境影响预测及评价结论</w:t>
      </w:r>
      <w:bookmarkEnd w:id="426"/>
    </w:p>
    <w:p w14:paraId="1D3EF49F">
      <w:pPr>
        <w:pStyle w:val="6"/>
        <w:ind w:left="0" w:firstLine="482" w:firstLineChars="200"/>
      </w:pPr>
      <w:r>
        <w:t>大气环境影响评价结论</w:t>
      </w:r>
    </w:p>
    <w:p w14:paraId="6DBE7E68">
      <w:pPr>
        <w:ind w:firstLine="480"/>
      </w:pPr>
      <w:r>
        <w:rPr>
          <w:rFonts w:hint="eastAsia"/>
        </w:rPr>
        <w:t>（1）</w:t>
      </w:r>
      <w:r>
        <w:rPr>
          <w:bCs/>
          <w:szCs w:val="24"/>
        </w:rPr>
        <w:t>本项目排气筒P</w:t>
      </w:r>
      <w:r>
        <w:rPr>
          <w:rFonts w:hint="eastAsia"/>
          <w:bCs/>
          <w:szCs w:val="24"/>
        </w:rPr>
        <w:t xml:space="preserve"> DA001</w:t>
      </w:r>
      <w:r>
        <w:rPr>
          <w:bCs/>
          <w:szCs w:val="24"/>
        </w:rPr>
        <w:t>有组织废气排放的污染物：</w:t>
      </w:r>
      <w:r>
        <w:rPr>
          <w:rFonts w:hint="eastAsia"/>
          <w:bCs/>
          <w:szCs w:val="24"/>
          <w:u w:val="single"/>
        </w:rPr>
        <w:t>非甲烷总烃、硫酸雾</w:t>
      </w:r>
      <w:r>
        <w:rPr>
          <w:bCs/>
          <w:szCs w:val="24"/>
          <w:u w:val="single"/>
        </w:rPr>
        <w:t>的最大落地浓度均出现在下风向</w:t>
      </w:r>
      <w:r>
        <w:rPr>
          <w:rFonts w:hint="eastAsia"/>
          <w:bCs/>
          <w:szCs w:val="24"/>
          <w:u w:val="single"/>
        </w:rPr>
        <w:t>93</w:t>
      </w:r>
      <w:r>
        <w:rPr>
          <w:bCs/>
          <w:szCs w:val="24"/>
          <w:u w:val="single"/>
        </w:rPr>
        <w:t>m处，</w:t>
      </w:r>
      <w:r>
        <w:rPr>
          <w:rFonts w:hint="eastAsia"/>
          <w:bCs/>
          <w:szCs w:val="24"/>
          <w:u w:val="single"/>
        </w:rPr>
        <w:t>非甲烷总烃的</w:t>
      </w:r>
      <w:r>
        <w:rPr>
          <w:bCs/>
          <w:szCs w:val="24"/>
          <w:u w:val="single"/>
        </w:rPr>
        <w:t>最大落地浓度为</w:t>
      </w:r>
      <w:r>
        <w:rPr>
          <w:rFonts w:hint="eastAsia"/>
          <w:bCs/>
          <w:u w:val="single"/>
        </w:rPr>
        <w:t>0.00197</w:t>
      </w:r>
      <w:r>
        <w:rPr>
          <w:bCs/>
          <w:szCs w:val="24"/>
          <w:u w:val="single"/>
        </w:rPr>
        <w:t>mg/m</w:t>
      </w:r>
      <w:r>
        <w:rPr>
          <w:bCs/>
          <w:szCs w:val="24"/>
          <w:u w:val="single"/>
          <w:vertAlign w:val="superscript"/>
        </w:rPr>
        <w:t>3</w:t>
      </w:r>
      <w:r>
        <w:rPr>
          <w:bCs/>
          <w:szCs w:val="24"/>
          <w:u w:val="single"/>
        </w:rPr>
        <w:t>，占标率为</w:t>
      </w:r>
      <w:r>
        <w:rPr>
          <w:rFonts w:hint="eastAsia"/>
          <w:bCs/>
          <w:szCs w:val="24"/>
          <w:u w:val="single"/>
        </w:rPr>
        <w:t>0.1</w:t>
      </w:r>
      <w:r>
        <w:rPr>
          <w:bCs/>
          <w:szCs w:val="24"/>
          <w:u w:val="single"/>
        </w:rPr>
        <w:t>%</w:t>
      </w:r>
      <w:r>
        <w:rPr>
          <w:rFonts w:hint="eastAsia"/>
          <w:bCs/>
          <w:szCs w:val="24"/>
          <w:u w:val="single"/>
        </w:rPr>
        <w:t>；硫酸雾</w:t>
      </w:r>
      <w:r>
        <w:rPr>
          <w:bCs/>
          <w:szCs w:val="24"/>
          <w:u w:val="single"/>
        </w:rPr>
        <w:t>的最大落地浓度为</w:t>
      </w:r>
      <w:r>
        <w:rPr>
          <w:rFonts w:hint="eastAsia"/>
          <w:bCs/>
          <w:szCs w:val="24"/>
          <w:u w:val="single"/>
        </w:rPr>
        <w:t>0</w:t>
      </w:r>
      <w:r>
        <w:rPr>
          <w:bCs/>
          <w:szCs w:val="24"/>
          <w:u w:val="single"/>
        </w:rPr>
        <w:t>.00</w:t>
      </w:r>
      <w:r>
        <w:rPr>
          <w:rFonts w:hint="eastAsia"/>
          <w:bCs/>
          <w:szCs w:val="24"/>
          <w:u w:val="single"/>
        </w:rPr>
        <w:t>013</w:t>
      </w:r>
      <w:r>
        <w:rPr>
          <w:bCs/>
          <w:szCs w:val="24"/>
          <w:u w:val="single"/>
        </w:rPr>
        <w:t>mg/m</w:t>
      </w:r>
      <w:r>
        <w:rPr>
          <w:bCs/>
          <w:szCs w:val="24"/>
          <w:u w:val="single"/>
          <w:vertAlign w:val="superscript"/>
        </w:rPr>
        <w:t>3</w:t>
      </w:r>
      <w:r>
        <w:rPr>
          <w:bCs/>
          <w:szCs w:val="24"/>
          <w:u w:val="single"/>
        </w:rPr>
        <w:t>，占标率为</w:t>
      </w:r>
      <w:r>
        <w:rPr>
          <w:rFonts w:hint="eastAsia"/>
          <w:bCs/>
          <w:szCs w:val="24"/>
          <w:u w:val="single"/>
        </w:rPr>
        <w:t>0.01</w:t>
      </w:r>
      <w:r>
        <w:rPr>
          <w:bCs/>
          <w:szCs w:val="24"/>
          <w:u w:val="single"/>
        </w:rPr>
        <w:t>%</w:t>
      </w:r>
      <w:r>
        <w:rPr>
          <w:rFonts w:hint="eastAsia"/>
          <w:bCs/>
          <w:szCs w:val="24"/>
          <w:u w:val="single"/>
        </w:rPr>
        <w:t>；</w:t>
      </w:r>
      <w:r>
        <w:rPr>
          <w:bCs/>
          <w:szCs w:val="24"/>
        </w:rPr>
        <w:t>排气筒</w:t>
      </w:r>
      <w:r>
        <w:rPr>
          <w:rFonts w:hint="eastAsia"/>
          <w:bCs/>
          <w:szCs w:val="24"/>
        </w:rPr>
        <w:t>DA002</w:t>
      </w:r>
      <w:r>
        <w:rPr>
          <w:bCs/>
          <w:szCs w:val="24"/>
        </w:rPr>
        <w:t>有组织废气排放的污染物：</w:t>
      </w:r>
      <w:r>
        <w:rPr>
          <w:rFonts w:hint="eastAsia"/>
          <w:bCs/>
          <w:szCs w:val="24"/>
        </w:rPr>
        <w:t>颗粒物的</w:t>
      </w:r>
      <w:r>
        <w:rPr>
          <w:bCs/>
          <w:szCs w:val="24"/>
        </w:rPr>
        <w:t>最大落地浓度出现在下风向</w:t>
      </w:r>
      <w:r>
        <w:rPr>
          <w:rFonts w:hint="eastAsia"/>
          <w:bCs/>
          <w:szCs w:val="24"/>
        </w:rPr>
        <w:t>92</w:t>
      </w:r>
      <w:r>
        <w:rPr>
          <w:bCs/>
          <w:szCs w:val="24"/>
        </w:rPr>
        <w:t>m处</w:t>
      </w:r>
      <w:r>
        <w:rPr>
          <w:rFonts w:hint="eastAsia"/>
          <w:bCs/>
          <w:szCs w:val="24"/>
        </w:rPr>
        <w:t>，颗粒物的</w:t>
      </w:r>
      <w:r>
        <w:rPr>
          <w:bCs/>
          <w:szCs w:val="24"/>
        </w:rPr>
        <w:t>最大落地浓度为</w:t>
      </w:r>
      <w:r>
        <w:rPr>
          <w:rFonts w:hint="eastAsia"/>
          <w:bCs/>
          <w:szCs w:val="24"/>
        </w:rPr>
        <w:t>0</w:t>
      </w:r>
      <w:r>
        <w:rPr>
          <w:bCs/>
          <w:szCs w:val="24"/>
        </w:rPr>
        <w:t>.00</w:t>
      </w:r>
      <w:r>
        <w:rPr>
          <w:rFonts w:hint="eastAsia"/>
          <w:bCs/>
          <w:szCs w:val="24"/>
        </w:rPr>
        <w:t>0868</w:t>
      </w:r>
      <w:r>
        <w:rPr>
          <w:bCs/>
          <w:szCs w:val="24"/>
        </w:rPr>
        <w:t>mg/m</w:t>
      </w:r>
      <w:r>
        <w:rPr>
          <w:bCs/>
          <w:szCs w:val="24"/>
          <w:vertAlign w:val="superscript"/>
        </w:rPr>
        <w:t>3</w:t>
      </w:r>
      <w:r>
        <w:rPr>
          <w:bCs/>
          <w:szCs w:val="24"/>
        </w:rPr>
        <w:t>，占标率为0.</w:t>
      </w:r>
      <w:r>
        <w:rPr>
          <w:rFonts w:hint="eastAsia"/>
          <w:bCs/>
          <w:szCs w:val="24"/>
        </w:rPr>
        <w:t>19</w:t>
      </w:r>
      <w:r>
        <w:rPr>
          <w:bCs/>
          <w:szCs w:val="24"/>
        </w:rPr>
        <w:t>%</w:t>
      </w:r>
      <w:r>
        <w:rPr>
          <w:rFonts w:hint="eastAsia"/>
          <w:bCs/>
          <w:szCs w:val="24"/>
        </w:rPr>
        <w:t>。</w:t>
      </w:r>
      <w:r>
        <w:rPr>
          <w:rFonts w:hint="eastAsia"/>
        </w:rPr>
        <w:t>各污染物占标率均较小，对周围环境的影响程度可接受。</w:t>
      </w:r>
    </w:p>
    <w:p w14:paraId="56F411F2">
      <w:pPr>
        <w:ind w:firstLine="480"/>
      </w:pPr>
      <w:r>
        <w:t>（2）</w:t>
      </w:r>
      <w:r>
        <w:rPr>
          <w:rFonts w:hint="eastAsia"/>
        </w:rPr>
        <w:t>本项目无需设置大气环境防护距离。</w:t>
      </w:r>
    </w:p>
    <w:p w14:paraId="6EE0F89A">
      <w:pPr>
        <w:ind w:firstLine="480"/>
        <w:rPr>
          <w:szCs w:val="24"/>
        </w:rPr>
      </w:pPr>
      <w:r>
        <w:rPr>
          <w:rFonts w:hint="eastAsia"/>
        </w:rPr>
        <w:t>综上所述，</w:t>
      </w:r>
      <w:r>
        <w:t>在保证评价要求和工程设计的防治措施正常运行的条件下，本工程建设对周围大气环境影响可接受。</w:t>
      </w:r>
    </w:p>
    <w:p w14:paraId="1D3EF4A3">
      <w:pPr>
        <w:pStyle w:val="6"/>
        <w:ind w:left="0" w:firstLine="482" w:firstLineChars="200"/>
      </w:pPr>
      <w:r>
        <w:t>地表水环境影响评价结论</w:t>
      </w:r>
    </w:p>
    <w:p w14:paraId="3CDB280B">
      <w:pPr>
        <w:ind w:firstLine="480"/>
        <w:rPr>
          <w:bCs/>
          <w:highlight w:val="yellow"/>
        </w:rPr>
      </w:pPr>
      <w:r>
        <w:t>本项目废水主要为循环冷却水系统排水、</w:t>
      </w:r>
      <w:r>
        <w:rPr>
          <w:rFonts w:hint="eastAsia"/>
        </w:rPr>
        <w:t>职工生活污水、喷淋废水和车间地面清洗水</w:t>
      </w:r>
      <w:r>
        <w:t>。</w:t>
      </w:r>
      <w:r>
        <w:rPr>
          <w:rFonts w:hint="eastAsia"/>
          <w:kern w:val="2"/>
          <w:szCs w:val="24"/>
        </w:rPr>
        <w:t>喷淋废水、车间地面清洗废水经厂区污水处理站处理后与经化粪池处理后的生活污水、</w:t>
      </w:r>
      <w:r>
        <w:t>循环冷却水系统排水</w:t>
      </w:r>
      <w:r>
        <w:rPr>
          <w:kern w:val="2"/>
          <w:szCs w:val="24"/>
        </w:rPr>
        <w:t>一起由厂区总排口排入园区污水管网，再</w:t>
      </w:r>
      <w:r>
        <w:rPr>
          <w:rFonts w:hint="eastAsia"/>
          <w:kern w:val="2"/>
          <w:szCs w:val="24"/>
        </w:rPr>
        <w:t>进入唐庄</w:t>
      </w:r>
      <w:r>
        <w:rPr>
          <w:kern w:val="2"/>
          <w:szCs w:val="24"/>
        </w:rPr>
        <w:t>污水处理厂进行进一步处理，处理后排入</w:t>
      </w:r>
      <w:r>
        <w:rPr>
          <w:rFonts w:hint="eastAsia"/>
          <w:kern w:val="2"/>
          <w:szCs w:val="24"/>
        </w:rPr>
        <w:t>共产主义渠</w:t>
      </w:r>
      <w:r>
        <w:rPr>
          <w:kern w:val="2"/>
          <w:szCs w:val="24"/>
        </w:rPr>
        <w:t>。</w:t>
      </w:r>
      <w:r>
        <w:rPr>
          <w:rFonts w:hint="eastAsia"/>
        </w:rPr>
        <w:t>厂区总排口废水废水水质为</w:t>
      </w:r>
      <w:r>
        <w:rPr>
          <w:rFonts w:hint="eastAsia"/>
          <w:bCs/>
          <w:u w:val="single"/>
        </w:rPr>
        <w:t>pH 6~9、COD 210mg/L、BOD</w:t>
      </w:r>
      <w:r>
        <w:rPr>
          <w:rFonts w:hint="eastAsia"/>
          <w:bCs/>
          <w:u w:val="single"/>
          <w:vertAlign w:val="subscript"/>
        </w:rPr>
        <w:t>5</w:t>
      </w:r>
      <w:r>
        <w:rPr>
          <w:rFonts w:hint="eastAsia"/>
          <w:bCs/>
          <w:u w:val="single"/>
        </w:rPr>
        <w:t xml:space="preserve"> 50.7mg/L、SS 87.8mg/L、NH</w:t>
      </w:r>
      <w:r>
        <w:rPr>
          <w:rFonts w:hint="eastAsia"/>
          <w:bCs/>
          <w:u w:val="single"/>
          <w:vertAlign w:val="subscript"/>
        </w:rPr>
        <w:t>3</w:t>
      </w:r>
      <w:r>
        <w:rPr>
          <w:rFonts w:hint="eastAsia"/>
          <w:bCs/>
          <w:u w:val="single"/>
        </w:rPr>
        <w:t>-N 3.3mg/L、TN 6mg/L、TP 0.39mg/L、石油类4.4mg/L、硫酸钠194mg/L，能够满足</w:t>
      </w:r>
      <w:r>
        <w:rPr>
          <w:bCs/>
          <w:u w:val="single"/>
        </w:rPr>
        <w:t>《化工行业水污染物间接排放标准》（DB41/1</w:t>
      </w:r>
      <w:r>
        <w:rPr>
          <w:rFonts w:hint="eastAsia"/>
          <w:bCs/>
          <w:u w:val="single"/>
        </w:rPr>
        <w:t>135-2016</w:t>
      </w:r>
      <w:r>
        <w:rPr>
          <w:bCs/>
          <w:u w:val="single"/>
        </w:rPr>
        <w:t>）</w:t>
      </w:r>
      <w:r>
        <w:rPr>
          <w:rFonts w:hint="eastAsia"/>
          <w:bCs/>
          <w:u w:val="single"/>
        </w:rPr>
        <w:t>表1、表2间接排放限值要求（pH 6~9、COD 300mg/L、SS 150mg/L、NH</w:t>
      </w:r>
      <w:r>
        <w:rPr>
          <w:rFonts w:hint="eastAsia"/>
          <w:bCs/>
          <w:u w:val="single"/>
          <w:vertAlign w:val="subscript"/>
        </w:rPr>
        <w:t>3</w:t>
      </w:r>
      <w:r>
        <w:rPr>
          <w:rFonts w:hint="eastAsia"/>
          <w:bCs/>
          <w:u w:val="single"/>
        </w:rPr>
        <w:t>-N 30mg/L、TN 50mg/L、TP 5mg/L、石油类20</w:t>
      </w:r>
      <w:r>
        <w:rPr>
          <w:bCs/>
          <w:u w:val="single"/>
        </w:rPr>
        <w:t>mg/L</w:t>
      </w:r>
      <w:r>
        <w:rPr>
          <w:rFonts w:hint="eastAsia"/>
          <w:bCs/>
          <w:u w:val="single"/>
        </w:rPr>
        <w:t>），同时满足唐庄</w:t>
      </w:r>
      <w:r>
        <w:rPr>
          <w:bCs/>
          <w:u w:val="single"/>
        </w:rPr>
        <w:t>污水处理厂收水标准</w:t>
      </w:r>
      <w:r>
        <w:rPr>
          <w:rFonts w:hint="eastAsia"/>
          <w:bCs/>
          <w:u w:val="single"/>
        </w:rPr>
        <w:t>（pH 6~9、COD 360mg/L、BOD</w:t>
      </w:r>
      <w:r>
        <w:rPr>
          <w:rFonts w:hint="eastAsia"/>
          <w:bCs/>
          <w:u w:val="single"/>
          <w:vertAlign w:val="subscript"/>
        </w:rPr>
        <w:t>5</w:t>
      </w:r>
      <w:r>
        <w:rPr>
          <w:rFonts w:hint="eastAsia"/>
          <w:bCs/>
          <w:u w:val="single"/>
        </w:rPr>
        <w:t xml:space="preserve"> 200mg/L、SS 280mg/L、NH</w:t>
      </w:r>
      <w:r>
        <w:rPr>
          <w:rFonts w:hint="eastAsia"/>
          <w:bCs/>
          <w:u w:val="single"/>
          <w:vertAlign w:val="subscript"/>
        </w:rPr>
        <w:t>3</w:t>
      </w:r>
      <w:r>
        <w:rPr>
          <w:rFonts w:hint="eastAsia"/>
          <w:bCs/>
          <w:u w:val="single"/>
        </w:rPr>
        <w:t>-N 30mg/L、TN 40mg/L、TP 5mg/L）</w:t>
      </w:r>
      <w:r>
        <w:rPr>
          <w:rFonts w:hint="eastAsia"/>
          <w:bCs/>
        </w:rPr>
        <w:t>。</w:t>
      </w:r>
    </w:p>
    <w:p w14:paraId="1D3EF4A4">
      <w:pPr>
        <w:ind w:firstLine="480"/>
      </w:pPr>
      <w:r>
        <w:rPr>
          <w:rFonts w:hint="eastAsia" w:cs="宋体"/>
        </w:rPr>
        <w:t>项目排放废水量占</w:t>
      </w:r>
      <w:r>
        <w:rPr>
          <w:rFonts w:hint="eastAsia"/>
        </w:rPr>
        <w:t>唐庄</w:t>
      </w:r>
      <w:r>
        <w:rPr>
          <w:rFonts w:hint="eastAsia" w:cs="宋体"/>
        </w:rPr>
        <w:t>污水处理厂处理负荷量比例较小、总处理量未超出设计处理负荷量，不会对</w:t>
      </w:r>
      <w:r>
        <w:rPr>
          <w:rFonts w:hint="eastAsia"/>
        </w:rPr>
        <w:t>唐庄</w:t>
      </w:r>
      <w:r>
        <w:rPr>
          <w:rFonts w:hint="eastAsia" w:cs="宋体"/>
        </w:rPr>
        <w:t>污水处理厂的出水水质产生影响。因此评价认为：项目废水经处理后，对地表水环境的影响可接受。</w:t>
      </w:r>
    </w:p>
    <w:p w14:paraId="1D3EF4A5">
      <w:pPr>
        <w:pStyle w:val="6"/>
        <w:ind w:left="0" w:firstLine="482" w:firstLineChars="200"/>
      </w:pPr>
      <w:r>
        <w:t>地下水环境影响预测与评价结论</w:t>
      </w:r>
    </w:p>
    <w:p w14:paraId="482E7B26">
      <w:pPr>
        <w:ind w:firstLine="480"/>
        <w:rPr>
          <w:u w:val="single"/>
        </w:rPr>
      </w:pPr>
      <w:r>
        <w:rPr>
          <w:rFonts w:hint="eastAsia"/>
          <w:u w:val="single"/>
        </w:rPr>
        <w:t>在本次评价假定的泄漏情景下，调节池底泄漏100天、1000天、3650天、7300天时耗氧量、石油类在1000天、3650天、7300天均晕染扩散出厂界，但是厂区周围均为工业企业，晕染范围内均无敏感点。污水的跑冒滴漏会对泄漏点附近地下水环境造成一定影响，但均未到达周边饮用水水源井，对地下水保护目标没有影响。由于本次预测源强计算采取最不利原则，各污染因子浓度都选取最大值，且假定发生渗漏的污水全部进入含水层，因此，实际状况污水渗漏造成的影响范围不会超过本次预测结果。评价认为本项目运营期内对地下水影响较小，环境可以接受。</w:t>
      </w:r>
    </w:p>
    <w:p w14:paraId="1D3EF4A6">
      <w:pPr>
        <w:ind w:firstLine="480"/>
      </w:pPr>
      <w:r>
        <w:rPr>
          <w:rFonts w:hint="eastAsia"/>
        </w:rPr>
        <w:t>评价认为，建设单位在加强管理，落实本环评提出的源头控制、防渗、监测管理、制定应急预案等措施的前提下，本项目运营期内不会对周围保护目标及下游地下水环境产生明显不利影响。</w:t>
      </w:r>
    </w:p>
    <w:p w14:paraId="1D3EF4A7">
      <w:pPr>
        <w:pStyle w:val="6"/>
        <w:ind w:left="0" w:firstLine="482" w:firstLineChars="200"/>
      </w:pPr>
      <w:r>
        <w:t>声环境影响预测与评价结论</w:t>
      </w:r>
    </w:p>
    <w:p w14:paraId="1D3EF4A8">
      <w:pPr>
        <w:ind w:firstLine="480"/>
      </w:pPr>
      <w:r>
        <w:t>工程完成后，由于厂区内高噪声设备均采取了有效的降噪措施，工程噪声对厂界的贡献影响不大，各厂界噪声</w:t>
      </w:r>
      <w:r>
        <w:rPr>
          <w:rFonts w:hint="eastAsia"/>
        </w:rPr>
        <w:t>预测值</w:t>
      </w:r>
      <w:r>
        <w:t>均不超标。评价认为，工程建成后其噪声对周围声环境的影响可以接受。</w:t>
      </w:r>
    </w:p>
    <w:p w14:paraId="1D3EF4A9">
      <w:pPr>
        <w:pStyle w:val="6"/>
        <w:ind w:left="0" w:firstLine="482" w:firstLineChars="200"/>
      </w:pPr>
      <w:r>
        <w:t>土壤环境影响预测与评价结论</w:t>
      </w:r>
    </w:p>
    <w:p w14:paraId="1D3EF4AA">
      <w:pPr>
        <w:ind w:firstLine="480"/>
      </w:pPr>
      <w:r>
        <w:t>根据项目厂区</w:t>
      </w:r>
      <w:r>
        <w:rPr>
          <w:rFonts w:hint="eastAsia"/>
        </w:rPr>
        <w:t>外</w:t>
      </w:r>
      <w:r>
        <w:t>内各土壤监测点位的监测数据均满足相关质量标准，土壤环境质量现状总体较好。通过采取经采取清洁生产、绿化、防渗、风险防控、跟踪监测等措施后，项目建设对土壤的影响较小，不会造成评价因子的超标，因此，本项目对土壤环境影响可接受。</w:t>
      </w:r>
    </w:p>
    <w:p w14:paraId="1D3EF4AB">
      <w:pPr>
        <w:pStyle w:val="5"/>
        <w:spacing w:before="240" w:after="240"/>
      </w:pPr>
      <w:bookmarkStart w:id="427" w:name="_Toc24199"/>
      <w:r>
        <w:t>工程完成后，各项污染防治措施可行，固废采取了有效地处置措施，全厂废水、废气、噪声污染物能够做到达标排放。</w:t>
      </w:r>
    </w:p>
    <w:p w14:paraId="1D3EF4AC">
      <w:pPr>
        <w:pStyle w:val="6"/>
        <w:ind w:left="0" w:firstLine="482" w:firstLineChars="200"/>
      </w:pPr>
      <w:r>
        <w:t>废气</w:t>
      </w:r>
    </w:p>
    <w:p w14:paraId="11B73AB4">
      <w:pPr>
        <w:ind w:firstLine="480"/>
        <w:rPr>
          <w:u w:val="single"/>
        </w:rPr>
      </w:pPr>
      <w:r>
        <w:rPr>
          <w:rFonts w:hint="eastAsia"/>
        </w:rPr>
        <w:t>本项目产品聚醚改性硅油生产废气主要为聚合和中和废气、</w:t>
      </w:r>
      <w:r>
        <w:t>硅氢化反应</w:t>
      </w:r>
      <w:r>
        <w:rPr>
          <w:rFonts w:hint="eastAsia"/>
        </w:rPr>
        <w:t>和</w:t>
      </w:r>
      <w:r>
        <w:t>脱色</w:t>
      </w:r>
      <w:r>
        <w:rPr>
          <w:rFonts w:hint="eastAsia"/>
        </w:rPr>
        <w:t>废气、小苏打和活性炭投料废气、污水处理站废气、危险废物贮存库废气、化验室废气。其中，因每批次投加小苏打和椰壳活性炭的量较少，且采用真空投料机进行投料，故其投料废气产生极少，不再考虑。产品色浆生产废气主要为投料废气。</w:t>
      </w:r>
      <w:r>
        <w:rPr>
          <w:rFonts w:hint="eastAsia"/>
          <w:u w:val="single"/>
        </w:rPr>
        <w:t>聚合、中和与硅氢化反应、脱色产生有机废气的经密闭管道负压</w:t>
      </w:r>
      <w:r>
        <w:rPr>
          <w:u w:val="single"/>
        </w:rPr>
        <w:t>收集后</w:t>
      </w:r>
      <w:r>
        <w:rPr>
          <w:rFonts w:hint="eastAsia"/>
          <w:u w:val="single"/>
        </w:rPr>
        <w:t>经“设备自带冷凝”处理，处理后与污水处理站废气一起引入“碱喷淋+水喷淋+除雾器”处理，处理后与危险废物贮存库废气、化验室废气一起引入活性炭吸附装置，最终经1根15m高的排气筒DA001排放；色粉投料粉尘经袋式除尘器处理后经1根15m高的排气筒DA002排放。废气污染物排放浓度和速率分别为</w:t>
      </w:r>
      <w:r>
        <w:rPr>
          <w:rFonts w:hint="eastAsia"/>
          <w:szCs w:val="24"/>
          <w:u w:val="single"/>
        </w:rPr>
        <w:t>非甲烷总烃14.2</w:t>
      </w:r>
      <w:r>
        <w:rPr>
          <w:rFonts w:hint="eastAsia"/>
          <w:sz w:val="21"/>
          <w:szCs w:val="21"/>
          <w:u w:val="single"/>
        </w:rPr>
        <w:t>mg/m</w:t>
      </w:r>
      <w:r>
        <w:rPr>
          <w:rFonts w:hint="eastAsia"/>
          <w:sz w:val="21"/>
          <w:szCs w:val="21"/>
          <w:u w:val="single"/>
          <w:vertAlign w:val="superscript"/>
        </w:rPr>
        <w:t>3</w:t>
      </w:r>
      <w:r>
        <w:rPr>
          <w:rFonts w:hint="eastAsia"/>
          <w:szCs w:val="24"/>
          <w:u w:val="single"/>
        </w:rPr>
        <w:t>、0.071kg/h，硫酸雾1.56</w:t>
      </w:r>
      <w:r>
        <w:rPr>
          <w:rFonts w:hint="eastAsia"/>
          <w:sz w:val="21"/>
          <w:szCs w:val="21"/>
          <w:u w:val="single"/>
        </w:rPr>
        <w:t>mg/m</w:t>
      </w:r>
      <w:r>
        <w:rPr>
          <w:rFonts w:hint="eastAsia"/>
          <w:sz w:val="21"/>
          <w:szCs w:val="21"/>
          <w:u w:val="single"/>
          <w:vertAlign w:val="superscript"/>
        </w:rPr>
        <w:t>3</w:t>
      </w:r>
      <w:r>
        <w:rPr>
          <w:rFonts w:hint="eastAsia"/>
          <w:szCs w:val="24"/>
          <w:u w:val="single"/>
        </w:rPr>
        <w:t>、0.0078kg/h，颗粒物6</w:t>
      </w:r>
      <w:r>
        <w:rPr>
          <w:rFonts w:hint="eastAsia"/>
          <w:sz w:val="21"/>
          <w:szCs w:val="21"/>
          <w:u w:val="single"/>
        </w:rPr>
        <w:t>mg/m</w:t>
      </w:r>
      <w:r>
        <w:rPr>
          <w:rFonts w:hint="eastAsia"/>
          <w:sz w:val="21"/>
          <w:szCs w:val="21"/>
          <w:u w:val="single"/>
          <w:vertAlign w:val="superscript"/>
        </w:rPr>
        <w:t>3</w:t>
      </w:r>
      <w:r>
        <w:rPr>
          <w:rFonts w:hint="eastAsia"/>
          <w:szCs w:val="24"/>
          <w:u w:val="single"/>
        </w:rPr>
        <w:t>、0.03kg/h，</w:t>
      </w:r>
      <w:r>
        <w:rPr>
          <w:bCs/>
          <w:szCs w:val="24"/>
          <w:u w:val="single"/>
        </w:rPr>
        <w:t>排放浓度</w:t>
      </w:r>
      <w:r>
        <w:rPr>
          <w:rFonts w:hint="eastAsia"/>
          <w:bCs/>
          <w:szCs w:val="24"/>
          <w:u w:val="single"/>
        </w:rPr>
        <w:t>和排放速率</w:t>
      </w:r>
      <w:r>
        <w:rPr>
          <w:bCs/>
          <w:szCs w:val="24"/>
          <w:u w:val="single"/>
        </w:rPr>
        <w:t>能够满足《大气污染物综合排放标准》（GB16297-1996）表2限值</w:t>
      </w:r>
      <w:r>
        <w:rPr>
          <w:rFonts w:hint="eastAsia"/>
          <w:bCs/>
          <w:szCs w:val="24"/>
          <w:u w:val="single"/>
        </w:rPr>
        <w:t>（非甲烷总烃</w:t>
      </w:r>
      <w:r>
        <w:rPr>
          <w:bCs/>
          <w:kern w:val="24"/>
          <w:szCs w:val="24"/>
          <w:u w:val="single"/>
        </w:rPr>
        <w:t>120mg/m</w:t>
      </w:r>
      <w:r>
        <w:rPr>
          <w:bCs/>
          <w:kern w:val="24"/>
          <w:szCs w:val="24"/>
          <w:u w:val="single"/>
          <w:vertAlign w:val="superscript"/>
        </w:rPr>
        <w:t>3</w:t>
      </w:r>
      <w:r>
        <w:rPr>
          <w:bCs/>
          <w:kern w:val="24"/>
          <w:szCs w:val="24"/>
          <w:u w:val="single"/>
        </w:rPr>
        <w:t>、10kg/h</w:t>
      </w:r>
      <w:r>
        <w:rPr>
          <w:rFonts w:hint="eastAsia"/>
          <w:bCs/>
          <w:kern w:val="24"/>
          <w:szCs w:val="24"/>
          <w:u w:val="single"/>
        </w:rPr>
        <w:t>，颗粒物</w:t>
      </w:r>
      <w:r>
        <w:rPr>
          <w:bCs/>
          <w:kern w:val="24"/>
          <w:szCs w:val="24"/>
          <w:u w:val="single"/>
        </w:rPr>
        <w:t>1</w:t>
      </w:r>
      <w:r>
        <w:rPr>
          <w:rFonts w:hint="eastAsia"/>
          <w:bCs/>
          <w:kern w:val="24"/>
          <w:szCs w:val="24"/>
          <w:u w:val="single"/>
        </w:rPr>
        <w:t>2</w:t>
      </w:r>
      <w:r>
        <w:rPr>
          <w:bCs/>
          <w:kern w:val="24"/>
          <w:szCs w:val="24"/>
          <w:u w:val="single"/>
        </w:rPr>
        <w:t>0mg/m</w:t>
      </w:r>
      <w:r>
        <w:rPr>
          <w:bCs/>
          <w:kern w:val="24"/>
          <w:szCs w:val="24"/>
          <w:u w:val="single"/>
          <w:vertAlign w:val="superscript"/>
        </w:rPr>
        <w:t>3</w:t>
      </w:r>
      <w:r>
        <w:rPr>
          <w:bCs/>
          <w:kern w:val="24"/>
          <w:szCs w:val="24"/>
          <w:u w:val="single"/>
        </w:rPr>
        <w:t>、</w:t>
      </w:r>
      <w:r>
        <w:rPr>
          <w:rFonts w:hint="eastAsia"/>
          <w:bCs/>
          <w:kern w:val="24"/>
          <w:szCs w:val="24"/>
          <w:u w:val="single"/>
        </w:rPr>
        <w:t>3.5</w:t>
      </w:r>
      <w:r>
        <w:rPr>
          <w:bCs/>
          <w:kern w:val="24"/>
          <w:szCs w:val="24"/>
          <w:u w:val="single"/>
        </w:rPr>
        <w:t>kg/h</w:t>
      </w:r>
      <w:r>
        <w:rPr>
          <w:rFonts w:hint="eastAsia"/>
          <w:bCs/>
          <w:kern w:val="24"/>
          <w:szCs w:val="24"/>
          <w:u w:val="single"/>
        </w:rPr>
        <w:t>，硫酸雾45</w:t>
      </w:r>
      <w:r>
        <w:rPr>
          <w:bCs/>
          <w:kern w:val="24"/>
          <w:szCs w:val="24"/>
          <w:u w:val="single"/>
        </w:rPr>
        <w:t>mg/m</w:t>
      </w:r>
      <w:r>
        <w:rPr>
          <w:bCs/>
          <w:kern w:val="24"/>
          <w:szCs w:val="24"/>
          <w:u w:val="single"/>
          <w:vertAlign w:val="superscript"/>
        </w:rPr>
        <w:t>3</w:t>
      </w:r>
      <w:r>
        <w:rPr>
          <w:bCs/>
          <w:kern w:val="24"/>
          <w:szCs w:val="24"/>
          <w:u w:val="single"/>
        </w:rPr>
        <w:t>、</w:t>
      </w:r>
      <w:r>
        <w:rPr>
          <w:rFonts w:hint="eastAsia"/>
          <w:bCs/>
          <w:kern w:val="24"/>
          <w:szCs w:val="24"/>
          <w:u w:val="single"/>
        </w:rPr>
        <w:t>1.5</w:t>
      </w:r>
      <w:r>
        <w:rPr>
          <w:bCs/>
          <w:kern w:val="24"/>
          <w:szCs w:val="24"/>
          <w:u w:val="single"/>
        </w:rPr>
        <w:t>kg/h</w:t>
      </w:r>
      <w:r>
        <w:rPr>
          <w:rFonts w:hint="eastAsia"/>
          <w:bCs/>
          <w:szCs w:val="24"/>
          <w:u w:val="single"/>
        </w:rPr>
        <w:t>）、</w:t>
      </w:r>
      <w:r>
        <w:rPr>
          <w:bCs/>
          <w:kern w:val="24"/>
          <w:szCs w:val="24"/>
          <w:u w:val="single"/>
        </w:rPr>
        <w:t>《关于全省开展工业挥发性有机物专项治理工作中排放建议值的通知》（豫环攻坚办〔2017〕162号）中限值要求（非甲烷总烃80mg/m</w:t>
      </w:r>
      <w:r>
        <w:rPr>
          <w:bCs/>
          <w:kern w:val="24"/>
          <w:szCs w:val="24"/>
          <w:u w:val="single"/>
          <w:vertAlign w:val="superscript"/>
        </w:rPr>
        <w:t>3</w:t>
      </w:r>
      <w:r>
        <w:rPr>
          <w:bCs/>
          <w:kern w:val="24"/>
          <w:szCs w:val="24"/>
          <w:u w:val="single"/>
        </w:rPr>
        <w:t>）</w:t>
      </w:r>
      <w:r>
        <w:rPr>
          <w:rFonts w:hint="eastAsia"/>
          <w:bCs/>
          <w:kern w:val="24"/>
          <w:szCs w:val="24"/>
          <w:u w:val="single"/>
        </w:rPr>
        <w:t>及</w:t>
      </w:r>
      <w:r>
        <w:rPr>
          <w:bCs/>
          <w:kern w:val="24"/>
          <w:szCs w:val="24"/>
          <w:u w:val="single"/>
        </w:rPr>
        <w:t>《河南省重污染天气重点行业应急减排措施技术指南》（2021年修订版）中有机化工A级绩效指标（非甲烷总烃20mg/m</w:t>
      </w:r>
      <w:r>
        <w:rPr>
          <w:bCs/>
          <w:kern w:val="24"/>
          <w:szCs w:val="24"/>
          <w:u w:val="single"/>
          <w:vertAlign w:val="superscript"/>
        </w:rPr>
        <w:t>3</w:t>
      </w:r>
      <w:r>
        <w:rPr>
          <w:bCs/>
          <w:kern w:val="24"/>
          <w:szCs w:val="24"/>
          <w:u w:val="single"/>
        </w:rPr>
        <w:t>）</w:t>
      </w:r>
      <w:r>
        <w:rPr>
          <w:rFonts w:hint="eastAsia"/>
          <w:bCs/>
          <w:kern w:val="24"/>
          <w:szCs w:val="24"/>
          <w:u w:val="single"/>
        </w:rPr>
        <w:t>、</w:t>
      </w:r>
      <w:r>
        <w:rPr>
          <w:bCs/>
          <w:kern w:val="24"/>
          <w:szCs w:val="24"/>
          <w:u w:val="single"/>
        </w:rPr>
        <w:t>《新乡市生态环境局关于进一步规范工业企业颗粒物排放限值的通知》（颗粒物10mg/m</w:t>
      </w:r>
      <w:r>
        <w:rPr>
          <w:bCs/>
          <w:kern w:val="24"/>
          <w:szCs w:val="24"/>
          <w:u w:val="single"/>
          <w:vertAlign w:val="superscript"/>
        </w:rPr>
        <w:t>3</w:t>
      </w:r>
      <w:r>
        <w:rPr>
          <w:bCs/>
          <w:kern w:val="24"/>
          <w:szCs w:val="24"/>
          <w:u w:val="single"/>
        </w:rPr>
        <w:t>）。</w:t>
      </w:r>
      <w:r>
        <w:rPr>
          <w:rFonts w:hint="eastAsia"/>
          <w:bCs/>
          <w:kern w:val="24"/>
          <w:szCs w:val="24"/>
          <w:u w:val="single"/>
        </w:rPr>
        <w:t>氨、硫化氢和臭气浓度排放满足《恶臭污染物排放标准》（GB14554-93）中氨4.9kg/h、硫化氢0.33kg/h和臭气浓度2000（无量纲）的标准限值。</w:t>
      </w:r>
      <w:r>
        <w:rPr>
          <w:rFonts w:hint="eastAsia"/>
          <w:szCs w:val="24"/>
          <w:u w:val="single"/>
        </w:rPr>
        <w:t>另外，</w:t>
      </w:r>
      <w:r>
        <w:rPr>
          <w:u w:val="single"/>
        </w:rPr>
        <w:t xml:space="preserve">根据《排污许可证申请与核发技术规范 </w:t>
      </w:r>
      <w:r>
        <w:rPr>
          <w:rFonts w:hint="eastAsia"/>
          <w:u w:val="single"/>
        </w:rPr>
        <w:t>专用化学产品制造</w:t>
      </w:r>
      <w:r>
        <w:rPr>
          <w:u w:val="single"/>
        </w:rPr>
        <w:t>工业》（HJ 1</w:t>
      </w:r>
      <w:r>
        <w:rPr>
          <w:rFonts w:hint="eastAsia"/>
          <w:u w:val="single"/>
        </w:rPr>
        <w:t>103</w:t>
      </w:r>
      <w:r>
        <w:rPr>
          <w:u w:val="single"/>
        </w:rPr>
        <w:t>-20</w:t>
      </w:r>
      <w:r>
        <w:rPr>
          <w:rFonts w:hint="eastAsia"/>
          <w:u w:val="single"/>
        </w:rPr>
        <w:t>20</w:t>
      </w:r>
      <w:r>
        <w:rPr>
          <w:u w:val="single"/>
        </w:rPr>
        <w:t>）</w:t>
      </w:r>
      <w:r>
        <w:rPr>
          <w:rFonts w:hint="eastAsia"/>
          <w:u w:val="single"/>
        </w:rPr>
        <w:t>和《排污许可证申请与核发技术规范 涂料、油墨、颜料及类似产品制造业》（HJ 1116—2020）</w:t>
      </w:r>
      <w:r>
        <w:rPr>
          <w:u w:val="single"/>
        </w:rPr>
        <w:t>，</w:t>
      </w:r>
      <w:r>
        <w:rPr>
          <w:rFonts w:hint="eastAsia"/>
          <w:u w:val="single"/>
        </w:rPr>
        <w:t>本项目产生的颗粒物采用袋式除尘器进行处理，产生的非甲烷总烃采用“设备自带冷凝+碱喷淋+水喷淋+除雾器+活性炭吸附装置”进行处理，产生的硫酸雾采用“碱喷淋+水喷淋”进行处理，均能</w:t>
      </w:r>
      <w:r>
        <w:rPr>
          <w:u w:val="single"/>
        </w:rPr>
        <w:t>够满足规范的要求，属于可行技术。</w:t>
      </w:r>
    </w:p>
    <w:p w14:paraId="1D3EF4AE">
      <w:pPr>
        <w:ind w:firstLine="480"/>
      </w:pPr>
      <w:r>
        <w:t>经采取上述相应的治理措施治理后项目各废气均可实现稳定达标排放，满足相应排放标准要求。</w:t>
      </w:r>
    </w:p>
    <w:p w14:paraId="1D3EF4AF">
      <w:pPr>
        <w:pStyle w:val="6"/>
        <w:ind w:left="0" w:firstLine="482" w:firstLineChars="200"/>
      </w:pPr>
      <w:r>
        <w:t>废水</w:t>
      </w:r>
    </w:p>
    <w:p w14:paraId="1D3EF4B0">
      <w:pPr>
        <w:ind w:firstLine="480"/>
        <w:rPr>
          <w:highlight w:val="yellow"/>
        </w:rPr>
      </w:pPr>
      <w:r>
        <w:t>本工程废水主要有：循环冷却水系统排水</w:t>
      </w:r>
      <w:r>
        <w:rPr>
          <w:rFonts w:hint="eastAsia"/>
        </w:rPr>
        <w:t>、职工生活污水、喷淋废水和车间地面清洗水</w:t>
      </w:r>
      <w:r>
        <w:t>。</w:t>
      </w:r>
      <w:r>
        <w:rPr>
          <w:rFonts w:hint="eastAsia"/>
          <w:kern w:val="2"/>
          <w:szCs w:val="24"/>
        </w:rPr>
        <w:t>喷淋废水、车间地面清洗废水经厂区污水处理站处理后与经化粪池处理后的生活污水、</w:t>
      </w:r>
      <w:r>
        <w:t>循环冷却水系统排水</w:t>
      </w:r>
      <w:r>
        <w:rPr>
          <w:kern w:val="2"/>
          <w:szCs w:val="24"/>
        </w:rPr>
        <w:t>一起由厂区总排口排入园区污水管网，再</w:t>
      </w:r>
      <w:r>
        <w:rPr>
          <w:rFonts w:hint="eastAsia"/>
          <w:kern w:val="2"/>
          <w:szCs w:val="24"/>
        </w:rPr>
        <w:t>进入唐庄</w:t>
      </w:r>
      <w:r>
        <w:rPr>
          <w:kern w:val="2"/>
          <w:szCs w:val="24"/>
        </w:rPr>
        <w:t>污水处理厂进行进一步处理，处理后排入</w:t>
      </w:r>
      <w:r>
        <w:rPr>
          <w:rFonts w:hint="eastAsia"/>
          <w:kern w:val="2"/>
          <w:szCs w:val="24"/>
        </w:rPr>
        <w:t>共产主义渠</w:t>
      </w:r>
      <w:r>
        <w:rPr>
          <w:kern w:val="2"/>
          <w:szCs w:val="24"/>
        </w:rPr>
        <w:t>。</w:t>
      </w:r>
      <w:r>
        <w:rPr>
          <w:rFonts w:hint="eastAsia"/>
        </w:rPr>
        <w:t>厂区总排口废水水质为</w:t>
      </w:r>
      <w:r>
        <w:rPr>
          <w:rFonts w:hint="eastAsia"/>
          <w:bCs/>
          <w:u w:val="single"/>
        </w:rPr>
        <w:t>pH 6~9、COD 210mg/L、BOD</w:t>
      </w:r>
      <w:r>
        <w:rPr>
          <w:rFonts w:hint="eastAsia"/>
          <w:bCs/>
          <w:u w:val="single"/>
          <w:vertAlign w:val="subscript"/>
        </w:rPr>
        <w:t>5</w:t>
      </w:r>
      <w:r>
        <w:rPr>
          <w:rFonts w:hint="eastAsia"/>
          <w:bCs/>
          <w:u w:val="single"/>
        </w:rPr>
        <w:t xml:space="preserve"> 50.7mg/L、SS 87.8mg/L、NH</w:t>
      </w:r>
      <w:r>
        <w:rPr>
          <w:rFonts w:hint="eastAsia"/>
          <w:bCs/>
          <w:u w:val="single"/>
          <w:vertAlign w:val="subscript"/>
        </w:rPr>
        <w:t>3</w:t>
      </w:r>
      <w:r>
        <w:rPr>
          <w:rFonts w:hint="eastAsia"/>
          <w:bCs/>
          <w:u w:val="single"/>
        </w:rPr>
        <w:t>-N 3.3mg/L、TN 6mg/L、TP 0.39mg/L、石油类4.4mg/L、硫酸钠194mg/L，能够满足</w:t>
      </w:r>
      <w:r>
        <w:rPr>
          <w:bCs/>
          <w:u w:val="single"/>
        </w:rPr>
        <w:t>《化工行业水污染物间接排放标准》（DB41/1</w:t>
      </w:r>
      <w:r>
        <w:rPr>
          <w:rFonts w:hint="eastAsia"/>
          <w:bCs/>
          <w:u w:val="single"/>
        </w:rPr>
        <w:t>135-2016</w:t>
      </w:r>
      <w:r>
        <w:rPr>
          <w:bCs/>
          <w:u w:val="single"/>
        </w:rPr>
        <w:t>）</w:t>
      </w:r>
      <w:r>
        <w:rPr>
          <w:rFonts w:hint="eastAsia"/>
          <w:bCs/>
          <w:u w:val="single"/>
        </w:rPr>
        <w:t>表1、表2间接排放限值要求（pH 6~9、COD 300mg/L、SS 150mg/L、NH</w:t>
      </w:r>
      <w:r>
        <w:rPr>
          <w:rFonts w:hint="eastAsia"/>
          <w:bCs/>
          <w:u w:val="single"/>
          <w:vertAlign w:val="subscript"/>
        </w:rPr>
        <w:t>3</w:t>
      </w:r>
      <w:r>
        <w:rPr>
          <w:rFonts w:hint="eastAsia"/>
          <w:bCs/>
          <w:u w:val="single"/>
        </w:rPr>
        <w:t>-N 30mg/L、TN 50mg/L、TP 5mg/L、石油类20</w:t>
      </w:r>
      <w:r>
        <w:rPr>
          <w:bCs/>
          <w:u w:val="single"/>
        </w:rPr>
        <w:t>mg/L</w:t>
      </w:r>
      <w:r>
        <w:rPr>
          <w:rFonts w:hint="eastAsia"/>
          <w:bCs/>
          <w:u w:val="single"/>
        </w:rPr>
        <w:t>），同时满足唐庄</w:t>
      </w:r>
      <w:r>
        <w:rPr>
          <w:bCs/>
          <w:u w:val="single"/>
        </w:rPr>
        <w:t>污水处理厂收水标准</w:t>
      </w:r>
      <w:r>
        <w:rPr>
          <w:rFonts w:hint="eastAsia"/>
          <w:bCs/>
          <w:u w:val="single"/>
        </w:rPr>
        <w:t>（pH 6~9、COD 360mg/L、BOD</w:t>
      </w:r>
      <w:r>
        <w:rPr>
          <w:rFonts w:hint="eastAsia"/>
          <w:bCs/>
          <w:u w:val="single"/>
          <w:vertAlign w:val="subscript"/>
        </w:rPr>
        <w:t>5</w:t>
      </w:r>
      <w:r>
        <w:rPr>
          <w:rFonts w:hint="eastAsia"/>
          <w:bCs/>
          <w:u w:val="single"/>
        </w:rPr>
        <w:t xml:space="preserve"> 200mg/L、SS 280mg/L、NH</w:t>
      </w:r>
      <w:r>
        <w:rPr>
          <w:rFonts w:hint="eastAsia"/>
          <w:bCs/>
          <w:u w:val="single"/>
          <w:vertAlign w:val="subscript"/>
        </w:rPr>
        <w:t>3</w:t>
      </w:r>
      <w:r>
        <w:rPr>
          <w:rFonts w:hint="eastAsia"/>
          <w:bCs/>
          <w:u w:val="single"/>
        </w:rPr>
        <w:t>-N 30mg/L、TN 40mg/L、TP 5mg/L）</w:t>
      </w:r>
      <w:r>
        <w:rPr>
          <w:rFonts w:hint="eastAsia"/>
          <w:bCs/>
        </w:rPr>
        <w:t>。</w:t>
      </w:r>
    </w:p>
    <w:p w14:paraId="1D3EF4B1">
      <w:pPr>
        <w:pStyle w:val="6"/>
        <w:ind w:left="0" w:firstLine="482" w:firstLineChars="200"/>
      </w:pPr>
      <w:r>
        <w:t>噪声</w:t>
      </w:r>
    </w:p>
    <w:p w14:paraId="1D3EF4B2">
      <w:pPr>
        <w:ind w:firstLine="480"/>
        <w:rPr>
          <w:u w:val="single"/>
        </w:rPr>
      </w:pPr>
      <w:r>
        <w:rPr>
          <w:u w:val="single"/>
        </w:rPr>
        <w:t>该项目主要的噪声源为</w:t>
      </w:r>
      <w:r>
        <w:rPr>
          <w:rFonts w:hint="eastAsia"/>
          <w:u w:val="single"/>
        </w:rPr>
        <w:t>真空上料机</w:t>
      </w:r>
      <w:r>
        <w:rPr>
          <w:u w:val="single"/>
        </w:rPr>
        <w:t>、</w:t>
      </w:r>
      <w:r>
        <w:rPr>
          <w:rFonts w:hint="eastAsia"/>
          <w:u w:val="single"/>
        </w:rPr>
        <w:t>离心机</w:t>
      </w:r>
      <w:r>
        <w:rPr>
          <w:u w:val="single"/>
        </w:rPr>
        <w:t>、</w:t>
      </w:r>
      <w:r>
        <w:rPr>
          <w:rFonts w:hint="eastAsia"/>
          <w:u w:val="single"/>
        </w:rPr>
        <w:t>自动灌装</w:t>
      </w:r>
      <w:r>
        <w:rPr>
          <w:u w:val="single"/>
        </w:rPr>
        <w:t>机、</w:t>
      </w:r>
      <w:r>
        <w:rPr>
          <w:rFonts w:hint="eastAsia"/>
          <w:u w:val="single"/>
        </w:rPr>
        <w:t>进料泵、循环水站</w:t>
      </w:r>
      <w:r>
        <w:rPr>
          <w:bCs/>
          <w:u w:val="single"/>
        </w:rPr>
        <w:t>等，其噪声声源值在8</w:t>
      </w:r>
      <w:r>
        <w:rPr>
          <w:rFonts w:hint="eastAsia"/>
          <w:bCs/>
          <w:u w:val="single"/>
        </w:rPr>
        <w:t>0</w:t>
      </w:r>
      <w:r>
        <w:rPr>
          <w:bCs/>
          <w:u w:val="single"/>
        </w:rPr>
        <w:t>~9</w:t>
      </w:r>
      <w:r>
        <w:rPr>
          <w:rFonts w:hint="eastAsia"/>
          <w:bCs/>
          <w:u w:val="single"/>
        </w:rPr>
        <w:t>0</w:t>
      </w:r>
      <w:r>
        <w:rPr>
          <w:bCs/>
          <w:u w:val="single"/>
        </w:rPr>
        <w:t>dB（A）之间</w:t>
      </w:r>
      <w:r>
        <w:rPr>
          <w:u w:val="single"/>
        </w:rPr>
        <w:t>，经减振、隔声措施治理后，各厂界噪声均能够达到《工业企业厂界环境噪声排放标准》（GB12348-2008）</w:t>
      </w:r>
      <w:r>
        <w:rPr>
          <w:rFonts w:hint="eastAsia"/>
          <w:u w:val="single"/>
        </w:rPr>
        <w:t>3</w:t>
      </w:r>
      <w:r>
        <w:rPr>
          <w:u w:val="single"/>
        </w:rPr>
        <w:t>类昼间6</w:t>
      </w:r>
      <w:r>
        <w:rPr>
          <w:rFonts w:hint="eastAsia"/>
          <w:u w:val="single"/>
        </w:rPr>
        <w:t>5</w:t>
      </w:r>
      <w:r>
        <w:rPr>
          <w:u w:val="single"/>
        </w:rPr>
        <w:t>dB(A)、夜间5</w:t>
      </w:r>
      <w:r>
        <w:rPr>
          <w:rFonts w:hint="eastAsia"/>
          <w:u w:val="single"/>
        </w:rPr>
        <w:t>5</w:t>
      </w:r>
      <w:r>
        <w:rPr>
          <w:u w:val="single"/>
        </w:rPr>
        <w:t>dB(A)标准的要求。</w:t>
      </w:r>
    </w:p>
    <w:p w14:paraId="1D3EF4B3">
      <w:pPr>
        <w:pStyle w:val="6"/>
        <w:ind w:left="0" w:firstLine="482" w:firstLineChars="200"/>
      </w:pPr>
      <w:r>
        <w:t>固废</w:t>
      </w:r>
    </w:p>
    <w:p w14:paraId="1D3EF4B4">
      <w:pPr>
        <w:ind w:firstLine="480"/>
        <w:rPr>
          <w:u w:val="single"/>
        </w:rPr>
      </w:pPr>
      <w:r>
        <w:t>本项目营运期间产生的固废分为一般固废和危险废物，一般固废主要为</w:t>
      </w:r>
      <w:r>
        <w:rPr>
          <w:rFonts w:hint="eastAsia"/>
        </w:rPr>
        <w:t>废原料包装袋，废原料包装袋在一般固废暂存间暂存，定期出售。废溶剂包装桶</w:t>
      </w:r>
      <w:r>
        <w:t>交由生产厂家回收并回用于原始用途</w:t>
      </w:r>
      <w:r>
        <w:rPr>
          <w:rFonts w:hint="eastAsia"/>
        </w:rPr>
        <w:t>，不再作为固体废物管理，</w:t>
      </w:r>
      <w:r>
        <w:t>对于厂区内尚未转移出去的包装桶，建议在厂区内设置专门的暂存点</w:t>
      </w:r>
      <w:r>
        <w:rPr>
          <w:rFonts w:hint="eastAsia"/>
        </w:rPr>
        <w:t>。</w:t>
      </w:r>
      <w:r>
        <w:rPr>
          <w:rFonts w:hint="eastAsia"/>
          <w:u w:val="single"/>
        </w:rPr>
        <w:t>危险废物</w:t>
      </w:r>
      <w:r>
        <w:rPr>
          <w:u w:val="single"/>
        </w:rPr>
        <w:t>主要为</w:t>
      </w:r>
      <w:r>
        <w:rPr>
          <w:rFonts w:hint="eastAsia"/>
          <w:u w:val="single"/>
        </w:rPr>
        <w:t>生产过程过滤和离心产生的废活性炭、废气治理设施产生的废活性炭、化验室废物、污水处理站产生的污泥、加热制冷设施产生的废导热油</w:t>
      </w:r>
      <w:r>
        <w:rPr>
          <w:u w:val="single"/>
        </w:rPr>
        <w:t>，收集后暂存于危废贮存库内，委托有资质的单位处理。</w:t>
      </w:r>
    </w:p>
    <w:bookmarkEnd w:id="427"/>
    <w:p w14:paraId="1D3EF4B5">
      <w:pPr>
        <w:pStyle w:val="5"/>
        <w:spacing w:before="240" w:after="240"/>
      </w:pPr>
      <w:bookmarkStart w:id="428" w:name="_Toc11794"/>
      <w:r>
        <w:t>工程环保投资</w:t>
      </w:r>
      <w:bookmarkEnd w:id="428"/>
    </w:p>
    <w:p w14:paraId="1D3EF4B6">
      <w:pPr>
        <w:ind w:firstLine="480"/>
        <w:rPr>
          <w:u w:val="single"/>
        </w:rPr>
      </w:pPr>
      <w:r>
        <w:rPr>
          <w:u w:val="single"/>
        </w:rPr>
        <w:t>工程环保投资</w:t>
      </w:r>
      <w:r>
        <w:rPr>
          <w:rFonts w:hint="eastAsia"/>
          <w:u w:val="single"/>
        </w:rPr>
        <w:t>150</w:t>
      </w:r>
      <w:r>
        <w:rPr>
          <w:u w:val="single"/>
        </w:rPr>
        <w:t>万元，占工程总投资的</w:t>
      </w:r>
      <w:r>
        <w:rPr>
          <w:rFonts w:hint="eastAsia"/>
          <w:u w:val="single"/>
        </w:rPr>
        <w:t>5</w:t>
      </w:r>
      <w:r>
        <w:rPr>
          <w:u w:val="single"/>
        </w:rPr>
        <w:t>%，建设单位应认真落实评价提出的各项污染防治措施，确保落实到位，严格执行环保“三同时”制度。</w:t>
      </w:r>
    </w:p>
    <w:p w14:paraId="1D3EF4B7">
      <w:pPr>
        <w:pStyle w:val="5"/>
        <w:spacing w:before="240" w:after="240"/>
      </w:pPr>
      <w:r>
        <w:t>工程符合清洁生产的要求</w:t>
      </w:r>
    </w:p>
    <w:p w14:paraId="1D3EF4B8">
      <w:pPr>
        <w:ind w:firstLine="480"/>
        <w:rPr>
          <w:szCs w:val="24"/>
        </w:rPr>
      </w:pPr>
      <w:r>
        <w:t>本项目无行业清洁生产标准，通过查阅相关文献，根据工程特点从原材料、产品结构、工艺的选择、生产设备、环境管理、资源综合利用等方面对工程清洁生产进行分析，本项目各方面符合清洁生产和循环经济的要求，清洁生产水平处于国内清洁生产先进水平。</w:t>
      </w:r>
    </w:p>
    <w:p w14:paraId="1D3EF4B9">
      <w:pPr>
        <w:pStyle w:val="5"/>
        <w:spacing w:before="240" w:after="240"/>
      </w:pPr>
      <w:r>
        <w:t>工程建成后将具有较好的社会效益和经济效益</w:t>
      </w:r>
    </w:p>
    <w:p w14:paraId="1D3EF4BA">
      <w:pPr>
        <w:ind w:firstLine="480"/>
      </w:pPr>
      <w:r>
        <w:t>由环境经济效益分析可知，项目采取的各种污染防治措施合理可行，可使项目生产过程中产生的污染物得到较大程度的削减，同时项目的建设将会促进当地经济发展，增加就业机会，具有较好的经济效益和社会效益。</w:t>
      </w:r>
    </w:p>
    <w:p w14:paraId="1D3EF4BB">
      <w:pPr>
        <w:pStyle w:val="5"/>
        <w:spacing w:before="240" w:after="240"/>
      </w:pPr>
      <w:r>
        <w:t>公众参与公示</w:t>
      </w:r>
    </w:p>
    <w:p w14:paraId="1D3EF4BC">
      <w:pPr>
        <w:ind w:firstLine="480"/>
        <w:rPr>
          <w:bCs/>
          <w:szCs w:val="24"/>
        </w:rPr>
      </w:pPr>
      <w:r>
        <w:t>河南欣姣芬化工有限公司</w:t>
      </w:r>
      <w:r>
        <w:rPr>
          <w:bCs/>
        </w:rPr>
        <w:t>按照《环境影响评价公众参与办法》的要求进行</w:t>
      </w:r>
      <w:r>
        <w:rPr>
          <w:rFonts w:hint="eastAsia"/>
          <w:bCs/>
        </w:rPr>
        <w:t>了公众参与，公众无环境保护方面的反对意见，建设单位针对公众提出的环境保护方面的意见做出了采纳公众意见的承诺</w:t>
      </w:r>
      <w:r>
        <w:rPr>
          <w:bCs/>
          <w:szCs w:val="24"/>
        </w:rPr>
        <w:t>。</w:t>
      </w:r>
    </w:p>
    <w:p w14:paraId="1D3EF4BD">
      <w:pPr>
        <w:ind w:firstLine="464"/>
        <w:rPr>
          <w:spacing w:val="-4"/>
        </w:rPr>
      </w:pPr>
      <w:r>
        <w:rPr>
          <w:spacing w:val="-4"/>
        </w:rPr>
        <w:t>建设单位的公参真实性、有效性、代表性、公正性符合相关环保要求。</w:t>
      </w:r>
    </w:p>
    <w:p w14:paraId="1D3EF4BE">
      <w:pPr>
        <w:pStyle w:val="5"/>
        <w:spacing w:before="240" w:after="240"/>
      </w:pPr>
      <w:r>
        <w:t>总量控制指标建议</w:t>
      </w:r>
    </w:p>
    <w:p w14:paraId="1D3EF4BF">
      <w:pPr>
        <w:ind w:firstLine="480"/>
      </w:pPr>
      <w:bookmarkStart w:id="429" w:name="_Toc489346023"/>
      <w:bookmarkStart w:id="430" w:name="_Toc6020"/>
      <w: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14:paraId="5896898B">
      <w:pPr>
        <w:ind w:firstLine="480"/>
        <w:rPr>
          <w:szCs w:val="24"/>
        </w:rPr>
      </w:pPr>
      <w:r>
        <w:rPr>
          <w:szCs w:val="24"/>
        </w:rPr>
        <w:t>本次工程污染物排放总量如下。</w:t>
      </w:r>
    </w:p>
    <w:p w14:paraId="6460C35A">
      <w:pPr>
        <w:ind w:firstLine="480"/>
      </w:pPr>
      <w:r>
        <w:rPr>
          <w:rFonts w:hint="eastAsia"/>
          <w:u w:val="single"/>
        </w:rPr>
        <w:t>废水污染物：出厂量：</w:t>
      </w:r>
      <w:r>
        <w:rPr>
          <w:u w:val="single"/>
        </w:rPr>
        <w:t>COD 0.</w:t>
      </w:r>
      <w:r>
        <w:rPr>
          <w:rFonts w:hint="eastAsia"/>
          <w:u w:val="single"/>
        </w:rPr>
        <w:t>4604</w:t>
      </w:r>
      <w:r>
        <w:rPr>
          <w:u w:val="single"/>
        </w:rPr>
        <w:t>t/a、NH</w:t>
      </w:r>
      <w:r>
        <w:rPr>
          <w:u w:val="single"/>
          <w:vertAlign w:val="subscript"/>
        </w:rPr>
        <w:t>3</w:t>
      </w:r>
      <w:r>
        <w:rPr>
          <w:u w:val="single"/>
        </w:rPr>
        <w:t>-N 0.0</w:t>
      </w:r>
      <w:r>
        <w:rPr>
          <w:rFonts w:hint="eastAsia"/>
          <w:u w:val="single"/>
        </w:rPr>
        <w:t>072</w:t>
      </w:r>
      <w:r>
        <w:rPr>
          <w:u w:val="single"/>
        </w:rPr>
        <w:t>t/a、TN 0.0</w:t>
      </w:r>
      <w:r>
        <w:rPr>
          <w:rFonts w:hint="eastAsia"/>
          <w:u w:val="single"/>
        </w:rPr>
        <w:t>132</w:t>
      </w:r>
      <w:r>
        <w:rPr>
          <w:u w:val="single"/>
        </w:rPr>
        <w:t>t/a、TP 0.0</w:t>
      </w:r>
      <w:r>
        <w:rPr>
          <w:rFonts w:hint="eastAsia"/>
          <w:u w:val="single"/>
        </w:rPr>
        <w:t>009</w:t>
      </w:r>
      <w:r>
        <w:rPr>
          <w:u w:val="single"/>
        </w:rPr>
        <w:t>t/a</w:t>
      </w:r>
      <w:r>
        <w:rPr>
          <w:rFonts w:hint="eastAsia"/>
          <w:u w:val="single"/>
        </w:rPr>
        <w:t>；</w:t>
      </w:r>
    </w:p>
    <w:p w14:paraId="6F33498E">
      <w:pPr>
        <w:ind w:firstLine="480"/>
        <w:rPr>
          <w:u w:val="single"/>
        </w:rPr>
      </w:pPr>
      <w:r>
        <w:rPr>
          <w:rFonts w:hint="eastAsia"/>
          <w:u w:val="single"/>
        </w:rPr>
        <w:t>排入环境量：</w:t>
      </w:r>
      <w:r>
        <w:rPr>
          <w:u w:val="single"/>
        </w:rPr>
        <w:t>COD 0.</w:t>
      </w:r>
      <w:r>
        <w:rPr>
          <w:rFonts w:hint="eastAsia"/>
          <w:u w:val="single"/>
        </w:rPr>
        <w:t>0877</w:t>
      </w:r>
      <w:r>
        <w:rPr>
          <w:u w:val="single"/>
        </w:rPr>
        <w:t>t/a、氨氮0.0</w:t>
      </w:r>
      <w:r>
        <w:rPr>
          <w:rFonts w:hint="eastAsia"/>
          <w:u w:val="single"/>
        </w:rPr>
        <w:t>044</w:t>
      </w:r>
      <w:r>
        <w:rPr>
          <w:u w:val="single"/>
        </w:rPr>
        <w:t>t/a、</w:t>
      </w:r>
      <w:r>
        <w:rPr>
          <w:rFonts w:hint="eastAsia"/>
          <w:u w:val="single"/>
        </w:rPr>
        <w:t>总磷0.0009t/a、总氮0.0132t/a；</w:t>
      </w:r>
    </w:p>
    <w:p w14:paraId="1D99C213">
      <w:pPr>
        <w:pStyle w:val="2"/>
        <w:spacing w:after="0"/>
        <w:ind w:firstLine="480"/>
        <w:rPr>
          <w:u w:val="single"/>
        </w:rPr>
      </w:pPr>
      <w:r>
        <w:rPr>
          <w:rFonts w:hint="eastAsia"/>
          <w:u w:val="single"/>
        </w:rPr>
        <w:t>废气污染物：颗粒物</w:t>
      </w:r>
      <w:r>
        <w:rPr>
          <w:u w:val="single"/>
        </w:rPr>
        <w:t>0.</w:t>
      </w:r>
      <w:r>
        <w:rPr>
          <w:rFonts w:hint="eastAsia"/>
          <w:u w:val="single"/>
        </w:rPr>
        <w:t>12</w:t>
      </w:r>
      <w:r>
        <w:rPr>
          <w:u w:val="single"/>
        </w:rPr>
        <w:t>t/a</w:t>
      </w:r>
      <w:r>
        <w:rPr>
          <w:rFonts w:hint="eastAsia"/>
          <w:u w:val="single"/>
        </w:rPr>
        <w:t>、非甲烷总烃0.078t/a、硫酸雾0.0195t/a。</w:t>
      </w:r>
    </w:p>
    <w:p w14:paraId="1D3EF4C1">
      <w:pPr>
        <w:ind w:firstLine="480"/>
        <w:rPr>
          <w:highlight w:val="yellow"/>
        </w:rPr>
      </w:pPr>
      <w:r>
        <w:rPr>
          <w:u w:val="single"/>
        </w:rPr>
        <w:t>本项目新增重点污染物排放量为COD 0.</w:t>
      </w:r>
      <w:r>
        <w:rPr>
          <w:rFonts w:hint="eastAsia"/>
          <w:u w:val="single"/>
        </w:rPr>
        <w:t>0877</w:t>
      </w:r>
      <w:r>
        <w:rPr>
          <w:u w:val="single"/>
        </w:rPr>
        <w:t>t/a、氨氮0.0</w:t>
      </w:r>
      <w:r>
        <w:rPr>
          <w:rFonts w:hint="eastAsia"/>
          <w:u w:val="single"/>
        </w:rPr>
        <w:t>044</w:t>
      </w:r>
      <w:r>
        <w:rPr>
          <w:u w:val="single"/>
        </w:rPr>
        <w:t>t/a、</w:t>
      </w:r>
      <w:r>
        <w:rPr>
          <w:rFonts w:hint="eastAsia"/>
          <w:u w:val="single"/>
        </w:rPr>
        <w:t>颗粒物</w:t>
      </w:r>
      <w:r>
        <w:rPr>
          <w:u w:val="single"/>
        </w:rPr>
        <w:t>0.</w:t>
      </w:r>
      <w:r>
        <w:rPr>
          <w:rFonts w:hint="eastAsia"/>
          <w:u w:val="single"/>
        </w:rPr>
        <w:t>12</w:t>
      </w:r>
      <w:r>
        <w:rPr>
          <w:u w:val="single"/>
        </w:rPr>
        <w:t>t/a</w:t>
      </w:r>
      <w:r>
        <w:rPr>
          <w:rFonts w:hint="eastAsia"/>
          <w:u w:val="single"/>
        </w:rPr>
        <w:t>、非甲烷总烃0.078t/a</w:t>
      </w:r>
      <w:r>
        <w:rPr>
          <w:u w:val="single"/>
        </w:rPr>
        <w:t>。</w:t>
      </w:r>
      <w:r>
        <w:t>本项目建成后全厂重点污染物排放量为：</w:t>
      </w:r>
      <w:r>
        <w:rPr>
          <w:u w:val="single"/>
        </w:rPr>
        <w:t>COD 0.</w:t>
      </w:r>
      <w:r>
        <w:rPr>
          <w:rFonts w:hint="eastAsia"/>
          <w:u w:val="single"/>
        </w:rPr>
        <w:t>0877</w:t>
      </w:r>
      <w:r>
        <w:rPr>
          <w:u w:val="single"/>
        </w:rPr>
        <w:t>t/a、氨氮0.0</w:t>
      </w:r>
      <w:r>
        <w:rPr>
          <w:rFonts w:hint="eastAsia"/>
          <w:u w:val="single"/>
        </w:rPr>
        <w:t>044</w:t>
      </w:r>
      <w:r>
        <w:rPr>
          <w:u w:val="single"/>
        </w:rPr>
        <w:t>t/a、</w:t>
      </w:r>
      <w:r>
        <w:rPr>
          <w:rFonts w:hint="eastAsia"/>
          <w:u w:val="single"/>
        </w:rPr>
        <w:t>颗粒物</w:t>
      </w:r>
      <w:r>
        <w:rPr>
          <w:u w:val="single"/>
        </w:rPr>
        <w:t>0.</w:t>
      </w:r>
      <w:r>
        <w:rPr>
          <w:rFonts w:hint="eastAsia"/>
          <w:u w:val="single"/>
        </w:rPr>
        <w:t>12</w:t>
      </w:r>
      <w:r>
        <w:rPr>
          <w:u w:val="single"/>
        </w:rPr>
        <w:t>t/a</w:t>
      </w:r>
      <w:r>
        <w:rPr>
          <w:rFonts w:hint="eastAsia"/>
          <w:u w:val="single"/>
        </w:rPr>
        <w:t>、非甲烷总烃0.078t/a</w:t>
      </w:r>
      <w:r>
        <w:rPr>
          <w:u w:val="single"/>
        </w:rPr>
        <w:t>。</w:t>
      </w:r>
      <w:r>
        <w:rPr>
          <w:rFonts w:hint="eastAsia"/>
          <w:u w:val="single"/>
        </w:rPr>
        <w:t>其中COD、</w:t>
      </w:r>
      <w:r>
        <w:rPr>
          <w:u w:val="single"/>
        </w:rPr>
        <w:t>氨氮</w:t>
      </w:r>
      <w:r>
        <w:rPr>
          <w:rFonts w:hint="eastAsia"/>
          <w:u w:val="single"/>
        </w:rPr>
        <w:t>总量替代来自倒闭的卫辉市凌峰特种纸有限公司减排量剩余量COD 11.2843t、氨氮0.32422t。颗粒物来自河南世纪新峰水泥有限公司无组织排放治理剩余的48.1594吨；VOCs来自卫辉市鑫虎家具厂关停剩余的0.3344吨。</w:t>
      </w:r>
    </w:p>
    <w:p w14:paraId="1D3EF4C2">
      <w:pPr>
        <w:pStyle w:val="4"/>
      </w:pPr>
      <w:bookmarkStart w:id="431" w:name="_Toc176105902"/>
      <w:r>
        <w:t>建议</w:t>
      </w:r>
      <w:bookmarkEnd w:id="429"/>
      <w:bookmarkEnd w:id="430"/>
      <w:bookmarkEnd w:id="431"/>
    </w:p>
    <w:p w14:paraId="1D3EF4C3">
      <w:pPr>
        <w:ind w:firstLine="480"/>
      </w:pPr>
      <w:r>
        <w:t>（1）建设单位应严格执行环保“三同时”制度，确保环保资金落实到位。</w:t>
      </w:r>
    </w:p>
    <w:p w14:paraId="1D3EF4C4">
      <w:pPr>
        <w:ind w:firstLine="480"/>
      </w:pPr>
      <w:r>
        <w:t>（2）建立健全安全生产和管理制度，积极消除事故隐患，杜绝事故发生。</w:t>
      </w:r>
    </w:p>
    <w:p w14:paraId="1D3EF4C5">
      <w:pPr>
        <w:ind w:firstLine="480"/>
      </w:pPr>
      <w:r>
        <w:t>（3）加强公司清洁生产工作，认真实施各项清洁生产措施，提高原料利用率，减少污染物的排放量。</w:t>
      </w:r>
    </w:p>
    <w:p w14:paraId="1D3EF4C6">
      <w:pPr>
        <w:ind w:firstLine="480"/>
      </w:pPr>
      <w:r>
        <w:t>（4）加强厂区及周围的环境绿化，利用绿色植物阻滞粉尘、吸音降噪作用，有效降低噪声对外环境的影响。</w:t>
      </w:r>
    </w:p>
    <w:p w14:paraId="1D3EF4C7">
      <w:pPr>
        <w:ind w:firstLine="480"/>
      </w:pPr>
      <w:r>
        <w:t>（5）加强环境保护机构建设，健全环保规章制度，加强对各种污染防治设施的运行管理，定期维护检修，确保其正常稳定运行。</w:t>
      </w:r>
    </w:p>
    <w:p w14:paraId="1D3EF4C8">
      <w:pPr>
        <w:ind w:firstLine="480"/>
      </w:pPr>
      <w:r>
        <w:t>（6）规范员工的岗位操作章程制度、增强员工的安全意识。</w:t>
      </w:r>
    </w:p>
    <w:p w14:paraId="1D3EF4C9">
      <w:pPr>
        <w:ind w:firstLine="480"/>
      </w:pPr>
      <w:r>
        <w:t>（7）加强废气排放烟囱和固体废物暂存间地的规范化管理，按规定设置明显标志牌和便于监督监测的采样孔。</w:t>
      </w:r>
    </w:p>
    <w:p w14:paraId="1D3EF4CA">
      <w:pPr>
        <w:pStyle w:val="4"/>
      </w:pPr>
      <w:bookmarkStart w:id="432" w:name="_Toc489346024"/>
      <w:bookmarkStart w:id="433" w:name="_Toc176105903"/>
      <w:r>
        <w:t>总结论</w:t>
      </w:r>
      <w:bookmarkEnd w:id="432"/>
      <w:bookmarkEnd w:id="433"/>
    </w:p>
    <w:p w14:paraId="1D3EF4CC">
      <w:pPr>
        <w:ind w:firstLine="480"/>
      </w:pPr>
      <w:r>
        <w:t>河南欣姣芬化工有限公司年产10000吨聚醚改性硅油、1000吨色浆项目</w:t>
      </w:r>
      <w:r>
        <w:rPr>
          <w:rFonts w:hint="eastAsia"/>
        </w:rPr>
        <w:t>不属于</w:t>
      </w:r>
      <w:r>
        <w:t>《产业结构调整指导目录（2024年本）》中的</w:t>
      </w:r>
      <w:r>
        <w:rPr>
          <w:rFonts w:hint="eastAsia"/>
        </w:rPr>
        <w:t>“鼓励类”、“限制类”和“淘汰类”，属于允许类项目</w:t>
      </w:r>
      <w:r>
        <w:t>，符合国家产业政策；项目用地为工业用地，符合卫辉市铁西（</w:t>
      </w:r>
      <w:r>
        <w:rPr>
          <w:rFonts w:hint="eastAsia"/>
        </w:rPr>
        <w:t>化工</w:t>
      </w:r>
      <w:r>
        <w:t>）</w:t>
      </w:r>
      <w:r>
        <w:rPr>
          <w:rFonts w:hint="eastAsia"/>
        </w:rPr>
        <w:t>专业园区</w:t>
      </w:r>
      <w:r>
        <w:t>规划。根据环境影响预测结果：在保证评价要求和工程设计的防治措施正常运行的条件下，本项目对周围大气环境、地表水环境、地下水环境、声环境以及土壤环境的影响可接受；工程环境风险可防控；工程完成后，各项污染防治措施可行，全厂废水、废气、噪声污染物能够做到达标排放，固废采取了有效的处置措施；公众参与调查结果表明，公众对项目的建设无反对意见。从环保角度而言，该项目建设可行。</w:t>
      </w:r>
    </w:p>
    <w:p w14:paraId="632303A3">
      <w:pPr>
        <w:pStyle w:val="2"/>
        <w:spacing w:after="0" w:line="240" w:lineRule="auto"/>
        <w:ind w:firstLine="0" w:firstLineChars="0"/>
        <w:jc w:val="center"/>
      </w:pPr>
    </w:p>
    <w:p w14:paraId="7E442F26">
      <w:pPr>
        <w:spacing w:line="240" w:lineRule="auto"/>
        <w:ind w:firstLine="0" w:firstLineChars="0"/>
        <w:jc w:val="center"/>
        <w:sectPr>
          <w:pgSz w:w="11907" w:h="16840"/>
          <w:pgMar w:top="1440" w:right="1797" w:bottom="1440" w:left="1797" w:header="907" w:footer="907" w:gutter="0"/>
          <w:cols w:space="425" w:num="1"/>
          <w:docGrid w:linePitch="380" w:charSpace="0"/>
        </w:sectPr>
      </w:pPr>
    </w:p>
    <w:p w14:paraId="709265D2">
      <w:pPr>
        <w:spacing w:line="240" w:lineRule="auto"/>
        <w:ind w:firstLine="0" w:firstLineChars="0"/>
        <w:jc w:val="center"/>
      </w:pPr>
    </w:p>
    <w:p w14:paraId="62E5F9EB">
      <w:pPr>
        <w:spacing w:line="240" w:lineRule="auto"/>
        <w:ind w:firstLine="0" w:firstLineChars="0"/>
        <w:jc w:val="center"/>
      </w:pPr>
      <w:r>
        <w:drawing>
          <wp:inline distT="0" distB="0" distL="0" distR="0">
            <wp:extent cx="5274310" cy="8116570"/>
            <wp:effectExtent l="0" t="0" r="2540" b="17780"/>
            <wp:docPr id="173204504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45047" name="图片 1" descr="地图&#10;&#10;描述已自动生成"/>
                    <pic:cNvPicPr>
                      <a:picLocks noChangeAspect="1"/>
                    </pic:cNvPicPr>
                  </pic:nvPicPr>
                  <pic:blipFill>
                    <a:blip r:embed="rId166"/>
                    <a:stretch>
                      <a:fillRect/>
                    </a:stretch>
                  </pic:blipFill>
                  <pic:spPr>
                    <a:xfrm>
                      <a:off x="0" y="0"/>
                      <a:ext cx="5274310" cy="8116570"/>
                    </a:xfrm>
                    <a:prstGeom prst="rect">
                      <a:avLst/>
                    </a:prstGeom>
                  </pic:spPr>
                </pic:pic>
              </a:graphicData>
            </a:graphic>
          </wp:inline>
        </w:drawing>
      </w:r>
    </w:p>
    <w:p w14:paraId="594C8FF1">
      <w:pPr>
        <w:spacing w:line="240" w:lineRule="auto"/>
        <w:ind w:firstLine="0" w:firstLineChars="0"/>
        <w:jc w:val="center"/>
        <w:sectPr>
          <w:headerReference r:id="rId29" w:type="default"/>
          <w:footerReference r:id="rId30" w:type="default"/>
          <w:pgSz w:w="11907" w:h="16840"/>
          <w:pgMar w:top="1440" w:right="1797" w:bottom="1440" w:left="1797" w:header="907" w:footer="907" w:gutter="0"/>
          <w:cols w:space="425" w:num="1"/>
          <w:docGrid w:linePitch="380" w:charSpace="0"/>
        </w:sectPr>
      </w:pPr>
    </w:p>
    <w:p w14:paraId="577BD480">
      <w:pPr>
        <w:spacing w:line="240" w:lineRule="auto"/>
        <w:ind w:firstLine="0" w:firstLineChars="0"/>
        <w:jc w:val="center"/>
      </w:pPr>
    </w:p>
    <w:p w14:paraId="7F315132">
      <w:pPr>
        <w:spacing w:line="240" w:lineRule="auto"/>
        <w:ind w:firstLine="0" w:firstLineChars="0"/>
        <w:jc w:val="center"/>
      </w:pPr>
    </w:p>
    <w:p w14:paraId="316D2AD5">
      <w:pPr>
        <w:spacing w:line="240" w:lineRule="auto"/>
        <w:ind w:firstLine="0" w:firstLineChars="0"/>
        <w:jc w:val="center"/>
      </w:pPr>
      <w:r>
        <w:drawing>
          <wp:inline distT="0" distB="0" distL="0" distR="0">
            <wp:extent cx="5274310" cy="7660640"/>
            <wp:effectExtent l="0" t="0" r="2540" b="16510"/>
            <wp:docPr id="1066663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636" name="图片 1" descr="图示&#10;&#10;描述已自动生成"/>
                    <pic:cNvPicPr>
                      <a:picLocks noChangeAspect="1"/>
                    </pic:cNvPicPr>
                  </pic:nvPicPr>
                  <pic:blipFill>
                    <a:blip r:embed="rId167"/>
                    <a:stretch>
                      <a:fillRect/>
                    </a:stretch>
                  </pic:blipFill>
                  <pic:spPr>
                    <a:xfrm>
                      <a:off x="0" y="0"/>
                      <a:ext cx="5274310" cy="7660640"/>
                    </a:xfrm>
                    <a:prstGeom prst="rect">
                      <a:avLst/>
                    </a:prstGeom>
                  </pic:spPr>
                </pic:pic>
              </a:graphicData>
            </a:graphic>
          </wp:inline>
        </w:drawing>
      </w:r>
    </w:p>
    <w:p w14:paraId="58638E26">
      <w:pPr>
        <w:spacing w:line="240" w:lineRule="auto"/>
        <w:ind w:firstLine="0" w:firstLineChars="0"/>
        <w:jc w:val="center"/>
        <w:rPr>
          <w:rFonts w:hint="eastAsia"/>
        </w:rPr>
      </w:pPr>
    </w:p>
    <w:p w14:paraId="36AF8845">
      <w:pPr>
        <w:spacing w:line="240" w:lineRule="auto"/>
        <w:ind w:firstLine="0" w:firstLineChars="0"/>
        <w:jc w:val="center"/>
        <w:rPr>
          <w:rFonts w:hint="eastAsia"/>
        </w:rPr>
      </w:pPr>
    </w:p>
    <w:p w14:paraId="070B93E4">
      <w:pPr>
        <w:pStyle w:val="2"/>
        <w:spacing w:after="0" w:line="240" w:lineRule="auto"/>
        <w:ind w:firstLine="0" w:firstLineChars="0"/>
        <w:jc w:val="center"/>
        <w:rPr>
          <w:rFonts w:hint="eastAsia"/>
        </w:rPr>
      </w:pPr>
    </w:p>
    <w:p w14:paraId="6235369E">
      <w:pPr>
        <w:spacing w:line="240" w:lineRule="auto"/>
        <w:ind w:firstLine="0" w:firstLineChars="0"/>
        <w:jc w:val="center"/>
        <w:rPr>
          <w:rFonts w:hint="eastAsia"/>
        </w:rPr>
      </w:pPr>
    </w:p>
    <w:p w14:paraId="2E7D2C5B">
      <w:pPr>
        <w:pStyle w:val="2"/>
        <w:spacing w:after="0" w:line="240" w:lineRule="auto"/>
        <w:ind w:firstLine="0" w:firstLineChars="0"/>
        <w:jc w:val="center"/>
        <w:rPr>
          <w:rFonts w:hint="eastAsia"/>
        </w:rPr>
      </w:pPr>
    </w:p>
    <w:p w14:paraId="131B7A8D">
      <w:pPr>
        <w:spacing w:line="240" w:lineRule="auto"/>
        <w:ind w:firstLine="0" w:firstLineChars="0"/>
        <w:jc w:val="center"/>
        <w:rPr>
          <w:rFonts w:hint="eastAsia"/>
        </w:rPr>
      </w:pPr>
      <w:r>
        <w:drawing>
          <wp:inline distT="0" distB="0" distL="0" distR="0">
            <wp:extent cx="5274310" cy="7780020"/>
            <wp:effectExtent l="0" t="0" r="2540" b="11430"/>
            <wp:docPr id="53291265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12657" name="图片 1" descr="地图&#10;&#10;描述已自动生成"/>
                    <pic:cNvPicPr>
                      <a:picLocks noChangeAspect="1"/>
                    </pic:cNvPicPr>
                  </pic:nvPicPr>
                  <pic:blipFill>
                    <a:blip r:embed="rId168"/>
                    <a:stretch>
                      <a:fillRect/>
                    </a:stretch>
                  </pic:blipFill>
                  <pic:spPr>
                    <a:xfrm>
                      <a:off x="0" y="0"/>
                      <a:ext cx="5274310" cy="7780020"/>
                    </a:xfrm>
                    <a:prstGeom prst="rect">
                      <a:avLst/>
                    </a:prstGeom>
                  </pic:spPr>
                </pic:pic>
              </a:graphicData>
            </a:graphic>
          </wp:inline>
        </w:drawing>
      </w:r>
    </w:p>
    <w:p w14:paraId="20391E62">
      <w:pPr>
        <w:pStyle w:val="2"/>
        <w:spacing w:after="0" w:line="240" w:lineRule="auto"/>
        <w:ind w:firstLine="0" w:firstLineChars="0"/>
        <w:jc w:val="center"/>
        <w:rPr>
          <w:rFonts w:hint="eastAsia"/>
        </w:rPr>
      </w:pPr>
    </w:p>
    <w:p w14:paraId="4A4F610E">
      <w:pPr>
        <w:spacing w:line="240" w:lineRule="auto"/>
        <w:ind w:firstLine="0" w:firstLineChars="0"/>
        <w:jc w:val="center"/>
        <w:rPr>
          <w:rFonts w:hint="eastAsia"/>
        </w:rPr>
      </w:pPr>
    </w:p>
    <w:p w14:paraId="624B2C8D">
      <w:pPr>
        <w:pStyle w:val="2"/>
        <w:spacing w:after="0" w:line="240" w:lineRule="auto"/>
        <w:ind w:firstLine="0" w:firstLineChars="0"/>
        <w:jc w:val="center"/>
        <w:rPr>
          <w:rFonts w:hint="eastAsia"/>
        </w:rPr>
      </w:pPr>
    </w:p>
    <w:p w14:paraId="78F90E96">
      <w:pPr>
        <w:spacing w:line="240" w:lineRule="auto"/>
        <w:ind w:firstLine="0" w:firstLineChars="0"/>
        <w:jc w:val="center"/>
        <w:rPr>
          <w:rFonts w:hint="eastAsia"/>
        </w:rPr>
      </w:pPr>
    </w:p>
    <w:p w14:paraId="05B189E1">
      <w:pPr>
        <w:pStyle w:val="2"/>
        <w:spacing w:after="0" w:line="240" w:lineRule="auto"/>
        <w:ind w:firstLine="0" w:firstLineChars="0"/>
        <w:jc w:val="center"/>
        <w:rPr>
          <w:rFonts w:hint="eastAsia"/>
        </w:rPr>
      </w:pPr>
    </w:p>
    <w:p w14:paraId="07033A1C">
      <w:pPr>
        <w:spacing w:line="240" w:lineRule="auto"/>
        <w:ind w:firstLine="0" w:firstLineChars="0"/>
        <w:jc w:val="center"/>
        <w:rPr>
          <w:rFonts w:hint="eastAsia"/>
        </w:rPr>
      </w:pPr>
    </w:p>
    <w:p w14:paraId="21D8EE95">
      <w:pPr>
        <w:pStyle w:val="2"/>
        <w:spacing w:after="0" w:line="240" w:lineRule="auto"/>
        <w:ind w:firstLine="0" w:firstLineChars="0"/>
        <w:jc w:val="center"/>
        <w:rPr>
          <w:rFonts w:hint="eastAsia"/>
        </w:rPr>
      </w:pPr>
      <w:r>
        <w:drawing>
          <wp:inline distT="0" distB="0" distL="0" distR="0">
            <wp:extent cx="5045710" cy="7489825"/>
            <wp:effectExtent l="0" t="0" r="2540" b="15875"/>
            <wp:docPr id="1973562416" name="图片 1"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62416" name="图片 1" descr="图片包含 地图&#10;&#10;描述已自动生成"/>
                    <pic:cNvPicPr>
                      <a:picLocks noChangeAspect="1"/>
                    </pic:cNvPicPr>
                  </pic:nvPicPr>
                  <pic:blipFill>
                    <a:blip r:embed="rId169"/>
                    <a:stretch>
                      <a:fillRect/>
                    </a:stretch>
                  </pic:blipFill>
                  <pic:spPr>
                    <a:xfrm>
                      <a:off x="0" y="0"/>
                      <a:ext cx="5045710" cy="7489825"/>
                    </a:xfrm>
                    <a:prstGeom prst="rect">
                      <a:avLst/>
                    </a:prstGeom>
                  </pic:spPr>
                </pic:pic>
              </a:graphicData>
            </a:graphic>
          </wp:inline>
        </w:drawing>
      </w:r>
    </w:p>
    <w:p w14:paraId="1A459CA1">
      <w:pPr>
        <w:spacing w:line="240" w:lineRule="auto"/>
        <w:ind w:firstLine="0" w:firstLineChars="0"/>
        <w:jc w:val="center"/>
        <w:rPr>
          <w:rFonts w:hint="eastAsia"/>
        </w:rPr>
      </w:pPr>
    </w:p>
    <w:p w14:paraId="7B967F70">
      <w:pPr>
        <w:pStyle w:val="2"/>
        <w:spacing w:after="0" w:line="240" w:lineRule="auto"/>
        <w:ind w:firstLine="0" w:firstLineChars="0"/>
        <w:jc w:val="center"/>
        <w:rPr>
          <w:rFonts w:hint="eastAsia"/>
        </w:rPr>
      </w:pPr>
    </w:p>
    <w:p w14:paraId="57A3D94E">
      <w:pPr>
        <w:spacing w:line="240" w:lineRule="auto"/>
        <w:ind w:firstLine="0" w:firstLineChars="0"/>
        <w:jc w:val="center"/>
        <w:rPr>
          <w:rFonts w:hint="eastAsia"/>
        </w:rPr>
      </w:pPr>
    </w:p>
    <w:p w14:paraId="43D47BA6">
      <w:pPr>
        <w:pStyle w:val="2"/>
        <w:spacing w:after="0" w:line="240" w:lineRule="auto"/>
        <w:ind w:firstLine="0" w:firstLineChars="0"/>
        <w:jc w:val="center"/>
        <w:rPr>
          <w:rFonts w:hint="eastAsia"/>
        </w:rPr>
      </w:pPr>
    </w:p>
    <w:p w14:paraId="499861E0">
      <w:pPr>
        <w:spacing w:line="240" w:lineRule="auto"/>
        <w:ind w:firstLine="0" w:firstLineChars="0"/>
        <w:jc w:val="center"/>
        <w:rPr>
          <w:rFonts w:hint="eastAsia"/>
        </w:rPr>
      </w:pPr>
    </w:p>
    <w:p w14:paraId="75EFAEA8">
      <w:pPr>
        <w:pStyle w:val="2"/>
        <w:spacing w:after="0" w:line="240" w:lineRule="auto"/>
        <w:ind w:firstLine="0" w:firstLineChars="0"/>
        <w:jc w:val="center"/>
        <w:rPr>
          <w:rFonts w:hint="eastAsia"/>
        </w:rPr>
      </w:pPr>
    </w:p>
    <w:p w14:paraId="3B11ADD2">
      <w:pPr>
        <w:pStyle w:val="2"/>
        <w:spacing w:after="0" w:line="240" w:lineRule="auto"/>
        <w:ind w:firstLine="0" w:firstLineChars="0"/>
        <w:jc w:val="center"/>
        <w:rPr>
          <w:rFonts w:hint="eastAsia"/>
        </w:rPr>
      </w:pPr>
    </w:p>
    <w:p w14:paraId="304612B4">
      <w:pPr>
        <w:spacing w:line="240" w:lineRule="auto"/>
        <w:ind w:firstLine="0" w:firstLineChars="0"/>
        <w:jc w:val="center"/>
        <w:rPr>
          <w:rFonts w:hint="eastAsia"/>
        </w:rPr>
      </w:pPr>
      <w:r>
        <w:drawing>
          <wp:inline distT="0" distB="0" distL="0" distR="0">
            <wp:extent cx="5045710" cy="7348855"/>
            <wp:effectExtent l="0" t="0" r="2540" b="4445"/>
            <wp:docPr id="10873946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4665" name="图片 1" descr="图示&#10;&#10;描述已自动生成"/>
                    <pic:cNvPicPr>
                      <a:picLocks noChangeAspect="1"/>
                    </pic:cNvPicPr>
                  </pic:nvPicPr>
                  <pic:blipFill>
                    <a:blip r:embed="rId170"/>
                    <a:stretch>
                      <a:fillRect/>
                    </a:stretch>
                  </pic:blipFill>
                  <pic:spPr>
                    <a:xfrm>
                      <a:off x="0" y="0"/>
                      <a:ext cx="5045710" cy="7356633"/>
                    </a:xfrm>
                    <a:prstGeom prst="rect">
                      <a:avLst/>
                    </a:prstGeom>
                  </pic:spPr>
                </pic:pic>
              </a:graphicData>
            </a:graphic>
          </wp:inline>
        </w:drawing>
      </w:r>
    </w:p>
    <w:p w14:paraId="0B484CD3">
      <w:pPr>
        <w:pStyle w:val="2"/>
        <w:spacing w:after="0" w:line="240" w:lineRule="auto"/>
        <w:ind w:firstLine="0" w:firstLineChars="0"/>
        <w:jc w:val="center"/>
        <w:rPr>
          <w:rFonts w:hint="eastAsia"/>
        </w:rPr>
      </w:pPr>
    </w:p>
    <w:p w14:paraId="6FB7EE6D">
      <w:pPr>
        <w:spacing w:line="240" w:lineRule="auto"/>
        <w:ind w:firstLine="0" w:firstLineChars="0"/>
        <w:jc w:val="center"/>
        <w:rPr>
          <w:rFonts w:hint="eastAsia"/>
        </w:rPr>
      </w:pPr>
    </w:p>
    <w:p w14:paraId="7E42B924">
      <w:pPr>
        <w:pStyle w:val="2"/>
        <w:spacing w:after="0" w:line="240" w:lineRule="auto"/>
        <w:ind w:firstLine="0" w:firstLineChars="0"/>
        <w:jc w:val="center"/>
        <w:rPr>
          <w:rFonts w:hint="eastAsia"/>
        </w:rPr>
      </w:pPr>
    </w:p>
    <w:p w14:paraId="60C5897F">
      <w:pPr>
        <w:spacing w:line="240" w:lineRule="auto"/>
        <w:ind w:firstLine="0" w:firstLineChars="0"/>
        <w:jc w:val="center"/>
        <w:rPr>
          <w:rFonts w:hint="eastAsia"/>
        </w:rPr>
      </w:pPr>
    </w:p>
    <w:p w14:paraId="1538AAE0">
      <w:pPr>
        <w:pStyle w:val="2"/>
        <w:spacing w:after="0" w:line="240" w:lineRule="auto"/>
        <w:ind w:firstLine="0" w:firstLineChars="0"/>
        <w:jc w:val="center"/>
        <w:rPr>
          <w:rFonts w:hint="eastAsia"/>
        </w:rPr>
      </w:pPr>
    </w:p>
    <w:p w14:paraId="3A000FC5">
      <w:pPr>
        <w:spacing w:line="240" w:lineRule="auto"/>
        <w:ind w:firstLine="0" w:firstLineChars="0"/>
        <w:jc w:val="center"/>
        <w:rPr>
          <w:rFonts w:hint="eastAsia"/>
        </w:rPr>
      </w:pPr>
    </w:p>
    <w:p w14:paraId="2F69BB7B">
      <w:pPr>
        <w:pStyle w:val="2"/>
        <w:spacing w:after="0" w:line="240" w:lineRule="auto"/>
        <w:ind w:firstLine="0" w:firstLineChars="0"/>
        <w:jc w:val="center"/>
        <w:rPr>
          <w:rFonts w:hint="eastAsia"/>
        </w:rPr>
      </w:pPr>
    </w:p>
    <w:p w14:paraId="064A1908">
      <w:pPr>
        <w:spacing w:line="240" w:lineRule="auto"/>
        <w:ind w:firstLine="0" w:firstLineChars="0"/>
        <w:jc w:val="center"/>
        <w:rPr>
          <w:rFonts w:hint="eastAsia"/>
        </w:rPr>
      </w:pPr>
      <w:r>
        <w:drawing>
          <wp:inline distT="0" distB="0" distL="0" distR="0">
            <wp:extent cx="5102225" cy="7583805"/>
            <wp:effectExtent l="0" t="0" r="3175" b="17145"/>
            <wp:docPr id="2105459595"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59595" name="图片 1" descr="图片包含 图示&#10;&#10;描述已自动生成"/>
                    <pic:cNvPicPr>
                      <a:picLocks noChangeAspect="1"/>
                    </pic:cNvPicPr>
                  </pic:nvPicPr>
                  <pic:blipFill>
                    <a:blip r:embed="rId171"/>
                    <a:stretch>
                      <a:fillRect/>
                    </a:stretch>
                  </pic:blipFill>
                  <pic:spPr>
                    <a:xfrm>
                      <a:off x="0" y="0"/>
                      <a:ext cx="5102225" cy="7583805"/>
                    </a:xfrm>
                    <a:prstGeom prst="rect">
                      <a:avLst/>
                    </a:prstGeom>
                  </pic:spPr>
                </pic:pic>
              </a:graphicData>
            </a:graphic>
          </wp:inline>
        </w:drawing>
      </w:r>
    </w:p>
    <w:p w14:paraId="63AEF5FC">
      <w:pPr>
        <w:pStyle w:val="2"/>
        <w:spacing w:after="0" w:line="240" w:lineRule="auto"/>
        <w:ind w:firstLine="0" w:firstLineChars="0"/>
        <w:jc w:val="center"/>
        <w:rPr>
          <w:rFonts w:hint="eastAsia"/>
        </w:rPr>
      </w:pPr>
    </w:p>
    <w:p w14:paraId="4A1FB996">
      <w:pPr>
        <w:spacing w:line="240" w:lineRule="auto"/>
        <w:ind w:firstLine="0" w:firstLineChars="0"/>
        <w:jc w:val="center"/>
        <w:rPr>
          <w:rFonts w:hint="eastAsia"/>
        </w:rPr>
      </w:pPr>
    </w:p>
    <w:p w14:paraId="3E1F7EB1">
      <w:pPr>
        <w:pStyle w:val="2"/>
        <w:spacing w:after="0" w:line="240" w:lineRule="auto"/>
        <w:ind w:firstLine="0" w:firstLineChars="0"/>
        <w:jc w:val="center"/>
        <w:rPr>
          <w:rFonts w:hint="eastAsia"/>
        </w:rPr>
      </w:pPr>
    </w:p>
    <w:p w14:paraId="594C25EA">
      <w:pPr>
        <w:spacing w:line="240" w:lineRule="auto"/>
        <w:ind w:firstLine="0" w:firstLineChars="0"/>
        <w:jc w:val="center"/>
        <w:rPr>
          <w:rFonts w:hint="eastAsia"/>
        </w:rPr>
      </w:pPr>
    </w:p>
    <w:p w14:paraId="59576523">
      <w:pPr>
        <w:pStyle w:val="2"/>
        <w:spacing w:after="0" w:line="240" w:lineRule="auto"/>
        <w:ind w:firstLine="0" w:firstLineChars="0"/>
        <w:jc w:val="center"/>
        <w:rPr>
          <w:rFonts w:hint="eastAsia"/>
        </w:rPr>
      </w:pPr>
    </w:p>
    <w:p w14:paraId="08CFD579">
      <w:pPr>
        <w:pStyle w:val="2"/>
        <w:spacing w:after="0" w:line="240" w:lineRule="auto"/>
        <w:ind w:firstLine="0" w:firstLineChars="0"/>
        <w:jc w:val="center"/>
        <w:rPr>
          <w:rFonts w:hint="eastAsia"/>
        </w:rPr>
      </w:pPr>
    </w:p>
    <w:p w14:paraId="283D29B2">
      <w:pPr>
        <w:spacing w:line="240" w:lineRule="auto"/>
        <w:ind w:firstLine="0" w:firstLineChars="0"/>
        <w:jc w:val="center"/>
        <w:rPr>
          <w:rFonts w:hint="eastAsia"/>
        </w:rPr>
      </w:pPr>
      <w:r>
        <w:drawing>
          <wp:inline distT="0" distB="0" distL="0" distR="0">
            <wp:extent cx="5172075" cy="7856855"/>
            <wp:effectExtent l="0" t="0" r="9525" b="10795"/>
            <wp:docPr id="1896929138"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29138" name="图片 1" descr="图示&#10;&#10;低可信度描述已自动生成"/>
                    <pic:cNvPicPr>
                      <a:picLocks noChangeAspect="1"/>
                    </pic:cNvPicPr>
                  </pic:nvPicPr>
                  <pic:blipFill>
                    <a:blip r:embed="rId172"/>
                    <a:stretch>
                      <a:fillRect/>
                    </a:stretch>
                  </pic:blipFill>
                  <pic:spPr>
                    <a:xfrm>
                      <a:off x="0" y="0"/>
                      <a:ext cx="5172075" cy="7856855"/>
                    </a:xfrm>
                    <a:prstGeom prst="rect">
                      <a:avLst/>
                    </a:prstGeom>
                  </pic:spPr>
                </pic:pic>
              </a:graphicData>
            </a:graphic>
          </wp:inline>
        </w:drawing>
      </w:r>
    </w:p>
    <w:p w14:paraId="4D7567FB">
      <w:pPr>
        <w:pStyle w:val="2"/>
        <w:spacing w:after="0" w:line="240" w:lineRule="auto"/>
        <w:ind w:firstLine="0" w:firstLineChars="0"/>
        <w:jc w:val="center"/>
        <w:rPr>
          <w:rFonts w:hint="eastAsia"/>
        </w:rPr>
      </w:pPr>
    </w:p>
    <w:p w14:paraId="2C22EB9D">
      <w:pPr>
        <w:spacing w:line="240" w:lineRule="auto"/>
        <w:ind w:firstLine="0" w:firstLineChars="0"/>
        <w:jc w:val="center"/>
        <w:rPr>
          <w:rFonts w:hint="eastAsia"/>
        </w:rPr>
      </w:pPr>
    </w:p>
    <w:p w14:paraId="52B5C14C">
      <w:pPr>
        <w:pStyle w:val="2"/>
        <w:spacing w:after="0" w:line="240" w:lineRule="auto"/>
        <w:ind w:firstLine="0" w:firstLineChars="0"/>
        <w:jc w:val="center"/>
        <w:rPr>
          <w:rFonts w:hint="eastAsia"/>
        </w:rPr>
      </w:pPr>
    </w:p>
    <w:p w14:paraId="21C56398">
      <w:pPr>
        <w:spacing w:line="240" w:lineRule="auto"/>
        <w:ind w:firstLine="0" w:firstLineChars="0"/>
        <w:jc w:val="center"/>
        <w:rPr>
          <w:rFonts w:hint="eastAsia"/>
        </w:rPr>
      </w:pPr>
    </w:p>
    <w:p w14:paraId="2C8A6FAC">
      <w:pPr>
        <w:pStyle w:val="2"/>
        <w:spacing w:after="0" w:line="240" w:lineRule="auto"/>
        <w:ind w:firstLine="0" w:firstLineChars="0"/>
        <w:jc w:val="center"/>
        <w:rPr>
          <w:rFonts w:hint="eastAsia"/>
        </w:rPr>
      </w:pPr>
    </w:p>
    <w:p w14:paraId="55EAEED4">
      <w:pPr>
        <w:spacing w:line="240" w:lineRule="auto"/>
        <w:ind w:firstLine="0" w:firstLineChars="0"/>
        <w:jc w:val="center"/>
        <w:rPr>
          <w:rFonts w:hint="eastAsia"/>
        </w:rPr>
      </w:pPr>
      <w:r>
        <w:drawing>
          <wp:inline distT="0" distB="0" distL="0" distR="0">
            <wp:extent cx="5323840" cy="7427595"/>
            <wp:effectExtent l="0" t="0" r="10160" b="1905"/>
            <wp:docPr id="151366118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61183" name="图片 1" descr="图示&#10;&#10;描述已自动生成"/>
                    <pic:cNvPicPr>
                      <a:picLocks noChangeAspect="1"/>
                    </pic:cNvPicPr>
                  </pic:nvPicPr>
                  <pic:blipFill>
                    <a:blip r:embed="rId173"/>
                    <a:stretch>
                      <a:fillRect/>
                    </a:stretch>
                  </pic:blipFill>
                  <pic:spPr>
                    <a:xfrm>
                      <a:off x="0" y="0"/>
                      <a:ext cx="5323840" cy="7432337"/>
                    </a:xfrm>
                    <a:prstGeom prst="rect">
                      <a:avLst/>
                    </a:prstGeom>
                  </pic:spPr>
                </pic:pic>
              </a:graphicData>
            </a:graphic>
          </wp:inline>
        </w:drawing>
      </w:r>
    </w:p>
    <w:p w14:paraId="30D91096">
      <w:pPr>
        <w:pStyle w:val="2"/>
        <w:spacing w:after="0" w:line="240" w:lineRule="auto"/>
        <w:ind w:firstLine="0" w:firstLineChars="0"/>
        <w:jc w:val="center"/>
        <w:rPr>
          <w:rFonts w:hint="eastAsia"/>
        </w:rPr>
      </w:pPr>
    </w:p>
    <w:p w14:paraId="125E0E9B">
      <w:pPr>
        <w:spacing w:line="240" w:lineRule="auto"/>
        <w:ind w:firstLine="0" w:firstLineChars="0"/>
        <w:jc w:val="center"/>
        <w:rPr>
          <w:rFonts w:hint="eastAsia"/>
        </w:rPr>
      </w:pPr>
    </w:p>
    <w:p w14:paraId="3D63080E">
      <w:pPr>
        <w:pStyle w:val="2"/>
        <w:spacing w:after="0" w:line="240" w:lineRule="auto"/>
        <w:ind w:firstLine="0" w:firstLineChars="0"/>
        <w:jc w:val="center"/>
        <w:rPr>
          <w:rFonts w:hint="eastAsia"/>
        </w:rPr>
      </w:pPr>
    </w:p>
    <w:p w14:paraId="1B38E053">
      <w:pPr>
        <w:spacing w:line="240" w:lineRule="auto"/>
        <w:ind w:firstLine="0" w:firstLineChars="0"/>
        <w:jc w:val="center"/>
        <w:rPr>
          <w:rFonts w:hint="eastAsia"/>
        </w:rPr>
      </w:pPr>
    </w:p>
    <w:p w14:paraId="70027E75">
      <w:pPr>
        <w:pStyle w:val="2"/>
        <w:spacing w:after="0" w:line="240" w:lineRule="auto"/>
        <w:ind w:firstLine="0" w:firstLineChars="0"/>
        <w:jc w:val="center"/>
        <w:rPr>
          <w:rFonts w:hint="eastAsia"/>
        </w:rPr>
      </w:pPr>
    </w:p>
    <w:p w14:paraId="2ABA3216">
      <w:pPr>
        <w:spacing w:line="240" w:lineRule="auto"/>
        <w:ind w:firstLine="0" w:firstLineChars="0"/>
        <w:jc w:val="center"/>
        <w:rPr>
          <w:rFonts w:hint="eastAsia"/>
        </w:rPr>
      </w:pPr>
      <w:r>
        <w:drawing>
          <wp:inline distT="0" distB="0" distL="0" distR="0">
            <wp:extent cx="5278755" cy="6986270"/>
            <wp:effectExtent l="0" t="0" r="17145" b="5080"/>
            <wp:docPr id="214840320"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40320" name="图片 1" descr="图示, 工程绘图&#10;&#10;描述已自动生成"/>
                    <pic:cNvPicPr>
                      <a:picLocks noChangeAspect="1"/>
                    </pic:cNvPicPr>
                  </pic:nvPicPr>
                  <pic:blipFill>
                    <a:blip r:embed="rId174"/>
                    <a:stretch>
                      <a:fillRect/>
                    </a:stretch>
                  </pic:blipFill>
                  <pic:spPr>
                    <a:xfrm>
                      <a:off x="0" y="0"/>
                      <a:ext cx="5278755" cy="6986270"/>
                    </a:xfrm>
                    <a:prstGeom prst="rect">
                      <a:avLst/>
                    </a:prstGeom>
                  </pic:spPr>
                </pic:pic>
              </a:graphicData>
            </a:graphic>
          </wp:inline>
        </w:drawing>
      </w:r>
    </w:p>
    <w:p w14:paraId="442038E7">
      <w:pPr>
        <w:pStyle w:val="2"/>
        <w:spacing w:after="0" w:line="240" w:lineRule="auto"/>
        <w:ind w:firstLine="0" w:firstLineChars="0"/>
        <w:jc w:val="center"/>
        <w:rPr>
          <w:rFonts w:hint="eastAsia"/>
        </w:rPr>
      </w:pPr>
    </w:p>
    <w:p w14:paraId="1ACE3B50">
      <w:pPr>
        <w:pStyle w:val="2"/>
        <w:spacing w:after="0" w:line="240" w:lineRule="auto"/>
        <w:ind w:firstLine="0" w:firstLineChars="0"/>
        <w:jc w:val="center"/>
        <w:sectPr>
          <w:pgSz w:w="11907" w:h="16840"/>
          <w:pgMar w:top="1440" w:right="1797" w:bottom="1440" w:left="1797" w:header="907" w:footer="907" w:gutter="0"/>
          <w:cols w:space="425" w:num="1"/>
          <w:docGrid w:linePitch="380" w:charSpace="0"/>
        </w:sectPr>
      </w:pPr>
    </w:p>
    <w:p w14:paraId="2333D7A0">
      <w:pPr>
        <w:pStyle w:val="2"/>
        <w:spacing w:after="0" w:line="240" w:lineRule="auto"/>
        <w:ind w:firstLine="0" w:firstLineChars="0"/>
        <w:jc w:val="center"/>
        <w:rPr>
          <w:rFonts w:hint="eastAsia"/>
        </w:rPr>
      </w:pPr>
      <w:r>
        <w:drawing>
          <wp:inline distT="0" distB="0" distL="0" distR="0">
            <wp:extent cx="7061200" cy="4797425"/>
            <wp:effectExtent l="0" t="0" r="6350" b="3175"/>
            <wp:docPr id="879073694"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73694" name="图片 1" descr="地图&#10;&#10;描述已自动生成"/>
                    <pic:cNvPicPr>
                      <a:picLocks noChangeAspect="1"/>
                    </pic:cNvPicPr>
                  </pic:nvPicPr>
                  <pic:blipFill>
                    <a:blip r:embed="rId175"/>
                    <a:stretch>
                      <a:fillRect/>
                    </a:stretch>
                  </pic:blipFill>
                  <pic:spPr>
                    <a:xfrm>
                      <a:off x="0" y="0"/>
                      <a:ext cx="7061200" cy="4802205"/>
                    </a:xfrm>
                    <a:prstGeom prst="rect">
                      <a:avLst/>
                    </a:prstGeom>
                  </pic:spPr>
                </pic:pic>
              </a:graphicData>
            </a:graphic>
          </wp:inline>
        </w:drawing>
      </w:r>
    </w:p>
    <w:p w14:paraId="16E3E992">
      <w:pPr>
        <w:spacing w:line="240" w:lineRule="auto"/>
        <w:ind w:firstLine="0" w:firstLineChars="0"/>
        <w:jc w:val="center"/>
        <w:rPr>
          <w:rFonts w:hint="eastAsia"/>
        </w:rPr>
      </w:pPr>
    </w:p>
    <w:p w14:paraId="6D69B224">
      <w:pPr>
        <w:pStyle w:val="2"/>
        <w:spacing w:after="0" w:line="240" w:lineRule="auto"/>
        <w:ind w:firstLine="0" w:firstLineChars="0"/>
        <w:jc w:val="center"/>
        <w:sectPr>
          <w:pgSz w:w="16840" w:h="11907" w:orient="landscape"/>
          <w:pgMar w:top="1797" w:right="1440" w:bottom="1797" w:left="1440" w:header="907" w:footer="907" w:gutter="0"/>
          <w:cols w:space="425" w:num="1"/>
          <w:docGrid w:linePitch="380" w:charSpace="0"/>
        </w:sectPr>
      </w:pPr>
    </w:p>
    <w:p w14:paraId="408454B7">
      <w:pPr>
        <w:pStyle w:val="2"/>
        <w:spacing w:after="0" w:line="240" w:lineRule="auto"/>
        <w:ind w:firstLine="0" w:firstLineChars="0"/>
        <w:jc w:val="center"/>
        <w:rPr>
          <w:rFonts w:hint="eastAsia"/>
        </w:rPr>
      </w:pPr>
    </w:p>
    <w:p w14:paraId="2FB2BFAE">
      <w:pPr>
        <w:spacing w:line="240" w:lineRule="auto"/>
        <w:ind w:firstLine="0" w:firstLineChars="0"/>
        <w:jc w:val="center"/>
        <w:rPr>
          <w:rFonts w:hint="eastAsia"/>
        </w:rPr>
      </w:pPr>
      <w:r>
        <w:drawing>
          <wp:inline distT="0" distB="0" distL="0" distR="0">
            <wp:extent cx="5278755" cy="6789420"/>
            <wp:effectExtent l="0" t="0" r="17145" b="11430"/>
            <wp:docPr id="385416273"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16273" name="图片 1" descr="地图&#10;&#10;描述已自动生成"/>
                    <pic:cNvPicPr>
                      <a:picLocks noChangeAspect="1"/>
                    </pic:cNvPicPr>
                  </pic:nvPicPr>
                  <pic:blipFill>
                    <a:blip r:embed="rId176"/>
                    <a:stretch>
                      <a:fillRect/>
                    </a:stretch>
                  </pic:blipFill>
                  <pic:spPr>
                    <a:xfrm>
                      <a:off x="0" y="0"/>
                      <a:ext cx="5278755" cy="6789420"/>
                    </a:xfrm>
                    <a:prstGeom prst="rect">
                      <a:avLst/>
                    </a:prstGeom>
                  </pic:spPr>
                </pic:pic>
              </a:graphicData>
            </a:graphic>
          </wp:inline>
        </w:drawing>
      </w:r>
    </w:p>
    <w:p w14:paraId="77704FD2">
      <w:pPr>
        <w:pStyle w:val="2"/>
        <w:spacing w:after="0" w:line="240" w:lineRule="auto"/>
        <w:ind w:firstLine="0" w:firstLineChars="0"/>
        <w:jc w:val="center"/>
        <w:rPr>
          <w:rFonts w:hint="eastAsia"/>
        </w:rPr>
      </w:pPr>
    </w:p>
    <w:p w14:paraId="2AB334C9">
      <w:pPr>
        <w:spacing w:line="240" w:lineRule="auto"/>
        <w:ind w:firstLine="0" w:firstLineChars="0"/>
        <w:jc w:val="center"/>
        <w:rPr>
          <w:rFonts w:hint="eastAsia"/>
        </w:rPr>
      </w:pPr>
    </w:p>
    <w:p w14:paraId="37FCC27C">
      <w:pPr>
        <w:pStyle w:val="2"/>
        <w:spacing w:after="0" w:line="240" w:lineRule="auto"/>
        <w:ind w:firstLine="0" w:firstLineChars="0"/>
        <w:jc w:val="center"/>
        <w:rPr>
          <w:rFonts w:hint="eastAsia"/>
        </w:rPr>
      </w:pPr>
    </w:p>
    <w:p w14:paraId="76BDE31D">
      <w:pPr>
        <w:spacing w:line="240" w:lineRule="auto"/>
        <w:ind w:firstLine="0" w:firstLineChars="0"/>
        <w:jc w:val="center"/>
        <w:rPr>
          <w:rFonts w:hint="eastAsia"/>
        </w:rPr>
      </w:pPr>
    </w:p>
    <w:p w14:paraId="6DBEC818">
      <w:pPr>
        <w:pStyle w:val="2"/>
        <w:spacing w:after="0" w:line="240" w:lineRule="auto"/>
        <w:ind w:firstLine="0" w:firstLineChars="0"/>
        <w:jc w:val="center"/>
        <w:rPr>
          <w:rFonts w:hint="eastAsia"/>
        </w:rPr>
      </w:pPr>
    </w:p>
    <w:p w14:paraId="4B0F2499">
      <w:pPr>
        <w:spacing w:line="240" w:lineRule="auto"/>
        <w:ind w:firstLine="0" w:firstLineChars="0"/>
        <w:jc w:val="center"/>
        <w:rPr>
          <w:rFonts w:hint="eastAsia"/>
        </w:rPr>
      </w:pPr>
    </w:p>
    <w:p w14:paraId="1EFBE05E">
      <w:pPr>
        <w:pStyle w:val="2"/>
        <w:spacing w:after="0" w:line="240" w:lineRule="auto"/>
        <w:ind w:firstLine="0" w:firstLineChars="0"/>
        <w:jc w:val="center"/>
        <w:rPr>
          <w:rFonts w:hint="eastAsia"/>
        </w:rPr>
      </w:pPr>
    </w:p>
    <w:p w14:paraId="3FDB475F">
      <w:pPr>
        <w:spacing w:line="240" w:lineRule="auto"/>
        <w:ind w:firstLine="0" w:firstLineChars="0"/>
        <w:jc w:val="center"/>
        <w:rPr>
          <w:rFonts w:hint="eastAsia"/>
        </w:rPr>
      </w:pPr>
    </w:p>
    <w:p w14:paraId="5A4DDD74">
      <w:pPr>
        <w:pStyle w:val="2"/>
        <w:spacing w:after="0" w:line="240" w:lineRule="auto"/>
        <w:ind w:firstLine="0" w:firstLineChars="0"/>
        <w:jc w:val="center"/>
        <w:rPr>
          <w:rFonts w:hint="eastAsia"/>
        </w:rPr>
      </w:pPr>
    </w:p>
    <w:p w14:paraId="78359217">
      <w:pPr>
        <w:spacing w:line="240" w:lineRule="auto"/>
        <w:ind w:firstLine="0" w:firstLineChars="0"/>
        <w:jc w:val="center"/>
        <w:rPr>
          <w:rFonts w:hint="eastAsia"/>
        </w:rPr>
      </w:pPr>
    </w:p>
    <w:p w14:paraId="3A326C39">
      <w:pPr>
        <w:pStyle w:val="2"/>
        <w:spacing w:after="0" w:line="240" w:lineRule="auto"/>
        <w:ind w:firstLine="0" w:firstLineChars="0"/>
        <w:jc w:val="center"/>
        <w:rPr>
          <w:rFonts w:hint="eastAsia"/>
        </w:rPr>
      </w:pPr>
    </w:p>
    <w:p w14:paraId="3B6EA7E4">
      <w:pPr>
        <w:pStyle w:val="2"/>
        <w:spacing w:after="0" w:line="240" w:lineRule="auto"/>
        <w:ind w:firstLine="0" w:firstLineChars="0"/>
        <w:jc w:val="center"/>
        <w:rPr>
          <w:rFonts w:hint="eastAsia"/>
        </w:rPr>
      </w:pPr>
    </w:p>
    <w:p w14:paraId="1F2B9FDC">
      <w:pPr>
        <w:spacing w:line="240" w:lineRule="auto"/>
        <w:ind w:firstLine="0" w:firstLineChars="0"/>
        <w:jc w:val="center"/>
        <w:rPr>
          <w:rFonts w:hint="eastAsia"/>
        </w:rPr>
      </w:pPr>
      <w:r>
        <w:drawing>
          <wp:inline distT="0" distB="0" distL="0" distR="0">
            <wp:extent cx="5278755" cy="6129020"/>
            <wp:effectExtent l="0" t="0" r="17145" b="5080"/>
            <wp:docPr id="82203265"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3265" name="图片 1" descr="地图&#10;&#10;描述已自动生成"/>
                    <pic:cNvPicPr>
                      <a:picLocks noChangeAspect="1"/>
                    </pic:cNvPicPr>
                  </pic:nvPicPr>
                  <pic:blipFill>
                    <a:blip r:embed="rId177"/>
                    <a:stretch>
                      <a:fillRect/>
                    </a:stretch>
                  </pic:blipFill>
                  <pic:spPr>
                    <a:xfrm>
                      <a:off x="0" y="0"/>
                      <a:ext cx="5278755" cy="6129020"/>
                    </a:xfrm>
                    <a:prstGeom prst="rect">
                      <a:avLst/>
                    </a:prstGeom>
                  </pic:spPr>
                </pic:pic>
              </a:graphicData>
            </a:graphic>
          </wp:inline>
        </w:drawing>
      </w:r>
    </w:p>
    <w:p w14:paraId="67A08014">
      <w:pPr>
        <w:pStyle w:val="2"/>
        <w:spacing w:after="0" w:line="240" w:lineRule="auto"/>
        <w:ind w:firstLine="0" w:firstLineChars="0"/>
        <w:jc w:val="center"/>
        <w:rPr>
          <w:rFonts w:hint="eastAsia"/>
        </w:rPr>
      </w:pPr>
    </w:p>
    <w:p w14:paraId="3BB1AEFB">
      <w:pPr>
        <w:spacing w:line="240" w:lineRule="auto"/>
        <w:ind w:firstLine="0" w:firstLineChars="0"/>
        <w:jc w:val="center"/>
        <w:sectPr>
          <w:pgSz w:w="11907" w:h="16840"/>
          <w:pgMar w:top="1440" w:right="1797" w:bottom="1440" w:left="1797" w:header="907" w:footer="907" w:gutter="0"/>
          <w:cols w:space="425" w:num="1"/>
          <w:docGrid w:linePitch="380" w:charSpace="0"/>
        </w:sectPr>
      </w:pPr>
    </w:p>
    <w:p w14:paraId="135E7235">
      <w:pPr>
        <w:spacing w:line="240" w:lineRule="auto"/>
        <w:ind w:firstLine="0" w:firstLineChars="0"/>
        <w:jc w:val="center"/>
        <w:rPr>
          <w:rFonts w:hint="eastAsia"/>
        </w:rPr>
      </w:pPr>
    </w:p>
    <w:p w14:paraId="29502728">
      <w:pPr>
        <w:pStyle w:val="2"/>
        <w:spacing w:after="0" w:line="240" w:lineRule="auto"/>
        <w:ind w:firstLine="0" w:firstLineChars="0"/>
        <w:jc w:val="center"/>
        <w:rPr>
          <w:rFonts w:hint="eastAsia"/>
        </w:rPr>
      </w:pPr>
      <w:r>
        <w:drawing>
          <wp:inline distT="0" distB="0" distL="0" distR="0">
            <wp:extent cx="5278755" cy="6704965"/>
            <wp:effectExtent l="0" t="0" r="17145" b="635"/>
            <wp:docPr id="1260251232" name="图片 1"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51232" name="图片 1" descr="建筑的摆设布局&#10;&#10;中度可信度描述已自动生成"/>
                    <pic:cNvPicPr>
                      <a:picLocks noChangeAspect="1"/>
                    </pic:cNvPicPr>
                  </pic:nvPicPr>
                  <pic:blipFill>
                    <a:blip r:embed="rId178"/>
                    <a:stretch>
                      <a:fillRect/>
                    </a:stretch>
                  </pic:blipFill>
                  <pic:spPr>
                    <a:xfrm>
                      <a:off x="0" y="0"/>
                      <a:ext cx="5278755" cy="6704965"/>
                    </a:xfrm>
                    <a:prstGeom prst="rect">
                      <a:avLst/>
                    </a:prstGeom>
                  </pic:spPr>
                </pic:pic>
              </a:graphicData>
            </a:graphic>
          </wp:inline>
        </w:drawing>
      </w:r>
    </w:p>
    <w:p w14:paraId="02FB0373">
      <w:pPr>
        <w:spacing w:line="240" w:lineRule="auto"/>
        <w:ind w:firstLine="0" w:firstLineChars="0"/>
        <w:jc w:val="center"/>
        <w:rPr>
          <w:rFonts w:hint="eastAsia"/>
        </w:rPr>
      </w:pPr>
    </w:p>
    <w:p w14:paraId="72C0050D">
      <w:pPr>
        <w:pStyle w:val="2"/>
        <w:spacing w:after="0" w:line="240" w:lineRule="auto"/>
        <w:ind w:firstLine="0" w:firstLineChars="0"/>
        <w:jc w:val="center"/>
        <w:rPr>
          <w:rFonts w:hint="eastAsia"/>
        </w:rPr>
      </w:pPr>
    </w:p>
    <w:p w14:paraId="4B8EBF5B">
      <w:pPr>
        <w:spacing w:line="240" w:lineRule="auto"/>
        <w:ind w:firstLine="0" w:firstLineChars="0"/>
        <w:jc w:val="center"/>
        <w:rPr>
          <w:rFonts w:hint="eastAsia"/>
        </w:rPr>
      </w:pPr>
    </w:p>
    <w:p w14:paraId="3E4FEBBD">
      <w:pPr>
        <w:pStyle w:val="2"/>
        <w:spacing w:after="0" w:line="240" w:lineRule="auto"/>
        <w:ind w:firstLine="0" w:firstLineChars="0"/>
        <w:jc w:val="center"/>
        <w:rPr>
          <w:rFonts w:hint="eastAsia"/>
        </w:rPr>
      </w:pPr>
    </w:p>
    <w:p w14:paraId="1B1377CC">
      <w:pPr>
        <w:spacing w:line="240" w:lineRule="auto"/>
        <w:ind w:firstLine="0" w:firstLineChars="0"/>
        <w:jc w:val="center"/>
        <w:rPr>
          <w:rFonts w:hint="eastAsia"/>
        </w:rPr>
      </w:pPr>
    </w:p>
    <w:p w14:paraId="54E7812F">
      <w:pPr>
        <w:pStyle w:val="2"/>
        <w:spacing w:after="0" w:line="240" w:lineRule="auto"/>
        <w:ind w:firstLine="0" w:firstLineChars="0"/>
        <w:jc w:val="center"/>
        <w:rPr>
          <w:rFonts w:hint="eastAsia"/>
        </w:rPr>
      </w:pPr>
    </w:p>
    <w:p w14:paraId="5053CB21">
      <w:pPr>
        <w:spacing w:line="240" w:lineRule="auto"/>
        <w:ind w:firstLine="0" w:firstLineChars="0"/>
        <w:jc w:val="center"/>
        <w:rPr>
          <w:rFonts w:hint="eastAsia"/>
        </w:rPr>
      </w:pPr>
    </w:p>
    <w:p w14:paraId="39A48FC6">
      <w:pPr>
        <w:pStyle w:val="2"/>
        <w:spacing w:after="0" w:line="240" w:lineRule="auto"/>
        <w:ind w:firstLine="0" w:firstLineChars="0"/>
        <w:jc w:val="center"/>
        <w:rPr>
          <w:rFonts w:hint="eastAsia"/>
        </w:rPr>
      </w:pPr>
    </w:p>
    <w:p w14:paraId="792C7026">
      <w:pPr>
        <w:spacing w:line="240" w:lineRule="auto"/>
        <w:ind w:firstLine="0" w:firstLineChars="0"/>
        <w:jc w:val="center"/>
        <w:rPr>
          <w:rFonts w:hint="eastAsia"/>
        </w:rPr>
      </w:pPr>
    </w:p>
    <w:p w14:paraId="38D75E1D">
      <w:pPr>
        <w:pStyle w:val="2"/>
        <w:spacing w:after="0" w:line="240" w:lineRule="auto"/>
        <w:ind w:firstLine="0" w:firstLineChars="0"/>
        <w:jc w:val="center"/>
        <w:rPr>
          <w:rFonts w:hint="eastAsia"/>
        </w:rPr>
      </w:pPr>
    </w:p>
    <w:p w14:paraId="39423F33">
      <w:pPr>
        <w:pStyle w:val="2"/>
        <w:spacing w:after="0" w:line="240" w:lineRule="auto"/>
        <w:ind w:firstLine="0" w:firstLineChars="0"/>
        <w:jc w:val="center"/>
        <w:rPr>
          <w:rFonts w:hint="eastAsia"/>
        </w:rPr>
      </w:pPr>
    </w:p>
    <w:p w14:paraId="3D7F5800">
      <w:pPr>
        <w:spacing w:line="240" w:lineRule="auto"/>
        <w:ind w:firstLine="0" w:firstLineChars="0"/>
        <w:jc w:val="center"/>
        <w:rPr>
          <w:rFonts w:hint="eastAsia"/>
        </w:rPr>
      </w:pPr>
      <w:r>
        <w:drawing>
          <wp:inline distT="0" distB="0" distL="0" distR="0">
            <wp:extent cx="5278755" cy="7840980"/>
            <wp:effectExtent l="0" t="0" r="17145" b="7620"/>
            <wp:docPr id="322295355"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95355" name="图片 1" descr="图形用户界面&#10;&#10;描述已自动生成"/>
                    <pic:cNvPicPr>
                      <a:picLocks noChangeAspect="1"/>
                    </pic:cNvPicPr>
                  </pic:nvPicPr>
                  <pic:blipFill>
                    <a:blip r:embed="rId179"/>
                    <a:stretch>
                      <a:fillRect/>
                    </a:stretch>
                  </pic:blipFill>
                  <pic:spPr>
                    <a:xfrm>
                      <a:off x="0" y="0"/>
                      <a:ext cx="5278755" cy="7840980"/>
                    </a:xfrm>
                    <a:prstGeom prst="rect">
                      <a:avLst/>
                    </a:prstGeom>
                  </pic:spPr>
                </pic:pic>
              </a:graphicData>
            </a:graphic>
          </wp:inline>
        </w:drawing>
      </w:r>
    </w:p>
    <w:p w14:paraId="595FD4FC">
      <w:pPr>
        <w:pStyle w:val="2"/>
        <w:spacing w:after="0" w:line="240" w:lineRule="auto"/>
        <w:ind w:firstLine="0" w:firstLineChars="0"/>
        <w:jc w:val="center"/>
        <w:rPr>
          <w:rFonts w:hint="eastAsia"/>
        </w:rPr>
      </w:pPr>
    </w:p>
    <w:p w14:paraId="313C037C">
      <w:pPr>
        <w:spacing w:line="240" w:lineRule="auto"/>
        <w:ind w:firstLine="0" w:firstLineChars="0"/>
        <w:jc w:val="center"/>
        <w:sectPr>
          <w:pgSz w:w="11907" w:h="16840"/>
          <w:pgMar w:top="1440" w:right="1797" w:bottom="1440" w:left="1797" w:header="907" w:footer="907" w:gutter="0"/>
          <w:cols w:space="425" w:num="1"/>
          <w:docGrid w:linePitch="380" w:charSpace="0"/>
        </w:sectPr>
      </w:pPr>
    </w:p>
    <w:p w14:paraId="19F26918">
      <w:pPr>
        <w:spacing w:line="240" w:lineRule="auto"/>
        <w:ind w:firstLine="0" w:firstLineChars="0"/>
        <w:jc w:val="center"/>
        <w:rPr>
          <w:rFonts w:hint="eastAsia"/>
        </w:rPr>
      </w:pPr>
      <w:r>
        <w:drawing>
          <wp:inline distT="0" distB="0" distL="0" distR="0">
            <wp:extent cx="7419975" cy="5229225"/>
            <wp:effectExtent l="0" t="0" r="9525" b="9525"/>
            <wp:docPr id="257048777" name="图片 1" descr="男人和女人站在门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48777" name="图片 1" descr="男人和女人站在门前&#10;&#10;中度可信度描述已自动生成"/>
                    <pic:cNvPicPr>
                      <a:picLocks noChangeAspect="1"/>
                    </pic:cNvPicPr>
                  </pic:nvPicPr>
                  <pic:blipFill>
                    <a:blip r:embed="rId180"/>
                    <a:stretch>
                      <a:fillRect/>
                    </a:stretch>
                  </pic:blipFill>
                  <pic:spPr>
                    <a:xfrm>
                      <a:off x="0" y="0"/>
                      <a:ext cx="7419975" cy="5229225"/>
                    </a:xfrm>
                    <a:prstGeom prst="rect">
                      <a:avLst/>
                    </a:prstGeom>
                  </pic:spPr>
                </pic:pic>
              </a:graphicData>
            </a:graphic>
          </wp:inline>
        </w:drawing>
      </w:r>
    </w:p>
    <w:p w14:paraId="7BD16F3F">
      <w:pPr>
        <w:spacing w:line="240" w:lineRule="auto"/>
        <w:ind w:firstLine="0" w:firstLineChars="0"/>
        <w:jc w:val="center"/>
        <w:sectPr>
          <w:pgSz w:w="16840" w:h="11907" w:orient="landscape"/>
          <w:pgMar w:top="1797" w:right="1440" w:bottom="1797" w:left="1440" w:header="907" w:footer="907" w:gutter="0"/>
          <w:cols w:space="425" w:num="1"/>
          <w:docGrid w:linePitch="380" w:charSpace="0"/>
        </w:sectPr>
      </w:pPr>
    </w:p>
    <w:p w14:paraId="03B67552">
      <w:pPr>
        <w:spacing w:line="240" w:lineRule="auto"/>
        <w:ind w:firstLine="0" w:firstLineChars="0"/>
        <w:jc w:val="center"/>
        <w:rPr>
          <w:rFonts w:hint="eastAsia"/>
        </w:rPr>
      </w:pPr>
    </w:p>
    <w:p w14:paraId="09BF75BA">
      <w:pPr>
        <w:pStyle w:val="2"/>
        <w:spacing w:after="0" w:line="240" w:lineRule="auto"/>
        <w:ind w:firstLine="0" w:firstLineChars="0"/>
        <w:jc w:val="center"/>
        <w:rPr>
          <w:rFonts w:hint="eastAsia"/>
        </w:rPr>
      </w:pPr>
      <w:r>
        <w:drawing>
          <wp:inline distT="0" distB="0" distL="0" distR="0">
            <wp:extent cx="5267960" cy="7457440"/>
            <wp:effectExtent l="0" t="0" r="8890" b="10160"/>
            <wp:docPr id="379085064"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5064" name="图片 1" descr="文本&#10;&#10;中度可信度描述已自动生成"/>
                    <pic:cNvPicPr>
                      <a:picLocks noChangeAspect="1" noChangeArrowheads="1"/>
                    </pic:cNvPicPr>
                  </pic:nvPicPr>
                  <pic:blipFill>
                    <a:blip r:embed="rId181"/>
                    <a:srcRect/>
                    <a:stretch>
                      <a:fillRect/>
                    </a:stretch>
                  </pic:blipFill>
                  <pic:spPr>
                    <a:xfrm>
                      <a:off x="0" y="0"/>
                      <a:ext cx="5267960" cy="7457440"/>
                    </a:xfrm>
                    <a:prstGeom prst="rect">
                      <a:avLst/>
                    </a:prstGeom>
                    <a:noFill/>
                    <a:ln>
                      <a:noFill/>
                    </a:ln>
                  </pic:spPr>
                </pic:pic>
              </a:graphicData>
            </a:graphic>
          </wp:inline>
        </w:drawing>
      </w:r>
    </w:p>
    <w:p w14:paraId="1114171F">
      <w:pPr>
        <w:spacing w:line="240" w:lineRule="auto"/>
        <w:ind w:firstLine="0" w:firstLineChars="0"/>
        <w:jc w:val="center"/>
        <w:rPr>
          <w:rFonts w:hint="eastAsia"/>
        </w:rPr>
      </w:pPr>
    </w:p>
    <w:p w14:paraId="5F0841D8">
      <w:pPr>
        <w:pStyle w:val="2"/>
        <w:spacing w:after="0" w:line="240" w:lineRule="auto"/>
        <w:ind w:firstLine="0" w:firstLineChars="0"/>
        <w:jc w:val="center"/>
        <w:sectPr>
          <w:pgSz w:w="11907" w:h="16840"/>
          <w:pgMar w:top="1440" w:right="1797" w:bottom="1440" w:left="1797" w:header="907" w:footer="907" w:gutter="0"/>
          <w:cols w:space="425" w:num="1"/>
          <w:docGrid w:linePitch="380" w:charSpace="0"/>
        </w:sectPr>
      </w:pPr>
    </w:p>
    <w:p w14:paraId="4AC7BCBB">
      <w:pPr>
        <w:pStyle w:val="2"/>
        <w:spacing w:after="0" w:line="240" w:lineRule="auto"/>
        <w:ind w:firstLine="0" w:firstLineChars="0"/>
        <w:jc w:val="center"/>
        <w:rPr>
          <w:rFonts w:hint="eastAsia"/>
        </w:rPr>
      </w:pPr>
      <w:r>
        <w:drawing>
          <wp:inline distT="0" distB="0" distL="0" distR="0">
            <wp:extent cx="5274310" cy="7487920"/>
            <wp:effectExtent l="0" t="0" r="2540" b="17780"/>
            <wp:docPr id="1782083571" name="图片 1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83571" name="图片 16" descr="文本, 信件&#10;&#10;描述已自动生成"/>
                    <pic:cNvPicPr>
                      <a:picLocks noChangeAspect="1" noChangeArrowheads="1"/>
                    </pic:cNvPicPr>
                  </pic:nvPicPr>
                  <pic:blipFill>
                    <a:blip r:embed="rId182"/>
                    <a:srcRect/>
                    <a:stretch>
                      <a:fillRect/>
                    </a:stretch>
                  </pic:blipFill>
                  <pic:spPr>
                    <a:xfrm>
                      <a:off x="0" y="0"/>
                      <a:ext cx="5274310" cy="7487920"/>
                    </a:xfrm>
                    <a:prstGeom prst="rect">
                      <a:avLst/>
                    </a:prstGeom>
                    <a:noFill/>
                    <a:ln>
                      <a:noFill/>
                    </a:ln>
                  </pic:spPr>
                </pic:pic>
              </a:graphicData>
            </a:graphic>
          </wp:inline>
        </w:drawing>
      </w:r>
    </w:p>
    <w:p w14:paraId="6BA01BD0">
      <w:pPr>
        <w:spacing w:line="240" w:lineRule="auto"/>
        <w:ind w:firstLine="0" w:firstLineChars="0"/>
        <w:jc w:val="center"/>
        <w:rPr>
          <w:rFonts w:hint="eastAsia"/>
        </w:rPr>
      </w:pPr>
    </w:p>
    <w:p w14:paraId="28BD3020">
      <w:pPr>
        <w:pStyle w:val="2"/>
        <w:spacing w:after="0" w:line="240" w:lineRule="auto"/>
        <w:ind w:firstLine="0" w:firstLineChars="0"/>
        <w:jc w:val="center"/>
        <w:sectPr>
          <w:pgSz w:w="11907" w:h="16840"/>
          <w:pgMar w:top="1440" w:right="1797" w:bottom="1440" w:left="1797" w:header="907" w:footer="907" w:gutter="0"/>
          <w:cols w:space="425" w:num="1"/>
          <w:docGrid w:linePitch="380" w:charSpace="0"/>
        </w:sectPr>
      </w:pPr>
    </w:p>
    <w:p w14:paraId="7857D825">
      <w:pPr>
        <w:pStyle w:val="2"/>
        <w:spacing w:after="0" w:line="240" w:lineRule="auto"/>
        <w:ind w:firstLine="0" w:firstLineChars="0"/>
        <w:jc w:val="center"/>
        <w:rPr>
          <w:rFonts w:hint="eastAsia"/>
        </w:rPr>
      </w:pPr>
      <w:r>
        <w:drawing>
          <wp:inline distT="0" distB="0" distL="0" distR="0">
            <wp:extent cx="5274310" cy="4415790"/>
            <wp:effectExtent l="0" t="0" r="2540" b="3810"/>
            <wp:docPr id="1101156228"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56228" name="图片 1" descr="文本, 信件&#10;&#10;描述已自动生成"/>
                    <pic:cNvPicPr>
                      <a:picLocks noChangeAspect="1"/>
                    </pic:cNvPicPr>
                  </pic:nvPicPr>
                  <pic:blipFill>
                    <a:blip r:embed="rId183"/>
                    <a:stretch>
                      <a:fillRect/>
                    </a:stretch>
                  </pic:blipFill>
                  <pic:spPr>
                    <a:xfrm>
                      <a:off x="0" y="0"/>
                      <a:ext cx="5274310" cy="4415790"/>
                    </a:xfrm>
                    <a:prstGeom prst="rect">
                      <a:avLst/>
                    </a:prstGeom>
                  </pic:spPr>
                </pic:pic>
              </a:graphicData>
            </a:graphic>
          </wp:inline>
        </w:drawing>
      </w:r>
    </w:p>
    <w:p w14:paraId="5D0BFEB2">
      <w:pPr>
        <w:spacing w:line="240" w:lineRule="auto"/>
        <w:ind w:firstLine="0" w:firstLineChars="0"/>
        <w:jc w:val="center"/>
        <w:rPr>
          <w:rFonts w:hint="eastAsia"/>
        </w:rPr>
      </w:pPr>
    </w:p>
    <w:p w14:paraId="0C60D38A">
      <w:pPr>
        <w:pStyle w:val="2"/>
        <w:spacing w:after="0" w:line="240" w:lineRule="auto"/>
        <w:ind w:firstLine="0" w:firstLineChars="0"/>
        <w:jc w:val="center"/>
        <w:sectPr>
          <w:pgSz w:w="11907" w:h="16840"/>
          <w:pgMar w:top="1440" w:right="1797" w:bottom="1440" w:left="1797" w:header="907" w:footer="907" w:gutter="0"/>
          <w:cols w:space="425" w:num="1"/>
          <w:docGrid w:linePitch="380" w:charSpace="0"/>
        </w:sectPr>
      </w:pPr>
    </w:p>
    <w:p w14:paraId="3036EB3A">
      <w:pPr>
        <w:pStyle w:val="2"/>
        <w:spacing w:after="0" w:line="240" w:lineRule="auto"/>
        <w:ind w:firstLine="0" w:firstLineChars="0"/>
        <w:jc w:val="center"/>
        <w:rPr>
          <w:rFonts w:hint="eastAsia"/>
        </w:rPr>
      </w:pPr>
      <w:r>
        <w:drawing>
          <wp:inline distT="0" distB="0" distL="0" distR="0">
            <wp:extent cx="5271770" cy="7484745"/>
            <wp:effectExtent l="0" t="0" r="5080" b="1905"/>
            <wp:docPr id="670950366"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0366" name="图片 1" descr="文本, 信件&#10;&#10;描述已自动生成"/>
                    <pic:cNvPicPr>
                      <a:picLocks noChangeAspect="1"/>
                    </pic:cNvPicPr>
                  </pic:nvPicPr>
                  <pic:blipFill>
                    <a:blip r:embed="rId184"/>
                    <a:stretch>
                      <a:fillRect/>
                    </a:stretch>
                  </pic:blipFill>
                  <pic:spPr>
                    <a:xfrm>
                      <a:off x="0" y="0"/>
                      <a:ext cx="5271770" cy="7484745"/>
                    </a:xfrm>
                    <a:prstGeom prst="rect">
                      <a:avLst/>
                    </a:prstGeom>
                  </pic:spPr>
                </pic:pic>
              </a:graphicData>
            </a:graphic>
          </wp:inline>
        </w:drawing>
      </w:r>
    </w:p>
    <w:p w14:paraId="45EACD83">
      <w:pPr>
        <w:spacing w:line="240" w:lineRule="auto"/>
        <w:ind w:firstLine="0" w:firstLineChars="0"/>
        <w:jc w:val="center"/>
        <w:rPr>
          <w:rFonts w:hint="eastAsia"/>
        </w:rPr>
      </w:pPr>
    </w:p>
    <w:p w14:paraId="5BDAF254">
      <w:pPr>
        <w:pStyle w:val="2"/>
        <w:spacing w:after="0" w:line="240" w:lineRule="auto"/>
        <w:ind w:firstLine="0" w:firstLineChars="0"/>
        <w:jc w:val="center"/>
        <w:rPr>
          <w:rFonts w:hint="eastAsia"/>
        </w:rPr>
      </w:pPr>
    </w:p>
    <w:p w14:paraId="798F7540">
      <w:pPr>
        <w:pStyle w:val="2"/>
        <w:spacing w:after="0" w:line="240" w:lineRule="auto"/>
        <w:ind w:firstLine="0" w:firstLineChars="0"/>
        <w:jc w:val="center"/>
        <w:rPr>
          <w:rFonts w:hint="eastAsia"/>
        </w:rPr>
      </w:pPr>
    </w:p>
    <w:p w14:paraId="0F92184E">
      <w:pPr>
        <w:spacing w:line="240" w:lineRule="auto"/>
        <w:ind w:firstLine="0" w:firstLineChars="0"/>
        <w:jc w:val="center"/>
        <w:rPr>
          <w:rFonts w:hint="eastAsia"/>
        </w:rPr>
      </w:pPr>
    </w:p>
    <w:p w14:paraId="72BB2C25">
      <w:pPr>
        <w:pStyle w:val="2"/>
        <w:spacing w:after="0" w:line="240" w:lineRule="auto"/>
        <w:ind w:firstLine="0" w:firstLineChars="0"/>
        <w:jc w:val="center"/>
        <w:rPr>
          <w:rFonts w:hint="eastAsia"/>
        </w:rPr>
      </w:pPr>
    </w:p>
    <w:p w14:paraId="1199700B">
      <w:pPr>
        <w:spacing w:line="240" w:lineRule="auto"/>
        <w:ind w:firstLine="0" w:firstLineChars="0"/>
        <w:jc w:val="center"/>
        <w:rPr>
          <w:rFonts w:hint="eastAsia"/>
        </w:rPr>
      </w:pPr>
    </w:p>
    <w:p w14:paraId="466C1F5A">
      <w:pPr>
        <w:pStyle w:val="2"/>
        <w:spacing w:after="0" w:line="240" w:lineRule="auto"/>
        <w:ind w:firstLine="0" w:firstLineChars="0"/>
        <w:jc w:val="center"/>
        <w:rPr>
          <w:rFonts w:hint="eastAsia"/>
        </w:rPr>
      </w:pPr>
    </w:p>
    <w:p w14:paraId="3CFB92DE">
      <w:pPr>
        <w:spacing w:line="240" w:lineRule="auto"/>
        <w:ind w:firstLine="0" w:firstLineChars="0"/>
        <w:jc w:val="center"/>
        <w:rPr>
          <w:rFonts w:hint="eastAsia"/>
        </w:rPr>
      </w:pPr>
    </w:p>
    <w:p w14:paraId="1A3E19F4">
      <w:pPr>
        <w:pStyle w:val="2"/>
        <w:spacing w:after="0" w:line="240" w:lineRule="auto"/>
        <w:ind w:firstLine="0" w:firstLineChars="0"/>
        <w:jc w:val="center"/>
        <w:rPr>
          <w:rFonts w:hint="eastAsia"/>
        </w:rPr>
      </w:pPr>
    </w:p>
    <w:p w14:paraId="5B766E2B">
      <w:pPr>
        <w:spacing w:line="240" w:lineRule="auto"/>
        <w:ind w:firstLine="0" w:firstLineChars="0"/>
        <w:jc w:val="center"/>
        <w:rPr>
          <w:rFonts w:hint="eastAsia"/>
        </w:rPr>
      </w:pPr>
      <w:r>
        <w:drawing>
          <wp:inline distT="0" distB="0" distL="0" distR="0">
            <wp:extent cx="5271770" cy="7252970"/>
            <wp:effectExtent l="0" t="0" r="5080" b="5080"/>
            <wp:docPr id="70916524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65242" name="图片 1" descr="图形用户界面, 文本, 应用程序&#10;&#10;描述已自动生成"/>
                    <pic:cNvPicPr>
                      <a:picLocks noChangeAspect="1"/>
                    </pic:cNvPicPr>
                  </pic:nvPicPr>
                  <pic:blipFill>
                    <a:blip r:embed="rId185"/>
                    <a:stretch>
                      <a:fillRect/>
                    </a:stretch>
                  </pic:blipFill>
                  <pic:spPr>
                    <a:xfrm>
                      <a:off x="0" y="0"/>
                      <a:ext cx="5271770" cy="7252970"/>
                    </a:xfrm>
                    <a:prstGeom prst="rect">
                      <a:avLst/>
                    </a:prstGeom>
                  </pic:spPr>
                </pic:pic>
              </a:graphicData>
            </a:graphic>
          </wp:inline>
        </w:drawing>
      </w:r>
    </w:p>
    <w:p w14:paraId="696D613A">
      <w:pPr>
        <w:pStyle w:val="2"/>
        <w:spacing w:after="0" w:line="240" w:lineRule="auto"/>
        <w:ind w:firstLine="0" w:firstLineChars="0"/>
        <w:jc w:val="center"/>
        <w:rPr>
          <w:rFonts w:hint="eastAsia"/>
        </w:rPr>
      </w:pPr>
    </w:p>
    <w:p w14:paraId="2437E6B5">
      <w:pPr>
        <w:spacing w:line="240" w:lineRule="auto"/>
        <w:ind w:firstLine="0" w:firstLineChars="0"/>
        <w:jc w:val="center"/>
        <w:rPr>
          <w:rFonts w:hint="eastAsia"/>
        </w:rPr>
      </w:pPr>
    </w:p>
    <w:p w14:paraId="0F9A722B">
      <w:pPr>
        <w:pStyle w:val="2"/>
        <w:spacing w:after="0" w:line="240" w:lineRule="auto"/>
        <w:ind w:firstLine="0" w:firstLineChars="0"/>
        <w:jc w:val="center"/>
        <w:rPr>
          <w:rFonts w:hint="eastAsia"/>
        </w:rPr>
      </w:pPr>
    </w:p>
    <w:p w14:paraId="331A88E1">
      <w:pPr>
        <w:spacing w:line="240" w:lineRule="auto"/>
        <w:ind w:firstLine="0" w:firstLineChars="0"/>
        <w:jc w:val="center"/>
        <w:rPr>
          <w:rFonts w:hint="eastAsia"/>
        </w:rPr>
      </w:pPr>
    </w:p>
    <w:p w14:paraId="1C01EE7E">
      <w:pPr>
        <w:pStyle w:val="2"/>
        <w:spacing w:after="0" w:line="240" w:lineRule="auto"/>
        <w:ind w:firstLine="0" w:firstLineChars="0"/>
        <w:jc w:val="center"/>
        <w:rPr>
          <w:rFonts w:hint="eastAsia"/>
        </w:rPr>
      </w:pPr>
    </w:p>
    <w:p w14:paraId="11270795">
      <w:pPr>
        <w:spacing w:line="240" w:lineRule="auto"/>
        <w:ind w:firstLine="0" w:firstLineChars="0"/>
        <w:jc w:val="center"/>
        <w:rPr>
          <w:rFonts w:hint="eastAsia"/>
        </w:rPr>
      </w:pPr>
    </w:p>
    <w:p w14:paraId="215A8E43">
      <w:pPr>
        <w:pStyle w:val="2"/>
        <w:spacing w:after="0" w:line="240" w:lineRule="auto"/>
        <w:ind w:firstLine="0" w:firstLineChars="0"/>
        <w:jc w:val="center"/>
        <w:rPr>
          <w:rFonts w:hint="eastAsia"/>
        </w:rPr>
      </w:pPr>
    </w:p>
    <w:p w14:paraId="2A105D7C">
      <w:pPr>
        <w:pStyle w:val="2"/>
        <w:spacing w:after="0" w:line="240" w:lineRule="auto"/>
        <w:ind w:firstLine="0" w:firstLineChars="0"/>
        <w:jc w:val="center"/>
        <w:rPr>
          <w:rFonts w:hint="eastAsia"/>
        </w:rPr>
      </w:pPr>
    </w:p>
    <w:p w14:paraId="50DF19EA">
      <w:pPr>
        <w:spacing w:line="240" w:lineRule="auto"/>
        <w:ind w:firstLine="0" w:firstLineChars="0"/>
        <w:jc w:val="center"/>
        <w:rPr>
          <w:rFonts w:hint="eastAsia"/>
        </w:rPr>
      </w:pPr>
      <w:r>
        <w:drawing>
          <wp:inline distT="0" distB="0" distL="0" distR="0">
            <wp:extent cx="5274310" cy="7205345"/>
            <wp:effectExtent l="0" t="0" r="2540" b="14605"/>
            <wp:docPr id="195676275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62753" name="图片 1" descr="文本&#10;&#10;描述已自动生成"/>
                    <pic:cNvPicPr>
                      <a:picLocks noChangeAspect="1"/>
                    </pic:cNvPicPr>
                  </pic:nvPicPr>
                  <pic:blipFill>
                    <a:blip r:embed="rId186"/>
                    <a:stretch>
                      <a:fillRect/>
                    </a:stretch>
                  </pic:blipFill>
                  <pic:spPr>
                    <a:xfrm>
                      <a:off x="0" y="0"/>
                      <a:ext cx="5274310" cy="7205345"/>
                    </a:xfrm>
                    <a:prstGeom prst="rect">
                      <a:avLst/>
                    </a:prstGeom>
                  </pic:spPr>
                </pic:pic>
              </a:graphicData>
            </a:graphic>
          </wp:inline>
        </w:drawing>
      </w:r>
    </w:p>
    <w:p w14:paraId="19F204DF">
      <w:pPr>
        <w:pStyle w:val="2"/>
        <w:spacing w:after="0" w:line="240" w:lineRule="auto"/>
        <w:ind w:firstLine="0" w:firstLineChars="0"/>
        <w:jc w:val="center"/>
        <w:rPr>
          <w:rFonts w:hint="eastAsia"/>
        </w:rPr>
      </w:pPr>
    </w:p>
    <w:p w14:paraId="74B190D6">
      <w:pPr>
        <w:spacing w:line="240" w:lineRule="auto"/>
        <w:ind w:firstLine="0" w:firstLineChars="0"/>
        <w:jc w:val="center"/>
        <w:rPr>
          <w:rFonts w:hint="eastAsia"/>
        </w:rPr>
      </w:pPr>
    </w:p>
    <w:p w14:paraId="5B0E59ED">
      <w:pPr>
        <w:pStyle w:val="2"/>
        <w:spacing w:after="0" w:line="240" w:lineRule="auto"/>
        <w:ind w:firstLine="0" w:firstLineChars="0"/>
        <w:jc w:val="center"/>
        <w:rPr>
          <w:rFonts w:hint="eastAsia"/>
        </w:rPr>
      </w:pPr>
    </w:p>
    <w:p w14:paraId="509CC06C">
      <w:pPr>
        <w:spacing w:line="240" w:lineRule="auto"/>
        <w:ind w:firstLine="0" w:firstLineChars="0"/>
        <w:jc w:val="center"/>
        <w:rPr>
          <w:rFonts w:hint="eastAsia"/>
        </w:rPr>
      </w:pPr>
    </w:p>
    <w:p w14:paraId="288EDB95">
      <w:pPr>
        <w:pStyle w:val="2"/>
        <w:spacing w:after="0" w:line="240" w:lineRule="auto"/>
        <w:ind w:firstLine="0" w:firstLineChars="0"/>
        <w:jc w:val="center"/>
        <w:rPr>
          <w:rFonts w:hint="eastAsia"/>
        </w:rPr>
      </w:pPr>
    </w:p>
    <w:p w14:paraId="0B8AAFA2">
      <w:pPr>
        <w:spacing w:line="240" w:lineRule="auto"/>
        <w:ind w:firstLine="0" w:firstLineChars="0"/>
        <w:jc w:val="center"/>
        <w:rPr>
          <w:rFonts w:hint="eastAsia"/>
        </w:rPr>
      </w:pPr>
    </w:p>
    <w:p w14:paraId="62809EC9">
      <w:pPr>
        <w:pStyle w:val="2"/>
        <w:spacing w:after="0" w:line="240" w:lineRule="auto"/>
        <w:ind w:firstLine="0" w:firstLineChars="0"/>
        <w:jc w:val="center"/>
        <w:rPr>
          <w:rFonts w:hint="eastAsia"/>
        </w:rPr>
      </w:pPr>
    </w:p>
    <w:p w14:paraId="7B58630D">
      <w:pPr>
        <w:spacing w:line="240" w:lineRule="auto"/>
        <w:ind w:firstLine="0" w:firstLineChars="0"/>
        <w:jc w:val="center"/>
        <w:rPr>
          <w:rFonts w:hint="eastAsia"/>
        </w:rPr>
      </w:pPr>
    </w:p>
    <w:p w14:paraId="08DCE85B">
      <w:pPr>
        <w:pStyle w:val="2"/>
        <w:spacing w:after="0" w:line="240" w:lineRule="auto"/>
        <w:ind w:firstLine="0" w:firstLineChars="0"/>
        <w:jc w:val="center"/>
        <w:rPr>
          <w:rFonts w:hint="eastAsia"/>
        </w:rPr>
      </w:pPr>
      <w:r>
        <w:drawing>
          <wp:inline distT="0" distB="0" distL="0" distR="0">
            <wp:extent cx="5264150" cy="7379335"/>
            <wp:effectExtent l="0" t="0" r="12700" b="12065"/>
            <wp:docPr id="199771875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8758" name="图片 1" descr="表格&#10;&#10;描述已自动生成"/>
                    <pic:cNvPicPr>
                      <a:picLocks noChangeAspect="1"/>
                    </pic:cNvPicPr>
                  </pic:nvPicPr>
                  <pic:blipFill>
                    <a:blip r:embed="rId187"/>
                    <a:stretch>
                      <a:fillRect/>
                    </a:stretch>
                  </pic:blipFill>
                  <pic:spPr>
                    <a:xfrm>
                      <a:off x="0" y="0"/>
                      <a:ext cx="5264150" cy="7379335"/>
                    </a:xfrm>
                    <a:prstGeom prst="rect">
                      <a:avLst/>
                    </a:prstGeom>
                  </pic:spPr>
                </pic:pic>
              </a:graphicData>
            </a:graphic>
          </wp:inline>
        </w:drawing>
      </w:r>
    </w:p>
    <w:p w14:paraId="1DCA9DA3">
      <w:pPr>
        <w:spacing w:line="240" w:lineRule="auto"/>
        <w:ind w:firstLine="0" w:firstLineChars="0"/>
        <w:jc w:val="center"/>
        <w:rPr>
          <w:rFonts w:hint="eastAsia"/>
        </w:rPr>
      </w:pPr>
    </w:p>
    <w:p w14:paraId="010E40FF">
      <w:pPr>
        <w:pStyle w:val="2"/>
        <w:spacing w:after="0" w:line="240" w:lineRule="auto"/>
        <w:ind w:firstLine="0" w:firstLineChars="0"/>
        <w:jc w:val="center"/>
        <w:rPr>
          <w:rFonts w:hint="eastAsia"/>
        </w:rPr>
      </w:pPr>
    </w:p>
    <w:p w14:paraId="1AE034C1">
      <w:pPr>
        <w:spacing w:line="240" w:lineRule="auto"/>
        <w:ind w:firstLine="0" w:firstLineChars="0"/>
        <w:jc w:val="center"/>
        <w:rPr>
          <w:rFonts w:hint="eastAsia"/>
        </w:rPr>
      </w:pPr>
    </w:p>
    <w:p w14:paraId="265499D9">
      <w:pPr>
        <w:pStyle w:val="2"/>
        <w:spacing w:after="0" w:line="240" w:lineRule="auto"/>
        <w:ind w:firstLine="0" w:firstLineChars="0"/>
        <w:jc w:val="center"/>
        <w:rPr>
          <w:rFonts w:hint="eastAsia"/>
        </w:rPr>
      </w:pPr>
    </w:p>
    <w:p w14:paraId="169ECE9F">
      <w:pPr>
        <w:pStyle w:val="2"/>
        <w:spacing w:after="0" w:line="240" w:lineRule="auto"/>
        <w:ind w:firstLine="0" w:firstLineChars="0"/>
        <w:jc w:val="center"/>
        <w:rPr>
          <w:rFonts w:hint="eastAsia"/>
        </w:rPr>
      </w:pPr>
    </w:p>
    <w:p w14:paraId="65696F1B">
      <w:pPr>
        <w:spacing w:line="240" w:lineRule="auto"/>
        <w:ind w:firstLine="0" w:firstLineChars="0"/>
        <w:jc w:val="center"/>
        <w:rPr>
          <w:rFonts w:hint="eastAsia"/>
        </w:rPr>
      </w:pPr>
    </w:p>
    <w:p w14:paraId="18D84FFE">
      <w:pPr>
        <w:pStyle w:val="2"/>
        <w:spacing w:after="0" w:line="240" w:lineRule="auto"/>
        <w:ind w:firstLine="0" w:firstLineChars="0"/>
        <w:jc w:val="center"/>
        <w:rPr>
          <w:rFonts w:hint="eastAsia"/>
        </w:rPr>
      </w:pPr>
    </w:p>
    <w:p w14:paraId="3D8171BB">
      <w:pPr>
        <w:spacing w:line="240" w:lineRule="auto"/>
        <w:ind w:firstLine="0" w:firstLineChars="0"/>
        <w:jc w:val="center"/>
        <w:rPr>
          <w:rFonts w:hint="eastAsia"/>
        </w:rPr>
      </w:pPr>
      <w:r>
        <w:drawing>
          <wp:inline distT="0" distB="0" distL="0" distR="0">
            <wp:extent cx="5266690" cy="7582535"/>
            <wp:effectExtent l="0" t="0" r="10160" b="18415"/>
            <wp:docPr id="347617556"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17556" name="图片 1" descr="手机屏幕截图&#10;&#10;描述已自动生成"/>
                    <pic:cNvPicPr>
                      <a:picLocks noChangeAspect="1"/>
                    </pic:cNvPicPr>
                  </pic:nvPicPr>
                  <pic:blipFill>
                    <a:blip r:embed="rId188"/>
                    <a:stretch>
                      <a:fillRect/>
                    </a:stretch>
                  </pic:blipFill>
                  <pic:spPr>
                    <a:xfrm>
                      <a:off x="0" y="0"/>
                      <a:ext cx="5266690" cy="7582535"/>
                    </a:xfrm>
                    <a:prstGeom prst="rect">
                      <a:avLst/>
                    </a:prstGeom>
                  </pic:spPr>
                </pic:pic>
              </a:graphicData>
            </a:graphic>
          </wp:inline>
        </w:drawing>
      </w:r>
    </w:p>
    <w:p w14:paraId="29F4DE17">
      <w:pPr>
        <w:pStyle w:val="2"/>
        <w:spacing w:after="0" w:line="240" w:lineRule="auto"/>
        <w:ind w:firstLine="0" w:firstLineChars="0"/>
        <w:jc w:val="center"/>
        <w:rPr>
          <w:rFonts w:hint="eastAsia"/>
        </w:rPr>
      </w:pPr>
    </w:p>
    <w:p w14:paraId="31F8D2F3">
      <w:pPr>
        <w:spacing w:line="240" w:lineRule="auto"/>
        <w:ind w:firstLine="0" w:firstLineChars="0"/>
        <w:jc w:val="center"/>
        <w:rPr>
          <w:rFonts w:hint="eastAsia"/>
        </w:rPr>
      </w:pPr>
    </w:p>
    <w:p w14:paraId="31C18FC4">
      <w:pPr>
        <w:pStyle w:val="2"/>
        <w:spacing w:after="0" w:line="240" w:lineRule="auto"/>
        <w:ind w:firstLine="0" w:firstLineChars="0"/>
        <w:jc w:val="center"/>
        <w:rPr>
          <w:rFonts w:hint="eastAsia"/>
        </w:rPr>
      </w:pPr>
    </w:p>
    <w:p w14:paraId="69B523B9">
      <w:pPr>
        <w:spacing w:line="240" w:lineRule="auto"/>
        <w:ind w:firstLine="0" w:firstLineChars="0"/>
        <w:jc w:val="center"/>
        <w:rPr>
          <w:rFonts w:hint="eastAsia"/>
        </w:rPr>
      </w:pPr>
    </w:p>
    <w:p w14:paraId="65286205">
      <w:pPr>
        <w:pStyle w:val="2"/>
        <w:spacing w:after="0" w:line="240" w:lineRule="auto"/>
        <w:ind w:firstLine="0" w:firstLineChars="0"/>
        <w:jc w:val="center"/>
        <w:rPr>
          <w:rFonts w:hint="eastAsia"/>
        </w:rPr>
      </w:pPr>
    </w:p>
    <w:p w14:paraId="594556A5">
      <w:pPr>
        <w:spacing w:line="240" w:lineRule="auto"/>
        <w:ind w:firstLine="0" w:firstLineChars="0"/>
        <w:jc w:val="center"/>
        <w:rPr>
          <w:rFonts w:hint="eastAsia"/>
        </w:rPr>
      </w:pPr>
    </w:p>
    <w:p w14:paraId="5419E94F">
      <w:pPr>
        <w:pStyle w:val="2"/>
        <w:spacing w:after="0" w:line="240" w:lineRule="auto"/>
        <w:ind w:firstLine="0" w:firstLineChars="0"/>
        <w:jc w:val="center"/>
        <w:rPr>
          <w:rFonts w:hint="eastAsia"/>
        </w:rPr>
      </w:pPr>
    </w:p>
    <w:p w14:paraId="01184EB9">
      <w:pPr>
        <w:spacing w:line="240" w:lineRule="auto"/>
        <w:ind w:firstLine="0" w:firstLineChars="0"/>
        <w:jc w:val="center"/>
        <w:rPr>
          <w:rFonts w:hint="eastAsia"/>
        </w:rPr>
      </w:pPr>
    </w:p>
    <w:p w14:paraId="1C90CC93">
      <w:pPr>
        <w:pStyle w:val="2"/>
        <w:spacing w:after="0" w:line="240" w:lineRule="auto"/>
        <w:ind w:firstLine="0" w:firstLineChars="0"/>
        <w:jc w:val="center"/>
        <w:rPr>
          <w:rFonts w:hint="eastAsia"/>
        </w:rPr>
      </w:pPr>
      <w:r>
        <w:drawing>
          <wp:inline distT="0" distB="0" distL="0" distR="0">
            <wp:extent cx="5264150" cy="7358380"/>
            <wp:effectExtent l="0" t="0" r="12700" b="13970"/>
            <wp:docPr id="1941651867"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51867" name="图片 1" descr="表格&#10;&#10;描述已自动生成"/>
                    <pic:cNvPicPr>
                      <a:picLocks noChangeAspect="1"/>
                    </pic:cNvPicPr>
                  </pic:nvPicPr>
                  <pic:blipFill>
                    <a:blip r:embed="rId189"/>
                    <a:stretch>
                      <a:fillRect/>
                    </a:stretch>
                  </pic:blipFill>
                  <pic:spPr>
                    <a:xfrm>
                      <a:off x="0" y="0"/>
                      <a:ext cx="5264150" cy="7358380"/>
                    </a:xfrm>
                    <a:prstGeom prst="rect">
                      <a:avLst/>
                    </a:prstGeom>
                  </pic:spPr>
                </pic:pic>
              </a:graphicData>
            </a:graphic>
          </wp:inline>
        </w:drawing>
      </w:r>
    </w:p>
    <w:p w14:paraId="7A04F42C">
      <w:pPr>
        <w:spacing w:line="240" w:lineRule="auto"/>
        <w:ind w:firstLine="0" w:firstLineChars="0"/>
        <w:jc w:val="center"/>
        <w:rPr>
          <w:rFonts w:hint="eastAsia"/>
        </w:rPr>
      </w:pPr>
    </w:p>
    <w:p w14:paraId="2B184059">
      <w:pPr>
        <w:pStyle w:val="2"/>
        <w:spacing w:after="0" w:line="240" w:lineRule="auto"/>
        <w:ind w:firstLine="0" w:firstLineChars="0"/>
        <w:jc w:val="center"/>
        <w:rPr>
          <w:rFonts w:hint="eastAsia"/>
        </w:rPr>
      </w:pPr>
    </w:p>
    <w:p w14:paraId="5C69580B">
      <w:pPr>
        <w:pStyle w:val="2"/>
        <w:spacing w:after="0" w:line="240" w:lineRule="auto"/>
        <w:ind w:firstLine="0" w:firstLineChars="0"/>
        <w:jc w:val="center"/>
        <w:rPr>
          <w:rFonts w:hint="eastAsia"/>
        </w:rPr>
      </w:pPr>
    </w:p>
    <w:p w14:paraId="5063834C">
      <w:pPr>
        <w:spacing w:line="240" w:lineRule="auto"/>
        <w:ind w:firstLine="0" w:firstLineChars="0"/>
        <w:jc w:val="center"/>
        <w:rPr>
          <w:rFonts w:hint="eastAsia"/>
        </w:rPr>
      </w:pPr>
    </w:p>
    <w:p w14:paraId="14B0EAA1">
      <w:pPr>
        <w:pStyle w:val="2"/>
        <w:spacing w:after="0" w:line="240" w:lineRule="auto"/>
        <w:ind w:firstLine="0" w:firstLineChars="0"/>
        <w:jc w:val="center"/>
        <w:rPr>
          <w:rFonts w:hint="eastAsia"/>
        </w:rPr>
      </w:pPr>
      <w:r>
        <w:drawing>
          <wp:inline distT="0" distB="0" distL="0" distR="0">
            <wp:extent cx="5266690" cy="7495540"/>
            <wp:effectExtent l="0" t="0" r="10160" b="10160"/>
            <wp:docPr id="58814925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9259" name="图片 1" descr="表格&#10;&#10;描述已自动生成"/>
                    <pic:cNvPicPr>
                      <a:picLocks noChangeAspect="1"/>
                    </pic:cNvPicPr>
                  </pic:nvPicPr>
                  <pic:blipFill>
                    <a:blip r:embed="rId190"/>
                    <a:stretch>
                      <a:fillRect/>
                    </a:stretch>
                  </pic:blipFill>
                  <pic:spPr>
                    <a:xfrm>
                      <a:off x="0" y="0"/>
                      <a:ext cx="5266690" cy="7495540"/>
                    </a:xfrm>
                    <a:prstGeom prst="rect">
                      <a:avLst/>
                    </a:prstGeom>
                  </pic:spPr>
                </pic:pic>
              </a:graphicData>
            </a:graphic>
          </wp:inline>
        </w:drawing>
      </w:r>
    </w:p>
    <w:p w14:paraId="6225EB2B">
      <w:pPr>
        <w:spacing w:line="240" w:lineRule="auto"/>
        <w:ind w:firstLine="0" w:firstLineChars="0"/>
        <w:jc w:val="center"/>
        <w:rPr>
          <w:rFonts w:hint="eastAsia"/>
        </w:rPr>
      </w:pPr>
    </w:p>
    <w:p w14:paraId="63BBB1CD">
      <w:pPr>
        <w:pStyle w:val="2"/>
        <w:spacing w:after="0" w:line="240" w:lineRule="auto"/>
        <w:ind w:firstLine="0" w:firstLineChars="0"/>
        <w:jc w:val="center"/>
        <w:rPr>
          <w:rFonts w:hint="eastAsia"/>
        </w:rPr>
      </w:pPr>
    </w:p>
    <w:p w14:paraId="32A0F5DE">
      <w:pPr>
        <w:spacing w:line="240" w:lineRule="auto"/>
        <w:ind w:firstLine="0" w:firstLineChars="0"/>
        <w:jc w:val="center"/>
        <w:rPr>
          <w:rFonts w:hint="eastAsia"/>
        </w:rPr>
      </w:pPr>
    </w:p>
    <w:p w14:paraId="64050ACE">
      <w:pPr>
        <w:pStyle w:val="2"/>
        <w:spacing w:after="0" w:line="240" w:lineRule="auto"/>
        <w:ind w:firstLine="0" w:firstLineChars="0"/>
        <w:jc w:val="center"/>
        <w:rPr>
          <w:rFonts w:hint="eastAsia"/>
        </w:rPr>
      </w:pPr>
    </w:p>
    <w:p w14:paraId="307C73C7">
      <w:pPr>
        <w:spacing w:line="240" w:lineRule="auto"/>
        <w:ind w:firstLine="0" w:firstLineChars="0"/>
        <w:jc w:val="center"/>
        <w:rPr>
          <w:rFonts w:hint="eastAsia"/>
        </w:rPr>
      </w:pPr>
    </w:p>
    <w:p w14:paraId="31726532">
      <w:pPr>
        <w:pStyle w:val="2"/>
        <w:spacing w:after="0" w:line="240" w:lineRule="auto"/>
        <w:ind w:firstLine="0" w:firstLineChars="0"/>
        <w:jc w:val="center"/>
        <w:rPr>
          <w:rFonts w:hint="eastAsia"/>
        </w:rPr>
      </w:pPr>
    </w:p>
    <w:p w14:paraId="0CA10915">
      <w:pPr>
        <w:spacing w:line="240" w:lineRule="auto"/>
        <w:ind w:firstLine="0" w:firstLineChars="0"/>
        <w:jc w:val="center"/>
        <w:rPr>
          <w:rFonts w:hint="eastAsia"/>
        </w:rPr>
      </w:pPr>
    </w:p>
    <w:p w14:paraId="18E61CE9">
      <w:pPr>
        <w:pStyle w:val="2"/>
        <w:spacing w:after="0" w:line="240" w:lineRule="auto"/>
        <w:ind w:firstLine="0" w:firstLineChars="0"/>
        <w:jc w:val="center"/>
        <w:rPr>
          <w:rFonts w:hint="eastAsia"/>
        </w:rPr>
      </w:pPr>
    </w:p>
    <w:p w14:paraId="4EEFC58D">
      <w:pPr>
        <w:spacing w:line="240" w:lineRule="auto"/>
        <w:ind w:firstLine="0" w:firstLineChars="0"/>
        <w:jc w:val="center"/>
        <w:rPr>
          <w:rFonts w:hint="eastAsia"/>
        </w:rPr>
      </w:pPr>
      <w:r>
        <w:drawing>
          <wp:inline distT="0" distB="0" distL="0" distR="0">
            <wp:extent cx="5274310" cy="7296785"/>
            <wp:effectExtent l="0" t="0" r="2540" b="18415"/>
            <wp:docPr id="39893230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32308" name="图片 1" descr="表格&#10;&#10;描述已自动生成"/>
                    <pic:cNvPicPr>
                      <a:picLocks noChangeAspect="1"/>
                    </pic:cNvPicPr>
                  </pic:nvPicPr>
                  <pic:blipFill>
                    <a:blip r:embed="rId191"/>
                    <a:stretch>
                      <a:fillRect/>
                    </a:stretch>
                  </pic:blipFill>
                  <pic:spPr>
                    <a:xfrm>
                      <a:off x="0" y="0"/>
                      <a:ext cx="5274310" cy="7296785"/>
                    </a:xfrm>
                    <a:prstGeom prst="rect">
                      <a:avLst/>
                    </a:prstGeom>
                  </pic:spPr>
                </pic:pic>
              </a:graphicData>
            </a:graphic>
          </wp:inline>
        </w:drawing>
      </w:r>
    </w:p>
    <w:p w14:paraId="5F7A80D2">
      <w:pPr>
        <w:pStyle w:val="2"/>
        <w:spacing w:after="0" w:line="240" w:lineRule="auto"/>
        <w:ind w:firstLine="0" w:firstLineChars="0"/>
        <w:jc w:val="center"/>
        <w:rPr>
          <w:rFonts w:hint="eastAsia"/>
        </w:rPr>
      </w:pPr>
    </w:p>
    <w:p w14:paraId="79ACE6E1">
      <w:pPr>
        <w:spacing w:line="240" w:lineRule="auto"/>
        <w:ind w:firstLine="0" w:firstLineChars="0"/>
        <w:jc w:val="center"/>
        <w:rPr>
          <w:rFonts w:hint="eastAsia"/>
        </w:rPr>
      </w:pPr>
    </w:p>
    <w:p w14:paraId="792249D5">
      <w:pPr>
        <w:pStyle w:val="2"/>
        <w:spacing w:after="0" w:line="240" w:lineRule="auto"/>
        <w:ind w:firstLine="0" w:firstLineChars="0"/>
        <w:jc w:val="center"/>
        <w:rPr>
          <w:rFonts w:hint="eastAsia"/>
        </w:rPr>
      </w:pPr>
    </w:p>
    <w:p w14:paraId="33777993">
      <w:pPr>
        <w:pStyle w:val="2"/>
        <w:spacing w:after="0" w:line="240" w:lineRule="auto"/>
        <w:ind w:firstLine="0" w:firstLineChars="0"/>
        <w:jc w:val="center"/>
        <w:rPr>
          <w:rFonts w:hint="eastAsia"/>
        </w:rPr>
      </w:pPr>
    </w:p>
    <w:p w14:paraId="097FC65C">
      <w:pPr>
        <w:spacing w:line="240" w:lineRule="auto"/>
        <w:ind w:firstLine="0" w:firstLineChars="0"/>
        <w:jc w:val="center"/>
        <w:rPr>
          <w:rFonts w:hint="eastAsia"/>
        </w:rPr>
      </w:pPr>
    </w:p>
    <w:p w14:paraId="05E9759E">
      <w:pPr>
        <w:pStyle w:val="2"/>
        <w:spacing w:after="0" w:line="240" w:lineRule="auto"/>
        <w:ind w:firstLine="0" w:firstLineChars="0"/>
        <w:jc w:val="center"/>
        <w:rPr>
          <w:rFonts w:hint="eastAsia"/>
        </w:rPr>
      </w:pPr>
    </w:p>
    <w:p w14:paraId="6851D8BB">
      <w:pPr>
        <w:spacing w:line="240" w:lineRule="auto"/>
        <w:ind w:firstLine="0" w:firstLineChars="0"/>
        <w:jc w:val="center"/>
        <w:rPr>
          <w:rFonts w:hint="eastAsia"/>
        </w:rPr>
      </w:pPr>
    </w:p>
    <w:p w14:paraId="26F46FD4">
      <w:pPr>
        <w:pStyle w:val="2"/>
        <w:spacing w:after="0" w:line="240" w:lineRule="auto"/>
        <w:ind w:firstLine="0" w:firstLineChars="0"/>
        <w:jc w:val="center"/>
        <w:rPr>
          <w:rFonts w:hint="eastAsia"/>
        </w:rPr>
      </w:pPr>
      <w:r>
        <w:drawing>
          <wp:inline distT="0" distB="0" distL="0" distR="0">
            <wp:extent cx="5264150" cy="7282180"/>
            <wp:effectExtent l="0" t="0" r="12700" b="13970"/>
            <wp:docPr id="59850348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03489" name="图片 1" descr="表格&#10;&#10;描述已自动生成"/>
                    <pic:cNvPicPr>
                      <a:picLocks noChangeAspect="1"/>
                    </pic:cNvPicPr>
                  </pic:nvPicPr>
                  <pic:blipFill>
                    <a:blip r:embed="rId192"/>
                    <a:stretch>
                      <a:fillRect/>
                    </a:stretch>
                  </pic:blipFill>
                  <pic:spPr>
                    <a:xfrm>
                      <a:off x="0" y="0"/>
                      <a:ext cx="5264150" cy="7282180"/>
                    </a:xfrm>
                    <a:prstGeom prst="rect">
                      <a:avLst/>
                    </a:prstGeom>
                  </pic:spPr>
                </pic:pic>
              </a:graphicData>
            </a:graphic>
          </wp:inline>
        </w:drawing>
      </w:r>
    </w:p>
    <w:p w14:paraId="0A72CF17">
      <w:pPr>
        <w:spacing w:line="240" w:lineRule="auto"/>
        <w:ind w:firstLine="0" w:firstLineChars="0"/>
        <w:jc w:val="center"/>
        <w:rPr>
          <w:rFonts w:hint="eastAsia"/>
        </w:rPr>
      </w:pPr>
    </w:p>
    <w:p w14:paraId="717F6C3C">
      <w:pPr>
        <w:pStyle w:val="2"/>
        <w:spacing w:after="0" w:line="240" w:lineRule="auto"/>
        <w:ind w:firstLine="0" w:firstLineChars="0"/>
        <w:jc w:val="center"/>
        <w:rPr>
          <w:rFonts w:hint="eastAsia"/>
        </w:rPr>
      </w:pPr>
    </w:p>
    <w:p w14:paraId="4068338E">
      <w:pPr>
        <w:spacing w:line="240" w:lineRule="auto"/>
        <w:ind w:firstLine="0" w:firstLineChars="0"/>
        <w:jc w:val="center"/>
        <w:rPr>
          <w:rFonts w:hint="eastAsia"/>
        </w:rPr>
      </w:pPr>
    </w:p>
    <w:p w14:paraId="788EAEDE">
      <w:pPr>
        <w:pStyle w:val="2"/>
        <w:spacing w:after="0" w:line="240" w:lineRule="auto"/>
        <w:ind w:firstLine="0" w:firstLineChars="0"/>
        <w:jc w:val="center"/>
        <w:rPr>
          <w:rFonts w:hint="eastAsia"/>
        </w:rPr>
      </w:pPr>
    </w:p>
    <w:p w14:paraId="14D76427">
      <w:pPr>
        <w:spacing w:line="240" w:lineRule="auto"/>
        <w:ind w:firstLine="0" w:firstLineChars="0"/>
        <w:jc w:val="center"/>
        <w:rPr>
          <w:rFonts w:hint="eastAsia"/>
        </w:rPr>
      </w:pPr>
    </w:p>
    <w:p w14:paraId="2629D60E">
      <w:pPr>
        <w:pStyle w:val="2"/>
        <w:spacing w:after="0" w:line="240" w:lineRule="auto"/>
        <w:ind w:firstLine="0" w:firstLineChars="0"/>
        <w:jc w:val="center"/>
        <w:rPr>
          <w:rFonts w:hint="eastAsia"/>
        </w:rPr>
      </w:pPr>
    </w:p>
    <w:p w14:paraId="2E059F2B">
      <w:pPr>
        <w:spacing w:line="240" w:lineRule="auto"/>
        <w:ind w:firstLine="0" w:firstLineChars="0"/>
        <w:jc w:val="center"/>
        <w:rPr>
          <w:rFonts w:hint="eastAsia"/>
        </w:rPr>
      </w:pPr>
    </w:p>
    <w:p w14:paraId="28B8046C">
      <w:pPr>
        <w:pStyle w:val="2"/>
        <w:spacing w:after="0" w:line="240" w:lineRule="auto"/>
        <w:ind w:firstLine="0" w:firstLineChars="0"/>
        <w:jc w:val="center"/>
        <w:rPr>
          <w:rFonts w:hint="eastAsia"/>
        </w:rPr>
      </w:pPr>
    </w:p>
    <w:p w14:paraId="368E67DF">
      <w:pPr>
        <w:spacing w:line="240" w:lineRule="auto"/>
        <w:ind w:firstLine="0" w:firstLineChars="0"/>
        <w:jc w:val="center"/>
        <w:rPr>
          <w:rFonts w:hint="eastAsia"/>
        </w:rPr>
      </w:pPr>
    </w:p>
    <w:p w14:paraId="1033982D">
      <w:pPr>
        <w:pStyle w:val="2"/>
        <w:spacing w:after="0" w:line="240" w:lineRule="auto"/>
        <w:ind w:firstLine="0" w:firstLineChars="0"/>
        <w:jc w:val="center"/>
        <w:rPr>
          <w:rFonts w:hint="eastAsia"/>
        </w:rPr>
      </w:pPr>
      <w:r>
        <w:drawing>
          <wp:inline distT="0" distB="0" distL="0" distR="0">
            <wp:extent cx="5264150" cy="7343140"/>
            <wp:effectExtent l="0" t="0" r="12700" b="10160"/>
            <wp:docPr id="1056444233" name="图片 1"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44233" name="图片 1" descr="一些文字和图片的手机截图&#10;&#10;描述已自动生成"/>
                    <pic:cNvPicPr>
                      <a:picLocks noChangeAspect="1"/>
                    </pic:cNvPicPr>
                  </pic:nvPicPr>
                  <pic:blipFill>
                    <a:blip r:embed="rId193"/>
                    <a:stretch>
                      <a:fillRect/>
                    </a:stretch>
                  </pic:blipFill>
                  <pic:spPr>
                    <a:xfrm>
                      <a:off x="0" y="0"/>
                      <a:ext cx="5264150" cy="7343140"/>
                    </a:xfrm>
                    <a:prstGeom prst="rect">
                      <a:avLst/>
                    </a:prstGeom>
                  </pic:spPr>
                </pic:pic>
              </a:graphicData>
            </a:graphic>
          </wp:inline>
        </w:drawing>
      </w:r>
    </w:p>
    <w:p w14:paraId="2661B8BC">
      <w:pPr>
        <w:pStyle w:val="2"/>
        <w:spacing w:after="0" w:line="240" w:lineRule="auto"/>
        <w:ind w:firstLine="0" w:firstLineChars="0"/>
        <w:jc w:val="center"/>
        <w:rPr>
          <w:rFonts w:hint="eastAsia"/>
        </w:rPr>
      </w:pPr>
    </w:p>
    <w:p w14:paraId="0DF8DB97">
      <w:pPr>
        <w:spacing w:line="240" w:lineRule="auto"/>
        <w:ind w:firstLine="0" w:firstLineChars="0"/>
        <w:jc w:val="center"/>
        <w:rPr>
          <w:rFonts w:hint="eastAsia"/>
        </w:rPr>
      </w:pPr>
    </w:p>
    <w:p w14:paraId="1F0CFAC9">
      <w:pPr>
        <w:pStyle w:val="2"/>
        <w:spacing w:after="0" w:line="240" w:lineRule="auto"/>
        <w:ind w:firstLine="0" w:firstLineChars="0"/>
        <w:jc w:val="center"/>
        <w:rPr>
          <w:rFonts w:hint="eastAsia"/>
        </w:rPr>
      </w:pPr>
    </w:p>
    <w:p w14:paraId="4FFDBD12">
      <w:pPr>
        <w:spacing w:line="240" w:lineRule="auto"/>
        <w:ind w:firstLine="0" w:firstLineChars="0"/>
        <w:jc w:val="center"/>
        <w:rPr>
          <w:rFonts w:hint="eastAsia"/>
        </w:rPr>
      </w:pPr>
    </w:p>
    <w:p w14:paraId="544B4364">
      <w:pPr>
        <w:pStyle w:val="2"/>
        <w:spacing w:after="0" w:line="240" w:lineRule="auto"/>
        <w:ind w:firstLine="0" w:firstLineChars="0"/>
        <w:jc w:val="center"/>
        <w:rPr>
          <w:rFonts w:hint="eastAsia"/>
        </w:rPr>
      </w:pPr>
    </w:p>
    <w:p w14:paraId="666523B9">
      <w:pPr>
        <w:spacing w:line="240" w:lineRule="auto"/>
        <w:ind w:firstLine="0" w:firstLineChars="0"/>
        <w:jc w:val="center"/>
        <w:rPr>
          <w:rFonts w:hint="eastAsia"/>
        </w:rPr>
      </w:pPr>
    </w:p>
    <w:p w14:paraId="51186C96">
      <w:pPr>
        <w:pStyle w:val="2"/>
        <w:spacing w:after="0" w:line="240" w:lineRule="auto"/>
        <w:ind w:firstLine="0" w:firstLineChars="0"/>
        <w:jc w:val="center"/>
        <w:rPr>
          <w:rFonts w:hint="eastAsia"/>
        </w:rPr>
      </w:pPr>
    </w:p>
    <w:p w14:paraId="310AA46A">
      <w:pPr>
        <w:spacing w:line="240" w:lineRule="auto"/>
        <w:ind w:firstLine="0" w:firstLineChars="0"/>
        <w:jc w:val="center"/>
        <w:rPr>
          <w:rFonts w:hint="eastAsia"/>
        </w:rPr>
      </w:pPr>
      <w:r>
        <w:drawing>
          <wp:inline distT="0" distB="0" distL="0" distR="0">
            <wp:extent cx="5271770" cy="7350760"/>
            <wp:effectExtent l="0" t="0" r="5080" b="2540"/>
            <wp:docPr id="1728594816" name="图片 1"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94816" name="图片 1" descr="一些文字和图片的手机截图&#10;&#10;描述已自动生成"/>
                    <pic:cNvPicPr>
                      <a:picLocks noChangeAspect="1"/>
                    </pic:cNvPicPr>
                  </pic:nvPicPr>
                  <pic:blipFill>
                    <a:blip r:embed="rId194"/>
                    <a:stretch>
                      <a:fillRect/>
                    </a:stretch>
                  </pic:blipFill>
                  <pic:spPr>
                    <a:xfrm>
                      <a:off x="0" y="0"/>
                      <a:ext cx="5271770" cy="7350760"/>
                    </a:xfrm>
                    <a:prstGeom prst="rect">
                      <a:avLst/>
                    </a:prstGeom>
                  </pic:spPr>
                </pic:pic>
              </a:graphicData>
            </a:graphic>
          </wp:inline>
        </w:drawing>
      </w:r>
    </w:p>
    <w:p w14:paraId="00523BE5">
      <w:pPr>
        <w:pStyle w:val="2"/>
        <w:spacing w:after="0" w:line="240" w:lineRule="auto"/>
        <w:ind w:firstLine="0" w:firstLineChars="0"/>
        <w:jc w:val="center"/>
        <w:rPr>
          <w:rFonts w:hint="eastAsia"/>
        </w:rPr>
      </w:pPr>
    </w:p>
    <w:p w14:paraId="6DD07B4F">
      <w:pPr>
        <w:spacing w:line="240" w:lineRule="auto"/>
        <w:ind w:firstLine="0" w:firstLineChars="0"/>
        <w:jc w:val="center"/>
        <w:rPr>
          <w:rFonts w:hint="eastAsia"/>
        </w:rPr>
      </w:pPr>
    </w:p>
    <w:p w14:paraId="72176B9A">
      <w:pPr>
        <w:pStyle w:val="2"/>
        <w:spacing w:after="0" w:line="240" w:lineRule="auto"/>
        <w:ind w:firstLine="0" w:firstLineChars="0"/>
        <w:jc w:val="center"/>
        <w:rPr>
          <w:rFonts w:hint="eastAsia"/>
        </w:rPr>
      </w:pPr>
    </w:p>
    <w:p w14:paraId="0787DC60">
      <w:pPr>
        <w:spacing w:line="240" w:lineRule="auto"/>
        <w:ind w:firstLine="0" w:firstLineChars="0"/>
        <w:jc w:val="center"/>
        <w:rPr>
          <w:rFonts w:hint="eastAsia"/>
        </w:rPr>
      </w:pPr>
    </w:p>
    <w:p w14:paraId="021DF1DF">
      <w:pPr>
        <w:pStyle w:val="2"/>
        <w:spacing w:after="0" w:line="240" w:lineRule="auto"/>
        <w:ind w:firstLine="0" w:firstLineChars="0"/>
        <w:jc w:val="center"/>
        <w:rPr>
          <w:rFonts w:hint="eastAsia"/>
        </w:rPr>
      </w:pPr>
    </w:p>
    <w:p w14:paraId="51D4A4D1">
      <w:pPr>
        <w:spacing w:line="240" w:lineRule="auto"/>
        <w:ind w:firstLine="0" w:firstLineChars="0"/>
        <w:jc w:val="center"/>
        <w:rPr>
          <w:rFonts w:hint="eastAsia"/>
        </w:rPr>
      </w:pPr>
    </w:p>
    <w:p w14:paraId="65C3D798">
      <w:pPr>
        <w:pStyle w:val="2"/>
        <w:spacing w:after="0" w:line="240" w:lineRule="auto"/>
        <w:ind w:firstLine="0" w:firstLineChars="0"/>
        <w:jc w:val="center"/>
        <w:rPr>
          <w:rFonts w:hint="eastAsia"/>
        </w:rPr>
      </w:pPr>
    </w:p>
    <w:p w14:paraId="2532C1C1">
      <w:pPr>
        <w:pStyle w:val="2"/>
        <w:spacing w:after="0" w:line="240" w:lineRule="auto"/>
        <w:ind w:firstLine="0" w:firstLineChars="0"/>
        <w:jc w:val="center"/>
        <w:rPr>
          <w:rFonts w:hint="eastAsia"/>
        </w:rPr>
      </w:pPr>
      <w:r>
        <w:drawing>
          <wp:inline distT="0" distB="0" distL="0" distR="0">
            <wp:extent cx="5264785" cy="6990715"/>
            <wp:effectExtent l="0" t="0" r="12065" b="635"/>
            <wp:docPr id="77343881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38815" name="图片 1" descr="表格&#10;&#10;描述已自动生成"/>
                    <pic:cNvPicPr>
                      <a:picLocks noChangeAspect="1"/>
                    </pic:cNvPicPr>
                  </pic:nvPicPr>
                  <pic:blipFill>
                    <a:blip r:embed="rId195"/>
                    <a:stretch>
                      <a:fillRect/>
                    </a:stretch>
                  </pic:blipFill>
                  <pic:spPr>
                    <a:xfrm>
                      <a:off x="0" y="0"/>
                      <a:ext cx="5264785" cy="6990715"/>
                    </a:xfrm>
                    <a:prstGeom prst="rect">
                      <a:avLst/>
                    </a:prstGeom>
                  </pic:spPr>
                </pic:pic>
              </a:graphicData>
            </a:graphic>
          </wp:inline>
        </w:drawing>
      </w:r>
    </w:p>
    <w:p w14:paraId="273FD34B">
      <w:pPr>
        <w:spacing w:line="240" w:lineRule="auto"/>
        <w:ind w:firstLine="0" w:firstLineChars="0"/>
        <w:jc w:val="center"/>
        <w:rPr>
          <w:rFonts w:hint="eastAsia"/>
        </w:rPr>
      </w:pPr>
    </w:p>
    <w:p w14:paraId="5699B757">
      <w:pPr>
        <w:pStyle w:val="2"/>
        <w:spacing w:after="0" w:line="240" w:lineRule="auto"/>
        <w:ind w:firstLine="0" w:firstLineChars="0"/>
        <w:jc w:val="center"/>
        <w:rPr>
          <w:rFonts w:hint="eastAsia"/>
        </w:rPr>
      </w:pPr>
    </w:p>
    <w:p w14:paraId="621B6F4D">
      <w:pPr>
        <w:spacing w:line="240" w:lineRule="auto"/>
        <w:ind w:firstLine="0" w:firstLineChars="0"/>
        <w:jc w:val="center"/>
        <w:rPr>
          <w:rFonts w:hint="eastAsia"/>
        </w:rPr>
      </w:pPr>
    </w:p>
    <w:p w14:paraId="5189CFFD">
      <w:pPr>
        <w:pStyle w:val="2"/>
        <w:spacing w:after="0" w:line="240" w:lineRule="auto"/>
        <w:ind w:firstLine="0" w:firstLineChars="0"/>
        <w:jc w:val="center"/>
        <w:rPr>
          <w:rFonts w:hint="eastAsia"/>
        </w:rPr>
      </w:pPr>
    </w:p>
    <w:p w14:paraId="2EFCEFC8">
      <w:pPr>
        <w:spacing w:line="240" w:lineRule="auto"/>
        <w:ind w:firstLine="0" w:firstLineChars="0"/>
        <w:jc w:val="center"/>
        <w:rPr>
          <w:rFonts w:hint="eastAsia"/>
        </w:rPr>
      </w:pPr>
    </w:p>
    <w:p w14:paraId="3887A173">
      <w:pPr>
        <w:pStyle w:val="2"/>
        <w:spacing w:after="0" w:line="240" w:lineRule="auto"/>
        <w:ind w:firstLine="0" w:firstLineChars="0"/>
        <w:jc w:val="center"/>
        <w:rPr>
          <w:rFonts w:hint="eastAsia"/>
        </w:rPr>
      </w:pPr>
    </w:p>
    <w:p w14:paraId="464991CB">
      <w:pPr>
        <w:spacing w:line="240" w:lineRule="auto"/>
        <w:ind w:firstLine="0" w:firstLineChars="0"/>
        <w:jc w:val="center"/>
        <w:rPr>
          <w:rFonts w:hint="eastAsia"/>
        </w:rPr>
      </w:pPr>
    </w:p>
    <w:p w14:paraId="0F6AEA7F">
      <w:pPr>
        <w:pStyle w:val="2"/>
        <w:spacing w:after="0" w:line="240" w:lineRule="auto"/>
        <w:ind w:firstLine="0" w:firstLineChars="0"/>
        <w:jc w:val="center"/>
        <w:rPr>
          <w:rFonts w:hint="eastAsia"/>
        </w:rPr>
      </w:pPr>
    </w:p>
    <w:p w14:paraId="13B2C422">
      <w:pPr>
        <w:spacing w:line="240" w:lineRule="auto"/>
        <w:ind w:firstLine="0" w:firstLineChars="0"/>
        <w:jc w:val="center"/>
        <w:rPr>
          <w:rFonts w:hint="eastAsia"/>
        </w:rPr>
      </w:pPr>
    </w:p>
    <w:p w14:paraId="4C1B1675">
      <w:pPr>
        <w:pStyle w:val="2"/>
        <w:spacing w:after="0" w:line="240" w:lineRule="auto"/>
        <w:ind w:firstLine="0" w:firstLineChars="0"/>
        <w:jc w:val="center"/>
        <w:rPr>
          <w:rFonts w:hint="eastAsia"/>
        </w:rPr>
      </w:pPr>
      <w:r>
        <w:drawing>
          <wp:inline distT="0" distB="0" distL="0" distR="0">
            <wp:extent cx="5271770" cy="7327265"/>
            <wp:effectExtent l="0" t="0" r="5080" b="6985"/>
            <wp:docPr id="5941056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0560" name="图片 1" descr="表格&#10;&#10;描述已自动生成"/>
                    <pic:cNvPicPr>
                      <a:picLocks noChangeAspect="1"/>
                    </pic:cNvPicPr>
                  </pic:nvPicPr>
                  <pic:blipFill>
                    <a:blip r:embed="rId196"/>
                    <a:stretch>
                      <a:fillRect/>
                    </a:stretch>
                  </pic:blipFill>
                  <pic:spPr>
                    <a:xfrm>
                      <a:off x="0" y="0"/>
                      <a:ext cx="5271770" cy="7327265"/>
                    </a:xfrm>
                    <a:prstGeom prst="rect">
                      <a:avLst/>
                    </a:prstGeom>
                  </pic:spPr>
                </pic:pic>
              </a:graphicData>
            </a:graphic>
          </wp:inline>
        </w:drawing>
      </w:r>
    </w:p>
    <w:p w14:paraId="463952A2">
      <w:pPr>
        <w:spacing w:line="240" w:lineRule="auto"/>
        <w:ind w:firstLine="0" w:firstLineChars="0"/>
        <w:jc w:val="center"/>
        <w:rPr>
          <w:rFonts w:hint="eastAsia"/>
        </w:rPr>
      </w:pPr>
    </w:p>
    <w:p w14:paraId="2023D94F">
      <w:pPr>
        <w:pStyle w:val="2"/>
        <w:spacing w:after="0" w:line="240" w:lineRule="auto"/>
        <w:ind w:firstLine="0" w:firstLineChars="0"/>
        <w:jc w:val="center"/>
        <w:rPr>
          <w:rFonts w:hint="eastAsia"/>
        </w:rPr>
      </w:pPr>
    </w:p>
    <w:p w14:paraId="1A5477FB">
      <w:pPr>
        <w:spacing w:line="240" w:lineRule="auto"/>
        <w:ind w:firstLine="0" w:firstLineChars="0"/>
        <w:jc w:val="center"/>
        <w:rPr>
          <w:rFonts w:hint="eastAsia"/>
        </w:rPr>
      </w:pPr>
    </w:p>
    <w:p w14:paraId="358B8837">
      <w:pPr>
        <w:pStyle w:val="2"/>
        <w:spacing w:after="0" w:line="240" w:lineRule="auto"/>
        <w:ind w:firstLine="0" w:firstLineChars="0"/>
        <w:jc w:val="center"/>
        <w:rPr>
          <w:rFonts w:hint="eastAsia"/>
        </w:rPr>
      </w:pPr>
    </w:p>
    <w:p w14:paraId="44F56A04">
      <w:pPr>
        <w:pStyle w:val="2"/>
        <w:spacing w:after="0" w:line="240" w:lineRule="auto"/>
        <w:ind w:firstLine="0" w:firstLineChars="0"/>
        <w:jc w:val="center"/>
        <w:rPr>
          <w:rFonts w:hint="eastAsia"/>
        </w:rPr>
      </w:pPr>
    </w:p>
    <w:p w14:paraId="15F0F299">
      <w:pPr>
        <w:spacing w:line="240" w:lineRule="auto"/>
        <w:ind w:firstLine="0" w:firstLineChars="0"/>
        <w:jc w:val="center"/>
        <w:rPr>
          <w:rFonts w:hint="eastAsia"/>
        </w:rPr>
      </w:pPr>
    </w:p>
    <w:p w14:paraId="57979493">
      <w:pPr>
        <w:pStyle w:val="2"/>
        <w:spacing w:after="0" w:line="240" w:lineRule="auto"/>
        <w:ind w:firstLine="0" w:firstLineChars="0"/>
        <w:jc w:val="center"/>
        <w:rPr>
          <w:rFonts w:hint="eastAsia"/>
        </w:rPr>
      </w:pPr>
      <w:r>
        <w:drawing>
          <wp:inline distT="0" distB="0" distL="0" distR="0">
            <wp:extent cx="5264785" cy="7296785"/>
            <wp:effectExtent l="0" t="0" r="12065" b="18415"/>
            <wp:docPr id="156081203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2039" name="图片 1" descr="表格&#10;&#10;描述已自动生成"/>
                    <pic:cNvPicPr>
                      <a:picLocks noChangeAspect="1"/>
                    </pic:cNvPicPr>
                  </pic:nvPicPr>
                  <pic:blipFill>
                    <a:blip r:embed="rId197"/>
                    <a:stretch>
                      <a:fillRect/>
                    </a:stretch>
                  </pic:blipFill>
                  <pic:spPr>
                    <a:xfrm>
                      <a:off x="0" y="0"/>
                      <a:ext cx="5264785" cy="7296785"/>
                    </a:xfrm>
                    <a:prstGeom prst="rect">
                      <a:avLst/>
                    </a:prstGeom>
                  </pic:spPr>
                </pic:pic>
              </a:graphicData>
            </a:graphic>
          </wp:inline>
        </w:drawing>
      </w:r>
    </w:p>
    <w:p w14:paraId="6D2B9FB2">
      <w:pPr>
        <w:spacing w:line="240" w:lineRule="auto"/>
        <w:ind w:firstLine="0" w:firstLineChars="0"/>
        <w:jc w:val="center"/>
        <w:rPr>
          <w:rFonts w:hint="eastAsia"/>
        </w:rPr>
      </w:pPr>
    </w:p>
    <w:p w14:paraId="3D9A56C4">
      <w:pPr>
        <w:pStyle w:val="2"/>
        <w:spacing w:after="0" w:line="240" w:lineRule="auto"/>
        <w:ind w:firstLine="0" w:firstLineChars="0"/>
        <w:jc w:val="center"/>
        <w:rPr>
          <w:rFonts w:hint="eastAsia"/>
        </w:rPr>
      </w:pPr>
    </w:p>
    <w:p w14:paraId="64FF74A4">
      <w:pPr>
        <w:spacing w:line="240" w:lineRule="auto"/>
        <w:ind w:firstLine="0" w:firstLineChars="0"/>
        <w:jc w:val="center"/>
        <w:rPr>
          <w:rFonts w:hint="eastAsia"/>
        </w:rPr>
      </w:pPr>
    </w:p>
    <w:p w14:paraId="372AB6CF">
      <w:pPr>
        <w:pStyle w:val="2"/>
        <w:spacing w:after="0" w:line="240" w:lineRule="auto"/>
        <w:ind w:firstLine="0" w:firstLineChars="0"/>
        <w:jc w:val="center"/>
        <w:rPr>
          <w:rFonts w:hint="eastAsia"/>
        </w:rPr>
      </w:pPr>
    </w:p>
    <w:p w14:paraId="7CB3E702">
      <w:pPr>
        <w:spacing w:line="240" w:lineRule="auto"/>
        <w:ind w:firstLine="0" w:firstLineChars="0"/>
        <w:jc w:val="center"/>
        <w:rPr>
          <w:rFonts w:hint="eastAsia"/>
        </w:rPr>
      </w:pPr>
    </w:p>
    <w:p w14:paraId="1CB22054">
      <w:pPr>
        <w:pStyle w:val="2"/>
        <w:spacing w:after="0" w:line="240" w:lineRule="auto"/>
        <w:ind w:firstLine="0" w:firstLineChars="0"/>
        <w:jc w:val="center"/>
        <w:rPr>
          <w:rFonts w:hint="eastAsia"/>
        </w:rPr>
      </w:pPr>
    </w:p>
    <w:p w14:paraId="788EFFDE">
      <w:pPr>
        <w:spacing w:line="240" w:lineRule="auto"/>
        <w:ind w:firstLine="0" w:firstLineChars="0"/>
        <w:jc w:val="center"/>
        <w:rPr>
          <w:rFonts w:hint="eastAsia"/>
        </w:rPr>
      </w:pPr>
    </w:p>
    <w:p w14:paraId="20FAE12F">
      <w:pPr>
        <w:pStyle w:val="2"/>
        <w:spacing w:after="0" w:line="240" w:lineRule="auto"/>
        <w:ind w:firstLine="0" w:firstLineChars="0"/>
        <w:jc w:val="center"/>
        <w:rPr>
          <w:rFonts w:hint="eastAsia"/>
        </w:rPr>
      </w:pPr>
    </w:p>
    <w:p w14:paraId="539D9387">
      <w:pPr>
        <w:spacing w:line="240" w:lineRule="auto"/>
        <w:ind w:firstLine="0" w:firstLineChars="0"/>
        <w:jc w:val="center"/>
        <w:rPr>
          <w:rFonts w:hint="eastAsia"/>
        </w:rPr>
      </w:pPr>
    </w:p>
    <w:p w14:paraId="5F317882">
      <w:pPr>
        <w:pStyle w:val="2"/>
        <w:spacing w:after="0" w:line="240" w:lineRule="auto"/>
        <w:ind w:firstLine="0" w:firstLineChars="0"/>
        <w:jc w:val="center"/>
        <w:rPr>
          <w:rFonts w:hint="eastAsia"/>
        </w:rPr>
      </w:pPr>
      <w:r>
        <w:drawing>
          <wp:inline distT="0" distB="0" distL="0" distR="0">
            <wp:extent cx="5274310" cy="7395210"/>
            <wp:effectExtent l="0" t="0" r="2540" b="15240"/>
            <wp:docPr id="174684843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48438" name="图片 1" descr="表格&#10;&#10;描述已自动生成"/>
                    <pic:cNvPicPr>
                      <a:picLocks noChangeAspect="1"/>
                    </pic:cNvPicPr>
                  </pic:nvPicPr>
                  <pic:blipFill>
                    <a:blip r:embed="rId198"/>
                    <a:stretch>
                      <a:fillRect/>
                    </a:stretch>
                  </pic:blipFill>
                  <pic:spPr>
                    <a:xfrm>
                      <a:off x="0" y="0"/>
                      <a:ext cx="5274310" cy="7395210"/>
                    </a:xfrm>
                    <a:prstGeom prst="rect">
                      <a:avLst/>
                    </a:prstGeom>
                  </pic:spPr>
                </pic:pic>
              </a:graphicData>
            </a:graphic>
          </wp:inline>
        </w:drawing>
      </w:r>
    </w:p>
    <w:p w14:paraId="07E90499">
      <w:pPr>
        <w:spacing w:line="240" w:lineRule="auto"/>
        <w:ind w:firstLine="0" w:firstLineChars="0"/>
        <w:jc w:val="center"/>
        <w:rPr>
          <w:rFonts w:hint="eastAsia"/>
        </w:rPr>
      </w:pPr>
    </w:p>
    <w:p w14:paraId="11620E3E">
      <w:pPr>
        <w:pStyle w:val="2"/>
        <w:spacing w:after="0" w:line="240" w:lineRule="auto"/>
        <w:ind w:firstLine="0" w:firstLineChars="0"/>
        <w:jc w:val="center"/>
        <w:rPr>
          <w:rFonts w:hint="eastAsia"/>
        </w:rPr>
      </w:pPr>
    </w:p>
    <w:p w14:paraId="79C91DE3">
      <w:pPr>
        <w:pStyle w:val="2"/>
        <w:spacing w:after="0" w:line="240" w:lineRule="auto"/>
        <w:ind w:firstLine="0" w:firstLineChars="0"/>
        <w:jc w:val="center"/>
        <w:rPr>
          <w:rFonts w:hint="eastAsia"/>
        </w:rPr>
      </w:pPr>
    </w:p>
    <w:p w14:paraId="338C849A">
      <w:pPr>
        <w:spacing w:line="240" w:lineRule="auto"/>
        <w:ind w:firstLine="0" w:firstLineChars="0"/>
        <w:jc w:val="center"/>
        <w:rPr>
          <w:rFonts w:hint="eastAsia"/>
        </w:rPr>
      </w:pPr>
    </w:p>
    <w:p w14:paraId="30C7DA98">
      <w:pPr>
        <w:pStyle w:val="2"/>
        <w:spacing w:after="0" w:line="240" w:lineRule="auto"/>
        <w:ind w:firstLine="0" w:firstLineChars="0"/>
        <w:jc w:val="center"/>
        <w:rPr>
          <w:rFonts w:hint="eastAsia"/>
        </w:rPr>
      </w:pPr>
    </w:p>
    <w:p w14:paraId="7E19BA1A">
      <w:pPr>
        <w:spacing w:line="240" w:lineRule="auto"/>
        <w:ind w:firstLine="0" w:firstLineChars="0"/>
        <w:jc w:val="center"/>
        <w:rPr>
          <w:rFonts w:hint="eastAsia"/>
        </w:rPr>
      </w:pPr>
    </w:p>
    <w:p w14:paraId="3C058330">
      <w:pPr>
        <w:pStyle w:val="2"/>
        <w:spacing w:after="0" w:line="240" w:lineRule="auto"/>
        <w:ind w:firstLine="0" w:firstLineChars="0"/>
        <w:jc w:val="center"/>
        <w:rPr>
          <w:rFonts w:hint="eastAsia"/>
        </w:rPr>
      </w:pPr>
    </w:p>
    <w:p w14:paraId="3A869923">
      <w:pPr>
        <w:spacing w:line="240" w:lineRule="auto"/>
        <w:ind w:firstLine="0" w:firstLineChars="0"/>
        <w:jc w:val="center"/>
        <w:rPr>
          <w:rFonts w:hint="eastAsia"/>
        </w:rPr>
      </w:pPr>
      <w:r>
        <w:drawing>
          <wp:inline distT="0" distB="0" distL="0" distR="0">
            <wp:extent cx="5271770" cy="7372350"/>
            <wp:effectExtent l="0" t="0" r="5080" b="0"/>
            <wp:docPr id="100264043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40439" name="图片 1" descr="表格&#10;&#10;描述已自动生成"/>
                    <pic:cNvPicPr>
                      <a:picLocks noChangeAspect="1"/>
                    </pic:cNvPicPr>
                  </pic:nvPicPr>
                  <pic:blipFill>
                    <a:blip r:embed="rId199"/>
                    <a:stretch>
                      <a:fillRect/>
                    </a:stretch>
                  </pic:blipFill>
                  <pic:spPr>
                    <a:xfrm>
                      <a:off x="0" y="0"/>
                      <a:ext cx="5271770" cy="7372350"/>
                    </a:xfrm>
                    <a:prstGeom prst="rect">
                      <a:avLst/>
                    </a:prstGeom>
                  </pic:spPr>
                </pic:pic>
              </a:graphicData>
            </a:graphic>
          </wp:inline>
        </w:drawing>
      </w:r>
    </w:p>
    <w:p w14:paraId="58AD9F3E">
      <w:pPr>
        <w:pStyle w:val="2"/>
        <w:spacing w:after="0" w:line="240" w:lineRule="auto"/>
        <w:ind w:firstLine="0" w:firstLineChars="0"/>
        <w:jc w:val="center"/>
        <w:rPr>
          <w:rFonts w:hint="eastAsia"/>
        </w:rPr>
      </w:pPr>
    </w:p>
    <w:p w14:paraId="17C2EAF6">
      <w:pPr>
        <w:spacing w:line="240" w:lineRule="auto"/>
        <w:ind w:firstLine="0" w:firstLineChars="0"/>
        <w:jc w:val="center"/>
        <w:rPr>
          <w:rFonts w:hint="eastAsia"/>
        </w:rPr>
      </w:pPr>
    </w:p>
    <w:p w14:paraId="2BBCA640">
      <w:pPr>
        <w:pStyle w:val="2"/>
        <w:spacing w:after="0" w:line="240" w:lineRule="auto"/>
        <w:ind w:firstLine="0" w:firstLineChars="0"/>
        <w:jc w:val="center"/>
        <w:rPr>
          <w:rFonts w:hint="eastAsia"/>
        </w:rPr>
      </w:pPr>
    </w:p>
    <w:p w14:paraId="7F42B8A4">
      <w:pPr>
        <w:spacing w:line="240" w:lineRule="auto"/>
        <w:ind w:firstLine="0" w:firstLineChars="0"/>
        <w:jc w:val="center"/>
        <w:rPr>
          <w:rFonts w:hint="eastAsia"/>
        </w:rPr>
      </w:pPr>
    </w:p>
    <w:p w14:paraId="3DB27226">
      <w:pPr>
        <w:pStyle w:val="2"/>
        <w:spacing w:after="0" w:line="240" w:lineRule="auto"/>
        <w:ind w:firstLine="0" w:firstLineChars="0"/>
        <w:jc w:val="center"/>
        <w:rPr>
          <w:rFonts w:hint="eastAsia"/>
        </w:rPr>
      </w:pPr>
    </w:p>
    <w:p w14:paraId="01D1FE57">
      <w:pPr>
        <w:spacing w:line="240" w:lineRule="auto"/>
        <w:ind w:firstLine="0" w:firstLineChars="0"/>
        <w:jc w:val="center"/>
        <w:rPr>
          <w:rFonts w:hint="eastAsia"/>
        </w:rPr>
      </w:pPr>
    </w:p>
    <w:p w14:paraId="7016FD9C">
      <w:pPr>
        <w:pStyle w:val="2"/>
        <w:spacing w:after="0" w:line="240" w:lineRule="auto"/>
        <w:ind w:firstLine="0" w:firstLineChars="0"/>
        <w:jc w:val="center"/>
        <w:rPr>
          <w:rFonts w:hint="eastAsia"/>
        </w:rPr>
      </w:pPr>
    </w:p>
    <w:p w14:paraId="3D0C37BF">
      <w:pPr>
        <w:spacing w:line="240" w:lineRule="auto"/>
        <w:ind w:firstLine="0" w:firstLineChars="0"/>
        <w:jc w:val="center"/>
        <w:rPr>
          <w:rFonts w:hint="eastAsia"/>
        </w:rPr>
      </w:pPr>
      <w:r>
        <w:drawing>
          <wp:inline distT="0" distB="0" distL="0" distR="0">
            <wp:extent cx="5264150" cy="7265035"/>
            <wp:effectExtent l="0" t="0" r="12700" b="12065"/>
            <wp:docPr id="741858840" name="图片 1"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58840" name="图片 1" descr="电脑屏幕的照片上有文字&#10;&#10;中度可信度描述已自动生成"/>
                    <pic:cNvPicPr>
                      <a:picLocks noChangeAspect="1"/>
                    </pic:cNvPicPr>
                  </pic:nvPicPr>
                  <pic:blipFill>
                    <a:blip r:embed="rId200"/>
                    <a:stretch>
                      <a:fillRect/>
                    </a:stretch>
                  </pic:blipFill>
                  <pic:spPr>
                    <a:xfrm>
                      <a:off x="0" y="0"/>
                      <a:ext cx="5264150" cy="7265035"/>
                    </a:xfrm>
                    <a:prstGeom prst="rect">
                      <a:avLst/>
                    </a:prstGeom>
                  </pic:spPr>
                </pic:pic>
              </a:graphicData>
            </a:graphic>
          </wp:inline>
        </w:drawing>
      </w:r>
    </w:p>
    <w:p w14:paraId="18C35E59">
      <w:pPr>
        <w:pStyle w:val="2"/>
        <w:spacing w:after="0" w:line="240" w:lineRule="auto"/>
        <w:ind w:firstLine="0" w:firstLineChars="0"/>
        <w:jc w:val="center"/>
        <w:rPr>
          <w:rFonts w:hint="eastAsia"/>
        </w:rPr>
      </w:pPr>
    </w:p>
    <w:p w14:paraId="1A074C82">
      <w:pPr>
        <w:pStyle w:val="2"/>
        <w:spacing w:after="0" w:line="240" w:lineRule="auto"/>
        <w:ind w:firstLine="0" w:firstLineChars="0"/>
        <w:jc w:val="center"/>
        <w:rPr>
          <w:rFonts w:hint="eastAsia"/>
        </w:rPr>
      </w:pPr>
    </w:p>
    <w:p w14:paraId="250ED857">
      <w:pPr>
        <w:spacing w:line="240" w:lineRule="auto"/>
        <w:ind w:firstLine="0" w:firstLineChars="0"/>
        <w:jc w:val="center"/>
        <w:rPr>
          <w:rFonts w:hint="eastAsia"/>
        </w:rPr>
      </w:pPr>
    </w:p>
    <w:p w14:paraId="458E5586">
      <w:pPr>
        <w:pStyle w:val="2"/>
        <w:spacing w:after="0" w:line="240" w:lineRule="auto"/>
        <w:ind w:firstLine="0" w:firstLineChars="0"/>
        <w:jc w:val="center"/>
        <w:rPr>
          <w:rFonts w:hint="eastAsia"/>
        </w:rPr>
      </w:pPr>
    </w:p>
    <w:p w14:paraId="0073E04F">
      <w:pPr>
        <w:spacing w:line="240" w:lineRule="auto"/>
        <w:ind w:firstLine="0" w:firstLineChars="0"/>
        <w:jc w:val="center"/>
        <w:rPr>
          <w:rFonts w:hint="eastAsia"/>
        </w:rPr>
      </w:pPr>
    </w:p>
    <w:p w14:paraId="7870D604">
      <w:pPr>
        <w:pStyle w:val="2"/>
        <w:spacing w:after="0" w:line="240" w:lineRule="auto"/>
        <w:ind w:firstLine="0" w:firstLineChars="0"/>
        <w:jc w:val="center"/>
        <w:rPr>
          <w:rFonts w:hint="eastAsia"/>
        </w:rPr>
      </w:pPr>
    </w:p>
    <w:p w14:paraId="1BCF54D0">
      <w:pPr>
        <w:spacing w:line="240" w:lineRule="auto"/>
        <w:ind w:firstLine="0" w:firstLineChars="0"/>
        <w:jc w:val="center"/>
        <w:rPr>
          <w:rFonts w:hint="eastAsia"/>
        </w:rPr>
      </w:pPr>
    </w:p>
    <w:p w14:paraId="7BF56A3A">
      <w:pPr>
        <w:pStyle w:val="2"/>
        <w:spacing w:after="0" w:line="240" w:lineRule="auto"/>
        <w:ind w:firstLine="0" w:firstLineChars="0"/>
        <w:jc w:val="center"/>
        <w:rPr>
          <w:rFonts w:hint="eastAsia"/>
        </w:rPr>
      </w:pPr>
      <w:r>
        <w:drawing>
          <wp:inline distT="0" distB="0" distL="0" distR="0">
            <wp:extent cx="5264785" cy="7313930"/>
            <wp:effectExtent l="0" t="0" r="12065" b="1270"/>
            <wp:docPr id="5274731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7319" name="图片 1" descr="表格&#10;&#10;描述已自动生成"/>
                    <pic:cNvPicPr>
                      <a:picLocks noChangeAspect="1"/>
                    </pic:cNvPicPr>
                  </pic:nvPicPr>
                  <pic:blipFill>
                    <a:blip r:embed="rId201"/>
                    <a:stretch>
                      <a:fillRect/>
                    </a:stretch>
                  </pic:blipFill>
                  <pic:spPr>
                    <a:xfrm>
                      <a:off x="0" y="0"/>
                      <a:ext cx="5264785" cy="7313930"/>
                    </a:xfrm>
                    <a:prstGeom prst="rect">
                      <a:avLst/>
                    </a:prstGeom>
                  </pic:spPr>
                </pic:pic>
              </a:graphicData>
            </a:graphic>
          </wp:inline>
        </w:drawing>
      </w:r>
    </w:p>
    <w:p w14:paraId="10F93BE5">
      <w:pPr>
        <w:spacing w:line="240" w:lineRule="auto"/>
        <w:ind w:firstLine="0" w:firstLineChars="0"/>
        <w:jc w:val="center"/>
        <w:rPr>
          <w:rFonts w:hint="eastAsia"/>
        </w:rPr>
      </w:pPr>
    </w:p>
    <w:p w14:paraId="447B6761">
      <w:pPr>
        <w:pStyle w:val="2"/>
        <w:spacing w:after="0" w:line="240" w:lineRule="auto"/>
        <w:ind w:firstLine="0" w:firstLineChars="0"/>
        <w:jc w:val="center"/>
        <w:rPr>
          <w:rFonts w:hint="eastAsia"/>
        </w:rPr>
      </w:pPr>
    </w:p>
    <w:p w14:paraId="4D39CE00">
      <w:pPr>
        <w:spacing w:line="240" w:lineRule="auto"/>
        <w:ind w:firstLine="0" w:firstLineChars="0"/>
        <w:jc w:val="center"/>
        <w:rPr>
          <w:rFonts w:hint="eastAsia"/>
        </w:rPr>
      </w:pPr>
    </w:p>
    <w:p w14:paraId="3DA0C711">
      <w:pPr>
        <w:pStyle w:val="2"/>
        <w:spacing w:after="0" w:line="240" w:lineRule="auto"/>
        <w:ind w:firstLine="0" w:firstLineChars="0"/>
        <w:jc w:val="center"/>
        <w:rPr>
          <w:rFonts w:hint="eastAsia"/>
        </w:rPr>
      </w:pPr>
    </w:p>
    <w:p w14:paraId="5C01B4AF">
      <w:pPr>
        <w:spacing w:line="240" w:lineRule="auto"/>
        <w:ind w:firstLine="0" w:firstLineChars="0"/>
        <w:jc w:val="center"/>
        <w:rPr>
          <w:rFonts w:hint="eastAsia"/>
        </w:rPr>
      </w:pPr>
    </w:p>
    <w:p w14:paraId="487D91CA">
      <w:pPr>
        <w:pStyle w:val="2"/>
        <w:spacing w:after="0" w:line="240" w:lineRule="auto"/>
        <w:ind w:firstLine="0" w:firstLineChars="0"/>
        <w:jc w:val="center"/>
        <w:rPr>
          <w:rFonts w:hint="eastAsia"/>
        </w:rPr>
      </w:pPr>
    </w:p>
    <w:p w14:paraId="144EC1A9">
      <w:pPr>
        <w:spacing w:line="240" w:lineRule="auto"/>
        <w:ind w:firstLine="0" w:firstLineChars="0"/>
        <w:jc w:val="center"/>
        <w:rPr>
          <w:rFonts w:hint="eastAsia"/>
        </w:rPr>
      </w:pPr>
    </w:p>
    <w:p w14:paraId="2C682A9E">
      <w:pPr>
        <w:pStyle w:val="2"/>
        <w:spacing w:after="0" w:line="240" w:lineRule="auto"/>
        <w:ind w:firstLine="0" w:firstLineChars="0"/>
        <w:jc w:val="center"/>
        <w:rPr>
          <w:rFonts w:hint="eastAsia"/>
        </w:rPr>
      </w:pPr>
    </w:p>
    <w:p w14:paraId="3337A80C">
      <w:pPr>
        <w:pStyle w:val="2"/>
        <w:spacing w:after="0" w:line="240" w:lineRule="auto"/>
        <w:ind w:firstLine="0" w:firstLineChars="0"/>
        <w:jc w:val="center"/>
        <w:rPr>
          <w:rFonts w:hint="eastAsia"/>
        </w:rPr>
      </w:pPr>
    </w:p>
    <w:p w14:paraId="7936941F">
      <w:pPr>
        <w:spacing w:line="240" w:lineRule="auto"/>
        <w:ind w:firstLine="0" w:firstLineChars="0"/>
        <w:jc w:val="center"/>
        <w:rPr>
          <w:rFonts w:hint="eastAsia"/>
        </w:rPr>
      </w:pPr>
      <w:r>
        <w:drawing>
          <wp:inline distT="0" distB="0" distL="0" distR="0">
            <wp:extent cx="5266690" cy="7418705"/>
            <wp:effectExtent l="0" t="0" r="10160" b="10795"/>
            <wp:docPr id="1496225164"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25164" name="图片 1" descr="图表&#10;&#10;描述已自动生成"/>
                    <pic:cNvPicPr>
                      <a:picLocks noChangeAspect="1"/>
                    </pic:cNvPicPr>
                  </pic:nvPicPr>
                  <pic:blipFill>
                    <a:blip r:embed="rId202"/>
                    <a:stretch>
                      <a:fillRect/>
                    </a:stretch>
                  </pic:blipFill>
                  <pic:spPr>
                    <a:xfrm>
                      <a:off x="0" y="0"/>
                      <a:ext cx="5266690" cy="7418705"/>
                    </a:xfrm>
                    <a:prstGeom prst="rect">
                      <a:avLst/>
                    </a:prstGeom>
                  </pic:spPr>
                </pic:pic>
              </a:graphicData>
            </a:graphic>
          </wp:inline>
        </w:drawing>
      </w:r>
    </w:p>
    <w:p w14:paraId="3DDD5934">
      <w:pPr>
        <w:pStyle w:val="2"/>
        <w:spacing w:after="0" w:line="240" w:lineRule="auto"/>
        <w:ind w:firstLine="0" w:firstLineChars="0"/>
        <w:jc w:val="center"/>
        <w:rPr>
          <w:rFonts w:hint="eastAsia"/>
        </w:rPr>
      </w:pPr>
    </w:p>
    <w:p w14:paraId="6FB4081D">
      <w:pPr>
        <w:spacing w:line="240" w:lineRule="auto"/>
        <w:ind w:firstLine="0" w:firstLineChars="0"/>
        <w:jc w:val="center"/>
        <w:rPr>
          <w:rFonts w:hint="eastAsia"/>
        </w:rPr>
      </w:pPr>
    </w:p>
    <w:p w14:paraId="68A833C6">
      <w:pPr>
        <w:pStyle w:val="2"/>
        <w:spacing w:after="0" w:line="240" w:lineRule="auto"/>
        <w:ind w:firstLine="0" w:firstLineChars="0"/>
        <w:jc w:val="center"/>
        <w:rPr>
          <w:rFonts w:hint="eastAsia"/>
        </w:rPr>
      </w:pPr>
    </w:p>
    <w:p w14:paraId="17D71ADC">
      <w:pPr>
        <w:spacing w:line="240" w:lineRule="auto"/>
        <w:ind w:firstLine="0" w:firstLineChars="0"/>
        <w:jc w:val="center"/>
        <w:rPr>
          <w:rFonts w:hint="eastAsia"/>
        </w:rPr>
      </w:pPr>
    </w:p>
    <w:p w14:paraId="322E1AED">
      <w:pPr>
        <w:pStyle w:val="2"/>
        <w:spacing w:after="0" w:line="240" w:lineRule="auto"/>
        <w:ind w:firstLine="0" w:firstLineChars="0"/>
        <w:jc w:val="center"/>
        <w:rPr>
          <w:rFonts w:hint="eastAsia"/>
        </w:rPr>
      </w:pPr>
    </w:p>
    <w:p w14:paraId="2DCBC7FF">
      <w:pPr>
        <w:spacing w:line="240" w:lineRule="auto"/>
        <w:ind w:firstLine="0" w:firstLineChars="0"/>
        <w:jc w:val="center"/>
        <w:rPr>
          <w:rFonts w:hint="eastAsia"/>
        </w:rPr>
      </w:pPr>
    </w:p>
    <w:p w14:paraId="7DC44990">
      <w:pPr>
        <w:pStyle w:val="2"/>
        <w:spacing w:after="0" w:line="240" w:lineRule="auto"/>
        <w:ind w:firstLine="0" w:firstLineChars="0"/>
        <w:jc w:val="center"/>
        <w:rPr>
          <w:rFonts w:hint="eastAsia"/>
        </w:rPr>
      </w:pPr>
      <w:r>
        <w:drawing>
          <wp:inline distT="0" distB="0" distL="0" distR="0">
            <wp:extent cx="5266690" cy="7238365"/>
            <wp:effectExtent l="0" t="0" r="10160" b="635"/>
            <wp:docPr id="775967979"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67979" name="图片 1" descr="图表&#10;&#10;描述已自动生成"/>
                    <pic:cNvPicPr>
                      <a:picLocks noChangeAspect="1"/>
                    </pic:cNvPicPr>
                  </pic:nvPicPr>
                  <pic:blipFill>
                    <a:blip r:embed="rId203"/>
                    <a:stretch>
                      <a:fillRect/>
                    </a:stretch>
                  </pic:blipFill>
                  <pic:spPr>
                    <a:xfrm>
                      <a:off x="0" y="0"/>
                      <a:ext cx="5266690" cy="7238365"/>
                    </a:xfrm>
                    <a:prstGeom prst="rect">
                      <a:avLst/>
                    </a:prstGeom>
                  </pic:spPr>
                </pic:pic>
              </a:graphicData>
            </a:graphic>
          </wp:inline>
        </w:drawing>
      </w:r>
    </w:p>
    <w:p w14:paraId="6E4727E6">
      <w:pPr>
        <w:spacing w:line="240" w:lineRule="auto"/>
        <w:ind w:firstLine="0" w:firstLineChars="0"/>
        <w:jc w:val="center"/>
        <w:rPr>
          <w:rFonts w:hint="eastAsia"/>
        </w:rPr>
      </w:pPr>
    </w:p>
    <w:p w14:paraId="3AD295DF">
      <w:pPr>
        <w:pStyle w:val="2"/>
        <w:spacing w:after="0" w:line="240" w:lineRule="auto"/>
        <w:ind w:firstLine="0" w:firstLineChars="0"/>
        <w:jc w:val="center"/>
        <w:rPr>
          <w:rFonts w:hint="eastAsia"/>
        </w:rPr>
      </w:pPr>
    </w:p>
    <w:p w14:paraId="3BCC5478">
      <w:pPr>
        <w:spacing w:line="240" w:lineRule="auto"/>
        <w:ind w:firstLine="0" w:firstLineChars="0"/>
        <w:jc w:val="center"/>
        <w:rPr>
          <w:rFonts w:hint="eastAsia"/>
        </w:rPr>
      </w:pPr>
    </w:p>
    <w:p w14:paraId="28D14BDF">
      <w:pPr>
        <w:pStyle w:val="2"/>
        <w:spacing w:after="0" w:line="240" w:lineRule="auto"/>
        <w:ind w:firstLine="0" w:firstLineChars="0"/>
        <w:jc w:val="center"/>
        <w:rPr>
          <w:rFonts w:hint="eastAsia"/>
        </w:rPr>
      </w:pPr>
    </w:p>
    <w:p w14:paraId="00588069">
      <w:pPr>
        <w:spacing w:line="240" w:lineRule="auto"/>
        <w:ind w:firstLine="0" w:firstLineChars="0"/>
        <w:jc w:val="center"/>
        <w:rPr>
          <w:rFonts w:hint="eastAsia"/>
        </w:rPr>
      </w:pPr>
    </w:p>
    <w:p w14:paraId="5E42D9D1">
      <w:pPr>
        <w:pStyle w:val="2"/>
        <w:spacing w:after="0" w:line="240" w:lineRule="auto"/>
        <w:ind w:firstLine="0" w:firstLineChars="0"/>
        <w:jc w:val="center"/>
        <w:rPr>
          <w:rFonts w:hint="eastAsia"/>
        </w:rPr>
      </w:pPr>
    </w:p>
    <w:p w14:paraId="45AAFE12">
      <w:pPr>
        <w:pStyle w:val="2"/>
        <w:spacing w:after="0" w:line="240" w:lineRule="auto"/>
        <w:ind w:firstLine="0" w:firstLineChars="0"/>
        <w:jc w:val="center"/>
        <w:rPr>
          <w:rFonts w:hint="eastAsia"/>
        </w:rPr>
      </w:pPr>
    </w:p>
    <w:p w14:paraId="4BE1C3EB">
      <w:pPr>
        <w:spacing w:line="240" w:lineRule="auto"/>
        <w:ind w:firstLine="0" w:firstLineChars="0"/>
        <w:jc w:val="center"/>
        <w:rPr>
          <w:rFonts w:hint="eastAsia"/>
        </w:rPr>
      </w:pPr>
    </w:p>
    <w:p w14:paraId="2F25DDDF">
      <w:pPr>
        <w:pStyle w:val="2"/>
        <w:spacing w:after="0" w:line="240" w:lineRule="auto"/>
        <w:ind w:firstLine="0" w:firstLineChars="0"/>
        <w:jc w:val="center"/>
        <w:rPr>
          <w:rFonts w:hint="eastAsia"/>
        </w:rPr>
      </w:pPr>
    </w:p>
    <w:p w14:paraId="5ABD8322">
      <w:pPr>
        <w:spacing w:line="240" w:lineRule="auto"/>
        <w:ind w:firstLine="0" w:firstLineChars="0"/>
        <w:jc w:val="center"/>
        <w:rPr>
          <w:rFonts w:hint="eastAsia"/>
        </w:rPr>
      </w:pPr>
      <w:r>
        <w:drawing>
          <wp:inline distT="0" distB="0" distL="0" distR="0">
            <wp:extent cx="5274310" cy="7509510"/>
            <wp:effectExtent l="0" t="0" r="2540" b="15240"/>
            <wp:docPr id="258291998" name="图片 1" descr="墙上的广告单倒一边的照片拼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91998" name="图片 1" descr="墙上的广告单倒一边的照片拼图&#10;&#10;中度可信度描述已自动生成"/>
                    <pic:cNvPicPr>
                      <a:picLocks noChangeAspect="1"/>
                    </pic:cNvPicPr>
                  </pic:nvPicPr>
                  <pic:blipFill>
                    <a:blip r:embed="rId204"/>
                    <a:stretch>
                      <a:fillRect/>
                    </a:stretch>
                  </pic:blipFill>
                  <pic:spPr>
                    <a:xfrm>
                      <a:off x="0" y="0"/>
                      <a:ext cx="5274310" cy="7509510"/>
                    </a:xfrm>
                    <a:prstGeom prst="rect">
                      <a:avLst/>
                    </a:prstGeom>
                  </pic:spPr>
                </pic:pic>
              </a:graphicData>
            </a:graphic>
          </wp:inline>
        </w:drawing>
      </w:r>
    </w:p>
    <w:p w14:paraId="335CA85D">
      <w:pPr>
        <w:pStyle w:val="2"/>
        <w:spacing w:after="0" w:line="240" w:lineRule="auto"/>
        <w:ind w:firstLine="0" w:firstLineChars="0"/>
        <w:jc w:val="center"/>
        <w:rPr>
          <w:rFonts w:hint="eastAsia"/>
        </w:rPr>
      </w:pPr>
    </w:p>
    <w:p w14:paraId="04B3B8AD">
      <w:pPr>
        <w:spacing w:line="240" w:lineRule="auto"/>
        <w:ind w:firstLine="0" w:firstLineChars="0"/>
        <w:jc w:val="center"/>
        <w:rPr>
          <w:rFonts w:hint="eastAsia"/>
        </w:rPr>
      </w:pPr>
    </w:p>
    <w:p w14:paraId="7DC083DC">
      <w:pPr>
        <w:pStyle w:val="2"/>
        <w:spacing w:after="0" w:line="240" w:lineRule="auto"/>
        <w:ind w:firstLine="0" w:firstLineChars="0"/>
        <w:jc w:val="center"/>
        <w:rPr>
          <w:rFonts w:hint="eastAsia"/>
        </w:rPr>
      </w:pPr>
    </w:p>
    <w:p w14:paraId="5D8F85E8">
      <w:pPr>
        <w:spacing w:line="240" w:lineRule="auto"/>
        <w:ind w:firstLine="0" w:firstLineChars="0"/>
        <w:jc w:val="center"/>
        <w:rPr>
          <w:rFonts w:hint="eastAsia"/>
        </w:rPr>
      </w:pPr>
    </w:p>
    <w:p w14:paraId="66110034">
      <w:pPr>
        <w:pStyle w:val="2"/>
        <w:spacing w:after="0" w:line="240" w:lineRule="auto"/>
        <w:ind w:firstLine="0" w:firstLineChars="0"/>
        <w:jc w:val="center"/>
        <w:rPr>
          <w:rFonts w:hint="eastAsia"/>
        </w:rPr>
      </w:pPr>
    </w:p>
    <w:p w14:paraId="3541AC73">
      <w:pPr>
        <w:spacing w:line="240" w:lineRule="auto"/>
        <w:ind w:firstLine="0" w:firstLineChars="0"/>
        <w:jc w:val="center"/>
        <w:rPr>
          <w:rFonts w:hint="eastAsia"/>
        </w:rPr>
      </w:pPr>
      <w:r>
        <w:drawing>
          <wp:inline distT="0" distB="0" distL="0" distR="0">
            <wp:extent cx="5273675" cy="7461885"/>
            <wp:effectExtent l="0" t="0" r="3175" b="5715"/>
            <wp:docPr id="850976527" name="图片 1" descr="一些文字和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76527" name="图片 1" descr="一些文字和图案&#10;&#10;中度可信度描述已自动生成"/>
                    <pic:cNvPicPr>
                      <a:picLocks noChangeAspect="1"/>
                    </pic:cNvPicPr>
                  </pic:nvPicPr>
                  <pic:blipFill>
                    <a:blip r:embed="rId205"/>
                    <a:stretch>
                      <a:fillRect/>
                    </a:stretch>
                  </pic:blipFill>
                  <pic:spPr>
                    <a:xfrm>
                      <a:off x="0" y="0"/>
                      <a:ext cx="5273675" cy="7461885"/>
                    </a:xfrm>
                    <a:prstGeom prst="rect">
                      <a:avLst/>
                    </a:prstGeom>
                  </pic:spPr>
                </pic:pic>
              </a:graphicData>
            </a:graphic>
          </wp:inline>
        </w:drawing>
      </w:r>
    </w:p>
    <w:p w14:paraId="33817E49">
      <w:pPr>
        <w:pStyle w:val="2"/>
        <w:spacing w:after="0" w:line="240" w:lineRule="auto"/>
        <w:ind w:firstLine="0" w:firstLineChars="0"/>
        <w:jc w:val="center"/>
        <w:rPr>
          <w:rFonts w:hint="eastAsia"/>
        </w:rPr>
      </w:pPr>
    </w:p>
    <w:p w14:paraId="09D68D71">
      <w:pPr>
        <w:spacing w:line="240" w:lineRule="auto"/>
        <w:ind w:firstLine="0" w:firstLineChars="0"/>
        <w:jc w:val="center"/>
        <w:rPr>
          <w:rFonts w:hint="eastAsia"/>
        </w:rPr>
      </w:pPr>
    </w:p>
    <w:p w14:paraId="06FCD024">
      <w:pPr>
        <w:pStyle w:val="2"/>
        <w:spacing w:after="0" w:line="240" w:lineRule="auto"/>
        <w:ind w:firstLine="0" w:firstLineChars="0"/>
        <w:jc w:val="center"/>
        <w:rPr>
          <w:rFonts w:hint="eastAsia"/>
        </w:rPr>
      </w:pPr>
    </w:p>
    <w:p w14:paraId="2BC9AF60">
      <w:pPr>
        <w:spacing w:line="240" w:lineRule="auto"/>
        <w:ind w:firstLine="0" w:firstLineChars="0"/>
        <w:jc w:val="center"/>
        <w:rPr>
          <w:rFonts w:hint="eastAsia"/>
        </w:rPr>
      </w:pPr>
    </w:p>
    <w:p w14:paraId="7359B57C">
      <w:pPr>
        <w:pStyle w:val="2"/>
        <w:spacing w:after="0" w:line="240" w:lineRule="auto"/>
        <w:ind w:firstLine="0" w:firstLineChars="0"/>
        <w:jc w:val="center"/>
        <w:rPr>
          <w:rFonts w:hint="eastAsia"/>
        </w:rPr>
      </w:pPr>
    </w:p>
    <w:p w14:paraId="53945E6A">
      <w:pPr>
        <w:pStyle w:val="2"/>
        <w:spacing w:after="0" w:line="240" w:lineRule="auto"/>
        <w:ind w:firstLine="0" w:firstLineChars="0"/>
        <w:jc w:val="center"/>
        <w:rPr>
          <w:rFonts w:hint="eastAsia"/>
        </w:rPr>
      </w:pPr>
    </w:p>
    <w:p w14:paraId="7DF6F8D2">
      <w:pPr>
        <w:spacing w:line="240" w:lineRule="auto"/>
        <w:ind w:firstLine="0" w:firstLineChars="0"/>
        <w:jc w:val="center"/>
        <w:rPr>
          <w:rFonts w:hint="eastAsia"/>
        </w:rPr>
      </w:pPr>
    </w:p>
    <w:p w14:paraId="06B49B36">
      <w:pPr>
        <w:pStyle w:val="2"/>
        <w:spacing w:after="0" w:line="240" w:lineRule="auto"/>
        <w:ind w:firstLine="0" w:firstLineChars="0"/>
        <w:jc w:val="center"/>
        <w:rPr>
          <w:rFonts w:hint="eastAsia"/>
        </w:rPr>
      </w:pPr>
    </w:p>
    <w:p w14:paraId="59B3111A">
      <w:pPr>
        <w:spacing w:line="240" w:lineRule="auto"/>
        <w:ind w:firstLine="0" w:firstLineChars="0"/>
        <w:jc w:val="center"/>
        <w:rPr>
          <w:rFonts w:hint="eastAsia"/>
        </w:rPr>
      </w:pPr>
      <w:r>
        <w:drawing>
          <wp:anchor distT="0" distB="0" distL="0" distR="0" simplePos="0" relativeHeight="251674624" behindDoc="0" locked="0" layoutInCell="1" allowOverlap="1">
            <wp:simplePos x="0" y="0"/>
            <wp:positionH relativeFrom="page">
              <wp:posOffset>1141095</wp:posOffset>
            </wp:positionH>
            <wp:positionV relativeFrom="page">
              <wp:posOffset>1444625</wp:posOffset>
            </wp:positionV>
            <wp:extent cx="5273675" cy="7165340"/>
            <wp:effectExtent l="0" t="0" r="3175" b="16510"/>
            <wp:wrapSquare wrapText="bothSides"/>
            <wp:docPr id="1318348976" name="图片 1" descr="一些文字和图片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48976" name="图片 1" descr="一些文字和图片的手机截图&#10;&#10;中度可信度描述已自动生成"/>
                    <pic:cNvPicPr>
                      <a:picLocks noChangeAspect="1"/>
                    </pic:cNvPicPr>
                  </pic:nvPicPr>
                  <pic:blipFill>
                    <a:blip r:embed="rId206"/>
                    <a:stretch>
                      <a:fillRect/>
                    </a:stretch>
                  </pic:blipFill>
                  <pic:spPr>
                    <a:xfrm>
                      <a:off x="0" y="0"/>
                      <a:ext cx="5273675" cy="7165340"/>
                    </a:xfrm>
                    <a:prstGeom prst="rect">
                      <a:avLst/>
                    </a:prstGeom>
                  </pic:spPr>
                </pic:pic>
              </a:graphicData>
            </a:graphic>
          </wp:anchor>
        </w:drawing>
      </w:r>
    </w:p>
    <w:p w14:paraId="45A3EBE9">
      <w:pPr>
        <w:pStyle w:val="2"/>
        <w:spacing w:after="0" w:line="240" w:lineRule="auto"/>
        <w:ind w:firstLine="0" w:firstLineChars="0"/>
        <w:jc w:val="center"/>
        <w:rPr>
          <w:rFonts w:hint="eastAsia"/>
        </w:rPr>
      </w:pPr>
    </w:p>
    <w:p w14:paraId="3C9E1ED7">
      <w:pPr>
        <w:spacing w:line="240" w:lineRule="auto"/>
        <w:ind w:firstLine="0" w:firstLineChars="0"/>
        <w:jc w:val="center"/>
        <w:rPr>
          <w:rFonts w:hint="eastAsia"/>
        </w:rPr>
      </w:pPr>
    </w:p>
    <w:p w14:paraId="1911E5BD">
      <w:pPr>
        <w:pStyle w:val="2"/>
        <w:spacing w:after="0" w:line="240" w:lineRule="auto"/>
        <w:ind w:firstLine="0" w:firstLineChars="0"/>
        <w:jc w:val="center"/>
        <w:rPr>
          <w:rFonts w:hint="eastAsia"/>
        </w:rPr>
      </w:pPr>
    </w:p>
    <w:p w14:paraId="5EA75003">
      <w:pPr>
        <w:spacing w:line="240" w:lineRule="auto"/>
        <w:ind w:firstLine="0" w:firstLineChars="0"/>
        <w:jc w:val="center"/>
        <w:rPr>
          <w:rFonts w:hint="eastAsia"/>
        </w:rPr>
      </w:pPr>
    </w:p>
    <w:p w14:paraId="53B56073">
      <w:pPr>
        <w:pStyle w:val="2"/>
        <w:spacing w:after="0" w:line="240" w:lineRule="auto"/>
        <w:ind w:firstLine="0" w:firstLineChars="0"/>
        <w:jc w:val="center"/>
        <w:rPr>
          <w:rFonts w:hint="eastAsia"/>
        </w:rPr>
      </w:pPr>
    </w:p>
    <w:p w14:paraId="7042020D">
      <w:pPr>
        <w:spacing w:line="240" w:lineRule="auto"/>
        <w:ind w:firstLine="0" w:firstLineChars="0"/>
        <w:jc w:val="center"/>
        <w:rPr>
          <w:rFonts w:hint="eastAsia"/>
        </w:rPr>
      </w:pPr>
    </w:p>
    <w:p w14:paraId="2F55AA9B">
      <w:pPr>
        <w:pStyle w:val="2"/>
        <w:spacing w:after="0" w:line="240" w:lineRule="auto"/>
        <w:ind w:firstLine="0" w:firstLineChars="0"/>
        <w:jc w:val="center"/>
        <w:rPr>
          <w:rFonts w:hint="eastAsia"/>
        </w:rPr>
      </w:pPr>
    </w:p>
    <w:p w14:paraId="047EB5C8">
      <w:pPr>
        <w:spacing w:line="240" w:lineRule="auto"/>
        <w:ind w:firstLine="0" w:firstLineChars="0"/>
        <w:jc w:val="center"/>
        <w:rPr>
          <w:rFonts w:hint="eastAsia"/>
        </w:rPr>
      </w:pPr>
      <w:r>
        <w:drawing>
          <wp:anchor distT="0" distB="0" distL="0" distR="0" simplePos="0" relativeHeight="251675648" behindDoc="0" locked="0" layoutInCell="1" allowOverlap="1">
            <wp:simplePos x="0" y="0"/>
            <wp:positionH relativeFrom="page">
              <wp:posOffset>1141095</wp:posOffset>
            </wp:positionH>
            <wp:positionV relativeFrom="page">
              <wp:posOffset>1444625</wp:posOffset>
            </wp:positionV>
            <wp:extent cx="5266690" cy="7391400"/>
            <wp:effectExtent l="0" t="0" r="10160" b="0"/>
            <wp:wrapSquare wrapText="bothSides"/>
            <wp:docPr id="1744752732"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52732" name="图片 1" descr="图表&#10;&#10;描述已自动生成"/>
                    <pic:cNvPicPr>
                      <a:picLocks noChangeAspect="1"/>
                    </pic:cNvPicPr>
                  </pic:nvPicPr>
                  <pic:blipFill>
                    <a:blip r:embed="rId207"/>
                    <a:stretch>
                      <a:fillRect/>
                    </a:stretch>
                  </pic:blipFill>
                  <pic:spPr>
                    <a:xfrm>
                      <a:off x="0" y="0"/>
                      <a:ext cx="5266690" cy="7391400"/>
                    </a:xfrm>
                    <a:prstGeom prst="rect">
                      <a:avLst/>
                    </a:prstGeom>
                  </pic:spPr>
                </pic:pic>
              </a:graphicData>
            </a:graphic>
          </wp:anchor>
        </w:drawing>
      </w:r>
    </w:p>
    <w:p w14:paraId="0C107959">
      <w:pPr>
        <w:pStyle w:val="2"/>
        <w:spacing w:after="0" w:line="240" w:lineRule="auto"/>
        <w:ind w:firstLine="0" w:firstLineChars="0"/>
        <w:jc w:val="center"/>
        <w:rPr>
          <w:rFonts w:hint="eastAsia"/>
        </w:rPr>
      </w:pPr>
    </w:p>
    <w:p w14:paraId="6F0C0DF1">
      <w:pPr>
        <w:spacing w:line="240" w:lineRule="auto"/>
        <w:ind w:firstLine="0" w:firstLineChars="0"/>
        <w:jc w:val="center"/>
        <w:rPr>
          <w:rFonts w:hint="eastAsia"/>
        </w:rPr>
      </w:pPr>
    </w:p>
    <w:p w14:paraId="3C7FC2BF">
      <w:pPr>
        <w:pStyle w:val="2"/>
        <w:spacing w:after="0" w:line="240" w:lineRule="auto"/>
        <w:ind w:firstLine="0" w:firstLineChars="0"/>
        <w:jc w:val="center"/>
        <w:rPr>
          <w:rFonts w:hint="eastAsia"/>
        </w:rPr>
      </w:pPr>
    </w:p>
    <w:p w14:paraId="0C5EFE52">
      <w:pPr>
        <w:pStyle w:val="2"/>
        <w:spacing w:after="0" w:line="240" w:lineRule="auto"/>
        <w:ind w:firstLine="0" w:firstLineChars="0"/>
        <w:jc w:val="center"/>
        <w:rPr>
          <w:rFonts w:hint="eastAsia"/>
        </w:rPr>
      </w:pPr>
    </w:p>
    <w:p w14:paraId="334F369A">
      <w:pPr>
        <w:spacing w:line="240" w:lineRule="auto"/>
        <w:ind w:firstLine="0" w:firstLineChars="0"/>
        <w:jc w:val="center"/>
        <w:rPr>
          <w:rFonts w:hint="eastAsia"/>
        </w:rPr>
      </w:pPr>
    </w:p>
    <w:p w14:paraId="00EE8F3C">
      <w:pPr>
        <w:pStyle w:val="2"/>
        <w:spacing w:after="0" w:line="240" w:lineRule="auto"/>
        <w:ind w:firstLine="0" w:firstLineChars="0"/>
        <w:jc w:val="center"/>
        <w:rPr>
          <w:rFonts w:hint="eastAsia"/>
        </w:rPr>
      </w:pPr>
    </w:p>
    <w:p w14:paraId="5AF9A9BE">
      <w:pPr>
        <w:spacing w:line="240" w:lineRule="auto"/>
        <w:ind w:firstLine="0" w:firstLineChars="0"/>
        <w:jc w:val="center"/>
        <w:rPr>
          <w:rFonts w:hint="eastAsia"/>
        </w:rPr>
      </w:pPr>
      <w:r>
        <w:drawing>
          <wp:anchor distT="0" distB="0" distL="0" distR="0" simplePos="0" relativeHeight="251676672" behindDoc="0" locked="0" layoutInCell="1" allowOverlap="1">
            <wp:simplePos x="0" y="0"/>
            <wp:positionH relativeFrom="page">
              <wp:posOffset>1141095</wp:posOffset>
            </wp:positionH>
            <wp:positionV relativeFrom="page">
              <wp:posOffset>1444625</wp:posOffset>
            </wp:positionV>
            <wp:extent cx="5263515" cy="7612380"/>
            <wp:effectExtent l="0" t="0" r="13335" b="7620"/>
            <wp:wrapSquare wrapText="bothSides"/>
            <wp:docPr id="833312713"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12713" name="图片 1" descr="图表&#10;&#10;描述已自动生成"/>
                    <pic:cNvPicPr>
                      <a:picLocks noChangeAspect="1"/>
                    </pic:cNvPicPr>
                  </pic:nvPicPr>
                  <pic:blipFill>
                    <a:blip r:embed="rId208"/>
                    <a:stretch>
                      <a:fillRect/>
                    </a:stretch>
                  </pic:blipFill>
                  <pic:spPr>
                    <a:xfrm>
                      <a:off x="0" y="0"/>
                      <a:ext cx="5263515" cy="7612380"/>
                    </a:xfrm>
                    <a:prstGeom prst="rect">
                      <a:avLst/>
                    </a:prstGeom>
                  </pic:spPr>
                </pic:pic>
              </a:graphicData>
            </a:graphic>
          </wp:anchor>
        </w:drawing>
      </w:r>
    </w:p>
    <w:p w14:paraId="36F1B9AA">
      <w:pPr>
        <w:pStyle w:val="2"/>
        <w:spacing w:after="0" w:line="240" w:lineRule="auto"/>
        <w:ind w:firstLine="0" w:firstLineChars="0"/>
        <w:jc w:val="center"/>
        <w:rPr>
          <w:rFonts w:hint="eastAsia"/>
        </w:rPr>
      </w:pPr>
    </w:p>
    <w:p w14:paraId="067A4844">
      <w:pPr>
        <w:spacing w:line="240" w:lineRule="auto"/>
        <w:ind w:firstLine="0" w:firstLineChars="0"/>
        <w:jc w:val="center"/>
        <w:sectPr>
          <w:pgSz w:w="11907" w:h="16840"/>
          <w:pgMar w:top="1440" w:right="1797" w:bottom="1440" w:left="1797" w:header="907" w:footer="907" w:gutter="0"/>
          <w:cols w:space="425" w:num="1"/>
          <w:docGrid w:linePitch="380" w:charSpace="0"/>
        </w:sectPr>
      </w:pPr>
    </w:p>
    <w:p w14:paraId="726C7350">
      <w:pPr>
        <w:spacing w:line="240" w:lineRule="auto"/>
        <w:ind w:firstLine="0" w:firstLineChars="0"/>
        <w:jc w:val="center"/>
      </w:pPr>
    </w:p>
    <w:p w14:paraId="620A5F4B">
      <w:pPr>
        <w:spacing w:line="240" w:lineRule="auto"/>
        <w:ind w:firstLine="0" w:firstLineChars="0"/>
        <w:jc w:val="center"/>
      </w:pPr>
      <w:r>
        <w:drawing>
          <wp:inline distT="0" distB="0" distL="0" distR="0">
            <wp:extent cx="5278755" cy="7449820"/>
            <wp:effectExtent l="0" t="0" r="17145" b="17780"/>
            <wp:docPr id="2090123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23156" name="图片 1"/>
                    <pic:cNvPicPr>
                      <a:picLocks noChangeAspect="1"/>
                    </pic:cNvPicPr>
                  </pic:nvPicPr>
                  <pic:blipFill>
                    <a:blip r:embed="rId209"/>
                    <a:stretch>
                      <a:fillRect/>
                    </a:stretch>
                  </pic:blipFill>
                  <pic:spPr>
                    <a:xfrm>
                      <a:off x="0" y="0"/>
                      <a:ext cx="5278755" cy="7449820"/>
                    </a:xfrm>
                    <a:prstGeom prst="rect">
                      <a:avLst/>
                    </a:prstGeom>
                  </pic:spPr>
                </pic:pic>
              </a:graphicData>
            </a:graphic>
          </wp:inline>
        </w:drawing>
      </w:r>
    </w:p>
    <w:p w14:paraId="0D592370">
      <w:pPr>
        <w:spacing w:line="240" w:lineRule="auto"/>
        <w:ind w:firstLine="0" w:firstLineChars="0"/>
        <w:jc w:val="center"/>
      </w:pPr>
    </w:p>
    <w:p w14:paraId="3D749360">
      <w:pPr>
        <w:spacing w:line="240" w:lineRule="auto"/>
        <w:ind w:firstLine="0" w:firstLineChars="0"/>
        <w:jc w:val="center"/>
      </w:pPr>
    </w:p>
    <w:p w14:paraId="7E62255F">
      <w:pPr>
        <w:spacing w:line="240" w:lineRule="auto"/>
        <w:ind w:firstLine="0" w:firstLineChars="0"/>
        <w:jc w:val="center"/>
      </w:pPr>
    </w:p>
    <w:p w14:paraId="49A89EFD">
      <w:pPr>
        <w:spacing w:line="240" w:lineRule="auto"/>
        <w:ind w:firstLine="0" w:firstLineChars="0"/>
        <w:jc w:val="center"/>
        <w:rPr>
          <w:rFonts w:hint="eastAsia"/>
        </w:rPr>
      </w:pPr>
      <w:r>
        <w:drawing>
          <wp:inline distT="0" distB="0" distL="0" distR="0">
            <wp:extent cx="5278755" cy="7432675"/>
            <wp:effectExtent l="0" t="0" r="17145" b="15875"/>
            <wp:docPr id="51054212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42121" name="图片 1" descr="手机屏幕截图&#10;&#10;描述已自动生成"/>
                    <pic:cNvPicPr>
                      <a:picLocks noChangeAspect="1"/>
                    </pic:cNvPicPr>
                  </pic:nvPicPr>
                  <pic:blipFill>
                    <a:blip r:embed="rId210"/>
                    <a:stretch>
                      <a:fillRect/>
                    </a:stretch>
                  </pic:blipFill>
                  <pic:spPr>
                    <a:xfrm>
                      <a:off x="0" y="0"/>
                      <a:ext cx="5278755" cy="7432675"/>
                    </a:xfrm>
                    <a:prstGeom prst="rect">
                      <a:avLst/>
                    </a:prstGeom>
                  </pic:spPr>
                </pic:pic>
              </a:graphicData>
            </a:graphic>
          </wp:inline>
        </w:drawing>
      </w:r>
    </w:p>
    <w:p w14:paraId="714BA727">
      <w:pPr>
        <w:pStyle w:val="2"/>
        <w:spacing w:after="0" w:line="240" w:lineRule="auto"/>
        <w:ind w:firstLine="0" w:firstLineChars="0"/>
        <w:jc w:val="center"/>
        <w:rPr>
          <w:rFonts w:hint="eastAsia"/>
        </w:rPr>
      </w:pPr>
    </w:p>
    <w:p w14:paraId="7E586E03">
      <w:pPr>
        <w:spacing w:line="240" w:lineRule="auto"/>
        <w:ind w:firstLine="0" w:firstLineChars="0"/>
        <w:jc w:val="center"/>
        <w:rPr>
          <w:rFonts w:hint="eastAsia"/>
        </w:rPr>
      </w:pPr>
    </w:p>
    <w:p w14:paraId="21816A32">
      <w:pPr>
        <w:pStyle w:val="2"/>
        <w:spacing w:after="0" w:line="240" w:lineRule="auto"/>
        <w:ind w:firstLine="0" w:firstLineChars="0"/>
        <w:jc w:val="center"/>
        <w:rPr>
          <w:rFonts w:hint="eastAsia"/>
        </w:rPr>
      </w:pPr>
    </w:p>
    <w:p w14:paraId="7CD3B270">
      <w:pPr>
        <w:spacing w:line="240" w:lineRule="auto"/>
        <w:ind w:firstLine="0" w:firstLineChars="0"/>
        <w:jc w:val="center"/>
        <w:rPr>
          <w:rFonts w:hint="eastAsia"/>
        </w:rPr>
      </w:pPr>
    </w:p>
    <w:p w14:paraId="60716E51">
      <w:pPr>
        <w:pStyle w:val="2"/>
        <w:spacing w:after="0" w:line="240" w:lineRule="auto"/>
        <w:ind w:firstLine="0" w:firstLineChars="0"/>
        <w:jc w:val="center"/>
        <w:rPr>
          <w:rFonts w:hint="eastAsia"/>
        </w:rPr>
      </w:pPr>
    </w:p>
    <w:p w14:paraId="7AA20E89">
      <w:pPr>
        <w:spacing w:line="240" w:lineRule="auto"/>
        <w:ind w:firstLine="0" w:firstLineChars="0"/>
        <w:jc w:val="center"/>
        <w:rPr>
          <w:rFonts w:hint="eastAsia"/>
        </w:rPr>
      </w:pPr>
    </w:p>
    <w:p w14:paraId="346183CF">
      <w:pPr>
        <w:pStyle w:val="2"/>
        <w:spacing w:after="0" w:line="240" w:lineRule="auto"/>
        <w:ind w:firstLine="0" w:firstLineChars="0"/>
        <w:jc w:val="center"/>
        <w:rPr>
          <w:rFonts w:hint="eastAsia"/>
        </w:rPr>
      </w:pPr>
    </w:p>
    <w:p w14:paraId="1C0A60E9">
      <w:pPr>
        <w:spacing w:line="240" w:lineRule="auto"/>
        <w:ind w:firstLine="0" w:firstLineChars="0"/>
        <w:jc w:val="center"/>
        <w:rPr>
          <w:rFonts w:hint="eastAsia"/>
        </w:rPr>
      </w:pPr>
    </w:p>
    <w:p w14:paraId="553493C6">
      <w:pPr>
        <w:pStyle w:val="2"/>
        <w:spacing w:after="0" w:line="240" w:lineRule="auto"/>
        <w:ind w:firstLine="0" w:firstLineChars="0"/>
        <w:jc w:val="center"/>
        <w:rPr>
          <w:rFonts w:hint="eastAsia"/>
        </w:rPr>
      </w:pPr>
      <w:r>
        <w:drawing>
          <wp:inline distT="0" distB="0" distL="0" distR="0">
            <wp:extent cx="5278755" cy="7743190"/>
            <wp:effectExtent l="0" t="0" r="17145" b="10160"/>
            <wp:docPr id="207352834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28341" name="图片 1" descr="文本, 信件&#10;&#10;描述已自动生成"/>
                    <pic:cNvPicPr>
                      <a:picLocks noChangeAspect="1"/>
                    </pic:cNvPicPr>
                  </pic:nvPicPr>
                  <pic:blipFill>
                    <a:blip r:embed="rId211"/>
                    <a:stretch>
                      <a:fillRect/>
                    </a:stretch>
                  </pic:blipFill>
                  <pic:spPr>
                    <a:xfrm>
                      <a:off x="0" y="0"/>
                      <a:ext cx="5278755" cy="7743190"/>
                    </a:xfrm>
                    <a:prstGeom prst="rect">
                      <a:avLst/>
                    </a:prstGeom>
                  </pic:spPr>
                </pic:pic>
              </a:graphicData>
            </a:graphic>
          </wp:inline>
        </w:drawing>
      </w:r>
    </w:p>
    <w:p w14:paraId="5D15F78F">
      <w:pPr>
        <w:spacing w:line="240" w:lineRule="auto"/>
        <w:ind w:firstLine="0" w:firstLineChars="0"/>
        <w:jc w:val="center"/>
        <w:rPr>
          <w:rFonts w:hint="eastAsia"/>
        </w:rPr>
      </w:pPr>
    </w:p>
    <w:p w14:paraId="2EC7009E">
      <w:pPr>
        <w:pStyle w:val="2"/>
        <w:spacing w:after="0" w:line="240" w:lineRule="auto"/>
        <w:ind w:firstLine="0" w:firstLineChars="0"/>
        <w:jc w:val="center"/>
        <w:rPr>
          <w:rFonts w:hint="eastAsia"/>
        </w:rPr>
      </w:pPr>
    </w:p>
    <w:p w14:paraId="236F74CF">
      <w:pPr>
        <w:spacing w:line="240" w:lineRule="auto"/>
        <w:ind w:firstLine="0" w:firstLineChars="0"/>
        <w:jc w:val="center"/>
        <w:rPr>
          <w:rFonts w:hint="eastAsia"/>
        </w:rPr>
      </w:pPr>
    </w:p>
    <w:p w14:paraId="05E0E0A6">
      <w:pPr>
        <w:pStyle w:val="2"/>
        <w:spacing w:after="0" w:line="240" w:lineRule="auto"/>
        <w:ind w:firstLine="0" w:firstLineChars="0"/>
        <w:jc w:val="center"/>
        <w:rPr>
          <w:rFonts w:hint="eastAsia"/>
        </w:rPr>
      </w:pPr>
    </w:p>
    <w:p w14:paraId="1F1703AB">
      <w:pPr>
        <w:spacing w:line="240" w:lineRule="auto"/>
        <w:ind w:firstLine="0" w:firstLineChars="0"/>
        <w:jc w:val="center"/>
        <w:rPr>
          <w:rFonts w:hint="eastAsia"/>
        </w:rPr>
      </w:pPr>
    </w:p>
    <w:p w14:paraId="50F475E9">
      <w:pPr>
        <w:pStyle w:val="2"/>
        <w:spacing w:after="0" w:line="240" w:lineRule="auto"/>
        <w:ind w:firstLine="0" w:firstLineChars="0"/>
        <w:jc w:val="center"/>
        <w:rPr>
          <w:rFonts w:hint="eastAsia"/>
        </w:rPr>
      </w:pPr>
    </w:p>
    <w:p w14:paraId="4D5C4DBA">
      <w:pPr>
        <w:spacing w:line="240" w:lineRule="auto"/>
        <w:ind w:firstLine="0" w:firstLineChars="0"/>
        <w:jc w:val="center"/>
        <w:rPr>
          <w:rFonts w:hint="eastAsia"/>
        </w:rPr>
      </w:pPr>
      <w:r>
        <w:drawing>
          <wp:inline distT="0" distB="0" distL="0" distR="0">
            <wp:extent cx="5278755" cy="7650480"/>
            <wp:effectExtent l="0" t="0" r="17145" b="7620"/>
            <wp:docPr id="1299570238"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70238" name="图片 1" descr="手机屏幕截图&#10;&#10;描述已自动生成"/>
                    <pic:cNvPicPr>
                      <a:picLocks noChangeAspect="1"/>
                    </pic:cNvPicPr>
                  </pic:nvPicPr>
                  <pic:blipFill>
                    <a:blip r:embed="rId212"/>
                    <a:stretch>
                      <a:fillRect/>
                    </a:stretch>
                  </pic:blipFill>
                  <pic:spPr>
                    <a:xfrm>
                      <a:off x="0" y="0"/>
                      <a:ext cx="5278755" cy="7650480"/>
                    </a:xfrm>
                    <a:prstGeom prst="rect">
                      <a:avLst/>
                    </a:prstGeom>
                  </pic:spPr>
                </pic:pic>
              </a:graphicData>
            </a:graphic>
          </wp:inline>
        </w:drawing>
      </w:r>
    </w:p>
    <w:p w14:paraId="691EA97E">
      <w:pPr>
        <w:pStyle w:val="2"/>
        <w:spacing w:after="0" w:line="240" w:lineRule="auto"/>
        <w:ind w:firstLine="0" w:firstLineChars="0"/>
        <w:jc w:val="center"/>
        <w:rPr>
          <w:rFonts w:hint="eastAsia"/>
        </w:rPr>
      </w:pPr>
    </w:p>
    <w:p w14:paraId="58592734">
      <w:pPr>
        <w:spacing w:line="240" w:lineRule="auto"/>
        <w:ind w:firstLine="0" w:firstLineChars="0"/>
        <w:jc w:val="center"/>
        <w:rPr>
          <w:rFonts w:hint="eastAsia"/>
        </w:rPr>
      </w:pPr>
    </w:p>
    <w:p w14:paraId="6F41ED53">
      <w:pPr>
        <w:pStyle w:val="2"/>
        <w:spacing w:after="0" w:line="240" w:lineRule="auto"/>
        <w:ind w:firstLine="0" w:firstLineChars="0"/>
        <w:jc w:val="center"/>
        <w:rPr>
          <w:rFonts w:hint="eastAsia"/>
        </w:rPr>
      </w:pPr>
    </w:p>
    <w:p w14:paraId="4F3A7785">
      <w:pPr>
        <w:spacing w:line="240" w:lineRule="auto"/>
        <w:ind w:firstLine="0" w:firstLineChars="0"/>
        <w:jc w:val="center"/>
        <w:rPr>
          <w:rFonts w:hint="eastAsia"/>
        </w:rPr>
      </w:pPr>
    </w:p>
    <w:p w14:paraId="11081897">
      <w:pPr>
        <w:pStyle w:val="2"/>
        <w:spacing w:after="0" w:line="240" w:lineRule="auto"/>
        <w:ind w:firstLine="0" w:firstLineChars="0"/>
        <w:jc w:val="center"/>
        <w:rPr>
          <w:rFonts w:hint="eastAsia"/>
        </w:rPr>
      </w:pPr>
    </w:p>
    <w:p w14:paraId="7EA40236">
      <w:pPr>
        <w:spacing w:line="240" w:lineRule="auto"/>
        <w:ind w:firstLine="0" w:firstLineChars="0"/>
        <w:jc w:val="center"/>
        <w:rPr>
          <w:rFonts w:hint="eastAsia"/>
        </w:rPr>
      </w:pPr>
      <w:r>
        <w:drawing>
          <wp:inline distT="0" distB="0" distL="0" distR="0">
            <wp:extent cx="5278755" cy="7910830"/>
            <wp:effectExtent l="0" t="0" r="17145" b="13970"/>
            <wp:docPr id="1143408267" name="图片 1" descr="显示时间和文字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08267" name="图片 1" descr="显示时间和文字的手机截图&#10;&#10;描述已自动生成"/>
                    <pic:cNvPicPr>
                      <a:picLocks noChangeAspect="1"/>
                    </pic:cNvPicPr>
                  </pic:nvPicPr>
                  <pic:blipFill>
                    <a:blip r:embed="rId213"/>
                    <a:stretch>
                      <a:fillRect/>
                    </a:stretch>
                  </pic:blipFill>
                  <pic:spPr>
                    <a:xfrm>
                      <a:off x="0" y="0"/>
                      <a:ext cx="5278755" cy="7910830"/>
                    </a:xfrm>
                    <a:prstGeom prst="rect">
                      <a:avLst/>
                    </a:prstGeom>
                  </pic:spPr>
                </pic:pic>
              </a:graphicData>
            </a:graphic>
          </wp:inline>
        </w:drawing>
      </w:r>
    </w:p>
    <w:p w14:paraId="74F5DC02">
      <w:pPr>
        <w:pStyle w:val="2"/>
        <w:spacing w:after="0" w:line="240" w:lineRule="auto"/>
        <w:ind w:firstLine="0" w:firstLineChars="0"/>
        <w:jc w:val="center"/>
        <w:rPr>
          <w:rFonts w:hint="eastAsia"/>
        </w:rPr>
      </w:pPr>
    </w:p>
    <w:p w14:paraId="17062573">
      <w:pPr>
        <w:spacing w:line="240" w:lineRule="auto"/>
        <w:ind w:firstLine="0" w:firstLineChars="0"/>
        <w:jc w:val="center"/>
        <w:rPr>
          <w:rFonts w:hint="eastAsia"/>
        </w:rPr>
      </w:pPr>
    </w:p>
    <w:p w14:paraId="68015843">
      <w:pPr>
        <w:spacing w:line="240" w:lineRule="auto"/>
        <w:ind w:firstLine="0" w:firstLineChars="0"/>
        <w:jc w:val="center"/>
        <w:rPr>
          <w:rFonts w:hint="eastAsia"/>
        </w:rPr>
      </w:pPr>
    </w:p>
    <w:p w14:paraId="16A401A5">
      <w:pPr>
        <w:pStyle w:val="2"/>
        <w:spacing w:after="0" w:line="240" w:lineRule="auto"/>
        <w:ind w:firstLine="0" w:firstLineChars="0"/>
        <w:jc w:val="center"/>
        <w:rPr>
          <w:rFonts w:hint="eastAsia"/>
        </w:rPr>
      </w:pPr>
    </w:p>
    <w:p w14:paraId="2CDFE1B9">
      <w:pPr>
        <w:spacing w:line="240" w:lineRule="auto"/>
        <w:ind w:firstLine="0" w:firstLineChars="0"/>
        <w:jc w:val="center"/>
        <w:rPr>
          <w:rFonts w:hint="eastAsia"/>
        </w:rPr>
      </w:pPr>
      <w:r>
        <w:drawing>
          <wp:inline distT="0" distB="0" distL="0" distR="0">
            <wp:extent cx="5278755" cy="8093075"/>
            <wp:effectExtent l="0" t="0" r="17145" b="3175"/>
            <wp:docPr id="96257184" name="图片 1"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7184" name="图片 1" descr="电脑屏幕的照片上有文字&#10;&#10;中度可信度描述已自动生成"/>
                    <pic:cNvPicPr>
                      <a:picLocks noChangeAspect="1"/>
                    </pic:cNvPicPr>
                  </pic:nvPicPr>
                  <pic:blipFill>
                    <a:blip r:embed="rId214"/>
                    <a:stretch>
                      <a:fillRect/>
                    </a:stretch>
                  </pic:blipFill>
                  <pic:spPr>
                    <a:xfrm>
                      <a:off x="0" y="0"/>
                      <a:ext cx="5278755" cy="8093075"/>
                    </a:xfrm>
                    <a:prstGeom prst="rect">
                      <a:avLst/>
                    </a:prstGeom>
                  </pic:spPr>
                </pic:pic>
              </a:graphicData>
            </a:graphic>
          </wp:inline>
        </w:drawing>
      </w:r>
    </w:p>
    <w:p w14:paraId="23E33453">
      <w:pPr>
        <w:pStyle w:val="2"/>
        <w:spacing w:after="0" w:line="240" w:lineRule="auto"/>
        <w:ind w:firstLine="0" w:firstLineChars="0"/>
        <w:jc w:val="center"/>
        <w:rPr>
          <w:rFonts w:hint="eastAsia"/>
        </w:rPr>
      </w:pPr>
    </w:p>
    <w:p w14:paraId="5E5B1DE1">
      <w:pPr>
        <w:spacing w:line="240" w:lineRule="auto"/>
        <w:ind w:firstLine="0" w:firstLineChars="0"/>
        <w:jc w:val="center"/>
        <w:rPr>
          <w:rFonts w:hint="eastAsia"/>
        </w:rPr>
      </w:pPr>
    </w:p>
    <w:p w14:paraId="689636C0">
      <w:pPr>
        <w:pStyle w:val="2"/>
        <w:spacing w:after="0" w:line="240" w:lineRule="auto"/>
        <w:ind w:firstLine="0" w:firstLineChars="0"/>
        <w:jc w:val="center"/>
        <w:rPr>
          <w:rFonts w:hint="eastAsia"/>
        </w:rPr>
      </w:pPr>
    </w:p>
    <w:p w14:paraId="64BC47B8">
      <w:pPr>
        <w:pStyle w:val="2"/>
        <w:spacing w:after="0" w:line="240" w:lineRule="auto"/>
        <w:ind w:firstLine="0" w:firstLineChars="0"/>
        <w:jc w:val="center"/>
        <w:rPr>
          <w:rFonts w:hint="eastAsia"/>
        </w:rPr>
      </w:pPr>
      <w:r>
        <w:drawing>
          <wp:inline distT="0" distB="0" distL="0" distR="0">
            <wp:extent cx="5278755" cy="7970520"/>
            <wp:effectExtent l="0" t="0" r="17145" b="11430"/>
            <wp:docPr id="426660331" name="图片 1"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60331" name="图片 1" descr="电脑屏幕的照片上有文字&#10;&#10;中度可信度描述已自动生成"/>
                    <pic:cNvPicPr>
                      <a:picLocks noChangeAspect="1"/>
                    </pic:cNvPicPr>
                  </pic:nvPicPr>
                  <pic:blipFill>
                    <a:blip r:embed="rId215"/>
                    <a:stretch>
                      <a:fillRect/>
                    </a:stretch>
                  </pic:blipFill>
                  <pic:spPr>
                    <a:xfrm>
                      <a:off x="0" y="0"/>
                      <a:ext cx="5278755" cy="7970520"/>
                    </a:xfrm>
                    <a:prstGeom prst="rect">
                      <a:avLst/>
                    </a:prstGeom>
                  </pic:spPr>
                </pic:pic>
              </a:graphicData>
            </a:graphic>
          </wp:inline>
        </w:drawing>
      </w:r>
    </w:p>
    <w:p w14:paraId="26183FED">
      <w:pPr>
        <w:spacing w:line="240" w:lineRule="auto"/>
        <w:ind w:firstLine="0" w:firstLineChars="0"/>
        <w:jc w:val="center"/>
        <w:rPr>
          <w:rFonts w:hint="eastAsia"/>
        </w:rPr>
      </w:pPr>
    </w:p>
    <w:p w14:paraId="0B593806">
      <w:pPr>
        <w:pStyle w:val="2"/>
        <w:spacing w:after="0" w:line="240" w:lineRule="auto"/>
        <w:ind w:firstLine="0" w:firstLineChars="0"/>
        <w:jc w:val="center"/>
        <w:rPr>
          <w:rFonts w:hint="eastAsia"/>
        </w:rPr>
      </w:pPr>
    </w:p>
    <w:p w14:paraId="78C6F83F">
      <w:pPr>
        <w:spacing w:line="240" w:lineRule="auto"/>
        <w:ind w:firstLine="0" w:firstLineChars="0"/>
        <w:jc w:val="center"/>
        <w:rPr>
          <w:rFonts w:hint="eastAsia"/>
        </w:rPr>
      </w:pPr>
    </w:p>
    <w:p w14:paraId="042E8054">
      <w:pPr>
        <w:pStyle w:val="2"/>
        <w:spacing w:after="0" w:line="240" w:lineRule="auto"/>
        <w:ind w:firstLine="0" w:firstLineChars="0"/>
        <w:jc w:val="center"/>
        <w:rPr>
          <w:rFonts w:hint="eastAsia"/>
        </w:rPr>
      </w:pPr>
    </w:p>
    <w:p w14:paraId="06FDB850">
      <w:pPr>
        <w:spacing w:line="240" w:lineRule="auto"/>
        <w:ind w:firstLine="0" w:firstLineChars="0"/>
        <w:jc w:val="center"/>
        <w:rPr>
          <w:rFonts w:hint="eastAsia"/>
        </w:rPr>
      </w:pPr>
    </w:p>
    <w:p w14:paraId="4E948577">
      <w:pPr>
        <w:pStyle w:val="2"/>
        <w:spacing w:after="0" w:line="240" w:lineRule="auto"/>
        <w:ind w:firstLine="0" w:firstLineChars="0"/>
        <w:jc w:val="center"/>
        <w:rPr>
          <w:rFonts w:hint="eastAsia"/>
        </w:rPr>
      </w:pPr>
      <w:r>
        <w:drawing>
          <wp:inline distT="0" distB="0" distL="0" distR="0">
            <wp:extent cx="5278755" cy="6776085"/>
            <wp:effectExtent l="0" t="0" r="17145" b="5715"/>
            <wp:docPr id="900782038"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82038" name="图片 1" descr="手机屏幕截图&#10;&#10;描述已自动生成"/>
                    <pic:cNvPicPr>
                      <a:picLocks noChangeAspect="1"/>
                    </pic:cNvPicPr>
                  </pic:nvPicPr>
                  <pic:blipFill>
                    <a:blip r:embed="rId216"/>
                    <a:stretch>
                      <a:fillRect/>
                    </a:stretch>
                  </pic:blipFill>
                  <pic:spPr>
                    <a:xfrm>
                      <a:off x="0" y="0"/>
                      <a:ext cx="5278755" cy="6776085"/>
                    </a:xfrm>
                    <a:prstGeom prst="rect">
                      <a:avLst/>
                    </a:prstGeom>
                  </pic:spPr>
                </pic:pic>
              </a:graphicData>
            </a:graphic>
          </wp:inline>
        </w:drawing>
      </w:r>
    </w:p>
    <w:p w14:paraId="32D10D1C">
      <w:pPr>
        <w:pStyle w:val="2"/>
        <w:spacing w:after="0" w:line="240" w:lineRule="auto"/>
        <w:ind w:firstLine="0" w:firstLineChars="0"/>
        <w:jc w:val="center"/>
        <w:rPr>
          <w:rFonts w:hint="eastAsia"/>
        </w:rPr>
      </w:pPr>
    </w:p>
    <w:p w14:paraId="18F0ADB6">
      <w:pPr>
        <w:spacing w:line="240" w:lineRule="auto"/>
        <w:ind w:firstLine="0" w:firstLineChars="0"/>
        <w:jc w:val="center"/>
        <w:rPr>
          <w:rFonts w:hint="eastAsia"/>
        </w:rPr>
      </w:pPr>
    </w:p>
    <w:p w14:paraId="6444DDFB">
      <w:pPr>
        <w:pStyle w:val="2"/>
        <w:spacing w:after="0" w:line="240" w:lineRule="auto"/>
        <w:ind w:firstLine="0" w:firstLineChars="0"/>
        <w:jc w:val="center"/>
        <w:rPr>
          <w:rFonts w:hint="eastAsia"/>
        </w:rPr>
      </w:pPr>
    </w:p>
    <w:p w14:paraId="4104CF3C">
      <w:pPr>
        <w:spacing w:line="240" w:lineRule="auto"/>
        <w:ind w:firstLine="0" w:firstLineChars="0"/>
        <w:jc w:val="center"/>
        <w:rPr>
          <w:rFonts w:hint="eastAsia"/>
        </w:rPr>
      </w:pPr>
    </w:p>
    <w:p w14:paraId="7BBF44E0">
      <w:pPr>
        <w:pStyle w:val="2"/>
        <w:spacing w:after="0" w:line="240" w:lineRule="auto"/>
        <w:ind w:firstLine="0" w:firstLineChars="0"/>
        <w:jc w:val="center"/>
        <w:rPr>
          <w:rFonts w:hint="eastAsia"/>
        </w:rPr>
      </w:pPr>
    </w:p>
    <w:p w14:paraId="65BF40CF">
      <w:pPr>
        <w:spacing w:line="240" w:lineRule="auto"/>
        <w:ind w:firstLine="0" w:firstLineChars="0"/>
        <w:jc w:val="center"/>
        <w:rPr>
          <w:rFonts w:hint="eastAsia"/>
        </w:rPr>
      </w:pPr>
    </w:p>
    <w:p w14:paraId="752635F7">
      <w:pPr>
        <w:pStyle w:val="2"/>
        <w:spacing w:after="0" w:line="240" w:lineRule="auto"/>
        <w:ind w:firstLine="0" w:firstLineChars="0"/>
        <w:jc w:val="center"/>
        <w:rPr>
          <w:rFonts w:hint="eastAsia"/>
        </w:rPr>
      </w:pPr>
    </w:p>
    <w:p w14:paraId="4590CBFB">
      <w:pPr>
        <w:pStyle w:val="2"/>
        <w:spacing w:after="0" w:line="240" w:lineRule="auto"/>
        <w:ind w:firstLine="0" w:firstLineChars="0"/>
        <w:jc w:val="center"/>
        <w:rPr>
          <w:rFonts w:hint="eastAsia"/>
        </w:rPr>
      </w:pPr>
    </w:p>
    <w:p w14:paraId="5EEE4934">
      <w:pPr>
        <w:spacing w:line="240" w:lineRule="auto"/>
        <w:ind w:firstLine="0" w:firstLineChars="0"/>
        <w:jc w:val="center"/>
        <w:rPr>
          <w:rFonts w:hint="eastAsia"/>
        </w:rPr>
      </w:pPr>
    </w:p>
    <w:p w14:paraId="57FBF2EF">
      <w:pPr>
        <w:pStyle w:val="2"/>
        <w:spacing w:after="0" w:line="240" w:lineRule="auto"/>
        <w:ind w:firstLine="0" w:firstLineChars="0"/>
        <w:jc w:val="center"/>
        <w:sectPr>
          <w:pgSz w:w="11907" w:h="16840"/>
          <w:pgMar w:top="1440" w:right="1797" w:bottom="1440" w:left="1797" w:header="907" w:footer="907" w:gutter="0"/>
          <w:cols w:space="425" w:num="1"/>
          <w:docGrid w:linePitch="380" w:charSpace="0"/>
        </w:sectPr>
      </w:pPr>
    </w:p>
    <w:p w14:paraId="767B34BE">
      <w:pPr>
        <w:pStyle w:val="2"/>
        <w:spacing w:after="0" w:line="240" w:lineRule="auto"/>
        <w:ind w:firstLine="0" w:firstLineChars="0"/>
        <w:jc w:val="center"/>
        <w:rPr>
          <w:rFonts w:hint="eastAsia"/>
        </w:rPr>
      </w:pPr>
    </w:p>
    <w:p w14:paraId="6FA34998">
      <w:pPr>
        <w:spacing w:line="240" w:lineRule="auto"/>
        <w:ind w:firstLine="0" w:firstLineChars="0"/>
        <w:jc w:val="center"/>
        <w:rPr>
          <w:rFonts w:hint="eastAsia"/>
        </w:rPr>
      </w:pPr>
      <w:r>
        <w:drawing>
          <wp:inline distT="0" distB="0" distL="0" distR="0">
            <wp:extent cx="4785360" cy="6842760"/>
            <wp:effectExtent l="0" t="0" r="15240" b="15240"/>
            <wp:docPr id="417825184" name="图片 16"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5184" name="图片 16" descr="电脑屏幕的照片上有文字&#10;&#10;中度可信度描述已自动生成"/>
                    <pic:cNvPicPr>
                      <a:picLocks noChangeAspect="1" noChangeArrowheads="1"/>
                    </pic:cNvPicPr>
                  </pic:nvPicPr>
                  <pic:blipFill>
                    <a:blip r:embed="rId217"/>
                    <a:srcRect/>
                    <a:stretch>
                      <a:fillRect/>
                    </a:stretch>
                  </pic:blipFill>
                  <pic:spPr>
                    <a:xfrm>
                      <a:off x="0" y="0"/>
                      <a:ext cx="4785360" cy="6842760"/>
                    </a:xfrm>
                    <a:prstGeom prst="rect">
                      <a:avLst/>
                    </a:prstGeom>
                    <a:noFill/>
                    <a:ln>
                      <a:noFill/>
                    </a:ln>
                  </pic:spPr>
                </pic:pic>
              </a:graphicData>
            </a:graphic>
          </wp:inline>
        </w:drawing>
      </w:r>
    </w:p>
    <w:p w14:paraId="664B2DB3">
      <w:pPr>
        <w:pStyle w:val="2"/>
        <w:spacing w:after="0" w:line="240" w:lineRule="auto"/>
        <w:ind w:firstLine="0" w:firstLineChars="0"/>
        <w:jc w:val="center"/>
        <w:rPr>
          <w:rFonts w:hint="eastAsia"/>
        </w:rPr>
      </w:pPr>
    </w:p>
    <w:p w14:paraId="6D251201">
      <w:pPr>
        <w:spacing w:line="240" w:lineRule="auto"/>
        <w:ind w:firstLine="0" w:firstLineChars="0"/>
        <w:jc w:val="center"/>
        <w:rPr>
          <w:rFonts w:hint="eastAsia"/>
        </w:rPr>
      </w:pPr>
    </w:p>
    <w:p w14:paraId="4230925F">
      <w:pPr>
        <w:pStyle w:val="2"/>
        <w:spacing w:after="0" w:line="240" w:lineRule="auto"/>
        <w:ind w:firstLine="0" w:firstLineChars="0"/>
        <w:jc w:val="center"/>
        <w:rPr>
          <w:rFonts w:hint="eastAsia"/>
        </w:rPr>
      </w:pPr>
    </w:p>
    <w:p w14:paraId="5C6C1077">
      <w:pPr>
        <w:spacing w:line="240" w:lineRule="auto"/>
        <w:ind w:firstLine="0" w:firstLineChars="0"/>
        <w:jc w:val="center"/>
        <w:rPr>
          <w:rFonts w:hint="eastAsia"/>
        </w:rPr>
      </w:pPr>
    </w:p>
    <w:p w14:paraId="38C089C9">
      <w:pPr>
        <w:pStyle w:val="2"/>
        <w:spacing w:after="0" w:line="240" w:lineRule="auto"/>
        <w:ind w:firstLine="0" w:firstLineChars="0"/>
        <w:jc w:val="center"/>
        <w:rPr>
          <w:rFonts w:hint="eastAsia"/>
        </w:rPr>
      </w:pPr>
    </w:p>
    <w:p w14:paraId="4D72B4B8">
      <w:pPr>
        <w:pStyle w:val="2"/>
        <w:spacing w:after="0" w:line="240" w:lineRule="auto"/>
        <w:ind w:firstLine="0" w:firstLineChars="0"/>
        <w:jc w:val="center"/>
        <w:rPr>
          <w:rFonts w:hint="eastAsia"/>
        </w:rPr>
      </w:pPr>
    </w:p>
    <w:p w14:paraId="448BC25F">
      <w:pPr>
        <w:spacing w:line="240" w:lineRule="auto"/>
        <w:ind w:firstLine="0" w:firstLineChars="0"/>
        <w:jc w:val="center"/>
        <w:rPr>
          <w:rFonts w:hint="eastAsia"/>
        </w:rPr>
      </w:pPr>
    </w:p>
    <w:p w14:paraId="40AC93F3">
      <w:pPr>
        <w:pStyle w:val="2"/>
        <w:spacing w:after="0" w:line="240" w:lineRule="auto"/>
        <w:ind w:firstLine="0" w:firstLineChars="0"/>
        <w:jc w:val="center"/>
        <w:rPr>
          <w:rFonts w:hint="eastAsia"/>
        </w:rPr>
      </w:pPr>
    </w:p>
    <w:p w14:paraId="37B49829">
      <w:pPr>
        <w:spacing w:line="240" w:lineRule="auto"/>
        <w:ind w:firstLine="0" w:firstLineChars="0"/>
        <w:jc w:val="center"/>
        <w:rPr>
          <w:rFonts w:hint="eastAsia"/>
        </w:rPr>
      </w:pPr>
    </w:p>
    <w:p w14:paraId="263E304B">
      <w:pPr>
        <w:pStyle w:val="2"/>
        <w:spacing w:after="0" w:line="240" w:lineRule="auto"/>
        <w:ind w:firstLine="0" w:firstLineChars="0"/>
        <w:jc w:val="center"/>
        <w:rPr>
          <w:rFonts w:hint="eastAsia"/>
        </w:rPr>
      </w:pPr>
    </w:p>
    <w:p w14:paraId="3ACF6717">
      <w:pPr>
        <w:spacing w:line="240" w:lineRule="auto"/>
        <w:ind w:firstLine="0" w:firstLineChars="0"/>
        <w:jc w:val="center"/>
        <w:rPr>
          <w:rFonts w:hint="eastAsia"/>
        </w:rPr>
      </w:pPr>
    </w:p>
    <w:p w14:paraId="41B2BFE3">
      <w:pPr>
        <w:pStyle w:val="2"/>
        <w:spacing w:after="0" w:line="240" w:lineRule="auto"/>
        <w:ind w:firstLine="0" w:firstLineChars="0"/>
        <w:jc w:val="center"/>
        <w:rPr>
          <w:rFonts w:hint="eastAsia"/>
        </w:rPr>
      </w:pPr>
      <w:r>
        <w:drawing>
          <wp:inline distT="0" distB="0" distL="0" distR="0">
            <wp:extent cx="4587240" cy="6873240"/>
            <wp:effectExtent l="0" t="0" r="3810" b="3810"/>
            <wp:docPr id="1228021918" name="图片 1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21918" name="图片 17" descr="文本&#10;&#10;描述已自动生成"/>
                    <pic:cNvPicPr>
                      <a:picLocks noChangeAspect="1" noChangeArrowheads="1"/>
                    </pic:cNvPicPr>
                  </pic:nvPicPr>
                  <pic:blipFill>
                    <a:blip r:embed="rId218"/>
                    <a:srcRect/>
                    <a:stretch>
                      <a:fillRect/>
                    </a:stretch>
                  </pic:blipFill>
                  <pic:spPr>
                    <a:xfrm>
                      <a:off x="0" y="0"/>
                      <a:ext cx="4587240" cy="6873240"/>
                    </a:xfrm>
                    <a:prstGeom prst="rect">
                      <a:avLst/>
                    </a:prstGeom>
                    <a:noFill/>
                    <a:ln>
                      <a:noFill/>
                    </a:ln>
                  </pic:spPr>
                </pic:pic>
              </a:graphicData>
            </a:graphic>
          </wp:inline>
        </w:drawing>
      </w:r>
    </w:p>
    <w:p w14:paraId="01783BD7">
      <w:pPr>
        <w:spacing w:line="240" w:lineRule="auto"/>
        <w:ind w:firstLine="0" w:firstLineChars="0"/>
        <w:jc w:val="center"/>
        <w:rPr>
          <w:rFonts w:hint="eastAsia"/>
        </w:rPr>
      </w:pPr>
    </w:p>
    <w:p w14:paraId="7C9C4872">
      <w:pPr>
        <w:pStyle w:val="2"/>
        <w:spacing w:after="0" w:line="240" w:lineRule="auto"/>
        <w:ind w:firstLine="0" w:firstLineChars="0"/>
        <w:jc w:val="center"/>
        <w:rPr>
          <w:rFonts w:hint="eastAsia"/>
        </w:rPr>
      </w:pPr>
    </w:p>
    <w:p w14:paraId="1294371A">
      <w:pPr>
        <w:spacing w:line="240" w:lineRule="auto"/>
        <w:ind w:firstLine="0" w:firstLineChars="0"/>
        <w:jc w:val="center"/>
        <w:rPr>
          <w:rFonts w:hint="eastAsia"/>
        </w:rPr>
      </w:pPr>
    </w:p>
    <w:p w14:paraId="5B129EDC">
      <w:pPr>
        <w:pStyle w:val="2"/>
        <w:spacing w:after="0" w:line="240" w:lineRule="auto"/>
        <w:ind w:firstLine="0" w:firstLineChars="0"/>
        <w:jc w:val="center"/>
        <w:rPr>
          <w:rFonts w:hint="eastAsia"/>
        </w:rPr>
      </w:pPr>
    </w:p>
    <w:p w14:paraId="74654386">
      <w:pPr>
        <w:spacing w:line="240" w:lineRule="auto"/>
        <w:ind w:firstLine="0" w:firstLineChars="0"/>
        <w:jc w:val="center"/>
        <w:rPr>
          <w:rFonts w:hint="eastAsia"/>
        </w:rPr>
      </w:pPr>
    </w:p>
    <w:p w14:paraId="6BDC5135">
      <w:pPr>
        <w:pStyle w:val="2"/>
        <w:spacing w:after="0" w:line="240" w:lineRule="auto"/>
        <w:ind w:firstLine="0" w:firstLineChars="0"/>
        <w:jc w:val="center"/>
        <w:rPr>
          <w:rFonts w:hint="eastAsia"/>
        </w:rPr>
      </w:pPr>
    </w:p>
    <w:p w14:paraId="7E243CE3">
      <w:pPr>
        <w:spacing w:line="240" w:lineRule="auto"/>
        <w:ind w:firstLine="0" w:firstLineChars="0"/>
        <w:jc w:val="center"/>
        <w:rPr>
          <w:rFonts w:hint="eastAsia"/>
        </w:rPr>
      </w:pPr>
    </w:p>
    <w:p w14:paraId="4F40BA30">
      <w:pPr>
        <w:pStyle w:val="2"/>
        <w:spacing w:after="0" w:line="240" w:lineRule="auto"/>
        <w:ind w:firstLine="0" w:firstLineChars="0"/>
        <w:jc w:val="center"/>
        <w:rPr>
          <w:rFonts w:hint="eastAsia"/>
        </w:rPr>
      </w:pPr>
    </w:p>
    <w:p w14:paraId="0133A8AB">
      <w:pPr>
        <w:pStyle w:val="2"/>
        <w:spacing w:after="0" w:line="240" w:lineRule="auto"/>
        <w:ind w:firstLine="0" w:firstLineChars="0"/>
        <w:jc w:val="center"/>
        <w:rPr>
          <w:rFonts w:hint="eastAsia"/>
        </w:rPr>
      </w:pPr>
      <w:r>
        <w:drawing>
          <wp:inline distT="0" distB="0" distL="0" distR="0">
            <wp:extent cx="4549140" cy="6979920"/>
            <wp:effectExtent l="0" t="0" r="3810" b="11430"/>
            <wp:docPr id="1512656131" name="图片 1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56131" name="图片 18" descr="文本, 信件&#10;&#10;描述已自动生成"/>
                    <pic:cNvPicPr>
                      <a:picLocks noChangeAspect="1" noChangeArrowheads="1"/>
                    </pic:cNvPicPr>
                  </pic:nvPicPr>
                  <pic:blipFill>
                    <a:blip r:embed="rId219"/>
                    <a:srcRect/>
                    <a:stretch>
                      <a:fillRect/>
                    </a:stretch>
                  </pic:blipFill>
                  <pic:spPr>
                    <a:xfrm>
                      <a:off x="0" y="0"/>
                      <a:ext cx="4549140" cy="6979920"/>
                    </a:xfrm>
                    <a:prstGeom prst="rect">
                      <a:avLst/>
                    </a:prstGeom>
                    <a:noFill/>
                    <a:ln>
                      <a:noFill/>
                    </a:ln>
                  </pic:spPr>
                </pic:pic>
              </a:graphicData>
            </a:graphic>
          </wp:inline>
        </w:drawing>
      </w:r>
    </w:p>
    <w:p w14:paraId="35DA6ACF">
      <w:pPr>
        <w:spacing w:line="240" w:lineRule="auto"/>
        <w:ind w:firstLine="0" w:firstLineChars="0"/>
        <w:jc w:val="center"/>
        <w:rPr>
          <w:rFonts w:hint="eastAsia"/>
        </w:rPr>
      </w:pPr>
    </w:p>
    <w:p w14:paraId="17405401">
      <w:pPr>
        <w:pStyle w:val="2"/>
        <w:spacing w:after="0" w:line="240" w:lineRule="auto"/>
        <w:ind w:firstLine="0" w:firstLineChars="0"/>
        <w:jc w:val="center"/>
        <w:rPr>
          <w:rFonts w:hint="eastAsia"/>
        </w:rPr>
      </w:pPr>
    </w:p>
    <w:p w14:paraId="19E37046">
      <w:pPr>
        <w:spacing w:line="240" w:lineRule="auto"/>
        <w:ind w:firstLine="0" w:firstLineChars="0"/>
        <w:jc w:val="center"/>
        <w:rPr>
          <w:rFonts w:hint="eastAsia"/>
        </w:rPr>
      </w:pPr>
    </w:p>
    <w:p w14:paraId="4556F2F7">
      <w:pPr>
        <w:pStyle w:val="2"/>
        <w:spacing w:after="0" w:line="240" w:lineRule="auto"/>
        <w:ind w:firstLine="0" w:firstLineChars="0"/>
        <w:jc w:val="center"/>
        <w:rPr>
          <w:rFonts w:hint="eastAsia"/>
        </w:rPr>
      </w:pPr>
    </w:p>
    <w:p w14:paraId="33B3B6C9">
      <w:pPr>
        <w:spacing w:line="240" w:lineRule="auto"/>
        <w:ind w:firstLine="0" w:firstLineChars="0"/>
        <w:jc w:val="center"/>
        <w:rPr>
          <w:rFonts w:hint="eastAsia"/>
        </w:rPr>
      </w:pPr>
    </w:p>
    <w:p w14:paraId="10781AAF">
      <w:pPr>
        <w:pStyle w:val="2"/>
        <w:spacing w:after="0" w:line="240" w:lineRule="auto"/>
        <w:ind w:firstLine="0" w:firstLineChars="0"/>
        <w:jc w:val="center"/>
        <w:rPr>
          <w:rFonts w:hint="eastAsia"/>
        </w:rPr>
      </w:pPr>
    </w:p>
    <w:p w14:paraId="6AA460FF">
      <w:pPr>
        <w:spacing w:line="240" w:lineRule="auto"/>
        <w:ind w:firstLine="0" w:firstLineChars="0"/>
        <w:jc w:val="center"/>
        <w:rPr>
          <w:rFonts w:hint="eastAsia"/>
        </w:rPr>
      </w:pPr>
    </w:p>
    <w:p w14:paraId="3F2A0408">
      <w:pPr>
        <w:pStyle w:val="2"/>
        <w:spacing w:after="0" w:line="240" w:lineRule="auto"/>
        <w:ind w:firstLine="0" w:firstLineChars="0"/>
        <w:jc w:val="center"/>
        <w:rPr>
          <w:rFonts w:hint="eastAsia"/>
        </w:rPr>
      </w:pPr>
    </w:p>
    <w:p w14:paraId="49E9883D">
      <w:pPr>
        <w:spacing w:line="240" w:lineRule="auto"/>
        <w:ind w:firstLine="0" w:firstLineChars="0"/>
        <w:jc w:val="center"/>
        <w:rPr>
          <w:rFonts w:hint="eastAsia"/>
        </w:rPr>
      </w:pPr>
    </w:p>
    <w:p w14:paraId="1F1C6421">
      <w:pPr>
        <w:pStyle w:val="2"/>
        <w:spacing w:after="0" w:line="240" w:lineRule="auto"/>
        <w:ind w:firstLine="0" w:firstLineChars="0"/>
        <w:jc w:val="center"/>
        <w:rPr>
          <w:rFonts w:hint="eastAsia"/>
        </w:rPr>
      </w:pPr>
    </w:p>
    <w:p w14:paraId="1F3A02E8">
      <w:pPr>
        <w:spacing w:line="240" w:lineRule="auto"/>
        <w:ind w:firstLine="0" w:firstLineChars="0"/>
        <w:jc w:val="center"/>
        <w:rPr>
          <w:rFonts w:hint="eastAsia"/>
        </w:rPr>
      </w:pPr>
    </w:p>
    <w:p w14:paraId="0F8E4B9C">
      <w:pPr>
        <w:pStyle w:val="2"/>
        <w:spacing w:after="0" w:line="240" w:lineRule="auto"/>
        <w:ind w:firstLine="0" w:firstLineChars="0"/>
        <w:jc w:val="center"/>
        <w:rPr>
          <w:rFonts w:hint="eastAsia"/>
        </w:rPr>
      </w:pPr>
    </w:p>
    <w:p w14:paraId="60F76487">
      <w:pPr>
        <w:spacing w:line="240" w:lineRule="auto"/>
        <w:ind w:firstLine="0" w:firstLineChars="0"/>
        <w:jc w:val="center"/>
        <w:rPr>
          <w:rFonts w:hint="eastAsia"/>
        </w:rPr>
      </w:pPr>
      <w:r>
        <w:drawing>
          <wp:inline distT="0" distB="0" distL="0" distR="0">
            <wp:extent cx="3757295" cy="5259705"/>
            <wp:effectExtent l="0" t="0" r="17145" b="14605"/>
            <wp:docPr id="588879519"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9519" name="图片 1" descr="图示, 示意图&#10;&#10;描述已自动生成"/>
                    <pic:cNvPicPr>
                      <a:picLocks noChangeAspect="1"/>
                    </pic:cNvPicPr>
                  </pic:nvPicPr>
                  <pic:blipFill>
                    <a:blip r:embed="rId220"/>
                    <a:stretch>
                      <a:fillRect/>
                    </a:stretch>
                  </pic:blipFill>
                  <pic:spPr>
                    <a:xfrm rot="16200000">
                      <a:off x="0" y="0"/>
                      <a:ext cx="3757295" cy="5266817"/>
                    </a:xfrm>
                    <a:prstGeom prst="rect">
                      <a:avLst/>
                    </a:prstGeom>
                  </pic:spPr>
                </pic:pic>
              </a:graphicData>
            </a:graphic>
          </wp:inline>
        </w:drawing>
      </w:r>
    </w:p>
    <w:p w14:paraId="0DD88C7A">
      <w:pPr>
        <w:pStyle w:val="2"/>
        <w:spacing w:after="0" w:line="240" w:lineRule="auto"/>
        <w:ind w:firstLine="0" w:firstLineChars="0"/>
        <w:jc w:val="center"/>
        <w:rPr>
          <w:rFonts w:hint="eastAsia"/>
        </w:rPr>
      </w:pPr>
    </w:p>
    <w:p w14:paraId="4791DA58">
      <w:pPr>
        <w:pStyle w:val="2"/>
        <w:spacing w:after="0" w:line="240" w:lineRule="auto"/>
        <w:ind w:firstLine="0" w:firstLineChars="0"/>
        <w:jc w:val="center"/>
        <w:rPr>
          <w:rFonts w:hint="eastAsia"/>
        </w:rPr>
      </w:pPr>
    </w:p>
    <w:p w14:paraId="41723A62">
      <w:pPr>
        <w:spacing w:line="240" w:lineRule="auto"/>
        <w:ind w:firstLine="0" w:firstLineChars="0"/>
        <w:jc w:val="center"/>
        <w:rPr>
          <w:rFonts w:hint="eastAsia"/>
        </w:rPr>
      </w:pPr>
    </w:p>
    <w:p w14:paraId="5636A854">
      <w:pPr>
        <w:pStyle w:val="2"/>
        <w:spacing w:after="0" w:line="240" w:lineRule="auto"/>
        <w:ind w:firstLine="0" w:firstLineChars="0"/>
        <w:jc w:val="center"/>
        <w:rPr>
          <w:rFonts w:hint="eastAsia"/>
        </w:rPr>
      </w:pPr>
    </w:p>
    <w:p w14:paraId="09E4797B">
      <w:pPr>
        <w:spacing w:line="240" w:lineRule="auto"/>
        <w:ind w:firstLine="0" w:firstLineChars="0"/>
        <w:jc w:val="center"/>
        <w:rPr>
          <w:rFonts w:hint="eastAsia"/>
        </w:rPr>
      </w:pPr>
    </w:p>
    <w:p w14:paraId="1D152ACB">
      <w:pPr>
        <w:pStyle w:val="2"/>
        <w:spacing w:after="0" w:line="240" w:lineRule="auto"/>
        <w:ind w:firstLine="0" w:firstLineChars="0"/>
        <w:jc w:val="center"/>
        <w:rPr>
          <w:rFonts w:hint="eastAsia"/>
        </w:rPr>
      </w:pPr>
    </w:p>
    <w:p w14:paraId="50176FAF">
      <w:pPr>
        <w:spacing w:line="240" w:lineRule="auto"/>
        <w:ind w:firstLine="0" w:firstLineChars="0"/>
        <w:jc w:val="center"/>
        <w:rPr>
          <w:rFonts w:hint="eastAsia"/>
        </w:rPr>
      </w:pPr>
    </w:p>
    <w:p w14:paraId="2E24606C">
      <w:pPr>
        <w:pStyle w:val="2"/>
        <w:spacing w:after="0" w:line="240" w:lineRule="auto"/>
        <w:ind w:firstLine="0" w:firstLineChars="0"/>
        <w:jc w:val="center"/>
        <w:rPr>
          <w:rFonts w:hint="eastAsia"/>
        </w:rPr>
      </w:pPr>
    </w:p>
    <w:p w14:paraId="4493CC87">
      <w:pPr>
        <w:spacing w:line="240" w:lineRule="auto"/>
        <w:ind w:firstLine="0" w:firstLineChars="0"/>
        <w:jc w:val="center"/>
        <w:rPr>
          <w:rFonts w:hint="eastAsia"/>
        </w:rPr>
      </w:pPr>
    </w:p>
    <w:p w14:paraId="751A20D8">
      <w:pPr>
        <w:pStyle w:val="2"/>
        <w:spacing w:after="0" w:line="240" w:lineRule="auto"/>
        <w:ind w:firstLine="0" w:firstLineChars="0"/>
        <w:jc w:val="center"/>
        <w:rPr>
          <w:rFonts w:hint="eastAsia"/>
        </w:rPr>
      </w:pPr>
    </w:p>
    <w:p w14:paraId="066AFB74">
      <w:pPr>
        <w:spacing w:line="240" w:lineRule="auto"/>
        <w:ind w:firstLine="0" w:firstLineChars="0"/>
        <w:jc w:val="center"/>
        <w:rPr>
          <w:rFonts w:hint="eastAsia"/>
        </w:rPr>
      </w:pPr>
    </w:p>
    <w:p w14:paraId="513D43B7">
      <w:pPr>
        <w:pStyle w:val="2"/>
        <w:spacing w:after="0" w:line="240" w:lineRule="auto"/>
        <w:ind w:firstLine="0" w:firstLineChars="0"/>
        <w:jc w:val="center"/>
        <w:rPr>
          <w:rFonts w:hint="eastAsia"/>
        </w:rPr>
      </w:pPr>
    </w:p>
    <w:p w14:paraId="365BB4A0">
      <w:pPr>
        <w:spacing w:line="240" w:lineRule="auto"/>
        <w:ind w:firstLine="0" w:firstLineChars="0"/>
        <w:jc w:val="center"/>
        <w:rPr>
          <w:rFonts w:hint="eastAsia"/>
        </w:rPr>
      </w:pPr>
    </w:p>
    <w:p w14:paraId="772D1C3D">
      <w:pPr>
        <w:pStyle w:val="2"/>
        <w:spacing w:after="0" w:line="240" w:lineRule="auto"/>
        <w:ind w:firstLine="0" w:firstLineChars="0"/>
        <w:jc w:val="center"/>
        <w:rPr>
          <w:rFonts w:hint="eastAsia"/>
        </w:rPr>
      </w:pPr>
    </w:p>
    <w:p w14:paraId="18A14041">
      <w:pPr>
        <w:spacing w:line="240" w:lineRule="auto"/>
        <w:ind w:firstLine="0" w:firstLineChars="0"/>
        <w:jc w:val="center"/>
        <w:rPr>
          <w:rFonts w:hint="eastAsia"/>
        </w:rPr>
      </w:pPr>
    </w:p>
    <w:p w14:paraId="7D2ACD42">
      <w:pPr>
        <w:pStyle w:val="2"/>
        <w:spacing w:after="0" w:line="240" w:lineRule="auto"/>
        <w:ind w:firstLine="0" w:firstLineChars="0"/>
        <w:jc w:val="center"/>
        <w:rPr>
          <w:rFonts w:hint="eastAsia"/>
        </w:rPr>
      </w:pPr>
    </w:p>
    <w:p w14:paraId="6E116066">
      <w:pPr>
        <w:pStyle w:val="2"/>
        <w:spacing w:after="0" w:line="240" w:lineRule="auto"/>
        <w:ind w:firstLine="0" w:firstLineChars="0"/>
        <w:jc w:val="center"/>
        <w:rPr>
          <w:rFonts w:hint="eastAsia"/>
        </w:rPr>
      </w:pPr>
    </w:p>
    <w:p w14:paraId="2BAC19F9">
      <w:pPr>
        <w:spacing w:line="240" w:lineRule="auto"/>
        <w:ind w:firstLine="0" w:firstLineChars="0"/>
        <w:jc w:val="center"/>
        <w:rPr>
          <w:rFonts w:hint="eastAsia"/>
        </w:rPr>
      </w:pPr>
    </w:p>
    <w:p w14:paraId="046D351C">
      <w:pPr>
        <w:pStyle w:val="2"/>
        <w:spacing w:after="0" w:line="240" w:lineRule="auto"/>
        <w:ind w:firstLine="0" w:firstLineChars="0"/>
        <w:jc w:val="center"/>
        <w:rPr>
          <w:rFonts w:hint="eastAsia"/>
        </w:rPr>
      </w:pPr>
    </w:p>
    <w:p w14:paraId="6C9B29DE">
      <w:pPr>
        <w:spacing w:line="240" w:lineRule="auto"/>
        <w:ind w:firstLine="0" w:firstLineChars="0"/>
        <w:jc w:val="center"/>
        <w:rPr>
          <w:rFonts w:hint="eastAsia"/>
        </w:rPr>
      </w:pPr>
    </w:p>
    <w:p w14:paraId="17A21A6B">
      <w:pPr>
        <w:pStyle w:val="2"/>
        <w:spacing w:after="0" w:line="240" w:lineRule="auto"/>
        <w:ind w:firstLine="0" w:firstLineChars="0"/>
        <w:jc w:val="center"/>
        <w:rPr>
          <w:rFonts w:hint="eastAsia"/>
        </w:rPr>
      </w:pPr>
    </w:p>
    <w:p w14:paraId="40DC3C95">
      <w:pPr>
        <w:spacing w:line="240" w:lineRule="auto"/>
        <w:ind w:firstLine="0" w:firstLineChars="0"/>
        <w:jc w:val="center"/>
        <w:rPr>
          <w:rFonts w:hint="eastAsia"/>
        </w:rPr>
      </w:pPr>
    </w:p>
    <w:p w14:paraId="5C0D056E">
      <w:pPr>
        <w:pStyle w:val="2"/>
        <w:spacing w:after="0" w:line="240" w:lineRule="auto"/>
        <w:ind w:firstLine="0" w:firstLineChars="0"/>
        <w:jc w:val="center"/>
        <w:rPr>
          <w:rFonts w:hint="eastAsia"/>
        </w:rPr>
      </w:pPr>
    </w:p>
    <w:p w14:paraId="7A963CFA">
      <w:pPr>
        <w:spacing w:line="240" w:lineRule="auto"/>
        <w:ind w:firstLine="0" w:firstLineChars="0"/>
        <w:jc w:val="center"/>
        <w:rPr>
          <w:rFonts w:hint="eastAsia"/>
        </w:rPr>
      </w:pPr>
    </w:p>
    <w:p w14:paraId="70AE31DD">
      <w:pPr>
        <w:pStyle w:val="2"/>
        <w:spacing w:after="0" w:line="240" w:lineRule="auto"/>
        <w:ind w:firstLine="0" w:firstLineChars="0"/>
        <w:jc w:val="center"/>
        <w:rPr>
          <w:rFonts w:hint="eastAsia"/>
        </w:rPr>
      </w:pPr>
    </w:p>
    <w:p w14:paraId="65BBCC9D">
      <w:pPr>
        <w:spacing w:line="240" w:lineRule="auto"/>
        <w:ind w:firstLine="0" w:firstLineChars="0"/>
        <w:jc w:val="center"/>
        <w:rPr>
          <w:rFonts w:hint="eastAsia"/>
        </w:rPr>
      </w:pPr>
    </w:p>
    <w:p w14:paraId="70A5A170">
      <w:pPr>
        <w:pStyle w:val="2"/>
        <w:spacing w:after="0" w:line="240" w:lineRule="auto"/>
        <w:ind w:firstLine="0" w:firstLineChars="0"/>
        <w:jc w:val="center"/>
        <w:rPr>
          <w:rFonts w:hint="eastAsia"/>
        </w:rPr>
      </w:pPr>
      <w:r>
        <w:drawing>
          <wp:inline distT="0" distB="0" distL="0" distR="0">
            <wp:extent cx="4333875" cy="7143750"/>
            <wp:effectExtent l="0" t="0" r="9525" b="0"/>
            <wp:docPr id="1586186518"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86518" name="图片 1" descr="文本&#10;&#10;描述已自动生成"/>
                    <pic:cNvPicPr>
                      <a:picLocks noChangeAspect="1"/>
                    </pic:cNvPicPr>
                  </pic:nvPicPr>
                  <pic:blipFill>
                    <a:blip r:embed="rId221"/>
                    <a:stretch>
                      <a:fillRect/>
                    </a:stretch>
                  </pic:blipFill>
                  <pic:spPr>
                    <a:xfrm>
                      <a:off x="0" y="0"/>
                      <a:ext cx="4333875" cy="7143750"/>
                    </a:xfrm>
                    <a:prstGeom prst="rect">
                      <a:avLst/>
                    </a:prstGeom>
                  </pic:spPr>
                </pic:pic>
              </a:graphicData>
            </a:graphic>
          </wp:inline>
        </w:drawing>
      </w:r>
    </w:p>
    <w:p w14:paraId="1D2F2FF0">
      <w:pPr>
        <w:spacing w:line="240" w:lineRule="auto"/>
        <w:ind w:firstLine="0" w:firstLineChars="0"/>
        <w:jc w:val="center"/>
        <w:rPr>
          <w:rFonts w:hint="eastAsia"/>
        </w:rPr>
      </w:pPr>
    </w:p>
    <w:p w14:paraId="364ED38B">
      <w:pPr>
        <w:pStyle w:val="2"/>
        <w:spacing w:after="0" w:line="240" w:lineRule="auto"/>
        <w:ind w:firstLine="0" w:firstLineChars="0"/>
        <w:jc w:val="center"/>
        <w:rPr>
          <w:rFonts w:hint="eastAsia"/>
        </w:rPr>
      </w:pPr>
    </w:p>
    <w:p w14:paraId="09164EAC">
      <w:pPr>
        <w:spacing w:line="240" w:lineRule="auto"/>
        <w:ind w:firstLine="0" w:firstLineChars="0"/>
        <w:jc w:val="center"/>
        <w:rPr>
          <w:rFonts w:hint="eastAsia"/>
        </w:rPr>
      </w:pPr>
    </w:p>
    <w:p w14:paraId="37D4C16D">
      <w:pPr>
        <w:pStyle w:val="2"/>
        <w:spacing w:after="0" w:line="240" w:lineRule="auto"/>
        <w:ind w:firstLine="0" w:firstLineChars="0"/>
        <w:jc w:val="center"/>
        <w:rPr>
          <w:rFonts w:hint="eastAsia"/>
        </w:rPr>
      </w:pPr>
    </w:p>
    <w:p w14:paraId="780D3B20">
      <w:pPr>
        <w:pStyle w:val="2"/>
        <w:spacing w:after="0" w:line="240" w:lineRule="auto"/>
        <w:ind w:firstLine="0" w:firstLineChars="0"/>
        <w:jc w:val="center"/>
        <w:rPr>
          <w:rFonts w:hint="eastAsia"/>
        </w:rPr>
      </w:pPr>
    </w:p>
    <w:p w14:paraId="2EA2343C">
      <w:pPr>
        <w:spacing w:line="240" w:lineRule="auto"/>
        <w:ind w:firstLine="0" w:firstLineChars="0"/>
        <w:jc w:val="center"/>
        <w:rPr>
          <w:rFonts w:hint="eastAsia"/>
        </w:rPr>
      </w:pPr>
    </w:p>
    <w:p w14:paraId="1FBAB425">
      <w:pPr>
        <w:pStyle w:val="2"/>
        <w:spacing w:after="0" w:line="240" w:lineRule="auto"/>
        <w:ind w:firstLine="0" w:firstLineChars="0"/>
        <w:jc w:val="center"/>
        <w:rPr>
          <w:rFonts w:hint="eastAsia"/>
        </w:rPr>
      </w:pPr>
    </w:p>
    <w:p w14:paraId="589DBAD1">
      <w:pPr>
        <w:spacing w:line="240" w:lineRule="auto"/>
        <w:ind w:firstLine="0" w:firstLineChars="0"/>
        <w:jc w:val="center"/>
        <w:rPr>
          <w:rFonts w:hint="eastAsia"/>
        </w:rPr>
      </w:pPr>
    </w:p>
    <w:p w14:paraId="3614D9CA">
      <w:pPr>
        <w:pStyle w:val="2"/>
        <w:spacing w:after="0" w:line="240" w:lineRule="auto"/>
        <w:ind w:firstLine="0" w:firstLineChars="0"/>
        <w:jc w:val="center"/>
        <w:rPr>
          <w:rFonts w:hint="eastAsia"/>
        </w:rPr>
      </w:pPr>
    </w:p>
    <w:p w14:paraId="58F3E982">
      <w:pPr>
        <w:spacing w:line="240" w:lineRule="auto"/>
        <w:ind w:firstLine="0" w:firstLineChars="0"/>
        <w:jc w:val="center"/>
        <w:rPr>
          <w:rFonts w:hint="eastAsia"/>
        </w:rPr>
      </w:pPr>
      <w:r>
        <w:drawing>
          <wp:inline distT="0" distB="0" distL="0" distR="0">
            <wp:extent cx="5274310" cy="7459980"/>
            <wp:effectExtent l="0" t="0" r="2540" b="7620"/>
            <wp:docPr id="2042591637"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91637" name="图片 1" descr="文本, 信件&#10;&#10;描述已自动生成"/>
                    <pic:cNvPicPr>
                      <a:picLocks noChangeAspect="1"/>
                    </pic:cNvPicPr>
                  </pic:nvPicPr>
                  <pic:blipFill>
                    <a:blip r:embed="rId222"/>
                    <a:stretch>
                      <a:fillRect/>
                    </a:stretch>
                  </pic:blipFill>
                  <pic:spPr>
                    <a:xfrm>
                      <a:off x="0" y="0"/>
                      <a:ext cx="5274310" cy="7459980"/>
                    </a:xfrm>
                    <a:prstGeom prst="rect">
                      <a:avLst/>
                    </a:prstGeom>
                  </pic:spPr>
                </pic:pic>
              </a:graphicData>
            </a:graphic>
          </wp:inline>
        </w:drawing>
      </w:r>
    </w:p>
    <w:p w14:paraId="2051F2E0">
      <w:pPr>
        <w:pStyle w:val="2"/>
        <w:spacing w:after="0" w:line="240" w:lineRule="auto"/>
        <w:ind w:firstLine="0" w:firstLineChars="0"/>
        <w:jc w:val="center"/>
        <w:rPr>
          <w:rFonts w:hint="eastAsia"/>
        </w:rPr>
      </w:pPr>
    </w:p>
    <w:p w14:paraId="0B076711">
      <w:pPr>
        <w:spacing w:line="240" w:lineRule="auto"/>
        <w:ind w:firstLine="0" w:firstLineChars="0"/>
        <w:jc w:val="center"/>
        <w:sectPr>
          <w:pgSz w:w="11907" w:h="16840"/>
          <w:pgMar w:top="1440" w:right="1797" w:bottom="1440" w:left="1797" w:header="907" w:footer="907" w:gutter="0"/>
          <w:cols w:space="425" w:num="1"/>
          <w:docGrid w:linePitch="380" w:charSpace="0"/>
        </w:sectPr>
      </w:pPr>
    </w:p>
    <w:p w14:paraId="02DF3C44">
      <w:pPr>
        <w:spacing w:line="240" w:lineRule="auto"/>
        <w:ind w:firstLine="0" w:firstLineChars="0"/>
        <w:jc w:val="center"/>
        <w:rPr>
          <w:rFonts w:hint="eastAsia"/>
        </w:rPr>
      </w:pPr>
    </w:p>
    <w:p w14:paraId="228C5406">
      <w:pPr>
        <w:spacing w:line="240" w:lineRule="auto"/>
        <w:ind w:firstLine="0" w:firstLineChars="0"/>
        <w:jc w:val="center"/>
        <w:rPr>
          <w:rFonts w:hint="eastAsia"/>
        </w:rPr>
      </w:pPr>
    </w:p>
    <w:p w14:paraId="7C803182">
      <w:pPr>
        <w:pStyle w:val="2"/>
        <w:spacing w:after="0" w:line="240" w:lineRule="auto"/>
        <w:ind w:firstLine="0" w:firstLineChars="0"/>
        <w:jc w:val="center"/>
        <w:rPr>
          <w:rFonts w:hint="eastAsia"/>
        </w:rPr>
      </w:pPr>
    </w:p>
    <w:p w14:paraId="5CF8456E">
      <w:pPr>
        <w:spacing w:line="240" w:lineRule="auto"/>
        <w:ind w:firstLine="0" w:firstLineChars="0"/>
        <w:jc w:val="center"/>
        <w:rPr>
          <w:rFonts w:hint="eastAsia"/>
        </w:rPr>
      </w:pPr>
      <w:r>
        <w:drawing>
          <wp:inline distT="0" distB="0" distL="0" distR="0">
            <wp:extent cx="5278755" cy="6480175"/>
            <wp:effectExtent l="0" t="0" r="17145" b="15875"/>
            <wp:docPr id="1845471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71474" name="图片 1"/>
                    <pic:cNvPicPr>
                      <a:picLocks noChangeAspect="1"/>
                    </pic:cNvPicPr>
                  </pic:nvPicPr>
                  <pic:blipFill>
                    <a:blip r:embed="rId223"/>
                    <a:stretch>
                      <a:fillRect/>
                    </a:stretch>
                  </pic:blipFill>
                  <pic:spPr>
                    <a:xfrm>
                      <a:off x="0" y="0"/>
                      <a:ext cx="5278755" cy="6480175"/>
                    </a:xfrm>
                    <a:prstGeom prst="rect">
                      <a:avLst/>
                    </a:prstGeom>
                  </pic:spPr>
                </pic:pic>
              </a:graphicData>
            </a:graphic>
          </wp:inline>
        </w:drawing>
      </w:r>
    </w:p>
    <w:p w14:paraId="3B8C7AE2">
      <w:pPr>
        <w:pStyle w:val="2"/>
        <w:spacing w:after="0" w:line="240" w:lineRule="auto"/>
        <w:ind w:firstLine="0" w:firstLineChars="0"/>
        <w:jc w:val="center"/>
        <w:rPr>
          <w:rFonts w:hint="eastAsia"/>
        </w:rPr>
      </w:pPr>
    </w:p>
    <w:p w14:paraId="6B18B6E4">
      <w:pPr>
        <w:pStyle w:val="2"/>
        <w:spacing w:after="0" w:line="240" w:lineRule="auto"/>
        <w:ind w:firstLine="0" w:firstLineChars="0"/>
        <w:jc w:val="center"/>
        <w:sectPr>
          <w:pgSz w:w="11907" w:h="16840"/>
          <w:pgMar w:top="1440" w:right="1797" w:bottom="1440" w:left="1797" w:header="907" w:footer="907" w:gutter="0"/>
          <w:cols w:space="425" w:num="1"/>
          <w:docGrid w:linePitch="380" w:charSpace="0"/>
        </w:sectPr>
      </w:pPr>
    </w:p>
    <w:p w14:paraId="1752F57D">
      <w:pPr>
        <w:pStyle w:val="2"/>
        <w:spacing w:after="0" w:line="240" w:lineRule="auto"/>
        <w:ind w:firstLine="0" w:firstLineChars="0"/>
        <w:jc w:val="center"/>
        <w:rPr>
          <w:rFonts w:hint="eastAsia"/>
        </w:rPr>
      </w:pPr>
      <w:r>
        <w:drawing>
          <wp:inline distT="0" distB="0" distL="0" distR="0">
            <wp:extent cx="8591550" cy="4972050"/>
            <wp:effectExtent l="0" t="0" r="0" b="0"/>
            <wp:docPr id="199233896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38960" name="图片 1" descr="表格&#10;&#10;描述已自动生成"/>
                    <pic:cNvPicPr>
                      <a:picLocks noChangeAspect="1"/>
                    </pic:cNvPicPr>
                  </pic:nvPicPr>
                  <pic:blipFill>
                    <a:blip r:embed="rId224"/>
                    <a:stretch>
                      <a:fillRect/>
                    </a:stretch>
                  </pic:blipFill>
                  <pic:spPr>
                    <a:xfrm>
                      <a:off x="0" y="0"/>
                      <a:ext cx="8591550" cy="4972050"/>
                    </a:xfrm>
                    <a:prstGeom prst="rect">
                      <a:avLst/>
                    </a:prstGeom>
                  </pic:spPr>
                </pic:pic>
              </a:graphicData>
            </a:graphic>
          </wp:inline>
        </w:drawing>
      </w:r>
    </w:p>
    <w:p w14:paraId="64A07787">
      <w:pPr>
        <w:spacing w:line="240" w:lineRule="auto"/>
        <w:ind w:firstLine="0" w:firstLineChars="0"/>
        <w:jc w:val="center"/>
        <w:rPr>
          <w:rFonts w:hint="eastAsia"/>
        </w:rPr>
      </w:pPr>
    </w:p>
    <w:p w14:paraId="7B165BF1">
      <w:pPr>
        <w:pStyle w:val="2"/>
        <w:spacing w:after="0" w:line="240" w:lineRule="auto"/>
        <w:ind w:firstLine="0" w:firstLineChars="0"/>
        <w:jc w:val="center"/>
        <w:rPr>
          <w:rFonts w:hint="eastAsia"/>
        </w:rPr>
      </w:pPr>
      <w:r>
        <w:drawing>
          <wp:inline distT="0" distB="0" distL="0" distR="0">
            <wp:extent cx="8582025" cy="4895850"/>
            <wp:effectExtent l="0" t="0" r="9525" b="0"/>
            <wp:docPr id="1915191956" name="图片 1" descr="文本,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91956" name="图片 1" descr="文本, 表格&#10;&#10;描述已自动生成"/>
                    <pic:cNvPicPr>
                      <a:picLocks noChangeAspect="1"/>
                    </pic:cNvPicPr>
                  </pic:nvPicPr>
                  <pic:blipFill>
                    <a:blip r:embed="rId225"/>
                    <a:stretch>
                      <a:fillRect/>
                    </a:stretch>
                  </pic:blipFill>
                  <pic:spPr>
                    <a:xfrm>
                      <a:off x="0" y="0"/>
                      <a:ext cx="8582025" cy="4895850"/>
                    </a:xfrm>
                    <a:prstGeom prst="rect">
                      <a:avLst/>
                    </a:prstGeom>
                  </pic:spPr>
                </pic:pic>
              </a:graphicData>
            </a:graphic>
          </wp:inline>
        </w:drawing>
      </w:r>
    </w:p>
    <w:p w14:paraId="23D22DF4">
      <w:pPr>
        <w:spacing w:line="240" w:lineRule="auto"/>
        <w:ind w:firstLine="0" w:firstLineChars="0"/>
        <w:jc w:val="center"/>
        <w:rPr>
          <w:rFonts w:hint="eastAsia"/>
        </w:rPr>
      </w:pPr>
      <w:r>
        <w:drawing>
          <wp:inline distT="0" distB="0" distL="0" distR="0">
            <wp:extent cx="8591550" cy="4876800"/>
            <wp:effectExtent l="0" t="0" r="0" b="0"/>
            <wp:docPr id="26411954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19545" name="图片 1" descr="表格&#10;&#10;描述已自动生成"/>
                    <pic:cNvPicPr>
                      <a:picLocks noChangeAspect="1"/>
                    </pic:cNvPicPr>
                  </pic:nvPicPr>
                  <pic:blipFill>
                    <a:blip r:embed="rId226"/>
                    <a:stretch>
                      <a:fillRect/>
                    </a:stretch>
                  </pic:blipFill>
                  <pic:spPr>
                    <a:xfrm>
                      <a:off x="0" y="0"/>
                      <a:ext cx="8591550" cy="4876800"/>
                    </a:xfrm>
                    <a:prstGeom prst="rect">
                      <a:avLst/>
                    </a:prstGeom>
                  </pic:spPr>
                </pic:pic>
              </a:graphicData>
            </a:graphic>
          </wp:inline>
        </w:drawing>
      </w:r>
    </w:p>
    <w:p w14:paraId="5139B7CA">
      <w:pPr>
        <w:pStyle w:val="2"/>
        <w:spacing w:after="0" w:line="240" w:lineRule="auto"/>
        <w:ind w:firstLine="0" w:firstLineChars="0"/>
        <w:jc w:val="center"/>
        <w:rPr>
          <w:rFonts w:hint="eastAsia"/>
        </w:rPr>
      </w:pPr>
      <w:r>
        <w:drawing>
          <wp:inline distT="0" distB="0" distL="0" distR="0">
            <wp:extent cx="8582025" cy="3152775"/>
            <wp:effectExtent l="0" t="0" r="9525" b="9525"/>
            <wp:docPr id="27862077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20774" name="图片 1" descr="表格&#10;&#10;描述已自动生成"/>
                    <pic:cNvPicPr>
                      <a:picLocks noChangeAspect="1"/>
                    </pic:cNvPicPr>
                  </pic:nvPicPr>
                  <pic:blipFill>
                    <a:blip r:embed="rId227"/>
                    <a:stretch>
                      <a:fillRect/>
                    </a:stretch>
                  </pic:blipFill>
                  <pic:spPr>
                    <a:xfrm>
                      <a:off x="0" y="0"/>
                      <a:ext cx="8582025" cy="3152775"/>
                    </a:xfrm>
                    <a:prstGeom prst="rect">
                      <a:avLst/>
                    </a:prstGeom>
                  </pic:spPr>
                </pic:pic>
              </a:graphicData>
            </a:graphic>
          </wp:inline>
        </w:drawing>
      </w:r>
    </w:p>
    <w:p w14:paraId="30F62259">
      <w:pPr>
        <w:spacing w:line="240" w:lineRule="auto"/>
        <w:ind w:firstLine="0" w:firstLineChars="0"/>
        <w:jc w:val="center"/>
        <w:sectPr>
          <w:pgSz w:w="16840" w:h="11907" w:orient="landscape"/>
          <w:pgMar w:top="1797" w:right="1440" w:bottom="1797" w:left="1440" w:header="907" w:footer="907" w:gutter="0"/>
          <w:cols w:space="425" w:num="1"/>
          <w:docGrid w:linePitch="380" w:charSpace="0"/>
        </w:sectPr>
      </w:pPr>
    </w:p>
    <w:p w14:paraId="2E4CAB88">
      <w:pPr>
        <w:spacing w:line="240" w:lineRule="auto"/>
        <w:ind w:firstLine="0" w:firstLineChars="0"/>
        <w:jc w:val="center"/>
        <w:rPr>
          <w:rFonts w:hint="eastAsia"/>
        </w:rPr>
      </w:pPr>
    </w:p>
    <w:p w14:paraId="4E5D5081">
      <w:pPr>
        <w:pStyle w:val="2"/>
        <w:spacing w:after="0" w:line="240" w:lineRule="auto"/>
        <w:ind w:firstLine="0" w:firstLineChars="0"/>
        <w:jc w:val="center"/>
        <w:rPr>
          <w:rFonts w:hint="eastAsia"/>
        </w:rPr>
      </w:pPr>
    </w:p>
    <w:p w14:paraId="6CE6455E">
      <w:pPr>
        <w:spacing w:line="240" w:lineRule="auto"/>
        <w:ind w:firstLine="0" w:firstLineChars="0"/>
        <w:jc w:val="center"/>
        <w:rPr>
          <w:rFonts w:hint="eastAsia"/>
        </w:rPr>
      </w:pPr>
      <w:r>
        <w:drawing>
          <wp:inline distT="0" distB="0" distL="0" distR="0">
            <wp:extent cx="5278755" cy="7786370"/>
            <wp:effectExtent l="0" t="0" r="17145" b="5080"/>
            <wp:docPr id="41107136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71361" name="图片 1" descr="手机屏幕截图&#10;&#10;描述已自动生成"/>
                    <pic:cNvPicPr>
                      <a:picLocks noChangeAspect="1"/>
                    </pic:cNvPicPr>
                  </pic:nvPicPr>
                  <pic:blipFill>
                    <a:blip r:embed="rId228"/>
                    <a:stretch>
                      <a:fillRect/>
                    </a:stretch>
                  </pic:blipFill>
                  <pic:spPr>
                    <a:xfrm>
                      <a:off x="0" y="0"/>
                      <a:ext cx="5278755" cy="7786370"/>
                    </a:xfrm>
                    <a:prstGeom prst="rect">
                      <a:avLst/>
                    </a:prstGeom>
                  </pic:spPr>
                </pic:pic>
              </a:graphicData>
            </a:graphic>
          </wp:inline>
        </w:drawing>
      </w:r>
    </w:p>
    <w:p w14:paraId="5900258D">
      <w:pPr>
        <w:pStyle w:val="2"/>
        <w:spacing w:after="0" w:line="240" w:lineRule="auto"/>
        <w:ind w:firstLine="0" w:firstLineChars="0"/>
        <w:jc w:val="center"/>
        <w:rPr>
          <w:rFonts w:hint="eastAsia"/>
        </w:rPr>
      </w:pPr>
    </w:p>
    <w:p w14:paraId="75AD7C8B">
      <w:pPr>
        <w:spacing w:line="240" w:lineRule="auto"/>
        <w:ind w:firstLine="0" w:firstLineChars="0"/>
        <w:jc w:val="center"/>
        <w:rPr>
          <w:rFonts w:hint="eastAsia"/>
        </w:rPr>
      </w:pPr>
    </w:p>
    <w:p w14:paraId="1B8FD709">
      <w:pPr>
        <w:pStyle w:val="2"/>
        <w:spacing w:after="0" w:line="240" w:lineRule="auto"/>
        <w:ind w:firstLine="0" w:firstLineChars="0"/>
        <w:jc w:val="center"/>
        <w:rPr>
          <w:rFonts w:hint="eastAsia"/>
        </w:rPr>
      </w:pPr>
    </w:p>
    <w:p w14:paraId="78393587">
      <w:pPr>
        <w:spacing w:line="240" w:lineRule="auto"/>
        <w:ind w:firstLine="0" w:firstLineChars="0"/>
        <w:jc w:val="center"/>
        <w:rPr>
          <w:rFonts w:hint="eastAsia"/>
        </w:rPr>
      </w:pPr>
    </w:p>
    <w:p w14:paraId="45C78443">
      <w:pPr>
        <w:pStyle w:val="2"/>
        <w:spacing w:after="0" w:line="240" w:lineRule="auto"/>
        <w:ind w:firstLine="0" w:firstLineChars="0"/>
        <w:jc w:val="center"/>
        <w:rPr>
          <w:rFonts w:hint="eastAsia"/>
        </w:rPr>
      </w:pPr>
      <w:r>
        <w:drawing>
          <wp:inline distT="0" distB="0" distL="0" distR="0">
            <wp:extent cx="4909185" cy="8864600"/>
            <wp:effectExtent l="0" t="0" r="5715" b="12700"/>
            <wp:docPr id="1602475415" name="图片 1"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75415" name="图片 1" descr="手机屏幕截图&#10;&#10;中度可信度描述已自动生成"/>
                    <pic:cNvPicPr>
                      <a:picLocks noChangeAspect="1"/>
                    </pic:cNvPicPr>
                  </pic:nvPicPr>
                  <pic:blipFill>
                    <a:blip r:embed="rId229"/>
                    <a:stretch>
                      <a:fillRect/>
                    </a:stretch>
                  </pic:blipFill>
                  <pic:spPr>
                    <a:xfrm>
                      <a:off x="0" y="0"/>
                      <a:ext cx="4909185" cy="8864600"/>
                    </a:xfrm>
                    <a:prstGeom prst="rect">
                      <a:avLst/>
                    </a:prstGeom>
                  </pic:spPr>
                </pic:pic>
              </a:graphicData>
            </a:graphic>
          </wp:inline>
        </w:drawing>
      </w:r>
    </w:p>
    <w:p w14:paraId="1229E0E0">
      <w:pPr>
        <w:spacing w:line="240" w:lineRule="auto"/>
        <w:ind w:firstLine="0" w:firstLineChars="0"/>
        <w:jc w:val="center"/>
        <w:rPr>
          <w:rFonts w:hint="eastAsia"/>
        </w:rPr>
      </w:pPr>
      <w:r>
        <w:drawing>
          <wp:inline distT="0" distB="0" distL="0" distR="0">
            <wp:extent cx="5278755" cy="6087745"/>
            <wp:effectExtent l="0" t="0" r="17145" b="8255"/>
            <wp:docPr id="1369278593"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78593" name="图片 1" descr="表格&#10;&#10;描述已自动生成"/>
                    <pic:cNvPicPr>
                      <a:picLocks noChangeAspect="1"/>
                    </pic:cNvPicPr>
                  </pic:nvPicPr>
                  <pic:blipFill>
                    <a:blip r:embed="rId230"/>
                    <a:stretch>
                      <a:fillRect/>
                    </a:stretch>
                  </pic:blipFill>
                  <pic:spPr>
                    <a:xfrm>
                      <a:off x="0" y="0"/>
                      <a:ext cx="5278755" cy="6087745"/>
                    </a:xfrm>
                    <a:prstGeom prst="rect">
                      <a:avLst/>
                    </a:prstGeom>
                  </pic:spPr>
                </pic:pic>
              </a:graphicData>
            </a:graphic>
          </wp:inline>
        </w:drawing>
      </w:r>
    </w:p>
    <w:p w14:paraId="6BA49F61">
      <w:pPr>
        <w:pStyle w:val="2"/>
        <w:spacing w:after="0" w:line="240" w:lineRule="auto"/>
        <w:ind w:firstLine="0" w:firstLineChars="0"/>
        <w:jc w:val="center"/>
        <w:rPr>
          <w:rFonts w:hint="eastAsia"/>
        </w:rPr>
      </w:pPr>
    </w:p>
    <w:p w14:paraId="0362AA3A">
      <w:pPr>
        <w:spacing w:line="240" w:lineRule="auto"/>
        <w:ind w:firstLine="0" w:firstLineChars="0"/>
        <w:jc w:val="center"/>
        <w:rPr>
          <w:rFonts w:hint="eastAsia"/>
        </w:rPr>
      </w:pPr>
    </w:p>
    <w:p w14:paraId="212243CF">
      <w:pPr>
        <w:pStyle w:val="2"/>
        <w:spacing w:after="0" w:line="240" w:lineRule="auto"/>
        <w:ind w:firstLine="0" w:firstLineChars="0"/>
        <w:jc w:val="center"/>
        <w:sectPr>
          <w:pgSz w:w="11907" w:h="16840"/>
          <w:pgMar w:top="1440" w:right="1797" w:bottom="1440" w:left="1797" w:header="907" w:footer="907" w:gutter="0"/>
          <w:cols w:space="425" w:num="1"/>
          <w:docGrid w:linePitch="380" w:charSpace="0"/>
        </w:sectPr>
      </w:pPr>
    </w:p>
    <w:p w14:paraId="7B293527">
      <w:pPr>
        <w:pStyle w:val="2"/>
        <w:spacing w:after="0" w:line="240" w:lineRule="auto"/>
        <w:ind w:firstLine="0" w:firstLineChars="0"/>
        <w:jc w:val="center"/>
        <w:rPr>
          <w:rFonts w:hint="eastAsia"/>
        </w:rPr>
      </w:pPr>
      <w:r>
        <w:drawing>
          <wp:inline distT="0" distB="0" distL="0" distR="0">
            <wp:extent cx="8017510" cy="5278755"/>
            <wp:effectExtent l="0" t="0" r="2540" b="17145"/>
            <wp:docPr id="223233469" name="图片 1" descr="表格&#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3469" name="图片 1" descr="表格&#10;&#10;低可信度描述已自动生成"/>
                    <pic:cNvPicPr>
                      <a:picLocks noChangeAspect="1"/>
                    </pic:cNvPicPr>
                  </pic:nvPicPr>
                  <pic:blipFill>
                    <a:blip r:embed="rId231"/>
                    <a:stretch>
                      <a:fillRect/>
                    </a:stretch>
                  </pic:blipFill>
                  <pic:spPr>
                    <a:xfrm>
                      <a:off x="0" y="0"/>
                      <a:ext cx="8017510" cy="5278755"/>
                    </a:xfrm>
                    <a:prstGeom prst="rect">
                      <a:avLst/>
                    </a:prstGeom>
                  </pic:spPr>
                </pic:pic>
              </a:graphicData>
            </a:graphic>
          </wp:inline>
        </w:drawing>
      </w:r>
    </w:p>
    <w:p w14:paraId="76E9214F">
      <w:pPr>
        <w:spacing w:line="240" w:lineRule="auto"/>
        <w:ind w:firstLine="0" w:firstLineChars="0"/>
        <w:jc w:val="center"/>
        <w:rPr>
          <w:rFonts w:hint="eastAsia"/>
        </w:rPr>
      </w:pPr>
      <w:r>
        <w:drawing>
          <wp:inline distT="0" distB="0" distL="0" distR="0">
            <wp:extent cx="8031480" cy="5278755"/>
            <wp:effectExtent l="0" t="0" r="7620" b="17145"/>
            <wp:docPr id="404933483"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33483" name="图片 1" descr="表格&#10;&#10;描述已自动生成"/>
                    <pic:cNvPicPr>
                      <a:picLocks noChangeAspect="1"/>
                    </pic:cNvPicPr>
                  </pic:nvPicPr>
                  <pic:blipFill>
                    <a:blip r:embed="rId232"/>
                    <a:stretch>
                      <a:fillRect/>
                    </a:stretch>
                  </pic:blipFill>
                  <pic:spPr>
                    <a:xfrm>
                      <a:off x="0" y="0"/>
                      <a:ext cx="8031480" cy="5278755"/>
                    </a:xfrm>
                    <a:prstGeom prst="rect">
                      <a:avLst/>
                    </a:prstGeom>
                  </pic:spPr>
                </pic:pic>
              </a:graphicData>
            </a:graphic>
          </wp:inline>
        </w:drawing>
      </w:r>
    </w:p>
    <w:p w14:paraId="68AFD58C">
      <w:pPr>
        <w:pStyle w:val="2"/>
        <w:spacing w:after="0" w:line="240" w:lineRule="auto"/>
        <w:ind w:firstLine="0" w:firstLineChars="0"/>
        <w:jc w:val="center"/>
        <w:rPr>
          <w:rFonts w:hint="eastAsia"/>
        </w:rPr>
      </w:pPr>
      <w:r>
        <w:drawing>
          <wp:inline distT="0" distB="0" distL="0" distR="0">
            <wp:extent cx="8864600" cy="5049520"/>
            <wp:effectExtent l="0" t="0" r="12700" b="17780"/>
            <wp:docPr id="757415386"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15386" name="图片 1" descr="表格&#10;&#10;描述已自动生成"/>
                    <pic:cNvPicPr>
                      <a:picLocks noChangeAspect="1"/>
                    </pic:cNvPicPr>
                  </pic:nvPicPr>
                  <pic:blipFill>
                    <a:blip r:embed="rId233"/>
                    <a:stretch>
                      <a:fillRect/>
                    </a:stretch>
                  </pic:blipFill>
                  <pic:spPr>
                    <a:xfrm>
                      <a:off x="0" y="0"/>
                      <a:ext cx="8864600" cy="5049520"/>
                    </a:xfrm>
                    <a:prstGeom prst="rect">
                      <a:avLst/>
                    </a:prstGeom>
                  </pic:spPr>
                </pic:pic>
              </a:graphicData>
            </a:graphic>
          </wp:inline>
        </w:drawing>
      </w:r>
    </w:p>
    <w:p w14:paraId="3CA053D2">
      <w:pPr>
        <w:pStyle w:val="2"/>
        <w:spacing w:after="0" w:line="240" w:lineRule="auto"/>
        <w:ind w:firstLine="0" w:firstLineChars="0"/>
        <w:jc w:val="center"/>
        <w:rPr>
          <w:rFonts w:hint="eastAsia"/>
        </w:rPr>
      </w:pPr>
    </w:p>
    <w:sectPr>
      <w:pgSz w:w="16840" w:h="11907" w:orient="landscape"/>
      <w:pgMar w:top="1797" w:right="1440" w:bottom="1797" w:left="1440" w:header="907" w:footer="907" w:gutter="0"/>
      <w:cols w:space="425" w:num="1"/>
      <w:docGrid w:linePitch="38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华文行楷">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MS Mincho">
    <w:panose1 w:val="02020609040205080304"/>
    <w:charset w:val="80"/>
    <w:family w:val="modern"/>
    <w:pitch w:val="default"/>
    <w:sig w:usb0="A00002BF" w:usb1="68C7FCFB" w:usb2="00000010" w:usb3="00000000" w:csb0="4002009F" w:csb1="DFD70000"/>
  </w:font>
  <w:font w:name="Songti SC Regular">
    <w:altName w:val="宋体"/>
    <w:panose1 w:val="00000000000000000000"/>
    <w:charset w:val="86"/>
    <w:family w:val="auto"/>
    <w:pitch w:val="default"/>
    <w:sig w:usb0="00000000" w:usb1="00000000" w:usb2="00000000" w:usb3="00000000" w:csb0="00040000" w:csb1="00000000"/>
  </w:font>
  <w:font w:name="方正小标宋简体">
    <w:altName w:val="宋体"/>
    <w:panose1 w:val="00000000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940787"/>
      <w:showingPlcHdr/>
    </w:sdtPr>
    <w:sdtEndPr>
      <w:rPr>
        <w:sz w:val="21"/>
        <w:szCs w:val="21"/>
      </w:rPr>
    </w:sdtEndPr>
    <w:sdtContent>
      <w:p w14:paraId="1D3EF5A7">
        <w:pPr>
          <w:ind w:firstLine="0" w:firstLineChars="0"/>
          <w:jc w:val="center"/>
          <w:rPr>
            <w:sz w:val="21"/>
            <w:szCs w:val="21"/>
          </w:rPr>
        </w:pPr>
        <w: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B7">
    <w:pPr>
      <w:pStyle w:val="28"/>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252</w:t>
    </w:r>
    <w:r>
      <w:rPr>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B8">
    <w:pPr>
      <w:pStyle w:val="28"/>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252</w:t>
    </w:r>
    <w:r>
      <w:rPr>
        <w:sz w:val="21"/>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B9">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344</w:t>
    </w:r>
    <w:r>
      <w:rPr>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3496726"/>
    </w:sdtPr>
    <w:sdtContent>
      <w:p w14:paraId="1D3EF5BD">
        <w:pPr>
          <w:pStyle w:val="28"/>
          <w:jc w:val="center"/>
        </w:pPr>
        <w:r>
          <w:fldChar w:fldCharType="begin"/>
        </w:r>
        <w:r>
          <w:instrText xml:space="preserve">PAGE   \* MERGEFORMAT</w:instrText>
        </w:r>
        <w:r>
          <w:fldChar w:fldCharType="separate"/>
        </w:r>
        <w:r>
          <w:rPr>
            <w:lang w:val="zh-CN"/>
          </w:rPr>
          <w:t>2</w:t>
        </w:r>
        <w:r>
          <w:fldChar w:fldCharType="end"/>
        </w:r>
      </w:p>
    </w:sdtContent>
  </w:sdt>
  <w:p w14:paraId="1D3EF5BE">
    <w:pPr>
      <w:tabs>
        <w:tab w:val="center" w:pos="7160"/>
        <w:tab w:val="left" w:pos="9300"/>
      </w:tabs>
      <w:spacing w:before="24"/>
      <w:ind w:firstLine="360"/>
      <w:jc w:val="left"/>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BC">
    <w:pPr>
      <w:pStyle w:val="2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C0">
    <w:pPr>
      <w:pStyle w:val="2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3064856"/>
    </w:sdtPr>
    <w:sdtContent>
      <w:p w14:paraId="79C3D843">
        <w:pPr>
          <w:pStyle w:val="28"/>
          <w:jc w:val="center"/>
        </w:pPr>
      </w:p>
    </w:sdtContent>
  </w:sdt>
  <w:p w14:paraId="694C6B9D">
    <w:pPr>
      <w:tabs>
        <w:tab w:val="center" w:pos="7160"/>
        <w:tab w:val="left" w:pos="9300"/>
      </w:tabs>
      <w:spacing w:before="24"/>
      <w:ind w:firstLine="360"/>
      <w:jc w:val="lef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6">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9">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7444204"/>
    </w:sdtPr>
    <w:sdtEndPr>
      <w:rPr>
        <w:sz w:val="21"/>
        <w:szCs w:val="21"/>
      </w:rPr>
    </w:sdtEndPr>
    <w:sdtContent>
      <w:p w14:paraId="250FAE99">
        <w:pPr>
          <w:ind w:firstLine="0" w:firstLineChars="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D">
    <w:pPr>
      <w:ind w:firstLine="360"/>
      <w:jc w:val="center"/>
      <w:rPr>
        <w:sz w:val="21"/>
        <w:szCs w:val="16"/>
      </w:rPr>
    </w:pPr>
    <w:r>
      <w:rPr>
        <w:sz w:val="18"/>
        <w:szCs w:val="18"/>
      </w:rPr>
      <w:fldChar w:fldCharType="begin"/>
    </w:r>
    <w:r>
      <w:rPr>
        <w:sz w:val="18"/>
        <w:szCs w:val="18"/>
      </w:rPr>
      <w:instrText xml:space="preserve">PAGE  </w:instrText>
    </w:r>
    <w:r>
      <w:rPr>
        <w:sz w:val="18"/>
        <w:szCs w:val="18"/>
      </w:rPr>
      <w:fldChar w:fldCharType="separate"/>
    </w:r>
    <w:r>
      <w:rPr>
        <w:sz w:val="18"/>
        <w:szCs w:val="18"/>
      </w:rPr>
      <w:t>61</w:t>
    </w:r>
    <w:r>
      <w:rPr>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B">
    <w:pPr>
      <w:framePr w:wrap="around" w:vAnchor="text" w:hAnchor="margin" w:xAlign="center" w:y="1"/>
      <w:ind w:firstLine="480"/>
    </w:pPr>
    <w:r>
      <w:fldChar w:fldCharType="begin"/>
    </w:r>
    <w:r>
      <w:instrText xml:space="preserve">PAGE  </w:instrText>
    </w:r>
    <w:r>
      <w:fldChar w:fldCharType="separate"/>
    </w:r>
    <w:r>
      <w:t>2-47</w:t>
    </w:r>
    <w:r>
      <w:fldChar w:fldCharType="end"/>
    </w:r>
  </w:p>
  <w:p w14:paraId="1D3EF5AC">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F">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072948"/>
    </w:sdtPr>
    <w:sdtContent>
      <w:p w14:paraId="1D3EF5B0">
        <w:pPr>
          <w:pStyle w:val="28"/>
          <w:ind w:firstLine="480"/>
          <w:jc w:val="center"/>
        </w:pPr>
        <w:r>
          <w:fldChar w:fldCharType="begin"/>
        </w:r>
        <w:r>
          <w:instrText xml:space="preserve"> PAGE   \* MERGEFORMAT </w:instrText>
        </w:r>
        <w:r>
          <w:fldChar w:fldCharType="separate"/>
        </w:r>
        <w:r>
          <w:rPr>
            <w:lang w:val="zh-CN"/>
          </w:rPr>
          <w:t>370</w:t>
        </w:r>
        <w:r>
          <w:rPr>
            <w:lang w:val="zh-C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DD859">
    <w:pPr>
      <w:pStyle w:val="28"/>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252</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4">
    <w:pPr>
      <w:pStyle w:val="29"/>
    </w:pPr>
    <w:r>
      <w:rPr>
        <w:rFonts w:hint="eastAsia"/>
      </w:rPr>
      <w:t>河南欣姣芬化工有限公司</w:t>
    </w:r>
    <w:r>
      <w:rPr>
        <w:rFonts w:hint="eastAsia"/>
        <w:bCs/>
      </w:rPr>
      <w:t>年产10000吨聚醚改性硅油、1000吨色浆项目</w:t>
    </w:r>
    <w:r>
      <w:rPr>
        <w:rFonts w:hint="eastAsia"/>
      </w:rPr>
      <w:t>环境影响报告书</w:t>
    </w:r>
  </w:p>
  <w:p w14:paraId="1D3EF5A5">
    <w:pPr>
      <w:pStyle w:val="29"/>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C4B76">
    <w:pPr>
      <w:pStyle w:val="29"/>
    </w:pPr>
    <w:r>
      <w:rPr>
        <w:rFonts w:hint="eastAsia"/>
      </w:rPr>
      <w:t>河南欣姣芬化工有限公司</w:t>
    </w:r>
    <w:r>
      <w:rPr>
        <w:rFonts w:hint="eastAsia"/>
        <w:bCs/>
      </w:rPr>
      <w:t>年产10000吨聚醚改性硅油、1000吨色浆项目</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3">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8">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A">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AE">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BB">
    <w:pPr>
      <w:pStyle w:val="29"/>
    </w:pPr>
    <w:r>
      <w:rPr>
        <w:rFonts w:hint="eastAsia"/>
      </w:rPr>
      <w:t>河南欣姣芬化工有限公司</w:t>
    </w:r>
    <w:r>
      <w:rPr>
        <w:rFonts w:hint="eastAsia"/>
        <w:bCs/>
      </w:rPr>
      <w:t>年产10000吨聚醚改性硅油、1000吨色浆项目</w:t>
    </w:r>
    <w:r>
      <w:rPr>
        <w:rFonts w:hint="eastAsia"/>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BA">
    <w:pPr>
      <w:pStyle w:val="2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BF">
    <w:pPr>
      <w:pStyle w:val="2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5C1">
    <w:pPr>
      <w:pStyle w:val="29"/>
    </w:pPr>
    <w:r>
      <w:rPr>
        <w:rFonts w:hint="eastAsia"/>
      </w:rPr>
      <w:t>河南欣姣芬化工有限公司</w:t>
    </w:r>
    <w:r>
      <w:rPr>
        <w:rFonts w:hint="eastAsia"/>
        <w:bCs/>
      </w:rPr>
      <w:t>年产10000吨聚醚改性硅油、1000吨色浆项目</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B2840"/>
    <w:multiLevelType w:val="multilevel"/>
    <w:tmpl w:val="029B2840"/>
    <w:lvl w:ilvl="0" w:tentative="0">
      <w:start w:val="1"/>
      <w:numFmt w:val="decimal"/>
      <w:lvlText w:val="图4.1-%1"/>
      <w:lvlJc w:val="left"/>
      <w:pPr>
        <w:ind w:left="88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43C1612"/>
    <w:multiLevelType w:val="multilevel"/>
    <w:tmpl w:val="043C1612"/>
    <w:lvl w:ilvl="0" w:tentative="0">
      <w:start w:val="1"/>
      <w:numFmt w:val="decimal"/>
      <w:lvlText w:val="表2-%1"/>
      <w:lvlJc w:val="left"/>
      <w:pPr>
        <w:ind w:left="1880" w:hanging="440"/>
      </w:pPr>
      <w:rPr>
        <w:rFonts w:hint="eastAsia"/>
      </w:rPr>
    </w:lvl>
    <w:lvl w:ilvl="1" w:tentative="0">
      <w:start w:val="1"/>
      <w:numFmt w:val="decimal"/>
      <w:lvlText w:val="表2.9-%2"/>
      <w:lvlJc w:val="left"/>
      <w:pPr>
        <w:ind w:left="880" w:hanging="44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54A12D9"/>
    <w:multiLevelType w:val="multilevel"/>
    <w:tmpl w:val="054A12D9"/>
    <w:lvl w:ilvl="0" w:tentative="0">
      <w:start w:val="1"/>
      <w:numFmt w:val="decimal"/>
      <w:lvlText w:val="表7.2-%1"/>
      <w:lvlJc w:val="left"/>
      <w:pPr>
        <w:ind w:left="2200" w:hanging="44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表7.2-%5"/>
      <w:lvlJc w:val="left"/>
      <w:pPr>
        <w:ind w:left="2200" w:hanging="440"/>
      </w:pPr>
      <w:rPr>
        <w:rFonts w:hint="eastAsia"/>
        <w:b w:val="0"/>
        <w:bCs w:val="0"/>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6F45DA6"/>
    <w:multiLevelType w:val="multilevel"/>
    <w:tmpl w:val="06F45DA6"/>
    <w:lvl w:ilvl="0" w:tentative="0">
      <w:start w:val="1"/>
      <w:numFmt w:val="decimal"/>
      <w:suff w:val="space"/>
      <w:lvlText w:val="第 %1 章 "/>
      <w:lvlJc w:val="left"/>
      <w:pPr>
        <w:ind w:left="0" w:firstLine="0"/>
      </w:pPr>
      <w:rPr>
        <w:rFonts w:hint="eastAsia"/>
      </w:rPr>
    </w:lvl>
    <w:lvl w:ilvl="1" w:tentative="0">
      <w:start w:val="3"/>
      <w:numFmt w:val="decimal"/>
      <w:suff w:val="space"/>
      <w:lvlText w:val="%1.%2"/>
      <w:lvlJc w:val="left"/>
      <w:pPr>
        <w:ind w:left="0" w:firstLine="0"/>
      </w:pPr>
      <w:rPr>
        <w:rFonts w:hint="eastAsia"/>
      </w:rPr>
    </w:lvl>
    <w:lvl w:ilvl="2" w:tentative="0">
      <w:start w:val="2"/>
      <w:numFmt w:val="decimal"/>
      <w:suff w:val="space"/>
      <w:lvlText w:val="%1.%2.%3"/>
      <w:lvlJc w:val="left"/>
      <w:pPr>
        <w:ind w:left="284" w:firstLine="0"/>
      </w:pPr>
      <w:rPr>
        <w:rFonts w:hint="eastAsia"/>
      </w:rPr>
    </w:lvl>
    <w:lvl w:ilvl="3" w:tentative="0">
      <w:start w:val="1"/>
      <w:numFmt w:val="decimal"/>
      <w:suff w:val="space"/>
      <w:lvlText w:val="%1.%2.%3.%4"/>
      <w:lvlJc w:val="left"/>
      <w:pPr>
        <w:ind w:left="567" w:firstLine="0"/>
      </w:pPr>
      <w:rPr>
        <w:rFonts w:hint="eastAsia"/>
      </w:rPr>
    </w:lvl>
    <w:lvl w:ilvl="4" w:tentative="0">
      <w:start w:val="1"/>
      <w:numFmt w:val="chineseCountingThousand"/>
      <w:suff w:val="nothing"/>
      <w:lvlText w:val="%5、"/>
      <w:lvlJc w:val="left"/>
      <w:pPr>
        <w:ind w:left="680" w:hanging="113"/>
      </w:pPr>
      <w:rPr>
        <w:rFonts w:hint="eastAsia"/>
      </w:rPr>
    </w:lvl>
    <w:lvl w:ilvl="5" w:tentative="0">
      <w:start w:val="1"/>
      <w:numFmt w:val="none"/>
      <w:suff w:val="nothing"/>
      <w:lvlText w:val=""/>
      <w:lvlJc w:val="left"/>
      <w:pPr>
        <w:ind w:left="0" w:firstLine="454"/>
      </w:pPr>
      <w:rPr>
        <w:rFonts w:hint="eastAsia"/>
      </w:rPr>
    </w:lvl>
    <w:lvl w:ilvl="6" w:tentative="0">
      <w:start w:val="1"/>
      <w:numFmt w:val="decimal"/>
      <w:pStyle w:val="9"/>
      <w:suff w:val="space"/>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8FD0D0B"/>
    <w:multiLevelType w:val="multilevel"/>
    <w:tmpl w:val="08FD0D0B"/>
    <w:lvl w:ilvl="0" w:tentative="0">
      <w:start w:val="1"/>
      <w:numFmt w:val="decimal"/>
      <w:lvlText w:val="表3.3-%1"/>
      <w:lvlJc w:val="left"/>
      <w:pPr>
        <w:ind w:left="2600" w:hanging="440"/>
      </w:pPr>
      <w:rPr>
        <w:rFonts w:hint="eastAsia"/>
        <w:b w:val="0"/>
        <w:bCs w:val="0"/>
      </w:rPr>
    </w:lvl>
    <w:lvl w:ilvl="1" w:tentative="0">
      <w:start w:val="1"/>
      <w:numFmt w:val="lowerLetter"/>
      <w:lvlText w:val="%2)"/>
      <w:lvlJc w:val="left"/>
      <w:pPr>
        <w:ind w:left="3040" w:hanging="440"/>
      </w:pPr>
    </w:lvl>
    <w:lvl w:ilvl="2" w:tentative="0">
      <w:start w:val="1"/>
      <w:numFmt w:val="lowerRoman"/>
      <w:lvlText w:val="%3."/>
      <w:lvlJc w:val="right"/>
      <w:pPr>
        <w:ind w:left="3480" w:hanging="440"/>
      </w:pPr>
    </w:lvl>
    <w:lvl w:ilvl="3" w:tentative="0">
      <w:start w:val="1"/>
      <w:numFmt w:val="decimal"/>
      <w:lvlText w:val="%4."/>
      <w:lvlJc w:val="left"/>
      <w:pPr>
        <w:ind w:left="3920" w:hanging="440"/>
      </w:pPr>
    </w:lvl>
    <w:lvl w:ilvl="4" w:tentative="0">
      <w:start w:val="1"/>
      <w:numFmt w:val="lowerLetter"/>
      <w:lvlText w:val="%5)"/>
      <w:lvlJc w:val="left"/>
      <w:pPr>
        <w:ind w:left="4360" w:hanging="440"/>
      </w:pPr>
    </w:lvl>
    <w:lvl w:ilvl="5" w:tentative="0">
      <w:start w:val="1"/>
      <w:numFmt w:val="lowerRoman"/>
      <w:lvlText w:val="%6."/>
      <w:lvlJc w:val="right"/>
      <w:pPr>
        <w:ind w:left="4800" w:hanging="440"/>
      </w:pPr>
    </w:lvl>
    <w:lvl w:ilvl="6" w:tentative="0">
      <w:start w:val="1"/>
      <w:numFmt w:val="decimal"/>
      <w:lvlText w:val="%7."/>
      <w:lvlJc w:val="left"/>
      <w:pPr>
        <w:ind w:left="5240" w:hanging="440"/>
      </w:pPr>
    </w:lvl>
    <w:lvl w:ilvl="7" w:tentative="0">
      <w:start w:val="1"/>
      <w:numFmt w:val="lowerLetter"/>
      <w:lvlText w:val="%8)"/>
      <w:lvlJc w:val="left"/>
      <w:pPr>
        <w:ind w:left="5680" w:hanging="440"/>
      </w:pPr>
    </w:lvl>
    <w:lvl w:ilvl="8" w:tentative="0">
      <w:start w:val="1"/>
      <w:numFmt w:val="lowerRoman"/>
      <w:lvlText w:val="%9."/>
      <w:lvlJc w:val="right"/>
      <w:pPr>
        <w:ind w:left="6120" w:hanging="440"/>
      </w:pPr>
    </w:lvl>
  </w:abstractNum>
  <w:abstractNum w:abstractNumId="5">
    <w:nsid w:val="0DDB4BFF"/>
    <w:multiLevelType w:val="multilevel"/>
    <w:tmpl w:val="0DDB4BFF"/>
    <w:lvl w:ilvl="0" w:tentative="0">
      <w:start w:val="1"/>
      <w:numFmt w:val="decimal"/>
      <w:lvlText w:val="表2.10-%1"/>
      <w:lvlJc w:val="left"/>
      <w:pPr>
        <w:ind w:left="88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E3F28A5"/>
    <w:multiLevelType w:val="multilevel"/>
    <w:tmpl w:val="0E3F28A5"/>
    <w:lvl w:ilvl="0" w:tentative="0">
      <w:start w:val="1"/>
      <w:numFmt w:val="decimal"/>
      <w:lvlText w:val="表2.3-%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7">
    <w:nsid w:val="0F2E1043"/>
    <w:multiLevelType w:val="multilevel"/>
    <w:tmpl w:val="0F2E1043"/>
    <w:lvl w:ilvl="0" w:tentative="0">
      <w:start w:val="1"/>
      <w:numFmt w:val="decimal"/>
      <w:lvlText w:val="图5.3-%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0F613DFA"/>
    <w:multiLevelType w:val="multilevel"/>
    <w:tmpl w:val="0F613DFA"/>
    <w:lvl w:ilvl="0" w:tentative="0">
      <w:start w:val="1"/>
      <w:numFmt w:val="decimal"/>
      <w:lvlText w:val="图2.10-%1"/>
      <w:lvlJc w:val="left"/>
      <w:pPr>
        <w:ind w:left="880" w:hanging="440"/>
      </w:pPr>
      <w:rPr>
        <w:rFonts w:hint="eastAsia"/>
        <w:b w:val="0"/>
        <w:bCs w:val="0"/>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127662EA"/>
    <w:multiLevelType w:val="multilevel"/>
    <w:tmpl w:val="127662EA"/>
    <w:lvl w:ilvl="0" w:tentative="0">
      <w:start w:val="1"/>
      <w:numFmt w:val="decimal"/>
      <w:lvlText w:val="表5.7-%1"/>
      <w:lvlJc w:val="left"/>
      <w:pPr>
        <w:ind w:left="922"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decimal"/>
      <w:lvlText w:val="表6.3-%8"/>
      <w:lvlJc w:val="left"/>
      <w:pPr>
        <w:ind w:left="3520" w:hanging="440"/>
      </w:pPr>
      <w:rPr>
        <w:rFonts w:hint="eastAsia"/>
      </w:rPr>
    </w:lvl>
    <w:lvl w:ilvl="8" w:tentative="0">
      <w:start w:val="1"/>
      <w:numFmt w:val="lowerRoman"/>
      <w:lvlText w:val="%9."/>
      <w:lvlJc w:val="right"/>
      <w:pPr>
        <w:ind w:left="3960" w:hanging="440"/>
      </w:pPr>
    </w:lvl>
  </w:abstractNum>
  <w:abstractNum w:abstractNumId="10">
    <w:nsid w:val="147E5F0C"/>
    <w:multiLevelType w:val="multilevel"/>
    <w:tmpl w:val="147E5F0C"/>
    <w:lvl w:ilvl="0" w:tentative="0">
      <w:start w:val="1"/>
      <w:numFmt w:val="decimal"/>
      <w:lvlText w:val="图2.9-%1"/>
      <w:lvlJc w:val="left"/>
      <w:pPr>
        <w:ind w:left="88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14860AF9"/>
    <w:multiLevelType w:val="multilevel"/>
    <w:tmpl w:val="14860AF9"/>
    <w:lvl w:ilvl="0" w:tentative="0">
      <w:start w:val="1"/>
      <w:numFmt w:val="decimal"/>
      <w:lvlText w:val="表3.1-%1"/>
      <w:lvlJc w:val="left"/>
      <w:pPr>
        <w:ind w:left="681"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148F6FB0"/>
    <w:multiLevelType w:val="multilevel"/>
    <w:tmpl w:val="148F6FB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3.%2.8.%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14F708D6"/>
    <w:multiLevelType w:val="multilevel"/>
    <w:tmpl w:val="14F708D6"/>
    <w:lvl w:ilvl="0" w:tentative="0">
      <w:start w:val="1"/>
      <w:numFmt w:val="decimal"/>
      <w:lvlText w:val="表5.3-%1"/>
      <w:lvlJc w:val="left"/>
      <w:pPr>
        <w:ind w:left="92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19D24F3D"/>
    <w:multiLevelType w:val="multilevel"/>
    <w:tmpl w:val="19D24F3D"/>
    <w:lvl w:ilvl="0" w:tentative="0">
      <w:start w:val="1"/>
      <w:numFmt w:val="decimal"/>
      <w:lvlText w:val="图6.6-%1"/>
      <w:lvlJc w:val="left"/>
      <w:pPr>
        <w:ind w:left="220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1CD72C33"/>
    <w:multiLevelType w:val="multilevel"/>
    <w:tmpl w:val="1CD72C33"/>
    <w:lvl w:ilvl="0" w:tentative="0">
      <w:start w:val="1"/>
      <w:numFmt w:val="decimal"/>
      <w:lvlText w:val="表3.2-%1"/>
      <w:lvlJc w:val="left"/>
      <w:pPr>
        <w:ind w:left="2682"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表3.2-%5"/>
      <w:lvlJc w:val="left"/>
      <w:pPr>
        <w:ind w:left="2200" w:hanging="440"/>
      </w:pPr>
      <w:rPr>
        <w:rFonts w:hint="eastAsia"/>
        <w:b w:val="0"/>
        <w:bCs w:val="0"/>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1E3E7493"/>
    <w:multiLevelType w:val="multilevel"/>
    <w:tmpl w:val="1E3E7493"/>
    <w:lvl w:ilvl="0" w:tentative="0">
      <w:start w:val="1"/>
      <w:numFmt w:val="decimal"/>
      <w:lvlText w:val="图2.10-%1"/>
      <w:lvlJc w:val="left"/>
      <w:pPr>
        <w:ind w:left="880" w:hanging="440"/>
      </w:pPr>
      <w:rPr>
        <w:rFonts w:hint="eastAsia"/>
        <w:b w:val="0"/>
        <w:bCs w:val="0"/>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1F2F7D7A"/>
    <w:multiLevelType w:val="multilevel"/>
    <w:tmpl w:val="1F2F7D7A"/>
    <w:lvl w:ilvl="0" w:tentative="0">
      <w:start w:val="1"/>
      <w:numFmt w:val="decimal"/>
      <w:lvlText w:val="表5.3-%1"/>
      <w:lvlJc w:val="left"/>
      <w:pPr>
        <w:ind w:left="92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23786579"/>
    <w:multiLevelType w:val="multilevel"/>
    <w:tmpl w:val="23786579"/>
    <w:lvl w:ilvl="0" w:tentative="0">
      <w:start w:val="1"/>
      <w:numFmt w:val="decimal"/>
      <w:lvlText w:val="表6.7-%1."/>
      <w:lvlJc w:val="left"/>
      <w:pPr>
        <w:ind w:left="396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表6.7-%5"/>
      <w:lvlJc w:val="left"/>
      <w:pPr>
        <w:ind w:left="2200" w:hanging="440"/>
      </w:pPr>
      <w:rPr>
        <w:rFonts w:hint="eastAsia"/>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24063D5C"/>
    <w:multiLevelType w:val="multilevel"/>
    <w:tmpl w:val="24063D5C"/>
    <w:lvl w:ilvl="0" w:tentative="0">
      <w:start w:val="1"/>
      <w:numFmt w:val="decimal"/>
      <w:lvlText w:val="图5.1-%1"/>
      <w:lvlJc w:val="left"/>
      <w:pPr>
        <w:ind w:left="132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26B65FB0"/>
    <w:multiLevelType w:val="multilevel"/>
    <w:tmpl w:val="26B65FB0"/>
    <w:lvl w:ilvl="0" w:tentative="0">
      <w:start w:val="1"/>
      <w:numFmt w:val="decimal"/>
      <w:lvlText w:val="表6.3-%1"/>
      <w:lvlJc w:val="left"/>
      <w:pPr>
        <w:ind w:left="2200" w:hanging="44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表7.3-%5"/>
      <w:lvlJc w:val="left"/>
      <w:pPr>
        <w:ind w:left="2200" w:hanging="440"/>
      </w:pPr>
      <w:rPr>
        <w:rFonts w:hint="eastAsia"/>
        <w:b w:val="0"/>
        <w:bCs w:val="0"/>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27F81ED0"/>
    <w:multiLevelType w:val="multilevel"/>
    <w:tmpl w:val="27F81ED0"/>
    <w:lvl w:ilvl="0" w:tentative="0">
      <w:start w:val="1"/>
      <w:numFmt w:val="decimal"/>
      <w:lvlText w:val="表7.2-%1"/>
      <w:lvlJc w:val="left"/>
      <w:pPr>
        <w:ind w:left="2200" w:hanging="440"/>
      </w:pPr>
      <w:rPr>
        <w:rFonts w:hint="eastAsia"/>
        <w:b w:val="0"/>
        <w:bCs w:val="0"/>
      </w:rPr>
    </w:lvl>
    <w:lvl w:ilvl="1" w:tentative="0">
      <w:start w:val="1"/>
      <w:numFmt w:val="lowerLetter"/>
      <w:lvlText w:val="%2)"/>
      <w:lvlJc w:val="left"/>
      <w:pPr>
        <w:ind w:left="880" w:hanging="440"/>
      </w:pPr>
    </w:lvl>
    <w:lvl w:ilvl="2" w:tentative="0">
      <w:start w:val="1"/>
      <w:numFmt w:val="decimal"/>
      <w:lvlText w:val="表7.2-%3"/>
      <w:lvlJc w:val="left"/>
      <w:pPr>
        <w:ind w:left="1320" w:hanging="440"/>
      </w:pPr>
      <w:rPr>
        <w:rFonts w:hint="eastAsia"/>
        <w:b w:val="0"/>
        <w:bCs w:val="0"/>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293B030D"/>
    <w:multiLevelType w:val="multilevel"/>
    <w:tmpl w:val="293B030D"/>
    <w:lvl w:ilvl="0" w:tentative="0">
      <w:start w:val="1"/>
      <w:numFmt w:val="decimal"/>
      <w:lvlText w:val="图6.8-%1"/>
      <w:lvlJc w:val="left"/>
      <w:pPr>
        <w:ind w:left="2200" w:hanging="440"/>
      </w:pPr>
      <w:rPr>
        <w:rFonts w:hint="eastAsia"/>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图6.8-%5"/>
      <w:lvlJc w:val="left"/>
      <w:pPr>
        <w:ind w:left="2200" w:hanging="440"/>
      </w:pPr>
      <w:rPr>
        <w:rFonts w:hint="eastAsia"/>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29D34690"/>
    <w:multiLevelType w:val="multilevel"/>
    <w:tmpl w:val="29D34690"/>
    <w:lvl w:ilvl="0" w:tentative="0">
      <w:start w:val="1"/>
      <w:numFmt w:val="decimal"/>
      <w:lvlText w:val="表3.2-%1"/>
      <w:lvlJc w:val="left"/>
      <w:pPr>
        <w:ind w:left="2682"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表7.2-%5"/>
      <w:lvlJc w:val="left"/>
      <w:pPr>
        <w:ind w:left="2200" w:hanging="440"/>
      </w:pPr>
      <w:rPr>
        <w:rFonts w:hint="default" w:ascii="Times New Roman" w:hAnsi="Times New Roman" w:eastAsia="黑体" w:cs="Times New Roman"/>
        <w:b w:val="0"/>
        <w:bCs w:val="0"/>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29EF69E5"/>
    <w:multiLevelType w:val="multilevel"/>
    <w:tmpl w:val="29EF69E5"/>
    <w:lvl w:ilvl="0" w:tentative="0">
      <w:start w:val="1"/>
      <w:numFmt w:val="decimal"/>
      <w:lvlText w:val="表4.3-%1"/>
      <w:lvlJc w:val="left"/>
      <w:pPr>
        <w:ind w:left="88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2A967554"/>
    <w:multiLevelType w:val="multilevel"/>
    <w:tmpl w:val="2A967554"/>
    <w:lvl w:ilvl="0" w:tentative="0">
      <w:start w:val="1"/>
      <w:numFmt w:val="decimal"/>
      <w:lvlText w:val="表6.8-%1"/>
      <w:lvlJc w:val="left"/>
      <w:pPr>
        <w:ind w:left="220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表6.8-%5"/>
      <w:lvlJc w:val="left"/>
      <w:pPr>
        <w:ind w:left="2200" w:hanging="440"/>
      </w:pPr>
      <w:rPr>
        <w:rFonts w:hint="eastAsia"/>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2D38027F"/>
    <w:multiLevelType w:val="multilevel"/>
    <w:tmpl w:val="2D38027F"/>
    <w:lvl w:ilvl="0" w:tentative="0">
      <w:start w:val="1"/>
      <w:numFmt w:val="decimal"/>
      <w:lvlText w:val="表8.2-%1"/>
      <w:lvlJc w:val="left"/>
      <w:pPr>
        <w:ind w:left="2200" w:hanging="440"/>
      </w:pPr>
      <w:rPr>
        <w:rFonts w:hint="eastAsia"/>
        <w:b w:val="0"/>
        <w:bCs w:val="0"/>
      </w:rPr>
    </w:lvl>
    <w:lvl w:ilvl="1" w:tentative="0">
      <w:start w:val="1"/>
      <w:numFmt w:val="lowerLetter"/>
      <w:lvlText w:val="%2)"/>
      <w:lvlJc w:val="left"/>
      <w:pPr>
        <w:ind w:left="880" w:hanging="440"/>
      </w:pPr>
    </w:lvl>
    <w:lvl w:ilvl="2" w:tentative="0">
      <w:start w:val="1"/>
      <w:numFmt w:val="decimal"/>
      <w:lvlText w:val="表9.2-%3"/>
      <w:lvlJc w:val="left"/>
      <w:pPr>
        <w:ind w:left="1320" w:hanging="440"/>
      </w:pPr>
      <w:rPr>
        <w:rFonts w:hint="eastAsia"/>
        <w:b w:val="0"/>
        <w:bCs w:val="0"/>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31013A9F"/>
    <w:multiLevelType w:val="multilevel"/>
    <w:tmpl w:val="31013A9F"/>
    <w:lvl w:ilvl="0" w:tentative="0">
      <w:start w:val="1"/>
      <w:numFmt w:val="decimal"/>
      <w:lvlText w:val="表2.5-%1"/>
      <w:lvlJc w:val="left"/>
      <w:pPr>
        <w:ind w:left="1603" w:hanging="440"/>
      </w:pPr>
      <w:rPr>
        <w:rFonts w:hint="eastAsia"/>
      </w:rPr>
    </w:lvl>
    <w:lvl w:ilvl="1" w:tentative="0">
      <w:start w:val="1"/>
      <w:numFmt w:val="lowerLetter"/>
      <w:lvlText w:val="%2)"/>
      <w:lvlJc w:val="left"/>
      <w:pPr>
        <w:ind w:left="880" w:hanging="440"/>
      </w:pPr>
    </w:lvl>
    <w:lvl w:ilvl="2" w:tentative="0">
      <w:start w:val="1"/>
      <w:numFmt w:val="decimal"/>
      <w:lvlText w:val="表2.5-%3"/>
      <w:lvlJc w:val="left"/>
      <w:pPr>
        <w:ind w:left="920" w:hanging="440"/>
      </w:pPr>
      <w:rPr>
        <w:rFonts w:hint="eastAsia"/>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33947138"/>
    <w:multiLevelType w:val="multilevel"/>
    <w:tmpl w:val="33947138"/>
    <w:lvl w:ilvl="0" w:tentative="0">
      <w:start w:val="1"/>
      <w:numFmt w:val="decimal"/>
      <w:lvlText w:val="图6.7-%1."/>
      <w:lvlJc w:val="left"/>
      <w:pPr>
        <w:ind w:left="2881"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decimal"/>
      <w:lvlText w:val="图6.7-%9."/>
      <w:lvlJc w:val="left"/>
      <w:pPr>
        <w:ind w:left="3960" w:hanging="440"/>
      </w:pPr>
      <w:rPr>
        <w:rFonts w:hint="eastAsia"/>
      </w:rPr>
    </w:lvl>
  </w:abstractNum>
  <w:abstractNum w:abstractNumId="29">
    <w:nsid w:val="38096398"/>
    <w:multiLevelType w:val="multilevel"/>
    <w:tmpl w:val="3809639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3.%2.8.2"/>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38D46DC0"/>
    <w:multiLevelType w:val="multilevel"/>
    <w:tmpl w:val="38D46DC0"/>
    <w:lvl w:ilvl="0" w:tentative="0">
      <w:start w:val="1"/>
      <w:numFmt w:val="decimal"/>
      <w:lvlText w:val="图6.2-%1"/>
      <w:lvlJc w:val="left"/>
      <w:pPr>
        <w:ind w:left="3275" w:hanging="440"/>
      </w:pPr>
      <w:rPr>
        <w:rFonts w:hint="eastAsia"/>
        <w:b/>
        <w:bCs/>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31">
    <w:nsid w:val="3F445DA2"/>
    <w:multiLevelType w:val="multilevel"/>
    <w:tmpl w:val="3F445DA2"/>
    <w:lvl w:ilvl="0" w:tentative="0">
      <w:start w:val="1"/>
      <w:numFmt w:val="decimal"/>
      <w:lvlText w:val="6.2.%1"/>
      <w:lvlJc w:val="left"/>
      <w:pPr>
        <w:ind w:left="724"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416C0A90"/>
    <w:multiLevelType w:val="multilevel"/>
    <w:tmpl w:val="416C0A90"/>
    <w:lvl w:ilvl="0" w:tentative="0">
      <w:start w:val="1"/>
      <w:numFmt w:val="decimal"/>
      <w:lvlText w:val="图6.1-%1"/>
      <w:lvlJc w:val="left"/>
      <w:pPr>
        <w:ind w:left="922" w:hanging="440"/>
      </w:pPr>
      <w:rPr>
        <w:rFonts w:hint="eastAsia"/>
        <w:b/>
        <w:bCs/>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33">
    <w:nsid w:val="4318385F"/>
    <w:multiLevelType w:val="multilevel"/>
    <w:tmpl w:val="4318385F"/>
    <w:lvl w:ilvl="0" w:tentative="0">
      <w:start w:val="1"/>
      <w:numFmt w:val="decimal"/>
      <w:lvlText w:val="表2.4-%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4">
    <w:nsid w:val="4895333C"/>
    <w:multiLevelType w:val="multilevel"/>
    <w:tmpl w:val="4895333C"/>
    <w:lvl w:ilvl="0" w:tentative="0">
      <w:start w:val="1"/>
      <w:numFmt w:val="decimal"/>
      <w:lvlText w:val="图4.3-%1"/>
      <w:lvlJc w:val="left"/>
      <w:pPr>
        <w:ind w:left="88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图4.3-%5"/>
      <w:lvlJc w:val="left"/>
      <w:pPr>
        <w:ind w:left="2200" w:hanging="440"/>
      </w:pPr>
      <w:rPr>
        <w:rFonts w:hint="eastAsia"/>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4C24408A"/>
    <w:multiLevelType w:val="multilevel"/>
    <w:tmpl w:val="4C24408A"/>
    <w:lvl w:ilvl="0" w:tentative="0">
      <w:start w:val="1"/>
      <w:numFmt w:val="decimal"/>
      <w:lvlText w:val="表5.4-%1."/>
      <w:lvlJc w:val="left"/>
      <w:pPr>
        <w:ind w:left="921" w:hanging="440"/>
      </w:pPr>
      <w:rPr>
        <w:rFonts w:hint="eastAsia"/>
      </w:rPr>
    </w:lvl>
    <w:lvl w:ilvl="1" w:tentative="0">
      <w:start w:val="1"/>
      <w:numFmt w:val="lowerLetter"/>
      <w:lvlText w:val="%2)"/>
      <w:lvlJc w:val="left"/>
      <w:pPr>
        <w:ind w:left="880" w:hanging="440"/>
      </w:pPr>
    </w:lvl>
    <w:lvl w:ilvl="2" w:tentative="0">
      <w:start w:val="1"/>
      <w:numFmt w:val="decimal"/>
      <w:lvlText w:val="表5.4-%3"/>
      <w:lvlJc w:val="left"/>
      <w:pPr>
        <w:ind w:left="1433" w:hanging="440"/>
      </w:pPr>
      <w:rPr>
        <w:rFonts w:hint="eastAsia"/>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51671598"/>
    <w:multiLevelType w:val="multilevel"/>
    <w:tmpl w:val="51671598"/>
    <w:lvl w:ilvl="0" w:tentative="0">
      <w:start w:val="1"/>
      <w:numFmt w:val="decimal"/>
      <w:lvlText w:val="6.3.%1"/>
      <w:lvlJc w:val="left"/>
      <w:pPr>
        <w:ind w:left="1291" w:hanging="440"/>
      </w:pPr>
      <w:rPr>
        <w:rFonts w:hint="eastAsia"/>
      </w:rPr>
    </w:lvl>
    <w:lvl w:ilvl="1" w:tentative="0">
      <w:start w:val="1"/>
      <w:numFmt w:val="lowerLetter"/>
      <w:lvlText w:val="%2)"/>
      <w:lvlJc w:val="left"/>
      <w:pPr>
        <w:ind w:left="1731" w:hanging="440"/>
      </w:pPr>
    </w:lvl>
    <w:lvl w:ilvl="2" w:tentative="0">
      <w:start w:val="1"/>
      <w:numFmt w:val="lowerRoman"/>
      <w:lvlText w:val="%3."/>
      <w:lvlJc w:val="right"/>
      <w:pPr>
        <w:ind w:left="2171" w:hanging="440"/>
      </w:pPr>
    </w:lvl>
    <w:lvl w:ilvl="3" w:tentative="0">
      <w:start w:val="1"/>
      <w:numFmt w:val="decimal"/>
      <w:lvlText w:val="%4."/>
      <w:lvlJc w:val="left"/>
      <w:pPr>
        <w:ind w:left="2611" w:hanging="440"/>
      </w:pPr>
    </w:lvl>
    <w:lvl w:ilvl="4" w:tentative="0">
      <w:start w:val="1"/>
      <w:numFmt w:val="lowerLetter"/>
      <w:lvlText w:val="%5)"/>
      <w:lvlJc w:val="left"/>
      <w:pPr>
        <w:ind w:left="3051" w:hanging="440"/>
      </w:pPr>
    </w:lvl>
    <w:lvl w:ilvl="5" w:tentative="0">
      <w:start w:val="1"/>
      <w:numFmt w:val="lowerRoman"/>
      <w:lvlText w:val="%6."/>
      <w:lvlJc w:val="right"/>
      <w:pPr>
        <w:ind w:left="3491" w:hanging="440"/>
      </w:pPr>
    </w:lvl>
    <w:lvl w:ilvl="6" w:tentative="0">
      <w:start w:val="1"/>
      <w:numFmt w:val="decimal"/>
      <w:lvlText w:val="%7."/>
      <w:lvlJc w:val="left"/>
      <w:pPr>
        <w:ind w:left="3931" w:hanging="440"/>
      </w:pPr>
    </w:lvl>
    <w:lvl w:ilvl="7" w:tentative="0">
      <w:start w:val="1"/>
      <w:numFmt w:val="lowerLetter"/>
      <w:lvlText w:val="%8)"/>
      <w:lvlJc w:val="left"/>
      <w:pPr>
        <w:ind w:left="4371" w:hanging="440"/>
      </w:pPr>
    </w:lvl>
    <w:lvl w:ilvl="8" w:tentative="0">
      <w:start w:val="1"/>
      <w:numFmt w:val="lowerRoman"/>
      <w:lvlText w:val="%9."/>
      <w:lvlJc w:val="right"/>
      <w:pPr>
        <w:ind w:left="4811" w:hanging="440"/>
      </w:pPr>
    </w:lvl>
  </w:abstractNum>
  <w:abstractNum w:abstractNumId="37">
    <w:nsid w:val="532C056A"/>
    <w:multiLevelType w:val="multilevel"/>
    <w:tmpl w:val="532C056A"/>
    <w:lvl w:ilvl="0" w:tentative="0">
      <w:start w:val="1"/>
      <w:numFmt w:val="decimal"/>
      <w:lvlText w:val="表5.2-1%1"/>
      <w:lvlJc w:val="left"/>
      <w:pPr>
        <w:ind w:left="2600" w:hanging="440"/>
      </w:pPr>
      <w:rPr>
        <w:rFonts w:hint="eastAsia"/>
        <w:b w:val="0"/>
        <w:bCs w:val="0"/>
      </w:rPr>
    </w:lvl>
    <w:lvl w:ilvl="1" w:tentative="0">
      <w:start w:val="1"/>
      <w:numFmt w:val="lowerLetter"/>
      <w:lvlText w:val="%2)"/>
      <w:lvlJc w:val="left"/>
      <w:pPr>
        <w:ind w:left="880" w:hanging="440"/>
      </w:pPr>
    </w:lvl>
    <w:lvl w:ilvl="2" w:tentative="0">
      <w:start w:val="1"/>
      <w:numFmt w:val="decimal"/>
      <w:lvlText w:val="表5.2-%3"/>
      <w:lvlJc w:val="left"/>
      <w:pPr>
        <w:ind w:left="1320" w:hanging="440"/>
      </w:pPr>
      <w:rPr>
        <w:rFonts w:hint="eastAsia"/>
        <w:b w:val="0"/>
        <w:bCs w:val="0"/>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
    <w:nsid w:val="53D71583"/>
    <w:multiLevelType w:val="multilevel"/>
    <w:tmpl w:val="53D71583"/>
    <w:lvl w:ilvl="0" w:tentative="0">
      <w:start w:val="1"/>
      <w:numFmt w:val="decimal"/>
      <w:lvlText w:val="表5.7-%1"/>
      <w:lvlJc w:val="left"/>
      <w:pPr>
        <w:ind w:left="922"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decimal"/>
      <w:lvlText w:val="表6.2-%8"/>
      <w:lvlJc w:val="left"/>
      <w:pPr>
        <w:ind w:left="3520" w:hanging="440"/>
      </w:pPr>
      <w:rPr>
        <w:rFonts w:hint="eastAsia"/>
        <w:lang w:val="en-US"/>
      </w:rPr>
    </w:lvl>
    <w:lvl w:ilvl="8" w:tentative="0">
      <w:start w:val="1"/>
      <w:numFmt w:val="lowerRoman"/>
      <w:lvlText w:val="%9."/>
      <w:lvlJc w:val="right"/>
      <w:pPr>
        <w:ind w:left="3960" w:hanging="440"/>
      </w:pPr>
    </w:lvl>
  </w:abstractNum>
  <w:abstractNum w:abstractNumId="39">
    <w:nsid w:val="58AF6998"/>
    <w:multiLevelType w:val="multilevel"/>
    <w:tmpl w:val="58AF6998"/>
    <w:lvl w:ilvl="0" w:tentative="0">
      <w:start w:val="1"/>
      <w:numFmt w:val="decimal"/>
      <w:lvlText w:val="表2.7-%1"/>
      <w:lvlJc w:val="left"/>
      <w:pPr>
        <w:ind w:left="681" w:hanging="440"/>
      </w:pPr>
      <w:rPr>
        <w:rFonts w:hint="eastAsia"/>
      </w:rPr>
    </w:lvl>
    <w:lvl w:ilvl="1" w:tentative="0">
      <w:start w:val="1"/>
      <w:numFmt w:val="lowerLetter"/>
      <w:lvlText w:val="%2)"/>
      <w:lvlJc w:val="left"/>
      <w:pPr>
        <w:ind w:left="1121" w:hanging="440"/>
      </w:pPr>
    </w:lvl>
    <w:lvl w:ilvl="2" w:tentative="0">
      <w:start w:val="1"/>
      <w:numFmt w:val="lowerRoman"/>
      <w:lvlText w:val="%3."/>
      <w:lvlJc w:val="right"/>
      <w:pPr>
        <w:ind w:left="1561" w:hanging="440"/>
      </w:pPr>
    </w:lvl>
    <w:lvl w:ilvl="3" w:tentative="0">
      <w:start w:val="1"/>
      <w:numFmt w:val="decimal"/>
      <w:lvlText w:val="%4."/>
      <w:lvlJc w:val="left"/>
      <w:pPr>
        <w:ind w:left="2001" w:hanging="440"/>
      </w:pPr>
    </w:lvl>
    <w:lvl w:ilvl="4" w:tentative="0">
      <w:start w:val="1"/>
      <w:numFmt w:val="lowerLetter"/>
      <w:lvlText w:val="%5)"/>
      <w:lvlJc w:val="left"/>
      <w:pPr>
        <w:ind w:left="2441" w:hanging="440"/>
      </w:pPr>
    </w:lvl>
    <w:lvl w:ilvl="5" w:tentative="0">
      <w:start w:val="1"/>
      <w:numFmt w:val="lowerRoman"/>
      <w:lvlText w:val="%6."/>
      <w:lvlJc w:val="right"/>
      <w:pPr>
        <w:ind w:left="2881" w:hanging="440"/>
      </w:pPr>
    </w:lvl>
    <w:lvl w:ilvl="6" w:tentative="0">
      <w:start w:val="1"/>
      <w:numFmt w:val="decimal"/>
      <w:lvlText w:val="%7."/>
      <w:lvlJc w:val="left"/>
      <w:pPr>
        <w:ind w:left="3321" w:hanging="440"/>
      </w:pPr>
    </w:lvl>
    <w:lvl w:ilvl="7" w:tentative="0">
      <w:start w:val="1"/>
      <w:numFmt w:val="lowerLetter"/>
      <w:lvlText w:val="%8)"/>
      <w:lvlJc w:val="left"/>
      <w:pPr>
        <w:ind w:left="3761" w:hanging="440"/>
      </w:pPr>
    </w:lvl>
    <w:lvl w:ilvl="8" w:tentative="0">
      <w:start w:val="1"/>
      <w:numFmt w:val="lowerRoman"/>
      <w:lvlText w:val="%9."/>
      <w:lvlJc w:val="right"/>
      <w:pPr>
        <w:ind w:left="4201" w:hanging="440"/>
      </w:pPr>
    </w:lvl>
  </w:abstractNum>
  <w:abstractNum w:abstractNumId="40">
    <w:nsid w:val="5D210C3D"/>
    <w:multiLevelType w:val="multilevel"/>
    <w:tmpl w:val="5D210C3D"/>
    <w:lvl w:ilvl="0" w:tentative="0">
      <w:start w:val="1"/>
      <w:numFmt w:val="decimal"/>
      <w:lvlText w:val="图5.6-%1"/>
      <w:lvlJc w:val="left"/>
      <w:pPr>
        <w:ind w:left="1320" w:hanging="440"/>
      </w:pPr>
      <w:rPr>
        <w:rFonts w:hint="eastAsia"/>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
    <w:nsid w:val="5DE4406C"/>
    <w:multiLevelType w:val="multilevel"/>
    <w:tmpl w:val="5DE4406C"/>
    <w:lvl w:ilvl="0" w:tentative="0">
      <w:start w:val="1"/>
      <w:numFmt w:val="decimal"/>
      <w:lvlText w:val="表9.4-%1"/>
      <w:lvlJc w:val="left"/>
      <w:pPr>
        <w:ind w:left="1320" w:hanging="44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表9.4-%5"/>
      <w:lvlJc w:val="left"/>
      <w:pPr>
        <w:ind w:left="2200" w:hanging="440"/>
      </w:pPr>
      <w:rPr>
        <w:rFonts w:hint="eastAsia"/>
        <w:b w:val="0"/>
        <w:bCs w:val="0"/>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2">
    <w:nsid w:val="630219FB"/>
    <w:multiLevelType w:val="multilevel"/>
    <w:tmpl w:val="630219FB"/>
    <w:lvl w:ilvl="0" w:tentative="0">
      <w:start w:val="1"/>
      <w:numFmt w:val="decimal"/>
      <w:pStyle w:val="3"/>
      <w:suff w:val="space"/>
      <w:lvlText w:val="第 %1 章 "/>
      <w:lvlJc w:val="left"/>
      <w:pPr>
        <w:ind w:left="0" w:firstLine="0"/>
      </w:pPr>
      <w:rPr>
        <w:rFonts w:hint="eastAsia"/>
      </w:rPr>
    </w:lvl>
    <w:lvl w:ilvl="1" w:tentative="0">
      <w:start w:val="1"/>
      <w:numFmt w:val="decimal"/>
      <w:pStyle w:val="4"/>
      <w:suff w:val="space"/>
      <w:lvlText w:val="%1.%2"/>
      <w:lvlJc w:val="left"/>
      <w:pPr>
        <w:ind w:left="0" w:firstLine="0"/>
      </w:pPr>
      <w:rPr>
        <w:rFonts w:hint="eastAsia"/>
      </w:rPr>
    </w:lvl>
    <w:lvl w:ilvl="2" w:tentative="0">
      <w:start w:val="1"/>
      <w:numFmt w:val="decimal"/>
      <w:pStyle w:val="5"/>
      <w:suff w:val="space"/>
      <w:lvlText w:val="%1.%2.%3"/>
      <w:lvlJc w:val="left"/>
      <w:pPr>
        <w:ind w:left="284" w:firstLine="0"/>
      </w:pPr>
      <w:rPr>
        <w:rFonts w:hint="eastAsia"/>
      </w:rPr>
    </w:lvl>
    <w:lvl w:ilvl="3" w:tentative="0">
      <w:start w:val="1"/>
      <w:numFmt w:val="decimal"/>
      <w:pStyle w:val="6"/>
      <w:suff w:val="space"/>
      <w:lvlText w:val="%1.%2.%3.%4"/>
      <w:lvlJc w:val="left"/>
      <w:pPr>
        <w:ind w:left="2835" w:firstLine="0"/>
      </w:pPr>
      <w:rPr>
        <w:rFonts w:hint="eastAsia"/>
      </w:rPr>
    </w:lvl>
    <w:lvl w:ilvl="4" w:tentative="0">
      <w:start w:val="1"/>
      <w:numFmt w:val="chineseCountingThousand"/>
      <w:pStyle w:val="7"/>
      <w:suff w:val="nothing"/>
      <w:lvlText w:val="%5、"/>
      <w:lvlJc w:val="left"/>
      <w:pPr>
        <w:ind w:left="821" w:hanging="113"/>
      </w:pPr>
    </w:lvl>
    <w:lvl w:ilvl="5" w:tentative="0">
      <w:start w:val="1"/>
      <w:numFmt w:val="none"/>
      <w:pStyle w:val="8"/>
      <w:suff w:val="space"/>
      <w:lvlText w:val=""/>
      <w:lvlJc w:val="left"/>
      <w:pPr>
        <w:ind w:left="0" w:firstLine="454"/>
      </w:pPr>
      <w:rPr>
        <w:rFonts w:hint="eastAsia"/>
      </w:rPr>
    </w:lvl>
    <w:lvl w:ilvl="6" w:tentative="0">
      <w:start w:val="1"/>
      <w:numFmt w:val="decimal"/>
      <w:suff w:val="space"/>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3">
    <w:nsid w:val="63336EE0"/>
    <w:multiLevelType w:val="multilevel"/>
    <w:tmpl w:val="63336EE0"/>
    <w:lvl w:ilvl="0" w:tentative="0">
      <w:start w:val="1"/>
      <w:numFmt w:val="decimal"/>
      <w:lvlText w:val="表8.5-%1"/>
      <w:lvlJc w:val="left"/>
      <w:pPr>
        <w:ind w:left="2200" w:hanging="440"/>
      </w:pPr>
      <w:rPr>
        <w:rFonts w:hint="eastAsia"/>
        <w:b w:val="0"/>
        <w:bCs w:val="0"/>
      </w:rPr>
    </w:lvl>
    <w:lvl w:ilvl="1" w:tentative="0">
      <w:start w:val="1"/>
      <w:numFmt w:val="lowerLetter"/>
      <w:lvlText w:val="%2)"/>
      <w:lvlJc w:val="left"/>
      <w:pPr>
        <w:ind w:left="880" w:hanging="440"/>
      </w:pPr>
    </w:lvl>
    <w:lvl w:ilvl="2" w:tentative="0">
      <w:start w:val="1"/>
      <w:numFmt w:val="decimal"/>
      <w:lvlText w:val="表9.5-%3"/>
      <w:lvlJc w:val="left"/>
      <w:pPr>
        <w:ind w:left="1320" w:hanging="440"/>
      </w:pPr>
      <w:rPr>
        <w:rFonts w:hint="eastAsia"/>
        <w:b w:val="0"/>
        <w:bCs w:val="0"/>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4">
    <w:nsid w:val="6649386E"/>
    <w:multiLevelType w:val="multilevel"/>
    <w:tmpl w:val="6649386E"/>
    <w:lvl w:ilvl="0" w:tentative="0">
      <w:start w:val="1"/>
      <w:numFmt w:val="decimal"/>
      <w:lvlText w:val="图2.7-%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5">
    <w:nsid w:val="6A1B66A9"/>
    <w:multiLevelType w:val="multilevel"/>
    <w:tmpl w:val="6A1B66A9"/>
    <w:lvl w:ilvl="0" w:tentative="0">
      <w:start w:val="1"/>
      <w:numFmt w:val="decimal"/>
      <w:lvlText w:val="表9.4-%1"/>
      <w:lvlJc w:val="left"/>
      <w:pPr>
        <w:ind w:left="2200" w:hanging="440"/>
      </w:pPr>
      <w:rPr>
        <w:rFonts w:hint="eastAsia"/>
        <w:b w:val="0"/>
        <w:bCs w:val="0"/>
      </w:rPr>
    </w:lvl>
    <w:lvl w:ilvl="1" w:tentative="0">
      <w:start w:val="1"/>
      <w:numFmt w:val="lowerLetter"/>
      <w:lvlText w:val="%2)"/>
      <w:lvlJc w:val="left"/>
      <w:pPr>
        <w:ind w:left="880" w:hanging="440"/>
      </w:pPr>
    </w:lvl>
    <w:lvl w:ilvl="2" w:tentative="0">
      <w:start w:val="1"/>
      <w:numFmt w:val="decimal"/>
      <w:lvlText w:val="表9.4-%3"/>
      <w:lvlJc w:val="left"/>
      <w:pPr>
        <w:ind w:left="1320" w:hanging="440"/>
      </w:pPr>
      <w:rPr>
        <w:rFonts w:hint="eastAsia"/>
        <w:b w:val="0"/>
        <w:bCs w:val="0"/>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6">
    <w:nsid w:val="6DD83D2E"/>
    <w:multiLevelType w:val="multilevel"/>
    <w:tmpl w:val="6DD83D2E"/>
    <w:lvl w:ilvl="0" w:tentative="0">
      <w:start w:val="1"/>
      <w:numFmt w:val="decimal"/>
      <w:lvlText w:val="表5.5-%1."/>
      <w:lvlJc w:val="left"/>
      <w:pPr>
        <w:ind w:left="681"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7">
    <w:nsid w:val="6DDA2599"/>
    <w:multiLevelType w:val="multilevel"/>
    <w:tmpl w:val="6DDA2599"/>
    <w:lvl w:ilvl="0" w:tentative="0">
      <w:start w:val="1"/>
      <w:numFmt w:val="decimal"/>
      <w:lvlText w:val="表5.1-%1"/>
      <w:lvlJc w:val="left"/>
      <w:pPr>
        <w:ind w:left="1160" w:hanging="440"/>
      </w:pPr>
      <w:rPr>
        <w:rFonts w:hint="eastAsia"/>
      </w:rPr>
    </w:lvl>
    <w:lvl w:ilvl="1" w:tentative="0">
      <w:start w:val="1"/>
      <w:numFmt w:val="lowerLetter"/>
      <w:lvlText w:val="%2)"/>
      <w:lvlJc w:val="left"/>
      <w:pPr>
        <w:ind w:left="880" w:hanging="440"/>
      </w:pPr>
    </w:lvl>
    <w:lvl w:ilvl="2" w:tentative="0">
      <w:start w:val="1"/>
      <w:numFmt w:val="decimal"/>
      <w:lvlText w:val="表5.1-%3"/>
      <w:lvlJc w:val="left"/>
      <w:pPr>
        <w:ind w:left="1320" w:hanging="440"/>
      </w:pPr>
      <w:rPr>
        <w:rFonts w:hint="eastAsia"/>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8">
    <w:nsid w:val="6E8247A9"/>
    <w:multiLevelType w:val="multilevel"/>
    <w:tmpl w:val="6E8247A9"/>
    <w:lvl w:ilvl="0" w:tentative="0">
      <w:start w:val="1"/>
      <w:numFmt w:val="decimal"/>
      <w:lvlText w:val="图1.7-%1"/>
      <w:lvlJc w:val="left"/>
      <w:pPr>
        <w:ind w:left="1121"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9">
    <w:nsid w:val="6F153CF7"/>
    <w:multiLevelType w:val="multilevel"/>
    <w:tmpl w:val="6F153CF7"/>
    <w:lvl w:ilvl="0" w:tentative="0">
      <w:start w:val="1"/>
      <w:numFmt w:val="decimal"/>
      <w:lvlText w:val="图3.1-%1"/>
      <w:lvlJc w:val="left"/>
      <w:pPr>
        <w:ind w:left="681" w:hanging="440"/>
      </w:pPr>
      <w:rPr>
        <w:rFonts w:hint="eastAsia"/>
      </w:rPr>
    </w:lvl>
    <w:lvl w:ilvl="1" w:tentative="0">
      <w:start w:val="1"/>
      <w:numFmt w:val="decimalEnclosedCircle"/>
      <w:lvlText w:val="%2"/>
      <w:lvlJc w:val="left"/>
      <w:pPr>
        <w:ind w:left="800" w:hanging="360"/>
      </w:pPr>
      <w:rPr>
        <w:rFonts w:hint="default"/>
      </w:rPr>
    </w:lvl>
    <w:lvl w:ilvl="2" w:tentative="0">
      <w:start w:val="1"/>
      <w:numFmt w:val="decimal"/>
      <w:lvlText w:val="图3.1-%3"/>
      <w:lvlJc w:val="left"/>
      <w:pPr>
        <w:ind w:left="1320" w:hanging="440"/>
      </w:pPr>
      <w:rPr>
        <w:rFonts w:hint="eastAsia"/>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0">
    <w:nsid w:val="76514C48"/>
    <w:multiLevelType w:val="multilevel"/>
    <w:tmpl w:val="76514C48"/>
    <w:lvl w:ilvl="0" w:tentative="0">
      <w:start w:val="1"/>
      <w:numFmt w:val="decimal"/>
      <w:lvlText w:val="表2.7-%1"/>
      <w:lvlJc w:val="left"/>
      <w:pPr>
        <w:ind w:left="681" w:hanging="440"/>
      </w:pPr>
      <w:rPr>
        <w:rFonts w:hint="eastAsia"/>
      </w:rPr>
    </w:lvl>
    <w:lvl w:ilvl="1" w:tentative="0">
      <w:start w:val="1"/>
      <w:numFmt w:val="lowerLetter"/>
      <w:lvlText w:val="%2)"/>
      <w:lvlJc w:val="left"/>
      <w:pPr>
        <w:ind w:left="1121" w:hanging="440"/>
      </w:pPr>
    </w:lvl>
    <w:lvl w:ilvl="2" w:tentative="0">
      <w:start w:val="1"/>
      <w:numFmt w:val="lowerRoman"/>
      <w:lvlText w:val="%3."/>
      <w:lvlJc w:val="right"/>
      <w:pPr>
        <w:ind w:left="1561" w:hanging="440"/>
      </w:pPr>
    </w:lvl>
    <w:lvl w:ilvl="3" w:tentative="0">
      <w:start w:val="1"/>
      <w:numFmt w:val="decimal"/>
      <w:lvlText w:val="%4."/>
      <w:lvlJc w:val="left"/>
      <w:pPr>
        <w:ind w:left="2001" w:hanging="440"/>
      </w:pPr>
    </w:lvl>
    <w:lvl w:ilvl="4" w:tentative="0">
      <w:start w:val="1"/>
      <w:numFmt w:val="lowerLetter"/>
      <w:lvlText w:val="%5)"/>
      <w:lvlJc w:val="left"/>
      <w:pPr>
        <w:ind w:left="2441" w:hanging="440"/>
      </w:pPr>
    </w:lvl>
    <w:lvl w:ilvl="5" w:tentative="0">
      <w:start w:val="1"/>
      <w:numFmt w:val="lowerRoman"/>
      <w:lvlText w:val="%6."/>
      <w:lvlJc w:val="right"/>
      <w:pPr>
        <w:ind w:left="2881" w:hanging="440"/>
      </w:pPr>
    </w:lvl>
    <w:lvl w:ilvl="6" w:tentative="0">
      <w:start w:val="1"/>
      <w:numFmt w:val="decimal"/>
      <w:lvlText w:val="%7."/>
      <w:lvlJc w:val="left"/>
      <w:pPr>
        <w:ind w:left="3321" w:hanging="440"/>
      </w:pPr>
    </w:lvl>
    <w:lvl w:ilvl="7" w:tentative="0">
      <w:start w:val="1"/>
      <w:numFmt w:val="lowerLetter"/>
      <w:lvlText w:val="%8)"/>
      <w:lvlJc w:val="left"/>
      <w:pPr>
        <w:ind w:left="3761" w:hanging="440"/>
      </w:pPr>
    </w:lvl>
    <w:lvl w:ilvl="8" w:tentative="0">
      <w:start w:val="1"/>
      <w:numFmt w:val="lowerRoman"/>
      <w:lvlText w:val="%9."/>
      <w:lvlJc w:val="right"/>
      <w:pPr>
        <w:ind w:left="4201" w:hanging="440"/>
      </w:pPr>
    </w:lvl>
  </w:abstractNum>
  <w:abstractNum w:abstractNumId="51">
    <w:nsid w:val="76654675"/>
    <w:multiLevelType w:val="multilevel"/>
    <w:tmpl w:val="76654675"/>
    <w:lvl w:ilvl="0" w:tentative="0">
      <w:start w:val="1"/>
      <w:numFmt w:val="decimal"/>
      <w:lvlText w:val="表7.3-%1"/>
      <w:lvlJc w:val="left"/>
      <w:pPr>
        <w:ind w:left="1320" w:hanging="440"/>
      </w:pPr>
      <w:rPr>
        <w:rFonts w:hint="eastAsia"/>
        <w:b w:val="0"/>
        <w:bCs w:val="0"/>
      </w:rPr>
    </w:lvl>
    <w:lvl w:ilvl="1" w:tentative="0">
      <w:start w:val="1"/>
      <w:numFmt w:val="lowerLetter"/>
      <w:lvlText w:val="%2)"/>
      <w:lvlJc w:val="left"/>
      <w:pPr>
        <w:ind w:left="880" w:hanging="440"/>
      </w:pPr>
    </w:lvl>
    <w:lvl w:ilvl="2" w:tentative="0">
      <w:start w:val="1"/>
      <w:numFmt w:val="decimal"/>
      <w:lvlText w:val="表7.3-%3"/>
      <w:lvlJc w:val="left"/>
      <w:pPr>
        <w:ind w:left="1320" w:hanging="440"/>
      </w:pPr>
      <w:rPr>
        <w:rFonts w:hint="eastAsia"/>
        <w:b w:val="0"/>
        <w:bCs w:val="0"/>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2">
    <w:nsid w:val="79092301"/>
    <w:multiLevelType w:val="multilevel"/>
    <w:tmpl w:val="79092301"/>
    <w:lvl w:ilvl="0" w:tentative="0">
      <w:start w:val="1"/>
      <w:numFmt w:val="decimal"/>
      <w:lvlText w:val="表6.6-%1"/>
      <w:lvlJc w:val="left"/>
      <w:pPr>
        <w:ind w:left="1291"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表6.6-%5"/>
      <w:lvlJc w:val="left"/>
      <w:pPr>
        <w:ind w:left="2200" w:hanging="440"/>
      </w:pPr>
      <w:rPr>
        <w:rFonts w:hint="eastAsia"/>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3">
    <w:nsid w:val="7EE74B54"/>
    <w:multiLevelType w:val="multilevel"/>
    <w:tmpl w:val="7EE74B54"/>
    <w:lvl w:ilvl="0" w:tentative="0">
      <w:start w:val="1"/>
      <w:numFmt w:val="decimal"/>
      <w:lvlText w:val="表8.1-%1"/>
      <w:lvlJc w:val="left"/>
      <w:pPr>
        <w:ind w:left="1320" w:hanging="44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decimal"/>
      <w:lvlText w:val="表9.1-%5"/>
      <w:lvlJc w:val="left"/>
      <w:pPr>
        <w:ind w:left="2200" w:hanging="440"/>
      </w:pPr>
      <w:rPr>
        <w:rFonts w:hint="eastAsia"/>
        <w:b w:val="0"/>
        <w:bCs w:val="0"/>
      </w:r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4">
    <w:nsid w:val="7F955BBB"/>
    <w:multiLevelType w:val="multilevel"/>
    <w:tmpl w:val="7F955BBB"/>
    <w:lvl w:ilvl="0" w:tentative="0">
      <w:start w:val="1"/>
      <w:numFmt w:val="decimal"/>
      <w:lvlText w:val="表5.6-%1"/>
      <w:lvlJc w:val="left"/>
      <w:pPr>
        <w:ind w:left="1433" w:hanging="440"/>
      </w:pPr>
      <w:rPr>
        <w:rFonts w:hint="eastAsia"/>
      </w:rPr>
    </w:lvl>
    <w:lvl w:ilvl="1" w:tentative="0">
      <w:start w:val="1"/>
      <w:numFmt w:val="lowerLetter"/>
      <w:lvlText w:val="%2)"/>
      <w:lvlJc w:val="left"/>
      <w:pPr>
        <w:ind w:left="880" w:hanging="440"/>
      </w:pPr>
    </w:lvl>
    <w:lvl w:ilvl="2" w:tentative="0">
      <w:start w:val="1"/>
      <w:numFmt w:val="decimal"/>
      <w:lvlText w:val="表5.6-%3"/>
      <w:lvlJc w:val="left"/>
      <w:pPr>
        <w:ind w:left="2991" w:hanging="440"/>
      </w:pPr>
      <w:rPr>
        <w:rFonts w:hint="eastAsia"/>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2"/>
  </w:num>
  <w:num w:numId="2">
    <w:abstractNumId w:val="3"/>
  </w:num>
  <w:num w:numId="3">
    <w:abstractNumId w:val="48"/>
  </w:num>
  <w:num w:numId="4">
    <w:abstractNumId w:val="6"/>
  </w:num>
  <w:num w:numId="5">
    <w:abstractNumId w:val="33"/>
  </w:num>
  <w:num w:numId="6">
    <w:abstractNumId w:val="27"/>
  </w:num>
  <w:num w:numId="7">
    <w:abstractNumId w:val="44"/>
  </w:num>
  <w:num w:numId="8">
    <w:abstractNumId w:val="50"/>
  </w:num>
  <w:num w:numId="9">
    <w:abstractNumId w:val="39"/>
  </w:num>
  <w:num w:numId="10">
    <w:abstractNumId w:val="1"/>
  </w:num>
  <w:num w:numId="11">
    <w:abstractNumId w:val="10"/>
  </w:num>
  <w:num w:numId="12">
    <w:abstractNumId w:val="5"/>
  </w:num>
  <w:num w:numId="13">
    <w:abstractNumId w:val="8"/>
  </w:num>
  <w:num w:numId="14">
    <w:abstractNumId w:val="11"/>
  </w:num>
  <w:num w:numId="15">
    <w:abstractNumId w:val="12"/>
  </w:num>
  <w:num w:numId="16">
    <w:abstractNumId w:val="49"/>
  </w:num>
  <w:num w:numId="17">
    <w:abstractNumId w:val="16"/>
  </w:num>
  <w:num w:numId="18">
    <w:abstractNumId w:val="12"/>
    <w:lvlOverride w:ilvl="0">
      <w:lvl w:ilvl="0" w:tentative="1">
        <w:start w:val="1"/>
        <w:numFmt w:val="decimal"/>
        <w:lvlText w:val="%1"/>
        <w:lvlJc w:val="left"/>
        <w:pPr>
          <w:ind w:left="425" w:hanging="425"/>
        </w:pPr>
        <w:rPr>
          <w:rFonts w:hint="eastAsia"/>
        </w:rPr>
      </w:lvl>
    </w:lvlOverride>
    <w:lvlOverride w:ilvl="1">
      <w:lvl w:ilvl="1" w:tentative="1">
        <w:start w:val="1"/>
        <w:numFmt w:val="decimal"/>
        <w:lvlText w:val="%1.%2"/>
        <w:lvlJc w:val="left"/>
        <w:pPr>
          <w:ind w:left="992" w:hanging="567"/>
        </w:pPr>
        <w:rPr>
          <w:rFonts w:hint="eastAsia"/>
        </w:rPr>
      </w:lvl>
    </w:lvlOverride>
    <w:lvlOverride w:ilvl="2">
      <w:lvl w:ilvl="2" w:tentative="1">
        <w:start w:val="1"/>
        <w:numFmt w:val="decimal"/>
        <w:lvlText w:val="%1.%2.%3"/>
        <w:lvlJc w:val="left"/>
        <w:pPr>
          <w:ind w:left="1418" w:hanging="567"/>
        </w:pPr>
        <w:rPr>
          <w:rFonts w:hint="eastAsia"/>
        </w:rPr>
      </w:lvl>
    </w:lvlOverride>
    <w:lvlOverride w:ilvl="3">
      <w:lvl w:ilvl="3" w:tentative="1">
        <w:start w:val="1"/>
        <w:numFmt w:val="decimal"/>
        <w:lvlText w:val="3.%2.10.1"/>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19">
    <w:abstractNumId w:val="29"/>
  </w:num>
  <w:num w:numId="20">
    <w:abstractNumId w:val="15"/>
  </w:num>
  <w:num w:numId="21">
    <w:abstractNumId w:val="4"/>
  </w:num>
  <w:num w:numId="22">
    <w:abstractNumId w:val="0"/>
  </w:num>
  <w:num w:numId="23">
    <w:abstractNumId w:val="24"/>
  </w:num>
  <w:num w:numId="24">
    <w:abstractNumId w:val="34"/>
  </w:num>
  <w:num w:numId="25">
    <w:abstractNumId w:val="47"/>
  </w:num>
  <w:num w:numId="26">
    <w:abstractNumId w:val="19"/>
  </w:num>
  <w:num w:numId="27">
    <w:abstractNumId w:val="37"/>
  </w:num>
  <w:num w:numId="28">
    <w:abstractNumId w:val="17"/>
  </w:num>
  <w:num w:numId="29">
    <w:abstractNumId w:val="7"/>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5"/>
  </w:num>
  <w:num w:numId="33">
    <w:abstractNumId w:val="46"/>
  </w:num>
  <w:num w:numId="34">
    <w:abstractNumId w:val="54"/>
  </w:num>
  <w:num w:numId="35">
    <w:abstractNumId w:val="40"/>
  </w:num>
  <w:num w:numId="36">
    <w:abstractNumId w:val="32"/>
  </w:num>
  <w:num w:numId="37">
    <w:abstractNumId w:val="31"/>
  </w:num>
  <w:num w:numId="38">
    <w:abstractNumId w:val="38"/>
  </w:num>
  <w:num w:numId="39">
    <w:abstractNumId w:val="30"/>
  </w:num>
  <w:num w:numId="40">
    <w:abstractNumId w:val="36"/>
  </w:num>
  <w:num w:numId="41">
    <w:abstractNumId w:val="9"/>
  </w:num>
  <w:num w:numId="42">
    <w:abstractNumId w:val="52"/>
  </w:num>
  <w:num w:numId="43">
    <w:abstractNumId w:val="14"/>
  </w:num>
  <w:num w:numId="44">
    <w:abstractNumId w:val="28"/>
  </w:num>
  <w:num w:numId="45">
    <w:abstractNumId w:val="18"/>
  </w:num>
  <w:num w:numId="46">
    <w:abstractNumId w:val="25"/>
  </w:num>
  <w:num w:numId="47">
    <w:abstractNumId w:val="22"/>
  </w:num>
  <w:num w:numId="48">
    <w:abstractNumId w:val="23"/>
  </w:num>
  <w:num w:numId="49">
    <w:abstractNumId w:val="2"/>
  </w:num>
  <w:num w:numId="50">
    <w:abstractNumId w:val="20"/>
  </w:num>
  <w:num w:numId="51">
    <w:abstractNumId w:val="21"/>
  </w:num>
  <w:num w:numId="52">
    <w:abstractNumId w:val="51"/>
  </w:num>
  <w:num w:numId="53">
    <w:abstractNumId w:val="53"/>
  </w:num>
  <w:num w:numId="54">
    <w:abstractNumId w:val="26"/>
  </w:num>
  <w:num w:numId="55">
    <w:abstractNumId w:val="41"/>
  </w:num>
  <w:num w:numId="56">
    <w:abstractNumId w:val="45"/>
  </w:num>
  <w:num w:numId="5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oNotDisplayPageBoundaries w:val="1"/>
  <w:bordersDoNotSurroundHeader w:val="1"/>
  <w:bordersDoNotSurroundFooter w:val="1"/>
  <w:hideSpellingErrors/>
  <w:documentProtection w:edit="readOnly" w:enforcement="0"/>
  <w:defaultTabStop w:val="1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xNjYxMWRhYTdkNmE1MjNjNWY2ZjdjMjBhZDczMzUifQ=="/>
  </w:docVars>
  <w:rsids>
    <w:rsidRoot w:val="0069295C"/>
    <w:rsid w:val="00000041"/>
    <w:rsid w:val="000001E8"/>
    <w:rsid w:val="00000277"/>
    <w:rsid w:val="00000455"/>
    <w:rsid w:val="000004C3"/>
    <w:rsid w:val="00000551"/>
    <w:rsid w:val="000005CE"/>
    <w:rsid w:val="0000066F"/>
    <w:rsid w:val="0000089F"/>
    <w:rsid w:val="000008C4"/>
    <w:rsid w:val="00000A6D"/>
    <w:rsid w:val="00000B06"/>
    <w:rsid w:val="00000B25"/>
    <w:rsid w:val="00000B6E"/>
    <w:rsid w:val="00000BF4"/>
    <w:rsid w:val="00000D7B"/>
    <w:rsid w:val="00000E62"/>
    <w:rsid w:val="00000F0C"/>
    <w:rsid w:val="00001067"/>
    <w:rsid w:val="0000114F"/>
    <w:rsid w:val="000011E1"/>
    <w:rsid w:val="0000124C"/>
    <w:rsid w:val="00001289"/>
    <w:rsid w:val="0000145D"/>
    <w:rsid w:val="0000159A"/>
    <w:rsid w:val="000016E4"/>
    <w:rsid w:val="0000183C"/>
    <w:rsid w:val="00001A46"/>
    <w:rsid w:val="00001C38"/>
    <w:rsid w:val="00001DB0"/>
    <w:rsid w:val="00001E9B"/>
    <w:rsid w:val="00002000"/>
    <w:rsid w:val="0000200B"/>
    <w:rsid w:val="00002021"/>
    <w:rsid w:val="00002030"/>
    <w:rsid w:val="0000216A"/>
    <w:rsid w:val="000022C6"/>
    <w:rsid w:val="00002410"/>
    <w:rsid w:val="000025EC"/>
    <w:rsid w:val="0000263B"/>
    <w:rsid w:val="000026A8"/>
    <w:rsid w:val="000028FC"/>
    <w:rsid w:val="00002947"/>
    <w:rsid w:val="00002BA9"/>
    <w:rsid w:val="00002C67"/>
    <w:rsid w:val="00002C96"/>
    <w:rsid w:val="00002DA9"/>
    <w:rsid w:val="00002E01"/>
    <w:rsid w:val="00002F45"/>
    <w:rsid w:val="00003083"/>
    <w:rsid w:val="00003087"/>
    <w:rsid w:val="000030A1"/>
    <w:rsid w:val="000030E3"/>
    <w:rsid w:val="00003102"/>
    <w:rsid w:val="00003313"/>
    <w:rsid w:val="00003455"/>
    <w:rsid w:val="00003461"/>
    <w:rsid w:val="0000358E"/>
    <w:rsid w:val="00003721"/>
    <w:rsid w:val="0000385F"/>
    <w:rsid w:val="000038E5"/>
    <w:rsid w:val="00003CBE"/>
    <w:rsid w:val="00003E60"/>
    <w:rsid w:val="00003E96"/>
    <w:rsid w:val="0000401E"/>
    <w:rsid w:val="00004059"/>
    <w:rsid w:val="0000408B"/>
    <w:rsid w:val="0000408C"/>
    <w:rsid w:val="000040E8"/>
    <w:rsid w:val="0000434B"/>
    <w:rsid w:val="000045A3"/>
    <w:rsid w:val="00004821"/>
    <w:rsid w:val="0000486D"/>
    <w:rsid w:val="00004AF1"/>
    <w:rsid w:val="00004B6B"/>
    <w:rsid w:val="00004F20"/>
    <w:rsid w:val="00004FED"/>
    <w:rsid w:val="00005125"/>
    <w:rsid w:val="0000512D"/>
    <w:rsid w:val="000051F4"/>
    <w:rsid w:val="0000537A"/>
    <w:rsid w:val="0000556F"/>
    <w:rsid w:val="00005713"/>
    <w:rsid w:val="0000576C"/>
    <w:rsid w:val="00005B2E"/>
    <w:rsid w:val="00005BC4"/>
    <w:rsid w:val="00005BED"/>
    <w:rsid w:val="00005BF0"/>
    <w:rsid w:val="00005D77"/>
    <w:rsid w:val="00005D89"/>
    <w:rsid w:val="00005EDD"/>
    <w:rsid w:val="00005EF1"/>
    <w:rsid w:val="00005F89"/>
    <w:rsid w:val="0000604A"/>
    <w:rsid w:val="00006151"/>
    <w:rsid w:val="0000617F"/>
    <w:rsid w:val="000061F2"/>
    <w:rsid w:val="00006257"/>
    <w:rsid w:val="00006293"/>
    <w:rsid w:val="00006386"/>
    <w:rsid w:val="0000649E"/>
    <w:rsid w:val="000064D6"/>
    <w:rsid w:val="0000676A"/>
    <w:rsid w:val="00006809"/>
    <w:rsid w:val="0000696A"/>
    <w:rsid w:val="00006A7A"/>
    <w:rsid w:val="00006B31"/>
    <w:rsid w:val="00006B46"/>
    <w:rsid w:val="00006C22"/>
    <w:rsid w:val="00006D21"/>
    <w:rsid w:val="00006D7E"/>
    <w:rsid w:val="00006E48"/>
    <w:rsid w:val="00007079"/>
    <w:rsid w:val="00007101"/>
    <w:rsid w:val="00007334"/>
    <w:rsid w:val="0000742D"/>
    <w:rsid w:val="000074CD"/>
    <w:rsid w:val="00007567"/>
    <w:rsid w:val="00007594"/>
    <w:rsid w:val="000075EB"/>
    <w:rsid w:val="00007643"/>
    <w:rsid w:val="00007679"/>
    <w:rsid w:val="000076D6"/>
    <w:rsid w:val="000077ED"/>
    <w:rsid w:val="00007837"/>
    <w:rsid w:val="00007850"/>
    <w:rsid w:val="000079AF"/>
    <w:rsid w:val="00007A70"/>
    <w:rsid w:val="00007ACA"/>
    <w:rsid w:val="00007B9F"/>
    <w:rsid w:val="00007E46"/>
    <w:rsid w:val="00007EA8"/>
    <w:rsid w:val="00010051"/>
    <w:rsid w:val="000101E3"/>
    <w:rsid w:val="000102CD"/>
    <w:rsid w:val="000103F8"/>
    <w:rsid w:val="000104AA"/>
    <w:rsid w:val="000105A2"/>
    <w:rsid w:val="000105C0"/>
    <w:rsid w:val="000106B3"/>
    <w:rsid w:val="000109D8"/>
    <w:rsid w:val="00010A83"/>
    <w:rsid w:val="00010BCC"/>
    <w:rsid w:val="00010DF2"/>
    <w:rsid w:val="00010E23"/>
    <w:rsid w:val="000111DB"/>
    <w:rsid w:val="0001120E"/>
    <w:rsid w:val="000113FF"/>
    <w:rsid w:val="00011407"/>
    <w:rsid w:val="00011504"/>
    <w:rsid w:val="0001154C"/>
    <w:rsid w:val="00011852"/>
    <w:rsid w:val="00011936"/>
    <w:rsid w:val="00011A96"/>
    <w:rsid w:val="00011BD0"/>
    <w:rsid w:val="00011F50"/>
    <w:rsid w:val="00011FA7"/>
    <w:rsid w:val="00012054"/>
    <w:rsid w:val="00012206"/>
    <w:rsid w:val="00012566"/>
    <w:rsid w:val="00012695"/>
    <w:rsid w:val="00012742"/>
    <w:rsid w:val="0001291B"/>
    <w:rsid w:val="00012B85"/>
    <w:rsid w:val="00012CF4"/>
    <w:rsid w:val="00012DAD"/>
    <w:rsid w:val="00012DD4"/>
    <w:rsid w:val="00012E72"/>
    <w:rsid w:val="00012E94"/>
    <w:rsid w:val="00013028"/>
    <w:rsid w:val="0001311A"/>
    <w:rsid w:val="00013255"/>
    <w:rsid w:val="0001325F"/>
    <w:rsid w:val="000132BA"/>
    <w:rsid w:val="00013610"/>
    <w:rsid w:val="00013759"/>
    <w:rsid w:val="000137DD"/>
    <w:rsid w:val="000137DE"/>
    <w:rsid w:val="00013A37"/>
    <w:rsid w:val="00013C0A"/>
    <w:rsid w:val="00013CBA"/>
    <w:rsid w:val="00013E57"/>
    <w:rsid w:val="00013F85"/>
    <w:rsid w:val="00013FF7"/>
    <w:rsid w:val="000142B5"/>
    <w:rsid w:val="00014416"/>
    <w:rsid w:val="0001441B"/>
    <w:rsid w:val="0001447F"/>
    <w:rsid w:val="00014725"/>
    <w:rsid w:val="00014964"/>
    <w:rsid w:val="0001496C"/>
    <w:rsid w:val="00014975"/>
    <w:rsid w:val="00014A71"/>
    <w:rsid w:val="00014B6B"/>
    <w:rsid w:val="00014C88"/>
    <w:rsid w:val="00014EB7"/>
    <w:rsid w:val="00014EE2"/>
    <w:rsid w:val="00014FB6"/>
    <w:rsid w:val="000150AC"/>
    <w:rsid w:val="000150F6"/>
    <w:rsid w:val="00015247"/>
    <w:rsid w:val="000152DC"/>
    <w:rsid w:val="000152EF"/>
    <w:rsid w:val="00015312"/>
    <w:rsid w:val="000155B6"/>
    <w:rsid w:val="00015878"/>
    <w:rsid w:val="000158ED"/>
    <w:rsid w:val="00015934"/>
    <w:rsid w:val="00015966"/>
    <w:rsid w:val="000159A8"/>
    <w:rsid w:val="00015B22"/>
    <w:rsid w:val="00015C90"/>
    <w:rsid w:val="00015D98"/>
    <w:rsid w:val="00015ECB"/>
    <w:rsid w:val="00015F42"/>
    <w:rsid w:val="00015F90"/>
    <w:rsid w:val="00015F9E"/>
    <w:rsid w:val="000161AD"/>
    <w:rsid w:val="0001623C"/>
    <w:rsid w:val="00016246"/>
    <w:rsid w:val="0001630D"/>
    <w:rsid w:val="00016434"/>
    <w:rsid w:val="00016552"/>
    <w:rsid w:val="000166D5"/>
    <w:rsid w:val="0001671B"/>
    <w:rsid w:val="0001679A"/>
    <w:rsid w:val="0001684D"/>
    <w:rsid w:val="0001692C"/>
    <w:rsid w:val="00016ADC"/>
    <w:rsid w:val="00016AFF"/>
    <w:rsid w:val="00016CDB"/>
    <w:rsid w:val="0001702A"/>
    <w:rsid w:val="0001702F"/>
    <w:rsid w:val="00017099"/>
    <w:rsid w:val="000170EB"/>
    <w:rsid w:val="0001717B"/>
    <w:rsid w:val="0001727E"/>
    <w:rsid w:val="00017294"/>
    <w:rsid w:val="00017403"/>
    <w:rsid w:val="00017453"/>
    <w:rsid w:val="00017543"/>
    <w:rsid w:val="00017558"/>
    <w:rsid w:val="000175C2"/>
    <w:rsid w:val="000176B6"/>
    <w:rsid w:val="00017AED"/>
    <w:rsid w:val="00017B90"/>
    <w:rsid w:val="00017BAE"/>
    <w:rsid w:val="00017C04"/>
    <w:rsid w:val="00017C78"/>
    <w:rsid w:val="00017D14"/>
    <w:rsid w:val="00017D4E"/>
    <w:rsid w:val="00017DB8"/>
    <w:rsid w:val="00017E52"/>
    <w:rsid w:val="00017EE5"/>
    <w:rsid w:val="0002002A"/>
    <w:rsid w:val="000202C4"/>
    <w:rsid w:val="0002030F"/>
    <w:rsid w:val="0002034F"/>
    <w:rsid w:val="00020370"/>
    <w:rsid w:val="000203B5"/>
    <w:rsid w:val="0002043A"/>
    <w:rsid w:val="0002050B"/>
    <w:rsid w:val="00020647"/>
    <w:rsid w:val="000206FD"/>
    <w:rsid w:val="00020772"/>
    <w:rsid w:val="00020789"/>
    <w:rsid w:val="00020866"/>
    <w:rsid w:val="00020976"/>
    <w:rsid w:val="00020B79"/>
    <w:rsid w:val="00020DB3"/>
    <w:rsid w:val="00020DD4"/>
    <w:rsid w:val="00020F04"/>
    <w:rsid w:val="00020FA3"/>
    <w:rsid w:val="00020FF5"/>
    <w:rsid w:val="000211E1"/>
    <w:rsid w:val="00021203"/>
    <w:rsid w:val="000212D3"/>
    <w:rsid w:val="000217CC"/>
    <w:rsid w:val="000219D4"/>
    <w:rsid w:val="00021AC1"/>
    <w:rsid w:val="00021B03"/>
    <w:rsid w:val="00021B1D"/>
    <w:rsid w:val="00021D98"/>
    <w:rsid w:val="00021FC1"/>
    <w:rsid w:val="0002209E"/>
    <w:rsid w:val="000220C4"/>
    <w:rsid w:val="00022214"/>
    <w:rsid w:val="0002225B"/>
    <w:rsid w:val="000222BB"/>
    <w:rsid w:val="000223EA"/>
    <w:rsid w:val="00022434"/>
    <w:rsid w:val="00022541"/>
    <w:rsid w:val="00022719"/>
    <w:rsid w:val="00022746"/>
    <w:rsid w:val="00022764"/>
    <w:rsid w:val="000228C8"/>
    <w:rsid w:val="00022928"/>
    <w:rsid w:val="00022AF8"/>
    <w:rsid w:val="00022B52"/>
    <w:rsid w:val="00022EDC"/>
    <w:rsid w:val="00022F20"/>
    <w:rsid w:val="00022FAE"/>
    <w:rsid w:val="00022FDB"/>
    <w:rsid w:val="000230A4"/>
    <w:rsid w:val="00023278"/>
    <w:rsid w:val="000233DC"/>
    <w:rsid w:val="00023466"/>
    <w:rsid w:val="000234AC"/>
    <w:rsid w:val="000234F2"/>
    <w:rsid w:val="00023645"/>
    <w:rsid w:val="0002369B"/>
    <w:rsid w:val="0002382B"/>
    <w:rsid w:val="000238C2"/>
    <w:rsid w:val="000238D0"/>
    <w:rsid w:val="000238D8"/>
    <w:rsid w:val="00023A8B"/>
    <w:rsid w:val="00023A94"/>
    <w:rsid w:val="00023BB2"/>
    <w:rsid w:val="00023C8E"/>
    <w:rsid w:val="00023D05"/>
    <w:rsid w:val="00023D14"/>
    <w:rsid w:val="00023D19"/>
    <w:rsid w:val="00023E58"/>
    <w:rsid w:val="000240CF"/>
    <w:rsid w:val="00024173"/>
    <w:rsid w:val="000241B4"/>
    <w:rsid w:val="000241F7"/>
    <w:rsid w:val="000242D7"/>
    <w:rsid w:val="00024674"/>
    <w:rsid w:val="000246B3"/>
    <w:rsid w:val="0002473F"/>
    <w:rsid w:val="00024859"/>
    <w:rsid w:val="00024869"/>
    <w:rsid w:val="00024896"/>
    <w:rsid w:val="00024B86"/>
    <w:rsid w:val="00024B90"/>
    <w:rsid w:val="00024C4A"/>
    <w:rsid w:val="00024C51"/>
    <w:rsid w:val="00024D11"/>
    <w:rsid w:val="00024E10"/>
    <w:rsid w:val="00024F46"/>
    <w:rsid w:val="0002515E"/>
    <w:rsid w:val="000252BB"/>
    <w:rsid w:val="00025421"/>
    <w:rsid w:val="00025555"/>
    <w:rsid w:val="00025571"/>
    <w:rsid w:val="0002559D"/>
    <w:rsid w:val="000255CB"/>
    <w:rsid w:val="000256F0"/>
    <w:rsid w:val="0002574C"/>
    <w:rsid w:val="0002577D"/>
    <w:rsid w:val="000257BF"/>
    <w:rsid w:val="000257C9"/>
    <w:rsid w:val="00025875"/>
    <w:rsid w:val="00025A46"/>
    <w:rsid w:val="00025C72"/>
    <w:rsid w:val="00025D9E"/>
    <w:rsid w:val="00025E19"/>
    <w:rsid w:val="00025E7E"/>
    <w:rsid w:val="00025EF6"/>
    <w:rsid w:val="00025FA7"/>
    <w:rsid w:val="00025FAF"/>
    <w:rsid w:val="00026445"/>
    <w:rsid w:val="00026629"/>
    <w:rsid w:val="0002696A"/>
    <w:rsid w:val="00026A51"/>
    <w:rsid w:val="00026AA0"/>
    <w:rsid w:val="00026C72"/>
    <w:rsid w:val="00026E01"/>
    <w:rsid w:val="0002700A"/>
    <w:rsid w:val="00027144"/>
    <w:rsid w:val="0002721F"/>
    <w:rsid w:val="000272C7"/>
    <w:rsid w:val="0002734F"/>
    <w:rsid w:val="000274EA"/>
    <w:rsid w:val="000276B9"/>
    <w:rsid w:val="00027777"/>
    <w:rsid w:val="00027963"/>
    <w:rsid w:val="00027A33"/>
    <w:rsid w:val="00027EC7"/>
    <w:rsid w:val="00030032"/>
    <w:rsid w:val="000302B7"/>
    <w:rsid w:val="00030325"/>
    <w:rsid w:val="0003045D"/>
    <w:rsid w:val="000306E3"/>
    <w:rsid w:val="000307CF"/>
    <w:rsid w:val="0003085D"/>
    <w:rsid w:val="00030999"/>
    <w:rsid w:val="00030A1F"/>
    <w:rsid w:val="00030B4E"/>
    <w:rsid w:val="00030D57"/>
    <w:rsid w:val="00030F0D"/>
    <w:rsid w:val="00031076"/>
    <w:rsid w:val="0003113F"/>
    <w:rsid w:val="0003117F"/>
    <w:rsid w:val="0003118F"/>
    <w:rsid w:val="00031279"/>
    <w:rsid w:val="00031315"/>
    <w:rsid w:val="000313B8"/>
    <w:rsid w:val="0003145F"/>
    <w:rsid w:val="000314D3"/>
    <w:rsid w:val="00031711"/>
    <w:rsid w:val="00031846"/>
    <w:rsid w:val="00031975"/>
    <w:rsid w:val="00031AAE"/>
    <w:rsid w:val="00031C86"/>
    <w:rsid w:val="00031E31"/>
    <w:rsid w:val="00031F16"/>
    <w:rsid w:val="00031F7C"/>
    <w:rsid w:val="0003207B"/>
    <w:rsid w:val="00032177"/>
    <w:rsid w:val="0003226F"/>
    <w:rsid w:val="000323F3"/>
    <w:rsid w:val="00032471"/>
    <w:rsid w:val="00032500"/>
    <w:rsid w:val="00032548"/>
    <w:rsid w:val="0003260A"/>
    <w:rsid w:val="00032684"/>
    <w:rsid w:val="00032730"/>
    <w:rsid w:val="00032891"/>
    <w:rsid w:val="00032D19"/>
    <w:rsid w:val="00032DA9"/>
    <w:rsid w:val="00032F96"/>
    <w:rsid w:val="00032FC9"/>
    <w:rsid w:val="00033107"/>
    <w:rsid w:val="00033153"/>
    <w:rsid w:val="000331B0"/>
    <w:rsid w:val="00033270"/>
    <w:rsid w:val="00033474"/>
    <w:rsid w:val="000334CB"/>
    <w:rsid w:val="000336A3"/>
    <w:rsid w:val="00033732"/>
    <w:rsid w:val="0003383B"/>
    <w:rsid w:val="0003386C"/>
    <w:rsid w:val="00033B85"/>
    <w:rsid w:val="00033C6E"/>
    <w:rsid w:val="000342F6"/>
    <w:rsid w:val="00034437"/>
    <w:rsid w:val="00034738"/>
    <w:rsid w:val="000347D7"/>
    <w:rsid w:val="00034825"/>
    <w:rsid w:val="00034912"/>
    <w:rsid w:val="0003492B"/>
    <w:rsid w:val="00034A01"/>
    <w:rsid w:val="00034A2A"/>
    <w:rsid w:val="00034ABC"/>
    <w:rsid w:val="00034AD4"/>
    <w:rsid w:val="00034B0D"/>
    <w:rsid w:val="00034BB6"/>
    <w:rsid w:val="00034C2D"/>
    <w:rsid w:val="00034E7A"/>
    <w:rsid w:val="00034F9F"/>
    <w:rsid w:val="000350BB"/>
    <w:rsid w:val="000350FA"/>
    <w:rsid w:val="00035130"/>
    <w:rsid w:val="0003520B"/>
    <w:rsid w:val="00035220"/>
    <w:rsid w:val="000352B6"/>
    <w:rsid w:val="000354A4"/>
    <w:rsid w:val="000355FA"/>
    <w:rsid w:val="0003567C"/>
    <w:rsid w:val="0003575D"/>
    <w:rsid w:val="00035787"/>
    <w:rsid w:val="000357AD"/>
    <w:rsid w:val="00035A8D"/>
    <w:rsid w:val="00035DBC"/>
    <w:rsid w:val="00035EA2"/>
    <w:rsid w:val="00035F33"/>
    <w:rsid w:val="00036018"/>
    <w:rsid w:val="00036143"/>
    <w:rsid w:val="00036210"/>
    <w:rsid w:val="0003634E"/>
    <w:rsid w:val="0003639C"/>
    <w:rsid w:val="000363EF"/>
    <w:rsid w:val="000363F4"/>
    <w:rsid w:val="0003675A"/>
    <w:rsid w:val="000369B2"/>
    <w:rsid w:val="00036AE0"/>
    <w:rsid w:val="00036C16"/>
    <w:rsid w:val="00036D57"/>
    <w:rsid w:val="00036EC0"/>
    <w:rsid w:val="00036F4E"/>
    <w:rsid w:val="00036FBD"/>
    <w:rsid w:val="000370B6"/>
    <w:rsid w:val="0003718A"/>
    <w:rsid w:val="000371FD"/>
    <w:rsid w:val="000372F3"/>
    <w:rsid w:val="000373FF"/>
    <w:rsid w:val="00037BC9"/>
    <w:rsid w:val="00037C78"/>
    <w:rsid w:val="00037CD9"/>
    <w:rsid w:val="00037CE4"/>
    <w:rsid w:val="00037D1C"/>
    <w:rsid w:val="00037D59"/>
    <w:rsid w:val="00037DF0"/>
    <w:rsid w:val="00037E82"/>
    <w:rsid w:val="00037F12"/>
    <w:rsid w:val="00037F26"/>
    <w:rsid w:val="00037FB1"/>
    <w:rsid w:val="000402A9"/>
    <w:rsid w:val="00040454"/>
    <w:rsid w:val="00040489"/>
    <w:rsid w:val="000405E2"/>
    <w:rsid w:val="000405F8"/>
    <w:rsid w:val="000406C1"/>
    <w:rsid w:val="0004070E"/>
    <w:rsid w:val="0004072C"/>
    <w:rsid w:val="00040886"/>
    <w:rsid w:val="00040925"/>
    <w:rsid w:val="00040998"/>
    <w:rsid w:val="00040AB2"/>
    <w:rsid w:val="00040AFD"/>
    <w:rsid w:val="00040B01"/>
    <w:rsid w:val="00040CDF"/>
    <w:rsid w:val="00040E59"/>
    <w:rsid w:val="00041028"/>
    <w:rsid w:val="00041202"/>
    <w:rsid w:val="0004129D"/>
    <w:rsid w:val="000412DD"/>
    <w:rsid w:val="00041327"/>
    <w:rsid w:val="000413F8"/>
    <w:rsid w:val="0004144C"/>
    <w:rsid w:val="00041516"/>
    <w:rsid w:val="0004167C"/>
    <w:rsid w:val="00041789"/>
    <w:rsid w:val="00041962"/>
    <w:rsid w:val="0004196A"/>
    <w:rsid w:val="000419BC"/>
    <w:rsid w:val="00041B92"/>
    <w:rsid w:val="00041C03"/>
    <w:rsid w:val="00041CAD"/>
    <w:rsid w:val="00041E32"/>
    <w:rsid w:val="00041F71"/>
    <w:rsid w:val="00042087"/>
    <w:rsid w:val="00042261"/>
    <w:rsid w:val="000422BC"/>
    <w:rsid w:val="00042428"/>
    <w:rsid w:val="00042591"/>
    <w:rsid w:val="000425A6"/>
    <w:rsid w:val="000426C6"/>
    <w:rsid w:val="000426D4"/>
    <w:rsid w:val="000427E8"/>
    <w:rsid w:val="000428AA"/>
    <w:rsid w:val="0004298A"/>
    <w:rsid w:val="000429BD"/>
    <w:rsid w:val="00042A2B"/>
    <w:rsid w:val="00042A4E"/>
    <w:rsid w:val="00042A8E"/>
    <w:rsid w:val="00042BFF"/>
    <w:rsid w:val="00042C8A"/>
    <w:rsid w:val="00042D2B"/>
    <w:rsid w:val="00042F46"/>
    <w:rsid w:val="00043029"/>
    <w:rsid w:val="00043164"/>
    <w:rsid w:val="0004328D"/>
    <w:rsid w:val="00043453"/>
    <w:rsid w:val="00043501"/>
    <w:rsid w:val="00043711"/>
    <w:rsid w:val="0004376D"/>
    <w:rsid w:val="00043876"/>
    <w:rsid w:val="000438D3"/>
    <w:rsid w:val="00043AB3"/>
    <w:rsid w:val="00043AC8"/>
    <w:rsid w:val="00043AD4"/>
    <w:rsid w:val="00043B21"/>
    <w:rsid w:val="00043C2A"/>
    <w:rsid w:val="00043C2C"/>
    <w:rsid w:val="00043D26"/>
    <w:rsid w:val="00043DEE"/>
    <w:rsid w:val="00043EC0"/>
    <w:rsid w:val="00043EFD"/>
    <w:rsid w:val="00043FF3"/>
    <w:rsid w:val="00044041"/>
    <w:rsid w:val="000440F8"/>
    <w:rsid w:val="00044169"/>
    <w:rsid w:val="000442C1"/>
    <w:rsid w:val="00044331"/>
    <w:rsid w:val="00044530"/>
    <w:rsid w:val="00044532"/>
    <w:rsid w:val="000445B8"/>
    <w:rsid w:val="0004483A"/>
    <w:rsid w:val="0004493F"/>
    <w:rsid w:val="00044975"/>
    <w:rsid w:val="000449C1"/>
    <w:rsid w:val="000449E2"/>
    <w:rsid w:val="00044A2B"/>
    <w:rsid w:val="00044BA4"/>
    <w:rsid w:val="00044C40"/>
    <w:rsid w:val="00044CE3"/>
    <w:rsid w:val="00044E9F"/>
    <w:rsid w:val="00044F8B"/>
    <w:rsid w:val="00044FA6"/>
    <w:rsid w:val="00045060"/>
    <w:rsid w:val="000451AD"/>
    <w:rsid w:val="000452BE"/>
    <w:rsid w:val="0004530D"/>
    <w:rsid w:val="0004560E"/>
    <w:rsid w:val="0004574F"/>
    <w:rsid w:val="0004585A"/>
    <w:rsid w:val="000459DD"/>
    <w:rsid w:val="00045AB8"/>
    <w:rsid w:val="00045B7D"/>
    <w:rsid w:val="00045C67"/>
    <w:rsid w:val="00045CA9"/>
    <w:rsid w:val="00045DD1"/>
    <w:rsid w:val="00045ED8"/>
    <w:rsid w:val="00045FC5"/>
    <w:rsid w:val="00046083"/>
    <w:rsid w:val="00046106"/>
    <w:rsid w:val="00046178"/>
    <w:rsid w:val="000463A7"/>
    <w:rsid w:val="000463F3"/>
    <w:rsid w:val="000463FE"/>
    <w:rsid w:val="000464DD"/>
    <w:rsid w:val="000465B3"/>
    <w:rsid w:val="0004680D"/>
    <w:rsid w:val="00046978"/>
    <w:rsid w:val="00046992"/>
    <w:rsid w:val="000469D4"/>
    <w:rsid w:val="00046A14"/>
    <w:rsid w:val="00046B5A"/>
    <w:rsid w:val="00046C6C"/>
    <w:rsid w:val="00046CC5"/>
    <w:rsid w:val="00046EF1"/>
    <w:rsid w:val="00046F0F"/>
    <w:rsid w:val="00046F97"/>
    <w:rsid w:val="00046FB6"/>
    <w:rsid w:val="00047028"/>
    <w:rsid w:val="0004711E"/>
    <w:rsid w:val="0004719A"/>
    <w:rsid w:val="00047266"/>
    <w:rsid w:val="000472CB"/>
    <w:rsid w:val="00047382"/>
    <w:rsid w:val="000473C1"/>
    <w:rsid w:val="0004744B"/>
    <w:rsid w:val="00047508"/>
    <w:rsid w:val="00047564"/>
    <w:rsid w:val="000475D4"/>
    <w:rsid w:val="0004764E"/>
    <w:rsid w:val="000476E8"/>
    <w:rsid w:val="0004785A"/>
    <w:rsid w:val="0004786A"/>
    <w:rsid w:val="00047954"/>
    <w:rsid w:val="000479C9"/>
    <w:rsid w:val="00047AD9"/>
    <w:rsid w:val="00047B42"/>
    <w:rsid w:val="00047BEB"/>
    <w:rsid w:val="00047D14"/>
    <w:rsid w:val="00047DF8"/>
    <w:rsid w:val="00047E60"/>
    <w:rsid w:val="00047EA6"/>
    <w:rsid w:val="00047EC3"/>
    <w:rsid w:val="00047F6E"/>
    <w:rsid w:val="00050022"/>
    <w:rsid w:val="00050076"/>
    <w:rsid w:val="000501B7"/>
    <w:rsid w:val="00050273"/>
    <w:rsid w:val="000502AD"/>
    <w:rsid w:val="000502EF"/>
    <w:rsid w:val="000503A8"/>
    <w:rsid w:val="00050445"/>
    <w:rsid w:val="00050454"/>
    <w:rsid w:val="000504F0"/>
    <w:rsid w:val="00050678"/>
    <w:rsid w:val="000506DB"/>
    <w:rsid w:val="00050709"/>
    <w:rsid w:val="000507C9"/>
    <w:rsid w:val="00050811"/>
    <w:rsid w:val="0005082C"/>
    <w:rsid w:val="00050893"/>
    <w:rsid w:val="0005090A"/>
    <w:rsid w:val="0005096A"/>
    <w:rsid w:val="00050C2E"/>
    <w:rsid w:val="00050E78"/>
    <w:rsid w:val="00050F90"/>
    <w:rsid w:val="00050FEE"/>
    <w:rsid w:val="00051005"/>
    <w:rsid w:val="00051157"/>
    <w:rsid w:val="00051389"/>
    <w:rsid w:val="00051414"/>
    <w:rsid w:val="000514D7"/>
    <w:rsid w:val="0005151C"/>
    <w:rsid w:val="0005151F"/>
    <w:rsid w:val="0005153E"/>
    <w:rsid w:val="00051783"/>
    <w:rsid w:val="0005180D"/>
    <w:rsid w:val="000518A0"/>
    <w:rsid w:val="00051B14"/>
    <w:rsid w:val="00051BD8"/>
    <w:rsid w:val="00052028"/>
    <w:rsid w:val="0005224B"/>
    <w:rsid w:val="000522C5"/>
    <w:rsid w:val="0005254E"/>
    <w:rsid w:val="000526D9"/>
    <w:rsid w:val="00052981"/>
    <w:rsid w:val="00052C9A"/>
    <w:rsid w:val="000530D2"/>
    <w:rsid w:val="0005318D"/>
    <w:rsid w:val="0005320D"/>
    <w:rsid w:val="00053650"/>
    <w:rsid w:val="000536EF"/>
    <w:rsid w:val="0005380C"/>
    <w:rsid w:val="000538CE"/>
    <w:rsid w:val="0005396C"/>
    <w:rsid w:val="000539E2"/>
    <w:rsid w:val="00053A5F"/>
    <w:rsid w:val="00053BE9"/>
    <w:rsid w:val="00053D2F"/>
    <w:rsid w:val="00053DF6"/>
    <w:rsid w:val="00053FCB"/>
    <w:rsid w:val="000540E6"/>
    <w:rsid w:val="00054473"/>
    <w:rsid w:val="0005461F"/>
    <w:rsid w:val="00054802"/>
    <w:rsid w:val="00054816"/>
    <w:rsid w:val="000548D0"/>
    <w:rsid w:val="00054917"/>
    <w:rsid w:val="000549DC"/>
    <w:rsid w:val="00054A97"/>
    <w:rsid w:val="00054AE7"/>
    <w:rsid w:val="00054B34"/>
    <w:rsid w:val="00054DAC"/>
    <w:rsid w:val="00054DDB"/>
    <w:rsid w:val="00054E2F"/>
    <w:rsid w:val="00054EEB"/>
    <w:rsid w:val="00054EEC"/>
    <w:rsid w:val="00055090"/>
    <w:rsid w:val="0005526E"/>
    <w:rsid w:val="000552E2"/>
    <w:rsid w:val="00055473"/>
    <w:rsid w:val="000554AE"/>
    <w:rsid w:val="00055583"/>
    <w:rsid w:val="000557AF"/>
    <w:rsid w:val="000557F1"/>
    <w:rsid w:val="00055805"/>
    <w:rsid w:val="0005595F"/>
    <w:rsid w:val="00055BE0"/>
    <w:rsid w:val="00055BE7"/>
    <w:rsid w:val="00055D38"/>
    <w:rsid w:val="00055D6F"/>
    <w:rsid w:val="00055E14"/>
    <w:rsid w:val="00055F43"/>
    <w:rsid w:val="00055F71"/>
    <w:rsid w:val="000561A5"/>
    <w:rsid w:val="000561E9"/>
    <w:rsid w:val="0005623B"/>
    <w:rsid w:val="0005627E"/>
    <w:rsid w:val="0005634E"/>
    <w:rsid w:val="00056447"/>
    <w:rsid w:val="000564A2"/>
    <w:rsid w:val="00056639"/>
    <w:rsid w:val="0005674C"/>
    <w:rsid w:val="00056A06"/>
    <w:rsid w:val="00056B9D"/>
    <w:rsid w:val="00056C6D"/>
    <w:rsid w:val="00056D19"/>
    <w:rsid w:val="00056D8B"/>
    <w:rsid w:val="00056E82"/>
    <w:rsid w:val="00056F99"/>
    <w:rsid w:val="000570CC"/>
    <w:rsid w:val="000570D3"/>
    <w:rsid w:val="000571BA"/>
    <w:rsid w:val="000571EB"/>
    <w:rsid w:val="00057257"/>
    <w:rsid w:val="000574FD"/>
    <w:rsid w:val="00057506"/>
    <w:rsid w:val="000575C7"/>
    <w:rsid w:val="000575D5"/>
    <w:rsid w:val="0005762A"/>
    <w:rsid w:val="00057639"/>
    <w:rsid w:val="000577A9"/>
    <w:rsid w:val="000578C8"/>
    <w:rsid w:val="000579ED"/>
    <w:rsid w:val="00057A14"/>
    <w:rsid w:val="00057A36"/>
    <w:rsid w:val="00057BEE"/>
    <w:rsid w:val="00057C06"/>
    <w:rsid w:val="00057C4B"/>
    <w:rsid w:val="00057C51"/>
    <w:rsid w:val="00057CB4"/>
    <w:rsid w:val="00057CE3"/>
    <w:rsid w:val="00057D7D"/>
    <w:rsid w:val="00057E6F"/>
    <w:rsid w:val="00057E7E"/>
    <w:rsid w:val="00057F07"/>
    <w:rsid w:val="00057FD5"/>
    <w:rsid w:val="000601FF"/>
    <w:rsid w:val="00060260"/>
    <w:rsid w:val="00060299"/>
    <w:rsid w:val="000602E9"/>
    <w:rsid w:val="00060398"/>
    <w:rsid w:val="000603E0"/>
    <w:rsid w:val="00060491"/>
    <w:rsid w:val="000604AA"/>
    <w:rsid w:val="00060542"/>
    <w:rsid w:val="00060725"/>
    <w:rsid w:val="0006078B"/>
    <w:rsid w:val="000608A7"/>
    <w:rsid w:val="00060B28"/>
    <w:rsid w:val="00060BBC"/>
    <w:rsid w:val="00060D55"/>
    <w:rsid w:val="00060EBC"/>
    <w:rsid w:val="00060F5B"/>
    <w:rsid w:val="00060FE1"/>
    <w:rsid w:val="00060FF4"/>
    <w:rsid w:val="000610BE"/>
    <w:rsid w:val="00061282"/>
    <w:rsid w:val="00061392"/>
    <w:rsid w:val="00061458"/>
    <w:rsid w:val="000614CA"/>
    <w:rsid w:val="0006151A"/>
    <w:rsid w:val="000615CA"/>
    <w:rsid w:val="000615E9"/>
    <w:rsid w:val="000616AB"/>
    <w:rsid w:val="000617AC"/>
    <w:rsid w:val="00061825"/>
    <w:rsid w:val="00061847"/>
    <w:rsid w:val="00061855"/>
    <w:rsid w:val="0006187F"/>
    <w:rsid w:val="000618C6"/>
    <w:rsid w:val="00061D56"/>
    <w:rsid w:val="00061D6D"/>
    <w:rsid w:val="00061EC4"/>
    <w:rsid w:val="00061F56"/>
    <w:rsid w:val="00061FA2"/>
    <w:rsid w:val="00062009"/>
    <w:rsid w:val="0006211B"/>
    <w:rsid w:val="000622D5"/>
    <w:rsid w:val="0006231E"/>
    <w:rsid w:val="000623D8"/>
    <w:rsid w:val="000624AA"/>
    <w:rsid w:val="00062654"/>
    <w:rsid w:val="00062775"/>
    <w:rsid w:val="000627AB"/>
    <w:rsid w:val="00062865"/>
    <w:rsid w:val="000629F1"/>
    <w:rsid w:val="00062BC6"/>
    <w:rsid w:val="00062D19"/>
    <w:rsid w:val="00062D38"/>
    <w:rsid w:val="00062FBF"/>
    <w:rsid w:val="000630E2"/>
    <w:rsid w:val="000630FF"/>
    <w:rsid w:val="00063244"/>
    <w:rsid w:val="00063297"/>
    <w:rsid w:val="000632AD"/>
    <w:rsid w:val="00063498"/>
    <w:rsid w:val="00063591"/>
    <w:rsid w:val="000636A5"/>
    <w:rsid w:val="00063743"/>
    <w:rsid w:val="000637D7"/>
    <w:rsid w:val="000637E9"/>
    <w:rsid w:val="00063A7A"/>
    <w:rsid w:val="00063B0A"/>
    <w:rsid w:val="00063CAE"/>
    <w:rsid w:val="00063D16"/>
    <w:rsid w:val="00063EE1"/>
    <w:rsid w:val="00063F7A"/>
    <w:rsid w:val="0006401A"/>
    <w:rsid w:val="000640AA"/>
    <w:rsid w:val="000642CA"/>
    <w:rsid w:val="0006436E"/>
    <w:rsid w:val="00064414"/>
    <w:rsid w:val="000645DA"/>
    <w:rsid w:val="00064830"/>
    <w:rsid w:val="0006483C"/>
    <w:rsid w:val="0006486C"/>
    <w:rsid w:val="000648AF"/>
    <w:rsid w:val="000648F0"/>
    <w:rsid w:val="00064A3F"/>
    <w:rsid w:val="00064A77"/>
    <w:rsid w:val="00064A99"/>
    <w:rsid w:val="00064B32"/>
    <w:rsid w:val="00064D44"/>
    <w:rsid w:val="00064D76"/>
    <w:rsid w:val="00064E34"/>
    <w:rsid w:val="00064EF1"/>
    <w:rsid w:val="00064F66"/>
    <w:rsid w:val="00065107"/>
    <w:rsid w:val="0006515B"/>
    <w:rsid w:val="000651EE"/>
    <w:rsid w:val="0006523E"/>
    <w:rsid w:val="00065404"/>
    <w:rsid w:val="0006549B"/>
    <w:rsid w:val="00065597"/>
    <w:rsid w:val="000655C6"/>
    <w:rsid w:val="00065653"/>
    <w:rsid w:val="000656AD"/>
    <w:rsid w:val="00065917"/>
    <w:rsid w:val="00065A60"/>
    <w:rsid w:val="00065CBE"/>
    <w:rsid w:val="00065F1C"/>
    <w:rsid w:val="00066264"/>
    <w:rsid w:val="0006648B"/>
    <w:rsid w:val="000666CC"/>
    <w:rsid w:val="000667BF"/>
    <w:rsid w:val="00066821"/>
    <w:rsid w:val="00066883"/>
    <w:rsid w:val="00066893"/>
    <w:rsid w:val="00066972"/>
    <w:rsid w:val="00066B64"/>
    <w:rsid w:val="00066BB7"/>
    <w:rsid w:val="00066E06"/>
    <w:rsid w:val="00066E5C"/>
    <w:rsid w:val="00066F31"/>
    <w:rsid w:val="00066F3E"/>
    <w:rsid w:val="00066FBA"/>
    <w:rsid w:val="00066FDE"/>
    <w:rsid w:val="00067194"/>
    <w:rsid w:val="000671D6"/>
    <w:rsid w:val="000673B3"/>
    <w:rsid w:val="0006756E"/>
    <w:rsid w:val="00067640"/>
    <w:rsid w:val="000677B9"/>
    <w:rsid w:val="000678F0"/>
    <w:rsid w:val="00067949"/>
    <w:rsid w:val="0006798F"/>
    <w:rsid w:val="000679C9"/>
    <w:rsid w:val="00067A08"/>
    <w:rsid w:val="00067C3A"/>
    <w:rsid w:val="0007009D"/>
    <w:rsid w:val="00070261"/>
    <w:rsid w:val="00070338"/>
    <w:rsid w:val="000703FD"/>
    <w:rsid w:val="0007047D"/>
    <w:rsid w:val="000706F7"/>
    <w:rsid w:val="00070735"/>
    <w:rsid w:val="00070A40"/>
    <w:rsid w:val="00070B5D"/>
    <w:rsid w:val="00070BAB"/>
    <w:rsid w:val="00070D62"/>
    <w:rsid w:val="00070E09"/>
    <w:rsid w:val="00070E30"/>
    <w:rsid w:val="00070F1D"/>
    <w:rsid w:val="00071032"/>
    <w:rsid w:val="0007123C"/>
    <w:rsid w:val="00071294"/>
    <w:rsid w:val="0007144B"/>
    <w:rsid w:val="00071572"/>
    <w:rsid w:val="000718E8"/>
    <w:rsid w:val="00071967"/>
    <w:rsid w:val="000719A3"/>
    <w:rsid w:val="00071B97"/>
    <w:rsid w:val="00071CAC"/>
    <w:rsid w:val="00071CBE"/>
    <w:rsid w:val="00071F67"/>
    <w:rsid w:val="000720DD"/>
    <w:rsid w:val="00072127"/>
    <w:rsid w:val="00072480"/>
    <w:rsid w:val="000724B2"/>
    <w:rsid w:val="00072668"/>
    <w:rsid w:val="000726E5"/>
    <w:rsid w:val="000727DA"/>
    <w:rsid w:val="0007294D"/>
    <w:rsid w:val="000729C3"/>
    <w:rsid w:val="00072A13"/>
    <w:rsid w:val="00072B9C"/>
    <w:rsid w:val="00072BF6"/>
    <w:rsid w:val="00072BFA"/>
    <w:rsid w:val="00072CCE"/>
    <w:rsid w:val="00072DB1"/>
    <w:rsid w:val="00072EE9"/>
    <w:rsid w:val="00072FA3"/>
    <w:rsid w:val="000731A4"/>
    <w:rsid w:val="000731AE"/>
    <w:rsid w:val="00073207"/>
    <w:rsid w:val="00073281"/>
    <w:rsid w:val="0007331E"/>
    <w:rsid w:val="000734B6"/>
    <w:rsid w:val="000734F1"/>
    <w:rsid w:val="000735E9"/>
    <w:rsid w:val="0007366C"/>
    <w:rsid w:val="000736A3"/>
    <w:rsid w:val="000736A9"/>
    <w:rsid w:val="00073760"/>
    <w:rsid w:val="00073839"/>
    <w:rsid w:val="000739B0"/>
    <w:rsid w:val="00073A5E"/>
    <w:rsid w:val="00073AC8"/>
    <w:rsid w:val="00073C64"/>
    <w:rsid w:val="00073E22"/>
    <w:rsid w:val="0007401E"/>
    <w:rsid w:val="000740E5"/>
    <w:rsid w:val="0007415A"/>
    <w:rsid w:val="000741F3"/>
    <w:rsid w:val="000742D8"/>
    <w:rsid w:val="0007443F"/>
    <w:rsid w:val="00074489"/>
    <w:rsid w:val="0007496A"/>
    <w:rsid w:val="00074AED"/>
    <w:rsid w:val="00074B25"/>
    <w:rsid w:val="00074CD9"/>
    <w:rsid w:val="00074CED"/>
    <w:rsid w:val="00074D16"/>
    <w:rsid w:val="00074E80"/>
    <w:rsid w:val="00074FF8"/>
    <w:rsid w:val="000750B8"/>
    <w:rsid w:val="00075177"/>
    <w:rsid w:val="00075460"/>
    <w:rsid w:val="0007559A"/>
    <w:rsid w:val="000755F0"/>
    <w:rsid w:val="00075601"/>
    <w:rsid w:val="0007565D"/>
    <w:rsid w:val="0007566B"/>
    <w:rsid w:val="00075703"/>
    <w:rsid w:val="00075857"/>
    <w:rsid w:val="0007585D"/>
    <w:rsid w:val="0007588B"/>
    <w:rsid w:val="000759C3"/>
    <w:rsid w:val="00075A3B"/>
    <w:rsid w:val="00075AA7"/>
    <w:rsid w:val="00075B76"/>
    <w:rsid w:val="00075C9E"/>
    <w:rsid w:val="00075DD9"/>
    <w:rsid w:val="00075DFC"/>
    <w:rsid w:val="00075E0C"/>
    <w:rsid w:val="00076033"/>
    <w:rsid w:val="0007607F"/>
    <w:rsid w:val="000760B0"/>
    <w:rsid w:val="00076164"/>
    <w:rsid w:val="000761BA"/>
    <w:rsid w:val="000762F1"/>
    <w:rsid w:val="0007634F"/>
    <w:rsid w:val="000764D4"/>
    <w:rsid w:val="000765CA"/>
    <w:rsid w:val="000766FB"/>
    <w:rsid w:val="0007679D"/>
    <w:rsid w:val="000767A9"/>
    <w:rsid w:val="00076853"/>
    <w:rsid w:val="000769AB"/>
    <w:rsid w:val="00076A56"/>
    <w:rsid w:val="00076BF2"/>
    <w:rsid w:val="00076C46"/>
    <w:rsid w:val="00076F1C"/>
    <w:rsid w:val="00076F90"/>
    <w:rsid w:val="00077002"/>
    <w:rsid w:val="000770D3"/>
    <w:rsid w:val="0007722F"/>
    <w:rsid w:val="0007727E"/>
    <w:rsid w:val="000772AC"/>
    <w:rsid w:val="0007733E"/>
    <w:rsid w:val="00077485"/>
    <w:rsid w:val="00077559"/>
    <w:rsid w:val="00077565"/>
    <w:rsid w:val="000775D8"/>
    <w:rsid w:val="000775F0"/>
    <w:rsid w:val="000777D9"/>
    <w:rsid w:val="00077A6C"/>
    <w:rsid w:val="00077A93"/>
    <w:rsid w:val="00077B6F"/>
    <w:rsid w:val="00077C26"/>
    <w:rsid w:val="00077D72"/>
    <w:rsid w:val="00077D85"/>
    <w:rsid w:val="00077D8D"/>
    <w:rsid w:val="00077F63"/>
    <w:rsid w:val="00080328"/>
    <w:rsid w:val="00080396"/>
    <w:rsid w:val="0008047C"/>
    <w:rsid w:val="00080744"/>
    <w:rsid w:val="0008083C"/>
    <w:rsid w:val="0008090A"/>
    <w:rsid w:val="00080A52"/>
    <w:rsid w:val="00080A86"/>
    <w:rsid w:val="00080B94"/>
    <w:rsid w:val="00080E3D"/>
    <w:rsid w:val="00080EF5"/>
    <w:rsid w:val="00080F18"/>
    <w:rsid w:val="00081080"/>
    <w:rsid w:val="000810E1"/>
    <w:rsid w:val="00081277"/>
    <w:rsid w:val="00081280"/>
    <w:rsid w:val="0008133B"/>
    <w:rsid w:val="0008138D"/>
    <w:rsid w:val="000813AF"/>
    <w:rsid w:val="000813E2"/>
    <w:rsid w:val="00081401"/>
    <w:rsid w:val="0008141E"/>
    <w:rsid w:val="000814A0"/>
    <w:rsid w:val="000814E9"/>
    <w:rsid w:val="00081522"/>
    <w:rsid w:val="00081632"/>
    <w:rsid w:val="000816D7"/>
    <w:rsid w:val="00081845"/>
    <w:rsid w:val="000818B4"/>
    <w:rsid w:val="00081A6D"/>
    <w:rsid w:val="00081ADB"/>
    <w:rsid w:val="00081BE5"/>
    <w:rsid w:val="00081CB9"/>
    <w:rsid w:val="00081CDA"/>
    <w:rsid w:val="00081D0A"/>
    <w:rsid w:val="00082150"/>
    <w:rsid w:val="00082332"/>
    <w:rsid w:val="0008237C"/>
    <w:rsid w:val="00082413"/>
    <w:rsid w:val="000826D5"/>
    <w:rsid w:val="00082739"/>
    <w:rsid w:val="00082766"/>
    <w:rsid w:val="0008277E"/>
    <w:rsid w:val="000827D8"/>
    <w:rsid w:val="00082BB8"/>
    <w:rsid w:val="00082BF6"/>
    <w:rsid w:val="00082BFD"/>
    <w:rsid w:val="00082C77"/>
    <w:rsid w:val="00082D88"/>
    <w:rsid w:val="000831F4"/>
    <w:rsid w:val="0008320F"/>
    <w:rsid w:val="00083346"/>
    <w:rsid w:val="000835B9"/>
    <w:rsid w:val="00083717"/>
    <w:rsid w:val="0008376A"/>
    <w:rsid w:val="00083828"/>
    <w:rsid w:val="00083857"/>
    <w:rsid w:val="00083879"/>
    <w:rsid w:val="000838B5"/>
    <w:rsid w:val="000838BB"/>
    <w:rsid w:val="000838C7"/>
    <w:rsid w:val="00083906"/>
    <w:rsid w:val="00083E92"/>
    <w:rsid w:val="00083F98"/>
    <w:rsid w:val="000840BB"/>
    <w:rsid w:val="000843C9"/>
    <w:rsid w:val="00084408"/>
    <w:rsid w:val="00084588"/>
    <w:rsid w:val="0008472A"/>
    <w:rsid w:val="0008473E"/>
    <w:rsid w:val="00084856"/>
    <w:rsid w:val="000849D8"/>
    <w:rsid w:val="00084A1B"/>
    <w:rsid w:val="00084BFE"/>
    <w:rsid w:val="00084C3F"/>
    <w:rsid w:val="00084C74"/>
    <w:rsid w:val="00084DA6"/>
    <w:rsid w:val="00084E09"/>
    <w:rsid w:val="00084ED3"/>
    <w:rsid w:val="00084F0F"/>
    <w:rsid w:val="00084F39"/>
    <w:rsid w:val="0008521E"/>
    <w:rsid w:val="000852D1"/>
    <w:rsid w:val="0008545A"/>
    <w:rsid w:val="0008569E"/>
    <w:rsid w:val="00085728"/>
    <w:rsid w:val="000857BE"/>
    <w:rsid w:val="00085B4E"/>
    <w:rsid w:val="00085C0C"/>
    <w:rsid w:val="00085D8B"/>
    <w:rsid w:val="00085D93"/>
    <w:rsid w:val="00085E4F"/>
    <w:rsid w:val="0008608F"/>
    <w:rsid w:val="000861B1"/>
    <w:rsid w:val="0008657F"/>
    <w:rsid w:val="000866CF"/>
    <w:rsid w:val="000867FE"/>
    <w:rsid w:val="0008688B"/>
    <w:rsid w:val="000868D9"/>
    <w:rsid w:val="0008690F"/>
    <w:rsid w:val="00086A70"/>
    <w:rsid w:val="00086BE7"/>
    <w:rsid w:val="00086C39"/>
    <w:rsid w:val="00086C54"/>
    <w:rsid w:val="00086CD4"/>
    <w:rsid w:val="00086E37"/>
    <w:rsid w:val="00086FB1"/>
    <w:rsid w:val="00086FB6"/>
    <w:rsid w:val="00086FCB"/>
    <w:rsid w:val="0008707B"/>
    <w:rsid w:val="000871C0"/>
    <w:rsid w:val="000872E7"/>
    <w:rsid w:val="0008756A"/>
    <w:rsid w:val="0008765F"/>
    <w:rsid w:val="000876E9"/>
    <w:rsid w:val="0008795D"/>
    <w:rsid w:val="0008797C"/>
    <w:rsid w:val="00087B34"/>
    <w:rsid w:val="00087B7F"/>
    <w:rsid w:val="00087C67"/>
    <w:rsid w:val="00087D5C"/>
    <w:rsid w:val="00087ED7"/>
    <w:rsid w:val="00087FD6"/>
    <w:rsid w:val="00090051"/>
    <w:rsid w:val="00090073"/>
    <w:rsid w:val="000902F7"/>
    <w:rsid w:val="000904A4"/>
    <w:rsid w:val="00090572"/>
    <w:rsid w:val="000907B0"/>
    <w:rsid w:val="00090924"/>
    <w:rsid w:val="00090A46"/>
    <w:rsid w:val="00090B64"/>
    <w:rsid w:val="00090BE8"/>
    <w:rsid w:val="00090C0D"/>
    <w:rsid w:val="00090DE0"/>
    <w:rsid w:val="00090DEB"/>
    <w:rsid w:val="00090F7A"/>
    <w:rsid w:val="0009100E"/>
    <w:rsid w:val="00091161"/>
    <w:rsid w:val="0009136C"/>
    <w:rsid w:val="0009137C"/>
    <w:rsid w:val="000914C0"/>
    <w:rsid w:val="00091676"/>
    <w:rsid w:val="00091696"/>
    <w:rsid w:val="000916EE"/>
    <w:rsid w:val="00091719"/>
    <w:rsid w:val="000917EC"/>
    <w:rsid w:val="00091883"/>
    <w:rsid w:val="000918C0"/>
    <w:rsid w:val="00091A44"/>
    <w:rsid w:val="00091AFB"/>
    <w:rsid w:val="00091B5F"/>
    <w:rsid w:val="00091B6B"/>
    <w:rsid w:val="00091BC1"/>
    <w:rsid w:val="00091D67"/>
    <w:rsid w:val="00091DD9"/>
    <w:rsid w:val="00091EAF"/>
    <w:rsid w:val="00091EC8"/>
    <w:rsid w:val="00092107"/>
    <w:rsid w:val="0009210F"/>
    <w:rsid w:val="0009211A"/>
    <w:rsid w:val="00092134"/>
    <w:rsid w:val="000921E8"/>
    <w:rsid w:val="000923A2"/>
    <w:rsid w:val="00092536"/>
    <w:rsid w:val="000926CF"/>
    <w:rsid w:val="00092737"/>
    <w:rsid w:val="000927B3"/>
    <w:rsid w:val="00092860"/>
    <w:rsid w:val="0009294A"/>
    <w:rsid w:val="00092AAF"/>
    <w:rsid w:val="00092B92"/>
    <w:rsid w:val="00092C10"/>
    <w:rsid w:val="00092C89"/>
    <w:rsid w:val="00092DB8"/>
    <w:rsid w:val="00092F2D"/>
    <w:rsid w:val="000930DD"/>
    <w:rsid w:val="00093180"/>
    <w:rsid w:val="00093202"/>
    <w:rsid w:val="0009325D"/>
    <w:rsid w:val="00093261"/>
    <w:rsid w:val="000933CC"/>
    <w:rsid w:val="0009386C"/>
    <w:rsid w:val="00093894"/>
    <w:rsid w:val="000938C7"/>
    <w:rsid w:val="000938DE"/>
    <w:rsid w:val="0009396B"/>
    <w:rsid w:val="00093987"/>
    <w:rsid w:val="000939E8"/>
    <w:rsid w:val="00093C50"/>
    <w:rsid w:val="00093C90"/>
    <w:rsid w:val="00093D91"/>
    <w:rsid w:val="00093E97"/>
    <w:rsid w:val="00093F22"/>
    <w:rsid w:val="00093F4C"/>
    <w:rsid w:val="00093FA2"/>
    <w:rsid w:val="00093FDD"/>
    <w:rsid w:val="000941EC"/>
    <w:rsid w:val="0009425B"/>
    <w:rsid w:val="00094308"/>
    <w:rsid w:val="000944F9"/>
    <w:rsid w:val="0009450E"/>
    <w:rsid w:val="00094688"/>
    <w:rsid w:val="000946C5"/>
    <w:rsid w:val="00094780"/>
    <w:rsid w:val="000947BE"/>
    <w:rsid w:val="000948B6"/>
    <w:rsid w:val="0009498F"/>
    <w:rsid w:val="00094E12"/>
    <w:rsid w:val="00094E13"/>
    <w:rsid w:val="00094E40"/>
    <w:rsid w:val="00094E6E"/>
    <w:rsid w:val="00095110"/>
    <w:rsid w:val="00095162"/>
    <w:rsid w:val="000951B9"/>
    <w:rsid w:val="000953F9"/>
    <w:rsid w:val="0009547D"/>
    <w:rsid w:val="000955DB"/>
    <w:rsid w:val="00095631"/>
    <w:rsid w:val="0009568F"/>
    <w:rsid w:val="00095697"/>
    <w:rsid w:val="0009571F"/>
    <w:rsid w:val="000958A0"/>
    <w:rsid w:val="000958BC"/>
    <w:rsid w:val="0009595F"/>
    <w:rsid w:val="00095AA6"/>
    <w:rsid w:val="00095AC0"/>
    <w:rsid w:val="00095C29"/>
    <w:rsid w:val="00095D05"/>
    <w:rsid w:val="00095E7E"/>
    <w:rsid w:val="000960AA"/>
    <w:rsid w:val="00096220"/>
    <w:rsid w:val="000967DD"/>
    <w:rsid w:val="000968A6"/>
    <w:rsid w:val="000968F3"/>
    <w:rsid w:val="0009690D"/>
    <w:rsid w:val="00096954"/>
    <w:rsid w:val="00096BE8"/>
    <w:rsid w:val="00096D36"/>
    <w:rsid w:val="00096D37"/>
    <w:rsid w:val="00096D8B"/>
    <w:rsid w:val="00096EA6"/>
    <w:rsid w:val="00096FF4"/>
    <w:rsid w:val="00097051"/>
    <w:rsid w:val="00097240"/>
    <w:rsid w:val="00097348"/>
    <w:rsid w:val="000974E8"/>
    <w:rsid w:val="0009765A"/>
    <w:rsid w:val="00097890"/>
    <w:rsid w:val="00097B7C"/>
    <w:rsid w:val="00097C8F"/>
    <w:rsid w:val="00097D2B"/>
    <w:rsid w:val="00097DC9"/>
    <w:rsid w:val="00097E60"/>
    <w:rsid w:val="00097E7E"/>
    <w:rsid w:val="00097FEC"/>
    <w:rsid w:val="00097FF3"/>
    <w:rsid w:val="000A01B1"/>
    <w:rsid w:val="000A0211"/>
    <w:rsid w:val="000A02C8"/>
    <w:rsid w:val="000A0366"/>
    <w:rsid w:val="000A074A"/>
    <w:rsid w:val="000A0755"/>
    <w:rsid w:val="000A0A1A"/>
    <w:rsid w:val="000A0E06"/>
    <w:rsid w:val="000A0E11"/>
    <w:rsid w:val="000A0E9E"/>
    <w:rsid w:val="000A10CD"/>
    <w:rsid w:val="000A1222"/>
    <w:rsid w:val="000A1294"/>
    <w:rsid w:val="000A150A"/>
    <w:rsid w:val="000A1665"/>
    <w:rsid w:val="000A1694"/>
    <w:rsid w:val="000A17C3"/>
    <w:rsid w:val="000A1873"/>
    <w:rsid w:val="000A1A89"/>
    <w:rsid w:val="000A1DD5"/>
    <w:rsid w:val="000A1F9E"/>
    <w:rsid w:val="000A1FC6"/>
    <w:rsid w:val="000A205F"/>
    <w:rsid w:val="000A21C5"/>
    <w:rsid w:val="000A235A"/>
    <w:rsid w:val="000A238B"/>
    <w:rsid w:val="000A2523"/>
    <w:rsid w:val="000A255A"/>
    <w:rsid w:val="000A25C8"/>
    <w:rsid w:val="000A26E3"/>
    <w:rsid w:val="000A2742"/>
    <w:rsid w:val="000A27D0"/>
    <w:rsid w:val="000A28DD"/>
    <w:rsid w:val="000A299D"/>
    <w:rsid w:val="000A2B12"/>
    <w:rsid w:val="000A2B5F"/>
    <w:rsid w:val="000A2BB6"/>
    <w:rsid w:val="000A2BFE"/>
    <w:rsid w:val="000A2C27"/>
    <w:rsid w:val="000A2CE4"/>
    <w:rsid w:val="000A2D71"/>
    <w:rsid w:val="000A2DD5"/>
    <w:rsid w:val="000A3084"/>
    <w:rsid w:val="000A31D9"/>
    <w:rsid w:val="000A323A"/>
    <w:rsid w:val="000A32D0"/>
    <w:rsid w:val="000A33D7"/>
    <w:rsid w:val="000A3476"/>
    <w:rsid w:val="000A3518"/>
    <w:rsid w:val="000A3549"/>
    <w:rsid w:val="000A3574"/>
    <w:rsid w:val="000A35C5"/>
    <w:rsid w:val="000A3708"/>
    <w:rsid w:val="000A37BC"/>
    <w:rsid w:val="000A38E5"/>
    <w:rsid w:val="000A394E"/>
    <w:rsid w:val="000A3957"/>
    <w:rsid w:val="000A39A1"/>
    <w:rsid w:val="000A39DC"/>
    <w:rsid w:val="000A3A7D"/>
    <w:rsid w:val="000A3AA5"/>
    <w:rsid w:val="000A3BC4"/>
    <w:rsid w:val="000A3BDD"/>
    <w:rsid w:val="000A3C13"/>
    <w:rsid w:val="000A3CDE"/>
    <w:rsid w:val="000A3D77"/>
    <w:rsid w:val="000A3FDA"/>
    <w:rsid w:val="000A40BA"/>
    <w:rsid w:val="000A4117"/>
    <w:rsid w:val="000A4126"/>
    <w:rsid w:val="000A413D"/>
    <w:rsid w:val="000A4211"/>
    <w:rsid w:val="000A4363"/>
    <w:rsid w:val="000A43D5"/>
    <w:rsid w:val="000A463D"/>
    <w:rsid w:val="000A479D"/>
    <w:rsid w:val="000A4A85"/>
    <w:rsid w:val="000A4D58"/>
    <w:rsid w:val="000A4E2F"/>
    <w:rsid w:val="000A4EEA"/>
    <w:rsid w:val="000A5215"/>
    <w:rsid w:val="000A5316"/>
    <w:rsid w:val="000A54B5"/>
    <w:rsid w:val="000A552B"/>
    <w:rsid w:val="000A5695"/>
    <w:rsid w:val="000A572C"/>
    <w:rsid w:val="000A57AE"/>
    <w:rsid w:val="000A583B"/>
    <w:rsid w:val="000A5846"/>
    <w:rsid w:val="000A5888"/>
    <w:rsid w:val="000A595A"/>
    <w:rsid w:val="000A59FF"/>
    <w:rsid w:val="000A5A24"/>
    <w:rsid w:val="000A5B50"/>
    <w:rsid w:val="000A5C10"/>
    <w:rsid w:val="000A5C74"/>
    <w:rsid w:val="000A5CC2"/>
    <w:rsid w:val="000A5DCC"/>
    <w:rsid w:val="000A5FD5"/>
    <w:rsid w:val="000A6288"/>
    <w:rsid w:val="000A62FF"/>
    <w:rsid w:val="000A637A"/>
    <w:rsid w:val="000A66CD"/>
    <w:rsid w:val="000A67E3"/>
    <w:rsid w:val="000A68F8"/>
    <w:rsid w:val="000A6913"/>
    <w:rsid w:val="000A6916"/>
    <w:rsid w:val="000A69E2"/>
    <w:rsid w:val="000A6A92"/>
    <w:rsid w:val="000A6BAA"/>
    <w:rsid w:val="000A6CAB"/>
    <w:rsid w:val="000A6D44"/>
    <w:rsid w:val="000A6E62"/>
    <w:rsid w:val="000A70B6"/>
    <w:rsid w:val="000A70E9"/>
    <w:rsid w:val="000A70F4"/>
    <w:rsid w:val="000A74FD"/>
    <w:rsid w:val="000A763A"/>
    <w:rsid w:val="000A76F4"/>
    <w:rsid w:val="000A77B7"/>
    <w:rsid w:val="000A785D"/>
    <w:rsid w:val="000A797F"/>
    <w:rsid w:val="000A798B"/>
    <w:rsid w:val="000A7A81"/>
    <w:rsid w:val="000A7AA6"/>
    <w:rsid w:val="000A7B4D"/>
    <w:rsid w:val="000A7BB3"/>
    <w:rsid w:val="000A7C29"/>
    <w:rsid w:val="000A7C35"/>
    <w:rsid w:val="000A7F49"/>
    <w:rsid w:val="000B015D"/>
    <w:rsid w:val="000B021E"/>
    <w:rsid w:val="000B0310"/>
    <w:rsid w:val="000B03B1"/>
    <w:rsid w:val="000B0454"/>
    <w:rsid w:val="000B04AA"/>
    <w:rsid w:val="000B04DC"/>
    <w:rsid w:val="000B05A6"/>
    <w:rsid w:val="000B06F9"/>
    <w:rsid w:val="000B0700"/>
    <w:rsid w:val="000B084B"/>
    <w:rsid w:val="000B0872"/>
    <w:rsid w:val="000B0B8B"/>
    <w:rsid w:val="000B0C08"/>
    <w:rsid w:val="000B0C71"/>
    <w:rsid w:val="000B0D7A"/>
    <w:rsid w:val="000B0DA8"/>
    <w:rsid w:val="000B0DBB"/>
    <w:rsid w:val="000B0EC4"/>
    <w:rsid w:val="000B1072"/>
    <w:rsid w:val="000B111E"/>
    <w:rsid w:val="000B1124"/>
    <w:rsid w:val="000B11B2"/>
    <w:rsid w:val="000B1257"/>
    <w:rsid w:val="000B12C0"/>
    <w:rsid w:val="000B12E7"/>
    <w:rsid w:val="000B1429"/>
    <w:rsid w:val="000B1445"/>
    <w:rsid w:val="000B1560"/>
    <w:rsid w:val="000B1587"/>
    <w:rsid w:val="000B1A6B"/>
    <w:rsid w:val="000B1B79"/>
    <w:rsid w:val="000B1C04"/>
    <w:rsid w:val="000B1DFD"/>
    <w:rsid w:val="000B1FBC"/>
    <w:rsid w:val="000B202B"/>
    <w:rsid w:val="000B203F"/>
    <w:rsid w:val="000B2146"/>
    <w:rsid w:val="000B21BD"/>
    <w:rsid w:val="000B22DC"/>
    <w:rsid w:val="000B23E1"/>
    <w:rsid w:val="000B2433"/>
    <w:rsid w:val="000B247E"/>
    <w:rsid w:val="000B2480"/>
    <w:rsid w:val="000B250C"/>
    <w:rsid w:val="000B25E0"/>
    <w:rsid w:val="000B25E2"/>
    <w:rsid w:val="000B2676"/>
    <w:rsid w:val="000B27A0"/>
    <w:rsid w:val="000B2834"/>
    <w:rsid w:val="000B28D8"/>
    <w:rsid w:val="000B2A25"/>
    <w:rsid w:val="000B2A6B"/>
    <w:rsid w:val="000B2BA1"/>
    <w:rsid w:val="000B2C33"/>
    <w:rsid w:val="000B2C9A"/>
    <w:rsid w:val="000B2EC1"/>
    <w:rsid w:val="000B2EDA"/>
    <w:rsid w:val="000B301F"/>
    <w:rsid w:val="000B3024"/>
    <w:rsid w:val="000B30CA"/>
    <w:rsid w:val="000B31A8"/>
    <w:rsid w:val="000B31C5"/>
    <w:rsid w:val="000B32EE"/>
    <w:rsid w:val="000B3376"/>
    <w:rsid w:val="000B33DE"/>
    <w:rsid w:val="000B33F5"/>
    <w:rsid w:val="000B3466"/>
    <w:rsid w:val="000B353B"/>
    <w:rsid w:val="000B3621"/>
    <w:rsid w:val="000B369B"/>
    <w:rsid w:val="000B3835"/>
    <w:rsid w:val="000B383A"/>
    <w:rsid w:val="000B38D7"/>
    <w:rsid w:val="000B3AA6"/>
    <w:rsid w:val="000B3C17"/>
    <w:rsid w:val="000B3C42"/>
    <w:rsid w:val="000B3E3A"/>
    <w:rsid w:val="000B3E46"/>
    <w:rsid w:val="000B3FD9"/>
    <w:rsid w:val="000B404E"/>
    <w:rsid w:val="000B40BD"/>
    <w:rsid w:val="000B412C"/>
    <w:rsid w:val="000B4299"/>
    <w:rsid w:val="000B43B5"/>
    <w:rsid w:val="000B43DF"/>
    <w:rsid w:val="000B4464"/>
    <w:rsid w:val="000B4525"/>
    <w:rsid w:val="000B45E4"/>
    <w:rsid w:val="000B48D7"/>
    <w:rsid w:val="000B4B7B"/>
    <w:rsid w:val="000B4BAF"/>
    <w:rsid w:val="000B4BC1"/>
    <w:rsid w:val="000B4C8E"/>
    <w:rsid w:val="000B4C92"/>
    <w:rsid w:val="000B4C9C"/>
    <w:rsid w:val="000B4D05"/>
    <w:rsid w:val="000B4DB1"/>
    <w:rsid w:val="000B4E6D"/>
    <w:rsid w:val="000B5045"/>
    <w:rsid w:val="000B507C"/>
    <w:rsid w:val="000B518B"/>
    <w:rsid w:val="000B5196"/>
    <w:rsid w:val="000B52DD"/>
    <w:rsid w:val="000B5394"/>
    <w:rsid w:val="000B540C"/>
    <w:rsid w:val="000B55A2"/>
    <w:rsid w:val="000B5813"/>
    <w:rsid w:val="000B5B06"/>
    <w:rsid w:val="000B5BDA"/>
    <w:rsid w:val="000B5CC3"/>
    <w:rsid w:val="000B5CC6"/>
    <w:rsid w:val="000B5E6F"/>
    <w:rsid w:val="000B60FC"/>
    <w:rsid w:val="000B62CE"/>
    <w:rsid w:val="000B632E"/>
    <w:rsid w:val="000B63F0"/>
    <w:rsid w:val="000B6458"/>
    <w:rsid w:val="000B6607"/>
    <w:rsid w:val="000B6D78"/>
    <w:rsid w:val="000B6F1B"/>
    <w:rsid w:val="000B6F4D"/>
    <w:rsid w:val="000B7069"/>
    <w:rsid w:val="000B70B3"/>
    <w:rsid w:val="000B7100"/>
    <w:rsid w:val="000B7247"/>
    <w:rsid w:val="000B7250"/>
    <w:rsid w:val="000B72AC"/>
    <w:rsid w:val="000B743E"/>
    <w:rsid w:val="000B7444"/>
    <w:rsid w:val="000B74E4"/>
    <w:rsid w:val="000B75F5"/>
    <w:rsid w:val="000B7724"/>
    <w:rsid w:val="000B77CE"/>
    <w:rsid w:val="000B7869"/>
    <w:rsid w:val="000B794F"/>
    <w:rsid w:val="000B7A41"/>
    <w:rsid w:val="000B7AAB"/>
    <w:rsid w:val="000B7C80"/>
    <w:rsid w:val="000B7EB1"/>
    <w:rsid w:val="000B7F56"/>
    <w:rsid w:val="000B7FC2"/>
    <w:rsid w:val="000C0019"/>
    <w:rsid w:val="000C00F4"/>
    <w:rsid w:val="000C0246"/>
    <w:rsid w:val="000C039A"/>
    <w:rsid w:val="000C0416"/>
    <w:rsid w:val="000C0439"/>
    <w:rsid w:val="000C0563"/>
    <w:rsid w:val="000C06EE"/>
    <w:rsid w:val="000C07FF"/>
    <w:rsid w:val="000C099F"/>
    <w:rsid w:val="000C0B73"/>
    <w:rsid w:val="000C0B77"/>
    <w:rsid w:val="000C0DEA"/>
    <w:rsid w:val="000C0ED7"/>
    <w:rsid w:val="000C1067"/>
    <w:rsid w:val="000C124C"/>
    <w:rsid w:val="000C1365"/>
    <w:rsid w:val="000C13DF"/>
    <w:rsid w:val="000C140E"/>
    <w:rsid w:val="000C1615"/>
    <w:rsid w:val="000C16EA"/>
    <w:rsid w:val="000C170B"/>
    <w:rsid w:val="000C18E3"/>
    <w:rsid w:val="000C1993"/>
    <w:rsid w:val="000C1994"/>
    <w:rsid w:val="000C1A6D"/>
    <w:rsid w:val="000C1AC4"/>
    <w:rsid w:val="000C1B03"/>
    <w:rsid w:val="000C1C75"/>
    <w:rsid w:val="000C1CD4"/>
    <w:rsid w:val="000C23A3"/>
    <w:rsid w:val="000C2528"/>
    <w:rsid w:val="000C25D9"/>
    <w:rsid w:val="000C262F"/>
    <w:rsid w:val="000C26DF"/>
    <w:rsid w:val="000C2929"/>
    <w:rsid w:val="000C296E"/>
    <w:rsid w:val="000C2A42"/>
    <w:rsid w:val="000C2A77"/>
    <w:rsid w:val="000C2A87"/>
    <w:rsid w:val="000C2C14"/>
    <w:rsid w:val="000C2D0F"/>
    <w:rsid w:val="000C2DFE"/>
    <w:rsid w:val="000C2F04"/>
    <w:rsid w:val="000C2F26"/>
    <w:rsid w:val="000C2F61"/>
    <w:rsid w:val="000C301E"/>
    <w:rsid w:val="000C3032"/>
    <w:rsid w:val="000C30AF"/>
    <w:rsid w:val="000C3106"/>
    <w:rsid w:val="000C311C"/>
    <w:rsid w:val="000C32B2"/>
    <w:rsid w:val="000C3362"/>
    <w:rsid w:val="000C3433"/>
    <w:rsid w:val="000C3513"/>
    <w:rsid w:val="000C3539"/>
    <w:rsid w:val="000C3556"/>
    <w:rsid w:val="000C364C"/>
    <w:rsid w:val="000C3668"/>
    <w:rsid w:val="000C3676"/>
    <w:rsid w:val="000C3731"/>
    <w:rsid w:val="000C37B3"/>
    <w:rsid w:val="000C37FF"/>
    <w:rsid w:val="000C3C00"/>
    <w:rsid w:val="000C3CA1"/>
    <w:rsid w:val="000C3D2E"/>
    <w:rsid w:val="000C401A"/>
    <w:rsid w:val="000C4091"/>
    <w:rsid w:val="000C4105"/>
    <w:rsid w:val="000C41B7"/>
    <w:rsid w:val="000C41FD"/>
    <w:rsid w:val="000C427F"/>
    <w:rsid w:val="000C4515"/>
    <w:rsid w:val="000C4855"/>
    <w:rsid w:val="000C4888"/>
    <w:rsid w:val="000C4A5C"/>
    <w:rsid w:val="000C4B1D"/>
    <w:rsid w:val="000C4CA9"/>
    <w:rsid w:val="000C4D32"/>
    <w:rsid w:val="000C4DFC"/>
    <w:rsid w:val="000C4F23"/>
    <w:rsid w:val="000C4F7E"/>
    <w:rsid w:val="000C504B"/>
    <w:rsid w:val="000C5066"/>
    <w:rsid w:val="000C5114"/>
    <w:rsid w:val="000C521D"/>
    <w:rsid w:val="000C5387"/>
    <w:rsid w:val="000C5596"/>
    <w:rsid w:val="000C559E"/>
    <w:rsid w:val="000C567B"/>
    <w:rsid w:val="000C56C8"/>
    <w:rsid w:val="000C5866"/>
    <w:rsid w:val="000C58D3"/>
    <w:rsid w:val="000C58ED"/>
    <w:rsid w:val="000C5A46"/>
    <w:rsid w:val="000C5BE0"/>
    <w:rsid w:val="000C5C1D"/>
    <w:rsid w:val="000C5C27"/>
    <w:rsid w:val="000C5CC5"/>
    <w:rsid w:val="000C5D73"/>
    <w:rsid w:val="000C5DF7"/>
    <w:rsid w:val="000C5E3C"/>
    <w:rsid w:val="000C5ECB"/>
    <w:rsid w:val="000C5FDE"/>
    <w:rsid w:val="000C60D9"/>
    <w:rsid w:val="000C6159"/>
    <w:rsid w:val="000C623C"/>
    <w:rsid w:val="000C632B"/>
    <w:rsid w:val="000C638B"/>
    <w:rsid w:val="000C6423"/>
    <w:rsid w:val="000C661E"/>
    <w:rsid w:val="000C696B"/>
    <w:rsid w:val="000C6A49"/>
    <w:rsid w:val="000C6C7C"/>
    <w:rsid w:val="000C6C8F"/>
    <w:rsid w:val="000C6CFC"/>
    <w:rsid w:val="000C6D7D"/>
    <w:rsid w:val="000C6D94"/>
    <w:rsid w:val="000C6FBF"/>
    <w:rsid w:val="000C704B"/>
    <w:rsid w:val="000C70C8"/>
    <w:rsid w:val="000C7142"/>
    <w:rsid w:val="000C720B"/>
    <w:rsid w:val="000C72CE"/>
    <w:rsid w:val="000C739A"/>
    <w:rsid w:val="000C748E"/>
    <w:rsid w:val="000C75F3"/>
    <w:rsid w:val="000C7963"/>
    <w:rsid w:val="000C79F7"/>
    <w:rsid w:val="000C7AE4"/>
    <w:rsid w:val="000C7BBE"/>
    <w:rsid w:val="000C7DF4"/>
    <w:rsid w:val="000C7E88"/>
    <w:rsid w:val="000C7EB5"/>
    <w:rsid w:val="000C7F63"/>
    <w:rsid w:val="000D010C"/>
    <w:rsid w:val="000D0274"/>
    <w:rsid w:val="000D02B0"/>
    <w:rsid w:val="000D03BA"/>
    <w:rsid w:val="000D049C"/>
    <w:rsid w:val="000D07AD"/>
    <w:rsid w:val="000D0814"/>
    <w:rsid w:val="000D0E50"/>
    <w:rsid w:val="000D0EB7"/>
    <w:rsid w:val="000D0ED2"/>
    <w:rsid w:val="000D0EEC"/>
    <w:rsid w:val="000D0F7E"/>
    <w:rsid w:val="000D0FA2"/>
    <w:rsid w:val="000D10FE"/>
    <w:rsid w:val="000D1113"/>
    <w:rsid w:val="000D1192"/>
    <w:rsid w:val="000D11DC"/>
    <w:rsid w:val="000D11F1"/>
    <w:rsid w:val="000D127F"/>
    <w:rsid w:val="000D130C"/>
    <w:rsid w:val="000D13AF"/>
    <w:rsid w:val="000D1619"/>
    <w:rsid w:val="000D1620"/>
    <w:rsid w:val="000D1633"/>
    <w:rsid w:val="000D164B"/>
    <w:rsid w:val="000D16A7"/>
    <w:rsid w:val="000D16DE"/>
    <w:rsid w:val="000D18EA"/>
    <w:rsid w:val="000D1ADA"/>
    <w:rsid w:val="000D1C56"/>
    <w:rsid w:val="000D1D52"/>
    <w:rsid w:val="000D1E35"/>
    <w:rsid w:val="000D2008"/>
    <w:rsid w:val="000D2194"/>
    <w:rsid w:val="000D261C"/>
    <w:rsid w:val="000D29A6"/>
    <w:rsid w:val="000D2B7A"/>
    <w:rsid w:val="000D2B8A"/>
    <w:rsid w:val="000D2D4E"/>
    <w:rsid w:val="000D2D53"/>
    <w:rsid w:val="000D2DDE"/>
    <w:rsid w:val="000D2E23"/>
    <w:rsid w:val="000D2E3B"/>
    <w:rsid w:val="000D2FC3"/>
    <w:rsid w:val="000D30F4"/>
    <w:rsid w:val="000D3362"/>
    <w:rsid w:val="000D3734"/>
    <w:rsid w:val="000D3796"/>
    <w:rsid w:val="000D395D"/>
    <w:rsid w:val="000D3AF9"/>
    <w:rsid w:val="000D3BA8"/>
    <w:rsid w:val="000D3C53"/>
    <w:rsid w:val="000D3C79"/>
    <w:rsid w:val="000D3D03"/>
    <w:rsid w:val="000D3D14"/>
    <w:rsid w:val="000D3D2B"/>
    <w:rsid w:val="000D3D43"/>
    <w:rsid w:val="000D3FF5"/>
    <w:rsid w:val="000D4070"/>
    <w:rsid w:val="000D41AC"/>
    <w:rsid w:val="000D4237"/>
    <w:rsid w:val="000D4381"/>
    <w:rsid w:val="000D4385"/>
    <w:rsid w:val="000D471A"/>
    <w:rsid w:val="000D473C"/>
    <w:rsid w:val="000D47E8"/>
    <w:rsid w:val="000D4913"/>
    <w:rsid w:val="000D4A23"/>
    <w:rsid w:val="000D4A83"/>
    <w:rsid w:val="000D4AE5"/>
    <w:rsid w:val="000D4B36"/>
    <w:rsid w:val="000D4C37"/>
    <w:rsid w:val="000D4D1E"/>
    <w:rsid w:val="000D4FC9"/>
    <w:rsid w:val="000D4FE8"/>
    <w:rsid w:val="000D51A2"/>
    <w:rsid w:val="000D5580"/>
    <w:rsid w:val="000D5695"/>
    <w:rsid w:val="000D5917"/>
    <w:rsid w:val="000D5992"/>
    <w:rsid w:val="000D5C07"/>
    <w:rsid w:val="000D5F13"/>
    <w:rsid w:val="000D60E9"/>
    <w:rsid w:val="000D6286"/>
    <w:rsid w:val="000D6355"/>
    <w:rsid w:val="000D64FF"/>
    <w:rsid w:val="000D66FF"/>
    <w:rsid w:val="000D67A6"/>
    <w:rsid w:val="000D68BB"/>
    <w:rsid w:val="000D6B82"/>
    <w:rsid w:val="000D6BA2"/>
    <w:rsid w:val="000D6C90"/>
    <w:rsid w:val="000D6CD2"/>
    <w:rsid w:val="000D6CEB"/>
    <w:rsid w:val="000D6DAB"/>
    <w:rsid w:val="000D6FA2"/>
    <w:rsid w:val="000D7031"/>
    <w:rsid w:val="000D7063"/>
    <w:rsid w:val="000D709C"/>
    <w:rsid w:val="000D72C0"/>
    <w:rsid w:val="000D730B"/>
    <w:rsid w:val="000D7342"/>
    <w:rsid w:val="000D7406"/>
    <w:rsid w:val="000D7619"/>
    <w:rsid w:val="000D7629"/>
    <w:rsid w:val="000D77A4"/>
    <w:rsid w:val="000D7887"/>
    <w:rsid w:val="000D7972"/>
    <w:rsid w:val="000D7A64"/>
    <w:rsid w:val="000D7B9D"/>
    <w:rsid w:val="000D7C44"/>
    <w:rsid w:val="000D7E66"/>
    <w:rsid w:val="000E004B"/>
    <w:rsid w:val="000E0075"/>
    <w:rsid w:val="000E00CE"/>
    <w:rsid w:val="000E015A"/>
    <w:rsid w:val="000E0239"/>
    <w:rsid w:val="000E0262"/>
    <w:rsid w:val="000E0279"/>
    <w:rsid w:val="000E03AE"/>
    <w:rsid w:val="000E0560"/>
    <w:rsid w:val="000E066E"/>
    <w:rsid w:val="000E067A"/>
    <w:rsid w:val="000E06D2"/>
    <w:rsid w:val="000E0809"/>
    <w:rsid w:val="000E0822"/>
    <w:rsid w:val="000E0934"/>
    <w:rsid w:val="000E094C"/>
    <w:rsid w:val="000E09BB"/>
    <w:rsid w:val="000E0B20"/>
    <w:rsid w:val="000E0C99"/>
    <w:rsid w:val="000E1039"/>
    <w:rsid w:val="000E1498"/>
    <w:rsid w:val="000E14A6"/>
    <w:rsid w:val="000E14CD"/>
    <w:rsid w:val="000E1663"/>
    <w:rsid w:val="000E1809"/>
    <w:rsid w:val="000E18B7"/>
    <w:rsid w:val="000E1933"/>
    <w:rsid w:val="000E1A34"/>
    <w:rsid w:val="000E1A92"/>
    <w:rsid w:val="000E1B34"/>
    <w:rsid w:val="000E1B44"/>
    <w:rsid w:val="000E1C77"/>
    <w:rsid w:val="000E1CB0"/>
    <w:rsid w:val="000E1E0B"/>
    <w:rsid w:val="000E2114"/>
    <w:rsid w:val="000E21AB"/>
    <w:rsid w:val="000E24DC"/>
    <w:rsid w:val="000E25F2"/>
    <w:rsid w:val="000E26D3"/>
    <w:rsid w:val="000E2770"/>
    <w:rsid w:val="000E2837"/>
    <w:rsid w:val="000E28D1"/>
    <w:rsid w:val="000E291B"/>
    <w:rsid w:val="000E2964"/>
    <w:rsid w:val="000E2C29"/>
    <w:rsid w:val="000E2E20"/>
    <w:rsid w:val="000E2E7C"/>
    <w:rsid w:val="000E301C"/>
    <w:rsid w:val="000E30B7"/>
    <w:rsid w:val="000E30D5"/>
    <w:rsid w:val="000E30F1"/>
    <w:rsid w:val="000E323C"/>
    <w:rsid w:val="000E3267"/>
    <w:rsid w:val="000E3306"/>
    <w:rsid w:val="000E344A"/>
    <w:rsid w:val="000E34D8"/>
    <w:rsid w:val="000E3528"/>
    <w:rsid w:val="000E3793"/>
    <w:rsid w:val="000E3815"/>
    <w:rsid w:val="000E38D4"/>
    <w:rsid w:val="000E3940"/>
    <w:rsid w:val="000E398B"/>
    <w:rsid w:val="000E39CB"/>
    <w:rsid w:val="000E3A38"/>
    <w:rsid w:val="000E3A63"/>
    <w:rsid w:val="000E3A6B"/>
    <w:rsid w:val="000E3A6C"/>
    <w:rsid w:val="000E3CAF"/>
    <w:rsid w:val="000E3D1F"/>
    <w:rsid w:val="000E414F"/>
    <w:rsid w:val="000E41BA"/>
    <w:rsid w:val="000E426D"/>
    <w:rsid w:val="000E4585"/>
    <w:rsid w:val="000E46C0"/>
    <w:rsid w:val="000E4818"/>
    <w:rsid w:val="000E4870"/>
    <w:rsid w:val="000E4A63"/>
    <w:rsid w:val="000E4A8D"/>
    <w:rsid w:val="000E4C39"/>
    <w:rsid w:val="000E4CFA"/>
    <w:rsid w:val="000E4ECD"/>
    <w:rsid w:val="000E4F03"/>
    <w:rsid w:val="000E521D"/>
    <w:rsid w:val="000E521F"/>
    <w:rsid w:val="000E543A"/>
    <w:rsid w:val="000E5465"/>
    <w:rsid w:val="000E54D9"/>
    <w:rsid w:val="000E5619"/>
    <w:rsid w:val="000E59EB"/>
    <w:rsid w:val="000E5E9A"/>
    <w:rsid w:val="000E5F75"/>
    <w:rsid w:val="000E5FC3"/>
    <w:rsid w:val="000E60B3"/>
    <w:rsid w:val="000E6314"/>
    <w:rsid w:val="000E6388"/>
    <w:rsid w:val="000E65EF"/>
    <w:rsid w:val="000E674B"/>
    <w:rsid w:val="000E68BB"/>
    <w:rsid w:val="000E6A01"/>
    <w:rsid w:val="000E6A81"/>
    <w:rsid w:val="000E6ABF"/>
    <w:rsid w:val="000E6BFE"/>
    <w:rsid w:val="000E6DD6"/>
    <w:rsid w:val="000E6DF1"/>
    <w:rsid w:val="000E6F62"/>
    <w:rsid w:val="000E6F6D"/>
    <w:rsid w:val="000E71B5"/>
    <w:rsid w:val="000E71FB"/>
    <w:rsid w:val="000E723C"/>
    <w:rsid w:val="000E72E3"/>
    <w:rsid w:val="000E73D8"/>
    <w:rsid w:val="000E7611"/>
    <w:rsid w:val="000E7690"/>
    <w:rsid w:val="000E76B2"/>
    <w:rsid w:val="000E76CC"/>
    <w:rsid w:val="000E77AC"/>
    <w:rsid w:val="000E7B34"/>
    <w:rsid w:val="000E7D03"/>
    <w:rsid w:val="000E7DCA"/>
    <w:rsid w:val="000E7E2F"/>
    <w:rsid w:val="000E7F16"/>
    <w:rsid w:val="000E7FAF"/>
    <w:rsid w:val="000F0195"/>
    <w:rsid w:val="000F01BD"/>
    <w:rsid w:val="000F01D0"/>
    <w:rsid w:val="000F01FD"/>
    <w:rsid w:val="000F020F"/>
    <w:rsid w:val="000F0214"/>
    <w:rsid w:val="000F02A9"/>
    <w:rsid w:val="000F02CE"/>
    <w:rsid w:val="000F038D"/>
    <w:rsid w:val="000F049C"/>
    <w:rsid w:val="000F04C3"/>
    <w:rsid w:val="000F050E"/>
    <w:rsid w:val="000F075A"/>
    <w:rsid w:val="000F07D1"/>
    <w:rsid w:val="000F0867"/>
    <w:rsid w:val="000F0990"/>
    <w:rsid w:val="000F0AA9"/>
    <w:rsid w:val="000F0AEB"/>
    <w:rsid w:val="000F0C0A"/>
    <w:rsid w:val="000F0C49"/>
    <w:rsid w:val="000F0E62"/>
    <w:rsid w:val="000F0EA4"/>
    <w:rsid w:val="000F0EFF"/>
    <w:rsid w:val="000F1006"/>
    <w:rsid w:val="000F1127"/>
    <w:rsid w:val="000F1191"/>
    <w:rsid w:val="000F1361"/>
    <w:rsid w:val="000F1400"/>
    <w:rsid w:val="000F143C"/>
    <w:rsid w:val="000F1462"/>
    <w:rsid w:val="000F14D2"/>
    <w:rsid w:val="000F15EA"/>
    <w:rsid w:val="000F16C8"/>
    <w:rsid w:val="000F1750"/>
    <w:rsid w:val="000F17AD"/>
    <w:rsid w:val="000F1A9C"/>
    <w:rsid w:val="000F1B4D"/>
    <w:rsid w:val="000F1C35"/>
    <w:rsid w:val="000F211E"/>
    <w:rsid w:val="000F2180"/>
    <w:rsid w:val="000F2670"/>
    <w:rsid w:val="000F26F9"/>
    <w:rsid w:val="000F2722"/>
    <w:rsid w:val="000F2862"/>
    <w:rsid w:val="000F2940"/>
    <w:rsid w:val="000F2BEF"/>
    <w:rsid w:val="000F2DB2"/>
    <w:rsid w:val="000F2DB4"/>
    <w:rsid w:val="000F2DE4"/>
    <w:rsid w:val="000F2E39"/>
    <w:rsid w:val="000F2E6E"/>
    <w:rsid w:val="000F2EB5"/>
    <w:rsid w:val="000F2F63"/>
    <w:rsid w:val="000F2FE0"/>
    <w:rsid w:val="000F2FF3"/>
    <w:rsid w:val="000F3157"/>
    <w:rsid w:val="000F3262"/>
    <w:rsid w:val="000F32B9"/>
    <w:rsid w:val="000F339C"/>
    <w:rsid w:val="000F33C7"/>
    <w:rsid w:val="000F34B6"/>
    <w:rsid w:val="000F35FE"/>
    <w:rsid w:val="000F3770"/>
    <w:rsid w:val="000F3796"/>
    <w:rsid w:val="000F380A"/>
    <w:rsid w:val="000F395B"/>
    <w:rsid w:val="000F3B8B"/>
    <w:rsid w:val="000F3C5E"/>
    <w:rsid w:val="000F3F72"/>
    <w:rsid w:val="000F406A"/>
    <w:rsid w:val="000F4249"/>
    <w:rsid w:val="000F44E4"/>
    <w:rsid w:val="000F4535"/>
    <w:rsid w:val="000F4578"/>
    <w:rsid w:val="000F458B"/>
    <w:rsid w:val="000F46B4"/>
    <w:rsid w:val="000F4AC5"/>
    <w:rsid w:val="000F4B6E"/>
    <w:rsid w:val="000F4D8E"/>
    <w:rsid w:val="000F4F05"/>
    <w:rsid w:val="000F4F69"/>
    <w:rsid w:val="000F500B"/>
    <w:rsid w:val="000F52EE"/>
    <w:rsid w:val="000F53EF"/>
    <w:rsid w:val="000F5401"/>
    <w:rsid w:val="000F54EF"/>
    <w:rsid w:val="000F5551"/>
    <w:rsid w:val="000F56D7"/>
    <w:rsid w:val="000F572D"/>
    <w:rsid w:val="000F57A6"/>
    <w:rsid w:val="000F5820"/>
    <w:rsid w:val="000F588E"/>
    <w:rsid w:val="000F58E8"/>
    <w:rsid w:val="000F58F1"/>
    <w:rsid w:val="000F5A15"/>
    <w:rsid w:val="000F5D5A"/>
    <w:rsid w:val="000F5E27"/>
    <w:rsid w:val="000F5F0A"/>
    <w:rsid w:val="000F5FC2"/>
    <w:rsid w:val="000F606B"/>
    <w:rsid w:val="000F60E7"/>
    <w:rsid w:val="000F614C"/>
    <w:rsid w:val="000F625A"/>
    <w:rsid w:val="000F63B4"/>
    <w:rsid w:val="000F64A0"/>
    <w:rsid w:val="000F64F8"/>
    <w:rsid w:val="000F65A6"/>
    <w:rsid w:val="000F6604"/>
    <w:rsid w:val="000F666F"/>
    <w:rsid w:val="000F66D3"/>
    <w:rsid w:val="000F68A2"/>
    <w:rsid w:val="000F68BF"/>
    <w:rsid w:val="000F6948"/>
    <w:rsid w:val="000F6A9C"/>
    <w:rsid w:val="000F6BD4"/>
    <w:rsid w:val="000F70BD"/>
    <w:rsid w:val="000F70EC"/>
    <w:rsid w:val="000F7104"/>
    <w:rsid w:val="000F7139"/>
    <w:rsid w:val="000F7330"/>
    <w:rsid w:val="000F740A"/>
    <w:rsid w:val="000F75C3"/>
    <w:rsid w:val="000F761B"/>
    <w:rsid w:val="000F7669"/>
    <w:rsid w:val="000F7A5C"/>
    <w:rsid w:val="000F7BBB"/>
    <w:rsid w:val="000F7BC7"/>
    <w:rsid w:val="000F7C31"/>
    <w:rsid w:val="000F7CFD"/>
    <w:rsid w:val="000F7E93"/>
    <w:rsid w:val="000F7EFC"/>
    <w:rsid w:val="001000BF"/>
    <w:rsid w:val="001000C4"/>
    <w:rsid w:val="00100166"/>
    <w:rsid w:val="001002C8"/>
    <w:rsid w:val="001002E3"/>
    <w:rsid w:val="00100414"/>
    <w:rsid w:val="0010046E"/>
    <w:rsid w:val="00100569"/>
    <w:rsid w:val="00100874"/>
    <w:rsid w:val="0010087B"/>
    <w:rsid w:val="001009B0"/>
    <w:rsid w:val="00100AC6"/>
    <w:rsid w:val="00100AF5"/>
    <w:rsid w:val="00100B12"/>
    <w:rsid w:val="00100C3D"/>
    <w:rsid w:val="00100CC7"/>
    <w:rsid w:val="00100EDB"/>
    <w:rsid w:val="00100FD5"/>
    <w:rsid w:val="00100FF9"/>
    <w:rsid w:val="00100FFE"/>
    <w:rsid w:val="001012F2"/>
    <w:rsid w:val="001012F3"/>
    <w:rsid w:val="0010137B"/>
    <w:rsid w:val="001013DD"/>
    <w:rsid w:val="001015C9"/>
    <w:rsid w:val="00101776"/>
    <w:rsid w:val="001017A6"/>
    <w:rsid w:val="001018EA"/>
    <w:rsid w:val="00101A96"/>
    <w:rsid w:val="00101AF0"/>
    <w:rsid w:val="00101B51"/>
    <w:rsid w:val="00101C94"/>
    <w:rsid w:val="00101CA3"/>
    <w:rsid w:val="00101CB0"/>
    <w:rsid w:val="00101E36"/>
    <w:rsid w:val="00101ECA"/>
    <w:rsid w:val="00101F2D"/>
    <w:rsid w:val="00101F81"/>
    <w:rsid w:val="001020F7"/>
    <w:rsid w:val="001023CE"/>
    <w:rsid w:val="001023D9"/>
    <w:rsid w:val="00102506"/>
    <w:rsid w:val="0010251D"/>
    <w:rsid w:val="00102600"/>
    <w:rsid w:val="0010261E"/>
    <w:rsid w:val="00102724"/>
    <w:rsid w:val="0010284F"/>
    <w:rsid w:val="0010287B"/>
    <w:rsid w:val="001028B5"/>
    <w:rsid w:val="00102BC8"/>
    <w:rsid w:val="00102D0D"/>
    <w:rsid w:val="00102F9D"/>
    <w:rsid w:val="00103049"/>
    <w:rsid w:val="001030BB"/>
    <w:rsid w:val="00103323"/>
    <w:rsid w:val="0010356A"/>
    <w:rsid w:val="001036AE"/>
    <w:rsid w:val="00103712"/>
    <w:rsid w:val="0010376C"/>
    <w:rsid w:val="00103780"/>
    <w:rsid w:val="00103805"/>
    <w:rsid w:val="00103A6F"/>
    <w:rsid w:val="00103B55"/>
    <w:rsid w:val="00103B7C"/>
    <w:rsid w:val="00103D7A"/>
    <w:rsid w:val="00103F74"/>
    <w:rsid w:val="001040D9"/>
    <w:rsid w:val="0010412F"/>
    <w:rsid w:val="00104197"/>
    <w:rsid w:val="001041DC"/>
    <w:rsid w:val="0010428E"/>
    <w:rsid w:val="001043E2"/>
    <w:rsid w:val="00104423"/>
    <w:rsid w:val="0010456F"/>
    <w:rsid w:val="00104601"/>
    <w:rsid w:val="0010465A"/>
    <w:rsid w:val="00104737"/>
    <w:rsid w:val="00104751"/>
    <w:rsid w:val="001048C2"/>
    <w:rsid w:val="001048E1"/>
    <w:rsid w:val="00104A96"/>
    <w:rsid w:val="00104AAF"/>
    <w:rsid w:val="00104B87"/>
    <w:rsid w:val="00104BBD"/>
    <w:rsid w:val="00104FB6"/>
    <w:rsid w:val="00105099"/>
    <w:rsid w:val="001051B1"/>
    <w:rsid w:val="001052E4"/>
    <w:rsid w:val="001054C0"/>
    <w:rsid w:val="00105708"/>
    <w:rsid w:val="0010587F"/>
    <w:rsid w:val="00105967"/>
    <w:rsid w:val="0010596A"/>
    <w:rsid w:val="00105A87"/>
    <w:rsid w:val="00105AFC"/>
    <w:rsid w:val="00105BAE"/>
    <w:rsid w:val="00105C46"/>
    <w:rsid w:val="00105C91"/>
    <w:rsid w:val="00105D77"/>
    <w:rsid w:val="00105DB1"/>
    <w:rsid w:val="00105E6F"/>
    <w:rsid w:val="00105E98"/>
    <w:rsid w:val="001062CE"/>
    <w:rsid w:val="0010635F"/>
    <w:rsid w:val="001064C4"/>
    <w:rsid w:val="00106582"/>
    <w:rsid w:val="001065D4"/>
    <w:rsid w:val="0010681D"/>
    <w:rsid w:val="0010693E"/>
    <w:rsid w:val="00106A4E"/>
    <w:rsid w:val="00106A56"/>
    <w:rsid w:val="00106B03"/>
    <w:rsid w:val="00106D54"/>
    <w:rsid w:val="00106DB4"/>
    <w:rsid w:val="00106E19"/>
    <w:rsid w:val="001070C8"/>
    <w:rsid w:val="00107600"/>
    <w:rsid w:val="001076E8"/>
    <w:rsid w:val="001077E8"/>
    <w:rsid w:val="001078C9"/>
    <w:rsid w:val="001078D4"/>
    <w:rsid w:val="00107950"/>
    <w:rsid w:val="00107AA8"/>
    <w:rsid w:val="00107BB7"/>
    <w:rsid w:val="00107C1E"/>
    <w:rsid w:val="00107D0B"/>
    <w:rsid w:val="00107E1D"/>
    <w:rsid w:val="00107E5A"/>
    <w:rsid w:val="00107F4D"/>
    <w:rsid w:val="00107FAE"/>
    <w:rsid w:val="00107FC0"/>
    <w:rsid w:val="0011005F"/>
    <w:rsid w:val="001100E5"/>
    <w:rsid w:val="00110276"/>
    <w:rsid w:val="00110333"/>
    <w:rsid w:val="0011040B"/>
    <w:rsid w:val="00110460"/>
    <w:rsid w:val="0011048D"/>
    <w:rsid w:val="0011062D"/>
    <w:rsid w:val="001106B2"/>
    <w:rsid w:val="001106BC"/>
    <w:rsid w:val="00110781"/>
    <w:rsid w:val="00110843"/>
    <w:rsid w:val="001108EC"/>
    <w:rsid w:val="00110B78"/>
    <w:rsid w:val="00110DF5"/>
    <w:rsid w:val="00110F8B"/>
    <w:rsid w:val="00110F92"/>
    <w:rsid w:val="00110FF3"/>
    <w:rsid w:val="0011109F"/>
    <w:rsid w:val="00111142"/>
    <w:rsid w:val="001111C3"/>
    <w:rsid w:val="001111C9"/>
    <w:rsid w:val="001113C1"/>
    <w:rsid w:val="001113C2"/>
    <w:rsid w:val="00111404"/>
    <w:rsid w:val="001115B6"/>
    <w:rsid w:val="001115FB"/>
    <w:rsid w:val="001116C4"/>
    <w:rsid w:val="001117BA"/>
    <w:rsid w:val="001117CC"/>
    <w:rsid w:val="00111A25"/>
    <w:rsid w:val="00111C9F"/>
    <w:rsid w:val="00111CAD"/>
    <w:rsid w:val="00111CAF"/>
    <w:rsid w:val="00111CF9"/>
    <w:rsid w:val="00111D22"/>
    <w:rsid w:val="00111DDF"/>
    <w:rsid w:val="00111E97"/>
    <w:rsid w:val="00111E9C"/>
    <w:rsid w:val="00111F50"/>
    <w:rsid w:val="00111FC6"/>
    <w:rsid w:val="0011209E"/>
    <w:rsid w:val="0011214C"/>
    <w:rsid w:val="00112230"/>
    <w:rsid w:val="0011257F"/>
    <w:rsid w:val="00112918"/>
    <w:rsid w:val="0011298D"/>
    <w:rsid w:val="00112A79"/>
    <w:rsid w:val="00112AF2"/>
    <w:rsid w:val="00112B31"/>
    <w:rsid w:val="00112B55"/>
    <w:rsid w:val="00112BE7"/>
    <w:rsid w:val="00112BEF"/>
    <w:rsid w:val="00112C36"/>
    <w:rsid w:val="00112C55"/>
    <w:rsid w:val="00112CE7"/>
    <w:rsid w:val="00112D32"/>
    <w:rsid w:val="00112D9E"/>
    <w:rsid w:val="00112F04"/>
    <w:rsid w:val="00112F7F"/>
    <w:rsid w:val="001130A5"/>
    <w:rsid w:val="00113376"/>
    <w:rsid w:val="00113428"/>
    <w:rsid w:val="001134E6"/>
    <w:rsid w:val="00113538"/>
    <w:rsid w:val="0011375E"/>
    <w:rsid w:val="00113868"/>
    <w:rsid w:val="001139EE"/>
    <w:rsid w:val="00113A2A"/>
    <w:rsid w:val="00113B12"/>
    <w:rsid w:val="00113B17"/>
    <w:rsid w:val="00113E0B"/>
    <w:rsid w:val="00113EC7"/>
    <w:rsid w:val="00113EE2"/>
    <w:rsid w:val="00113EFB"/>
    <w:rsid w:val="00114004"/>
    <w:rsid w:val="001140B4"/>
    <w:rsid w:val="00114128"/>
    <w:rsid w:val="00114232"/>
    <w:rsid w:val="001143DD"/>
    <w:rsid w:val="001144C0"/>
    <w:rsid w:val="00114528"/>
    <w:rsid w:val="00114563"/>
    <w:rsid w:val="001146A1"/>
    <w:rsid w:val="001146D3"/>
    <w:rsid w:val="00114725"/>
    <w:rsid w:val="00114907"/>
    <w:rsid w:val="00114AFA"/>
    <w:rsid w:val="00114B62"/>
    <w:rsid w:val="00114BCE"/>
    <w:rsid w:val="00114CE7"/>
    <w:rsid w:val="00114D70"/>
    <w:rsid w:val="00114DAC"/>
    <w:rsid w:val="00114E67"/>
    <w:rsid w:val="00114E6C"/>
    <w:rsid w:val="00114F09"/>
    <w:rsid w:val="00114FE3"/>
    <w:rsid w:val="00115119"/>
    <w:rsid w:val="001151A6"/>
    <w:rsid w:val="001151CB"/>
    <w:rsid w:val="00115236"/>
    <w:rsid w:val="001153C7"/>
    <w:rsid w:val="00115547"/>
    <w:rsid w:val="001156A4"/>
    <w:rsid w:val="00115736"/>
    <w:rsid w:val="00115814"/>
    <w:rsid w:val="0011582F"/>
    <w:rsid w:val="00115896"/>
    <w:rsid w:val="001158D9"/>
    <w:rsid w:val="00115A7C"/>
    <w:rsid w:val="00115CC3"/>
    <w:rsid w:val="00115DED"/>
    <w:rsid w:val="00115E9A"/>
    <w:rsid w:val="00115FC3"/>
    <w:rsid w:val="001160B7"/>
    <w:rsid w:val="001161D6"/>
    <w:rsid w:val="0011630F"/>
    <w:rsid w:val="00116354"/>
    <w:rsid w:val="0011636B"/>
    <w:rsid w:val="001163C1"/>
    <w:rsid w:val="0011640D"/>
    <w:rsid w:val="0011652B"/>
    <w:rsid w:val="0011658C"/>
    <w:rsid w:val="0011663B"/>
    <w:rsid w:val="0011668A"/>
    <w:rsid w:val="001166E4"/>
    <w:rsid w:val="0011672A"/>
    <w:rsid w:val="00116742"/>
    <w:rsid w:val="0011674C"/>
    <w:rsid w:val="001167AC"/>
    <w:rsid w:val="00116818"/>
    <w:rsid w:val="0011685E"/>
    <w:rsid w:val="001168B4"/>
    <w:rsid w:val="001168EA"/>
    <w:rsid w:val="00116ADE"/>
    <w:rsid w:val="00116BE5"/>
    <w:rsid w:val="00116CBE"/>
    <w:rsid w:val="00116E05"/>
    <w:rsid w:val="00116E40"/>
    <w:rsid w:val="00116EE7"/>
    <w:rsid w:val="00116F3C"/>
    <w:rsid w:val="00116F8B"/>
    <w:rsid w:val="00117065"/>
    <w:rsid w:val="00117076"/>
    <w:rsid w:val="001170F0"/>
    <w:rsid w:val="0011739A"/>
    <w:rsid w:val="00117695"/>
    <w:rsid w:val="0011772C"/>
    <w:rsid w:val="0011775D"/>
    <w:rsid w:val="00117782"/>
    <w:rsid w:val="001179ED"/>
    <w:rsid w:val="001179FA"/>
    <w:rsid w:val="00117A9D"/>
    <w:rsid w:val="00117B2B"/>
    <w:rsid w:val="00117C20"/>
    <w:rsid w:val="00117DF3"/>
    <w:rsid w:val="0012001F"/>
    <w:rsid w:val="0012009A"/>
    <w:rsid w:val="001202BA"/>
    <w:rsid w:val="0012035F"/>
    <w:rsid w:val="001204CE"/>
    <w:rsid w:val="001204E0"/>
    <w:rsid w:val="00120512"/>
    <w:rsid w:val="0012057F"/>
    <w:rsid w:val="00120948"/>
    <w:rsid w:val="0012099A"/>
    <w:rsid w:val="00120A0B"/>
    <w:rsid w:val="00120A1E"/>
    <w:rsid w:val="00120BCE"/>
    <w:rsid w:val="00120CED"/>
    <w:rsid w:val="00120F59"/>
    <w:rsid w:val="00120FAC"/>
    <w:rsid w:val="00120FC3"/>
    <w:rsid w:val="001210BE"/>
    <w:rsid w:val="00121377"/>
    <w:rsid w:val="0012150B"/>
    <w:rsid w:val="0012162A"/>
    <w:rsid w:val="001216C1"/>
    <w:rsid w:val="0012182A"/>
    <w:rsid w:val="00121B04"/>
    <w:rsid w:val="00121E9F"/>
    <w:rsid w:val="00122057"/>
    <w:rsid w:val="001221A5"/>
    <w:rsid w:val="001221CB"/>
    <w:rsid w:val="001221CD"/>
    <w:rsid w:val="00122220"/>
    <w:rsid w:val="001222AF"/>
    <w:rsid w:val="0012230D"/>
    <w:rsid w:val="00122325"/>
    <w:rsid w:val="001225F6"/>
    <w:rsid w:val="001229E5"/>
    <w:rsid w:val="00122AA8"/>
    <w:rsid w:val="00122B69"/>
    <w:rsid w:val="00122B8F"/>
    <w:rsid w:val="00122C59"/>
    <w:rsid w:val="00122D63"/>
    <w:rsid w:val="00122D8B"/>
    <w:rsid w:val="00122E6B"/>
    <w:rsid w:val="00122F08"/>
    <w:rsid w:val="0012307A"/>
    <w:rsid w:val="001231A6"/>
    <w:rsid w:val="001231B7"/>
    <w:rsid w:val="00123255"/>
    <w:rsid w:val="00123297"/>
    <w:rsid w:val="001232CA"/>
    <w:rsid w:val="001232FB"/>
    <w:rsid w:val="0012331C"/>
    <w:rsid w:val="00123671"/>
    <w:rsid w:val="001237F2"/>
    <w:rsid w:val="00123816"/>
    <w:rsid w:val="001238FC"/>
    <w:rsid w:val="001239B1"/>
    <w:rsid w:val="00123BAA"/>
    <w:rsid w:val="00123E05"/>
    <w:rsid w:val="00123EE2"/>
    <w:rsid w:val="0012406A"/>
    <w:rsid w:val="001241C6"/>
    <w:rsid w:val="0012424F"/>
    <w:rsid w:val="001242BD"/>
    <w:rsid w:val="001242DE"/>
    <w:rsid w:val="00124482"/>
    <w:rsid w:val="001245DA"/>
    <w:rsid w:val="00124731"/>
    <w:rsid w:val="00124A40"/>
    <w:rsid w:val="00124A44"/>
    <w:rsid w:val="00124A48"/>
    <w:rsid w:val="00124A5A"/>
    <w:rsid w:val="00124A78"/>
    <w:rsid w:val="00124AED"/>
    <w:rsid w:val="00124B11"/>
    <w:rsid w:val="00124B33"/>
    <w:rsid w:val="00124BB0"/>
    <w:rsid w:val="00124C81"/>
    <w:rsid w:val="00124D35"/>
    <w:rsid w:val="00124DD4"/>
    <w:rsid w:val="00124E4A"/>
    <w:rsid w:val="00124E8D"/>
    <w:rsid w:val="00124E9C"/>
    <w:rsid w:val="00125207"/>
    <w:rsid w:val="00125318"/>
    <w:rsid w:val="0012537C"/>
    <w:rsid w:val="00125388"/>
    <w:rsid w:val="001253F0"/>
    <w:rsid w:val="00125561"/>
    <w:rsid w:val="00125568"/>
    <w:rsid w:val="0012567C"/>
    <w:rsid w:val="0012568E"/>
    <w:rsid w:val="001256A9"/>
    <w:rsid w:val="00125949"/>
    <w:rsid w:val="00125A1F"/>
    <w:rsid w:val="00125A5F"/>
    <w:rsid w:val="00125A63"/>
    <w:rsid w:val="00125C5A"/>
    <w:rsid w:val="00125D7A"/>
    <w:rsid w:val="00125E00"/>
    <w:rsid w:val="00126057"/>
    <w:rsid w:val="0012609F"/>
    <w:rsid w:val="00126138"/>
    <w:rsid w:val="00126173"/>
    <w:rsid w:val="001261AC"/>
    <w:rsid w:val="00126223"/>
    <w:rsid w:val="0012623C"/>
    <w:rsid w:val="001262A4"/>
    <w:rsid w:val="001262AB"/>
    <w:rsid w:val="00126325"/>
    <w:rsid w:val="0012647A"/>
    <w:rsid w:val="0012648E"/>
    <w:rsid w:val="0012659E"/>
    <w:rsid w:val="001266F5"/>
    <w:rsid w:val="0012678E"/>
    <w:rsid w:val="00126870"/>
    <w:rsid w:val="0012689E"/>
    <w:rsid w:val="00126A50"/>
    <w:rsid w:val="00126A92"/>
    <w:rsid w:val="00126BA2"/>
    <w:rsid w:val="00126D91"/>
    <w:rsid w:val="0012720C"/>
    <w:rsid w:val="00127232"/>
    <w:rsid w:val="001272D3"/>
    <w:rsid w:val="001275BE"/>
    <w:rsid w:val="00127610"/>
    <w:rsid w:val="0012761C"/>
    <w:rsid w:val="00127657"/>
    <w:rsid w:val="0012771E"/>
    <w:rsid w:val="001277BD"/>
    <w:rsid w:val="00127879"/>
    <w:rsid w:val="001279E0"/>
    <w:rsid w:val="00127A35"/>
    <w:rsid w:val="00127AC3"/>
    <w:rsid w:val="00127B26"/>
    <w:rsid w:val="00127C7B"/>
    <w:rsid w:val="00127E18"/>
    <w:rsid w:val="00127E2D"/>
    <w:rsid w:val="0013010A"/>
    <w:rsid w:val="00130166"/>
    <w:rsid w:val="001301DD"/>
    <w:rsid w:val="00130270"/>
    <w:rsid w:val="00130355"/>
    <w:rsid w:val="00130365"/>
    <w:rsid w:val="001304EC"/>
    <w:rsid w:val="00130522"/>
    <w:rsid w:val="001305BF"/>
    <w:rsid w:val="00130602"/>
    <w:rsid w:val="00130797"/>
    <w:rsid w:val="00130980"/>
    <w:rsid w:val="001309EB"/>
    <w:rsid w:val="00130B76"/>
    <w:rsid w:val="00130BE9"/>
    <w:rsid w:val="00130C72"/>
    <w:rsid w:val="00130CCC"/>
    <w:rsid w:val="00130D38"/>
    <w:rsid w:val="00130EEA"/>
    <w:rsid w:val="00130F3B"/>
    <w:rsid w:val="00130F6C"/>
    <w:rsid w:val="00131260"/>
    <w:rsid w:val="0013157B"/>
    <w:rsid w:val="00131596"/>
    <w:rsid w:val="001315C7"/>
    <w:rsid w:val="00131612"/>
    <w:rsid w:val="0013169B"/>
    <w:rsid w:val="001317E1"/>
    <w:rsid w:val="00131A38"/>
    <w:rsid w:val="00131A7F"/>
    <w:rsid w:val="00131A8B"/>
    <w:rsid w:val="00131AAB"/>
    <w:rsid w:val="00131B58"/>
    <w:rsid w:val="00131B92"/>
    <w:rsid w:val="00131B9B"/>
    <w:rsid w:val="00131D3E"/>
    <w:rsid w:val="00131DA3"/>
    <w:rsid w:val="00132098"/>
    <w:rsid w:val="001320C6"/>
    <w:rsid w:val="00132178"/>
    <w:rsid w:val="0013223B"/>
    <w:rsid w:val="001322AE"/>
    <w:rsid w:val="001322DD"/>
    <w:rsid w:val="00132302"/>
    <w:rsid w:val="0013232E"/>
    <w:rsid w:val="0013238E"/>
    <w:rsid w:val="001324A2"/>
    <w:rsid w:val="00132567"/>
    <w:rsid w:val="00132578"/>
    <w:rsid w:val="00132655"/>
    <w:rsid w:val="001326F8"/>
    <w:rsid w:val="0013294A"/>
    <w:rsid w:val="0013296A"/>
    <w:rsid w:val="001329C2"/>
    <w:rsid w:val="00132B55"/>
    <w:rsid w:val="00132BCC"/>
    <w:rsid w:val="00132BFC"/>
    <w:rsid w:val="00132C45"/>
    <w:rsid w:val="00132DF6"/>
    <w:rsid w:val="00132E77"/>
    <w:rsid w:val="00132F1D"/>
    <w:rsid w:val="00133025"/>
    <w:rsid w:val="001330AE"/>
    <w:rsid w:val="0013329E"/>
    <w:rsid w:val="00133317"/>
    <w:rsid w:val="00133352"/>
    <w:rsid w:val="00133905"/>
    <w:rsid w:val="00133A6C"/>
    <w:rsid w:val="00133B9D"/>
    <w:rsid w:val="00133E39"/>
    <w:rsid w:val="00133E4C"/>
    <w:rsid w:val="00133F8C"/>
    <w:rsid w:val="00133FC4"/>
    <w:rsid w:val="001340AA"/>
    <w:rsid w:val="00134145"/>
    <w:rsid w:val="0013415A"/>
    <w:rsid w:val="00134168"/>
    <w:rsid w:val="00134189"/>
    <w:rsid w:val="0013440A"/>
    <w:rsid w:val="001344E0"/>
    <w:rsid w:val="001344F1"/>
    <w:rsid w:val="00134504"/>
    <w:rsid w:val="001345B4"/>
    <w:rsid w:val="0013462C"/>
    <w:rsid w:val="001346E0"/>
    <w:rsid w:val="0013490F"/>
    <w:rsid w:val="001349B3"/>
    <w:rsid w:val="00134BAD"/>
    <w:rsid w:val="00134BB0"/>
    <w:rsid w:val="00134D1E"/>
    <w:rsid w:val="00134D4F"/>
    <w:rsid w:val="00134D9B"/>
    <w:rsid w:val="00134E04"/>
    <w:rsid w:val="00134E40"/>
    <w:rsid w:val="00134EE6"/>
    <w:rsid w:val="00134F36"/>
    <w:rsid w:val="00134F8F"/>
    <w:rsid w:val="001350CA"/>
    <w:rsid w:val="001350FE"/>
    <w:rsid w:val="00135163"/>
    <w:rsid w:val="00135329"/>
    <w:rsid w:val="0013545F"/>
    <w:rsid w:val="001354BA"/>
    <w:rsid w:val="001357AB"/>
    <w:rsid w:val="00135A43"/>
    <w:rsid w:val="00135AD6"/>
    <w:rsid w:val="00135D17"/>
    <w:rsid w:val="00135F22"/>
    <w:rsid w:val="00135F43"/>
    <w:rsid w:val="00136401"/>
    <w:rsid w:val="00136553"/>
    <w:rsid w:val="001365A3"/>
    <w:rsid w:val="00136638"/>
    <w:rsid w:val="00136741"/>
    <w:rsid w:val="00136816"/>
    <w:rsid w:val="00136846"/>
    <w:rsid w:val="00136866"/>
    <w:rsid w:val="00136BDA"/>
    <w:rsid w:val="00136C16"/>
    <w:rsid w:val="00136C80"/>
    <w:rsid w:val="00136FFF"/>
    <w:rsid w:val="00137108"/>
    <w:rsid w:val="001374F5"/>
    <w:rsid w:val="001374F7"/>
    <w:rsid w:val="00137790"/>
    <w:rsid w:val="0013783B"/>
    <w:rsid w:val="00137870"/>
    <w:rsid w:val="001378B1"/>
    <w:rsid w:val="00137A5B"/>
    <w:rsid w:val="00137BB1"/>
    <w:rsid w:val="00137BEE"/>
    <w:rsid w:val="00137D02"/>
    <w:rsid w:val="00137D9E"/>
    <w:rsid w:val="00137F06"/>
    <w:rsid w:val="00137F32"/>
    <w:rsid w:val="00137F76"/>
    <w:rsid w:val="00137FDB"/>
    <w:rsid w:val="001400FE"/>
    <w:rsid w:val="0014016A"/>
    <w:rsid w:val="001401C4"/>
    <w:rsid w:val="001402BB"/>
    <w:rsid w:val="001403BE"/>
    <w:rsid w:val="00140453"/>
    <w:rsid w:val="00140597"/>
    <w:rsid w:val="0014067A"/>
    <w:rsid w:val="001406BC"/>
    <w:rsid w:val="001406E0"/>
    <w:rsid w:val="00140785"/>
    <w:rsid w:val="001408AC"/>
    <w:rsid w:val="00140905"/>
    <w:rsid w:val="00140A47"/>
    <w:rsid w:val="00140A5E"/>
    <w:rsid w:val="00140A8B"/>
    <w:rsid w:val="00140B76"/>
    <w:rsid w:val="00140B9D"/>
    <w:rsid w:val="00140BB7"/>
    <w:rsid w:val="00140E53"/>
    <w:rsid w:val="00140E5B"/>
    <w:rsid w:val="00140F17"/>
    <w:rsid w:val="00140F3E"/>
    <w:rsid w:val="00141133"/>
    <w:rsid w:val="001411D8"/>
    <w:rsid w:val="001413AB"/>
    <w:rsid w:val="001413C0"/>
    <w:rsid w:val="001414B7"/>
    <w:rsid w:val="00141728"/>
    <w:rsid w:val="00141862"/>
    <w:rsid w:val="0014192A"/>
    <w:rsid w:val="00141B9E"/>
    <w:rsid w:val="00141E15"/>
    <w:rsid w:val="00141E52"/>
    <w:rsid w:val="00141FC1"/>
    <w:rsid w:val="001420EE"/>
    <w:rsid w:val="001420F7"/>
    <w:rsid w:val="0014221E"/>
    <w:rsid w:val="00142425"/>
    <w:rsid w:val="001425DB"/>
    <w:rsid w:val="00142773"/>
    <w:rsid w:val="0014279B"/>
    <w:rsid w:val="00142857"/>
    <w:rsid w:val="00142930"/>
    <w:rsid w:val="0014293B"/>
    <w:rsid w:val="00142A34"/>
    <w:rsid w:val="00142B08"/>
    <w:rsid w:val="00142B3E"/>
    <w:rsid w:val="00142D0E"/>
    <w:rsid w:val="00142D7D"/>
    <w:rsid w:val="00142D9F"/>
    <w:rsid w:val="00142FFF"/>
    <w:rsid w:val="00143110"/>
    <w:rsid w:val="001431A5"/>
    <w:rsid w:val="001431CA"/>
    <w:rsid w:val="001431CC"/>
    <w:rsid w:val="00143518"/>
    <w:rsid w:val="001435AE"/>
    <w:rsid w:val="0014360E"/>
    <w:rsid w:val="00143626"/>
    <w:rsid w:val="00143668"/>
    <w:rsid w:val="0014373D"/>
    <w:rsid w:val="00143783"/>
    <w:rsid w:val="001437F6"/>
    <w:rsid w:val="001438A3"/>
    <w:rsid w:val="001439D1"/>
    <w:rsid w:val="00143AB6"/>
    <w:rsid w:val="00143BBF"/>
    <w:rsid w:val="00143BCB"/>
    <w:rsid w:val="00143DFA"/>
    <w:rsid w:val="00143F08"/>
    <w:rsid w:val="00144254"/>
    <w:rsid w:val="001442FE"/>
    <w:rsid w:val="00144383"/>
    <w:rsid w:val="00144429"/>
    <w:rsid w:val="00144478"/>
    <w:rsid w:val="001445E8"/>
    <w:rsid w:val="0014461E"/>
    <w:rsid w:val="001446A8"/>
    <w:rsid w:val="001446F0"/>
    <w:rsid w:val="00144733"/>
    <w:rsid w:val="0014482F"/>
    <w:rsid w:val="0014487B"/>
    <w:rsid w:val="00144920"/>
    <w:rsid w:val="00144BD8"/>
    <w:rsid w:val="00144BE0"/>
    <w:rsid w:val="00144C01"/>
    <w:rsid w:val="00144D02"/>
    <w:rsid w:val="00144DC6"/>
    <w:rsid w:val="00144DC7"/>
    <w:rsid w:val="00144E05"/>
    <w:rsid w:val="00144F68"/>
    <w:rsid w:val="00144F73"/>
    <w:rsid w:val="00145161"/>
    <w:rsid w:val="00145163"/>
    <w:rsid w:val="00145182"/>
    <w:rsid w:val="0014551E"/>
    <w:rsid w:val="001455AF"/>
    <w:rsid w:val="001455D3"/>
    <w:rsid w:val="00145602"/>
    <w:rsid w:val="00145795"/>
    <w:rsid w:val="00145846"/>
    <w:rsid w:val="00145893"/>
    <w:rsid w:val="00145971"/>
    <w:rsid w:val="00145A7D"/>
    <w:rsid w:val="00145D27"/>
    <w:rsid w:val="00145D41"/>
    <w:rsid w:val="00145D8A"/>
    <w:rsid w:val="00145F97"/>
    <w:rsid w:val="00145FDE"/>
    <w:rsid w:val="00146024"/>
    <w:rsid w:val="00146108"/>
    <w:rsid w:val="0014613D"/>
    <w:rsid w:val="00146241"/>
    <w:rsid w:val="00146258"/>
    <w:rsid w:val="00146309"/>
    <w:rsid w:val="0014648F"/>
    <w:rsid w:val="0014662B"/>
    <w:rsid w:val="00146780"/>
    <w:rsid w:val="0014682B"/>
    <w:rsid w:val="0014685F"/>
    <w:rsid w:val="00146B1D"/>
    <w:rsid w:val="00146D25"/>
    <w:rsid w:val="00146E90"/>
    <w:rsid w:val="001473C7"/>
    <w:rsid w:val="00147C80"/>
    <w:rsid w:val="00147CA7"/>
    <w:rsid w:val="00147E72"/>
    <w:rsid w:val="00147F00"/>
    <w:rsid w:val="00147F21"/>
    <w:rsid w:val="00147F6B"/>
    <w:rsid w:val="00150112"/>
    <w:rsid w:val="0015026A"/>
    <w:rsid w:val="0015031D"/>
    <w:rsid w:val="0015039F"/>
    <w:rsid w:val="0015058F"/>
    <w:rsid w:val="0015059F"/>
    <w:rsid w:val="001506D1"/>
    <w:rsid w:val="0015082B"/>
    <w:rsid w:val="0015085B"/>
    <w:rsid w:val="00150C9C"/>
    <w:rsid w:val="00150CFE"/>
    <w:rsid w:val="00150F4F"/>
    <w:rsid w:val="001511AD"/>
    <w:rsid w:val="001511EE"/>
    <w:rsid w:val="0015123F"/>
    <w:rsid w:val="001512A0"/>
    <w:rsid w:val="001513FA"/>
    <w:rsid w:val="0015142F"/>
    <w:rsid w:val="00151564"/>
    <w:rsid w:val="00151747"/>
    <w:rsid w:val="0015181A"/>
    <w:rsid w:val="00151998"/>
    <w:rsid w:val="001519D4"/>
    <w:rsid w:val="001519DC"/>
    <w:rsid w:val="00151A74"/>
    <w:rsid w:val="00151BD3"/>
    <w:rsid w:val="00151D7C"/>
    <w:rsid w:val="00151F4D"/>
    <w:rsid w:val="00151FA7"/>
    <w:rsid w:val="00152072"/>
    <w:rsid w:val="0015219B"/>
    <w:rsid w:val="0015225B"/>
    <w:rsid w:val="001524BF"/>
    <w:rsid w:val="0015253B"/>
    <w:rsid w:val="00152592"/>
    <w:rsid w:val="001529FC"/>
    <w:rsid w:val="00152CE6"/>
    <w:rsid w:val="00152D65"/>
    <w:rsid w:val="00152DA7"/>
    <w:rsid w:val="00153156"/>
    <w:rsid w:val="001532C7"/>
    <w:rsid w:val="001532DA"/>
    <w:rsid w:val="001532EE"/>
    <w:rsid w:val="00153608"/>
    <w:rsid w:val="00153648"/>
    <w:rsid w:val="00153789"/>
    <w:rsid w:val="00153862"/>
    <w:rsid w:val="001538B9"/>
    <w:rsid w:val="001538C7"/>
    <w:rsid w:val="001539CA"/>
    <w:rsid w:val="001539E4"/>
    <w:rsid w:val="00153B7D"/>
    <w:rsid w:val="00153BE7"/>
    <w:rsid w:val="00153D6A"/>
    <w:rsid w:val="00153F55"/>
    <w:rsid w:val="00153FC6"/>
    <w:rsid w:val="00154032"/>
    <w:rsid w:val="00154036"/>
    <w:rsid w:val="001541D7"/>
    <w:rsid w:val="0015423F"/>
    <w:rsid w:val="00154324"/>
    <w:rsid w:val="00154437"/>
    <w:rsid w:val="0015443E"/>
    <w:rsid w:val="00154468"/>
    <w:rsid w:val="0015453E"/>
    <w:rsid w:val="0015464D"/>
    <w:rsid w:val="0015468D"/>
    <w:rsid w:val="00154693"/>
    <w:rsid w:val="0015475F"/>
    <w:rsid w:val="001547AB"/>
    <w:rsid w:val="001548A6"/>
    <w:rsid w:val="0015494B"/>
    <w:rsid w:val="001549A6"/>
    <w:rsid w:val="00154BB2"/>
    <w:rsid w:val="00154E99"/>
    <w:rsid w:val="00154F12"/>
    <w:rsid w:val="00154F28"/>
    <w:rsid w:val="00154FDA"/>
    <w:rsid w:val="00155004"/>
    <w:rsid w:val="0015501E"/>
    <w:rsid w:val="0015509C"/>
    <w:rsid w:val="0015510A"/>
    <w:rsid w:val="00155124"/>
    <w:rsid w:val="001551A0"/>
    <w:rsid w:val="001552AA"/>
    <w:rsid w:val="001554E9"/>
    <w:rsid w:val="0015554C"/>
    <w:rsid w:val="0015558A"/>
    <w:rsid w:val="001556B5"/>
    <w:rsid w:val="00155759"/>
    <w:rsid w:val="00155904"/>
    <w:rsid w:val="00155B82"/>
    <w:rsid w:val="00155BC2"/>
    <w:rsid w:val="00155C7C"/>
    <w:rsid w:val="00155E61"/>
    <w:rsid w:val="00155E73"/>
    <w:rsid w:val="00155E98"/>
    <w:rsid w:val="00156097"/>
    <w:rsid w:val="001560EA"/>
    <w:rsid w:val="00156122"/>
    <w:rsid w:val="00156174"/>
    <w:rsid w:val="0015622B"/>
    <w:rsid w:val="0015624F"/>
    <w:rsid w:val="0015631A"/>
    <w:rsid w:val="0015635B"/>
    <w:rsid w:val="001564B8"/>
    <w:rsid w:val="00156539"/>
    <w:rsid w:val="001565CA"/>
    <w:rsid w:val="0015663E"/>
    <w:rsid w:val="00156809"/>
    <w:rsid w:val="00156919"/>
    <w:rsid w:val="00156AE1"/>
    <w:rsid w:val="00156B1F"/>
    <w:rsid w:val="00156C9F"/>
    <w:rsid w:val="00156E7A"/>
    <w:rsid w:val="00156F12"/>
    <w:rsid w:val="00156F3D"/>
    <w:rsid w:val="0015703C"/>
    <w:rsid w:val="00157256"/>
    <w:rsid w:val="00157299"/>
    <w:rsid w:val="0015738E"/>
    <w:rsid w:val="00157569"/>
    <w:rsid w:val="0015756C"/>
    <w:rsid w:val="00157580"/>
    <w:rsid w:val="00157627"/>
    <w:rsid w:val="00157721"/>
    <w:rsid w:val="00157758"/>
    <w:rsid w:val="0015777F"/>
    <w:rsid w:val="0015782D"/>
    <w:rsid w:val="001578C1"/>
    <w:rsid w:val="0015797C"/>
    <w:rsid w:val="00157A6F"/>
    <w:rsid w:val="00157AE9"/>
    <w:rsid w:val="00157B3B"/>
    <w:rsid w:val="00157C2B"/>
    <w:rsid w:val="00157DDA"/>
    <w:rsid w:val="00157E27"/>
    <w:rsid w:val="00157E2F"/>
    <w:rsid w:val="00157F95"/>
    <w:rsid w:val="0016031B"/>
    <w:rsid w:val="0016062C"/>
    <w:rsid w:val="00160679"/>
    <w:rsid w:val="001606EE"/>
    <w:rsid w:val="0016078F"/>
    <w:rsid w:val="001607EE"/>
    <w:rsid w:val="0016085E"/>
    <w:rsid w:val="001608C4"/>
    <w:rsid w:val="001608D8"/>
    <w:rsid w:val="001608F4"/>
    <w:rsid w:val="00160958"/>
    <w:rsid w:val="00160AA1"/>
    <w:rsid w:val="00160D7C"/>
    <w:rsid w:val="00160F38"/>
    <w:rsid w:val="00160FD8"/>
    <w:rsid w:val="00161017"/>
    <w:rsid w:val="001611CC"/>
    <w:rsid w:val="00161313"/>
    <w:rsid w:val="00161360"/>
    <w:rsid w:val="0016139A"/>
    <w:rsid w:val="001613F2"/>
    <w:rsid w:val="00161460"/>
    <w:rsid w:val="0016153B"/>
    <w:rsid w:val="0016174F"/>
    <w:rsid w:val="00161A38"/>
    <w:rsid w:val="00161BAD"/>
    <w:rsid w:val="00161C8C"/>
    <w:rsid w:val="00162117"/>
    <w:rsid w:val="0016218E"/>
    <w:rsid w:val="001623A7"/>
    <w:rsid w:val="001623E8"/>
    <w:rsid w:val="001624B4"/>
    <w:rsid w:val="001625A2"/>
    <w:rsid w:val="001625D5"/>
    <w:rsid w:val="0016286A"/>
    <w:rsid w:val="00162954"/>
    <w:rsid w:val="00162D9F"/>
    <w:rsid w:val="00162DC6"/>
    <w:rsid w:val="00162EA6"/>
    <w:rsid w:val="00162EF4"/>
    <w:rsid w:val="00162F30"/>
    <w:rsid w:val="00162FA1"/>
    <w:rsid w:val="001631EC"/>
    <w:rsid w:val="00163329"/>
    <w:rsid w:val="00163569"/>
    <w:rsid w:val="00163627"/>
    <w:rsid w:val="00163AE4"/>
    <w:rsid w:val="00163C9C"/>
    <w:rsid w:val="00163DC3"/>
    <w:rsid w:val="00163DEF"/>
    <w:rsid w:val="00163DF2"/>
    <w:rsid w:val="00163E5E"/>
    <w:rsid w:val="0016406D"/>
    <w:rsid w:val="0016410D"/>
    <w:rsid w:val="00164188"/>
    <w:rsid w:val="0016419E"/>
    <w:rsid w:val="001641B9"/>
    <w:rsid w:val="00164260"/>
    <w:rsid w:val="00164406"/>
    <w:rsid w:val="001644BC"/>
    <w:rsid w:val="00164557"/>
    <w:rsid w:val="001645B1"/>
    <w:rsid w:val="001645FB"/>
    <w:rsid w:val="00164792"/>
    <w:rsid w:val="00164A56"/>
    <w:rsid w:val="00164AB7"/>
    <w:rsid w:val="00164C86"/>
    <w:rsid w:val="00164CA9"/>
    <w:rsid w:val="00164D40"/>
    <w:rsid w:val="00164DD6"/>
    <w:rsid w:val="00164FB9"/>
    <w:rsid w:val="0016506F"/>
    <w:rsid w:val="001650C3"/>
    <w:rsid w:val="0016512C"/>
    <w:rsid w:val="001651E3"/>
    <w:rsid w:val="001652A5"/>
    <w:rsid w:val="001653CF"/>
    <w:rsid w:val="00165543"/>
    <w:rsid w:val="00165579"/>
    <w:rsid w:val="0016564C"/>
    <w:rsid w:val="00165722"/>
    <w:rsid w:val="0016574D"/>
    <w:rsid w:val="00165824"/>
    <w:rsid w:val="0016592A"/>
    <w:rsid w:val="00165ABB"/>
    <w:rsid w:val="00165AC2"/>
    <w:rsid w:val="00165AC6"/>
    <w:rsid w:val="00165AE7"/>
    <w:rsid w:val="00165AFC"/>
    <w:rsid w:val="00165CFB"/>
    <w:rsid w:val="0016604D"/>
    <w:rsid w:val="00166084"/>
    <w:rsid w:val="001660DD"/>
    <w:rsid w:val="001660E2"/>
    <w:rsid w:val="00166288"/>
    <w:rsid w:val="0016629C"/>
    <w:rsid w:val="001662A2"/>
    <w:rsid w:val="0016632C"/>
    <w:rsid w:val="001664BA"/>
    <w:rsid w:val="00166501"/>
    <w:rsid w:val="00166567"/>
    <w:rsid w:val="001665A5"/>
    <w:rsid w:val="001666FE"/>
    <w:rsid w:val="00166863"/>
    <w:rsid w:val="001668CC"/>
    <w:rsid w:val="00166980"/>
    <w:rsid w:val="00166B4B"/>
    <w:rsid w:val="00166BAA"/>
    <w:rsid w:val="00166D18"/>
    <w:rsid w:val="00166D76"/>
    <w:rsid w:val="00166D7C"/>
    <w:rsid w:val="0016705F"/>
    <w:rsid w:val="001670DE"/>
    <w:rsid w:val="001670E9"/>
    <w:rsid w:val="0016718A"/>
    <w:rsid w:val="001672F7"/>
    <w:rsid w:val="00167393"/>
    <w:rsid w:val="001677D8"/>
    <w:rsid w:val="001678DE"/>
    <w:rsid w:val="00167A5E"/>
    <w:rsid w:val="00167A72"/>
    <w:rsid w:val="00167AFD"/>
    <w:rsid w:val="00167B04"/>
    <w:rsid w:val="00167BC6"/>
    <w:rsid w:val="00167BDE"/>
    <w:rsid w:val="00167CAC"/>
    <w:rsid w:val="00167D28"/>
    <w:rsid w:val="00167D86"/>
    <w:rsid w:val="00167FD1"/>
    <w:rsid w:val="00167FFA"/>
    <w:rsid w:val="0017007B"/>
    <w:rsid w:val="00170118"/>
    <w:rsid w:val="001702F2"/>
    <w:rsid w:val="00170315"/>
    <w:rsid w:val="00170412"/>
    <w:rsid w:val="00170475"/>
    <w:rsid w:val="00170574"/>
    <w:rsid w:val="00170785"/>
    <w:rsid w:val="00170B22"/>
    <w:rsid w:val="00170B69"/>
    <w:rsid w:val="00170C36"/>
    <w:rsid w:val="00170C39"/>
    <w:rsid w:val="00170CB8"/>
    <w:rsid w:val="00170CFE"/>
    <w:rsid w:val="00170D4C"/>
    <w:rsid w:val="00170D50"/>
    <w:rsid w:val="00170DD0"/>
    <w:rsid w:val="00170DD7"/>
    <w:rsid w:val="00170EFF"/>
    <w:rsid w:val="00170F60"/>
    <w:rsid w:val="00170F66"/>
    <w:rsid w:val="00170FFF"/>
    <w:rsid w:val="00171060"/>
    <w:rsid w:val="00171107"/>
    <w:rsid w:val="0017110E"/>
    <w:rsid w:val="001711C1"/>
    <w:rsid w:val="0017134D"/>
    <w:rsid w:val="001713BF"/>
    <w:rsid w:val="001713C0"/>
    <w:rsid w:val="001713C4"/>
    <w:rsid w:val="00171437"/>
    <w:rsid w:val="00171454"/>
    <w:rsid w:val="001716AA"/>
    <w:rsid w:val="001716CD"/>
    <w:rsid w:val="001716F3"/>
    <w:rsid w:val="00171811"/>
    <w:rsid w:val="001718CE"/>
    <w:rsid w:val="00171A6F"/>
    <w:rsid w:val="00171B1D"/>
    <w:rsid w:val="00171B3F"/>
    <w:rsid w:val="00171C45"/>
    <w:rsid w:val="00171E06"/>
    <w:rsid w:val="00171F56"/>
    <w:rsid w:val="00171FEA"/>
    <w:rsid w:val="001723E2"/>
    <w:rsid w:val="0017240E"/>
    <w:rsid w:val="001725D3"/>
    <w:rsid w:val="00172618"/>
    <w:rsid w:val="0017276F"/>
    <w:rsid w:val="001727BC"/>
    <w:rsid w:val="00172A45"/>
    <w:rsid w:val="00172B4C"/>
    <w:rsid w:val="00172BCD"/>
    <w:rsid w:val="00172CCB"/>
    <w:rsid w:val="00172CF2"/>
    <w:rsid w:val="00173060"/>
    <w:rsid w:val="0017308E"/>
    <w:rsid w:val="001730F6"/>
    <w:rsid w:val="001732C3"/>
    <w:rsid w:val="00173325"/>
    <w:rsid w:val="001733DE"/>
    <w:rsid w:val="0017343A"/>
    <w:rsid w:val="0017357B"/>
    <w:rsid w:val="001735EF"/>
    <w:rsid w:val="001737B6"/>
    <w:rsid w:val="001737DF"/>
    <w:rsid w:val="001738FE"/>
    <w:rsid w:val="00173942"/>
    <w:rsid w:val="00173A1A"/>
    <w:rsid w:val="00173ADC"/>
    <w:rsid w:val="00173B6D"/>
    <w:rsid w:val="00173B70"/>
    <w:rsid w:val="00173B8D"/>
    <w:rsid w:val="00173C0B"/>
    <w:rsid w:val="00173CFD"/>
    <w:rsid w:val="00173DEE"/>
    <w:rsid w:val="00173DF7"/>
    <w:rsid w:val="00173E99"/>
    <w:rsid w:val="00174031"/>
    <w:rsid w:val="00174141"/>
    <w:rsid w:val="00174289"/>
    <w:rsid w:val="00174317"/>
    <w:rsid w:val="001743E9"/>
    <w:rsid w:val="0017457E"/>
    <w:rsid w:val="00174612"/>
    <w:rsid w:val="00174645"/>
    <w:rsid w:val="001748DC"/>
    <w:rsid w:val="0017491D"/>
    <w:rsid w:val="00174954"/>
    <w:rsid w:val="001749BA"/>
    <w:rsid w:val="00174B83"/>
    <w:rsid w:val="00174C31"/>
    <w:rsid w:val="00174C6B"/>
    <w:rsid w:val="00175012"/>
    <w:rsid w:val="001752D6"/>
    <w:rsid w:val="00175314"/>
    <w:rsid w:val="00175317"/>
    <w:rsid w:val="001754BA"/>
    <w:rsid w:val="001754DB"/>
    <w:rsid w:val="001754E2"/>
    <w:rsid w:val="001754F0"/>
    <w:rsid w:val="00175545"/>
    <w:rsid w:val="001755F7"/>
    <w:rsid w:val="0017591B"/>
    <w:rsid w:val="0017593E"/>
    <w:rsid w:val="00175961"/>
    <w:rsid w:val="0017598E"/>
    <w:rsid w:val="00175996"/>
    <w:rsid w:val="001759B6"/>
    <w:rsid w:val="00175CAB"/>
    <w:rsid w:val="00175D96"/>
    <w:rsid w:val="00175EBA"/>
    <w:rsid w:val="00176230"/>
    <w:rsid w:val="00176325"/>
    <w:rsid w:val="0017633D"/>
    <w:rsid w:val="00176362"/>
    <w:rsid w:val="001763C1"/>
    <w:rsid w:val="00176488"/>
    <w:rsid w:val="001765E4"/>
    <w:rsid w:val="00176614"/>
    <w:rsid w:val="001766A6"/>
    <w:rsid w:val="00176856"/>
    <w:rsid w:val="0017688C"/>
    <w:rsid w:val="00176B2F"/>
    <w:rsid w:val="00176C6D"/>
    <w:rsid w:val="00176D10"/>
    <w:rsid w:val="00176D18"/>
    <w:rsid w:val="00176DA4"/>
    <w:rsid w:val="00176DC6"/>
    <w:rsid w:val="00176F6F"/>
    <w:rsid w:val="00176FA4"/>
    <w:rsid w:val="0017710A"/>
    <w:rsid w:val="00177189"/>
    <w:rsid w:val="001772E4"/>
    <w:rsid w:val="001773A5"/>
    <w:rsid w:val="001775C3"/>
    <w:rsid w:val="001777A8"/>
    <w:rsid w:val="00177936"/>
    <w:rsid w:val="0017793E"/>
    <w:rsid w:val="001779A9"/>
    <w:rsid w:val="00177A0B"/>
    <w:rsid w:val="00177AE5"/>
    <w:rsid w:val="00177B81"/>
    <w:rsid w:val="00177D08"/>
    <w:rsid w:val="00177E6F"/>
    <w:rsid w:val="00177F1A"/>
    <w:rsid w:val="00177F71"/>
    <w:rsid w:val="001801EA"/>
    <w:rsid w:val="0018027C"/>
    <w:rsid w:val="001803A5"/>
    <w:rsid w:val="00180554"/>
    <w:rsid w:val="0018065B"/>
    <w:rsid w:val="00180671"/>
    <w:rsid w:val="00180905"/>
    <w:rsid w:val="00180A6F"/>
    <w:rsid w:val="00180C63"/>
    <w:rsid w:val="00180EDF"/>
    <w:rsid w:val="00180F48"/>
    <w:rsid w:val="00180F58"/>
    <w:rsid w:val="00180F7F"/>
    <w:rsid w:val="001810BA"/>
    <w:rsid w:val="001811F9"/>
    <w:rsid w:val="001812CB"/>
    <w:rsid w:val="00181358"/>
    <w:rsid w:val="00181367"/>
    <w:rsid w:val="001816B1"/>
    <w:rsid w:val="00181754"/>
    <w:rsid w:val="0018176A"/>
    <w:rsid w:val="00181859"/>
    <w:rsid w:val="0018189D"/>
    <w:rsid w:val="00181AF5"/>
    <w:rsid w:val="00181B14"/>
    <w:rsid w:val="00181BAF"/>
    <w:rsid w:val="00181C78"/>
    <w:rsid w:val="00181CAB"/>
    <w:rsid w:val="00181CC7"/>
    <w:rsid w:val="00181D0B"/>
    <w:rsid w:val="00181F2A"/>
    <w:rsid w:val="00181F39"/>
    <w:rsid w:val="00181F82"/>
    <w:rsid w:val="001821C5"/>
    <w:rsid w:val="001822AD"/>
    <w:rsid w:val="001822D9"/>
    <w:rsid w:val="0018237C"/>
    <w:rsid w:val="00182468"/>
    <w:rsid w:val="00182803"/>
    <w:rsid w:val="00182849"/>
    <w:rsid w:val="0018284E"/>
    <w:rsid w:val="0018292B"/>
    <w:rsid w:val="0018297A"/>
    <w:rsid w:val="00182BBA"/>
    <w:rsid w:val="00182CC0"/>
    <w:rsid w:val="00182F69"/>
    <w:rsid w:val="0018320C"/>
    <w:rsid w:val="0018323A"/>
    <w:rsid w:val="00183309"/>
    <w:rsid w:val="0018358A"/>
    <w:rsid w:val="0018359F"/>
    <w:rsid w:val="001835E5"/>
    <w:rsid w:val="00183766"/>
    <w:rsid w:val="001837C0"/>
    <w:rsid w:val="0018385D"/>
    <w:rsid w:val="00183890"/>
    <w:rsid w:val="0018399B"/>
    <w:rsid w:val="00183AA4"/>
    <w:rsid w:val="00183AD2"/>
    <w:rsid w:val="00183D55"/>
    <w:rsid w:val="00183DA6"/>
    <w:rsid w:val="00183F4C"/>
    <w:rsid w:val="00183FD0"/>
    <w:rsid w:val="00184012"/>
    <w:rsid w:val="001842B6"/>
    <w:rsid w:val="001842DD"/>
    <w:rsid w:val="00184301"/>
    <w:rsid w:val="00184309"/>
    <w:rsid w:val="00184336"/>
    <w:rsid w:val="00184345"/>
    <w:rsid w:val="0018442F"/>
    <w:rsid w:val="0018458B"/>
    <w:rsid w:val="001845AA"/>
    <w:rsid w:val="0018468D"/>
    <w:rsid w:val="00184761"/>
    <w:rsid w:val="00184A14"/>
    <w:rsid w:val="00184A31"/>
    <w:rsid w:val="00184B2D"/>
    <w:rsid w:val="00184B9C"/>
    <w:rsid w:val="00184D36"/>
    <w:rsid w:val="00184DA1"/>
    <w:rsid w:val="001850E7"/>
    <w:rsid w:val="0018514D"/>
    <w:rsid w:val="001851C1"/>
    <w:rsid w:val="0018537F"/>
    <w:rsid w:val="0018541C"/>
    <w:rsid w:val="0018570E"/>
    <w:rsid w:val="001857A9"/>
    <w:rsid w:val="001858F1"/>
    <w:rsid w:val="00185A15"/>
    <w:rsid w:val="00185A2B"/>
    <w:rsid w:val="00185AA3"/>
    <w:rsid w:val="00185C55"/>
    <w:rsid w:val="00185C7F"/>
    <w:rsid w:val="00185D27"/>
    <w:rsid w:val="00185DD9"/>
    <w:rsid w:val="00185E61"/>
    <w:rsid w:val="00186056"/>
    <w:rsid w:val="001860A5"/>
    <w:rsid w:val="001860ED"/>
    <w:rsid w:val="0018615A"/>
    <w:rsid w:val="00186473"/>
    <w:rsid w:val="0018659E"/>
    <w:rsid w:val="001867A5"/>
    <w:rsid w:val="001867EA"/>
    <w:rsid w:val="001868B7"/>
    <w:rsid w:val="00186C4C"/>
    <w:rsid w:val="00186D50"/>
    <w:rsid w:val="00186DA0"/>
    <w:rsid w:val="00186DB3"/>
    <w:rsid w:val="00186DD4"/>
    <w:rsid w:val="00186E39"/>
    <w:rsid w:val="00187179"/>
    <w:rsid w:val="001871A0"/>
    <w:rsid w:val="0018727B"/>
    <w:rsid w:val="0018747B"/>
    <w:rsid w:val="001874CD"/>
    <w:rsid w:val="001875EB"/>
    <w:rsid w:val="001879F5"/>
    <w:rsid w:val="001879FC"/>
    <w:rsid w:val="00187A52"/>
    <w:rsid w:val="00187AD6"/>
    <w:rsid w:val="00187B62"/>
    <w:rsid w:val="00187BED"/>
    <w:rsid w:val="00187C5A"/>
    <w:rsid w:val="00187D7C"/>
    <w:rsid w:val="00187E49"/>
    <w:rsid w:val="0019021D"/>
    <w:rsid w:val="001902A9"/>
    <w:rsid w:val="00190323"/>
    <w:rsid w:val="00190396"/>
    <w:rsid w:val="001903B5"/>
    <w:rsid w:val="001904AC"/>
    <w:rsid w:val="00190897"/>
    <w:rsid w:val="00190985"/>
    <w:rsid w:val="001909A9"/>
    <w:rsid w:val="00190A24"/>
    <w:rsid w:val="00190A54"/>
    <w:rsid w:val="00190CA3"/>
    <w:rsid w:val="00190D90"/>
    <w:rsid w:val="00190E58"/>
    <w:rsid w:val="00190E70"/>
    <w:rsid w:val="00190E90"/>
    <w:rsid w:val="00190EB6"/>
    <w:rsid w:val="00190EEC"/>
    <w:rsid w:val="00191035"/>
    <w:rsid w:val="00191074"/>
    <w:rsid w:val="001911EC"/>
    <w:rsid w:val="0019130B"/>
    <w:rsid w:val="00191342"/>
    <w:rsid w:val="001913CD"/>
    <w:rsid w:val="001913D1"/>
    <w:rsid w:val="001913DF"/>
    <w:rsid w:val="0019142E"/>
    <w:rsid w:val="001914F2"/>
    <w:rsid w:val="001918D4"/>
    <w:rsid w:val="001919ED"/>
    <w:rsid w:val="00191BE5"/>
    <w:rsid w:val="00191DC4"/>
    <w:rsid w:val="00191E0E"/>
    <w:rsid w:val="00191EA3"/>
    <w:rsid w:val="001921E4"/>
    <w:rsid w:val="00192217"/>
    <w:rsid w:val="00192383"/>
    <w:rsid w:val="0019241F"/>
    <w:rsid w:val="001925F5"/>
    <w:rsid w:val="00192A70"/>
    <w:rsid w:val="00192C33"/>
    <w:rsid w:val="00192C9C"/>
    <w:rsid w:val="00192D72"/>
    <w:rsid w:val="00192EC2"/>
    <w:rsid w:val="00192F42"/>
    <w:rsid w:val="00192FCA"/>
    <w:rsid w:val="00192FD0"/>
    <w:rsid w:val="00193017"/>
    <w:rsid w:val="00193133"/>
    <w:rsid w:val="00193168"/>
    <w:rsid w:val="001932A8"/>
    <w:rsid w:val="00193363"/>
    <w:rsid w:val="00193486"/>
    <w:rsid w:val="0019348E"/>
    <w:rsid w:val="001935BE"/>
    <w:rsid w:val="00193607"/>
    <w:rsid w:val="001936AA"/>
    <w:rsid w:val="001937A3"/>
    <w:rsid w:val="0019381E"/>
    <w:rsid w:val="001938A0"/>
    <w:rsid w:val="00193954"/>
    <w:rsid w:val="00193A0A"/>
    <w:rsid w:val="00193A68"/>
    <w:rsid w:val="00193B3D"/>
    <w:rsid w:val="00193BB7"/>
    <w:rsid w:val="00193C50"/>
    <w:rsid w:val="00193DED"/>
    <w:rsid w:val="00193E2E"/>
    <w:rsid w:val="00193E5D"/>
    <w:rsid w:val="00194063"/>
    <w:rsid w:val="0019417F"/>
    <w:rsid w:val="00194198"/>
    <w:rsid w:val="001941A1"/>
    <w:rsid w:val="00194305"/>
    <w:rsid w:val="00194359"/>
    <w:rsid w:val="0019449F"/>
    <w:rsid w:val="001945FE"/>
    <w:rsid w:val="00194654"/>
    <w:rsid w:val="0019471A"/>
    <w:rsid w:val="001947D0"/>
    <w:rsid w:val="00194B07"/>
    <w:rsid w:val="00194B49"/>
    <w:rsid w:val="00194BE2"/>
    <w:rsid w:val="00194E0F"/>
    <w:rsid w:val="00194EC7"/>
    <w:rsid w:val="00194ED9"/>
    <w:rsid w:val="00195035"/>
    <w:rsid w:val="00195131"/>
    <w:rsid w:val="001952C2"/>
    <w:rsid w:val="001955DC"/>
    <w:rsid w:val="001957C0"/>
    <w:rsid w:val="001958B6"/>
    <w:rsid w:val="00195A2C"/>
    <w:rsid w:val="00195BD6"/>
    <w:rsid w:val="00195C86"/>
    <w:rsid w:val="00195D0E"/>
    <w:rsid w:val="00195D1B"/>
    <w:rsid w:val="00195D55"/>
    <w:rsid w:val="00195E85"/>
    <w:rsid w:val="00195EC2"/>
    <w:rsid w:val="00195EEA"/>
    <w:rsid w:val="00195F7B"/>
    <w:rsid w:val="001960DB"/>
    <w:rsid w:val="00196186"/>
    <w:rsid w:val="001961A0"/>
    <w:rsid w:val="00196220"/>
    <w:rsid w:val="0019625E"/>
    <w:rsid w:val="001962D4"/>
    <w:rsid w:val="0019638B"/>
    <w:rsid w:val="001963DE"/>
    <w:rsid w:val="00196479"/>
    <w:rsid w:val="001965EB"/>
    <w:rsid w:val="0019663E"/>
    <w:rsid w:val="001966F7"/>
    <w:rsid w:val="0019684D"/>
    <w:rsid w:val="0019688A"/>
    <w:rsid w:val="001968C2"/>
    <w:rsid w:val="00196B74"/>
    <w:rsid w:val="00196B9C"/>
    <w:rsid w:val="00196D7F"/>
    <w:rsid w:val="00196F7F"/>
    <w:rsid w:val="00196FF3"/>
    <w:rsid w:val="001971E2"/>
    <w:rsid w:val="001973BB"/>
    <w:rsid w:val="001973F0"/>
    <w:rsid w:val="001974C4"/>
    <w:rsid w:val="001974E6"/>
    <w:rsid w:val="001975AA"/>
    <w:rsid w:val="0019762E"/>
    <w:rsid w:val="00197990"/>
    <w:rsid w:val="00197A54"/>
    <w:rsid w:val="00197D23"/>
    <w:rsid w:val="00197F06"/>
    <w:rsid w:val="00197FBF"/>
    <w:rsid w:val="001A00F2"/>
    <w:rsid w:val="001A0121"/>
    <w:rsid w:val="001A0162"/>
    <w:rsid w:val="001A017D"/>
    <w:rsid w:val="001A03AE"/>
    <w:rsid w:val="001A03EB"/>
    <w:rsid w:val="001A0538"/>
    <w:rsid w:val="001A0561"/>
    <w:rsid w:val="001A06E3"/>
    <w:rsid w:val="001A079C"/>
    <w:rsid w:val="001A0896"/>
    <w:rsid w:val="001A08A4"/>
    <w:rsid w:val="001A09FD"/>
    <w:rsid w:val="001A09FF"/>
    <w:rsid w:val="001A0A83"/>
    <w:rsid w:val="001A0BCE"/>
    <w:rsid w:val="001A0CC0"/>
    <w:rsid w:val="001A0D6C"/>
    <w:rsid w:val="001A0E17"/>
    <w:rsid w:val="001A0EFF"/>
    <w:rsid w:val="001A10F5"/>
    <w:rsid w:val="001A12D1"/>
    <w:rsid w:val="001A13DD"/>
    <w:rsid w:val="001A140C"/>
    <w:rsid w:val="001A145C"/>
    <w:rsid w:val="001A15CA"/>
    <w:rsid w:val="001A15FF"/>
    <w:rsid w:val="001A1627"/>
    <w:rsid w:val="001A170C"/>
    <w:rsid w:val="001A1847"/>
    <w:rsid w:val="001A19A7"/>
    <w:rsid w:val="001A1A6F"/>
    <w:rsid w:val="001A1B2F"/>
    <w:rsid w:val="001A1D23"/>
    <w:rsid w:val="001A1DA2"/>
    <w:rsid w:val="001A1DA5"/>
    <w:rsid w:val="001A209F"/>
    <w:rsid w:val="001A211C"/>
    <w:rsid w:val="001A22C2"/>
    <w:rsid w:val="001A22DE"/>
    <w:rsid w:val="001A22F3"/>
    <w:rsid w:val="001A234F"/>
    <w:rsid w:val="001A235E"/>
    <w:rsid w:val="001A2393"/>
    <w:rsid w:val="001A23D5"/>
    <w:rsid w:val="001A2540"/>
    <w:rsid w:val="001A25DE"/>
    <w:rsid w:val="001A2623"/>
    <w:rsid w:val="001A2944"/>
    <w:rsid w:val="001A2995"/>
    <w:rsid w:val="001A2DC9"/>
    <w:rsid w:val="001A2E76"/>
    <w:rsid w:val="001A2F29"/>
    <w:rsid w:val="001A300A"/>
    <w:rsid w:val="001A3083"/>
    <w:rsid w:val="001A3116"/>
    <w:rsid w:val="001A31EB"/>
    <w:rsid w:val="001A320D"/>
    <w:rsid w:val="001A3298"/>
    <w:rsid w:val="001A333D"/>
    <w:rsid w:val="001A3473"/>
    <w:rsid w:val="001A3549"/>
    <w:rsid w:val="001A362D"/>
    <w:rsid w:val="001A388A"/>
    <w:rsid w:val="001A38A3"/>
    <w:rsid w:val="001A3A61"/>
    <w:rsid w:val="001A3A93"/>
    <w:rsid w:val="001A3AE3"/>
    <w:rsid w:val="001A3B06"/>
    <w:rsid w:val="001A3B6C"/>
    <w:rsid w:val="001A3BFC"/>
    <w:rsid w:val="001A3C48"/>
    <w:rsid w:val="001A3D90"/>
    <w:rsid w:val="001A3DBA"/>
    <w:rsid w:val="001A3DEF"/>
    <w:rsid w:val="001A3E1E"/>
    <w:rsid w:val="001A3E94"/>
    <w:rsid w:val="001A3EAE"/>
    <w:rsid w:val="001A4279"/>
    <w:rsid w:val="001A428F"/>
    <w:rsid w:val="001A456D"/>
    <w:rsid w:val="001A45C0"/>
    <w:rsid w:val="001A4643"/>
    <w:rsid w:val="001A46D7"/>
    <w:rsid w:val="001A4703"/>
    <w:rsid w:val="001A478B"/>
    <w:rsid w:val="001A484B"/>
    <w:rsid w:val="001A487C"/>
    <w:rsid w:val="001A48A1"/>
    <w:rsid w:val="001A494F"/>
    <w:rsid w:val="001A4AB1"/>
    <w:rsid w:val="001A4AD3"/>
    <w:rsid w:val="001A4B06"/>
    <w:rsid w:val="001A4B5F"/>
    <w:rsid w:val="001A4BCA"/>
    <w:rsid w:val="001A4BD0"/>
    <w:rsid w:val="001A4C14"/>
    <w:rsid w:val="001A4F39"/>
    <w:rsid w:val="001A4F79"/>
    <w:rsid w:val="001A4FAA"/>
    <w:rsid w:val="001A5026"/>
    <w:rsid w:val="001A5068"/>
    <w:rsid w:val="001A517A"/>
    <w:rsid w:val="001A54C7"/>
    <w:rsid w:val="001A54D3"/>
    <w:rsid w:val="001A554C"/>
    <w:rsid w:val="001A5620"/>
    <w:rsid w:val="001A5792"/>
    <w:rsid w:val="001A58B4"/>
    <w:rsid w:val="001A58D0"/>
    <w:rsid w:val="001A594E"/>
    <w:rsid w:val="001A59F6"/>
    <w:rsid w:val="001A5C6B"/>
    <w:rsid w:val="001A5D4F"/>
    <w:rsid w:val="001A5DB3"/>
    <w:rsid w:val="001A5DFF"/>
    <w:rsid w:val="001A612F"/>
    <w:rsid w:val="001A6160"/>
    <w:rsid w:val="001A6344"/>
    <w:rsid w:val="001A63F7"/>
    <w:rsid w:val="001A6724"/>
    <w:rsid w:val="001A675D"/>
    <w:rsid w:val="001A67C9"/>
    <w:rsid w:val="001A67E2"/>
    <w:rsid w:val="001A67E8"/>
    <w:rsid w:val="001A6854"/>
    <w:rsid w:val="001A68B6"/>
    <w:rsid w:val="001A6B42"/>
    <w:rsid w:val="001A6C80"/>
    <w:rsid w:val="001A6F3F"/>
    <w:rsid w:val="001A6F65"/>
    <w:rsid w:val="001A7016"/>
    <w:rsid w:val="001A70A3"/>
    <w:rsid w:val="001A70AC"/>
    <w:rsid w:val="001A723C"/>
    <w:rsid w:val="001A7502"/>
    <w:rsid w:val="001A7617"/>
    <w:rsid w:val="001A764A"/>
    <w:rsid w:val="001A77C7"/>
    <w:rsid w:val="001A78D9"/>
    <w:rsid w:val="001A79A4"/>
    <w:rsid w:val="001A79C1"/>
    <w:rsid w:val="001A7BE8"/>
    <w:rsid w:val="001A7C0A"/>
    <w:rsid w:val="001A7C15"/>
    <w:rsid w:val="001A7C42"/>
    <w:rsid w:val="001A7C5A"/>
    <w:rsid w:val="001A7CAC"/>
    <w:rsid w:val="001B0037"/>
    <w:rsid w:val="001B011F"/>
    <w:rsid w:val="001B01F6"/>
    <w:rsid w:val="001B034D"/>
    <w:rsid w:val="001B047F"/>
    <w:rsid w:val="001B04AF"/>
    <w:rsid w:val="001B04BA"/>
    <w:rsid w:val="001B0518"/>
    <w:rsid w:val="001B0556"/>
    <w:rsid w:val="001B0587"/>
    <w:rsid w:val="001B05D4"/>
    <w:rsid w:val="001B05F1"/>
    <w:rsid w:val="001B0630"/>
    <w:rsid w:val="001B079C"/>
    <w:rsid w:val="001B07A7"/>
    <w:rsid w:val="001B07B2"/>
    <w:rsid w:val="001B0844"/>
    <w:rsid w:val="001B0C07"/>
    <w:rsid w:val="001B0CC4"/>
    <w:rsid w:val="001B0CF5"/>
    <w:rsid w:val="001B0EA5"/>
    <w:rsid w:val="001B12CF"/>
    <w:rsid w:val="001B1473"/>
    <w:rsid w:val="001B14F0"/>
    <w:rsid w:val="001B157C"/>
    <w:rsid w:val="001B15AB"/>
    <w:rsid w:val="001B1606"/>
    <w:rsid w:val="001B1617"/>
    <w:rsid w:val="001B1619"/>
    <w:rsid w:val="001B1696"/>
    <w:rsid w:val="001B175F"/>
    <w:rsid w:val="001B17B6"/>
    <w:rsid w:val="001B1889"/>
    <w:rsid w:val="001B1941"/>
    <w:rsid w:val="001B1B24"/>
    <w:rsid w:val="001B1B6C"/>
    <w:rsid w:val="001B1DFB"/>
    <w:rsid w:val="001B1F7E"/>
    <w:rsid w:val="001B1FD9"/>
    <w:rsid w:val="001B2068"/>
    <w:rsid w:val="001B2148"/>
    <w:rsid w:val="001B2193"/>
    <w:rsid w:val="001B21A9"/>
    <w:rsid w:val="001B22ED"/>
    <w:rsid w:val="001B2363"/>
    <w:rsid w:val="001B23B9"/>
    <w:rsid w:val="001B23BC"/>
    <w:rsid w:val="001B23F8"/>
    <w:rsid w:val="001B2450"/>
    <w:rsid w:val="001B2466"/>
    <w:rsid w:val="001B2522"/>
    <w:rsid w:val="001B27D8"/>
    <w:rsid w:val="001B2916"/>
    <w:rsid w:val="001B2924"/>
    <w:rsid w:val="001B29D8"/>
    <w:rsid w:val="001B29FB"/>
    <w:rsid w:val="001B2A0D"/>
    <w:rsid w:val="001B2ADA"/>
    <w:rsid w:val="001B2E44"/>
    <w:rsid w:val="001B2E5D"/>
    <w:rsid w:val="001B2F89"/>
    <w:rsid w:val="001B2FAE"/>
    <w:rsid w:val="001B3096"/>
    <w:rsid w:val="001B30D1"/>
    <w:rsid w:val="001B3131"/>
    <w:rsid w:val="001B32EA"/>
    <w:rsid w:val="001B33DF"/>
    <w:rsid w:val="001B3539"/>
    <w:rsid w:val="001B368B"/>
    <w:rsid w:val="001B3693"/>
    <w:rsid w:val="001B37D1"/>
    <w:rsid w:val="001B38A8"/>
    <w:rsid w:val="001B39BB"/>
    <w:rsid w:val="001B3D68"/>
    <w:rsid w:val="001B3E39"/>
    <w:rsid w:val="001B3EDD"/>
    <w:rsid w:val="001B400B"/>
    <w:rsid w:val="001B40B2"/>
    <w:rsid w:val="001B4123"/>
    <w:rsid w:val="001B414A"/>
    <w:rsid w:val="001B426D"/>
    <w:rsid w:val="001B4291"/>
    <w:rsid w:val="001B46F6"/>
    <w:rsid w:val="001B4932"/>
    <w:rsid w:val="001B498A"/>
    <w:rsid w:val="001B4A32"/>
    <w:rsid w:val="001B4A86"/>
    <w:rsid w:val="001B4BEC"/>
    <w:rsid w:val="001B4C87"/>
    <w:rsid w:val="001B4CB3"/>
    <w:rsid w:val="001B4D2E"/>
    <w:rsid w:val="001B4E36"/>
    <w:rsid w:val="001B4F4D"/>
    <w:rsid w:val="001B4F5E"/>
    <w:rsid w:val="001B4FD0"/>
    <w:rsid w:val="001B515E"/>
    <w:rsid w:val="001B51B2"/>
    <w:rsid w:val="001B529B"/>
    <w:rsid w:val="001B53FC"/>
    <w:rsid w:val="001B5698"/>
    <w:rsid w:val="001B573E"/>
    <w:rsid w:val="001B587C"/>
    <w:rsid w:val="001B5894"/>
    <w:rsid w:val="001B58CE"/>
    <w:rsid w:val="001B5BF9"/>
    <w:rsid w:val="001B5CE1"/>
    <w:rsid w:val="001B5EAC"/>
    <w:rsid w:val="001B6321"/>
    <w:rsid w:val="001B6642"/>
    <w:rsid w:val="001B66A3"/>
    <w:rsid w:val="001B68AE"/>
    <w:rsid w:val="001B68FC"/>
    <w:rsid w:val="001B697F"/>
    <w:rsid w:val="001B6B17"/>
    <w:rsid w:val="001B6B35"/>
    <w:rsid w:val="001B6CC8"/>
    <w:rsid w:val="001B6F53"/>
    <w:rsid w:val="001B72D4"/>
    <w:rsid w:val="001B730C"/>
    <w:rsid w:val="001B7429"/>
    <w:rsid w:val="001B7487"/>
    <w:rsid w:val="001B74BC"/>
    <w:rsid w:val="001B7636"/>
    <w:rsid w:val="001B7682"/>
    <w:rsid w:val="001B76E9"/>
    <w:rsid w:val="001B77C3"/>
    <w:rsid w:val="001B7935"/>
    <w:rsid w:val="001B7967"/>
    <w:rsid w:val="001B7AF2"/>
    <w:rsid w:val="001B7B67"/>
    <w:rsid w:val="001B7C2F"/>
    <w:rsid w:val="001B7C5A"/>
    <w:rsid w:val="001B7D98"/>
    <w:rsid w:val="001B7F57"/>
    <w:rsid w:val="001C0029"/>
    <w:rsid w:val="001C0508"/>
    <w:rsid w:val="001C078A"/>
    <w:rsid w:val="001C09E1"/>
    <w:rsid w:val="001C0A1E"/>
    <w:rsid w:val="001C0D36"/>
    <w:rsid w:val="001C0DA5"/>
    <w:rsid w:val="001C0E18"/>
    <w:rsid w:val="001C0EC4"/>
    <w:rsid w:val="001C1328"/>
    <w:rsid w:val="001C1333"/>
    <w:rsid w:val="001C15FF"/>
    <w:rsid w:val="001C1704"/>
    <w:rsid w:val="001C17A7"/>
    <w:rsid w:val="001C1818"/>
    <w:rsid w:val="001C1851"/>
    <w:rsid w:val="001C1928"/>
    <w:rsid w:val="001C1940"/>
    <w:rsid w:val="001C1953"/>
    <w:rsid w:val="001C1963"/>
    <w:rsid w:val="001C1970"/>
    <w:rsid w:val="001C19AD"/>
    <w:rsid w:val="001C1A43"/>
    <w:rsid w:val="001C1AD2"/>
    <w:rsid w:val="001C1C72"/>
    <w:rsid w:val="001C1CE8"/>
    <w:rsid w:val="001C1DAF"/>
    <w:rsid w:val="001C1E2E"/>
    <w:rsid w:val="001C1E58"/>
    <w:rsid w:val="001C1E80"/>
    <w:rsid w:val="001C208D"/>
    <w:rsid w:val="001C213D"/>
    <w:rsid w:val="001C2252"/>
    <w:rsid w:val="001C2259"/>
    <w:rsid w:val="001C23D2"/>
    <w:rsid w:val="001C2528"/>
    <w:rsid w:val="001C265A"/>
    <w:rsid w:val="001C2797"/>
    <w:rsid w:val="001C285F"/>
    <w:rsid w:val="001C2878"/>
    <w:rsid w:val="001C28E2"/>
    <w:rsid w:val="001C291D"/>
    <w:rsid w:val="001C2A3C"/>
    <w:rsid w:val="001C2AC7"/>
    <w:rsid w:val="001C2F53"/>
    <w:rsid w:val="001C301E"/>
    <w:rsid w:val="001C32DB"/>
    <w:rsid w:val="001C344D"/>
    <w:rsid w:val="001C34B5"/>
    <w:rsid w:val="001C363C"/>
    <w:rsid w:val="001C37F2"/>
    <w:rsid w:val="001C38A4"/>
    <w:rsid w:val="001C39D1"/>
    <w:rsid w:val="001C3A52"/>
    <w:rsid w:val="001C3A8E"/>
    <w:rsid w:val="001C3B9B"/>
    <w:rsid w:val="001C3C83"/>
    <w:rsid w:val="001C3DD6"/>
    <w:rsid w:val="001C3E23"/>
    <w:rsid w:val="001C3F46"/>
    <w:rsid w:val="001C3FEC"/>
    <w:rsid w:val="001C40E1"/>
    <w:rsid w:val="001C4360"/>
    <w:rsid w:val="001C45BA"/>
    <w:rsid w:val="001C4776"/>
    <w:rsid w:val="001C47C7"/>
    <w:rsid w:val="001C4A3F"/>
    <w:rsid w:val="001C4A9C"/>
    <w:rsid w:val="001C4C4B"/>
    <w:rsid w:val="001C4DCB"/>
    <w:rsid w:val="001C4F65"/>
    <w:rsid w:val="001C4FA9"/>
    <w:rsid w:val="001C505C"/>
    <w:rsid w:val="001C52C2"/>
    <w:rsid w:val="001C52E6"/>
    <w:rsid w:val="001C531A"/>
    <w:rsid w:val="001C564E"/>
    <w:rsid w:val="001C5675"/>
    <w:rsid w:val="001C5702"/>
    <w:rsid w:val="001C57F4"/>
    <w:rsid w:val="001C58C6"/>
    <w:rsid w:val="001C59BB"/>
    <w:rsid w:val="001C59D3"/>
    <w:rsid w:val="001C5BAD"/>
    <w:rsid w:val="001C5BAF"/>
    <w:rsid w:val="001C5D0B"/>
    <w:rsid w:val="001C5DB3"/>
    <w:rsid w:val="001C5E20"/>
    <w:rsid w:val="001C5EC0"/>
    <w:rsid w:val="001C601F"/>
    <w:rsid w:val="001C604F"/>
    <w:rsid w:val="001C6174"/>
    <w:rsid w:val="001C626B"/>
    <w:rsid w:val="001C633D"/>
    <w:rsid w:val="001C64AA"/>
    <w:rsid w:val="001C6539"/>
    <w:rsid w:val="001C6628"/>
    <w:rsid w:val="001C6A4C"/>
    <w:rsid w:val="001C6BA3"/>
    <w:rsid w:val="001C6C04"/>
    <w:rsid w:val="001C6C42"/>
    <w:rsid w:val="001C6C60"/>
    <w:rsid w:val="001C6D10"/>
    <w:rsid w:val="001C6D35"/>
    <w:rsid w:val="001C6E47"/>
    <w:rsid w:val="001C6EFD"/>
    <w:rsid w:val="001C70B3"/>
    <w:rsid w:val="001C70E2"/>
    <w:rsid w:val="001C71B4"/>
    <w:rsid w:val="001C726C"/>
    <w:rsid w:val="001C7458"/>
    <w:rsid w:val="001C7493"/>
    <w:rsid w:val="001C753C"/>
    <w:rsid w:val="001C76B8"/>
    <w:rsid w:val="001C76EA"/>
    <w:rsid w:val="001C77F0"/>
    <w:rsid w:val="001C794F"/>
    <w:rsid w:val="001C797B"/>
    <w:rsid w:val="001C7A51"/>
    <w:rsid w:val="001C7AE6"/>
    <w:rsid w:val="001C7D35"/>
    <w:rsid w:val="001C7F4D"/>
    <w:rsid w:val="001D0065"/>
    <w:rsid w:val="001D00E5"/>
    <w:rsid w:val="001D0222"/>
    <w:rsid w:val="001D0225"/>
    <w:rsid w:val="001D04B7"/>
    <w:rsid w:val="001D04D3"/>
    <w:rsid w:val="001D0773"/>
    <w:rsid w:val="001D091D"/>
    <w:rsid w:val="001D0AD9"/>
    <w:rsid w:val="001D0B8F"/>
    <w:rsid w:val="001D0C97"/>
    <w:rsid w:val="001D0D51"/>
    <w:rsid w:val="001D0DCF"/>
    <w:rsid w:val="001D105F"/>
    <w:rsid w:val="001D10A6"/>
    <w:rsid w:val="001D11C6"/>
    <w:rsid w:val="001D126C"/>
    <w:rsid w:val="001D128A"/>
    <w:rsid w:val="001D1313"/>
    <w:rsid w:val="001D1354"/>
    <w:rsid w:val="001D1406"/>
    <w:rsid w:val="001D14E6"/>
    <w:rsid w:val="001D1514"/>
    <w:rsid w:val="001D15A6"/>
    <w:rsid w:val="001D15BF"/>
    <w:rsid w:val="001D15CB"/>
    <w:rsid w:val="001D168E"/>
    <w:rsid w:val="001D172C"/>
    <w:rsid w:val="001D175C"/>
    <w:rsid w:val="001D1786"/>
    <w:rsid w:val="001D17F4"/>
    <w:rsid w:val="001D18FA"/>
    <w:rsid w:val="001D192E"/>
    <w:rsid w:val="001D1A4C"/>
    <w:rsid w:val="001D1BA1"/>
    <w:rsid w:val="001D1CBA"/>
    <w:rsid w:val="001D1D81"/>
    <w:rsid w:val="001D1DB6"/>
    <w:rsid w:val="001D1DEA"/>
    <w:rsid w:val="001D1DF2"/>
    <w:rsid w:val="001D1E37"/>
    <w:rsid w:val="001D1F46"/>
    <w:rsid w:val="001D227B"/>
    <w:rsid w:val="001D263C"/>
    <w:rsid w:val="001D2765"/>
    <w:rsid w:val="001D29BD"/>
    <w:rsid w:val="001D2A2D"/>
    <w:rsid w:val="001D2A31"/>
    <w:rsid w:val="001D2C31"/>
    <w:rsid w:val="001D2C5B"/>
    <w:rsid w:val="001D2C92"/>
    <w:rsid w:val="001D2D24"/>
    <w:rsid w:val="001D2F86"/>
    <w:rsid w:val="001D3096"/>
    <w:rsid w:val="001D3204"/>
    <w:rsid w:val="001D3397"/>
    <w:rsid w:val="001D3596"/>
    <w:rsid w:val="001D3644"/>
    <w:rsid w:val="001D365B"/>
    <w:rsid w:val="001D3706"/>
    <w:rsid w:val="001D38F2"/>
    <w:rsid w:val="001D398C"/>
    <w:rsid w:val="001D39EF"/>
    <w:rsid w:val="001D3CD3"/>
    <w:rsid w:val="001D3E96"/>
    <w:rsid w:val="001D4044"/>
    <w:rsid w:val="001D4129"/>
    <w:rsid w:val="001D41B3"/>
    <w:rsid w:val="001D4437"/>
    <w:rsid w:val="001D46F0"/>
    <w:rsid w:val="001D4700"/>
    <w:rsid w:val="001D4713"/>
    <w:rsid w:val="001D476D"/>
    <w:rsid w:val="001D47B3"/>
    <w:rsid w:val="001D47C4"/>
    <w:rsid w:val="001D482C"/>
    <w:rsid w:val="001D4862"/>
    <w:rsid w:val="001D48CA"/>
    <w:rsid w:val="001D49DD"/>
    <w:rsid w:val="001D4B18"/>
    <w:rsid w:val="001D4B26"/>
    <w:rsid w:val="001D4CBA"/>
    <w:rsid w:val="001D4CBC"/>
    <w:rsid w:val="001D4D0D"/>
    <w:rsid w:val="001D4D9E"/>
    <w:rsid w:val="001D5168"/>
    <w:rsid w:val="001D516B"/>
    <w:rsid w:val="001D5369"/>
    <w:rsid w:val="001D53C4"/>
    <w:rsid w:val="001D54B0"/>
    <w:rsid w:val="001D56C5"/>
    <w:rsid w:val="001D5701"/>
    <w:rsid w:val="001D5714"/>
    <w:rsid w:val="001D5BFB"/>
    <w:rsid w:val="001D5D20"/>
    <w:rsid w:val="001D5D87"/>
    <w:rsid w:val="001D5E66"/>
    <w:rsid w:val="001D5F17"/>
    <w:rsid w:val="001D5F8B"/>
    <w:rsid w:val="001D5FBD"/>
    <w:rsid w:val="001D60B7"/>
    <w:rsid w:val="001D60E2"/>
    <w:rsid w:val="001D60F6"/>
    <w:rsid w:val="001D6137"/>
    <w:rsid w:val="001D647E"/>
    <w:rsid w:val="001D64DA"/>
    <w:rsid w:val="001D65D8"/>
    <w:rsid w:val="001D6655"/>
    <w:rsid w:val="001D666C"/>
    <w:rsid w:val="001D66FF"/>
    <w:rsid w:val="001D6737"/>
    <w:rsid w:val="001D67B7"/>
    <w:rsid w:val="001D67E4"/>
    <w:rsid w:val="001D68D0"/>
    <w:rsid w:val="001D68E5"/>
    <w:rsid w:val="001D69C0"/>
    <w:rsid w:val="001D69C5"/>
    <w:rsid w:val="001D6A35"/>
    <w:rsid w:val="001D6A46"/>
    <w:rsid w:val="001D6B57"/>
    <w:rsid w:val="001D6BA1"/>
    <w:rsid w:val="001D6BC1"/>
    <w:rsid w:val="001D6F74"/>
    <w:rsid w:val="001D7030"/>
    <w:rsid w:val="001D710F"/>
    <w:rsid w:val="001D715D"/>
    <w:rsid w:val="001D7189"/>
    <w:rsid w:val="001D71C4"/>
    <w:rsid w:val="001D72CA"/>
    <w:rsid w:val="001D7345"/>
    <w:rsid w:val="001D742A"/>
    <w:rsid w:val="001D756A"/>
    <w:rsid w:val="001D7591"/>
    <w:rsid w:val="001D75F4"/>
    <w:rsid w:val="001D77D8"/>
    <w:rsid w:val="001D7800"/>
    <w:rsid w:val="001D793A"/>
    <w:rsid w:val="001D7941"/>
    <w:rsid w:val="001D7AFA"/>
    <w:rsid w:val="001D7C89"/>
    <w:rsid w:val="001E0275"/>
    <w:rsid w:val="001E0312"/>
    <w:rsid w:val="001E05D9"/>
    <w:rsid w:val="001E0784"/>
    <w:rsid w:val="001E078E"/>
    <w:rsid w:val="001E07E8"/>
    <w:rsid w:val="001E081C"/>
    <w:rsid w:val="001E094D"/>
    <w:rsid w:val="001E0BAF"/>
    <w:rsid w:val="001E0C40"/>
    <w:rsid w:val="001E0CBD"/>
    <w:rsid w:val="001E0D3D"/>
    <w:rsid w:val="001E0FCF"/>
    <w:rsid w:val="001E1197"/>
    <w:rsid w:val="001E11B3"/>
    <w:rsid w:val="001E12CD"/>
    <w:rsid w:val="001E1363"/>
    <w:rsid w:val="001E1437"/>
    <w:rsid w:val="001E1490"/>
    <w:rsid w:val="001E16EB"/>
    <w:rsid w:val="001E16EF"/>
    <w:rsid w:val="001E1839"/>
    <w:rsid w:val="001E18B8"/>
    <w:rsid w:val="001E1932"/>
    <w:rsid w:val="001E1A52"/>
    <w:rsid w:val="001E1A58"/>
    <w:rsid w:val="001E1A7C"/>
    <w:rsid w:val="001E1A97"/>
    <w:rsid w:val="001E1B16"/>
    <w:rsid w:val="001E1D34"/>
    <w:rsid w:val="001E1D70"/>
    <w:rsid w:val="001E1D97"/>
    <w:rsid w:val="001E1F3B"/>
    <w:rsid w:val="001E2013"/>
    <w:rsid w:val="001E2020"/>
    <w:rsid w:val="001E21C2"/>
    <w:rsid w:val="001E21CD"/>
    <w:rsid w:val="001E22D0"/>
    <w:rsid w:val="001E25EA"/>
    <w:rsid w:val="001E268D"/>
    <w:rsid w:val="001E276E"/>
    <w:rsid w:val="001E286F"/>
    <w:rsid w:val="001E288D"/>
    <w:rsid w:val="001E2B0F"/>
    <w:rsid w:val="001E2BA5"/>
    <w:rsid w:val="001E2C22"/>
    <w:rsid w:val="001E2C89"/>
    <w:rsid w:val="001E2D73"/>
    <w:rsid w:val="001E2E5A"/>
    <w:rsid w:val="001E2F99"/>
    <w:rsid w:val="001E2FF3"/>
    <w:rsid w:val="001E300B"/>
    <w:rsid w:val="001E301D"/>
    <w:rsid w:val="001E30A4"/>
    <w:rsid w:val="001E312E"/>
    <w:rsid w:val="001E3250"/>
    <w:rsid w:val="001E33A5"/>
    <w:rsid w:val="001E340B"/>
    <w:rsid w:val="001E349A"/>
    <w:rsid w:val="001E3507"/>
    <w:rsid w:val="001E36C1"/>
    <w:rsid w:val="001E3ABB"/>
    <w:rsid w:val="001E3CC5"/>
    <w:rsid w:val="001E3D5A"/>
    <w:rsid w:val="001E3EAE"/>
    <w:rsid w:val="001E3EB1"/>
    <w:rsid w:val="001E3EB6"/>
    <w:rsid w:val="001E3FAC"/>
    <w:rsid w:val="001E431D"/>
    <w:rsid w:val="001E439D"/>
    <w:rsid w:val="001E4428"/>
    <w:rsid w:val="001E4522"/>
    <w:rsid w:val="001E45A9"/>
    <w:rsid w:val="001E45E7"/>
    <w:rsid w:val="001E46B7"/>
    <w:rsid w:val="001E47D1"/>
    <w:rsid w:val="001E47ED"/>
    <w:rsid w:val="001E492F"/>
    <w:rsid w:val="001E4A62"/>
    <w:rsid w:val="001E4B12"/>
    <w:rsid w:val="001E4BB0"/>
    <w:rsid w:val="001E4D54"/>
    <w:rsid w:val="001E4DB1"/>
    <w:rsid w:val="001E4E12"/>
    <w:rsid w:val="001E4E78"/>
    <w:rsid w:val="001E4F73"/>
    <w:rsid w:val="001E50E9"/>
    <w:rsid w:val="001E52FA"/>
    <w:rsid w:val="001E5339"/>
    <w:rsid w:val="001E5393"/>
    <w:rsid w:val="001E5471"/>
    <w:rsid w:val="001E5580"/>
    <w:rsid w:val="001E55FC"/>
    <w:rsid w:val="001E56BE"/>
    <w:rsid w:val="001E584E"/>
    <w:rsid w:val="001E59A2"/>
    <w:rsid w:val="001E5C10"/>
    <w:rsid w:val="001E5C30"/>
    <w:rsid w:val="001E5CCE"/>
    <w:rsid w:val="001E5D3C"/>
    <w:rsid w:val="001E5D8D"/>
    <w:rsid w:val="001E5E4C"/>
    <w:rsid w:val="001E6068"/>
    <w:rsid w:val="001E6073"/>
    <w:rsid w:val="001E618B"/>
    <w:rsid w:val="001E6240"/>
    <w:rsid w:val="001E6304"/>
    <w:rsid w:val="001E640D"/>
    <w:rsid w:val="001E66BB"/>
    <w:rsid w:val="001E67EA"/>
    <w:rsid w:val="001E681C"/>
    <w:rsid w:val="001E684C"/>
    <w:rsid w:val="001E6A1B"/>
    <w:rsid w:val="001E6A29"/>
    <w:rsid w:val="001E6A53"/>
    <w:rsid w:val="001E6AB2"/>
    <w:rsid w:val="001E6AF7"/>
    <w:rsid w:val="001E6AFE"/>
    <w:rsid w:val="001E6C6A"/>
    <w:rsid w:val="001E6DC8"/>
    <w:rsid w:val="001E701E"/>
    <w:rsid w:val="001E7020"/>
    <w:rsid w:val="001E72E2"/>
    <w:rsid w:val="001E73AE"/>
    <w:rsid w:val="001E7530"/>
    <w:rsid w:val="001E7646"/>
    <w:rsid w:val="001E7669"/>
    <w:rsid w:val="001E76FB"/>
    <w:rsid w:val="001E770B"/>
    <w:rsid w:val="001E77C5"/>
    <w:rsid w:val="001E79AA"/>
    <w:rsid w:val="001E79E9"/>
    <w:rsid w:val="001E7A3C"/>
    <w:rsid w:val="001E7B31"/>
    <w:rsid w:val="001E7CEA"/>
    <w:rsid w:val="001E7DDC"/>
    <w:rsid w:val="001E7F0F"/>
    <w:rsid w:val="001E7FBD"/>
    <w:rsid w:val="001F00E8"/>
    <w:rsid w:val="001F0231"/>
    <w:rsid w:val="001F026A"/>
    <w:rsid w:val="001F041C"/>
    <w:rsid w:val="001F0619"/>
    <w:rsid w:val="001F068B"/>
    <w:rsid w:val="001F0756"/>
    <w:rsid w:val="001F0799"/>
    <w:rsid w:val="001F0922"/>
    <w:rsid w:val="001F095C"/>
    <w:rsid w:val="001F0A1E"/>
    <w:rsid w:val="001F0AD0"/>
    <w:rsid w:val="001F0C0F"/>
    <w:rsid w:val="001F0C20"/>
    <w:rsid w:val="001F0DA9"/>
    <w:rsid w:val="001F0DF6"/>
    <w:rsid w:val="001F0E76"/>
    <w:rsid w:val="001F0EC0"/>
    <w:rsid w:val="001F0EE4"/>
    <w:rsid w:val="001F0FA4"/>
    <w:rsid w:val="001F0FC2"/>
    <w:rsid w:val="001F110F"/>
    <w:rsid w:val="001F12AA"/>
    <w:rsid w:val="001F14AB"/>
    <w:rsid w:val="001F169B"/>
    <w:rsid w:val="001F16C7"/>
    <w:rsid w:val="001F1748"/>
    <w:rsid w:val="001F178C"/>
    <w:rsid w:val="001F189E"/>
    <w:rsid w:val="001F1941"/>
    <w:rsid w:val="001F194B"/>
    <w:rsid w:val="001F1A1A"/>
    <w:rsid w:val="001F1A5B"/>
    <w:rsid w:val="001F1B36"/>
    <w:rsid w:val="001F1D16"/>
    <w:rsid w:val="001F1DF1"/>
    <w:rsid w:val="001F2000"/>
    <w:rsid w:val="001F2129"/>
    <w:rsid w:val="001F21E5"/>
    <w:rsid w:val="001F2241"/>
    <w:rsid w:val="001F245C"/>
    <w:rsid w:val="001F258E"/>
    <w:rsid w:val="001F281A"/>
    <w:rsid w:val="001F28B7"/>
    <w:rsid w:val="001F2CC3"/>
    <w:rsid w:val="001F2CEE"/>
    <w:rsid w:val="001F2E34"/>
    <w:rsid w:val="001F2E49"/>
    <w:rsid w:val="001F2F46"/>
    <w:rsid w:val="001F2F47"/>
    <w:rsid w:val="001F302F"/>
    <w:rsid w:val="001F30D0"/>
    <w:rsid w:val="001F3184"/>
    <w:rsid w:val="001F31BC"/>
    <w:rsid w:val="001F32DC"/>
    <w:rsid w:val="001F3321"/>
    <w:rsid w:val="001F346F"/>
    <w:rsid w:val="001F34DF"/>
    <w:rsid w:val="001F3630"/>
    <w:rsid w:val="001F370E"/>
    <w:rsid w:val="001F371A"/>
    <w:rsid w:val="001F3856"/>
    <w:rsid w:val="001F3B17"/>
    <w:rsid w:val="001F3B6F"/>
    <w:rsid w:val="001F3FEF"/>
    <w:rsid w:val="001F40E8"/>
    <w:rsid w:val="001F4119"/>
    <w:rsid w:val="001F4162"/>
    <w:rsid w:val="001F4185"/>
    <w:rsid w:val="001F41D8"/>
    <w:rsid w:val="001F4259"/>
    <w:rsid w:val="001F430A"/>
    <w:rsid w:val="001F440B"/>
    <w:rsid w:val="001F445D"/>
    <w:rsid w:val="001F457C"/>
    <w:rsid w:val="001F474D"/>
    <w:rsid w:val="001F478B"/>
    <w:rsid w:val="001F47F2"/>
    <w:rsid w:val="001F4AC4"/>
    <w:rsid w:val="001F4D06"/>
    <w:rsid w:val="001F4DFB"/>
    <w:rsid w:val="001F4EB5"/>
    <w:rsid w:val="001F4F16"/>
    <w:rsid w:val="001F500E"/>
    <w:rsid w:val="001F5079"/>
    <w:rsid w:val="001F50B0"/>
    <w:rsid w:val="001F5128"/>
    <w:rsid w:val="001F51B0"/>
    <w:rsid w:val="001F521D"/>
    <w:rsid w:val="001F53A3"/>
    <w:rsid w:val="001F53F6"/>
    <w:rsid w:val="001F541E"/>
    <w:rsid w:val="001F5511"/>
    <w:rsid w:val="001F56AC"/>
    <w:rsid w:val="001F57C5"/>
    <w:rsid w:val="001F586D"/>
    <w:rsid w:val="001F590F"/>
    <w:rsid w:val="001F5AB0"/>
    <w:rsid w:val="001F5CC2"/>
    <w:rsid w:val="001F5E7B"/>
    <w:rsid w:val="001F5ED4"/>
    <w:rsid w:val="001F5FCC"/>
    <w:rsid w:val="001F60C7"/>
    <w:rsid w:val="001F6190"/>
    <w:rsid w:val="001F6372"/>
    <w:rsid w:val="001F652D"/>
    <w:rsid w:val="001F653F"/>
    <w:rsid w:val="001F67B3"/>
    <w:rsid w:val="001F688A"/>
    <w:rsid w:val="001F689A"/>
    <w:rsid w:val="001F6950"/>
    <w:rsid w:val="001F69BA"/>
    <w:rsid w:val="001F6BAB"/>
    <w:rsid w:val="001F6BC4"/>
    <w:rsid w:val="001F6C78"/>
    <w:rsid w:val="001F7032"/>
    <w:rsid w:val="001F70EB"/>
    <w:rsid w:val="001F71E0"/>
    <w:rsid w:val="001F72D6"/>
    <w:rsid w:val="001F7353"/>
    <w:rsid w:val="001F7383"/>
    <w:rsid w:val="001F73C1"/>
    <w:rsid w:val="001F73D6"/>
    <w:rsid w:val="001F741A"/>
    <w:rsid w:val="001F74BB"/>
    <w:rsid w:val="001F75C0"/>
    <w:rsid w:val="001F7682"/>
    <w:rsid w:val="001F79D0"/>
    <w:rsid w:val="001F79ED"/>
    <w:rsid w:val="001F7B24"/>
    <w:rsid w:val="001F7D0A"/>
    <w:rsid w:val="001F7D85"/>
    <w:rsid w:val="001F7DB3"/>
    <w:rsid w:val="001F7E22"/>
    <w:rsid w:val="001F7E44"/>
    <w:rsid w:val="001F7FBB"/>
    <w:rsid w:val="0020014F"/>
    <w:rsid w:val="00200306"/>
    <w:rsid w:val="00200334"/>
    <w:rsid w:val="00200419"/>
    <w:rsid w:val="00200655"/>
    <w:rsid w:val="0020066E"/>
    <w:rsid w:val="00200905"/>
    <w:rsid w:val="00200975"/>
    <w:rsid w:val="00200AEA"/>
    <w:rsid w:val="00200C90"/>
    <w:rsid w:val="00200CCE"/>
    <w:rsid w:val="00200D77"/>
    <w:rsid w:val="00200DCD"/>
    <w:rsid w:val="00200DE1"/>
    <w:rsid w:val="00200DF3"/>
    <w:rsid w:val="00200DFE"/>
    <w:rsid w:val="00200F30"/>
    <w:rsid w:val="00200FD4"/>
    <w:rsid w:val="00201016"/>
    <w:rsid w:val="0020105E"/>
    <w:rsid w:val="002010A7"/>
    <w:rsid w:val="002010E3"/>
    <w:rsid w:val="0020118E"/>
    <w:rsid w:val="0020120B"/>
    <w:rsid w:val="00201211"/>
    <w:rsid w:val="002012A9"/>
    <w:rsid w:val="002012E7"/>
    <w:rsid w:val="002013DD"/>
    <w:rsid w:val="002014D6"/>
    <w:rsid w:val="00201598"/>
    <w:rsid w:val="002017F4"/>
    <w:rsid w:val="0020182D"/>
    <w:rsid w:val="0020194B"/>
    <w:rsid w:val="002019E0"/>
    <w:rsid w:val="00201AE8"/>
    <w:rsid w:val="00201BD3"/>
    <w:rsid w:val="00201C40"/>
    <w:rsid w:val="00201CAB"/>
    <w:rsid w:val="002022F8"/>
    <w:rsid w:val="00202310"/>
    <w:rsid w:val="00202620"/>
    <w:rsid w:val="00202692"/>
    <w:rsid w:val="002029AA"/>
    <w:rsid w:val="00202B99"/>
    <w:rsid w:val="00202BFA"/>
    <w:rsid w:val="00202DE4"/>
    <w:rsid w:val="0020302C"/>
    <w:rsid w:val="0020307F"/>
    <w:rsid w:val="002033D4"/>
    <w:rsid w:val="002035E7"/>
    <w:rsid w:val="0020366C"/>
    <w:rsid w:val="00203797"/>
    <w:rsid w:val="0020397F"/>
    <w:rsid w:val="00203C1B"/>
    <w:rsid w:val="00203D91"/>
    <w:rsid w:val="00203DDE"/>
    <w:rsid w:val="00203F05"/>
    <w:rsid w:val="00203F87"/>
    <w:rsid w:val="002042B1"/>
    <w:rsid w:val="0020448B"/>
    <w:rsid w:val="0020452D"/>
    <w:rsid w:val="00204617"/>
    <w:rsid w:val="00204731"/>
    <w:rsid w:val="00204737"/>
    <w:rsid w:val="0020495B"/>
    <w:rsid w:val="00204967"/>
    <w:rsid w:val="00204A98"/>
    <w:rsid w:val="00204DF7"/>
    <w:rsid w:val="0020534D"/>
    <w:rsid w:val="0020535F"/>
    <w:rsid w:val="002055E9"/>
    <w:rsid w:val="00205619"/>
    <w:rsid w:val="00205624"/>
    <w:rsid w:val="002056F2"/>
    <w:rsid w:val="00205804"/>
    <w:rsid w:val="002058E7"/>
    <w:rsid w:val="00205B1F"/>
    <w:rsid w:val="00205CCC"/>
    <w:rsid w:val="00205D8B"/>
    <w:rsid w:val="00205E70"/>
    <w:rsid w:val="00205EC7"/>
    <w:rsid w:val="0020605B"/>
    <w:rsid w:val="00206111"/>
    <w:rsid w:val="0020622C"/>
    <w:rsid w:val="00206268"/>
    <w:rsid w:val="00206294"/>
    <w:rsid w:val="00206432"/>
    <w:rsid w:val="0020643D"/>
    <w:rsid w:val="0020655D"/>
    <w:rsid w:val="002066DE"/>
    <w:rsid w:val="0020677D"/>
    <w:rsid w:val="0020679D"/>
    <w:rsid w:val="00206880"/>
    <w:rsid w:val="00206A8C"/>
    <w:rsid w:val="00206AB7"/>
    <w:rsid w:val="00206C0E"/>
    <w:rsid w:val="00206CBF"/>
    <w:rsid w:val="00206E0F"/>
    <w:rsid w:val="00206E31"/>
    <w:rsid w:val="00206FC1"/>
    <w:rsid w:val="002072A4"/>
    <w:rsid w:val="0020731D"/>
    <w:rsid w:val="00207454"/>
    <w:rsid w:val="002074D1"/>
    <w:rsid w:val="002074FB"/>
    <w:rsid w:val="002075C4"/>
    <w:rsid w:val="00207733"/>
    <w:rsid w:val="002078C3"/>
    <w:rsid w:val="00207957"/>
    <w:rsid w:val="00207982"/>
    <w:rsid w:val="00207CC2"/>
    <w:rsid w:val="00207D66"/>
    <w:rsid w:val="00207EC1"/>
    <w:rsid w:val="002100E7"/>
    <w:rsid w:val="0021015C"/>
    <w:rsid w:val="00210305"/>
    <w:rsid w:val="002103BA"/>
    <w:rsid w:val="002103ED"/>
    <w:rsid w:val="00210424"/>
    <w:rsid w:val="00210429"/>
    <w:rsid w:val="00210450"/>
    <w:rsid w:val="0021064F"/>
    <w:rsid w:val="00210971"/>
    <w:rsid w:val="00210A31"/>
    <w:rsid w:val="00210A33"/>
    <w:rsid w:val="00210B06"/>
    <w:rsid w:val="00210CFF"/>
    <w:rsid w:val="00210DBD"/>
    <w:rsid w:val="00210DD7"/>
    <w:rsid w:val="00210DFD"/>
    <w:rsid w:val="00210E7D"/>
    <w:rsid w:val="00210FEE"/>
    <w:rsid w:val="002112A0"/>
    <w:rsid w:val="002114E9"/>
    <w:rsid w:val="0021156A"/>
    <w:rsid w:val="002115F8"/>
    <w:rsid w:val="00211600"/>
    <w:rsid w:val="00211890"/>
    <w:rsid w:val="002118BD"/>
    <w:rsid w:val="0021195D"/>
    <w:rsid w:val="002119B4"/>
    <w:rsid w:val="00211A4B"/>
    <w:rsid w:val="00211C30"/>
    <w:rsid w:val="00211C58"/>
    <w:rsid w:val="00211D4A"/>
    <w:rsid w:val="00211DFB"/>
    <w:rsid w:val="00211E8E"/>
    <w:rsid w:val="00212036"/>
    <w:rsid w:val="00212104"/>
    <w:rsid w:val="002121E4"/>
    <w:rsid w:val="0021267A"/>
    <w:rsid w:val="00212927"/>
    <w:rsid w:val="00212C77"/>
    <w:rsid w:val="00212CB2"/>
    <w:rsid w:val="00212EB7"/>
    <w:rsid w:val="00212F85"/>
    <w:rsid w:val="0021318F"/>
    <w:rsid w:val="002131AC"/>
    <w:rsid w:val="002132D7"/>
    <w:rsid w:val="00213332"/>
    <w:rsid w:val="0021370F"/>
    <w:rsid w:val="00213732"/>
    <w:rsid w:val="002137AC"/>
    <w:rsid w:val="00213858"/>
    <w:rsid w:val="002138DB"/>
    <w:rsid w:val="002139A1"/>
    <w:rsid w:val="002139DB"/>
    <w:rsid w:val="00213A29"/>
    <w:rsid w:val="00213CC2"/>
    <w:rsid w:val="00213E0B"/>
    <w:rsid w:val="00214052"/>
    <w:rsid w:val="00214087"/>
    <w:rsid w:val="002140BA"/>
    <w:rsid w:val="0021417E"/>
    <w:rsid w:val="00214188"/>
    <w:rsid w:val="002142A7"/>
    <w:rsid w:val="0021434F"/>
    <w:rsid w:val="002143DB"/>
    <w:rsid w:val="00214501"/>
    <w:rsid w:val="00214507"/>
    <w:rsid w:val="0021463D"/>
    <w:rsid w:val="00214764"/>
    <w:rsid w:val="002147C6"/>
    <w:rsid w:val="00214841"/>
    <w:rsid w:val="0021487A"/>
    <w:rsid w:val="002149F3"/>
    <w:rsid w:val="00214B7B"/>
    <w:rsid w:val="00214BF0"/>
    <w:rsid w:val="00214CC5"/>
    <w:rsid w:val="00214F52"/>
    <w:rsid w:val="00214FF4"/>
    <w:rsid w:val="0021505B"/>
    <w:rsid w:val="00215060"/>
    <w:rsid w:val="00215107"/>
    <w:rsid w:val="0021518C"/>
    <w:rsid w:val="002154D1"/>
    <w:rsid w:val="002155A3"/>
    <w:rsid w:val="0021561B"/>
    <w:rsid w:val="002156CD"/>
    <w:rsid w:val="002157D1"/>
    <w:rsid w:val="00215998"/>
    <w:rsid w:val="00215A34"/>
    <w:rsid w:val="00215A41"/>
    <w:rsid w:val="00215B18"/>
    <w:rsid w:val="00215B66"/>
    <w:rsid w:val="00215CEF"/>
    <w:rsid w:val="0021610C"/>
    <w:rsid w:val="00216445"/>
    <w:rsid w:val="002164B1"/>
    <w:rsid w:val="00216623"/>
    <w:rsid w:val="0021679A"/>
    <w:rsid w:val="00216814"/>
    <w:rsid w:val="0021694F"/>
    <w:rsid w:val="002169C8"/>
    <w:rsid w:val="00216B4D"/>
    <w:rsid w:val="00216BA1"/>
    <w:rsid w:val="00216CDB"/>
    <w:rsid w:val="00216E8B"/>
    <w:rsid w:val="00216FC0"/>
    <w:rsid w:val="002170CE"/>
    <w:rsid w:val="00217102"/>
    <w:rsid w:val="00217120"/>
    <w:rsid w:val="00217225"/>
    <w:rsid w:val="002175B0"/>
    <w:rsid w:val="00217732"/>
    <w:rsid w:val="002177E9"/>
    <w:rsid w:val="00217A03"/>
    <w:rsid w:val="00217A4E"/>
    <w:rsid w:val="00217B12"/>
    <w:rsid w:val="00217BCB"/>
    <w:rsid w:val="00217CF0"/>
    <w:rsid w:val="00217D7F"/>
    <w:rsid w:val="00217E86"/>
    <w:rsid w:val="00217F00"/>
    <w:rsid w:val="00217F57"/>
    <w:rsid w:val="00217F7D"/>
    <w:rsid w:val="00217F84"/>
    <w:rsid w:val="00217FB2"/>
    <w:rsid w:val="002201C4"/>
    <w:rsid w:val="002201F7"/>
    <w:rsid w:val="00220334"/>
    <w:rsid w:val="002203C0"/>
    <w:rsid w:val="00220421"/>
    <w:rsid w:val="00220437"/>
    <w:rsid w:val="0022046A"/>
    <w:rsid w:val="002204AA"/>
    <w:rsid w:val="00220537"/>
    <w:rsid w:val="00220701"/>
    <w:rsid w:val="002207D7"/>
    <w:rsid w:val="0022091D"/>
    <w:rsid w:val="0022094E"/>
    <w:rsid w:val="002209EF"/>
    <w:rsid w:val="00220A4D"/>
    <w:rsid w:val="00220A86"/>
    <w:rsid w:val="00220BB2"/>
    <w:rsid w:val="00220EBC"/>
    <w:rsid w:val="0022111C"/>
    <w:rsid w:val="002211DC"/>
    <w:rsid w:val="002211E8"/>
    <w:rsid w:val="00221401"/>
    <w:rsid w:val="0022142F"/>
    <w:rsid w:val="002215CA"/>
    <w:rsid w:val="002215F5"/>
    <w:rsid w:val="0022160C"/>
    <w:rsid w:val="00221849"/>
    <w:rsid w:val="00221AA4"/>
    <w:rsid w:val="00221AF9"/>
    <w:rsid w:val="00221B85"/>
    <w:rsid w:val="0022202D"/>
    <w:rsid w:val="002220BD"/>
    <w:rsid w:val="0022214C"/>
    <w:rsid w:val="002222B7"/>
    <w:rsid w:val="00222425"/>
    <w:rsid w:val="00222427"/>
    <w:rsid w:val="00222544"/>
    <w:rsid w:val="002225D4"/>
    <w:rsid w:val="00222694"/>
    <w:rsid w:val="002226B4"/>
    <w:rsid w:val="00222905"/>
    <w:rsid w:val="0022296E"/>
    <w:rsid w:val="00222A25"/>
    <w:rsid w:val="00222BD2"/>
    <w:rsid w:val="00222C29"/>
    <w:rsid w:val="00222CD8"/>
    <w:rsid w:val="00222F80"/>
    <w:rsid w:val="00223089"/>
    <w:rsid w:val="0022318F"/>
    <w:rsid w:val="0022320B"/>
    <w:rsid w:val="002235F6"/>
    <w:rsid w:val="002238AF"/>
    <w:rsid w:val="002238F5"/>
    <w:rsid w:val="002239A3"/>
    <w:rsid w:val="00223BF9"/>
    <w:rsid w:val="00223CDF"/>
    <w:rsid w:val="00223F44"/>
    <w:rsid w:val="00223FCD"/>
    <w:rsid w:val="00223FF3"/>
    <w:rsid w:val="00224065"/>
    <w:rsid w:val="00224195"/>
    <w:rsid w:val="00224351"/>
    <w:rsid w:val="00224372"/>
    <w:rsid w:val="00224417"/>
    <w:rsid w:val="0022456E"/>
    <w:rsid w:val="0022468C"/>
    <w:rsid w:val="00224717"/>
    <w:rsid w:val="002249C8"/>
    <w:rsid w:val="00224B35"/>
    <w:rsid w:val="00224B8E"/>
    <w:rsid w:val="00224BF6"/>
    <w:rsid w:val="00224C3C"/>
    <w:rsid w:val="00224D45"/>
    <w:rsid w:val="00224DE3"/>
    <w:rsid w:val="00224F12"/>
    <w:rsid w:val="00224F1F"/>
    <w:rsid w:val="00224FC5"/>
    <w:rsid w:val="002252A4"/>
    <w:rsid w:val="002253A6"/>
    <w:rsid w:val="002253FB"/>
    <w:rsid w:val="0022544C"/>
    <w:rsid w:val="002254D8"/>
    <w:rsid w:val="00225506"/>
    <w:rsid w:val="00225587"/>
    <w:rsid w:val="0022576B"/>
    <w:rsid w:val="00225954"/>
    <w:rsid w:val="002259B0"/>
    <w:rsid w:val="00225BFA"/>
    <w:rsid w:val="00225CE5"/>
    <w:rsid w:val="00225DA1"/>
    <w:rsid w:val="00226085"/>
    <w:rsid w:val="002260DB"/>
    <w:rsid w:val="00226170"/>
    <w:rsid w:val="002261FC"/>
    <w:rsid w:val="002262A2"/>
    <w:rsid w:val="002264C6"/>
    <w:rsid w:val="002264D5"/>
    <w:rsid w:val="0022655D"/>
    <w:rsid w:val="002265AE"/>
    <w:rsid w:val="002265DE"/>
    <w:rsid w:val="002265FB"/>
    <w:rsid w:val="00226606"/>
    <w:rsid w:val="002267D3"/>
    <w:rsid w:val="00226867"/>
    <w:rsid w:val="00226877"/>
    <w:rsid w:val="00226995"/>
    <w:rsid w:val="002269BB"/>
    <w:rsid w:val="00226A9E"/>
    <w:rsid w:val="00226B0A"/>
    <w:rsid w:val="00226BF6"/>
    <w:rsid w:val="00226C08"/>
    <w:rsid w:val="00226E86"/>
    <w:rsid w:val="00226F4A"/>
    <w:rsid w:val="00227164"/>
    <w:rsid w:val="00227179"/>
    <w:rsid w:val="002276C4"/>
    <w:rsid w:val="00227894"/>
    <w:rsid w:val="002278AF"/>
    <w:rsid w:val="00227922"/>
    <w:rsid w:val="00227BEC"/>
    <w:rsid w:val="00227BF5"/>
    <w:rsid w:val="00227D8A"/>
    <w:rsid w:val="00227E9C"/>
    <w:rsid w:val="00227F67"/>
    <w:rsid w:val="00230196"/>
    <w:rsid w:val="00230338"/>
    <w:rsid w:val="0023037B"/>
    <w:rsid w:val="002305DF"/>
    <w:rsid w:val="002308DA"/>
    <w:rsid w:val="00230B04"/>
    <w:rsid w:val="00230BBD"/>
    <w:rsid w:val="00230CCE"/>
    <w:rsid w:val="00230D47"/>
    <w:rsid w:val="00230DA3"/>
    <w:rsid w:val="00230E49"/>
    <w:rsid w:val="00230E9F"/>
    <w:rsid w:val="00230EE2"/>
    <w:rsid w:val="00230FA3"/>
    <w:rsid w:val="00230FD0"/>
    <w:rsid w:val="0023104D"/>
    <w:rsid w:val="0023124A"/>
    <w:rsid w:val="002312F9"/>
    <w:rsid w:val="0023142D"/>
    <w:rsid w:val="002314EE"/>
    <w:rsid w:val="00231697"/>
    <w:rsid w:val="002316F4"/>
    <w:rsid w:val="00231930"/>
    <w:rsid w:val="002319E8"/>
    <w:rsid w:val="00231B33"/>
    <w:rsid w:val="00231D2A"/>
    <w:rsid w:val="00231D9C"/>
    <w:rsid w:val="00231E3A"/>
    <w:rsid w:val="00231F00"/>
    <w:rsid w:val="0023206A"/>
    <w:rsid w:val="002320DB"/>
    <w:rsid w:val="002321CF"/>
    <w:rsid w:val="00232242"/>
    <w:rsid w:val="00232349"/>
    <w:rsid w:val="0023240D"/>
    <w:rsid w:val="0023252E"/>
    <w:rsid w:val="002329B4"/>
    <w:rsid w:val="00232A2C"/>
    <w:rsid w:val="00232A98"/>
    <w:rsid w:val="00233071"/>
    <w:rsid w:val="002330E2"/>
    <w:rsid w:val="002331E0"/>
    <w:rsid w:val="00233270"/>
    <w:rsid w:val="00233382"/>
    <w:rsid w:val="002333DE"/>
    <w:rsid w:val="0023344C"/>
    <w:rsid w:val="002335EB"/>
    <w:rsid w:val="00233637"/>
    <w:rsid w:val="00233653"/>
    <w:rsid w:val="002336FB"/>
    <w:rsid w:val="00233859"/>
    <w:rsid w:val="0023386B"/>
    <w:rsid w:val="00233C31"/>
    <w:rsid w:val="00233D27"/>
    <w:rsid w:val="00233EAB"/>
    <w:rsid w:val="0023418A"/>
    <w:rsid w:val="002342E7"/>
    <w:rsid w:val="002345CB"/>
    <w:rsid w:val="002346CF"/>
    <w:rsid w:val="00234710"/>
    <w:rsid w:val="00234756"/>
    <w:rsid w:val="002349A0"/>
    <w:rsid w:val="002349B7"/>
    <w:rsid w:val="002349CB"/>
    <w:rsid w:val="002349D6"/>
    <w:rsid w:val="00234BAA"/>
    <w:rsid w:val="00234C9F"/>
    <w:rsid w:val="00234E4D"/>
    <w:rsid w:val="0023502E"/>
    <w:rsid w:val="00235050"/>
    <w:rsid w:val="002350C1"/>
    <w:rsid w:val="0023525C"/>
    <w:rsid w:val="002352EC"/>
    <w:rsid w:val="002353A3"/>
    <w:rsid w:val="00235678"/>
    <w:rsid w:val="002359D4"/>
    <w:rsid w:val="00235A6C"/>
    <w:rsid w:val="00235AF7"/>
    <w:rsid w:val="00235D48"/>
    <w:rsid w:val="00235DA3"/>
    <w:rsid w:val="00235EAF"/>
    <w:rsid w:val="00235EBC"/>
    <w:rsid w:val="00236173"/>
    <w:rsid w:val="002361C1"/>
    <w:rsid w:val="00236273"/>
    <w:rsid w:val="002363F6"/>
    <w:rsid w:val="002364E6"/>
    <w:rsid w:val="00236506"/>
    <w:rsid w:val="002365A2"/>
    <w:rsid w:val="00236693"/>
    <w:rsid w:val="002369F1"/>
    <w:rsid w:val="00236DA5"/>
    <w:rsid w:val="00236DD2"/>
    <w:rsid w:val="00236E36"/>
    <w:rsid w:val="00236EE1"/>
    <w:rsid w:val="00236FAE"/>
    <w:rsid w:val="00237023"/>
    <w:rsid w:val="00237091"/>
    <w:rsid w:val="002370B4"/>
    <w:rsid w:val="002370DF"/>
    <w:rsid w:val="00237217"/>
    <w:rsid w:val="002372A0"/>
    <w:rsid w:val="00237332"/>
    <w:rsid w:val="002373E6"/>
    <w:rsid w:val="00237435"/>
    <w:rsid w:val="0023746D"/>
    <w:rsid w:val="002374F5"/>
    <w:rsid w:val="00237626"/>
    <w:rsid w:val="00237788"/>
    <w:rsid w:val="0023788B"/>
    <w:rsid w:val="00237AD3"/>
    <w:rsid w:val="00237BF9"/>
    <w:rsid w:val="00237C9E"/>
    <w:rsid w:val="00237E0C"/>
    <w:rsid w:val="00237E33"/>
    <w:rsid w:val="00237ED7"/>
    <w:rsid w:val="00237F2F"/>
    <w:rsid w:val="002400C6"/>
    <w:rsid w:val="0024029F"/>
    <w:rsid w:val="002403EC"/>
    <w:rsid w:val="00240489"/>
    <w:rsid w:val="0024055B"/>
    <w:rsid w:val="0024066B"/>
    <w:rsid w:val="00240838"/>
    <w:rsid w:val="002408EC"/>
    <w:rsid w:val="002409C5"/>
    <w:rsid w:val="00240B16"/>
    <w:rsid w:val="00240B84"/>
    <w:rsid w:val="00240D6A"/>
    <w:rsid w:val="00240DF6"/>
    <w:rsid w:val="00240ED5"/>
    <w:rsid w:val="0024109A"/>
    <w:rsid w:val="002410A8"/>
    <w:rsid w:val="002410E5"/>
    <w:rsid w:val="0024118C"/>
    <w:rsid w:val="00241238"/>
    <w:rsid w:val="0024138A"/>
    <w:rsid w:val="00241424"/>
    <w:rsid w:val="002415AC"/>
    <w:rsid w:val="002415BA"/>
    <w:rsid w:val="00241643"/>
    <w:rsid w:val="0024164A"/>
    <w:rsid w:val="0024167B"/>
    <w:rsid w:val="00241735"/>
    <w:rsid w:val="00241889"/>
    <w:rsid w:val="0024191C"/>
    <w:rsid w:val="00241A16"/>
    <w:rsid w:val="00241AAB"/>
    <w:rsid w:val="00241ADD"/>
    <w:rsid w:val="00241AEA"/>
    <w:rsid w:val="00241BFB"/>
    <w:rsid w:val="00241D0B"/>
    <w:rsid w:val="00241D94"/>
    <w:rsid w:val="00241E15"/>
    <w:rsid w:val="002421F8"/>
    <w:rsid w:val="0024222C"/>
    <w:rsid w:val="00242276"/>
    <w:rsid w:val="00242304"/>
    <w:rsid w:val="0024231F"/>
    <w:rsid w:val="002423AF"/>
    <w:rsid w:val="0024253F"/>
    <w:rsid w:val="0024263E"/>
    <w:rsid w:val="00242694"/>
    <w:rsid w:val="002428A6"/>
    <w:rsid w:val="00242915"/>
    <w:rsid w:val="00242933"/>
    <w:rsid w:val="00242A00"/>
    <w:rsid w:val="00242A23"/>
    <w:rsid w:val="00242B40"/>
    <w:rsid w:val="00242C1A"/>
    <w:rsid w:val="00242C25"/>
    <w:rsid w:val="00242E29"/>
    <w:rsid w:val="00242E9E"/>
    <w:rsid w:val="00243128"/>
    <w:rsid w:val="002432AE"/>
    <w:rsid w:val="002432E4"/>
    <w:rsid w:val="00243314"/>
    <w:rsid w:val="00243581"/>
    <w:rsid w:val="002435CB"/>
    <w:rsid w:val="002436DC"/>
    <w:rsid w:val="002438B9"/>
    <w:rsid w:val="0024399D"/>
    <w:rsid w:val="00243A02"/>
    <w:rsid w:val="00243AFD"/>
    <w:rsid w:val="00243BE7"/>
    <w:rsid w:val="00243D4E"/>
    <w:rsid w:val="00243DDE"/>
    <w:rsid w:val="00243E34"/>
    <w:rsid w:val="00243EC4"/>
    <w:rsid w:val="00243FFB"/>
    <w:rsid w:val="00244228"/>
    <w:rsid w:val="002442DD"/>
    <w:rsid w:val="002442E5"/>
    <w:rsid w:val="00244323"/>
    <w:rsid w:val="00244421"/>
    <w:rsid w:val="00244425"/>
    <w:rsid w:val="00244473"/>
    <w:rsid w:val="00244502"/>
    <w:rsid w:val="0024469E"/>
    <w:rsid w:val="0024486F"/>
    <w:rsid w:val="002448E9"/>
    <w:rsid w:val="00244AF1"/>
    <w:rsid w:val="00244CCC"/>
    <w:rsid w:val="00244E3E"/>
    <w:rsid w:val="00244ECE"/>
    <w:rsid w:val="00244F0F"/>
    <w:rsid w:val="00244F29"/>
    <w:rsid w:val="00245082"/>
    <w:rsid w:val="002450BB"/>
    <w:rsid w:val="00245110"/>
    <w:rsid w:val="00245147"/>
    <w:rsid w:val="002452B5"/>
    <w:rsid w:val="002452B6"/>
    <w:rsid w:val="002454A2"/>
    <w:rsid w:val="0024556D"/>
    <w:rsid w:val="0024557B"/>
    <w:rsid w:val="0024570B"/>
    <w:rsid w:val="002457E8"/>
    <w:rsid w:val="00245B1A"/>
    <w:rsid w:val="00245B89"/>
    <w:rsid w:val="00245BE5"/>
    <w:rsid w:val="00245C32"/>
    <w:rsid w:val="00245CB1"/>
    <w:rsid w:val="00245CB8"/>
    <w:rsid w:val="00245D34"/>
    <w:rsid w:val="00245D83"/>
    <w:rsid w:val="00245DC5"/>
    <w:rsid w:val="00245F3B"/>
    <w:rsid w:val="00245FB3"/>
    <w:rsid w:val="00246066"/>
    <w:rsid w:val="0024608E"/>
    <w:rsid w:val="0024610F"/>
    <w:rsid w:val="0024619E"/>
    <w:rsid w:val="00246231"/>
    <w:rsid w:val="00246264"/>
    <w:rsid w:val="002463FB"/>
    <w:rsid w:val="00246553"/>
    <w:rsid w:val="0024663E"/>
    <w:rsid w:val="002466B5"/>
    <w:rsid w:val="002466FA"/>
    <w:rsid w:val="002467CF"/>
    <w:rsid w:val="002468B4"/>
    <w:rsid w:val="002469AD"/>
    <w:rsid w:val="00246BB5"/>
    <w:rsid w:val="00246C14"/>
    <w:rsid w:val="00246CB7"/>
    <w:rsid w:val="00246D2B"/>
    <w:rsid w:val="00246E3D"/>
    <w:rsid w:val="00246EBA"/>
    <w:rsid w:val="00246ED3"/>
    <w:rsid w:val="002470FC"/>
    <w:rsid w:val="00247140"/>
    <w:rsid w:val="002471D6"/>
    <w:rsid w:val="00247348"/>
    <w:rsid w:val="0024736D"/>
    <w:rsid w:val="002473E4"/>
    <w:rsid w:val="002475C6"/>
    <w:rsid w:val="00247712"/>
    <w:rsid w:val="00247843"/>
    <w:rsid w:val="00247894"/>
    <w:rsid w:val="002478A3"/>
    <w:rsid w:val="00247970"/>
    <w:rsid w:val="002479DA"/>
    <w:rsid w:val="00247A50"/>
    <w:rsid w:val="00247C21"/>
    <w:rsid w:val="00247C72"/>
    <w:rsid w:val="00247EC4"/>
    <w:rsid w:val="00247FC3"/>
    <w:rsid w:val="00250009"/>
    <w:rsid w:val="0025008B"/>
    <w:rsid w:val="00250250"/>
    <w:rsid w:val="00250336"/>
    <w:rsid w:val="002503C0"/>
    <w:rsid w:val="002504B9"/>
    <w:rsid w:val="00250546"/>
    <w:rsid w:val="00250561"/>
    <w:rsid w:val="00250716"/>
    <w:rsid w:val="00250810"/>
    <w:rsid w:val="00250874"/>
    <w:rsid w:val="002509F1"/>
    <w:rsid w:val="002509F3"/>
    <w:rsid w:val="00250AE5"/>
    <w:rsid w:val="00250B51"/>
    <w:rsid w:val="00250C02"/>
    <w:rsid w:val="00250CB5"/>
    <w:rsid w:val="00250CC3"/>
    <w:rsid w:val="00250D12"/>
    <w:rsid w:val="00250E25"/>
    <w:rsid w:val="00250FF5"/>
    <w:rsid w:val="00251020"/>
    <w:rsid w:val="0025102C"/>
    <w:rsid w:val="00251036"/>
    <w:rsid w:val="00251077"/>
    <w:rsid w:val="00251199"/>
    <w:rsid w:val="002511F1"/>
    <w:rsid w:val="002513B9"/>
    <w:rsid w:val="002513C1"/>
    <w:rsid w:val="00251401"/>
    <w:rsid w:val="002514AB"/>
    <w:rsid w:val="002514B2"/>
    <w:rsid w:val="002514EC"/>
    <w:rsid w:val="00251602"/>
    <w:rsid w:val="002516E1"/>
    <w:rsid w:val="00251722"/>
    <w:rsid w:val="00251746"/>
    <w:rsid w:val="00251770"/>
    <w:rsid w:val="002517A6"/>
    <w:rsid w:val="00251850"/>
    <w:rsid w:val="00251870"/>
    <w:rsid w:val="00251883"/>
    <w:rsid w:val="002518BF"/>
    <w:rsid w:val="002518DA"/>
    <w:rsid w:val="0025198B"/>
    <w:rsid w:val="002519A2"/>
    <w:rsid w:val="002519AB"/>
    <w:rsid w:val="00251A16"/>
    <w:rsid w:val="00251ABE"/>
    <w:rsid w:val="00251C63"/>
    <w:rsid w:val="00251DB3"/>
    <w:rsid w:val="00251F1E"/>
    <w:rsid w:val="00251F43"/>
    <w:rsid w:val="00252026"/>
    <w:rsid w:val="00252148"/>
    <w:rsid w:val="002521C9"/>
    <w:rsid w:val="002521D6"/>
    <w:rsid w:val="00252266"/>
    <w:rsid w:val="002522FA"/>
    <w:rsid w:val="00252551"/>
    <w:rsid w:val="00252648"/>
    <w:rsid w:val="002526FD"/>
    <w:rsid w:val="0025272F"/>
    <w:rsid w:val="0025279E"/>
    <w:rsid w:val="00252811"/>
    <w:rsid w:val="0025281E"/>
    <w:rsid w:val="00252848"/>
    <w:rsid w:val="0025288F"/>
    <w:rsid w:val="002528D4"/>
    <w:rsid w:val="0025293C"/>
    <w:rsid w:val="002529D1"/>
    <w:rsid w:val="00252BF8"/>
    <w:rsid w:val="00252CBF"/>
    <w:rsid w:val="00252CEA"/>
    <w:rsid w:val="00252FEE"/>
    <w:rsid w:val="002530E2"/>
    <w:rsid w:val="0025311D"/>
    <w:rsid w:val="002531E4"/>
    <w:rsid w:val="00253257"/>
    <w:rsid w:val="002532D5"/>
    <w:rsid w:val="002535AD"/>
    <w:rsid w:val="002536D9"/>
    <w:rsid w:val="00253706"/>
    <w:rsid w:val="00253730"/>
    <w:rsid w:val="00253912"/>
    <w:rsid w:val="00253931"/>
    <w:rsid w:val="00253C24"/>
    <w:rsid w:val="00253C33"/>
    <w:rsid w:val="00253DE7"/>
    <w:rsid w:val="00253E82"/>
    <w:rsid w:val="00253ECE"/>
    <w:rsid w:val="00253FF5"/>
    <w:rsid w:val="00254148"/>
    <w:rsid w:val="00254158"/>
    <w:rsid w:val="00254163"/>
    <w:rsid w:val="0025419B"/>
    <w:rsid w:val="00254205"/>
    <w:rsid w:val="00254345"/>
    <w:rsid w:val="0025435A"/>
    <w:rsid w:val="00254413"/>
    <w:rsid w:val="00254487"/>
    <w:rsid w:val="002544B5"/>
    <w:rsid w:val="002544BC"/>
    <w:rsid w:val="00254501"/>
    <w:rsid w:val="002545BF"/>
    <w:rsid w:val="0025461C"/>
    <w:rsid w:val="0025463C"/>
    <w:rsid w:val="002546F5"/>
    <w:rsid w:val="0025475C"/>
    <w:rsid w:val="00254806"/>
    <w:rsid w:val="0025486E"/>
    <w:rsid w:val="00254B54"/>
    <w:rsid w:val="00254B89"/>
    <w:rsid w:val="00254C52"/>
    <w:rsid w:val="00254C53"/>
    <w:rsid w:val="00254E9E"/>
    <w:rsid w:val="00254F9C"/>
    <w:rsid w:val="00254FF5"/>
    <w:rsid w:val="00255000"/>
    <w:rsid w:val="002552AE"/>
    <w:rsid w:val="002553D1"/>
    <w:rsid w:val="002553DE"/>
    <w:rsid w:val="0025546E"/>
    <w:rsid w:val="002554BB"/>
    <w:rsid w:val="00255602"/>
    <w:rsid w:val="00255671"/>
    <w:rsid w:val="002556DB"/>
    <w:rsid w:val="00255715"/>
    <w:rsid w:val="0025571D"/>
    <w:rsid w:val="002558E7"/>
    <w:rsid w:val="00255AD4"/>
    <w:rsid w:val="00255C96"/>
    <w:rsid w:val="00255E27"/>
    <w:rsid w:val="00255E31"/>
    <w:rsid w:val="00255F62"/>
    <w:rsid w:val="00256069"/>
    <w:rsid w:val="0025614B"/>
    <w:rsid w:val="00256231"/>
    <w:rsid w:val="00256448"/>
    <w:rsid w:val="002564B2"/>
    <w:rsid w:val="00256593"/>
    <w:rsid w:val="002565B7"/>
    <w:rsid w:val="002566DC"/>
    <w:rsid w:val="002566E9"/>
    <w:rsid w:val="0025679C"/>
    <w:rsid w:val="0025679E"/>
    <w:rsid w:val="002567E7"/>
    <w:rsid w:val="00256801"/>
    <w:rsid w:val="002569D6"/>
    <w:rsid w:val="00256A23"/>
    <w:rsid w:val="00256B71"/>
    <w:rsid w:val="00256D33"/>
    <w:rsid w:val="00256E05"/>
    <w:rsid w:val="00256EFE"/>
    <w:rsid w:val="00256F12"/>
    <w:rsid w:val="00257098"/>
    <w:rsid w:val="0025713F"/>
    <w:rsid w:val="00257275"/>
    <w:rsid w:val="002574F4"/>
    <w:rsid w:val="00257518"/>
    <w:rsid w:val="00257696"/>
    <w:rsid w:val="002576BB"/>
    <w:rsid w:val="00257712"/>
    <w:rsid w:val="002578A3"/>
    <w:rsid w:val="0025794D"/>
    <w:rsid w:val="002579BA"/>
    <w:rsid w:val="00257A78"/>
    <w:rsid w:val="00257AE2"/>
    <w:rsid w:val="00257BDC"/>
    <w:rsid w:val="00257C8E"/>
    <w:rsid w:val="00257D0E"/>
    <w:rsid w:val="00257D8A"/>
    <w:rsid w:val="00257EB8"/>
    <w:rsid w:val="00260166"/>
    <w:rsid w:val="00260193"/>
    <w:rsid w:val="00260218"/>
    <w:rsid w:val="00260225"/>
    <w:rsid w:val="0026038D"/>
    <w:rsid w:val="0026058E"/>
    <w:rsid w:val="002605E5"/>
    <w:rsid w:val="00260609"/>
    <w:rsid w:val="00260778"/>
    <w:rsid w:val="0026085A"/>
    <w:rsid w:val="0026092A"/>
    <w:rsid w:val="0026096C"/>
    <w:rsid w:val="002609E8"/>
    <w:rsid w:val="002609F4"/>
    <w:rsid w:val="00260A7F"/>
    <w:rsid w:val="00260B8B"/>
    <w:rsid w:val="00260BD1"/>
    <w:rsid w:val="00260BE6"/>
    <w:rsid w:val="00260CD9"/>
    <w:rsid w:val="00260FF2"/>
    <w:rsid w:val="00261078"/>
    <w:rsid w:val="002610C4"/>
    <w:rsid w:val="002612A2"/>
    <w:rsid w:val="002614AD"/>
    <w:rsid w:val="0026157F"/>
    <w:rsid w:val="002616FE"/>
    <w:rsid w:val="00261720"/>
    <w:rsid w:val="00261767"/>
    <w:rsid w:val="002618D4"/>
    <w:rsid w:val="0026194F"/>
    <w:rsid w:val="00261A4F"/>
    <w:rsid w:val="00261ABC"/>
    <w:rsid w:val="00261C52"/>
    <w:rsid w:val="00261C68"/>
    <w:rsid w:val="00261CB1"/>
    <w:rsid w:val="00261CD7"/>
    <w:rsid w:val="00261D92"/>
    <w:rsid w:val="00261F06"/>
    <w:rsid w:val="0026203B"/>
    <w:rsid w:val="002620AA"/>
    <w:rsid w:val="00262116"/>
    <w:rsid w:val="00262135"/>
    <w:rsid w:val="00262236"/>
    <w:rsid w:val="00262244"/>
    <w:rsid w:val="0026228C"/>
    <w:rsid w:val="00262353"/>
    <w:rsid w:val="00262648"/>
    <w:rsid w:val="00262850"/>
    <w:rsid w:val="00262B04"/>
    <w:rsid w:val="00262B41"/>
    <w:rsid w:val="00262B55"/>
    <w:rsid w:val="00262BC8"/>
    <w:rsid w:val="00262D7F"/>
    <w:rsid w:val="00262DD4"/>
    <w:rsid w:val="00262E14"/>
    <w:rsid w:val="00262E94"/>
    <w:rsid w:val="00262E9B"/>
    <w:rsid w:val="00262EB1"/>
    <w:rsid w:val="0026303C"/>
    <w:rsid w:val="00263070"/>
    <w:rsid w:val="0026307B"/>
    <w:rsid w:val="002630DE"/>
    <w:rsid w:val="0026328E"/>
    <w:rsid w:val="002634A1"/>
    <w:rsid w:val="002634C8"/>
    <w:rsid w:val="0026365D"/>
    <w:rsid w:val="002636DE"/>
    <w:rsid w:val="0026385E"/>
    <w:rsid w:val="002639CD"/>
    <w:rsid w:val="00263A98"/>
    <w:rsid w:val="00263B41"/>
    <w:rsid w:val="00263EB4"/>
    <w:rsid w:val="00264071"/>
    <w:rsid w:val="00264150"/>
    <w:rsid w:val="0026435B"/>
    <w:rsid w:val="002643DC"/>
    <w:rsid w:val="00264573"/>
    <w:rsid w:val="002645F7"/>
    <w:rsid w:val="00264700"/>
    <w:rsid w:val="00264712"/>
    <w:rsid w:val="00264732"/>
    <w:rsid w:val="002647DD"/>
    <w:rsid w:val="00264820"/>
    <w:rsid w:val="0026486C"/>
    <w:rsid w:val="00264923"/>
    <w:rsid w:val="00264991"/>
    <w:rsid w:val="00264A6A"/>
    <w:rsid w:val="00264B66"/>
    <w:rsid w:val="00264EB7"/>
    <w:rsid w:val="00264EF8"/>
    <w:rsid w:val="002650AD"/>
    <w:rsid w:val="002650B1"/>
    <w:rsid w:val="00265156"/>
    <w:rsid w:val="00265277"/>
    <w:rsid w:val="00265286"/>
    <w:rsid w:val="002652A4"/>
    <w:rsid w:val="002652CB"/>
    <w:rsid w:val="00265315"/>
    <w:rsid w:val="002654D1"/>
    <w:rsid w:val="002656D4"/>
    <w:rsid w:val="00265701"/>
    <w:rsid w:val="00265798"/>
    <w:rsid w:val="002658A4"/>
    <w:rsid w:val="0026597F"/>
    <w:rsid w:val="00265A4A"/>
    <w:rsid w:val="00265B14"/>
    <w:rsid w:val="00265BBB"/>
    <w:rsid w:val="00265C0F"/>
    <w:rsid w:val="00265E37"/>
    <w:rsid w:val="00265F34"/>
    <w:rsid w:val="00266086"/>
    <w:rsid w:val="002660A3"/>
    <w:rsid w:val="0026614B"/>
    <w:rsid w:val="002661C2"/>
    <w:rsid w:val="002661D2"/>
    <w:rsid w:val="002661F9"/>
    <w:rsid w:val="002663F1"/>
    <w:rsid w:val="002664C7"/>
    <w:rsid w:val="002665D6"/>
    <w:rsid w:val="002666EA"/>
    <w:rsid w:val="0026673D"/>
    <w:rsid w:val="00266768"/>
    <w:rsid w:val="002667D5"/>
    <w:rsid w:val="00266947"/>
    <w:rsid w:val="002669FB"/>
    <w:rsid w:val="00266A7C"/>
    <w:rsid w:val="00266AA6"/>
    <w:rsid w:val="00266ABF"/>
    <w:rsid w:val="00266B0F"/>
    <w:rsid w:val="00266BA2"/>
    <w:rsid w:val="00266C08"/>
    <w:rsid w:val="00266D75"/>
    <w:rsid w:val="00266DCB"/>
    <w:rsid w:val="00266F7C"/>
    <w:rsid w:val="00266FB5"/>
    <w:rsid w:val="002672A0"/>
    <w:rsid w:val="002672CF"/>
    <w:rsid w:val="002672EA"/>
    <w:rsid w:val="0026747F"/>
    <w:rsid w:val="00267548"/>
    <w:rsid w:val="0026756C"/>
    <w:rsid w:val="0026762D"/>
    <w:rsid w:val="002677BF"/>
    <w:rsid w:val="002678D2"/>
    <w:rsid w:val="00267A9C"/>
    <w:rsid w:val="00267AE2"/>
    <w:rsid w:val="00267C1B"/>
    <w:rsid w:val="00267C6C"/>
    <w:rsid w:val="00267EC8"/>
    <w:rsid w:val="00267F21"/>
    <w:rsid w:val="002700BC"/>
    <w:rsid w:val="0027017F"/>
    <w:rsid w:val="0027027C"/>
    <w:rsid w:val="002702D3"/>
    <w:rsid w:val="0027032D"/>
    <w:rsid w:val="002703F4"/>
    <w:rsid w:val="00270465"/>
    <w:rsid w:val="002704FD"/>
    <w:rsid w:val="002705FA"/>
    <w:rsid w:val="002706BF"/>
    <w:rsid w:val="002706E1"/>
    <w:rsid w:val="002707F4"/>
    <w:rsid w:val="00270861"/>
    <w:rsid w:val="00270930"/>
    <w:rsid w:val="00270A2B"/>
    <w:rsid w:val="00270A7C"/>
    <w:rsid w:val="00270AEC"/>
    <w:rsid w:val="00270C1B"/>
    <w:rsid w:val="00270D2E"/>
    <w:rsid w:val="00270E93"/>
    <w:rsid w:val="00270F03"/>
    <w:rsid w:val="00270F22"/>
    <w:rsid w:val="0027113E"/>
    <w:rsid w:val="002711D6"/>
    <w:rsid w:val="002714DA"/>
    <w:rsid w:val="002714E4"/>
    <w:rsid w:val="002716ED"/>
    <w:rsid w:val="00271942"/>
    <w:rsid w:val="00271999"/>
    <w:rsid w:val="00271B92"/>
    <w:rsid w:val="00271BE7"/>
    <w:rsid w:val="00271C4C"/>
    <w:rsid w:val="00271C55"/>
    <w:rsid w:val="00271C5D"/>
    <w:rsid w:val="00271E79"/>
    <w:rsid w:val="00271E80"/>
    <w:rsid w:val="00272091"/>
    <w:rsid w:val="002720EE"/>
    <w:rsid w:val="0027233F"/>
    <w:rsid w:val="0027245A"/>
    <w:rsid w:val="002724ED"/>
    <w:rsid w:val="0027257B"/>
    <w:rsid w:val="002725F1"/>
    <w:rsid w:val="00272713"/>
    <w:rsid w:val="00272924"/>
    <w:rsid w:val="0027295D"/>
    <w:rsid w:val="00272A0D"/>
    <w:rsid w:val="00272A82"/>
    <w:rsid w:val="00272B7C"/>
    <w:rsid w:val="00272C1C"/>
    <w:rsid w:val="00272DF3"/>
    <w:rsid w:val="00272E66"/>
    <w:rsid w:val="00272FAC"/>
    <w:rsid w:val="0027300C"/>
    <w:rsid w:val="0027301F"/>
    <w:rsid w:val="002730C5"/>
    <w:rsid w:val="002730E8"/>
    <w:rsid w:val="002734EA"/>
    <w:rsid w:val="002735C9"/>
    <w:rsid w:val="002735D5"/>
    <w:rsid w:val="00273671"/>
    <w:rsid w:val="00273683"/>
    <w:rsid w:val="00273731"/>
    <w:rsid w:val="00273884"/>
    <w:rsid w:val="00273902"/>
    <w:rsid w:val="002739F0"/>
    <w:rsid w:val="00273ACC"/>
    <w:rsid w:val="00273AE7"/>
    <w:rsid w:val="00273B25"/>
    <w:rsid w:val="00273C26"/>
    <w:rsid w:val="00273CCC"/>
    <w:rsid w:val="00273D76"/>
    <w:rsid w:val="00273F25"/>
    <w:rsid w:val="00274003"/>
    <w:rsid w:val="00274077"/>
    <w:rsid w:val="002740C5"/>
    <w:rsid w:val="002740F1"/>
    <w:rsid w:val="0027410B"/>
    <w:rsid w:val="002741F8"/>
    <w:rsid w:val="00274394"/>
    <w:rsid w:val="002743C5"/>
    <w:rsid w:val="0027442F"/>
    <w:rsid w:val="00274465"/>
    <w:rsid w:val="0027448B"/>
    <w:rsid w:val="002744C7"/>
    <w:rsid w:val="002745E0"/>
    <w:rsid w:val="00274988"/>
    <w:rsid w:val="00274B76"/>
    <w:rsid w:val="00274C22"/>
    <w:rsid w:val="00274CBA"/>
    <w:rsid w:val="00274CD0"/>
    <w:rsid w:val="00274D03"/>
    <w:rsid w:val="00274DFD"/>
    <w:rsid w:val="00274E7E"/>
    <w:rsid w:val="00274FF9"/>
    <w:rsid w:val="00275021"/>
    <w:rsid w:val="0027505E"/>
    <w:rsid w:val="002750C2"/>
    <w:rsid w:val="0027512B"/>
    <w:rsid w:val="00275186"/>
    <w:rsid w:val="00275225"/>
    <w:rsid w:val="0027522E"/>
    <w:rsid w:val="00275373"/>
    <w:rsid w:val="002755E4"/>
    <w:rsid w:val="00275762"/>
    <w:rsid w:val="00275825"/>
    <w:rsid w:val="00275935"/>
    <w:rsid w:val="00275AAC"/>
    <w:rsid w:val="00275BDC"/>
    <w:rsid w:val="00275D09"/>
    <w:rsid w:val="00275D6D"/>
    <w:rsid w:val="00275DCC"/>
    <w:rsid w:val="00275E57"/>
    <w:rsid w:val="00275E73"/>
    <w:rsid w:val="00275EE4"/>
    <w:rsid w:val="002760BD"/>
    <w:rsid w:val="00276187"/>
    <w:rsid w:val="00276209"/>
    <w:rsid w:val="00276279"/>
    <w:rsid w:val="0027676E"/>
    <w:rsid w:val="002767AB"/>
    <w:rsid w:val="00276A93"/>
    <w:rsid w:val="00276AA6"/>
    <w:rsid w:val="00276C46"/>
    <w:rsid w:val="00276C4E"/>
    <w:rsid w:val="00276EB5"/>
    <w:rsid w:val="00276EB6"/>
    <w:rsid w:val="00276F16"/>
    <w:rsid w:val="00276F72"/>
    <w:rsid w:val="00277021"/>
    <w:rsid w:val="002770FF"/>
    <w:rsid w:val="00277172"/>
    <w:rsid w:val="002774D8"/>
    <w:rsid w:val="00277836"/>
    <w:rsid w:val="002778B8"/>
    <w:rsid w:val="002779B5"/>
    <w:rsid w:val="00277A9F"/>
    <w:rsid w:val="00277C5E"/>
    <w:rsid w:val="00277D69"/>
    <w:rsid w:val="00277DC7"/>
    <w:rsid w:val="00277DD3"/>
    <w:rsid w:val="00277E2A"/>
    <w:rsid w:val="00277EEF"/>
    <w:rsid w:val="002802BD"/>
    <w:rsid w:val="002802CC"/>
    <w:rsid w:val="002803B1"/>
    <w:rsid w:val="00280488"/>
    <w:rsid w:val="0028049B"/>
    <w:rsid w:val="00280627"/>
    <w:rsid w:val="00280726"/>
    <w:rsid w:val="002807B8"/>
    <w:rsid w:val="002809BF"/>
    <w:rsid w:val="00280A94"/>
    <w:rsid w:val="00280AF0"/>
    <w:rsid w:val="00280C43"/>
    <w:rsid w:val="00280C7D"/>
    <w:rsid w:val="00280F25"/>
    <w:rsid w:val="00281070"/>
    <w:rsid w:val="00281144"/>
    <w:rsid w:val="00281244"/>
    <w:rsid w:val="00281361"/>
    <w:rsid w:val="0028139E"/>
    <w:rsid w:val="0028158E"/>
    <w:rsid w:val="002815FA"/>
    <w:rsid w:val="00281608"/>
    <w:rsid w:val="00281729"/>
    <w:rsid w:val="0028172B"/>
    <w:rsid w:val="0028178E"/>
    <w:rsid w:val="0028181B"/>
    <w:rsid w:val="00281ADF"/>
    <w:rsid w:val="00281C78"/>
    <w:rsid w:val="00281D75"/>
    <w:rsid w:val="00281D86"/>
    <w:rsid w:val="00281DE6"/>
    <w:rsid w:val="00281E35"/>
    <w:rsid w:val="00281E3D"/>
    <w:rsid w:val="00281EA6"/>
    <w:rsid w:val="00281F27"/>
    <w:rsid w:val="00281F33"/>
    <w:rsid w:val="00281F8A"/>
    <w:rsid w:val="002821A8"/>
    <w:rsid w:val="002821C1"/>
    <w:rsid w:val="002821CC"/>
    <w:rsid w:val="002821CF"/>
    <w:rsid w:val="0028228F"/>
    <w:rsid w:val="0028237F"/>
    <w:rsid w:val="002823A3"/>
    <w:rsid w:val="002823BB"/>
    <w:rsid w:val="002823D4"/>
    <w:rsid w:val="0028242C"/>
    <w:rsid w:val="00282434"/>
    <w:rsid w:val="00282696"/>
    <w:rsid w:val="0028270F"/>
    <w:rsid w:val="002827B5"/>
    <w:rsid w:val="002827D3"/>
    <w:rsid w:val="00282873"/>
    <w:rsid w:val="0028287F"/>
    <w:rsid w:val="0028290A"/>
    <w:rsid w:val="0028297F"/>
    <w:rsid w:val="00282A29"/>
    <w:rsid w:val="00282A5A"/>
    <w:rsid w:val="00282AC0"/>
    <w:rsid w:val="00282C47"/>
    <w:rsid w:val="00282C87"/>
    <w:rsid w:val="00282CAA"/>
    <w:rsid w:val="00282CF7"/>
    <w:rsid w:val="00282E31"/>
    <w:rsid w:val="00282EC8"/>
    <w:rsid w:val="00282EEC"/>
    <w:rsid w:val="00283027"/>
    <w:rsid w:val="0028320F"/>
    <w:rsid w:val="0028324E"/>
    <w:rsid w:val="00283253"/>
    <w:rsid w:val="00283260"/>
    <w:rsid w:val="00283300"/>
    <w:rsid w:val="00283487"/>
    <w:rsid w:val="00283529"/>
    <w:rsid w:val="00283572"/>
    <w:rsid w:val="0028357B"/>
    <w:rsid w:val="002836F2"/>
    <w:rsid w:val="00283763"/>
    <w:rsid w:val="0028387A"/>
    <w:rsid w:val="0028389D"/>
    <w:rsid w:val="002838C9"/>
    <w:rsid w:val="002839BB"/>
    <w:rsid w:val="00283BBF"/>
    <w:rsid w:val="00283BE7"/>
    <w:rsid w:val="00283D18"/>
    <w:rsid w:val="00283DE5"/>
    <w:rsid w:val="002840E3"/>
    <w:rsid w:val="00284231"/>
    <w:rsid w:val="002843BF"/>
    <w:rsid w:val="0028448D"/>
    <w:rsid w:val="00284498"/>
    <w:rsid w:val="00284541"/>
    <w:rsid w:val="00284662"/>
    <w:rsid w:val="00284878"/>
    <w:rsid w:val="002848BE"/>
    <w:rsid w:val="00284916"/>
    <w:rsid w:val="002849F8"/>
    <w:rsid w:val="00284AB5"/>
    <w:rsid w:val="00284AF2"/>
    <w:rsid w:val="00284BA4"/>
    <w:rsid w:val="00284C9A"/>
    <w:rsid w:val="00284CDC"/>
    <w:rsid w:val="00284E6F"/>
    <w:rsid w:val="00284F25"/>
    <w:rsid w:val="00284F38"/>
    <w:rsid w:val="00284F4C"/>
    <w:rsid w:val="00284FAB"/>
    <w:rsid w:val="0028524E"/>
    <w:rsid w:val="002852B6"/>
    <w:rsid w:val="00285307"/>
    <w:rsid w:val="00285471"/>
    <w:rsid w:val="002854CA"/>
    <w:rsid w:val="0028554D"/>
    <w:rsid w:val="00285598"/>
    <w:rsid w:val="002855D1"/>
    <w:rsid w:val="00285650"/>
    <w:rsid w:val="002857BA"/>
    <w:rsid w:val="002857D3"/>
    <w:rsid w:val="002858BF"/>
    <w:rsid w:val="002859AD"/>
    <w:rsid w:val="002859D5"/>
    <w:rsid w:val="002859FB"/>
    <w:rsid w:val="00285A53"/>
    <w:rsid w:val="00285E78"/>
    <w:rsid w:val="00285ED0"/>
    <w:rsid w:val="00285F52"/>
    <w:rsid w:val="00286096"/>
    <w:rsid w:val="002861A1"/>
    <w:rsid w:val="002861A3"/>
    <w:rsid w:val="00286292"/>
    <w:rsid w:val="002862A8"/>
    <w:rsid w:val="00286442"/>
    <w:rsid w:val="002864F0"/>
    <w:rsid w:val="00286662"/>
    <w:rsid w:val="00286768"/>
    <w:rsid w:val="00286841"/>
    <w:rsid w:val="00286BF5"/>
    <w:rsid w:val="00286C10"/>
    <w:rsid w:val="00286C3E"/>
    <w:rsid w:val="00286C70"/>
    <w:rsid w:val="00286D37"/>
    <w:rsid w:val="00286DE4"/>
    <w:rsid w:val="00286E02"/>
    <w:rsid w:val="002870B9"/>
    <w:rsid w:val="00287224"/>
    <w:rsid w:val="00287229"/>
    <w:rsid w:val="00287269"/>
    <w:rsid w:val="0028731D"/>
    <w:rsid w:val="002874B3"/>
    <w:rsid w:val="002874FE"/>
    <w:rsid w:val="00287520"/>
    <w:rsid w:val="002875DC"/>
    <w:rsid w:val="002875E9"/>
    <w:rsid w:val="0028760F"/>
    <w:rsid w:val="00287672"/>
    <w:rsid w:val="00287708"/>
    <w:rsid w:val="00287A1A"/>
    <w:rsid w:val="00287A72"/>
    <w:rsid w:val="00287AFF"/>
    <w:rsid w:val="00287B6D"/>
    <w:rsid w:val="00287D22"/>
    <w:rsid w:val="00287D67"/>
    <w:rsid w:val="00287E6B"/>
    <w:rsid w:val="00287ED7"/>
    <w:rsid w:val="002900F3"/>
    <w:rsid w:val="00290104"/>
    <w:rsid w:val="002901BD"/>
    <w:rsid w:val="00290206"/>
    <w:rsid w:val="002903AF"/>
    <w:rsid w:val="002904C8"/>
    <w:rsid w:val="00290572"/>
    <w:rsid w:val="00290733"/>
    <w:rsid w:val="00290758"/>
    <w:rsid w:val="00290768"/>
    <w:rsid w:val="0029087C"/>
    <w:rsid w:val="002908F9"/>
    <w:rsid w:val="00290C9D"/>
    <w:rsid w:val="00290D1D"/>
    <w:rsid w:val="002910CF"/>
    <w:rsid w:val="002910EF"/>
    <w:rsid w:val="00291268"/>
    <w:rsid w:val="002913CD"/>
    <w:rsid w:val="00291781"/>
    <w:rsid w:val="002917DB"/>
    <w:rsid w:val="0029199D"/>
    <w:rsid w:val="00291A30"/>
    <w:rsid w:val="00291B72"/>
    <w:rsid w:val="00291C0F"/>
    <w:rsid w:val="00291C2C"/>
    <w:rsid w:val="00291C4E"/>
    <w:rsid w:val="00291D89"/>
    <w:rsid w:val="00291E40"/>
    <w:rsid w:val="00291F7D"/>
    <w:rsid w:val="0029201D"/>
    <w:rsid w:val="00292060"/>
    <w:rsid w:val="0029228C"/>
    <w:rsid w:val="002923E3"/>
    <w:rsid w:val="002923E4"/>
    <w:rsid w:val="002926A3"/>
    <w:rsid w:val="00292803"/>
    <w:rsid w:val="00292855"/>
    <w:rsid w:val="0029287A"/>
    <w:rsid w:val="00292943"/>
    <w:rsid w:val="00292996"/>
    <w:rsid w:val="00292AD8"/>
    <w:rsid w:val="00292C7E"/>
    <w:rsid w:val="00292CCD"/>
    <w:rsid w:val="00292D97"/>
    <w:rsid w:val="00292DFC"/>
    <w:rsid w:val="00292E06"/>
    <w:rsid w:val="00292FF5"/>
    <w:rsid w:val="00293032"/>
    <w:rsid w:val="002930D7"/>
    <w:rsid w:val="00293205"/>
    <w:rsid w:val="0029323F"/>
    <w:rsid w:val="00293299"/>
    <w:rsid w:val="0029329E"/>
    <w:rsid w:val="002934AB"/>
    <w:rsid w:val="00293600"/>
    <w:rsid w:val="0029366C"/>
    <w:rsid w:val="002937D6"/>
    <w:rsid w:val="00293925"/>
    <w:rsid w:val="00293B1F"/>
    <w:rsid w:val="00293BF1"/>
    <w:rsid w:val="00293C3D"/>
    <w:rsid w:val="00293D29"/>
    <w:rsid w:val="00293E31"/>
    <w:rsid w:val="00293F5B"/>
    <w:rsid w:val="00294101"/>
    <w:rsid w:val="0029413A"/>
    <w:rsid w:val="00294165"/>
    <w:rsid w:val="002941B7"/>
    <w:rsid w:val="0029432E"/>
    <w:rsid w:val="0029445C"/>
    <w:rsid w:val="002945A3"/>
    <w:rsid w:val="0029466E"/>
    <w:rsid w:val="00294727"/>
    <w:rsid w:val="0029483E"/>
    <w:rsid w:val="00294864"/>
    <w:rsid w:val="00294869"/>
    <w:rsid w:val="00294991"/>
    <w:rsid w:val="002949A4"/>
    <w:rsid w:val="00294BE6"/>
    <w:rsid w:val="00294BE8"/>
    <w:rsid w:val="00294C0E"/>
    <w:rsid w:val="00294D8B"/>
    <w:rsid w:val="00294DE5"/>
    <w:rsid w:val="00294E93"/>
    <w:rsid w:val="00294EC6"/>
    <w:rsid w:val="00294F9F"/>
    <w:rsid w:val="00294FCF"/>
    <w:rsid w:val="002950B0"/>
    <w:rsid w:val="00295353"/>
    <w:rsid w:val="00295532"/>
    <w:rsid w:val="0029563A"/>
    <w:rsid w:val="002956D1"/>
    <w:rsid w:val="00295728"/>
    <w:rsid w:val="00295A0C"/>
    <w:rsid w:val="00295B3A"/>
    <w:rsid w:val="00295B62"/>
    <w:rsid w:val="00295B6E"/>
    <w:rsid w:val="00295BB5"/>
    <w:rsid w:val="00295C4B"/>
    <w:rsid w:val="00295D45"/>
    <w:rsid w:val="00295EDD"/>
    <w:rsid w:val="00295F36"/>
    <w:rsid w:val="0029603A"/>
    <w:rsid w:val="00296043"/>
    <w:rsid w:val="00296144"/>
    <w:rsid w:val="00296193"/>
    <w:rsid w:val="0029619B"/>
    <w:rsid w:val="00296259"/>
    <w:rsid w:val="002962C2"/>
    <w:rsid w:val="00296339"/>
    <w:rsid w:val="0029668E"/>
    <w:rsid w:val="00296748"/>
    <w:rsid w:val="00296754"/>
    <w:rsid w:val="002968EA"/>
    <w:rsid w:val="00296977"/>
    <w:rsid w:val="00296A12"/>
    <w:rsid w:val="00296B27"/>
    <w:rsid w:val="00296C32"/>
    <w:rsid w:val="00296D33"/>
    <w:rsid w:val="00296D77"/>
    <w:rsid w:val="00296E9C"/>
    <w:rsid w:val="00296EEC"/>
    <w:rsid w:val="00296F01"/>
    <w:rsid w:val="00296F2B"/>
    <w:rsid w:val="00296FF7"/>
    <w:rsid w:val="002970CC"/>
    <w:rsid w:val="002970E1"/>
    <w:rsid w:val="0029710E"/>
    <w:rsid w:val="0029711F"/>
    <w:rsid w:val="002971EB"/>
    <w:rsid w:val="00297220"/>
    <w:rsid w:val="00297536"/>
    <w:rsid w:val="002975CA"/>
    <w:rsid w:val="00297633"/>
    <w:rsid w:val="00297893"/>
    <w:rsid w:val="002978D6"/>
    <w:rsid w:val="0029798C"/>
    <w:rsid w:val="00297A03"/>
    <w:rsid w:val="00297AB5"/>
    <w:rsid w:val="00297DF8"/>
    <w:rsid w:val="00297E32"/>
    <w:rsid w:val="00297FF2"/>
    <w:rsid w:val="002A01A7"/>
    <w:rsid w:val="002A01F7"/>
    <w:rsid w:val="002A0377"/>
    <w:rsid w:val="002A03B5"/>
    <w:rsid w:val="002A03EE"/>
    <w:rsid w:val="002A051F"/>
    <w:rsid w:val="002A058D"/>
    <w:rsid w:val="002A05FF"/>
    <w:rsid w:val="002A060F"/>
    <w:rsid w:val="002A0805"/>
    <w:rsid w:val="002A0ABD"/>
    <w:rsid w:val="002A0ADC"/>
    <w:rsid w:val="002A0BA5"/>
    <w:rsid w:val="002A0BAE"/>
    <w:rsid w:val="002A0C2B"/>
    <w:rsid w:val="002A0E57"/>
    <w:rsid w:val="002A0F8E"/>
    <w:rsid w:val="002A1033"/>
    <w:rsid w:val="002A1055"/>
    <w:rsid w:val="002A1087"/>
    <w:rsid w:val="002A1104"/>
    <w:rsid w:val="002A1264"/>
    <w:rsid w:val="002A1317"/>
    <w:rsid w:val="002A13F4"/>
    <w:rsid w:val="002A14D8"/>
    <w:rsid w:val="002A1711"/>
    <w:rsid w:val="002A1AA8"/>
    <w:rsid w:val="002A1CB9"/>
    <w:rsid w:val="002A1DFF"/>
    <w:rsid w:val="002A23F3"/>
    <w:rsid w:val="002A246E"/>
    <w:rsid w:val="002A25D0"/>
    <w:rsid w:val="002A265E"/>
    <w:rsid w:val="002A26AC"/>
    <w:rsid w:val="002A27EF"/>
    <w:rsid w:val="002A2A5F"/>
    <w:rsid w:val="002A2A8A"/>
    <w:rsid w:val="002A2AA6"/>
    <w:rsid w:val="002A2BC2"/>
    <w:rsid w:val="002A2CFE"/>
    <w:rsid w:val="002A2D64"/>
    <w:rsid w:val="002A2E07"/>
    <w:rsid w:val="002A2E64"/>
    <w:rsid w:val="002A2E9D"/>
    <w:rsid w:val="002A2FA9"/>
    <w:rsid w:val="002A332C"/>
    <w:rsid w:val="002A337B"/>
    <w:rsid w:val="002A33F8"/>
    <w:rsid w:val="002A342D"/>
    <w:rsid w:val="002A35F9"/>
    <w:rsid w:val="002A3770"/>
    <w:rsid w:val="002A3844"/>
    <w:rsid w:val="002A38A8"/>
    <w:rsid w:val="002A38C3"/>
    <w:rsid w:val="002A3905"/>
    <w:rsid w:val="002A3A14"/>
    <w:rsid w:val="002A3BC0"/>
    <w:rsid w:val="002A3DA5"/>
    <w:rsid w:val="002A3E28"/>
    <w:rsid w:val="002A3E70"/>
    <w:rsid w:val="002A3F4E"/>
    <w:rsid w:val="002A400D"/>
    <w:rsid w:val="002A40C9"/>
    <w:rsid w:val="002A4102"/>
    <w:rsid w:val="002A4171"/>
    <w:rsid w:val="002A427B"/>
    <w:rsid w:val="002A458F"/>
    <w:rsid w:val="002A46BF"/>
    <w:rsid w:val="002A46F5"/>
    <w:rsid w:val="002A4737"/>
    <w:rsid w:val="002A47C3"/>
    <w:rsid w:val="002A48F9"/>
    <w:rsid w:val="002A4906"/>
    <w:rsid w:val="002A4BEB"/>
    <w:rsid w:val="002A4C3C"/>
    <w:rsid w:val="002A4C46"/>
    <w:rsid w:val="002A4C5F"/>
    <w:rsid w:val="002A4DEF"/>
    <w:rsid w:val="002A4EA1"/>
    <w:rsid w:val="002A4F0C"/>
    <w:rsid w:val="002A4F9C"/>
    <w:rsid w:val="002A4FD2"/>
    <w:rsid w:val="002A50BE"/>
    <w:rsid w:val="002A5224"/>
    <w:rsid w:val="002A5240"/>
    <w:rsid w:val="002A53F7"/>
    <w:rsid w:val="002A5535"/>
    <w:rsid w:val="002A5590"/>
    <w:rsid w:val="002A5591"/>
    <w:rsid w:val="002A56D3"/>
    <w:rsid w:val="002A57D1"/>
    <w:rsid w:val="002A5874"/>
    <w:rsid w:val="002A58BA"/>
    <w:rsid w:val="002A5905"/>
    <w:rsid w:val="002A5947"/>
    <w:rsid w:val="002A597C"/>
    <w:rsid w:val="002A59A5"/>
    <w:rsid w:val="002A5A44"/>
    <w:rsid w:val="002A5A62"/>
    <w:rsid w:val="002A5CD3"/>
    <w:rsid w:val="002A5E54"/>
    <w:rsid w:val="002A5EE6"/>
    <w:rsid w:val="002A621F"/>
    <w:rsid w:val="002A633D"/>
    <w:rsid w:val="002A6624"/>
    <w:rsid w:val="002A6817"/>
    <w:rsid w:val="002A6838"/>
    <w:rsid w:val="002A6960"/>
    <w:rsid w:val="002A6A00"/>
    <w:rsid w:val="002A6A11"/>
    <w:rsid w:val="002A6A55"/>
    <w:rsid w:val="002A6CD1"/>
    <w:rsid w:val="002A6F9A"/>
    <w:rsid w:val="002A7096"/>
    <w:rsid w:val="002A715E"/>
    <w:rsid w:val="002A71CB"/>
    <w:rsid w:val="002A7429"/>
    <w:rsid w:val="002A742A"/>
    <w:rsid w:val="002A7673"/>
    <w:rsid w:val="002A7685"/>
    <w:rsid w:val="002A7745"/>
    <w:rsid w:val="002A787E"/>
    <w:rsid w:val="002A79B5"/>
    <w:rsid w:val="002A79F5"/>
    <w:rsid w:val="002A79F6"/>
    <w:rsid w:val="002A7A66"/>
    <w:rsid w:val="002A7B0A"/>
    <w:rsid w:val="002A7BE2"/>
    <w:rsid w:val="002A7DEA"/>
    <w:rsid w:val="002A7EF6"/>
    <w:rsid w:val="002A7F89"/>
    <w:rsid w:val="002B0267"/>
    <w:rsid w:val="002B0408"/>
    <w:rsid w:val="002B0437"/>
    <w:rsid w:val="002B043F"/>
    <w:rsid w:val="002B0501"/>
    <w:rsid w:val="002B0511"/>
    <w:rsid w:val="002B0582"/>
    <w:rsid w:val="002B05FC"/>
    <w:rsid w:val="002B067F"/>
    <w:rsid w:val="002B0725"/>
    <w:rsid w:val="002B07F3"/>
    <w:rsid w:val="002B087A"/>
    <w:rsid w:val="002B0995"/>
    <w:rsid w:val="002B0ADA"/>
    <w:rsid w:val="002B0B0B"/>
    <w:rsid w:val="002B0BE8"/>
    <w:rsid w:val="002B0CF5"/>
    <w:rsid w:val="002B0F1C"/>
    <w:rsid w:val="002B0F7D"/>
    <w:rsid w:val="002B0F80"/>
    <w:rsid w:val="002B14D8"/>
    <w:rsid w:val="002B1652"/>
    <w:rsid w:val="002B175E"/>
    <w:rsid w:val="002B1920"/>
    <w:rsid w:val="002B1B1C"/>
    <w:rsid w:val="002B1C15"/>
    <w:rsid w:val="002B1D8F"/>
    <w:rsid w:val="002B202B"/>
    <w:rsid w:val="002B211E"/>
    <w:rsid w:val="002B21BE"/>
    <w:rsid w:val="002B21F7"/>
    <w:rsid w:val="002B24B2"/>
    <w:rsid w:val="002B24FB"/>
    <w:rsid w:val="002B25A1"/>
    <w:rsid w:val="002B25F6"/>
    <w:rsid w:val="002B262E"/>
    <w:rsid w:val="002B26F1"/>
    <w:rsid w:val="002B2767"/>
    <w:rsid w:val="002B2790"/>
    <w:rsid w:val="002B2B8A"/>
    <w:rsid w:val="002B2C9C"/>
    <w:rsid w:val="002B2D3E"/>
    <w:rsid w:val="002B2F04"/>
    <w:rsid w:val="002B2F52"/>
    <w:rsid w:val="002B2F5A"/>
    <w:rsid w:val="002B31EE"/>
    <w:rsid w:val="002B32E0"/>
    <w:rsid w:val="002B33AD"/>
    <w:rsid w:val="002B34EC"/>
    <w:rsid w:val="002B3590"/>
    <w:rsid w:val="002B3691"/>
    <w:rsid w:val="002B3721"/>
    <w:rsid w:val="002B3764"/>
    <w:rsid w:val="002B37A6"/>
    <w:rsid w:val="002B3811"/>
    <w:rsid w:val="002B3897"/>
    <w:rsid w:val="002B39A3"/>
    <w:rsid w:val="002B3A2F"/>
    <w:rsid w:val="002B3A73"/>
    <w:rsid w:val="002B3BF2"/>
    <w:rsid w:val="002B3C2B"/>
    <w:rsid w:val="002B3C3A"/>
    <w:rsid w:val="002B3C60"/>
    <w:rsid w:val="002B3D3A"/>
    <w:rsid w:val="002B3D6B"/>
    <w:rsid w:val="002B3DC2"/>
    <w:rsid w:val="002B40F3"/>
    <w:rsid w:val="002B416A"/>
    <w:rsid w:val="002B41FE"/>
    <w:rsid w:val="002B4297"/>
    <w:rsid w:val="002B4388"/>
    <w:rsid w:val="002B4469"/>
    <w:rsid w:val="002B448B"/>
    <w:rsid w:val="002B4505"/>
    <w:rsid w:val="002B4527"/>
    <w:rsid w:val="002B458C"/>
    <w:rsid w:val="002B45DF"/>
    <w:rsid w:val="002B4685"/>
    <w:rsid w:val="002B48D9"/>
    <w:rsid w:val="002B48DA"/>
    <w:rsid w:val="002B4946"/>
    <w:rsid w:val="002B4A1F"/>
    <w:rsid w:val="002B4ABF"/>
    <w:rsid w:val="002B4C91"/>
    <w:rsid w:val="002B4E50"/>
    <w:rsid w:val="002B4F25"/>
    <w:rsid w:val="002B4F41"/>
    <w:rsid w:val="002B4F6B"/>
    <w:rsid w:val="002B530E"/>
    <w:rsid w:val="002B5353"/>
    <w:rsid w:val="002B5531"/>
    <w:rsid w:val="002B55C0"/>
    <w:rsid w:val="002B55F2"/>
    <w:rsid w:val="002B5700"/>
    <w:rsid w:val="002B5754"/>
    <w:rsid w:val="002B59EA"/>
    <w:rsid w:val="002B5A48"/>
    <w:rsid w:val="002B5A73"/>
    <w:rsid w:val="002B5A83"/>
    <w:rsid w:val="002B5B5A"/>
    <w:rsid w:val="002B5C9B"/>
    <w:rsid w:val="002B5D8E"/>
    <w:rsid w:val="002B5E1D"/>
    <w:rsid w:val="002B5E35"/>
    <w:rsid w:val="002B5E9C"/>
    <w:rsid w:val="002B601F"/>
    <w:rsid w:val="002B6259"/>
    <w:rsid w:val="002B661C"/>
    <w:rsid w:val="002B6632"/>
    <w:rsid w:val="002B6A94"/>
    <w:rsid w:val="002B6C07"/>
    <w:rsid w:val="002B6C2B"/>
    <w:rsid w:val="002B6E5B"/>
    <w:rsid w:val="002B6F25"/>
    <w:rsid w:val="002B6FC5"/>
    <w:rsid w:val="002B7129"/>
    <w:rsid w:val="002B71D2"/>
    <w:rsid w:val="002B71EA"/>
    <w:rsid w:val="002B7287"/>
    <w:rsid w:val="002B7650"/>
    <w:rsid w:val="002B76F6"/>
    <w:rsid w:val="002B7A41"/>
    <w:rsid w:val="002B7ABA"/>
    <w:rsid w:val="002B7ACE"/>
    <w:rsid w:val="002B7BD2"/>
    <w:rsid w:val="002B7C21"/>
    <w:rsid w:val="002B7C44"/>
    <w:rsid w:val="002B7CC6"/>
    <w:rsid w:val="002B7DEB"/>
    <w:rsid w:val="002B7F11"/>
    <w:rsid w:val="002B7F5E"/>
    <w:rsid w:val="002B7FE9"/>
    <w:rsid w:val="002C001E"/>
    <w:rsid w:val="002C0191"/>
    <w:rsid w:val="002C025F"/>
    <w:rsid w:val="002C03D0"/>
    <w:rsid w:val="002C04A1"/>
    <w:rsid w:val="002C056C"/>
    <w:rsid w:val="002C0587"/>
    <w:rsid w:val="002C0598"/>
    <w:rsid w:val="002C0885"/>
    <w:rsid w:val="002C0951"/>
    <w:rsid w:val="002C0A4A"/>
    <w:rsid w:val="002C0B79"/>
    <w:rsid w:val="002C0E42"/>
    <w:rsid w:val="002C0EFE"/>
    <w:rsid w:val="002C1006"/>
    <w:rsid w:val="002C102E"/>
    <w:rsid w:val="002C1106"/>
    <w:rsid w:val="002C11E1"/>
    <w:rsid w:val="002C123B"/>
    <w:rsid w:val="002C1376"/>
    <w:rsid w:val="002C15A9"/>
    <w:rsid w:val="002C15D2"/>
    <w:rsid w:val="002C168A"/>
    <w:rsid w:val="002C16B4"/>
    <w:rsid w:val="002C17CE"/>
    <w:rsid w:val="002C1CB3"/>
    <w:rsid w:val="002C1CEF"/>
    <w:rsid w:val="002C1D25"/>
    <w:rsid w:val="002C1D5E"/>
    <w:rsid w:val="002C1DDC"/>
    <w:rsid w:val="002C1E39"/>
    <w:rsid w:val="002C1E42"/>
    <w:rsid w:val="002C1FE2"/>
    <w:rsid w:val="002C2005"/>
    <w:rsid w:val="002C21D5"/>
    <w:rsid w:val="002C2220"/>
    <w:rsid w:val="002C2247"/>
    <w:rsid w:val="002C22DD"/>
    <w:rsid w:val="002C22FF"/>
    <w:rsid w:val="002C2323"/>
    <w:rsid w:val="002C23AB"/>
    <w:rsid w:val="002C23D4"/>
    <w:rsid w:val="002C24AC"/>
    <w:rsid w:val="002C24C8"/>
    <w:rsid w:val="002C25A7"/>
    <w:rsid w:val="002C2678"/>
    <w:rsid w:val="002C276B"/>
    <w:rsid w:val="002C2884"/>
    <w:rsid w:val="002C2896"/>
    <w:rsid w:val="002C28C3"/>
    <w:rsid w:val="002C2B4D"/>
    <w:rsid w:val="002C2CC8"/>
    <w:rsid w:val="002C2CD9"/>
    <w:rsid w:val="002C2D0C"/>
    <w:rsid w:val="002C2D9B"/>
    <w:rsid w:val="002C2E0C"/>
    <w:rsid w:val="002C31D0"/>
    <w:rsid w:val="002C324C"/>
    <w:rsid w:val="002C3277"/>
    <w:rsid w:val="002C3377"/>
    <w:rsid w:val="002C3433"/>
    <w:rsid w:val="002C34DD"/>
    <w:rsid w:val="002C3850"/>
    <w:rsid w:val="002C38DF"/>
    <w:rsid w:val="002C3AB4"/>
    <w:rsid w:val="002C3AB6"/>
    <w:rsid w:val="002C3B02"/>
    <w:rsid w:val="002C3D1A"/>
    <w:rsid w:val="002C3E16"/>
    <w:rsid w:val="002C3E1A"/>
    <w:rsid w:val="002C3FF4"/>
    <w:rsid w:val="002C4160"/>
    <w:rsid w:val="002C4399"/>
    <w:rsid w:val="002C44A7"/>
    <w:rsid w:val="002C4542"/>
    <w:rsid w:val="002C4584"/>
    <w:rsid w:val="002C467C"/>
    <w:rsid w:val="002C474C"/>
    <w:rsid w:val="002C4852"/>
    <w:rsid w:val="002C4909"/>
    <w:rsid w:val="002C4AF1"/>
    <w:rsid w:val="002C4C20"/>
    <w:rsid w:val="002C4D0C"/>
    <w:rsid w:val="002C4D3F"/>
    <w:rsid w:val="002C4EAC"/>
    <w:rsid w:val="002C4FAD"/>
    <w:rsid w:val="002C517E"/>
    <w:rsid w:val="002C5192"/>
    <w:rsid w:val="002C51B0"/>
    <w:rsid w:val="002C52D2"/>
    <w:rsid w:val="002C5368"/>
    <w:rsid w:val="002C5422"/>
    <w:rsid w:val="002C54CF"/>
    <w:rsid w:val="002C54F6"/>
    <w:rsid w:val="002C557B"/>
    <w:rsid w:val="002C57B4"/>
    <w:rsid w:val="002C57E9"/>
    <w:rsid w:val="002C58FB"/>
    <w:rsid w:val="002C591A"/>
    <w:rsid w:val="002C5932"/>
    <w:rsid w:val="002C5A53"/>
    <w:rsid w:val="002C5B8F"/>
    <w:rsid w:val="002C5BCA"/>
    <w:rsid w:val="002C5C66"/>
    <w:rsid w:val="002C5E47"/>
    <w:rsid w:val="002C5EE5"/>
    <w:rsid w:val="002C610B"/>
    <w:rsid w:val="002C6117"/>
    <w:rsid w:val="002C61BA"/>
    <w:rsid w:val="002C6276"/>
    <w:rsid w:val="002C6395"/>
    <w:rsid w:val="002C63AF"/>
    <w:rsid w:val="002C647A"/>
    <w:rsid w:val="002C6509"/>
    <w:rsid w:val="002C66B9"/>
    <w:rsid w:val="002C67AD"/>
    <w:rsid w:val="002C68CB"/>
    <w:rsid w:val="002C692D"/>
    <w:rsid w:val="002C6AF4"/>
    <w:rsid w:val="002C6BAC"/>
    <w:rsid w:val="002C6CE0"/>
    <w:rsid w:val="002C6D45"/>
    <w:rsid w:val="002C6ED7"/>
    <w:rsid w:val="002C6F62"/>
    <w:rsid w:val="002C70E0"/>
    <w:rsid w:val="002C73F7"/>
    <w:rsid w:val="002C7446"/>
    <w:rsid w:val="002C75DE"/>
    <w:rsid w:val="002C78C7"/>
    <w:rsid w:val="002C7984"/>
    <w:rsid w:val="002C798C"/>
    <w:rsid w:val="002C7A38"/>
    <w:rsid w:val="002C7B9B"/>
    <w:rsid w:val="002C7CB9"/>
    <w:rsid w:val="002C7E25"/>
    <w:rsid w:val="002C7E2A"/>
    <w:rsid w:val="002D012E"/>
    <w:rsid w:val="002D0182"/>
    <w:rsid w:val="002D028C"/>
    <w:rsid w:val="002D0295"/>
    <w:rsid w:val="002D02FF"/>
    <w:rsid w:val="002D0351"/>
    <w:rsid w:val="002D03BF"/>
    <w:rsid w:val="002D04B6"/>
    <w:rsid w:val="002D0535"/>
    <w:rsid w:val="002D067C"/>
    <w:rsid w:val="002D06A6"/>
    <w:rsid w:val="002D06F0"/>
    <w:rsid w:val="002D0825"/>
    <w:rsid w:val="002D088B"/>
    <w:rsid w:val="002D08B9"/>
    <w:rsid w:val="002D0987"/>
    <w:rsid w:val="002D09CD"/>
    <w:rsid w:val="002D0AB1"/>
    <w:rsid w:val="002D0C4F"/>
    <w:rsid w:val="002D0D4E"/>
    <w:rsid w:val="002D0E37"/>
    <w:rsid w:val="002D0ED3"/>
    <w:rsid w:val="002D0F1A"/>
    <w:rsid w:val="002D1168"/>
    <w:rsid w:val="002D1307"/>
    <w:rsid w:val="002D13E4"/>
    <w:rsid w:val="002D14EC"/>
    <w:rsid w:val="002D1574"/>
    <w:rsid w:val="002D15A5"/>
    <w:rsid w:val="002D17EE"/>
    <w:rsid w:val="002D18A8"/>
    <w:rsid w:val="002D1A59"/>
    <w:rsid w:val="002D1AFE"/>
    <w:rsid w:val="002D1B77"/>
    <w:rsid w:val="002D1BA9"/>
    <w:rsid w:val="002D1BF8"/>
    <w:rsid w:val="002D1C69"/>
    <w:rsid w:val="002D1CC5"/>
    <w:rsid w:val="002D1CD0"/>
    <w:rsid w:val="002D2065"/>
    <w:rsid w:val="002D2072"/>
    <w:rsid w:val="002D21D7"/>
    <w:rsid w:val="002D230D"/>
    <w:rsid w:val="002D2573"/>
    <w:rsid w:val="002D25DE"/>
    <w:rsid w:val="002D26B0"/>
    <w:rsid w:val="002D26DC"/>
    <w:rsid w:val="002D28FA"/>
    <w:rsid w:val="002D2965"/>
    <w:rsid w:val="002D2966"/>
    <w:rsid w:val="002D2BEB"/>
    <w:rsid w:val="002D2E33"/>
    <w:rsid w:val="002D2FD7"/>
    <w:rsid w:val="002D3029"/>
    <w:rsid w:val="002D30CA"/>
    <w:rsid w:val="002D31F1"/>
    <w:rsid w:val="002D32BE"/>
    <w:rsid w:val="002D32C1"/>
    <w:rsid w:val="002D358D"/>
    <w:rsid w:val="002D36C4"/>
    <w:rsid w:val="002D3857"/>
    <w:rsid w:val="002D3B3B"/>
    <w:rsid w:val="002D3B7D"/>
    <w:rsid w:val="002D3BEE"/>
    <w:rsid w:val="002D3D9C"/>
    <w:rsid w:val="002D3E5D"/>
    <w:rsid w:val="002D4307"/>
    <w:rsid w:val="002D4414"/>
    <w:rsid w:val="002D457C"/>
    <w:rsid w:val="002D4586"/>
    <w:rsid w:val="002D46C9"/>
    <w:rsid w:val="002D472C"/>
    <w:rsid w:val="002D478F"/>
    <w:rsid w:val="002D47B6"/>
    <w:rsid w:val="002D493C"/>
    <w:rsid w:val="002D4B2D"/>
    <w:rsid w:val="002D4C3C"/>
    <w:rsid w:val="002D4C87"/>
    <w:rsid w:val="002D4CF4"/>
    <w:rsid w:val="002D4D8D"/>
    <w:rsid w:val="002D4E32"/>
    <w:rsid w:val="002D4E4A"/>
    <w:rsid w:val="002D4E9B"/>
    <w:rsid w:val="002D4EDB"/>
    <w:rsid w:val="002D4F5B"/>
    <w:rsid w:val="002D50BC"/>
    <w:rsid w:val="002D51C0"/>
    <w:rsid w:val="002D52FE"/>
    <w:rsid w:val="002D5461"/>
    <w:rsid w:val="002D571F"/>
    <w:rsid w:val="002D57A5"/>
    <w:rsid w:val="002D57E9"/>
    <w:rsid w:val="002D5999"/>
    <w:rsid w:val="002D5B93"/>
    <w:rsid w:val="002D5BDA"/>
    <w:rsid w:val="002D5D72"/>
    <w:rsid w:val="002D5DC7"/>
    <w:rsid w:val="002D5E01"/>
    <w:rsid w:val="002D5E71"/>
    <w:rsid w:val="002D623A"/>
    <w:rsid w:val="002D6322"/>
    <w:rsid w:val="002D63F3"/>
    <w:rsid w:val="002D6863"/>
    <w:rsid w:val="002D68EB"/>
    <w:rsid w:val="002D6C3D"/>
    <w:rsid w:val="002D6C78"/>
    <w:rsid w:val="002D6DB8"/>
    <w:rsid w:val="002D6E4B"/>
    <w:rsid w:val="002D6E6F"/>
    <w:rsid w:val="002D6F6A"/>
    <w:rsid w:val="002D705D"/>
    <w:rsid w:val="002D71ED"/>
    <w:rsid w:val="002D7360"/>
    <w:rsid w:val="002D75EF"/>
    <w:rsid w:val="002D7630"/>
    <w:rsid w:val="002D7834"/>
    <w:rsid w:val="002D7B63"/>
    <w:rsid w:val="002D7BD4"/>
    <w:rsid w:val="002D7C18"/>
    <w:rsid w:val="002D7F19"/>
    <w:rsid w:val="002D7F61"/>
    <w:rsid w:val="002E0016"/>
    <w:rsid w:val="002E0088"/>
    <w:rsid w:val="002E00B9"/>
    <w:rsid w:val="002E0100"/>
    <w:rsid w:val="002E0534"/>
    <w:rsid w:val="002E0574"/>
    <w:rsid w:val="002E07D9"/>
    <w:rsid w:val="002E07E2"/>
    <w:rsid w:val="002E0867"/>
    <w:rsid w:val="002E092F"/>
    <w:rsid w:val="002E0B17"/>
    <w:rsid w:val="002E0C33"/>
    <w:rsid w:val="002E10EF"/>
    <w:rsid w:val="002E1151"/>
    <w:rsid w:val="002E1238"/>
    <w:rsid w:val="002E1240"/>
    <w:rsid w:val="002E12EA"/>
    <w:rsid w:val="002E1401"/>
    <w:rsid w:val="002E147B"/>
    <w:rsid w:val="002E149C"/>
    <w:rsid w:val="002E1513"/>
    <w:rsid w:val="002E1787"/>
    <w:rsid w:val="002E178B"/>
    <w:rsid w:val="002E1821"/>
    <w:rsid w:val="002E1A19"/>
    <w:rsid w:val="002E1A56"/>
    <w:rsid w:val="002E1A8B"/>
    <w:rsid w:val="002E1B17"/>
    <w:rsid w:val="002E1C0B"/>
    <w:rsid w:val="002E1DD8"/>
    <w:rsid w:val="002E1E38"/>
    <w:rsid w:val="002E1F44"/>
    <w:rsid w:val="002E1F6F"/>
    <w:rsid w:val="002E202E"/>
    <w:rsid w:val="002E20EE"/>
    <w:rsid w:val="002E22BD"/>
    <w:rsid w:val="002E238E"/>
    <w:rsid w:val="002E2401"/>
    <w:rsid w:val="002E26C8"/>
    <w:rsid w:val="002E2860"/>
    <w:rsid w:val="002E2869"/>
    <w:rsid w:val="002E28C4"/>
    <w:rsid w:val="002E2980"/>
    <w:rsid w:val="002E29E7"/>
    <w:rsid w:val="002E2ACC"/>
    <w:rsid w:val="002E2B73"/>
    <w:rsid w:val="002E2BDB"/>
    <w:rsid w:val="002E2C7A"/>
    <w:rsid w:val="002E3088"/>
    <w:rsid w:val="002E30A3"/>
    <w:rsid w:val="002E312A"/>
    <w:rsid w:val="002E3176"/>
    <w:rsid w:val="002E317E"/>
    <w:rsid w:val="002E325B"/>
    <w:rsid w:val="002E330C"/>
    <w:rsid w:val="002E33E9"/>
    <w:rsid w:val="002E33F2"/>
    <w:rsid w:val="002E340C"/>
    <w:rsid w:val="002E3590"/>
    <w:rsid w:val="002E3831"/>
    <w:rsid w:val="002E38DA"/>
    <w:rsid w:val="002E3A6E"/>
    <w:rsid w:val="002E3A7A"/>
    <w:rsid w:val="002E3A8D"/>
    <w:rsid w:val="002E3A9A"/>
    <w:rsid w:val="002E3E29"/>
    <w:rsid w:val="002E3F47"/>
    <w:rsid w:val="002E3F99"/>
    <w:rsid w:val="002E406D"/>
    <w:rsid w:val="002E4091"/>
    <w:rsid w:val="002E4285"/>
    <w:rsid w:val="002E42B7"/>
    <w:rsid w:val="002E42D5"/>
    <w:rsid w:val="002E442E"/>
    <w:rsid w:val="002E4470"/>
    <w:rsid w:val="002E451F"/>
    <w:rsid w:val="002E4577"/>
    <w:rsid w:val="002E45EC"/>
    <w:rsid w:val="002E47AA"/>
    <w:rsid w:val="002E489B"/>
    <w:rsid w:val="002E4935"/>
    <w:rsid w:val="002E4BB2"/>
    <w:rsid w:val="002E4C5A"/>
    <w:rsid w:val="002E4EA9"/>
    <w:rsid w:val="002E5128"/>
    <w:rsid w:val="002E53DE"/>
    <w:rsid w:val="002E5497"/>
    <w:rsid w:val="002E54DD"/>
    <w:rsid w:val="002E54F3"/>
    <w:rsid w:val="002E55BB"/>
    <w:rsid w:val="002E5654"/>
    <w:rsid w:val="002E569E"/>
    <w:rsid w:val="002E580B"/>
    <w:rsid w:val="002E58E2"/>
    <w:rsid w:val="002E5905"/>
    <w:rsid w:val="002E5A34"/>
    <w:rsid w:val="002E5A56"/>
    <w:rsid w:val="002E5BB8"/>
    <w:rsid w:val="002E5D66"/>
    <w:rsid w:val="002E5E6D"/>
    <w:rsid w:val="002E5E9C"/>
    <w:rsid w:val="002E6147"/>
    <w:rsid w:val="002E61B0"/>
    <w:rsid w:val="002E6269"/>
    <w:rsid w:val="002E64C5"/>
    <w:rsid w:val="002E67D8"/>
    <w:rsid w:val="002E6916"/>
    <w:rsid w:val="002E6A10"/>
    <w:rsid w:val="002E6AAE"/>
    <w:rsid w:val="002E6AC0"/>
    <w:rsid w:val="002E6D17"/>
    <w:rsid w:val="002E6D38"/>
    <w:rsid w:val="002E6E1F"/>
    <w:rsid w:val="002E6E48"/>
    <w:rsid w:val="002E6F0B"/>
    <w:rsid w:val="002E7149"/>
    <w:rsid w:val="002E7242"/>
    <w:rsid w:val="002E74C1"/>
    <w:rsid w:val="002E7567"/>
    <w:rsid w:val="002E756D"/>
    <w:rsid w:val="002E76B5"/>
    <w:rsid w:val="002E7757"/>
    <w:rsid w:val="002E7795"/>
    <w:rsid w:val="002E788A"/>
    <w:rsid w:val="002E7980"/>
    <w:rsid w:val="002E79E6"/>
    <w:rsid w:val="002E7B3E"/>
    <w:rsid w:val="002E7C0A"/>
    <w:rsid w:val="002E7C1E"/>
    <w:rsid w:val="002E7CCA"/>
    <w:rsid w:val="002E7D07"/>
    <w:rsid w:val="002E7DAC"/>
    <w:rsid w:val="002E7DE3"/>
    <w:rsid w:val="002E7E1F"/>
    <w:rsid w:val="002E7FB9"/>
    <w:rsid w:val="002F007B"/>
    <w:rsid w:val="002F007E"/>
    <w:rsid w:val="002F00CB"/>
    <w:rsid w:val="002F0202"/>
    <w:rsid w:val="002F0442"/>
    <w:rsid w:val="002F054C"/>
    <w:rsid w:val="002F05B9"/>
    <w:rsid w:val="002F069E"/>
    <w:rsid w:val="002F08CF"/>
    <w:rsid w:val="002F09D1"/>
    <w:rsid w:val="002F0A71"/>
    <w:rsid w:val="002F0B80"/>
    <w:rsid w:val="002F0BC7"/>
    <w:rsid w:val="002F0BD0"/>
    <w:rsid w:val="002F0C12"/>
    <w:rsid w:val="002F0E00"/>
    <w:rsid w:val="002F10A7"/>
    <w:rsid w:val="002F1257"/>
    <w:rsid w:val="002F125C"/>
    <w:rsid w:val="002F13E3"/>
    <w:rsid w:val="002F1410"/>
    <w:rsid w:val="002F1634"/>
    <w:rsid w:val="002F16B0"/>
    <w:rsid w:val="002F182F"/>
    <w:rsid w:val="002F1872"/>
    <w:rsid w:val="002F18E3"/>
    <w:rsid w:val="002F1981"/>
    <w:rsid w:val="002F19E2"/>
    <w:rsid w:val="002F1C1C"/>
    <w:rsid w:val="002F1EB3"/>
    <w:rsid w:val="002F1F3E"/>
    <w:rsid w:val="002F2039"/>
    <w:rsid w:val="002F206B"/>
    <w:rsid w:val="002F21CD"/>
    <w:rsid w:val="002F227E"/>
    <w:rsid w:val="002F2327"/>
    <w:rsid w:val="002F240F"/>
    <w:rsid w:val="002F24B9"/>
    <w:rsid w:val="002F2593"/>
    <w:rsid w:val="002F2638"/>
    <w:rsid w:val="002F2661"/>
    <w:rsid w:val="002F2669"/>
    <w:rsid w:val="002F28BD"/>
    <w:rsid w:val="002F2929"/>
    <w:rsid w:val="002F29F8"/>
    <w:rsid w:val="002F2A15"/>
    <w:rsid w:val="002F2AB0"/>
    <w:rsid w:val="002F2B6B"/>
    <w:rsid w:val="002F2BA7"/>
    <w:rsid w:val="002F2C64"/>
    <w:rsid w:val="002F2E05"/>
    <w:rsid w:val="002F2EE3"/>
    <w:rsid w:val="002F3008"/>
    <w:rsid w:val="002F30CE"/>
    <w:rsid w:val="002F3210"/>
    <w:rsid w:val="002F32CB"/>
    <w:rsid w:val="002F3304"/>
    <w:rsid w:val="002F335E"/>
    <w:rsid w:val="002F340D"/>
    <w:rsid w:val="002F344E"/>
    <w:rsid w:val="002F3517"/>
    <w:rsid w:val="002F3AA6"/>
    <w:rsid w:val="002F3B71"/>
    <w:rsid w:val="002F3D2B"/>
    <w:rsid w:val="002F3D52"/>
    <w:rsid w:val="002F3F46"/>
    <w:rsid w:val="002F3FC7"/>
    <w:rsid w:val="002F42B8"/>
    <w:rsid w:val="002F4490"/>
    <w:rsid w:val="002F453C"/>
    <w:rsid w:val="002F45D4"/>
    <w:rsid w:val="002F46FF"/>
    <w:rsid w:val="002F487B"/>
    <w:rsid w:val="002F4ACD"/>
    <w:rsid w:val="002F4B48"/>
    <w:rsid w:val="002F4BB9"/>
    <w:rsid w:val="002F4CC8"/>
    <w:rsid w:val="002F4E02"/>
    <w:rsid w:val="002F4E04"/>
    <w:rsid w:val="002F4E44"/>
    <w:rsid w:val="002F4E4D"/>
    <w:rsid w:val="002F4F3F"/>
    <w:rsid w:val="002F4FDC"/>
    <w:rsid w:val="002F4FEF"/>
    <w:rsid w:val="002F4FFB"/>
    <w:rsid w:val="002F5067"/>
    <w:rsid w:val="002F5076"/>
    <w:rsid w:val="002F5253"/>
    <w:rsid w:val="002F52F5"/>
    <w:rsid w:val="002F5332"/>
    <w:rsid w:val="002F53FA"/>
    <w:rsid w:val="002F5990"/>
    <w:rsid w:val="002F599E"/>
    <w:rsid w:val="002F5A0F"/>
    <w:rsid w:val="002F5B2E"/>
    <w:rsid w:val="002F5B91"/>
    <w:rsid w:val="002F5CE8"/>
    <w:rsid w:val="002F5D42"/>
    <w:rsid w:val="002F5D61"/>
    <w:rsid w:val="002F5DF6"/>
    <w:rsid w:val="002F5E59"/>
    <w:rsid w:val="002F5E84"/>
    <w:rsid w:val="002F5FA4"/>
    <w:rsid w:val="002F600A"/>
    <w:rsid w:val="002F6132"/>
    <w:rsid w:val="002F636A"/>
    <w:rsid w:val="002F638E"/>
    <w:rsid w:val="002F63C2"/>
    <w:rsid w:val="002F63F4"/>
    <w:rsid w:val="002F6539"/>
    <w:rsid w:val="002F65F0"/>
    <w:rsid w:val="002F665C"/>
    <w:rsid w:val="002F667C"/>
    <w:rsid w:val="002F67A9"/>
    <w:rsid w:val="002F68E3"/>
    <w:rsid w:val="002F6942"/>
    <w:rsid w:val="002F69B1"/>
    <w:rsid w:val="002F69BE"/>
    <w:rsid w:val="002F6AF8"/>
    <w:rsid w:val="002F6BB5"/>
    <w:rsid w:val="002F6C1E"/>
    <w:rsid w:val="002F6D24"/>
    <w:rsid w:val="002F6E26"/>
    <w:rsid w:val="002F6E2C"/>
    <w:rsid w:val="002F6F69"/>
    <w:rsid w:val="002F6FC1"/>
    <w:rsid w:val="002F6FC3"/>
    <w:rsid w:val="002F6FF3"/>
    <w:rsid w:val="002F6FF5"/>
    <w:rsid w:val="002F7130"/>
    <w:rsid w:val="002F7195"/>
    <w:rsid w:val="002F7231"/>
    <w:rsid w:val="002F73CF"/>
    <w:rsid w:val="002F74AA"/>
    <w:rsid w:val="002F74BE"/>
    <w:rsid w:val="002F75A6"/>
    <w:rsid w:val="002F764D"/>
    <w:rsid w:val="002F7679"/>
    <w:rsid w:val="002F768E"/>
    <w:rsid w:val="002F774C"/>
    <w:rsid w:val="002F77F1"/>
    <w:rsid w:val="002F79BF"/>
    <w:rsid w:val="002F7AB1"/>
    <w:rsid w:val="002F7B76"/>
    <w:rsid w:val="002F7BCD"/>
    <w:rsid w:val="002F7DBD"/>
    <w:rsid w:val="002F7E5A"/>
    <w:rsid w:val="002F7F19"/>
    <w:rsid w:val="002F7F87"/>
    <w:rsid w:val="00300092"/>
    <w:rsid w:val="00300104"/>
    <w:rsid w:val="0030011F"/>
    <w:rsid w:val="0030014C"/>
    <w:rsid w:val="0030022E"/>
    <w:rsid w:val="00300528"/>
    <w:rsid w:val="00300736"/>
    <w:rsid w:val="0030085C"/>
    <w:rsid w:val="003008E8"/>
    <w:rsid w:val="00300A58"/>
    <w:rsid w:val="00300AA4"/>
    <w:rsid w:val="00300B5F"/>
    <w:rsid w:val="00300B6F"/>
    <w:rsid w:val="00300E15"/>
    <w:rsid w:val="00300E9A"/>
    <w:rsid w:val="0030106D"/>
    <w:rsid w:val="0030115E"/>
    <w:rsid w:val="00301169"/>
    <w:rsid w:val="00301187"/>
    <w:rsid w:val="003011AB"/>
    <w:rsid w:val="00301306"/>
    <w:rsid w:val="0030130E"/>
    <w:rsid w:val="00301327"/>
    <w:rsid w:val="003013B0"/>
    <w:rsid w:val="00301481"/>
    <w:rsid w:val="0030171D"/>
    <w:rsid w:val="00301777"/>
    <w:rsid w:val="00301AA2"/>
    <w:rsid w:val="00301ED4"/>
    <w:rsid w:val="00301EF7"/>
    <w:rsid w:val="00301F3C"/>
    <w:rsid w:val="00302090"/>
    <w:rsid w:val="003024F1"/>
    <w:rsid w:val="00302556"/>
    <w:rsid w:val="003026B4"/>
    <w:rsid w:val="003026F3"/>
    <w:rsid w:val="0030275C"/>
    <w:rsid w:val="003027EF"/>
    <w:rsid w:val="00302822"/>
    <w:rsid w:val="0030282E"/>
    <w:rsid w:val="00302987"/>
    <w:rsid w:val="003029A9"/>
    <w:rsid w:val="00302BF7"/>
    <w:rsid w:val="00302C4A"/>
    <w:rsid w:val="00302CD2"/>
    <w:rsid w:val="00302D9E"/>
    <w:rsid w:val="00302E34"/>
    <w:rsid w:val="00302EE2"/>
    <w:rsid w:val="00302EE8"/>
    <w:rsid w:val="00303032"/>
    <w:rsid w:val="00303141"/>
    <w:rsid w:val="003031AD"/>
    <w:rsid w:val="00303212"/>
    <w:rsid w:val="0030364E"/>
    <w:rsid w:val="003036CC"/>
    <w:rsid w:val="003036D7"/>
    <w:rsid w:val="0030386A"/>
    <w:rsid w:val="00303ADC"/>
    <w:rsid w:val="00303CC6"/>
    <w:rsid w:val="00303CDA"/>
    <w:rsid w:val="00303CDC"/>
    <w:rsid w:val="00303CF5"/>
    <w:rsid w:val="00303D31"/>
    <w:rsid w:val="00303E64"/>
    <w:rsid w:val="00303E83"/>
    <w:rsid w:val="00303EB1"/>
    <w:rsid w:val="00303F89"/>
    <w:rsid w:val="003040DC"/>
    <w:rsid w:val="00304173"/>
    <w:rsid w:val="003041B7"/>
    <w:rsid w:val="00304280"/>
    <w:rsid w:val="003042A6"/>
    <w:rsid w:val="0030435D"/>
    <w:rsid w:val="003043CB"/>
    <w:rsid w:val="003044F3"/>
    <w:rsid w:val="00304636"/>
    <w:rsid w:val="00304757"/>
    <w:rsid w:val="0030482F"/>
    <w:rsid w:val="003048E6"/>
    <w:rsid w:val="0030493C"/>
    <w:rsid w:val="00304941"/>
    <w:rsid w:val="00304A18"/>
    <w:rsid w:val="00304CD6"/>
    <w:rsid w:val="00304D0E"/>
    <w:rsid w:val="00304D43"/>
    <w:rsid w:val="00304D78"/>
    <w:rsid w:val="003050FF"/>
    <w:rsid w:val="00305178"/>
    <w:rsid w:val="00305299"/>
    <w:rsid w:val="0030533A"/>
    <w:rsid w:val="00305383"/>
    <w:rsid w:val="003053D6"/>
    <w:rsid w:val="00305412"/>
    <w:rsid w:val="00305414"/>
    <w:rsid w:val="003054DF"/>
    <w:rsid w:val="0030583B"/>
    <w:rsid w:val="00305938"/>
    <w:rsid w:val="003059DB"/>
    <w:rsid w:val="00305DE4"/>
    <w:rsid w:val="00305F55"/>
    <w:rsid w:val="003060BE"/>
    <w:rsid w:val="003061B4"/>
    <w:rsid w:val="003061E1"/>
    <w:rsid w:val="003061FC"/>
    <w:rsid w:val="0030620D"/>
    <w:rsid w:val="003063D2"/>
    <w:rsid w:val="00306408"/>
    <w:rsid w:val="00306748"/>
    <w:rsid w:val="003067EA"/>
    <w:rsid w:val="00306853"/>
    <w:rsid w:val="003068A0"/>
    <w:rsid w:val="00306966"/>
    <w:rsid w:val="00306996"/>
    <w:rsid w:val="00306A7C"/>
    <w:rsid w:val="00306AFE"/>
    <w:rsid w:val="00306B56"/>
    <w:rsid w:val="00306C2A"/>
    <w:rsid w:val="00306E56"/>
    <w:rsid w:val="003070BE"/>
    <w:rsid w:val="003070C3"/>
    <w:rsid w:val="00307303"/>
    <w:rsid w:val="00307354"/>
    <w:rsid w:val="00307494"/>
    <w:rsid w:val="0030753D"/>
    <w:rsid w:val="003075E3"/>
    <w:rsid w:val="0030766D"/>
    <w:rsid w:val="003076AB"/>
    <w:rsid w:val="00307725"/>
    <w:rsid w:val="00307758"/>
    <w:rsid w:val="003077A8"/>
    <w:rsid w:val="003077D8"/>
    <w:rsid w:val="00307AF9"/>
    <w:rsid w:val="00307B5E"/>
    <w:rsid w:val="00307D6A"/>
    <w:rsid w:val="00307DB8"/>
    <w:rsid w:val="00307F96"/>
    <w:rsid w:val="00307F9F"/>
    <w:rsid w:val="00310028"/>
    <w:rsid w:val="00310096"/>
    <w:rsid w:val="0031011E"/>
    <w:rsid w:val="00310310"/>
    <w:rsid w:val="003103C6"/>
    <w:rsid w:val="00310441"/>
    <w:rsid w:val="0031048F"/>
    <w:rsid w:val="00310581"/>
    <w:rsid w:val="0031058C"/>
    <w:rsid w:val="003105B3"/>
    <w:rsid w:val="00310602"/>
    <w:rsid w:val="0031061C"/>
    <w:rsid w:val="0031074E"/>
    <w:rsid w:val="003109F4"/>
    <w:rsid w:val="00310A1C"/>
    <w:rsid w:val="00310B07"/>
    <w:rsid w:val="00310BC7"/>
    <w:rsid w:val="00310CD4"/>
    <w:rsid w:val="00310D87"/>
    <w:rsid w:val="00310F12"/>
    <w:rsid w:val="00311090"/>
    <w:rsid w:val="003110E9"/>
    <w:rsid w:val="003110EB"/>
    <w:rsid w:val="003113DB"/>
    <w:rsid w:val="00311570"/>
    <w:rsid w:val="003115A8"/>
    <w:rsid w:val="00311604"/>
    <w:rsid w:val="003116A7"/>
    <w:rsid w:val="003116BE"/>
    <w:rsid w:val="003117CB"/>
    <w:rsid w:val="00311F23"/>
    <w:rsid w:val="00312013"/>
    <w:rsid w:val="00312130"/>
    <w:rsid w:val="00312197"/>
    <w:rsid w:val="003121E0"/>
    <w:rsid w:val="003121F3"/>
    <w:rsid w:val="00312219"/>
    <w:rsid w:val="003122AC"/>
    <w:rsid w:val="00312346"/>
    <w:rsid w:val="00312351"/>
    <w:rsid w:val="00312492"/>
    <w:rsid w:val="003124F9"/>
    <w:rsid w:val="00312518"/>
    <w:rsid w:val="00312528"/>
    <w:rsid w:val="003126F8"/>
    <w:rsid w:val="003127A3"/>
    <w:rsid w:val="003127B3"/>
    <w:rsid w:val="003128B1"/>
    <w:rsid w:val="0031299E"/>
    <w:rsid w:val="003129B3"/>
    <w:rsid w:val="003129EF"/>
    <w:rsid w:val="00312CA9"/>
    <w:rsid w:val="00312D39"/>
    <w:rsid w:val="00312E9F"/>
    <w:rsid w:val="00312F5E"/>
    <w:rsid w:val="0031306E"/>
    <w:rsid w:val="003131AE"/>
    <w:rsid w:val="0031329B"/>
    <w:rsid w:val="0031366E"/>
    <w:rsid w:val="0031378C"/>
    <w:rsid w:val="003137C7"/>
    <w:rsid w:val="0031381D"/>
    <w:rsid w:val="00313829"/>
    <w:rsid w:val="003138F1"/>
    <w:rsid w:val="00313B67"/>
    <w:rsid w:val="00313C17"/>
    <w:rsid w:val="00313C62"/>
    <w:rsid w:val="00313C66"/>
    <w:rsid w:val="00314075"/>
    <w:rsid w:val="00314127"/>
    <w:rsid w:val="0031412E"/>
    <w:rsid w:val="003142C8"/>
    <w:rsid w:val="003142F3"/>
    <w:rsid w:val="003144B5"/>
    <w:rsid w:val="003146B6"/>
    <w:rsid w:val="003147CE"/>
    <w:rsid w:val="003148DD"/>
    <w:rsid w:val="003148E1"/>
    <w:rsid w:val="00314B09"/>
    <w:rsid w:val="00314B45"/>
    <w:rsid w:val="00314CB3"/>
    <w:rsid w:val="00314D6E"/>
    <w:rsid w:val="00314DA0"/>
    <w:rsid w:val="00314DB6"/>
    <w:rsid w:val="00314E1A"/>
    <w:rsid w:val="00314F18"/>
    <w:rsid w:val="00314F6D"/>
    <w:rsid w:val="0031508F"/>
    <w:rsid w:val="0031514B"/>
    <w:rsid w:val="003152FA"/>
    <w:rsid w:val="003153C0"/>
    <w:rsid w:val="003153C8"/>
    <w:rsid w:val="003153CE"/>
    <w:rsid w:val="003153D5"/>
    <w:rsid w:val="00315408"/>
    <w:rsid w:val="00315573"/>
    <w:rsid w:val="003155A9"/>
    <w:rsid w:val="003158F4"/>
    <w:rsid w:val="00315DE8"/>
    <w:rsid w:val="00315EA4"/>
    <w:rsid w:val="00315FE9"/>
    <w:rsid w:val="0031607E"/>
    <w:rsid w:val="003160E8"/>
    <w:rsid w:val="0031619B"/>
    <w:rsid w:val="003161AB"/>
    <w:rsid w:val="00316314"/>
    <w:rsid w:val="00316436"/>
    <w:rsid w:val="00316452"/>
    <w:rsid w:val="003165A7"/>
    <w:rsid w:val="003165B7"/>
    <w:rsid w:val="00316628"/>
    <w:rsid w:val="00316669"/>
    <w:rsid w:val="003166E2"/>
    <w:rsid w:val="0031671C"/>
    <w:rsid w:val="003167D6"/>
    <w:rsid w:val="00316875"/>
    <w:rsid w:val="00316A2C"/>
    <w:rsid w:val="00316A4C"/>
    <w:rsid w:val="00316A6F"/>
    <w:rsid w:val="00316A7C"/>
    <w:rsid w:val="00316B1E"/>
    <w:rsid w:val="00316D5E"/>
    <w:rsid w:val="00316ED7"/>
    <w:rsid w:val="00316F76"/>
    <w:rsid w:val="0031715A"/>
    <w:rsid w:val="003171C6"/>
    <w:rsid w:val="003171F8"/>
    <w:rsid w:val="00317360"/>
    <w:rsid w:val="003173DE"/>
    <w:rsid w:val="0031759D"/>
    <w:rsid w:val="003175C4"/>
    <w:rsid w:val="00317784"/>
    <w:rsid w:val="00317832"/>
    <w:rsid w:val="003179E3"/>
    <w:rsid w:val="00317A1E"/>
    <w:rsid w:val="00317A26"/>
    <w:rsid w:val="00317A79"/>
    <w:rsid w:val="00317AD7"/>
    <w:rsid w:val="00317B72"/>
    <w:rsid w:val="00317BC9"/>
    <w:rsid w:val="00317CB2"/>
    <w:rsid w:val="00317EA1"/>
    <w:rsid w:val="00317F46"/>
    <w:rsid w:val="00317F88"/>
    <w:rsid w:val="00320013"/>
    <w:rsid w:val="00320205"/>
    <w:rsid w:val="0032046D"/>
    <w:rsid w:val="003204AE"/>
    <w:rsid w:val="00320521"/>
    <w:rsid w:val="003205DD"/>
    <w:rsid w:val="003205E2"/>
    <w:rsid w:val="00320662"/>
    <w:rsid w:val="003206E9"/>
    <w:rsid w:val="00320817"/>
    <w:rsid w:val="00320959"/>
    <w:rsid w:val="00320979"/>
    <w:rsid w:val="00320A1D"/>
    <w:rsid w:val="00320A5E"/>
    <w:rsid w:val="00320AAF"/>
    <w:rsid w:val="00320BEB"/>
    <w:rsid w:val="00320C4E"/>
    <w:rsid w:val="00320DFE"/>
    <w:rsid w:val="00321008"/>
    <w:rsid w:val="003210A1"/>
    <w:rsid w:val="00321399"/>
    <w:rsid w:val="003213D0"/>
    <w:rsid w:val="00321464"/>
    <w:rsid w:val="003215BC"/>
    <w:rsid w:val="003216DB"/>
    <w:rsid w:val="003219A2"/>
    <w:rsid w:val="00321AA3"/>
    <w:rsid w:val="00321AE7"/>
    <w:rsid w:val="00321B3C"/>
    <w:rsid w:val="00321C19"/>
    <w:rsid w:val="00321E1A"/>
    <w:rsid w:val="00321E24"/>
    <w:rsid w:val="00321E62"/>
    <w:rsid w:val="00321ED2"/>
    <w:rsid w:val="00321F70"/>
    <w:rsid w:val="00322001"/>
    <w:rsid w:val="003220EC"/>
    <w:rsid w:val="003221AB"/>
    <w:rsid w:val="003222B7"/>
    <w:rsid w:val="003222FB"/>
    <w:rsid w:val="0032240F"/>
    <w:rsid w:val="00322488"/>
    <w:rsid w:val="003224DC"/>
    <w:rsid w:val="003224EC"/>
    <w:rsid w:val="00322649"/>
    <w:rsid w:val="00322689"/>
    <w:rsid w:val="003227CB"/>
    <w:rsid w:val="0032284C"/>
    <w:rsid w:val="00322888"/>
    <w:rsid w:val="0032296B"/>
    <w:rsid w:val="003229A4"/>
    <w:rsid w:val="003229C9"/>
    <w:rsid w:val="00322A40"/>
    <w:rsid w:val="00322A81"/>
    <w:rsid w:val="00322BDC"/>
    <w:rsid w:val="00322BED"/>
    <w:rsid w:val="00322CE7"/>
    <w:rsid w:val="00322E92"/>
    <w:rsid w:val="00322F49"/>
    <w:rsid w:val="00323025"/>
    <w:rsid w:val="0032306B"/>
    <w:rsid w:val="00323114"/>
    <w:rsid w:val="003231F1"/>
    <w:rsid w:val="003234D5"/>
    <w:rsid w:val="0032366A"/>
    <w:rsid w:val="003236C1"/>
    <w:rsid w:val="00323709"/>
    <w:rsid w:val="00323751"/>
    <w:rsid w:val="00323820"/>
    <w:rsid w:val="00323B5C"/>
    <w:rsid w:val="00323B70"/>
    <w:rsid w:val="00323BB2"/>
    <w:rsid w:val="00324003"/>
    <w:rsid w:val="00324062"/>
    <w:rsid w:val="00324103"/>
    <w:rsid w:val="00324239"/>
    <w:rsid w:val="0032429D"/>
    <w:rsid w:val="0032434B"/>
    <w:rsid w:val="00324473"/>
    <w:rsid w:val="003244C1"/>
    <w:rsid w:val="00324562"/>
    <w:rsid w:val="003246FB"/>
    <w:rsid w:val="0032473D"/>
    <w:rsid w:val="0032488B"/>
    <w:rsid w:val="003249E2"/>
    <w:rsid w:val="00324A13"/>
    <w:rsid w:val="003252F0"/>
    <w:rsid w:val="003253BD"/>
    <w:rsid w:val="003253C2"/>
    <w:rsid w:val="0032542E"/>
    <w:rsid w:val="0032543B"/>
    <w:rsid w:val="00325465"/>
    <w:rsid w:val="0032553F"/>
    <w:rsid w:val="003255EC"/>
    <w:rsid w:val="003256EF"/>
    <w:rsid w:val="00325781"/>
    <w:rsid w:val="0032581D"/>
    <w:rsid w:val="003258C5"/>
    <w:rsid w:val="00325982"/>
    <w:rsid w:val="00325B13"/>
    <w:rsid w:val="00325B6A"/>
    <w:rsid w:val="00325BCF"/>
    <w:rsid w:val="00325C79"/>
    <w:rsid w:val="00325DA9"/>
    <w:rsid w:val="00325ED0"/>
    <w:rsid w:val="00325ED3"/>
    <w:rsid w:val="00325F00"/>
    <w:rsid w:val="00326117"/>
    <w:rsid w:val="00326172"/>
    <w:rsid w:val="0032619C"/>
    <w:rsid w:val="00326229"/>
    <w:rsid w:val="003262E9"/>
    <w:rsid w:val="00326353"/>
    <w:rsid w:val="0032639C"/>
    <w:rsid w:val="00326476"/>
    <w:rsid w:val="0032669E"/>
    <w:rsid w:val="003266BD"/>
    <w:rsid w:val="00326706"/>
    <w:rsid w:val="003268A0"/>
    <w:rsid w:val="00326919"/>
    <w:rsid w:val="0032695A"/>
    <w:rsid w:val="0032695D"/>
    <w:rsid w:val="003269B5"/>
    <w:rsid w:val="00326B7C"/>
    <w:rsid w:val="00326DA1"/>
    <w:rsid w:val="00327016"/>
    <w:rsid w:val="0032703D"/>
    <w:rsid w:val="003270B5"/>
    <w:rsid w:val="0032715A"/>
    <w:rsid w:val="003271BF"/>
    <w:rsid w:val="003272AE"/>
    <w:rsid w:val="003273EF"/>
    <w:rsid w:val="00327684"/>
    <w:rsid w:val="003276DB"/>
    <w:rsid w:val="00327701"/>
    <w:rsid w:val="003277DA"/>
    <w:rsid w:val="00327803"/>
    <w:rsid w:val="00327949"/>
    <w:rsid w:val="003279A6"/>
    <w:rsid w:val="00327BBA"/>
    <w:rsid w:val="00327C55"/>
    <w:rsid w:val="00327D94"/>
    <w:rsid w:val="00327D9D"/>
    <w:rsid w:val="00327DD5"/>
    <w:rsid w:val="0033022E"/>
    <w:rsid w:val="0033025C"/>
    <w:rsid w:val="003303BC"/>
    <w:rsid w:val="003304B2"/>
    <w:rsid w:val="00330514"/>
    <w:rsid w:val="0033051A"/>
    <w:rsid w:val="003305D1"/>
    <w:rsid w:val="00330972"/>
    <w:rsid w:val="00330AF5"/>
    <w:rsid w:val="00330B6F"/>
    <w:rsid w:val="00330C4B"/>
    <w:rsid w:val="00330C9C"/>
    <w:rsid w:val="00330D83"/>
    <w:rsid w:val="0033104F"/>
    <w:rsid w:val="0033116A"/>
    <w:rsid w:val="003311AE"/>
    <w:rsid w:val="00331273"/>
    <w:rsid w:val="00331291"/>
    <w:rsid w:val="00331649"/>
    <w:rsid w:val="00331885"/>
    <w:rsid w:val="003318A5"/>
    <w:rsid w:val="003318B7"/>
    <w:rsid w:val="003318BE"/>
    <w:rsid w:val="00331B33"/>
    <w:rsid w:val="00331D56"/>
    <w:rsid w:val="00331D82"/>
    <w:rsid w:val="00331F6E"/>
    <w:rsid w:val="00331FDF"/>
    <w:rsid w:val="003320FE"/>
    <w:rsid w:val="0033215E"/>
    <w:rsid w:val="00332185"/>
    <w:rsid w:val="00332386"/>
    <w:rsid w:val="003324C4"/>
    <w:rsid w:val="0033253A"/>
    <w:rsid w:val="00332751"/>
    <w:rsid w:val="00332774"/>
    <w:rsid w:val="003328F6"/>
    <w:rsid w:val="00332A3D"/>
    <w:rsid w:val="00332A97"/>
    <w:rsid w:val="00332AAB"/>
    <w:rsid w:val="00332BA2"/>
    <w:rsid w:val="00332CE2"/>
    <w:rsid w:val="00332D58"/>
    <w:rsid w:val="00332DDD"/>
    <w:rsid w:val="00332FD1"/>
    <w:rsid w:val="003331C1"/>
    <w:rsid w:val="003331C2"/>
    <w:rsid w:val="003332AF"/>
    <w:rsid w:val="003332C9"/>
    <w:rsid w:val="003333CB"/>
    <w:rsid w:val="00333552"/>
    <w:rsid w:val="003337CD"/>
    <w:rsid w:val="0033391D"/>
    <w:rsid w:val="0033396B"/>
    <w:rsid w:val="00333BB7"/>
    <w:rsid w:val="00333C3D"/>
    <w:rsid w:val="00333E79"/>
    <w:rsid w:val="00333E7C"/>
    <w:rsid w:val="00333EF1"/>
    <w:rsid w:val="00333FAD"/>
    <w:rsid w:val="0033400A"/>
    <w:rsid w:val="00334093"/>
    <w:rsid w:val="0033411C"/>
    <w:rsid w:val="00334198"/>
    <w:rsid w:val="0033432E"/>
    <w:rsid w:val="0033441A"/>
    <w:rsid w:val="0033447A"/>
    <w:rsid w:val="00334488"/>
    <w:rsid w:val="00334A96"/>
    <w:rsid w:val="00334D0C"/>
    <w:rsid w:val="00334E29"/>
    <w:rsid w:val="00334E52"/>
    <w:rsid w:val="00334FC9"/>
    <w:rsid w:val="00335010"/>
    <w:rsid w:val="0033501C"/>
    <w:rsid w:val="00335093"/>
    <w:rsid w:val="003350DF"/>
    <w:rsid w:val="00335119"/>
    <w:rsid w:val="00335185"/>
    <w:rsid w:val="0033526F"/>
    <w:rsid w:val="00335376"/>
    <w:rsid w:val="00335494"/>
    <w:rsid w:val="00335513"/>
    <w:rsid w:val="003357BD"/>
    <w:rsid w:val="0033598C"/>
    <w:rsid w:val="00335A53"/>
    <w:rsid w:val="00335AF9"/>
    <w:rsid w:val="00335B80"/>
    <w:rsid w:val="00335C94"/>
    <w:rsid w:val="00335CBE"/>
    <w:rsid w:val="00335CF1"/>
    <w:rsid w:val="00335E69"/>
    <w:rsid w:val="00335E87"/>
    <w:rsid w:val="00335FAE"/>
    <w:rsid w:val="00336022"/>
    <w:rsid w:val="00336070"/>
    <w:rsid w:val="00336080"/>
    <w:rsid w:val="003360CA"/>
    <w:rsid w:val="0033643A"/>
    <w:rsid w:val="003364B9"/>
    <w:rsid w:val="00336830"/>
    <w:rsid w:val="00336881"/>
    <w:rsid w:val="003368AD"/>
    <w:rsid w:val="00336A9F"/>
    <w:rsid w:val="00336AB0"/>
    <w:rsid w:val="00336CBD"/>
    <w:rsid w:val="00336E0C"/>
    <w:rsid w:val="00336EB3"/>
    <w:rsid w:val="00337162"/>
    <w:rsid w:val="0033719C"/>
    <w:rsid w:val="003371DD"/>
    <w:rsid w:val="00337226"/>
    <w:rsid w:val="00337295"/>
    <w:rsid w:val="003372D3"/>
    <w:rsid w:val="0033733F"/>
    <w:rsid w:val="00337498"/>
    <w:rsid w:val="003374C4"/>
    <w:rsid w:val="00337518"/>
    <w:rsid w:val="0033763C"/>
    <w:rsid w:val="003379CB"/>
    <w:rsid w:val="003379D3"/>
    <w:rsid w:val="00337A90"/>
    <w:rsid w:val="00337CDD"/>
    <w:rsid w:val="00337EC8"/>
    <w:rsid w:val="00337EEF"/>
    <w:rsid w:val="00337EF7"/>
    <w:rsid w:val="0034003C"/>
    <w:rsid w:val="0034004F"/>
    <w:rsid w:val="00340143"/>
    <w:rsid w:val="00340203"/>
    <w:rsid w:val="00340571"/>
    <w:rsid w:val="0034069F"/>
    <w:rsid w:val="003407A3"/>
    <w:rsid w:val="003408CF"/>
    <w:rsid w:val="00340928"/>
    <w:rsid w:val="0034097A"/>
    <w:rsid w:val="003409C2"/>
    <w:rsid w:val="00340A0E"/>
    <w:rsid w:val="00340A5A"/>
    <w:rsid w:val="00340BF7"/>
    <w:rsid w:val="00340C57"/>
    <w:rsid w:val="00340CAF"/>
    <w:rsid w:val="00340D83"/>
    <w:rsid w:val="00340FF8"/>
    <w:rsid w:val="00341062"/>
    <w:rsid w:val="00341130"/>
    <w:rsid w:val="00341336"/>
    <w:rsid w:val="00341400"/>
    <w:rsid w:val="0034140B"/>
    <w:rsid w:val="003416A9"/>
    <w:rsid w:val="003416D5"/>
    <w:rsid w:val="00341712"/>
    <w:rsid w:val="0034187B"/>
    <w:rsid w:val="00341916"/>
    <w:rsid w:val="00341AA5"/>
    <w:rsid w:val="00341B14"/>
    <w:rsid w:val="00341B67"/>
    <w:rsid w:val="00341C5F"/>
    <w:rsid w:val="00341CC0"/>
    <w:rsid w:val="00341FB4"/>
    <w:rsid w:val="00342019"/>
    <w:rsid w:val="00342057"/>
    <w:rsid w:val="00342164"/>
    <w:rsid w:val="003421DD"/>
    <w:rsid w:val="00342427"/>
    <w:rsid w:val="00342463"/>
    <w:rsid w:val="0034258B"/>
    <w:rsid w:val="003426A5"/>
    <w:rsid w:val="003426D6"/>
    <w:rsid w:val="0034272D"/>
    <w:rsid w:val="00342810"/>
    <w:rsid w:val="0034298C"/>
    <w:rsid w:val="00342B2F"/>
    <w:rsid w:val="00342BD9"/>
    <w:rsid w:val="00342BEC"/>
    <w:rsid w:val="00342DE0"/>
    <w:rsid w:val="0034306B"/>
    <w:rsid w:val="003430B2"/>
    <w:rsid w:val="0034318B"/>
    <w:rsid w:val="003431AC"/>
    <w:rsid w:val="003432CC"/>
    <w:rsid w:val="0034331F"/>
    <w:rsid w:val="003433FD"/>
    <w:rsid w:val="0034345E"/>
    <w:rsid w:val="00343472"/>
    <w:rsid w:val="00343479"/>
    <w:rsid w:val="0034350E"/>
    <w:rsid w:val="00343880"/>
    <w:rsid w:val="003438DA"/>
    <w:rsid w:val="0034390E"/>
    <w:rsid w:val="003439F5"/>
    <w:rsid w:val="00343A34"/>
    <w:rsid w:val="00343B92"/>
    <w:rsid w:val="00343C9D"/>
    <w:rsid w:val="00343D0B"/>
    <w:rsid w:val="00343F21"/>
    <w:rsid w:val="00343F9B"/>
    <w:rsid w:val="00343FC7"/>
    <w:rsid w:val="003440EA"/>
    <w:rsid w:val="00344130"/>
    <w:rsid w:val="0034414F"/>
    <w:rsid w:val="0034426E"/>
    <w:rsid w:val="003442B8"/>
    <w:rsid w:val="00344451"/>
    <w:rsid w:val="00344472"/>
    <w:rsid w:val="003444F6"/>
    <w:rsid w:val="0034458A"/>
    <w:rsid w:val="003445BB"/>
    <w:rsid w:val="00344741"/>
    <w:rsid w:val="00344789"/>
    <w:rsid w:val="003449F7"/>
    <w:rsid w:val="00344D04"/>
    <w:rsid w:val="00344D78"/>
    <w:rsid w:val="00344E63"/>
    <w:rsid w:val="00344EFE"/>
    <w:rsid w:val="0034508D"/>
    <w:rsid w:val="003450E7"/>
    <w:rsid w:val="003451C4"/>
    <w:rsid w:val="00345342"/>
    <w:rsid w:val="003453BE"/>
    <w:rsid w:val="00345410"/>
    <w:rsid w:val="003454A1"/>
    <w:rsid w:val="0034560A"/>
    <w:rsid w:val="003456C2"/>
    <w:rsid w:val="003458B6"/>
    <w:rsid w:val="0034594B"/>
    <w:rsid w:val="00345B5E"/>
    <w:rsid w:val="00345BB1"/>
    <w:rsid w:val="00345BB9"/>
    <w:rsid w:val="00345D0E"/>
    <w:rsid w:val="00345D2D"/>
    <w:rsid w:val="00346034"/>
    <w:rsid w:val="003461E5"/>
    <w:rsid w:val="00346346"/>
    <w:rsid w:val="003463FB"/>
    <w:rsid w:val="00346439"/>
    <w:rsid w:val="00346470"/>
    <w:rsid w:val="003464BF"/>
    <w:rsid w:val="00346619"/>
    <w:rsid w:val="003466D6"/>
    <w:rsid w:val="003468ED"/>
    <w:rsid w:val="0034698D"/>
    <w:rsid w:val="00346A17"/>
    <w:rsid w:val="00346B86"/>
    <w:rsid w:val="00346C1F"/>
    <w:rsid w:val="00346C2D"/>
    <w:rsid w:val="00346E3C"/>
    <w:rsid w:val="00346F33"/>
    <w:rsid w:val="00347037"/>
    <w:rsid w:val="003470F0"/>
    <w:rsid w:val="00347346"/>
    <w:rsid w:val="003473BD"/>
    <w:rsid w:val="003474B8"/>
    <w:rsid w:val="0034766C"/>
    <w:rsid w:val="003476C3"/>
    <w:rsid w:val="0034776F"/>
    <w:rsid w:val="003477C0"/>
    <w:rsid w:val="00347B9F"/>
    <w:rsid w:val="00347D67"/>
    <w:rsid w:val="0035012B"/>
    <w:rsid w:val="0035014B"/>
    <w:rsid w:val="00350259"/>
    <w:rsid w:val="003503A3"/>
    <w:rsid w:val="003503F9"/>
    <w:rsid w:val="003506C3"/>
    <w:rsid w:val="003507C7"/>
    <w:rsid w:val="0035084F"/>
    <w:rsid w:val="003508EC"/>
    <w:rsid w:val="00350993"/>
    <w:rsid w:val="003509C5"/>
    <w:rsid w:val="00350A64"/>
    <w:rsid w:val="00350A88"/>
    <w:rsid w:val="00350BF0"/>
    <w:rsid w:val="00350E43"/>
    <w:rsid w:val="00350EC4"/>
    <w:rsid w:val="0035104E"/>
    <w:rsid w:val="00351076"/>
    <w:rsid w:val="00351220"/>
    <w:rsid w:val="00351235"/>
    <w:rsid w:val="003512F2"/>
    <w:rsid w:val="00351399"/>
    <w:rsid w:val="003513AC"/>
    <w:rsid w:val="003514F7"/>
    <w:rsid w:val="0035151D"/>
    <w:rsid w:val="003516FC"/>
    <w:rsid w:val="00351725"/>
    <w:rsid w:val="0035174B"/>
    <w:rsid w:val="0035190B"/>
    <w:rsid w:val="00351A0B"/>
    <w:rsid w:val="00351C6C"/>
    <w:rsid w:val="00351C76"/>
    <w:rsid w:val="00351E60"/>
    <w:rsid w:val="00351FB0"/>
    <w:rsid w:val="003520D6"/>
    <w:rsid w:val="0035214F"/>
    <w:rsid w:val="003521D3"/>
    <w:rsid w:val="003525BE"/>
    <w:rsid w:val="003526BB"/>
    <w:rsid w:val="003527AE"/>
    <w:rsid w:val="003528E4"/>
    <w:rsid w:val="003529FE"/>
    <w:rsid w:val="00352A86"/>
    <w:rsid w:val="00352AE9"/>
    <w:rsid w:val="00352BAB"/>
    <w:rsid w:val="00352C87"/>
    <w:rsid w:val="00352DB7"/>
    <w:rsid w:val="00352DC7"/>
    <w:rsid w:val="00352F07"/>
    <w:rsid w:val="00352F27"/>
    <w:rsid w:val="00352F6A"/>
    <w:rsid w:val="00352F6D"/>
    <w:rsid w:val="00352F99"/>
    <w:rsid w:val="00352F9C"/>
    <w:rsid w:val="0035316E"/>
    <w:rsid w:val="003531FF"/>
    <w:rsid w:val="00353380"/>
    <w:rsid w:val="00353395"/>
    <w:rsid w:val="00353555"/>
    <w:rsid w:val="003535E7"/>
    <w:rsid w:val="00353806"/>
    <w:rsid w:val="00353A3F"/>
    <w:rsid w:val="00353CC7"/>
    <w:rsid w:val="00353D1D"/>
    <w:rsid w:val="003540AD"/>
    <w:rsid w:val="00354375"/>
    <w:rsid w:val="003543B7"/>
    <w:rsid w:val="00354621"/>
    <w:rsid w:val="00354859"/>
    <w:rsid w:val="003548A7"/>
    <w:rsid w:val="003548E3"/>
    <w:rsid w:val="00354A0B"/>
    <w:rsid w:val="00354C4F"/>
    <w:rsid w:val="00354C62"/>
    <w:rsid w:val="00354F17"/>
    <w:rsid w:val="003550E4"/>
    <w:rsid w:val="0035519F"/>
    <w:rsid w:val="0035529E"/>
    <w:rsid w:val="0035553D"/>
    <w:rsid w:val="00355595"/>
    <w:rsid w:val="0035573B"/>
    <w:rsid w:val="003557AD"/>
    <w:rsid w:val="003558CD"/>
    <w:rsid w:val="00355B44"/>
    <w:rsid w:val="00355BB1"/>
    <w:rsid w:val="00355D1F"/>
    <w:rsid w:val="00355DC2"/>
    <w:rsid w:val="00355E1B"/>
    <w:rsid w:val="00355E80"/>
    <w:rsid w:val="00355F40"/>
    <w:rsid w:val="003560B9"/>
    <w:rsid w:val="003561C8"/>
    <w:rsid w:val="00356282"/>
    <w:rsid w:val="0035644A"/>
    <w:rsid w:val="003564F0"/>
    <w:rsid w:val="00356548"/>
    <w:rsid w:val="00356552"/>
    <w:rsid w:val="00356565"/>
    <w:rsid w:val="003565B5"/>
    <w:rsid w:val="00356788"/>
    <w:rsid w:val="00356A78"/>
    <w:rsid w:val="00356BC2"/>
    <w:rsid w:val="00356D23"/>
    <w:rsid w:val="00356DBD"/>
    <w:rsid w:val="00356E77"/>
    <w:rsid w:val="00356FA7"/>
    <w:rsid w:val="00356FD4"/>
    <w:rsid w:val="00356FE4"/>
    <w:rsid w:val="0035706A"/>
    <w:rsid w:val="00357095"/>
    <w:rsid w:val="00357136"/>
    <w:rsid w:val="0035726F"/>
    <w:rsid w:val="003572CC"/>
    <w:rsid w:val="00357360"/>
    <w:rsid w:val="0035780D"/>
    <w:rsid w:val="00357915"/>
    <w:rsid w:val="00357926"/>
    <w:rsid w:val="00357AE5"/>
    <w:rsid w:val="00357EF0"/>
    <w:rsid w:val="00357FAB"/>
    <w:rsid w:val="003600B5"/>
    <w:rsid w:val="003600CD"/>
    <w:rsid w:val="003600DE"/>
    <w:rsid w:val="00360216"/>
    <w:rsid w:val="003602C7"/>
    <w:rsid w:val="00360384"/>
    <w:rsid w:val="003603CA"/>
    <w:rsid w:val="00360427"/>
    <w:rsid w:val="00360562"/>
    <w:rsid w:val="003605F2"/>
    <w:rsid w:val="00360800"/>
    <w:rsid w:val="00360AFB"/>
    <w:rsid w:val="00360C99"/>
    <w:rsid w:val="00360D5C"/>
    <w:rsid w:val="00360DAF"/>
    <w:rsid w:val="00360E1D"/>
    <w:rsid w:val="00360EA1"/>
    <w:rsid w:val="00360F81"/>
    <w:rsid w:val="00360FAF"/>
    <w:rsid w:val="00360FCD"/>
    <w:rsid w:val="00360FED"/>
    <w:rsid w:val="00361467"/>
    <w:rsid w:val="00361697"/>
    <w:rsid w:val="003616A4"/>
    <w:rsid w:val="0036176A"/>
    <w:rsid w:val="003617D7"/>
    <w:rsid w:val="00361845"/>
    <w:rsid w:val="003618D0"/>
    <w:rsid w:val="00361A80"/>
    <w:rsid w:val="00361C05"/>
    <w:rsid w:val="00361E42"/>
    <w:rsid w:val="00361F01"/>
    <w:rsid w:val="0036208B"/>
    <w:rsid w:val="003620D8"/>
    <w:rsid w:val="0036218F"/>
    <w:rsid w:val="003621C2"/>
    <w:rsid w:val="0036222F"/>
    <w:rsid w:val="0036262B"/>
    <w:rsid w:val="00362634"/>
    <w:rsid w:val="00362840"/>
    <w:rsid w:val="003628C2"/>
    <w:rsid w:val="00362955"/>
    <w:rsid w:val="003629DE"/>
    <w:rsid w:val="00362A33"/>
    <w:rsid w:val="00362A78"/>
    <w:rsid w:val="00362B5F"/>
    <w:rsid w:val="00362BC8"/>
    <w:rsid w:val="00362C1C"/>
    <w:rsid w:val="00362F74"/>
    <w:rsid w:val="00362F85"/>
    <w:rsid w:val="00363016"/>
    <w:rsid w:val="00363148"/>
    <w:rsid w:val="00363152"/>
    <w:rsid w:val="003633B6"/>
    <w:rsid w:val="0036343A"/>
    <w:rsid w:val="00363466"/>
    <w:rsid w:val="00363540"/>
    <w:rsid w:val="0036355C"/>
    <w:rsid w:val="0036366F"/>
    <w:rsid w:val="00363903"/>
    <w:rsid w:val="003639E3"/>
    <w:rsid w:val="00363A1B"/>
    <w:rsid w:val="00363A7A"/>
    <w:rsid w:val="00363AEF"/>
    <w:rsid w:val="00363E5E"/>
    <w:rsid w:val="00363F6D"/>
    <w:rsid w:val="00363FE4"/>
    <w:rsid w:val="003640E4"/>
    <w:rsid w:val="00364161"/>
    <w:rsid w:val="0036435A"/>
    <w:rsid w:val="0036444D"/>
    <w:rsid w:val="003644C8"/>
    <w:rsid w:val="00364629"/>
    <w:rsid w:val="003646E4"/>
    <w:rsid w:val="003647B5"/>
    <w:rsid w:val="003648FD"/>
    <w:rsid w:val="003649EF"/>
    <w:rsid w:val="00364A5B"/>
    <w:rsid w:val="00364B48"/>
    <w:rsid w:val="00364B5F"/>
    <w:rsid w:val="00364CB9"/>
    <w:rsid w:val="00364DE3"/>
    <w:rsid w:val="00364E0F"/>
    <w:rsid w:val="00364F40"/>
    <w:rsid w:val="00364F8A"/>
    <w:rsid w:val="00365024"/>
    <w:rsid w:val="0036502D"/>
    <w:rsid w:val="00365126"/>
    <w:rsid w:val="00365205"/>
    <w:rsid w:val="00365269"/>
    <w:rsid w:val="00365313"/>
    <w:rsid w:val="00365337"/>
    <w:rsid w:val="003656AB"/>
    <w:rsid w:val="003657AE"/>
    <w:rsid w:val="0036580B"/>
    <w:rsid w:val="00365A0D"/>
    <w:rsid w:val="00365A1E"/>
    <w:rsid w:val="00365B23"/>
    <w:rsid w:val="00365D1C"/>
    <w:rsid w:val="00365D81"/>
    <w:rsid w:val="003660DF"/>
    <w:rsid w:val="00366137"/>
    <w:rsid w:val="0036617A"/>
    <w:rsid w:val="003662FF"/>
    <w:rsid w:val="00366395"/>
    <w:rsid w:val="003663A4"/>
    <w:rsid w:val="003664CD"/>
    <w:rsid w:val="0036677D"/>
    <w:rsid w:val="0036679C"/>
    <w:rsid w:val="00366808"/>
    <w:rsid w:val="00366858"/>
    <w:rsid w:val="0036691A"/>
    <w:rsid w:val="00366A72"/>
    <w:rsid w:val="00366DA5"/>
    <w:rsid w:val="00366ED2"/>
    <w:rsid w:val="003670DC"/>
    <w:rsid w:val="00367357"/>
    <w:rsid w:val="00367361"/>
    <w:rsid w:val="00367456"/>
    <w:rsid w:val="003675A5"/>
    <w:rsid w:val="00367715"/>
    <w:rsid w:val="003677B5"/>
    <w:rsid w:val="00367837"/>
    <w:rsid w:val="00367942"/>
    <w:rsid w:val="00367A35"/>
    <w:rsid w:val="00367AC9"/>
    <w:rsid w:val="00367B43"/>
    <w:rsid w:val="00367BF5"/>
    <w:rsid w:val="00367C37"/>
    <w:rsid w:val="00367D14"/>
    <w:rsid w:val="00367F10"/>
    <w:rsid w:val="00367F53"/>
    <w:rsid w:val="00367F94"/>
    <w:rsid w:val="00370120"/>
    <w:rsid w:val="0037012D"/>
    <w:rsid w:val="0037015A"/>
    <w:rsid w:val="0037023B"/>
    <w:rsid w:val="0037026F"/>
    <w:rsid w:val="003702A7"/>
    <w:rsid w:val="003702D1"/>
    <w:rsid w:val="00370356"/>
    <w:rsid w:val="00370375"/>
    <w:rsid w:val="00370A58"/>
    <w:rsid w:val="00370B6E"/>
    <w:rsid w:val="00370CF6"/>
    <w:rsid w:val="00370DD6"/>
    <w:rsid w:val="00370E4C"/>
    <w:rsid w:val="003710CD"/>
    <w:rsid w:val="00371113"/>
    <w:rsid w:val="0037136A"/>
    <w:rsid w:val="003713B3"/>
    <w:rsid w:val="00371554"/>
    <w:rsid w:val="00371641"/>
    <w:rsid w:val="00371744"/>
    <w:rsid w:val="0037174E"/>
    <w:rsid w:val="0037192D"/>
    <w:rsid w:val="003719E6"/>
    <w:rsid w:val="00371AE9"/>
    <w:rsid w:val="00371DF7"/>
    <w:rsid w:val="00371E48"/>
    <w:rsid w:val="00371E8B"/>
    <w:rsid w:val="0037204E"/>
    <w:rsid w:val="00372157"/>
    <w:rsid w:val="0037221B"/>
    <w:rsid w:val="0037244B"/>
    <w:rsid w:val="0037289C"/>
    <w:rsid w:val="003728A1"/>
    <w:rsid w:val="00372AF4"/>
    <w:rsid w:val="00372EED"/>
    <w:rsid w:val="00372F11"/>
    <w:rsid w:val="003730B1"/>
    <w:rsid w:val="003731F5"/>
    <w:rsid w:val="0037325C"/>
    <w:rsid w:val="003732AC"/>
    <w:rsid w:val="00373437"/>
    <w:rsid w:val="00373525"/>
    <w:rsid w:val="00373577"/>
    <w:rsid w:val="003736EA"/>
    <w:rsid w:val="00373998"/>
    <w:rsid w:val="00373A34"/>
    <w:rsid w:val="00373B3D"/>
    <w:rsid w:val="00373C47"/>
    <w:rsid w:val="00373D6D"/>
    <w:rsid w:val="00373EDC"/>
    <w:rsid w:val="00373F03"/>
    <w:rsid w:val="00373F16"/>
    <w:rsid w:val="003741AD"/>
    <w:rsid w:val="00374549"/>
    <w:rsid w:val="00374575"/>
    <w:rsid w:val="00374642"/>
    <w:rsid w:val="00374792"/>
    <w:rsid w:val="003748AA"/>
    <w:rsid w:val="003748B7"/>
    <w:rsid w:val="00374919"/>
    <w:rsid w:val="00374A0E"/>
    <w:rsid w:val="00374ADA"/>
    <w:rsid w:val="00374B29"/>
    <w:rsid w:val="00374D61"/>
    <w:rsid w:val="00374DEB"/>
    <w:rsid w:val="00374E5E"/>
    <w:rsid w:val="00374F30"/>
    <w:rsid w:val="00374F92"/>
    <w:rsid w:val="00375000"/>
    <w:rsid w:val="0037516E"/>
    <w:rsid w:val="0037536F"/>
    <w:rsid w:val="00375387"/>
    <w:rsid w:val="00375424"/>
    <w:rsid w:val="003754DF"/>
    <w:rsid w:val="00375573"/>
    <w:rsid w:val="003755E8"/>
    <w:rsid w:val="00375CEA"/>
    <w:rsid w:val="00375D36"/>
    <w:rsid w:val="003762AA"/>
    <w:rsid w:val="00376740"/>
    <w:rsid w:val="003767A9"/>
    <w:rsid w:val="003767E7"/>
    <w:rsid w:val="00376AC7"/>
    <w:rsid w:val="00376B07"/>
    <w:rsid w:val="00376B24"/>
    <w:rsid w:val="00376B46"/>
    <w:rsid w:val="00376BC0"/>
    <w:rsid w:val="00376DB4"/>
    <w:rsid w:val="00376EEC"/>
    <w:rsid w:val="00376F08"/>
    <w:rsid w:val="00376F9F"/>
    <w:rsid w:val="00377046"/>
    <w:rsid w:val="00377298"/>
    <w:rsid w:val="003772CD"/>
    <w:rsid w:val="0037731F"/>
    <w:rsid w:val="00377355"/>
    <w:rsid w:val="00377366"/>
    <w:rsid w:val="00377582"/>
    <w:rsid w:val="003776C6"/>
    <w:rsid w:val="003776F6"/>
    <w:rsid w:val="00377720"/>
    <w:rsid w:val="00377771"/>
    <w:rsid w:val="0037777B"/>
    <w:rsid w:val="0037797E"/>
    <w:rsid w:val="00377A85"/>
    <w:rsid w:val="00377D2E"/>
    <w:rsid w:val="00377DC6"/>
    <w:rsid w:val="0038024D"/>
    <w:rsid w:val="0038030E"/>
    <w:rsid w:val="003807B9"/>
    <w:rsid w:val="0038087D"/>
    <w:rsid w:val="003808AB"/>
    <w:rsid w:val="0038098A"/>
    <w:rsid w:val="00380A6A"/>
    <w:rsid w:val="00380A9C"/>
    <w:rsid w:val="00380E04"/>
    <w:rsid w:val="00380E4B"/>
    <w:rsid w:val="00380F02"/>
    <w:rsid w:val="00380F44"/>
    <w:rsid w:val="00380FE5"/>
    <w:rsid w:val="00381019"/>
    <w:rsid w:val="0038104D"/>
    <w:rsid w:val="00381076"/>
    <w:rsid w:val="00381134"/>
    <w:rsid w:val="00381261"/>
    <w:rsid w:val="00381517"/>
    <w:rsid w:val="003815FD"/>
    <w:rsid w:val="0038168C"/>
    <w:rsid w:val="003816E0"/>
    <w:rsid w:val="0038176C"/>
    <w:rsid w:val="00381796"/>
    <w:rsid w:val="00381878"/>
    <w:rsid w:val="00381937"/>
    <w:rsid w:val="00381995"/>
    <w:rsid w:val="00381AB6"/>
    <w:rsid w:val="00381ADC"/>
    <w:rsid w:val="00381AE0"/>
    <w:rsid w:val="00381B08"/>
    <w:rsid w:val="00381B97"/>
    <w:rsid w:val="00381C06"/>
    <w:rsid w:val="00381D1F"/>
    <w:rsid w:val="00381E70"/>
    <w:rsid w:val="00381E8B"/>
    <w:rsid w:val="00381EB2"/>
    <w:rsid w:val="00381FC4"/>
    <w:rsid w:val="00382125"/>
    <w:rsid w:val="00382135"/>
    <w:rsid w:val="0038230E"/>
    <w:rsid w:val="003823A3"/>
    <w:rsid w:val="00382603"/>
    <w:rsid w:val="00382650"/>
    <w:rsid w:val="00382721"/>
    <w:rsid w:val="00382846"/>
    <w:rsid w:val="00382866"/>
    <w:rsid w:val="0038299F"/>
    <w:rsid w:val="003829E0"/>
    <w:rsid w:val="00382A20"/>
    <w:rsid w:val="00382BFC"/>
    <w:rsid w:val="00382C02"/>
    <w:rsid w:val="00382D77"/>
    <w:rsid w:val="00382DB0"/>
    <w:rsid w:val="00382FCF"/>
    <w:rsid w:val="003830E2"/>
    <w:rsid w:val="003830E4"/>
    <w:rsid w:val="00383125"/>
    <w:rsid w:val="0038313B"/>
    <w:rsid w:val="003831AC"/>
    <w:rsid w:val="0038323F"/>
    <w:rsid w:val="003834C2"/>
    <w:rsid w:val="0038367A"/>
    <w:rsid w:val="00383861"/>
    <w:rsid w:val="00383A44"/>
    <w:rsid w:val="00383CE9"/>
    <w:rsid w:val="00383D5D"/>
    <w:rsid w:val="0038426E"/>
    <w:rsid w:val="00384424"/>
    <w:rsid w:val="003844B6"/>
    <w:rsid w:val="003846AA"/>
    <w:rsid w:val="003846D7"/>
    <w:rsid w:val="003847CB"/>
    <w:rsid w:val="0038488A"/>
    <w:rsid w:val="00384A6F"/>
    <w:rsid w:val="00384CFE"/>
    <w:rsid w:val="00384D8C"/>
    <w:rsid w:val="00384E02"/>
    <w:rsid w:val="00384E2E"/>
    <w:rsid w:val="0038503E"/>
    <w:rsid w:val="00385056"/>
    <w:rsid w:val="00385206"/>
    <w:rsid w:val="0038525D"/>
    <w:rsid w:val="003852D7"/>
    <w:rsid w:val="0038539C"/>
    <w:rsid w:val="003853B0"/>
    <w:rsid w:val="003853C6"/>
    <w:rsid w:val="003855A3"/>
    <w:rsid w:val="003855A5"/>
    <w:rsid w:val="003855C5"/>
    <w:rsid w:val="00385650"/>
    <w:rsid w:val="003856CA"/>
    <w:rsid w:val="003857C0"/>
    <w:rsid w:val="0038585A"/>
    <w:rsid w:val="0038587F"/>
    <w:rsid w:val="003858A0"/>
    <w:rsid w:val="00385B8E"/>
    <w:rsid w:val="00385D00"/>
    <w:rsid w:val="00385E00"/>
    <w:rsid w:val="00385F11"/>
    <w:rsid w:val="00385F5A"/>
    <w:rsid w:val="00385FC7"/>
    <w:rsid w:val="00386074"/>
    <w:rsid w:val="003860BE"/>
    <w:rsid w:val="0038610A"/>
    <w:rsid w:val="0038615A"/>
    <w:rsid w:val="003861CA"/>
    <w:rsid w:val="003863D6"/>
    <w:rsid w:val="00386664"/>
    <w:rsid w:val="00386718"/>
    <w:rsid w:val="003869D9"/>
    <w:rsid w:val="00386CA1"/>
    <w:rsid w:val="00386D20"/>
    <w:rsid w:val="00386EB3"/>
    <w:rsid w:val="00387025"/>
    <w:rsid w:val="0038720E"/>
    <w:rsid w:val="0038738F"/>
    <w:rsid w:val="00387450"/>
    <w:rsid w:val="003874A1"/>
    <w:rsid w:val="003874CB"/>
    <w:rsid w:val="003874F5"/>
    <w:rsid w:val="00387526"/>
    <w:rsid w:val="0038765D"/>
    <w:rsid w:val="003876AD"/>
    <w:rsid w:val="003876BB"/>
    <w:rsid w:val="0038777B"/>
    <w:rsid w:val="00387A7E"/>
    <w:rsid w:val="00387AB8"/>
    <w:rsid w:val="00387AC0"/>
    <w:rsid w:val="00387B9C"/>
    <w:rsid w:val="00387C22"/>
    <w:rsid w:val="00387C87"/>
    <w:rsid w:val="00387D11"/>
    <w:rsid w:val="00387E4C"/>
    <w:rsid w:val="00387F59"/>
    <w:rsid w:val="0039000C"/>
    <w:rsid w:val="003900E0"/>
    <w:rsid w:val="00390362"/>
    <w:rsid w:val="0039051F"/>
    <w:rsid w:val="003906C0"/>
    <w:rsid w:val="00390716"/>
    <w:rsid w:val="003907A5"/>
    <w:rsid w:val="003907D3"/>
    <w:rsid w:val="00390910"/>
    <w:rsid w:val="003909C4"/>
    <w:rsid w:val="003909D2"/>
    <w:rsid w:val="00390B26"/>
    <w:rsid w:val="00390BDE"/>
    <w:rsid w:val="00390C24"/>
    <w:rsid w:val="00390C96"/>
    <w:rsid w:val="00390D8C"/>
    <w:rsid w:val="00390DA9"/>
    <w:rsid w:val="0039108D"/>
    <w:rsid w:val="003910D4"/>
    <w:rsid w:val="00391196"/>
    <w:rsid w:val="003913A7"/>
    <w:rsid w:val="00391623"/>
    <w:rsid w:val="003919B2"/>
    <w:rsid w:val="003919BA"/>
    <w:rsid w:val="00391ADB"/>
    <w:rsid w:val="00391C16"/>
    <w:rsid w:val="00391C3F"/>
    <w:rsid w:val="00391C55"/>
    <w:rsid w:val="00391F2E"/>
    <w:rsid w:val="00391FD5"/>
    <w:rsid w:val="0039215F"/>
    <w:rsid w:val="00392240"/>
    <w:rsid w:val="0039233E"/>
    <w:rsid w:val="00392412"/>
    <w:rsid w:val="003924EF"/>
    <w:rsid w:val="00392642"/>
    <w:rsid w:val="00392943"/>
    <w:rsid w:val="00392A1D"/>
    <w:rsid w:val="00392BB6"/>
    <w:rsid w:val="00392C9A"/>
    <w:rsid w:val="00392DAF"/>
    <w:rsid w:val="00392E2E"/>
    <w:rsid w:val="00392EFF"/>
    <w:rsid w:val="00393456"/>
    <w:rsid w:val="003934E7"/>
    <w:rsid w:val="003936A1"/>
    <w:rsid w:val="003938AE"/>
    <w:rsid w:val="003939D4"/>
    <w:rsid w:val="003939F2"/>
    <w:rsid w:val="00393A57"/>
    <w:rsid w:val="00393AFB"/>
    <w:rsid w:val="00393B23"/>
    <w:rsid w:val="00393B6A"/>
    <w:rsid w:val="00393BEB"/>
    <w:rsid w:val="00393C2C"/>
    <w:rsid w:val="00393CFD"/>
    <w:rsid w:val="00393D42"/>
    <w:rsid w:val="00393D55"/>
    <w:rsid w:val="00393E52"/>
    <w:rsid w:val="00393EED"/>
    <w:rsid w:val="00394182"/>
    <w:rsid w:val="003941E3"/>
    <w:rsid w:val="00394308"/>
    <w:rsid w:val="0039431F"/>
    <w:rsid w:val="003943E7"/>
    <w:rsid w:val="00394503"/>
    <w:rsid w:val="0039461C"/>
    <w:rsid w:val="003947FE"/>
    <w:rsid w:val="003948BA"/>
    <w:rsid w:val="00394931"/>
    <w:rsid w:val="003949B2"/>
    <w:rsid w:val="00394A57"/>
    <w:rsid w:val="00394AC2"/>
    <w:rsid w:val="00394AF1"/>
    <w:rsid w:val="00394BF9"/>
    <w:rsid w:val="00394E26"/>
    <w:rsid w:val="00394E42"/>
    <w:rsid w:val="00394F21"/>
    <w:rsid w:val="0039515A"/>
    <w:rsid w:val="00395299"/>
    <w:rsid w:val="003952AE"/>
    <w:rsid w:val="003954CE"/>
    <w:rsid w:val="003954D6"/>
    <w:rsid w:val="00395955"/>
    <w:rsid w:val="00395C7E"/>
    <w:rsid w:val="00395D79"/>
    <w:rsid w:val="00395ED4"/>
    <w:rsid w:val="00396017"/>
    <w:rsid w:val="00396135"/>
    <w:rsid w:val="00396348"/>
    <w:rsid w:val="003963FC"/>
    <w:rsid w:val="0039654F"/>
    <w:rsid w:val="003967F0"/>
    <w:rsid w:val="003969A6"/>
    <w:rsid w:val="00396C3C"/>
    <w:rsid w:val="00396D17"/>
    <w:rsid w:val="00396E33"/>
    <w:rsid w:val="00396ED2"/>
    <w:rsid w:val="00397132"/>
    <w:rsid w:val="0039724D"/>
    <w:rsid w:val="003973D9"/>
    <w:rsid w:val="003978BE"/>
    <w:rsid w:val="003978E8"/>
    <w:rsid w:val="00397A98"/>
    <w:rsid w:val="00397AA8"/>
    <w:rsid w:val="00397AEB"/>
    <w:rsid w:val="00397C7E"/>
    <w:rsid w:val="00397D10"/>
    <w:rsid w:val="00397D53"/>
    <w:rsid w:val="00397E25"/>
    <w:rsid w:val="00397ECF"/>
    <w:rsid w:val="00397FFA"/>
    <w:rsid w:val="003A00D0"/>
    <w:rsid w:val="003A018C"/>
    <w:rsid w:val="003A03EA"/>
    <w:rsid w:val="003A03F9"/>
    <w:rsid w:val="003A0520"/>
    <w:rsid w:val="003A0679"/>
    <w:rsid w:val="003A06D2"/>
    <w:rsid w:val="003A079C"/>
    <w:rsid w:val="003A0823"/>
    <w:rsid w:val="003A0AD3"/>
    <w:rsid w:val="003A0B23"/>
    <w:rsid w:val="003A0B94"/>
    <w:rsid w:val="003A0C60"/>
    <w:rsid w:val="003A0DC7"/>
    <w:rsid w:val="003A0DD4"/>
    <w:rsid w:val="003A0F60"/>
    <w:rsid w:val="003A0F61"/>
    <w:rsid w:val="003A0F6D"/>
    <w:rsid w:val="003A1152"/>
    <w:rsid w:val="003A1205"/>
    <w:rsid w:val="003A1271"/>
    <w:rsid w:val="003A1320"/>
    <w:rsid w:val="003A136E"/>
    <w:rsid w:val="003A1409"/>
    <w:rsid w:val="003A14F2"/>
    <w:rsid w:val="003A163B"/>
    <w:rsid w:val="003A1709"/>
    <w:rsid w:val="003A18EB"/>
    <w:rsid w:val="003A1AC8"/>
    <w:rsid w:val="003A1CC9"/>
    <w:rsid w:val="003A1E76"/>
    <w:rsid w:val="003A20B2"/>
    <w:rsid w:val="003A212F"/>
    <w:rsid w:val="003A21CC"/>
    <w:rsid w:val="003A249A"/>
    <w:rsid w:val="003A24E9"/>
    <w:rsid w:val="003A257B"/>
    <w:rsid w:val="003A25C1"/>
    <w:rsid w:val="003A281C"/>
    <w:rsid w:val="003A288B"/>
    <w:rsid w:val="003A28F1"/>
    <w:rsid w:val="003A29E7"/>
    <w:rsid w:val="003A2B5E"/>
    <w:rsid w:val="003A2BCD"/>
    <w:rsid w:val="003A2CFF"/>
    <w:rsid w:val="003A2D21"/>
    <w:rsid w:val="003A2F04"/>
    <w:rsid w:val="003A3014"/>
    <w:rsid w:val="003A307F"/>
    <w:rsid w:val="003A3096"/>
    <w:rsid w:val="003A31C3"/>
    <w:rsid w:val="003A32AE"/>
    <w:rsid w:val="003A33F2"/>
    <w:rsid w:val="003A3433"/>
    <w:rsid w:val="003A34FA"/>
    <w:rsid w:val="003A363B"/>
    <w:rsid w:val="003A36A1"/>
    <w:rsid w:val="003A36AB"/>
    <w:rsid w:val="003A3775"/>
    <w:rsid w:val="003A39BE"/>
    <w:rsid w:val="003A39E8"/>
    <w:rsid w:val="003A3BBD"/>
    <w:rsid w:val="003A3CC5"/>
    <w:rsid w:val="003A3D17"/>
    <w:rsid w:val="003A3D62"/>
    <w:rsid w:val="003A3DF4"/>
    <w:rsid w:val="003A3E1B"/>
    <w:rsid w:val="003A3E84"/>
    <w:rsid w:val="003A3F3D"/>
    <w:rsid w:val="003A40F8"/>
    <w:rsid w:val="003A4335"/>
    <w:rsid w:val="003A4399"/>
    <w:rsid w:val="003A43CB"/>
    <w:rsid w:val="003A4446"/>
    <w:rsid w:val="003A44D1"/>
    <w:rsid w:val="003A4683"/>
    <w:rsid w:val="003A46DE"/>
    <w:rsid w:val="003A47F5"/>
    <w:rsid w:val="003A4AA1"/>
    <w:rsid w:val="003A4B19"/>
    <w:rsid w:val="003A4DFF"/>
    <w:rsid w:val="003A4E1A"/>
    <w:rsid w:val="003A4E4A"/>
    <w:rsid w:val="003A4EC4"/>
    <w:rsid w:val="003A4EE5"/>
    <w:rsid w:val="003A52DF"/>
    <w:rsid w:val="003A552D"/>
    <w:rsid w:val="003A553E"/>
    <w:rsid w:val="003A56B1"/>
    <w:rsid w:val="003A580D"/>
    <w:rsid w:val="003A58CD"/>
    <w:rsid w:val="003A58FA"/>
    <w:rsid w:val="003A5B87"/>
    <w:rsid w:val="003A5C8D"/>
    <w:rsid w:val="003A5C9E"/>
    <w:rsid w:val="003A5D59"/>
    <w:rsid w:val="003A5D5F"/>
    <w:rsid w:val="003A5DF6"/>
    <w:rsid w:val="003A5FA0"/>
    <w:rsid w:val="003A603B"/>
    <w:rsid w:val="003A6060"/>
    <w:rsid w:val="003A61D9"/>
    <w:rsid w:val="003A62B5"/>
    <w:rsid w:val="003A62C7"/>
    <w:rsid w:val="003A649B"/>
    <w:rsid w:val="003A654E"/>
    <w:rsid w:val="003A66EB"/>
    <w:rsid w:val="003A6776"/>
    <w:rsid w:val="003A69A9"/>
    <w:rsid w:val="003A6A94"/>
    <w:rsid w:val="003A6B6E"/>
    <w:rsid w:val="003A6BE5"/>
    <w:rsid w:val="003A6C7F"/>
    <w:rsid w:val="003A6D3C"/>
    <w:rsid w:val="003A6D87"/>
    <w:rsid w:val="003A6E7A"/>
    <w:rsid w:val="003A6EB4"/>
    <w:rsid w:val="003A7036"/>
    <w:rsid w:val="003A7075"/>
    <w:rsid w:val="003A719F"/>
    <w:rsid w:val="003A732D"/>
    <w:rsid w:val="003A734E"/>
    <w:rsid w:val="003A734F"/>
    <w:rsid w:val="003A763F"/>
    <w:rsid w:val="003A77AA"/>
    <w:rsid w:val="003A7851"/>
    <w:rsid w:val="003A78D0"/>
    <w:rsid w:val="003A7920"/>
    <w:rsid w:val="003A795D"/>
    <w:rsid w:val="003A79F4"/>
    <w:rsid w:val="003A7B04"/>
    <w:rsid w:val="003A7B6B"/>
    <w:rsid w:val="003A7C87"/>
    <w:rsid w:val="003A7D76"/>
    <w:rsid w:val="003A7E21"/>
    <w:rsid w:val="003A7FB3"/>
    <w:rsid w:val="003B0079"/>
    <w:rsid w:val="003B00F9"/>
    <w:rsid w:val="003B032C"/>
    <w:rsid w:val="003B0410"/>
    <w:rsid w:val="003B050C"/>
    <w:rsid w:val="003B058A"/>
    <w:rsid w:val="003B0594"/>
    <w:rsid w:val="003B05A7"/>
    <w:rsid w:val="003B05C6"/>
    <w:rsid w:val="003B073A"/>
    <w:rsid w:val="003B085C"/>
    <w:rsid w:val="003B09FB"/>
    <w:rsid w:val="003B0B25"/>
    <w:rsid w:val="003B0C2C"/>
    <w:rsid w:val="003B0C5D"/>
    <w:rsid w:val="003B0CE8"/>
    <w:rsid w:val="003B0D03"/>
    <w:rsid w:val="003B0DFA"/>
    <w:rsid w:val="003B0FF2"/>
    <w:rsid w:val="003B1016"/>
    <w:rsid w:val="003B10E0"/>
    <w:rsid w:val="003B11A4"/>
    <w:rsid w:val="003B132B"/>
    <w:rsid w:val="003B135E"/>
    <w:rsid w:val="003B13AE"/>
    <w:rsid w:val="003B171B"/>
    <w:rsid w:val="003B18E3"/>
    <w:rsid w:val="003B1C62"/>
    <w:rsid w:val="003B1CF9"/>
    <w:rsid w:val="003B1DCE"/>
    <w:rsid w:val="003B2085"/>
    <w:rsid w:val="003B2086"/>
    <w:rsid w:val="003B208B"/>
    <w:rsid w:val="003B20DE"/>
    <w:rsid w:val="003B2185"/>
    <w:rsid w:val="003B21FB"/>
    <w:rsid w:val="003B229D"/>
    <w:rsid w:val="003B22B2"/>
    <w:rsid w:val="003B231C"/>
    <w:rsid w:val="003B2796"/>
    <w:rsid w:val="003B27AA"/>
    <w:rsid w:val="003B27B4"/>
    <w:rsid w:val="003B2911"/>
    <w:rsid w:val="003B2999"/>
    <w:rsid w:val="003B2C33"/>
    <w:rsid w:val="003B2D4E"/>
    <w:rsid w:val="003B2D6E"/>
    <w:rsid w:val="003B2E34"/>
    <w:rsid w:val="003B30D7"/>
    <w:rsid w:val="003B3133"/>
    <w:rsid w:val="003B325B"/>
    <w:rsid w:val="003B32D5"/>
    <w:rsid w:val="003B3520"/>
    <w:rsid w:val="003B37E1"/>
    <w:rsid w:val="003B38CF"/>
    <w:rsid w:val="003B3CA2"/>
    <w:rsid w:val="003B3E20"/>
    <w:rsid w:val="003B41AE"/>
    <w:rsid w:val="003B4270"/>
    <w:rsid w:val="003B4351"/>
    <w:rsid w:val="003B4397"/>
    <w:rsid w:val="003B43A1"/>
    <w:rsid w:val="003B442F"/>
    <w:rsid w:val="003B44BF"/>
    <w:rsid w:val="003B464A"/>
    <w:rsid w:val="003B4761"/>
    <w:rsid w:val="003B48D4"/>
    <w:rsid w:val="003B4971"/>
    <w:rsid w:val="003B4987"/>
    <w:rsid w:val="003B49FC"/>
    <w:rsid w:val="003B4A1C"/>
    <w:rsid w:val="003B4B9E"/>
    <w:rsid w:val="003B4DF3"/>
    <w:rsid w:val="003B4EF8"/>
    <w:rsid w:val="003B4F21"/>
    <w:rsid w:val="003B5046"/>
    <w:rsid w:val="003B516E"/>
    <w:rsid w:val="003B51B7"/>
    <w:rsid w:val="003B51B9"/>
    <w:rsid w:val="003B51C0"/>
    <w:rsid w:val="003B51F8"/>
    <w:rsid w:val="003B5211"/>
    <w:rsid w:val="003B5315"/>
    <w:rsid w:val="003B555D"/>
    <w:rsid w:val="003B567E"/>
    <w:rsid w:val="003B56D6"/>
    <w:rsid w:val="003B570D"/>
    <w:rsid w:val="003B58E9"/>
    <w:rsid w:val="003B5A16"/>
    <w:rsid w:val="003B5A80"/>
    <w:rsid w:val="003B5E02"/>
    <w:rsid w:val="003B5E87"/>
    <w:rsid w:val="003B5EE6"/>
    <w:rsid w:val="003B5FA1"/>
    <w:rsid w:val="003B5FCD"/>
    <w:rsid w:val="003B6056"/>
    <w:rsid w:val="003B612B"/>
    <w:rsid w:val="003B617F"/>
    <w:rsid w:val="003B61A0"/>
    <w:rsid w:val="003B61E9"/>
    <w:rsid w:val="003B626C"/>
    <w:rsid w:val="003B634C"/>
    <w:rsid w:val="003B638A"/>
    <w:rsid w:val="003B64A2"/>
    <w:rsid w:val="003B6533"/>
    <w:rsid w:val="003B6545"/>
    <w:rsid w:val="003B66BF"/>
    <w:rsid w:val="003B66FA"/>
    <w:rsid w:val="003B67A4"/>
    <w:rsid w:val="003B67F9"/>
    <w:rsid w:val="003B680C"/>
    <w:rsid w:val="003B69DA"/>
    <w:rsid w:val="003B6CC1"/>
    <w:rsid w:val="003B6DD4"/>
    <w:rsid w:val="003B6E95"/>
    <w:rsid w:val="003B6F64"/>
    <w:rsid w:val="003B6F8F"/>
    <w:rsid w:val="003B7089"/>
    <w:rsid w:val="003B70FC"/>
    <w:rsid w:val="003B710D"/>
    <w:rsid w:val="003B723E"/>
    <w:rsid w:val="003B73AD"/>
    <w:rsid w:val="003B73BE"/>
    <w:rsid w:val="003B74B0"/>
    <w:rsid w:val="003B74E0"/>
    <w:rsid w:val="003B776F"/>
    <w:rsid w:val="003B78F2"/>
    <w:rsid w:val="003B7A42"/>
    <w:rsid w:val="003B7A48"/>
    <w:rsid w:val="003B7D4E"/>
    <w:rsid w:val="003B7DF1"/>
    <w:rsid w:val="003B7E19"/>
    <w:rsid w:val="003B7E27"/>
    <w:rsid w:val="003B7E31"/>
    <w:rsid w:val="003B7E54"/>
    <w:rsid w:val="003C013F"/>
    <w:rsid w:val="003C01D6"/>
    <w:rsid w:val="003C01F0"/>
    <w:rsid w:val="003C024C"/>
    <w:rsid w:val="003C0288"/>
    <w:rsid w:val="003C031B"/>
    <w:rsid w:val="003C050B"/>
    <w:rsid w:val="003C0581"/>
    <w:rsid w:val="003C0671"/>
    <w:rsid w:val="003C074D"/>
    <w:rsid w:val="003C07B8"/>
    <w:rsid w:val="003C07BC"/>
    <w:rsid w:val="003C07F5"/>
    <w:rsid w:val="003C08AD"/>
    <w:rsid w:val="003C0953"/>
    <w:rsid w:val="003C0AD5"/>
    <w:rsid w:val="003C0AFC"/>
    <w:rsid w:val="003C0C9C"/>
    <w:rsid w:val="003C0D91"/>
    <w:rsid w:val="003C0DB8"/>
    <w:rsid w:val="003C0DC1"/>
    <w:rsid w:val="003C0F2F"/>
    <w:rsid w:val="003C1067"/>
    <w:rsid w:val="003C11DC"/>
    <w:rsid w:val="003C12A4"/>
    <w:rsid w:val="003C12B3"/>
    <w:rsid w:val="003C12F4"/>
    <w:rsid w:val="003C15B0"/>
    <w:rsid w:val="003C172D"/>
    <w:rsid w:val="003C19BF"/>
    <w:rsid w:val="003C1A3A"/>
    <w:rsid w:val="003C1BE1"/>
    <w:rsid w:val="003C1CBB"/>
    <w:rsid w:val="003C1D84"/>
    <w:rsid w:val="003C1DE3"/>
    <w:rsid w:val="003C1E10"/>
    <w:rsid w:val="003C1F24"/>
    <w:rsid w:val="003C1FB0"/>
    <w:rsid w:val="003C208E"/>
    <w:rsid w:val="003C2097"/>
    <w:rsid w:val="003C219E"/>
    <w:rsid w:val="003C22DB"/>
    <w:rsid w:val="003C243B"/>
    <w:rsid w:val="003C2586"/>
    <w:rsid w:val="003C2591"/>
    <w:rsid w:val="003C265C"/>
    <w:rsid w:val="003C2706"/>
    <w:rsid w:val="003C2860"/>
    <w:rsid w:val="003C2A92"/>
    <w:rsid w:val="003C2BB7"/>
    <w:rsid w:val="003C2D99"/>
    <w:rsid w:val="003C2DB1"/>
    <w:rsid w:val="003C2F51"/>
    <w:rsid w:val="003C3046"/>
    <w:rsid w:val="003C30AB"/>
    <w:rsid w:val="003C30C5"/>
    <w:rsid w:val="003C30F7"/>
    <w:rsid w:val="003C318A"/>
    <w:rsid w:val="003C3460"/>
    <w:rsid w:val="003C363D"/>
    <w:rsid w:val="003C368C"/>
    <w:rsid w:val="003C3997"/>
    <w:rsid w:val="003C3AE6"/>
    <w:rsid w:val="003C3B73"/>
    <w:rsid w:val="003C3CC5"/>
    <w:rsid w:val="003C3D24"/>
    <w:rsid w:val="003C3D8C"/>
    <w:rsid w:val="003C3E47"/>
    <w:rsid w:val="003C3E66"/>
    <w:rsid w:val="003C40E8"/>
    <w:rsid w:val="003C4158"/>
    <w:rsid w:val="003C42F5"/>
    <w:rsid w:val="003C433E"/>
    <w:rsid w:val="003C44A6"/>
    <w:rsid w:val="003C44AB"/>
    <w:rsid w:val="003C44E4"/>
    <w:rsid w:val="003C4708"/>
    <w:rsid w:val="003C470A"/>
    <w:rsid w:val="003C4710"/>
    <w:rsid w:val="003C4721"/>
    <w:rsid w:val="003C476B"/>
    <w:rsid w:val="003C4867"/>
    <w:rsid w:val="003C488B"/>
    <w:rsid w:val="003C4AE1"/>
    <w:rsid w:val="003C4C64"/>
    <w:rsid w:val="003C4C9B"/>
    <w:rsid w:val="003C4D5A"/>
    <w:rsid w:val="003C4D65"/>
    <w:rsid w:val="003C4F89"/>
    <w:rsid w:val="003C4FD7"/>
    <w:rsid w:val="003C50AB"/>
    <w:rsid w:val="003C5244"/>
    <w:rsid w:val="003C528C"/>
    <w:rsid w:val="003C532B"/>
    <w:rsid w:val="003C535C"/>
    <w:rsid w:val="003C5410"/>
    <w:rsid w:val="003C547C"/>
    <w:rsid w:val="003C547E"/>
    <w:rsid w:val="003C54BE"/>
    <w:rsid w:val="003C5599"/>
    <w:rsid w:val="003C5804"/>
    <w:rsid w:val="003C581F"/>
    <w:rsid w:val="003C5958"/>
    <w:rsid w:val="003C5ACE"/>
    <w:rsid w:val="003C5C28"/>
    <w:rsid w:val="003C5CA3"/>
    <w:rsid w:val="003C5EB5"/>
    <w:rsid w:val="003C6081"/>
    <w:rsid w:val="003C6233"/>
    <w:rsid w:val="003C6279"/>
    <w:rsid w:val="003C645C"/>
    <w:rsid w:val="003C6513"/>
    <w:rsid w:val="003C65D4"/>
    <w:rsid w:val="003C6626"/>
    <w:rsid w:val="003C66A7"/>
    <w:rsid w:val="003C6720"/>
    <w:rsid w:val="003C6723"/>
    <w:rsid w:val="003C6A47"/>
    <w:rsid w:val="003C6AEF"/>
    <w:rsid w:val="003C6BF3"/>
    <w:rsid w:val="003C6C60"/>
    <w:rsid w:val="003C6D12"/>
    <w:rsid w:val="003C6F4D"/>
    <w:rsid w:val="003C6F93"/>
    <w:rsid w:val="003C6FE7"/>
    <w:rsid w:val="003C706F"/>
    <w:rsid w:val="003C7189"/>
    <w:rsid w:val="003C7225"/>
    <w:rsid w:val="003C7552"/>
    <w:rsid w:val="003C782F"/>
    <w:rsid w:val="003C7AA5"/>
    <w:rsid w:val="003C7AE0"/>
    <w:rsid w:val="003C7B9F"/>
    <w:rsid w:val="003C7C70"/>
    <w:rsid w:val="003C7CE8"/>
    <w:rsid w:val="003C7E0D"/>
    <w:rsid w:val="003C7F2C"/>
    <w:rsid w:val="003D01AC"/>
    <w:rsid w:val="003D02D8"/>
    <w:rsid w:val="003D04A8"/>
    <w:rsid w:val="003D04F8"/>
    <w:rsid w:val="003D0634"/>
    <w:rsid w:val="003D065B"/>
    <w:rsid w:val="003D06E4"/>
    <w:rsid w:val="003D0735"/>
    <w:rsid w:val="003D079B"/>
    <w:rsid w:val="003D08B0"/>
    <w:rsid w:val="003D0916"/>
    <w:rsid w:val="003D09C5"/>
    <w:rsid w:val="003D0DA3"/>
    <w:rsid w:val="003D0F85"/>
    <w:rsid w:val="003D10FE"/>
    <w:rsid w:val="003D1135"/>
    <w:rsid w:val="003D121E"/>
    <w:rsid w:val="003D12FD"/>
    <w:rsid w:val="003D133B"/>
    <w:rsid w:val="003D1341"/>
    <w:rsid w:val="003D134A"/>
    <w:rsid w:val="003D13A9"/>
    <w:rsid w:val="003D17FA"/>
    <w:rsid w:val="003D1C43"/>
    <w:rsid w:val="003D1D2B"/>
    <w:rsid w:val="003D1E41"/>
    <w:rsid w:val="003D1E5C"/>
    <w:rsid w:val="003D1F96"/>
    <w:rsid w:val="003D204D"/>
    <w:rsid w:val="003D209E"/>
    <w:rsid w:val="003D2354"/>
    <w:rsid w:val="003D241D"/>
    <w:rsid w:val="003D24C1"/>
    <w:rsid w:val="003D2516"/>
    <w:rsid w:val="003D2528"/>
    <w:rsid w:val="003D25A3"/>
    <w:rsid w:val="003D273B"/>
    <w:rsid w:val="003D2794"/>
    <w:rsid w:val="003D28BC"/>
    <w:rsid w:val="003D2949"/>
    <w:rsid w:val="003D298E"/>
    <w:rsid w:val="003D2AEF"/>
    <w:rsid w:val="003D2B99"/>
    <w:rsid w:val="003D2BF2"/>
    <w:rsid w:val="003D2C53"/>
    <w:rsid w:val="003D2D1E"/>
    <w:rsid w:val="003D2E62"/>
    <w:rsid w:val="003D309C"/>
    <w:rsid w:val="003D3134"/>
    <w:rsid w:val="003D317F"/>
    <w:rsid w:val="003D31F5"/>
    <w:rsid w:val="003D340E"/>
    <w:rsid w:val="003D3573"/>
    <w:rsid w:val="003D377C"/>
    <w:rsid w:val="003D378A"/>
    <w:rsid w:val="003D37D2"/>
    <w:rsid w:val="003D3857"/>
    <w:rsid w:val="003D388E"/>
    <w:rsid w:val="003D397A"/>
    <w:rsid w:val="003D3A04"/>
    <w:rsid w:val="003D3ADB"/>
    <w:rsid w:val="003D3B9A"/>
    <w:rsid w:val="003D3C80"/>
    <w:rsid w:val="003D3D04"/>
    <w:rsid w:val="003D3D7E"/>
    <w:rsid w:val="003D3DA3"/>
    <w:rsid w:val="003D3E5A"/>
    <w:rsid w:val="003D3EEC"/>
    <w:rsid w:val="003D4112"/>
    <w:rsid w:val="003D4130"/>
    <w:rsid w:val="003D41C0"/>
    <w:rsid w:val="003D4207"/>
    <w:rsid w:val="003D4278"/>
    <w:rsid w:val="003D4332"/>
    <w:rsid w:val="003D4333"/>
    <w:rsid w:val="003D4600"/>
    <w:rsid w:val="003D46B7"/>
    <w:rsid w:val="003D47EF"/>
    <w:rsid w:val="003D4816"/>
    <w:rsid w:val="003D4A97"/>
    <w:rsid w:val="003D4CBB"/>
    <w:rsid w:val="003D4F0B"/>
    <w:rsid w:val="003D510D"/>
    <w:rsid w:val="003D5112"/>
    <w:rsid w:val="003D5236"/>
    <w:rsid w:val="003D5306"/>
    <w:rsid w:val="003D53B9"/>
    <w:rsid w:val="003D53C0"/>
    <w:rsid w:val="003D5564"/>
    <w:rsid w:val="003D557D"/>
    <w:rsid w:val="003D57BD"/>
    <w:rsid w:val="003D5880"/>
    <w:rsid w:val="003D5960"/>
    <w:rsid w:val="003D5A4D"/>
    <w:rsid w:val="003D5B0B"/>
    <w:rsid w:val="003D5C51"/>
    <w:rsid w:val="003D5D4A"/>
    <w:rsid w:val="003D5E7C"/>
    <w:rsid w:val="003D5F03"/>
    <w:rsid w:val="003D5F45"/>
    <w:rsid w:val="003D6000"/>
    <w:rsid w:val="003D6015"/>
    <w:rsid w:val="003D6100"/>
    <w:rsid w:val="003D6260"/>
    <w:rsid w:val="003D63D8"/>
    <w:rsid w:val="003D6448"/>
    <w:rsid w:val="003D6487"/>
    <w:rsid w:val="003D6640"/>
    <w:rsid w:val="003D693C"/>
    <w:rsid w:val="003D695F"/>
    <w:rsid w:val="003D6A14"/>
    <w:rsid w:val="003D6AFC"/>
    <w:rsid w:val="003D7147"/>
    <w:rsid w:val="003D727D"/>
    <w:rsid w:val="003D739A"/>
    <w:rsid w:val="003D7745"/>
    <w:rsid w:val="003D7764"/>
    <w:rsid w:val="003D77E6"/>
    <w:rsid w:val="003D79F0"/>
    <w:rsid w:val="003D7A1D"/>
    <w:rsid w:val="003D7AFA"/>
    <w:rsid w:val="003D7B38"/>
    <w:rsid w:val="003D7EA4"/>
    <w:rsid w:val="003D7F17"/>
    <w:rsid w:val="003E024E"/>
    <w:rsid w:val="003E0369"/>
    <w:rsid w:val="003E036E"/>
    <w:rsid w:val="003E0564"/>
    <w:rsid w:val="003E07BD"/>
    <w:rsid w:val="003E088C"/>
    <w:rsid w:val="003E08D0"/>
    <w:rsid w:val="003E0946"/>
    <w:rsid w:val="003E0AA2"/>
    <w:rsid w:val="003E0B19"/>
    <w:rsid w:val="003E0E18"/>
    <w:rsid w:val="003E0EDF"/>
    <w:rsid w:val="003E0F29"/>
    <w:rsid w:val="003E11BC"/>
    <w:rsid w:val="003E11CD"/>
    <w:rsid w:val="003E127F"/>
    <w:rsid w:val="003E12C3"/>
    <w:rsid w:val="003E1343"/>
    <w:rsid w:val="003E1440"/>
    <w:rsid w:val="003E156D"/>
    <w:rsid w:val="003E16DD"/>
    <w:rsid w:val="003E1740"/>
    <w:rsid w:val="003E180E"/>
    <w:rsid w:val="003E185C"/>
    <w:rsid w:val="003E1B1C"/>
    <w:rsid w:val="003E1C32"/>
    <w:rsid w:val="003E1DBF"/>
    <w:rsid w:val="003E1DF7"/>
    <w:rsid w:val="003E1F29"/>
    <w:rsid w:val="003E1FFF"/>
    <w:rsid w:val="003E22BF"/>
    <w:rsid w:val="003E22E5"/>
    <w:rsid w:val="003E23B0"/>
    <w:rsid w:val="003E2591"/>
    <w:rsid w:val="003E26D3"/>
    <w:rsid w:val="003E26FC"/>
    <w:rsid w:val="003E2793"/>
    <w:rsid w:val="003E2892"/>
    <w:rsid w:val="003E2AB6"/>
    <w:rsid w:val="003E2D21"/>
    <w:rsid w:val="003E2E06"/>
    <w:rsid w:val="003E2E0B"/>
    <w:rsid w:val="003E2E98"/>
    <w:rsid w:val="003E2F5A"/>
    <w:rsid w:val="003E306B"/>
    <w:rsid w:val="003E307D"/>
    <w:rsid w:val="003E30D9"/>
    <w:rsid w:val="003E313C"/>
    <w:rsid w:val="003E31DE"/>
    <w:rsid w:val="003E33B2"/>
    <w:rsid w:val="003E33FB"/>
    <w:rsid w:val="003E35CA"/>
    <w:rsid w:val="003E363A"/>
    <w:rsid w:val="003E3675"/>
    <w:rsid w:val="003E36EC"/>
    <w:rsid w:val="003E3802"/>
    <w:rsid w:val="003E397A"/>
    <w:rsid w:val="003E3B3A"/>
    <w:rsid w:val="003E3CD6"/>
    <w:rsid w:val="003E3D33"/>
    <w:rsid w:val="003E3DB1"/>
    <w:rsid w:val="003E3F52"/>
    <w:rsid w:val="003E3FC0"/>
    <w:rsid w:val="003E4033"/>
    <w:rsid w:val="003E40CA"/>
    <w:rsid w:val="003E463F"/>
    <w:rsid w:val="003E46AF"/>
    <w:rsid w:val="003E47CA"/>
    <w:rsid w:val="003E483D"/>
    <w:rsid w:val="003E4C63"/>
    <w:rsid w:val="003E4FBD"/>
    <w:rsid w:val="003E4FCF"/>
    <w:rsid w:val="003E4FE1"/>
    <w:rsid w:val="003E50A7"/>
    <w:rsid w:val="003E50B7"/>
    <w:rsid w:val="003E5114"/>
    <w:rsid w:val="003E5213"/>
    <w:rsid w:val="003E52A3"/>
    <w:rsid w:val="003E559C"/>
    <w:rsid w:val="003E56CB"/>
    <w:rsid w:val="003E5896"/>
    <w:rsid w:val="003E58FD"/>
    <w:rsid w:val="003E592A"/>
    <w:rsid w:val="003E5950"/>
    <w:rsid w:val="003E5961"/>
    <w:rsid w:val="003E59AF"/>
    <w:rsid w:val="003E59DB"/>
    <w:rsid w:val="003E5BC8"/>
    <w:rsid w:val="003E5C67"/>
    <w:rsid w:val="003E5D27"/>
    <w:rsid w:val="003E5E7D"/>
    <w:rsid w:val="003E60D4"/>
    <w:rsid w:val="003E6111"/>
    <w:rsid w:val="003E6174"/>
    <w:rsid w:val="003E62C7"/>
    <w:rsid w:val="003E6529"/>
    <w:rsid w:val="003E66B2"/>
    <w:rsid w:val="003E67A2"/>
    <w:rsid w:val="003E67B4"/>
    <w:rsid w:val="003E693A"/>
    <w:rsid w:val="003E6958"/>
    <w:rsid w:val="003E69AD"/>
    <w:rsid w:val="003E69D7"/>
    <w:rsid w:val="003E69EC"/>
    <w:rsid w:val="003E6A4D"/>
    <w:rsid w:val="003E6A6D"/>
    <w:rsid w:val="003E6AAB"/>
    <w:rsid w:val="003E6B07"/>
    <w:rsid w:val="003E6C0B"/>
    <w:rsid w:val="003E6C0E"/>
    <w:rsid w:val="003E6CF2"/>
    <w:rsid w:val="003E6D4E"/>
    <w:rsid w:val="003E6D88"/>
    <w:rsid w:val="003E6D95"/>
    <w:rsid w:val="003E6DD7"/>
    <w:rsid w:val="003E6E04"/>
    <w:rsid w:val="003E6F2F"/>
    <w:rsid w:val="003E71A6"/>
    <w:rsid w:val="003E7247"/>
    <w:rsid w:val="003E739E"/>
    <w:rsid w:val="003E74A5"/>
    <w:rsid w:val="003E75A6"/>
    <w:rsid w:val="003E772A"/>
    <w:rsid w:val="003E773C"/>
    <w:rsid w:val="003E784F"/>
    <w:rsid w:val="003E78E7"/>
    <w:rsid w:val="003E7983"/>
    <w:rsid w:val="003E7A13"/>
    <w:rsid w:val="003E7B4D"/>
    <w:rsid w:val="003E7C35"/>
    <w:rsid w:val="003E7C59"/>
    <w:rsid w:val="003E7D12"/>
    <w:rsid w:val="003E7E21"/>
    <w:rsid w:val="003E7EB3"/>
    <w:rsid w:val="003E7ECA"/>
    <w:rsid w:val="003E7ECC"/>
    <w:rsid w:val="003E7F00"/>
    <w:rsid w:val="003F00DB"/>
    <w:rsid w:val="003F0180"/>
    <w:rsid w:val="003F0378"/>
    <w:rsid w:val="003F03E4"/>
    <w:rsid w:val="003F0537"/>
    <w:rsid w:val="003F0B48"/>
    <w:rsid w:val="003F0BE8"/>
    <w:rsid w:val="003F0E53"/>
    <w:rsid w:val="003F0F4E"/>
    <w:rsid w:val="003F0F52"/>
    <w:rsid w:val="003F0F57"/>
    <w:rsid w:val="003F0F97"/>
    <w:rsid w:val="003F1016"/>
    <w:rsid w:val="003F1073"/>
    <w:rsid w:val="003F108A"/>
    <w:rsid w:val="003F10F2"/>
    <w:rsid w:val="003F11BF"/>
    <w:rsid w:val="003F1292"/>
    <w:rsid w:val="003F1298"/>
    <w:rsid w:val="003F12F0"/>
    <w:rsid w:val="003F1411"/>
    <w:rsid w:val="003F157A"/>
    <w:rsid w:val="003F1602"/>
    <w:rsid w:val="003F1830"/>
    <w:rsid w:val="003F1868"/>
    <w:rsid w:val="003F195C"/>
    <w:rsid w:val="003F1A6B"/>
    <w:rsid w:val="003F1C74"/>
    <w:rsid w:val="003F1E68"/>
    <w:rsid w:val="003F200D"/>
    <w:rsid w:val="003F2104"/>
    <w:rsid w:val="003F22BE"/>
    <w:rsid w:val="003F22CE"/>
    <w:rsid w:val="003F2395"/>
    <w:rsid w:val="003F2664"/>
    <w:rsid w:val="003F2751"/>
    <w:rsid w:val="003F2757"/>
    <w:rsid w:val="003F27C5"/>
    <w:rsid w:val="003F28FD"/>
    <w:rsid w:val="003F291C"/>
    <w:rsid w:val="003F2D89"/>
    <w:rsid w:val="003F2DC4"/>
    <w:rsid w:val="003F2E30"/>
    <w:rsid w:val="003F2E5F"/>
    <w:rsid w:val="003F2F62"/>
    <w:rsid w:val="003F2FD7"/>
    <w:rsid w:val="003F309C"/>
    <w:rsid w:val="003F30FB"/>
    <w:rsid w:val="003F32E2"/>
    <w:rsid w:val="003F33B3"/>
    <w:rsid w:val="003F35C4"/>
    <w:rsid w:val="003F3622"/>
    <w:rsid w:val="003F3871"/>
    <w:rsid w:val="003F398B"/>
    <w:rsid w:val="003F3C7A"/>
    <w:rsid w:val="003F3CCC"/>
    <w:rsid w:val="003F3D93"/>
    <w:rsid w:val="003F3DB0"/>
    <w:rsid w:val="003F4090"/>
    <w:rsid w:val="003F40E2"/>
    <w:rsid w:val="003F4135"/>
    <w:rsid w:val="003F4156"/>
    <w:rsid w:val="003F43B5"/>
    <w:rsid w:val="003F4501"/>
    <w:rsid w:val="003F4689"/>
    <w:rsid w:val="003F46DA"/>
    <w:rsid w:val="003F4857"/>
    <w:rsid w:val="003F486C"/>
    <w:rsid w:val="003F4C23"/>
    <w:rsid w:val="003F4C6D"/>
    <w:rsid w:val="003F4EB6"/>
    <w:rsid w:val="003F4EDF"/>
    <w:rsid w:val="003F4F66"/>
    <w:rsid w:val="003F50CE"/>
    <w:rsid w:val="003F517E"/>
    <w:rsid w:val="003F53EE"/>
    <w:rsid w:val="003F5635"/>
    <w:rsid w:val="003F5698"/>
    <w:rsid w:val="003F5702"/>
    <w:rsid w:val="003F580D"/>
    <w:rsid w:val="003F595D"/>
    <w:rsid w:val="003F5A2B"/>
    <w:rsid w:val="003F5A9D"/>
    <w:rsid w:val="003F5B69"/>
    <w:rsid w:val="003F5BAB"/>
    <w:rsid w:val="003F5C7C"/>
    <w:rsid w:val="003F5EE4"/>
    <w:rsid w:val="003F5F21"/>
    <w:rsid w:val="003F6060"/>
    <w:rsid w:val="003F60CF"/>
    <w:rsid w:val="003F6388"/>
    <w:rsid w:val="003F6452"/>
    <w:rsid w:val="003F645E"/>
    <w:rsid w:val="003F64DA"/>
    <w:rsid w:val="003F652B"/>
    <w:rsid w:val="003F65A7"/>
    <w:rsid w:val="003F65B1"/>
    <w:rsid w:val="003F660F"/>
    <w:rsid w:val="003F668F"/>
    <w:rsid w:val="003F6718"/>
    <w:rsid w:val="003F680E"/>
    <w:rsid w:val="003F6A66"/>
    <w:rsid w:val="003F6B66"/>
    <w:rsid w:val="003F6BD4"/>
    <w:rsid w:val="003F6C07"/>
    <w:rsid w:val="003F6CD3"/>
    <w:rsid w:val="003F6CF9"/>
    <w:rsid w:val="003F6E10"/>
    <w:rsid w:val="003F6EB0"/>
    <w:rsid w:val="003F70C6"/>
    <w:rsid w:val="003F70FE"/>
    <w:rsid w:val="003F72CD"/>
    <w:rsid w:val="003F74B5"/>
    <w:rsid w:val="003F74CF"/>
    <w:rsid w:val="003F7538"/>
    <w:rsid w:val="003F760E"/>
    <w:rsid w:val="003F7675"/>
    <w:rsid w:val="003F771B"/>
    <w:rsid w:val="003F789A"/>
    <w:rsid w:val="003F78C3"/>
    <w:rsid w:val="003F7CF7"/>
    <w:rsid w:val="003F7D4D"/>
    <w:rsid w:val="003F7D9C"/>
    <w:rsid w:val="00400171"/>
    <w:rsid w:val="0040022E"/>
    <w:rsid w:val="004003D7"/>
    <w:rsid w:val="00400437"/>
    <w:rsid w:val="00400467"/>
    <w:rsid w:val="004004B3"/>
    <w:rsid w:val="0040056C"/>
    <w:rsid w:val="004006BD"/>
    <w:rsid w:val="00400886"/>
    <w:rsid w:val="004009A0"/>
    <w:rsid w:val="00400AE5"/>
    <w:rsid w:val="00400CCF"/>
    <w:rsid w:val="00400CE3"/>
    <w:rsid w:val="00400CFF"/>
    <w:rsid w:val="00400D40"/>
    <w:rsid w:val="00400E77"/>
    <w:rsid w:val="00400EF0"/>
    <w:rsid w:val="00401057"/>
    <w:rsid w:val="0040108C"/>
    <w:rsid w:val="0040109F"/>
    <w:rsid w:val="0040126E"/>
    <w:rsid w:val="00401379"/>
    <w:rsid w:val="004013E1"/>
    <w:rsid w:val="00401456"/>
    <w:rsid w:val="0040181A"/>
    <w:rsid w:val="0040188D"/>
    <w:rsid w:val="00401922"/>
    <w:rsid w:val="00401AEC"/>
    <w:rsid w:val="00401C75"/>
    <w:rsid w:val="00401CB6"/>
    <w:rsid w:val="00401D45"/>
    <w:rsid w:val="00401DB8"/>
    <w:rsid w:val="00401E1A"/>
    <w:rsid w:val="00401E2F"/>
    <w:rsid w:val="00401E30"/>
    <w:rsid w:val="00401E31"/>
    <w:rsid w:val="00401ECA"/>
    <w:rsid w:val="00401F1B"/>
    <w:rsid w:val="004020DE"/>
    <w:rsid w:val="0040210C"/>
    <w:rsid w:val="004022AD"/>
    <w:rsid w:val="004024DE"/>
    <w:rsid w:val="00402695"/>
    <w:rsid w:val="004027CC"/>
    <w:rsid w:val="00402842"/>
    <w:rsid w:val="004028FB"/>
    <w:rsid w:val="00402A26"/>
    <w:rsid w:val="00402B94"/>
    <w:rsid w:val="00402D41"/>
    <w:rsid w:val="00402EC0"/>
    <w:rsid w:val="00402EC1"/>
    <w:rsid w:val="0040329F"/>
    <w:rsid w:val="004032A3"/>
    <w:rsid w:val="004032F4"/>
    <w:rsid w:val="004034D0"/>
    <w:rsid w:val="004034DD"/>
    <w:rsid w:val="00403634"/>
    <w:rsid w:val="004037AD"/>
    <w:rsid w:val="004039C9"/>
    <w:rsid w:val="004039D0"/>
    <w:rsid w:val="00403A9C"/>
    <w:rsid w:val="00403AF7"/>
    <w:rsid w:val="00403CCC"/>
    <w:rsid w:val="00403DE9"/>
    <w:rsid w:val="00403E17"/>
    <w:rsid w:val="00403F32"/>
    <w:rsid w:val="00403F4C"/>
    <w:rsid w:val="00403F93"/>
    <w:rsid w:val="00403FA8"/>
    <w:rsid w:val="004042C6"/>
    <w:rsid w:val="004043D2"/>
    <w:rsid w:val="004043F9"/>
    <w:rsid w:val="00404438"/>
    <w:rsid w:val="0040443A"/>
    <w:rsid w:val="0040447E"/>
    <w:rsid w:val="004044E3"/>
    <w:rsid w:val="00404560"/>
    <w:rsid w:val="00404566"/>
    <w:rsid w:val="0040468E"/>
    <w:rsid w:val="004046E2"/>
    <w:rsid w:val="0040470E"/>
    <w:rsid w:val="00404742"/>
    <w:rsid w:val="00404750"/>
    <w:rsid w:val="0040487E"/>
    <w:rsid w:val="004048C2"/>
    <w:rsid w:val="00404A6C"/>
    <w:rsid w:val="00404A87"/>
    <w:rsid w:val="00404B57"/>
    <w:rsid w:val="00404C3C"/>
    <w:rsid w:val="00404DFD"/>
    <w:rsid w:val="00404F30"/>
    <w:rsid w:val="0040500F"/>
    <w:rsid w:val="0040512B"/>
    <w:rsid w:val="004055B4"/>
    <w:rsid w:val="004057B7"/>
    <w:rsid w:val="004057BC"/>
    <w:rsid w:val="004057D2"/>
    <w:rsid w:val="00405811"/>
    <w:rsid w:val="00405971"/>
    <w:rsid w:val="00405997"/>
    <w:rsid w:val="004059D2"/>
    <w:rsid w:val="00405A4B"/>
    <w:rsid w:val="00405ABB"/>
    <w:rsid w:val="00405AD1"/>
    <w:rsid w:val="00405B8D"/>
    <w:rsid w:val="00405C01"/>
    <w:rsid w:val="00405C69"/>
    <w:rsid w:val="00405DF4"/>
    <w:rsid w:val="00405E23"/>
    <w:rsid w:val="00405E2D"/>
    <w:rsid w:val="00405EDD"/>
    <w:rsid w:val="00406081"/>
    <w:rsid w:val="00406186"/>
    <w:rsid w:val="0040634E"/>
    <w:rsid w:val="00406490"/>
    <w:rsid w:val="00406585"/>
    <w:rsid w:val="004065E1"/>
    <w:rsid w:val="00406725"/>
    <w:rsid w:val="0040679E"/>
    <w:rsid w:val="00406878"/>
    <w:rsid w:val="004068EF"/>
    <w:rsid w:val="004069A9"/>
    <w:rsid w:val="00406A7C"/>
    <w:rsid w:val="00406CFF"/>
    <w:rsid w:val="00406D39"/>
    <w:rsid w:val="00406DF3"/>
    <w:rsid w:val="0040706D"/>
    <w:rsid w:val="004072A5"/>
    <w:rsid w:val="004073D1"/>
    <w:rsid w:val="00407759"/>
    <w:rsid w:val="004077ED"/>
    <w:rsid w:val="0040781C"/>
    <w:rsid w:val="004078D8"/>
    <w:rsid w:val="00407955"/>
    <w:rsid w:val="00407AB3"/>
    <w:rsid w:val="00407BB5"/>
    <w:rsid w:val="00407C17"/>
    <w:rsid w:val="00407E75"/>
    <w:rsid w:val="00410345"/>
    <w:rsid w:val="00410382"/>
    <w:rsid w:val="00410608"/>
    <w:rsid w:val="00410782"/>
    <w:rsid w:val="004109BB"/>
    <w:rsid w:val="00410B1F"/>
    <w:rsid w:val="00410B6F"/>
    <w:rsid w:val="00410D42"/>
    <w:rsid w:val="00410DCA"/>
    <w:rsid w:val="00410DE1"/>
    <w:rsid w:val="00410ECC"/>
    <w:rsid w:val="00410F67"/>
    <w:rsid w:val="004111F4"/>
    <w:rsid w:val="004113C8"/>
    <w:rsid w:val="00411468"/>
    <w:rsid w:val="00411630"/>
    <w:rsid w:val="0041166D"/>
    <w:rsid w:val="004117A0"/>
    <w:rsid w:val="004118DE"/>
    <w:rsid w:val="004119FB"/>
    <w:rsid w:val="00411AB4"/>
    <w:rsid w:val="00411BCD"/>
    <w:rsid w:val="00411C07"/>
    <w:rsid w:val="00411E52"/>
    <w:rsid w:val="00411F60"/>
    <w:rsid w:val="004120A8"/>
    <w:rsid w:val="004120AD"/>
    <w:rsid w:val="00412117"/>
    <w:rsid w:val="004121A0"/>
    <w:rsid w:val="004125BD"/>
    <w:rsid w:val="00412657"/>
    <w:rsid w:val="004126AB"/>
    <w:rsid w:val="004126CB"/>
    <w:rsid w:val="004126F5"/>
    <w:rsid w:val="00412860"/>
    <w:rsid w:val="004128BD"/>
    <w:rsid w:val="00412A50"/>
    <w:rsid w:val="00412D7A"/>
    <w:rsid w:val="00412D7B"/>
    <w:rsid w:val="00412DDB"/>
    <w:rsid w:val="004131F6"/>
    <w:rsid w:val="004132BD"/>
    <w:rsid w:val="00413521"/>
    <w:rsid w:val="00413584"/>
    <w:rsid w:val="004136CC"/>
    <w:rsid w:val="00413743"/>
    <w:rsid w:val="00413799"/>
    <w:rsid w:val="004139D3"/>
    <w:rsid w:val="00413A8A"/>
    <w:rsid w:val="00413BC4"/>
    <w:rsid w:val="00413C58"/>
    <w:rsid w:val="00413CCA"/>
    <w:rsid w:val="00413CEA"/>
    <w:rsid w:val="00413E5F"/>
    <w:rsid w:val="00413EA9"/>
    <w:rsid w:val="0041405D"/>
    <w:rsid w:val="00414103"/>
    <w:rsid w:val="00414108"/>
    <w:rsid w:val="00414143"/>
    <w:rsid w:val="00414264"/>
    <w:rsid w:val="00414426"/>
    <w:rsid w:val="004144F7"/>
    <w:rsid w:val="0041465B"/>
    <w:rsid w:val="0041471F"/>
    <w:rsid w:val="00414765"/>
    <w:rsid w:val="00414788"/>
    <w:rsid w:val="00414821"/>
    <w:rsid w:val="004148EF"/>
    <w:rsid w:val="00414976"/>
    <w:rsid w:val="00414B61"/>
    <w:rsid w:val="00414BF1"/>
    <w:rsid w:val="00414C6A"/>
    <w:rsid w:val="00414D8F"/>
    <w:rsid w:val="00414DEA"/>
    <w:rsid w:val="00414F64"/>
    <w:rsid w:val="00414F76"/>
    <w:rsid w:val="004150F5"/>
    <w:rsid w:val="00415107"/>
    <w:rsid w:val="004151FB"/>
    <w:rsid w:val="00415273"/>
    <w:rsid w:val="004152E6"/>
    <w:rsid w:val="0041543E"/>
    <w:rsid w:val="00415473"/>
    <w:rsid w:val="004154DD"/>
    <w:rsid w:val="0041562A"/>
    <w:rsid w:val="004156DE"/>
    <w:rsid w:val="0041574B"/>
    <w:rsid w:val="004158B4"/>
    <w:rsid w:val="00415A1E"/>
    <w:rsid w:val="00415A20"/>
    <w:rsid w:val="00415A50"/>
    <w:rsid w:val="00415B21"/>
    <w:rsid w:val="00415BA8"/>
    <w:rsid w:val="00415BB9"/>
    <w:rsid w:val="00415D70"/>
    <w:rsid w:val="004161FB"/>
    <w:rsid w:val="00416238"/>
    <w:rsid w:val="00416318"/>
    <w:rsid w:val="004163EE"/>
    <w:rsid w:val="004164D8"/>
    <w:rsid w:val="00416968"/>
    <w:rsid w:val="004169F6"/>
    <w:rsid w:val="00416A26"/>
    <w:rsid w:val="00416AF8"/>
    <w:rsid w:val="00416B27"/>
    <w:rsid w:val="00416B4F"/>
    <w:rsid w:val="00416B56"/>
    <w:rsid w:val="00416C1C"/>
    <w:rsid w:val="00416DA4"/>
    <w:rsid w:val="00416DC1"/>
    <w:rsid w:val="00416E0A"/>
    <w:rsid w:val="00417241"/>
    <w:rsid w:val="0041724A"/>
    <w:rsid w:val="0041732E"/>
    <w:rsid w:val="00417337"/>
    <w:rsid w:val="0041734C"/>
    <w:rsid w:val="004173B3"/>
    <w:rsid w:val="00417430"/>
    <w:rsid w:val="004175DF"/>
    <w:rsid w:val="0041765A"/>
    <w:rsid w:val="00417684"/>
    <w:rsid w:val="00417814"/>
    <w:rsid w:val="00417A0F"/>
    <w:rsid w:val="00417C60"/>
    <w:rsid w:val="00417C8C"/>
    <w:rsid w:val="00417CC4"/>
    <w:rsid w:val="00417DBF"/>
    <w:rsid w:val="00417E01"/>
    <w:rsid w:val="00420337"/>
    <w:rsid w:val="004207A2"/>
    <w:rsid w:val="00420966"/>
    <w:rsid w:val="0042099D"/>
    <w:rsid w:val="00420CAE"/>
    <w:rsid w:val="00420CC8"/>
    <w:rsid w:val="00420E1D"/>
    <w:rsid w:val="00420E96"/>
    <w:rsid w:val="0042100B"/>
    <w:rsid w:val="004210F9"/>
    <w:rsid w:val="004210FE"/>
    <w:rsid w:val="00421120"/>
    <w:rsid w:val="004211D3"/>
    <w:rsid w:val="004212F2"/>
    <w:rsid w:val="004212F8"/>
    <w:rsid w:val="00421467"/>
    <w:rsid w:val="004214C5"/>
    <w:rsid w:val="00421581"/>
    <w:rsid w:val="004215B1"/>
    <w:rsid w:val="00421619"/>
    <w:rsid w:val="00421900"/>
    <w:rsid w:val="00421960"/>
    <w:rsid w:val="004219A5"/>
    <w:rsid w:val="004219E8"/>
    <w:rsid w:val="00421A15"/>
    <w:rsid w:val="00421A3E"/>
    <w:rsid w:val="00421D13"/>
    <w:rsid w:val="00421F1E"/>
    <w:rsid w:val="004221BA"/>
    <w:rsid w:val="00422221"/>
    <w:rsid w:val="00422285"/>
    <w:rsid w:val="004222E3"/>
    <w:rsid w:val="00422415"/>
    <w:rsid w:val="00422484"/>
    <w:rsid w:val="004225D2"/>
    <w:rsid w:val="004225E7"/>
    <w:rsid w:val="00422694"/>
    <w:rsid w:val="00422799"/>
    <w:rsid w:val="004227DF"/>
    <w:rsid w:val="00422839"/>
    <w:rsid w:val="00422A46"/>
    <w:rsid w:val="00422B81"/>
    <w:rsid w:val="00422C70"/>
    <w:rsid w:val="00422E06"/>
    <w:rsid w:val="00422E24"/>
    <w:rsid w:val="00422F71"/>
    <w:rsid w:val="00422FEC"/>
    <w:rsid w:val="00423119"/>
    <w:rsid w:val="004231A9"/>
    <w:rsid w:val="0042334C"/>
    <w:rsid w:val="00423491"/>
    <w:rsid w:val="00423537"/>
    <w:rsid w:val="0042377A"/>
    <w:rsid w:val="0042378F"/>
    <w:rsid w:val="00423985"/>
    <w:rsid w:val="00423B61"/>
    <w:rsid w:val="00423BEB"/>
    <w:rsid w:val="00423C23"/>
    <w:rsid w:val="00423C2E"/>
    <w:rsid w:val="00423D6D"/>
    <w:rsid w:val="00423E9F"/>
    <w:rsid w:val="00423ECC"/>
    <w:rsid w:val="004240D2"/>
    <w:rsid w:val="0042414D"/>
    <w:rsid w:val="004241F4"/>
    <w:rsid w:val="004243DA"/>
    <w:rsid w:val="0042453C"/>
    <w:rsid w:val="00424835"/>
    <w:rsid w:val="00424C43"/>
    <w:rsid w:val="00424E8A"/>
    <w:rsid w:val="00424E95"/>
    <w:rsid w:val="00424ED6"/>
    <w:rsid w:val="00425010"/>
    <w:rsid w:val="004250B1"/>
    <w:rsid w:val="00425173"/>
    <w:rsid w:val="00425200"/>
    <w:rsid w:val="004255A5"/>
    <w:rsid w:val="00425650"/>
    <w:rsid w:val="0042569D"/>
    <w:rsid w:val="00425706"/>
    <w:rsid w:val="004257BF"/>
    <w:rsid w:val="004257DE"/>
    <w:rsid w:val="00425A40"/>
    <w:rsid w:val="00425A44"/>
    <w:rsid w:val="00425BC2"/>
    <w:rsid w:val="00425CA0"/>
    <w:rsid w:val="00425D06"/>
    <w:rsid w:val="00425ED4"/>
    <w:rsid w:val="00425F7C"/>
    <w:rsid w:val="00425F95"/>
    <w:rsid w:val="00425FB0"/>
    <w:rsid w:val="004262FC"/>
    <w:rsid w:val="00426648"/>
    <w:rsid w:val="0042665F"/>
    <w:rsid w:val="004266A9"/>
    <w:rsid w:val="004266DF"/>
    <w:rsid w:val="00426B50"/>
    <w:rsid w:val="00426C28"/>
    <w:rsid w:val="00426F04"/>
    <w:rsid w:val="00426F0D"/>
    <w:rsid w:val="004270E9"/>
    <w:rsid w:val="00427262"/>
    <w:rsid w:val="004272CF"/>
    <w:rsid w:val="004273F1"/>
    <w:rsid w:val="004275E7"/>
    <w:rsid w:val="004275F5"/>
    <w:rsid w:val="004276F6"/>
    <w:rsid w:val="0042775B"/>
    <w:rsid w:val="00427A78"/>
    <w:rsid w:val="00427BBD"/>
    <w:rsid w:val="00427E52"/>
    <w:rsid w:val="00427E95"/>
    <w:rsid w:val="00427FC0"/>
    <w:rsid w:val="00430214"/>
    <w:rsid w:val="004302F1"/>
    <w:rsid w:val="0043043C"/>
    <w:rsid w:val="00430494"/>
    <w:rsid w:val="004304C6"/>
    <w:rsid w:val="004304F5"/>
    <w:rsid w:val="004305BC"/>
    <w:rsid w:val="004306E5"/>
    <w:rsid w:val="004306F3"/>
    <w:rsid w:val="0043073D"/>
    <w:rsid w:val="00430762"/>
    <w:rsid w:val="004309D6"/>
    <w:rsid w:val="00430BFE"/>
    <w:rsid w:val="00430C2A"/>
    <w:rsid w:val="00430EE0"/>
    <w:rsid w:val="00430F73"/>
    <w:rsid w:val="0043106C"/>
    <w:rsid w:val="004310D0"/>
    <w:rsid w:val="0043134A"/>
    <w:rsid w:val="004313EF"/>
    <w:rsid w:val="00431450"/>
    <w:rsid w:val="0043148F"/>
    <w:rsid w:val="00431505"/>
    <w:rsid w:val="00431527"/>
    <w:rsid w:val="0043152C"/>
    <w:rsid w:val="00431548"/>
    <w:rsid w:val="004316BE"/>
    <w:rsid w:val="0043199D"/>
    <w:rsid w:val="0043199E"/>
    <w:rsid w:val="00431A7E"/>
    <w:rsid w:val="00431AE9"/>
    <w:rsid w:val="00431BF2"/>
    <w:rsid w:val="00431C97"/>
    <w:rsid w:val="00431D36"/>
    <w:rsid w:val="00431E19"/>
    <w:rsid w:val="00431EFA"/>
    <w:rsid w:val="00431F04"/>
    <w:rsid w:val="0043236C"/>
    <w:rsid w:val="004323FE"/>
    <w:rsid w:val="00432443"/>
    <w:rsid w:val="00432532"/>
    <w:rsid w:val="00432581"/>
    <w:rsid w:val="00432600"/>
    <w:rsid w:val="00432996"/>
    <w:rsid w:val="004329A8"/>
    <w:rsid w:val="00432E77"/>
    <w:rsid w:val="004331FE"/>
    <w:rsid w:val="0043324B"/>
    <w:rsid w:val="004332BD"/>
    <w:rsid w:val="00433596"/>
    <w:rsid w:val="0043363B"/>
    <w:rsid w:val="0043378B"/>
    <w:rsid w:val="004337B9"/>
    <w:rsid w:val="00433887"/>
    <w:rsid w:val="00433BC8"/>
    <w:rsid w:val="00433CA0"/>
    <w:rsid w:val="00433D94"/>
    <w:rsid w:val="00433FFB"/>
    <w:rsid w:val="004340D6"/>
    <w:rsid w:val="00434105"/>
    <w:rsid w:val="004341F9"/>
    <w:rsid w:val="00434213"/>
    <w:rsid w:val="004342D0"/>
    <w:rsid w:val="004342F3"/>
    <w:rsid w:val="004344DF"/>
    <w:rsid w:val="00434651"/>
    <w:rsid w:val="004347FE"/>
    <w:rsid w:val="00434888"/>
    <w:rsid w:val="004348A0"/>
    <w:rsid w:val="00434A08"/>
    <w:rsid w:val="00434B30"/>
    <w:rsid w:val="00434B9F"/>
    <w:rsid w:val="00434BDC"/>
    <w:rsid w:val="00434C2B"/>
    <w:rsid w:val="00434FB4"/>
    <w:rsid w:val="00435013"/>
    <w:rsid w:val="00435081"/>
    <w:rsid w:val="00435107"/>
    <w:rsid w:val="004351E0"/>
    <w:rsid w:val="00435200"/>
    <w:rsid w:val="00435304"/>
    <w:rsid w:val="004355FC"/>
    <w:rsid w:val="00435662"/>
    <w:rsid w:val="004356E7"/>
    <w:rsid w:val="004358A5"/>
    <w:rsid w:val="00435B0C"/>
    <w:rsid w:val="00435BD0"/>
    <w:rsid w:val="00435C2D"/>
    <w:rsid w:val="00435E25"/>
    <w:rsid w:val="00435F04"/>
    <w:rsid w:val="0043667C"/>
    <w:rsid w:val="0043681B"/>
    <w:rsid w:val="00436A02"/>
    <w:rsid w:val="00436A90"/>
    <w:rsid w:val="00436C68"/>
    <w:rsid w:val="00436E05"/>
    <w:rsid w:val="00437090"/>
    <w:rsid w:val="00437165"/>
    <w:rsid w:val="00437281"/>
    <w:rsid w:val="0043735B"/>
    <w:rsid w:val="00437733"/>
    <w:rsid w:val="0043777A"/>
    <w:rsid w:val="004377A0"/>
    <w:rsid w:val="00437812"/>
    <w:rsid w:val="00437852"/>
    <w:rsid w:val="00437883"/>
    <w:rsid w:val="004378B1"/>
    <w:rsid w:val="0043791A"/>
    <w:rsid w:val="0043791D"/>
    <w:rsid w:val="004379DF"/>
    <w:rsid w:val="00437AC9"/>
    <w:rsid w:val="00437C4A"/>
    <w:rsid w:val="00437DC6"/>
    <w:rsid w:val="00437E6E"/>
    <w:rsid w:val="00437E9D"/>
    <w:rsid w:val="00437FB2"/>
    <w:rsid w:val="00437FD6"/>
    <w:rsid w:val="00440019"/>
    <w:rsid w:val="00440060"/>
    <w:rsid w:val="004401CF"/>
    <w:rsid w:val="0044021F"/>
    <w:rsid w:val="00440278"/>
    <w:rsid w:val="004402D9"/>
    <w:rsid w:val="0044035C"/>
    <w:rsid w:val="004403AA"/>
    <w:rsid w:val="00440404"/>
    <w:rsid w:val="00440616"/>
    <w:rsid w:val="0044063D"/>
    <w:rsid w:val="0044083F"/>
    <w:rsid w:val="004408A6"/>
    <w:rsid w:val="004408F7"/>
    <w:rsid w:val="004409D9"/>
    <w:rsid w:val="00440AFF"/>
    <w:rsid w:val="00440B36"/>
    <w:rsid w:val="00440C4B"/>
    <w:rsid w:val="00440C6A"/>
    <w:rsid w:val="00440DB2"/>
    <w:rsid w:val="00440E28"/>
    <w:rsid w:val="00440E94"/>
    <w:rsid w:val="00440E98"/>
    <w:rsid w:val="00441002"/>
    <w:rsid w:val="0044109E"/>
    <w:rsid w:val="0044128C"/>
    <w:rsid w:val="004412FF"/>
    <w:rsid w:val="0044137B"/>
    <w:rsid w:val="004413AF"/>
    <w:rsid w:val="00441444"/>
    <w:rsid w:val="0044146D"/>
    <w:rsid w:val="0044147D"/>
    <w:rsid w:val="00441958"/>
    <w:rsid w:val="00441A9B"/>
    <w:rsid w:val="00441B67"/>
    <w:rsid w:val="00441C7A"/>
    <w:rsid w:val="00441CA2"/>
    <w:rsid w:val="00441D33"/>
    <w:rsid w:val="00441DEA"/>
    <w:rsid w:val="00441F83"/>
    <w:rsid w:val="00442048"/>
    <w:rsid w:val="0044219C"/>
    <w:rsid w:val="004421F0"/>
    <w:rsid w:val="0044227A"/>
    <w:rsid w:val="004422FF"/>
    <w:rsid w:val="0044247D"/>
    <w:rsid w:val="00442500"/>
    <w:rsid w:val="00442523"/>
    <w:rsid w:val="0044253D"/>
    <w:rsid w:val="004425E8"/>
    <w:rsid w:val="004425F8"/>
    <w:rsid w:val="0044262E"/>
    <w:rsid w:val="0044266F"/>
    <w:rsid w:val="00442706"/>
    <w:rsid w:val="00442988"/>
    <w:rsid w:val="004429AC"/>
    <w:rsid w:val="00442D5E"/>
    <w:rsid w:val="00442E18"/>
    <w:rsid w:val="00442E72"/>
    <w:rsid w:val="00442EF3"/>
    <w:rsid w:val="00442F6D"/>
    <w:rsid w:val="00443078"/>
    <w:rsid w:val="0044319C"/>
    <w:rsid w:val="004431A6"/>
    <w:rsid w:val="004431DB"/>
    <w:rsid w:val="00443315"/>
    <w:rsid w:val="004433DD"/>
    <w:rsid w:val="0044340D"/>
    <w:rsid w:val="004434D6"/>
    <w:rsid w:val="00443571"/>
    <w:rsid w:val="004436E0"/>
    <w:rsid w:val="004438A6"/>
    <w:rsid w:val="004439A9"/>
    <w:rsid w:val="004439AF"/>
    <w:rsid w:val="00443B31"/>
    <w:rsid w:val="00443B7D"/>
    <w:rsid w:val="00443BC2"/>
    <w:rsid w:val="00443CAC"/>
    <w:rsid w:val="00443CB3"/>
    <w:rsid w:val="00443CBC"/>
    <w:rsid w:val="00443D5B"/>
    <w:rsid w:val="00444198"/>
    <w:rsid w:val="004441F0"/>
    <w:rsid w:val="004441F8"/>
    <w:rsid w:val="00444247"/>
    <w:rsid w:val="004442DC"/>
    <w:rsid w:val="004442F4"/>
    <w:rsid w:val="00444592"/>
    <w:rsid w:val="0044467D"/>
    <w:rsid w:val="00444681"/>
    <w:rsid w:val="0044478B"/>
    <w:rsid w:val="004448C9"/>
    <w:rsid w:val="00444B2F"/>
    <w:rsid w:val="00444CF7"/>
    <w:rsid w:val="00444D35"/>
    <w:rsid w:val="00444D6E"/>
    <w:rsid w:val="00444EAA"/>
    <w:rsid w:val="00444F75"/>
    <w:rsid w:val="00444F9D"/>
    <w:rsid w:val="00445502"/>
    <w:rsid w:val="00445ACE"/>
    <w:rsid w:val="00445CBA"/>
    <w:rsid w:val="00445EB8"/>
    <w:rsid w:val="00445EC7"/>
    <w:rsid w:val="0044604B"/>
    <w:rsid w:val="00446064"/>
    <w:rsid w:val="0044618C"/>
    <w:rsid w:val="004461AE"/>
    <w:rsid w:val="00446455"/>
    <w:rsid w:val="004464D6"/>
    <w:rsid w:val="0044678F"/>
    <w:rsid w:val="004467D7"/>
    <w:rsid w:val="004467DF"/>
    <w:rsid w:val="00446807"/>
    <w:rsid w:val="00446859"/>
    <w:rsid w:val="00446962"/>
    <w:rsid w:val="004469E9"/>
    <w:rsid w:val="00446A8F"/>
    <w:rsid w:val="00446B38"/>
    <w:rsid w:val="00446B6F"/>
    <w:rsid w:val="00446D2F"/>
    <w:rsid w:val="00446D72"/>
    <w:rsid w:val="00446DB2"/>
    <w:rsid w:val="00446DC0"/>
    <w:rsid w:val="0044709B"/>
    <w:rsid w:val="004470CE"/>
    <w:rsid w:val="004471A7"/>
    <w:rsid w:val="004473BB"/>
    <w:rsid w:val="00447452"/>
    <w:rsid w:val="00447548"/>
    <w:rsid w:val="004475FF"/>
    <w:rsid w:val="00447893"/>
    <w:rsid w:val="00447953"/>
    <w:rsid w:val="0044797B"/>
    <w:rsid w:val="00447CC4"/>
    <w:rsid w:val="00447DC7"/>
    <w:rsid w:val="00447DDB"/>
    <w:rsid w:val="00447EBB"/>
    <w:rsid w:val="00447F84"/>
    <w:rsid w:val="0045030D"/>
    <w:rsid w:val="00450323"/>
    <w:rsid w:val="0045041B"/>
    <w:rsid w:val="00450441"/>
    <w:rsid w:val="004506F5"/>
    <w:rsid w:val="0045070D"/>
    <w:rsid w:val="00450775"/>
    <w:rsid w:val="00450926"/>
    <w:rsid w:val="00450A65"/>
    <w:rsid w:val="00450BA2"/>
    <w:rsid w:val="00450BAA"/>
    <w:rsid w:val="00450C59"/>
    <w:rsid w:val="00450C72"/>
    <w:rsid w:val="00450CE3"/>
    <w:rsid w:val="00450DC3"/>
    <w:rsid w:val="00450E3E"/>
    <w:rsid w:val="00450F0C"/>
    <w:rsid w:val="00450FAF"/>
    <w:rsid w:val="0045100C"/>
    <w:rsid w:val="0045111B"/>
    <w:rsid w:val="0045114E"/>
    <w:rsid w:val="00451386"/>
    <w:rsid w:val="004514FA"/>
    <w:rsid w:val="00451593"/>
    <w:rsid w:val="0045162C"/>
    <w:rsid w:val="00451673"/>
    <w:rsid w:val="00451838"/>
    <w:rsid w:val="00451918"/>
    <w:rsid w:val="00451A7B"/>
    <w:rsid w:val="00451C19"/>
    <w:rsid w:val="00451C38"/>
    <w:rsid w:val="00451D34"/>
    <w:rsid w:val="00451DF2"/>
    <w:rsid w:val="00451E62"/>
    <w:rsid w:val="00451E82"/>
    <w:rsid w:val="00451F54"/>
    <w:rsid w:val="0045208D"/>
    <w:rsid w:val="00452176"/>
    <w:rsid w:val="00452298"/>
    <w:rsid w:val="004525CB"/>
    <w:rsid w:val="00452708"/>
    <w:rsid w:val="00452731"/>
    <w:rsid w:val="00452736"/>
    <w:rsid w:val="0045284C"/>
    <w:rsid w:val="00452874"/>
    <w:rsid w:val="004528A1"/>
    <w:rsid w:val="004528C7"/>
    <w:rsid w:val="00452A27"/>
    <w:rsid w:val="00452AD7"/>
    <w:rsid w:val="00452BF6"/>
    <w:rsid w:val="00452CB8"/>
    <w:rsid w:val="00452D3E"/>
    <w:rsid w:val="00453023"/>
    <w:rsid w:val="00453075"/>
    <w:rsid w:val="0045332F"/>
    <w:rsid w:val="00453380"/>
    <w:rsid w:val="004534E1"/>
    <w:rsid w:val="004535B4"/>
    <w:rsid w:val="0045367E"/>
    <w:rsid w:val="004539F1"/>
    <w:rsid w:val="00453A5E"/>
    <w:rsid w:val="00453AA6"/>
    <w:rsid w:val="00453AC4"/>
    <w:rsid w:val="00453B7D"/>
    <w:rsid w:val="00453BCE"/>
    <w:rsid w:val="00453F0A"/>
    <w:rsid w:val="00454177"/>
    <w:rsid w:val="004542DF"/>
    <w:rsid w:val="0045435D"/>
    <w:rsid w:val="0045439D"/>
    <w:rsid w:val="00454585"/>
    <w:rsid w:val="0045476E"/>
    <w:rsid w:val="00454855"/>
    <w:rsid w:val="004548F5"/>
    <w:rsid w:val="0045498E"/>
    <w:rsid w:val="00454A60"/>
    <w:rsid w:val="00454C73"/>
    <w:rsid w:val="00454CA4"/>
    <w:rsid w:val="00454CC8"/>
    <w:rsid w:val="00454F22"/>
    <w:rsid w:val="004550AB"/>
    <w:rsid w:val="0045512B"/>
    <w:rsid w:val="00455177"/>
    <w:rsid w:val="00455260"/>
    <w:rsid w:val="00455368"/>
    <w:rsid w:val="004553A1"/>
    <w:rsid w:val="0045543A"/>
    <w:rsid w:val="0045553D"/>
    <w:rsid w:val="00455543"/>
    <w:rsid w:val="00455796"/>
    <w:rsid w:val="0045579F"/>
    <w:rsid w:val="00455817"/>
    <w:rsid w:val="0045593D"/>
    <w:rsid w:val="00455B21"/>
    <w:rsid w:val="00455BFA"/>
    <w:rsid w:val="00455C54"/>
    <w:rsid w:val="00455D5D"/>
    <w:rsid w:val="0045601F"/>
    <w:rsid w:val="00456057"/>
    <w:rsid w:val="00456061"/>
    <w:rsid w:val="004561C9"/>
    <w:rsid w:val="00456292"/>
    <w:rsid w:val="00456429"/>
    <w:rsid w:val="0045648C"/>
    <w:rsid w:val="004564E4"/>
    <w:rsid w:val="004566DB"/>
    <w:rsid w:val="00456A1D"/>
    <w:rsid w:val="00456ACF"/>
    <w:rsid w:val="00456B30"/>
    <w:rsid w:val="00456B76"/>
    <w:rsid w:val="00456E5F"/>
    <w:rsid w:val="00456FD0"/>
    <w:rsid w:val="00457150"/>
    <w:rsid w:val="00457163"/>
    <w:rsid w:val="00457228"/>
    <w:rsid w:val="00457238"/>
    <w:rsid w:val="00457245"/>
    <w:rsid w:val="00457433"/>
    <w:rsid w:val="0045745D"/>
    <w:rsid w:val="004575B5"/>
    <w:rsid w:val="00457747"/>
    <w:rsid w:val="00457890"/>
    <w:rsid w:val="004578F0"/>
    <w:rsid w:val="00457AA3"/>
    <w:rsid w:val="00457B86"/>
    <w:rsid w:val="00457C40"/>
    <w:rsid w:val="00457C78"/>
    <w:rsid w:val="00457D08"/>
    <w:rsid w:val="00457D78"/>
    <w:rsid w:val="00457E95"/>
    <w:rsid w:val="00460015"/>
    <w:rsid w:val="0046029C"/>
    <w:rsid w:val="004602CC"/>
    <w:rsid w:val="0046033A"/>
    <w:rsid w:val="0046039E"/>
    <w:rsid w:val="004603C6"/>
    <w:rsid w:val="00460501"/>
    <w:rsid w:val="00460570"/>
    <w:rsid w:val="004606FB"/>
    <w:rsid w:val="00460741"/>
    <w:rsid w:val="00460773"/>
    <w:rsid w:val="00460863"/>
    <w:rsid w:val="004609BD"/>
    <w:rsid w:val="00460AAD"/>
    <w:rsid w:val="00460DBC"/>
    <w:rsid w:val="00460E65"/>
    <w:rsid w:val="00460EDF"/>
    <w:rsid w:val="00460FDF"/>
    <w:rsid w:val="0046104B"/>
    <w:rsid w:val="004610B5"/>
    <w:rsid w:val="004612DC"/>
    <w:rsid w:val="00461309"/>
    <w:rsid w:val="00461352"/>
    <w:rsid w:val="0046135C"/>
    <w:rsid w:val="00461447"/>
    <w:rsid w:val="00461568"/>
    <w:rsid w:val="00461594"/>
    <w:rsid w:val="00461750"/>
    <w:rsid w:val="00461764"/>
    <w:rsid w:val="00461818"/>
    <w:rsid w:val="0046184E"/>
    <w:rsid w:val="004618DB"/>
    <w:rsid w:val="00461BBF"/>
    <w:rsid w:val="00461DC0"/>
    <w:rsid w:val="00461DE3"/>
    <w:rsid w:val="00462177"/>
    <w:rsid w:val="00462178"/>
    <w:rsid w:val="004622FC"/>
    <w:rsid w:val="00462328"/>
    <w:rsid w:val="0046234D"/>
    <w:rsid w:val="00462418"/>
    <w:rsid w:val="004624A5"/>
    <w:rsid w:val="00462826"/>
    <w:rsid w:val="00462905"/>
    <w:rsid w:val="004629D3"/>
    <w:rsid w:val="00462C2A"/>
    <w:rsid w:val="00462E37"/>
    <w:rsid w:val="00462EAC"/>
    <w:rsid w:val="00462F1C"/>
    <w:rsid w:val="004630D9"/>
    <w:rsid w:val="004630EA"/>
    <w:rsid w:val="00463115"/>
    <w:rsid w:val="0046314B"/>
    <w:rsid w:val="0046314E"/>
    <w:rsid w:val="004631E9"/>
    <w:rsid w:val="0046325B"/>
    <w:rsid w:val="004633A2"/>
    <w:rsid w:val="004633F7"/>
    <w:rsid w:val="004635E8"/>
    <w:rsid w:val="004635FF"/>
    <w:rsid w:val="004636BC"/>
    <w:rsid w:val="00463738"/>
    <w:rsid w:val="00463974"/>
    <w:rsid w:val="00463AFC"/>
    <w:rsid w:val="00463C76"/>
    <w:rsid w:val="00463D9A"/>
    <w:rsid w:val="00463E53"/>
    <w:rsid w:val="00463F9F"/>
    <w:rsid w:val="00464153"/>
    <w:rsid w:val="00464481"/>
    <w:rsid w:val="00464556"/>
    <w:rsid w:val="0046466E"/>
    <w:rsid w:val="004646A8"/>
    <w:rsid w:val="004646E5"/>
    <w:rsid w:val="00464934"/>
    <w:rsid w:val="004649C5"/>
    <w:rsid w:val="004649C8"/>
    <w:rsid w:val="00464BE5"/>
    <w:rsid w:val="00464C49"/>
    <w:rsid w:val="00464D70"/>
    <w:rsid w:val="00464DA5"/>
    <w:rsid w:val="00464E6B"/>
    <w:rsid w:val="00464FC9"/>
    <w:rsid w:val="004651F1"/>
    <w:rsid w:val="00465235"/>
    <w:rsid w:val="004653AB"/>
    <w:rsid w:val="004653E9"/>
    <w:rsid w:val="00465514"/>
    <w:rsid w:val="004655A6"/>
    <w:rsid w:val="004655B0"/>
    <w:rsid w:val="00465699"/>
    <w:rsid w:val="004656C7"/>
    <w:rsid w:val="0046580B"/>
    <w:rsid w:val="0046584C"/>
    <w:rsid w:val="00465A22"/>
    <w:rsid w:val="00465A57"/>
    <w:rsid w:val="00465B6D"/>
    <w:rsid w:val="00465BC5"/>
    <w:rsid w:val="00465C08"/>
    <w:rsid w:val="00465C8E"/>
    <w:rsid w:val="00465EAF"/>
    <w:rsid w:val="00465FD0"/>
    <w:rsid w:val="00465FF0"/>
    <w:rsid w:val="00466054"/>
    <w:rsid w:val="00466295"/>
    <w:rsid w:val="00466303"/>
    <w:rsid w:val="004665C7"/>
    <w:rsid w:val="00466A50"/>
    <w:rsid w:val="00466C27"/>
    <w:rsid w:val="00466DD4"/>
    <w:rsid w:val="00467003"/>
    <w:rsid w:val="00467071"/>
    <w:rsid w:val="004671CF"/>
    <w:rsid w:val="004673C9"/>
    <w:rsid w:val="0046743E"/>
    <w:rsid w:val="0046744C"/>
    <w:rsid w:val="004675B6"/>
    <w:rsid w:val="004675EE"/>
    <w:rsid w:val="00467780"/>
    <w:rsid w:val="00467ACC"/>
    <w:rsid w:val="00467C5D"/>
    <w:rsid w:val="00467C76"/>
    <w:rsid w:val="00467DCB"/>
    <w:rsid w:val="00467ECF"/>
    <w:rsid w:val="00470022"/>
    <w:rsid w:val="00470096"/>
    <w:rsid w:val="00470173"/>
    <w:rsid w:val="004702DE"/>
    <w:rsid w:val="004706A2"/>
    <w:rsid w:val="004708AB"/>
    <w:rsid w:val="00470AC0"/>
    <w:rsid w:val="00470B52"/>
    <w:rsid w:val="00470E33"/>
    <w:rsid w:val="00470E76"/>
    <w:rsid w:val="00470F07"/>
    <w:rsid w:val="004711C3"/>
    <w:rsid w:val="0047124A"/>
    <w:rsid w:val="00471262"/>
    <w:rsid w:val="004713F2"/>
    <w:rsid w:val="00471409"/>
    <w:rsid w:val="00471545"/>
    <w:rsid w:val="00471589"/>
    <w:rsid w:val="0047164E"/>
    <w:rsid w:val="0047166A"/>
    <w:rsid w:val="00471686"/>
    <w:rsid w:val="00471723"/>
    <w:rsid w:val="00471806"/>
    <w:rsid w:val="00471918"/>
    <w:rsid w:val="00471B15"/>
    <w:rsid w:val="00471B49"/>
    <w:rsid w:val="00471B63"/>
    <w:rsid w:val="00471C44"/>
    <w:rsid w:val="00471CD6"/>
    <w:rsid w:val="00471D45"/>
    <w:rsid w:val="00471D67"/>
    <w:rsid w:val="00471DD3"/>
    <w:rsid w:val="0047210E"/>
    <w:rsid w:val="00472316"/>
    <w:rsid w:val="00472330"/>
    <w:rsid w:val="0047236F"/>
    <w:rsid w:val="00472394"/>
    <w:rsid w:val="004724EE"/>
    <w:rsid w:val="004725BB"/>
    <w:rsid w:val="0047261C"/>
    <w:rsid w:val="0047279C"/>
    <w:rsid w:val="00472874"/>
    <w:rsid w:val="00472D81"/>
    <w:rsid w:val="00472DF0"/>
    <w:rsid w:val="00472F25"/>
    <w:rsid w:val="00472F2F"/>
    <w:rsid w:val="00472F32"/>
    <w:rsid w:val="00472F55"/>
    <w:rsid w:val="00473003"/>
    <w:rsid w:val="004730E6"/>
    <w:rsid w:val="00473254"/>
    <w:rsid w:val="004736AD"/>
    <w:rsid w:val="0047392D"/>
    <w:rsid w:val="00473996"/>
    <w:rsid w:val="00473A2E"/>
    <w:rsid w:val="00473A33"/>
    <w:rsid w:val="00473A59"/>
    <w:rsid w:val="00473B48"/>
    <w:rsid w:val="00473D4A"/>
    <w:rsid w:val="00473E60"/>
    <w:rsid w:val="00473F9B"/>
    <w:rsid w:val="00473FDB"/>
    <w:rsid w:val="00473FFE"/>
    <w:rsid w:val="004740B3"/>
    <w:rsid w:val="004741BA"/>
    <w:rsid w:val="004741D5"/>
    <w:rsid w:val="0047434A"/>
    <w:rsid w:val="0047439D"/>
    <w:rsid w:val="00474500"/>
    <w:rsid w:val="0047471F"/>
    <w:rsid w:val="00474730"/>
    <w:rsid w:val="0047493B"/>
    <w:rsid w:val="00474B37"/>
    <w:rsid w:val="00474BD0"/>
    <w:rsid w:val="00474C0E"/>
    <w:rsid w:val="00474CAB"/>
    <w:rsid w:val="00474CDF"/>
    <w:rsid w:val="00474D3F"/>
    <w:rsid w:val="00474D4E"/>
    <w:rsid w:val="00474DA5"/>
    <w:rsid w:val="00474E52"/>
    <w:rsid w:val="00474EDD"/>
    <w:rsid w:val="00474FEE"/>
    <w:rsid w:val="0047513E"/>
    <w:rsid w:val="004752D1"/>
    <w:rsid w:val="00475458"/>
    <w:rsid w:val="004758F8"/>
    <w:rsid w:val="00475962"/>
    <w:rsid w:val="00475C28"/>
    <w:rsid w:val="00475D56"/>
    <w:rsid w:val="00475E07"/>
    <w:rsid w:val="00475F32"/>
    <w:rsid w:val="004761E6"/>
    <w:rsid w:val="00476224"/>
    <w:rsid w:val="00476359"/>
    <w:rsid w:val="0047636C"/>
    <w:rsid w:val="0047637D"/>
    <w:rsid w:val="004764E0"/>
    <w:rsid w:val="004764FF"/>
    <w:rsid w:val="004765F6"/>
    <w:rsid w:val="00476625"/>
    <w:rsid w:val="0047664F"/>
    <w:rsid w:val="0047685C"/>
    <w:rsid w:val="00476874"/>
    <w:rsid w:val="004768A3"/>
    <w:rsid w:val="004768F7"/>
    <w:rsid w:val="0047690E"/>
    <w:rsid w:val="0047692A"/>
    <w:rsid w:val="00476935"/>
    <w:rsid w:val="00476C3A"/>
    <w:rsid w:val="00476CE1"/>
    <w:rsid w:val="00476D89"/>
    <w:rsid w:val="00476E6B"/>
    <w:rsid w:val="00476E78"/>
    <w:rsid w:val="00476F2A"/>
    <w:rsid w:val="0047703D"/>
    <w:rsid w:val="004771ED"/>
    <w:rsid w:val="004773A0"/>
    <w:rsid w:val="004775B0"/>
    <w:rsid w:val="004775D6"/>
    <w:rsid w:val="004776D1"/>
    <w:rsid w:val="0047783F"/>
    <w:rsid w:val="00477871"/>
    <w:rsid w:val="004778C8"/>
    <w:rsid w:val="00477948"/>
    <w:rsid w:val="00477984"/>
    <w:rsid w:val="004779BA"/>
    <w:rsid w:val="00477A9D"/>
    <w:rsid w:val="00477B4C"/>
    <w:rsid w:val="00477B87"/>
    <w:rsid w:val="00477CB9"/>
    <w:rsid w:val="00477FF6"/>
    <w:rsid w:val="0048000A"/>
    <w:rsid w:val="00480058"/>
    <w:rsid w:val="004801C7"/>
    <w:rsid w:val="004802BB"/>
    <w:rsid w:val="00480394"/>
    <w:rsid w:val="00480410"/>
    <w:rsid w:val="00480417"/>
    <w:rsid w:val="00480445"/>
    <w:rsid w:val="0048048C"/>
    <w:rsid w:val="004804E8"/>
    <w:rsid w:val="00480550"/>
    <w:rsid w:val="004805CF"/>
    <w:rsid w:val="00480679"/>
    <w:rsid w:val="004806E8"/>
    <w:rsid w:val="00480737"/>
    <w:rsid w:val="004807BD"/>
    <w:rsid w:val="00480B6F"/>
    <w:rsid w:val="00480EDD"/>
    <w:rsid w:val="00480F23"/>
    <w:rsid w:val="00480F81"/>
    <w:rsid w:val="00480FC2"/>
    <w:rsid w:val="00481085"/>
    <w:rsid w:val="0048111F"/>
    <w:rsid w:val="00481176"/>
    <w:rsid w:val="00481178"/>
    <w:rsid w:val="00481283"/>
    <w:rsid w:val="004815A1"/>
    <w:rsid w:val="00481610"/>
    <w:rsid w:val="0048174A"/>
    <w:rsid w:val="004817BF"/>
    <w:rsid w:val="00481853"/>
    <w:rsid w:val="004818E3"/>
    <w:rsid w:val="00481953"/>
    <w:rsid w:val="004819F1"/>
    <w:rsid w:val="00481A69"/>
    <w:rsid w:val="00481EA6"/>
    <w:rsid w:val="00481F7B"/>
    <w:rsid w:val="00481FED"/>
    <w:rsid w:val="0048203B"/>
    <w:rsid w:val="00482624"/>
    <w:rsid w:val="00482810"/>
    <w:rsid w:val="0048287A"/>
    <w:rsid w:val="004828FA"/>
    <w:rsid w:val="00482998"/>
    <w:rsid w:val="004829A3"/>
    <w:rsid w:val="00482A72"/>
    <w:rsid w:val="00482A79"/>
    <w:rsid w:val="00482AA1"/>
    <w:rsid w:val="00482B9A"/>
    <w:rsid w:val="00482D51"/>
    <w:rsid w:val="00482DAE"/>
    <w:rsid w:val="00482E32"/>
    <w:rsid w:val="00482F30"/>
    <w:rsid w:val="00483198"/>
    <w:rsid w:val="0048322F"/>
    <w:rsid w:val="00483244"/>
    <w:rsid w:val="004832CD"/>
    <w:rsid w:val="00483399"/>
    <w:rsid w:val="004833AB"/>
    <w:rsid w:val="004833C3"/>
    <w:rsid w:val="004834CC"/>
    <w:rsid w:val="0048351A"/>
    <w:rsid w:val="00483591"/>
    <w:rsid w:val="004835CE"/>
    <w:rsid w:val="00483742"/>
    <w:rsid w:val="004837C1"/>
    <w:rsid w:val="004838EB"/>
    <w:rsid w:val="004838F0"/>
    <w:rsid w:val="00483971"/>
    <w:rsid w:val="004839DF"/>
    <w:rsid w:val="004839E5"/>
    <w:rsid w:val="00483C73"/>
    <w:rsid w:val="00483D1A"/>
    <w:rsid w:val="00484006"/>
    <w:rsid w:val="004840F9"/>
    <w:rsid w:val="0048435E"/>
    <w:rsid w:val="004843A4"/>
    <w:rsid w:val="0048444F"/>
    <w:rsid w:val="004844D5"/>
    <w:rsid w:val="004846AC"/>
    <w:rsid w:val="0048478A"/>
    <w:rsid w:val="004847A4"/>
    <w:rsid w:val="00484886"/>
    <w:rsid w:val="004848C6"/>
    <w:rsid w:val="004849CB"/>
    <w:rsid w:val="00484A02"/>
    <w:rsid w:val="00484A20"/>
    <w:rsid w:val="00484F62"/>
    <w:rsid w:val="00484FFA"/>
    <w:rsid w:val="004850D3"/>
    <w:rsid w:val="00485183"/>
    <w:rsid w:val="004852D7"/>
    <w:rsid w:val="00485676"/>
    <w:rsid w:val="004857A9"/>
    <w:rsid w:val="004857AC"/>
    <w:rsid w:val="004857B0"/>
    <w:rsid w:val="004857D8"/>
    <w:rsid w:val="004858A3"/>
    <w:rsid w:val="004858C0"/>
    <w:rsid w:val="0048599C"/>
    <w:rsid w:val="00485AA3"/>
    <w:rsid w:val="00485B1B"/>
    <w:rsid w:val="00485BF1"/>
    <w:rsid w:val="00485C56"/>
    <w:rsid w:val="00485D2B"/>
    <w:rsid w:val="00485D94"/>
    <w:rsid w:val="00485DB1"/>
    <w:rsid w:val="00485DCA"/>
    <w:rsid w:val="00485EC5"/>
    <w:rsid w:val="00485F4A"/>
    <w:rsid w:val="00486033"/>
    <w:rsid w:val="0048606E"/>
    <w:rsid w:val="00486235"/>
    <w:rsid w:val="00486376"/>
    <w:rsid w:val="00486387"/>
    <w:rsid w:val="0048640A"/>
    <w:rsid w:val="00486436"/>
    <w:rsid w:val="0048659A"/>
    <w:rsid w:val="004865B3"/>
    <w:rsid w:val="00486643"/>
    <w:rsid w:val="00486728"/>
    <w:rsid w:val="00486808"/>
    <w:rsid w:val="00486866"/>
    <w:rsid w:val="0048699C"/>
    <w:rsid w:val="00486A93"/>
    <w:rsid w:val="00486C61"/>
    <w:rsid w:val="00486D04"/>
    <w:rsid w:val="00486D36"/>
    <w:rsid w:val="00486D95"/>
    <w:rsid w:val="00486E15"/>
    <w:rsid w:val="00486ECF"/>
    <w:rsid w:val="00486FEC"/>
    <w:rsid w:val="00487086"/>
    <w:rsid w:val="004871FF"/>
    <w:rsid w:val="00487262"/>
    <w:rsid w:val="00487308"/>
    <w:rsid w:val="00487504"/>
    <w:rsid w:val="0048752C"/>
    <w:rsid w:val="004875E1"/>
    <w:rsid w:val="0048773A"/>
    <w:rsid w:val="00487760"/>
    <w:rsid w:val="0048789F"/>
    <w:rsid w:val="004879A2"/>
    <w:rsid w:val="004879E8"/>
    <w:rsid w:val="00487AA3"/>
    <w:rsid w:val="00487B3D"/>
    <w:rsid w:val="00487C93"/>
    <w:rsid w:val="00487C9B"/>
    <w:rsid w:val="00487CFA"/>
    <w:rsid w:val="00487D04"/>
    <w:rsid w:val="00487D4E"/>
    <w:rsid w:val="00487D91"/>
    <w:rsid w:val="00487E76"/>
    <w:rsid w:val="00487FD5"/>
    <w:rsid w:val="00490143"/>
    <w:rsid w:val="004902AE"/>
    <w:rsid w:val="004902B9"/>
    <w:rsid w:val="004903A5"/>
    <w:rsid w:val="00490481"/>
    <w:rsid w:val="004905ED"/>
    <w:rsid w:val="004906C4"/>
    <w:rsid w:val="00490949"/>
    <w:rsid w:val="00490AA8"/>
    <w:rsid w:val="00490ABA"/>
    <w:rsid w:val="00490B50"/>
    <w:rsid w:val="00490BE8"/>
    <w:rsid w:val="00490D0A"/>
    <w:rsid w:val="00490D29"/>
    <w:rsid w:val="00490D87"/>
    <w:rsid w:val="00490DD0"/>
    <w:rsid w:val="00490E44"/>
    <w:rsid w:val="00490E93"/>
    <w:rsid w:val="00491266"/>
    <w:rsid w:val="00491407"/>
    <w:rsid w:val="0049145E"/>
    <w:rsid w:val="004914B4"/>
    <w:rsid w:val="0049175A"/>
    <w:rsid w:val="004918B4"/>
    <w:rsid w:val="00491995"/>
    <w:rsid w:val="00491A34"/>
    <w:rsid w:val="00491A59"/>
    <w:rsid w:val="00491A86"/>
    <w:rsid w:val="00491E6C"/>
    <w:rsid w:val="00491E92"/>
    <w:rsid w:val="00491E9A"/>
    <w:rsid w:val="00491EED"/>
    <w:rsid w:val="0049202D"/>
    <w:rsid w:val="0049207D"/>
    <w:rsid w:val="00492102"/>
    <w:rsid w:val="0049211D"/>
    <w:rsid w:val="00492353"/>
    <w:rsid w:val="00492363"/>
    <w:rsid w:val="0049268A"/>
    <w:rsid w:val="004927C3"/>
    <w:rsid w:val="0049281D"/>
    <w:rsid w:val="00492854"/>
    <w:rsid w:val="004928AE"/>
    <w:rsid w:val="00492965"/>
    <w:rsid w:val="00492A78"/>
    <w:rsid w:val="00492AF9"/>
    <w:rsid w:val="00492CB2"/>
    <w:rsid w:val="00492D04"/>
    <w:rsid w:val="00492D17"/>
    <w:rsid w:val="00492D51"/>
    <w:rsid w:val="00492D96"/>
    <w:rsid w:val="00492F10"/>
    <w:rsid w:val="00492FD4"/>
    <w:rsid w:val="00492FDF"/>
    <w:rsid w:val="004930AB"/>
    <w:rsid w:val="00493173"/>
    <w:rsid w:val="0049320B"/>
    <w:rsid w:val="004932E1"/>
    <w:rsid w:val="0049352C"/>
    <w:rsid w:val="0049357B"/>
    <w:rsid w:val="004936DE"/>
    <w:rsid w:val="00493A34"/>
    <w:rsid w:val="00493BCA"/>
    <w:rsid w:val="00493BFD"/>
    <w:rsid w:val="00493C1F"/>
    <w:rsid w:val="00493C21"/>
    <w:rsid w:val="00493C47"/>
    <w:rsid w:val="00493C51"/>
    <w:rsid w:val="00493D3F"/>
    <w:rsid w:val="00493FC7"/>
    <w:rsid w:val="00494155"/>
    <w:rsid w:val="004941C5"/>
    <w:rsid w:val="0049423B"/>
    <w:rsid w:val="004943E2"/>
    <w:rsid w:val="00494468"/>
    <w:rsid w:val="00494A17"/>
    <w:rsid w:val="00494A77"/>
    <w:rsid w:val="00494A7D"/>
    <w:rsid w:val="00494B36"/>
    <w:rsid w:val="00494BCA"/>
    <w:rsid w:val="00494F48"/>
    <w:rsid w:val="00495095"/>
    <w:rsid w:val="00495139"/>
    <w:rsid w:val="0049518D"/>
    <w:rsid w:val="00495254"/>
    <w:rsid w:val="00495380"/>
    <w:rsid w:val="004953B2"/>
    <w:rsid w:val="00495413"/>
    <w:rsid w:val="004954C5"/>
    <w:rsid w:val="00495560"/>
    <w:rsid w:val="00495569"/>
    <w:rsid w:val="0049570A"/>
    <w:rsid w:val="00495816"/>
    <w:rsid w:val="00495935"/>
    <w:rsid w:val="00495980"/>
    <w:rsid w:val="00495A39"/>
    <w:rsid w:val="004960E7"/>
    <w:rsid w:val="0049633E"/>
    <w:rsid w:val="00496344"/>
    <w:rsid w:val="0049657C"/>
    <w:rsid w:val="0049675C"/>
    <w:rsid w:val="004967AF"/>
    <w:rsid w:val="004967E2"/>
    <w:rsid w:val="0049681C"/>
    <w:rsid w:val="004968DF"/>
    <w:rsid w:val="004969D1"/>
    <w:rsid w:val="00496A5B"/>
    <w:rsid w:val="00496A6A"/>
    <w:rsid w:val="00496B3D"/>
    <w:rsid w:val="00496B98"/>
    <w:rsid w:val="00496C33"/>
    <w:rsid w:val="00496E73"/>
    <w:rsid w:val="004970FC"/>
    <w:rsid w:val="00497311"/>
    <w:rsid w:val="004973E0"/>
    <w:rsid w:val="004973F5"/>
    <w:rsid w:val="004974BF"/>
    <w:rsid w:val="0049750B"/>
    <w:rsid w:val="0049755D"/>
    <w:rsid w:val="00497603"/>
    <w:rsid w:val="0049768B"/>
    <w:rsid w:val="00497728"/>
    <w:rsid w:val="0049772C"/>
    <w:rsid w:val="00497740"/>
    <w:rsid w:val="00497868"/>
    <w:rsid w:val="00497D56"/>
    <w:rsid w:val="00497DDA"/>
    <w:rsid w:val="00497EAF"/>
    <w:rsid w:val="00497EBF"/>
    <w:rsid w:val="00497FAE"/>
    <w:rsid w:val="004A01AD"/>
    <w:rsid w:val="004A01C5"/>
    <w:rsid w:val="004A0484"/>
    <w:rsid w:val="004A048D"/>
    <w:rsid w:val="004A04CD"/>
    <w:rsid w:val="004A073A"/>
    <w:rsid w:val="004A07FC"/>
    <w:rsid w:val="004A081F"/>
    <w:rsid w:val="004A08B5"/>
    <w:rsid w:val="004A08B9"/>
    <w:rsid w:val="004A08D7"/>
    <w:rsid w:val="004A0910"/>
    <w:rsid w:val="004A0AE8"/>
    <w:rsid w:val="004A0B01"/>
    <w:rsid w:val="004A0C85"/>
    <w:rsid w:val="004A0CCD"/>
    <w:rsid w:val="004A0F15"/>
    <w:rsid w:val="004A0F1B"/>
    <w:rsid w:val="004A1014"/>
    <w:rsid w:val="004A104E"/>
    <w:rsid w:val="004A1143"/>
    <w:rsid w:val="004A11AF"/>
    <w:rsid w:val="004A11F3"/>
    <w:rsid w:val="004A128D"/>
    <w:rsid w:val="004A13EB"/>
    <w:rsid w:val="004A1462"/>
    <w:rsid w:val="004A1494"/>
    <w:rsid w:val="004A161C"/>
    <w:rsid w:val="004A179D"/>
    <w:rsid w:val="004A194E"/>
    <w:rsid w:val="004A19AE"/>
    <w:rsid w:val="004A1B0D"/>
    <w:rsid w:val="004A1B25"/>
    <w:rsid w:val="004A1B8D"/>
    <w:rsid w:val="004A1C07"/>
    <w:rsid w:val="004A1CB3"/>
    <w:rsid w:val="004A1D5A"/>
    <w:rsid w:val="004A1DE4"/>
    <w:rsid w:val="004A1E54"/>
    <w:rsid w:val="004A1E86"/>
    <w:rsid w:val="004A22D3"/>
    <w:rsid w:val="004A22EE"/>
    <w:rsid w:val="004A23F8"/>
    <w:rsid w:val="004A2421"/>
    <w:rsid w:val="004A25E0"/>
    <w:rsid w:val="004A26BA"/>
    <w:rsid w:val="004A26D8"/>
    <w:rsid w:val="004A280A"/>
    <w:rsid w:val="004A2A07"/>
    <w:rsid w:val="004A2A43"/>
    <w:rsid w:val="004A2A47"/>
    <w:rsid w:val="004A2AAC"/>
    <w:rsid w:val="004A2AFC"/>
    <w:rsid w:val="004A2B05"/>
    <w:rsid w:val="004A2C61"/>
    <w:rsid w:val="004A2DC6"/>
    <w:rsid w:val="004A2E3B"/>
    <w:rsid w:val="004A2EC8"/>
    <w:rsid w:val="004A2F0B"/>
    <w:rsid w:val="004A2F5D"/>
    <w:rsid w:val="004A30AA"/>
    <w:rsid w:val="004A329A"/>
    <w:rsid w:val="004A32B0"/>
    <w:rsid w:val="004A3522"/>
    <w:rsid w:val="004A3583"/>
    <w:rsid w:val="004A35C1"/>
    <w:rsid w:val="004A3629"/>
    <w:rsid w:val="004A3827"/>
    <w:rsid w:val="004A3B1A"/>
    <w:rsid w:val="004A3B50"/>
    <w:rsid w:val="004A3BF0"/>
    <w:rsid w:val="004A408B"/>
    <w:rsid w:val="004A42E3"/>
    <w:rsid w:val="004A445E"/>
    <w:rsid w:val="004A480A"/>
    <w:rsid w:val="004A48D0"/>
    <w:rsid w:val="004A4A6C"/>
    <w:rsid w:val="004A4B52"/>
    <w:rsid w:val="004A4BBF"/>
    <w:rsid w:val="004A4C66"/>
    <w:rsid w:val="004A4E2A"/>
    <w:rsid w:val="004A4E8C"/>
    <w:rsid w:val="004A5076"/>
    <w:rsid w:val="004A52E6"/>
    <w:rsid w:val="004A5313"/>
    <w:rsid w:val="004A53AD"/>
    <w:rsid w:val="004A5786"/>
    <w:rsid w:val="004A57F1"/>
    <w:rsid w:val="004A58C2"/>
    <w:rsid w:val="004A58F8"/>
    <w:rsid w:val="004A59C0"/>
    <w:rsid w:val="004A59DC"/>
    <w:rsid w:val="004A59F2"/>
    <w:rsid w:val="004A5CD1"/>
    <w:rsid w:val="004A5D2D"/>
    <w:rsid w:val="004A5D72"/>
    <w:rsid w:val="004A5EAC"/>
    <w:rsid w:val="004A5F95"/>
    <w:rsid w:val="004A60FC"/>
    <w:rsid w:val="004A617C"/>
    <w:rsid w:val="004A621A"/>
    <w:rsid w:val="004A6289"/>
    <w:rsid w:val="004A657B"/>
    <w:rsid w:val="004A66B8"/>
    <w:rsid w:val="004A681D"/>
    <w:rsid w:val="004A6857"/>
    <w:rsid w:val="004A692D"/>
    <w:rsid w:val="004A6B69"/>
    <w:rsid w:val="004A6DF2"/>
    <w:rsid w:val="004A6F4C"/>
    <w:rsid w:val="004A6FB6"/>
    <w:rsid w:val="004A7026"/>
    <w:rsid w:val="004A7363"/>
    <w:rsid w:val="004A7384"/>
    <w:rsid w:val="004A73E7"/>
    <w:rsid w:val="004A73F8"/>
    <w:rsid w:val="004A75F2"/>
    <w:rsid w:val="004A7754"/>
    <w:rsid w:val="004A7808"/>
    <w:rsid w:val="004A7A61"/>
    <w:rsid w:val="004A7A82"/>
    <w:rsid w:val="004A7B06"/>
    <w:rsid w:val="004A7B2B"/>
    <w:rsid w:val="004A7B45"/>
    <w:rsid w:val="004A7B4C"/>
    <w:rsid w:val="004A7BAB"/>
    <w:rsid w:val="004A7BE9"/>
    <w:rsid w:val="004A7D55"/>
    <w:rsid w:val="004A7E67"/>
    <w:rsid w:val="004A7EA3"/>
    <w:rsid w:val="004A7F98"/>
    <w:rsid w:val="004B0136"/>
    <w:rsid w:val="004B023A"/>
    <w:rsid w:val="004B03B0"/>
    <w:rsid w:val="004B03B9"/>
    <w:rsid w:val="004B03C9"/>
    <w:rsid w:val="004B03EE"/>
    <w:rsid w:val="004B0513"/>
    <w:rsid w:val="004B0554"/>
    <w:rsid w:val="004B0728"/>
    <w:rsid w:val="004B0780"/>
    <w:rsid w:val="004B07EB"/>
    <w:rsid w:val="004B0803"/>
    <w:rsid w:val="004B0960"/>
    <w:rsid w:val="004B0D17"/>
    <w:rsid w:val="004B0D7F"/>
    <w:rsid w:val="004B0DBF"/>
    <w:rsid w:val="004B0ED9"/>
    <w:rsid w:val="004B132D"/>
    <w:rsid w:val="004B13F8"/>
    <w:rsid w:val="004B14C1"/>
    <w:rsid w:val="004B162B"/>
    <w:rsid w:val="004B16C5"/>
    <w:rsid w:val="004B181F"/>
    <w:rsid w:val="004B1C5E"/>
    <w:rsid w:val="004B1F85"/>
    <w:rsid w:val="004B2095"/>
    <w:rsid w:val="004B2199"/>
    <w:rsid w:val="004B24B1"/>
    <w:rsid w:val="004B25BE"/>
    <w:rsid w:val="004B25CA"/>
    <w:rsid w:val="004B2A88"/>
    <w:rsid w:val="004B2ABB"/>
    <w:rsid w:val="004B2B15"/>
    <w:rsid w:val="004B2BC1"/>
    <w:rsid w:val="004B2BF3"/>
    <w:rsid w:val="004B2C65"/>
    <w:rsid w:val="004B2CC4"/>
    <w:rsid w:val="004B2D35"/>
    <w:rsid w:val="004B2DB0"/>
    <w:rsid w:val="004B2E9B"/>
    <w:rsid w:val="004B2F20"/>
    <w:rsid w:val="004B311C"/>
    <w:rsid w:val="004B31BA"/>
    <w:rsid w:val="004B31BE"/>
    <w:rsid w:val="004B329C"/>
    <w:rsid w:val="004B335B"/>
    <w:rsid w:val="004B34E9"/>
    <w:rsid w:val="004B374C"/>
    <w:rsid w:val="004B3930"/>
    <w:rsid w:val="004B3997"/>
    <w:rsid w:val="004B3B8C"/>
    <w:rsid w:val="004B3C1F"/>
    <w:rsid w:val="004B3C27"/>
    <w:rsid w:val="004B3CCC"/>
    <w:rsid w:val="004B3CF2"/>
    <w:rsid w:val="004B3EF1"/>
    <w:rsid w:val="004B3F09"/>
    <w:rsid w:val="004B426E"/>
    <w:rsid w:val="004B4399"/>
    <w:rsid w:val="004B43A7"/>
    <w:rsid w:val="004B43E8"/>
    <w:rsid w:val="004B44AC"/>
    <w:rsid w:val="004B4854"/>
    <w:rsid w:val="004B48A7"/>
    <w:rsid w:val="004B499A"/>
    <w:rsid w:val="004B4AA3"/>
    <w:rsid w:val="004B4B57"/>
    <w:rsid w:val="004B4BA1"/>
    <w:rsid w:val="004B4C1D"/>
    <w:rsid w:val="004B4DAE"/>
    <w:rsid w:val="004B4E02"/>
    <w:rsid w:val="004B4E6D"/>
    <w:rsid w:val="004B5013"/>
    <w:rsid w:val="004B5021"/>
    <w:rsid w:val="004B50C3"/>
    <w:rsid w:val="004B53C4"/>
    <w:rsid w:val="004B5526"/>
    <w:rsid w:val="004B5531"/>
    <w:rsid w:val="004B5584"/>
    <w:rsid w:val="004B5753"/>
    <w:rsid w:val="004B583B"/>
    <w:rsid w:val="004B59AD"/>
    <w:rsid w:val="004B5B59"/>
    <w:rsid w:val="004B5BF3"/>
    <w:rsid w:val="004B5D6B"/>
    <w:rsid w:val="004B5ED9"/>
    <w:rsid w:val="004B5FCD"/>
    <w:rsid w:val="004B62A1"/>
    <w:rsid w:val="004B6447"/>
    <w:rsid w:val="004B65B6"/>
    <w:rsid w:val="004B66BD"/>
    <w:rsid w:val="004B697E"/>
    <w:rsid w:val="004B6A46"/>
    <w:rsid w:val="004B6BBE"/>
    <w:rsid w:val="004B6D9B"/>
    <w:rsid w:val="004B6FB9"/>
    <w:rsid w:val="004B70E9"/>
    <w:rsid w:val="004B784B"/>
    <w:rsid w:val="004B7C83"/>
    <w:rsid w:val="004B7CCE"/>
    <w:rsid w:val="004B7D89"/>
    <w:rsid w:val="004B7E0D"/>
    <w:rsid w:val="004B7E62"/>
    <w:rsid w:val="004B7FF9"/>
    <w:rsid w:val="004C0101"/>
    <w:rsid w:val="004C023F"/>
    <w:rsid w:val="004C024E"/>
    <w:rsid w:val="004C0280"/>
    <w:rsid w:val="004C02D2"/>
    <w:rsid w:val="004C0375"/>
    <w:rsid w:val="004C0530"/>
    <w:rsid w:val="004C05F4"/>
    <w:rsid w:val="004C0812"/>
    <w:rsid w:val="004C09B5"/>
    <w:rsid w:val="004C0A46"/>
    <w:rsid w:val="004C0B9E"/>
    <w:rsid w:val="004C0DB2"/>
    <w:rsid w:val="004C0F24"/>
    <w:rsid w:val="004C0F33"/>
    <w:rsid w:val="004C0FD1"/>
    <w:rsid w:val="004C1078"/>
    <w:rsid w:val="004C10D1"/>
    <w:rsid w:val="004C1285"/>
    <w:rsid w:val="004C12D1"/>
    <w:rsid w:val="004C1399"/>
    <w:rsid w:val="004C140F"/>
    <w:rsid w:val="004C149A"/>
    <w:rsid w:val="004C14E3"/>
    <w:rsid w:val="004C1537"/>
    <w:rsid w:val="004C156D"/>
    <w:rsid w:val="004C1700"/>
    <w:rsid w:val="004C18F4"/>
    <w:rsid w:val="004C19D8"/>
    <w:rsid w:val="004C1B82"/>
    <w:rsid w:val="004C1C0B"/>
    <w:rsid w:val="004C1CF4"/>
    <w:rsid w:val="004C1D47"/>
    <w:rsid w:val="004C1DA3"/>
    <w:rsid w:val="004C1DEC"/>
    <w:rsid w:val="004C1E9F"/>
    <w:rsid w:val="004C1FAE"/>
    <w:rsid w:val="004C1FCC"/>
    <w:rsid w:val="004C2013"/>
    <w:rsid w:val="004C20B4"/>
    <w:rsid w:val="004C2123"/>
    <w:rsid w:val="004C22DF"/>
    <w:rsid w:val="004C231B"/>
    <w:rsid w:val="004C2402"/>
    <w:rsid w:val="004C2477"/>
    <w:rsid w:val="004C2768"/>
    <w:rsid w:val="004C282C"/>
    <w:rsid w:val="004C28F5"/>
    <w:rsid w:val="004C2A26"/>
    <w:rsid w:val="004C2C73"/>
    <w:rsid w:val="004C3157"/>
    <w:rsid w:val="004C335C"/>
    <w:rsid w:val="004C3379"/>
    <w:rsid w:val="004C33EC"/>
    <w:rsid w:val="004C340E"/>
    <w:rsid w:val="004C3573"/>
    <w:rsid w:val="004C370B"/>
    <w:rsid w:val="004C379F"/>
    <w:rsid w:val="004C3817"/>
    <w:rsid w:val="004C38AD"/>
    <w:rsid w:val="004C39C2"/>
    <w:rsid w:val="004C3B40"/>
    <w:rsid w:val="004C3C74"/>
    <w:rsid w:val="004C3D32"/>
    <w:rsid w:val="004C3E47"/>
    <w:rsid w:val="004C3FD0"/>
    <w:rsid w:val="004C40BC"/>
    <w:rsid w:val="004C41D0"/>
    <w:rsid w:val="004C41D5"/>
    <w:rsid w:val="004C4241"/>
    <w:rsid w:val="004C4249"/>
    <w:rsid w:val="004C4294"/>
    <w:rsid w:val="004C43E2"/>
    <w:rsid w:val="004C442B"/>
    <w:rsid w:val="004C4450"/>
    <w:rsid w:val="004C45B5"/>
    <w:rsid w:val="004C464F"/>
    <w:rsid w:val="004C470E"/>
    <w:rsid w:val="004C472A"/>
    <w:rsid w:val="004C4764"/>
    <w:rsid w:val="004C47E4"/>
    <w:rsid w:val="004C4863"/>
    <w:rsid w:val="004C48B6"/>
    <w:rsid w:val="004C4929"/>
    <w:rsid w:val="004C4A96"/>
    <w:rsid w:val="004C4B0F"/>
    <w:rsid w:val="004C4B89"/>
    <w:rsid w:val="004C4BE0"/>
    <w:rsid w:val="004C4C18"/>
    <w:rsid w:val="004C4C69"/>
    <w:rsid w:val="004C4D0F"/>
    <w:rsid w:val="004C4ED8"/>
    <w:rsid w:val="004C5135"/>
    <w:rsid w:val="004C51C8"/>
    <w:rsid w:val="004C52AF"/>
    <w:rsid w:val="004C52E7"/>
    <w:rsid w:val="004C5327"/>
    <w:rsid w:val="004C5468"/>
    <w:rsid w:val="004C56C4"/>
    <w:rsid w:val="004C57B9"/>
    <w:rsid w:val="004C596A"/>
    <w:rsid w:val="004C5AF1"/>
    <w:rsid w:val="004C5D29"/>
    <w:rsid w:val="004C5DFD"/>
    <w:rsid w:val="004C5F4A"/>
    <w:rsid w:val="004C5F9F"/>
    <w:rsid w:val="004C5FC0"/>
    <w:rsid w:val="004C6257"/>
    <w:rsid w:val="004C6314"/>
    <w:rsid w:val="004C63BB"/>
    <w:rsid w:val="004C64AF"/>
    <w:rsid w:val="004C653C"/>
    <w:rsid w:val="004C6759"/>
    <w:rsid w:val="004C689E"/>
    <w:rsid w:val="004C691F"/>
    <w:rsid w:val="004C6951"/>
    <w:rsid w:val="004C6AAC"/>
    <w:rsid w:val="004C6AAE"/>
    <w:rsid w:val="004C6B9A"/>
    <w:rsid w:val="004C6BF4"/>
    <w:rsid w:val="004C6C41"/>
    <w:rsid w:val="004C6C95"/>
    <w:rsid w:val="004C6E35"/>
    <w:rsid w:val="004C6EF1"/>
    <w:rsid w:val="004C6FC4"/>
    <w:rsid w:val="004C712A"/>
    <w:rsid w:val="004C718C"/>
    <w:rsid w:val="004C71D2"/>
    <w:rsid w:val="004C721F"/>
    <w:rsid w:val="004C7225"/>
    <w:rsid w:val="004C722A"/>
    <w:rsid w:val="004C722F"/>
    <w:rsid w:val="004C73C8"/>
    <w:rsid w:val="004C7464"/>
    <w:rsid w:val="004C74E8"/>
    <w:rsid w:val="004C75E3"/>
    <w:rsid w:val="004C7656"/>
    <w:rsid w:val="004C7742"/>
    <w:rsid w:val="004C79BB"/>
    <w:rsid w:val="004C79D1"/>
    <w:rsid w:val="004C7A04"/>
    <w:rsid w:val="004C7BE8"/>
    <w:rsid w:val="004C7E3A"/>
    <w:rsid w:val="004D00A5"/>
    <w:rsid w:val="004D011A"/>
    <w:rsid w:val="004D023B"/>
    <w:rsid w:val="004D0371"/>
    <w:rsid w:val="004D0536"/>
    <w:rsid w:val="004D0548"/>
    <w:rsid w:val="004D05F0"/>
    <w:rsid w:val="004D06FA"/>
    <w:rsid w:val="004D07A7"/>
    <w:rsid w:val="004D0943"/>
    <w:rsid w:val="004D0A90"/>
    <w:rsid w:val="004D0B0B"/>
    <w:rsid w:val="004D0D7A"/>
    <w:rsid w:val="004D0E0C"/>
    <w:rsid w:val="004D0F9C"/>
    <w:rsid w:val="004D12CD"/>
    <w:rsid w:val="004D1345"/>
    <w:rsid w:val="004D1519"/>
    <w:rsid w:val="004D1576"/>
    <w:rsid w:val="004D1642"/>
    <w:rsid w:val="004D1716"/>
    <w:rsid w:val="004D17D0"/>
    <w:rsid w:val="004D18CC"/>
    <w:rsid w:val="004D1916"/>
    <w:rsid w:val="004D1A4F"/>
    <w:rsid w:val="004D1AFB"/>
    <w:rsid w:val="004D1B6B"/>
    <w:rsid w:val="004D1D8A"/>
    <w:rsid w:val="004D1E22"/>
    <w:rsid w:val="004D1FBF"/>
    <w:rsid w:val="004D20AA"/>
    <w:rsid w:val="004D20F9"/>
    <w:rsid w:val="004D217E"/>
    <w:rsid w:val="004D21A6"/>
    <w:rsid w:val="004D233F"/>
    <w:rsid w:val="004D24B9"/>
    <w:rsid w:val="004D25C8"/>
    <w:rsid w:val="004D26E4"/>
    <w:rsid w:val="004D2774"/>
    <w:rsid w:val="004D287B"/>
    <w:rsid w:val="004D2A51"/>
    <w:rsid w:val="004D2A79"/>
    <w:rsid w:val="004D2B00"/>
    <w:rsid w:val="004D2BDD"/>
    <w:rsid w:val="004D2C17"/>
    <w:rsid w:val="004D2C18"/>
    <w:rsid w:val="004D2C8D"/>
    <w:rsid w:val="004D2E4F"/>
    <w:rsid w:val="004D2F08"/>
    <w:rsid w:val="004D2F2B"/>
    <w:rsid w:val="004D3140"/>
    <w:rsid w:val="004D316C"/>
    <w:rsid w:val="004D3204"/>
    <w:rsid w:val="004D3206"/>
    <w:rsid w:val="004D320C"/>
    <w:rsid w:val="004D3397"/>
    <w:rsid w:val="004D345F"/>
    <w:rsid w:val="004D3470"/>
    <w:rsid w:val="004D3502"/>
    <w:rsid w:val="004D3612"/>
    <w:rsid w:val="004D37D0"/>
    <w:rsid w:val="004D385B"/>
    <w:rsid w:val="004D38C5"/>
    <w:rsid w:val="004D390C"/>
    <w:rsid w:val="004D3A7E"/>
    <w:rsid w:val="004D3AE9"/>
    <w:rsid w:val="004D3B47"/>
    <w:rsid w:val="004D3B4B"/>
    <w:rsid w:val="004D3C12"/>
    <w:rsid w:val="004D3C1A"/>
    <w:rsid w:val="004D3EA7"/>
    <w:rsid w:val="004D3ECC"/>
    <w:rsid w:val="004D3EDE"/>
    <w:rsid w:val="004D3F03"/>
    <w:rsid w:val="004D3FB8"/>
    <w:rsid w:val="004D3FDF"/>
    <w:rsid w:val="004D406A"/>
    <w:rsid w:val="004D422E"/>
    <w:rsid w:val="004D4234"/>
    <w:rsid w:val="004D4306"/>
    <w:rsid w:val="004D435B"/>
    <w:rsid w:val="004D446B"/>
    <w:rsid w:val="004D4943"/>
    <w:rsid w:val="004D49F8"/>
    <w:rsid w:val="004D4AA9"/>
    <w:rsid w:val="004D4CEC"/>
    <w:rsid w:val="004D4DA9"/>
    <w:rsid w:val="004D4FE6"/>
    <w:rsid w:val="004D5003"/>
    <w:rsid w:val="004D5019"/>
    <w:rsid w:val="004D5217"/>
    <w:rsid w:val="004D5233"/>
    <w:rsid w:val="004D535E"/>
    <w:rsid w:val="004D5450"/>
    <w:rsid w:val="004D547B"/>
    <w:rsid w:val="004D5756"/>
    <w:rsid w:val="004D591B"/>
    <w:rsid w:val="004D595C"/>
    <w:rsid w:val="004D5A4E"/>
    <w:rsid w:val="004D5A79"/>
    <w:rsid w:val="004D5A8F"/>
    <w:rsid w:val="004D5AD0"/>
    <w:rsid w:val="004D5CC6"/>
    <w:rsid w:val="004D5D34"/>
    <w:rsid w:val="004D5F0E"/>
    <w:rsid w:val="004D5F3D"/>
    <w:rsid w:val="004D5F85"/>
    <w:rsid w:val="004D60ED"/>
    <w:rsid w:val="004D61E8"/>
    <w:rsid w:val="004D62BE"/>
    <w:rsid w:val="004D6337"/>
    <w:rsid w:val="004D64BE"/>
    <w:rsid w:val="004D65CC"/>
    <w:rsid w:val="004D65EA"/>
    <w:rsid w:val="004D678E"/>
    <w:rsid w:val="004D6878"/>
    <w:rsid w:val="004D68D9"/>
    <w:rsid w:val="004D692E"/>
    <w:rsid w:val="004D695B"/>
    <w:rsid w:val="004D697E"/>
    <w:rsid w:val="004D6B14"/>
    <w:rsid w:val="004D6C89"/>
    <w:rsid w:val="004D6CCB"/>
    <w:rsid w:val="004D6D03"/>
    <w:rsid w:val="004D6D94"/>
    <w:rsid w:val="004D6F40"/>
    <w:rsid w:val="004D716C"/>
    <w:rsid w:val="004D7174"/>
    <w:rsid w:val="004D7219"/>
    <w:rsid w:val="004D7223"/>
    <w:rsid w:val="004D734E"/>
    <w:rsid w:val="004D749C"/>
    <w:rsid w:val="004D78F2"/>
    <w:rsid w:val="004D7B3C"/>
    <w:rsid w:val="004D7BE5"/>
    <w:rsid w:val="004D7C71"/>
    <w:rsid w:val="004D7D60"/>
    <w:rsid w:val="004D7DA0"/>
    <w:rsid w:val="004D7EEB"/>
    <w:rsid w:val="004D7EF0"/>
    <w:rsid w:val="004D7F30"/>
    <w:rsid w:val="004D7F46"/>
    <w:rsid w:val="004D7F6C"/>
    <w:rsid w:val="004D7F71"/>
    <w:rsid w:val="004E0075"/>
    <w:rsid w:val="004E00B3"/>
    <w:rsid w:val="004E0129"/>
    <w:rsid w:val="004E0134"/>
    <w:rsid w:val="004E019C"/>
    <w:rsid w:val="004E0327"/>
    <w:rsid w:val="004E0333"/>
    <w:rsid w:val="004E0535"/>
    <w:rsid w:val="004E053B"/>
    <w:rsid w:val="004E064D"/>
    <w:rsid w:val="004E06C3"/>
    <w:rsid w:val="004E0759"/>
    <w:rsid w:val="004E080C"/>
    <w:rsid w:val="004E0992"/>
    <w:rsid w:val="004E0A7B"/>
    <w:rsid w:val="004E0B40"/>
    <w:rsid w:val="004E0DB4"/>
    <w:rsid w:val="004E0EF1"/>
    <w:rsid w:val="004E0F9A"/>
    <w:rsid w:val="004E0FB9"/>
    <w:rsid w:val="004E1187"/>
    <w:rsid w:val="004E11FF"/>
    <w:rsid w:val="004E13D4"/>
    <w:rsid w:val="004E15A1"/>
    <w:rsid w:val="004E1635"/>
    <w:rsid w:val="004E1640"/>
    <w:rsid w:val="004E1930"/>
    <w:rsid w:val="004E1AEA"/>
    <w:rsid w:val="004E1C40"/>
    <w:rsid w:val="004E1CB9"/>
    <w:rsid w:val="004E1D28"/>
    <w:rsid w:val="004E1D44"/>
    <w:rsid w:val="004E1E7C"/>
    <w:rsid w:val="004E1F3D"/>
    <w:rsid w:val="004E1FD1"/>
    <w:rsid w:val="004E2017"/>
    <w:rsid w:val="004E229F"/>
    <w:rsid w:val="004E2565"/>
    <w:rsid w:val="004E2644"/>
    <w:rsid w:val="004E2659"/>
    <w:rsid w:val="004E2757"/>
    <w:rsid w:val="004E286C"/>
    <w:rsid w:val="004E289A"/>
    <w:rsid w:val="004E2913"/>
    <w:rsid w:val="004E29CB"/>
    <w:rsid w:val="004E2A0E"/>
    <w:rsid w:val="004E2B35"/>
    <w:rsid w:val="004E2CD6"/>
    <w:rsid w:val="004E2F93"/>
    <w:rsid w:val="004E3054"/>
    <w:rsid w:val="004E3140"/>
    <w:rsid w:val="004E31FD"/>
    <w:rsid w:val="004E321A"/>
    <w:rsid w:val="004E3276"/>
    <w:rsid w:val="004E334A"/>
    <w:rsid w:val="004E338A"/>
    <w:rsid w:val="004E35B8"/>
    <w:rsid w:val="004E362C"/>
    <w:rsid w:val="004E36CE"/>
    <w:rsid w:val="004E3937"/>
    <w:rsid w:val="004E3A38"/>
    <w:rsid w:val="004E3A70"/>
    <w:rsid w:val="004E3AEC"/>
    <w:rsid w:val="004E3B8C"/>
    <w:rsid w:val="004E3C1C"/>
    <w:rsid w:val="004E3C29"/>
    <w:rsid w:val="004E3EB4"/>
    <w:rsid w:val="004E4081"/>
    <w:rsid w:val="004E430E"/>
    <w:rsid w:val="004E447B"/>
    <w:rsid w:val="004E4571"/>
    <w:rsid w:val="004E460D"/>
    <w:rsid w:val="004E48C2"/>
    <w:rsid w:val="004E49EB"/>
    <w:rsid w:val="004E4B33"/>
    <w:rsid w:val="004E4CCA"/>
    <w:rsid w:val="004E4D41"/>
    <w:rsid w:val="004E4E04"/>
    <w:rsid w:val="004E5070"/>
    <w:rsid w:val="004E537B"/>
    <w:rsid w:val="004E5808"/>
    <w:rsid w:val="004E5944"/>
    <w:rsid w:val="004E5A05"/>
    <w:rsid w:val="004E5A5F"/>
    <w:rsid w:val="004E5A6C"/>
    <w:rsid w:val="004E5A7D"/>
    <w:rsid w:val="004E5BA8"/>
    <w:rsid w:val="004E5C55"/>
    <w:rsid w:val="004E5D0C"/>
    <w:rsid w:val="004E5D37"/>
    <w:rsid w:val="004E5FB6"/>
    <w:rsid w:val="004E603B"/>
    <w:rsid w:val="004E61E2"/>
    <w:rsid w:val="004E6292"/>
    <w:rsid w:val="004E6298"/>
    <w:rsid w:val="004E634B"/>
    <w:rsid w:val="004E641D"/>
    <w:rsid w:val="004E6430"/>
    <w:rsid w:val="004E6509"/>
    <w:rsid w:val="004E66E5"/>
    <w:rsid w:val="004E6912"/>
    <w:rsid w:val="004E6A5C"/>
    <w:rsid w:val="004E6A73"/>
    <w:rsid w:val="004E6B61"/>
    <w:rsid w:val="004E6C9E"/>
    <w:rsid w:val="004E6CB2"/>
    <w:rsid w:val="004E6CD2"/>
    <w:rsid w:val="004E6D46"/>
    <w:rsid w:val="004E6D95"/>
    <w:rsid w:val="004E6DAD"/>
    <w:rsid w:val="004E6DCC"/>
    <w:rsid w:val="004E6E4F"/>
    <w:rsid w:val="004E6E5E"/>
    <w:rsid w:val="004E6E6C"/>
    <w:rsid w:val="004E6E70"/>
    <w:rsid w:val="004E6E9E"/>
    <w:rsid w:val="004E6EA8"/>
    <w:rsid w:val="004E6FF7"/>
    <w:rsid w:val="004E70E2"/>
    <w:rsid w:val="004E7311"/>
    <w:rsid w:val="004E7350"/>
    <w:rsid w:val="004E73FB"/>
    <w:rsid w:val="004E7475"/>
    <w:rsid w:val="004E7697"/>
    <w:rsid w:val="004E76F0"/>
    <w:rsid w:val="004E77BD"/>
    <w:rsid w:val="004E7853"/>
    <w:rsid w:val="004E78CD"/>
    <w:rsid w:val="004E7A2E"/>
    <w:rsid w:val="004E7B19"/>
    <w:rsid w:val="004E7B59"/>
    <w:rsid w:val="004E7CDD"/>
    <w:rsid w:val="004E7DBE"/>
    <w:rsid w:val="004E7FA6"/>
    <w:rsid w:val="004F01E3"/>
    <w:rsid w:val="004F0406"/>
    <w:rsid w:val="004F0543"/>
    <w:rsid w:val="004F07DD"/>
    <w:rsid w:val="004F07DF"/>
    <w:rsid w:val="004F08E8"/>
    <w:rsid w:val="004F0A51"/>
    <w:rsid w:val="004F0A80"/>
    <w:rsid w:val="004F0BFA"/>
    <w:rsid w:val="004F0C69"/>
    <w:rsid w:val="004F0CA6"/>
    <w:rsid w:val="004F0CC3"/>
    <w:rsid w:val="004F0DDE"/>
    <w:rsid w:val="004F0FF0"/>
    <w:rsid w:val="004F1050"/>
    <w:rsid w:val="004F125C"/>
    <w:rsid w:val="004F12E4"/>
    <w:rsid w:val="004F136C"/>
    <w:rsid w:val="004F1400"/>
    <w:rsid w:val="004F1448"/>
    <w:rsid w:val="004F1613"/>
    <w:rsid w:val="004F1662"/>
    <w:rsid w:val="004F16AF"/>
    <w:rsid w:val="004F1898"/>
    <w:rsid w:val="004F18A0"/>
    <w:rsid w:val="004F1A0F"/>
    <w:rsid w:val="004F1ADB"/>
    <w:rsid w:val="004F1B2B"/>
    <w:rsid w:val="004F1D8C"/>
    <w:rsid w:val="004F1E64"/>
    <w:rsid w:val="004F1FB3"/>
    <w:rsid w:val="004F21A1"/>
    <w:rsid w:val="004F21FA"/>
    <w:rsid w:val="004F22CA"/>
    <w:rsid w:val="004F26F2"/>
    <w:rsid w:val="004F272F"/>
    <w:rsid w:val="004F2793"/>
    <w:rsid w:val="004F27F2"/>
    <w:rsid w:val="004F2829"/>
    <w:rsid w:val="004F28A9"/>
    <w:rsid w:val="004F2AA8"/>
    <w:rsid w:val="004F2C33"/>
    <w:rsid w:val="004F2E03"/>
    <w:rsid w:val="004F3073"/>
    <w:rsid w:val="004F30C5"/>
    <w:rsid w:val="004F30F5"/>
    <w:rsid w:val="004F3206"/>
    <w:rsid w:val="004F3229"/>
    <w:rsid w:val="004F32C9"/>
    <w:rsid w:val="004F337F"/>
    <w:rsid w:val="004F33FD"/>
    <w:rsid w:val="004F3465"/>
    <w:rsid w:val="004F3572"/>
    <w:rsid w:val="004F35A3"/>
    <w:rsid w:val="004F3606"/>
    <w:rsid w:val="004F368D"/>
    <w:rsid w:val="004F36C2"/>
    <w:rsid w:val="004F36DE"/>
    <w:rsid w:val="004F3941"/>
    <w:rsid w:val="004F3950"/>
    <w:rsid w:val="004F3A3B"/>
    <w:rsid w:val="004F3B27"/>
    <w:rsid w:val="004F3B6C"/>
    <w:rsid w:val="004F3C88"/>
    <w:rsid w:val="004F3C91"/>
    <w:rsid w:val="004F3D31"/>
    <w:rsid w:val="004F3D93"/>
    <w:rsid w:val="004F3D9D"/>
    <w:rsid w:val="004F3E81"/>
    <w:rsid w:val="004F3E8D"/>
    <w:rsid w:val="004F3E91"/>
    <w:rsid w:val="004F3F54"/>
    <w:rsid w:val="004F3FB0"/>
    <w:rsid w:val="004F4043"/>
    <w:rsid w:val="004F416B"/>
    <w:rsid w:val="004F421B"/>
    <w:rsid w:val="004F421D"/>
    <w:rsid w:val="004F42AA"/>
    <w:rsid w:val="004F42FF"/>
    <w:rsid w:val="004F4397"/>
    <w:rsid w:val="004F43A0"/>
    <w:rsid w:val="004F450D"/>
    <w:rsid w:val="004F462C"/>
    <w:rsid w:val="004F4742"/>
    <w:rsid w:val="004F4808"/>
    <w:rsid w:val="004F4A5C"/>
    <w:rsid w:val="004F4A9C"/>
    <w:rsid w:val="004F4B3D"/>
    <w:rsid w:val="004F4B65"/>
    <w:rsid w:val="004F4B9F"/>
    <w:rsid w:val="004F4BC8"/>
    <w:rsid w:val="004F4BF3"/>
    <w:rsid w:val="004F4C3B"/>
    <w:rsid w:val="004F4D14"/>
    <w:rsid w:val="004F4D19"/>
    <w:rsid w:val="004F4DC4"/>
    <w:rsid w:val="004F4F17"/>
    <w:rsid w:val="004F4FCF"/>
    <w:rsid w:val="004F510D"/>
    <w:rsid w:val="004F5140"/>
    <w:rsid w:val="004F517E"/>
    <w:rsid w:val="004F5202"/>
    <w:rsid w:val="004F526F"/>
    <w:rsid w:val="004F52A5"/>
    <w:rsid w:val="004F5360"/>
    <w:rsid w:val="004F5447"/>
    <w:rsid w:val="004F551E"/>
    <w:rsid w:val="004F55F9"/>
    <w:rsid w:val="004F5604"/>
    <w:rsid w:val="004F57D2"/>
    <w:rsid w:val="004F5830"/>
    <w:rsid w:val="004F5924"/>
    <w:rsid w:val="004F5B3B"/>
    <w:rsid w:val="004F5C4F"/>
    <w:rsid w:val="004F5C55"/>
    <w:rsid w:val="004F5D2F"/>
    <w:rsid w:val="004F5D80"/>
    <w:rsid w:val="004F5E8E"/>
    <w:rsid w:val="004F5F13"/>
    <w:rsid w:val="004F5F20"/>
    <w:rsid w:val="004F5F60"/>
    <w:rsid w:val="004F610E"/>
    <w:rsid w:val="004F612D"/>
    <w:rsid w:val="004F615A"/>
    <w:rsid w:val="004F6190"/>
    <w:rsid w:val="004F627E"/>
    <w:rsid w:val="004F65B5"/>
    <w:rsid w:val="004F6738"/>
    <w:rsid w:val="004F67DB"/>
    <w:rsid w:val="004F6925"/>
    <w:rsid w:val="004F699F"/>
    <w:rsid w:val="004F6A84"/>
    <w:rsid w:val="004F6AEA"/>
    <w:rsid w:val="004F6B84"/>
    <w:rsid w:val="004F6BB7"/>
    <w:rsid w:val="004F6CA6"/>
    <w:rsid w:val="004F6D52"/>
    <w:rsid w:val="004F6E3B"/>
    <w:rsid w:val="004F7008"/>
    <w:rsid w:val="004F70B5"/>
    <w:rsid w:val="004F76AA"/>
    <w:rsid w:val="004F7C50"/>
    <w:rsid w:val="004F7D7E"/>
    <w:rsid w:val="004F7DE9"/>
    <w:rsid w:val="004F7E09"/>
    <w:rsid w:val="004F7E3F"/>
    <w:rsid w:val="004F7EB3"/>
    <w:rsid w:val="004F7EE3"/>
    <w:rsid w:val="004F7F02"/>
    <w:rsid w:val="00500214"/>
    <w:rsid w:val="005002B9"/>
    <w:rsid w:val="005002C8"/>
    <w:rsid w:val="0050041C"/>
    <w:rsid w:val="005007F8"/>
    <w:rsid w:val="00500807"/>
    <w:rsid w:val="00500908"/>
    <w:rsid w:val="00500E76"/>
    <w:rsid w:val="00500ED8"/>
    <w:rsid w:val="00500F63"/>
    <w:rsid w:val="00500FDA"/>
    <w:rsid w:val="005011D3"/>
    <w:rsid w:val="0050151C"/>
    <w:rsid w:val="005016B3"/>
    <w:rsid w:val="00501724"/>
    <w:rsid w:val="005017C7"/>
    <w:rsid w:val="0050180E"/>
    <w:rsid w:val="0050184B"/>
    <w:rsid w:val="00501ABA"/>
    <w:rsid w:val="00501B75"/>
    <w:rsid w:val="00501C1A"/>
    <w:rsid w:val="00501C3B"/>
    <w:rsid w:val="00501C4E"/>
    <w:rsid w:val="00501C95"/>
    <w:rsid w:val="00501D16"/>
    <w:rsid w:val="0050201D"/>
    <w:rsid w:val="005020D0"/>
    <w:rsid w:val="0050213E"/>
    <w:rsid w:val="005022D4"/>
    <w:rsid w:val="00502375"/>
    <w:rsid w:val="0050247E"/>
    <w:rsid w:val="005025DE"/>
    <w:rsid w:val="005025E1"/>
    <w:rsid w:val="00502A7A"/>
    <w:rsid w:val="00502DB4"/>
    <w:rsid w:val="00502E44"/>
    <w:rsid w:val="00502E78"/>
    <w:rsid w:val="00502F09"/>
    <w:rsid w:val="00502F6B"/>
    <w:rsid w:val="00503021"/>
    <w:rsid w:val="00503084"/>
    <w:rsid w:val="005030C4"/>
    <w:rsid w:val="0050313F"/>
    <w:rsid w:val="00503170"/>
    <w:rsid w:val="005031A4"/>
    <w:rsid w:val="005031B4"/>
    <w:rsid w:val="005031C3"/>
    <w:rsid w:val="005033FD"/>
    <w:rsid w:val="00503437"/>
    <w:rsid w:val="005034BB"/>
    <w:rsid w:val="005034ED"/>
    <w:rsid w:val="00503553"/>
    <w:rsid w:val="0050383B"/>
    <w:rsid w:val="00503874"/>
    <w:rsid w:val="00503889"/>
    <w:rsid w:val="005039EE"/>
    <w:rsid w:val="00503CF8"/>
    <w:rsid w:val="00503DAD"/>
    <w:rsid w:val="00503E93"/>
    <w:rsid w:val="00503EFF"/>
    <w:rsid w:val="00503FC7"/>
    <w:rsid w:val="00504092"/>
    <w:rsid w:val="005040BC"/>
    <w:rsid w:val="00504220"/>
    <w:rsid w:val="00504322"/>
    <w:rsid w:val="00504375"/>
    <w:rsid w:val="0050447E"/>
    <w:rsid w:val="005045A6"/>
    <w:rsid w:val="005045AA"/>
    <w:rsid w:val="005045E0"/>
    <w:rsid w:val="00504767"/>
    <w:rsid w:val="00504775"/>
    <w:rsid w:val="0050479D"/>
    <w:rsid w:val="005048F5"/>
    <w:rsid w:val="00504946"/>
    <w:rsid w:val="005049E6"/>
    <w:rsid w:val="00504A72"/>
    <w:rsid w:val="00504B40"/>
    <w:rsid w:val="00504BB0"/>
    <w:rsid w:val="00504C56"/>
    <w:rsid w:val="00504C9C"/>
    <w:rsid w:val="00504F56"/>
    <w:rsid w:val="00504F5C"/>
    <w:rsid w:val="0050514C"/>
    <w:rsid w:val="0050533E"/>
    <w:rsid w:val="005053D8"/>
    <w:rsid w:val="00505443"/>
    <w:rsid w:val="00505920"/>
    <w:rsid w:val="00505929"/>
    <w:rsid w:val="0050593A"/>
    <w:rsid w:val="00505971"/>
    <w:rsid w:val="005059B4"/>
    <w:rsid w:val="00505B54"/>
    <w:rsid w:val="00505C52"/>
    <w:rsid w:val="00505CB0"/>
    <w:rsid w:val="00505CC4"/>
    <w:rsid w:val="00505DA9"/>
    <w:rsid w:val="00505E99"/>
    <w:rsid w:val="005063B4"/>
    <w:rsid w:val="005064D7"/>
    <w:rsid w:val="00506573"/>
    <w:rsid w:val="005066EF"/>
    <w:rsid w:val="00506751"/>
    <w:rsid w:val="00506764"/>
    <w:rsid w:val="005067E9"/>
    <w:rsid w:val="00506800"/>
    <w:rsid w:val="00506A29"/>
    <w:rsid w:val="00506D83"/>
    <w:rsid w:val="00506FCC"/>
    <w:rsid w:val="00506FE1"/>
    <w:rsid w:val="00506FF9"/>
    <w:rsid w:val="0050703E"/>
    <w:rsid w:val="00507082"/>
    <w:rsid w:val="005070C8"/>
    <w:rsid w:val="005070D5"/>
    <w:rsid w:val="005070EC"/>
    <w:rsid w:val="00507160"/>
    <w:rsid w:val="00507179"/>
    <w:rsid w:val="0050718E"/>
    <w:rsid w:val="00507361"/>
    <w:rsid w:val="005073BD"/>
    <w:rsid w:val="00507442"/>
    <w:rsid w:val="0050744A"/>
    <w:rsid w:val="00507662"/>
    <w:rsid w:val="00507718"/>
    <w:rsid w:val="00507736"/>
    <w:rsid w:val="0050774B"/>
    <w:rsid w:val="00507774"/>
    <w:rsid w:val="005077C3"/>
    <w:rsid w:val="00507855"/>
    <w:rsid w:val="00507990"/>
    <w:rsid w:val="00507A82"/>
    <w:rsid w:val="00507BE7"/>
    <w:rsid w:val="00507D5F"/>
    <w:rsid w:val="00507D8D"/>
    <w:rsid w:val="00507E71"/>
    <w:rsid w:val="00507E7A"/>
    <w:rsid w:val="00507F4F"/>
    <w:rsid w:val="00507FF6"/>
    <w:rsid w:val="00510012"/>
    <w:rsid w:val="005100BC"/>
    <w:rsid w:val="005101DF"/>
    <w:rsid w:val="0051022F"/>
    <w:rsid w:val="00510315"/>
    <w:rsid w:val="00510497"/>
    <w:rsid w:val="00510527"/>
    <w:rsid w:val="00510578"/>
    <w:rsid w:val="00510584"/>
    <w:rsid w:val="00510678"/>
    <w:rsid w:val="0051081D"/>
    <w:rsid w:val="005108F5"/>
    <w:rsid w:val="00510921"/>
    <w:rsid w:val="00510B58"/>
    <w:rsid w:val="00510B60"/>
    <w:rsid w:val="00510BA9"/>
    <w:rsid w:val="00510C34"/>
    <w:rsid w:val="00510FC9"/>
    <w:rsid w:val="00511017"/>
    <w:rsid w:val="005111B8"/>
    <w:rsid w:val="0051124F"/>
    <w:rsid w:val="00511322"/>
    <w:rsid w:val="00511340"/>
    <w:rsid w:val="005113CA"/>
    <w:rsid w:val="005117A5"/>
    <w:rsid w:val="005117F4"/>
    <w:rsid w:val="005118D4"/>
    <w:rsid w:val="00511947"/>
    <w:rsid w:val="005119BE"/>
    <w:rsid w:val="00511A25"/>
    <w:rsid w:val="00511B30"/>
    <w:rsid w:val="00511B38"/>
    <w:rsid w:val="00511C1B"/>
    <w:rsid w:val="00511CE9"/>
    <w:rsid w:val="00511CF6"/>
    <w:rsid w:val="00511D73"/>
    <w:rsid w:val="0051211E"/>
    <w:rsid w:val="00512144"/>
    <w:rsid w:val="00512210"/>
    <w:rsid w:val="00512310"/>
    <w:rsid w:val="005123A8"/>
    <w:rsid w:val="005125E2"/>
    <w:rsid w:val="00512609"/>
    <w:rsid w:val="0051267F"/>
    <w:rsid w:val="005126D2"/>
    <w:rsid w:val="0051273A"/>
    <w:rsid w:val="00512A93"/>
    <w:rsid w:val="00512AD2"/>
    <w:rsid w:val="00512AE9"/>
    <w:rsid w:val="00512B38"/>
    <w:rsid w:val="00512B78"/>
    <w:rsid w:val="00512BB1"/>
    <w:rsid w:val="00512BB6"/>
    <w:rsid w:val="00512BD9"/>
    <w:rsid w:val="00512C5D"/>
    <w:rsid w:val="00512C8E"/>
    <w:rsid w:val="00512CF5"/>
    <w:rsid w:val="00512DBD"/>
    <w:rsid w:val="00512FBB"/>
    <w:rsid w:val="00512FEF"/>
    <w:rsid w:val="00513042"/>
    <w:rsid w:val="005132DF"/>
    <w:rsid w:val="00513420"/>
    <w:rsid w:val="00513424"/>
    <w:rsid w:val="00513481"/>
    <w:rsid w:val="00513503"/>
    <w:rsid w:val="005136A6"/>
    <w:rsid w:val="00513767"/>
    <w:rsid w:val="005137FF"/>
    <w:rsid w:val="00513847"/>
    <w:rsid w:val="00513898"/>
    <w:rsid w:val="005138D2"/>
    <w:rsid w:val="00513935"/>
    <w:rsid w:val="005139B6"/>
    <w:rsid w:val="00513A29"/>
    <w:rsid w:val="00513B15"/>
    <w:rsid w:val="00513E4C"/>
    <w:rsid w:val="00513EF5"/>
    <w:rsid w:val="00513F12"/>
    <w:rsid w:val="00513F5A"/>
    <w:rsid w:val="005142D9"/>
    <w:rsid w:val="00514306"/>
    <w:rsid w:val="0051430E"/>
    <w:rsid w:val="005143ED"/>
    <w:rsid w:val="00514557"/>
    <w:rsid w:val="00514567"/>
    <w:rsid w:val="005146AD"/>
    <w:rsid w:val="005146DB"/>
    <w:rsid w:val="0051478D"/>
    <w:rsid w:val="005147A0"/>
    <w:rsid w:val="005149BF"/>
    <w:rsid w:val="00514A1F"/>
    <w:rsid w:val="00514A2C"/>
    <w:rsid w:val="00514A48"/>
    <w:rsid w:val="00514A9C"/>
    <w:rsid w:val="00514F2D"/>
    <w:rsid w:val="005150F3"/>
    <w:rsid w:val="00515498"/>
    <w:rsid w:val="0051566D"/>
    <w:rsid w:val="00515773"/>
    <w:rsid w:val="005157AF"/>
    <w:rsid w:val="00515883"/>
    <w:rsid w:val="00515A0C"/>
    <w:rsid w:val="00515CE6"/>
    <w:rsid w:val="00515D63"/>
    <w:rsid w:val="00515DB2"/>
    <w:rsid w:val="00515EA3"/>
    <w:rsid w:val="00515EC8"/>
    <w:rsid w:val="00515EF9"/>
    <w:rsid w:val="00516007"/>
    <w:rsid w:val="0051624B"/>
    <w:rsid w:val="005163B8"/>
    <w:rsid w:val="005163F8"/>
    <w:rsid w:val="0051641C"/>
    <w:rsid w:val="00516432"/>
    <w:rsid w:val="005165A7"/>
    <w:rsid w:val="005166A0"/>
    <w:rsid w:val="00516927"/>
    <w:rsid w:val="005169D0"/>
    <w:rsid w:val="00516B18"/>
    <w:rsid w:val="00516BDB"/>
    <w:rsid w:val="00516D4D"/>
    <w:rsid w:val="00516E67"/>
    <w:rsid w:val="005170ED"/>
    <w:rsid w:val="00517127"/>
    <w:rsid w:val="0051713E"/>
    <w:rsid w:val="005171B0"/>
    <w:rsid w:val="005173D4"/>
    <w:rsid w:val="00517418"/>
    <w:rsid w:val="0051742B"/>
    <w:rsid w:val="00517636"/>
    <w:rsid w:val="005176A4"/>
    <w:rsid w:val="00517705"/>
    <w:rsid w:val="0051778D"/>
    <w:rsid w:val="005177FE"/>
    <w:rsid w:val="00517877"/>
    <w:rsid w:val="005178A1"/>
    <w:rsid w:val="005178FA"/>
    <w:rsid w:val="005179D0"/>
    <w:rsid w:val="00517A5B"/>
    <w:rsid w:val="00517BA6"/>
    <w:rsid w:val="00517BEF"/>
    <w:rsid w:val="00517C49"/>
    <w:rsid w:val="00517DAF"/>
    <w:rsid w:val="00517E77"/>
    <w:rsid w:val="00517EC4"/>
    <w:rsid w:val="00517FB9"/>
    <w:rsid w:val="00520059"/>
    <w:rsid w:val="005200D6"/>
    <w:rsid w:val="0052012C"/>
    <w:rsid w:val="005201E1"/>
    <w:rsid w:val="00520254"/>
    <w:rsid w:val="00520399"/>
    <w:rsid w:val="00520505"/>
    <w:rsid w:val="005205C6"/>
    <w:rsid w:val="00520606"/>
    <w:rsid w:val="005206C5"/>
    <w:rsid w:val="00520726"/>
    <w:rsid w:val="00520867"/>
    <w:rsid w:val="005208A4"/>
    <w:rsid w:val="005208B1"/>
    <w:rsid w:val="005209F4"/>
    <w:rsid w:val="00520A60"/>
    <w:rsid w:val="00520AD3"/>
    <w:rsid w:val="00520C56"/>
    <w:rsid w:val="00520E86"/>
    <w:rsid w:val="00520EBC"/>
    <w:rsid w:val="00520F62"/>
    <w:rsid w:val="00520FD7"/>
    <w:rsid w:val="005211A0"/>
    <w:rsid w:val="005211AE"/>
    <w:rsid w:val="00521202"/>
    <w:rsid w:val="005212A7"/>
    <w:rsid w:val="0052134A"/>
    <w:rsid w:val="00521376"/>
    <w:rsid w:val="005215BE"/>
    <w:rsid w:val="005218E9"/>
    <w:rsid w:val="005219CB"/>
    <w:rsid w:val="005219D3"/>
    <w:rsid w:val="00521A21"/>
    <w:rsid w:val="00521A37"/>
    <w:rsid w:val="00521CEC"/>
    <w:rsid w:val="0052201B"/>
    <w:rsid w:val="0052218C"/>
    <w:rsid w:val="005222D0"/>
    <w:rsid w:val="005222F0"/>
    <w:rsid w:val="0052251D"/>
    <w:rsid w:val="00522535"/>
    <w:rsid w:val="0052253B"/>
    <w:rsid w:val="0052281D"/>
    <w:rsid w:val="0052285F"/>
    <w:rsid w:val="00522885"/>
    <w:rsid w:val="00522AFB"/>
    <w:rsid w:val="00522C14"/>
    <w:rsid w:val="00522D31"/>
    <w:rsid w:val="00522D6A"/>
    <w:rsid w:val="00522E6A"/>
    <w:rsid w:val="00522E88"/>
    <w:rsid w:val="00522F23"/>
    <w:rsid w:val="00522F73"/>
    <w:rsid w:val="00522FE4"/>
    <w:rsid w:val="0052303C"/>
    <w:rsid w:val="005230F9"/>
    <w:rsid w:val="00523179"/>
    <w:rsid w:val="00523185"/>
    <w:rsid w:val="005233E6"/>
    <w:rsid w:val="005234D6"/>
    <w:rsid w:val="00523501"/>
    <w:rsid w:val="00523777"/>
    <w:rsid w:val="00523968"/>
    <w:rsid w:val="00523A5E"/>
    <w:rsid w:val="00523B7C"/>
    <w:rsid w:val="00523CF0"/>
    <w:rsid w:val="00523DD7"/>
    <w:rsid w:val="00523DE0"/>
    <w:rsid w:val="00523E21"/>
    <w:rsid w:val="00523E57"/>
    <w:rsid w:val="00523FB4"/>
    <w:rsid w:val="0052403D"/>
    <w:rsid w:val="00524166"/>
    <w:rsid w:val="005241E5"/>
    <w:rsid w:val="00524332"/>
    <w:rsid w:val="005244EC"/>
    <w:rsid w:val="005245C7"/>
    <w:rsid w:val="00524616"/>
    <w:rsid w:val="00524713"/>
    <w:rsid w:val="005247C4"/>
    <w:rsid w:val="0052481A"/>
    <w:rsid w:val="0052488A"/>
    <w:rsid w:val="005248FF"/>
    <w:rsid w:val="0052495F"/>
    <w:rsid w:val="0052496F"/>
    <w:rsid w:val="005251A4"/>
    <w:rsid w:val="005252E9"/>
    <w:rsid w:val="00525601"/>
    <w:rsid w:val="0052563A"/>
    <w:rsid w:val="0052564E"/>
    <w:rsid w:val="00525659"/>
    <w:rsid w:val="005257A4"/>
    <w:rsid w:val="00525A29"/>
    <w:rsid w:val="00525BAD"/>
    <w:rsid w:val="00525BF4"/>
    <w:rsid w:val="00525E69"/>
    <w:rsid w:val="00525E74"/>
    <w:rsid w:val="00525E85"/>
    <w:rsid w:val="00525E90"/>
    <w:rsid w:val="00525F29"/>
    <w:rsid w:val="0052600B"/>
    <w:rsid w:val="0052607C"/>
    <w:rsid w:val="00526138"/>
    <w:rsid w:val="005261A0"/>
    <w:rsid w:val="005261DA"/>
    <w:rsid w:val="005263D9"/>
    <w:rsid w:val="005264E5"/>
    <w:rsid w:val="005265BE"/>
    <w:rsid w:val="0052665F"/>
    <w:rsid w:val="005266BA"/>
    <w:rsid w:val="005266F9"/>
    <w:rsid w:val="005269D5"/>
    <w:rsid w:val="00526AB0"/>
    <w:rsid w:val="00526B7E"/>
    <w:rsid w:val="00526BD0"/>
    <w:rsid w:val="00526DA2"/>
    <w:rsid w:val="00526DEE"/>
    <w:rsid w:val="00526E7D"/>
    <w:rsid w:val="00526EFF"/>
    <w:rsid w:val="00526F11"/>
    <w:rsid w:val="00526FF3"/>
    <w:rsid w:val="005270A4"/>
    <w:rsid w:val="005270BE"/>
    <w:rsid w:val="00527136"/>
    <w:rsid w:val="005272F1"/>
    <w:rsid w:val="005275D0"/>
    <w:rsid w:val="005276C2"/>
    <w:rsid w:val="005276F7"/>
    <w:rsid w:val="0052774C"/>
    <w:rsid w:val="0052782E"/>
    <w:rsid w:val="00527A8A"/>
    <w:rsid w:val="00527BBF"/>
    <w:rsid w:val="00527D90"/>
    <w:rsid w:val="00527F81"/>
    <w:rsid w:val="00527F98"/>
    <w:rsid w:val="0053002F"/>
    <w:rsid w:val="00530074"/>
    <w:rsid w:val="005301C0"/>
    <w:rsid w:val="00530272"/>
    <w:rsid w:val="0053044E"/>
    <w:rsid w:val="00530549"/>
    <w:rsid w:val="005306D9"/>
    <w:rsid w:val="005307A9"/>
    <w:rsid w:val="0053082A"/>
    <w:rsid w:val="00530988"/>
    <w:rsid w:val="0053098F"/>
    <w:rsid w:val="00530AEA"/>
    <w:rsid w:val="00530AF2"/>
    <w:rsid w:val="00530D0F"/>
    <w:rsid w:val="00530DBA"/>
    <w:rsid w:val="00530E8C"/>
    <w:rsid w:val="0053124B"/>
    <w:rsid w:val="0053127D"/>
    <w:rsid w:val="0053128E"/>
    <w:rsid w:val="005313CD"/>
    <w:rsid w:val="0053143E"/>
    <w:rsid w:val="005314E3"/>
    <w:rsid w:val="005315C6"/>
    <w:rsid w:val="00531A08"/>
    <w:rsid w:val="00531AC2"/>
    <w:rsid w:val="00531B25"/>
    <w:rsid w:val="00531DBE"/>
    <w:rsid w:val="00531E6F"/>
    <w:rsid w:val="00531F74"/>
    <w:rsid w:val="0053207A"/>
    <w:rsid w:val="005320AD"/>
    <w:rsid w:val="005320CA"/>
    <w:rsid w:val="005322EF"/>
    <w:rsid w:val="00532363"/>
    <w:rsid w:val="005326F6"/>
    <w:rsid w:val="005327D9"/>
    <w:rsid w:val="00532A9F"/>
    <w:rsid w:val="00532DB6"/>
    <w:rsid w:val="00532EF4"/>
    <w:rsid w:val="00532FF2"/>
    <w:rsid w:val="005331BE"/>
    <w:rsid w:val="00533326"/>
    <w:rsid w:val="005338C0"/>
    <w:rsid w:val="00533910"/>
    <w:rsid w:val="005339C8"/>
    <w:rsid w:val="00533B5F"/>
    <w:rsid w:val="00533C60"/>
    <w:rsid w:val="00533DA8"/>
    <w:rsid w:val="00533E28"/>
    <w:rsid w:val="00533EE9"/>
    <w:rsid w:val="0053402B"/>
    <w:rsid w:val="00534076"/>
    <w:rsid w:val="00534506"/>
    <w:rsid w:val="00534566"/>
    <w:rsid w:val="005346F8"/>
    <w:rsid w:val="0053491A"/>
    <w:rsid w:val="005349C4"/>
    <w:rsid w:val="00534A41"/>
    <w:rsid w:val="00534FFE"/>
    <w:rsid w:val="00535256"/>
    <w:rsid w:val="005352C9"/>
    <w:rsid w:val="00535559"/>
    <w:rsid w:val="005355BD"/>
    <w:rsid w:val="005355E3"/>
    <w:rsid w:val="0053563B"/>
    <w:rsid w:val="0053570A"/>
    <w:rsid w:val="00535802"/>
    <w:rsid w:val="00535864"/>
    <w:rsid w:val="005358C5"/>
    <w:rsid w:val="00535B4C"/>
    <w:rsid w:val="00535B9F"/>
    <w:rsid w:val="00535BB7"/>
    <w:rsid w:val="00535CC9"/>
    <w:rsid w:val="00535CEB"/>
    <w:rsid w:val="00535D4D"/>
    <w:rsid w:val="00535E20"/>
    <w:rsid w:val="0053604D"/>
    <w:rsid w:val="005360E9"/>
    <w:rsid w:val="0053635E"/>
    <w:rsid w:val="005366DB"/>
    <w:rsid w:val="005368F0"/>
    <w:rsid w:val="00536979"/>
    <w:rsid w:val="005369F1"/>
    <w:rsid w:val="00536B2C"/>
    <w:rsid w:val="00536C9A"/>
    <w:rsid w:val="00536CF7"/>
    <w:rsid w:val="00536F00"/>
    <w:rsid w:val="00537001"/>
    <w:rsid w:val="00537051"/>
    <w:rsid w:val="00537160"/>
    <w:rsid w:val="00537188"/>
    <w:rsid w:val="005371B8"/>
    <w:rsid w:val="00537284"/>
    <w:rsid w:val="0053729F"/>
    <w:rsid w:val="005374A0"/>
    <w:rsid w:val="00537615"/>
    <w:rsid w:val="00537800"/>
    <w:rsid w:val="00537C26"/>
    <w:rsid w:val="005400FC"/>
    <w:rsid w:val="0054013C"/>
    <w:rsid w:val="00540443"/>
    <w:rsid w:val="0054048A"/>
    <w:rsid w:val="00540499"/>
    <w:rsid w:val="00540598"/>
    <w:rsid w:val="0054071B"/>
    <w:rsid w:val="005407D3"/>
    <w:rsid w:val="0054082B"/>
    <w:rsid w:val="0054099B"/>
    <w:rsid w:val="00540A3A"/>
    <w:rsid w:val="00540BB1"/>
    <w:rsid w:val="00540C24"/>
    <w:rsid w:val="00540DAB"/>
    <w:rsid w:val="00540EA6"/>
    <w:rsid w:val="00541197"/>
    <w:rsid w:val="005411D3"/>
    <w:rsid w:val="005412CA"/>
    <w:rsid w:val="00541354"/>
    <w:rsid w:val="005416C6"/>
    <w:rsid w:val="0054178E"/>
    <w:rsid w:val="005418BD"/>
    <w:rsid w:val="0054195E"/>
    <w:rsid w:val="005419E5"/>
    <w:rsid w:val="00541B0E"/>
    <w:rsid w:val="00541BB3"/>
    <w:rsid w:val="00541C39"/>
    <w:rsid w:val="00541E0D"/>
    <w:rsid w:val="00541FF6"/>
    <w:rsid w:val="0054202E"/>
    <w:rsid w:val="005420DD"/>
    <w:rsid w:val="0054216A"/>
    <w:rsid w:val="00542318"/>
    <w:rsid w:val="005424A7"/>
    <w:rsid w:val="00542544"/>
    <w:rsid w:val="0054255B"/>
    <w:rsid w:val="0054260C"/>
    <w:rsid w:val="00542870"/>
    <w:rsid w:val="00542941"/>
    <w:rsid w:val="00542A05"/>
    <w:rsid w:val="00542B29"/>
    <w:rsid w:val="00542B57"/>
    <w:rsid w:val="00542DB3"/>
    <w:rsid w:val="00542E39"/>
    <w:rsid w:val="00542E96"/>
    <w:rsid w:val="00542EC1"/>
    <w:rsid w:val="00542FBF"/>
    <w:rsid w:val="005430A9"/>
    <w:rsid w:val="0054314B"/>
    <w:rsid w:val="00543206"/>
    <w:rsid w:val="005432B0"/>
    <w:rsid w:val="0054339F"/>
    <w:rsid w:val="00543630"/>
    <w:rsid w:val="005437A9"/>
    <w:rsid w:val="0054399F"/>
    <w:rsid w:val="00543B28"/>
    <w:rsid w:val="00543CEE"/>
    <w:rsid w:val="00543DF1"/>
    <w:rsid w:val="00543FFF"/>
    <w:rsid w:val="0054401F"/>
    <w:rsid w:val="0054420E"/>
    <w:rsid w:val="00544828"/>
    <w:rsid w:val="00544839"/>
    <w:rsid w:val="00544963"/>
    <w:rsid w:val="00544A4B"/>
    <w:rsid w:val="00544ACB"/>
    <w:rsid w:val="00544D2F"/>
    <w:rsid w:val="00544D5A"/>
    <w:rsid w:val="00544FB4"/>
    <w:rsid w:val="00544FDC"/>
    <w:rsid w:val="00544FED"/>
    <w:rsid w:val="005451D7"/>
    <w:rsid w:val="005453B3"/>
    <w:rsid w:val="00545472"/>
    <w:rsid w:val="00545497"/>
    <w:rsid w:val="005455DE"/>
    <w:rsid w:val="00545611"/>
    <w:rsid w:val="00545731"/>
    <w:rsid w:val="005457F4"/>
    <w:rsid w:val="00545823"/>
    <w:rsid w:val="00545861"/>
    <w:rsid w:val="00545B65"/>
    <w:rsid w:val="00545CD3"/>
    <w:rsid w:val="00545ED4"/>
    <w:rsid w:val="00545F09"/>
    <w:rsid w:val="0054617F"/>
    <w:rsid w:val="0054631E"/>
    <w:rsid w:val="0054638C"/>
    <w:rsid w:val="005463A0"/>
    <w:rsid w:val="00546572"/>
    <w:rsid w:val="0054670F"/>
    <w:rsid w:val="0054689C"/>
    <w:rsid w:val="00546AAC"/>
    <w:rsid w:val="00546ADA"/>
    <w:rsid w:val="00546B79"/>
    <w:rsid w:val="00546CB9"/>
    <w:rsid w:val="00546DD4"/>
    <w:rsid w:val="00546F05"/>
    <w:rsid w:val="00546FAA"/>
    <w:rsid w:val="005470C4"/>
    <w:rsid w:val="0054733C"/>
    <w:rsid w:val="00547417"/>
    <w:rsid w:val="00547806"/>
    <w:rsid w:val="0054797A"/>
    <w:rsid w:val="00547E77"/>
    <w:rsid w:val="00547EEA"/>
    <w:rsid w:val="00547FC9"/>
    <w:rsid w:val="005502ED"/>
    <w:rsid w:val="00550421"/>
    <w:rsid w:val="005505EF"/>
    <w:rsid w:val="00550642"/>
    <w:rsid w:val="005506F9"/>
    <w:rsid w:val="00550734"/>
    <w:rsid w:val="00550782"/>
    <w:rsid w:val="005507FC"/>
    <w:rsid w:val="00550821"/>
    <w:rsid w:val="0055088F"/>
    <w:rsid w:val="005509A0"/>
    <w:rsid w:val="00550B90"/>
    <w:rsid w:val="00550BD9"/>
    <w:rsid w:val="00550BF7"/>
    <w:rsid w:val="00550C01"/>
    <w:rsid w:val="00550CC7"/>
    <w:rsid w:val="00550E6E"/>
    <w:rsid w:val="00550FFE"/>
    <w:rsid w:val="005510CF"/>
    <w:rsid w:val="005511FF"/>
    <w:rsid w:val="0055125A"/>
    <w:rsid w:val="005512F1"/>
    <w:rsid w:val="0055132D"/>
    <w:rsid w:val="00551528"/>
    <w:rsid w:val="005515A5"/>
    <w:rsid w:val="005515F4"/>
    <w:rsid w:val="0055174F"/>
    <w:rsid w:val="005517D3"/>
    <w:rsid w:val="005517FC"/>
    <w:rsid w:val="0055189D"/>
    <w:rsid w:val="005519A1"/>
    <w:rsid w:val="005519A8"/>
    <w:rsid w:val="00551ABE"/>
    <w:rsid w:val="00551B18"/>
    <w:rsid w:val="00551B1E"/>
    <w:rsid w:val="00551D78"/>
    <w:rsid w:val="00551E99"/>
    <w:rsid w:val="00551F05"/>
    <w:rsid w:val="005520FC"/>
    <w:rsid w:val="00552102"/>
    <w:rsid w:val="00552187"/>
    <w:rsid w:val="005521D3"/>
    <w:rsid w:val="005521E4"/>
    <w:rsid w:val="0055221D"/>
    <w:rsid w:val="0055225D"/>
    <w:rsid w:val="0055229B"/>
    <w:rsid w:val="00552477"/>
    <w:rsid w:val="005524FF"/>
    <w:rsid w:val="00552567"/>
    <w:rsid w:val="005525C2"/>
    <w:rsid w:val="0055276B"/>
    <w:rsid w:val="005527E9"/>
    <w:rsid w:val="0055290B"/>
    <w:rsid w:val="00552944"/>
    <w:rsid w:val="00552947"/>
    <w:rsid w:val="0055294B"/>
    <w:rsid w:val="005529B7"/>
    <w:rsid w:val="00552B1A"/>
    <w:rsid w:val="00552BA1"/>
    <w:rsid w:val="00552C4B"/>
    <w:rsid w:val="00552C6D"/>
    <w:rsid w:val="00552CC8"/>
    <w:rsid w:val="00552E1A"/>
    <w:rsid w:val="00552E96"/>
    <w:rsid w:val="00552F28"/>
    <w:rsid w:val="00553252"/>
    <w:rsid w:val="005532D4"/>
    <w:rsid w:val="005532DA"/>
    <w:rsid w:val="0055346E"/>
    <w:rsid w:val="00553496"/>
    <w:rsid w:val="005534A7"/>
    <w:rsid w:val="00553504"/>
    <w:rsid w:val="00553664"/>
    <w:rsid w:val="005537A6"/>
    <w:rsid w:val="00553824"/>
    <w:rsid w:val="00553892"/>
    <w:rsid w:val="005538A6"/>
    <w:rsid w:val="005538B8"/>
    <w:rsid w:val="005538CE"/>
    <w:rsid w:val="00553951"/>
    <w:rsid w:val="00553B7D"/>
    <w:rsid w:val="00553C7D"/>
    <w:rsid w:val="00553DBB"/>
    <w:rsid w:val="00553E45"/>
    <w:rsid w:val="00553E47"/>
    <w:rsid w:val="00553EFF"/>
    <w:rsid w:val="00553F17"/>
    <w:rsid w:val="00553F21"/>
    <w:rsid w:val="00553FDB"/>
    <w:rsid w:val="0055409D"/>
    <w:rsid w:val="005540E3"/>
    <w:rsid w:val="0055421E"/>
    <w:rsid w:val="00554240"/>
    <w:rsid w:val="00554284"/>
    <w:rsid w:val="0055429C"/>
    <w:rsid w:val="0055432D"/>
    <w:rsid w:val="005543CD"/>
    <w:rsid w:val="0055448E"/>
    <w:rsid w:val="00554623"/>
    <w:rsid w:val="00554989"/>
    <w:rsid w:val="00554A10"/>
    <w:rsid w:val="00554CA3"/>
    <w:rsid w:val="00554D72"/>
    <w:rsid w:val="00554D78"/>
    <w:rsid w:val="00554DB9"/>
    <w:rsid w:val="00554E42"/>
    <w:rsid w:val="00554E65"/>
    <w:rsid w:val="00554E79"/>
    <w:rsid w:val="00554EFB"/>
    <w:rsid w:val="00554F6B"/>
    <w:rsid w:val="005550A8"/>
    <w:rsid w:val="00555154"/>
    <w:rsid w:val="00555159"/>
    <w:rsid w:val="00555166"/>
    <w:rsid w:val="0055518F"/>
    <w:rsid w:val="005552BC"/>
    <w:rsid w:val="005552FA"/>
    <w:rsid w:val="00555493"/>
    <w:rsid w:val="00555530"/>
    <w:rsid w:val="005555DA"/>
    <w:rsid w:val="0055562E"/>
    <w:rsid w:val="0055564E"/>
    <w:rsid w:val="00555725"/>
    <w:rsid w:val="005557E3"/>
    <w:rsid w:val="005558FC"/>
    <w:rsid w:val="005559B3"/>
    <w:rsid w:val="00555A2E"/>
    <w:rsid w:val="00555A94"/>
    <w:rsid w:val="00555D5C"/>
    <w:rsid w:val="00555D99"/>
    <w:rsid w:val="00555F74"/>
    <w:rsid w:val="00555FA7"/>
    <w:rsid w:val="005561C7"/>
    <w:rsid w:val="00556234"/>
    <w:rsid w:val="0055629D"/>
    <w:rsid w:val="005562A6"/>
    <w:rsid w:val="005562AF"/>
    <w:rsid w:val="00556397"/>
    <w:rsid w:val="0055642E"/>
    <w:rsid w:val="005565AF"/>
    <w:rsid w:val="005565B3"/>
    <w:rsid w:val="00556725"/>
    <w:rsid w:val="005567CC"/>
    <w:rsid w:val="00556A31"/>
    <w:rsid w:val="00556E9C"/>
    <w:rsid w:val="00556EB9"/>
    <w:rsid w:val="00556FE4"/>
    <w:rsid w:val="005571CF"/>
    <w:rsid w:val="005571ED"/>
    <w:rsid w:val="005571F8"/>
    <w:rsid w:val="00557288"/>
    <w:rsid w:val="00557341"/>
    <w:rsid w:val="00557345"/>
    <w:rsid w:val="00557362"/>
    <w:rsid w:val="00557369"/>
    <w:rsid w:val="005573FB"/>
    <w:rsid w:val="005574CF"/>
    <w:rsid w:val="00557647"/>
    <w:rsid w:val="005577E9"/>
    <w:rsid w:val="00557C8C"/>
    <w:rsid w:val="00557D2A"/>
    <w:rsid w:val="005600BA"/>
    <w:rsid w:val="005601CD"/>
    <w:rsid w:val="005602BD"/>
    <w:rsid w:val="005602EC"/>
    <w:rsid w:val="0056058B"/>
    <w:rsid w:val="005606FC"/>
    <w:rsid w:val="00560854"/>
    <w:rsid w:val="00560B73"/>
    <w:rsid w:val="00560B77"/>
    <w:rsid w:val="00560C14"/>
    <w:rsid w:val="00560C3F"/>
    <w:rsid w:val="00560C69"/>
    <w:rsid w:val="00560D06"/>
    <w:rsid w:val="00560D50"/>
    <w:rsid w:val="00560E03"/>
    <w:rsid w:val="00560E1C"/>
    <w:rsid w:val="00560FD1"/>
    <w:rsid w:val="0056109B"/>
    <w:rsid w:val="005612B5"/>
    <w:rsid w:val="00561304"/>
    <w:rsid w:val="00561356"/>
    <w:rsid w:val="00561419"/>
    <w:rsid w:val="0056145B"/>
    <w:rsid w:val="0056150F"/>
    <w:rsid w:val="00561517"/>
    <w:rsid w:val="00561787"/>
    <w:rsid w:val="00561ECB"/>
    <w:rsid w:val="0056206E"/>
    <w:rsid w:val="0056215D"/>
    <w:rsid w:val="005621A8"/>
    <w:rsid w:val="00562275"/>
    <w:rsid w:val="0056232F"/>
    <w:rsid w:val="00562456"/>
    <w:rsid w:val="00562547"/>
    <w:rsid w:val="0056256F"/>
    <w:rsid w:val="005628F3"/>
    <w:rsid w:val="00562974"/>
    <w:rsid w:val="00562A6E"/>
    <w:rsid w:val="00562AD2"/>
    <w:rsid w:val="00562C31"/>
    <w:rsid w:val="00562D53"/>
    <w:rsid w:val="00562DAB"/>
    <w:rsid w:val="005630CE"/>
    <w:rsid w:val="00563180"/>
    <w:rsid w:val="00563182"/>
    <w:rsid w:val="00563188"/>
    <w:rsid w:val="0056328A"/>
    <w:rsid w:val="0056353B"/>
    <w:rsid w:val="00563586"/>
    <w:rsid w:val="005635E0"/>
    <w:rsid w:val="005636D5"/>
    <w:rsid w:val="00563AF6"/>
    <w:rsid w:val="00563B2D"/>
    <w:rsid w:val="00563E94"/>
    <w:rsid w:val="00563EDB"/>
    <w:rsid w:val="00563F66"/>
    <w:rsid w:val="00563F7E"/>
    <w:rsid w:val="005642B8"/>
    <w:rsid w:val="00564411"/>
    <w:rsid w:val="00564428"/>
    <w:rsid w:val="0056442C"/>
    <w:rsid w:val="005645AA"/>
    <w:rsid w:val="00564706"/>
    <w:rsid w:val="0056470C"/>
    <w:rsid w:val="00564941"/>
    <w:rsid w:val="005649B1"/>
    <w:rsid w:val="00564A2A"/>
    <w:rsid w:val="00564A53"/>
    <w:rsid w:val="00564A75"/>
    <w:rsid w:val="00564B24"/>
    <w:rsid w:val="00564CD6"/>
    <w:rsid w:val="00564D4F"/>
    <w:rsid w:val="00564D6E"/>
    <w:rsid w:val="00564E22"/>
    <w:rsid w:val="00564EA3"/>
    <w:rsid w:val="00564F89"/>
    <w:rsid w:val="00565363"/>
    <w:rsid w:val="00565379"/>
    <w:rsid w:val="005653A0"/>
    <w:rsid w:val="005653B2"/>
    <w:rsid w:val="0056571A"/>
    <w:rsid w:val="005657CC"/>
    <w:rsid w:val="005657E8"/>
    <w:rsid w:val="0056580E"/>
    <w:rsid w:val="00565842"/>
    <w:rsid w:val="00565880"/>
    <w:rsid w:val="0056597D"/>
    <w:rsid w:val="00565A1E"/>
    <w:rsid w:val="00565BDA"/>
    <w:rsid w:val="00565CCE"/>
    <w:rsid w:val="00565DA5"/>
    <w:rsid w:val="00565EE2"/>
    <w:rsid w:val="00566044"/>
    <w:rsid w:val="005660C4"/>
    <w:rsid w:val="0056611B"/>
    <w:rsid w:val="005663C4"/>
    <w:rsid w:val="00566578"/>
    <w:rsid w:val="0056672C"/>
    <w:rsid w:val="005667C8"/>
    <w:rsid w:val="00566999"/>
    <w:rsid w:val="005669BB"/>
    <w:rsid w:val="00566BE7"/>
    <w:rsid w:val="00566C73"/>
    <w:rsid w:val="00566D2F"/>
    <w:rsid w:val="00566E25"/>
    <w:rsid w:val="005670FF"/>
    <w:rsid w:val="0056710E"/>
    <w:rsid w:val="00567121"/>
    <w:rsid w:val="0056713C"/>
    <w:rsid w:val="005671B9"/>
    <w:rsid w:val="0056726B"/>
    <w:rsid w:val="0056744A"/>
    <w:rsid w:val="005674F6"/>
    <w:rsid w:val="0056754D"/>
    <w:rsid w:val="00567589"/>
    <w:rsid w:val="00567653"/>
    <w:rsid w:val="00567664"/>
    <w:rsid w:val="0056768D"/>
    <w:rsid w:val="00567739"/>
    <w:rsid w:val="0056781D"/>
    <w:rsid w:val="005679BA"/>
    <w:rsid w:val="005679F9"/>
    <w:rsid w:val="00567BA8"/>
    <w:rsid w:val="00567D1A"/>
    <w:rsid w:val="00567D59"/>
    <w:rsid w:val="00567DCD"/>
    <w:rsid w:val="00567E3A"/>
    <w:rsid w:val="00567EA0"/>
    <w:rsid w:val="00570072"/>
    <w:rsid w:val="005700E8"/>
    <w:rsid w:val="005701A6"/>
    <w:rsid w:val="005701EE"/>
    <w:rsid w:val="005701FA"/>
    <w:rsid w:val="00570365"/>
    <w:rsid w:val="005703EF"/>
    <w:rsid w:val="0057043E"/>
    <w:rsid w:val="00570902"/>
    <w:rsid w:val="00570AED"/>
    <w:rsid w:val="00570B99"/>
    <w:rsid w:val="00570DA0"/>
    <w:rsid w:val="00570E43"/>
    <w:rsid w:val="00570E69"/>
    <w:rsid w:val="00570E90"/>
    <w:rsid w:val="00570F06"/>
    <w:rsid w:val="00571241"/>
    <w:rsid w:val="0057127F"/>
    <w:rsid w:val="005712A3"/>
    <w:rsid w:val="005713B4"/>
    <w:rsid w:val="005714F0"/>
    <w:rsid w:val="0057150B"/>
    <w:rsid w:val="00571689"/>
    <w:rsid w:val="005716D8"/>
    <w:rsid w:val="00571784"/>
    <w:rsid w:val="00571937"/>
    <w:rsid w:val="0057194C"/>
    <w:rsid w:val="0057197E"/>
    <w:rsid w:val="00571A13"/>
    <w:rsid w:val="00571E26"/>
    <w:rsid w:val="00571E9E"/>
    <w:rsid w:val="005720A8"/>
    <w:rsid w:val="00572320"/>
    <w:rsid w:val="0057235C"/>
    <w:rsid w:val="005724B6"/>
    <w:rsid w:val="005724DC"/>
    <w:rsid w:val="00572606"/>
    <w:rsid w:val="0057265D"/>
    <w:rsid w:val="00572771"/>
    <w:rsid w:val="0057282E"/>
    <w:rsid w:val="00572945"/>
    <w:rsid w:val="005729F0"/>
    <w:rsid w:val="00572AE9"/>
    <w:rsid w:val="00572B1C"/>
    <w:rsid w:val="00572BB7"/>
    <w:rsid w:val="00572E96"/>
    <w:rsid w:val="00572E9A"/>
    <w:rsid w:val="005730D3"/>
    <w:rsid w:val="005730EC"/>
    <w:rsid w:val="0057326C"/>
    <w:rsid w:val="0057330B"/>
    <w:rsid w:val="005735AC"/>
    <w:rsid w:val="005735F1"/>
    <w:rsid w:val="0057361C"/>
    <w:rsid w:val="005736A4"/>
    <w:rsid w:val="005737E4"/>
    <w:rsid w:val="005738ED"/>
    <w:rsid w:val="0057394C"/>
    <w:rsid w:val="00573961"/>
    <w:rsid w:val="005739A0"/>
    <w:rsid w:val="00573AE3"/>
    <w:rsid w:val="00573C2F"/>
    <w:rsid w:val="00573CCE"/>
    <w:rsid w:val="00573CE0"/>
    <w:rsid w:val="00573D1F"/>
    <w:rsid w:val="005741AD"/>
    <w:rsid w:val="0057420E"/>
    <w:rsid w:val="0057423A"/>
    <w:rsid w:val="005742BC"/>
    <w:rsid w:val="005743BD"/>
    <w:rsid w:val="005743E5"/>
    <w:rsid w:val="005744B1"/>
    <w:rsid w:val="005744D1"/>
    <w:rsid w:val="005745BE"/>
    <w:rsid w:val="00574744"/>
    <w:rsid w:val="00574B67"/>
    <w:rsid w:val="00574DED"/>
    <w:rsid w:val="00575139"/>
    <w:rsid w:val="00575173"/>
    <w:rsid w:val="005751AE"/>
    <w:rsid w:val="005753E4"/>
    <w:rsid w:val="00575432"/>
    <w:rsid w:val="00575607"/>
    <w:rsid w:val="00575751"/>
    <w:rsid w:val="00575A59"/>
    <w:rsid w:val="00575A69"/>
    <w:rsid w:val="00575A97"/>
    <w:rsid w:val="00575B76"/>
    <w:rsid w:val="00575BC1"/>
    <w:rsid w:val="00575C34"/>
    <w:rsid w:val="00575CAB"/>
    <w:rsid w:val="00575F08"/>
    <w:rsid w:val="005761FE"/>
    <w:rsid w:val="005764FF"/>
    <w:rsid w:val="0057661F"/>
    <w:rsid w:val="005767B2"/>
    <w:rsid w:val="005767FA"/>
    <w:rsid w:val="00576952"/>
    <w:rsid w:val="005769C1"/>
    <w:rsid w:val="00576CF8"/>
    <w:rsid w:val="00576D69"/>
    <w:rsid w:val="00576D92"/>
    <w:rsid w:val="00576E0E"/>
    <w:rsid w:val="00576F5F"/>
    <w:rsid w:val="00577007"/>
    <w:rsid w:val="005770C7"/>
    <w:rsid w:val="00577323"/>
    <w:rsid w:val="0057749F"/>
    <w:rsid w:val="00577544"/>
    <w:rsid w:val="00577610"/>
    <w:rsid w:val="0057774A"/>
    <w:rsid w:val="005777F6"/>
    <w:rsid w:val="005777FF"/>
    <w:rsid w:val="00577870"/>
    <w:rsid w:val="00577896"/>
    <w:rsid w:val="0057797A"/>
    <w:rsid w:val="00577AA4"/>
    <w:rsid w:val="00577BF3"/>
    <w:rsid w:val="00577E20"/>
    <w:rsid w:val="00577E26"/>
    <w:rsid w:val="00577F85"/>
    <w:rsid w:val="00580009"/>
    <w:rsid w:val="00580205"/>
    <w:rsid w:val="0058028F"/>
    <w:rsid w:val="00580373"/>
    <w:rsid w:val="005803F2"/>
    <w:rsid w:val="0058042D"/>
    <w:rsid w:val="005804A8"/>
    <w:rsid w:val="005804BB"/>
    <w:rsid w:val="005804DD"/>
    <w:rsid w:val="005805A0"/>
    <w:rsid w:val="005805AA"/>
    <w:rsid w:val="00580614"/>
    <w:rsid w:val="005807C7"/>
    <w:rsid w:val="0058085F"/>
    <w:rsid w:val="00580880"/>
    <w:rsid w:val="0058094E"/>
    <w:rsid w:val="005809D8"/>
    <w:rsid w:val="00580AAC"/>
    <w:rsid w:val="00580AEF"/>
    <w:rsid w:val="00580B07"/>
    <w:rsid w:val="00580CDE"/>
    <w:rsid w:val="00580F72"/>
    <w:rsid w:val="00581082"/>
    <w:rsid w:val="00581114"/>
    <w:rsid w:val="0058116F"/>
    <w:rsid w:val="00581200"/>
    <w:rsid w:val="0058138C"/>
    <w:rsid w:val="005813CF"/>
    <w:rsid w:val="005813E8"/>
    <w:rsid w:val="00581498"/>
    <w:rsid w:val="005814BB"/>
    <w:rsid w:val="005817FC"/>
    <w:rsid w:val="00581A17"/>
    <w:rsid w:val="00581AC8"/>
    <w:rsid w:val="00581B5B"/>
    <w:rsid w:val="00581D02"/>
    <w:rsid w:val="00581D6B"/>
    <w:rsid w:val="00581DB8"/>
    <w:rsid w:val="00581E22"/>
    <w:rsid w:val="00581ED5"/>
    <w:rsid w:val="00581F1F"/>
    <w:rsid w:val="00581F37"/>
    <w:rsid w:val="00581F93"/>
    <w:rsid w:val="0058221B"/>
    <w:rsid w:val="0058235F"/>
    <w:rsid w:val="00582574"/>
    <w:rsid w:val="005825DB"/>
    <w:rsid w:val="00582729"/>
    <w:rsid w:val="00582861"/>
    <w:rsid w:val="00582909"/>
    <w:rsid w:val="0058292E"/>
    <w:rsid w:val="0058294A"/>
    <w:rsid w:val="00582A7B"/>
    <w:rsid w:val="00582B9E"/>
    <w:rsid w:val="00582BC4"/>
    <w:rsid w:val="00582E35"/>
    <w:rsid w:val="00582FB5"/>
    <w:rsid w:val="00582FC0"/>
    <w:rsid w:val="00582FD2"/>
    <w:rsid w:val="00583006"/>
    <w:rsid w:val="0058334C"/>
    <w:rsid w:val="00583412"/>
    <w:rsid w:val="005834DF"/>
    <w:rsid w:val="00583563"/>
    <w:rsid w:val="005835C9"/>
    <w:rsid w:val="00583613"/>
    <w:rsid w:val="00583678"/>
    <w:rsid w:val="00583756"/>
    <w:rsid w:val="00583771"/>
    <w:rsid w:val="005837B8"/>
    <w:rsid w:val="0058380A"/>
    <w:rsid w:val="0058380B"/>
    <w:rsid w:val="005839CD"/>
    <w:rsid w:val="00583A63"/>
    <w:rsid w:val="00583B0D"/>
    <w:rsid w:val="00583BEF"/>
    <w:rsid w:val="00583BFF"/>
    <w:rsid w:val="00583D39"/>
    <w:rsid w:val="00583DB3"/>
    <w:rsid w:val="0058407A"/>
    <w:rsid w:val="00584120"/>
    <w:rsid w:val="0058435B"/>
    <w:rsid w:val="005843CA"/>
    <w:rsid w:val="0058451B"/>
    <w:rsid w:val="00584591"/>
    <w:rsid w:val="005845B8"/>
    <w:rsid w:val="00584610"/>
    <w:rsid w:val="0058464F"/>
    <w:rsid w:val="0058484B"/>
    <w:rsid w:val="00584964"/>
    <w:rsid w:val="00584AF1"/>
    <w:rsid w:val="00584C52"/>
    <w:rsid w:val="00584CE8"/>
    <w:rsid w:val="00584EDC"/>
    <w:rsid w:val="00585169"/>
    <w:rsid w:val="005851A2"/>
    <w:rsid w:val="005851C3"/>
    <w:rsid w:val="005851D2"/>
    <w:rsid w:val="00585225"/>
    <w:rsid w:val="00585320"/>
    <w:rsid w:val="0058534D"/>
    <w:rsid w:val="00585390"/>
    <w:rsid w:val="005853F4"/>
    <w:rsid w:val="005854E6"/>
    <w:rsid w:val="0058568F"/>
    <w:rsid w:val="005858C7"/>
    <w:rsid w:val="00585907"/>
    <w:rsid w:val="00585962"/>
    <w:rsid w:val="00585EDB"/>
    <w:rsid w:val="00585F6D"/>
    <w:rsid w:val="0058608E"/>
    <w:rsid w:val="0058609E"/>
    <w:rsid w:val="005861F0"/>
    <w:rsid w:val="00586374"/>
    <w:rsid w:val="00586590"/>
    <w:rsid w:val="005865BF"/>
    <w:rsid w:val="00586796"/>
    <w:rsid w:val="005867E5"/>
    <w:rsid w:val="00586831"/>
    <w:rsid w:val="005868F6"/>
    <w:rsid w:val="00586939"/>
    <w:rsid w:val="00586970"/>
    <w:rsid w:val="00586A75"/>
    <w:rsid w:val="00586A89"/>
    <w:rsid w:val="00586B52"/>
    <w:rsid w:val="00586D4F"/>
    <w:rsid w:val="00586E4B"/>
    <w:rsid w:val="00587245"/>
    <w:rsid w:val="0058727C"/>
    <w:rsid w:val="005876C7"/>
    <w:rsid w:val="005876D4"/>
    <w:rsid w:val="005878D7"/>
    <w:rsid w:val="005878D9"/>
    <w:rsid w:val="005879FA"/>
    <w:rsid w:val="00587DA5"/>
    <w:rsid w:val="00590734"/>
    <w:rsid w:val="0059078B"/>
    <w:rsid w:val="00590868"/>
    <w:rsid w:val="0059086A"/>
    <w:rsid w:val="00590914"/>
    <w:rsid w:val="00590AC2"/>
    <w:rsid w:val="00590BAF"/>
    <w:rsid w:val="00590CC9"/>
    <w:rsid w:val="00590E23"/>
    <w:rsid w:val="00590E96"/>
    <w:rsid w:val="00590FC1"/>
    <w:rsid w:val="00591091"/>
    <w:rsid w:val="0059119E"/>
    <w:rsid w:val="005912E6"/>
    <w:rsid w:val="005913B7"/>
    <w:rsid w:val="005913E3"/>
    <w:rsid w:val="005914EC"/>
    <w:rsid w:val="0059162F"/>
    <w:rsid w:val="005916AC"/>
    <w:rsid w:val="005917C4"/>
    <w:rsid w:val="005918A0"/>
    <w:rsid w:val="00591A17"/>
    <w:rsid w:val="00591A9D"/>
    <w:rsid w:val="00591BA2"/>
    <w:rsid w:val="00591C04"/>
    <w:rsid w:val="00591F8F"/>
    <w:rsid w:val="00592040"/>
    <w:rsid w:val="005920CD"/>
    <w:rsid w:val="005921F5"/>
    <w:rsid w:val="0059226B"/>
    <w:rsid w:val="005923B5"/>
    <w:rsid w:val="00592422"/>
    <w:rsid w:val="0059264E"/>
    <w:rsid w:val="00592730"/>
    <w:rsid w:val="00592874"/>
    <w:rsid w:val="00592892"/>
    <w:rsid w:val="005928D2"/>
    <w:rsid w:val="0059296C"/>
    <w:rsid w:val="00592991"/>
    <w:rsid w:val="00592BF3"/>
    <w:rsid w:val="00592D41"/>
    <w:rsid w:val="00592F12"/>
    <w:rsid w:val="0059306D"/>
    <w:rsid w:val="005930C6"/>
    <w:rsid w:val="005930D8"/>
    <w:rsid w:val="005931BE"/>
    <w:rsid w:val="0059345C"/>
    <w:rsid w:val="005934AE"/>
    <w:rsid w:val="00593589"/>
    <w:rsid w:val="005935BE"/>
    <w:rsid w:val="00593870"/>
    <w:rsid w:val="00593896"/>
    <w:rsid w:val="005939A9"/>
    <w:rsid w:val="00593A75"/>
    <w:rsid w:val="00593A83"/>
    <w:rsid w:val="00593ACC"/>
    <w:rsid w:val="00593B3D"/>
    <w:rsid w:val="00593BB7"/>
    <w:rsid w:val="00593BC0"/>
    <w:rsid w:val="00593C40"/>
    <w:rsid w:val="00593DC6"/>
    <w:rsid w:val="00593DF7"/>
    <w:rsid w:val="00593FB9"/>
    <w:rsid w:val="00594047"/>
    <w:rsid w:val="0059410F"/>
    <w:rsid w:val="005941CB"/>
    <w:rsid w:val="00594222"/>
    <w:rsid w:val="00594231"/>
    <w:rsid w:val="00594280"/>
    <w:rsid w:val="0059434C"/>
    <w:rsid w:val="005943B0"/>
    <w:rsid w:val="005943D1"/>
    <w:rsid w:val="00594580"/>
    <w:rsid w:val="005945FD"/>
    <w:rsid w:val="00594621"/>
    <w:rsid w:val="00594718"/>
    <w:rsid w:val="00594A9B"/>
    <w:rsid w:val="00594AE8"/>
    <w:rsid w:val="00594B43"/>
    <w:rsid w:val="00594BF2"/>
    <w:rsid w:val="00594C9D"/>
    <w:rsid w:val="00594E0A"/>
    <w:rsid w:val="00594EB7"/>
    <w:rsid w:val="00594EEE"/>
    <w:rsid w:val="00595021"/>
    <w:rsid w:val="00595103"/>
    <w:rsid w:val="0059524F"/>
    <w:rsid w:val="005952C5"/>
    <w:rsid w:val="00595346"/>
    <w:rsid w:val="0059540A"/>
    <w:rsid w:val="00595451"/>
    <w:rsid w:val="00595543"/>
    <w:rsid w:val="005956B0"/>
    <w:rsid w:val="005957E9"/>
    <w:rsid w:val="00595883"/>
    <w:rsid w:val="005958FE"/>
    <w:rsid w:val="005959C5"/>
    <w:rsid w:val="00595A8B"/>
    <w:rsid w:val="00595B07"/>
    <w:rsid w:val="00595B36"/>
    <w:rsid w:val="00595B3B"/>
    <w:rsid w:val="0059628E"/>
    <w:rsid w:val="0059639A"/>
    <w:rsid w:val="0059654D"/>
    <w:rsid w:val="00596557"/>
    <w:rsid w:val="0059656D"/>
    <w:rsid w:val="005965DF"/>
    <w:rsid w:val="00596603"/>
    <w:rsid w:val="0059661A"/>
    <w:rsid w:val="00596705"/>
    <w:rsid w:val="0059673B"/>
    <w:rsid w:val="005969DB"/>
    <w:rsid w:val="00596A8D"/>
    <w:rsid w:val="00596B4D"/>
    <w:rsid w:val="00596C52"/>
    <w:rsid w:val="00596DED"/>
    <w:rsid w:val="005970DD"/>
    <w:rsid w:val="0059764F"/>
    <w:rsid w:val="00597683"/>
    <w:rsid w:val="005976B9"/>
    <w:rsid w:val="00597754"/>
    <w:rsid w:val="0059778E"/>
    <w:rsid w:val="005977A1"/>
    <w:rsid w:val="005977AB"/>
    <w:rsid w:val="0059790A"/>
    <w:rsid w:val="005979C9"/>
    <w:rsid w:val="00597A56"/>
    <w:rsid w:val="00597A71"/>
    <w:rsid w:val="00597B28"/>
    <w:rsid w:val="00597B33"/>
    <w:rsid w:val="00597E0E"/>
    <w:rsid w:val="00597E3C"/>
    <w:rsid w:val="00597F23"/>
    <w:rsid w:val="005A018B"/>
    <w:rsid w:val="005A01A5"/>
    <w:rsid w:val="005A063A"/>
    <w:rsid w:val="005A07AE"/>
    <w:rsid w:val="005A07CD"/>
    <w:rsid w:val="005A07D0"/>
    <w:rsid w:val="005A08E0"/>
    <w:rsid w:val="005A0A6F"/>
    <w:rsid w:val="005A0F01"/>
    <w:rsid w:val="005A0FA1"/>
    <w:rsid w:val="005A105E"/>
    <w:rsid w:val="005A1113"/>
    <w:rsid w:val="005A120C"/>
    <w:rsid w:val="005A126B"/>
    <w:rsid w:val="005A153C"/>
    <w:rsid w:val="005A16A3"/>
    <w:rsid w:val="005A16CD"/>
    <w:rsid w:val="005A1700"/>
    <w:rsid w:val="005A1AA4"/>
    <w:rsid w:val="005A1AF3"/>
    <w:rsid w:val="005A1B83"/>
    <w:rsid w:val="005A1B96"/>
    <w:rsid w:val="005A1C21"/>
    <w:rsid w:val="005A1EA7"/>
    <w:rsid w:val="005A1F52"/>
    <w:rsid w:val="005A20A2"/>
    <w:rsid w:val="005A2204"/>
    <w:rsid w:val="005A2306"/>
    <w:rsid w:val="005A2376"/>
    <w:rsid w:val="005A24A2"/>
    <w:rsid w:val="005A2796"/>
    <w:rsid w:val="005A2820"/>
    <w:rsid w:val="005A282B"/>
    <w:rsid w:val="005A28C6"/>
    <w:rsid w:val="005A295E"/>
    <w:rsid w:val="005A2AF0"/>
    <w:rsid w:val="005A2B3A"/>
    <w:rsid w:val="005A2B6E"/>
    <w:rsid w:val="005A2C53"/>
    <w:rsid w:val="005A2D8A"/>
    <w:rsid w:val="005A2DFF"/>
    <w:rsid w:val="005A2E97"/>
    <w:rsid w:val="005A2F73"/>
    <w:rsid w:val="005A3032"/>
    <w:rsid w:val="005A320D"/>
    <w:rsid w:val="005A3450"/>
    <w:rsid w:val="005A3499"/>
    <w:rsid w:val="005A35F1"/>
    <w:rsid w:val="005A36C3"/>
    <w:rsid w:val="005A3795"/>
    <w:rsid w:val="005A3805"/>
    <w:rsid w:val="005A3824"/>
    <w:rsid w:val="005A38ED"/>
    <w:rsid w:val="005A39F0"/>
    <w:rsid w:val="005A3BA6"/>
    <w:rsid w:val="005A3D45"/>
    <w:rsid w:val="005A3D54"/>
    <w:rsid w:val="005A3E31"/>
    <w:rsid w:val="005A3ECE"/>
    <w:rsid w:val="005A4182"/>
    <w:rsid w:val="005A4295"/>
    <w:rsid w:val="005A4482"/>
    <w:rsid w:val="005A458B"/>
    <w:rsid w:val="005A4938"/>
    <w:rsid w:val="005A4BB7"/>
    <w:rsid w:val="005A4CA1"/>
    <w:rsid w:val="005A4D2F"/>
    <w:rsid w:val="005A4DC1"/>
    <w:rsid w:val="005A4E92"/>
    <w:rsid w:val="005A5048"/>
    <w:rsid w:val="005A511D"/>
    <w:rsid w:val="005A523C"/>
    <w:rsid w:val="005A5381"/>
    <w:rsid w:val="005A5569"/>
    <w:rsid w:val="005A574F"/>
    <w:rsid w:val="005A5860"/>
    <w:rsid w:val="005A5989"/>
    <w:rsid w:val="005A598C"/>
    <w:rsid w:val="005A5B80"/>
    <w:rsid w:val="005A5BA2"/>
    <w:rsid w:val="005A5D35"/>
    <w:rsid w:val="005A5D9E"/>
    <w:rsid w:val="005A5E79"/>
    <w:rsid w:val="005A6057"/>
    <w:rsid w:val="005A6130"/>
    <w:rsid w:val="005A616A"/>
    <w:rsid w:val="005A61F0"/>
    <w:rsid w:val="005A6237"/>
    <w:rsid w:val="005A6259"/>
    <w:rsid w:val="005A6356"/>
    <w:rsid w:val="005A6360"/>
    <w:rsid w:val="005A6505"/>
    <w:rsid w:val="005A6694"/>
    <w:rsid w:val="005A66AE"/>
    <w:rsid w:val="005A66D1"/>
    <w:rsid w:val="005A6720"/>
    <w:rsid w:val="005A67CC"/>
    <w:rsid w:val="005A680A"/>
    <w:rsid w:val="005A6983"/>
    <w:rsid w:val="005A6996"/>
    <w:rsid w:val="005A6A04"/>
    <w:rsid w:val="005A6C6E"/>
    <w:rsid w:val="005A6C9C"/>
    <w:rsid w:val="005A6CB4"/>
    <w:rsid w:val="005A6E73"/>
    <w:rsid w:val="005A6F32"/>
    <w:rsid w:val="005A6F85"/>
    <w:rsid w:val="005A70BD"/>
    <w:rsid w:val="005A7101"/>
    <w:rsid w:val="005A7210"/>
    <w:rsid w:val="005A7317"/>
    <w:rsid w:val="005A7401"/>
    <w:rsid w:val="005A7549"/>
    <w:rsid w:val="005A75E3"/>
    <w:rsid w:val="005A7612"/>
    <w:rsid w:val="005A7681"/>
    <w:rsid w:val="005A7684"/>
    <w:rsid w:val="005A769C"/>
    <w:rsid w:val="005A7742"/>
    <w:rsid w:val="005A7827"/>
    <w:rsid w:val="005A7972"/>
    <w:rsid w:val="005A79D9"/>
    <w:rsid w:val="005A79EE"/>
    <w:rsid w:val="005A7AFB"/>
    <w:rsid w:val="005A7BAE"/>
    <w:rsid w:val="005A7EB2"/>
    <w:rsid w:val="005A7F82"/>
    <w:rsid w:val="005B0574"/>
    <w:rsid w:val="005B0623"/>
    <w:rsid w:val="005B063A"/>
    <w:rsid w:val="005B0845"/>
    <w:rsid w:val="005B0A12"/>
    <w:rsid w:val="005B0C3B"/>
    <w:rsid w:val="005B0C48"/>
    <w:rsid w:val="005B0D2D"/>
    <w:rsid w:val="005B0DE6"/>
    <w:rsid w:val="005B10B1"/>
    <w:rsid w:val="005B10CC"/>
    <w:rsid w:val="005B135D"/>
    <w:rsid w:val="005B143E"/>
    <w:rsid w:val="005B16A7"/>
    <w:rsid w:val="005B16AA"/>
    <w:rsid w:val="005B16C9"/>
    <w:rsid w:val="005B173D"/>
    <w:rsid w:val="005B180B"/>
    <w:rsid w:val="005B1884"/>
    <w:rsid w:val="005B188C"/>
    <w:rsid w:val="005B196E"/>
    <w:rsid w:val="005B1C88"/>
    <w:rsid w:val="005B1CC5"/>
    <w:rsid w:val="005B1D4A"/>
    <w:rsid w:val="005B1E69"/>
    <w:rsid w:val="005B1ECD"/>
    <w:rsid w:val="005B1EDF"/>
    <w:rsid w:val="005B2058"/>
    <w:rsid w:val="005B20E6"/>
    <w:rsid w:val="005B2208"/>
    <w:rsid w:val="005B22EF"/>
    <w:rsid w:val="005B2404"/>
    <w:rsid w:val="005B241F"/>
    <w:rsid w:val="005B2488"/>
    <w:rsid w:val="005B2A35"/>
    <w:rsid w:val="005B2A5E"/>
    <w:rsid w:val="005B2AC2"/>
    <w:rsid w:val="005B2B0F"/>
    <w:rsid w:val="005B2B34"/>
    <w:rsid w:val="005B2CD3"/>
    <w:rsid w:val="005B2CE9"/>
    <w:rsid w:val="005B2E28"/>
    <w:rsid w:val="005B3037"/>
    <w:rsid w:val="005B327E"/>
    <w:rsid w:val="005B35B2"/>
    <w:rsid w:val="005B36F0"/>
    <w:rsid w:val="005B3738"/>
    <w:rsid w:val="005B3753"/>
    <w:rsid w:val="005B37FF"/>
    <w:rsid w:val="005B38A0"/>
    <w:rsid w:val="005B3909"/>
    <w:rsid w:val="005B3C1D"/>
    <w:rsid w:val="005B3D1E"/>
    <w:rsid w:val="005B3D55"/>
    <w:rsid w:val="005B3DB6"/>
    <w:rsid w:val="005B3E28"/>
    <w:rsid w:val="005B3F97"/>
    <w:rsid w:val="005B400C"/>
    <w:rsid w:val="005B401C"/>
    <w:rsid w:val="005B41A5"/>
    <w:rsid w:val="005B4261"/>
    <w:rsid w:val="005B430E"/>
    <w:rsid w:val="005B4317"/>
    <w:rsid w:val="005B4362"/>
    <w:rsid w:val="005B43FF"/>
    <w:rsid w:val="005B4498"/>
    <w:rsid w:val="005B44AF"/>
    <w:rsid w:val="005B455C"/>
    <w:rsid w:val="005B46BB"/>
    <w:rsid w:val="005B479A"/>
    <w:rsid w:val="005B47D5"/>
    <w:rsid w:val="005B4977"/>
    <w:rsid w:val="005B4ADE"/>
    <w:rsid w:val="005B4CAF"/>
    <w:rsid w:val="005B4EBE"/>
    <w:rsid w:val="005B4F0A"/>
    <w:rsid w:val="005B4F81"/>
    <w:rsid w:val="005B4FAA"/>
    <w:rsid w:val="005B4FF6"/>
    <w:rsid w:val="005B50E8"/>
    <w:rsid w:val="005B50F3"/>
    <w:rsid w:val="005B510C"/>
    <w:rsid w:val="005B525B"/>
    <w:rsid w:val="005B538E"/>
    <w:rsid w:val="005B5468"/>
    <w:rsid w:val="005B55DA"/>
    <w:rsid w:val="005B560C"/>
    <w:rsid w:val="005B564F"/>
    <w:rsid w:val="005B56DB"/>
    <w:rsid w:val="005B574B"/>
    <w:rsid w:val="005B57F1"/>
    <w:rsid w:val="005B580A"/>
    <w:rsid w:val="005B5811"/>
    <w:rsid w:val="005B5881"/>
    <w:rsid w:val="005B598B"/>
    <w:rsid w:val="005B5A28"/>
    <w:rsid w:val="005B5A3D"/>
    <w:rsid w:val="005B5AA2"/>
    <w:rsid w:val="005B5AD8"/>
    <w:rsid w:val="005B5B50"/>
    <w:rsid w:val="005B5C22"/>
    <w:rsid w:val="005B5C52"/>
    <w:rsid w:val="005B5E99"/>
    <w:rsid w:val="005B6079"/>
    <w:rsid w:val="005B62CA"/>
    <w:rsid w:val="005B64A6"/>
    <w:rsid w:val="005B64EA"/>
    <w:rsid w:val="005B6740"/>
    <w:rsid w:val="005B6754"/>
    <w:rsid w:val="005B6889"/>
    <w:rsid w:val="005B6A1A"/>
    <w:rsid w:val="005B6B19"/>
    <w:rsid w:val="005B706C"/>
    <w:rsid w:val="005B7235"/>
    <w:rsid w:val="005B7390"/>
    <w:rsid w:val="005B778B"/>
    <w:rsid w:val="005B779E"/>
    <w:rsid w:val="005B782B"/>
    <w:rsid w:val="005B78B1"/>
    <w:rsid w:val="005B79AF"/>
    <w:rsid w:val="005B7A59"/>
    <w:rsid w:val="005B7AA4"/>
    <w:rsid w:val="005B7BC2"/>
    <w:rsid w:val="005B7C01"/>
    <w:rsid w:val="005B7F03"/>
    <w:rsid w:val="005B7F3E"/>
    <w:rsid w:val="005C004B"/>
    <w:rsid w:val="005C00DD"/>
    <w:rsid w:val="005C00F9"/>
    <w:rsid w:val="005C0226"/>
    <w:rsid w:val="005C0264"/>
    <w:rsid w:val="005C02EC"/>
    <w:rsid w:val="005C0372"/>
    <w:rsid w:val="005C045B"/>
    <w:rsid w:val="005C0547"/>
    <w:rsid w:val="005C05FF"/>
    <w:rsid w:val="005C06E7"/>
    <w:rsid w:val="005C076D"/>
    <w:rsid w:val="005C07F7"/>
    <w:rsid w:val="005C0821"/>
    <w:rsid w:val="005C082F"/>
    <w:rsid w:val="005C098E"/>
    <w:rsid w:val="005C0C75"/>
    <w:rsid w:val="005C0DBD"/>
    <w:rsid w:val="005C0E50"/>
    <w:rsid w:val="005C0EB8"/>
    <w:rsid w:val="005C0F12"/>
    <w:rsid w:val="005C1042"/>
    <w:rsid w:val="005C117C"/>
    <w:rsid w:val="005C117F"/>
    <w:rsid w:val="005C1189"/>
    <w:rsid w:val="005C11D5"/>
    <w:rsid w:val="005C1216"/>
    <w:rsid w:val="005C125C"/>
    <w:rsid w:val="005C1505"/>
    <w:rsid w:val="005C1615"/>
    <w:rsid w:val="005C1648"/>
    <w:rsid w:val="005C169A"/>
    <w:rsid w:val="005C1708"/>
    <w:rsid w:val="005C19B0"/>
    <w:rsid w:val="005C19D3"/>
    <w:rsid w:val="005C1B0C"/>
    <w:rsid w:val="005C1B6B"/>
    <w:rsid w:val="005C1C34"/>
    <w:rsid w:val="005C1D6D"/>
    <w:rsid w:val="005C1E90"/>
    <w:rsid w:val="005C20D7"/>
    <w:rsid w:val="005C2138"/>
    <w:rsid w:val="005C22FD"/>
    <w:rsid w:val="005C2448"/>
    <w:rsid w:val="005C263C"/>
    <w:rsid w:val="005C2699"/>
    <w:rsid w:val="005C27FC"/>
    <w:rsid w:val="005C2979"/>
    <w:rsid w:val="005C2AE5"/>
    <w:rsid w:val="005C2D23"/>
    <w:rsid w:val="005C2E44"/>
    <w:rsid w:val="005C2E52"/>
    <w:rsid w:val="005C2ED7"/>
    <w:rsid w:val="005C2FC5"/>
    <w:rsid w:val="005C3059"/>
    <w:rsid w:val="005C30A9"/>
    <w:rsid w:val="005C331C"/>
    <w:rsid w:val="005C34F7"/>
    <w:rsid w:val="005C35EB"/>
    <w:rsid w:val="005C3677"/>
    <w:rsid w:val="005C38AE"/>
    <w:rsid w:val="005C39E0"/>
    <w:rsid w:val="005C3AFF"/>
    <w:rsid w:val="005C3C19"/>
    <w:rsid w:val="005C3C5C"/>
    <w:rsid w:val="005C3EAC"/>
    <w:rsid w:val="005C3F63"/>
    <w:rsid w:val="005C40A7"/>
    <w:rsid w:val="005C40E9"/>
    <w:rsid w:val="005C4308"/>
    <w:rsid w:val="005C4348"/>
    <w:rsid w:val="005C442D"/>
    <w:rsid w:val="005C4561"/>
    <w:rsid w:val="005C4588"/>
    <w:rsid w:val="005C464E"/>
    <w:rsid w:val="005C4BAC"/>
    <w:rsid w:val="005C4BEE"/>
    <w:rsid w:val="005C4CDA"/>
    <w:rsid w:val="005C4DE4"/>
    <w:rsid w:val="005C4EB3"/>
    <w:rsid w:val="005C506C"/>
    <w:rsid w:val="005C5113"/>
    <w:rsid w:val="005C5209"/>
    <w:rsid w:val="005C528A"/>
    <w:rsid w:val="005C5523"/>
    <w:rsid w:val="005C552E"/>
    <w:rsid w:val="005C55E4"/>
    <w:rsid w:val="005C564F"/>
    <w:rsid w:val="005C5769"/>
    <w:rsid w:val="005C59E2"/>
    <w:rsid w:val="005C5BF8"/>
    <w:rsid w:val="005C5D4E"/>
    <w:rsid w:val="005C5E33"/>
    <w:rsid w:val="005C5EA1"/>
    <w:rsid w:val="005C5FE2"/>
    <w:rsid w:val="005C601E"/>
    <w:rsid w:val="005C60D7"/>
    <w:rsid w:val="005C60F7"/>
    <w:rsid w:val="005C6382"/>
    <w:rsid w:val="005C664D"/>
    <w:rsid w:val="005C67EA"/>
    <w:rsid w:val="005C6857"/>
    <w:rsid w:val="005C687D"/>
    <w:rsid w:val="005C6889"/>
    <w:rsid w:val="005C6A1C"/>
    <w:rsid w:val="005C6A8B"/>
    <w:rsid w:val="005C6AE2"/>
    <w:rsid w:val="005C6E33"/>
    <w:rsid w:val="005C6E74"/>
    <w:rsid w:val="005C6EF2"/>
    <w:rsid w:val="005C7133"/>
    <w:rsid w:val="005C71FC"/>
    <w:rsid w:val="005C754D"/>
    <w:rsid w:val="005C7663"/>
    <w:rsid w:val="005C7673"/>
    <w:rsid w:val="005C7714"/>
    <w:rsid w:val="005C79A1"/>
    <w:rsid w:val="005C79FD"/>
    <w:rsid w:val="005C7A4C"/>
    <w:rsid w:val="005C7A54"/>
    <w:rsid w:val="005C7AA9"/>
    <w:rsid w:val="005C7B8A"/>
    <w:rsid w:val="005C7CDA"/>
    <w:rsid w:val="005C7DA3"/>
    <w:rsid w:val="005C7E5B"/>
    <w:rsid w:val="005D00F3"/>
    <w:rsid w:val="005D02F4"/>
    <w:rsid w:val="005D0787"/>
    <w:rsid w:val="005D0B60"/>
    <w:rsid w:val="005D0B91"/>
    <w:rsid w:val="005D0D30"/>
    <w:rsid w:val="005D0E6B"/>
    <w:rsid w:val="005D1073"/>
    <w:rsid w:val="005D107F"/>
    <w:rsid w:val="005D11E7"/>
    <w:rsid w:val="005D12AB"/>
    <w:rsid w:val="005D1329"/>
    <w:rsid w:val="005D1383"/>
    <w:rsid w:val="005D1414"/>
    <w:rsid w:val="005D1462"/>
    <w:rsid w:val="005D1775"/>
    <w:rsid w:val="005D178C"/>
    <w:rsid w:val="005D179C"/>
    <w:rsid w:val="005D1832"/>
    <w:rsid w:val="005D1883"/>
    <w:rsid w:val="005D189E"/>
    <w:rsid w:val="005D19E7"/>
    <w:rsid w:val="005D1B28"/>
    <w:rsid w:val="005D1B4C"/>
    <w:rsid w:val="005D1BC6"/>
    <w:rsid w:val="005D1CA8"/>
    <w:rsid w:val="005D1CD2"/>
    <w:rsid w:val="005D1D03"/>
    <w:rsid w:val="005D1D48"/>
    <w:rsid w:val="005D1D9B"/>
    <w:rsid w:val="005D1E5F"/>
    <w:rsid w:val="005D1FC3"/>
    <w:rsid w:val="005D2109"/>
    <w:rsid w:val="005D2167"/>
    <w:rsid w:val="005D21FA"/>
    <w:rsid w:val="005D2243"/>
    <w:rsid w:val="005D2258"/>
    <w:rsid w:val="005D22AE"/>
    <w:rsid w:val="005D25A6"/>
    <w:rsid w:val="005D26BD"/>
    <w:rsid w:val="005D28A6"/>
    <w:rsid w:val="005D2965"/>
    <w:rsid w:val="005D2A3F"/>
    <w:rsid w:val="005D2B76"/>
    <w:rsid w:val="005D2B78"/>
    <w:rsid w:val="005D2CF5"/>
    <w:rsid w:val="005D2DA5"/>
    <w:rsid w:val="005D2EB1"/>
    <w:rsid w:val="005D2F70"/>
    <w:rsid w:val="005D3101"/>
    <w:rsid w:val="005D3166"/>
    <w:rsid w:val="005D34A6"/>
    <w:rsid w:val="005D34BD"/>
    <w:rsid w:val="005D35D8"/>
    <w:rsid w:val="005D3643"/>
    <w:rsid w:val="005D37E4"/>
    <w:rsid w:val="005D3846"/>
    <w:rsid w:val="005D39C5"/>
    <w:rsid w:val="005D3A43"/>
    <w:rsid w:val="005D3A70"/>
    <w:rsid w:val="005D3A78"/>
    <w:rsid w:val="005D3ADC"/>
    <w:rsid w:val="005D3B80"/>
    <w:rsid w:val="005D3BFB"/>
    <w:rsid w:val="005D3C96"/>
    <w:rsid w:val="005D3D44"/>
    <w:rsid w:val="005D3E00"/>
    <w:rsid w:val="005D4018"/>
    <w:rsid w:val="005D4029"/>
    <w:rsid w:val="005D4305"/>
    <w:rsid w:val="005D4310"/>
    <w:rsid w:val="005D45E2"/>
    <w:rsid w:val="005D4788"/>
    <w:rsid w:val="005D47BB"/>
    <w:rsid w:val="005D47E0"/>
    <w:rsid w:val="005D488C"/>
    <w:rsid w:val="005D4B72"/>
    <w:rsid w:val="005D4BA4"/>
    <w:rsid w:val="005D4BF1"/>
    <w:rsid w:val="005D4BF8"/>
    <w:rsid w:val="005D4C22"/>
    <w:rsid w:val="005D4C74"/>
    <w:rsid w:val="005D4DC0"/>
    <w:rsid w:val="005D4E5A"/>
    <w:rsid w:val="005D4F06"/>
    <w:rsid w:val="005D4FF2"/>
    <w:rsid w:val="005D50A9"/>
    <w:rsid w:val="005D50E0"/>
    <w:rsid w:val="005D515F"/>
    <w:rsid w:val="005D5239"/>
    <w:rsid w:val="005D5384"/>
    <w:rsid w:val="005D56A7"/>
    <w:rsid w:val="005D58A0"/>
    <w:rsid w:val="005D59AD"/>
    <w:rsid w:val="005D5AB7"/>
    <w:rsid w:val="005D5BCE"/>
    <w:rsid w:val="005D5C9B"/>
    <w:rsid w:val="005D5EDC"/>
    <w:rsid w:val="005D6079"/>
    <w:rsid w:val="005D614C"/>
    <w:rsid w:val="005D61A5"/>
    <w:rsid w:val="005D61DD"/>
    <w:rsid w:val="005D622B"/>
    <w:rsid w:val="005D62FF"/>
    <w:rsid w:val="005D630E"/>
    <w:rsid w:val="005D6476"/>
    <w:rsid w:val="005D663F"/>
    <w:rsid w:val="005D6920"/>
    <w:rsid w:val="005D6995"/>
    <w:rsid w:val="005D6AE5"/>
    <w:rsid w:val="005D6C07"/>
    <w:rsid w:val="005D6C4D"/>
    <w:rsid w:val="005D6D82"/>
    <w:rsid w:val="005D6DBA"/>
    <w:rsid w:val="005D6DEC"/>
    <w:rsid w:val="005D6E65"/>
    <w:rsid w:val="005D6F31"/>
    <w:rsid w:val="005D7225"/>
    <w:rsid w:val="005D7279"/>
    <w:rsid w:val="005D7374"/>
    <w:rsid w:val="005D7443"/>
    <w:rsid w:val="005D74DB"/>
    <w:rsid w:val="005D753E"/>
    <w:rsid w:val="005D76E5"/>
    <w:rsid w:val="005D77DB"/>
    <w:rsid w:val="005D78BE"/>
    <w:rsid w:val="005D7D11"/>
    <w:rsid w:val="005D7D59"/>
    <w:rsid w:val="005D7F74"/>
    <w:rsid w:val="005E0057"/>
    <w:rsid w:val="005E01F0"/>
    <w:rsid w:val="005E0233"/>
    <w:rsid w:val="005E02D5"/>
    <w:rsid w:val="005E03D8"/>
    <w:rsid w:val="005E053F"/>
    <w:rsid w:val="005E055A"/>
    <w:rsid w:val="005E072A"/>
    <w:rsid w:val="005E0733"/>
    <w:rsid w:val="005E08AE"/>
    <w:rsid w:val="005E0932"/>
    <w:rsid w:val="005E09B5"/>
    <w:rsid w:val="005E0AB0"/>
    <w:rsid w:val="005E0D84"/>
    <w:rsid w:val="005E0F79"/>
    <w:rsid w:val="005E1040"/>
    <w:rsid w:val="005E110A"/>
    <w:rsid w:val="005E1459"/>
    <w:rsid w:val="005E1464"/>
    <w:rsid w:val="005E147A"/>
    <w:rsid w:val="005E1570"/>
    <w:rsid w:val="005E168D"/>
    <w:rsid w:val="005E1778"/>
    <w:rsid w:val="005E1790"/>
    <w:rsid w:val="005E17FD"/>
    <w:rsid w:val="005E18EB"/>
    <w:rsid w:val="005E191B"/>
    <w:rsid w:val="005E19AD"/>
    <w:rsid w:val="005E1CCD"/>
    <w:rsid w:val="005E1DF6"/>
    <w:rsid w:val="005E1ED5"/>
    <w:rsid w:val="005E20B9"/>
    <w:rsid w:val="005E21FB"/>
    <w:rsid w:val="005E22C9"/>
    <w:rsid w:val="005E2461"/>
    <w:rsid w:val="005E247E"/>
    <w:rsid w:val="005E24A9"/>
    <w:rsid w:val="005E271C"/>
    <w:rsid w:val="005E283A"/>
    <w:rsid w:val="005E2919"/>
    <w:rsid w:val="005E2A88"/>
    <w:rsid w:val="005E2C4C"/>
    <w:rsid w:val="005E2C6D"/>
    <w:rsid w:val="005E2C8F"/>
    <w:rsid w:val="005E2F09"/>
    <w:rsid w:val="005E309A"/>
    <w:rsid w:val="005E31AE"/>
    <w:rsid w:val="005E3315"/>
    <w:rsid w:val="005E333D"/>
    <w:rsid w:val="005E33D8"/>
    <w:rsid w:val="005E3409"/>
    <w:rsid w:val="005E348F"/>
    <w:rsid w:val="005E3639"/>
    <w:rsid w:val="005E368F"/>
    <w:rsid w:val="005E381D"/>
    <w:rsid w:val="005E39D1"/>
    <w:rsid w:val="005E3AFC"/>
    <w:rsid w:val="005E3C24"/>
    <w:rsid w:val="005E3C40"/>
    <w:rsid w:val="005E3CF7"/>
    <w:rsid w:val="005E3FAC"/>
    <w:rsid w:val="005E4369"/>
    <w:rsid w:val="005E44B2"/>
    <w:rsid w:val="005E4596"/>
    <w:rsid w:val="005E459D"/>
    <w:rsid w:val="005E4792"/>
    <w:rsid w:val="005E4863"/>
    <w:rsid w:val="005E49C7"/>
    <w:rsid w:val="005E4A01"/>
    <w:rsid w:val="005E4AC4"/>
    <w:rsid w:val="005E4B8A"/>
    <w:rsid w:val="005E4C1D"/>
    <w:rsid w:val="005E4C79"/>
    <w:rsid w:val="005E4DA8"/>
    <w:rsid w:val="005E4E1D"/>
    <w:rsid w:val="005E4EA6"/>
    <w:rsid w:val="005E4F0F"/>
    <w:rsid w:val="005E518B"/>
    <w:rsid w:val="005E520C"/>
    <w:rsid w:val="005E5210"/>
    <w:rsid w:val="005E5251"/>
    <w:rsid w:val="005E54EC"/>
    <w:rsid w:val="005E55C6"/>
    <w:rsid w:val="005E55CC"/>
    <w:rsid w:val="005E5699"/>
    <w:rsid w:val="005E59F1"/>
    <w:rsid w:val="005E5A96"/>
    <w:rsid w:val="005E5B31"/>
    <w:rsid w:val="005E5BAB"/>
    <w:rsid w:val="005E5C24"/>
    <w:rsid w:val="005E5C93"/>
    <w:rsid w:val="005E61AE"/>
    <w:rsid w:val="005E62C9"/>
    <w:rsid w:val="005E634D"/>
    <w:rsid w:val="005E638A"/>
    <w:rsid w:val="005E667E"/>
    <w:rsid w:val="005E67E0"/>
    <w:rsid w:val="005E67F8"/>
    <w:rsid w:val="005E6823"/>
    <w:rsid w:val="005E68BF"/>
    <w:rsid w:val="005E68C9"/>
    <w:rsid w:val="005E6987"/>
    <w:rsid w:val="005E6A59"/>
    <w:rsid w:val="005E6B71"/>
    <w:rsid w:val="005E6C06"/>
    <w:rsid w:val="005E6E27"/>
    <w:rsid w:val="005E6FFC"/>
    <w:rsid w:val="005E7069"/>
    <w:rsid w:val="005E7082"/>
    <w:rsid w:val="005E76DF"/>
    <w:rsid w:val="005E772D"/>
    <w:rsid w:val="005E777F"/>
    <w:rsid w:val="005E7814"/>
    <w:rsid w:val="005E78D6"/>
    <w:rsid w:val="005E79C0"/>
    <w:rsid w:val="005E7C11"/>
    <w:rsid w:val="005E7C85"/>
    <w:rsid w:val="005E7D14"/>
    <w:rsid w:val="005E7D7F"/>
    <w:rsid w:val="005E7EEA"/>
    <w:rsid w:val="005E7EED"/>
    <w:rsid w:val="005E7F3E"/>
    <w:rsid w:val="005F0023"/>
    <w:rsid w:val="005F0038"/>
    <w:rsid w:val="005F0123"/>
    <w:rsid w:val="005F047B"/>
    <w:rsid w:val="005F04EF"/>
    <w:rsid w:val="005F0756"/>
    <w:rsid w:val="005F0874"/>
    <w:rsid w:val="005F08C4"/>
    <w:rsid w:val="005F08E6"/>
    <w:rsid w:val="005F0A55"/>
    <w:rsid w:val="005F0ADE"/>
    <w:rsid w:val="005F101E"/>
    <w:rsid w:val="005F11B0"/>
    <w:rsid w:val="005F1242"/>
    <w:rsid w:val="005F12F7"/>
    <w:rsid w:val="005F1331"/>
    <w:rsid w:val="005F1357"/>
    <w:rsid w:val="005F160F"/>
    <w:rsid w:val="005F1661"/>
    <w:rsid w:val="005F1673"/>
    <w:rsid w:val="005F168B"/>
    <w:rsid w:val="005F16AA"/>
    <w:rsid w:val="005F1944"/>
    <w:rsid w:val="005F1AFA"/>
    <w:rsid w:val="005F1C4D"/>
    <w:rsid w:val="005F1C8A"/>
    <w:rsid w:val="005F1DC6"/>
    <w:rsid w:val="005F1F03"/>
    <w:rsid w:val="005F2050"/>
    <w:rsid w:val="005F211D"/>
    <w:rsid w:val="005F224D"/>
    <w:rsid w:val="005F22BD"/>
    <w:rsid w:val="005F23CD"/>
    <w:rsid w:val="005F25F1"/>
    <w:rsid w:val="005F25F8"/>
    <w:rsid w:val="005F272A"/>
    <w:rsid w:val="005F2B6C"/>
    <w:rsid w:val="005F2C3D"/>
    <w:rsid w:val="005F2EC6"/>
    <w:rsid w:val="005F2EF7"/>
    <w:rsid w:val="005F2F80"/>
    <w:rsid w:val="005F2FA3"/>
    <w:rsid w:val="005F3161"/>
    <w:rsid w:val="005F3192"/>
    <w:rsid w:val="005F3250"/>
    <w:rsid w:val="005F32CE"/>
    <w:rsid w:val="005F32F4"/>
    <w:rsid w:val="005F3309"/>
    <w:rsid w:val="005F33B2"/>
    <w:rsid w:val="005F33DB"/>
    <w:rsid w:val="005F354D"/>
    <w:rsid w:val="005F35CC"/>
    <w:rsid w:val="005F3842"/>
    <w:rsid w:val="005F3965"/>
    <w:rsid w:val="005F3CD9"/>
    <w:rsid w:val="005F3E23"/>
    <w:rsid w:val="005F3E5A"/>
    <w:rsid w:val="005F3E74"/>
    <w:rsid w:val="005F414B"/>
    <w:rsid w:val="005F4236"/>
    <w:rsid w:val="005F42E6"/>
    <w:rsid w:val="005F42F5"/>
    <w:rsid w:val="005F42FF"/>
    <w:rsid w:val="005F45EE"/>
    <w:rsid w:val="005F461E"/>
    <w:rsid w:val="005F46D1"/>
    <w:rsid w:val="005F4853"/>
    <w:rsid w:val="005F4A37"/>
    <w:rsid w:val="005F4BAB"/>
    <w:rsid w:val="005F4D6A"/>
    <w:rsid w:val="005F4D8B"/>
    <w:rsid w:val="005F4D8E"/>
    <w:rsid w:val="005F4E80"/>
    <w:rsid w:val="005F4E98"/>
    <w:rsid w:val="005F502B"/>
    <w:rsid w:val="005F5741"/>
    <w:rsid w:val="005F582E"/>
    <w:rsid w:val="005F59F8"/>
    <w:rsid w:val="005F5A3F"/>
    <w:rsid w:val="005F5BE1"/>
    <w:rsid w:val="005F5C32"/>
    <w:rsid w:val="005F5E0A"/>
    <w:rsid w:val="005F5E97"/>
    <w:rsid w:val="005F602F"/>
    <w:rsid w:val="005F6114"/>
    <w:rsid w:val="005F61B9"/>
    <w:rsid w:val="005F6369"/>
    <w:rsid w:val="005F642A"/>
    <w:rsid w:val="005F64A5"/>
    <w:rsid w:val="005F6592"/>
    <w:rsid w:val="005F65DA"/>
    <w:rsid w:val="005F679E"/>
    <w:rsid w:val="005F6A38"/>
    <w:rsid w:val="005F6B3B"/>
    <w:rsid w:val="005F6D92"/>
    <w:rsid w:val="005F6DAB"/>
    <w:rsid w:val="005F6E2B"/>
    <w:rsid w:val="005F6FAE"/>
    <w:rsid w:val="005F6FF7"/>
    <w:rsid w:val="005F7199"/>
    <w:rsid w:val="005F731A"/>
    <w:rsid w:val="005F73C6"/>
    <w:rsid w:val="005F745B"/>
    <w:rsid w:val="005F74A6"/>
    <w:rsid w:val="005F759D"/>
    <w:rsid w:val="005F7893"/>
    <w:rsid w:val="005F79AE"/>
    <w:rsid w:val="005F7B44"/>
    <w:rsid w:val="005F7D7B"/>
    <w:rsid w:val="005F7DAB"/>
    <w:rsid w:val="005F7E66"/>
    <w:rsid w:val="005F7F7C"/>
    <w:rsid w:val="006001D5"/>
    <w:rsid w:val="0060026C"/>
    <w:rsid w:val="00600351"/>
    <w:rsid w:val="006003D8"/>
    <w:rsid w:val="0060055A"/>
    <w:rsid w:val="00600625"/>
    <w:rsid w:val="006007E6"/>
    <w:rsid w:val="0060083A"/>
    <w:rsid w:val="006008ED"/>
    <w:rsid w:val="006011D9"/>
    <w:rsid w:val="00601298"/>
    <w:rsid w:val="006014EC"/>
    <w:rsid w:val="006015B3"/>
    <w:rsid w:val="0060165B"/>
    <w:rsid w:val="006016B5"/>
    <w:rsid w:val="0060171A"/>
    <w:rsid w:val="00601A9E"/>
    <w:rsid w:val="00601AFC"/>
    <w:rsid w:val="00601C6D"/>
    <w:rsid w:val="00601C80"/>
    <w:rsid w:val="00601EF5"/>
    <w:rsid w:val="00601F6E"/>
    <w:rsid w:val="00601F7B"/>
    <w:rsid w:val="00601FEE"/>
    <w:rsid w:val="00602084"/>
    <w:rsid w:val="006020B2"/>
    <w:rsid w:val="006021A7"/>
    <w:rsid w:val="006022B2"/>
    <w:rsid w:val="00602354"/>
    <w:rsid w:val="006023FB"/>
    <w:rsid w:val="00602636"/>
    <w:rsid w:val="00602888"/>
    <w:rsid w:val="00602CA4"/>
    <w:rsid w:val="00602CDC"/>
    <w:rsid w:val="00602D5D"/>
    <w:rsid w:val="00602E72"/>
    <w:rsid w:val="0060311A"/>
    <w:rsid w:val="0060323A"/>
    <w:rsid w:val="00603247"/>
    <w:rsid w:val="00603279"/>
    <w:rsid w:val="00603772"/>
    <w:rsid w:val="0060388A"/>
    <w:rsid w:val="00603899"/>
    <w:rsid w:val="00603989"/>
    <w:rsid w:val="006039BE"/>
    <w:rsid w:val="00603BD3"/>
    <w:rsid w:val="00603C00"/>
    <w:rsid w:val="00603C73"/>
    <w:rsid w:val="00603CD0"/>
    <w:rsid w:val="00603E39"/>
    <w:rsid w:val="00603EE7"/>
    <w:rsid w:val="00604050"/>
    <w:rsid w:val="00604089"/>
    <w:rsid w:val="006041BA"/>
    <w:rsid w:val="0060449B"/>
    <w:rsid w:val="006044F4"/>
    <w:rsid w:val="0060453F"/>
    <w:rsid w:val="0060460C"/>
    <w:rsid w:val="0060464F"/>
    <w:rsid w:val="006047A4"/>
    <w:rsid w:val="006048C7"/>
    <w:rsid w:val="00604D0E"/>
    <w:rsid w:val="00604D56"/>
    <w:rsid w:val="00604DE9"/>
    <w:rsid w:val="0060509B"/>
    <w:rsid w:val="0060515F"/>
    <w:rsid w:val="006051D3"/>
    <w:rsid w:val="0060535F"/>
    <w:rsid w:val="00605399"/>
    <w:rsid w:val="00605493"/>
    <w:rsid w:val="00605601"/>
    <w:rsid w:val="00605644"/>
    <w:rsid w:val="00605657"/>
    <w:rsid w:val="00605687"/>
    <w:rsid w:val="00605875"/>
    <w:rsid w:val="00605924"/>
    <w:rsid w:val="00605B82"/>
    <w:rsid w:val="00605D8E"/>
    <w:rsid w:val="00605DA4"/>
    <w:rsid w:val="00605E87"/>
    <w:rsid w:val="00605F98"/>
    <w:rsid w:val="006060B2"/>
    <w:rsid w:val="0060622B"/>
    <w:rsid w:val="00606316"/>
    <w:rsid w:val="0060633F"/>
    <w:rsid w:val="006066A9"/>
    <w:rsid w:val="00606700"/>
    <w:rsid w:val="00606788"/>
    <w:rsid w:val="00606819"/>
    <w:rsid w:val="0060682A"/>
    <w:rsid w:val="0060686A"/>
    <w:rsid w:val="00606917"/>
    <w:rsid w:val="00606A8A"/>
    <w:rsid w:val="00606AD9"/>
    <w:rsid w:val="00606B74"/>
    <w:rsid w:val="00606C61"/>
    <w:rsid w:val="00606C9D"/>
    <w:rsid w:val="00606DE7"/>
    <w:rsid w:val="00606E09"/>
    <w:rsid w:val="00606EB6"/>
    <w:rsid w:val="006070CF"/>
    <w:rsid w:val="006072C2"/>
    <w:rsid w:val="006072D0"/>
    <w:rsid w:val="006072F2"/>
    <w:rsid w:val="0060740C"/>
    <w:rsid w:val="0060742E"/>
    <w:rsid w:val="0060772C"/>
    <w:rsid w:val="00607872"/>
    <w:rsid w:val="00607931"/>
    <w:rsid w:val="00607A57"/>
    <w:rsid w:val="00607D56"/>
    <w:rsid w:val="00607E61"/>
    <w:rsid w:val="00607E91"/>
    <w:rsid w:val="00607E96"/>
    <w:rsid w:val="00607FFA"/>
    <w:rsid w:val="006101AE"/>
    <w:rsid w:val="00610382"/>
    <w:rsid w:val="00610694"/>
    <w:rsid w:val="00610933"/>
    <w:rsid w:val="00610A0E"/>
    <w:rsid w:val="00610B7F"/>
    <w:rsid w:val="00610CD1"/>
    <w:rsid w:val="00610CFC"/>
    <w:rsid w:val="00610D4A"/>
    <w:rsid w:val="00610E89"/>
    <w:rsid w:val="00610F40"/>
    <w:rsid w:val="00610FC8"/>
    <w:rsid w:val="00611075"/>
    <w:rsid w:val="006110CE"/>
    <w:rsid w:val="006110D1"/>
    <w:rsid w:val="0061111F"/>
    <w:rsid w:val="006113AC"/>
    <w:rsid w:val="006113C1"/>
    <w:rsid w:val="006113E3"/>
    <w:rsid w:val="006114EE"/>
    <w:rsid w:val="006114F8"/>
    <w:rsid w:val="00611521"/>
    <w:rsid w:val="006115CE"/>
    <w:rsid w:val="0061167C"/>
    <w:rsid w:val="0061168C"/>
    <w:rsid w:val="006117E6"/>
    <w:rsid w:val="0061180C"/>
    <w:rsid w:val="0061181D"/>
    <w:rsid w:val="006119E8"/>
    <w:rsid w:val="00611A86"/>
    <w:rsid w:val="00611BDC"/>
    <w:rsid w:val="00611D90"/>
    <w:rsid w:val="00611DD1"/>
    <w:rsid w:val="00611E47"/>
    <w:rsid w:val="00611FE5"/>
    <w:rsid w:val="006121C4"/>
    <w:rsid w:val="00612439"/>
    <w:rsid w:val="00612471"/>
    <w:rsid w:val="0061247F"/>
    <w:rsid w:val="006124FF"/>
    <w:rsid w:val="00612571"/>
    <w:rsid w:val="0061266E"/>
    <w:rsid w:val="00612705"/>
    <w:rsid w:val="0061283C"/>
    <w:rsid w:val="00612853"/>
    <w:rsid w:val="00612A0A"/>
    <w:rsid w:val="00612AD0"/>
    <w:rsid w:val="00612FD4"/>
    <w:rsid w:val="006131A6"/>
    <w:rsid w:val="006131F4"/>
    <w:rsid w:val="0061348F"/>
    <w:rsid w:val="0061352E"/>
    <w:rsid w:val="00613676"/>
    <w:rsid w:val="00613703"/>
    <w:rsid w:val="00613768"/>
    <w:rsid w:val="006137CA"/>
    <w:rsid w:val="0061392A"/>
    <w:rsid w:val="00613C1C"/>
    <w:rsid w:val="00613D32"/>
    <w:rsid w:val="0061408C"/>
    <w:rsid w:val="006141FA"/>
    <w:rsid w:val="0061423B"/>
    <w:rsid w:val="0061438B"/>
    <w:rsid w:val="0061441B"/>
    <w:rsid w:val="00614589"/>
    <w:rsid w:val="006145A2"/>
    <w:rsid w:val="006145F0"/>
    <w:rsid w:val="0061460B"/>
    <w:rsid w:val="006146D8"/>
    <w:rsid w:val="00614796"/>
    <w:rsid w:val="006148E3"/>
    <w:rsid w:val="00614900"/>
    <w:rsid w:val="006149E5"/>
    <w:rsid w:val="00614A3B"/>
    <w:rsid w:val="00614B0A"/>
    <w:rsid w:val="00614D47"/>
    <w:rsid w:val="00615075"/>
    <w:rsid w:val="00615150"/>
    <w:rsid w:val="0061521E"/>
    <w:rsid w:val="0061523D"/>
    <w:rsid w:val="00615273"/>
    <w:rsid w:val="00615336"/>
    <w:rsid w:val="0061553D"/>
    <w:rsid w:val="00615643"/>
    <w:rsid w:val="006156BA"/>
    <w:rsid w:val="00615739"/>
    <w:rsid w:val="00615750"/>
    <w:rsid w:val="006157E7"/>
    <w:rsid w:val="00615804"/>
    <w:rsid w:val="006158AF"/>
    <w:rsid w:val="00615A39"/>
    <w:rsid w:val="00615CEC"/>
    <w:rsid w:val="00615F10"/>
    <w:rsid w:val="0061607B"/>
    <w:rsid w:val="00616211"/>
    <w:rsid w:val="0061647C"/>
    <w:rsid w:val="00616495"/>
    <w:rsid w:val="00616891"/>
    <w:rsid w:val="006168D2"/>
    <w:rsid w:val="006168D6"/>
    <w:rsid w:val="006168F0"/>
    <w:rsid w:val="00616985"/>
    <w:rsid w:val="00616ACF"/>
    <w:rsid w:val="00616DFB"/>
    <w:rsid w:val="00616F24"/>
    <w:rsid w:val="00616F7F"/>
    <w:rsid w:val="00616FBA"/>
    <w:rsid w:val="0061703B"/>
    <w:rsid w:val="0061737E"/>
    <w:rsid w:val="0061738F"/>
    <w:rsid w:val="006173DC"/>
    <w:rsid w:val="0061742D"/>
    <w:rsid w:val="0061759E"/>
    <w:rsid w:val="00617987"/>
    <w:rsid w:val="006179B4"/>
    <w:rsid w:val="00617A8C"/>
    <w:rsid w:val="00617BDF"/>
    <w:rsid w:val="00617DE2"/>
    <w:rsid w:val="00617E82"/>
    <w:rsid w:val="00617EDC"/>
    <w:rsid w:val="00617F7C"/>
    <w:rsid w:val="0062018D"/>
    <w:rsid w:val="0062019E"/>
    <w:rsid w:val="006201CE"/>
    <w:rsid w:val="0062034E"/>
    <w:rsid w:val="006203B9"/>
    <w:rsid w:val="006205D5"/>
    <w:rsid w:val="006207BD"/>
    <w:rsid w:val="0062086D"/>
    <w:rsid w:val="00620980"/>
    <w:rsid w:val="00620A95"/>
    <w:rsid w:val="00620AE8"/>
    <w:rsid w:val="00620C77"/>
    <w:rsid w:val="00620DDD"/>
    <w:rsid w:val="00620F0F"/>
    <w:rsid w:val="00621001"/>
    <w:rsid w:val="00621161"/>
    <w:rsid w:val="00621294"/>
    <w:rsid w:val="0062133C"/>
    <w:rsid w:val="0062133F"/>
    <w:rsid w:val="0062135E"/>
    <w:rsid w:val="00621764"/>
    <w:rsid w:val="00621768"/>
    <w:rsid w:val="00621816"/>
    <w:rsid w:val="00621820"/>
    <w:rsid w:val="00621836"/>
    <w:rsid w:val="0062195B"/>
    <w:rsid w:val="006219AE"/>
    <w:rsid w:val="00621A05"/>
    <w:rsid w:val="00621A07"/>
    <w:rsid w:val="00621AD7"/>
    <w:rsid w:val="00621B86"/>
    <w:rsid w:val="00621D50"/>
    <w:rsid w:val="00621F0F"/>
    <w:rsid w:val="00621F2F"/>
    <w:rsid w:val="00621F56"/>
    <w:rsid w:val="0062206D"/>
    <w:rsid w:val="0062224C"/>
    <w:rsid w:val="006222B3"/>
    <w:rsid w:val="006224A6"/>
    <w:rsid w:val="006224FE"/>
    <w:rsid w:val="00622538"/>
    <w:rsid w:val="0062254F"/>
    <w:rsid w:val="00622554"/>
    <w:rsid w:val="00622697"/>
    <w:rsid w:val="00622797"/>
    <w:rsid w:val="0062291B"/>
    <w:rsid w:val="00622A0D"/>
    <w:rsid w:val="00622A99"/>
    <w:rsid w:val="00622BA6"/>
    <w:rsid w:val="00622C21"/>
    <w:rsid w:val="00622CB1"/>
    <w:rsid w:val="00622D2F"/>
    <w:rsid w:val="00623060"/>
    <w:rsid w:val="0062337D"/>
    <w:rsid w:val="0062363D"/>
    <w:rsid w:val="006236B5"/>
    <w:rsid w:val="006237B4"/>
    <w:rsid w:val="00623804"/>
    <w:rsid w:val="006238FE"/>
    <w:rsid w:val="006239F6"/>
    <w:rsid w:val="00623A25"/>
    <w:rsid w:val="00623B1D"/>
    <w:rsid w:val="00623C0E"/>
    <w:rsid w:val="00623C36"/>
    <w:rsid w:val="00623C45"/>
    <w:rsid w:val="00623CE2"/>
    <w:rsid w:val="00623D88"/>
    <w:rsid w:val="00623EB4"/>
    <w:rsid w:val="00623F89"/>
    <w:rsid w:val="00623FAF"/>
    <w:rsid w:val="006241C0"/>
    <w:rsid w:val="006243DC"/>
    <w:rsid w:val="0062440C"/>
    <w:rsid w:val="0062456F"/>
    <w:rsid w:val="006246DE"/>
    <w:rsid w:val="006247A6"/>
    <w:rsid w:val="006248B3"/>
    <w:rsid w:val="00624A04"/>
    <w:rsid w:val="00624A25"/>
    <w:rsid w:val="00624A43"/>
    <w:rsid w:val="00624EC3"/>
    <w:rsid w:val="0062509D"/>
    <w:rsid w:val="00625239"/>
    <w:rsid w:val="006254AF"/>
    <w:rsid w:val="006254C8"/>
    <w:rsid w:val="00625605"/>
    <w:rsid w:val="00625679"/>
    <w:rsid w:val="00625928"/>
    <w:rsid w:val="0062596B"/>
    <w:rsid w:val="006259A9"/>
    <w:rsid w:val="00625AFA"/>
    <w:rsid w:val="00625B09"/>
    <w:rsid w:val="00625BFE"/>
    <w:rsid w:val="00625C54"/>
    <w:rsid w:val="00625C5C"/>
    <w:rsid w:val="00625D8C"/>
    <w:rsid w:val="00625DB4"/>
    <w:rsid w:val="00625E48"/>
    <w:rsid w:val="00625EB7"/>
    <w:rsid w:val="00625FE8"/>
    <w:rsid w:val="0062606C"/>
    <w:rsid w:val="0062623C"/>
    <w:rsid w:val="0062640B"/>
    <w:rsid w:val="00626450"/>
    <w:rsid w:val="006264A5"/>
    <w:rsid w:val="00626564"/>
    <w:rsid w:val="006265E0"/>
    <w:rsid w:val="00626717"/>
    <w:rsid w:val="006267C0"/>
    <w:rsid w:val="00626824"/>
    <w:rsid w:val="006268C6"/>
    <w:rsid w:val="0062696C"/>
    <w:rsid w:val="006269A1"/>
    <w:rsid w:val="00626A0F"/>
    <w:rsid w:val="00626AC7"/>
    <w:rsid w:val="00626B32"/>
    <w:rsid w:val="00626C6D"/>
    <w:rsid w:val="00626DAB"/>
    <w:rsid w:val="00626F71"/>
    <w:rsid w:val="0062713B"/>
    <w:rsid w:val="00627548"/>
    <w:rsid w:val="00627670"/>
    <w:rsid w:val="00627701"/>
    <w:rsid w:val="006277C8"/>
    <w:rsid w:val="00627945"/>
    <w:rsid w:val="00627A17"/>
    <w:rsid w:val="00627AF4"/>
    <w:rsid w:val="00627B4F"/>
    <w:rsid w:val="00627CDD"/>
    <w:rsid w:val="00627D44"/>
    <w:rsid w:val="00627D4A"/>
    <w:rsid w:val="0063000C"/>
    <w:rsid w:val="0063000E"/>
    <w:rsid w:val="00630010"/>
    <w:rsid w:val="00630215"/>
    <w:rsid w:val="0063033C"/>
    <w:rsid w:val="00630499"/>
    <w:rsid w:val="00630746"/>
    <w:rsid w:val="00630748"/>
    <w:rsid w:val="006307C8"/>
    <w:rsid w:val="006308CE"/>
    <w:rsid w:val="006308FF"/>
    <w:rsid w:val="00630920"/>
    <w:rsid w:val="00630AD4"/>
    <w:rsid w:val="00630AEC"/>
    <w:rsid w:val="00630BE3"/>
    <w:rsid w:val="00630C5B"/>
    <w:rsid w:val="00630C71"/>
    <w:rsid w:val="00630E05"/>
    <w:rsid w:val="00630F78"/>
    <w:rsid w:val="00630FF8"/>
    <w:rsid w:val="0063103C"/>
    <w:rsid w:val="006313DF"/>
    <w:rsid w:val="0063148F"/>
    <w:rsid w:val="00631594"/>
    <w:rsid w:val="006317D6"/>
    <w:rsid w:val="0063181A"/>
    <w:rsid w:val="00631923"/>
    <w:rsid w:val="00631A02"/>
    <w:rsid w:val="00631ADF"/>
    <w:rsid w:val="00631BD5"/>
    <w:rsid w:val="00631C50"/>
    <w:rsid w:val="00631C62"/>
    <w:rsid w:val="00631C70"/>
    <w:rsid w:val="00631C81"/>
    <w:rsid w:val="00631E6B"/>
    <w:rsid w:val="00631EDC"/>
    <w:rsid w:val="00631F02"/>
    <w:rsid w:val="00631FAB"/>
    <w:rsid w:val="00632070"/>
    <w:rsid w:val="00632163"/>
    <w:rsid w:val="0063217B"/>
    <w:rsid w:val="00632186"/>
    <w:rsid w:val="006321D2"/>
    <w:rsid w:val="006321F7"/>
    <w:rsid w:val="00632213"/>
    <w:rsid w:val="00632501"/>
    <w:rsid w:val="00632600"/>
    <w:rsid w:val="00632612"/>
    <w:rsid w:val="006326CE"/>
    <w:rsid w:val="00632750"/>
    <w:rsid w:val="00632985"/>
    <w:rsid w:val="006329C8"/>
    <w:rsid w:val="00632F21"/>
    <w:rsid w:val="00632F6D"/>
    <w:rsid w:val="00632F9C"/>
    <w:rsid w:val="0063307A"/>
    <w:rsid w:val="00633284"/>
    <w:rsid w:val="006332DA"/>
    <w:rsid w:val="00633500"/>
    <w:rsid w:val="00633554"/>
    <w:rsid w:val="00633562"/>
    <w:rsid w:val="006336FD"/>
    <w:rsid w:val="0063373F"/>
    <w:rsid w:val="006337BB"/>
    <w:rsid w:val="006339A2"/>
    <w:rsid w:val="006339BA"/>
    <w:rsid w:val="00633AA0"/>
    <w:rsid w:val="00633B50"/>
    <w:rsid w:val="00633B81"/>
    <w:rsid w:val="00633E45"/>
    <w:rsid w:val="00633EDF"/>
    <w:rsid w:val="00634007"/>
    <w:rsid w:val="00634019"/>
    <w:rsid w:val="006340DA"/>
    <w:rsid w:val="00634226"/>
    <w:rsid w:val="006342F0"/>
    <w:rsid w:val="00634425"/>
    <w:rsid w:val="0063458B"/>
    <w:rsid w:val="006347E1"/>
    <w:rsid w:val="00634C1A"/>
    <w:rsid w:val="00634D58"/>
    <w:rsid w:val="00634E9F"/>
    <w:rsid w:val="006353E0"/>
    <w:rsid w:val="00635642"/>
    <w:rsid w:val="00635686"/>
    <w:rsid w:val="00635733"/>
    <w:rsid w:val="0063587E"/>
    <w:rsid w:val="00635905"/>
    <w:rsid w:val="00635AD2"/>
    <w:rsid w:val="00635CD7"/>
    <w:rsid w:val="00635DB8"/>
    <w:rsid w:val="00635E51"/>
    <w:rsid w:val="00635EAD"/>
    <w:rsid w:val="00635F7F"/>
    <w:rsid w:val="0063663C"/>
    <w:rsid w:val="006366F7"/>
    <w:rsid w:val="0063678D"/>
    <w:rsid w:val="0063687C"/>
    <w:rsid w:val="006369D7"/>
    <w:rsid w:val="00636D15"/>
    <w:rsid w:val="00636D55"/>
    <w:rsid w:val="00636E4B"/>
    <w:rsid w:val="00636F4F"/>
    <w:rsid w:val="00636FCF"/>
    <w:rsid w:val="006371DD"/>
    <w:rsid w:val="006374AA"/>
    <w:rsid w:val="006374EA"/>
    <w:rsid w:val="006375D5"/>
    <w:rsid w:val="0063761F"/>
    <w:rsid w:val="0063765B"/>
    <w:rsid w:val="006376F7"/>
    <w:rsid w:val="0063798F"/>
    <w:rsid w:val="00637A04"/>
    <w:rsid w:val="00637DF8"/>
    <w:rsid w:val="00637DF9"/>
    <w:rsid w:val="00637EE3"/>
    <w:rsid w:val="00637F0E"/>
    <w:rsid w:val="00637F64"/>
    <w:rsid w:val="00637FCF"/>
    <w:rsid w:val="006401EF"/>
    <w:rsid w:val="0064030A"/>
    <w:rsid w:val="00640334"/>
    <w:rsid w:val="0064048D"/>
    <w:rsid w:val="006405B7"/>
    <w:rsid w:val="006406C3"/>
    <w:rsid w:val="006406D3"/>
    <w:rsid w:val="00640719"/>
    <w:rsid w:val="0064081C"/>
    <w:rsid w:val="00640826"/>
    <w:rsid w:val="00640A5A"/>
    <w:rsid w:val="00640A87"/>
    <w:rsid w:val="00640C95"/>
    <w:rsid w:val="00640D76"/>
    <w:rsid w:val="00640E9D"/>
    <w:rsid w:val="006410E6"/>
    <w:rsid w:val="006411BC"/>
    <w:rsid w:val="006412A5"/>
    <w:rsid w:val="00641325"/>
    <w:rsid w:val="00641456"/>
    <w:rsid w:val="00641584"/>
    <w:rsid w:val="0064158F"/>
    <w:rsid w:val="00641634"/>
    <w:rsid w:val="00641693"/>
    <w:rsid w:val="006417F7"/>
    <w:rsid w:val="0064189D"/>
    <w:rsid w:val="006418A4"/>
    <w:rsid w:val="006418B5"/>
    <w:rsid w:val="00641907"/>
    <w:rsid w:val="006419FE"/>
    <w:rsid w:val="00641A28"/>
    <w:rsid w:val="00641B3D"/>
    <w:rsid w:val="00641E03"/>
    <w:rsid w:val="00641EB0"/>
    <w:rsid w:val="00641F42"/>
    <w:rsid w:val="00642087"/>
    <w:rsid w:val="00642100"/>
    <w:rsid w:val="00642241"/>
    <w:rsid w:val="006422DE"/>
    <w:rsid w:val="006423CE"/>
    <w:rsid w:val="006423E7"/>
    <w:rsid w:val="0064255D"/>
    <w:rsid w:val="00642618"/>
    <w:rsid w:val="00642893"/>
    <w:rsid w:val="0064299C"/>
    <w:rsid w:val="006429B9"/>
    <w:rsid w:val="00642B56"/>
    <w:rsid w:val="00642C26"/>
    <w:rsid w:val="00642F32"/>
    <w:rsid w:val="00642F99"/>
    <w:rsid w:val="00643124"/>
    <w:rsid w:val="006432E6"/>
    <w:rsid w:val="00643353"/>
    <w:rsid w:val="0064361F"/>
    <w:rsid w:val="00643780"/>
    <w:rsid w:val="006438FA"/>
    <w:rsid w:val="00643A2A"/>
    <w:rsid w:val="00643A88"/>
    <w:rsid w:val="00643AB3"/>
    <w:rsid w:val="00643B54"/>
    <w:rsid w:val="00643B9B"/>
    <w:rsid w:val="00643DC2"/>
    <w:rsid w:val="00643E93"/>
    <w:rsid w:val="00643F1A"/>
    <w:rsid w:val="00643F40"/>
    <w:rsid w:val="00643F61"/>
    <w:rsid w:val="00643F85"/>
    <w:rsid w:val="0064416D"/>
    <w:rsid w:val="006442E4"/>
    <w:rsid w:val="00644473"/>
    <w:rsid w:val="00644510"/>
    <w:rsid w:val="006445FA"/>
    <w:rsid w:val="00644679"/>
    <w:rsid w:val="0064468F"/>
    <w:rsid w:val="00644822"/>
    <w:rsid w:val="00644846"/>
    <w:rsid w:val="00644A88"/>
    <w:rsid w:val="00644B11"/>
    <w:rsid w:val="00644C63"/>
    <w:rsid w:val="00644CE4"/>
    <w:rsid w:val="00644EDE"/>
    <w:rsid w:val="00644EEF"/>
    <w:rsid w:val="006450B7"/>
    <w:rsid w:val="006451FF"/>
    <w:rsid w:val="00645277"/>
    <w:rsid w:val="0064546E"/>
    <w:rsid w:val="0064555D"/>
    <w:rsid w:val="0064556C"/>
    <w:rsid w:val="00645580"/>
    <w:rsid w:val="006456DD"/>
    <w:rsid w:val="006456ED"/>
    <w:rsid w:val="006458F9"/>
    <w:rsid w:val="006459C4"/>
    <w:rsid w:val="00645A42"/>
    <w:rsid w:val="00645CBA"/>
    <w:rsid w:val="00645D70"/>
    <w:rsid w:val="00645E2F"/>
    <w:rsid w:val="00645E4C"/>
    <w:rsid w:val="00645E73"/>
    <w:rsid w:val="00646259"/>
    <w:rsid w:val="0064627C"/>
    <w:rsid w:val="006462AF"/>
    <w:rsid w:val="006462FA"/>
    <w:rsid w:val="0064659D"/>
    <w:rsid w:val="00646902"/>
    <w:rsid w:val="0064695C"/>
    <w:rsid w:val="0064697D"/>
    <w:rsid w:val="006469F6"/>
    <w:rsid w:val="00646A75"/>
    <w:rsid w:val="00646B8D"/>
    <w:rsid w:val="00646EAB"/>
    <w:rsid w:val="00646EB3"/>
    <w:rsid w:val="00646ECB"/>
    <w:rsid w:val="00646F8F"/>
    <w:rsid w:val="00646FC2"/>
    <w:rsid w:val="0064703C"/>
    <w:rsid w:val="006470AD"/>
    <w:rsid w:val="00647119"/>
    <w:rsid w:val="00647151"/>
    <w:rsid w:val="0064726F"/>
    <w:rsid w:val="0064735E"/>
    <w:rsid w:val="00647494"/>
    <w:rsid w:val="0064759F"/>
    <w:rsid w:val="00647830"/>
    <w:rsid w:val="0064784E"/>
    <w:rsid w:val="006478EE"/>
    <w:rsid w:val="00647A17"/>
    <w:rsid w:val="00647A74"/>
    <w:rsid w:val="00647C32"/>
    <w:rsid w:val="00650109"/>
    <w:rsid w:val="0065022A"/>
    <w:rsid w:val="0065028F"/>
    <w:rsid w:val="006502F1"/>
    <w:rsid w:val="006503EF"/>
    <w:rsid w:val="00650436"/>
    <w:rsid w:val="00650669"/>
    <w:rsid w:val="00650778"/>
    <w:rsid w:val="0065077C"/>
    <w:rsid w:val="00650799"/>
    <w:rsid w:val="006508F8"/>
    <w:rsid w:val="006509BD"/>
    <w:rsid w:val="00650A93"/>
    <w:rsid w:val="00650C2A"/>
    <w:rsid w:val="00650C7D"/>
    <w:rsid w:val="00650C9A"/>
    <w:rsid w:val="00650CC9"/>
    <w:rsid w:val="00650CEF"/>
    <w:rsid w:val="00650EC0"/>
    <w:rsid w:val="00650F81"/>
    <w:rsid w:val="00650FE6"/>
    <w:rsid w:val="0065102D"/>
    <w:rsid w:val="006510D4"/>
    <w:rsid w:val="0065110C"/>
    <w:rsid w:val="006513A1"/>
    <w:rsid w:val="0065144A"/>
    <w:rsid w:val="00651661"/>
    <w:rsid w:val="00651748"/>
    <w:rsid w:val="006517AF"/>
    <w:rsid w:val="006517B6"/>
    <w:rsid w:val="00651C62"/>
    <w:rsid w:val="00651FBD"/>
    <w:rsid w:val="00652005"/>
    <w:rsid w:val="00652355"/>
    <w:rsid w:val="00652375"/>
    <w:rsid w:val="006523DE"/>
    <w:rsid w:val="00652623"/>
    <w:rsid w:val="006527BD"/>
    <w:rsid w:val="006528C2"/>
    <w:rsid w:val="00652AEA"/>
    <w:rsid w:val="00652BB1"/>
    <w:rsid w:val="00652BFB"/>
    <w:rsid w:val="00652C33"/>
    <w:rsid w:val="00652D26"/>
    <w:rsid w:val="00652D79"/>
    <w:rsid w:val="00652E69"/>
    <w:rsid w:val="00652FF5"/>
    <w:rsid w:val="00653021"/>
    <w:rsid w:val="00653037"/>
    <w:rsid w:val="00653235"/>
    <w:rsid w:val="00653239"/>
    <w:rsid w:val="00653313"/>
    <w:rsid w:val="00653354"/>
    <w:rsid w:val="00653442"/>
    <w:rsid w:val="0065351A"/>
    <w:rsid w:val="00653637"/>
    <w:rsid w:val="006537DF"/>
    <w:rsid w:val="00653857"/>
    <w:rsid w:val="00653908"/>
    <w:rsid w:val="0065390C"/>
    <w:rsid w:val="0065391B"/>
    <w:rsid w:val="00653925"/>
    <w:rsid w:val="00653AF8"/>
    <w:rsid w:val="00653BCF"/>
    <w:rsid w:val="00653D70"/>
    <w:rsid w:val="00653EA8"/>
    <w:rsid w:val="00653EFB"/>
    <w:rsid w:val="00654019"/>
    <w:rsid w:val="006541A8"/>
    <w:rsid w:val="006541F5"/>
    <w:rsid w:val="006543A1"/>
    <w:rsid w:val="006543EA"/>
    <w:rsid w:val="006545C8"/>
    <w:rsid w:val="006545DE"/>
    <w:rsid w:val="0065463B"/>
    <w:rsid w:val="006546F1"/>
    <w:rsid w:val="00654726"/>
    <w:rsid w:val="006547C2"/>
    <w:rsid w:val="006547E6"/>
    <w:rsid w:val="00654843"/>
    <w:rsid w:val="0065485B"/>
    <w:rsid w:val="00654889"/>
    <w:rsid w:val="006548A2"/>
    <w:rsid w:val="00654906"/>
    <w:rsid w:val="00654CCE"/>
    <w:rsid w:val="00654D09"/>
    <w:rsid w:val="00654E88"/>
    <w:rsid w:val="00655060"/>
    <w:rsid w:val="00655126"/>
    <w:rsid w:val="0065522C"/>
    <w:rsid w:val="0065545F"/>
    <w:rsid w:val="0065548C"/>
    <w:rsid w:val="00655713"/>
    <w:rsid w:val="006557AF"/>
    <w:rsid w:val="0065584F"/>
    <w:rsid w:val="0065596C"/>
    <w:rsid w:val="00655C9C"/>
    <w:rsid w:val="00655DC1"/>
    <w:rsid w:val="00655DC2"/>
    <w:rsid w:val="00655E65"/>
    <w:rsid w:val="00656079"/>
    <w:rsid w:val="0065612F"/>
    <w:rsid w:val="00656186"/>
    <w:rsid w:val="0065633C"/>
    <w:rsid w:val="00656392"/>
    <w:rsid w:val="0065644D"/>
    <w:rsid w:val="00656470"/>
    <w:rsid w:val="0065658D"/>
    <w:rsid w:val="006566C4"/>
    <w:rsid w:val="0065685F"/>
    <w:rsid w:val="006568CA"/>
    <w:rsid w:val="0065699F"/>
    <w:rsid w:val="00656B4D"/>
    <w:rsid w:val="00656C7D"/>
    <w:rsid w:val="00656CB4"/>
    <w:rsid w:val="00656E0C"/>
    <w:rsid w:val="00656E74"/>
    <w:rsid w:val="00656F00"/>
    <w:rsid w:val="0065723B"/>
    <w:rsid w:val="006572E0"/>
    <w:rsid w:val="00657414"/>
    <w:rsid w:val="0065754A"/>
    <w:rsid w:val="00657559"/>
    <w:rsid w:val="00657647"/>
    <w:rsid w:val="006576C9"/>
    <w:rsid w:val="00657789"/>
    <w:rsid w:val="00657791"/>
    <w:rsid w:val="00657834"/>
    <w:rsid w:val="00657847"/>
    <w:rsid w:val="00657886"/>
    <w:rsid w:val="0065798A"/>
    <w:rsid w:val="00657B0D"/>
    <w:rsid w:val="00657B11"/>
    <w:rsid w:val="00657B4E"/>
    <w:rsid w:val="00657B60"/>
    <w:rsid w:val="00657CD5"/>
    <w:rsid w:val="00657CD8"/>
    <w:rsid w:val="00657CE9"/>
    <w:rsid w:val="00657F08"/>
    <w:rsid w:val="00657FB1"/>
    <w:rsid w:val="00657FC1"/>
    <w:rsid w:val="006600ED"/>
    <w:rsid w:val="0066033C"/>
    <w:rsid w:val="0066035D"/>
    <w:rsid w:val="006603E3"/>
    <w:rsid w:val="006605E0"/>
    <w:rsid w:val="006606F0"/>
    <w:rsid w:val="0066087B"/>
    <w:rsid w:val="00660947"/>
    <w:rsid w:val="00660999"/>
    <w:rsid w:val="00660D6F"/>
    <w:rsid w:val="00660DE5"/>
    <w:rsid w:val="00661010"/>
    <w:rsid w:val="00661014"/>
    <w:rsid w:val="006611A6"/>
    <w:rsid w:val="006611B3"/>
    <w:rsid w:val="006611C3"/>
    <w:rsid w:val="006611DF"/>
    <w:rsid w:val="00661300"/>
    <w:rsid w:val="006613AA"/>
    <w:rsid w:val="00661448"/>
    <w:rsid w:val="00661466"/>
    <w:rsid w:val="00661518"/>
    <w:rsid w:val="00661599"/>
    <w:rsid w:val="0066160A"/>
    <w:rsid w:val="0066179D"/>
    <w:rsid w:val="006618E8"/>
    <w:rsid w:val="00661A16"/>
    <w:rsid w:val="00661A5B"/>
    <w:rsid w:val="00661AFE"/>
    <w:rsid w:val="00661B74"/>
    <w:rsid w:val="00661C3E"/>
    <w:rsid w:val="00661CF0"/>
    <w:rsid w:val="00661E2E"/>
    <w:rsid w:val="00662089"/>
    <w:rsid w:val="006620C2"/>
    <w:rsid w:val="00662271"/>
    <w:rsid w:val="00662385"/>
    <w:rsid w:val="006623BA"/>
    <w:rsid w:val="00662530"/>
    <w:rsid w:val="0066254B"/>
    <w:rsid w:val="00662748"/>
    <w:rsid w:val="006628C1"/>
    <w:rsid w:val="006628D9"/>
    <w:rsid w:val="006629CF"/>
    <w:rsid w:val="00662C05"/>
    <w:rsid w:val="00662D8E"/>
    <w:rsid w:val="00662E29"/>
    <w:rsid w:val="00662E67"/>
    <w:rsid w:val="00662ED5"/>
    <w:rsid w:val="00662F55"/>
    <w:rsid w:val="00662FC4"/>
    <w:rsid w:val="00662FD2"/>
    <w:rsid w:val="0066316A"/>
    <w:rsid w:val="006631CE"/>
    <w:rsid w:val="0066329D"/>
    <w:rsid w:val="00663312"/>
    <w:rsid w:val="006633E3"/>
    <w:rsid w:val="006634ED"/>
    <w:rsid w:val="00663501"/>
    <w:rsid w:val="00663553"/>
    <w:rsid w:val="00663566"/>
    <w:rsid w:val="00663812"/>
    <w:rsid w:val="00663945"/>
    <w:rsid w:val="00663A5B"/>
    <w:rsid w:val="00663AF9"/>
    <w:rsid w:val="00663B2E"/>
    <w:rsid w:val="00663BDC"/>
    <w:rsid w:val="00663BE6"/>
    <w:rsid w:val="00663D46"/>
    <w:rsid w:val="00663EAB"/>
    <w:rsid w:val="00663EC3"/>
    <w:rsid w:val="00663F0A"/>
    <w:rsid w:val="00663F18"/>
    <w:rsid w:val="00663FFE"/>
    <w:rsid w:val="0066409A"/>
    <w:rsid w:val="0066418E"/>
    <w:rsid w:val="006642DC"/>
    <w:rsid w:val="006642E2"/>
    <w:rsid w:val="0066430E"/>
    <w:rsid w:val="006644EB"/>
    <w:rsid w:val="00664529"/>
    <w:rsid w:val="006645F2"/>
    <w:rsid w:val="0066462F"/>
    <w:rsid w:val="006647B1"/>
    <w:rsid w:val="006647C6"/>
    <w:rsid w:val="006647CF"/>
    <w:rsid w:val="00664870"/>
    <w:rsid w:val="00664AF7"/>
    <w:rsid w:val="00664B17"/>
    <w:rsid w:val="00664B77"/>
    <w:rsid w:val="00664CD6"/>
    <w:rsid w:val="00664D4C"/>
    <w:rsid w:val="00664DE2"/>
    <w:rsid w:val="00664DED"/>
    <w:rsid w:val="00664E08"/>
    <w:rsid w:val="00664F64"/>
    <w:rsid w:val="0066504A"/>
    <w:rsid w:val="0066512F"/>
    <w:rsid w:val="00665149"/>
    <w:rsid w:val="0066516F"/>
    <w:rsid w:val="006651CB"/>
    <w:rsid w:val="006651DB"/>
    <w:rsid w:val="006652A9"/>
    <w:rsid w:val="00665452"/>
    <w:rsid w:val="00665533"/>
    <w:rsid w:val="00665534"/>
    <w:rsid w:val="0066560B"/>
    <w:rsid w:val="0066564C"/>
    <w:rsid w:val="0066568E"/>
    <w:rsid w:val="006658A0"/>
    <w:rsid w:val="006659D3"/>
    <w:rsid w:val="00665DE2"/>
    <w:rsid w:val="00665E07"/>
    <w:rsid w:val="00665EB4"/>
    <w:rsid w:val="006660A7"/>
    <w:rsid w:val="0066613A"/>
    <w:rsid w:val="0066615A"/>
    <w:rsid w:val="006661C2"/>
    <w:rsid w:val="006661EE"/>
    <w:rsid w:val="006664A8"/>
    <w:rsid w:val="00666516"/>
    <w:rsid w:val="00666709"/>
    <w:rsid w:val="0066672E"/>
    <w:rsid w:val="00666BA6"/>
    <w:rsid w:val="00666BD4"/>
    <w:rsid w:val="00666BF2"/>
    <w:rsid w:val="00666C2E"/>
    <w:rsid w:val="00666CEB"/>
    <w:rsid w:val="00666E5A"/>
    <w:rsid w:val="00666E74"/>
    <w:rsid w:val="006670F0"/>
    <w:rsid w:val="0066720D"/>
    <w:rsid w:val="006674B3"/>
    <w:rsid w:val="006675F3"/>
    <w:rsid w:val="00667713"/>
    <w:rsid w:val="00667767"/>
    <w:rsid w:val="006678B6"/>
    <w:rsid w:val="006679BF"/>
    <w:rsid w:val="00667A0C"/>
    <w:rsid w:val="00667A4C"/>
    <w:rsid w:val="00667AE8"/>
    <w:rsid w:val="00667B6C"/>
    <w:rsid w:val="00667C87"/>
    <w:rsid w:val="00667D3C"/>
    <w:rsid w:val="00667E21"/>
    <w:rsid w:val="00667E3B"/>
    <w:rsid w:val="00667E6F"/>
    <w:rsid w:val="00667EF4"/>
    <w:rsid w:val="00667FC1"/>
    <w:rsid w:val="00670030"/>
    <w:rsid w:val="006702BF"/>
    <w:rsid w:val="006705A5"/>
    <w:rsid w:val="0067060A"/>
    <w:rsid w:val="0067069C"/>
    <w:rsid w:val="006706FB"/>
    <w:rsid w:val="00670837"/>
    <w:rsid w:val="006709CA"/>
    <w:rsid w:val="00670AAC"/>
    <w:rsid w:val="00670BD0"/>
    <w:rsid w:val="00670C8C"/>
    <w:rsid w:val="00670EC9"/>
    <w:rsid w:val="00670F0D"/>
    <w:rsid w:val="00670F0E"/>
    <w:rsid w:val="00670F2F"/>
    <w:rsid w:val="0067102B"/>
    <w:rsid w:val="00671033"/>
    <w:rsid w:val="006710AA"/>
    <w:rsid w:val="006712B6"/>
    <w:rsid w:val="006712DB"/>
    <w:rsid w:val="006714DF"/>
    <w:rsid w:val="00671647"/>
    <w:rsid w:val="006718D1"/>
    <w:rsid w:val="0067192A"/>
    <w:rsid w:val="00671A5C"/>
    <w:rsid w:val="00671B20"/>
    <w:rsid w:val="00671C90"/>
    <w:rsid w:val="00671D28"/>
    <w:rsid w:val="00671DA3"/>
    <w:rsid w:val="00671EFB"/>
    <w:rsid w:val="00671F7F"/>
    <w:rsid w:val="00671FEB"/>
    <w:rsid w:val="00672090"/>
    <w:rsid w:val="00672139"/>
    <w:rsid w:val="006722B2"/>
    <w:rsid w:val="0067230F"/>
    <w:rsid w:val="00672424"/>
    <w:rsid w:val="006725C0"/>
    <w:rsid w:val="00672601"/>
    <w:rsid w:val="00672746"/>
    <w:rsid w:val="00672868"/>
    <w:rsid w:val="00672931"/>
    <w:rsid w:val="00672AB7"/>
    <w:rsid w:val="00672DF8"/>
    <w:rsid w:val="00672FA3"/>
    <w:rsid w:val="00672FA7"/>
    <w:rsid w:val="006730FA"/>
    <w:rsid w:val="006732D4"/>
    <w:rsid w:val="00673407"/>
    <w:rsid w:val="00673428"/>
    <w:rsid w:val="00673494"/>
    <w:rsid w:val="00673734"/>
    <w:rsid w:val="00673756"/>
    <w:rsid w:val="006737B3"/>
    <w:rsid w:val="006738E5"/>
    <w:rsid w:val="00673A2A"/>
    <w:rsid w:val="00673B23"/>
    <w:rsid w:val="00673BBA"/>
    <w:rsid w:val="00673C20"/>
    <w:rsid w:val="00673C41"/>
    <w:rsid w:val="00673E00"/>
    <w:rsid w:val="00673FA5"/>
    <w:rsid w:val="00673FCA"/>
    <w:rsid w:val="0067419C"/>
    <w:rsid w:val="006741BB"/>
    <w:rsid w:val="006742D7"/>
    <w:rsid w:val="006742EB"/>
    <w:rsid w:val="006742F2"/>
    <w:rsid w:val="006743B7"/>
    <w:rsid w:val="00674437"/>
    <w:rsid w:val="0067444C"/>
    <w:rsid w:val="006745E4"/>
    <w:rsid w:val="006745FD"/>
    <w:rsid w:val="00674600"/>
    <w:rsid w:val="0067468A"/>
    <w:rsid w:val="006746CC"/>
    <w:rsid w:val="006746DB"/>
    <w:rsid w:val="0067480A"/>
    <w:rsid w:val="006748F2"/>
    <w:rsid w:val="00674A41"/>
    <w:rsid w:val="00674A66"/>
    <w:rsid w:val="00674B69"/>
    <w:rsid w:val="00674CBF"/>
    <w:rsid w:val="00674D46"/>
    <w:rsid w:val="00674D67"/>
    <w:rsid w:val="00674DA9"/>
    <w:rsid w:val="00674E00"/>
    <w:rsid w:val="00674E5F"/>
    <w:rsid w:val="00674EC8"/>
    <w:rsid w:val="00674FAF"/>
    <w:rsid w:val="00674FFD"/>
    <w:rsid w:val="0067504D"/>
    <w:rsid w:val="006751BB"/>
    <w:rsid w:val="0067525B"/>
    <w:rsid w:val="00675360"/>
    <w:rsid w:val="00675457"/>
    <w:rsid w:val="0067545B"/>
    <w:rsid w:val="0067547F"/>
    <w:rsid w:val="00675655"/>
    <w:rsid w:val="006757DF"/>
    <w:rsid w:val="00675865"/>
    <w:rsid w:val="00675957"/>
    <w:rsid w:val="006759B0"/>
    <w:rsid w:val="00675A49"/>
    <w:rsid w:val="00675D6A"/>
    <w:rsid w:val="00675D9B"/>
    <w:rsid w:val="00675FB4"/>
    <w:rsid w:val="00676030"/>
    <w:rsid w:val="006760BE"/>
    <w:rsid w:val="00676157"/>
    <w:rsid w:val="006761FB"/>
    <w:rsid w:val="006764AC"/>
    <w:rsid w:val="00676514"/>
    <w:rsid w:val="006765B0"/>
    <w:rsid w:val="006767EC"/>
    <w:rsid w:val="00676BD0"/>
    <w:rsid w:val="00676C8E"/>
    <w:rsid w:val="00676D52"/>
    <w:rsid w:val="0067723F"/>
    <w:rsid w:val="006772C2"/>
    <w:rsid w:val="006772E0"/>
    <w:rsid w:val="00677364"/>
    <w:rsid w:val="00677575"/>
    <w:rsid w:val="006776BB"/>
    <w:rsid w:val="0067780B"/>
    <w:rsid w:val="00677867"/>
    <w:rsid w:val="00677870"/>
    <w:rsid w:val="00677922"/>
    <w:rsid w:val="00677972"/>
    <w:rsid w:val="00677A32"/>
    <w:rsid w:val="00677B93"/>
    <w:rsid w:val="00677C22"/>
    <w:rsid w:val="00677DCF"/>
    <w:rsid w:val="00677FC2"/>
    <w:rsid w:val="00677FDA"/>
    <w:rsid w:val="00680082"/>
    <w:rsid w:val="006800B2"/>
    <w:rsid w:val="00680137"/>
    <w:rsid w:val="00680143"/>
    <w:rsid w:val="0068026E"/>
    <w:rsid w:val="006802F9"/>
    <w:rsid w:val="0068032E"/>
    <w:rsid w:val="006803A7"/>
    <w:rsid w:val="00680598"/>
    <w:rsid w:val="00680955"/>
    <w:rsid w:val="00680A45"/>
    <w:rsid w:val="00680A5E"/>
    <w:rsid w:val="00680BC1"/>
    <w:rsid w:val="00680C32"/>
    <w:rsid w:val="00680EE0"/>
    <w:rsid w:val="00680FA9"/>
    <w:rsid w:val="006810BD"/>
    <w:rsid w:val="00681189"/>
    <w:rsid w:val="0068119A"/>
    <w:rsid w:val="006811EE"/>
    <w:rsid w:val="00681241"/>
    <w:rsid w:val="00681432"/>
    <w:rsid w:val="006814C2"/>
    <w:rsid w:val="006814F6"/>
    <w:rsid w:val="006817DE"/>
    <w:rsid w:val="00681816"/>
    <w:rsid w:val="00681972"/>
    <w:rsid w:val="006819E2"/>
    <w:rsid w:val="00681AEA"/>
    <w:rsid w:val="00681B12"/>
    <w:rsid w:val="00681B53"/>
    <w:rsid w:val="00681BE0"/>
    <w:rsid w:val="00681CC7"/>
    <w:rsid w:val="00681CD0"/>
    <w:rsid w:val="00681DF3"/>
    <w:rsid w:val="00681E79"/>
    <w:rsid w:val="00681F33"/>
    <w:rsid w:val="00682027"/>
    <w:rsid w:val="00682189"/>
    <w:rsid w:val="006822C8"/>
    <w:rsid w:val="00682387"/>
    <w:rsid w:val="006826A7"/>
    <w:rsid w:val="00682A9B"/>
    <w:rsid w:val="00682B99"/>
    <w:rsid w:val="00682E55"/>
    <w:rsid w:val="00682F7D"/>
    <w:rsid w:val="00682F9C"/>
    <w:rsid w:val="00683039"/>
    <w:rsid w:val="00683074"/>
    <w:rsid w:val="006830A1"/>
    <w:rsid w:val="00683162"/>
    <w:rsid w:val="006831B2"/>
    <w:rsid w:val="006832B4"/>
    <w:rsid w:val="006832EA"/>
    <w:rsid w:val="00683446"/>
    <w:rsid w:val="00683707"/>
    <w:rsid w:val="0068372D"/>
    <w:rsid w:val="00683753"/>
    <w:rsid w:val="006837EF"/>
    <w:rsid w:val="00683819"/>
    <w:rsid w:val="0068394B"/>
    <w:rsid w:val="00683AEB"/>
    <w:rsid w:val="00683BBD"/>
    <w:rsid w:val="00683F8D"/>
    <w:rsid w:val="006841A2"/>
    <w:rsid w:val="00684235"/>
    <w:rsid w:val="006844F7"/>
    <w:rsid w:val="00684646"/>
    <w:rsid w:val="006847A4"/>
    <w:rsid w:val="00684855"/>
    <w:rsid w:val="006849E5"/>
    <w:rsid w:val="00684B80"/>
    <w:rsid w:val="00684EA8"/>
    <w:rsid w:val="00684EDB"/>
    <w:rsid w:val="00684F3F"/>
    <w:rsid w:val="00684F70"/>
    <w:rsid w:val="00684FBF"/>
    <w:rsid w:val="00684FE3"/>
    <w:rsid w:val="00685046"/>
    <w:rsid w:val="006850FC"/>
    <w:rsid w:val="0068518F"/>
    <w:rsid w:val="00685401"/>
    <w:rsid w:val="00685512"/>
    <w:rsid w:val="006856FC"/>
    <w:rsid w:val="0068575A"/>
    <w:rsid w:val="00685831"/>
    <w:rsid w:val="00685965"/>
    <w:rsid w:val="00685BFC"/>
    <w:rsid w:val="00685C5C"/>
    <w:rsid w:val="00685E07"/>
    <w:rsid w:val="00685F38"/>
    <w:rsid w:val="006860E1"/>
    <w:rsid w:val="00686114"/>
    <w:rsid w:val="00686208"/>
    <w:rsid w:val="0068622E"/>
    <w:rsid w:val="0068638D"/>
    <w:rsid w:val="0068656B"/>
    <w:rsid w:val="00686610"/>
    <w:rsid w:val="00686698"/>
    <w:rsid w:val="006867D5"/>
    <w:rsid w:val="0068686D"/>
    <w:rsid w:val="006868F5"/>
    <w:rsid w:val="006869CB"/>
    <w:rsid w:val="00686ABE"/>
    <w:rsid w:val="00686C1A"/>
    <w:rsid w:val="00686C32"/>
    <w:rsid w:val="00686C59"/>
    <w:rsid w:val="00686C66"/>
    <w:rsid w:val="00686D60"/>
    <w:rsid w:val="006871FD"/>
    <w:rsid w:val="00687204"/>
    <w:rsid w:val="00687267"/>
    <w:rsid w:val="00687611"/>
    <w:rsid w:val="00687638"/>
    <w:rsid w:val="00687664"/>
    <w:rsid w:val="00687709"/>
    <w:rsid w:val="00687879"/>
    <w:rsid w:val="0068799A"/>
    <w:rsid w:val="00687A47"/>
    <w:rsid w:val="00687AAA"/>
    <w:rsid w:val="00687B79"/>
    <w:rsid w:val="00687C45"/>
    <w:rsid w:val="00687D27"/>
    <w:rsid w:val="00687DA3"/>
    <w:rsid w:val="00687F02"/>
    <w:rsid w:val="006900AC"/>
    <w:rsid w:val="0069013F"/>
    <w:rsid w:val="00690199"/>
    <w:rsid w:val="0069023B"/>
    <w:rsid w:val="006902E7"/>
    <w:rsid w:val="006903B2"/>
    <w:rsid w:val="00690414"/>
    <w:rsid w:val="00690415"/>
    <w:rsid w:val="006905B5"/>
    <w:rsid w:val="006905C8"/>
    <w:rsid w:val="006906A9"/>
    <w:rsid w:val="00690AB5"/>
    <w:rsid w:val="00690AED"/>
    <w:rsid w:val="00690AFE"/>
    <w:rsid w:val="00690B25"/>
    <w:rsid w:val="00690BC7"/>
    <w:rsid w:val="00690EA2"/>
    <w:rsid w:val="00690F84"/>
    <w:rsid w:val="00690F87"/>
    <w:rsid w:val="00690F9D"/>
    <w:rsid w:val="00690FF3"/>
    <w:rsid w:val="006913E9"/>
    <w:rsid w:val="006915D0"/>
    <w:rsid w:val="0069185F"/>
    <w:rsid w:val="006918A3"/>
    <w:rsid w:val="006919BD"/>
    <w:rsid w:val="00691A37"/>
    <w:rsid w:val="00691B19"/>
    <w:rsid w:val="00691CB6"/>
    <w:rsid w:val="00691CC7"/>
    <w:rsid w:val="00691D83"/>
    <w:rsid w:val="0069207E"/>
    <w:rsid w:val="00692283"/>
    <w:rsid w:val="00692326"/>
    <w:rsid w:val="00692384"/>
    <w:rsid w:val="00692804"/>
    <w:rsid w:val="00692813"/>
    <w:rsid w:val="00692845"/>
    <w:rsid w:val="00692851"/>
    <w:rsid w:val="006928A4"/>
    <w:rsid w:val="0069295C"/>
    <w:rsid w:val="0069298D"/>
    <w:rsid w:val="006929AA"/>
    <w:rsid w:val="006929DE"/>
    <w:rsid w:val="00692A77"/>
    <w:rsid w:val="00692B65"/>
    <w:rsid w:val="00692CEA"/>
    <w:rsid w:val="00692E52"/>
    <w:rsid w:val="00692EAA"/>
    <w:rsid w:val="00692F12"/>
    <w:rsid w:val="00693046"/>
    <w:rsid w:val="0069308B"/>
    <w:rsid w:val="006930CD"/>
    <w:rsid w:val="00693235"/>
    <w:rsid w:val="0069346F"/>
    <w:rsid w:val="00693485"/>
    <w:rsid w:val="006934E4"/>
    <w:rsid w:val="00693618"/>
    <w:rsid w:val="0069363E"/>
    <w:rsid w:val="0069388D"/>
    <w:rsid w:val="0069389E"/>
    <w:rsid w:val="0069390E"/>
    <w:rsid w:val="0069398A"/>
    <w:rsid w:val="00693BDA"/>
    <w:rsid w:val="00693C78"/>
    <w:rsid w:val="00693CF9"/>
    <w:rsid w:val="00693D10"/>
    <w:rsid w:val="00693E7B"/>
    <w:rsid w:val="00694255"/>
    <w:rsid w:val="0069429C"/>
    <w:rsid w:val="00694304"/>
    <w:rsid w:val="006943A9"/>
    <w:rsid w:val="00694417"/>
    <w:rsid w:val="006945FB"/>
    <w:rsid w:val="0069465B"/>
    <w:rsid w:val="006947D8"/>
    <w:rsid w:val="0069483E"/>
    <w:rsid w:val="00694898"/>
    <w:rsid w:val="006948CD"/>
    <w:rsid w:val="006948E9"/>
    <w:rsid w:val="00694944"/>
    <w:rsid w:val="00694B20"/>
    <w:rsid w:val="00694FC8"/>
    <w:rsid w:val="006950F6"/>
    <w:rsid w:val="00695153"/>
    <w:rsid w:val="006951DA"/>
    <w:rsid w:val="0069526B"/>
    <w:rsid w:val="00695480"/>
    <w:rsid w:val="00695AAC"/>
    <w:rsid w:val="00695AE4"/>
    <w:rsid w:val="00695B2B"/>
    <w:rsid w:val="00695B92"/>
    <w:rsid w:val="00695CFF"/>
    <w:rsid w:val="00695D5B"/>
    <w:rsid w:val="00695E32"/>
    <w:rsid w:val="00695EF3"/>
    <w:rsid w:val="00695FDA"/>
    <w:rsid w:val="006960B3"/>
    <w:rsid w:val="006960F5"/>
    <w:rsid w:val="00696140"/>
    <w:rsid w:val="006961EF"/>
    <w:rsid w:val="006962B8"/>
    <w:rsid w:val="00696451"/>
    <w:rsid w:val="00696534"/>
    <w:rsid w:val="00696663"/>
    <w:rsid w:val="00696679"/>
    <w:rsid w:val="006966DE"/>
    <w:rsid w:val="006966E8"/>
    <w:rsid w:val="006966F8"/>
    <w:rsid w:val="00696809"/>
    <w:rsid w:val="006968EE"/>
    <w:rsid w:val="006969D1"/>
    <w:rsid w:val="00696C0A"/>
    <w:rsid w:val="00696DAC"/>
    <w:rsid w:val="00696F6C"/>
    <w:rsid w:val="00697069"/>
    <w:rsid w:val="00697234"/>
    <w:rsid w:val="006972F7"/>
    <w:rsid w:val="00697334"/>
    <w:rsid w:val="0069741F"/>
    <w:rsid w:val="00697556"/>
    <w:rsid w:val="0069760A"/>
    <w:rsid w:val="0069766C"/>
    <w:rsid w:val="006976C0"/>
    <w:rsid w:val="006976E8"/>
    <w:rsid w:val="006978A0"/>
    <w:rsid w:val="00697947"/>
    <w:rsid w:val="00697A82"/>
    <w:rsid w:val="00697BA0"/>
    <w:rsid w:val="00697BB9"/>
    <w:rsid w:val="00697C0C"/>
    <w:rsid w:val="00697C9D"/>
    <w:rsid w:val="00697C9E"/>
    <w:rsid w:val="00697CE3"/>
    <w:rsid w:val="006A0144"/>
    <w:rsid w:val="006A01A2"/>
    <w:rsid w:val="006A0253"/>
    <w:rsid w:val="006A03CA"/>
    <w:rsid w:val="006A0478"/>
    <w:rsid w:val="006A049F"/>
    <w:rsid w:val="006A04C9"/>
    <w:rsid w:val="006A04EA"/>
    <w:rsid w:val="006A0520"/>
    <w:rsid w:val="006A059B"/>
    <w:rsid w:val="006A0764"/>
    <w:rsid w:val="006A07B2"/>
    <w:rsid w:val="006A0850"/>
    <w:rsid w:val="006A08B9"/>
    <w:rsid w:val="006A0971"/>
    <w:rsid w:val="006A0C93"/>
    <w:rsid w:val="006A0D54"/>
    <w:rsid w:val="006A0FC0"/>
    <w:rsid w:val="006A1241"/>
    <w:rsid w:val="006A1629"/>
    <w:rsid w:val="006A164B"/>
    <w:rsid w:val="006A172E"/>
    <w:rsid w:val="006A17C9"/>
    <w:rsid w:val="006A17EE"/>
    <w:rsid w:val="006A1888"/>
    <w:rsid w:val="006A1A3D"/>
    <w:rsid w:val="006A1A5A"/>
    <w:rsid w:val="006A1A7A"/>
    <w:rsid w:val="006A1B5D"/>
    <w:rsid w:val="006A1BA1"/>
    <w:rsid w:val="006A1CA8"/>
    <w:rsid w:val="006A2147"/>
    <w:rsid w:val="006A2316"/>
    <w:rsid w:val="006A2370"/>
    <w:rsid w:val="006A247B"/>
    <w:rsid w:val="006A263D"/>
    <w:rsid w:val="006A2844"/>
    <w:rsid w:val="006A2870"/>
    <w:rsid w:val="006A28E9"/>
    <w:rsid w:val="006A299D"/>
    <w:rsid w:val="006A2B04"/>
    <w:rsid w:val="006A2B4E"/>
    <w:rsid w:val="006A2B9F"/>
    <w:rsid w:val="006A2DDC"/>
    <w:rsid w:val="006A2E24"/>
    <w:rsid w:val="006A2EEA"/>
    <w:rsid w:val="006A3065"/>
    <w:rsid w:val="006A30EE"/>
    <w:rsid w:val="006A3201"/>
    <w:rsid w:val="006A3482"/>
    <w:rsid w:val="006A36F9"/>
    <w:rsid w:val="006A378E"/>
    <w:rsid w:val="006A3A88"/>
    <w:rsid w:val="006A3AB8"/>
    <w:rsid w:val="006A3C25"/>
    <w:rsid w:val="006A3C27"/>
    <w:rsid w:val="006A3DE3"/>
    <w:rsid w:val="006A3E86"/>
    <w:rsid w:val="006A4187"/>
    <w:rsid w:val="006A41C4"/>
    <w:rsid w:val="006A41E9"/>
    <w:rsid w:val="006A44DC"/>
    <w:rsid w:val="006A458E"/>
    <w:rsid w:val="006A4598"/>
    <w:rsid w:val="006A4629"/>
    <w:rsid w:val="006A4762"/>
    <w:rsid w:val="006A483D"/>
    <w:rsid w:val="006A4A7A"/>
    <w:rsid w:val="006A4AC5"/>
    <w:rsid w:val="006A4C3A"/>
    <w:rsid w:val="006A4E50"/>
    <w:rsid w:val="006A4EAE"/>
    <w:rsid w:val="006A4FBB"/>
    <w:rsid w:val="006A5202"/>
    <w:rsid w:val="006A53E5"/>
    <w:rsid w:val="006A5438"/>
    <w:rsid w:val="006A54EE"/>
    <w:rsid w:val="006A5586"/>
    <w:rsid w:val="006A55A5"/>
    <w:rsid w:val="006A5766"/>
    <w:rsid w:val="006A58A0"/>
    <w:rsid w:val="006A58A6"/>
    <w:rsid w:val="006A5AF4"/>
    <w:rsid w:val="006A5AFE"/>
    <w:rsid w:val="006A5B25"/>
    <w:rsid w:val="006A5B5E"/>
    <w:rsid w:val="006A5C4E"/>
    <w:rsid w:val="006A5C63"/>
    <w:rsid w:val="006A5D32"/>
    <w:rsid w:val="006A5D53"/>
    <w:rsid w:val="006A5E81"/>
    <w:rsid w:val="006A6078"/>
    <w:rsid w:val="006A6131"/>
    <w:rsid w:val="006A6143"/>
    <w:rsid w:val="006A6199"/>
    <w:rsid w:val="006A623A"/>
    <w:rsid w:val="006A63BB"/>
    <w:rsid w:val="006A649C"/>
    <w:rsid w:val="006A6B7D"/>
    <w:rsid w:val="006A6CBB"/>
    <w:rsid w:val="006A6D23"/>
    <w:rsid w:val="006A6D9E"/>
    <w:rsid w:val="006A6E0F"/>
    <w:rsid w:val="006A6E21"/>
    <w:rsid w:val="006A6F47"/>
    <w:rsid w:val="006A7119"/>
    <w:rsid w:val="006A7326"/>
    <w:rsid w:val="006A742E"/>
    <w:rsid w:val="006A7441"/>
    <w:rsid w:val="006A7605"/>
    <w:rsid w:val="006A7648"/>
    <w:rsid w:val="006A76FB"/>
    <w:rsid w:val="006A771B"/>
    <w:rsid w:val="006A78D1"/>
    <w:rsid w:val="006A7A39"/>
    <w:rsid w:val="006A7A52"/>
    <w:rsid w:val="006A7A95"/>
    <w:rsid w:val="006A7B71"/>
    <w:rsid w:val="006A7C35"/>
    <w:rsid w:val="006A7E8D"/>
    <w:rsid w:val="006A7F62"/>
    <w:rsid w:val="006B0386"/>
    <w:rsid w:val="006B03DD"/>
    <w:rsid w:val="006B05BC"/>
    <w:rsid w:val="006B0783"/>
    <w:rsid w:val="006B0793"/>
    <w:rsid w:val="006B0D36"/>
    <w:rsid w:val="006B0D96"/>
    <w:rsid w:val="006B0E16"/>
    <w:rsid w:val="006B0EA8"/>
    <w:rsid w:val="006B0EB8"/>
    <w:rsid w:val="006B0F53"/>
    <w:rsid w:val="006B1013"/>
    <w:rsid w:val="006B10B9"/>
    <w:rsid w:val="006B10EF"/>
    <w:rsid w:val="006B134F"/>
    <w:rsid w:val="006B135B"/>
    <w:rsid w:val="006B1503"/>
    <w:rsid w:val="006B16F3"/>
    <w:rsid w:val="006B1731"/>
    <w:rsid w:val="006B1CA8"/>
    <w:rsid w:val="006B1D2E"/>
    <w:rsid w:val="006B1E15"/>
    <w:rsid w:val="006B1E35"/>
    <w:rsid w:val="006B1E36"/>
    <w:rsid w:val="006B1E5D"/>
    <w:rsid w:val="006B1ED1"/>
    <w:rsid w:val="006B202A"/>
    <w:rsid w:val="006B2056"/>
    <w:rsid w:val="006B20A8"/>
    <w:rsid w:val="006B21FA"/>
    <w:rsid w:val="006B22D3"/>
    <w:rsid w:val="006B2349"/>
    <w:rsid w:val="006B23BB"/>
    <w:rsid w:val="006B2481"/>
    <w:rsid w:val="006B248D"/>
    <w:rsid w:val="006B2564"/>
    <w:rsid w:val="006B2644"/>
    <w:rsid w:val="006B266F"/>
    <w:rsid w:val="006B26E3"/>
    <w:rsid w:val="006B274B"/>
    <w:rsid w:val="006B278C"/>
    <w:rsid w:val="006B280B"/>
    <w:rsid w:val="006B2A74"/>
    <w:rsid w:val="006B2C19"/>
    <w:rsid w:val="006B2C56"/>
    <w:rsid w:val="006B2E3B"/>
    <w:rsid w:val="006B2F1B"/>
    <w:rsid w:val="006B2F4F"/>
    <w:rsid w:val="006B2F9C"/>
    <w:rsid w:val="006B30DC"/>
    <w:rsid w:val="006B315E"/>
    <w:rsid w:val="006B32EF"/>
    <w:rsid w:val="006B334F"/>
    <w:rsid w:val="006B3681"/>
    <w:rsid w:val="006B36A3"/>
    <w:rsid w:val="006B37C8"/>
    <w:rsid w:val="006B382C"/>
    <w:rsid w:val="006B392B"/>
    <w:rsid w:val="006B394E"/>
    <w:rsid w:val="006B3A8C"/>
    <w:rsid w:val="006B3AB8"/>
    <w:rsid w:val="006B3B2C"/>
    <w:rsid w:val="006B3B43"/>
    <w:rsid w:val="006B3C62"/>
    <w:rsid w:val="006B3CAE"/>
    <w:rsid w:val="006B3EC1"/>
    <w:rsid w:val="006B3FF2"/>
    <w:rsid w:val="006B403E"/>
    <w:rsid w:val="006B405E"/>
    <w:rsid w:val="006B444E"/>
    <w:rsid w:val="006B4562"/>
    <w:rsid w:val="006B45C8"/>
    <w:rsid w:val="006B4674"/>
    <w:rsid w:val="006B46B5"/>
    <w:rsid w:val="006B4819"/>
    <w:rsid w:val="006B48AC"/>
    <w:rsid w:val="006B4AE1"/>
    <w:rsid w:val="006B4DDB"/>
    <w:rsid w:val="006B4ED3"/>
    <w:rsid w:val="006B4FE1"/>
    <w:rsid w:val="006B4FE6"/>
    <w:rsid w:val="006B4FFC"/>
    <w:rsid w:val="006B5020"/>
    <w:rsid w:val="006B502D"/>
    <w:rsid w:val="006B50FF"/>
    <w:rsid w:val="006B5218"/>
    <w:rsid w:val="006B523F"/>
    <w:rsid w:val="006B53A2"/>
    <w:rsid w:val="006B53E0"/>
    <w:rsid w:val="006B54A9"/>
    <w:rsid w:val="006B553C"/>
    <w:rsid w:val="006B554E"/>
    <w:rsid w:val="006B5559"/>
    <w:rsid w:val="006B55F4"/>
    <w:rsid w:val="006B561A"/>
    <w:rsid w:val="006B568D"/>
    <w:rsid w:val="006B57EC"/>
    <w:rsid w:val="006B581E"/>
    <w:rsid w:val="006B59C9"/>
    <w:rsid w:val="006B5AEE"/>
    <w:rsid w:val="006B5D5D"/>
    <w:rsid w:val="006B5E3A"/>
    <w:rsid w:val="006B5E57"/>
    <w:rsid w:val="006B5FFF"/>
    <w:rsid w:val="006B6013"/>
    <w:rsid w:val="006B60B9"/>
    <w:rsid w:val="006B61E8"/>
    <w:rsid w:val="006B6258"/>
    <w:rsid w:val="006B6399"/>
    <w:rsid w:val="006B66FE"/>
    <w:rsid w:val="006B685E"/>
    <w:rsid w:val="006B6AAF"/>
    <w:rsid w:val="006B6CCD"/>
    <w:rsid w:val="006B6D21"/>
    <w:rsid w:val="006B6F36"/>
    <w:rsid w:val="006B6F91"/>
    <w:rsid w:val="006B6FB3"/>
    <w:rsid w:val="006B6FF8"/>
    <w:rsid w:val="006B7103"/>
    <w:rsid w:val="006B71A7"/>
    <w:rsid w:val="006B7379"/>
    <w:rsid w:val="006B73F2"/>
    <w:rsid w:val="006B74D7"/>
    <w:rsid w:val="006B7500"/>
    <w:rsid w:val="006B7675"/>
    <w:rsid w:val="006B772A"/>
    <w:rsid w:val="006B777E"/>
    <w:rsid w:val="006B77B5"/>
    <w:rsid w:val="006B77DF"/>
    <w:rsid w:val="006B7849"/>
    <w:rsid w:val="006B78F8"/>
    <w:rsid w:val="006B7944"/>
    <w:rsid w:val="006B79CC"/>
    <w:rsid w:val="006B7C68"/>
    <w:rsid w:val="006B7E0C"/>
    <w:rsid w:val="006B7FC0"/>
    <w:rsid w:val="006C00C5"/>
    <w:rsid w:val="006C021E"/>
    <w:rsid w:val="006C0362"/>
    <w:rsid w:val="006C037E"/>
    <w:rsid w:val="006C0487"/>
    <w:rsid w:val="006C04E6"/>
    <w:rsid w:val="006C0609"/>
    <w:rsid w:val="006C07E0"/>
    <w:rsid w:val="006C0A75"/>
    <w:rsid w:val="006C0A8D"/>
    <w:rsid w:val="006C0BEC"/>
    <w:rsid w:val="006C0CA9"/>
    <w:rsid w:val="006C0CDF"/>
    <w:rsid w:val="006C0D93"/>
    <w:rsid w:val="006C0DFE"/>
    <w:rsid w:val="006C0EA6"/>
    <w:rsid w:val="006C1096"/>
    <w:rsid w:val="006C1172"/>
    <w:rsid w:val="006C1188"/>
    <w:rsid w:val="006C11C0"/>
    <w:rsid w:val="006C11C9"/>
    <w:rsid w:val="006C140E"/>
    <w:rsid w:val="006C14F4"/>
    <w:rsid w:val="006C179D"/>
    <w:rsid w:val="006C1876"/>
    <w:rsid w:val="006C1BFE"/>
    <w:rsid w:val="006C1C16"/>
    <w:rsid w:val="006C1C49"/>
    <w:rsid w:val="006C1DE8"/>
    <w:rsid w:val="006C1F2B"/>
    <w:rsid w:val="006C2094"/>
    <w:rsid w:val="006C20A4"/>
    <w:rsid w:val="006C20AA"/>
    <w:rsid w:val="006C2120"/>
    <w:rsid w:val="006C2383"/>
    <w:rsid w:val="006C246F"/>
    <w:rsid w:val="006C264F"/>
    <w:rsid w:val="006C2836"/>
    <w:rsid w:val="006C283E"/>
    <w:rsid w:val="006C289C"/>
    <w:rsid w:val="006C28C3"/>
    <w:rsid w:val="006C292E"/>
    <w:rsid w:val="006C2A14"/>
    <w:rsid w:val="006C2C66"/>
    <w:rsid w:val="006C2D47"/>
    <w:rsid w:val="006C30DF"/>
    <w:rsid w:val="006C3156"/>
    <w:rsid w:val="006C3179"/>
    <w:rsid w:val="006C3209"/>
    <w:rsid w:val="006C32D9"/>
    <w:rsid w:val="006C33B5"/>
    <w:rsid w:val="006C3425"/>
    <w:rsid w:val="006C3682"/>
    <w:rsid w:val="006C36CD"/>
    <w:rsid w:val="006C37FB"/>
    <w:rsid w:val="006C388D"/>
    <w:rsid w:val="006C38A3"/>
    <w:rsid w:val="006C3B67"/>
    <w:rsid w:val="006C3D29"/>
    <w:rsid w:val="006C41CF"/>
    <w:rsid w:val="006C4362"/>
    <w:rsid w:val="006C44A1"/>
    <w:rsid w:val="006C44D3"/>
    <w:rsid w:val="006C4567"/>
    <w:rsid w:val="006C45F3"/>
    <w:rsid w:val="006C4635"/>
    <w:rsid w:val="006C466D"/>
    <w:rsid w:val="006C4771"/>
    <w:rsid w:val="006C4884"/>
    <w:rsid w:val="006C4928"/>
    <w:rsid w:val="006C4A19"/>
    <w:rsid w:val="006C4BE4"/>
    <w:rsid w:val="006C4D1F"/>
    <w:rsid w:val="006C4DC5"/>
    <w:rsid w:val="006C4EA8"/>
    <w:rsid w:val="006C5017"/>
    <w:rsid w:val="006C51D3"/>
    <w:rsid w:val="006C5203"/>
    <w:rsid w:val="006C5296"/>
    <w:rsid w:val="006C5306"/>
    <w:rsid w:val="006C5409"/>
    <w:rsid w:val="006C5526"/>
    <w:rsid w:val="006C55EE"/>
    <w:rsid w:val="006C57E0"/>
    <w:rsid w:val="006C5804"/>
    <w:rsid w:val="006C5880"/>
    <w:rsid w:val="006C594C"/>
    <w:rsid w:val="006C5B95"/>
    <w:rsid w:val="006C5C24"/>
    <w:rsid w:val="006C5C8D"/>
    <w:rsid w:val="006C5FA0"/>
    <w:rsid w:val="006C5FA5"/>
    <w:rsid w:val="006C5FE2"/>
    <w:rsid w:val="006C60A3"/>
    <w:rsid w:val="006C6173"/>
    <w:rsid w:val="006C6285"/>
    <w:rsid w:val="006C6591"/>
    <w:rsid w:val="006C6688"/>
    <w:rsid w:val="006C6720"/>
    <w:rsid w:val="006C6915"/>
    <w:rsid w:val="006C6999"/>
    <w:rsid w:val="006C6CAC"/>
    <w:rsid w:val="006C6D74"/>
    <w:rsid w:val="006C6DAF"/>
    <w:rsid w:val="006C6E1D"/>
    <w:rsid w:val="006C6E45"/>
    <w:rsid w:val="006C6F08"/>
    <w:rsid w:val="006C6F88"/>
    <w:rsid w:val="006C7511"/>
    <w:rsid w:val="006C7549"/>
    <w:rsid w:val="006C75B3"/>
    <w:rsid w:val="006C76AF"/>
    <w:rsid w:val="006C774D"/>
    <w:rsid w:val="006C7800"/>
    <w:rsid w:val="006C784E"/>
    <w:rsid w:val="006C79B7"/>
    <w:rsid w:val="006C7AA2"/>
    <w:rsid w:val="006C7F64"/>
    <w:rsid w:val="006C7FD1"/>
    <w:rsid w:val="006D00AF"/>
    <w:rsid w:val="006D0180"/>
    <w:rsid w:val="006D01CB"/>
    <w:rsid w:val="006D01DD"/>
    <w:rsid w:val="006D026D"/>
    <w:rsid w:val="006D02D2"/>
    <w:rsid w:val="006D03E4"/>
    <w:rsid w:val="006D064D"/>
    <w:rsid w:val="006D079D"/>
    <w:rsid w:val="006D07FD"/>
    <w:rsid w:val="006D0988"/>
    <w:rsid w:val="006D09A8"/>
    <w:rsid w:val="006D0A39"/>
    <w:rsid w:val="006D0AE1"/>
    <w:rsid w:val="006D0B8A"/>
    <w:rsid w:val="006D0B94"/>
    <w:rsid w:val="006D0BB6"/>
    <w:rsid w:val="006D0BE1"/>
    <w:rsid w:val="006D0C5D"/>
    <w:rsid w:val="006D0DEB"/>
    <w:rsid w:val="006D0EDE"/>
    <w:rsid w:val="006D0F1E"/>
    <w:rsid w:val="006D1080"/>
    <w:rsid w:val="006D1132"/>
    <w:rsid w:val="006D11DA"/>
    <w:rsid w:val="006D11ED"/>
    <w:rsid w:val="006D132C"/>
    <w:rsid w:val="006D13F0"/>
    <w:rsid w:val="006D1651"/>
    <w:rsid w:val="006D1659"/>
    <w:rsid w:val="006D16B3"/>
    <w:rsid w:val="006D1708"/>
    <w:rsid w:val="006D1A17"/>
    <w:rsid w:val="006D1C32"/>
    <w:rsid w:val="006D1C6E"/>
    <w:rsid w:val="006D1DA2"/>
    <w:rsid w:val="006D1DA3"/>
    <w:rsid w:val="006D1E36"/>
    <w:rsid w:val="006D1FDD"/>
    <w:rsid w:val="006D2243"/>
    <w:rsid w:val="006D238B"/>
    <w:rsid w:val="006D246C"/>
    <w:rsid w:val="006D27C8"/>
    <w:rsid w:val="006D287F"/>
    <w:rsid w:val="006D28D0"/>
    <w:rsid w:val="006D28E3"/>
    <w:rsid w:val="006D2944"/>
    <w:rsid w:val="006D296A"/>
    <w:rsid w:val="006D2A48"/>
    <w:rsid w:val="006D2ABA"/>
    <w:rsid w:val="006D2B6A"/>
    <w:rsid w:val="006D2C74"/>
    <w:rsid w:val="006D2DE3"/>
    <w:rsid w:val="006D3053"/>
    <w:rsid w:val="006D307E"/>
    <w:rsid w:val="006D3167"/>
    <w:rsid w:val="006D316D"/>
    <w:rsid w:val="006D3183"/>
    <w:rsid w:val="006D31E4"/>
    <w:rsid w:val="006D3370"/>
    <w:rsid w:val="006D33C0"/>
    <w:rsid w:val="006D3498"/>
    <w:rsid w:val="006D36B3"/>
    <w:rsid w:val="006D36C4"/>
    <w:rsid w:val="006D3719"/>
    <w:rsid w:val="006D3896"/>
    <w:rsid w:val="006D38C9"/>
    <w:rsid w:val="006D3B98"/>
    <w:rsid w:val="006D3C6B"/>
    <w:rsid w:val="006D3E36"/>
    <w:rsid w:val="006D3EF7"/>
    <w:rsid w:val="006D3F21"/>
    <w:rsid w:val="006D4107"/>
    <w:rsid w:val="006D4132"/>
    <w:rsid w:val="006D415C"/>
    <w:rsid w:val="006D4348"/>
    <w:rsid w:val="006D4370"/>
    <w:rsid w:val="006D43EF"/>
    <w:rsid w:val="006D44EE"/>
    <w:rsid w:val="006D44FA"/>
    <w:rsid w:val="006D458D"/>
    <w:rsid w:val="006D489E"/>
    <w:rsid w:val="006D48F5"/>
    <w:rsid w:val="006D4B70"/>
    <w:rsid w:val="006D4D3C"/>
    <w:rsid w:val="006D4D54"/>
    <w:rsid w:val="006D4D70"/>
    <w:rsid w:val="006D4EC8"/>
    <w:rsid w:val="006D4EDA"/>
    <w:rsid w:val="006D4F16"/>
    <w:rsid w:val="006D4F74"/>
    <w:rsid w:val="006D50C5"/>
    <w:rsid w:val="006D5113"/>
    <w:rsid w:val="006D5533"/>
    <w:rsid w:val="006D55BE"/>
    <w:rsid w:val="006D5696"/>
    <w:rsid w:val="006D56A5"/>
    <w:rsid w:val="006D56D7"/>
    <w:rsid w:val="006D57D2"/>
    <w:rsid w:val="006D5822"/>
    <w:rsid w:val="006D584A"/>
    <w:rsid w:val="006D5968"/>
    <w:rsid w:val="006D5C64"/>
    <w:rsid w:val="006D5DCC"/>
    <w:rsid w:val="006D5E70"/>
    <w:rsid w:val="006D5F10"/>
    <w:rsid w:val="006D5F73"/>
    <w:rsid w:val="006D6387"/>
    <w:rsid w:val="006D63A7"/>
    <w:rsid w:val="006D6609"/>
    <w:rsid w:val="006D66DE"/>
    <w:rsid w:val="006D66ED"/>
    <w:rsid w:val="006D67F5"/>
    <w:rsid w:val="006D6832"/>
    <w:rsid w:val="006D6BBD"/>
    <w:rsid w:val="006D6C7F"/>
    <w:rsid w:val="006D6CC8"/>
    <w:rsid w:val="006D6DA0"/>
    <w:rsid w:val="006D6E04"/>
    <w:rsid w:val="006D70AC"/>
    <w:rsid w:val="006D7152"/>
    <w:rsid w:val="006D71E3"/>
    <w:rsid w:val="006D72B5"/>
    <w:rsid w:val="006D74BE"/>
    <w:rsid w:val="006D78C6"/>
    <w:rsid w:val="006D79C5"/>
    <w:rsid w:val="006D7B20"/>
    <w:rsid w:val="006D7CBF"/>
    <w:rsid w:val="006D7D64"/>
    <w:rsid w:val="006D7E0E"/>
    <w:rsid w:val="006D7E10"/>
    <w:rsid w:val="006D7FDB"/>
    <w:rsid w:val="006E00A4"/>
    <w:rsid w:val="006E0358"/>
    <w:rsid w:val="006E045D"/>
    <w:rsid w:val="006E07CC"/>
    <w:rsid w:val="006E0AA4"/>
    <w:rsid w:val="006E0BC0"/>
    <w:rsid w:val="006E0C7F"/>
    <w:rsid w:val="006E0D4B"/>
    <w:rsid w:val="006E0D62"/>
    <w:rsid w:val="006E0DCB"/>
    <w:rsid w:val="006E0ED5"/>
    <w:rsid w:val="006E0EE3"/>
    <w:rsid w:val="006E0F1E"/>
    <w:rsid w:val="006E0F57"/>
    <w:rsid w:val="006E1045"/>
    <w:rsid w:val="006E10B3"/>
    <w:rsid w:val="006E1136"/>
    <w:rsid w:val="006E1170"/>
    <w:rsid w:val="006E11E4"/>
    <w:rsid w:val="006E13E6"/>
    <w:rsid w:val="006E142E"/>
    <w:rsid w:val="006E1459"/>
    <w:rsid w:val="006E1486"/>
    <w:rsid w:val="006E14BB"/>
    <w:rsid w:val="006E1507"/>
    <w:rsid w:val="006E1661"/>
    <w:rsid w:val="006E1667"/>
    <w:rsid w:val="006E169A"/>
    <w:rsid w:val="006E1739"/>
    <w:rsid w:val="006E173A"/>
    <w:rsid w:val="006E177A"/>
    <w:rsid w:val="006E18CA"/>
    <w:rsid w:val="006E1947"/>
    <w:rsid w:val="006E1A9C"/>
    <w:rsid w:val="006E1BE9"/>
    <w:rsid w:val="006E1C06"/>
    <w:rsid w:val="006E1CE9"/>
    <w:rsid w:val="006E1D44"/>
    <w:rsid w:val="006E1D77"/>
    <w:rsid w:val="006E1E67"/>
    <w:rsid w:val="006E1F84"/>
    <w:rsid w:val="006E1F9A"/>
    <w:rsid w:val="006E20F6"/>
    <w:rsid w:val="006E21B3"/>
    <w:rsid w:val="006E224A"/>
    <w:rsid w:val="006E2446"/>
    <w:rsid w:val="006E246F"/>
    <w:rsid w:val="006E2670"/>
    <w:rsid w:val="006E268C"/>
    <w:rsid w:val="006E27EC"/>
    <w:rsid w:val="006E2A2B"/>
    <w:rsid w:val="006E2BBB"/>
    <w:rsid w:val="006E2C95"/>
    <w:rsid w:val="006E2CB0"/>
    <w:rsid w:val="006E2D9F"/>
    <w:rsid w:val="006E2F08"/>
    <w:rsid w:val="006E2F0E"/>
    <w:rsid w:val="006E31A9"/>
    <w:rsid w:val="006E31D5"/>
    <w:rsid w:val="006E328A"/>
    <w:rsid w:val="006E342F"/>
    <w:rsid w:val="006E35B9"/>
    <w:rsid w:val="006E362C"/>
    <w:rsid w:val="006E3761"/>
    <w:rsid w:val="006E3881"/>
    <w:rsid w:val="006E3D02"/>
    <w:rsid w:val="006E3D4D"/>
    <w:rsid w:val="006E3E4E"/>
    <w:rsid w:val="006E3ED4"/>
    <w:rsid w:val="006E3FA2"/>
    <w:rsid w:val="006E41AD"/>
    <w:rsid w:val="006E42B1"/>
    <w:rsid w:val="006E4361"/>
    <w:rsid w:val="006E43BA"/>
    <w:rsid w:val="006E44AB"/>
    <w:rsid w:val="006E458A"/>
    <w:rsid w:val="006E462B"/>
    <w:rsid w:val="006E46F3"/>
    <w:rsid w:val="006E475E"/>
    <w:rsid w:val="006E4794"/>
    <w:rsid w:val="006E4B59"/>
    <w:rsid w:val="006E4B5D"/>
    <w:rsid w:val="006E4BAE"/>
    <w:rsid w:val="006E4D7F"/>
    <w:rsid w:val="006E4DB5"/>
    <w:rsid w:val="006E4E18"/>
    <w:rsid w:val="006E4E3E"/>
    <w:rsid w:val="006E4E87"/>
    <w:rsid w:val="006E4EF9"/>
    <w:rsid w:val="006E4F9A"/>
    <w:rsid w:val="006E4FD1"/>
    <w:rsid w:val="006E5025"/>
    <w:rsid w:val="006E50A2"/>
    <w:rsid w:val="006E50FD"/>
    <w:rsid w:val="006E5223"/>
    <w:rsid w:val="006E5290"/>
    <w:rsid w:val="006E540D"/>
    <w:rsid w:val="006E547B"/>
    <w:rsid w:val="006E5766"/>
    <w:rsid w:val="006E577C"/>
    <w:rsid w:val="006E5935"/>
    <w:rsid w:val="006E5A19"/>
    <w:rsid w:val="006E5AC8"/>
    <w:rsid w:val="006E5B6A"/>
    <w:rsid w:val="006E5BBD"/>
    <w:rsid w:val="006E5BE7"/>
    <w:rsid w:val="006E5C4B"/>
    <w:rsid w:val="006E5CF6"/>
    <w:rsid w:val="006E5DF5"/>
    <w:rsid w:val="006E5DFD"/>
    <w:rsid w:val="006E6127"/>
    <w:rsid w:val="006E6174"/>
    <w:rsid w:val="006E617C"/>
    <w:rsid w:val="006E6191"/>
    <w:rsid w:val="006E6246"/>
    <w:rsid w:val="006E64BD"/>
    <w:rsid w:val="006E6585"/>
    <w:rsid w:val="006E6687"/>
    <w:rsid w:val="006E671C"/>
    <w:rsid w:val="006E687B"/>
    <w:rsid w:val="006E6A9D"/>
    <w:rsid w:val="006E6B05"/>
    <w:rsid w:val="006E6E71"/>
    <w:rsid w:val="006E6EA1"/>
    <w:rsid w:val="006E6EB6"/>
    <w:rsid w:val="006E6FBA"/>
    <w:rsid w:val="006E70D1"/>
    <w:rsid w:val="006E70FF"/>
    <w:rsid w:val="006E7105"/>
    <w:rsid w:val="006E71EB"/>
    <w:rsid w:val="006E7302"/>
    <w:rsid w:val="006E7360"/>
    <w:rsid w:val="006E73F6"/>
    <w:rsid w:val="006E7557"/>
    <w:rsid w:val="006E7904"/>
    <w:rsid w:val="006E796E"/>
    <w:rsid w:val="006E79D9"/>
    <w:rsid w:val="006E7A6A"/>
    <w:rsid w:val="006E7C9F"/>
    <w:rsid w:val="006E7CAC"/>
    <w:rsid w:val="006E7CDD"/>
    <w:rsid w:val="006E7D26"/>
    <w:rsid w:val="006E7DB5"/>
    <w:rsid w:val="006E7E5A"/>
    <w:rsid w:val="006E7FB7"/>
    <w:rsid w:val="006F02CC"/>
    <w:rsid w:val="006F037A"/>
    <w:rsid w:val="006F0439"/>
    <w:rsid w:val="006F04D3"/>
    <w:rsid w:val="006F0541"/>
    <w:rsid w:val="006F0574"/>
    <w:rsid w:val="006F0632"/>
    <w:rsid w:val="006F0946"/>
    <w:rsid w:val="006F0AD5"/>
    <w:rsid w:val="006F0B50"/>
    <w:rsid w:val="006F0C2F"/>
    <w:rsid w:val="006F0E61"/>
    <w:rsid w:val="006F0FDA"/>
    <w:rsid w:val="006F103C"/>
    <w:rsid w:val="006F113B"/>
    <w:rsid w:val="006F1348"/>
    <w:rsid w:val="006F155C"/>
    <w:rsid w:val="006F1584"/>
    <w:rsid w:val="006F1724"/>
    <w:rsid w:val="006F1761"/>
    <w:rsid w:val="006F1A3A"/>
    <w:rsid w:val="006F1BFE"/>
    <w:rsid w:val="006F1C1B"/>
    <w:rsid w:val="006F1C83"/>
    <w:rsid w:val="006F1C92"/>
    <w:rsid w:val="006F1CA8"/>
    <w:rsid w:val="006F20B8"/>
    <w:rsid w:val="006F21C1"/>
    <w:rsid w:val="006F2233"/>
    <w:rsid w:val="006F2322"/>
    <w:rsid w:val="006F2446"/>
    <w:rsid w:val="006F2452"/>
    <w:rsid w:val="006F2456"/>
    <w:rsid w:val="006F2547"/>
    <w:rsid w:val="006F25B3"/>
    <w:rsid w:val="006F26AC"/>
    <w:rsid w:val="006F27CB"/>
    <w:rsid w:val="006F28D5"/>
    <w:rsid w:val="006F2996"/>
    <w:rsid w:val="006F2B20"/>
    <w:rsid w:val="006F2E6E"/>
    <w:rsid w:val="006F324D"/>
    <w:rsid w:val="006F33F0"/>
    <w:rsid w:val="006F3539"/>
    <w:rsid w:val="006F359A"/>
    <w:rsid w:val="006F37F1"/>
    <w:rsid w:val="006F38DC"/>
    <w:rsid w:val="006F396C"/>
    <w:rsid w:val="006F3AE0"/>
    <w:rsid w:val="006F3AE6"/>
    <w:rsid w:val="006F3AF4"/>
    <w:rsid w:val="006F3BFF"/>
    <w:rsid w:val="006F3C1E"/>
    <w:rsid w:val="006F3D58"/>
    <w:rsid w:val="006F3EB1"/>
    <w:rsid w:val="006F4019"/>
    <w:rsid w:val="006F419D"/>
    <w:rsid w:val="006F4265"/>
    <w:rsid w:val="006F42D2"/>
    <w:rsid w:val="006F4362"/>
    <w:rsid w:val="006F4448"/>
    <w:rsid w:val="006F4795"/>
    <w:rsid w:val="006F47B6"/>
    <w:rsid w:val="006F47DC"/>
    <w:rsid w:val="006F4BD1"/>
    <w:rsid w:val="006F4C53"/>
    <w:rsid w:val="006F4D09"/>
    <w:rsid w:val="006F4D2E"/>
    <w:rsid w:val="006F4E47"/>
    <w:rsid w:val="006F4E71"/>
    <w:rsid w:val="006F4EE4"/>
    <w:rsid w:val="006F4F0D"/>
    <w:rsid w:val="006F4F6C"/>
    <w:rsid w:val="006F5014"/>
    <w:rsid w:val="006F515C"/>
    <w:rsid w:val="006F517E"/>
    <w:rsid w:val="006F5263"/>
    <w:rsid w:val="006F53C5"/>
    <w:rsid w:val="006F5451"/>
    <w:rsid w:val="006F564D"/>
    <w:rsid w:val="006F5680"/>
    <w:rsid w:val="006F56E3"/>
    <w:rsid w:val="006F58BF"/>
    <w:rsid w:val="006F5AAB"/>
    <w:rsid w:val="006F5AF6"/>
    <w:rsid w:val="006F5E5B"/>
    <w:rsid w:val="006F5E99"/>
    <w:rsid w:val="006F5ECE"/>
    <w:rsid w:val="006F5FF2"/>
    <w:rsid w:val="006F62B8"/>
    <w:rsid w:val="006F634F"/>
    <w:rsid w:val="006F63F0"/>
    <w:rsid w:val="006F6475"/>
    <w:rsid w:val="006F6531"/>
    <w:rsid w:val="006F6557"/>
    <w:rsid w:val="006F6808"/>
    <w:rsid w:val="006F682E"/>
    <w:rsid w:val="006F6966"/>
    <w:rsid w:val="006F6985"/>
    <w:rsid w:val="006F69CD"/>
    <w:rsid w:val="006F6A1E"/>
    <w:rsid w:val="006F6A25"/>
    <w:rsid w:val="006F6AF5"/>
    <w:rsid w:val="006F6B97"/>
    <w:rsid w:val="006F6C05"/>
    <w:rsid w:val="006F6DA4"/>
    <w:rsid w:val="006F6DEB"/>
    <w:rsid w:val="006F7117"/>
    <w:rsid w:val="006F72DD"/>
    <w:rsid w:val="006F72DF"/>
    <w:rsid w:val="006F73D4"/>
    <w:rsid w:val="006F75D8"/>
    <w:rsid w:val="006F75D9"/>
    <w:rsid w:val="006F762A"/>
    <w:rsid w:val="006F7713"/>
    <w:rsid w:val="006F7767"/>
    <w:rsid w:val="006F778C"/>
    <w:rsid w:val="006F78CF"/>
    <w:rsid w:val="006F79AE"/>
    <w:rsid w:val="006F7A15"/>
    <w:rsid w:val="006F7CE5"/>
    <w:rsid w:val="006F7DB3"/>
    <w:rsid w:val="006F7DBE"/>
    <w:rsid w:val="006F7F52"/>
    <w:rsid w:val="006F7FAF"/>
    <w:rsid w:val="00700033"/>
    <w:rsid w:val="00700098"/>
    <w:rsid w:val="007000A1"/>
    <w:rsid w:val="0070027C"/>
    <w:rsid w:val="007002F3"/>
    <w:rsid w:val="00700338"/>
    <w:rsid w:val="00700393"/>
    <w:rsid w:val="007003F4"/>
    <w:rsid w:val="007004E8"/>
    <w:rsid w:val="0070050C"/>
    <w:rsid w:val="0070053B"/>
    <w:rsid w:val="007005D3"/>
    <w:rsid w:val="0070067A"/>
    <w:rsid w:val="007006C5"/>
    <w:rsid w:val="0070079A"/>
    <w:rsid w:val="00700864"/>
    <w:rsid w:val="0070091E"/>
    <w:rsid w:val="0070096A"/>
    <w:rsid w:val="00700A8E"/>
    <w:rsid w:val="00700B20"/>
    <w:rsid w:val="00700CD0"/>
    <w:rsid w:val="00700D52"/>
    <w:rsid w:val="00700E3C"/>
    <w:rsid w:val="00700FD7"/>
    <w:rsid w:val="00701102"/>
    <w:rsid w:val="00701236"/>
    <w:rsid w:val="00701249"/>
    <w:rsid w:val="00701376"/>
    <w:rsid w:val="007013A0"/>
    <w:rsid w:val="007013FC"/>
    <w:rsid w:val="00701530"/>
    <w:rsid w:val="00701552"/>
    <w:rsid w:val="0070155C"/>
    <w:rsid w:val="0070159B"/>
    <w:rsid w:val="007015EB"/>
    <w:rsid w:val="0070172A"/>
    <w:rsid w:val="00701733"/>
    <w:rsid w:val="0070176C"/>
    <w:rsid w:val="00701882"/>
    <w:rsid w:val="00701ACF"/>
    <w:rsid w:val="00701C00"/>
    <w:rsid w:val="00701CFC"/>
    <w:rsid w:val="00701D43"/>
    <w:rsid w:val="00701E55"/>
    <w:rsid w:val="00701E70"/>
    <w:rsid w:val="00701F42"/>
    <w:rsid w:val="00702107"/>
    <w:rsid w:val="00702238"/>
    <w:rsid w:val="00702266"/>
    <w:rsid w:val="007022A3"/>
    <w:rsid w:val="007022A5"/>
    <w:rsid w:val="007024B6"/>
    <w:rsid w:val="007026F1"/>
    <w:rsid w:val="007026F9"/>
    <w:rsid w:val="00702750"/>
    <w:rsid w:val="007028C2"/>
    <w:rsid w:val="00702A4C"/>
    <w:rsid w:val="00702AFB"/>
    <w:rsid w:val="00702B7B"/>
    <w:rsid w:val="00702B96"/>
    <w:rsid w:val="00702BE2"/>
    <w:rsid w:val="00702CF8"/>
    <w:rsid w:val="00702D35"/>
    <w:rsid w:val="00702DBF"/>
    <w:rsid w:val="00703143"/>
    <w:rsid w:val="0070325D"/>
    <w:rsid w:val="00703350"/>
    <w:rsid w:val="007034F9"/>
    <w:rsid w:val="00703681"/>
    <w:rsid w:val="007036A8"/>
    <w:rsid w:val="007037E6"/>
    <w:rsid w:val="00703912"/>
    <w:rsid w:val="007039A3"/>
    <w:rsid w:val="00703BDE"/>
    <w:rsid w:val="00703BE7"/>
    <w:rsid w:val="00703EB5"/>
    <w:rsid w:val="00703EE2"/>
    <w:rsid w:val="007040D5"/>
    <w:rsid w:val="0070421C"/>
    <w:rsid w:val="00704267"/>
    <w:rsid w:val="00704272"/>
    <w:rsid w:val="0070437C"/>
    <w:rsid w:val="0070439B"/>
    <w:rsid w:val="007043E5"/>
    <w:rsid w:val="00704415"/>
    <w:rsid w:val="007044B3"/>
    <w:rsid w:val="007045F1"/>
    <w:rsid w:val="00704672"/>
    <w:rsid w:val="007046EF"/>
    <w:rsid w:val="00704949"/>
    <w:rsid w:val="0070494B"/>
    <w:rsid w:val="0070496A"/>
    <w:rsid w:val="00704A5D"/>
    <w:rsid w:val="00704AC0"/>
    <w:rsid w:val="00704BAA"/>
    <w:rsid w:val="00704EF0"/>
    <w:rsid w:val="00704F15"/>
    <w:rsid w:val="00704F65"/>
    <w:rsid w:val="00704FB2"/>
    <w:rsid w:val="0070507C"/>
    <w:rsid w:val="0070521F"/>
    <w:rsid w:val="00705362"/>
    <w:rsid w:val="007053BE"/>
    <w:rsid w:val="00705480"/>
    <w:rsid w:val="007054D3"/>
    <w:rsid w:val="0070556B"/>
    <w:rsid w:val="007055F4"/>
    <w:rsid w:val="00705651"/>
    <w:rsid w:val="00705728"/>
    <w:rsid w:val="00705759"/>
    <w:rsid w:val="00705771"/>
    <w:rsid w:val="0070598B"/>
    <w:rsid w:val="00705A4A"/>
    <w:rsid w:val="00705A52"/>
    <w:rsid w:val="00705A97"/>
    <w:rsid w:val="00705B01"/>
    <w:rsid w:val="00705C78"/>
    <w:rsid w:val="00705F74"/>
    <w:rsid w:val="0070607E"/>
    <w:rsid w:val="0070622E"/>
    <w:rsid w:val="0070624F"/>
    <w:rsid w:val="007062F3"/>
    <w:rsid w:val="00706516"/>
    <w:rsid w:val="0070652D"/>
    <w:rsid w:val="00706721"/>
    <w:rsid w:val="00706838"/>
    <w:rsid w:val="0070697D"/>
    <w:rsid w:val="0070698C"/>
    <w:rsid w:val="00706A40"/>
    <w:rsid w:val="00706ACC"/>
    <w:rsid w:val="0070716A"/>
    <w:rsid w:val="00707249"/>
    <w:rsid w:val="00707259"/>
    <w:rsid w:val="0070726A"/>
    <w:rsid w:val="0070731F"/>
    <w:rsid w:val="007073FB"/>
    <w:rsid w:val="00707549"/>
    <w:rsid w:val="00707576"/>
    <w:rsid w:val="007075A9"/>
    <w:rsid w:val="00707636"/>
    <w:rsid w:val="00707667"/>
    <w:rsid w:val="007077DF"/>
    <w:rsid w:val="0070798D"/>
    <w:rsid w:val="00707A60"/>
    <w:rsid w:val="00707A9C"/>
    <w:rsid w:val="00707BD1"/>
    <w:rsid w:val="00707BDB"/>
    <w:rsid w:val="00707BE7"/>
    <w:rsid w:val="00707D16"/>
    <w:rsid w:val="00707F42"/>
    <w:rsid w:val="007100E1"/>
    <w:rsid w:val="0071014C"/>
    <w:rsid w:val="00710273"/>
    <w:rsid w:val="0071032F"/>
    <w:rsid w:val="00710354"/>
    <w:rsid w:val="00710464"/>
    <w:rsid w:val="007104E0"/>
    <w:rsid w:val="00710597"/>
    <w:rsid w:val="00710716"/>
    <w:rsid w:val="00710782"/>
    <w:rsid w:val="00710855"/>
    <w:rsid w:val="0071088F"/>
    <w:rsid w:val="007109C3"/>
    <w:rsid w:val="00710D15"/>
    <w:rsid w:val="00710E4E"/>
    <w:rsid w:val="00710E69"/>
    <w:rsid w:val="00710F95"/>
    <w:rsid w:val="00710FE0"/>
    <w:rsid w:val="00711039"/>
    <w:rsid w:val="0071109F"/>
    <w:rsid w:val="007110B3"/>
    <w:rsid w:val="007111E8"/>
    <w:rsid w:val="00711243"/>
    <w:rsid w:val="0071149C"/>
    <w:rsid w:val="007114D5"/>
    <w:rsid w:val="0071168E"/>
    <w:rsid w:val="007117C1"/>
    <w:rsid w:val="00711984"/>
    <w:rsid w:val="007119F6"/>
    <w:rsid w:val="007119F8"/>
    <w:rsid w:val="00711B96"/>
    <w:rsid w:val="00711C3E"/>
    <w:rsid w:val="00711C69"/>
    <w:rsid w:val="00711DD2"/>
    <w:rsid w:val="00711F75"/>
    <w:rsid w:val="00712081"/>
    <w:rsid w:val="00712277"/>
    <w:rsid w:val="00712405"/>
    <w:rsid w:val="0071245A"/>
    <w:rsid w:val="00712499"/>
    <w:rsid w:val="00712508"/>
    <w:rsid w:val="00712519"/>
    <w:rsid w:val="007125E8"/>
    <w:rsid w:val="00712692"/>
    <w:rsid w:val="00712A35"/>
    <w:rsid w:val="00712AE8"/>
    <w:rsid w:val="00712C52"/>
    <w:rsid w:val="00712C75"/>
    <w:rsid w:val="00712CFF"/>
    <w:rsid w:val="00712D68"/>
    <w:rsid w:val="00712D77"/>
    <w:rsid w:val="00712E29"/>
    <w:rsid w:val="00712E46"/>
    <w:rsid w:val="00712EBA"/>
    <w:rsid w:val="00712F5D"/>
    <w:rsid w:val="007130A6"/>
    <w:rsid w:val="0071314A"/>
    <w:rsid w:val="00713184"/>
    <w:rsid w:val="00713220"/>
    <w:rsid w:val="007132FA"/>
    <w:rsid w:val="00713302"/>
    <w:rsid w:val="0071336A"/>
    <w:rsid w:val="0071345D"/>
    <w:rsid w:val="007134BC"/>
    <w:rsid w:val="007135D6"/>
    <w:rsid w:val="00713768"/>
    <w:rsid w:val="007137ED"/>
    <w:rsid w:val="00713829"/>
    <w:rsid w:val="007138B2"/>
    <w:rsid w:val="00713957"/>
    <w:rsid w:val="0071399D"/>
    <w:rsid w:val="00713AC4"/>
    <w:rsid w:val="00713AFB"/>
    <w:rsid w:val="00713D06"/>
    <w:rsid w:val="00713E43"/>
    <w:rsid w:val="00713F21"/>
    <w:rsid w:val="00713FB2"/>
    <w:rsid w:val="007140A3"/>
    <w:rsid w:val="007142CE"/>
    <w:rsid w:val="007143B8"/>
    <w:rsid w:val="00714463"/>
    <w:rsid w:val="00714525"/>
    <w:rsid w:val="00714580"/>
    <w:rsid w:val="00714719"/>
    <w:rsid w:val="00714827"/>
    <w:rsid w:val="00714850"/>
    <w:rsid w:val="00714B39"/>
    <w:rsid w:val="00714D9D"/>
    <w:rsid w:val="00714E84"/>
    <w:rsid w:val="00714FCC"/>
    <w:rsid w:val="00714FE7"/>
    <w:rsid w:val="007151A8"/>
    <w:rsid w:val="00715238"/>
    <w:rsid w:val="007152C7"/>
    <w:rsid w:val="007152D0"/>
    <w:rsid w:val="00715358"/>
    <w:rsid w:val="007153C6"/>
    <w:rsid w:val="00715687"/>
    <w:rsid w:val="0071573B"/>
    <w:rsid w:val="0071576A"/>
    <w:rsid w:val="0071579E"/>
    <w:rsid w:val="007157E0"/>
    <w:rsid w:val="00715843"/>
    <w:rsid w:val="00715933"/>
    <w:rsid w:val="0071596E"/>
    <w:rsid w:val="00715A95"/>
    <w:rsid w:val="00715BA5"/>
    <w:rsid w:val="00715E58"/>
    <w:rsid w:val="00715EDB"/>
    <w:rsid w:val="00715FA9"/>
    <w:rsid w:val="007162A1"/>
    <w:rsid w:val="00716507"/>
    <w:rsid w:val="007165CC"/>
    <w:rsid w:val="0071683D"/>
    <w:rsid w:val="007168F2"/>
    <w:rsid w:val="00716922"/>
    <w:rsid w:val="00716A95"/>
    <w:rsid w:val="00716D55"/>
    <w:rsid w:val="00716D7C"/>
    <w:rsid w:val="00716E27"/>
    <w:rsid w:val="00716E9C"/>
    <w:rsid w:val="00716EA4"/>
    <w:rsid w:val="00716FDC"/>
    <w:rsid w:val="00717156"/>
    <w:rsid w:val="00717430"/>
    <w:rsid w:val="00717595"/>
    <w:rsid w:val="007176A2"/>
    <w:rsid w:val="00717723"/>
    <w:rsid w:val="007177B9"/>
    <w:rsid w:val="007177ED"/>
    <w:rsid w:val="00717839"/>
    <w:rsid w:val="00717858"/>
    <w:rsid w:val="00717873"/>
    <w:rsid w:val="007178C3"/>
    <w:rsid w:val="00717A83"/>
    <w:rsid w:val="00717AEC"/>
    <w:rsid w:val="00717CA3"/>
    <w:rsid w:val="00717E02"/>
    <w:rsid w:val="0072001E"/>
    <w:rsid w:val="00720064"/>
    <w:rsid w:val="00720130"/>
    <w:rsid w:val="00720234"/>
    <w:rsid w:val="00720289"/>
    <w:rsid w:val="00720447"/>
    <w:rsid w:val="0072052F"/>
    <w:rsid w:val="00720684"/>
    <w:rsid w:val="007207A3"/>
    <w:rsid w:val="00720863"/>
    <w:rsid w:val="0072095B"/>
    <w:rsid w:val="00720994"/>
    <w:rsid w:val="00720A28"/>
    <w:rsid w:val="00720A39"/>
    <w:rsid w:val="00720A51"/>
    <w:rsid w:val="00720B9F"/>
    <w:rsid w:val="00720C7B"/>
    <w:rsid w:val="00720E90"/>
    <w:rsid w:val="00720ECC"/>
    <w:rsid w:val="00720ECF"/>
    <w:rsid w:val="00720EE0"/>
    <w:rsid w:val="007210AC"/>
    <w:rsid w:val="00721108"/>
    <w:rsid w:val="00721130"/>
    <w:rsid w:val="007211D3"/>
    <w:rsid w:val="007211FA"/>
    <w:rsid w:val="00721348"/>
    <w:rsid w:val="00721556"/>
    <w:rsid w:val="0072195E"/>
    <w:rsid w:val="00721C14"/>
    <w:rsid w:val="00721C5B"/>
    <w:rsid w:val="00721C87"/>
    <w:rsid w:val="00721E25"/>
    <w:rsid w:val="00721E94"/>
    <w:rsid w:val="00721EDA"/>
    <w:rsid w:val="00722334"/>
    <w:rsid w:val="00722495"/>
    <w:rsid w:val="007224C5"/>
    <w:rsid w:val="00722645"/>
    <w:rsid w:val="007226BB"/>
    <w:rsid w:val="00722869"/>
    <w:rsid w:val="00722A5F"/>
    <w:rsid w:val="00722A85"/>
    <w:rsid w:val="00722B05"/>
    <w:rsid w:val="00722C9B"/>
    <w:rsid w:val="00722E2E"/>
    <w:rsid w:val="0072330D"/>
    <w:rsid w:val="00723466"/>
    <w:rsid w:val="007234A9"/>
    <w:rsid w:val="007236A1"/>
    <w:rsid w:val="007236F7"/>
    <w:rsid w:val="00723A8E"/>
    <w:rsid w:val="00723D0A"/>
    <w:rsid w:val="00723D11"/>
    <w:rsid w:val="00723D2A"/>
    <w:rsid w:val="00723E6E"/>
    <w:rsid w:val="00723F5A"/>
    <w:rsid w:val="00723F90"/>
    <w:rsid w:val="00724026"/>
    <w:rsid w:val="0072405F"/>
    <w:rsid w:val="00724083"/>
    <w:rsid w:val="007240D4"/>
    <w:rsid w:val="00724101"/>
    <w:rsid w:val="00724113"/>
    <w:rsid w:val="0072416C"/>
    <w:rsid w:val="00724216"/>
    <w:rsid w:val="00724405"/>
    <w:rsid w:val="007244BC"/>
    <w:rsid w:val="007244F5"/>
    <w:rsid w:val="00724585"/>
    <w:rsid w:val="007246A1"/>
    <w:rsid w:val="007246B9"/>
    <w:rsid w:val="00724822"/>
    <w:rsid w:val="007249B2"/>
    <w:rsid w:val="007249F7"/>
    <w:rsid w:val="00724A06"/>
    <w:rsid w:val="00724C4B"/>
    <w:rsid w:val="00724CAC"/>
    <w:rsid w:val="00724CE5"/>
    <w:rsid w:val="00724CF9"/>
    <w:rsid w:val="00724D08"/>
    <w:rsid w:val="00724E1A"/>
    <w:rsid w:val="00725178"/>
    <w:rsid w:val="007253B4"/>
    <w:rsid w:val="007253F2"/>
    <w:rsid w:val="00725475"/>
    <w:rsid w:val="007254BC"/>
    <w:rsid w:val="00725592"/>
    <w:rsid w:val="0072566C"/>
    <w:rsid w:val="00725726"/>
    <w:rsid w:val="007257E7"/>
    <w:rsid w:val="00725B44"/>
    <w:rsid w:val="00725B91"/>
    <w:rsid w:val="00725CCD"/>
    <w:rsid w:val="00725D52"/>
    <w:rsid w:val="00725F0F"/>
    <w:rsid w:val="00725FF8"/>
    <w:rsid w:val="00726084"/>
    <w:rsid w:val="0072619B"/>
    <w:rsid w:val="007261C4"/>
    <w:rsid w:val="007263A1"/>
    <w:rsid w:val="007263EB"/>
    <w:rsid w:val="00726591"/>
    <w:rsid w:val="007266A3"/>
    <w:rsid w:val="0072675E"/>
    <w:rsid w:val="0072679D"/>
    <w:rsid w:val="007267F2"/>
    <w:rsid w:val="0072688A"/>
    <w:rsid w:val="007268DE"/>
    <w:rsid w:val="00726923"/>
    <w:rsid w:val="007269D2"/>
    <w:rsid w:val="00726A1B"/>
    <w:rsid w:val="00726A94"/>
    <w:rsid w:val="00726BC0"/>
    <w:rsid w:val="00726BEC"/>
    <w:rsid w:val="00726BF1"/>
    <w:rsid w:val="00726C25"/>
    <w:rsid w:val="00726CDC"/>
    <w:rsid w:val="00726CFB"/>
    <w:rsid w:val="00726E9D"/>
    <w:rsid w:val="00726F82"/>
    <w:rsid w:val="007270CF"/>
    <w:rsid w:val="0072720C"/>
    <w:rsid w:val="007273AD"/>
    <w:rsid w:val="007273B0"/>
    <w:rsid w:val="00727538"/>
    <w:rsid w:val="007279CA"/>
    <w:rsid w:val="00727A2D"/>
    <w:rsid w:val="00727AE8"/>
    <w:rsid w:val="00727B90"/>
    <w:rsid w:val="00727C2D"/>
    <w:rsid w:val="00727C76"/>
    <w:rsid w:val="00727E1B"/>
    <w:rsid w:val="00727E94"/>
    <w:rsid w:val="00727FD0"/>
    <w:rsid w:val="00727FDF"/>
    <w:rsid w:val="007300B4"/>
    <w:rsid w:val="00730302"/>
    <w:rsid w:val="00730527"/>
    <w:rsid w:val="00730553"/>
    <w:rsid w:val="007306AA"/>
    <w:rsid w:val="007308E8"/>
    <w:rsid w:val="00730A7C"/>
    <w:rsid w:val="00730BA9"/>
    <w:rsid w:val="00730BC1"/>
    <w:rsid w:val="00730C30"/>
    <w:rsid w:val="00730C53"/>
    <w:rsid w:val="00730C66"/>
    <w:rsid w:val="00730DB8"/>
    <w:rsid w:val="00730F72"/>
    <w:rsid w:val="0073104F"/>
    <w:rsid w:val="007310F8"/>
    <w:rsid w:val="00731340"/>
    <w:rsid w:val="007313C9"/>
    <w:rsid w:val="007313CC"/>
    <w:rsid w:val="00731546"/>
    <w:rsid w:val="00731680"/>
    <w:rsid w:val="0073183F"/>
    <w:rsid w:val="00731942"/>
    <w:rsid w:val="00731A0C"/>
    <w:rsid w:val="00731ADC"/>
    <w:rsid w:val="00731B78"/>
    <w:rsid w:val="00731CA6"/>
    <w:rsid w:val="00731D45"/>
    <w:rsid w:val="00731DC4"/>
    <w:rsid w:val="00731E68"/>
    <w:rsid w:val="00731E79"/>
    <w:rsid w:val="0073211B"/>
    <w:rsid w:val="007321EB"/>
    <w:rsid w:val="007322FC"/>
    <w:rsid w:val="007325D2"/>
    <w:rsid w:val="007326EC"/>
    <w:rsid w:val="0073281D"/>
    <w:rsid w:val="00732CAD"/>
    <w:rsid w:val="00732D43"/>
    <w:rsid w:val="00732E77"/>
    <w:rsid w:val="00732F3E"/>
    <w:rsid w:val="00732FC3"/>
    <w:rsid w:val="007331FD"/>
    <w:rsid w:val="0073324B"/>
    <w:rsid w:val="00733401"/>
    <w:rsid w:val="00733402"/>
    <w:rsid w:val="0073344A"/>
    <w:rsid w:val="00733603"/>
    <w:rsid w:val="00733697"/>
    <w:rsid w:val="007336BD"/>
    <w:rsid w:val="007336CA"/>
    <w:rsid w:val="0073376E"/>
    <w:rsid w:val="0073384B"/>
    <w:rsid w:val="00733875"/>
    <w:rsid w:val="00733A11"/>
    <w:rsid w:val="00733A8C"/>
    <w:rsid w:val="00733A8D"/>
    <w:rsid w:val="00733DCC"/>
    <w:rsid w:val="00733E76"/>
    <w:rsid w:val="00734076"/>
    <w:rsid w:val="00734081"/>
    <w:rsid w:val="0073408B"/>
    <w:rsid w:val="00734096"/>
    <w:rsid w:val="00734162"/>
    <w:rsid w:val="00734262"/>
    <w:rsid w:val="0073430B"/>
    <w:rsid w:val="00734482"/>
    <w:rsid w:val="00734689"/>
    <w:rsid w:val="00734791"/>
    <w:rsid w:val="0073492D"/>
    <w:rsid w:val="00734A99"/>
    <w:rsid w:val="00734AC1"/>
    <w:rsid w:val="00734C1E"/>
    <w:rsid w:val="00734D8F"/>
    <w:rsid w:val="00734DF7"/>
    <w:rsid w:val="00734E11"/>
    <w:rsid w:val="00734E6A"/>
    <w:rsid w:val="00734FB6"/>
    <w:rsid w:val="00735063"/>
    <w:rsid w:val="00735130"/>
    <w:rsid w:val="00735207"/>
    <w:rsid w:val="007352B8"/>
    <w:rsid w:val="007352B9"/>
    <w:rsid w:val="00735444"/>
    <w:rsid w:val="00735474"/>
    <w:rsid w:val="0073572C"/>
    <w:rsid w:val="00735893"/>
    <w:rsid w:val="007358E7"/>
    <w:rsid w:val="00735A0C"/>
    <w:rsid w:val="00735ABC"/>
    <w:rsid w:val="00735C48"/>
    <w:rsid w:val="00735C9B"/>
    <w:rsid w:val="00735CB9"/>
    <w:rsid w:val="00735E04"/>
    <w:rsid w:val="00735E94"/>
    <w:rsid w:val="00735EBA"/>
    <w:rsid w:val="007360E5"/>
    <w:rsid w:val="00736161"/>
    <w:rsid w:val="00736234"/>
    <w:rsid w:val="00736343"/>
    <w:rsid w:val="00736354"/>
    <w:rsid w:val="00736522"/>
    <w:rsid w:val="00736536"/>
    <w:rsid w:val="0073658C"/>
    <w:rsid w:val="007365C7"/>
    <w:rsid w:val="00736696"/>
    <w:rsid w:val="007368B6"/>
    <w:rsid w:val="007368E3"/>
    <w:rsid w:val="00736970"/>
    <w:rsid w:val="00736C03"/>
    <w:rsid w:val="00736EBA"/>
    <w:rsid w:val="00736F20"/>
    <w:rsid w:val="00736F47"/>
    <w:rsid w:val="00736FBA"/>
    <w:rsid w:val="00736FDF"/>
    <w:rsid w:val="00736FFA"/>
    <w:rsid w:val="0073702A"/>
    <w:rsid w:val="00737105"/>
    <w:rsid w:val="007372A8"/>
    <w:rsid w:val="00737373"/>
    <w:rsid w:val="007373E4"/>
    <w:rsid w:val="0073751D"/>
    <w:rsid w:val="00737594"/>
    <w:rsid w:val="007375A8"/>
    <w:rsid w:val="0073766F"/>
    <w:rsid w:val="00737714"/>
    <w:rsid w:val="007377B4"/>
    <w:rsid w:val="0073786F"/>
    <w:rsid w:val="007379E0"/>
    <w:rsid w:val="007379F3"/>
    <w:rsid w:val="00737B3E"/>
    <w:rsid w:val="00737C7D"/>
    <w:rsid w:val="00737DE7"/>
    <w:rsid w:val="0074000F"/>
    <w:rsid w:val="00740114"/>
    <w:rsid w:val="0074018C"/>
    <w:rsid w:val="007401BA"/>
    <w:rsid w:val="007403E2"/>
    <w:rsid w:val="00740585"/>
    <w:rsid w:val="007405A1"/>
    <w:rsid w:val="0074063C"/>
    <w:rsid w:val="00740997"/>
    <w:rsid w:val="007409B8"/>
    <w:rsid w:val="00740AD5"/>
    <w:rsid w:val="00740B2A"/>
    <w:rsid w:val="00740BCC"/>
    <w:rsid w:val="00740CA0"/>
    <w:rsid w:val="0074110D"/>
    <w:rsid w:val="007413D8"/>
    <w:rsid w:val="007415BF"/>
    <w:rsid w:val="00741673"/>
    <w:rsid w:val="007416B8"/>
    <w:rsid w:val="007416D0"/>
    <w:rsid w:val="007417AE"/>
    <w:rsid w:val="007418FF"/>
    <w:rsid w:val="00741920"/>
    <w:rsid w:val="00741968"/>
    <w:rsid w:val="00741AD4"/>
    <w:rsid w:val="00741B38"/>
    <w:rsid w:val="00741BD8"/>
    <w:rsid w:val="00741BFE"/>
    <w:rsid w:val="00741C4A"/>
    <w:rsid w:val="00741C4C"/>
    <w:rsid w:val="007420D5"/>
    <w:rsid w:val="007421D7"/>
    <w:rsid w:val="007421E1"/>
    <w:rsid w:val="00742475"/>
    <w:rsid w:val="00742582"/>
    <w:rsid w:val="00742749"/>
    <w:rsid w:val="007427E9"/>
    <w:rsid w:val="0074293E"/>
    <w:rsid w:val="00742954"/>
    <w:rsid w:val="00742B2D"/>
    <w:rsid w:val="00742B86"/>
    <w:rsid w:val="00742BB6"/>
    <w:rsid w:val="00742D14"/>
    <w:rsid w:val="00742DBA"/>
    <w:rsid w:val="00742DDF"/>
    <w:rsid w:val="00742F39"/>
    <w:rsid w:val="00742FE4"/>
    <w:rsid w:val="00743133"/>
    <w:rsid w:val="00743135"/>
    <w:rsid w:val="00743138"/>
    <w:rsid w:val="007431F3"/>
    <w:rsid w:val="0074322C"/>
    <w:rsid w:val="0074332F"/>
    <w:rsid w:val="00743555"/>
    <w:rsid w:val="00743632"/>
    <w:rsid w:val="00743865"/>
    <w:rsid w:val="007438C5"/>
    <w:rsid w:val="007438DD"/>
    <w:rsid w:val="007439C6"/>
    <w:rsid w:val="00743A0E"/>
    <w:rsid w:val="00743A70"/>
    <w:rsid w:val="00743BD4"/>
    <w:rsid w:val="00743BF6"/>
    <w:rsid w:val="00743EE9"/>
    <w:rsid w:val="00744627"/>
    <w:rsid w:val="00744630"/>
    <w:rsid w:val="00744887"/>
    <w:rsid w:val="007448F4"/>
    <w:rsid w:val="00744993"/>
    <w:rsid w:val="00744A3E"/>
    <w:rsid w:val="00744AD0"/>
    <w:rsid w:val="00744BF0"/>
    <w:rsid w:val="00744DC7"/>
    <w:rsid w:val="00744DD3"/>
    <w:rsid w:val="00744EED"/>
    <w:rsid w:val="00744EFE"/>
    <w:rsid w:val="00744F5A"/>
    <w:rsid w:val="00745065"/>
    <w:rsid w:val="00745669"/>
    <w:rsid w:val="0074574B"/>
    <w:rsid w:val="007457CA"/>
    <w:rsid w:val="0074586F"/>
    <w:rsid w:val="00745911"/>
    <w:rsid w:val="007459AD"/>
    <w:rsid w:val="00745A0F"/>
    <w:rsid w:val="00745A94"/>
    <w:rsid w:val="00745ACA"/>
    <w:rsid w:val="00745B45"/>
    <w:rsid w:val="00745C4A"/>
    <w:rsid w:val="00745E7B"/>
    <w:rsid w:val="00745FF2"/>
    <w:rsid w:val="00746352"/>
    <w:rsid w:val="007463ED"/>
    <w:rsid w:val="00746418"/>
    <w:rsid w:val="007464DC"/>
    <w:rsid w:val="00746583"/>
    <w:rsid w:val="00746622"/>
    <w:rsid w:val="007466B6"/>
    <w:rsid w:val="0074684D"/>
    <w:rsid w:val="0074685F"/>
    <w:rsid w:val="00746965"/>
    <w:rsid w:val="00746D37"/>
    <w:rsid w:val="00746F05"/>
    <w:rsid w:val="0074703F"/>
    <w:rsid w:val="00747044"/>
    <w:rsid w:val="007470B2"/>
    <w:rsid w:val="00747215"/>
    <w:rsid w:val="00747512"/>
    <w:rsid w:val="007475CC"/>
    <w:rsid w:val="0074768D"/>
    <w:rsid w:val="007477BC"/>
    <w:rsid w:val="0074786B"/>
    <w:rsid w:val="0074790A"/>
    <w:rsid w:val="00747ACA"/>
    <w:rsid w:val="00747B80"/>
    <w:rsid w:val="00747C06"/>
    <w:rsid w:val="00747C4D"/>
    <w:rsid w:val="00747D39"/>
    <w:rsid w:val="00747F0C"/>
    <w:rsid w:val="00747F92"/>
    <w:rsid w:val="00747FC6"/>
    <w:rsid w:val="007500AC"/>
    <w:rsid w:val="00750226"/>
    <w:rsid w:val="0075034F"/>
    <w:rsid w:val="007503CE"/>
    <w:rsid w:val="0075042A"/>
    <w:rsid w:val="00750451"/>
    <w:rsid w:val="0075049F"/>
    <w:rsid w:val="00750605"/>
    <w:rsid w:val="00750664"/>
    <w:rsid w:val="00750845"/>
    <w:rsid w:val="007508C6"/>
    <w:rsid w:val="00750936"/>
    <w:rsid w:val="00750D2F"/>
    <w:rsid w:val="00750E18"/>
    <w:rsid w:val="007511FB"/>
    <w:rsid w:val="007513F8"/>
    <w:rsid w:val="00751461"/>
    <w:rsid w:val="0075157D"/>
    <w:rsid w:val="00751AA8"/>
    <w:rsid w:val="00751B10"/>
    <w:rsid w:val="00751B65"/>
    <w:rsid w:val="00751CB0"/>
    <w:rsid w:val="00751D17"/>
    <w:rsid w:val="00751DCF"/>
    <w:rsid w:val="00751E57"/>
    <w:rsid w:val="0075200C"/>
    <w:rsid w:val="00752057"/>
    <w:rsid w:val="0075211E"/>
    <w:rsid w:val="00752197"/>
    <w:rsid w:val="007521E3"/>
    <w:rsid w:val="007521F6"/>
    <w:rsid w:val="007523AB"/>
    <w:rsid w:val="00752544"/>
    <w:rsid w:val="00752744"/>
    <w:rsid w:val="007528D5"/>
    <w:rsid w:val="007529E1"/>
    <w:rsid w:val="00752B34"/>
    <w:rsid w:val="00752CAF"/>
    <w:rsid w:val="00752CB0"/>
    <w:rsid w:val="00752CEF"/>
    <w:rsid w:val="00752D9F"/>
    <w:rsid w:val="00752E11"/>
    <w:rsid w:val="00752E35"/>
    <w:rsid w:val="00752F63"/>
    <w:rsid w:val="00753124"/>
    <w:rsid w:val="007531CA"/>
    <w:rsid w:val="00753235"/>
    <w:rsid w:val="007532B3"/>
    <w:rsid w:val="0075330E"/>
    <w:rsid w:val="00753316"/>
    <w:rsid w:val="0075343D"/>
    <w:rsid w:val="00753454"/>
    <w:rsid w:val="00753499"/>
    <w:rsid w:val="007535FA"/>
    <w:rsid w:val="007536C8"/>
    <w:rsid w:val="0075375A"/>
    <w:rsid w:val="007538BD"/>
    <w:rsid w:val="007539C3"/>
    <w:rsid w:val="007539D1"/>
    <w:rsid w:val="00753AE2"/>
    <w:rsid w:val="00753B93"/>
    <w:rsid w:val="00753E4F"/>
    <w:rsid w:val="00753E61"/>
    <w:rsid w:val="00754144"/>
    <w:rsid w:val="00754331"/>
    <w:rsid w:val="007543EB"/>
    <w:rsid w:val="007544F9"/>
    <w:rsid w:val="007545E3"/>
    <w:rsid w:val="0075465C"/>
    <w:rsid w:val="0075472B"/>
    <w:rsid w:val="00754764"/>
    <w:rsid w:val="007547D8"/>
    <w:rsid w:val="00754877"/>
    <w:rsid w:val="007548C2"/>
    <w:rsid w:val="00754C37"/>
    <w:rsid w:val="00754FB7"/>
    <w:rsid w:val="007551FF"/>
    <w:rsid w:val="00755359"/>
    <w:rsid w:val="00755554"/>
    <w:rsid w:val="007555EC"/>
    <w:rsid w:val="00755657"/>
    <w:rsid w:val="00755784"/>
    <w:rsid w:val="0075582E"/>
    <w:rsid w:val="007558F5"/>
    <w:rsid w:val="0075599A"/>
    <w:rsid w:val="00755A55"/>
    <w:rsid w:val="00755D11"/>
    <w:rsid w:val="00755E2B"/>
    <w:rsid w:val="00755EA3"/>
    <w:rsid w:val="00755FF9"/>
    <w:rsid w:val="00756124"/>
    <w:rsid w:val="0075613B"/>
    <w:rsid w:val="0075633C"/>
    <w:rsid w:val="00756346"/>
    <w:rsid w:val="0075638C"/>
    <w:rsid w:val="0075647F"/>
    <w:rsid w:val="007565D9"/>
    <w:rsid w:val="00756605"/>
    <w:rsid w:val="007568E8"/>
    <w:rsid w:val="00756952"/>
    <w:rsid w:val="00756963"/>
    <w:rsid w:val="00756A56"/>
    <w:rsid w:val="00756B7D"/>
    <w:rsid w:val="00756BB0"/>
    <w:rsid w:val="00756C8C"/>
    <w:rsid w:val="00756CE8"/>
    <w:rsid w:val="00756D61"/>
    <w:rsid w:val="00756D8D"/>
    <w:rsid w:val="00756DCE"/>
    <w:rsid w:val="0075701D"/>
    <w:rsid w:val="007570EE"/>
    <w:rsid w:val="007571C8"/>
    <w:rsid w:val="0075721D"/>
    <w:rsid w:val="00757466"/>
    <w:rsid w:val="007574D2"/>
    <w:rsid w:val="00757595"/>
    <w:rsid w:val="007575C8"/>
    <w:rsid w:val="00757614"/>
    <w:rsid w:val="00757674"/>
    <w:rsid w:val="0075772A"/>
    <w:rsid w:val="00757779"/>
    <w:rsid w:val="007577C7"/>
    <w:rsid w:val="0075782C"/>
    <w:rsid w:val="00757889"/>
    <w:rsid w:val="00757A08"/>
    <w:rsid w:val="00757A20"/>
    <w:rsid w:val="00757A60"/>
    <w:rsid w:val="00757AA7"/>
    <w:rsid w:val="00757C08"/>
    <w:rsid w:val="00757C61"/>
    <w:rsid w:val="00757D88"/>
    <w:rsid w:val="00757D8C"/>
    <w:rsid w:val="007600A7"/>
    <w:rsid w:val="00760330"/>
    <w:rsid w:val="007603EC"/>
    <w:rsid w:val="007605B6"/>
    <w:rsid w:val="00760689"/>
    <w:rsid w:val="0076077F"/>
    <w:rsid w:val="007607EE"/>
    <w:rsid w:val="007607F1"/>
    <w:rsid w:val="00760811"/>
    <w:rsid w:val="00760815"/>
    <w:rsid w:val="00760844"/>
    <w:rsid w:val="00760851"/>
    <w:rsid w:val="007608C2"/>
    <w:rsid w:val="00760904"/>
    <w:rsid w:val="0076098B"/>
    <w:rsid w:val="00760A3B"/>
    <w:rsid w:val="00760A3F"/>
    <w:rsid w:val="00760B3F"/>
    <w:rsid w:val="00760CAD"/>
    <w:rsid w:val="00760CB8"/>
    <w:rsid w:val="00760D5D"/>
    <w:rsid w:val="00760DF9"/>
    <w:rsid w:val="00760DFC"/>
    <w:rsid w:val="00760E92"/>
    <w:rsid w:val="00760F5E"/>
    <w:rsid w:val="00761175"/>
    <w:rsid w:val="00761185"/>
    <w:rsid w:val="007611BB"/>
    <w:rsid w:val="00761261"/>
    <w:rsid w:val="00761273"/>
    <w:rsid w:val="0076146B"/>
    <w:rsid w:val="007614C9"/>
    <w:rsid w:val="0076159C"/>
    <w:rsid w:val="007616D5"/>
    <w:rsid w:val="0076181A"/>
    <w:rsid w:val="007618BD"/>
    <w:rsid w:val="007618EF"/>
    <w:rsid w:val="007618F5"/>
    <w:rsid w:val="00761982"/>
    <w:rsid w:val="007619CD"/>
    <w:rsid w:val="00761B5C"/>
    <w:rsid w:val="00761BEA"/>
    <w:rsid w:val="00761BF7"/>
    <w:rsid w:val="00761D03"/>
    <w:rsid w:val="00761D98"/>
    <w:rsid w:val="00761F32"/>
    <w:rsid w:val="00762020"/>
    <w:rsid w:val="007620F2"/>
    <w:rsid w:val="00762183"/>
    <w:rsid w:val="007621FE"/>
    <w:rsid w:val="007622DD"/>
    <w:rsid w:val="00762535"/>
    <w:rsid w:val="00762572"/>
    <w:rsid w:val="0076265E"/>
    <w:rsid w:val="00762690"/>
    <w:rsid w:val="007627E1"/>
    <w:rsid w:val="007628B8"/>
    <w:rsid w:val="007629E5"/>
    <w:rsid w:val="00762CA2"/>
    <w:rsid w:val="00762D5A"/>
    <w:rsid w:val="00762DE3"/>
    <w:rsid w:val="00762E33"/>
    <w:rsid w:val="00762E4B"/>
    <w:rsid w:val="00762F90"/>
    <w:rsid w:val="00763135"/>
    <w:rsid w:val="0076313C"/>
    <w:rsid w:val="007632B9"/>
    <w:rsid w:val="0076333F"/>
    <w:rsid w:val="007633B8"/>
    <w:rsid w:val="007633DC"/>
    <w:rsid w:val="0076347B"/>
    <w:rsid w:val="007634DF"/>
    <w:rsid w:val="007635AD"/>
    <w:rsid w:val="00763755"/>
    <w:rsid w:val="007637E3"/>
    <w:rsid w:val="0076389B"/>
    <w:rsid w:val="007638C6"/>
    <w:rsid w:val="0076393A"/>
    <w:rsid w:val="00763A54"/>
    <w:rsid w:val="00763AA3"/>
    <w:rsid w:val="00763AB3"/>
    <w:rsid w:val="00763B0A"/>
    <w:rsid w:val="00763D2F"/>
    <w:rsid w:val="00763DDD"/>
    <w:rsid w:val="00763E51"/>
    <w:rsid w:val="00763E55"/>
    <w:rsid w:val="007640AC"/>
    <w:rsid w:val="00764290"/>
    <w:rsid w:val="007643AD"/>
    <w:rsid w:val="007643EC"/>
    <w:rsid w:val="0076459C"/>
    <w:rsid w:val="007645AD"/>
    <w:rsid w:val="0076471E"/>
    <w:rsid w:val="0076476E"/>
    <w:rsid w:val="00764935"/>
    <w:rsid w:val="00764957"/>
    <w:rsid w:val="00764A51"/>
    <w:rsid w:val="00764A9D"/>
    <w:rsid w:val="00764D79"/>
    <w:rsid w:val="00764DBB"/>
    <w:rsid w:val="007650AC"/>
    <w:rsid w:val="007651AE"/>
    <w:rsid w:val="00765667"/>
    <w:rsid w:val="00765757"/>
    <w:rsid w:val="00765766"/>
    <w:rsid w:val="0076578D"/>
    <w:rsid w:val="007659C6"/>
    <w:rsid w:val="00765A50"/>
    <w:rsid w:val="00765AC7"/>
    <w:rsid w:val="00765BB3"/>
    <w:rsid w:val="00765CA9"/>
    <w:rsid w:val="00765D57"/>
    <w:rsid w:val="00765E2E"/>
    <w:rsid w:val="00765F0A"/>
    <w:rsid w:val="00766038"/>
    <w:rsid w:val="00766575"/>
    <w:rsid w:val="007666B7"/>
    <w:rsid w:val="007667E3"/>
    <w:rsid w:val="00766B19"/>
    <w:rsid w:val="00766B21"/>
    <w:rsid w:val="00766B49"/>
    <w:rsid w:val="00766CB8"/>
    <w:rsid w:val="00766D59"/>
    <w:rsid w:val="00766D91"/>
    <w:rsid w:val="00766DDD"/>
    <w:rsid w:val="00766E90"/>
    <w:rsid w:val="00767027"/>
    <w:rsid w:val="00767136"/>
    <w:rsid w:val="0076722A"/>
    <w:rsid w:val="007672E4"/>
    <w:rsid w:val="0076735E"/>
    <w:rsid w:val="007676C8"/>
    <w:rsid w:val="00767C9D"/>
    <w:rsid w:val="00767DA4"/>
    <w:rsid w:val="00767DB2"/>
    <w:rsid w:val="00767E1C"/>
    <w:rsid w:val="00767EEB"/>
    <w:rsid w:val="00767F93"/>
    <w:rsid w:val="00767FBC"/>
    <w:rsid w:val="00770061"/>
    <w:rsid w:val="00770297"/>
    <w:rsid w:val="007703EC"/>
    <w:rsid w:val="007704E2"/>
    <w:rsid w:val="0077060E"/>
    <w:rsid w:val="00770676"/>
    <w:rsid w:val="00770731"/>
    <w:rsid w:val="0077091D"/>
    <w:rsid w:val="00770D86"/>
    <w:rsid w:val="00770D9A"/>
    <w:rsid w:val="00770DF6"/>
    <w:rsid w:val="00770F0D"/>
    <w:rsid w:val="00770FDF"/>
    <w:rsid w:val="00770FF9"/>
    <w:rsid w:val="0077100E"/>
    <w:rsid w:val="00771019"/>
    <w:rsid w:val="00771081"/>
    <w:rsid w:val="007710A3"/>
    <w:rsid w:val="0077112D"/>
    <w:rsid w:val="00771130"/>
    <w:rsid w:val="007711BD"/>
    <w:rsid w:val="007712CF"/>
    <w:rsid w:val="0077134D"/>
    <w:rsid w:val="00771365"/>
    <w:rsid w:val="00771386"/>
    <w:rsid w:val="007713B7"/>
    <w:rsid w:val="00771460"/>
    <w:rsid w:val="007716E8"/>
    <w:rsid w:val="00771758"/>
    <w:rsid w:val="007717C4"/>
    <w:rsid w:val="00771865"/>
    <w:rsid w:val="0077188E"/>
    <w:rsid w:val="007718C7"/>
    <w:rsid w:val="00771960"/>
    <w:rsid w:val="007719B6"/>
    <w:rsid w:val="007719FB"/>
    <w:rsid w:val="00771A77"/>
    <w:rsid w:val="00771B60"/>
    <w:rsid w:val="00771C47"/>
    <w:rsid w:val="00771DAB"/>
    <w:rsid w:val="00771DC6"/>
    <w:rsid w:val="00771E3C"/>
    <w:rsid w:val="00771E5A"/>
    <w:rsid w:val="00771F60"/>
    <w:rsid w:val="00772011"/>
    <w:rsid w:val="007720F5"/>
    <w:rsid w:val="00772140"/>
    <w:rsid w:val="0077230B"/>
    <w:rsid w:val="00772735"/>
    <w:rsid w:val="007727DF"/>
    <w:rsid w:val="0077285D"/>
    <w:rsid w:val="00772892"/>
    <w:rsid w:val="00772A99"/>
    <w:rsid w:val="00772B95"/>
    <w:rsid w:val="00772C41"/>
    <w:rsid w:val="00772DDB"/>
    <w:rsid w:val="00772E38"/>
    <w:rsid w:val="00772EA0"/>
    <w:rsid w:val="00772F43"/>
    <w:rsid w:val="007730C7"/>
    <w:rsid w:val="007730C8"/>
    <w:rsid w:val="00773106"/>
    <w:rsid w:val="0077331C"/>
    <w:rsid w:val="0077343E"/>
    <w:rsid w:val="007734A0"/>
    <w:rsid w:val="0077350C"/>
    <w:rsid w:val="00773607"/>
    <w:rsid w:val="00773613"/>
    <w:rsid w:val="00773763"/>
    <w:rsid w:val="007737EE"/>
    <w:rsid w:val="00773A9D"/>
    <w:rsid w:val="00773AEC"/>
    <w:rsid w:val="00773BF7"/>
    <w:rsid w:val="00773D7F"/>
    <w:rsid w:val="00773DA4"/>
    <w:rsid w:val="00773DF5"/>
    <w:rsid w:val="00773EFF"/>
    <w:rsid w:val="00773F28"/>
    <w:rsid w:val="00773F63"/>
    <w:rsid w:val="00773F8A"/>
    <w:rsid w:val="00773FD7"/>
    <w:rsid w:val="00774160"/>
    <w:rsid w:val="0077417D"/>
    <w:rsid w:val="0077420A"/>
    <w:rsid w:val="0077420D"/>
    <w:rsid w:val="00774242"/>
    <w:rsid w:val="00774315"/>
    <w:rsid w:val="0077432F"/>
    <w:rsid w:val="00774377"/>
    <w:rsid w:val="007743D5"/>
    <w:rsid w:val="007743EB"/>
    <w:rsid w:val="00774425"/>
    <w:rsid w:val="0077453A"/>
    <w:rsid w:val="007745DB"/>
    <w:rsid w:val="007745E5"/>
    <w:rsid w:val="007745EE"/>
    <w:rsid w:val="00774608"/>
    <w:rsid w:val="00774686"/>
    <w:rsid w:val="00774741"/>
    <w:rsid w:val="00774802"/>
    <w:rsid w:val="00774873"/>
    <w:rsid w:val="00774961"/>
    <w:rsid w:val="00774BBD"/>
    <w:rsid w:val="00774C10"/>
    <w:rsid w:val="00774CDA"/>
    <w:rsid w:val="00774CEE"/>
    <w:rsid w:val="00774DA8"/>
    <w:rsid w:val="00774E3C"/>
    <w:rsid w:val="00774E59"/>
    <w:rsid w:val="00774FC8"/>
    <w:rsid w:val="00775031"/>
    <w:rsid w:val="00775124"/>
    <w:rsid w:val="00775205"/>
    <w:rsid w:val="0077531A"/>
    <w:rsid w:val="00775460"/>
    <w:rsid w:val="007754C4"/>
    <w:rsid w:val="00775652"/>
    <w:rsid w:val="00775673"/>
    <w:rsid w:val="007757C0"/>
    <w:rsid w:val="007757D0"/>
    <w:rsid w:val="00775A3C"/>
    <w:rsid w:val="00775AFB"/>
    <w:rsid w:val="00775B67"/>
    <w:rsid w:val="00775BC9"/>
    <w:rsid w:val="00775CD4"/>
    <w:rsid w:val="00775D0D"/>
    <w:rsid w:val="00775D35"/>
    <w:rsid w:val="00775D3A"/>
    <w:rsid w:val="00775D6E"/>
    <w:rsid w:val="00775E35"/>
    <w:rsid w:val="007760A3"/>
    <w:rsid w:val="00776373"/>
    <w:rsid w:val="00776474"/>
    <w:rsid w:val="007764AA"/>
    <w:rsid w:val="007764CB"/>
    <w:rsid w:val="007765D4"/>
    <w:rsid w:val="00776694"/>
    <w:rsid w:val="007768E8"/>
    <w:rsid w:val="00776A2C"/>
    <w:rsid w:val="00776B17"/>
    <w:rsid w:val="00776B72"/>
    <w:rsid w:val="00776BAD"/>
    <w:rsid w:val="00776BAE"/>
    <w:rsid w:val="00776C82"/>
    <w:rsid w:val="00776D0D"/>
    <w:rsid w:val="00776DDF"/>
    <w:rsid w:val="00776F0E"/>
    <w:rsid w:val="00776F69"/>
    <w:rsid w:val="00776FE1"/>
    <w:rsid w:val="0077704F"/>
    <w:rsid w:val="0077709D"/>
    <w:rsid w:val="007771ED"/>
    <w:rsid w:val="007772B8"/>
    <w:rsid w:val="00777574"/>
    <w:rsid w:val="007775EE"/>
    <w:rsid w:val="007776C3"/>
    <w:rsid w:val="00777902"/>
    <w:rsid w:val="00777D39"/>
    <w:rsid w:val="00777DE5"/>
    <w:rsid w:val="00777E75"/>
    <w:rsid w:val="00777F35"/>
    <w:rsid w:val="00777F8D"/>
    <w:rsid w:val="0078001B"/>
    <w:rsid w:val="00780111"/>
    <w:rsid w:val="007801A4"/>
    <w:rsid w:val="0078030E"/>
    <w:rsid w:val="00780389"/>
    <w:rsid w:val="0078047E"/>
    <w:rsid w:val="007805C3"/>
    <w:rsid w:val="007805E0"/>
    <w:rsid w:val="007808A2"/>
    <w:rsid w:val="00780A09"/>
    <w:rsid w:val="00780AAF"/>
    <w:rsid w:val="00780EFC"/>
    <w:rsid w:val="0078110D"/>
    <w:rsid w:val="00781164"/>
    <w:rsid w:val="007813AE"/>
    <w:rsid w:val="00781518"/>
    <w:rsid w:val="007815AF"/>
    <w:rsid w:val="007817FC"/>
    <w:rsid w:val="00781804"/>
    <w:rsid w:val="007818A4"/>
    <w:rsid w:val="00781975"/>
    <w:rsid w:val="00781A02"/>
    <w:rsid w:val="00781A3B"/>
    <w:rsid w:val="00781EB9"/>
    <w:rsid w:val="0078219A"/>
    <w:rsid w:val="0078223D"/>
    <w:rsid w:val="00782260"/>
    <w:rsid w:val="0078231C"/>
    <w:rsid w:val="00782477"/>
    <w:rsid w:val="007827C9"/>
    <w:rsid w:val="00782895"/>
    <w:rsid w:val="0078296E"/>
    <w:rsid w:val="007829DA"/>
    <w:rsid w:val="00782A10"/>
    <w:rsid w:val="00782C1A"/>
    <w:rsid w:val="00782DE2"/>
    <w:rsid w:val="00782F1C"/>
    <w:rsid w:val="00782F83"/>
    <w:rsid w:val="00783007"/>
    <w:rsid w:val="007831F0"/>
    <w:rsid w:val="007832A1"/>
    <w:rsid w:val="00783304"/>
    <w:rsid w:val="00783308"/>
    <w:rsid w:val="00783481"/>
    <w:rsid w:val="0078351C"/>
    <w:rsid w:val="0078373D"/>
    <w:rsid w:val="0078381A"/>
    <w:rsid w:val="0078381D"/>
    <w:rsid w:val="0078388D"/>
    <w:rsid w:val="007839FB"/>
    <w:rsid w:val="00783AA0"/>
    <w:rsid w:val="00783B66"/>
    <w:rsid w:val="00783BC9"/>
    <w:rsid w:val="00783CB8"/>
    <w:rsid w:val="00783D49"/>
    <w:rsid w:val="00783D4B"/>
    <w:rsid w:val="00783E05"/>
    <w:rsid w:val="00783E56"/>
    <w:rsid w:val="00783E8D"/>
    <w:rsid w:val="00783EB2"/>
    <w:rsid w:val="00784009"/>
    <w:rsid w:val="00784050"/>
    <w:rsid w:val="00784063"/>
    <w:rsid w:val="00784181"/>
    <w:rsid w:val="007842C4"/>
    <w:rsid w:val="00784368"/>
    <w:rsid w:val="0078445C"/>
    <w:rsid w:val="00784464"/>
    <w:rsid w:val="0078446E"/>
    <w:rsid w:val="0078449B"/>
    <w:rsid w:val="007844A0"/>
    <w:rsid w:val="00784642"/>
    <w:rsid w:val="0078469E"/>
    <w:rsid w:val="007847CB"/>
    <w:rsid w:val="0078483D"/>
    <w:rsid w:val="00784984"/>
    <w:rsid w:val="007849F0"/>
    <w:rsid w:val="00784B8A"/>
    <w:rsid w:val="00784B96"/>
    <w:rsid w:val="00784C2B"/>
    <w:rsid w:val="00784CCB"/>
    <w:rsid w:val="00784DCB"/>
    <w:rsid w:val="00784E6C"/>
    <w:rsid w:val="00784E73"/>
    <w:rsid w:val="00784FAA"/>
    <w:rsid w:val="007851BC"/>
    <w:rsid w:val="007851DE"/>
    <w:rsid w:val="007852D1"/>
    <w:rsid w:val="007853F6"/>
    <w:rsid w:val="00785451"/>
    <w:rsid w:val="00785499"/>
    <w:rsid w:val="00785714"/>
    <w:rsid w:val="00785844"/>
    <w:rsid w:val="00785AE0"/>
    <w:rsid w:val="00785AF9"/>
    <w:rsid w:val="00785C0F"/>
    <w:rsid w:val="007860C3"/>
    <w:rsid w:val="007863AC"/>
    <w:rsid w:val="00786524"/>
    <w:rsid w:val="00786675"/>
    <w:rsid w:val="007866B3"/>
    <w:rsid w:val="007866FC"/>
    <w:rsid w:val="0078682D"/>
    <w:rsid w:val="007868FC"/>
    <w:rsid w:val="007869C6"/>
    <w:rsid w:val="007869EE"/>
    <w:rsid w:val="00786AB8"/>
    <w:rsid w:val="00786B4C"/>
    <w:rsid w:val="00786C08"/>
    <w:rsid w:val="00786C90"/>
    <w:rsid w:val="00786D99"/>
    <w:rsid w:val="00786DD2"/>
    <w:rsid w:val="00786F3C"/>
    <w:rsid w:val="007870C8"/>
    <w:rsid w:val="00787148"/>
    <w:rsid w:val="007872A3"/>
    <w:rsid w:val="0078737A"/>
    <w:rsid w:val="00787489"/>
    <w:rsid w:val="007875A4"/>
    <w:rsid w:val="007876E2"/>
    <w:rsid w:val="00787817"/>
    <w:rsid w:val="007878AA"/>
    <w:rsid w:val="007879DA"/>
    <w:rsid w:val="00787ACC"/>
    <w:rsid w:val="00787B47"/>
    <w:rsid w:val="00787B63"/>
    <w:rsid w:val="00787B9D"/>
    <w:rsid w:val="00787CE3"/>
    <w:rsid w:val="00787E54"/>
    <w:rsid w:val="00787ED3"/>
    <w:rsid w:val="00787EE1"/>
    <w:rsid w:val="00787EF2"/>
    <w:rsid w:val="00787EF6"/>
    <w:rsid w:val="00787F6F"/>
    <w:rsid w:val="00787FF9"/>
    <w:rsid w:val="007900B6"/>
    <w:rsid w:val="00790116"/>
    <w:rsid w:val="007901DE"/>
    <w:rsid w:val="00790240"/>
    <w:rsid w:val="00790309"/>
    <w:rsid w:val="00790381"/>
    <w:rsid w:val="007903C4"/>
    <w:rsid w:val="007904F9"/>
    <w:rsid w:val="0079055E"/>
    <w:rsid w:val="007905A6"/>
    <w:rsid w:val="007906AE"/>
    <w:rsid w:val="00790872"/>
    <w:rsid w:val="00790A65"/>
    <w:rsid w:val="00790A6E"/>
    <w:rsid w:val="00790C93"/>
    <w:rsid w:val="00790C96"/>
    <w:rsid w:val="00790D68"/>
    <w:rsid w:val="00790E25"/>
    <w:rsid w:val="00790E27"/>
    <w:rsid w:val="007910F6"/>
    <w:rsid w:val="007911A4"/>
    <w:rsid w:val="007911E1"/>
    <w:rsid w:val="00791274"/>
    <w:rsid w:val="007912A4"/>
    <w:rsid w:val="007913F4"/>
    <w:rsid w:val="00791804"/>
    <w:rsid w:val="00791831"/>
    <w:rsid w:val="00791853"/>
    <w:rsid w:val="007918CF"/>
    <w:rsid w:val="00791985"/>
    <w:rsid w:val="00791A75"/>
    <w:rsid w:val="00791B70"/>
    <w:rsid w:val="00791B98"/>
    <w:rsid w:val="00791E1F"/>
    <w:rsid w:val="00791E21"/>
    <w:rsid w:val="00791E31"/>
    <w:rsid w:val="00791F9E"/>
    <w:rsid w:val="0079224C"/>
    <w:rsid w:val="007923F7"/>
    <w:rsid w:val="007924F1"/>
    <w:rsid w:val="0079250A"/>
    <w:rsid w:val="00792569"/>
    <w:rsid w:val="00792791"/>
    <w:rsid w:val="0079297C"/>
    <w:rsid w:val="007929DA"/>
    <w:rsid w:val="00792DBB"/>
    <w:rsid w:val="00792ECC"/>
    <w:rsid w:val="00792F14"/>
    <w:rsid w:val="00792F43"/>
    <w:rsid w:val="00793080"/>
    <w:rsid w:val="0079318A"/>
    <w:rsid w:val="00793266"/>
    <w:rsid w:val="00793267"/>
    <w:rsid w:val="007932F3"/>
    <w:rsid w:val="007934BB"/>
    <w:rsid w:val="00793515"/>
    <w:rsid w:val="007935DE"/>
    <w:rsid w:val="0079361A"/>
    <w:rsid w:val="0079363F"/>
    <w:rsid w:val="00793695"/>
    <w:rsid w:val="007936FA"/>
    <w:rsid w:val="00793769"/>
    <w:rsid w:val="00793B6F"/>
    <w:rsid w:val="00793BC9"/>
    <w:rsid w:val="00793C9C"/>
    <w:rsid w:val="00793CD7"/>
    <w:rsid w:val="00793F2C"/>
    <w:rsid w:val="00793FA4"/>
    <w:rsid w:val="007940EE"/>
    <w:rsid w:val="0079423E"/>
    <w:rsid w:val="0079438A"/>
    <w:rsid w:val="0079439D"/>
    <w:rsid w:val="00794402"/>
    <w:rsid w:val="00794424"/>
    <w:rsid w:val="00794425"/>
    <w:rsid w:val="00794428"/>
    <w:rsid w:val="0079442E"/>
    <w:rsid w:val="0079457D"/>
    <w:rsid w:val="00794756"/>
    <w:rsid w:val="007948B8"/>
    <w:rsid w:val="00794938"/>
    <w:rsid w:val="00794A47"/>
    <w:rsid w:val="00794A7C"/>
    <w:rsid w:val="00794AAE"/>
    <w:rsid w:val="00794AC6"/>
    <w:rsid w:val="00794B42"/>
    <w:rsid w:val="00794B54"/>
    <w:rsid w:val="00794CC0"/>
    <w:rsid w:val="00794D2B"/>
    <w:rsid w:val="00794D2F"/>
    <w:rsid w:val="00794DB1"/>
    <w:rsid w:val="00794DFE"/>
    <w:rsid w:val="00794E69"/>
    <w:rsid w:val="00794E6A"/>
    <w:rsid w:val="00794ECE"/>
    <w:rsid w:val="00794F13"/>
    <w:rsid w:val="00794F9D"/>
    <w:rsid w:val="00795037"/>
    <w:rsid w:val="007952FE"/>
    <w:rsid w:val="00795435"/>
    <w:rsid w:val="007954D1"/>
    <w:rsid w:val="00795547"/>
    <w:rsid w:val="00795575"/>
    <w:rsid w:val="007956C2"/>
    <w:rsid w:val="00795977"/>
    <w:rsid w:val="007959C8"/>
    <w:rsid w:val="00795A3F"/>
    <w:rsid w:val="00795C45"/>
    <w:rsid w:val="00795D17"/>
    <w:rsid w:val="00795D42"/>
    <w:rsid w:val="00795E8F"/>
    <w:rsid w:val="0079607C"/>
    <w:rsid w:val="0079618C"/>
    <w:rsid w:val="007961F1"/>
    <w:rsid w:val="0079623E"/>
    <w:rsid w:val="007962A3"/>
    <w:rsid w:val="00796333"/>
    <w:rsid w:val="00796446"/>
    <w:rsid w:val="0079668D"/>
    <w:rsid w:val="00796870"/>
    <w:rsid w:val="007968B7"/>
    <w:rsid w:val="00796C73"/>
    <w:rsid w:val="00796D81"/>
    <w:rsid w:val="00796D8E"/>
    <w:rsid w:val="00796F3A"/>
    <w:rsid w:val="00796FCE"/>
    <w:rsid w:val="007971B3"/>
    <w:rsid w:val="0079723A"/>
    <w:rsid w:val="007972BE"/>
    <w:rsid w:val="0079771F"/>
    <w:rsid w:val="00797742"/>
    <w:rsid w:val="00797C5F"/>
    <w:rsid w:val="00797C6B"/>
    <w:rsid w:val="00797E62"/>
    <w:rsid w:val="00797F3B"/>
    <w:rsid w:val="007A00CB"/>
    <w:rsid w:val="007A027B"/>
    <w:rsid w:val="007A063E"/>
    <w:rsid w:val="007A079A"/>
    <w:rsid w:val="007A0A47"/>
    <w:rsid w:val="007A0A7A"/>
    <w:rsid w:val="007A0A84"/>
    <w:rsid w:val="007A0AE7"/>
    <w:rsid w:val="007A0AEF"/>
    <w:rsid w:val="007A0B25"/>
    <w:rsid w:val="007A1155"/>
    <w:rsid w:val="007A1185"/>
    <w:rsid w:val="007A1263"/>
    <w:rsid w:val="007A12AA"/>
    <w:rsid w:val="007A1414"/>
    <w:rsid w:val="007A163A"/>
    <w:rsid w:val="007A1680"/>
    <w:rsid w:val="007A16BC"/>
    <w:rsid w:val="007A1742"/>
    <w:rsid w:val="007A1914"/>
    <w:rsid w:val="007A19C4"/>
    <w:rsid w:val="007A1C31"/>
    <w:rsid w:val="007A1C76"/>
    <w:rsid w:val="007A1C86"/>
    <w:rsid w:val="007A1DFC"/>
    <w:rsid w:val="007A1E6F"/>
    <w:rsid w:val="007A1EAD"/>
    <w:rsid w:val="007A1F73"/>
    <w:rsid w:val="007A21A4"/>
    <w:rsid w:val="007A21AA"/>
    <w:rsid w:val="007A22D6"/>
    <w:rsid w:val="007A23AF"/>
    <w:rsid w:val="007A26B4"/>
    <w:rsid w:val="007A2798"/>
    <w:rsid w:val="007A28D0"/>
    <w:rsid w:val="007A2937"/>
    <w:rsid w:val="007A29C8"/>
    <w:rsid w:val="007A2A05"/>
    <w:rsid w:val="007A2A2D"/>
    <w:rsid w:val="007A2A49"/>
    <w:rsid w:val="007A2B50"/>
    <w:rsid w:val="007A2C3D"/>
    <w:rsid w:val="007A2E37"/>
    <w:rsid w:val="007A2EA1"/>
    <w:rsid w:val="007A30BE"/>
    <w:rsid w:val="007A30ED"/>
    <w:rsid w:val="007A31C6"/>
    <w:rsid w:val="007A31F7"/>
    <w:rsid w:val="007A32F3"/>
    <w:rsid w:val="007A3527"/>
    <w:rsid w:val="007A3777"/>
    <w:rsid w:val="007A37DA"/>
    <w:rsid w:val="007A37E2"/>
    <w:rsid w:val="007A383D"/>
    <w:rsid w:val="007A3922"/>
    <w:rsid w:val="007A3952"/>
    <w:rsid w:val="007A3957"/>
    <w:rsid w:val="007A3C06"/>
    <w:rsid w:val="007A3EF8"/>
    <w:rsid w:val="007A3F42"/>
    <w:rsid w:val="007A40DE"/>
    <w:rsid w:val="007A421F"/>
    <w:rsid w:val="007A4222"/>
    <w:rsid w:val="007A43C7"/>
    <w:rsid w:val="007A43F4"/>
    <w:rsid w:val="007A4477"/>
    <w:rsid w:val="007A44AB"/>
    <w:rsid w:val="007A4627"/>
    <w:rsid w:val="007A4647"/>
    <w:rsid w:val="007A491D"/>
    <w:rsid w:val="007A4CDE"/>
    <w:rsid w:val="007A4D43"/>
    <w:rsid w:val="007A4DFC"/>
    <w:rsid w:val="007A4F3A"/>
    <w:rsid w:val="007A4F8B"/>
    <w:rsid w:val="007A4FF2"/>
    <w:rsid w:val="007A511F"/>
    <w:rsid w:val="007A5145"/>
    <w:rsid w:val="007A51F0"/>
    <w:rsid w:val="007A5335"/>
    <w:rsid w:val="007A53AB"/>
    <w:rsid w:val="007A54DF"/>
    <w:rsid w:val="007A5660"/>
    <w:rsid w:val="007A58FA"/>
    <w:rsid w:val="007A5A2E"/>
    <w:rsid w:val="007A5A95"/>
    <w:rsid w:val="007A5AD4"/>
    <w:rsid w:val="007A5B7D"/>
    <w:rsid w:val="007A5BE0"/>
    <w:rsid w:val="007A5D8C"/>
    <w:rsid w:val="007A5E94"/>
    <w:rsid w:val="007A615F"/>
    <w:rsid w:val="007A6322"/>
    <w:rsid w:val="007A6461"/>
    <w:rsid w:val="007A6583"/>
    <w:rsid w:val="007A65AE"/>
    <w:rsid w:val="007A6624"/>
    <w:rsid w:val="007A666F"/>
    <w:rsid w:val="007A673C"/>
    <w:rsid w:val="007A6AF5"/>
    <w:rsid w:val="007A6B78"/>
    <w:rsid w:val="007A6B94"/>
    <w:rsid w:val="007A6CBC"/>
    <w:rsid w:val="007A6E85"/>
    <w:rsid w:val="007A6EF8"/>
    <w:rsid w:val="007A7009"/>
    <w:rsid w:val="007A704D"/>
    <w:rsid w:val="007A706D"/>
    <w:rsid w:val="007A7166"/>
    <w:rsid w:val="007A72C0"/>
    <w:rsid w:val="007A7333"/>
    <w:rsid w:val="007A756B"/>
    <w:rsid w:val="007A7634"/>
    <w:rsid w:val="007A76D6"/>
    <w:rsid w:val="007A7AC7"/>
    <w:rsid w:val="007A7B17"/>
    <w:rsid w:val="007A7BED"/>
    <w:rsid w:val="007A7C23"/>
    <w:rsid w:val="007A7E8A"/>
    <w:rsid w:val="007B0077"/>
    <w:rsid w:val="007B0122"/>
    <w:rsid w:val="007B01A2"/>
    <w:rsid w:val="007B0202"/>
    <w:rsid w:val="007B03DD"/>
    <w:rsid w:val="007B069F"/>
    <w:rsid w:val="007B06F3"/>
    <w:rsid w:val="007B079B"/>
    <w:rsid w:val="007B0A87"/>
    <w:rsid w:val="007B0B18"/>
    <w:rsid w:val="007B0B1A"/>
    <w:rsid w:val="007B0BAA"/>
    <w:rsid w:val="007B0C2E"/>
    <w:rsid w:val="007B0CCC"/>
    <w:rsid w:val="007B0DF0"/>
    <w:rsid w:val="007B0F80"/>
    <w:rsid w:val="007B0F8A"/>
    <w:rsid w:val="007B129F"/>
    <w:rsid w:val="007B1387"/>
    <w:rsid w:val="007B143D"/>
    <w:rsid w:val="007B14A4"/>
    <w:rsid w:val="007B16E8"/>
    <w:rsid w:val="007B176A"/>
    <w:rsid w:val="007B1884"/>
    <w:rsid w:val="007B1987"/>
    <w:rsid w:val="007B19F3"/>
    <w:rsid w:val="007B1A08"/>
    <w:rsid w:val="007B1B7C"/>
    <w:rsid w:val="007B1C48"/>
    <w:rsid w:val="007B1CB0"/>
    <w:rsid w:val="007B1D0C"/>
    <w:rsid w:val="007B1D82"/>
    <w:rsid w:val="007B1DE0"/>
    <w:rsid w:val="007B1E47"/>
    <w:rsid w:val="007B1EB9"/>
    <w:rsid w:val="007B1F4F"/>
    <w:rsid w:val="007B2087"/>
    <w:rsid w:val="007B2118"/>
    <w:rsid w:val="007B21CA"/>
    <w:rsid w:val="007B2203"/>
    <w:rsid w:val="007B224E"/>
    <w:rsid w:val="007B2257"/>
    <w:rsid w:val="007B2455"/>
    <w:rsid w:val="007B25E8"/>
    <w:rsid w:val="007B2643"/>
    <w:rsid w:val="007B270F"/>
    <w:rsid w:val="007B28C5"/>
    <w:rsid w:val="007B2902"/>
    <w:rsid w:val="007B2A87"/>
    <w:rsid w:val="007B2A8E"/>
    <w:rsid w:val="007B2AF4"/>
    <w:rsid w:val="007B2AF9"/>
    <w:rsid w:val="007B2B19"/>
    <w:rsid w:val="007B2B3D"/>
    <w:rsid w:val="007B2C41"/>
    <w:rsid w:val="007B2D9E"/>
    <w:rsid w:val="007B2DBC"/>
    <w:rsid w:val="007B2DD8"/>
    <w:rsid w:val="007B2F15"/>
    <w:rsid w:val="007B2F25"/>
    <w:rsid w:val="007B2F64"/>
    <w:rsid w:val="007B2FB5"/>
    <w:rsid w:val="007B31E0"/>
    <w:rsid w:val="007B32DA"/>
    <w:rsid w:val="007B3302"/>
    <w:rsid w:val="007B3328"/>
    <w:rsid w:val="007B341A"/>
    <w:rsid w:val="007B34B2"/>
    <w:rsid w:val="007B34DF"/>
    <w:rsid w:val="007B350A"/>
    <w:rsid w:val="007B35C3"/>
    <w:rsid w:val="007B3638"/>
    <w:rsid w:val="007B373F"/>
    <w:rsid w:val="007B37B4"/>
    <w:rsid w:val="007B37D2"/>
    <w:rsid w:val="007B3887"/>
    <w:rsid w:val="007B38FE"/>
    <w:rsid w:val="007B39DC"/>
    <w:rsid w:val="007B3A4E"/>
    <w:rsid w:val="007B3D0E"/>
    <w:rsid w:val="007B3DB2"/>
    <w:rsid w:val="007B3E7F"/>
    <w:rsid w:val="007B3FD6"/>
    <w:rsid w:val="007B4253"/>
    <w:rsid w:val="007B42FB"/>
    <w:rsid w:val="007B43E8"/>
    <w:rsid w:val="007B43ED"/>
    <w:rsid w:val="007B46A8"/>
    <w:rsid w:val="007B46C3"/>
    <w:rsid w:val="007B4963"/>
    <w:rsid w:val="007B4A3E"/>
    <w:rsid w:val="007B4CB6"/>
    <w:rsid w:val="007B4E81"/>
    <w:rsid w:val="007B4F0E"/>
    <w:rsid w:val="007B4F83"/>
    <w:rsid w:val="007B5206"/>
    <w:rsid w:val="007B53B9"/>
    <w:rsid w:val="007B54CE"/>
    <w:rsid w:val="007B565B"/>
    <w:rsid w:val="007B56C0"/>
    <w:rsid w:val="007B59E4"/>
    <w:rsid w:val="007B5A21"/>
    <w:rsid w:val="007B5A2D"/>
    <w:rsid w:val="007B5B91"/>
    <w:rsid w:val="007B5BCB"/>
    <w:rsid w:val="007B5D02"/>
    <w:rsid w:val="007B5D67"/>
    <w:rsid w:val="007B5D94"/>
    <w:rsid w:val="007B5DE3"/>
    <w:rsid w:val="007B5E60"/>
    <w:rsid w:val="007B5FA5"/>
    <w:rsid w:val="007B5FD4"/>
    <w:rsid w:val="007B6087"/>
    <w:rsid w:val="007B611A"/>
    <w:rsid w:val="007B652C"/>
    <w:rsid w:val="007B6644"/>
    <w:rsid w:val="007B66B8"/>
    <w:rsid w:val="007B6751"/>
    <w:rsid w:val="007B6858"/>
    <w:rsid w:val="007B685A"/>
    <w:rsid w:val="007B6DDC"/>
    <w:rsid w:val="007B6E1C"/>
    <w:rsid w:val="007B6F8F"/>
    <w:rsid w:val="007B724C"/>
    <w:rsid w:val="007B7253"/>
    <w:rsid w:val="007B7299"/>
    <w:rsid w:val="007B730D"/>
    <w:rsid w:val="007B7366"/>
    <w:rsid w:val="007B737F"/>
    <w:rsid w:val="007B73AA"/>
    <w:rsid w:val="007B7451"/>
    <w:rsid w:val="007B75E2"/>
    <w:rsid w:val="007B7718"/>
    <w:rsid w:val="007B7A62"/>
    <w:rsid w:val="007B7AC8"/>
    <w:rsid w:val="007B7B03"/>
    <w:rsid w:val="007B7B33"/>
    <w:rsid w:val="007B7C8E"/>
    <w:rsid w:val="007B7F33"/>
    <w:rsid w:val="007B7F94"/>
    <w:rsid w:val="007C0258"/>
    <w:rsid w:val="007C02BE"/>
    <w:rsid w:val="007C02CE"/>
    <w:rsid w:val="007C0309"/>
    <w:rsid w:val="007C030F"/>
    <w:rsid w:val="007C036E"/>
    <w:rsid w:val="007C0648"/>
    <w:rsid w:val="007C0669"/>
    <w:rsid w:val="007C06BF"/>
    <w:rsid w:val="007C079D"/>
    <w:rsid w:val="007C0937"/>
    <w:rsid w:val="007C094E"/>
    <w:rsid w:val="007C0A5E"/>
    <w:rsid w:val="007C0C9C"/>
    <w:rsid w:val="007C0CEA"/>
    <w:rsid w:val="007C0D28"/>
    <w:rsid w:val="007C0E15"/>
    <w:rsid w:val="007C106B"/>
    <w:rsid w:val="007C110A"/>
    <w:rsid w:val="007C12BB"/>
    <w:rsid w:val="007C133D"/>
    <w:rsid w:val="007C135C"/>
    <w:rsid w:val="007C13AE"/>
    <w:rsid w:val="007C1466"/>
    <w:rsid w:val="007C1512"/>
    <w:rsid w:val="007C1558"/>
    <w:rsid w:val="007C164C"/>
    <w:rsid w:val="007C1760"/>
    <w:rsid w:val="007C18D0"/>
    <w:rsid w:val="007C1924"/>
    <w:rsid w:val="007C1968"/>
    <w:rsid w:val="007C1A1B"/>
    <w:rsid w:val="007C1B30"/>
    <w:rsid w:val="007C1C56"/>
    <w:rsid w:val="007C1D0B"/>
    <w:rsid w:val="007C1D10"/>
    <w:rsid w:val="007C1D46"/>
    <w:rsid w:val="007C1DD7"/>
    <w:rsid w:val="007C1E49"/>
    <w:rsid w:val="007C1FC2"/>
    <w:rsid w:val="007C20D2"/>
    <w:rsid w:val="007C20E7"/>
    <w:rsid w:val="007C21AF"/>
    <w:rsid w:val="007C21CE"/>
    <w:rsid w:val="007C2245"/>
    <w:rsid w:val="007C23EB"/>
    <w:rsid w:val="007C24ED"/>
    <w:rsid w:val="007C24F7"/>
    <w:rsid w:val="007C26FC"/>
    <w:rsid w:val="007C275B"/>
    <w:rsid w:val="007C2AF4"/>
    <w:rsid w:val="007C2B4C"/>
    <w:rsid w:val="007C2B6A"/>
    <w:rsid w:val="007C2BEF"/>
    <w:rsid w:val="007C2E1C"/>
    <w:rsid w:val="007C309E"/>
    <w:rsid w:val="007C30CD"/>
    <w:rsid w:val="007C325A"/>
    <w:rsid w:val="007C33C4"/>
    <w:rsid w:val="007C3481"/>
    <w:rsid w:val="007C354E"/>
    <w:rsid w:val="007C36A9"/>
    <w:rsid w:val="007C37D9"/>
    <w:rsid w:val="007C3831"/>
    <w:rsid w:val="007C3881"/>
    <w:rsid w:val="007C38BD"/>
    <w:rsid w:val="007C3952"/>
    <w:rsid w:val="007C3B8E"/>
    <w:rsid w:val="007C3C57"/>
    <w:rsid w:val="007C3DBE"/>
    <w:rsid w:val="007C3EA4"/>
    <w:rsid w:val="007C3ED5"/>
    <w:rsid w:val="007C412E"/>
    <w:rsid w:val="007C412F"/>
    <w:rsid w:val="007C413B"/>
    <w:rsid w:val="007C4148"/>
    <w:rsid w:val="007C414B"/>
    <w:rsid w:val="007C4323"/>
    <w:rsid w:val="007C4328"/>
    <w:rsid w:val="007C44B7"/>
    <w:rsid w:val="007C4507"/>
    <w:rsid w:val="007C4875"/>
    <w:rsid w:val="007C48EB"/>
    <w:rsid w:val="007C494D"/>
    <w:rsid w:val="007C4B9C"/>
    <w:rsid w:val="007C4ED5"/>
    <w:rsid w:val="007C525B"/>
    <w:rsid w:val="007C5381"/>
    <w:rsid w:val="007C550D"/>
    <w:rsid w:val="007C5543"/>
    <w:rsid w:val="007C5610"/>
    <w:rsid w:val="007C5649"/>
    <w:rsid w:val="007C590F"/>
    <w:rsid w:val="007C594C"/>
    <w:rsid w:val="007C598F"/>
    <w:rsid w:val="007C59D7"/>
    <w:rsid w:val="007C5AEF"/>
    <w:rsid w:val="007C5B6E"/>
    <w:rsid w:val="007C5C80"/>
    <w:rsid w:val="007C5D53"/>
    <w:rsid w:val="007C61A1"/>
    <w:rsid w:val="007C62FC"/>
    <w:rsid w:val="007C6681"/>
    <w:rsid w:val="007C67BA"/>
    <w:rsid w:val="007C67EC"/>
    <w:rsid w:val="007C6816"/>
    <w:rsid w:val="007C68EC"/>
    <w:rsid w:val="007C69BC"/>
    <w:rsid w:val="007C69DF"/>
    <w:rsid w:val="007C6B8C"/>
    <w:rsid w:val="007C6C10"/>
    <w:rsid w:val="007C6C71"/>
    <w:rsid w:val="007C6D06"/>
    <w:rsid w:val="007C6EB3"/>
    <w:rsid w:val="007C6FC3"/>
    <w:rsid w:val="007C70F6"/>
    <w:rsid w:val="007C71F2"/>
    <w:rsid w:val="007C7506"/>
    <w:rsid w:val="007C77C7"/>
    <w:rsid w:val="007C77C9"/>
    <w:rsid w:val="007C77D4"/>
    <w:rsid w:val="007C7A63"/>
    <w:rsid w:val="007C7A82"/>
    <w:rsid w:val="007C7AF2"/>
    <w:rsid w:val="007C7CCD"/>
    <w:rsid w:val="007C7E16"/>
    <w:rsid w:val="007C7F57"/>
    <w:rsid w:val="007D022E"/>
    <w:rsid w:val="007D02E3"/>
    <w:rsid w:val="007D0319"/>
    <w:rsid w:val="007D0416"/>
    <w:rsid w:val="007D0444"/>
    <w:rsid w:val="007D0461"/>
    <w:rsid w:val="007D052F"/>
    <w:rsid w:val="007D07D4"/>
    <w:rsid w:val="007D0839"/>
    <w:rsid w:val="007D092C"/>
    <w:rsid w:val="007D0984"/>
    <w:rsid w:val="007D0D94"/>
    <w:rsid w:val="007D0DC5"/>
    <w:rsid w:val="007D1001"/>
    <w:rsid w:val="007D11A0"/>
    <w:rsid w:val="007D1306"/>
    <w:rsid w:val="007D1465"/>
    <w:rsid w:val="007D176A"/>
    <w:rsid w:val="007D1899"/>
    <w:rsid w:val="007D19B1"/>
    <w:rsid w:val="007D1A91"/>
    <w:rsid w:val="007D1B69"/>
    <w:rsid w:val="007D1F05"/>
    <w:rsid w:val="007D1F7E"/>
    <w:rsid w:val="007D2118"/>
    <w:rsid w:val="007D21C0"/>
    <w:rsid w:val="007D21D2"/>
    <w:rsid w:val="007D225C"/>
    <w:rsid w:val="007D23CE"/>
    <w:rsid w:val="007D245F"/>
    <w:rsid w:val="007D24BA"/>
    <w:rsid w:val="007D25BB"/>
    <w:rsid w:val="007D265D"/>
    <w:rsid w:val="007D26FB"/>
    <w:rsid w:val="007D27DA"/>
    <w:rsid w:val="007D2896"/>
    <w:rsid w:val="007D2A2F"/>
    <w:rsid w:val="007D2A41"/>
    <w:rsid w:val="007D2B9F"/>
    <w:rsid w:val="007D2CE9"/>
    <w:rsid w:val="007D2FAC"/>
    <w:rsid w:val="007D3036"/>
    <w:rsid w:val="007D31BD"/>
    <w:rsid w:val="007D3204"/>
    <w:rsid w:val="007D3401"/>
    <w:rsid w:val="007D365B"/>
    <w:rsid w:val="007D3758"/>
    <w:rsid w:val="007D3784"/>
    <w:rsid w:val="007D3786"/>
    <w:rsid w:val="007D37BA"/>
    <w:rsid w:val="007D3AE8"/>
    <w:rsid w:val="007D3B4B"/>
    <w:rsid w:val="007D3B6D"/>
    <w:rsid w:val="007D3BCB"/>
    <w:rsid w:val="007D3C00"/>
    <w:rsid w:val="007D3C98"/>
    <w:rsid w:val="007D3D8F"/>
    <w:rsid w:val="007D3DA5"/>
    <w:rsid w:val="007D401A"/>
    <w:rsid w:val="007D4095"/>
    <w:rsid w:val="007D4148"/>
    <w:rsid w:val="007D4254"/>
    <w:rsid w:val="007D429C"/>
    <w:rsid w:val="007D468B"/>
    <w:rsid w:val="007D46A8"/>
    <w:rsid w:val="007D46CD"/>
    <w:rsid w:val="007D46F3"/>
    <w:rsid w:val="007D46FA"/>
    <w:rsid w:val="007D47DD"/>
    <w:rsid w:val="007D4971"/>
    <w:rsid w:val="007D4A9B"/>
    <w:rsid w:val="007D4ACB"/>
    <w:rsid w:val="007D4B26"/>
    <w:rsid w:val="007D4DCA"/>
    <w:rsid w:val="007D4E3E"/>
    <w:rsid w:val="007D4EB0"/>
    <w:rsid w:val="007D4F2B"/>
    <w:rsid w:val="007D506C"/>
    <w:rsid w:val="007D5209"/>
    <w:rsid w:val="007D5260"/>
    <w:rsid w:val="007D527A"/>
    <w:rsid w:val="007D53A7"/>
    <w:rsid w:val="007D54C9"/>
    <w:rsid w:val="007D54CB"/>
    <w:rsid w:val="007D56F0"/>
    <w:rsid w:val="007D580C"/>
    <w:rsid w:val="007D5BD2"/>
    <w:rsid w:val="007D5C9A"/>
    <w:rsid w:val="007D5EC3"/>
    <w:rsid w:val="007D5F72"/>
    <w:rsid w:val="007D5F91"/>
    <w:rsid w:val="007D5FA6"/>
    <w:rsid w:val="007D608E"/>
    <w:rsid w:val="007D6194"/>
    <w:rsid w:val="007D6258"/>
    <w:rsid w:val="007D6432"/>
    <w:rsid w:val="007D651F"/>
    <w:rsid w:val="007D6913"/>
    <w:rsid w:val="007D6AA1"/>
    <w:rsid w:val="007D6F42"/>
    <w:rsid w:val="007D701C"/>
    <w:rsid w:val="007D7045"/>
    <w:rsid w:val="007D70D9"/>
    <w:rsid w:val="007D71A2"/>
    <w:rsid w:val="007D71B9"/>
    <w:rsid w:val="007D72A5"/>
    <w:rsid w:val="007D7312"/>
    <w:rsid w:val="007D731A"/>
    <w:rsid w:val="007D7323"/>
    <w:rsid w:val="007D7328"/>
    <w:rsid w:val="007D7418"/>
    <w:rsid w:val="007D753A"/>
    <w:rsid w:val="007D76F3"/>
    <w:rsid w:val="007D7759"/>
    <w:rsid w:val="007D7877"/>
    <w:rsid w:val="007D7E0A"/>
    <w:rsid w:val="007D7E59"/>
    <w:rsid w:val="007D7EE3"/>
    <w:rsid w:val="007D7F5B"/>
    <w:rsid w:val="007E0102"/>
    <w:rsid w:val="007E013D"/>
    <w:rsid w:val="007E016A"/>
    <w:rsid w:val="007E0313"/>
    <w:rsid w:val="007E0357"/>
    <w:rsid w:val="007E0493"/>
    <w:rsid w:val="007E0733"/>
    <w:rsid w:val="007E0786"/>
    <w:rsid w:val="007E080E"/>
    <w:rsid w:val="007E0ACB"/>
    <w:rsid w:val="007E0B56"/>
    <w:rsid w:val="007E0E25"/>
    <w:rsid w:val="007E0F19"/>
    <w:rsid w:val="007E101F"/>
    <w:rsid w:val="007E1179"/>
    <w:rsid w:val="007E126D"/>
    <w:rsid w:val="007E130E"/>
    <w:rsid w:val="007E1549"/>
    <w:rsid w:val="007E154B"/>
    <w:rsid w:val="007E159C"/>
    <w:rsid w:val="007E15D1"/>
    <w:rsid w:val="007E15E6"/>
    <w:rsid w:val="007E1826"/>
    <w:rsid w:val="007E18AF"/>
    <w:rsid w:val="007E1AF1"/>
    <w:rsid w:val="007E1CC2"/>
    <w:rsid w:val="007E1D42"/>
    <w:rsid w:val="007E1DD9"/>
    <w:rsid w:val="007E1E3E"/>
    <w:rsid w:val="007E1F83"/>
    <w:rsid w:val="007E1FF7"/>
    <w:rsid w:val="007E2132"/>
    <w:rsid w:val="007E23C9"/>
    <w:rsid w:val="007E23ED"/>
    <w:rsid w:val="007E2414"/>
    <w:rsid w:val="007E246E"/>
    <w:rsid w:val="007E2482"/>
    <w:rsid w:val="007E2524"/>
    <w:rsid w:val="007E2761"/>
    <w:rsid w:val="007E2867"/>
    <w:rsid w:val="007E2969"/>
    <w:rsid w:val="007E29B0"/>
    <w:rsid w:val="007E2CDF"/>
    <w:rsid w:val="007E2E78"/>
    <w:rsid w:val="007E2EBA"/>
    <w:rsid w:val="007E2F09"/>
    <w:rsid w:val="007E3050"/>
    <w:rsid w:val="007E30DE"/>
    <w:rsid w:val="007E3112"/>
    <w:rsid w:val="007E3172"/>
    <w:rsid w:val="007E3238"/>
    <w:rsid w:val="007E3290"/>
    <w:rsid w:val="007E3475"/>
    <w:rsid w:val="007E34DC"/>
    <w:rsid w:val="007E350C"/>
    <w:rsid w:val="007E358E"/>
    <w:rsid w:val="007E36F7"/>
    <w:rsid w:val="007E396F"/>
    <w:rsid w:val="007E39AB"/>
    <w:rsid w:val="007E39E8"/>
    <w:rsid w:val="007E3B1A"/>
    <w:rsid w:val="007E3BA9"/>
    <w:rsid w:val="007E3D2A"/>
    <w:rsid w:val="007E3DAC"/>
    <w:rsid w:val="007E3E63"/>
    <w:rsid w:val="007E3E6D"/>
    <w:rsid w:val="007E3EE0"/>
    <w:rsid w:val="007E4036"/>
    <w:rsid w:val="007E407E"/>
    <w:rsid w:val="007E42C0"/>
    <w:rsid w:val="007E45B7"/>
    <w:rsid w:val="007E482C"/>
    <w:rsid w:val="007E4AF5"/>
    <w:rsid w:val="007E4BB9"/>
    <w:rsid w:val="007E4CD4"/>
    <w:rsid w:val="007E4E7C"/>
    <w:rsid w:val="007E4FA8"/>
    <w:rsid w:val="007E4FE6"/>
    <w:rsid w:val="007E5022"/>
    <w:rsid w:val="007E5028"/>
    <w:rsid w:val="007E50E8"/>
    <w:rsid w:val="007E520A"/>
    <w:rsid w:val="007E53AC"/>
    <w:rsid w:val="007E5436"/>
    <w:rsid w:val="007E559F"/>
    <w:rsid w:val="007E56B5"/>
    <w:rsid w:val="007E5714"/>
    <w:rsid w:val="007E5872"/>
    <w:rsid w:val="007E5A57"/>
    <w:rsid w:val="007E5A6B"/>
    <w:rsid w:val="007E5B5D"/>
    <w:rsid w:val="007E5CD0"/>
    <w:rsid w:val="007E5D74"/>
    <w:rsid w:val="007E5DB7"/>
    <w:rsid w:val="007E5ECC"/>
    <w:rsid w:val="007E5F5E"/>
    <w:rsid w:val="007E5FBA"/>
    <w:rsid w:val="007E6015"/>
    <w:rsid w:val="007E6122"/>
    <w:rsid w:val="007E6291"/>
    <w:rsid w:val="007E63E2"/>
    <w:rsid w:val="007E65B5"/>
    <w:rsid w:val="007E668F"/>
    <w:rsid w:val="007E66B3"/>
    <w:rsid w:val="007E677F"/>
    <w:rsid w:val="007E6798"/>
    <w:rsid w:val="007E6A5A"/>
    <w:rsid w:val="007E6CB0"/>
    <w:rsid w:val="007E6CB4"/>
    <w:rsid w:val="007E6D21"/>
    <w:rsid w:val="007E6E00"/>
    <w:rsid w:val="007E6EFC"/>
    <w:rsid w:val="007E6F16"/>
    <w:rsid w:val="007E721A"/>
    <w:rsid w:val="007E728D"/>
    <w:rsid w:val="007E7378"/>
    <w:rsid w:val="007E7392"/>
    <w:rsid w:val="007E73A9"/>
    <w:rsid w:val="007E75C8"/>
    <w:rsid w:val="007E7960"/>
    <w:rsid w:val="007E797A"/>
    <w:rsid w:val="007E7A37"/>
    <w:rsid w:val="007E7B3D"/>
    <w:rsid w:val="007E7B64"/>
    <w:rsid w:val="007E7C5E"/>
    <w:rsid w:val="007E7CDA"/>
    <w:rsid w:val="007F00A5"/>
    <w:rsid w:val="007F00DF"/>
    <w:rsid w:val="007F0114"/>
    <w:rsid w:val="007F0121"/>
    <w:rsid w:val="007F02B8"/>
    <w:rsid w:val="007F0427"/>
    <w:rsid w:val="007F0523"/>
    <w:rsid w:val="007F0524"/>
    <w:rsid w:val="007F06A7"/>
    <w:rsid w:val="007F0753"/>
    <w:rsid w:val="007F07A6"/>
    <w:rsid w:val="007F0841"/>
    <w:rsid w:val="007F085A"/>
    <w:rsid w:val="007F0862"/>
    <w:rsid w:val="007F08B6"/>
    <w:rsid w:val="007F0A37"/>
    <w:rsid w:val="007F0A3A"/>
    <w:rsid w:val="007F0A52"/>
    <w:rsid w:val="007F0A8A"/>
    <w:rsid w:val="007F0BFF"/>
    <w:rsid w:val="007F0D3A"/>
    <w:rsid w:val="007F0D93"/>
    <w:rsid w:val="007F0E30"/>
    <w:rsid w:val="007F0EDD"/>
    <w:rsid w:val="007F0FC8"/>
    <w:rsid w:val="007F1059"/>
    <w:rsid w:val="007F106C"/>
    <w:rsid w:val="007F1225"/>
    <w:rsid w:val="007F1256"/>
    <w:rsid w:val="007F1273"/>
    <w:rsid w:val="007F1349"/>
    <w:rsid w:val="007F136B"/>
    <w:rsid w:val="007F13C1"/>
    <w:rsid w:val="007F15D5"/>
    <w:rsid w:val="007F16C4"/>
    <w:rsid w:val="007F178A"/>
    <w:rsid w:val="007F179A"/>
    <w:rsid w:val="007F1877"/>
    <w:rsid w:val="007F1A73"/>
    <w:rsid w:val="007F1D86"/>
    <w:rsid w:val="007F1DDE"/>
    <w:rsid w:val="007F1E57"/>
    <w:rsid w:val="007F1E66"/>
    <w:rsid w:val="007F1E79"/>
    <w:rsid w:val="007F1E9B"/>
    <w:rsid w:val="007F2169"/>
    <w:rsid w:val="007F21AC"/>
    <w:rsid w:val="007F2231"/>
    <w:rsid w:val="007F231D"/>
    <w:rsid w:val="007F23EF"/>
    <w:rsid w:val="007F2404"/>
    <w:rsid w:val="007F2489"/>
    <w:rsid w:val="007F24AE"/>
    <w:rsid w:val="007F24CE"/>
    <w:rsid w:val="007F24F4"/>
    <w:rsid w:val="007F2753"/>
    <w:rsid w:val="007F2841"/>
    <w:rsid w:val="007F2A5A"/>
    <w:rsid w:val="007F2AA1"/>
    <w:rsid w:val="007F2BDF"/>
    <w:rsid w:val="007F31FB"/>
    <w:rsid w:val="007F33CC"/>
    <w:rsid w:val="007F3445"/>
    <w:rsid w:val="007F347C"/>
    <w:rsid w:val="007F3558"/>
    <w:rsid w:val="007F3662"/>
    <w:rsid w:val="007F36CF"/>
    <w:rsid w:val="007F3772"/>
    <w:rsid w:val="007F3798"/>
    <w:rsid w:val="007F381C"/>
    <w:rsid w:val="007F392E"/>
    <w:rsid w:val="007F396A"/>
    <w:rsid w:val="007F39BD"/>
    <w:rsid w:val="007F3A66"/>
    <w:rsid w:val="007F3BA6"/>
    <w:rsid w:val="007F3C07"/>
    <w:rsid w:val="007F3CDE"/>
    <w:rsid w:val="007F3E7D"/>
    <w:rsid w:val="007F3EF3"/>
    <w:rsid w:val="007F3FD1"/>
    <w:rsid w:val="007F4452"/>
    <w:rsid w:val="007F44A1"/>
    <w:rsid w:val="007F451D"/>
    <w:rsid w:val="007F455A"/>
    <w:rsid w:val="007F47B9"/>
    <w:rsid w:val="007F481F"/>
    <w:rsid w:val="007F4AB3"/>
    <w:rsid w:val="007F4B96"/>
    <w:rsid w:val="007F4BDF"/>
    <w:rsid w:val="007F4D60"/>
    <w:rsid w:val="007F4D6A"/>
    <w:rsid w:val="007F4E5A"/>
    <w:rsid w:val="007F4EEB"/>
    <w:rsid w:val="007F4F7C"/>
    <w:rsid w:val="007F4FB4"/>
    <w:rsid w:val="007F513F"/>
    <w:rsid w:val="007F5347"/>
    <w:rsid w:val="007F549E"/>
    <w:rsid w:val="007F553D"/>
    <w:rsid w:val="007F5588"/>
    <w:rsid w:val="007F55C2"/>
    <w:rsid w:val="007F5635"/>
    <w:rsid w:val="007F5646"/>
    <w:rsid w:val="007F5A5E"/>
    <w:rsid w:val="007F5C10"/>
    <w:rsid w:val="007F5CBC"/>
    <w:rsid w:val="007F5D92"/>
    <w:rsid w:val="007F5F49"/>
    <w:rsid w:val="007F5FC6"/>
    <w:rsid w:val="007F5FE4"/>
    <w:rsid w:val="007F609A"/>
    <w:rsid w:val="007F61DE"/>
    <w:rsid w:val="007F633F"/>
    <w:rsid w:val="007F6394"/>
    <w:rsid w:val="007F63E3"/>
    <w:rsid w:val="007F6401"/>
    <w:rsid w:val="007F64FB"/>
    <w:rsid w:val="007F6574"/>
    <w:rsid w:val="007F657C"/>
    <w:rsid w:val="007F6665"/>
    <w:rsid w:val="007F6677"/>
    <w:rsid w:val="007F66B9"/>
    <w:rsid w:val="007F6714"/>
    <w:rsid w:val="007F680A"/>
    <w:rsid w:val="007F6837"/>
    <w:rsid w:val="007F6997"/>
    <w:rsid w:val="007F69C9"/>
    <w:rsid w:val="007F6A18"/>
    <w:rsid w:val="007F6A4D"/>
    <w:rsid w:val="007F6A6C"/>
    <w:rsid w:val="007F6B5A"/>
    <w:rsid w:val="007F6D35"/>
    <w:rsid w:val="007F6EFC"/>
    <w:rsid w:val="007F6F59"/>
    <w:rsid w:val="007F7056"/>
    <w:rsid w:val="007F7067"/>
    <w:rsid w:val="007F71F5"/>
    <w:rsid w:val="007F730D"/>
    <w:rsid w:val="007F7326"/>
    <w:rsid w:val="007F7369"/>
    <w:rsid w:val="007F73D6"/>
    <w:rsid w:val="007F73D7"/>
    <w:rsid w:val="007F7400"/>
    <w:rsid w:val="007F743B"/>
    <w:rsid w:val="007F7541"/>
    <w:rsid w:val="007F7578"/>
    <w:rsid w:val="007F7618"/>
    <w:rsid w:val="007F7689"/>
    <w:rsid w:val="007F77A4"/>
    <w:rsid w:val="007F7AD5"/>
    <w:rsid w:val="007F7B9A"/>
    <w:rsid w:val="007F7C02"/>
    <w:rsid w:val="007F7C70"/>
    <w:rsid w:val="007F7D78"/>
    <w:rsid w:val="007F7EBE"/>
    <w:rsid w:val="007F7F38"/>
    <w:rsid w:val="008000B8"/>
    <w:rsid w:val="00800101"/>
    <w:rsid w:val="00800165"/>
    <w:rsid w:val="008002E0"/>
    <w:rsid w:val="00800308"/>
    <w:rsid w:val="00800377"/>
    <w:rsid w:val="00800408"/>
    <w:rsid w:val="0080045E"/>
    <w:rsid w:val="008005FC"/>
    <w:rsid w:val="00800665"/>
    <w:rsid w:val="00800766"/>
    <w:rsid w:val="00800792"/>
    <w:rsid w:val="008007B1"/>
    <w:rsid w:val="008008E7"/>
    <w:rsid w:val="00800A37"/>
    <w:rsid w:val="00800A7B"/>
    <w:rsid w:val="00800B15"/>
    <w:rsid w:val="00800B44"/>
    <w:rsid w:val="00800C26"/>
    <w:rsid w:val="00800C92"/>
    <w:rsid w:val="00800D76"/>
    <w:rsid w:val="00800E1D"/>
    <w:rsid w:val="00800F25"/>
    <w:rsid w:val="00801070"/>
    <w:rsid w:val="0080114F"/>
    <w:rsid w:val="008011AF"/>
    <w:rsid w:val="00801345"/>
    <w:rsid w:val="008013C6"/>
    <w:rsid w:val="00801498"/>
    <w:rsid w:val="00801535"/>
    <w:rsid w:val="0080157C"/>
    <w:rsid w:val="008016C8"/>
    <w:rsid w:val="00801838"/>
    <w:rsid w:val="00801B20"/>
    <w:rsid w:val="00801BD0"/>
    <w:rsid w:val="00801BF8"/>
    <w:rsid w:val="00801C2A"/>
    <w:rsid w:val="00801CA3"/>
    <w:rsid w:val="00801DD4"/>
    <w:rsid w:val="00801F1C"/>
    <w:rsid w:val="00801FBE"/>
    <w:rsid w:val="00802013"/>
    <w:rsid w:val="008020C2"/>
    <w:rsid w:val="00802177"/>
    <w:rsid w:val="00802192"/>
    <w:rsid w:val="008021FA"/>
    <w:rsid w:val="008022CB"/>
    <w:rsid w:val="00802359"/>
    <w:rsid w:val="008023C3"/>
    <w:rsid w:val="008024A9"/>
    <w:rsid w:val="00802549"/>
    <w:rsid w:val="0080269A"/>
    <w:rsid w:val="0080286B"/>
    <w:rsid w:val="008029A8"/>
    <w:rsid w:val="00802A26"/>
    <w:rsid w:val="00802ACF"/>
    <w:rsid w:val="00802ADE"/>
    <w:rsid w:val="00802AF0"/>
    <w:rsid w:val="00802BBD"/>
    <w:rsid w:val="00802C60"/>
    <w:rsid w:val="00802F86"/>
    <w:rsid w:val="00802FBB"/>
    <w:rsid w:val="0080307C"/>
    <w:rsid w:val="00803222"/>
    <w:rsid w:val="00803241"/>
    <w:rsid w:val="00803263"/>
    <w:rsid w:val="0080347D"/>
    <w:rsid w:val="008034C0"/>
    <w:rsid w:val="008036BE"/>
    <w:rsid w:val="0080383A"/>
    <w:rsid w:val="008039D5"/>
    <w:rsid w:val="00803A2C"/>
    <w:rsid w:val="00803BE9"/>
    <w:rsid w:val="00803E35"/>
    <w:rsid w:val="00804014"/>
    <w:rsid w:val="0080404E"/>
    <w:rsid w:val="00804063"/>
    <w:rsid w:val="00804094"/>
    <w:rsid w:val="00804207"/>
    <w:rsid w:val="0080435E"/>
    <w:rsid w:val="008043A2"/>
    <w:rsid w:val="008043B7"/>
    <w:rsid w:val="00804758"/>
    <w:rsid w:val="00804773"/>
    <w:rsid w:val="008047AC"/>
    <w:rsid w:val="0080488E"/>
    <w:rsid w:val="00804949"/>
    <w:rsid w:val="008049DE"/>
    <w:rsid w:val="00804AD6"/>
    <w:rsid w:val="00804B5F"/>
    <w:rsid w:val="00804B6C"/>
    <w:rsid w:val="00804B74"/>
    <w:rsid w:val="00804B7C"/>
    <w:rsid w:val="00804DE7"/>
    <w:rsid w:val="00804F3E"/>
    <w:rsid w:val="008050E9"/>
    <w:rsid w:val="0080521F"/>
    <w:rsid w:val="0080522C"/>
    <w:rsid w:val="008053E4"/>
    <w:rsid w:val="0080548C"/>
    <w:rsid w:val="00805634"/>
    <w:rsid w:val="0080579D"/>
    <w:rsid w:val="00805AB2"/>
    <w:rsid w:val="00805B13"/>
    <w:rsid w:val="00805EE7"/>
    <w:rsid w:val="00805EF3"/>
    <w:rsid w:val="00806099"/>
    <w:rsid w:val="008060D1"/>
    <w:rsid w:val="008060F9"/>
    <w:rsid w:val="00806237"/>
    <w:rsid w:val="0080631C"/>
    <w:rsid w:val="00806339"/>
    <w:rsid w:val="0080634D"/>
    <w:rsid w:val="00806447"/>
    <w:rsid w:val="0080644D"/>
    <w:rsid w:val="00806489"/>
    <w:rsid w:val="00806683"/>
    <w:rsid w:val="00806694"/>
    <w:rsid w:val="00806714"/>
    <w:rsid w:val="008067E8"/>
    <w:rsid w:val="00806BCD"/>
    <w:rsid w:val="00806C00"/>
    <w:rsid w:val="00806C18"/>
    <w:rsid w:val="00806CD6"/>
    <w:rsid w:val="00806DB4"/>
    <w:rsid w:val="00806E99"/>
    <w:rsid w:val="00806F8E"/>
    <w:rsid w:val="008072C3"/>
    <w:rsid w:val="008072FC"/>
    <w:rsid w:val="0080737E"/>
    <w:rsid w:val="0080738B"/>
    <w:rsid w:val="0080750E"/>
    <w:rsid w:val="0080759F"/>
    <w:rsid w:val="0080762D"/>
    <w:rsid w:val="00807755"/>
    <w:rsid w:val="008077AC"/>
    <w:rsid w:val="0080786A"/>
    <w:rsid w:val="0080787B"/>
    <w:rsid w:val="008078B4"/>
    <w:rsid w:val="008078BF"/>
    <w:rsid w:val="00807926"/>
    <w:rsid w:val="00807998"/>
    <w:rsid w:val="00807AD8"/>
    <w:rsid w:val="00807D41"/>
    <w:rsid w:val="00807E8D"/>
    <w:rsid w:val="00807F52"/>
    <w:rsid w:val="00807F5C"/>
    <w:rsid w:val="00807FAE"/>
    <w:rsid w:val="00810087"/>
    <w:rsid w:val="008103A7"/>
    <w:rsid w:val="0081046E"/>
    <w:rsid w:val="00810617"/>
    <w:rsid w:val="00810785"/>
    <w:rsid w:val="00810856"/>
    <w:rsid w:val="00810898"/>
    <w:rsid w:val="0081094F"/>
    <w:rsid w:val="00810C53"/>
    <w:rsid w:val="00810CDD"/>
    <w:rsid w:val="00810D6F"/>
    <w:rsid w:val="00810D87"/>
    <w:rsid w:val="00810DEB"/>
    <w:rsid w:val="00811080"/>
    <w:rsid w:val="0081113D"/>
    <w:rsid w:val="008111F6"/>
    <w:rsid w:val="00811277"/>
    <w:rsid w:val="00811384"/>
    <w:rsid w:val="0081140D"/>
    <w:rsid w:val="0081148A"/>
    <w:rsid w:val="008114A5"/>
    <w:rsid w:val="008117F3"/>
    <w:rsid w:val="00811825"/>
    <w:rsid w:val="00811B0D"/>
    <w:rsid w:val="00811CD2"/>
    <w:rsid w:val="00811DE6"/>
    <w:rsid w:val="00811DF8"/>
    <w:rsid w:val="00811E8D"/>
    <w:rsid w:val="00811EB8"/>
    <w:rsid w:val="00811F79"/>
    <w:rsid w:val="00811FCF"/>
    <w:rsid w:val="00812185"/>
    <w:rsid w:val="0081218A"/>
    <w:rsid w:val="008123CF"/>
    <w:rsid w:val="00812410"/>
    <w:rsid w:val="00812527"/>
    <w:rsid w:val="008125DE"/>
    <w:rsid w:val="008126D9"/>
    <w:rsid w:val="00812780"/>
    <w:rsid w:val="00812879"/>
    <w:rsid w:val="008128C0"/>
    <w:rsid w:val="0081291A"/>
    <w:rsid w:val="008129B5"/>
    <w:rsid w:val="00812A94"/>
    <w:rsid w:val="00812BA4"/>
    <w:rsid w:val="00812C30"/>
    <w:rsid w:val="00812D00"/>
    <w:rsid w:val="00813236"/>
    <w:rsid w:val="00813339"/>
    <w:rsid w:val="0081334F"/>
    <w:rsid w:val="008133FF"/>
    <w:rsid w:val="0081380D"/>
    <w:rsid w:val="00813888"/>
    <w:rsid w:val="0081396D"/>
    <w:rsid w:val="00813B0B"/>
    <w:rsid w:val="00813B5F"/>
    <w:rsid w:val="00813BC4"/>
    <w:rsid w:val="00813DCA"/>
    <w:rsid w:val="00813DD4"/>
    <w:rsid w:val="00814182"/>
    <w:rsid w:val="008141D3"/>
    <w:rsid w:val="008144D0"/>
    <w:rsid w:val="0081460A"/>
    <w:rsid w:val="0081468C"/>
    <w:rsid w:val="00814823"/>
    <w:rsid w:val="0081482A"/>
    <w:rsid w:val="0081484E"/>
    <w:rsid w:val="00814855"/>
    <w:rsid w:val="008149E6"/>
    <w:rsid w:val="00814A37"/>
    <w:rsid w:val="00814B44"/>
    <w:rsid w:val="00814BA5"/>
    <w:rsid w:val="00814BC5"/>
    <w:rsid w:val="00814CB6"/>
    <w:rsid w:val="00814CD4"/>
    <w:rsid w:val="00814E3E"/>
    <w:rsid w:val="008151A1"/>
    <w:rsid w:val="008152A7"/>
    <w:rsid w:val="008152B4"/>
    <w:rsid w:val="008152CF"/>
    <w:rsid w:val="00815538"/>
    <w:rsid w:val="0081557B"/>
    <w:rsid w:val="00815832"/>
    <w:rsid w:val="00815A2C"/>
    <w:rsid w:val="00815AC8"/>
    <w:rsid w:val="00815ACF"/>
    <w:rsid w:val="00815AF4"/>
    <w:rsid w:val="00815E36"/>
    <w:rsid w:val="00815EAC"/>
    <w:rsid w:val="00815F90"/>
    <w:rsid w:val="00816006"/>
    <w:rsid w:val="0081607F"/>
    <w:rsid w:val="008161EC"/>
    <w:rsid w:val="00816207"/>
    <w:rsid w:val="008162F5"/>
    <w:rsid w:val="0081630F"/>
    <w:rsid w:val="008163FC"/>
    <w:rsid w:val="00816469"/>
    <w:rsid w:val="0081646D"/>
    <w:rsid w:val="0081646F"/>
    <w:rsid w:val="00816524"/>
    <w:rsid w:val="00816678"/>
    <w:rsid w:val="0081671A"/>
    <w:rsid w:val="0081671E"/>
    <w:rsid w:val="00816743"/>
    <w:rsid w:val="00816986"/>
    <w:rsid w:val="00816A42"/>
    <w:rsid w:val="00816A8B"/>
    <w:rsid w:val="00816AC0"/>
    <w:rsid w:val="00816B4B"/>
    <w:rsid w:val="00816C95"/>
    <w:rsid w:val="00816D7E"/>
    <w:rsid w:val="00816EC0"/>
    <w:rsid w:val="00816F87"/>
    <w:rsid w:val="00816FA5"/>
    <w:rsid w:val="00817008"/>
    <w:rsid w:val="008170C1"/>
    <w:rsid w:val="00817111"/>
    <w:rsid w:val="00817176"/>
    <w:rsid w:val="0081729F"/>
    <w:rsid w:val="008175AF"/>
    <w:rsid w:val="008175CA"/>
    <w:rsid w:val="00817690"/>
    <w:rsid w:val="008177AE"/>
    <w:rsid w:val="008179D3"/>
    <w:rsid w:val="00817A05"/>
    <w:rsid w:val="00817A1F"/>
    <w:rsid w:val="00817A38"/>
    <w:rsid w:val="00817B28"/>
    <w:rsid w:val="00817E8C"/>
    <w:rsid w:val="00817E8F"/>
    <w:rsid w:val="00817E93"/>
    <w:rsid w:val="00820104"/>
    <w:rsid w:val="0082013D"/>
    <w:rsid w:val="00820260"/>
    <w:rsid w:val="0082034A"/>
    <w:rsid w:val="0082039B"/>
    <w:rsid w:val="008206EE"/>
    <w:rsid w:val="00820744"/>
    <w:rsid w:val="00820781"/>
    <w:rsid w:val="008208BE"/>
    <w:rsid w:val="00820AD9"/>
    <w:rsid w:val="00820B4F"/>
    <w:rsid w:val="00820DE3"/>
    <w:rsid w:val="008210E4"/>
    <w:rsid w:val="008211C6"/>
    <w:rsid w:val="00821227"/>
    <w:rsid w:val="008215C2"/>
    <w:rsid w:val="008215EB"/>
    <w:rsid w:val="00821650"/>
    <w:rsid w:val="00821685"/>
    <w:rsid w:val="008216C9"/>
    <w:rsid w:val="008216E6"/>
    <w:rsid w:val="00821730"/>
    <w:rsid w:val="0082182A"/>
    <w:rsid w:val="008218F3"/>
    <w:rsid w:val="008218F8"/>
    <w:rsid w:val="008219B8"/>
    <w:rsid w:val="00821B63"/>
    <w:rsid w:val="00821B98"/>
    <w:rsid w:val="00821C91"/>
    <w:rsid w:val="00821CC5"/>
    <w:rsid w:val="00821F5A"/>
    <w:rsid w:val="00822076"/>
    <w:rsid w:val="008221CA"/>
    <w:rsid w:val="00822217"/>
    <w:rsid w:val="008223B7"/>
    <w:rsid w:val="008223DE"/>
    <w:rsid w:val="0082264C"/>
    <w:rsid w:val="00822660"/>
    <w:rsid w:val="0082267E"/>
    <w:rsid w:val="008226EC"/>
    <w:rsid w:val="00822724"/>
    <w:rsid w:val="00822937"/>
    <w:rsid w:val="0082297E"/>
    <w:rsid w:val="00822BF0"/>
    <w:rsid w:val="00822D4D"/>
    <w:rsid w:val="00822EAF"/>
    <w:rsid w:val="00822FC0"/>
    <w:rsid w:val="00822FD6"/>
    <w:rsid w:val="00822FD9"/>
    <w:rsid w:val="0082323C"/>
    <w:rsid w:val="008235E0"/>
    <w:rsid w:val="00823803"/>
    <w:rsid w:val="0082384E"/>
    <w:rsid w:val="00823962"/>
    <w:rsid w:val="00823AA9"/>
    <w:rsid w:val="00823B34"/>
    <w:rsid w:val="00823D4B"/>
    <w:rsid w:val="00823E27"/>
    <w:rsid w:val="00823F6D"/>
    <w:rsid w:val="00823FA1"/>
    <w:rsid w:val="00824013"/>
    <w:rsid w:val="008241C1"/>
    <w:rsid w:val="00824393"/>
    <w:rsid w:val="00824609"/>
    <w:rsid w:val="0082473C"/>
    <w:rsid w:val="008247DB"/>
    <w:rsid w:val="00824B60"/>
    <w:rsid w:val="00824CD7"/>
    <w:rsid w:val="00824EE5"/>
    <w:rsid w:val="00824F9F"/>
    <w:rsid w:val="00825007"/>
    <w:rsid w:val="00825074"/>
    <w:rsid w:val="00825085"/>
    <w:rsid w:val="00825281"/>
    <w:rsid w:val="008254F6"/>
    <w:rsid w:val="00825683"/>
    <w:rsid w:val="00825706"/>
    <w:rsid w:val="008257EF"/>
    <w:rsid w:val="00825D17"/>
    <w:rsid w:val="00825D42"/>
    <w:rsid w:val="00825D6E"/>
    <w:rsid w:val="00825D80"/>
    <w:rsid w:val="00826017"/>
    <w:rsid w:val="00826117"/>
    <w:rsid w:val="0082617A"/>
    <w:rsid w:val="00826193"/>
    <w:rsid w:val="008261F8"/>
    <w:rsid w:val="00826229"/>
    <w:rsid w:val="008262A4"/>
    <w:rsid w:val="0082642C"/>
    <w:rsid w:val="00826557"/>
    <w:rsid w:val="00826581"/>
    <w:rsid w:val="00826631"/>
    <w:rsid w:val="0082665F"/>
    <w:rsid w:val="00826853"/>
    <w:rsid w:val="008268F1"/>
    <w:rsid w:val="008269F1"/>
    <w:rsid w:val="00826A0A"/>
    <w:rsid w:val="00826AF5"/>
    <w:rsid w:val="00826CE8"/>
    <w:rsid w:val="00826DB4"/>
    <w:rsid w:val="00826E3E"/>
    <w:rsid w:val="00826E80"/>
    <w:rsid w:val="0082707F"/>
    <w:rsid w:val="0082717C"/>
    <w:rsid w:val="00827269"/>
    <w:rsid w:val="0082731E"/>
    <w:rsid w:val="008273F2"/>
    <w:rsid w:val="00827483"/>
    <w:rsid w:val="0082752D"/>
    <w:rsid w:val="008277CC"/>
    <w:rsid w:val="008278FF"/>
    <w:rsid w:val="00827966"/>
    <w:rsid w:val="00827AAD"/>
    <w:rsid w:val="00827B8A"/>
    <w:rsid w:val="00827BEC"/>
    <w:rsid w:val="00827D1F"/>
    <w:rsid w:val="00827D59"/>
    <w:rsid w:val="00827DDE"/>
    <w:rsid w:val="00827E25"/>
    <w:rsid w:val="00827FAF"/>
    <w:rsid w:val="0083005E"/>
    <w:rsid w:val="0083047D"/>
    <w:rsid w:val="008304A2"/>
    <w:rsid w:val="008304E6"/>
    <w:rsid w:val="008305DA"/>
    <w:rsid w:val="008305F1"/>
    <w:rsid w:val="00830812"/>
    <w:rsid w:val="0083082A"/>
    <w:rsid w:val="0083084C"/>
    <w:rsid w:val="008308C0"/>
    <w:rsid w:val="00830A1C"/>
    <w:rsid w:val="00830BA9"/>
    <w:rsid w:val="00830C39"/>
    <w:rsid w:val="00830EAD"/>
    <w:rsid w:val="00830FDA"/>
    <w:rsid w:val="008311B8"/>
    <w:rsid w:val="008311D4"/>
    <w:rsid w:val="008311E6"/>
    <w:rsid w:val="008311F9"/>
    <w:rsid w:val="008312C9"/>
    <w:rsid w:val="008314D9"/>
    <w:rsid w:val="0083151E"/>
    <w:rsid w:val="00831556"/>
    <w:rsid w:val="008317B7"/>
    <w:rsid w:val="008319D2"/>
    <w:rsid w:val="00831A7A"/>
    <w:rsid w:val="00831B27"/>
    <w:rsid w:val="00831C20"/>
    <w:rsid w:val="00831D49"/>
    <w:rsid w:val="00831DAD"/>
    <w:rsid w:val="00831E49"/>
    <w:rsid w:val="00831F8C"/>
    <w:rsid w:val="00831FD5"/>
    <w:rsid w:val="008322DC"/>
    <w:rsid w:val="008322F4"/>
    <w:rsid w:val="008324BE"/>
    <w:rsid w:val="008328A1"/>
    <w:rsid w:val="008328CA"/>
    <w:rsid w:val="0083298D"/>
    <w:rsid w:val="00832A37"/>
    <w:rsid w:val="00832A8A"/>
    <w:rsid w:val="00832A9B"/>
    <w:rsid w:val="00832B49"/>
    <w:rsid w:val="00832B98"/>
    <w:rsid w:val="00832C59"/>
    <w:rsid w:val="00832CF0"/>
    <w:rsid w:val="00832DD7"/>
    <w:rsid w:val="00832E69"/>
    <w:rsid w:val="00832E90"/>
    <w:rsid w:val="00833062"/>
    <w:rsid w:val="00833078"/>
    <w:rsid w:val="008331E1"/>
    <w:rsid w:val="00833227"/>
    <w:rsid w:val="008333EE"/>
    <w:rsid w:val="0083345B"/>
    <w:rsid w:val="00833502"/>
    <w:rsid w:val="00833528"/>
    <w:rsid w:val="00833532"/>
    <w:rsid w:val="008338D5"/>
    <w:rsid w:val="008338F4"/>
    <w:rsid w:val="008339B4"/>
    <w:rsid w:val="00833B5F"/>
    <w:rsid w:val="00833C75"/>
    <w:rsid w:val="00833DB6"/>
    <w:rsid w:val="00834463"/>
    <w:rsid w:val="008345E4"/>
    <w:rsid w:val="008346D9"/>
    <w:rsid w:val="008348E7"/>
    <w:rsid w:val="00834A4C"/>
    <w:rsid w:val="00834A71"/>
    <w:rsid w:val="00834A7F"/>
    <w:rsid w:val="00834B35"/>
    <w:rsid w:val="00834BC5"/>
    <w:rsid w:val="00834D00"/>
    <w:rsid w:val="00834DB9"/>
    <w:rsid w:val="00834E76"/>
    <w:rsid w:val="00834FEA"/>
    <w:rsid w:val="008350B5"/>
    <w:rsid w:val="008351D3"/>
    <w:rsid w:val="00835202"/>
    <w:rsid w:val="008352F6"/>
    <w:rsid w:val="008353DC"/>
    <w:rsid w:val="0083549F"/>
    <w:rsid w:val="0083550C"/>
    <w:rsid w:val="008355D9"/>
    <w:rsid w:val="008355FD"/>
    <w:rsid w:val="00835755"/>
    <w:rsid w:val="00835A1A"/>
    <w:rsid w:val="00835AD7"/>
    <w:rsid w:val="00835B2A"/>
    <w:rsid w:val="00835B99"/>
    <w:rsid w:val="00835BD7"/>
    <w:rsid w:val="00835BFB"/>
    <w:rsid w:val="00835E07"/>
    <w:rsid w:val="00835E41"/>
    <w:rsid w:val="00835E56"/>
    <w:rsid w:val="00835F05"/>
    <w:rsid w:val="0083600A"/>
    <w:rsid w:val="00836055"/>
    <w:rsid w:val="008362C2"/>
    <w:rsid w:val="008362D0"/>
    <w:rsid w:val="008362E8"/>
    <w:rsid w:val="0083632B"/>
    <w:rsid w:val="0083640A"/>
    <w:rsid w:val="008365F3"/>
    <w:rsid w:val="00836A31"/>
    <w:rsid w:val="00836B96"/>
    <w:rsid w:val="00836BCC"/>
    <w:rsid w:val="00836E84"/>
    <w:rsid w:val="0083717D"/>
    <w:rsid w:val="00837193"/>
    <w:rsid w:val="0083729B"/>
    <w:rsid w:val="0083753E"/>
    <w:rsid w:val="00837598"/>
    <w:rsid w:val="008375F3"/>
    <w:rsid w:val="00837795"/>
    <w:rsid w:val="008377D4"/>
    <w:rsid w:val="0083784E"/>
    <w:rsid w:val="00837D01"/>
    <w:rsid w:val="00837DAE"/>
    <w:rsid w:val="00837F93"/>
    <w:rsid w:val="00837F99"/>
    <w:rsid w:val="00837FCB"/>
    <w:rsid w:val="00840297"/>
    <w:rsid w:val="0084037F"/>
    <w:rsid w:val="0084049A"/>
    <w:rsid w:val="008404A5"/>
    <w:rsid w:val="008405D3"/>
    <w:rsid w:val="008406FF"/>
    <w:rsid w:val="008407CC"/>
    <w:rsid w:val="008408F5"/>
    <w:rsid w:val="008409DF"/>
    <w:rsid w:val="00840CC4"/>
    <w:rsid w:val="00840CDF"/>
    <w:rsid w:val="00840D8C"/>
    <w:rsid w:val="00840F58"/>
    <w:rsid w:val="00840FC6"/>
    <w:rsid w:val="008411A6"/>
    <w:rsid w:val="00841350"/>
    <w:rsid w:val="00841595"/>
    <w:rsid w:val="00841634"/>
    <w:rsid w:val="008416C3"/>
    <w:rsid w:val="00841793"/>
    <w:rsid w:val="00841893"/>
    <w:rsid w:val="00841A6F"/>
    <w:rsid w:val="00841A80"/>
    <w:rsid w:val="00841B43"/>
    <w:rsid w:val="00841D29"/>
    <w:rsid w:val="00841ED1"/>
    <w:rsid w:val="00841F63"/>
    <w:rsid w:val="00841FB3"/>
    <w:rsid w:val="00841FB4"/>
    <w:rsid w:val="008420D2"/>
    <w:rsid w:val="00842113"/>
    <w:rsid w:val="00842128"/>
    <w:rsid w:val="0084212F"/>
    <w:rsid w:val="00842150"/>
    <w:rsid w:val="0084215F"/>
    <w:rsid w:val="008422C0"/>
    <w:rsid w:val="0084237B"/>
    <w:rsid w:val="0084241C"/>
    <w:rsid w:val="00842550"/>
    <w:rsid w:val="0084260F"/>
    <w:rsid w:val="00842B7E"/>
    <w:rsid w:val="00842DA3"/>
    <w:rsid w:val="00842E06"/>
    <w:rsid w:val="00842E25"/>
    <w:rsid w:val="00842EBE"/>
    <w:rsid w:val="00842EFB"/>
    <w:rsid w:val="00842FC3"/>
    <w:rsid w:val="008433D5"/>
    <w:rsid w:val="008433FA"/>
    <w:rsid w:val="0084345E"/>
    <w:rsid w:val="0084347E"/>
    <w:rsid w:val="008435E0"/>
    <w:rsid w:val="00843697"/>
    <w:rsid w:val="0084369E"/>
    <w:rsid w:val="008437D4"/>
    <w:rsid w:val="008437F9"/>
    <w:rsid w:val="00843882"/>
    <w:rsid w:val="0084391B"/>
    <w:rsid w:val="00843942"/>
    <w:rsid w:val="00843996"/>
    <w:rsid w:val="00843A0F"/>
    <w:rsid w:val="00843A5F"/>
    <w:rsid w:val="00843FCE"/>
    <w:rsid w:val="00844035"/>
    <w:rsid w:val="00844180"/>
    <w:rsid w:val="008441A9"/>
    <w:rsid w:val="0084432F"/>
    <w:rsid w:val="0084446C"/>
    <w:rsid w:val="008446AA"/>
    <w:rsid w:val="008447C3"/>
    <w:rsid w:val="008448C5"/>
    <w:rsid w:val="00844B20"/>
    <w:rsid w:val="00844B60"/>
    <w:rsid w:val="00844F3A"/>
    <w:rsid w:val="00844F62"/>
    <w:rsid w:val="00844FE2"/>
    <w:rsid w:val="0084514B"/>
    <w:rsid w:val="0084523A"/>
    <w:rsid w:val="00845390"/>
    <w:rsid w:val="008453C4"/>
    <w:rsid w:val="0084555E"/>
    <w:rsid w:val="008455BC"/>
    <w:rsid w:val="00845762"/>
    <w:rsid w:val="00845803"/>
    <w:rsid w:val="008458B4"/>
    <w:rsid w:val="00845957"/>
    <w:rsid w:val="008459CB"/>
    <w:rsid w:val="00845AC7"/>
    <w:rsid w:val="00845BCD"/>
    <w:rsid w:val="00845E6B"/>
    <w:rsid w:val="00845ECB"/>
    <w:rsid w:val="00846093"/>
    <w:rsid w:val="008460BD"/>
    <w:rsid w:val="0084628C"/>
    <w:rsid w:val="00846324"/>
    <w:rsid w:val="0084633A"/>
    <w:rsid w:val="008463D4"/>
    <w:rsid w:val="00846478"/>
    <w:rsid w:val="00846742"/>
    <w:rsid w:val="008467D9"/>
    <w:rsid w:val="008467F6"/>
    <w:rsid w:val="00846839"/>
    <w:rsid w:val="0084698D"/>
    <w:rsid w:val="00846AE6"/>
    <w:rsid w:val="00846C45"/>
    <w:rsid w:val="00846CAB"/>
    <w:rsid w:val="00847067"/>
    <w:rsid w:val="008470A2"/>
    <w:rsid w:val="00847144"/>
    <w:rsid w:val="0084717F"/>
    <w:rsid w:val="008471F5"/>
    <w:rsid w:val="00847437"/>
    <w:rsid w:val="0084748C"/>
    <w:rsid w:val="008474A2"/>
    <w:rsid w:val="008474C8"/>
    <w:rsid w:val="008475F6"/>
    <w:rsid w:val="008477C4"/>
    <w:rsid w:val="00847811"/>
    <w:rsid w:val="0084782C"/>
    <w:rsid w:val="00847946"/>
    <w:rsid w:val="008479F2"/>
    <w:rsid w:val="00847A6E"/>
    <w:rsid w:val="00847A75"/>
    <w:rsid w:val="00847B0A"/>
    <w:rsid w:val="00847BAF"/>
    <w:rsid w:val="00847BBF"/>
    <w:rsid w:val="00847C84"/>
    <w:rsid w:val="00847DA9"/>
    <w:rsid w:val="00847DFC"/>
    <w:rsid w:val="00847E04"/>
    <w:rsid w:val="00847E2B"/>
    <w:rsid w:val="00847F94"/>
    <w:rsid w:val="008501DB"/>
    <w:rsid w:val="00850307"/>
    <w:rsid w:val="00850396"/>
    <w:rsid w:val="008503D0"/>
    <w:rsid w:val="008506B8"/>
    <w:rsid w:val="00850733"/>
    <w:rsid w:val="008507C5"/>
    <w:rsid w:val="008507D4"/>
    <w:rsid w:val="00850801"/>
    <w:rsid w:val="00850AFD"/>
    <w:rsid w:val="00850CB3"/>
    <w:rsid w:val="00850F82"/>
    <w:rsid w:val="00851097"/>
    <w:rsid w:val="008510D6"/>
    <w:rsid w:val="008511FC"/>
    <w:rsid w:val="0085122A"/>
    <w:rsid w:val="00851491"/>
    <w:rsid w:val="00851572"/>
    <w:rsid w:val="00851629"/>
    <w:rsid w:val="00851746"/>
    <w:rsid w:val="00851792"/>
    <w:rsid w:val="00851901"/>
    <w:rsid w:val="0085194C"/>
    <w:rsid w:val="00851AE7"/>
    <w:rsid w:val="00851BF4"/>
    <w:rsid w:val="00851CB9"/>
    <w:rsid w:val="00851D07"/>
    <w:rsid w:val="00851D62"/>
    <w:rsid w:val="00851DBD"/>
    <w:rsid w:val="00852290"/>
    <w:rsid w:val="008522AA"/>
    <w:rsid w:val="0085241A"/>
    <w:rsid w:val="008524E5"/>
    <w:rsid w:val="00852517"/>
    <w:rsid w:val="00852563"/>
    <w:rsid w:val="008525C3"/>
    <w:rsid w:val="0085264A"/>
    <w:rsid w:val="008528CB"/>
    <w:rsid w:val="00852A28"/>
    <w:rsid w:val="00852A46"/>
    <w:rsid w:val="00852E75"/>
    <w:rsid w:val="00852ECC"/>
    <w:rsid w:val="00852F55"/>
    <w:rsid w:val="00853023"/>
    <w:rsid w:val="008531DE"/>
    <w:rsid w:val="0085354C"/>
    <w:rsid w:val="00853816"/>
    <w:rsid w:val="0085388E"/>
    <w:rsid w:val="00853938"/>
    <w:rsid w:val="008539D4"/>
    <w:rsid w:val="008539D5"/>
    <w:rsid w:val="00853A0D"/>
    <w:rsid w:val="00853A5B"/>
    <w:rsid w:val="00853AB7"/>
    <w:rsid w:val="00853C99"/>
    <w:rsid w:val="00853D6D"/>
    <w:rsid w:val="00853DBD"/>
    <w:rsid w:val="00853F3E"/>
    <w:rsid w:val="00853F61"/>
    <w:rsid w:val="00853FBA"/>
    <w:rsid w:val="00853FE7"/>
    <w:rsid w:val="0085411C"/>
    <w:rsid w:val="0085425D"/>
    <w:rsid w:val="008542C8"/>
    <w:rsid w:val="008543A5"/>
    <w:rsid w:val="008546F8"/>
    <w:rsid w:val="0085472C"/>
    <w:rsid w:val="0085472E"/>
    <w:rsid w:val="00854771"/>
    <w:rsid w:val="00854796"/>
    <w:rsid w:val="008548B2"/>
    <w:rsid w:val="008548EF"/>
    <w:rsid w:val="00854A1B"/>
    <w:rsid w:val="00854A3E"/>
    <w:rsid w:val="00854A5A"/>
    <w:rsid w:val="00854ABD"/>
    <w:rsid w:val="00854AE6"/>
    <w:rsid w:val="00854B62"/>
    <w:rsid w:val="00854DE1"/>
    <w:rsid w:val="00855059"/>
    <w:rsid w:val="008550A7"/>
    <w:rsid w:val="008550F0"/>
    <w:rsid w:val="008550FF"/>
    <w:rsid w:val="00855111"/>
    <w:rsid w:val="00855353"/>
    <w:rsid w:val="0085548F"/>
    <w:rsid w:val="008554F5"/>
    <w:rsid w:val="00855565"/>
    <w:rsid w:val="0085556B"/>
    <w:rsid w:val="008555C2"/>
    <w:rsid w:val="008558A7"/>
    <w:rsid w:val="008559F4"/>
    <w:rsid w:val="00855B8F"/>
    <w:rsid w:val="00855B97"/>
    <w:rsid w:val="00855D46"/>
    <w:rsid w:val="00855D6F"/>
    <w:rsid w:val="00855D76"/>
    <w:rsid w:val="00855F45"/>
    <w:rsid w:val="008561B8"/>
    <w:rsid w:val="008561D7"/>
    <w:rsid w:val="0085634B"/>
    <w:rsid w:val="0085639D"/>
    <w:rsid w:val="0085645E"/>
    <w:rsid w:val="00856579"/>
    <w:rsid w:val="008565BF"/>
    <w:rsid w:val="00856736"/>
    <w:rsid w:val="00856999"/>
    <w:rsid w:val="00856A03"/>
    <w:rsid w:val="00856B3C"/>
    <w:rsid w:val="00856D61"/>
    <w:rsid w:val="00856E73"/>
    <w:rsid w:val="00856F04"/>
    <w:rsid w:val="00856F63"/>
    <w:rsid w:val="00857008"/>
    <w:rsid w:val="00857045"/>
    <w:rsid w:val="008570F3"/>
    <w:rsid w:val="008570F4"/>
    <w:rsid w:val="008571AB"/>
    <w:rsid w:val="00857221"/>
    <w:rsid w:val="008572BB"/>
    <w:rsid w:val="0085743F"/>
    <w:rsid w:val="0085775D"/>
    <w:rsid w:val="008578CC"/>
    <w:rsid w:val="00857910"/>
    <w:rsid w:val="008579B1"/>
    <w:rsid w:val="00857A57"/>
    <w:rsid w:val="00857ACB"/>
    <w:rsid w:val="00857D21"/>
    <w:rsid w:val="00857D51"/>
    <w:rsid w:val="00857E14"/>
    <w:rsid w:val="00857E18"/>
    <w:rsid w:val="00857E3C"/>
    <w:rsid w:val="00857E59"/>
    <w:rsid w:val="00857F20"/>
    <w:rsid w:val="00857FF2"/>
    <w:rsid w:val="0086018C"/>
    <w:rsid w:val="0086038A"/>
    <w:rsid w:val="008603D6"/>
    <w:rsid w:val="008605E7"/>
    <w:rsid w:val="008607AE"/>
    <w:rsid w:val="00860B21"/>
    <w:rsid w:val="00860B3D"/>
    <w:rsid w:val="00860B90"/>
    <w:rsid w:val="00860E0F"/>
    <w:rsid w:val="00860E6E"/>
    <w:rsid w:val="00860EFD"/>
    <w:rsid w:val="00860F6C"/>
    <w:rsid w:val="008610C6"/>
    <w:rsid w:val="0086121F"/>
    <w:rsid w:val="00861268"/>
    <w:rsid w:val="008613F8"/>
    <w:rsid w:val="008614A4"/>
    <w:rsid w:val="00861528"/>
    <w:rsid w:val="00861698"/>
    <w:rsid w:val="00861776"/>
    <w:rsid w:val="00861928"/>
    <w:rsid w:val="00861B11"/>
    <w:rsid w:val="00861B9C"/>
    <w:rsid w:val="00861C04"/>
    <w:rsid w:val="00861C1A"/>
    <w:rsid w:val="00861C75"/>
    <w:rsid w:val="00861D14"/>
    <w:rsid w:val="00861DFD"/>
    <w:rsid w:val="00861E4E"/>
    <w:rsid w:val="00861F38"/>
    <w:rsid w:val="008624E9"/>
    <w:rsid w:val="00862625"/>
    <w:rsid w:val="0086281E"/>
    <w:rsid w:val="008628CA"/>
    <w:rsid w:val="008628FB"/>
    <w:rsid w:val="00862B17"/>
    <w:rsid w:val="00862DCB"/>
    <w:rsid w:val="00862DF1"/>
    <w:rsid w:val="00862E90"/>
    <w:rsid w:val="00862F1B"/>
    <w:rsid w:val="00862F91"/>
    <w:rsid w:val="00862FBF"/>
    <w:rsid w:val="00863134"/>
    <w:rsid w:val="0086314F"/>
    <w:rsid w:val="00863173"/>
    <w:rsid w:val="00863174"/>
    <w:rsid w:val="00863425"/>
    <w:rsid w:val="008634DB"/>
    <w:rsid w:val="00863B3C"/>
    <w:rsid w:val="00863BFC"/>
    <w:rsid w:val="00863C7D"/>
    <w:rsid w:val="00863CE3"/>
    <w:rsid w:val="00863EF5"/>
    <w:rsid w:val="00863FC1"/>
    <w:rsid w:val="008641D7"/>
    <w:rsid w:val="00864258"/>
    <w:rsid w:val="0086428A"/>
    <w:rsid w:val="008643CC"/>
    <w:rsid w:val="008643E5"/>
    <w:rsid w:val="00864449"/>
    <w:rsid w:val="00864653"/>
    <w:rsid w:val="008647DC"/>
    <w:rsid w:val="0086490D"/>
    <w:rsid w:val="00864A09"/>
    <w:rsid w:val="00864A4A"/>
    <w:rsid w:val="00864B46"/>
    <w:rsid w:val="00864BA8"/>
    <w:rsid w:val="00864BB7"/>
    <w:rsid w:val="00864ECC"/>
    <w:rsid w:val="00864EFF"/>
    <w:rsid w:val="00864F3C"/>
    <w:rsid w:val="008651B1"/>
    <w:rsid w:val="00865439"/>
    <w:rsid w:val="008656B9"/>
    <w:rsid w:val="008658FE"/>
    <w:rsid w:val="00865B57"/>
    <w:rsid w:val="00865BC0"/>
    <w:rsid w:val="00865BE5"/>
    <w:rsid w:val="00865C77"/>
    <w:rsid w:val="00865CC4"/>
    <w:rsid w:val="00865DB7"/>
    <w:rsid w:val="00865EDA"/>
    <w:rsid w:val="00866006"/>
    <w:rsid w:val="008660C8"/>
    <w:rsid w:val="008660D6"/>
    <w:rsid w:val="00866181"/>
    <w:rsid w:val="008662B7"/>
    <w:rsid w:val="00866426"/>
    <w:rsid w:val="0086650E"/>
    <w:rsid w:val="00866704"/>
    <w:rsid w:val="00866814"/>
    <w:rsid w:val="008668A9"/>
    <w:rsid w:val="008669E2"/>
    <w:rsid w:val="00866AE1"/>
    <w:rsid w:val="00866BEF"/>
    <w:rsid w:val="00866C98"/>
    <w:rsid w:val="00866FA0"/>
    <w:rsid w:val="008670A0"/>
    <w:rsid w:val="008670E3"/>
    <w:rsid w:val="008671F6"/>
    <w:rsid w:val="008672A9"/>
    <w:rsid w:val="0086741F"/>
    <w:rsid w:val="0086776C"/>
    <w:rsid w:val="00867914"/>
    <w:rsid w:val="00867AB1"/>
    <w:rsid w:val="00867C22"/>
    <w:rsid w:val="00867C99"/>
    <w:rsid w:val="008700B6"/>
    <w:rsid w:val="008700F7"/>
    <w:rsid w:val="008701CB"/>
    <w:rsid w:val="0087031C"/>
    <w:rsid w:val="00870638"/>
    <w:rsid w:val="008706D4"/>
    <w:rsid w:val="00870963"/>
    <w:rsid w:val="0087099A"/>
    <w:rsid w:val="008709CF"/>
    <w:rsid w:val="00870A99"/>
    <w:rsid w:val="00870B04"/>
    <w:rsid w:val="00870D3F"/>
    <w:rsid w:val="0087118B"/>
    <w:rsid w:val="008711BC"/>
    <w:rsid w:val="008713A6"/>
    <w:rsid w:val="008716DC"/>
    <w:rsid w:val="0087177D"/>
    <w:rsid w:val="00871865"/>
    <w:rsid w:val="008718F1"/>
    <w:rsid w:val="0087190F"/>
    <w:rsid w:val="00871985"/>
    <w:rsid w:val="00871A69"/>
    <w:rsid w:val="00871A85"/>
    <w:rsid w:val="00871B40"/>
    <w:rsid w:val="00871C7A"/>
    <w:rsid w:val="00871C9D"/>
    <w:rsid w:val="00871CE9"/>
    <w:rsid w:val="00871D3F"/>
    <w:rsid w:val="00871E20"/>
    <w:rsid w:val="00871E2C"/>
    <w:rsid w:val="00871E4B"/>
    <w:rsid w:val="00871F99"/>
    <w:rsid w:val="008720B1"/>
    <w:rsid w:val="008720D4"/>
    <w:rsid w:val="008720F2"/>
    <w:rsid w:val="00872369"/>
    <w:rsid w:val="00872421"/>
    <w:rsid w:val="008724FE"/>
    <w:rsid w:val="008725B5"/>
    <w:rsid w:val="008726E7"/>
    <w:rsid w:val="00872969"/>
    <w:rsid w:val="00872C8D"/>
    <w:rsid w:val="00872C96"/>
    <w:rsid w:val="00872D37"/>
    <w:rsid w:val="00872EB9"/>
    <w:rsid w:val="00872EDD"/>
    <w:rsid w:val="008731DD"/>
    <w:rsid w:val="008731E8"/>
    <w:rsid w:val="00873314"/>
    <w:rsid w:val="00873348"/>
    <w:rsid w:val="008733DD"/>
    <w:rsid w:val="0087357F"/>
    <w:rsid w:val="00873682"/>
    <w:rsid w:val="00873687"/>
    <w:rsid w:val="00873A0A"/>
    <w:rsid w:val="00873BFD"/>
    <w:rsid w:val="00873C8D"/>
    <w:rsid w:val="00873EFF"/>
    <w:rsid w:val="00874152"/>
    <w:rsid w:val="00874244"/>
    <w:rsid w:val="0087425F"/>
    <w:rsid w:val="00874598"/>
    <w:rsid w:val="008746C3"/>
    <w:rsid w:val="008746D1"/>
    <w:rsid w:val="00874758"/>
    <w:rsid w:val="0087480C"/>
    <w:rsid w:val="00874827"/>
    <w:rsid w:val="00874938"/>
    <w:rsid w:val="00874AC1"/>
    <w:rsid w:val="00874AC9"/>
    <w:rsid w:val="00874B60"/>
    <w:rsid w:val="00874BA5"/>
    <w:rsid w:val="00874CBF"/>
    <w:rsid w:val="00874D5B"/>
    <w:rsid w:val="00874E81"/>
    <w:rsid w:val="00874EE9"/>
    <w:rsid w:val="00874FCF"/>
    <w:rsid w:val="008751A4"/>
    <w:rsid w:val="008752AA"/>
    <w:rsid w:val="008754BF"/>
    <w:rsid w:val="008757F3"/>
    <w:rsid w:val="008758C5"/>
    <w:rsid w:val="00875905"/>
    <w:rsid w:val="00875ABD"/>
    <w:rsid w:val="00875BA8"/>
    <w:rsid w:val="00875C7D"/>
    <w:rsid w:val="00875CD1"/>
    <w:rsid w:val="00875CD6"/>
    <w:rsid w:val="00875F01"/>
    <w:rsid w:val="00875F03"/>
    <w:rsid w:val="00875F9A"/>
    <w:rsid w:val="008760C2"/>
    <w:rsid w:val="008762FB"/>
    <w:rsid w:val="00876402"/>
    <w:rsid w:val="008767CB"/>
    <w:rsid w:val="0087682B"/>
    <w:rsid w:val="00876887"/>
    <w:rsid w:val="008768A0"/>
    <w:rsid w:val="0087692A"/>
    <w:rsid w:val="0087695E"/>
    <w:rsid w:val="008769CA"/>
    <w:rsid w:val="008769D6"/>
    <w:rsid w:val="00876B86"/>
    <w:rsid w:val="00876C26"/>
    <w:rsid w:val="00876DC7"/>
    <w:rsid w:val="00876F86"/>
    <w:rsid w:val="0087701B"/>
    <w:rsid w:val="008771C2"/>
    <w:rsid w:val="00877384"/>
    <w:rsid w:val="008775E7"/>
    <w:rsid w:val="00877601"/>
    <w:rsid w:val="0087771C"/>
    <w:rsid w:val="00877739"/>
    <w:rsid w:val="0087778F"/>
    <w:rsid w:val="00877872"/>
    <w:rsid w:val="00877886"/>
    <w:rsid w:val="00877A47"/>
    <w:rsid w:val="00877DB0"/>
    <w:rsid w:val="00877E02"/>
    <w:rsid w:val="00877F79"/>
    <w:rsid w:val="00877FA2"/>
    <w:rsid w:val="00877FB5"/>
    <w:rsid w:val="008800A6"/>
    <w:rsid w:val="0088019E"/>
    <w:rsid w:val="008801F3"/>
    <w:rsid w:val="0088020F"/>
    <w:rsid w:val="0088040C"/>
    <w:rsid w:val="0088058E"/>
    <w:rsid w:val="008805F7"/>
    <w:rsid w:val="008806A0"/>
    <w:rsid w:val="008806FD"/>
    <w:rsid w:val="0088081F"/>
    <w:rsid w:val="00880822"/>
    <w:rsid w:val="00880869"/>
    <w:rsid w:val="008808DD"/>
    <w:rsid w:val="0088094F"/>
    <w:rsid w:val="00880968"/>
    <w:rsid w:val="0088099A"/>
    <w:rsid w:val="00880A30"/>
    <w:rsid w:val="00880A3B"/>
    <w:rsid w:val="00880BFB"/>
    <w:rsid w:val="00880E5B"/>
    <w:rsid w:val="008810A1"/>
    <w:rsid w:val="008810B6"/>
    <w:rsid w:val="0088111A"/>
    <w:rsid w:val="0088123A"/>
    <w:rsid w:val="0088125A"/>
    <w:rsid w:val="008812CE"/>
    <w:rsid w:val="008816B2"/>
    <w:rsid w:val="00881AF9"/>
    <w:rsid w:val="00881BB7"/>
    <w:rsid w:val="00881C41"/>
    <w:rsid w:val="00882114"/>
    <w:rsid w:val="0088220B"/>
    <w:rsid w:val="00882230"/>
    <w:rsid w:val="00882258"/>
    <w:rsid w:val="0088250B"/>
    <w:rsid w:val="008825D1"/>
    <w:rsid w:val="00882606"/>
    <w:rsid w:val="008828CA"/>
    <w:rsid w:val="008828DB"/>
    <w:rsid w:val="008828E0"/>
    <w:rsid w:val="008828ED"/>
    <w:rsid w:val="00882BB2"/>
    <w:rsid w:val="00882BC3"/>
    <w:rsid w:val="00882CDB"/>
    <w:rsid w:val="00882DAA"/>
    <w:rsid w:val="00882E7C"/>
    <w:rsid w:val="00882ED0"/>
    <w:rsid w:val="00882EDC"/>
    <w:rsid w:val="00882F45"/>
    <w:rsid w:val="00883006"/>
    <w:rsid w:val="0088307C"/>
    <w:rsid w:val="00883218"/>
    <w:rsid w:val="0088334D"/>
    <w:rsid w:val="00883566"/>
    <w:rsid w:val="00883687"/>
    <w:rsid w:val="008836C4"/>
    <w:rsid w:val="00883804"/>
    <w:rsid w:val="00883807"/>
    <w:rsid w:val="0088387F"/>
    <w:rsid w:val="0088388D"/>
    <w:rsid w:val="00883A9D"/>
    <w:rsid w:val="00883C7D"/>
    <w:rsid w:val="00883E38"/>
    <w:rsid w:val="00883F8B"/>
    <w:rsid w:val="0088408D"/>
    <w:rsid w:val="008840FE"/>
    <w:rsid w:val="008841EB"/>
    <w:rsid w:val="008842AA"/>
    <w:rsid w:val="008842E1"/>
    <w:rsid w:val="008842FD"/>
    <w:rsid w:val="008843C3"/>
    <w:rsid w:val="008843CA"/>
    <w:rsid w:val="008844EB"/>
    <w:rsid w:val="0088453E"/>
    <w:rsid w:val="008845BA"/>
    <w:rsid w:val="00884848"/>
    <w:rsid w:val="00884BAF"/>
    <w:rsid w:val="00884BBF"/>
    <w:rsid w:val="00884C22"/>
    <w:rsid w:val="00884C4C"/>
    <w:rsid w:val="00884C76"/>
    <w:rsid w:val="00884CD7"/>
    <w:rsid w:val="00884EBE"/>
    <w:rsid w:val="00884F87"/>
    <w:rsid w:val="008851F2"/>
    <w:rsid w:val="0088520C"/>
    <w:rsid w:val="00885285"/>
    <w:rsid w:val="008852D4"/>
    <w:rsid w:val="00885390"/>
    <w:rsid w:val="008854AA"/>
    <w:rsid w:val="00885513"/>
    <w:rsid w:val="008855CF"/>
    <w:rsid w:val="008858C3"/>
    <w:rsid w:val="008858E1"/>
    <w:rsid w:val="008858F4"/>
    <w:rsid w:val="00885906"/>
    <w:rsid w:val="00885920"/>
    <w:rsid w:val="00885930"/>
    <w:rsid w:val="00885A8C"/>
    <w:rsid w:val="00885B38"/>
    <w:rsid w:val="00885B96"/>
    <w:rsid w:val="00885CD1"/>
    <w:rsid w:val="00885D21"/>
    <w:rsid w:val="00885D87"/>
    <w:rsid w:val="00885F2A"/>
    <w:rsid w:val="00885F2C"/>
    <w:rsid w:val="00885F7D"/>
    <w:rsid w:val="008862D1"/>
    <w:rsid w:val="008863E5"/>
    <w:rsid w:val="00886503"/>
    <w:rsid w:val="00886585"/>
    <w:rsid w:val="008865DB"/>
    <w:rsid w:val="008866F7"/>
    <w:rsid w:val="0088678D"/>
    <w:rsid w:val="008867C4"/>
    <w:rsid w:val="00886866"/>
    <w:rsid w:val="0088696B"/>
    <w:rsid w:val="008869AD"/>
    <w:rsid w:val="00886A09"/>
    <w:rsid w:val="00886A26"/>
    <w:rsid w:val="00886A60"/>
    <w:rsid w:val="00886A64"/>
    <w:rsid w:val="00886A67"/>
    <w:rsid w:val="00886AFE"/>
    <w:rsid w:val="00886B69"/>
    <w:rsid w:val="00886BC0"/>
    <w:rsid w:val="00886CD6"/>
    <w:rsid w:val="00886D76"/>
    <w:rsid w:val="00886DB6"/>
    <w:rsid w:val="00886EBA"/>
    <w:rsid w:val="00886F14"/>
    <w:rsid w:val="00886FEA"/>
    <w:rsid w:val="008870C2"/>
    <w:rsid w:val="008870DE"/>
    <w:rsid w:val="00887143"/>
    <w:rsid w:val="00887148"/>
    <w:rsid w:val="0088719A"/>
    <w:rsid w:val="0088732C"/>
    <w:rsid w:val="00887475"/>
    <w:rsid w:val="00887486"/>
    <w:rsid w:val="0088757A"/>
    <w:rsid w:val="00887586"/>
    <w:rsid w:val="00887645"/>
    <w:rsid w:val="0088765A"/>
    <w:rsid w:val="0088767F"/>
    <w:rsid w:val="00887741"/>
    <w:rsid w:val="0088784C"/>
    <w:rsid w:val="0088787D"/>
    <w:rsid w:val="00887A4B"/>
    <w:rsid w:val="00887B56"/>
    <w:rsid w:val="00887D59"/>
    <w:rsid w:val="00887DBF"/>
    <w:rsid w:val="00887EA9"/>
    <w:rsid w:val="00887FF0"/>
    <w:rsid w:val="00890060"/>
    <w:rsid w:val="008900C9"/>
    <w:rsid w:val="0089010E"/>
    <w:rsid w:val="008901C3"/>
    <w:rsid w:val="0089024A"/>
    <w:rsid w:val="0089031B"/>
    <w:rsid w:val="008905B3"/>
    <w:rsid w:val="008906B2"/>
    <w:rsid w:val="008907A0"/>
    <w:rsid w:val="008907FB"/>
    <w:rsid w:val="00890810"/>
    <w:rsid w:val="008908C9"/>
    <w:rsid w:val="00890936"/>
    <w:rsid w:val="00890A0F"/>
    <w:rsid w:val="00890A3A"/>
    <w:rsid w:val="00890AFA"/>
    <w:rsid w:val="00890D14"/>
    <w:rsid w:val="00890D71"/>
    <w:rsid w:val="00890E61"/>
    <w:rsid w:val="00890EC7"/>
    <w:rsid w:val="00890F39"/>
    <w:rsid w:val="00890FA0"/>
    <w:rsid w:val="0089107E"/>
    <w:rsid w:val="00891215"/>
    <w:rsid w:val="0089138A"/>
    <w:rsid w:val="00891485"/>
    <w:rsid w:val="008914B5"/>
    <w:rsid w:val="00891578"/>
    <w:rsid w:val="0089170F"/>
    <w:rsid w:val="0089177C"/>
    <w:rsid w:val="00891908"/>
    <w:rsid w:val="00891A0F"/>
    <w:rsid w:val="00891C24"/>
    <w:rsid w:val="00891E44"/>
    <w:rsid w:val="00891E71"/>
    <w:rsid w:val="00891FA3"/>
    <w:rsid w:val="008920C3"/>
    <w:rsid w:val="00892120"/>
    <w:rsid w:val="00892146"/>
    <w:rsid w:val="008921BD"/>
    <w:rsid w:val="008925CE"/>
    <w:rsid w:val="008926AA"/>
    <w:rsid w:val="008927F2"/>
    <w:rsid w:val="00892837"/>
    <w:rsid w:val="00892982"/>
    <w:rsid w:val="00892A60"/>
    <w:rsid w:val="00892BFA"/>
    <w:rsid w:val="00892C21"/>
    <w:rsid w:val="00892CE2"/>
    <w:rsid w:val="00892DF7"/>
    <w:rsid w:val="00892E74"/>
    <w:rsid w:val="00893025"/>
    <w:rsid w:val="0089327E"/>
    <w:rsid w:val="0089339E"/>
    <w:rsid w:val="00893411"/>
    <w:rsid w:val="008934B2"/>
    <w:rsid w:val="008937D4"/>
    <w:rsid w:val="00893856"/>
    <w:rsid w:val="00893C00"/>
    <w:rsid w:val="00893D86"/>
    <w:rsid w:val="00893DEB"/>
    <w:rsid w:val="00893E0E"/>
    <w:rsid w:val="00894003"/>
    <w:rsid w:val="008940EB"/>
    <w:rsid w:val="008940F9"/>
    <w:rsid w:val="00894134"/>
    <w:rsid w:val="008944F8"/>
    <w:rsid w:val="00894554"/>
    <w:rsid w:val="008945A0"/>
    <w:rsid w:val="008945A3"/>
    <w:rsid w:val="008945BD"/>
    <w:rsid w:val="0089467B"/>
    <w:rsid w:val="00894691"/>
    <w:rsid w:val="008947C7"/>
    <w:rsid w:val="008947CF"/>
    <w:rsid w:val="0089485C"/>
    <w:rsid w:val="0089491C"/>
    <w:rsid w:val="0089493A"/>
    <w:rsid w:val="0089497B"/>
    <w:rsid w:val="00894E49"/>
    <w:rsid w:val="00894F33"/>
    <w:rsid w:val="00894FD6"/>
    <w:rsid w:val="008950EC"/>
    <w:rsid w:val="008951B0"/>
    <w:rsid w:val="008951CF"/>
    <w:rsid w:val="008952AF"/>
    <w:rsid w:val="008954F1"/>
    <w:rsid w:val="00895782"/>
    <w:rsid w:val="008959D5"/>
    <w:rsid w:val="00895A5F"/>
    <w:rsid w:val="00895BC3"/>
    <w:rsid w:val="00895BF3"/>
    <w:rsid w:val="00895BFF"/>
    <w:rsid w:val="00895CB7"/>
    <w:rsid w:val="00895E86"/>
    <w:rsid w:val="00895E98"/>
    <w:rsid w:val="00895ED9"/>
    <w:rsid w:val="0089615D"/>
    <w:rsid w:val="00896625"/>
    <w:rsid w:val="00896B36"/>
    <w:rsid w:val="00896B51"/>
    <w:rsid w:val="00896D6F"/>
    <w:rsid w:val="00896D70"/>
    <w:rsid w:val="00896D79"/>
    <w:rsid w:val="00896DEF"/>
    <w:rsid w:val="00896ED0"/>
    <w:rsid w:val="00896FC8"/>
    <w:rsid w:val="00897072"/>
    <w:rsid w:val="008971E1"/>
    <w:rsid w:val="00897345"/>
    <w:rsid w:val="008974DA"/>
    <w:rsid w:val="00897689"/>
    <w:rsid w:val="008976BD"/>
    <w:rsid w:val="008977DD"/>
    <w:rsid w:val="0089795A"/>
    <w:rsid w:val="00897A00"/>
    <w:rsid w:val="00897B8B"/>
    <w:rsid w:val="00897C7E"/>
    <w:rsid w:val="00897EBA"/>
    <w:rsid w:val="00897EEE"/>
    <w:rsid w:val="00897F37"/>
    <w:rsid w:val="00897F62"/>
    <w:rsid w:val="00897F9B"/>
    <w:rsid w:val="008A000D"/>
    <w:rsid w:val="008A0135"/>
    <w:rsid w:val="008A019F"/>
    <w:rsid w:val="008A0217"/>
    <w:rsid w:val="008A02F2"/>
    <w:rsid w:val="008A0348"/>
    <w:rsid w:val="008A0373"/>
    <w:rsid w:val="008A03E9"/>
    <w:rsid w:val="008A047B"/>
    <w:rsid w:val="008A04DF"/>
    <w:rsid w:val="008A05CB"/>
    <w:rsid w:val="008A0613"/>
    <w:rsid w:val="008A0694"/>
    <w:rsid w:val="008A0778"/>
    <w:rsid w:val="008A0922"/>
    <w:rsid w:val="008A0934"/>
    <w:rsid w:val="008A0A51"/>
    <w:rsid w:val="008A0B04"/>
    <w:rsid w:val="008A0B37"/>
    <w:rsid w:val="008A0C5F"/>
    <w:rsid w:val="008A0C79"/>
    <w:rsid w:val="008A0E1D"/>
    <w:rsid w:val="008A0E87"/>
    <w:rsid w:val="008A0FC9"/>
    <w:rsid w:val="008A1010"/>
    <w:rsid w:val="008A10B7"/>
    <w:rsid w:val="008A1182"/>
    <w:rsid w:val="008A12FB"/>
    <w:rsid w:val="008A13D6"/>
    <w:rsid w:val="008A14DD"/>
    <w:rsid w:val="008A15D5"/>
    <w:rsid w:val="008A1664"/>
    <w:rsid w:val="008A167D"/>
    <w:rsid w:val="008A174C"/>
    <w:rsid w:val="008A1841"/>
    <w:rsid w:val="008A1877"/>
    <w:rsid w:val="008A196B"/>
    <w:rsid w:val="008A1B94"/>
    <w:rsid w:val="008A1D1B"/>
    <w:rsid w:val="008A1DFC"/>
    <w:rsid w:val="008A1E7E"/>
    <w:rsid w:val="008A1F6C"/>
    <w:rsid w:val="008A1FB9"/>
    <w:rsid w:val="008A20CD"/>
    <w:rsid w:val="008A210A"/>
    <w:rsid w:val="008A235C"/>
    <w:rsid w:val="008A251E"/>
    <w:rsid w:val="008A256C"/>
    <w:rsid w:val="008A25FB"/>
    <w:rsid w:val="008A2715"/>
    <w:rsid w:val="008A280C"/>
    <w:rsid w:val="008A28AC"/>
    <w:rsid w:val="008A28F7"/>
    <w:rsid w:val="008A2979"/>
    <w:rsid w:val="008A2A15"/>
    <w:rsid w:val="008A2A30"/>
    <w:rsid w:val="008A2A50"/>
    <w:rsid w:val="008A2AD0"/>
    <w:rsid w:val="008A2B74"/>
    <w:rsid w:val="008A2BA2"/>
    <w:rsid w:val="008A2C7C"/>
    <w:rsid w:val="008A2CEA"/>
    <w:rsid w:val="008A2F89"/>
    <w:rsid w:val="008A2FF1"/>
    <w:rsid w:val="008A309C"/>
    <w:rsid w:val="008A30FD"/>
    <w:rsid w:val="008A3209"/>
    <w:rsid w:val="008A3227"/>
    <w:rsid w:val="008A32C0"/>
    <w:rsid w:val="008A355C"/>
    <w:rsid w:val="008A3565"/>
    <w:rsid w:val="008A3674"/>
    <w:rsid w:val="008A377F"/>
    <w:rsid w:val="008A383F"/>
    <w:rsid w:val="008A386A"/>
    <w:rsid w:val="008A38CC"/>
    <w:rsid w:val="008A39F4"/>
    <w:rsid w:val="008A3ACC"/>
    <w:rsid w:val="008A3B4F"/>
    <w:rsid w:val="008A3CE0"/>
    <w:rsid w:val="008A3D08"/>
    <w:rsid w:val="008A3E23"/>
    <w:rsid w:val="008A42C8"/>
    <w:rsid w:val="008A43D4"/>
    <w:rsid w:val="008A4465"/>
    <w:rsid w:val="008A4504"/>
    <w:rsid w:val="008A4772"/>
    <w:rsid w:val="008A480D"/>
    <w:rsid w:val="008A487F"/>
    <w:rsid w:val="008A490F"/>
    <w:rsid w:val="008A49B6"/>
    <w:rsid w:val="008A4A28"/>
    <w:rsid w:val="008A4AAF"/>
    <w:rsid w:val="008A4C32"/>
    <w:rsid w:val="008A4D98"/>
    <w:rsid w:val="008A4E2B"/>
    <w:rsid w:val="008A5097"/>
    <w:rsid w:val="008A523A"/>
    <w:rsid w:val="008A53EC"/>
    <w:rsid w:val="008A54C9"/>
    <w:rsid w:val="008A54EF"/>
    <w:rsid w:val="008A554A"/>
    <w:rsid w:val="008A55FF"/>
    <w:rsid w:val="008A5898"/>
    <w:rsid w:val="008A59D6"/>
    <w:rsid w:val="008A5A5D"/>
    <w:rsid w:val="008A5B48"/>
    <w:rsid w:val="008A5E62"/>
    <w:rsid w:val="008A6108"/>
    <w:rsid w:val="008A6340"/>
    <w:rsid w:val="008A6373"/>
    <w:rsid w:val="008A660A"/>
    <w:rsid w:val="008A67BB"/>
    <w:rsid w:val="008A6814"/>
    <w:rsid w:val="008A6855"/>
    <w:rsid w:val="008A6A2F"/>
    <w:rsid w:val="008A6A71"/>
    <w:rsid w:val="008A6AAB"/>
    <w:rsid w:val="008A6AD0"/>
    <w:rsid w:val="008A6C5E"/>
    <w:rsid w:val="008A6CA7"/>
    <w:rsid w:val="008A6EC1"/>
    <w:rsid w:val="008A6FA8"/>
    <w:rsid w:val="008A705A"/>
    <w:rsid w:val="008A7062"/>
    <w:rsid w:val="008A7162"/>
    <w:rsid w:val="008A72C3"/>
    <w:rsid w:val="008A742F"/>
    <w:rsid w:val="008A74FA"/>
    <w:rsid w:val="008A7667"/>
    <w:rsid w:val="008A774C"/>
    <w:rsid w:val="008A77D1"/>
    <w:rsid w:val="008A78E8"/>
    <w:rsid w:val="008A78FA"/>
    <w:rsid w:val="008A79D6"/>
    <w:rsid w:val="008A7A30"/>
    <w:rsid w:val="008A7B9F"/>
    <w:rsid w:val="008A7CDC"/>
    <w:rsid w:val="008A7F40"/>
    <w:rsid w:val="008A7FA4"/>
    <w:rsid w:val="008A7FFA"/>
    <w:rsid w:val="008B025F"/>
    <w:rsid w:val="008B06FE"/>
    <w:rsid w:val="008B075C"/>
    <w:rsid w:val="008B0766"/>
    <w:rsid w:val="008B08D9"/>
    <w:rsid w:val="008B0910"/>
    <w:rsid w:val="008B0BE7"/>
    <w:rsid w:val="008B0C03"/>
    <w:rsid w:val="008B0C5E"/>
    <w:rsid w:val="008B1064"/>
    <w:rsid w:val="008B115C"/>
    <w:rsid w:val="008B1167"/>
    <w:rsid w:val="008B1220"/>
    <w:rsid w:val="008B12CB"/>
    <w:rsid w:val="008B143D"/>
    <w:rsid w:val="008B1586"/>
    <w:rsid w:val="008B166D"/>
    <w:rsid w:val="008B19D6"/>
    <w:rsid w:val="008B1A3B"/>
    <w:rsid w:val="008B1BA2"/>
    <w:rsid w:val="008B1CB9"/>
    <w:rsid w:val="008B2043"/>
    <w:rsid w:val="008B2079"/>
    <w:rsid w:val="008B2142"/>
    <w:rsid w:val="008B220A"/>
    <w:rsid w:val="008B23E9"/>
    <w:rsid w:val="008B24F2"/>
    <w:rsid w:val="008B2533"/>
    <w:rsid w:val="008B25FD"/>
    <w:rsid w:val="008B2612"/>
    <w:rsid w:val="008B2625"/>
    <w:rsid w:val="008B2678"/>
    <w:rsid w:val="008B28D2"/>
    <w:rsid w:val="008B2D4D"/>
    <w:rsid w:val="008B2D92"/>
    <w:rsid w:val="008B2E15"/>
    <w:rsid w:val="008B2F1E"/>
    <w:rsid w:val="008B3176"/>
    <w:rsid w:val="008B32A3"/>
    <w:rsid w:val="008B33C3"/>
    <w:rsid w:val="008B360C"/>
    <w:rsid w:val="008B3633"/>
    <w:rsid w:val="008B3660"/>
    <w:rsid w:val="008B3735"/>
    <w:rsid w:val="008B3977"/>
    <w:rsid w:val="008B398B"/>
    <w:rsid w:val="008B39C8"/>
    <w:rsid w:val="008B39E7"/>
    <w:rsid w:val="008B3ACD"/>
    <w:rsid w:val="008B3B57"/>
    <w:rsid w:val="008B3D91"/>
    <w:rsid w:val="008B3E5A"/>
    <w:rsid w:val="008B4051"/>
    <w:rsid w:val="008B4138"/>
    <w:rsid w:val="008B421F"/>
    <w:rsid w:val="008B42D9"/>
    <w:rsid w:val="008B42EA"/>
    <w:rsid w:val="008B4338"/>
    <w:rsid w:val="008B43D7"/>
    <w:rsid w:val="008B43F2"/>
    <w:rsid w:val="008B4454"/>
    <w:rsid w:val="008B45D9"/>
    <w:rsid w:val="008B4637"/>
    <w:rsid w:val="008B46BC"/>
    <w:rsid w:val="008B4760"/>
    <w:rsid w:val="008B478D"/>
    <w:rsid w:val="008B4958"/>
    <w:rsid w:val="008B4B39"/>
    <w:rsid w:val="008B4CE5"/>
    <w:rsid w:val="008B4E31"/>
    <w:rsid w:val="008B5141"/>
    <w:rsid w:val="008B5262"/>
    <w:rsid w:val="008B5271"/>
    <w:rsid w:val="008B52F6"/>
    <w:rsid w:val="008B5317"/>
    <w:rsid w:val="008B5362"/>
    <w:rsid w:val="008B53FD"/>
    <w:rsid w:val="008B54AF"/>
    <w:rsid w:val="008B55AC"/>
    <w:rsid w:val="008B5654"/>
    <w:rsid w:val="008B5712"/>
    <w:rsid w:val="008B58A9"/>
    <w:rsid w:val="008B59DA"/>
    <w:rsid w:val="008B59DC"/>
    <w:rsid w:val="008B59E7"/>
    <w:rsid w:val="008B5B59"/>
    <w:rsid w:val="008B5C87"/>
    <w:rsid w:val="008B5DFF"/>
    <w:rsid w:val="008B5F55"/>
    <w:rsid w:val="008B5F5C"/>
    <w:rsid w:val="008B604C"/>
    <w:rsid w:val="008B61AE"/>
    <w:rsid w:val="008B62F8"/>
    <w:rsid w:val="008B6324"/>
    <w:rsid w:val="008B6623"/>
    <w:rsid w:val="008B6843"/>
    <w:rsid w:val="008B69C9"/>
    <w:rsid w:val="008B6B4B"/>
    <w:rsid w:val="008B6B8C"/>
    <w:rsid w:val="008B6B95"/>
    <w:rsid w:val="008B6CF7"/>
    <w:rsid w:val="008B6DC3"/>
    <w:rsid w:val="008B6F61"/>
    <w:rsid w:val="008B6F87"/>
    <w:rsid w:val="008B6FFE"/>
    <w:rsid w:val="008B71C5"/>
    <w:rsid w:val="008B72F3"/>
    <w:rsid w:val="008B7318"/>
    <w:rsid w:val="008B73A7"/>
    <w:rsid w:val="008B746E"/>
    <w:rsid w:val="008B76B5"/>
    <w:rsid w:val="008B77A2"/>
    <w:rsid w:val="008B77F9"/>
    <w:rsid w:val="008B781C"/>
    <w:rsid w:val="008B7895"/>
    <w:rsid w:val="008B7896"/>
    <w:rsid w:val="008B794E"/>
    <w:rsid w:val="008B7B65"/>
    <w:rsid w:val="008B7B6F"/>
    <w:rsid w:val="008B7B93"/>
    <w:rsid w:val="008B7C2D"/>
    <w:rsid w:val="008B7C4F"/>
    <w:rsid w:val="008B7C94"/>
    <w:rsid w:val="008B7D82"/>
    <w:rsid w:val="008B7E7B"/>
    <w:rsid w:val="008C00D0"/>
    <w:rsid w:val="008C04ED"/>
    <w:rsid w:val="008C05A7"/>
    <w:rsid w:val="008C06A3"/>
    <w:rsid w:val="008C07C8"/>
    <w:rsid w:val="008C0A95"/>
    <w:rsid w:val="008C0AFD"/>
    <w:rsid w:val="008C0C10"/>
    <w:rsid w:val="008C0DC8"/>
    <w:rsid w:val="008C0ED2"/>
    <w:rsid w:val="008C1098"/>
    <w:rsid w:val="008C10B8"/>
    <w:rsid w:val="008C118D"/>
    <w:rsid w:val="008C11BA"/>
    <w:rsid w:val="008C11C4"/>
    <w:rsid w:val="008C135D"/>
    <w:rsid w:val="008C1523"/>
    <w:rsid w:val="008C156F"/>
    <w:rsid w:val="008C1610"/>
    <w:rsid w:val="008C173E"/>
    <w:rsid w:val="008C186A"/>
    <w:rsid w:val="008C1BD5"/>
    <w:rsid w:val="008C1D85"/>
    <w:rsid w:val="008C1DB8"/>
    <w:rsid w:val="008C1DEE"/>
    <w:rsid w:val="008C1E03"/>
    <w:rsid w:val="008C1EC1"/>
    <w:rsid w:val="008C1ECE"/>
    <w:rsid w:val="008C1EE4"/>
    <w:rsid w:val="008C1F0C"/>
    <w:rsid w:val="008C2105"/>
    <w:rsid w:val="008C2140"/>
    <w:rsid w:val="008C2157"/>
    <w:rsid w:val="008C225D"/>
    <w:rsid w:val="008C23E8"/>
    <w:rsid w:val="008C24AB"/>
    <w:rsid w:val="008C24C5"/>
    <w:rsid w:val="008C25B7"/>
    <w:rsid w:val="008C2629"/>
    <w:rsid w:val="008C27BD"/>
    <w:rsid w:val="008C282E"/>
    <w:rsid w:val="008C2BEC"/>
    <w:rsid w:val="008C2C4B"/>
    <w:rsid w:val="008C2C5C"/>
    <w:rsid w:val="008C2C74"/>
    <w:rsid w:val="008C2D88"/>
    <w:rsid w:val="008C3095"/>
    <w:rsid w:val="008C3142"/>
    <w:rsid w:val="008C31DB"/>
    <w:rsid w:val="008C31DE"/>
    <w:rsid w:val="008C3290"/>
    <w:rsid w:val="008C3378"/>
    <w:rsid w:val="008C3442"/>
    <w:rsid w:val="008C345C"/>
    <w:rsid w:val="008C34FC"/>
    <w:rsid w:val="008C3535"/>
    <w:rsid w:val="008C35A1"/>
    <w:rsid w:val="008C36C2"/>
    <w:rsid w:val="008C3816"/>
    <w:rsid w:val="008C3929"/>
    <w:rsid w:val="008C39F8"/>
    <w:rsid w:val="008C3A2D"/>
    <w:rsid w:val="008C3ECE"/>
    <w:rsid w:val="008C3FBE"/>
    <w:rsid w:val="008C403E"/>
    <w:rsid w:val="008C41CD"/>
    <w:rsid w:val="008C42D0"/>
    <w:rsid w:val="008C42E4"/>
    <w:rsid w:val="008C4395"/>
    <w:rsid w:val="008C441D"/>
    <w:rsid w:val="008C443C"/>
    <w:rsid w:val="008C4628"/>
    <w:rsid w:val="008C4670"/>
    <w:rsid w:val="008C46A1"/>
    <w:rsid w:val="008C47A0"/>
    <w:rsid w:val="008C48B7"/>
    <w:rsid w:val="008C4D2F"/>
    <w:rsid w:val="008C4E46"/>
    <w:rsid w:val="008C4FF8"/>
    <w:rsid w:val="008C52FD"/>
    <w:rsid w:val="008C531D"/>
    <w:rsid w:val="008C54C8"/>
    <w:rsid w:val="008C54FB"/>
    <w:rsid w:val="008C5513"/>
    <w:rsid w:val="008C557B"/>
    <w:rsid w:val="008C55C6"/>
    <w:rsid w:val="008C5639"/>
    <w:rsid w:val="008C5782"/>
    <w:rsid w:val="008C5847"/>
    <w:rsid w:val="008C598A"/>
    <w:rsid w:val="008C5A1E"/>
    <w:rsid w:val="008C5A27"/>
    <w:rsid w:val="008C5AA7"/>
    <w:rsid w:val="008C5AE3"/>
    <w:rsid w:val="008C5D03"/>
    <w:rsid w:val="008C5D0A"/>
    <w:rsid w:val="008C5EC2"/>
    <w:rsid w:val="008C5FCF"/>
    <w:rsid w:val="008C6188"/>
    <w:rsid w:val="008C6265"/>
    <w:rsid w:val="008C6308"/>
    <w:rsid w:val="008C6445"/>
    <w:rsid w:val="008C6459"/>
    <w:rsid w:val="008C64FE"/>
    <w:rsid w:val="008C657A"/>
    <w:rsid w:val="008C65CC"/>
    <w:rsid w:val="008C66D9"/>
    <w:rsid w:val="008C6768"/>
    <w:rsid w:val="008C67C7"/>
    <w:rsid w:val="008C6A01"/>
    <w:rsid w:val="008C6AD8"/>
    <w:rsid w:val="008C6BBD"/>
    <w:rsid w:val="008C6C09"/>
    <w:rsid w:val="008C6C2B"/>
    <w:rsid w:val="008C6CD7"/>
    <w:rsid w:val="008C6DA6"/>
    <w:rsid w:val="008C6EBB"/>
    <w:rsid w:val="008C6FE1"/>
    <w:rsid w:val="008C6FE4"/>
    <w:rsid w:val="008C703F"/>
    <w:rsid w:val="008C70A0"/>
    <w:rsid w:val="008C717F"/>
    <w:rsid w:val="008C72D1"/>
    <w:rsid w:val="008C731B"/>
    <w:rsid w:val="008C7333"/>
    <w:rsid w:val="008C7350"/>
    <w:rsid w:val="008C74E2"/>
    <w:rsid w:val="008C76AC"/>
    <w:rsid w:val="008C783B"/>
    <w:rsid w:val="008C786F"/>
    <w:rsid w:val="008C7A4E"/>
    <w:rsid w:val="008C7DFA"/>
    <w:rsid w:val="008C7E1E"/>
    <w:rsid w:val="008C7F3E"/>
    <w:rsid w:val="008D0010"/>
    <w:rsid w:val="008D007E"/>
    <w:rsid w:val="008D00F7"/>
    <w:rsid w:val="008D038C"/>
    <w:rsid w:val="008D039B"/>
    <w:rsid w:val="008D043B"/>
    <w:rsid w:val="008D0546"/>
    <w:rsid w:val="008D07E3"/>
    <w:rsid w:val="008D098A"/>
    <w:rsid w:val="008D09BE"/>
    <w:rsid w:val="008D0A17"/>
    <w:rsid w:val="008D0ABA"/>
    <w:rsid w:val="008D0BE9"/>
    <w:rsid w:val="008D0C1E"/>
    <w:rsid w:val="008D0C63"/>
    <w:rsid w:val="008D0C75"/>
    <w:rsid w:val="008D0E17"/>
    <w:rsid w:val="008D0EA2"/>
    <w:rsid w:val="008D0EE1"/>
    <w:rsid w:val="008D0FF9"/>
    <w:rsid w:val="008D107D"/>
    <w:rsid w:val="008D10B9"/>
    <w:rsid w:val="008D1115"/>
    <w:rsid w:val="008D122E"/>
    <w:rsid w:val="008D156C"/>
    <w:rsid w:val="008D157C"/>
    <w:rsid w:val="008D158A"/>
    <w:rsid w:val="008D15A4"/>
    <w:rsid w:val="008D167A"/>
    <w:rsid w:val="008D1683"/>
    <w:rsid w:val="008D16A7"/>
    <w:rsid w:val="008D1884"/>
    <w:rsid w:val="008D198E"/>
    <w:rsid w:val="008D1A3F"/>
    <w:rsid w:val="008D1C5D"/>
    <w:rsid w:val="008D1DB5"/>
    <w:rsid w:val="008D1EDA"/>
    <w:rsid w:val="008D1F92"/>
    <w:rsid w:val="008D1FA5"/>
    <w:rsid w:val="008D200D"/>
    <w:rsid w:val="008D202A"/>
    <w:rsid w:val="008D2129"/>
    <w:rsid w:val="008D2341"/>
    <w:rsid w:val="008D243C"/>
    <w:rsid w:val="008D2889"/>
    <w:rsid w:val="008D2979"/>
    <w:rsid w:val="008D29BF"/>
    <w:rsid w:val="008D29CD"/>
    <w:rsid w:val="008D2A6C"/>
    <w:rsid w:val="008D2B27"/>
    <w:rsid w:val="008D2BD8"/>
    <w:rsid w:val="008D2BE4"/>
    <w:rsid w:val="008D2BEF"/>
    <w:rsid w:val="008D2D7F"/>
    <w:rsid w:val="008D2EB0"/>
    <w:rsid w:val="008D2F9B"/>
    <w:rsid w:val="008D2FBC"/>
    <w:rsid w:val="008D340F"/>
    <w:rsid w:val="008D34EB"/>
    <w:rsid w:val="008D35A0"/>
    <w:rsid w:val="008D393F"/>
    <w:rsid w:val="008D3AC1"/>
    <w:rsid w:val="008D3D75"/>
    <w:rsid w:val="008D3DF6"/>
    <w:rsid w:val="008D3EC2"/>
    <w:rsid w:val="008D4104"/>
    <w:rsid w:val="008D4162"/>
    <w:rsid w:val="008D42A3"/>
    <w:rsid w:val="008D432D"/>
    <w:rsid w:val="008D4340"/>
    <w:rsid w:val="008D437E"/>
    <w:rsid w:val="008D438E"/>
    <w:rsid w:val="008D43CD"/>
    <w:rsid w:val="008D443F"/>
    <w:rsid w:val="008D4682"/>
    <w:rsid w:val="008D47C4"/>
    <w:rsid w:val="008D4B06"/>
    <w:rsid w:val="008D4B5E"/>
    <w:rsid w:val="008D4C7D"/>
    <w:rsid w:val="008D4D7F"/>
    <w:rsid w:val="008D4F26"/>
    <w:rsid w:val="008D4F94"/>
    <w:rsid w:val="008D50DE"/>
    <w:rsid w:val="008D5117"/>
    <w:rsid w:val="008D5340"/>
    <w:rsid w:val="008D540C"/>
    <w:rsid w:val="008D54C3"/>
    <w:rsid w:val="008D557F"/>
    <w:rsid w:val="008D5694"/>
    <w:rsid w:val="008D59A5"/>
    <w:rsid w:val="008D5B50"/>
    <w:rsid w:val="008D5BFC"/>
    <w:rsid w:val="008D5C1B"/>
    <w:rsid w:val="008D5FC0"/>
    <w:rsid w:val="008D6143"/>
    <w:rsid w:val="008D6166"/>
    <w:rsid w:val="008D6344"/>
    <w:rsid w:val="008D6358"/>
    <w:rsid w:val="008D635F"/>
    <w:rsid w:val="008D63E8"/>
    <w:rsid w:val="008D6438"/>
    <w:rsid w:val="008D646C"/>
    <w:rsid w:val="008D6494"/>
    <w:rsid w:val="008D652F"/>
    <w:rsid w:val="008D656C"/>
    <w:rsid w:val="008D662A"/>
    <w:rsid w:val="008D6667"/>
    <w:rsid w:val="008D66A1"/>
    <w:rsid w:val="008D66CC"/>
    <w:rsid w:val="008D66D8"/>
    <w:rsid w:val="008D6758"/>
    <w:rsid w:val="008D6763"/>
    <w:rsid w:val="008D6765"/>
    <w:rsid w:val="008D687C"/>
    <w:rsid w:val="008D68AA"/>
    <w:rsid w:val="008D6AED"/>
    <w:rsid w:val="008D6AFA"/>
    <w:rsid w:val="008D6B1F"/>
    <w:rsid w:val="008D6B20"/>
    <w:rsid w:val="008D6C36"/>
    <w:rsid w:val="008D6C9F"/>
    <w:rsid w:val="008D6D99"/>
    <w:rsid w:val="008D6E41"/>
    <w:rsid w:val="008D6F6B"/>
    <w:rsid w:val="008D7143"/>
    <w:rsid w:val="008D721F"/>
    <w:rsid w:val="008D722E"/>
    <w:rsid w:val="008D72EA"/>
    <w:rsid w:val="008D791A"/>
    <w:rsid w:val="008D7ACF"/>
    <w:rsid w:val="008D7BBF"/>
    <w:rsid w:val="008D7C1C"/>
    <w:rsid w:val="008D7CA6"/>
    <w:rsid w:val="008D7D0B"/>
    <w:rsid w:val="008E00F3"/>
    <w:rsid w:val="008E0143"/>
    <w:rsid w:val="008E0161"/>
    <w:rsid w:val="008E01F5"/>
    <w:rsid w:val="008E0324"/>
    <w:rsid w:val="008E036A"/>
    <w:rsid w:val="008E0371"/>
    <w:rsid w:val="008E04C2"/>
    <w:rsid w:val="008E052F"/>
    <w:rsid w:val="008E054D"/>
    <w:rsid w:val="008E057D"/>
    <w:rsid w:val="008E05A2"/>
    <w:rsid w:val="008E060D"/>
    <w:rsid w:val="008E0649"/>
    <w:rsid w:val="008E07B6"/>
    <w:rsid w:val="008E0844"/>
    <w:rsid w:val="008E0A2C"/>
    <w:rsid w:val="008E0A4E"/>
    <w:rsid w:val="008E0AF5"/>
    <w:rsid w:val="008E0BF7"/>
    <w:rsid w:val="008E0C89"/>
    <w:rsid w:val="008E0CDB"/>
    <w:rsid w:val="008E0E07"/>
    <w:rsid w:val="008E1048"/>
    <w:rsid w:val="008E12F8"/>
    <w:rsid w:val="008E1374"/>
    <w:rsid w:val="008E1388"/>
    <w:rsid w:val="008E13DF"/>
    <w:rsid w:val="008E140A"/>
    <w:rsid w:val="008E1474"/>
    <w:rsid w:val="008E175A"/>
    <w:rsid w:val="008E184D"/>
    <w:rsid w:val="008E1973"/>
    <w:rsid w:val="008E1A9F"/>
    <w:rsid w:val="008E1CEC"/>
    <w:rsid w:val="008E1ED5"/>
    <w:rsid w:val="008E1F22"/>
    <w:rsid w:val="008E201A"/>
    <w:rsid w:val="008E205F"/>
    <w:rsid w:val="008E215E"/>
    <w:rsid w:val="008E2199"/>
    <w:rsid w:val="008E22AF"/>
    <w:rsid w:val="008E22BF"/>
    <w:rsid w:val="008E240C"/>
    <w:rsid w:val="008E2571"/>
    <w:rsid w:val="008E267E"/>
    <w:rsid w:val="008E2758"/>
    <w:rsid w:val="008E29B1"/>
    <w:rsid w:val="008E29BB"/>
    <w:rsid w:val="008E29D8"/>
    <w:rsid w:val="008E2C10"/>
    <w:rsid w:val="008E2C3E"/>
    <w:rsid w:val="008E2DDA"/>
    <w:rsid w:val="008E2EED"/>
    <w:rsid w:val="008E2FB0"/>
    <w:rsid w:val="008E30A5"/>
    <w:rsid w:val="008E30DD"/>
    <w:rsid w:val="008E31AE"/>
    <w:rsid w:val="008E32C5"/>
    <w:rsid w:val="008E33DD"/>
    <w:rsid w:val="008E34AB"/>
    <w:rsid w:val="008E358A"/>
    <w:rsid w:val="008E35C1"/>
    <w:rsid w:val="008E36C3"/>
    <w:rsid w:val="008E3904"/>
    <w:rsid w:val="008E3916"/>
    <w:rsid w:val="008E3965"/>
    <w:rsid w:val="008E39F0"/>
    <w:rsid w:val="008E3AE2"/>
    <w:rsid w:val="008E3B76"/>
    <w:rsid w:val="008E3CF7"/>
    <w:rsid w:val="008E3D40"/>
    <w:rsid w:val="008E3D57"/>
    <w:rsid w:val="008E3D75"/>
    <w:rsid w:val="008E3D9D"/>
    <w:rsid w:val="008E3E06"/>
    <w:rsid w:val="008E3E2F"/>
    <w:rsid w:val="008E3EF2"/>
    <w:rsid w:val="008E40C7"/>
    <w:rsid w:val="008E4123"/>
    <w:rsid w:val="008E4195"/>
    <w:rsid w:val="008E419E"/>
    <w:rsid w:val="008E421F"/>
    <w:rsid w:val="008E4231"/>
    <w:rsid w:val="008E42A1"/>
    <w:rsid w:val="008E42F9"/>
    <w:rsid w:val="008E4565"/>
    <w:rsid w:val="008E48C1"/>
    <w:rsid w:val="008E4A6F"/>
    <w:rsid w:val="008E4AEE"/>
    <w:rsid w:val="008E4BA0"/>
    <w:rsid w:val="008E4C22"/>
    <w:rsid w:val="008E4EDD"/>
    <w:rsid w:val="008E504C"/>
    <w:rsid w:val="008E505B"/>
    <w:rsid w:val="008E5161"/>
    <w:rsid w:val="008E51F7"/>
    <w:rsid w:val="008E53CF"/>
    <w:rsid w:val="008E53E6"/>
    <w:rsid w:val="008E5414"/>
    <w:rsid w:val="008E56A3"/>
    <w:rsid w:val="008E5746"/>
    <w:rsid w:val="008E577B"/>
    <w:rsid w:val="008E57FF"/>
    <w:rsid w:val="008E5851"/>
    <w:rsid w:val="008E5A72"/>
    <w:rsid w:val="008E5B42"/>
    <w:rsid w:val="008E5BED"/>
    <w:rsid w:val="008E5C5A"/>
    <w:rsid w:val="008E5CF7"/>
    <w:rsid w:val="008E5D78"/>
    <w:rsid w:val="008E5E04"/>
    <w:rsid w:val="008E5E66"/>
    <w:rsid w:val="008E5ED3"/>
    <w:rsid w:val="008E5F0E"/>
    <w:rsid w:val="008E5FF0"/>
    <w:rsid w:val="008E6290"/>
    <w:rsid w:val="008E62A0"/>
    <w:rsid w:val="008E640A"/>
    <w:rsid w:val="008E64B8"/>
    <w:rsid w:val="008E658D"/>
    <w:rsid w:val="008E65A9"/>
    <w:rsid w:val="008E68FC"/>
    <w:rsid w:val="008E6905"/>
    <w:rsid w:val="008E6980"/>
    <w:rsid w:val="008E6A2B"/>
    <w:rsid w:val="008E6AD4"/>
    <w:rsid w:val="008E6AF9"/>
    <w:rsid w:val="008E6CC7"/>
    <w:rsid w:val="008E7053"/>
    <w:rsid w:val="008E7098"/>
    <w:rsid w:val="008E71E6"/>
    <w:rsid w:val="008E7337"/>
    <w:rsid w:val="008E744B"/>
    <w:rsid w:val="008E7747"/>
    <w:rsid w:val="008E7828"/>
    <w:rsid w:val="008E7948"/>
    <w:rsid w:val="008E7AB3"/>
    <w:rsid w:val="008E7C28"/>
    <w:rsid w:val="008E7CBA"/>
    <w:rsid w:val="008E7DB0"/>
    <w:rsid w:val="008E7DCF"/>
    <w:rsid w:val="008E7E59"/>
    <w:rsid w:val="008E7E96"/>
    <w:rsid w:val="008E7F4E"/>
    <w:rsid w:val="008E7FA5"/>
    <w:rsid w:val="008F0268"/>
    <w:rsid w:val="008F02BF"/>
    <w:rsid w:val="008F05B5"/>
    <w:rsid w:val="008F0661"/>
    <w:rsid w:val="008F0765"/>
    <w:rsid w:val="008F076D"/>
    <w:rsid w:val="008F07E2"/>
    <w:rsid w:val="008F0923"/>
    <w:rsid w:val="008F093D"/>
    <w:rsid w:val="008F0BA8"/>
    <w:rsid w:val="008F0C49"/>
    <w:rsid w:val="008F0E0A"/>
    <w:rsid w:val="008F0E78"/>
    <w:rsid w:val="008F0E8D"/>
    <w:rsid w:val="008F1010"/>
    <w:rsid w:val="008F126E"/>
    <w:rsid w:val="008F1391"/>
    <w:rsid w:val="008F13C9"/>
    <w:rsid w:val="008F1475"/>
    <w:rsid w:val="008F14E5"/>
    <w:rsid w:val="008F1563"/>
    <w:rsid w:val="008F158C"/>
    <w:rsid w:val="008F1655"/>
    <w:rsid w:val="008F1671"/>
    <w:rsid w:val="008F16A9"/>
    <w:rsid w:val="008F16AA"/>
    <w:rsid w:val="008F16F7"/>
    <w:rsid w:val="008F170D"/>
    <w:rsid w:val="008F1792"/>
    <w:rsid w:val="008F181D"/>
    <w:rsid w:val="008F1917"/>
    <w:rsid w:val="008F1D4B"/>
    <w:rsid w:val="008F2000"/>
    <w:rsid w:val="008F2036"/>
    <w:rsid w:val="008F20BC"/>
    <w:rsid w:val="008F2180"/>
    <w:rsid w:val="008F230E"/>
    <w:rsid w:val="008F256A"/>
    <w:rsid w:val="008F283D"/>
    <w:rsid w:val="008F2A38"/>
    <w:rsid w:val="008F2B0C"/>
    <w:rsid w:val="008F2CBE"/>
    <w:rsid w:val="008F2CC9"/>
    <w:rsid w:val="008F2D08"/>
    <w:rsid w:val="008F2D53"/>
    <w:rsid w:val="008F2DE4"/>
    <w:rsid w:val="008F2FE3"/>
    <w:rsid w:val="008F3017"/>
    <w:rsid w:val="008F311C"/>
    <w:rsid w:val="008F3377"/>
    <w:rsid w:val="008F3610"/>
    <w:rsid w:val="008F3665"/>
    <w:rsid w:val="008F3877"/>
    <w:rsid w:val="008F38BE"/>
    <w:rsid w:val="008F38E9"/>
    <w:rsid w:val="008F39F0"/>
    <w:rsid w:val="008F3AAF"/>
    <w:rsid w:val="008F3AF1"/>
    <w:rsid w:val="008F3D57"/>
    <w:rsid w:val="008F3E48"/>
    <w:rsid w:val="008F3EB5"/>
    <w:rsid w:val="008F4045"/>
    <w:rsid w:val="008F4246"/>
    <w:rsid w:val="008F4271"/>
    <w:rsid w:val="008F42A6"/>
    <w:rsid w:val="008F42DD"/>
    <w:rsid w:val="008F430E"/>
    <w:rsid w:val="008F4353"/>
    <w:rsid w:val="008F4406"/>
    <w:rsid w:val="008F448C"/>
    <w:rsid w:val="008F44E1"/>
    <w:rsid w:val="008F4795"/>
    <w:rsid w:val="008F47F8"/>
    <w:rsid w:val="008F4AA1"/>
    <w:rsid w:val="008F4CF6"/>
    <w:rsid w:val="008F4D2B"/>
    <w:rsid w:val="008F50CD"/>
    <w:rsid w:val="008F538F"/>
    <w:rsid w:val="008F53BC"/>
    <w:rsid w:val="008F53DC"/>
    <w:rsid w:val="008F554C"/>
    <w:rsid w:val="008F5576"/>
    <w:rsid w:val="008F55C7"/>
    <w:rsid w:val="008F55E1"/>
    <w:rsid w:val="008F586E"/>
    <w:rsid w:val="008F58A1"/>
    <w:rsid w:val="008F5980"/>
    <w:rsid w:val="008F59C6"/>
    <w:rsid w:val="008F5A5F"/>
    <w:rsid w:val="008F5C54"/>
    <w:rsid w:val="008F5D17"/>
    <w:rsid w:val="008F5D20"/>
    <w:rsid w:val="008F5D62"/>
    <w:rsid w:val="008F5D8D"/>
    <w:rsid w:val="008F5E0F"/>
    <w:rsid w:val="008F5F2C"/>
    <w:rsid w:val="008F6032"/>
    <w:rsid w:val="008F6229"/>
    <w:rsid w:val="008F632A"/>
    <w:rsid w:val="008F6401"/>
    <w:rsid w:val="008F650F"/>
    <w:rsid w:val="008F6547"/>
    <w:rsid w:val="008F66E7"/>
    <w:rsid w:val="008F6ACC"/>
    <w:rsid w:val="008F6D79"/>
    <w:rsid w:val="008F6DEA"/>
    <w:rsid w:val="008F6F7B"/>
    <w:rsid w:val="008F708F"/>
    <w:rsid w:val="008F72B7"/>
    <w:rsid w:val="008F72E1"/>
    <w:rsid w:val="008F735F"/>
    <w:rsid w:val="008F737B"/>
    <w:rsid w:val="008F73A6"/>
    <w:rsid w:val="008F7454"/>
    <w:rsid w:val="008F75AA"/>
    <w:rsid w:val="008F7657"/>
    <w:rsid w:val="008F7746"/>
    <w:rsid w:val="008F789B"/>
    <w:rsid w:val="008F7923"/>
    <w:rsid w:val="008F7937"/>
    <w:rsid w:val="008F7998"/>
    <w:rsid w:val="008F7A1E"/>
    <w:rsid w:val="008F7A71"/>
    <w:rsid w:val="008F7CB5"/>
    <w:rsid w:val="008F7CD6"/>
    <w:rsid w:val="008F7D0F"/>
    <w:rsid w:val="008F7E6D"/>
    <w:rsid w:val="008F7ECE"/>
    <w:rsid w:val="008F7F5F"/>
    <w:rsid w:val="008F7F90"/>
    <w:rsid w:val="009000A1"/>
    <w:rsid w:val="009000F4"/>
    <w:rsid w:val="009000F7"/>
    <w:rsid w:val="0090020A"/>
    <w:rsid w:val="00900242"/>
    <w:rsid w:val="009002C4"/>
    <w:rsid w:val="009002D8"/>
    <w:rsid w:val="009002F2"/>
    <w:rsid w:val="0090040F"/>
    <w:rsid w:val="0090047E"/>
    <w:rsid w:val="009004A7"/>
    <w:rsid w:val="00900595"/>
    <w:rsid w:val="0090076F"/>
    <w:rsid w:val="009008F7"/>
    <w:rsid w:val="009009DE"/>
    <w:rsid w:val="00900A3A"/>
    <w:rsid w:val="00900A54"/>
    <w:rsid w:val="00900CED"/>
    <w:rsid w:val="00900E02"/>
    <w:rsid w:val="00900E69"/>
    <w:rsid w:val="00900E83"/>
    <w:rsid w:val="00900F4C"/>
    <w:rsid w:val="00900F82"/>
    <w:rsid w:val="00900F84"/>
    <w:rsid w:val="00900FD3"/>
    <w:rsid w:val="00901203"/>
    <w:rsid w:val="0090123B"/>
    <w:rsid w:val="009012E0"/>
    <w:rsid w:val="0090132C"/>
    <w:rsid w:val="009015DE"/>
    <w:rsid w:val="0090178D"/>
    <w:rsid w:val="009017CB"/>
    <w:rsid w:val="00901872"/>
    <w:rsid w:val="00901979"/>
    <w:rsid w:val="00901AD6"/>
    <w:rsid w:val="00901B01"/>
    <w:rsid w:val="00901D7E"/>
    <w:rsid w:val="00901DC3"/>
    <w:rsid w:val="00901E8F"/>
    <w:rsid w:val="00901F40"/>
    <w:rsid w:val="00901F7B"/>
    <w:rsid w:val="00902046"/>
    <w:rsid w:val="00902174"/>
    <w:rsid w:val="0090228A"/>
    <w:rsid w:val="0090229B"/>
    <w:rsid w:val="009023A0"/>
    <w:rsid w:val="009023BB"/>
    <w:rsid w:val="009023F9"/>
    <w:rsid w:val="00902409"/>
    <w:rsid w:val="0090240E"/>
    <w:rsid w:val="0090242C"/>
    <w:rsid w:val="00902743"/>
    <w:rsid w:val="00902849"/>
    <w:rsid w:val="009028DC"/>
    <w:rsid w:val="009028F5"/>
    <w:rsid w:val="00902B10"/>
    <w:rsid w:val="00902BA7"/>
    <w:rsid w:val="00902C6B"/>
    <w:rsid w:val="00902C81"/>
    <w:rsid w:val="00902CC8"/>
    <w:rsid w:val="00903103"/>
    <w:rsid w:val="0090314C"/>
    <w:rsid w:val="009032C0"/>
    <w:rsid w:val="00903302"/>
    <w:rsid w:val="00903335"/>
    <w:rsid w:val="0090355D"/>
    <w:rsid w:val="009037A3"/>
    <w:rsid w:val="00903827"/>
    <w:rsid w:val="0090387C"/>
    <w:rsid w:val="00903930"/>
    <w:rsid w:val="0090399D"/>
    <w:rsid w:val="00903A61"/>
    <w:rsid w:val="00903D1B"/>
    <w:rsid w:val="00903F49"/>
    <w:rsid w:val="0090414C"/>
    <w:rsid w:val="00904387"/>
    <w:rsid w:val="00904420"/>
    <w:rsid w:val="00904493"/>
    <w:rsid w:val="009045A5"/>
    <w:rsid w:val="00904665"/>
    <w:rsid w:val="00904A2C"/>
    <w:rsid w:val="00904A90"/>
    <w:rsid w:val="00904B09"/>
    <w:rsid w:val="00904B23"/>
    <w:rsid w:val="00904B72"/>
    <w:rsid w:val="00904BA1"/>
    <w:rsid w:val="00904FA7"/>
    <w:rsid w:val="00905123"/>
    <w:rsid w:val="00905170"/>
    <w:rsid w:val="00905241"/>
    <w:rsid w:val="009053B1"/>
    <w:rsid w:val="009054F8"/>
    <w:rsid w:val="0090557D"/>
    <w:rsid w:val="00905646"/>
    <w:rsid w:val="0090579D"/>
    <w:rsid w:val="009057A1"/>
    <w:rsid w:val="00905831"/>
    <w:rsid w:val="00905AA0"/>
    <w:rsid w:val="00905C0A"/>
    <w:rsid w:val="00905C7E"/>
    <w:rsid w:val="00905D2F"/>
    <w:rsid w:val="00905D6C"/>
    <w:rsid w:val="00905DA3"/>
    <w:rsid w:val="00905DEC"/>
    <w:rsid w:val="00905E3E"/>
    <w:rsid w:val="00906069"/>
    <w:rsid w:val="009061DB"/>
    <w:rsid w:val="0090626D"/>
    <w:rsid w:val="009062B0"/>
    <w:rsid w:val="009066AE"/>
    <w:rsid w:val="009067CF"/>
    <w:rsid w:val="009067F2"/>
    <w:rsid w:val="00906841"/>
    <w:rsid w:val="009069A9"/>
    <w:rsid w:val="00906ACB"/>
    <w:rsid w:val="00906ADE"/>
    <w:rsid w:val="00906C4A"/>
    <w:rsid w:val="00906D35"/>
    <w:rsid w:val="00906D4B"/>
    <w:rsid w:val="00906D5B"/>
    <w:rsid w:val="00906EE6"/>
    <w:rsid w:val="00906EF8"/>
    <w:rsid w:val="009071B6"/>
    <w:rsid w:val="009071F4"/>
    <w:rsid w:val="0090727E"/>
    <w:rsid w:val="0090756F"/>
    <w:rsid w:val="00907686"/>
    <w:rsid w:val="0090773D"/>
    <w:rsid w:val="00907829"/>
    <w:rsid w:val="0090786F"/>
    <w:rsid w:val="00907905"/>
    <w:rsid w:val="009079A5"/>
    <w:rsid w:val="00907B0E"/>
    <w:rsid w:val="00907C45"/>
    <w:rsid w:val="00907C7A"/>
    <w:rsid w:val="00907CF5"/>
    <w:rsid w:val="00910096"/>
    <w:rsid w:val="00910259"/>
    <w:rsid w:val="009102DE"/>
    <w:rsid w:val="00910420"/>
    <w:rsid w:val="009105EF"/>
    <w:rsid w:val="009106AD"/>
    <w:rsid w:val="009109C9"/>
    <w:rsid w:val="00910A80"/>
    <w:rsid w:val="00910A85"/>
    <w:rsid w:val="00910CAA"/>
    <w:rsid w:val="00910CC1"/>
    <w:rsid w:val="00910D83"/>
    <w:rsid w:val="00910EEA"/>
    <w:rsid w:val="00911130"/>
    <w:rsid w:val="009113CF"/>
    <w:rsid w:val="009114AC"/>
    <w:rsid w:val="009114FD"/>
    <w:rsid w:val="0091165F"/>
    <w:rsid w:val="009116B2"/>
    <w:rsid w:val="00911701"/>
    <w:rsid w:val="009118EE"/>
    <w:rsid w:val="00911A09"/>
    <w:rsid w:val="00911B33"/>
    <w:rsid w:val="00911C7A"/>
    <w:rsid w:val="00911DEB"/>
    <w:rsid w:val="00911EA6"/>
    <w:rsid w:val="00911F7C"/>
    <w:rsid w:val="0091200E"/>
    <w:rsid w:val="00912101"/>
    <w:rsid w:val="0091216E"/>
    <w:rsid w:val="009126A4"/>
    <w:rsid w:val="009127DC"/>
    <w:rsid w:val="009128AD"/>
    <w:rsid w:val="00912919"/>
    <w:rsid w:val="00912A01"/>
    <w:rsid w:val="00912A3E"/>
    <w:rsid w:val="00912ACD"/>
    <w:rsid w:val="00912B67"/>
    <w:rsid w:val="00912E98"/>
    <w:rsid w:val="00912EAC"/>
    <w:rsid w:val="00912FF8"/>
    <w:rsid w:val="009130A1"/>
    <w:rsid w:val="009130C4"/>
    <w:rsid w:val="0091319A"/>
    <w:rsid w:val="00913235"/>
    <w:rsid w:val="00913360"/>
    <w:rsid w:val="0091338E"/>
    <w:rsid w:val="009134C9"/>
    <w:rsid w:val="00913559"/>
    <w:rsid w:val="00913604"/>
    <w:rsid w:val="009136FE"/>
    <w:rsid w:val="00913AE1"/>
    <w:rsid w:val="00913B5A"/>
    <w:rsid w:val="00913BA1"/>
    <w:rsid w:val="00913DA9"/>
    <w:rsid w:val="00913F03"/>
    <w:rsid w:val="009140A4"/>
    <w:rsid w:val="009140C6"/>
    <w:rsid w:val="0091428B"/>
    <w:rsid w:val="009142C4"/>
    <w:rsid w:val="00914391"/>
    <w:rsid w:val="009147A4"/>
    <w:rsid w:val="00914847"/>
    <w:rsid w:val="0091486E"/>
    <w:rsid w:val="00914A5A"/>
    <w:rsid w:val="00914B58"/>
    <w:rsid w:val="00914E42"/>
    <w:rsid w:val="00914E4D"/>
    <w:rsid w:val="00914E96"/>
    <w:rsid w:val="00914F8D"/>
    <w:rsid w:val="009150C7"/>
    <w:rsid w:val="009153F7"/>
    <w:rsid w:val="00915557"/>
    <w:rsid w:val="0091564A"/>
    <w:rsid w:val="009157AA"/>
    <w:rsid w:val="00915987"/>
    <w:rsid w:val="009159B3"/>
    <w:rsid w:val="009159CE"/>
    <w:rsid w:val="00915A56"/>
    <w:rsid w:val="00915A8E"/>
    <w:rsid w:val="00915C0F"/>
    <w:rsid w:val="00915DF7"/>
    <w:rsid w:val="00915E40"/>
    <w:rsid w:val="00915E49"/>
    <w:rsid w:val="00915E95"/>
    <w:rsid w:val="00915EC7"/>
    <w:rsid w:val="00915ECE"/>
    <w:rsid w:val="00915FD4"/>
    <w:rsid w:val="00916064"/>
    <w:rsid w:val="009160A5"/>
    <w:rsid w:val="009160B7"/>
    <w:rsid w:val="009161E7"/>
    <w:rsid w:val="009161FF"/>
    <w:rsid w:val="0091621E"/>
    <w:rsid w:val="009162A2"/>
    <w:rsid w:val="00916326"/>
    <w:rsid w:val="0091646D"/>
    <w:rsid w:val="00916470"/>
    <w:rsid w:val="009165DD"/>
    <w:rsid w:val="009166DB"/>
    <w:rsid w:val="0091675C"/>
    <w:rsid w:val="00916875"/>
    <w:rsid w:val="00916953"/>
    <w:rsid w:val="00916AE0"/>
    <w:rsid w:val="00916AE7"/>
    <w:rsid w:val="00916C31"/>
    <w:rsid w:val="00916C42"/>
    <w:rsid w:val="00916E82"/>
    <w:rsid w:val="009170C5"/>
    <w:rsid w:val="0091713C"/>
    <w:rsid w:val="009171D4"/>
    <w:rsid w:val="0091721B"/>
    <w:rsid w:val="00917342"/>
    <w:rsid w:val="00917418"/>
    <w:rsid w:val="00917600"/>
    <w:rsid w:val="0091773C"/>
    <w:rsid w:val="00917797"/>
    <w:rsid w:val="009177C4"/>
    <w:rsid w:val="00917A2F"/>
    <w:rsid w:val="00917AC4"/>
    <w:rsid w:val="00917B2F"/>
    <w:rsid w:val="00917BAE"/>
    <w:rsid w:val="00917BDF"/>
    <w:rsid w:val="00917C48"/>
    <w:rsid w:val="00917CB1"/>
    <w:rsid w:val="00917E6C"/>
    <w:rsid w:val="00917FAB"/>
    <w:rsid w:val="00920077"/>
    <w:rsid w:val="0092014F"/>
    <w:rsid w:val="009203A2"/>
    <w:rsid w:val="00920494"/>
    <w:rsid w:val="0092049F"/>
    <w:rsid w:val="009204F3"/>
    <w:rsid w:val="00920567"/>
    <w:rsid w:val="009205AA"/>
    <w:rsid w:val="00920663"/>
    <w:rsid w:val="009207DC"/>
    <w:rsid w:val="0092091E"/>
    <w:rsid w:val="009209C0"/>
    <w:rsid w:val="009209C9"/>
    <w:rsid w:val="00920A39"/>
    <w:rsid w:val="00920C5F"/>
    <w:rsid w:val="00920CB8"/>
    <w:rsid w:val="00920CD1"/>
    <w:rsid w:val="00920DEF"/>
    <w:rsid w:val="00920EF1"/>
    <w:rsid w:val="00920F9D"/>
    <w:rsid w:val="00921026"/>
    <w:rsid w:val="0092154C"/>
    <w:rsid w:val="00921590"/>
    <w:rsid w:val="009215FA"/>
    <w:rsid w:val="0092167B"/>
    <w:rsid w:val="0092187B"/>
    <w:rsid w:val="009219D4"/>
    <w:rsid w:val="00921A0A"/>
    <w:rsid w:val="00921A26"/>
    <w:rsid w:val="00921B99"/>
    <w:rsid w:val="00921CE3"/>
    <w:rsid w:val="00921D44"/>
    <w:rsid w:val="00921D4E"/>
    <w:rsid w:val="00921D72"/>
    <w:rsid w:val="00921DC0"/>
    <w:rsid w:val="00921E76"/>
    <w:rsid w:val="00921F12"/>
    <w:rsid w:val="009220B0"/>
    <w:rsid w:val="00922282"/>
    <w:rsid w:val="0092228F"/>
    <w:rsid w:val="009222B7"/>
    <w:rsid w:val="009222F3"/>
    <w:rsid w:val="00922336"/>
    <w:rsid w:val="00922358"/>
    <w:rsid w:val="009223C6"/>
    <w:rsid w:val="009224C8"/>
    <w:rsid w:val="00922904"/>
    <w:rsid w:val="00922919"/>
    <w:rsid w:val="00922A3A"/>
    <w:rsid w:val="00922BA7"/>
    <w:rsid w:val="00922DF0"/>
    <w:rsid w:val="0092302F"/>
    <w:rsid w:val="009230F3"/>
    <w:rsid w:val="00923178"/>
    <w:rsid w:val="0092327D"/>
    <w:rsid w:val="009232DB"/>
    <w:rsid w:val="00923344"/>
    <w:rsid w:val="009233DA"/>
    <w:rsid w:val="00923455"/>
    <w:rsid w:val="009234C3"/>
    <w:rsid w:val="009236EC"/>
    <w:rsid w:val="00923858"/>
    <w:rsid w:val="009238F0"/>
    <w:rsid w:val="00923A58"/>
    <w:rsid w:val="00923BC4"/>
    <w:rsid w:val="00923E1B"/>
    <w:rsid w:val="00924037"/>
    <w:rsid w:val="009240B8"/>
    <w:rsid w:val="009241FE"/>
    <w:rsid w:val="0092424D"/>
    <w:rsid w:val="0092424E"/>
    <w:rsid w:val="0092435F"/>
    <w:rsid w:val="009243F2"/>
    <w:rsid w:val="0092444A"/>
    <w:rsid w:val="009244C0"/>
    <w:rsid w:val="00924508"/>
    <w:rsid w:val="0092460D"/>
    <w:rsid w:val="00924678"/>
    <w:rsid w:val="009246B5"/>
    <w:rsid w:val="009247BB"/>
    <w:rsid w:val="00924970"/>
    <w:rsid w:val="00924A80"/>
    <w:rsid w:val="00924B1F"/>
    <w:rsid w:val="00924BF3"/>
    <w:rsid w:val="00924CB3"/>
    <w:rsid w:val="00924DEA"/>
    <w:rsid w:val="00924F0B"/>
    <w:rsid w:val="00924F93"/>
    <w:rsid w:val="00924FF4"/>
    <w:rsid w:val="009250E3"/>
    <w:rsid w:val="00925254"/>
    <w:rsid w:val="00925260"/>
    <w:rsid w:val="0092530C"/>
    <w:rsid w:val="009254B8"/>
    <w:rsid w:val="00925514"/>
    <w:rsid w:val="009255C7"/>
    <w:rsid w:val="0092560D"/>
    <w:rsid w:val="00925616"/>
    <w:rsid w:val="00925655"/>
    <w:rsid w:val="00925706"/>
    <w:rsid w:val="0092573F"/>
    <w:rsid w:val="00925833"/>
    <w:rsid w:val="0092591C"/>
    <w:rsid w:val="009259C1"/>
    <w:rsid w:val="009259EB"/>
    <w:rsid w:val="009259F3"/>
    <w:rsid w:val="00925C0C"/>
    <w:rsid w:val="00925C11"/>
    <w:rsid w:val="00925CD6"/>
    <w:rsid w:val="00925CD8"/>
    <w:rsid w:val="00925D77"/>
    <w:rsid w:val="00925DE4"/>
    <w:rsid w:val="00925FBF"/>
    <w:rsid w:val="00926001"/>
    <w:rsid w:val="00926055"/>
    <w:rsid w:val="0092661B"/>
    <w:rsid w:val="0092685A"/>
    <w:rsid w:val="00926959"/>
    <w:rsid w:val="00926A21"/>
    <w:rsid w:val="00926A33"/>
    <w:rsid w:val="00926ABF"/>
    <w:rsid w:val="00926C84"/>
    <w:rsid w:val="00926CD0"/>
    <w:rsid w:val="00926EE8"/>
    <w:rsid w:val="00926FB5"/>
    <w:rsid w:val="009271A7"/>
    <w:rsid w:val="009271DA"/>
    <w:rsid w:val="00927510"/>
    <w:rsid w:val="00927558"/>
    <w:rsid w:val="009275EC"/>
    <w:rsid w:val="00927703"/>
    <w:rsid w:val="0092772C"/>
    <w:rsid w:val="00927730"/>
    <w:rsid w:val="00927732"/>
    <w:rsid w:val="0092780C"/>
    <w:rsid w:val="00927865"/>
    <w:rsid w:val="009279C7"/>
    <w:rsid w:val="00927A5D"/>
    <w:rsid w:val="00927C72"/>
    <w:rsid w:val="00927F6B"/>
    <w:rsid w:val="0093003D"/>
    <w:rsid w:val="00930057"/>
    <w:rsid w:val="00930107"/>
    <w:rsid w:val="009301D7"/>
    <w:rsid w:val="00930209"/>
    <w:rsid w:val="0093029C"/>
    <w:rsid w:val="009302AB"/>
    <w:rsid w:val="0093030C"/>
    <w:rsid w:val="00930333"/>
    <w:rsid w:val="00930437"/>
    <w:rsid w:val="009304DA"/>
    <w:rsid w:val="0093051A"/>
    <w:rsid w:val="00930684"/>
    <w:rsid w:val="00930A60"/>
    <w:rsid w:val="00930AB0"/>
    <w:rsid w:val="00930C40"/>
    <w:rsid w:val="00930C8B"/>
    <w:rsid w:val="00930CF3"/>
    <w:rsid w:val="00930DE5"/>
    <w:rsid w:val="00930E26"/>
    <w:rsid w:val="00930EBD"/>
    <w:rsid w:val="00930EEA"/>
    <w:rsid w:val="00930F18"/>
    <w:rsid w:val="00930F58"/>
    <w:rsid w:val="00930FC9"/>
    <w:rsid w:val="0093125E"/>
    <w:rsid w:val="009313D7"/>
    <w:rsid w:val="009315E1"/>
    <w:rsid w:val="00931886"/>
    <w:rsid w:val="00931902"/>
    <w:rsid w:val="00931ADE"/>
    <w:rsid w:val="00931B58"/>
    <w:rsid w:val="00931B7D"/>
    <w:rsid w:val="00931C91"/>
    <w:rsid w:val="00931D42"/>
    <w:rsid w:val="00931D78"/>
    <w:rsid w:val="00931DFB"/>
    <w:rsid w:val="00931E2C"/>
    <w:rsid w:val="00931F4F"/>
    <w:rsid w:val="00931FFF"/>
    <w:rsid w:val="009320C6"/>
    <w:rsid w:val="009320E2"/>
    <w:rsid w:val="009321C6"/>
    <w:rsid w:val="00932283"/>
    <w:rsid w:val="009322CC"/>
    <w:rsid w:val="009323B9"/>
    <w:rsid w:val="009325A1"/>
    <w:rsid w:val="00932733"/>
    <w:rsid w:val="009328CF"/>
    <w:rsid w:val="0093295D"/>
    <w:rsid w:val="00932983"/>
    <w:rsid w:val="009329A1"/>
    <w:rsid w:val="00932A28"/>
    <w:rsid w:val="00932A29"/>
    <w:rsid w:val="00932A5A"/>
    <w:rsid w:val="00932BBB"/>
    <w:rsid w:val="00932C1D"/>
    <w:rsid w:val="00932C4F"/>
    <w:rsid w:val="00932C9E"/>
    <w:rsid w:val="00932CB7"/>
    <w:rsid w:val="00932D4F"/>
    <w:rsid w:val="00932E2C"/>
    <w:rsid w:val="00932E2E"/>
    <w:rsid w:val="00932FD3"/>
    <w:rsid w:val="00933066"/>
    <w:rsid w:val="0093317D"/>
    <w:rsid w:val="009331E7"/>
    <w:rsid w:val="009333B7"/>
    <w:rsid w:val="0093340A"/>
    <w:rsid w:val="00933423"/>
    <w:rsid w:val="00933462"/>
    <w:rsid w:val="009335F2"/>
    <w:rsid w:val="00933744"/>
    <w:rsid w:val="00933952"/>
    <w:rsid w:val="00933973"/>
    <w:rsid w:val="00933B05"/>
    <w:rsid w:val="00933CCC"/>
    <w:rsid w:val="00933D33"/>
    <w:rsid w:val="00934234"/>
    <w:rsid w:val="00934304"/>
    <w:rsid w:val="00934398"/>
    <w:rsid w:val="00934583"/>
    <w:rsid w:val="00934684"/>
    <w:rsid w:val="009346E3"/>
    <w:rsid w:val="00934982"/>
    <w:rsid w:val="00934A42"/>
    <w:rsid w:val="00934B46"/>
    <w:rsid w:val="00934CD0"/>
    <w:rsid w:val="00934D03"/>
    <w:rsid w:val="00935159"/>
    <w:rsid w:val="009351B5"/>
    <w:rsid w:val="009352D1"/>
    <w:rsid w:val="0093542C"/>
    <w:rsid w:val="009354E7"/>
    <w:rsid w:val="009356D5"/>
    <w:rsid w:val="009359A6"/>
    <w:rsid w:val="009359EA"/>
    <w:rsid w:val="00935B52"/>
    <w:rsid w:val="00935BA1"/>
    <w:rsid w:val="00935BE2"/>
    <w:rsid w:val="00935BF8"/>
    <w:rsid w:val="00935CD4"/>
    <w:rsid w:val="00935CDD"/>
    <w:rsid w:val="00935D60"/>
    <w:rsid w:val="00935FF7"/>
    <w:rsid w:val="009361F9"/>
    <w:rsid w:val="00936384"/>
    <w:rsid w:val="009363CC"/>
    <w:rsid w:val="009365A2"/>
    <w:rsid w:val="00936624"/>
    <w:rsid w:val="0093667E"/>
    <w:rsid w:val="009366A5"/>
    <w:rsid w:val="0093696C"/>
    <w:rsid w:val="009369D0"/>
    <w:rsid w:val="00936A0E"/>
    <w:rsid w:val="00936AA4"/>
    <w:rsid w:val="00936B9E"/>
    <w:rsid w:val="00936C8F"/>
    <w:rsid w:val="00936CB2"/>
    <w:rsid w:val="00936EC1"/>
    <w:rsid w:val="00936F7D"/>
    <w:rsid w:val="00937552"/>
    <w:rsid w:val="009375E7"/>
    <w:rsid w:val="00937699"/>
    <w:rsid w:val="0093781D"/>
    <w:rsid w:val="0093785F"/>
    <w:rsid w:val="00937A0E"/>
    <w:rsid w:val="00937A56"/>
    <w:rsid w:val="00937C17"/>
    <w:rsid w:val="00937C35"/>
    <w:rsid w:val="00937C8E"/>
    <w:rsid w:val="00937E8A"/>
    <w:rsid w:val="00937F20"/>
    <w:rsid w:val="00940308"/>
    <w:rsid w:val="00940347"/>
    <w:rsid w:val="00940370"/>
    <w:rsid w:val="009404AB"/>
    <w:rsid w:val="00940658"/>
    <w:rsid w:val="00940686"/>
    <w:rsid w:val="00940B3F"/>
    <w:rsid w:val="00940C3E"/>
    <w:rsid w:val="00940E5B"/>
    <w:rsid w:val="00940F14"/>
    <w:rsid w:val="00940FA8"/>
    <w:rsid w:val="009410D2"/>
    <w:rsid w:val="00941105"/>
    <w:rsid w:val="00941161"/>
    <w:rsid w:val="00941319"/>
    <w:rsid w:val="009413A1"/>
    <w:rsid w:val="009414F4"/>
    <w:rsid w:val="00941558"/>
    <w:rsid w:val="00941732"/>
    <w:rsid w:val="0094182E"/>
    <w:rsid w:val="0094195B"/>
    <w:rsid w:val="00941A29"/>
    <w:rsid w:val="00941C06"/>
    <w:rsid w:val="00941D1E"/>
    <w:rsid w:val="00941DBB"/>
    <w:rsid w:val="00941EA3"/>
    <w:rsid w:val="00941ED2"/>
    <w:rsid w:val="00941F12"/>
    <w:rsid w:val="00941F50"/>
    <w:rsid w:val="00941F5D"/>
    <w:rsid w:val="009420F3"/>
    <w:rsid w:val="00942135"/>
    <w:rsid w:val="0094218D"/>
    <w:rsid w:val="00942405"/>
    <w:rsid w:val="00942425"/>
    <w:rsid w:val="00942838"/>
    <w:rsid w:val="009429CC"/>
    <w:rsid w:val="00942A3C"/>
    <w:rsid w:val="00942ACC"/>
    <w:rsid w:val="00942B78"/>
    <w:rsid w:val="00942BA0"/>
    <w:rsid w:val="00942C0A"/>
    <w:rsid w:val="00942D36"/>
    <w:rsid w:val="00942D6B"/>
    <w:rsid w:val="00942FB1"/>
    <w:rsid w:val="00942FD1"/>
    <w:rsid w:val="0094317F"/>
    <w:rsid w:val="009431B3"/>
    <w:rsid w:val="00943254"/>
    <w:rsid w:val="0094332F"/>
    <w:rsid w:val="009433B0"/>
    <w:rsid w:val="009433DF"/>
    <w:rsid w:val="00943439"/>
    <w:rsid w:val="009434CB"/>
    <w:rsid w:val="009435F0"/>
    <w:rsid w:val="0094360C"/>
    <w:rsid w:val="0094369D"/>
    <w:rsid w:val="00943750"/>
    <w:rsid w:val="00943822"/>
    <w:rsid w:val="0094391B"/>
    <w:rsid w:val="0094397D"/>
    <w:rsid w:val="0094399A"/>
    <w:rsid w:val="00943A9E"/>
    <w:rsid w:val="00943B94"/>
    <w:rsid w:val="00943C2B"/>
    <w:rsid w:val="00943D6B"/>
    <w:rsid w:val="00943DCE"/>
    <w:rsid w:val="00943E1D"/>
    <w:rsid w:val="00943EC1"/>
    <w:rsid w:val="00943F3F"/>
    <w:rsid w:val="00944052"/>
    <w:rsid w:val="009440A3"/>
    <w:rsid w:val="0094427D"/>
    <w:rsid w:val="009442FA"/>
    <w:rsid w:val="0094430C"/>
    <w:rsid w:val="00944394"/>
    <w:rsid w:val="009443AA"/>
    <w:rsid w:val="009444E1"/>
    <w:rsid w:val="00944526"/>
    <w:rsid w:val="009446C2"/>
    <w:rsid w:val="0094480A"/>
    <w:rsid w:val="0094483A"/>
    <w:rsid w:val="009449A7"/>
    <w:rsid w:val="00944ADF"/>
    <w:rsid w:val="00944B53"/>
    <w:rsid w:val="00944BAA"/>
    <w:rsid w:val="00944E6B"/>
    <w:rsid w:val="00944F32"/>
    <w:rsid w:val="00945112"/>
    <w:rsid w:val="00945119"/>
    <w:rsid w:val="00945162"/>
    <w:rsid w:val="009451A6"/>
    <w:rsid w:val="00945393"/>
    <w:rsid w:val="009453B8"/>
    <w:rsid w:val="009455B9"/>
    <w:rsid w:val="00945696"/>
    <w:rsid w:val="009456A9"/>
    <w:rsid w:val="0094595B"/>
    <w:rsid w:val="00945978"/>
    <w:rsid w:val="00945AFB"/>
    <w:rsid w:val="00945B00"/>
    <w:rsid w:val="00945B5C"/>
    <w:rsid w:val="00945BDC"/>
    <w:rsid w:val="00945C37"/>
    <w:rsid w:val="00945CBE"/>
    <w:rsid w:val="00945D7C"/>
    <w:rsid w:val="00945D94"/>
    <w:rsid w:val="00946252"/>
    <w:rsid w:val="009462AB"/>
    <w:rsid w:val="0094637B"/>
    <w:rsid w:val="00946467"/>
    <w:rsid w:val="009464E0"/>
    <w:rsid w:val="009465B4"/>
    <w:rsid w:val="009465E8"/>
    <w:rsid w:val="009466B9"/>
    <w:rsid w:val="0094680A"/>
    <w:rsid w:val="00946821"/>
    <w:rsid w:val="009469A7"/>
    <w:rsid w:val="00946A1B"/>
    <w:rsid w:val="00946CE0"/>
    <w:rsid w:val="00946D07"/>
    <w:rsid w:val="00946FBD"/>
    <w:rsid w:val="00947001"/>
    <w:rsid w:val="00947006"/>
    <w:rsid w:val="0094701D"/>
    <w:rsid w:val="0094704F"/>
    <w:rsid w:val="009470A8"/>
    <w:rsid w:val="009471DA"/>
    <w:rsid w:val="00947217"/>
    <w:rsid w:val="0094743A"/>
    <w:rsid w:val="00947628"/>
    <w:rsid w:val="00947660"/>
    <w:rsid w:val="009477CC"/>
    <w:rsid w:val="009477DB"/>
    <w:rsid w:val="009478D1"/>
    <w:rsid w:val="009479E1"/>
    <w:rsid w:val="00947BE3"/>
    <w:rsid w:val="00947BF4"/>
    <w:rsid w:val="00947CFB"/>
    <w:rsid w:val="00947D6E"/>
    <w:rsid w:val="00947E09"/>
    <w:rsid w:val="00947E14"/>
    <w:rsid w:val="00947E2F"/>
    <w:rsid w:val="009500A0"/>
    <w:rsid w:val="0095012B"/>
    <w:rsid w:val="009501C3"/>
    <w:rsid w:val="00950252"/>
    <w:rsid w:val="00950264"/>
    <w:rsid w:val="00950754"/>
    <w:rsid w:val="009507B0"/>
    <w:rsid w:val="00950878"/>
    <w:rsid w:val="0095089C"/>
    <w:rsid w:val="00950929"/>
    <w:rsid w:val="00950999"/>
    <w:rsid w:val="00950A5E"/>
    <w:rsid w:val="00950B55"/>
    <w:rsid w:val="00950C7B"/>
    <w:rsid w:val="00950CC1"/>
    <w:rsid w:val="00950E98"/>
    <w:rsid w:val="00950E99"/>
    <w:rsid w:val="00950E9E"/>
    <w:rsid w:val="009510D4"/>
    <w:rsid w:val="009514DE"/>
    <w:rsid w:val="009516FD"/>
    <w:rsid w:val="00951702"/>
    <w:rsid w:val="00951753"/>
    <w:rsid w:val="00951886"/>
    <w:rsid w:val="00951ABB"/>
    <w:rsid w:val="00951B0D"/>
    <w:rsid w:val="00951B48"/>
    <w:rsid w:val="00951B89"/>
    <w:rsid w:val="00951BC5"/>
    <w:rsid w:val="00951C44"/>
    <w:rsid w:val="00951DAE"/>
    <w:rsid w:val="009521B1"/>
    <w:rsid w:val="009521D3"/>
    <w:rsid w:val="00952220"/>
    <w:rsid w:val="00952397"/>
    <w:rsid w:val="0095260D"/>
    <w:rsid w:val="009526BD"/>
    <w:rsid w:val="009526CB"/>
    <w:rsid w:val="0095294B"/>
    <w:rsid w:val="00952C60"/>
    <w:rsid w:val="00952C76"/>
    <w:rsid w:val="00952CEF"/>
    <w:rsid w:val="00952D2A"/>
    <w:rsid w:val="00952DB9"/>
    <w:rsid w:val="00952E3B"/>
    <w:rsid w:val="00952E79"/>
    <w:rsid w:val="00952F2E"/>
    <w:rsid w:val="0095314B"/>
    <w:rsid w:val="0095326B"/>
    <w:rsid w:val="0095328C"/>
    <w:rsid w:val="0095343D"/>
    <w:rsid w:val="00953548"/>
    <w:rsid w:val="00953714"/>
    <w:rsid w:val="009537EE"/>
    <w:rsid w:val="00953847"/>
    <w:rsid w:val="009538EA"/>
    <w:rsid w:val="00953AD2"/>
    <w:rsid w:val="00953D0F"/>
    <w:rsid w:val="00953F1D"/>
    <w:rsid w:val="00953F7F"/>
    <w:rsid w:val="00954007"/>
    <w:rsid w:val="00954103"/>
    <w:rsid w:val="0095419F"/>
    <w:rsid w:val="009541A1"/>
    <w:rsid w:val="009541B3"/>
    <w:rsid w:val="009541CD"/>
    <w:rsid w:val="009542E7"/>
    <w:rsid w:val="0095434A"/>
    <w:rsid w:val="009544F9"/>
    <w:rsid w:val="00954567"/>
    <w:rsid w:val="00954613"/>
    <w:rsid w:val="0095469D"/>
    <w:rsid w:val="00954752"/>
    <w:rsid w:val="00954795"/>
    <w:rsid w:val="009548F2"/>
    <w:rsid w:val="00954916"/>
    <w:rsid w:val="00954944"/>
    <w:rsid w:val="00954B65"/>
    <w:rsid w:val="00954D9C"/>
    <w:rsid w:val="00954DB8"/>
    <w:rsid w:val="00954ED3"/>
    <w:rsid w:val="00955007"/>
    <w:rsid w:val="0095519B"/>
    <w:rsid w:val="009553D1"/>
    <w:rsid w:val="00955432"/>
    <w:rsid w:val="00955491"/>
    <w:rsid w:val="009555A9"/>
    <w:rsid w:val="00955B95"/>
    <w:rsid w:val="00955C29"/>
    <w:rsid w:val="00955C58"/>
    <w:rsid w:val="00955EDB"/>
    <w:rsid w:val="00955F22"/>
    <w:rsid w:val="009560EE"/>
    <w:rsid w:val="00956130"/>
    <w:rsid w:val="009561A1"/>
    <w:rsid w:val="00956377"/>
    <w:rsid w:val="0095638D"/>
    <w:rsid w:val="0095639D"/>
    <w:rsid w:val="0095650D"/>
    <w:rsid w:val="00956591"/>
    <w:rsid w:val="009565CA"/>
    <w:rsid w:val="009566B3"/>
    <w:rsid w:val="0095675F"/>
    <w:rsid w:val="00956857"/>
    <w:rsid w:val="009569CC"/>
    <w:rsid w:val="009569F8"/>
    <w:rsid w:val="00956A23"/>
    <w:rsid w:val="00956A85"/>
    <w:rsid w:val="00956B8A"/>
    <w:rsid w:val="00956C0D"/>
    <w:rsid w:val="00956C99"/>
    <w:rsid w:val="00956D35"/>
    <w:rsid w:val="00956D3A"/>
    <w:rsid w:val="00956E32"/>
    <w:rsid w:val="00957024"/>
    <w:rsid w:val="00957231"/>
    <w:rsid w:val="009572A6"/>
    <w:rsid w:val="0095738C"/>
    <w:rsid w:val="00957553"/>
    <w:rsid w:val="0095765B"/>
    <w:rsid w:val="009577B7"/>
    <w:rsid w:val="0095783F"/>
    <w:rsid w:val="00957857"/>
    <w:rsid w:val="00957895"/>
    <w:rsid w:val="009578A0"/>
    <w:rsid w:val="00957948"/>
    <w:rsid w:val="009579A1"/>
    <w:rsid w:val="00957C73"/>
    <w:rsid w:val="00957E7E"/>
    <w:rsid w:val="00957EF8"/>
    <w:rsid w:val="00957F25"/>
    <w:rsid w:val="00957F4D"/>
    <w:rsid w:val="009600B5"/>
    <w:rsid w:val="0096028D"/>
    <w:rsid w:val="009602C3"/>
    <w:rsid w:val="009605AA"/>
    <w:rsid w:val="00960792"/>
    <w:rsid w:val="00960873"/>
    <w:rsid w:val="009608CA"/>
    <w:rsid w:val="009608CC"/>
    <w:rsid w:val="0096091E"/>
    <w:rsid w:val="0096097F"/>
    <w:rsid w:val="00960CB3"/>
    <w:rsid w:val="00960E86"/>
    <w:rsid w:val="00960F0D"/>
    <w:rsid w:val="00960F5F"/>
    <w:rsid w:val="00960FA2"/>
    <w:rsid w:val="0096109E"/>
    <w:rsid w:val="00961188"/>
    <w:rsid w:val="009611C6"/>
    <w:rsid w:val="00961200"/>
    <w:rsid w:val="0096129E"/>
    <w:rsid w:val="0096138D"/>
    <w:rsid w:val="009615E3"/>
    <w:rsid w:val="009616AD"/>
    <w:rsid w:val="00961722"/>
    <w:rsid w:val="009617F8"/>
    <w:rsid w:val="00961853"/>
    <w:rsid w:val="00961972"/>
    <w:rsid w:val="00961A0F"/>
    <w:rsid w:val="00961B5A"/>
    <w:rsid w:val="00961CEF"/>
    <w:rsid w:val="00961D1C"/>
    <w:rsid w:val="00961D3A"/>
    <w:rsid w:val="00961E49"/>
    <w:rsid w:val="00961E57"/>
    <w:rsid w:val="00961ED4"/>
    <w:rsid w:val="00961F00"/>
    <w:rsid w:val="00961F0D"/>
    <w:rsid w:val="009620C2"/>
    <w:rsid w:val="00962174"/>
    <w:rsid w:val="00962245"/>
    <w:rsid w:val="00962290"/>
    <w:rsid w:val="0096238A"/>
    <w:rsid w:val="009623C3"/>
    <w:rsid w:val="009626F6"/>
    <w:rsid w:val="00962706"/>
    <w:rsid w:val="00962807"/>
    <w:rsid w:val="009629DB"/>
    <w:rsid w:val="00962AD0"/>
    <w:rsid w:val="00962E0A"/>
    <w:rsid w:val="00962E49"/>
    <w:rsid w:val="0096303C"/>
    <w:rsid w:val="00963340"/>
    <w:rsid w:val="009634A4"/>
    <w:rsid w:val="009635B6"/>
    <w:rsid w:val="009635CC"/>
    <w:rsid w:val="009638FE"/>
    <w:rsid w:val="00963B07"/>
    <w:rsid w:val="00963BE8"/>
    <w:rsid w:val="00963D49"/>
    <w:rsid w:val="00963DF2"/>
    <w:rsid w:val="00963E87"/>
    <w:rsid w:val="00963EC7"/>
    <w:rsid w:val="00963EDB"/>
    <w:rsid w:val="00963EFE"/>
    <w:rsid w:val="00964074"/>
    <w:rsid w:val="00964087"/>
    <w:rsid w:val="00964197"/>
    <w:rsid w:val="00964254"/>
    <w:rsid w:val="009642EE"/>
    <w:rsid w:val="0096434B"/>
    <w:rsid w:val="0096435E"/>
    <w:rsid w:val="009643FC"/>
    <w:rsid w:val="009644D9"/>
    <w:rsid w:val="00964628"/>
    <w:rsid w:val="009646C2"/>
    <w:rsid w:val="0096489B"/>
    <w:rsid w:val="0096498D"/>
    <w:rsid w:val="00964BBF"/>
    <w:rsid w:val="00964DEE"/>
    <w:rsid w:val="00964DF0"/>
    <w:rsid w:val="00964EF5"/>
    <w:rsid w:val="00965011"/>
    <w:rsid w:val="00965494"/>
    <w:rsid w:val="009654F6"/>
    <w:rsid w:val="00965512"/>
    <w:rsid w:val="0096556B"/>
    <w:rsid w:val="00965572"/>
    <w:rsid w:val="0096560B"/>
    <w:rsid w:val="0096566D"/>
    <w:rsid w:val="009656F0"/>
    <w:rsid w:val="009657D1"/>
    <w:rsid w:val="009659C9"/>
    <w:rsid w:val="00965AB7"/>
    <w:rsid w:val="00965AFF"/>
    <w:rsid w:val="00965E76"/>
    <w:rsid w:val="00965F11"/>
    <w:rsid w:val="009661F8"/>
    <w:rsid w:val="009662AD"/>
    <w:rsid w:val="009662DB"/>
    <w:rsid w:val="009662FA"/>
    <w:rsid w:val="00966332"/>
    <w:rsid w:val="00966341"/>
    <w:rsid w:val="00966444"/>
    <w:rsid w:val="00966455"/>
    <w:rsid w:val="00966469"/>
    <w:rsid w:val="00966574"/>
    <w:rsid w:val="0096677C"/>
    <w:rsid w:val="00966818"/>
    <w:rsid w:val="00966A87"/>
    <w:rsid w:val="00966B3A"/>
    <w:rsid w:val="00966B65"/>
    <w:rsid w:val="00966B7F"/>
    <w:rsid w:val="00966BFC"/>
    <w:rsid w:val="00966CB4"/>
    <w:rsid w:val="00966D42"/>
    <w:rsid w:val="00966E9C"/>
    <w:rsid w:val="00966ECA"/>
    <w:rsid w:val="00966F51"/>
    <w:rsid w:val="0096702F"/>
    <w:rsid w:val="0096708E"/>
    <w:rsid w:val="009670F9"/>
    <w:rsid w:val="00967546"/>
    <w:rsid w:val="00967665"/>
    <w:rsid w:val="0096767F"/>
    <w:rsid w:val="009676B1"/>
    <w:rsid w:val="009676D3"/>
    <w:rsid w:val="009677F3"/>
    <w:rsid w:val="00967898"/>
    <w:rsid w:val="009679D6"/>
    <w:rsid w:val="00967A4C"/>
    <w:rsid w:val="00967AF7"/>
    <w:rsid w:val="00967B04"/>
    <w:rsid w:val="00967C41"/>
    <w:rsid w:val="00967CF5"/>
    <w:rsid w:val="00967E02"/>
    <w:rsid w:val="00967E2C"/>
    <w:rsid w:val="009700D3"/>
    <w:rsid w:val="0097013C"/>
    <w:rsid w:val="00970374"/>
    <w:rsid w:val="0097046E"/>
    <w:rsid w:val="009705DB"/>
    <w:rsid w:val="009705F4"/>
    <w:rsid w:val="00970783"/>
    <w:rsid w:val="0097088B"/>
    <w:rsid w:val="00970909"/>
    <w:rsid w:val="00970A23"/>
    <w:rsid w:val="00970A6B"/>
    <w:rsid w:val="00970AF7"/>
    <w:rsid w:val="00970B54"/>
    <w:rsid w:val="00970C48"/>
    <w:rsid w:val="00970D6D"/>
    <w:rsid w:val="00971069"/>
    <w:rsid w:val="00971100"/>
    <w:rsid w:val="009711C5"/>
    <w:rsid w:val="009716BA"/>
    <w:rsid w:val="0097170D"/>
    <w:rsid w:val="00971725"/>
    <w:rsid w:val="00971789"/>
    <w:rsid w:val="0097195C"/>
    <w:rsid w:val="00971CDC"/>
    <w:rsid w:val="00971CEF"/>
    <w:rsid w:val="00971E2A"/>
    <w:rsid w:val="009720C0"/>
    <w:rsid w:val="00972125"/>
    <w:rsid w:val="009721B7"/>
    <w:rsid w:val="0097236A"/>
    <w:rsid w:val="0097247A"/>
    <w:rsid w:val="009724F3"/>
    <w:rsid w:val="009725FA"/>
    <w:rsid w:val="009725FE"/>
    <w:rsid w:val="0097260F"/>
    <w:rsid w:val="0097262D"/>
    <w:rsid w:val="00972641"/>
    <w:rsid w:val="0097268E"/>
    <w:rsid w:val="009726CD"/>
    <w:rsid w:val="009727DA"/>
    <w:rsid w:val="009727EF"/>
    <w:rsid w:val="009728B9"/>
    <w:rsid w:val="009728E6"/>
    <w:rsid w:val="00972D54"/>
    <w:rsid w:val="00972DAE"/>
    <w:rsid w:val="00972E21"/>
    <w:rsid w:val="00972F0E"/>
    <w:rsid w:val="00972F10"/>
    <w:rsid w:val="0097310A"/>
    <w:rsid w:val="009731D1"/>
    <w:rsid w:val="009732AD"/>
    <w:rsid w:val="00973383"/>
    <w:rsid w:val="0097369D"/>
    <w:rsid w:val="00973774"/>
    <w:rsid w:val="0097392F"/>
    <w:rsid w:val="009739EA"/>
    <w:rsid w:val="00973A6F"/>
    <w:rsid w:val="00973B08"/>
    <w:rsid w:val="00973C4F"/>
    <w:rsid w:val="00973E0C"/>
    <w:rsid w:val="0097412E"/>
    <w:rsid w:val="009741C7"/>
    <w:rsid w:val="009742DA"/>
    <w:rsid w:val="009745A9"/>
    <w:rsid w:val="009745D4"/>
    <w:rsid w:val="009746B5"/>
    <w:rsid w:val="009747A4"/>
    <w:rsid w:val="00974873"/>
    <w:rsid w:val="00974936"/>
    <w:rsid w:val="009749C8"/>
    <w:rsid w:val="00974B3E"/>
    <w:rsid w:val="00974BA6"/>
    <w:rsid w:val="00974D87"/>
    <w:rsid w:val="00975154"/>
    <w:rsid w:val="0097515C"/>
    <w:rsid w:val="00975194"/>
    <w:rsid w:val="009753C7"/>
    <w:rsid w:val="0097545E"/>
    <w:rsid w:val="00975526"/>
    <w:rsid w:val="0097552B"/>
    <w:rsid w:val="009755A4"/>
    <w:rsid w:val="009755BF"/>
    <w:rsid w:val="0097562F"/>
    <w:rsid w:val="0097588F"/>
    <w:rsid w:val="0097589A"/>
    <w:rsid w:val="009759E6"/>
    <w:rsid w:val="00975CBB"/>
    <w:rsid w:val="00975D60"/>
    <w:rsid w:val="00975D73"/>
    <w:rsid w:val="00975FE6"/>
    <w:rsid w:val="00975FEA"/>
    <w:rsid w:val="00976049"/>
    <w:rsid w:val="0097604D"/>
    <w:rsid w:val="009762D5"/>
    <w:rsid w:val="009764AD"/>
    <w:rsid w:val="009764AF"/>
    <w:rsid w:val="009764D5"/>
    <w:rsid w:val="00976504"/>
    <w:rsid w:val="009765C5"/>
    <w:rsid w:val="009767AA"/>
    <w:rsid w:val="00976862"/>
    <w:rsid w:val="009768E6"/>
    <w:rsid w:val="009769C7"/>
    <w:rsid w:val="00976A9E"/>
    <w:rsid w:val="00976B73"/>
    <w:rsid w:val="00976BE8"/>
    <w:rsid w:val="00976FA9"/>
    <w:rsid w:val="00976FC1"/>
    <w:rsid w:val="00977015"/>
    <w:rsid w:val="00977031"/>
    <w:rsid w:val="009770B8"/>
    <w:rsid w:val="00977225"/>
    <w:rsid w:val="00977324"/>
    <w:rsid w:val="00977373"/>
    <w:rsid w:val="00977448"/>
    <w:rsid w:val="00977564"/>
    <w:rsid w:val="00977639"/>
    <w:rsid w:val="009776B7"/>
    <w:rsid w:val="009778B7"/>
    <w:rsid w:val="00977953"/>
    <w:rsid w:val="00977CD5"/>
    <w:rsid w:val="00977F6D"/>
    <w:rsid w:val="0098005B"/>
    <w:rsid w:val="0098012E"/>
    <w:rsid w:val="0098049A"/>
    <w:rsid w:val="009804A8"/>
    <w:rsid w:val="009806C0"/>
    <w:rsid w:val="00980B8D"/>
    <w:rsid w:val="00980C61"/>
    <w:rsid w:val="00980DC7"/>
    <w:rsid w:val="00980E14"/>
    <w:rsid w:val="00980FC3"/>
    <w:rsid w:val="00980FFB"/>
    <w:rsid w:val="00981067"/>
    <w:rsid w:val="0098117B"/>
    <w:rsid w:val="00981310"/>
    <w:rsid w:val="009813B4"/>
    <w:rsid w:val="009815BA"/>
    <w:rsid w:val="009815DE"/>
    <w:rsid w:val="00981604"/>
    <w:rsid w:val="0098162E"/>
    <w:rsid w:val="00981641"/>
    <w:rsid w:val="009817AE"/>
    <w:rsid w:val="00981936"/>
    <w:rsid w:val="00981999"/>
    <w:rsid w:val="00981AAB"/>
    <w:rsid w:val="00981CBE"/>
    <w:rsid w:val="00981E36"/>
    <w:rsid w:val="00981EC5"/>
    <w:rsid w:val="00981F56"/>
    <w:rsid w:val="00982076"/>
    <w:rsid w:val="0098209F"/>
    <w:rsid w:val="009823BB"/>
    <w:rsid w:val="00982403"/>
    <w:rsid w:val="009824D4"/>
    <w:rsid w:val="00982899"/>
    <w:rsid w:val="00982B49"/>
    <w:rsid w:val="00982C26"/>
    <w:rsid w:val="00982C50"/>
    <w:rsid w:val="00982D29"/>
    <w:rsid w:val="009833E8"/>
    <w:rsid w:val="009834BD"/>
    <w:rsid w:val="009834E1"/>
    <w:rsid w:val="0098374B"/>
    <w:rsid w:val="009838C3"/>
    <w:rsid w:val="009839BC"/>
    <w:rsid w:val="009839E5"/>
    <w:rsid w:val="00983A6D"/>
    <w:rsid w:val="00983AE1"/>
    <w:rsid w:val="00983B89"/>
    <w:rsid w:val="00983D3E"/>
    <w:rsid w:val="009841EF"/>
    <w:rsid w:val="00984252"/>
    <w:rsid w:val="00984342"/>
    <w:rsid w:val="009843BA"/>
    <w:rsid w:val="009843C1"/>
    <w:rsid w:val="009844C5"/>
    <w:rsid w:val="00984545"/>
    <w:rsid w:val="009847BD"/>
    <w:rsid w:val="009848A2"/>
    <w:rsid w:val="00984A05"/>
    <w:rsid w:val="00984B07"/>
    <w:rsid w:val="00984B99"/>
    <w:rsid w:val="00984DC5"/>
    <w:rsid w:val="00984E32"/>
    <w:rsid w:val="00984FA9"/>
    <w:rsid w:val="00985012"/>
    <w:rsid w:val="0098502C"/>
    <w:rsid w:val="0098508F"/>
    <w:rsid w:val="00985231"/>
    <w:rsid w:val="009852AE"/>
    <w:rsid w:val="0098551F"/>
    <w:rsid w:val="009857FD"/>
    <w:rsid w:val="009858A7"/>
    <w:rsid w:val="0098594C"/>
    <w:rsid w:val="00985A67"/>
    <w:rsid w:val="00985AAD"/>
    <w:rsid w:val="00985BDC"/>
    <w:rsid w:val="00985CF0"/>
    <w:rsid w:val="00985D77"/>
    <w:rsid w:val="00985E50"/>
    <w:rsid w:val="00985F78"/>
    <w:rsid w:val="00986129"/>
    <w:rsid w:val="0098635B"/>
    <w:rsid w:val="009864EF"/>
    <w:rsid w:val="00986728"/>
    <w:rsid w:val="0098677A"/>
    <w:rsid w:val="00986797"/>
    <w:rsid w:val="009867BC"/>
    <w:rsid w:val="009868CF"/>
    <w:rsid w:val="009868DF"/>
    <w:rsid w:val="00986AC2"/>
    <w:rsid w:val="00986B9E"/>
    <w:rsid w:val="00986C00"/>
    <w:rsid w:val="00986C83"/>
    <w:rsid w:val="00986CFC"/>
    <w:rsid w:val="00986DDF"/>
    <w:rsid w:val="00986EB3"/>
    <w:rsid w:val="00986F25"/>
    <w:rsid w:val="009870BD"/>
    <w:rsid w:val="009872BF"/>
    <w:rsid w:val="0098734C"/>
    <w:rsid w:val="0098735B"/>
    <w:rsid w:val="00987390"/>
    <w:rsid w:val="009875A7"/>
    <w:rsid w:val="00987703"/>
    <w:rsid w:val="009877FF"/>
    <w:rsid w:val="0098784B"/>
    <w:rsid w:val="0098789B"/>
    <w:rsid w:val="00987A7D"/>
    <w:rsid w:val="00987B31"/>
    <w:rsid w:val="00987B43"/>
    <w:rsid w:val="00987C9D"/>
    <w:rsid w:val="00987D42"/>
    <w:rsid w:val="00987D79"/>
    <w:rsid w:val="00987E40"/>
    <w:rsid w:val="00987EE2"/>
    <w:rsid w:val="00987F9A"/>
    <w:rsid w:val="009901AE"/>
    <w:rsid w:val="009902D3"/>
    <w:rsid w:val="009902FF"/>
    <w:rsid w:val="00990321"/>
    <w:rsid w:val="0099033E"/>
    <w:rsid w:val="00990352"/>
    <w:rsid w:val="009903A0"/>
    <w:rsid w:val="00990433"/>
    <w:rsid w:val="00990465"/>
    <w:rsid w:val="00990471"/>
    <w:rsid w:val="00990574"/>
    <w:rsid w:val="00990687"/>
    <w:rsid w:val="0099082C"/>
    <w:rsid w:val="00990860"/>
    <w:rsid w:val="00990B5C"/>
    <w:rsid w:val="00990BC9"/>
    <w:rsid w:val="00990D5B"/>
    <w:rsid w:val="00990EB5"/>
    <w:rsid w:val="00990F37"/>
    <w:rsid w:val="00990F5C"/>
    <w:rsid w:val="00991285"/>
    <w:rsid w:val="0099128D"/>
    <w:rsid w:val="0099132F"/>
    <w:rsid w:val="00991477"/>
    <w:rsid w:val="009915B8"/>
    <w:rsid w:val="0099173A"/>
    <w:rsid w:val="0099181A"/>
    <w:rsid w:val="009918ED"/>
    <w:rsid w:val="0099190E"/>
    <w:rsid w:val="009919FC"/>
    <w:rsid w:val="00991A1B"/>
    <w:rsid w:val="00991A3E"/>
    <w:rsid w:val="00991A6E"/>
    <w:rsid w:val="00991A8D"/>
    <w:rsid w:val="00991C29"/>
    <w:rsid w:val="00991E8C"/>
    <w:rsid w:val="00991FAC"/>
    <w:rsid w:val="0099211F"/>
    <w:rsid w:val="00992167"/>
    <w:rsid w:val="009921BF"/>
    <w:rsid w:val="009922FE"/>
    <w:rsid w:val="009923DB"/>
    <w:rsid w:val="00992494"/>
    <w:rsid w:val="009924FF"/>
    <w:rsid w:val="009925AF"/>
    <w:rsid w:val="00992808"/>
    <w:rsid w:val="0099286D"/>
    <w:rsid w:val="00992951"/>
    <w:rsid w:val="009929C4"/>
    <w:rsid w:val="00992D50"/>
    <w:rsid w:val="00992EAB"/>
    <w:rsid w:val="00992FB4"/>
    <w:rsid w:val="0099302A"/>
    <w:rsid w:val="009930AA"/>
    <w:rsid w:val="009930B0"/>
    <w:rsid w:val="00993130"/>
    <w:rsid w:val="009932F9"/>
    <w:rsid w:val="0099343B"/>
    <w:rsid w:val="00993689"/>
    <w:rsid w:val="009936F0"/>
    <w:rsid w:val="009937A5"/>
    <w:rsid w:val="009939A0"/>
    <w:rsid w:val="00993AC7"/>
    <w:rsid w:val="00993E70"/>
    <w:rsid w:val="00993F48"/>
    <w:rsid w:val="00994023"/>
    <w:rsid w:val="009940F4"/>
    <w:rsid w:val="00994171"/>
    <w:rsid w:val="00994443"/>
    <w:rsid w:val="009944CD"/>
    <w:rsid w:val="009946B1"/>
    <w:rsid w:val="00994700"/>
    <w:rsid w:val="00994824"/>
    <w:rsid w:val="009949A1"/>
    <w:rsid w:val="00994DB3"/>
    <w:rsid w:val="00994DF0"/>
    <w:rsid w:val="00994E13"/>
    <w:rsid w:val="00994E86"/>
    <w:rsid w:val="00994EA8"/>
    <w:rsid w:val="00994F6D"/>
    <w:rsid w:val="009950E5"/>
    <w:rsid w:val="00995112"/>
    <w:rsid w:val="0099511B"/>
    <w:rsid w:val="0099519F"/>
    <w:rsid w:val="0099529C"/>
    <w:rsid w:val="00995553"/>
    <w:rsid w:val="00995557"/>
    <w:rsid w:val="0099572B"/>
    <w:rsid w:val="00995754"/>
    <w:rsid w:val="009957A8"/>
    <w:rsid w:val="00995A76"/>
    <w:rsid w:val="00995A85"/>
    <w:rsid w:val="00995A9E"/>
    <w:rsid w:val="00995C43"/>
    <w:rsid w:val="00995C72"/>
    <w:rsid w:val="00995D3B"/>
    <w:rsid w:val="00995DFB"/>
    <w:rsid w:val="00995E19"/>
    <w:rsid w:val="00995E7F"/>
    <w:rsid w:val="00995F1A"/>
    <w:rsid w:val="00995FE0"/>
    <w:rsid w:val="00996161"/>
    <w:rsid w:val="009961E8"/>
    <w:rsid w:val="009965BA"/>
    <w:rsid w:val="00996637"/>
    <w:rsid w:val="00996695"/>
    <w:rsid w:val="009969BB"/>
    <w:rsid w:val="00996B91"/>
    <w:rsid w:val="00996BA6"/>
    <w:rsid w:val="00996D14"/>
    <w:rsid w:val="00996E9C"/>
    <w:rsid w:val="00996FA0"/>
    <w:rsid w:val="009971DD"/>
    <w:rsid w:val="009971E7"/>
    <w:rsid w:val="0099721C"/>
    <w:rsid w:val="0099725D"/>
    <w:rsid w:val="009973C1"/>
    <w:rsid w:val="009973DD"/>
    <w:rsid w:val="009973E1"/>
    <w:rsid w:val="0099743C"/>
    <w:rsid w:val="0099745B"/>
    <w:rsid w:val="0099746A"/>
    <w:rsid w:val="00997480"/>
    <w:rsid w:val="00997583"/>
    <w:rsid w:val="009975FE"/>
    <w:rsid w:val="0099768D"/>
    <w:rsid w:val="0099778C"/>
    <w:rsid w:val="00997791"/>
    <w:rsid w:val="00997BBB"/>
    <w:rsid w:val="00997C5A"/>
    <w:rsid w:val="00997C5E"/>
    <w:rsid w:val="00997CA6"/>
    <w:rsid w:val="00997CD6"/>
    <w:rsid w:val="00997D36"/>
    <w:rsid w:val="00997E18"/>
    <w:rsid w:val="00997E9E"/>
    <w:rsid w:val="00997F59"/>
    <w:rsid w:val="009A0129"/>
    <w:rsid w:val="009A0249"/>
    <w:rsid w:val="009A02BB"/>
    <w:rsid w:val="009A03EE"/>
    <w:rsid w:val="009A0516"/>
    <w:rsid w:val="009A05CA"/>
    <w:rsid w:val="009A0743"/>
    <w:rsid w:val="009A0821"/>
    <w:rsid w:val="009A08C9"/>
    <w:rsid w:val="009A092B"/>
    <w:rsid w:val="009A0AE6"/>
    <w:rsid w:val="009A0D95"/>
    <w:rsid w:val="009A0D9E"/>
    <w:rsid w:val="009A0DD3"/>
    <w:rsid w:val="009A0EAE"/>
    <w:rsid w:val="009A0EF6"/>
    <w:rsid w:val="009A0F7A"/>
    <w:rsid w:val="009A113E"/>
    <w:rsid w:val="009A12E0"/>
    <w:rsid w:val="009A1412"/>
    <w:rsid w:val="009A1440"/>
    <w:rsid w:val="009A148E"/>
    <w:rsid w:val="009A1515"/>
    <w:rsid w:val="009A1562"/>
    <w:rsid w:val="009A16D0"/>
    <w:rsid w:val="009A1708"/>
    <w:rsid w:val="009A1737"/>
    <w:rsid w:val="009A1833"/>
    <w:rsid w:val="009A190E"/>
    <w:rsid w:val="009A191E"/>
    <w:rsid w:val="009A1938"/>
    <w:rsid w:val="009A1B0A"/>
    <w:rsid w:val="009A1B4A"/>
    <w:rsid w:val="009A1C1F"/>
    <w:rsid w:val="009A1D40"/>
    <w:rsid w:val="009A1D89"/>
    <w:rsid w:val="009A1E22"/>
    <w:rsid w:val="009A1F36"/>
    <w:rsid w:val="009A1F49"/>
    <w:rsid w:val="009A204A"/>
    <w:rsid w:val="009A2073"/>
    <w:rsid w:val="009A213A"/>
    <w:rsid w:val="009A235F"/>
    <w:rsid w:val="009A249B"/>
    <w:rsid w:val="009A24D2"/>
    <w:rsid w:val="009A25FE"/>
    <w:rsid w:val="009A2631"/>
    <w:rsid w:val="009A27A0"/>
    <w:rsid w:val="009A27CA"/>
    <w:rsid w:val="009A27FD"/>
    <w:rsid w:val="009A2BC4"/>
    <w:rsid w:val="009A2BE2"/>
    <w:rsid w:val="009A2C7A"/>
    <w:rsid w:val="009A2D71"/>
    <w:rsid w:val="009A2DAF"/>
    <w:rsid w:val="009A2E96"/>
    <w:rsid w:val="009A300E"/>
    <w:rsid w:val="009A3015"/>
    <w:rsid w:val="009A3090"/>
    <w:rsid w:val="009A333D"/>
    <w:rsid w:val="009A333F"/>
    <w:rsid w:val="009A33FB"/>
    <w:rsid w:val="009A343D"/>
    <w:rsid w:val="009A34FD"/>
    <w:rsid w:val="009A3561"/>
    <w:rsid w:val="009A35BB"/>
    <w:rsid w:val="009A35F4"/>
    <w:rsid w:val="009A361F"/>
    <w:rsid w:val="009A36E6"/>
    <w:rsid w:val="009A37DC"/>
    <w:rsid w:val="009A37DF"/>
    <w:rsid w:val="009A381B"/>
    <w:rsid w:val="009A3AB7"/>
    <w:rsid w:val="009A3B4F"/>
    <w:rsid w:val="009A3D0F"/>
    <w:rsid w:val="009A3D79"/>
    <w:rsid w:val="009A3E38"/>
    <w:rsid w:val="009A3E88"/>
    <w:rsid w:val="009A3F72"/>
    <w:rsid w:val="009A4105"/>
    <w:rsid w:val="009A42BA"/>
    <w:rsid w:val="009A4314"/>
    <w:rsid w:val="009A44DD"/>
    <w:rsid w:val="009A45CF"/>
    <w:rsid w:val="009A4B1B"/>
    <w:rsid w:val="009A4B86"/>
    <w:rsid w:val="009A4CB5"/>
    <w:rsid w:val="009A4E20"/>
    <w:rsid w:val="009A4E54"/>
    <w:rsid w:val="009A5188"/>
    <w:rsid w:val="009A51DA"/>
    <w:rsid w:val="009A5351"/>
    <w:rsid w:val="009A5390"/>
    <w:rsid w:val="009A542F"/>
    <w:rsid w:val="009A543A"/>
    <w:rsid w:val="009A5448"/>
    <w:rsid w:val="009A56C0"/>
    <w:rsid w:val="009A56D0"/>
    <w:rsid w:val="009A58D0"/>
    <w:rsid w:val="009A58DC"/>
    <w:rsid w:val="009A58F6"/>
    <w:rsid w:val="009A598D"/>
    <w:rsid w:val="009A5B33"/>
    <w:rsid w:val="009A5C4C"/>
    <w:rsid w:val="009A5CF2"/>
    <w:rsid w:val="009A5EF0"/>
    <w:rsid w:val="009A5FC2"/>
    <w:rsid w:val="009A613C"/>
    <w:rsid w:val="009A6157"/>
    <w:rsid w:val="009A643A"/>
    <w:rsid w:val="009A643B"/>
    <w:rsid w:val="009A64E7"/>
    <w:rsid w:val="009A6530"/>
    <w:rsid w:val="009A6785"/>
    <w:rsid w:val="009A69DE"/>
    <w:rsid w:val="009A6CCE"/>
    <w:rsid w:val="009A6D70"/>
    <w:rsid w:val="009A6ED7"/>
    <w:rsid w:val="009A6F48"/>
    <w:rsid w:val="009A712E"/>
    <w:rsid w:val="009A7167"/>
    <w:rsid w:val="009A7276"/>
    <w:rsid w:val="009A72FC"/>
    <w:rsid w:val="009A73C6"/>
    <w:rsid w:val="009A74FD"/>
    <w:rsid w:val="009A7507"/>
    <w:rsid w:val="009A7704"/>
    <w:rsid w:val="009A78E4"/>
    <w:rsid w:val="009A7B26"/>
    <w:rsid w:val="009A7D43"/>
    <w:rsid w:val="009A7F66"/>
    <w:rsid w:val="009B015E"/>
    <w:rsid w:val="009B02C4"/>
    <w:rsid w:val="009B0335"/>
    <w:rsid w:val="009B0624"/>
    <w:rsid w:val="009B07A1"/>
    <w:rsid w:val="009B07A8"/>
    <w:rsid w:val="009B0998"/>
    <w:rsid w:val="009B0A9D"/>
    <w:rsid w:val="009B0AE2"/>
    <w:rsid w:val="009B0B36"/>
    <w:rsid w:val="009B0D41"/>
    <w:rsid w:val="009B0E1F"/>
    <w:rsid w:val="009B0F89"/>
    <w:rsid w:val="009B0FF7"/>
    <w:rsid w:val="009B100D"/>
    <w:rsid w:val="009B10F7"/>
    <w:rsid w:val="009B10FC"/>
    <w:rsid w:val="009B12D3"/>
    <w:rsid w:val="009B1331"/>
    <w:rsid w:val="009B1495"/>
    <w:rsid w:val="009B15B5"/>
    <w:rsid w:val="009B15C2"/>
    <w:rsid w:val="009B166D"/>
    <w:rsid w:val="009B168C"/>
    <w:rsid w:val="009B170A"/>
    <w:rsid w:val="009B1738"/>
    <w:rsid w:val="009B18A2"/>
    <w:rsid w:val="009B18FF"/>
    <w:rsid w:val="009B1C0C"/>
    <w:rsid w:val="009B1C44"/>
    <w:rsid w:val="009B1DF4"/>
    <w:rsid w:val="009B1F1D"/>
    <w:rsid w:val="009B1F62"/>
    <w:rsid w:val="009B201D"/>
    <w:rsid w:val="009B229D"/>
    <w:rsid w:val="009B2327"/>
    <w:rsid w:val="009B2433"/>
    <w:rsid w:val="009B24C9"/>
    <w:rsid w:val="009B2E1F"/>
    <w:rsid w:val="009B2F65"/>
    <w:rsid w:val="009B3003"/>
    <w:rsid w:val="009B358B"/>
    <w:rsid w:val="009B3596"/>
    <w:rsid w:val="009B3607"/>
    <w:rsid w:val="009B365A"/>
    <w:rsid w:val="009B3664"/>
    <w:rsid w:val="009B36BE"/>
    <w:rsid w:val="009B36EB"/>
    <w:rsid w:val="009B397B"/>
    <w:rsid w:val="009B3984"/>
    <w:rsid w:val="009B3AC6"/>
    <w:rsid w:val="009B3B23"/>
    <w:rsid w:val="009B3CBD"/>
    <w:rsid w:val="009B3DE2"/>
    <w:rsid w:val="009B426B"/>
    <w:rsid w:val="009B4338"/>
    <w:rsid w:val="009B4355"/>
    <w:rsid w:val="009B4473"/>
    <w:rsid w:val="009B4589"/>
    <w:rsid w:val="009B461E"/>
    <w:rsid w:val="009B4692"/>
    <w:rsid w:val="009B471A"/>
    <w:rsid w:val="009B4777"/>
    <w:rsid w:val="009B4A7F"/>
    <w:rsid w:val="009B4AF3"/>
    <w:rsid w:val="009B4B70"/>
    <w:rsid w:val="009B4C38"/>
    <w:rsid w:val="009B4D09"/>
    <w:rsid w:val="009B4DA7"/>
    <w:rsid w:val="009B4DD7"/>
    <w:rsid w:val="009B4DE9"/>
    <w:rsid w:val="009B5156"/>
    <w:rsid w:val="009B5160"/>
    <w:rsid w:val="009B531D"/>
    <w:rsid w:val="009B5323"/>
    <w:rsid w:val="009B5378"/>
    <w:rsid w:val="009B53F0"/>
    <w:rsid w:val="009B541C"/>
    <w:rsid w:val="009B565D"/>
    <w:rsid w:val="009B566A"/>
    <w:rsid w:val="009B571B"/>
    <w:rsid w:val="009B5953"/>
    <w:rsid w:val="009B5961"/>
    <w:rsid w:val="009B5964"/>
    <w:rsid w:val="009B5A5C"/>
    <w:rsid w:val="009B5B42"/>
    <w:rsid w:val="009B5B7F"/>
    <w:rsid w:val="009B5D1A"/>
    <w:rsid w:val="009B5D9E"/>
    <w:rsid w:val="009B5E08"/>
    <w:rsid w:val="009B5E98"/>
    <w:rsid w:val="009B60DE"/>
    <w:rsid w:val="009B60F9"/>
    <w:rsid w:val="009B612D"/>
    <w:rsid w:val="009B6180"/>
    <w:rsid w:val="009B621B"/>
    <w:rsid w:val="009B641A"/>
    <w:rsid w:val="009B650F"/>
    <w:rsid w:val="009B66E4"/>
    <w:rsid w:val="009B6706"/>
    <w:rsid w:val="009B67CD"/>
    <w:rsid w:val="009B68BA"/>
    <w:rsid w:val="009B68CF"/>
    <w:rsid w:val="009B6B33"/>
    <w:rsid w:val="009B6B37"/>
    <w:rsid w:val="009B6EBB"/>
    <w:rsid w:val="009B6FF6"/>
    <w:rsid w:val="009B6FF9"/>
    <w:rsid w:val="009B7009"/>
    <w:rsid w:val="009B7033"/>
    <w:rsid w:val="009B72CD"/>
    <w:rsid w:val="009B74E0"/>
    <w:rsid w:val="009B7709"/>
    <w:rsid w:val="009B7744"/>
    <w:rsid w:val="009B7951"/>
    <w:rsid w:val="009B7A36"/>
    <w:rsid w:val="009B7A5F"/>
    <w:rsid w:val="009B7C59"/>
    <w:rsid w:val="009B7CBB"/>
    <w:rsid w:val="009B7DBB"/>
    <w:rsid w:val="009B7EE7"/>
    <w:rsid w:val="009B7F07"/>
    <w:rsid w:val="009C003A"/>
    <w:rsid w:val="009C00F2"/>
    <w:rsid w:val="009C01FC"/>
    <w:rsid w:val="009C02F5"/>
    <w:rsid w:val="009C0379"/>
    <w:rsid w:val="009C044E"/>
    <w:rsid w:val="009C0485"/>
    <w:rsid w:val="009C0573"/>
    <w:rsid w:val="009C05DB"/>
    <w:rsid w:val="009C0680"/>
    <w:rsid w:val="009C0894"/>
    <w:rsid w:val="009C08DA"/>
    <w:rsid w:val="009C0929"/>
    <w:rsid w:val="009C0963"/>
    <w:rsid w:val="009C0AFC"/>
    <w:rsid w:val="009C0BB8"/>
    <w:rsid w:val="009C0C99"/>
    <w:rsid w:val="009C0F37"/>
    <w:rsid w:val="009C0F3E"/>
    <w:rsid w:val="009C10A9"/>
    <w:rsid w:val="009C135A"/>
    <w:rsid w:val="009C137E"/>
    <w:rsid w:val="009C140E"/>
    <w:rsid w:val="009C1503"/>
    <w:rsid w:val="009C1615"/>
    <w:rsid w:val="009C1898"/>
    <w:rsid w:val="009C18AA"/>
    <w:rsid w:val="009C18BF"/>
    <w:rsid w:val="009C19D2"/>
    <w:rsid w:val="009C1A6E"/>
    <w:rsid w:val="009C1BFD"/>
    <w:rsid w:val="009C1C9E"/>
    <w:rsid w:val="009C1CA8"/>
    <w:rsid w:val="009C1CB0"/>
    <w:rsid w:val="009C1CE0"/>
    <w:rsid w:val="009C1CE9"/>
    <w:rsid w:val="009C1ECE"/>
    <w:rsid w:val="009C1EFC"/>
    <w:rsid w:val="009C20CF"/>
    <w:rsid w:val="009C2103"/>
    <w:rsid w:val="009C210A"/>
    <w:rsid w:val="009C2239"/>
    <w:rsid w:val="009C225A"/>
    <w:rsid w:val="009C2519"/>
    <w:rsid w:val="009C251B"/>
    <w:rsid w:val="009C25F7"/>
    <w:rsid w:val="009C268D"/>
    <w:rsid w:val="009C27D5"/>
    <w:rsid w:val="009C28FC"/>
    <w:rsid w:val="009C29A7"/>
    <w:rsid w:val="009C29C3"/>
    <w:rsid w:val="009C29E6"/>
    <w:rsid w:val="009C2BAE"/>
    <w:rsid w:val="009C2C1C"/>
    <w:rsid w:val="009C2C56"/>
    <w:rsid w:val="009C2CD7"/>
    <w:rsid w:val="009C2CF3"/>
    <w:rsid w:val="009C2D77"/>
    <w:rsid w:val="009C2DFF"/>
    <w:rsid w:val="009C2F56"/>
    <w:rsid w:val="009C2FED"/>
    <w:rsid w:val="009C3010"/>
    <w:rsid w:val="009C30D2"/>
    <w:rsid w:val="009C3253"/>
    <w:rsid w:val="009C327E"/>
    <w:rsid w:val="009C33AE"/>
    <w:rsid w:val="009C369C"/>
    <w:rsid w:val="009C373C"/>
    <w:rsid w:val="009C3B21"/>
    <w:rsid w:val="009C3C6A"/>
    <w:rsid w:val="009C3C70"/>
    <w:rsid w:val="009C3CB1"/>
    <w:rsid w:val="009C3E2E"/>
    <w:rsid w:val="009C3FFA"/>
    <w:rsid w:val="009C4386"/>
    <w:rsid w:val="009C4577"/>
    <w:rsid w:val="009C4602"/>
    <w:rsid w:val="009C4784"/>
    <w:rsid w:val="009C479D"/>
    <w:rsid w:val="009C489A"/>
    <w:rsid w:val="009C4927"/>
    <w:rsid w:val="009C4A98"/>
    <w:rsid w:val="009C4B4D"/>
    <w:rsid w:val="009C4BFD"/>
    <w:rsid w:val="009C4C27"/>
    <w:rsid w:val="009C4C33"/>
    <w:rsid w:val="009C4CC3"/>
    <w:rsid w:val="009C5234"/>
    <w:rsid w:val="009C52A4"/>
    <w:rsid w:val="009C52FC"/>
    <w:rsid w:val="009C5429"/>
    <w:rsid w:val="009C54E1"/>
    <w:rsid w:val="009C5697"/>
    <w:rsid w:val="009C579A"/>
    <w:rsid w:val="009C57B9"/>
    <w:rsid w:val="009C57D3"/>
    <w:rsid w:val="009C58E3"/>
    <w:rsid w:val="009C5DDD"/>
    <w:rsid w:val="009C5F81"/>
    <w:rsid w:val="009C60B5"/>
    <w:rsid w:val="009C618A"/>
    <w:rsid w:val="009C63D8"/>
    <w:rsid w:val="009C64E9"/>
    <w:rsid w:val="009C64F0"/>
    <w:rsid w:val="009C65FB"/>
    <w:rsid w:val="009C67F3"/>
    <w:rsid w:val="009C69AD"/>
    <w:rsid w:val="009C69DC"/>
    <w:rsid w:val="009C6AC7"/>
    <w:rsid w:val="009C6CC6"/>
    <w:rsid w:val="009C6DA8"/>
    <w:rsid w:val="009C6E1F"/>
    <w:rsid w:val="009C70F5"/>
    <w:rsid w:val="009C7182"/>
    <w:rsid w:val="009C73C8"/>
    <w:rsid w:val="009C75AA"/>
    <w:rsid w:val="009C771D"/>
    <w:rsid w:val="009C7989"/>
    <w:rsid w:val="009C79E0"/>
    <w:rsid w:val="009C7A3A"/>
    <w:rsid w:val="009C7B4D"/>
    <w:rsid w:val="009C7B75"/>
    <w:rsid w:val="009C7D3A"/>
    <w:rsid w:val="009C7DB6"/>
    <w:rsid w:val="009C7DCE"/>
    <w:rsid w:val="009C7E22"/>
    <w:rsid w:val="009C7FF0"/>
    <w:rsid w:val="009D008A"/>
    <w:rsid w:val="009D016D"/>
    <w:rsid w:val="009D02B2"/>
    <w:rsid w:val="009D0400"/>
    <w:rsid w:val="009D0460"/>
    <w:rsid w:val="009D0689"/>
    <w:rsid w:val="009D070A"/>
    <w:rsid w:val="009D071F"/>
    <w:rsid w:val="009D07A7"/>
    <w:rsid w:val="009D087B"/>
    <w:rsid w:val="009D0892"/>
    <w:rsid w:val="009D0A7D"/>
    <w:rsid w:val="009D0B14"/>
    <w:rsid w:val="009D0D5D"/>
    <w:rsid w:val="009D0ED0"/>
    <w:rsid w:val="009D107B"/>
    <w:rsid w:val="009D10C9"/>
    <w:rsid w:val="009D10F7"/>
    <w:rsid w:val="009D138F"/>
    <w:rsid w:val="009D1406"/>
    <w:rsid w:val="009D1409"/>
    <w:rsid w:val="009D160D"/>
    <w:rsid w:val="009D179F"/>
    <w:rsid w:val="009D195A"/>
    <w:rsid w:val="009D196F"/>
    <w:rsid w:val="009D19C6"/>
    <w:rsid w:val="009D1A9A"/>
    <w:rsid w:val="009D1B5C"/>
    <w:rsid w:val="009D1B96"/>
    <w:rsid w:val="009D1CDF"/>
    <w:rsid w:val="009D20A6"/>
    <w:rsid w:val="009D2155"/>
    <w:rsid w:val="009D2568"/>
    <w:rsid w:val="009D28F9"/>
    <w:rsid w:val="009D2A2F"/>
    <w:rsid w:val="009D2B86"/>
    <w:rsid w:val="009D2C76"/>
    <w:rsid w:val="009D2E0F"/>
    <w:rsid w:val="009D2F5A"/>
    <w:rsid w:val="009D3011"/>
    <w:rsid w:val="009D3041"/>
    <w:rsid w:val="009D30DC"/>
    <w:rsid w:val="009D342B"/>
    <w:rsid w:val="009D3504"/>
    <w:rsid w:val="009D371F"/>
    <w:rsid w:val="009D3736"/>
    <w:rsid w:val="009D3896"/>
    <w:rsid w:val="009D396E"/>
    <w:rsid w:val="009D3992"/>
    <w:rsid w:val="009D3A61"/>
    <w:rsid w:val="009D3C0B"/>
    <w:rsid w:val="009D3CD3"/>
    <w:rsid w:val="009D3CD7"/>
    <w:rsid w:val="009D3DA7"/>
    <w:rsid w:val="009D3EAD"/>
    <w:rsid w:val="009D3EDF"/>
    <w:rsid w:val="009D414B"/>
    <w:rsid w:val="009D41E3"/>
    <w:rsid w:val="009D4372"/>
    <w:rsid w:val="009D438D"/>
    <w:rsid w:val="009D4411"/>
    <w:rsid w:val="009D4433"/>
    <w:rsid w:val="009D44D9"/>
    <w:rsid w:val="009D4609"/>
    <w:rsid w:val="009D4C00"/>
    <w:rsid w:val="009D4DF6"/>
    <w:rsid w:val="009D4E2D"/>
    <w:rsid w:val="009D4F79"/>
    <w:rsid w:val="009D4FFB"/>
    <w:rsid w:val="009D5216"/>
    <w:rsid w:val="009D528A"/>
    <w:rsid w:val="009D5489"/>
    <w:rsid w:val="009D548E"/>
    <w:rsid w:val="009D560E"/>
    <w:rsid w:val="009D57AF"/>
    <w:rsid w:val="009D57FC"/>
    <w:rsid w:val="009D587B"/>
    <w:rsid w:val="009D58A1"/>
    <w:rsid w:val="009D5A79"/>
    <w:rsid w:val="009D5A89"/>
    <w:rsid w:val="009D5B1E"/>
    <w:rsid w:val="009D5B81"/>
    <w:rsid w:val="009D5B85"/>
    <w:rsid w:val="009D5C12"/>
    <w:rsid w:val="009D5D40"/>
    <w:rsid w:val="009D5D55"/>
    <w:rsid w:val="009D5FCD"/>
    <w:rsid w:val="009D606F"/>
    <w:rsid w:val="009D6134"/>
    <w:rsid w:val="009D61BA"/>
    <w:rsid w:val="009D6200"/>
    <w:rsid w:val="009D6215"/>
    <w:rsid w:val="009D627E"/>
    <w:rsid w:val="009D6296"/>
    <w:rsid w:val="009D62C5"/>
    <w:rsid w:val="009D6351"/>
    <w:rsid w:val="009D6427"/>
    <w:rsid w:val="009D6528"/>
    <w:rsid w:val="009D65A2"/>
    <w:rsid w:val="009D66FD"/>
    <w:rsid w:val="009D6788"/>
    <w:rsid w:val="009D6816"/>
    <w:rsid w:val="009D6927"/>
    <w:rsid w:val="009D69B4"/>
    <w:rsid w:val="009D69C2"/>
    <w:rsid w:val="009D6A2D"/>
    <w:rsid w:val="009D6A88"/>
    <w:rsid w:val="009D6AFA"/>
    <w:rsid w:val="009D6AFC"/>
    <w:rsid w:val="009D6AFF"/>
    <w:rsid w:val="009D6D16"/>
    <w:rsid w:val="009D7004"/>
    <w:rsid w:val="009D709D"/>
    <w:rsid w:val="009D71B6"/>
    <w:rsid w:val="009D71C4"/>
    <w:rsid w:val="009D7249"/>
    <w:rsid w:val="009D725B"/>
    <w:rsid w:val="009D73F9"/>
    <w:rsid w:val="009D7744"/>
    <w:rsid w:val="009D7801"/>
    <w:rsid w:val="009D78D0"/>
    <w:rsid w:val="009D797D"/>
    <w:rsid w:val="009D7CB0"/>
    <w:rsid w:val="009D7CB3"/>
    <w:rsid w:val="009D7D16"/>
    <w:rsid w:val="009D7D3D"/>
    <w:rsid w:val="009D7E2D"/>
    <w:rsid w:val="009D7ECC"/>
    <w:rsid w:val="009D7EE9"/>
    <w:rsid w:val="009D7F1D"/>
    <w:rsid w:val="009D7FC0"/>
    <w:rsid w:val="009E0050"/>
    <w:rsid w:val="009E00C7"/>
    <w:rsid w:val="009E01D1"/>
    <w:rsid w:val="009E0376"/>
    <w:rsid w:val="009E0382"/>
    <w:rsid w:val="009E03F9"/>
    <w:rsid w:val="009E046D"/>
    <w:rsid w:val="009E0483"/>
    <w:rsid w:val="009E091D"/>
    <w:rsid w:val="009E099D"/>
    <w:rsid w:val="009E0B0B"/>
    <w:rsid w:val="009E0B69"/>
    <w:rsid w:val="009E0D03"/>
    <w:rsid w:val="009E0D82"/>
    <w:rsid w:val="009E0DAA"/>
    <w:rsid w:val="009E0F25"/>
    <w:rsid w:val="009E15CE"/>
    <w:rsid w:val="009E162C"/>
    <w:rsid w:val="009E16E0"/>
    <w:rsid w:val="009E175C"/>
    <w:rsid w:val="009E17A4"/>
    <w:rsid w:val="009E17CC"/>
    <w:rsid w:val="009E17D7"/>
    <w:rsid w:val="009E1855"/>
    <w:rsid w:val="009E18D6"/>
    <w:rsid w:val="009E1959"/>
    <w:rsid w:val="009E1A9E"/>
    <w:rsid w:val="009E1DC5"/>
    <w:rsid w:val="009E1E06"/>
    <w:rsid w:val="009E2076"/>
    <w:rsid w:val="009E20D2"/>
    <w:rsid w:val="009E21F9"/>
    <w:rsid w:val="009E225D"/>
    <w:rsid w:val="009E24B4"/>
    <w:rsid w:val="009E251F"/>
    <w:rsid w:val="009E2580"/>
    <w:rsid w:val="009E25D0"/>
    <w:rsid w:val="009E272D"/>
    <w:rsid w:val="009E2769"/>
    <w:rsid w:val="009E27E6"/>
    <w:rsid w:val="009E283A"/>
    <w:rsid w:val="009E286B"/>
    <w:rsid w:val="009E29CD"/>
    <w:rsid w:val="009E2AEA"/>
    <w:rsid w:val="009E2B5B"/>
    <w:rsid w:val="009E2BD9"/>
    <w:rsid w:val="009E2DB1"/>
    <w:rsid w:val="009E30EF"/>
    <w:rsid w:val="009E3134"/>
    <w:rsid w:val="009E3146"/>
    <w:rsid w:val="009E31F7"/>
    <w:rsid w:val="009E32A1"/>
    <w:rsid w:val="009E349A"/>
    <w:rsid w:val="009E355A"/>
    <w:rsid w:val="009E355C"/>
    <w:rsid w:val="009E3813"/>
    <w:rsid w:val="009E3CE2"/>
    <w:rsid w:val="009E3D7E"/>
    <w:rsid w:val="009E3EA7"/>
    <w:rsid w:val="009E3EDC"/>
    <w:rsid w:val="009E3EF2"/>
    <w:rsid w:val="009E3F06"/>
    <w:rsid w:val="009E405A"/>
    <w:rsid w:val="009E40B9"/>
    <w:rsid w:val="009E4116"/>
    <w:rsid w:val="009E4521"/>
    <w:rsid w:val="009E454F"/>
    <w:rsid w:val="009E4630"/>
    <w:rsid w:val="009E467E"/>
    <w:rsid w:val="009E46E1"/>
    <w:rsid w:val="009E4766"/>
    <w:rsid w:val="009E4775"/>
    <w:rsid w:val="009E483C"/>
    <w:rsid w:val="009E4A1F"/>
    <w:rsid w:val="009E4BED"/>
    <w:rsid w:val="009E4C28"/>
    <w:rsid w:val="009E4F7C"/>
    <w:rsid w:val="009E5032"/>
    <w:rsid w:val="009E51EC"/>
    <w:rsid w:val="009E5251"/>
    <w:rsid w:val="009E5323"/>
    <w:rsid w:val="009E5385"/>
    <w:rsid w:val="009E53F1"/>
    <w:rsid w:val="009E546F"/>
    <w:rsid w:val="009E5508"/>
    <w:rsid w:val="009E554D"/>
    <w:rsid w:val="009E55DD"/>
    <w:rsid w:val="009E566E"/>
    <w:rsid w:val="009E5674"/>
    <w:rsid w:val="009E567A"/>
    <w:rsid w:val="009E56BE"/>
    <w:rsid w:val="009E58F9"/>
    <w:rsid w:val="009E59FD"/>
    <w:rsid w:val="009E5AD0"/>
    <w:rsid w:val="009E5CCB"/>
    <w:rsid w:val="009E5DB5"/>
    <w:rsid w:val="009E5EE1"/>
    <w:rsid w:val="009E6026"/>
    <w:rsid w:val="009E6037"/>
    <w:rsid w:val="009E617E"/>
    <w:rsid w:val="009E61B0"/>
    <w:rsid w:val="009E6411"/>
    <w:rsid w:val="009E6428"/>
    <w:rsid w:val="009E64A9"/>
    <w:rsid w:val="009E6644"/>
    <w:rsid w:val="009E66BD"/>
    <w:rsid w:val="009E69D7"/>
    <w:rsid w:val="009E69E4"/>
    <w:rsid w:val="009E6B46"/>
    <w:rsid w:val="009E6C2F"/>
    <w:rsid w:val="009E6CE8"/>
    <w:rsid w:val="009E6D15"/>
    <w:rsid w:val="009E6D7B"/>
    <w:rsid w:val="009E6D92"/>
    <w:rsid w:val="009E6DD6"/>
    <w:rsid w:val="009E6E07"/>
    <w:rsid w:val="009E6EAC"/>
    <w:rsid w:val="009E717B"/>
    <w:rsid w:val="009E71DB"/>
    <w:rsid w:val="009E7261"/>
    <w:rsid w:val="009E7527"/>
    <w:rsid w:val="009E75FA"/>
    <w:rsid w:val="009E77C6"/>
    <w:rsid w:val="009E784A"/>
    <w:rsid w:val="009E7C47"/>
    <w:rsid w:val="009E7EBE"/>
    <w:rsid w:val="009F0015"/>
    <w:rsid w:val="009F005B"/>
    <w:rsid w:val="009F01E0"/>
    <w:rsid w:val="009F01F2"/>
    <w:rsid w:val="009F02C1"/>
    <w:rsid w:val="009F037C"/>
    <w:rsid w:val="009F03B3"/>
    <w:rsid w:val="009F03EB"/>
    <w:rsid w:val="009F06DD"/>
    <w:rsid w:val="009F07B0"/>
    <w:rsid w:val="009F08B5"/>
    <w:rsid w:val="009F0986"/>
    <w:rsid w:val="009F0A71"/>
    <w:rsid w:val="009F0B7F"/>
    <w:rsid w:val="009F0D5E"/>
    <w:rsid w:val="009F0DD0"/>
    <w:rsid w:val="009F0DF8"/>
    <w:rsid w:val="009F0E42"/>
    <w:rsid w:val="009F1153"/>
    <w:rsid w:val="009F1284"/>
    <w:rsid w:val="009F130E"/>
    <w:rsid w:val="009F1352"/>
    <w:rsid w:val="009F13E5"/>
    <w:rsid w:val="009F1454"/>
    <w:rsid w:val="009F1721"/>
    <w:rsid w:val="009F17FE"/>
    <w:rsid w:val="009F18E9"/>
    <w:rsid w:val="009F19E0"/>
    <w:rsid w:val="009F1CF7"/>
    <w:rsid w:val="009F1E1C"/>
    <w:rsid w:val="009F2584"/>
    <w:rsid w:val="009F2673"/>
    <w:rsid w:val="009F26EE"/>
    <w:rsid w:val="009F29A9"/>
    <w:rsid w:val="009F2A98"/>
    <w:rsid w:val="009F2B19"/>
    <w:rsid w:val="009F2C9C"/>
    <w:rsid w:val="009F2CDF"/>
    <w:rsid w:val="009F2DE4"/>
    <w:rsid w:val="009F2E48"/>
    <w:rsid w:val="009F2F2C"/>
    <w:rsid w:val="009F2F66"/>
    <w:rsid w:val="009F2FB0"/>
    <w:rsid w:val="009F30A0"/>
    <w:rsid w:val="009F30F2"/>
    <w:rsid w:val="009F30F9"/>
    <w:rsid w:val="009F315E"/>
    <w:rsid w:val="009F316F"/>
    <w:rsid w:val="009F32B0"/>
    <w:rsid w:val="009F3363"/>
    <w:rsid w:val="009F3437"/>
    <w:rsid w:val="009F3588"/>
    <w:rsid w:val="009F3674"/>
    <w:rsid w:val="009F36C1"/>
    <w:rsid w:val="009F37DA"/>
    <w:rsid w:val="009F37F0"/>
    <w:rsid w:val="009F382D"/>
    <w:rsid w:val="009F3B6B"/>
    <w:rsid w:val="009F3CA2"/>
    <w:rsid w:val="009F3ED1"/>
    <w:rsid w:val="009F3F66"/>
    <w:rsid w:val="009F4089"/>
    <w:rsid w:val="009F409D"/>
    <w:rsid w:val="009F40FE"/>
    <w:rsid w:val="009F4121"/>
    <w:rsid w:val="009F41D5"/>
    <w:rsid w:val="009F426E"/>
    <w:rsid w:val="009F42DF"/>
    <w:rsid w:val="009F4380"/>
    <w:rsid w:val="009F43CF"/>
    <w:rsid w:val="009F46BA"/>
    <w:rsid w:val="009F4782"/>
    <w:rsid w:val="009F47ED"/>
    <w:rsid w:val="009F480C"/>
    <w:rsid w:val="009F491F"/>
    <w:rsid w:val="009F4AE1"/>
    <w:rsid w:val="009F4B64"/>
    <w:rsid w:val="009F4C2A"/>
    <w:rsid w:val="009F4C7E"/>
    <w:rsid w:val="009F4E2A"/>
    <w:rsid w:val="009F4EF0"/>
    <w:rsid w:val="009F4F3A"/>
    <w:rsid w:val="009F5168"/>
    <w:rsid w:val="009F522B"/>
    <w:rsid w:val="009F53A6"/>
    <w:rsid w:val="009F5473"/>
    <w:rsid w:val="009F55B5"/>
    <w:rsid w:val="009F5752"/>
    <w:rsid w:val="009F5777"/>
    <w:rsid w:val="009F580D"/>
    <w:rsid w:val="009F583A"/>
    <w:rsid w:val="009F58EE"/>
    <w:rsid w:val="009F5922"/>
    <w:rsid w:val="009F5A48"/>
    <w:rsid w:val="009F5BFB"/>
    <w:rsid w:val="009F5CE2"/>
    <w:rsid w:val="009F5DC5"/>
    <w:rsid w:val="009F5FC3"/>
    <w:rsid w:val="009F5FE1"/>
    <w:rsid w:val="009F6034"/>
    <w:rsid w:val="009F6163"/>
    <w:rsid w:val="009F6188"/>
    <w:rsid w:val="009F61B6"/>
    <w:rsid w:val="009F62EF"/>
    <w:rsid w:val="009F6461"/>
    <w:rsid w:val="009F6556"/>
    <w:rsid w:val="009F6607"/>
    <w:rsid w:val="009F6612"/>
    <w:rsid w:val="009F6649"/>
    <w:rsid w:val="009F669A"/>
    <w:rsid w:val="009F66B7"/>
    <w:rsid w:val="009F6764"/>
    <w:rsid w:val="009F6869"/>
    <w:rsid w:val="009F6CCB"/>
    <w:rsid w:val="009F6E7E"/>
    <w:rsid w:val="009F709D"/>
    <w:rsid w:val="009F71B9"/>
    <w:rsid w:val="009F73A0"/>
    <w:rsid w:val="009F767B"/>
    <w:rsid w:val="009F7713"/>
    <w:rsid w:val="009F7752"/>
    <w:rsid w:val="009F77AC"/>
    <w:rsid w:val="009F793E"/>
    <w:rsid w:val="009F7CE0"/>
    <w:rsid w:val="009F7D8B"/>
    <w:rsid w:val="009F7D9C"/>
    <w:rsid w:val="009F7F4D"/>
    <w:rsid w:val="009F7F6F"/>
    <w:rsid w:val="009F7FAC"/>
    <w:rsid w:val="00A00084"/>
    <w:rsid w:val="00A002F5"/>
    <w:rsid w:val="00A00344"/>
    <w:rsid w:val="00A0037E"/>
    <w:rsid w:val="00A00396"/>
    <w:rsid w:val="00A004EF"/>
    <w:rsid w:val="00A00517"/>
    <w:rsid w:val="00A0053B"/>
    <w:rsid w:val="00A006A8"/>
    <w:rsid w:val="00A007C9"/>
    <w:rsid w:val="00A009B8"/>
    <w:rsid w:val="00A00A05"/>
    <w:rsid w:val="00A00A1D"/>
    <w:rsid w:val="00A00A95"/>
    <w:rsid w:val="00A00C1C"/>
    <w:rsid w:val="00A00D4B"/>
    <w:rsid w:val="00A00D60"/>
    <w:rsid w:val="00A00DEC"/>
    <w:rsid w:val="00A00E93"/>
    <w:rsid w:val="00A00F96"/>
    <w:rsid w:val="00A00FB1"/>
    <w:rsid w:val="00A010B0"/>
    <w:rsid w:val="00A0112F"/>
    <w:rsid w:val="00A0113A"/>
    <w:rsid w:val="00A012E6"/>
    <w:rsid w:val="00A0140D"/>
    <w:rsid w:val="00A01500"/>
    <w:rsid w:val="00A01559"/>
    <w:rsid w:val="00A0168F"/>
    <w:rsid w:val="00A018AE"/>
    <w:rsid w:val="00A0190D"/>
    <w:rsid w:val="00A01923"/>
    <w:rsid w:val="00A01960"/>
    <w:rsid w:val="00A01AF1"/>
    <w:rsid w:val="00A01B66"/>
    <w:rsid w:val="00A01E01"/>
    <w:rsid w:val="00A01F81"/>
    <w:rsid w:val="00A0216C"/>
    <w:rsid w:val="00A021E3"/>
    <w:rsid w:val="00A0226C"/>
    <w:rsid w:val="00A0228B"/>
    <w:rsid w:val="00A025FB"/>
    <w:rsid w:val="00A02676"/>
    <w:rsid w:val="00A0277D"/>
    <w:rsid w:val="00A027F1"/>
    <w:rsid w:val="00A02D1A"/>
    <w:rsid w:val="00A02E43"/>
    <w:rsid w:val="00A02E46"/>
    <w:rsid w:val="00A02EEA"/>
    <w:rsid w:val="00A03045"/>
    <w:rsid w:val="00A03190"/>
    <w:rsid w:val="00A03238"/>
    <w:rsid w:val="00A032BE"/>
    <w:rsid w:val="00A033C9"/>
    <w:rsid w:val="00A03553"/>
    <w:rsid w:val="00A035EA"/>
    <w:rsid w:val="00A037B9"/>
    <w:rsid w:val="00A03911"/>
    <w:rsid w:val="00A039E9"/>
    <w:rsid w:val="00A03A8D"/>
    <w:rsid w:val="00A03D88"/>
    <w:rsid w:val="00A03E25"/>
    <w:rsid w:val="00A04073"/>
    <w:rsid w:val="00A040CB"/>
    <w:rsid w:val="00A04252"/>
    <w:rsid w:val="00A04270"/>
    <w:rsid w:val="00A042A9"/>
    <w:rsid w:val="00A0453B"/>
    <w:rsid w:val="00A04557"/>
    <w:rsid w:val="00A045BC"/>
    <w:rsid w:val="00A045F2"/>
    <w:rsid w:val="00A047A5"/>
    <w:rsid w:val="00A048FF"/>
    <w:rsid w:val="00A04971"/>
    <w:rsid w:val="00A04A49"/>
    <w:rsid w:val="00A04CD4"/>
    <w:rsid w:val="00A04E50"/>
    <w:rsid w:val="00A04FB0"/>
    <w:rsid w:val="00A04FD4"/>
    <w:rsid w:val="00A0510B"/>
    <w:rsid w:val="00A0510E"/>
    <w:rsid w:val="00A051D1"/>
    <w:rsid w:val="00A0539F"/>
    <w:rsid w:val="00A05428"/>
    <w:rsid w:val="00A054AC"/>
    <w:rsid w:val="00A0555B"/>
    <w:rsid w:val="00A0577F"/>
    <w:rsid w:val="00A057BC"/>
    <w:rsid w:val="00A0587D"/>
    <w:rsid w:val="00A058F0"/>
    <w:rsid w:val="00A05910"/>
    <w:rsid w:val="00A05AD5"/>
    <w:rsid w:val="00A05C36"/>
    <w:rsid w:val="00A05FCF"/>
    <w:rsid w:val="00A063FC"/>
    <w:rsid w:val="00A066C5"/>
    <w:rsid w:val="00A066DD"/>
    <w:rsid w:val="00A06780"/>
    <w:rsid w:val="00A068B3"/>
    <w:rsid w:val="00A0697E"/>
    <w:rsid w:val="00A06A82"/>
    <w:rsid w:val="00A06C0E"/>
    <w:rsid w:val="00A06C11"/>
    <w:rsid w:val="00A06C23"/>
    <w:rsid w:val="00A06E57"/>
    <w:rsid w:val="00A06ED4"/>
    <w:rsid w:val="00A06EE7"/>
    <w:rsid w:val="00A06F03"/>
    <w:rsid w:val="00A07099"/>
    <w:rsid w:val="00A07131"/>
    <w:rsid w:val="00A07134"/>
    <w:rsid w:val="00A071BE"/>
    <w:rsid w:val="00A07232"/>
    <w:rsid w:val="00A07239"/>
    <w:rsid w:val="00A074A8"/>
    <w:rsid w:val="00A0752C"/>
    <w:rsid w:val="00A07535"/>
    <w:rsid w:val="00A07583"/>
    <w:rsid w:val="00A075DA"/>
    <w:rsid w:val="00A076A3"/>
    <w:rsid w:val="00A07771"/>
    <w:rsid w:val="00A077B7"/>
    <w:rsid w:val="00A07808"/>
    <w:rsid w:val="00A07866"/>
    <w:rsid w:val="00A07914"/>
    <w:rsid w:val="00A079D1"/>
    <w:rsid w:val="00A07B1D"/>
    <w:rsid w:val="00A07B22"/>
    <w:rsid w:val="00A07DC7"/>
    <w:rsid w:val="00A07E48"/>
    <w:rsid w:val="00A102D4"/>
    <w:rsid w:val="00A1038D"/>
    <w:rsid w:val="00A103AC"/>
    <w:rsid w:val="00A104B0"/>
    <w:rsid w:val="00A108C7"/>
    <w:rsid w:val="00A108E3"/>
    <w:rsid w:val="00A109E7"/>
    <w:rsid w:val="00A109FB"/>
    <w:rsid w:val="00A10A8C"/>
    <w:rsid w:val="00A10AC8"/>
    <w:rsid w:val="00A10DD6"/>
    <w:rsid w:val="00A10E75"/>
    <w:rsid w:val="00A11043"/>
    <w:rsid w:val="00A11210"/>
    <w:rsid w:val="00A11246"/>
    <w:rsid w:val="00A116E1"/>
    <w:rsid w:val="00A117D5"/>
    <w:rsid w:val="00A11948"/>
    <w:rsid w:val="00A11989"/>
    <w:rsid w:val="00A119D8"/>
    <w:rsid w:val="00A11A84"/>
    <w:rsid w:val="00A11B06"/>
    <w:rsid w:val="00A11C7E"/>
    <w:rsid w:val="00A11CE4"/>
    <w:rsid w:val="00A11D21"/>
    <w:rsid w:val="00A11D4F"/>
    <w:rsid w:val="00A11D68"/>
    <w:rsid w:val="00A11E66"/>
    <w:rsid w:val="00A11E72"/>
    <w:rsid w:val="00A11F92"/>
    <w:rsid w:val="00A1201F"/>
    <w:rsid w:val="00A1209D"/>
    <w:rsid w:val="00A12132"/>
    <w:rsid w:val="00A12197"/>
    <w:rsid w:val="00A1238F"/>
    <w:rsid w:val="00A123FA"/>
    <w:rsid w:val="00A12466"/>
    <w:rsid w:val="00A12545"/>
    <w:rsid w:val="00A12621"/>
    <w:rsid w:val="00A12643"/>
    <w:rsid w:val="00A1267E"/>
    <w:rsid w:val="00A12752"/>
    <w:rsid w:val="00A127AB"/>
    <w:rsid w:val="00A12818"/>
    <w:rsid w:val="00A1284E"/>
    <w:rsid w:val="00A12892"/>
    <w:rsid w:val="00A12B0D"/>
    <w:rsid w:val="00A12C44"/>
    <w:rsid w:val="00A12D62"/>
    <w:rsid w:val="00A12D74"/>
    <w:rsid w:val="00A12E2C"/>
    <w:rsid w:val="00A12FA6"/>
    <w:rsid w:val="00A13118"/>
    <w:rsid w:val="00A131A6"/>
    <w:rsid w:val="00A1326F"/>
    <w:rsid w:val="00A13318"/>
    <w:rsid w:val="00A1332F"/>
    <w:rsid w:val="00A1342A"/>
    <w:rsid w:val="00A13688"/>
    <w:rsid w:val="00A1369C"/>
    <w:rsid w:val="00A13837"/>
    <w:rsid w:val="00A138C7"/>
    <w:rsid w:val="00A13DFD"/>
    <w:rsid w:val="00A13EA2"/>
    <w:rsid w:val="00A13F4E"/>
    <w:rsid w:val="00A14074"/>
    <w:rsid w:val="00A14079"/>
    <w:rsid w:val="00A14146"/>
    <w:rsid w:val="00A14182"/>
    <w:rsid w:val="00A144B1"/>
    <w:rsid w:val="00A1457B"/>
    <w:rsid w:val="00A14759"/>
    <w:rsid w:val="00A1483A"/>
    <w:rsid w:val="00A1484E"/>
    <w:rsid w:val="00A1488A"/>
    <w:rsid w:val="00A149C2"/>
    <w:rsid w:val="00A14A25"/>
    <w:rsid w:val="00A14B59"/>
    <w:rsid w:val="00A14B6C"/>
    <w:rsid w:val="00A14B8A"/>
    <w:rsid w:val="00A14B9A"/>
    <w:rsid w:val="00A14BB0"/>
    <w:rsid w:val="00A14E1E"/>
    <w:rsid w:val="00A14E43"/>
    <w:rsid w:val="00A14E45"/>
    <w:rsid w:val="00A152A6"/>
    <w:rsid w:val="00A15476"/>
    <w:rsid w:val="00A154C8"/>
    <w:rsid w:val="00A1564B"/>
    <w:rsid w:val="00A1572E"/>
    <w:rsid w:val="00A157D0"/>
    <w:rsid w:val="00A15839"/>
    <w:rsid w:val="00A15995"/>
    <w:rsid w:val="00A15B24"/>
    <w:rsid w:val="00A15F70"/>
    <w:rsid w:val="00A15FD1"/>
    <w:rsid w:val="00A1600D"/>
    <w:rsid w:val="00A161A2"/>
    <w:rsid w:val="00A162FF"/>
    <w:rsid w:val="00A16305"/>
    <w:rsid w:val="00A1640F"/>
    <w:rsid w:val="00A1646C"/>
    <w:rsid w:val="00A164C5"/>
    <w:rsid w:val="00A16555"/>
    <w:rsid w:val="00A16609"/>
    <w:rsid w:val="00A166E3"/>
    <w:rsid w:val="00A1676D"/>
    <w:rsid w:val="00A167DC"/>
    <w:rsid w:val="00A167EC"/>
    <w:rsid w:val="00A1683B"/>
    <w:rsid w:val="00A169F3"/>
    <w:rsid w:val="00A16A3E"/>
    <w:rsid w:val="00A16B87"/>
    <w:rsid w:val="00A16EAD"/>
    <w:rsid w:val="00A16F76"/>
    <w:rsid w:val="00A17001"/>
    <w:rsid w:val="00A174A4"/>
    <w:rsid w:val="00A174FF"/>
    <w:rsid w:val="00A1783A"/>
    <w:rsid w:val="00A179E6"/>
    <w:rsid w:val="00A17ABF"/>
    <w:rsid w:val="00A17BC2"/>
    <w:rsid w:val="00A17C3B"/>
    <w:rsid w:val="00A17CB2"/>
    <w:rsid w:val="00A17DA7"/>
    <w:rsid w:val="00A17DB8"/>
    <w:rsid w:val="00A17F53"/>
    <w:rsid w:val="00A17F98"/>
    <w:rsid w:val="00A2015E"/>
    <w:rsid w:val="00A201B4"/>
    <w:rsid w:val="00A201F9"/>
    <w:rsid w:val="00A20211"/>
    <w:rsid w:val="00A20267"/>
    <w:rsid w:val="00A202BA"/>
    <w:rsid w:val="00A2047E"/>
    <w:rsid w:val="00A204EE"/>
    <w:rsid w:val="00A205C6"/>
    <w:rsid w:val="00A2074D"/>
    <w:rsid w:val="00A20BE5"/>
    <w:rsid w:val="00A20C56"/>
    <w:rsid w:val="00A20DA0"/>
    <w:rsid w:val="00A20E30"/>
    <w:rsid w:val="00A20F44"/>
    <w:rsid w:val="00A20FE7"/>
    <w:rsid w:val="00A211E6"/>
    <w:rsid w:val="00A212C3"/>
    <w:rsid w:val="00A21468"/>
    <w:rsid w:val="00A21508"/>
    <w:rsid w:val="00A2155E"/>
    <w:rsid w:val="00A218CE"/>
    <w:rsid w:val="00A218D0"/>
    <w:rsid w:val="00A2190E"/>
    <w:rsid w:val="00A21941"/>
    <w:rsid w:val="00A219B6"/>
    <w:rsid w:val="00A21A19"/>
    <w:rsid w:val="00A21A43"/>
    <w:rsid w:val="00A21A76"/>
    <w:rsid w:val="00A21A93"/>
    <w:rsid w:val="00A21AC2"/>
    <w:rsid w:val="00A21B26"/>
    <w:rsid w:val="00A21D4B"/>
    <w:rsid w:val="00A21D8D"/>
    <w:rsid w:val="00A21F38"/>
    <w:rsid w:val="00A21F64"/>
    <w:rsid w:val="00A21FD8"/>
    <w:rsid w:val="00A221E6"/>
    <w:rsid w:val="00A2222B"/>
    <w:rsid w:val="00A22333"/>
    <w:rsid w:val="00A22428"/>
    <w:rsid w:val="00A2244E"/>
    <w:rsid w:val="00A224D1"/>
    <w:rsid w:val="00A226C9"/>
    <w:rsid w:val="00A227A6"/>
    <w:rsid w:val="00A227E3"/>
    <w:rsid w:val="00A22825"/>
    <w:rsid w:val="00A22834"/>
    <w:rsid w:val="00A228C8"/>
    <w:rsid w:val="00A22954"/>
    <w:rsid w:val="00A229D9"/>
    <w:rsid w:val="00A22D92"/>
    <w:rsid w:val="00A22DB4"/>
    <w:rsid w:val="00A22E1F"/>
    <w:rsid w:val="00A22E61"/>
    <w:rsid w:val="00A22F08"/>
    <w:rsid w:val="00A22FA0"/>
    <w:rsid w:val="00A2311D"/>
    <w:rsid w:val="00A23194"/>
    <w:rsid w:val="00A23698"/>
    <w:rsid w:val="00A237AD"/>
    <w:rsid w:val="00A2386A"/>
    <w:rsid w:val="00A238EF"/>
    <w:rsid w:val="00A23A8C"/>
    <w:rsid w:val="00A23C56"/>
    <w:rsid w:val="00A23DC5"/>
    <w:rsid w:val="00A23E92"/>
    <w:rsid w:val="00A240F2"/>
    <w:rsid w:val="00A242B1"/>
    <w:rsid w:val="00A242B5"/>
    <w:rsid w:val="00A242FE"/>
    <w:rsid w:val="00A2430A"/>
    <w:rsid w:val="00A24473"/>
    <w:rsid w:val="00A24537"/>
    <w:rsid w:val="00A2467C"/>
    <w:rsid w:val="00A24769"/>
    <w:rsid w:val="00A24771"/>
    <w:rsid w:val="00A24957"/>
    <w:rsid w:val="00A24970"/>
    <w:rsid w:val="00A2499C"/>
    <w:rsid w:val="00A24A79"/>
    <w:rsid w:val="00A24B29"/>
    <w:rsid w:val="00A24B6F"/>
    <w:rsid w:val="00A24D26"/>
    <w:rsid w:val="00A24EEC"/>
    <w:rsid w:val="00A24F59"/>
    <w:rsid w:val="00A2504E"/>
    <w:rsid w:val="00A2513E"/>
    <w:rsid w:val="00A2525F"/>
    <w:rsid w:val="00A2536A"/>
    <w:rsid w:val="00A253B7"/>
    <w:rsid w:val="00A253F2"/>
    <w:rsid w:val="00A2557E"/>
    <w:rsid w:val="00A256BC"/>
    <w:rsid w:val="00A256D9"/>
    <w:rsid w:val="00A257AD"/>
    <w:rsid w:val="00A259F7"/>
    <w:rsid w:val="00A25A9A"/>
    <w:rsid w:val="00A25C3D"/>
    <w:rsid w:val="00A25C45"/>
    <w:rsid w:val="00A2639D"/>
    <w:rsid w:val="00A26509"/>
    <w:rsid w:val="00A265CB"/>
    <w:rsid w:val="00A269C3"/>
    <w:rsid w:val="00A269EC"/>
    <w:rsid w:val="00A26A82"/>
    <w:rsid w:val="00A26B11"/>
    <w:rsid w:val="00A26D4A"/>
    <w:rsid w:val="00A26D88"/>
    <w:rsid w:val="00A26E45"/>
    <w:rsid w:val="00A26F72"/>
    <w:rsid w:val="00A26FBB"/>
    <w:rsid w:val="00A27142"/>
    <w:rsid w:val="00A271C2"/>
    <w:rsid w:val="00A2727D"/>
    <w:rsid w:val="00A272F3"/>
    <w:rsid w:val="00A27466"/>
    <w:rsid w:val="00A27596"/>
    <w:rsid w:val="00A27705"/>
    <w:rsid w:val="00A27790"/>
    <w:rsid w:val="00A277D7"/>
    <w:rsid w:val="00A277DB"/>
    <w:rsid w:val="00A2798A"/>
    <w:rsid w:val="00A279C6"/>
    <w:rsid w:val="00A279E6"/>
    <w:rsid w:val="00A27A28"/>
    <w:rsid w:val="00A27AE1"/>
    <w:rsid w:val="00A27B9C"/>
    <w:rsid w:val="00A27C5E"/>
    <w:rsid w:val="00A27D15"/>
    <w:rsid w:val="00A27D1A"/>
    <w:rsid w:val="00A27DF1"/>
    <w:rsid w:val="00A27DFC"/>
    <w:rsid w:val="00A27E0C"/>
    <w:rsid w:val="00A27E3A"/>
    <w:rsid w:val="00A27F88"/>
    <w:rsid w:val="00A3001E"/>
    <w:rsid w:val="00A30141"/>
    <w:rsid w:val="00A30186"/>
    <w:rsid w:val="00A301D5"/>
    <w:rsid w:val="00A30228"/>
    <w:rsid w:val="00A3032F"/>
    <w:rsid w:val="00A30339"/>
    <w:rsid w:val="00A303B6"/>
    <w:rsid w:val="00A30444"/>
    <w:rsid w:val="00A305F4"/>
    <w:rsid w:val="00A3091D"/>
    <w:rsid w:val="00A309C4"/>
    <w:rsid w:val="00A30B13"/>
    <w:rsid w:val="00A30B26"/>
    <w:rsid w:val="00A30B82"/>
    <w:rsid w:val="00A30CE5"/>
    <w:rsid w:val="00A30D0B"/>
    <w:rsid w:val="00A30E19"/>
    <w:rsid w:val="00A30EF0"/>
    <w:rsid w:val="00A31127"/>
    <w:rsid w:val="00A312B1"/>
    <w:rsid w:val="00A313EB"/>
    <w:rsid w:val="00A31400"/>
    <w:rsid w:val="00A314B2"/>
    <w:rsid w:val="00A3153C"/>
    <w:rsid w:val="00A31594"/>
    <w:rsid w:val="00A315D7"/>
    <w:rsid w:val="00A31691"/>
    <w:rsid w:val="00A316FD"/>
    <w:rsid w:val="00A3177F"/>
    <w:rsid w:val="00A3179D"/>
    <w:rsid w:val="00A317BF"/>
    <w:rsid w:val="00A31925"/>
    <w:rsid w:val="00A3194C"/>
    <w:rsid w:val="00A31DA2"/>
    <w:rsid w:val="00A31FFF"/>
    <w:rsid w:val="00A32022"/>
    <w:rsid w:val="00A320AD"/>
    <w:rsid w:val="00A3210E"/>
    <w:rsid w:val="00A321BA"/>
    <w:rsid w:val="00A321D2"/>
    <w:rsid w:val="00A3251B"/>
    <w:rsid w:val="00A32542"/>
    <w:rsid w:val="00A32577"/>
    <w:rsid w:val="00A3259D"/>
    <w:rsid w:val="00A32662"/>
    <w:rsid w:val="00A32688"/>
    <w:rsid w:val="00A326D1"/>
    <w:rsid w:val="00A326E7"/>
    <w:rsid w:val="00A3283C"/>
    <w:rsid w:val="00A3289A"/>
    <w:rsid w:val="00A328DA"/>
    <w:rsid w:val="00A32A13"/>
    <w:rsid w:val="00A32A7E"/>
    <w:rsid w:val="00A32C5A"/>
    <w:rsid w:val="00A32CF6"/>
    <w:rsid w:val="00A32F2F"/>
    <w:rsid w:val="00A32FFF"/>
    <w:rsid w:val="00A330C6"/>
    <w:rsid w:val="00A33103"/>
    <w:rsid w:val="00A3326F"/>
    <w:rsid w:val="00A332C7"/>
    <w:rsid w:val="00A332DC"/>
    <w:rsid w:val="00A3367A"/>
    <w:rsid w:val="00A3370A"/>
    <w:rsid w:val="00A33750"/>
    <w:rsid w:val="00A33900"/>
    <w:rsid w:val="00A33930"/>
    <w:rsid w:val="00A33990"/>
    <w:rsid w:val="00A339CC"/>
    <w:rsid w:val="00A33D75"/>
    <w:rsid w:val="00A33DD4"/>
    <w:rsid w:val="00A33F2C"/>
    <w:rsid w:val="00A3404B"/>
    <w:rsid w:val="00A341AE"/>
    <w:rsid w:val="00A341B4"/>
    <w:rsid w:val="00A34267"/>
    <w:rsid w:val="00A34400"/>
    <w:rsid w:val="00A34481"/>
    <w:rsid w:val="00A3448B"/>
    <w:rsid w:val="00A3456E"/>
    <w:rsid w:val="00A346AB"/>
    <w:rsid w:val="00A3493C"/>
    <w:rsid w:val="00A349A1"/>
    <w:rsid w:val="00A349AF"/>
    <w:rsid w:val="00A349DB"/>
    <w:rsid w:val="00A34A79"/>
    <w:rsid w:val="00A34C79"/>
    <w:rsid w:val="00A34C9F"/>
    <w:rsid w:val="00A34D7D"/>
    <w:rsid w:val="00A34E94"/>
    <w:rsid w:val="00A34EC2"/>
    <w:rsid w:val="00A34EE4"/>
    <w:rsid w:val="00A35240"/>
    <w:rsid w:val="00A353DF"/>
    <w:rsid w:val="00A355F5"/>
    <w:rsid w:val="00A3560F"/>
    <w:rsid w:val="00A357CE"/>
    <w:rsid w:val="00A358A5"/>
    <w:rsid w:val="00A359A9"/>
    <w:rsid w:val="00A359BD"/>
    <w:rsid w:val="00A35DCC"/>
    <w:rsid w:val="00A35F49"/>
    <w:rsid w:val="00A360C9"/>
    <w:rsid w:val="00A361DD"/>
    <w:rsid w:val="00A36256"/>
    <w:rsid w:val="00A362A9"/>
    <w:rsid w:val="00A362F6"/>
    <w:rsid w:val="00A367CF"/>
    <w:rsid w:val="00A3680E"/>
    <w:rsid w:val="00A368D2"/>
    <w:rsid w:val="00A368E1"/>
    <w:rsid w:val="00A3696F"/>
    <w:rsid w:val="00A369C2"/>
    <w:rsid w:val="00A36BE4"/>
    <w:rsid w:val="00A36C1D"/>
    <w:rsid w:val="00A36D08"/>
    <w:rsid w:val="00A36D83"/>
    <w:rsid w:val="00A36E67"/>
    <w:rsid w:val="00A36F68"/>
    <w:rsid w:val="00A36F99"/>
    <w:rsid w:val="00A37195"/>
    <w:rsid w:val="00A3722F"/>
    <w:rsid w:val="00A372E7"/>
    <w:rsid w:val="00A37300"/>
    <w:rsid w:val="00A37414"/>
    <w:rsid w:val="00A37590"/>
    <w:rsid w:val="00A37716"/>
    <w:rsid w:val="00A3774C"/>
    <w:rsid w:val="00A377A7"/>
    <w:rsid w:val="00A37AB4"/>
    <w:rsid w:val="00A37B00"/>
    <w:rsid w:val="00A37B15"/>
    <w:rsid w:val="00A37CED"/>
    <w:rsid w:val="00A37D05"/>
    <w:rsid w:val="00A37DB1"/>
    <w:rsid w:val="00A37DDB"/>
    <w:rsid w:val="00A37E13"/>
    <w:rsid w:val="00A37F60"/>
    <w:rsid w:val="00A37F85"/>
    <w:rsid w:val="00A40011"/>
    <w:rsid w:val="00A4003D"/>
    <w:rsid w:val="00A40070"/>
    <w:rsid w:val="00A4009C"/>
    <w:rsid w:val="00A402EC"/>
    <w:rsid w:val="00A406E1"/>
    <w:rsid w:val="00A40716"/>
    <w:rsid w:val="00A407AA"/>
    <w:rsid w:val="00A408F4"/>
    <w:rsid w:val="00A4097E"/>
    <w:rsid w:val="00A40A88"/>
    <w:rsid w:val="00A40AD1"/>
    <w:rsid w:val="00A40AD4"/>
    <w:rsid w:val="00A40AE5"/>
    <w:rsid w:val="00A40B3A"/>
    <w:rsid w:val="00A40B4D"/>
    <w:rsid w:val="00A40CAD"/>
    <w:rsid w:val="00A40CFB"/>
    <w:rsid w:val="00A40FFF"/>
    <w:rsid w:val="00A41042"/>
    <w:rsid w:val="00A4119A"/>
    <w:rsid w:val="00A412F1"/>
    <w:rsid w:val="00A41308"/>
    <w:rsid w:val="00A4166D"/>
    <w:rsid w:val="00A416B2"/>
    <w:rsid w:val="00A41A10"/>
    <w:rsid w:val="00A41ADC"/>
    <w:rsid w:val="00A41BD1"/>
    <w:rsid w:val="00A41CD9"/>
    <w:rsid w:val="00A41CF4"/>
    <w:rsid w:val="00A41D1C"/>
    <w:rsid w:val="00A41D5C"/>
    <w:rsid w:val="00A41D9F"/>
    <w:rsid w:val="00A420D6"/>
    <w:rsid w:val="00A42290"/>
    <w:rsid w:val="00A42321"/>
    <w:rsid w:val="00A42430"/>
    <w:rsid w:val="00A42537"/>
    <w:rsid w:val="00A425DF"/>
    <w:rsid w:val="00A425E0"/>
    <w:rsid w:val="00A42624"/>
    <w:rsid w:val="00A426BF"/>
    <w:rsid w:val="00A42771"/>
    <w:rsid w:val="00A42807"/>
    <w:rsid w:val="00A42928"/>
    <w:rsid w:val="00A42AA8"/>
    <w:rsid w:val="00A42ADD"/>
    <w:rsid w:val="00A42B31"/>
    <w:rsid w:val="00A42D91"/>
    <w:rsid w:val="00A42DED"/>
    <w:rsid w:val="00A42E13"/>
    <w:rsid w:val="00A42F40"/>
    <w:rsid w:val="00A43020"/>
    <w:rsid w:val="00A4306C"/>
    <w:rsid w:val="00A430B6"/>
    <w:rsid w:val="00A43111"/>
    <w:rsid w:val="00A4323C"/>
    <w:rsid w:val="00A433F9"/>
    <w:rsid w:val="00A4348A"/>
    <w:rsid w:val="00A434E5"/>
    <w:rsid w:val="00A436A3"/>
    <w:rsid w:val="00A43765"/>
    <w:rsid w:val="00A43904"/>
    <w:rsid w:val="00A43A09"/>
    <w:rsid w:val="00A43AB9"/>
    <w:rsid w:val="00A43BCA"/>
    <w:rsid w:val="00A43C88"/>
    <w:rsid w:val="00A43CA5"/>
    <w:rsid w:val="00A43F4D"/>
    <w:rsid w:val="00A4415D"/>
    <w:rsid w:val="00A4415E"/>
    <w:rsid w:val="00A44237"/>
    <w:rsid w:val="00A442E7"/>
    <w:rsid w:val="00A4440A"/>
    <w:rsid w:val="00A4447B"/>
    <w:rsid w:val="00A4448C"/>
    <w:rsid w:val="00A445AA"/>
    <w:rsid w:val="00A445E6"/>
    <w:rsid w:val="00A44624"/>
    <w:rsid w:val="00A447C7"/>
    <w:rsid w:val="00A447D5"/>
    <w:rsid w:val="00A4492E"/>
    <w:rsid w:val="00A44B6E"/>
    <w:rsid w:val="00A44D8E"/>
    <w:rsid w:val="00A44DDB"/>
    <w:rsid w:val="00A44E38"/>
    <w:rsid w:val="00A44FEA"/>
    <w:rsid w:val="00A45110"/>
    <w:rsid w:val="00A4518C"/>
    <w:rsid w:val="00A45266"/>
    <w:rsid w:val="00A453FB"/>
    <w:rsid w:val="00A454AF"/>
    <w:rsid w:val="00A45877"/>
    <w:rsid w:val="00A45A3F"/>
    <w:rsid w:val="00A45AE2"/>
    <w:rsid w:val="00A45FFE"/>
    <w:rsid w:val="00A46049"/>
    <w:rsid w:val="00A46278"/>
    <w:rsid w:val="00A462C5"/>
    <w:rsid w:val="00A463B5"/>
    <w:rsid w:val="00A4643F"/>
    <w:rsid w:val="00A464C1"/>
    <w:rsid w:val="00A466AD"/>
    <w:rsid w:val="00A466F7"/>
    <w:rsid w:val="00A46736"/>
    <w:rsid w:val="00A46834"/>
    <w:rsid w:val="00A46943"/>
    <w:rsid w:val="00A46A1E"/>
    <w:rsid w:val="00A46A96"/>
    <w:rsid w:val="00A46AD7"/>
    <w:rsid w:val="00A46EE5"/>
    <w:rsid w:val="00A47134"/>
    <w:rsid w:val="00A472CA"/>
    <w:rsid w:val="00A4730B"/>
    <w:rsid w:val="00A473AB"/>
    <w:rsid w:val="00A47590"/>
    <w:rsid w:val="00A475A5"/>
    <w:rsid w:val="00A476FB"/>
    <w:rsid w:val="00A4772C"/>
    <w:rsid w:val="00A477B7"/>
    <w:rsid w:val="00A47AC6"/>
    <w:rsid w:val="00A47AC9"/>
    <w:rsid w:val="00A47AF8"/>
    <w:rsid w:val="00A47BF8"/>
    <w:rsid w:val="00A47DFD"/>
    <w:rsid w:val="00A47E49"/>
    <w:rsid w:val="00A47F58"/>
    <w:rsid w:val="00A500D1"/>
    <w:rsid w:val="00A501FF"/>
    <w:rsid w:val="00A5021B"/>
    <w:rsid w:val="00A5029E"/>
    <w:rsid w:val="00A50348"/>
    <w:rsid w:val="00A503A6"/>
    <w:rsid w:val="00A50563"/>
    <w:rsid w:val="00A5066D"/>
    <w:rsid w:val="00A506FD"/>
    <w:rsid w:val="00A5071E"/>
    <w:rsid w:val="00A50759"/>
    <w:rsid w:val="00A5077C"/>
    <w:rsid w:val="00A50959"/>
    <w:rsid w:val="00A50A8A"/>
    <w:rsid w:val="00A50C31"/>
    <w:rsid w:val="00A50D7F"/>
    <w:rsid w:val="00A50D9E"/>
    <w:rsid w:val="00A50E12"/>
    <w:rsid w:val="00A50EC1"/>
    <w:rsid w:val="00A50EEC"/>
    <w:rsid w:val="00A51080"/>
    <w:rsid w:val="00A5112A"/>
    <w:rsid w:val="00A51238"/>
    <w:rsid w:val="00A51341"/>
    <w:rsid w:val="00A5136D"/>
    <w:rsid w:val="00A5161F"/>
    <w:rsid w:val="00A51779"/>
    <w:rsid w:val="00A5188E"/>
    <w:rsid w:val="00A5190A"/>
    <w:rsid w:val="00A519AA"/>
    <w:rsid w:val="00A519D9"/>
    <w:rsid w:val="00A51A02"/>
    <w:rsid w:val="00A51C5F"/>
    <w:rsid w:val="00A51D42"/>
    <w:rsid w:val="00A51D62"/>
    <w:rsid w:val="00A51DFF"/>
    <w:rsid w:val="00A51E96"/>
    <w:rsid w:val="00A51F6E"/>
    <w:rsid w:val="00A51FC3"/>
    <w:rsid w:val="00A520D8"/>
    <w:rsid w:val="00A5211D"/>
    <w:rsid w:val="00A5213B"/>
    <w:rsid w:val="00A5216B"/>
    <w:rsid w:val="00A5246F"/>
    <w:rsid w:val="00A5259A"/>
    <w:rsid w:val="00A5261B"/>
    <w:rsid w:val="00A52621"/>
    <w:rsid w:val="00A527B7"/>
    <w:rsid w:val="00A52AE2"/>
    <w:rsid w:val="00A52B3A"/>
    <w:rsid w:val="00A52D85"/>
    <w:rsid w:val="00A52DAE"/>
    <w:rsid w:val="00A52E31"/>
    <w:rsid w:val="00A530A6"/>
    <w:rsid w:val="00A531A7"/>
    <w:rsid w:val="00A53239"/>
    <w:rsid w:val="00A53325"/>
    <w:rsid w:val="00A533DB"/>
    <w:rsid w:val="00A53475"/>
    <w:rsid w:val="00A53524"/>
    <w:rsid w:val="00A53527"/>
    <w:rsid w:val="00A53542"/>
    <w:rsid w:val="00A535BC"/>
    <w:rsid w:val="00A535DA"/>
    <w:rsid w:val="00A53636"/>
    <w:rsid w:val="00A53750"/>
    <w:rsid w:val="00A537A2"/>
    <w:rsid w:val="00A5389E"/>
    <w:rsid w:val="00A538EE"/>
    <w:rsid w:val="00A53977"/>
    <w:rsid w:val="00A53AF7"/>
    <w:rsid w:val="00A53BBC"/>
    <w:rsid w:val="00A53C48"/>
    <w:rsid w:val="00A53D04"/>
    <w:rsid w:val="00A53D3D"/>
    <w:rsid w:val="00A53D67"/>
    <w:rsid w:val="00A53EA4"/>
    <w:rsid w:val="00A53FC4"/>
    <w:rsid w:val="00A540D1"/>
    <w:rsid w:val="00A5415F"/>
    <w:rsid w:val="00A54462"/>
    <w:rsid w:val="00A54477"/>
    <w:rsid w:val="00A546A3"/>
    <w:rsid w:val="00A54720"/>
    <w:rsid w:val="00A54870"/>
    <w:rsid w:val="00A548BC"/>
    <w:rsid w:val="00A548FE"/>
    <w:rsid w:val="00A54AAB"/>
    <w:rsid w:val="00A54C42"/>
    <w:rsid w:val="00A54C52"/>
    <w:rsid w:val="00A54E00"/>
    <w:rsid w:val="00A54F08"/>
    <w:rsid w:val="00A54FCB"/>
    <w:rsid w:val="00A55093"/>
    <w:rsid w:val="00A550AA"/>
    <w:rsid w:val="00A550B5"/>
    <w:rsid w:val="00A5516E"/>
    <w:rsid w:val="00A5536C"/>
    <w:rsid w:val="00A55447"/>
    <w:rsid w:val="00A55586"/>
    <w:rsid w:val="00A55594"/>
    <w:rsid w:val="00A5563C"/>
    <w:rsid w:val="00A55795"/>
    <w:rsid w:val="00A55809"/>
    <w:rsid w:val="00A55A24"/>
    <w:rsid w:val="00A55BAC"/>
    <w:rsid w:val="00A55BD0"/>
    <w:rsid w:val="00A55C5D"/>
    <w:rsid w:val="00A5604F"/>
    <w:rsid w:val="00A560C2"/>
    <w:rsid w:val="00A560C5"/>
    <w:rsid w:val="00A560D9"/>
    <w:rsid w:val="00A56171"/>
    <w:rsid w:val="00A563DA"/>
    <w:rsid w:val="00A563EF"/>
    <w:rsid w:val="00A565E4"/>
    <w:rsid w:val="00A56771"/>
    <w:rsid w:val="00A5685B"/>
    <w:rsid w:val="00A568CF"/>
    <w:rsid w:val="00A568F6"/>
    <w:rsid w:val="00A56A2E"/>
    <w:rsid w:val="00A56B40"/>
    <w:rsid w:val="00A56CA1"/>
    <w:rsid w:val="00A56CA6"/>
    <w:rsid w:val="00A56DDC"/>
    <w:rsid w:val="00A56EFF"/>
    <w:rsid w:val="00A56F09"/>
    <w:rsid w:val="00A56F0C"/>
    <w:rsid w:val="00A57067"/>
    <w:rsid w:val="00A57106"/>
    <w:rsid w:val="00A573E6"/>
    <w:rsid w:val="00A575F5"/>
    <w:rsid w:val="00A57766"/>
    <w:rsid w:val="00A5782D"/>
    <w:rsid w:val="00A57968"/>
    <w:rsid w:val="00A579C2"/>
    <w:rsid w:val="00A57A34"/>
    <w:rsid w:val="00A57A6D"/>
    <w:rsid w:val="00A57A93"/>
    <w:rsid w:val="00A57B37"/>
    <w:rsid w:val="00A57C9D"/>
    <w:rsid w:val="00A57D60"/>
    <w:rsid w:val="00A57D7F"/>
    <w:rsid w:val="00A57DF0"/>
    <w:rsid w:val="00A6009C"/>
    <w:rsid w:val="00A60181"/>
    <w:rsid w:val="00A6028D"/>
    <w:rsid w:val="00A6035A"/>
    <w:rsid w:val="00A6050F"/>
    <w:rsid w:val="00A606B7"/>
    <w:rsid w:val="00A607C8"/>
    <w:rsid w:val="00A608EB"/>
    <w:rsid w:val="00A6098B"/>
    <w:rsid w:val="00A60AA5"/>
    <w:rsid w:val="00A60B61"/>
    <w:rsid w:val="00A60B87"/>
    <w:rsid w:val="00A60BC1"/>
    <w:rsid w:val="00A60BE5"/>
    <w:rsid w:val="00A60BF2"/>
    <w:rsid w:val="00A60BF8"/>
    <w:rsid w:val="00A60BFB"/>
    <w:rsid w:val="00A60C2A"/>
    <w:rsid w:val="00A6103D"/>
    <w:rsid w:val="00A6104C"/>
    <w:rsid w:val="00A61190"/>
    <w:rsid w:val="00A6119E"/>
    <w:rsid w:val="00A61447"/>
    <w:rsid w:val="00A6149A"/>
    <w:rsid w:val="00A614B9"/>
    <w:rsid w:val="00A614F5"/>
    <w:rsid w:val="00A61546"/>
    <w:rsid w:val="00A61569"/>
    <w:rsid w:val="00A61571"/>
    <w:rsid w:val="00A615A7"/>
    <w:rsid w:val="00A615FB"/>
    <w:rsid w:val="00A617AC"/>
    <w:rsid w:val="00A617B4"/>
    <w:rsid w:val="00A61B28"/>
    <w:rsid w:val="00A61B38"/>
    <w:rsid w:val="00A61B9C"/>
    <w:rsid w:val="00A61CC8"/>
    <w:rsid w:val="00A61D41"/>
    <w:rsid w:val="00A61D4F"/>
    <w:rsid w:val="00A6204D"/>
    <w:rsid w:val="00A622DB"/>
    <w:rsid w:val="00A6231C"/>
    <w:rsid w:val="00A62331"/>
    <w:rsid w:val="00A623F8"/>
    <w:rsid w:val="00A62840"/>
    <w:rsid w:val="00A62941"/>
    <w:rsid w:val="00A62A8D"/>
    <w:rsid w:val="00A62A9E"/>
    <w:rsid w:val="00A62AB0"/>
    <w:rsid w:val="00A62DA8"/>
    <w:rsid w:val="00A62DAD"/>
    <w:rsid w:val="00A62DE5"/>
    <w:rsid w:val="00A62DE9"/>
    <w:rsid w:val="00A62F76"/>
    <w:rsid w:val="00A630E9"/>
    <w:rsid w:val="00A63109"/>
    <w:rsid w:val="00A6319E"/>
    <w:rsid w:val="00A631CD"/>
    <w:rsid w:val="00A6329A"/>
    <w:rsid w:val="00A636F9"/>
    <w:rsid w:val="00A63760"/>
    <w:rsid w:val="00A637B7"/>
    <w:rsid w:val="00A63990"/>
    <w:rsid w:val="00A639E8"/>
    <w:rsid w:val="00A63BFD"/>
    <w:rsid w:val="00A63D05"/>
    <w:rsid w:val="00A63D13"/>
    <w:rsid w:val="00A63D72"/>
    <w:rsid w:val="00A63D85"/>
    <w:rsid w:val="00A63DA3"/>
    <w:rsid w:val="00A63E5F"/>
    <w:rsid w:val="00A63E8A"/>
    <w:rsid w:val="00A63F35"/>
    <w:rsid w:val="00A64069"/>
    <w:rsid w:val="00A6408C"/>
    <w:rsid w:val="00A640C8"/>
    <w:rsid w:val="00A6445D"/>
    <w:rsid w:val="00A644CD"/>
    <w:rsid w:val="00A64518"/>
    <w:rsid w:val="00A6451F"/>
    <w:rsid w:val="00A646BD"/>
    <w:rsid w:val="00A64718"/>
    <w:rsid w:val="00A647B9"/>
    <w:rsid w:val="00A64985"/>
    <w:rsid w:val="00A64AFD"/>
    <w:rsid w:val="00A64C36"/>
    <w:rsid w:val="00A64CA9"/>
    <w:rsid w:val="00A64F04"/>
    <w:rsid w:val="00A64F39"/>
    <w:rsid w:val="00A64FF2"/>
    <w:rsid w:val="00A650D8"/>
    <w:rsid w:val="00A65232"/>
    <w:rsid w:val="00A65305"/>
    <w:rsid w:val="00A654A3"/>
    <w:rsid w:val="00A655F2"/>
    <w:rsid w:val="00A65842"/>
    <w:rsid w:val="00A65981"/>
    <w:rsid w:val="00A65A7A"/>
    <w:rsid w:val="00A65B43"/>
    <w:rsid w:val="00A65BB1"/>
    <w:rsid w:val="00A65C3A"/>
    <w:rsid w:val="00A65C81"/>
    <w:rsid w:val="00A65CD0"/>
    <w:rsid w:val="00A65DBD"/>
    <w:rsid w:val="00A65E64"/>
    <w:rsid w:val="00A65ED0"/>
    <w:rsid w:val="00A65F81"/>
    <w:rsid w:val="00A66460"/>
    <w:rsid w:val="00A66574"/>
    <w:rsid w:val="00A66853"/>
    <w:rsid w:val="00A66A89"/>
    <w:rsid w:val="00A66B81"/>
    <w:rsid w:val="00A66C79"/>
    <w:rsid w:val="00A66CC8"/>
    <w:rsid w:val="00A66DF2"/>
    <w:rsid w:val="00A66F50"/>
    <w:rsid w:val="00A66F6B"/>
    <w:rsid w:val="00A66FCB"/>
    <w:rsid w:val="00A6711F"/>
    <w:rsid w:val="00A6716F"/>
    <w:rsid w:val="00A671FF"/>
    <w:rsid w:val="00A67308"/>
    <w:rsid w:val="00A67322"/>
    <w:rsid w:val="00A67375"/>
    <w:rsid w:val="00A67475"/>
    <w:rsid w:val="00A67480"/>
    <w:rsid w:val="00A674BA"/>
    <w:rsid w:val="00A674C2"/>
    <w:rsid w:val="00A6750A"/>
    <w:rsid w:val="00A67569"/>
    <w:rsid w:val="00A675ED"/>
    <w:rsid w:val="00A67667"/>
    <w:rsid w:val="00A6766C"/>
    <w:rsid w:val="00A6777D"/>
    <w:rsid w:val="00A677D2"/>
    <w:rsid w:val="00A67830"/>
    <w:rsid w:val="00A6785D"/>
    <w:rsid w:val="00A679FB"/>
    <w:rsid w:val="00A67BD4"/>
    <w:rsid w:val="00A67CD3"/>
    <w:rsid w:val="00A67CDD"/>
    <w:rsid w:val="00A67D0B"/>
    <w:rsid w:val="00A67D47"/>
    <w:rsid w:val="00A67D84"/>
    <w:rsid w:val="00A67DD1"/>
    <w:rsid w:val="00A67E6D"/>
    <w:rsid w:val="00A67EFF"/>
    <w:rsid w:val="00A67F03"/>
    <w:rsid w:val="00A67F36"/>
    <w:rsid w:val="00A7015F"/>
    <w:rsid w:val="00A70194"/>
    <w:rsid w:val="00A7035A"/>
    <w:rsid w:val="00A704A7"/>
    <w:rsid w:val="00A70726"/>
    <w:rsid w:val="00A7072B"/>
    <w:rsid w:val="00A7077C"/>
    <w:rsid w:val="00A70792"/>
    <w:rsid w:val="00A70B3A"/>
    <w:rsid w:val="00A70DEB"/>
    <w:rsid w:val="00A70E4F"/>
    <w:rsid w:val="00A70E93"/>
    <w:rsid w:val="00A71039"/>
    <w:rsid w:val="00A71046"/>
    <w:rsid w:val="00A71053"/>
    <w:rsid w:val="00A71373"/>
    <w:rsid w:val="00A71503"/>
    <w:rsid w:val="00A7156D"/>
    <w:rsid w:val="00A7157C"/>
    <w:rsid w:val="00A71662"/>
    <w:rsid w:val="00A71681"/>
    <w:rsid w:val="00A716A4"/>
    <w:rsid w:val="00A716CE"/>
    <w:rsid w:val="00A71956"/>
    <w:rsid w:val="00A719CF"/>
    <w:rsid w:val="00A719D6"/>
    <w:rsid w:val="00A71A09"/>
    <w:rsid w:val="00A71BB9"/>
    <w:rsid w:val="00A71CB1"/>
    <w:rsid w:val="00A71FE7"/>
    <w:rsid w:val="00A7266D"/>
    <w:rsid w:val="00A72926"/>
    <w:rsid w:val="00A729D2"/>
    <w:rsid w:val="00A72A78"/>
    <w:rsid w:val="00A72AF9"/>
    <w:rsid w:val="00A72BBC"/>
    <w:rsid w:val="00A72C32"/>
    <w:rsid w:val="00A72C59"/>
    <w:rsid w:val="00A72E6B"/>
    <w:rsid w:val="00A72E6C"/>
    <w:rsid w:val="00A72F3C"/>
    <w:rsid w:val="00A72FDA"/>
    <w:rsid w:val="00A72FEF"/>
    <w:rsid w:val="00A731A8"/>
    <w:rsid w:val="00A73338"/>
    <w:rsid w:val="00A734A9"/>
    <w:rsid w:val="00A734CD"/>
    <w:rsid w:val="00A73777"/>
    <w:rsid w:val="00A737D2"/>
    <w:rsid w:val="00A7393C"/>
    <w:rsid w:val="00A7395A"/>
    <w:rsid w:val="00A73966"/>
    <w:rsid w:val="00A739E6"/>
    <w:rsid w:val="00A73A34"/>
    <w:rsid w:val="00A73A46"/>
    <w:rsid w:val="00A73BC6"/>
    <w:rsid w:val="00A73BF5"/>
    <w:rsid w:val="00A73C5E"/>
    <w:rsid w:val="00A73CD3"/>
    <w:rsid w:val="00A73F61"/>
    <w:rsid w:val="00A73F95"/>
    <w:rsid w:val="00A741D4"/>
    <w:rsid w:val="00A742F0"/>
    <w:rsid w:val="00A74433"/>
    <w:rsid w:val="00A74520"/>
    <w:rsid w:val="00A745A0"/>
    <w:rsid w:val="00A747F8"/>
    <w:rsid w:val="00A74989"/>
    <w:rsid w:val="00A74B91"/>
    <w:rsid w:val="00A74C43"/>
    <w:rsid w:val="00A74C47"/>
    <w:rsid w:val="00A752F1"/>
    <w:rsid w:val="00A75318"/>
    <w:rsid w:val="00A75395"/>
    <w:rsid w:val="00A753B3"/>
    <w:rsid w:val="00A753C9"/>
    <w:rsid w:val="00A754D2"/>
    <w:rsid w:val="00A755EB"/>
    <w:rsid w:val="00A75668"/>
    <w:rsid w:val="00A757FF"/>
    <w:rsid w:val="00A75834"/>
    <w:rsid w:val="00A75855"/>
    <w:rsid w:val="00A7597C"/>
    <w:rsid w:val="00A75A89"/>
    <w:rsid w:val="00A75A9F"/>
    <w:rsid w:val="00A75AAD"/>
    <w:rsid w:val="00A75C9B"/>
    <w:rsid w:val="00A75D19"/>
    <w:rsid w:val="00A75D34"/>
    <w:rsid w:val="00A75DFA"/>
    <w:rsid w:val="00A75EE2"/>
    <w:rsid w:val="00A75F2B"/>
    <w:rsid w:val="00A76100"/>
    <w:rsid w:val="00A761D4"/>
    <w:rsid w:val="00A76360"/>
    <w:rsid w:val="00A76567"/>
    <w:rsid w:val="00A7662B"/>
    <w:rsid w:val="00A76662"/>
    <w:rsid w:val="00A767D5"/>
    <w:rsid w:val="00A76C24"/>
    <w:rsid w:val="00A76C9D"/>
    <w:rsid w:val="00A76CFF"/>
    <w:rsid w:val="00A76DEF"/>
    <w:rsid w:val="00A76E9F"/>
    <w:rsid w:val="00A76F9C"/>
    <w:rsid w:val="00A7707A"/>
    <w:rsid w:val="00A770A4"/>
    <w:rsid w:val="00A77115"/>
    <w:rsid w:val="00A771F3"/>
    <w:rsid w:val="00A77200"/>
    <w:rsid w:val="00A772D5"/>
    <w:rsid w:val="00A77366"/>
    <w:rsid w:val="00A7744E"/>
    <w:rsid w:val="00A7755A"/>
    <w:rsid w:val="00A77645"/>
    <w:rsid w:val="00A77655"/>
    <w:rsid w:val="00A77670"/>
    <w:rsid w:val="00A77ACC"/>
    <w:rsid w:val="00A77AEC"/>
    <w:rsid w:val="00A77BEC"/>
    <w:rsid w:val="00A77BF9"/>
    <w:rsid w:val="00A77D82"/>
    <w:rsid w:val="00A77DAD"/>
    <w:rsid w:val="00A77E42"/>
    <w:rsid w:val="00A77E6E"/>
    <w:rsid w:val="00A77F8B"/>
    <w:rsid w:val="00A77FF4"/>
    <w:rsid w:val="00A80110"/>
    <w:rsid w:val="00A80237"/>
    <w:rsid w:val="00A802E8"/>
    <w:rsid w:val="00A80496"/>
    <w:rsid w:val="00A8059B"/>
    <w:rsid w:val="00A80606"/>
    <w:rsid w:val="00A80634"/>
    <w:rsid w:val="00A8075A"/>
    <w:rsid w:val="00A809F3"/>
    <w:rsid w:val="00A80E80"/>
    <w:rsid w:val="00A80EF4"/>
    <w:rsid w:val="00A81009"/>
    <w:rsid w:val="00A81014"/>
    <w:rsid w:val="00A81024"/>
    <w:rsid w:val="00A8105A"/>
    <w:rsid w:val="00A81078"/>
    <w:rsid w:val="00A8126F"/>
    <w:rsid w:val="00A812FE"/>
    <w:rsid w:val="00A8141F"/>
    <w:rsid w:val="00A815B2"/>
    <w:rsid w:val="00A816EE"/>
    <w:rsid w:val="00A817D6"/>
    <w:rsid w:val="00A817E4"/>
    <w:rsid w:val="00A817F8"/>
    <w:rsid w:val="00A8196B"/>
    <w:rsid w:val="00A81AA8"/>
    <w:rsid w:val="00A81CA7"/>
    <w:rsid w:val="00A82173"/>
    <w:rsid w:val="00A8223B"/>
    <w:rsid w:val="00A82265"/>
    <w:rsid w:val="00A824BA"/>
    <w:rsid w:val="00A824DF"/>
    <w:rsid w:val="00A8255F"/>
    <w:rsid w:val="00A825C9"/>
    <w:rsid w:val="00A8260A"/>
    <w:rsid w:val="00A82782"/>
    <w:rsid w:val="00A827BE"/>
    <w:rsid w:val="00A82801"/>
    <w:rsid w:val="00A82909"/>
    <w:rsid w:val="00A8294C"/>
    <w:rsid w:val="00A8297C"/>
    <w:rsid w:val="00A8299C"/>
    <w:rsid w:val="00A82B43"/>
    <w:rsid w:val="00A82B53"/>
    <w:rsid w:val="00A82B6F"/>
    <w:rsid w:val="00A82C1B"/>
    <w:rsid w:val="00A82CB0"/>
    <w:rsid w:val="00A82E40"/>
    <w:rsid w:val="00A82EF9"/>
    <w:rsid w:val="00A82F65"/>
    <w:rsid w:val="00A82F93"/>
    <w:rsid w:val="00A83154"/>
    <w:rsid w:val="00A83282"/>
    <w:rsid w:val="00A832B6"/>
    <w:rsid w:val="00A832B8"/>
    <w:rsid w:val="00A83499"/>
    <w:rsid w:val="00A834DF"/>
    <w:rsid w:val="00A834E8"/>
    <w:rsid w:val="00A837B7"/>
    <w:rsid w:val="00A83870"/>
    <w:rsid w:val="00A83998"/>
    <w:rsid w:val="00A839B7"/>
    <w:rsid w:val="00A839C8"/>
    <w:rsid w:val="00A83A6F"/>
    <w:rsid w:val="00A83B0D"/>
    <w:rsid w:val="00A83B3A"/>
    <w:rsid w:val="00A83C08"/>
    <w:rsid w:val="00A83C96"/>
    <w:rsid w:val="00A83E20"/>
    <w:rsid w:val="00A83E6E"/>
    <w:rsid w:val="00A840E3"/>
    <w:rsid w:val="00A8456C"/>
    <w:rsid w:val="00A84635"/>
    <w:rsid w:val="00A84A0D"/>
    <w:rsid w:val="00A84D20"/>
    <w:rsid w:val="00A84D2E"/>
    <w:rsid w:val="00A84ED1"/>
    <w:rsid w:val="00A84F13"/>
    <w:rsid w:val="00A84F28"/>
    <w:rsid w:val="00A84FF4"/>
    <w:rsid w:val="00A85099"/>
    <w:rsid w:val="00A85175"/>
    <w:rsid w:val="00A851A4"/>
    <w:rsid w:val="00A852F6"/>
    <w:rsid w:val="00A853A1"/>
    <w:rsid w:val="00A8549E"/>
    <w:rsid w:val="00A854DB"/>
    <w:rsid w:val="00A8581D"/>
    <w:rsid w:val="00A8588A"/>
    <w:rsid w:val="00A858CF"/>
    <w:rsid w:val="00A858D5"/>
    <w:rsid w:val="00A85918"/>
    <w:rsid w:val="00A85942"/>
    <w:rsid w:val="00A859E2"/>
    <w:rsid w:val="00A85AEB"/>
    <w:rsid w:val="00A85D7E"/>
    <w:rsid w:val="00A85FA1"/>
    <w:rsid w:val="00A85FE7"/>
    <w:rsid w:val="00A86011"/>
    <w:rsid w:val="00A86088"/>
    <w:rsid w:val="00A860C0"/>
    <w:rsid w:val="00A86151"/>
    <w:rsid w:val="00A86255"/>
    <w:rsid w:val="00A862D3"/>
    <w:rsid w:val="00A86647"/>
    <w:rsid w:val="00A86740"/>
    <w:rsid w:val="00A8685E"/>
    <w:rsid w:val="00A868D9"/>
    <w:rsid w:val="00A86967"/>
    <w:rsid w:val="00A86B3F"/>
    <w:rsid w:val="00A86B5E"/>
    <w:rsid w:val="00A86B93"/>
    <w:rsid w:val="00A86B9F"/>
    <w:rsid w:val="00A86C31"/>
    <w:rsid w:val="00A86E35"/>
    <w:rsid w:val="00A86E52"/>
    <w:rsid w:val="00A86EF1"/>
    <w:rsid w:val="00A8704E"/>
    <w:rsid w:val="00A870CC"/>
    <w:rsid w:val="00A870DD"/>
    <w:rsid w:val="00A871E6"/>
    <w:rsid w:val="00A87357"/>
    <w:rsid w:val="00A8737D"/>
    <w:rsid w:val="00A87413"/>
    <w:rsid w:val="00A87444"/>
    <w:rsid w:val="00A8752E"/>
    <w:rsid w:val="00A87572"/>
    <w:rsid w:val="00A87578"/>
    <w:rsid w:val="00A87606"/>
    <w:rsid w:val="00A87681"/>
    <w:rsid w:val="00A8786C"/>
    <w:rsid w:val="00A878A0"/>
    <w:rsid w:val="00A878EB"/>
    <w:rsid w:val="00A8792C"/>
    <w:rsid w:val="00A879B4"/>
    <w:rsid w:val="00A87B98"/>
    <w:rsid w:val="00A87CB9"/>
    <w:rsid w:val="00A87D15"/>
    <w:rsid w:val="00A87D2E"/>
    <w:rsid w:val="00A87D3D"/>
    <w:rsid w:val="00A87D8D"/>
    <w:rsid w:val="00A87D95"/>
    <w:rsid w:val="00A87F3D"/>
    <w:rsid w:val="00A87FF2"/>
    <w:rsid w:val="00A901D2"/>
    <w:rsid w:val="00A9033E"/>
    <w:rsid w:val="00A9035C"/>
    <w:rsid w:val="00A903AC"/>
    <w:rsid w:val="00A903F1"/>
    <w:rsid w:val="00A90522"/>
    <w:rsid w:val="00A905D1"/>
    <w:rsid w:val="00A907BE"/>
    <w:rsid w:val="00A907F6"/>
    <w:rsid w:val="00A909B0"/>
    <w:rsid w:val="00A90B05"/>
    <w:rsid w:val="00A90CBE"/>
    <w:rsid w:val="00A90DEF"/>
    <w:rsid w:val="00A90F39"/>
    <w:rsid w:val="00A90F98"/>
    <w:rsid w:val="00A90FD9"/>
    <w:rsid w:val="00A90FFF"/>
    <w:rsid w:val="00A910FF"/>
    <w:rsid w:val="00A91206"/>
    <w:rsid w:val="00A91408"/>
    <w:rsid w:val="00A915AC"/>
    <w:rsid w:val="00A9169E"/>
    <w:rsid w:val="00A91720"/>
    <w:rsid w:val="00A9174D"/>
    <w:rsid w:val="00A9175F"/>
    <w:rsid w:val="00A9184C"/>
    <w:rsid w:val="00A91A5B"/>
    <w:rsid w:val="00A91B0D"/>
    <w:rsid w:val="00A91B38"/>
    <w:rsid w:val="00A91B53"/>
    <w:rsid w:val="00A91B80"/>
    <w:rsid w:val="00A91DAB"/>
    <w:rsid w:val="00A91ECF"/>
    <w:rsid w:val="00A91F4F"/>
    <w:rsid w:val="00A920C1"/>
    <w:rsid w:val="00A9216A"/>
    <w:rsid w:val="00A921D0"/>
    <w:rsid w:val="00A92215"/>
    <w:rsid w:val="00A92486"/>
    <w:rsid w:val="00A92555"/>
    <w:rsid w:val="00A92575"/>
    <w:rsid w:val="00A9257B"/>
    <w:rsid w:val="00A92740"/>
    <w:rsid w:val="00A9277B"/>
    <w:rsid w:val="00A927D6"/>
    <w:rsid w:val="00A92840"/>
    <w:rsid w:val="00A92965"/>
    <w:rsid w:val="00A9297A"/>
    <w:rsid w:val="00A92B2E"/>
    <w:rsid w:val="00A92B55"/>
    <w:rsid w:val="00A92C3A"/>
    <w:rsid w:val="00A92E49"/>
    <w:rsid w:val="00A92FBF"/>
    <w:rsid w:val="00A92FEC"/>
    <w:rsid w:val="00A93036"/>
    <w:rsid w:val="00A930B1"/>
    <w:rsid w:val="00A930B8"/>
    <w:rsid w:val="00A933CB"/>
    <w:rsid w:val="00A93773"/>
    <w:rsid w:val="00A93819"/>
    <w:rsid w:val="00A9389F"/>
    <w:rsid w:val="00A939E9"/>
    <w:rsid w:val="00A93D96"/>
    <w:rsid w:val="00A93DFD"/>
    <w:rsid w:val="00A93F44"/>
    <w:rsid w:val="00A941FC"/>
    <w:rsid w:val="00A94379"/>
    <w:rsid w:val="00A94527"/>
    <w:rsid w:val="00A945CB"/>
    <w:rsid w:val="00A94627"/>
    <w:rsid w:val="00A94644"/>
    <w:rsid w:val="00A94648"/>
    <w:rsid w:val="00A94679"/>
    <w:rsid w:val="00A946E9"/>
    <w:rsid w:val="00A94843"/>
    <w:rsid w:val="00A94895"/>
    <w:rsid w:val="00A94940"/>
    <w:rsid w:val="00A94A82"/>
    <w:rsid w:val="00A94AF1"/>
    <w:rsid w:val="00A94D76"/>
    <w:rsid w:val="00A94E82"/>
    <w:rsid w:val="00A94FB0"/>
    <w:rsid w:val="00A94FF9"/>
    <w:rsid w:val="00A95066"/>
    <w:rsid w:val="00A950B1"/>
    <w:rsid w:val="00A950D9"/>
    <w:rsid w:val="00A950FF"/>
    <w:rsid w:val="00A952AC"/>
    <w:rsid w:val="00A952E4"/>
    <w:rsid w:val="00A95425"/>
    <w:rsid w:val="00A95749"/>
    <w:rsid w:val="00A9583E"/>
    <w:rsid w:val="00A9584D"/>
    <w:rsid w:val="00A95AE3"/>
    <w:rsid w:val="00A95B4F"/>
    <w:rsid w:val="00A95B55"/>
    <w:rsid w:val="00A95C3A"/>
    <w:rsid w:val="00A95D0F"/>
    <w:rsid w:val="00A95DCD"/>
    <w:rsid w:val="00A95FA1"/>
    <w:rsid w:val="00A9600B"/>
    <w:rsid w:val="00A9609E"/>
    <w:rsid w:val="00A960AA"/>
    <w:rsid w:val="00A960C4"/>
    <w:rsid w:val="00A96129"/>
    <w:rsid w:val="00A96261"/>
    <w:rsid w:val="00A9628C"/>
    <w:rsid w:val="00A96385"/>
    <w:rsid w:val="00A963C0"/>
    <w:rsid w:val="00A964B8"/>
    <w:rsid w:val="00A965FA"/>
    <w:rsid w:val="00A9663D"/>
    <w:rsid w:val="00A96818"/>
    <w:rsid w:val="00A96C07"/>
    <w:rsid w:val="00A96C52"/>
    <w:rsid w:val="00A97050"/>
    <w:rsid w:val="00A972A9"/>
    <w:rsid w:val="00A972AB"/>
    <w:rsid w:val="00A974CA"/>
    <w:rsid w:val="00A9755F"/>
    <w:rsid w:val="00A976EB"/>
    <w:rsid w:val="00A9789F"/>
    <w:rsid w:val="00A978C4"/>
    <w:rsid w:val="00A97936"/>
    <w:rsid w:val="00A97A8A"/>
    <w:rsid w:val="00A97B1C"/>
    <w:rsid w:val="00A97D14"/>
    <w:rsid w:val="00A97DF6"/>
    <w:rsid w:val="00A97F9C"/>
    <w:rsid w:val="00AA0092"/>
    <w:rsid w:val="00AA01B5"/>
    <w:rsid w:val="00AA03B9"/>
    <w:rsid w:val="00AA05D0"/>
    <w:rsid w:val="00AA0858"/>
    <w:rsid w:val="00AA088E"/>
    <w:rsid w:val="00AA0907"/>
    <w:rsid w:val="00AA0916"/>
    <w:rsid w:val="00AA0B29"/>
    <w:rsid w:val="00AA0B34"/>
    <w:rsid w:val="00AA0B7A"/>
    <w:rsid w:val="00AA0BC1"/>
    <w:rsid w:val="00AA0BCF"/>
    <w:rsid w:val="00AA0D5F"/>
    <w:rsid w:val="00AA0E68"/>
    <w:rsid w:val="00AA1200"/>
    <w:rsid w:val="00AA14CF"/>
    <w:rsid w:val="00AA15BF"/>
    <w:rsid w:val="00AA1723"/>
    <w:rsid w:val="00AA17E6"/>
    <w:rsid w:val="00AA186E"/>
    <w:rsid w:val="00AA19C0"/>
    <w:rsid w:val="00AA1A08"/>
    <w:rsid w:val="00AA1C9F"/>
    <w:rsid w:val="00AA1CA2"/>
    <w:rsid w:val="00AA1CB0"/>
    <w:rsid w:val="00AA1D59"/>
    <w:rsid w:val="00AA1F01"/>
    <w:rsid w:val="00AA1F6A"/>
    <w:rsid w:val="00AA1FB9"/>
    <w:rsid w:val="00AA2091"/>
    <w:rsid w:val="00AA20C6"/>
    <w:rsid w:val="00AA2315"/>
    <w:rsid w:val="00AA23A6"/>
    <w:rsid w:val="00AA23DB"/>
    <w:rsid w:val="00AA26EB"/>
    <w:rsid w:val="00AA26FE"/>
    <w:rsid w:val="00AA2868"/>
    <w:rsid w:val="00AA2983"/>
    <w:rsid w:val="00AA29BC"/>
    <w:rsid w:val="00AA2A3E"/>
    <w:rsid w:val="00AA2AF4"/>
    <w:rsid w:val="00AA2B42"/>
    <w:rsid w:val="00AA2C54"/>
    <w:rsid w:val="00AA2C67"/>
    <w:rsid w:val="00AA2C7E"/>
    <w:rsid w:val="00AA2D01"/>
    <w:rsid w:val="00AA2D98"/>
    <w:rsid w:val="00AA2DFC"/>
    <w:rsid w:val="00AA2E9F"/>
    <w:rsid w:val="00AA2EDE"/>
    <w:rsid w:val="00AA2FA0"/>
    <w:rsid w:val="00AA3009"/>
    <w:rsid w:val="00AA300E"/>
    <w:rsid w:val="00AA302E"/>
    <w:rsid w:val="00AA30C2"/>
    <w:rsid w:val="00AA311F"/>
    <w:rsid w:val="00AA3160"/>
    <w:rsid w:val="00AA31CE"/>
    <w:rsid w:val="00AA3263"/>
    <w:rsid w:val="00AA334C"/>
    <w:rsid w:val="00AA3491"/>
    <w:rsid w:val="00AA34F7"/>
    <w:rsid w:val="00AA3569"/>
    <w:rsid w:val="00AA3676"/>
    <w:rsid w:val="00AA37DF"/>
    <w:rsid w:val="00AA385E"/>
    <w:rsid w:val="00AA395E"/>
    <w:rsid w:val="00AA3B1B"/>
    <w:rsid w:val="00AA3CE2"/>
    <w:rsid w:val="00AA3D58"/>
    <w:rsid w:val="00AA3F70"/>
    <w:rsid w:val="00AA40BE"/>
    <w:rsid w:val="00AA417A"/>
    <w:rsid w:val="00AA4198"/>
    <w:rsid w:val="00AA41FA"/>
    <w:rsid w:val="00AA4202"/>
    <w:rsid w:val="00AA43B4"/>
    <w:rsid w:val="00AA43E4"/>
    <w:rsid w:val="00AA44A8"/>
    <w:rsid w:val="00AA44AE"/>
    <w:rsid w:val="00AA44E8"/>
    <w:rsid w:val="00AA462D"/>
    <w:rsid w:val="00AA48C2"/>
    <w:rsid w:val="00AA4932"/>
    <w:rsid w:val="00AA49D8"/>
    <w:rsid w:val="00AA4BC9"/>
    <w:rsid w:val="00AA4BF5"/>
    <w:rsid w:val="00AA5005"/>
    <w:rsid w:val="00AA50CC"/>
    <w:rsid w:val="00AA51DC"/>
    <w:rsid w:val="00AA51E9"/>
    <w:rsid w:val="00AA5329"/>
    <w:rsid w:val="00AA566D"/>
    <w:rsid w:val="00AA569E"/>
    <w:rsid w:val="00AA572F"/>
    <w:rsid w:val="00AA58E4"/>
    <w:rsid w:val="00AA59D9"/>
    <w:rsid w:val="00AA5AF5"/>
    <w:rsid w:val="00AA5C3F"/>
    <w:rsid w:val="00AA5E2E"/>
    <w:rsid w:val="00AA5FEC"/>
    <w:rsid w:val="00AA6319"/>
    <w:rsid w:val="00AA6351"/>
    <w:rsid w:val="00AA646F"/>
    <w:rsid w:val="00AA675B"/>
    <w:rsid w:val="00AA6785"/>
    <w:rsid w:val="00AA6826"/>
    <w:rsid w:val="00AA692F"/>
    <w:rsid w:val="00AA6C80"/>
    <w:rsid w:val="00AA6C85"/>
    <w:rsid w:val="00AA6F0F"/>
    <w:rsid w:val="00AA6F38"/>
    <w:rsid w:val="00AA6F4F"/>
    <w:rsid w:val="00AA70A1"/>
    <w:rsid w:val="00AA70E3"/>
    <w:rsid w:val="00AA70FC"/>
    <w:rsid w:val="00AA7313"/>
    <w:rsid w:val="00AA7353"/>
    <w:rsid w:val="00AA75D8"/>
    <w:rsid w:val="00AA7755"/>
    <w:rsid w:val="00AA77FB"/>
    <w:rsid w:val="00AA7800"/>
    <w:rsid w:val="00AA7AA8"/>
    <w:rsid w:val="00AA7BB1"/>
    <w:rsid w:val="00AA7DDE"/>
    <w:rsid w:val="00AA7E7B"/>
    <w:rsid w:val="00AB0072"/>
    <w:rsid w:val="00AB00AD"/>
    <w:rsid w:val="00AB0156"/>
    <w:rsid w:val="00AB0173"/>
    <w:rsid w:val="00AB0191"/>
    <w:rsid w:val="00AB0225"/>
    <w:rsid w:val="00AB02E5"/>
    <w:rsid w:val="00AB045C"/>
    <w:rsid w:val="00AB0685"/>
    <w:rsid w:val="00AB06A9"/>
    <w:rsid w:val="00AB081B"/>
    <w:rsid w:val="00AB0854"/>
    <w:rsid w:val="00AB0A57"/>
    <w:rsid w:val="00AB0B60"/>
    <w:rsid w:val="00AB0BFB"/>
    <w:rsid w:val="00AB0C44"/>
    <w:rsid w:val="00AB0C69"/>
    <w:rsid w:val="00AB100D"/>
    <w:rsid w:val="00AB125C"/>
    <w:rsid w:val="00AB127D"/>
    <w:rsid w:val="00AB1351"/>
    <w:rsid w:val="00AB16AB"/>
    <w:rsid w:val="00AB172B"/>
    <w:rsid w:val="00AB1830"/>
    <w:rsid w:val="00AB19CB"/>
    <w:rsid w:val="00AB1BAF"/>
    <w:rsid w:val="00AB1C1B"/>
    <w:rsid w:val="00AB1C2B"/>
    <w:rsid w:val="00AB1CC0"/>
    <w:rsid w:val="00AB1D49"/>
    <w:rsid w:val="00AB1D5B"/>
    <w:rsid w:val="00AB1D89"/>
    <w:rsid w:val="00AB1DAD"/>
    <w:rsid w:val="00AB1DF9"/>
    <w:rsid w:val="00AB1EC2"/>
    <w:rsid w:val="00AB1F22"/>
    <w:rsid w:val="00AB2192"/>
    <w:rsid w:val="00AB2232"/>
    <w:rsid w:val="00AB2498"/>
    <w:rsid w:val="00AB2653"/>
    <w:rsid w:val="00AB2698"/>
    <w:rsid w:val="00AB276F"/>
    <w:rsid w:val="00AB28AD"/>
    <w:rsid w:val="00AB28F6"/>
    <w:rsid w:val="00AB29D5"/>
    <w:rsid w:val="00AB2B48"/>
    <w:rsid w:val="00AB2B73"/>
    <w:rsid w:val="00AB2BBD"/>
    <w:rsid w:val="00AB2C94"/>
    <w:rsid w:val="00AB2CCF"/>
    <w:rsid w:val="00AB2F0E"/>
    <w:rsid w:val="00AB3096"/>
    <w:rsid w:val="00AB317A"/>
    <w:rsid w:val="00AB332A"/>
    <w:rsid w:val="00AB33DC"/>
    <w:rsid w:val="00AB3406"/>
    <w:rsid w:val="00AB340F"/>
    <w:rsid w:val="00AB3463"/>
    <w:rsid w:val="00AB34C4"/>
    <w:rsid w:val="00AB358F"/>
    <w:rsid w:val="00AB3616"/>
    <w:rsid w:val="00AB37B7"/>
    <w:rsid w:val="00AB38AB"/>
    <w:rsid w:val="00AB3951"/>
    <w:rsid w:val="00AB39E1"/>
    <w:rsid w:val="00AB3CE1"/>
    <w:rsid w:val="00AB3D0B"/>
    <w:rsid w:val="00AB3E7B"/>
    <w:rsid w:val="00AB3E99"/>
    <w:rsid w:val="00AB3EB6"/>
    <w:rsid w:val="00AB3EC7"/>
    <w:rsid w:val="00AB424B"/>
    <w:rsid w:val="00AB428F"/>
    <w:rsid w:val="00AB42EB"/>
    <w:rsid w:val="00AB4582"/>
    <w:rsid w:val="00AB4978"/>
    <w:rsid w:val="00AB4ABF"/>
    <w:rsid w:val="00AB4B05"/>
    <w:rsid w:val="00AB4D1F"/>
    <w:rsid w:val="00AB4E5A"/>
    <w:rsid w:val="00AB502C"/>
    <w:rsid w:val="00AB5057"/>
    <w:rsid w:val="00AB53A1"/>
    <w:rsid w:val="00AB53D4"/>
    <w:rsid w:val="00AB541B"/>
    <w:rsid w:val="00AB55AF"/>
    <w:rsid w:val="00AB586A"/>
    <w:rsid w:val="00AB5B10"/>
    <w:rsid w:val="00AB5BF6"/>
    <w:rsid w:val="00AB5C16"/>
    <w:rsid w:val="00AB5F86"/>
    <w:rsid w:val="00AB6090"/>
    <w:rsid w:val="00AB60D0"/>
    <w:rsid w:val="00AB6109"/>
    <w:rsid w:val="00AB6155"/>
    <w:rsid w:val="00AB62B8"/>
    <w:rsid w:val="00AB6438"/>
    <w:rsid w:val="00AB6512"/>
    <w:rsid w:val="00AB6545"/>
    <w:rsid w:val="00AB65DB"/>
    <w:rsid w:val="00AB6630"/>
    <w:rsid w:val="00AB66AB"/>
    <w:rsid w:val="00AB6786"/>
    <w:rsid w:val="00AB6923"/>
    <w:rsid w:val="00AB6968"/>
    <w:rsid w:val="00AB699C"/>
    <w:rsid w:val="00AB6A72"/>
    <w:rsid w:val="00AB6ACD"/>
    <w:rsid w:val="00AB6B0B"/>
    <w:rsid w:val="00AB6C5F"/>
    <w:rsid w:val="00AB6D73"/>
    <w:rsid w:val="00AB6F8D"/>
    <w:rsid w:val="00AB6FF2"/>
    <w:rsid w:val="00AB7055"/>
    <w:rsid w:val="00AB70CB"/>
    <w:rsid w:val="00AB727C"/>
    <w:rsid w:val="00AB72C2"/>
    <w:rsid w:val="00AB740D"/>
    <w:rsid w:val="00AB741E"/>
    <w:rsid w:val="00AB742E"/>
    <w:rsid w:val="00AB76C1"/>
    <w:rsid w:val="00AB779B"/>
    <w:rsid w:val="00AB77B1"/>
    <w:rsid w:val="00AB7C13"/>
    <w:rsid w:val="00AB7C89"/>
    <w:rsid w:val="00AC0083"/>
    <w:rsid w:val="00AC0245"/>
    <w:rsid w:val="00AC04B9"/>
    <w:rsid w:val="00AC0609"/>
    <w:rsid w:val="00AC06FD"/>
    <w:rsid w:val="00AC07A5"/>
    <w:rsid w:val="00AC0BD6"/>
    <w:rsid w:val="00AC10B0"/>
    <w:rsid w:val="00AC10EA"/>
    <w:rsid w:val="00AC1444"/>
    <w:rsid w:val="00AC154A"/>
    <w:rsid w:val="00AC1827"/>
    <w:rsid w:val="00AC1854"/>
    <w:rsid w:val="00AC18F4"/>
    <w:rsid w:val="00AC19A6"/>
    <w:rsid w:val="00AC1B77"/>
    <w:rsid w:val="00AC1BB3"/>
    <w:rsid w:val="00AC1D3F"/>
    <w:rsid w:val="00AC1E34"/>
    <w:rsid w:val="00AC1E4E"/>
    <w:rsid w:val="00AC2096"/>
    <w:rsid w:val="00AC20BF"/>
    <w:rsid w:val="00AC2114"/>
    <w:rsid w:val="00AC216B"/>
    <w:rsid w:val="00AC22F1"/>
    <w:rsid w:val="00AC235A"/>
    <w:rsid w:val="00AC23D9"/>
    <w:rsid w:val="00AC2418"/>
    <w:rsid w:val="00AC24BE"/>
    <w:rsid w:val="00AC2590"/>
    <w:rsid w:val="00AC2943"/>
    <w:rsid w:val="00AC2A06"/>
    <w:rsid w:val="00AC2AB3"/>
    <w:rsid w:val="00AC2B55"/>
    <w:rsid w:val="00AC2C77"/>
    <w:rsid w:val="00AC2CF0"/>
    <w:rsid w:val="00AC2DF3"/>
    <w:rsid w:val="00AC2FEE"/>
    <w:rsid w:val="00AC300D"/>
    <w:rsid w:val="00AC3100"/>
    <w:rsid w:val="00AC3187"/>
    <w:rsid w:val="00AC321B"/>
    <w:rsid w:val="00AC331C"/>
    <w:rsid w:val="00AC3357"/>
    <w:rsid w:val="00AC33B5"/>
    <w:rsid w:val="00AC3445"/>
    <w:rsid w:val="00AC3495"/>
    <w:rsid w:val="00AC34ED"/>
    <w:rsid w:val="00AC34FA"/>
    <w:rsid w:val="00AC3615"/>
    <w:rsid w:val="00AC3784"/>
    <w:rsid w:val="00AC37BD"/>
    <w:rsid w:val="00AC3842"/>
    <w:rsid w:val="00AC38C1"/>
    <w:rsid w:val="00AC397F"/>
    <w:rsid w:val="00AC3B09"/>
    <w:rsid w:val="00AC3C90"/>
    <w:rsid w:val="00AC3E03"/>
    <w:rsid w:val="00AC3E20"/>
    <w:rsid w:val="00AC3E6E"/>
    <w:rsid w:val="00AC3F7D"/>
    <w:rsid w:val="00AC3FE3"/>
    <w:rsid w:val="00AC41EC"/>
    <w:rsid w:val="00AC452E"/>
    <w:rsid w:val="00AC453A"/>
    <w:rsid w:val="00AC471B"/>
    <w:rsid w:val="00AC475C"/>
    <w:rsid w:val="00AC479F"/>
    <w:rsid w:val="00AC47F6"/>
    <w:rsid w:val="00AC4832"/>
    <w:rsid w:val="00AC4A19"/>
    <w:rsid w:val="00AC4AD5"/>
    <w:rsid w:val="00AC5193"/>
    <w:rsid w:val="00AC5265"/>
    <w:rsid w:val="00AC5324"/>
    <w:rsid w:val="00AC538E"/>
    <w:rsid w:val="00AC53EC"/>
    <w:rsid w:val="00AC544D"/>
    <w:rsid w:val="00AC555F"/>
    <w:rsid w:val="00AC5592"/>
    <w:rsid w:val="00AC55AB"/>
    <w:rsid w:val="00AC580D"/>
    <w:rsid w:val="00AC5981"/>
    <w:rsid w:val="00AC5A44"/>
    <w:rsid w:val="00AC5AB5"/>
    <w:rsid w:val="00AC5B46"/>
    <w:rsid w:val="00AC5C23"/>
    <w:rsid w:val="00AC5C9E"/>
    <w:rsid w:val="00AC5DA0"/>
    <w:rsid w:val="00AC5DD0"/>
    <w:rsid w:val="00AC5E89"/>
    <w:rsid w:val="00AC5E9B"/>
    <w:rsid w:val="00AC5F5D"/>
    <w:rsid w:val="00AC5FF7"/>
    <w:rsid w:val="00AC6165"/>
    <w:rsid w:val="00AC6188"/>
    <w:rsid w:val="00AC61FD"/>
    <w:rsid w:val="00AC6205"/>
    <w:rsid w:val="00AC6369"/>
    <w:rsid w:val="00AC645B"/>
    <w:rsid w:val="00AC6488"/>
    <w:rsid w:val="00AC663E"/>
    <w:rsid w:val="00AC66FF"/>
    <w:rsid w:val="00AC6D1A"/>
    <w:rsid w:val="00AC6D5C"/>
    <w:rsid w:val="00AC6DA5"/>
    <w:rsid w:val="00AC6ED6"/>
    <w:rsid w:val="00AC6F0A"/>
    <w:rsid w:val="00AC6F4C"/>
    <w:rsid w:val="00AC707A"/>
    <w:rsid w:val="00AC7168"/>
    <w:rsid w:val="00AC71F7"/>
    <w:rsid w:val="00AC7252"/>
    <w:rsid w:val="00AC7462"/>
    <w:rsid w:val="00AC75DE"/>
    <w:rsid w:val="00AC766F"/>
    <w:rsid w:val="00AC77B1"/>
    <w:rsid w:val="00AC77CA"/>
    <w:rsid w:val="00AC77EF"/>
    <w:rsid w:val="00AC77F6"/>
    <w:rsid w:val="00AC7816"/>
    <w:rsid w:val="00AC78FF"/>
    <w:rsid w:val="00AC792A"/>
    <w:rsid w:val="00AC7A80"/>
    <w:rsid w:val="00AC7D45"/>
    <w:rsid w:val="00AC7D60"/>
    <w:rsid w:val="00AC7D8D"/>
    <w:rsid w:val="00AC7E00"/>
    <w:rsid w:val="00AC7F2A"/>
    <w:rsid w:val="00AC7F88"/>
    <w:rsid w:val="00AC7FBD"/>
    <w:rsid w:val="00AD007A"/>
    <w:rsid w:val="00AD00B3"/>
    <w:rsid w:val="00AD012C"/>
    <w:rsid w:val="00AD0155"/>
    <w:rsid w:val="00AD01AE"/>
    <w:rsid w:val="00AD0647"/>
    <w:rsid w:val="00AD06B1"/>
    <w:rsid w:val="00AD095D"/>
    <w:rsid w:val="00AD0B82"/>
    <w:rsid w:val="00AD0C16"/>
    <w:rsid w:val="00AD0C8A"/>
    <w:rsid w:val="00AD0ED7"/>
    <w:rsid w:val="00AD0F13"/>
    <w:rsid w:val="00AD10AA"/>
    <w:rsid w:val="00AD113D"/>
    <w:rsid w:val="00AD11DF"/>
    <w:rsid w:val="00AD1322"/>
    <w:rsid w:val="00AD1450"/>
    <w:rsid w:val="00AD1609"/>
    <w:rsid w:val="00AD1825"/>
    <w:rsid w:val="00AD1863"/>
    <w:rsid w:val="00AD18A8"/>
    <w:rsid w:val="00AD1948"/>
    <w:rsid w:val="00AD19A9"/>
    <w:rsid w:val="00AD19B5"/>
    <w:rsid w:val="00AD19F4"/>
    <w:rsid w:val="00AD1A05"/>
    <w:rsid w:val="00AD1A11"/>
    <w:rsid w:val="00AD1A88"/>
    <w:rsid w:val="00AD1BFD"/>
    <w:rsid w:val="00AD1C05"/>
    <w:rsid w:val="00AD1C13"/>
    <w:rsid w:val="00AD1D05"/>
    <w:rsid w:val="00AD1D6A"/>
    <w:rsid w:val="00AD1DB2"/>
    <w:rsid w:val="00AD1F3B"/>
    <w:rsid w:val="00AD1F4B"/>
    <w:rsid w:val="00AD2018"/>
    <w:rsid w:val="00AD203C"/>
    <w:rsid w:val="00AD2061"/>
    <w:rsid w:val="00AD2138"/>
    <w:rsid w:val="00AD240E"/>
    <w:rsid w:val="00AD241D"/>
    <w:rsid w:val="00AD2630"/>
    <w:rsid w:val="00AD280B"/>
    <w:rsid w:val="00AD297C"/>
    <w:rsid w:val="00AD29A9"/>
    <w:rsid w:val="00AD29FD"/>
    <w:rsid w:val="00AD2A43"/>
    <w:rsid w:val="00AD2A78"/>
    <w:rsid w:val="00AD2A8D"/>
    <w:rsid w:val="00AD2AC6"/>
    <w:rsid w:val="00AD2C1A"/>
    <w:rsid w:val="00AD2C94"/>
    <w:rsid w:val="00AD2E55"/>
    <w:rsid w:val="00AD2F96"/>
    <w:rsid w:val="00AD2FA6"/>
    <w:rsid w:val="00AD3234"/>
    <w:rsid w:val="00AD328F"/>
    <w:rsid w:val="00AD3350"/>
    <w:rsid w:val="00AD3589"/>
    <w:rsid w:val="00AD35EA"/>
    <w:rsid w:val="00AD37FA"/>
    <w:rsid w:val="00AD3B0A"/>
    <w:rsid w:val="00AD3B4E"/>
    <w:rsid w:val="00AD4059"/>
    <w:rsid w:val="00AD4067"/>
    <w:rsid w:val="00AD416D"/>
    <w:rsid w:val="00AD4306"/>
    <w:rsid w:val="00AD45D9"/>
    <w:rsid w:val="00AD4641"/>
    <w:rsid w:val="00AD4734"/>
    <w:rsid w:val="00AD47EC"/>
    <w:rsid w:val="00AD4988"/>
    <w:rsid w:val="00AD4BBD"/>
    <w:rsid w:val="00AD4C60"/>
    <w:rsid w:val="00AD4C90"/>
    <w:rsid w:val="00AD4CAB"/>
    <w:rsid w:val="00AD4F47"/>
    <w:rsid w:val="00AD507F"/>
    <w:rsid w:val="00AD50A3"/>
    <w:rsid w:val="00AD513B"/>
    <w:rsid w:val="00AD5212"/>
    <w:rsid w:val="00AD538B"/>
    <w:rsid w:val="00AD5488"/>
    <w:rsid w:val="00AD5630"/>
    <w:rsid w:val="00AD5796"/>
    <w:rsid w:val="00AD59A0"/>
    <w:rsid w:val="00AD5AF0"/>
    <w:rsid w:val="00AD5BA0"/>
    <w:rsid w:val="00AD5D23"/>
    <w:rsid w:val="00AD5E98"/>
    <w:rsid w:val="00AD5F15"/>
    <w:rsid w:val="00AD608F"/>
    <w:rsid w:val="00AD6129"/>
    <w:rsid w:val="00AD6299"/>
    <w:rsid w:val="00AD6337"/>
    <w:rsid w:val="00AD6385"/>
    <w:rsid w:val="00AD64BB"/>
    <w:rsid w:val="00AD65D3"/>
    <w:rsid w:val="00AD67B6"/>
    <w:rsid w:val="00AD698B"/>
    <w:rsid w:val="00AD69A3"/>
    <w:rsid w:val="00AD6A31"/>
    <w:rsid w:val="00AD6B50"/>
    <w:rsid w:val="00AD6CA6"/>
    <w:rsid w:val="00AD6E85"/>
    <w:rsid w:val="00AD6ED5"/>
    <w:rsid w:val="00AD6F23"/>
    <w:rsid w:val="00AD70ED"/>
    <w:rsid w:val="00AD71D7"/>
    <w:rsid w:val="00AD7300"/>
    <w:rsid w:val="00AD73F2"/>
    <w:rsid w:val="00AD7561"/>
    <w:rsid w:val="00AD757D"/>
    <w:rsid w:val="00AD77B3"/>
    <w:rsid w:val="00AD787E"/>
    <w:rsid w:val="00AD78B8"/>
    <w:rsid w:val="00AD78D3"/>
    <w:rsid w:val="00AD7973"/>
    <w:rsid w:val="00AD7ADD"/>
    <w:rsid w:val="00AD7B44"/>
    <w:rsid w:val="00AD7B4C"/>
    <w:rsid w:val="00AD7C4C"/>
    <w:rsid w:val="00AD7E4E"/>
    <w:rsid w:val="00AD7F72"/>
    <w:rsid w:val="00AD7FBE"/>
    <w:rsid w:val="00AE0031"/>
    <w:rsid w:val="00AE004D"/>
    <w:rsid w:val="00AE0085"/>
    <w:rsid w:val="00AE0199"/>
    <w:rsid w:val="00AE01F3"/>
    <w:rsid w:val="00AE02BA"/>
    <w:rsid w:val="00AE0310"/>
    <w:rsid w:val="00AE04CB"/>
    <w:rsid w:val="00AE0502"/>
    <w:rsid w:val="00AE0584"/>
    <w:rsid w:val="00AE05A8"/>
    <w:rsid w:val="00AE066A"/>
    <w:rsid w:val="00AE078A"/>
    <w:rsid w:val="00AE07ED"/>
    <w:rsid w:val="00AE086C"/>
    <w:rsid w:val="00AE0947"/>
    <w:rsid w:val="00AE09B4"/>
    <w:rsid w:val="00AE0C67"/>
    <w:rsid w:val="00AE0D0E"/>
    <w:rsid w:val="00AE0E40"/>
    <w:rsid w:val="00AE1088"/>
    <w:rsid w:val="00AE11E4"/>
    <w:rsid w:val="00AE125D"/>
    <w:rsid w:val="00AE17BD"/>
    <w:rsid w:val="00AE17BE"/>
    <w:rsid w:val="00AE18AA"/>
    <w:rsid w:val="00AE1B13"/>
    <w:rsid w:val="00AE1BEE"/>
    <w:rsid w:val="00AE1EC5"/>
    <w:rsid w:val="00AE1EFD"/>
    <w:rsid w:val="00AE1F8A"/>
    <w:rsid w:val="00AE2043"/>
    <w:rsid w:val="00AE22C6"/>
    <w:rsid w:val="00AE240F"/>
    <w:rsid w:val="00AE2656"/>
    <w:rsid w:val="00AE26A2"/>
    <w:rsid w:val="00AE271F"/>
    <w:rsid w:val="00AE273E"/>
    <w:rsid w:val="00AE28BD"/>
    <w:rsid w:val="00AE2927"/>
    <w:rsid w:val="00AE2A38"/>
    <w:rsid w:val="00AE2A8D"/>
    <w:rsid w:val="00AE2B74"/>
    <w:rsid w:val="00AE2C57"/>
    <w:rsid w:val="00AE2D34"/>
    <w:rsid w:val="00AE2E12"/>
    <w:rsid w:val="00AE2E56"/>
    <w:rsid w:val="00AE2F95"/>
    <w:rsid w:val="00AE3025"/>
    <w:rsid w:val="00AE32FF"/>
    <w:rsid w:val="00AE3408"/>
    <w:rsid w:val="00AE34B0"/>
    <w:rsid w:val="00AE3574"/>
    <w:rsid w:val="00AE35C3"/>
    <w:rsid w:val="00AE35C5"/>
    <w:rsid w:val="00AE35CD"/>
    <w:rsid w:val="00AE360B"/>
    <w:rsid w:val="00AE3682"/>
    <w:rsid w:val="00AE3773"/>
    <w:rsid w:val="00AE37B3"/>
    <w:rsid w:val="00AE3826"/>
    <w:rsid w:val="00AE389B"/>
    <w:rsid w:val="00AE397E"/>
    <w:rsid w:val="00AE3ABB"/>
    <w:rsid w:val="00AE3ADA"/>
    <w:rsid w:val="00AE3B04"/>
    <w:rsid w:val="00AE3C6E"/>
    <w:rsid w:val="00AE3D85"/>
    <w:rsid w:val="00AE3E13"/>
    <w:rsid w:val="00AE3E68"/>
    <w:rsid w:val="00AE3EE0"/>
    <w:rsid w:val="00AE4204"/>
    <w:rsid w:val="00AE423C"/>
    <w:rsid w:val="00AE4287"/>
    <w:rsid w:val="00AE4333"/>
    <w:rsid w:val="00AE449A"/>
    <w:rsid w:val="00AE44A9"/>
    <w:rsid w:val="00AE47A2"/>
    <w:rsid w:val="00AE47D6"/>
    <w:rsid w:val="00AE49F4"/>
    <w:rsid w:val="00AE4A4F"/>
    <w:rsid w:val="00AE4B31"/>
    <w:rsid w:val="00AE4C9A"/>
    <w:rsid w:val="00AE4CB0"/>
    <w:rsid w:val="00AE4D27"/>
    <w:rsid w:val="00AE4E4B"/>
    <w:rsid w:val="00AE4F00"/>
    <w:rsid w:val="00AE50F9"/>
    <w:rsid w:val="00AE5103"/>
    <w:rsid w:val="00AE5212"/>
    <w:rsid w:val="00AE52CF"/>
    <w:rsid w:val="00AE537F"/>
    <w:rsid w:val="00AE55AF"/>
    <w:rsid w:val="00AE563C"/>
    <w:rsid w:val="00AE59E2"/>
    <w:rsid w:val="00AE5A09"/>
    <w:rsid w:val="00AE5B15"/>
    <w:rsid w:val="00AE5B29"/>
    <w:rsid w:val="00AE5D00"/>
    <w:rsid w:val="00AE5F25"/>
    <w:rsid w:val="00AE5F57"/>
    <w:rsid w:val="00AE6090"/>
    <w:rsid w:val="00AE619D"/>
    <w:rsid w:val="00AE63E0"/>
    <w:rsid w:val="00AE64CF"/>
    <w:rsid w:val="00AE6545"/>
    <w:rsid w:val="00AE659B"/>
    <w:rsid w:val="00AE65B0"/>
    <w:rsid w:val="00AE6619"/>
    <w:rsid w:val="00AE662A"/>
    <w:rsid w:val="00AE68E1"/>
    <w:rsid w:val="00AE6904"/>
    <w:rsid w:val="00AE6905"/>
    <w:rsid w:val="00AE6C8C"/>
    <w:rsid w:val="00AE6D1C"/>
    <w:rsid w:val="00AE6F6B"/>
    <w:rsid w:val="00AE6FA4"/>
    <w:rsid w:val="00AE70AE"/>
    <w:rsid w:val="00AE7169"/>
    <w:rsid w:val="00AE7403"/>
    <w:rsid w:val="00AE75B2"/>
    <w:rsid w:val="00AE75B9"/>
    <w:rsid w:val="00AE75F3"/>
    <w:rsid w:val="00AE7619"/>
    <w:rsid w:val="00AE7C6D"/>
    <w:rsid w:val="00AE7CC1"/>
    <w:rsid w:val="00AE7EDD"/>
    <w:rsid w:val="00AE7EF1"/>
    <w:rsid w:val="00AE7F7C"/>
    <w:rsid w:val="00AF0149"/>
    <w:rsid w:val="00AF0274"/>
    <w:rsid w:val="00AF028B"/>
    <w:rsid w:val="00AF03CE"/>
    <w:rsid w:val="00AF04AD"/>
    <w:rsid w:val="00AF0532"/>
    <w:rsid w:val="00AF07A3"/>
    <w:rsid w:val="00AF07D0"/>
    <w:rsid w:val="00AF07DC"/>
    <w:rsid w:val="00AF0812"/>
    <w:rsid w:val="00AF08B8"/>
    <w:rsid w:val="00AF0B29"/>
    <w:rsid w:val="00AF0B78"/>
    <w:rsid w:val="00AF0C30"/>
    <w:rsid w:val="00AF0C51"/>
    <w:rsid w:val="00AF0CFB"/>
    <w:rsid w:val="00AF0DEF"/>
    <w:rsid w:val="00AF0E41"/>
    <w:rsid w:val="00AF0E4A"/>
    <w:rsid w:val="00AF0F35"/>
    <w:rsid w:val="00AF10C6"/>
    <w:rsid w:val="00AF1204"/>
    <w:rsid w:val="00AF1258"/>
    <w:rsid w:val="00AF134F"/>
    <w:rsid w:val="00AF143D"/>
    <w:rsid w:val="00AF14D6"/>
    <w:rsid w:val="00AF15DF"/>
    <w:rsid w:val="00AF189F"/>
    <w:rsid w:val="00AF1960"/>
    <w:rsid w:val="00AF197F"/>
    <w:rsid w:val="00AF1AF3"/>
    <w:rsid w:val="00AF1B0E"/>
    <w:rsid w:val="00AF1B6C"/>
    <w:rsid w:val="00AF1C56"/>
    <w:rsid w:val="00AF1D37"/>
    <w:rsid w:val="00AF1D8E"/>
    <w:rsid w:val="00AF1DE8"/>
    <w:rsid w:val="00AF1E4F"/>
    <w:rsid w:val="00AF1EB2"/>
    <w:rsid w:val="00AF1EF4"/>
    <w:rsid w:val="00AF2150"/>
    <w:rsid w:val="00AF21B2"/>
    <w:rsid w:val="00AF22A3"/>
    <w:rsid w:val="00AF23F0"/>
    <w:rsid w:val="00AF241E"/>
    <w:rsid w:val="00AF2639"/>
    <w:rsid w:val="00AF2664"/>
    <w:rsid w:val="00AF26CF"/>
    <w:rsid w:val="00AF27CA"/>
    <w:rsid w:val="00AF27CD"/>
    <w:rsid w:val="00AF291A"/>
    <w:rsid w:val="00AF291B"/>
    <w:rsid w:val="00AF29EA"/>
    <w:rsid w:val="00AF2C34"/>
    <w:rsid w:val="00AF2C60"/>
    <w:rsid w:val="00AF2DC9"/>
    <w:rsid w:val="00AF2E80"/>
    <w:rsid w:val="00AF2F8F"/>
    <w:rsid w:val="00AF2FB3"/>
    <w:rsid w:val="00AF3105"/>
    <w:rsid w:val="00AF3144"/>
    <w:rsid w:val="00AF32D3"/>
    <w:rsid w:val="00AF332C"/>
    <w:rsid w:val="00AF3461"/>
    <w:rsid w:val="00AF34A2"/>
    <w:rsid w:val="00AF34AC"/>
    <w:rsid w:val="00AF3561"/>
    <w:rsid w:val="00AF3589"/>
    <w:rsid w:val="00AF35A2"/>
    <w:rsid w:val="00AF3722"/>
    <w:rsid w:val="00AF37C6"/>
    <w:rsid w:val="00AF3985"/>
    <w:rsid w:val="00AF3BB9"/>
    <w:rsid w:val="00AF3BE9"/>
    <w:rsid w:val="00AF3C49"/>
    <w:rsid w:val="00AF3FC0"/>
    <w:rsid w:val="00AF3FC2"/>
    <w:rsid w:val="00AF4165"/>
    <w:rsid w:val="00AF432F"/>
    <w:rsid w:val="00AF433A"/>
    <w:rsid w:val="00AF43F7"/>
    <w:rsid w:val="00AF44D4"/>
    <w:rsid w:val="00AF4701"/>
    <w:rsid w:val="00AF47F1"/>
    <w:rsid w:val="00AF4984"/>
    <w:rsid w:val="00AF4A0D"/>
    <w:rsid w:val="00AF4B5E"/>
    <w:rsid w:val="00AF4D4E"/>
    <w:rsid w:val="00AF4E64"/>
    <w:rsid w:val="00AF4E7A"/>
    <w:rsid w:val="00AF4F9C"/>
    <w:rsid w:val="00AF5085"/>
    <w:rsid w:val="00AF51CE"/>
    <w:rsid w:val="00AF53F6"/>
    <w:rsid w:val="00AF55A8"/>
    <w:rsid w:val="00AF560E"/>
    <w:rsid w:val="00AF593A"/>
    <w:rsid w:val="00AF5A17"/>
    <w:rsid w:val="00AF5B16"/>
    <w:rsid w:val="00AF5B26"/>
    <w:rsid w:val="00AF5B61"/>
    <w:rsid w:val="00AF5E58"/>
    <w:rsid w:val="00AF5E72"/>
    <w:rsid w:val="00AF5F1C"/>
    <w:rsid w:val="00AF6156"/>
    <w:rsid w:val="00AF6186"/>
    <w:rsid w:val="00AF61FE"/>
    <w:rsid w:val="00AF6229"/>
    <w:rsid w:val="00AF6399"/>
    <w:rsid w:val="00AF6402"/>
    <w:rsid w:val="00AF6482"/>
    <w:rsid w:val="00AF64B2"/>
    <w:rsid w:val="00AF64DF"/>
    <w:rsid w:val="00AF6606"/>
    <w:rsid w:val="00AF6619"/>
    <w:rsid w:val="00AF6711"/>
    <w:rsid w:val="00AF6743"/>
    <w:rsid w:val="00AF67A5"/>
    <w:rsid w:val="00AF67FB"/>
    <w:rsid w:val="00AF68A8"/>
    <w:rsid w:val="00AF68B2"/>
    <w:rsid w:val="00AF6A88"/>
    <w:rsid w:val="00AF6BD7"/>
    <w:rsid w:val="00AF6C7F"/>
    <w:rsid w:val="00AF6EEE"/>
    <w:rsid w:val="00AF6FCE"/>
    <w:rsid w:val="00AF7044"/>
    <w:rsid w:val="00AF70E0"/>
    <w:rsid w:val="00AF722A"/>
    <w:rsid w:val="00AF7319"/>
    <w:rsid w:val="00AF731F"/>
    <w:rsid w:val="00AF7448"/>
    <w:rsid w:val="00AF7492"/>
    <w:rsid w:val="00AF7545"/>
    <w:rsid w:val="00AF7563"/>
    <w:rsid w:val="00AF76AC"/>
    <w:rsid w:val="00AF77C9"/>
    <w:rsid w:val="00AF77E9"/>
    <w:rsid w:val="00AF781C"/>
    <w:rsid w:val="00AF78AB"/>
    <w:rsid w:val="00AF791D"/>
    <w:rsid w:val="00AF799A"/>
    <w:rsid w:val="00AF799F"/>
    <w:rsid w:val="00AF7AB9"/>
    <w:rsid w:val="00AF7B56"/>
    <w:rsid w:val="00AF7BBD"/>
    <w:rsid w:val="00AF7D4F"/>
    <w:rsid w:val="00AF7DF5"/>
    <w:rsid w:val="00B00232"/>
    <w:rsid w:val="00B00243"/>
    <w:rsid w:val="00B0034C"/>
    <w:rsid w:val="00B0038B"/>
    <w:rsid w:val="00B004E0"/>
    <w:rsid w:val="00B005FE"/>
    <w:rsid w:val="00B006D6"/>
    <w:rsid w:val="00B0071B"/>
    <w:rsid w:val="00B007FE"/>
    <w:rsid w:val="00B009CB"/>
    <w:rsid w:val="00B00B2D"/>
    <w:rsid w:val="00B00B70"/>
    <w:rsid w:val="00B00BF2"/>
    <w:rsid w:val="00B00BFE"/>
    <w:rsid w:val="00B00C69"/>
    <w:rsid w:val="00B00C9B"/>
    <w:rsid w:val="00B00CE7"/>
    <w:rsid w:val="00B00D32"/>
    <w:rsid w:val="00B00E05"/>
    <w:rsid w:val="00B00E29"/>
    <w:rsid w:val="00B00F28"/>
    <w:rsid w:val="00B00F6C"/>
    <w:rsid w:val="00B01099"/>
    <w:rsid w:val="00B0158A"/>
    <w:rsid w:val="00B015F6"/>
    <w:rsid w:val="00B0164B"/>
    <w:rsid w:val="00B01714"/>
    <w:rsid w:val="00B0195C"/>
    <w:rsid w:val="00B01DC3"/>
    <w:rsid w:val="00B01F1E"/>
    <w:rsid w:val="00B01F49"/>
    <w:rsid w:val="00B02144"/>
    <w:rsid w:val="00B0222E"/>
    <w:rsid w:val="00B02245"/>
    <w:rsid w:val="00B02271"/>
    <w:rsid w:val="00B02295"/>
    <w:rsid w:val="00B022E6"/>
    <w:rsid w:val="00B02342"/>
    <w:rsid w:val="00B02345"/>
    <w:rsid w:val="00B0255B"/>
    <w:rsid w:val="00B025A9"/>
    <w:rsid w:val="00B02613"/>
    <w:rsid w:val="00B0283C"/>
    <w:rsid w:val="00B02A0C"/>
    <w:rsid w:val="00B02A39"/>
    <w:rsid w:val="00B02D3F"/>
    <w:rsid w:val="00B02E5C"/>
    <w:rsid w:val="00B02EBB"/>
    <w:rsid w:val="00B02F64"/>
    <w:rsid w:val="00B02FE3"/>
    <w:rsid w:val="00B030B9"/>
    <w:rsid w:val="00B03366"/>
    <w:rsid w:val="00B03457"/>
    <w:rsid w:val="00B035AB"/>
    <w:rsid w:val="00B036B4"/>
    <w:rsid w:val="00B03768"/>
    <w:rsid w:val="00B0384A"/>
    <w:rsid w:val="00B03928"/>
    <w:rsid w:val="00B03B8D"/>
    <w:rsid w:val="00B03D3F"/>
    <w:rsid w:val="00B03D4D"/>
    <w:rsid w:val="00B03DC7"/>
    <w:rsid w:val="00B04200"/>
    <w:rsid w:val="00B04347"/>
    <w:rsid w:val="00B0465B"/>
    <w:rsid w:val="00B0470D"/>
    <w:rsid w:val="00B0489E"/>
    <w:rsid w:val="00B04994"/>
    <w:rsid w:val="00B04C20"/>
    <w:rsid w:val="00B04C62"/>
    <w:rsid w:val="00B04C64"/>
    <w:rsid w:val="00B04D1F"/>
    <w:rsid w:val="00B04E08"/>
    <w:rsid w:val="00B04E8E"/>
    <w:rsid w:val="00B05018"/>
    <w:rsid w:val="00B050E0"/>
    <w:rsid w:val="00B051DF"/>
    <w:rsid w:val="00B053C3"/>
    <w:rsid w:val="00B054BD"/>
    <w:rsid w:val="00B0554E"/>
    <w:rsid w:val="00B05664"/>
    <w:rsid w:val="00B05715"/>
    <w:rsid w:val="00B0576F"/>
    <w:rsid w:val="00B057B0"/>
    <w:rsid w:val="00B0582B"/>
    <w:rsid w:val="00B05904"/>
    <w:rsid w:val="00B05988"/>
    <w:rsid w:val="00B059AB"/>
    <w:rsid w:val="00B059E9"/>
    <w:rsid w:val="00B05A0E"/>
    <w:rsid w:val="00B05A1E"/>
    <w:rsid w:val="00B05B3B"/>
    <w:rsid w:val="00B05CC5"/>
    <w:rsid w:val="00B05CFD"/>
    <w:rsid w:val="00B05F69"/>
    <w:rsid w:val="00B05FC0"/>
    <w:rsid w:val="00B06030"/>
    <w:rsid w:val="00B060D6"/>
    <w:rsid w:val="00B06288"/>
    <w:rsid w:val="00B062B0"/>
    <w:rsid w:val="00B063B6"/>
    <w:rsid w:val="00B066A8"/>
    <w:rsid w:val="00B066F2"/>
    <w:rsid w:val="00B0672C"/>
    <w:rsid w:val="00B068D7"/>
    <w:rsid w:val="00B06938"/>
    <w:rsid w:val="00B06964"/>
    <w:rsid w:val="00B069A9"/>
    <w:rsid w:val="00B06A8D"/>
    <w:rsid w:val="00B06BB0"/>
    <w:rsid w:val="00B06D3F"/>
    <w:rsid w:val="00B07140"/>
    <w:rsid w:val="00B0714E"/>
    <w:rsid w:val="00B074C9"/>
    <w:rsid w:val="00B078E7"/>
    <w:rsid w:val="00B0797C"/>
    <w:rsid w:val="00B07A35"/>
    <w:rsid w:val="00B07AC2"/>
    <w:rsid w:val="00B07B57"/>
    <w:rsid w:val="00B07B81"/>
    <w:rsid w:val="00B07BD3"/>
    <w:rsid w:val="00B07C72"/>
    <w:rsid w:val="00B07DCA"/>
    <w:rsid w:val="00B07DE0"/>
    <w:rsid w:val="00B07EEE"/>
    <w:rsid w:val="00B07F6F"/>
    <w:rsid w:val="00B102E8"/>
    <w:rsid w:val="00B10301"/>
    <w:rsid w:val="00B10544"/>
    <w:rsid w:val="00B10906"/>
    <w:rsid w:val="00B1099A"/>
    <w:rsid w:val="00B109AE"/>
    <w:rsid w:val="00B10E9C"/>
    <w:rsid w:val="00B10F62"/>
    <w:rsid w:val="00B111D9"/>
    <w:rsid w:val="00B1122E"/>
    <w:rsid w:val="00B11410"/>
    <w:rsid w:val="00B1146E"/>
    <w:rsid w:val="00B11577"/>
    <w:rsid w:val="00B11A38"/>
    <w:rsid w:val="00B11B0B"/>
    <w:rsid w:val="00B11E84"/>
    <w:rsid w:val="00B11EB3"/>
    <w:rsid w:val="00B11ED2"/>
    <w:rsid w:val="00B12040"/>
    <w:rsid w:val="00B120B1"/>
    <w:rsid w:val="00B120FD"/>
    <w:rsid w:val="00B1212C"/>
    <w:rsid w:val="00B121DC"/>
    <w:rsid w:val="00B121FF"/>
    <w:rsid w:val="00B12241"/>
    <w:rsid w:val="00B1227E"/>
    <w:rsid w:val="00B122C8"/>
    <w:rsid w:val="00B12645"/>
    <w:rsid w:val="00B126E9"/>
    <w:rsid w:val="00B12940"/>
    <w:rsid w:val="00B12944"/>
    <w:rsid w:val="00B12AEE"/>
    <w:rsid w:val="00B12BAF"/>
    <w:rsid w:val="00B130A3"/>
    <w:rsid w:val="00B13305"/>
    <w:rsid w:val="00B13349"/>
    <w:rsid w:val="00B13465"/>
    <w:rsid w:val="00B134B4"/>
    <w:rsid w:val="00B1368B"/>
    <w:rsid w:val="00B13719"/>
    <w:rsid w:val="00B13AB4"/>
    <w:rsid w:val="00B13C1B"/>
    <w:rsid w:val="00B13CDC"/>
    <w:rsid w:val="00B13D97"/>
    <w:rsid w:val="00B13E29"/>
    <w:rsid w:val="00B13E86"/>
    <w:rsid w:val="00B13EE5"/>
    <w:rsid w:val="00B1402A"/>
    <w:rsid w:val="00B144E1"/>
    <w:rsid w:val="00B1455B"/>
    <w:rsid w:val="00B14594"/>
    <w:rsid w:val="00B14729"/>
    <w:rsid w:val="00B148AC"/>
    <w:rsid w:val="00B148C7"/>
    <w:rsid w:val="00B14BA5"/>
    <w:rsid w:val="00B14C35"/>
    <w:rsid w:val="00B14FA9"/>
    <w:rsid w:val="00B150C4"/>
    <w:rsid w:val="00B15146"/>
    <w:rsid w:val="00B15211"/>
    <w:rsid w:val="00B15220"/>
    <w:rsid w:val="00B153CC"/>
    <w:rsid w:val="00B15489"/>
    <w:rsid w:val="00B15708"/>
    <w:rsid w:val="00B15746"/>
    <w:rsid w:val="00B1578A"/>
    <w:rsid w:val="00B157FC"/>
    <w:rsid w:val="00B15844"/>
    <w:rsid w:val="00B15882"/>
    <w:rsid w:val="00B15CB0"/>
    <w:rsid w:val="00B15CCA"/>
    <w:rsid w:val="00B15F40"/>
    <w:rsid w:val="00B160E0"/>
    <w:rsid w:val="00B16117"/>
    <w:rsid w:val="00B1614B"/>
    <w:rsid w:val="00B161C8"/>
    <w:rsid w:val="00B16284"/>
    <w:rsid w:val="00B162F9"/>
    <w:rsid w:val="00B16426"/>
    <w:rsid w:val="00B1642C"/>
    <w:rsid w:val="00B164D2"/>
    <w:rsid w:val="00B1656E"/>
    <w:rsid w:val="00B16584"/>
    <w:rsid w:val="00B165CB"/>
    <w:rsid w:val="00B165E7"/>
    <w:rsid w:val="00B1685D"/>
    <w:rsid w:val="00B168D8"/>
    <w:rsid w:val="00B169E1"/>
    <w:rsid w:val="00B16C01"/>
    <w:rsid w:val="00B16DF3"/>
    <w:rsid w:val="00B16F16"/>
    <w:rsid w:val="00B16F31"/>
    <w:rsid w:val="00B16F47"/>
    <w:rsid w:val="00B16FC3"/>
    <w:rsid w:val="00B1712C"/>
    <w:rsid w:val="00B1713E"/>
    <w:rsid w:val="00B17211"/>
    <w:rsid w:val="00B174B1"/>
    <w:rsid w:val="00B17523"/>
    <w:rsid w:val="00B17772"/>
    <w:rsid w:val="00B17804"/>
    <w:rsid w:val="00B17811"/>
    <w:rsid w:val="00B17844"/>
    <w:rsid w:val="00B178C8"/>
    <w:rsid w:val="00B1798A"/>
    <w:rsid w:val="00B17996"/>
    <w:rsid w:val="00B17BB7"/>
    <w:rsid w:val="00B17CD4"/>
    <w:rsid w:val="00B17E53"/>
    <w:rsid w:val="00B17EC9"/>
    <w:rsid w:val="00B17EF8"/>
    <w:rsid w:val="00B20052"/>
    <w:rsid w:val="00B201A1"/>
    <w:rsid w:val="00B20388"/>
    <w:rsid w:val="00B204E4"/>
    <w:rsid w:val="00B2055C"/>
    <w:rsid w:val="00B205EC"/>
    <w:rsid w:val="00B20604"/>
    <w:rsid w:val="00B2074B"/>
    <w:rsid w:val="00B208A8"/>
    <w:rsid w:val="00B20DD9"/>
    <w:rsid w:val="00B21004"/>
    <w:rsid w:val="00B21117"/>
    <w:rsid w:val="00B21152"/>
    <w:rsid w:val="00B21159"/>
    <w:rsid w:val="00B2116F"/>
    <w:rsid w:val="00B21238"/>
    <w:rsid w:val="00B2130C"/>
    <w:rsid w:val="00B21343"/>
    <w:rsid w:val="00B213BD"/>
    <w:rsid w:val="00B21557"/>
    <w:rsid w:val="00B215CC"/>
    <w:rsid w:val="00B21626"/>
    <w:rsid w:val="00B2189F"/>
    <w:rsid w:val="00B218E6"/>
    <w:rsid w:val="00B2193A"/>
    <w:rsid w:val="00B219A8"/>
    <w:rsid w:val="00B21A07"/>
    <w:rsid w:val="00B21D00"/>
    <w:rsid w:val="00B21D65"/>
    <w:rsid w:val="00B21E46"/>
    <w:rsid w:val="00B21F38"/>
    <w:rsid w:val="00B21FBD"/>
    <w:rsid w:val="00B22099"/>
    <w:rsid w:val="00B221A9"/>
    <w:rsid w:val="00B221E0"/>
    <w:rsid w:val="00B2221E"/>
    <w:rsid w:val="00B22242"/>
    <w:rsid w:val="00B2242C"/>
    <w:rsid w:val="00B22487"/>
    <w:rsid w:val="00B2254C"/>
    <w:rsid w:val="00B22661"/>
    <w:rsid w:val="00B2271A"/>
    <w:rsid w:val="00B2274C"/>
    <w:rsid w:val="00B227A5"/>
    <w:rsid w:val="00B2286A"/>
    <w:rsid w:val="00B2287A"/>
    <w:rsid w:val="00B22995"/>
    <w:rsid w:val="00B22B71"/>
    <w:rsid w:val="00B22BFB"/>
    <w:rsid w:val="00B22C45"/>
    <w:rsid w:val="00B22CFE"/>
    <w:rsid w:val="00B22D8D"/>
    <w:rsid w:val="00B22E04"/>
    <w:rsid w:val="00B22E8C"/>
    <w:rsid w:val="00B22F1D"/>
    <w:rsid w:val="00B22F26"/>
    <w:rsid w:val="00B2307B"/>
    <w:rsid w:val="00B232C3"/>
    <w:rsid w:val="00B233A1"/>
    <w:rsid w:val="00B23529"/>
    <w:rsid w:val="00B23789"/>
    <w:rsid w:val="00B237DC"/>
    <w:rsid w:val="00B2384F"/>
    <w:rsid w:val="00B238FB"/>
    <w:rsid w:val="00B2394F"/>
    <w:rsid w:val="00B23A92"/>
    <w:rsid w:val="00B23BA0"/>
    <w:rsid w:val="00B23C2A"/>
    <w:rsid w:val="00B23E85"/>
    <w:rsid w:val="00B23F0E"/>
    <w:rsid w:val="00B24154"/>
    <w:rsid w:val="00B2415F"/>
    <w:rsid w:val="00B24215"/>
    <w:rsid w:val="00B2423E"/>
    <w:rsid w:val="00B24294"/>
    <w:rsid w:val="00B243E6"/>
    <w:rsid w:val="00B244E2"/>
    <w:rsid w:val="00B245D3"/>
    <w:rsid w:val="00B247BF"/>
    <w:rsid w:val="00B247C4"/>
    <w:rsid w:val="00B24D50"/>
    <w:rsid w:val="00B24FE6"/>
    <w:rsid w:val="00B25143"/>
    <w:rsid w:val="00B25391"/>
    <w:rsid w:val="00B256C6"/>
    <w:rsid w:val="00B25836"/>
    <w:rsid w:val="00B258EB"/>
    <w:rsid w:val="00B25BFF"/>
    <w:rsid w:val="00B25C0C"/>
    <w:rsid w:val="00B25D12"/>
    <w:rsid w:val="00B25D5E"/>
    <w:rsid w:val="00B25E13"/>
    <w:rsid w:val="00B25F13"/>
    <w:rsid w:val="00B262A9"/>
    <w:rsid w:val="00B264DD"/>
    <w:rsid w:val="00B265BD"/>
    <w:rsid w:val="00B26745"/>
    <w:rsid w:val="00B26806"/>
    <w:rsid w:val="00B26852"/>
    <w:rsid w:val="00B26ABA"/>
    <w:rsid w:val="00B26B49"/>
    <w:rsid w:val="00B26CA5"/>
    <w:rsid w:val="00B26E3D"/>
    <w:rsid w:val="00B26E63"/>
    <w:rsid w:val="00B270BF"/>
    <w:rsid w:val="00B27121"/>
    <w:rsid w:val="00B2721A"/>
    <w:rsid w:val="00B273C9"/>
    <w:rsid w:val="00B275EA"/>
    <w:rsid w:val="00B27789"/>
    <w:rsid w:val="00B27C69"/>
    <w:rsid w:val="00B27E03"/>
    <w:rsid w:val="00B27EC2"/>
    <w:rsid w:val="00B30048"/>
    <w:rsid w:val="00B302D7"/>
    <w:rsid w:val="00B30434"/>
    <w:rsid w:val="00B30438"/>
    <w:rsid w:val="00B30569"/>
    <w:rsid w:val="00B30694"/>
    <w:rsid w:val="00B306BA"/>
    <w:rsid w:val="00B306C6"/>
    <w:rsid w:val="00B30708"/>
    <w:rsid w:val="00B30A96"/>
    <w:rsid w:val="00B30BAA"/>
    <w:rsid w:val="00B30EE0"/>
    <w:rsid w:val="00B312EA"/>
    <w:rsid w:val="00B31321"/>
    <w:rsid w:val="00B31386"/>
    <w:rsid w:val="00B31491"/>
    <w:rsid w:val="00B3162A"/>
    <w:rsid w:val="00B31AF7"/>
    <w:rsid w:val="00B31B5B"/>
    <w:rsid w:val="00B31DCB"/>
    <w:rsid w:val="00B31DF4"/>
    <w:rsid w:val="00B31DF6"/>
    <w:rsid w:val="00B31E44"/>
    <w:rsid w:val="00B31F74"/>
    <w:rsid w:val="00B31FBE"/>
    <w:rsid w:val="00B32058"/>
    <w:rsid w:val="00B3209E"/>
    <w:rsid w:val="00B3221A"/>
    <w:rsid w:val="00B3224A"/>
    <w:rsid w:val="00B32414"/>
    <w:rsid w:val="00B32642"/>
    <w:rsid w:val="00B326CC"/>
    <w:rsid w:val="00B32797"/>
    <w:rsid w:val="00B327B5"/>
    <w:rsid w:val="00B327E6"/>
    <w:rsid w:val="00B32888"/>
    <w:rsid w:val="00B328CC"/>
    <w:rsid w:val="00B328DB"/>
    <w:rsid w:val="00B32A1B"/>
    <w:rsid w:val="00B32DB4"/>
    <w:rsid w:val="00B32E89"/>
    <w:rsid w:val="00B33123"/>
    <w:rsid w:val="00B3318E"/>
    <w:rsid w:val="00B331C9"/>
    <w:rsid w:val="00B33287"/>
    <w:rsid w:val="00B33312"/>
    <w:rsid w:val="00B33337"/>
    <w:rsid w:val="00B333EE"/>
    <w:rsid w:val="00B334AF"/>
    <w:rsid w:val="00B336DD"/>
    <w:rsid w:val="00B33704"/>
    <w:rsid w:val="00B338A2"/>
    <w:rsid w:val="00B33A05"/>
    <w:rsid w:val="00B33A26"/>
    <w:rsid w:val="00B33A61"/>
    <w:rsid w:val="00B33CBE"/>
    <w:rsid w:val="00B33D9E"/>
    <w:rsid w:val="00B33F41"/>
    <w:rsid w:val="00B3416D"/>
    <w:rsid w:val="00B34199"/>
    <w:rsid w:val="00B342CB"/>
    <w:rsid w:val="00B344E5"/>
    <w:rsid w:val="00B34525"/>
    <w:rsid w:val="00B34555"/>
    <w:rsid w:val="00B3461C"/>
    <w:rsid w:val="00B34915"/>
    <w:rsid w:val="00B34944"/>
    <w:rsid w:val="00B349DA"/>
    <w:rsid w:val="00B34A2B"/>
    <w:rsid w:val="00B34B41"/>
    <w:rsid w:val="00B34D21"/>
    <w:rsid w:val="00B34D2C"/>
    <w:rsid w:val="00B34FBB"/>
    <w:rsid w:val="00B35136"/>
    <w:rsid w:val="00B351A7"/>
    <w:rsid w:val="00B351F3"/>
    <w:rsid w:val="00B35261"/>
    <w:rsid w:val="00B35390"/>
    <w:rsid w:val="00B353CF"/>
    <w:rsid w:val="00B3555A"/>
    <w:rsid w:val="00B356B7"/>
    <w:rsid w:val="00B356ED"/>
    <w:rsid w:val="00B357E5"/>
    <w:rsid w:val="00B35830"/>
    <w:rsid w:val="00B35859"/>
    <w:rsid w:val="00B358E6"/>
    <w:rsid w:val="00B35A12"/>
    <w:rsid w:val="00B35A18"/>
    <w:rsid w:val="00B35AA9"/>
    <w:rsid w:val="00B35AAC"/>
    <w:rsid w:val="00B35AE5"/>
    <w:rsid w:val="00B35C98"/>
    <w:rsid w:val="00B35D1E"/>
    <w:rsid w:val="00B35D41"/>
    <w:rsid w:val="00B35D43"/>
    <w:rsid w:val="00B35E08"/>
    <w:rsid w:val="00B35E3D"/>
    <w:rsid w:val="00B35E85"/>
    <w:rsid w:val="00B35EF7"/>
    <w:rsid w:val="00B362AF"/>
    <w:rsid w:val="00B36539"/>
    <w:rsid w:val="00B367E8"/>
    <w:rsid w:val="00B36868"/>
    <w:rsid w:val="00B36A86"/>
    <w:rsid w:val="00B36B21"/>
    <w:rsid w:val="00B36CBE"/>
    <w:rsid w:val="00B36D53"/>
    <w:rsid w:val="00B36D8B"/>
    <w:rsid w:val="00B36EC6"/>
    <w:rsid w:val="00B36FB9"/>
    <w:rsid w:val="00B37127"/>
    <w:rsid w:val="00B37142"/>
    <w:rsid w:val="00B37198"/>
    <w:rsid w:val="00B372D7"/>
    <w:rsid w:val="00B37310"/>
    <w:rsid w:val="00B3734A"/>
    <w:rsid w:val="00B37544"/>
    <w:rsid w:val="00B37545"/>
    <w:rsid w:val="00B37993"/>
    <w:rsid w:val="00B37A95"/>
    <w:rsid w:val="00B37B3C"/>
    <w:rsid w:val="00B37CCC"/>
    <w:rsid w:val="00B37D48"/>
    <w:rsid w:val="00B37D4A"/>
    <w:rsid w:val="00B37E88"/>
    <w:rsid w:val="00B37FA5"/>
    <w:rsid w:val="00B400E7"/>
    <w:rsid w:val="00B40176"/>
    <w:rsid w:val="00B402A9"/>
    <w:rsid w:val="00B40535"/>
    <w:rsid w:val="00B40596"/>
    <w:rsid w:val="00B40693"/>
    <w:rsid w:val="00B407ED"/>
    <w:rsid w:val="00B40837"/>
    <w:rsid w:val="00B408F1"/>
    <w:rsid w:val="00B40A0C"/>
    <w:rsid w:val="00B40A33"/>
    <w:rsid w:val="00B40A5A"/>
    <w:rsid w:val="00B40A82"/>
    <w:rsid w:val="00B40AA0"/>
    <w:rsid w:val="00B40F25"/>
    <w:rsid w:val="00B4117B"/>
    <w:rsid w:val="00B411E2"/>
    <w:rsid w:val="00B413C8"/>
    <w:rsid w:val="00B41448"/>
    <w:rsid w:val="00B414AA"/>
    <w:rsid w:val="00B416BE"/>
    <w:rsid w:val="00B416ED"/>
    <w:rsid w:val="00B41819"/>
    <w:rsid w:val="00B41847"/>
    <w:rsid w:val="00B41A8D"/>
    <w:rsid w:val="00B41ACD"/>
    <w:rsid w:val="00B41B06"/>
    <w:rsid w:val="00B41CAA"/>
    <w:rsid w:val="00B41D85"/>
    <w:rsid w:val="00B41E67"/>
    <w:rsid w:val="00B420FA"/>
    <w:rsid w:val="00B421BD"/>
    <w:rsid w:val="00B421C6"/>
    <w:rsid w:val="00B421DD"/>
    <w:rsid w:val="00B422B4"/>
    <w:rsid w:val="00B42340"/>
    <w:rsid w:val="00B42351"/>
    <w:rsid w:val="00B42575"/>
    <w:rsid w:val="00B42693"/>
    <w:rsid w:val="00B429C2"/>
    <w:rsid w:val="00B42AB1"/>
    <w:rsid w:val="00B42B22"/>
    <w:rsid w:val="00B42BCE"/>
    <w:rsid w:val="00B42C6D"/>
    <w:rsid w:val="00B42DEA"/>
    <w:rsid w:val="00B42E91"/>
    <w:rsid w:val="00B4304A"/>
    <w:rsid w:val="00B432AD"/>
    <w:rsid w:val="00B43400"/>
    <w:rsid w:val="00B43412"/>
    <w:rsid w:val="00B43632"/>
    <w:rsid w:val="00B436C6"/>
    <w:rsid w:val="00B43784"/>
    <w:rsid w:val="00B437DC"/>
    <w:rsid w:val="00B4384E"/>
    <w:rsid w:val="00B4391A"/>
    <w:rsid w:val="00B43A04"/>
    <w:rsid w:val="00B43A95"/>
    <w:rsid w:val="00B43D59"/>
    <w:rsid w:val="00B43D9E"/>
    <w:rsid w:val="00B43DE8"/>
    <w:rsid w:val="00B43E21"/>
    <w:rsid w:val="00B440E4"/>
    <w:rsid w:val="00B440FD"/>
    <w:rsid w:val="00B4424A"/>
    <w:rsid w:val="00B4433B"/>
    <w:rsid w:val="00B4442F"/>
    <w:rsid w:val="00B4455A"/>
    <w:rsid w:val="00B4473E"/>
    <w:rsid w:val="00B447DC"/>
    <w:rsid w:val="00B44889"/>
    <w:rsid w:val="00B448B1"/>
    <w:rsid w:val="00B448D7"/>
    <w:rsid w:val="00B44923"/>
    <w:rsid w:val="00B44B4B"/>
    <w:rsid w:val="00B44C1D"/>
    <w:rsid w:val="00B44C50"/>
    <w:rsid w:val="00B44E5B"/>
    <w:rsid w:val="00B453EB"/>
    <w:rsid w:val="00B45617"/>
    <w:rsid w:val="00B4569C"/>
    <w:rsid w:val="00B4585F"/>
    <w:rsid w:val="00B459E2"/>
    <w:rsid w:val="00B45A3A"/>
    <w:rsid w:val="00B45AA6"/>
    <w:rsid w:val="00B45BF0"/>
    <w:rsid w:val="00B45C23"/>
    <w:rsid w:val="00B45C62"/>
    <w:rsid w:val="00B45DA4"/>
    <w:rsid w:val="00B45E4F"/>
    <w:rsid w:val="00B45F4E"/>
    <w:rsid w:val="00B46011"/>
    <w:rsid w:val="00B460C5"/>
    <w:rsid w:val="00B4615F"/>
    <w:rsid w:val="00B461C3"/>
    <w:rsid w:val="00B46219"/>
    <w:rsid w:val="00B46242"/>
    <w:rsid w:val="00B4652D"/>
    <w:rsid w:val="00B46635"/>
    <w:rsid w:val="00B466D3"/>
    <w:rsid w:val="00B46759"/>
    <w:rsid w:val="00B468A9"/>
    <w:rsid w:val="00B468E3"/>
    <w:rsid w:val="00B4696E"/>
    <w:rsid w:val="00B46976"/>
    <w:rsid w:val="00B469D5"/>
    <w:rsid w:val="00B469F3"/>
    <w:rsid w:val="00B46A45"/>
    <w:rsid w:val="00B46A58"/>
    <w:rsid w:val="00B46A84"/>
    <w:rsid w:val="00B46AC0"/>
    <w:rsid w:val="00B46B07"/>
    <w:rsid w:val="00B46B3A"/>
    <w:rsid w:val="00B46C24"/>
    <w:rsid w:val="00B46DD4"/>
    <w:rsid w:val="00B46F49"/>
    <w:rsid w:val="00B4715B"/>
    <w:rsid w:val="00B47258"/>
    <w:rsid w:val="00B47364"/>
    <w:rsid w:val="00B473D4"/>
    <w:rsid w:val="00B47417"/>
    <w:rsid w:val="00B47914"/>
    <w:rsid w:val="00B47ABB"/>
    <w:rsid w:val="00B47B83"/>
    <w:rsid w:val="00B47BC7"/>
    <w:rsid w:val="00B47E6A"/>
    <w:rsid w:val="00B47F3D"/>
    <w:rsid w:val="00B5013F"/>
    <w:rsid w:val="00B50202"/>
    <w:rsid w:val="00B5047B"/>
    <w:rsid w:val="00B504CB"/>
    <w:rsid w:val="00B507E5"/>
    <w:rsid w:val="00B50812"/>
    <w:rsid w:val="00B5083C"/>
    <w:rsid w:val="00B508AA"/>
    <w:rsid w:val="00B508F0"/>
    <w:rsid w:val="00B50A6A"/>
    <w:rsid w:val="00B50AA4"/>
    <w:rsid w:val="00B50D94"/>
    <w:rsid w:val="00B50E29"/>
    <w:rsid w:val="00B51099"/>
    <w:rsid w:val="00B5117D"/>
    <w:rsid w:val="00B5139A"/>
    <w:rsid w:val="00B51484"/>
    <w:rsid w:val="00B514D7"/>
    <w:rsid w:val="00B514E2"/>
    <w:rsid w:val="00B51528"/>
    <w:rsid w:val="00B515D3"/>
    <w:rsid w:val="00B5162A"/>
    <w:rsid w:val="00B5162D"/>
    <w:rsid w:val="00B51A58"/>
    <w:rsid w:val="00B51CAE"/>
    <w:rsid w:val="00B51CFA"/>
    <w:rsid w:val="00B51D18"/>
    <w:rsid w:val="00B51DD4"/>
    <w:rsid w:val="00B52039"/>
    <w:rsid w:val="00B52044"/>
    <w:rsid w:val="00B5206B"/>
    <w:rsid w:val="00B52121"/>
    <w:rsid w:val="00B52236"/>
    <w:rsid w:val="00B5242E"/>
    <w:rsid w:val="00B524FD"/>
    <w:rsid w:val="00B52532"/>
    <w:rsid w:val="00B52711"/>
    <w:rsid w:val="00B52794"/>
    <w:rsid w:val="00B5284A"/>
    <w:rsid w:val="00B52B36"/>
    <w:rsid w:val="00B52BCE"/>
    <w:rsid w:val="00B52F66"/>
    <w:rsid w:val="00B530EA"/>
    <w:rsid w:val="00B532A9"/>
    <w:rsid w:val="00B533FF"/>
    <w:rsid w:val="00B53403"/>
    <w:rsid w:val="00B53528"/>
    <w:rsid w:val="00B5368D"/>
    <w:rsid w:val="00B53793"/>
    <w:rsid w:val="00B53951"/>
    <w:rsid w:val="00B53A42"/>
    <w:rsid w:val="00B53A60"/>
    <w:rsid w:val="00B53A96"/>
    <w:rsid w:val="00B53C31"/>
    <w:rsid w:val="00B53C4D"/>
    <w:rsid w:val="00B53C73"/>
    <w:rsid w:val="00B53C98"/>
    <w:rsid w:val="00B53D2A"/>
    <w:rsid w:val="00B53D73"/>
    <w:rsid w:val="00B53DC0"/>
    <w:rsid w:val="00B53F6D"/>
    <w:rsid w:val="00B53FAF"/>
    <w:rsid w:val="00B540A0"/>
    <w:rsid w:val="00B540D8"/>
    <w:rsid w:val="00B543AB"/>
    <w:rsid w:val="00B5443D"/>
    <w:rsid w:val="00B54474"/>
    <w:rsid w:val="00B5448A"/>
    <w:rsid w:val="00B54521"/>
    <w:rsid w:val="00B54617"/>
    <w:rsid w:val="00B54762"/>
    <w:rsid w:val="00B548A6"/>
    <w:rsid w:val="00B548EF"/>
    <w:rsid w:val="00B54949"/>
    <w:rsid w:val="00B54A2C"/>
    <w:rsid w:val="00B54A5B"/>
    <w:rsid w:val="00B54A90"/>
    <w:rsid w:val="00B54BA3"/>
    <w:rsid w:val="00B54BB0"/>
    <w:rsid w:val="00B54D97"/>
    <w:rsid w:val="00B54F63"/>
    <w:rsid w:val="00B55056"/>
    <w:rsid w:val="00B551FD"/>
    <w:rsid w:val="00B5520E"/>
    <w:rsid w:val="00B55230"/>
    <w:rsid w:val="00B55331"/>
    <w:rsid w:val="00B55619"/>
    <w:rsid w:val="00B55641"/>
    <w:rsid w:val="00B55835"/>
    <w:rsid w:val="00B55A45"/>
    <w:rsid w:val="00B55B94"/>
    <w:rsid w:val="00B55C54"/>
    <w:rsid w:val="00B55C9C"/>
    <w:rsid w:val="00B55CC1"/>
    <w:rsid w:val="00B55EAA"/>
    <w:rsid w:val="00B55F1D"/>
    <w:rsid w:val="00B55FCB"/>
    <w:rsid w:val="00B56203"/>
    <w:rsid w:val="00B562E0"/>
    <w:rsid w:val="00B56397"/>
    <w:rsid w:val="00B56487"/>
    <w:rsid w:val="00B56511"/>
    <w:rsid w:val="00B5652B"/>
    <w:rsid w:val="00B565CB"/>
    <w:rsid w:val="00B56852"/>
    <w:rsid w:val="00B569EE"/>
    <w:rsid w:val="00B56A91"/>
    <w:rsid w:val="00B56BC7"/>
    <w:rsid w:val="00B56D83"/>
    <w:rsid w:val="00B56F33"/>
    <w:rsid w:val="00B56F5F"/>
    <w:rsid w:val="00B56FBB"/>
    <w:rsid w:val="00B5707C"/>
    <w:rsid w:val="00B57177"/>
    <w:rsid w:val="00B573C6"/>
    <w:rsid w:val="00B57439"/>
    <w:rsid w:val="00B574D9"/>
    <w:rsid w:val="00B575B6"/>
    <w:rsid w:val="00B5770E"/>
    <w:rsid w:val="00B577C4"/>
    <w:rsid w:val="00B577F2"/>
    <w:rsid w:val="00B57865"/>
    <w:rsid w:val="00B57929"/>
    <w:rsid w:val="00B57BA9"/>
    <w:rsid w:val="00B57C00"/>
    <w:rsid w:val="00B57C7D"/>
    <w:rsid w:val="00B57E54"/>
    <w:rsid w:val="00B602F5"/>
    <w:rsid w:val="00B603D2"/>
    <w:rsid w:val="00B604AC"/>
    <w:rsid w:val="00B605E9"/>
    <w:rsid w:val="00B60621"/>
    <w:rsid w:val="00B60697"/>
    <w:rsid w:val="00B60705"/>
    <w:rsid w:val="00B607D2"/>
    <w:rsid w:val="00B609E8"/>
    <w:rsid w:val="00B609ED"/>
    <w:rsid w:val="00B60A17"/>
    <w:rsid w:val="00B60A58"/>
    <w:rsid w:val="00B60B35"/>
    <w:rsid w:val="00B60CCF"/>
    <w:rsid w:val="00B60DC3"/>
    <w:rsid w:val="00B60DFB"/>
    <w:rsid w:val="00B60F29"/>
    <w:rsid w:val="00B60FDC"/>
    <w:rsid w:val="00B61175"/>
    <w:rsid w:val="00B611A4"/>
    <w:rsid w:val="00B61464"/>
    <w:rsid w:val="00B615C3"/>
    <w:rsid w:val="00B6174E"/>
    <w:rsid w:val="00B61880"/>
    <w:rsid w:val="00B618A7"/>
    <w:rsid w:val="00B619D2"/>
    <w:rsid w:val="00B61A3B"/>
    <w:rsid w:val="00B61B18"/>
    <w:rsid w:val="00B61B4F"/>
    <w:rsid w:val="00B61B9D"/>
    <w:rsid w:val="00B61CFD"/>
    <w:rsid w:val="00B61D10"/>
    <w:rsid w:val="00B6201E"/>
    <w:rsid w:val="00B62035"/>
    <w:rsid w:val="00B62180"/>
    <w:rsid w:val="00B622B2"/>
    <w:rsid w:val="00B62491"/>
    <w:rsid w:val="00B624F6"/>
    <w:rsid w:val="00B625F5"/>
    <w:rsid w:val="00B62612"/>
    <w:rsid w:val="00B62682"/>
    <w:rsid w:val="00B62724"/>
    <w:rsid w:val="00B6291B"/>
    <w:rsid w:val="00B62995"/>
    <w:rsid w:val="00B629DF"/>
    <w:rsid w:val="00B629EB"/>
    <w:rsid w:val="00B62A5D"/>
    <w:rsid w:val="00B62A6A"/>
    <w:rsid w:val="00B62BEF"/>
    <w:rsid w:val="00B62CAE"/>
    <w:rsid w:val="00B62EDE"/>
    <w:rsid w:val="00B63041"/>
    <w:rsid w:val="00B631BA"/>
    <w:rsid w:val="00B63220"/>
    <w:rsid w:val="00B632F0"/>
    <w:rsid w:val="00B6335F"/>
    <w:rsid w:val="00B63473"/>
    <w:rsid w:val="00B634AA"/>
    <w:rsid w:val="00B63599"/>
    <w:rsid w:val="00B63666"/>
    <w:rsid w:val="00B63852"/>
    <w:rsid w:val="00B63895"/>
    <w:rsid w:val="00B6393A"/>
    <w:rsid w:val="00B639C5"/>
    <w:rsid w:val="00B63A3F"/>
    <w:rsid w:val="00B63ADE"/>
    <w:rsid w:val="00B63B3E"/>
    <w:rsid w:val="00B63B82"/>
    <w:rsid w:val="00B63CEA"/>
    <w:rsid w:val="00B63D19"/>
    <w:rsid w:val="00B63E73"/>
    <w:rsid w:val="00B64083"/>
    <w:rsid w:val="00B64100"/>
    <w:rsid w:val="00B641AC"/>
    <w:rsid w:val="00B641DD"/>
    <w:rsid w:val="00B642AD"/>
    <w:rsid w:val="00B642B9"/>
    <w:rsid w:val="00B642DC"/>
    <w:rsid w:val="00B64449"/>
    <w:rsid w:val="00B6447C"/>
    <w:rsid w:val="00B64550"/>
    <w:rsid w:val="00B6465E"/>
    <w:rsid w:val="00B646DA"/>
    <w:rsid w:val="00B64874"/>
    <w:rsid w:val="00B6489D"/>
    <w:rsid w:val="00B64A79"/>
    <w:rsid w:val="00B64C2A"/>
    <w:rsid w:val="00B64D98"/>
    <w:rsid w:val="00B64E54"/>
    <w:rsid w:val="00B64FCE"/>
    <w:rsid w:val="00B6502C"/>
    <w:rsid w:val="00B65030"/>
    <w:rsid w:val="00B650DD"/>
    <w:rsid w:val="00B6510B"/>
    <w:rsid w:val="00B6515D"/>
    <w:rsid w:val="00B6516A"/>
    <w:rsid w:val="00B65441"/>
    <w:rsid w:val="00B656F9"/>
    <w:rsid w:val="00B658FE"/>
    <w:rsid w:val="00B65AA6"/>
    <w:rsid w:val="00B65C13"/>
    <w:rsid w:val="00B65C7E"/>
    <w:rsid w:val="00B6601C"/>
    <w:rsid w:val="00B6615A"/>
    <w:rsid w:val="00B66194"/>
    <w:rsid w:val="00B6620F"/>
    <w:rsid w:val="00B663A3"/>
    <w:rsid w:val="00B665F8"/>
    <w:rsid w:val="00B6664C"/>
    <w:rsid w:val="00B666A2"/>
    <w:rsid w:val="00B6674A"/>
    <w:rsid w:val="00B668BF"/>
    <w:rsid w:val="00B669AE"/>
    <w:rsid w:val="00B66ADF"/>
    <w:rsid w:val="00B66AFF"/>
    <w:rsid w:val="00B66BE5"/>
    <w:rsid w:val="00B66C9D"/>
    <w:rsid w:val="00B66CF8"/>
    <w:rsid w:val="00B66E97"/>
    <w:rsid w:val="00B66EC7"/>
    <w:rsid w:val="00B66F20"/>
    <w:rsid w:val="00B670D1"/>
    <w:rsid w:val="00B672A4"/>
    <w:rsid w:val="00B672BA"/>
    <w:rsid w:val="00B6739A"/>
    <w:rsid w:val="00B673BA"/>
    <w:rsid w:val="00B67415"/>
    <w:rsid w:val="00B6747B"/>
    <w:rsid w:val="00B674E6"/>
    <w:rsid w:val="00B6754C"/>
    <w:rsid w:val="00B67673"/>
    <w:rsid w:val="00B676D0"/>
    <w:rsid w:val="00B677C2"/>
    <w:rsid w:val="00B6784E"/>
    <w:rsid w:val="00B678C6"/>
    <w:rsid w:val="00B67A67"/>
    <w:rsid w:val="00B67DCA"/>
    <w:rsid w:val="00B67EB0"/>
    <w:rsid w:val="00B67F05"/>
    <w:rsid w:val="00B70070"/>
    <w:rsid w:val="00B700CA"/>
    <w:rsid w:val="00B7016A"/>
    <w:rsid w:val="00B70347"/>
    <w:rsid w:val="00B70348"/>
    <w:rsid w:val="00B704D0"/>
    <w:rsid w:val="00B704E1"/>
    <w:rsid w:val="00B7067E"/>
    <w:rsid w:val="00B70691"/>
    <w:rsid w:val="00B706BA"/>
    <w:rsid w:val="00B70776"/>
    <w:rsid w:val="00B708FF"/>
    <w:rsid w:val="00B70A8C"/>
    <w:rsid w:val="00B70A90"/>
    <w:rsid w:val="00B70ACB"/>
    <w:rsid w:val="00B70C35"/>
    <w:rsid w:val="00B70CF9"/>
    <w:rsid w:val="00B70D52"/>
    <w:rsid w:val="00B70D60"/>
    <w:rsid w:val="00B70DF1"/>
    <w:rsid w:val="00B70E60"/>
    <w:rsid w:val="00B70E82"/>
    <w:rsid w:val="00B70F3B"/>
    <w:rsid w:val="00B70FE8"/>
    <w:rsid w:val="00B710A9"/>
    <w:rsid w:val="00B710DC"/>
    <w:rsid w:val="00B71141"/>
    <w:rsid w:val="00B713D0"/>
    <w:rsid w:val="00B71419"/>
    <w:rsid w:val="00B71496"/>
    <w:rsid w:val="00B714AA"/>
    <w:rsid w:val="00B714B3"/>
    <w:rsid w:val="00B71554"/>
    <w:rsid w:val="00B71671"/>
    <w:rsid w:val="00B71829"/>
    <w:rsid w:val="00B7187C"/>
    <w:rsid w:val="00B71900"/>
    <w:rsid w:val="00B71A37"/>
    <w:rsid w:val="00B71B06"/>
    <w:rsid w:val="00B71C21"/>
    <w:rsid w:val="00B71C42"/>
    <w:rsid w:val="00B71CD9"/>
    <w:rsid w:val="00B71D42"/>
    <w:rsid w:val="00B71DF7"/>
    <w:rsid w:val="00B71EE6"/>
    <w:rsid w:val="00B72020"/>
    <w:rsid w:val="00B72023"/>
    <w:rsid w:val="00B720F5"/>
    <w:rsid w:val="00B72289"/>
    <w:rsid w:val="00B722F7"/>
    <w:rsid w:val="00B72422"/>
    <w:rsid w:val="00B725BD"/>
    <w:rsid w:val="00B72749"/>
    <w:rsid w:val="00B7291D"/>
    <w:rsid w:val="00B72A3D"/>
    <w:rsid w:val="00B72A90"/>
    <w:rsid w:val="00B72AA4"/>
    <w:rsid w:val="00B72D3A"/>
    <w:rsid w:val="00B72F32"/>
    <w:rsid w:val="00B73194"/>
    <w:rsid w:val="00B731EE"/>
    <w:rsid w:val="00B732B2"/>
    <w:rsid w:val="00B732EC"/>
    <w:rsid w:val="00B733BB"/>
    <w:rsid w:val="00B7354F"/>
    <w:rsid w:val="00B735AD"/>
    <w:rsid w:val="00B735D6"/>
    <w:rsid w:val="00B736B3"/>
    <w:rsid w:val="00B73880"/>
    <w:rsid w:val="00B738CD"/>
    <w:rsid w:val="00B73969"/>
    <w:rsid w:val="00B739DD"/>
    <w:rsid w:val="00B73B49"/>
    <w:rsid w:val="00B73C72"/>
    <w:rsid w:val="00B73CCB"/>
    <w:rsid w:val="00B73E37"/>
    <w:rsid w:val="00B742CE"/>
    <w:rsid w:val="00B74439"/>
    <w:rsid w:val="00B74517"/>
    <w:rsid w:val="00B748D4"/>
    <w:rsid w:val="00B74957"/>
    <w:rsid w:val="00B74C84"/>
    <w:rsid w:val="00B74CA5"/>
    <w:rsid w:val="00B74CC2"/>
    <w:rsid w:val="00B74CE3"/>
    <w:rsid w:val="00B74D3E"/>
    <w:rsid w:val="00B74D85"/>
    <w:rsid w:val="00B74E03"/>
    <w:rsid w:val="00B74EC4"/>
    <w:rsid w:val="00B74F0D"/>
    <w:rsid w:val="00B75019"/>
    <w:rsid w:val="00B75052"/>
    <w:rsid w:val="00B7518E"/>
    <w:rsid w:val="00B75593"/>
    <w:rsid w:val="00B756A9"/>
    <w:rsid w:val="00B75719"/>
    <w:rsid w:val="00B7582A"/>
    <w:rsid w:val="00B758AB"/>
    <w:rsid w:val="00B75A81"/>
    <w:rsid w:val="00B75ACC"/>
    <w:rsid w:val="00B75AF7"/>
    <w:rsid w:val="00B75B21"/>
    <w:rsid w:val="00B75D4A"/>
    <w:rsid w:val="00B75D5D"/>
    <w:rsid w:val="00B75E15"/>
    <w:rsid w:val="00B75E8D"/>
    <w:rsid w:val="00B75EAC"/>
    <w:rsid w:val="00B75F4F"/>
    <w:rsid w:val="00B76099"/>
    <w:rsid w:val="00B76133"/>
    <w:rsid w:val="00B7619F"/>
    <w:rsid w:val="00B761E0"/>
    <w:rsid w:val="00B76221"/>
    <w:rsid w:val="00B762C4"/>
    <w:rsid w:val="00B763B8"/>
    <w:rsid w:val="00B76750"/>
    <w:rsid w:val="00B76780"/>
    <w:rsid w:val="00B7682E"/>
    <w:rsid w:val="00B768EE"/>
    <w:rsid w:val="00B76907"/>
    <w:rsid w:val="00B76951"/>
    <w:rsid w:val="00B769A4"/>
    <w:rsid w:val="00B76BF2"/>
    <w:rsid w:val="00B76C1E"/>
    <w:rsid w:val="00B76C72"/>
    <w:rsid w:val="00B76CDD"/>
    <w:rsid w:val="00B76D07"/>
    <w:rsid w:val="00B76D80"/>
    <w:rsid w:val="00B76F3D"/>
    <w:rsid w:val="00B76F6E"/>
    <w:rsid w:val="00B77294"/>
    <w:rsid w:val="00B773C3"/>
    <w:rsid w:val="00B775AD"/>
    <w:rsid w:val="00B77684"/>
    <w:rsid w:val="00B777CD"/>
    <w:rsid w:val="00B7791A"/>
    <w:rsid w:val="00B77A44"/>
    <w:rsid w:val="00B77AB1"/>
    <w:rsid w:val="00B77AB8"/>
    <w:rsid w:val="00B77C0C"/>
    <w:rsid w:val="00B77D07"/>
    <w:rsid w:val="00B77E52"/>
    <w:rsid w:val="00B77E61"/>
    <w:rsid w:val="00B77E8F"/>
    <w:rsid w:val="00B80131"/>
    <w:rsid w:val="00B8034A"/>
    <w:rsid w:val="00B80433"/>
    <w:rsid w:val="00B804AA"/>
    <w:rsid w:val="00B80697"/>
    <w:rsid w:val="00B80994"/>
    <w:rsid w:val="00B80B6C"/>
    <w:rsid w:val="00B80C90"/>
    <w:rsid w:val="00B80CA0"/>
    <w:rsid w:val="00B80CCB"/>
    <w:rsid w:val="00B80CE5"/>
    <w:rsid w:val="00B80CF6"/>
    <w:rsid w:val="00B80D76"/>
    <w:rsid w:val="00B80D85"/>
    <w:rsid w:val="00B80E7F"/>
    <w:rsid w:val="00B810C6"/>
    <w:rsid w:val="00B813CA"/>
    <w:rsid w:val="00B8148A"/>
    <w:rsid w:val="00B81515"/>
    <w:rsid w:val="00B81823"/>
    <w:rsid w:val="00B81A08"/>
    <w:rsid w:val="00B81A3D"/>
    <w:rsid w:val="00B81F09"/>
    <w:rsid w:val="00B82066"/>
    <w:rsid w:val="00B8216F"/>
    <w:rsid w:val="00B821C3"/>
    <w:rsid w:val="00B821E5"/>
    <w:rsid w:val="00B8223F"/>
    <w:rsid w:val="00B822E6"/>
    <w:rsid w:val="00B823D0"/>
    <w:rsid w:val="00B8252B"/>
    <w:rsid w:val="00B8265E"/>
    <w:rsid w:val="00B826A2"/>
    <w:rsid w:val="00B8277D"/>
    <w:rsid w:val="00B828DD"/>
    <w:rsid w:val="00B8297F"/>
    <w:rsid w:val="00B82B11"/>
    <w:rsid w:val="00B82B6E"/>
    <w:rsid w:val="00B82B9A"/>
    <w:rsid w:val="00B82DAF"/>
    <w:rsid w:val="00B82E25"/>
    <w:rsid w:val="00B82EB3"/>
    <w:rsid w:val="00B82F10"/>
    <w:rsid w:val="00B831E9"/>
    <w:rsid w:val="00B832A1"/>
    <w:rsid w:val="00B832DB"/>
    <w:rsid w:val="00B8333C"/>
    <w:rsid w:val="00B83395"/>
    <w:rsid w:val="00B8343D"/>
    <w:rsid w:val="00B8361B"/>
    <w:rsid w:val="00B83693"/>
    <w:rsid w:val="00B836E9"/>
    <w:rsid w:val="00B8398D"/>
    <w:rsid w:val="00B83A03"/>
    <w:rsid w:val="00B83BEA"/>
    <w:rsid w:val="00B83BF3"/>
    <w:rsid w:val="00B83CC0"/>
    <w:rsid w:val="00B83D34"/>
    <w:rsid w:val="00B83D56"/>
    <w:rsid w:val="00B83DA4"/>
    <w:rsid w:val="00B83E6B"/>
    <w:rsid w:val="00B83E9E"/>
    <w:rsid w:val="00B83F21"/>
    <w:rsid w:val="00B83FAC"/>
    <w:rsid w:val="00B84030"/>
    <w:rsid w:val="00B8404B"/>
    <w:rsid w:val="00B843A3"/>
    <w:rsid w:val="00B8459A"/>
    <w:rsid w:val="00B84729"/>
    <w:rsid w:val="00B849A6"/>
    <w:rsid w:val="00B84A46"/>
    <w:rsid w:val="00B84A5A"/>
    <w:rsid w:val="00B84B3D"/>
    <w:rsid w:val="00B84B8F"/>
    <w:rsid w:val="00B84D0E"/>
    <w:rsid w:val="00B84D2E"/>
    <w:rsid w:val="00B84EA6"/>
    <w:rsid w:val="00B84F69"/>
    <w:rsid w:val="00B84FF0"/>
    <w:rsid w:val="00B85119"/>
    <w:rsid w:val="00B8517F"/>
    <w:rsid w:val="00B85266"/>
    <w:rsid w:val="00B85348"/>
    <w:rsid w:val="00B853F9"/>
    <w:rsid w:val="00B85455"/>
    <w:rsid w:val="00B85663"/>
    <w:rsid w:val="00B858FC"/>
    <w:rsid w:val="00B85979"/>
    <w:rsid w:val="00B85AC4"/>
    <w:rsid w:val="00B85AE1"/>
    <w:rsid w:val="00B85BA4"/>
    <w:rsid w:val="00B85C8C"/>
    <w:rsid w:val="00B85DBD"/>
    <w:rsid w:val="00B85E03"/>
    <w:rsid w:val="00B86015"/>
    <w:rsid w:val="00B86176"/>
    <w:rsid w:val="00B86232"/>
    <w:rsid w:val="00B862AD"/>
    <w:rsid w:val="00B8674F"/>
    <w:rsid w:val="00B86804"/>
    <w:rsid w:val="00B86805"/>
    <w:rsid w:val="00B86965"/>
    <w:rsid w:val="00B86A9F"/>
    <w:rsid w:val="00B86AC8"/>
    <w:rsid w:val="00B86BF7"/>
    <w:rsid w:val="00B86CDD"/>
    <w:rsid w:val="00B86D73"/>
    <w:rsid w:val="00B86DE8"/>
    <w:rsid w:val="00B86FBB"/>
    <w:rsid w:val="00B8706E"/>
    <w:rsid w:val="00B8714F"/>
    <w:rsid w:val="00B87161"/>
    <w:rsid w:val="00B872B5"/>
    <w:rsid w:val="00B872F7"/>
    <w:rsid w:val="00B87409"/>
    <w:rsid w:val="00B874D1"/>
    <w:rsid w:val="00B876F1"/>
    <w:rsid w:val="00B877ED"/>
    <w:rsid w:val="00B8792A"/>
    <w:rsid w:val="00B87A13"/>
    <w:rsid w:val="00B87AD4"/>
    <w:rsid w:val="00B87B32"/>
    <w:rsid w:val="00B87CD6"/>
    <w:rsid w:val="00B87DAE"/>
    <w:rsid w:val="00B90144"/>
    <w:rsid w:val="00B90152"/>
    <w:rsid w:val="00B901A4"/>
    <w:rsid w:val="00B901BE"/>
    <w:rsid w:val="00B90250"/>
    <w:rsid w:val="00B9030A"/>
    <w:rsid w:val="00B906D0"/>
    <w:rsid w:val="00B906EE"/>
    <w:rsid w:val="00B9072E"/>
    <w:rsid w:val="00B90937"/>
    <w:rsid w:val="00B90955"/>
    <w:rsid w:val="00B90996"/>
    <w:rsid w:val="00B909A2"/>
    <w:rsid w:val="00B909E7"/>
    <w:rsid w:val="00B90ABA"/>
    <w:rsid w:val="00B90ABE"/>
    <w:rsid w:val="00B90BC0"/>
    <w:rsid w:val="00B90BF3"/>
    <w:rsid w:val="00B90F28"/>
    <w:rsid w:val="00B91244"/>
    <w:rsid w:val="00B91251"/>
    <w:rsid w:val="00B912A1"/>
    <w:rsid w:val="00B916B9"/>
    <w:rsid w:val="00B917C2"/>
    <w:rsid w:val="00B918FB"/>
    <w:rsid w:val="00B91A21"/>
    <w:rsid w:val="00B91A22"/>
    <w:rsid w:val="00B91B69"/>
    <w:rsid w:val="00B91CC1"/>
    <w:rsid w:val="00B91D49"/>
    <w:rsid w:val="00B91DC2"/>
    <w:rsid w:val="00B91E25"/>
    <w:rsid w:val="00B91F36"/>
    <w:rsid w:val="00B92082"/>
    <w:rsid w:val="00B92098"/>
    <w:rsid w:val="00B921F0"/>
    <w:rsid w:val="00B92424"/>
    <w:rsid w:val="00B924B7"/>
    <w:rsid w:val="00B9254C"/>
    <w:rsid w:val="00B926A9"/>
    <w:rsid w:val="00B9277B"/>
    <w:rsid w:val="00B9290C"/>
    <w:rsid w:val="00B929F4"/>
    <w:rsid w:val="00B92AD5"/>
    <w:rsid w:val="00B92B17"/>
    <w:rsid w:val="00B92BA8"/>
    <w:rsid w:val="00B92D91"/>
    <w:rsid w:val="00B9303E"/>
    <w:rsid w:val="00B931C0"/>
    <w:rsid w:val="00B932BE"/>
    <w:rsid w:val="00B93321"/>
    <w:rsid w:val="00B93368"/>
    <w:rsid w:val="00B9344C"/>
    <w:rsid w:val="00B934BE"/>
    <w:rsid w:val="00B93602"/>
    <w:rsid w:val="00B936AF"/>
    <w:rsid w:val="00B93931"/>
    <w:rsid w:val="00B93A7A"/>
    <w:rsid w:val="00B93C5B"/>
    <w:rsid w:val="00B93C7E"/>
    <w:rsid w:val="00B93D61"/>
    <w:rsid w:val="00B93F7E"/>
    <w:rsid w:val="00B940F9"/>
    <w:rsid w:val="00B9428E"/>
    <w:rsid w:val="00B942CE"/>
    <w:rsid w:val="00B94452"/>
    <w:rsid w:val="00B94498"/>
    <w:rsid w:val="00B94572"/>
    <w:rsid w:val="00B946AC"/>
    <w:rsid w:val="00B946B2"/>
    <w:rsid w:val="00B9472D"/>
    <w:rsid w:val="00B948F1"/>
    <w:rsid w:val="00B94A3F"/>
    <w:rsid w:val="00B94AFB"/>
    <w:rsid w:val="00B94B3F"/>
    <w:rsid w:val="00B94B66"/>
    <w:rsid w:val="00B94DDD"/>
    <w:rsid w:val="00B94E02"/>
    <w:rsid w:val="00B94E8E"/>
    <w:rsid w:val="00B94F8F"/>
    <w:rsid w:val="00B95091"/>
    <w:rsid w:val="00B950C2"/>
    <w:rsid w:val="00B954B7"/>
    <w:rsid w:val="00B9556B"/>
    <w:rsid w:val="00B95747"/>
    <w:rsid w:val="00B957D2"/>
    <w:rsid w:val="00B9584D"/>
    <w:rsid w:val="00B9588B"/>
    <w:rsid w:val="00B95933"/>
    <w:rsid w:val="00B95B76"/>
    <w:rsid w:val="00B95DCE"/>
    <w:rsid w:val="00B95DEF"/>
    <w:rsid w:val="00B95EF0"/>
    <w:rsid w:val="00B95FC9"/>
    <w:rsid w:val="00B95FEA"/>
    <w:rsid w:val="00B96367"/>
    <w:rsid w:val="00B9637A"/>
    <w:rsid w:val="00B96492"/>
    <w:rsid w:val="00B96543"/>
    <w:rsid w:val="00B96566"/>
    <w:rsid w:val="00B965A0"/>
    <w:rsid w:val="00B965B3"/>
    <w:rsid w:val="00B9660F"/>
    <w:rsid w:val="00B9665D"/>
    <w:rsid w:val="00B96BBF"/>
    <w:rsid w:val="00B96C3B"/>
    <w:rsid w:val="00B96C5D"/>
    <w:rsid w:val="00B96D4B"/>
    <w:rsid w:val="00B96DCA"/>
    <w:rsid w:val="00B96E35"/>
    <w:rsid w:val="00B96F88"/>
    <w:rsid w:val="00B970ED"/>
    <w:rsid w:val="00B97187"/>
    <w:rsid w:val="00B971A5"/>
    <w:rsid w:val="00B97225"/>
    <w:rsid w:val="00B972C8"/>
    <w:rsid w:val="00B973C0"/>
    <w:rsid w:val="00B9757E"/>
    <w:rsid w:val="00B9759A"/>
    <w:rsid w:val="00B976FB"/>
    <w:rsid w:val="00B97704"/>
    <w:rsid w:val="00B9771E"/>
    <w:rsid w:val="00B97727"/>
    <w:rsid w:val="00B977A0"/>
    <w:rsid w:val="00B97812"/>
    <w:rsid w:val="00B9781F"/>
    <w:rsid w:val="00B978C2"/>
    <w:rsid w:val="00B97ACD"/>
    <w:rsid w:val="00B97AD6"/>
    <w:rsid w:val="00B97B99"/>
    <w:rsid w:val="00B97BCA"/>
    <w:rsid w:val="00B97BDC"/>
    <w:rsid w:val="00B97CE0"/>
    <w:rsid w:val="00B97E13"/>
    <w:rsid w:val="00B97E63"/>
    <w:rsid w:val="00BA00A5"/>
    <w:rsid w:val="00BA02DA"/>
    <w:rsid w:val="00BA0318"/>
    <w:rsid w:val="00BA054C"/>
    <w:rsid w:val="00BA060F"/>
    <w:rsid w:val="00BA0770"/>
    <w:rsid w:val="00BA094C"/>
    <w:rsid w:val="00BA09BE"/>
    <w:rsid w:val="00BA09DD"/>
    <w:rsid w:val="00BA0B07"/>
    <w:rsid w:val="00BA0C2C"/>
    <w:rsid w:val="00BA0C9B"/>
    <w:rsid w:val="00BA0DAE"/>
    <w:rsid w:val="00BA0EC9"/>
    <w:rsid w:val="00BA0F73"/>
    <w:rsid w:val="00BA1049"/>
    <w:rsid w:val="00BA1069"/>
    <w:rsid w:val="00BA1169"/>
    <w:rsid w:val="00BA11A5"/>
    <w:rsid w:val="00BA121F"/>
    <w:rsid w:val="00BA1368"/>
    <w:rsid w:val="00BA13BD"/>
    <w:rsid w:val="00BA14CF"/>
    <w:rsid w:val="00BA1672"/>
    <w:rsid w:val="00BA1866"/>
    <w:rsid w:val="00BA1886"/>
    <w:rsid w:val="00BA19D3"/>
    <w:rsid w:val="00BA1A8B"/>
    <w:rsid w:val="00BA1D86"/>
    <w:rsid w:val="00BA1F18"/>
    <w:rsid w:val="00BA1F27"/>
    <w:rsid w:val="00BA1F29"/>
    <w:rsid w:val="00BA1F5A"/>
    <w:rsid w:val="00BA1F88"/>
    <w:rsid w:val="00BA205C"/>
    <w:rsid w:val="00BA237A"/>
    <w:rsid w:val="00BA23AE"/>
    <w:rsid w:val="00BA25BF"/>
    <w:rsid w:val="00BA2A34"/>
    <w:rsid w:val="00BA2AC3"/>
    <w:rsid w:val="00BA2CF1"/>
    <w:rsid w:val="00BA2E96"/>
    <w:rsid w:val="00BA2EED"/>
    <w:rsid w:val="00BA2F97"/>
    <w:rsid w:val="00BA3113"/>
    <w:rsid w:val="00BA31E2"/>
    <w:rsid w:val="00BA334E"/>
    <w:rsid w:val="00BA3385"/>
    <w:rsid w:val="00BA352E"/>
    <w:rsid w:val="00BA35B2"/>
    <w:rsid w:val="00BA3741"/>
    <w:rsid w:val="00BA3803"/>
    <w:rsid w:val="00BA3905"/>
    <w:rsid w:val="00BA3D55"/>
    <w:rsid w:val="00BA3DA6"/>
    <w:rsid w:val="00BA3FA3"/>
    <w:rsid w:val="00BA4042"/>
    <w:rsid w:val="00BA41C0"/>
    <w:rsid w:val="00BA4292"/>
    <w:rsid w:val="00BA42FD"/>
    <w:rsid w:val="00BA43F7"/>
    <w:rsid w:val="00BA4495"/>
    <w:rsid w:val="00BA453B"/>
    <w:rsid w:val="00BA45AC"/>
    <w:rsid w:val="00BA4786"/>
    <w:rsid w:val="00BA49EF"/>
    <w:rsid w:val="00BA4A41"/>
    <w:rsid w:val="00BA4A6B"/>
    <w:rsid w:val="00BA4B7D"/>
    <w:rsid w:val="00BA4DA3"/>
    <w:rsid w:val="00BA4FE4"/>
    <w:rsid w:val="00BA50D4"/>
    <w:rsid w:val="00BA51F7"/>
    <w:rsid w:val="00BA52A3"/>
    <w:rsid w:val="00BA5347"/>
    <w:rsid w:val="00BA53DC"/>
    <w:rsid w:val="00BA5544"/>
    <w:rsid w:val="00BA55B3"/>
    <w:rsid w:val="00BA56A4"/>
    <w:rsid w:val="00BA5908"/>
    <w:rsid w:val="00BA5993"/>
    <w:rsid w:val="00BA59F2"/>
    <w:rsid w:val="00BA5B6C"/>
    <w:rsid w:val="00BA5B9C"/>
    <w:rsid w:val="00BA5DB2"/>
    <w:rsid w:val="00BA608F"/>
    <w:rsid w:val="00BA635D"/>
    <w:rsid w:val="00BA648B"/>
    <w:rsid w:val="00BA667B"/>
    <w:rsid w:val="00BA66CA"/>
    <w:rsid w:val="00BA67FA"/>
    <w:rsid w:val="00BA680C"/>
    <w:rsid w:val="00BA6879"/>
    <w:rsid w:val="00BA6885"/>
    <w:rsid w:val="00BA68CF"/>
    <w:rsid w:val="00BA6A39"/>
    <w:rsid w:val="00BA6A91"/>
    <w:rsid w:val="00BA6E8A"/>
    <w:rsid w:val="00BA7217"/>
    <w:rsid w:val="00BA735A"/>
    <w:rsid w:val="00BA74CC"/>
    <w:rsid w:val="00BA74FB"/>
    <w:rsid w:val="00BA755A"/>
    <w:rsid w:val="00BA77B2"/>
    <w:rsid w:val="00BA78C6"/>
    <w:rsid w:val="00BA7948"/>
    <w:rsid w:val="00BA79C7"/>
    <w:rsid w:val="00BA7A3D"/>
    <w:rsid w:val="00BA7A5A"/>
    <w:rsid w:val="00BA7A62"/>
    <w:rsid w:val="00BA7B02"/>
    <w:rsid w:val="00BA7B32"/>
    <w:rsid w:val="00BA7BDA"/>
    <w:rsid w:val="00BA7D8E"/>
    <w:rsid w:val="00BA7E07"/>
    <w:rsid w:val="00BA7EBD"/>
    <w:rsid w:val="00BB0040"/>
    <w:rsid w:val="00BB013A"/>
    <w:rsid w:val="00BB02DA"/>
    <w:rsid w:val="00BB037C"/>
    <w:rsid w:val="00BB0552"/>
    <w:rsid w:val="00BB056A"/>
    <w:rsid w:val="00BB05AF"/>
    <w:rsid w:val="00BB06C4"/>
    <w:rsid w:val="00BB0883"/>
    <w:rsid w:val="00BB08F3"/>
    <w:rsid w:val="00BB0949"/>
    <w:rsid w:val="00BB0A60"/>
    <w:rsid w:val="00BB0B91"/>
    <w:rsid w:val="00BB0E05"/>
    <w:rsid w:val="00BB1489"/>
    <w:rsid w:val="00BB149E"/>
    <w:rsid w:val="00BB153C"/>
    <w:rsid w:val="00BB15F1"/>
    <w:rsid w:val="00BB1668"/>
    <w:rsid w:val="00BB16A5"/>
    <w:rsid w:val="00BB1758"/>
    <w:rsid w:val="00BB175E"/>
    <w:rsid w:val="00BB185F"/>
    <w:rsid w:val="00BB189A"/>
    <w:rsid w:val="00BB19AE"/>
    <w:rsid w:val="00BB1ABB"/>
    <w:rsid w:val="00BB1ACE"/>
    <w:rsid w:val="00BB1CC5"/>
    <w:rsid w:val="00BB1F46"/>
    <w:rsid w:val="00BB1F76"/>
    <w:rsid w:val="00BB2075"/>
    <w:rsid w:val="00BB2207"/>
    <w:rsid w:val="00BB2571"/>
    <w:rsid w:val="00BB26A7"/>
    <w:rsid w:val="00BB2801"/>
    <w:rsid w:val="00BB2A06"/>
    <w:rsid w:val="00BB2AF1"/>
    <w:rsid w:val="00BB2C5C"/>
    <w:rsid w:val="00BB2CC3"/>
    <w:rsid w:val="00BB2D6B"/>
    <w:rsid w:val="00BB2E71"/>
    <w:rsid w:val="00BB2FA1"/>
    <w:rsid w:val="00BB312C"/>
    <w:rsid w:val="00BB3149"/>
    <w:rsid w:val="00BB3199"/>
    <w:rsid w:val="00BB32C7"/>
    <w:rsid w:val="00BB32F7"/>
    <w:rsid w:val="00BB32FF"/>
    <w:rsid w:val="00BB3403"/>
    <w:rsid w:val="00BB3584"/>
    <w:rsid w:val="00BB362F"/>
    <w:rsid w:val="00BB36F7"/>
    <w:rsid w:val="00BB38B3"/>
    <w:rsid w:val="00BB38E1"/>
    <w:rsid w:val="00BB38E6"/>
    <w:rsid w:val="00BB3925"/>
    <w:rsid w:val="00BB3A00"/>
    <w:rsid w:val="00BB3A5D"/>
    <w:rsid w:val="00BB3AB4"/>
    <w:rsid w:val="00BB3BEF"/>
    <w:rsid w:val="00BB3C45"/>
    <w:rsid w:val="00BB3DD7"/>
    <w:rsid w:val="00BB3F0B"/>
    <w:rsid w:val="00BB3F99"/>
    <w:rsid w:val="00BB415A"/>
    <w:rsid w:val="00BB41D0"/>
    <w:rsid w:val="00BB48C6"/>
    <w:rsid w:val="00BB49C9"/>
    <w:rsid w:val="00BB49D1"/>
    <w:rsid w:val="00BB4A2A"/>
    <w:rsid w:val="00BB4B7F"/>
    <w:rsid w:val="00BB4D17"/>
    <w:rsid w:val="00BB4DAF"/>
    <w:rsid w:val="00BB4DDB"/>
    <w:rsid w:val="00BB507A"/>
    <w:rsid w:val="00BB514D"/>
    <w:rsid w:val="00BB5207"/>
    <w:rsid w:val="00BB5439"/>
    <w:rsid w:val="00BB54B3"/>
    <w:rsid w:val="00BB5623"/>
    <w:rsid w:val="00BB564E"/>
    <w:rsid w:val="00BB56D4"/>
    <w:rsid w:val="00BB56FA"/>
    <w:rsid w:val="00BB5AC0"/>
    <w:rsid w:val="00BB5CE0"/>
    <w:rsid w:val="00BB5DB0"/>
    <w:rsid w:val="00BB5E32"/>
    <w:rsid w:val="00BB5E49"/>
    <w:rsid w:val="00BB5EE6"/>
    <w:rsid w:val="00BB5F69"/>
    <w:rsid w:val="00BB600B"/>
    <w:rsid w:val="00BB60C3"/>
    <w:rsid w:val="00BB6112"/>
    <w:rsid w:val="00BB623A"/>
    <w:rsid w:val="00BB63C2"/>
    <w:rsid w:val="00BB63E4"/>
    <w:rsid w:val="00BB6474"/>
    <w:rsid w:val="00BB670B"/>
    <w:rsid w:val="00BB6718"/>
    <w:rsid w:val="00BB68B3"/>
    <w:rsid w:val="00BB6BF5"/>
    <w:rsid w:val="00BB6C8E"/>
    <w:rsid w:val="00BB6DB6"/>
    <w:rsid w:val="00BB6F70"/>
    <w:rsid w:val="00BB6F9A"/>
    <w:rsid w:val="00BB7036"/>
    <w:rsid w:val="00BB70E0"/>
    <w:rsid w:val="00BB7190"/>
    <w:rsid w:val="00BB723E"/>
    <w:rsid w:val="00BB7465"/>
    <w:rsid w:val="00BB766D"/>
    <w:rsid w:val="00BB7B4D"/>
    <w:rsid w:val="00BB7C2E"/>
    <w:rsid w:val="00BB7C57"/>
    <w:rsid w:val="00BB7D5E"/>
    <w:rsid w:val="00BB7DD7"/>
    <w:rsid w:val="00BB7E06"/>
    <w:rsid w:val="00BB7F83"/>
    <w:rsid w:val="00BB7FBB"/>
    <w:rsid w:val="00BC000F"/>
    <w:rsid w:val="00BC0179"/>
    <w:rsid w:val="00BC01C2"/>
    <w:rsid w:val="00BC0218"/>
    <w:rsid w:val="00BC0234"/>
    <w:rsid w:val="00BC0311"/>
    <w:rsid w:val="00BC049D"/>
    <w:rsid w:val="00BC04D7"/>
    <w:rsid w:val="00BC05B2"/>
    <w:rsid w:val="00BC0618"/>
    <w:rsid w:val="00BC07C7"/>
    <w:rsid w:val="00BC0868"/>
    <w:rsid w:val="00BC0935"/>
    <w:rsid w:val="00BC0954"/>
    <w:rsid w:val="00BC0972"/>
    <w:rsid w:val="00BC09D0"/>
    <w:rsid w:val="00BC0AFA"/>
    <w:rsid w:val="00BC0B46"/>
    <w:rsid w:val="00BC0BF2"/>
    <w:rsid w:val="00BC0E0D"/>
    <w:rsid w:val="00BC0E24"/>
    <w:rsid w:val="00BC0FB8"/>
    <w:rsid w:val="00BC107F"/>
    <w:rsid w:val="00BC1304"/>
    <w:rsid w:val="00BC13F5"/>
    <w:rsid w:val="00BC1421"/>
    <w:rsid w:val="00BC1478"/>
    <w:rsid w:val="00BC1655"/>
    <w:rsid w:val="00BC1731"/>
    <w:rsid w:val="00BC17AF"/>
    <w:rsid w:val="00BC19D1"/>
    <w:rsid w:val="00BC1B09"/>
    <w:rsid w:val="00BC1D2A"/>
    <w:rsid w:val="00BC1DA2"/>
    <w:rsid w:val="00BC1E2B"/>
    <w:rsid w:val="00BC1EA3"/>
    <w:rsid w:val="00BC1EA5"/>
    <w:rsid w:val="00BC227C"/>
    <w:rsid w:val="00BC25DB"/>
    <w:rsid w:val="00BC25E3"/>
    <w:rsid w:val="00BC26CE"/>
    <w:rsid w:val="00BC26FE"/>
    <w:rsid w:val="00BC28E2"/>
    <w:rsid w:val="00BC2AB3"/>
    <w:rsid w:val="00BC2ABF"/>
    <w:rsid w:val="00BC2ACE"/>
    <w:rsid w:val="00BC2B16"/>
    <w:rsid w:val="00BC2BB4"/>
    <w:rsid w:val="00BC2C2C"/>
    <w:rsid w:val="00BC2C2E"/>
    <w:rsid w:val="00BC2C5E"/>
    <w:rsid w:val="00BC2CA1"/>
    <w:rsid w:val="00BC2D2E"/>
    <w:rsid w:val="00BC2E40"/>
    <w:rsid w:val="00BC2F01"/>
    <w:rsid w:val="00BC2F5F"/>
    <w:rsid w:val="00BC308F"/>
    <w:rsid w:val="00BC30AA"/>
    <w:rsid w:val="00BC310E"/>
    <w:rsid w:val="00BC320F"/>
    <w:rsid w:val="00BC32FA"/>
    <w:rsid w:val="00BC33C4"/>
    <w:rsid w:val="00BC341D"/>
    <w:rsid w:val="00BC34C4"/>
    <w:rsid w:val="00BC34D9"/>
    <w:rsid w:val="00BC36C0"/>
    <w:rsid w:val="00BC38C1"/>
    <w:rsid w:val="00BC3B5C"/>
    <w:rsid w:val="00BC3CBE"/>
    <w:rsid w:val="00BC3D22"/>
    <w:rsid w:val="00BC3D43"/>
    <w:rsid w:val="00BC404A"/>
    <w:rsid w:val="00BC40DB"/>
    <w:rsid w:val="00BC413C"/>
    <w:rsid w:val="00BC42EB"/>
    <w:rsid w:val="00BC46D3"/>
    <w:rsid w:val="00BC4879"/>
    <w:rsid w:val="00BC48C8"/>
    <w:rsid w:val="00BC4B15"/>
    <w:rsid w:val="00BC4BAC"/>
    <w:rsid w:val="00BC4BBE"/>
    <w:rsid w:val="00BC4D65"/>
    <w:rsid w:val="00BC4F02"/>
    <w:rsid w:val="00BC4F16"/>
    <w:rsid w:val="00BC4F72"/>
    <w:rsid w:val="00BC4FD5"/>
    <w:rsid w:val="00BC4FD8"/>
    <w:rsid w:val="00BC4FE6"/>
    <w:rsid w:val="00BC508A"/>
    <w:rsid w:val="00BC50C9"/>
    <w:rsid w:val="00BC50DF"/>
    <w:rsid w:val="00BC5168"/>
    <w:rsid w:val="00BC528B"/>
    <w:rsid w:val="00BC5439"/>
    <w:rsid w:val="00BC547B"/>
    <w:rsid w:val="00BC54CD"/>
    <w:rsid w:val="00BC5540"/>
    <w:rsid w:val="00BC572C"/>
    <w:rsid w:val="00BC5747"/>
    <w:rsid w:val="00BC5767"/>
    <w:rsid w:val="00BC5BB6"/>
    <w:rsid w:val="00BC5BF0"/>
    <w:rsid w:val="00BC5D09"/>
    <w:rsid w:val="00BC5EC4"/>
    <w:rsid w:val="00BC5F1F"/>
    <w:rsid w:val="00BC60BF"/>
    <w:rsid w:val="00BC60E8"/>
    <w:rsid w:val="00BC650D"/>
    <w:rsid w:val="00BC6588"/>
    <w:rsid w:val="00BC6622"/>
    <w:rsid w:val="00BC6662"/>
    <w:rsid w:val="00BC6676"/>
    <w:rsid w:val="00BC68A3"/>
    <w:rsid w:val="00BC68BB"/>
    <w:rsid w:val="00BC68C3"/>
    <w:rsid w:val="00BC6928"/>
    <w:rsid w:val="00BC6B2C"/>
    <w:rsid w:val="00BC6BC6"/>
    <w:rsid w:val="00BC6DB5"/>
    <w:rsid w:val="00BC6EAD"/>
    <w:rsid w:val="00BC708C"/>
    <w:rsid w:val="00BC7301"/>
    <w:rsid w:val="00BC7406"/>
    <w:rsid w:val="00BC7674"/>
    <w:rsid w:val="00BC7678"/>
    <w:rsid w:val="00BC787E"/>
    <w:rsid w:val="00BC788C"/>
    <w:rsid w:val="00BC78A1"/>
    <w:rsid w:val="00BC7931"/>
    <w:rsid w:val="00BC79AB"/>
    <w:rsid w:val="00BC7A27"/>
    <w:rsid w:val="00BC7A50"/>
    <w:rsid w:val="00BC7C4A"/>
    <w:rsid w:val="00BC7C9B"/>
    <w:rsid w:val="00BC7CF0"/>
    <w:rsid w:val="00BC7D57"/>
    <w:rsid w:val="00BC7D91"/>
    <w:rsid w:val="00BC7DF0"/>
    <w:rsid w:val="00BC7EEC"/>
    <w:rsid w:val="00BC7EFB"/>
    <w:rsid w:val="00BD0231"/>
    <w:rsid w:val="00BD02A1"/>
    <w:rsid w:val="00BD03C2"/>
    <w:rsid w:val="00BD0930"/>
    <w:rsid w:val="00BD0AA8"/>
    <w:rsid w:val="00BD0CF5"/>
    <w:rsid w:val="00BD0D07"/>
    <w:rsid w:val="00BD0DD4"/>
    <w:rsid w:val="00BD0DED"/>
    <w:rsid w:val="00BD0E53"/>
    <w:rsid w:val="00BD0F1F"/>
    <w:rsid w:val="00BD0FBC"/>
    <w:rsid w:val="00BD114D"/>
    <w:rsid w:val="00BD13A2"/>
    <w:rsid w:val="00BD1401"/>
    <w:rsid w:val="00BD1443"/>
    <w:rsid w:val="00BD14C8"/>
    <w:rsid w:val="00BD17B4"/>
    <w:rsid w:val="00BD17D5"/>
    <w:rsid w:val="00BD18AD"/>
    <w:rsid w:val="00BD18FF"/>
    <w:rsid w:val="00BD1903"/>
    <w:rsid w:val="00BD1D7C"/>
    <w:rsid w:val="00BD1E2A"/>
    <w:rsid w:val="00BD2187"/>
    <w:rsid w:val="00BD21C8"/>
    <w:rsid w:val="00BD2210"/>
    <w:rsid w:val="00BD231B"/>
    <w:rsid w:val="00BD249F"/>
    <w:rsid w:val="00BD24AD"/>
    <w:rsid w:val="00BD26BA"/>
    <w:rsid w:val="00BD2798"/>
    <w:rsid w:val="00BD2AEA"/>
    <w:rsid w:val="00BD2C1C"/>
    <w:rsid w:val="00BD2CC5"/>
    <w:rsid w:val="00BD2D43"/>
    <w:rsid w:val="00BD2E3A"/>
    <w:rsid w:val="00BD30BE"/>
    <w:rsid w:val="00BD30EB"/>
    <w:rsid w:val="00BD3283"/>
    <w:rsid w:val="00BD33CE"/>
    <w:rsid w:val="00BD3464"/>
    <w:rsid w:val="00BD3489"/>
    <w:rsid w:val="00BD34E2"/>
    <w:rsid w:val="00BD34EE"/>
    <w:rsid w:val="00BD35BD"/>
    <w:rsid w:val="00BD35C0"/>
    <w:rsid w:val="00BD3877"/>
    <w:rsid w:val="00BD3954"/>
    <w:rsid w:val="00BD39AF"/>
    <w:rsid w:val="00BD39FD"/>
    <w:rsid w:val="00BD3AD4"/>
    <w:rsid w:val="00BD3D00"/>
    <w:rsid w:val="00BD3DF0"/>
    <w:rsid w:val="00BD3DFD"/>
    <w:rsid w:val="00BD407E"/>
    <w:rsid w:val="00BD4138"/>
    <w:rsid w:val="00BD4153"/>
    <w:rsid w:val="00BD418D"/>
    <w:rsid w:val="00BD4231"/>
    <w:rsid w:val="00BD4276"/>
    <w:rsid w:val="00BD4279"/>
    <w:rsid w:val="00BD429B"/>
    <w:rsid w:val="00BD42BA"/>
    <w:rsid w:val="00BD42EA"/>
    <w:rsid w:val="00BD436B"/>
    <w:rsid w:val="00BD43A1"/>
    <w:rsid w:val="00BD441B"/>
    <w:rsid w:val="00BD4479"/>
    <w:rsid w:val="00BD4561"/>
    <w:rsid w:val="00BD456D"/>
    <w:rsid w:val="00BD45C1"/>
    <w:rsid w:val="00BD45D0"/>
    <w:rsid w:val="00BD47B8"/>
    <w:rsid w:val="00BD47D4"/>
    <w:rsid w:val="00BD497B"/>
    <w:rsid w:val="00BD49D6"/>
    <w:rsid w:val="00BD4BE8"/>
    <w:rsid w:val="00BD4C7F"/>
    <w:rsid w:val="00BD4CA9"/>
    <w:rsid w:val="00BD4E0A"/>
    <w:rsid w:val="00BD4FF2"/>
    <w:rsid w:val="00BD50BE"/>
    <w:rsid w:val="00BD5672"/>
    <w:rsid w:val="00BD57FB"/>
    <w:rsid w:val="00BD585E"/>
    <w:rsid w:val="00BD5998"/>
    <w:rsid w:val="00BD5D7F"/>
    <w:rsid w:val="00BD5D82"/>
    <w:rsid w:val="00BD5E21"/>
    <w:rsid w:val="00BD5E45"/>
    <w:rsid w:val="00BD5F95"/>
    <w:rsid w:val="00BD6099"/>
    <w:rsid w:val="00BD626D"/>
    <w:rsid w:val="00BD63CF"/>
    <w:rsid w:val="00BD6574"/>
    <w:rsid w:val="00BD661F"/>
    <w:rsid w:val="00BD66C2"/>
    <w:rsid w:val="00BD67A2"/>
    <w:rsid w:val="00BD698F"/>
    <w:rsid w:val="00BD6A9A"/>
    <w:rsid w:val="00BD6AC6"/>
    <w:rsid w:val="00BD6AE6"/>
    <w:rsid w:val="00BD6B40"/>
    <w:rsid w:val="00BD6B58"/>
    <w:rsid w:val="00BD6C8E"/>
    <w:rsid w:val="00BD6D3F"/>
    <w:rsid w:val="00BD6ED4"/>
    <w:rsid w:val="00BD6FA4"/>
    <w:rsid w:val="00BD6FC2"/>
    <w:rsid w:val="00BD703C"/>
    <w:rsid w:val="00BD70E4"/>
    <w:rsid w:val="00BD71AC"/>
    <w:rsid w:val="00BD71F2"/>
    <w:rsid w:val="00BD76D8"/>
    <w:rsid w:val="00BD77FD"/>
    <w:rsid w:val="00BD782A"/>
    <w:rsid w:val="00BD79CB"/>
    <w:rsid w:val="00BD7A6D"/>
    <w:rsid w:val="00BD7AE5"/>
    <w:rsid w:val="00BD7BAD"/>
    <w:rsid w:val="00BD7D2E"/>
    <w:rsid w:val="00BD7DBD"/>
    <w:rsid w:val="00BD7DCD"/>
    <w:rsid w:val="00BD7E3B"/>
    <w:rsid w:val="00BD7E6F"/>
    <w:rsid w:val="00BD7E8D"/>
    <w:rsid w:val="00BD7F94"/>
    <w:rsid w:val="00BE006D"/>
    <w:rsid w:val="00BE014C"/>
    <w:rsid w:val="00BE01BE"/>
    <w:rsid w:val="00BE0324"/>
    <w:rsid w:val="00BE0449"/>
    <w:rsid w:val="00BE0699"/>
    <w:rsid w:val="00BE08FC"/>
    <w:rsid w:val="00BE094D"/>
    <w:rsid w:val="00BE0A59"/>
    <w:rsid w:val="00BE0BBE"/>
    <w:rsid w:val="00BE0BD6"/>
    <w:rsid w:val="00BE0C5C"/>
    <w:rsid w:val="00BE0EC0"/>
    <w:rsid w:val="00BE0F85"/>
    <w:rsid w:val="00BE0FE3"/>
    <w:rsid w:val="00BE102C"/>
    <w:rsid w:val="00BE1045"/>
    <w:rsid w:val="00BE1111"/>
    <w:rsid w:val="00BE1270"/>
    <w:rsid w:val="00BE1333"/>
    <w:rsid w:val="00BE13C8"/>
    <w:rsid w:val="00BE1471"/>
    <w:rsid w:val="00BE166D"/>
    <w:rsid w:val="00BE18B2"/>
    <w:rsid w:val="00BE1964"/>
    <w:rsid w:val="00BE1985"/>
    <w:rsid w:val="00BE1B20"/>
    <w:rsid w:val="00BE1BE3"/>
    <w:rsid w:val="00BE1E05"/>
    <w:rsid w:val="00BE1E27"/>
    <w:rsid w:val="00BE1EE0"/>
    <w:rsid w:val="00BE1F51"/>
    <w:rsid w:val="00BE21A5"/>
    <w:rsid w:val="00BE21C8"/>
    <w:rsid w:val="00BE21DE"/>
    <w:rsid w:val="00BE22DF"/>
    <w:rsid w:val="00BE2370"/>
    <w:rsid w:val="00BE248C"/>
    <w:rsid w:val="00BE249F"/>
    <w:rsid w:val="00BE2790"/>
    <w:rsid w:val="00BE27FD"/>
    <w:rsid w:val="00BE281B"/>
    <w:rsid w:val="00BE293E"/>
    <w:rsid w:val="00BE29E5"/>
    <w:rsid w:val="00BE2AC2"/>
    <w:rsid w:val="00BE2B4E"/>
    <w:rsid w:val="00BE2BAA"/>
    <w:rsid w:val="00BE2E73"/>
    <w:rsid w:val="00BE2F13"/>
    <w:rsid w:val="00BE2F86"/>
    <w:rsid w:val="00BE2F87"/>
    <w:rsid w:val="00BE3074"/>
    <w:rsid w:val="00BE30BB"/>
    <w:rsid w:val="00BE316E"/>
    <w:rsid w:val="00BE319F"/>
    <w:rsid w:val="00BE3321"/>
    <w:rsid w:val="00BE3323"/>
    <w:rsid w:val="00BE33BA"/>
    <w:rsid w:val="00BE3561"/>
    <w:rsid w:val="00BE361D"/>
    <w:rsid w:val="00BE3744"/>
    <w:rsid w:val="00BE378C"/>
    <w:rsid w:val="00BE37E6"/>
    <w:rsid w:val="00BE3A8B"/>
    <w:rsid w:val="00BE3EA2"/>
    <w:rsid w:val="00BE3F37"/>
    <w:rsid w:val="00BE3F39"/>
    <w:rsid w:val="00BE3F78"/>
    <w:rsid w:val="00BE402F"/>
    <w:rsid w:val="00BE4498"/>
    <w:rsid w:val="00BE4613"/>
    <w:rsid w:val="00BE4658"/>
    <w:rsid w:val="00BE4788"/>
    <w:rsid w:val="00BE4838"/>
    <w:rsid w:val="00BE4854"/>
    <w:rsid w:val="00BE486A"/>
    <w:rsid w:val="00BE48BD"/>
    <w:rsid w:val="00BE4A47"/>
    <w:rsid w:val="00BE4B20"/>
    <w:rsid w:val="00BE4C54"/>
    <w:rsid w:val="00BE4CAD"/>
    <w:rsid w:val="00BE4D1F"/>
    <w:rsid w:val="00BE4E36"/>
    <w:rsid w:val="00BE4EF4"/>
    <w:rsid w:val="00BE500D"/>
    <w:rsid w:val="00BE51D9"/>
    <w:rsid w:val="00BE524F"/>
    <w:rsid w:val="00BE52D4"/>
    <w:rsid w:val="00BE52D5"/>
    <w:rsid w:val="00BE5331"/>
    <w:rsid w:val="00BE5356"/>
    <w:rsid w:val="00BE5428"/>
    <w:rsid w:val="00BE5590"/>
    <w:rsid w:val="00BE5663"/>
    <w:rsid w:val="00BE56F6"/>
    <w:rsid w:val="00BE5714"/>
    <w:rsid w:val="00BE573F"/>
    <w:rsid w:val="00BE57FA"/>
    <w:rsid w:val="00BE59C1"/>
    <w:rsid w:val="00BE5A71"/>
    <w:rsid w:val="00BE5B0E"/>
    <w:rsid w:val="00BE5C0E"/>
    <w:rsid w:val="00BE5D96"/>
    <w:rsid w:val="00BE5EA0"/>
    <w:rsid w:val="00BE5ED9"/>
    <w:rsid w:val="00BE5F79"/>
    <w:rsid w:val="00BE6196"/>
    <w:rsid w:val="00BE6279"/>
    <w:rsid w:val="00BE628C"/>
    <w:rsid w:val="00BE62D5"/>
    <w:rsid w:val="00BE6365"/>
    <w:rsid w:val="00BE637D"/>
    <w:rsid w:val="00BE6512"/>
    <w:rsid w:val="00BE65C5"/>
    <w:rsid w:val="00BE6696"/>
    <w:rsid w:val="00BE66A2"/>
    <w:rsid w:val="00BE67B1"/>
    <w:rsid w:val="00BE6802"/>
    <w:rsid w:val="00BE6879"/>
    <w:rsid w:val="00BE6A12"/>
    <w:rsid w:val="00BE6AC7"/>
    <w:rsid w:val="00BE6B41"/>
    <w:rsid w:val="00BE6B91"/>
    <w:rsid w:val="00BE6C2A"/>
    <w:rsid w:val="00BE6C4D"/>
    <w:rsid w:val="00BE6C9E"/>
    <w:rsid w:val="00BE6CBC"/>
    <w:rsid w:val="00BE6CE5"/>
    <w:rsid w:val="00BE6FA1"/>
    <w:rsid w:val="00BE6FCC"/>
    <w:rsid w:val="00BE70CD"/>
    <w:rsid w:val="00BE7145"/>
    <w:rsid w:val="00BE7169"/>
    <w:rsid w:val="00BE7182"/>
    <w:rsid w:val="00BE71DA"/>
    <w:rsid w:val="00BE73F8"/>
    <w:rsid w:val="00BE7408"/>
    <w:rsid w:val="00BE7518"/>
    <w:rsid w:val="00BE76E2"/>
    <w:rsid w:val="00BE79E6"/>
    <w:rsid w:val="00BE7A62"/>
    <w:rsid w:val="00BE7AEE"/>
    <w:rsid w:val="00BE7CC3"/>
    <w:rsid w:val="00BE7F8C"/>
    <w:rsid w:val="00BE7FA2"/>
    <w:rsid w:val="00BF0048"/>
    <w:rsid w:val="00BF020B"/>
    <w:rsid w:val="00BF02D3"/>
    <w:rsid w:val="00BF02EB"/>
    <w:rsid w:val="00BF031B"/>
    <w:rsid w:val="00BF032E"/>
    <w:rsid w:val="00BF0425"/>
    <w:rsid w:val="00BF0550"/>
    <w:rsid w:val="00BF0744"/>
    <w:rsid w:val="00BF0BA1"/>
    <w:rsid w:val="00BF0C8D"/>
    <w:rsid w:val="00BF1100"/>
    <w:rsid w:val="00BF112D"/>
    <w:rsid w:val="00BF1206"/>
    <w:rsid w:val="00BF1411"/>
    <w:rsid w:val="00BF1473"/>
    <w:rsid w:val="00BF14A6"/>
    <w:rsid w:val="00BF1842"/>
    <w:rsid w:val="00BF1C28"/>
    <w:rsid w:val="00BF1DE3"/>
    <w:rsid w:val="00BF1E36"/>
    <w:rsid w:val="00BF227E"/>
    <w:rsid w:val="00BF2284"/>
    <w:rsid w:val="00BF237C"/>
    <w:rsid w:val="00BF23F7"/>
    <w:rsid w:val="00BF246B"/>
    <w:rsid w:val="00BF24D9"/>
    <w:rsid w:val="00BF2549"/>
    <w:rsid w:val="00BF25B9"/>
    <w:rsid w:val="00BF280B"/>
    <w:rsid w:val="00BF2822"/>
    <w:rsid w:val="00BF282A"/>
    <w:rsid w:val="00BF2AAF"/>
    <w:rsid w:val="00BF2B5C"/>
    <w:rsid w:val="00BF2B6B"/>
    <w:rsid w:val="00BF2C09"/>
    <w:rsid w:val="00BF2D11"/>
    <w:rsid w:val="00BF2D14"/>
    <w:rsid w:val="00BF2ED7"/>
    <w:rsid w:val="00BF2FA9"/>
    <w:rsid w:val="00BF300F"/>
    <w:rsid w:val="00BF3112"/>
    <w:rsid w:val="00BF3157"/>
    <w:rsid w:val="00BF3209"/>
    <w:rsid w:val="00BF320C"/>
    <w:rsid w:val="00BF3595"/>
    <w:rsid w:val="00BF3633"/>
    <w:rsid w:val="00BF38AF"/>
    <w:rsid w:val="00BF38CF"/>
    <w:rsid w:val="00BF3911"/>
    <w:rsid w:val="00BF391A"/>
    <w:rsid w:val="00BF3949"/>
    <w:rsid w:val="00BF3B3D"/>
    <w:rsid w:val="00BF3D8F"/>
    <w:rsid w:val="00BF3E1E"/>
    <w:rsid w:val="00BF3E5E"/>
    <w:rsid w:val="00BF3E69"/>
    <w:rsid w:val="00BF3E6E"/>
    <w:rsid w:val="00BF3ED8"/>
    <w:rsid w:val="00BF3FA5"/>
    <w:rsid w:val="00BF408A"/>
    <w:rsid w:val="00BF4333"/>
    <w:rsid w:val="00BF43CD"/>
    <w:rsid w:val="00BF4463"/>
    <w:rsid w:val="00BF44F1"/>
    <w:rsid w:val="00BF453C"/>
    <w:rsid w:val="00BF45AD"/>
    <w:rsid w:val="00BF469C"/>
    <w:rsid w:val="00BF471C"/>
    <w:rsid w:val="00BF47EE"/>
    <w:rsid w:val="00BF4840"/>
    <w:rsid w:val="00BF49FD"/>
    <w:rsid w:val="00BF4A12"/>
    <w:rsid w:val="00BF4B86"/>
    <w:rsid w:val="00BF4BE9"/>
    <w:rsid w:val="00BF4D5E"/>
    <w:rsid w:val="00BF500D"/>
    <w:rsid w:val="00BF50ED"/>
    <w:rsid w:val="00BF52B3"/>
    <w:rsid w:val="00BF52B6"/>
    <w:rsid w:val="00BF53E3"/>
    <w:rsid w:val="00BF541C"/>
    <w:rsid w:val="00BF551B"/>
    <w:rsid w:val="00BF5552"/>
    <w:rsid w:val="00BF55D8"/>
    <w:rsid w:val="00BF55FB"/>
    <w:rsid w:val="00BF5600"/>
    <w:rsid w:val="00BF562B"/>
    <w:rsid w:val="00BF5933"/>
    <w:rsid w:val="00BF5BB8"/>
    <w:rsid w:val="00BF5CB4"/>
    <w:rsid w:val="00BF5CDE"/>
    <w:rsid w:val="00BF5D5C"/>
    <w:rsid w:val="00BF5DD8"/>
    <w:rsid w:val="00BF5E21"/>
    <w:rsid w:val="00BF5ECA"/>
    <w:rsid w:val="00BF63E9"/>
    <w:rsid w:val="00BF65AD"/>
    <w:rsid w:val="00BF65CD"/>
    <w:rsid w:val="00BF6753"/>
    <w:rsid w:val="00BF67D8"/>
    <w:rsid w:val="00BF6991"/>
    <w:rsid w:val="00BF6AA6"/>
    <w:rsid w:val="00BF6BC9"/>
    <w:rsid w:val="00BF6C77"/>
    <w:rsid w:val="00BF6D2C"/>
    <w:rsid w:val="00BF6DCD"/>
    <w:rsid w:val="00BF6DCE"/>
    <w:rsid w:val="00BF6EB7"/>
    <w:rsid w:val="00BF6F2C"/>
    <w:rsid w:val="00BF6F5B"/>
    <w:rsid w:val="00BF70FC"/>
    <w:rsid w:val="00BF7265"/>
    <w:rsid w:val="00BF7594"/>
    <w:rsid w:val="00BF759D"/>
    <w:rsid w:val="00BF7722"/>
    <w:rsid w:val="00BF787E"/>
    <w:rsid w:val="00BF7979"/>
    <w:rsid w:val="00BF7C9E"/>
    <w:rsid w:val="00BF7D0E"/>
    <w:rsid w:val="00BF7E4A"/>
    <w:rsid w:val="00BF7EC0"/>
    <w:rsid w:val="00BF7F4B"/>
    <w:rsid w:val="00BF7FDA"/>
    <w:rsid w:val="00BF7FE1"/>
    <w:rsid w:val="00C0010D"/>
    <w:rsid w:val="00C00167"/>
    <w:rsid w:val="00C003F6"/>
    <w:rsid w:val="00C00435"/>
    <w:rsid w:val="00C00494"/>
    <w:rsid w:val="00C00538"/>
    <w:rsid w:val="00C006E0"/>
    <w:rsid w:val="00C007AB"/>
    <w:rsid w:val="00C007B8"/>
    <w:rsid w:val="00C007FC"/>
    <w:rsid w:val="00C00884"/>
    <w:rsid w:val="00C00A3E"/>
    <w:rsid w:val="00C00C19"/>
    <w:rsid w:val="00C00EBE"/>
    <w:rsid w:val="00C00F16"/>
    <w:rsid w:val="00C010CB"/>
    <w:rsid w:val="00C010FB"/>
    <w:rsid w:val="00C0115B"/>
    <w:rsid w:val="00C0128A"/>
    <w:rsid w:val="00C01591"/>
    <w:rsid w:val="00C016CF"/>
    <w:rsid w:val="00C016D3"/>
    <w:rsid w:val="00C017E6"/>
    <w:rsid w:val="00C0183E"/>
    <w:rsid w:val="00C01885"/>
    <w:rsid w:val="00C01B5F"/>
    <w:rsid w:val="00C01C8D"/>
    <w:rsid w:val="00C01CD1"/>
    <w:rsid w:val="00C01CED"/>
    <w:rsid w:val="00C01DEB"/>
    <w:rsid w:val="00C01F44"/>
    <w:rsid w:val="00C02233"/>
    <w:rsid w:val="00C0239C"/>
    <w:rsid w:val="00C02452"/>
    <w:rsid w:val="00C02696"/>
    <w:rsid w:val="00C02783"/>
    <w:rsid w:val="00C02A4A"/>
    <w:rsid w:val="00C02A86"/>
    <w:rsid w:val="00C02AE5"/>
    <w:rsid w:val="00C02B37"/>
    <w:rsid w:val="00C02C1F"/>
    <w:rsid w:val="00C02D10"/>
    <w:rsid w:val="00C02D56"/>
    <w:rsid w:val="00C02E7D"/>
    <w:rsid w:val="00C03066"/>
    <w:rsid w:val="00C03075"/>
    <w:rsid w:val="00C030DA"/>
    <w:rsid w:val="00C031F3"/>
    <w:rsid w:val="00C0321E"/>
    <w:rsid w:val="00C032ED"/>
    <w:rsid w:val="00C032F5"/>
    <w:rsid w:val="00C0336E"/>
    <w:rsid w:val="00C033A3"/>
    <w:rsid w:val="00C034B6"/>
    <w:rsid w:val="00C035DD"/>
    <w:rsid w:val="00C0367D"/>
    <w:rsid w:val="00C037E9"/>
    <w:rsid w:val="00C038A2"/>
    <w:rsid w:val="00C0392B"/>
    <w:rsid w:val="00C03937"/>
    <w:rsid w:val="00C03985"/>
    <w:rsid w:val="00C03990"/>
    <w:rsid w:val="00C039F0"/>
    <w:rsid w:val="00C03B98"/>
    <w:rsid w:val="00C03BBA"/>
    <w:rsid w:val="00C03D94"/>
    <w:rsid w:val="00C03E04"/>
    <w:rsid w:val="00C03F5F"/>
    <w:rsid w:val="00C03F88"/>
    <w:rsid w:val="00C04024"/>
    <w:rsid w:val="00C0415E"/>
    <w:rsid w:val="00C04178"/>
    <w:rsid w:val="00C041BD"/>
    <w:rsid w:val="00C042B7"/>
    <w:rsid w:val="00C0439F"/>
    <w:rsid w:val="00C04665"/>
    <w:rsid w:val="00C047E2"/>
    <w:rsid w:val="00C048B3"/>
    <w:rsid w:val="00C04A20"/>
    <w:rsid w:val="00C04ABB"/>
    <w:rsid w:val="00C04B86"/>
    <w:rsid w:val="00C04B97"/>
    <w:rsid w:val="00C04C59"/>
    <w:rsid w:val="00C04C7D"/>
    <w:rsid w:val="00C04CAD"/>
    <w:rsid w:val="00C0504A"/>
    <w:rsid w:val="00C0523E"/>
    <w:rsid w:val="00C05276"/>
    <w:rsid w:val="00C0535D"/>
    <w:rsid w:val="00C054E2"/>
    <w:rsid w:val="00C058E5"/>
    <w:rsid w:val="00C05AE3"/>
    <w:rsid w:val="00C05D0E"/>
    <w:rsid w:val="00C05DC8"/>
    <w:rsid w:val="00C05DFE"/>
    <w:rsid w:val="00C05E4C"/>
    <w:rsid w:val="00C05EA1"/>
    <w:rsid w:val="00C05FAC"/>
    <w:rsid w:val="00C06016"/>
    <w:rsid w:val="00C06165"/>
    <w:rsid w:val="00C06214"/>
    <w:rsid w:val="00C06258"/>
    <w:rsid w:val="00C06309"/>
    <w:rsid w:val="00C063F2"/>
    <w:rsid w:val="00C063F8"/>
    <w:rsid w:val="00C06467"/>
    <w:rsid w:val="00C06491"/>
    <w:rsid w:val="00C065F4"/>
    <w:rsid w:val="00C0661D"/>
    <w:rsid w:val="00C06659"/>
    <w:rsid w:val="00C06660"/>
    <w:rsid w:val="00C0689D"/>
    <w:rsid w:val="00C068BA"/>
    <w:rsid w:val="00C06934"/>
    <w:rsid w:val="00C06A6E"/>
    <w:rsid w:val="00C06A91"/>
    <w:rsid w:val="00C06B7F"/>
    <w:rsid w:val="00C06CCB"/>
    <w:rsid w:val="00C06EA9"/>
    <w:rsid w:val="00C06EF9"/>
    <w:rsid w:val="00C06F21"/>
    <w:rsid w:val="00C06F8A"/>
    <w:rsid w:val="00C07101"/>
    <w:rsid w:val="00C07165"/>
    <w:rsid w:val="00C071B2"/>
    <w:rsid w:val="00C07229"/>
    <w:rsid w:val="00C0736D"/>
    <w:rsid w:val="00C07460"/>
    <w:rsid w:val="00C07643"/>
    <w:rsid w:val="00C077DE"/>
    <w:rsid w:val="00C07A4C"/>
    <w:rsid w:val="00C07AF1"/>
    <w:rsid w:val="00C07D17"/>
    <w:rsid w:val="00C07E97"/>
    <w:rsid w:val="00C07FDE"/>
    <w:rsid w:val="00C10360"/>
    <w:rsid w:val="00C10486"/>
    <w:rsid w:val="00C105C1"/>
    <w:rsid w:val="00C10703"/>
    <w:rsid w:val="00C10845"/>
    <w:rsid w:val="00C10884"/>
    <w:rsid w:val="00C108C6"/>
    <w:rsid w:val="00C10A5B"/>
    <w:rsid w:val="00C10C26"/>
    <w:rsid w:val="00C10E54"/>
    <w:rsid w:val="00C10E65"/>
    <w:rsid w:val="00C10F88"/>
    <w:rsid w:val="00C11071"/>
    <w:rsid w:val="00C11179"/>
    <w:rsid w:val="00C1120E"/>
    <w:rsid w:val="00C11261"/>
    <w:rsid w:val="00C1137D"/>
    <w:rsid w:val="00C1142B"/>
    <w:rsid w:val="00C1143A"/>
    <w:rsid w:val="00C11442"/>
    <w:rsid w:val="00C116D1"/>
    <w:rsid w:val="00C117E2"/>
    <w:rsid w:val="00C11D57"/>
    <w:rsid w:val="00C11EE7"/>
    <w:rsid w:val="00C120BB"/>
    <w:rsid w:val="00C120C2"/>
    <w:rsid w:val="00C121D3"/>
    <w:rsid w:val="00C121EF"/>
    <w:rsid w:val="00C12254"/>
    <w:rsid w:val="00C12304"/>
    <w:rsid w:val="00C12573"/>
    <w:rsid w:val="00C126EA"/>
    <w:rsid w:val="00C1270A"/>
    <w:rsid w:val="00C12923"/>
    <w:rsid w:val="00C1296C"/>
    <w:rsid w:val="00C12A3D"/>
    <w:rsid w:val="00C12B8E"/>
    <w:rsid w:val="00C12C08"/>
    <w:rsid w:val="00C12C4F"/>
    <w:rsid w:val="00C12D27"/>
    <w:rsid w:val="00C12DAF"/>
    <w:rsid w:val="00C12DD7"/>
    <w:rsid w:val="00C12DDC"/>
    <w:rsid w:val="00C12E01"/>
    <w:rsid w:val="00C12F2B"/>
    <w:rsid w:val="00C1302A"/>
    <w:rsid w:val="00C1318D"/>
    <w:rsid w:val="00C1327A"/>
    <w:rsid w:val="00C13422"/>
    <w:rsid w:val="00C1360B"/>
    <w:rsid w:val="00C136B5"/>
    <w:rsid w:val="00C13743"/>
    <w:rsid w:val="00C13789"/>
    <w:rsid w:val="00C137EE"/>
    <w:rsid w:val="00C13903"/>
    <w:rsid w:val="00C13957"/>
    <w:rsid w:val="00C139E8"/>
    <w:rsid w:val="00C13B72"/>
    <w:rsid w:val="00C13C12"/>
    <w:rsid w:val="00C13CE5"/>
    <w:rsid w:val="00C13F10"/>
    <w:rsid w:val="00C13F2F"/>
    <w:rsid w:val="00C13F81"/>
    <w:rsid w:val="00C13F84"/>
    <w:rsid w:val="00C13F92"/>
    <w:rsid w:val="00C13FCF"/>
    <w:rsid w:val="00C140A2"/>
    <w:rsid w:val="00C140A5"/>
    <w:rsid w:val="00C140D8"/>
    <w:rsid w:val="00C14185"/>
    <w:rsid w:val="00C1433C"/>
    <w:rsid w:val="00C1438A"/>
    <w:rsid w:val="00C145A5"/>
    <w:rsid w:val="00C145BC"/>
    <w:rsid w:val="00C146F1"/>
    <w:rsid w:val="00C148AB"/>
    <w:rsid w:val="00C14997"/>
    <w:rsid w:val="00C149BA"/>
    <w:rsid w:val="00C14AC3"/>
    <w:rsid w:val="00C14B79"/>
    <w:rsid w:val="00C14BBB"/>
    <w:rsid w:val="00C1500E"/>
    <w:rsid w:val="00C1541D"/>
    <w:rsid w:val="00C15447"/>
    <w:rsid w:val="00C154A1"/>
    <w:rsid w:val="00C154D7"/>
    <w:rsid w:val="00C1554B"/>
    <w:rsid w:val="00C15590"/>
    <w:rsid w:val="00C155BB"/>
    <w:rsid w:val="00C155E6"/>
    <w:rsid w:val="00C156DC"/>
    <w:rsid w:val="00C157C3"/>
    <w:rsid w:val="00C159AB"/>
    <w:rsid w:val="00C15A96"/>
    <w:rsid w:val="00C15BE5"/>
    <w:rsid w:val="00C15C83"/>
    <w:rsid w:val="00C15D0F"/>
    <w:rsid w:val="00C15DE0"/>
    <w:rsid w:val="00C15E43"/>
    <w:rsid w:val="00C15EEF"/>
    <w:rsid w:val="00C15FA3"/>
    <w:rsid w:val="00C1600D"/>
    <w:rsid w:val="00C1620E"/>
    <w:rsid w:val="00C16213"/>
    <w:rsid w:val="00C162CB"/>
    <w:rsid w:val="00C163F3"/>
    <w:rsid w:val="00C165DD"/>
    <w:rsid w:val="00C16603"/>
    <w:rsid w:val="00C16631"/>
    <w:rsid w:val="00C16692"/>
    <w:rsid w:val="00C166BA"/>
    <w:rsid w:val="00C166C6"/>
    <w:rsid w:val="00C166CA"/>
    <w:rsid w:val="00C166DD"/>
    <w:rsid w:val="00C16824"/>
    <w:rsid w:val="00C16862"/>
    <w:rsid w:val="00C1695B"/>
    <w:rsid w:val="00C16970"/>
    <w:rsid w:val="00C16B3C"/>
    <w:rsid w:val="00C16B46"/>
    <w:rsid w:val="00C16C3A"/>
    <w:rsid w:val="00C16CCA"/>
    <w:rsid w:val="00C16CD8"/>
    <w:rsid w:val="00C16D5B"/>
    <w:rsid w:val="00C16E01"/>
    <w:rsid w:val="00C16E60"/>
    <w:rsid w:val="00C16F20"/>
    <w:rsid w:val="00C16FA9"/>
    <w:rsid w:val="00C17011"/>
    <w:rsid w:val="00C17055"/>
    <w:rsid w:val="00C170E4"/>
    <w:rsid w:val="00C1715B"/>
    <w:rsid w:val="00C17170"/>
    <w:rsid w:val="00C17272"/>
    <w:rsid w:val="00C17292"/>
    <w:rsid w:val="00C17322"/>
    <w:rsid w:val="00C1734A"/>
    <w:rsid w:val="00C17507"/>
    <w:rsid w:val="00C17794"/>
    <w:rsid w:val="00C178BA"/>
    <w:rsid w:val="00C178D4"/>
    <w:rsid w:val="00C178EF"/>
    <w:rsid w:val="00C179D4"/>
    <w:rsid w:val="00C17C0E"/>
    <w:rsid w:val="00C17CC0"/>
    <w:rsid w:val="00C17D99"/>
    <w:rsid w:val="00C17DD6"/>
    <w:rsid w:val="00C17DF3"/>
    <w:rsid w:val="00C17FC4"/>
    <w:rsid w:val="00C2005A"/>
    <w:rsid w:val="00C202D1"/>
    <w:rsid w:val="00C20345"/>
    <w:rsid w:val="00C203B3"/>
    <w:rsid w:val="00C203BE"/>
    <w:rsid w:val="00C206BA"/>
    <w:rsid w:val="00C20C8B"/>
    <w:rsid w:val="00C20CF4"/>
    <w:rsid w:val="00C20D34"/>
    <w:rsid w:val="00C20D75"/>
    <w:rsid w:val="00C20D7F"/>
    <w:rsid w:val="00C20EAF"/>
    <w:rsid w:val="00C2134D"/>
    <w:rsid w:val="00C21353"/>
    <w:rsid w:val="00C213C8"/>
    <w:rsid w:val="00C21899"/>
    <w:rsid w:val="00C218A2"/>
    <w:rsid w:val="00C21A72"/>
    <w:rsid w:val="00C21A7E"/>
    <w:rsid w:val="00C21B6D"/>
    <w:rsid w:val="00C21BE0"/>
    <w:rsid w:val="00C21BE2"/>
    <w:rsid w:val="00C21D90"/>
    <w:rsid w:val="00C21FCE"/>
    <w:rsid w:val="00C21FE3"/>
    <w:rsid w:val="00C2209F"/>
    <w:rsid w:val="00C220B9"/>
    <w:rsid w:val="00C22181"/>
    <w:rsid w:val="00C22195"/>
    <w:rsid w:val="00C22197"/>
    <w:rsid w:val="00C221BA"/>
    <w:rsid w:val="00C22284"/>
    <w:rsid w:val="00C222D2"/>
    <w:rsid w:val="00C22318"/>
    <w:rsid w:val="00C22490"/>
    <w:rsid w:val="00C2256D"/>
    <w:rsid w:val="00C22610"/>
    <w:rsid w:val="00C22624"/>
    <w:rsid w:val="00C22701"/>
    <w:rsid w:val="00C2271E"/>
    <w:rsid w:val="00C22899"/>
    <w:rsid w:val="00C228FE"/>
    <w:rsid w:val="00C22A60"/>
    <w:rsid w:val="00C22B14"/>
    <w:rsid w:val="00C22B3C"/>
    <w:rsid w:val="00C22F6C"/>
    <w:rsid w:val="00C22FB8"/>
    <w:rsid w:val="00C2309D"/>
    <w:rsid w:val="00C23117"/>
    <w:rsid w:val="00C23294"/>
    <w:rsid w:val="00C23395"/>
    <w:rsid w:val="00C23426"/>
    <w:rsid w:val="00C2369C"/>
    <w:rsid w:val="00C236A9"/>
    <w:rsid w:val="00C2375F"/>
    <w:rsid w:val="00C23863"/>
    <w:rsid w:val="00C238DB"/>
    <w:rsid w:val="00C2398D"/>
    <w:rsid w:val="00C23A3B"/>
    <w:rsid w:val="00C23A6A"/>
    <w:rsid w:val="00C23CEB"/>
    <w:rsid w:val="00C23DF9"/>
    <w:rsid w:val="00C23E3A"/>
    <w:rsid w:val="00C23EEB"/>
    <w:rsid w:val="00C23F43"/>
    <w:rsid w:val="00C241AA"/>
    <w:rsid w:val="00C24260"/>
    <w:rsid w:val="00C24289"/>
    <w:rsid w:val="00C2429D"/>
    <w:rsid w:val="00C242EB"/>
    <w:rsid w:val="00C2434E"/>
    <w:rsid w:val="00C2440D"/>
    <w:rsid w:val="00C244F2"/>
    <w:rsid w:val="00C245D8"/>
    <w:rsid w:val="00C2471D"/>
    <w:rsid w:val="00C248D0"/>
    <w:rsid w:val="00C249D6"/>
    <w:rsid w:val="00C24BC0"/>
    <w:rsid w:val="00C24C24"/>
    <w:rsid w:val="00C24CCB"/>
    <w:rsid w:val="00C24D75"/>
    <w:rsid w:val="00C24E47"/>
    <w:rsid w:val="00C24E6D"/>
    <w:rsid w:val="00C24EA7"/>
    <w:rsid w:val="00C24EB8"/>
    <w:rsid w:val="00C25090"/>
    <w:rsid w:val="00C250F9"/>
    <w:rsid w:val="00C252BD"/>
    <w:rsid w:val="00C2536B"/>
    <w:rsid w:val="00C2537A"/>
    <w:rsid w:val="00C253E3"/>
    <w:rsid w:val="00C253F2"/>
    <w:rsid w:val="00C255BD"/>
    <w:rsid w:val="00C25761"/>
    <w:rsid w:val="00C25814"/>
    <w:rsid w:val="00C25922"/>
    <w:rsid w:val="00C259EC"/>
    <w:rsid w:val="00C25C19"/>
    <w:rsid w:val="00C25CAF"/>
    <w:rsid w:val="00C25D36"/>
    <w:rsid w:val="00C25D3C"/>
    <w:rsid w:val="00C26004"/>
    <w:rsid w:val="00C26379"/>
    <w:rsid w:val="00C263D1"/>
    <w:rsid w:val="00C264E9"/>
    <w:rsid w:val="00C26625"/>
    <w:rsid w:val="00C26700"/>
    <w:rsid w:val="00C2671C"/>
    <w:rsid w:val="00C2673C"/>
    <w:rsid w:val="00C2678E"/>
    <w:rsid w:val="00C2690C"/>
    <w:rsid w:val="00C26945"/>
    <w:rsid w:val="00C26987"/>
    <w:rsid w:val="00C26BD6"/>
    <w:rsid w:val="00C26C25"/>
    <w:rsid w:val="00C26D42"/>
    <w:rsid w:val="00C26D99"/>
    <w:rsid w:val="00C26F14"/>
    <w:rsid w:val="00C26F3A"/>
    <w:rsid w:val="00C2702A"/>
    <w:rsid w:val="00C271AA"/>
    <w:rsid w:val="00C2722D"/>
    <w:rsid w:val="00C275A2"/>
    <w:rsid w:val="00C27662"/>
    <w:rsid w:val="00C276E5"/>
    <w:rsid w:val="00C276F0"/>
    <w:rsid w:val="00C27753"/>
    <w:rsid w:val="00C27851"/>
    <w:rsid w:val="00C2787E"/>
    <w:rsid w:val="00C27896"/>
    <w:rsid w:val="00C279E5"/>
    <w:rsid w:val="00C279EE"/>
    <w:rsid w:val="00C27A65"/>
    <w:rsid w:val="00C27E42"/>
    <w:rsid w:val="00C27E4E"/>
    <w:rsid w:val="00C27E87"/>
    <w:rsid w:val="00C27EDE"/>
    <w:rsid w:val="00C27F1F"/>
    <w:rsid w:val="00C3009E"/>
    <w:rsid w:val="00C300B0"/>
    <w:rsid w:val="00C302D0"/>
    <w:rsid w:val="00C30345"/>
    <w:rsid w:val="00C30380"/>
    <w:rsid w:val="00C303C7"/>
    <w:rsid w:val="00C303DC"/>
    <w:rsid w:val="00C30597"/>
    <w:rsid w:val="00C30626"/>
    <w:rsid w:val="00C3065B"/>
    <w:rsid w:val="00C3066D"/>
    <w:rsid w:val="00C30692"/>
    <w:rsid w:val="00C30779"/>
    <w:rsid w:val="00C307E5"/>
    <w:rsid w:val="00C308FB"/>
    <w:rsid w:val="00C3093E"/>
    <w:rsid w:val="00C309B6"/>
    <w:rsid w:val="00C309CD"/>
    <w:rsid w:val="00C30A5C"/>
    <w:rsid w:val="00C30B38"/>
    <w:rsid w:val="00C30DC9"/>
    <w:rsid w:val="00C311CA"/>
    <w:rsid w:val="00C3129F"/>
    <w:rsid w:val="00C3134C"/>
    <w:rsid w:val="00C31367"/>
    <w:rsid w:val="00C31453"/>
    <w:rsid w:val="00C315F5"/>
    <w:rsid w:val="00C315F6"/>
    <w:rsid w:val="00C3168B"/>
    <w:rsid w:val="00C316E9"/>
    <w:rsid w:val="00C31705"/>
    <w:rsid w:val="00C31A22"/>
    <w:rsid w:val="00C31B6B"/>
    <w:rsid w:val="00C31E94"/>
    <w:rsid w:val="00C320AC"/>
    <w:rsid w:val="00C32278"/>
    <w:rsid w:val="00C322F8"/>
    <w:rsid w:val="00C32601"/>
    <w:rsid w:val="00C326D0"/>
    <w:rsid w:val="00C32755"/>
    <w:rsid w:val="00C32835"/>
    <w:rsid w:val="00C3287B"/>
    <w:rsid w:val="00C32900"/>
    <w:rsid w:val="00C3292B"/>
    <w:rsid w:val="00C3297C"/>
    <w:rsid w:val="00C32998"/>
    <w:rsid w:val="00C329E2"/>
    <w:rsid w:val="00C32B62"/>
    <w:rsid w:val="00C32BC1"/>
    <w:rsid w:val="00C32BE5"/>
    <w:rsid w:val="00C32C82"/>
    <w:rsid w:val="00C32C92"/>
    <w:rsid w:val="00C32F9C"/>
    <w:rsid w:val="00C33013"/>
    <w:rsid w:val="00C3301C"/>
    <w:rsid w:val="00C33030"/>
    <w:rsid w:val="00C3305F"/>
    <w:rsid w:val="00C331B5"/>
    <w:rsid w:val="00C3342C"/>
    <w:rsid w:val="00C3360A"/>
    <w:rsid w:val="00C3365A"/>
    <w:rsid w:val="00C336F0"/>
    <w:rsid w:val="00C33793"/>
    <w:rsid w:val="00C33812"/>
    <w:rsid w:val="00C33815"/>
    <w:rsid w:val="00C338C3"/>
    <w:rsid w:val="00C33AD1"/>
    <w:rsid w:val="00C33B29"/>
    <w:rsid w:val="00C33D38"/>
    <w:rsid w:val="00C33DC7"/>
    <w:rsid w:val="00C33E0D"/>
    <w:rsid w:val="00C33E46"/>
    <w:rsid w:val="00C33E50"/>
    <w:rsid w:val="00C33E9A"/>
    <w:rsid w:val="00C34024"/>
    <w:rsid w:val="00C34123"/>
    <w:rsid w:val="00C34232"/>
    <w:rsid w:val="00C346CE"/>
    <w:rsid w:val="00C346E1"/>
    <w:rsid w:val="00C34913"/>
    <w:rsid w:val="00C34A5A"/>
    <w:rsid w:val="00C34CA7"/>
    <w:rsid w:val="00C34F22"/>
    <w:rsid w:val="00C34F3D"/>
    <w:rsid w:val="00C34F58"/>
    <w:rsid w:val="00C34FDB"/>
    <w:rsid w:val="00C34FE8"/>
    <w:rsid w:val="00C3505B"/>
    <w:rsid w:val="00C353BD"/>
    <w:rsid w:val="00C353FE"/>
    <w:rsid w:val="00C355A1"/>
    <w:rsid w:val="00C3581C"/>
    <w:rsid w:val="00C35860"/>
    <w:rsid w:val="00C358A3"/>
    <w:rsid w:val="00C358A6"/>
    <w:rsid w:val="00C35942"/>
    <w:rsid w:val="00C35B34"/>
    <w:rsid w:val="00C35C32"/>
    <w:rsid w:val="00C35C4E"/>
    <w:rsid w:val="00C35CAE"/>
    <w:rsid w:val="00C35FAD"/>
    <w:rsid w:val="00C35FF6"/>
    <w:rsid w:val="00C360C3"/>
    <w:rsid w:val="00C361DA"/>
    <w:rsid w:val="00C362E0"/>
    <w:rsid w:val="00C3631A"/>
    <w:rsid w:val="00C3633C"/>
    <w:rsid w:val="00C363EB"/>
    <w:rsid w:val="00C36401"/>
    <w:rsid w:val="00C36764"/>
    <w:rsid w:val="00C3678E"/>
    <w:rsid w:val="00C36933"/>
    <w:rsid w:val="00C36A17"/>
    <w:rsid w:val="00C36B49"/>
    <w:rsid w:val="00C36BF2"/>
    <w:rsid w:val="00C36C70"/>
    <w:rsid w:val="00C36CAA"/>
    <w:rsid w:val="00C36D32"/>
    <w:rsid w:val="00C36E00"/>
    <w:rsid w:val="00C36E6D"/>
    <w:rsid w:val="00C36E98"/>
    <w:rsid w:val="00C370B2"/>
    <w:rsid w:val="00C370FF"/>
    <w:rsid w:val="00C37236"/>
    <w:rsid w:val="00C37374"/>
    <w:rsid w:val="00C373D1"/>
    <w:rsid w:val="00C373EB"/>
    <w:rsid w:val="00C373FA"/>
    <w:rsid w:val="00C3749E"/>
    <w:rsid w:val="00C375EE"/>
    <w:rsid w:val="00C37603"/>
    <w:rsid w:val="00C377AA"/>
    <w:rsid w:val="00C37914"/>
    <w:rsid w:val="00C379A5"/>
    <w:rsid w:val="00C37A8D"/>
    <w:rsid w:val="00C37ACE"/>
    <w:rsid w:val="00C37AED"/>
    <w:rsid w:val="00C37BB3"/>
    <w:rsid w:val="00C37C28"/>
    <w:rsid w:val="00C37DE1"/>
    <w:rsid w:val="00C37E15"/>
    <w:rsid w:val="00C4003C"/>
    <w:rsid w:val="00C40258"/>
    <w:rsid w:val="00C403D8"/>
    <w:rsid w:val="00C40500"/>
    <w:rsid w:val="00C40623"/>
    <w:rsid w:val="00C40654"/>
    <w:rsid w:val="00C40B54"/>
    <w:rsid w:val="00C40BF2"/>
    <w:rsid w:val="00C40C31"/>
    <w:rsid w:val="00C40C7E"/>
    <w:rsid w:val="00C40D37"/>
    <w:rsid w:val="00C40E6B"/>
    <w:rsid w:val="00C40ECD"/>
    <w:rsid w:val="00C412D4"/>
    <w:rsid w:val="00C4145B"/>
    <w:rsid w:val="00C41511"/>
    <w:rsid w:val="00C41580"/>
    <w:rsid w:val="00C41595"/>
    <w:rsid w:val="00C4162B"/>
    <w:rsid w:val="00C41640"/>
    <w:rsid w:val="00C416BF"/>
    <w:rsid w:val="00C41704"/>
    <w:rsid w:val="00C4174D"/>
    <w:rsid w:val="00C4179F"/>
    <w:rsid w:val="00C418DB"/>
    <w:rsid w:val="00C4194B"/>
    <w:rsid w:val="00C419B1"/>
    <w:rsid w:val="00C419BB"/>
    <w:rsid w:val="00C41A05"/>
    <w:rsid w:val="00C41B14"/>
    <w:rsid w:val="00C41BFD"/>
    <w:rsid w:val="00C41E17"/>
    <w:rsid w:val="00C41FC9"/>
    <w:rsid w:val="00C4214F"/>
    <w:rsid w:val="00C42505"/>
    <w:rsid w:val="00C425E0"/>
    <w:rsid w:val="00C426D1"/>
    <w:rsid w:val="00C4270D"/>
    <w:rsid w:val="00C4286A"/>
    <w:rsid w:val="00C42871"/>
    <w:rsid w:val="00C429B1"/>
    <w:rsid w:val="00C42A65"/>
    <w:rsid w:val="00C42BED"/>
    <w:rsid w:val="00C42CFA"/>
    <w:rsid w:val="00C42D28"/>
    <w:rsid w:val="00C42E46"/>
    <w:rsid w:val="00C4304C"/>
    <w:rsid w:val="00C4314E"/>
    <w:rsid w:val="00C4333E"/>
    <w:rsid w:val="00C4340A"/>
    <w:rsid w:val="00C4353E"/>
    <w:rsid w:val="00C4354B"/>
    <w:rsid w:val="00C43692"/>
    <w:rsid w:val="00C436D4"/>
    <w:rsid w:val="00C4375E"/>
    <w:rsid w:val="00C437B3"/>
    <w:rsid w:val="00C438ED"/>
    <w:rsid w:val="00C43940"/>
    <w:rsid w:val="00C439E6"/>
    <w:rsid w:val="00C43B8B"/>
    <w:rsid w:val="00C43BE2"/>
    <w:rsid w:val="00C43BE8"/>
    <w:rsid w:val="00C43E10"/>
    <w:rsid w:val="00C43E21"/>
    <w:rsid w:val="00C43EBC"/>
    <w:rsid w:val="00C43FDA"/>
    <w:rsid w:val="00C4400C"/>
    <w:rsid w:val="00C44090"/>
    <w:rsid w:val="00C44107"/>
    <w:rsid w:val="00C4413D"/>
    <w:rsid w:val="00C441C7"/>
    <w:rsid w:val="00C44267"/>
    <w:rsid w:val="00C44314"/>
    <w:rsid w:val="00C44419"/>
    <w:rsid w:val="00C4442B"/>
    <w:rsid w:val="00C4444C"/>
    <w:rsid w:val="00C44726"/>
    <w:rsid w:val="00C447F2"/>
    <w:rsid w:val="00C4491F"/>
    <w:rsid w:val="00C449A4"/>
    <w:rsid w:val="00C44A2C"/>
    <w:rsid w:val="00C44B7A"/>
    <w:rsid w:val="00C44CB9"/>
    <w:rsid w:val="00C44DEC"/>
    <w:rsid w:val="00C44F34"/>
    <w:rsid w:val="00C44F4A"/>
    <w:rsid w:val="00C45089"/>
    <w:rsid w:val="00C4512A"/>
    <w:rsid w:val="00C45175"/>
    <w:rsid w:val="00C45179"/>
    <w:rsid w:val="00C45260"/>
    <w:rsid w:val="00C45504"/>
    <w:rsid w:val="00C45659"/>
    <w:rsid w:val="00C45666"/>
    <w:rsid w:val="00C456D4"/>
    <w:rsid w:val="00C457C4"/>
    <w:rsid w:val="00C45AEF"/>
    <w:rsid w:val="00C45B59"/>
    <w:rsid w:val="00C45C79"/>
    <w:rsid w:val="00C45D0C"/>
    <w:rsid w:val="00C45D12"/>
    <w:rsid w:val="00C45ED0"/>
    <w:rsid w:val="00C45EFC"/>
    <w:rsid w:val="00C45F7C"/>
    <w:rsid w:val="00C45FFF"/>
    <w:rsid w:val="00C4622A"/>
    <w:rsid w:val="00C462A6"/>
    <w:rsid w:val="00C46455"/>
    <w:rsid w:val="00C466C4"/>
    <w:rsid w:val="00C4675F"/>
    <w:rsid w:val="00C4682B"/>
    <w:rsid w:val="00C46A26"/>
    <w:rsid w:val="00C46DCE"/>
    <w:rsid w:val="00C46F76"/>
    <w:rsid w:val="00C46F9C"/>
    <w:rsid w:val="00C46FAF"/>
    <w:rsid w:val="00C47058"/>
    <w:rsid w:val="00C47211"/>
    <w:rsid w:val="00C4732D"/>
    <w:rsid w:val="00C47373"/>
    <w:rsid w:val="00C473E4"/>
    <w:rsid w:val="00C47487"/>
    <w:rsid w:val="00C474CC"/>
    <w:rsid w:val="00C47573"/>
    <w:rsid w:val="00C47603"/>
    <w:rsid w:val="00C476EB"/>
    <w:rsid w:val="00C477CE"/>
    <w:rsid w:val="00C47858"/>
    <w:rsid w:val="00C47947"/>
    <w:rsid w:val="00C479EA"/>
    <w:rsid w:val="00C47A7E"/>
    <w:rsid w:val="00C47B31"/>
    <w:rsid w:val="00C47C9C"/>
    <w:rsid w:val="00C47CA1"/>
    <w:rsid w:val="00C47CB7"/>
    <w:rsid w:val="00C47D23"/>
    <w:rsid w:val="00C47F19"/>
    <w:rsid w:val="00C500A7"/>
    <w:rsid w:val="00C500B6"/>
    <w:rsid w:val="00C50110"/>
    <w:rsid w:val="00C5016F"/>
    <w:rsid w:val="00C5018B"/>
    <w:rsid w:val="00C50192"/>
    <w:rsid w:val="00C50195"/>
    <w:rsid w:val="00C5032A"/>
    <w:rsid w:val="00C50347"/>
    <w:rsid w:val="00C5036C"/>
    <w:rsid w:val="00C5037C"/>
    <w:rsid w:val="00C50420"/>
    <w:rsid w:val="00C5055F"/>
    <w:rsid w:val="00C5078D"/>
    <w:rsid w:val="00C508B2"/>
    <w:rsid w:val="00C50C4C"/>
    <w:rsid w:val="00C50C95"/>
    <w:rsid w:val="00C50D7F"/>
    <w:rsid w:val="00C50EF1"/>
    <w:rsid w:val="00C5118D"/>
    <w:rsid w:val="00C51208"/>
    <w:rsid w:val="00C513EF"/>
    <w:rsid w:val="00C51524"/>
    <w:rsid w:val="00C515BD"/>
    <w:rsid w:val="00C5163E"/>
    <w:rsid w:val="00C516DA"/>
    <w:rsid w:val="00C518F5"/>
    <w:rsid w:val="00C5193A"/>
    <w:rsid w:val="00C51A3E"/>
    <w:rsid w:val="00C51A91"/>
    <w:rsid w:val="00C51CC6"/>
    <w:rsid w:val="00C51D76"/>
    <w:rsid w:val="00C51D7D"/>
    <w:rsid w:val="00C51D81"/>
    <w:rsid w:val="00C51DDF"/>
    <w:rsid w:val="00C51F48"/>
    <w:rsid w:val="00C51FA5"/>
    <w:rsid w:val="00C51FFF"/>
    <w:rsid w:val="00C52076"/>
    <w:rsid w:val="00C5216F"/>
    <w:rsid w:val="00C5222F"/>
    <w:rsid w:val="00C525FC"/>
    <w:rsid w:val="00C526AB"/>
    <w:rsid w:val="00C52785"/>
    <w:rsid w:val="00C5298B"/>
    <w:rsid w:val="00C52ACE"/>
    <w:rsid w:val="00C52BD3"/>
    <w:rsid w:val="00C52E07"/>
    <w:rsid w:val="00C52E9C"/>
    <w:rsid w:val="00C52F1F"/>
    <w:rsid w:val="00C52F5A"/>
    <w:rsid w:val="00C52FAF"/>
    <w:rsid w:val="00C53121"/>
    <w:rsid w:val="00C53259"/>
    <w:rsid w:val="00C5338D"/>
    <w:rsid w:val="00C533E4"/>
    <w:rsid w:val="00C53451"/>
    <w:rsid w:val="00C53559"/>
    <w:rsid w:val="00C535BF"/>
    <w:rsid w:val="00C535EF"/>
    <w:rsid w:val="00C5381E"/>
    <w:rsid w:val="00C53908"/>
    <w:rsid w:val="00C539E9"/>
    <w:rsid w:val="00C53A22"/>
    <w:rsid w:val="00C53BD0"/>
    <w:rsid w:val="00C53E21"/>
    <w:rsid w:val="00C53E32"/>
    <w:rsid w:val="00C53EF1"/>
    <w:rsid w:val="00C54248"/>
    <w:rsid w:val="00C54374"/>
    <w:rsid w:val="00C5448C"/>
    <w:rsid w:val="00C544CB"/>
    <w:rsid w:val="00C544F2"/>
    <w:rsid w:val="00C546E2"/>
    <w:rsid w:val="00C548E8"/>
    <w:rsid w:val="00C54A6E"/>
    <w:rsid w:val="00C54B52"/>
    <w:rsid w:val="00C54B73"/>
    <w:rsid w:val="00C54CD9"/>
    <w:rsid w:val="00C54DAD"/>
    <w:rsid w:val="00C54F87"/>
    <w:rsid w:val="00C54FDF"/>
    <w:rsid w:val="00C55066"/>
    <w:rsid w:val="00C551C3"/>
    <w:rsid w:val="00C5522E"/>
    <w:rsid w:val="00C552C4"/>
    <w:rsid w:val="00C5531F"/>
    <w:rsid w:val="00C5537B"/>
    <w:rsid w:val="00C55563"/>
    <w:rsid w:val="00C556E5"/>
    <w:rsid w:val="00C55957"/>
    <w:rsid w:val="00C559B9"/>
    <w:rsid w:val="00C55ADA"/>
    <w:rsid w:val="00C55BFF"/>
    <w:rsid w:val="00C55C89"/>
    <w:rsid w:val="00C55F19"/>
    <w:rsid w:val="00C55F24"/>
    <w:rsid w:val="00C55F4D"/>
    <w:rsid w:val="00C55FFE"/>
    <w:rsid w:val="00C560BA"/>
    <w:rsid w:val="00C5629A"/>
    <w:rsid w:val="00C562CD"/>
    <w:rsid w:val="00C5642C"/>
    <w:rsid w:val="00C56505"/>
    <w:rsid w:val="00C56617"/>
    <w:rsid w:val="00C56664"/>
    <w:rsid w:val="00C5666C"/>
    <w:rsid w:val="00C566D6"/>
    <w:rsid w:val="00C5673E"/>
    <w:rsid w:val="00C56755"/>
    <w:rsid w:val="00C568F9"/>
    <w:rsid w:val="00C5692D"/>
    <w:rsid w:val="00C569F2"/>
    <w:rsid w:val="00C56A22"/>
    <w:rsid w:val="00C56AE8"/>
    <w:rsid w:val="00C56B92"/>
    <w:rsid w:val="00C56BEB"/>
    <w:rsid w:val="00C56C1A"/>
    <w:rsid w:val="00C56D50"/>
    <w:rsid w:val="00C56D52"/>
    <w:rsid w:val="00C56E64"/>
    <w:rsid w:val="00C56EA8"/>
    <w:rsid w:val="00C56F4D"/>
    <w:rsid w:val="00C56F9B"/>
    <w:rsid w:val="00C573CA"/>
    <w:rsid w:val="00C57406"/>
    <w:rsid w:val="00C57413"/>
    <w:rsid w:val="00C5748A"/>
    <w:rsid w:val="00C57559"/>
    <w:rsid w:val="00C57647"/>
    <w:rsid w:val="00C576C2"/>
    <w:rsid w:val="00C576D3"/>
    <w:rsid w:val="00C57772"/>
    <w:rsid w:val="00C577AD"/>
    <w:rsid w:val="00C577F7"/>
    <w:rsid w:val="00C57813"/>
    <w:rsid w:val="00C57888"/>
    <w:rsid w:val="00C57A42"/>
    <w:rsid w:val="00C57C0F"/>
    <w:rsid w:val="00C57D2E"/>
    <w:rsid w:val="00C603FE"/>
    <w:rsid w:val="00C60584"/>
    <w:rsid w:val="00C605B0"/>
    <w:rsid w:val="00C60654"/>
    <w:rsid w:val="00C60773"/>
    <w:rsid w:val="00C607EC"/>
    <w:rsid w:val="00C60989"/>
    <w:rsid w:val="00C609D9"/>
    <w:rsid w:val="00C60C7F"/>
    <w:rsid w:val="00C60D09"/>
    <w:rsid w:val="00C60E01"/>
    <w:rsid w:val="00C60E0D"/>
    <w:rsid w:val="00C60F75"/>
    <w:rsid w:val="00C61045"/>
    <w:rsid w:val="00C611AA"/>
    <w:rsid w:val="00C611AB"/>
    <w:rsid w:val="00C612AE"/>
    <w:rsid w:val="00C6137F"/>
    <w:rsid w:val="00C613EB"/>
    <w:rsid w:val="00C61521"/>
    <w:rsid w:val="00C615A0"/>
    <w:rsid w:val="00C616A2"/>
    <w:rsid w:val="00C617B2"/>
    <w:rsid w:val="00C61926"/>
    <w:rsid w:val="00C61A02"/>
    <w:rsid w:val="00C61B8F"/>
    <w:rsid w:val="00C61E9C"/>
    <w:rsid w:val="00C61EF6"/>
    <w:rsid w:val="00C62192"/>
    <w:rsid w:val="00C62210"/>
    <w:rsid w:val="00C623CA"/>
    <w:rsid w:val="00C623F2"/>
    <w:rsid w:val="00C62484"/>
    <w:rsid w:val="00C62669"/>
    <w:rsid w:val="00C6272A"/>
    <w:rsid w:val="00C62B54"/>
    <w:rsid w:val="00C62C5E"/>
    <w:rsid w:val="00C62D5D"/>
    <w:rsid w:val="00C62DF6"/>
    <w:rsid w:val="00C62EE5"/>
    <w:rsid w:val="00C62F50"/>
    <w:rsid w:val="00C63407"/>
    <w:rsid w:val="00C6343B"/>
    <w:rsid w:val="00C63446"/>
    <w:rsid w:val="00C635A0"/>
    <w:rsid w:val="00C635B6"/>
    <w:rsid w:val="00C637BF"/>
    <w:rsid w:val="00C638A5"/>
    <w:rsid w:val="00C63999"/>
    <w:rsid w:val="00C63A9B"/>
    <w:rsid w:val="00C63B26"/>
    <w:rsid w:val="00C63B30"/>
    <w:rsid w:val="00C63B31"/>
    <w:rsid w:val="00C63B8D"/>
    <w:rsid w:val="00C63CF6"/>
    <w:rsid w:val="00C63EE2"/>
    <w:rsid w:val="00C63F0B"/>
    <w:rsid w:val="00C63F90"/>
    <w:rsid w:val="00C64001"/>
    <w:rsid w:val="00C640A5"/>
    <w:rsid w:val="00C64123"/>
    <w:rsid w:val="00C64196"/>
    <w:rsid w:val="00C641AC"/>
    <w:rsid w:val="00C64404"/>
    <w:rsid w:val="00C6440A"/>
    <w:rsid w:val="00C64524"/>
    <w:rsid w:val="00C64647"/>
    <w:rsid w:val="00C646BE"/>
    <w:rsid w:val="00C64854"/>
    <w:rsid w:val="00C648C8"/>
    <w:rsid w:val="00C649BE"/>
    <w:rsid w:val="00C64A4E"/>
    <w:rsid w:val="00C64A98"/>
    <w:rsid w:val="00C64AB2"/>
    <w:rsid w:val="00C64AD9"/>
    <w:rsid w:val="00C64B87"/>
    <w:rsid w:val="00C64C1A"/>
    <w:rsid w:val="00C64DD7"/>
    <w:rsid w:val="00C64DDB"/>
    <w:rsid w:val="00C64F17"/>
    <w:rsid w:val="00C64FAF"/>
    <w:rsid w:val="00C6505B"/>
    <w:rsid w:val="00C650BB"/>
    <w:rsid w:val="00C65222"/>
    <w:rsid w:val="00C652C5"/>
    <w:rsid w:val="00C652DD"/>
    <w:rsid w:val="00C6536B"/>
    <w:rsid w:val="00C6550D"/>
    <w:rsid w:val="00C6554A"/>
    <w:rsid w:val="00C656B9"/>
    <w:rsid w:val="00C6582D"/>
    <w:rsid w:val="00C65932"/>
    <w:rsid w:val="00C65B37"/>
    <w:rsid w:val="00C65B69"/>
    <w:rsid w:val="00C65B75"/>
    <w:rsid w:val="00C65CED"/>
    <w:rsid w:val="00C65DCD"/>
    <w:rsid w:val="00C65E04"/>
    <w:rsid w:val="00C66095"/>
    <w:rsid w:val="00C660DB"/>
    <w:rsid w:val="00C66176"/>
    <w:rsid w:val="00C661F3"/>
    <w:rsid w:val="00C6620C"/>
    <w:rsid w:val="00C66235"/>
    <w:rsid w:val="00C662EA"/>
    <w:rsid w:val="00C66489"/>
    <w:rsid w:val="00C664C5"/>
    <w:rsid w:val="00C6653F"/>
    <w:rsid w:val="00C666A1"/>
    <w:rsid w:val="00C667B0"/>
    <w:rsid w:val="00C667F0"/>
    <w:rsid w:val="00C6685C"/>
    <w:rsid w:val="00C66901"/>
    <w:rsid w:val="00C6696C"/>
    <w:rsid w:val="00C66974"/>
    <w:rsid w:val="00C66B18"/>
    <w:rsid w:val="00C66BDA"/>
    <w:rsid w:val="00C66D5F"/>
    <w:rsid w:val="00C66DAF"/>
    <w:rsid w:val="00C66DDC"/>
    <w:rsid w:val="00C66DE5"/>
    <w:rsid w:val="00C66F66"/>
    <w:rsid w:val="00C670E0"/>
    <w:rsid w:val="00C671D7"/>
    <w:rsid w:val="00C67353"/>
    <w:rsid w:val="00C67451"/>
    <w:rsid w:val="00C6754F"/>
    <w:rsid w:val="00C6757A"/>
    <w:rsid w:val="00C67659"/>
    <w:rsid w:val="00C6771A"/>
    <w:rsid w:val="00C6792A"/>
    <w:rsid w:val="00C679A0"/>
    <w:rsid w:val="00C679E7"/>
    <w:rsid w:val="00C67B3C"/>
    <w:rsid w:val="00C67B3E"/>
    <w:rsid w:val="00C67BC3"/>
    <w:rsid w:val="00C67C15"/>
    <w:rsid w:val="00C67C6A"/>
    <w:rsid w:val="00C67CA1"/>
    <w:rsid w:val="00C67CDE"/>
    <w:rsid w:val="00C67D11"/>
    <w:rsid w:val="00C67D6C"/>
    <w:rsid w:val="00C67EBF"/>
    <w:rsid w:val="00C67ED5"/>
    <w:rsid w:val="00C700F8"/>
    <w:rsid w:val="00C70299"/>
    <w:rsid w:val="00C70339"/>
    <w:rsid w:val="00C703B3"/>
    <w:rsid w:val="00C704F1"/>
    <w:rsid w:val="00C70500"/>
    <w:rsid w:val="00C70CA6"/>
    <w:rsid w:val="00C70DBD"/>
    <w:rsid w:val="00C70FB4"/>
    <w:rsid w:val="00C71015"/>
    <w:rsid w:val="00C711E0"/>
    <w:rsid w:val="00C713F1"/>
    <w:rsid w:val="00C714DF"/>
    <w:rsid w:val="00C71536"/>
    <w:rsid w:val="00C71593"/>
    <w:rsid w:val="00C715B5"/>
    <w:rsid w:val="00C71713"/>
    <w:rsid w:val="00C7176A"/>
    <w:rsid w:val="00C7183C"/>
    <w:rsid w:val="00C71852"/>
    <w:rsid w:val="00C71917"/>
    <w:rsid w:val="00C719B5"/>
    <w:rsid w:val="00C71A09"/>
    <w:rsid w:val="00C71B09"/>
    <w:rsid w:val="00C71B26"/>
    <w:rsid w:val="00C71E23"/>
    <w:rsid w:val="00C71E6C"/>
    <w:rsid w:val="00C71F7F"/>
    <w:rsid w:val="00C721E1"/>
    <w:rsid w:val="00C72233"/>
    <w:rsid w:val="00C722E7"/>
    <w:rsid w:val="00C7244C"/>
    <w:rsid w:val="00C7259D"/>
    <w:rsid w:val="00C725E4"/>
    <w:rsid w:val="00C7262B"/>
    <w:rsid w:val="00C726DC"/>
    <w:rsid w:val="00C7276E"/>
    <w:rsid w:val="00C728DE"/>
    <w:rsid w:val="00C729F4"/>
    <w:rsid w:val="00C729FA"/>
    <w:rsid w:val="00C72A09"/>
    <w:rsid w:val="00C72AAB"/>
    <w:rsid w:val="00C72ABF"/>
    <w:rsid w:val="00C72DD2"/>
    <w:rsid w:val="00C72EBE"/>
    <w:rsid w:val="00C72EDB"/>
    <w:rsid w:val="00C72EF1"/>
    <w:rsid w:val="00C72F26"/>
    <w:rsid w:val="00C73009"/>
    <w:rsid w:val="00C732FA"/>
    <w:rsid w:val="00C733E6"/>
    <w:rsid w:val="00C73416"/>
    <w:rsid w:val="00C73543"/>
    <w:rsid w:val="00C7358C"/>
    <w:rsid w:val="00C73630"/>
    <w:rsid w:val="00C7365F"/>
    <w:rsid w:val="00C736FE"/>
    <w:rsid w:val="00C73852"/>
    <w:rsid w:val="00C73935"/>
    <w:rsid w:val="00C73A22"/>
    <w:rsid w:val="00C73B52"/>
    <w:rsid w:val="00C73C89"/>
    <w:rsid w:val="00C73C91"/>
    <w:rsid w:val="00C73D79"/>
    <w:rsid w:val="00C73E42"/>
    <w:rsid w:val="00C73E61"/>
    <w:rsid w:val="00C73FAC"/>
    <w:rsid w:val="00C7408A"/>
    <w:rsid w:val="00C740D2"/>
    <w:rsid w:val="00C74248"/>
    <w:rsid w:val="00C74277"/>
    <w:rsid w:val="00C74308"/>
    <w:rsid w:val="00C7442E"/>
    <w:rsid w:val="00C74449"/>
    <w:rsid w:val="00C74593"/>
    <w:rsid w:val="00C7475C"/>
    <w:rsid w:val="00C748D9"/>
    <w:rsid w:val="00C74A56"/>
    <w:rsid w:val="00C74AAA"/>
    <w:rsid w:val="00C74AF8"/>
    <w:rsid w:val="00C74BD8"/>
    <w:rsid w:val="00C74C0B"/>
    <w:rsid w:val="00C74CD4"/>
    <w:rsid w:val="00C74D5C"/>
    <w:rsid w:val="00C74DDE"/>
    <w:rsid w:val="00C74E40"/>
    <w:rsid w:val="00C74E8C"/>
    <w:rsid w:val="00C74E9D"/>
    <w:rsid w:val="00C75035"/>
    <w:rsid w:val="00C75039"/>
    <w:rsid w:val="00C7507B"/>
    <w:rsid w:val="00C750C9"/>
    <w:rsid w:val="00C751D3"/>
    <w:rsid w:val="00C7537A"/>
    <w:rsid w:val="00C7545D"/>
    <w:rsid w:val="00C75530"/>
    <w:rsid w:val="00C755E7"/>
    <w:rsid w:val="00C756B6"/>
    <w:rsid w:val="00C75736"/>
    <w:rsid w:val="00C75858"/>
    <w:rsid w:val="00C75862"/>
    <w:rsid w:val="00C75922"/>
    <w:rsid w:val="00C75942"/>
    <w:rsid w:val="00C75981"/>
    <w:rsid w:val="00C75A87"/>
    <w:rsid w:val="00C75BF0"/>
    <w:rsid w:val="00C75BFF"/>
    <w:rsid w:val="00C75CC3"/>
    <w:rsid w:val="00C75E4B"/>
    <w:rsid w:val="00C75F19"/>
    <w:rsid w:val="00C75FDB"/>
    <w:rsid w:val="00C7626D"/>
    <w:rsid w:val="00C762FE"/>
    <w:rsid w:val="00C76438"/>
    <w:rsid w:val="00C764B6"/>
    <w:rsid w:val="00C7655F"/>
    <w:rsid w:val="00C76580"/>
    <w:rsid w:val="00C76619"/>
    <w:rsid w:val="00C766AC"/>
    <w:rsid w:val="00C767D9"/>
    <w:rsid w:val="00C76ACB"/>
    <w:rsid w:val="00C76B32"/>
    <w:rsid w:val="00C76BAF"/>
    <w:rsid w:val="00C76BEB"/>
    <w:rsid w:val="00C76D57"/>
    <w:rsid w:val="00C76E3C"/>
    <w:rsid w:val="00C76EA2"/>
    <w:rsid w:val="00C76F81"/>
    <w:rsid w:val="00C76FD4"/>
    <w:rsid w:val="00C770A3"/>
    <w:rsid w:val="00C770D3"/>
    <w:rsid w:val="00C770E2"/>
    <w:rsid w:val="00C770FD"/>
    <w:rsid w:val="00C771AC"/>
    <w:rsid w:val="00C7728B"/>
    <w:rsid w:val="00C772B1"/>
    <w:rsid w:val="00C77325"/>
    <w:rsid w:val="00C773A8"/>
    <w:rsid w:val="00C773D8"/>
    <w:rsid w:val="00C77488"/>
    <w:rsid w:val="00C7748A"/>
    <w:rsid w:val="00C77495"/>
    <w:rsid w:val="00C774F2"/>
    <w:rsid w:val="00C775B2"/>
    <w:rsid w:val="00C77A8A"/>
    <w:rsid w:val="00C77AFD"/>
    <w:rsid w:val="00C77CB2"/>
    <w:rsid w:val="00C77F16"/>
    <w:rsid w:val="00C77F31"/>
    <w:rsid w:val="00C80212"/>
    <w:rsid w:val="00C8030A"/>
    <w:rsid w:val="00C80424"/>
    <w:rsid w:val="00C806C9"/>
    <w:rsid w:val="00C806DF"/>
    <w:rsid w:val="00C807B3"/>
    <w:rsid w:val="00C807BD"/>
    <w:rsid w:val="00C80AC1"/>
    <w:rsid w:val="00C80B20"/>
    <w:rsid w:val="00C80BE5"/>
    <w:rsid w:val="00C80DFB"/>
    <w:rsid w:val="00C80F02"/>
    <w:rsid w:val="00C80F1F"/>
    <w:rsid w:val="00C80F60"/>
    <w:rsid w:val="00C80F86"/>
    <w:rsid w:val="00C81067"/>
    <w:rsid w:val="00C810C9"/>
    <w:rsid w:val="00C8110B"/>
    <w:rsid w:val="00C81199"/>
    <w:rsid w:val="00C811B4"/>
    <w:rsid w:val="00C8136C"/>
    <w:rsid w:val="00C8144D"/>
    <w:rsid w:val="00C81484"/>
    <w:rsid w:val="00C81486"/>
    <w:rsid w:val="00C816A3"/>
    <w:rsid w:val="00C8171A"/>
    <w:rsid w:val="00C8175D"/>
    <w:rsid w:val="00C818A9"/>
    <w:rsid w:val="00C818F5"/>
    <w:rsid w:val="00C819BC"/>
    <w:rsid w:val="00C81A41"/>
    <w:rsid w:val="00C81AD2"/>
    <w:rsid w:val="00C81AF4"/>
    <w:rsid w:val="00C81B67"/>
    <w:rsid w:val="00C81B9E"/>
    <w:rsid w:val="00C81BEF"/>
    <w:rsid w:val="00C81C11"/>
    <w:rsid w:val="00C81C6B"/>
    <w:rsid w:val="00C81CA4"/>
    <w:rsid w:val="00C81DBC"/>
    <w:rsid w:val="00C81DEF"/>
    <w:rsid w:val="00C81FA3"/>
    <w:rsid w:val="00C81FD2"/>
    <w:rsid w:val="00C82053"/>
    <w:rsid w:val="00C821CC"/>
    <w:rsid w:val="00C8238F"/>
    <w:rsid w:val="00C823FF"/>
    <w:rsid w:val="00C82446"/>
    <w:rsid w:val="00C82453"/>
    <w:rsid w:val="00C82506"/>
    <w:rsid w:val="00C825EC"/>
    <w:rsid w:val="00C826DB"/>
    <w:rsid w:val="00C82A56"/>
    <w:rsid w:val="00C82C23"/>
    <w:rsid w:val="00C82C42"/>
    <w:rsid w:val="00C82C91"/>
    <w:rsid w:val="00C82F53"/>
    <w:rsid w:val="00C8304B"/>
    <w:rsid w:val="00C831B8"/>
    <w:rsid w:val="00C831C4"/>
    <w:rsid w:val="00C833A6"/>
    <w:rsid w:val="00C8343A"/>
    <w:rsid w:val="00C8349E"/>
    <w:rsid w:val="00C8354F"/>
    <w:rsid w:val="00C8365B"/>
    <w:rsid w:val="00C8366A"/>
    <w:rsid w:val="00C83723"/>
    <w:rsid w:val="00C83834"/>
    <w:rsid w:val="00C83892"/>
    <w:rsid w:val="00C838DE"/>
    <w:rsid w:val="00C8394B"/>
    <w:rsid w:val="00C83B64"/>
    <w:rsid w:val="00C83C82"/>
    <w:rsid w:val="00C83E2A"/>
    <w:rsid w:val="00C83EAE"/>
    <w:rsid w:val="00C83EC7"/>
    <w:rsid w:val="00C83F38"/>
    <w:rsid w:val="00C83FF0"/>
    <w:rsid w:val="00C84031"/>
    <w:rsid w:val="00C8435D"/>
    <w:rsid w:val="00C844EC"/>
    <w:rsid w:val="00C8453E"/>
    <w:rsid w:val="00C84594"/>
    <w:rsid w:val="00C845BC"/>
    <w:rsid w:val="00C845CE"/>
    <w:rsid w:val="00C84A37"/>
    <w:rsid w:val="00C84A86"/>
    <w:rsid w:val="00C84C64"/>
    <w:rsid w:val="00C84CFC"/>
    <w:rsid w:val="00C84D94"/>
    <w:rsid w:val="00C84E75"/>
    <w:rsid w:val="00C84EB4"/>
    <w:rsid w:val="00C84F6D"/>
    <w:rsid w:val="00C84FA5"/>
    <w:rsid w:val="00C85118"/>
    <w:rsid w:val="00C85143"/>
    <w:rsid w:val="00C851F6"/>
    <w:rsid w:val="00C8525F"/>
    <w:rsid w:val="00C852A9"/>
    <w:rsid w:val="00C85469"/>
    <w:rsid w:val="00C85471"/>
    <w:rsid w:val="00C85554"/>
    <w:rsid w:val="00C855A7"/>
    <w:rsid w:val="00C855B6"/>
    <w:rsid w:val="00C85632"/>
    <w:rsid w:val="00C857B2"/>
    <w:rsid w:val="00C8581D"/>
    <w:rsid w:val="00C85882"/>
    <w:rsid w:val="00C85AF7"/>
    <w:rsid w:val="00C86209"/>
    <w:rsid w:val="00C86372"/>
    <w:rsid w:val="00C86447"/>
    <w:rsid w:val="00C866C8"/>
    <w:rsid w:val="00C8681F"/>
    <w:rsid w:val="00C86918"/>
    <w:rsid w:val="00C86A95"/>
    <w:rsid w:val="00C86AF4"/>
    <w:rsid w:val="00C86B35"/>
    <w:rsid w:val="00C86D8F"/>
    <w:rsid w:val="00C87084"/>
    <w:rsid w:val="00C8725F"/>
    <w:rsid w:val="00C8732F"/>
    <w:rsid w:val="00C87376"/>
    <w:rsid w:val="00C873E5"/>
    <w:rsid w:val="00C874A7"/>
    <w:rsid w:val="00C875A6"/>
    <w:rsid w:val="00C875BD"/>
    <w:rsid w:val="00C876C3"/>
    <w:rsid w:val="00C8770A"/>
    <w:rsid w:val="00C87815"/>
    <w:rsid w:val="00C87912"/>
    <w:rsid w:val="00C87B00"/>
    <w:rsid w:val="00C87F39"/>
    <w:rsid w:val="00C900C5"/>
    <w:rsid w:val="00C900EB"/>
    <w:rsid w:val="00C90158"/>
    <w:rsid w:val="00C90294"/>
    <w:rsid w:val="00C90348"/>
    <w:rsid w:val="00C90505"/>
    <w:rsid w:val="00C90546"/>
    <w:rsid w:val="00C905AD"/>
    <w:rsid w:val="00C9065B"/>
    <w:rsid w:val="00C90763"/>
    <w:rsid w:val="00C9085F"/>
    <w:rsid w:val="00C90A56"/>
    <w:rsid w:val="00C90AA6"/>
    <w:rsid w:val="00C90B2A"/>
    <w:rsid w:val="00C90BB2"/>
    <w:rsid w:val="00C90C5C"/>
    <w:rsid w:val="00C90CEE"/>
    <w:rsid w:val="00C90E30"/>
    <w:rsid w:val="00C9100A"/>
    <w:rsid w:val="00C91206"/>
    <w:rsid w:val="00C9126B"/>
    <w:rsid w:val="00C912B7"/>
    <w:rsid w:val="00C913BC"/>
    <w:rsid w:val="00C914BB"/>
    <w:rsid w:val="00C9155D"/>
    <w:rsid w:val="00C916DD"/>
    <w:rsid w:val="00C919C8"/>
    <w:rsid w:val="00C91A22"/>
    <w:rsid w:val="00C91AA8"/>
    <w:rsid w:val="00C91AE5"/>
    <w:rsid w:val="00C91BFE"/>
    <w:rsid w:val="00C92006"/>
    <w:rsid w:val="00C920FD"/>
    <w:rsid w:val="00C921F2"/>
    <w:rsid w:val="00C92386"/>
    <w:rsid w:val="00C9241D"/>
    <w:rsid w:val="00C924E6"/>
    <w:rsid w:val="00C9271F"/>
    <w:rsid w:val="00C92798"/>
    <w:rsid w:val="00C927EF"/>
    <w:rsid w:val="00C929D2"/>
    <w:rsid w:val="00C92A78"/>
    <w:rsid w:val="00C92C68"/>
    <w:rsid w:val="00C92CFB"/>
    <w:rsid w:val="00C92D1B"/>
    <w:rsid w:val="00C92D9E"/>
    <w:rsid w:val="00C92FD6"/>
    <w:rsid w:val="00C930B1"/>
    <w:rsid w:val="00C931A2"/>
    <w:rsid w:val="00C93445"/>
    <w:rsid w:val="00C93483"/>
    <w:rsid w:val="00C9350D"/>
    <w:rsid w:val="00C93575"/>
    <w:rsid w:val="00C9363C"/>
    <w:rsid w:val="00C93814"/>
    <w:rsid w:val="00C9384F"/>
    <w:rsid w:val="00C93A95"/>
    <w:rsid w:val="00C93AAB"/>
    <w:rsid w:val="00C93CE0"/>
    <w:rsid w:val="00C93FDE"/>
    <w:rsid w:val="00C94113"/>
    <w:rsid w:val="00C94188"/>
    <w:rsid w:val="00C94478"/>
    <w:rsid w:val="00C94679"/>
    <w:rsid w:val="00C946FC"/>
    <w:rsid w:val="00C94707"/>
    <w:rsid w:val="00C9476A"/>
    <w:rsid w:val="00C947D5"/>
    <w:rsid w:val="00C947DC"/>
    <w:rsid w:val="00C94808"/>
    <w:rsid w:val="00C94916"/>
    <w:rsid w:val="00C94993"/>
    <w:rsid w:val="00C9499C"/>
    <w:rsid w:val="00C94B2B"/>
    <w:rsid w:val="00C94BBB"/>
    <w:rsid w:val="00C94DB2"/>
    <w:rsid w:val="00C94F60"/>
    <w:rsid w:val="00C951B3"/>
    <w:rsid w:val="00C95397"/>
    <w:rsid w:val="00C95412"/>
    <w:rsid w:val="00C9548C"/>
    <w:rsid w:val="00C956FC"/>
    <w:rsid w:val="00C957B4"/>
    <w:rsid w:val="00C9584B"/>
    <w:rsid w:val="00C959BD"/>
    <w:rsid w:val="00C95A69"/>
    <w:rsid w:val="00C95A72"/>
    <w:rsid w:val="00C95B1B"/>
    <w:rsid w:val="00C95BB0"/>
    <w:rsid w:val="00C95BC3"/>
    <w:rsid w:val="00C95D39"/>
    <w:rsid w:val="00C95D65"/>
    <w:rsid w:val="00C95F20"/>
    <w:rsid w:val="00C95F8E"/>
    <w:rsid w:val="00C95FCF"/>
    <w:rsid w:val="00C960A1"/>
    <w:rsid w:val="00C96376"/>
    <w:rsid w:val="00C96420"/>
    <w:rsid w:val="00C9646B"/>
    <w:rsid w:val="00C96754"/>
    <w:rsid w:val="00C968AE"/>
    <w:rsid w:val="00C968FF"/>
    <w:rsid w:val="00C96AD1"/>
    <w:rsid w:val="00C96D02"/>
    <w:rsid w:val="00C96E21"/>
    <w:rsid w:val="00C96EAA"/>
    <w:rsid w:val="00C970B1"/>
    <w:rsid w:val="00C97175"/>
    <w:rsid w:val="00C97226"/>
    <w:rsid w:val="00C972FB"/>
    <w:rsid w:val="00C97415"/>
    <w:rsid w:val="00C97496"/>
    <w:rsid w:val="00C9750D"/>
    <w:rsid w:val="00C97633"/>
    <w:rsid w:val="00C97772"/>
    <w:rsid w:val="00C978D6"/>
    <w:rsid w:val="00C979B8"/>
    <w:rsid w:val="00C979DC"/>
    <w:rsid w:val="00C979FD"/>
    <w:rsid w:val="00C97A7D"/>
    <w:rsid w:val="00C97B1C"/>
    <w:rsid w:val="00C97BBB"/>
    <w:rsid w:val="00C97C3C"/>
    <w:rsid w:val="00C97DCB"/>
    <w:rsid w:val="00C97DE7"/>
    <w:rsid w:val="00C97E7B"/>
    <w:rsid w:val="00C97ED6"/>
    <w:rsid w:val="00C97FB6"/>
    <w:rsid w:val="00C97FB9"/>
    <w:rsid w:val="00C97FE7"/>
    <w:rsid w:val="00CA0094"/>
    <w:rsid w:val="00CA012D"/>
    <w:rsid w:val="00CA014D"/>
    <w:rsid w:val="00CA01B7"/>
    <w:rsid w:val="00CA0536"/>
    <w:rsid w:val="00CA0556"/>
    <w:rsid w:val="00CA06FE"/>
    <w:rsid w:val="00CA075E"/>
    <w:rsid w:val="00CA08EF"/>
    <w:rsid w:val="00CA0A90"/>
    <w:rsid w:val="00CA0AF4"/>
    <w:rsid w:val="00CA0BBA"/>
    <w:rsid w:val="00CA0BEB"/>
    <w:rsid w:val="00CA0C87"/>
    <w:rsid w:val="00CA0E67"/>
    <w:rsid w:val="00CA0EA8"/>
    <w:rsid w:val="00CA0F32"/>
    <w:rsid w:val="00CA0F55"/>
    <w:rsid w:val="00CA1329"/>
    <w:rsid w:val="00CA138F"/>
    <w:rsid w:val="00CA16B2"/>
    <w:rsid w:val="00CA16E0"/>
    <w:rsid w:val="00CA16F6"/>
    <w:rsid w:val="00CA1723"/>
    <w:rsid w:val="00CA17D5"/>
    <w:rsid w:val="00CA18A2"/>
    <w:rsid w:val="00CA1941"/>
    <w:rsid w:val="00CA196A"/>
    <w:rsid w:val="00CA1974"/>
    <w:rsid w:val="00CA1A16"/>
    <w:rsid w:val="00CA1ADF"/>
    <w:rsid w:val="00CA1D21"/>
    <w:rsid w:val="00CA1DDA"/>
    <w:rsid w:val="00CA1EC0"/>
    <w:rsid w:val="00CA206B"/>
    <w:rsid w:val="00CA225C"/>
    <w:rsid w:val="00CA2330"/>
    <w:rsid w:val="00CA24AD"/>
    <w:rsid w:val="00CA2967"/>
    <w:rsid w:val="00CA2999"/>
    <w:rsid w:val="00CA2A70"/>
    <w:rsid w:val="00CA2B7C"/>
    <w:rsid w:val="00CA2C82"/>
    <w:rsid w:val="00CA2CE0"/>
    <w:rsid w:val="00CA2EA2"/>
    <w:rsid w:val="00CA2F0C"/>
    <w:rsid w:val="00CA2FC4"/>
    <w:rsid w:val="00CA309F"/>
    <w:rsid w:val="00CA30D8"/>
    <w:rsid w:val="00CA3182"/>
    <w:rsid w:val="00CA31D4"/>
    <w:rsid w:val="00CA3297"/>
    <w:rsid w:val="00CA32EB"/>
    <w:rsid w:val="00CA33B5"/>
    <w:rsid w:val="00CA33BB"/>
    <w:rsid w:val="00CA343E"/>
    <w:rsid w:val="00CA3589"/>
    <w:rsid w:val="00CA363B"/>
    <w:rsid w:val="00CA36ED"/>
    <w:rsid w:val="00CA37E3"/>
    <w:rsid w:val="00CA37EA"/>
    <w:rsid w:val="00CA380B"/>
    <w:rsid w:val="00CA38BF"/>
    <w:rsid w:val="00CA398B"/>
    <w:rsid w:val="00CA3A86"/>
    <w:rsid w:val="00CA3AAB"/>
    <w:rsid w:val="00CA3ABD"/>
    <w:rsid w:val="00CA3B48"/>
    <w:rsid w:val="00CA3B64"/>
    <w:rsid w:val="00CA3C93"/>
    <w:rsid w:val="00CA3D0A"/>
    <w:rsid w:val="00CA3D15"/>
    <w:rsid w:val="00CA3D67"/>
    <w:rsid w:val="00CA3DD2"/>
    <w:rsid w:val="00CA3EF7"/>
    <w:rsid w:val="00CA3F67"/>
    <w:rsid w:val="00CA3FA9"/>
    <w:rsid w:val="00CA4291"/>
    <w:rsid w:val="00CA42C7"/>
    <w:rsid w:val="00CA463C"/>
    <w:rsid w:val="00CA47D9"/>
    <w:rsid w:val="00CA47E2"/>
    <w:rsid w:val="00CA4809"/>
    <w:rsid w:val="00CA49BE"/>
    <w:rsid w:val="00CA4A38"/>
    <w:rsid w:val="00CA4A6D"/>
    <w:rsid w:val="00CA4E1D"/>
    <w:rsid w:val="00CA4FD6"/>
    <w:rsid w:val="00CA5029"/>
    <w:rsid w:val="00CA53AB"/>
    <w:rsid w:val="00CA5573"/>
    <w:rsid w:val="00CA5609"/>
    <w:rsid w:val="00CA57C6"/>
    <w:rsid w:val="00CA57D3"/>
    <w:rsid w:val="00CA5A8F"/>
    <w:rsid w:val="00CA5AD1"/>
    <w:rsid w:val="00CA5B7E"/>
    <w:rsid w:val="00CA5C65"/>
    <w:rsid w:val="00CA5CCF"/>
    <w:rsid w:val="00CA5D54"/>
    <w:rsid w:val="00CA5D6B"/>
    <w:rsid w:val="00CA5D80"/>
    <w:rsid w:val="00CA6121"/>
    <w:rsid w:val="00CA6260"/>
    <w:rsid w:val="00CA6369"/>
    <w:rsid w:val="00CA6422"/>
    <w:rsid w:val="00CA64DB"/>
    <w:rsid w:val="00CA64F8"/>
    <w:rsid w:val="00CA650E"/>
    <w:rsid w:val="00CA6660"/>
    <w:rsid w:val="00CA6701"/>
    <w:rsid w:val="00CA6720"/>
    <w:rsid w:val="00CA68BE"/>
    <w:rsid w:val="00CA6969"/>
    <w:rsid w:val="00CA69E1"/>
    <w:rsid w:val="00CA6A10"/>
    <w:rsid w:val="00CA6A40"/>
    <w:rsid w:val="00CA6B75"/>
    <w:rsid w:val="00CA6C36"/>
    <w:rsid w:val="00CA6C7F"/>
    <w:rsid w:val="00CA6D36"/>
    <w:rsid w:val="00CA6F14"/>
    <w:rsid w:val="00CA6F8D"/>
    <w:rsid w:val="00CA6FFE"/>
    <w:rsid w:val="00CA70F1"/>
    <w:rsid w:val="00CA7118"/>
    <w:rsid w:val="00CA7156"/>
    <w:rsid w:val="00CA715B"/>
    <w:rsid w:val="00CA7246"/>
    <w:rsid w:val="00CA728F"/>
    <w:rsid w:val="00CA7292"/>
    <w:rsid w:val="00CA72EB"/>
    <w:rsid w:val="00CA7407"/>
    <w:rsid w:val="00CA7544"/>
    <w:rsid w:val="00CA775A"/>
    <w:rsid w:val="00CA77EC"/>
    <w:rsid w:val="00CA785E"/>
    <w:rsid w:val="00CA7B14"/>
    <w:rsid w:val="00CA7C3D"/>
    <w:rsid w:val="00CA7E75"/>
    <w:rsid w:val="00CA7F10"/>
    <w:rsid w:val="00CA7F29"/>
    <w:rsid w:val="00CB018D"/>
    <w:rsid w:val="00CB0196"/>
    <w:rsid w:val="00CB0266"/>
    <w:rsid w:val="00CB0309"/>
    <w:rsid w:val="00CB03D8"/>
    <w:rsid w:val="00CB04B0"/>
    <w:rsid w:val="00CB04E3"/>
    <w:rsid w:val="00CB060D"/>
    <w:rsid w:val="00CB06D5"/>
    <w:rsid w:val="00CB07AD"/>
    <w:rsid w:val="00CB08A1"/>
    <w:rsid w:val="00CB09CD"/>
    <w:rsid w:val="00CB0A2E"/>
    <w:rsid w:val="00CB0C68"/>
    <w:rsid w:val="00CB0DEA"/>
    <w:rsid w:val="00CB0DF3"/>
    <w:rsid w:val="00CB0F3D"/>
    <w:rsid w:val="00CB0F48"/>
    <w:rsid w:val="00CB0F8E"/>
    <w:rsid w:val="00CB12C9"/>
    <w:rsid w:val="00CB137E"/>
    <w:rsid w:val="00CB14BA"/>
    <w:rsid w:val="00CB152F"/>
    <w:rsid w:val="00CB15BC"/>
    <w:rsid w:val="00CB160C"/>
    <w:rsid w:val="00CB165B"/>
    <w:rsid w:val="00CB18A7"/>
    <w:rsid w:val="00CB1970"/>
    <w:rsid w:val="00CB198A"/>
    <w:rsid w:val="00CB19C5"/>
    <w:rsid w:val="00CB1B92"/>
    <w:rsid w:val="00CB1D2A"/>
    <w:rsid w:val="00CB1D39"/>
    <w:rsid w:val="00CB1F18"/>
    <w:rsid w:val="00CB1F3D"/>
    <w:rsid w:val="00CB2026"/>
    <w:rsid w:val="00CB206C"/>
    <w:rsid w:val="00CB2224"/>
    <w:rsid w:val="00CB240A"/>
    <w:rsid w:val="00CB2669"/>
    <w:rsid w:val="00CB26E5"/>
    <w:rsid w:val="00CB2707"/>
    <w:rsid w:val="00CB27DA"/>
    <w:rsid w:val="00CB2868"/>
    <w:rsid w:val="00CB28C6"/>
    <w:rsid w:val="00CB2900"/>
    <w:rsid w:val="00CB2921"/>
    <w:rsid w:val="00CB29C1"/>
    <w:rsid w:val="00CB2AAA"/>
    <w:rsid w:val="00CB2AF8"/>
    <w:rsid w:val="00CB2AFA"/>
    <w:rsid w:val="00CB2B26"/>
    <w:rsid w:val="00CB2BD5"/>
    <w:rsid w:val="00CB2E42"/>
    <w:rsid w:val="00CB306E"/>
    <w:rsid w:val="00CB3269"/>
    <w:rsid w:val="00CB3304"/>
    <w:rsid w:val="00CB33E7"/>
    <w:rsid w:val="00CB34EC"/>
    <w:rsid w:val="00CB3A83"/>
    <w:rsid w:val="00CB3AC9"/>
    <w:rsid w:val="00CB3C25"/>
    <w:rsid w:val="00CB3C87"/>
    <w:rsid w:val="00CB3E30"/>
    <w:rsid w:val="00CB443D"/>
    <w:rsid w:val="00CB446D"/>
    <w:rsid w:val="00CB4720"/>
    <w:rsid w:val="00CB47BF"/>
    <w:rsid w:val="00CB489D"/>
    <w:rsid w:val="00CB4966"/>
    <w:rsid w:val="00CB4C9D"/>
    <w:rsid w:val="00CB4D3F"/>
    <w:rsid w:val="00CB5081"/>
    <w:rsid w:val="00CB520D"/>
    <w:rsid w:val="00CB527B"/>
    <w:rsid w:val="00CB533A"/>
    <w:rsid w:val="00CB5381"/>
    <w:rsid w:val="00CB53DD"/>
    <w:rsid w:val="00CB55B3"/>
    <w:rsid w:val="00CB56CB"/>
    <w:rsid w:val="00CB5791"/>
    <w:rsid w:val="00CB5933"/>
    <w:rsid w:val="00CB5B25"/>
    <w:rsid w:val="00CB5C69"/>
    <w:rsid w:val="00CB5CD8"/>
    <w:rsid w:val="00CB5D5B"/>
    <w:rsid w:val="00CB5E8C"/>
    <w:rsid w:val="00CB5ED4"/>
    <w:rsid w:val="00CB5ED8"/>
    <w:rsid w:val="00CB6050"/>
    <w:rsid w:val="00CB6097"/>
    <w:rsid w:val="00CB620A"/>
    <w:rsid w:val="00CB62A7"/>
    <w:rsid w:val="00CB6304"/>
    <w:rsid w:val="00CB633D"/>
    <w:rsid w:val="00CB6399"/>
    <w:rsid w:val="00CB6455"/>
    <w:rsid w:val="00CB64CC"/>
    <w:rsid w:val="00CB6529"/>
    <w:rsid w:val="00CB65A5"/>
    <w:rsid w:val="00CB6607"/>
    <w:rsid w:val="00CB6753"/>
    <w:rsid w:val="00CB68E1"/>
    <w:rsid w:val="00CB69B5"/>
    <w:rsid w:val="00CB6A41"/>
    <w:rsid w:val="00CB6C30"/>
    <w:rsid w:val="00CB6C8C"/>
    <w:rsid w:val="00CB6E98"/>
    <w:rsid w:val="00CB6F72"/>
    <w:rsid w:val="00CB6FD9"/>
    <w:rsid w:val="00CB6FEB"/>
    <w:rsid w:val="00CB7084"/>
    <w:rsid w:val="00CB70F3"/>
    <w:rsid w:val="00CB71FC"/>
    <w:rsid w:val="00CB722D"/>
    <w:rsid w:val="00CB7319"/>
    <w:rsid w:val="00CB74AD"/>
    <w:rsid w:val="00CB74C3"/>
    <w:rsid w:val="00CB7525"/>
    <w:rsid w:val="00CB75C5"/>
    <w:rsid w:val="00CB75E1"/>
    <w:rsid w:val="00CB7684"/>
    <w:rsid w:val="00CB786D"/>
    <w:rsid w:val="00CB78C5"/>
    <w:rsid w:val="00CB7A2F"/>
    <w:rsid w:val="00CC00F7"/>
    <w:rsid w:val="00CC01A3"/>
    <w:rsid w:val="00CC0329"/>
    <w:rsid w:val="00CC038B"/>
    <w:rsid w:val="00CC041B"/>
    <w:rsid w:val="00CC0479"/>
    <w:rsid w:val="00CC04D5"/>
    <w:rsid w:val="00CC0514"/>
    <w:rsid w:val="00CC0627"/>
    <w:rsid w:val="00CC068F"/>
    <w:rsid w:val="00CC08E8"/>
    <w:rsid w:val="00CC0ACA"/>
    <w:rsid w:val="00CC0B4D"/>
    <w:rsid w:val="00CC0B7A"/>
    <w:rsid w:val="00CC0D30"/>
    <w:rsid w:val="00CC0E35"/>
    <w:rsid w:val="00CC0F07"/>
    <w:rsid w:val="00CC10CC"/>
    <w:rsid w:val="00CC1145"/>
    <w:rsid w:val="00CC1208"/>
    <w:rsid w:val="00CC1273"/>
    <w:rsid w:val="00CC138A"/>
    <w:rsid w:val="00CC142C"/>
    <w:rsid w:val="00CC1555"/>
    <w:rsid w:val="00CC15CE"/>
    <w:rsid w:val="00CC173C"/>
    <w:rsid w:val="00CC1A75"/>
    <w:rsid w:val="00CC1C42"/>
    <w:rsid w:val="00CC1F6D"/>
    <w:rsid w:val="00CC2145"/>
    <w:rsid w:val="00CC2201"/>
    <w:rsid w:val="00CC241D"/>
    <w:rsid w:val="00CC2533"/>
    <w:rsid w:val="00CC25EA"/>
    <w:rsid w:val="00CC270C"/>
    <w:rsid w:val="00CC275F"/>
    <w:rsid w:val="00CC27D7"/>
    <w:rsid w:val="00CC28A0"/>
    <w:rsid w:val="00CC292F"/>
    <w:rsid w:val="00CC2A8E"/>
    <w:rsid w:val="00CC2B2A"/>
    <w:rsid w:val="00CC2C4C"/>
    <w:rsid w:val="00CC2C57"/>
    <w:rsid w:val="00CC2C8D"/>
    <w:rsid w:val="00CC2CE7"/>
    <w:rsid w:val="00CC2DEE"/>
    <w:rsid w:val="00CC32BD"/>
    <w:rsid w:val="00CC3442"/>
    <w:rsid w:val="00CC344E"/>
    <w:rsid w:val="00CC34BE"/>
    <w:rsid w:val="00CC376F"/>
    <w:rsid w:val="00CC377F"/>
    <w:rsid w:val="00CC3846"/>
    <w:rsid w:val="00CC3889"/>
    <w:rsid w:val="00CC38D8"/>
    <w:rsid w:val="00CC3933"/>
    <w:rsid w:val="00CC39B5"/>
    <w:rsid w:val="00CC3C3A"/>
    <w:rsid w:val="00CC3DEF"/>
    <w:rsid w:val="00CC3F23"/>
    <w:rsid w:val="00CC3F26"/>
    <w:rsid w:val="00CC3F59"/>
    <w:rsid w:val="00CC410F"/>
    <w:rsid w:val="00CC413E"/>
    <w:rsid w:val="00CC41FC"/>
    <w:rsid w:val="00CC4395"/>
    <w:rsid w:val="00CC43EC"/>
    <w:rsid w:val="00CC440B"/>
    <w:rsid w:val="00CC44B3"/>
    <w:rsid w:val="00CC44E3"/>
    <w:rsid w:val="00CC45AA"/>
    <w:rsid w:val="00CC47BD"/>
    <w:rsid w:val="00CC4923"/>
    <w:rsid w:val="00CC4C45"/>
    <w:rsid w:val="00CC4F5B"/>
    <w:rsid w:val="00CC5090"/>
    <w:rsid w:val="00CC52A1"/>
    <w:rsid w:val="00CC5376"/>
    <w:rsid w:val="00CC5379"/>
    <w:rsid w:val="00CC53DA"/>
    <w:rsid w:val="00CC570C"/>
    <w:rsid w:val="00CC5737"/>
    <w:rsid w:val="00CC5768"/>
    <w:rsid w:val="00CC57ED"/>
    <w:rsid w:val="00CC591B"/>
    <w:rsid w:val="00CC612F"/>
    <w:rsid w:val="00CC6360"/>
    <w:rsid w:val="00CC6437"/>
    <w:rsid w:val="00CC65AC"/>
    <w:rsid w:val="00CC6677"/>
    <w:rsid w:val="00CC6766"/>
    <w:rsid w:val="00CC689C"/>
    <w:rsid w:val="00CC68C6"/>
    <w:rsid w:val="00CC6958"/>
    <w:rsid w:val="00CC69C9"/>
    <w:rsid w:val="00CC6A09"/>
    <w:rsid w:val="00CC6B35"/>
    <w:rsid w:val="00CC6EB7"/>
    <w:rsid w:val="00CC6ECA"/>
    <w:rsid w:val="00CC6ECC"/>
    <w:rsid w:val="00CC6FB8"/>
    <w:rsid w:val="00CC708B"/>
    <w:rsid w:val="00CC71ED"/>
    <w:rsid w:val="00CC72E5"/>
    <w:rsid w:val="00CC7696"/>
    <w:rsid w:val="00CC785F"/>
    <w:rsid w:val="00CC793C"/>
    <w:rsid w:val="00CC7949"/>
    <w:rsid w:val="00CC7AF8"/>
    <w:rsid w:val="00CC7C14"/>
    <w:rsid w:val="00CC7C55"/>
    <w:rsid w:val="00CC7CB4"/>
    <w:rsid w:val="00CC7CF6"/>
    <w:rsid w:val="00CC7EF8"/>
    <w:rsid w:val="00CD02B3"/>
    <w:rsid w:val="00CD02BF"/>
    <w:rsid w:val="00CD041F"/>
    <w:rsid w:val="00CD064F"/>
    <w:rsid w:val="00CD08F7"/>
    <w:rsid w:val="00CD0A96"/>
    <w:rsid w:val="00CD0CAB"/>
    <w:rsid w:val="00CD0DB0"/>
    <w:rsid w:val="00CD0E11"/>
    <w:rsid w:val="00CD102E"/>
    <w:rsid w:val="00CD11D4"/>
    <w:rsid w:val="00CD12B4"/>
    <w:rsid w:val="00CD1311"/>
    <w:rsid w:val="00CD138F"/>
    <w:rsid w:val="00CD1446"/>
    <w:rsid w:val="00CD1473"/>
    <w:rsid w:val="00CD14CB"/>
    <w:rsid w:val="00CD14E1"/>
    <w:rsid w:val="00CD1755"/>
    <w:rsid w:val="00CD1818"/>
    <w:rsid w:val="00CD1A22"/>
    <w:rsid w:val="00CD1B0F"/>
    <w:rsid w:val="00CD1C9C"/>
    <w:rsid w:val="00CD209D"/>
    <w:rsid w:val="00CD20DC"/>
    <w:rsid w:val="00CD2429"/>
    <w:rsid w:val="00CD254F"/>
    <w:rsid w:val="00CD2551"/>
    <w:rsid w:val="00CD25AE"/>
    <w:rsid w:val="00CD29EA"/>
    <w:rsid w:val="00CD2B1B"/>
    <w:rsid w:val="00CD2C06"/>
    <w:rsid w:val="00CD2C27"/>
    <w:rsid w:val="00CD3023"/>
    <w:rsid w:val="00CD3120"/>
    <w:rsid w:val="00CD3228"/>
    <w:rsid w:val="00CD32ED"/>
    <w:rsid w:val="00CD33BB"/>
    <w:rsid w:val="00CD3437"/>
    <w:rsid w:val="00CD3800"/>
    <w:rsid w:val="00CD38C3"/>
    <w:rsid w:val="00CD3A89"/>
    <w:rsid w:val="00CD3BC1"/>
    <w:rsid w:val="00CD3CC0"/>
    <w:rsid w:val="00CD3FA4"/>
    <w:rsid w:val="00CD4029"/>
    <w:rsid w:val="00CD4191"/>
    <w:rsid w:val="00CD4264"/>
    <w:rsid w:val="00CD42DF"/>
    <w:rsid w:val="00CD4343"/>
    <w:rsid w:val="00CD4527"/>
    <w:rsid w:val="00CD45C6"/>
    <w:rsid w:val="00CD4C7F"/>
    <w:rsid w:val="00CD4DFD"/>
    <w:rsid w:val="00CD4EF3"/>
    <w:rsid w:val="00CD4EFE"/>
    <w:rsid w:val="00CD4F88"/>
    <w:rsid w:val="00CD502D"/>
    <w:rsid w:val="00CD50E6"/>
    <w:rsid w:val="00CD521E"/>
    <w:rsid w:val="00CD53C2"/>
    <w:rsid w:val="00CD5457"/>
    <w:rsid w:val="00CD54A0"/>
    <w:rsid w:val="00CD5543"/>
    <w:rsid w:val="00CD56DB"/>
    <w:rsid w:val="00CD57B2"/>
    <w:rsid w:val="00CD58B9"/>
    <w:rsid w:val="00CD58C4"/>
    <w:rsid w:val="00CD5987"/>
    <w:rsid w:val="00CD59B7"/>
    <w:rsid w:val="00CD59F9"/>
    <w:rsid w:val="00CD5AD1"/>
    <w:rsid w:val="00CD5B99"/>
    <w:rsid w:val="00CD5E5F"/>
    <w:rsid w:val="00CD5E83"/>
    <w:rsid w:val="00CD60F0"/>
    <w:rsid w:val="00CD6169"/>
    <w:rsid w:val="00CD618A"/>
    <w:rsid w:val="00CD6258"/>
    <w:rsid w:val="00CD636E"/>
    <w:rsid w:val="00CD640E"/>
    <w:rsid w:val="00CD64DB"/>
    <w:rsid w:val="00CD659A"/>
    <w:rsid w:val="00CD6644"/>
    <w:rsid w:val="00CD669E"/>
    <w:rsid w:val="00CD67B6"/>
    <w:rsid w:val="00CD67ED"/>
    <w:rsid w:val="00CD68AA"/>
    <w:rsid w:val="00CD691A"/>
    <w:rsid w:val="00CD69C7"/>
    <w:rsid w:val="00CD6B72"/>
    <w:rsid w:val="00CD6C03"/>
    <w:rsid w:val="00CD6C26"/>
    <w:rsid w:val="00CD6CC8"/>
    <w:rsid w:val="00CD6D17"/>
    <w:rsid w:val="00CD6D76"/>
    <w:rsid w:val="00CD6DBA"/>
    <w:rsid w:val="00CD7299"/>
    <w:rsid w:val="00CD735F"/>
    <w:rsid w:val="00CD741D"/>
    <w:rsid w:val="00CD74FF"/>
    <w:rsid w:val="00CD7645"/>
    <w:rsid w:val="00CD7695"/>
    <w:rsid w:val="00CD774C"/>
    <w:rsid w:val="00CD7779"/>
    <w:rsid w:val="00CD77C8"/>
    <w:rsid w:val="00CD7923"/>
    <w:rsid w:val="00CD79DA"/>
    <w:rsid w:val="00CD7CA3"/>
    <w:rsid w:val="00CD7CDC"/>
    <w:rsid w:val="00CD7E8D"/>
    <w:rsid w:val="00CE0510"/>
    <w:rsid w:val="00CE09B5"/>
    <w:rsid w:val="00CE09C2"/>
    <w:rsid w:val="00CE0A33"/>
    <w:rsid w:val="00CE0A69"/>
    <w:rsid w:val="00CE0B2E"/>
    <w:rsid w:val="00CE0BC3"/>
    <w:rsid w:val="00CE0DA1"/>
    <w:rsid w:val="00CE0EEC"/>
    <w:rsid w:val="00CE0F06"/>
    <w:rsid w:val="00CE0F89"/>
    <w:rsid w:val="00CE0FDB"/>
    <w:rsid w:val="00CE1068"/>
    <w:rsid w:val="00CE10AD"/>
    <w:rsid w:val="00CE1309"/>
    <w:rsid w:val="00CE16B6"/>
    <w:rsid w:val="00CE16D3"/>
    <w:rsid w:val="00CE1850"/>
    <w:rsid w:val="00CE1898"/>
    <w:rsid w:val="00CE18D9"/>
    <w:rsid w:val="00CE1992"/>
    <w:rsid w:val="00CE1A3F"/>
    <w:rsid w:val="00CE1B36"/>
    <w:rsid w:val="00CE1B37"/>
    <w:rsid w:val="00CE1C17"/>
    <w:rsid w:val="00CE1DE2"/>
    <w:rsid w:val="00CE1E26"/>
    <w:rsid w:val="00CE1EE7"/>
    <w:rsid w:val="00CE1F42"/>
    <w:rsid w:val="00CE201C"/>
    <w:rsid w:val="00CE220D"/>
    <w:rsid w:val="00CE2325"/>
    <w:rsid w:val="00CE2364"/>
    <w:rsid w:val="00CE2400"/>
    <w:rsid w:val="00CE241C"/>
    <w:rsid w:val="00CE2460"/>
    <w:rsid w:val="00CE24AC"/>
    <w:rsid w:val="00CE24F0"/>
    <w:rsid w:val="00CE2550"/>
    <w:rsid w:val="00CE25DE"/>
    <w:rsid w:val="00CE25F5"/>
    <w:rsid w:val="00CE261E"/>
    <w:rsid w:val="00CE26D3"/>
    <w:rsid w:val="00CE2772"/>
    <w:rsid w:val="00CE2982"/>
    <w:rsid w:val="00CE2BD4"/>
    <w:rsid w:val="00CE2D43"/>
    <w:rsid w:val="00CE2F2B"/>
    <w:rsid w:val="00CE3077"/>
    <w:rsid w:val="00CE30C2"/>
    <w:rsid w:val="00CE320C"/>
    <w:rsid w:val="00CE3268"/>
    <w:rsid w:val="00CE34D1"/>
    <w:rsid w:val="00CE34FC"/>
    <w:rsid w:val="00CE37B4"/>
    <w:rsid w:val="00CE393B"/>
    <w:rsid w:val="00CE3943"/>
    <w:rsid w:val="00CE3AE3"/>
    <w:rsid w:val="00CE3C85"/>
    <w:rsid w:val="00CE3DBC"/>
    <w:rsid w:val="00CE3EED"/>
    <w:rsid w:val="00CE3F5B"/>
    <w:rsid w:val="00CE4274"/>
    <w:rsid w:val="00CE4367"/>
    <w:rsid w:val="00CE4500"/>
    <w:rsid w:val="00CE472E"/>
    <w:rsid w:val="00CE47B6"/>
    <w:rsid w:val="00CE48D8"/>
    <w:rsid w:val="00CE49F6"/>
    <w:rsid w:val="00CE49F9"/>
    <w:rsid w:val="00CE4D32"/>
    <w:rsid w:val="00CE4E5A"/>
    <w:rsid w:val="00CE4E60"/>
    <w:rsid w:val="00CE4F64"/>
    <w:rsid w:val="00CE4F74"/>
    <w:rsid w:val="00CE50BF"/>
    <w:rsid w:val="00CE5140"/>
    <w:rsid w:val="00CE537C"/>
    <w:rsid w:val="00CE549C"/>
    <w:rsid w:val="00CE54E8"/>
    <w:rsid w:val="00CE5527"/>
    <w:rsid w:val="00CE58E1"/>
    <w:rsid w:val="00CE5BEB"/>
    <w:rsid w:val="00CE5C57"/>
    <w:rsid w:val="00CE5C6F"/>
    <w:rsid w:val="00CE5E60"/>
    <w:rsid w:val="00CE5F44"/>
    <w:rsid w:val="00CE6002"/>
    <w:rsid w:val="00CE6134"/>
    <w:rsid w:val="00CE6197"/>
    <w:rsid w:val="00CE6249"/>
    <w:rsid w:val="00CE627F"/>
    <w:rsid w:val="00CE6329"/>
    <w:rsid w:val="00CE633F"/>
    <w:rsid w:val="00CE6414"/>
    <w:rsid w:val="00CE6713"/>
    <w:rsid w:val="00CE6791"/>
    <w:rsid w:val="00CE67B4"/>
    <w:rsid w:val="00CE67BE"/>
    <w:rsid w:val="00CE6816"/>
    <w:rsid w:val="00CE69E9"/>
    <w:rsid w:val="00CE6C5C"/>
    <w:rsid w:val="00CE6CD9"/>
    <w:rsid w:val="00CE6D3A"/>
    <w:rsid w:val="00CE6DED"/>
    <w:rsid w:val="00CE6EB3"/>
    <w:rsid w:val="00CE6F54"/>
    <w:rsid w:val="00CE6F97"/>
    <w:rsid w:val="00CE6FD3"/>
    <w:rsid w:val="00CE700A"/>
    <w:rsid w:val="00CE705A"/>
    <w:rsid w:val="00CE70DB"/>
    <w:rsid w:val="00CE72DB"/>
    <w:rsid w:val="00CE7469"/>
    <w:rsid w:val="00CE75EE"/>
    <w:rsid w:val="00CE77BD"/>
    <w:rsid w:val="00CE7925"/>
    <w:rsid w:val="00CE794D"/>
    <w:rsid w:val="00CE79D4"/>
    <w:rsid w:val="00CE7B27"/>
    <w:rsid w:val="00CE7C38"/>
    <w:rsid w:val="00CE7CF9"/>
    <w:rsid w:val="00CE7E3E"/>
    <w:rsid w:val="00CE7E52"/>
    <w:rsid w:val="00CE7F36"/>
    <w:rsid w:val="00CF01DE"/>
    <w:rsid w:val="00CF0594"/>
    <w:rsid w:val="00CF0704"/>
    <w:rsid w:val="00CF08B9"/>
    <w:rsid w:val="00CF09DA"/>
    <w:rsid w:val="00CF0AE0"/>
    <w:rsid w:val="00CF0AE2"/>
    <w:rsid w:val="00CF0B6C"/>
    <w:rsid w:val="00CF0C2F"/>
    <w:rsid w:val="00CF0C52"/>
    <w:rsid w:val="00CF0E45"/>
    <w:rsid w:val="00CF0E8F"/>
    <w:rsid w:val="00CF0EC8"/>
    <w:rsid w:val="00CF0F4B"/>
    <w:rsid w:val="00CF0FCE"/>
    <w:rsid w:val="00CF11AD"/>
    <w:rsid w:val="00CF1254"/>
    <w:rsid w:val="00CF1573"/>
    <w:rsid w:val="00CF17C8"/>
    <w:rsid w:val="00CF18C4"/>
    <w:rsid w:val="00CF1998"/>
    <w:rsid w:val="00CF1A2E"/>
    <w:rsid w:val="00CF1C59"/>
    <w:rsid w:val="00CF1CC5"/>
    <w:rsid w:val="00CF1CFD"/>
    <w:rsid w:val="00CF1D85"/>
    <w:rsid w:val="00CF1E08"/>
    <w:rsid w:val="00CF1FF7"/>
    <w:rsid w:val="00CF2133"/>
    <w:rsid w:val="00CF22AE"/>
    <w:rsid w:val="00CF24F0"/>
    <w:rsid w:val="00CF2570"/>
    <w:rsid w:val="00CF257A"/>
    <w:rsid w:val="00CF27CA"/>
    <w:rsid w:val="00CF2D6C"/>
    <w:rsid w:val="00CF2F50"/>
    <w:rsid w:val="00CF3036"/>
    <w:rsid w:val="00CF30D8"/>
    <w:rsid w:val="00CF311E"/>
    <w:rsid w:val="00CF313D"/>
    <w:rsid w:val="00CF3324"/>
    <w:rsid w:val="00CF337C"/>
    <w:rsid w:val="00CF338C"/>
    <w:rsid w:val="00CF3470"/>
    <w:rsid w:val="00CF389C"/>
    <w:rsid w:val="00CF3A3B"/>
    <w:rsid w:val="00CF3A4B"/>
    <w:rsid w:val="00CF3A5A"/>
    <w:rsid w:val="00CF3B46"/>
    <w:rsid w:val="00CF3BE7"/>
    <w:rsid w:val="00CF3C1F"/>
    <w:rsid w:val="00CF3C3E"/>
    <w:rsid w:val="00CF3C8D"/>
    <w:rsid w:val="00CF3D60"/>
    <w:rsid w:val="00CF3DC2"/>
    <w:rsid w:val="00CF3E62"/>
    <w:rsid w:val="00CF3E7B"/>
    <w:rsid w:val="00CF3F30"/>
    <w:rsid w:val="00CF3F7E"/>
    <w:rsid w:val="00CF422C"/>
    <w:rsid w:val="00CF45D6"/>
    <w:rsid w:val="00CF4681"/>
    <w:rsid w:val="00CF476C"/>
    <w:rsid w:val="00CF48C8"/>
    <w:rsid w:val="00CF4938"/>
    <w:rsid w:val="00CF4A02"/>
    <w:rsid w:val="00CF4D5E"/>
    <w:rsid w:val="00CF4ED7"/>
    <w:rsid w:val="00CF50C0"/>
    <w:rsid w:val="00CF543C"/>
    <w:rsid w:val="00CF5517"/>
    <w:rsid w:val="00CF5594"/>
    <w:rsid w:val="00CF5634"/>
    <w:rsid w:val="00CF56E2"/>
    <w:rsid w:val="00CF5732"/>
    <w:rsid w:val="00CF59DA"/>
    <w:rsid w:val="00CF59E9"/>
    <w:rsid w:val="00CF59F6"/>
    <w:rsid w:val="00CF5A4A"/>
    <w:rsid w:val="00CF5AB2"/>
    <w:rsid w:val="00CF5B2A"/>
    <w:rsid w:val="00CF5BBD"/>
    <w:rsid w:val="00CF5C07"/>
    <w:rsid w:val="00CF5D19"/>
    <w:rsid w:val="00CF5D3B"/>
    <w:rsid w:val="00CF5D4D"/>
    <w:rsid w:val="00CF5D6D"/>
    <w:rsid w:val="00CF5E70"/>
    <w:rsid w:val="00CF60C3"/>
    <w:rsid w:val="00CF647F"/>
    <w:rsid w:val="00CF652B"/>
    <w:rsid w:val="00CF658F"/>
    <w:rsid w:val="00CF6665"/>
    <w:rsid w:val="00CF68BB"/>
    <w:rsid w:val="00CF6920"/>
    <w:rsid w:val="00CF69D6"/>
    <w:rsid w:val="00CF6C64"/>
    <w:rsid w:val="00CF6CB3"/>
    <w:rsid w:val="00CF6E63"/>
    <w:rsid w:val="00CF6EE0"/>
    <w:rsid w:val="00CF7066"/>
    <w:rsid w:val="00CF720A"/>
    <w:rsid w:val="00CF7334"/>
    <w:rsid w:val="00CF753E"/>
    <w:rsid w:val="00CF7564"/>
    <w:rsid w:val="00CF7671"/>
    <w:rsid w:val="00CF77C9"/>
    <w:rsid w:val="00CF79D0"/>
    <w:rsid w:val="00CF7ACD"/>
    <w:rsid w:val="00CF7BE0"/>
    <w:rsid w:val="00CF7BF5"/>
    <w:rsid w:val="00CF7E5B"/>
    <w:rsid w:val="00CF7EA9"/>
    <w:rsid w:val="00CF7FF8"/>
    <w:rsid w:val="00D000D6"/>
    <w:rsid w:val="00D000FA"/>
    <w:rsid w:val="00D00220"/>
    <w:rsid w:val="00D002DD"/>
    <w:rsid w:val="00D003EB"/>
    <w:rsid w:val="00D0045A"/>
    <w:rsid w:val="00D0045C"/>
    <w:rsid w:val="00D00489"/>
    <w:rsid w:val="00D00664"/>
    <w:rsid w:val="00D00899"/>
    <w:rsid w:val="00D00933"/>
    <w:rsid w:val="00D009C9"/>
    <w:rsid w:val="00D00B0D"/>
    <w:rsid w:val="00D00B3C"/>
    <w:rsid w:val="00D00E94"/>
    <w:rsid w:val="00D01315"/>
    <w:rsid w:val="00D013EA"/>
    <w:rsid w:val="00D01486"/>
    <w:rsid w:val="00D014E1"/>
    <w:rsid w:val="00D01638"/>
    <w:rsid w:val="00D016C8"/>
    <w:rsid w:val="00D016DE"/>
    <w:rsid w:val="00D017C0"/>
    <w:rsid w:val="00D017D1"/>
    <w:rsid w:val="00D0185B"/>
    <w:rsid w:val="00D01904"/>
    <w:rsid w:val="00D019A0"/>
    <w:rsid w:val="00D01A51"/>
    <w:rsid w:val="00D01B24"/>
    <w:rsid w:val="00D01B9C"/>
    <w:rsid w:val="00D01C65"/>
    <w:rsid w:val="00D01CFC"/>
    <w:rsid w:val="00D01D37"/>
    <w:rsid w:val="00D01E46"/>
    <w:rsid w:val="00D0203B"/>
    <w:rsid w:val="00D020CE"/>
    <w:rsid w:val="00D020D8"/>
    <w:rsid w:val="00D024EC"/>
    <w:rsid w:val="00D025D2"/>
    <w:rsid w:val="00D026F1"/>
    <w:rsid w:val="00D02A5C"/>
    <w:rsid w:val="00D02AF3"/>
    <w:rsid w:val="00D02CC0"/>
    <w:rsid w:val="00D02D4E"/>
    <w:rsid w:val="00D02D58"/>
    <w:rsid w:val="00D02D6D"/>
    <w:rsid w:val="00D02D6F"/>
    <w:rsid w:val="00D02D79"/>
    <w:rsid w:val="00D02E87"/>
    <w:rsid w:val="00D02E92"/>
    <w:rsid w:val="00D02F1E"/>
    <w:rsid w:val="00D02F92"/>
    <w:rsid w:val="00D03077"/>
    <w:rsid w:val="00D0317D"/>
    <w:rsid w:val="00D0321D"/>
    <w:rsid w:val="00D03282"/>
    <w:rsid w:val="00D032AE"/>
    <w:rsid w:val="00D032F2"/>
    <w:rsid w:val="00D0336E"/>
    <w:rsid w:val="00D03455"/>
    <w:rsid w:val="00D034C3"/>
    <w:rsid w:val="00D035C7"/>
    <w:rsid w:val="00D0361B"/>
    <w:rsid w:val="00D038B6"/>
    <w:rsid w:val="00D03D4F"/>
    <w:rsid w:val="00D03EAC"/>
    <w:rsid w:val="00D03FA1"/>
    <w:rsid w:val="00D040AB"/>
    <w:rsid w:val="00D040C5"/>
    <w:rsid w:val="00D041A3"/>
    <w:rsid w:val="00D04208"/>
    <w:rsid w:val="00D04392"/>
    <w:rsid w:val="00D043BC"/>
    <w:rsid w:val="00D043EC"/>
    <w:rsid w:val="00D04452"/>
    <w:rsid w:val="00D04553"/>
    <w:rsid w:val="00D04AC7"/>
    <w:rsid w:val="00D04BB0"/>
    <w:rsid w:val="00D04C27"/>
    <w:rsid w:val="00D04C4E"/>
    <w:rsid w:val="00D04CB2"/>
    <w:rsid w:val="00D04D0D"/>
    <w:rsid w:val="00D04DB7"/>
    <w:rsid w:val="00D0502F"/>
    <w:rsid w:val="00D051A7"/>
    <w:rsid w:val="00D051E4"/>
    <w:rsid w:val="00D05308"/>
    <w:rsid w:val="00D05330"/>
    <w:rsid w:val="00D0534D"/>
    <w:rsid w:val="00D05497"/>
    <w:rsid w:val="00D054B4"/>
    <w:rsid w:val="00D0551A"/>
    <w:rsid w:val="00D0552A"/>
    <w:rsid w:val="00D05532"/>
    <w:rsid w:val="00D05721"/>
    <w:rsid w:val="00D0583D"/>
    <w:rsid w:val="00D05848"/>
    <w:rsid w:val="00D058C2"/>
    <w:rsid w:val="00D058ED"/>
    <w:rsid w:val="00D0595D"/>
    <w:rsid w:val="00D059CF"/>
    <w:rsid w:val="00D05B86"/>
    <w:rsid w:val="00D05BDD"/>
    <w:rsid w:val="00D05C39"/>
    <w:rsid w:val="00D05C4C"/>
    <w:rsid w:val="00D05CAB"/>
    <w:rsid w:val="00D05D1C"/>
    <w:rsid w:val="00D05EFD"/>
    <w:rsid w:val="00D0614C"/>
    <w:rsid w:val="00D06168"/>
    <w:rsid w:val="00D066B7"/>
    <w:rsid w:val="00D06807"/>
    <w:rsid w:val="00D069C2"/>
    <w:rsid w:val="00D06C8D"/>
    <w:rsid w:val="00D06CA2"/>
    <w:rsid w:val="00D06D24"/>
    <w:rsid w:val="00D06E08"/>
    <w:rsid w:val="00D06E4A"/>
    <w:rsid w:val="00D06FBF"/>
    <w:rsid w:val="00D07019"/>
    <w:rsid w:val="00D0701F"/>
    <w:rsid w:val="00D071D1"/>
    <w:rsid w:val="00D07218"/>
    <w:rsid w:val="00D072B4"/>
    <w:rsid w:val="00D072F3"/>
    <w:rsid w:val="00D0734E"/>
    <w:rsid w:val="00D0752D"/>
    <w:rsid w:val="00D07540"/>
    <w:rsid w:val="00D07552"/>
    <w:rsid w:val="00D076B7"/>
    <w:rsid w:val="00D076E8"/>
    <w:rsid w:val="00D078A8"/>
    <w:rsid w:val="00D0791C"/>
    <w:rsid w:val="00D0792E"/>
    <w:rsid w:val="00D07931"/>
    <w:rsid w:val="00D0797C"/>
    <w:rsid w:val="00D07C27"/>
    <w:rsid w:val="00D07C65"/>
    <w:rsid w:val="00D1000C"/>
    <w:rsid w:val="00D10017"/>
    <w:rsid w:val="00D100B1"/>
    <w:rsid w:val="00D1011E"/>
    <w:rsid w:val="00D1019D"/>
    <w:rsid w:val="00D101D0"/>
    <w:rsid w:val="00D102C6"/>
    <w:rsid w:val="00D1038A"/>
    <w:rsid w:val="00D105FE"/>
    <w:rsid w:val="00D10631"/>
    <w:rsid w:val="00D1069A"/>
    <w:rsid w:val="00D10737"/>
    <w:rsid w:val="00D107A9"/>
    <w:rsid w:val="00D107E1"/>
    <w:rsid w:val="00D108B4"/>
    <w:rsid w:val="00D10976"/>
    <w:rsid w:val="00D1098F"/>
    <w:rsid w:val="00D10D24"/>
    <w:rsid w:val="00D10D3A"/>
    <w:rsid w:val="00D10DCB"/>
    <w:rsid w:val="00D11163"/>
    <w:rsid w:val="00D1119E"/>
    <w:rsid w:val="00D1120F"/>
    <w:rsid w:val="00D1136A"/>
    <w:rsid w:val="00D113FA"/>
    <w:rsid w:val="00D11418"/>
    <w:rsid w:val="00D11419"/>
    <w:rsid w:val="00D1164F"/>
    <w:rsid w:val="00D1169B"/>
    <w:rsid w:val="00D11843"/>
    <w:rsid w:val="00D11987"/>
    <w:rsid w:val="00D11A5C"/>
    <w:rsid w:val="00D11AF2"/>
    <w:rsid w:val="00D11C35"/>
    <w:rsid w:val="00D11FCB"/>
    <w:rsid w:val="00D11FE4"/>
    <w:rsid w:val="00D12054"/>
    <w:rsid w:val="00D120AB"/>
    <w:rsid w:val="00D120B9"/>
    <w:rsid w:val="00D120DC"/>
    <w:rsid w:val="00D12180"/>
    <w:rsid w:val="00D122C6"/>
    <w:rsid w:val="00D12518"/>
    <w:rsid w:val="00D12576"/>
    <w:rsid w:val="00D12611"/>
    <w:rsid w:val="00D12617"/>
    <w:rsid w:val="00D1275F"/>
    <w:rsid w:val="00D12773"/>
    <w:rsid w:val="00D12A59"/>
    <w:rsid w:val="00D12BD8"/>
    <w:rsid w:val="00D12D63"/>
    <w:rsid w:val="00D12F5F"/>
    <w:rsid w:val="00D12FAD"/>
    <w:rsid w:val="00D130C3"/>
    <w:rsid w:val="00D13129"/>
    <w:rsid w:val="00D13294"/>
    <w:rsid w:val="00D1340F"/>
    <w:rsid w:val="00D13494"/>
    <w:rsid w:val="00D135B2"/>
    <w:rsid w:val="00D1363E"/>
    <w:rsid w:val="00D13742"/>
    <w:rsid w:val="00D13774"/>
    <w:rsid w:val="00D13917"/>
    <w:rsid w:val="00D13918"/>
    <w:rsid w:val="00D139A3"/>
    <w:rsid w:val="00D13AD7"/>
    <w:rsid w:val="00D13B1A"/>
    <w:rsid w:val="00D13B2F"/>
    <w:rsid w:val="00D13C94"/>
    <w:rsid w:val="00D13CFD"/>
    <w:rsid w:val="00D13D2B"/>
    <w:rsid w:val="00D13D61"/>
    <w:rsid w:val="00D13E00"/>
    <w:rsid w:val="00D13E51"/>
    <w:rsid w:val="00D14013"/>
    <w:rsid w:val="00D1407A"/>
    <w:rsid w:val="00D1412D"/>
    <w:rsid w:val="00D1418B"/>
    <w:rsid w:val="00D143A6"/>
    <w:rsid w:val="00D1451E"/>
    <w:rsid w:val="00D145A3"/>
    <w:rsid w:val="00D146B0"/>
    <w:rsid w:val="00D14784"/>
    <w:rsid w:val="00D14836"/>
    <w:rsid w:val="00D14B51"/>
    <w:rsid w:val="00D14BD8"/>
    <w:rsid w:val="00D14C00"/>
    <w:rsid w:val="00D14FF4"/>
    <w:rsid w:val="00D150AC"/>
    <w:rsid w:val="00D1513E"/>
    <w:rsid w:val="00D15143"/>
    <w:rsid w:val="00D15155"/>
    <w:rsid w:val="00D15193"/>
    <w:rsid w:val="00D153BE"/>
    <w:rsid w:val="00D1544F"/>
    <w:rsid w:val="00D154DC"/>
    <w:rsid w:val="00D15649"/>
    <w:rsid w:val="00D1579B"/>
    <w:rsid w:val="00D157CF"/>
    <w:rsid w:val="00D158D2"/>
    <w:rsid w:val="00D15918"/>
    <w:rsid w:val="00D159F6"/>
    <w:rsid w:val="00D15A06"/>
    <w:rsid w:val="00D15B0C"/>
    <w:rsid w:val="00D15C66"/>
    <w:rsid w:val="00D15CDD"/>
    <w:rsid w:val="00D15D0D"/>
    <w:rsid w:val="00D15E92"/>
    <w:rsid w:val="00D16014"/>
    <w:rsid w:val="00D16016"/>
    <w:rsid w:val="00D1602F"/>
    <w:rsid w:val="00D16051"/>
    <w:rsid w:val="00D162CF"/>
    <w:rsid w:val="00D1634C"/>
    <w:rsid w:val="00D16431"/>
    <w:rsid w:val="00D16481"/>
    <w:rsid w:val="00D1650B"/>
    <w:rsid w:val="00D16577"/>
    <w:rsid w:val="00D1662D"/>
    <w:rsid w:val="00D166A6"/>
    <w:rsid w:val="00D166AB"/>
    <w:rsid w:val="00D166E3"/>
    <w:rsid w:val="00D1671B"/>
    <w:rsid w:val="00D167E8"/>
    <w:rsid w:val="00D16A89"/>
    <w:rsid w:val="00D16E43"/>
    <w:rsid w:val="00D171D1"/>
    <w:rsid w:val="00D1765D"/>
    <w:rsid w:val="00D176A0"/>
    <w:rsid w:val="00D17743"/>
    <w:rsid w:val="00D17799"/>
    <w:rsid w:val="00D17AA8"/>
    <w:rsid w:val="00D17B23"/>
    <w:rsid w:val="00D17B3B"/>
    <w:rsid w:val="00D17BBA"/>
    <w:rsid w:val="00D17BD8"/>
    <w:rsid w:val="00D17C6D"/>
    <w:rsid w:val="00D17DB7"/>
    <w:rsid w:val="00D2006E"/>
    <w:rsid w:val="00D201DC"/>
    <w:rsid w:val="00D2023C"/>
    <w:rsid w:val="00D2037C"/>
    <w:rsid w:val="00D20455"/>
    <w:rsid w:val="00D204AE"/>
    <w:rsid w:val="00D20571"/>
    <w:rsid w:val="00D205B5"/>
    <w:rsid w:val="00D206DA"/>
    <w:rsid w:val="00D2075D"/>
    <w:rsid w:val="00D20783"/>
    <w:rsid w:val="00D20799"/>
    <w:rsid w:val="00D2086B"/>
    <w:rsid w:val="00D20A66"/>
    <w:rsid w:val="00D20B16"/>
    <w:rsid w:val="00D20B79"/>
    <w:rsid w:val="00D20BCB"/>
    <w:rsid w:val="00D20C0D"/>
    <w:rsid w:val="00D20C59"/>
    <w:rsid w:val="00D20E5F"/>
    <w:rsid w:val="00D20F23"/>
    <w:rsid w:val="00D20F24"/>
    <w:rsid w:val="00D20FA1"/>
    <w:rsid w:val="00D21162"/>
    <w:rsid w:val="00D21260"/>
    <w:rsid w:val="00D212C4"/>
    <w:rsid w:val="00D21314"/>
    <w:rsid w:val="00D213A8"/>
    <w:rsid w:val="00D216B9"/>
    <w:rsid w:val="00D2189F"/>
    <w:rsid w:val="00D21B1B"/>
    <w:rsid w:val="00D21B97"/>
    <w:rsid w:val="00D21BC5"/>
    <w:rsid w:val="00D21FC1"/>
    <w:rsid w:val="00D2220F"/>
    <w:rsid w:val="00D22268"/>
    <w:rsid w:val="00D224FC"/>
    <w:rsid w:val="00D225BF"/>
    <w:rsid w:val="00D225C4"/>
    <w:rsid w:val="00D22705"/>
    <w:rsid w:val="00D22775"/>
    <w:rsid w:val="00D227CD"/>
    <w:rsid w:val="00D229A3"/>
    <w:rsid w:val="00D22D18"/>
    <w:rsid w:val="00D22D95"/>
    <w:rsid w:val="00D22D9F"/>
    <w:rsid w:val="00D22FDC"/>
    <w:rsid w:val="00D2324B"/>
    <w:rsid w:val="00D233D8"/>
    <w:rsid w:val="00D234F4"/>
    <w:rsid w:val="00D23546"/>
    <w:rsid w:val="00D2365A"/>
    <w:rsid w:val="00D23693"/>
    <w:rsid w:val="00D236DA"/>
    <w:rsid w:val="00D23775"/>
    <w:rsid w:val="00D23797"/>
    <w:rsid w:val="00D237F6"/>
    <w:rsid w:val="00D23850"/>
    <w:rsid w:val="00D238B8"/>
    <w:rsid w:val="00D23957"/>
    <w:rsid w:val="00D23AAB"/>
    <w:rsid w:val="00D23AFF"/>
    <w:rsid w:val="00D23B04"/>
    <w:rsid w:val="00D23B62"/>
    <w:rsid w:val="00D23D3B"/>
    <w:rsid w:val="00D23DD6"/>
    <w:rsid w:val="00D23F00"/>
    <w:rsid w:val="00D23FBB"/>
    <w:rsid w:val="00D2405E"/>
    <w:rsid w:val="00D240D0"/>
    <w:rsid w:val="00D241F1"/>
    <w:rsid w:val="00D243D0"/>
    <w:rsid w:val="00D24926"/>
    <w:rsid w:val="00D24A13"/>
    <w:rsid w:val="00D24B8F"/>
    <w:rsid w:val="00D24BAE"/>
    <w:rsid w:val="00D24C3B"/>
    <w:rsid w:val="00D24D39"/>
    <w:rsid w:val="00D24EAC"/>
    <w:rsid w:val="00D2509E"/>
    <w:rsid w:val="00D2513E"/>
    <w:rsid w:val="00D25203"/>
    <w:rsid w:val="00D25331"/>
    <w:rsid w:val="00D253EE"/>
    <w:rsid w:val="00D2551E"/>
    <w:rsid w:val="00D255A5"/>
    <w:rsid w:val="00D2561B"/>
    <w:rsid w:val="00D2568F"/>
    <w:rsid w:val="00D256C2"/>
    <w:rsid w:val="00D25821"/>
    <w:rsid w:val="00D258E7"/>
    <w:rsid w:val="00D2592A"/>
    <w:rsid w:val="00D25B4C"/>
    <w:rsid w:val="00D25B58"/>
    <w:rsid w:val="00D25B96"/>
    <w:rsid w:val="00D25BD8"/>
    <w:rsid w:val="00D25C3B"/>
    <w:rsid w:val="00D25D4D"/>
    <w:rsid w:val="00D25D9D"/>
    <w:rsid w:val="00D25E01"/>
    <w:rsid w:val="00D25E08"/>
    <w:rsid w:val="00D260CF"/>
    <w:rsid w:val="00D263C3"/>
    <w:rsid w:val="00D263E6"/>
    <w:rsid w:val="00D2640B"/>
    <w:rsid w:val="00D26694"/>
    <w:rsid w:val="00D26732"/>
    <w:rsid w:val="00D26A38"/>
    <w:rsid w:val="00D26B15"/>
    <w:rsid w:val="00D26D27"/>
    <w:rsid w:val="00D26DB6"/>
    <w:rsid w:val="00D26E92"/>
    <w:rsid w:val="00D27273"/>
    <w:rsid w:val="00D272B7"/>
    <w:rsid w:val="00D2731D"/>
    <w:rsid w:val="00D2760E"/>
    <w:rsid w:val="00D27636"/>
    <w:rsid w:val="00D27857"/>
    <w:rsid w:val="00D278AF"/>
    <w:rsid w:val="00D279B8"/>
    <w:rsid w:val="00D27A0E"/>
    <w:rsid w:val="00D27C9E"/>
    <w:rsid w:val="00D27CE1"/>
    <w:rsid w:val="00D27E30"/>
    <w:rsid w:val="00D27E3A"/>
    <w:rsid w:val="00D27ECF"/>
    <w:rsid w:val="00D3004F"/>
    <w:rsid w:val="00D300AA"/>
    <w:rsid w:val="00D3017F"/>
    <w:rsid w:val="00D301BA"/>
    <w:rsid w:val="00D301E2"/>
    <w:rsid w:val="00D30213"/>
    <w:rsid w:val="00D302B1"/>
    <w:rsid w:val="00D3048A"/>
    <w:rsid w:val="00D304A0"/>
    <w:rsid w:val="00D305BE"/>
    <w:rsid w:val="00D30661"/>
    <w:rsid w:val="00D30746"/>
    <w:rsid w:val="00D308D9"/>
    <w:rsid w:val="00D308F1"/>
    <w:rsid w:val="00D309F6"/>
    <w:rsid w:val="00D30B73"/>
    <w:rsid w:val="00D30C8B"/>
    <w:rsid w:val="00D30DF1"/>
    <w:rsid w:val="00D30E67"/>
    <w:rsid w:val="00D30F01"/>
    <w:rsid w:val="00D31147"/>
    <w:rsid w:val="00D3125C"/>
    <w:rsid w:val="00D31297"/>
    <w:rsid w:val="00D31327"/>
    <w:rsid w:val="00D314E0"/>
    <w:rsid w:val="00D3196A"/>
    <w:rsid w:val="00D31A12"/>
    <w:rsid w:val="00D31B71"/>
    <w:rsid w:val="00D31BA7"/>
    <w:rsid w:val="00D31D35"/>
    <w:rsid w:val="00D31E5E"/>
    <w:rsid w:val="00D320BD"/>
    <w:rsid w:val="00D32127"/>
    <w:rsid w:val="00D3214C"/>
    <w:rsid w:val="00D32165"/>
    <w:rsid w:val="00D323CF"/>
    <w:rsid w:val="00D325D3"/>
    <w:rsid w:val="00D3274A"/>
    <w:rsid w:val="00D327B3"/>
    <w:rsid w:val="00D3289D"/>
    <w:rsid w:val="00D328C0"/>
    <w:rsid w:val="00D329CE"/>
    <w:rsid w:val="00D32B71"/>
    <w:rsid w:val="00D32BA0"/>
    <w:rsid w:val="00D32D95"/>
    <w:rsid w:val="00D32EBF"/>
    <w:rsid w:val="00D32ED4"/>
    <w:rsid w:val="00D32EFB"/>
    <w:rsid w:val="00D32F98"/>
    <w:rsid w:val="00D3306D"/>
    <w:rsid w:val="00D330F5"/>
    <w:rsid w:val="00D33230"/>
    <w:rsid w:val="00D3327B"/>
    <w:rsid w:val="00D332B7"/>
    <w:rsid w:val="00D333A2"/>
    <w:rsid w:val="00D334C7"/>
    <w:rsid w:val="00D33577"/>
    <w:rsid w:val="00D3360B"/>
    <w:rsid w:val="00D3360D"/>
    <w:rsid w:val="00D33665"/>
    <w:rsid w:val="00D33784"/>
    <w:rsid w:val="00D337A0"/>
    <w:rsid w:val="00D337F7"/>
    <w:rsid w:val="00D3388F"/>
    <w:rsid w:val="00D3391B"/>
    <w:rsid w:val="00D33979"/>
    <w:rsid w:val="00D339BD"/>
    <w:rsid w:val="00D339F5"/>
    <w:rsid w:val="00D33A33"/>
    <w:rsid w:val="00D33AFE"/>
    <w:rsid w:val="00D33BB2"/>
    <w:rsid w:val="00D33D48"/>
    <w:rsid w:val="00D33D89"/>
    <w:rsid w:val="00D33EA9"/>
    <w:rsid w:val="00D33FA3"/>
    <w:rsid w:val="00D33FD4"/>
    <w:rsid w:val="00D342BA"/>
    <w:rsid w:val="00D34619"/>
    <w:rsid w:val="00D34733"/>
    <w:rsid w:val="00D348A7"/>
    <w:rsid w:val="00D348B2"/>
    <w:rsid w:val="00D348B4"/>
    <w:rsid w:val="00D34955"/>
    <w:rsid w:val="00D349F3"/>
    <w:rsid w:val="00D34B81"/>
    <w:rsid w:val="00D34CA7"/>
    <w:rsid w:val="00D34CCE"/>
    <w:rsid w:val="00D34D7D"/>
    <w:rsid w:val="00D34DB2"/>
    <w:rsid w:val="00D34E38"/>
    <w:rsid w:val="00D34EA6"/>
    <w:rsid w:val="00D34F31"/>
    <w:rsid w:val="00D34F66"/>
    <w:rsid w:val="00D35027"/>
    <w:rsid w:val="00D3516F"/>
    <w:rsid w:val="00D351B9"/>
    <w:rsid w:val="00D3540D"/>
    <w:rsid w:val="00D355CF"/>
    <w:rsid w:val="00D35635"/>
    <w:rsid w:val="00D35792"/>
    <w:rsid w:val="00D358AE"/>
    <w:rsid w:val="00D3596E"/>
    <w:rsid w:val="00D35A1A"/>
    <w:rsid w:val="00D35A1F"/>
    <w:rsid w:val="00D35AC0"/>
    <w:rsid w:val="00D35CE3"/>
    <w:rsid w:val="00D35D30"/>
    <w:rsid w:val="00D35F39"/>
    <w:rsid w:val="00D3601A"/>
    <w:rsid w:val="00D3621F"/>
    <w:rsid w:val="00D3639E"/>
    <w:rsid w:val="00D3645C"/>
    <w:rsid w:val="00D365F2"/>
    <w:rsid w:val="00D366E5"/>
    <w:rsid w:val="00D3678E"/>
    <w:rsid w:val="00D367F5"/>
    <w:rsid w:val="00D36ADB"/>
    <w:rsid w:val="00D36BF8"/>
    <w:rsid w:val="00D36D12"/>
    <w:rsid w:val="00D36D3D"/>
    <w:rsid w:val="00D36DB5"/>
    <w:rsid w:val="00D36E62"/>
    <w:rsid w:val="00D36EC8"/>
    <w:rsid w:val="00D36FBF"/>
    <w:rsid w:val="00D370A1"/>
    <w:rsid w:val="00D37230"/>
    <w:rsid w:val="00D37312"/>
    <w:rsid w:val="00D3763A"/>
    <w:rsid w:val="00D37A09"/>
    <w:rsid w:val="00D37A70"/>
    <w:rsid w:val="00D37B36"/>
    <w:rsid w:val="00D37BA1"/>
    <w:rsid w:val="00D37BFE"/>
    <w:rsid w:val="00D37C08"/>
    <w:rsid w:val="00D37F45"/>
    <w:rsid w:val="00D37FB7"/>
    <w:rsid w:val="00D402A3"/>
    <w:rsid w:val="00D40311"/>
    <w:rsid w:val="00D40430"/>
    <w:rsid w:val="00D40576"/>
    <w:rsid w:val="00D405A8"/>
    <w:rsid w:val="00D405DA"/>
    <w:rsid w:val="00D4065A"/>
    <w:rsid w:val="00D406EC"/>
    <w:rsid w:val="00D40720"/>
    <w:rsid w:val="00D407CD"/>
    <w:rsid w:val="00D40999"/>
    <w:rsid w:val="00D40B0F"/>
    <w:rsid w:val="00D40C31"/>
    <w:rsid w:val="00D40F93"/>
    <w:rsid w:val="00D40FF8"/>
    <w:rsid w:val="00D41100"/>
    <w:rsid w:val="00D41147"/>
    <w:rsid w:val="00D4125D"/>
    <w:rsid w:val="00D41271"/>
    <w:rsid w:val="00D41297"/>
    <w:rsid w:val="00D41409"/>
    <w:rsid w:val="00D41455"/>
    <w:rsid w:val="00D41518"/>
    <w:rsid w:val="00D415C1"/>
    <w:rsid w:val="00D415F1"/>
    <w:rsid w:val="00D41840"/>
    <w:rsid w:val="00D41BF0"/>
    <w:rsid w:val="00D41BF2"/>
    <w:rsid w:val="00D41D47"/>
    <w:rsid w:val="00D41DF6"/>
    <w:rsid w:val="00D41E98"/>
    <w:rsid w:val="00D41F97"/>
    <w:rsid w:val="00D421AB"/>
    <w:rsid w:val="00D421F6"/>
    <w:rsid w:val="00D4230D"/>
    <w:rsid w:val="00D423CB"/>
    <w:rsid w:val="00D426B8"/>
    <w:rsid w:val="00D428FB"/>
    <w:rsid w:val="00D428FE"/>
    <w:rsid w:val="00D4298C"/>
    <w:rsid w:val="00D429CC"/>
    <w:rsid w:val="00D42B92"/>
    <w:rsid w:val="00D42BEC"/>
    <w:rsid w:val="00D42C53"/>
    <w:rsid w:val="00D42E21"/>
    <w:rsid w:val="00D42EBD"/>
    <w:rsid w:val="00D43246"/>
    <w:rsid w:val="00D432FA"/>
    <w:rsid w:val="00D43354"/>
    <w:rsid w:val="00D435DC"/>
    <w:rsid w:val="00D4374E"/>
    <w:rsid w:val="00D437BF"/>
    <w:rsid w:val="00D43B5E"/>
    <w:rsid w:val="00D43BE0"/>
    <w:rsid w:val="00D43C66"/>
    <w:rsid w:val="00D43D69"/>
    <w:rsid w:val="00D43DD8"/>
    <w:rsid w:val="00D43E04"/>
    <w:rsid w:val="00D43F0D"/>
    <w:rsid w:val="00D43F0F"/>
    <w:rsid w:val="00D43FC3"/>
    <w:rsid w:val="00D44426"/>
    <w:rsid w:val="00D44548"/>
    <w:rsid w:val="00D446F1"/>
    <w:rsid w:val="00D44716"/>
    <w:rsid w:val="00D448BA"/>
    <w:rsid w:val="00D448CD"/>
    <w:rsid w:val="00D448CF"/>
    <w:rsid w:val="00D4490F"/>
    <w:rsid w:val="00D44C9D"/>
    <w:rsid w:val="00D44DAE"/>
    <w:rsid w:val="00D44DC5"/>
    <w:rsid w:val="00D44DF2"/>
    <w:rsid w:val="00D44E32"/>
    <w:rsid w:val="00D44E97"/>
    <w:rsid w:val="00D4501F"/>
    <w:rsid w:val="00D45040"/>
    <w:rsid w:val="00D450F1"/>
    <w:rsid w:val="00D45139"/>
    <w:rsid w:val="00D4516D"/>
    <w:rsid w:val="00D45426"/>
    <w:rsid w:val="00D454DB"/>
    <w:rsid w:val="00D4552D"/>
    <w:rsid w:val="00D458EE"/>
    <w:rsid w:val="00D45997"/>
    <w:rsid w:val="00D459CC"/>
    <w:rsid w:val="00D45A0B"/>
    <w:rsid w:val="00D45A26"/>
    <w:rsid w:val="00D45B66"/>
    <w:rsid w:val="00D45BD8"/>
    <w:rsid w:val="00D45CEC"/>
    <w:rsid w:val="00D45D5B"/>
    <w:rsid w:val="00D45E74"/>
    <w:rsid w:val="00D45E7D"/>
    <w:rsid w:val="00D45FAB"/>
    <w:rsid w:val="00D46030"/>
    <w:rsid w:val="00D46088"/>
    <w:rsid w:val="00D4614B"/>
    <w:rsid w:val="00D46225"/>
    <w:rsid w:val="00D46276"/>
    <w:rsid w:val="00D46480"/>
    <w:rsid w:val="00D46890"/>
    <w:rsid w:val="00D46891"/>
    <w:rsid w:val="00D469EF"/>
    <w:rsid w:val="00D46B25"/>
    <w:rsid w:val="00D46B70"/>
    <w:rsid w:val="00D46CA5"/>
    <w:rsid w:val="00D46D5F"/>
    <w:rsid w:val="00D46DA4"/>
    <w:rsid w:val="00D46DB0"/>
    <w:rsid w:val="00D46EBD"/>
    <w:rsid w:val="00D46F9E"/>
    <w:rsid w:val="00D46FFA"/>
    <w:rsid w:val="00D471A9"/>
    <w:rsid w:val="00D472A3"/>
    <w:rsid w:val="00D4749D"/>
    <w:rsid w:val="00D4751F"/>
    <w:rsid w:val="00D476DF"/>
    <w:rsid w:val="00D4789A"/>
    <w:rsid w:val="00D478D4"/>
    <w:rsid w:val="00D47991"/>
    <w:rsid w:val="00D47A38"/>
    <w:rsid w:val="00D47A79"/>
    <w:rsid w:val="00D47ABB"/>
    <w:rsid w:val="00D47E43"/>
    <w:rsid w:val="00D47F0C"/>
    <w:rsid w:val="00D5039A"/>
    <w:rsid w:val="00D503A2"/>
    <w:rsid w:val="00D50455"/>
    <w:rsid w:val="00D50483"/>
    <w:rsid w:val="00D5048E"/>
    <w:rsid w:val="00D50558"/>
    <w:rsid w:val="00D50602"/>
    <w:rsid w:val="00D50663"/>
    <w:rsid w:val="00D5078E"/>
    <w:rsid w:val="00D50859"/>
    <w:rsid w:val="00D50A7F"/>
    <w:rsid w:val="00D50AA3"/>
    <w:rsid w:val="00D50AE1"/>
    <w:rsid w:val="00D50B4B"/>
    <w:rsid w:val="00D50C2E"/>
    <w:rsid w:val="00D50E9D"/>
    <w:rsid w:val="00D50F19"/>
    <w:rsid w:val="00D50F40"/>
    <w:rsid w:val="00D510CF"/>
    <w:rsid w:val="00D5123A"/>
    <w:rsid w:val="00D512FE"/>
    <w:rsid w:val="00D51341"/>
    <w:rsid w:val="00D51396"/>
    <w:rsid w:val="00D514F5"/>
    <w:rsid w:val="00D51561"/>
    <w:rsid w:val="00D51649"/>
    <w:rsid w:val="00D5174C"/>
    <w:rsid w:val="00D5178D"/>
    <w:rsid w:val="00D51892"/>
    <w:rsid w:val="00D51974"/>
    <w:rsid w:val="00D51A40"/>
    <w:rsid w:val="00D51B23"/>
    <w:rsid w:val="00D51EE6"/>
    <w:rsid w:val="00D51EED"/>
    <w:rsid w:val="00D52036"/>
    <w:rsid w:val="00D5204F"/>
    <w:rsid w:val="00D521E2"/>
    <w:rsid w:val="00D52360"/>
    <w:rsid w:val="00D523CA"/>
    <w:rsid w:val="00D523E4"/>
    <w:rsid w:val="00D5256B"/>
    <w:rsid w:val="00D525F9"/>
    <w:rsid w:val="00D5272F"/>
    <w:rsid w:val="00D52753"/>
    <w:rsid w:val="00D527F1"/>
    <w:rsid w:val="00D52B17"/>
    <w:rsid w:val="00D52C32"/>
    <w:rsid w:val="00D52D77"/>
    <w:rsid w:val="00D52D84"/>
    <w:rsid w:val="00D52E81"/>
    <w:rsid w:val="00D52EB6"/>
    <w:rsid w:val="00D52F41"/>
    <w:rsid w:val="00D5302E"/>
    <w:rsid w:val="00D531CE"/>
    <w:rsid w:val="00D531F8"/>
    <w:rsid w:val="00D532F9"/>
    <w:rsid w:val="00D53516"/>
    <w:rsid w:val="00D539A9"/>
    <w:rsid w:val="00D53A7D"/>
    <w:rsid w:val="00D53AEA"/>
    <w:rsid w:val="00D53B43"/>
    <w:rsid w:val="00D53C08"/>
    <w:rsid w:val="00D53C1B"/>
    <w:rsid w:val="00D53E51"/>
    <w:rsid w:val="00D53E72"/>
    <w:rsid w:val="00D53E9F"/>
    <w:rsid w:val="00D53F80"/>
    <w:rsid w:val="00D5402B"/>
    <w:rsid w:val="00D542E4"/>
    <w:rsid w:val="00D542EB"/>
    <w:rsid w:val="00D5451C"/>
    <w:rsid w:val="00D545E1"/>
    <w:rsid w:val="00D5460C"/>
    <w:rsid w:val="00D54681"/>
    <w:rsid w:val="00D54708"/>
    <w:rsid w:val="00D54716"/>
    <w:rsid w:val="00D54B26"/>
    <w:rsid w:val="00D54B7C"/>
    <w:rsid w:val="00D54E83"/>
    <w:rsid w:val="00D54F45"/>
    <w:rsid w:val="00D550B5"/>
    <w:rsid w:val="00D551B9"/>
    <w:rsid w:val="00D55212"/>
    <w:rsid w:val="00D552D1"/>
    <w:rsid w:val="00D552EF"/>
    <w:rsid w:val="00D553D1"/>
    <w:rsid w:val="00D553D8"/>
    <w:rsid w:val="00D55595"/>
    <w:rsid w:val="00D5566F"/>
    <w:rsid w:val="00D55909"/>
    <w:rsid w:val="00D55C4B"/>
    <w:rsid w:val="00D55C7E"/>
    <w:rsid w:val="00D55D2C"/>
    <w:rsid w:val="00D55D31"/>
    <w:rsid w:val="00D55E9D"/>
    <w:rsid w:val="00D5609D"/>
    <w:rsid w:val="00D56106"/>
    <w:rsid w:val="00D5610D"/>
    <w:rsid w:val="00D5618F"/>
    <w:rsid w:val="00D562D8"/>
    <w:rsid w:val="00D56541"/>
    <w:rsid w:val="00D56884"/>
    <w:rsid w:val="00D56929"/>
    <w:rsid w:val="00D569AE"/>
    <w:rsid w:val="00D56A5C"/>
    <w:rsid w:val="00D56DAC"/>
    <w:rsid w:val="00D56DCC"/>
    <w:rsid w:val="00D56FA7"/>
    <w:rsid w:val="00D56FCE"/>
    <w:rsid w:val="00D57000"/>
    <w:rsid w:val="00D57034"/>
    <w:rsid w:val="00D5704B"/>
    <w:rsid w:val="00D570C8"/>
    <w:rsid w:val="00D570CB"/>
    <w:rsid w:val="00D57109"/>
    <w:rsid w:val="00D57212"/>
    <w:rsid w:val="00D57317"/>
    <w:rsid w:val="00D57488"/>
    <w:rsid w:val="00D57610"/>
    <w:rsid w:val="00D57726"/>
    <w:rsid w:val="00D5779C"/>
    <w:rsid w:val="00D57A15"/>
    <w:rsid w:val="00D57A51"/>
    <w:rsid w:val="00D57C58"/>
    <w:rsid w:val="00D57E3B"/>
    <w:rsid w:val="00D57E90"/>
    <w:rsid w:val="00D60005"/>
    <w:rsid w:val="00D60068"/>
    <w:rsid w:val="00D60125"/>
    <w:rsid w:val="00D601BD"/>
    <w:rsid w:val="00D60413"/>
    <w:rsid w:val="00D60481"/>
    <w:rsid w:val="00D6075F"/>
    <w:rsid w:val="00D607C7"/>
    <w:rsid w:val="00D60F00"/>
    <w:rsid w:val="00D6106E"/>
    <w:rsid w:val="00D6110B"/>
    <w:rsid w:val="00D6154C"/>
    <w:rsid w:val="00D61656"/>
    <w:rsid w:val="00D6177E"/>
    <w:rsid w:val="00D61911"/>
    <w:rsid w:val="00D61A61"/>
    <w:rsid w:val="00D61B5C"/>
    <w:rsid w:val="00D61D83"/>
    <w:rsid w:val="00D61F05"/>
    <w:rsid w:val="00D621BE"/>
    <w:rsid w:val="00D621C2"/>
    <w:rsid w:val="00D621E4"/>
    <w:rsid w:val="00D627C6"/>
    <w:rsid w:val="00D62AED"/>
    <w:rsid w:val="00D62B0E"/>
    <w:rsid w:val="00D62B60"/>
    <w:rsid w:val="00D62C3C"/>
    <w:rsid w:val="00D62CAD"/>
    <w:rsid w:val="00D62CEF"/>
    <w:rsid w:val="00D62D23"/>
    <w:rsid w:val="00D62DB0"/>
    <w:rsid w:val="00D62E9E"/>
    <w:rsid w:val="00D62ED4"/>
    <w:rsid w:val="00D62F18"/>
    <w:rsid w:val="00D6304C"/>
    <w:rsid w:val="00D63092"/>
    <w:rsid w:val="00D63264"/>
    <w:rsid w:val="00D63494"/>
    <w:rsid w:val="00D634C7"/>
    <w:rsid w:val="00D634D7"/>
    <w:rsid w:val="00D6353E"/>
    <w:rsid w:val="00D6368D"/>
    <w:rsid w:val="00D636C4"/>
    <w:rsid w:val="00D63794"/>
    <w:rsid w:val="00D63A1B"/>
    <w:rsid w:val="00D63B00"/>
    <w:rsid w:val="00D63DE9"/>
    <w:rsid w:val="00D63DF4"/>
    <w:rsid w:val="00D63E75"/>
    <w:rsid w:val="00D643F7"/>
    <w:rsid w:val="00D644A1"/>
    <w:rsid w:val="00D646C6"/>
    <w:rsid w:val="00D64868"/>
    <w:rsid w:val="00D64D65"/>
    <w:rsid w:val="00D65004"/>
    <w:rsid w:val="00D652C6"/>
    <w:rsid w:val="00D652E9"/>
    <w:rsid w:val="00D652F6"/>
    <w:rsid w:val="00D65335"/>
    <w:rsid w:val="00D65364"/>
    <w:rsid w:val="00D653D4"/>
    <w:rsid w:val="00D654AF"/>
    <w:rsid w:val="00D654EB"/>
    <w:rsid w:val="00D6557F"/>
    <w:rsid w:val="00D6563B"/>
    <w:rsid w:val="00D65724"/>
    <w:rsid w:val="00D65743"/>
    <w:rsid w:val="00D657E5"/>
    <w:rsid w:val="00D658AF"/>
    <w:rsid w:val="00D6596C"/>
    <w:rsid w:val="00D65A07"/>
    <w:rsid w:val="00D65A92"/>
    <w:rsid w:val="00D65B48"/>
    <w:rsid w:val="00D65D35"/>
    <w:rsid w:val="00D65D42"/>
    <w:rsid w:val="00D65D93"/>
    <w:rsid w:val="00D65E8F"/>
    <w:rsid w:val="00D65EFD"/>
    <w:rsid w:val="00D65F16"/>
    <w:rsid w:val="00D66020"/>
    <w:rsid w:val="00D660F0"/>
    <w:rsid w:val="00D66238"/>
    <w:rsid w:val="00D66421"/>
    <w:rsid w:val="00D664E6"/>
    <w:rsid w:val="00D66538"/>
    <w:rsid w:val="00D66646"/>
    <w:rsid w:val="00D66648"/>
    <w:rsid w:val="00D66691"/>
    <w:rsid w:val="00D666B0"/>
    <w:rsid w:val="00D66868"/>
    <w:rsid w:val="00D669A4"/>
    <w:rsid w:val="00D66A3C"/>
    <w:rsid w:val="00D66A98"/>
    <w:rsid w:val="00D66BC7"/>
    <w:rsid w:val="00D66BF3"/>
    <w:rsid w:val="00D66C53"/>
    <w:rsid w:val="00D66CC3"/>
    <w:rsid w:val="00D66DAB"/>
    <w:rsid w:val="00D66DFF"/>
    <w:rsid w:val="00D66EC9"/>
    <w:rsid w:val="00D66F96"/>
    <w:rsid w:val="00D66FC4"/>
    <w:rsid w:val="00D671A4"/>
    <w:rsid w:val="00D6724B"/>
    <w:rsid w:val="00D6733A"/>
    <w:rsid w:val="00D674E6"/>
    <w:rsid w:val="00D675E3"/>
    <w:rsid w:val="00D676CC"/>
    <w:rsid w:val="00D6784E"/>
    <w:rsid w:val="00D679F8"/>
    <w:rsid w:val="00D67A19"/>
    <w:rsid w:val="00D67A23"/>
    <w:rsid w:val="00D67A58"/>
    <w:rsid w:val="00D67A9D"/>
    <w:rsid w:val="00D67D9C"/>
    <w:rsid w:val="00D701CA"/>
    <w:rsid w:val="00D701EA"/>
    <w:rsid w:val="00D7061A"/>
    <w:rsid w:val="00D70716"/>
    <w:rsid w:val="00D70783"/>
    <w:rsid w:val="00D70A65"/>
    <w:rsid w:val="00D70BA2"/>
    <w:rsid w:val="00D70C4E"/>
    <w:rsid w:val="00D70F0C"/>
    <w:rsid w:val="00D70F62"/>
    <w:rsid w:val="00D70FCE"/>
    <w:rsid w:val="00D70FED"/>
    <w:rsid w:val="00D710E4"/>
    <w:rsid w:val="00D7132A"/>
    <w:rsid w:val="00D714E8"/>
    <w:rsid w:val="00D717FA"/>
    <w:rsid w:val="00D717FF"/>
    <w:rsid w:val="00D719EA"/>
    <w:rsid w:val="00D71A0D"/>
    <w:rsid w:val="00D71B2F"/>
    <w:rsid w:val="00D71B70"/>
    <w:rsid w:val="00D71C3A"/>
    <w:rsid w:val="00D71DC1"/>
    <w:rsid w:val="00D72114"/>
    <w:rsid w:val="00D722C3"/>
    <w:rsid w:val="00D724C1"/>
    <w:rsid w:val="00D724E9"/>
    <w:rsid w:val="00D72682"/>
    <w:rsid w:val="00D726A5"/>
    <w:rsid w:val="00D7277A"/>
    <w:rsid w:val="00D727D6"/>
    <w:rsid w:val="00D727EB"/>
    <w:rsid w:val="00D72C47"/>
    <w:rsid w:val="00D72CA0"/>
    <w:rsid w:val="00D72DAF"/>
    <w:rsid w:val="00D7348C"/>
    <w:rsid w:val="00D73659"/>
    <w:rsid w:val="00D737A1"/>
    <w:rsid w:val="00D737D8"/>
    <w:rsid w:val="00D7387F"/>
    <w:rsid w:val="00D7389D"/>
    <w:rsid w:val="00D73ABB"/>
    <w:rsid w:val="00D73BB5"/>
    <w:rsid w:val="00D73CB4"/>
    <w:rsid w:val="00D73CFB"/>
    <w:rsid w:val="00D73E7A"/>
    <w:rsid w:val="00D73F8C"/>
    <w:rsid w:val="00D7403D"/>
    <w:rsid w:val="00D740BD"/>
    <w:rsid w:val="00D74166"/>
    <w:rsid w:val="00D7425F"/>
    <w:rsid w:val="00D74766"/>
    <w:rsid w:val="00D7494F"/>
    <w:rsid w:val="00D74A19"/>
    <w:rsid w:val="00D74B54"/>
    <w:rsid w:val="00D74CE0"/>
    <w:rsid w:val="00D74E13"/>
    <w:rsid w:val="00D74E37"/>
    <w:rsid w:val="00D74EFA"/>
    <w:rsid w:val="00D74F04"/>
    <w:rsid w:val="00D74FBA"/>
    <w:rsid w:val="00D7505C"/>
    <w:rsid w:val="00D750BA"/>
    <w:rsid w:val="00D750C7"/>
    <w:rsid w:val="00D75198"/>
    <w:rsid w:val="00D751E3"/>
    <w:rsid w:val="00D75351"/>
    <w:rsid w:val="00D753D4"/>
    <w:rsid w:val="00D7544E"/>
    <w:rsid w:val="00D754EF"/>
    <w:rsid w:val="00D755F9"/>
    <w:rsid w:val="00D7568C"/>
    <w:rsid w:val="00D7568D"/>
    <w:rsid w:val="00D7577A"/>
    <w:rsid w:val="00D75789"/>
    <w:rsid w:val="00D75835"/>
    <w:rsid w:val="00D758C0"/>
    <w:rsid w:val="00D75A98"/>
    <w:rsid w:val="00D75CC4"/>
    <w:rsid w:val="00D75CD2"/>
    <w:rsid w:val="00D75D62"/>
    <w:rsid w:val="00D75E76"/>
    <w:rsid w:val="00D75F88"/>
    <w:rsid w:val="00D76030"/>
    <w:rsid w:val="00D76087"/>
    <w:rsid w:val="00D7610A"/>
    <w:rsid w:val="00D7627F"/>
    <w:rsid w:val="00D762D7"/>
    <w:rsid w:val="00D76319"/>
    <w:rsid w:val="00D7654E"/>
    <w:rsid w:val="00D7677F"/>
    <w:rsid w:val="00D767A5"/>
    <w:rsid w:val="00D767F5"/>
    <w:rsid w:val="00D76AC0"/>
    <w:rsid w:val="00D76AF1"/>
    <w:rsid w:val="00D76BF2"/>
    <w:rsid w:val="00D76CB7"/>
    <w:rsid w:val="00D76D38"/>
    <w:rsid w:val="00D76ECE"/>
    <w:rsid w:val="00D76EE2"/>
    <w:rsid w:val="00D77069"/>
    <w:rsid w:val="00D770CE"/>
    <w:rsid w:val="00D771C5"/>
    <w:rsid w:val="00D77231"/>
    <w:rsid w:val="00D77274"/>
    <w:rsid w:val="00D772D0"/>
    <w:rsid w:val="00D773CC"/>
    <w:rsid w:val="00D77461"/>
    <w:rsid w:val="00D774D7"/>
    <w:rsid w:val="00D774FC"/>
    <w:rsid w:val="00D7761E"/>
    <w:rsid w:val="00D777D3"/>
    <w:rsid w:val="00D7782C"/>
    <w:rsid w:val="00D77BBD"/>
    <w:rsid w:val="00D77CA1"/>
    <w:rsid w:val="00D77DF4"/>
    <w:rsid w:val="00D77E81"/>
    <w:rsid w:val="00D77F21"/>
    <w:rsid w:val="00D80006"/>
    <w:rsid w:val="00D801EC"/>
    <w:rsid w:val="00D8036E"/>
    <w:rsid w:val="00D804AE"/>
    <w:rsid w:val="00D8085A"/>
    <w:rsid w:val="00D80881"/>
    <w:rsid w:val="00D80919"/>
    <w:rsid w:val="00D80977"/>
    <w:rsid w:val="00D80A4C"/>
    <w:rsid w:val="00D80A9B"/>
    <w:rsid w:val="00D80ABC"/>
    <w:rsid w:val="00D80ADA"/>
    <w:rsid w:val="00D80C4B"/>
    <w:rsid w:val="00D80D0C"/>
    <w:rsid w:val="00D80D89"/>
    <w:rsid w:val="00D80DBC"/>
    <w:rsid w:val="00D80F5D"/>
    <w:rsid w:val="00D80F6F"/>
    <w:rsid w:val="00D80FAA"/>
    <w:rsid w:val="00D81210"/>
    <w:rsid w:val="00D812A2"/>
    <w:rsid w:val="00D81301"/>
    <w:rsid w:val="00D81351"/>
    <w:rsid w:val="00D813CC"/>
    <w:rsid w:val="00D8149F"/>
    <w:rsid w:val="00D81604"/>
    <w:rsid w:val="00D81821"/>
    <w:rsid w:val="00D81828"/>
    <w:rsid w:val="00D8184B"/>
    <w:rsid w:val="00D81CC7"/>
    <w:rsid w:val="00D81E44"/>
    <w:rsid w:val="00D81F37"/>
    <w:rsid w:val="00D81F38"/>
    <w:rsid w:val="00D82035"/>
    <w:rsid w:val="00D8226C"/>
    <w:rsid w:val="00D8260C"/>
    <w:rsid w:val="00D82625"/>
    <w:rsid w:val="00D82685"/>
    <w:rsid w:val="00D827BC"/>
    <w:rsid w:val="00D8289E"/>
    <w:rsid w:val="00D82B19"/>
    <w:rsid w:val="00D82BF0"/>
    <w:rsid w:val="00D82C53"/>
    <w:rsid w:val="00D82CC0"/>
    <w:rsid w:val="00D82D82"/>
    <w:rsid w:val="00D82F01"/>
    <w:rsid w:val="00D82F03"/>
    <w:rsid w:val="00D830FC"/>
    <w:rsid w:val="00D8315C"/>
    <w:rsid w:val="00D8317E"/>
    <w:rsid w:val="00D834A5"/>
    <w:rsid w:val="00D83544"/>
    <w:rsid w:val="00D8355A"/>
    <w:rsid w:val="00D83668"/>
    <w:rsid w:val="00D836C1"/>
    <w:rsid w:val="00D837EC"/>
    <w:rsid w:val="00D8390B"/>
    <w:rsid w:val="00D83A2F"/>
    <w:rsid w:val="00D83B21"/>
    <w:rsid w:val="00D83C33"/>
    <w:rsid w:val="00D83C3B"/>
    <w:rsid w:val="00D83CD2"/>
    <w:rsid w:val="00D83D1F"/>
    <w:rsid w:val="00D83D71"/>
    <w:rsid w:val="00D83E13"/>
    <w:rsid w:val="00D84254"/>
    <w:rsid w:val="00D842B4"/>
    <w:rsid w:val="00D8441B"/>
    <w:rsid w:val="00D844EF"/>
    <w:rsid w:val="00D84586"/>
    <w:rsid w:val="00D846CD"/>
    <w:rsid w:val="00D84721"/>
    <w:rsid w:val="00D84B45"/>
    <w:rsid w:val="00D84B63"/>
    <w:rsid w:val="00D84CD7"/>
    <w:rsid w:val="00D84EF0"/>
    <w:rsid w:val="00D8514F"/>
    <w:rsid w:val="00D8544A"/>
    <w:rsid w:val="00D85668"/>
    <w:rsid w:val="00D85752"/>
    <w:rsid w:val="00D85842"/>
    <w:rsid w:val="00D85A1C"/>
    <w:rsid w:val="00D85AD8"/>
    <w:rsid w:val="00D85BF3"/>
    <w:rsid w:val="00D85D36"/>
    <w:rsid w:val="00D85D6A"/>
    <w:rsid w:val="00D85D83"/>
    <w:rsid w:val="00D85DD3"/>
    <w:rsid w:val="00D85DFE"/>
    <w:rsid w:val="00D85E23"/>
    <w:rsid w:val="00D85F94"/>
    <w:rsid w:val="00D85FE1"/>
    <w:rsid w:val="00D86209"/>
    <w:rsid w:val="00D86222"/>
    <w:rsid w:val="00D86233"/>
    <w:rsid w:val="00D862F1"/>
    <w:rsid w:val="00D86429"/>
    <w:rsid w:val="00D864BE"/>
    <w:rsid w:val="00D866E7"/>
    <w:rsid w:val="00D86738"/>
    <w:rsid w:val="00D867B4"/>
    <w:rsid w:val="00D869F7"/>
    <w:rsid w:val="00D86B29"/>
    <w:rsid w:val="00D86CF2"/>
    <w:rsid w:val="00D86D60"/>
    <w:rsid w:val="00D86EEC"/>
    <w:rsid w:val="00D8703D"/>
    <w:rsid w:val="00D870F2"/>
    <w:rsid w:val="00D8711B"/>
    <w:rsid w:val="00D87410"/>
    <w:rsid w:val="00D874ED"/>
    <w:rsid w:val="00D87525"/>
    <w:rsid w:val="00D875D8"/>
    <w:rsid w:val="00D87671"/>
    <w:rsid w:val="00D87676"/>
    <w:rsid w:val="00D879B5"/>
    <w:rsid w:val="00D87AF2"/>
    <w:rsid w:val="00D87CBE"/>
    <w:rsid w:val="00D87F14"/>
    <w:rsid w:val="00D9006F"/>
    <w:rsid w:val="00D9011D"/>
    <w:rsid w:val="00D902EE"/>
    <w:rsid w:val="00D903B5"/>
    <w:rsid w:val="00D904C0"/>
    <w:rsid w:val="00D904F5"/>
    <w:rsid w:val="00D905E8"/>
    <w:rsid w:val="00D906FC"/>
    <w:rsid w:val="00D907CA"/>
    <w:rsid w:val="00D907ED"/>
    <w:rsid w:val="00D90905"/>
    <w:rsid w:val="00D90976"/>
    <w:rsid w:val="00D9099C"/>
    <w:rsid w:val="00D909A8"/>
    <w:rsid w:val="00D90C79"/>
    <w:rsid w:val="00D90D1F"/>
    <w:rsid w:val="00D90E73"/>
    <w:rsid w:val="00D90ECA"/>
    <w:rsid w:val="00D90F16"/>
    <w:rsid w:val="00D91085"/>
    <w:rsid w:val="00D91343"/>
    <w:rsid w:val="00D9147D"/>
    <w:rsid w:val="00D91519"/>
    <w:rsid w:val="00D916CB"/>
    <w:rsid w:val="00D91742"/>
    <w:rsid w:val="00D91888"/>
    <w:rsid w:val="00D9196A"/>
    <w:rsid w:val="00D919A8"/>
    <w:rsid w:val="00D91A65"/>
    <w:rsid w:val="00D91A8B"/>
    <w:rsid w:val="00D91B12"/>
    <w:rsid w:val="00D91B6F"/>
    <w:rsid w:val="00D91BC1"/>
    <w:rsid w:val="00D91C1E"/>
    <w:rsid w:val="00D91D02"/>
    <w:rsid w:val="00D920F5"/>
    <w:rsid w:val="00D92111"/>
    <w:rsid w:val="00D92128"/>
    <w:rsid w:val="00D922B6"/>
    <w:rsid w:val="00D92449"/>
    <w:rsid w:val="00D9263B"/>
    <w:rsid w:val="00D926CA"/>
    <w:rsid w:val="00D927F1"/>
    <w:rsid w:val="00D92945"/>
    <w:rsid w:val="00D9295F"/>
    <w:rsid w:val="00D9296E"/>
    <w:rsid w:val="00D92CD7"/>
    <w:rsid w:val="00D92CEB"/>
    <w:rsid w:val="00D92F5F"/>
    <w:rsid w:val="00D92FC1"/>
    <w:rsid w:val="00D9303A"/>
    <w:rsid w:val="00D930A2"/>
    <w:rsid w:val="00D9319F"/>
    <w:rsid w:val="00D931DC"/>
    <w:rsid w:val="00D932F2"/>
    <w:rsid w:val="00D93324"/>
    <w:rsid w:val="00D9346E"/>
    <w:rsid w:val="00D93483"/>
    <w:rsid w:val="00D9358F"/>
    <w:rsid w:val="00D9387F"/>
    <w:rsid w:val="00D938EA"/>
    <w:rsid w:val="00D9398C"/>
    <w:rsid w:val="00D9399A"/>
    <w:rsid w:val="00D939CB"/>
    <w:rsid w:val="00D939F9"/>
    <w:rsid w:val="00D93C60"/>
    <w:rsid w:val="00D93CE1"/>
    <w:rsid w:val="00D93E0C"/>
    <w:rsid w:val="00D93E70"/>
    <w:rsid w:val="00D93EF1"/>
    <w:rsid w:val="00D94032"/>
    <w:rsid w:val="00D940AC"/>
    <w:rsid w:val="00D94665"/>
    <w:rsid w:val="00D9473D"/>
    <w:rsid w:val="00D94940"/>
    <w:rsid w:val="00D949BC"/>
    <w:rsid w:val="00D94A67"/>
    <w:rsid w:val="00D94F21"/>
    <w:rsid w:val="00D95009"/>
    <w:rsid w:val="00D9504E"/>
    <w:rsid w:val="00D9513A"/>
    <w:rsid w:val="00D95186"/>
    <w:rsid w:val="00D95263"/>
    <w:rsid w:val="00D952E9"/>
    <w:rsid w:val="00D9558C"/>
    <w:rsid w:val="00D955A1"/>
    <w:rsid w:val="00D956EF"/>
    <w:rsid w:val="00D957F0"/>
    <w:rsid w:val="00D95962"/>
    <w:rsid w:val="00D9599D"/>
    <w:rsid w:val="00D959C5"/>
    <w:rsid w:val="00D95A89"/>
    <w:rsid w:val="00D95B13"/>
    <w:rsid w:val="00D95B88"/>
    <w:rsid w:val="00D95BB3"/>
    <w:rsid w:val="00D95CD9"/>
    <w:rsid w:val="00D95E20"/>
    <w:rsid w:val="00D96129"/>
    <w:rsid w:val="00D96264"/>
    <w:rsid w:val="00D9647E"/>
    <w:rsid w:val="00D964B3"/>
    <w:rsid w:val="00D96612"/>
    <w:rsid w:val="00D9670C"/>
    <w:rsid w:val="00D9678E"/>
    <w:rsid w:val="00D96AD5"/>
    <w:rsid w:val="00D96BD3"/>
    <w:rsid w:val="00D96CEA"/>
    <w:rsid w:val="00D96D37"/>
    <w:rsid w:val="00D96D93"/>
    <w:rsid w:val="00D96DCD"/>
    <w:rsid w:val="00D96DED"/>
    <w:rsid w:val="00D96E53"/>
    <w:rsid w:val="00D96F56"/>
    <w:rsid w:val="00D97168"/>
    <w:rsid w:val="00D971B2"/>
    <w:rsid w:val="00D971E2"/>
    <w:rsid w:val="00D9722C"/>
    <w:rsid w:val="00D9760A"/>
    <w:rsid w:val="00D976FB"/>
    <w:rsid w:val="00D97854"/>
    <w:rsid w:val="00D978A9"/>
    <w:rsid w:val="00D9794F"/>
    <w:rsid w:val="00D979B8"/>
    <w:rsid w:val="00D97A21"/>
    <w:rsid w:val="00D97B6F"/>
    <w:rsid w:val="00D97D42"/>
    <w:rsid w:val="00D97D4D"/>
    <w:rsid w:val="00D97DE7"/>
    <w:rsid w:val="00D97E43"/>
    <w:rsid w:val="00D97E81"/>
    <w:rsid w:val="00D97F0D"/>
    <w:rsid w:val="00D97F17"/>
    <w:rsid w:val="00D97F47"/>
    <w:rsid w:val="00D97FC8"/>
    <w:rsid w:val="00DA002C"/>
    <w:rsid w:val="00DA02A9"/>
    <w:rsid w:val="00DA0380"/>
    <w:rsid w:val="00DA0587"/>
    <w:rsid w:val="00DA06EA"/>
    <w:rsid w:val="00DA0764"/>
    <w:rsid w:val="00DA0837"/>
    <w:rsid w:val="00DA0886"/>
    <w:rsid w:val="00DA08EE"/>
    <w:rsid w:val="00DA0900"/>
    <w:rsid w:val="00DA092A"/>
    <w:rsid w:val="00DA09AB"/>
    <w:rsid w:val="00DA09F8"/>
    <w:rsid w:val="00DA0A72"/>
    <w:rsid w:val="00DA0A8A"/>
    <w:rsid w:val="00DA0B69"/>
    <w:rsid w:val="00DA0C7F"/>
    <w:rsid w:val="00DA0E81"/>
    <w:rsid w:val="00DA109B"/>
    <w:rsid w:val="00DA10DE"/>
    <w:rsid w:val="00DA11AE"/>
    <w:rsid w:val="00DA1295"/>
    <w:rsid w:val="00DA12C3"/>
    <w:rsid w:val="00DA174E"/>
    <w:rsid w:val="00DA19AC"/>
    <w:rsid w:val="00DA1A39"/>
    <w:rsid w:val="00DA1A71"/>
    <w:rsid w:val="00DA1BBF"/>
    <w:rsid w:val="00DA1CCF"/>
    <w:rsid w:val="00DA1EB4"/>
    <w:rsid w:val="00DA1FF6"/>
    <w:rsid w:val="00DA2382"/>
    <w:rsid w:val="00DA27DA"/>
    <w:rsid w:val="00DA29D7"/>
    <w:rsid w:val="00DA2C19"/>
    <w:rsid w:val="00DA2CA9"/>
    <w:rsid w:val="00DA2DCA"/>
    <w:rsid w:val="00DA2F7A"/>
    <w:rsid w:val="00DA31C4"/>
    <w:rsid w:val="00DA31F2"/>
    <w:rsid w:val="00DA323C"/>
    <w:rsid w:val="00DA32E8"/>
    <w:rsid w:val="00DA33C6"/>
    <w:rsid w:val="00DA34E0"/>
    <w:rsid w:val="00DA3587"/>
    <w:rsid w:val="00DA36EE"/>
    <w:rsid w:val="00DA37F8"/>
    <w:rsid w:val="00DA384C"/>
    <w:rsid w:val="00DA39B6"/>
    <w:rsid w:val="00DA3B14"/>
    <w:rsid w:val="00DA3B67"/>
    <w:rsid w:val="00DA3BE3"/>
    <w:rsid w:val="00DA3DC7"/>
    <w:rsid w:val="00DA3DD1"/>
    <w:rsid w:val="00DA3EA0"/>
    <w:rsid w:val="00DA3F9D"/>
    <w:rsid w:val="00DA4085"/>
    <w:rsid w:val="00DA414A"/>
    <w:rsid w:val="00DA43F4"/>
    <w:rsid w:val="00DA47BF"/>
    <w:rsid w:val="00DA4817"/>
    <w:rsid w:val="00DA483E"/>
    <w:rsid w:val="00DA4924"/>
    <w:rsid w:val="00DA4956"/>
    <w:rsid w:val="00DA4A36"/>
    <w:rsid w:val="00DA4AFA"/>
    <w:rsid w:val="00DA4B87"/>
    <w:rsid w:val="00DA4D7C"/>
    <w:rsid w:val="00DA4F1C"/>
    <w:rsid w:val="00DA4F1D"/>
    <w:rsid w:val="00DA4F6D"/>
    <w:rsid w:val="00DA4F75"/>
    <w:rsid w:val="00DA501A"/>
    <w:rsid w:val="00DA560F"/>
    <w:rsid w:val="00DA563E"/>
    <w:rsid w:val="00DA57C4"/>
    <w:rsid w:val="00DA584B"/>
    <w:rsid w:val="00DA585A"/>
    <w:rsid w:val="00DA5884"/>
    <w:rsid w:val="00DA58A1"/>
    <w:rsid w:val="00DA5931"/>
    <w:rsid w:val="00DA5C06"/>
    <w:rsid w:val="00DA5D21"/>
    <w:rsid w:val="00DA5DF8"/>
    <w:rsid w:val="00DA5E22"/>
    <w:rsid w:val="00DA5E33"/>
    <w:rsid w:val="00DA5F7B"/>
    <w:rsid w:val="00DA5FB4"/>
    <w:rsid w:val="00DA6049"/>
    <w:rsid w:val="00DA605E"/>
    <w:rsid w:val="00DA6182"/>
    <w:rsid w:val="00DA6261"/>
    <w:rsid w:val="00DA6366"/>
    <w:rsid w:val="00DA6409"/>
    <w:rsid w:val="00DA6529"/>
    <w:rsid w:val="00DA6559"/>
    <w:rsid w:val="00DA65EA"/>
    <w:rsid w:val="00DA678A"/>
    <w:rsid w:val="00DA690D"/>
    <w:rsid w:val="00DA6A69"/>
    <w:rsid w:val="00DA6B83"/>
    <w:rsid w:val="00DA6BFA"/>
    <w:rsid w:val="00DA6C2E"/>
    <w:rsid w:val="00DA6D48"/>
    <w:rsid w:val="00DA6E1D"/>
    <w:rsid w:val="00DA7056"/>
    <w:rsid w:val="00DA7161"/>
    <w:rsid w:val="00DA751D"/>
    <w:rsid w:val="00DA7622"/>
    <w:rsid w:val="00DA7670"/>
    <w:rsid w:val="00DA7831"/>
    <w:rsid w:val="00DA7871"/>
    <w:rsid w:val="00DA7942"/>
    <w:rsid w:val="00DA7998"/>
    <w:rsid w:val="00DA7A5D"/>
    <w:rsid w:val="00DA7BAA"/>
    <w:rsid w:val="00DA7C2C"/>
    <w:rsid w:val="00DA7D58"/>
    <w:rsid w:val="00DA7DFA"/>
    <w:rsid w:val="00DA7EAA"/>
    <w:rsid w:val="00DA7EDE"/>
    <w:rsid w:val="00DA7FEA"/>
    <w:rsid w:val="00DA7FEB"/>
    <w:rsid w:val="00DB00C8"/>
    <w:rsid w:val="00DB0198"/>
    <w:rsid w:val="00DB01E6"/>
    <w:rsid w:val="00DB02DD"/>
    <w:rsid w:val="00DB0354"/>
    <w:rsid w:val="00DB03FB"/>
    <w:rsid w:val="00DB0443"/>
    <w:rsid w:val="00DB064A"/>
    <w:rsid w:val="00DB06C3"/>
    <w:rsid w:val="00DB0785"/>
    <w:rsid w:val="00DB08CA"/>
    <w:rsid w:val="00DB0A92"/>
    <w:rsid w:val="00DB0B62"/>
    <w:rsid w:val="00DB0BCB"/>
    <w:rsid w:val="00DB0BE8"/>
    <w:rsid w:val="00DB0C17"/>
    <w:rsid w:val="00DB0CFF"/>
    <w:rsid w:val="00DB0DE7"/>
    <w:rsid w:val="00DB0E90"/>
    <w:rsid w:val="00DB0FEA"/>
    <w:rsid w:val="00DB0FFE"/>
    <w:rsid w:val="00DB1019"/>
    <w:rsid w:val="00DB10E5"/>
    <w:rsid w:val="00DB10FB"/>
    <w:rsid w:val="00DB117D"/>
    <w:rsid w:val="00DB129B"/>
    <w:rsid w:val="00DB1322"/>
    <w:rsid w:val="00DB132E"/>
    <w:rsid w:val="00DB1617"/>
    <w:rsid w:val="00DB19A6"/>
    <w:rsid w:val="00DB1AFF"/>
    <w:rsid w:val="00DB1D90"/>
    <w:rsid w:val="00DB1D9D"/>
    <w:rsid w:val="00DB1E29"/>
    <w:rsid w:val="00DB1F0C"/>
    <w:rsid w:val="00DB1F2A"/>
    <w:rsid w:val="00DB1F9A"/>
    <w:rsid w:val="00DB2037"/>
    <w:rsid w:val="00DB2041"/>
    <w:rsid w:val="00DB212C"/>
    <w:rsid w:val="00DB2275"/>
    <w:rsid w:val="00DB2342"/>
    <w:rsid w:val="00DB23DC"/>
    <w:rsid w:val="00DB2450"/>
    <w:rsid w:val="00DB2550"/>
    <w:rsid w:val="00DB2677"/>
    <w:rsid w:val="00DB287C"/>
    <w:rsid w:val="00DB28E3"/>
    <w:rsid w:val="00DB2ACB"/>
    <w:rsid w:val="00DB2C75"/>
    <w:rsid w:val="00DB2CF8"/>
    <w:rsid w:val="00DB2DD3"/>
    <w:rsid w:val="00DB2E59"/>
    <w:rsid w:val="00DB2F38"/>
    <w:rsid w:val="00DB3081"/>
    <w:rsid w:val="00DB3219"/>
    <w:rsid w:val="00DB3329"/>
    <w:rsid w:val="00DB3647"/>
    <w:rsid w:val="00DB365A"/>
    <w:rsid w:val="00DB3878"/>
    <w:rsid w:val="00DB3A10"/>
    <w:rsid w:val="00DB3AB1"/>
    <w:rsid w:val="00DB3C9F"/>
    <w:rsid w:val="00DB3D29"/>
    <w:rsid w:val="00DB3FFF"/>
    <w:rsid w:val="00DB4047"/>
    <w:rsid w:val="00DB40F9"/>
    <w:rsid w:val="00DB410B"/>
    <w:rsid w:val="00DB4313"/>
    <w:rsid w:val="00DB4575"/>
    <w:rsid w:val="00DB4626"/>
    <w:rsid w:val="00DB47E0"/>
    <w:rsid w:val="00DB4967"/>
    <w:rsid w:val="00DB4A1F"/>
    <w:rsid w:val="00DB4A9C"/>
    <w:rsid w:val="00DB4AD4"/>
    <w:rsid w:val="00DB4BD7"/>
    <w:rsid w:val="00DB4C3E"/>
    <w:rsid w:val="00DB4C9C"/>
    <w:rsid w:val="00DB4CEB"/>
    <w:rsid w:val="00DB4EAD"/>
    <w:rsid w:val="00DB4ED8"/>
    <w:rsid w:val="00DB4F1F"/>
    <w:rsid w:val="00DB5092"/>
    <w:rsid w:val="00DB50E3"/>
    <w:rsid w:val="00DB5190"/>
    <w:rsid w:val="00DB51F3"/>
    <w:rsid w:val="00DB52E2"/>
    <w:rsid w:val="00DB53E6"/>
    <w:rsid w:val="00DB5403"/>
    <w:rsid w:val="00DB55E4"/>
    <w:rsid w:val="00DB56AE"/>
    <w:rsid w:val="00DB57F3"/>
    <w:rsid w:val="00DB5A24"/>
    <w:rsid w:val="00DB5B12"/>
    <w:rsid w:val="00DB5B62"/>
    <w:rsid w:val="00DB5CE7"/>
    <w:rsid w:val="00DB5D6F"/>
    <w:rsid w:val="00DB5DE9"/>
    <w:rsid w:val="00DB5E4D"/>
    <w:rsid w:val="00DB5FE1"/>
    <w:rsid w:val="00DB63C9"/>
    <w:rsid w:val="00DB65A5"/>
    <w:rsid w:val="00DB6603"/>
    <w:rsid w:val="00DB6833"/>
    <w:rsid w:val="00DB689B"/>
    <w:rsid w:val="00DB6A77"/>
    <w:rsid w:val="00DB6B12"/>
    <w:rsid w:val="00DB6BC8"/>
    <w:rsid w:val="00DB6C9D"/>
    <w:rsid w:val="00DB6D9E"/>
    <w:rsid w:val="00DB6DA9"/>
    <w:rsid w:val="00DB6DB4"/>
    <w:rsid w:val="00DB70C7"/>
    <w:rsid w:val="00DB70CC"/>
    <w:rsid w:val="00DB7164"/>
    <w:rsid w:val="00DB71B8"/>
    <w:rsid w:val="00DB7237"/>
    <w:rsid w:val="00DB72F5"/>
    <w:rsid w:val="00DB7402"/>
    <w:rsid w:val="00DB74EF"/>
    <w:rsid w:val="00DB76DF"/>
    <w:rsid w:val="00DB7851"/>
    <w:rsid w:val="00DB78E1"/>
    <w:rsid w:val="00DB7989"/>
    <w:rsid w:val="00DB7C00"/>
    <w:rsid w:val="00DB7CE2"/>
    <w:rsid w:val="00DB7F3B"/>
    <w:rsid w:val="00DC00F2"/>
    <w:rsid w:val="00DC039C"/>
    <w:rsid w:val="00DC0493"/>
    <w:rsid w:val="00DC0769"/>
    <w:rsid w:val="00DC07E1"/>
    <w:rsid w:val="00DC089C"/>
    <w:rsid w:val="00DC0A4E"/>
    <w:rsid w:val="00DC0A92"/>
    <w:rsid w:val="00DC0F27"/>
    <w:rsid w:val="00DC0FB9"/>
    <w:rsid w:val="00DC105A"/>
    <w:rsid w:val="00DC10CE"/>
    <w:rsid w:val="00DC10D9"/>
    <w:rsid w:val="00DC128A"/>
    <w:rsid w:val="00DC134C"/>
    <w:rsid w:val="00DC157E"/>
    <w:rsid w:val="00DC1597"/>
    <w:rsid w:val="00DC15A6"/>
    <w:rsid w:val="00DC185B"/>
    <w:rsid w:val="00DC18C6"/>
    <w:rsid w:val="00DC1960"/>
    <w:rsid w:val="00DC1ADE"/>
    <w:rsid w:val="00DC1B97"/>
    <w:rsid w:val="00DC1CD2"/>
    <w:rsid w:val="00DC1D6F"/>
    <w:rsid w:val="00DC1DFD"/>
    <w:rsid w:val="00DC206B"/>
    <w:rsid w:val="00DC20D0"/>
    <w:rsid w:val="00DC215E"/>
    <w:rsid w:val="00DC22AF"/>
    <w:rsid w:val="00DC23E0"/>
    <w:rsid w:val="00DC2437"/>
    <w:rsid w:val="00DC246E"/>
    <w:rsid w:val="00DC247A"/>
    <w:rsid w:val="00DC2549"/>
    <w:rsid w:val="00DC2736"/>
    <w:rsid w:val="00DC27D4"/>
    <w:rsid w:val="00DC27DC"/>
    <w:rsid w:val="00DC27E6"/>
    <w:rsid w:val="00DC2866"/>
    <w:rsid w:val="00DC287E"/>
    <w:rsid w:val="00DC2943"/>
    <w:rsid w:val="00DC29A5"/>
    <w:rsid w:val="00DC2AEE"/>
    <w:rsid w:val="00DC2C5B"/>
    <w:rsid w:val="00DC2CEA"/>
    <w:rsid w:val="00DC2EE8"/>
    <w:rsid w:val="00DC30DA"/>
    <w:rsid w:val="00DC313F"/>
    <w:rsid w:val="00DC3226"/>
    <w:rsid w:val="00DC325A"/>
    <w:rsid w:val="00DC32F2"/>
    <w:rsid w:val="00DC3316"/>
    <w:rsid w:val="00DC3460"/>
    <w:rsid w:val="00DC3537"/>
    <w:rsid w:val="00DC37D0"/>
    <w:rsid w:val="00DC3901"/>
    <w:rsid w:val="00DC3A7F"/>
    <w:rsid w:val="00DC3B91"/>
    <w:rsid w:val="00DC3C9B"/>
    <w:rsid w:val="00DC3DD8"/>
    <w:rsid w:val="00DC3E1D"/>
    <w:rsid w:val="00DC3EBC"/>
    <w:rsid w:val="00DC3F66"/>
    <w:rsid w:val="00DC4246"/>
    <w:rsid w:val="00DC4369"/>
    <w:rsid w:val="00DC438E"/>
    <w:rsid w:val="00DC4398"/>
    <w:rsid w:val="00DC4402"/>
    <w:rsid w:val="00DC4447"/>
    <w:rsid w:val="00DC4468"/>
    <w:rsid w:val="00DC454F"/>
    <w:rsid w:val="00DC46BD"/>
    <w:rsid w:val="00DC47DB"/>
    <w:rsid w:val="00DC4880"/>
    <w:rsid w:val="00DC4B63"/>
    <w:rsid w:val="00DC4BFF"/>
    <w:rsid w:val="00DC4C93"/>
    <w:rsid w:val="00DC4D45"/>
    <w:rsid w:val="00DC508A"/>
    <w:rsid w:val="00DC50D2"/>
    <w:rsid w:val="00DC50EC"/>
    <w:rsid w:val="00DC5148"/>
    <w:rsid w:val="00DC5269"/>
    <w:rsid w:val="00DC528F"/>
    <w:rsid w:val="00DC532B"/>
    <w:rsid w:val="00DC53EF"/>
    <w:rsid w:val="00DC54D8"/>
    <w:rsid w:val="00DC5668"/>
    <w:rsid w:val="00DC57F1"/>
    <w:rsid w:val="00DC5AA1"/>
    <w:rsid w:val="00DC5AB5"/>
    <w:rsid w:val="00DC5C34"/>
    <w:rsid w:val="00DC5DEC"/>
    <w:rsid w:val="00DC5ED9"/>
    <w:rsid w:val="00DC5F5E"/>
    <w:rsid w:val="00DC604C"/>
    <w:rsid w:val="00DC6122"/>
    <w:rsid w:val="00DC61B3"/>
    <w:rsid w:val="00DC622D"/>
    <w:rsid w:val="00DC625B"/>
    <w:rsid w:val="00DC6261"/>
    <w:rsid w:val="00DC6392"/>
    <w:rsid w:val="00DC63BB"/>
    <w:rsid w:val="00DC63F8"/>
    <w:rsid w:val="00DC665C"/>
    <w:rsid w:val="00DC6778"/>
    <w:rsid w:val="00DC6856"/>
    <w:rsid w:val="00DC68A5"/>
    <w:rsid w:val="00DC69DE"/>
    <w:rsid w:val="00DC6A7F"/>
    <w:rsid w:val="00DC6C75"/>
    <w:rsid w:val="00DC6C92"/>
    <w:rsid w:val="00DC6CA5"/>
    <w:rsid w:val="00DC6E9C"/>
    <w:rsid w:val="00DC6FB3"/>
    <w:rsid w:val="00DC730A"/>
    <w:rsid w:val="00DC7352"/>
    <w:rsid w:val="00DC7362"/>
    <w:rsid w:val="00DC75D6"/>
    <w:rsid w:val="00DC77C2"/>
    <w:rsid w:val="00DC793C"/>
    <w:rsid w:val="00DC7C65"/>
    <w:rsid w:val="00DC7CBA"/>
    <w:rsid w:val="00DC7D17"/>
    <w:rsid w:val="00DC7DAB"/>
    <w:rsid w:val="00DC7EB6"/>
    <w:rsid w:val="00DC7EFB"/>
    <w:rsid w:val="00DC7F44"/>
    <w:rsid w:val="00DD017F"/>
    <w:rsid w:val="00DD033F"/>
    <w:rsid w:val="00DD0370"/>
    <w:rsid w:val="00DD03E3"/>
    <w:rsid w:val="00DD03E6"/>
    <w:rsid w:val="00DD04DA"/>
    <w:rsid w:val="00DD0534"/>
    <w:rsid w:val="00DD063A"/>
    <w:rsid w:val="00DD067A"/>
    <w:rsid w:val="00DD073A"/>
    <w:rsid w:val="00DD07BB"/>
    <w:rsid w:val="00DD09A3"/>
    <w:rsid w:val="00DD09D4"/>
    <w:rsid w:val="00DD0A1C"/>
    <w:rsid w:val="00DD0A69"/>
    <w:rsid w:val="00DD0A72"/>
    <w:rsid w:val="00DD0AE9"/>
    <w:rsid w:val="00DD0B35"/>
    <w:rsid w:val="00DD0B64"/>
    <w:rsid w:val="00DD0C96"/>
    <w:rsid w:val="00DD0CB2"/>
    <w:rsid w:val="00DD0CE2"/>
    <w:rsid w:val="00DD0E1D"/>
    <w:rsid w:val="00DD0ED2"/>
    <w:rsid w:val="00DD1447"/>
    <w:rsid w:val="00DD14C1"/>
    <w:rsid w:val="00DD15E9"/>
    <w:rsid w:val="00DD16B0"/>
    <w:rsid w:val="00DD16B3"/>
    <w:rsid w:val="00DD174B"/>
    <w:rsid w:val="00DD17FD"/>
    <w:rsid w:val="00DD1916"/>
    <w:rsid w:val="00DD194A"/>
    <w:rsid w:val="00DD1A45"/>
    <w:rsid w:val="00DD1ADA"/>
    <w:rsid w:val="00DD1B93"/>
    <w:rsid w:val="00DD1BBC"/>
    <w:rsid w:val="00DD1C05"/>
    <w:rsid w:val="00DD1CC2"/>
    <w:rsid w:val="00DD1DC5"/>
    <w:rsid w:val="00DD1F42"/>
    <w:rsid w:val="00DD2041"/>
    <w:rsid w:val="00DD20DC"/>
    <w:rsid w:val="00DD216A"/>
    <w:rsid w:val="00DD225A"/>
    <w:rsid w:val="00DD2455"/>
    <w:rsid w:val="00DD269A"/>
    <w:rsid w:val="00DD271A"/>
    <w:rsid w:val="00DD27A1"/>
    <w:rsid w:val="00DD2D49"/>
    <w:rsid w:val="00DD2E57"/>
    <w:rsid w:val="00DD2EA3"/>
    <w:rsid w:val="00DD32BD"/>
    <w:rsid w:val="00DD3322"/>
    <w:rsid w:val="00DD3393"/>
    <w:rsid w:val="00DD355F"/>
    <w:rsid w:val="00DD35B0"/>
    <w:rsid w:val="00DD35F9"/>
    <w:rsid w:val="00DD37E5"/>
    <w:rsid w:val="00DD385A"/>
    <w:rsid w:val="00DD3883"/>
    <w:rsid w:val="00DD38D6"/>
    <w:rsid w:val="00DD397D"/>
    <w:rsid w:val="00DD3B8D"/>
    <w:rsid w:val="00DD3BB0"/>
    <w:rsid w:val="00DD3C3D"/>
    <w:rsid w:val="00DD3D20"/>
    <w:rsid w:val="00DD3DAF"/>
    <w:rsid w:val="00DD3E6B"/>
    <w:rsid w:val="00DD3F44"/>
    <w:rsid w:val="00DD3F5D"/>
    <w:rsid w:val="00DD40F0"/>
    <w:rsid w:val="00DD422E"/>
    <w:rsid w:val="00DD4346"/>
    <w:rsid w:val="00DD442C"/>
    <w:rsid w:val="00DD4455"/>
    <w:rsid w:val="00DD448B"/>
    <w:rsid w:val="00DD4787"/>
    <w:rsid w:val="00DD486D"/>
    <w:rsid w:val="00DD49A9"/>
    <w:rsid w:val="00DD49BF"/>
    <w:rsid w:val="00DD4A32"/>
    <w:rsid w:val="00DD4A77"/>
    <w:rsid w:val="00DD4BBE"/>
    <w:rsid w:val="00DD4CBE"/>
    <w:rsid w:val="00DD4D0D"/>
    <w:rsid w:val="00DD4DEF"/>
    <w:rsid w:val="00DD4F4E"/>
    <w:rsid w:val="00DD5146"/>
    <w:rsid w:val="00DD545F"/>
    <w:rsid w:val="00DD54C3"/>
    <w:rsid w:val="00DD556E"/>
    <w:rsid w:val="00DD5697"/>
    <w:rsid w:val="00DD5848"/>
    <w:rsid w:val="00DD58A3"/>
    <w:rsid w:val="00DD58C2"/>
    <w:rsid w:val="00DD58C5"/>
    <w:rsid w:val="00DD58F5"/>
    <w:rsid w:val="00DD5961"/>
    <w:rsid w:val="00DD5A00"/>
    <w:rsid w:val="00DD5B73"/>
    <w:rsid w:val="00DD5B77"/>
    <w:rsid w:val="00DD5D49"/>
    <w:rsid w:val="00DD5DBD"/>
    <w:rsid w:val="00DD5E88"/>
    <w:rsid w:val="00DD5EF7"/>
    <w:rsid w:val="00DD602F"/>
    <w:rsid w:val="00DD60A5"/>
    <w:rsid w:val="00DD61A2"/>
    <w:rsid w:val="00DD625C"/>
    <w:rsid w:val="00DD62B4"/>
    <w:rsid w:val="00DD63D3"/>
    <w:rsid w:val="00DD63FF"/>
    <w:rsid w:val="00DD64B6"/>
    <w:rsid w:val="00DD695F"/>
    <w:rsid w:val="00DD6A92"/>
    <w:rsid w:val="00DD6CB8"/>
    <w:rsid w:val="00DD6CCD"/>
    <w:rsid w:val="00DD6CF9"/>
    <w:rsid w:val="00DD6D71"/>
    <w:rsid w:val="00DD6F2F"/>
    <w:rsid w:val="00DD70D0"/>
    <w:rsid w:val="00DD7168"/>
    <w:rsid w:val="00DD71C9"/>
    <w:rsid w:val="00DD7298"/>
    <w:rsid w:val="00DD7359"/>
    <w:rsid w:val="00DD73C2"/>
    <w:rsid w:val="00DD7435"/>
    <w:rsid w:val="00DD743E"/>
    <w:rsid w:val="00DD77EF"/>
    <w:rsid w:val="00DD7809"/>
    <w:rsid w:val="00DD78CC"/>
    <w:rsid w:val="00DD7925"/>
    <w:rsid w:val="00DD7A89"/>
    <w:rsid w:val="00DD7CC9"/>
    <w:rsid w:val="00DE02CF"/>
    <w:rsid w:val="00DE040C"/>
    <w:rsid w:val="00DE0459"/>
    <w:rsid w:val="00DE058F"/>
    <w:rsid w:val="00DE0599"/>
    <w:rsid w:val="00DE0641"/>
    <w:rsid w:val="00DE069D"/>
    <w:rsid w:val="00DE06C8"/>
    <w:rsid w:val="00DE089C"/>
    <w:rsid w:val="00DE0946"/>
    <w:rsid w:val="00DE09C6"/>
    <w:rsid w:val="00DE09EE"/>
    <w:rsid w:val="00DE0B0D"/>
    <w:rsid w:val="00DE0BF2"/>
    <w:rsid w:val="00DE0D1F"/>
    <w:rsid w:val="00DE0EFF"/>
    <w:rsid w:val="00DE1218"/>
    <w:rsid w:val="00DE12C0"/>
    <w:rsid w:val="00DE13E5"/>
    <w:rsid w:val="00DE18CC"/>
    <w:rsid w:val="00DE1928"/>
    <w:rsid w:val="00DE1A2D"/>
    <w:rsid w:val="00DE1DC3"/>
    <w:rsid w:val="00DE2151"/>
    <w:rsid w:val="00DE2246"/>
    <w:rsid w:val="00DE226E"/>
    <w:rsid w:val="00DE234A"/>
    <w:rsid w:val="00DE2417"/>
    <w:rsid w:val="00DE2523"/>
    <w:rsid w:val="00DE2597"/>
    <w:rsid w:val="00DE2614"/>
    <w:rsid w:val="00DE2926"/>
    <w:rsid w:val="00DE2957"/>
    <w:rsid w:val="00DE296F"/>
    <w:rsid w:val="00DE29B1"/>
    <w:rsid w:val="00DE2A35"/>
    <w:rsid w:val="00DE2B06"/>
    <w:rsid w:val="00DE2B78"/>
    <w:rsid w:val="00DE2BCA"/>
    <w:rsid w:val="00DE2CCE"/>
    <w:rsid w:val="00DE2CFE"/>
    <w:rsid w:val="00DE2D32"/>
    <w:rsid w:val="00DE2E19"/>
    <w:rsid w:val="00DE2F46"/>
    <w:rsid w:val="00DE2F93"/>
    <w:rsid w:val="00DE306C"/>
    <w:rsid w:val="00DE3148"/>
    <w:rsid w:val="00DE3196"/>
    <w:rsid w:val="00DE3256"/>
    <w:rsid w:val="00DE34D8"/>
    <w:rsid w:val="00DE34DC"/>
    <w:rsid w:val="00DE3659"/>
    <w:rsid w:val="00DE369A"/>
    <w:rsid w:val="00DE37D7"/>
    <w:rsid w:val="00DE38E6"/>
    <w:rsid w:val="00DE3966"/>
    <w:rsid w:val="00DE3A79"/>
    <w:rsid w:val="00DE3CE6"/>
    <w:rsid w:val="00DE3E84"/>
    <w:rsid w:val="00DE3FC8"/>
    <w:rsid w:val="00DE3FF5"/>
    <w:rsid w:val="00DE408D"/>
    <w:rsid w:val="00DE40B2"/>
    <w:rsid w:val="00DE40CB"/>
    <w:rsid w:val="00DE4125"/>
    <w:rsid w:val="00DE418B"/>
    <w:rsid w:val="00DE41B8"/>
    <w:rsid w:val="00DE4201"/>
    <w:rsid w:val="00DE427A"/>
    <w:rsid w:val="00DE431D"/>
    <w:rsid w:val="00DE43E0"/>
    <w:rsid w:val="00DE4507"/>
    <w:rsid w:val="00DE4623"/>
    <w:rsid w:val="00DE47B5"/>
    <w:rsid w:val="00DE483D"/>
    <w:rsid w:val="00DE4A8D"/>
    <w:rsid w:val="00DE4B34"/>
    <w:rsid w:val="00DE4B83"/>
    <w:rsid w:val="00DE4BDC"/>
    <w:rsid w:val="00DE4C7A"/>
    <w:rsid w:val="00DE4D38"/>
    <w:rsid w:val="00DE4F01"/>
    <w:rsid w:val="00DE4F10"/>
    <w:rsid w:val="00DE4FB6"/>
    <w:rsid w:val="00DE4FC1"/>
    <w:rsid w:val="00DE5018"/>
    <w:rsid w:val="00DE5047"/>
    <w:rsid w:val="00DE50BF"/>
    <w:rsid w:val="00DE50C7"/>
    <w:rsid w:val="00DE50E8"/>
    <w:rsid w:val="00DE5117"/>
    <w:rsid w:val="00DE521B"/>
    <w:rsid w:val="00DE5285"/>
    <w:rsid w:val="00DE55FE"/>
    <w:rsid w:val="00DE56C3"/>
    <w:rsid w:val="00DE570A"/>
    <w:rsid w:val="00DE572B"/>
    <w:rsid w:val="00DE5764"/>
    <w:rsid w:val="00DE578F"/>
    <w:rsid w:val="00DE5A34"/>
    <w:rsid w:val="00DE5AE9"/>
    <w:rsid w:val="00DE5C47"/>
    <w:rsid w:val="00DE5CBC"/>
    <w:rsid w:val="00DE5E43"/>
    <w:rsid w:val="00DE6092"/>
    <w:rsid w:val="00DE62FA"/>
    <w:rsid w:val="00DE635E"/>
    <w:rsid w:val="00DE63CA"/>
    <w:rsid w:val="00DE65B9"/>
    <w:rsid w:val="00DE6818"/>
    <w:rsid w:val="00DE683F"/>
    <w:rsid w:val="00DE68A6"/>
    <w:rsid w:val="00DE6A3E"/>
    <w:rsid w:val="00DE6ACE"/>
    <w:rsid w:val="00DE6C4B"/>
    <w:rsid w:val="00DE6C77"/>
    <w:rsid w:val="00DE6C81"/>
    <w:rsid w:val="00DE6DDB"/>
    <w:rsid w:val="00DE6E4C"/>
    <w:rsid w:val="00DE6E60"/>
    <w:rsid w:val="00DE6FB8"/>
    <w:rsid w:val="00DE704B"/>
    <w:rsid w:val="00DE70F9"/>
    <w:rsid w:val="00DE7189"/>
    <w:rsid w:val="00DE7302"/>
    <w:rsid w:val="00DE73A8"/>
    <w:rsid w:val="00DE7510"/>
    <w:rsid w:val="00DE754B"/>
    <w:rsid w:val="00DE75B2"/>
    <w:rsid w:val="00DE7630"/>
    <w:rsid w:val="00DE77E8"/>
    <w:rsid w:val="00DE77EA"/>
    <w:rsid w:val="00DE78C0"/>
    <w:rsid w:val="00DE7B88"/>
    <w:rsid w:val="00DE7BE2"/>
    <w:rsid w:val="00DE7BF8"/>
    <w:rsid w:val="00DE7CC7"/>
    <w:rsid w:val="00DE7DD3"/>
    <w:rsid w:val="00DE7E1F"/>
    <w:rsid w:val="00DE7F26"/>
    <w:rsid w:val="00DE7F39"/>
    <w:rsid w:val="00DF0185"/>
    <w:rsid w:val="00DF01F6"/>
    <w:rsid w:val="00DF024A"/>
    <w:rsid w:val="00DF0363"/>
    <w:rsid w:val="00DF03CB"/>
    <w:rsid w:val="00DF03DC"/>
    <w:rsid w:val="00DF078C"/>
    <w:rsid w:val="00DF0943"/>
    <w:rsid w:val="00DF0AB7"/>
    <w:rsid w:val="00DF0ADF"/>
    <w:rsid w:val="00DF0AEA"/>
    <w:rsid w:val="00DF0D2D"/>
    <w:rsid w:val="00DF0DC0"/>
    <w:rsid w:val="00DF0EB9"/>
    <w:rsid w:val="00DF10DE"/>
    <w:rsid w:val="00DF1236"/>
    <w:rsid w:val="00DF1299"/>
    <w:rsid w:val="00DF1306"/>
    <w:rsid w:val="00DF1335"/>
    <w:rsid w:val="00DF13CE"/>
    <w:rsid w:val="00DF14BA"/>
    <w:rsid w:val="00DF16CB"/>
    <w:rsid w:val="00DF16CC"/>
    <w:rsid w:val="00DF17D0"/>
    <w:rsid w:val="00DF199F"/>
    <w:rsid w:val="00DF1A77"/>
    <w:rsid w:val="00DF1BEF"/>
    <w:rsid w:val="00DF1C29"/>
    <w:rsid w:val="00DF1D70"/>
    <w:rsid w:val="00DF1E4F"/>
    <w:rsid w:val="00DF1F36"/>
    <w:rsid w:val="00DF1F98"/>
    <w:rsid w:val="00DF2219"/>
    <w:rsid w:val="00DF23F3"/>
    <w:rsid w:val="00DF24CB"/>
    <w:rsid w:val="00DF2588"/>
    <w:rsid w:val="00DF25E3"/>
    <w:rsid w:val="00DF264B"/>
    <w:rsid w:val="00DF2656"/>
    <w:rsid w:val="00DF2679"/>
    <w:rsid w:val="00DF28A0"/>
    <w:rsid w:val="00DF29BA"/>
    <w:rsid w:val="00DF2A70"/>
    <w:rsid w:val="00DF2D98"/>
    <w:rsid w:val="00DF2DEC"/>
    <w:rsid w:val="00DF2FA1"/>
    <w:rsid w:val="00DF3003"/>
    <w:rsid w:val="00DF306B"/>
    <w:rsid w:val="00DF30A3"/>
    <w:rsid w:val="00DF312B"/>
    <w:rsid w:val="00DF316A"/>
    <w:rsid w:val="00DF31A7"/>
    <w:rsid w:val="00DF32CE"/>
    <w:rsid w:val="00DF331F"/>
    <w:rsid w:val="00DF351E"/>
    <w:rsid w:val="00DF363C"/>
    <w:rsid w:val="00DF36A5"/>
    <w:rsid w:val="00DF3796"/>
    <w:rsid w:val="00DF37DE"/>
    <w:rsid w:val="00DF3802"/>
    <w:rsid w:val="00DF385F"/>
    <w:rsid w:val="00DF3C54"/>
    <w:rsid w:val="00DF3D4F"/>
    <w:rsid w:val="00DF3DF6"/>
    <w:rsid w:val="00DF40C4"/>
    <w:rsid w:val="00DF4134"/>
    <w:rsid w:val="00DF415B"/>
    <w:rsid w:val="00DF4223"/>
    <w:rsid w:val="00DF4233"/>
    <w:rsid w:val="00DF453E"/>
    <w:rsid w:val="00DF456D"/>
    <w:rsid w:val="00DF457D"/>
    <w:rsid w:val="00DF4657"/>
    <w:rsid w:val="00DF4770"/>
    <w:rsid w:val="00DF47B0"/>
    <w:rsid w:val="00DF4983"/>
    <w:rsid w:val="00DF4B5C"/>
    <w:rsid w:val="00DF4D34"/>
    <w:rsid w:val="00DF4D3A"/>
    <w:rsid w:val="00DF4D5B"/>
    <w:rsid w:val="00DF4D96"/>
    <w:rsid w:val="00DF4DB2"/>
    <w:rsid w:val="00DF4EB7"/>
    <w:rsid w:val="00DF4F36"/>
    <w:rsid w:val="00DF4F7B"/>
    <w:rsid w:val="00DF51E9"/>
    <w:rsid w:val="00DF52F9"/>
    <w:rsid w:val="00DF5562"/>
    <w:rsid w:val="00DF56D9"/>
    <w:rsid w:val="00DF5737"/>
    <w:rsid w:val="00DF57A9"/>
    <w:rsid w:val="00DF59EA"/>
    <w:rsid w:val="00DF5A94"/>
    <w:rsid w:val="00DF5AF1"/>
    <w:rsid w:val="00DF5B2A"/>
    <w:rsid w:val="00DF5BC9"/>
    <w:rsid w:val="00DF5C1F"/>
    <w:rsid w:val="00DF5E1D"/>
    <w:rsid w:val="00DF5E83"/>
    <w:rsid w:val="00DF5EFE"/>
    <w:rsid w:val="00DF5FD4"/>
    <w:rsid w:val="00DF5FDB"/>
    <w:rsid w:val="00DF606D"/>
    <w:rsid w:val="00DF621D"/>
    <w:rsid w:val="00DF62B4"/>
    <w:rsid w:val="00DF634C"/>
    <w:rsid w:val="00DF6354"/>
    <w:rsid w:val="00DF6495"/>
    <w:rsid w:val="00DF69F1"/>
    <w:rsid w:val="00DF6B58"/>
    <w:rsid w:val="00DF6B74"/>
    <w:rsid w:val="00DF6D32"/>
    <w:rsid w:val="00DF6D82"/>
    <w:rsid w:val="00DF6ED4"/>
    <w:rsid w:val="00DF6F91"/>
    <w:rsid w:val="00DF717E"/>
    <w:rsid w:val="00DF718B"/>
    <w:rsid w:val="00DF71EE"/>
    <w:rsid w:val="00DF736C"/>
    <w:rsid w:val="00DF744B"/>
    <w:rsid w:val="00DF7484"/>
    <w:rsid w:val="00DF77FD"/>
    <w:rsid w:val="00DF78E8"/>
    <w:rsid w:val="00DF7901"/>
    <w:rsid w:val="00DF7DC4"/>
    <w:rsid w:val="00DF7EEB"/>
    <w:rsid w:val="00DF7FE2"/>
    <w:rsid w:val="00E0006B"/>
    <w:rsid w:val="00E000F2"/>
    <w:rsid w:val="00E00264"/>
    <w:rsid w:val="00E0031E"/>
    <w:rsid w:val="00E0033E"/>
    <w:rsid w:val="00E00350"/>
    <w:rsid w:val="00E0037F"/>
    <w:rsid w:val="00E00494"/>
    <w:rsid w:val="00E004E8"/>
    <w:rsid w:val="00E007FC"/>
    <w:rsid w:val="00E00929"/>
    <w:rsid w:val="00E00B60"/>
    <w:rsid w:val="00E00CA5"/>
    <w:rsid w:val="00E00CB4"/>
    <w:rsid w:val="00E00D6F"/>
    <w:rsid w:val="00E00DB7"/>
    <w:rsid w:val="00E01192"/>
    <w:rsid w:val="00E012CC"/>
    <w:rsid w:val="00E01537"/>
    <w:rsid w:val="00E01539"/>
    <w:rsid w:val="00E0164A"/>
    <w:rsid w:val="00E01747"/>
    <w:rsid w:val="00E0175D"/>
    <w:rsid w:val="00E017EC"/>
    <w:rsid w:val="00E01900"/>
    <w:rsid w:val="00E019B3"/>
    <w:rsid w:val="00E01BF7"/>
    <w:rsid w:val="00E01E73"/>
    <w:rsid w:val="00E02007"/>
    <w:rsid w:val="00E02016"/>
    <w:rsid w:val="00E020AC"/>
    <w:rsid w:val="00E020D2"/>
    <w:rsid w:val="00E020FA"/>
    <w:rsid w:val="00E02229"/>
    <w:rsid w:val="00E025BD"/>
    <w:rsid w:val="00E026BA"/>
    <w:rsid w:val="00E02736"/>
    <w:rsid w:val="00E0278C"/>
    <w:rsid w:val="00E02A73"/>
    <w:rsid w:val="00E02B1D"/>
    <w:rsid w:val="00E02CBB"/>
    <w:rsid w:val="00E02DA0"/>
    <w:rsid w:val="00E02EF8"/>
    <w:rsid w:val="00E02F68"/>
    <w:rsid w:val="00E0311D"/>
    <w:rsid w:val="00E032F2"/>
    <w:rsid w:val="00E033BD"/>
    <w:rsid w:val="00E035EB"/>
    <w:rsid w:val="00E03654"/>
    <w:rsid w:val="00E036EA"/>
    <w:rsid w:val="00E037A8"/>
    <w:rsid w:val="00E0380A"/>
    <w:rsid w:val="00E0384B"/>
    <w:rsid w:val="00E03920"/>
    <w:rsid w:val="00E03933"/>
    <w:rsid w:val="00E03951"/>
    <w:rsid w:val="00E0396D"/>
    <w:rsid w:val="00E039AC"/>
    <w:rsid w:val="00E03A40"/>
    <w:rsid w:val="00E03A5C"/>
    <w:rsid w:val="00E03B9B"/>
    <w:rsid w:val="00E03CBF"/>
    <w:rsid w:val="00E03E11"/>
    <w:rsid w:val="00E03E8B"/>
    <w:rsid w:val="00E03EF9"/>
    <w:rsid w:val="00E03FBF"/>
    <w:rsid w:val="00E03FC1"/>
    <w:rsid w:val="00E03FD0"/>
    <w:rsid w:val="00E0403F"/>
    <w:rsid w:val="00E0423D"/>
    <w:rsid w:val="00E0425F"/>
    <w:rsid w:val="00E044DA"/>
    <w:rsid w:val="00E0453B"/>
    <w:rsid w:val="00E04574"/>
    <w:rsid w:val="00E045C3"/>
    <w:rsid w:val="00E045E0"/>
    <w:rsid w:val="00E045E8"/>
    <w:rsid w:val="00E045FD"/>
    <w:rsid w:val="00E04604"/>
    <w:rsid w:val="00E0463B"/>
    <w:rsid w:val="00E048E1"/>
    <w:rsid w:val="00E04A9C"/>
    <w:rsid w:val="00E04B16"/>
    <w:rsid w:val="00E04B72"/>
    <w:rsid w:val="00E04BDD"/>
    <w:rsid w:val="00E04BF4"/>
    <w:rsid w:val="00E04BFE"/>
    <w:rsid w:val="00E04DAE"/>
    <w:rsid w:val="00E04EFA"/>
    <w:rsid w:val="00E04F73"/>
    <w:rsid w:val="00E05091"/>
    <w:rsid w:val="00E0516E"/>
    <w:rsid w:val="00E05223"/>
    <w:rsid w:val="00E052AF"/>
    <w:rsid w:val="00E0569F"/>
    <w:rsid w:val="00E056F1"/>
    <w:rsid w:val="00E05881"/>
    <w:rsid w:val="00E05974"/>
    <w:rsid w:val="00E05D25"/>
    <w:rsid w:val="00E05DA1"/>
    <w:rsid w:val="00E05E4E"/>
    <w:rsid w:val="00E05E7A"/>
    <w:rsid w:val="00E05E93"/>
    <w:rsid w:val="00E05FA4"/>
    <w:rsid w:val="00E060DD"/>
    <w:rsid w:val="00E06183"/>
    <w:rsid w:val="00E06298"/>
    <w:rsid w:val="00E06496"/>
    <w:rsid w:val="00E064E5"/>
    <w:rsid w:val="00E0685D"/>
    <w:rsid w:val="00E068C1"/>
    <w:rsid w:val="00E06BDD"/>
    <w:rsid w:val="00E06E30"/>
    <w:rsid w:val="00E06E68"/>
    <w:rsid w:val="00E06F43"/>
    <w:rsid w:val="00E06F5A"/>
    <w:rsid w:val="00E06FF4"/>
    <w:rsid w:val="00E070F2"/>
    <w:rsid w:val="00E07202"/>
    <w:rsid w:val="00E07278"/>
    <w:rsid w:val="00E07297"/>
    <w:rsid w:val="00E072CA"/>
    <w:rsid w:val="00E0736B"/>
    <w:rsid w:val="00E073B6"/>
    <w:rsid w:val="00E0761F"/>
    <w:rsid w:val="00E076D9"/>
    <w:rsid w:val="00E077B9"/>
    <w:rsid w:val="00E07A16"/>
    <w:rsid w:val="00E07A43"/>
    <w:rsid w:val="00E07AC6"/>
    <w:rsid w:val="00E07C98"/>
    <w:rsid w:val="00E07CA5"/>
    <w:rsid w:val="00E07D62"/>
    <w:rsid w:val="00E07D9A"/>
    <w:rsid w:val="00E07F20"/>
    <w:rsid w:val="00E10020"/>
    <w:rsid w:val="00E10098"/>
    <w:rsid w:val="00E100CF"/>
    <w:rsid w:val="00E10161"/>
    <w:rsid w:val="00E101A4"/>
    <w:rsid w:val="00E1027C"/>
    <w:rsid w:val="00E10299"/>
    <w:rsid w:val="00E10304"/>
    <w:rsid w:val="00E103EA"/>
    <w:rsid w:val="00E10440"/>
    <w:rsid w:val="00E1049D"/>
    <w:rsid w:val="00E10571"/>
    <w:rsid w:val="00E105BF"/>
    <w:rsid w:val="00E106B9"/>
    <w:rsid w:val="00E10917"/>
    <w:rsid w:val="00E10ABF"/>
    <w:rsid w:val="00E10AD3"/>
    <w:rsid w:val="00E10EE1"/>
    <w:rsid w:val="00E11203"/>
    <w:rsid w:val="00E112A2"/>
    <w:rsid w:val="00E112BB"/>
    <w:rsid w:val="00E11362"/>
    <w:rsid w:val="00E113C0"/>
    <w:rsid w:val="00E11435"/>
    <w:rsid w:val="00E11706"/>
    <w:rsid w:val="00E1179F"/>
    <w:rsid w:val="00E11834"/>
    <w:rsid w:val="00E1184A"/>
    <w:rsid w:val="00E1190D"/>
    <w:rsid w:val="00E119C4"/>
    <w:rsid w:val="00E11A2B"/>
    <w:rsid w:val="00E11A51"/>
    <w:rsid w:val="00E11BC0"/>
    <w:rsid w:val="00E11C3D"/>
    <w:rsid w:val="00E11EBA"/>
    <w:rsid w:val="00E11F33"/>
    <w:rsid w:val="00E11F85"/>
    <w:rsid w:val="00E1210C"/>
    <w:rsid w:val="00E12321"/>
    <w:rsid w:val="00E12613"/>
    <w:rsid w:val="00E12770"/>
    <w:rsid w:val="00E127D4"/>
    <w:rsid w:val="00E128A8"/>
    <w:rsid w:val="00E12A46"/>
    <w:rsid w:val="00E12B27"/>
    <w:rsid w:val="00E12B97"/>
    <w:rsid w:val="00E12C19"/>
    <w:rsid w:val="00E12CFF"/>
    <w:rsid w:val="00E12EA4"/>
    <w:rsid w:val="00E12EBE"/>
    <w:rsid w:val="00E12EDC"/>
    <w:rsid w:val="00E12EE8"/>
    <w:rsid w:val="00E1322C"/>
    <w:rsid w:val="00E1326F"/>
    <w:rsid w:val="00E133D3"/>
    <w:rsid w:val="00E13449"/>
    <w:rsid w:val="00E1350C"/>
    <w:rsid w:val="00E13787"/>
    <w:rsid w:val="00E138D9"/>
    <w:rsid w:val="00E13A1B"/>
    <w:rsid w:val="00E13B7E"/>
    <w:rsid w:val="00E13BCB"/>
    <w:rsid w:val="00E13CDC"/>
    <w:rsid w:val="00E13CFE"/>
    <w:rsid w:val="00E13D7A"/>
    <w:rsid w:val="00E13E64"/>
    <w:rsid w:val="00E13F72"/>
    <w:rsid w:val="00E14102"/>
    <w:rsid w:val="00E14184"/>
    <w:rsid w:val="00E141D1"/>
    <w:rsid w:val="00E141DB"/>
    <w:rsid w:val="00E142DF"/>
    <w:rsid w:val="00E1433D"/>
    <w:rsid w:val="00E1443D"/>
    <w:rsid w:val="00E1448E"/>
    <w:rsid w:val="00E145D0"/>
    <w:rsid w:val="00E145DF"/>
    <w:rsid w:val="00E14956"/>
    <w:rsid w:val="00E14ACA"/>
    <w:rsid w:val="00E14C80"/>
    <w:rsid w:val="00E14E0A"/>
    <w:rsid w:val="00E14E63"/>
    <w:rsid w:val="00E1528A"/>
    <w:rsid w:val="00E154E4"/>
    <w:rsid w:val="00E154F7"/>
    <w:rsid w:val="00E1558E"/>
    <w:rsid w:val="00E1567A"/>
    <w:rsid w:val="00E15740"/>
    <w:rsid w:val="00E158A6"/>
    <w:rsid w:val="00E159CA"/>
    <w:rsid w:val="00E15A8D"/>
    <w:rsid w:val="00E15A98"/>
    <w:rsid w:val="00E15BFF"/>
    <w:rsid w:val="00E15C56"/>
    <w:rsid w:val="00E15EE0"/>
    <w:rsid w:val="00E15F66"/>
    <w:rsid w:val="00E16048"/>
    <w:rsid w:val="00E160B4"/>
    <w:rsid w:val="00E161C5"/>
    <w:rsid w:val="00E1639E"/>
    <w:rsid w:val="00E16524"/>
    <w:rsid w:val="00E165BE"/>
    <w:rsid w:val="00E16639"/>
    <w:rsid w:val="00E168C9"/>
    <w:rsid w:val="00E1693B"/>
    <w:rsid w:val="00E16B89"/>
    <w:rsid w:val="00E16C2D"/>
    <w:rsid w:val="00E16C56"/>
    <w:rsid w:val="00E16CA5"/>
    <w:rsid w:val="00E16D11"/>
    <w:rsid w:val="00E16D81"/>
    <w:rsid w:val="00E16E5A"/>
    <w:rsid w:val="00E16E8B"/>
    <w:rsid w:val="00E16EA9"/>
    <w:rsid w:val="00E170B0"/>
    <w:rsid w:val="00E170B9"/>
    <w:rsid w:val="00E1710A"/>
    <w:rsid w:val="00E17143"/>
    <w:rsid w:val="00E17229"/>
    <w:rsid w:val="00E174D8"/>
    <w:rsid w:val="00E17511"/>
    <w:rsid w:val="00E1754B"/>
    <w:rsid w:val="00E175E8"/>
    <w:rsid w:val="00E176C8"/>
    <w:rsid w:val="00E176F8"/>
    <w:rsid w:val="00E17743"/>
    <w:rsid w:val="00E1781F"/>
    <w:rsid w:val="00E17894"/>
    <w:rsid w:val="00E1794B"/>
    <w:rsid w:val="00E17A11"/>
    <w:rsid w:val="00E17B41"/>
    <w:rsid w:val="00E17DC2"/>
    <w:rsid w:val="00E17DD1"/>
    <w:rsid w:val="00E17E45"/>
    <w:rsid w:val="00E17F85"/>
    <w:rsid w:val="00E17FA0"/>
    <w:rsid w:val="00E20199"/>
    <w:rsid w:val="00E201C2"/>
    <w:rsid w:val="00E203B7"/>
    <w:rsid w:val="00E206C3"/>
    <w:rsid w:val="00E2072F"/>
    <w:rsid w:val="00E207ED"/>
    <w:rsid w:val="00E2089A"/>
    <w:rsid w:val="00E20903"/>
    <w:rsid w:val="00E20981"/>
    <w:rsid w:val="00E209F2"/>
    <w:rsid w:val="00E20AB4"/>
    <w:rsid w:val="00E20B0A"/>
    <w:rsid w:val="00E20C05"/>
    <w:rsid w:val="00E20C0E"/>
    <w:rsid w:val="00E20D3A"/>
    <w:rsid w:val="00E20DD6"/>
    <w:rsid w:val="00E20E61"/>
    <w:rsid w:val="00E20F19"/>
    <w:rsid w:val="00E20F48"/>
    <w:rsid w:val="00E21044"/>
    <w:rsid w:val="00E210A3"/>
    <w:rsid w:val="00E210BE"/>
    <w:rsid w:val="00E21194"/>
    <w:rsid w:val="00E211A4"/>
    <w:rsid w:val="00E2120C"/>
    <w:rsid w:val="00E21212"/>
    <w:rsid w:val="00E21237"/>
    <w:rsid w:val="00E212B4"/>
    <w:rsid w:val="00E21513"/>
    <w:rsid w:val="00E217E7"/>
    <w:rsid w:val="00E2197C"/>
    <w:rsid w:val="00E219D5"/>
    <w:rsid w:val="00E219EA"/>
    <w:rsid w:val="00E21B6B"/>
    <w:rsid w:val="00E21BA3"/>
    <w:rsid w:val="00E21D96"/>
    <w:rsid w:val="00E21DDD"/>
    <w:rsid w:val="00E21E4D"/>
    <w:rsid w:val="00E21F02"/>
    <w:rsid w:val="00E21F89"/>
    <w:rsid w:val="00E22097"/>
    <w:rsid w:val="00E22100"/>
    <w:rsid w:val="00E2227D"/>
    <w:rsid w:val="00E222B4"/>
    <w:rsid w:val="00E22519"/>
    <w:rsid w:val="00E22562"/>
    <w:rsid w:val="00E22616"/>
    <w:rsid w:val="00E22ABB"/>
    <w:rsid w:val="00E22B07"/>
    <w:rsid w:val="00E22B92"/>
    <w:rsid w:val="00E22B98"/>
    <w:rsid w:val="00E22BD9"/>
    <w:rsid w:val="00E22C42"/>
    <w:rsid w:val="00E22CB0"/>
    <w:rsid w:val="00E22DE0"/>
    <w:rsid w:val="00E22E44"/>
    <w:rsid w:val="00E22F43"/>
    <w:rsid w:val="00E2301B"/>
    <w:rsid w:val="00E2326A"/>
    <w:rsid w:val="00E23280"/>
    <w:rsid w:val="00E232B3"/>
    <w:rsid w:val="00E23384"/>
    <w:rsid w:val="00E23475"/>
    <w:rsid w:val="00E2368B"/>
    <w:rsid w:val="00E23AF6"/>
    <w:rsid w:val="00E23CB1"/>
    <w:rsid w:val="00E23D70"/>
    <w:rsid w:val="00E23DCC"/>
    <w:rsid w:val="00E23E0B"/>
    <w:rsid w:val="00E23F22"/>
    <w:rsid w:val="00E24083"/>
    <w:rsid w:val="00E24139"/>
    <w:rsid w:val="00E24176"/>
    <w:rsid w:val="00E242C9"/>
    <w:rsid w:val="00E244B4"/>
    <w:rsid w:val="00E245A3"/>
    <w:rsid w:val="00E245D2"/>
    <w:rsid w:val="00E2488E"/>
    <w:rsid w:val="00E24902"/>
    <w:rsid w:val="00E24A23"/>
    <w:rsid w:val="00E24AEE"/>
    <w:rsid w:val="00E24B78"/>
    <w:rsid w:val="00E24CD9"/>
    <w:rsid w:val="00E24E2F"/>
    <w:rsid w:val="00E24F64"/>
    <w:rsid w:val="00E25146"/>
    <w:rsid w:val="00E2523B"/>
    <w:rsid w:val="00E252B3"/>
    <w:rsid w:val="00E25481"/>
    <w:rsid w:val="00E25533"/>
    <w:rsid w:val="00E2555B"/>
    <w:rsid w:val="00E2557A"/>
    <w:rsid w:val="00E25814"/>
    <w:rsid w:val="00E258B0"/>
    <w:rsid w:val="00E258CA"/>
    <w:rsid w:val="00E258D6"/>
    <w:rsid w:val="00E259CB"/>
    <w:rsid w:val="00E25A42"/>
    <w:rsid w:val="00E25DB5"/>
    <w:rsid w:val="00E25E83"/>
    <w:rsid w:val="00E25EC1"/>
    <w:rsid w:val="00E25F17"/>
    <w:rsid w:val="00E25FBC"/>
    <w:rsid w:val="00E260B2"/>
    <w:rsid w:val="00E26116"/>
    <w:rsid w:val="00E26155"/>
    <w:rsid w:val="00E261A3"/>
    <w:rsid w:val="00E261AD"/>
    <w:rsid w:val="00E261DD"/>
    <w:rsid w:val="00E261E7"/>
    <w:rsid w:val="00E26363"/>
    <w:rsid w:val="00E263B4"/>
    <w:rsid w:val="00E264C0"/>
    <w:rsid w:val="00E26736"/>
    <w:rsid w:val="00E268E1"/>
    <w:rsid w:val="00E26A51"/>
    <w:rsid w:val="00E26A7E"/>
    <w:rsid w:val="00E26BD1"/>
    <w:rsid w:val="00E26D92"/>
    <w:rsid w:val="00E26E2D"/>
    <w:rsid w:val="00E26EBD"/>
    <w:rsid w:val="00E272C1"/>
    <w:rsid w:val="00E272C5"/>
    <w:rsid w:val="00E27330"/>
    <w:rsid w:val="00E27340"/>
    <w:rsid w:val="00E27352"/>
    <w:rsid w:val="00E274D4"/>
    <w:rsid w:val="00E2755D"/>
    <w:rsid w:val="00E275EE"/>
    <w:rsid w:val="00E27657"/>
    <w:rsid w:val="00E2766F"/>
    <w:rsid w:val="00E277B8"/>
    <w:rsid w:val="00E2798C"/>
    <w:rsid w:val="00E279E5"/>
    <w:rsid w:val="00E27A65"/>
    <w:rsid w:val="00E27AED"/>
    <w:rsid w:val="00E27BDA"/>
    <w:rsid w:val="00E27C74"/>
    <w:rsid w:val="00E27CD3"/>
    <w:rsid w:val="00E27D33"/>
    <w:rsid w:val="00E27E89"/>
    <w:rsid w:val="00E27FAA"/>
    <w:rsid w:val="00E300AA"/>
    <w:rsid w:val="00E300C1"/>
    <w:rsid w:val="00E3015E"/>
    <w:rsid w:val="00E302DF"/>
    <w:rsid w:val="00E30407"/>
    <w:rsid w:val="00E3062F"/>
    <w:rsid w:val="00E30655"/>
    <w:rsid w:val="00E306D1"/>
    <w:rsid w:val="00E30804"/>
    <w:rsid w:val="00E30B1A"/>
    <w:rsid w:val="00E30BB7"/>
    <w:rsid w:val="00E30C76"/>
    <w:rsid w:val="00E30CEF"/>
    <w:rsid w:val="00E30F51"/>
    <w:rsid w:val="00E311A4"/>
    <w:rsid w:val="00E313C5"/>
    <w:rsid w:val="00E31486"/>
    <w:rsid w:val="00E31505"/>
    <w:rsid w:val="00E3163B"/>
    <w:rsid w:val="00E3165D"/>
    <w:rsid w:val="00E316B2"/>
    <w:rsid w:val="00E31746"/>
    <w:rsid w:val="00E31A42"/>
    <w:rsid w:val="00E31B0B"/>
    <w:rsid w:val="00E31B42"/>
    <w:rsid w:val="00E31B54"/>
    <w:rsid w:val="00E31C2A"/>
    <w:rsid w:val="00E31C49"/>
    <w:rsid w:val="00E31CC5"/>
    <w:rsid w:val="00E31DB5"/>
    <w:rsid w:val="00E31FF6"/>
    <w:rsid w:val="00E3200A"/>
    <w:rsid w:val="00E32377"/>
    <w:rsid w:val="00E327CB"/>
    <w:rsid w:val="00E32858"/>
    <w:rsid w:val="00E32A6F"/>
    <w:rsid w:val="00E32B65"/>
    <w:rsid w:val="00E32B66"/>
    <w:rsid w:val="00E32B78"/>
    <w:rsid w:val="00E32C52"/>
    <w:rsid w:val="00E32DD5"/>
    <w:rsid w:val="00E33007"/>
    <w:rsid w:val="00E33023"/>
    <w:rsid w:val="00E33139"/>
    <w:rsid w:val="00E33213"/>
    <w:rsid w:val="00E332FE"/>
    <w:rsid w:val="00E33521"/>
    <w:rsid w:val="00E33614"/>
    <w:rsid w:val="00E33730"/>
    <w:rsid w:val="00E3378E"/>
    <w:rsid w:val="00E3381A"/>
    <w:rsid w:val="00E33996"/>
    <w:rsid w:val="00E33A5F"/>
    <w:rsid w:val="00E33AFD"/>
    <w:rsid w:val="00E33B25"/>
    <w:rsid w:val="00E33C16"/>
    <w:rsid w:val="00E33C55"/>
    <w:rsid w:val="00E33CFD"/>
    <w:rsid w:val="00E33DE8"/>
    <w:rsid w:val="00E33E0B"/>
    <w:rsid w:val="00E33F08"/>
    <w:rsid w:val="00E33FF5"/>
    <w:rsid w:val="00E3401E"/>
    <w:rsid w:val="00E3403E"/>
    <w:rsid w:val="00E340F5"/>
    <w:rsid w:val="00E342CB"/>
    <w:rsid w:val="00E3430B"/>
    <w:rsid w:val="00E34516"/>
    <w:rsid w:val="00E3456F"/>
    <w:rsid w:val="00E3485B"/>
    <w:rsid w:val="00E34956"/>
    <w:rsid w:val="00E34A00"/>
    <w:rsid w:val="00E34A92"/>
    <w:rsid w:val="00E34AC0"/>
    <w:rsid w:val="00E34B7F"/>
    <w:rsid w:val="00E34B99"/>
    <w:rsid w:val="00E34CE8"/>
    <w:rsid w:val="00E34D63"/>
    <w:rsid w:val="00E34E2B"/>
    <w:rsid w:val="00E34EF5"/>
    <w:rsid w:val="00E34F79"/>
    <w:rsid w:val="00E35123"/>
    <w:rsid w:val="00E3522A"/>
    <w:rsid w:val="00E3528C"/>
    <w:rsid w:val="00E3550E"/>
    <w:rsid w:val="00E356AA"/>
    <w:rsid w:val="00E356C7"/>
    <w:rsid w:val="00E357A1"/>
    <w:rsid w:val="00E35889"/>
    <w:rsid w:val="00E358CB"/>
    <w:rsid w:val="00E35936"/>
    <w:rsid w:val="00E35A3B"/>
    <w:rsid w:val="00E35A3C"/>
    <w:rsid w:val="00E35A47"/>
    <w:rsid w:val="00E35C06"/>
    <w:rsid w:val="00E35C9B"/>
    <w:rsid w:val="00E35E28"/>
    <w:rsid w:val="00E35ECE"/>
    <w:rsid w:val="00E35F9E"/>
    <w:rsid w:val="00E35FE7"/>
    <w:rsid w:val="00E3622D"/>
    <w:rsid w:val="00E36329"/>
    <w:rsid w:val="00E363BE"/>
    <w:rsid w:val="00E364DB"/>
    <w:rsid w:val="00E3673C"/>
    <w:rsid w:val="00E367F2"/>
    <w:rsid w:val="00E36A75"/>
    <w:rsid w:val="00E36D6C"/>
    <w:rsid w:val="00E36DD5"/>
    <w:rsid w:val="00E36F33"/>
    <w:rsid w:val="00E36FEB"/>
    <w:rsid w:val="00E37096"/>
    <w:rsid w:val="00E3738F"/>
    <w:rsid w:val="00E3746D"/>
    <w:rsid w:val="00E37708"/>
    <w:rsid w:val="00E37709"/>
    <w:rsid w:val="00E37774"/>
    <w:rsid w:val="00E3778F"/>
    <w:rsid w:val="00E3786C"/>
    <w:rsid w:val="00E37A29"/>
    <w:rsid w:val="00E37B82"/>
    <w:rsid w:val="00E37CB1"/>
    <w:rsid w:val="00E37D65"/>
    <w:rsid w:val="00E37DDC"/>
    <w:rsid w:val="00E37E04"/>
    <w:rsid w:val="00E37F84"/>
    <w:rsid w:val="00E37FEE"/>
    <w:rsid w:val="00E40046"/>
    <w:rsid w:val="00E4008A"/>
    <w:rsid w:val="00E40292"/>
    <w:rsid w:val="00E40377"/>
    <w:rsid w:val="00E40417"/>
    <w:rsid w:val="00E4046A"/>
    <w:rsid w:val="00E404F5"/>
    <w:rsid w:val="00E407F1"/>
    <w:rsid w:val="00E407F9"/>
    <w:rsid w:val="00E4099F"/>
    <w:rsid w:val="00E40AA2"/>
    <w:rsid w:val="00E40BD8"/>
    <w:rsid w:val="00E40BDF"/>
    <w:rsid w:val="00E40DDB"/>
    <w:rsid w:val="00E41002"/>
    <w:rsid w:val="00E4111A"/>
    <w:rsid w:val="00E41295"/>
    <w:rsid w:val="00E414AB"/>
    <w:rsid w:val="00E4166F"/>
    <w:rsid w:val="00E41756"/>
    <w:rsid w:val="00E417F9"/>
    <w:rsid w:val="00E41918"/>
    <w:rsid w:val="00E41BCD"/>
    <w:rsid w:val="00E41C51"/>
    <w:rsid w:val="00E41C83"/>
    <w:rsid w:val="00E42078"/>
    <w:rsid w:val="00E42112"/>
    <w:rsid w:val="00E4236C"/>
    <w:rsid w:val="00E42415"/>
    <w:rsid w:val="00E4247E"/>
    <w:rsid w:val="00E4251B"/>
    <w:rsid w:val="00E4251E"/>
    <w:rsid w:val="00E4271E"/>
    <w:rsid w:val="00E4273E"/>
    <w:rsid w:val="00E428F9"/>
    <w:rsid w:val="00E42911"/>
    <w:rsid w:val="00E42965"/>
    <w:rsid w:val="00E42A52"/>
    <w:rsid w:val="00E42A6F"/>
    <w:rsid w:val="00E42B01"/>
    <w:rsid w:val="00E42CB0"/>
    <w:rsid w:val="00E42CEA"/>
    <w:rsid w:val="00E42D6C"/>
    <w:rsid w:val="00E42D7D"/>
    <w:rsid w:val="00E42F6F"/>
    <w:rsid w:val="00E42F98"/>
    <w:rsid w:val="00E43001"/>
    <w:rsid w:val="00E43203"/>
    <w:rsid w:val="00E43430"/>
    <w:rsid w:val="00E43442"/>
    <w:rsid w:val="00E43490"/>
    <w:rsid w:val="00E434BF"/>
    <w:rsid w:val="00E4350D"/>
    <w:rsid w:val="00E43552"/>
    <w:rsid w:val="00E436FE"/>
    <w:rsid w:val="00E43899"/>
    <w:rsid w:val="00E4397F"/>
    <w:rsid w:val="00E439DA"/>
    <w:rsid w:val="00E43ADD"/>
    <w:rsid w:val="00E43B32"/>
    <w:rsid w:val="00E43D3D"/>
    <w:rsid w:val="00E43EDF"/>
    <w:rsid w:val="00E44012"/>
    <w:rsid w:val="00E44022"/>
    <w:rsid w:val="00E4402B"/>
    <w:rsid w:val="00E4409B"/>
    <w:rsid w:val="00E441BF"/>
    <w:rsid w:val="00E443C2"/>
    <w:rsid w:val="00E443E4"/>
    <w:rsid w:val="00E4447D"/>
    <w:rsid w:val="00E446AA"/>
    <w:rsid w:val="00E44BDB"/>
    <w:rsid w:val="00E44BF0"/>
    <w:rsid w:val="00E44C44"/>
    <w:rsid w:val="00E44CED"/>
    <w:rsid w:val="00E44D7F"/>
    <w:rsid w:val="00E44D94"/>
    <w:rsid w:val="00E45051"/>
    <w:rsid w:val="00E4513A"/>
    <w:rsid w:val="00E45204"/>
    <w:rsid w:val="00E4529A"/>
    <w:rsid w:val="00E45365"/>
    <w:rsid w:val="00E4536A"/>
    <w:rsid w:val="00E455EC"/>
    <w:rsid w:val="00E4562C"/>
    <w:rsid w:val="00E45734"/>
    <w:rsid w:val="00E4576E"/>
    <w:rsid w:val="00E45929"/>
    <w:rsid w:val="00E45ADB"/>
    <w:rsid w:val="00E45B84"/>
    <w:rsid w:val="00E45DC5"/>
    <w:rsid w:val="00E45DEF"/>
    <w:rsid w:val="00E45F7E"/>
    <w:rsid w:val="00E4600D"/>
    <w:rsid w:val="00E46022"/>
    <w:rsid w:val="00E46094"/>
    <w:rsid w:val="00E460A8"/>
    <w:rsid w:val="00E46189"/>
    <w:rsid w:val="00E461EC"/>
    <w:rsid w:val="00E461F3"/>
    <w:rsid w:val="00E462C7"/>
    <w:rsid w:val="00E46442"/>
    <w:rsid w:val="00E46693"/>
    <w:rsid w:val="00E4672F"/>
    <w:rsid w:val="00E4673A"/>
    <w:rsid w:val="00E468F3"/>
    <w:rsid w:val="00E46AE3"/>
    <w:rsid w:val="00E46B39"/>
    <w:rsid w:val="00E46D78"/>
    <w:rsid w:val="00E46F4D"/>
    <w:rsid w:val="00E47131"/>
    <w:rsid w:val="00E4743C"/>
    <w:rsid w:val="00E47802"/>
    <w:rsid w:val="00E47A53"/>
    <w:rsid w:val="00E47AD8"/>
    <w:rsid w:val="00E47B83"/>
    <w:rsid w:val="00E47BB1"/>
    <w:rsid w:val="00E47BE3"/>
    <w:rsid w:val="00E47E97"/>
    <w:rsid w:val="00E5011E"/>
    <w:rsid w:val="00E5028A"/>
    <w:rsid w:val="00E50406"/>
    <w:rsid w:val="00E5040C"/>
    <w:rsid w:val="00E50443"/>
    <w:rsid w:val="00E50612"/>
    <w:rsid w:val="00E50758"/>
    <w:rsid w:val="00E50782"/>
    <w:rsid w:val="00E50785"/>
    <w:rsid w:val="00E507BC"/>
    <w:rsid w:val="00E50860"/>
    <w:rsid w:val="00E50A3F"/>
    <w:rsid w:val="00E50BB5"/>
    <w:rsid w:val="00E50D5A"/>
    <w:rsid w:val="00E50E8F"/>
    <w:rsid w:val="00E50EB1"/>
    <w:rsid w:val="00E51054"/>
    <w:rsid w:val="00E51110"/>
    <w:rsid w:val="00E51202"/>
    <w:rsid w:val="00E51273"/>
    <w:rsid w:val="00E512B5"/>
    <w:rsid w:val="00E5133F"/>
    <w:rsid w:val="00E5136B"/>
    <w:rsid w:val="00E51389"/>
    <w:rsid w:val="00E5139B"/>
    <w:rsid w:val="00E514AB"/>
    <w:rsid w:val="00E515EA"/>
    <w:rsid w:val="00E519FA"/>
    <w:rsid w:val="00E51A00"/>
    <w:rsid w:val="00E51ADD"/>
    <w:rsid w:val="00E51B13"/>
    <w:rsid w:val="00E51C40"/>
    <w:rsid w:val="00E51C4B"/>
    <w:rsid w:val="00E51DE7"/>
    <w:rsid w:val="00E51F80"/>
    <w:rsid w:val="00E5223C"/>
    <w:rsid w:val="00E5229A"/>
    <w:rsid w:val="00E52420"/>
    <w:rsid w:val="00E524D6"/>
    <w:rsid w:val="00E52557"/>
    <w:rsid w:val="00E5272C"/>
    <w:rsid w:val="00E52794"/>
    <w:rsid w:val="00E5294F"/>
    <w:rsid w:val="00E52AD9"/>
    <w:rsid w:val="00E52DF1"/>
    <w:rsid w:val="00E52E99"/>
    <w:rsid w:val="00E52F7D"/>
    <w:rsid w:val="00E53093"/>
    <w:rsid w:val="00E532EF"/>
    <w:rsid w:val="00E53496"/>
    <w:rsid w:val="00E537C6"/>
    <w:rsid w:val="00E5394B"/>
    <w:rsid w:val="00E53C29"/>
    <w:rsid w:val="00E53DF7"/>
    <w:rsid w:val="00E53E54"/>
    <w:rsid w:val="00E53EC1"/>
    <w:rsid w:val="00E53EF4"/>
    <w:rsid w:val="00E53F3E"/>
    <w:rsid w:val="00E5400E"/>
    <w:rsid w:val="00E54014"/>
    <w:rsid w:val="00E54106"/>
    <w:rsid w:val="00E54170"/>
    <w:rsid w:val="00E5421F"/>
    <w:rsid w:val="00E54291"/>
    <w:rsid w:val="00E54292"/>
    <w:rsid w:val="00E542BB"/>
    <w:rsid w:val="00E54506"/>
    <w:rsid w:val="00E5469F"/>
    <w:rsid w:val="00E5472A"/>
    <w:rsid w:val="00E5496D"/>
    <w:rsid w:val="00E54A6A"/>
    <w:rsid w:val="00E54BFB"/>
    <w:rsid w:val="00E54D88"/>
    <w:rsid w:val="00E54DAA"/>
    <w:rsid w:val="00E54DF8"/>
    <w:rsid w:val="00E54EA6"/>
    <w:rsid w:val="00E54EED"/>
    <w:rsid w:val="00E54F67"/>
    <w:rsid w:val="00E54F82"/>
    <w:rsid w:val="00E55012"/>
    <w:rsid w:val="00E5503A"/>
    <w:rsid w:val="00E557E8"/>
    <w:rsid w:val="00E559CD"/>
    <w:rsid w:val="00E55AA4"/>
    <w:rsid w:val="00E55BB9"/>
    <w:rsid w:val="00E55C6F"/>
    <w:rsid w:val="00E55E8C"/>
    <w:rsid w:val="00E55F1C"/>
    <w:rsid w:val="00E5601C"/>
    <w:rsid w:val="00E5611A"/>
    <w:rsid w:val="00E56129"/>
    <w:rsid w:val="00E5638A"/>
    <w:rsid w:val="00E563BF"/>
    <w:rsid w:val="00E563F4"/>
    <w:rsid w:val="00E5647B"/>
    <w:rsid w:val="00E564A8"/>
    <w:rsid w:val="00E56626"/>
    <w:rsid w:val="00E56679"/>
    <w:rsid w:val="00E5668D"/>
    <w:rsid w:val="00E566F5"/>
    <w:rsid w:val="00E56734"/>
    <w:rsid w:val="00E567D7"/>
    <w:rsid w:val="00E5684A"/>
    <w:rsid w:val="00E56A2C"/>
    <w:rsid w:val="00E56A48"/>
    <w:rsid w:val="00E56C5B"/>
    <w:rsid w:val="00E56C74"/>
    <w:rsid w:val="00E56D6B"/>
    <w:rsid w:val="00E56E9B"/>
    <w:rsid w:val="00E56F8B"/>
    <w:rsid w:val="00E56FA5"/>
    <w:rsid w:val="00E56FFA"/>
    <w:rsid w:val="00E57035"/>
    <w:rsid w:val="00E5709D"/>
    <w:rsid w:val="00E57103"/>
    <w:rsid w:val="00E571F9"/>
    <w:rsid w:val="00E5727C"/>
    <w:rsid w:val="00E573D7"/>
    <w:rsid w:val="00E57477"/>
    <w:rsid w:val="00E57707"/>
    <w:rsid w:val="00E5770C"/>
    <w:rsid w:val="00E57725"/>
    <w:rsid w:val="00E577B0"/>
    <w:rsid w:val="00E577DE"/>
    <w:rsid w:val="00E5784D"/>
    <w:rsid w:val="00E57AB2"/>
    <w:rsid w:val="00E57B2B"/>
    <w:rsid w:val="00E57BF8"/>
    <w:rsid w:val="00E57CE2"/>
    <w:rsid w:val="00E57E90"/>
    <w:rsid w:val="00E57EAA"/>
    <w:rsid w:val="00E57FF0"/>
    <w:rsid w:val="00E6003C"/>
    <w:rsid w:val="00E60110"/>
    <w:rsid w:val="00E603B1"/>
    <w:rsid w:val="00E60425"/>
    <w:rsid w:val="00E604D1"/>
    <w:rsid w:val="00E604FA"/>
    <w:rsid w:val="00E606C6"/>
    <w:rsid w:val="00E60789"/>
    <w:rsid w:val="00E60910"/>
    <w:rsid w:val="00E60AB4"/>
    <w:rsid w:val="00E60AC8"/>
    <w:rsid w:val="00E60ACD"/>
    <w:rsid w:val="00E60C37"/>
    <w:rsid w:val="00E60CA3"/>
    <w:rsid w:val="00E60E22"/>
    <w:rsid w:val="00E60E71"/>
    <w:rsid w:val="00E60E82"/>
    <w:rsid w:val="00E61077"/>
    <w:rsid w:val="00E610A9"/>
    <w:rsid w:val="00E611BC"/>
    <w:rsid w:val="00E6138A"/>
    <w:rsid w:val="00E613D0"/>
    <w:rsid w:val="00E613D8"/>
    <w:rsid w:val="00E61456"/>
    <w:rsid w:val="00E614A8"/>
    <w:rsid w:val="00E614F3"/>
    <w:rsid w:val="00E61565"/>
    <w:rsid w:val="00E615D1"/>
    <w:rsid w:val="00E61673"/>
    <w:rsid w:val="00E61874"/>
    <w:rsid w:val="00E61A0A"/>
    <w:rsid w:val="00E61A11"/>
    <w:rsid w:val="00E61A57"/>
    <w:rsid w:val="00E61B3F"/>
    <w:rsid w:val="00E61B8D"/>
    <w:rsid w:val="00E61CA1"/>
    <w:rsid w:val="00E61CF8"/>
    <w:rsid w:val="00E62014"/>
    <w:rsid w:val="00E621FC"/>
    <w:rsid w:val="00E6229B"/>
    <w:rsid w:val="00E62381"/>
    <w:rsid w:val="00E6242C"/>
    <w:rsid w:val="00E62524"/>
    <w:rsid w:val="00E625B0"/>
    <w:rsid w:val="00E6272A"/>
    <w:rsid w:val="00E62756"/>
    <w:rsid w:val="00E628F3"/>
    <w:rsid w:val="00E629A0"/>
    <w:rsid w:val="00E62BED"/>
    <w:rsid w:val="00E62BF0"/>
    <w:rsid w:val="00E62D60"/>
    <w:rsid w:val="00E62D72"/>
    <w:rsid w:val="00E62D9F"/>
    <w:rsid w:val="00E62E82"/>
    <w:rsid w:val="00E62EC9"/>
    <w:rsid w:val="00E62F52"/>
    <w:rsid w:val="00E62FB3"/>
    <w:rsid w:val="00E63085"/>
    <w:rsid w:val="00E630B4"/>
    <w:rsid w:val="00E63114"/>
    <w:rsid w:val="00E6336E"/>
    <w:rsid w:val="00E63523"/>
    <w:rsid w:val="00E63589"/>
    <w:rsid w:val="00E636C7"/>
    <w:rsid w:val="00E637B1"/>
    <w:rsid w:val="00E637B9"/>
    <w:rsid w:val="00E638FD"/>
    <w:rsid w:val="00E63923"/>
    <w:rsid w:val="00E63A58"/>
    <w:rsid w:val="00E63CE8"/>
    <w:rsid w:val="00E63E42"/>
    <w:rsid w:val="00E63F74"/>
    <w:rsid w:val="00E63FE0"/>
    <w:rsid w:val="00E64477"/>
    <w:rsid w:val="00E644F9"/>
    <w:rsid w:val="00E647B7"/>
    <w:rsid w:val="00E64921"/>
    <w:rsid w:val="00E64A32"/>
    <w:rsid w:val="00E64AF4"/>
    <w:rsid w:val="00E64C04"/>
    <w:rsid w:val="00E64CA7"/>
    <w:rsid w:val="00E64DBA"/>
    <w:rsid w:val="00E64DC3"/>
    <w:rsid w:val="00E64E58"/>
    <w:rsid w:val="00E64E86"/>
    <w:rsid w:val="00E6524A"/>
    <w:rsid w:val="00E65393"/>
    <w:rsid w:val="00E653E2"/>
    <w:rsid w:val="00E6545F"/>
    <w:rsid w:val="00E65579"/>
    <w:rsid w:val="00E65633"/>
    <w:rsid w:val="00E6565F"/>
    <w:rsid w:val="00E6569B"/>
    <w:rsid w:val="00E656AC"/>
    <w:rsid w:val="00E65916"/>
    <w:rsid w:val="00E65998"/>
    <w:rsid w:val="00E65C26"/>
    <w:rsid w:val="00E65E68"/>
    <w:rsid w:val="00E65E89"/>
    <w:rsid w:val="00E6601F"/>
    <w:rsid w:val="00E66206"/>
    <w:rsid w:val="00E662C5"/>
    <w:rsid w:val="00E663E1"/>
    <w:rsid w:val="00E6640B"/>
    <w:rsid w:val="00E66420"/>
    <w:rsid w:val="00E6648F"/>
    <w:rsid w:val="00E664DF"/>
    <w:rsid w:val="00E66590"/>
    <w:rsid w:val="00E66892"/>
    <w:rsid w:val="00E669A0"/>
    <w:rsid w:val="00E66F2F"/>
    <w:rsid w:val="00E670E4"/>
    <w:rsid w:val="00E67293"/>
    <w:rsid w:val="00E672B4"/>
    <w:rsid w:val="00E67445"/>
    <w:rsid w:val="00E6744D"/>
    <w:rsid w:val="00E674B7"/>
    <w:rsid w:val="00E674D8"/>
    <w:rsid w:val="00E67536"/>
    <w:rsid w:val="00E67879"/>
    <w:rsid w:val="00E67880"/>
    <w:rsid w:val="00E67B45"/>
    <w:rsid w:val="00E67F5F"/>
    <w:rsid w:val="00E70189"/>
    <w:rsid w:val="00E70192"/>
    <w:rsid w:val="00E701F6"/>
    <w:rsid w:val="00E703E8"/>
    <w:rsid w:val="00E7074A"/>
    <w:rsid w:val="00E70A2A"/>
    <w:rsid w:val="00E70A2B"/>
    <w:rsid w:val="00E70A45"/>
    <w:rsid w:val="00E70A66"/>
    <w:rsid w:val="00E70B62"/>
    <w:rsid w:val="00E70BC6"/>
    <w:rsid w:val="00E70C3D"/>
    <w:rsid w:val="00E70CDC"/>
    <w:rsid w:val="00E70D12"/>
    <w:rsid w:val="00E70E06"/>
    <w:rsid w:val="00E70E2F"/>
    <w:rsid w:val="00E70E96"/>
    <w:rsid w:val="00E7101D"/>
    <w:rsid w:val="00E7118A"/>
    <w:rsid w:val="00E711F2"/>
    <w:rsid w:val="00E71230"/>
    <w:rsid w:val="00E71237"/>
    <w:rsid w:val="00E71455"/>
    <w:rsid w:val="00E7147D"/>
    <w:rsid w:val="00E71540"/>
    <w:rsid w:val="00E7158A"/>
    <w:rsid w:val="00E716E4"/>
    <w:rsid w:val="00E71899"/>
    <w:rsid w:val="00E71B04"/>
    <w:rsid w:val="00E71CC5"/>
    <w:rsid w:val="00E71ED5"/>
    <w:rsid w:val="00E71EDE"/>
    <w:rsid w:val="00E71F27"/>
    <w:rsid w:val="00E722C9"/>
    <w:rsid w:val="00E7232E"/>
    <w:rsid w:val="00E723E9"/>
    <w:rsid w:val="00E72431"/>
    <w:rsid w:val="00E7266A"/>
    <w:rsid w:val="00E7278C"/>
    <w:rsid w:val="00E727E6"/>
    <w:rsid w:val="00E72913"/>
    <w:rsid w:val="00E7291A"/>
    <w:rsid w:val="00E72A14"/>
    <w:rsid w:val="00E72C43"/>
    <w:rsid w:val="00E72CEC"/>
    <w:rsid w:val="00E7305B"/>
    <w:rsid w:val="00E73140"/>
    <w:rsid w:val="00E731BE"/>
    <w:rsid w:val="00E73702"/>
    <w:rsid w:val="00E73756"/>
    <w:rsid w:val="00E738A5"/>
    <w:rsid w:val="00E73930"/>
    <w:rsid w:val="00E73956"/>
    <w:rsid w:val="00E73C5D"/>
    <w:rsid w:val="00E73CC2"/>
    <w:rsid w:val="00E73CDE"/>
    <w:rsid w:val="00E73DB6"/>
    <w:rsid w:val="00E73F62"/>
    <w:rsid w:val="00E7412C"/>
    <w:rsid w:val="00E7413C"/>
    <w:rsid w:val="00E741A2"/>
    <w:rsid w:val="00E741C0"/>
    <w:rsid w:val="00E743B6"/>
    <w:rsid w:val="00E745D5"/>
    <w:rsid w:val="00E74660"/>
    <w:rsid w:val="00E74826"/>
    <w:rsid w:val="00E74952"/>
    <w:rsid w:val="00E74B15"/>
    <w:rsid w:val="00E74C20"/>
    <w:rsid w:val="00E74CB0"/>
    <w:rsid w:val="00E74CE5"/>
    <w:rsid w:val="00E74CE8"/>
    <w:rsid w:val="00E74D9C"/>
    <w:rsid w:val="00E74F70"/>
    <w:rsid w:val="00E75245"/>
    <w:rsid w:val="00E75688"/>
    <w:rsid w:val="00E75720"/>
    <w:rsid w:val="00E758E4"/>
    <w:rsid w:val="00E759C4"/>
    <w:rsid w:val="00E759D0"/>
    <w:rsid w:val="00E759F9"/>
    <w:rsid w:val="00E75C9D"/>
    <w:rsid w:val="00E75CFB"/>
    <w:rsid w:val="00E75E43"/>
    <w:rsid w:val="00E75E60"/>
    <w:rsid w:val="00E75EA6"/>
    <w:rsid w:val="00E75EB8"/>
    <w:rsid w:val="00E75F3D"/>
    <w:rsid w:val="00E76025"/>
    <w:rsid w:val="00E7618A"/>
    <w:rsid w:val="00E7618C"/>
    <w:rsid w:val="00E761FC"/>
    <w:rsid w:val="00E762D2"/>
    <w:rsid w:val="00E7642B"/>
    <w:rsid w:val="00E76505"/>
    <w:rsid w:val="00E765F0"/>
    <w:rsid w:val="00E76636"/>
    <w:rsid w:val="00E768CA"/>
    <w:rsid w:val="00E768EE"/>
    <w:rsid w:val="00E76AA1"/>
    <w:rsid w:val="00E76CE6"/>
    <w:rsid w:val="00E76DD1"/>
    <w:rsid w:val="00E76E29"/>
    <w:rsid w:val="00E76E3D"/>
    <w:rsid w:val="00E76EF3"/>
    <w:rsid w:val="00E76F8D"/>
    <w:rsid w:val="00E77021"/>
    <w:rsid w:val="00E771F0"/>
    <w:rsid w:val="00E77227"/>
    <w:rsid w:val="00E77302"/>
    <w:rsid w:val="00E774A0"/>
    <w:rsid w:val="00E775F7"/>
    <w:rsid w:val="00E777FB"/>
    <w:rsid w:val="00E77929"/>
    <w:rsid w:val="00E7795D"/>
    <w:rsid w:val="00E77A8B"/>
    <w:rsid w:val="00E77BCD"/>
    <w:rsid w:val="00E77D4D"/>
    <w:rsid w:val="00E80022"/>
    <w:rsid w:val="00E800C2"/>
    <w:rsid w:val="00E8041D"/>
    <w:rsid w:val="00E80500"/>
    <w:rsid w:val="00E8050A"/>
    <w:rsid w:val="00E805A2"/>
    <w:rsid w:val="00E805A4"/>
    <w:rsid w:val="00E806C7"/>
    <w:rsid w:val="00E80713"/>
    <w:rsid w:val="00E80748"/>
    <w:rsid w:val="00E80866"/>
    <w:rsid w:val="00E808CC"/>
    <w:rsid w:val="00E80955"/>
    <w:rsid w:val="00E80B21"/>
    <w:rsid w:val="00E80BE6"/>
    <w:rsid w:val="00E80F7A"/>
    <w:rsid w:val="00E80F9E"/>
    <w:rsid w:val="00E80FBE"/>
    <w:rsid w:val="00E8101C"/>
    <w:rsid w:val="00E81091"/>
    <w:rsid w:val="00E8115F"/>
    <w:rsid w:val="00E81506"/>
    <w:rsid w:val="00E8153B"/>
    <w:rsid w:val="00E8173C"/>
    <w:rsid w:val="00E817DF"/>
    <w:rsid w:val="00E8198A"/>
    <w:rsid w:val="00E81A0E"/>
    <w:rsid w:val="00E81D6B"/>
    <w:rsid w:val="00E81DD8"/>
    <w:rsid w:val="00E81E18"/>
    <w:rsid w:val="00E81EF5"/>
    <w:rsid w:val="00E81F50"/>
    <w:rsid w:val="00E81FE5"/>
    <w:rsid w:val="00E821A1"/>
    <w:rsid w:val="00E82300"/>
    <w:rsid w:val="00E825C5"/>
    <w:rsid w:val="00E82623"/>
    <w:rsid w:val="00E82CA0"/>
    <w:rsid w:val="00E82E08"/>
    <w:rsid w:val="00E82E52"/>
    <w:rsid w:val="00E83012"/>
    <w:rsid w:val="00E83015"/>
    <w:rsid w:val="00E8314C"/>
    <w:rsid w:val="00E833AA"/>
    <w:rsid w:val="00E83506"/>
    <w:rsid w:val="00E8354B"/>
    <w:rsid w:val="00E835D2"/>
    <w:rsid w:val="00E837A5"/>
    <w:rsid w:val="00E838DD"/>
    <w:rsid w:val="00E838EF"/>
    <w:rsid w:val="00E83923"/>
    <w:rsid w:val="00E83992"/>
    <w:rsid w:val="00E83C85"/>
    <w:rsid w:val="00E83D48"/>
    <w:rsid w:val="00E83D63"/>
    <w:rsid w:val="00E83F50"/>
    <w:rsid w:val="00E83FFC"/>
    <w:rsid w:val="00E84220"/>
    <w:rsid w:val="00E842E5"/>
    <w:rsid w:val="00E84367"/>
    <w:rsid w:val="00E84442"/>
    <w:rsid w:val="00E84561"/>
    <w:rsid w:val="00E84825"/>
    <w:rsid w:val="00E849DC"/>
    <w:rsid w:val="00E84B20"/>
    <w:rsid w:val="00E84C6B"/>
    <w:rsid w:val="00E84C85"/>
    <w:rsid w:val="00E84C86"/>
    <w:rsid w:val="00E84CBB"/>
    <w:rsid w:val="00E84D08"/>
    <w:rsid w:val="00E84D71"/>
    <w:rsid w:val="00E84DCF"/>
    <w:rsid w:val="00E84E48"/>
    <w:rsid w:val="00E84F01"/>
    <w:rsid w:val="00E8510C"/>
    <w:rsid w:val="00E85136"/>
    <w:rsid w:val="00E85149"/>
    <w:rsid w:val="00E851E6"/>
    <w:rsid w:val="00E8533A"/>
    <w:rsid w:val="00E85368"/>
    <w:rsid w:val="00E85661"/>
    <w:rsid w:val="00E85693"/>
    <w:rsid w:val="00E85707"/>
    <w:rsid w:val="00E857AC"/>
    <w:rsid w:val="00E85899"/>
    <w:rsid w:val="00E858A5"/>
    <w:rsid w:val="00E858DC"/>
    <w:rsid w:val="00E858E7"/>
    <w:rsid w:val="00E85CED"/>
    <w:rsid w:val="00E85D21"/>
    <w:rsid w:val="00E85E8A"/>
    <w:rsid w:val="00E85E9E"/>
    <w:rsid w:val="00E86022"/>
    <w:rsid w:val="00E860B1"/>
    <w:rsid w:val="00E86118"/>
    <w:rsid w:val="00E8614E"/>
    <w:rsid w:val="00E865E0"/>
    <w:rsid w:val="00E8673D"/>
    <w:rsid w:val="00E86758"/>
    <w:rsid w:val="00E86795"/>
    <w:rsid w:val="00E86947"/>
    <w:rsid w:val="00E869EA"/>
    <w:rsid w:val="00E86ACC"/>
    <w:rsid w:val="00E86BE7"/>
    <w:rsid w:val="00E86C3D"/>
    <w:rsid w:val="00E86DCB"/>
    <w:rsid w:val="00E871F3"/>
    <w:rsid w:val="00E87292"/>
    <w:rsid w:val="00E872B4"/>
    <w:rsid w:val="00E87384"/>
    <w:rsid w:val="00E8750E"/>
    <w:rsid w:val="00E876E4"/>
    <w:rsid w:val="00E876F8"/>
    <w:rsid w:val="00E87764"/>
    <w:rsid w:val="00E87826"/>
    <w:rsid w:val="00E8794F"/>
    <w:rsid w:val="00E879BB"/>
    <w:rsid w:val="00E87A33"/>
    <w:rsid w:val="00E87D07"/>
    <w:rsid w:val="00E87DC8"/>
    <w:rsid w:val="00E90091"/>
    <w:rsid w:val="00E90370"/>
    <w:rsid w:val="00E90398"/>
    <w:rsid w:val="00E9042D"/>
    <w:rsid w:val="00E904BF"/>
    <w:rsid w:val="00E90936"/>
    <w:rsid w:val="00E90A7E"/>
    <w:rsid w:val="00E90BC0"/>
    <w:rsid w:val="00E90BC3"/>
    <w:rsid w:val="00E90CC5"/>
    <w:rsid w:val="00E910CD"/>
    <w:rsid w:val="00E910DA"/>
    <w:rsid w:val="00E911DB"/>
    <w:rsid w:val="00E91245"/>
    <w:rsid w:val="00E91286"/>
    <w:rsid w:val="00E913AF"/>
    <w:rsid w:val="00E91598"/>
    <w:rsid w:val="00E915F0"/>
    <w:rsid w:val="00E9163E"/>
    <w:rsid w:val="00E917BB"/>
    <w:rsid w:val="00E918EF"/>
    <w:rsid w:val="00E91934"/>
    <w:rsid w:val="00E91A4E"/>
    <w:rsid w:val="00E91BAE"/>
    <w:rsid w:val="00E91C50"/>
    <w:rsid w:val="00E91C78"/>
    <w:rsid w:val="00E92070"/>
    <w:rsid w:val="00E9237B"/>
    <w:rsid w:val="00E9244C"/>
    <w:rsid w:val="00E92567"/>
    <w:rsid w:val="00E926BC"/>
    <w:rsid w:val="00E92751"/>
    <w:rsid w:val="00E92771"/>
    <w:rsid w:val="00E927E2"/>
    <w:rsid w:val="00E92A5D"/>
    <w:rsid w:val="00E92B74"/>
    <w:rsid w:val="00E92D44"/>
    <w:rsid w:val="00E92DB7"/>
    <w:rsid w:val="00E92E17"/>
    <w:rsid w:val="00E93193"/>
    <w:rsid w:val="00E934AD"/>
    <w:rsid w:val="00E935F1"/>
    <w:rsid w:val="00E9360D"/>
    <w:rsid w:val="00E936B4"/>
    <w:rsid w:val="00E93796"/>
    <w:rsid w:val="00E937F9"/>
    <w:rsid w:val="00E93B17"/>
    <w:rsid w:val="00E93F7B"/>
    <w:rsid w:val="00E940AE"/>
    <w:rsid w:val="00E9416E"/>
    <w:rsid w:val="00E9430C"/>
    <w:rsid w:val="00E94636"/>
    <w:rsid w:val="00E9468A"/>
    <w:rsid w:val="00E946A2"/>
    <w:rsid w:val="00E9480F"/>
    <w:rsid w:val="00E9484B"/>
    <w:rsid w:val="00E9484F"/>
    <w:rsid w:val="00E948E6"/>
    <w:rsid w:val="00E94A53"/>
    <w:rsid w:val="00E94AD2"/>
    <w:rsid w:val="00E94C6E"/>
    <w:rsid w:val="00E94DCA"/>
    <w:rsid w:val="00E94E1C"/>
    <w:rsid w:val="00E94EAF"/>
    <w:rsid w:val="00E94FBB"/>
    <w:rsid w:val="00E950A0"/>
    <w:rsid w:val="00E950F2"/>
    <w:rsid w:val="00E951BC"/>
    <w:rsid w:val="00E952AA"/>
    <w:rsid w:val="00E95428"/>
    <w:rsid w:val="00E954B8"/>
    <w:rsid w:val="00E95515"/>
    <w:rsid w:val="00E9565A"/>
    <w:rsid w:val="00E958B6"/>
    <w:rsid w:val="00E95A20"/>
    <w:rsid w:val="00E95B03"/>
    <w:rsid w:val="00E95BCB"/>
    <w:rsid w:val="00E95C9C"/>
    <w:rsid w:val="00E95E6B"/>
    <w:rsid w:val="00E95F5C"/>
    <w:rsid w:val="00E95FAD"/>
    <w:rsid w:val="00E95FDE"/>
    <w:rsid w:val="00E962BE"/>
    <w:rsid w:val="00E96585"/>
    <w:rsid w:val="00E9665C"/>
    <w:rsid w:val="00E96689"/>
    <w:rsid w:val="00E968A8"/>
    <w:rsid w:val="00E96974"/>
    <w:rsid w:val="00E96BFB"/>
    <w:rsid w:val="00E96D63"/>
    <w:rsid w:val="00E96D94"/>
    <w:rsid w:val="00E9707E"/>
    <w:rsid w:val="00E97245"/>
    <w:rsid w:val="00E974A2"/>
    <w:rsid w:val="00E976A0"/>
    <w:rsid w:val="00E977B2"/>
    <w:rsid w:val="00E977F2"/>
    <w:rsid w:val="00E97878"/>
    <w:rsid w:val="00E97B62"/>
    <w:rsid w:val="00E97B71"/>
    <w:rsid w:val="00E97C6A"/>
    <w:rsid w:val="00E97C7C"/>
    <w:rsid w:val="00E97CC2"/>
    <w:rsid w:val="00E97DF7"/>
    <w:rsid w:val="00E97E6B"/>
    <w:rsid w:val="00E97EB2"/>
    <w:rsid w:val="00E97F4E"/>
    <w:rsid w:val="00E97FBE"/>
    <w:rsid w:val="00E97FCD"/>
    <w:rsid w:val="00EA01AA"/>
    <w:rsid w:val="00EA02F3"/>
    <w:rsid w:val="00EA02F6"/>
    <w:rsid w:val="00EA0309"/>
    <w:rsid w:val="00EA03C9"/>
    <w:rsid w:val="00EA0430"/>
    <w:rsid w:val="00EA05B0"/>
    <w:rsid w:val="00EA05CB"/>
    <w:rsid w:val="00EA05F1"/>
    <w:rsid w:val="00EA06BC"/>
    <w:rsid w:val="00EA07B6"/>
    <w:rsid w:val="00EA0876"/>
    <w:rsid w:val="00EA091E"/>
    <w:rsid w:val="00EA0929"/>
    <w:rsid w:val="00EA0983"/>
    <w:rsid w:val="00EA09CF"/>
    <w:rsid w:val="00EA0A27"/>
    <w:rsid w:val="00EA0D03"/>
    <w:rsid w:val="00EA0D7B"/>
    <w:rsid w:val="00EA0EEC"/>
    <w:rsid w:val="00EA0F5C"/>
    <w:rsid w:val="00EA0FE2"/>
    <w:rsid w:val="00EA0FF0"/>
    <w:rsid w:val="00EA108B"/>
    <w:rsid w:val="00EA137C"/>
    <w:rsid w:val="00EA138D"/>
    <w:rsid w:val="00EA1599"/>
    <w:rsid w:val="00EA1654"/>
    <w:rsid w:val="00EA190E"/>
    <w:rsid w:val="00EA1A0C"/>
    <w:rsid w:val="00EA1A5D"/>
    <w:rsid w:val="00EA2287"/>
    <w:rsid w:val="00EA229A"/>
    <w:rsid w:val="00EA22B1"/>
    <w:rsid w:val="00EA2481"/>
    <w:rsid w:val="00EA248A"/>
    <w:rsid w:val="00EA24C7"/>
    <w:rsid w:val="00EA262C"/>
    <w:rsid w:val="00EA28A0"/>
    <w:rsid w:val="00EA28C4"/>
    <w:rsid w:val="00EA2991"/>
    <w:rsid w:val="00EA2B3A"/>
    <w:rsid w:val="00EA2C7C"/>
    <w:rsid w:val="00EA2D3E"/>
    <w:rsid w:val="00EA2E1A"/>
    <w:rsid w:val="00EA2E25"/>
    <w:rsid w:val="00EA2ED6"/>
    <w:rsid w:val="00EA3235"/>
    <w:rsid w:val="00EA328B"/>
    <w:rsid w:val="00EA3422"/>
    <w:rsid w:val="00EA342D"/>
    <w:rsid w:val="00EA3581"/>
    <w:rsid w:val="00EA3587"/>
    <w:rsid w:val="00EA358A"/>
    <w:rsid w:val="00EA3634"/>
    <w:rsid w:val="00EA39D2"/>
    <w:rsid w:val="00EA3C17"/>
    <w:rsid w:val="00EA3C1B"/>
    <w:rsid w:val="00EA3EC0"/>
    <w:rsid w:val="00EA3EDB"/>
    <w:rsid w:val="00EA3FEB"/>
    <w:rsid w:val="00EA4038"/>
    <w:rsid w:val="00EA403A"/>
    <w:rsid w:val="00EA4244"/>
    <w:rsid w:val="00EA42AA"/>
    <w:rsid w:val="00EA42CD"/>
    <w:rsid w:val="00EA44D4"/>
    <w:rsid w:val="00EA474C"/>
    <w:rsid w:val="00EA4781"/>
    <w:rsid w:val="00EA47B4"/>
    <w:rsid w:val="00EA47D1"/>
    <w:rsid w:val="00EA49C4"/>
    <w:rsid w:val="00EA4D06"/>
    <w:rsid w:val="00EA4D35"/>
    <w:rsid w:val="00EA4E3E"/>
    <w:rsid w:val="00EA512F"/>
    <w:rsid w:val="00EA516E"/>
    <w:rsid w:val="00EA51F2"/>
    <w:rsid w:val="00EA5290"/>
    <w:rsid w:val="00EA52AD"/>
    <w:rsid w:val="00EA54BD"/>
    <w:rsid w:val="00EA54E6"/>
    <w:rsid w:val="00EA561B"/>
    <w:rsid w:val="00EA582C"/>
    <w:rsid w:val="00EA5875"/>
    <w:rsid w:val="00EA58E0"/>
    <w:rsid w:val="00EA59F6"/>
    <w:rsid w:val="00EA5B5C"/>
    <w:rsid w:val="00EA5BD9"/>
    <w:rsid w:val="00EA5CA6"/>
    <w:rsid w:val="00EA5D31"/>
    <w:rsid w:val="00EA5FAA"/>
    <w:rsid w:val="00EA609A"/>
    <w:rsid w:val="00EA62A4"/>
    <w:rsid w:val="00EA6320"/>
    <w:rsid w:val="00EA637C"/>
    <w:rsid w:val="00EA6446"/>
    <w:rsid w:val="00EA6600"/>
    <w:rsid w:val="00EA6747"/>
    <w:rsid w:val="00EA67CC"/>
    <w:rsid w:val="00EA69FB"/>
    <w:rsid w:val="00EA6AFC"/>
    <w:rsid w:val="00EA6DFA"/>
    <w:rsid w:val="00EA6E71"/>
    <w:rsid w:val="00EA6E83"/>
    <w:rsid w:val="00EA6EA8"/>
    <w:rsid w:val="00EA6F0A"/>
    <w:rsid w:val="00EA6F32"/>
    <w:rsid w:val="00EA7274"/>
    <w:rsid w:val="00EA76E6"/>
    <w:rsid w:val="00EA76EE"/>
    <w:rsid w:val="00EA78C3"/>
    <w:rsid w:val="00EA7992"/>
    <w:rsid w:val="00EA7AAF"/>
    <w:rsid w:val="00EA7AFA"/>
    <w:rsid w:val="00EA7C87"/>
    <w:rsid w:val="00EA7CD3"/>
    <w:rsid w:val="00EA7CF2"/>
    <w:rsid w:val="00EA7CFE"/>
    <w:rsid w:val="00EA7D0C"/>
    <w:rsid w:val="00EA7DB3"/>
    <w:rsid w:val="00EA7E4F"/>
    <w:rsid w:val="00EA7F06"/>
    <w:rsid w:val="00EB000F"/>
    <w:rsid w:val="00EB0078"/>
    <w:rsid w:val="00EB02CD"/>
    <w:rsid w:val="00EB0301"/>
    <w:rsid w:val="00EB030D"/>
    <w:rsid w:val="00EB07A5"/>
    <w:rsid w:val="00EB07E3"/>
    <w:rsid w:val="00EB0939"/>
    <w:rsid w:val="00EB0A1E"/>
    <w:rsid w:val="00EB0A5E"/>
    <w:rsid w:val="00EB0D35"/>
    <w:rsid w:val="00EB0D88"/>
    <w:rsid w:val="00EB0DD1"/>
    <w:rsid w:val="00EB0E5B"/>
    <w:rsid w:val="00EB0E8C"/>
    <w:rsid w:val="00EB0EFA"/>
    <w:rsid w:val="00EB0F08"/>
    <w:rsid w:val="00EB0F83"/>
    <w:rsid w:val="00EB1081"/>
    <w:rsid w:val="00EB1096"/>
    <w:rsid w:val="00EB11F5"/>
    <w:rsid w:val="00EB12B3"/>
    <w:rsid w:val="00EB13A9"/>
    <w:rsid w:val="00EB14E2"/>
    <w:rsid w:val="00EB152F"/>
    <w:rsid w:val="00EB157E"/>
    <w:rsid w:val="00EB1595"/>
    <w:rsid w:val="00EB1774"/>
    <w:rsid w:val="00EB17D7"/>
    <w:rsid w:val="00EB1868"/>
    <w:rsid w:val="00EB18A3"/>
    <w:rsid w:val="00EB1A0E"/>
    <w:rsid w:val="00EB1A60"/>
    <w:rsid w:val="00EB1A98"/>
    <w:rsid w:val="00EB1AEF"/>
    <w:rsid w:val="00EB1DAA"/>
    <w:rsid w:val="00EB1F0A"/>
    <w:rsid w:val="00EB200F"/>
    <w:rsid w:val="00EB2027"/>
    <w:rsid w:val="00EB20B6"/>
    <w:rsid w:val="00EB2135"/>
    <w:rsid w:val="00EB2181"/>
    <w:rsid w:val="00EB227E"/>
    <w:rsid w:val="00EB2302"/>
    <w:rsid w:val="00EB237D"/>
    <w:rsid w:val="00EB23B5"/>
    <w:rsid w:val="00EB245A"/>
    <w:rsid w:val="00EB2615"/>
    <w:rsid w:val="00EB2634"/>
    <w:rsid w:val="00EB2694"/>
    <w:rsid w:val="00EB26ED"/>
    <w:rsid w:val="00EB2972"/>
    <w:rsid w:val="00EB2A95"/>
    <w:rsid w:val="00EB2AD9"/>
    <w:rsid w:val="00EB2B1A"/>
    <w:rsid w:val="00EB2B6E"/>
    <w:rsid w:val="00EB2CCD"/>
    <w:rsid w:val="00EB2D68"/>
    <w:rsid w:val="00EB2E52"/>
    <w:rsid w:val="00EB308D"/>
    <w:rsid w:val="00EB31FF"/>
    <w:rsid w:val="00EB32BD"/>
    <w:rsid w:val="00EB339B"/>
    <w:rsid w:val="00EB33CA"/>
    <w:rsid w:val="00EB3413"/>
    <w:rsid w:val="00EB3732"/>
    <w:rsid w:val="00EB3771"/>
    <w:rsid w:val="00EB3773"/>
    <w:rsid w:val="00EB37A3"/>
    <w:rsid w:val="00EB37E6"/>
    <w:rsid w:val="00EB3986"/>
    <w:rsid w:val="00EB39A3"/>
    <w:rsid w:val="00EB3B23"/>
    <w:rsid w:val="00EB3E77"/>
    <w:rsid w:val="00EB3F11"/>
    <w:rsid w:val="00EB3FEF"/>
    <w:rsid w:val="00EB400D"/>
    <w:rsid w:val="00EB405E"/>
    <w:rsid w:val="00EB410E"/>
    <w:rsid w:val="00EB4341"/>
    <w:rsid w:val="00EB4493"/>
    <w:rsid w:val="00EB44B7"/>
    <w:rsid w:val="00EB45F2"/>
    <w:rsid w:val="00EB4694"/>
    <w:rsid w:val="00EB46A9"/>
    <w:rsid w:val="00EB4702"/>
    <w:rsid w:val="00EB4951"/>
    <w:rsid w:val="00EB4974"/>
    <w:rsid w:val="00EB49DA"/>
    <w:rsid w:val="00EB4B6D"/>
    <w:rsid w:val="00EB4B72"/>
    <w:rsid w:val="00EB4B80"/>
    <w:rsid w:val="00EB4BE3"/>
    <w:rsid w:val="00EB4C31"/>
    <w:rsid w:val="00EB4EBC"/>
    <w:rsid w:val="00EB4F23"/>
    <w:rsid w:val="00EB4FF6"/>
    <w:rsid w:val="00EB5142"/>
    <w:rsid w:val="00EB53AC"/>
    <w:rsid w:val="00EB53C3"/>
    <w:rsid w:val="00EB53D0"/>
    <w:rsid w:val="00EB5512"/>
    <w:rsid w:val="00EB551A"/>
    <w:rsid w:val="00EB55B2"/>
    <w:rsid w:val="00EB56AE"/>
    <w:rsid w:val="00EB56C2"/>
    <w:rsid w:val="00EB56E8"/>
    <w:rsid w:val="00EB575A"/>
    <w:rsid w:val="00EB584C"/>
    <w:rsid w:val="00EB587F"/>
    <w:rsid w:val="00EB5B23"/>
    <w:rsid w:val="00EB5BD6"/>
    <w:rsid w:val="00EB5CFF"/>
    <w:rsid w:val="00EB5D42"/>
    <w:rsid w:val="00EB5E2A"/>
    <w:rsid w:val="00EB5FA6"/>
    <w:rsid w:val="00EB6085"/>
    <w:rsid w:val="00EB60EE"/>
    <w:rsid w:val="00EB6304"/>
    <w:rsid w:val="00EB669D"/>
    <w:rsid w:val="00EB67B3"/>
    <w:rsid w:val="00EB67C6"/>
    <w:rsid w:val="00EB692A"/>
    <w:rsid w:val="00EB6943"/>
    <w:rsid w:val="00EB6A40"/>
    <w:rsid w:val="00EB6A74"/>
    <w:rsid w:val="00EB6AF0"/>
    <w:rsid w:val="00EB6B27"/>
    <w:rsid w:val="00EB6B6D"/>
    <w:rsid w:val="00EB6BC7"/>
    <w:rsid w:val="00EB6D0F"/>
    <w:rsid w:val="00EB717C"/>
    <w:rsid w:val="00EB71BF"/>
    <w:rsid w:val="00EB71EA"/>
    <w:rsid w:val="00EB727E"/>
    <w:rsid w:val="00EB7308"/>
    <w:rsid w:val="00EB74EB"/>
    <w:rsid w:val="00EB763C"/>
    <w:rsid w:val="00EB77C7"/>
    <w:rsid w:val="00EB7A02"/>
    <w:rsid w:val="00EB7A0D"/>
    <w:rsid w:val="00EB7B1E"/>
    <w:rsid w:val="00EB7B5F"/>
    <w:rsid w:val="00EB7CA4"/>
    <w:rsid w:val="00EB7CE1"/>
    <w:rsid w:val="00EB7CE3"/>
    <w:rsid w:val="00EB7D14"/>
    <w:rsid w:val="00EB7DC5"/>
    <w:rsid w:val="00EB7E92"/>
    <w:rsid w:val="00EB7F23"/>
    <w:rsid w:val="00EB7FF5"/>
    <w:rsid w:val="00EC00BA"/>
    <w:rsid w:val="00EC00BF"/>
    <w:rsid w:val="00EC02E6"/>
    <w:rsid w:val="00EC035D"/>
    <w:rsid w:val="00EC03E0"/>
    <w:rsid w:val="00EC044B"/>
    <w:rsid w:val="00EC04B5"/>
    <w:rsid w:val="00EC052C"/>
    <w:rsid w:val="00EC0694"/>
    <w:rsid w:val="00EC06CC"/>
    <w:rsid w:val="00EC079C"/>
    <w:rsid w:val="00EC0870"/>
    <w:rsid w:val="00EC08C3"/>
    <w:rsid w:val="00EC0905"/>
    <w:rsid w:val="00EC0BA2"/>
    <w:rsid w:val="00EC0BDD"/>
    <w:rsid w:val="00EC0E1A"/>
    <w:rsid w:val="00EC0F14"/>
    <w:rsid w:val="00EC0F4B"/>
    <w:rsid w:val="00EC1089"/>
    <w:rsid w:val="00EC11E4"/>
    <w:rsid w:val="00EC1221"/>
    <w:rsid w:val="00EC1281"/>
    <w:rsid w:val="00EC144A"/>
    <w:rsid w:val="00EC1451"/>
    <w:rsid w:val="00EC14EA"/>
    <w:rsid w:val="00EC1512"/>
    <w:rsid w:val="00EC174C"/>
    <w:rsid w:val="00EC17E1"/>
    <w:rsid w:val="00EC1806"/>
    <w:rsid w:val="00EC18B5"/>
    <w:rsid w:val="00EC190A"/>
    <w:rsid w:val="00EC1A76"/>
    <w:rsid w:val="00EC1AB3"/>
    <w:rsid w:val="00EC1AD4"/>
    <w:rsid w:val="00EC1B4D"/>
    <w:rsid w:val="00EC1DD2"/>
    <w:rsid w:val="00EC1FCB"/>
    <w:rsid w:val="00EC202A"/>
    <w:rsid w:val="00EC2217"/>
    <w:rsid w:val="00EC23EF"/>
    <w:rsid w:val="00EC251F"/>
    <w:rsid w:val="00EC25C6"/>
    <w:rsid w:val="00EC25E4"/>
    <w:rsid w:val="00EC2B87"/>
    <w:rsid w:val="00EC313C"/>
    <w:rsid w:val="00EC319A"/>
    <w:rsid w:val="00EC3342"/>
    <w:rsid w:val="00EC3649"/>
    <w:rsid w:val="00EC38CD"/>
    <w:rsid w:val="00EC39F2"/>
    <w:rsid w:val="00EC3AA5"/>
    <w:rsid w:val="00EC3C70"/>
    <w:rsid w:val="00EC3E27"/>
    <w:rsid w:val="00EC3E32"/>
    <w:rsid w:val="00EC3E88"/>
    <w:rsid w:val="00EC3ED0"/>
    <w:rsid w:val="00EC4072"/>
    <w:rsid w:val="00EC415F"/>
    <w:rsid w:val="00EC43D3"/>
    <w:rsid w:val="00EC4A09"/>
    <w:rsid w:val="00EC4A62"/>
    <w:rsid w:val="00EC4ACE"/>
    <w:rsid w:val="00EC4B45"/>
    <w:rsid w:val="00EC4C43"/>
    <w:rsid w:val="00EC4C50"/>
    <w:rsid w:val="00EC4CAD"/>
    <w:rsid w:val="00EC4DB6"/>
    <w:rsid w:val="00EC4E57"/>
    <w:rsid w:val="00EC5054"/>
    <w:rsid w:val="00EC54C4"/>
    <w:rsid w:val="00EC5632"/>
    <w:rsid w:val="00EC5664"/>
    <w:rsid w:val="00EC575A"/>
    <w:rsid w:val="00EC5790"/>
    <w:rsid w:val="00EC57B9"/>
    <w:rsid w:val="00EC5891"/>
    <w:rsid w:val="00EC591B"/>
    <w:rsid w:val="00EC5935"/>
    <w:rsid w:val="00EC597C"/>
    <w:rsid w:val="00EC5AA9"/>
    <w:rsid w:val="00EC5AAF"/>
    <w:rsid w:val="00EC5AEC"/>
    <w:rsid w:val="00EC5B15"/>
    <w:rsid w:val="00EC5C73"/>
    <w:rsid w:val="00EC5CA9"/>
    <w:rsid w:val="00EC5D37"/>
    <w:rsid w:val="00EC5F3F"/>
    <w:rsid w:val="00EC60AF"/>
    <w:rsid w:val="00EC60D8"/>
    <w:rsid w:val="00EC62D0"/>
    <w:rsid w:val="00EC62EF"/>
    <w:rsid w:val="00EC6516"/>
    <w:rsid w:val="00EC6617"/>
    <w:rsid w:val="00EC669C"/>
    <w:rsid w:val="00EC68B9"/>
    <w:rsid w:val="00EC6971"/>
    <w:rsid w:val="00EC69BA"/>
    <w:rsid w:val="00EC6A1E"/>
    <w:rsid w:val="00EC6B2C"/>
    <w:rsid w:val="00EC6B4D"/>
    <w:rsid w:val="00EC6BEF"/>
    <w:rsid w:val="00EC6E3C"/>
    <w:rsid w:val="00EC6F20"/>
    <w:rsid w:val="00EC6F52"/>
    <w:rsid w:val="00EC71C5"/>
    <w:rsid w:val="00EC7330"/>
    <w:rsid w:val="00EC75E8"/>
    <w:rsid w:val="00EC770B"/>
    <w:rsid w:val="00EC775C"/>
    <w:rsid w:val="00EC7890"/>
    <w:rsid w:val="00EC7A41"/>
    <w:rsid w:val="00EC7A56"/>
    <w:rsid w:val="00EC7B94"/>
    <w:rsid w:val="00EC7C3B"/>
    <w:rsid w:val="00EC7D7E"/>
    <w:rsid w:val="00EC7DD9"/>
    <w:rsid w:val="00EC7F31"/>
    <w:rsid w:val="00ED0001"/>
    <w:rsid w:val="00ED019A"/>
    <w:rsid w:val="00ED03B2"/>
    <w:rsid w:val="00ED04D2"/>
    <w:rsid w:val="00ED056C"/>
    <w:rsid w:val="00ED061D"/>
    <w:rsid w:val="00ED0644"/>
    <w:rsid w:val="00ED0773"/>
    <w:rsid w:val="00ED07A5"/>
    <w:rsid w:val="00ED082A"/>
    <w:rsid w:val="00ED09CF"/>
    <w:rsid w:val="00ED0A91"/>
    <w:rsid w:val="00ED0C85"/>
    <w:rsid w:val="00ED0CA8"/>
    <w:rsid w:val="00ED0D4D"/>
    <w:rsid w:val="00ED0D75"/>
    <w:rsid w:val="00ED0EF5"/>
    <w:rsid w:val="00ED0F4A"/>
    <w:rsid w:val="00ED0F53"/>
    <w:rsid w:val="00ED10D9"/>
    <w:rsid w:val="00ED11AE"/>
    <w:rsid w:val="00ED11D0"/>
    <w:rsid w:val="00ED139D"/>
    <w:rsid w:val="00ED1401"/>
    <w:rsid w:val="00ED140D"/>
    <w:rsid w:val="00ED1473"/>
    <w:rsid w:val="00ED15EB"/>
    <w:rsid w:val="00ED160C"/>
    <w:rsid w:val="00ED1633"/>
    <w:rsid w:val="00ED163F"/>
    <w:rsid w:val="00ED1688"/>
    <w:rsid w:val="00ED171D"/>
    <w:rsid w:val="00ED1859"/>
    <w:rsid w:val="00ED1B5C"/>
    <w:rsid w:val="00ED1CD8"/>
    <w:rsid w:val="00ED1D3D"/>
    <w:rsid w:val="00ED1DD2"/>
    <w:rsid w:val="00ED1E0A"/>
    <w:rsid w:val="00ED1E8F"/>
    <w:rsid w:val="00ED2019"/>
    <w:rsid w:val="00ED2055"/>
    <w:rsid w:val="00ED20D3"/>
    <w:rsid w:val="00ED2152"/>
    <w:rsid w:val="00ED2222"/>
    <w:rsid w:val="00ED22A6"/>
    <w:rsid w:val="00ED236D"/>
    <w:rsid w:val="00ED23F6"/>
    <w:rsid w:val="00ED2689"/>
    <w:rsid w:val="00ED26A8"/>
    <w:rsid w:val="00ED2738"/>
    <w:rsid w:val="00ED28A7"/>
    <w:rsid w:val="00ED2AA9"/>
    <w:rsid w:val="00ED2B05"/>
    <w:rsid w:val="00ED2B45"/>
    <w:rsid w:val="00ED2D17"/>
    <w:rsid w:val="00ED2D40"/>
    <w:rsid w:val="00ED304E"/>
    <w:rsid w:val="00ED307E"/>
    <w:rsid w:val="00ED30A2"/>
    <w:rsid w:val="00ED328F"/>
    <w:rsid w:val="00ED3492"/>
    <w:rsid w:val="00ED35E2"/>
    <w:rsid w:val="00ED361E"/>
    <w:rsid w:val="00ED371B"/>
    <w:rsid w:val="00ED3791"/>
    <w:rsid w:val="00ED37A3"/>
    <w:rsid w:val="00ED37B0"/>
    <w:rsid w:val="00ED381F"/>
    <w:rsid w:val="00ED3934"/>
    <w:rsid w:val="00ED393B"/>
    <w:rsid w:val="00ED3960"/>
    <w:rsid w:val="00ED3A47"/>
    <w:rsid w:val="00ED3A64"/>
    <w:rsid w:val="00ED3B40"/>
    <w:rsid w:val="00ED3ECB"/>
    <w:rsid w:val="00ED4029"/>
    <w:rsid w:val="00ED4048"/>
    <w:rsid w:val="00ED418A"/>
    <w:rsid w:val="00ED451D"/>
    <w:rsid w:val="00ED45AF"/>
    <w:rsid w:val="00ED48E3"/>
    <w:rsid w:val="00ED49DB"/>
    <w:rsid w:val="00ED4A27"/>
    <w:rsid w:val="00ED4BB2"/>
    <w:rsid w:val="00ED4C92"/>
    <w:rsid w:val="00ED4D33"/>
    <w:rsid w:val="00ED4DAC"/>
    <w:rsid w:val="00ED4DB4"/>
    <w:rsid w:val="00ED4DE6"/>
    <w:rsid w:val="00ED4E87"/>
    <w:rsid w:val="00ED4E88"/>
    <w:rsid w:val="00ED5037"/>
    <w:rsid w:val="00ED516B"/>
    <w:rsid w:val="00ED51B1"/>
    <w:rsid w:val="00ED52EC"/>
    <w:rsid w:val="00ED542E"/>
    <w:rsid w:val="00ED54C6"/>
    <w:rsid w:val="00ED5704"/>
    <w:rsid w:val="00ED5977"/>
    <w:rsid w:val="00ED5B5F"/>
    <w:rsid w:val="00ED5B62"/>
    <w:rsid w:val="00ED5CB9"/>
    <w:rsid w:val="00ED5DB9"/>
    <w:rsid w:val="00ED5E29"/>
    <w:rsid w:val="00ED5EB5"/>
    <w:rsid w:val="00ED5EDA"/>
    <w:rsid w:val="00ED6043"/>
    <w:rsid w:val="00ED631D"/>
    <w:rsid w:val="00ED6395"/>
    <w:rsid w:val="00ED6541"/>
    <w:rsid w:val="00ED6562"/>
    <w:rsid w:val="00ED6786"/>
    <w:rsid w:val="00ED6A8F"/>
    <w:rsid w:val="00ED6B3C"/>
    <w:rsid w:val="00ED6B69"/>
    <w:rsid w:val="00ED6C63"/>
    <w:rsid w:val="00ED6DC0"/>
    <w:rsid w:val="00ED6E41"/>
    <w:rsid w:val="00ED6FBB"/>
    <w:rsid w:val="00ED70E3"/>
    <w:rsid w:val="00ED72AA"/>
    <w:rsid w:val="00ED7366"/>
    <w:rsid w:val="00ED7462"/>
    <w:rsid w:val="00ED7673"/>
    <w:rsid w:val="00ED7767"/>
    <w:rsid w:val="00ED7806"/>
    <w:rsid w:val="00ED78C5"/>
    <w:rsid w:val="00ED7B28"/>
    <w:rsid w:val="00ED7B86"/>
    <w:rsid w:val="00ED7CB3"/>
    <w:rsid w:val="00ED7DD0"/>
    <w:rsid w:val="00ED7E50"/>
    <w:rsid w:val="00ED7EE9"/>
    <w:rsid w:val="00ED7FEF"/>
    <w:rsid w:val="00EE0000"/>
    <w:rsid w:val="00EE0080"/>
    <w:rsid w:val="00EE00BB"/>
    <w:rsid w:val="00EE0195"/>
    <w:rsid w:val="00EE0291"/>
    <w:rsid w:val="00EE0316"/>
    <w:rsid w:val="00EE0325"/>
    <w:rsid w:val="00EE04A7"/>
    <w:rsid w:val="00EE04C8"/>
    <w:rsid w:val="00EE0604"/>
    <w:rsid w:val="00EE0610"/>
    <w:rsid w:val="00EE0892"/>
    <w:rsid w:val="00EE08F0"/>
    <w:rsid w:val="00EE09A7"/>
    <w:rsid w:val="00EE0DD1"/>
    <w:rsid w:val="00EE0DD7"/>
    <w:rsid w:val="00EE0DF5"/>
    <w:rsid w:val="00EE0EB4"/>
    <w:rsid w:val="00EE0F92"/>
    <w:rsid w:val="00EE0FD3"/>
    <w:rsid w:val="00EE10E7"/>
    <w:rsid w:val="00EE111B"/>
    <w:rsid w:val="00EE117B"/>
    <w:rsid w:val="00EE123D"/>
    <w:rsid w:val="00EE1404"/>
    <w:rsid w:val="00EE150C"/>
    <w:rsid w:val="00EE1595"/>
    <w:rsid w:val="00EE15AF"/>
    <w:rsid w:val="00EE1630"/>
    <w:rsid w:val="00EE16AF"/>
    <w:rsid w:val="00EE17F6"/>
    <w:rsid w:val="00EE198E"/>
    <w:rsid w:val="00EE1D69"/>
    <w:rsid w:val="00EE1F4C"/>
    <w:rsid w:val="00EE1FFC"/>
    <w:rsid w:val="00EE2142"/>
    <w:rsid w:val="00EE215A"/>
    <w:rsid w:val="00EE2184"/>
    <w:rsid w:val="00EE2412"/>
    <w:rsid w:val="00EE245D"/>
    <w:rsid w:val="00EE26BC"/>
    <w:rsid w:val="00EE27CA"/>
    <w:rsid w:val="00EE29E9"/>
    <w:rsid w:val="00EE2AF3"/>
    <w:rsid w:val="00EE2C3E"/>
    <w:rsid w:val="00EE2C43"/>
    <w:rsid w:val="00EE2D61"/>
    <w:rsid w:val="00EE2DC0"/>
    <w:rsid w:val="00EE2E11"/>
    <w:rsid w:val="00EE2E33"/>
    <w:rsid w:val="00EE2EE4"/>
    <w:rsid w:val="00EE2F19"/>
    <w:rsid w:val="00EE2F75"/>
    <w:rsid w:val="00EE2FF4"/>
    <w:rsid w:val="00EE313E"/>
    <w:rsid w:val="00EE3192"/>
    <w:rsid w:val="00EE3207"/>
    <w:rsid w:val="00EE337C"/>
    <w:rsid w:val="00EE3416"/>
    <w:rsid w:val="00EE341C"/>
    <w:rsid w:val="00EE3440"/>
    <w:rsid w:val="00EE3561"/>
    <w:rsid w:val="00EE3651"/>
    <w:rsid w:val="00EE366D"/>
    <w:rsid w:val="00EE38F6"/>
    <w:rsid w:val="00EE391B"/>
    <w:rsid w:val="00EE3ABC"/>
    <w:rsid w:val="00EE3C4B"/>
    <w:rsid w:val="00EE3C63"/>
    <w:rsid w:val="00EE3DED"/>
    <w:rsid w:val="00EE3DFB"/>
    <w:rsid w:val="00EE3FF4"/>
    <w:rsid w:val="00EE41DD"/>
    <w:rsid w:val="00EE4219"/>
    <w:rsid w:val="00EE422B"/>
    <w:rsid w:val="00EE4440"/>
    <w:rsid w:val="00EE4602"/>
    <w:rsid w:val="00EE464A"/>
    <w:rsid w:val="00EE481F"/>
    <w:rsid w:val="00EE4836"/>
    <w:rsid w:val="00EE488D"/>
    <w:rsid w:val="00EE49A2"/>
    <w:rsid w:val="00EE49B9"/>
    <w:rsid w:val="00EE4C1C"/>
    <w:rsid w:val="00EE4D7D"/>
    <w:rsid w:val="00EE4D86"/>
    <w:rsid w:val="00EE4E1C"/>
    <w:rsid w:val="00EE4EC6"/>
    <w:rsid w:val="00EE4FF7"/>
    <w:rsid w:val="00EE50FA"/>
    <w:rsid w:val="00EE54C5"/>
    <w:rsid w:val="00EE5545"/>
    <w:rsid w:val="00EE5714"/>
    <w:rsid w:val="00EE5810"/>
    <w:rsid w:val="00EE585E"/>
    <w:rsid w:val="00EE58F0"/>
    <w:rsid w:val="00EE5949"/>
    <w:rsid w:val="00EE59A0"/>
    <w:rsid w:val="00EE59F0"/>
    <w:rsid w:val="00EE5A33"/>
    <w:rsid w:val="00EE5ABE"/>
    <w:rsid w:val="00EE5B13"/>
    <w:rsid w:val="00EE5C90"/>
    <w:rsid w:val="00EE5DB2"/>
    <w:rsid w:val="00EE5EFD"/>
    <w:rsid w:val="00EE5F72"/>
    <w:rsid w:val="00EE5F8C"/>
    <w:rsid w:val="00EE616B"/>
    <w:rsid w:val="00EE61DB"/>
    <w:rsid w:val="00EE6203"/>
    <w:rsid w:val="00EE6259"/>
    <w:rsid w:val="00EE62C3"/>
    <w:rsid w:val="00EE6374"/>
    <w:rsid w:val="00EE643D"/>
    <w:rsid w:val="00EE6638"/>
    <w:rsid w:val="00EE66DB"/>
    <w:rsid w:val="00EE6721"/>
    <w:rsid w:val="00EE67B5"/>
    <w:rsid w:val="00EE6849"/>
    <w:rsid w:val="00EE6B99"/>
    <w:rsid w:val="00EE6C5A"/>
    <w:rsid w:val="00EE6C82"/>
    <w:rsid w:val="00EE7025"/>
    <w:rsid w:val="00EE712F"/>
    <w:rsid w:val="00EE732D"/>
    <w:rsid w:val="00EE7466"/>
    <w:rsid w:val="00EE7581"/>
    <w:rsid w:val="00EE76D7"/>
    <w:rsid w:val="00EE7966"/>
    <w:rsid w:val="00EE7970"/>
    <w:rsid w:val="00EE7B83"/>
    <w:rsid w:val="00EE7C7B"/>
    <w:rsid w:val="00EE7C95"/>
    <w:rsid w:val="00EE7D2F"/>
    <w:rsid w:val="00EE7EC9"/>
    <w:rsid w:val="00EF0053"/>
    <w:rsid w:val="00EF030A"/>
    <w:rsid w:val="00EF03DA"/>
    <w:rsid w:val="00EF042D"/>
    <w:rsid w:val="00EF051A"/>
    <w:rsid w:val="00EF0533"/>
    <w:rsid w:val="00EF0929"/>
    <w:rsid w:val="00EF09D1"/>
    <w:rsid w:val="00EF09D9"/>
    <w:rsid w:val="00EF0B85"/>
    <w:rsid w:val="00EF0BA8"/>
    <w:rsid w:val="00EF0C81"/>
    <w:rsid w:val="00EF0DDC"/>
    <w:rsid w:val="00EF0E55"/>
    <w:rsid w:val="00EF0E95"/>
    <w:rsid w:val="00EF10E4"/>
    <w:rsid w:val="00EF1120"/>
    <w:rsid w:val="00EF1123"/>
    <w:rsid w:val="00EF113C"/>
    <w:rsid w:val="00EF122B"/>
    <w:rsid w:val="00EF1366"/>
    <w:rsid w:val="00EF155E"/>
    <w:rsid w:val="00EF16E2"/>
    <w:rsid w:val="00EF179C"/>
    <w:rsid w:val="00EF17A8"/>
    <w:rsid w:val="00EF18EB"/>
    <w:rsid w:val="00EF193C"/>
    <w:rsid w:val="00EF197F"/>
    <w:rsid w:val="00EF19A8"/>
    <w:rsid w:val="00EF1C2F"/>
    <w:rsid w:val="00EF1CC2"/>
    <w:rsid w:val="00EF1D56"/>
    <w:rsid w:val="00EF1D67"/>
    <w:rsid w:val="00EF1D8A"/>
    <w:rsid w:val="00EF1DB1"/>
    <w:rsid w:val="00EF1DF3"/>
    <w:rsid w:val="00EF1DF4"/>
    <w:rsid w:val="00EF1E2D"/>
    <w:rsid w:val="00EF1F6E"/>
    <w:rsid w:val="00EF1FC5"/>
    <w:rsid w:val="00EF2067"/>
    <w:rsid w:val="00EF2227"/>
    <w:rsid w:val="00EF2543"/>
    <w:rsid w:val="00EF2614"/>
    <w:rsid w:val="00EF266C"/>
    <w:rsid w:val="00EF27DA"/>
    <w:rsid w:val="00EF2825"/>
    <w:rsid w:val="00EF28DB"/>
    <w:rsid w:val="00EF293C"/>
    <w:rsid w:val="00EF29F4"/>
    <w:rsid w:val="00EF2A33"/>
    <w:rsid w:val="00EF2BED"/>
    <w:rsid w:val="00EF2F78"/>
    <w:rsid w:val="00EF3044"/>
    <w:rsid w:val="00EF306B"/>
    <w:rsid w:val="00EF310F"/>
    <w:rsid w:val="00EF322D"/>
    <w:rsid w:val="00EF32A2"/>
    <w:rsid w:val="00EF3337"/>
    <w:rsid w:val="00EF355E"/>
    <w:rsid w:val="00EF3594"/>
    <w:rsid w:val="00EF359B"/>
    <w:rsid w:val="00EF362B"/>
    <w:rsid w:val="00EF367F"/>
    <w:rsid w:val="00EF368F"/>
    <w:rsid w:val="00EF369F"/>
    <w:rsid w:val="00EF37CA"/>
    <w:rsid w:val="00EF39DD"/>
    <w:rsid w:val="00EF3A9C"/>
    <w:rsid w:val="00EF3B6E"/>
    <w:rsid w:val="00EF3C0D"/>
    <w:rsid w:val="00EF3C85"/>
    <w:rsid w:val="00EF3D28"/>
    <w:rsid w:val="00EF402B"/>
    <w:rsid w:val="00EF4068"/>
    <w:rsid w:val="00EF409E"/>
    <w:rsid w:val="00EF40F0"/>
    <w:rsid w:val="00EF4244"/>
    <w:rsid w:val="00EF43C7"/>
    <w:rsid w:val="00EF43E1"/>
    <w:rsid w:val="00EF4424"/>
    <w:rsid w:val="00EF4583"/>
    <w:rsid w:val="00EF45C9"/>
    <w:rsid w:val="00EF45FF"/>
    <w:rsid w:val="00EF485F"/>
    <w:rsid w:val="00EF48BE"/>
    <w:rsid w:val="00EF4B4E"/>
    <w:rsid w:val="00EF4CC8"/>
    <w:rsid w:val="00EF4CD9"/>
    <w:rsid w:val="00EF4D62"/>
    <w:rsid w:val="00EF4FC3"/>
    <w:rsid w:val="00EF5052"/>
    <w:rsid w:val="00EF5093"/>
    <w:rsid w:val="00EF51F8"/>
    <w:rsid w:val="00EF5333"/>
    <w:rsid w:val="00EF5342"/>
    <w:rsid w:val="00EF5489"/>
    <w:rsid w:val="00EF5496"/>
    <w:rsid w:val="00EF5497"/>
    <w:rsid w:val="00EF5659"/>
    <w:rsid w:val="00EF56F0"/>
    <w:rsid w:val="00EF5736"/>
    <w:rsid w:val="00EF5A6F"/>
    <w:rsid w:val="00EF5A96"/>
    <w:rsid w:val="00EF5BB1"/>
    <w:rsid w:val="00EF5BD7"/>
    <w:rsid w:val="00EF5EF4"/>
    <w:rsid w:val="00EF645A"/>
    <w:rsid w:val="00EF64F0"/>
    <w:rsid w:val="00EF65A1"/>
    <w:rsid w:val="00EF6764"/>
    <w:rsid w:val="00EF678B"/>
    <w:rsid w:val="00EF69BA"/>
    <w:rsid w:val="00EF6A5C"/>
    <w:rsid w:val="00EF6AAF"/>
    <w:rsid w:val="00EF6ABF"/>
    <w:rsid w:val="00EF6AEA"/>
    <w:rsid w:val="00EF6D83"/>
    <w:rsid w:val="00EF6DAA"/>
    <w:rsid w:val="00EF6E81"/>
    <w:rsid w:val="00EF6EFD"/>
    <w:rsid w:val="00EF6FD3"/>
    <w:rsid w:val="00EF7144"/>
    <w:rsid w:val="00EF718B"/>
    <w:rsid w:val="00EF71F9"/>
    <w:rsid w:val="00EF73E0"/>
    <w:rsid w:val="00EF7467"/>
    <w:rsid w:val="00EF7587"/>
    <w:rsid w:val="00EF75D0"/>
    <w:rsid w:val="00EF78B7"/>
    <w:rsid w:val="00EF79EE"/>
    <w:rsid w:val="00EF7A1E"/>
    <w:rsid w:val="00EF7CB0"/>
    <w:rsid w:val="00EF7F6B"/>
    <w:rsid w:val="00EF7F77"/>
    <w:rsid w:val="00EF7FCF"/>
    <w:rsid w:val="00F00025"/>
    <w:rsid w:val="00F001FF"/>
    <w:rsid w:val="00F0029C"/>
    <w:rsid w:val="00F00428"/>
    <w:rsid w:val="00F004E8"/>
    <w:rsid w:val="00F0056B"/>
    <w:rsid w:val="00F00572"/>
    <w:rsid w:val="00F00598"/>
    <w:rsid w:val="00F0062A"/>
    <w:rsid w:val="00F0064F"/>
    <w:rsid w:val="00F006B4"/>
    <w:rsid w:val="00F0071A"/>
    <w:rsid w:val="00F007B0"/>
    <w:rsid w:val="00F007BA"/>
    <w:rsid w:val="00F008A3"/>
    <w:rsid w:val="00F008AE"/>
    <w:rsid w:val="00F00921"/>
    <w:rsid w:val="00F0093F"/>
    <w:rsid w:val="00F00A2E"/>
    <w:rsid w:val="00F00A91"/>
    <w:rsid w:val="00F00AD0"/>
    <w:rsid w:val="00F00ADD"/>
    <w:rsid w:val="00F00AF9"/>
    <w:rsid w:val="00F00C55"/>
    <w:rsid w:val="00F00C71"/>
    <w:rsid w:val="00F00F4C"/>
    <w:rsid w:val="00F0120E"/>
    <w:rsid w:val="00F01216"/>
    <w:rsid w:val="00F01298"/>
    <w:rsid w:val="00F0149A"/>
    <w:rsid w:val="00F014C8"/>
    <w:rsid w:val="00F01516"/>
    <w:rsid w:val="00F01550"/>
    <w:rsid w:val="00F01608"/>
    <w:rsid w:val="00F0161A"/>
    <w:rsid w:val="00F0167E"/>
    <w:rsid w:val="00F01758"/>
    <w:rsid w:val="00F01825"/>
    <w:rsid w:val="00F01843"/>
    <w:rsid w:val="00F01882"/>
    <w:rsid w:val="00F018FF"/>
    <w:rsid w:val="00F01B8B"/>
    <w:rsid w:val="00F01D6D"/>
    <w:rsid w:val="00F01FB3"/>
    <w:rsid w:val="00F02054"/>
    <w:rsid w:val="00F020C7"/>
    <w:rsid w:val="00F02120"/>
    <w:rsid w:val="00F02122"/>
    <w:rsid w:val="00F0213F"/>
    <w:rsid w:val="00F021B7"/>
    <w:rsid w:val="00F02263"/>
    <w:rsid w:val="00F0230C"/>
    <w:rsid w:val="00F023EC"/>
    <w:rsid w:val="00F02535"/>
    <w:rsid w:val="00F025E9"/>
    <w:rsid w:val="00F0267B"/>
    <w:rsid w:val="00F02971"/>
    <w:rsid w:val="00F029C4"/>
    <w:rsid w:val="00F02A2B"/>
    <w:rsid w:val="00F02C2B"/>
    <w:rsid w:val="00F02CD0"/>
    <w:rsid w:val="00F02D2C"/>
    <w:rsid w:val="00F02D6C"/>
    <w:rsid w:val="00F02DB8"/>
    <w:rsid w:val="00F02E1B"/>
    <w:rsid w:val="00F02ECB"/>
    <w:rsid w:val="00F03074"/>
    <w:rsid w:val="00F030DB"/>
    <w:rsid w:val="00F03163"/>
    <w:rsid w:val="00F03166"/>
    <w:rsid w:val="00F03254"/>
    <w:rsid w:val="00F034EA"/>
    <w:rsid w:val="00F034EC"/>
    <w:rsid w:val="00F0369D"/>
    <w:rsid w:val="00F03712"/>
    <w:rsid w:val="00F03882"/>
    <w:rsid w:val="00F038A9"/>
    <w:rsid w:val="00F03C56"/>
    <w:rsid w:val="00F03CCF"/>
    <w:rsid w:val="00F03EE3"/>
    <w:rsid w:val="00F04009"/>
    <w:rsid w:val="00F04070"/>
    <w:rsid w:val="00F0409D"/>
    <w:rsid w:val="00F041D7"/>
    <w:rsid w:val="00F043B1"/>
    <w:rsid w:val="00F043CB"/>
    <w:rsid w:val="00F043E0"/>
    <w:rsid w:val="00F045FA"/>
    <w:rsid w:val="00F04669"/>
    <w:rsid w:val="00F046AA"/>
    <w:rsid w:val="00F046D8"/>
    <w:rsid w:val="00F04817"/>
    <w:rsid w:val="00F049B7"/>
    <w:rsid w:val="00F04A53"/>
    <w:rsid w:val="00F04BA0"/>
    <w:rsid w:val="00F04C04"/>
    <w:rsid w:val="00F04D45"/>
    <w:rsid w:val="00F04E70"/>
    <w:rsid w:val="00F04F3A"/>
    <w:rsid w:val="00F0534D"/>
    <w:rsid w:val="00F05379"/>
    <w:rsid w:val="00F053F2"/>
    <w:rsid w:val="00F054D0"/>
    <w:rsid w:val="00F05535"/>
    <w:rsid w:val="00F055C6"/>
    <w:rsid w:val="00F0577E"/>
    <w:rsid w:val="00F0578B"/>
    <w:rsid w:val="00F05861"/>
    <w:rsid w:val="00F0589E"/>
    <w:rsid w:val="00F05965"/>
    <w:rsid w:val="00F05A5E"/>
    <w:rsid w:val="00F05AAA"/>
    <w:rsid w:val="00F05B2F"/>
    <w:rsid w:val="00F05B9E"/>
    <w:rsid w:val="00F05C39"/>
    <w:rsid w:val="00F05D66"/>
    <w:rsid w:val="00F05E36"/>
    <w:rsid w:val="00F05F34"/>
    <w:rsid w:val="00F061DB"/>
    <w:rsid w:val="00F06216"/>
    <w:rsid w:val="00F0626A"/>
    <w:rsid w:val="00F06409"/>
    <w:rsid w:val="00F0655F"/>
    <w:rsid w:val="00F06613"/>
    <w:rsid w:val="00F06BD9"/>
    <w:rsid w:val="00F06BFC"/>
    <w:rsid w:val="00F06C0E"/>
    <w:rsid w:val="00F06CB2"/>
    <w:rsid w:val="00F06CDC"/>
    <w:rsid w:val="00F06D5E"/>
    <w:rsid w:val="00F070A2"/>
    <w:rsid w:val="00F0716F"/>
    <w:rsid w:val="00F0738B"/>
    <w:rsid w:val="00F07455"/>
    <w:rsid w:val="00F074FE"/>
    <w:rsid w:val="00F07502"/>
    <w:rsid w:val="00F076D4"/>
    <w:rsid w:val="00F077CD"/>
    <w:rsid w:val="00F078E2"/>
    <w:rsid w:val="00F07D3E"/>
    <w:rsid w:val="00F07D82"/>
    <w:rsid w:val="00F07E25"/>
    <w:rsid w:val="00F07EEE"/>
    <w:rsid w:val="00F10383"/>
    <w:rsid w:val="00F1050D"/>
    <w:rsid w:val="00F1061E"/>
    <w:rsid w:val="00F10E09"/>
    <w:rsid w:val="00F10E1B"/>
    <w:rsid w:val="00F10E7F"/>
    <w:rsid w:val="00F10E8E"/>
    <w:rsid w:val="00F10F03"/>
    <w:rsid w:val="00F110FE"/>
    <w:rsid w:val="00F111EB"/>
    <w:rsid w:val="00F11303"/>
    <w:rsid w:val="00F114DA"/>
    <w:rsid w:val="00F114F1"/>
    <w:rsid w:val="00F11506"/>
    <w:rsid w:val="00F11541"/>
    <w:rsid w:val="00F1156A"/>
    <w:rsid w:val="00F11575"/>
    <w:rsid w:val="00F11724"/>
    <w:rsid w:val="00F11B40"/>
    <w:rsid w:val="00F11C4C"/>
    <w:rsid w:val="00F11D11"/>
    <w:rsid w:val="00F11E84"/>
    <w:rsid w:val="00F11E86"/>
    <w:rsid w:val="00F12041"/>
    <w:rsid w:val="00F1206A"/>
    <w:rsid w:val="00F1207F"/>
    <w:rsid w:val="00F1216A"/>
    <w:rsid w:val="00F121EB"/>
    <w:rsid w:val="00F1256E"/>
    <w:rsid w:val="00F1260A"/>
    <w:rsid w:val="00F1270F"/>
    <w:rsid w:val="00F1275C"/>
    <w:rsid w:val="00F1283E"/>
    <w:rsid w:val="00F128E2"/>
    <w:rsid w:val="00F12998"/>
    <w:rsid w:val="00F12D0F"/>
    <w:rsid w:val="00F12F50"/>
    <w:rsid w:val="00F12F63"/>
    <w:rsid w:val="00F13030"/>
    <w:rsid w:val="00F1307A"/>
    <w:rsid w:val="00F133B0"/>
    <w:rsid w:val="00F135C9"/>
    <w:rsid w:val="00F1386C"/>
    <w:rsid w:val="00F139A4"/>
    <w:rsid w:val="00F13A5C"/>
    <w:rsid w:val="00F13C71"/>
    <w:rsid w:val="00F13D5F"/>
    <w:rsid w:val="00F13E3F"/>
    <w:rsid w:val="00F13E92"/>
    <w:rsid w:val="00F14020"/>
    <w:rsid w:val="00F1405B"/>
    <w:rsid w:val="00F140AE"/>
    <w:rsid w:val="00F1439E"/>
    <w:rsid w:val="00F144DB"/>
    <w:rsid w:val="00F14648"/>
    <w:rsid w:val="00F14747"/>
    <w:rsid w:val="00F148BB"/>
    <w:rsid w:val="00F1491E"/>
    <w:rsid w:val="00F149BF"/>
    <w:rsid w:val="00F14BD5"/>
    <w:rsid w:val="00F14CF1"/>
    <w:rsid w:val="00F14E3E"/>
    <w:rsid w:val="00F14EAD"/>
    <w:rsid w:val="00F150BB"/>
    <w:rsid w:val="00F15163"/>
    <w:rsid w:val="00F151AA"/>
    <w:rsid w:val="00F15295"/>
    <w:rsid w:val="00F152AC"/>
    <w:rsid w:val="00F15480"/>
    <w:rsid w:val="00F1554E"/>
    <w:rsid w:val="00F1566D"/>
    <w:rsid w:val="00F1586B"/>
    <w:rsid w:val="00F158E8"/>
    <w:rsid w:val="00F15941"/>
    <w:rsid w:val="00F15B4C"/>
    <w:rsid w:val="00F15B4F"/>
    <w:rsid w:val="00F15BAC"/>
    <w:rsid w:val="00F15D9C"/>
    <w:rsid w:val="00F15E55"/>
    <w:rsid w:val="00F160E0"/>
    <w:rsid w:val="00F16439"/>
    <w:rsid w:val="00F16486"/>
    <w:rsid w:val="00F164A9"/>
    <w:rsid w:val="00F16575"/>
    <w:rsid w:val="00F166AD"/>
    <w:rsid w:val="00F167F6"/>
    <w:rsid w:val="00F168FA"/>
    <w:rsid w:val="00F16ABA"/>
    <w:rsid w:val="00F16B89"/>
    <w:rsid w:val="00F16E48"/>
    <w:rsid w:val="00F1716D"/>
    <w:rsid w:val="00F171BD"/>
    <w:rsid w:val="00F17505"/>
    <w:rsid w:val="00F1757D"/>
    <w:rsid w:val="00F177C8"/>
    <w:rsid w:val="00F177F2"/>
    <w:rsid w:val="00F17854"/>
    <w:rsid w:val="00F17862"/>
    <w:rsid w:val="00F1798D"/>
    <w:rsid w:val="00F17A43"/>
    <w:rsid w:val="00F17A7B"/>
    <w:rsid w:val="00F17ABE"/>
    <w:rsid w:val="00F17C3A"/>
    <w:rsid w:val="00F17C5D"/>
    <w:rsid w:val="00F17CD4"/>
    <w:rsid w:val="00F17D68"/>
    <w:rsid w:val="00F17E0D"/>
    <w:rsid w:val="00F17F37"/>
    <w:rsid w:val="00F17F5F"/>
    <w:rsid w:val="00F17F95"/>
    <w:rsid w:val="00F17FCA"/>
    <w:rsid w:val="00F20020"/>
    <w:rsid w:val="00F200CA"/>
    <w:rsid w:val="00F2012A"/>
    <w:rsid w:val="00F20156"/>
    <w:rsid w:val="00F20235"/>
    <w:rsid w:val="00F20253"/>
    <w:rsid w:val="00F202EB"/>
    <w:rsid w:val="00F20301"/>
    <w:rsid w:val="00F20345"/>
    <w:rsid w:val="00F207EB"/>
    <w:rsid w:val="00F2088A"/>
    <w:rsid w:val="00F208DF"/>
    <w:rsid w:val="00F2090D"/>
    <w:rsid w:val="00F20C4C"/>
    <w:rsid w:val="00F20CFE"/>
    <w:rsid w:val="00F211B9"/>
    <w:rsid w:val="00F21257"/>
    <w:rsid w:val="00F21270"/>
    <w:rsid w:val="00F21438"/>
    <w:rsid w:val="00F21452"/>
    <w:rsid w:val="00F214C6"/>
    <w:rsid w:val="00F21929"/>
    <w:rsid w:val="00F21A92"/>
    <w:rsid w:val="00F21AA6"/>
    <w:rsid w:val="00F21AB2"/>
    <w:rsid w:val="00F21ABD"/>
    <w:rsid w:val="00F21D1B"/>
    <w:rsid w:val="00F21FCC"/>
    <w:rsid w:val="00F222DD"/>
    <w:rsid w:val="00F2251B"/>
    <w:rsid w:val="00F226AD"/>
    <w:rsid w:val="00F2271C"/>
    <w:rsid w:val="00F2274D"/>
    <w:rsid w:val="00F2278C"/>
    <w:rsid w:val="00F22A6B"/>
    <w:rsid w:val="00F22C96"/>
    <w:rsid w:val="00F22E31"/>
    <w:rsid w:val="00F22FCF"/>
    <w:rsid w:val="00F23001"/>
    <w:rsid w:val="00F23004"/>
    <w:rsid w:val="00F23122"/>
    <w:rsid w:val="00F23185"/>
    <w:rsid w:val="00F23289"/>
    <w:rsid w:val="00F23293"/>
    <w:rsid w:val="00F23372"/>
    <w:rsid w:val="00F2347B"/>
    <w:rsid w:val="00F23516"/>
    <w:rsid w:val="00F2394A"/>
    <w:rsid w:val="00F23B94"/>
    <w:rsid w:val="00F23C81"/>
    <w:rsid w:val="00F23CDF"/>
    <w:rsid w:val="00F23E10"/>
    <w:rsid w:val="00F23E58"/>
    <w:rsid w:val="00F23ED8"/>
    <w:rsid w:val="00F23F3F"/>
    <w:rsid w:val="00F23F4E"/>
    <w:rsid w:val="00F240D2"/>
    <w:rsid w:val="00F241A2"/>
    <w:rsid w:val="00F24288"/>
    <w:rsid w:val="00F24317"/>
    <w:rsid w:val="00F2433D"/>
    <w:rsid w:val="00F2448C"/>
    <w:rsid w:val="00F2469F"/>
    <w:rsid w:val="00F24742"/>
    <w:rsid w:val="00F247E1"/>
    <w:rsid w:val="00F24817"/>
    <w:rsid w:val="00F24825"/>
    <w:rsid w:val="00F248D3"/>
    <w:rsid w:val="00F2498B"/>
    <w:rsid w:val="00F24A02"/>
    <w:rsid w:val="00F24A1B"/>
    <w:rsid w:val="00F24AA5"/>
    <w:rsid w:val="00F24B25"/>
    <w:rsid w:val="00F24B41"/>
    <w:rsid w:val="00F24BD1"/>
    <w:rsid w:val="00F24BED"/>
    <w:rsid w:val="00F24D00"/>
    <w:rsid w:val="00F24ED8"/>
    <w:rsid w:val="00F24F57"/>
    <w:rsid w:val="00F2513A"/>
    <w:rsid w:val="00F2525A"/>
    <w:rsid w:val="00F252F3"/>
    <w:rsid w:val="00F253F1"/>
    <w:rsid w:val="00F253F5"/>
    <w:rsid w:val="00F2542B"/>
    <w:rsid w:val="00F254EB"/>
    <w:rsid w:val="00F25532"/>
    <w:rsid w:val="00F2558E"/>
    <w:rsid w:val="00F25622"/>
    <w:rsid w:val="00F2575C"/>
    <w:rsid w:val="00F2583C"/>
    <w:rsid w:val="00F25992"/>
    <w:rsid w:val="00F259C6"/>
    <w:rsid w:val="00F25A61"/>
    <w:rsid w:val="00F25B73"/>
    <w:rsid w:val="00F25BBD"/>
    <w:rsid w:val="00F25C35"/>
    <w:rsid w:val="00F25C4C"/>
    <w:rsid w:val="00F25CB4"/>
    <w:rsid w:val="00F25D74"/>
    <w:rsid w:val="00F25E4C"/>
    <w:rsid w:val="00F25E90"/>
    <w:rsid w:val="00F25F34"/>
    <w:rsid w:val="00F25F8F"/>
    <w:rsid w:val="00F26167"/>
    <w:rsid w:val="00F2617F"/>
    <w:rsid w:val="00F262C0"/>
    <w:rsid w:val="00F263DD"/>
    <w:rsid w:val="00F2657C"/>
    <w:rsid w:val="00F26729"/>
    <w:rsid w:val="00F26754"/>
    <w:rsid w:val="00F267FB"/>
    <w:rsid w:val="00F268B8"/>
    <w:rsid w:val="00F26B00"/>
    <w:rsid w:val="00F26D66"/>
    <w:rsid w:val="00F26F62"/>
    <w:rsid w:val="00F2709D"/>
    <w:rsid w:val="00F2723B"/>
    <w:rsid w:val="00F2738B"/>
    <w:rsid w:val="00F27408"/>
    <w:rsid w:val="00F276CC"/>
    <w:rsid w:val="00F27793"/>
    <w:rsid w:val="00F278F6"/>
    <w:rsid w:val="00F27A2C"/>
    <w:rsid w:val="00F27BBD"/>
    <w:rsid w:val="00F27BD1"/>
    <w:rsid w:val="00F27CF1"/>
    <w:rsid w:val="00F27D90"/>
    <w:rsid w:val="00F27E7C"/>
    <w:rsid w:val="00F27F35"/>
    <w:rsid w:val="00F30061"/>
    <w:rsid w:val="00F304D0"/>
    <w:rsid w:val="00F30560"/>
    <w:rsid w:val="00F30790"/>
    <w:rsid w:val="00F307D7"/>
    <w:rsid w:val="00F30950"/>
    <w:rsid w:val="00F30B35"/>
    <w:rsid w:val="00F30C65"/>
    <w:rsid w:val="00F30D30"/>
    <w:rsid w:val="00F30F04"/>
    <w:rsid w:val="00F30F2C"/>
    <w:rsid w:val="00F3100E"/>
    <w:rsid w:val="00F31135"/>
    <w:rsid w:val="00F311A2"/>
    <w:rsid w:val="00F31231"/>
    <w:rsid w:val="00F312C3"/>
    <w:rsid w:val="00F3133A"/>
    <w:rsid w:val="00F313A8"/>
    <w:rsid w:val="00F3163A"/>
    <w:rsid w:val="00F316E5"/>
    <w:rsid w:val="00F3178D"/>
    <w:rsid w:val="00F317C3"/>
    <w:rsid w:val="00F3193B"/>
    <w:rsid w:val="00F319DA"/>
    <w:rsid w:val="00F31A6E"/>
    <w:rsid w:val="00F31AA9"/>
    <w:rsid w:val="00F31AC0"/>
    <w:rsid w:val="00F31B28"/>
    <w:rsid w:val="00F31DE0"/>
    <w:rsid w:val="00F31DEA"/>
    <w:rsid w:val="00F31E54"/>
    <w:rsid w:val="00F31F07"/>
    <w:rsid w:val="00F31F51"/>
    <w:rsid w:val="00F321B3"/>
    <w:rsid w:val="00F32204"/>
    <w:rsid w:val="00F32249"/>
    <w:rsid w:val="00F322ED"/>
    <w:rsid w:val="00F3234E"/>
    <w:rsid w:val="00F32434"/>
    <w:rsid w:val="00F32547"/>
    <w:rsid w:val="00F325CD"/>
    <w:rsid w:val="00F325D6"/>
    <w:rsid w:val="00F32714"/>
    <w:rsid w:val="00F32884"/>
    <w:rsid w:val="00F3289F"/>
    <w:rsid w:val="00F3290C"/>
    <w:rsid w:val="00F32915"/>
    <w:rsid w:val="00F3297B"/>
    <w:rsid w:val="00F32BE7"/>
    <w:rsid w:val="00F32CFB"/>
    <w:rsid w:val="00F32D22"/>
    <w:rsid w:val="00F32EFE"/>
    <w:rsid w:val="00F32F26"/>
    <w:rsid w:val="00F332D5"/>
    <w:rsid w:val="00F33515"/>
    <w:rsid w:val="00F3369D"/>
    <w:rsid w:val="00F33983"/>
    <w:rsid w:val="00F33A5D"/>
    <w:rsid w:val="00F33AB9"/>
    <w:rsid w:val="00F33AFF"/>
    <w:rsid w:val="00F33E58"/>
    <w:rsid w:val="00F33FC1"/>
    <w:rsid w:val="00F342A1"/>
    <w:rsid w:val="00F34398"/>
    <w:rsid w:val="00F34419"/>
    <w:rsid w:val="00F344B7"/>
    <w:rsid w:val="00F3462D"/>
    <w:rsid w:val="00F349D9"/>
    <w:rsid w:val="00F34AB7"/>
    <w:rsid w:val="00F34B90"/>
    <w:rsid w:val="00F34C0D"/>
    <w:rsid w:val="00F34D95"/>
    <w:rsid w:val="00F34D97"/>
    <w:rsid w:val="00F34FF5"/>
    <w:rsid w:val="00F3505E"/>
    <w:rsid w:val="00F35063"/>
    <w:rsid w:val="00F3508A"/>
    <w:rsid w:val="00F351A7"/>
    <w:rsid w:val="00F351E1"/>
    <w:rsid w:val="00F35271"/>
    <w:rsid w:val="00F3536D"/>
    <w:rsid w:val="00F354B9"/>
    <w:rsid w:val="00F3575C"/>
    <w:rsid w:val="00F35854"/>
    <w:rsid w:val="00F35876"/>
    <w:rsid w:val="00F35947"/>
    <w:rsid w:val="00F35B27"/>
    <w:rsid w:val="00F35BD7"/>
    <w:rsid w:val="00F35CAD"/>
    <w:rsid w:val="00F35D5B"/>
    <w:rsid w:val="00F35DBD"/>
    <w:rsid w:val="00F35DD9"/>
    <w:rsid w:val="00F35DDB"/>
    <w:rsid w:val="00F35E81"/>
    <w:rsid w:val="00F35ECD"/>
    <w:rsid w:val="00F3602C"/>
    <w:rsid w:val="00F36043"/>
    <w:rsid w:val="00F3608F"/>
    <w:rsid w:val="00F36185"/>
    <w:rsid w:val="00F3618C"/>
    <w:rsid w:val="00F361E0"/>
    <w:rsid w:val="00F36378"/>
    <w:rsid w:val="00F363D6"/>
    <w:rsid w:val="00F36484"/>
    <w:rsid w:val="00F36515"/>
    <w:rsid w:val="00F3656F"/>
    <w:rsid w:val="00F36662"/>
    <w:rsid w:val="00F36842"/>
    <w:rsid w:val="00F36977"/>
    <w:rsid w:val="00F36AA0"/>
    <w:rsid w:val="00F36C1A"/>
    <w:rsid w:val="00F36C6A"/>
    <w:rsid w:val="00F36D7F"/>
    <w:rsid w:val="00F36FCA"/>
    <w:rsid w:val="00F37009"/>
    <w:rsid w:val="00F37072"/>
    <w:rsid w:val="00F3709F"/>
    <w:rsid w:val="00F37135"/>
    <w:rsid w:val="00F3716C"/>
    <w:rsid w:val="00F37216"/>
    <w:rsid w:val="00F3722B"/>
    <w:rsid w:val="00F37388"/>
    <w:rsid w:val="00F37551"/>
    <w:rsid w:val="00F376F5"/>
    <w:rsid w:val="00F377F8"/>
    <w:rsid w:val="00F37952"/>
    <w:rsid w:val="00F37966"/>
    <w:rsid w:val="00F379CA"/>
    <w:rsid w:val="00F37B2C"/>
    <w:rsid w:val="00F37C43"/>
    <w:rsid w:val="00F37C5C"/>
    <w:rsid w:val="00F37C68"/>
    <w:rsid w:val="00F37C7D"/>
    <w:rsid w:val="00F37D4B"/>
    <w:rsid w:val="00F37D55"/>
    <w:rsid w:val="00F37EC6"/>
    <w:rsid w:val="00F37F19"/>
    <w:rsid w:val="00F4010F"/>
    <w:rsid w:val="00F401FA"/>
    <w:rsid w:val="00F402B4"/>
    <w:rsid w:val="00F4063C"/>
    <w:rsid w:val="00F40646"/>
    <w:rsid w:val="00F40733"/>
    <w:rsid w:val="00F4081F"/>
    <w:rsid w:val="00F40837"/>
    <w:rsid w:val="00F408D7"/>
    <w:rsid w:val="00F40965"/>
    <w:rsid w:val="00F40C1F"/>
    <w:rsid w:val="00F40D24"/>
    <w:rsid w:val="00F40D2B"/>
    <w:rsid w:val="00F40DB2"/>
    <w:rsid w:val="00F40FCD"/>
    <w:rsid w:val="00F41051"/>
    <w:rsid w:val="00F41083"/>
    <w:rsid w:val="00F410E1"/>
    <w:rsid w:val="00F4114D"/>
    <w:rsid w:val="00F4120A"/>
    <w:rsid w:val="00F414AD"/>
    <w:rsid w:val="00F41552"/>
    <w:rsid w:val="00F41562"/>
    <w:rsid w:val="00F41635"/>
    <w:rsid w:val="00F416AA"/>
    <w:rsid w:val="00F416B6"/>
    <w:rsid w:val="00F4171A"/>
    <w:rsid w:val="00F41729"/>
    <w:rsid w:val="00F4177F"/>
    <w:rsid w:val="00F418EA"/>
    <w:rsid w:val="00F419AB"/>
    <w:rsid w:val="00F419FB"/>
    <w:rsid w:val="00F41A4C"/>
    <w:rsid w:val="00F41ADD"/>
    <w:rsid w:val="00F41BE4"/>
    <w:rsid w:val="00F41C93"/>
    <w:rsid w:val="00F41D9C"/>
    <w:rsid w:val="00F41D9E"/>
    <w:rsid w:val="00F41DD4"/>
    <w:rsid w:val="00F41E17"/>
    <w:rsid w:val="00F41EC9"/>
    <w:rsid w:val="00F4205B"/>
    <w:rsid w:val="00F42162"/>
    <w:rsid w:val="00F422ED"/>
    <w:rsid w:val="00F423BA"/>
    <w:rsid w:val="00F424DB"/>
    <w:rsid w:val="00F425CA"/>
    <w:rsid w:val="00F425EE"/>
    <w:rsid w:val="00F42640"/>
    <w:rsid w:val="00F4269B"/>
    <w:rsid w:val="00F42722"/>
    <w:rsid w:val="00F428C3"/>
    <w:rsid w:val="00F429A6"/>
    <w:rsid w:val="00F42B66"/>
    <w:rsid w:val="00F42DB1"/>
    <w:rsid w:val="00F42EF6"/>
    <w:rsid w:val="00F4302F"/>
    <w:rsid w:val="00F4319C"/>
    <w:rsid w:val="00F431A2"/>
    <w:rsid w:val="00F431D5"/>
    <w:rsid w:val="00F4340D"/>
    <w:rsid w:val="00F436BE"/>
    <w:rsid w:val="00F43966"/>
    <w:rsid w:val="00F4399C"/>
    <w:rsid w:val="00F439AB"/>
    <w:rsid w:val="00F43A80"/>
    <w:rsid w:val="00F43A82"/>
    <w:rsid w:val="00F43EB8"/>
    <w:rsid w:val="00F43F56"/>
    <w:rsid w:val="00F44011"/>
    <w:rsid w:val="00F440C4"/>
    <w:rsid w:val="00F44171"/>
    <w:rsid w:val="00F44734"/>
    <w:rsid w:val="00F44805"/>
    <w:rsid w:val="00F44893"/>
    <w:rsid w:val="00F448A7"/>
    <w:rsid w:val="00F448C2"/>
    <w:rsid w:val="00F44A6A"/>
    <w:rsid w:val="00F44B4F"/>
    <w:rsid w:val="00F44B87"/>
    <w:rsid w:val="00F44BF2"/>
    <w:rsid w:val="00F44C5D"/>
    <w:rsid w:val="00F44C91"/>
    <w:rsid w:val="00F44CD3"/>
    <w:rsid w:val="00F44F13"/>
    <w:rsid w:val="00F44F52"/>
    <w:rsid w:val="00F450C5"/>
    <w:rsid w:val="00F451FE"/>
    <w:rsid w:val="00F45227"/>
    <w:rsid w:val="00F452F2"/>
    <w:rsid w:val="00F4547E"/>
    <w:rsid w:val="00F4549E"/>
    <w:rsid w:val="00F45575"/>
    <w:rsid w:val="00F4562A"/>
    <w:rsid w:val="00F45643"/>
    <w:rsid w:val="00F45768"/>
    <w:rsid w:val="00F457AC"/>
    <w:rsid w:val="00F45B6C"/>
    <w:rsid w:val="00F45C01"/>
    <w:rsid w:val="00F45CB1"/>
    <w:rsid w:val="00F45E78"/>
    <w:rsid w:val="00F45E80"/>
    <w:rsid w:val="00F45F6D"/>
    <w:rsid w:val="00F45FDE"/>
    <w:rsid w:val="00F460A4"/>
    <w:rsid w:val="00F461A3"/>
    <w:rsid w:val="00F46267"/>
    <w:rsid w:val="00F46682"/>
    <w:rsid w:val="00F466FF"/>
    <w:rsid w:val="00F467E9"/>
    <w:rsid w:val="00F46844"/>
    <w:rsid w:val="00F468C5"/>
    <w:rsid w:val="00F469EE"/>
    <w:rsid w:val="00F46A1A"/>
    <w:rsid w:val="00F46B34"/>
    <w:rsid w:val="00F46BD4"/>
    <w:rsid w:val="00F46CB5"/>
    <w:rsid w:val="00F46DA3"/>
    <w:rsid w:val="00F46EE0"/>
    <w:rsid w:val="00F46F49"/>
    <w:rsid w:val="00F46FE3"/>
    <w:rsid w:val="00F470FE"/>
    <w:rsid w:val="00F47145"/>
    <w:rsid w:val="00F4717E"/>
    <w:rsid w:val="00F4728E"/>
    <w:rsid w:val="00F472A4"/>
    <w:rsid w:val="00F4756B"/>
    <w:rsid w:val="00F475E7"/>
    <w:rsid w:val="00F47799"/>
    <w:rsid w:val="00F47B80"/>
    <w:rsid w:val="00F47D02"/>
    <w:rsid w:val="00F47D0E"/>
    <w:rsid w:val="00F47E40"/>
    <w:rsid w:val="00F47FCB"/>
    <w:rsid w:val="00F47FDF"/>
    <w:rsid w:val="00F47FF8"/>
    <w:rsid w:val="00F5004B"/>
    <w:rsid w:val="00F50138"/>
    <w:rsid w:val="00F501B2"/>
    <w:rsid w:val="00F502EE"/>
    <w:rsid w:val="00F502F2"/>
    <w:rsid w:val="00F504A2"/>
    <w:rsid w:val="00F504B9"/>
    <w:rsid w:val="00F50576"/>
    <w:rsid w:val="00F50705"/>
    <w:rsid w:val="00F50742"/>
    <w:rsid w:val="00F50A9C"/>
    <w:rsid w:val="00F50AC5"/>
    <w:rsid w:val="00F50BAA"/>
    <w:rsid w:val="00F50C94"/>
    <w:rsid w:val="00F50D2F"/>
    <w:rsid w:val="00F50E4F"/>
    <w:rsid w:val="00F51269"/>
    <w:rsid w:val="00F512AA"/>
    <w:rsid w:val="00F5169A"/>
    <w:rsid w:val="00F518D1"/>
    <w:rsid w:val="00F51A11"/>
    <w:rsid w:val="00F51AA3"/>
    <w:rsid w:val="00F51C7D"/>
    <w:rsid w:val="00F51D28"/>
    <w:rsid w:val="00F51D56"/>
    <w:rsid w:val="00F51D76"/>
    <w:rsid w:val="00F51EDB"/>
    <w:rsid w:val="00F51F63"/>
    <w:rsid w:val="00F52072"/>
    <w:rsid w:val="00F5248D"/>
    <w:rsid w:val="00F525D4"/>
    <w:rsid w:val="00F5262A"/>
    <w:rsid w:val="00F526B0"/>
    <w:rsid w:val="00F52701"/>
    <w:rsid w:val="00F52716"/>
    <w:rsid w:val="00F528A6"/>
    <w:rsid w:val="00F5290A"/>
    <w:rsid w:val="00F52934"/>
    <w:rsid w:val="00F529E7"/>
    <w:rsid w:val="00F52AEF"/>
    <w:rsid w:val="00F52B30"/>
    <w:rsid w:val="00F52C39"/>
    <w:rsid w:val="00F52C90"/>
    <w:rsid w:val="00F52E10"/>
    <w:rsid w:val="00F52ED0"/>
    <w:rsid w:val="00F52F8F"/>
    <w:rsid w:val="00F530C7"/>
    <w:rsid w:val="00F5311E"/>
    <w:rsid w:val="00F53183"/>
    <w:rsid w:val="00F531F3"/>
    <w:rsid w:val="00F5321A"/>
    <w:rsid w:val="00F53372"/>
    <w:rsid w:val="00F533D7"/>
    <w:rsid w:val="00F535AD"/>
    <w:rsid w:val="00F536B3"/>
    <w:rsid w:val="00F538B0"/>
    <w:rsid w:val="00F53AE4"/>
    <w:rsid w:val="00F53BBC"/>
    <w:rsid w:val="00F53D12"/>
    <w:rsid w:val="00F53DB8"/>
    <w:rsid w:val="00F53E15"/>
    <w:rsid w:val="00F53EE1"/>
    <w:rsid w:val="00F53F9E"/>
    <w:rsid w:val="00F5404E"/>
    <w:rsid w:val="00F54063"/>
    <w:rsid w:val="00F5406F"/>
    <w:rsid w:val="00F540A6"/>
    <w:rsid w:val="00F54151"/>
    <w:rsid w:val="00F542B6"/>
    <w:rsid w:val="00F54443"/>
    <w:rsid w:val="00F544F3"/>
    <w:rsid w:val="00F54675"/>
    <w:rsid w:val="00F5476E"/>
    <w:rsid w:val="00F5498A"/>
    <w:rsid w:val="00F549C8"/>
    <w:rsid w:val="00F54A08"/>
    <w:rsid w:val="00F54B58"/>
    <w:rsid w:val="00F54C3A"/>
    <w:rsid w:val="00F54D13"/>
    <w:rsid w:val="00F54D8F"/>
    <w:rsid w:val="00F54E59"/>
    <w:rsid w:val="00F54F2B"/>
    <w:rsid w:val="00F54F94"/>
    <w:rsid w:val="00F5514A"/>
    <w:rsid w:val="00F55183"/>
    <w:rsid w:val="00F551EF"/>
    <w:rsid w:val="00F55304"/>
    <w:rsid w:val="00F55321"/>
    <w:rsid w:val="00F55387"/>
    <w:rsid w:val="00F55425"/>
    <w:rsid w:val="00F555BE"/>
    <w:rsid w:val="00F55688"/>
    <w:rsid w:val="00F5569D"/>
    <w:rsid w:val="00F55734"/>
    <w:rsid w:val="00F5576A"/>
    <w:rsid w:val="00F55860"/>
    <w:rsid w:val="00F55880"/>
    <w:rsid w:val="00F559E8"/>
    <w:rsid w:val="00F559E9"/>
    <w:rsid w:val="00F55BA2"/>
    <w:rsid w:val="00F55C5D"/>
    <w:rsid w:val="00F55CEA"/>
    <w:rsid w:val="00F55D18"/>
    <w:rsid w:val="00F55D60"/>
    <w:rsid w:val="00F55EC6"/>
    <w:rsid w:val="00F55FBE"/>
    <w:rsid w:val="00F56118"/>
    <w:rsid w:val="00F561F7"/>
    <w:rsid w:val="00F563FB"/>
    <w:rsid w:val="00F56584"/>
    <w:rsid w:val="00F5661C"/>
    <w:rsid w:val="00F5672D"/>
    <w:rsid w:val="00F56824"/>
    <w:rsid w:val="00F5688A"/>
    <w:rsid w:val="00F56902"/>
    <w:rsid w:val="00F569EF"/>
    <w:rsid w:val="00F56A2A"/>
    <w:rsid w:val="00F56A2C"/>
    <w:rsid w:val="00F56A60"/>
    <w:rsid w:val="00F56A71"/>
    <w:rsid w:val="00F56AF1"/>
    <w:rsid w:val="00F56C6D"/>
    <w:rsid w:val="00F56DA9"/>
    <w:rsid w:val="00F56DE3"/>
    <w:rsid w:val="00F56EC2"/>
    <w:rsid w:val="00F56F28"/>
    <w:rsid w:val="00F570EA"/>
    <w:rsid w:val="00F57409"/>
    <w:rsid w:val="00F574A1"/>
    <w:rsid w:val="00F574F0"/>
    <w:rsid w:val="00F5782D"/>
    <w:rsid w:val="00F57A1C"/>
    <w:rsid w:val="00F57A7A"/>
    <w:rsid w:val="00F57A90"/>
    <w:rsid w:val="00F57AB9"/>
    <w:rsid w:val="00F57AD8"/>
    <w:rsid w:val="00F57B1D"/>
    <w:rsid w:val="00F57B38"/>
    <w:rsid w:val="00F57B4F"/>
    <w:rsid w:val="00F57B96"/>
    <w:rsid w:val="00F57CF1"/>
    <w:rsid w:val="00F57D4E"/>
    <w:rsid w:val="00F57EAC"/>
    <w:rsid w:val="00F60007"/>
    <w:rsid w:val="00F600BF"/>
    <w:rsid w:val="00F6010B"/>
    <w:rsid w:val="00F601CC"/>
    <w:rsid w:val="00F60227"/>
    <w:rsid w:val="00F6023B"/>
    <w:rsid w:val="00F60268"/>
    <w:rsid w:val="00F602EE"/>
    <w:rsid w:val="00F60467"/>
    <w:rsid w:val="00F6070B"/>
    <w:rsid w:val="00F6085D"/>
    <w:rsid w:val="00F608C1"/>
    <w:rsid w:val="00F608C6"/>
    <w:rsid w:val="00F608D6"/>
    <w:rsid w:val="00F60AB1"/>
    <w:rsid w:val="00F60AD1"/>
    <w:rsid w:val="00F60B4C"/>
    <w:rsid w:val="00F60B62"/>
    <w:rsid w:val="00F60CDA"/>
    <w:rsid w:val="00F60D64"/>
    <w:rsid w:val="00F60DDC"/>
    <w:rsid w:val="00F60E78"/>
    <w:rsid w:val="00F60F5F"/>
    <w:rsid w:val="00F60F8A"/>
    <w:rsid w:val="00F611F1"/>
    <w:rsid w:val="00F61292"/>
    <w:rsid w:val="00F61356"/>
    <w:rsid w:val="00F613BD"/>
    <w:rsid w:val="00F6141C"/>
    <w:rsid w:val="00F61437"/>
    <w:rsid w:val="00F614A5"/>
    <w:rsid w:val="00F61761"/>
    <w:rsid w:val="00F617D1"/>
    <w:rsid w:val="00F61846"/>
    <w:rsid w:val="00F6192D"/>
    <w:rsid w:val="00F61954"/>
    <w:rsid w:val="00F61B62"/>
    <w:rsid w:val="00F61C37"/>
    <w:rsid w:val="00F61CB9"/>
    <w:rsid w:val="00F61CCD"/>
    <w:rsid w:val="00F61CD0"/>
    <w:rsid w:val="00F61D35"/>
    <w:rsid w:val="00F61D9E"/>
    <w:rsid w:val="00F61DC5"/>
    <w:rsid w:val="00F61EEF"/>
    <w:rsid w:val="00F61F0D"/>
    <w:rsid w:val="00F61F13"/>
    <w:rsid w:val="00F62234"/>
    <w:rsid w:val="00F62371"/>
    <w:rsid w:val="00F6245C"/>
    <w:rsid w:val="00F6250D"/>
    <w:rsid w:val="00F62522"/>
    <w:rsid w:val="00F62546"/>
    <w:rsid w:val="00F62729"/>
    <w:rsid w:val="00F62733"/>
    <w:rsid w:val="00F628BE"/>
    <w:rsid w:val="00F6295E"/>
    <w:rsid w:val="00F6296C"/>
    <w:rsid w:val="00F62A33"/>
    <w:rsid w:val="00F62B34"/>
    <w:rsid w:val="00F62B3C"/>
    <w:rsid w:val="00F62C76"/>
    <w:rsid w:val="00F62CCB"/>
    <w:rsid w:val="00F62D5E"/>
    <w:rsid w:val="00F62D8F"/>
    <w:rsid w:val="00F62E71"/>
    <w:rsid w:val="00F62EEF"/>
    <w:rsid w:val="00F62EFB"/>
    <w:rsid w:val="00F62FE7"/>
    <w:rsid w:val="00F63084"/>
    <w:rsid w:val="00F63157"/>
    <w:rsid w:val="00F631DC"/>
    <w:rsid w:val="00F631E0"/>
    <w:rsid w:val="00F631F0"/>
    <w:rsid w:val="00F6322C"/>
    <w:rsid w:val="00F632B8"/>
    <w:rsid w:val="00F633FF"/>
    <w:rsid w:val="00F63549"/>
    <w:rsid w:val="00F6354C"/>
    <w:rsid w:val="00F6363A"/>
    <w:rsid w:val="00F63759"/>
    <w:rsid w:val="00F637EF"/>
    <w:rsid w:val="00F6396E"/>
    <w:rsid w:val="00F63A0E"/>
    <w:rsid w:val="00F63B76"/>
    <w:rsid w:val="00F63C97"/>
    <w:rsid w:val="00F64040"/>
    <w:rsid w:val="00F64042"/>
    <w:rsid w:val="00F64204"/>
    <w:rsid w:val="00F64283"/>
    <w:rsid w:val="00F642EE"/>
    <w:rsid w:val="00F64353"/>
    <w:rsid w:val="00F64402"/>
    <w:rsid w:val="00F645C3"/>
    <w:rsid w:val="00F64730"/>
    <w:rsid w:val="00F64A2C"/>
    <w:rsid w:val="00F64AF4"/>
    <w:rsid w:val="00F64B1A"/>
    <w:rsid w:val="00F64B43"/>
    <w:rsid w:val="00F64C0E"/>
    <w:rsid w:val="00F64C94"/>
    <w:rsid w:val="00F64CA4"/>
    <w:rsid w:val="00F64CA7"/>
    <w:rsid w:val="00F64DC0"/>
    <w:rsid w:val="00F6508F"/>
    <w:rsid w:val="00F650DD"/>
    <w:rsid w:val="00F65162"/>
    <w:rsid w:val="00F652F1"/>
    <w:rsid w:val="00F65628"/>
    <w:rsid w:val="00F65785"/>
    <w:rsid w:val="00F65CA2"/>
    <w:rsid w:val="00F65CC1"/>
    <w:rsid w:val="00F65E07"/>
    <w:rsid w:val="00F65F01"/>
    <w:rsid w:val="00F66038"/>
    <w:rsid w:val="00F660B5"/>
    <w:rsid w:val="00F66168"/>
    <w:rsid w:val="00F661F8"/>
    <w:rsid w:val="00F66232"/>
    <w:rsid w:val="00F66308"/>
    <w:rsid w:val="00F6635F"/>
    <w:rsid w:val="00F66513"/>
    <w:rsid w:val="00F66711"/>
    <w:rsid w:val="00F66AC2"/>
    <w:rsid w:val="00F66B7A"/>
    <w:rsid w:val="00F66CBD"/>
    <w:rsid w:val="00F66DF3"/>
    <w:rsid w:val="00F66EC1"/>
    <w:rsid w:val="00F66F63"/>
    <w:rsid w:val="00F66F75"/>
    <w:rsid w:val="00F671D7"/>
    <w:rsid w:val="00F6738A"/>
    <w:rsid w:val="00F673C5"/>
    <w:rsid w:val="00F6741F"/>
    <w:rsid w:val="00F67432"/>
    <w:rsid w:val="00F676E5"/>
    <w:rsid w:val="00F678F4"/>
    <w:rsid w:val="00F67BB2"/>
    <w:rsid w:val="00F67C10"/>
    <w:rsid w:val="00F67CB3"/>
    <w:rsid w:val="00F67D0A"/>
    <w:rsid w:val="00F67D6E"/>
    <w:rsid w:val="00F67FB3"/>
    <w:rsid w:val="00F67FC1"/>
    <w:rsid w:val="00F67FCF"/>
    <w:rsid w:val="00F70045"/>
    <w:rsid w:val="00F7004D"/>
    <w:rsid w:val="00F702B6"/>
    <w:rsid w:val="00F7042B"/>
    <w:rsid w:val="00F70451"/>
    <w:rsid w:val="00F704F2"/>
    <w:rsid w:val="00F70531"/>
    <w:rsid w:val="00F705C5"/>
    <w:rsid w:val="00F706ED"/>
    <w:rsid w:val="00F70713"/>
    <w:rsid w:val="00F7079E"/>
    <w:rsid w:val="00F7085D"/>
    <w:rsid w:val="00F70899"/>
    <w:rsid w:val="00F70B24"/>
    <w:rsid w:val="00F70BBB"/>
    <w:rsid w:val="00F70C48"/>
    <w:rsid w:val="00F70DDA"/>
    <w:rsid w:val="00F70E41"/>
    <w:rsid w:val="00F70EF4"/>
    <w:rsid w:val="00F70F06"/>
    <w:rsid w:val="00F71085"/>
    <w:rsid w:val="00F712B7"/>
    <w:rsid w:val="00F7130E"/>
    <w:rsid w:val="00F7135E"/>
    <w:rsid w:val="00F714C7"/>
    <w:rsid w:val="00F714CB"/>
    <w:rsid w:val="00F71671"/>
    <w:rsid w:val="00F71748"/>
    <w:rsid w:val="00F71769"/>
    <w:rsid w:val="00F7184B"/>
    <w:rsid w:val="00F71892"/>
    <w:rsid w:val="00F7197C"/>
    <w:rsid w:val="00F719DF"/>
    <w:rsid w:val="00F719E0"/>
    <w:rsid w:val="00F71D29"/>
    <w:rsid w:val="00F71D4B"/>
    <w:rsid w:val="00F71F1C"/>
    <w:rsid w:val="00F71F55"/>
    <w:rsid w:val="00F7203C"/>
    <w:rsid w:val="00F72079"/>
    <w:rsid w:val="00F721D1"/>
    <w:rsid w:val="00F72332"/>
    <w:rsid w:val="00F723DF"/>
    <w:rsid w:val="00F72495"/>
    <w:rsid w:val="00F72A7B"/>
    <w:rsid w:val="00F72B0B"/>
    <w:rsid w:val="00F72B82"/>
    <w:rsid w:val="00F72C0B"/>
    <w:rsid w:val="00F72D75"/>
    <w:rsid w:val="00F72E99"/>
    <w:rsid w:val="00F73074"/>
    <w:rsid w:val="00F73117"/>
    <w:rsid w:val="00F7318D"/>
    <w:rsid w:val="00F73270"/>
    <w:rsid w:val="00F73442"/>
    <w:rsid w:val="00F73479"/>
    <w:rsid w:val="00F734C1"/>
    <w:rsid w:val="00F735CC"/>
    <w:rsid w:val="00F73637"/>
    <w:rsid w:val="00F73778"/>
    <w:rsid w:val="00F73790"/>
    <w:rsid w:val="00F7379B"/>
    <w:rsid w:val="00F73BBF"/>
    <w:rsid w:val="00F73CCE"/>
    <w:rsid w:val="00F74181"/>
    <w:rsid w:val="00F74252"/>
    <w:rsid w:val="00F7434C"/>
    <w:rsid w:val="00F74427"/>
    <w:rsid w:val="00F7456B"/>
    <w:rsid w:val="00F74636"/>
    <w:rsid w:val="00F748EF"/>
    <w:rsid w:val="00F748FC"/>
    <w:rsid w:val="00F749A3"/>
    <w:rsid w:val="00F749F0"/>
    <w:rsid w:val="00F74AE3"/>
    <w:rsid w:val="00F74B18"/>
    <w:rsid w:val="00F74C81"/>
    <w:rsid w:val="00F74CBF"/>
    <w:rsid w:val="00F74D95"/>
    <w:rsid w:val="00F74DF0"/>
    <w:rsid w:val="00F74E41"/>
    <w:rsid w:val="00F74EAE"/>
    <w:rsid w:val="00F75078"/>
    <w:rsid w:val="00F75132"/>
    <w:rsid w:val="00F75229"/>
    <w:rsid w:val="00F7525E"/>
    <w:rsid w:val="00F75481"/>
    <w:rsid w:val="00F75513"/>
    <w:rsid w:val="00F75600"/>
    <w:rsid w:val="00F75717"/>
    <w:rsid w:val="00F75739"/>
    <w:rsid w:val="00F7580D"/>
    <w:rsid w:val="00F75A79"/>
    <w:rsid w:val="00F75D46"/>
    <w:rsid w:val="00F75E4D"/>
    <w:rsid w:val="00F75E73"/>
    <w:rsid w:val="00F75EA7"/>
    <w:rsid w:val="00F75F0F"/>
    <w:rsid w:val="00F76098"/>
    <w:rsid w:val="00F76117"/>
    <w:rsid w:val="00F76179"/>
    <w:rsid w:val="00F7623C"/>
    <w:rsid w:val="00F76378"/>
    <w:rsid w:val="00F76496"/>
    <w:rsid w:val="00F7649E"/>
    <w:rsid w:val="00F764C2"/>
    <w:rsid w:val="00F7652F"/>
    <w:rsid w:val="00F765E7"/>
    <w:rsid w:val="00F76655"/>
    <w:rsid w:val="00F7676D"/>
    <w:rsid w:val="00F767CE"/>
    <w:rsid w:val="00F76C3F"/>
    <w:rsid w:val="00F76C56"/>
    <w:rsid w:val="00F76D3A"/>
    <w:rsid w:val="00F76D3D"/>
    <w:rsid w:val="00F76D6C"/>
    <w:rsid w:val="00F76DD4"/>
    <w:rsid w:val="00F76F0D"/>
    <w:rsid w:val="00F77011"/>
    <w:rsid w:val="00F771E8"/>
    <w:rsid w:val="00F77326"/>
    <w:rsid w:val="00F77376"/>
    <w:rsid w:val="00F773B8"/>
    <w:rsid w:val="00F773DB"/>
    <w:rsid w:val="00F774FD"/>
    <w:rsid w:val="00F77615"/>
    <w:rsid w:val="00F77637"/>
    <w:rsid w:val="00F77673"/>
    <w:rsid w:val="00F7776D"/>
    <w:rsid w:val="00F77794"/>
    <w:rsid w:val="00F777E5"/>
    <w:rsid w:val="00F7790D"/>
    <w:rsid w:val="00F77964"/>
    <w:rsid w:val="00F779F8"/>
    <w:rsid w:val="00F77AD4"/>
    <w:rsid w:val="00F77C46"/>
    <w:rsid w:val="00F77CA3"/>
    <w:rsid w:val="00F77EDF"/>
    <w:rsid w:val="00F8042D"/>
    <w:rsid w:val="00F80508"/>
    <w:rsid w:val="00F8061D"/>
    <w:rsid w:val="00F806EB"/>
    <w:rsid w:val="00F806F0"/>
    <w:rsid w:val="00F80874"/>
    <w:rsid w:val="00F808C6"/>
    <w:rsid w:val="00F80A85"/>
    <w:rsid w:val="00F80C46"/>
    <w:rsid w:val="00F80E19"/>
    <w:rsid w:val="00F80E64"/>
    <w:rsid w:val="00F812E7"/>
    <w:rsid w:val="00F81374"/>
    <w:rsid w:val="00F8143F"/>
    <w:rsid w:val="00F814E9"/>
    <w:rsid w:val="00F814F9"/>
    <w:rsid w:val="00F81592"/>
    <w:rsid w:val="00F8166A"/>
    <w:rsid w:val="00F816A6"/>
    <w:rsid w:val="00F816AC"/>
    <w:rsid w:val="00F81810"/>
    <w:rsid w:val="00F818D3"/>
    <w:rsid w:val="00F81B9A"/>
    <w:rsid w:val="00F81BB9"/>
    <w:rsid w:val="00F81C0D"/>
    <w:rsid w:val="00F81C4E"/>
    <w:rsid w:val="00F81DBC"/>
    <w:rsid w:val="00F81E7B"/>
    <w:rsid w:val="00F81F52"/>
    <w:rsid w:val="00F81F5D"/>
    <w:rsid w:val="00F820B0"/>
    <w:rsid w:val="00F82155"/>
    <w:rsid w:val="00F821D2"/>
    <w:rsid w:val="00F82290"/>
    <w:rsid w:val="00F82364"/>
    <w:rsid w:val="00F82399"/>
    <w:rsid w:val="00F823D9"/>
    <w:rsid w:val="00F8240E"/>
    <w:rsid w:val="00F8248E"/>
    <w:rsid w:val="00F824C3"/>
    <w:rsid w:val="00F825FF"/>
    <w:rsid w:val="00F826B2"/>
    <w:rsid w:val="00F826D9"/>
    <w:rsid w:val="00F8275C"/>
    <w:rsid w:val="00F829AE"/>
    <w:rsid w:val="00F82A73"/>
    <w:rsid w:val="00F82DF3"/>
    <w:rsid w:val="00F82FC1"/>
    <w:rsid w:val="00F82FD8"/>
    <w:rsid w:val="00F83316"/>
    <w:rsid w:val="00F83419"/>
    <w:rsid w:val="00F834A2"/>
    <w:rsid w:val="00F83564"/>
    <w:rsid w:val="00F83591"/>
    <w:rsid w:val="00F835FA"/>
    <w:rsid w:val="00F83696"/>
    <w:rsid w:val="00F836CC"/>
    <w:rsid w:val="00F83778"/>
    <w:rsid w:val="00F8384F"/>
    <w:rsid w:val="00F8392D"/>
    <w:rsid w:val="00F8394C"/>
    <w:rsid w:val="00F839D5"/>
    <w:rsid w:val="00F83A4F"/>
    <w:rsid w:val="00F83BCD"/>
    <w:rsid w:val="00F83FA8"/>
    <w:rsid w:val="00F84024"/>
    <w:rsid w:val="00F84034"/>
    <w:rsid w:val="00F84059"/>
    <w:rsid w:val="00F8412F"/>
    <w:rsid w:val="00F841AA"/>
    <w:rsid w:val="00F84213"/>
    <w:rsid w:val="00F8425A"/>
    <w:rsid w:val="00F842C8"/>
    <w:rsid w:val="00F84795"/>
    <w:rsid w:val="00F847BF"/>
    <w:rsid w:val="00F84998"/>
    <w:rsid w:val="00F84A3E"/>
    <w:rsid w:val="00F84B54"/>
    <w:rsid w:val="00F84CC0"/>
    <w:rsid w:val="00F84DF9"/>
    <w:rsid w:val="00F84E4C"/>
    <w:rsid w:val="00F84EFA"/>
    <w:rsid w:val="00F853B8"/>
    <w:rsid w:val="00F853DD"/>
    <w:rsid w:val="00F854C1"/>
    <w:rsid w:val="00F85730"/>
    <w:rsid w:val="00F857E5"/>
    <w:rsid w:val="00F859CC"/>
    <w:rsid w:val="00F85B34"/>
    <w:rsid w:val="00F85C85"/>
    <w:rsid w:val="00F85FEE"/>
    <w:rsid w:val="00F86101"/>
    <w:rsid w:val="00F8641A"/>
    <w:rsid w:val="00F866AA"/>
    <w:rsid w:val="00F866E5"/>
    <w:rsid w:val="00F86832"/>
    <w:rsid w:val="00F8699E"/>
    <w:rsid w:val="00F86A24"/>
    <w:rsid w:val="00F86E85"/>
    <w:rsid w:val="00F8701F"/>
    <w:rsid w:val="00F87096"/>
    <w:rsid w:val="00F87456"/>
    <w:rsid w:val="00F874BD"/>
    <w:rsid w:val="00F874EA"/>
    <w:rsid w:val="00F875A4"/>
    <w:rsid w:val="00F876B5"/>
    <w:rsid w:val="00F877D2"/>
    <w:rsid w:val="00F878CA"/>
    <w:rsid w:val="00F87970"/>
    <w:rsid w:val="00F87A91"/>
    <w:rsid w:val="00F87AF8"/>
    <w:rsid w:val="00F87B2A"/>
    <w:rsid w:val="00F87BE1"/>
    <w:rsid w:val="00F87E49"/>
    <w:rsid w:val="00F87E61"/>
    <w:rsid w:val="00F87F11"/>
    <w:rsid w:val="00F9019A"/>
    <w:rsid w:val="00F901A8"/>
    <w:rsid w:val="00F901C7"/>
    <w:rsid w:val="00F901F1"/>
    <w:rsid w:val="00F9034F"/>
    <w:rsid w:val="00F90403"/>
    <w:rsid w:val="00F90430"/>
    <w:rsid w:val="00F905CF"/>
    <w:rsid w:val="00F905E5"/>
    <w:rsid w:val="00F90626"/>
    <w:rsid w:val="00F9062B"/>
    <w:rsid w:val="00F90675"/>
    <w:rsid w:val="00F90716"/>
    <w:rsid w:val="00F9083C"/>
    <w:rsid w:val="00F90866"/>
    <w:rsid w:val="00F908FC"/>
    <w:rsid w:val="00F90AE1"/>
    <w:rsid w:val="00F90B5D"/>
    <w:rsid w:val="00F90CBD"/>
    <w:rsid w:val="00F90DF1"/>
    <w:rsid w:val="00F90E9F"/>
    <w:rsid w:val="00F90F2A"/>
    <w:rsid w:val="00F90FBB"/>
    <w:rsid w:val="00F90FF5"/>
    <w:rsid w:val="00F910E7"/>
    <w:rsid w:val="00F912A9"/>
    <w:rsid w:val="00F91301"/>
    <w:rsid w:val="00F9143D"/>
    <w:rsid w:val="00F91474"/>
    <w:rsid w:val="00F91491"/>
    <w:rsid w:val="00F914E2"/>
    <w:rsid w:val="00F91624"/>
    <w:rsid w:val="00F91698"/>
    <w:rsid w:val="00F91732"/>
    <w:rsid w:val="00F917CB"/>
    <w:rsid w:val="00F91893"/>
    <w:rsid w:val="00F918A1"/>
    <w:rsid w:val="00F91905"/>
    <w:rsid w:val="00F91A88"/>
    <w:rsid w:val="00F91AAD"/>
    <w:rsid w:val="00F91BFB"/>
    <w:rsid w:val="00F92216"/>
    <w:rsid w:val="00F9222D"/>
    <w:rsid w:val="00F922DC"/>
    <w:rsid w:val="00F925EC"/>
    <w:rsid w:val="00F9267F"/>
    <w:rsid w:val="00F9269E"/>
    <w:rsid w:val="00F9273B"/>
    <w:rsid w:val="00F92786"/>
    <w:rsid w:val="00F92798"/>
    <w:rsid w:val="00F927AF"/>
    <w:rsid w:val="00F928EA"/>
    <w:rsid w:val="00F92A33"/>
    <w:rsid w:val="00F92BA1"/>
    <w:rsid w:val="00F92C82"/>
    <w:rsid w:val="00F93585"/>
    <w:rsid w:val="00F93663"/>
    <w:rsid w:val="00F9373E"/>
    <w:rsid w:val="00F9381C"/>
    <w:rsid w:val="00F93895"/>
    <w:rsid w:val="00F938DD"/>
    <w:rsid w:val="00F9398E"/>
    <w:rsid w:val="00F939C5"/>
    <w:rsid w:val="00F93A6E"/>
    <w:rsid w:val="00F93B3F"/>
    <w:rsid w:val="00F93B64"/>
    <w:rsid w:val="00F93B86"/>
    <w:rsid w:val="00F93C51"/>
    <w:rsid w:val="00F9405B"/>
    <w:rsid w:val="00F940A1"/>
    <w:rsid w:val="00F94163"/>
    <w:rsid w:val="00F942DD"/>
    <w:rsid w:val="00F94330"/>
    <w:rsid w:val="00F94373"/>
    <w:rsid w:val="00F943DB"/>
    <w:rsid w:val="00F94569"/>
    <w:rsid w:val="00F9459A"/>
    <w:rsid w:val="00F9466B"/>
    <w:rsid w:val="00F94710"/>
    <w:rsid w:val="00F94756"/>
    <w:rsid w:val="00F947AF"/>
    <w:rsid w:val="00F94860"/>
    <w:rsid w:val="00F94914"/>
    <w:rsid w:val="00F94A6A"/>
    <w:rsid w:val="00F94AE9"/>
    <w:rsid w:val="00F94D9C"/>
    <w:rsid w:val="00F94EC2"/>
    <w:rsid w:val="00F94F6E"/>
    <w:rsid w:val="00F950BB"/>
    <w:rsid w:val="00F95159"/>
    <w:rsid w:val="00F95377"/>
    <w:rsid w:val="00F953C6"/>
    <w:rsid w:val="00F953D9"/>
    <w:rsid w:val="00F954DC"/>
    <w:rsid w:val="00F9554C"/>
    <w:rsid w:val="00F956D4"/>
    <w:rsid w:val="00F95799"/>
    <w:rsid w:val="00F957CF"/>
    <w:rsid w:val="00F95879"/>
    <w:rsid w:val="00F959B4"/>
    <w:rsid w:val="00F95ABD"/>
    <w:rsid w:val="00F95AD4"/>
    <w:rsid w:val="00F95C6B"/>
    <w:rsid w:val="00F95C9C"/>
    <w:rsid w:val="00F95D7A"/>
    <w:rsid w:val="00F95D86"/>
    <w:rsid w:val="00F95DFF"/>
    <w:rsid w:val="00F95FEF"/>
    <w:rsid w:val="00F9618A"/>
    <w:rsid w:val="00F961E5"/>
    <w:rsid w:val="00F961F7"/>
    <w:rsid w:val="00F9633C"/>
    <w:rsid w:val="00F963DB"/>
    <w:rsid w:val="00F964C3"/>
    <w:rsid w:val="00F964DA"/>
    <w:rsid w:val="00F96690"/>
    <w:rsid w:val="00F966B4"/>
    <w:rsid w:val="00F967A2"/>
    <w:rsid w:val="00F96B26"/>
    <w:rsid w:val="00F96BDC"/>
    <w:rsid w:val="00F96D64"/>
    <w:rsid w:val="00F96D7D"/>
    <w:rsid w:val="00F96FB7"/>
    <w:rsid w:val="00F97038"/>
    <w:rsid w:val="00F97164"/>
    <w:rsid w:val="00F9717D"/>
    <w:rsid w:val="00F973BB"/>
    <w:rsid w:val="00F97486"/>
    <w:rsid w:val="00F974B9"/>
    <w:rsid w:val="00F974D7"/>
    <w:rsid w:val="00F974DF"/>
    <w:rsid w:val="00F97501"/>
    <w:rsid w:val="00F97679"/>
    <w:rsid w:val="00F976B3"/>
    <w:rsid w:val="00F97805"/>
    <w:rsid w:val="00F9792E"/>
    <w:rsid w:val="00F97A81"/>
    <w:rsid w:val="00F97B07"/>
    <w:rsid w:val="00F97B63"/>
    <w:rsid w:val="00F97BE8"/>
    <w:rsid w:val="00F97C8A"/>
    <w:rsid w:val="00F97E17"/>
    <w:rsid w:val="00F97EC9"/>
    <w:rsid w:val="00F97F5E"/>
    <w:rsid w:val="00FA00C5"/>
    <w:rsid w:val="00FA0137"/>
    <w:rsid w:val="00FA018C"/>
    <w:rsid w:val="00FA0209"/>
    <w:rsid w:val="00FA02A7"/>
    <w:rsid w:val="00FA04A1"/>
    <w:rsid w:val="00FA04B2"/>
    <w:rsid w:val="00FA0610"/>
    <w:rsid w:val="00FA067F"/>
    <w:rsid w:val="00FA06D8"/>
    <w:rsid w:val="00FA0892"/>
    <w:rsid w:val="00FA0A72"/>
    <w:rsid w:val="00FA0AC1"/>
    <w:rsid w:val="00FA0BA6"/>
    <w:rsid w:val="00FA0C86"/>
    <w:rsid w:val="00FA0DA1"/>
    <w:rsid w:val="00FA0F23"/>
    <w:rsid w:val="00FA107A"/>
    <w:rsid w:val="00FA1427"/>
    <w:rsid w:val="00FA14E7"/>
    <w:rsid w:val="00FA16D8"/>
    <w:rsid w:val="00FA1704"/>
    <w:rsid w:val="00FA188F"/>
    <w:rsid w:val="00FA191F"/>
    <w:rsid w:val="00FA19DF"/>
    <w:rsid w:val="00FA1BD6"/>
    <w:rsid w:val="00FA1CCA"/>
    <w:rsid w:val="00FA1F1C"/>
    <w:rsid w:val="00FA20DC"/>
    <w:rsid w:val="00FA229A"/>
    <w:rsid w:val="00FA243C"/>
    <w:rsid w:val="00FA24E4"/>
    <w:rsid w:val="00FA26CE"/>
    <w:rsid w:val="00FA2B84"/>
    <w:rsid w:val="00FA2DFF"/>
    <w:rsid w:val="00FA2FEE"/>
    <w:rsid w:val="00FA33DB"/>
    <w:rsid w:val="00FA3488"/>
    <w:rsid w:val="00FA3642"/>
    <w:rsid w:val="00FA38F3"/>
    <w:rsid w:val="00FA38FE"/>
    <w:rsid w:val="00FA39ED"/>
    <w:rsid w:val="00FA3ED7"/>
    <w:rsid w:val="00FA3FAD"/>
    <w:rsid w:val="00FA43A5"/>
    <w:rsid w:val="00FA4486"/>
    <w:rsid w:val="00FA4551"/>
    <w:rsid w:val="00FA456F"/>
    <w:rsid w:val="00FA47BD"/>
    <w:rsid w:val="00FA4AD7"/>
    <w:rsid w:val="00FA4C3D"/>
    <w:rsid w:val="00FA4C99"/>
    <w:rsid w:val="00FA4CC3"/>
    <w:rsid w:val="00FA4FCE"/>
    <w:rsid w:val="00FA50E6"/>
    <w:rsid w:val="00FA52F9"/>
    <w:rsid w:val="00FA5470"/>
    <w:rsid w:val="00FA5541"/>
    <w:rsid w:val="00FA55C2"/>
    <w:rsid w:val="00FA56D9"/>
    <w:rsid w:val="00FA5701"/>
    <w:rsid w:val="00FA57E0"/>
    <w:rsid w:val="00FA580B"/>
    <w:rsid w:val="00FA5B1B"/>
    <w:rsid w:val="00FA5E35"/>
    <w:rsid w:val="00FA6146"/>
    <w:rsid w:val="00FA6280"/>
    <w:rsid w:val="00FA6317"/>
    <w:rsid w:val="00FA642B"/>
    <w:rsid w:val="00FA6512"/>
    <w:rsid w:val="00FA6724"/>
    <w:rsid w:val="00FA6814"/>
    <w:rsid w:val="00FA6822"/>
    <w:rsid w:val="00FA688D"/>
    <w:rsid w:val="00FA6A20"/>
    <w:rsid w:val="00FA6A4D"/>
    <w:rsid w:val="00FA6C08"/>
    <w:rsid w:val="00FA6D06"/>
    <w:rsid w:val="00FA6E3A"/>
    <w:rsid w:val="00FA6EE2"/>
    <w:rsid w:val="00FA6F1B"/>
    <w:rsid w:val="00FA6F37"/>
    <w:rsid w:val="00FA72A1"/>
    <w:rsid w:val="00FA72B9"/>
    <w:rsid w:val="00FA737A"/>
    <w:rsid w:val="00FA7431"/>
    <w:rsid w:val="00FA7449"/>
    <w:rsid w:val="00FA7511"/>
    <w:rsid w:val="00FA758D"/>
    <w:rsid w:val="00FA76A7"/>
    <w:rsid w:val="00FA77B6"/>
    <w:rsid w:val="00FA77D4"/>
    <w:rsid w:val="00FA7B35"/>
    <w:rsid w:val="00FA7C36"/>
    <w:rsid w:val="00FA7DA9"/>
    <w:rsid w:val="00FA7DBC"/>
    <w:rsid w:val="00FA7E3C"/>
    <w:rsid w:val="00FA7F30"/>
    <w:rsid w:val="00FB004B"/>
    <w:rsid w:val="00FB0080"/>
    <w:rsid w:val="00FB0189"/>
    <w:rsid w:val="00FB0194"/>
    <w:rsid w:val="00FB0311"/>
    <w:rsid w:val="00FB035B"/>
    <w:rsid w:val="00FB0430"/>
    <w:rsid w:val="00FB04AC"/>
    <w:rsid w:val="00FB04CA"/>
    <w:rsid w:val="00FB063F"/>
    <w:rsid w:val="00FB079B"/>
    <w:rsid w:val="00FB0A72"/>
    <w:rsid w:val="00FB0B49"/>
    <w:rsid w:val="00FB0B95"/>
    <w:rsid w:val="00FB0C02"/>
    <w:rsid w:val="00FB0C47"/>
    <w:rsid w:val="00FB101D"/>
    <w:rsid w:val="00FB10C0"/>
    <w:rsid w:val="00FB11E5"/>
    <w:rsid w:val="00FB1360"/>
    <w:rsid w:val="00FB1413"/>
    <w:rsid w:val="00FB146D"/>
    <w:rsid w:val="00FB14E0"/>
    <w:rsid w:val="00FB161B"/>
    <w:rsid w:val="00FB1689"/>
    <w:rsid w:val="00FB16A5"/>
    <w:rsid w:val="00FB1A2C"/>
    <w:rsid w:val="00FB1ABA"/>
    <w:rsid w:val="00FB1E4E"/>
    <w:rsid w:val="00FB1E5B"/>
    <w:rsid w:val="00FB1E8C"/>
    <w:rsid w:val="00FB208C"/>
    <w:rsid w:val="00FB2190"/>
    <w:rsid w:val="00FB2284"/>
    <w:rsid w:val="00FB22D7"/>
    <w:rsid w:val="00FB26C2"/>
    <w:rsid w:val="00FB27AF"/>
    <w:rsid w:val="00FB280A"/>
    <w:rsid w:val="00FB2893"/>
    <w:rsid w:val="00FB29ED"/>
    <w:rsid w:val="00FB2B34"/>
    <w:rsid w:val="00FB2BA7"/>
    <w:rsid w:val="00FB2E36"/>
    <w:rsid w:val="00FB2F02"/>
    <w:rsid w:val="00FB30F9"/>
    <w:rsid w:val="00FB3288"/>
    <w:rsid w:val="00FB328C"/>
    <w:rsid w:val="00FB32BE"/>
    <w:rsid w:val="00FB34CA"/>
    <w:rsid w:val="00FB37D8"/>
    <w:rsid w:val="00FB382A"/>
    <w:rsid w:val="00FB38B7"/>
    <w:rsid w:val="00FB38D1"/>
    <w:rsid w:val="00FB38E4"/>
    <w:rsid w:val="00FB3925"/>
    <w:rsid w:val="00FB399A"/>
    <w:rsid w:val="00FB39D1"/>
    <w:rsid w:val="00FB3BC2"/>
    <w:rsid w:val="00FB3C51"/>
    <w:rsid w:val="00FB3C73"/>
    <w:rsid w:val="00FB3C7A"/>
    <w:rsid w:val="00FB3E4C"/>
    <w:rsid w:val="00FB3FA2"/>
    <w:rsid w:val="00FB4123"/>
    <w:rsid w:val="00FB416C"/>
    <w:rsid w:val="00FB417A"/>
    <w:rsid w:val="00FB42E3"/>
    <w:rsid w:val="00FB43F7"/>
    <w:rsid w:val="00FB442D"/>
    <w:rsid w:val="00FB44B2"/>
    <w:rsid w:val="00FB44B7"/>
    <w:rsid w:val="00FB44C0"/>
    <w:rsid w:val="00FB44EA"/>
    <w:rsid w:val="00FB474B"/>
    <w:rsid w:val="00FB4758"/>
    <w:rsid w:val="00FB47FC"/>
    <w:rsid w:val="00FB4AB8"/>
    <w:rsid w:val="00FB4BAE"/>
    <w:rsid w:val="00FB4BB2"/>
    <w:rsid w:val="00FB4CF9"/>
    <w:rsid w:val="00FB4D9A"/>
    <w:rsid w:val="00FB5319"/>
    <w:rsid w:val="00FB5415"/>
    <w:rsid w:val="00FB56B9"/>
    <w:rsid w:val="00FB58E7"/>
    <w:rsid w:val="00FB5987"/>
    <w:rsid w:val="00FB5B36"/>
    <w:rsid w:val="00FB5B73"/>
    <w:rsid w:val="00FB5F65"/>
    <w:rsid w:val="00FB5FAF"/>
    <w:rsid w:val="00FB6013"/>
    <w:rsid w:val="00FB619F"/>
    <w:rsid w:val="00FB62AB"/>
    <w:rsid w:val="00FB64D6"/>
    <w:rsid w:val="00FB64F6"/>
    <w:rsid w:val="00FB6572"/>
    <w:rsid w:val="00FB6627"/>
    <w:rsid w:val="00FB66E8"/>
    <w:rsid w:val="00FB69D6"/>
    <w:rsid w:val="00FB6A2E"/>
    <w:rsid w:val="00FB6AF6"/>
    <w:rsid w:val="00FB6B08"/>
    <w:rsid w:val="00FB6CF1"/>
    <w:rsid w:val="00FB6D11"/>
    <w:rsid w:val="00FB6D7D"/>
    <w:rsid w:val="00FB6DBF"/>
    <w:rsid w:val="00FB6E18"/>
    <w:rsid w:val="00FB6EB7"/>
    <w:rsid w:val="00FB70CE"/>
    <w:rsid w:val="00FB7422"/>
    <w:rsid w:val="00FB76D0"/>
    <w:rsid w:val="00FB79B1"/>
    <w:rsid w:val="00FB79C8"/>
    <w:rsid w:val="00FB7AA1"/>
    <w:rsid w:val="00FB7B60"/>
    <w:rsid w:val="00FB7C50"/>
    <w:rsid w:val="00FB7D0C"/>
    <w:rsid w:val="00FB7DE9"/>
    <w:rsid w:val="00FB7F3A"/>
    <w:rsid w:val="00FC02D8"/>
    <w:rsid w:val="00FC0340"/>
    <w:rsid w:val="00FC0417"/>
    <w:rsid w:val="00FC0560"/>
    <w:rsid w:val="00FC05C1"/>
    <w:rsid w:val="00FC0723"/>
    <w:rsid w:val="00FC0808"/>
    <w:rsid w:val="00FC0B5E"/>
    <w:rsid w:val="00FC0C5D"/>
    <w:rsid w:val="00FC0CA0"/>
    <w:rsid w:val="00FC0DA7"/>
    <w:rsid w:val="00FC0DC8"/>
    <w:rsid w:val="00FC0E9E"/>
    <w:rsid w:val="00FC1067"/>
    <w:rsid w:val="00FC10F8"/>
    <w:rsid w:val="00FC110A"/>
    <w:rsid w:val="00FC1213"/>
    <w:rsid w:val="00FC1219"/>
    <w:rsid w:val="00FC1419"/>
    <w:rsid w:val="00FC143C"/>
    <w:rsid w:val="00FC1526"/>
    <w:rsid w:val="00FC1C85"/>
    <w:rsid w:val="00FC1CC4"/>
    <w:rsid w:val="00FC1E78"/>
    <w:rsid w:val="00FC1F41"/>
    <w:rsid w:val="00FC2008"/>
    <w:rsid w:val="00FC2111"/>
    <w:rsid w:val="00FC211B"/>
    <w:rsid w:val="00FC21DC"/>
    <w:rsid w:val="00FC21F2"/>
    <w:rsid w:val="00FC26E8"/>
    <w:rsid w:val="00FC2917"/>
    <w:rsid w:val="00FC2945"/>
    <w:rsid w:val="00FC2A08"/>
    <w:rsid w:val="00FC2B68"/>
    <w:rsid w:val="00FC2BE9"/>
    <w:rsid w:val="00FC2BFF"/>
    <w:rsid w:val="00FC2E3E"/>
    <w:rsid w:val="00FC2FCE"/>
    <w:rsid w:val="00FC328C"/>
    <w:rsid w:val="00FC33B5"/>
    <w:rsid w:val="00FC3419"/>
    <w:rsid w:val="00FC344C"/>
    <w:rsid w:val="00FC345E"/>
    <w:rsid w:val="00FC3640"/>
    <w:rsid w:val="00FC36F6"/>
    <w:rsid w:val="00FC3767"/>
    <w:rsid w:val="00FC37C3"/>
    <w:rsid w:val="00FC38BE"/>
    <w:rsid w:val="00FC3B35"/>
    <w:rsid w:val="00FC3B5C"/>
    <w:rsid w:val="00FC3B62"/>
    <w:rsid w:val="00FC3C5D"/>
    <w:rsid w:val="00FC3CB2"/>
    <w:rsid w:val="00FC3DE2"/>
    <w:rsid w:val="00FC3FB4"/>
    <w:rsid w:val="00FC40E4"/>
    <w:rsid w:val="00FC41D3"/>
    <w:rsid w:val="00FC42BD"/>
    <w:rsid w:val="00FC43D1"/>
    <w:rsid w:val="00FC43D4"/>
    <w:rsid w:val="00FC442B"/>
    <w:rsid w:val="00FC4448"/>
    <w:rsid w:val="00FC456F"/>
    <w:rsid w:val="00FC46A7"/>
    <w:rsid w:val="00FC481E"/>
    <w:rsid w:val="00FC4943"/>
    <w:rsid w:val="00FC49FC"/>
    <w:rsid w:val="00FC4A26"/>
    <w:rsid w:val="00FC4A69"/>
    <w:rsid w:val="00FC4B76"/>
    <w:rsid w:val="00FC4C93"/>
    <w:rsid w:val="00FC4CD0"/>
    <w:rsid w:val="00FC4DB1"/>
    <w:rsid w:val="00FC4E63"/>
    <w:rsid w:val="00FC4F8F"/>
    <w:rsid w:val="00FC4FC2"/>
    <w:rsid w:val="00FC5111"/>
    <w:rsid w:val="00FC5132"/>
    <w:rsid w:val="00FC517F"/>
    <w:rsid w:val="00FC51A5"/>
    <w:rsid w:val="00FC51E0"/>
    <w:rsid w:val="00FC5294"/>
    <w:rsid w:val="00FC54FC"/>
    <w:rsid w:val="00FC5731"/>
    <w:rsid w:val="00FC576D"/>
    <w:rsid w:val="00FC5849"/>
    <w:rsid w:val="00FC58D7"/>
    <w:rsid w:val="00FC59A7"/>
    <w:rsid w:val="00FC5A4A"/>
    <w:rsid w:val="00FC5BB8"/>
    <w:rsid w:val="00FC5D7F"/>
    <w:rsid w:val="00FC5DA4"/>
    <w:rsid w:val="00FC5DCB"/>
    <w:rsid w:val="00FC6045"/>
    <w:rsid w:val="00FC613B"/>
    <w:rsid w:val="00FC6405"/>
    <w:rsid w:val="00FC640C"/>
    <w:rsid w:val="00FC6718"/>
    <w:rsid w:val="00FC67A7"/>
    <w:rsid w:val="00FC686E"/>
    <w:rsid w:val="00FC6BBD"/>
    <w:rsid w:val="00FC6C92"/>
    <w:rsid w:val="00FC6D4B"/>
    <w:rsid w:val="00FC6DAF"/>
    <w:rsid w:val="00FC6DCB"/>
    <w:rsid w:val="00FC7053"/>
    <w:rsid w:val="00FC7122"/>
    <w:rsid w:val="00FC7128"/>
    <w:rsid w:val="00FC7191"/>
    <w:rsid w:val="00FC724C"/>
    <w:rsid w:val="00FC726C"/>
    <w:rsid w:val="00FC72BC"/>
    <w:rsid w:val="00FC74E9"/>
    <w:rsid w:val="00FC7661"/>
    <w:rsid w:val="00FC7681"/>
    <w:rsid w:val="00FC77E6"/>
    <w:rsid w:val="00FC77FB"/>
    <w:rsid w:val="00FC7856"/>
    <w:rsid w:val="00FC7883"/>
    <w:rsid w:val="00FC796A"/>
    <w:rsid w:val="00FC7980"/>
    <w:rsid w:val="00FC79EC"/>
    <w:rsid w:val="00FC7A77"/>
    <w:rsid w:val="00FC7A97"/>
    <w:rsid w:val="00FC7AA6"/>
    <w:rsid w:val="00FC7AEB"/>
    <w:rsid w:val="00FC7B54"/>
    <w:rsid w:val="00FC7C0B"/>
    <w:rsid w:val="00FC7C0E"/>
    <w:rsid w:val="00FC7E54"/>
    <w:rsid w:val="00FC7E65"/>
    <w:rsid w:val="00FC7F2E"/>
    <w:rsid w:val="00FC7FC8"/>
    <w:rsid w:val="00FD01AD"/>
    <w:rsid w:val="00FD037B"/>
    <w:rsid w:val="00FD05DF"/>
    <w:rsid w:val="00FD060B"/>
    <w:rsid w:val="00FD068F"/>
    <w:rsid w:val="00FD07B1"/>
    <w:rsid w:val="00FD0A60"/>
    <w:rsid w:val="00FD0AA5"/>
    <w:rsid w:val="00FD0AD9"/>
    <w:rsid w:val="00FD0C38"/>
    <w:rsid w:val="00FD0D05"/>
    <w:rsid w:val="00FD0D11"/>
    <w:rsid w:val="00FD0E6A"/>
    <w:rsid w:val="00FD1037"/>
    <w:rsid w:val="00FD1057"/>
    <w:rsid w:val="00FD10B8"/>
    <w:rsid w:val="00FD12EA"/>
    <w:rsid w:val="00FD1377"/>
    <w:rsid w:val="00FD13C6"/>
    <w:rsid w:val="00FD1476"/>
    <w:rsid w:val="00FD14C8"/>
    <w:rsid w:val="00FD1505"/>
    <w:rsid w:val="00FD15BC"/>
    <w:rsid w:val="00FD171A"/>
    <w:rsid w:val="00FD181B"/>
    <w:rsid w:val="00FD1867"/>
    <w:rsid w:val="00FD1A9F"/>
    <w:rsid w:val="00FD1D41"/>
    <w:rsid w:val="00FD1DFB"/>
    <w:rsid w:val="00FD221B"/>
    <w:rsid w:val="00FD22FE"/>
    <w:rsid w:val="00FD2313"/>
    <w:rsid w:val="00FD237C"/>
    <w:rsid w:val="00FD24E1"/>
    <w:rsid w:val="00FD2802"/>
    <w:rsid w:val="00FD280A"/>
    <w:rsid w:val="00FD2863"/>
    <w:rsid w:val="00FD2A02"/>
    <w:rsid w:val="00FD2AB6"/>
    <w:rsid w:val="00FD2C23"/>
    <w:rsid w:val="00FD2CB8"/>
    <w:rsid w:val="00FD2CF1"/>
    <w:rsid w:val="00FD2E0E"/>
    <w:rsid w:val="00FD2F07"/>
    <w:rsid w:val="00FD311F"/>
    <w:rsid w:val="00FD31FC"/>
    <w:rsid w:val="00FD31FD"/>
    <w:rsid w:val="00FD32FF"/>
    <w:rsid w:val="00FD3534"/>
    <w:rsid w:val="00FD35CF"/>
    <w:rsid w:val="00FD379B"/>
    <w:rsid w:val="00FD37EC"/>
    <w:rsid w:val="00FD3992"/>
    <w:rsid w:val="00FD3AEA"/>
    <w:rsid w:val="00FD3B31"/>
    <w:rsid w:val="00FD3BDA"/>
    <w:rsid w:val="00FD3CE9"/>
    <w:rsid w:val="00FD3DBF"/>
    <w:rsid w:val="00FD3E75"/>
    <w:rsid w:val="00FD3ECC"/>
    <w:rsid w:val="00FD3EF0"/>
    <w:rsid w:val="00FD3F63"/>
    <w:rsid w:val="00FD4171"/>
    <w:rsid w:val="00FD419F"/>
    <w:rsid w:val="00FD41E7"/>
    <w:rsid w:val="00FD46DB"/>
    <w:rsid w:val="00FD4841"/>
    <w:rsid w:val="00FD48DA"/>
    <w:rsid w:val="00FD491E"/>
    <w:rsid w:val="00FD4982"/>
    <w:rsid w:val="00FD4BCD"/>
    <w:rsid w:val="00FD4BF9"/>
    <w:rsid w:val="00FD4CB1"/>
    <w:rsid w:val="00FD4CEB"/>
    <w:rsid w:val="00FD4D12"/>
    <w:rsid w:val="00FD4E6C"/>
    <w:rsid w:val="00FD512C"/>
    <w:rsid w:val="00FD527C"/>
    <w:rsid w:val="00FD52F4"/>
    <w:rsid w:val="00FD5317"/>
    <w:rsid w:val="00FD54BE"/>
    <w:rsid w:val="00FD56DC"/>
    <w:rsid w:val="00FD59F5"/>
    <w:rsid w:val="00FD5BBB"/>
    <w:rsid w:val="00FD5C0B"/>
    <w:rsid w:val="00FD5C46"/>
    <w:rsid w:val="00FD5CDF"/>
    <w:rsid w:val="00FD5EF5"/>
    <w:rsid w:val="00FD607D"/>
    <w:rsid w:val="00FD610E"/>
    <w:rsid w:val="00FD615C"/>
    <w:rsid w:val="00FD618B"/>
    <w:rsid w:val="00FD61D1"/>
    <w:rsid w:val="00FD64D5"/>
    <w:rsid w:val="00FD6726"/>
    <w:rsid w:val="00FD6736"/>
    <w:rsid w:val="00FD69C4"/>
    <w:rsid w:val="00FD6AC7"/>
    <w:rsid w:val="00FD6B38"/>
    <w:rsid w:val="00FD6B8B"/>
    <w:rsid w:val="00FD6CA9"/>
    <w:rsid w:val="00FD6DCA"/>
    <w:rsid w:val="00FD6E8C"/>
    <w:rsid w:val="00FD7024"/>
    <w:rsid w:val="00FD703A"/>
    <w:rsid w:val="00FD7232"/>
    <w:rsid w:val="00FD7290"/>
    <w:rsid w:val="00FD72BF"/>
    <w:rsid w:val="00FD7A50"/>
    <w:rsid w:val="00FD7B0F"/>
    <w:rsid w:val="00FD7B26"/>
    <w:rsid w:val="00FD7B94"/>
    <w:rsid w:val="00FD7BCC"/>
    <w:rsid w:val="00FD7BD1"/>
    <w:rsid w:val="00FD7BD2"/>
    <w:rsid w:val="00FD7C24"/>
    <w:rsid w:val="00FD7C5E"/>
    <w:rsid w:val="00FD7DB2"/>
    <w:rsid w:val="00FD7DB4"/>
    <w:rsid w:val="00FD7DD5"/>
    <w:rsid w:val="00FD7E6D"/>
    <w:rsid w:val="00FD7F23"/>
    <w:rsid w:val="00FD7F32"/>
    <w:rsid w:val="00FE0144"/>
    <w:rsid w:val="00FE041C"/>
    <w:rsid w:val="00FE0509"/>
    <w:rsid w:val="00FE05A0"/>
    <w:rsid w:val="00FE0826"/>
    <w:rsid w:val="00FE08D4"/>
    <w:rsid w:val="00FE0905"/>
    <w:rsid w:val="00FE0BC1"/>
    <w:rsid w:val="00FE0C7F"/>
    <w:rsid w:val="00FE0CC5"/>
    <w:rsid w:val="00FE0F37"/>
    <w:rsid w:val="00FE1004"/>
    <w:rsid w:val="00FE1170"/>
    <w:rsid w:val="00FE11E4"/>
    <w:rsid w:val="00FE125A"/>
    <w:rsid w:val="00FE130B"/>
    <w:rsid w:val="00FE136A"/>
    <w:rsid w:val="00FE1373"/>
    <w:rsid w:val="00FE137E"/>
    <w:rsid w:val="00FE13DB"/>
    <w:rsid w:val="00FE1471"/>
    <w:rsid w:val="00FE14A2"/>
    <w:rsid w:val="00FE1595"/>
    <w:rsid w:val="00FE15AC"/>
    <w:rsid w:val="00FE1845"/>
    <w:rsid w:val="00FE18D9"/>
    <w:rsid w:val="00FE1B11"/>
    <w:rsid w:val="00FE1BAD"/>
    <w:rsid w:val="00FE1CDB"/>
    <w:rsid w:val="00FE1D7C"/>
    <w:rsid w:val="00FE2174"/>
    <w:rsid w:val="00FE217A"/>
    <w:rsid w:val="00FE2290"/>
    <w:rsid w:val="00FE2292"/>
    <w:rsid w:val="00FE247D"/>
    <w:rsid w:val="00FE24D1"/>
    <w:rsid w:val="00FE2513"/>
    <w:rsid w:val="00FE25B2"/>
    <w:rsid w:val="00FE25E3"/>
    <w:rsid w:val="00FE2626"/>
    <w:rsid w:val="00FE2D97"/>
    <w:rsid w:val="00FE2DF1"/>
    <w:rsid w:val="00FE2E20"/>
    <w:rsid w:val="00FE2E87"/>
    <w:rsid w:val="00FE2EA4"/>
    <w:rsid w:val="00FE3348"/>
    <w:rsid w:val="00FE336C"/>
    <w:rsid w:val="00FE33AC"/>
    <w:rsid w:val="00FE3428"/>
    <w:rsid w:val="00FE35FA"/>
    <w:rsid w:val="00FE368B"/>
    <w:rsid w:val="00FE3892"/>
    <w:rsid w:val="00FE3925"/>
    <w:rsid w:val="00FE3A31"/>
    <w:rsid w:val="00FE3ACF"/>
    <w:rsid w:val="00FE3D72"/>
    <w:rsid w:val="00FE3F4D"/>
    <w:rsid w:val="00FE421F"/>
    <w:rsid w:val="00FE4292"/>
    <w:rsid w:val="00FE4474"/>
    <w:rsid w:val="00FE48BF"/>
    <w:rsid w:val="00FE49AA"/>
    <w:rsid w:val="00FE4AA4"/>
    <w:rsid w:val="00FE4BF7"/>
    <w:rsid w:val="00FE4C4B"/>
    <w:rsid w:val="00FE4CB2"/>
    <w:rsid w:val="00FE4DB4"/>
    <w:rsid w:val="00FE4ECD"/>
    <w:rsid w:val="00FE4EEE"/>
    <w:rsid w:val="00FE4F55"/>
    <w:rsid w:val="00FE4F68"/>
    <w:rsid w:val="00FE5051"/>
    <w:rsid w:val="00FE53FF"/>
    <w:rsid w:val="00FE548B"/>
    <w:rsid w:val="00FE5A0E"/>
    <w:rsid w:val="00FE5A56"/>
    <w:rsid w:val="00FE5A79"/>
    <w:rsid w:val="00FE5BDF"/>
    <w:rsid w:val="00FE5C1B"/>
    <w:rsid w:val="00FE5EC8"/>
    <w:rsid w:val="00FE5F26"/>
    <w:rsid w:val="00FE5FD5"/>
    <w:rsid w:val="00FE617A"/>
    <w:rsid w:val="00FE61C2"/>
    <w:rsid w:val="00FE62BD"/>
    <w:rsid w:val="00FE63BF"/>
    <w:rsid w:val="00FE643C"/>
    <w:rsid w:val="00FE66F4"/>
    <w:rsid w:val="00FE67D2"/>
    <w:rsid w:val="00FE67F1"/>
    <w:rsid w:val="00FE6817"/>
    <w:rsid w:val="00FE694E"/>
    <w:rsid w:val="00FE6A15"/>
    <w:rsid w:val="00FE6A1D"/>
    <w:rsid w:val="00FE6B0D"/>
    <w:rsid w:val="00FE6B21"/>
    <w:rsid w:val="00FE6CD0"/>
    <w:rsid w:val="00FE6F99"/>
    <w:rsid w:val="00FE6FE0"/>
    <w:rsid w:val="00FE708A"/>
    <w:rsid w:val="00FE70D1"/>
    <w:rsid w:val="00FE7286"/>
    <w:rsid w:val="00FE72F5"/>
    <w:rsid w:val="00FE739A"/>
    <w:rsid w:val="00FE7407"/>
    <w:rsid w:val="00FE7421"/>
    <w:rsid w:val="00FE745F"/>
    <w:rsid w:val="00FE75C0"/>
    <w:rsid w:val="00FE7A06"/>
    <w:rsid w:val="00FE7A2E"/>
    <w:rsid w:val="00FE7EAF"/>
    <w:rsid w:val="00FE7FF5"/>
    <w:rsid w:val="00FF00E4"/>
    <w:rsid w:val="00FF0122"/>
    <w:rsid w:val="00FF019D"/>
    <w:rsid w:val="00FF04B6"/>
    <w:rsid w:val="00FF04EF"/>
    <w:rsid w:val="00FF05E3"/>
    <w:rsid w:val="00FF06C5"/>
    <w:rsid w:val="00FF0884"/>
    <w:rsid w:val="00FF08DA"/>
    <w:rsid w:val="00FF093C"/>
    <w:rsid w:val="00FF09A8"/>
    <w:rsid w:val="00FF0B55"/>
    <w:rsid w:val="00FF0DC1"/>
    <w:rsid w:val="00FF0E0C"/>
    <w:rsid w:val="00FF0E88"/>
    <w:rsid w:val="00FF1001"/>
    <w:rsid w:val="00FF11EF"/>
    <w:rsid w:val="00FF14F9"/>
    <w:rsid w:val="00FF1569"/>
    <w:rsid w:val="00FF16DF"/>
    <w:rsid w:val="00FF181B"/>
    <w:rsid w:val="00FF18B8"/>
    <w:rsid w:val="00FF1936"/>
    <w:rsid w:val="00FF1939"/>
    <w:rsid w:val="00FF19C4"/>
    <w:rsid w:val="00FF1AF3"/>
    <w:rsid w:val="00FF1B76"/>
    <w:rsid w:val="00FF1BBC"/>
    <w:rsid w:val="00FF1C2B"/>
    <w:rsid w:val="00FF1C79"/>
    <w:rsid w:val="00FF1EDD"/>
    <w:rsid w:val="00FF1F3A"/>
    <w:rsid w:val="00FF210A"/>
    <w:rsid w:val="00FF2372"/>
    <w:rsid w:val="00FF2464"/>
    <w:rsid w:val="00FF24FC"/>
    <w:rsid w:val="00FF251F"/>
    <w:rsid w:val="00FF2634"/>
    <w:rsid w:val="00FF29B0"/>
    <w:rsid w:val="00FF2A1C"/>
    <w:rsid w:val="00FF2AA1"/>
    <w:rsid w:val="00FF2B64"/>
    <w:rsid w:val="00FF2D97"/>
    <w:rsid w:val="00FF2F08"/>
    <w:rsid w:val="00FF2F11"/>
    <w:rsid w:val="00FF2F24"/>
    <w:rsid w:val="00FF304A"/>
    <w:rsid w:val="00FF305C"/>
    <w:rsid w:val="00FF306A"/>
    <w:rsid w:val="00FF3125"/>
    <w:rsid w:val="00FF3479"/>
    <w:rsid w:val="00FF3492"/>
    <w:rsid w:val="00FF34DD"/>
    <w:rsid w:val="00FF3688"/>
    <w:rsid w:val="00FF3747"/>
    <w:rsid w:val="00FF3798"/>
    <w:rsid w:val="00FF37C4"/>
    <w:rsid w:val="00FF37E6"/>
    <w:rsid w:val="00FF38FD"/>
    <w:rsid w:val="00FF399F"/>
    <w:rsid w:val="00FF39FF"/>
    <w:rsid w:val="00FF3DAB"/>
    <w:rsid w:val="00FF3EA2"/>
    <w:rsid w:val="00FF3EE7"/>
    <w:rsid w:val="00FF3EF4"/>
    <w:rsid w:val="00FF3F50"/>
    <w:rsid w:val="00FF3F70"/>
    <w:rsid w:val="00FF3F82"/>
    <w:rsid w:val="00FF40E1"/>
    <w:rsid w:val="00FF4109"/>
    <w:rsid w:val="00FF4200"/>
    <w:rsid w:val="00FF4389"/>
    <w:rsid w:val="00FF43C1"/>
    <w:rsid w:val="00FF45C6"/>
    <w:rsid w:val="00FF45F1"/>
    <w:rsid w:val="00FF4923"/>
    <w:rsid w:val="00FF4944"/>
    <w:rsid w:val="00FF497F"/>
    <w:rsid w:val="00FF49DC"/>
    <w:rsid w:val="00FF4A44"/>
    <w:rsid w:val="00FF4AEA"/>
    <w:rsid w:val="00FF4B0F"/>
    <w:rsid w:val="00FF4BD9"/>
    <w:rsid w:val="00FF4E14"/>
    <w:rsid w:val="00FF4EA0"/>
    <w:rsid w:val="00FF4F8D"/>
    <w:rsid w:val="00FF5125"/>
    <w:rsid w:val="00FF513E"/>
    <w:rsid w:val="00FF53CD"/>
    <w:rsid w:val="00FF53F1"/>
    <w:rsid w:val="00FF54E8"/>
    <w:rsid w:val="00FF5552"/>
    <w:rsid w:val="00FF555D"/>
    <w:rsid w:val="00FF55E2"/>
    <w:rsid w:val="00FF56B0"/>
    <w:rsid w:val="00FF580E"/>
    <w:rsid w:val="00FF5882"/>
    <w:rsid w:val="00FF59C0"/>
    <w:rsid w:val="00FF5BC2"/>
    <w:rsid w:val="00FF5CA7"/>
    <w:rsid w:val="00FF5CBE"/>
    <w:rsid w:val="00FF5E15"/>
    <w:rsid w:val="00FF6450"/>
    <w:rsid w:val="00FF6489"/>
    <w:rsid w:val="00FF65EA"/>
    <w:rsid w:val="00FF67B2"/>
    <w:rsid w:val="00FF68BE"/>
    <w:rsid w:val="00FF68CE"/>
    <w:rsid w:val="00FF68FB"/>
    <w:rsid w:val="00FF6A89"/>
    <w:rsid w:val="00FF6B4E"/>
    <w:rsid w:val="00FF6B5F"/>
    <w:rsid w:val="00FF6B82"/>
    <w:rsid w:val="00FF6C3C"/>
    <w:rsid w:val="00FF6C81"/>
    <w:rsid w:val="00FF6DA2"/>
    <w:rsid w:val="00FF6E74"/>
    <w:rsid w:val="00FF6EB0"/>
    <w:rsid w:val="00FF71B0"/>
    <w:rsid w:val="00FF73C2"/>
    <w:rsid w:val="00FF73D4"/>
    <w:rsid w:val="00FF757C"/>
    <w:rsid w:val="00FF7697"/>
    <w:rsid w:val="00FF7701"/>
    <w:rsid w:val="00FF773F"/>
    <w:rsid w:val="00FF7776"/>
    <w:rsid w:val="00FF77E5"/>
    <w:rsid w:val="00FF7852"/>
    <w:rsid w:val="00FF791B"/>
    <w:rsid w:val="00FF798B"/>
    <w:rsid w:val="00FF7B44"/>
    <w:rsid w:val="00FF7E30"/>
    <w:rsid w:val="046B2334"/>
    <w:rsid w:val="074A36EB"/>
    <w:rsid w:val="08F37D34"/>
    <w:rsid w:val="2C43529A"/>
    <w:rsid w:val="362441F1"/>
    <w:rsid w:val="426B0439"/>
    <w:rsid w:val="4A6E2C61"/>
    <w:rsid w:val="4CE33CFA"/>
    <w:rsid w:val="52E968A6"/>
    <w:rsid w:val="58A8748E"/>
    <w:rsid w:val="5AD85FD2"/>
    <w:rsid w:val="5B822BF3"/>
    <w:rsid w:val="5F5C0E82"/>
    <w:rsid w:val="69C2738A"/>
    <w:rsid w:val="71BE0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startarrow="classic" endarrow="classic"/>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iPriority="0" w:semiHidden="0" w:name="annotation text"/>
    <w:lsdException w:qFormat="1" w:unhideWhenUsed="0"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0" w:name="toa heading"/>
    <w:lsdException w:uiPriority="0" w:name="List"/>
    <w:lsdException w:uiPriority="99" w:name="List Bullet"/>
    <w:lsdException w:uiPriority="99" w:name="List Number"/>
    <w:lsdException w:qFormat="1" w:uiPriority="99" w:semiHidden="0" w:name="List 2"/>
    <w:lsdException w:qFormat="1"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qFormat="1"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nhideWhenUsed="0" w:uiPriority="0" w:semiHidden="0" w:name="Body Text First Indent"/>
    <w:lsdException w:qFormat="1" w:uiPriority="0" w:semiHidden="0" w:name="Body Text First Indent 2"/>
    <w:lsdException w:uiPriority="99" w:name="Note Heading"/>
    <w:lsdException w:qFormat="1" w:uiPriority="0" w:semiHidden="0" w:name="Body Text 2"/>
    <w:lsdException w:uiPriority="0" w:name="Body Text 3"/>
    <w:lsdException w:qFormat="1" w:uiPriority="0" w:name="Body Text Indent 2"/>
    <w:lsdException w:uiPriority="0" w:name="Body Text Indent 3"/>
    <w:lsdException w:qFormat="1" w:unhideWhenUsed="0" w:uiPriority="0" w:semiHidden="0" w:name="Block Text"/>
    <w:lsdException w:qFormat="1" w:uiPriority="0"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qFormat="1" w:unhideWhenUsed="0" w:uiPriority="0" w:name="HTML Address"/>
    <w:lsdException w:uiPriority="99" w:name="HTML Cite"/>
    <w:lsdException w:uiPriority="99" w:name="HTML Code"/>
    <w:lsdException w:uiPriority="99" w:name="HTML Definition"/>
    <w:lsdException w:uiPriority="99" w:name="HTML Keyboard"/>
    <w:lsdException w:uiPriority="0"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20" w:lineRule="exact"/>
      <w:ind w:firstLine="200" w:firstLineChars="200"/>
      <w:jc w:val="both"/>
      <w:textAlignment w:val="baseline"/>
    </w:pPr>
    <w:rPr>
      <w:rFonts w:ascii="Times New Roman" w:hAnsi="Times New Roman" w:eastAsia="宋体" w:cs="Times New Roman"/>
      <w:sz w:val="24"/>
      <w:lang w:val="en-US" w:eastAsia="zh-CN" w:bidi="ar-SA"/>
    </w:rPr>
  </w:style>
  <w:style w:type="paragraph" w:styleId="3">
    <w:name w:val="heading 1"/>
    <w:basedOn w:val="1"/>
    <w:next w:val="1"/>
    <w:link w:val="51"/>
    <w:qFormat/>
    <w:uiPriority w:val="0"/>
    <w:pPr>
      <w:keepNext/>
      <w:keepLines/>
      <w:pageBreakBefore/>
      <w:numPr>
        <w:ilvl w:val="0"/>
        <w:numId w:val="1"/>
      </w:numPr>
      <w:adjustRightInd/>
      <w:snapToGrid/>
      <w:spacing w:before="360" w:beforeLines="150" w:after="480" w:afterLines="200" w:line="500" w:lineRule="exact"/>
      <w:ind w:firstLineChars="0"/>
      <w:contextualSpacing/>
      <w:jc w:val="center"/>
      <w:outlineLvl w:val="0"/>
    </w:pPr>
    <w:rPr>
      <w:rFonts w:eastAsia="黑体"/>
      <w:kern w:val="44"/>
      <w:sz w:val="36"/>
    </w:rPr>
  </w:style>
  <w:style w:type="paragraph" w:styleId="4">
    <w:name w:val="heading 2"/>
    <w:basedOn w:val="1"/>
    <w:next w:val="1"/>
    <w:link w:val="52"/>
    <w:qFormat/>
    <w:uiPriority w:val="0"/>
    <w:pPr>
      <w:keepNext/>
      <w:keepLines/>
      <w:numPr>
        <w:ilvl w:val="1"/>
        <w:numId w:val="1"/>
      </w:numPr>
      <w:tabs>
        <w:tab w:val="left" w:pos="960"/>
        <w:tab w:val="left" w:pos="1200"/>
      </w:tabs>
      <w:adjustRightInd/>
      <w:snapToGrid/>
      <w:spacing w:before="240" w:after="240" w:line="240" w:lineRule="auto"/>
      <w:ind w:firstLineChars="0"/>
      <w:contextualSpacing/>
      <w:jc w:val="left"/>
      <w:outlineLvl w:val="1"/>
    </w:pPr>
    <w:rPr>
      <w:b/>
      <w:sz w:val="30"/>
    </w:rPr>
  </w:style>
  <w:style w:type="paragraph" w:styleId="5">
    <w:name w:val="heading 3"/>
    <w:basedOn w:val="1"/>
    <w:next w:val="1"/>
    <w:link w:val="53"/>
    <w:qFormat/>
    <w:uiPriority w:val="0"/>
    <w:pPr>
      <w:keepNext/>
      <w:keepLines/>
      <w:numPr>
        <w:ilvl w:val="2"/>
        <w:numId w:val="1"/>
      </w:numPr>
      <w:tabs>
        <w:tab w:val="left" w:pos="1200"/>
        <w:tab w:val="left" w:pos="1680"/>
      </w:tabs>
      <w:spacing w:beforeLines="100" w:afterLines="100" w:line="240" w:lineRule="auto"/>
      <w:ind w:firstLineChars="0"/>
      <w:jc w:val="left"/>
      <w:outlineLvl w:val="2"/>
    </w:pPr>
    <w:rPr>
      <w:rFonts w:eastAsia="楷体"/>
      <w:b/>
      <w:sz w:val="28"/>
    </w:rPr>
  </w:style>
  <w:style w:type="paragraph" w:styleId="6">
    <w:name w:val="heading 4"/>
    <w:basedOn w:val="1"/>
    <w:next w:val="1"/>
    <w:link w:val="54"/>
    <w:qFormat/>
    <w:uiPriority w:val="0"/>
    <w:pPr>
      <w:keepNext/>
      <w:keepLines/>
      <w:numPr>
        <w:ilvl w:val="3"/>
        <w:numId w:val="1"/>
      </w:numPr>
      <w:spacing w:before="240" w:after="120" w:line="240" w:lineRule="auto"/>
      <w:ind w:firstLineChars="0"/>
      <w:jc w:val="left"/>
      <w:outlineLvl w:val="3"/>
    </w:pPr>
    <w:rPr>
      <w:rFonts w:eastAsia="楷体"/>
      <w:b/>
    </w:rPr>
  </w:style>
  <w:style w:type="paragraph" w:styleId="7">
    <w:name w:val="heading 5"/>
    <w:basedOn w:val="1"/>
    <w:next w:val="1"/>
    <w:link w:val="55"/>
    <w:qFormat/>
    <w:uiPriority w:val="0"/>
    <w:pPr>
      <w:keepNext/>
      <w:keepLines/>
      <w:numPr>
        <w:ilvl w:val="4"/>
        <w:numId w:val="1"/>
      </w:numPr>
      <w:tabs>
        <w:tab w:val="left" w:pos="240"/>
        <w:tab w:val="left" w:pos="480"/>
        <w:tab w:val="left" w:pos="600"/>
      </w:tabs>
      <w:spacing w:before="120" w:after="120"/>
      <w:ind w:firstLine="0" w:firstLineChars="0"/>
      <w:jc w:val="left"/>
      <w:outlineLvl w:val="4"/>
    </w:pPr>
    <w:rPr>
      <w:b/>
    </w:rPr>
  </w:style>
  <w:style w:type="paragraph" w:styleId="8">
    <w:name w:val="heading 6"/>
    <w:basedOn w:val="1"/>
    <w:next w:val="1"/>
    <w:link w:val="56"/>
    <w:qFormat/>
    <w:uiPriority w:val="0"/>
    <w:pPr>
      <w:keepNext/>
      <w:keepLines/>
      <w:numPr>
        <w:ilvl w:val="5"/>
        <w:numId w:val="1"/>
      </w:numPr>
      <w:spacing w:before="240" w:after="120" w:line="240" w:lineRule="auto"/>
      <w:ind w:firstLine="0" w:firstLineChars="0"/>
      <w:jc w:val="left"/>
      <w:outlineLvl w:val="5"/>
    </w:pPr>
    <w:rPr>
      <w:b/>
    </w:rPr>
  </w:style>
  <w:style w:type="paragraph" w:styleId="9">
    <w:name w:val="heading 7"/>
    <w:basedOn w:val="1"/>
    <w:next w:val="1"/>
    <w:link w:val="57"/>
    <w:qFormat/>
    <w:uiPriority w:val="0"/>
    <w:pPr>
      <w:keepNext/>
      <w:keepLines/>
      <w:numPr>
        <w:ilvl w:val="6"/>
        <w:numId w:val="2"/>
      </w:numPr>
      <w:snapToGrid/>
      <w:spacing w:before="240" w:after="64" w:line="320" w:lineRule="auto"/>
      <w:ind w:firstLine="0" w:firstLineChars="0"/>
      <w:outlineLvl w:val="6"/>
    </w:pPr>
    <w:rPr>
      <w:b/>
    </w:rPr>
  </w:style>
  <w:style w:type="paragraph" w:styleId="10">
    <w:name w:val="heading 8"/>
    <w:basedOn w:val="1"/>
    <w:next w:val="1"/>
    <w:link w:val="58"/>
    <w:qFormat/>
    <w:uiPriority w:val="0"/>
    <w:pPr>
      <w:keepNext/>
      <w:keepLines/>
      <w:snapToGrid/>
      <w:spacing w:before="240" w:after="64" w:line="320" w:lineRule="auto"/>
      <w:ind w:firstLine="0"/>
      <w:outlineLvl w:val="7"/>
    </w:pPr>
    <w:rPr>
      <w:rFonts w:ascii="Arial" w:hAnsi="Arial" w:eastAsia="黑体"/>
    </w:rPr>
  </w:style>
  <w:style w:type="paragraph" w:styleId="11">
    <w:name w:val="heading 9"/>
    <w:basedOn w:val="1"/>
    <w:next w:val="1"/>
    <w:link w:val="59"/>
    <w:qFormat/>
    <w:uiPriority w:val="0"/>
    <w:pPr>
      <w:keepNext/>
      <w:keepLines/>
      <w:snapToGrid/>
      <w:spacing w:before="240" w:after="64" w:line="320" w:lineRule="auto"/>
      <w:ind w:firstLine="0"/>
      <w:outlineLvl w:val="8"/>
    </w:pPr>
    <w:rPr>
      <w:rFonts w:ascii="Arial" w:hAnsi="Arial" w:eastAsia="黑体"/>
      <w:sz w:val="21"/>
    </w:rPr>
  </w:style>
  <w:style w:type="character" w:default="1" w:styleId="44">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1"/>
    <w:unhideWhenUsed/>
    <w:qFormat/>
    <w:uiPriority w:val="99"/>
    <w:pPr>
      <w:spacing w:after="120"/>
    </w:pPr>
  </w:style>
  <w:style w:type="paragraph" w:styleId="12">
    <w:name w:val="List 3"/>
    <w:basedOn w:val="1"/>
    <w:semiHidden/>
    <w:unhideWhenUsed/>
    <w:qFormat/>
    <w:uiPriority w:val="99"/>
    <w:pPr>
      <w:ind w:left="100" w:leftChars="400" w:hanging="200" w:hangingChars="200"/>
      <w:contextualSpacing/>
    </w:pPr>
  </w:style>
  <w:style w:type="paragraph" w:styleId="13">
    <w:name w:val="Normal Indent"/>
    <w:basedOn w:val="1"/>
    <w:link w:val="106"/>
    <w:qFormat/>
    <w:uiPriority w:val="0"/>
    <w:pPr>
      <w:adjustRightInd/>
      <w:snapToGrid/>
      <w:spacing w:line="240" w:lineRule="auto"/>
      <w:ind w:firstLine="420"/>
      <w:textAlignment w:val="auto"/>
    </w:pPr>
    <w:rPr>
      <w:rFonts w:ascii="Calibri" w:hAnsi="Calibri"/>
      <w:kern w:val="2"/>
      <w:sz w:val="21"/>
      <w:szCs w:val="24"/>
    </w:rPr>
  </w:style>
  <w:style w:type="paragraph" w:styleId="14">
    <w:name w:val="caption"/>
    <w:basedOn w:val="1"/>
    <w:next w:val="1"/>
    <w:link w:val="217"/>
    <w:qFormat/>
    <w:uiPriority w:val="0"/>
    <w:pPr>
      <w:spacing w:line="360" w:lineRule="exact"/>
    </w:pPr>
    <w:rPr>
      <w:b/>
      <w:sz w:val="21"/>
    </w:rPr>
  </w:style>
  <w:style w:type="paragraph" w:styleId="15">
    <w:name w:val="Document Map"/>
    <w:basedOn w:val="1"/>
    <w:link w:val="61"/>
    <w:unhideWhenUsed/>
    <w:qFormat/>
    <w:uiPriority w:val="99"/>
    <w:rPr>
      <w:rFonts w:ascii="宋体"/>
      <w:sz w:val="18"/>
      <w:szCs w:val="18"/>
    </w:rPr>
  </w:style>
  <w:style w:type="paragraph" w:styleId="16">
    <w:name w:val="annotation text"/>
    <w:basedOn w:val="1"/>
    <w:link w:val="102"/>
    <w:unhideWhenUsed/>
    <w:qFormat/>
    <w:uiPriority w:val="0"/>
    <w:pPr>
      <w:widowControl/>
      <w:spacing w:after="200" w:line="240" w:lineRule="auto"/>
      <w:ind w:firstLine="0" w:firstLineChars="0"/>
      <w:jc w:val="left"/>
      <w:textAlignment w:val="auto"/>
    </w:pPr>
    <w:rPr>
      <w:rFonts w:ascii="Tahoma" w:hAnsi="Tahoma"/>
      <w:sz w:val="22"/>
      <w:szCs w:val="22"/>
    </w:rPr>
  </w:style>
  <w:style w:type="paragraph" w:styleId="17">
    <w:name w:val="Body Text Indent"/>
    <w:basedOn w:val="1"/>
    <w:link w:val="78"/>
    <w:unhideWhenUsed/>
    <w:qFormat/>
    <w:uiPriority w:val="99"/>
    <w:pPr>
      <w:spacing w:after="120"/>
      <w:ind w:left="420" w:leftChars="200"/>
    </w:pPr>
  </w:style>
  <w:style w:type="paragraph" w:styleId="18">
    <w:name w:val="List 2"/>
    <w:basedOn w:val="1"/>
    <w:unhideWhenUsed/>
    <w:qFormat/>
    <w:uiPriority w:val="99"/>
    <w:pPr>
      <w:adjustRightInd/>
      <w:snapToGrid/>
      <w:spacing w:line="500" w:lineRule="exact"/>
      <w:ind w:left="100" w:leftChars="200" w:hanging="200" w:hangingChars="200"/>
      <w:contextualSpacing/>
      <w:textAlignment w:val="auto"/>
    </w:pPr>
    <w:rPr>
      <w:rFonts w:ascii="Calibri" w:hAnsi="Calibri" w:cs="宋体"/>
      <w:kern w:val="2"/>
      <w:sz w:val="21"/>
      <w:szCs w:val="21"/>
    </w:rPr>
  </w:style>
  <w:style w:type="paragraph" w:styleId="19">
    <w:name w:val="List Continue"/>
    <w:basedOn w:val="1"/>
    <w:unhideWhenUsed/>
    <w:qFormat/>
    <w:uiPriority w:val="0"/>
    <w:pPr>
      <w:spacing w:after="120"/>
      <w:ind w:left="420" w:leftChars="200"/>
      <w:contextualSpacing/>
    </w:pPr>
  </w:style>
  <w:style w:type="paragraph" w:styleId="20">
    <w:name w:val="Block Text"/>
    <w:basedOn w:val="1"/>
    <w:next w:val="2"/>
    <w:qFormat/>
    <w:uiPriority w:val="0"/>
    <w:pPr>
      <w:widowControl/>
      <w:spacing w:before="20" w:after="20" w:line="240" w:lineRule="auto"/>
      <w:ind w:left="113" w:right="29" w:firstLine="0" w:firstLineChars="0"/>
      <w:jc w:val="center"/>
      <w:textAlignment w:val="auto"/>
    </w:pPr>
    <w:rPr>
      <w:rFonts w:ascii="Tahoma" w:hAnsi="Tahoma" w:eastAsia="黑体"/>
      <w:b/>
      <w:bCs/>
      <w:sz w:val="15"/>
      <w:szCs w:val="24"/>
    </w:rPr>
  </w:style>
  <w:style w:type="paragraph" w:styleId="21">
    <w:name w:val="HTML Address"/>
    <w:basedOn w:val="1"/>
    <w:link w:val="127"/>
    <w:semiHidden/>
    <w:qFormat/>
    <w:uiPriority w:val="0"/>
    <w:pPr>
      <w:adjustRightInd/>
      <w:snapToGrid/>
      <w:spacing w:line="360" w:lineRule="auto"/>
      <w:ind w:left="560" w:firstLine="0" w:firstLineChars="0"/>
      <w:jc w:val="left"/>
      <w:textAlignment w:val="auto"/>
    </w:pPr>
    <w:rPr>
      <w:i/>
      <w:iCs/>
      <w:kern w:val="2"/>
      <w:sz w:val="28"/>
      <w:szCs w:val="28"/>
    </w:rPr>
  </w:style>
  <w:style w:type="paragraph" w:styleId="22">
    <w:name w:val="toc 5"/>
    <w:basedOn w:val="1"/>
    <w:next w:val="1"/>
    <w:semiHidden/>
    <w:unhideWhenUsed/>
    <w:qFormat/>
    <w:uiPriority w:val="39"/>
    <w:pPr>
      <w:ind w:left="1680" w:leftChars="800"/>
    </w:pPr>
  </w:style>
  <w:style w:type="paragraph" w:styleId="23">
    <w:name w:val="toc 3"/>
    <w:basedOn w:val="1"/>
    <w:next w:val="1"/>
    <w:qFormat/>
    <w:uiPriority w:val="39"/>
    <w:pPr>
      <w:adjustRightInd/>
      <w:snapToGrid/>
      <w:spacing w:line="240" w:lineRule="auto"/>
      <w:ind w:left="840" w:leftChars="400" w:firstLine="0" w:firstLineChars="0"/>
      <w:textAlignment w:val="auto"/>
    </w:pPr>
    <w:rPr>
      <w:kern w:val="2"/>
      <w:sz w:val="21"/>
      <w:szCs w:val="24"/>
    </w:rPr>
  </w:style>
  <w:style w:type="paragraph" w:styleId="24">
    <w:name w:val="Plain Text"/>
    <w:basedOn w:val="1"/>
    <w:link w:val="123"/>
    <w:unhideWhenUsed/>
    <w:qFormat/>
    <w:uiPriority w:val="99"/>
    <w:pPr>
      <w:adjustRightInd/>
      <w:snapToGrid/>
      <w:spacing w:line="240" w:lineRule="auto"/>
      <w:ind w:firstLine="0" w:firstLineChars="0"/>
      <w:textAlignment w:val="auto"/>
    </w:pPr>
    <w:rPr>
      <w:rFonts w:ascii="宋体" w:hAnsi="Courier New" w:cs="Courier New"/>
      <w:kern w:val="2"/>
      <w:sz w:val="21"/>
      <w:szCs w:val="21"/>
    </w:rPr>
  </w:style>
  <w:style w:type="paragraph" w:styleId="25">
    <w:name w:val="Date"/>
    <w:basedOn w:val="1"/>
    <w:next w:val="1"/>
    <w:link w:val="84"/>
    <w:unhideWhenUsed/>
    <w:qFormat/>
    <w:uiPriority w:val="99"/>
    <w:pPr>
      <w:adjustRightInd/>
      <w:snapToGrid/>
      <w:ind w:left="100" w:leftChars="2500"/>
      <w:textAlignment w:val="auto"/>
    </w:pPr>
    <w:rPr>
      <w:rFonts w:ascii="Calibri" w:hAnsi="Calibri" w:cs="Calibri"/>
      <w:kern w:val="2"/>
      <w:sz w:val="21"/>
      <w:szCs w:val="21"/>
    </w:rPr>
  </w:style>
  <w:style w:type="paragraph" w:styleId="26">
    <w:name w:val="Body Text Indent 2"/>
    <w:basedOn w:val="1"/>
    <w:link w:val="128"/>
    <w:semiHidden/>
    <w:unhideWhenUsed/>
    <w:qFormat/>
    <w:uiPriority w:val="0"/>
    <w:pPr>
      <w:adjustRightInd/>
      <w:snapToGrid/>
      <w:spacing w:line="240" w:lineRule="auto"/>
      <w:ind w:firstLine="560"/>
      <w:textAlignment w:val="auto"/>
    </w:pPr>
    <w:rPr>
      <w:rFonts w:ascii="宋体" w:hAnsi="宋体"/>
      <w:color w:val="000000"/>
      <w:szCs w:val="24"/>
    </w:rPr>
  </w:style>
  <w:style w:type="paragraph" w:styleId="27">
    <w:name w:val="Balloon Text"/>
    <w:basedOn w:val="1"/>
    <w:link w:val="80"/>
    <w:unhideWhenUsed/>
    <w:qFormat/>
    <w:uiPriority w:val="0"/>
    <w:pPr>
      <w:spacing w:line="240" w:lineRule="auto"/>
    </w:pPr>
    <w:rPr>
      <w:sz w:val="18"/>
      <w:szCs w:val="18"/>
    </w:rPr>
  </w:style>
  <w:style w:type="paragraph" w:styleId="28">
    <w:name w:val="footer"/>
    <w:basedOn w:val="1"/>
    <w:link w:val="71"/>
    <w:unhideWhenUsed/>
    <w:qFormat/>
    <w:uiPriority w:val="99"/>
    <w:pPr>
      <w:tabs>
        <w:tab w:val="center" w:pos="4153"/>
        <w:tab w:val="right" w:pos="8306"/>
      </w:tabs>
      <w:adjustRightInd/>
      <w:spacing w:line="240" w:lineRule="auto"/>
      <w:ind w:firstLine="0" w:firstLineChars="0"/>
      <w:jc w:val="left"/>
      <w:textAlignment w:val="auto"/>
    </w:pPr>
    <w:rPr>
      <w:sz w:val="18"/>
      <w:szCs w:val="18"/>
    </w:rPr>
  </w:style>
  <w:style w:type="paragraph" w:styleId="29">
    <w:name w:val="header"/>
    <w:basedOn w:val="1"/>
    <w:link w:val="60"/>
    <w:qFormat/>
    <w:uiPriority w:val="99"/>
    <w:pPr>
      <w:pBdr>
        <w:bottom w:val="single" w:color="auto" w:sz="6" w:space="1"/>
      </w:pBdr>
      <w:tabs>
        <w:tab w:val="center" w:pos="4153"/>
        <w:tab w:val="right" w:pos="8306"/>
      </w:tabs>
      <w:adjustRightInd/>
      <w:spacing w:line="240" w:lineRule="auto"/>
      <w:ind w:firstLine="0" w:firstLineChars="0"/>
      <w:jc w:val="center"/>
      <w:textAlignment w:val="auto"/>
    </w:pPr>
    <w:rPr>
      <w:kern w:val="2"/>
      <w:sz w:val="18"/>
      <w:szCs w:val="18"/>
    </w:rPr>
  </w:style>
  <w:style w:type="paragraph" w:styleId="30">
    <w:name w:val="toc 1"/>
    <w:basedOn w:val="1"/>
    <w:next w:val="1"/>
    <w:qFormat/>
    <w:uiPriority w:val="39"/>
    <w:pPr>
      <w:tabs>
        <w:tab w:val="left" w:pos="1120"/>
        <w:tab w:val="right" w:leader="dot" w:pos="8505"/>
      </w:tabs>
      <w:spacing w:before="120" w:after="120"/>
      <w:ind w:firstLine="0" w:firstLineChars="0"/>
      <w:jc w:val="left"/>
    </w:pPr>
    <w:rPr>
      <w:b/>
      <w:bCs/>
      <w:caps/>
      <w:sz w:val="28"/>
      <w:szCs w:val="28"/>
    </w:rPr>
  </w:style>
  <w:style w:type="paragraph" w:styleId="31">
    <w:name w:val="toc 4"/>
    <w:basedOn w:val="1"/>
    <w:next w:val="1"/>
    <w:qFormat/>
    <w:uiPriority w:val="39"/>
    <w:pPr>
      <w:ind w:left="840"/>
      <w:jc w:val="left"/>
    </w:pPr>
    <w:rPr>
      <w:rFonts w:ascii="Calibri" w:hAnsi="Calibri"/>
      <w:sz w:val="18"/>
      <w:szCs w:val="18"/>
    </w:rPr>
  </w:style>
  <w:style w:type="paragraph" w:styleId="32">
    <w:name w:val="Subtitle"/>
    <w:basedOn w:val="1"/>
    <w:next w:val="1"/>
    <w:link w:val="79"/>
    <w:qFormat/>
    <w:uiPriority w:val="0"/>
    <w:pPr>
      <w:spacing w:before="240" w:after="480" w:line="240" w:lineRule="auto"/>
      <w:ind w:firstLine="0" w:firstLineChars="0"/>
      <w:jc w:val="center"/>
    </w:pPr>
    <w:rPr>
      <w:rFonts w:asciiTheme="majorHAnsi" w:hAnsiTheme="majorHAnsi" w:cstheme="majorBidi"/>
      <w:b/>
      <w:bCs/>
      <w:kern w:val="28"/>
      <w:sz w:val="48"/>
      <w:szCs w:val="32"/>
    </w:rPr>
  </w:style>
  <w:style w:type="paragraph" w:styleId="33">
    <w:name w:val="toc 2"/>
    <w:basedOn w:val="1"/>
    <w:next w:val="1"/>
    <w:qFormat/>
    <w:uiPriority w:val="39"/>
    <w:pPr>
      <w:tabs>
        <w:tab w:val="left" w:pos="560"/>
        <w:tab w:val="left" w:pos="709"/>
        <w:tab w:val="left" w:pos="1120"/>
        <w:tab w:val="right" w:leader="dot" w:pos="8505"/>
      </w:tabs>
      <w:spacing w:line="440" w:lineRule="exact"/>
      <w:ind w:firstLine="480"/>
    </w:pPr>
    <w:rPr>
      <w:smallCaps/>
      <w:szCs w:val="21"/>
    </w:rPr>
  </w:style>
  <w:style w:type="paragraph" w:styleId="34">
    <w:name w:val="Body Text 2"/>
    <w:basedOn w:val="1"/>
    <w:link w:val="81"/>
    <w:unhideWhenUsed/>
    <w:qFormat/>
    <w:uiPriority w:val="0"/>
    <w:pPr>
      <w:spacing w:after="120" w:line="480" w:lineRule="auto"/>
    </w:pPr>
  </w:style>
  <w:style w:type="paragraph" w:styleId="35">
    <w:name w:val="Normal (Web)"/>
    <w:basedOn w:val="1"/>
    <w:link w:val="196"/>
    <w:unhideWhenUsed/>
    <w:qFormat/>
    <w:uiPriority w:val="99"/>
    <w:pPr>
      <w:widowControl/>
      <w:adjustRightInd/>
      <w:snapToGrid/>
      <w:spacing w:before="100" w:beforeAutospacing="1" w:after="100" w:afterAutospacing="1" w:line="240" w:lineRule="auto"/>
      <w:ind w:firstLine="0" w:firstLineChars="0"/>
      <w:jc w:val="left"/>
      <w:textAlignment w:val="auto"/>
    </w:pPr>
    <w:rPr>
      <w:rFonts w:ascii="宋体" w:hAnsi="宋体" w:cs="宋体"/>
      <w:szCs w:val="24"/>
    </w:rPr>
  </w:style>
  <w:style w:type="paragraph" w:styleId="36">
    <w:name w:val="index 1"/>
    <w:basedOn w:val="1"/>
    <w:next w:val="1"/>
    <w:semiHidden/>
    <w:qFormat/>
    <w:uiPriority w:val="0"/>
    <w:pPr>
      <w:adjustRightInd/>
      <w:snapToGrid/>
      <w:spacing w:line="240" w:lineRule="auto"/>
      <w:ind w:firstLine="0" w:firstLineChars="0"/>
      <w:jc w:val="center"/>
      <w:textAlignment w:val="auto"/>
    </w:pPr>
    <w:rPr>
      <w:kern w:val="2"/>
      <w:sz w:val="21"/>
      <w:szCs w:val="24"/>
    </w:rPr>
  </w:style>
  <w:style w:type="paragraph" w:styleId="37">
    <w:name w:val="Title"/>
    <w:basedOn w:val="1"/>
    <w:next w:val="1"/>
    <w:link w:val="86"/>
    <w:qFormat/>
    <w:uiPriority w:val="0"/>
    <w:pPr>
      <w:spacing w:before="240" w:after="60"/>
      <w:jc w:val="center"/>
      <w:outlineLvl w:val="0"/>
    </w:pPr>
    <w:rPr>
      <w:rFonts w:asciiTheme="majorHAnsi" w:hAnsiTheme="majorHAnsi" w:cstheme="majorBidi"/>
      <w:b/>
      <w:bCs/>
      <w:sz w:val="32"/>
      <w:szCs w:val="32"/>
    </w:rPr>
  </w:style>
  <w:style w:type="paragraph" w:styleId="38">
    <w:name w:val="annotation subject"/>
    <w:basedOn w:val="16"/>
    <w:next w:val="16"/>
    <w:link w:val="129"/>
    <w:semiHidden/>
    <w:unhideWhenUsed/>
    <w:qFormat/>
    <w:uiPriority w:val="0"/>
    <w:pPr>
      <w:widowControl w:val="0"/>
      <w:spacing w:after="0" w:line="520" w:lineRule="exact"/>
      <w:ind w:firstLine="200" w:firstLineChars="200"/>
      <w:textAlignment w:val="baseline"/>
    </w:pPr>
    <w:rPr>
      <w:rFonts w:ascii="Times New Roman" w:hAnsi="Times New Roman"/>
      <w:b/>
      <w:bCs/>
      <w:sz w:val="24"/>
      <w:szCs w:val="20"/>
    </w:rPr>
  </w:style>
  <w:style w:type="paragraph" w:styleId="39">
    <w:name w:val="Body Text First Indent"/>
    <w:basedOn w:val="2"/>
    <w:link w:val="105"/>
    <w:qFormat/>
    <w:uiPriority w:val="0"/>
    <w:pPr>
      <w:adjustRightInd/>
      <w:snapToGrid/>
      <w:spacing w:line="500" w:lineRule="exact"/>
      <w:ind w:firstLine="420" w:firstLineChars="100"/>
      <w:textAlignment w:val="auto"/>
    </w:pPr>
    <w:rPr>
      <w:rFonts w:ascii="Calibri" w:hAnsi="Calibri"/>
      <w:kern w:val="2"/>
      <w:sz w:val="21"/>
      <w:szCs w:val="24"/>
    </w:rPr>
  </w:style>
  <w:style w:type="paragraph" w:styleId="40">
    <w:name w:val="Body Text First Indent 2"/>
    <w:basedOn w:val="17"/>
    <w:link w:val="100"/>
    <w:unhideWhenUsed/>
    <w:qFormat/>
    <w:uiPriority w:val="0"/>
    <w:pPr>
      <w:ind w:firstLine="420"/>
    </w:pPr>
  </w:style>
  <w:style w:type="table" w:styleId="42">
    <w:name w:val="Table Grid"/>
    <w:basedOn w:val="4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Light List Accent 3"/>
    <w:basedOn w:val="41"/>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character" w:styleId="45">
    <w:name w:val="Strong"/>
    <w:qFormat/>
    <w:uiPriority w:val="0"/>
    <w:rPr>
      <w:b/>
    </w:rPr>
  </w:style>
  <w:style w:type="character" w:styleId="46">
    <w:name w:val="page number"/>
    <w:basedOn w:val="44"/>
    <w:qFormat/>
    <w:uiPriority w:val="0"/>
  </w:style>
  <w:style w:type="character" w:styleId="47">
    <w:name w:val="FollowedHyperlink"/>
    <w:basedOn w:val="44"/>
    <w:semiHidden/>
    <w:unhideWhenUsed/>
    <w:qFormat/>
    <w:uiPriority w:val="99"/>
    <w:rPr>
      <w:color w:val="800080"/>
      <w:u w:val="single"/>
    </w:rPr>
  </w:style>
  <w:style w:type="character" w:styleId="48">
    <w:name w:val="Emphasis"/>
    <w:qFormat/>
    <w:uiPriority w:val="20"/>
    <w:rPr>
      <w:i/>
    </w:rPr>
  </w:style>
  <w:style w:type="character" w:styleId="49">
    <w:name w:val="Hyperlink"/>
    <w:basedOn w:val="44"/>
    <w:unhideWhenUsed/>
    <w:qFormat/>
    <w:uiPriority w:val="0"/>
    <w:rPr>
      <w:color w:val="8E58B6" w:themeColor="hyperlink"/>
      <w:u w:val="single"/>
      <w14:textFill>
        <w14:solidFill>
          <w14:schemeClr w14:val="hlink"/>
        </w14:solidFill>
      </w14:textFill>
    </w:rPr>
  </w:style>
  <w:style w:type="character" w:styleId="50">
    <w:name w:val="annotation reference"/>
    <w:basedOn w:val="44"/>
    <w:unhideWhenUsed/>
    <w:qFormat/>
    <w:uiPriority w:val="0"/>
    <w:rPr>
      <w:sz w:val="21"/>
      <w:szCs w:val="21"/>
    </w:rPr>
  </w:style>
  <w:style w:type="character" w:customStyle="1" w:styleId="51">
    <w:name w:val="标题 1 字符"/>
    <w:basedOn w:val="44"/>
    <w:link w:val="3"/>
    <w:qFormat/>
    <w:uiPriority w:val="0"/>
    <w:rPr>
      <w:rFonts w:ascii="Times New Roman" w:hAnsi="Times New Roman" w:eastAsia="黑体"/>
      <w:kern w:val="44"/>
      <w:sz w:val="36"/>
    </w:rPr>
  </w:style>
  <w:style w:type="character" w:customStyle="1" w:styleId="52">
    <w:name w:val="标题 2 字符"/>
    <w:basedOn w:val="44"/>
    <w:link w:val="4"/>
    <w:qFormat/>
    <w:uiPriority w:val="0"/>
    <w:rPr>
      <w:rFonts w:ascii="Times New Roman" w:hAnsi="Times New Roman"/>
      <w:b/>
      <w:sz w:val="30"/>
    </w:rPr>
  </w:style>
  <w:style w:type="character" w:customStyle="1" w:styleId="53">
    <w:name w:val="标题 3 字符"/>
    <w:basedOn w:val="44"/>
    <w:link w:val="5"/>
    <w:qFormat/>
    <w:uiPriority w:val="0"/>
    <w:rPr>
      <w:rFonts w:ascii="Times New Roman" w:hAnsi="Times New Roman" w:eastAsia="楷体"/>
      <w:b/>
      <w:sz w:val="28"/>
    </w:rPr>
  </w:style>
  <w:style w:type="character" w:customStyle="1" w:styleId="54">
    <w:name w:val="标题 4 字符"/>
    <w:basedOn w:val="44"/>
    <w:link w:val="6"/>
    <w:qFormat/>
    <w:uiPriority w:val="0"/>
    <w:rPr>
      <w:rFonts w:ascii="Times New Roman" w:hAnsi="Times New Roman" w:eastAsia="楷体"/>
      <w:b/>
      <w:sz w:val="24"/>
    </w:rPr>
  </w:style>
  <w:style w:type="character" w:customStyle="1" w:styleId="55">
    <w:name w:val="标题 5 字符"/>
    <w:basedOn w:val="44"/>
    <w:link w:val="7"/>
    <w:qFormat/>
    <w:uiPriority w:val="0"/>
    <w:rPr>
      <w:rFonts w:ascii="Times New Roman" w:hAnsi="Times New Roman"/>
      <w:b/>
      <w:sz w:val="24"/>
    </w:rPr>
  </w:style>
  <w:style w:type="character" w:customStyle="1" w:styleId="56">
    <w:name w:val="标题 6 字符"/>
    <w:basedOn w:val="44"/>
    <w:link w:val="8"/>
    <w:qFormat/>
    <w:uiPriority w:val="0"/>
    <w:rPr>
      <w:rFonts w:ascii="Times New Roman" w:hAnsi="Times New Roman"/>
      <w:b/>
      <w:sz w:val="24"/>
    </w:rPr>
  </w:style>
  <w:style w:type="character" w:customStyle="1" w:styleId="57">
    <w:name w:val="标题 7 字符"/>
    <w:basedOn w:val="44"/>
    <w:link w:val="9"/>
    <w:qFormat/>
    <w:uiPriority w:val="0"/>
    <w:rPr>
      <w:rFonts w:ascii="Times New Roman" w:hAnsi="Times New Roman"/>
      <w:b/>
      <w:sz w:val="24"/>
    </w:rPr>
  </w:style>
  <w:style w:type="character" w:customStyle="1" w:styleId="58">
    <w:name w:val="标题 8 字符"/>
    <w:basedOn w:val="44"/>
    <w:link w:val="10"/>
    <w:qFormat/>
    <w:uiPriority w:val="0"/>
    <w:rPr>
      <w:rFonts w:ascii="Arial" w:hAnsi="Arial" w:eastAsia="黑体" w:cs="Times New Roman"/>
      <w:kern w:val="0"/>
      <w:sz w:val="24"/>
      <w:szCs w:val="20"/>
    </w:rPr>
  </w:style>
  <w:style w:type="character" w:customStyle="1" w:styleId="59">
    <w:name w:val="标题 9 字符"/>
    <w:basedOn w:val="44"/>
    <w:link w:val="11"/>
    <w:qFormat/>
    <w:uiPriority w:val="0"/>
    <w:rPr>
      <w:rFonts w:ascii="Arial" w:hAnsi="Arial" w:eastAsia="黑体" w:cs="Times New Roman"/>
      <w:kern w:val="0"/>
      <w:szCs w:val="20"/>
    </w:rPr>
  </w:style>
  <w:style w:type="character" w:customStyle="1" w:styleId="60">
    <w:name w:val="页眉 字符"/>
    <w:basedOn w:val="44"/>
    <w:link w:val="29"/>
    <w:qFormat/>
    <w:uiPriority w:val="99"/>
    <w:rPr>
      <w:rFonts w:ascii="Times New Roman" w:hAnsi="Times New Roman"/>
      <w:kern w:val="2"/>
      <w:sz w:val="18"/>
      <w:szCs w:val="18"/>
    </w:rPr>
  </w:style>
  <w:style w:type="character" w:customStyle="1" w:styleId="61">
    <w:name w:val="文档结构图 字符"/>
    <w:basedOn w:val="44"/>
    <w:link w:val="15"/>
    <w:qFormat/>
    <w:uiPriority w:val="99"/>
    <w:rPr>
      <w:rFonts w:ascii="宋体" w:hAnsi="Times New Roman"/>
      <w:sz w:val="18"/>
      <w:szCs w:val="18"/>
    </w:rPr>
  </w:style>
  <w:style w:type="paragraph" w:customStyle="1" w:styleId="62">
    <w:name w:val="鸿达表格文字"/>
    <w:basedOn w:val="1"/>
    <w:link w:val="82"/>
    <w:qFormat/>
    <w:uiPriority w:val="0"/>
    <w:pPr>
      <w:adjustRightInd/>
      <w:snapToGrid/>
      <w:spacing w:line="240" w:lineRule="auto"/>
      <w:ind w:firstLine="0" w:firstLineChars="0"/>
      <w:contextualSpacing/>
      <w:jc w:val="center"/>
    </w:pPr>
    <w:rPr>
      <w:sz w:val="21"/>
      <w:szCs w:val="21"/>
    </w:rPr>
  </w:style>
  <w:style w:type="paragraph" w:customStyle="1" w:styleId="63">
    <w:name w:val="鸿达表格段落"/>
    <w:basedOn w:val="1"/>
    <w:qFormat/>
    <w:uiPriority w:val="0"/>
    <w:pPr>
      <w:spacing w:line="240" w:lineRule="auto"/>
      <w:ind w:firstLine="100" w:firstLineChars="100"/>
      <w:jc w:val="left"/>
      <w:textAlignment w:val="auto"/>
    </w:pPr>
    <w:rPr>
      <w:snapToGrid w:val="0"/>
      <w:sz w:val="21"/>
      <w:szCs w:val="24"/>
    </w:rPr>
  </w:style>
  <w:style w:type="paragraph" w:customStyle="1" w:styleId="64">
    <w:name w:val="鸿达表头"/>
    <w:basedOn w:val="1"/>
    <w:link w:val="65"/>
    <w:qFormat/>
    <w:uiPriority w:val="0"/>
    <w:pPr>
      <w:adjustRightInd/>
      <w:snapToGrid/>
      <w:spacing w:before="50" w:beforeLines="50" w:line="240" w:lineRule="auto"/>
      <w:ind w:firstLine="100" w:firstLineChars="100"/>
      <w:textAlignment w:val="auto"/>
    </w:pPr>
    <w:rPr>
      <w:rFonts w:eastAsia="黑体"/>
      <w:kern w:val="2"/>
      <w:szCs w:val="24"/>
    </w:rPr>
  </w:style>
  <w:style w:type="character" w:customStyle="1" w:styleId="65">
    <w:name w:val="鸿达表头 Char"/>
    <w:basedOn w:val="44"/>
    <w:link w:val="64"/>
    <w:qFormat/>
    <w:uiPriority w:val="0"/>
    <w:rPr>
      <w:rFonts w:ascii="Times New Roman" w:hAnsi="Times New Roman" w:eastAsia="黑体"/>
      <w:kern w:val="2"/>
      <w:sz w:val="24"/>
      <w:szCs w:val="24"/>
    </w:rPr>
  </w:style>
  <w:style w:type="paragraph" w:customStyle="1" w:styleId="66">
    <w:name w:val="鸿达公式"/>
    <w:basedOn w:val="1"/>
    <w:qFormat/>
    <w:uiPriority w:val="0"/>
    <w:pPr>
      <w:wordWrap w:val="0"/>
      <w:overflowPunct w:val="0"/>
      <w:adjustRightInd/>
      <w:spacing w:before="240" w:beforeLines="100" w:after="120" w:afterLines="50" w:line="240" w:lineRule="auto"/>
      <w:ind w:firstLine="0" w:firstLineChars="0"/>
      <w:jc w:val="center"/>
      <w:textAlignment w:val="auto"/>
    </w:pPr>
    <w:rPr>
      <w:bCs/>
      <w:snapToGrid w:val="0"/>
      <w:kern w:val="2"/>
      <w:szCs w:val="28"/>
    </w:rPr>
  </w:style>
  <w:style w:type="paragraph" w:customStyle="1" w:styleId="67">
    <w:name w:val="鸿达表加粗"/>
    <w:basedOn w:val="1"/>
    <w:link w:val="94"/>
    <w:qFormat/>
    <w:uiPriority w:val="0"/>
    <w:pPr>
      <w:adjustRightInd/>
      <w:snapToGrid/>
      <w:spacing w:line="240" w:lineRule="auto"/>
      <w:ind w:firstLine="0" w:firstLineChars="0"/>
      <w:jc w:val="center"/>
      <w:textAlignment w:val="auto"/>
    </w:pPr>
    <w:rPr>
      <w:rFonts w:cs="宋体"/>
      <w:b/>
      <w:color w:val="000000"/>
      <w:kern w:val="2"/>
      <w:sz w:val="21"/>
    </w:rPr>
  </w:style>
  <w:style w:type="paragraph" w:customStyle="1" w:styleId="68">
    <w:name w:val="鸿达图标"/>
    <w:basedOn w:val="1"/>
    <w:link w:val="207"/>
    <w:qFormat/>
    <w:uiPriority w:val="0"/>
    <w:pPr>
      <w:adjustRightInd/>
      <w:snapToGrid/>
      <w:spacing w:line="240" w:lineRule="auto"/>
      <w:ind w:firstLine="0" w:firstLineChars="0"/>
      <w:jc w:val="center"/>
      <w:textAlignment w:val="auto"/>
    </w:pPr>
    <w:rPr>
      <w:b/>
      <w:kern w:val="2"/>
    </w:rPr>
  </w:style>
  <w:style w:type="paragraph" w:customStyle="1" w:styleId="69">
    <w:name w:val="修订1"/>
    <w:hidden/>
    <w:semiHidden/>
    <w:qFormat/>
    <w:uiPriority w:val="0"/>
    <w:rPr>
      <w:rFonts w:ascii="Times New Roman" w:hAnsi="Times New Roman" w:eastAsia="宋体" w:cs="Times New Roman"/>
      <w:kern w:val="2"/>
      <w:sz w:val="21"/>
      <w:lang w:val="en-US" w:eastAsia="zh-CN" w:bidi="ar-SA"/>
    </w:rPr>
  </w:style>
  <w:style w:type="character" w:customStyle="1" w:styleId="70">
    <w:name w:val="日期 Char1"/>
    <w:basedOn w:val="44"/>
    <w:semiHidden/>
    <w:qFormat/>
    <w:uiPriority w:val="0"/>
    <w:rPr>
      <w:rFonts w:ascii="Times New Roman" w:hAnsi="Times New Roman"/>
      <w:sz w:val="24"/>
    </w:rPr>
  </w:style>
  <w:style w:type="character" w:customStyle="1" w:styleId="71">
    <w:name w:val="页脚 字符"/>
    <w:link w:val="28"/>
    <w:qFormat/>
    <w:uiPriority w:val="99"/>
    <w:rPr>
      <w:rFonts w:ascii="Times New Roman" w:hAnsi="Times New Roman"/>
      <w:sz w:val="18"/>
      <w:szCs w:val="18"/>
    </w:rPr>
  </w:style>
  <w:style w:type="character" w:customStyle="1" w:styleId="72">
    <w:name w:val="页脚 Char1"/>
    <w:basedOn w:val="44"/>
    <w:semiHidden/>
    <w:qFormat/>
    <w:uiPriority w:val="99"/>
    <w:rPr>
      <w:rFonts w:ascii="Times New Roman" w:hAnsi="Times New Roman"/>
      <w:sz w:val="18"/>
      <w:szCs w:val="18"/>
    </w:rPr>
  </w:style>
  <w:style w:type="character" w:customStyle="1" w:styleId="73">
    <w:name w:val="纯文本 Char"/>
    <w:basedOn w:val="44"/>
    <w:semiHidden/>
    <w:qFormat/>
    <w:uiPriority w:val="0"/>
    <w:rPr>
      <w:rFonts w:ascii="宋体" w:hAnsi="Courier New" w:cs="Courier New"/>
      <w:sz w:val="21"/>
      <w:szCs w:val="21"/>
    </w:rPr>
  </w:style>
  <w:style w:type="paragraph" w:styleId="74">
    <w:name w:val="Intense Quote"/>
    <w:basedOn w:val="1"/>
    <w:next w:val="1"/>
    <w:link w:val="75"/>
    <w:qFormat/>
    <w:uiPriority w:val="30"/>
    <w:pPr>
      <w:pBdr>
        <w:bottom w:val="single" w:color="A5B592" w:themeColor="accent1" w:sz="4" w:space="4"/>
      </w:pBdr>
      <w:spacing w:before="200" w:after="280"/>
      <w:ind w:left="936" w:right="936"/>
    </w:pPr>
    <w:rPr>
      <w:b/>
      <w:bCs/>
      <w:i/>
      <w:iCs/>
      <w:color w:val="A5B592" w:themeColor="accent1"/>
      <w14:textFill>
        <w14:solidFill>
          <w14:schemeClr w14:val="accent1"/>
        </w14:solidFill>
      </w14:textFill>
    </w:rPr>
  </w:style>
  <w:style w:type="character" w:customStyle="1" w:styleId="75">
    <w:name w:val="明显引用 字符"/>
    <w:basedOn w:val="44"/>
    <w:link w:val="74"/>
    <w:qFormat/>
    <w:uiPriority w:val="30"/>
    <w:rPr>
      <w:rFonts w:ascii="Times New Roman" w:hAnsi="Times New Roman"/>
      <w:b/>
      <w:bCs/>
      <w:i/>
      <w:iCs/>
      <w:color w:val="A5B592" w:themeColor="accent1"/>
      <w:sz w:val="24"/>
      <w14:textFill>
        <w14:solidFill>
          <w14:schemeClr w14:val="accent1"/>
        </w14:solidFill>
      </w14:textFill>
    </w:rPr>
  </w:style>
  <w:style w:type="character" w:customStyle="1" w:styleId="76">
    <w:name w:val="不明显参考1"/>
    <w:basedOn w:val="44"/>
    <w:qFormat/>
    <w:uiPriority w:val="31"/>
    <w:rPr>
      <w:smallCaps/>
      <w:color w:val="F3A447" w:themeColor="accent2"/>
      <w:u w:val="single"/>
      <w14:textFill>
        <w14:solidFill>
          <w14:schemeClr w14:val="accent2"/>
        </w14:solidFill>
      </w14:textFill>
    </w:rPr>
  </w:style>
  <w:style w:type="character" w:customStyle="1" w:styleId="77">
    <w:name w:val="明显参考1"/>
    <w:basedOn w:val="44"/>
    <w:qFormat/>
    <w:uiPriority w:val="32"/>
    <w:rPr>
      <w:b/>
      <w:bCs/>
      <w:smallCaps/>
      <w:color w:val="F3A447" w:themeColor="accent2"/>
      <w:spacing w:val="5"/>
      <w:u w:val="single"/>
      <w14:textFill>
        <w14:solidFill>
          <w14:schemeClr w14:val="accent2"/>
        </w14:solidFill>
      </w14:textFill>
    </w:rPr>
  </w:style>
  <w:style w:type="character" w:customStyle="1" w:styleId="78">
    <w:name w:val="正文文本缩进 字符"/>
    <w:basedOn w:val="44"/>
    <w:link w:val="17"/>
    <w:semiHidden/>
    <w:qFormat/>
    <w:uiPriority w:val="99"/>
    <w:rPr>
      <w:rFonts w:ascii="Times New Roman" w:hAnsi="Times New Roman"/>
      <w:sz w:val="24"/>
    </w:rPr>
  </w:style>
  <w:style w:type="character" w:customStyle="1" w:styleId="79">
    <w:name w:val="副标题 字符"/>
    <w:basedOn w:val="44"/>
    <w:link w:val="32"/>
    <w:qFormat/>
    <w:uiPriority w:val="0"/>
    <w:rPr>
      <w:rFonts w:asciiTheme="majorHAnsi" w:hAnsiTheme="majorHAnsi" w:cstheme="majorBidi"/>
      <w:b/>
      <w:bCs/>
      <w:kern w:val="28"/>
      <w:sz w:val="48"/>
      <w:szCs w:val="32"/>
    </w:rPr>
  </w:style>
  <w:style w:type="character" w:customStyle="1" w:styleId="80">
    <w:name w:val="批注框文本 字符"/>
    <w:basedOn w:val="44"/>
    <w:link w:val="27"/>
    <w:qFormat/>
    <w:uiPriority w:val="0"/>
    <w:rPr>
      <w:rFonts w:ascii="Times New Roman" w:hAnsi="Times New Roman"/>
      <w:sz w:val="18"/>
      <w:szCs w:val="18"/>
    </w:rPr>
  </w:style>
  <w:style w:type="character" w:customStyle="1" w:styleId="81">
    <w:name w:val="正文文本 2 字符"/>
    <w:basedOn w:val="44"/>
    <w:link w:val="34"/>
    <w:qFormat/>
    <w:uiPriority w:val="0"/>
    <w:rPr>
      <w:rFonts w:ascii="Times New Roman" w:hAnsi="Times New Roman"/>
      <w:sz w:val="24"/>
    </w:rPr>
  </w:style>
  <w:style w:type="character" w:customStyle="1" w:styleId="82">
    <w:name w:val="鸿达表格文字 Char"/>
    <w:link w:val="62"/>
    <w:qFormat/>
    <w:uiPriority w:val="0"/>
    <w:rPr>
      <w:rFonts w:ascii="Times New Roman" w:hAnsi="Times New Roman"/>
      <w:sz w:val="21"/>
      <w:szCs w:val="21"/>
    </w:rPr>
  </w:style>
  <w:style w:type="character" w:styleId="83">
    <w:name w:val="Placeholder Text"/>
    <w:basedOn w:val="44"/>
    <w:semiHidden/>
    <w:qFormat/>
    <w:uiPriority w:val="99"/>
    <w:rPr>
      <w:color w:val="808080"/>
    </w:rPr>
  </w:style>
  <w:style w:type="character" w:customStyle="1" w:styleId="84">
    <w:name w:val="日期 字符"/>
    <w:basedOn w:val="44"/>
    <w:link w:val="25"/>
    <w:qFormat/>
    <w:uiPriority w:val="99"/>
    <w:rPr>
      <w:rFonts w:cs="Calibri"/>
      <w:kern w:val="2"/>
      <w:sz w:val="21"/>
      <w:szCs w:val="21"/>
    </w:rPr>
  </w:style>
  <w:style w:type="character" w:customStyle="1" w:styleId="85">
    <w:name w:val="日期 字符1"/>
    <w:basedOn w:val="44"/>
    <w:semiHidden/>
    <w:qFormat/>
    <w:uiPriority w:val="0"/>
    <w:rPr>
      <w:rFonts w:ascii="Times New Roman" w:hAnsi="Times New Roman"/>
      <w:sz w:val="24"/>
    </w:rPr>
  </w:style>
  <w:style w:type="character" w:customStyle="1" w:styleId="86">
    <w:name w:val="标题 字符"/>
    <w:basedOn w:val="44"/>
    <w:link w:val="37"/>
    <w:qFormat/>
    <w:uiPriority w:val="0"/>
    <w:rPr>
      <w:rFonts w:asciiTheme="majorHAnsi" w:hAnsiTheme="majorHAnsi" w:cstheme="majorBidi"/>
      <w:b/>
      <w:bCs/>
      <w:sz w:val="32"/>
      <w:szCs w:val="32"/>
    </w:rPr>
  </w:style>
  <w:style w:type="paragraph" w:customStyle="1" w:styleId="87">
    <w:name w:val="修订11"/>
    <w:hidden/>
    <w:semiHidden/>
    <w:qFormat/>
    <w:uiPriority w:val="0"/>
    <w:rPr>
      <w:rFonts w:ascii="Times New Roman" w:hAnsi="Times New Roman" w:eastAsia="宋体" w:cs="Times New Roman"/>
      <w:kern w:val="2"/>
      <w:sz w:val="21"/>
      <w:lang w:val="en-US" w:eastAsia="zh-CN" w:bidi="ar-SA"/>
    </w:rPr>
  </w:style>
  <w:style w:type="character" w:customStyle="1" w:styleId="88">
    <w:name w:val="标题 5 Char1"/>
    <w:semiHidden/>
    <w:qFormat/>
    <w:uiPriority w:val="0"/>
    <w:rPr>
      <w:rFonts w:ascii="Times New Roman" w:hAnsi="Times New Roman"/>
      <w:b/>
      <w:bCs/>
      <w:sz w:val="28"/>
      <w:szCs w:val="28"/>
    </w:rPr>
  </w:style>
  <w:style w:type="character" w:customStyle="1" w:styleId="89">
    <w:name w:val="标题 6 Char1"/>
    <w:semiHidden/>
    <w:qFormat/>
    <w:uiPriority w:val="0"/>
    <w:rPr>
      <w:rFonts w:ascii="Cambria" w:hAnsi="Cambria" w:eastAsia="宋体" w:cs="Times New Roman"/>
      <w:b/>
      <w:bCs/>
      <w:sz w:val="24"/>
      <w:szCs w:val="24"/>
    </w:rPr>
  </w:style>
  <w:style w:type="character" w:customStyle="1" w:styleId="90">
    <w:name w:val="标题 7 Char1"/>
    <w:semiHidden/>
    <w:qFormat/>
    <w:uiPriority w:val="0"/>
    <w:rPr>
      <w:rFonts w:ascii="Times New Roman" w:hAnsi="Times New Roman"/>
      <w:b/>
      <w:bCs/>
      <w:sz w:val="24"/>
      <w:szCs w:val="24"/>
    </w:rPr>
  </w:style>
  <w:style w:type="character" w:customStyle="1" w:styleId="91">
    <w:name w:val="标题 8 Char1"/>
    <w:semiHidden/>
    <w:qFormat/>
    <w:uiPriority w:val="0"/>
    <w:rPr>
      <w:rFonts w:ascii="Cambria" w:hAnsi="Cambria" w:eastAsia="宋体" w:cs="Times New Roman"/>
      <w:sz w:val="24"/>
      <w:szCs w:val="24"/>
    </w:rPr>
  </w:style>
  <w:style w:type="character" w:customStyle="1" w:styleId="92">
    <w:name w:val="正文文本缩进 Char1"/>
    <w:basedOn w:val="44"/>
    <w:semiHidden/>
    <w:qFormat/>
    <w:uiPriority w:val="99"/>
    <w:rPr>
      <w:rFonts w:ascii="Times New Roman" w:hAnsi="Times New Roman"/>
      <w:sz w:val="24"/>
    </w:rPr>
  </w:style>
  <w:style w:type="character" w:customStyle="1" w:styleId="93">
    <w:name w:val="正文文本缩进 Char2"/>
    <w:basedOn w:val="44"/>
    <w:semiHidden/>
    <w:qFormat/>
    <w:uiPriority w:val="99"/>
    <w:rPr>
      <w:rFonts w:ascii="Times New Roman" w:hAnsi="Times New Roman"/>
      <w:sz w:val="24"/>
    </w:rPr>
  </w:style>
  <w:style w:type="character" w:customStyle="1" w:styleId="94">
    <w:name w:val="鸿达表加粗 字符"/>
    <w:basedOn w:val="44"/>
    <w:link w:val="67"/>
    <w:qFormat/>
    <w:uiPriority w:val="0"/>
    <w:rPr>
      <w:rFonts w:ascii="Times New Roman" w:hAnsi="Times New Roman" w:cs="宋体"/>
      <w:b/>
      <w:color w:val="000000"/>
      <w:kern w:val="2"/>
      <w:sz w:val="21"/>
    </w:rPr>
  </w:style>
  <w:style w:type="table" w:customStyle="1" w:styleId="95">
    <w:name w:val="网格型2"/>
    <w:basedOn w:val="41"/>
    <w:qFormat/>
    <w:uiPriority w:val="0"/>
    <w:rPr>
      <w:rFonts w:ascii="Times New Roman" w:hAnsi="Times New Roman"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6">
    <w:name w:val="鸿达注释"/>
    <w:basedOn w:val="1"/>
    <w:next w:val="1"/>
    <w:qFormat/>
    <w:uiPriority w:val="0"/>
    <w:pPr>
      <w:spacing w:line="240" w:lineRule="auto"/>
    </w:pPr>
    <w:rPr>
      <w:b/>
      <w:sz w:val="21"/>
    </w:rPr>
  </w:style>
  <w:style w:type="table" w:customStyle="1" w:styleId="97">
    <w:name w:val="Table Normal"/>
    <w:unhideWhenUsed/>
    <w:qFormat/>
    <w:uiPriority w:val="0"/>
    <w:pPr>
      <w:widowControl w:val="0"/>
    </w:pPr>
    <w:rPr>
      <w:sz w:val="22"/>
      <w:szCs w:val="22"/>
      <w:lang w:eastAsia="en-US"/>
    </w:rPr>
    <w:tblPr>
      <w:tblCellMar>
        <w:top w:w="0" w:type="dxa"/>
        <w:left w:w="0" w:type="dxa"/>
        <w:bottom w:w="0" w:type="dxa"/>
        <w:right w:w="0" w:type="dxa"/>
      </w:tblCellMar>
    </w:tblPr>
  </w:style>
  <w:style w:type="character" w:customStyle="1" w:styleId="98">
    <w:name w:val="未处理的提及1"/>
    <w:basedOn w:val="44"/>
    <w:semiHidden/>
    <w:unhideWhenUsed/>
    <w:qFormat/>
    <w:uiPriority w:val="99"/>
    <w:rPr>
      <w:color w:val="605E5C"/>
      <w:shd w:val="clear" w:color="auto" w:fill="E1DFDD"/>
    </w:rPr>
  </w:style>
  <w:style w:type="paragraph" w:styleId="99">
    <w:name w:val="List Paragraph"/>
    <w:basedOn w:val="1"/>
    <w:qFormat/>
    <w:uiPriority w:val="34"/>
    <w:pPr>
      <w:ind w:firstLine="420"/>
    </w:pPr>
  </w:style>
  <w:style w:type="character" w:customStyle="1" w:styleId="100">
    <w:name w:val="正文文本首行缩进 2 字符"/>
    <w:basedOn w:val="78"/>
    <w:link w:val="40"/>
    <w:qFormat/>
    <w:uiPriority w:val="0"/>
    <w:rPr>
      <w:rFonts w:ascii="Times New Roman" w:hAnsi="Times New Roman"/>
      <w:sz w:val="24"/>
    </w:rPr>
  </w:style>
  <w:style w:type="character" w:customStyle="1" w:styleId="101">
    <w:name w:val="正文文本 字符"/>
    <w:basedOn w:val="44"/>
    <w:link w:val="2"/>
    <w:qFormat/>
    <w:uiPriority w:val="0"/>
    <w:rPr>
      <w:rFonts w:ascii="Times New Roman" w:hAnsi="Times New Roman"/>
      <w:sz w:val="24"/>
    </w:rPr>
  </w:style>
  <w:style w:type="character" w:customStyle="1" w:styleId="102">
    <w:name w:val="批注文字 字符"/>
    <w:basedOn w:val="44"/>
    <w:link w:val="16"/>
    <w:qFormat/>
    <w:uiPriority w:val="0"/>
    <w:rPr>
      <w:rFonts w:ascii="Tahoma" w:hAnsi="Tahoma"/>
      <w:sz w:val="22"/>
      <w:szCs w:val="22"/>
    </w:rPr>
  </w:style>
  <w:style w:type="paragraph" w:customStyle="1" w:styleId="103">
    <w:name w:val="style4"/>
    <w:basedOn w:val="1"/>
    <w:next w:val="104"/>
    <w:qFormat/>
    <w:uiPriority w:val="0"/>
    <w:pPr>
      <w:widowControl/>
      <w:spacing w:before="280" w:after="280" w:line="240" w:lineRule="auto"/>
      <w:ind w:firstLine="0" w:firstLineChars="0"/>
      <w:jc w:val="left"/>
      <w:textAlignment w:val="auto"/>
    </w:pPr>
    <w:rPr>
      <w:rFonts w:ascii="宋体"/>
      <w:sz w:val="18"/>
      <w:szCs w:val="22"/>
    </w:rPr>
  </w:style>
  <w:style w:type="paragraph" w:customStyle="1" w:styleId="104">
    <w:name w:val="2"/>
    <w:basedOn w:val="1"/>
    <w:next w:val="1"/>
    <w:qFormat/>
    <w:uiPriority w:val="0"/>
    <w:pPr>
      <w:widowControl/>
      <w:spacing w:before="100" w:beforeAutospacing="1" w:after="100" w:afterAutospacing="1" w:line="240" w:lineRule="auto"/>
      <w:ind w:firstLine="0" w:firstLineChars="0"/>
      <w:jc w:val="left"/>
      <w:textAlignment w:val="auto"/>
    </w:pPr>
    <w:rPr>
      <w:rFonts w:ascii="宋体" w:hAnsi="宋体"/>
      <w:szCs w:val="24"/>
    </w:rPr>
  </w:style>
  <w:style w:type="character" w:customStyle="1" w:styleId="105">
    <w:name w:val="正文文本首行缩进 字符"/>
    <w:basedOn w:val="101"/>
    <w:link w:val="39"/>
    <w:qFormat/>
    <w:uiPriority w:val="0"/>
    <w:rPr>
      <w:rFonts w:ascii="Times New Roman" w:hAnsi="Times New Roman"/>
      <w:kern w:val="2"/>
      <w:sz w:val="21"/>
      <w:szCs w:val="24"/>
    </w:rPr>
  </w:style>
  <w:style w:type="character" w:customStyle="1" w:styleId="106">
    <w:name w:val="正文缩进 字符"/>
    <w:link w:val="13"/>
    <w:qFormat/>
    <w:uiPriority w:val="0"/>
    <w:rPr>
      <w:kern w:val="2"/>
      <w:sz w:val="21"/>
      <w:szCs w:val="24"/>
    </w:rPr>
  </w:style>
  <w:style w:type="paragraph" w:customStyle="1" w:styleId="10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08">
    <w:name w:val="样式 四号"/>
    <w:qFormat/>
    <w:uiPriority w:val="0"/>
    <w:rPr>
      <w:sz w:val="28"/>
    </w:rPr>
  </w:style>
  <w:style w:type="paragraph" w:customStyle="1" w:styleId="109">
    <w:name w:val="一级条标题"/>
    <w:next w:val="110"/>
    <w:qFormat/>
    <w:uiPriority w:val="0"/>
    <w:pPr>
      <w:spacing w:beforeLines="50" w:afterLines="50"/>
      <w:jc w:val="both"/>
      <w:outlineLvl w:val="2"/>
    </w:pPr>
    <w:rPr>
      <w:rFonts w:ascii="黑体" w:hAnsi="Times New Roman" w:eastAsia="黑体" w:cs="Times New Roman"/>
      <w:sz w:val="21"/>
      <w:szCs w:val="21"/>
      <w:lang w:val="en-US" w:eastAsia="zh-CN" w:bidi="ar-SA"/>
    </w:rPr>
  </w:style>
  <w:style w:type="paragraph" w:customStyle="1" w:styleId="110">
    <w:name w:val="段"/>
    <w:qFormat/>
    <w:uiPriority w:val="0"/>
    <w:pPr>
      <w:tabs>
        <w:tab w:val="center" w:pos="4201"/>
        <w:tab w:val="right" w:leader="dot" w:pos="9298"/>
      </w:tabs>
      <w:autoSpaceDE w:val="0"/>
      <w:autoSpaceDN w:val="0"/>
      <w:ind w:left="420" w:firstLine="420" w:firstLineChars="200"/>
      <w:jc w:val="both"/>
    </w:pPr>
    <w:rPr>
      <w:rFonts w:ascii="宋体" w:hAnsi="Times New Roman" w:eastAsia="宋体" w:cs="Times New Roman"/>
      <w:sz w:val="21"/>
      <w:lang w:val="en-US" w:eastAsia="zh-CN" w:bidi="ar-SA"/>
    </w:rPr>
  </w:style>
  <w:style w:type="paragraph" w:customStyle="1" w:styleId="111">
    <w:name w:val="图表头"/>
    <w:basedOn w:val="1"/>
    <w:qFormat/>
    <w:uiPriority w:val="0"/>
    <w:pPr>
      <w:adjustRightInd/>
      <w:snapToGrid/>
      <w:spacing w:line="500" w:lineRule="exact"/>
      <w:ind w:firstLine="0" w:firstLineChars="0"/>
      <w:jc w:val="center"/>
      <w:textAlignment w:val="auto"/>
    </w:pPr>
    <w:rPr>
      <w:rFonts w:ascii="Calibri" w:hAnsi="Calibri" w:eastAsia="黑体" w:cs="宋体"/>
      <w:kern w:val="2"/>
      <w:sz w:val="21"/>
      <w:szCs w:val="21"/>
    </w:rPr>
  </w:style>
  <w:style w:type="paragraph" w:customStyle="1" w:styleId="112">
    <w:name w:val="样式 首行缩进:  2 字符"/>
    <w:basedOn w:val="1"/>
    <w:qFormat/>
    <w:uiPriority w:val="0"/>
    <w:pPr>
      <w:adjustRightInd/>
      <w:snapToGrid/>
      <w:textAlignment w:val="auto"/>
    </w:pPr>
    <w:rPr>
      <w:rFonts w:ascii="Calibri" w:hAnsi="Calibri" w:cs="宋体"/>
      <w:kern w:val="2"/>
      <w:sz w:val="21"/>
    </w:rPr>
  </w:style>
  <w:style w:type="paragraph" w:customStyle="1" w:styleId="113">
    <w:name w:val="标准书眉_奇数页"/>
    <w:next w:val="1"/>
    <w:qFormat/>
    <w:uiPriority w:val="0"/>
    <w:pPr>
      <w:tabs>
        <w:tab w:val="center" w:pos="4154"/>
        <w:tab w:val="right" w:pos="8306"/>
      </w:tabs>
      <w:spacing w:after="220"/>
      <w:ind w:left="420"/>
      <w:jc w:val="right"/>
    </w:pPr>
    <w:rPr>
      <w:rFonts w:ascii="黑体" w:hAnsi="Times New Roman" w:eastAsia="黑体" w:cs="Times New Roman"/>
      <w:sz w:val="21"/>
      <w:szCs w:val="21"/>
      <w:lang w:val="en-US" w:eastAsia="zh-CN" w:bidi="ar-SA"/>
    </w:rPr>
  </w:style>
  <w:style w:type="paragraph" w:customStyle="1" w:styleId="114">
    <w:name w:val="正文1"/>
    <w:qFormat/>
    <w:uiPriority w:val="0"/>
    <w:pPr>
      <w:jc w:val="both"/>
    </w:pPr>
    <w:rPr>
      <w:rFonts w:ascii="Times New Roman" w:hAnsi="Times New Roman" w:eastAsia="宋体" w:cs="宋体"/>
      <w:kern w:val="2"/>
      <w:sz w:val="21"/>
      <w:szCs w:val="21"/>
      <w:lang w:val="en-US" w:eastAsia="zh-CN" w:bidi="ar-SA"/>
    </w:rPr>
  </w:style>
  <w:style w:type="paragraph" w:customStyle="1" w:styleId="115">
    <w:name w:val="_Style 2"/>
    <w:basedOn w:val="1"/>
    <w:qFormat/>
    <w:uiPriority w:val="34"/>
    <w:pPr>
      <w:adjustRightInd/>
      <w:snapToGrid/>
      <w:spacing w:line="500" w:lineRule="exact"/>
      <w:ind w:firstLine="420"/>
      <w:textAlignment w:val="auto"/>
    </w:pPr>
    <w:rPr>
      <w:rFonts w:ascii="Calibri" w:hAnsi="Calibri" w:cs="宋体"/>
      <w:kern w:val="2"/>
      <w:sz w:val="21"/>
      <w:szCs w:val="21"/>
    </w:rPr>
  </w:style>
  <w:style w:type="paragraph" w:customStyle="1" w:styleId="116">
    <w:name w:val="表中格式"/>
    <w:basedOn w:val="1"/>
    <w:qFormat/>
    <w:uiPriority w:val="0"/>
    <w:pPr>
      <w:adjustRightInd/>
      <w:snapToGrid/>
      <w:spacing w:line="360" w:lineRule="exact"/>
      <w:ind w:firstLine="0" w:firstLineChars="0"/>
      <w:jc w:val="center"/>
      <w:textAlignment w:val="auto"/>
    </w:pPr>
    <w:rPr>
      <w:rFonts w:ascii="Calibri" w:hAnsi="Calibri" w:cs="宋体"/>
      <w:kern w:val="2"/>
      <w:sz w:val="21"/>
      <w:szCs w:val="21"/>
    </w:rPr>
  </w:style>
  <w:style w:type="paragraph" w:customStyle="1" w:styleId="117">
    <w:name w:val="环正文"/>
    <w:basedOn w:val="1"/>
    <w:qFormat/>
    <w:uiPriority w:val="0"/>
    <w:pPr>
      <w:widowControl/>
      <w:tabs>
        <w:tab w:val="left" w:pos="5187"/>
      </w:tabs>
      <w:suppressAutoHyphens/>
      <w:spacing w:line="360" w:lineRule="auto"/>
      <w:ind w:firstLine="480"/>
    </w:pPr>
    <w:rPr>
      <w:rFonts w:ascii="宋体" w:hAnsi="宋体" w:cs="宋体"/>
      <w:kern w:val="2"/>
      <w:szCs w:val="21"/>
    </w:rPr>
  </w:style>
  <w:style w:type="character" w:customStyle="1" w:styleId="118">
    <w:name w:val="。正文 Char"/>
    <w:link w:val="119"/>
    <w:qFormat/>
    <w:uiPriority w:val="0"/>
    <w:rPr>
      <w:rFonts w:ascii="宋体"/>
      <w:kern w:val="28"/>
      <w:sz w:val="28"/>
      <w:szCs w:val="28"/>
    </w:rPr>
  </w:style>
  <w:style w:type="paragraph" w:customStyle="1" w:styleId="119">
    <w:name w:val="。正文"/>
    <w:basedOn w:val="120"/>
    <w:link w:val="118"/>
    <w:qFormat/>
    <w:uiPriority w:val="0"/>
    <w:pPr>
      <w:adjustRightInd/>
      <w:snapToGrid/>
      <w:spacing w:after="0"/>
    </w:pPr>
    <w:rPr>
      <w:rFonts w:hAnsi="Calibri"/>
    </w:rPr>
  </w:style>
  <w:style w:type="paragraph" w:customStyle="1" w:styleId="120">
    <w:name w:val="首行缩进2个字符"/>
    <w:basedOn w:val="1"/>
    <w:qFormat/>
    <w:uiPriority w:val="0"/>
    <w:pPr>
      <w:spacing w:after="200" w:line="360" w:lineRule="auto"/>
      <w:textAlignment w:val="auto"/>
    </w:pPr>
    <w:rPr>
      <w:rFonts w:ascii="宋体" w:hAnsi="Tahoma"/>
      <w:kern w:val="28"/>
      <w:sz w:val="28"/>
      <w:szCs w:val="28"/>
    </w:rPr>
  </w:style>
  <w:style w:type="paragraph" w:customStyle="1" w:styleId="121">
    <w:name w:val="_Style 49"/>
    <w:basedOn w:val="1"/>
    <w:next w:val="99"/>
    <w:qFormat/>
    <w:uiPriority w:val="34"/>
    <w:pPr>
      <w:adjustRightInd/>
      <w:snapToGrid/>
      <w:spacing w:line="360" w:lineRule="auto"/>
      <w:ind w:firstLine="420"/>
      <w:textAlignment w:val="auto"/>
    </w:pPr>
    <w:rPr>
      <w:rFonts w:ascii="Calibri" w:hAnsi="Calibri"/>
      <w:kern w:val="2"/>
      <w:sz w:val="28"/>
      <w:szCs w:val="22"/>
    </w:rPr>
  </w:style>
  <w:style w:type="paragraph" w:customStyle="1" w:styleId="122">
    <w:name w:val="默认段落字体 Para Char Char Char Char"/>
    <w:basedOn w:val="1"/>
    <w:qFormat/>
    <w:uiPriority w:val="0"/>
    <w:pPr>
      <w:adjustRightInd/>
      <w:snapToGrid/>
      <w:spacing w:line="240" w:lineRule="auto"/>
      <w:ind w:firstLine="0" w:firstLineChars="0"/>
      <w:textAlignment w:val="auto"/>
    </w:pPr>
    <w:rPr>
      <w:snapToGrid w:val="0"/>
      <w:color w:val="000000"/>
      <w:kern w:val="2"/>
      <w:sz w:val="21"/>
      <w:szCs w:val="24"/>
    </w:rPr>
  </w:style>
  <w:style w:type="character" w:customStyle="1" w:styleId="123">
    <w:name w:val="纯文本 字符"/>
    <w:basedOn w:val="44"/>
    <w:link w:val="24"/>
    <w:qFormat/>
    <w:uiPriority w:val="99"/>
    <w:rPr>
      <w:rFonts w:ascii="宋体" w:hAnsi="Courier New" w:cs="Courier New"/>
      <w:kern w:val="2"/>
      <w:sz w:val="21"/>
      <w:szCs w:val="21"/>
    </w:rPr>
  </w:style>
  <w:style w:type="paragraph" w:customStyle="1" w:styleId="124">
    <w:name w:val="表格"/>
    <w:basedOn w:val="1"/>
    <w:next w:val="1"/>
    <w:link w:val="125"/>
    <w:qFormat/>
    <w:uiPriority w:val="0"/>
    <w:pPr>
      <w:adjustRightInd/>
      <w:snapToGrid/>
      <w:spacing w:line="240" w:lineRule="auto"/>
      <w:ind w:firstLine="0" w:firstLineChars="0"/>
      <w:jc w:val="center"/>
      <w:textAlignment w:val="auto"/>
    </w:pPr>
    <w:rPr>
      <w:sz w:val="21"/>
      <w:szCs w:val="21"/>
    </w:rPr>
  </w:style>
  <w:style w:type="character" w:customStyle="1" w:styleId="125">
    <w:name w:val="表格 Char"/>
    <w:link w:val="124"/>
    <w:qFormat/>
    <w:uiPriority w:val="0"/>
    <w:rPr>
      <w:rFonts w:ascii="Times New Roman" w:hAnsi="Times New Roman"/>
      <w:sz w:val="21"/>
      <w:szCs w:val="21"/>
    </w:rPr>
  </w:style>
  <w:style w:type="paragraph" w:customStyle="1" w:styleId="126">
    <w:name w:val="验收表格正文"/>
    <w:basedOn w:val="1"/>
    <w:qFormat/>
    <w:uiPriority w:val="0"/>
    <w:pPr>
      <w:adjustRightInd/>
      <w:snapToGrid/>
      <w:spacing w:line="240" w:lineRule="auto"/>
      <w:ind w:firstLine="0" w:firstLineChars="0"/>
      <w:jc w:val="center"/>
      <w:textAlignment w:val="auto"/>
    </w:pPr>
    <w:rPr>
      <w:kern w:val="2"/>
      <w:sz w:val="21"/>
    </w:rPr>
  </w:style>
  <w:style w:type="character" w:customStyle="1" w:styleId="127">
    <w:name w:val="HTML 地址 字符"/>
    <w:basedOn w:val="44"/>
    <w:link w:val="21"/>
    <w:semiHidden/>
    <w:qFormat/>
    <w:uiPriority w:val="0"/>
    <w:rPr>
      <w:rFonts w:ascii="Times New Roman" w:hAnsi="Times New Roman"/>
      <w:i/>
      <w:iCs/>
      <w:kern w:val="2"/>
      <w:sz w:val="28"/>
      <w:szCs w:val="28"/>
    </w:rPr>
  </w:style>
  <w:style w:type="character" w:customStyle="1" w:styleId="128">
    <w:name w:val="正文文本缩进 2 字符"/>
    <w:basedOn w:val="44"/>
    <w:link w:val="26"/>
    <w:semiHidden/>
    <w:qFormat/>
    <w:uiPriority w:val="0"/>
    <w:rPr>
      <w:rFonts w:ascii="宋体" w:hAnsi="宋体"/>
      <w:color w:val="000000"/>
      <w:sz w:val="24"/>
      <w:szCs w:val="24"/>
    </w:rPr>
  </w:style>
  <w:style w:type="character" w:customStyle="1" w:styleId="129">
    <w:name w:val="批注主题 字符"/>
    <w:basedOn w:val="102"/>
    <w:link w:val="38"/>
    <w:semiHidden/>
    <w:qFormat/>
    <w:uiPriority w:val="0"/>
    <w:rPr>
      <w:rFonts w:ascii="Times New Roman" w:hAnsi="Times New Roman"/>
      <w:b/>
      <w:bCs/>
      <w:sz w:val="24"/>
      <w:szCs w:val="22"/>
    </w:rPr>
  </w:style>
  <w:style w:type="table" w:customStyle="1" w:styleId="130">
    <w:name w:val="网格型1"/>
    <w:basedOn w:val="41"/>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1">
    <w:name w:val="正文文本缩进 2 Char1"/>
    <w:basedOn w:val="44"/>
    <w:semiHidden/>
    <w:qFormat/>
    <w:uiPriority w:val="0"/>
    <w:rPr>
      <w:rFonts w:ascii="Times New Roman" w:hAnsi="Times New Roman"/>
      <w:sz w:val="24"/>
    </w:rPr>
  </w:style>
  <w:style w:type="paragraph" w:customStyle="1" w:styleId="132">
    <w:name w:val="偶数页页眉"/>
    <w:basedOn w:val="133"/>
    <w:qFormat/>
    <w:uiPriority w:val="0"/>
    <w:pPr>
      <w:tabs>
        <w:tab w:val="center" w:pos="4153"/>
        <w:tab w:val="right" w:pos="8306"/>
      </w:tabs>
    </w:pPr>
  </w:style>
  <w:style w:type="paragraph" w:customStyle="1" w:styleId="133">
    <w:name w:val="奇数页页眉"/>
    <w:basedOn w:val="1"/>
    <w:qFormat/>
    <w:uiPriority w:val="0"/>
    <w:pPr>
      <w:pBdr>
        <w:bottom w:val="single" w:color="auto" w:sz="6" w:space="1"/>
      </w:pBdr>
      <w:tabs>
        <w:tab w:val="center" w:pos="4153"/>
        <w:tab w:val="right" w:pos="8306"/>
      </w:tabs>
      <w:adjustRightInd/>
      <w:spacing w:line="240" w:lineRule="atLeast"/>
      <w:ind w:firstLine="0" w:firstLineChars="0"/>
      <w:jc w:val="right"/>
      <w:textAlignment w:val="auto"/>
    </w:pPr>
    <w:rPr>
      <w:rFonts w:eastAsia="华文行楷"/>
      <w:kern w:val="2"/>
      <w:sz w:val="18"/>
      <w:szCs w:val="18"/>
    </w:rPr>
  </w:style>
  <w:style w:type="paragraph" w:styleId="134">
    <w:name w:val="Quote"/>
    <w:basedOn w:val="1"/>
    <w:next w:val="1"/>
    <w:link w:val="135"/>
    <w:qFormat/>
    <w:uiPriority w:val="29"/>
    <w:rPr>
      <w:i/>
      <w:iCs/>
      <w:color w:val="000000" w:themeColor="text1"/>
      <w14:textFill>
        <w14:solidFill>
          <w14:schemeClr w14:val="tx1"/>
        </w14:solidFill>
      </w14:textFill>
    </w:rPr>
  </w:style>
  <w:style w:type="character" w:customStyle="1" w:styleId="135">
    <w:name w:val="引用 字符"/>
    <w:basedOn w:val="44"/>
    <w:link w:val="134"/>
    <w:qFormat/>
    <w:uiPriority w:val="29"/>
    <w:rPr>
      <w:rFonts w:ascii="Times New Roman" w:hAnsi="Times New Roman"/>
      <w:i/>
      <w:iCs/>
      <w:color w:val="000000" w:themeColor="text1"/>
      <w:sz w:val="24"/>
      <w14:textFill>
        <w14:solidFill>
          <w14:schemeClr w14:val="tx1"/>
        </w14:solidFill>
      </w14:textFill>
    </w:rPr>
  </w:style>
  <w:style w:type="paragraph" w:customStyle="1" w:styleId="136">
    <w:name w:val="段落"/>
    <w:basedOn w:val="1"/>
    <w:link w:val="197"/>
    <w:qFormat/>
    <w:uiPriority w:val="0"/>
    <w:pPr>
      <w:adjustRightInd/>
      <w:snapToGrid/>
      <w:spacing w:line="500" w:lineRule="exact"/>
      <w:ind w:firstLine="578" w:firstLineChars="0"/>
      <w:textAlignment w:val="auto"/>
    </w:pPr>
    <w:rPr>
      <w:sz w:val="28"/>
      <w:szCs w:val="28"/>
    </w:rPr>
  </w:style>
  <w:style w:type="table" w:customStyle="1" w:styleId="137">
    <w:name w:val="网格型11"/>
    <w:basedOn w:val="41"/>
    <w:qFormat/>
    <w:uiPriority w:val="0"/>
    <w:pPr>
      <w:widowControl w:val="0"/>
      <w:jc w:val="both"/>
    </w:pPr>
    <w:rPr>
      <w:rFonts w:ascii="Times New Roman" w:hAnsi="Times New Roman"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8">
    <w:name w:val="纯文本 Char3"/>
    <w:basedOn w:val="44"/>
    <w:semiHidden/>
    <w:qFormat/>
    <w:uiPriority w:val="0"/>
    <w:rPr>
      <w:rFonts w:ascii="宋体" w:hAnsi="Courier New" w:cs="Courier New"/>
      <w:sz w:val="21"/>
      <w:szCs w:val="21"/>
    </w:rPr>
  </w:style>
  <w:style w:type="character" w:customStyle="1" w:styleId="139">
    <w:name w:val="纯文本 Char2"/>
    <w:basedOn w:val="44"/>
    <w:semiHidden/>
    <w:qFormat/>
    <w:uiPriority w:val="0"/>
    <w:rPr>
      <w:rFonts w:ascii="宋体" w:hAnsi="Courier New" w:cs="Courier New"/>
      <w:sz w:val="21"/>
      <w:szCs w:val="21"/>
    </w:rPr>
  </w:style>
  <w:style w:type="character" w:customStyle="1" w:styleId="140">
    <w:name w:val="无间隔 字符"/>
    <w:link w:val="141"/>
    <w:qFormat/>
    <w:uiPriority w:val="0"/>
    <w:rPr>
      <w:rFonts w:ascii="Times New Roman" w:hAnsi="Times New Roman"/>
      <w:szCs w:val="24"/>
    </w:rPr>
  </w:style>
  <w:style w:type="paragraph" w:styleId="141">
    <w:name w:val="No Spacing"/>
    <w:link w:val="140"/>
    <w:qFormat/>
    <w:uiPriority w:val="0"/>
    <w:pPr>
      <w:widowControl w:val="0"/>
      <w:jc w:val="both"/>
    </w:pPr>
    <w:rPr>
      <w:rFonts w:ascii="Times New Roman" w:hAnsi="Times New Roman" w:eastAsia="宋体" w:cs="Times New Roman"/>
      <w:szCs w:val="24"/>
      <w:lang w:val="en-US" w:eastAsia="zh-CN" w:bidi="ar-SA"/>
    </w:rPr>
  </w:style>
  <w:style w:type="character" w:customStyle="1" w:styleId="142">
    <w:name w:val="纯文本 Char1"/>
    <w:basedOn w:val="44"/>
    <w:semiHidden/>
    <w:qFormat/>
    <w:uiPriority w:val="0"/>
    <w:rPr>
      <w:rFonts w:ascii="宋体" w:hAnsi="Courier New" w:cs="Courier New"/>
      <w:sz w:val="21"/>
      <w:szCs w:val="21"/>
    </w:rPr>
  </w:style>
  <w:style w:type="character" w:customStyle="1" w:styleId="143">
    <w:name w:val="鸿达正文 Char"/>
    <w:qFormat/>
    <w:uiPriority w:val="0"/>
    <w:rPr>
      <w:sz w:val="24"/>
      <w:szCs w:val="24"/>
    </w:rPr>
  </w:style>
  <w:style w:type="paragraph" w:customStyle="1" w:styleId="144">
    <w:name w:val="鸿达图黄字"/>
    <w:basedOn w:val="62"/>
    <w:qFormat/>
    <w:uiPriority w:val="0"/>
    <w:rPr>
      <w:b/>
      <w:color w:val="FFFF00"/>
    </w:rPr>
  </w:style>
  <w:style w:type="paragraph" w:customStyle="1" w:styleId="145">
    <w:name w:val="修订2"/>
    <w:semiHidden/>
    <w:qFormat/>
    <w:uiPriority w:val="99"/>
    <w:rPr>
      <w:rFonts w:ascii="Times New Roman" w:hAnsi="Times New Roman" w:eastAsia="宋体" w:cs="Times New Roman"/>
      <w:kern w:val="2"/>
      <w:sz w:val="21"/>
      <w:lang w:val="en-US" w:eastAsia="zh-CN" w:bidi="ar-SA"/>
    </w:rPr>
  </w:style>
  <w:style w:type="character" w:customStyle="1" w:styleId="146">
    <w:name w:val="图 Char Char"/>
    <w:link w:val="147"/>
    <w:semiHidden/>
    <w:qFormat/>
    <w:locked/>
    <w:uiPriority w:val="0"/>
    <w:rPr>
      <w:rFonts w:ascii="黑体" w:hAnsi="黑体" w:eastAsia="黑体"/>
      <w:kern w:val="2"/>
      <w:sz w:val="24"/>
    </w:rPr>
  </w:style>
  <w:style w:type="paragraph" w:customStyle="1" w:styleId="147">
    <w:name w:val="图"/>
    <w:basedOn w:val="1"/>
    <w:link w:val="146"/>
    <w:semiHidden/>
    <w:qFormat/>
    <w:uiPriority w:val="0"/>
    <w:pPr>
      <w:adjustRightInd/>
      <w:snapToGrid/>
      <w:spacing w:line="240" w:lineRule="auto"/>
      <w:ind w:firstLine="0" w:firstLineChars="0"/>
      <w:jc w:val="center"/>
      <w:textAlignment w:val="auto"/>
    </w:pPr>
    <w:rPr>
      <w:rFonts w:ascii="黑体" w:hAnsi="黑体" w:eastAsia="黑体"/>
      <w:kern w:val="2"/>
    </w:rPr>
  </w:style>
  <w:style w:type="paragraph" w:customStyle="1" w:styleId="148">
    <w:name w:val="报告书图标"/>
    <w:basedOn w:val="1"/>
    <w:semiHidden/>
    <w:qFormat/>
    <w:uiPriority w:val="99"/>
    <w:pPr>
      <w:adjustRightInd/>
      <w:snapToGrid/>
      <w:spacing w:line="360" w:lineRule="auto"/>
      <w:ind w:firstLine="0" w:firstLineChars="0"/>
      <w:jc w:val="center"/>
      <w:textAlignment w:val="auto"/>
    </w:pPr>
    <w:rPr>
      <w:rFonts w:eastAsia="黑体"/>
      <w:kern w:val="2"/>
    </w:rPr>
  </w:style>
  <w:style w:type="table" w:customStyle="1" w:styleId="149">
    <w:name w:val="专业网格1"/>
    <w:basedOn w:val="4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专业网格2"/>
    <w:basedOn w:val="4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1">
    <w:name w:val="修订3"/>
    <w:semiHidden/>
    <w:qFormat/>
    <w:uiPriority w:val="99"/>
    <w:rPr>
      <w:rFonts w:ascii="Times New Roman" w:hAnsi="Times New Roman" w:eastAsia="宋体" w:cs="Times New Roman"/>
      <w:kern w:val="2"/>
      <w:sz w:val="21"/>
      <w:lang w:val="en-US" w:eastAsia="zh-CN" w:bidi="ar-SA"/>
    </w:rPr>
  </w:style>
  <w:style w:type="table" w:customStyle="1" w:styleId="152">
    <w:name w:val="浅色列表 - 着色 31"/>
    <w:basedOn w:val="41"/>
    <w:semiHidden/>
    <w:unhideWhenUsed/>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0" w:afterLines="0" w:afterAutospacing="0" w:line="240" w:lineRule="auto"/>
      </w:pPr>
      <w:rPr>
        <w:b/>
        <w:bCs/>
        <w:color w:val="FFFFFF"/>
      </w:rPr>
      <w:tcPr>
        <w:shd w:val="clear" w:color="auto" w:fill="9BBB59"/>
      </w:tcPr>
    </w:tblStylePr>
    <w:tblStylePr w:type="lastRow">
      <w:pPr>
        <w:spacing w:beforeLines="0" w:beforeAutospacing="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53">
    <w:name w:val="专业网格11"/>
    <w:basedOn w:val="4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
    <w:name w:val="专业网格21"/>
    <w:basedOn w:val="4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
    <w:name w:val="浅色列表 - 着色 311"/>
    <w:basedOn w:val="41"/>
    <w:semiHidden/>
    <w:unhideWhenUsed/>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0" w:afterLines="0" w:afterAutospacing="0" w:line="240" w:lineRule="auto"/>
      </w:pPr>
      <w:rPr>
        <w:b/>
        <w:bCs/>
        <w:color w:val="FFFFFF"/>
      </w:rPr>
      <w:tcPr>
        <w:shd w:val="clear" w:color="auto" w:fill="9BBB59"/>
      </w:tcPr>
    </w:tblStylePr>
    <w:tblStylePr w:type="lastRow">
      <w:pPr>
        <w:spacing w:beforeLines="0" w:beforeAutospacing="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56">
    <w:name w:val="浅色列表 - 着色 32"/>
    <w:basedOn w:val="41"/>
    <w:semiHidden/>
    <w:unhideWhenUsed/>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0" w:afterLines="0" w:afterAutospacing="0" w:line="240" w:lineRule="auto"/>
      </w:pPr>
      <w:rPr>
        <w:b/>
        <w:bCs/>
        <w:color w:val="FFFFFF"/>
      </w:rPr>
      <w:tcPr>
        <w:shd w:val="clear" w:color="auto" w:fill="9BBB59"/>
      </w:tcPr>
    </w:tblStylePr>
    <w:tblStylePr w:type="lastRow">
      <w:pPr>
        <w:spacing w:beforeLines="0" w:beforeAutospacing="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57">
    <w:name w:val="浅色列表 - 着色 312"/>
    <w:basedOn w:val="41"/>
    <w:semiHidden/>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58">
    <w:name w:val="浅色列表 - 着色 3111"/>
    <w:basedOn w:val="41"/>
    <w:semiHidden/>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59">
    <w:name w:val="网格型3"/>
    <w:basedOn w:val="4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浅色列表 - 着色 33"/>
    <w:basedOn w:val="41"/>
    <w:semiHidden/>
    <w:unhideWhenUsed/>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0" w:afterLines="0" w:afterAutospacing="0" w:line="240" w:lineRule="auto"/>
      </w:pPr>
      <w:rPr>
        <w:b/>
        <w:bCs/>
        <w:color w:val="FFFFFF"/>
      </w:rPr>
      <w:tcPr>
        <w:shd w:val="clear" w:color="auto" w:fill="9BBB59"/>
      </w:tcPr>
    </w:tblStylePr>
    <w:tblStylePr w:type="lastRow">
      <w:pPr>
        <w:spacing w:beforeLines="0" w:beforeAutospacing="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61">
    <w:name w:val="专业网格12"/>
    <w:basedOn w:val="4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
    <w:name w:val="专业网格22"/>
    <w:basedOn w:val="4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
    <w:name w:val="网格型111"/>
    <w:basedOn w:val="4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
    <w:name w:val="浅色列表 - 着色 313"/>
    <w:basedOn w:val="41"/>
    <w:semiHidden/>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65">
    <w:name w:val="专业网格111"/>
    <w:basedOn w:val="4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
    <w:name w:val="专业网格211"/>
    <w:basedOn w:val="4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浅色列表 - 着色 3112"/>
    <w:basedOn w:val="41"/>
    <w:semiHidden/>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168">
    <w:name w:val="网格型21"/>
    <w:basedOn w:val="41"/>
    <w:qFormat/>
    <w:uiPriority w:val="0"/>
    <w:rPr>
      <w:rFonts w:eastAsia="Times New Roman"/>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69">
    <w:name w:val="TOC 标题1"/>
    <w:basedOn w:val="3"/>
    <w:next w:val="1"/>
    <w:unhideWhenUsed/>
    <w:qFormat/>
    <w:uiPriority w:val="39"/>
    <w:pPr>
      <w:pageBreakBefore w:val="0"/>
      <w:widowControl/>
      <w:numPr>
        <w:numId w:val="0"/>
      </w:numPr>
      <w:spacing w:before="480" w:beforeLines="0" w:after="0" w:afterLines="0" w:line="276" w:lineRule="auto"/>
      <w:contextualSpacing w:val="0"/>
      <w:jc w:val="left"/>
      <w:textAlignment w:val="auto"/>
      <w:outlineLvl w:val="9"/>
    </w:pPr>
    <w:rPr>
      <w:rFonts w:asciiTheme="majorHAnsi" w:hAnsiTheme="majorHAnsi" w:eastAsiaTheme="majorEastAsia" w:cstheme="majorBidi"/>
      <w:b/>
      <w:bCs/>
      <w:color w:val="7D9263" w:themeColor="accent1" w:themeShade="BF"/>
      <w:kern w:val="0"/>
      <w:sz w:val="28"/>
      <w:szCs w:val="28"/>
    </w:rPr>
  </w:style>
  <w:style w:type="table" w:customStyle="1" w:styleId="170">
    <w:name w:val="Table Normal1"/>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71">
    <w:name w:val="Table Paragraph"/>
    <w:basedOn w:val="1"/>
    <w:unhideWhenUsed/>
    <w:qFormat/>
    <w:uiPriority w:val="1"/>
    <w:pPr>
      <w:adjustRightInd/>
      <w:snapToGrid/>
      <w:spacing w:line="240" w:lineRule="auto"/>
      <w:ind w:firstLine="0" w:firstLineChars="0"/>
      <w:textAlignment w:val="auto"/>
    </w:pPr>
    <w:rPr>
      <w:rFonts w:ascii="Calibri" w:hAnsi="Calibri"/>
      <w:kern w:val="2"/>
      <w:szCs w:val="24"/>
    </w:rPr>
  </w:style>
  <w:style w:type="table" w:customStyle="1" w:styleId="172">
    <w:name w:val="网格型4"/>
    <w:basedOn w:val="41"/>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3">
    <w:name w:val="标题 2 Char"/>
    <w:basedOn w:val="44"/>
    <w:qFormat/>
    <w:uiPriority w:val="99"/>
    <w:rPr>
      <w:rFonts w:ascii="Cambria" w:hAnsi="Cambria" w:eastAsia="宋体" w:cs="Times New Roman"/>
      <w:b/>
      <w:bCs/>
      <w:kern w:val="0"/>
      <w:sz w:val="32"/>
      <w:szCs w:val="32"/>
    </w:rPr>
  </w:style>
  <w:style w:type="character" w:customStyle="1" w:styleId="174">
    <w:name w:val="标题 3 Char"/>
    <w:basedOn w:val="44"/>
    <w:qFormat/>
    <w:uiPriority w:val="99"/>
    <w:rPr>
      <w:rFonts w:ascii="Times New Roman" w:hAnsi="Times New Roman" w:eastAsia="宋体" w:cs="Times New Roman"/>
      <w:b/>
      <w:bCs/>
      <w:kern w:val="0"/>
      <w:sz w:val="32"/>
      <w:szCs w:val="32"/>
    </w:rPr>
  </w:style>
  <w:style w:type="character" w:customStyle="1" w:styleId="175">
    <w:name w:val="标题 4 Char"/>
    <w:basedOn w:val="44"/>
    <w:qFormat/>
    <w:uiPriority w:val="99"/>
    <w:rPr>
      <w:rFonts w:ascii="Cambria" w:hAnsi="Cambria" w:eastAsia="宋体" w:cs="Times New Roman"/>
      <w:b/>
      <w:bCs/>
      <w:kern w:val="0"/>
      <w:sz w:val="28"/>
      <w:szCs w:val="28"/>
    </w:rPr>
  </w:style>
  <w:style w:type="table" w:customStyle="1" w:styleId="176">
    <w:name w:val="网格型12"/>
    <w:basedOn w:val="41"/>
    <w:qFormat/>
    <w:uiPriority w:val="0"/>
    <w:pPr>
      <w:widowControl w:val="0"/>
      <w:jc w:val="both"/>
    </w:pPr>
    <w:rPr>
      <w:rFonts w:ascii="Times New Roman" w:hAnsi="Times New Roman"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7">
    <w:name w:val="标题 3 Char1"/>
    <w:qFormat/>
    <w:uiPriority w:val="0"/>
    <w:rPr>
      <w:rFonts w:eastAsia="宋体"/>
      <w:b/>
      <w:bCs/>
      <w:kern w:val="2"/>
      <w:sz w:val="28"/>
      <w:szCs w:val="32"/>
      <w:lang w:val="en-US" w:eastAsia="zh-CN" w:bidi="ar-SA"/>
    </w:rPr>
  </w:style>
  <w:style w:type="paragraph" w:customStyle="1" w:styleId="178">
    <w:name w:val="Table Text"/>
    <w:basedOn w:val="1"/>
    <w:semiHidden/>
    <w:qFormat/>
    <w:uiPriority w:val="0"/>
    <w:pPr>
      <w:widowControl/>
      <w:kinsoku w:val="0"/>
      <w:autoSpaceDE w:val="0"/>
      <w:autoSpaceDN w:val="0"/>
      <w:spacing w:line="240" w:lineRule="auto"/>
      <w:ind w:firstLine="0" w:firstLineChars="0"/>
      <w:jc w:val="left"/>
    </w:pPr>
    <w:rPr>
      <w:rFonts w:ascii="宋体" w:hAnsi="宋体" w:cs="宋体"/>
      <w:snapToGrid w:val="0"/>
      <w:color w:val="000000"/>
      <w:sz w:val="21"/>
      <w:szCs w:val="21"/>
      <w:lang w:eastAsia="en-US"/>
    </w:rPr>
  </w:style>
  <w:style w:type="paragraph" w:customStyle="1" w:styleId="179">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80">
    <w:name w:val="TableStyle12"/>
    <w:basedOn w:val="1"/>
    <w:qFormat/>
    <w:uiPriority w:val="0"/>
    <w:pPr>
      <w:adjustRightInd/>
      <w:snapToGrid/>
      <w:spacing w:line="240" w:lineRule="auto"/>
      <w:ind w:firstLine="0" w:firstLineChars="0"/>
      <w:jc w:val="center"/>
      <w:textAlignment w:val="auto"/>
    </w:pPr>
    <w:rPr>
      <w:kern w:val="2"/>
      <w:szCs w:val="22"/>
    </w:rPr>
  </w:style>
  <w:style w:type="paragraph" w:customStyle="1" w:styleId="181">
    <w:name w:val="标准条文"/>
    <w:qFormat/>
    <w:uiPriority w:val="0"/>
    <w:pPr>
      <w:spacing w:beforeLines="20" w:afterLines="20"/>
      <w:ind w:firstLine="200" w:firstLineChars="200"/>
    </w:pPr>
    <w:rPr>
      <w:rFonts w:ascii="Calibri" w:hAnsi="Calibri" w:eastAsia="宋体" w:cs="Times New Roman"/>
      <w:bCs/>
      <w:kern w:val="2"/>
      <w:sz w:val="21"/>
      <w:szCs w:val="24"/>
      <w:lang w:val="en-US" w:eastAsia="zh-CN" w:bidi="ar-SA"/>
    </w:rPr>
  </w:style>
  <w:style w:type="paragraph" w:customStyle="1" w:styleId="182">
    <w:name w:val="00正文"/>
    <w:basedOn w:val="1"/>
    <w:link w:val="204"/>
    <w:qFormat/>
    <w:uiPriority w:val="0"/>
    <w:pPr>
      <w:adjustRightInd/>
      <w:snapToGrid/>
      <w:ind w:firstLine="480"/>
      <w:textAlignment w:val="auto"/>
    </w:pPr>
    <w:rPr>
      <w:rFonts w:asciiTheme="minorHAnsi" w:hAnsiTheme="minorHAnsi" w:eastAsiaTheme="minorEastAsia" w:cstheme="minorBidi"/>
      <w:color w:val="000000"/>
      <w:kern w:val="2"/>
      <w:szCs w:val="24"/>
    </w:rPr>
  </w:style>
  <w:style w:type="paragraph" w:customStyle="1" w:styleId="183">
    <w:name w:val="00 表头"/>
    <w:basedOn w:val="1"/>
    <w:qFormat/>
    <w:uiPriority w:val="0"/>
    <w:pPr>
      <w:adjustRightInd/>
      <w:snapToGrid/>
      <w:ind w:firstLine="482" w:firstLineChars="0"/>
      <w:textAlignment w:val="auto"/>
    </w:pPr>
    <w:rPr>
      <w:rFonts w:eastAsia="黑体" w:asciiTheme="minorHAnsi" w:hAnsiTheme="minorHAnsi" w:cstheme="minorBidi"/>
      <w:bCs/>
      <w:kern w:val="2"/>
      <w:szCs w:val="24"/>
    </w:rPr>
  </w:style>
  <w:style w:type="paragraph" w:customStyle="1" w:styleId="184">
    <w:name w:val="0 GBJ正文"/>
    <w:basedOn w:val="1"/>
    <w:qFormat/>
    <w:uiPriority w:val="0"/>
    <w:pPr>
      <w:spacing w:line="460" w:lineRule="exact"/>
      <w:ind w:firstLine="480"/>
    </w:pPr>
    <w:rPr>
      <w:rFonts w:ascii="Calibri" w:hAnsi="Calibri"/>
    </w:rPr>
  </w:style>
  <w:style w:type="paragraph" w:customStyle="1" w:styleId="185">
    <w:name w:val="正文格式"/>
    <w:basedOn w:val="1"/>
    <w:qFormat/>
    <w:uiPriority w:val="0"/>
    <w:pPr>
      <w:adjustRightInd/>
      <w:snapToGrid/>
      <w:spacing w:line="360" w:lineRule="auto"/>
      <w:ind w:firstLine="544"/>
      <w:textAlignment w:val="auto"/>
    </w:pPr>
    <w:rPr>
      <w:rFonts w:eastAsiaTheme="minorEastAsia" w:cstheme="minorBidi"/>
      <w:kern w:val="2"/>
      <w:sz w:val="21"/>
      <w:szCs w:val="24"/>
    </w:rPr>
  </w:style>
  <w:style w:type="paragraph" w:customStyle="1" w:styleId="186">
    <w:name w:val="标题四"/>
    <w:basedOn w:val="1"/>
    <w:qFormat/>
    <w:uiPriority w:val="0"/>
    <w:pPr>
      <w:adjustRightInd/>
      <w:snapToGrid/>
      <w:spacing w:before="50" w:beforeLines="50" w:after="50" w:afterLines="50" w:line="240" w:lineRule="auto"/>
      <w:ind w:firstLine="0" w:firstLineChars="0"/>
      <w:textAlignment w:val="auto"/>
    </w:pPr>
    <w:rPr>
      <w:rFonts w:hint="eastAsia" w:eastAsiaTheme="minorEastAsia" w:cstheme="minorBidi"/>
      <w:b/>
      <w:bCs/>
      <w:kern w:val="2"/>
      <w:sz w:val="21"/>
      <w:szCs w:val="24"/>
    </w:rPr>
  </w:style>
  <w:style w:type="paragraph" w:customStyle="1" w:styleId="187">
    <w:name w:val="表格后正文"/>
    <w:basedOn w:val="188"/>
    <w:qFormat/>
    <w:uiPriority w:val="0"/>
    <w:pPr>
      <w:tabs>
        <w:tab w:val="left" w:pos="567"/>
      </w:tabs>
      <w:spacing w:before="200"/>
    </w:pPr>
  </w:style>
  <w:style w:type="paragraph" w:customStyle="1" w:styleId="188">
    <w:name w:val="新正文样式"/>
    <w:basedOn w:val="1"/>
    <w:qFormat/>
    <w:uiPriority w:val="0"/>
    <w:pPr>
      <w:tabs>
        <w:tab w:val="left" w:pos="567"/>
      </w:tabs>
      <w:adjustRightInd/>
      <w:snapToGrid/>
      <w:spacing w:line="360" w:lineRule="auto"/>
      <w:ind w:firstLine="567" w:firstLineChars="0"/>
      <w:textAlignment w:val="auto"/>
    </w:pPr>
    <w:rPr>
      <w:rFonts w:eastAsia="华文中宋"/>
      <w:spacing w:val="20"/>
      <w:kern w:val="2"/>
    </w:rPr>
  </w:style>
  <w:style w:type="paragraph" w:customStyle="1" w:styleId="189">
    <w:name w:val="Revision"/>
    <w:hidden/>
    <w:unhideWhenUsed/>
    <w:qFormat/>
    <w:uiPriority w:val="99"/>
    <w:rPr>
      <w:rFonts w:ascii="Times New Roman" w:hAnsi="Times New Roman" w:eastAsia="宋体" w:cs="Times New Roman"/>
      <w:sz w:val="24"/>
      <w:lang w:val="en-US" w:eastAsia="zh-CN" w:bidi="ar-SA"/>
    </w:rPr>
  </w:style>
  <w:style w:type="paragraph" w:customStyle="1" w:styleId="190">
    <w:name w:val="3级标题"/>
    <w:basedOn w:val="1"/>
    <w:link w:val="192"/>
    <w:qFormat/>
    <w:uiPriority w:val="0"/>
    <w:pPr>
      <w:keepNext/>
      <w:keepLines/>
      <w:adjustRightInd/>
      <w:snapToGrid/>
      <w:ind w:firstLine="0" w:firstLineChars="0"/>
      <w:textAlignment w:val="auto"/>
      <w:outlineLvl w:val="2"/>
    </w:pPr>
    <w:rPr>
      <w:rFonts w:eastAsia="黑体"/>
      <w:bCs/>
      <w:kern w:val="2"/>
      <w:sz w:val="28"/>
      <w:szCs w:val="28"/>
    </w:rPr>
  </w:style>
  <w:style w:type="paragraph" w:customStyle="1" w:styleId="191">
    <w:name w:val="正文 1"/>
    <w:basedOn w:val="107"/>
    <w:link w:val="193"/>
    <w:qFormat/>
    <w:uiPriority w:val="0"/>
    <w:pPr>
      <w:adjustRightInd/>
      <w:spacing w:line="520" w:lineRule="exact"/>
      <w:ind w:firstLine="200" w:firstLineChars="200"/>
    </w:pPr>
    <w:rPr>
      <w:rFonts w:ascii="Times New Roman" w:cs="Times New Roman"/>
      <w:color w:val="auto"/>
    </w:rPr>
  </w:style>
  <w:style w:type="character" w:customStyle="1" w:styleId="192">
    <w:name w:val="3级标题 字符"/>
    <w:basedOn w:val="44"/>
    <w:link w:val="190"/>
    <w:qFormat/>
    <w:uiPriority w:val="0"/>
    <w:rPr>
      <w:rFonts w:ascii="Times New Roman" w:hAnsi="Times New Roman" w:eastAsia="黑体"/>
      <w:bCs/>
      <w:kern w:val="2"/>
      <w:sz w:val="28"/>
      <w:szCs w:val="28"/>
    </w:rPr>
  </w:style>
  <w:style w:type="character" w:customStyle="1" w:styleId="193">
    <w:name w:val="正文 1 字符"/>
    <w:basedOn w:val="44"/>
    <w:link w:val="191"/>
    <w:qFormat/>
    <w:uiPriority w:val="0"/>
    <w:rPr>
      <w:rFonts w:ascii="Times New Roman" w:hAnsi="Times New Roman"/>
      <w:sz w:val="24"/>
      <w:szCs w:val="24"/>
    </w:rPr>
  </w:style>
  <w:style w:type="character" w:customStyle="1" w:styleId="194">
    <w:name w:val="三浦 表"/>
    <w:qFormat/>
    <w:uiPriority w:val="99"/>
    <w:rPr>
      <w:rFonts w:eastAsia="Times New Roman"/>
      <w:bCs/>
      <w:sz w:val="21"/>
    </w:rPr>
  </w:style>
  <w:style w:type="paragraph" w:customStyle="1" w:styleId="195">
    <w:name w:val="表内"/>
    <w:basedOn w:val="1"/>
    <w:qFormat/>
    <w:uiPriority w:val="99"/>
    <w:pPr>
      <w:framePr w:hSpace="180" w:wrap="around" w:vAnchor="page" w:hAnchor="margin" w:y="1411"/>
      <w:widowControl/>
      <w:adjustRightInd/>
      <w:snapToGrid/>
      <w:spacing w:line="240" w:lineRule="auto"/>
      <w:ind w:firstLine="0" w:firstLineChars="0"/>
      <w:textAlignment w:val="auto"/>
    </w:pPr>
    <w:rPr>
      <w:rFonts w:ascii="宋体" w:hAnsi="宋体" w:eastAsia="仿宋"/>
      <w:sz w:val="20"/>
    </w:rPr>
  </w:style>
  <w:style w:type="character" w:customStyle="1" w:styleId="196">
    <w:name w:val="普通(网站) 字符"/>
    <w:link w:val="35"/>
    <w:qFormat/>
    <w:locked/>
    <w:uiPriority w:val="99"/>
    <w:rPr>
      <w:rFonts w:ascii="宋体" w:hAnsi="宋体" w:cs="宋体"/>
      <w:sz w:val="24"/>
      <w:szCs w:val="24"/>
    </w:rPr>
  </w:style>
  <w:style w:type="character" w:customStyle="1" w:styleId="197">
    <w:name w:val="段落 Char"/>
    <w:link w:val="136"/>
    <w:qFormat/>
    <w:locked/>
    <w:uiPriority w:val="0"/>
    <w:rPr>
      <w:rFonts w:ascii="Times New Roman" w:hAnsi="Times New Roman"/>
      <w:sz w:val="28"/>
      <w:szCs w:val="28"/>
    </w:rPr>
  </w:style>
  <w:style w:type="character" w:customStyle="1" w:styleId="198">
    <w:name w:val="Unresolved Mention"/>
    <w:basedOn w:val="44"/>
    <w:semiHidden/>
    <w:unhideWhenUsed/>
    <w:qFormat/>
    <w:uiPriority w:val="99"/>
    <w:rPr>
      <w:color w:val="605E5C"/>
      <w:shd w:val="clear" w:color="auto" w:fill="E1DFDD"/>
    </w:rPr>
  </w:style>
  <w:style w:type="paragraph" w:customStyle="1" w:styleId="199">
    <w:name w:val="A韩静2级"/>
    <w:basedOn w:val="4"/>
    <w:qFormat/>
    <w:uiPriority w:val="0"/>
    <w:pPr>
      <w:keepNext w:val="0"/>
      <w:keepLines w:val="0"/>
      <w:numPr>
        <w:ilvl w:val="0"/>
        <w:numId w:val="0"/>
      </w:numPr>
      <w:tabs>
        <w:tab w:val="left" w:pos="360"/>
      </w:tabs>
      <w:adjustRightInd w:val="0"/>
      <w:snapToGrid w:val="0"/>
      <w:spacing w:before="312" w:beforeLines="100" w:after="312" w:afterLines="100" w:line="520" w:lineRule="exact"/>
      <w:ind w:left="992" w:hanging="567"/>
    </w:pPr>
    <w:rPr>
      <w:bCs/>
      <w:snapToGrid w:val="0"/>
      <w:szCs w:val="30"/>
      <w14:ligatures w14:val="standardContextual"/>
    </w:rPr>
  </w:style>
  <w:style w:type="paragraph" w:customStyle="1" w:styleId="200">
    <w:name w:val="A韩静3级"/>
    <w:basedOn w:val="5"/>
    <w:qFormat/>
    <w:uiPriority w:val="0"/>
    <w:pPr>
      <w:numPr>
        <w:ilvl w:val="0"/>
        <w:numId w:val="0"/>
      </w:numPr>
      <w:tabs>
        <w:tab w:val="left" w:pos="651"/>
        <w:tab w:val="left" w:pos="840"/>
      </w:tabs>
      <w:spacing w:before="156" w:beforeLines="50" w:after="156" w:afterLines="50" w:line="520" w:lineRule="exact"/>
      <w:ind w:left="1418" w:hanging="567"/>
    </w:pPr>
    <w:rPr>
      <w:rFonts w:ascii="宋体" w:hAnsi="宋体" w:eastAsia="宋体" w:cs="宋体"/>
      <w:szCs w:val="28"/>
      <w14:ligatures w14:val="standardContextual"/>
    </w:rPr>
  </w:style>
  <w:style w:type="paragraph" w:customStyle="1" w:styleId="201">
    <w:name w:val="A韩静4级"/>
    <w:basedOn w:val="1"/>
    <w:qFormat/>
    <w:uiPriority w:val="0"/>
    <w:pPr>
      <w:ind w:left="1984" w:hanging="708"/>
      <w:outlineLvl w:val="3"/>
    </w:pPr>
    <w:rPr>
      <w:b/>
      <w:bCs/>
      <w14:ligatures w14:val="standardContextual"/>
    </w:rPr>
  </w:style>
  <w:style w:type="paragraph" w:customStyle="1" w:styleId="202">
    <w:name w:val="A韩静5级"/>
    <w:basedOn w:val="201"/>
    <w:qFormat/>
    <w:uiPriority w:val="0"/>
    <w:pPr>
      <w:ind w:left="2551" w:hanging="850"/>
    </w:pPr>
  </w:style>
  <w:style w:type="paragraph" w:customStyle="1" w:styleId="203">
    <w:name w:val="报告表表格文字"/>
    <w:basedOn w:val="1"/>
    <w:qFormat/>
    <w:uiPriority w:val="0"/>
    <w:pPr>
      <w:autoSpaceDE w:val="0"/>
      <w:autoSpaceDN w:val="0"/>
      <w:spacing w:line="240" w:lineRule="auto"/>
      <w:ind w:firstLine="0" w:firstLineChars="0"/>
      <w:jc w:val="center"/>
      <w:textAlignment w:val="auto"/>
    </w:pPr>
    <w:rPr>
      <w:color w:val="000000"/>
      <w:sz w:val="21"/>
      <w:szCs w:val="21"/>
    </w:rPr>
  </w:style>
  <w:style w:type="character" w:customStyle="1" w:styleId="204">
    <w:name w:val="00正文 字符"/>
    <w:link w:val="182"/>
    <w:qFormat/>
    <w:uiPriority w:val="0"/>
    <w:rPr>
      <w:rFonts w:asciiTheme="minorHAnsi" w:hAnsiTheme="minorHAnsi" w:eastAsiaTheme="minorEastAsia" w:cstheme="minorBidi"/>
      <w:color w:val="000000"/>
      <w:kern w:val="2"/>
      <w:sz w:val="24"/>
      <w:szCs w:val="24"/>
    </w:rPr>
  </w:style>
  <w:style w:type="paragraph" w:customStyle="1" w:styleId="205">
    <w:name w:val="A韩静1级"/>
    <w:basedOn w:val="99"/>
    <w:link w:val="206"/>
    <w:autoRedefine/>
    <w:qFormat/>
    <w:uiPriority w:val="0"/>
    <w:pPr>
      <w:tabs>
        <w:tab w:val="left" w:pos="180"/>
      </w:tabs>
      <w:spacing w:before="312" w:beforeLines="100" w:after="312" w:afterLines="100"/>
      <w:ind w:left="425" w:firstLine="0" w:firstLineChars="0"/>
      <w:jc w:val="center"/>
      <w:outlineLvl w:val="0"/>
    </w:pPr>
    <w:rPr>
      <w:rFonts w:eastAsia="黑体"/>
      <w:snapToGrid w:val="0"/>
      <w:sz w:val="44"/>
      <w:szCs w:val="36"/>
      <w14:ligatures w14:val="standardContextual"/>
    </w:rPr>
  </w:style>
  <w:style w:type="character" w:customStyle="1" w:styleId="206">
    <w:name w:val="A韩静1级 字符"/>
    <w:basedOn w:val="44"/>
    <w:link w:val="205"/>
    <w:qFormat/>
    <w:uiPriority w:val="0"/>
    <w:rPr>
      <w:rFonts w:ascii="Times New Roman" w:hAnsi="Times New Roman" w:eastAsia="黑体"/>
      <w:snapToGrid w:val="0"/>
      <w:sz w:val="44"/>
      <w:szCs w:val="36"/>
      <w14:ligatures w14:val="standardContextual"/>
    </w:rPr>
  </w:style>
  <w:style w:type="character" w:customStyle="1" w:styleId="207">
    <w:name w:val="鸿达图标 字符"/>
    <w:basedOn w:val="44"/>
    <w:link w:val="68"/>
    <w:unhideWhenUsed/>
    <w:qFormat/>
    <w:uiPriority w:val="0"/>
    <w:rPr>
      <w:rFonts w:ascii="Times New Roman" w:hAnsi="Times New Roman"/>
      <w:b/>
      <w:kern w:val="2"/>
      <w:sz w:val="24"/>
    </w:rPr>
  </w:style>
  <w:style w:type="paragraph" w:customStyle="1" w:styleId="208">
    <w:name w:val="00表格内容"/>
    <w:basedOn w:val="1"/>
    <w:link w:val="209"/>
    <w:autoRedefine/>
    <w:qFormat/>
    <w:uiPriority w:val="0"/>
    <w:pPr>
      <w:adjustRightInd/>
      <w:snapToGrid/>
      <w:spacing w:line="240" w:lineRule="auto"/>
      <w:ind w:firstLine="0" w:firstLineChars="0"/>
      <w:jc w:val="center"/>
      <w:textAlignment w:val="auto"/>
    </w:pPr>
    <w:rPr>
      <w:rFonts w:cs="宋体"/>
      <w:bCs/>
      <w:kern w:val="2"/>
      <w:sz w:val="21"/>
      <w:szCs w:val="22"/>
    </w:rPr>
  </w:style>
  <w:style w:type="character" w:customStyle="1" w:styleId="209">
    <w:name w:val="00表格内容 字符"/>
    <w:basedOn w:val="44"/>
    <w:link w:val="208"/>
    <w:qFormat/>
    <w:uiPriority w:val="0"/>
    <w:rPr>
      <w:rFonts w:ascii="Times New Roman" w:hAnsi="Times New Roman" w:cs="宋体"/>
      <w:bCs/>
      <w:kern w:val="2"/>
      <w:sz w:val="21"/>
      <w:szCs w:val="22"/>
    </w:rPr>
  </w:style>
  <w:style w:type="paragraph" w:customStyle="1" w:styleId="210">
    <w:name w:val="00表格第一行"/>
    <w:basedOn w:val="208"/>
    <w:link w:val="211"/>
    <w:autoRedefine/>
    <w:qFormat/>
    <w:uiPriority w:val="0"/>
    <w:rPr>
      <w:b/>
      <w:bCs w:val="0"/>
    </w:rPr>
  </w:style>
  <w:style w:type="character" w:customStyle="1" w:styleId="211">
    <w:name w:val="00表格第一行 字符"/>
    <w:basedOn w:val="209"/>
    <w:link w:val="210"/>
    <w:qFormat/>
    <w:uiPriority w:val="0"/>
    <w:rPr>
      <w:rFonts w:ascii="Times New Roman" w:hAnsi="Times New Roman" w:cs="宋体"/>
      <w:b/>
      <w:bCs w:val="0"/>
      <w:kern w:val="2"/>
      <w:sz w:val="21"/>
      <w:szCs w:val="22"/>
    </w:rPr>
  </w:style>
  <w:style w:type="paragraph" w:customStyle="1" w:styleId="212">
    <w:name w:val="本文格式"/>
    <w:qFormat/>
    <w:uiPriority w:val="0"/>
    <w:pPr>
      <w:widowControl w:val="0"/>
      <w:spacing w:line="360" w:lineRule="exact"/>
      <w:ind w:firstLine="476"/>
      <w:jc w:val="both"/>
    </w:pPr>
    <w:rPr>
      <w:rFonts w:ascii="Arial Unicode MS" w:hAnsi="Arial Unicode MS" w:eastAsia="Arial Unicode MS" w:cs="Arial Unicode MS"/>
      <w:color w:val="000000"/>
      <w:sz w:val="24"/>
      <w:szCs w:val="24"/>
      <w:lang w:val="en-US" w:eastAsia="zh-CN" w:bidi="ar-SA"/>
    </w:rPr>
  </w:style>
  <w:style w:type="paragraph" w:customStyle="1" w:styleId="213">
    <w:name w:val="段落 Char Char"/>
    <w:basedOn w:val="1"/>
    <w:link w:val="214"/>
    <w:qFormat/>
    <w:uiPriority w:val="0"/>
    <w:pPr>
      <w:adjustRightInd/>
      <w:snapToGrid/>
      <w:spacing w:line="500" w:lineRule="exact"/>
      <w:ind w:firstLine="578" w:firstLineChars="0"/>
      <w:textAlignment w:val="auto"/>
    </w:pPr>
    <w:rPr>
      <w:kern w:val="2"/>
      <w:sz w:val="28"/>
      <w:szCs w:val="28"/>
    </w:rPr>
  </w:style>
  <w:style w:type="character" w:customStyle="1" w:styleId="214">
    <w:name w:val="段落 Char Char Char Char"/>
    <w:link w:val="213"/>
    <w:qFormat/>
    <w:locked/>
    <w:uiPriority w:val="0"/>
    <w:rPr>
      <w:rFonts w:ascii="Times New Roman" w:hAnsi="Times New Roman"/>
      <w:kern w:val="2"/>
      <w:sz w:val="28"/>
      <w:szCs w:val="28"/>
    </w:rPr>
  </w:style>
  <w:style w:type="paragraph" w:customStyle="1" w:styleId="215">
    <w:name w:val="表内头"/>
    <w:basedOn w:val="1"/>
    <w:qFormat/>
    <w:uiPriority w:val="0"/>
    <w:pPr>
      <w:adjustRightInd/>
      <w:snapToGrid/>
      <w:spacing w:line="360" w:lineRule="exact"/>
      <w:ind w:firstLine="0" w:firstLineChars="0"/>
      <w:jc w:val="center"/>
      <w:textAlignment w:val="auto"/>
    </w:pPr>
    <w:rPr>
      <w:b/>
      <w:kern w:val="2"/>
      <w:sz w:val="21"/>
    </w:rPr>
  </w:style>
  <w:style w:type="paragraph" w:customStyle="1" w:styleId="216">
    <w:name w:val="1.正文"/>
    <w:basedOn w:val="1"/>
    <w:qFormat/>
    <w:uiPriority w:val="0"/>
    <w:pPr>
      <w:adjustRightInd/>
      <w:snapToGrid/>
      <w:textAlignment w:val="auto"/>
    </w:pPr>
    <w:rPr>
      <w:rFonts w:cs="宋体"/>
      <w:kern w:val="2"/>
    </w:rPr>
  </w:style>
  <w:style w:type="character" w:customStyle="1" w:styleId="217">
    <w:name w:val="题注 字符"/>
    <w:link w:val="14"/>
    <w:qFormat/>
    <w:uiPriority w:val="0"/>
    <w:rPr>
      <w:rFonts w:ascii="Times New Roman" w:hAnsi="Times New Roman"/>
      <w:b/>
      <w:sz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63.png"/><Relationship Id="rId98" Type="http://schemas.openxmlformats.org/officeDocument/2006/relationships/image" Target="media/image62.png"/><Relationship Id="rId97" Type="http://schemas.openxmlformats.org/officeDocument/2006/relationships/image" Target="media/image61.png"/><Relationship Id="rId96" Type="http://schemas.openxmlformats.org/officeDocument/2006/relationships/image" Target="media/image60.png"/><Relationship Id="rId95" Type="http://schemas.openxmlformats.org/officeDocument/2006/relationships/image" Target="media/image59.png"/><Relationship Id="rId94" Type="http://schemas.openxmlformats.org/officeDocument/2006/relationships/image" Target="media/image58.png"/><Relationship Id="rId93" Type="http://schemas.openxmlformats.org/officeDocument/2006/relationships/image" Target="media/image57.png"/><Relationship Id="rId92" Type="http://schemas.openxmlformats.org/officeDocument/2006/relationships/image" Target="media/image56.png"/><Relationship Id="rId91" Type="http://schemas.openxmlformats.org/officeDocument/2006/relationships/image" Target="media/image55.png"/><Relationship Id="rId90" Type="http://schemas.openxmlformats.org/officeDocument/2006/relationships/image" Target="media/image54.png"/><Relationship Id="rId9" Type="http://schemas.openxmlformats.org/officeDocument/2006/relationships/footer" Target="footer2.xml"/><Relationship Id="rId89" Type="http://schemas.openxmlformats.org/officeDocument/2006/relationships/image" Target="media/image53.png"/><Relationship Id="rId88" Type="http://schemas.openxmlformats.org/officeDocument/2006/relationships/image" Target="media/image52.png"/><Relationship Id="rId87" Type="http://schemas.openxmlformats.org/officeDocument/2006/relationships/image" Target="media/image51.png"/><Relationship Id="rId86" Type="http://schemas.openxmlformats.org/officeDocument/2006/relationships/image" Target="media/image50.png"/><Relationship Id="rId85" Type="http://schemas.openxmlformats.org/officeDocument/2006/relationships/image" Target="media/image49.png"/><Relationship Id="rId84" Type="http://schemas.openxmlformats.org/officeDocument/2006/relationships/image" Target="media/image48.png"/><Relationship Id="rId83" Type="http://schemas.openxmlformats.org/officeDocument/2006/relationships/image" Target="media/image47.png"/><Relationship Id="rId82" Type="http://schemas.openxmlformats.org/officeDocument/2006/relationships/image" Target="media/image46.png"/><Relationship Id="rId81" Type="http://schemas.openxmlformats.org/officeDocument/2006/relationships/image" Target="media/image45.png"/><Relationship Id="rId80" Type="http://schemas.openxmlformats.org/officeDocument/2006/relationships/image" Target="media/image44.png"/><Relationship Id="rId8" Type="http://schemas.openxmlformats.org/officeDocument/2006/relationships/footer" Target="footer1.xml"/><Relationship Id="rId79" Type="http://schemas.openxmlformats.org/officeDocument/2006/relationships/image" Target="media/image43.png"/><Relationship Id="rId78" Type="http://schemas.openxmlformats.org/officeDocument/2006/relationships/oleObject" Target="embeddings/oleObject5.bin"/><Relationship Id="rId77" Type="http://schemas.openxmlformats.org/officeDocument/2006/relationships/image" Target="media/image42.png"/><Relationship Id="rId76" Type="http://schemas.openxmlformats.org/officeDocument/2006/relationships/oleObject" Target="embeddings/oleObject4.bin"/><Relationship Id="rId75" Type="http://schemas.openxmlformats.org/officeDocument/2006/relationships/image" Target="media/image41.png"/><Relationship Id="rId74" Type="http://schemas.openxmlformats.org/officeDocument/2006/relationships/oleObject" Target="embeddings/oleObject3.bin"/><Relationship Id="rId73" Type="http://schemas.openxmlformats.org/officeDocument/2006/relationships/image" Target="media/image40.png"/><Relationship Id="rId72" Type="http://schemas.openxmlformats.org/officeDocument/2006/relationships/oleObject" Target="embeddings/oleObject2.bin"/><Relationship Id="rId71" Type="http://schemas.openxmlformats.org/officeDocument/2006/relationships/image" Target="media/image39.png"/><Relationship Id="rId70" Type="http://schemas.openxmlformats.org/officeDocument/2006/relationships/image" Target="media/image38.png"/><Relationship Id="rId7" Type="http://schemas.openxmlformats.org/officeDocument/2006/relationships/header" Target="header3.xml"/><Relationship Id="rId69" Type="http://schemas.openxmlformats.org/officeDocument/2006/relationships/image" Target="media/image37.png"/><Relationship Id="rId68" Type="http://schemas.openxmlformats.org/officeDocument/2006/relationships/image" Target="media/image36.png"/><Relationship Id="rId67" Type="http://schemas.openxmlformats.org/officeDocument/2006/relationships/image" Target="media/image35.png"/><Relationship Id="rId66" Type="http://schemas.openxmlformats.org/officeDocument/2006/relationships/oleObject" Target="embeddings/oleObject1.bin"/><Relationship Id="rId65" Type="http://schemas.openxmlformats.org/officeDocument/2006/relationships/image" Target="media/image34.png"/><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header" Target="header2.xml"/><Relationship Id="rId59" Type="http://schemas.openxmlformats.org/officeDocument/2006/relationships/image" Target="media/image28.pn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header" Target="head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endnotes" Target="endnotes.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header" Target="header10.xml"/><Relationship Id="rId28" Type="http://schemas.openxmlformats.org/officeDocument/2006/relationships/header" Target="header9.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8.xml"/><Relationship Id="rId237" Type="http://schemas.openxmlformats.org/officeDocument/2006/relationships/fontTable" Target="fontTable.xml"/><Relationship Id="rId236" Type="http://schemas.openxmlformats.org/officeDocument/2006/relationships/customXml" Target="../customXml/item2.xml"/><Relationship Id="rId235" Type="http://schemas.openxmlformats.org/officeDocument/2006/relationships/numbering" Target="numbering.xml"/><Relationship Id="rId234" Type="http://schemas.openxmlformats.org/officeDocument/2006/relationships/customXml" Target="../customXml/item1.xml"/><Relationship Id="rId233" Type="http://schemas.openxmlformats.org/officeDocument/2006/relationships/image" Target="media/image186.png"/><Relationship Id="rId232" Type="http://schemas.openxmlformats.org/officeDocument/2006/relationships/image" Target="media/image185.png"/><Relationship Id="rId231" Type="http://schemas.openxmlformats.org/officeDocument/2006/relationships/image" Target="media/image184.png"/><Relationship Id="rId230" Type="http://schemas.openxmlformats.org/officeDocument/2006/relationships/image" Target="media/image183.png"/><Relationship Id="rId23" Type="http://schemas.openxmlformats.org/officeDocument/2006/relationships/header" Target="header7.xml"/><Relationship Id="rId229" Type="http://schemas.openxmlformats.org/officeDocument/2006/relationships/image" Target="media/image182.png"/><Relationship Id="rId228" Type="http://schemas.openxmlformats.org/officeDocument/2006/relationships/image" Target="media/image181.png"/><Relationship Id="rId227" Type="http://schemas.openxmlformats.org/officeDocument/2006/relationships/image" Target="media/image180.png"/><Relationship Id="rId226" Type="http://schemas.openxmlformats.org/officeDocument/2006/relationships/image" Target="media/image179.png"/><Relationship Id="rId225" Type="http://schemas.openxmlformats.org/officeDocument/2006/relationships/image" Target="media/image178.png"/><Relationship Id="rId224" Type="http://schemas.openxmlformats.org/officeDocument/2006/relationships/image" Target="media/image177.png"/><Relationship Id="rId223" Type="http://schemas.openxmlformats.org/officeDocument/2006/relationships/image" Target="media/image176.png"/><Relationship Id="rId222" Type="http://schemas.openxmlformats.org/officeDocument/2006/relationships/image" Target="media/image175.png"/><Relationship Id="rId221" Type="http://schemas.openxmlformats.org/officeDocument/2006/relationships/image" Target="media/image174.png"/><Relationship Id="rId220" Type="http://schemas.openxmlformats.org/officeDocument/2006/relationships/image" Target="media/image173.png"/><Relationship Id="rId22" Type="http://schemas.openxmlformats.org/officeDocument/2006/relationships/header" Target="header6.xml"/><Relationship Id="rId219" Type="http://schemas.openxmlformats.org/officeDocument/2006/relationships/image" Target="media/image172.jpeg"/><Relationship Id="rId218" Type="http://schemas.openxmlformats.org/officeDocument/2006/relationships/image" Target="media/image171.jpeg"/><Relationship Id="rId217" Type="http://schemas.openxmlformats.org/officeDocument/2006/relationships/image" Target="media/image170.jpeg"/><Relationship Id="rId216" Type="http://schemas.openxmlformats.org/officeDocument/2006/relationships/image" Target="media/image169.png"/><Relationship Id="rId215" Type="http://schemas.openxmlformats.org/officeDocument/2006/relationships/image" Target="media/image168.png"/><Relationship Id="rId214" Type="http://schemas.openxmlformats.org/officeDocument/2006/relationships/image" Target="media/image167.png"/><Relationship Id="rId213" Type="http://schemas.openxmlformats.org/officeDocument/2006/relationships/image" Target="media/image166.png"/><Relationship Id="rId212" Type="http://schemas.openxmlformats.org/officeDocument/2006/relationships/image" Target="media/image165.png"/><Relationship Id="rId211" Type="http://schemas.openxmlformats.org/officeDocument/2006/relationships/image" Target="media/image164.png"/><Relationship Id="rId210" Type="http://schemas.openxmlformats.org/officeDocument/2006/relationships/image" Target="media/image163.png"/><Relationship Id="rId21" Type="http://schemas.openxmlformats.org/officeDocument/2006/relationships/footer" Target="footer12.xml"/><Relationship Id="rId209" Type="http://schemas.openxmlformats.org/officeDocument/2006/relationships/image" Target="media/image162.png"/><Relationship Id="rId208" Type="http://schemas.openxmlformats.org/officeDocument/2006/relationships/image" Target="media/image161.png"/><Relationship Id="rId207" Type="http://schemas.openxmlformats.org/officeDocument/2006/relationships/image" Target="media/image160.png"/><Relationship Id="rId206" Type="http://schemas.openxmlformats.org/officeDocument/2006/relationships/image" Target="media/image159.png"/><Relationship Id="rId205" Type="http://schemas.openxmlformats.org/officeDocument/2006/relationships/image" Target="media/image158.png"/><Relationship Id="rId204" Type="http://schemas.openxmlformats.org/officeDocument/2006/relationships/image" Target="media/image157.png"/><Relationship Id="rId203" Type="http://schemas.openxmlformats.org/officeDocument/2006/relationships/image" Target="media/image156.png"/><Relationship Id="rId202" Type="http://schemas.openxmlformats.org/officeDocument/2006/relationships/image" Target="media/image155.png"/><Relationship Id="rId201" Type="http://schemas.openxmlformats.org/officeDocument/2006/relationships/image" Target="media/image154.png"/><Relationship Id="rId200" Type="http://schemas.openxmlformats.org/officeDocument/2006/relationships/image" Target="media/image153.png"/><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image" Target="media/image152.png"/><Relationship Id="rId198" Type="http://schemas.openxmlformats.org/officeDocument/2006/relationships/image" Target="media/image151.png"/><Relationship Id="rId197" Type="http://schemas.openxmlformats.org/officeDocument/2006/relationships/image" Target="media/image150.png"/><Relationship Id="rId196" Type="http://schemas.openxmlformats.org/officeDocument/2006/relationships/image" Target="media/image149.png"/><Relationship Id="rId195" Type="http://schemas.openxmlformats.org/officeDocument/2006/relationships/image" Target="media/image148.png"/><Relationship Id="rId194" Type="http://schemas.openxmlformats.org/officeDocument/2006/relationships/image" Target="media/image147.png"/><Relationship Id="rId193" Type="http://schemas.openxmlformats.org/officeDocument/2006/relationships/image" Target="media/image146.png"/><Relationship Id="rId192" Type="http://schemas.openxmlformats.org/officeDocument/2006/relationships/image" Target="media/image145.png"/><Relationship Id="rId191" Type="http://schemas.openxmlformats.org/officeDocument/2006/relationships/image" Target="media/image144.png"/><Relationship Id="rId190" Type="http://schemas.openxmlformats.org/officeDocument/2006/relationships/image" Target="media/image143.png"/><Relationship Id="rId19" Type="http://schemas.openxmlformats.org/officeDocument/2006/relationships/footer" Target="footer10.xml"/><Relationship Id="rId189" Type="http://schemas.openxmlformats.org/officeDocument/2006/relationships/image" Target="media/image142.png"/><Relationship Id="rId188" Type="http://schemas.openxmlformats.org/officeDocument/2006/relationships/image" Target="media/image141.png"/><Relationship Id="rId187" Type="http://schemas.openxmlformats.org/officeDocument/2006/relationships/image" Target="media/image140.png"/><Relationship Id="rId186" Type="http://schemas.openxmlformats.org/officeDocument/2006/relationships/image" Target="media/image139.png"/><Relationship Id="rId185" Type="http://schemas.openxmlformats.org/officeDocument/2006/relationships/image" Target="media/image138.png"/><Relationship Id="rId184" Type="http://schemas.openxmlformats.org/officeDocument/2006/relationships/image" Target="media/image137.png"/><Relationship Id="rId183" Type="http://schemas.openxmlformats.org/officeDocument/2006/relationships/image" Target="media/image136.png"/><Relationship Id="rId182" Type="http://schemas.openxmlformats.org/officeDocument/2006/relationships/image" Target="media/image135.png"/><Relationship Id="rId181" Type="http://schemas.openxmlformats.org/officeDocument/2006/relationships/image" Target="media/image134.jpeg"/><Relationship Id="rId180" Type="http://schemas.openxmlformats.org/officeDocument/2006/relationships/image" Target="media/image133.png"/><Relationship Id="rId18" Type="http://schemas.openxmlformats.org/officeDocument/2006/relationships/footer" Target="footer9.xml"/><Relationship Id="rId179" Type="http://schemas.openxmlformats.org/officeDocument/2006/relationships/image" Target="media/image132.png"/><Relationship Id="rId178" Type="http://schemas.openxmlformats.org/officeDocument/2006/relationships/image" Target="media/image131.png"/><Relationship Id="rId177" Type="http://schemas.openxmlformats.org/officeDocument/2006/relationships/image" Target="media/image130.png"/><Relationship Id="rId176" Type="http://schemas.openxmlformats.org/officeDocument/2006/relationships/image" Target="media/image129.png"/><Relationship Id="rId175" Type="http://schemas.openxmlformats.org/officeDocument/2006/relationships/image" Target="media/image128.png"/><Relationship Id="rId174" Type="http://schemas.openxmlformats.org/officeDocument/2006/relationships/image" Target="media/image127.png"/><Relationship Id="rId173" Type="http://schemas.openxmlformats.org/officeDocument/2006/relationships/image" Target="media/image126.png"/><Relationship Id="rId172" Type="http://schemas.openxmlformats.org/officeDocument/2006/relationships/image" Target="media/image125.png"/><Relationship Id="rId171" Type="http://schemas.openxmlformats.org/officeDocument/2006/relationships/image" Target="media/image124.png"/><Relationship Id="rId170" Type="http://schemas.openxmlformats.org/officeDocument/2006/relationships/image" Target="media/image123.png"/><Relationship Id="rId17" Type="http://schemas.openxmlformats.org/officeDocument/2006/relationships/footer" Target="footer8.xml"/><Relationship Id="rId169" Type="http://schemas.openxmlformats.org/officeDocument/2006/relationships/image" Target="media/image122.png"/><Relationship Id="rId168" Type="http://schemas.openxmlformats.org/officeDocument/2006/relationships/image" Target="media/image121.png"/><Relationship Id="rId167" Type="http://schemas.openxmlformats.org/officeDocument/2006/relationships/image" Target="media/image120.png"/><Relationship Id="rId166" Type="http://schemas.openxmlformats.org/officeDocument/2006/relationships/image" Target="media/image119.png"/><Relationship Id="rId165" Type="http://schemas.openxmlformats.org/officeDocument/2006/relationships/image" Target="media/image118.png"/><Relationship Id="rId164" Type="http://schemas.openxmlformats.org/officeDocument/2006/relationships/image" Target="media/image117.png"/><Relationship Id="rId163" Type="http://schemas.openxmlformats.org/officeDocument/2006/relationships/image" Target="media/image116.png"/><Relationship Id="rId162" Type="http://schemas.openxmlformats.org/officeDocument/2006/relationships/image" Target="media/image115.png"/><Relationship Id="rId161" Type="http://schemas.openxmlformats.org/officeDocument/2006/relationships/image" Target="media/image114.png"/><Relationship Id="rId160" Type="http://schemas.openxmlformats.org/officeDocument/2006/relationships/image" Target="media/image113.png"/><Relationship Id="rId16" Type="http://schemas.openxmlformats.org/officeDocument/2006/relationships/footer" Target="footer7.xml"/><Relationship Id="rId159" Type="http://schemas.openxmlformats.org/officeDocument/2006/relationships/image" Target="media/image112.png"/><Relationship Id="rId158" Type="http://schemas.openxmlformats.org/officeDocument/2006/relationships/image" Target="media/image111.png"/><Relationship Id="rId157" Type="http://schemas.openxmlformats.org/officeDocument/2006/relationships/image" Target="media/image110.png"/><Relationship Id="rId156" Type="http://schemas.openxmlformats.org/officeDocument/2006/relationships/image" Target="media/image109.png"/><Relationship Id="rId155" Type="http://schemas.openxmlformats.org/officeDocument/2006/relationships/image" Target="media/image108.jpeg"/><Relationship Id="rId154" Type="http://schemas.openxmlformats.org/officeDocument/2006/relationships/image" Target="media/image107.png"/><Relationship Id="rId153" Type="http://schemas.openxmlformats.org/officeDocument/2006/relationships/image" Target="media/image106.png"/><Relationship Id="rId152" Type="http://schemas.openxmlformats.org/officeDocument/2006/relationships/image" Target="media/image105.png"/><Relationship Id="rId151" Type="http://schemas.openxmlformats.org/officeDocument/2006/relationships/image" Target="media/image104.png"/><Relationship Id="rId150" Type="http://schemas.openxmlformats.org/officeDocument/2006/relationships/image" Target="media/image103.png"/><Relationship Id="rId15" Type="http://schemas.openxmlformats.org/officeDocument/2006/relationships/footer" Target="footer6.xml"/><Relationship Id="rId149" Type="http://schemas.openxmlformats.org/officeDocument/2006/relationships/image" Target="media/image102.png"/><Relationship Id="rId148" Type="http://schemas.openxmlformats.org/officeDocument/2006/relationships/image" Target="media/image101.png"/><Relationship Id="rId147" Type="http://schemas.openxmlformats.org/officeDocument/2006/relationships/image" Target="media/image100.png"/><Relationship Id="rId146" Type="http://schemas.openxmlformats.org/officeDocument/2006/relationships/image" Target="media/image99.png"/><Relationship Id="rId145" Type="http://schemas.openxmlformats.org/officeDocument/2006/relationships/image" Target="media/image98.png"/><Relationship Id="rId144" Type="http://schemas.openxmlformats.org/officeDocument/2006/relationships/image" Target="media/image97.png"/><Relationship Id="rId143" Type="http://schemas.openxmlformats.org/officeDocument/2006/relationships/image" Target="media/image96.png"/><Relationship Id="rId142" Type="http://schemas.openxmlformats.org/officeDocument/2006/relationships/image" Target="media/image95.png"/><Relationship Id="rId141" Type="http://schemas.openxmlformats.org/officeDocument/2006/relationships/package" Target="embeddings/Microsoft_Visio___8.vsdx"/><Relationship Id="rId140" Type="http://schemas.openxmlformats.org/officeDocument/2006/relationships/image" Target="media/image94.png"/><Relationship Id="rId14" Type="http://schemas.openxmlformats.org/officeDocument/2006/relationships/footer" Target="footer5.xml"/><Relationship Id="rId139" Type="http://schemas.openxmlformats.org/officeDocument/2006/relationships/image" Target="media/image93.png"/><Relationship Id="rId138" Type="http://schemas.openxmlformats.org/officeDocument/2006/relationships/image" Target="media/image92.png"/><Relationship Id="rId137" Type="http://schemas.openxmlformats.org/officeDocument/2006/relationships/image" Target="media/image91.png"/><Relationship Id="rId136" Type="http://schemas.openxmlformats.org/officeDocument/2006/relationships/image" Target="media/image90.png"/><Relationship Id="rId135" Type="http://schemas.openxmlformats.org/officeDocument/2006/relationships/chart" Target="charts/chart2.xml"/><Relationship Id="rId134" Type="http://schemas.openxmlformats.org/officeDocument/2006/relationships/chart" Target="charts/chart1.xml"/><Relationship Id="rId133" Type="http://schemas.openxmlformats.org/officeDocument/2006/relationships/image" Target="media/image89.jpeg"/><Relationship Id="rId132" Type="http://schemas.openxmlformats.org/officeDocument/2006/relationships/package" Target="embeddings/Microsoft_Visio___7.vsdx"/><Relationship Id="rId131" Type="http://schemas.openxmlformats.org/officeDocument/2006/relationships/image" Target="media/image88.png"/><Relationship Id="rId130" Type="http://schemas.openxmlformats.org/officeDocument/2006/relationships/package" Target="embeddings/Microsoft_Visio___6.vsdx"/><Relationship Id="rId13" Type="http://schemas.openxmlformats.org/officeDocument/2006/relationships/header" Target="header5.xml"/><Relationship Id="rId129" Type="http://schemas.openxmlformats.org/officeDocument/2006/relationships/image" Target="media/image87.png"/><Relationship Id="rId128" Type="http://schemas.openxmlformats.org/officeDocument/2006/relationships/image" Target="media/image86.png"/><Relationship Id="rId127" Type="http://schemas.openxmlformats.org/officeDocument/2006/relationships/image" Target="media/image85.png"/><Relationship Id="rId126" Type="http://schemas.openxmlformats.org/officeDocument/2006/relationships/package" Target="embeddings/Microsoft_Visio___5.vsdx"/><Relationship Id="rId125" Type="http://schemas.openxmlformats.org/officeDocument/2006/relationships/image" Target="media/image84.jpeg"/><Relationship Id="rId124" Type="http://schemas.openxmlformats.org/officeDocument/2006/relationships/package" Target="embeddings/Microsoft_Visio___4.vsdx"/><Relationship Id="rId123" Type="http://schemas.openxmlformats.org/officeDocument/2006/relationships/image" Target="media/image83.jpeg"/><Relationship Id="rId122" Type="http://schemas.openxmlformats.org/officeDocument/2006/relationships/package" Target="embeddings/Microsoft_Visio___3.vsdx"/><Relationship Id="rId121" Type="http://schemas.openxmlformats.org/officeDocument/2006/relationships/image" Target="media/image82.jpeg"/><Relationship Id="rId120" Type="http://schemas.openxmlformats.org/officeDocument/2006/relationships/package" Target="embeddings/Microsoft_Visio___2.vsdx"/><Relationship Id="rId12" Type="http://schemas.openxmlformats.org/officeDocument/2006/relationships/header" Target="header4.xml"/><Relationship Id="rId119" Type="http://schemas.openxmlformats.org/officeDocument/2006/relationships/image" Target="media/image81.png"/><Relationship Id="rId118" Type="http://schemas.openxmlformats.org/officeDocument/2006/relationships/image" Target="media/image80.png"/><Relationship Id="rId117" Type="http://schemas.openxmlformats.org/officeDocument/2006/relationships/package" Target="embeddings/Microsoft_Visio___1.vsdx"/><Relationship Id="rId116" Type="http://schemas.openxmlformats.org/officeDocument/2006/relationships/image" Target="media/image79.png"/><Relationship Id="rId115" Type="http://schemas.openxmlformats.org/officeDocument/2006/relationships/image" Target="media/image78.png"/><Relationship Id="rId114" Type="http://schemas.openxmlformats.org/officeDocument/2006/relationships/oleObject" Target="embeddings/oleObject6.bin"/><Relationship Id="rId113" Type="http://schemas.openxmlformats.org/officeDocument/2006/relationships/image" Target="media/image77.png"/><Relationship Id="rId112" Type="http://schemas.openxmlformats.org/officeDocument/2006/relationships/image" Target="media/image76.png"/><Relationship Id="rId111" Type="http://schemas.openxmlformats.org/officeDocument/2006/relationships/image" Target="media/image75.png"/><Relationship Id="rId110" Type="http://schemas.openxmlformats.org/officeDocument/2006/relationships/image" Target="media/image74.png"/><Relationship Id="rId11" Type="http://schemas.openxmlformats.org/officeDocument/2006/relationships/footer" Target="footer4.xml"/><Relationship Id="rId109" Type="http://schemas.openxmlformats.org/officeDocument/2006/relationships/image" Target="media/image73.png"/><Relationship Id="rId108" Type="http://schemas.openxmlformats.org/officeDocument/2006/relationships/image" Target="media/image72.png"/><Relationship Id="rId107" Type="http://schemas.openxmlformats.org/officeDocument/2006/relationships/image" Target="media/image71.png"/><Relationship Id="rId106" Type="http://schemas.openxmlformats.org/officeDocument/2006/relationships/image" Target="media/image70.png"/><Relationship Id="rId105" Type="http://schemas.openxmlformats.org/officeDocument/2006/relationships/image" Target="media/image69.png"/><Relationship Id="rId104" Type="http://schemas.openxmlformats.org/officeDocument/2006/relationships/image" Target="media/image68.png"/><Relationship Id="rId103" Type="http://schemas.openxmlformats.org/officeDocument/2006/relationships/image" Target="media/image67.png"/><Relationship Id="rId102" Type="http://schemas.openxmlformats.org/officeDocument/2006/relationships/image" Target="media/image66.png"/><Relationship Id="rId101" Type="http://schemas.openxmlformats.org/officeDocument/2006/relationships/image" Target="media/image65.png"/><Relationship Id="rId100" Type="http://schemas.openxmlformats.org/officeDocument/2006/relationships/image" Target="media/image64.png"/><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d.docs.live.net/dd50373d0bae584a/&#29615;&#35780;/2024/7-&#27427;&#23011;&#33452;&#21270;&#24037;/&#20250;&#21518;/&#39044;&#27979;/&#22320;&#19979;&#27700;/&#26032;&#24314;%20Microsoft%20Excel%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d.docs.live.net/dd50373d0bae584a/&#29615;&#35780;/2024/7-&#27427;&#23011;&#33452;&#21270;&#24037;/&#20250;&#21518;/&#39044;&#27979;/&#22320;&#19979;&#27700;/&#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latin typeface="宋体" panose="02010600030101010101" charset="-122"/>
                <a:ea typeface="宋体" panose="02010600030101010101" charset="-122"/>
              </a:rPr>
              <a:t>耗氧量</a:t>
            </a:r>
            <a:endParaRPr lang="zh-CN" altLang="en-US">
              <a:latin typeface="宋体" panose="02010600030101010101" charset="-122"/>
              <a:ea typeface="宋体" panose="02010600030101010101" charset="-122"/>
            </a:endParaRPr>
          </a:p>
        </c:rich>
      </c:tx>
      <c:layout/>
      <c:overlay val="0"/>
      <c:spPr>
        <a:noFill/>
        <a:ln>
          <a:noFill/>
        </a:ln>
        <a:effectLst/>
      </c:spPr>
    </c:title>
    <c:autoTitleDeleted val="0"/>
    <c:plotArea>
      <c:layout/>
      <c:scatterChart>
        <c:scatterStyle val="lineMarker"/>
        <c:varyColors val="0"/>
        <c:ser>
          <c:idx val="0"/>
          <c:order val="0"/>
          <c:tx>
            <c:strRef>
              <c:f>Sheet9!$B$1</c:f>
              <c:strCache>
                <c:ptCount val="1"/>
                <c:pt idx="0">
                  <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delete val="1"/>
          </c:dLbls>
          <c:xVal>
            <c:numRef>
              <c:f>Sheet9!$A$2:$A$1001</c:f>
              <c:numCache>
                <c:formatCode>General</c:formatCode>
                <c:ptCount val="100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pt idx="150">
                  <c:v>1510</c:v>
                </c:pt>
                <c:pt idx="151">
                  <c:v>1520</c:v>
                </c:pt>
                <c:pt idx="152">
                  <c:v>1530</c:v>
                </c:pt>
                <c:pt idx="153">
                  <c:v>1540</c:v>
                </c:pt>
                <c:pt idx="154">
                  <c:v>1550</c:v>
                </c:pt>
                <c:pt idx="155">
                  <c:v>1560</c:v>
                </c:pt>
                <c:pt idx="156">
                  <c:v>1570</c:v>
                </c:pt>
                <c:pt idx="157">
                  <c:v>1580</c:v>
                </c:pt>
                <c:pt idx="158">
                  <c:v>1590</c:v>
                </c:pt>
                <c:pt idx="159">
                  <c:v>1600</c:v>
                </c:pt>
                <c:pt idx="160">
                  <c:v>1610</c:v>
                </c:pt>
                <c:pt idx="161">
                  <c:v>1620</c:v>
                </c:pt>
                <c:pt idx="162">
                  <c:v>1630</c:v>
                </c:pt>
                <c:pt idx="163">
                  <c:v>1640</c:v>
                </c:pt>
                <c:pt idx="164">
                  <c:v>1650</c:v>
                </c:pt>
                <c:pt idx="165">
                  <c:v>1660</c:v>
                </c:pt>
                <c:pt idx="166">
                  <c:v>1670</c:v>
                </c:pt>
                <c:pt idx="167">
                  <c:v>1680</c:v>
                </c:pt>
                <c:pt idx="168">
                  <c:v>1690</c:v>
                </c:pt>
                <c:pt idx="169">
                  <c:v>1700</c:v>
                </c:pt>
                <c:pt idx="170">
                  <c:v>1710</c:v>
                </c:pt>
                <c:pt idx="171">
                  <c:v>1720</c:v>
                </c:pt>
                <c:pt idx="172">
                  <c:v>1730</c:v>
                </c:pt>
                <c:pt idx="173">
                  <c:v>1740</c:v>
                </c:pt>
                <c:pt idx="174">
                  <c:v>1750</c:v>
                </c:pt>
                <c:pt idx="175">
                  <c:v>1760</c:v>
                </c:pt>
                <c:pt idx="176">
                  <c:v>1770</c:v>
                </c:pt>
                <c:pt idx="177">
                  <c:v>1780</c:v>
                </c:pt>
                <c:pt idx="178">
                  <c:v>1790</c:v>
                </c:pt>
                <c:pt idx="179">
                  <c:v>1800</c:v>
                </c:pt>
                <c:pt idx="180">
                  <c:v>1810</c:v>
                </c:pt>
                <c:pt idx="181">
                  <c:v>1820</c:v>
                </c:pt>
                <c:pt idx="182">
                  <c:v>1830</c:v>
                </c:pt>
                <c:pt idx="183">
                  <c:v>1840</c:v>
                </c:pt>
                <c:pt idx="184">
                  <c:v>1850</c:v>
                </c:pt>
                <c:pt idx="185">
                  <c:v>1860</c:v>
                </c:pt>
                <c:pt idx="186">
                  <c:v>1870</c:v>
                </c:pt>
                <c:pt idx="187">
                  <c:v>1880</c:v>
                </c:pt>
                <c:pt idx="188">
                  <c:v>1890</c:v>
                </c:pt>
                <c:pt idx="189">
                  <c:v>1900</c:v>
                </c:pt>
                <c:pt idx="190">
                  <c:v>1910</c:v>
                </c:pt>
                <c:pt idx="191">
                  <c:v>1920</c:v>
                </c:pt>
                <c:pt idx="192">
                  <c:v>1930</c:v>
                </c:pt>
                <c:pt idx="193">
                  <c:v>1940</c:v>
                </c:pt>
                <c:pt idx="194">
                  <c:v>1950</c:v>
                </c:pt>
                <c:pt idx="195">
                  <c:v>1960</c:v>
                </c:pt>
                <c:pt idx="196">
                  <c:v>1970</c:v>
                </c:pt>
                <c:pt idx="197">
                  <c:v>1980</c:v>
                </c:pt>
                <c:pt idx="198">
                  <c:v>1990</c:v>
                </c:pt>
                <c:pt idx="199">
                  <c:v>2000</c:v>
                </c:pt>
                <c:pt idx="200">
                  <c:v>2010</c:v>
                </c:pt>
                <c:pt idx="201">
                  <c:v>2020</c:v>
                </c:pt>
                <c:pt idx="202">
                  <c:v>2030</c:v>
                </c:pt>
                <c:pt idx="203">
                  <c:v>2040</c:v>
                </c:pt>
                <c:pt idx="204">
                  <c:v>2050</c:v>
                </c:pt>
                <c:pt idx="205">
                  <c:v>2060</c:v>
                </c:pt>
                <c:pt idx="206">
                  <c:v>2070</c:v>
                </c:pt>
                <c:pt idx="207">
                  <c:v>2080</c:v>
                </c:pt>
                <c:pt idx="208">
                  <c:v>2090</c:v>
                </c:pt>
                <c:pt idx="209">
                  <c:v>2100</c:v>
                </c:pt>
                <c:pt idx="210">
                  <c:v>2110</c:v>
                </c:pt>
                <c:pt idx="211">
                  <c:v>2120</c:v>
                </c:pt>
                <c:pt idx="212">
                  <c:v>2130</c:v>
                </c:pt>
                <c:pt idx="213">
                  <c:v>2140</c:v>
                </c:pt>
                <c:pt idx="214">
                  <c:v>2150</c:v>
                </c:pt>
                <c:pt idx="215">
                  <c:v>2160</c:v>
                </c:pt>
                <c:pt idx="216">
                  <c:v>2170</c:v>
                </c:pt>
                <c:pt idx="217">
                  <c:v>2180</c:v>
                </c:pt>
                <c:pt idx="218">
                  <c:v>2190</c:v>
                </c:pt>
                <c:pt idx="219">
                  <c:v>2200</c:v>
                </c:pt>
                <c:pt idx="220">
                  <c:v>2210</c:v>
                </c:pt>
                <c:pt idx="221">
                  <c:v>2220</c:v>
                </c:pt>
                <c:pt idx="222">
                  <c:v>2230</c:v>
                </c:pt>
                <c:pt idx="223">
                  <c:v>2240</c:v>
                </c:pt>
                <c:pt idx="224">
                  <c:v>2250</c:v>
                </c:pt>
                <c:pt idx="225">
                  <c:v>2260</c:v>
                </c:pt>
                <c:pt idx="226">
                  <c:v>2270</c:v>
                </c:pt>
                <c:pt idx="227">
                  <c:v>2280</c:v>
                </c:pt>
                <c:pt idx="228">
                  <c:v>2290</c:v>
                </c:pt>
                <c:pt idx="229">
                  <c:v>2300</c:v>
                </c:pt>
                <c:pt idx="230">
                  <c:v>2310</c:v>
                </c:pt>
                <c:pt idx="231">
                  <c:v>2320</c:v>
                </c:pt>
                <c:pt idx="232">
                  <c:v>2330</c:v>
                </c:pt>
                <c:pt idx="233">
                  <c:v>2340</c:v>
                </c:pt>
                <c:pt idx="234">
                  <c:v>2350</c:v>
                </c:pt>
                <c:pt idx="235">
                  <c:v>2360</c:v>
                </c:pt>
                <c:pt idx="236">
                  <c:v>2370</c:v>
                </c:pt>
                <c:pt idx="237">
                  <c:v>2380</c:v>
                </c:pt>
                <c:pt idx="238">
                  <c:v>2390</c:v>
                </c:pt>
                <c:pt idx="239">
                  <c:v>2400</c:v>
                </c:pt>
                <c:pt idx="240">
                  <c:v>2410</c:v>
                </c:pt>
                <c:pt idx="241">
                  <c:v>2420</c:v>
                </c:pt>
                <c:pt idx="242">
                  <c:v>2430</c:v>
                </c:pt>
                <c:pt idx="243">
                  <c:v>2440</c:v>
                </c:pt>
                <c:pt idx="244">
                  <c:v>2450</c:v>
                </c:pt>
                <c:pt idx="245">
                  <c:v>2460</c:v>
                </c:pt>
                <c:pt idx="246">
                  <c:v>2470</c:v>
                </c:pt>
                <c:pt idx="247">
                  <c:v>2480</c:v>
                </c:pt>
                <c:pt idx="248">
                  <c:v>2490</c:v>
                </c:pt>
                <c:pt idx="249">
                  <c:v>2500</c:v>
                </c:pt>
                <c:pt idx="250">
                  <c:v>2510</c:v>
                </c:pt>
                <c:pt idx="251">
                  <c:v>2520</c:v>
                </c:pt>
                <c:pt idx="252">
                  <c:v>2530</c:v>
                </c:pt>
                <c:pt idx="253">
                  <c:v>2540</c:v>
                </c:pt>
                <c:pt idx="254">
                  <c:v>2550</c:v>
                </c:pt>
                <c:pt idx="255">
                  <c:v>2560</c:v>
                </c:pt>
                <c:pt idx="256">
                  <c:v>2570</c:v>
                </c:pt>
                <c:pt idx="257">
                  <c:v>2580</c:v>
                </c:pt>
                <c:pt idx="258">
                  <c:v>2590</c:v>
                </c:pt>
                <c:pt idx="259">
                  <c:v>2600</c:v>
                </c:pt>
                <c:pt idx="260">
                  <c:v>2610</c:v>
                </c:pt>
                <c:pt idx="261">
                  <c:v>2620</c:v>
                </c:pt>
                <c:pt idx="262">
                  <c:v>2630</c:v>
                </c:pt>
                <c:pt idx="263">
                  <c:v>2640</c:v>
                </c:pt>
                <c:pt idx="264">
                  <c:v>2650</c:v>
                </c:pt>
                <c:pt idx="265">
                  <c:v>2660</c:v>
                </c:pt>
                <c:pt idx="266">
                  <c:v>2670</c:v>
                </c:pt>
                <c:pt idx="267">
                  <c:v>2680</c:v>
                </c:pt>
                <c:pt idx="268">
                  <c:v>2690</c:v>
                </c:pt>
                <c:pt idx="269">
                  <c:v>2700</c:v>
                </c:pt>
                <c:pt idx="270">
                  <c:v>2710</c:v>
                </c:pt>
                <c:pt idx="271">
                  <c:v>2720</c:v>
                </c:pt>
                <c:pt idx="272">
                  <c:v>2730</c:v>
                </c:pt>
                <c:pt idx="273">
                  <c:v>2740</c:v>
                </c:pt>
                <c:pt idx="274">
                  <c:v>2750</c:v>
                </c:pt>
                <c:pt idx="275">
                  <c:v>2760</c:v>
                </c:pt>
                <c:pt idx="276">
                  <c:v>2770</c:v>
                </c:pt>
                <c:pt idx="277">
                  <c:v>2780</c:v>
                </c:pt>
                <c:pt idx="278">
                  <c:v>2790</c:v>
                </c:pt>
                <c:pt idx="279">
                  <c:v>2800</c:v>
                </c:pt>
                <c:pt idx="280">
                  <c:v>2810</c:v>
                </c:pt>
                <c:pt idx="281">
                  <c:v>2820</c:v>
                </c:pt>
                <c:pt idx="282">
                  <c:v>2830</c:v>
                </c:pt>
                <c:pt idx="283">
                  <c:v>2840</c:v>
                </c:pt>
                <c:pt idx="284">
                  <c:v>2850</c:v>
                </c:pt>
                <c:pt idx="285">
                  <c:v>2860</c:v>
                </c:pt>
                <c:pt idx="286">
                  <c:v>2870</c:v>
                </c:pt>
                <c:pt idx="287">
                  <c:v>2880</c:v>
                </c:pt>
                <c:pt idx="288">
                  <c:v>2890</c:v>
                </c:pt>
                <c:pt idx="289">
                  <c:v>2900</c:v>
                </c:pt>
                <c:pt idx="290">
                  <c:v>2910</c:v>
                </c:pt>
                <c:pt idx="291">
                  <c:v>2920</c:v>
                </c:pt>
                <c:pt idx="292">
                  <c:v>2930</c:v>
                </c:pt>
                <c:pt idx="293">
                  <c:v>2940</c:v>
                </c:pt>
                <c:pt idx="294">
                  <c:v>2950</c:v>
                </c:pt>
                <c:pt idx="295">
                  <c:v>2960</c:v>
                </c:pt>
                <c:pt idx="296">
                  <c:v>2970</c:v>
                </c:pt>
                <c:pt idx="297">
                  <c:v>2980</c:v>
                </c:pt>
                <c:pt idx="298">
                  <c:v>2990</c:v>
                </c:pt>
                <c:pt idx="299">
                  <c:v>3000</c:v>
                </c:pt>
                <c:pt idx="300">
                  <c:v>3010</c:v>
                </c:pt>
                <c:pt idx="301">
                  <c:v>3020</c:v>
                </c:pt>
                <c:pt idx="302">
                  <c:v>3030</c:v>
                </c:pt>
                <c:pt idx="303">
                  <c:v>3040</c:v>
                </c:pt>
                <c:pt idx="304">
                  <c:v>3050</c:v>
                </c:pt>
                <c:pt idx="305">
                  <c:v>3060</c:v>
                </c:pt>
                <c:pt idx="306">
                  <c:v>3070</c:v>
                </c:pt>
                <c:pt idx="307">
                  <c:v>3080</c:v>
                </c:pt>
                <c:pt idx="308">
                  <c:v>3090</c:v>
                </c:pt>
                <c:pt idx="309">
                  <c:v>3100</c:v>
                </c:pt>
                <c:pt idx="310">
                  <c:v>3110</c:v>
                </c:pt>
                <c:pt idx="311">
                  <c:v>3120</c:v>
                </c:pt>
                <c:pt idx="312">
                  <c:v>3130</c:v>
                </c:pt>
                <c:pt idx="313">
                  <c:v>3140</c:v>
                </c:pt>
                <c:pt idx="314">
                  <c:v>3150</c:v>
                </c:pt>
                <c:pt idx="315">
                  <c:v>3160</c:v>
                </c:pt>
                <c:pt idx="316">
                  <c:v>3170</c:v>
                </c:pt>
                <c:pt idx="317">
                  <c:v>3180</c:v>
                </c:pt>
                <c:pt idx="318">
                  <c:v>3190</c:v>
                </c:pt>
                <c:pt idx="319">
                  <c:v>3200</c:v>
                </c:pt>
                <c:pt idx="320">
                  <c:v>3210</c:v>
                </c:pt>
                <c:pt idx="321">
                  <c:v>3220</c:v>
                </c:pt>
                <c:pt idx="322">
                  <c:v>3230</c:v>
                </c:pt>
                <c:pt idx="323">
                  <c:v>3240</c:v>
                </c:pt>
                <c:pt idx="324">
                  <c:v>3250</c:v>
                </c:pt>
                <c:pt idx="325">
                  <c:v>3260</c:v>
                </c:pt>
                <c:pt idx="326">
                  <c:v>3270</c:v>
                </c:pt>
                <c:pt idx="327">
                  <c:v>3280</c:v>
                </c:pt>
                <c:pt idx="328">
                  <c:v>3290</c:v>
                </c:pt>
                <c:pt idx="329">
                  <c:v>3300</c:v>
                </c:pt>
                <c:pt idx="330">
                  <c:v>3310</c:v>
                </c:pt>
                <c:pt idx="331">
                  <c:v>3320</c:v>
                </c:pt>
                <c:pt idx="332">
                  <c:v>3330</c:v>
                </c:pt>
                <c:pt idx="333">
                  <c:v>3340</c:v>
                </c:pt>
                <c:pt idx="334">
                  <c:v>3350</c:v>
                </c:pt>
                <c:pt idx="335">
                  <c:v>3360</c:v>
                </c:pt>
                <c:pt idx="336">
                  <c:v>3370</c:v>
                </c:pt>
                <c:pt idx="337">
                  <c:v>3380</c:v>
                </c:pt>
                <c:pt idx="338">
                  <c:v>3390</c:v>
                </c:pt>
                <c:pt idx="339">
                  <c:v>3400</c:v>
                </c:pt>
                <c:pt idx="340">
                  <c:v>3410</c:v>
                </c:pt>
                <c:pt idx="341">
                  <c:v>3420</c:v>
                </c:pt>
                <c:pt idx="342">
                  <c:v>3430</c:v>
                </c:pt>
                <c:pt idx="343">
                  <c:v>3440</c:v>
                </c:pt>
                <c:pt idx="344">
                  <c:v>3450</c:v>
                </c:pt>
                <c:pt idx="345">
                  <c:v>3460</c:v>
                </c:pt>
                <c:pt idx="346">
                  <c:v>3470</c:v>
                </c:pt>
                <c:pt idx="347">
                  <c:v>3480</c:v>
                </c:pt>
                <c:pt idx="348">
                  <c:v>3490</c:v>
                </c:pt>
                <c:pt idx="349">
                  <c:v>3500</c:v>
                </c:pt>
                <c:pt idx="350">
                  <c:v>3510</c:v>
                </c:pt>
                <c:pt idx="351">
                  <c:v>3520</c:v>
                </c:pt>
                <c:pt idx="352">
                  <c:v>3530</c:v>
                </c:pt>
                <c:pt idx="353">
                  <c:v>3540</c:v>
                </c:pt>
                <c:pt idx="354">
                  <c:v>3550</c:v>
                </c:pt>
                <c:pt idx="355">
                  <c:v>3560</c:v>
                </c:pt>
                <c:pt idx="356">
                  <c:v>3570</c:v>
                </c:pt>
                <c:pt idx="357">
                  <c:v>3580</c:v>
                </c:pt>
                <c:pt idx="358">
                  <c:v>3590</c:v>
                </c:pt>
                <c:pt idx="359">
                  <c:v>3600</c:v>
                </c:pt>
                <c:pt idx="360">
                  <c:v>3610</c:v>
                </c:pt>
                <c:pt idx="361">
                  <c:v>3620</c:v>
                </c:pt>
                <c:pt idx="362">
                  <c:v>3630</c:v>
                </c:pt>
                <c:pt idx="363">
                  <c:v>3640</c:v>
                </c:pt>
                <c:pt idx="364">
                  <c:v>3650</c:v>
                </c:pt>
                <c:pt idx="365">
                  <c:v>3660</c:v>
                </c:pt>
                <c:pt idx="366">
                  <c:v>3670</c:v>
                </c:pt>
                <c:pt idx="367">
                  <c:v>3680</c:v>
                </c:pt>
                <c:pt idx="368">
                  <c:v>3690</c:v>
                </c:pt>
                <c:pt idx="369">
                  <c:v>3700</c:v>
                </c:pt>
                <c:pt idx="370">
                  <c:v>3710</c:v>
                </c:pt>
                <c:pt idx="371">
                  <c:v>3720</c:v>
                </c:pt>
                <c:pt idx="372">
                  <c:v>3730</c:v>
                </c:pt>
                <c:pt idx="373">
                  <c:v>3740</c:v>
                </c:pt>
                <c:pt idx="374">
                  <c:v>3750</c:v>
                </c:pt>
                <c:pt idx="375">
                  <c:v>3760</c:v>
                </c:pt>
                <c:pt idx="376">
                  <c:v>3770</c:v>
                </c:pt>
                <c:pt idx="377">
                  <c:v>3780</c:v>
                </c:pt>
                <c:pt idx="378">
                  <c:v>3790</c:v>
                </c:pt>
                <c:pt idx="379">
                  <c:v>3800</c:v>
                </c:pt>
                <c:pt idx="380">
                  <c:v>3810</c:v>
                </c:pt>
                <c:pt idx="381">
                  <c:v>3820</c:v>
                </c:pt>
                <c:pt idx="382">
                  <c:v>3830</c:v>
                </c:pt>
                <c:pt idx="383">
                  <c:v>3840</c:v>
                </c:pt>
                <c:pt idx="384">
                  <c:v>3850</c:v>
                </c:pt>
                <c:pt idx="385">
                  <c:v>3860</c:v>
                </c:pt>
                <c:pt idx="386">
                  <c:v>3870</c:v>
                </c:pt>
                <c:pt idx="387">
                  <c:v>3880</c:v>
                </c:pt>
                <c:pt idx="388">
                  <c:v>3890</c:v>
                </c:pt>
                <c:pt idx="389">
                  <c:v>3900</c:v>
                </c:pt>
                <c:pt idx="390">
                  <c:v>3910</c:v>
                </c:pt>
                <c:pt idx="391">
                  <c:v>3920</c:v>
                </c:pt>
                <c:pt idx="392">
                  <c:v>3930</c:v>
                </c:pt>
                <c:pt idx="393">
                  <c:v>3940</c:v>
                </c:pt>
                <c:pt idx="394">
                  <c:v>3950</c:v>
                </c:pt>
                <c:pt idx="395">
                  <c:v>3960</c:v>
                </c:pt>
                <c:pt idx="396">
                  <c:v>3970</c:v>
                </c:pt>
                <c:pt idx="397">
                  <c:v>3980</c:v>
                </c:pt>
                <c:pt idx="398">
                  <c:v>3990</c:v>
                </c:pt>
                <c:pt idx="399">
                  <c:v>4000</c:v>
                </c:pt>
                <c:pt idx="400">
                  <c:v>4010</c:v>
                </c:pt>
                <c:pt idx="401">
                  <c:v>4020</c:v>
                </c:pt>
                <c:pt idx="402">
                  <c:v>4030</c:v>
                </c:pt>
                <c:pt idx="403">
                  <c:v>4040</c:v>
                </c:pt>
                <c:pt idx="404">
                  <c:v>4050</c:v>
                </c:pt>
                <c:pt idx="405">
                  <c:v>4060</c:v>
                </c:pt>
                <c:pt idx="406">
                  <c:v>4070</c:v>
                </c:pt>
                <c:pt idx="407">
                  <c:v>4080</c:v>
                </c:pt>
                <c:pt idx="408">
                  <c:v>4090</c:v>
                </c:pt>
                <c:pt idx="409">
                  <c:v>4100</c:v>
                </c:pt>
                <c:pt idx="410">
                  <c:v>4110</c:v>
                </c:pt>
                <c:pt idx="411">
                  <c:v>4120</c:v>
                </c:pt>
                <c:pt idx="412">
                  <c:v>4130</c:v>
                </c:pt>
                <c:pt idx="413">
                  <c:v>4140</c:v>
                </c:pt>
                <c:pt idx="414">
                  <c:v>4150</c:v>
                </c:pt>
                <c:pt idx="415">
                  <c:v>4160</c:v>
                </c:pt>
                <c:pt idx="416">
                  <c:v>4170</c:v>
                </c:pt>
                <c:pt idx="417">
                  <c:v>4180</c:v>
                </c:pt>
                <c:pt idx="418">
                  <c:v>4190</c:v>
                </c:pt>
                <c:pt idx="419">
                  <c:v>4200</c:v>
                </c:pt>
                <c:pt idx="420">
                  <c:v>4210</c:v>
                </c:pt>
                <c:pt idx="421">
                  <c:v>4220</c:v>
                </c:pt>
                <c:pt idx="422">
                  <c:v>4230</c:v>
                </c:pt>
                <c:pt idx="423">
                  <c:v>4240</c:v>
                </c:pt>
                <c:pt idx="424">
                  <c:v>4250</c:v>
                </c:pt>
                <c:pt idx="425">
                  <c:v>4260</c:v>
                </c:pt>
                <c:pt idx="426">
                  <c:v>4270</c:v>
                </c:pt>
                <c:pt idx="427">
                  <c:v>4280</c:v>
                </c:pt>
                <c:pt idx="428">
                  <c:v>4290</c:v>
                </c:pt>
                <c:pt idx="429">
                  <c:v>4300</c:v>
                </c:pt>
                <c:pt idx="430">
                  <c:v>4310</c:v>
                </c:pt>
                <c:pt idx="431">
                  <c:v>4320</c:v>
                </c:pt>
                <c:pt idx="432">
                  <c:v>4330</c:v>
                </c:pt>
                <c:pt idx="433">
                  <c:v>4340</c:v>
                </c:pt>
                <c:pt idx="434">
                  <c:v>4350</c:v>
                </c:pt>
                <c:pt idx="435">
                  <c:v>4360</c:v>
                </c:pt>
                <c:pt idx="436">
                  <c:v>4370</c:v>
                </c:pt>
                <c:pt idx="437">
                  <c:v>4380</c:v>
                </c:pt>
                <c:pt idx="438">
                  <c:v>4390</c:v>
                </c:pt>
                <c:pt idx="439">
                  <c:v>4400</c:v>
                </c:pt>
                <c:pt idx="440">
                  <c:v>4410</c:v>
                </c:pt>
                <c:pt idx="441">
                  <c:v>4420</c:v>
                </c:pt>
                <c:pt idx="442">
                  <c:v>4430</c:v>
                </c:pt>
                <c:pt idx="443">
                  <c:v>4440</c:v>
                </c:pt>
                <c:pt idx="444">
                  <c:v>4450</c:v>
                </c:pt>
                <c:pt idx="445">
                  <c:v>4460</c:v>
                </c:pt>
                <c:pt idx="446">
                  <c:v>4470</c:v>
                </c:pt>
                <c:pt idx="447">
                  <c:v>4480</c:v>
                </c:pt>
                <c:pt idx="448">
                  <c:v>4490</c:v>
                </c:pt>
                <c:pt idx="449">
                  <c:v>4500</c:v>
                </c:pt>
                <c:pt idx="450">
                  <c:v>4510</c:v>
                </c:pt>
                <c:pt idx="451">
                  <c:v>4520</c:v>
                </c:pt>
                <c:pt idx="452">
                  <c:v>4530</c:v>
                </c:pt>
                <c:pt idx="453">
                  <c:v>4540</c:v>
                </c:pt>
                <c:pt idx="454">
                  <c:v>4550</c:v>
                </c:pt>
                <c:pt idx="455">
                  <c:v>4560</c:v>
                </c:pt>
                <c:pt idx="456">
                  <c:v>4570</c:v>
                </c:pt>
                <c:pt idx="457">
                  <c:v>4580</c:v>
                </c:pt>
                <c:pt idx="458">
                  <c:v>4590</c:v>
                </c:pt>
                <c:pt idx="459">
                  <c:v>4600</c:v>
                </c:pt>
                <c:pt idx="460">
                  <c:v>4610</c:v>
                </c:pt>
                <c:pt idx="461">
                  <c:v>4620</c:v>
                </c:pt>
                <c:pt idx="462">
                  <c:v>4630</c:v>
                </c:pt>
                <c:pt idx="463">
                  <c:v>4640</c:v>
                </c:pt>
                <c:pt idx="464">
                  <c:v>4650</c:v>
                </c:pt>
                <c:pt idx="465">
                  <c:v>4660</c:v>
                </c:pt>
                <c:pt idx="466">
                  <c:v>4670</c:v>
                </c:pt>
                <c:pt idx="467">
                  <c:v>4680</c:v>
                </c:pt>
                <c:pt idx="468">
                  <c:v>4690</c:v>
                </c:pt>
                <c:pt idx="469">
                  <c:v>4700</c:v>
                </c:pt>
                <c:pt idx="470">
                  <c:v>4710</c:v>
                </c:pt>
                <c:pt idx="471">
                  <c:v>4720</c:v>
                </c:pt>
                <c:pt idx="472">
                  <c:v>4730</c:v>
                </c:pt>
                <c:pt idx="473">
                  <c:v>4740</c:v>
                </c:pt>
                <c:pt idx="474">
                  <c:v>4750</c:v>
                </c:pt>
                <c:pt idx="475">
                  <c:v>4760</c:v>
                </c:pt>
                <c:pt idx="476">
                  <c:v>4770</c:v>
                </c:pt>
                <c:pt idx="477">
                  <c:v>4780</c:v>
                </c:pt>
                <c:pt idx="478">
                  <c:v>4790</c:v>
                </c:pt>
                <c:pt idx="479">
                  <c:v>4800</c:v>
                </c:pt>
                <c:pt idx="480">
                  <c:v>4810</c:v>
                </c:pt>
                <c:pt idx="481">
                  <c:v>4820</c:v>
                </c:pt>
                <c:pt idx="482">
                  <c:v>4830</c:v>
                </c:pt>
                <c:pt idx="483">
                  <c:v>4840</c:v>
                </c:pt>
                <c:pt idx="484">
                  <c:v>4850</c:v>
                </c:pt>
                <c:pt idx="485">
                  <c:v>4860</c:v>
                </c:pt>
                <c:pt idx="486">
                  <c:v>4870</c:v>
                </c:pt>
                <c:pt idx="487">
                  <c:v>4880</c:v>
                </c:pt>
                <c:pt idx="488">
                  <c:v>4890</c:v>
                </c:pt>
                <c:pt idx="489">
                  <c:v>4900</c:v>
                </c:pt>
                <c:pt idx="490">
                  <c:v>4910</c:v>
                </c:pt>
                <c:pt idx="491">
                  <c:v>4920</c:v>
                </c:pt>
                <c:pt idx="492">
                  <c:v>4930</c:v>
                </c:pt>
                <c:pt idx="493">
                  <c:v>4940</c:v>
                </c:pt>
                <c:pt idx="494">
                  <c:v>4950</c:v>
                </c:pt>
                <c:pt idx="495">
                  <c:v>4960</c:v>
                </c:pt>
                <c:pt idx="496">
                  <c:v>4970</c:v>
                </c:pt>
                <c:pt idx="497">
                  <c:v>4980</c:v>
                </c:pt>
                <c:pt idx="498">
                  <c:v>4990</c:v>
                </c:pt>
                <c:pt idx="499">
                  <c:v>5000</c:v>
                </c:pt>
                <c:pt idx="500">
                  <c:v>5010</c:v>
                </c:pt>
                <c:pt idx="501">
                  <c:v>5020</c:v>
                </c:pt>
                <c:pt idx="502">
                  <c:v>5030</c:v>
                </c:pt>
                <c:pt idx="503">
                  <c:v>5040</c:v>
                </c:pt>
                <c:pt idx="504">
                  <c:v>5050</c:v>
                </c:pt>
                <c:pt idx="505">
                  <c:v>5060</c:v>
                </c:pt>
                <c:pt idx="506">
                  <c:v>5070</c:v>
                </c:pt>
                <c:pt idx="507">
                  <c:v>5080</c:v>
                </c:pt>
                <c:pt idx="508">
                  <c:v>5090</c:v>
                </c:pt>
                <c:pt idx="509">
                  <c:v>5100</c:v>
                </c:pt>
                <c:pt idx="510">
                  <c:v>5110</c:v>
                </c:pt>
                <c:pt idx="511">
                  <c:v>5120</c:v>
                </c:pt>
                <c:pt idx="512">
                  <c:v>5130</c:v>
                </c:pt>
                <c:pt idx="513">
                  <c:v>5140</c:v>
                </c:pt>
                <c:pt idx="514">
                  <c:v>5150</c:v>
                </c:pt>
                <c:pt idx="515">
                  <c:v>5160</c:v>
                </c:pt>
                <c:pt idx="516">
                  <c:v>5170</c:v>
                </c:pt>
                <c:pt idx="517">
                  <c:v>5180</c:v>
                </c:pt>
                <c:pt idx="518">
                  <c:v>5190</c:v>
                </c:pt>
                <c:pt idx="519">
                  <c:v>5200</c:v>
                </c:pt>
                <c:pt idx="520">
                  <c:v>5210</c:v>
                </c:pt>
                <c:pt idx="521">
                  <c:v>5220</c:v>
                </c:pt>
                <c:pt idx="522">
                  <c:v>5230</c:v>
                </c:pt>
                <c:pt idx="523">
                  <c:v>5240</c:v>
                </c:pt>
                <c:pt idx="524">
                  <c:v>5250</c:v>
                </c:pt>
                <c:pt idx="525">
                  <c:v>5260</c:v>
                </c:pt>
                <c:pt idx="526">
                  <c:v>5270</c:v>
                </c:pt>
                <c:pt idx="527">
                  <c:v>5280</c:v>
                </c:pt>
                <c:pt idx="528">
                  <c:v>5290</c:v>
                </c:pt>
                <c:pt idx="529">
                  <c:v>5300</c:v>
                </c:pt>
                <c:pt idx="530">
                  <c:v>5310</c:v>
                </c:pt>
                <c:pt idx="531">
                  <c:v>5320</c:v>
                </c:pt>
                <c:pt idx="532">
                  <c:v>5330</c:v>
                </c:pt>
                <c:pt idx="533">
                  <c:v>5340</c:v>
                </c:pt>
                <c:pt idx="534">
                  <c:v>5350</c:v>
                </c:pt>
                <c:pt idx="535">
                  <c:v>5360</c:v>
                </c:pt>
                <c:pt idx="536">
                  <c:v>5370</c:v>
                </c:pt>
                <c:pt idx="537">
                  <c:v>5380</c:v>
                </c:pt>
                <c:pt idx="538">
                  <c:v>5390</c:v>
                </c:pt>
                <c:pt idx="539">
                  <c:v>5400</c:v>
                </c:pt>
                <c:pt idx="540">
                  <c:v>5410</c:v>
                </c:pt>
                <c:pt idx="541">
                  <c:v>5420</c:v>
                </c:pt>
                <c:pt idx="542">
                  <c:v>5430</c:v>
                </c:pt>
                <c:pt idx="543">
                  <c:v>5440</c:v>
                </c:pt>
                <c:pt idx="544">
                  <c:v>5450</c:v>
                </c:pt>
                <c:pt idx="545">
                  <c:v>5460</c:v>
                </c:pt>
                <c:pt idx="546">
                  <c:v>5470</c:v>
                </c:pt>
                <c:pt idx="547">
                  <c:v>5480</c:v>
                </c:pt>
                <c:pt idx="548">
                  <c:v>5490</c:v>
                </c:pt>
                <c:pt idx="549">
                  <c:v>5500</c:v>
                </c:pt>
                <c:pt idx="550">
                  <c:v>5510</c:v>
                </c:pt>
                <c:pt idx="551">
                  <c:v>5520</c:v>
                </c:pt>
                <c:pt idx="552">
                  <c:v>5530</c:v>
                </c:pt>
                <c:pt idx="553">
                  <c:v>5540</c:v>
                </c:pt>
                <c:pt idx="554">
                  <c:v>5550</c:v>
                </c:pt>
                <c:pt idx="555">
                  <c:v>5560</c:v>
                </c:pt>
                <c:pt idx="556">
                  <c:v>5570</c:v>
                </c:pt>
                <c:pt idx="557">
                  <c:v>5580</c:v>
                </c:pt>
                <c:pt idx="558">
                  <c:v>5590</c:v>
                </c:pt>
                <c:pt idx="559">
                  <c:v>5600</c:v>
                </c:pt>
                <c:pt idx="560">
                  <c:v>5610</c:v>
                </c:pt>
                <c:pt idx="561">
                  <c:v>5620</c:v>
                </c:pt>
                <c:pt idx="562">
                  <c:v>5630</c:v>
                </c:pt>
                <c:pt idx="563">
                  <c:v>5640</c:v>
                </c:pt>
                <c:pt idx="564">
                  <c:v>5650</c:v>
                </c:pt>
                <c:pt idx="565">
                  <c:v>5660</c:v>
                </c:pt>
                <c:pt idx="566">
                  <c:v>5670</c:v>
                </c:pt>
                <c:pt idx="567">
                  <c:v>5680</c:v>
                </c:pt>
                <c:pt idx="568">
                  <c:v>5690</c:v>
                </c:pt>
                <c:pt idx="569">
                  <c:v>5700</c:v>
                </c:pt>
                <c:pt idx="570">
                  <c:v>5710</c:v>
                </c:pt>
                <c:pt idx="571">
                  <c:v>5720</c:v>
                </c:pt>
                <c:pt idx="572">
                  <c:v>5730</c:v>
                </c:pt>
                <c:pt idx="573">
                  <c:v>5740</c:v>
                </c:pt>
                <c:pt idx="574">
                  <c:v>5750</c:v>
                </c:pt>
                <c:pt idx="575">
                  <c:v>5760</c:v>
                </c:pt>
                <c:pt idx="576">
                  <c:v>5770</c:v>
                </c:pt>
                <c:pt idx="577">
                  <c:v>5780</c:v>
                </c:pt>
                <c:pt idx="578">
                  <c:v>5790</c:v>
                </c:pt>
                <c:pt idx="579">
                  <c:v>5800</c:v>
                </c:pt>
                <c:pt idx="580">
                  <c:v>5810</c:v>
                </c:pt>
                <c:pt idx="581">
                  <c:v>5820</c:v>
                </c:pt>
                <c:pt idx="582">
                  <c:v>5830</c:v>
                </c:pt>
                <c:pt idx="583">
                  <c:v>5840</c:v>
                </c:pt>
                <c:pt idx="584">
                  <c:v>5850</c:v>
                </c:pt>
                <c:pt idx="585">
                  <c:v>5860</c:v>
                </c:pt>
                <c:pt idx="586">
                  <c:v>5870</c:v>
                </c:pt>
                <c:pt idx="587">
                  <c:v>5880</c:v>
                </c:pt>
                <c:pt idx="588">
                  <c:v>5890</c:v>
                </c:pt>
                <c:pt idx="589">
                  <c:v>5900</c:v>
                </c:pt>
                <c:pt idx="590">
                  <c:v>5910</c:v>
                </c:pt>
                <c:pt idx="591">
                  <c:v>5920</c:v>
                </c:pt>
                <c:pt idx="592">
                  <c:v>5930</c:v>
                </c:pt>
                <c:pt idx="593">
                  <c:v>5940</c:v>
                </c:pt>
                <c:pt idx="594">
                  <c:v>5950</c:v>
                </c:pt>
                <c:pt idx="595">
                  <c:v>5960</c:v>
                </c:pt>
                <c:pt idx="596">
                  <c:v>5970</c:v>
                </c:pt>
                <c:pt idx="597">
                  <c:v>5980</c:v>
                </c:pt>
                <c:pt idx="598">
                  <c:v>5990</c:v>
                </c:pt>
                <c:pt idx="599">
                  <c:v>6000</c:v>
                </c:pt>
                <c:pt idx="600">
                  <c:v>6010</c:v>
                </c:pt>
                <c:pt idx="601">
                  <c:v>6020</c:v>
                </c:pt>
                <c:pt idx="602">
                  <c:v>6030</c:v>
                </c:pt>
                <c:pt idx="603">
                  <c:v>6040</c:v>
                </c:pt>
                <c:pt idx="604">
                  <c:v>6050</c:v>
                </c:pt>
                <c:pt idx="605">
                  <c:v>6060</c:v>
                </c:pt>
                <c:pt idx="606">
                  <c:v>6070</c:v>
                </c:pt>
                <c:pt idx="607">
                  <c:v>6080</c:v>
                </c:pt>
                <c:pt idx="608">
                  <c:v>6090</c:v>
                </c:pt>
                <c:pt idx="609">
                  <c:v>6100</c:v>
                </c:pt>
                <c:pt idx="610">
                  <c:v>6110</c:v>
                </c:pt>
                <c:pt idx="611">
                  <c:v>6120</c:v>
                </c:pt>
                <c:pt idx="612">
                  <c:v>6130</c:v>
                </c:pt>
                <c:pt idx="613">
                  <c:v>6140</c:v>
                </c:pt>
                <c:pt idx="614">
                  <c:v>6150</c:v>
                </c:pt>
                <c:pt idx="615">
                  <c:v>6160</c:v>
                </c:pt>
                <c:pt idx="616">
                  <c:v>6170</c:v>
                </c:pt>
                <c:pt idx="617">
                  <c:v>6180</c:v>
                </c:pt>
                <c:pt idx="618">
                  <c:v>6190</c:v>
                </c:pt>
                <c:pt idx="619">
                  <c:v>6200</c:v>
                </c:pt>
                <c:pt idx="620">
                  <c:v>6210</c:v>
                </c:pt>
                <c:pt idx="621">
                  <c:v>6220</c:v>
                </c:pt>
                <c:pt idx="622">
                  <c:v>6230</c:v>
                </c:pt>
                <c:pt idx="623">
                  <c:v>6240</c:v>
                </c:pt>
                <c:pt idx="624">
                  <c:v>6250</c:v>
                </c:pt>
                <c:pt idx="625">
                  <c:v>6260</c:v>
                </c:pt>
                <c:pt idx="626">
                  <c:v>6270</c:v>
                </c:pt>
                <c:pt idx="627">
                  <c:v>6280</c:v>
                </c:pt>
                <c:pt idx="628">
                  <c:v>6290</c:v>
                </c:pt>
                <c:pt idx="629">
                  <c:v>6300</c:v>
                </c:pt>
                <c:pt idx="630">
                  <c:v>6310</c:v>
                </c:pt>
                <c:pt idx="631">
                  <c:v>6320</c:v>
                </c:pt>
                <c:pt idx="632">
                  <c:v>6330</c:v>
                </c:pt>
                <c:pt idx="633">
                  <c:v>6340</c:v>
                </c:pt>
                <c:pt idx="634">
                  <c:v>6350</c:v>
                </c:pt>
                <c:pt idx="635">
                  <c:v>6360</c:v>
                </c:pt>
                <c:pt idx="636">
                  <c:v>6370</c:v>
                </c:pt>
                <c:pt idx="637">
                  <c:v>6380</c:v>
                </c:pt>
                <c:pt idx="638">
                  <c:v>6390</c:v>
                </c:pt>
                <c:pt idx="639">
                  <c:v>6400</c:v>
                </c:pt>
                <c:pt idx="640">
                  <c:v>6410</c:v>
                </c:pt>
                <c:pt idx="641">
                  <c:v>6420</c:v>
                </c:pt>
                <c:pt idx="642">
                  <c:v>6430</c:v>
                </c:pt>
                <c:pt idx="643">
                  <c:v>6440</c:v>
                </c:pt>
                <c:pt idx="644">
                  <c:v>6450</c:v>
                </c:pt>
                <c:pt idx="645">
                  <c:v>6460</c:v>
                </c:pt>
                <c:pt idx="646">
                  <c:v>6470</c:v>
                </c:pt>
                <c:pt idx="647">
                  <c:v>6480</c:v>
                </c:pt>
                <c:pt idx="648">
                  <c:v>6490</c:v>
                </c:pt>
                <c:pt idx="649">
                  <c:v>6500</c:v>
                </c:pt>
                <c:pt idx="650">
                  <c:v>6510</c:v>
                </c:pt>
                <c:pt idx="651">
                  <c:v>6520</c:v>
                </c:pt>
                <c:pt idx="652">
                  <c:v>6530</c:v>
                </c:pt>
                <c:pt idx="653">
                  <c:v>6540</c:v>
                </c:pt>
                <c:pt idx="654">
                  <c:v>6550</c:v>
                </c:pt>
                <c:pt idx="655">
                  <c:v>6560</c:v>
                </c:pt>
                <c:pt idx="656">
                  <c:v>6570</c:v>
                </c:pt>
                <c:pt idx="657">
                  <c:v>6580</c:v>
                </c:pt>
                <c:pt idx="658">
                  <c:v>6590</c:v>
                </c:pt>
                <c:pt idx="659">
                  <c:v>6600</c:v>
                </c:pt>
                <c:pt idx="660">
                  <c:v>6610</c:v>
                </c:pt>
                <c:pt idx="661">
                  <c:v>6620</c:v>
                </c:pt>
                <c:pt idx="662">
                  <c:v>6630</c:v>
                </c:pt>
                <c:pt idx="663">
                  <c:v>6640</c:v>
                </c:pt>
                <c:pt idx="664">
                  <c:v>6650</c:v>
                </c:pt>
                <c:pt idx="665">
                  <c:v>6660</c:v>
                </c:pt>
                <c:pt idx="666">
                  <c:v>6670</c:v>
                </c:pt>
                <c:pt idx="667">
                  <c:v>6680</c:v>
                </c:pt>
                <c:pt idx="668">
                  <c:v>6690</c:v>
                </c:pt>
                <c:pt idx="669">
                  <c:v>6700</c:v>
                </c:pt>
                <c:pt idx="670">
                  <c:v>6710</c:v>
                </c:pt>
                <c:pt idx="671">
                  <c:v>6720</c:v>
                </c:pt>
                <c:pt idx="672">
                  <c:v>6730</c:v>
                </c:pt>
                <c:pt idx="673">
                  <c:v>6740</c:v>
                </c:pt>
                <c:pt idx="674">
                  <c:v>6750</c:v>
                </c:pt>
                <c:pt idx="675">
                  <c:v>6760</c:v>
                </c:pt>
                <c:pt idx="676">
                  <c:v>6770</c:v>
                </c:pt>
                <c:pt idx="677">
                  <c:v>6780</c:v>
                </c:pt>
                <c:pt idx="678">
                  <c:v>6790</c:v>
                </c:pt>
                <c:pt idx="679">
                  <c:v>6800</c:v>
                </c:pt>
                <c:pt idx="680">
                  <c:v>6810</c:v>
                </c:pt>
                <c:pt idx="681">
                  <c:v>6820</c:v>
                </c:pt>
                <c:pt idx="682">
                  <c:v>6830</c:v>
                </c:pt>
                <c:pt idx="683">
                  <c:v>6840</c:v>
                </c:pt>
                <c:pt idx="684">
                  <c:v>6850</c:v>
                </c:pt>
                <c:pt idx="685">
                  <c:v>6860</c:v>
                </c:pt>
                <c:pt idx="686">
                  <c:v>6870</c:v>
                </c:pt>
                <c:pt idx="687">
                  <c:v>6880</c:v>
                </c:pt>
                <c:pt idx="688">
                  <c:v>6890</c:v>
                </c:pt>
                <c:pt idx="689">
                  <c:v>6900</c:v>
                </c:pt>
                <c:pt idx="690">
                  <c:v>6910</c:v>
                </c:pt>
                <c:pt idx="691">
                  <c:v>6920</c:v>
                </c:pt>
                <c:pt idx="692">
                  <c:v>6930</c:v>
                </c:pt>
                <c:pt idx="693">
                  <c:v>6940</c:v>
                </c:pt>
                <c:pt idx="694">
                  <c:v>6950</c:v>
                </c:pt>
                <c:pt idx="695">
                  <c:v>6960</c:v>
                </c:pt>
                <c:pt idx="696">
                  <c:v>6970</c:v>
                </c:pt>
                <c:pt idx="697">
                  <c:v>6980</c:v>
                </c:pt>
                <c:pt idx="698">
                  <c:v>6990</c:v>
                </c:pt>
                <c:pt idx="699">
                  <c:v>7000</c:v>
                </c:pt>
                <c:pt idx="700">
                  <c:v>7010</c:v>
                </c:pt>
                <c:pt idx="701">
                  <c:v>7020</c:v>
                </c:pt>
                <c:pt idx="702">
                  <c:v>7030</c:v>
                </c:pt>
                <c:pt idx="703">
                  <c:v>7040</c:v>
                </c:pt>
                <c:pt idx="704">
                  <c:v>7050</c:v>
                </c:pt>
                <c:pt idx="705">
                  <c:v>7060</c:v>
                </c:pt>
                <c:pt idx="706">
                  <c:v>7070</c:v>
                </c:pt>
                <c:pt idx="707">
                  <c:v>7080</c:v>
                </c:pt>
                <c:pt idx="708">
                  <c:v>7090</c:v>
                </c:pt>
                <c:pt idx="709">
                  <c:v>7100</c:v>
                </c:pt>
                <c:pt idx="710">
                  <c:v>7110</c:v>
                </c:pt>
                <c:pt idx="711">
                  <c:v>7120</c:v>
                </c:pt>
                <c:pt idx="712">
                  <c:v>7130</c:v>
                </c:pt>
                <c:pt idx="713">
                  <c:v>7140</c:v>
                </c:pt>
                <c:pt idx="714">
                  <c:v>7150</c:v>
                </c:pt>
                <c:pt idx="715">
                  <c:v>7160</c:v>
                </c:pt>
                <c:pt idx="716">
                  <c:v>7170</c:v>
                </c:pt>
                <c:pt idx="717">
                  <c:v>7180</c:v>
                </c:pt>
                <c:pt idx="718">
                  <c:v>7190</c:v>
                </c:pt>
                <c:pt idx="719">
                  <c:v>7200</c:v>
                </c:pt>
                <c:pt idx="720">
                  <c:v>7210</c:v>
                </c:pt>
                <c:pt idx="721">
                  <c:v>7220</c:v>
                </c:pt>
                <c:pt idx="722">
                  <c:v>7230</c:v>
                </c:pt>
                <c:pt idx="723">
                  <c:v>7240</c:v>
                </c:pt>
                <c:pt idx="724">
                  <c:v>7250</c:v>
                </c:pt>
                <c:pt idx="725">
                  <c:v>7260</c:v>
                </c:pt>
                <c:pt idx="726">
                  <c:v>7270</c:v>
                </c:pt>
                <c:pt idx="727">
                  <c:v>7280</c:v>
                </c:pt>
                <c:pt idx="728">
                  <c:v>7290</c:v>
                </c:pt>
                <c:pt idx="729">
                  <c:v>7300</c:v>
                </c:pt>
                <c:pt idx="730">
                  <c:v>7310</c:v>
                </c:pt>
                <c:pt idx="731">
                  <c:v>7320</c:v>
                </c:pt>
                <c:pt idx="732">
                  <c:v>7330</c:v>
                </c:pt>
                <c:pt idx="733">
                  <c:v>7340</c:v>
                </c:pt>
                <c:pt idx="734">
                  <c:v>7350</c:v>
                </c:pt>
                <c:pt idx="735">
                  <c:v>7360</c:v>
                </c:pt>
                <c:pt idx="736">
                  <c:v>7370</c:v>
                </c:pt>
                <c:pt idx="737">
                  <c:v>7380</c:v>
                </c:pt>
                <c:pt idx="738">
                  <c:v>7390</c:v>
                </c:pt>
                <c:pt idx="739">
                  <c:v>7400</c:v>
                </c:pt>
                <c:pt idx="740">
                  <c:v>7410</c:v>
                </c:pt>
                <c:pt idx="741">
                  <c:v>7420</c:v>
                </c:pt>
                <c:pt idx="742">
                  <c:v>7430</c:v>
                </c:pt>
                <c:pt idx="743">
                  <c:v>7440</c:v>
                </c:pt>
                <c:pt idx="744">
                  <c:v>7450</c:v>
                </c:pt>
                <c:pt idx="745">
                  <c:v>7460</c:v>
                </c:pt>
                <c:pt idx="746">
                  <c:v>7470</c:v>
                </c:pt>
                <c:pt idx="747">
                  <c:v>7480</c:v>
                </c:pt>
                <c:pt idx="748">
                  <c:v>7490</c:v>
                </c:pt>
                <c:pt idx="749">
                  <c:v>7500</c:v>
                </c:pt>
                <c:pt idx="750">
                  <c:v>7510</c:v>
                </c:pt>
                <c:pt idx="751">
                  <c:v>7520</c:v>
                </c:pt>
                <c:pt idx="752">
                  <c:v>7530</c:v>
                </c:pt>
                <c:pt idx="753">
                  <c:v>7540</c:v>
                </c:pt>
                <c:pt idx="754">
                  <c:v>7550</c:v>
                </c:pt>
                <c:pt idx="755">
                  <c:v>7560</c:v>
                </c:pt>
                <c:pt idx="756">
                  <c:v>7570</c:v>
                </c:pt>
                <c:pt idx="757">
                  <c:v>7580</c:v>
                </c:pt>
                <c:pt idx="758">
                  <c:v>7590</c:v>
                </c:pt>
                <c:pt idx="759">
                  <c:v>7600</c:v>
                </c:pt>
                <c:pt idx="760">
                  <c:v>7610</c:v>
                </c:pt>
                <c:pt idx="761">
                  <c:v>7620</c:v>
                </c:pt>
                <c:pt idx="762">
                  <c:v>7630</c:v>
                </c:pt>
                <c:pt idx="763">
                  <c:v>7640</c:v>
                </c:pt>
                <c:pt idx="764">
                  <c:v>7650</c:v>
                </c:pt>
                <c:pt idx="765">
                  <c:v>7660</c:v>
                </c:pt>
                <c:pt idx="766">
                  <c:v>7670</c:v>
                </c:pt>
                <c:pt idx="767">
                  <c:v>7680</c:v>
                </c:pt>
                <c:pt idx="768">
                  <c:v>7690</c:v>
                </c:pt>
                <c:pt idx="769">
                  <c:v>7700</c:v>
                </c:pt>
                <c:pt idx="770">
                  <c:v>7710</c:v>
                </c:pt>
                <c:pt idx="771">
                  <c:v>7720</c:v>
                </c:pt>
                <c:pt idx="772">
                  <c:v>7730</c:v>
                </c:pt>
                <c:pt idx="773">
                  <c:v>7740</c:v>
                </c:pt>
                <c:pt idx="774">
                  <c:v>7750</c:v>
                </c:pt>
                <c:pt idx="775">
                  <c:v>7760</c:v>
                </c:pt>
                <c:pt idx="776">
                  <c:v>7770</c:v>
                </c:pt>
                <c:pt idx="777">
                  <c:v>7780</c:v>
                </c:pt>
                <c:pt idx="778">
                  <c:v>7790</c:v>
                </c:pt>
                <c:pt idx="779">
                  <c:v>7800</c:v>
                </c:pt>
                <c:pt idx="780">
                  <c:v>7810</c:v>
                </c:pt>
                <c:pt idx="781">
                  <c:v>7820</c:v>
                </c:pt>
                <c:pt idx="782">
                  <c:v>7830</c:v>
                </c:pt>
                <c:pt idx="783">
                  <c:v>7840</c:v>
                </c:pt>
                <c:pt idx="784">
                  <c:v>7850</c:v>
                </c:pt>
                <c:pt idx="785">
                  <c:v>7860</c:v>
                </c:pt>
                <c:pt idx="786">
                  <c:v>7870</c:v>
                </c:pt>
                <c:pt idx="787">
                  <c:v>7880</c:v>
                </c:pt>
                <c:pt idx="788">
                  <c:v>7890</c:v>
                </c:pt>
                <c:pt idx="789">
                  <c:v>7900</c:v>
                </c:pt>
                <c:pt idx="790">
                  <c:v>7910</c:v>
                </c:pt>
                <c:pt idx="791">
                  <c:v>7920</c:v>
                </c:pt>
                <c:pt idx="792">
                  <c:v>7930</c:v>
                </c:pt>
                <c:pt idx="793">
                  <c:v>7940</c:v>
                </c:pt>
                <c:pt idx="794">
                  <c:v>7950</c:v>
                </c:pt>
                <c:pt idx="795">
                  <c:v>7960</c:v>
                </c:pt>
                <c:pt idx="796">
                  <c:v>7970</c:v>
                </c:pt>
                <c:pt idx="797">
                  <c:v>7980</c:v>
                </c:pt>
                <c:pt idx="798">
                  <c:v>7990</c:v>
                </c:pt>
                <c:pt idx="799">
                  <c:v>8000</c:v>
                </c:pt>
                <c:pt idx="800">
                  <c:v>8010</c:v>
                </c:pt>
                <c:pt idx="801">
                  <c:v>8020</c:v>
                </c:pt>
                <c:pt idx="802">
                  <c:v>8030</c:v>
                </c:pt>
                <c:pt idx="803">
                  <c:v>8040</c:v>
                </c:pt>
                <c:pt idx="804">
                  <c:v>8050</c:v>
                </c:pt>
                <c:pt idx="805">
                  <c:v>8060</c:v>
                </c:pt>
                <c:pt idx="806">
                  <c:v>8070</c:v>
                </c:pt>
                <c:pt idx="807">
                  <c:v>8080</c:v>
                </c:pt>
                <c:pt idx="808">
                  <c:v>8090</c:v>
                </c:pt>
                <c:pt idx="809">
                  <c:v>8100</c:v>
                </c:pt>
                <c:pt idx="810">
                  <c:v>8110</c:v>
                </c:pt>
                <c:pt idx="811">
                  <c:v>8120</c:v>
                </c:pt>
                <c:pt idx="812">
                  <c:v>8130</c:v>
                </c:pt>
                <c:pt idx="813">
                  <c:v>8140</c:v>
                </c:pt>
                <c:pt idx="814">
                  <c:v>8150</c:v>
                </c:pt>
                <c:pt idx="815">
                  <c:v>8160</c:v>
                </c:pt>
                <c:pt idx="816">
                  <c:v>8170</c:v>
                </c:pt>
                <c:pt idx="817">
                  <c:v>8180</c:v>
                </c:pt>
                <c:pt idx="818">
                  <c:v>8190</c:v>
                </c:pt>
                <c:pt idx="819">
                  <c:v>8200</c:v>
                </c:pt>
                <c:pt idx="820">
                  <c:v>8210</c:v>
                </c:pt>
                <c:pt idx="821">
                  <c:v>8220</c:v>
                </c:pt>
                <c:pt idx="822">
                  <c:v>8230</c:v>
                </c:pt>
                <c:pt idx="823">
                  <c:v>8240</c:v>
                </c:pt>
                <c:pt idx="824">
                  <c:v>8250</c:v>
                </c:pt>
                <c:pt idx="825">
                  <c:v>8260</c:v>
                </c:pt>
                <c:pt idx="826">
                  <c:v>8270</c:v>
                </c:pt>
                <c:pt idx="827">
                  <c:v>8280</c:v>
                </c:pt>
                <c:pt idx="828">
                  <c:v>8290</c:v>
                </c:pt>
                <c:pt idx="829">
                  <c:v>8300</c:v>
                </c:pt>
                <c:pt idx="830">
                  <c:v>8310</c:v>
                </c:pt>
                <c:pt idx="831">
                  <c:v>8320</c:v>
                </c:pt>
                <c:pt idx="832">
                  <c:v>8330</c:v>
                </c:pt>
                <c:pt idx="833">
                  <c:v>8340</c:v>
                </c:pt>
                <c:pt idx="834">
                  <c:v>8350</c:v>
                </c:pt>
                <c:pt idx="835">
                  <c:v>8360</c:v>
                </c:pt>
                <c:pt idx="836">
                  <c:v>8370</c:v>
                </c:pt>
                <c:pt idx="837">
                  <c:v>8380</c:v>
                </c:pt>
                <c:pt idx="838">
                  <c:v>8390</c:v>
                </c:pt>
                <c:pt idx="839">
                  <c:v>8400</c:v>
                </c:pt>
                <c:pt idx="840">
                  <c:v>8410</c:v>
                </c:pt>
                <c:pt idx="841">
                  <c:v>8420</c:v>
                </c:pt>
                <c:pt idx="842">
                  <c:v>8430</c:v>
                </c:pt>
                <c:pt idx="843">
                  <c:v>8440</c:v>
                </c:pt>
                <c:pt idx="844">
                  <c:v>8450</c:v>
                </c:pt>
                <c:pt idx="845">
                  <c:v>8460</c:v>
                </c:pt>
                <c:pt idx="846">
                  <c:v>8470</c:v>
                </c:pt>
                <c:pt idx="847">
                  <c:v>8480</c:v>
                </c:pt>
                <c:pt idx="848">
                  <c:v>8490</c:v>
                </c:pt>
                <c:pt idx="849">
                  <c:v>8500</c:v>
                </c:pt>
                <c:pt idx="850">
                  <c:v>8510</c:v>
                </c:pt>
                <c:pt idx="851">
                  <c:v>8520</c:v>
                </c:pt>
                <c:pt idx="852">
                  <c:v>8530</c:v>
                </c:pt>
                <c:pt idx="853">
                  <c:v>8540</c:v>
                </c:pt>
                <c:pt idx="854">
                  <c:v>8550</c:v>
                </c:pt>
                <c:pt idx="855">
                  <c:v>8560</c:v>
                </c:pt>
                <c:pt idx="856">
                  <c:v>8570</c:v>
                </c:pt>
                <c:pt idx="857">
                  <c:v>8580</c:v>
                </c:pt>
                <c:pt idx="858">
                  <c:v>8590</c:v>
                </c:pt>
                <c:pt idx="859">
                  <c:v>8600</c:v>
                </c:pt>
                <c:pt idx="860">
                  <c:v>8610</c:v>
                </c:pt>
                <c:pt idx="861">
                  <c:v>8620</c:v>
                </c:pt>
                <c:pt idx="862">
                  <c:v>8630</c:v>
                </c:pt>
                <c:pt idx="863">
                  <c:v>8640</c:v>
                </c:pt>
                <c:pt idx="864">
                  <c:v>8650</c:v>
                </c:pt>
                <c:pt idx="865">
                  <c:v>8660</c:v>
                </c:pt>
                <c:pt idx="866">
                  <c:v>8670</c:v>
                </c:pt>
                <c:pt idx="867">
                  <c:v>8680</c:v>
                </c:pt>
                <c:pt idx="868">
                  <c:v>8690</c:v>
                </c:pt>
                <c:pt idx="869">
                  <c:v>8700</c:v>
                </c:pt>
                <c:pt idx="870">
                  <c:v>8710</c:v>
                </c:pt>
                <c:pt idx="871">
                  <c:v>8720</c:v>
                </c:pt>
                <c:pt idx="872">
                  <c:v>8730</c:v>
                </c:pt>
                <c:pt idx="873">
                  <c:v>8740</c:v>
                </c:pt>
                <c:pt idx="874">
                  <c:v>8750</c:v>
                </c:pt>
                <c:pt idx="875">
                  <c:v>8760</c:v>
                </c:pt>
                <c:pt idx="876">
                  <c:v>8770</c:v>
                </c:pt>
                <c:pt idx="877">
                  <c:v>8780</c:v>
                </c:pt>
                <c:pt idx="878">
                  <c:v>8790</c:v>
                </c:pt>
                <c:pt idx="879">
                  <c:v>8800</c:v>
                </c:pt>
                <c:pt idx="880">
                  <c:v>8810</c:v>
                </c:pt>
                <c:pt idx="881">
                  <c:v>8820</c:v>
                </c:pt>
                <c:pt idx="882">
                  <c:v>8830</c:v>
                </c:pt>
                <c:pt idx="883">
                  <c:v>8840</c:v>
                </c:pt>
                <c:pt idx="884">
                  <c:v>8850</c:v>
                </c:pt>
                <c:pt idx="885">
                  <c:v>8860</c:v>
                </c:pt>
                <c:pt idx="886">
                  <c:v>8870</c:v>
                </c:pt>
                <c:pt idx="887">
                  <c:v>8880</c:v>
                </c:pt>
                <c:pt idx="888">
                  <c:v>8890</c:v>
                </c:pt>
                <c:pt idx="889">
                  <c:v>8900</c:v>
                </c:pt>
                <c:pt idx="890">
                  <c:v>8910</c:v>
                </c:pt>
                <c:pt idx="891">
                  <c:v>8920</c:v>
                </c:pt>
                <c:pt idx="892">
                  <c:v>8930</c:v>
                </c:pt>
                <c:pt idx="893">
                  <c:v>8940</c:v>
                </c:pt>
                <c:pt idx="894">
                  <c:v>8950</c:v>
                </c:pt>
                <c:pt idx="895">
                  <c:v>8960</c:v>
                </c:pt>
                <c:pt idx="896">
                  <c:v>8970</c:v>
                </c:pt>
                <c:pt idx="897">
                  <c:v>8980</c:v>
                </c:pt>
                <c:pt idx="898">
                  <c:v>8990</c:v>
                </c:pt>
                <c:pt idx="899">
                  <c:v>9000</c:v>
                </c:pt>
                <c:pt idx="900">
                  <c:v>9010</c:v>
                </c:pt>
                <c:pt idx="901">
                  <c:v>9020</c:v>
                </c:pt>
                <c:pt idx="902">
                  <c:v>9030</c:v>
                </c:pt>
                <c:pt idx="903">
                  <c:v>9040</c:v>
                </c:pt>
                <c:pt idx="904">
                  <c:v>9050</c:v>
                </c:pt>
                <c:pt idx="905">
                  <c:v>9060</c:v>
                </c:pt>
                <c:pt idx="906">
                  <c:v>9070</c:v>
                </c:pt>
                <c:pt idx="907">
                  <c:v>9080</c:v>
                </c:pt>
                <c:pt idx="908">
                  <c:v>9090</c:v>
                </c:pt>
                <c:pt idx="909">
                  <c:v>9100</c:v>
                </c:pt>
                <c:pt idx="910">
                  <c:v>9110</c:v>
                </c:pt>
                <c:pt idx="911">
                  <c:v>9120</c:v>
                </c:pt>
                <c:pt idx="912">
                  <c:v>9130</c:v>
                </c:pt>
                <c:pt idx="913">
                  <c:v>9140</c:v>
                </c:pt>
                <c:pt idx="914">
                  <c:v>9150</c:v>
                </c:pt>
                <c:pt idx="915">
                  <c:v>9160</c:v>
                </c:pt>
                <c:pt idx="916">
                  <c:v>9170</c:v>
                </c:pt>
                <c:pt idx="917">
                  <c:v>9180</c:v>
                </c:pt>
                <c:pt idx="918">
                  <c:v>9190</c:v>
                </c:pt>
                <c:pt idx="919">
                  <c:v>9200</c:v>
                </c:pt>
                <c:pt idx="920">
                  <c:v>9210</c:v>
                </c:pt>
                <c:pt idx="921">
                  <c:v>9220</c:v>
                </c:pt>
                <c:pt idx="922">
                  <c:v>9230</c:v>
                </c:pt>
                <c:pt idx="923">
                  <c:v>9240</c:v>
                </c:pt>
                <c:pt idx="924">
                  <c:v>9250</c:v>
                </c:pt>
                <c:pt idx="925">
                  <c:v>9260</c:v>
                </c:pt>
                <c:pt idx="926">
                  <c:v>9270</c:v>
                </c:pt>
                <c:pt idx="927">
                  <c:v>9280</c:v>
                </c:pt>
                <c:pt idx="928">
                  <c:v>9290</c:v>
                </c:pt>
                <c:pt idx="929">
                  <c:v>9300</c:v>
                </c:pt>
                <c:pt idx="930">
                  <c:v>9310</c:v>
                </c:pt>
                <c:pt idx="931">
                  <c:v>9320</c:v>
                </c:pt>
                <c:pt idx="932">
                  <c:v>9330</c:v>
                </c:pt>
                <c:pt idx="933">
                  <c:v>9340</c:v>
                </c:pt>
                <c:pt idx="934">
                  <c:v>9350</c:v>
                </c:pt>
                <c:pt idx="935">
                  <c:v>9360</c:v>
                </c:pt>
                <c:pt idx="936">
                  <c:v>9370</c:v>
                </c:pt>
                <c:pt idx="937">
                  <c:v>9380</c:v>
                </c:pt>
                <c:pt idx="938">
                  <c:v>9390</c:v>
                </c:pt>
                <c:pt idx="939">
                  <c:v>9400</c:v>
                </c:pt>
                <c:pt idx="940">
                  <c:v>9410</c:v>
                </c:pt>
                <c:pt idx="941">
                  <c:v>9420</c:v>
                </c:pt>
                <c:pt idx="942">
                  <c:v>9430</c:v>
                </c:pt>
                <c:pt idx="943">
                  <c:v>9440</c:v>
                </c:pt>
                <c:pt idx="944">
                  <c:v>9450</c:v>
                </c:pt>
                <c:pt idx="945">
                  <c:v>9460</c:v>
                </c:pt>
                <c:pt idx="946">
                  <c:v>9470</c:v>
                </c:pt>
                <c:pt idx="947">
                  <c:v>9480</c:v>
                </c:pt>
                <c:pt idx="948">
                  <c:v>9490</c:v>
                </c:pt>
                <c:pt idx="949">
                  <c:v>9500</c:v>
                </c:pt>
                <c:pt idx="950">
                  <c:v>9510</c:v>
                </c:pt>
                <c:pt idx="951">
                  <c:v>9520</c:v>
                </c:pt>
                <c:pt idx="952">
                  <c:v>9530</c:v>
                </c:pt>
                <c:pt idx="953">
                  <c:v>9540</c:v>
                </c:pt>
                <c:pt idx="954">
                  <c:v>9550</c:v>
                </c:pt>
                <c:pt idx="955">
                  <c:v>9560</c:v>
                </c:pt>
                <c:pt idx="956">
                  <c:v>9570</c:v>
                </c:pt>
                <c:pt idx="957">
                  <c:v>9580</c:v>
                </c:pt>
                <c:pt idx="958">
                  <c:v>9590</c:v>
                </c:pt>
                <c:pt idx="959">
                  <c:v>9600</c:v>
                </c:pt>
                <c:pt idx="960">
                  <c:v>9610</c:v>
                </c:pt>
                <c:pt idx="961">
                  <c:v>9620</c:v>
                </c:pt>
                <c:pt idx="962">
                  <c:v>9630</c:v>
                </c:pt>
                <c:pt idx="963">
                  <c:v>9640</c:v>
                </c:pt>
                <c:pt idx="964">
                  <c:v>9650</c:v>
                </c:pt>
                <c:pt idx="965">
                  <c:v>9660</c:v>
                </c:pt>
                <c:pt idx="966">
                  <c:v>9670</c:v>
                </c:pt>
                <c:pt idx="967">
                  <c:v>9680</c:v>
                </c:pt>
                <c:pt idx="968">
                  <c:v>9690</c:v>
                </c:pt>
                <c:pt idx="969">
                  <c:v>9700</c:v>
                </c:pt>
                <c:pt idx="970">
                  <c:v>9710</c:v>
                </c:pt>
                <c:pt idx="971">
                  <c:v>9720</c:v>
                </c:pt>
                <c:pt idx="972">
                  <c:v>9730</c:v>
                </c:pt>
                <c:pt idx="973">
                  <c:v>9740</c:v>
                </c:pt>
                <c:pt idx="974">
                  <c:v>9750</c:v>
                </c:pt>
                <c:pt idx="975">
                  <c:v>9760</c:v>
                </c:pt>
                <c:pt idx="976">
                  <c:v>9770</c:v>
                </c:pt>
                <c:pt idx="977">
                  <c:v>9780</c:v>
                </c:pt>
                <c:pt idx="978">
                  <c:v>9790</c:v>
                </c:pt>
                <c:pt idx="979">
                  <c:v>9800</c:v>
                </c:pt>
                <c:pt idx="980">
                  <c:v>9810</c:v>
                </c:pt>
                <c:pt idx="981">
                  <c:v>9820</c:v>
                </c:pt>
                <c:pt idx="982">
                  <c:v>9830</c:v>
                </c:pt>
                <c:pt idx="983">
                  <c:v>9840</c:v>
                </c:pt>
                <c:pt idx="984">
                  <c:v>9850</c:v>
                </c:pt>
                <c:pt idx="985">
                  <c:v>9860</c:v>
                </c:pt>
                <c:pt idx="986">
                  <c:v>9870</c:v>
                </c:pt>
                <c:pt idx="987">
                  <c:v>9880</c:v>
                </c:pt>
                <c:pt idx="988">
                  <c:v>9890</c:v>
                </c:pt>
                <c:pt idx="989">
                  <c:v>9900</c:v>
                </c:pt>
                <c:pt idx="990">
                  <c:v>9910</c:v>
                </c:pt>
                <c:pt idx="991">
                  <c:v>9920</c:v>
                </c:pt>
                <c:pt idx="992">
                  <c:v>9930</c:v>
                </c:pt>
                <c:pt idx="993">
                  <c:v>9940</c:v>
                </c:pt>
                <c:pt idx="994">
                  <c:v>9950</c:v>
                </c:pt>
                <c:pt idx="995">
                  <c:v>9960</c:v>
                </c:pt>
                <c:pt idx="996">
                  <c:v>9970</c:v>
                </c:pt>
                <c:pt idx="997">
                  <c:v>9980</c:v>
                </c:pt>
                <c:pt idx="998">
                  <c:v>9990</c:v>
                </c:pt>
                <c:pt idx="999">
                  <c:v>10000</c:v>
                </c:pt>
              </c:numCache>
            </c:numRef>
          </c:xVal>
          <c:yVal>
            <c:numRef>
              <c:f>Sheet9!$B$2:$B$1001</c:f>
              <c:numCache>
                <c:formatCode>General</c:formatCode>
                <c:ptCount val="1000"/>
                <c:pt idx="0">
                  <c:v>1.51</c:v>
                </c:pt>
                <c:pt idx="1">
                  <c:v>1.51</c:v>
                </c:pt>
                <c:pt idx="2">
                  <c:v>1.51</c:v>
                </c:pt>
                <c:pt idx="3">
                  <c:v>1.51</c:v>
                </c:pt>
                <c:pt idx="4">
                  <c:v>1.51</c:v>
                </c:pt>
                <c:pt idx="5">
                  <c:v>1.51</c:v>
                </c:pt>
                <c:pt idx="6">
                  <c:v>1.51</c:v>
                </c:pt>
                <c:pt idx="7">
                  <c:v>1.51</c:v>
                </c:pt>
                <c:pt idx="8">
                  <c:v>1.51</c:v>
                </c:pt>
                <c:pt idx="9">
                  <c:v>1.51</c:v>
                </c:pt>
                <c:pt idx="10">
                  <c:v>1.51</c:v>
                </c:pt>
                <c:pt idx="11">
                  <c:v>1.51</c:v>
                </c:pt>
                <c:pt idx="12">
                  <c:v>1.51</c:v>
                </c:pt>
                <c:pt idx="13">
                  <c:v>1.51</c:v>
                </c:pt>
                <c:pt idx="14">
                  <c:v>1.51</c:v>
                </c:pt>
                <c:pt idx="15">
                  <c:v>1.51</c:v>
                </c:pt>
                <c:pt idx="16">
                  <c:v>1.51</c:v>
                </c:pt>
                <c:pt idx="17">
                  <c:v>1.51</c:v>
                </c:pt>
                <c:pt idx="18">
                  <c:v>1.51</c:v>
                </c:pt>
                <c:pt idx="19">
                  <c:v>1.51</c:v>
                </c:pt>
                <c:pt idx="20">
                  <c:v>1.51</c:v>
                </c:pt>
                <c:pt idx="21">
                  <c:v>1.51</c:v>
                </c:pt>
                <c:pt idx="22">
                  <c:v>1.51</c:v>
                </c:pt>
                <c:pt idx="23">
                  <c:v>1.51</c:v>
                </c:pt>
                <c:pt idx="24">
                  <c:v>1.51</c:v>
                </c:pt>
                <c:pt idx="25">
                  <c:v>1.51</c:v>
                </c:pt>
                <c:pt idx="26">
                  <c:v>1.51</c:v>
                </c:pt>
                <c:pt idx="27">
                  <c:v>1.51</c:v>
                </c:pt>
                <c:pt idx="28">
                  <c:v>1.51</c:v>
                </c:pt>
                <c:pt idx="29">
                  <c:v>1.51</c:v>
                </c:pt>
                <c:pt idx="30">
                  <c:v>1.51</c:v>
                </c:pt>
                <c:pt idx="31">
                  <c:v>1.51</c:v>
                </c:pt>
                <c:pt idx="32">
                  <c:v>1.51</c:v>
                </c:pt>
                <c:pt idx="33">
                  <c:v>1.51</c:v>
                </c:pt>
                <c:pt idx="34">
                  <c:v>1.51</c:v>
                </c:pt>
                <c:pt idx="35">
                  <c:v>1.51</c:v>
                </c:pt>
                <c:pt idx="36">
                  <c:v>1.51</c:v>
                </c:pt>
                <c:pt idx="37">
                  <c:v>1.51</c:v>
                </c:pt>
                <c:pt idx="38">
                  <c:v>1.51</c:v>
                </c:pt>
                <c:pt idx="39">
                  <c:v>1.51</c:v>
                </c:pt>
                <c:pt idx="40">
                  <c:v>1.51</c:v>
                </c:pt>
                <c:pt idx="41">
                  <c:v>1.51</c:v>
                </c:pt>
                <c:pt idx="42">
                  <c:v>1.51</c:v>
                </c:pt>
                <c:pt idx="43">
                  <c:v>1.51</c:v>
                </c:pt>
                <c:pt idx="44">
                  <c:v>1.51</c:v>
                </c:pt>
                <c:pt idx="45">
                  <c:v>1.51</c:v>
                </c:pt>
                <c:pt idx="46">
                  <c:v>1.51</c:v>
                </c:pt>
                <c:pt idx="47">
                  <c:v>1.51</c:v>
                </c:pt>
                <c:pt idx="48">
                  <c:v>1.51</c:v>
                </c:pt>
                <c:pt idx="49">
                  <c:v>1.51</c:v>
                </c:pt>
                <c:pt idx="50">
                  <c:v>1.51</c:v>
                </c:pt>
                <c:pt idx="51">
                  <c:v>1.51</c:v>
                </c:pt>
                <c:pt idx="52">
                  <c:v>1.51</c:v>
                </c:pt>
                <c:pt idx="53">
                  <c:v>1.51</c:v>
                </c:pt>
                <c:pt idx="54">
                  <c:v>1.51</c:v>
                </c:pt>
                <c:pt idx="55">
                  <c:v>1.51</c:v>
                </c:pt>
                <c:pt idx="56">
                  <c:v>1.51</c:v>
                </c:pt>
                <c:pt idx="57">
                  <c:v>1.51</c:v>
                </c:pt>
                <c:pt idx="58">
                  <c:v>1.51</c:v>
                </c:pt>
                <c:pt idx="59">
                  <c:v>1.51</c:v>
                </c:pt>
                <c:pt idx="60">
                  <c:v>1.51</c:v>
                </c:pt>
                <c:pt idx="61">
                  <c:v>1.51</c:v>
                </c:pt>
                <c:pt idx="62">
                  <c:v>1.51</c:v>
                </c:pt>
                <c:pt idx="63">
                  <c:v>1.51</c:v>
                </c:pt>
                <c:pt idx="64">
                  <c:v>1.51</c:v>
                </c:pt>
                <c:pt idx="65">
                  <c:v>1.51</c:v>
                </c:pt>
                <c:pt idx="66">
                  <c:v>1.51</c:v>
                </c:pt>
                <c:pt idx="67">
                  <c:v>1.51</c:v>
                </c:pt>
                <c:pt idx="68">
                  <c:v>1.51</c:v>
                </c:pt>
                <c:pt idx="69">
                  <c:v>1.51</c:v>
                </c:pt>
                <c:pt idx="70">
                  <c:v>1.51</c:v>
                </c:pt>
                <c:pt idx="71">
                  <c:v>1.51</c:v>
                </c:pt>
                <c:pt idx="72">
                  <c:v>1.51</c:v>
                </c:pt>
                <c:pt idx="73">
                  <c:v>1.51</c:v>
                </c:pt>
                <c:pt idx="74">
                  <c:v>1.51</c:v>
                </c:pt>
                <c:pt idx="75">
                  <c:v>1.51</c:v>
                </c:pt>
                <c:pt idx="76">
                  <c:v>1.51</c:v>
                </c:pt>
                <c:pt idx="77">
                  <c:v>1.51</c:v>
                </c:pt>
                <c:pt idx="78">
                  <c:v>1.51</c:v>
                </c:pt>
                <c:pt idx="79">
                  <c:v>1.51</c:v>
                </c:pt>
                <c:pt idx="80">
                  <c:v>1.51</c:v>
                </c:pt>
                <c:pt idx="81">
                  <c:v>1.51</c:v>
                </c:pt>
                <c:pt idx="82">
                  <c:v>1.51</c:v>
                </c:pt>
                <c:pt idx="83">
                  <c:v>1.51</c:v>
                </c:pt>
                <c:pt idx="84">
                  <c:v>1.51</c:v>
                </c:pt>
                <c:pt idx="85">
                  <c:v>1.51</c:v>
                </c:pt>
                <c:pt idx="86">
                  <c:v>1.51</c:v>
                </c:pt>
                <c:pt idx="87">
                  <c:v>1.51</c:v>
                </c:pt>
                <c:pt idx="88">
                  <c:v>1.51</c:v>
                </c:pt>
                <c:pt idx="89">
                  <c:v>1.51</c:v>
                </c:pt>
                <c:pt idx="90">
                  <c:v>1.51</c:v>
                </c:pt>
                <c:pt idx="91">
                  <c:v>1.51</c:v>
                </c:pt>
                <c:pt idx="92">
                  <c:v>1.51</c:v>
                </c:pt>
                <c:pt idx="93">
                  <c:v>1.51</c:v>
                </c:pt>
                <c:pt idx="94">
                  <c:v>1.51</c:v>
                </c:pt>
                <c:pt idx="95">
                  <c:v>1.51</c:v>
                </c:pt>
                <c:pt idx="96">
                  <c:v>1.51</c:v>
                </c:pt>
                <c:pt idx="97">
                  <c:v>1.51</c:v>
                </c:pt>
                <c:pt idx="98">
                  <c:v>1.51</c:v>
                </c:pt>
                <c:pt idx="99">
                  <c:v>1.51</c:v>
                </c:pt>
                <c:pt idx="100">
                  <c:v>1.51</c:v>
                </c:pt>
                <c:pt idx="101">
                  <c:v>1.51</c:v>
                </c:pt>
                <c:pt idx="102">
                  <c:v>1.51</c:v>
                </c:pt>
                <c:pt idx="103">
                  <c:v>1.51</c:v>
                </c:pt>
                <c:pt idx="104">
                  <c:v>1.51</c:v>
                </c:pt>
                <c:pt idx="105">
                  <c:v>1.51</c:v>
                </c:pt>
                <c:pt idx="106">
                  <c:v>1.51</c:v>
                </c:pt>
                <c:pt idx="107">
                  <c:v>1.51</c:v>
                </c:pt>
                <c:pt idx="108">
                  <c:v>1.51</c:v>
                </c:pt>
                <c:pt idx="109">
                  <c:v>1.51</c:v>
                </c:pt>
                <c:pt idx="110">
                  <c:v>1.51</c:v>
                </c:pt>
                <c:pt idx="111">
                  <c:v>1.51</c:v>
                </c:pt>
                <c:pt idx="112">
                  <c:v>1.51</c:v>
                </c:pt>
                <c:pt idx="113">
                  <c:v>1.51</c:v>
                </c:pt>
                <c:pt idx="114">
                  <c:v>1.51</c:v>
                </c:pt>
                <c:pt idx="115">
                  <c:v>1.51</c:v>
                </c:pt>
                <c:pt idx="116">
                  <c:v>1.51</c:v>
                </c:pt>
                <c:pt idx="117">
                  <c:v>1.51</c:v>
                </c:pt>
                <c:pt idx="118">
                  <c:v>1.51</c:v>
                </c:pt>
                <c:pt idx="119">
                  <c:v>1.51</c:v>
                </c:pt>
                <c:pt idx="120">
                  <c:v>1.51</c:v>
                </c:pt>
                <c:pt idx="121">
                  <c:v>1.51</c:v>
                </c:pt>
                <c:pt idx="122">
                  <c:v>1.51</c:v>
                </c:pt>
                <c:pt idx="123">
                  <c:v>1.51</c:v>
                </c:pt>
                <c:pt idx="124">
                  <c:v>1.51</c:v>
                </c:pt>
                <c:pt idx="125">
                  <c:v>1.51</c:v>
                </c:pt>
                <c:pt idx="126">
                  <c:v>1.51</c:v>
                </c:pt>
                <c:pt idx="127">
                  <c:v>1.51</c:v>
                </c:pt>
                <c:pt idx="128">
                  <c:v>1.51</c:v>
                </c:pt>
                <c:pt idx="129">
                  <c:v>1.51</c:v>
                </c:pt>
                <c:pt idx="130">
                  <c:v>1.51</c:v>
                </c:pt>
                <c:pt idx="131">
                  <c:v>1.51</c:v>
                </c:pt>
                <c:pt idx="132">
                  <c:v>1.51</c:v>
                </c:pt>
                <c:pt idx="133">
                  <c:v>1.51</c:v>
                </c:pt>
                <c:pt idx="134">
                  <c:v>1.51</c:v>
                </c:pt>
                <c:pt idx="135">
                  <c:v>1.51</c:v>
                </c:pt>
                <c:pt idx="136">
                  <c:v>1.51</c:v>
                </c:pt>
                <c:pt idx="137">
                  <c:v>1.51</c:v>
                </c:pt>
                <c:pt idx="138">
                  <c:v>1.51</c:v>
                </c:pt>
                <c:pt idx="139">
                  <c:v>1.51</c:v>
                </c:pt>
                <c:pt idx="140">
                  <c:v>1.51</c:v>
                </c:pt>
                <c:pt idx="141">
                  <c:v>1.51</c:v>
                </c:pt>
                <c:pt idx="142">
                  <c:v>1.51</c:v>
                </c:pt>
                <c:pt idx="143">
                  <c:v>1.51</c:v>
                </c:pt>
                <c:pt idx="144">
                  <c:v>1.51</c:v>
                </c:pt>
                <c:pt idx="145">
                  <c:v>1.51</c:v>
                </c:pt>
                <c:pt idx="146">
                  <c:v>1.51</c:v>
                </c:pt>
                <c:pt idx="147">
                  <c:v>1.51</c:v>
                </c:pt>
                <c:pt idx="148">
                  <c:v>1.51</c:v>
                </c:pt>
                <c:pt idx="149">
                  <c:v>1.51</c:v>
                </c:pt>
                <c:pt idx="150">
                  <c:v>1.51</c:v>
                </c:pt>
                <c:pt idx="151">
                  <c:v>1.51</c:v>
                </c:pt>
                <c:pt idx="152">
                  <c:v>1.51</c:v>
                </c:pt>
                <c:pt idx="153">
                  <c:v>1.51</c:v>
                </c:pt>
                <c:pt idx="154">
                  <c:v>1.51</c:v>
                </c:pt>
                <c:pt idx="155">
                  <c:v>1.51</c:v>
                </c:pt>
                <c:pt idx="156">
                  <c:v>1.51</c:v>
                </c:pt>
                <c:pt idx="157">
                  <c:v>1.51</c:v>
                </c:pt>
                <c:pt idx="158">
                  <c:v>1.51</c:v>
                </c:pt>
                <c:pt idx="159">
                  <c:v>1.51</c:v>
                </c:pt>
                <c:pt idx="160">
                  <c:v>1.51</c:v>
                </c:pt>
                <c:pt idx="161">
                  <c:v>1.51</c:v>
                </c:pt>
                <c:pt idx="162">
                  <c:v>1.51</c:v>
                </c:pt>
                <c:pt idx="163">
                  <c:v>1.51</c:v>
                </c:pt>
                <c:pt idx="164">
                  <c:v>1.51</c:v>
                </c:pt>
                <c:pt idx="165">
                  <c:v>1.51</c:v>
                </c:pt>
                <c:pt idx="166">
                  <c:v>1.51</c:v>
                </c:pt>
                <c:pt idx="167">
                  <c:v>1.51</c:v>
                </c:pt>
                <c:pt idx="168">
                  <c:v>1.51</c:v>
                </c:pt>
                <c:pt idx="169">
                  <c:v>1.51</c:v>
                </c:pt>
                <c:pt idx="170">
                  <c:v>1.51</c:v>
                </c:pt>
                <c:pt idx="171">
                  <c:v>1.51</c:v>
                </c:pt>
                <c:pt idx="172">
                  <c:v>1.51</c:v>
                </c:pt>
                <c:pt idx="173">
                  <c:v>1.51</c:v>
                </c:pt>
                <c:pt idx="174">
                  <c:v>1.51</c:v>
                </c:pt>
                <c:pt idx="175">
                  <c:v>1.51</c:v>
                </c:pt>
                <c:pt idx="176">
                  <c:v>1.51</c:v>
                </c:pt>
                <c:pt idx="177">
                  <c:v>1.51</c:v>
                </c:pt>
                <c:pt idx="178">
                  <c:v>1.51</c:v>
                </c:pt>
                <c:pt idx="179">
                  <c:v>1.51</c:v>
                </c:pt>
                <c:pt idx="180">
                  <c:v>1.51</c:v>
                </c:pt>
                <c:pt idx="181">
                  <c:v>1.51</c:v>
                </c:pt>
                <c:pt idx="182">
                  <c:v>1.51</c:v>
                </c:pt>
                <c:pt idx="183">
                  <c:v>1.51</c:v>
                </c:pt>
                <c:pt idx="184">
                  <c:v>1.51</c:v>
                </c:pt>
                <c:pt idx="185">
                  <c:v>1.51</c:v>
                </c:pt>
                <c:pt idx="186">
                  <c:v>1.51</c:v>
                </c:pt>
                <c:pt idx="187">
                  <c:v>1.51</c:v>
                </c:pt>
                <c:pt idx="188">
                  <c:v>1.51</c:v>
                </c:pt>
                <c:pt idx="189">
                  <c:v>1.51</c:v>
                </c:pt>
                <c:pt idx="190">
                  <c:v>1.51</c:v>
                </c:pt>
                <c:pt idx="191">
                  <c:v>1.51</c:v>
                </c:pt>
                <c:pt idx="192">
                  <c:v>1.51</c:v>
                </c:pt>
                <c:pt idx="193">
                  <c:v>1.51</c:v>
                </c:pt>
                <c:pt idx="194">
                  <c:v>1.51</c:v>
                </c:pt>
                <c:pt idx="195">
                  <c:v>1.51</c:v>
                </c:pt>
                <c:pt idx="196">
                  <c:v>1.51</c:v>
                </c:pt>
                <c:pt idx="197">
                  <c:v>1.51</c:v>
                </c:pt>
                <c:pt idx="198">
                  <c:v>1.51</c:v>
                </c:pt>
                <c:pt idx="199">
                  <c:v>1.51</c:v>
                </c:pt>
                <c:pt idx="200">
                  <c:v>1.51</c:v>
                </c:pt>
                <c:pt idx="201">
                  <c:v>1.51</c:v>
                </c:pt>
                <c:pt idx="202">
                  <c:v>1.51</c:v>
                </c:pt>
                <c:pt idx="203">
                  <c:v>1.51</c:v>
                </c:pt>
                <c:pt idx="204">
                  <c:v>1.51</c:v>
                </c:pt>
                <c:pt idx="205">
                  <c:v>1.51</c:v>
                </c:pt>
                <c:pt idx="206">
                  <c:v>1.51</c:v>
                </c:pt>
                <c:pt idx="207">
                  <c:v>1.51</c:v>
                </c:pt>
                <c:pt idx="208">
                  <c:v>1.51</c:v>
                </c:pt>
                <c:pt idx="209">
                  <c:v>1.51</c:v>
                </c:pt>
                <c:pt idx="210">
                  <c:v>1.51</c:v>
                </c:pt>
                <c:pt idx="211">
                  <c:v>1.51</c:v>
                </c:pt>
                <c:pt idx="212">
                  <c:v>1.51</c:v>
                </c:pt>
                <c:pt idx="213">
                  <c:v>1.51</c:v>
                </c:pt>
                <c:pt idx="214">
                  <c:v>1.51</c:v>
                </c:pt>
                <c:pt idx="215">
                  <c:v>1.51</c:v>
                </c:pt>
                <c:pt idx="216">
                  <c:v>1.51</c:v>
                </c:pt>
                <c:pt idx="217">
                  <c:v>1.51</c:v>
                </c:pt>
                <c:pt idx="218">
                  <c:v>1.51</c:v>
                </c:pt>
                <c:pt idx="219">
                  <c:v>1.51</c:v>
                </c:pt>
                <c:pt idx="220">
                  <c:v>1.51</c:v>
                </c:pt>
                <c:pt idx="221">
                  <c:v>1.51</c:v>
                </c:pt>
                <c:pt idx="222">
                  <c:v>1.51</c:v>
                </c:pt>
                <c:pt idx="223">
                  <c:v>1.51</c:v>
                </c:pt>
                <c:pt idx="224">
                  <c:v>1.51</c:v>
                </c:pt>
                <c:pt idx="225">
                  <c:v>1.51</c:v>
                </c:pt>
                <c:pt idx="226">
                  <c:v>1.51</c:v>
                </c:pt>
                <c:pt idx="227">
                  <c:v>1.51</c:v>
                </c:pt>
                <c:pt idx="228">
                  <c:v>1.51</c:v>
                </c:pt>
                <c:pt idx="229">
                  <c:v>1.51</c:v>
                </c:pt>
                <c:pt idx="230">
                  <c:v>1.51</c:v>
                </c:pt>
                <c:pt idx="231">
                  <c:v>1.51</c:v>
                </c:pt>
                <c:pt idx="232">
                  <c:v>1.51</c:v>
                </c:pt>
                <c:pt idx="233">
                  <c:v>1.51</c:v>
                </c:pt>
                <c:pt idx="234">
                  <c:v>1.51</c:v>
                </c:pt>
                <c:pt idx="235">
                  <c:v>1.51</c:v>
                </c:pt>
                <c:pt idx="236">
                  <c:v>1.51</c:v>
                </c:pt>
                <c:pt idx="237">
                  <c:v>1.51</c:v>
                </c:pt>
                <c:pt idx="238">
                  <c:v>1.51</c:v>
                </c:pt>
                <c:pt idx="239">
                  <c:v>1.51</c:v>
                </c:pt>
                <c:pt idx="240">
                  <c:v>1.51</c:v>
                </c:pt>
                <c:pt idx="241">
                  <c:v>1.51</c:v>
                </c:pt>
                <c:pt idx="242">
                  <c:v>1.51</c:v>
                </c:pt>
                <c:pt idx="243">
                  <c:v>1.51</c:v>
                </c:pt>
                <c:pt idx="244">
                  <c:v>1.51</c:v>
                </c:pt>
                <c:pt idx="245">
                  <c:v>1.51</c:v>
                </c:pt>
                <c:pt idx="246">
                  <c:v>1.51</c:v>
                </c:pt>
                <c:pt idx="247">
                  <c:v>1.51</c:v>
                </c:pt>
                <c:pt idx="248">
                  <c:v>1.51</c:v>
                </c:pt>
                <c:pt idx="249">
                  <c:v>1.51</c:v>
                </c:pt>
                <c:pt idx="250">
                  <c:v>1.51</c:v>
                </c:pt>
                <c:pt idx="251">
                  <c:v>1.51</c:v>
                </c:pt>
                <c:pt idx="252">
                  <c:v>1.51</c:v>
                </c:pt>
                <c:pt idx="253">
                  <c:v>1.51</c:v>
                </c:pt>
                <c:pt idx="254">
                  <c:v>1.51</c:v>
                </c:pt>
                <c:pt idx="255">
                  <c:v>1.51</c:v>
                </c:pt>
                <c:pt idx="256">
                  <c:v>1.51</c:v>
                </c:pt>
                <c:pt idx="257">
                  <c:v>1.51</c:v>
                </c:pt>
                <c:pt idx="258">
                  <c:v>1.51</c:v>
                </c:pt>
                <c:pt idx="259">
                  <c:v>1.51</c:v>
                </c:pt>
                <c:pt idx="260">
                  <c:v>1.51</c:v>
                </c:pt>
                <c:pt idx="261">
                  <c:v>1.51</c:v>
                </c:pt>
                <c:pt idx="262">
                  <c:v>1.51</c:v>
                </c:pt>
                <c:pt idx="263">
                  <c:v>1.51</c:v>
                </c:pt>
                <c:pt idx="264">
                  <c:v>1.51</c:v>
                </c:pt>
                <c:pt idx="265">
                  <c:v>1.51</c:v>
                </c:pt>
                <c:pt idx="266">
                  <c:v>1.51</c:v>
                </c:pt>
                <c:pt idx="267">
                  <c:v>1.51</c:v>
                </c:pt>
                <c:pt idx="268">
                  <c:v>1.51</c:v>
                </c:pt>
                <c:pt idx="269">
                  <c:v>1.51</c:v>
                </c:pt>
                <c:pt idx="270">
                  <c:v>1.51</c:v>
                </c:pt>
                <c:pt idx="271">
                  <c:v>1.51</c:v>
                </c:pt>
                <c:pt idx="272">
                  <c:v>1.51</c:v>
                </c:pt>
                <c:pt idx="273">
                  <c:v>1.51</c:v>
                </c:pt>
                <c:pt idx="274">
                  <c:v>1.51</c:v>
                </c:pt>
                <c:pt idx="275">
                  <c:v>1.51</c:v>
                </c:pt>
                <c:pt idx="276">
                  <c:v>1.51</c:v>
                </c:pt>
                <c:pt idx="277">
                  <c:v>1.51</c:v>
                </c:pt>
                <c:pt idx="278">
                  <c:v>1.51</c:v>
                </c:pt>
                <c:pt idx="279">
                  <c:v>1.51</c:v>
                </c:pt>
                <c:pt idx="280">
                  <c:v>1.51</c:v>
                </c:pt>
                <c:pt idx="281">
                  <c:v>1.51</c:v>
                </c:pt>
                <c:pt idx="282">
                  <c:v>1.51</c:v>
                </c:pt>
                <c:pt idx="283">
                  <c:v>1.51</c:v>
                </c:pt>
                <c:pt idx="284">
                  <c:v>1.51</c:v>
                </c:pt>
                <c:pt idx="285">
                  <c:v>1.51</c:v>
                </c:pt>
                <c:pt idx="286">
                  <c:v>1.51</c:v>
                </c:pt>
                <c:pt idx="287">
                  <c:v>1.51</c:v>
                </c:pt>
                <c:pt idx="288">
                  <c:v>1.51</c:v>
                </c:pt>
                <c:pt idx="289">
                  <c:v>1.51</c:v>
                </c:pt>
                <c:pt idx="290">
                  <c:v>1.51</c:v>
                </c:pt>
                <c:pt idx="291">
                  <c:v>1.51</c:v>
                </c:pt>
                <c:pt idx="292">
                  <c:v>1.51</c:v>
                </c:pt>
                <c:pt idx="293">
                  <c:v>1.51</c:v>
                </c:pt>
                <c:pt idx="294">
                  <c:v>1.51</c:v>
                </c:pt>
                <c:pt idx="295">
                  <c:v>1.51</c:v>
                </c:pt>
                <c:pt idx="296">
                  <c:v>1.51</c:v>
                </c:pt>
                <c:pt idx="297">
                  <c:v>1.51</c:v>
                </c:pt>
                <c:pt idx="298">
                  <c:v>1.51</c:v>
                </c:pt>
                <c:pt idx="299">
                  <c:v>1.51</c:v>
                </c:pt>
                <c:pt idx="300">
                  <c:v>1.51</c:v>
                </c:pt>
                <c:pt idx="301">
                  <c:v>1.51</c:v>
                </c:pt>
                <c:pt idx="302">
                  <c:v>1.51</c:v>
                </c:pt>
                <c:pt idx="303">
                  <c:v>1.51</c:v>
                </c:pt>
                <c:pt idx="304">
                  <c:v>1.51</c:v>
                </c:pt>
                <c:pt idx="305">
                  <c:v>1.51</c:v>
                </c:pt>
                <c:pt idx="306">
                  <c:v>1.51</c:v>
                </c:pt>
                <c:pt idx="307">
                  <c:v>1.51</c:v>
                </c:pt>
                <c:pt idx="308">
                  <c:v>1.51</c:v>
                </c:pt>
                <c:pt idx="309">
                  <c:v>1.51</c:v>
                </c:pt>
                <c:pt idx="310">
                  <c:v>1.51</c:v>
                </c:pt>
                <c:pt idx="311">
                  <c:v>1.51</c:v>
                </c:pt>
                <c:pt idx="312">
                  <c:v>1.51</c:v>
                </c:pt>
                <c:pt idx="313">
                  <c:v>1.51</c:v>
                </c:pt>
                <c:pt idx="314">
                  <c:v>1.51</c:v>
                </c:pt>
                <c:pt idx="315">
                  <c:v>1.51</c:v>
                </c:pt>
                <c:pt idx="316">
                  <c:v>1.51</c:v>
                </c:pt>
                <c:pt idx="317">
                  <c:v>1.51</c:v>
                </c:pt>
                <c:pt idx="318">
                  <c:v>1.51</c:v>
                </c:pt>
                <c:pt idx="319">
                  <c:v>1.51</c:v>
                </c:pt>
                <c:pt idx="320">
                  <c:v>1.51</c:v>
                </c:pt>
                <c:pt idx="321">
                  <c:v>1.51</c:v>
                </c:pt>
                <c:pt idx="322">
                  <c:v>1.51</c:v>
                </c:pt>
                <c:pt idx="323">
                  <c:v>1.51</c:v>
                </c:pt>
                <c:pt idx="324">
                  <c:v>1.51</c:v>
                </c:pt>
                <c:pt idx="325">
                  <c:v>1.51</c:v>
                </c:pt>
                <c:pt idx="326">
                  <c:v>1.51</c:v>
                </c:pt>
                <c:pt idx="327">
                  <c:v>1.51</c:v>
                </c:pt>
                <c:pt idx="328">
                  <c:v>1.51</c:v>
                </c:pt>
                <c:pt idx="329">
                  <c:v>1.51</c:v>
                </c:pt>
                <c:pt idx="330">
                  <c:v>1.51</c:v>
                </c:pt>
                <c:pt idx="331">
                  <c:v>1.51</c:v>
                </c:pt>
                <c:pt idx="332">
                  <c:v>1.51</c:v>
                </c:pt>
                <c:pt idx="333">
                  <c:v>1.51</c:v>
                </c:pt>
                <c:pt idx="334">
                  <c:v>1.51</c:v>
                </c:pt>
                <c:pt idx="335">
                  <c:v>1.51</c:v>
                </c:pt>
                <c:pt idx="336">
                  <c:v>1.51</c:v>
                </c:pt>
                <c:pt idx="337">
                  <c:v>1.51</c:v>
                </c:pt>
                <c:pt idx="338">
                  <c:v>1.51</c:v>
                </c:pt>
                <c:pt idx="339">
                  <c:v>1.51</c:v>
                </c:pt>
                <c:pt idx="340">
                  <c:v>1.51</c:v>
                </c:pt>
                <c:pt idx="341">
                  <c:v>1.51</c:v>
                </c:pt>
                <c:pt idx="342">
                  <c:v>1.51</c:v>
                </c:pt>
                <c:pt idx="343">
                  <c:v>1.51</c:v>
                </c:pt>
                <c:pt idx="344">
                  <c:v>1.51</c:v>
                </c:pt>
                <c:pt idx="345">
                  <c:v>1.51</c:v>
                </c:pt>
                <c:pt idx="346">
                  <c:v>1.51</c:v>
                </c:pt>
                <c:pt idx="347">
                  <c:v>1.51</c:v>
                </c:pt>
                <c:pt idx="348">
                  <c:v>1.51</c:v>
                </c:pt>
                <c:pt idx="349">
                  <c:v>1.51</c:v>
                </c:pt>
                <c:pt idx="350">
                  <c:v>1.51</c:v>
                </c:pt>
                <c:pt idx="351">
                  <c:v>1.51</c:v>
                </c:pt>
                <c:pt idx="352">
                  <c:v>1.51</c:v>
                </c:pt>
                <c:pt idx="353">
                  <c:v>1.51</c:v>
                </c:pt>
                <c:pt idx="354">
                  <c:v>1.51</c:v>
                </c:pt>
                <c:pt idx="355">
                  <c:v>1.51</c:v>
                </c:pt>
                <c:pt idx="356">
                  <c:v>1.51</c:v>
                </c:pt>
                <c:pt idx="357">
                  <c:v>1.51</c:v>
                </c:pt>
                <c:pt idx="358">
                  <c:v>1.51</c:v>
                </c:pt>
                <c:pt idx="359">
                  <c:v>1.51</c:v>
                </c:pt>
                <c:pt idx="360">
                  <c:v>1.51</c:v>
                </c:pt>
                <c:pt idx="361">
                  <c:v>1.51</c:v>
                </c:pt>
                <c:pt idx="362">
                  <c:v>1.51</c:v>
                </c:pt>
                <c:pt idx="363">
                  <c:v>1.51</c:v>
                </c:pt>
                <c:pt idx="364">
                  <c:v>1.51</c:v>
                </c:pt>
                <c:pt idx="365">
                  <c:v>1.51</c:v>
                </c:pt>
                <c:pt idx="366">
                  <c:v>1.51</c:v>
                </c:pt>
                <c:pt idx="367">
                  <c:v>1.51</c:v>
                </c:pt>
                <c:pt idx="368">
                  <c:v>1.51</c:v>
                </c:pt>
                <c:pt idx="369">
                  <c:v>1.51</c:v>
                </c:pt>
                <c:pt idx="370">
                  <c:v>1.51</c:v>
                </c:pt>
                <c:pt idx="371">
                  <c:v>1.51</c:v>
                </c:pt>
                <c:pt idx="372">
                  <c:v>1.51</c:v>
                </c:pt>
                <c:pt idx="373">
                  <c:v>1.51</c:v>
                </c:pt>
                <c:pt idx="374">
                  <c:v>1.51</c:v>
                </c:pt>
                <c:pt idx="375">
                  <c:v>1.51</c:v>
                </c:pt>
                <c:pt idx="376">
                  <c:v>1.51</c:v>
                </c:pt>
                <c:pt idx="377">
                  <c:v>1.51</c:v>
                </c:pt>
                <c:pt idx="378">
                  <c:v>1.51</c:v>
                </c:pt>
                <c:pt idx="379">
                  <c:v>1.51</c:v>
                </c:pt>
                <c:pt idx="380">
                  <c:v>1.51</c:v>
                </c:pt>
                <c:pt idx="381">
                  <c:v>1.51</c:v>
                </c:pt>
                <c:pt idx="382">
                  <c:v>1.51</c:v>
                </c:pt>
                <c:pt idx="383">
                  <c:v>1.51</c:v>
                </c:pt>
                <c:pt idx="384">
                  <c:v>1.51</c:v>
                </c:pt>
                <c:pt idx="385">
                  <c:v>1.51</c:v>
                </c:pt>
                <c:pt idx="386">
                  <c:v>1.51</c:v>
                </c:pt>
                <c:pt idx="387">
                  <c:v>1.51</c:v>
                </c:pt>
                <c:pt idx="388">
                  <c:v>1.51</c:v>
                </c:pt>
                <c:pt idx="389">
                  <c:v>1.51</c:v>
                </c:pt>
                <c:pt idx="390">
                  <c:v>1.51</c:v>
                </c:pt>
                <c:pt idx="391">
                  <c:v>1.51</c:v>
                </c:pt>
                <c:pt idx="392">
                  <c:v>1.51</c:v>
                </c:pt>
                <c:pt idx="393">
                  <c:v>1.51</c:v>
                </c:pt>
                <c:pt idx="394">
                  <c:v>1.51</c:v>
                </c:pt>
                <c:pt idx="395">
                  <c:v>1.51</c:v>
                </c:pt>
                <c:pt idx="396">
                  <c:v>1.51</c:v>
                </c:pt>
                <c:pt idx="397">
                  <c:v>1.51</c:v>
                </c:pt>
                <c:pt idx="398">
                  <c:v>1.51</c:v>
                </c:pt>
                <c:pt idx="399">
                  <c:v>1.51</c:v>
                </c:pt>
                <c:pt idx="400">
                  <c:v>1.51</c:v>
                </c:pt>
                <c:pt idx="401">
                  <c:v>1.51</c:v>
                </c:pt>
                <c:pt idx="402">
                  <c:v>1.51</c:v>
                </c:pt>
                <c:pt idx="403">
                  <c:v>1.51</c:v>
                </c:pt>
                <c:pt idx="404">
                  <c:v>1.51</c:v>
                </c:pt>
                <c:pt idx="405">
                  <c:v>1.51</c:v>
                </c:pt>
                <c:pt idx="406">
                  <c:v>1.51</c:v>
                </c:pt>
                <c:pt idx="407">
                  <c:v>1.51</c:v>
                </c:pt>
                <c:pt idx="408">
                  <c:v>1.51</c:v>
                </c:pt>
                <c:pt idx="409">
                  <c:v>1.51</c:v>
                </c:pt>
                <c:pt idx="410">
                  <c:v>1.51</c:v>
                </c:pt>
                <c:pt idx="411">
                  <c:v>1.51</c:v>
                </c:pt>
                <c:pt idx="412">
                  <c:v>1.51</c:v>
                </c:pt>
                <c:pt idx="413">
                  <c:v>1.51</c:v>
                </c:pt>
                <c:pt idx="414">
                  <c:v>1.51</c:v>
                </c:pt>
                <c:pt idx="415">
                  <c:v>1.51</c:v>
                </c:pt>
                <c:pt idx="416">
                  <c:v>1.51</c:v>
                </c:pt>
                <c:pt idx="417">
                  <c:v>1.51</c:v>
                </c:pt>
                <c:pt idx="418">
                  <c:v>1.51</c:v>
                </c:pt>
                <c:pt idx="419">
                  <c:v>1.51</c:v>
                </c:pt>
                <c:pt idx="420">
                  <c:v>1.51</c:v>
                </c:pt>
                <c:pt idx="421">
                  <c:v>1.51</c:v>
                </c:pt>
                <c:pt idx="422">
                  <c:v>1.51</c:v>
                </c:pt>
                <c:pt idx="423">
                  <c:v>1.51</c:v>
                </c:pt>
                <c:pt idx="424">
                  <c:v>1.51</c:v>
                </c:pt>
                <c:pt idx="425">
                  <c:v>1.51</c:v>
                </c:pt>
                <c:pt idx="426">
                  <c:v>1.51</c:v>
                </c:pt>
                <c:pt idx="427">
                  <c:v>1.51</c:v>
                </c:pt>
                <c:pt idx="428">
                  <c:v>1.51</c:v>
                </c:pt>
                <c:pt idx="429">
                  <c:v>1.51</c:v>
                </c:pt>
                <c:pt idx="430">
                  <c:v>1.51</c:v>
                </c:pt>
                <c:pt idx="431">
                  <c:v>1.51</c:v>
                </c:pt>
                <c:pt idx="432">
                  <c:v>1.51</c:v>
                </c:pt>
                <c:pt idx="433">
                  <c:v>1.51</c:v>
                </c:pt>
                <c:pt idx="434">
                  <c:v>1.51</c:v>
                </c:pt>
                <c:pt idx="435">
                  <c:v>1.51</c:v>
                </c:pt>
                <c:pt idx="436">
                  <c:v>1.51</c:v>
                </c:pt>
                <c:pt idx="437">
                  <c:v>1.51</c:v>
                </c:pt>
                <c:pt idx="438">
                  <c:v>1.51</c:v>
                </c:pt>
                <c:pt idx="439">
                  <c:v>1.51</c:v>
                </c:pt>
                <c:pt idx="440">
                  <c:v>1.51</c:v>
                </c:pt>
                <c:pt idx="441">
                  <c:v>1.51</c:v>
                </c:pt>
                <c:pt idx="442">
                  <c:v>1.51</c:v>
                </c:pt>
                <c:pt idx="443">
                  <c:v>1.51</c:v>
                </c:pt>
                <c:pt idx="444">
                  <c:v>1.51</c:v>
                </c:pt>
                <c:pt idx="445">
                  <c:v>1.51</c:v>
                </c:pt>
                <c:pt idx="446">
                  <c:v>1.51</c:v>
                </c:pt>
                <c:pt idx="447">
                  <c:v>1.51</c:v>
                </c:pt>
                <c:pt idx="448">
                  <c:v>1.51</c:v>
                </c:pt>
                <c:pt idx="449">
                  <c:v>1.51</c:v>
                </c:pt>
                <c:pt idx="450">
                  <c:v>1.51</c:v>
                </c:pt>
                <c:pt idx="451">
                  <c:v>1.51</c:v>
                </c:pt>
                <c:pt idx="452">
                  <c:v>1.51</c:v>
                </c:pt>
                <c:pt idx="453">
                  <c:v>1.51</c:v>
                </c:pt>
                <c:pt idx="454">
                  <c:v>1.51</c:v>
                </c:pt>
                <c:pt idx="455">
                  <c:v>1.51</c:v>
                </c:pt>
                <c:pt idx="456">
                  <c:v>1.51</c:v>
                </c:pt>
                <c:pt idx="457">
                  <c:v>1.51</c:v>
                </c:pt>
                <c:pt idx="458">
                  <c:v>1.51</c:v>
                </c:pt>
                <c:pt idx="459">
                  <c:v>1.51</c:v>
                </c:pt>
                <c:pt idx="460">
                  <c:v>1.51</c:v>
                </c:pt>
                <c:pt idx="461">
                  <c:v>1.51</c:v>
                </c:pt>
                <c:pt idx="462">
                  <c:v>1.51</c:v>
                </c:pt>
                <c:pt idx="463">
                  <c:v>1.51</c:v>
                </c:pt>
                <c:pt idx="464">
                  <c:v>1.51</c:v>
                </c:pt>
                <c:pt idx="465">
                  <c:v>1.51</c:v>
                </c:pt>
                <c:pt idx="466">
                  <c:v>1.51</c:v>
                </c:pt>
                <c:pt idx="467">
                  <c:v>1.51</c:v>
                </c:pt>
                <c:pt idx="468">
                  <c:v>1.51</c:v>
                </c:pt>
                <c:pt idx="469">
                  <c:v>1.51</c:v>
                </c:pt>
                <c:pt idx="470">
                  <c:v>1.51</c:v>
                </c:pt>
                <c:pt idx="471">
                  <c:v>1.51</c:v>
                </c:pt>
                <c:pt idx="472">
                  <c:v>1.51</c:v>
                </c:pt>
                <c:pt idx="473">
                  <c:v>1.51</c:v>
                </c:pt>
                <c:pt idx="474">
                  <c:v>1.51</c:v>
                </c:pt>
                <c:pt idx="475">
                  <c:v>1.51</c:v>
                </c:pt>
                <c:pt idx="476">
                  <c:v>1.51</c:v>
                </c:pt>
                <c:pt idx="477">
                  <c:v>1.51</c:v>
                </c:pt>
                <c:pt idx="478">
                  <c:v>1.51</c:v>
                </c:pt>
                <c:pt idx="479">
                  <c:v>1.51</c:v>
                </c:pt>
                <c:pt idx="480">
                  <c:v>1.51</c:v>
                </c:pt>
                <c:pt idx="481">
                  <c:v>1.51</c:v>
                </c:pt>
                <c:pt idx="482">
                  <c:v>1.51</c:v>
                </c:pt>
                <c:pt idx="483">
                  <c:v>1.51</c:v>
                </c:pt>
                <c:pt idx="484">
                  <c:v>1.51</c:v>
                </c:pt>
                <c:pt idx="485">
                  <c:v>1.51</c:v>
                </c:pt>
                <c:pt idx="486">
                  <c:v>1.51</c:v>
                </c:pt>
                <c:pt idx="487">
                  <c:v>1.51</c:v>
                </c:pt>
                <c:pt idx="488">
                  <c:v>1.51</c:v>
                </c:pt>
                <c:pt idx="489">
                  <c:v>1.51</c:v>
                </c:pt>
                <c:pt idx="490">
                  <c:v>1.51</c:v>
                </c:pt>
                <c:pt idx="491">
                  <c:v>1.51</c:v>
                </c:pt>
                <c:pt idx="492">
                  <c:v>1.51</c:v>
                </c:pt>
                <c:pt idx="493">
                  <c:v>1.51</c:v>
                </c:pt>
                <c:pt idx="494">
                  <c:v>1.51</c:v>
                </c:pt>
                <c:pt idx="495">
                  <c:v>1.51</c:v>
                </c:pt>
                <c:pt idx="496">
                  <c:v>1.51</c:v>
                </c:pt>
                <c:pt idx="497">
                  <c:v>1.51</c:v>
                </c:pt>
                <c:pt idx="498">
                  <c:v>1.51</c:v>
                </c:pt>
                <c:pt idx="499">
                  <c:v>1.51</c:v>
                </c:pt>
                <c:pt idx="500">
                  <c:v>1.51</c:v>
                </c:pt>
                <c:pt idx="501">
                  <c:v>1.51</c:v>
                </c:pt>
                <c:pt idx="502">
                  <c:v>1.51</c:v>
                </c:pt>
                <c:pt idx="503">
                  <c:v>1.51</c:v>
                </c:pt>
                <c:pt idx="504">
                  <c:v>1.51</c:v>
                </c:pt>
                <c:pt idx="505">
                  <c:v>1.51</c:v>
                </c:pt>
                <c:pt idx="506">
                  <c:v>1.51</c:v>
                </c:pt>
                <c:pt idx="507">
                  <c:v>1.51</c:v>
                </c:pt>
                <c:pt idx="508">
                  <c:v>1.51</c:v>
                </c:pt>
                <c:pt idx="509">
                  <c:v>1.51</c:v>
                </c:pt>
                <c:pt idx="510">
                  <c:v>1.51</c:v>
                </c:pt>
                <c:pt idx="511">
                  <c:v>1.51</c:v>
                </c:pt>
                <c:pt idx="512">
                  <c:v>1.51</c:v>
                </c:pt>
                <c:pt idx="513">
                  <c:v>1.51</c:v>
                </c:pt>
                <c:pt idx="514">
                  <c:v>1.51</c:v>
                </c:pt>
                <c:pt idx="515">
                  <c:v>1.51</c:v>
                </c:pt>
                <c:pt idx="516">
                  <c:v>1.51</c:v>
                </c:pt>
                <c:pt idx="517">
                  <c:v>1.51</c:v>
                </c:pt>
                <c:pt idx="518">
                  <c:v>1.51</c:v>
                </c:pt>
                <c:pt idx="519">
                  <c:v>1.51</c:v>
                </c:pt>
                <c:pt idx="520">
                  <c:v>1.51</c:v>
                </c:pt>
                <c:pt idx="521">
                  <c:v>1.51</c:v>
                </c:pt>
                <c:pt idx="522">
                  <c:v>1.51</c:v>
                </c:pt>
                <c:pt idx="523">
                  <c:v>1.51</c:v>
                </c:pt>
                <c:pt idx="524">
                  <c:v>1.51</c:v>
                </c:pt>
                <c:pt idx="525">
                  <c:v>1.51</c:v>
                </c:pt>
                <c:pt idx="526">
                  <c:v>1.51</c:v>
                </c:pt>
                <c:pt idx="527">
                  <c:v>1.51</c:v>
                </c:pt>
                <c:pt idx="528">
                  <c:v>1.51</c:v>
                </c:pt>
                <c:pt idx="529">
                  <c:v>1.51</c:v>
                </c:pt>
                <c:pt idx="530">
                  <c:v>1.51</c:v>
                </c:pt>
                <c:pt idx="531">
                  <c:v>1.51</c:v>
                </c:pt>
                <c:pt idx="532">
                  <c:v>1.51</c:v>
                </c:pt>
                <c:pt idx="533">
                  <c:v>1.51</c:v>
                </c:pt>
                <c:pt idx="534">
                  <c:v>1.51</c:v>
                </c:pt>
                <c:pt idx="535">
                  <c:v>1.51</c:v>
                </c:pt>
                <c:pt idx="536">
                  <c:v>1.51</c:v>
                </c:pt>
                <c:pt idx="537">
                  <c:v>1.51</c:v>
                </c:pt>
                <c:pt idx="538">
                  <c:v>1.51</c:v>
                </c:pt>
                <c:pt idx="539">
                  <c:v>1.51</c:v>
                </c:pt>
                <c:pt idx="540">
                  <c:v>1.51</c:v>
                </c:pt>
                <c:pt idx="541">
                  <c:v>1.51</c:v>
                </c:pt>
                <c:pt idx="542">
                  <c:v>1.51</c:v>
                </c:pt>
                <c:pt idx="543">
                  <c:v>1.51</c:v>
                </c:pt>
                <c:pt idx="544">
                  <c:v>1.51</c:v>
                </c:pt>
                <c:pt idx="545">
                  <c:v>1.51</c:v>
                </c:pt>
                <c:pt idx="546">
                  <c:v>1.51</c:v>
                </c:pt>
                <c:pt idx="547">
                  <c:v>1.51</c:v>
                </c:pt>
                <c:pt idx="548">
                  <c:v>1.51</c:v>
                </c:pt>
                <c:pt idx="549">
                  <c:v>1.51</c:v>
                </c:pt>
                <c:pt idx="550">
                  <c:v>1.51</c:v>
                </c:pt>
                <c:pt idx="551">
                  <c:v>1.51</c:v>
                </c:pt>
                <c:pt idx="552">
                  <c:v>1.51</c:v>
                </c:pt>
                <c:pt idx="553">
                  <c:v>1.51</c:v>
                </c:pt>
                <c:pt idx="554">
                  <c:v>1.51</c:v>
                </c:pt>
                <c:pt idx="555">
                  <c:v>1.51</c:v>
                </c:pt>
                <c:pt idx="556">
                  <c:v>1.51</c:v>
                </c:pt>
                <c:pt idx="557">
                  <c:v>1.51</c:v>
                </c:pt>
                <c:pt idx="558">
                  <c:v>1.51</c:v>
                </c:pt>
                <c:pt idx="559">
                  <c:v>1.51</c:v>
                </c:pt>
                <c:pt idx="560">
                  <c:v>1.51</c:v>
                </c:pt>
                <c:pt idx="561">
                  <c:v>1.51</c:v>
                </c:pt>
                <c:pt idx="562">
                  <c:v>1.51</c:v>
                </c:pt>
                <c:pt idx="563">
                  <c:v>1.51</c:v>
                </c:pt>
                <c:pt idx="564">
                  <c:v>1.51</c:v>
                </c:pt>
                <c:pt idx="565">
                  <c:v>1.51</c:v>
                </c:pt>
                <c:pt idx="566">
                  <c:v>1.51</c:v>
                </c:pt>
                <c:pt idx="567">
                  <c:v>1.51</c:v>
                </c:pt>
                <c:pt idx="568">
                  <c:v>1.51</c:v>
                </c:pt>
                <c:pt idx="569">
                  <c:v>1.51</c:v>
                </c:pt>
                <c:pt idx="570">
                  <c:v>1.51</c:v>
                </c:pt>
                <c:pt idx="571">
                  <c:v>1.51</c:v>
                </c:pt>
                <c:pt idx="572">
                  <c:v>1.51</c:v>
                </c:pt>
                <c:pt idx="573">
                  <c:v>1.51</c:v>
                </c:pt>
                <c:pt idx="574">
                  <c:v>1.51</c:v>
                </c:pt>
                <c:pt idx="575">
                  <c:v>1.51</c:v>
                </c:pt>
                <c:pt idx="576">
                  <c:v>1.51</c:v>
                </c:pt>
                <c:pt idx="577">
                  <c:v>1.51</c:v>
                </c:pt>
                <c:pt idx="578">
                  <c:v>1.51</c:v>
                </c:pt>
                <c:pt idx="579">
                  <c:v>1.51</c:v>
                </c:pt>
                <c:pt idx="580">
                  <c:v>1.51</c:v>
                </c:pt>
                <c:pt idx="581">
                  <c:v>1.51</c:v>
                </c:pt>
                <c:pt idx="582">
                  <c:v>1.51</c:v>
                </c:pt>
                <c:pt idx="583">
                  <c:v>1.51</c:v>
                </c:pt>
                <c:pt idx="584">
                  <c:v>1.51</c:v>
                </c:pt>
                <c:pt idx="585">
                  <c:v>1.51</c:v>
                </c:pt>
                <c:pt idx="586">
                  <c:v>1.51</c:v>
                </c:pt>
                <c:pt idx="587">
                  <c:v>1.51</c:v>
                </c:pt>
                <c:pt idx="588">
                  <c:v>1.51</c:v>
                </c:pt>
                <c:pt idx="589">
                  <c:v>1.51</c:v>
                </c:pt>
                <c:pt idx="590">
                  <c:v>1.51</c:v>
                </c:pt>
                <c:pt idx="591">
                  <c:v>1.51</c:v>
                </c:pt>
                <c:pt idx="592">
                  <c:v>1.51</c:v>
                </c:pt>
                <c:pt idx="593">
                  <c:v>1.51</c:v>
                </c:pt>
                <c:pt idx="594">
                  <c:v>1.51</c:v>
                </c:pt>
                <c:pt idx="595">
                  <c:v>1.51</c:v>
                </c:pt>
                <c:pt idx="596">
                  <c:v>1.51</c:v>
                </c:pt>
                <c:pt idx="597">
                  <c:v>1.51</c:v>
                </c:pt>
                <c:pt idx="598">
                  <c:v>1.51</c:v>
                </c:pt>
                <c:pt idx="599">
                  <c:v>1.51</c:v>
                </c:pt>
                <c:pt idx="600">
                  <c:v>1.51</c:v>
                </c:pt>
                <c:pt idx="601">
                  <c:v>1.51</c:v>
                </c:pt>
                <c:pt idx="602">
                  <c:v>1.51</c:v>
                </c:pt>
                <c:pt idx="603">
                  <c:v>1.51</c:v>
                </c:pt>
                <c:pt idx="604">
                  <c:v>1.51</c:v>
                </c:pt>
                <c:pt idx="605">
                  <c:v>1.51</c:v>
                </c:pt>
                <c:pt idx="606">
                  <c:v>1.51</c:v>
                </c:pt>
                <c:pt idx="607">
                  <c:v>1.51</c:v>
                </c:pt>
                <c:pt idx="608">
                  <c:v>1.51</c:v>
                </c:pt>
                <c:pt idx="609">
                  <c:v>1.51</c:v>
                </c:pt>
                <c:pt idx="610">
                  <c:v>1.51</c:v>
                </c:pt>
                <c:pt idx="611">
                  <c:v>1.51</c:v>
                </c:pt>
                <c:pt idx="612">
                  <c:v>1.51</c:v>
                </c:pt>
                <c:pt idx="613">
                  <c:v>1.51</c:v>
                </c:pt>
                <c:pt idx="614">
                  <c:v>1.51</c:v>
                </c:pt>
                <c:pt idx="615">
                  <c:v>1.51</c:v>
                </c:pt>
                <c:pt idx="616">
                  <c:v>1.51</c:v>
                </c:pt>
                <c:pt idx="617">
                  <c:v>1.51</c:v>
                </c:pt>
                <c:pt idx="618">
                  <c:v>1.51</c:v>
                </c:pt>
                <c:pt idx="619">
                  <c:v>1.51</c:v>
                </c:pt>
                <c:pt idx="620">
                  <c:v>1.51</c:v>
                </c:pt>
                <c:pt idx="621">
                  <c:v>1.51</c:v>
                </c:pt>
                <c:pt idx="622">
                  <c:v>1.51</c:v>
                </c:pt>
                <c:pt idx="623">
                  <c:v>1.51</c:v>
                </c:pt>
                <c:pt idx="624">
                  <c:v>1.51</c:v>
                </c:pt>
                <c:pt idx="625">
                  <c:v>1.51</c:v>
                </c:pt>
                <c:pt idx="626">
                  <c:v>1.51</c:v>
                </c:pt>
                <c:pt idx="627">
                  <c:v>1.51</c:v>
                </c:pt>
                <c:pt idx="628">
                  <c:v>1.51</c:v>
                </c:pt>
                <c:pt idx="629">
                  <c:v>1.51</c:v>
                </c:pt>
                <c:pt idx="630">
                  <c:v>1.51</c:v>
                </c:pt>
                <c:pt idx="631">
                  <c:v>1.51</c:v>
                </c:pt>
                <c:pt idx="632">
                  <c:v>1.51</c:v>
                </c:pt>
                <c:pt idx="633">
                  <c:v>1.51</c:v>
                </c:pt>
                <c:pt idx="634">
                  <c:v>1.51</c:v>
                </c:pt>
                <c:pt idx="635">
                  <c:v>1.51</c:v>
                </c:pt>
                <c:pt idx="636">
                  <c:v>1.51</c:v>
                </c:pt>
                <c:pt idx="637">
                  <c:v>1.51</c:v>
                </c:pt>
                <c:pt idx="638">
                  <c:v>1.51</c:v>
                </c:pt>
                <c:pt idx="639">
                  <c:v>1.51</c:v>
                </c:pt>
                <c:pt idx="640">
                  <c:v>1.51</c:v>
                </c:pt>
                <c:pt idx="641">
                  <c:v>1.51</c:v>
                </c:pt>
                <c:pt idx="642">
                  <c:v>1.51</c:v>
                </c:pt>
                <c:pt idx="643">
                  <c:v>1.51</c:v>
                </c:pt>
                <c:pt idx="644">
                  <c:v>1.51</c:v>
                </c:pt>
                <c:pt idx="645">
                  <c:v>1.51</c:v>
                </c:pt>
                <c:pt idx="646">
                  <c:v>1.51</c:v>
                </c:pt>
                <c:pt idx="647">
                  <c:v>1.51</c:v>
                </c:pt>
                <c:pt idx="648">
                  <c:v>1.51</c:v>
                </c:pt>
                <c:pt idx="649">
                  <c:v>1.51</c:v>
                </c:pt>
                <c:pt idx="650">
                  <c:v>1.51</c:v>
                </c:pt>
                <c:pt idx="651">
                  <c:v>1.51</c:v>
                </c:pt>
                <c:pt idx="652">
                  <c:v>1.51</c:v>
                </c:pt>
                <c:pt idx="653">
                  <c:v>1.51</c:v>
                </c:pt>
                <c:pt idx="654">
                  <c:v>1.51</c:v>
                </c:pt>
                <c:pt idx="655">
                  <c:v>1.51</c:v>
                </c:pt>
                <c:pt idx="656">
                  <c:v>1.51</c:v>
                </c:pt>
                <c:pt idx="657">
                  <c:v>1.51</c:v>
                </c:pt>
                <c:pt idx="658">
                  <c:v>1.51</c:v>
                </c:pt>
                <c:pt idx="659">
                  <c:v>1.51</c:v>
                </c:pt>
                <c:pt idx="660">
                  <c:v>1.51</c:v>
                </c:pt>
                <c:pt idx="661">
                  <c:v>1.51</c:v>
                </c:pt>
                <c:pt idx="662">
                  <c:v>1.51</c:v>
                </c:pt>
                <c:pt idx="663">
                  <c:v>1.51</c:v>
                </c:pt>
                <c:pt idx="664">
                  <c:v>1.51</c:v>
                </c:pt>
                <c:pt idx="665">
                  <c:v>1.51</c:v>
                </c:pt>
                <c:pt idx="666">
                  <c:v>1.51</c:v>
                </c:pt>
                <c:pt idx="667">
                  <c:v>1.51</c:v>
                </c:pt>
                <c:pt idx="668">
                  <c:v>1.51</c:v>
                </c:pt>
                <c:pt idx="669">
                  <c:v>1.51</c:v>
                </c:pt>
                <c:pt idx="670">
                  <c:v>1.51</c:v>
                </c:pt>
                <c:pt idx="671">
                  <c:v>1.51</c:v>
                </c:pt>
                <c:pt idx="672">
                  <c:v>1.51</c:v>
                </c:pt>
                <c:pt idx="673">
                  <c:v>1.51</c:v>
                </c:pt>
                <c:pt idx="674">
                  <c:v>1.51</c:v>
                </c:pt>
                <c:pt idx="675">
                  <c:v>1.51</c:v>
                </c:pt>
                <c:pt idx="676">
                  <c:v>1.51</c:v>
                </c:pt>
                <c:pt idx="677">
                  <c:v>1.51</c:v>
                </c:pt>
                <c:pt idx="678">
                  <c:v>1.51</c:v>
                </c:pt>
                <c:pt idx="679">
                  <c:v>1.51</c:v>
                </c:pt>
                <c:pt idx="680">
                  <c:v>1.51</c:v>
                </c:pt>
                <c:pt idx="681">
                  <c:v>1.51</c:v>
                </c:pt>
                <c:pt idx="682">
                  <c:v>1.51</c:v>
                </c:pt>
                <c:pt idx="683">
                  <c:v>1.51</c:v>
                </c:pt>
                <c:pt idx="684">
                  <c:v>1.51</c:v>
                </c:pt>
                <c:pt idx="685">
                  <c:v>1.51</c:v>
                </c:pt>
                <c:pt idx="686">
                  <c:v>1.51</c:v>
                </c:pt>
                <c:pt idx="687">
                  <c:v>1.51</c:v>
                </c:pt>
                <c:pt idx="688">
                  <c:v>1.51</c:v>
                </c:pt>
                <c:pt idx="689">
                  <c:v>1.51</c:v>
                </c:pt>
                <c:pt idx="690">
                  <c:v>1.51</c:v>
                </c:pt>
                <c:pt idx="691">
                  <c:v>1.51</c:v>
                </c:pt>
                <c:pt idx="692">
                  <c:v>1.51</c:v>
                </c:pt>
                <c:pt idx="693">
                  <c:v>1.51</c:v>
                </c:pt>
                <c:pt idx="694">
                  <c:v>1.51</c:v>
                </c:pt>
                <c:pt idx="695">
                  <c:v>1.51</c:v>
                </c:pt>
                <c:pt idx="696">
                  <c:v>1.51</c:v>
                </c:pt>
                <c:pt idx="697">
                  <c:v>1.51</c:v>
                </c:pt>
                <c:pt idx="698">
                  <c:v>1.51</c:v>
                </c:pt>
                <c:pt idx="699">
                  <c:v>1.51</c:v>
                </c:pt>
                <c:pt idx="700">
                  <c:v>1.51</c:v>
                </c:pt>
                <c:pt idx="701">
                  <c:v>1.51</c:v>
                </c:pt>
                <c:pt idx="702">
                  <c:v>1.51</c:v>
                </c:pt>
                <c:pt idx="703">
                  <c:v>1.51</c:v>
                </c:pt>
                <c:pt idx="704">
                  <c:v>1.51</c:v>
                </c:pt>
                <c:pt idx="705">
                  <c:v>1.51</c:v>
                </c:pt>
                <c:pt idx="706">
                  <c:v>1.51</c:v>
                </c:pt>
                <c:pt idx="707">
                  <c:v>1.51</c:v>
                </c:pt>
                <c:pt idx="708">
                  <c:v>1.51</c:v>
                </c:pt>
                <c:pt idx="709">
                  <c:v>1.51</c:v>
                </c:pt>
                <c:pt idx="710">
                  <c:v>1.51</c:v>
                </c:pt>
                <c:pt idx="711">
                  <c:v>1.51</c:v>
                </c:pt>
                <c:pt idx="712">
                  <c:v>1.51</c:v>
                </c:pt>
                <c:pt idx="713">
                  <c:v>1.51</c:v>
                </c:pt>
                <c:pt idx="714">
                  <c:v>1.51</c:v>
                </c:pt>
                <c:pt idx="715">
                  <c:v>1.51</c:v>
                </c:pt>
                <c:pt idx="716">
                  <c:v>1.51</c:v>
                </c:pt>
                <c:pt idx="717">
                  <c:v>1.51</c:v>
                </c:pt>
                <c:pt idx="718">
                  <c:v>1.51</c:v>
                </c:pt>
                <c:pt idx="719">
                  <c:v>1.51</c:v>
                </c:pt>
                <c:pt idx="720">
                  <c:v>1.51</c:v>
                </c:pt>
                <c:pt idx="721">
                  <c:v>1.51</c:v>
                </c:pt>
                <c:pt idx="722">
                  <c:v>1.51</c:v>
                </c:pt>
                <c:pt idx="723">
                  <c:v>1.51</c:v>
                </c:pt>
                <c:pt idx="724">
                  <c:v>1.51</c:v>
                </c:pt>
                <c:pt idx="725">
                  <c:v>1.51</c:v>
                </c:pt>
                <c:pt idx="726">
                  <c:v>1.51</c:v>
                </c:pt>
                <c:pt idx="727">
                  <c:v>1.51</c:v>
                </c:pt>
                <c:pt idx="728">
                  <c:v>1.51</c:v>
                </c:pt>
                <c:pt idx="729">
                  <c:v>1.51</c:v>
                </c:pt>
                <c:pt idx="730">
                  <c:v>1.51</c:v>
                </c:pt>
                <c:pt idx="731">
                  <c:v>1.51</c:v>
                </c:pt>
                <c:pt idx="732">
                  <c:v>1.51</c:v>
                </c:pt>
                <c:pt idx="733">
                  <c:v>1.51</c:v>
                </c:pt>
                <c:pt idx="734">
                  <c:v>1.51</c:v>
                </c:pt>
                <c:pt idx="735">
                  <c:v>1.51</c:v>
                </c:pt>
                <c:pt idx="736">
                  <c:v>1.51</c:v>
                </c:pt>
                <c:pt idx="737">
                  <c:v>1.51</c:v>
                </c:pt>
                <c:pt idx="738">
                  <c:v>1.51</c:v>
                </c:pt>
                <c:pt idx="739">
                  <c:v>1.51</c:v>
                </c:pt>
                <c:pt idx="740">
                  <c:v>1.51</c:v>
                </c:pt>
                <c:pt idx="741">
                  <c:v>1.51</c:v>
                </c:pt>
                <c:pt idx="742">
                  <c:v>1.51</c:v>
                </c:pt>
                <c:pt idx="743">
                  <c:v>1.51</c:v>
                </c:pt>
                <c:pt idx="744">
                  <c:v>1.51</c:v>
                </c:pt>
                <c:pt idx="745">
                  <c:v>1.51</c:v>
                </c:pt>
                <c:pt idx="746">
                  <c:v>1.51</c:v>
                </c:pt>
                <c:pt idx="747">
                  <c:v>1.51</c:v>
                </c:pt>
                <c:pt idx="748">
                  <c:v>1.51</c:v>
                </c:pt>
                <c:pt idx="749">
                  <c:v>1.51</c:v>
                </c:pt>
                <c:pt idx="750">
                  <c:v>1.51</c:v>
                </c:pt>
                <c:pt idx="751">
                  <c:v>1.51</c:v>
                </c:pt>
                <c:pt idx="752">
                  <c:v>1.51</c:v>
                </c:pt>
                <c:pt idx="753">
                  <c:v>1.51</c:v>
                </c:pt>
                <c:pt idx="754">
                  <c:v>1.51</c:v>
                </c:pt>
                <c:pt idx="755">
                  <c:v>1.51</c:v>
                </c:pt>
                <c:pt idx="756">
                  <c:v>1.51</c:v>
                </c:pt>
                <c:pt idx="757">
                  <c:v>1.51</c:v>
                </c:pt>
                <c:pt idx="758">
                  <c:v>1.51</c:v>
                </c:pt>
                <c:pt idx="759">
                  <c:v>1.51</c:v>
                </c:pt>
                <c:pt idx="760">
                  <c:v>1.51</c:v>
                </c:pt>
                <c:pt idx="761">
                  <c:v>1.51</c:v>
                </c:pt>
                <c:pt idx="762">
                  <c:v>1.51</c:v>
                </c:pt>
                <c:pt idx="763">
                  <c:v>1.51</c:v>
                </c:pt>
                <c:pt idx="764">
                  <c:v>1.51</c:v>
                </c:pt>
                <c:pt idx="765">
                  <c:v>1.51</c:v>
                </c:pt>
                <c:pt idx="766">
                  <c:v>1.51</c:v>
                </c:pt>
                <c:pt idx="767">
                  <c:v>1.51</c:v>
                </c:pt>
                <c:pt idx="768">
                  <c:v>1.51</c:v>
                </c:pt>
                <c:pt idx="769">
                  <c:v>1.51</c:v>
                </c:pt>
                <c:pt idx="770">
                  <c:v>1.51</c:v>
                </c:pt>
                <c:pt idx="771">
                  <c:v>1.51</c:v>
                </c:pt>
                <c:pt idx="772">
                  <c:v>1.51</c:v>
                </c:pt>
                <c:pt idx="773">
                  <c:v>1.51</c:v>
                </c:pt>
                <c:pt idx="774">
                  <c:v>1.51</c:v>
                </c:pt>
                <c:pt idx="775">
                  <c:v>1.51</c:v>
                </c:pt>
                <c:pt idx="776">
                  <c:v>1.51</c:v>
                </c:pt>
                <c:pt idx="777">
                  <c:v>1.51</c:v>
                </c:pt>
                <c:pt idx="778">
                  <c:v>1.51</c:v>
                </c:pt>
                <c:pt idx="779">
                  <c:v>1.51</c:v>
                </c:pt>
                <c:pt idx="780">
                  <c:v>1.51</c:v>
                </c:pt>
                <c:pt idx="781">
                  <c:v>1.51</c:v>
                </c:pt>
                <c:pt idx="782">
                  <c:v>1.51</c:v>
                </c:pt>
                <c:pt idx="783">
                  <c:v>1.51</c:v>
                </c:pt>
                <c:pt idx="784">
                  <c:v>1.51</c:v>
                </c:pt>
                <c:pt idx="785">
                  <c:v>1.51</c:v>
                </c:pt>
                <c:pt idx="786">
                  <c:v>1.51</c:v>
                </c:pt>
                <c:pt idx="787">
                  <c:v>1.51</c:v>
                </c:pt>
                <c:pt idx="788">
                  <c:v>1.51</c:v>
                </c:pt>
                <c:pt idx="789">
                  <c:v>1.51</c:v>
                </c:pt>
                <c:pt idx="790">
                  <c:v>1.51</c:v>
                </c:pt>
                <c:pt idx="791">
                  <c:v>1.51</c:v>
                </c:pt>
                <c:pt idx="792">
                  <c:v>1.51</c:v>
                </c:pt>
                <c:pt idx="793">
                  <c:v>1.51</c:v>
                </c:pt>
                <c:pt idx="794">
                  <c:v>1.51</c:v>
                </c:pt>
                <c:pt idx="795">
                  <c:v>1.51</c:v>
                </c:pt>
                <c:pt idx="796">
                  <c:v>1.51</c:v>
                </c:pt>
                <c:pt idx="797">
                  <c:v>1.51</c:v>
                </c:pt>
                <c:pt idx="798">
                  <c:v>1.51</c:v>
                </c:pt>
                <c:pt idx="799">
                  <c:v>1.51</c:v>
                </c:pt>
                <c:pt idx="800">
                  <c:v>1.51</c:v>
                </c:pt>
                <c:pt idx="801">
                  <c:v>1.51</c:v>
                </c:pt>
                <c:pt idx="802">
                  <c:v>1.51</c:v>
                </c:pt>
                <c:pt idx="803">
                  <c:v>1.51</c:v>
                </c:pt>
                <c:pt idx="804">
                  <c:v>1.51</c:v>
                </c:pt>
                <c:pt idx="805">
                  <c:v>1.51</c:v>
                </c:pt>
                <c:pt idx="806">
                  <c:v>1.51</c:v>
                </c:pt>
                <c:pt idx="807">
                  <c:v>1.51</c:v>
                </c:pt>
                <c:pt idx="808">
                  <c:v>1.51</c:v>
                </c:pt>
                <c:pt idx="809">
                  <c:v>1.51</c:v>
                </c:pt>
                <c:pt idx="810">
                  <c:v>1.51</c:v>
                </c:pt>
                <c:pt idx="811">
                  <c:v>1.51</c:v>
                </c:pt>
                <c:pt idx="812">
                  <c:v>1.51</c:v>
                </c:pt>
                <c:pt idx="813">
                  <c:v>1.51</c:v>
                </c:pt>
                <c:pt idx="814">
                  <c:v>1.51</c:v>
                </c:pt>
                <c:pt idx="815">
                  <c:v>1.51</c:v>
                </c:pt>
                <c:pt idx="816">
                  <c:v>1.51</c:v>
                </c:pt>
                <c:pt idx="817">
                  <c:v>1.51</c:v>
                </c:pt>
                <c:pt idx="818">
                  <c:v>1.51</c:v>
                </c:pt>
                <c:pt idx="819">
                  <c:v>1.51</c:v>
                </c:pt>
                <c:pt idx="820">
                  <c:v>1.51</c:v>
                </c:pt>
                <c:pt idx="821">
                  <c:v>1.51</c:v>
                </c:pt>
                <c:pt idx="822">
                  <c:v>1.51</c:v>
                </c:pt>
                <c:pt idx="823">
                  <c:v>1.51</c:v>
                </c:pt>
                <c:pt idx="824">
                  <c:v>1.51</c:v>
                </c:pt>
                <c:pt idx="825">
                  <c:v>1.51</c:v>
                </c:pt>
                <c:pt idx="826">
                  <c:v>1.51</c:v>
                </c:pt>
                <c:pt idx="827">
                  <c:v>1.51</c:v>
                </c:pt>
                <c:pt idx="828">
                  <c:v>1.51</c:v>
                </c:pt>
                <c:pt idx="829">
                  <c:v>1.51</c:v>
                </c:pt>
                <c:pt idx="830">
                  <c:v>1.51</c:v>
                </c:pt>
                <c:pt idx="831">
                  <c:v>1.51</c:v>
                </c:pt>
                <c:pt idx="832">
                  <c:v>1.51</c:v>
                </c:pt>
                <c:pt idx="833">
                  <c:v>1.51</c:v>
                </c:pt>
                <c:pt idx="834">
                  <c:v>1.51</c:v>
                </c:pt>
                <c:pt idx="835">
                  <c:v>1.51</c:v>
                </c:pt>
                <c:pt idx="836">
                  <c:v>1.51</c:v>
                </c:pt>
                <c:pt idx="837">
                  <c:v>1.51</c:v>
                </c:pt>
                <c:pt idx="838">
                  <c:v>1.51</c:v>
                </c:pt>
                <c:pt idx="839">
                  <c:v>1.51</c:v>
                </c:pt>
                <c:pt idx="840">
                  <c:v>1.51</c:v>
                </c:pt>
                <c:pt idx="841">
                  <c:v>1.51</c:v>
                </c:pt>
                <c:pt idx="842">
                  <c:v>1.51</c:v>
                </c:pt>
                <c:pt idx="843">
                  <c:v>1.51</c:v>
                </c:pt>
                <c:pt idx="844">
                  <c:v>1.51</c:v>
                </c:pt>
                <c:pt idx="845">
                  <c:v>1.51</c:v>
                </c:pt>
                <c:pt idx="846">
                  <c:v>1.51</c:v>
                </c:pt>
                <c:pt idx="847">
                  <c:v>1.51</c:v>
                </c:pt>
                <c:pt idx="848">
                  <c:v>1.51</c:v>
                </c:pt>
                <c:pt idx="849">
                  <c:v>1.51</c:v>
                </c:pt>
                <c:pt idx="850">
                  <c:v>1.51</c:v>
                </c:pt>
                <c:pt idx="851">
                  <c:v>1.51</c:v>
                </c:pt>
                <c:pt idx="852">
                  <c:v>1.51</c:v>
                </c:pt>
                <c:pt idx="853">
                  <c:v>1.51</c:v>
                </c:pt>
                <c:pt idx="854">
                  <c:v>1.51</c:v>
                </c:pt>
                <c:pt idx="855">
                  <c:v>1.51</c:v>
                </c:pt>
                <c:pt idx="856">
                  <c:v>1.51</c:v>
                </c:pt>
                <c:pt idx="857">
                  <c:v>1.51</c:v>
                </c:pt>
                <c:pt idx="858">
                  <c:v>1.51</c:v>
                </c:pt>
                <c:pt idx="859">
                  <c:v>1.51</c:v>
                </c:pt>
                <c:pt idx="860">
                  <c:v>1.51</c:v>
                </c:pt>
                <c:pt idx="861">
                  <c:v>1.51</c:v>
                </c:pt>
                <c:pt idx="862">
                  <c:v>1.51</c:v>
                </c:pt>
                <c:pt idx="863">
                  <c:v>1.51</c:v>
                </c:pt>
                <c:pt idx="864">
                  <c:v>1.51</c:v>
                </c:pt>
                <c:pt idx="865">
                  <c:v>1.51</c:v>
                </c:pt>
                <c:pt idx="866">
                  <c:v>1.51</c:v>
                </c:pt>
                <c:pt idx="867">
                  <c:v>1.51</c:v>
                </c:pt>
                <c:pt idx="868">
                  <c:v>1.51</c:v>
                </c:pt>
                <c:pt idx="869">
                  <c:v>1.51</c:v>
                </c:pt>
                <c:pt idx="870">
                  <c:v>1.51</c:v>
                </c:pt>
                <c:pt idx="871">
                  <c:v>1.51</c:v>
                </c:pt>
                <c:pt idx="872">
                  <c:v>1.51</c:v>
                </c:pt>
                <c:pt idx="873">
                  <c:v>1.51</c:v>
                </c:pt>
                <c:pt idx="874">
                  <c:v>1.51</c:v>
                </c:pt>
                <c:pt idx="875">
                  <c:v>1.51</c:v>
                </c:pt>
                <c:pt idx="876">
                  <c:v>1.51</c:v>
                </c:pt>
                <c:pt idx="877">
                  <c:v>1.51</c:v>
                </c:pt>
                <c:pt idx="878">
                  <c:v>1.51</c:v>
                </c:pt>
                <c:pt idx="879">
                  <c:v>1.51</c:v>
                </c:pt>
                <c:pt idx="880">
                  <c:v>1.51</c:v>
                </c:pt>
                <c:pt idx="881">
                  <c:v>1.51</c:v>
                </c:pt>
                <c:pt idx="882">
                  <c:v>1.51</c:v>
                </c:pt>
                <c:pt idx="883">
                  <c:v>1.51</c:v>
                </c:pt>
                <c:pt idx="884">
                  <c:v>1.51</c:v>
                </c:pt>
                <c:pt idx="885">
                  <c:v>1.51</c:v>
                </c:pt>
                <c:pt idx="886">
                  <c:v>1.51</c:v>
                </c:pt>
                <c:pt idx="887">
                  <c:v>1.51</c:v>
                </c:pt>
                <c:pt idx="888">
                  <c:v>1.51</c:v>
                </c:pt>
                <c:pt idx="889">
                  <c:v>1.51</c:v>
                </c:pt>
                <c:pt idx="890">
                  <c:v>1.51</c:v>
                </c:pt>
                <c:pt idx="891">
                  <c:v>1.51</c:v>
                </c:pt>
                <c:pt idx="892">
                  <c:v>1.51</c:v>
                </c:pt>
                <c:pt idx="893">
                  <c:v>1.51</c:v>
                </c:pt>
                <c:pt idx="894">
                  <c:v>1.51</c:v>
                </c:pt>
                <c:pt idx="895">
                  <c:v>1.51</c:v>
                </c:pt>
                <c:pt idx="896">
                  <c:v>1.51</c:v>
                </c:pt>
                <c:pt idx="897">
                  <c:v>1.51</c:v>
                </c:pt>
                <c:pt idx="898">
                  <c:v>1.51</c:v>
                </c:pt>
                <c:pt idx="899">
                  <c:v>1.51</c:v>
                </c:pt>
                <c:pt idx="900">
                  <c:v>1.51</c:v>
                </c:pt>
                <c:pt idx="901">
                  <c:v>1.51</c:v>
                </c:pt>
                <c:pt idx="902">
                  <c:v>1.51</c:v>
                </c:pt>
                <c:pt idx="903">
                  <c:v>1.51</c:v>
                </c:pt>
                <c:pt idx="904">
                  <c:v>1.51</c:v>
                </c:pt>
                <c:pt idx="905">
                  <c:v>1.51</c:v>
                </c:pt>
                <c:pt idx="906">
                  <c:v>1.51</c:v>
                </c:pt>
                <c:pt idx="907">
                  <c:v>1.51</c:v>
                </c:pt>
                <c:pt idx="908">
                  <c:v>1.51</c:v>
                </c:pt>
                <c:pt idx="909">
                  <c:v>1.51</c:v>
                </c:pt>
                <c:pt idx="910">
                  <c:v>1.51</c:v>
                </c:pt>
                <c:pt idx="911">
                  <c:v>1.51</c:v>
                </c:pt>
                <c:pt idx="912">
                  <c:v>1.51</c:v>
                </c:pt>
                <c:pt idx="913">
                  <c:v>1.51</c:v>
                </c:pt>
                <c:pt idx="914">
                  <c:v>1.51</c:v>
                </c:pt>
                <c:pt idx="915">
                  <c:v>1.51</c:v>
                </c:pt>
                <c:pt idx="916">
                  <c:v>1.51</c:v>
                </c:pt>
                <c:pt idx="917">
                  <c:v>1.51</c:v>
                </c:pt>
                <c:pt idx="918">
                  <c:v>1.51</c:v>
                </c:pt>
                <c:pt idx="919">
                  <c:v>1.51</c:v>
                </c:pt>
                <c:pt idx="920">
                  <c:v>1.51</c:v>
                </c:pt>
                <c:pt idx="921">
                  <c:v>1.51</c:v>
                </c:pt>
                <c:pt idx="922">
                  <c:v>1.51</c:v>
                </c:pt>
                <c:pt idx="923">
                  <c:v>1.51</c:v>
                </c:pt>
                <c:pt idx="924">
                  <c:v>1.51</c:v>
                </c:pt>
                <c:pt idx="925">
                  <c:v>1.51</c:v>
                </c:pt>
                <c:pt idx="926">
                  <c:v>1.51</c:v>
                </c:pt>
                <c:pt idx="927">
                  <c:v>1.51</c:v>
                </c:pt>
                <c:pt idx="928">
                  <c:v>1.51</c:v>
                </c:pt>
                <c:pt idx="929">
                  <c:v>1.51</c:v>
                </c:pt>
                <c:pt idx="930">
                  <c:v>1.51</c:v>
                </c:pt>
                <c:pt idx="931">
                  <c:v>1.51</c:v>
                </c:pt>
                <c:pt idx="932">
                  <c:v>1.51</c:v>
                </c:pt>
                <c:pt idx="933">
                  <c:v>1.51</c:v>
                </c:pt>
                <c:pt idx="934">
                  <c:v>1.51</c:v>
                </c:pt>
                <c:pt idx="935">
                  <c:v>1.51</c:v>
                </c:pt>
                <c:pt idx="936">
                  <c:v>1.51</c:v>
                </c:pt>
                <c:pt idx="937">
                  <c:v>1.51</c:v>
                </c:pt>
                <c:pt idx="938">
                  <c:v>1.51</c:v>
                </c:pt>
                <c:pt idx="939">
                  <c:v>1.51</c:v>
                </c:pt>
                <c:pt idx="940">
                  <c:v>1.51</c:v>
                </c:pt>
                <c:pt idx="941">
                  <c:v>1.51</c:v>
                </c:pt>
                <c:pt idx="942">
                  <c:v>1.51</c:v>
                </c:pt>
                <c:pt idx="943">
                  <c:v>1.51</c:v>
                </c:pt>
                <c:pt idx="944">
                  <c:v>1.51</c:v>
                </c:pt>
                <c:pt idx="945">
                  <c:v>1.51</c:v>
                </c:pt>
                <c:pt idx="946">
                  <c:v>1.51</c:v>
                </c:pt>
                <c:pt idx="947">
                  <c:v>1.51</c:v>
                </c:pt>
                <c:pt idx="948">
                  <c:v>1.51</c:v>
                </c:pt>
                <c:pt idx="949">
                  <c:v>1.51</c:v>
                </c:pt>
                <c:pt idx="950">
                  <c:v>1.51</c:v>
                </c:pt>
                <c:pt idx="951">
                  <c:v>1.51</c:v>
                </c:pt>
                <c:pt idx="952">
                  <c:v>1.51</c:v>
                </c:pt>
                <c:pt idx="953">
                  <c:v>1.51</c:v>
                </c:pt>
                <c:pt idx="954">
                  <c:v>1.51</c:v>
                </c:pt>
                <c:pt idx="955">
                  <c:v>1.51</c:v>
                </c:pt>
                <c:pt idx="956">
                  <c:v>1.51</c:v>
                </c:pt>
                <c:pt idx="957">
                  <c:v>1.51</c:v>
                </c:pt>
                <c:pt idx="958">
                  <c:v>1.51</c:v>
                </c:pt>
                <c:pt idx="959">
                  <c:v>1.51</c:v>
                </c:pt>
                <c:pt idx="960">
                  <c:v>1.51</c:v>
                </c:pt>
                <c:pt idx="961">
                  <c:v>1.51</c:v>
                </c:pt>
                <c:pt idx="962">
                  <c:v>1.51</c:v>
                </c:pt>
                <c:pt idx="963">
                  <c:v>1.51</c:v>
                </c:pt>
                <c:pt idx="964">
                  <c:v>1.51</c:v>
                </c:pt>
                <c:pt idx="965">
                  <c:v>1.51</c:v>
                </c:pt>
                <c:pt idx="966">
                  <c:v>1.51</c:v>
                </c:pt>
                <c:pt idx="967">
                  <c:v>1.51</c:v>
                </c:pt>
                <c:pt idx="968">
                  <c:v>1.51</c:v>
                </c:pt>
                <c:pt idx="969">
                  <c:v>1.51</c:v>
                </c:pt>
                <c:pt idx="970">
                  <c:v>1.51</c:v>
                </c:pt>
                <c:pt idx="971">
                  <c:v>1.51</c:v>
                </c:pt>
                <c:pt idx="972">
                  <c:v>1.51</c:v>
                </c:pt>
                <c:pt idx="973">
                  <c:v>1.51</c:v>
                </c:pt>
                <c:pt idx="974">
                  <c:v>1.51</c:v>
                </c:pt>
                <c:pt idx="975">
                  <c:v>1.51</c:v>
                </c:pt>
                <c:pt idx="976">
                  <c:v>1.51</c:v>
                </c:pt>
                <c:pt idx="977">
                  <c:v>1.51</c:v>
                </c:pt>
                <c:pt idx="978">
                  <c:v>1.51</c:v>
                </c:pt>
                <c:pt idx="979">
                  <c:v>1.51</c:v>
                </c:pt>
                <c:pt idx="980">
                  <c:v>1.51</c:v>
                </c:pt>
                <c:pt idx="981">
                  <c:v>1.51</c:v>
                </c:pt>
                <c:pt idx="982">
                  <c:v>1.51</c:v>
                </c:pt>
                <c:pt idx="983">
                  <c:v>1.51</c:v>
                </c:pt>
                <c:pt idx="984">
                  <c:v>1.51</c:v>
                </c:pt>
                <c:pt idx="985">
                  <c:v>1.51</c:v>
                </c:pt>
                <c:pt idx="986">
                  <c:v>1.51</c:v>
                </c:pt>
                <c:pt idx="987">
                  <c:v>1.51</c:v>
                </c:pt>
                <c:pt idx="988">
                  <c:v>1.51</c:v>
                </c:pt>
                <c:pt idx="989">
                  <c:v>1.51</c:v>
                </c:pt>
                <c:pt idx="990">
                  <c:v>1.51</c:v>
                </c:pt>
                <c:pt idx="991">
                  <c:v>1.51</c:v>
                </c:pt>
                <c:pt idx="992">
                  <c:v>1.51</c:v>
                </c:pt>
                <c:pt idx="993">
                  <c:v>1.51</c:v>
                </c:pt>
                <c:pt idx="994">
                  <c:v>1.51</c:v>
                </c:pt>
                <c:pt idx="995">
                  <c:v>1.51</c:v>
                </c:pt>
                <c:pt idx="996">
                  <c:v>1.51</c:v>
                </c:pt>
                <c:pt idx="997">
                  <c:v>1.51</c:v>
                </c:pt>
                <c:pt idx="998">
                  <c:v>1.51</c:v>
                </c:pt>
                <c:pt idx="999">
                  <c:v>1.51</c:v>
                </c:pt>
              </c:numCache>
            </c:numRef>
          </c:yVal>
          <c:smooth val="0"/>
        </c:ser>
        <c:ser>
          <c:idx val="1"/>
          <c:order val="1"/>
          <c:tx>
            <c:strRef>
              <c:f>Sheet9!$C$1</c:f>
              <c:strCache>
                <c:ptCount val="1"/>
                <c:pt idx="0">
                  <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dLbls>
            <c:delete val="1"/>
          </c:dLbls>
          <c:xVal>
            <c:numRef>
              <c:f>Sheet9!$A$2:$A$1001</c:f>
              <c:numCache>
                <c:formatCode>General</c:formatCode>
                <c:ptCount val="100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pt idx="150">
                  <c:v>1510</c:v>
                </c:pt>
                <c:pt idx="151">
                  <c:v>1520</c:v>
                </c:pt>
                <c:pt idx="152">
                  <c:v>1530</c:v>
                </c:pt>
                <c:pt idx="153">
                  <c:v>1540</c:v>
                </c:pt>
                <c:pt idx="154">
                  <c:v>1550</c:v>
                </c:pt>
                <c:pt idx="155">
                  <c:v>1560</c:v>
                </c:pt>
                <c:pt idx="156">
                  <c:v>1570</c:v>
                </c:pt>
                <c:pt idx="157">
                  <c:v>1580</c:v>
                </c:pt>
                <c:pt idx="158">
                  <c:v>1590</c:v>
                </c:pt>
                <c:pt idx="159">
                  <c:v>1600</c:v>
                </c:pt>
                <c:pt idx="160">
                  <c:v>1610</c:v>
                </c:pt>
                <c:pt idx="161">
                  <c:v>1620</c:v>
                </c:pt>
                <c:pt idx="162">
                  <c:v>1630</c:v>
                </c:pt>
                <c:pt idx="163">
                  <c:v>1640</c:v>
                </c:pt>
                <c:pt idx="164">
                  <c:v>1650</c:v>
                </c:pt>
                <c:pt idx="165">
                  <c:v>1660</c:v>
                </c:pt>
                <c:pt idx="166">
                  <c:v>1670</c:v>
                </c:pt>
                <c:pt idx="167">
                  <c:v>1680</c:v>
                </c:pt>
                <c:pt idx="168">
                  <c:v>1690</c:v>
                </c:pt>
                <c:pt idx="169">
                  <c:v>1700</c:v>
                </c:pt>
                <c:pt idx="170">
                  <c:v>1710</c:v>
                </c:pt>
                <c:pt idx="171">
                  <c:v>1720</c:v>
                </c:pt>
                <c:pt idx="172">
                  <c:v>1730</c:v>
                </c:pt>
                <c:pt idx="173">
                  <c:v>1740</c:v>
                </c:pt>
                <c:pt idx="174">
                  <c:v>1750</c:v>
                </c:pt>
                <c:pt idx="175">
                  <c:v>1760</c:v>
                </c:pt>
                <c:pt idx="176">
                  <c:v>1770</c:v>
                </c:pt>
                <c:pt idx="177">
                  <c:v>1780</c:v>
                </c:pt>
                <c:pt idx="178">
                  <c:v>1790</c:v>
                </c:pt>
                <c:pt idx="179">
                  <c:v>1800</c:v>
                </c:pt>
                <c:pt idx="180">
                  <c:v>1810</c:v>
                </c:pt>
                <c:pt idx="181">
                  <c:v>1820</c:v>
                </c:pt>
                <c:pt idx="182">
                  <c:v>1830</c:v>
                </c:pt>
                <c:pt idx="183">
                  <c:v>1840</c:v>
                </c:pt>
                <c:pt idx="184">
                  <c:v>1850</c:v>
                </c:pt>
                <c:pt idx="185">
                  <c:v>1860</c:v>
                </c:pt>
                <c:pt idx="186">
                  <c:v>1870</c:v>
                </c:pt>
                <c:pt idx="187">
                  <c:v>1880</c:v>
                </c:pt>
                <c:pt idx="188">
                  <c:v>1890</c:v>
                </c:pt>
                <c:pt idx="189">
                  <c:v>1900</c:v>
                </c:pt>
                <c:pt idx="190">
                  <c:v>1910</c:v>
                </c:pt>
                <c:pt idx="191">
                  <c:v>1920</c:v>
                </c:pt>
                <c:pt idx="192">
                  <c:v>1930</c:v>
                </c:pt>
                <c:pt idx="193">
                  <c:v>1940</c:v>
                </c:pt>
                <c:pt idx="194">
                  <c:v>1950</c:v>
                </c:pt>
                <c:pt idx="195">
                  <c:v>1960</c:v>
                </c:pt>
                <c:pt idx="196">
                  <c:v>1970</c:v>
                </c:pt>
                <c:pt idx="197">
                  <c:v>1980</c:v>
                </c:pt>
                <c:pt idx="198">
                  <c:v>1990</c:v>
                </c:pt>
                <c:pt idx="199">
                  <c:v>2000</c:v>
                </c:pt>
                <c:pt idx="200">
                  <c:v>2010</c:v>
                </c:pt>
                <c:pt idx="201">
                  <c:v>2020</c:v>
                </c:pt>
                <c:pt idx="202">
                  <c:v>2030</c:v>
                </c:pt>
                <c:pt idx="203">
                  <c:v>2040</c:v>
                </c:pt>
                <c:pt idx="204">
                  <c:v>2050</c:v>
                </c:pt>
                <c:pt idx="205">
                  <c:v>2060</c:v>
                </c:pt>
                <c:pt idx="206">
                  <c:v>2070</c:v>
                </c:pt>
                <c:pt idx="207">
                  <c:v>2080</c:v>
                </c:pt>
                <c:pt idx="208">
                  <c:v>2090</c:v>
                </c:pt>
                <c:pt idx="209">
                  <c:v>2100</c:v>
                </c:pt>
                <c:pt idx="210">
                  <c:v>2110</c:v>
                </c:pt>
                <c:pt idx="211">
                  <c:v>2120</c:v>
                </c:pt>
                <c:pt idx="212">
                  <c:v>2130</c:v>
                </c:pt>
                <c:pt idx="213">
                  <c:v>2140</c:v>
                </c:pt>
                <c:pt idx="214">
                  <c:v>2150</c:v>
                </c:pt>
                <c:pt idx="215">
                  <c:v>2160</c:v>
                </c:pt>
                <c:pt idx="216">
                  <c:v>2170</c:v>
                </c:pt>
                <c:pt idx="217">
                  <c:v>2180</c:v>
                </c:pt>
                <c:pt idx="218">
                  <c:v>2190</c:v>
                </c:pt>
                <c:pt idx="219">
                  <c:v>2200</c:v>
                </c:pt>
                <c:pt idx="220">
                  <c:v>2210</c:v>
                </c:pt>
                <c:pt idx="221">
                  <c:v>2220</c:v>
                </c:pt>
                <c:pt idx="222">
                  <c:v>2230</c:v>
                </c:pt>
                <c:pt idx="223">
                  <c:v>2240</c:v>
                </c:pt>
                <c:pt idx="224">
                  <c:v>2250</c:v>
                </c:pt>
                <c:pt idx="225">
                  <c:v>2260</c:v>
                </c:pt>
                <c:pt idx="226">
                  <c:v>2270</c:v>
                </c:pt>
                <c:pt idx="227">
                  <c:v>2280</c:v>
                </c:pt>
                <c:pt idx="228">
                  <c:v>2290</c:v>
                </c:pt>
                <c:pt idx="229">
                  <c:v>2300</c:v>
                </c:pt>
                <c:pt idx="230">
                  <c:v>2310</c:v>
                </c:pt>
                <c:pt idx="231">
                  <c:v>2320</c:v>
                </c:pt>
                <c:pt idx="232">
                  <c:v>2330</c:v>
                </c:pt>
                <c:pt idx="233">
                  <c:v>2340</c:v>
                </c:pt>
                <c:pt idx="234">
                  <c:v>2350</c:v>
                </c:pt>
                <c:pt idx="235">
                  <c:v>2360</c:v>
                </c:pt>
                <c:pt idx="236">
                  <c:v>2370</c:v>
                </c:pt>
                <c:pt idx="237">
                  <c:v>2380</c:v>
                </c:pt>
                <c:pt idx="238">
                  <c:v>2390</c:v>
                </c:pt>
                <c:pt idx="239">
                  <c:v>2400</c:v>
                </c:pt>
                <c:pt idx="240">
                  <c:v>2410</c:v>
                </c:pt>
                <c:pt idx="241">
                  <c:v>2420</c:v>
                </c:pt>
                <c:pt idx="242">
                  <c:v>2430</c:v>
                </c:pt>
                <c:pt idx="243">
                  <c:v>2440</c:v>
                </c:pt>
                <c:pt idx="244">
                  <c:v>2450</c:v>
                </c:pt>
                <c:pt idx="245">
                  <c:v>2460</c:v>
                </c:pt>
                <c:pt idx="246">
                  <c:v>2470</c:v>
                </c:pt>
                <c:pt idx="247">
                  <c:v>2480</c:v>
                </c:pt>
                <c:pt idx="248">
                  <c:v>2490</c:v>
                </c:pt>
                <c:pt idx="249">
                  <c:v>2500</c:v>
                </c:pt>
                <c:pt idx="250">
                  <c:v>2510</c:v>
                </c:pt>
                <c:pt idx="251">
                  <c:v>2520</c:v>
                </c:pt>
                <c:pt idx="252">
                  <c:v>2530</c:v>
                </c:pt>
                <c:pt idx="253">
                  <c:v>2540</c:v>
                </c:pt>
                <c:pt idx="254">
                  <c:v>2550</c:v>
                </c:pt>
                <c:pt idx="255">
                  <c:v>2560</c:v>
                </c:pt>
                <c:pt idx="256">
                  <c:v>2570</c:v>
                </c:pt>
                <c:pt idx="257">
                  <c:v>2580</c:v>
                </c:pt>
                <c:pt idx="258">
                  <c:v>2590</c:v>
                </c:pt>
                <c:pt idx="259">
                  <c:v>2600</c:v>
                </c:pt>
                <c:pt idx="260">
                  <c:v>2610</c:v>
                </c:pt>
                <c:pt idx="261">
                  <c:v>2620</c:v>
                </c:pt>
                <c:pt idx="262">
                  <c:v>2630</c:v>
                </c:pt>
                <c:pt idx="263">
                  <c:v>2640</c:v>
                </c:pt>
                <c:pt idx="264">
                  <c:v>2650</c:v>
                </c:pt>
                <c:pt idx="265">
                  <c:v>2660</c:v>
                </c:pt>
                <c:pt idx="266">
                  <c:v>2670</c:v>
                </c:pt>
                <c:pt idx="267">
                  <c:v>2680</c:v>
                </c:pt>
                <c:pt idx="268">
                  <c:v>2690</c:v>
                </c:pt>
                <c:pt idx="269">
                  <c:v>2700</c:v>
                </c:pt>
                <c:pt idx="270">
                  <c:v>2710</c:v>
                </c:pt>
                <c:pt idx="271">
                  <c:v>2720</c:v>
                </c:pt>
                <c:pt idx="272">
                  <c:v>2730</c:v>
                </c:pt>
                <c:pt idx="273">
                  <c:v>2740</c:v>
                </c:pt>
                <c:pt idx="274">
                  <c:v>2750</c:v>
                </c:pt>
                <c:pt idx="275">
                  <c:v>2760</c:v>
                </c:pt>
                <c:pt idx="276">
                  <c:v>2770</c:v>
                </c:pt>
                <c:pt idx="277">
                  <c:v>2780</c:v>
                </c:pt>
                <c:pt idx="278">
                  <c:v>2790</c:v>
                </c:pt>
                <c:pt idx="279">
                  <c:v>2800</c:v>
                </c:pt>
                <c:pt idx="280">
                  <c:v>2810</c:v>
                </c:pt>
                <c:pt idx="281">
                  <c:v>2820</c:v>
                </c:pt>
                <c:pt idx="282">
                  <c:v>2830</c:v>
                </c:pt>
                <c:pt idx="283">
                  <c:v>2840</c:v>
                </c:pt>
                <c:pt idx="284">
                  <c:v>2850</c:v>
                </c:pt>
                <c:pt idx="285">
                  <c:v>2860</c:v>
                </c:pt>
                <c:pt idx="286">
                  <c:v>2870</c:v>
                </c:pt>
                <c:pt idx="287">
                  <c:v>2880</c:v>
                </c:pt>
                <c:pt idx="288">
                  <c:v>2890</c:v>
                </c:pt>
                <c:pt idx="289">
                  <c:v>2900</c:v>
                </c:pt>
                <c:pt idx="290">
                  <c:v>2910</c:v>
                </c:pt>
                <c:pt idx="291">
                  <c:v>2920</c:v>
                </c:pt>
                <c:pt idx="292">
                  <c:v>2930</c:v>
                </c:pt>
                <c:pt idx="293">
                  <c:v>2940</c:v>
                </c:pt>
                <c:pt idx="294">
                  <c:v>2950</c:v>
                </c:pt>
                <c:pt idx="295">
                  <c:v>2960</c:v>
                </c:pt>
                <c:pt idx="296">
                  <c:v>2970</c:v>
                </c:pt>
                <c:pt idx="297">
                  <c:v>2980</c:v>
                </c:pt>
                <c:pt idx="298">
                  <c:v>2990</c:v>
                </c:pt>
                <c:pt idx="299">
                  <c:v>3000</c:v>
                </c:pt>
                <c:pt idx="300">
                  <c:v>3010</c:v>
                </c:pt>
                <c:pt idx="301">
                  <c:v>3020</c:v>
                </c:pt>
                <c:pt idx="302">
                  <c:v>3030</c:v>
                </c:pt>
                <c:pt idx="303">
                  <c:v>3040</c:v>
                </c:pt>
                <c:pt idx="304">
                  <c:v>3050</c:v>
                </c:pt>
                <c:pt idx="305">
                  <c:v>3060</c:v>
                </c:pt>
                <c:pt idx="306">
                  <c:v>3070</c:v>
                </c:pt>
                <c:pt idx="307">
                  <c:v>3080</c:v>
                </c:pt>
                <c:pt idx="308">
                  <c:v>3090</c:v>
                </c:pt>
                <c:pt idx="309">
                  <c:v>3100</c:v>
                </c:pt>
                <c:pt idx="310">
                  <c:v>3110</c:v>
                </c:pt>
                <c:pt idx="311">
                  <c:v>3120</c:v>
                </c:pt>
                <c:pt idx="312">
                  <c:v>3130</c:v>
                </c:pt>
                <c:pt idx="313">
                  <c:v>3140</c:v>
                </c:pt>
                <c:pt idx="314">
                  <c:v>3150</c:v>
                </c:pt>
                <c:pt idx="315">
                  <c:v>3160</c:v>
                </c:pt>
                <c:pt idx="316">
                  <c:v>3170</c:v>
                </c:pt>
                <c:pt idx="317">
                  <c:v>3180</c:v>
                </c:pt>
                <c:pt idx="318">
                  <c:v>3190</c:v>
                </c:pt>
                <c:pt idx="319">
                  <c:v>3200</c:v>
                </c:pt>
                <c:pt idx="320">
                  <c:v>3210</c:v>
                </c:pt>
                <c:pt idx="321">
                  <c:v>3220</c:v>
                </c:pt>
                <c:pt idx="322">
                  <c:v>3230</c:v>
                </c:pt>
                <c:pt idx="323">
                  <c:v>3240</c:v>
                </c:pt>
                <c:pt idx="324">
                  <c:v>3250</c:v>
                </c:pt>
                <c:pt idx="325">
                  <c:v>3260</c:v>
                </c:pt>
                <c:pt idx="326">
                  <c:v>3270</c:v>
                </c:pt>
                <c:pt idx="327">
                  <c:v>3280</c:v>
                </c:pt>
                <c:pt idx="328">
                  <c:v>3290</c:v>
                </c:pt>
                <c:pt idx="329">
                  <c:v>3300</c:v>
                </c:pt>
                <c:pt idx="330">
                  <c:v>3310</c:v>
                </c:pt>
                <c:pt idx="331">
                  <c:v>3320</c:v>
                </c:pt>
                <c:pt idx="332">
                  <c:v>3330</c:v>
                </c:pt>
                <c:pt idx="333">
                  <c:v>3340</c:v>
                </c:pt>
                <c:pt idx="334">
                  <c:v>3350</c:v>
                </c:pt>
                <c:pt idx="335">
                  <c:v>3360</c:v>
                </c:pt>
                <c:pt idx="336">
                  <c:v>3370</c:v>
                </c:pt>
                <c:pt idx="337">
                  <c:v>3380</c:v>
                </c:pt>
                <c:pt idx="338">
                  <c:v>3390</c:v>
                </c:pt>
                <c:pt idx="339">
                  <c:v>3400</c:v>
                </c:pt>
                <c:pt idx="340">
                  <c:v>3410</c:v>
                </c:pt>
                <c:pt idx="341">
                  <c:v>3420</c:v>
                </c:pt>
                <c:pt idx="342">
                  <c:v>3430</c:v>
                </c:pt>
                <c:pt idx="343">
                  <c:v>3440</c:v>
                </c:pt>
                <c:pt idx="344">
                  <c:v>3450</c:v>
                </c:pt>
                <c:pt idx="345">
                  <c:v>3460</c:v>
                </c:pt>
                <c:pt idx="346">
                  <c:v>3470</c:v>
                </c:pt>
                <c:pt idx="347">
                  <c:v>3480</c:v>
                </c:pt>
                <c:pt idx="348">
                  <c:v>3490</c:v>
                </c:pt>
                <c:pt idx="349">
                  <c:v>3500</c:v>
                </c:pt>
                <c:pt idx="350">
                  <c:v>3510</c:v>
                </c:pt>
                <c:pt idx="351">
                  <c:v>3520</c:v>
                </c:pt>
                <c:pt idx="352">
                  <c:v>3530</c:v>
                </c:pt>
                <c:pt idx="353">
                  <c:v>3540</c:v>
                </c:pt>
                <c:pt idx="354">
                  <c:v>3550</c:v>
                </c:pt>
                <c:pt idx="355">
                  <c:v>3560</c:v>
                </c:pt>
                <c:pt idx="356">
                  <c:v>3570</c:v>
                </c:pt>
                <c:pt idx="357">
                  <c:v>3580</c:v>
                </c:pt>
                <c:pt idx="358">
                  <c:v>3590</c:v>
                </c:pt>
                <c:pt idx="359">
                  <c:v>3600</c:v>
                </c:pt>
                <c:pt idx="360">
                  <c:v>3610</c:v>
                </c:pt>
                <c:pt idx="361">
                  <c:v>3620</c:v>
                </c:pt>
                <c:pt idx="362">
                  <c:v>3630</c:v>
                </c:pt>
                <c:pt idx="363">
                  <c:v>3640</c:v>
                </c:pt>
                <c:pt idx="364">
                  <c:v>3650</c:v>
                </c:pt>
                <c:pt idx="365">
                  <c:v>3660</c:v>
                </c:pt>
                <c:pt idx="366">
                  <c:v>3670</c:v>
                </c:pt>
                <c:pt idx="367">
                  <c:v>3680</c:v>
                </c:pt>
                <c:pt idx="368">
                  <c:v>3690</c:v>
                </c:pt>
                <c:pt idx="369">
                  <c:v>3700</c:v>
                </c:pt>
                <c:pt idx="370">
                  <c:v>3710</c:v>
                </c:pt>
                <c:pt idx="371">
                  <c:v>3720</c:v>
                </c:pt>
                <c:pt idx="372">
                  <c:v>3730</c:v>
                </c:pt>
                <c:pt idx="373">
                  <c:v>3740</c:v>
                </c:pt>
                <c:pt idx="374">
                  <c:v>3750</c:v>
                </c:pt>
                <c:pt idx="375">
                  <c:v>3760</c:v>
                </c:pt>
                <c:pt idx="376">
                  <c:v>3770</c:v>
                </c:pt>
                <c:pt idx="377">
                  <c:v>3780</c:v>
                </c:pt>
                <c:pt idx="378">
                  <c:v>3790</c:v>
                </c:pt>
                <c:pt idx="379">
                  <c:v>3800</c:v>
                </c:pt>
                <c:pt idx="380">
                  <c:v>3810</c:v>
                </c:pt>
                <c:pt idx="381">
                  <c:v>3820</c:v>
                </c:pt>
                <c:pt idx="382">
                  <c:v>3830</c:v>
                </c:pt>
                <c:pt idx="383">
                  <c:v>3840</c:v>
                </c:pt>
                <c:pt idx="384">
                  <c:v>3850</c:v>
                </c:pt>
                <c:pt idx="385">
                  <c:v>3860</c:v>
                </c:pt>
                <c:pt idx="386">
                  <c:v>3870</c:v>
                </c:pt>
                <c:pt idx="387">
                  <c:v>3880</c:v>
                </c:pt>
                <c:pt idx="388">
                  <c:v>3890</c:v>
                </c:pt>
                <c:pt idx="389">
                  <c:v>3900</c:v>
                </c:pt>
                <c:pt idx="390">
                  <c:v>3910</c:v>
                </c:pt>
                <c:pt idx="391">
                  <c:v>3920</c:v>
                </c:pt>
                <c:pt idx="392">
                  <c:v>3930</c:v>
                </c:pt>
                <c:pt idx="393">
                  <c:v>3940</c:v>
                </c:pt>
                <c:pt idx="394">
                  <c:v>3950</c:v>
                </c:pt>
                <c:pt idx="395">
                  <c:v>3960</c:v>
                </c:pt>
                <c:pt idx="396">
                  <c:v>3970</c:v>
                </c:pt>
                <c:pt idx="397">
                  <c:v>3980</c:v>
                </c:pt>
                <c:pt idx="398">
                  <c:v>3990</c:v>
                </c:pt>
                <c:pt idx="399">
                  <c:v>4000</c:v>
                </c:pt>
                <c:pt idx="400">
                  <c:v>4010</c:v>
                </c:pt>
                <c:pt idx="401">
                  <c:v>4020</c:v>
                </c:pt>
                <c:pt idx="402">
                  <c:v>4030</c:v>
                </c:pt>
                <c:pt idx="403">
                  <c:v>4040</c:v>
                </c:pt>
                <c:pt idx="404">
                  <c:v>4050</c:v>
                </c:pt>
                <c:pt idx="405">
                  <c:v>4060</c:v>
                </c:pt>
                <c:pt idx="406">
                  <c:v>4070</c:v>
                </c:pt>
                <c:pt idx="407">
                  <c:v>4080</c:v>
                </c:pt>
                <c:pt idx="408">
                  <c:v>4090</c:v>
                </c:pt>
                <c:pt idx="409">
                  <c:v>4100</c:v>
                </c:pt>
                <c:pt idx="410">
                  <c:v>4110</c:v>
                </c:pt>
                <c:pt idx="411">
                  <c:v>4120</c:v>
                </c:pt>
                <c:pt idx="412">
                  <c:v>4130</c:v>
                </c:pt>
                <c:pt idx="413">
                  <c:v>4140</c:v>
                </c:pt>
                <c:pt idx="414">
                  <c:v>4150</c:v>
                </c:pt>
                <c:pt idx="415">
                  <c:v>4160</c:v>
                </c:pt>
                <c:pt idx="416">
                  <c:v>4170</c:v>
                </c:pt>
                <c:pt idx="417">
                  <c:v>4180</c:v>
                </c:pt>
                <c:pt idx="418">
                  <c:v>4190</c:v>
                </c:pt>
                <c:pt idx="419">
                  <c:v>4200</c:v>
                </c:pt>
                <c:pt idx="420">
                  <c:v>4210</c:v>
                </c:pt>
                <c:pt idx="421">
                  <c:v>4220</c:v>
                </c:pt>
                <c:pt idx="422">
                  <c:v>4230</c:v>
                </c:pt>
                <c:pt idx="423">
                  <c:v>4240</c:v>
                </c:pt>
                <c:pt idx="424">
                  <c:v>4250</c:v>
                </c:pt>
                <c:pt idx="425">
                  <c:v>4260</c:v>
                </c:pt>
                <c:pt idx="426">
                  <c:v>4270</c:v>
                </c:pt>
                <c:pt idx="427">
                  <c:v>4280</c:v>
                </c:pt>
                <c:pt idx="428">
                  <c:v>4290</c:v>
                </c:pt>
                <c:pt idx="429">
                  <c:v>4300</c:v>
                </c:pt>
                <c:pt idx="430">
                  <c:v>4310</c:v>
                </c:pt>
                <c:pt idx="431">
                  <c:v>4320</c:v>
                </c:pt>
                <c:pt idx="432">
                  <c:v>4330</c:v>
                </c:pt>
                <c:pt idx="433">
                  <c:v>4340</c:v>
                </c:pt>
                <c:pt idx="434">
                  <c:v>4350</c:v>
                </c:pt>
                <c:pt idx="435">
                  <c:v>4360</c:v>
                </c:pt>
                <c:pt idx="436">
                  <c:v>4370</c:v>
                </c:pt>
                <c:pt idx="437">
                  <c:v>4380</c:v>
                </c:pt>
                <c:pt idx="438">
                  <c:v>4390</c:v>
                </c:pt>
                <c:pt idx="439">
                  <c:v>4400</c:v>
                </c:pt>
                <c:pt idx="440">
                  <c:v>4410</c:v>
                </c:pt>
                <c:pt idx="441">
                  <c:v>4420</c:v>
                </c:pt>
                <c:pt idx="442">
                  <c:v>4430</c:v>
                </c:pt>
                <c:pt idx="443">
                  <c:v>4440</c:v>
                </c:pt>
                <c:pt idx="444">
                  <c:v>4450</c:v>
                </c:pt>
                <c:pt idx="445">
                  <c:v>4460</c:v>
                </c:pt>
                <c:pt idx="446">
                  <c:v>4470</c:v>
                </c:pt>
                <c:pt idx="447">
                  <c:v>4480</c:v>
                </c:pt>
                <c:pt idx="448">
                  <c:v>4490</c:v>
                </c:pt>
                <c:pt idx="449">
                  <c:v>4500</c:v>
                </c:pt>
                <c:pt idx="450">
                  <c:v>4510</c:v>
                </c:pt>
                <c:pt idx="451">
                  <c:v>4520</c:v>
                </c:pt>
                <c:pt idx="452">
                  <c:v>4530</c:v>
                </c:pt>
                <c:pt idx="453">
                  <c:v>4540</c:v>
                </c:pt>
                <c:pt idx="454">
                  <c:v>4550</c:v>
                </c:pt>
                <c:pt idx="455">
                  <c:v>4560</c:v>
                </c:pt>
                <c:pt idx="456">
                  <c:v>4570</c:v>
                </c:pt>
                <c:pt idx="457">
                  <c:v>4580</c:v>
                </c:pt>
                <c:pt idx="458">
                  <c:v>4590</c:v>
                </c:pt>
                <c:pt idx="459">
                  <c:v>4600</c:v>
                </c:pt>
                <c:pt idx="460">
                  <c:v>4610</c:v>
                </c:pt>
                <c:pt idx="461">
                  <c:v>4620</c:v>
                </c:pt>
                <c:pt idx="462">
                  <c:v>4630</c:v>
                </c:pt>
                <c:pt idx="463">
                  <c:v>4640</c:v>
                </c:pt>
                <c:pt idx="464">
                  <c:v>4650</c:v>
                </c:pt>
                <c:pt idx="465">
                  <c:v>4660</c:v>
                </c:pt>
                <c:pt idx="466">
                  <c:v>4670</c:v>
                </c:pt>
                <c:pt idx="467">
                  <c:v>4680</c:v>
                </c:pt>
                <c:pt idx="468">
                  <c:v>4690</c:v>
                </c:pt>
                <c:pt idx="469">
                  <c:v>4700</c:v>
                </c:pt>
                <c:pt idx="470">
                  <c:v>4710</c:v>
                </c:pt>
                <c:pt idx="471">
                  <c:v>4720</c:v>
                </c:pt>
                <c:pt idx="472">
                  <c:v>4730</c:v>
                </c:pt>
                <c:pt idx="473">
                  <c:v>4740</c:v>
                </c:pt>
                <c:pt idx="474">
                  <c:v>4750</c:v>
                </c:pt>
                <c:pt idx="475">
                  <c:v>4760</c:v>
                </c:pt>
                <c:pt idx="476">
                  <c:v>4770</c:v>
                </c:pt>
                <c:pt idx="477">
                  <c:v>4780</c:v>
                </c:pt>
                <c:pt idx="478">
                  <c:v>4790</c:v>
                </c:pt>
                <c:pt idx="479">
                  <c:v>4800</c:v>
                </c:pt>
                <c:pt idx="480">
                  <c:v>4810</c:v>
                </c:pt>
                <c:pt idx="481">
                  <c:v>4820</c:v>
                </c:pt>
                <c:pt idx="482">
                  <c:v>4830</c:v>
                </c:pt>
                <c:pt idx="483">
                  <c:v>4840</c:v>
                </c:pt>
                <c:pt idx="484">
                  <c:v>4850</c:v>
                </c:pt>
                <c:pt idx="485">
                  <c:v>4860</c:v>
                </c:pt>
                <c:pt idx="486">
                  <c:v>4870</c:v>
                </c:pt>
                <c:pt idx="487">
                  <c:v>4880</c:v>
                </c:pt>
                <c:pt idx="488">
                  <c:v>4890</c:v>
                </c:pt>
                <c:pt idx="489">
                  <c:v>4900</c:v>
                </c:pt>
                <c:pt idx="490">
                  <c:v>4910</c:v>
                </c:pt>
                <c:pt idx="491">
                  <c:v>4920</c:v>
                </c:pt>
                <c:pt idx="492">
                  <c:v>4930</c:v>
                </c:pt>
                <c:pt idx="493">
                  <c:v>4940</c:v>
                </c:pt>
                <c:pt idx="494">
                  <c:v>4950</c:v>
                </c:pt>
                <c:pt idx="495">
                  <c:v>4960</c:v>
                </c:pt>
                <c:pt idx="496">
                  <c:v>4970</c:v>
                </c:pt>
                <c:pt idx="497">
                  <c:v>4980</c:v>
                </c:pt>
                <c:pt idx="498">
                  <c:v>4990</c:v>
                </c:pt>
                <c:pt idx="499">
                  <c:v>5000</c:v>
                </c:pt>
                <c:pt idx="500">
                  <c:v>5010</c:v>
                </c:pt>
                <c:pt idx="501">
                  <c:v>5020</c:v>
                </c:pt>
                <c:pt idx="502">
                  <c:v>5030</c:v>
                </c:pt>
                <c:pt idx="503">
                  <c:v>5040</c:v>
                </c:pt>
                <c:pt idx="504">
                  <c:v>5050</c:v>
                </c:pt>
                <c:pt idx="505">
                  <c:v>5060</c:v>
                </c:pt>
                <c:pt idx="506">
                  <c:v>5070</c:v>
                </c:pt>
                <c:pt idx="507">
                  <c:v>5080</c:v>
                </c:pt>
                <c:pt idx="508">
                  <c:v>5090</c:v>
                </c:pt>
                <c:pt idx="509">
                  <c:v>5100</c:v>
                </c:pt>
                <c:pt idx="510">
                  <c:v>5110</c:v>
                </c:pt>
                <c:pt idx="511">
                  <c:v>5120</c:v>
                </c:pt>
                <c:pt idx="512">
                  <c:v>5130</c:v>
                </c:pt>
                <c:pt idx="513">
                  <c:v>5140</c:v>
                </c:pt>
                <c:pt idx="514">
                  <c:v>5150</c:v>
                </c:pt>
                <c:pt idx="515">
                  <c:v>5160</c:v>
                </c:pt>
                <c:pt idx="516">
                  <c:v>5170</c:v>
                </c:pt>
                <c:pt idx="517">
                  <c:v>5180</c:v>
                </c:pt>
                <c:pt idx="518">
                  <c:v>5190</c:v>
                </c:pt>
                <c:pt idx="519">
                  <c:v>5200</c:v>
                </c:pt>
                <c:pt idx="520">
                  <c:v>5210</c:v>
                </c:pt>
                <c:pt idx="521">
                  <c:v>5220</c:v>
                </c:pt>
                <c:pt idx="522">
                  <c:v>5230</c:v>
                </c:pt>
                <c:pt idx="523">
                  <c:v>5240</c:v>
                </c:pt>
                <c:pt idx="524">
                  <c:v>5250</c:v>
                </c:pt>
                <c:pt idx="525">
                  <c:v>5260</c:v>
                </c:pt>
                <c:pt idx="526">
                  <c:v>5270</c:v>
                </c:pt>
                <c:pt idx="527">
                  <c:v>5280</c:v>
                </c:pt>
                <c:pt idx="528">
                  <c:v>5290</c:v>
                </c:pt>
                <c:pt idx="529">
                  <c:v>5300</c:v>
                </c:pt>
                <c:pt idx="530">
                  <c:v>5310</c:v>
                </c:pt>
                <c:pt idx="531">
                  <c:v>5320</c:v>
                </c:pt>
                <c:pt idx="532">
                  <c:v>5330</c:v>
                </c:pt>
                <c:pt idx="533">
                  <c:v>5340</c:v>
                </c:pt>
                <c:pt idx="534">
                  <c:v>5350</c:v>
                </c:pt>
                <c:pt idx="535">
                  <c:v>5360</c:v>
                </c:pt>
                <c:pt idx="536">
                  <c:v>5370</c:v>
                </c:pt>
                <c:pt idx="537">
                  <c:v>5380</c:v>
                </c:pt>
                <c:pt idx="538">
                  <c:v>5390</c:v>
                </c:pt>
                <c:pt idx="539">
                  <c:v>5400</c:v>
                </c:pt>
                <c:pt idx="540">
                  <c:v>5410</c:v>
                </c:pt>
                <c:pt idx="541">
                  <c:v>5420</c:v>
                </c:pt>
                <c:pt idx="542">
                  <c:v>5430</c:v>
                </c:pt>
                <c:pt idx="543">
                  <c:v>5440</c:v>
                </c:pt>
                <c:pt idx="544">
                  <c:v>5450</c:v>
                </c:pt>
                <c:pt idx="545">
                  <c:v>5460</c:v>
                </c:pt>
                <c:pt idx="546">
                  <c:v>5470</c:v>
                </c:pt>
                <c:pt idx="547">
                  <c:v>5480</c:v>
                </c:pt>
                <c:pt idx="548">
                  <c:v>5490</c:v>
                </c:pt>
                <c:pt idx="549">
                  <c:v>5500</c:v>
                </c:pt>
                <c:pt idx="550">
                  <c:v>5510</c:v>
                </c:pt>
                <c:pt idx="551">
                  <c:v>5520</c:v>
                </c:pt>
                <c:pt idx="552">
                  <c:v>5530</c:v>
                </c:pt>
                <c:pt idx="553">
                  <c:v>5540</c:v>
                </c:pt>
                <c:pt idx="554">
                  <c:v>5550</c:v>
                </c:pt>
                <c:pt idx="555">
                  <c:v>5560</c:v>
                </c:pt>
                <c:pt idx="556">
                  <c:v>5570</c:v>
                </c:pt>
                <c:pt idx="557">
                  <c:v>5580</c:v>
                </c:pt>
                <c:pt idx="558">
                  <c:v>5590</c:v>
                </c:pt>
                <c:pt idx="559">
                  <c:v>5600</c:v>
                </c:pt>
                <c:pt idx="560">
                  <c:v>5610</c:v>
                </c:pt>
                <c:pt idx="561">
                  <c:v>5620</c:v>
                </c:pt>
                <c:pt idx="562">
                  <c:v>5630</c:v>
                </c:pt>
                <c:pt idx="563">
                  <c:v>5640</c:v>
                </c:pt>
                <c:pt idx="564">
                  <c:v>5650</c:v>
                </c:pt>
                <c:pt idx="565">
                  <c:v>5660</c:v>
                </c:pt>
                <c:pt idx="566">
                  <c:v>5670</c:v>
                </c:pt>
                <c:pt idx="567">
                  <c:v>5680</c:v>
                </c:pt>
                <c:pt idx="568">
                  <c:v>5690</c:v>
                </c:pt>
                <c:pt idx="569">
                  <c:v>5700</c:v>
                </c:pt>
                <c:pt idx="570">
                  <c:v>5710</c:v>
                </c:pt>
                <c:pt idx="571">
                  <c:v>5720</c:v>
                </c:pt>
                <c:pt idx="572">
                  <c:v>5730</c:v>
                </c:pt>
                <c:pt idx="573">
                  <c:v>5740</c:v>
                </c:pt>
                <c:pt idx="574">
                  <c:v>5750</c:v>
                </c:pt>
                <c:pt idx="575">
                  <c:v>5760</c:v>
                </c:pt>
                <c:pt idx="576">
                  <c:v>5770</c:v>
                </c:pt>
                <c:pt idx="577">
                  <c:v>5780</c:v>
                </c:pt>
                <c:pt idx="578">
                  <c:v>5790</c:v>
                </c:pt>
                <c:pt idx="579">
                  <c:v>5800</c:v>
                </c:pt>
                <c:pt idx="580">
                  <c:v>5810</c:v>
                </c:pt>
                <c:pt idx="581">
                  <c:v>5820</c:v>
                </c:pt>
                <c:pt idx="582">
                  <c:v>5830</c:v>
                </c:pt>
                <c:pt idx="583">
                  <c:v>5840</c:v>
                </c:pt>
                <c:pt idx="584">
                  <c:v>5850</c:v>
                </c:pt>
                <c:pt idx="585">
                  <c:v>5860</c:v>
                </c:pt>
                <c:pt idx="586">
                  <c:v>5870</c:v>
                </c:pt>
                <c:pt idx="587">
                  <c:v>5880</c:v>
                </c:pt>
                <c:pt idx="588">
                  <c:v>5890</c:v>
                </c:pt>
                <c:pt idx="589">
                  <c:v>5900</c:v>
                </c:pt>
                <c:pt idx="590">
                  <c:v>5910</c:v>
                </c:pt>
                <c:pt idx="591">
                  <c:v>5920</c:v>
                </c:pt>
                <c:pt idx="592">
                  <c:v>5930</c:v>
                </c:pt>
                <c:pt idx="593">
                  <c:v>5940</c:v>
                </c:pt>
                <c:pt idx="594">
                  <c:v>5950</c:v>
                </c:pt>
                <c:pt idx="595">
                  <c:v>5960</c:v>
                </c:pt>
                <c:pt idx="596">
                  <c:v>5970</c:v>
                </c:pt>
                <c:pt idx="597">
                  <c:v>5980</c:v>
                </c:pt>
                <c:pt idx="598">
                  <c:v>5990</c:v>
                </c:pt>
                <c:pt idx="599">
                  <c:v>6000</c:v>
                </c:pt>
                <c:pt idx="600">
                  <c:v>6010</c:v>
                </c:pt>
                <c:pt idx="601">
                  <c:v>6020</c:v>
                </c:pt>
                <c:pt idx="602">
                  <c:v>6030</c:v>
                </c:pt>
                <c:pt idx="603">
                  <c:v>6040</c:v>
                </c:pt>
                <c:pt idx="604">
                  <c:v>6050</c:v>
                </c:pt>
                <c:pt idx="605">
                  <c:v>6060</c:v>
                </c:pt>
                <c:pt idx="606">
                  <c:v>6070</c:v>
                </c:pt>
                <c:pt idx="607">
                  <c:v>6080</c:v>
                </c:pt>
                <c:pt idx="608">
                  <c:v>6090</c:v>
                </c:pt>
                <c:pt idx="609">
                  <c:v>6100</c:v>
                </c:pt>
                <c:pt idx="610">
                  <c:v>6110</c:v>
                </c:pt>
                <c:pt idx="611">
                  <c:v>6120</c:v>
                </c:pt>
                <c:pt idx="612">
                  <c:v>6130</c:v>
                </c:pt>
                <c:pt idx="613">
                  <c:v>6140</c:v>
                </c:pt>
                <c:pt idx="614">
                  <c:v>6150</c:v>
                </c:pt>
                <c:pt idx="615">
                  <c:v>6160</c:v>
                </c:pt>
                <c:pt idx="616">
                  <c:v>6170</c:v>
                </c:pt>
                <c:pt idx="617">
                  <c:v>6180</c:v>
                </c:pt>
                <c:pt idx="618">
                  <c:v>6190</c:v>
                </c:pt>
                <c:pt idx="619">
                  <c:v>6200</c:v>
                </c:pt>
                <c:pt idx="620">
                  <c:v>6210</c:v>
                </c:pt>
                <c:pt idx="621">
                  <c:v>6220</c:v>
                </c:pt>
                <c:pt idx="622">
                  <c:v>6230</c:v>
                </c:pt>
                <c:pt idx="623">
                  <c:v>6240</c:v>
                </c:pt>
                <c:pt idx="624">
                  <c:v>6250</c:v>
                </c:pt>
                <c:pt idx="625">
                  <c:v>6260</c:v>
                </c:pt>
                <c:pt idx="626">
                  <c:v>6270</c:v>
                </c:pt>
                <c:pt idx="627">
                  <c:v>6280</c:v>
                </c:pt>
                <c:pt idx="628">
                  <c:v>6290</c:v>
                </c:pt>
                <c:pt idx="629">
                  <c:v>6300</c:v>
                </c:pt>
                <c:pt idx="630">
                  <c:v>6310</c:v>
                </c:pt>
                <c:pt idx="631">
                  <c:v>6320</c:v>
                </c:pt>
                <c:pt idx="632">
                  <c:v>6330</c:v>
                </c:pt>
                <c:pt idx="633">
                  <c:v>6340</c:v>
                </c:pt>
                <c:pt idx="634">
                  <c:v>6350</c:v>
                </c:pt>
                <c:pt idx="635">
                  <c:v>6360</c:v>
                </c:pt>
                <c:pt idx="636">
                  <c:v>6370</c:v>
                </c:pt>
                <c:pt idx="637">
                  <c:v>6380</c:v>
                </c:pt>
                <c:pt idx="638">
                  <c:v>6390</c:v>
                </c:pt>
                <c:pt idx="639">
                  <c:v>6400</c:v>
                </c:pt>
                <c:pt idx="640">
                  <c:v>6410</c:v>
                </c:pt>
                <c:pt idx="641">
                  <c:v>6420</c:v>
                </c:pt>
                <c:pt idx="642">
                  <c:v>6430</c:v>
                </c:pt>
                <c:pt idx="643">
                  <c:v>6440</c:v>
                </c:pt>
                <c:pt idx="644">
                  <c:v>6450</c:v>
                </c:pt>
                <c:pt idx="645">
                  <c:v>6460</c:v>
                </c:pt>
                <c:pt idx="646">
                  <c:v>6470</c:v>
                </c:pt>
                <c:pt idx="647">
                  <c:v>6480</c:v>
                </c:pt>
                <c:pt idx="648">
                  <c:v>6490</c:v>
                </c:pt>
                <c:pt idx="649">
                  <c:v>6500</c:v>
                </c:pt>
                <c:pt idx="650">
                  <c:v>6510</c:v>
                </c:pt>
                <c:pt idx="651">
                  <c:v>6520</c:v>
                </c:pt>
                <c:pt idx="652">
                  <c:v>6530</c:v>
                </c:pt>
                <c:pt idx="653">
                  <c:v>6540</c:v>
                </c:pt>
                <c:pt idx="654">
                  <c:v>6550</c:v>
                </c:pt>
                <c:pt idx="655">
                  <c:v>6560</c:v>
                </c:pt>
                <c:pt idx="656">
                  <c:v>6570</c:v>
                </c:pt>
                <c:pt idx="657">
                  <c:v>6580</c:v>
                </c:pt>
                <c:pt idx="658">
                  <c:v>6590</c:v>
                </c:pt>
                <c:pt idx="659">
                  <c:v>6600</c:v>
                </c:pt>
                <c:pt idx="660">
                  <c:v>6610</c:v>
                </c:pt>
                <c:pt idx="661">
                  <c:v>6620</c:v>
                </c:pt>
                <c:pt idx="662">
                  <c:v>6630</c:v>
                </c:pt>
                <c:pt idx="663">
                  <c:v>6640</c:v>
                </c:pt>
                <c:pt idx="664">
                  <c:v>6650</c:v>
                </c:pt>
                <c:pt idx="665">
                  <c:v>6660</c:v>
                </c:pt>
                <c:pt idx="666">
                  <c:v>6670</c:v>
                </c:pt>
                <c:pt idx="667">
                  <c:v>6680</c:v>
                </c:pt>
                <c:pt idx="668">
                  <c:v>6690</c:v>
                </c:pt>
                <c:pt idx="669">
                  <c:v>6700</c:v>
                </c:pt>
                <c:pt idx="670">
                  <c:v>6710</c:v>
                </c:pt>
                <c:pt idx="671">
                  <c:v>6720</c:v>
                </c:pt>
                <c:pt idx="672">
                  <c:v>6730</c:v>
                </c:pt>
                <c:pt idx="673">
                  <c:v>6740</c:v>
                </c:pt>
                <c:pt idx="674">
                  <c:v>6750</c:v>
                </c:pt>
                <c:pt idx="675">
                  <c:v>6760</c:v>
                </c:pt>
                <c:pt idx="676">
                  <c:v>6770</c:v>
                </c:pt>
                <c:pt idx="677">
                  <c:v>6780</c:v>
                </c:pt>
                <c:pt idx="678">
                  <c:v>6790</c:v>
                </c:pt>
                <c:pt idx="679">
                  <c:v>6800</c:v>
                </c:pt>
                <c:pt idx="680">
                  <c:v>6810</c:v>
                </c:pt>
                <c:pt idx="681">
                  <c:v>6820</c:v>
                </c:pt>
                <c:pt idx="682">
                  <c:v>6830</c:v>
                </c:pt>
                <c:pt idx="683">
                  <c:v>6840</c:v>
                </c:pt>
                <c:pt idx="684">
                  <c:v>6850</c:v>
                </c:pt>
                <c:pt idx="685">
                  <c:v>6860</c:v>
                </c:pt>
                <c:pt idx="686">
                  <c:v>6870</c:v>
                </c:pt>
                <c:pt idx="687">
                  <c:v>6880</c:v>
                </c:pt>
                <c:pt idx="688">
                  <c:v>6890</c:v>
                </c:pt>
                <c:pt idx="689">
                  <c:v>6900</c:v>
                </c:pt>
                <c:pt idx="690">
                  <c:v>6910</c:v>
                </c:pt>
                <c:pt idx="691">
                  <c:v>6920</c:v>
                </c:pt>
                <c:pt idx="692">
                  <c:v>6930</c:v>
                </c:pt>
                <c:pt idx="693">
                  <c:v>6940</c:v>
                </c:pt>
                <c:pt idx="694">
                  <c:v>6950</c:v>
                </c:pt>
                <c:pt idx="695">
                  <c:v>6960</c:v>
                </c:pt>
                <c:pt idx="696">
                  <c:v>6970</c:v>
                </c:pt>
                <c:pt idx="697">
                  <c:v>6980</c:v>
                </c:pt>
                <c:pt idx="698">
                  <c:v>6990</c:v>
                </c:pt>
                <c:pt idx="699">
                  <c:v>7000</c:v>
                </c:pt>
                <c:pt idx="700">
                  <c:v>7010</c:v>
                </c:pt>
                <c:pt idx="701">
                  <c:v>7020</c:v>
                </c:pt>
                <c:pt idx="702">
                  <c:v>7030</c:v>
                </c:pt>
                <c:pt idx="703">
                  <c:v>7040</c:v>
                </c:pt>
                <c:pt idx="704">
                  <c:v>7050</c:v>
                </c:pt>
                <c:pt idx="705">
                  <c:v>7060</c:v>
                </c:pt>
                <c:pt idx="706">
                  <c:v>7070</c:v>
                </c:pt>
                <c:pt idx="707">
                  <c:v>7080</c:v>
                </c:pt>
                <c:pt idx="708">
                  <c:v>7090</c:v>
                </c:pt>
                <c:pt idx="709">
                  <c:v>7100</c:v>
                </c:pt>
                <c:pt idx="710">
                  <c:v>7110</c:v>
                </c:pt>
                <c:pt idx="711">
                  <c:v>7120</c:v>
                </c:pt>
                <c:pt idx="712">
                  <c:v>7130</c:v>
                </c:pt>
                <c:pt idx="713">
                  <c:v>7140</c:v>
                </c:pt>
                <c:pt idx="714">
                  <c:v>7150</c:v>
                </c:pt>
                <c:pt idx="715">
                  <c:v>7160</c:v>
                </c:pt>
                <c:pt idx="716">
                  <c:v>7170</c:v>
                </c:pt>
                <c:pt idx="717">
                  <c:v>7180</c:v>
                </c:pt>
                <c:pt idx="718">
                  <c:v>7190</c:v>
                </c:pt>
                <c:pt idx="719">
                  <c:v>7200</c:v>
                </c:pt>
                <c:pt idx="720">
                  <c:v>7210</c:v>
                </c:pt>
                <c:pt idx="721">
                  <c:v>7220</c:v>
                </c:pt>
                <c:pt idx="722">
                  <c:v>7230</c:v>
                </c:pt>
                <c:pt idx="723">
                  <c:v>7240</c:v>
                </c:pt>
                <c:pt idx="724">
                  <c:v>7250</c:v>
                </c:pt>
                <c:pt idx="725">
                  <c:v>7260</c:v>
                </c:pt>
                <c:pt idx="726">
                  <c:v>7270</c:v>
                </c:pt>
                <c:pt idx="727">
                  <c:v>7280</c:v>
                </c:pt>
                <c:pt idx="728">
                  <c:v>7290</c:v>
                </c:pt>
                <c:pt idx="729">
                  <c:v>7300</c:v>
                </c:pt>
                <c:pt idx="730">
                  <c:v>7310</c:v>
                </c:pt>
                <c:pt idx="731">
                  <c:v>7320</c:v>
                </c:pt>
                <c:pt idx="732">
                  <c:v>7330</c:v>
                </c:pt>
                <c:pt idx="733">
                  <c:v>7340</c:v>
                </c:pt>
                <c:pt idx="734">
                  <c:v>7350</c:v>
                </c:pt>
                <c:pt idx="735">
                  <c:v>7360</c:v>
                </c:pt>
                <c:pt idx="736">
                  <c:v>7370</c:v>
                </c:pt>
                <c:pt idx="737">
                  <c:v>7380</c:v>
                </c:pt>
                <c:pt idx="738">
                  <c:v>7390</c:v>
                </c:pt>
                <c:pt idx="739">
                  <c:v>7400</c:v>
                </c:pt>
                <c:pt idx="740">
                  <c:v>7410</c:v>
                </c:pt>
                <c:pt idx="741">
                  <c:v>7420</c:v>
                </c:pt>
                <c:pt idx="742">
                  <c:v>7430</c:v>
                </c:pt>
                <c:pt idx="743">
                  <c:v>7440</c:v>
                </c:pt>
                <c:pt idx="744">
                  <c:v>7450</c:v>
                </c:pt>
                <c:pt idx="745">
                  <c:v>7460</c:v>
                </c:pt>
                <c:pt idx="746">
                  <c:v>7470</c:v>
                </c:pt>
                <c:pt idx="747">
                  <c:v>7480</c:v>
                </c:pt>
                <c:pt idx="748">
                  <c:v>7490</c:v>
                </c:pt>
                <c:pt idx="749">
                  <c:v>7500</c:v>
                </c:pt>
                <c:pt idx="750">
                  <c:v>7510</c:v>
                </c:pt>
                <c:pt idx="751">
                  <c:v>7520</c:v>
                </c:pt>
                <c:pt idx="752">
                  <c:v>7530</c:v>
                </c:pt>
                <c:pt idx="753">
                  <c:v>7540</c:v>
                </c:pt>
                <c:pt idx="754">
                  <c:v>7550</c:v>
                </c:pt>
                <c:pt idx="755">
                  <c:v>7560</c:v>
                </c:pt>
                <c:pt idx="756">
                  <c:v>7570</c:v>
                </c:pt>
                <c:pt idx="757">
                  <c:v>7580</c:v>
                </c:pt>
                <c:pt idx="758">
                  <c:v>7590</c:v>
                </c:pt>
                <c:pt idx="759">
                  <c:v>7600</c:v>
                </c:pt>
                <c:pt idx="760">
                  <c:v>7610</c:v>
                </c:pt>
                <c:pt idx="761">
                  <c:v>7620</c:v>
                </c:pt>
                <c:pt idx="762">
                  <c:v>7630</c:v>
                </c:pt>
                <c:pt idx="763">
                  <c:v>7640</c:v>
                </c:pt>
                <c:pt idx="764">
                  <c:v>7650</c:v>
                </c:pt>
                <c:pt idx="765">
                  <c:v>7660</c:v>
                </c:pt>
                <c:pt idx="766">
                  <c:v>7670</c:v>
                </c:pt>
                <c:pt idx="767">
                  <c:v>7680</c:v>
                </c:pt>
                <c:pt idx="768">
                  <c:v>7690</c:v>
                </c:pt>
                <c:pt idx="769">
                  <c:v>7700</c:v>
                </c:pt>
                <c:pt idx="770">
                  <c:v>7710</c:v>
                </c:pt>
                <c:pt idx="771">
                  <c:v>7720</c:v>
                </c:pt>
                <c:pt idx="772">
                  <c:v>7730</c:v>
                </c:pt>
                <c:pt idx="773">
                  <c:v>7740</c:v>
                </c:pt>
                <c:pt idx="774">
                  <c:v>7750</c:v>
                </c:pt>
                <c:pt idx="775">
                  <c:v>7760</c:v>
                </c:pt>
                <c:pt idx="776">
                  <c:v>7770</c:v>
                </c:pt>
                <c:pt idx="777">
                  <c:v>7780</c:v>
                </c:pt>
                <c:pt idx="778">
                  <c:v>7790</c:v>
                </c:pt>
                <c:pt idx="779">
                  <c:v>7800</c:v>
                </c:pt>
                <c:pt idx="780">
                  <c:v>7810</c:v>
                </c:pt>
                <c:pt idx="781">
                  <c:v>7820</c:v>
                </c:pt>
                <c:pt idx="782">
                  <c:v>7830</c:v>
                </c:pt>
                <c:pt idx="783">
                  <c:v>7840</c:v>
                </c:pt>
                <c:pt idx="784">
                  <c:v>7850</c:v>
                </c:pt>
                <c:pt idx="785">
                  <c:v>7860</c:v>
                </c:pt>
                <c:pt idx="786">
                  <c:v>7870</c:v>
                </c:pt>
                <c:pt idx="787">
                  <c:v>7880</c:v>
                </c:pt>
                <c:pt idx="788">
                  <c:v>7890</c:v>
                </c:pt>
                <c:pt idx="789">
                  <c:v>7900</c:v>
                </c:pt>
                <c:pt idx="790">
                  <c:v>7910</c:v>
                </c:pt>
                <c:pt idx="791">
                  <c:v>7920</c:v>
                </c:pt>
                <c:pt idx="792">
                  <c:v>7930</c:v>
                </c:pt>
                <c:pt idx="793">
                  <c:v>7940</c:v>
                </c:pt>
                <c:pt idx="794">
                  <c:v>7950</c:v>
                </c:pt>
                <c:pt idx="795">
                  <c:v>7960</c:v>
                </c:pt>
                <c:pt idx="796">
                  <c:v>7970</c:v>
                </c:pt>
                <c:pt idx="797">
                  <c:v>7980</c:v>
                </c:pt>
                <c:pt idx="798">
                  <c:v>7990</c:v>
                </c:pt>
                <c:pt idx="799">
                  <c:v>8000</c:v>
                </c:pt>
                <c:pt idx="800">
                  <c:v>8010</c:v>
                </c:pt>
                <c:pt idx="801">
                  <c:v>8020</c:v>
                </c:pt>
                <c:pt idx="802">
                  <c:v>8030</c:v>
                </c:pt>
                <c:pt idx="803">
                  <c:v>8040</c:v>
                </c:pt>
                <c:pt idx="804">
                  <c:v>8050</c:v>
                </c:pt>
                <c:pt idx="805">
                  <c:v>8060</c:v>
                </c:pt>
                <c:pt idx="806">
                  <c:v>8070</c:v>
                </c:pt>
                <c:pt idx="807">
                  <c:v>8080</c:v>
                </c:pt>
                <c:pt idx="808">
                  <c:v>8090</c:v>
                </c:pt>
                <c:pt idx="809">
                  <c:v>8100</c:v>
                </c:pt>
                <c:pt idx="810">
                  <c:v>8110</c:v>
                </c:pt>
                <c:pt idx="811">
                  <c:v>8120</c:v>
                </c:pt>
                <c:pt idx="812">
                  <c:v>8130</c:v>
                </c:pt>
                <c:pt idx="813">
                  <c:v>8140</c:v>
                </c:pt>
                <c:pt idx="814">
                  <c:v>8150</c:v>
                </c:pt>
                <c:pt idx="815">
                  <c:v>8160</c:v>
                </c:pt>
                <c:pt idx="816">
                  <c:v>8170</c:v>
                </c:pt>
                <c:pt idx="817">
                  <c:v>8180</c:v>
                </c:pt>
                <c:pt idx="818">
                  <c:v>8190</c:v>
                </c:pt>
                <c:pt idx="819">
                  <c:v>8200</c:v>
                </c:pt>
                <c:pt idx="820">
                  <c:v>8210</c:v>
                </c:pt>
                <c:pt idx="821">
                  <c:v>8220</c:v>
                </c:pt>
                <c:pt idx="822">
                  <c:v>8230</c:v>
                </c:pt>
                <c:pt idx="823">
                  <c:v>8240</c:v>
                </c:pt>
                <c:pt idx="824">
                  <c:v>8250</c:v>
                </c:pt>
                <c:pt idx="825">
                  <c:v>8260</c:v>
                </c:pt>
                <c:pt idx="826">
                  <c:v>8270</c:v>
                </c:pt>
                <c:pt idx="827">
                  <c:v>8280</c:v>
                </c:pt>
                <c:pt idx="828">
                  <c:v>8290</c:v>
                </c:pt>
                <c:pt idx="829">
                  <c:v>8300</c:v>
                </c:pt>
                <c:pt idx="830">
                  <c:v>8310</c:v>
                </c:pt>
                <c:pt idx="831">
                  <c:v>8320</c:v>
                </c:pt>
                <c:pt idx="832">
                  <c:v>8330</c:v>
                </c:pt>
                <c:pt idx="833">
                  <c:v>8340</c:v>
                </c:pt>
                <c:pt idx="834">
                  <c:v>8350</c:v>
                </c:pt>
                <c:pt idx="835">
                  <c:v>8360</c:v>
                </c:pt>
                <c:pt idx="836">
                  <c:v>8370</c:v>
                </c:pt>
                <c:pt idx="837">
                  <c:v>8380</c:v>
                </c:pt>
                <c:pt idx="838">
                  <c:v>8390</c:v>
                </c:pt>
                <c:pt idx="839">
                  <c:v>8400</c:v>
                </c:pt>
                <c:pt idx="840">
                  <c:v>8410</c:v>
                </c:pt>
                <c:pt idx="841">
                  <c:v>8420</c:v>
                </c:pt>
                <c:pt idx="842">
                  <c:v>8430</c:v>
                </c:pt>
                <c:pt idx="843">
                  <c:v>8440</c:v>
                </c:pt>
                <c:pt idx="844">
                  <c:v>8450</c:v>
                </c:pt>
                <c:pt idx="845">
                  <c:v>8460</c:v>
                </c:pt>
                <c:pt idx="846">
                  <c:v>8470</c:v>
                </c:pt>
                <c:pt idx="847">
                  <c:v>8480</c:v>
                </c:pt>
                <c:pt idx="848">
                  <c:v>8490</c:v>
                </c:pt>
                <c:pt idx="849">
                  <c:v>8500</c:v>
                </c:pt>
                <c:pt idx="850">
                  <c:v>8510</c:v>
                </c:pt>
                <c:pt idx="851">
                  <c:v>8520</c:v>
                </c:pt>
                <c:pt idx="852">
                  <c:v>8530</c:v>
                </c:pt>
                <c:pt idx="853">
                  <c:v>8540</c:v>
                </c:pt>
                <c:pt idx="854">
                  <c:v>8550</c:v>
                </c:pt>
                <c:pt idx="855">
                  <c:v>8560</c:v>
                </c:pt>
                <c:pt idx="856">
                  <c:v>8570</c:v>
                </c:pt>
                <c:pt idx="857">
                  <c:v>8580</c:v>
                </c:pt>
                <c:pt idx="858">
                  <c:v>8590</c:v>
                </c:pt>
                <c:pt idx="859">
                  <c:v>8600</c:v>
                </c:pt>
                <c:pt idx="860">
                  <c:v>8610</c:v>
                </c:pt>
                <c:pt idx="861">
                  <c:v>8620</c:v>
                </c:pt>
                <c:pt idx="862">
                  <c:v>8630</c:v>
                </c:pt>
                <c:pt idx="863">
                  <c:v>8640</c:v>
                </c:pt>
                <c:pt idx="864">
                  <c:v>8650</c:v>
                </c:pt>
                <c:pt idx="865">
                  <c:v>8660</c:v>
                </c:pt>
                <c:pt idx="866">
                  <c:v>8670</c:v>
                </c:pt>
                <c:pt idx="867">
                  <c:v>8680</c:v>
                </c:pt>
                <c:pt idx="868">
                  <c:v>8690</c:v>
                </c:pt>
                <c:pt idx="869">
                  <c:v>8700</c:v>
                </c:pt>
                <c:pt idx="870">
                  <c:v>8710</c:v>
                </c:pt>
                <c:pt idx="871">
                  <c:v>8720</c:v>
                </c:pt>
                <c:pt idx="872">
                  <c:v>8730</c:v>
                </c:pt>
                <c:pt idx="873">
                  <c:v>8740</c:v>
                </c:pt>
                <c:pt idx="874">
                  <c:v>8750</c:v>
                </c:pt>
                <c:pt idx="875">
                  <c:v>8760</c:v>
                </c:pt>
                <c:pt idx="876">
                  <c:v>8770</c:v>
                </c:pt>
                <c:pt idx="877">
                  <c:v>8780</c:v>
                </c:pt>
                <c:pt idx="878">
                  <c:v>8790</c:v>
                </c:pt>
                <c:pt idx="879">
                  <c:v>8800</c:v>
                </c:pt>
                <c:pt idx="880">
                  <c:v>8810</c:v>
                </c:pt>
                <c:pt idx="881">
                  <c:v>8820</c:v>
                </c:pt>
                <c:pt idx="882">
                  <c:v>8830</c:v>
                </c:pt>
                <c:pt idx="883">
                  <c:v>8840</c:v>
                </c:pt>
                <c:pt idx="884">
                  <c:v>8850</c:v>
                </c:pt>
                <c:pt idx="885">
                  <c:v>8860</c:v>
                </c:pt>
                <c:pt idx="886">
                  <c:v>8870</c:v>
                </c:pt>
                <c:pt idx="887">
                  <c:v>8880</c:v>
                </c:pt>
                <c:pt idx="888">
                  <c:v>8890</c:v>
                </c:pt>
                <c:pt idx="889">
                  <c:v>8900</c:v>
                </c:pt>
                <c:pt idx="890">
                  <c:v>8910</c:v>
                </c:pt>
                <c:pt idx="891">
                  <c:v>8920</c:v>
                </c:pt>
                <c:pt idx="892">
                  <c:v>8930</c:v>
                </c:pt>
                <c:pt idx="893">
                  <c:v>8940</c:v>
                </c:pt>
                <c:pt idx="894">
                  <c:v>8950</c:v>
                </c:pt>
                <c:pt idx="895">
                  <c:v>8960</c:v>
                </c:pt>
                <c:pt idx="896">
                  <c:v>8970</c:v>
                </c:pt>
                <c:pt idx="897">
                  <c:v>8980</c:v>
                </c:pt>
                <c:pt idx="898">
                  <c:v>8990</c:v>
                </c:pt>
                <c:pt idx="899">
                  <c:v>9000</c:v>
                </c:pt>
                <c:pt idx="900">
                  <c:v>9010</c:v>
                </c:pt>
                <c:pt idx="901">
                  <c:v>9020</c:v>
                </c:pt>
                <c:pt idx="902">
                  <c:v>9030</c:v>
                </c:pt>
                <c:pt idx="903">
                  <c:v>9040</c:v>
                </c:pt>
                <c:pt idx="904">
                  <c:v>9050</c:v>
                </c:pt>
                <c:pt idx="905">
                  <c:v>9060</c:v>
                </c:pt>
                <c:pt idx="906">
                  <c:v>9070</c:v>
                </c:pt>
                <c:pt idx="907">
                  <c:v>9080</c:v>
                </c:pt>
                <c:pt idx="908">
                  <c:v>9090</c:v>
                </c:pt>
                <c:pt idx="909">
                  <c:v>9100</c:v>
                </c:pt>
                <c:pt idx="910">
                  <c:v>9110</c:v>
                </c:pt>
                <c:pt idx="911">
                  <c:v>9120</c:v>
                </c:pt>
                <c:pt idx="912">
                  <c:v>9130</c:v>
                </c:pt>
                <c:pt idx="913">
                  <c:v>9140</c:v>
                </c:pt>
                <c:pt idx="914">
                  <c:v>9150</c:v>
                </c:pt>
                <c:pt idx="915">
                  <c:v>9160</c:v>
                </c:pt>
                <c:pt idx="916">
                  <c:v>9170</c:v>
                </c:pt>
                <c:pt idx="917">
                  <c:v>9180</c:v>
                </c:pt>
                <c:pt idx="918">
                  <c:v>9190</c:v>
                </c:pt>
                <c:pt idx="919">
                  <c:v>9200</c:v>
                </c:pt>
                <c:pt idx="920">
                  <c:v>9210</c:v>
                </c:pt>
                <c:pt idx="921">
                  <c:v>9220</c:v>
                </c:pt>
                <c:pt idx="922">
                  <c:v>9230</c:v>
                </c:pt>
                <c:pt idx="923">
                  <c:v>9240</c:v>
                </c:pt>
                <c:pt idx="924">
                  <c:v>9250</c:v>
                </c:pt>
                <c:pt idx="925">
                  <c:v>9260</c:v>
                </c:pt>
                <c:pt idx="926">
                  <c:v>9270</c:v>
                </c:pt>
                <c:pt idx="927">
                  <c:v>9280</c:v>
                </c:pt>
                <c:pt idx="928">
                  <c:v>9290</c:v>
                </c:pt>
                <c:pt idx="929">
                  <c:v>9300</c:v>
                </c:pt>
                <c:pt idx="930">
                  <c:v>9310</c:v>
                </c:pt>
                <c:pt idx="931">
                  <c:v>9320</c:v>
                </c:pt>
                <c:pt idx="932">
                  <c:v>9330</c:v>
                </c:pt>
                <c:pt idx="933">
                  <c:v>9340</c:v>
                </c:pt>
                <c:pt idx="934">
                  <c:v>9350</c:v>
                </c:pt>
                <c:pt idx="935">
                  <c:v>9360</c:v>
                </c:pt>
                <c:pt idx="936">
                  <c:v>9370</c:v>
                </c:pt>
                <c:pt idx="937">
                  <c:v>9380</c:v>
                </c:pt>
                <c:pt idx="938">
                  <c:v>9390</c:v>
                </c:pt>
                <c:pt idx="939">
                  <c:v>9400</c:v>
                </c:pt>
                <c:pt idx="940">
                  <c:v>9410</c:v>
                </c:pt>
                <c:pt idx="941">
                  <c:v>9420</c:v>
                </c:pt>
                <c:pt idx="942">
                  <c:v>9430</c:v>
                </c:pt>
                <c:pt idx="943">
                  <c:v>9440</c:v>
                </c:pt>
                <c:pt idx="944">
                  <c:v>9450</c:v>
                </c:pt>
                <c:pt idx="945">
                  <c:v>9460</c:v>
                </c:pt>
                <c:pt idx="946">
                  <c:v>9470</c:v>
                </c:pt>
                <c:pt idx="947">
                  <c:v>9480</c:v>
                </c:pt>
                <c:pt idx="948">
                  <c:v>9490</c:v>
                </c:pt>
                <c:pt idx="949">
                  <c:v>9500</c:v>
                </c:pt>
                <c:pt idx="950">
                  <c:v>9510</c:v>
                </c:pt>
                <c:pt idx="951">
                  <c:v>9520</c:v>
                </c:pt>
                <c:pt idx="952">
                  <c:v>9530</c:v>
                </c:pt>
                <c:pt idx="953">
                  <c:v>9540</c:v>
                </c:pt>
                <c:pt idx="954">
                  <c:v>9550</c:v>
                </c:pt>
                <c:pt idx="955">
                  <c:v>9560</c:v>
                </c:pt>
                <c:pt idx="956">
                  <c:v>9570</c:v>
                </c:pt>
                <c:pt idx="957">
                  <c:v>9580</c:v>
                </c:pt>
                <c:pt idx="958">
                  <c:v>9590</c:v>
                </c:pt>
                <c:pt idx="959">
                  <c:v>9600</c:v>
                </c:pt>
                <c:pt idx="960">
                  <c:v>9610</c:v>
                </c:pt>
                <c:pt idx="961">
                  <c:v>9620</c:v>
                </c:pt>
                <c:pt idx="962">
                  <c:v>9630</c:v>
                </c:pt>
                <c:pt idx="963">
                  <c:v>9640</c:v>
                </c:pt>
                <c:pt idx="964">
                  <c:v>9650</c:v>
                </c:pt>
                <c:pt idx="965">
                  <c:v>9660</c:v>
                </c:pt>
                <c:pt idx="966">
                  <c:v>9670</c:v>
                </c:pt>
                <c:pt idx="967">
                  <c:v>9680</c:v>
                </c:pt>
                <c:pt idx="968">
                  <c:v>9690</c:v>
                </c:pt>
                <c:pt idx="969">
                  <c:v>9700</c:v>
                </c:pt>
                <c:pt idx="970">
                  <c:v>9710</c:v>
                </c:pt>
                <c:pt idx="971">
                  <c:v>9720</c:v>
                </c:pt>
                <c:pt idx="972">
                  <c:v>9730</c:v>
                </c:pt>
                <c:pt idx="973">
                  <c:v>9740</c:v>
                </c:pt>
                <c:pt idx="974">
                  <c:v>9750</c:v>
                </c:pt>
                <c:pt idx="975">
                  <c:v>9760</c:v>
                </c:pt>
                <c:pt idx="976">
                  <c:v>9770</c:v>
                </c:pt>
                <c:pt idx="977">
                  <c:v>9780</c:v>
                </c:pt>
                <c:pt idx="978">
                  <c:v>9790</c:v>
                </c:pt>
                <c:pt idx="979">
                  <c:v>9800</c:v>
                </c:pt>
                <c:pt idx="980">
                  <c:v>9810</c:v>
                </c:pt>
                <c:pt idx="981">
                  <c:v>9820</c:v>
                </c:pt>
                <c:pt idx="982">
                  <c:v>9830</c:v>
                </c:pt>
                <c:pt idx="983">
                  <c:v>9840</c:v>
                </c:pt>
                <c:pt idx="984">
                  <c:v>9850</c:v>
                </c:pt>
                <c:pt idx="985">
                  <c:v>9860</c:v>
                </c:pt>
                <c:pt idx="986">
                  <c:v>9870</c:v>
                </c:pt>
                <c:pt idx="987">
                  <c:v>9880</c:v>
                </c:pt>
                <c:pt idx="988">
                  <c:v>9890</c:v>
                </c:pt>
                <c:pt idx="989">
                  <c:v>9900</c:v>
                </c:pt>
                <c:pt idx="990">
                  <c:v>9910</c:v>
                </c:pt>
                <c:pt idx="991">
                  <c:v>9920</c:v>
                </c:pt>
                <c:pt idx="992">
                  <c:v>9930</c:v>
                </c:pt>
                <c:pt idx="993">
                  <c:v>9940</c:v>
                </c:pt>
                <c:pt idx="994">
                  <c:v>9950</c:v>
                </c:pt>
                <c:pt idx="995">
                  <c:v>9960</c:v>
                </c:pt>
                <c:pt idx="996">
                  <c:v>9970</c:v>
                </c:pt>
                <c:pt idx="997">
                  <c:v>9980</c:v>
                </c:pt>
                <c:pt idx="998">
                  <c:v>9990</c:v>
                </c:pt>
                <c:pt idx="999">
                  <c:v>10000</c:v>
                </c:pt>
              </c:numCache>
            </c:numRef>
          </c:xVal>
          <c:yVal>
            <c:numRef>
              <c:f>Sheet9!$C$2:$C$1001</c:f>
              <c:numCache>
                <c:formatCode>General</c:formatCode>
                <c:ptCount val="1000"/>
                <c:pt idx="0">
                  <c:v>9.43e-42</c:v>
                </c:pt>
                <c:pt idx="1" c:formatCode="0.00E+00">
                  <c:v>2.19e-41</c:v>
                </c:pt>
                <c:pt idx="2">
                  <c:v>4.32e-41</c:v>
                </c:pt>
                <c:pt idx="3">
                  <c:v>7.57e-41</c:v>
                </c:pt>
                <c:pt idx="4">
                  <c:v>8.05e-41</c:v>
                </c:pt>
                <c:pt idx="5" c:formatCode="0.00E+00">
                  <c:v>2.19e-35</c:v>
                </c:pt>
                <c:pt idx="6" c:formatCode="0.00E+00">
                  <c:v>4.32e-35</c:v>
                </c:pt>
                <c:pt idx="7" c:formatCode="0.00E+00">
                  <c:v>7.57e-35</c:v>
                </c:pt>
                <c:pt idx="8" c:formatCode="0.00E+00">
                  <c:v>8.05e-35</c:v>
                </c:pt>
                <c:pt idx="9" c:formatCode="0.00E+00">
                  <c:v>2.19e-30</c:v>
                </c:pt>
                <c:pt idx="10" c:formatCode="0.00E+00">
                  <c:v>4.32e-30</c:v>
                </c:pt>
                <c:pt idx="11" c:formatCode="0.00E+00">
                  <c:v>7.57e-30</c:v>
                </c:pt>
                <c:pt idx="12" c:formatCode="0.00E+00">
                  <c:v>8.05e-30</c:v>
                </c:pt>
                <c:pt idx="13" c:formatCode="0.00E+00">
                  <c:v>2.19e-25</c:v>
                </c:pt>
                <c:pt idx="14" c:formatCode="0.00E+00">
                  <c:v>4.32e-25</c:v>
                </c:pt>
                <c:pt idx="15" c:formatCode="0.00E+00">
                  <c:v>7.57e-25</c:v>
                </c:pt>
                <c:pt idx="16" c:formatCode="0.00E+00">
                  <c:v>8.05e-25</c:v>
                </c:pt>
                <c:pt idx="17" c:formatCode="0.00E+00">
                  <c:v>2.19e-25</c:v>
                </c:pt>
                <c:pt idx="18" c:formatCode="0.00E+00">
                  <c:v>4.32e-24</c:v>
                </c:pt>
                <c:pt idx="19" c:formatCode="0.00E+00">
                  <c:v>7.57e-20</c:v>
                </c:pt>
                <c:pt idx="20" c:formatCode="0.00E+00">
                  <c:v>8.05e-20</c:v>
                </c:pt>
                <c:pt idx="21" c:formatCode="0.00E+00">
                  <c:v>2.19e-18</c:v>
                </c:pt>
                <c:pt idx="22" c:formatCode="0.00E+00">
                  <c:v>4.32e-18</c:v>
                </c:pt>
                <c:pt idx="23" c:formatCode="0.00E+00">
                  <c:v>7.57e-18</c:v>
                </c:pt>
                <c:pt idx="24" c:formatCode="0.00E+00">
                  <c:v>8.05e-18</c:v>
                </c:pt>
                <c:pt idx="25" c:formatCode="0.00E+00">
                  <c:v>2.19e-15</c:v>
                </c:pt>
                <c:pt idx="26" c:formatCode="0.00E+00">
                  <c:v>4.32e-15</c:v>
                </c:pt>
                <c:pt idx="27" c:formatCode="0.00E+00">
                  <c:v>7.57e-15</c:v>
                </c:pt>
                <c:pt idx="28" c:formatCode="0.00E+00">
                  <c:v>8.05e-15</c:v>
                </c:pt>
                <c:pt idx="29" c:formatCode="0.00E+00">
                  <c:v>2.19e-10</c:v>
                </c:pt>
                <c:pt idx="30" c:formatCode="0.00E+00">
                  <c:v>4.32e-10</c:v>
                </c:pt>
                <c:pt idx="31" c:formatCode="0.00E+00">
                  <c:v>7.57e-10</c:v>
                </c:pt>
                <c:pt idx="32" c:formatCode="0.00E+00">
                  <c:v>8.05e-10</c:v>
                </c:pt>
                <c:pt idx="33" c:formatCode="0.00E+00">
                  <c:v>2.19e-8</c:v>
                </c:pt>
                <c:pt idx="34" c:formatCode="0.00E+00">
                  <c:v>4.32e-8</c:v>
                </c:pt>
                <c:pt idx="35" c:formatCode="0.00E+00">
                  <c:v>7.57e-8</c:v>
                </c:pt>
                <c:pt idx="36" c:formatCode="0.00E+00">
                  <c:v>8.05e-8</c:v>
                </c:pt>
                <c:pt idx="37" c:formatCode="0.00E+00">
                  <c:v>2.19e-7</c:v>
                </c:pt>
                <c:pt idx="38" c:formatCode="0.00E+00">
                  <c:v>4.32e-7</c:v>
                </c:pt>
                <c:pt idx="39" c:formatCode="0.00E+00">
                  <c:v>7.57e-7</c:v>
                </c:pt>
                <c:pt idx="40" c:formatCode="0.00E+00">
                  <c:v>8.05e-7</c:v>
                </c:pt>
                <c:pt idx="41" c:formatCode="0.00E+00">
                  <c:v>2.19e-6</c:v>
                </c:pt>
                <c:pt idx="42" c:formatCode="0.00E+00">
                  <c:v>3.57e-6</c:v>
                </c:pt>
                <c:pt idx="43" c:formatCode="0.00E+00">
                  <c:v>4.05e-6</c:v>
                </c:pt>
                <c:pt idx="44" c:formatCode="0.00E+00">
                  <c:v>5.19e-6</c:v>
                </c:pt>
                <c:pt idx="45" c:formatCode="0.00E+00">
                  <c:v>6.57e-6</c:v>
                </c:pt>
                <c:pt idx="46" c:formatCode="0.00E+00">
                  <c:v>7.05e-6</c:v>
                </c:pt>
                <c:pt idx="47" c:formatCode="0.00E+00">
                  <c:v>8.19e-6</c:v>
                </c:pt>
                <c:pt idx="48" c:formatCode="0.00E+00">
                  <c:v>9.57e-6</c:v>
                </c:pt>
                <c:pt idx="49" c:formatCode="0.00E+00">
                  <c:v>1.05e-5</c:v>
                </c:pt>
                <c:pt idx="50" c:formatCode="0.00E+00">
                  <c:v>2.19e-5</c:v>
                </c:pt>
                <c:pt idx="51" c:formatCode="0.00E+00">
                  <c:v>3.57e-5</c:v>
                </c:pt>
                <c:pt idx="52" c:formatCode="0.00E+00">
                  <c:v>4.05e-5</c:v>
                </c:pt>
                <c:pt idx="53" c:formatCode="0.00E+00">
                  <c:v>5.19e-5</c:v>
                </c:pt>
                <c:pt idx="54" c:formatCode="0.00E+00">
                  <c:v>6.57e-5</c:v>
                </c:pt>
                <c:pt idx="55" c:formatCode="0.00E+00">
                  <c:v>7.05e-5</c:v>
                </c:pt>
                <c:pt idx="56" c:formatCode="0.00E+00">
                  <c:v>8.19e-5</c:v>
                </c:pt>
                <c:pt idx="57" c:formatCode="0.00E+00">
                  <c:v>9.57e-5</c:v>
                </c:pt>
                <c:pt idx="58" c:formatCode="0.00E+00">
                  <c:v>0.000105</c:v>
                </c:pt>
                <c:pt idx="59" c:formatCode="0.00E+00">
                  <c:v>0.000219</c:v>
                </c:pt>
                <c:pt idx="60" c:formatCode="0.00E+00">
                  <c:v>0.000357</c:v>
                </c:pt>
                <c:pt idx="61" c:formatCode="0.00E+00">
                  <c:v>0.000405</c:v>
                </c:pt>
                <c:pt idx="62" c:formatCode="0.00E+00">
                  <c:v>0.000519</c:v>
                </c:pt>
                <c:pt idx="63" c:formatCode="0.00E+00">
                  <c:v>0.000608</c:v>
                </c:pt>
                <c:pt idx="64" c:formatCode="0.00E+00">
                  <c:v>0.000708</c:v>
                </c:pt>
                <c:pt idx="65" c:formatCode="0.00E+00">
                  <c:v>0.000819</c:v>
                </c:pt>
                <c:pt idx="66" c:formatCode="0.00E+00">
                  <c:v>0.000957</c:v>
                </c:pt>
                <c:pt idx="67" c:formatCode="0.00E+00">
                  <c:v>0.00157</c:v>
                </c:pt>
                <c:pt idx="68" c:formatCode="0.00E+00">
                  <c:v>0.00219</c:v>
                </c:pt>
                <c:pt idx="69" c:formatCode="0.00E+00">
                  <c:v>0.0031</c:v>
                </c:pt>
                <c:pt idx="70" c:formatCode="0.00E+00">
                  <c:v>0.00408</c:v>
                </c:pt>
                <c:pt idx="71" c:formatCode="0.00E+00">
                  <c:v>0.00419</c:v>
                </c:pt>
                <c:pt idx="72" c:formatCode="0.00E+00">
                  <c:v>0.0051</c:v>
                </c:pt>
                <c:pt idx="73" c:formatCode="0.00E+00">
                  <c:v>0.00557</c:v>
                </c:pt>
                <c:pt idx="74" c:formatCode="0.00E+00">
                  <c:v>0.00619</c:v>
                </c:pt>
                <c:pt idx="75" c:formatCode="0.00E+00">
                  <c:v>0.0071</c:v>
                </c:pt>
                <c:pt idx="76" c:formatCode="0.00E+00">
                  <c:v>0.00808</c:v>
                </c:pt>
                <c:pt idx="77" c:formatCode="0.00E+00">
                  <c:v>0.00919</c:v>
                </c:pt>
                <c:pt idx="78" c:formatCode="0.00E+00">
                  <c:v>0.0098</c:v>
                </c:pt>
                <c:pt idx="79" c:formatCode="0.00E+00">
                  <c:v>0.01</c:v>
                </c:pt>
                <c:pt idx="80" c:formatCode="0.00E+00">
                  <c:v>0.0114</c:v>
                </c:pt>
                <c:pt idx="81" c:formatCode="0.00E+00">
                  <c:v>0.0134</c:v>
                </c:pt>
                <c:pt idx="82" c:formatCode="0.00E+00">
                  <c:v>0.0165</c:v>
                </c:pt>
                <c:pt idx="83" c:formatCode="0.00E+00">
                  <c:v>0.0187</c:v>
                </c:pt>
                <c:pt idx="84" c:formatCode="0.00E+00">
                  <c:v>0.02</c:v>
                </c:pt>
                <c:pt idx="85" c:formatCode="0.00E+00">
                  <c:v>0.0212</c:v>
                </c:pt>
                <c:pt idx="86" c:formatCode="0.00E+00">
                  <c:v>0.0245</c:v>
                </c:pt>
                <c:pt idx="87" c:formatCode="0.00E+00">
                  <c:v>0.0276</c:v>
                </c:pt>
                <c:pt idx="88" c:formatCode="0.00E+00">
                  <c:v>0.03</c:v>
                </c:pt>
                <c:pt idx="89" c:formatCode="0.00E+00">
                  <c:v>0.031</c:v>
                </c:pt>
                <c:pt idx="90" c:formatCode="0.00E+00">
                  <c:v>0.0355</c:v>
                </c:pt>
                <c:pt idx="91" c:formatCode="0.00E+00">
                  <c:v>0.0385</c:v>
                </c:pt>
                <c:pt idx="92" c:formatCode="0.00E+00">
                  <c:v>0.04</c:v>
                </c:pt>
                <c:pt idx="93" c:formatCode="0.00E+00">
                  <c:v>0.041</c:v>
                </c:pt>
                <c:pt idx="94" c:formatCode="0.00E+00">
                  <c:v>0.0435</c:v>
                </c:pt>
                <c:pt idx="95" c:formatCode="0.00E+00">
                  <c:v>0.0456</c:v>
                </c:pt>
                <c:pt idx="96" c:formatCode="0.00E+00">
                  <c:v>0.0489</c:v>
                </c:pt>
                <c:pt idx="97" c:formatCode="0.00E+00">
                  <c:v>0.05</c:v>
                </c:pt>
                <c:pt idx="98" c:formatCode="0.00E+00">
                  <c:v>0.053</c:v>
                </c:pt>
                <c:pt idx="99" c:formatCode="0.00E+00">
                  <c:v>0.056</c:v>
                </c:pt>
                <c:pt idx="100" c:formatCode="0.00E+00">
                  <c:v>0.0587</c:v>
                </c:pt>
                <c:pt idx="101" c:formatCode="0.00E+00">
                  <c:v>0.06</c:v>
                </c:pt>
                <c:pt idx="102" c:formatCode="0.00E+00">
                  <c:v>0.0623</c:v>
                </c:pt>
                <c:pt idx="103" c:formatCode="0.00E+00">
                  <c:v>0.0665</c:v>
                </c:pt>
                <c:pt idx="104" c:formatCode="0.00E+00">
                  <c:v>0.0685</c:v>
                </c:pt>
                <c:pt idx="105" c:formatCode="0.00E+00">
                  <c:v>0.07</c:v>
                </c:pt>
                <c:pt idx="106" c:formatCode="0.00E+00">
                  <c:v>0.0715</c:v>
                </c:pt>
                <c:pt idx="107" c:formatCode="0.00E+00">
                  <c:v>0.0738</c:v>
                </c:pt>
                <c:pt idx="108" c:formatCode="0.00E+00">
                  <c:v>0.0754</c:v>
                </c:pt>
                <c:pt idx="109" c:formatCode="0.00E+00">
                  <c:v>0.0778</c:v>
                </c:pt>
                <c:pt idx="110" c:formatCode="0.00E+00">
                  <c:v>0.08</c:v>
                </c:pt>
                <c:pt idx="111" c:formatCode="0.00E+00">
                  <c:v>0.0812</c:v>
                </c:pt>
                <c:pt idx="112" c:formatCode="0.00E+00">
                  <c:v>0.0843</c:v>
                </c:pt>
                <c:pt idx="113" c:formatCode="0.00E+00">
                  <c:v>0.0868</c:v>
                </c:pt>
                <c:pt idx="114" c:formatCode="0.00E+00">
                  <c:v>0.0897</c:v>
                </c:pt>
                <c:pt idx="115" c:formatCode="0.00E+00">
                  <c:v>0.09</c:v>
                </c:pt>
                <c:pt idx="116" c:formatCode="0.00E+00">
                  <c:v>0.0912</c:v>
                </c:pt>
                <c:pt idx="117" c:formatCode="0.00E+00">
                  <c:v>0.0954</c:v>
                </c:pt>
                <c:pt idx="118" c:formatCode="0.00E+00">
                  <c:v>0.098</c:v>
                </c:pt>
                <c:pt idx="119" c:formatCode="0.00E+00">
                  <c:v>0.1</c:v>
                </c:pt>
                <c:pt idx="120" c:formatCode="0.00E+00">
                  <c:v>0.122</c:v>
                </c:pt>
                <c:pt idx="121" c:formatCode="0.00E+00">
                  <c:v>0.143</c:v>
                </c:pt>
                <c:pt idx="122" c:formatCode="0.00E+00">
                  <c:v>0.171</c:v>
                </c:pt>
                <c:pt idx="123" c:formatCode="0.00E+00">
                  <c:v>0.196</c:v>
                </c:pt>
                <c:pt idx="124" c:formatCode="0.00E+00">
                  <c:v>0.2</c:v>
                </c:pt>
                <c:pt idx="125" c:formatCode="0.00E+00">
                  <c:v>0.221</c:v>
                </c:pt>
                <c:pt idx="126" c:formatCode="0.00E+00">
                  <c:v>0.246</c:v>
                </c:pt>
                <c:pt idx="127" c:formatCode="0.00E+00">
                  <c:v>0.281</c:v>
                </c:pt>
                <c:pt idx="128" c:formatCode="0.00E+00">
                  <c:v>0.3</c:v>
                </c:pt>
                <c:pt idx="129" c:formatCode="0.00E+00">
                  <c:v>0.33</c:v>
                </c:pt>
                <c:pt idx="130" c:formatCode="0.00E+00">
                  <c:v>0.365</c:v>
                </c:pt>
                <c:pt idx="131" c:formatCode="0.00E+00">
                  <c:v>0.382</c:v>
                </c:pt>
                <c:pt idx="132" c:formatCode="0.00E+00">
                  <c:v>0.39</c:v>
                </c:pt>
                <c:pt idx="133" c:formatCode="0.00E+00">
                  <c:v>0.41</c:v>
                </c:pt>
                <c:pt idx="134" c:formatCode="0.00E+00">
                  <c:v>0.45</c:v>
                </c:pt>
                <c:pt idx="135" c:formatCode="0.00E+00">
                  <c:v>0.472</c:v>
                </c:pt>
                <c:pt idx="136" c:formatCode="0.00E+00">
                  <c:v>0.492</c:v>
                </c:pt>
                <c:pt idx="137" c:formatCode="0.00E+00">
                  <c:v>0.5</c:v>
                </c:pt>
                <c:pt idx="138" c:formatCode="0.00E+00">
                  <c:v>0.511</c:v>
                </c:pt>
                <c:pt idx="139" c:formatCode="0.00E+00">
                  <c:v>0.552</c:v>
                </c:pt>
                <c:pt idx="140" c:formatCode="0.00E+00">
                  <c:v>0.578</c:v>
                </c:pt>
                <c:pt idx="141" c:formatCode="0.00E+00">
                  <c:v>0.612</c:v>
                </c:pt>
                <c:pt idx="142" c:formatCode="0.00E+00">
                  <c:v>0.658</c:v>
                </c:pt>
                <c:pt idx="143" c:formatCode="0.00E+00">
                  <c:v>0.684</c:v>
                </c:pt>
                <c:pt idx="144" c:formatCode="0.00E+00">
                  <c:v>0.702</c:v>
                </c:pt>
                <c:pt idx="145" c:formatCode="0.00E+00">
                  <c:v>0.761</c:v>
                </c:pt>
                <c:pt idx="146" c:formatCode="0.00E+00">
                  <c:v>0.802</c:v>
                </c:pt>
                <c:pt idx="147" c:formatCode="0.00E+00">
                  <c:v>0.855</c:v>
                </c:pt>
                <c:pt idx="148" c:formatCode="0.00E+00">
                  <c:v>0.867</c:v>
                </c:pt>
                <c:pt idx="149" c:formatCode="0.00E+00">
                  <c:v>0.889</c:v>
                </c:pt>
                <c:pt idx="150" c:formatCode="0.00E+00">
                  <c:v>0.92</c:v>
                </c:pt>
                <c:pt idx="151" c:formatCode="0.00E+00">
                  <c:v>1.06</c:v>
                </c:pt>
                <c:pt idx="152" c:formatCode="0.00E+00">
                  <c:v>1.2</c:v>
                </c:pt>
                <c:pt idx="153" c:formatCode="0.00E+00">
                  <c:v>1.35</c:v>
                </c:pt>
                <c:pt idx="154" c:formatCode="0.00E+00">
                  <c:v>1.5</c:v>
                </c:pt>
                <c:pt idx="155" c:formatCode="0.00E+00">
                  <c:v>1.66</c:v>
                </c:pt>
                <c:pt idx="156" c:formatCode="0.00E+00">
                  <c:v>1.82</c:v>
                </c:pt>
                <c:pt idx="157" c:formatCode="0.00E+00">
                  <c:v>1.98</c:v>
                </c:pt>
                <c:pt idx="158" c:formatCode="0.00E+00">
                  <c:v>2.14</c:v>
                </c:pt>
                <c:pt idx="159" c:formatCode="0.00E+00">
                  <c:v>2.3</c:v>
                </c:pt>
                <c:pt idx="160" c:formatCode="0.00E+00">
                  <c:v>2.45</c:v>
                </c:pt>
                <c:pt idx="161" c:formatCode="0.00E+00">
                  <c:v>2.61</c:v>
                </c:pt>
                <c:pt idx="162" c:formatCode="0.00E+00">
                  <c:v>2.76</c:v>
                </c:pt>
                <c:pt idx="163" c:formatCode="0.00E+00">
                  <c:v>2.91</c:v>
                </c:pt>
                <c:pt idx="164" c:formatCode="0.00E+00">
                  <c:v>3.06</c:v>
                </c:pt>
                <c:pt idx="165" c:formatCode="0.00E+00">
                  <c:v>3.21</c:v>
                </c:pt>
                <c:pt idx="166" c:formatCode="0.00E+00">
                  <c:v>3.35</c:v>
                </c:pt>
                <c:pt idx="167" c:formatCode="0.00E+00">
                  <c:v>3.49</c:v>
                </c:pt>
                <c:pt idx="168" c:formatCode="0.00E+00">
                  <c:v>3.62</c:v>
                </c:pt>
                <c:pt idx="169" c:formatCode="0.00E+00">
                  <c:v>3.75</c:v>
                </c:pt>
                <c:pt idx="170" c:formatCode="0.00E+00">
                  <c:v>3.88</c:v>
                </c:pt>
                <c:pt idx="171" c:formatCode="0.00E+00">
                  <c:v>4</c:v>
                </c:pt>
                <c:pt idx="172" c:formatCode="0.00E+00">
                  <c:v>4.12</c:v>
                </c:pt>
                <c:pt idx="173" c:formatCode="0.00E+00">
                  <c:v>4.23</c:v>
                </c:pt>
                <c:pt idx="174" c:formatCode="0.00E+00">
                  <c:v>4.34</c:v>
                </c:pt>
                <c:pt idx="175" c:formatCode="0.00E+00">
                  <c:v>4.45</c:v>
                </c:pt>
                <c:pt idx="176" c:formatCode="0.00E+00">
                  <c:v>4.55</c:v>
                </c:pt>
                <c:pt idx="177" c:formatCode="0.00E+00">
                  <c:v>4.65</c:v>
                </c:pt>
                <c:pt idx="178" c:formatCode="0.00E+00">
                  <c:v>4.75</c:v>
                </c:pt>
                <c:pt idx="179" c:formatCode="0.00E+00">
                  <c:v>4.84</c:v>
                </c:pt>
                <c:pt idx="180" c:formatCode="0.00E+00">
                  <c:v>4.92</c:v>
                </c:pt>
                <c:pt idx="181" c:formatCode="0.00E+00">
                  <c:v>5.01</c:v>
                </c:pt>
                <c:pt idx="182" c:formatCode="0.00E+00">
                  <c:v>5.09</c:v>
                </c:pt>
                <c:pt idx="183" c:formatCode="0.00E+00">
                  <c:v>5.16</c:v>
                </c:pt>
                <c:pt idx="184" c:formatCode="0.00E+00">
                  <c:v>5.23</c:v>
                </c:pt>
                <c:pt idx="185" c:formatCode="0.00E+00">
                  <c:v>5.3</c:v>
                </c:pt>
                <c:pt idx="186" c:formatCode="0.00E+00">
                  <c:v>5.37</c:v>
                </c:pt>
                <c:pt idx="187" c:formatCode="0.00E+00">
                  <c:v>5.43</c:v>
                </c:pt>
                <c:pt idx="188" c:formatCode="0.00E+00">
                  <c:v>5.49</c:v>
                </c:pt>
                <c:pt idx="189" c:formatCode="0.00E+00">
                  <c:v>5.55</c:v>
                </c:pt>
                <c:pt idx="190" c:formatCode="0.00E+00">
                  <c:v>5.61</c:v>
                </c:pt>
                <c:pt idx="191" c:formatCode="0.00E+00">
                  <c:v>5.66</c:v>
                </c:pt>
                <c:pt idx="192" c:formatCode="0.00E+00">
                  <c:v>5.71</c:v>
                </c:pt>
                <c:pt idx="193" c:formatCode="0.00E+00">
                  <c:v>5.75</c:v>
                </c:pt>
                <c:pt idx="194" c:formatCode="0.00E+00">
                  <c:v>5.8</c:v>
                </c:pt>
                <c:pt idx="195" c:formatCode="0.00E+00">
                  <c:v>5.84</c:v>
                </c:pt>
                <c:pt idx="196" c:formatCode="0.00E+00">
                  <c:v>5.88</c:v>
                </c:pt>
                <c:pt idx="197" c:formatCode="0.00E+00">
                  <c:v>5.92</c:v>
                </c:pt>
                <c:pt idx="198" c:formatCode="0.00E+00">
                  <c:v>5.95</c:v>
                </c:pt>
                <c:pt idx="199" c:formatCode="0.00E+00">
                  <c:v>5.99</c:v>
                </c:pt>
                <c:pt idx="200" c:formatCode="0.00E+00">
                  <c:v>6.02</c:v>
                </c:pt>
                <c:pt idx="201" c:formatCode="0.00E+00">
                  <c:v>6.05</c:v>
                </c:pt>
                <c:pt idx="202" c:formatCode="0.00E+00">
                  <c:v>6.07</c:v>
                </c:pt>
                <c:pt idx="203" c:formatCode="0.00E+00">
                  <c:v>6.1</c:v>
                </c:pt>
                <c:pt idx="204" c:formatCode="0.00E+00">
                  <c:v>6.12</c:v>
                </c:pt>
                <c:pt idx="205" c:formatCode="0.00E+00">
                  <c:v>6.15</c:v>
                </c:pt>
                <c:pt idx="206" c:formatCode="0.00E+00">
                  <c:v>6.17</c:v>
                </c:pt>
                <c:pt idx="207" c:formatCode="0.00E+00">
                  <c:v>6.19</c:v>
                </c:pt>
                <c:pt idx="208" c:formatCode="0.00E+00">
                  <c:v>6.2</c:v>
                </c:pt>
                <c:pt idx="209" c:formatCode="0.00E+00">
                  <c:v>6.22</c:v>
                </c:pt>
                <c:pt idx="210" c:formatCode="0.00E+00">
                  <c:v>6.24</c:v>
                </c:pt>
                <c:pt idx="211" c:formatCode="0.00E+00">
                  <c:v>6.25</c:v>
                </c:pt>
                <c:pt idx="212" c:formatCode="0.00E+00">
                  <c:v>6.26</c:v>
                </c:pt>
                <c:pt idx="213" c:formatCode="0.00E+00">
                  <c:v>6.27</c:v>
                </c:pt>
                <c:pt idx="214" c:formatCode="0.00E+00">
                  <c:v>6.28</c:v>
                </c:pt>
                <c:pt idx="215" c:formatCode="0.00E+00">
                  <c:v>6.29</c:v>
                </c:pt>
                <c:pt idx="216" c:formatCode="0.00E+00">
                  <c:v>6.3</c:v>
                </c:pt>
                <c:pt idx="217" c:formatCode="0.00E+00">
                  <c:v>6.31</c:v>
                </c:pt>
                <c:pt idx="218" c:formatCode="0.00E+00">
                  <c:v>6.31</c:v>
                </c:pt>
                <c:pt idx="219" c:formatCode="0.00E+00">
                  <c:v>6.32</c:v>
                </c:pt>
                <c:pt idx="220" c:formatCode="0.00E+00">
                  <c:v>6.32</c:v>
                </c:pt>
                <c:pt idx="221" c:formatCode="0.00E+00">
                  <c:v>6.32</c:v>
                </c:pt>
                <c:pt idx="222" c:formatCode="0.00E+00">
                  <c:v>6.33</c:v>
                </c:pt>
                <c:pt idx="223" c:formatCode="0.00E+00">
                  <c:v>6.33</c:v>
                </c:pt>
                <c:pt idx="224" c:formatCode="0.00E+00">
                  <c:v>6.33</c:v>
                </c:pt>
                <c:pt idx="225" c:formatCode="0.00E+00">
                  <c:v>6.33</c:v>
                </c:pt>
                <c:pt idx="226" c:formatCode="0.00E+00">
                  <c:v>6.33</c:v>
                </c:pt>
                <c:pt idx="227" c:formatCode="0.00E+00">
                  <c:v>6.33</c:v>
                </c:pt>
                <c:pt idx="228" c:formatCode="0.00E+00">
                  <c:v>6.33</c:v>
                </c:pt>
                <c:pt idx="229" c:formatCode="0.00E+00">
                  <c:v>6.32</c:v>
                </c:pt>
                <c:pt idx="230" c:formatCode="0.00E+00">
                  <c:v>6.32</c:v>
                </c:pt>
                <c:pt idx="231" c:formatCode="0.00E+00">
                  <c:v>6.31</c:v>
                </c:pt>
                <c:pt idx="232" c:formatCode="0.00E+00">
                  <c:v>6.31</c:v>
                </c:pt>
                <c:pt idx="233" c:formatCode="0.00E+00">
                  <c:v>6.31</c:v>
                </c:pt>
                <c:pt idx="234" c:formatCode="0.00E+00">
                  <c:v>6.3</c:v>
                </c:pt>
                <c:pt idx="235" c:formatCode="0.00E+00">
                  <c:v>6.29</c:v>
                </c:pt>
                <c:pt idx="236" c:formatCode="0.00E+00">
                  <c:v>6.29</c:v>
                </c:pt>
                <c:pt idx="237" c:formatCode="0.00E+00">
                  <c:v>6.28</c:v>
                </c:pt>
                <c:pt idx="238" c:formatCode="0.00E+00">
                  <c:v>6.27</c:v>
                </c:pt>
                <c:pt idx="239" c:formatCode="0.00E+00">
                  <c:v>6.26</c:v>
                </c:pt>
                <c:pt idx="240" c:formatCode="0.00E+00">
                  <c:v>6.26</c:v>
                </c:pt>
                <c:pt idx="241" c:formatCode="0.00E+00">
                  <c:v>6.25</c:v>
                </c:pt>
                <c:pt idx="242" c:formatCode="0.00E+00">
                  <c:v>6.24</c:v>
                </c:pt>
                <c:pt idx="243" c:formatCode="0.00E+00">
                  <c:v>6.23</c:v>
                </c:pt>
                <c:pt idx="244" c:formatCode="0.00E+00">
                  <c:v>6.22</c:v>
                </c:pt>
                <c:pt idx="245" c:formatCode="0.00E+00">
                  <c:v>6.21</c:v>
                </c:pt>
                <c:pt idx="246" c:formatCode="0.00E+00">
                  <c:v>6.2</c:v>
                </c:pt>
                <c:pt idx="247" c:formatCode="0.00E+00">
                  <c:v>6.19</c:v>
                </c:pt>
                <c:pt idx="248" c:formatCode="0.00E+00">
                  <c:v>6.18</c:v>
                </c:pt>
                <c:pt idx="249" c:formatCode="0.00E+00">
                  <c:v>6.17</c:v>
                </c:pt>
                <c:pt idx="250" c:formatCode="0.00E+00">
                  <c:v>6.16</c:v>
                </c:pt>
                <c:pt idx="251" c:formatCode="0.00E+00">
                  <c:v>6.14</c:v>
                </c:pt>
                <c:pt idx="252" c:formatCode="0.00E+00">
                  <c:v>6.13</c:v>
                </c:pt>
                <c:pt idx="253" c:formatCode="0.00E+00">
                  <c:v>6.12</c:v>
                </c:pt>
                <c:pt idx="254" c:formatCode="0.00E+00">
                  <c:v>6.11</c:v>
                </c:pt>
                <c:pt idx="255" c:formatCode="0.00E+00">
                  <c:v>6.09</c:v>
                </c:pt>
                <c:pt idx="256" c:formatCode="0.00E+00">
                  <c:v>6.08</c:v>
                </c:pt>
                <c:pt idx="257" c:formatCode="0.00E+00">
                  <c:v>6.07</c:v>
                </c:pt>
                <c:pt idx="258" c:formatCode="0.00E+00">
                  <c:v>6.06</c:v>
                </c:pt>
                <c:pt idx="259" c:formatCode="0.00E+00">
                  <c:v>6.04</c:v>
                </c:pt>
                <c:pt idx="260" c:formatCode="0.00E+00">
                  <c:v>6.03</c:v>
                </c:pt>
                <c:pt idx="261" c:formatCode="0.00E+00">
                  <c:v>6.02</c:v>
                </c:pt>
                <c:pt idx="262" c:formatCode="0.00E+00">
                  <c:v>6</c:v>
                </c:pt>
                <c:pt idx="263" c:formatCode="0.00E+00">
                  <c:v>5.99</c:v>
                </c:pt>
                <c:pt idx="264" c:formatCode="0.00E+00">
                  <c:v>5.97</c:v>
                </c:pt>
                <c:pt idx="265" c:formatCode="0.00E+00">
                  <c:v>5.96</c:v>
                </c:pt>
                <c:pt idx="266" c:formatCode="0.00E+00">
                  <c:v>5.95</c:v>
                </c:pt>
                <c:pt idx="267" c:formatCode="0.00E+00">
                  <c:v>5.93</c:v>
                </c:pt>
                <c:pt idx="268" c:formatCode="0.00E+00">
                  <c:v>5.92</c:v>
                </c:pt>
                <c:pt idx="269" c:formatCode="0.00E+00">
                  <c:v>5.9</c:v>
                </c:pt>
                <c:pt idx="270" c:formatCode="0.00E+00">
                  <c:v>5.89</c:v>
                </c:pt>
                <c:pt idx="271" c:formatCode="0.00E+00">
                  <c:v>5.87</c:v>
                </c:pt>
                <c:pt idx="272" c:formatCode="0.00E+00">
                  <c:v>5.86</c:v>
                </c:pt>
                <c:pt idx="273" c:formatCode="0.00E+00">
                  <c:v>5.84</c:v>
                </c:pt>
                <c:pt idx="274" c:formatCode="0.00E+00">
                  <c:v>5.83</c:v>
                </c:pt>
                <c:pt idx="275" c:formatCode="0.00E+00">
                  <c:v>5.81</c:v>
                </c:pt>
                <c:pt idx="276" c:formatCode="0.00E+00">
                  <c:v>5.8</c:v>
                </c:pt>
                <c:pt idx="277" c:formatCode="0.00E+00">
                  <c:v>5.78</c:v>
                </c:pt>
                <c:pt idx="278" c:formatCode="0.00E+00">
                  <c:v>5.77</c:v>
                </c:pt>
                <c:pt idx="279" c:formatCode="0.00E+00">
                  <c:v>5.75</c:v>
                </c:pt>
                <c:pt idx="280" c:formatCode="0.00E+00">
                  <c:v>5.74</c:v>
                </c:pt>
                <c:pt idx="281" c:formatCode="0.00E+00">
                  <c:v>5.72</c:v>
                </c:pt>
                <c:pt idx="282" c:formatCode="0.00E+00">
                  <c:v>5.71</c:v>
                </c:pt>
                <c:pt idx="283" c:formatCode="0.00E+00">
                  <c:v>5.69</c:v>
                </c:pt>
                <c:pt idx="284" c:formatCode="0.00E+00">
                  <c:v>5.68</c:v>
                </c:pt>
                <c:pt idx="285" c:formatCode="0.00E+00">
                  <c:v>5.66</c:v>
                </c:pt>
                <c:pt idx="286" c:formatCode="0.00E+00">
                  <c:v>5.64</c:v>
                </c:pt>
                <c:pt idx="287" c:formatCode="0.00E+00">
                  <c:v>5.63</c:v>
                </c:pt>
                <c:pt idx="288" c:formatCode="0.00E+00">
                  <c:v>5.61</c:v>
                </c:pt>
                <c:pt idx="289" c:formatCode="0.00E+00">
                  <c:v>5.6</c:v>
                </c:pt>
                <c:pt idx="290" c:formatCode="0.00E+00">
                  <c:v>5.58</c:v>
                </c:pt>
                <c:pt idx="291" c:formatCode="0.00E+00">
                  <c:v>5.57</c:v>
                </c:pt>
                <c:pt idx="292" c:formatCode="0.00E+00">
                  <c:v>5.55</c:v>
                </c:pt>
                <c:pt idx="293" c:formatCode="0.00E+00">
                  <c:v>5.54</c:v>
                </c:pt>
                <c:pt idx="294" c:formatCode="0.00E+00">
                  <c:v>5.52</c:v>
                </c:pt>
                <c:pt idx="295" c:formatCode="0.00E+00">
                  <c:v>5.51</c:v>
                </c:pt>
                <c:pt idx="296" c:formatCode="0.00E+00">
                  <c:v>5.49</c:v>
                </c:pt>
                <c:pt idx="297" c:formatCode="0.00E+00">
                  <c:v>5.47</c:v>
                </c:pt>
                <c:pt idx="298" c:formatCode="0.00E+00">
                  <c:v>5.46</c:v>
                </c:pt>
                <c:pt idx="299" c:formatCode="0.00E+00">
                  <c:v>5.44</c:v>
                </c:pt>
                <c:pt idx="300" c:formatCode="0.00E+00">
                  <c:v>5.43</c:v>
                </c:pt>
                <c:pt idx="301" c:formatCode="0.00E+00">
                  <c:v>5.41</c:v>
                </c:pt>
                <c:pt idx="302" c:formatCode="0.00E+00">
                  <c:v>5.4</c:v>
                </c:pt>
                <c:pt idx="303" c:formatCode="0.00E+00">
                  <c:v>5.38</c:v>
                </c:pt>
                <c:pt idx="304" c:formatCode="0.00E+00">
                  <c:v>5.37</c:v>
                </c:pt>
                <c:pt idx="305" c:formatCode="0.00E+00">
                  <c:v>5.35</c:v>
                </c:pt>
                <c:pt idx="306" c:formatCode="0.00E+00">
                  <c:v>5.33</c:v>
                </c:pt>
                <c:pt idx="307" c:formatCode="0.00E+00">
                  <c:v>5.32</c:v>
                </c:pt>
                <c:pt idx="308" c:formatCode="0.00E+00">
                  <c:v>5.3</c:v>
                </c:pt>
                <c:pt idx="309" c:formatCode="0.00E+00">
                  <c:v>5.29</c:v>
                </c:pt>
                <c:pt idx="310" c:formatCode="0.00E+00">
                  <c:v>5.27</c:v>
                </c:pt>
                <c:pt idx="311" c:formatCode="0.00E+00">
                  <c:v>5.26</c:v>
                </c:pt>
                <c:pt idx="312" c:formatCode="0.00E+00">
                  <c:v>5.24</c:v>
                </c:pt>
                <c:pt idx="313" c:formatCode="0.00E+00">
                  <c:v>5.23</c:v>
                </c:pt>
                <c:pt idx="314" c:formatCode="0.00E+00">
                  <c:v>5.21</c:v>
                </c:pt>
                <c:pt idx="315" c:formatCode="0.00E+00">
                  <c:v>5.2</c:v>
                </c:pt>
                <c:pt idx="316" c:formatCode="0.00E+00">
                  <c:v>5.18</c:v>
                </c:pt>
                <c:pt idx="317" c:formatCode="0.00E+00">
                  <c:v>5.17</c:v>
                </c:pt>
                <c:pt idx="318" c:formatCode="0.00E+00">
                  <c:v>5.15</c:v>
                </c:pt>
                <c:pt idx="319" c:formatCode="0.00E+00">
                  <c:v>5.14</c:v>
                </c:pt>
                <c:pt idx="320" c:formatCode="0.00E+00">
                  <c:v>5.12</c:v>
                </c:pt>
                <c:pt idx="321" c:formatCode="0.00E+00">
                  <c:v>5.11</c:v>
                </c:pt>
                <c:pt idx="322" c:formatCode="0.00E+00">
                  <c:v>5.09</c:v>
                </c:pt>
                <c:pt idx="323" c:formatCode="0.00E+00">
                  <c:v>5.08</c:v>
                </c:pt>
                <c:pt idx="324" c:formatCode="0.00E+00">
                  <c:v>5.06</c:v>
                </c:pt>
                <c:pt idx="325" c:formatCode="0.00E+00">
                  <c:v>5.05</c:v>
                </c:pt>
                <c:pt idx="326" c:formatCode="0.00E+00">
                  <c:v>5.03</c:v>
                </c:pt>
                <c:pt idx="327" c:formatCode="0.00E+00">
                  <c:v>5.02</c:v>
                </c:pt>
                <c:pt idx="328" c:formatCode="0.00E+00">
                  <c:v>5</c:v>
                </c:pt>
                <c:pt idx="329" c:formatCode="0.00E+00">
                  <c:v>4.99</c:v>
                </c:pt>
                <c:pt idx="330" c:formatCode="0.00E+00">
                  <c:v>4.97</c:v>
                </c:pt>
                <c:pt idx="331" c:formatCode="0.00E+00">
                  <c:v>4.96</c:v>
                </c:pt>
                <c:pt idx="332" c:formatCode="0.00E+00">
                  <c:v>4.94</c:v>
                </c:pt>
                <c:pt idx="333" c:formatCode="0.00E+00">
                  <c:v>4.93</c:v>
                </c:pt>
                <c:pt idx="334" c:formatCode="0.00E+00">
                  <c:v>4.92</c:v>
                </c:pt>
                <c:pt idx="335" c:formatCode="0.00E+00">
                  <c:v>4.9</c:v>
                </c:pt>
                <c:pt idx="336" c:formatCode="0.00E+00">
                  <c:v>4.89</c:v>
                </c:pt>
                <c:pt idx="337" c:formatCode="0.00E+00">
                  <c:v>4.87</c:v>
                </c:pt>
                <c:pt idx="338" c:formatCode="0.00E+00">
                  <c:v>4.86</c:v>
                </c:pt>
                <c:pt idx="339" c:formatCode="0.00E+00">
                  <c:v>4.84</c:v>
                </c:pt>
                <c:pt idx="340" c:formatCode="0.00E+00">
                  <c:v>4.83</c:v>
                </c:pt>
                <c:pt idx="341" c:formatCode="0.00E+00">
                  <c:v>4.82</c:v>
                </c:pt>
                <c:pt idx="342" c:formatCode="0.00E+00">
                  <c:v>4.8</c:v>
                </c:pt>
                <c:pt idx="343" c:formatCode="0.00E+00">
                  <c:v>4.79</c:v>
                </c:pt>
                <c:pt idx="344" c:formatCode="0.00E+00">
                  <c:v>4.77</c:v>
                </c:pt>
                <c:pt idx="345" c:formatCode="0.00E+00">
                  <c:v>4.76</c:v>
                </c:pt>
                <c:pt idx="346" c:formatCode="0.00E+00">
                  <c:v>4.75</c:v>
                </c:pt>
                <c:pt idx="347" c:formatCode="0.00E+00">
                  <c:v>4.73</c:v>
                </c:pt>
                <c:pt idx="348" c:formatCode="0.00E+00">
                  <c:v>4.72</c:v>
                </c:pt>
                <c:pt idx="349" c:formatCode="0.00E+00">
                  <c:v>4.7</c:v>
                </c:pt>
                <c:pt idx="350" c:formatCode="0.00E+00">
                  <c:v>4.69</c:v>
                </c:pt>
                <c:pt idx="351" c:formatCode="0.00E+00">
                  <c:v>4.68</c:v>
                </c:pt>
                <c:pt idx="352" c:formatCode="0.00E+00">
                  <c:v>4.66</c:v>
                </c:pt>
                <c:pt idx="353" c:formatCode="0.00E+00">
                  <c:v>4.65</c:v>
                </c:pt>
                <c:pt idx="354" c:formatCode="0.00E+00">
                  <c:v>4.64</c:v>
                </c:pt>
                <c:pt idx="355" c:formatCode="0.00E+00">
                  <c:v>4.62</c:v>
                </c:pt>
                <c:pt idx="356" c:formatCode="0.00E+00">
                  <c:v>4.61</c:v>
                </c:pt>
                <c:pt idx="357" c:formatCode="0.00E+00">
                  <c:v>4.6</c:v>
                </c:pt>
                <c:pt idx="358" c:formatCode="0.00E+00">
                  <c:v>4.58</c:v>
                </c:pt>
                <c:pt idx="359" c:formatCode="0.00E+00">
                  <c:v>4.57</c:v>
                </c:pt>
                <c:pt idx="360" c:formatCode="0.00E+00">
                  <c:v>4.56</c:v>
                </c:pt>
                <c:pt idx="361" c:formatCode="0.00E+00">
                  <c:v>4.54</c:v>
                </c:pt>
                <c:pt idx="362" c:formatCode="0.00E+00">
                  <c:v>4.53</c:v>
                </c:pt>
                <c:pt idx="363" c:formatCode="0.00E+00">
                  <c:v>4.52</c:v>
                </c:pt>
                <c:pt idx="364" c:formatCode="0.00E+00">
                  <c:v>4.5</c:v>
                </c:pt>
                <c:pt idx="365" c:formatCode="0.00E+00">
                  <c:v>4.49</c:v>
                </c:pt>
                <c:pt idx="366" c:formatCode="0.00E+00">
                  <c:v>4.48</c:v>
                </c:pt>
                <c:pt idx="367" c:formatCode="0.00E+00">
                  <c:v>4.47</c:v>
                </c:pt>
                <c:pt idx="368" c:formatCode="0.00E+00">
                  <c:v>4.45</c:v>
                </c:pt>
                <c:pt idx="369" c:formatCode="0.00E+00">
                  <c:v>4.44</c:v>
                </c:pt>
                <c:pt idx="370" c:formatCode="0.00E+00">
                  <c:v>4.43</c:v>
                </c:pt>
                <c:pt idx="371" c:formatCode="0.00E+00">
                  <c:v>4.42</c:v>
                </c:pt>
                <c:pt idx="372" c:formatCode="0.00E+00">
                  <c:v>4.4</c:v>
                </c:pt>
                <c:pt idx="373" c:formatCode="0.00E+00">
                  <c:v>4.39</c:v>
                </c:pt>
                <c:pt idx="374" c:formatCode="0.00E+00">
                  <c:v>4.38</c:v>
                </c:pt>
                <c:pt idx="375" c:formatCode="0.00E+00">
                  <c:v>4.36</c:v>
                </c:pt>
                <c:pt idx="376" c:formatCode="0.00E+00">
                  <c:v>4.35</c:v>
                </c:pt>
                <c:pt idx="377" c:formatCode="0.00E+00">
                  <c:v>4.34</c:v>
                </c:pt>
                <c:pt idx="378" c:formatCode="0.00E+00">
                  <c:v>4.33</c:v>
                </c:pt>
                <c:pt idx="379" c:formatCode="0.00E+00">
                  <c:v>4.32</c:v>
                </c:pt>
                <c:pt idx="380" c:formatCode="0.00E+00">
                  <c:v>4.3</c:v>
                </c:pt>
                <c:pt idx="381" c:formatCode="0.00E+00">
                  <c:v>4.29</c:v>
                </c:pt>
                <c:pt idx="382" c:formatCode="0.00E+00">
                  <c:v>4.28</c:v>
                </c:pt>
                <c:pt idx="383" c:formatCode="0.00E+00">
                  <c:v>4.27</c:v>
                </c:pt>
                <c:pt idx="384" c:formatCode="0.00E+00">
                  <c:v>4.25</c:v>
                </c:pt>
                <c:pt idx="385" c:formatCode="0.00E+00">
                  <c:v>4.24</c:v>
                </c:pt>
                <c:pt idx="386" c:formatCode="0.00E+00">
                  <c:v>4.23</c:v>
                </c:pt>
                <c:pt idx="387" c:formatCode="0.00E+00">
                  <c:v>4.22</c:v>
                </c:pt>
                <c:pt idx="388" c:formatCode="0.00E+00">
                  <c:v>4.21</c:v>
                </c:pt>
                <c:pt idx="389" c:formatCode="0.00E+00">
                  <c:v>4.2</c:v>
                </c:pt>
                <c:pt idx="390" c:formatCode="0.00E+00">
                  <c:v>4.18</c:v>
                </c:pt>
                <c:pt idx="391" c:formatCode="0.00E+00">
                  <c:v>4.17</c:v>
                </c:pt>
                <c:pt idx="392" c:formatCode="0.00E+00">
                  <c:v>4.16</c:v>
                </c:pt>
                <c:pt idx="393" c:formatCode="0.00E+00">
                  <c:v>4.15</c:v>
                </c:pt>
                <c:pt idx="394" c:formatCode="0.00E+00">
                  <c:v>4.14</c:v>
                </c:pt>
                <c:pt idx="395" c:formatCode="0.00E+00">
                  <c:v>4.13</c:v>
                </c:pt>
                <c:pt idx="396" c:formatCode="0.00E+00">
                  <c:v>4.11</c:v>
                </c:pt>
                <c:pt idx="397" c:formatCode="0.00E+00">
                  <c:v>4.1</c:v>
                </c:pt>
                <c:pt idx="398" c:formatCode="0.00E+00">
                  <c:v>4.09</c:v>
                </c:pt>
                <c:pt idx="399" c:formatCode="0.00E+00">
                  <c:v>4.08</c:v>
                </c:pt>
                <c:pt idx="400" c:formatCode="0.00E+00">
                  <c:v>4.07</c:v>
                </c:pt>
                <c:pt idx="401" c:formatCode="0.00E+00">
                  <c:v>4.06</c:v>
                </c:pt>
                <c:pt idx="402" c:formatCode="0.00E+00">
                  <c:v>4.05</c:v>
                </c:pt>
                <c:pt idx="403" c:formatCode="0.00E+00">
                  <c:v>4.04</c:v>
                </c:pt>
                <c:pt idx="404" c:formatCode="0.00E+00">
                  <c:v>4.02</c:v>
                </c:pt>
                <c:pt idx="405" c:formatCode="0.00E+00">
                  <c:v>4.01</c:v>
                </c:pt>
                <c:pt idx="406" c:formatCode="0.00E+00">
                  <c:v>4</c:v>
                </c:pt>
                <c:pt idx="407" c:formatCode="0.00E+00">
                  <c:v>3.99</c:v>
                </c:pt>
                <c:pt idx="408" c:formatCode="0.00E+00">
                  <c:v>3.98</c:v>
                </c:pt>
                <c:pt idx="409" c:formatCode="0.00E+00">
                  <c:v>3.97</c:v>
                </c:pt>
                <c:pt idx="410" c:formatCode="0.00E+00">
                  <c:v>3.96</c:v>
                </c:pt>
                <c:pt idx="411" c:formatCode="0.00E+00">
                  <c:v>3.95</c:v>
                </c:pt>
                <c:pt idx="412" c:formatCode="0.00E+00">
                  <c:v>3.94</c:v>
                </c:pt>
                <c:pt idx="413" c:formatCode="0.00E+00">
                  <c:v>3.93</c:v>
                </c:pt>
                <c:pt idx="414" c:formatCode="0.00E+00">
                  <c:v>3.92</c:v>
                </c:pt>
                <c:pt idx="415" c:formatCode="0.00E+00">
                  <c:v>3.9</c:v>
                </c:pt>
                <c:pt idx="416" c:formatCode="0.00E+00">
                  <c:v>3.89</c:v>
                </c:pt>
                <c:pt idx="417" c:formatCode="0.00E+00">
                  <c:v>3.88</c:v>
                </c:pt>
                <c:pt idx="418" c:formatCode="0.00E+00">
                  <c:v>3.87</c:v>
                </c:pt>
                <c:pt idx="419" c:formatCode="0.00E+00">
                  <c:v>3.86</c:v>
                </c:pt>
                <c:pt idx="420" c:formatCode="0.00E+00">
                  <c:v>3.85</c:v>
                </c:pt>
                <c:pt idx="421" c:formatCode="0.00E+00">
                  <c:v>3.84</c:v>
                </c:pt>
                <c:pt idx="422" c:formatCode="0.00E+00">
                  <c:v>3.83</c:v>
                </c:pt>
                <c:pt idx="423" c:formatCode="0.00E+00">
                  <c:v>3.82</c:v>
                </c:pt>
                <c:pt idx="424" c:formatCode="0.00E+00">
                  <c:v>3.81</c:v>
                </c:pt>
                <c:pt idx="425" c:formatCode="0.00E+00">
                  <c:v>3.8</c:v>
                </c:pt>
                <c:pt idx="426" c:formatCode="0.00E+00">
                  <c:v>3.79</c:v>
                </c:pt>
                <c:pt idx="427" c:formatCode="0.00E+00">
                  <c:v>3.78</c:v>
                </c:pt>
                <c:pt idx="428" c:formatCode="0.00E+00">
                  <c:v>3.77</c:v>
                </c:pt>
                <c:pt idx="429" c:formatCode="0.00E+00">
                  <c:v>3.76</c:v>
                </c:pt>
                <c:pt idx="430" c:formatCode="0.00E+00">
                  <c:v>3.75</c:v>
                </c:pt>
                <c:pt idx="431" c:formatCode="0.00E+00">
                  <c:v>3.74</c:v>
                </c:pt>
                <c:pt idx="432" c:formatCode="0.00E+00">
                  <c:v>3.73</c:v>
                </c:pt>
                <c:pt idx="433" c:formatCode="0.00E+00">
                  <c:v>3.72</c:v>
                </c:pt>
                <c:pt idx="434" c:formatCode="0.00E+00">
                  <c:v>3.71</c:v>
                </c:pt>
                <c:pt idx="435" c:formatCode="0.00E+00">
                  <c:v>3.7</c:v>
                </c:pt>
                <c:pt idx="436" c:formatCode="0.00E+00">
                  <c:v>3.69</c:v>
                </c:pt>
                <c:pt idx="437" c:formatCode="0.00E+00">
                  <c:v>3.68</c:v>
                </c:pt>
                <c:pt idx="438" c:formatCode="0.00E+00">
                  <c:v>3.67</c:v>
                </c:pt>
                <c:pt idx="439" c:formatCode="0.00E+00">
                  <c:v>3.66</c:v>
                </c:pt>
                <c:pt idx="440" c:formatCode="0.00E+00">
                  <c:v>3.65</c:v>
                </c:pt>
                <c:pt idx="441" c:formatCode="0.00E+00">
                  <c:v>3.64</c:v>
                </c:pt>
                <c:pt idx="442" c:formatCode="0.00E+00">
                  <c:v>3.63</c:v>
                </c:pt>
                <c:pt idx="443" c:formatCode="0.00E+00">
                  <c:v>3.62</c:v>
                </c:pt>
                <c:pt idx="444" c:formatCode="0.00E+00">
                  <c:v>3.61</c:v>
                </c:pt>
                <c:pt idx="445" c:formatCode="0.00E+00">
                  <c:v>3.61</c:v>
                </c:pt>
                <c:pt idx="446" c:formatCode="0.00E+00">
                  <c:v>3.6</c:v>
                </c:pt>
                <c:pt idx="447" c:formatCode="0.00E+00">
                  <c:v>3.59</c:v>
                </c:pt>
                <c:pt idx="448" c:formatCode="0.00E+00">
                  <c:v>3.58</c:v>
                </c:pt>
                <c:pt idx="449" c:formatCode="0.00E+00">
                  <c:v>3.57</c:v>
                </c:pt>
                <c:pt idx="450" c:formatCode="0.00E+00">
                  <c:v>3.56</c:v>
                </c:pt>
                <c:pt idx="451" c:formatCode="0.00E+00">
                  <c:v>3.55</c:v>
                </c:pt>
                <c:pt idx="452" c:formatCode="0.00E+00">
                  <c:v>3.54</c:v>
                </c:pt>
                <c:pt idx="453" c:formatCode="0.00E+00">
                  <c:v>3.53</c:v>
                </c:pt>
                <c:pt idx="454" c:formatCode="0.00E+00">
                  <c:v>3.52</c:v>
                </c:pt>
                <c:pt idx="455" c:formatCode="0.00E+00">
                  <c:v>3.51</c:v>
                </c:pt>
                <c:pt idx="456" c:formatCode="0.00E+00">
                  <c:v>3.5</c:v>
                </c:pt>
                <c:pt idx="457" c:formatCode="0.00E+00">
                  <c:v>3.5</c:v>
                </c:pt>
                <c:pt idx="458" c:formatCode="0.00E+00">
                  <c:v>3.49</c:v>
                </c:pt>
                <c:pt idx="459" c:formatCode="0.00E+00">
                  <c:v>3.48</c:v>
                </c:pt>
                <c:pt idx="460" c:formatCode="0.00E+00">
                  <c:v>3.47</c:v>
                </c:pt>
                <c:pt idx="461" c:formatCode="0.00E+00">
                  <c:v>3.46</c:v>
                </c:pt>
                <c:pt idx="462" c:formatCode="0.00E+00">
                  <c:v>3.45</c:v>
                </c:pt>
                <c:pt idx="463" c:formatCode="0.00E+00">
                  <c:v>3.44</c:v>
                </c:pt>
                <c:pt idx="464" c:formatCode="0.00E+00">
                  <c:v>3.43</c:v>
                </c:pt>
                <c:pt idx="465" c:formatCode="0.00E+00">
                  <c:v>3.42</c:v>
                </c:pt>
                <c:pt idx="466" c:formatCode="0.00E+00">
                  <c:v>3.42</c:v>
                </c:pt>
                <c:pt idx="467" c:formatCode="0.00E+00">
                  <c:v>3.41</c:v>
                </c:pt>
                <c:pt idx="468" c:formatCode="0.00E+00">
                  <c:v>3.4</c:v>
                </c:pt>
                <c:pt idx="469" c:formatCode="0.00E+00">
                  <c:v>3.39</c:v>
                </c:pt>
                <c:pt idx="470" c:formatCode="0.00E+00">
                  <c:v>3.38</c:v>
                </c:pt>
                <c:pt idx="471" c:formatCode="0.00E+00">
                  <c:v>3.37</c:v>
                </c:pt>
                <c:pt idx="472" c:formatCode="0.00E+00">
                  <c:v>3.36</c:v>
                </c:pt>
                <c:pt idx="473" c:formatCode="0.00E+00">
                  <c:v>3.36</c:v>
                </c:pt>
                <c:pt idx="474" c:formatCode="0.00E+00">
                  <c:v>3.35</c:v>
                </c:pt>
                <c:pt idx="475" c:formatCode="0.00E+00">
                  <c:v>3.34</c:v>
                </c:pt>
                <c:pt idx="476" c:formatCode="0.00E+00">
                  <c:v>3.33</c:v>
                </c:pt>
                <c:pt idx="477" c:formatCode="0.00E+00">
                  <c:v>3.32</c:v>
                </c:pt>
                <c:pt idx="478" c:formatCode="0.00E+00">
                  <c:v>3.31</c:v>
                </c:pt>
                <c:pt idx="479" c:formatCode="0.00E+00">
                  <c:v>3.31</c:v>
                </c:pt>
                <c:pt idx="480" c:formatCode="0.00E+00">
                  <c:v>3.3</c:v>
                </c:pt>
                <c:pt idx="481" c:formatCode="0.00E+00">
                  <c:v>3.29</c:v>
                </c:pt>
                <c:pt idx="482" c:formatCode="0.00E+00">
                  <c:v>3.28</c:v>
                </c:pt>
                <c:pt idx="483" c:formatCode="0.00E+00">
                  <c:v>3.27</c:v>
                </c:pt>
                <c:pt idx="484" c:formatCode="0.00E+00">
                  <c:v>3.27</c:v>
                </c:pt>
                <c:pt idx="485" c:formatCode="0.00E+00">
                  <c:v>3.26</c:v>
                </c:pt>
                <c:pt idx="486" c:formatCode="0.00E+00">
                  <c:v>3.25</c:v>
                </c:pt>
                <c:pt idx="487" c:formatCode="0.00E+00">
                  <c:v>3.24</c:v>
                </c:pt>
                <c:pt idx="488" c:formatCode="0.00E+00">
                  <c:v>3.23</c:v>
                </c:pt>
                <c:pt idx="489" c:formatCode="0.00E+00">
                  <c:v>3.23</c:v>
                </c:pt>
                <c:pt idx="490" c:formatCode="0.00E+00">
                  <c:v>3.22</c:v>
                </c:pt>
                <c:pt idx="491" c:formatCode="0.00E+00">
                  <c:v>3.21</c:v>
                </c:pt>
                <c:pt idx="492" c:formatCode="0.00E+00">
                  <c:v>3.2</c:v>
                </c:pt>
                <c:pt idx="493" c:formatCode="0.00E+00">
                  <c:v>3.19</c:v>
                </c:pt>
                <c:pt idx="494" c:formatCode="0.00E+00">
                  <c:v>3.19</c:v>
                </c:pt>
                <c:pt idx="495" c:formatCode="0.00E+00">
                  <c:v>3.18</c:v>
                </c:pt>
                <c:pt idx="496" c:formatCode="0.00E+00">
                  <c:v>3.17</c:v>
                </c:pt>
                <c:pt idx="497" c:formatCode="0.00E+00">
                  <c:v>3.16</c:v>
                </c:pt>
                <c:pt idx="498" c:formatCode="0.00E+00">
                  <c:v>3.16</c:v>
                </c:pt>
                <c:pt idx="499" c:formatCode="0.00E+00">
                  <c:v>3.15</c:v>
                </c:pt>
                <c:pt idx="500" c:formatCode="0.00E+00">
                  <c:v>3.14</c:v>
                </c:pt>
                <c:pt idx="501" c:formatCode="0.00E+00">
                  <c:v>3.13</c:v>
                </c:pt>
                <c:pt idx="502" c:formatCode="0.00E+00">
                  <c:v>3.13</c:v>
                </c:pt>
                <c:pt idx="503" c:formatCode="0.00E+00">
                  <c:v>3.12</c:v>
                </c:pt>
                <c:pt idx="504" c:formatCode="0.00E+00">
                  <c:v>3.11</c:v>
                </c:pt>
                <c:pt idx="505" c:formatCode="0.00E+00">
                  <c:v>3.1</c:v>
                </c:pt>
                <c:pt idx="506" c:formatCode="0.00E+00">
                  <c:v>3.1</c:v>
                </c:pt>
                <c:pt idx="507" c:formatCode="0.00E+00">
                  <c:v>3.09</c:v>
                </c:pt>
                <c:pt idx="508" c:formatCode="0.00E+00">
                  <c:v>3.08</c:v>
                </c:pt>
                <c:pt idx="509" c:formatCode="0.00E+00">
                  <c:v>3.07</c:v>
                </c:pt>
                <c:pt idx="510" c:formatCode="0.00E+00">
                  <c:v>3.07</c:v>
                </c:pt>
                <c:pt idx="511" c:formatCode="0.00E+00">
                  <c:v>3.06</c:v>
                </c:pt>
                <c:pt idx="512" c:formatCode="0.00E+00">
                  <c:v>3.05</c:v>
                </c:pt>
                <c:pt idx="513" c:formatCode="0.00E+00">
                  <c:v>3.04</c:v>
                </c:pt>
                <c:pt idx="514" c:formatCode="0.00E+00">
                  <c:v>3.04</c:v>
                </c:pt>
                <c:pt idx="515" c:formatCode="0.00E+00">
                  <c:v>3.03</c:v>
                </c:pt>
                <c:pt idx="516" c:formatCode="0.00E+00">
                  <c:v>3.02</c:v>
                </c:pt>
                <c:pt idx="517" c:formatCode="0.00E+00">
                  <c:v>3.02</c:v>
                </c:pt>
                <c:pt idx="518" c:formatCode="0.00E+00">
                  <c:v>3.01</c:v>
                </c:pt>
                <c:pt idx="519" c:formatCode="0.00E+00">
                  <c:v>3</c:v>
                </c:pt>
                <c:pt idx="520" c:formatCode="0.00E+00">
                  <c:v>2.99</c:v>
                </c:pt>
                <c:pt idx="521" c:formatCode="0.00E+00">
                  <c:v>2.99</c:v>
                </c:pt>
                <c:pt idx="522" c:formatCode="0.00E+00">
                  <c:v>2.98</c:v>
                </c:pt>
                <c:pt idx="523" c:formatCode="0.00E+00">
                  <c:v>2.97</c:v>
                </c:pt>
                <c:pt idx="524" c:formatCode="0.00E+00">
                  <c:v>2.97</c:v>
                </c:pt>
                <c:pt idx="525" c:formatCode="0.00E+00">
                  <c:v>2.96</c:v>
                </c:pt>
                <c:pt idx="526" c:formatCode="0.00E+00">
                  <c:v>2.95</c:v>
                </c:pt>
                <c:pt idx="527" c:formatCode="0.00E+00">
                  <c:v>2.95</c:v>
                </c:pt>
                <c:pt idx="528" c:formatCode="0.00E+00">
                  <c:v>2.94</c:v>
                </c:pt>
                <c:pt idx="529" c:formatCode="0.00E+00">
                  <c:v>2.93</c:v>
                </c:pt>
                <c:pt idx="530" c:formatCode="0.00E+00">
                  <c:v>2.92</c:v>
                </c:pt>
                <c:pt idx="531" c:formatCode="0.00E+00">
                  <c:v>2.92</c:v>
                </c:pt>
                <c:pt idx="532" c:formatCode="0.00E+00">
                  <c:v>2.91</c:v>
                </c:pt>
                <c:pt idx="533" c:formatCode="0.00E+00">
                  <c:v>2.9</c:v>
                </c:pt>
                <c:pt idx="534" c:formatCode="0.00E+00">
                  <c:v>2.9</c:v>
                </c:pt>
                <c:pt idx="535" c:formatCode="0.00E+00">
                  <c:v>2.89</c:v>
                </c:pt>
                <c:pt idx="536" c:formatCode="0.00E+00">
                  <c:v>2.88</c:v>
                </c:pt>
                <c:pt idx="537" c:formatCode="0.00E+00">
                  <c:v>2.88</c:v>
                </c:pt>
                <c:pt idx="538" c:formatCode="0.00E+00">
                  <c:v>2.87</c:v>
                </c:pt>
                <c:pt idx="539" c:formatCode="0.00E+00">
                  <c:v>2.86</c:v>
                </c:pt>
                <c:pt idx="540" c:formatCode="0.00E+00">
                  <c:v>2.86</c:v>
                </c:pt>
                <c:pt idx="541" c:formatCode="0.00E+00">
                  <c:v>2.85</c:v>
                </c:pt>
                <c:pt idx="542" c:formatCode="0.00E+00">
                  <c:v>2.85</c:v>
                </c:pt>
                <c:pt idx="543" c:formatCode="0.00E+00">
                  <c:v>2.84</c:v>
                </c:pt>
                <c:pt idx="544" c:formatCode="0.00E+00">
                  <c:v>2.83</c:v>
                </c:pt>
                <c:pt idx="545" c:formatCode="0.00E+00">
                  <c:v>2.83</c:v>
                </c:pt>
                <c:pt idx="546" c:formatCode="0.00E+00">
                  <c:v>2.82</c:v>
                </c:pt>
                <c:pt idx="547" c:formatCode="0.00E+00">
                  <c:v>2.81</c:v>
                </c:pt>
                <c:pt idx="548" c:formatCode="0.00E+00">
                  <c:v>2.81</c:v>
                </c:pt>
                <c:pt idx="549" c:formatCode="0.00E+00">
                  <c:v>2.8</c:v>
                </c:pt>
                <c:pt idx="550" c:formatCode="0.00E+00">
                  <c:v>2.79</c:v>
                </c:pt>
                <c:pt idx="551" c:formatCode="0.00E+00">
                  <c:v>2.79</c:v>
                </c:pt>
                <c:pt idx="552" c:formatCode="0.00E+00">
                  <c:v>2.78</c:v>
                </c:pt>
                <c:pt idx="553" c:formatCode="0.00E+00">
                  <c:v>2.78</c:v>
                </c:pt>
                <c:pt idx="554" c:formatCode="0.00E+00">
                  <c:v>2.77</c:v>
                </c:pt>
                <c:pt idx="555" c:formatCode="0.00E+00">
                  <c:v>2.76</c:v>
                </c:pt>
                <c:pt idx="556" c:formatCode="0.00E+00">
                  <c:v>2.76</c:v>
                </c:pt>
                <c:pt idx="557" c:formatCode="0.00E+00">
                  <c:v>2.75</c:v>
                </c:pt>
                <c:pt idx="558" c:formatCode="0.00E+00">
                  <c:v>2.74</c:v>
                </c:pt>
                <c:pt idx="559" c:formatCode="0.00E+00">
                  <c:v>2.74</c:v>
                </c:pt>
                <c:pt idx="560" c:formatCode="0.00E+00">
                  <c:v>2.73</c:v>
                </c:pt>
                <c:pt idx="561" c:formatCode="0.00E+00">
                  <c:v>2.73</c:v>
                </c:pt>
                <c:pt idx="562" c:formatCode="0.00E+00">
                  <c:v>2.72</c:v>
                </c:pt>
                <c:pt idx="563" c:formatCode="0.00E+00">
                  <c:v>2.71</c:v>
                </c:pt>
                <c:pt idx="564" c:formatCode="0.00E+00">
                  <c:v>2.71</c:v>
                </c:pt>
                <c:pt idx="565" c:formatCode="0.00E+00">
                  <c:v>2.7</c:v>
                </c:pt>
                <c:pt idx="566" c:formatCode="0.00E+00">
                  <c:v>2.7</c:v>
                </c:pt>
                <c:pt idx="567" c:formatCode="0.00E+00">
                  <c:v>2.69</c:v>
                </c:pt>
                <c:pt idx="568" c:formatCode="0.00E+00">
                  <c:v>2.68</c:v>
                </c:pt>
                <c:pt idx="569" c:formatCode="0.00E+00">
                  <c:v>2.68</c:v>
                </c:pt>
                <c:pt idx="570" c:formatCode="0.00E+00">
                  <c:v>2.67</c:v>
                </c:pt>
                <c:pt idx="571" c:formatCode="0.00E+00">
                  <c:v>2.67</c:v>
                </c:pt>
                <c:pt idx="572" c:formatCode="0.00E+00">
                  <c:v>2.66</c:v>
                </c:pt>
                <c:pt idx="573" c:formatCode="0.00E+00">
                  <c:v>2.65</c:v>
                </c:pt>
                <c:pt idx="574" c:formatCode="0.00E+00">
                  <c:v>2.65</c:v>
                </c:pt>
                <c:pt idx="575" c:formatCode="0.00E+00">
                  <c:v>2.64</c:v>
                </c:pt>
                <c:pt idx="576" c:formatCode="0.00E+00">
                  <c:v>2.64</c:v>
                </c:pt>
                <c:pt idx="577" c:formatCode="0.00E+00">
                  <c:v>2.63</c:v>
                </c:pt>
                <c:pt idx="578" c:formatCode="0.00E+00">
                  <c:v>2.63</c:v>
                </c:pt>
                <c:pt idx="579" c:formatCode="0.00E+00">
                  <c:v>2.62</c:v>
                </c:pt>
                <c:pt idx="580" c:formatCode="0.00E+00">
                  <c:v>2.61</c:v>
                </c:pt>
                <c:pt idx="581" c:formatCode="0.00E+00">
                  <c:v>2.61</c:v>
                </c:pt>
                <c:pt idx="582" c:formatCode="0.00E+00">
                  <c:v>2.6</c:v>
                </c:pt>
                <c:pt idx="583" c:formatCode="0.00E+00">
                  <c:v>2.6</c:v>
                </c:pt>
                <c:pt idx="584" c:formatCode="0.00E+00">
                  <c:v>2.59</c:v>
                </c:pt>
                <c:pt idx="585" c:formatCode="0.00E+00">
                  <c:v>2.59</c:v>
                </c:pt>
                <c:pt idx="586" c:formatCode="0.00E+00">
                  <c:v>2.58</c:v>
                </c:pt>
                <c:pt idx="587" c:formatCode="0.00E+00">
                  <c:v>2.57</c:v>
                </c:pt>
                <c:pt idx="588" c:formatCode="0.00E+00">
                  <c:v>2.57</c:v>
                </c:pt>
                <c:pt idx="589" c:formatCode="0.00E+00">
                  <c:v>2.56</c:v>
                </c:pt>
                <c:pt idx="590" c:formatCode="0.00E+00">
                  <c:v>2.56</c:v>
                </c:pt>
                <c:pt idx="591" c:formatCode="0.00E+00">
                  <c:v>2.55</c:v>
                </c:pt>
                <c:pt idx="592" c:formatCode="0.00E+00">
                  <c:v>2.55</c:v>
                </c:pt>
                <c:pt idx="593" c:formatCode="0.00E+00">
                  <c:v>2.54</c:v>
                </c:pt>
                <c:pt idx="594" c:formatCode="0.00E+00">
                  <c:v>2.54</c:v>
                </c:pt>
                <c:pt idx="595" c:formatCode="0.00E+00">
                  <c:v>2.53</c:v>
                </c:pt>
                <c:pt idx="596" c:formatCode="0.00E+00">
                  <c:v>2.53</c:v>
                </c:pt>
                <c:pt idx="597" c:formatCode="0.00E+00">
                  <c:v>2.52</c:v>
                </c:pt>
                <c:pt idx="598" c:formatCode="0.00E+00">
                  <c:v>2.51</c:v>
                </c:pt>
                <c:pt idx="599" c:formatCode="0.00E+00">
                  <c:v>2.51</c:v>
                </c:pt>
                <c:pt idx="600" c:formatCode="0.00E+00">
                  <c:v>2.5</c:v>
                </c:pt>
                <c:pt idx="601" c:formatCode="0.00E+00">
                  <c:v>2.5</c:v>
                </c:pt>
                <c:pt idx="602" c:formatCode="0.00E+00">
                  <c:v>2.49</c:v>
                </c:pt>
                <c:pt idx="603" c:formatCode="0.00E+00">
                  <c:v>2.49</c:v>
                </c:pt>
                <c:pt idx="604" c:formatCode="0.00E+00">
                  <c:v>2.48</c:v>
                </c:pt>
                <c:pt idx="605" c:formatCode="0.00E+00">
                  <c:v>2.48</c:v>
                </c:pt>
                <c:pt idx="606" c:formatCode="0.00E+00">
                  <c:v>2.47</c:v>
                </c:pt>
                <c:pt idx="607" c:formatCode="0.00E+00">
                  <c:v>2.47</c:v>
                </c:pt>
                <c:pt idx="608" c:formatCode="0.00E+00">
                  <c:v>2.46</c:v>
                </c:pt>
                <c:pt idx="609" c:formatCode="0.00E+00">
                  <c:v>2.46</c:v>
                </c:pt>
                <c:pt idx="610" c:formatCode="0.00E+00">
                  <c:v>2.45</c:v>
                </c:pt>
                <c:pt idx="611" c:formatCode="0.00E+00">
                  <c:v>2.45</c:v>
                </c:pt>
                <c:pt idx="612" c:formatCode="0.00E+00">
                  <c:v>2.44</c:v>
                </c:pt>
                <c:pt idx="613" c:formatCode="0.00E+00">
                  <c:v>2.44</c:v>
                </c:pt>
                <c:pt idx="614" c:formatCode="0.00E+00">
                  <c:v>2.43</c:v>
                </c:pt>
                <c:pt idx="615" c:formatCode="0.00E+00">
                  <c:v>2.43</c:v>
                </c:pt>
                <c:pt idx="616" c:formatCode="0.00E+00">
                  <c:v>2.42</c:v>
                </c:pt>
                <c:pt idx="617" c:formatCode="0.00E+00">
                  <c:v>2.42</c:v>
                </c:pt>
                <c:pt idx="618" c:formatCode="0.00E+00">
                  <c:v>2.41</c:v>
                </c:pt>
                <c:pt idx="619" c:formatCode="0.00E+00">
                  <c:v>2.41</c:v>
                </c:pt>
                <c:pt idx="620" c:formatCode="0.00E+00">
                  <c:v>2.4</c:v>
                </c:pt>
                <c:pt idx="621" c:formatCode="0.00E+00">
                  <c:v>2.4</c:v>
                </c:pt>
                <c:pt idx="622" c:formatCode="0.00E+00">
                  <c:v>2.39</c:v>
                </c:pt>
                <c:pt idx="623" c:formatCode="0.00E+00">
                  <c:v>2.39</c:v>
                </c:pt>
                <c:pt idx="624" c:formatCode="0.00E+00">
                  <c:v>2.38</c:v>
                </c:pt>
                <c:pt idx="625" c:formatCode="0.00E+00">
                  <c:v>2.38</c:v>
                </c:pt>
                <c:pt idx="626" c:formatCode="0.00E+00">
                  <c:v>2.37</c:v>
                </c:pt>
                <c:pt idx="627" c:formatCode="0.00E+00">
                  <c:v>2.37</c:v>
                </c:pt>
                <c:pt idx="628" c:formatCode="0.00E+00">
                  <c:v>2.36</c:v>
                </c:pt>
                <c:pt idx="629" c:formatCode="0.00E+00">
                  <c:v>2.36</c:v>
                </c:pt>
                <c:pt idx="630" c:formatCode="0.00E+00">
                  <c:v>2.35</c:v>
                </c:pt>
                <c:pt idx="631" c:formatCode="0.00E+00">
                  <c:v>2.35</c:v>
                </c:pt>
                <c:pt idx="632" c:formatCode="0.00E+00">
                  <c:v>2.34</c:v>
                </c:pt>
                <c:pt idx="633" c:formatCode="0.00E+00">
                  <c:v>2.34</c:v>
                </c:pt>
                <c:pt idx="634" c:formatCode="0.00E+00">
                  <c:v>2.33</c:v>
                </c:pt>
                <c:pt idx="635" c:formatCode="0.00E+00">
                  <c:v>2.33</c:v>
                </c:pt>
                <c:pt idx="636" c:formatCode="0.00E+00">
                  <c:v>2.32</c:v>
                </c:pt>
                <c:pt idx="637" c:formatCode="0.00E+00">
                  <c:v>2.32</c:v>
                </c:pt>
                <c:pt idx="638" c:formatCode="0.00E+00">
                  <c:v>2.31</c:v>
                </c:pt>
                <c:pt idx="639" c:formatCode="0.00E+00">
                  <c:v>2.31</c:v>
                </c:pt>
                <c:pt idx="640" c:formatCode="0.00E+00">
                  <c:v>2.3</c:v>
                </c:pt>
                <c:pt idx="641" c:formatCode="0.00E+00">
                  <c:v>2.3</c:v>
                </c:pt>
                <c:pt idx="642" c:formatCode="0.00E+00">
                  <c:v>2.3</c:v>
                </c:pt>
                <c:pt idx="643" c:formatCode="0.00E+00">
                  <c:v>2.29</c:v>
                </c:pt>
                <c:pt idx="644" c:formatCode="0.00E+00">
                  <c:v>2.29</c:v>
                </c:pt>
                <c:pt idx="645" c:formatCode="0.00E+00">
                  <c:v>2.28</c:v>
                </c:pt>
                <c:pt idx="646" c:formatCode="0.00E+00">
                  <c:v>2.28</c:v>
                </c:pt>
                <c:pt idx="647" c:formatCode="0.00E+00">
                  <c:v>2.27</c:v>
                </c:pt>
                <c:pt idx="648" c:formatCode="0.00E+00">
                  <c:v>2.27</c:v>
                </c:pt>
                <c:pt idx="649" c:formatCode="0.00E+00">
                  <c:v>2.26</c:v>
                </c:pt>
                <c:pt idx="650" c:formatCode="0.00E+00">
                  <c:v>2.26</c:v>
                </c:pt>
                <c:pt idx="651" c:formatCode="0.00E+00">
                  <c:v>2.25</c:v>
                </c:pt>
                <c:pt idx="652" c:formatCode="0.00E+00">
                  <c:v>2.25</c:v>
                </c:pt>
                <c:pt idx="653" c:formatCode="0.00E+00">
                  <c:v>2.25</c:v>
                </c:pt>
                <c:pt idx="654" c:formatCode="0.00E+00">
                  <c:v>2.24</c:v>
                </c:pt>
                <c:pt idx="655" c:formatCode="0.00E+00">
                  <c:v>2.24</c:v>
                </c:pt>
                <c:pt idx="656" c:formatCode="0.00E+00">
                  <c:v>2.23</c:v>
                </c:pt>
                <c:pt idx="657" c:formatCode="0.00E+00">
                  <c:v>2.23</c:v>
                </c:pt>
                <c:pt idx="658" c:formatCode="0.00E+00">
                  <c:v>2.22</c:v>
                </c:pt>
                <c:pt idx="659" c:formatCode="0.00E+00">
                  <c:v>2.22</c:v>
                </c:pt>
                <c:pt idx="660" c:formatCode="0.00E+00">
                  <c:v>2.21</c:v>
                </c:pt>
                <c:pt idx="661" c:formatCode="0.00E+00">
                  <c:v>2.21</c:v>
                </c:pt>
                <c:pt idx="662" c:formatCode="0.00E+00">
                  <c:v>2.21</c:v>
                </c:pt>
                <c:pt idx="663" c:formatCode="0.00E+00">
                  <c:v>2.2</c:v>
                </c:pt>
                <c:pt idx="664" c:formatCode="0.00E+00">
                  <c:v>2.2</c:v>
                </c:pt>
                <c:pt idx="665" c:formatCode="0.00E+00">
                  <c:v>2.19</c:v>
                </c:pt>
                <c:pt idx="666" c:formatCode="0.00E+00">
                  <c:v>2.19</c:v>
                </c:pt>
                <c:pt idx="667" c:formatCode="0.00E+00">
                  <c:v>2.18</c:v>
                </c:pt>
                <c:pt idx="668" c:formatCode="0.00E+00">
                  <c:v>2.18</c:v>
                </c:pt>
                <c:pt idx="669" c:formatCode="0.00E+00">
                  <c:v>2.18</c:v>
                </c:pt>
                <c:pt idx="670" c:formatCode="0.00E+00">
                  <c:v>2.17</c:v>
                </c:pt>
                <c:pt idx="671" c:formatCode="0.00E+00">
                  <c:v>2.17</c:v>
                </c:pt>
                <c:pt idx="672" c:formatCode="0.00E+00">
                  <c:v>2.16</c:v>
                </c:pt>
                <c:pt idx="673" c:formatCode="0.00E+00">
                  <c:v>2.16</c:v>
                </c:pt>
                <c:pt idx="674" c:formatCode="0.00E+00">
                  <c:v>2.15</c:v>
                </c:pt>
                <c:pt idx="675" c:formatCode="0.00E+00">
                  <c:v>2.15</c:v>
                </c:pt>
                <c:pt idx="676" c:formatCode="0.00E+00">
                  <c:v>2.15</c:v>
                </c:pt>
                <c:pt idx="677" c:formatCode="0.00E+00">
                  <c:v>2.14</c:v>
                </c:pt>
                <c:pt idx="678" c:formatCode="0.00E+00">
                  <c:v>2.14</c:v>
                </c:pt>
                <c:pt idx="679" c:formatCode="0.00E+00">
                  <c:v>2.13</c:v>
                </c:pt>
                <c:pt idx="680" c:formatCode="0.00E+00">
                  <c:v>2.13</c:v>
                </c:pt>
                <c:pt idx="681" c:formatCode="0.00E+00">
                  <c:v>2.12</c:v>
                </c:pt>
                <c:pt idx="682" c:formatCode="0.00E+00">
                  <c:v>2.12</c:v>
                </c:pt>
                <c:pt idx="683" c:formatCode="0.00E+00">
                  <c:v>2.12</c:v>
                </c:pt>
                <c:pt idx="684" c:formatCode="0.00E+00">
                  <c:v>2.11</c:v>
                </c:pt>
                <c:pt idx="685" c:formatCode="0.00E+00">
                  <c:v>2.11</c:v>
                </c:pt>
                <c:pt idx="686" c:formatCode="0.00E+00">
                  <c:v>2.1</c:v>
                </c:pt>
                <c:pt idx="687" c:formatCode="0.00E+00">
                  <c:v>2.1</c:v>
                </c:pt>
                <c:pt idx="688" c:formatCode="0.00E+00">
                  <c:v>2.1</c:v>
                </c:pt>
                <c:pt idx="689" c:formatCode="0.00E+00">
                  <c:v>2.09</c:v>
                </c:pt>
                <c:pt idx="690" c:formatCode="0.00E+00">
                  <c:v>2.09</c:v>
                </c:pt>
                <c:pt idx="691" c:formatCode="0.00E+00">
                  <c:v>2.08</c:v>
                </c:pt>
                <c:pt idx="692" c:formatCode="0.00E+00">
                  <c:v>2.08</c:v>
                </c:pt>
                <c:pt idx="693" c:formatCode="0.00E+00">
                  <c:v>2.08</c:v>
                </c:pt>
                <c:pt idx="694" c:formatCode="0.00E+00">
                  <c:v>2.07</c:v>
                </c:pt>
                <c:pt idx="695" c:formatCode="0.00E+00">
                  <c:v>2.07</c:v>
                </c:pt>
                <c:pt idx="696" c:formatCode="0.00E+00">
                  <c:v>2.06</c:v>
                </c:pt>
                <c:pt idx="697" c:formatCode="0.00E+00">
                  <c:v>2.06</c:v>
                </c:pt>
                <c:pt idx="698" c:formatCode="0.00E+00">
                  <c:v>2.06</c:v>
                </c:pt>
                <c:pt idx="699" c:formatCode="0.00E+00">
                  <c:v>2.05</c:v>
                </c:pt>
                <c:pt idx="700" c:formatCode="0.00E+00">
                  <c:v>2.05</c:v>
                </c:pt>
                <c:pt idx="701" c:formatCode="0.00E+00">
                  <c:v>2.05</c:v>
                </c:pt>
                <c:pt idx="702" c:formatCode="0.00E+00">
                  <c:v>2.04</c:v>
                </c:pt>
                <c:pt idx="703" c:formatCode="0.00E+00">
                  <c:v>2.04</c:v>
                </c:pt>
                <c:pt idx="704" c:formatCode="0.00E+00">
                  <c:v>2.03</c:v>
                </c:pt>
                <c:pt idx="705" c:formatCode="0.00E+00">
                  <c:v>2.03</c:v>
                </c:pt>
                <c:pt idx="706" c:formatCode="0.00E+00">
                  <c:v>2.03</c:v>
                </c:pt>
                <c:pt idx="707" c:formatCode="0.00E+00">
                  <c:v>2.02</c:v>
                </c:pt>
                <c:pt idx="708" c:formatCode="0.00E+00">
                  <c:v>2.02</c:v>
                </c:pt>
                <c:pt idx="709" c:formatCode="0.00E+00">
                  <c:v>2.01</c:v>
                </c:pt>
                <c:pt idx="710" c:formatCode="0.00E+00">
                  <c:v>2.01</c:v>
                </c:pt>
                <c:pt idx="711" c:formatCode="0.00E+00">
                  <c:v>2.01</c:v>
                </c:pt>
                <c:pt idx="712" c:formatCode="0.00E+00">
                  <c:v>2</c:v>
                </c:pt>
                <c:pt idx="713" c:formatCode="0.00E+00">
                  <c:v>2</c:v>
                </c:pt>
                <c:pt idx="714" c:formatCode="0.00E+00">
                  <c:v>2</c:v>
                </c:pt>
                <c:pt idx="715" c:formatCode="0.00E+00">
                  <c:v>1.99</c:v>
                </c:pt>
                <c:pt idx="716" c:formatCode="0.00E+00">
                  <c:v>1.99</c:v>
                </c:pt>
                <c:pt idx="717" c:formatCode="0.00E+00">
                  <c:v>1.98</c:v>
                </c:pt>
                <c:pt idx="718" c:formatCode="0.00E+00">
                  <c:v>1.98</c:v>
                </c:pt>
                <c:pt idx="719" c:formatCode="0.00E+00">
                  <c:v>1.98</c:v>
                </c:pt>
                <c:pt idx="720" c:formatCode="0.00E+00">
                  <c:v>1.97</c:v>
                </c:pt>
                <c:pt idx="721" c:formatCode="0.00E+00">
                  <c:v>1.97</c:v>
                </c:pt>
                <c:pt idx="722" c:formatCode="0.00E+00">
                  <c:v>1.97</c:v>
                </c:pt>
                <c:pt idx="723" c:formatCode="0.00E+00">
                  <c:v>1.96</c:v>
                </c:pt>
                <c:pt idx="724" c:formatCode="0.00E+00">
                  <c:v>1.96</c:v>
                </c:pt>
                <c:pt idx="725" c:formatCode="0.00E+00">
                  <c:v>1.96</c:v>
                </c:pt>
                <c:pt idx="726" c:formatCode="0.00E+00">
                  <c:v>1.95</c:v>
                </c:pt>
                <c:pt idx="727" c:formatCode="0.00E+00">
                  <c:v>1.95</c:v>
                </c:pt>
                <c:pt idx="728" c:formatCode="0.00E+00">
                  <c:v>1.94</c:v>
                </c:pt>
                <c:pt idx="729" c:formatCode="0.00E+00">
                  <c:v>1.94</c:v>
                </c:pt>
                <c:pt idx="730" c:formatCode="0.00E+00">
                  <c:v>1.94</c:v>
                </c:pt>
                <c:pt idx="731" c:formatCode="0.00E+00">
                  <c:v>1.93</c:v>
                </c:pt>
                <c:pt idx="732" c:formatCode="0.00E+00">
                  <c:v>1.93</c:v>
                </c:pt>
                <c:pt idx="733" c:formatCode="0.00E+00">
                  <c:v>1.93</c:v>
                </c:pt>
                <c:pt idx="734" c:formatCode="0.00E+00">
                  <c:v>1.92</c:v>
                </c:pt>
                <c:pt idx="735" c:formatCode="0.00E+00">
                  <c:v>1.92</c:v>
                </c:pt>
                <c:pt idx="736" c:formatCode="0.00E+00">
                  <c:v>1.92</c:v>
                </c:pt>
                <c:pt idx="737" c:formatCode="0.00E+00">
                  <c:v>1.91</c:v>
                </c:pt>
                <c:pt idx="738" c:formatCode="0.00E+00">
                  <c:v>1.91</c:v>
                </c:pt>
                <c:pt idx="739" c:formatCode="0.00E+00">
                  <c:v>1.91</c:v>
                </c:pt>
                <c:pt idx="740" c:formatCode="0.00E+00">
                  <c:v>1.9</c:v>
                </c:pt>
                <c:pt idx="741" c:formatCode="0.00E+00">
                  <c:v>1.9</c:v>
                </c:pt>
                <c:pt idx="742" c:formatCode="0.00E+00">
                  <c:v>1.9</c:v>
                </c:pt>
                <c:pt idx="743" c:formatCode="0.00E+00">
                  <c:v>1.89</c:v>
                </c:pt>
                <c:pt idx="744" c:formatCode="0.00E+00">
                  <c:v>1.89</c:v>
                </c:pt>
                <c:pt idx="745" c:formatCode="0.00E+00">
                  <c:v>1.88</c:v>
                </c:pt>
                <c:pt idx="746" c:formatCode="0.00E+00">
                  <c:v>1.88</c:v>
                </c:pt>
                <c:pt idx="747" c:formatCode="0.00E+00">
                  <c:v>1.88</c:v>
                </c:pt>
                <c:pt idx="748" c:formatCode="0.00E+00">
                  <c:v>1.87</c:v>
                </c:pt>
                <c:pt idx="749" c:formatCode="0.00E+00">
                  <c:v>1.87</c:v>
                </c:pt>
                <c:pt idx="750" c:formatCode="0.00E+00">
                  <c:v>1.87</c:v>
                </c:pt>
                <c:pt idx="751" c:formatCode="0.00E+00">
                  <c:v>1.86</c:v>
                </c:pt>
                <c:pt idx="752" c:formatCode="0.00E+00">
                  <c:v>1.86</c:v>
                </c:pt>
                <c:pt idx="753" c:formatCode="0.00E+00">
                  <c:v>1.86</c:v>
                </c:pt>
                <c:pt idx="754" c:formatCode="0.00E+00">
                  <c:v>1.85</c:v>
                </c:pt>
                <c:pt idx="755" c:formatCode="0.00E+00">
                  <c:v>1.85</c:v>
                </c:pt>
                <c:pt idx="756" c:formatCode="0.00E+00">
                  <c:v>1.85</c:v>
                </c:pt>
                <c:pt idx="757" c:formatCode="0.00E+00">
                  <c:v>1.84</c:v>
                </c:pt>
                <c:pt idx="758" c:formatCode="0.00E+00">
                  <c:v>1.84</c:v>
                </c:pt>
                <c:pt idx="759" c:formatCode="0.00E+00">
                  <c:v>1.84</c:v>
                </c:pt>
                <c:pt idx="760" c:formatCode="0.00E+00">
                  <c:v>1.83</c:v>
                </c:pt>
                <c:pt idx="761" c:formatCode="0.00E+00">
                  <c:v>1.83</c:v>
                </c:pt>
                <c:pt idx="762" c:formatCode="0.00E+00">
                  <c:v>1.83</c:v>
                </c:pt>
                <c:pt idx="763" c:formatCode="0.00E+00">
                  <c:v>1.82</c:v>
                </c:pt>
                <c:pt idx="764" c:formatCode="0.00E+00">
                  <c:v>1.82</c:v>
                </c:pt>
                <c:pt idx="765" c:formatCode="0.00E+00">
                  <c:v>1.82</c:v>
                </c:pt>
                <c:pt idx="766" c:formatCode="0.00E+00">
                  <c:v>1.82</c:v>
                </c:pt>
                <c:pt idx="767" c:formatCode="0.00E+00">
                  <c:v>1.81</c:v>
                </c:pt>
                <c:pt idx="768" c:formatCode="0.00E+00">
                  <c:v>1.81</c:v>
                </c:pt>
                <c:pt idx="769" c:formatCode="0.00E+00">
                  <c:v>1.81</c:v>
                </c:pt>
                <c:pt idx="770" c:formatCode="0.00E+00">
                  <c:v>1.8</c:v>
                </c:pt>
                <c:pt idx="771" c:formatCode="0.00E+00">
                  <c:v>1.8</c:v>
                </c:pt>
                <c:pt idx="772" c:formatCode="0.00E+00">
                  <c:v>1.8</c:v>
                </c:pt>
                <c:pt idx="773" c:formatCode="0.00E+00">
                  <c:v>1.79</c:v>
                </c:pt>
                <c:pt idx="774" c:formatCode="0.00E+00">
                  <c:v>1.79</c:v>
                </c:pt>
                <c:pt idx="775" c:formatCode="0.00E+00">
                  <c:v>1.79</c:v>
                </c:pt>
                <c:pt idx="776" c:formatCode="0.00E+00">
                  <c:v>1.78</c:v>
                </c:pt>
                <c:pt idx="777" c:formatCode="0.00E+00">
                  <c:v>1.78</c:v>
                </c:pt>
                <c:pt idx="778" c:formatCode="0.00E+00">
                  <c:v>1.78</c:v>
                </c:pt>
                <c:pt idx="779" c:formatCode="0.00E+00">
                  <c:v>1.77</c:v>
                </c:pt>
                <c:pt idx="780" c:formatCode="0.00E+00">
                  <c:v>1.77</c:v>
                </c:pt>
                <c:pt idx="781" c:formatCode="0.00E+00">
                  <c:v>1.77</c:v>
                </c:pt>
                <c:pt idx="782" c:formatCode="0.00E+00">
                  <c:v>1.76</c:v>
                </c:pt>
                <c:pt idx="783" c:formatCode="0.00E+00">
                  <c:v>1.76</c:v>
                </c:pt>
                <c:pt idx="784" c:formatCode="0.00E+00">
                  <c:v>1.76</c:v>
                </c:pt>
                <c:pt idx="785" c:formatCode="0.00E+00">
                  <c:v>1.76</c:v>
                </c:pt>
                <c:pt idx="786" c:formatCode="0.00E+00">
                  <c:v>1.75</c:v>
                </c:pt>
                <c:pt idx="787" c:formatCode="0.00E+00">
                  <c:v>1.75</c:v>
                </c:pt>
                <c:pt idx="788" c:formatCode="0.00E+00">
                  <c:v>1.75</c:v>
                </c:pt>
                <c:pt idx="789" c:formatCode="0.00E+00">
                  <c:v>1.74</c:v>
                </c:pt>
                <c:pt idx="790" c:formatCode="0.00E+00">
                  <c:v>1.74</c:v>
                </c:pt>
                <c:pt idx="791" c:formatCode="0.00E+00">
                  <c:v>1.74</c:v>
                </c:pt>
                <c:pt idx="792" c:formatCode="0.00E+00">
                  <c:v>1.73</c:v>
                </c:pt>
                <c:pt idx="793" c:formatCode="0.00E+00">
                  <c:v>1.73</c:v>
                </c:pt>
                <c:pt idx="794" c:formatCode="0.00E+00">
                  <c:v>1.73</c:v>
                </c:pt>
                <c:pt idx="795" c:formatCode="0.00E+00">
                  <c:v>1.72</c:v>
                </c:pt>
                <c:pt idx="796" c:formatCode="0.00E+00">
                  <c:v>1.72</c:v>
                </c:pt>
                <c:pt idx="797" c:formatCode="0.00E+00">
                  <c:v>1.72</c:v>
                </c:pt>
                <c:pt idx="798" c:formatCode="0.00E+00">
                  <c:v>1.72</c:v>
                </c:pt>
                <c:pt idx="799" c:formatCode="0.00E+00">
                  <c:v>1.71</c:v>
                </c:pt>
                <c:pt idx="800" c:formatCode="0.00E+00">
                  <c:v>1.71</c:v>
                </c:pt>
                <c:pt idx="801" c:formatCode="0.00E+00">
                  <c:v>1.71</c:v>
                </c:pt>
                <c:pt idx="802" c:formatCode="0.00E+00">
                  <c:v>1.7</c:v>
                </c:pt>
                <c:pt idx="803" c:formatCode="0.00E+00">
                  <c:v>1.7</c:v>
                </c:pt>
                <c:pt idx="804" c:formatCode="0.00E+00">
                  <c:v>1.7</c:v>
                </c:pt>
                <c:pt idx="805" c:formatCode="0.00E+00">
                  <c:v>1.7</c:v>
                </c:pt>
                <c:pt idx="806" c:formatCode="0.00E+00">
                  <c:v>1.69</c:v>
                </c:pt>
                <c:pt idx="807" c:formatCode="0.00E+00">
                  <c:v>1.69</c:v>
                </c:pt>
                <c:pt idx="808" c:formatCode="0.00E+00">
                  <c:v>1.69</c:v>
                </c:pt>
                <c:pt idx="809" c:formatCode="0.00E+00">
                  <c:v>1.68</c:v>
                </c:pt>
                <c:pt idx="810" c:formatCode="0.00E+00">
                  <c:v>1.68</c:v>
                </c:pt>
                <c:pt idx="811" c:formatCode="0.00E+00">
                  <c:v>1.68</c:v>
                </c:pt>
                <c:pt idx="812" c:formatCode="0.00E+00">
                  <c:v>1.68</c:v>
                </c:pt>
                <c:pt idx="813" c:formatCode="0.00E+00">
                  <c:v>1.67</c:v>
                </c:pt>
                <c:pt idx="814" c:formatCode="0.00E+00">
                  <c:v>1.67</c:v>
                </c:pt>
                <c:pt idx="815" c:formatCode="0.00E+00">
                  <c:v>1.67</c:v>
                </c:pt>
                <c:pt idx="816" c:formatCode="0.00E+00">
                  <c:v>1.66</c:v>
                </c:pt>
                <c:pt idx="817" c:formatCode="0.00E+00">
                  <c:v>1.66</c:v>
                </c:pt>
                <c:pt idx="818" c:formatCode="0.00E+00">
                  <c:v>1.66</c:v>
                </c:pt>
                <c:pt idx="819" c:formatCode="0.00E+00">
                  <c:v>1.66</c:v>
                </c:pt>
                <c:pt idx="820" c:formatCode="0.00E+00">
                  <c:v>1.65</c:v>
                </c:pt>
                <c:pt idx="821" c:formatCode="0.00E+00">
                  <c:v>1.65</c:v>
                </c:pt>
                <c:pt idx="822" c:formatCode="0.00E+00">
                  <c:v>1.65</c:v>
                </c:pt>
                <c:pt idx="823" c:formatCode="0.00E+00">
                  <c:v>1.64</c:v>
                </c:pt>
                <c:pt idx="824" c:formatCode="0.00E+00">
                  <c:v>1.64</c:v>
                </c:pt>
                <c:pt idx="825" c:formatCode="0.00E+00">
                  <c:v>1.64</c:v>
                </c:pt>
                <c:pt idx="826" c:formatCode="0.00E+00">
                  <c:v>1.64</c:v>
                </c:pt>
                <c:pt idx="827" c:formatCode="0.00E+00">
                  <c:v>1.63</c:v>
                </c:pt>
                <c:pt idx="828" c:formatCode="0.00E+00">
                  <c:v>1.63</c:v>
                </c:pt>
                <c:pt idx="829" c:formatCode="0.00E+00">
                  <c:v>1.63</c:v>
                </c:pt>
                <c:pt idx="830" c:formatCode="0.00E+00">
                  <c:v>1.63</c:v>
                </c:pt>
                <c:pt idx="831" c:formatCode="0.00E+00">
                  <c:v>1.62</c:v>
                </c:pt>
                <c:pt idx="832" c:formatCode="0.00E+00">
                  <c:v>1.62</c:v>
                </c:pt>
                <c:pt idx="833" c:formatCode="0.00E+00">
                  <c:v>1.62</c:v>
                </c:pt>
                <c:pt idx="834" c:formatCode="0.00E+00">
                  <c:v>1.61</c:v>
                </c:pt>
                <c:pt idx="835" c:formatCode="0.00E+00">
                  <c:v>1.61</c:v>
                </c:pt>
                <c:pt idx="836" c:formatCode="0.00E+00">
                  <c:v>1.61</c:v>
                </c:pt>
                <c:pt idx="837" c:formatCode="0.00E+00">
                  <c:v>1.61</c:v>
                </c:pt>
                <c:pt idx="838" c:formatCode="0.00E+00">
                  <c:v>1.6</c:v>
                </c:pt>
                <c:pt idx="839" c:formatCode="0.00E+00">
                  <c:v>1.6</c:v>
                </c:pt>
                <c:pt idx="840" c:formatCode="0.00E+00">
                  <c:v>1.6</c:v>
                </c:pt>
                <c:pt idx="841" c:formatCode="0.00E+00">
                  <c:v>1.6</c:v>
                </c:pt>
                <c:pt idx="842" c:formatCode="0.00E+00">
                  <c:v>1.59</c:v>
                </c:pt>
                <c:pt idx="843" c:formatCode="0.00E+00">
                  <c:v>1.59</c:v>
                </c:pt>
                <c:pt idx="844" c:formatCode="0.00E+00">
                  <c:v>1.59</c:v>
                </c:pt>
                <c:pt idx="845" c:formatCode="0.00E+00">
                  <c:v>1.58</c:v>
                </c:pt>
                <c:pt idx="846" c:formatCode="0.00E+00">
                  <c:v>1.58</c:v>
                </c:pt>
                <c:pt idx="847" c:formatCode="0.00E+00">
                  <c:v>1.58</c:v>
                </c:pt>
                <c:pt idx="848" c:formatCode="0.00E+00">
                  <c:v>1.58</c:v>
                </c:pt>
                <c:pt idx="849" c:formatCode="0.00E+00">
                  <c:v>1.57</c:v>
                </c:pt>
                <c:pt idx="850" c:formatCode="0.00E+00">
                  <c:v>1.57</c:v>
                </c:pt>
                <c:pt idx="851" c:formatCode="0.00E+00">
                  <c:v>1.57</c:v>
                </c:pt>
                <c:pt idx="852" c:formatCode="0.00E+00">
                  <c:v>1.57</c:v>
                </c:pt>
                <c:pt idx="853" c:formatCode="0.00E+00">
                  <c:v>1.56</c:v>
                </c:pt>
                <c:pt idx="854" c:formatCode="0.00E+00">
                  <c:v>1.56</c:v>
                </c:pt>
                <c:pt idx="855" c:formatCode="0.00E+00">
                  <c:v>1.56</c:v>
                </c:pt>
                <c:pt idx="856" c:formatCode="0.00E+00">
                  <c:v>1.56</c:v>
                </c:pt>
                <c:pt idx="857" c:formatCode="0.00E+00">
                  <c:v>1.55</c:v>
                </c:pt>
                <c:pt idx="858" c:formatCode="0.00E+00">
                  <c:v>1.55</c:v>
                </c:pt>
                <c:pt idx="859" c:formatCode="0.00E+00">
                  <c:v>1.55</c:v>
                </c:pt>
                <c:pt idx="860" c:formatCode="0.00E+00">
                  <c:v>1.55</c:v>
                </c:pt>
                <c:pt idx="861" c:formatCode="0.00E+00">
                  <c:v>1.54</c:v>
                </c:pt>
                <c:pt idx="862" c:formatCode="0.00E+00">
                  <c:v>1.54</c:v>
                </c:pt>
                <c:pt idx="863" c:formatCode="0.00E+00">
                  <c:v>1.54</c:v>
                </c:pt>
                <c:pt idx="864" c:formatCode="0.00E+00">
                  <c:v>1.54</c:v>
                </c:pt>
                <c:pt idx="865" c:formatCode="0.00E+00">
                  <c:v>1.53</c:v>
                </c:pt>
                <c:pt idx="866" c:formatCode="0.00E+00">
                  <c:v>1.53</c:v>
                </c:pt>
                <c:pt idx="867" c:formatCode="0.00E+00">
                  <c:v>1.53</c:v>
                </c:pt>
                <c:pt idx="868" c:formatCode="0.00E+00">
                  <c:v>1.53</c:v>
                </c:pt>
                <c:pt idx="869" c:formatCode="0.00E+00">
                  <c:v>1.52</c:v>
                </c:pt>
                <c:pt idx="870" c:formatCode="0.00E+00">
                  <c:v>1.52</c:v>
                </c:pt>
                <c:pt idx="871" c:formatCode="0.00E+00">
                  <c:v>1.52</c:v>
                </c:pt>
                <c:pt idx="872" c:formatCode="0.00E+00">
                  <c:v>1.52</c:v>
                </c:pt>
                <c:pt idx="873" c:formatCode="0.00E+00">
                  <c:v>1.51</c:v>
                </c:pt>
                <c:pt idx="874" c:formatCode="0.00E+00">
                  <c:v>1.51</c:v>
                </c:pt>
                <c:pt idx="875" c:formatCode="0.00E+00">
                  <c:v>1.51</c:v>
                </c:pt>
                <c:pt idx="876" c:formatCode="0.00E+00">
                  <c:v>1.51</c:v>
                </c:pt>
                <c:pt idx="877" c:formatCode="0.00E+00">
                  <c:v>1.5</c:v>
                </c:pt>
                <c:pt idx="878" c:formatCode="0.00E+00">
                  <c:v>1.5</c:v>
                </c:pt>
                <c:pt idx="879" c:formatCode="0.00E+00">
                  <c:v>1.5</c:v>
                </c:pt>
                <c:pt idx="880" c:formatCode="0.00E+00">
                  <c:v>1.5</c:v>
                </c:pt>
                <c:pt idx="881" c:formatCode="0.00E+00">
                  <c:v>1.49</c:v>
                </c:pt>
                <c:pt idx="882" c:formatCode="0.00E+00">
                  <c:v>1.49</c:v>
                </c:pt>
                <c:pt idx="883" c:formatCode="0.00E+00">
                  <c:v>1.49</c:v>
                </c:pt>
                <c:pt idx="884" c:formatCode="0.00E+00">
                  <c:v>1.49</c:v>
                </c:pt>
                <c:pt idx="885" c:formatCode="0.00E+00">
                  <c:v>1.48</c:v>
                </c:pt>
                <c:pt idx="886" c:formatCode="0.00E+00">
                  <c:v>1.48</c:v>
                </c:pt>
                <c:pt idx="887" c:formatCode="0.00E+00">
                  <c:v>1.48</c:v>
                </c:pt>
                <c:pt idx="888" c:formatCode="0.00E+00">
                  <c:v>1.48</c:v>
                </c:pt>
                <c:pt idx="889" c:formatCode="0.00E+00">
                  <c:v>1.48</c:v>
                </c:pt>
                <c:pt idx="890" c:formatCode="0.00E+00">
                  <c:v>1.47</c:v>
                </c:pt>
                <c:pt idx="891" c:formatCode="0.00E+00">
                  <c:v>1.47</c:v>
                </c:pt>
                <c:pt idx="892" c:formatCode="0.00E+00">
                  <c:v>1.47</c:v>
                </c:pt>
                <c:pt idx="893" c:formatCode="0.00E+00">
                  <c:v>1.47</c:v>
                </c:pt>
                <c:pt idx="894" c:formatCode="0.00E+00">
                  <c:v>1.46</c:v>
                </c:pt>
                <c:pt idx="895" c:formatCode="0.00E+00">
                  <c:v>1.46</c:v>
                </c:pt>
                <c:pt idx="896" c:formatCode="0.00E+00">
                  <c:v>1.46</c:v>
                </c:pt>
                <c:pt idx="897" c:formatCode="0.00E+00">
                  <c:v>1.46</c:v>
                </c:pt>
                <c:pt idx="898" c:formatCode="0.00E+00">
                  <c:v>1.45</c:v>
                </c:pt>
                <c:pt idx="899" c:formatCode="0.00E+00">
                  <c:v>1.45</c:v>
                </c:pt>
                <c:pt idx="900" c:formatCode="0.00E+00">
                  <c:v>1.45</c:v>
                </c:pt>
                <c:pt idx="901" c:formatCode="0.00E+00">
                  <c:v>1.45</c:v>
                </c:pt>
                <c:pt idx="902" c:formatCode="0.00E+00">
                  <c:v>1.45</c:v>
                </c:pt>
                <c:pt idx="903" c:formatCode="0.00E+00">
                  <c:v>1.44</c:v>
                </c:pt>
                <c:pt idx="904" c:formatCode="0.00E+00">
                  <c:v>1.44</c:v>
                </c:pt>
                <c:pt idx="905" c:formatCode="0.00E+00">
                  <c:v>1.44</c:v>
                </c:pt>
                <c:pt idx="906" c:formatCode="0.00E+00">
                  <c:v>1.44</c:v>
                </c:pt>
                <c:pt idx="907" c:formatCode="0.00E+00">
                  <c:v>1.43</c:v>
                </c:pt>
                <c:pt idx="908" c:formatCode="0.00E+00">
                  <c:v>1.43</c:v>
                </c:pt>
                <c:pt idx="909" c:formatCode="0.00E+00">
                  <c:v>1.43</c:v>
                </c:pt>
                <c:pt idx="910" c:formatCode="0.00E+00">
                  <c:v>1.43</c:v>
                </c:pt>
                <c:pt idx="911" c:formatCode="0.00E+00">
                  <c:v>1.42</c:v>
                </c:pt>
                <c:pt idx="912" c:formatCode="0.00E+00">
                  <c:v>1.42</c:v>
                </c:pt>
                <c:pt idx="913" c:formatCode="0.00E+00">
                  <c:v>1.42</c:v>
                </c:pt>
                <c:pt idx="914" c:formatCode="0.00E+00">
                  <c:v>1.42</c:v>
                </c:pt>
                <c:pt idx="915" c:formatCode="0.00E+00">
                  <c:v>1.42</c:v>
                </c:pt>
                <c:pt idx="916" c:formatCode="0.00E+00">
                  <c:v>1.41</c:v>
                </c:pt>
                <c:pt idx="917" c:formatCode="0.00E+00">
                  <c:v>1.41</c:v>
                </c:pt>
                <c:pt idx="918" c:formatCode="0.00E+00">
                  <c:v>1.41</c:v>
                </c:pt>
                <c:pt idx="919" c:formatCode="0.00E+00">
                  <c:v>1.41</c:v>
                </c:pt>
                <c:pt idx="920" c:formatCode="0.00E+00">
                  <c:v>1.4</c:v>
                </c:pt>
                <c:pt idx="921" c:formatCode="0.00E+00">
                  <c:v>1.4</c:v>
                </c:pt>
                <c:pt idx="922" c:formatCode="0.00E+00">
                  <c:v>1.4</c:v>
                </c:pt>
                <c:pt idx="923" c:formatCode="0.00E+00">
                  <c:v>1.4</c:v>
                </c:pt>
                <c:pt idx="924" c:formatCode="0.00E+00">
                  <c:v>1.4</c:v>
                </c:pt>
                <c:pt idx="925" c:formatCode="0.00E+00">
                  <c:v>1.39</c:v>
                </c:pt>
                <c:pt idx="926" c:formatCode="0.00E+00">
                  <c:v>1.39</c:v>
                </c:pt>
                <c:pt idx="927" c:formatCode="0.00E+00">
                  <c:v>1.39</c:v>
                </c:pt>
                <c:pt idx="928" c:formatCode="0.00E+00">
                  <c:v>1.39</c:v>
                </c:pt>
                <c:pt idx="929" c:formatCode="0.00E+00">
                  <c:v>1.39</c:v>
                </c:pt>
                <c:pt idx="930" c:formatCode="0.00E+00">
                  <c:v>1.38</c:v>
                </c:pt>
                <c:pt idx="931" c:formatCode="0.00E+00">
                  <c:v>1.38</c:v>
                </c:pt>
                <c:pt idx="932" c:formatCode="0.00E+00">
                  <c:v>1.38</c:v>
                </c:pt>
                <c:pt idx="933" c:formatCode="0.00E+00">
                  <c:v>1.38</c:v>
                </c:pt>
                <c:pt idx="934" c:formatCode="0.00E+00">
                  <c:v>1.37</c:v>
                </c:pt>
                <c:pt idx="935" c:formatCode="0.00E+00">
                  <c:v>1.37</c:v>
                </c:pt>
                <c:pt idx="936" c:formatCode="0.00E+00">
                  <c:v>1.37</c:v>
                </c:pt>
                <c:pt idx="937" c:formatCode="0.00E+00">
                  <c:v>1.37</c:v>
                </c:pt>
                <c:pt idx="938" c:formatCode="0.00E+00">
                  <c:v>1.37</c:v>
                </c:pt>
                <c:pt idx="939" c:formatCode="0.00E+00">
                  <c:v>1.36</c:v>
                </c:pt>
                <c:pt idx="940" c:formatCode="0.00E+00">
                  <c:v>1.36</c:v>
                </c:pt>
                <c:pt idx="941" c:formatCode="0.00E+00">
                  <c:v>1.36</c:v>
                </c:pt>
                <c:pt idx="942" c:formatCode="0.00E+00">
                  <c:v>1.36</c:v>
                </c:pt>
                <c:pt idx="943" c:formatCode="0.00E+00">
                  <c:v>1.36</c:v>
                </c:pt>
                <c:pt idx="944" c:formatCode="0.00E+00">
                  <c:v>1.35</c:v>
                </c:pt>
                <c:pt idx="945" c:formatCode="0.00E+00">
                  <c:v>1.35</c:v>
                </c:pt>
                <c:pt idx="946" c:formatCode="0.00E+00">
                  <c:v>1.35</c:v>
                </c:pt>
                <c:pt idx="947" c:formatCode="0.00E+00">
                  <c:v>1.35</c:v>
                </c:pt>
                <c:pt idx="948" c:formatCode="0.00E+00">
                  <c:v>1.35</c:v>
                </c:pt>
                <c:pt idx="949" c:formatCode="0.00E+00">
                  <c:v>1.34</c:v>
                </c:pt>
                <c:pt idx="950" c:formatCode="0.00E+00">
                  <c:v>1.34</c:v>
                </c:pt>
                <c:pt idx="951" c:formatCode="0.00E+00">
                  <c:v>1.34</c:v>
                </c:pt>
                <c:pt idx="952" c:formatCode="0.00E+00">
                  <c:v>1.34</c:v>
                </c:pt>
                <c:pt idx="953" c:formatCode="0.00E+00">
                  <c:v>1.34</c:v>
                </c:pt>
                <c:pt idx="954" c:formatCode="0.00E+00">
                  <c:v>1.33</c:v>
                </c:pt>
                <c:pt idx="955" c:formatCode="0.00E+00">
                  <c:v>1.33</c:v>
                </c:pt>
                <c:pt idx="956" c:formatCode="0.00E+00">
                  <c:v>1.33</c:v>
                </c:pt>
                <c:pt idx="957" c:formatCode="0.00E+00">
                  <c:v>1.33</c:v>
                </c:pt>
                <c:pt idx="958" c:formatCode="0.00E+00">
                  <c:v>1.33</c:v>
                </c:pt>
                <c:pt idx="959" c:formatCode="0.00E+00">
                  <c:v>1.32</c:v>
                </c:pt>
                <c:pt idx="960" c:formatCode="0.00E+00">
                  <c:v>1.32</c:v>
                </c:pt>
                <c:pt idx="961" c:formatCode="0.00E+00">
                  <c:v>1.32</c:v>
                </c:pt>
                <c:pt idx="962" c:formatCode="0.00E+00">
                  <c:v>1.32</c:v>
                </c:pt>
                <c:pt idx="963" c:formatCode="0.00E+00">
                  <c:v>1.32</c:v>
                </c:pt>
                <c:pt idx="964" c:formatCode="0.00E+00">
                  <c:v>1.31</c:v>
                </c:pt>
                <c:pt idx="965" c:formatCode="0.00E+00">
                  <c:v>1.31</c:v>
                </c:pt>
                <c:pt idx="966" c:formatCode="0.00E+00">
                  <c:v>1.31</c:v>
                </c:pt>
                <c:pt idx="967" c:formatCode="0.00E+00">
                  <c:v>1.31</c:v>
                </c:pt>
                <c:pt idx="968" c:formatCode="0.00E+00">
                  <c:v>1.31</c:v>
                </c:pt>
                <c:pt idx="969" c:formatCode="0.00E+00">
                  <c:v>1.3</c:v>
                </c:pt>
                <c:pt idx="970" c:formatCode="0.00E+00">
                  <c:v>1.3</c:v>
                </c:pt>
                <c:pt idx="971" c:formatCode="0.00E+00">
                  <c:v>1.3</c:v>
                </c:pt>
                <c:pt idx="972" c:formatCode="0.00E+00">
                  <c:v>1.3</c:v>
                </c:pt>
                <c:pt idx="973" c:formatCode="0.00E+00">
                  <c:v>1.3</c:v>
                </c:pt>
                <c:pt idx="974" c:formatCode="0.00E+00">
                  <c:v>1.29</c:v>
                </c:pt>
                <c:pt idx="975" c:formatCode="0.00E+00">
                  <c:v>1.29</c:v>
                </c:pt>
                <c:pt idx="976" c:formatCode="0.00E+00">
                  <c:v>1.29</c:v>
                </c:pt>
                <c:pt idx="977" c:formatCode="0.00E+00">
                  <c:v>1.29</c:v>
                </c:pt>
                <c:pt idx="978" c:formatCode="0.00E+00">
                  <c:v>1.29</c:v>
                </c:pt>
                <c:pt idx="979" c:formatCode="0.00E+00">
                  <c:v>1.28</c:v>
                </c:pt>
                <c:pt idx="980" c:formatCode="0.00E+00">
                  <c:v>1.28</c:v>
                </c:pt>
                <c:pt idx="981" c:formatCode="0.00E+00">
                  <c:v>1.28</c:v>
                </c:pt>
                <c:pt idx="982" c:formatCode="0.00E+00">
                  <c:v>1.28</c:v>
                </c:pt>
                <c:pt idx="983" c:formatCode="0.00E+00">
                  <c:v>1.28</c:v>
                </c:pt>
                <c:pt idx="984" c:formatCode="0.00E+00">
                  <c:v>1.27</c:v>
                </c:pt>
                <c:pt idx="985" c:formatCode="0.00E+00">
                  <c:v>1.27</c:v>
                </c:pt>
                <c:pt idx="986" c:formatCode="0.00E+00">
                  <c:v>1.27</c:v>
                </c:pt>
                <c:pt idx="987" c:formatCode="0.00E+00">
                  <c:v>1.27</c:v>
                </c:pt>
                <c:pt idx="988" c:formatCode="0.00E+00">
                  <c:v>1.27</c:v>
                </c:pt>
                <c:pt idx="989" c:formatCode="0.00E+00">
                  <c:v>1.26</c:v>
                </c:pt>
                <c:pt idx="990" c:formatCode="0.00E+00">
                  <c:v>1.26</c:v>
                </c:pt>
                <c:pt idx="991" c:formatCode="0.00E+00">
                  <c:v>1.26</c:v>
                </c:pt>
                <c:pt idx="992" c:formatCode="0.00E+00">
                  <c:v>1.26</c:v>
                </c:pt>
                <c:pt idx="993" c:formatCode="0.00E+00">
                  <c:v>1.26</c:v>
                </c:pt>
                <c:pt idx="994" c:formatCode="0.00E+00">
                  <c:v>1.26</c:v>
                </c:pt>
                <c:pt idx="995" c:formatCode="0.00E+00">
                  <c:v>1.25</c:v>
                </c:pt>
                <c:pt idx="996" c:formatCode="0.00E+00">
                  <c:v>1.25</c:v>
                </c:pt>
                <c:pt idx="997" c:formatCode="0.00E+00">
                  <c:v>1.25</c:v>
                </c:pt>
                <c:pt idx="998" c:formatCode="0.00E+00">
                  <c:v>1.25</c:v>
                </c:pt>
                <c:pt idx="999" c:formatCode="0.00E+00">
                  <c:v>1.25</c:v>
                </c:pt>
              </c:numCache>
            </c:numRef>
          </c:yVal>
          <c:smooth val="0"/>
        </c:ser>
        <c:dLbls>
          <c:showLegendKey val="0"/>
          <c:showVal val="0"/>
          <c:showCatName val="0"/>
          <c:showSerName val="0"/>
          <c:showPercent val="0"/>
          <c:showBubbleSize val="0"/>
        </c:dLbls>
        <c:axId val="1724621807"/>
        <c:axId val="1724623727"/>
      </c:scatterChart>
      <c:valAx>
        <c:axId val="1724621807"/>
        <c:scaling>
          <c:orientation val="minMax"/>
          <c:max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latin typeface="Times New Roman" panose="02020603050405020304" charset="0"/>
                    <a:ea typeface="宋体" panose="02010600030101010101" charset="-122"/>
                    <a:cs typeface="Times New Roman" panose="02020603050405020304" charset="0"/>
                  </a:rPr>
                  <a:t>时间</a:t>
                </a:r>
                <a:r>
                  <a:rPr lang="en-US" altLang="zh-CN">
                    <a:latin typeface="Times New Roman" panose="02020603050405020304" charset="0"/>
                    <a:ea typeface="宋体" panose="02010600030101010101" charset="-122"/>
                    <a:cs typeface="Times New Roman" panose="02020603050405020304" charset="0"/>
                  </a:rPr>
                  <a:t>/d</a:t>
                </a:r>
                <a:endParaRPr lang="zh-CN" altLang="en-US">
                  <a:latin typeface="Times New Roman" panose="02020603050405020304" charset="0"/>
                  <a:ea typeface="宋体" panose="02010600030101010101" charset="-122"/>
                  <a:cs typeface="Times New Roman" panose="02020603050405020304" charset="0"/>
                </a:endParaRPr>
              </a:p>
            </c:rich>
          </c:tx>
          <c:layout>
            <c:manualLayout>
              <c:xMode val="edge"/>
              <c:yMode val="edge"/>
              <c:x val="0.834343613298338"/>
              <c:y val="0.8749347722723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724623727"/>
        <c:crosses val="autoZero"/>
        <c:crossBetween val="midCat"/>
      </c:valAx>
      <c:valAx>
        <c:axId val="1724623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latin typeface="Times New Roman" panose="02020603050405020304" charset="0"/>
                    <a:ea typeface="宋体" panose="02010600030101010101" charset="-122"/>
                    <a:cs typeface="Times New Roman" panose="02020603050405020304" charset="0"/>
                  </a:rPr>
                  <a:t>浓度</a:t>
                </a:r>
                <a:r>
                  <a:rPr lang="en-US" altLang="zh-CN">
                    <a:latin typeface="Times New Roman" panose="02020603050405020304" charset="0"/>
                    <a:ea typeface="宋体" panose="02010600030101010101" charset="-122"/>
                    <a:cs typeface="Times New Roman" panose="02020603050405020304" charset="0"/>
                  </a:rPr>
                  <a:t>mg/L</a:t>
                </a:r>
                <a:endParaRPr lang="zh-CN" altLang="en-US">
                  <a:latin typeface="Times New Roman" panose="02020603050405020304" charset="0"/>
                  <a:ea typeface="宋体" panose="02010600030101010101" charset="-122"/>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724621807"/>
        <c:crosses val="autoZero"/>
        <c:crossBetween val="midCat"/>
      </c:valAx>
      <c:spPr>
        <a:noFill/>
        <a:ln>
          <a:noFill/>
        </a:ln>
        <a:effectLst/>
      </c:spPr>
    </c:plotArea>
    <c:plotVisOnly val="1"/>
    <c:dispBlanksAs val="gap"/>
    <c:showDLblsOverMax val="0"/>
    <c:extLst>
      <c:ext uri="{0b15fc19-7d7d-44ad-8c2d-2c3a37ce22c3}">
        <chartProps xmlns="https://web.wps.cn/et/2018/main" chartId="{d580a40a-3c04-4043-9e19-6fb9c990eeac}"/>
      </c:ext>
    </c:extLst>
  </c:chart>
  <c:spPr>
    <a:solidFill>
      <a:schemeClr val="bg1"/>
    </a:solidFill>
    <a:ln w="9525" cap="flat" cmpd="sng" algn="ctr">
      <a:solidFill>
        <a:schemeClr val="tx1"/>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latin typeface="宋体" panose="02010600030101010101" charset="-122"/>
                <a:ea typeface="宋体" panose="02010600030101010101" charset="-122"/>
              </a:rPr>
              <a:t>石油类</a:t>
            </a:r>
            <a:endParaRPr lang="en-US" altLang="zh-CN">
              <a:latin typeface="宋体" panose="02010600030101010101" charset="-122"/>
              <a:ea typeface="宋体" panose="02010600030101010101" charset="-122"/>
            </a:endParaRPr>
          </a:p>
        </c:rich>
      </c:tx>
      <c:layout>
        <c:manualLayout>
          <c:xMode val="edge"/>
          <c:yMode val="edge"/>
          <c:x val="0.423867891513561"/>
          <c:y val="0.0509259259259259"/>
        </c:manualLayout>
      </c:layout>
      <c:overlay val="0"/>
      <c:spPr>
        <a:noFill/>
        <a:ln>
          <a:noFill/>
        </a:ln>
        <a:effectLst/>
      </c:spPr>
    </c:title>
    <c:autoTitleDeleted val="0"/>
    <c:plotArea>
      <c:layout/>
      <c:scatterChart>
        <c:scatterStyle val="lineMarker"/>
        <c:varyColors val="0"/>
        <c:ser>
          <c:idx val="0"/>
          <c:order val="0"/>
          <c:tx>
            <c:strRef>
              <c:f>Sheet10!$B$1</c:f>
              <c:strCache>
                <c:ptCount val="1"/>
                <c:pt idx="0">
                  <c:v>c（mg/l）</c:v>
                </c:pt>
              </c:strCache>
            </c:strRef>
          </c:tx>
          <c:spPr>
            <a:ln w="19050" cap="rnd">
              <a:noFill/>
              <a:round/>
            </a:ln>
            <a:effectLst/>
          </c:spPr>
          <c:marker>
            <c:symbol val="circle"/>
            <c:size val="5"/>
            <c:spPr>
              <a:solidFill>
                <a:schemeClr val="accent1"/>
              </a:solidFill>
              <a:ln w="9525">
                <a:solidFill>
                  <a:schemeClr val="accent1"/>
                </a:solidFill>
              </a:ln>
              <a:effectLst/>
            </c:spPr>
          </c:marker>
          <c:dLbls>
            <c:delete val="1"/>
          </c:dLbls>
          <c:xVal>
            <c:numRef>
              <c:f>Sheet10!$A$2:$A$1005</c:f>
              <c:numCache>
                <c:formatCode>General</c:formatCode>
                <c:ptCount val="1004"/>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pt idx="150">
                  <c:v>1510</c:v>
                </c:pt>
                <c:pt idx="151">
                  <c:v>1520</c:v>
                </c:pt>
                <c:pt idx="152">
                  <c:v>1530</c:v>
                </c:pt>
                <c:pt idx="153">
                  <c:v>1540</c:v>
                </c:pt>
                <c:pt idx="154">
                  <c:v>1550</c:v>
                </c:pt>
                <c:pt idx="155">
                  <c:v>1560</c:v>
                </c:pt>
                <c:pt idx="156">
                  <c:v>1570</c:v>
                </c:pt>
                <c:pt idx="157">
                  <c:v>1580</c:v>
                </c:pt>
                <c:pt idx="158">
                  <c:v>1590</c:v>
                </c:pt>
                <c:pt idx="159">
                  <c:v>1600</c:v>
                </c:pt>
                <c:pt idx="160">
                  <c:v>1610</c:v>
                </c:pt>
                <c:pt idx="161">
                  <c:v>1620</c:v>
                </c:pt>
                <c:pt idx="162">
                  <c:v>1630</c:v>
                </c:pt>
                <c:pt idx="163">
                  <c:v>1640</c:v>
                </c:pt>
                <c:pt idx="164">
                  <c:v>1650</c:v>
                </c:pt>
                <c:pt idx="165">
                  <c:v>1660</c:v>
                </c:pt>
                <c:pt idx="166">
                  <c:v>1670</c:v>
                </c:pt>
                <c:pt idx="167">
                  <c:v>1680</c:v>
                </c:pt>
                <c:pt idx="168">
                  <c:v>1690</c:v>
                </c:pt>
                <c:pt idx="169">
                  <c:v>1700</c:v>
                </c:pt>
                <c:pt idx="170">
                  <c:v>1710</c:v>
                </c:pt>
                <c:pt idx="171">
                  <c:v>1720</c:v>
                </c:pt>
                <c:pt idx="172">
                  <c:v>1730</c:v>
                </c:pt>
                <c:pt idx="173">
                  <c:v>1740</c:v>
                </c:pt>
                <c:pt idx="174">
                  <c:v>1750</c:v>
                </c:pt>
                <c:pt idx="175">
                  <c:v>1760</c:v>
                </c:pt>
                <c:pt idx="176">
                  <c:v>1770</c:v>
                </c:pt>
                <c:pt idx="177">
                  <c:v>1780</c:v>
                </c:pt>
                <c:pt idx="178">
                  <c:v>1790</c:v>
                </c:pt>
                <c:pt idx="179">
                  <c:v>1800</c:v>
                </c:pt>
                <c:pt idx="180">
                  <c:v>1810</c:v>
                </c:pt>
                <c:pt idx="181">
                  <c:v>1820</c:v>
                </c:pt>
                <c:pt idx="182">
                  <c:v>1830</c:v>
                </c:pt>
                <c:pt idx="183">
                  <c:v>1840</c:v>
                </c:pt>
                <c:pt idx="184">
                  <c:v>1850</c:v>
                </c:pt>
                <c:pt idx="185">
                  <c:v>1860</c:v>
                </c:pt>
                <c:pt idx="186">
                  <c:v>1870</c:v>
                </c:pt>
                <c:pt idx="187">
                  <c:v>1880</c:v>
                </c:pt>
                <c:pt idx="188">
                  <c:v>1890</c:v>
                </c:pt>
                <c:pt idx="189">
                  <c:v>1900</c:v>
                </c:pt>
                <c:pt idx="190">
                  <c:v>1910</c:v>
                </c:pt>
                <c:pt idx="191">
                  <c:v>1920</c:v>
                </c:pt>
                <c:pt idx="192">
                  <c:v>1930</c:v>
                </c:pt>
                <c:pt idx="193">
                  <c:v>1940</c:v>
                </c:pt>
                <c:pt idx="194">
                  <c:v>1950</c:v>
                </c:pt>
                <c:pt idx="195">
                  <c:v>1960</c:v>
                </c:pt>
                <c:pt idx="196">
                  <c:v>1970</c:v>
                </c:pt>
                <c:pt idx="197">
                  <c:v>1980</c:v>
                </c:pt>
                <c:pt idx="198">
                  <c:v>1990</c:v>
                </c:pt>
                <c:pt idx="199">
                  <c:v>2000</c:v>
                </c:pt>
                <c:pt idx="200">
                  <c:v>2010</c:v>
                </c:pt>
                <c:pt idx="201">
                  <c:v>2020</c:v>
                </c:pt>
                <c:pt idx="202">
                  <c:v>2030</c:v>
                </c:pt>
                <c:pt idx="203">
                  <c:v>2040</c:v>
                </c:pt>
                <c:pt idx="204">
                  <c:v>2050</c:v>
                </c:pt>
                <c:pt idx="205">
                  <c:v>2060</c:v>
                </c:pt>
                <c:pt idx="206">
                  <c:v>2070</c:v>
                </c:pt>
                <c:pt idx="207">
                  <c:v>2080</c:v>
                </c:pt>
                <c:pt idx="208">
                  <c:v>2090</c:v>
                </c:pt>
                <c:pt idx="209">
                  <c:v>2100</c:v>
                </c:pt>
                <c:pt idx="210">
                  <c:v>2110</c:v>
                </c:pt>
                <c:pt idx="211">
                  <c:v>2120</c:v>
                </c:pt>
                <c:pt idx="212">
                  <c:v>2130</c:v>
                </c:pt>
                <c:pt idx="213">
                  <c:v>2140</c:v>
                </c:pt>
                <c:pt idx="214">
                  <c:v>2150</c:v>
                </c:pt>
                <c:pt idx="215">
                  <c:v>2160</c:v>
                </c:pt>
                <c:pt idx="216">
                  <c:v>2170</c:v>
                </c:pt>
                <c:pt idx="217">
                  <c:v>2180</c:v>
                </c:pt>
                <c:pt idx="218">
                  <c:v>2190</c:v>
                </c:pt>
                <c:pt idx="219">
                  <c:v>2200</c:v>
                </c:pt>
                <c:pt idx="220">
                  <c:v>2210</c:v>
                </c:pt>
                <c:pt idx="221">
                  <c:v>2220</c:v>
                </c:pt>
                <c:pt idx="222">
                  <c:v>2230</c:v>
                </c:pt>
                <c:pt idx="223">
                  <c:v>2240</c:v>
                </c:pt>
                <c:pt idx="224">
                  <c:v>2250</c:v>
                </c:pt>
                <c:pt idx="225">
                  <c:v>2260</c:v>
                </c:pt>
                <c:pt idx="226">
                  <c:v>2270</c:v>
                </c:pt>
                <c:pt idx="227">
                  <c:v>2280</c:v>
                </c:pt>
                <c:pt idx="228">
                  <c:v>2290</c:v>
                </c:pt>
                <c:pt idx="229">
                  <c:v>2300</c:v>
                </c:pt>
                <c:pt idx="230">
                  <c:v>2310</c:v>
                </c:pt>
                <c:pt idx="231">
                  <c:v>2320</c:v>
                </c:pt>
                <c:pt idx="232">
                  <c:v>2330</c:v>
                </c:pt>
                <c:pt idx="233">
                  <c:v>2340</c:v>
                </c:pt>
                <c:pt idx="234">
                  <c:v>2350</c:v>
                </c:pt>
                <c:pt idx="235">
                  <c:v>2360</c:v>
                </c:pt>
                <c:pt idx="236">
                  <c:v>2370</c:v>
                </c:pt>
                <c:pt idx="237">
                  <c:v>2380</c:v>
                </c:pt>
                <c:pt idx="238">
                  <c:v>2390</c:v>
                </c:pt>
                <c:pt idx="239">
                  <c:v>2400</c:v>
                </c:pt>
                <c:pt idx="240">
                  <c:v>2410</c:v>
                </c:pt>
                <c:pt idx="241">
                  <c:v>2420</c:v>
                </c:pt>
                <c:pt idx="242">
                  <c:v>2430</c:v>
                </c:pt>
                <c:pt idx="243">
                  <c:v>2440</c:v>
                </c:pt>
                <c:pt idx="244">
                  <c:v>2450</c:v>
                </c:pt>
                <c:pt idx="245">
                  <c:v>2460</c:v>
                </c:pt>
                <c:pt idx="246">
                  <c:v>2470</c:v>
                </c:pt>
                <c:pt idx="247">
                  <c:v>2480</c:v>
                </c:pt>
                <c:pt idx="248">
                  <c:v>2490</c:v>
                </c:pt>
                <c:pt idx="249">
                  <c:v>2500</c:v>
                </c:pt>
                <c:pt idx="250">
                  <c:v>2510</c:v>
                </c:pt>
                <c:pt idx="251">
                  <c:v>2520</c:v>
                </c:pt>
                <c:pt idx="252">
                  <c:v>2530</c:v>
                </c:pt>
                <c:pt idx="253">
                  <c:v>2540</c:v>
                </c:pt>
                <c:pt idx="254">
                  <c:v>2550</c:v>
                </c:pt>
                <c:pt idx="255">
                  <c:v>2560</c:v>
                </c:pt>
                <c:pt idx="256">
                  <c:v>2570</c:v>
                </c:pt>
                <c:pt idx="257">
                  <c:v>2580</c:v>
                </c:pt>
                <c:pt idx="258">
                  <c:v>2590</c:v>
                </c:pt>
                <c:pt idx="259">
                  <c:v>2600</c:v>
                </c:pt>
                <c:pt idx="260">
                  <c:v>2610</c:v>
                </c:pt>
                <c:pt idx="261">
                  <c:v>2620</c:v>
                </c:pt>
                <c:pt idx="262">
                  <c:v>2630</c:v>
                </c:pt>
                <c:pt idx="263">
                  <c:v>2640</c:v>
                </c:pt>
                <c:pt idx="264">
                  <c:v>2650</c:v>
                </c:pt>
                <c:pt idx="265">
                  <c:v>2660</c:v>
                </c:pt>
                <c:pt idx="266">
                  <c:v>2670</c:v>
                </c:pt>
                <c:pt idx="267">
                  <c:v>2680</c:v>
                </c:pt>
                <c:pt idx="268">
                  <c:v>2690</c:v>
                </c:pt>
                <c:pt idx="269">
                  <c:v>2700</c:v>
                </c:pt>
                <c:pt idx="270">
                  <c:v>2710</c:v>
                </c:pt>
                <c:pt idx="271">
                  <c:v>2720</c:v>
                </c:pt>
                <c:pt idx="272">
                  <c:v>2730</c:v>
                </c:pt>
                <c:pt idx="273">
                  <c:v>2740</c:v>
                </c:pt>
                <c:pt idx="274">
                  <c:v>2750</c:v>
                </c:pt>
                <c:pt idx="275">
                  <c:v>2760</c:v>
                </c:pt>
                <c:pt idx="276">
                  <c:v>2770</c:v>
                </c:pt>
                <c:pt idx="277">
                  <c:v>2780</c:v>
                </c:pt>
                <c:pt idx="278">
                  <c:v>2790</c:v>
                </c:pt>
                <c:pt idx="279">
                  <c:v>2800</c:v>
                </c:pt>
                <c:pt idx="280">
                  <c:v>2810</c:v>
                </c:pt>
                <c:pt idx="281">
                  <c:v>2820</c:v>
                </c:pt>
                <c:pt idx="282">
                  <c:v>2830</c:v>
                </c:pt>
                <c:pt idx="283">
                  <c:v>2840</c:v>
                </c:pt>
                <c:pt idx="284">
                  <c:v>2850</c:v>
                </c:pt>
                <c:pt idx="285">
                  <c:v>2860</c:v>
                </c:pt>
                <c:pt idx="286">
                  <c:v>2870</c:v>
                </c:pt>
                <c:pt idx="287">
                  <c:v>2880</c:v>
                </c:pt>
                <c:pt idx="288">
                  <c:v>2890</c:v>
                </c:pt>
                <c:pt idx="289">
                  <c:v>2900</c:v>
                </c:pt>
                <c:pt idx="290">
                  <c:v>2910</c:v>
                </c:pt>
                <c:pt idx="291">
                  <c:v>2920</c:v>
                </c:pt>
                <c:pt idx="292">
                  <c:v>2930</c:v>
                </c:pt>
                <c:pt idx="293">
                  <c:v>2940</c:v>
                </c:pt>
                <c:pt idx="294">
                  <c:v>2950</c:v>
                </c:pt>
                <c:pt idx="295">
                  <c:v>2960</c:v>
                </c:pt>
                <c:pt idx="296">
                  <c:v>2970</c:v>
                </c:pt>
                <c:pt idx="297">
                  <c:v>2980</c:v>
                </c:pt>
                <c:pt idx="298">
                  <c:v>2990</c:v>
                </c:pt>
                <c:pt idx="299">
                  <c:v>3000</c:v>
                </c:pt>
                <c:pt idx="300">
                  <c:v>3010</c:v>
                </c:pt>
                <c:pt idx="301">
                  <c:v>3020</c:v>
                </c:pt>
                <c:pt idx="302">
                  <c:v>3030</c:v>
                </c:pt>
                <c:pt idx="303">
                  <c:v>3040</c:v>
                </c:pt>
                <c:pt idx="304">
                  <c:v>3050</c:v>
                </c:pt>
                <c:pt idx="305">
                  <c:v>3060</c:v>
                </c:pt>
                <c:pt idx="306">
                  <c:v>3070</c:v>
                </c:pt>
                <c:pt idx="307">
                  <c:v>3080</c:v>
                </c:pt>
                <c:pt idx="308">
                  <c:v>3090</c:v>
                </c:pt>
                <c:pt idx="309">
                  <c:v>3100</c:v>
                </c:pt>
                <c:pt idx="310">
                  <c:v>3110</c:v>
                </c:pt>
                <c:pt idx="311">
                  <c:v>3120</c:v>
                </c:pt>
                <c:pt idx="312">
                  <c:v>3130</c:v>
                </c:pt>
                <c:pt idx="313">
                  <c:v>3140</c:v>
                </c:pt>
                <c:pt idx="314">
                  <c:v>3150</c:v>
                </c:pt>
                <c:pt idx="315">
                  <c:v>3160</c:v>
                </c:pt>
                <c:pt idx="316">
                  <c:v>3170</c:v>
                </c:pt>
                <c:pt idx="317">
                  <c:v>3180</c:v>
                </c:pt>
                <c:pt idx="318">
                  <c:v>3190</c:v>
                </c:pt>
                <c:pt idx="319">
                  <c:v>3200</c:v>
                </c:pt>
                <c:pt idx="320">
                  <c:v>3210</c:v>
                </c:pt>
                <c:pt idx="321">
                  <c:v>3220</c:v>
                </c:pt>
                <c:pt idx="322">
                  <c:v>3230</c:v>
                </c:pt>
                <c:pt idx="323">
                  <c:v>3240</c:v>
                </c:pt>
                <c:pt idx="324">
                  <c:v>3250</c:v>
                </c:pt>
                <c:pt idx="325">
                  <c:v>3260</c:v>
                </c:pt>
                <c:pt idx="326">
                  <c:v>3270</c:v>
                </c:pt>
                <c:pt idx="327">
                  <c:v>3280</c:v>
                </c:pt>
                <c:pt idx="328">
                  <c:v>3290</c:v>
                </c:pt>
                <c:pt idx="329">
                  <c:v>3300</c:v>
                </c:pt>
                <c:pt idx="330">
                  <c:v>3310</c:v>
                </c:pt>
                <c:pt idx="331">
                  <c:v>3320</c:v>
                </c:pt>
                <c:pt idx="332">
                  <c:v>3330</c:v>
                </c:pt>
                <c:pt idx="333">
                  <c:v>3340</c:v>
                </c:pt>
                <c:pt idx="334">
                  <c:v>3350</c:v>
                </c:pt>
                <c:pt idx="335">
                  <c:v>3360</c:v>
                </c:pt>
                <c:pt idx="336">
                  <c:v>3370</c:v>
                </c:pt>
                <c:pt idx="337">
                  <c:v>3380</c:v>
                </c:pt>
                <c:pt idx="338">
                  <c:v>3390</c:v>
                </c:pt>
                <c:pt idx="339">
                  <c:v>3400</c:v>
                </c:pt>
                <c:pt idx="340">
                  <c:v>3410</c:v>
                </c:pt>
                <c:pt idx="341">
                  <c:v>3420</c:v>
                </c:pt>
                <c:pt idx="342">
                  <c:v>3430</c:v>
                </c:pt>
                <c:pt idx="343">
                  <c:v>3440</c:v>
                </c:pt>
                <c:pt idx="344">
                  <c:v>3450</c:v>
                </c:pt>
                <c:pt idx="345">
                  <c:v>3460</c:v>
                </c:pt>
                <c:pt idx="346">
                  <c:v>3470</c:v>
                </c:pt>
                <c:pt idx="347">
                  <c:v>3480</c:v>
                </c:pt>
                <c:pt idx="348">
                  <c:v>3490</c:v>
                </c:pt>
                <c:pt idx="349">
                  <c:v>3500</c:v>
                </c:pt>
                <c:pt idx="350">
                  <c:v>3510</c:v>
                </c:pt>
                <c:pt idx="351">
                  <c:v>3520</c:v>
                </c:pt>
                <c:pt idx="352">
                  <c:v>3530</c:v>
                </c:pt>
                <c:pt idx="353">
                  <c:v>3540</c:v>
                </c:pt>
                <c:pt idx="354">
                  <c:v>3550</c:v>
                </c:pt>
                <c:pt idx="355">
                  <c:v>3560</c:v>
                </c:pt>
                <c:pt idx="356">
                  <c:v>3570</c:v>
                </c:pt>
                <c:pt idx="357">
                  <c:v>3580</c:v>
                </c:pt>
                <c:pt idx="358">
                  <c:v>3590</c:v>
                </c:pt>
                <c:pt idx="359">
                  <c:v>3600</c:v>
                </c:pt>
                <c:pt idx="360">
                  <c:v>3610</c:v>
                </c:pt>
                <c:pt idx="361">
                  <c:v>3620</c:v>
                </c:pt>
                <c:pt idx="362">
                  <c:v>3630</c:v>
                </c:pt>
                <c:pt idx="363">
                  <c:v>3640</c:v>
                </c:pt>
                <c:pt idx="364">
                  <c:v>3650</c:v>
                </c:pt>
                <c:pt idx="365">
                  <c:v>3660</c:v>
                </c:pt>
                <c:pt idx="366">
                  <c:v>3670</c:v>
                </c:pt>
                <c:pt idx="367">
                  <c:v>3680</c:v>
                </c:pt>
                <c:pt idx="368">
                  <c:v>3690</c:v>
                </c:pt>
                <c:pt idx="369">
                  <c:v>3700</c:v>
                </c:pt>
                <c:pt idx="370">
                  <c:v>3710</c:v>
                </c:pt>
                <c:pt idx="371">
                  <c:v>3720</c:v>
                </c:pt>
                <c:pt idx="372">
                  <c:v>3730</c:v>
                </c:pt>
                <c:pt idx="373">
                  <c:v>3740</c:v>
                </c:pt>
                <c:pt idx="374">
                  <c:v>3750</c:v>
                </c:pt>
                <c:pt idx="375">
                  <c:v>3760</c:v>
                </c:pt>
                <c:pt idx="376">
                  <c:v>3770</c:v>
                </c:pt>
                <c:pt idx="377">
                  <c:v>3780</c:v>
                </c:pt>
                <c:pt idx="378">
                  <c:v>3790</c:v>
                </c:pt>
                <c:pt idx="379">
                  <c:v>3800</c:v>
                </c:pt>
                <c:pt idx="380">
                  <c:v>3810</c:v>
                </c:pt>
                <c:pt idx="381">
                  <c:v>3820</c:v>
                </c:pt>
                <c:pt idx="382">
                  <c:v>3830</c:v>
                </c:pt>
                <c:pt idx="383">
                  <c:v>3840</c:v>
                </c:pt>
                <c:pt idx="384">
                  <c:v>3850</c:v>
                </c:pt>
                <c:pt idx="385">
                  <c:v>3860</c:v>
                </c:pt>
                <c:pt idx="386">
                  <c:v>3870</c:v>
                </c:pt>
                <c:pt idx="387">
                  <c:v>3880</c:v>
                </c:pt>
                <c:pt idx="388">
                  <c:v>3890</c:v>
                </c:pt>
                <c:pt idx="389">
                  <c:v>3900</c:v>
                </c:pt>
                <c:pt idx="390">
                  <c:v>3910</c:v>
                </c:pt>
                <c:pt idx="391">
                  <c:v>3920</c:v>
                </c:pt>
                <c:pt idx="392">
                  <c:v>3930</c:v>
                </c:pt>
                <c:pt idx="393">
                  <c:v>3940</c:v>
                </c:pt>
                <c:pt idx="394">
                  <c:v>3950</c:v>
                </c:pt>
                <c:pt idx="395">
                  <c:v>3960</c:v>
                </c:pt>
                <c:pt idx="396">
                  <c:v>3970</c:v>
                </c:pt>
                <c:pt idx="397">
                  <c:v>3980</c:v>
                </c:pt>
                <c:pt idx="398">
                  <c:v>3990</c:v>
                </c:pt>
                <c:pt idx="399">
                  <c:v>4000</c:v>
                </c:pt>
                <c:pt idx="400">
                  <c:v>4010</c:v>
                </c:pt>
                <c:pt idx="401">
                  <c:v>4020</c:v>
                </c:pt>
                <c:pt idx="402">
                  <c:v>4030</c:v>
                </c:pt>
                <c:pt idx="403">
                  <c:v>4040</c:v>
                </c:pt>
                <c:pt idx="404">
                  <c:v>4050</c:v>
                </c:pt>
                <c:pt idx="405">
                  <c:v>4060</c:v>
                </c:pt>
                <c:pt idx="406">
                  <c:v>4070</c:v>
                </c:pt>
                <c:pt idx="407">
                  <c:v>4080</c:v>
                </c:pt>
                <c:pt idx="408">
                  <c:v>4090</c:v>
                </c:pt>
                <c:pt idx="409">
                  <c:v>4100</c:v>
                </c:pt>
                <c:pt idx="410">
                  <c:v>4110</c:v>
                </c:pt>
                <c:pt idx="411">
                  <c:v>4120</c:v>
                </c:pt>
                <c:pt idx="412">
                  <c:v>4130</c:v>
                </c:pt>
                <c:pt idx="413">
                  <c:v>4140</c:v>
                </c:pt>
                <c:pt idx="414">
                  <c:v>4150</c:v>
                </c:pt>
                <c:pt idx="415">
                  <c:v>4160</c:v>
                </c:pt>
                <c:pt idx="416">
                  <c:v>4170</c:v>
                </c:pt>
                <c:pt idx="417">
                  <c:v>4180</c:v>
                </c:pt>
                <c:pt idx="418">
                  <c:v>4190</c:v>
                </c:pt>
                <c:pt idx="419">
                  <c:v>4200</c:v>
                </c:pt>
                <c:pt idx="420">
                  <c:v>4210</c:v>
                </c:pt>
                <c:pt idx="421">
                  <c:v>4220</c:v>
                </c:pt>
                <c:pt idx="422">
                  <c:v>4230</c:v>
                </c:pt>
                <c:pt idx="423">
                  <c:v>4240</c:v>
                </c:pt>
                <c:pt idx="424">
                  <c:v>4250</c:v>
                </c:pt>
                <c:pt idx="425">
                  <c:v>4260</c:v>
                </c:pt>
                <c:pt idx="426">
                  <c:v>4270</c:v>
                </c:pt>
                <c:pt idx="427">
                  <c:v>4280</c:v>
                </c:pt>
                <c:pt idx="428">
                  <c:v>4290</c:v>
                </c:pt>
                <c:pt idx="429">
                  <c:v>4300</c:v>
                </c:pt>
                <c:pt idx="430">
                  <c:v>4310</c:v>
                </c:pt>
                <c:pt idx="431">
                  <c:v>4320</c:v>
                </c:pt>
                <c:pt idx="432">
                  <c:v>4330</c:v>
                </c:pt>
                <c:pt idx="433">
                  <c:v>4340</c:v>
                </c:pt>
                <c:pt idx="434">
                  <c:v>4350</c:v>
                </c:pt>
                <c:pt idx="435">
                  <c:v>4360</c:v>
                </c:pt>
                <c:pt idx="436">
                  <c:v>4370</c:v>
                </c:pt>
                <c:pt idx="437">
                  <c:v>4380</c:v>
                </c:pt>
                <c:pt idx="438">
                  <c:v>4390</c:v>
                </c:pt>
                <c:pt idx="439">
                  <c:v>4400</c:v>
                </c:pt>
                <c:pt idx="440">
                  <c:v>4410</c:v>
                </c:pt>
                <c:pt idx="441">
                  <c:v>4420</c:v>
                </c:pt>
                <c:pt idx="442">
                  <c:v>4430</c:v>
                </c:pt>
                <c:pt idx="443">
                  <c:v>4440</c:v>
                </c:pt>
                <c:pt idx="444">
                  <c:v>4450</c:v>
                </c:pt>
                <c:pt idx="445">
                  <c:v>4460</c:v>
                </c:pt>
                <c:pt idx="446">
                  <c:v>4470</c:v>
                </c:pt>
                <c:pt idx="447">
                  <c:v>4480</c:v>
                </c:pt>
                <c:pt idx="448">
                  <c:v>4490</c:v>
                </c:pt>
                <c:pt idx="449">
                  <c:v>4500</c:v>
                </c:pt>
                <c:pt idx="450">
                  <c:v>4510</c:v>
                </c:pt>
                <c:pt idx="451">
                  <c:v>4520</c:v>
                </c:pt>
                <c:pt idx="452">
                  <c:v>4530</c:v>
                </c:pt>
                <c:pt idx="453">
                  <c:v>4540</c:v>
                </c:pt>
                <c:pt idx="454">
                  <c:v>4550</c:v>
                </c:pt>
                <c:pt idx="455">
                  <c:v>4560</c:v>
                </c:pt>
                <c:pt idx="456">
                  <c:v>4570</c:v>
                </c:pt>
                <c:pt idx="457">
                  <c:v>4580</c:v>
                </c:pt>
                <c:pt idx="458">
                  <c:v>4590</c:v>
                </c:pt>
                <c:pt idx="459">
                  <c:v>4600</c:v>
                </c:pt>
                <c:pt idx="460">
                  <c:v>4610</c:v>
                </c:pt>
                <c:pt idx="461">
                  <c:v>4620</c:v>
                </c:pt>
                <c:pt idx="462">
                  <c:v>4630</c:v>
                </c:pt>
                <c:pt idx="463">
                  <c:v>4640</c:v>
                </c:pt>
                <c:pt idx="464">
                  <c:v>4650</c:v>
                </c:pt>
                <c:pt idx="465">
                  <c:v>4660</c:v>
                </c:pt>
                <c:pt idx="466">
                  <c:v>4670</c:v>
                </c:pt>
                <c:pt idx="467">
                  <c:v>4680</c:v>
                </c:pt>
                <c:pt idx="468">
                  <c:v>4690</c:v>
                </c:pt>
                <c:pt idx="469">
                  <c:v>4700</c:v>
                </c:pt>
                <c:pt idx="470">
                  <c:v>4710</c:v>
                </c:pt>
                <c:pt idx="471">
                  <c:v>4720</c:v>
                </c:pt>
                <c:pt idx="472">
                  <c:v>4730</c:v>
                </c:pt>
                <c:pt idx="473">
                  <c:v>4740</c:v>
                </c:pt>
                <c:pt idx="474">
                  <c:v>4750</c:v>
                </c:pt>
                <c:pt idx="475">
                  <c:v>4760</c:v>
                </c:pt>
                <c:pt idx="476">
                  <c:v>4770</c:v>
                </c:pt>
                <c:pt idx="477">
                  <c:v>4780</c:v>
                </c:pt>
                <c:pt idx="478">
                  <c:v>4790</c:v>
                </c:pt>
                <c:pt idx="479">
                  <c:v>4800</c:v>
                </c:pt>
                <c:pt idx="480">
                  <c:v>4810</c:v>
                </c:pt>
                <c:pt idx="481">
                  <c:v>4820</c:v>
                </c:pt>
                <c:pt idx="482">
                  <c:v>4830</c:v>
                </c:pt>
                <c:pt idx="483">
                  <c:v>4840</c:v>
                </c:pt>
                <c:pt idx="484">
                  <c:v>4850</c:v>
                </c:pt>
                <c:pt idx="485">
                  <c:v>4860</c:v>
                </c:pt>
                <c:pt idx="486">
                  <c:v>4870</c:v>
                </c:pt>
                <c:pt idx="487">
                  <c:v>4880</c:v>
                </c:pt>
                <c:pt idx="488">
                  <c:v>4890</c:v>
                </c:pt>
                <c:pt idx="489">
                  <c:v>4900</c:v>
                </c:pt>
                <c:pt idx="490">
                  <c:v>4910</c:v>
                </c:pt>
                <c:pt idx="491">
                  <c:v>4920</c:v>
                </c:pt>
                <c:pt idx="492">
                  <c:v>4930</c:v>
                </c:pt>
                <c:pt idx="493">
                  <c:v>4940</c:v>
                </c:pt>
                <c:pt idx="494">
                  <c:v>4950</c:v>
                </c:pt>
                <c:pt idx="495">
                  <c:v>4960</c:v>
                </c:pt>
                <c:pt idx="496">
                  <c:v>4970</c:v>
                </c:pt>
                <c:pt idx="497">
                  <c:v>4980</c:v>
                </c:pt>
                <c:pt idx="498">
                  <c:v>4990</c:v>
                </c:pt>
                <c:pt idx="499">
                  <c:v>5000</c:v>
                </c:pt>
                <c:pt idx="500">
                  <c:v>5010</c:v>
                </c:pt>
                <c:pt idx="501">
                  <c:v>5020</c:v>
                </c:pt>
                <c:pt idx="502">
                  <c:v>5030</c:v>
                </c:pt>
                <c:pt idx="503">
                  <c:v>5040</c:v>
                </c:pt>
                <c:pt idx="504">
                  <c:v>5050</c:v>
                </c:pt>
                <c:pt idx="505">
                  <c:v>5060</c:v>
                </c:pt>
                <c:pt idx="506">
                  <c:v>5070</c:v>
                </c:pt>
                <c:pt idx="507">
                  <c:v>5080</c:v>
                </c:pt>
                <c:pt idx="508">
                  <c:v>5090</c:v>
                </c:pt>
                <c:pt idx="509">
                  <c:v>5100</c:v>
                </c:pt>
                <c:pt idx="510">
                  <c:v>5110</c:v>
                </c:pt>
                <c:pt idx="511">
                  <c:v>5120</c:v>
                </c:pt>
                <c:pt idx="512">
                  <c:v>5130</c:v>
                </c:pt>
                <c:pt idx="513">
                  <c:v>5140</c:v>
                </c:pt>
                <c:pt idx="514">
                  <c:v>5150</c:v>
                </c:pt>
                <c:pt idx="515">
                  <c:v>5160</c:v>
                </c:pt>
                <c:pt idx="516">
                  <c:v>5170</c:v>
                </c:pt>
                <c:pt idx="517">
                  <c:v>5180</c:v>
                </c:pt>
                <c:pt idx="518">
                  <c:v>5190</c:v>
                </c:pt>
                <c:pt idx="519">
                  <c:v>5200</c:v>
                </c:pt>
                <c:pt idx="520">
                  <c:v>5210</c:v>
                </c:pt>
                <c:pt idx="521">
                  <c:v>5220</c:v>
                </c:pt>
                <c:pt idx="522">
                  <c:v>5230</c:v>
                </c:pt>
                <c:pt idx="523">
                  <c:v>5240</c:v>
                </c:pt>
                <c:pt idx="524">
                  <c:v>5250</c:v>
                </c:pt>
                <c:pt idx="525">
                  <c:v>5260</c:v>
                </c:pt>
                <c:pt idx="526">
                  <c:v>5270</c:v>
                </c:pt>
                <c:pt idx="527">
                  <c:v>5280</c:v>
                </c:pt>
                <c:pt idx="528">
                  <c:v>5290</c:v>
                </c:pt>
                <c:pt idx="529">
                  <c:v>5300</c:v>
                </c:pt>
                <c:pt idx="530">
                  <c:v>5310</c:v>
                </c:pt>
                <c:pt idx="531">
                  <c:v>5320</c:v>
                </c:pt>
                <c:pt idx="532">
                  <c:v>5330</c:v>
                </c:pt>
                <c:pt idx="533">
                  <c:v>5340</c:v>
                </c:pt>
                <c:pt idx="534">
                  <c:v>5350</c:v>
                </c:pt>
                <c:pt idx="535">
                  <c:v>5360</c:v>
                </c:pt>
                <c:pt idx="536">
                  <c:v>5370</c:v>
                </c:pt>
                <c:pt idx="537">
                  <c:v>5380</c:v>
                </c:pt>
                <c:pt idx="538">
                  <c:v>5390</c:v>
                </c:pt>
                <c:pt idx="539">
                  <c:v>5400</c:v>
                </c:pt>
                <c:pt idx="540">
                  <c:v>5410</c:v>
                </c:pt>
                <c:pt idx="541">
                  <c:v>5420</c:v>
                </c:pt>
                <c:pt idx="542">
                  <c:v>5430</c:v>
                </c:pt>
                <c:pt idx="543">
                  <c:v>5440</c:v>
                </c:pt>
                <c:pt idx="544">
                  <c:v>5450</c:v>
                </c:pt>
                <c:pt idx="545">
                  <c:v>5460</c:v>
                </c:pt>
                <c:pt idx="546">
                  <c:v>5470</c:v>
                </c:pt>
                <c:pt idx="547">
                  <c:v>5480</c:v>
                </c:pt>
                <c:pt idx="548">
                  <c:v>5490</c:v>
                </c:pt>
                <c:pt idx="549">
                  <c:v>5500</c:v>
                </c:pt>
                <c:pt idx="550">
                  <c:v>5510</c:v>
                </c:pt>
                <c:pt idx="551">
                  <c:v>5520</c:v>
                </c:pt>
                <c:pt idx="552">
                  <c:v>5530</c:v>
                </c:pt>
                <c:pt idx="553">
                  <c:v>5540</c:v>
                </c:pt>
                <c:pt idx="554">
                  <c:v>5550</c:v>
                </c:pt>
                <c:pt idx="555">
                  <c:v>5560</c:v>
                </c:pt>
                <c:pt idx="556">
                  <c:v>5570</c:v>
                </c:pt>
                <c:pt idx="557">
                  <c:v>5580</c:v>
                </c:pt>
                <c:pt idx="558">
                  <c:v>5590</c:v>
                </c:pt>
                <c:pt idx="559">
                  <c:v>5600</c:v>
                </c:pt>
                <c:pt idx="560">
                  <c:v>5610</c:v>
                </c:pt>
                <c:pt idx="561">
                  <c:v>5620</c:v>
                </c:pt>
                <c:pt idx="562">
                  <c:v>5630</c:v>
                </c:pt>
                <c:pt idx="563">
                  <c:v>5640</c:v>
                </c:pt>
                <c:pt idx="564">
                  <c:v>5650</c:v>
                </c:pt>
                <c:pt idx="565">
                  <c:v>5660</c:v>
                </c:pt>
                <c:pt idx="566">
                  <c:v>5670</c:v>
                </c:pt>
                <c:pt idx="567">
                  <c:v>5680</c:v>
                </c:pt>
                <c:pt idx="568">
                  <c:v>5690</c:v>
                </c:pt>
                <c:pt idx="569">
                  <c:v>5700</c:v>
                </c:pt>
                <c:pt idx="570">
                  <c:v>5710</c:v>
                </c:pt>
                <c:pt idx="571">
                  <c:v>5720</c:v>
                </c:pt>
                <c:pt idx="572">
                  <c:v>5730</c:v>
                </c:pt>
                <c:pt idx="573">
                  <c:v>5740</c:v>
                </c:pt>
                <c:pt idx="574">
                  <c:v>5750</c:v>
                </c:pt>
                <c:pt idx="575">
                  <c:v>5760</c:v>
                </c:pt>
                <c:pt idx="576">
                  <c:v>5770</c:v>
                </c:pt>
                <c:pt idx="577">
                  <c:v>5780</c:v>
                </c:pt>
                <c:pt idx="578">
                  <c:v>5790</c:v>
                </c:pt>
                <c:pt idx="579">
                  <c:v>5800</c:v>
                </c:pt>
                <c:pt idx="580">
                  <c:v>5810</c:v>
                </c:pt>
                <c:pt idx="581">
                  <c:v>5820</c:v>
                </c:pt>
                <c:pt idx="582">
                  <c:v>5830</c:v>
                </c:pt>
                <c:pt idx="583">
                  <c:v>5840</c:v>
                </c:pt>
                <c:pt idx="584">
                  <c:v>5850</c:v>
                </c:pt>
                <c:pt idx="585">
                  <c:v>5860</c:v>
                </c:pt>
                <c:pt idx="586">
                  <c:v>5870</c:v>
                </c:pt>
                <c:pt idx="587">
                  <c:v>5880</c:v>
                </c:pt>
                <c:pt idx="588">
                  <c:v>5890</c:v>
                </c:pt>
                <c:pt idx="589">
                  <c:v>5900</c:v>
                </c:pt>
                <c:pt idx="590">
                  <c:v>5910</c:v>
                </c:pt>
                <c:pt idx="591">
                  <c:v>5920</c:v>
                </c:pt>
                <c:pt idx="592">
                  <c:v>5930</c:v>
                </c:pt>
                <c:pt idx="593">
                  <c:v>5940</c:v>
                </c:pt>
                <c:pt idx="594">
                  <c:v>5950</c:v>
                </c:pt>
                <c:pt idx="595">
                  <c:v>5960</c:v>
                </c:pt>
                <c:pt idx="596">
                  <c:v>5970</c:v>
                </c:pt>
                <c:pt idx="597">
                  <c:v>5980</c:v>
                </c:pt>
                <c:pt idx="598">
                  <c:v>5990</c:v>
                </c:pt>
                <c:pt idx="599">
                  <c:v>6000</c:v>
                </c:pt>
                <c:pt idx="600">
                  <c:v>6010</c:v>
                </c:pt>
                <c:pt idx="601">
                  <c:v>6020</c:v>
                </c:pt>
                <c:pt idx="602">
                  <c:v>6030</c:v>
                </c:pt>
                <c:pt idx="603">
                  <c:v>6040</c:v>
                </c:pt>
                <c:pt idx="604">
                  <c:v>6050</c:v>
                </c:pt>
                <c:pt idx="605">
                  <c:v>6060</c:v>
                </c:pt>
                <c:pt idx="606">
                  <c:v>6070</c:v>
                </c:pt>
                <c:pt idx="607">
                  <c:v>6080</c:v>
                </c:pt>
                <c:pt idx="608">
                  <c:v>6090</c:v>
                </c:pt>
                <c:pt idx="609">
                  <c:v>6100</c:v>
                </c:pt>
                <c:pt idx="610">
                  <c:v>6110</c:v>
                </c:pt>
                <c:pt idx="611">
                  <c:v>6120</c:v>
                </c:pt>
                <c:pt idx="612">
                  <c:v>6130</c:v>
                </c:pt>
                <c:pt idx="613">
                  <c:v>6140</c:v>
                </c:pt>
                <c:pt idx="614">
                  <c:v>6150</c:v>
                </c:pt>
                <c:pt idx="615">
                  <c:v>6160</c:v>
                </c:pt>
                <c:pt idx="616">
                  <c:v>6170</c:v>
                </c:pt>
                <c:pt idx="617">
                  <c:v>6180</c:v>
                </c:pt>
                <c:pt idx="618">
                  <c:v>6190</c:v>
                </c:pt>
                <c:pt idx="619">
                  <c:v>6200</c:v>
                </c:pt>
                <c:pt idx="620">
                  <c:v>6210</c:v>
                </c:pt>
                <c:pt idx="621">
                  <c:v>6220</c:v>
                </c:pt>
                <c:pt idx="622">
                  <c:v>6230</c:v>
                </c:pt>
                <c:pt idx="623">
                  <c:v>6240</c:v>
                </c:pt>
                <c:pt idx="624">
                  <c:v>6250</c:v>
                </c:pt>
                <c:pt idx="625">
                  <c:v>6260</c:v>
                </c:pt>
                <c:pt idx="626">
                  <c:v>6270</c:v>
                </c:pt>
                <c:pt idx="627">
                  <c:v>6280</c:v>
                </c:pt>
                <c:pt idx="628">
                  <c:v>6290</c:v>
                </c:pt>
                <c:pt idx="629">
                  <c:v>6300</c:v>
                </c:pt>
                <c:pt idx="630">
                  <c:v>6310</c:v>
                </c:pt>
                <c:pt idx="631">
                  <c:v>6320</c:v>
                </c:pt>
                <c:pt idx="632">
                  <c:v>6330</c:v>
                </c:pt>
                <c:pt idx="633">
                  <c:v>6340</c:v>
                </c:pt>
                <c:pt idx="634">
                  <c:v>6350</c:v>
                </c:pt>
                <c:pt idx="635">
                  <c:v>6360</c:v>
                </c:pt>
                <c:pt idx="636">
                  <c:v>6370</c:v>
                </c:pt>
                <c:pt idx="637">
                  <c:v>6380</c:v>
                </c:pt>
                <c:pt idx="638">
                  <c:v>6390</c:v>
                </c:pt>
                <c:pt idx="639">
                  <c:v>6400</c:v>
                </c:pt>
                <c:pt idx="640">
                  <c:v>6410</c:v>
                </c:pt>
                <c:pt idx="641">
                  <c:v>6420</c:v>
                </c:pt>
                <c:pt idx="642">
                  <c:v>6430</c:v>
                </c:pt>
                <c:pt idx="643">
                  <c:v>6440</c:v>
                </c:pt>
                <c:pt idx="644">
                  <c:v>6450</c:v>
                </c:pt>
                <c:pt idx="645">
                  <c:v>6460</c:v>
                </c:pt>
                <c:pt idx="646">
                  <c:v>6470</c:v>
                </c:pt>
                <c:pt idx="647">
                  <c:v>6480</c:v>
                </c:pt>
                <c:pt idx="648">
                  <c:v>6490</c:v>
                </c:pt>
                <c:pt idx="649">
                  <c:v>6500</c:v>
                </c:pt>
                <c:pt idx="650">
                  <c:v>6510</c:v>
                </c:pt>
                <c:pt idx="651">
                  <c:v>6520</c:v>
                </c:pt>
                <c:pt idx="652">
                  <c:v>6530</c:v>
                </c:pt>
                <c:pt idx="653">
                  <c:v>6540</c:v>
                </c:pt>
                <c:pt idx="654">
                  <c:v>6550</c:v>
                </c:pt>
                <c:pt idx="655">
                  <c:v>6560</c:v>
                </c:pt>
                <c:pt idx="656">
                  <c:v>6570</c:v>
                </c:pt>
                <c:pt idx="657">
                  <c:v>6580</c:v>
                </c:pt>
                <c:pt idx="658">
                  <c:v>6590</c:v>
                </c:pt>
                <c:pt idx="659">
                  <c:v>6600</c:v>
                </c:pt>
                <c:pt idx="660">
                  <c:v>6610</c:v>
                </c:pt>
                <c:pt idx="661">
                  <c:v>6620</c:v>
                </c:pt>
                <c:pt idx="662">
                  <c:v>6630</c:v>
                </c:pt>
                <c:pt idx="663">
                  <c:v>6640</c:v>
                </c:pt>
                <c:pt idx="664">
                  <c:v>6650</c:v>
                </c:pt>
                <c:pt idx="665">
                  <c:v>6660</c:v>
                </c:pt>
                <c:pt idx="666">
                  <c:v>6670</c:v>
                </c:pt>
                <c:pt idx="667">
                  <c:v>6680</c:v>
                </c:pt>
                <c:pt idx="668">
                  <c:v>6690</c:v>
                </c:pt>
                <c:pt idx="669">
                  <c:v>6700</c:v>
                </c:pt>
                <c:pt idx="670">
                  <c:v>6710</c:v>
                </c:pt>
                <c:pt idx="671">
                  <c:v>6720</c:v>
                </c:pt>
                <c:pt idx="672">
                  <c:v>6730</c:v>
                </c:pt>
                <c:pt idx="673">
                  <c:v>6740</c:v>
                </c:pt>
                <c:pt idx="674">
                  <c:v>6750</c:v>
                </c:pt>
                <c:pt idx="675">
                  <c:v>6760</c:v>
                </c:pt>
                <c:pt idx="676">
                  <c:v>6770</c:v>
                </c:pt>
                <c:pt idx="677">
                  <c:v>6780</c:v>
                </c:pt>
                <c:pt idx="678">
                  <c:v>6790</c:v>
                </c:pt>
                <c:pt idx="679">
                  <c:v>6800</c:v>
                </c:pt>
                <c:pt idx="680">
                  <c:v>6810</c:v>
                </c:pt>
                <c:pt idx="681">
                  <c:v>6820</c:v>
                </c:pt>
                <c:pt idx="682">
                  <c:v>6830</c:v>
                </c:pt>
                <c:pt idx="683">
                  <c:v>6840</c:v>
                </c:pt>
                <c:pt idx="684">
                  <c:v>6850</c:v>
                </c:pt>
                <c:pt idx="685">
                  <c:v>6860</c:v>
                </c:pt>
                <c:pt idx="686">
                  <c:v>6870</c:v>
                </c:pt>
                <c:pt idx="687">
                  <c:v>6880</c:v>
                </c:pt>
                <c:pt idx="688">
                  <c:v>6890</c:v>
                </c:pt>
                <c:pt idx="689">
                  <c:v>6900</c:v>
                </c:pt>
                <c:pt idx="690">
                  <c:v>6910</c:v>
                </c:pt>
                <c:pt idx="691">
                  <c:v>6920</c:v>
                </c:pt>
                <c:pt idx="692">
                  <c:v>6930</c:v>
                </c:pt>
                <c:pt idx="693">
                  <c:v>6940</c:v>
                </c:pt>
                <c:pt idx="694">
                  <c:v>6950</c:v>
                </c:pt>
                <c:pt idx="695">
                  <c:v>6960</c:v>
                </c:pt>
                <c:pt idx="696">
                  <c:v>6970</c:v>
                </c:pt>
                <c:pt idx="697">
                  <c:v>6980</c:v>
                </c:pt>
                <c:pt idx="698">
                  <c:v>6990</c:v>
                </c:pt>
                <c:pt idx="699">
                  <c:v>7000</c:v>
                </c:pt>
                <c:pt idx="700">
                  <c:v>7010</c:v>
                </c:pt>
                <c:pt idx="701">
                  <c:v>7020</c:v>
                </c:pt>
                <c:pt idx="702">
                  <c:v>7030</c:v>
                </c:pt>
                <c:pt idx="703">
                  <c:v>7040</c:v>
                </c:pt>
                <c:pt idx="704">
                  <c:v>7050</c:v>
                </c:pt>
                <c:pt idx="705">
                  <c:v>7060</c:v>
                </c:pt>
                <c:pt idx="706">
                  <c:v>7070</c:v>
                </c:pt>
                <c:pt idx="707">
                  <c:v>7080</c:v>
                </c:pt>
                <c:pt idx="708">
                  <c:v>7090</c:v>
                </c:pt>
                <c:pt idx="709">
                  <c:v>7100</c:v>
                </c:pt>
                <c:pt idx="710">
                  <c:v>7110</c:v>
                </c:pt>
                <c:pt idx="711">
                  <c:v>7120</c:v>
                </c:pt>
                <c:pt idx="712">
                  <c:v>7130</c:v>
                </c:pt>
                <c:pt idx="713">
                  <c:v>7140</c:v>
                </c:pt>
                <c:pt idx="714">
                  <c:v>7150</c:v>
                </c:pt>
                <c:pt idx="715">
                  <c:v>7160</c:v>
                </c:pt>
                <c:pt idx="716">
                  <c:v>7170</c:v>
                </c:pt>
                <c:pt idx="717">
                  <c:v>7180</c:v>
                </c:pt>
                <c:pt idx="718">
                  <c:v>7190</c:v>
                </c:pt>
                <c:pt idx="719">
                  <c:v>7200</c:v>
                </c:pt>
                <c:pt idx="720">
                  <c:v>7210</c:v>
                </c:pt>
                <c:pt idx="721">
                  <c:v>7220</c:v>
                </c:pt>
                <c:pt idx="722">
                  <c:v>7230</c:v>
                </c:pt>
                <c:pt idx="723">
                  <c:v>7240</c:v>
                </c:pt>
                <c:pt idx="724">
                  <c:v>7250</c:v>
                </c:pt>
                <c:pt idx="725">
                  <c:v>7260</c:v>
                </c:pt>
                <c:pt idx="726">
                  <c:v>7270</c:v>
                </c:pt>
                <c:pt idx="727">
                  <c:v>7280</c:v>
                </c:pt>
                <c:pt idx="728">
                  <c:v>7290</c:v>
                </c:pt>
                <c:pt idx="729">
                  <c:v>7300</c:v>
                </c:pt>
                <c:pt idx="730">
                  <c:v>7310</c:v>
                </c:pt>
                <c:pt idx="731">
                  <c:v>7320</c:v>
                </c:pt>
                <c:pt idx="732">
                  <c:v>7330</c:v>
                </c:pt>
                <c:pt idx="733">
                  <c:v>7340</c:v>
                </c:pt>
                <c:pt idx="734">
                  <c:v>7350</c:v>
                </c:pt>
                <c:pt idx="735">
                  <c:v>7360</c:v>
                </c:pt>
                <c:pt idx="736">
                  <c:v>7370</c:v>
                </c:pt>
                <c:pt idx="737">
                  <c:v>7380</c:v>
                </c:pt>
                <c:pt idx="738">
                  <c:v>7390</c:v>
                </c:pt>
                <c:pt idx="739">
                  <c:v>7400</c:v>
                </c:pt>
                <c:pt idx="740">
                  <c:v>7410</c:v>
                </c:pt>
                <c:pt idx="741">
                  <c:v>7420</c:v>
                </c:pt>
                <c:pt idx="742">
                  <c:v>7430</c:v>
                </c:pt>
                <c:pt idx="743">
                  <c:v>7440</c:v>
                </c:pt>
                <c:pt idx="744">
                  <c:v>7450</c:v>
                </c:pt>
                <c:pt idx="745">
                  <c:v>7460</c:v>
                </c:pt>
                <c:pt idx="746">
                  <c:v>7470</c:v>
                </c:pt>
                <c:pt idx="747">
                  <c:v>7480</c:v>
                </c:pt>
                <c:pt idx="748">
                  <c:v>7490</c:v>
                </c:pt>
                <c:pt idx="749">
                  <c:v>7500</c:v>
                </c:pt>
                <c:pt idx="750">
                  <c:v>7510</c:v>
                </c:pt>
                <c:pt idx="751">
                  <c:v>7520</c:v>
                </c:pt>
                <c:pt idx="752">
                  <c:v>7530</c:v>
                </c:pt>
                <c:pt idx="753">
                  <c:v>7540</c:v>
                </c:pt>
                <c:pt idx="754">
                  <c:v>7550</c:v>
                </c:pt>
                <c:pt idx="755">
                  <c:v>7560</c:v>
                </c:pt>
                <c:pt idx="756">
                  <c:v>7570</c:v>
                </c:pt>
                <c:pt idx="757">
                  <c:v>7580</c:v>
                </c:pt>
                <c:pt idx="758">
                  <c:v>7590</c:v>
                </c:pt>
                <c:pt idx="759">
                  <c:v>7600</c:v>
                </c:pt>
                <c:pt idx="760">
                  <c:v>7610</c:v>
                </c:pt>
                <c:pt idx="761">
                  <c:v>7620</c:v>
                </c:pt>
                <c:pt idx="762">
                  <c:v>7630</c:v>
                </c:pt>
                <c:pt idx="763">
                  <c:v>7640</c:v>
                </c:pt>
                <c:pt idx="764">
                  <c:v>7650</c:v>
                </c:pt>
                <c:pt idx="765">
                  <c:v>7660</c:v>
                </c:pt>
                <c:pt idx="766">
                  <c:v>7670</c:v>
                </c:pt>
                <c:pt idx="767">
                  <c:v>7680</c:v>
                </c:pt>
                <c:pt idx="768">
                  <c:v>7690</c:v>
                </c:pt>
                <c:pt idx="769">
                  <c:v>7700</c:v>
                </c:pt>
                <c:pt idx="770">
                  <c:v>7710</c:v>
                </c:pt>
                <c:pt idx="771">
                  <c:v>7720</c:v>
                </c:pt>
                <c:pt idx="772">
                  <c:v>7730</c:v>
                </c:pt>
                <c:pt idx="773">
                  <c:v>7740</c:v>
                </c:pt>
                <c:pt idx="774">
                  <c:v>7750</c:v>
                </c:pt>
                <c:pt idx="775">
                  <c:v>7760</c:v>
                </c:pt>
                <c:pt idx="776">
                  <c:v>7770</c:v>
                </c:pt>
                <c:pt idx="777">
                  <c:v>7780</c:v>
                </c:pt>
                <c:pt idx="778">
                  <c:v>7790</c:v>
                </c:pt>
                <c:pt idx="779">
                  <c:v>7800</c:v>
                </c:pt>
                <c:pt idx="780">
                  <c:v>7810</c:v>
                </c:pt>
                <c:pt idx="781">
                  <c:v>7820</c:v>
                </c:pt>
                <c:pt idx="782">
                  <c:v>7830</c:v>
                </c:pt>
                <c:pt idx="783">
                  <c:v>7840</c:v>
                </c:pt>
                <c:pt idx="784">
                  <c:v>7850</c:v>
                </c:pt>
                <c:pt idx="785">
                  <c:v>7860</c:v>
                </c:pt>
                <c:pt idx="786">
                  <c:v>7870</c:v>
                </c:pt>
                <c:pt idx="787">
                  <c:v>7880</c:v>
                </c:pt>
                <c:pt idx="788">
                  <c:v>7890</c:v>
                </c:pt>
                <c:pt idx="789">
                  <c:v>7900</c:v>
                </c:pt>
                <c:pt idx="790">
                  <c:v>7910</c:v>
                </c:pt>
                <c:pt idx="791">
                  <c:v>7920</c:v>
                </c:pt>
                <c:pt idx="792">
                  <c:v>7930</c:v>
                </c:pt>
                <c:pt idx="793">
                  <c:v>7940</c:v>
                </c:pt>
                <c:pt idx="794">
                  <c:v>7950</c:v>
                </c:pt>
                <c:pt idx="795">
                  <c:v>7960</c:v>
                </c:pt>
                <c:pt idx="796">
                  <c:v>7970</c:v>
                </c:pt>
                <c:pt idx="797">
                  <c:v>7980</c:v>
                </c:pt>
                <c:pt idx="798">
                  <c:v>7990</c:v>
                </c:pt>
                <c:pt idx="799">
                  <c:v>8000</c:v>
                </c:pt>
                <c:pt idx="800">
                  <c:v>8010</c:v>
                </c:pt>
                <c:pt idx="801">
                  <c:v>8020</c:v>
                </c:pt>
                <c:pt idx="802">
                  <c:v>8030</c:v>
                </c:pt>
                <c:pt idx="803">
                  <c:v>8040</c:v>
                </c:pt>
                <c:pt idx="804">
                  <c:v>8050</c:v>
                </c:pt>
                <c:pt idx="805">
                  <c:v>8060</c:v>
                </c:pt>
                <c:pt idx="806">
                  <c:v>8070</c:v>
                </c:pt>
                <c:pt idx="807">
                  <c:v>8080</c:v>
                </c:pt>
                <c:pt idx="808">
                  <c:v>8090</c:v>
                </c:pt>
                <c:pt idx="809">
                  <c:v>8100</c:v>
                </c:pt>
                <c:pt idx="810">
                  <c:v>8110</c:v>
                </c:pt>
                <c:pt idx="811">
                  <c:v>8120</c:v>
                </c:pt>
                <c:pt idx="812">
                  <c:v>8130</c:v>
                </c:pt>
                <c:pt idx="813">
                  <c:v>8140</c:v>
                </c:pt>
                <c:pt idx="814">
                  <c:v>8150</c:v>
                </c:pt>
                <c:pt idx="815">
                  <c:v>8160</c:v>
                </c:pt>
                <c:pt idx="816">
                  <c:v>8170</c:v>
                </c:pt>
                <c:pt idx="817">
                  <c:v>8180</c:v>
                </c:pt>
                <c:pt idx="818">
                  <c:v>8190</c:v>
                </c:pt>
                <c:pt idx="819">
                  <c:v>8200</c:v>
                </c:pt>
                <c:pt idx="820">
                  <c:v>8210</c:v>
                </c:pt>
                <c:pt idx="821">
                  <c:v>8220</c:v>
                </c:pt>
                <c:pt idx="822">
                  <c:v>8230</c:v>
                </c:pt>
                <c:pt idx="823">
                  <c:v>8240</c:v>
                </c:pt>
                <c:pt idx="824">
                  <c:v>8250</c:v>
                </c:pt>
                <c:pt idx="825">
                  <c:v>8260</c:v>
                </c:pt>
                <c:pt idx="826">
                  <c:v>8270</c:v>
                </c:pt>
                <c:pt idx="827">
                  <c:v>8280</c:v>
                </c:pt>
                <c:pt idx="828">
                  <c:v>8290</c:v>
                </c:pt>
                <c:pt idx="829">
                  <c:v>8300</c:v>
                </c:pt>
                <c:pt idx="830">
                  <c:v>8310</c:v>
                </c:pt>
                <c:pt idx="831">
                  <c:v>8320</c:v>
                </c:pt>
                <c:pt idx="832">
                  <c:v>8330</c:v>
                </c:pt>
                <c:pt idx="833">
                  <c:v>8340</c:v>
                </c:pt>
                <c:pt idx="834">
                  <c:v>8350</c:v>
                </c:pt>
                <c:pt idx="835">
                  <c:v>8360</c:v>
                </c:pt>
                <c:pt idx="836">
                  <c:v>8370</c:v>
                </c:pt>
                <c:pt idx="837">
                  <c:v>8380</c:v>
                </c:pt>
                <c:pt idx="838">
                  <c:v>8390</c:v>
                </c:pt>
                <c:pt idx="839">
                  <c:v>8400</c:v>
                </c:pt>
                <c:pt idx="840">
                  <c:v>8410</c:v>
                </c:pt>
                <c:pt idx="841">
                  <c:v>8420</c:v>
                </c:pt>
                <c:pt idx="842">
                  <c:v>8430</c:v>
                </c:pt>
                <c:pt idx="843">
                  <c:v>8440</c:v>
                </c:pt>
                <c:pt idx="844">
                  <c:v>8450</c:v>
                </c:pt>
                <c:pt idx="845">
                  <c:v>8460</c:v>
                </c:pt>
                <c:pt idx="846">
                  <c:v>8470</c:v>
                </c:pt>
                <c:pt idx="847">
                  <c:v>8480</c:v>
                </c:pt>
                <c:pt idx="848">
                  <c:v>8490</c:v>
                </c:pt>
                <c:pt idx="849">
                  <c:v>8500</c:v>
                </c:pt>
                <c:pt idx="850">
                  <c:v>8510</c:v>
                </c:pt>
                <c:pt idx="851">
                  <c:v>8520</c:v>
                </c:pt>
                <c:pt idx="852">
                  <c:v>8530</c:v>
                </c:pt>
                <c:pt idx="853">
                  <c:v>8540</c:v>
                </c:pt>
                <c:pt idx="854">
                  <c:v>8550</c:v>
                </c:pt>
                <c:pt idx="855">
                  <c:v>8560</c:v>
                </c:pt>
                <c:pt idx="856">
                  <c:v>8570</c:v>
                </c:pt>
                <c:pt idx="857">
                  <c:v>8580</c:v>
                </c:pt>
                <c:pt idx="858">
                  <c:v>8590</c:v>
                </c:pt>
                <c:pt idx="859">
                  <c:v>8600</c:v>
                </c:pt>
                <c:pt idx="860">
                  <c:v>8610</c:v>
                </c:pt>
                <c:pt idx="861">
                  <c:v>8620</c:v>
                </c:pt>
                <c:pt idx="862">
                  <c:v>8630</c:v>
                </c:pt>
                <c:pt idx="863">
                  <c:v>8640</c:v>
                </c:pt>
                <c:pt idx="864">
                  <c:v>8650</c:v>
                </c:pt>
                <c:pt idx="865">
                  <c:v>8660</c:v>
                </c:pt>
                <c:pt idx="866">
                  <c:v>8670</c:v>
                </c:pt>
                <c:pt idx="867">
                  <c:v>8680</c:v>
                </c:pt>
                <c:pt idx="868">
                  <c:v>8690</c:v>
                </c:pt>
                <c:pt idx="869">
                  <c:v>8700</c:v>
                </c:pt>
                <c:pt idx="870">
                  <c:v>8710</c:v>
                </c:pt>
                <c:pt idx="871">
                  <c:v>8720</c:v>
                </c:pt>
                <c:pt idx="872">
                  <c:v>8730</c:v>
                </c:pt>
                <c:pt idx="873">
                  <c:v>8740</c:v>
                </c:pt>
                <c:pt idx="874">
                  <c:v>8750</c:v>
                </c:pt>
                <c:pt idx="875">
                  <c:v>8760</c:v>
                </c:pt>
                <c:pt idx="876">
                  <c:v>8770</c:v>
                </c:pt>
                <c:pt idx="877">
                  <c:v>8780</c:v>
                </c:pt>
                <c:pt idx="878">
                  <c:v>8790</c:v>
                </c:pt>
                <c:pt idx="879">
                  <c:v>8800</c:v>
                </c:pt>
                <c:pt idx="880">
                  <c:v>8810</c:v>
                </c:pt>
                <c:pt idx="881">
                  <c:v>8820</c:v>
                </c:pt>
                <c:pt idx="882">
                  <c:v>8830</c:v>
                </c:pt>
                <c:pt idx="883">
                  <c:v>8840</c:v>
                </c:pt>
                <c:pt idx="884">
                  <c:v>8850</c:v>
                </c:pt>
                <c:pt idx="885">
                  <c:v>8860</c:v>
                </c:pt>
                <c:pt idx="886">
                  <c:v>8870</c:v>
                </c:pt>
                <c:pt idx="887">
                  <c:v>8880</c:v>
                </c:pt>
                <c:pt idx="888">
                  <c:v>8890</c:v>
                </c:pt>
                <c:pt idx="889">
                  <c:v>8900</c:v>
                </c:pt>
                <c:pt idx="890">
                  <c:v>8910</c:v>
                </c:pt>
                <c:pt idx="891">
                  <c:v>8920</c:v>
                </c:pt>
                <c:pt idx="892">
                  <c:v>8930</c:v>
                </c:pt>
                <c:pt idx="893">
                  <c:v>8940</c:v>
                </c:pt>
                <c:pt idx="894">
                  <c:v>8950</c:v>
                </c:pt>
                <c:pt idx="895">
                  <c:v>8960</c:v>
                </c:pt>
                <c:pt idx="896">
                  <c:v>8970</c:v>
                </c:pt>
                <c:pt idx="897">
                  <c:v>8980</c:v>
                </c:pt>
                <c:pt idx="898">
                  <c:v>8990</c:v>
                </c:pt>
                <c:pt idx="899">
                  <c:v>9000</c:v>
                </c:pt>
                <c:pt idx="900">
                  <c:v>9010</c:v>
                </c:pt>
                <c:pt idx="901">
                  <c:v>9020</c:v>
                </c:pt>
                <c:pt idx="902">
                  <c:v>9030</c:v>
                </c:pt>
                <c:pt idx="903">
                  <c:v>9040</c:v>
                </c:pt>
                <c:pt idx="904">
                  <c:v>9050</c:v>
                </c:pt>
                <c:pt idx="905">
                  <c:v>9060</c:v>
                </c:pt>
                <c:pt idx="906">
                  <c:v>9070</c:v>
                </c:pt>
                <c:pt idx="907">
                  <c:v>9080</c:v>
                </c:pt>
                <c:pt idx="908">
                  <c:v>9090</c:v>
                </c:pt>
                <c:pt idx="909">
                  <c:v>9100</c:v>
                </c:pt>
                <c:pt idx="910">
                  <c:v>9110</c:v>
                </c:pt>
                <c:pt idx="911">
                  <c:v>9120</c:v>
                </c:pt>
                <c:pt idx="912">
                  <c:v>9130</c:v>
                </c:pt>
                <c:pt idx="913">
                  <c:v>9140</c:v>
                </c:pt>
                <c:pt idx="914">
                  <c:v>9150</c:v>
                </c:pt>
                <c:pt idx="915">
                  <c:v>9160</c:v>
                </c:pt>
                <c:pt idx="916">
                  <c:v>9170</c:v>
                </c:pt>
                <c:pt idx="917">
                  <c:v>9180</c:v>
                </c:pt>
                <c:pt idx="918">
                  <c:v>9190</c:v>
                </c:pt>
                <c:pt idx="919">
                  <c:v>9200</c:v>
                </c:pt>
                <c:pt idx="920">
                  <c:v>9210</c:v>
                </c:pt>
                <c:pt idx="921">
                  <c:v>9220</c:v>
                </c:pt>
                <c:pt idx="922">
                  <c:v>9230</c:v>
                </c:pt>
                <c:pt idx="923">
                  <c:v>9240</c:v>
                </c:pt>
                <c:pt idx="924">
                  <c:v>9250</c:v>
                </c:pt>
                <c:pt idx="925">
                  <c:v>9260</c:v>
                </c:pt>
                <c:pt idx="926">
                  <c:v>9270</c:v>
                </c:pt>
                <c:pt idx="927">
                  <c:v>9280</c:v>
                </c:pt>
                <c:pt idx="928">
                  <c:v>9290</c:v>
                </c:pt>
                <c:pt idx="929">
                  <c:v>9300</c:v>
                </c:pt>
                <c:pt idx="930">
                  <c:v>9310</c:v>
                </c:pt>
                <c:pt idx="931">
                  <c:v>9320</c:v>
                </c:pt>
                <c:pt idx="932">
                  <c:v>9330</c:v>
                </c:pt>
                <c:pt idx="933">
                  <c:v>9340</c:v>
                </c:pt>
                <c:pt idx="934">
                  <c:v>9350</c:v>
                </c:pt>
                <c:pt idx="935">
                  <c:v>9360</c:v>
                </c:pt>
                <c:pt idx="936">
                  <c:v>9370</c:v>
                </c:pt>
                <c:pt idx="937">
                  <c:v>9380</c:v>
                </c:pt>
                <c:pt idx="938">
                  <c:v>9390</c:v>
                </c:pt>
                <c:pt idx="939">
                  <c:v>9400</c:v>
                </c:pt>
                <c:pt idx="940">
                  <c:v>9410</c:v>
                </c:pt>
                <c:pt idx="941">
                  <c:v>9420</c:v>
                </c:pt>
                <c:pt idx="942">
                  <c:v>9430</c:v>
                </c:pt>
                <c:pt idx="943">
                  <c:v>9440</c:v>
                </c:pt>
                <c:pt idx="944">
                  <c:v>9450</c:v>
                </c:pt>
                <c:pt idx="945">
                  <c:v>9460</c:v>
                </c:pt>
                <c:pt idx="946">
                  <c:v>9470</c:v>
                </c:pt>
                <c:pt idx="947">
                  <c:v>9480</c:v>
                </c:pt>
                <c:pt idx="948">
                  <c:v>9490</c:v>
                </c:pt>
                <c:pt idx="949">
                  <c:v>9500</c:v>
                </c:pt>
                <c:pt idx="950">
                  <c:v>9510</c:v>
                </c:pt>
                <c:pt idx="951">
                  <c:v>9520</c:v>
                </c:pt>
                <c:pt idx="952">
                  <c:v>9530</c:v>
                </c:pt>
                <c:pt idx="953">
                  <c:v>9540</c:v>
                </c:pt>
                <c:pt idx="954">
                  <c:v>9550</c:v>
                </c:pt>
                <c:pt idx="955">
                  <c:v>9560</c:v>
                </c:pt>
                <c:pt idx="956">
                  <c:v>9570</c:v>
                </c:pt>
                <c:pt idx="957">
                  <c:v>9580</c:v>
                </c:pt>
                <c:pt idx="958">
                  <c:v>9590</c:v>
                </c:pt>
                <c:pt idx="959">
                  <c:v>9600</c:v>
                </c:pt>
                <c:pt idx="960">
                  <c:v>9610</c:v>
                </c:pt>
                <c:pt idx="961">
                  <c:v>9620</c:v>
                </c:pt>
                <c:pt idx="962">
                  <c:v>9630</c:v>
                </c:pt>
                <c:pt idx="963">
                  <c:v>9640</c:v>
                </c:pt>
                <c:pt idx="964">
                  <c:v>9650</c:v>
                </c:pt>
                <c:pt idx="965">
                  <c:v>9660</c:v>
                </c:pt>
                <c:pt idx="966">
                  <c:v>9670</c:v>
                </c:pt>
                <c:pt idx="967">
                  <c:v>9680</c:v>
                </c:pt>
                <c:pt idx="968">
                  <c:v>9690</c:v>
                </c:pt>
                <c:pt idx="969">
                  <c:v>9700</c:v>
                </c:pt>
                <c:pt idx="970">
                  <c:v>9710</c:v>
                </c:pt>
                <c:pt idx="971">
                  <c:v>9720</c:v>
                </c:pt>
                <c:pt idx="972">
                  <c:v>9730</c:v>
                </c:pt>
                <c:pt idx="973">
                  <c:v>9740</c:v>
                </c:pt>
                <c:pt idx="974">
                  <c:v>9750</c:v>
                </c:pt>
                <c:pt idx="975">
                  <c:v>9760</c:v>
                </c:pt>
                <c:pt idx="976">
                  <c:v>9770</c:v>
                </c:pt>
                <c:pt idx="977">
                  <c:v>9780</c:v>
                </c:pt>
                <c:pt idx="978">
                  <c:v>9790</c:v>
                </c:pt>
                <c:pt idx="979">
                  <c:v>9800</c:v>
                </c:pt>
                <c:pt idx="980">
                  <c:v>9810</c:v>
                </c:pt>
                <c:pt idx="981">
                  <c:v>9820</c:v>
                </c:pt>
                <c:pt idx="982">
                  <c:v>9830</c:v>
                </c:pt>
                <c:pt idx="983">
                  <c:v>9840</c:v>
                </c:pt>
                <c:pt idx="984">
                  <c:v>9850</c:v>
                </c:pt>
                <c:pt idx="985">
                  <c:v>9860</c:v>
                </c:pt>
                <c:pt idx="986">
                  <c:v>9870</c:v>
                </c:pt>
                <c:pt idx="987">
                  <c:v>9880</c:v>
                </c:pt>
                <c:pt idx="988">
                  <c:v>9890</c:v>
                </c:pt>
                <c:pt idx="989">
                  <c:v>9900</c:v>
                </c:pt>
                <c:pt idx="990">
                  <c:v>9910</c:v>
                </c:pt>
                <c:pt idx="991">
                  <c:v>9920</c:v>
                </c:pt>
                <c:pt idx="992">
                  <c:v>9930</c:v>
                </c:pt>
                <c:pt idx="993">
                  <c:v>9940</c:v>
                </c:pt>
                <c:pt idx="994">
                  <c:v>9950</c:v>
                </c:pt>
                <c:pt idx="995">
                  <c:v>9960</c:v>
                </c:pt>
                <c:pt idx="996">
                  <c:v>9970</c:v>
                </c:pt>
                <c:pt idx="997">
                  <c:v>9980</c:v>
                </c:pt>
                <c:pt idx="998">
                  <c:v>9990</c:v>
                </c:pt>
                <c:pt idx="999">
                  <c:v>10000</c:v>
                </c:pt>
              </c:numCache>
            </c:numRef>
          </c:xVal>
          <c:yVal>
            <c:numRef>
              <c:f>Sheet10!$B$2:$B$1005</c:f>
              <c:numCache>
                <c:formatCode>0.00E+00</c:formatCode>
                <c:ptCount val="1004"/>
                <c:pt idx="0">
                  <c:v>1.11e-44</c:v>
                </c:pt>
                <c:pt idx="1">
                  <c:v>4.76e-25</c:v>
                </c:pt>
                <c:pt idx="2">
                  <c:v>1.56e-17</c:v>
                </c:pt>
                <c:pt idx="3">
                  <c:v>9.48e-14</c:v>
                </c:pt>
                <c:pt idx="4">
                  <c:v>1.84e-11</c:v>
                </c:pt>
                <c:pt idx="5">
                  <c:v>6.38e-10</c:v>
                </c:pt>
                <c:pt idx="6">
                  <c:v>8.2e-9</c:v>
                </c:pt>
                <c:pt idx="7">
                  <c:v>5.65e-8</c:v>
                </c:pt>
                <c:pt idx="8">
                  <c:v>2.57e-7</c:v>
                </c:pt>
                <c:pt idx="9">
                  <c:v>8.7e-7</c:v>
                </c:pt>
                <c:pt idx="10">
                  <c:v>2.38e-6</c:v>
                </c:pt>
                <c:pt idx="11">
                  <c:v>5.54e-6</c:v>
                </c:pt>
                <c:pt idx="12">
                  <c:v>1.14e-5</c:v>
                </c:pt>
                <c:pt idx="13">
                  <c:v>2.12e-5</c:v>
                </c:pt>
                <c:pt idx="14">
                  <c:v>3.65e-5</c:v>
                </c:pt>
                <c:pt idx="15">
                  <c:v>5.89e-5</c:v>
                </c:pt>
                <c:pt idx="16">
                  <c:v>9.01e-5</c:v>
                </c:pt>
                <c:pt idx="17">
                  <c:v>0.000132</c:v>
                </c:pt>
                <c:pt idx="18">
                  <c:v>0.000185</c:v>
                </c:pt>
                <c:pt idx="19">
                  <c:v>0.000251</c:v>
                </c:pt>
                <c:pt idx="20">
                  <c:v>0.000331</c:v>
                </c:pt>
                <c:pt idx="21">
                  <c:v>0.000424</c:v>
                </c:pt>
                <c:pt idx="22">
                  <c:v>0.000531</c:v>
                </c:pt>
                <c:pt idx="23">
                  <c:v>0.000651</c:v>
                </c:pt>
                <c:pt idx="24">
                  <c:v>0.000783</c:v>
                </c:pt>
                <c:pt idx="25">
                  <c:v>0.000926</c:v>
                </c:pt>
                <c:pt idx="26">
                  <c:v>0.00108</c:v>
                </c:pt>
                <c:pt idx="27">
                  <c:v>0.00124</c:v>
                </c:pt>
                <c:pt idx="28">
                  <c:v>0.00141</c:v>
                </c:pt>
                <c:pt idx="29">
                  <c:v>0.00159</c:v>
                </c:pt>
                <c:pt idx="30">
                  <c:v>0.00177</c:v>
                </c:pt>
                <c:pt idx="31">
                  <c:v>0.00195</c:v>
                </c:pt>
                <c:pt idx="32">
                  <c:v>0.00213</c:v>
                </c:pt>
                <c:pt idx="33">
                  <c:v>0.00232</c:v>
                </c:pt>
                <c:pt idx="34">
                  <c:v>0.00251</c:v>
                </c:pt>
                <c:pt idx="35">
                  <c:v>0.00269</c:v>
                </c:pt>
                <c:pt idx="36">
                  <c:v>0.00288</c:v>
                </c:pt>
                <c:pt idx="37">
                  <c:v>0.00306</c:v>
                </c:pt>
                <c:pt idx="38">
                  <c:v>0.00324</c:v>
                </c:pt>
                <c:pt idx="39">
                  <c:v>0.00342</c:v>
                </c:pt>
                <c:pt idx="40">
                  <c:v>0.00359</c:v>
                </c:pt>
                <c:pt idx="41">
                  <c:v>0.00376</c:v>
                </c:pt>
                <c:pt idx="42">
                  <c:v>0.00393</c:v>
                </c:pt>
                <c:pt idx="43">
                  <c:v>0.00409</c:v>
                </c:pt>
                <c:pt idx="44">
                  <c:v>0.00425</c:v>
                </c:pt>
                <c:pt idx="45">
                  <c:v>0.0044</c:v>
                </c:pt>
                <c:pt idx="46">
                  <c:v>0.00455</c:v>
                </c:pt>
                <c:pt idx="47">
                  <c:v>0.0047</c:v>
                </c:pt>
                <c:pt idx="48">
                  <c:v>0.00483</c:v>
                </c:pt>
                <c:pt idx="49">
                  <c:v>0.00497</c:v>
                </c:pt>
                <c:pt idx="50">
                  <c:v>0.0051</c:v>
                </c:pt>
                <c:pt idx="51">
                  <c:v>0.00522</c:v>
                </c:pt>
                <c:pt idx="52">
                  <c:v>0.00534</c:v>
                </c:pt>
                <c:pt idx="53">
                  <c:v>0.00546</c:v>
                </c:pt>
                <c:pt idx="54">
                  <c:v>0.00557</c:v>
                </c:pt>
                <c:pt idx="55">
                  <c:v>0.00567</c:v>
                </c:pt>
                <c:pt idx="56">
                  <c:v>0.00578</c:v>
                </c:pt>
                <c:pt idx="57">
                  <c:v>0.00587</c:v>
                </c:pt>
                <c:pt idx="58">
                  <c:v>0.00597</c:v>
                </c:pt>
                <c:pt idx="59">
                  <c:v>0.00606</c:v>
                </c:pt>
                <c:pt idx="60">
                  <c:v>0.00614</c:v>
                </c:pt>
                <c:pt idx="61">
                  <c:v>0.00622</c:v>
                </c:pt>
                <c:pt idx="62">
                  <c:v>0.0063</c:v>
                </c:pt>
                <c:pt idx="63">
                  <c:v>0.00638</c:v>
                </c:pt>
                <c:pt idx="64">
                  <c:v>0.00645</c:v>
                </c:pt>
                <c:pt idx="65">
                  <c:v>0.00652</c:v>
                </c:pt>
                <c:pt idx="66">
                  <c:v>0.00658</c:v>
                </c:pt>
                <c:pt idx="67">
                  <c:v>0.00664</c:v>
                </c:pt>
                <c:pt idx="68">
                  <c:v>0.0067</c:v>
                </c:pt>
                <c:pt idx="69">
                  <c:v>0.00675</c:v>
                </c:pt>
                <c:pt idx="70">
                  <c:v>0.0068</c:v>
                </c:pt>
                <c:pt idx="71">
                  <c:v>0.00685</c:v>
                </c:pt>
                <c:pt idx="72">
                  <c:v>0.0069</c:v>
                </c:pt>
                <c:pt idx="73">
                  <c:v>0.00694</c:v>
                </c:pt>
                <c:pt idx="74">
                  <c:v>0.00699</c:v>
                </c:pt>
                <c:pt idx="75">
                  <c:v>0.00702</c:v>
                </c:pt>
                <c:pt idx="76">
                  <c:v>0.00706</c:v>
                </c:pt>
                <c:pt idx="77">
                  <c:v>0.0071</c:v>
                </c:pt>
                <c:pt idx="78">
                  <c:v>0.00713</c:v>
                </c:pt>
                <c:pt idx="79">
                  <c:v>0.00716</c:v>
                </c:pt>
                <c:pt idx="80">
                  <c:v>0.00719</c:v>
                </c:pt>
                <c:pt idx="81">
                  <c:v>0.00721</c:v>
                </c:pt>
                <c:pt idx="82">
                  <c:v>0.00724</c:v>
                </c:pt>
                <c:pt idx="83">
                  <c:v>0.00726</c:v>
                </c:pt>
                <c:pt idx="84">
                  <c:v>0.00728</c:v>
                </c:pt>
                <c:pt idx="85">
                  <c:v>0.0073</c:v>
                </c:pt>
                <c:pt idx="86">
                  <c:v>0.00732</c:v>
                </c:pt>
                <c:pt idx="87">
                  <c:v>0.00733</c:v>
                </c:pt>
                <c:pt idx="88">
                  <c:v>0.00735</c:v>
                </c:pt>
                <c:pt idx="89">
                  <c:v>0.00736</c:v>
                </c:pt>
                <c:pt idx="90">
                  <c:v>0.00737</c:v>
                </c:pt>
                <c:pt idx="91">
                  <c:v>0.00738</c:v>
                </c:pt>
                <c:pt idx="92">
                  <c:v>0.00739</c:v>
                </c:pt>
                <c:pt idx="93">
                  <c:v>0.0074</c:v>
                </c:pt>
                <c:pt idx="94">
                  <c:v>0.00741</c:v>
                </c:pt>
                <c:pt idx="95">
                  <c:v>0.00741</c:v>
                </c:pt>
                <c:pt idx="96">
                  <c:v>0.00742</c:v>
                </c:pt>
                <c:pt idx="97">
                  <c:v>0.00742</c:v>
                </c:pt>
                <c:pt idx="98">
                  <c:v>0.00742</c:v>
                </c:pt>
                <c:pt idx="99">
                  <c:v>0.00743</c:v>
                </c:pt>
                <c:pt idx="100">
                  <c:v>0.00743</c:v>
                </c:pt>
                <c:pt idx="101">
                  <c:v>0.00743</c:v>
                </c:pt>
                <c:pt idx="102">
                  <c:v>0.00743</c:v>
                </c:pt>
                <c:pt idx="103">
                  <c:v>0.00742</c:v>
                </c:pt>
                <c:pt idx="104">
                  <c:v>0.00742</c:v>
                </c:pt>
                <c:pt idx="105">
                  <c:v>0.00742</c:v>
                </c:pt>
                <c:pt idx="106">
                  <c:v>0.00742</c:v>
                </c:pt>
                <c:pt idx="107">
                  <c:v>0.00741</c:v>
                </c:pt>
                <c:pt idx="108">
                  <c:v>0.00741</c:v>
                </c:pt>
                <c:pt idx="109">
                  <c:v>0.0074</c:v>
                </c:pt>
                <c:pt idx="110">
                  <c:v>0.00739</c:v>
                </c:pt>
                <c:pt idx="111">
                  <c:v>0.00739</c:v>
                </c:pt>
                <c:pt idx="112">
                  <c:v>0.00738</c:v>
                </c:pt>
                <c:pt idx="113">
                  <c:v>0.00737</c:v>
                </c:pt>
                <c:pt idx="114">
                  <c:v>0.00736</c:v>
                </c:pt>
                <c:pt idx="115">
                  <c:v>0.00735</c:v>
                </c:pt>
                <c:pt idx="116">
                  <c:v>0.00734</c:v>
                </c:pt>
                <c:pt idx="117">
                  <c:v>0.00733</c:v>
                </c:pt>
                <c:pt idx="118">
                  <c:v>0.00732</c:v>
                </c:pt>
                <c:pt idx="119">
                  <c:v>0.00731</c:v>
                </c:pt>
                <c:pt idx="120">
                  <c:v>0.0073</c:v>
                </c:pt>
                <c:pt idx="121">
                  <c:v>0.00729</c:v>
                </c:pt>
                <c:pt idx="122">
                  <c:v>0.00728</c:v>
                </c:pt>
                <c:pt idx="123">
                  <c:v>0.00726</c:v>
                </c:pt>
                <c:pt idx="124">
                  <c:v>0.00725</c:v>
                </c:pt>
                <c:pt idx="125">
                  <c:v>0.00724</c:v>
                </c:pt>
                <c:pt idx="126">
                  <c:v>0.00722</c:v>
                </c:pt>
                <c:pt idx="127">
                  <c:v>0.00721</c:v>
                </c:pt>
                <c:pt idx="128">
                  <c:v>0.0072</c:v>
                </c:pt>
                <c:pt idx="129">
                  <c:v>0.00718</c:v>
                </c:pt>
                <c:pt idx="130">
                  <c:v>0.00717</c:v>
                </c:pt>
                <c:pt idx="131">
                  <c:v>0.00715</c:v>
                </c:pt>
                <c:pt idx="132">
                  <c:v>0.00714</c:v>
                </c:pt>
                <c:pt idx="133">
                  <c:v>0.00712</c:v>
                </c:pt>
                <c:pt idx="134">
                  <c:v>0.00711</c:v>
                </c:pt>
                <c:pt idx="135">
                  <c:v>0.00709</c:v>
                </c:pt>
                <c:pt idx="136">
                  <c:v>0.00708</c:v>
                </c:pt>
                <c:pt idx="137">
                  <c:v>0.00706</c:v>
                </c:pt>
                <c:pt idx="138">
                  <c:v>0.00704</c:v>
                </c:pt>
                <c:pt idx="139">
                  <c:v>0.00703</c:v>
                </c:pt>
                <c:pt idx="140">
                  <c:v>0.00701</c:v>
                </c:pt>
                <c:pt idx="141">
                  <c:v>0.00699</c:v>
                </c:pt>
                <c:pt idx="142">
                  <c:v>0.00698</c:v>
                </c:pt>
                <c:pt idx="143">
                  <c:v>0.00696</c:v>
                </c:pt>
                <c:pt idx="144">
                  <c:v>0.00694</c:v>
                </c:pt>
                <c:pt idx="145">
                  <c:v>0.00693</c:v>
                </c:pt>
                <c:pt idx="146">
                  <c:v>0.00691</c:v>
                </c:pt>
                <c:pt idx="147">
                  <c:v>0.00689</c:v>
                </c:pt>
                <c:pt idx="148">
                  <c:v>0.00687</c:v>
                </c:pt>
                <c:pt idx="149">
                  <c:v>0.00686</c:v>
                </c:pt>
                <c:pt idx="150">
                  <c:v>0.00684</c:v>
                </c:pt>
                <c:pt idx="151">
                  <c:v>0.00682</c:v>
                </c:pt>
                <c:pt idx="152">
                  <c:v>0.0068</c:v>
                </c:pt>
                <c:pt idx="153">
                  <c:v>0.00679</c:v>
                </c:pt>
                <c:pt idx="154">
                  <c:v>0.00677</c:v>
                </c:pt>
                <c:pt idx="155">
                  <c:v>0.00675</c:v>
                </c:pt>
                <c:pt idx="156">
                  <c:v>0.00673</c:v>
                </c:pt>
                <c:pt idx="157">
                  <c:v>0.00671</c:v>
                </c:pt>
                <c:pt idx="158">
                  <c:v>0.0067</c:v>
                </c:pt>
                <c:pt idx="159">
                  <c:v>0.00668</c:v>
                </c:pt>
                <c:pt idx="160">
                  <c:v>0.00666</c:v>
                </c:pt>
                <c:pt idx="161">
                  <c:v>0.00664</c:v>
                </c:pt>
                <c:pt idx="162">
                  <c:v>0.00662</c:v>
                </c:pt>
                <c:pt idx="163">
                  <c:v>0.00661</c:v>
                </c:pt>
                <c:pt idx="164">
                  <c:v>0.00659</c:v>
                </c:pt>
                <c:pt idx="165">
                  <c:v>0.00657</c:v>
                </c:pt>
                <c:pt idx="166">
                  <c:v>0.00655</c:v>
                </c:pt>
                <c:pt idx="167">
                  <c:v>0.00653</c:v>
                </c:pt>
                <c:pt idx="168">
                  <c:v>0.00651</c:v>
                </c:pt>
                <c:pt idx="169">
                  <c:v>0.0065</c:v>
                </c:pt>
                <c:pt idx="170">
                  <c:v>0.00648</c:v>
                </c:pt>
                <c:pt idx="171">
                  <c:v>0.00646</c:v>
                </c:pt>
                <c:pt idx="172">
                  <c:v>0.00644</c:v>
                </c:pt>
                <c:pt idx="173">
                  <c:v>0.00642</c:v>
                </c:pt>
                <c:pt idx="174">
                  <c:v>0.00641</c:v>
                </c:pt>
                <c:pt idx="175">
                  <c:v>0.00639</c:v>
                </c:pt>
                <c:pt idx="176">
                  <c:v>0.00637</c:v>
                </c:pt>
                <c:pt idx="177">
                  <c:v>0.00635</c:v>
                </c:pt>
                <c:pt idx="178">
                  <c:v>0.00633</c:v>
                </c:pt>
                <c:pt idx="179">
                  <c:v>0.00631</c:v>
                </c:pt>
                <c:pt idx="180">
                  <c:v>0.0063</c:v>
                </c:pt>
                <c:pt idx="181">
                  <c:v>0.00628</c:v>
                </c:pt>
                <c:pt idx="182">
                  <c:v>0.00626</c:v>
                </c:pt>
                <c:pt idx="183">
                  <c:v>0.00624</c:v>
                </c:pt>
                <c:pt idx="184">
                  <c:v>0.00622</c:v>
                </c:pt>
                <c:pt idx="185">
                  <c:v>0.00621</c:v>
                </c:pt>
                <c:pt idx="186">
                  <c:v>0.00619</c:v>
                </c:pt>
                <c:pt idx="187">
                  <c:v>0.00617</c:v>
                </c:pt>
                <c:pt idx="188">
                  <c:v>0.00615</c:v>
                </c:pt>
                <c:pt idx="189">
                  <c:v>0.00613</c:v>
                </c:pt>
                <c:pt idx="190">
                  <c:v>0.00612</c:v>
                </c:pt>
                <c:pt idx="191">
                  <c:v>0.0061</c:v>
                </c:pt>
                <c:pt idx="192">
                  <c:v>0.00608</c:v>
                </c:pt>
                <c:pt idx="193">
                  <c:v>0.00606</c:v>
                </c:pt>
                <c:pt idx="194">
                  <c:v>0.00605</c:v>
                </c:pt>
                <c:pt idx="195">
                  <c:v>0.00603</c:v>
                </c:pt>
                <c:pt idx="196">
                  <c:v>0.00601</c:v>
                </c:pt>
                <c:pt idx="197">
                  <c:v>0.00599</c:v>
                </c:pt>
                <c:pt idx="198">
                  <c:v>0.00598</c:v>
                </c:pt>
                <c:pt idx="199">
                  <c:v>0.00596</c:v>
                </c:pt>
                <c:pt idx="200">
                  <c:v>0.00594</c:v>
                </c:pt>
                <c:pt idx="201">
                  <c:v>0.00592</c:v>
                </c:pt>
                <c:pt idx="202">
                  <c:v>0.00591</c:v>
                </c:pt>
                <c:pt idx="203">
                  <c:v>0.00589</c:v>
                </c:pt>
                <c:pt idx="204">
                  <c:v>0.00587</c:v>
                </c:pt>
                <c:pt idx="205">
                  <c:v>0.00585</c:v>
                </c:pt>
                <c:pt idx="206">
                  <c:v>0.00584</c:v>
                </c:pt>
                <c:pt idx="207">
                  <c:v>0.00582</c:v>
                </c:pt>
                <c:pt idx="208">
                  <c:v>0.0058</c:v>
                </c:pt>
                <c:pt idx="209">
                  <c:v>0.00579</c:v>
                </c:pt>
                <c:pt idx="210">
                  <c:v>0.00577</c:v>
                </c:pt>
                <c:pt idx="211">
                  <c:v>0.00575</c:v>
                </c:pt>
                <c:pt idx="212">
                  <c:v>0.00573</c:v>
                </c:pt>
                <c:pt idx="213">
                  <c:v>0.00572</c:v>
                </c:pt>
                <c:pt idx="214">
                  <c:v>0.0057</c:v>
                </c:pt>
                <c:pt idx="215">
                  <c:v>0.00568</c:v>
                </c:pt>
                <c:pt idx="216">
                  <c:v>0.00567</c:v>
                </c:pt>
                <c:pt idx="217">
                  <c:v>0.00565</c:v>
                </c:pt>
                <c:pt idx="218">
                  <c:v>0.00563</c:v>
                </c:pt>
                <c:pt idx="219">
                  <c:v>0.00562</c:v>
                </c:pt>
                <c:pt idx="220">
                  <c:v>0.0056</c:v>
                </c:pt>
                <c:pt idx="221">
                  <c:v>0.00559</c:v>
                </c:pt>
                <c:pt idx="222">
                  <c:v>0.00557</c:v>
                </c:pt>
                <c:pt idx="223">
                  <c:v>0.00555</c:v>
                </c:pt>
                <c:pt idx="224">
                  <c:v>0.00554</c:v>
                </c:pt>
                <c:pt idx="225">
                  <c:v>0.00552</c:v>
                </c:pt>
                <c:pt idx="226">
                  <c:v>0.0055</c:v>
                </c:pt>
                <c:pt idx="227">
                  <c:v>0.00549</c:v>
                </c:pt>
                <c:pt idx="228">
                  <c:v>0.00547</c:v>
                </c:pt>
                <c:pt idx="229">
                  <c:v>0.00546</c:v>
                </c:pt>
                <c:pt idx="230">
                  <c:v>0.00544</c:v>
                </c:pt>
                <c:pt idx="231">
                  <c:v>0.00543</c:v>
                </c:pt>
                <c:pt idx="232">
                  <c:v>0.00541</c:v>
                </c:pt>
                <c:pt idx="233">
                  <c:v>0.00539</c:v>
                </c:pt>
                <c:pt idx="234">
                  <c:v>0.00538</c:v>
                </c:pt>
                <c:pt idx="235">
                  <c:v>0.00536</c:v>
                </c:pt>
                <c:pt idx="236">
                  <c:v>0.00535</c:v>
                </c:pt>
                <c:pt idx="237">
                  <c:v>0.00533</c:v>
                </c:pt>
                <c:pt idx="238">
                  <c:v>0.00532</c:v>
                </c:pt>
                <c:pt idx="239">
                  <c:v>0.0053</c:v>
                </c:pt>
                <c:pt idx="240">
                  <c:v>0.00529</c:v>
                </c:pt>
                <c:pt idx="241">
                  <c:v>0.00527</c:v>
                </c:pt>
                <c:pt idx="242">
                  <c:v>0.00526</c:v>
                </c:pt>
                <c:pt idx="243">
                  <c:v>0.00524</c:v>
                </c:pt>
                <c:pt idx="244">
                  <c:v>0.00523</c:v>
                </c:pt>
                <c:pt idx="245">
                  <c:v>0.00521</c:v>
                </c:pt>
                <c:pt idx="246">
                  <c:v>0.0052</c:v>
                </c:pt>
                <c:pt idx="247">
                  <c:v>0.00518</c:v>
                </c:pt>
                <c:pt idx="248">
                  <c:v>0.00517</c:v>
                </c:pt>
                <c:pt idx="249">
                  <c:v>0.00515</c:v>
                </c:pt>
                <c:pt idx="250">
                  <c:v>0.00514</c:v>
                </c:pt>
                <c:pt idx="251">
                  <c:v>0.00512</c:v>
                </c:pt>
                <c:pt idx="252">
                  <c:v>0.00511</c:v>
                </c:pt>
                <c:pt idx="253">
                  <c:v>0.00509</c:v>
                </c:pt>
                <c:pt idx="254">
                  <c:v>0.00508</c:v>
                </c:pt>
                <c:pt idx="255">
                  <c:v>0.00506</c:v>
                </c:pt>
                <c:pt idx="256">
                  <c:v>0.00505</c:v>
                </c:pt>
                <c:pt idx="257">
                  <c:v>0.00504</c:v>
                </c:pt>
                <c:pt idx="258">
                  <c:v>0.00502</c:v>
                </c:pt>
                <c:pt idx="259">
                  <c:v>0.00501</c:v>
                </c:pt>
                <c:pt idx="260">
                  <c:v>0.00499</c:v>
                </c:pt>
                <c:pt idx="261">
                  <c:v>0.00498</c:v>
                </c:pt>
                <c:pt idx="262">
                  <c:v>0.00496</c:v>
                </c:pt>
                <c:pt idx="263">
                  <c:v>0.00495</c:v>
                </c:pt>
                <c:pt idx="264">
                  <c:v>0.00494</c:v>
                </c:pt>
                <c:pt idx="265">
                  <c:v>0.00492</c:v>
                </c:pt>
                <c:pt idx="266">
                  <c:v>0.00491</c:v>
                </c:pt>
                <c:pt idx="267">
                  <c:v>0.0049</c:v>
                </c:pt>
                <c:pt idx="268">
                  <c:v>0.00488</c:v>
                </c:pt>
                <c:pt idx="269">
                  <c:v>0.00487</c:v>
                </c:pt>
                <c:pt idx="270">
                  <c:v>0.00485</c:v>
                </c:pt>
                <c:pt idx="271">
                  <c:v>0.00484</c:v>
                </c:pt>
                <c:pt idx="272">
                  <c:v>0.00483</c:v>
                </c:pt>
                <c:pt idx="273">
                  <c:v>0.00481</c:v>
                </c:pt>
                <c:pt idx="274">
                  <c:v>0.0048</c:v>
                </c:pt>
                <c:pt idx="275">
                  <c:v>0.00479</c:v>
                </c:pt>
                <c:pt idx="276">
                  <c:v>0.00477</c:v>
                </c:pt>
                <c:pt idx="277">
                  <c:v>0.00476</c:v>
                </c:pt>
                <c:pt idx="278">
                  <c:v>0.00475</c:v>
                </c:pt>
                <c:pt idx="279">
                  <c:v>0.00474</c:v>
                </c:pt>
                <c:pt idx="280">
                  <c:v>0.00472</c:v>
                </c:pt>
                <c:pt idx="281">
                  <c:v>0.00471</c:v>
                </c:pt>
                <c:pt idx="282">
                  <c:v>0.0047</c:v>
                </c:pt>
                <c:pt idx="283">
                  <c:v>0.00468</c:v>
                </c:pt>
                <c:pt idx="284">
                  <c:v>0.00467</c:v>
                </c:pt>
                <c:pt idx="285">
                  <c:v>0.00466</c:v>
                </c:pt>
                <c:pt idx="286">
                  <c:v>0.00465</c:v>
                </c:pt>
                <c:pt idx="287">
                  <c:v>0.00463</c:v>
                </c:pt>
                <c:pt idx="288">
                  <c:v>0.00462</c:v>
                </c:pt>
                <c:pt idx="289">
                  <c:v>0.00461</c:v>
                </c:pt>
                <c:pt idx="290">
                  <c:v>0.00459</c:v>
                </c:pt>
                <c:pt idx="291">
                  <c:v>0.00458</c:v>
                </c:pt>
                <c:pt idx="292">
                  <c:v>0.00457</c:v>
                </c:pt>
                <c:pt idx="293">
                  <c:v>0.00456</c:v>
                </c:pt>
                <c:pt idx="294">
                  <c:v>0.00455</c:v>
                </c:pt>
                <c:pt idx="295">
                  <c:v>0.00453</c:v>
                </c:pt>
                <c:pt idx="296">
                  <c:v>0.00452</c:v>
                </c:pt>
                <c:pt idx="297">
                  <c:v>0.00451</c:v>
                </c:pt>
                <c:pt idx="298">
                  <c:v>0.0045</c:v>
                </c:pt>
                <c:pt idx="299">
                  <c:v>0.00448</c:v>
                </c:pt>
                <c:pt idx="300">
                  <c:v>0.00447</c:v>
                </c:pt>
                <c:pt idx="301">
                  <c:v>0.00446</c:v>
                </c:pt>
                <c:pt idx="302">
                  <c:v>0.00445</c:v>
                </c:pt>
                <c:pt idx="303">
                  <c:v>0.00444</c:v>
                </c:pt>
                <c:pt idx="304">
                  <c:v>0.00442</c:v>
                </c:pt>
                <c:pt idx="305">
                  <c:v>0.00441</c:v>
                </c:pt>
                <c:pt idx="306">
                  <c:v>0.0044</c:v>
                </c:pt>
                <c:pt idx="307">
                  <c:v>0.00439</c:v>
                </c:pt>
                <c:pt idx="308">
                  <c:v>0.00438</c:v>
                </c:pt>
                <c:pt idx="309">
                  <c:v>0.00437</c:v>
                </c:pt>
                <c:pt idx="310">
                  <c:v>0.00435</c:v>
                </c:pt>
                <c:pt idx="311">
                  <c:v>0.00434</c:v>
                </c:pt>
                <c:pt idx="312">
                  <c:v>0.00433</c:v>
                </c:pt>
                <c:pt idx="313">
                  <c:v>0.00432</c:v>
                </c:pt>
                <c:pt idx="314">
                  <c:v>0.00431</c:v>
                </c:pt>
                <c:pt idx="315">
                  <c:v>0.0043</c:v>
                </c:pt>
                <c:pt idx="316">
                  <c:v>0.00429</c:v>
                </c:pt>
                <c:pt idx="317">
                  <c:v>0.00428</c:v>
                </c:pt>
                <c:pt idx="318">
                  <c:v>0.00426</c:v>
                </c:pt>
                <c:pt idx="319">
                  <c:v>0.00425</c:v>
                </c:pt>
                <c:pt idx="320">
                  <c:v>0.00424</c:v>
                </c:pt>
                <c:pt idx="321">
                  <c:v>0.00423</c:v>
                </c:pt>
                <c:pt idx="322">
                  <c:v>0.00422</c:v>
                </c:pt>
                <c:pt idx="323">
                  <c:v>0.00421</c:v>
                </c:pt>
                <c:pt idx="324">
                  <c:v>0.0042</c:v>
                </c:pt>
                <c:pt idx="325">
                  <c:v>0.00419</c:v>
                </c:pt>
                <c:pt idx="326">
                  <c:v>0.00418</c:v>
                </c:pt>
                <c:pt idx="327">
                  <c:v>0.00417</c:v>
                </c:pt>
                <c:pt idx="328">
                  <c:v>0.00415</c:v>
                </c:pt>
                <c:pt idx="329">
                  <c:v>0.00414</c:v>
                </c:pt>
                <c:pt idx="330">
                  <c:v>0.00413</c:v>
                </c:pt>
                <c:pt idx="331">
                  <c:v>0.00412</c:v>
                </c:pt>
                <c:pt idx="332">
                  <c:v>0.00411</c:v>
                </c:pt>
                <c:pt idx="333">
                  <c:v>0.0041</c:v>
                </c:pt>
                <c:pt idx="334">
                  <c:v>0.00409</c:v>
                </c:pt>
                <c:pt idx="335">
                  <c:v>0.00408</c:v>
                </c:pt>
                <c:pt idx="336">
                  <c:v>0.00407</c:v>
                </c:pt>
                <c:pt idx="337">
                  <c:v>0.00406</c:v>
                </c:pt>
                <c:pt idx="338">
                  <c:v>0.00405</c:v>
                </c:pt>
                <c:pt idx="339">
                  <c:v>0.00404</c:v>
                </c:pt>
                <c:pt idx="340">
                  <c:v>0.00403</c:v>
                </c:pt>
                <c:pt idx="341">
                  <c:v>0.00402</c:v>
                </c:pt>
                <c:pt idx="342">
                  <c:v>0.00401</c:v>
                </c:pt>
                <c:pt idx="343">
                  <c:v>0.004</c:v>
                </c:pt>
                <c:pt idx="344">
                  <c:v>0.00399</c:v>
                </c:pt>
                <c:pt idx="345">
                  <c:v>0.00398</c:v>
                </c:pt>
                <c:pt idx="346">
                  <c:v>0.00397</c:v>
                </c:pt>
                <c:pt idx="347">
                  <c:v>0.00396</c:v>
                </c:pt>
                <c:pt idx="348">
                  <c:v>0.00395</c:v>
                </c:pt>
                <c:pt idx="349">
                  <c:v>0.00394</c:v>
                </c:pt>
                <c:pt idx="350">
                  <c:v>0.00393</c:v>
                </c:pt>
                <c:pt idx="351">
                  <c:v>0.00392</c:v>
                </c:pt>
                <c:pt idx="352">
                  <c:v>0.00391</c:v>
                </c:pt>
                <c:pt idx="353">
                  <c:v>0.0039</c:v>
                </c:pt>
                <c:pt idx="354">
                  <c:v>0.00389</c:v>
                </c:pt>
                <c:pt idx="355">
                  <c:v>0.00388</c:v>
                </c:pt>
                <c:pt idx="356">
                  <c:v>0.00387</c:v>
                </c:pt>
                <c:pt idx="357">
                  <c:v>0.00386</c:v>
                </c:pt>
                <c:pt idx="358">
                  <c:v>0.00385</c:v>
                </c:pt>
                <c:pt idx="359">
                  <c:v>0.00384</c:v>
                </c:pt>
                <c:pt idx="360">
                  <c:v>0.00383</c:v>
                </c:pt>
                <c:pt idx="361">
                  <c:v>0.00382</c:v>
                </c:pt>
                <c:pt idx="362">
                  <c:v>0.00381</c:v>
                </c:pt>
                <c:pt idx="363">
                  <c:v>0.0038</c:v>
                </c:pt>
                <c:pt idx="364">
                  <c:v>0.00379</c:v>
                </c:pt>
                <c:pt idx="365">
                  <c:v>0.00379</c:v>
                </c:pt>
                <c:pt idx="366">
                  <c:v>0.00378</c:v>
                </c:pt>
                <c:pt idx="367">
                  <c:v>0.00377</c:v>
                </c:pt>
                <c:pt idx="368">
                  <c:v>0.00376</c:v>
                </c:pt>
                <c:pt idx="369">
                  <c:v>0.00375</c:v>
                </c:pt>
                <c:pt idx="370">
                  <c:v>0.00374</c:v>
                </c:pt>
                <c:pt idx="371">
                  <c:v>0.00373</c:v>
                </c:pt>
                <c:pt idx="372">
                  <c:v>0.00372</c:v>
                </c:pt>
                <c:pt idx="373">
                  <c:v>0.00371</c:v>
                </c:pt>
                <c:pt idx="374">
                  <c:v>0.0037</c:v>
                </c:pt>
                <c:pt idx="375">
                  <c:v>0.00369</c:v>
                </c:pt>
                <c:pt idx="376">
                  <c:v>0.00369</c:v>
                </c:pt>
                <c:pt idx="377">
                  <c:v>0.00368</c:v>
                </c:pt>
                <c:pt idx="378">
                  <c:v>0.00367</c:v>
                </c:pt>
                <c:pt idx="379">
                  <c:v>0.00366</c:v>
                </c:pt>
                <c:pt idx="380">
                  <c:v>0.00365</c:v>
                </c:pt>
                <c:pt idx="381">
                  <c:v>0.00364</c:v>
                </c:pt>
                <c:pt idx="382">
                  <c:v>0.00363</c:v>
                </c:pt>
                <c:pt idx="383">
                  <c:v>0.00362</c:v>
                </c:pt>
                <c:pt idx="384">
                  <c:v>0.00361</c:v>
                </c:pt>
                <c:pt idx="385">
                  <c:v>0.00361</c:v>
                </c:pt>
                <c:pt idx="386">
                  <c:v>0.0036</c:v>
                </c:pt>
                <c:pt idx="387">
                  <c:v>0.00359</c:v>
                </c:pt>
                <c:pt idx="388">
                  <c:v>0.00358</c:v>
                </c:pt>
                <c:pt idx="389">
                  <c:v>0.00357</c:v>
                </c:pt>
                <c:pt idx="390">
                  <c:v>0.00356</c:v>
                </c:pt>
                <c:pt idx="391">
                  <c:v>0.00356</c:v>
                </c:pt>
                <c:pt idx="392">
                  <c:v>0.00355</c:v>
                </c:pt>
                <c:pt idx="393">
                  <c:v>0.00354</c:v>
                </c:pt>
                <c:pt idx="394">
                  <c:v>0.00353</c:v>
                </c:pt>
                <c:pt idx="395">
                  <c:v>0.00352</c:v>
                </c:pt>
                <c:pt idx="396">
                  <c:v>0.00351</c:v>
                </c:pt>
                <c:pt idx="397">
                  <c:v>0.00351</c:v>
                </c:pt>
                <c:pt idx="398">
                  <c:v>0.0035</c:v>
                </c:pt>
                <c:pt idx="399">
                  <c:v>0.00349</c:v>
                </c:pt>
                <c:pt idx="400">
                  <c:v>0.00348</c:v>
                </c:pt>
                <c:pt idx="401">
                  <c:v>0.00347</c:v>
                </c:pt>
                <c:pt idx="402">
                  <c:v>0.00346</c:v>
                </c:pt>
                <c:pt idx="403">
                  <c:v>0.00346</c:v>
                </c:pt>
                <c:pt idx="404">
                  <c:v>0.00345</c:v>
                </c:pt>
                <c:pt idx="405">
                  <c:v>0.00344</c:v>
                </c:pt>
                <c:pt idx="406">
                  <c:v>0.00343</c:v>
                </c:pt>
                <c:pt idx="407">
                  <c:v>0.00342</c:v>
                </c:pt>
                <c:pt idx="408">
                  <c:v>0.00342</c:v>
                </c:pt>
                <c:pt idx="409">
                  <c:v>0.00341</c:v>
                </c:pt>
                <c:pt idx="410">
                  <c:v>0.0034</c:v>
                </c:pt>
                <c:pt idx="411">
                  <c:v>0.00339</c:v>
                </c:pt>
                <c:pt idx="412">
                  <c:v>0.00339</c:v>
                </c:pt>
                <c:pt idx="413">
                  <c:v>0.00338</c:v>
                </c:pt>
                <c:pt idx="414">
                  <c:v>0.00337</c:v>
                </c:pt>
                <c:pt idx="415">
                  <c:v>0.00336</c:v>
                </c:pt>
                <c:pt idx="416">
                  <c:v>0.00335</c:v>
                </c:pt>
                <c:pt idx="417">
                  <c:v>0.00335</c:v>
                </c:pt>
                <c:pt idx="418">
                  <c:v>0.00334</c:v>
                </c:pt>
                <c:pt idx="419">
                  <c:v>0.00333</c:v>
                </c:pt>
                <c:pt idx="420">
                  <c:v>0.00332</c:v>
                </c:pt>
                <c:pt idx="421">
                  <c:v>0.00332</c:v>
                </c:pt>
                <c:pt idx="422">
                  <c:v>0.00331</c:v>
                </c:pt>
                <c:pt idx="423">
                  <c:v>0.0033</c:v>
                </c:pt>
                <c:pt idx="424">
                  <c:v>0.00329</c:v>
                </c:pt>
                <c:pt idx="425">
                  <c:v>0.00329</c:v>
                </c:pt>
                <c:pt idx="426">
                  <c:v>0.00328</c:v>
                </c:pt>
                <c:pt idx="427">
                  <c:v>0.00327</c:v>
                </c:pt>
                <c:pt idx="428">
                  <c:v>0.00326</c:v>
                </c:pt>
                <c:pt idx="429">
                  <c:v>0.00326</c:v>
                </c:pt>
                <c:pt idx="430">
                  <c:v>0.00325</c:v>
                </c:pt>
                <c:pt idx="431">
                  <c:v>0.00324</c:v>
                </c:pt>
                <c:pt idx="432">
                  <c:v>0.00323</c:v>
                </c:pt>
                <c:pt idx="433">
                  <c:v>0.00323</c:v>
                </c:pt>
                <c:pt idx="434">
                  <c:v>0.00322</c:v>
                </c:pt>
                <c:pt idx="435">
                  <c:v>0.00321</c:v>
                </c:pt>
                <c:pt idx="436">
                  <c:v>0.00321</c:v>
                </c:pt>
                <c:pt idx="437">
                  <c:v>0.0032</c:v>
                </c:pt>
                <c:pt idx="438">
                  <c:v>0.00319</c:v>
                </c:pt>
                <c:pt idx="439">
                  <c:v>0.00318</c:v>
                </c:pt>
                <c:pt idx="440">
                  <c:v>0.00318</c:v>
                </c:pt>
                <c:pt idx="441">
                  <c:v>0.00317</c:v>
                </c:pt>
                <c:pt idx="442">
                  <c:v>0.00316</c:v>
                </c:pt>
                <c:pt idx="443">
                  <c:v>0.00316</c:v>
                </c:pt>
                <c:pt idx="444">
                  <c:v>0.00315</c:v>
                </c:pt>
                <c:pt idx="445">
                  <c:v>0.00314</c:v>
                </c:pt>
                <c:pt idx="446">
                  <c:v>0.00314</c:v>
                </c:pt>
                <c:pt idx="447">
                  <c:v>0.00313</c:v>
                </c:pt>
                <c:pt idx="448">
                  <c:v>0.00312</c:v>
                </c:pt>
                <c:pt idx="449">
                  <c:v>0.00312</c:v>
                </c:pt>
                <c:pt idx="450">
                  <c:v>0.00311</c:v>
                </c:pt>
                <c:pt idx="451">
                  <c:v>0.0031</c:v>
                </c:pt>
                <c:pt idx="452">
                  <c:v>0.00309</c:v>
                </c:pt>
                <c:pt idx="453">
                  <c:v>0.00309</c:v>
                </c:pt>
                <c:pt idx="454">
                  <c:v>0.00308</c:v>
                </c:pt>
                <c:pt idx="455">
                  <c:v>0.00307</c:v>
                </c:pt>
                <c:pt idx="456">
                  <c:v>0.00307</c:v>
                </c:pt>
                <c:pt idx="457">
                  <c:v>0.00306</c:v>
                </c:pt>
                <c:pt idx="458">
                  <c:v>0.00305</c:v>
                </c:pt>
                <c:pt idx="459">
                  <c:v>0.00305</c:v>
                </c:pt>
                <c:pt idx="460">
                  <c:v>0.00304</c:v>
                </c:pt>
                <c:pt idx="461">
                  <c:v>0.00303</c:v>
                </c:pt>
                <c:pt idx="462">
                  <c:v>0.00303</c:v>
                </c:pt>
                <c:pt idx="463">
                  <c:v>0.00302</c:v>
                </c:pt>
                <c:pt idx="464">
                  <c:v>0.00302</c:v>
                </c:pt>
                <c:pt idx="465">
                  <c:v>0.00301</c:v>
                </c:pt>
                <c:pt idx="466">
                  <c:v>0.003</c:v>
                </c:pt>
                <c:pt idx="467">
                  <c:v>0.003</c:v>
                </c:pt>
                <c:pt idx="468">
                  <c:v>0.00299</c:v>
                </c:pt>
                <c:pt idx="469">
                  <c:v>0.00298</c:v>
                </c:pt>
                <c:pt idx="470">
                  <c:v>0.00298</c:v>
                </c:pt>
                <c:pt idx="471">
                  <c:v>0.00297</c:v>
                </c:pt>
                <c:pt idx="472">
                  <c:v>0.00296</c:v>
                </c:pt>
                <c:pt idx="473">
                  <c:v>0.00296</c:v>
                </c:pt>
                <c:pt idx="474">
                  <c:v>0.00295</c:v>
                </c:pt>
                <c:pt idx="475">
                  <c:v>0.00294</c:v>
                </c:pt>
                <c:pt idx="476">
                  <c:v>0.00294</c:v>
                </c:pt>
                <c:pt idx="477">
                  <c:v>0.00293</c:v>
                </c:pt>
                <c:pt idx="478">
                  <c:v>0.00293</c:v>
                </c:pt>
                <c:pt idx="479">
                  <c:v>0.00292</c:v>
                </c:pt>
                <c:pt idx="480">
                  <c:v>0.00291</c:v>
                </c:pt>
                <c:pt idx="481">
                  <c:v>0.00291</c:v>
                </c:pt>
                <c:pt idx="482">
                  <c:v>0.0029</c:v>
                </c:pt>
                <c:pt idx="483">
                  <c:v>0.0029</c:v>
                </c:pt>
                <c:pt idx="484">
                  <c:v>0.00289</c:v>
                </c:pt>
                <c:pt idx="485">
                  <c:v>0.00288</c:v>
                </c:pt>
                <c:pt idx="486">
                  <c:v>0.00288</c:v>
                </c:pt>
                <c:pt idx="487">
                  <c:v>0.00287</c:v>
                </c:pt>
                <c:pt idx="488">
                  <c:v>0.00287</c:v>
                </c:pt>
                <c:pt idx="489">
                  <c:v>0.00286</c:v>
                </c:pt>
                <c:pt idx="490">
                  <c:v>0.00285</c:v>
                </c:pt>
                <c:pt idx="491">
                  <c:v>0.00285</c:v>
                </c:pt>
                <c:pt idx="492">
                  <c:v>0.00284</c:v>
                </c:pt>
                <c:pt idx="493">
                  <c:v>0.00284</c:v>
                </c:pt>
                <c:pt idx="494">
                  <c:v>0.00283</c:v>
                </c:pt>
                <c:pt idx="495">
                  <c:v>0.00282</c:v>
                </c:pt>
                <c:pt idx="496">
                  <c:v>0.00282</c:v>
                </c:pt>
                <c:pt idx="497">
                  <c:v>0.00281</c:v>
                </c:pt>
                <c:pt idx="498">
                  <c:v>0.00281</c:v>
                </c:pt>
                <c:pt idx="499">
                  <c:v>0.0028</c:v>
                </c:pt>
                <c:pt idx="500">
                  <c:v>0.00279</c:v>
                </c:pt>
                <c:pt idx="501">
                  <c:v>0.00279</c:v>
                </c:pt>
                <c:pt idx="502">
                  <c:v>0.00278</c:v>
                </c:pt>
                <c:pt idx="503">
                  <c:v>0.00278</c:v>
                </c:pt>
                <c:pt idx="504">
                  <c:v>0.00277</c:v>
                </c:pt>
                <c:pt idx="505">
                  <c:v>0.00277</c:v>
                </c:pt>
                <c:pt idx="506">
                  <c:v>0.00276</c:v>
                </c:pt>
                <c:pt idx="507">
                  <c:v>0.00275</c:v>
                </c:pt>
                <c:pt idx="508">
                  <c:v>0.00275</c:v>
                </c:pt>
                <c:pt idx="509">
                  <c:v>0.00274</c:v>
                </c:pt>
                <c:pt idx="510">
                  <c:v>0.00274</c:v>
                </c:pt>
                <c:pt idx="511">
                  <c:v>0.00273</c:v>
                </c:pt>
                <c:pt idx="512">
                  <c:v>0.00273</c:v>
                </c:pt>
                <c:pt idx="513">
                  <c:v>0.00272</c:v>
                </c:pt>
                <c:pt idx="514">
                  <c:v>0.00272</c:v>
                </c:pt>
                <c:pt idx="515">
                  <c:v>0.00271</c:v>
                </c:pt>
                <c:pt idx="516">
                  <c:v>0.0027</c:v>
                </c:pt>
                <c:pt idx="517">
                  <c:v>0.0027</c:v>
                </c:pt>
                <c:pt idx="518">
                  <c:v>0.00269</c:v>
                </c:pt>
                <c:pt idx="519">
                  <c:v>0.00269</c:v>
                </c:pt>
                <c:pt idx="520">
                  <c:v>0.00268</c:v>
                </c:pt>
                <c:pt idx="521">
                  <c:v>0.00268</c:v>
                </c:pt>
                <c:pt idx="522">
                  <c:v>0.00267</c:v>
                </c:pt>
                <c:pt idx="523">
                  <c:v>0.00267</c:v>
                </c:pt>
                <c:pt idx="524">
                  <c:v>0.00266</c:v>
                </c:pt>
                <c:pt idx="525">
                  <c:v>0.00266</c:v>
                </c:pt>
                <c:pt idx="526">
                  <c:v>0.00265</c:v>
                </c:pt>
                <c:pt idx="527">
                  <c:v>0.00265</c:v>
                </c:pt>
                <c:pt idx="528">
                  <c:v>0.00264</c:v>
                </c:pt>
                <c:pt idx="529">
                  <c:v>0.00263</c:v>
                </c:pt>
                <c:pt idx="530">
                  <c:v>0.00263</c:v>
                </c:pt>
                <c:pt idx="531">
                  <c:v>0.00262</c:v>
                </c:pt>
                <c:pt idx="532">
                  <c:v>0.00262</c:v>
                </c:pt>
                <c:pt idx="533">
                  <c:v>0.00261</c:v>
                </c:pt>
                <c:pt idx="534">
                  <c:v>0.00261</c:v>
                </c:pt>
                <c:pt idx="535">
                  <c:v>0.0026</c:v>
                </c:pt>
                <c:pt idx="536">
                  <c:v>0.0026</c:v>
                </c:pt>
                <c:pt idx="537">
                  <c:v>0.00259</c:v>
                </c:pt>
                <c:pt idx="538">
                  <c:v>0.00259</c:v>
                </c:pt>
                <c:pt idx="539">
                  <c:v>0.00258</c:v>
                </c:pt>
                <c:pt idx="540">
                  <c:v>0.00258</c:v>
                </c:pt>
                <c:pt idx="541">
                  <c:v>0.00257</c:v>
                </c:pt>
                <c:pt idx="542">
                  <c:v>0.00257</c:v>
                </c:pt>
                <c:pt idx="543">
                  <c:v>0.00256</c:v>
                </c:pt>
                <c:pt idx="544">
                  <c:v>0.00256</c:v>
                </c:pt>
                <c:pt idx="545">
                  <c:v>0.00255</c:v>
                </c:pt>
                <c:pt idx="546">
                  <c:v>0.00255</c:v>
                </c:pt>
                <c:pt idx="547">
                  <c:v>0.00254</c:v>
                </c:pt>
                <c:pt idx="548">
                  <c:v>0.00254</c:v>
                </c:pt>
                <c:pt idx="549">
                  <c:v>0.00253</c:v>
                </c:pt>
                <c:pt idx="550">
                  <c:v>0.00253</c:v>
                </c:pt>
                <c:pt idx="551">
                  <c:v>0.00252</c:v>
                </c:pt>
                <c:pt idx="552">
                  <c:v>0.00252</c:v>
                </c:pt>
                <c:pt idx="553">
                  <c:v>0.00251</c:v>
                </c:pt>
                <c:pt idx="554">
                  <c:v>0.00251</c:v>
                </c:pt>
                <c:pt idx="555">
                  <c:v>0.0025</c:v>
                </c:pt>
                <c:pt idx="556">
                  <c:v>0.0025</c:v>
                </c:pt>
                <c:pt idx="557">
                  <c:v>0.00249</c:v>
                </c:pt>
                <c:pt idx="558">
                  <c:v>0.00249</c:v>
                </c:pt>
                <c:pt idx="559">
                  <c:v>0.00248</c:v>
                </c:pt>
                <c:pt idx="560">
                  <c:v>0.00248</c:v>
                </c:pt>
                <c:pt idx="561">
                  <c:v>0.00247</c:v>
                </c:pt>
                <c:pt idx="562">
                  <c:v>0.00247</c:v>
                </c:pt>
                <c:pt idx="563">
                  <c:v>0.00246</c:v>
                </c:pt>
                <c:pt idx="564">
                  <c:v>0.00246</c:v>
                </c:pt>
                <c:pt idx="565">
                  <c:v>0.00246</c:v>
                </c:pt>
                <c:pt idx="566">
                  <c:v>0.00245</c:v>
                </c:pt>
                <c:pt idx="567">
                  <c:v>0.00245</c:v>
                </c:pt>
                <c:pt idx="568">
                  <c:v>0.00244</c:v>
                </c:pt>
                <c:pt idx="569">
                  <c:v>0.00244</c:v>
                </c:pt>
                <c:pt idx="570">
                  <c:v>0.00243</c:v>
                </c:pt>
                <c:pt idx="571">
                  <c:v>0.00243</c:v>
                </c:pt>
                <c:pt idx="572">
                  <c:v>0.00242</c:v>
                </c:pt>
                <c:pt idx="573">
                  <c:v>0.00242</c:v>
                </c:pt>
                <c:pt idx="574">
                  <c:v>0.00241</c:v>
                </c:pt>
                <c:pt idx="575">
                  <c:v>0.00241</c:v>
                </c:pt>
                <c:pt idx="576">
                  <c:v>0.0024</c:v>
                </c:pt>
                <c:pt idx="577">
                  <c:v>0.0024</c:v>
                </c:pt>
                <c:pt idx="578">
                  <c:v>0.0024</c:v>
                </c:pt>
                <c:pt idx="579">
                  <c:v>0.00239</c:v>
                </c:pt>
                <c:pt idx="580">
                  <c:v>0.00239</c:v>
                </c:pt>
                <c:pt idx="581">
                  <c:v>0.00238</c:v>
                </c:pt>
                <c:pt idx="582">
                  <c:v>0.00238</c:v>
                </c:pt>
                <c:pt idx="583">
                  <c:v>0.00237</c:v>
                </c:pt>
                <c:pt idx="584">
                  <c:v>0.00237</c:v>
                </c:pt>
                <c:pt idx="585">
                  <c:v>0.00236</c:v>
                </c:pt>
                <c:pt idx="586">
                  <c:v>0.00236</c:v>
                </c:pt>
                <c:pt idx="587">
                  <c:v>0.00236</c:v>
                </c:pt>
                <c:pt idx="588">
                  <c:v>0.00235</c:v>
                </c:pt>
                <c:pt idx="589">
                  <c:v>0.00235</c:v>
                </c:pt>
                <c:pt idx="590">
                  <c:v>0.00234</c:v>
                </c:pt>
                <c:pt idx="591">
                  <c:v>0.00234</c:v>
                </c:pt>
                <c:pt idx="592">
                  <c:v>0.00233</c:v>
                </c:pt>
                <c:pt idx="593">
                  <c:v>0.00233</c:v>
                </c:pt>
                <c:pt idx="594">
                  <c:v>0.00232</c:v>
                </c:pt>
                <c:pt idx="595">
                  <c:v>0.00232</c:v>
                </c:pt>
                <c:pt idx="596">
                  <c:v>0.00232</c:v>
                </c:pt>
                <c:pt idx="597">
                  <c:v>0.00231</c:v>
                </c:pt>
                <c:pt idx="598">
                  <c:v>0.00231</c:v>
                </c:pt>
                <c:pt idx="599">
                  <c:v>0.0023</c:v>
                </c:pt>
                <c:pt idx="600">
                  <c:v>0.0023</c:v>
                </c:pt>
                <c:pt idx="601">
                  <c:v>0.00229</c:v>
                </c:pt>
                <c:pt idx="602">
                  <c:v>0.00229</c:v>
                </c:pt>
                <c:pt idx="603">
                  <c:v>0.00229</c:v>
                </c:pt>
                <c:pt idx="604">
                  <c:v>0.00228</c:v>
                </c:pt>
                <c:pt idx="605">
                  <c:v>0.00228</c:v>
                </c:pt>
                <c:pt idx="606">
                  <c:v>0.00227</c:v>
                </c:pt>
                <c:pt idx="607">
                  <c:v>0.00227</c:v>
                </c:pt>
                <c:pt idx="608">
                  <c:v>0.00226</c:v>
                </c:pt>
                <c:pt idx="609">
                  <c:v>0.00226</c:v>
                </c:pt>
                <c:pt idx="610">
                  <c:v>0.00226</c:v>
                </c:pt>
                <c:pt idx="611">
                  <c:v>0.00225</c:v>
                </c:pt>
                <c:pt idx="612">
                  <c:v>0.00225</c:v>
                </c:pt>
                <c:pt idx="613">
                  <c:v>0.00224</c:v>
                </c:pt>
                <c:pt idx="614">
                  <c:v>0.00224</c:v>
                </c:pt>
                <c:pt idx="615">
                  <c:v>0.00224</c:v>
                </c:pt>
                <c:pt idx="616">
                  <c:v>0.00223</c:v>
                </c:pt>
                <c:pt idx="617">
                  <c:v>0.00223</c:v>
                </c:pt>
                <c:pt idx="618">
                  <c:v>0.00222</c:v>
                </c:pt>
                <c:pt idx="619">
                  <c:v>0.00222</c:v>
                </c:pt>
                <c:pt idx="620">
                  <c:v>0.00222</c:v>
                </c:pt>
                <c:pt idx="621">
                  <c:v>0.00221</c:v>
                </c:pt>
                <c:pt idx="622">
                  <c:v>0.00221</c:v>
                </c:pt>
                <c:pt idx="623">
                  <c:v>0.0022</c:v>
                </c:pt>
                <c:pt idx="624">
                  <c:v>0.0022</c:v>
                </c:pt>
                <c:pt idx="625">
                  <c:v>0.0022</c:v>
                </c:pt>
                <c:pt idx="626">
                  <c:v>0.00219</c:v>
                </c:pt>
                <c:pt idx="627">
                  <c:v>0.00219</c:v>
                </c:pt>
                <c:pt idx="628">
                  <c:v>0.00218</c:v>
                </c:pt>
                <c:pt idx="629">
                  <c:v>0.00218</c:v>
                </c:pt>
                <c:pt idx="630">
                  <c:v>0.00218</c:v>
                </c:pt>
                <c:pt idx="631">
                  <c:v>0.00217</c:v>
                </c:pt>
                <c:pt idx="632">
                  <c:v>0.00217</c:v>
                </c:pt>
                <c:pt idx="633">
                  <c:v>0.00216</c:v>
                </c:pt>
                <c:pt idx="634">
                  <c:v>0.00216</c:v>
                </c:pt>
                <c:pt idx="635">
                  <c:v>0.00216</c:v>
                </c:pt>
                <c:pt idx="636">
                  <c:v>0.00215</c:v>
                </c:pt>
                <c:pt idx="637">
                  <c:v>0.00215</c:v>
                </c:pt>
                <c:pt idx="638">
                  <c:v>0.00215</c:v>
                </c:pt>
                <c:pt idx="639">
                  <c:v>0.00214</c:v>
                </c:pt>
                <c:pt idx="640">
                  <c:v>0.00214</c:v>
                </c:pt>
                <c:pt idx="641">
                  <c:v>0.00213</c:v>
                </c:pt>
                <c:pt idx="642">
                  <c:v>0.00213</c:v>
                </c:pt>
                <c:pt idx="643">
                  <c:v>0.00213</c:v>
                </c:pt>
                <c:pt idx="644">
                  <c:v>0.00212</c:v>
                </c:pt>
                <c:pt idx="645">
                  <c:v>0.00212</c:v>
                </c:pt>
                <c:pt idx="646">
                  <c:v>0.00211</c:v>
                </c:pt>
                <c:pt idx="647">
                  <c:v>0.00211</c:v>
                </c:pt>
                <c:pt idx="648">
                  <c:v>0.00211</c:v>
                </c:pt>
                <c:pt idx="649">
                  <c:v>0.0021</c:v>
                </c:pt>
                <c:pt idx="650">
                  <c:v>0.0021</c:v>
                </c:pt>
                <c:pt idx="651">
                  <c:v>0.0021</c:v>
                </c:pt>
                <c:pt idx="652">
                  <c:v>0.00209</c:v>
                </c:pt>
                <c:pt idx="653">
                  <c:v>0.00209</c:v>
                </c:pt>
                <c:pt idx="654">
                  <c:v>0.00209</c:v>
                </c:pt>
                <c:pt idx="655">
                  <c:v>0.00208</c:v>
                </c:pt>
                <c:pt idx="656">
                  <c:v>0.00208</c:v>
                </c:pt>
                <c:pt idx="657">
                  <c:v>0.00207</c:v>
                </c:pt>
                <c:pt idx="658">
                  <c:v>0.00207</c:v>
                </c:pt>
                <c:pt idx="659">
                  <c:v>0.00207</c:v>
                </c:pt>
                <c:pt idx="660">
                  <c:v>0.00206</c:v>
                </c:pt>
                <c:pt idx="661">
                  <c:v>0.00206</c:v>
                </c:pt>
                <c:pt idx="662">
                  <c:v>0.00206</c:v>
                </c:pt>
                <c:pt idx="663">
                  <c:v>0.00205</c:v>
                </c:pt>
                <c:pt idx="664">
                  <c:v>0.00205</c:v>
                </c:pt>
                <c:pt idx="665">
                  <c:v>0.00205</c:v>
                </c:pt>
                <c:pt idx="666">
                  <c:v>0.00204</c:v>
                </c:pt>
                <c:pt idx="667">
                  <c:v>0.00204</c:v>
                </c:pt>
                <c:pt idx="668">
                  <c:v>0.00203</c:v>
                </c:pt>
                <c:pt idx="669">
                  <c:v>0.00203</c:v>
                </c:pt>
                <c:pt idx="670">
                  <c:v>0.00203</c:v>
                </c:pt>
                <c:pt idx="671">
                  <c:v>0.00202</c:v>
                </c:pt>
                <c:pt idx="672">
                  <c:v>0.00202</c:v>
                </c:pt>
                <c:pt idx="673">
                  <c:v>0.00202</c:v>
                </c:pt>
                <c:pt idx="674">
                  <c:v>0.00201</c:v>
                </c:pt>
                <c:pt idx="675">
                  <c:v>0.00201</c:v>
                </c:pt>
                <c:pt idx="676">
                  <c:v>0.00201</c:v>
                </c:pt>
                <c:pt idx="677">
                  <c:v>0.002</c:v>
                </c:pt>
                <c:pt idx="678">
                  <c:v>0.002</c:v>
                </c:pt>
                <c:pt idx="679">
                  <c:v>0.002</c:v>
                </c:pt>
                <c:pt idx="680">
                  <c:v>0.00199</c:v>
                </c:pt>
                <c:pt idx="681">
                  <c:v>0.00199</c:v>
                </c:pt>
                <c:pt idx="682">
                  <c:v>0.00199</c:v>
                </c:pt>
                <c:pt idx="683">
                  <c:v>0.00198</c:v>
                </c:pt>
                <c:pt idx="684">
                  <c:v>0.00198</c:v>
                </c:pt>
                <c:pt idx="685">
                  <c:v>0.00198</c:v>
                </c:pt>
                <c:pt idx="686">
                  <c:v>0.00197</c:v>
                </c:pt>
                <c:pt idx="687">
                  <c:v>0.00197</c:v>
                </c:pt>
                <c:pt idx="688">
                  <c:v>0.00197</c:v>
                </c:pt>
                <c:pt idx="689">
                  <c:v>0.00196</c:v>
                </c:pt>
                <c:pt idx="690">
                  <c:v>0.00196</c:v>
                </c:pt>
                <c:pt idx="691">
                  <c:v>0.00196</c:v>
                </c:pt>
                <c:pt idx="692">
                  <c:v>0.00195</c:v>
                </c:pt>
                <c:pt idx="693">
                  <c:v>0.00195</c:v>
                </c:pt>
                <c:pt idx="694">
                  <c:v>0.00195</c:v>
                </c:pt>
                <c:pt idx="695">
                  <c:v>0.00194</c:v>
                </c:pt>
                <c:pt idx="696">
                  <c:v>0.00194</c:v>
                </c:pt>
                <c:pt idx="697">
                  <c:v>0.00194</c:v>
                </c:pt>
                <c:pt idx="698">
                  <c:v>0.00193</c:v>
                </c:pt>
                <c:pt idx="699">
                  <c:v>0.00193</c:v>
                </c:pt>
                <c:pt idx="700">
                  <c:v>0.00193</c:v>
                </c:pt>
                <c:pt idx="701">
                  <c:v>0.00192</c:v>
                </c:pt>
                <c:pt idx="702">
                  <c:v>0.00192</c:v>
                </c:pt>
                <c:pt idx="703">
                  <c:v>0.00192</c:v>
                </c:pt>
                <c:pt idx="704">
                  <c:v>0.00191</c:v>
                </c:pt>
                <c:pt idx="705">
                  <c:v>0.00191</c:v>
                </c:pt>
                <c:pt idx="706">
                  <c:v>0.00191</c:v>
                </c:pt>
                <c:pt idx="707">
                  <c:v>0.0019</c:v>
                </c:pt>
                <c:pt idx="708">
                  <c:v>0.0019</c:v>
                </c:pt>
                <c:pt idx="709">
                  <c:v>0.0019</c:v>
                </c:pt>
                <c:pt idx="710">
                  <c:v>0.00189</c:v>
                </c:pt>
                <c:pt idx="711">
                  <c:v>0.00189</c:v>
                </c:pt>
                <c:pt idx="712">
                  <c:v>0.00189</c:v>
                </c:pt>
                <c:pt idx="713">
                  <c:v>0.00188</c:v>
                </c:pt>
                <c:pt idx="714">
                  <c:v>0.00188</c:v>
                </c:pt>
                <c:pt idx="715">
                  <c:v>0.00188</c:v>
                </c:pt>
                <c:pt idx="716">
                  <c:v>0.00188</c:v>
                </c:pt>
                <c:pt idx="717">
                  <c:v>0.00187</c:v>
                </c:pt>
                <c:pt idx="718">
                  <c:v>0.00187</c:v>
                </c:pt>
                <c:pt idx="719">
                  <c:v>0.00187</c:v>
                </c:pt>
                <c:pt idx="720">
                  <c:v>0.00186</c:v>
                </c:pt>
                <c:pt idx="721">
                  <c:v>0.00186</c:v>
                </c:pt>
                <c:pt idx="722">
                  <c:v>0.00186</c:v>
                </c:pt>
                <c:pt idx="723">
                  <c:v>0.00185</c:v>
                </c:pt>
                <c:pt idx="724">
                  <c:v>0.00185</c:v>
                </c:pt>
                <c:pt idx="725">
                  <c:v>0.00185</c:v>
                </c:pt>
                <c:pt idx="726">
                  <c:v>0.00184</c:v>
                </c:pt>
                <c:pt idx="727">
                  <c:v>0.00184</c:v>
                </c:pt>
                <c:pt idx="728">
                  <c:v>0.00184</c:v>
                </c:pt>
                <c:pt idx="729">
                  <c:v>0.00184</c:v>
                </c:pt>
                <c:pt idx="730">
                  <c:v>0.00183</c:v>
                </c:pt>
                <c:pt idx="731">
                  <c:v>0.00183</c:v>
                </c:pt>
                <c:pt idx="732">
                  <c:v>0.00183</c:v>
                </c:pt>
                <c:pt idx="733">
                  <c:v>0.00182</c:v>
                </c:pt>
                <c:pt idx="734">
                  <c:v>0.00182</c:v>
                </c:pt>
                <c:pt idx="735">
                  <c:v>0.00182</c:v>
                </c:pt>
                <c:pt idx="736">
                  <c:v>0.00181</c:v>
                </c:pt>
                <c:pt idx="737">
                  <c:v>0.00181</c:v>
                </c:pt>
                <c:pt idx="738">
                  <c:v>0.00181</c:v>
                </c:pt>
                <c:pt idx="739">
                  <c:v>0.00181</c:v>
                </c:pt>
                <c:pt idx="740">
                  <c:v>0.0018</c:v>
                </c:pt>
                <c:pt idx="741">
                  <c:v>0.0018</c:v>
                </c:pt>
                <c:pt idx="742">
                  <c:v>0.0018</c:v>
                </c:pt>
                <c:pt idx="743">
                  <c:v>0.00179</c:v>
                </c:pt>
                <c:pt idx="744">
                  <c:v>0.00179</c:v>
                </c:pt>
                <c:pt idx="745">
                  <c:v>0.00179</c:v>
                </c:pt>
                <c:pt idx="746">
                  <c:v>0.00179</c:v>
                </c:pt>
                <c:pt idx="747">
                  <c:v>0.00178</c:v>
                </c:pt>
                <c:pt idx="748">
                  <c:v>0.00178</c:v>
                </c:pt>
                <c:pt idx="749">
                  <c:v>0.00178</c:v>
                </c:pt>
                <c:pt idx="750">
                  <c:v>0.00177</c:v>
                </c:pt>
                <c:pt idx="751">
                  <c:v>0.00177</c:v>
                </c:pt>
                <c:pt idx="752">
                  <c:v>0.00177</c:v>
                </c:pt>
                <c:pt idx="753">
                  <c:v>0.00177</c:v>
                </c:pt>
                <c:pt idx="754">
                  <c:v>0.00176</c:v>
                </c:pt>
                <c:pt idx="755">
                  <c:v>0.00176</c:v>
                </c:pt>
                <c:pt idx="756">
                  <c:v>0.00176</c:v>
                </c:pt>
                <c:pt idx="757">
                  <c:v>0.00175</c:v>
                </c:pt>
                <c:pt idx="758">
                  <c:v>0.00175</c:v>
                </c:pt>
                <c:pt idx="759">
                  <c:v>0.00175</c:v>
                </c:pt>
                <c:pt idx="760">
                  <c:v>0.00175</c:v>
                </c:pt>
                <c:pt idx="761">
                  <c:v>0.00174</c:v>
                </c:pt>
                <c:pt idx="762">
                  <c:v>0.00174</c:v>
                </c:pt>
                <c:pt idx="763">
                  <c:v>0.00174</c:v>
                </c:pt>
                <c:pt idx="764">
                  <c:v>0.00173</c:v>
                </c:pt>
                <c:pt idx="765">
                  <c:v>0.00173</c:v>
                </c:pt>
                <c:pt idx="766">
                  <c:v>0.00173</c:v>
                </c:pt>
                <c:pt idx="767">
                  <c:v>0.00173</c:v>
                </c:pt>
                <c:pt idx="768">
                  <c:v>0.00172</c:v>
                </c:pt>
                <c:pt idx="769">
                  <c:v>0.00172</c:v>
                </c:pt>
                <c:pt idx="770">
                  <c:v>0.00172</c:v>
                </c:pt>
                <c:pt idx="771">
                  <c:v>0.00171</c:v>
                </c:pt>
                <c:pt idx="772">
                  <c:v>0.00171</c:v>
                </c:pt>
                <c:pt idx="773">
                  <c:v>0.00171</c:v>
                </c:pt>
                <c:pt idx="774">
                  <c:v>0.00171</c:v>
                </c:pt>
                <c:pt idx="775">
                  <c:v>0.0017</c:v>
                </c:pt>
                <c:pt idx="776">
                  <c:v>0.0017</c:v>
                </c:pt>
                <c:pt idx="777">
                  <c:v>0.0017</c:v>
                </c:pt>
                <c:pt idx="778">
                  <c:v>0.0017</c:v>
                </c:pt>
                <c:pt idx="779">
                  <c:v>0.00169</c:v>
                </c:pt>
                <c:pt idx="780">
                  <c:v>0.00169</c:v>
                </c:pt>
                <c:pt idx="781">
                  <c:v>0.00169</c:v>
                </c:pt>
                <c:pt idx="782">
                  <c:v>0.00169</c:v>
                </c:pt>
                <c:pt idx="783">
                  <c:v>0.00168</c:v>
                </c:pt>
                <c:pt idx="784">
                  <c:v>0.00168</c:v>
                </c:pt>
                <c:pt idx="785">
                  <c:v>0.00168</c:v>
                </c:pt>
                <c:pt idx="786">
                  <c:v>0.00167</c:v>
                </c:pt>
                <c:pt idx="787">
                  <c:v>0.00167</c:v>
                </c:pt>
                <c:pt idx="788">
                  <c:v>0.00167</c:v>
                </c:pt>
                <c:pt idx="789">
                  <c:v>0.00167</c:v>
                </c:pt>
                <c:pt idx="790">
                  <c:v>0.00166</c:v>
                </c:pt>
                <c:pt idx="791">
                  <c:v>0.00166</c:v>
                </c:pt>
                <c:pt idx="792">
                  <c:v>0.00166</c:v>
                </c:pt>
                <c:pt idx="793">
                  <c:v>0.00166</c:v>
                </c:pt>
                <c:pt idx="794">
                  <c:v>0.00165</c:v>
                </c:pt>
                <c:pt idx="795">
                  <c:v>0.00165</c:v>
                </c:pt>
                <c:pt idx="796">
                  <c:v>0.00165</c:v>
                </c:pt>
                <c:pt idx="797">
                  <c:v>0.00165</c:v>
                </c:pt>
                <c:pt idx="798">
                  <c:v>0.00164</c:v>
                </c:pt>
                <c:pt idx="799">
                  <c:v>0.00164</c:v>
                </c:pt>
                <c:pt idx="800">
                  <c:v>0.00164</c:v>
                </c:pt>
                <c:pt idx="801">
                  <c:v>0.00164</c:v>
                </c:pt>
                <c:pt idx="802">
                  <c:v>0.00163</c:v>
                </c:pt>
                <c:pt idx="803">
                  <c:v>0.00163</c:v>
                </c:pt>
                <c:pt idx="804">
                  <c:v>0.00163</c:v>
                </c:pt>
                <c:pt idx="805">
                  <c:v>0.00163</c:v>
                </c:pt>
                <c:pt idx="806">
                  <c:v>0.00162</c:v>
                </c:pt>
                <c:pt idx="807">
                  <c:v>0.00162</c:v>
                </c:pt>
                <c:pt idx="808">
                  <c:v>0.00162</c:v>
                </c:pt>
                <c:pt idx="809">
                  <c:v>0.00162</c:v>
                </c:pt>
                <c:pt idx="810">
                  <c:v>0.00161</c:v>
                </c:pt>
                <c:pt idx="811">
                  <c:v>0.00161</c:v>
                </c:pt>
                <c:pt idx="812">
                  <c:v>0.00161</c:v>
                </c:pt>
                <c:pt idx="813">
                  <c:v>0.00161</c:v>
                </c:pt>
                <c:pt idx="814">
                  <c:v>0.0016</c:v>
                </c:pt>
                <c:pt idx="815">
                  <c:v>0.0016</c:v>
                </c:pt>
                <c:pt idx="816">
                  <c:v>0.0016</c:v>
                </c:pt>
                <c:pt idx="817">
                  <c:v>0.0016</c:v>
                </c:pt>
                <c:pt idx="818">
                  <c:v>0.00159</c:v>
                </c:pt>
                <c:pt idx="819">
                  <c:v>0.00159</c:v>
                </c:pt>
                <c:pt idx="820">
                  <c:v>0.00159</c:v>
                </c:pt>
                <c:pt idx="821">
                  <c:v>0.00159</c:v>
                </c:pt>
                <c:pt idx="822">
                  <c:v>0.00158</c:v>
                </c:pt>
                <c:pt idx="823">
                  <c:v>0.00158</c:v>
                </c:pt>
                <c:pt idx="824">
                  <c:v>0.00158</c:v>
                </c:pt>
                <c:pt idx="825">
                  <c:v>0.00158</c:v>
                </c:pt>
                <c:pt idx="826">
                  <c:v>0.00157</c:v>
                </c:pt>
                <c:pt idx="827">
                  <c:v>0.00157</c:v>
                </c:pt>
                <c:pt idx="828">
                  <c:v>0.00157</c:v>
                </c:pt>
                <c:pt idx="829">
                  <c:v>0.00157</c:v>
                </c:pt>
                <c:pt idx="830">
                  <c:v>0.00156</c:v>
                </c:pt>
                <c:pt idx="831">
                  <c:v>0.00156</c:v>
                </c:pt>
                <c:pt idx="832">
                  <c:v>0.00156</c:v>
                </c:pt>
                <c:pt idx="833">
                  <c:v>0.00156</c:v>
                </c:pt>
                <c:pt idx="834">
                  <c:v>0.00155</c:v>
                </c:pt>
                <c:pt idx="835">
                  <c:v>0.00155</c:v>
                </c:pt>
                <c:pt idx="836">
                  <c:v>0.00155</c:v>
                </c:pt>
                <c:pt idx="837">
                  <c:v>0.00155</c:v>
                </c:pt>
                <c:pt idx="838">
                  <c:v>0.00155</c:v>
                </c:pt>
                <c:pt idx="839">
                  <c:v>0.00154</c:v>
                </c:pt>
                <c:pt idx="840">
                  <c:v>0.00154</c:v>
                </c:pt>
                <c:pt idx="841">
                  <c:v>0.00154</c:v>
                </c:pt>
                <c:pt idx="842">
                  <c:v>0.00154</c:v>
                </c:pt>
                <c:pt idx="843">
                  <c:v>0.00153</c:v>
                </c:pt>
                <c:pt idx="844">
                  <c:v>0.00153</c:v>
                </c:pt>
                <c:pt idx="845">
                  <c:v>0.00153</c:v>
                </c:pt>
                <c:pt idx="846">
                  <c:v>0.00153</c:v>
                </c:pt>
                <c:pt idx="847">
                  <c:v>0.00152</c:v>
                </c:pt>
                <c:pt idx="848">
                  <c:v>0.00152</c:v>
                </c:pt>
                <c:pt idx="849">
                  <c:v>0.00152</c:v>
                </c:pt>
                <c:pt idx="850">
                  <c:v>0.00152</c:v>
                </c:pt>
                <c:pt idx="851">
                  <c:v>0.00152</c:v>
                </c:pt>
                <c:pt idx="852">
                  <c:v>0.00151</c:v>
                </c:pt>
                <c:pt idx="853">
                  <c:v>0.00151</c:v>
                </c:pt>
                <c:pt idx="854">
                  <c:v>0.00151</c:v>
                </c:pt>
                <c:pt idx="855">
                  <c:v>0.00151</c:v>
                </c:pt>
                <c:pt idx="856">
                  <c:v>0.0015</c:v>
                </c:pt>
                <c:pt idx="857">
                  <c:v>0.0015</c:v>
                </c:pt>
                <c:pt idx="858">
                  <c:v>0.0015</c:v>
                </c:pt>
                <c:pt idx="859">
                  <c:v>0.0015</c:v>
                </c:pt>
                <c:pt idx="860">
                  <c:v>0.0015</c:v>
                </c:pt>
                <c:pt idx="861">
                  <c:v>0.00149</c:v>
                </c:pt>
                <c:pt idx="862">
                  <c:v>0.00149</c:v>
                </c:pt>
                <c:pt idx="863">
                  <c:v>0.00149</c:v>
                </c:pt>
                <c:pt idx="864">
                  <c:v>0.00149</c:v>
                </c:pt>
                <c:pt idx="865">
                  <c:v>0.00148</c:v>
                </c:pt>
                <c:pt idx="866">
                  <c:v>0.00148</c:v>
                </c:pt>
                <c:pt idx="867">
                  <c:v>0.00148</c:v>
                </c:pt>
                <c:pt idx="868">
                  <c:v>0.00148</c:v>
                </c:pt>
                <c:pt idx="869">
                  <c:v>0.00148</c:v>
                </c:pt>
                <c:pt idx="870">
                  <c:v>0.00147</c:v>
                </c:pt>
                <c:pt idx="871">
                  <c:v>0.00147</c:v>
                </c:pt>
                <c:pt idx="872">
                  <c:v>0.00147</c:v>
                </c:pt>
                <c:pt idx="873">
                  <c:v>0.00147</c:v>
                </c:pt>
                <c:pt idx="874">
                  <c:v>0.00146</c:v>
                </c:pt>
                <c:pt idx="875">
                  <c:v>0.00146</c:v>
                </c:pt>
                <c:pt idx="876">
                  <c:v>0.00146</c:v>
                </c:pt>
                <c:pt idx="877">
                  <c:v>0.00146</c:v>
                </c:pt>
                <c:pt idx="878">
                  <c:v>0.00146</c:v>
                </c:pt>
                <c:pt idx="879">
                  <c:v>0.00145</c:v>
                </c:pt>
                <c:pt idx="880">
                  <c:v>0.00145</c:v>
                </c:pt>
                <c:pt idx="881">
                  <c:v>0.00145</c:v>
                </c:pt>
                <c:pt idx="882">
                  <c:v>0.00145</c:v>
                </c:pt>
                <c:pt idx="883">
                  <c:v>0.00145</c:v>
                </c:pt>
                <c:pt idx="884">
                  <c:v>0.00144</c:v>
                </c:pt>
                <c:pt idx="885">
                  <c:v>0.00144</c:v>
                </c:pt>
                <c:pt idx="886">
                  <c:v>0.00144</c:v>
                </c:pt>
                <c:pt idx="887">
                  <c:v>0.00144</c:v>
                </c:pt>
                <c:pt idx="888">
                  <c:v>0.00143</c:v>
                </c:pt>
                <c:pt idx="889">
                  <c:v>0.00143</c:v>
                </c:pt>
                <c:pt idx="890">
                  <c:v>0.00143</c:v>
                </c:pt>
                <c:pt idx="891">
                  <c:v>0.00143</c:v>
                </c:pt>
                <c:pt idx="892">
                  <c:v>0.00143</c:v>
                </c:pt>
                <c:pt idx="893">
                  <c:v>0.00142</c:v>
                </c:pt>
                <c:pt idx="894">
                  <c:v>0.00142</c:v>
                </c:pt>
                <c:pt idx="895">
                  <c:v>0.00142</c:v>
                </c:pt>
                <c:pt idx="896">
                  <c:v>0.00142</c:v>
                </c:pt>
                <c:pt idx="897">
                  <c:v>0.00142</c:v>
                </c:pt>
                <c:pt idx="898">
                  <c:v>0.00141</c:v>
                </c:pt>
                <c:pt idx="899">
                  <c:v>0.00141</c:v>
                </c:pt>
                <c:pt idx="900">
                  <c:v>0.00141</c:v>
                </c:pt>
                <c:pt idx="901">
                  <c:v>0.00141</c:v>
                </c:pt>
                <c:pt idx="902">
                  <c:v>0.00141</c:v>
                </c:pt>
                <c:pt idx="903">
                  <c:v>0.0014</c:v>
                </c:pt>
                <c:pt idx="904">
                  <c:v>0.0014</c:v>
                </c:pt>
                <c:pt idx="905">
                  <c:v>0.0014</c:v>
                </c:pt>
                <c:pt idx="906">
                  <c:v>0.0014</c:v>
                </c:pt>
                <c:pt idx="907">
                  <c:v>0.0014</c:v>
                </c:pt>
                <c:pt idx="908">
                  <c:v>0.00139</c:v>
                </c:pt>
                <c:pt idx="909">
                  <c:v>0.00139</c:v>
                </c:pt>
                <c:pt idx="910">
                  <c:v>0.00139</c:v>
                </c:pt>
                <c:pt idx="911">
                  <c:v>0.00139</c:v>
                </c:pt>
                <c:pt idx="912">
                  <c:v>0.00139</c:v>
                </c:pt>
                <c:pt idx="913">
                  <c:v>0.00138</c:v>
                </c:pt>
                <c:pt idx="914">
                  <c:v>0.00138</c:v>
                </c:pt>
                <c:pt idx="915">
                  <c:v>0.00138</c:v>
                </c:pt>
                <c:pt idx="916">
                  <c:v>0.00138</c:v>
                </c:pt>
                <c:pt idx="917">
                  <c:v>0.00138</c:v>
                </c:pt>
                <c:pt idx="918">
                  <c:v>0.00137</c:v>
                </c:pt>
                <c:pt idx="919">
                  <c:v>0.00137</c:v>
                </c:pt>
                <c:pt idx="920">
                  <c:v>0.00137</c:v>
                </c:pt>
                <c:pt idx="921">
                  <c:v>0.00137</c:v>
                </c:pt>
                <c:pt idx="922">
                  <c:v>0.00137</c:v>
                </c:pt>
                <c:pt idx="923">
                  <c:v>0.00136</c:v>
                </c:pt>
                <c:pt idx="924">
                  <c:v>0.00136</c:v>
                </c:pt>
                <c:pt idx="925">
                  <c:v>0.00136</c:v>
                </c:pt>
                <c:pt idx="926">
                  <c:v>0.00136</c:v>
                </c:pt>
                <c:pt idx="927">
                  <c:v>0.00136</c:v>
                </c:pt>
                <c:pt idx="928">
                  <c:v>0.00135</c:v>
                </c:pt>
                <c:pt idx="929">
                  <c:v>0.00135</c:v>
                </c:pt>
                <c:pt idx="930">
                  <c:v>0.00135</c:v>
                </c:pt>
                <c:pt idx="931">
                  <c:v>0.00135</c:v>
                </c:pt>
                <c:pt idx="932">
                  <c:v>0.00135</c:v>
                </c:pt>
                <c:pt idx="933">
                  <c:v>0.00134</c:v>
                </c:pt>
                <c:pt idx="934">
                  <c:v>0.00134</c:v>
                </c:pt>
                <c:pt idx="935">
                  <c:v>0.00134</c:v>
                </c:pt>
                <c:pt idx="936">
                  <c:v>0.00134</c:v>
                </c:pt>
                <c:pt idx="937">
                  <c:v>0.00134</c:v>
                </c:pt>
                <c:pt idx="938">
                  <c:v>0.00134</c:v>
                </c:pt>
                <c:pt idx="939">
                  <c:v>0.00133</c:v>
                </c:pt>
                <c:pt idx="940">
                  <c:v>0.00133</c:v>
                </c:pt>
                <c:pt idx="941">
                  <c:v>0.00133</c:v>
                </c:pt>
                <c:pt idx="942">
                  <c:v>0.00133</c:v>
                </c:pt>
                <c:pt idx="943">
                  <c:v>0.00133</c:v>
                </c:pt>
                <c:pt idx="944">
                  <c:v>0.00132</c:v>
                </c:pt>
                <c:pt idx="945">
                  <c:v>0.00132</c:v>
                </c:pt>
                <c:pt idx="946">
                  <c:v>0.00132</c:v>
                </c:pt>
                <c:pt idx="947">
                  <c:v>0.00132</c:v>
                </c:pt>
                <c:pt idx="948">
                  <c:v>0.00132</c:v>
                </c:pt>
                <c:pt idx="949">
                  <c:v>0.00131</c:v>
                </c:pt>
                <c:pt idx="950">
                  <c:v>0.00131</c:v>
                </c:pt>
                <c:pt idx="951">
                  <c:v>0.00131</c:v>
                </c:pt>
                <c:pt idx="952">
                  <c:v>0.00131</c:v>
                </c:pt>
                <c:pt idx="953">
                  <c:v>0.00131</c:v>
                </c:pt>
                <c:pt idx="954">
                  <c:v>0.00131</c:v>
                </c:pt>
                <c:pt idx="955">
                  <c:v>0.0013</c:v>
                </c:pt>
                <c:pt idx="956">
                  <c:v>0.0013</c:v>
                </c:pt>
                <c:pt idx="957">
                  <c:v>0.0013</c:v>
                </c:pt>
                <c:pt idx="958">
                  <c:v>0.0013</c:v>
                </c:pt>
                <c:pt idx="959">
                  <c:v>0.0013</c:v>
                </c:pt>
                <c:pt idx="960">
                  <c:v>0.00129</c:v>
                </c:pt>
                <c:pt idx="961">
                  <c:v>0.00129</c:v>
                </c:pt>
                <c:pt idx="962">
                  <c:v>0.00129</c:v>
                </c:pt>
                <c:pt idx="963">
                  <c:v>0.00129</c:v>
                </c:pt>
                <c:pt idx="964">
                  <c:v>0.00129</c:v>
                </c:pt>
                <c:pt idx="965">
                  <c:v>0.00129</c:v>
                </c:pt>
                <c:pt idx="966">
                  <c:v>0.00128</c:v>
                </c:pt>
                <c:pt idx="967">
                  <c:v>0.00128</c:v>
                </c:pt>
                <c:pt idx="968">
                  <c:v>0.00128</c:v>
                </c:pt>
                <c:pt idx="969">
                  <c:v>0.00128</c:v>
                </c:pt>
                <c:pt idx="970">
                  <c:v>0.00128</c:v>
                </c:pt>
                <c:pt idx="971">
                  <c:v>0.00127</c:v>
                </c:pt>
                <c:pt idx="972">
                  <c:v>0.00127</c:v>
                </c:pt>
                <c:pt idx="973">
                  <c:v>0.00127</c:v>
                </c:pt>
                <c:pt idx="974">
                  <c:v>0.00127</c:v>
                </c:pt>
                <c:pt idx="975">
                  <c:v>0.00127</c:v>
                </c:pt>
                <c:pt idx="976">
                  <c:v>0.00127</c:v>
                </c:pt>
                <c:pt idx="977">
                  <c:v>0.00126</c:v>
                </c:pt>
                <c:pt idx="978">
                  <c:v>0.00126</c:v>
                </c:pt>
                <c:pt idx="979">
                  <c:v>0.00126</c:v>
                </c:pt>
                <c:pt idx="980">
                  <c:v>0.00126</c:v>
                </c:pt>
                <c:pt idx="981">
                  <c:v>0.00126</c:v>
                </c:pt>
                <c:pt idx="982">
                  <c:v>0.00126</c:v>
                </c:pt>
                <c:pt idx="983">
                  <c:v>0.00125</c:v>
                </c:pt>
                <c:pt idx="984">
                  <c:v>0.00125</c:v>
                </c:pt>
                <c:pt idx="985">
                  <c:v>0.00125</c:v>
                </c:pt>
                <c:pt idx="986">
                  <c:v>0.00125</c:v>
                </c:pt>
                <c:pt idx="987">
                  <c:v>0.00125</c:v>
                </c:pt>
                <c:pt idx="988">
                  <c:v>0.00125</c:v>
                </c:pt>
                <c:pt idx="989">
                  <c:v>0.00124</c:v>
                </c:pt>
                <c:pt idx="990">
                  <c:v>0.00124</c:v>
                </c:pt>
                <c:pt idx="991">
                  <c:v>0.00124</c:v>
                </c:pt>
                <c:pt idx="992">
                  <c:v>0.00124</c:v>
                </c:pt>
                <c:pt idx="993">
                  <c:v>0.00124</c:v>
                </c:pt>
                <c:pt idx="994">
                  <c:v>0.00124</c:v>
                </c:pt>
                <c:pt idx="995">
                  <c:v>0.00123</c:v>
                </c:pt>
                <c:pt idx="996">
                  <c:v>0.00123</c:v>
                </c:pt>
                <c:pt idx="997">
                  <c:v>0.00123</c:v>
                </c:pt>
                <c:pt idx="998">
                  <c:v>0.00123</c:v>
                </c:pt>
                <c:pt idx="999">
                  <c:v>0.00123</c:v>
                </c:pt>
              </c:numCache>
            </c:numRef>
          </c:yVal>
          <c:smooth val="0"/>
        </c:ser>
        <c:dLbls>
          <c:showLegendKey val="0"/>
          <c:showVal val="0"/>
          <c:showCatName val="0"/>
          <c:showSerName val="0"/>
          <c:showPercent val="0"/>
          <c:showBubbleSize val="0"/>
        </c:dLbls>
        <c:axId val="1724610287"/>
        <c:axId val="1724609327"/>
      </c:scatterChart>
      <c:valAx>
        <c:axId val="1724610287"/>
        <c:scaling>
          <c:orientation val="minMax"/>
          <c:max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latin typeface="Times New Roman" panose="02020603050405020304" charset="0"/>
                    <a:ea typeface="宋体" panose="02010600030101010101" charset="-122"/>
                    <a:cs typeface="Times New Roman" panose="02020603050405020304" charset="0"/>
                  </a:rPr>
                  <a:t>时间</a:t>
                </a:r>
                <a:r>
                  <a:rPr lang="en-US" altLang="zh-CN">
                    <a:latin typeface="Times New Roman" panose="02020603050405020304" charset="0"/>
                    <a:ea typeface="宋体" panose="02010600030101010101" charset="-122"/>
                    <a:cs typeface="Times New Roman" panose="02020603050405020304" charset="0"/>
                  </a:rPr>
                  <a:t>/d</a:t>
                </a:r>
                <a:endParaRPr lang="zh-CN" altLang="en-US">
                  <a:latin typeface="Times New Roman" panose="02020603050405020304" charset="0"/>
                  <a:ea typeface="宋体" panose="02010600030101010101" charset="-122"/>
                  <a:cs typeface="Times New Roman" panose="02020603050405020304" charset="0"/>
                </a:endParaRPr>
              </a:p>
            </c:rich>
          </c:tx>
          <c:layout>
            <c:manualLayout>
              <c:xMode val="edge"/>
              <c:yMode val="edge"/>
              <c:x val="0.837121391076115"/>
              <c:y val="0.8796296296296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724609327"/>
        <c:crosses val="autoZero"/>
        <c:crossBetween val="midCat"/>
      </c:valAx>
      <c:valAx>
        <c:axId val="17246093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latin typeface="Times New Roman" panose="02020603050405020304" charset="0"/>
                    <a:ea typeface="宋体" panose="02010600030101010101" charset="-122"/>
                    <a:cs typeface="Times New Roman" panose="02020603050405020304" charset="0"/>
                  </a:rPr>
                  <a:t>浓度</a:t>
                </a:r>
                <a:r>
                  <a:rPr lang="en-US" altLang="zh-CN">
                    <a:latin typeface="Times New Roman" panose="02020603050405020304" charset="0"/>
                    <a:ea typeface="宋体" panose="02010600030101010101" charset="-122"/>
                    <a:cs typeface="Times New Roman" panose="02020603050405020304" charset="0"/>
                  </a:rPr>
                  <a:t>mg/L</a:t>
                </a:r>
                <a:endParaRPr lang="zh-CN" altLang="en-US">
                  <a:latin typeface="Times New Roman" panose="02020603050405020304" charset="0"/>
                  <a:ea typeface="宋体" panose="02010600030101010101" charset="-122"/>
                  <a:cs typeface="Times New Roman" panose="02020603050405020304" charset="0"/>
                </a:endParaRPr>
              </a:p>
            </c:rich>
          </c:tx>
          <c:layout/>
          <c:overlay val="0"/>
          <c:spPr>
            <a:noFill/>
            <a:ln>
              <a:noFill/>
            </a:ln>
            <a:effectLst/>
          </c:spPr>
        </c:title>
        <c:numFmt formatCode="#,##0.000_);[Red]\(#,##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724610287"/>
        <c:crosses val="autoZero"/>
        <c:crossBetween val="midCat"/>
      </c:valAx>
      <c:spPr>
        <a:noFill/>
        <a:ln>
          <a:noFill/>
        </a:ln>
        <a:effectLst/>
      </c:spPr>
    </c:plotArea>
    <c:plotVisOnly val="1"/>
    <c:dispBlanksAs val="gap"/>
    <c:showDLblsOverMax val="0"/>
    <c:extLst>
      <c:ext uri="{0b15fc19-7d7d-44ad-8c2d-2c3a37ce22c3}">
        <chartProps xmlns="https://web.wps.cn/et/2018/main" chartId="{6ba4bfc1-9438-44e2-ba24-738942f987d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250"/>
    <customShpInfo spid="_x0000_s2395"/>
    <customShpInfo spid="_x0000_s2348"/>
    <customShpInfo spid="_x0000_s2347"/>
    <customShpInfo spid="_x0000_s2299"/>
    <customShpInfo spid="_x0000_s2297"/>
    <customShpInfo spid="_x0000_s2295"/>
    <customShpInfo spid="_x0000_s2296"/>
    <customShpInfo spid="_x0000_s2202"/>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4EE486-DB56-486E-930F-BCDEA1D057E4}">
  <ds:schemaRefs/>
</ds:datastoreItem>
</file>

<file path=docProps/app.xml><?xml version="1.0" encoding="utf-8"?>
<Properties xmlns="http://schemas.openxmlformats.org/officeDocument/2006/extended-properties" xmlns:vt="http://schemas.openxmlformats.org/officeDocument/2006/docPropsVTypes">
  <Template>Normal.dotm</Template>
  <Pages>514</Pages>
  <Words>9799</Words>
  <Characters>10785</Characters>
  <Lines>1915</Lines>
  <Paragraphs>539</Paragraphs>
  <TotalTime>48959</TotalTime>
  <ScaleCrop>false</ScaleCrop>
  <LinksUpToDate>false</LinksUpToDate>
  <CharactersWithSpaces>11013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2024-07-23T02:18:00Z</dcterms:created>
  <dc:creator>Administrator</dc:creator>
  <cp:lastModifiedBy>弦卷心</cp:lastModifiedBy>
  <cp:lastPrinted>2024-10-28T02:20:00Z</cp:lastPrinted>
  <dcterms:modified xsi:type="dcterms:W3CDTF">2024-10-30T08:52:58Z</dcterms:modified>
  <cp:revision>6872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4155070DE069450690AAA7937BB2019E_12</vt:lpwstr>
  </property>
</Properties>
</file>